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52073" w14:textId="36BBFBF0" w:rsidR="00E837DD" w:rsidRPr="009344A7" w:rsidRDefault="00E837DD" w:rsidP="000630D3">
      <w:pPr>
        <w:pStyle w:val="a7bb8675-a5ae-4091-bce2-e7b3ade225ad"/>
      </w:pPr>
      <w:bookmarkStart w:id="0" w:name="_heading=h.gjdgxs" w:colFirst="0" w:colLast="0"/>
      <w:bookmarkEnd w:id="0"/>
      <w:r w:rsidRPr="009344A7">
        <w:rPr>
          <w:noProof/>
          <w:szCs w:val="28"/>
        </w:rPr>
        <w:drawing>
          <wp:inline distT="0" distB="0" distL="0" distR="0" wp14:anchorId="1FEDE329" wp14:editId="0430524C">
            <wp:extent cx="1348740" cy="922020"/>
            <wp:effectExtent l="0" t="0" r="3810" b="0"/>
            <wp:docPr id="2" name="Picture 2" descr="C:\Users\user\Desktop\Desktop backup\Desktop\EFDA\log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sktop backup\Desktop\EFDA\logo\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922020"/>
                    </a:xfrm>
                    <a:prstGeom prst="rect">
                      <a:avLst/>
                    </a:prstGeom>
                    <a:noFill/>
                    <a:ln>
                      <a:noFill/>
                    </a:ln>
                  </pic:spPr>
                </pic:pic>
              </a:graphicData>
            </a:graphic>
          </wp:inline>
        </w:drawing>
      </w:r>
      <w:r w:rsidRPr="009344A7">
        <w:t xml:space="preserve"> </w:t>
      </w:r>
      <w:r w:rsidRPr="009344A7">
        <w:tab/>
      </w:r>
      <w:r w:rsidR="000630D3">
        <w:t xml:space="preserve">                                                       </w:t>
      </w:r>
      <w:r w:rsidRPr="009344A7">
        <w:rPr>
          <w:noProof/>
          <w:szCs w:val="28"/>
        </w:rPr>
        <w:drawing>
          <wp:inline distT="0" distB="0" distL="0" distR="0" wp14:anchorId="4CD1DC24" wp14:editId="29F72334">
            <wp:extent cx="1714499" cy="863600"/>
            <wp:effectExtent l="0" t="0" r="635" b="0"/>
            <wp:docPr id="7" name="Picture 7" descr="C:\Users\user\Desktop\Desktop backup\Desktop\EFDA\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 backup\Desktop\EFDA\logo\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873" cy="865299"/>
                    </a:xfrm>
                    <a:prstGeom prst="rect">
                      <a:avLst/>
                    </a:prstGeom>
                    <a:noFill/>
                    <a:ln>
                      <a:noFill/>
                    </a:ln>
                  </pic:spPr>
                </pic:pic>
              </a:graphicData>
            </a:graphic>
          </wp:inline>
        </w:drawing>
      </w:r>
    </w:p>
    <w:p w14:paraId="220A8178" w14:textId="77777777" w:rsidR="00E837DD" w:rsidRDefault="00E837DD" w:rsidP="00E837DD">
      <w:pPr>
        <w:spacing w:before="240" w:after="240"/>
        <w:jc w:val="center"/>
        <w:rPr>
          <w:rFonts w:eastAsia="Times New Roman" w:cs="Times New Roman"/>
          <w:b/>
          <w:color w:val="37441C"/>
          <w:kern w:val="0"/>
          <w:szCs w:val="24"/>
          <w:lang w:eastAsia="en-US"/>
        </w:rPr>
      </w:pPr>
    </w:p>
    <w:p w14:paraId="08159A16" w14:textId="77777777" w:rsidR="00E837DD" w:rsidRPr="00774672" w:rsidRDefault="00E837DD" w:rsidP="00E837DD">
      <w:pPr>
        <w:jc w:val="center"/>
        <w:rPr>
          <w:rFonts w:cs="Times New Roman"/>
          <w:b/>
          <w:szCs w:val="24"/>
        </w:rPr>
      </w:pPr>
    </w:p>
    <w:p w14:paraId="3FC4E807" w14:textId="77777777" w:rsidR="00E837DD" w:rsidRPr="00774672" w:rsidRDefault="00E837DD" w:rsidP="00E837DD">
      <w:pPr>
        <w:jc w:val="center"/>
        <w:rPr>
          <w:rFonts w:cs="Times New Roman"/>
          <w:b/>
          <w:szCs w:val="24"/>
        </w:rPr>
      </w:pPr>
    </w:p>
    <w:p w14:paraId="00062A91" w14:textId="77777777" w:rsidR="00E837DD" w:rsidRPr="003063AB" w:rsidRDefault="00E837DD" w:rsidP="00E837DD">
      <w:pPr>
        <w:jc w:val="center"/>
        <w:rPr>
          <w:rFonts w:cs="Times New Roman"/>
          <w:b/>
          <w:sz w:val="40"/>
          <w:szCs w:val="36"/>
        </w:rPr>
      </w:pPr>
      <w:r w:rsidRPr="003063AB">
        <w:rPr>
          <w:rFonts w:cs="Times New Roman"/>
          <w:b/>
          <w:sz w:val="40"/>
        </w:rPr>
        <w:t>Ethiopian Food and Drug Authority/ Ministry of Health</w:t>
      </w:r>
    </w:p>
    <w:p w14:paraId="079B9DDF" w14:textId="77777777" w:rsidR="00E837DD" w:rsidRDefault="00E837DD" w:rsidP="00E837DD">
      <w:pPr>
        <w:rPr>
          <w:rFonts w:cs="Times New Roman"/>
          <w:b/>
          <w:sz w:val="36"/>
          <w:szCs w:val="36"/>
        </w:rPr>
      </w:pPr>
    </w:p>
    <w:p w14:paraId="78043965" w14:textId="77777777" w:rsidR="00E837DD" w:rsidRDefault="00E837DD" w:rsidP="00E837DD">
      <w:pPr>
        <w:rPr>
          <w:rFonts w:cs="Times New Roman"/>
          <w:b/>
          <w:sz w:val="36"/>
          <w:szCs w:val="36"/>
        </w:rPr>
      </w:pPr>
    </w:p>
    <w:p w14:paraId="551AC6D4" w14:textId="77777777" w:rsidR="00E837DD" w:rsidRDefault="00E837DD" w:rsidP="00E837DD">
      <w:pPr>
        <w:rPr>
          <w:rFonts w:cs="Times New Roman"/>
          <w:b/>
          <w:sz w:val="36"/>
          <w:szCs w:val="36"/>
        </w:rPr>
      </w:pPr>
    </w:p>
    <w:p w14:paraId="7F4A9372" w14:textId="77777777" w:rsidR="00E837DD" w:rsidRPr="003063AB" w:rsidRDefault="00E837DD" w:rsidP="00E837DD">
      <w:pPr>
        <w:jc w:val="center"/>
        <w:rPr>
          <w:rFonts w:cs="Times New Roman"/>
          <w:b/>
          <w:sz w:val="40"/>
          <w:szCs w:val="36"/>
        </w:rPr>
      </w:pPr>
      <w:r>
        <w:rPr>
          <w:rFonts w:cs="Times New Roman"/>
          <w:b/>
          <w:sz w:val="40"/>
          <w:szCs w:val="36"/>
        </w:rPr>
        <w:t>Ethiopian</w:t>
      </w:r>
      <w:r w:rsidRPr="003063AB">
        <w:rPr>
          <w:rFonts w:cs="Times New Roman"/>
          <w:b/>
          <w:sz w:val="40"/>
          <w:szCs w:val="36"/>
        </w:rPr>
        <w:t xml:space="preserve"> Medicines Formulary</w:t>
      </w:r>
    </w:p>
    <w:p w14:paraId="6B0773D9" w14:textId="77777777" w:rsidR="00E837DD" w:rsidRPr="009344A7" w:rsidRDefault="00E837DD" w:rsidP="00E837DD">
      <w:pPr>
        <w:rPr>
          <w:rFonts w:cs="Times New Roman"/>
          <w:b/>
          <w:sz w:val="36"/>
        </w:rPr>
      </w:pPr>
    </w:p>
    <w:p w14:paraId="17F43A5B" w14:textId="77777777" w:rsidR="00E837DD" w:rsidRPr="00774672" w:rsidRDefault="00E837DD" w:rsidP="00E837DD">
      <w:pPr>
        <w:jc w:val="center"/>
        <w:rPr>
          <w:rFonts w:cs="Times New Roman"/>
          <w:b/>
          <w:color w:val="000000"/>
          <w:szCs w:val="24"/>
        </w:rPr>
      </w:pPr>
    </w:p>
    <w:p w14:paraId="0F6F658A" w14:textId="77777777" w:rsidR="00E837DD" w:rsidRPr="00774672" w:rsidRDefault="00E837DD" w:rsidP="00E837DD">
      <w:pPr>
        <w:jc w:val="center"/>
        <w:rPr>
          <w:rFonts w:cs="Times New Roman"/>
          <w:b/>
          <w:color w:val="000000"/>
          <w:szCs w:val="24"/>
        </w:rPr>
      </w:pPr>
    </w:p>
    <w:p w14:paraId="3F97269D" w14:textId="77777777" w:rsidR="00E837DD" w:rsidRPr="00774672" w:rsidRDefault="00E837DD" w:rsidP="00E837DD">
      <w:pPr>
        <w:jc w:val="center"/>
        <w:rPr>
          <w:rFonts w:cs="Times New Roman"/>
          <w:b/>
          <w:color w:val="000000"/>
          <w:szCs w:val="24"/>
        </w:rPr>
      </w:pPr>
    </w:p>
    <w:p w14:paraId="24B139D1" w14:textId="77777777" w:rsidR="00E837DD" w:rsidRPr="00774672" w:rsidRDefault="00E837DD" w:rsidP="00E837DD">
      <w:pPr>
        <w:jc w:val="right"/>
        <w:rPr>
          <w:rFonts w:cs="Times New Roman"/>
          <w:b/>
          <w:color w:val="000000"/>
          <w:szCs w:val="24"/>
        </w:rPr>
      </w:pPr>
    </w:p>
    <w:p w14:paraId="3E03C62A" w14:textId="77777777" w:rsidR="00E837DD" w:rsidRDefault="00E837DD" w:rsidP="00E837DD">
      <w:pPr>
        <w:spacing w:after="0"/>
        <w:jc w:val="right"/>
        <w:rPr>
          <w:rFonts w:eastAsia="Times New Roman" w:cs="Times New Roman"/>
          <w:b/>
          <w:color w:val="37441C"/>
          <w:kern w:val="0"/>
          <w:szCs w:val="24"/>
          <w:lang w:eastAsia="en-US"/>
        </w:rPr>
      </w:pPr>
      <w:r>
        <w:rPr>
          <w:rFonts w:eastAsia="Times New Roman" w:cs="Times New Roman"/>
          <w:b/>
          <w:color w:val="37441C"/>
          <w:szCs w:val="24"/>
        </w:rPr>
        <w:t xml:space="preserve">Third Edition </w:t>
      </w:r>
    </w:p>
    <w:p w14:paraId="31D61EC9" w14:textId="77777777" w:rsidR="00E837DD" w:rsidRDefault="003068AB" w:rsidP="00E837DD">
      <w:pPr>
        <w:spacing w:after="0"/>
        <w:jc w:val="right"/>
        <w:rPr>
          <w:rFonts w:eastAsia="Times New Roman" w:cs="Times New Roman"/>
          <w:b/>
          <w:color w:val="37441C"/>
          <w:szCs w:val="24"/>
        </w:rPr>
      </w:pPr>
      <w:r>
        <w:rPr>
          <w:rFonts w:eastAsia="Times New Roman" w:cs="Times New Roman"/>
          <w:b/>
          <w:color w:val="37441C"/>
          <w:szCs w:val="24"/>
        </w:rPr>
        <w:t>October</w:t>
      </w:r>
      <w:r w:rsidR="00E837DD">
        <w:rPr>
          <w:rFonts w:eastAsia="Times New Roman" w:cs="Times New Roman"/>
          <w:b/>
          <w:color w:val="37441C"/>
          <w:szCs w:val="24"/>
        </w:rPr>
        <w:t xml:space="preserve"> 2024</w:t>
      </w:r>
    </w:p>
    <w:p w14:paraId="7E67E393" w14:textId="77777777" w:rsidR="00E837DD" w:rsidRDefault="00E837DD" w:rsidP="00E837DD">
      <w:pPr>
        <w:jc w:val="right"/>
      </w:pPr>
      <w:r>
        <w:rPr>
          <w:rFonts w:eastAsia="Times New Roman" w:cs="Times New Roman"/>
          <w:b/>
          <w:color w:val="37441C"/>
          <w:szCs w:val="24"/>
        </w:rPr>
        <w:t>Addis Ababa, Ethiopia</w:t>
      </w:r>
      <w:r>
        <w:t xml:space="preserve"> </w:t>
      </w:r>
      <w:r>
        <w:br w:type="page"/>
      </w:r>
    </w:p>
    <w:p w14:paraId="72928772" w14:textId="77777777" w:rsidR="00E837DD" w:rsidRPr="001F03A0" w:rsidRDefault="00E837DD" w:rsidP="00E837DD">
      <w:pPr>
        <w:jc w:val="center"/>
        <w:rPr>
          <w:rFonts w:cs="Times New Roman"/>
          <w:b/>
          <w:bCs/>
          <w:sz w:val="28"/>
          <w:szCs w:val="28"/>
        </w:rPr>
      </w:pPr>
      <w:r w:rsidRPr="001F03A0">
        <w:rPr>
          <w:rFonts w:cs="Times New Roman"/>
          <w:b/>
          <w:bCs/>
          <w:sz w:val="28"/>
          <w:szCs w:val="28"/>
        </w:rPr>
        <w:lastRenderedPageBreak/>
        <w:t>Table of Contents</w:t>
      </w:r>
    </w:p>
    <w:p w14:paraId="7A6302CB" w14:textId="498199B3" w:rsidR="009769F4" w:rsidRDefault="00E837DD">
      <w:pPr>
        <w:pStyle w:val="TOC1"/>
        <w:tabs>
          <w:tab w:val="right" w:leader="dot" w:pos="9350"/>
        </w:tabs>
        <w:rPr>
          <w:rFonts w:asciiTheme="minorHAnsi" w:hAnsiTheme="minorHAnsi" w:cstheme="minorBidi"/>
          <w:b w:val="0"/>
          <w:bCs w:val="0"/>
          <w:caps w:val="0"/>
          <w:noProof/>
          <w:kern w:val="0"/>
          <w:sz w:val="22"/>
          <w:szCs w:val="22"/>
          <w:lang w:val="en-US" w:eastAsia="en-US"/>
        </w:rPr>
      </w:pPr>
      <w:r w:rsidRPr="00C66B6C">
        <w:rPr>
          <w:rFonts w:cs="Times New Roman"/>
          <w:sz w:val="24"/>
          <w:szCs w:val="24"/>
        </w:rPr>
        <w:fldChar w:fldCharType="begin"/>
      </w:r>
      <w:r w:rsidRPr="005A0E39">
        <w:rPr>
          <w:rFonts w:cs="Times New Roman"/>
          <w:sz w:val="24"/>
          <w:szCs w:val="24"/>
        </w:rPr>
        <w:instrText xml:space="preserve"> TOC \o "1-3" \h \z \u </w:instrText>
      </w:r>
      <w:r w:rsidRPr="00C66B6C">
        <w:rPr>
          <w:rFonts w:cs="Times New Roman"/>
          <w:sz w:val="24"/>
          <w:szCs w:val="24"/>
        </w:rPr>
        <w:fldChar w:fldCharType="separate"/>
      </w:r>
      <w:hyperlink w:anchor="_Toc179490293" w:history="1">
        <w:r w:rsidR="009769F4" w:rsidRPr="002D5E01">
          <w:rPr>
            <w:rStyle w:val="Hyperlink"/>
            <w:noProof/>
          </w:rPr>
          <w:t>Foreword</w:t>
        </w:r>
        <w:r w:rsidR="009769F4">
          <w:rPr>
            <w:noProof/>
            <w:webHidden/>
          </w:rPr>
          <w:tab/>
        </w:r>
        <w:r w:rsidR="009769F4">
          <w:rPr>
            <w:noProof/>
            <w:webHidden/>
          </w:rPr>
          <w:fldChar w:fldCharType="begin"/>
        </w:r>
        <w:r w:rsidR="009769F4">
          <w:rPr>
            <w:noProof/>
            <w:webHidden/>
          </w:rPr>
          <w:instrText xml:space="preserve"> PAGEREF _Toc179490293 \h </w:instrText>
        </w:r>
        <w:r w:rsidR="009769F4">
          <w:rPr>
            <w:noProof/>
            <w:webHidden/>
          </w:rPr>
        </w:r>
        <w:r w:rsidR="009769F4">
          <w:rPr>
            <w:noProof/>
            <w:webHidden/>
          </w:rPr>
          <w:fldChar w:fldCharType="separate"/>
        </w:r>
        <w:r w:rsidR="00255242">
          <w:rPr>
            <w:noProof/>
            <w:webHidden/>
          </w:rPr>
          <w:t>vi</w:t>
        </w:r>
        <w:r w:rsidR="009769F4">
          <w:rPr>
            <w:noProof/>
            <w:webHidden/>
          </w:rPr>
          <w:fldChar w:fldCharType="end"/>
        </w:r>
      </w:hyperlink>
    </w:p>
    <w:p w14:paraId="436F129E" w14:textId="463C48AD"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4" w:history="1">
        <w:r w:rsidR="009769F4" w:rsidRPr="002D5E01">
          <w:rPr>
            <w:rStyle w:val="Hyperlink"/>
            <w:noProof/>
          </w:rPr>
          <w:t>Acknowledgements</w:t>
        </w:r>
        <w:r w:rsidR="009769F4">
          <w:rPr>
            <w:noProof/>
            <w:webHidden/>
          </w:rPr>
          <w:tab/>
        </w:r>
        <w:r w:rsidR="009769F4">
          <w:rPr>
            <w:noProof/>
            <w:webHidden/>
          </w:rPr>
          <w:fldChar w:fldCharType="begin"/>
        </w:r>
        <w:r w:rsidR="009769F4">
          <w:rPr>
            <w:noProof/>
            <w:webHidden/>
          </w:rPr>
          <w:instrText xml:space="preserve"> PAGEREF _Toc179490294 \h </w:instrText>
        </w:r>
        <w:r w:rsidR="009769F4">
          <w:rPr>
            <w:noProof/>
            <w:webHidden/>
          </w:rPr>
        </w:r>
        <w:r w:rsidR="009769F4">
          <w:rPr>
            <w:noProof/>
            <w:webHidden/>
          </w:rPr>
          <w:fldChar w:fldCharType="separate"/>
        </w:r>
        <w:r w:rsidR="00255242">
          <w:rPr>
            <w:noProof/>
            <w:webHidden/>
          </w:rPr>
          <w:t>vii</w:t>
        </w:r>
        <w:r w:rsidR="009769F4">
          <w:rPr>
            <w:noProof/>
            <w:webHidden/>
          </w:rPr>
          <w:fldChar w:fldCharType="end"/>
        </w:r>
      </w:hyperlink>
    </w:p>
    <w:p w14:paraId="172A0E65" w14:textId="173D71B3"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5" w:history="1">
        <w:r w:rsidR="009769F4" w:rsidRPr="002D5E01">
          <w:rPr>
            <w:rStyle w:val="Hyperlink"/>
            <w:noProof/>
          </w:rPr>
          <w:t>Executive Summary</w:t>
        </w:r>
        <w:r w:rsidR="009769F4">
          <w:rPr>
            <w:noProof/>
            <w:webHidden/>
          </w:rPr>
          <w:tab/>
        </w:r>
        <w:r w:rsidR="009769F4">
          <w:rPr>
            <w:noProof/>
            <w:webHidden/>
          </w:rPr>
          <w:fldChar w:fldCharType="begin"/>
        </w:r>
        <w:r w:rsidR="009769F4">
          <w:rPr>
            <w:noProof/>
            <w:webHidden/>
          </w:rPr>
          <w:instrText xml:space="preserve"> PAGEREF _Toc179490295 \h </w:instrText>
        </w:r>
        <w:r w:rsidR="009769F4">
          <w:rPr>
            <w:noProof/>
            <w:webHidden/>
          </w:rPr>
        </w:r>
        <w:r w:rsidR="009769F4">
          <w:rPr>
            <w:noProof/>
            <w:webHidden/>
          </w:rPr>
          <w:fldChar w:fldCharType="separate"/>
        </w:r>
        <w:r w:rsidR="00255242">
          <w:rPr>
            <w:noProof/>
            <w:webHidden/>
          </w:rPr>
          <w:t>ix</w:t>
        </w:r>
        <w:r w:rsidR="009769F4">
          <w:rPr>
            <w:noProof/>
            <w:webHidden/>
          </w:rPr>
          <w:fldChar w:fldCharType="end"/>
        </w:r>
      </w:hyperlink>
    </w:p>
    <w:p w14:paraId="4376E7BF" w14:textId="4326F539"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6" w:history="1">
        <w:r w:rsidR="009769F4" w:rsidRPr="002D5E01">
          <w:rPr>
            <w:rStyle w:val="Hyperlink"/>
            <w:noProof/>
          </w:rPr>
          <w:t>Abbreviations and Acronyms</w:t>
        </w:r>
        <w:r w:rsidR="009769F4">
          <w:rPr>
            <w:noProof/>
            <w:webHidden/>
          </w:rPr>
          <w:tab/>
        </w:r>
        <w:r w:rsidR="009769F4">
          <w:rPr>
            <w:noProof/>
            <w:webHidden/>
          </w:rPr>
          <w:fldChar w:fldCharType="begin"/>
        </w:r>
        <w:r w:rsidR="009769F4">
          <w:rPr>
            <w:noProof/>
            <w:webHidden/>
          </w:rPr>
          <w:instrText xml:space="preserve"> PAGEREF _Toc179490296 \h </w:instrText>
        </w:r>
        <w:r w:rsidR="009769F4">
          <w:rPr>
            <w:noProof/>
            <w:webHidden/>
          </w:rPr>
        </w:r>
        <w:r w:rsidR="009769F4">
          <w:rPr>
            <w:noProof/>
            <w:webHidden/>
          </w:rPr>
          <w:fldChar w:fldCharType="separate"/>
        </w:r>
        <w:r w:rsidR="00255242">
          <w:rPr>
            <w:noProof/>
            <w:webHidden/>
          </w:rPr>
          <w:t>x</w:t>
        </w:r>
        <w:r w:rsidR="009769F4">
          <w:rPr>
            <w:noProof/>
            <w:webHidden/>
          </w:rPr>
          <w:fldChar w:fldCharType="end"/>
        </w:r>
      </w:hyperlink>
    </w:p>
    <w:p w14:paraId="43A566EC" w14:textId="6505CB3D"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7" w:history="1">
        <w:r w:rsidR="009769F4" w:rsidRPr="002D5E01">
          <w:rPr>
            <w:rStyle w:val="Hyperlink"/>
            <w:noProof/>
          </w:rPr>
          <w:t>Introduction to the Ethiopian Medicine Formulary</w:t>
        </w:r>
        <w:r w:rsidR="009769F4">
          <w:rPr>
            <w:noProof/>
            <w:webHidden/>
          </w:rPr>
          <w:tab/>
        </w:r>
        <w:r w:rsidR="009769F4">
          <w:rPr>
            <w:noProof/>
            <w:webHidden/>
          </w:rPr>
          <w:fldChar w:fldCharType="begin"/>
        </w:r>
        <w:r w:rsidR="009769F4">
          <w:rPr>
            <w:noProof/>
            <w:webHidden/>
          </w:rPr>
          <w:instrText xml:space="preserve"> PAGEREF _Toc179490297 \h </w:instrText>
        </w:r>
        <w:r w:rsidR="009769F4">
          <w:rPr>
            <w:noProof/>
            <w:webHidden/>
          </w:rPr>
        </w:r>
        <w:r w:rsidR="009769F4">
          <w:rPr>
            <w:noProof/>
            <w:webHidden/>
          </w:rPr>
          <w:fldChar w:fldCharType="separate"/>
        </w:r>
        <w:r w:rsidR="00255242">
          <w:rPr>
            <w:noProof/>
            <w:webHidden/>
          </w:rPr>
          <w:t>1</w:t>
        </w:r>
        <w:r w:rsidR="009769F4">
          <w:rPr>
            <w:noProof/>
            <w:webHidden/>
          </w:rPr>
          <w:fldChar w:fldCharType="end"/>
        </w:r>
      </w:hyperlink>
    </w:p>
    <w:p w14:paraId="3B6A5216" w14:textId="455161D7"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8" w:history="1">
        <w:r w:rsidR="009769F4" w:rsidRPr="002D5E01">
          <w:rPr>
            <w:rStyle w:val="Hyperlink"/>
            <w:rFonts w:cs="Times New Roman"/>
            <w:noProof/>
          </w:rPr>
          <w:t>Background</w:t>
        </w:r>
        <w:r w:rsidR="009769F4">
          <w:rPr>
            <w:noProof/>
            <w:webHidden/>
          </w:rPr>
          <w:tab/>
        </w:r>
        <w:r w:rsidR="009769F4">
          <w:rPr>
            <w:noProof/>
            <w:webHidden/>
          </w:rPr>
          <w:fldChar w:fldCharType="begin"/>
        </w:r>
        <w:r w:rsidR="009769F4">
          <w:rPr>
            <w:noProof/>
            <w:webHidden/>
          </w:rPr>
          <w:instrText xml:space="preserve"> PAGEREF _Toc179490298 \h </w:instrText>
        </w:r>
        <w:r w:rsidR="009769F4">
          <w:rPr>
            <w:noProof/>
            <w:webHidden/>
          </w:rPr>
        </w:r>
        <w:r w:rsidR="009769F4">
          <w:rPr>
            <w:noProof/>
            <w:webHidden/>
          </w:rPr>
          <w:fldChar w:fldCharType="separate"/>
        </w:r>
        <w:r w:rsidR="00255242">
          <w:rPr>
            <w:noProof/>
            <w:webHidden/>
          </w:rPr>
          <w:t>3</w:t>
        </w:r>
        <w:r w:rsidR="009769F4">
          <w:rPr>
            <w:noProof/>
            <w:webHidden/>
          </w:rPr>
          <w:fldChar w:fldCharType="end"/>
        </w:r>
      </w:hyperlink>
    </w:p>
    <w:p w14:paraId="78DBF479" w14:textId="0DAF1389"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299" w:history="1">
        <w:r w:rsidR="009769F4" w:rsidRPr="002D5E01">
          <w:rPr>
            <w:rStyle w:val="Hyperlink"/>
            <w:rFonts w:cs="Times New Roman"/>
            <w:noProof/>
          </w:rPr>
          <w:t>Presentation of Information</w:t>
        </w:r>
        <w:r w:rsidR="009769F4">
          <w:rPr>
            <w:noProof/>
            <w:webHidden/>
          </w:rPr>
          <w:tab/>
        </w:r>
        <w:r w:rsidR="009769F4">
          <w:rPr>
            <w:noProof/>
            <w:webHidden/>
          </w:rPr>
          <w:fldChar w:fldCharType="begin"/>
        </w:r>
        <w:r w:rsidR="009769F4">
          <w:rPr>
            <w:noProof/>
            <w:webHidden/>
          </w:rPr>
          <w:instrText xml:space="preserve"> PAGEREF _Toc179490299 \h </w:instrText>
        </w:r>
        <w:r w:rsidR="009769F4">
          <w:rPr>
            <w:noProof/>
            <w:webHidden/>
          </w:rPr>
        </w:r>
        <w:r w:rsidR="009769F4">
          <w:rPr>
            <w:noProof/>
            <w:webHidden/>
          </w:rPr>
          <w:fldChar w:fldCharType="separate"/>
        </w:r>
        <w:r w:rsidR="00255242">
          <w:rPr>
            <w:noProof/>
            <w:webHidden/>
          </w:rPr>
          <w:t>6</w:t>
        </w:r>
        <w:r w:rsidR="009769F4">
          <w:rPr>
            <w:noProof/>
            <w:webHidden/>
          </w:rPr>
          <w:fldChar w:fldCharType="end"/>
        </w:r>
      </w:hyperlink>
    </w:p>
    <w:p w14:paraId="293EC809" w14:textId="11731C0B"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300" w:history="1">
        <w:r w:rsidR="009769F4" w:rsidRPr="002D5E01">
          <w:rPr>
            <w:rStyle w:val="Hyperlink"/>
            <w:rFonts w:cs="Times New Roman"/>
            <w:noProof/>
          </w:rPr>
          <w:t>Sources of Information</w:t>
        </w:r>
        <w:r w:rsidR="009769F4">
          <w:rPr>
            <w:noProof/>
            <w:webHidden/>
          </w:rPr>
          <w:tab/>
        </w:r>
        <w:r w:rsidR="009769F4">
          <w:rPr>
            <w:noProof/>
            <w:webHidden/>
          </w:rPr>
          <w:fldChar w:fldCharType="begin"/>
        </w:r>
        <w:r w:rsidR="009769F4">
          <w:rPr>
            <w:noProof/>
            <w:webHidden/>
          </w:rPr>
          <w:instrText xml:space="preserve"> PAGEREF _Toc179490300 \h </w:instrText>
        </w:r>
        <w:r w:rsidR="009769F4">
          <w:rPr>
            <w:noProof/>
            <w:webHidden/>
          </w:rPr>
        </w:r>
        <w:r w:rsidR="009769F4">
          <w:rPr>
            <w:noProof/>
            <w:webHidden/>
          </w:rPr>
          <w:fldChar w:fldCharType="separate"/>
        </w:r>
        <w:r w:rsidR="00255242">
          <w:rPr>
            <w:noProof/>
            <w:webHidden/>
          </w:rPr>
          <w:t>9</w:t>
        </w:r>
        <w:r w:rsidR="009769F4">
          <w:rPr>
            <w:noProof/>
            <w:webHidden/>
          </w:rPr>
          <w:fldChar w:fldCharType="end"/>
        </w:r>
      </w:hyperlink>
    </w:p>
    <w:p w14:paraId="688CC155" w14:textId="26CE5FA5" w:rsidR="009769F4" w:rsidRDefault="00EA5977">
      <w:pPr>
        <w:pStyle w:val="TOC1"/>
        <w:tabs>
          <w:tab w:val="right" w:leader="dot" w:pos="9350"/>
        </w:tabs>
        <w:rPr>
          <w:rFonts w:asciiTheme="minorHAnsi" w:hAnsiTheme="minorHAnsi" w:cstheme="minorBidi"/>
          <w:b w:val="0"/>
          <w:bCs w:val="0"/>
          <w:caps w:val="0"/>
          <w:noProof/>
          <w:kern w:val="0"/>
          <w:sz w:val="22"/>
          <w:szCs w:val="22"/>
          <w:lang w:val="en-US" w:eastAsia="en-US"/>
        </w:rPr>
      </w:pPr>
      <w:hyperlink w:anchor="_Toc179490301" w:history="1">
        <w:r w:rsidR="009769F4" w:rsidRPr="002D5E01">
          <w:rPr>
            <w:rStyle w:val="Hyperlink"/>
            <w:rFonts w:cs="Times New Roman"/>
            <w:noProof/>
          </w:rPr>
          <w:t>General Guidelines for Medicine Use</w:t>
        </w:r>
        <w:r w:rsidR="009769F4">
          <w:rPr>
            <w:noProof/>
            <w:webHidden/>
          </w:rPr>
          <w:tab/>
        </w:r>
        <w:r w:rsidR="009769F4">
          <w:rPr>
            <w:noProof/>
            <w:webHidden/>
          </w:rPr>
          <w:fldChar w:fldCharType="begin"/>
        </w:r>
        <w:r w:rsidR="009769F4">
          <w:rPr>
            <w:noProof/>
            <w:webHidden/>
          </w:rPr>
          <w:instrText xml:space="preserve"> PAGEREF _Toc179490301 \h </w:instrText>
        </w:r>
        <w:r w:rsidR="009769F4">
          <w:rPr>
            <w:noProof/>
            <w:webHidden/>
          </w:rPr>
        </w:r>
        <w:r w:rsidR="009769F4">
          <w:rPr>
            <w:noProof/>
            <w:webHidden/>
          </w:rPr>
          <w:fldChar w:fldCharType="separate"/>
        </w:r>
        <w:r w:rsidR="00255242">
          <w:rPr>
            <w:noProof/>
            <w:webHidden/>
          </w:rPr>
          <w:t>10</w:t>
        </w:r>
        <w:r w:rsidR="009769F4">
          <w:rPr>
            <w:noProof/>
            <w:webHidden/>
          </w:rPr>
          <w:fldChar w:fldCharType="end"/>
        </w:r>
      </w:hyperlink>
    </w:p>
    <w:p w14:paraId="7AE1BF54" w14:textId="3C95F8F5"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02" w:history="1">
        <w:r w:rsidR="009769F4" w:rsidRPr="002D5E01">
          <w:rPr>
            <w:rStyle w:val="Hyperlink"/>
            <w:noProof/>
          </w:rPr>
          <w:t>1.</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Gastrointestinal System Medicines</w:t>
        </w:r>
        <w:r w:rsidR="009769F4">
          <w:rPr>
            <w:noProof/>
            <w:webHidden/>
          </w:rPr>
          <w:tab/>
        </w:r>
        <w:r w:rsidR="009769F4">
          <w:rPr>
            <w:noProof/>
            <w:webHidden/>
          </w:rPr>
          <w:fldChar w:fldCharType="begin"/>
        </w:r>
        <w:r w:rsidR="009769F4">
          <w:rPr>
            <w:noProof/>
            <w:webHidden/>
          </w:rPr>
          <w:instrText xml:space="preserve"> PAGEREF _Toc179490302 \h </w:instrText>
        </w:r>
        <w:r w:rsidR="009769F4">
          <w:rPr>
            <w:noProof/>
            <w:webHidden/>
          </w:rPr>
        </w:r>
        <w:r w:rsidR="009769F4">
          <w:rPr>
            <w:noProof/>
            <w:webHidden/>
          </w:rPr>
          <w:fldChar w:fldCharType="separate"/>
        </w:r>
        <w:r w:rsidR="00255242">
          <w:rPr>
            <w:noProof/>
            <w:webHidden/>
          </w:rPr>
          <w:t>12</w:t>
        </w:r>
        <w:r w:rsidR="009769F4">
          <w:rPr>
            <w:noProof/>
            <w:webHidden/>
          </w:rPr>
          <w:fldChar w:fldCharType="end"/>
        </w:r>
      </w:hyperlink>
    </w:p>
    <w:p w14:paraId="4175F778" w14:textId="25D42145"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3" w:history="1">
        <w:r w:rsidR="009769F4" w:rsidRPr="002D5E01">
          <w:rPr>
            <w:rStyle w:val="Hyperlink"/>
            <w:noProof/>
          </w:rPr>
          <w:t>Antacids and anti-flatulent agents</w:t>
        </w:r>
        <w:r w:rsidR="009769F4">
          <w:rPr>
            <w:noProof/>
            <w:webHidden/>
          </w:rPr>
          <w:tab/>
        </w:r>
        <w:r w:rsidR="009769F4">
          <w:rPr>
            <w:noProof/>
            <w:webHidden/>
          </w:rPr>
          <w:fldChar w:fldCharType="begin"/>
        </w:r>
        <w:r w:rsidR="009769F4">
          <w:rPr>
            <w:noProof/>
            <w:webHidden/>
          </w:rPr>
          <w:instrText xml:space="preserve"> PAGEREF _Toc179490303 \h </w:instrText>
        </w:r>
        <w:r w:rsidR="009769F4">
          <w:rPr>
            <w:noProof/>
            <w:webHidden/>
          </w:rPr>
        </w:r>
        <w:r w:rsidR="009769F4">
          <w:rPr>
            <w:noProof/>
            <w:webHidden/>
          </w:rPr>
          <w:fldChar w:fldCharType="separate"/>
        </w:r>
        <w:r w:rsidR="00255242">
          <w:rPr>
            <w:noProof/>
            <w:webHidden/>
          </w:rPr>
          <w:t>12</w:t>
        </w:r>
        <w:r w:rsidR="009769F4">
          <w:rPr>
            <w:noProof/>
            <w:webHidden/>
          </w:rPr>
          <w:fldChar w:fldCharType="end"/>
        </w:r>
      </w:hyperlink>
    </w:p>
    <w:p w14:paraId="65A39D78" w14:textId="4DC1A757"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4" w:history="1">
        <w:r w:rsidR="009769F4" w:rsidRPr="002D5E01">
          <w:rPr>
            <w:rStyle w:val="Hyperlink"/>
            <w:noProof/>
          </w:rPr>
          <w:t>Antiulcer medicines</w:t>
        </w:r>
        <w:r w:rsidR="009769F4">
          <w:rPr>
            <w:noProof/>
            <w:webHidden/>
          </w:rPr>
          <w:tab/>
        </w:r>
        <w:r w:rsidR="009769F4">
          <w:rPr>
            <w:noProof/>
            <w:webHidden/>
          </w:rPr>
          <w:fldChar w:fldCharType="begin"/>
        </w:r>
        <w:r w:rsidR="009769F4">
          <w:rPr>
            <w:noProof/>
            <w:webHidden/>
          </w:rPr>
          <w:instrText xml:space="preserve"> PAGEREF _Toc179490304 \h </w:instrText>
        </w:r>
        <w:r w:rsidR="009769F4">
          <w:rPr>
            <w:noProof/>
            <w:webHidden/>
          </w:rPr>
        </w:r>
        <w:r w:rsidR="009769F4">
          <w:rPr>
            <w:noProof/>
            <w:webHidden/>
          </w:rPr>
          <w:fldChar w:fldCharType="separate"/>
        </w:r>
        <w:r w:rsidR="00255242">
          <w:rPr>
            <w:noProof/>
            <w:webHidden/>
          </w:rPr>
          <w:t>14</w:t>
        </w:r>
        <w:r w:rsidR="009769F4">
          <w:rPr>
            <w:noProof/>
            <w:webHidden/>
          </w:rPr>
          <w:fldChar w:fldCharType="end"/>
        </w:r>
      </w:hyperlink>
    </w:p>
    <w:p w14:paraId="50DCED7E" w14:textId="688BC8B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5" w:history="1">
        <w:r w:rsidR="009769F4" w:rsidRPr="002D5E01">
          <w:rPr>
            <w:rStyle w:val="Hyperlink"/>
            <w:noProof/>
          </w:rPr>
          <w:t>Medicines for upper gastro-intestinal bleeding</w:t>
        </w:r>
        <w:r w:rsidR="009769F4">
          <w:rPr>
            <w:noProof/>
            <w:webHidden/>
          </w:rPr>
          <w:tab/>
        </w:r>
        <w:r w:rsidR="009769F4">
          <w:rPr>
            <w:noProof/>
            <w:webHidden/>
          </w:rPr>
          <w:fldChar w:fldCharType="begin"/>
        </w:r>
        <w:r w:rsidR="009769F4">
          <w:rPr>
            <w:noProof/>
            <w:webHidden/>
          </w:rPr>
          <w:instrText xml:space="preserve"> PAGEREF _Toc179490305 \h </w:instrText>
        </w:r>
        <w:r w:rsidR="009769F4">
          <w:rPr>
            <w:noProof/>
            <w:webHidden/>
          </w:rPr>
        </w:r>
        <w:r w:rsidR="009769F4">
          <w:rPr>
            <w:noProof/>
            <w:webHidden/>
          </w:rPr>
          <w:fldChar w:fldCharType="separate"/>
        </w:r>
        <w:r w:rsidR="00255242">
          <w:rPr>
            <w:noProof/>
            <w:webHidden/>
          </w:rPr>
          <w:t>22</w:t>
        </w:r>
        <w:r w:rsidR="009769F4">
          <w:rPr>
            <w:noProof/>
            <w:webHidden/>
          </w:rPr>
          <w:fldChar w:fldCharType="end"/>
        </w:r>
      </w:hyperlink>
    </w:p>
    <w:p w14:paraId="468FE000" w14:textId="02CBE195"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6" w:history="1">
        <w:r w:rsidR="009769F4" w:rsidRPr="002D5E01">
          <w:rPr>
            <w:rStyle w:val="Hyperlink"/>
            <w:noProof/>
          </w:rPr>
          <w:t>Antispasmodics</w:t>
        </w:r>
        <w:r w:rsidR="009769F4">
          <w:rPr>
            <w:noProof/>
            <w:webHidden/>
          </w:rPr>
          <w:tab/>
        </w:r>
        <w:r w:rsidR="009769F4">
          <w:rPr>
            <w:noProof/>
            <w:webHidden/>
          </w:rPr>
          <w:fldChar w:fldCharType="begin"/>
        </w:r>
        <w:r w:rsidR="009769F4">
          <w:rPr>
            <w:noProof/>
            <w:webHidden/>
          </w:rPr>
          <w:instrText xml:space="preserve"> PAGEREF _Toc179490306 \h </w:instrText>
        </w:r>
        <w:r w:rsidR="009769F4">
          <w:rPr>
            <w:noProof/>
            <w:webHidden/>
          </w:rPr>
        </w:r>
        <w:r w:rsidR="009769F4">
          <w:rPr>
            <w:noProof/>
            <w:webHidden/>
          </w:rPr>
          <w:fldChar w:fldCharType="separate"/>
        </w:r>
        <w:r w:rsidR="00255242">
          <w:rPr>
            <w:noProof/>
            <w:webHidden/>
          </w:rPr>
          <w:t>25</w:t>
        </w:r>
        <w:r w:rsidR="009769F4">
          <w:rPr>
            <w:noProof/>
            <w:webHidden/>
          </w:rPr>
          <w:fldChar w:fldCharType="end"/>
        </w:r>
      </w:hyperlink>
    </w:p>
    <w:p w14:paraId="1891490D" w14:textId="3F7D06F7"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7" w:history="1">
        <w:r w:rsidR="009769F4" w:rsidRPr="002D5E01">
          <w:rPr>
            <w:rStyle w:val="Hyperlink"/>
            <w:noProof/>
          </w:rPr>
          <w:t>Antiemetics</w:t>
        </w:r>
        <w:r w:rsidR="009769F4">
          <w:rPr>
            <w:noProof/>
            <w:webHidden/>
          </w:rPr>
          <w:tab/>
        </w:r>
        <w:r w:rsidR="009769F4">
          <w:rPr>
            <w:noProof/>
            <w:webHidden/>
          </w:rPr>
          <w:fldChar w:fldCharType="begin"/>
        </w:r>
        <w:r w:rsidR="009769F4">
          <w:rPr>
            <w:noProof/>
            <w:webHidden/>
          </w:rPr>
          <w:instrText xml:space="preserve"> PAGEREF _Toc179490307 \h </w:instrText>
        </w:r>
        <w:r w:rsidR="009769F4">
          <w:rPr>
            <w:noProof/>
            <w:webHidden/>
          </w:rPr>
        </w:r>
        <w:r w:rsidR="009769F4">
          <w:rPr>
            <w:noProof/>
            <w:webHidden/>
          </w:rPr>
          <w:fldChar w:fldCharType="separate"/>
        </w:r>
        <w:r w:rsidR="00255242">
          <w:rPr>
            <w:noProof/>
            <w:webHidden/>
          </w:rPr>
          <w:t>28</w:t>
        </w:r>
        <w:r w:rsidR="009769F4">
          <w:rPr>
            <w:noProof/>
            <w:webHidden/>
          </w:rPr>
          <w:fldChar w:fldCharType="end"/>
        </w:r>
      </w:hyperlink>
    </w:p>
    <w:p w14:paraId="18AC4487" w14:textId="05E1B7F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8" w:history="1">
        <w:r w:rsidR="009769F4" w:rsidRPr="002D5E01">
          <w:rPr>
            <w:rStyle w:val="Hyperlink"/>
            <w:noProof/>
          </w:rPr>
          <w:t>Laxatives and cathartics</w:t>
        </w:r>
        <w:r w:rsidR="009769F4">
          <w:rPr>
            <w:noProof/>
            <w:webHidden/>
          </w:rPr>
          <w:tab/>
        </w:r>
        <w:r w:rsidR="009769F4">
          <w:rPr>
            <w:noProof/>
            <w:webHidden/>
          </w:rPr>
          <w:fldChar w:fldCharType="begin"/>
        </w:r>
        <w:r w:rsidR="009769F4">
          <w:rPr>
            <w:noProof/>
            <w:webHidden/>
          </w:rPr>
          <w:instrText xml:space="preserve"> PAGEREF _Toc179490308 \h </w:instrText>
        </w:r>
        <w:r w:rsidR="009769F4">
          <w:rPr>
            <w:noProof/>
            <w:webHidden/>
          </w:rPr>
        </w:r>
        <w:r w:rsidR="009769F4">
          <w:rPr>
            <w:noProof/>
            <w:webHidden/>
          </w:rPr>
          <w:fldChar w:fldCharType="separate"/>
        </w:r>
        <w:r w:rsidR="00255242">
          <w:rPr>
            <w:noProof/>
            <w:webHidden/>
          </w:rPr>
          <w:t>37</w:t>
        </w:r>
        <w:r w:rsidR="009769F4">
          <w:rPr>
            <w:noProof/>
            <w:webHidden/>
          </w:rPr>
          <w:fldChar w:fldCharType="end"/>
        </w:r>
      </w:hyperlink>
    </w:p>
    <w:p w14:paraId="23CDA97D" w14:textId="3D64DDC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09" w:history="1">
        <w:r w:rsidR="009769F4" w:rsidRPr="002D5E01">
          <w:rPr>
            <w:rStyle w:val="Hyperlink"/>
            <w:noProof/>
          </w:rPr>
          <w:t>Medicines used in diarrhea</w:t>
        </w:r>
        <w:r w:rsidR="009769F4">
          <w:rPr>
            <w:noProof/>
            <w:webHidden/>
          </w:rPr>
          <w:tab/>
        </w:r>
        <w:r w:rsidR="009769F4">
          <w:rPr>
            <w:noProof/>
            <w:webHidden/>
          </w:rPr>
          <w:fldChar w:fldCharType="begin"/>
        </w:r>
        <w:r w:rsidR="009769F4">
          <w:rPr>
            <w:noProof/>
            <w:webHidden/>
          </w:rPr>
          <w:instrText xml:space="preserve"> PAGEREF _Toc179490309 \h </w:instrText>
        </w:r>
        <w:r w:rsidR="009769F4">
          <w:rPr>
            <w:noProof/>
            <w:webHidden/>
          </w:rPr>
        </w:r>
        <w:r w:rsidR="009769F4">
          <w:rPr>
            <w:noProof/>
            <w:webHidden/>
          </w:rPr>
          <w:fldChar w:fldCharType="separate"/>
        </w:r>
        <w:r w:rsidR="00255242">
          <w:rPr>
            <w:noProof/>
            <w:webHidden/>
          </w:rPr>
          <w:t>41</w:t>
        </w:r>
        <w:r w:rsidR="009769F4">
          <w:rPr>
            <w:noProof/>
            <w:webHidden/>
          </w:rPr>
          <w:fldChar w:fldCharType="end"/>
        </w:r>
      </w:hyperlink>
    </w:p>
    <w:p w14:paraId="23EBEDF7" w14:textId="020CE58E"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0" w:history="1">
        <w:r w:rsidR="009769F4" w:rsidRPr="002D5E01">
          <w:rPr>
            <w:rStyle w:val="Hyperlink"/>
            <w:noProof/>
          </w:rPr>
          <w:t>Medicines used for hemorrhoids</w:t>
        </w:r>
        <w:r w:rsidR="009769F4">
          <w:rPr>
            <w:noProof/>
            <w:webHidden/>
          </w:rPr>
          <w:tab/>
        </w:r>
        <w:r w:rsidR="009769F4">
          <w:rPr>
            <w:noProof/>
            <w:webHidden/>
          </w:rPr>
          <w:fldChar w:fldCharType="begin"/>
        </w:r>
        <w:r w:rsidR="009769F4">
          <w:rPr>
            <w:noProof/>
            <w:webHidden/>
          </w:rPr>
          <w:instrText xml:space="preserve"> PAGEREF _Toc179490310 \h </w:instrText>
        </w:r>
        <w:r w:rsidR="009769F4">
          <w:rPr>
            <w:noProof/>
            <w:webHidden/>
          </w:rPr>
        </w:r>
        <w:r w:rsidR="009769F4">
          <w:rPr>
            <w:noProof/>
            <w:webHidden/>
          </w:rPr>
          <w:fldChar w:fldCharType="separate"/>
        </w:r>
        <w:r w:rsidR="00255242">
          <w:rPr>
            <w:noProof/>
            <w:webHidden/>
          </w:rPr>
          <w:t>46</w:t>
        </w:r>
        <w:r w:rsidR="009769F4">
          <w:rPr>
            <w:noProof/>
            <w:webHidden/>
          </w:rPr>
          <w:fldChar w:fldCharType="end"/>
        </w:r>
      </w:hyperlink>
    </w:p>
    <w:p w14:paraId="2D14D022" w14:textId="7D479A1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1" w:history="1">
        <w:r w:rsidR="009769F4" w:rsidRPr="002D5E01">
          <w:rPr>
            <w:rStyle w:val="Hyperlink"/>
            <w:noProof/>
          </w:rPr>
          <w:t>Medicines used for inflammatory bowel disease</w:t>
        </w:r>
        <w:r w:rsidR="009769F4">
          <w:rPr>
            <w:noProof/>
            <w:webHidden/>
          </w:rPr>
          <w:tab/>
        </w:r>
        <w:r w:rsidR="009769F4">
          <w:rPr>
            <w:noProof/>
            <w:webHidden/>
          </w:rPr>
          <w:fldChar w:fldCharType="begin"/>
        </w:r>
        <w:r w:rsidR="009769F4">
          <w:rPr>
            <w:noProof/>
            <w:webHidden/>
          </w:rPr>
          <w:instrText xml:space="preserve"> PAGEREF _Toc179490311 \h </w:instrText>
        </w:r>
        <w:r w:rsidR="009769F4">
          <w:rPr>
            <w:noProof/>
            <w:webHidden/>
          </w:rPr>
        </w:r>
        <w:r w:rsidR="009769F4">
          <w:rPr>
            <w:noProof/>
            <w:webHidden/>
          </w:rPr>
          <w:fldChar w:fldCharType="separate"/>
        </w:r>
        <w:r w:rsidR="00255242">
          <w:rPr>
            <w:noProof/>
            <w:webHidden/>
          </w:rPr>
          <w:t>48</w:t>
        </w:r>
        <w:r w:rsidR="009769F4">
          <w:rPr>
            <w:noProof/>
            <w:webHidden/>
          </w:rPr>
          <w:fldChar w:fldCharType="end"/>
        </w:r>
      </w:hyperlink>
    </w:p>
    <w:p w14:paraId="1281730F" w14:textId="701415F1"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12" w:history="1">
        <w:r w:rsidR="009769F4" w:rsidRPr="002D5E01">
          <w:rPr>
            <w:rStyle w:val="Hyperlink"/>
            <w:noProof/>
          </w:rPr>
          <w:t>2.</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Cardiovascular Medicines</w:t>
        </w:r>
        <w:r w:rsidR="009769F4">
          <w:rPr>
            <w:noProof/>
            <w:webHidden/>
          </w:rPr>
          <w:tab/>
        </w:r>
        <w:r w:rsidR="009769F4">
          <w:rPr>
            <w:noProof/>
            <w:webHidden/>
          </w:rPr>
          <w:fldChar w:fldCharType="begin"/>
        </w:r>
        <w:r w:rsidR="009769F4">
          <w:rPr>
            <w:noProof/>
            <w:webHidden/>
          </w:rPr>
          <w:instrText xml:space="preserve"> PAGEREF _Toc179490312 \h </w:instrText>
        </w:r>
        <w:r w:rsidR="009769F4">
          <w:rPr>
            <w:noProof/>
            <w:webHidden/>
          </w:rPr>
        </w:r>
        <w:r w:rsidR="009769F4">
          <w:rPr>
            <w:noProof/>
            <w:webHidden/>
          </w:rPr>
          <w:fldChar w:fldCharType="separate"/>
        </w:r>
        <w:r w:rsidR="00255242">
          <w:rPr>
            <w:noProof/>
            <w:webHidden/>
          </w:rPr>
          <w:t>53</w:t>
        </w:r>
        <w:r w:rsidR="009769F4">
          <w:rPr>
            <w:noProof/>
            <w:webHidden/>
          </w:rPr>
          <w:fldChar w:fldCharType="end"/>
        </w:r>
      </w:hyperlink>
    </w:p>
    <w:p w14:paraId="0B27BD9A" w14:textId="41CEC3B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3" w:history="1">
        <w:r w:rsidR="009769F4" w:rsidRPr="002D5E01">
          <w:rPr>
            <w:rStyle w:val="Hyperlink"/>
            <w:noProof/>
          </w:rPr>
          <w:t>Medicines for heart failure</w:t>
        </w:r>
        <w:r w:rsidR="009769F4">
          <w:rPr>
            <w:noProof/>
            <w:webHidden/>
          </w:rPr>
          <w:tab/>
        </w:r>
        <w:r w:rsidR="009769F4">
          <w:rPr>
            <w:noProof/>
            <w:webHidden/>
          </w:rPr>
          <w:fldChar w:fldCharType="begin"/>
        </w:r>
        <w:r w:rsidR="009769F4">
          <w:rPr>
            <w:noProof/>
            <w:webHidden/>
          </w:rPr>
          <w:instrText xml:space="preserve"> PAGEREF _Toc179490313 \h </w:instrText>
        </w:r>
        <w:r w:rsidR="009769F4">
          <w:rPr>
            <w:noProof/>
            <w:webHidden/>
          </w:rPr>
        </w:r>
        <w:r w:rsidR="009769F4">
          <w:rPr>
            <w:noProof/>
            <w:webHidden/>
          </w:rPr>
          <w:fldChar w:fldCharType="separate"/>
        </w:r>
        <w:r w:rsidR="00255242">
          <w:rPr>
            <w:noProof/>
            <w:webHidden/>
          </w:rPr>
          <w:t>53</w:t>
        </w:r>
        <w:r w:rsidR="009769F4">
          <w:rPr>
            <w:noProof/>
            <w:webHidden/>
          </w:rPr>
          <w:fldChar w:fldCharType="end"/>
        </w:r>
      </w:hyperlink>
    </w:p>
    <w:p w14:paraId="0EA16470" w14:textId="55AB5B4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4" w:history="1">
        <w:r w:rsidR="009769F4" w:rsidRPr="002D5E01">
          <w:rPr>
            <w:rStyle w:val="Hyperlink"/>
            <w:noProof/>
          </w:rPr>
          <w:t>Antiarrhythmics</w:t>
        </w:r>
        <w:r w:rsidR="009769F4">
          <w:rPr>
            <w:noProof/>
            <w:webHidden/>
          </w:rPr>
          <w:tab/>
        </w:r>
        <w:r w:rsidR="009769F4">
          <w:rPr>
            <w:noProof/>
            <w:webHidden/>
          </w:rPr>
          <w:fldChar w:fldCharType="begin"/>
        </w:r>
        <w:r w:rsidR="009769F4">
          <w:rPr>
            <w:noProof/>
            <w:webHidden/>
          </w:rPr>
          <w:instrText xml:space="preserve"> PAGEREF _Toc179490314 \h </w:instrText>
        </w:r>
        <w:r w:rsidR="009769F4">
          <w:rPr>
            <w:noProof/>
            <w:webHidden/>
          </w:rPr>
        </w:r>
        <w:r w:rsidR="009769F4">
          <w:rPr>
            <w:noProof/>
            <w:webHidden/>
          </w:rPr>
          <w:fldChar w:fldCharType="separate"/>
        </w:r>
        <w:r w:rsidR="00255242">
          <w:rPr>
            <w:noProof/>
            <w:webHidden/>
          </w:rPr>
          <w:t>73</w:t>
        </w:r>
        <w:r w:rsidR="009769F4">
          <w:rPr>
            <w:noProof/>
            <w:webHidden/>
          </w:rPr>
          <w:fldChar w:fldCharType="end"/>
        </w:r>
      </w:hyperlink>
    </w:p>
    <w:p w14:paraId="6096C599" w14:textId="2737BBC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5" w:history="1">
        <w:r w:rsidR="009769F4" w:rsidRPr="002D5E01">
          <w:rPr>
            <w:rStyle w:val="Hyperlink"/>
            <w:noProof/>
          </w:rPr>
          <w:t>Antihypertensive medicines</w:t>
        </w:r>
        <w:r w:rsidR="009769F4">
          <w:rPr>
            <w:noProof/>
            <w:webHidden/>
          </w:rPr>
          <w:tab/>
        </w:r>
        <w:r w:rsidR="009769F4">
          <w:rPr>
            <w:noProof/>
            <w:webHidden/>
          </w:rPr>
          <w:fldChar w:fldCharType="begin"/>
        </w:r>
        <w:r w:rsidR="009769F4">
          <w:rPr>
            <w:noProof/>
            <w:webHidden/>
          </w:rPr>
          <w:instrText xml:space="preserve"> PAGEREF _Toc179490315 \h </w:instrText>
        </w:r>
        <w:r w:rsidR="009769F4">
          <w:rPr>
            <w:noProof/>
            <w:webHidden/>
          </w:rPr>
        </w:r>
        <w:r w:rsidR="009769F4">
          <w:rPr>
            <w:noProof/>
            <w:webHidden/>
          </w:rPr>
          <w:fldChar w:fldCharType="separate"/>
        </w:r>
        <w:r w:rsidR="00255242">
          <w:rPr>
            <w:noProof/>
            <w:webHidden/>
          </w:rPr>
          <w:t>89</w:t>
        </w:r>
        <w:r w:rsidR="009769F4">
          <w:rPr>
            <w:noProof/>
            <w:webHidden/>
          </w:rPr>
          <w:fldChar w:fldCharType="end"/>
        </w:r>
      </w:hyperlink>
    </w:p>
    <w:p w14:paraId="13275F2B" w14:textId="55DF8A3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6" w:history="1">
        <w:r w:rsidR="009769F4" w:rsidRPr="002D5E01">
          <w:rPr>
            <w:rStyle w:val="Hyperlink"/>
            <w:noProof/>
          </w:rPr>
          <w:t>Diuretics</w:t>
        </w:r>
        <w:r w:rsidR="009769F4">
          <w:rPr>
            <w:noProof/>
            <w:webHidden/>
          </w:rPr>
          <w:tab/>
        </w:r>
        <w:r w:rsidR="009769F4">
          <w:rPr>
            <w:noProof/>
            <w:webHidden/>
          </w:rPr>
          <w:fldChar w:fldCharType="begin"/>
        </w:r>
        <w:r w:rsidR="009769F4">
          <w:rPr>
            <w:noProof/>
            <w:webHidden/>
          </w:rPr>
          <w:instrText xml:space="preserve"> PAGEREF _Toc179490316 \h </w:instrText>
        </w:r>
        <w:r w:rsidR="009769F4">
          <w:rPr>
            <w:noProof/>
            <w:webHidden/>
          </w:rPr>
        </w:r>
        <w:r w:rsidR="009769F4">
          <w:rPr>
            <w:noProof/>
            <w:webHidden/>
          </w:rPr>
          <w:fldChar w:fldCharType="separate"/>
        </w:r>
        <w:r w:rsidR="00255242">
          <w:rPr>
            <w:noProof/>
            <w:webHidden/>
          </w:rPr>
          <w:t>102</w:t>
        </w:r>
        <w:r w:rsidR="009769F4">
          <w:rPr>
            <w:noProof/>
            <w:webHidden/>
          </w:rPr>
          <w:fldChar w:fldCharType="end"/>
        </w:r>
      </w:hyperlink>
    </w:p>
    <w:p w14:paraId="687AAD44" w14:textId="16E8C77E"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7" w:history="1">
        <w:r w:rsidR="009769F4" w:rsidRPr="002D5E01">
          <w:rPr>
            <w:rStyle w:val="Hyperlink"/>
            <w:noProof/>
          </w:rPr>
          <w:t>Medicines used for angina/Ischemic heart disease</w:t>
        </w:r>
        <w:r w:rsidR="009769F4">
          <w:rPr>
            <w:noProof/>
            <w:webHidden/>
          </w:rPr>
          <w:tab/>
        </w:r>
        <w:r w:rsidR="009769F4">
          <w:rPr>
            <w:noProof/>
            <w:webHidden/>
          </w:rPr>
          <w:fldChar w:fldCharType="begin"/>
        </w:r>
        <w:r w:rsidR="009769F4">
          <w:rPr>
            <w:noProof/>
            <w:webHidden/>
          </w:rPr>
          <w:instrText xml:space="preserve"> PAGEREF _Toc179490317 \h </w:instrText>
        </w:r>
        <w:r w:rsidR="009769F4">
          <w:rPr>
            <w:noProof/>
            <w:webHidden/>
          </w:rPr>
        </w:r>
        <w:r w:rsidR="009769F4">
          <w:rPr>
            <w:noProof/>
            <w:webHidden/>
          </w:rPr>
          <w:fldChar w:fldCharType="separate"/>
        </w:r>
        <w:r w:rsidR="00255242">
          <w:rPr>
            <w:noProof/>
            <w:webHidden/>
          </w:rPr>
          <w:t>106</w:t>
        </w:r>
        <w:r w:rsidR="009769F4">
          <w:rPr>
            <w:noProof/>
            <w:webHidden/>
          </w:rPr>
          <w:fldChar w:fldCharType="end"/>
        </w:r>
      </w:hyperlink>
    </w:p>
    <w:p w14:paraId="4555EFD5" w14:textId="758252BF"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8" w:history="1">
        <w:r w:rsidR="009769F4" w:rsidRPr="002D5E01">
          <w:rPr>
            <w:rStyle w:val="Hyperlink"/>
            <w:noProof/>
          </w:rPr>
          <w:t>Medicine used for vascular shock</w:t>
        </w:r>
        <w:r w:rsidR="009769F4">
          <w:rPr>
            <w:noProof/>
            <w:webHidden/>
          </w:rPr>
          <w:tab/>
        </w:r>
        <w:r w:rsidR="009769F4">
          <w:rPr>
            <w:noProof/>
            <w:webHidden/>
          </w:rPr>
          <w:fldChar w:fldCharType="begin"/>
        </w:r>
        <w:r w:rsidR="009769F4">
          <w:rPr>
            <w:noProof/>
            <w:webHidden/>
          </w:rPr>
          <w:instrText xml:space="preserve"> PAGEREF _Toc179490318 \h </w:instrText>
        </w:r>
        <w:r w:rsidR="009769F4">
          <w:rPr>
            <w:noProof/>
            <w:webHidden/>
          </w:rPr>
        </w:r>
        <w:r w:rsidR="009769F4">
          <w:rPr>
            <w:noProof/>
            <w:webHidden/>
          </w:rPr>
          <w:fldChar w:fldCharType="separate"/>
        </w:r>
        <w:r w:rsidR="00255242">
          <w:rPr>
            <w:noProof/>
            <w:webHidden/>
          </w:rPr>
          <w:t>113</w:t>
        </w:r>
        <w:r w:rsidR="009769F4">
          <w:rPr>
            <w:noProof/>
            <w:webHidden/>
          </w:rPr>
          <w:fldChar w:fldCharType="end"/>
        </w:r>
      </w:hyperlink>
    </w:p>
    <w:p w14:paraId="0CDE87F6" w14:textId="4F9E8D41"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19" w:history="1">
        <w:r w:rsidR="009769F4" w:rsidRPr="002D5E01">
          <w:rPr>
            <w:rStyle w:val="Hyperlink"/>
            <w:noProof/>
          </w:rPr>
          <w:t>Medicines used for pulmonary hypertension</w:t>
        </w:r>
        <w:r w:rsidR="009769F4">
          <w:rPr>
            <w:noProof/>
            <w:webHidden/>
          </w:rPr>
          <w:tab/>
        </w:r>
        <w:r w:rsidR="009769F4">
          <w:rPr>
            <w:noProof/>
            <w:webHidden/>
          </w:rPr>
          <w:fldChar w:fldCharType="begin"/>
        </w:r>
        <w:r w:rsidR="009769F4">
          <w:rPr>
            <w:noProof/>
            <w:webHidden/>
          </w:rPr>
          <w:instrText xml:space="preserve"> PAGEREF _Toc179490319 \h </w:instrText>
        </w:r>
        <w:r w:rsidR="009769F4">
          <w:rPr>
            <w:noProof/>
            <w:webHidden/>
          </w:rPr>
        </w:r>
        <w:r w:rsidR="009769F4">
          <w:rPr>
            <w:noProof/>
            <w:webHidden/>
          </w:rPr>
          <w:fldChar w:fldCharType="separate"/>
        </w:r>
        <w:r w:rsidR="00255242">
          <w:rPr>
            <w:noProof/>
            <w:webHidden/>
          </w:rPr>
          <w:t>118</w:t>
        </w:r>
        <w:r w:rsidR="009769F4">
          <w:rPr>
            <w:noProof/>
            <w:webHidden/>
          </w:rPr>
          <w:fldChar w:fldCharType="end"/>
        </w:r>
      </w:hyperlink>
    </w:p>
    <w:p w14:paraId="5012AA14" w14:textId="14A2BDAA"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0" w:history="1">
        <w:r w:rsidR="009769F4" w:rsidRPr="002D5E01">
          <w:rPr>
            <w:rStyle w:val="Hyperlink"/>
            <w:noProof/>
          </w:rPr>
          <w:t>Lipid lowering agents</w:t>
        </w:r>
        <w:r w:rsidR="009769F4">
          <w:rPr>
            <w:noProof/>
            <w:webHidden/>
          </w:rPr>
          <w:tab/>
        </w:r>
        <w:r w:rsidR="009769F4">
          <w:rPr>
            <w:noProof/>
            <w:webHidden/>
          </w:rPr>
          <w:fldChar w:fldCharType="begin"/>
        </w:r>
        <w:r w:rsidR="009769F4">
          <w:rPr>
            <w:noProof/>
            <w:webHidden/>
          </w:rPr>
          <w:instrText xml:space="preserve"> PAGEREF _Toc179490320 \h </w:instrText>
        </w:r>
        <w:r w:rsidR="009769F4">
          <w:rPr>
            <w:noProof/>
            <w:webHidden/>
          </w:rPr>
        </w:r>
        <w:r w:rsidR="009769F4">
          <w:rPr>
            <w:noProof/>
            <w:webHidden/>
          </w:rPr>
          <w:fldChar w:fldCharType="separate"/>
        </w:r>
        <w:r w:rsidR="00255242">
          <w:rPr>
            <w:noProof/>
            <w:webHidden/>
          </w:rPr>
          <w:t>122</w:t>
        </w:r>
        <w:r w:rsidR="009769F4">
          <w:rPr>
            <w:noProof/>
            <w:webHidden/>
          </w:rPr>
          <w:fldChar w:fldCharType="end"/>
        </w:r>
      </w:hyperlink>
    </w:p>
    <w:p w14:paraId="7713A691" w14:textId="00A959B0"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1" w:history="1">
        <w:r w:rsidR="009769F4" w:rsidRPr="002D5E01">
          <w:rPr>
            <w:rStyle w:val="Hyperlink"/>
            <w:noProof/>
          </w:rPr>
          <w:t>Antiplatelet</w:t>
        </w:r>
        <w:r w:rsidR="009769F4">
          <w:rPr>
            <w:noProof/>
            <w:webHidden/>
          </w:rPr>
          <w:tab/>
        </w:r>
        <w:r w:rsidR="009769F4">
          <w:rPr>
            <w:noProof/>
            <w:webHidden/>
          </w:rPr>
          <w:fldChar w:fldCharType="begin"/>
        </w:r>
        <w:r w:rsidR="009769F4">
          <w:rPr>
            <w:noProof/>
            <w:webHidden/>
          </w:rPr>
          <w:instrText xml:space="preserve"> PAGEREF _Toc179490321 \h </w:instrText>
        </w:r>
        <w:r w:rsidR="009769F4">
          <w:rPr>
            <w:noProof/>
            <w:webHidden/>
          </w:rPr>
        </w:r>
        <w:r w:rsidR="009769F4">
          <w:rPr>
            <w:noProof/>
            <w:webHidden/>
          </w:rPr>
          <w:fldChar w:fldCharType="separate"/>
        </w:r>
        <w:r w:rsidR="00255242">
          <w:rPr>
            <w:noProof/>
            <w:webHidden/>
          </w:rPr>
          <w:t>128</w:t>
        </w:r>
        <w:r w:rsidR="009769F4">
          <w:rPr>
            <w:noProof/>
            <w:webHidden/>
          </w:rPr>
          <w:fldChar w:fldCharType="end"/>
        </w:r>
      </w:hyperlink>
    </w:p>
    <w:p w14:paraId="47E9F8B2" w14:textId="353A39C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2" w:history="1">
        <w:r w:rsidR="009769F4" w:rsidRPr="002D5E01">
          <w:rPr>
            <w:rStyle w:val="Hyperlink"/>
            <w:noProof/>
          </w:rPr>
          <w:t>Thrombolytic agents</w:t>
        </w:r>
        <w:r w:rsidR="009769F4">
          <w:rPr>
            <w:noProof/>
            <w:webHidden/>
          </w:rPr>
          <w:tab/>
        </w:r>
        <w:r w:rsidR="009769F4">
          <w:rPr>
            <w:noProof/>
            <w:webHidden/>
          </w:rPr>
          <w:fldChar w:fldCharType="begin"/>
        </w:r>
        <w:r w:rsidR="009769F4">
          <w:rPr>
            <w:noProof/>
            <w:webHidden/>
          </w:rPr>
          <w:instrText xml:space="preserve"> PAGEREF _Toc179490322 \h </w:instrText>
        </w:r>
        <w:r w:rsidR="009769F4">
          <w:rPr>
            <w:noProof/>
            <w:webHidden/>
          </w:rPr>
        </w:r>
        <w:r w:rsidR="009769F4">
          <w:rPr>
            <w:noProof/>
            <w:webHidden/>
          </w:rPr>
          <w:fldChar w:fldCharType="separate"/>
        </w:r>
        <w:r w:rsidR="00255242">
          <w:rPr>
            <w:noProof/>
            <w:webHidden/>
          </w:rPr>
          <w:t>134</w:t>
        </w:r>
        <w:r w:rsidR="009769F4">
          <w:rPr>
            <w:noProof/>
            <w:webHidden/>
          </w:rPr>
          <w:fldChar w:fldCharType="end"/>
        </w:r>
      </w:hyperlink>
    </w:p>
    <w:p w14:paraId="75F68D6B" w14:textId="3903E331"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23" w:history="1">
        <w:r w:rsidR="009769F4" w:rsidRPr="002D5E01">
          <w:rPr>
            <w:rStyle w:val="Hyperlink"/>
            <w:noProof/>
          </w:rPr>
          <w:t>3.</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Respiratory Medicines</w:t>
        </w:r>
        <w:r w:rsidR="009769F4">
          <w:rPr>
            <w:noProof/>
            <w:webHidden/>
          </w:rPr>
          <w:tab/>
        </w:r>
        <w:r w:rsidR="009769F4">
          <w:rPr>
            <w:noProof/>
            <w:webHidden/>
          </w:rPr>
          <w:fldChar w:fldCharType="begin"/>
        </w:r>
        <w:r w:rsidR="009769F4">
          <w:rPr>
            <w:noProof/>
            <w:webHidden/>
          </w:rPr>
          <w:instrText xml:space="preserve"> PAGEREF _Toc179490323 \h </w:instrText>
        </w:r>
        <w:r w:rsidR="009769F4">
          <w:rPr>
            <w:noProof/>
            <w:webHidden/>
          </w:rPr>
        </w:r>
        <w:r w:rsidR="009769F4">
          <w:rPr>
            <w:noProof/>
            <w:webHidden/>
          </w:rPr>
          <w:fldChar w:fldCharType="separate"/>
        </w:r>
        <w:r w:rsidR="00255242">
          <w:rPr>
            <w:noProof/>
            <w:webHidden/>
          </w:rPr>
          <w:t>138</w:t>
        </w:r>
        <w:r w:rsidR="009769F4">
          <w:rPr>
            <w:noProof/>
            <w:webHidden/>
          </w:rPr>
          <w:fldChar w:fldCharType="end"/>
        </w:r>
      </w:hyperlink>
    </w:p>
    <w:p w14:paraId="0E9C2A06" w14:textId="706B2CF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4" w:history="1">
        <w:r w:rsidR="009769F4" w:rsidRPr="002D5E01">
          <w:rPr>
            <w:rStyle w:val="Hyperlink"/>
            <w:noProof/>
          </w:rPr>
          <w:t>Antitussive/expectorant</w:t>
        </w:r>
        <w:r w:rsidR="009769F4">
          <w:rPr>
            <w:noProof/>
            <w:webHidden/>
          </w:rPr>
          <w:tab/>
        </w:r>
        <w:r w:rsidR="009769F4">
          <w:rPr>
            <w:noProof/>
            <w:webHidden/>
          </w:rPr>
          <w:fldChar w:fldCharType="begin"/>
        </w:r>
        <w:r w:rsidR="009769F4">
          <w:rPr>
            <w:noProof/>
            <w:webHidden/>
          </w:rPr>
          <w:instrText xml:space="preserve"> PAGEREF _Toc179490324 \h </w:instrText>
        </w:r>
        <w:r w:rsidR="009769F4">
          <w:rPr>
            <w:noProof/>
            <w:webHidden/>
          </w:rPr>
        </w:r>
        <w:r w:rsidR="009769F4">
          <w:rPr>
            <w:noProof/>
            <w:webHidden/>
          </w:rPr>
          <w:fldChar w:fldCharType="separate"/>
        </w:r>
        <w:r w:rsidR="00255242">
          <w:rPr>
            <w:noProof/>
            <w:webHidden/>
          </w:rPr>
          <w:t>138</w:t>
        </w:r>
        <w:r w:rsidR="009769F4">
          <w:rPr>
            <w:noProof/>
            <w:webHidden/>
          </w:rPr>
          <w:fldChar w:fldCharType="end"/>
        </w:r>
      </w:hyperlink>
    </w:p>
    <w:p w14:paraId="1804EE3E" w14:textId="41A0474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5" w:history="1">
        <w:r w:rsidR="009769F4" w:rsidRPr="002D5E01">
          <w:rPr>
            <w:rStyle w:val="Hyperlink"/>
            <w:noProof/>
          </w:rPr>
          <w:t>Anti-asthmatic and chronic obstructive pulmonary disease (COPD) medicines</w:t>
        </w:r>
        <w:r w:rsidR="009769F4">
          <w:rPr>
            <w:noProof/>
            <w:webHidden/>
          </w:rPr>
          <w:tab/>
        </w:r>
        <w:r w:rsidR="009769F4">
          <w:rPr>
            <w:noProof/>
            <w:webHidden/>
          </w:rPr>
          <w:fldChar w:fldCharType="begin"/>
        </w:r>
        <w:r w:rsidR="009769F4">
          <w:rPr>
            <w:noProof/>
            <w:webHidden/>
          </w:rPr>
          <w:instrText xml:space="preserve"> PAGEREF _Toc179490325 \h </w:instrText>
        </w:r>
        <w:r w:rsidR="009769F4">
          <w:rPr>
            <w:noProof/>
            <w:webHidden/>
          </w:rPr>
        </w:r>
        <w:r w:rsidR="009769F4">
          <w:rPr>
            <w:noProof/>
            <w:webHidden/>
          </w:rPr>
          <w:fldChar w:fldCharType="separate"/>
        </w:r>
        <w:r w:rsidR="00255242">
          <w:rPr>
            <w:noProof/>
            <w:webHidden/>
          </w:rPr>
          <w:t>140</w:t>
        </w:r>
        <w:r w:rsidR="009769F4">
          <w:rPr>
            <w:noProof/>
            <w:webHidden/>
          </w:rPr>
          <w:fldChar w:fldCharType="end"/>
        </w:r>
      </w:hyperlink>
    </w:p>
    <w:p w14:paraId="10346DA2" w14:textId="4CDE748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6" w:history="1">
        <w:r w:rsidR="009769F4" w:rsidRPr="002D5E01">
          <w:rPr>
            <w:rStyle w:val="Hyperlink"/>
            <w:noProof/>
          </w:rPr>
          <w:t>Medicines used for sarcoidosis and interstitial lung disease</w:t>
        </w:r>
        <w:r w:rsidR="009769F4">
          <w:rPr>
            <w:noProof/>
            <w:webHidden/>
          </w:rPr>
          <w:tab/>
        </w:r>
        <w:r w:rsidR="009769F4">
          <w:rPr>
            <w:noProof/>
            <w:webHidden/>
          </w:rPr>
          <w:fldChar w:fldCharType="begin"/>
        </w:r>
        <w:r w:rsidR="009769F4">
          <w:rPr>
            <w:noProof/>
            <w:webHidden/>
          </w:rPr>
          <w:instrText xml:space="preserve"> PAGEREF _Toc179490326 \h </w:instrText>
        </w:r>
        <w:r w:rsidR="009769F4">
          <w:rPr>
            <w:noProof/>
            <w:webHidden/>
          </w:rPr>
        </w:r>
        <w:r w:rsidR="009769F4">
          <w:rPr>
            <w:noProof/>
            <w:webHidden/>
          </w:rPr>
          <w:fldChar w:fldCharType="separate"/>
        </w:r>
        <w:r w:rsidR="00255242">
          <w:rPr>
            <w:noProof/>
            <w:webHidden/>
          </w:rPr>
          <w:t>153</w:t>
        </w:r>
        <w:r w:rsidR="009769F4">
          <w:rPr>
            <w:noProof/>
            <w:webHidden/>
          </w:rPr>
          <w:fldChar w:fldCharType="end"/>
        </w:r>
      </w:hyperlink>
    </w:p>
    <w:p w14:paraId="465EA0AA" w14:textId="0EA3D01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7" w:history="1">
        <w:r w:rsidR="009769F4" w:rsidRPr="002D5E01">
          <w:rPr>
            <w:rStyle w:val="Hyperlink"/>
            <w:noProof/>
          </w:rPr>
          <w:t>Medicines used for apnea of prematurity</w:t>
        </w:r>
        <w:r w:rsidR="009769F4">
          <w:rPr>
            <w:noProof/>
            <w:webHidden/>
          </w:rPr>
          <w:tab/>
        </w:r>
        <w:r w:rsidR="009769F4">
          <w:rPr>
            <w:noProof/>
            <w:webHidden/>
          </w:rPr>
          <w:fldChar w:fldCharType="begin"/>
        </w:r>
        <w:r w:rsidR="009769F4">
          <w:rPr>
            <w:noProof/>
            <w:webHidden/>
          </w:rPr>
          <w:instrText xml:space="preserve"> PAGEREF _Toc179490327 \h </w:instrText>
        </w:r>
        <w:r w:rsidR="009769F4">
          <w:rPr>
            <w:noProof/>
            <w:webHidden/>
          </w:rPr>
        </w:r>
        <w:r w:rsidR="009769F4">
          <w:rPr>
            <w:noProof/>
            <w:webHidden/>
          </w:rPr>
          <w:fldChar w:fldCharType="separate"/>
        </w:r>
        <w:r w:rsidR="00255242">
          <w:rPr>
            <w:noProof/>
            <w:webHidden/>
          </w:rPr>
          <w:t>156</w:t>
        </w:r>
        <w:r w:rsidR="009769F4">
          <w:rPr>
            <w:noProof/>
            <w:webHidden/>
          </w:rPr>
          <w:fldChar w:fldCharType="end"/>
        </w:r>
      </w:hyperlink>
    </w:p>
    <w:p w14:paraId="3746782B" w14:textId="635D65DB"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28" w:history="1">
        <w:r w:rsidR="009769F4" w:rsidRPr="002D5E01">
          <w:rPr>
            <w:rStyle w:val="Hyperlink"/>
            <w:noProof/>
          </w:rPr>
          <w:t>4.</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Anti-infectives</w:t>
        </w:r>
        <w:r w:rsidR="009769F4">
          <w:rPr>
            <w:noProof/>
            <w:webHidden/>
          </w:rPr>
          <w:tab/>
        </w:r>
        <w:r w:rsidR="009769F4">
          <w:rPr>
            <w:noProof/>
            <w:webHidden/>
          </w:rPr>
          <w:fldChar w:fldCharType="begin"/>
        </w:r>
        <w:r w:rsidR="009769F4">
          <w:rPr>
            <w:noProof/>
            <w:webHidden/>
          </w:rPr>
          <w:instrText xml:space="preserve"> PAGEREF _Toc179490328 \h </w:instrText>
        </w:r>
        <w:r w:rsidR="009769F4">
          <w:rPr>
            <w:noProof/>
            <w:webHidden/>
          </w:rPr>
        </w:r>
        <w:r w:rsidR="009769F4">
          <w:rPr>
            <w:noProof/>
            <w:webHidden/>
          </w:rPr>
          <w:fldChar w:fldCharType="separate"/>
        </w:r>
        <w:r w:rsidR="00255242">
          <w:rPr>
            <w:noProof/>
            <w:webHidden/>
          </w:rPr>
          <w:t>159</w:t>
        </w:r>
        <w:r w:rsidR="009769F4">
          <w:rPr>
            <w:noProof/>
            <w:webHidden/>
          </w:rPr>
          <w:fldChar w:fldCharType="end"/>
        </w:r>
      </w:hyperlink>
    </w:p>
    <w:p w14:paraId="257CDE5E" w14:textId="1A78277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29" w:history="1">
        <w:r w:rsidR="009769F4" w:rsidRPr="002D5E01">
          <w:rPr>
            <w:rStyle w:val="Hyperlink"/>
            <w:noProof/>
          </w:rPr>
          <w:t>Antibacterials</w:t>
        </w:r>
        <w:r w:rsidR="009769F4">
          <w:rPr>
            <w:noProof/>
            <w:webHidden/>
          </w:rPr>
          <w:tab/>
        </w:r>
        <w:r w:rsidR="009769F4">
          <w:rPr>
            <w:noProof/>
            <w:webHidden/>
          </w:rPr>
          <w:fldChar w:fldCharType="begin"/>
        </w:r>
        <w:r w:rsidR="009769F4">
          <w:rPr>
            <w:noProof/>
            <w:webHidden/>
          </w:rPr>
          <w:instrText xml:space="preserve"> PAGEREF _Toc179490329 \h </w:instrText>
        </w:r>
        <w:r w:rsidR="009769F4">
          <w:rPr>
            <w:noProof/>
            <w:webHidden/>
          </w:rPr>
        </w:r>
        <w:r w:rsidR="009769F4">
          <w:rPr>
            <w:noProof/>
            <w:webHidden/>
          </w:rPr>
          <w:fldChar w:fldCharType="separate"/>
        </w:r>
        <w:r w:rsidR="00255242">
          <w:rPr>
            <w:noProof/>
            <w:webHidden/>
          </w:rPr>
          <w:t>159</w:t>
        </w:r>
        <w:r w:rsidR="009769F4">
          <w:rPr>
            <w:noProof/>
            <w:webHidden/>
          </w:rPr>
          <w:fldChar w:fldCharType="end"/>
        </w:r>
      </w:hyperlink>
    </w:p>
    <w:p w14:paraId="426B8055" w14:textId="38B2ECBF"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0" w:history="1">
        <w:r w:rsidR="009769F4" w:rsidRPr="002D5E01">
          <w:rPr>
            <w:rStyle w:val="Hyperlink"/>
            <w:noProof/>
          </w:rPr>
          <w:t>Antifungals</w:t>
        </w:r>
        <w:r w:rsidR="009769F4">
          <w:rPr>
            <w:noProof/>
            <w:webHidden/>
          </w:rPr>
          <w:tab/>
        </w:r>
        <w:r w:rsidR="009769F4">
          <w:rPr>
            <w:noProof/>
            <w:webHidden/>
          </w:rPr>
          <w:fldChar w:fldCharType="begin"/>
        </w:r>
        <w:r w:rsidR="009769F4">
          <w:rPr>
            <w:noProof/>
            <w:webHidden/>
          </w:rPr>
          <w:instrText xml:space="preserve"> PAGEREF _Toc179490330 \h </w:instrText>
        </w:r>
        <w:r w:rsidR="009769F4">
          <w:rPr>
            <w:noProof/>
            <w:webHidden/>
          </w:rPr>
        </w:r>
        <w:r w:rsidR="009769F4">
          <w:rPr>
            <w:noProof/>
            <w:webHidden/>
          </w:rPr>
          <w:fldChar w:fldCharType="separate"/>
        </w:r>
        <w:r w:rsidR="00255242">
          <w:rPr>
            <w:noProof/>
            <w:webHidden/>
          </w:rPr>
          <w:t>243</w:t>
        </w:r>
        <w:r w:rsidR="009769F4">
          <w:rPr>
            <w:noProof/>
            <w:webHidden/>
          </w:rPr>
          <w:fldChar w:fldCharType="end"/>
        </w:r>
      </w:hyperlink>
    </w:p>
    <w:p w14:paraId="312721F5" w14:textId="505B34AF"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1" w:history="1">
        <w:r w:rsidR="009769F4" w:rsidRPr="002D5E01">
          <w:rPr>
            <w:rStyle w:val="Hyperlink"/>
            <w:noProof/>
          </w:rPr>
          <w:t>Antivirals</w:t>
        </w:r>
        <w:r w:rsidR="009769F4">
          <w:rPr>
            <w:noProof/>
            <w:webHidden/>
          </w:rPr>
          <w:tab/>
        </w:r>
        <w:r w:rsidR="009769F4">
          <w:rPr>
            <w:noProof/>
            <w:webHidden/>
          </w:rPr>
          <w:fldChar w:fldCharType="begin"/>
        </w:r>
        <w:r w:rsidR="009769F4">
          <w:rPr>
            <w:noProof/>
            <w:webHidden/>
          </w:rPr>
          <w:instrText xml:space="preserve"> PAGEREF _Toc179490331 \h </w:instrText>
        </w:r>
        <w:r w:rsidR="009769F4">
          <w:rPr>
            <w:noProof/>
            <w:webHidden/>
          </w:rPr>
        </w:r>
        <w:r w:rsidR="009769F4">
          <w:rPr>
            <w:noProof/>
            <w:webHidden/>
          </w:rPr>
          <w:fldChar w:fldCharType="separate"/>
        </w:r>
        <w:r w:rsidR="00255242">
          <w:rPr>
            <w:noProof/>
            <w:webHidden/>
          </w:rPr>
          <w:t>256</w:t>
        </w:r>
        <w:r w:rsidR="009769F4">
          <w:rPr>
            <w:noProof/>
            <w:webHidden/>
          </w:rPr>
          <w:fldChar w:fldCharType="end"/>
        </w:r>
      </w:hyperlink>
    </w:p>
    <w:p w14:paraId="454E8F1E" w14:textId="7E798B2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2" w:history="1">
        <w:r w:rsidR="009769F4" w:rsidRPr="002D5E01">
          <w:rPr>
            <w:rStyle w:val="Hyperlink"/>
            <w:noProof/>
          </w:rPr>
          <w:t>Antiprotozoals</w:t>
        </w:r>
        <w:r w:rsidR="009769F4">
          <w:rPr>
            <w:noProof/>
            <w:webHidden/>
          </w:rPr>
          <w:tab/>
        </w:r>
        <w:r w:rsidR="009769F4">
          <w:rPr>
            <w:noProof/>
            <w:webHidden/>
          </w:rPr>
          <w:fldChar w:fldCharType="begin"/>
        </w:r>
        <w:r w:rsidR="009769F4">
          <w:rPr>
            <w:noProof/>
            <w:webHidden/>
          </w:rPr>
          <w:instrText xml:space="preserve"> PAGEREF _Toc179490332 \h </w:instrText>
        </w:r>
        <w:r w:rsidR="009769F4">
          <w:rPr>
            <w:noProof/>
            <w:webHidden/>
          </w:rPr>
        </w:r>
        <w:r w:rsidR="009769F4">
          <w:rPr>
            <w:noProof/>
            <w:webHidden/>
          </w:rPr>
          <w:fldChar w:fldCharType="separate"/>
        </w:r>
        <w:r w:rsidR="00255242">
          <w:rPr>
            <w:noProof/>
            <w:webHidden/>
          </w:rPr>
          <w:t>276</w:t>
        </w:r>
        <w:r w:rsidR="009769F4">
          <w:rPr>
            <w:noProof/>
            <w:webHidden/>
          </w:rPr>
          <w:fldChar w:fldCharType="end"/>
        </w:r>
      </w:hyperlink>
    </w:p>
    <w:p w14:paraId="71D546F0" w14:textId="101896F6"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3" w:history="1">
        <w:r w:rsidR="009769F4" w:rsidRPr="002D5E01">
          <w:rPr>
            <w:rStyle w:val="Hyperlink"/>
            <w:noProof/>
          </w:rPr>
          <w:t>Anthelmintics</w:t>
        </w:r>
        <w:r w:rsidR="009769F4">
          <w:rPr>
            <w:noProof/>
            <w:webHidden/>
          </w:rPr>
          <w:tab/>
        </w:r>
        <w:r w:rsidR="009769F4">
          <w:rPr>
            <w:noProof/>
            <w:webHidden/>
          </w:rPr>
          <w:fldChar w:fldCharType="begin"/>
        </w:r>
        <w:r w:rsidR="009769F4">
          <w:rPr>
            <w:noProof/>
            <w:webHidden/>
          </w:rPr>
          <w:instrText xml:space="preserve"> PAGEREF _Toc179490333 \h </w:instrText>
        </w:r>
        <w:r w:rsidR="009769F4">
          <w:rPr>
            <w:noProof/>
            <w:webHidden/>
          </w:rPr>
        </w:r>
        <w:r w:rsidR="009769F4">
          <w:rPr>
            <w:noProof/>
            <w:webHidden/>
          </w:rPr>
          <w:fldChar w:fldCharType="separate"/>
        </w:r>
        <w:r w:rsidR="00255242">
          <w:rPr>
            <w:noProof/>
            <w:webHidden/>
          </w:rPr>
          <w:t>305</w:t>
        </w:r>
        <w:r w:rsidR="009769F4">
          <w:rPr>
            <w:noProof/>
            <w:webHidden/>
          </w:rPr>
          <w:fldChar w:fldCharType="end"/>
        </w:r>
      </w:hyperlink>
    </w:p>
    <w:p w14:paraId="1E0F6B9C" w14:textId="0A60F43E"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34" w:history="1">
        <w:r w:rsidR="009769F4" w:rsidRPr="002D5E01">
          <w:rPr>
            <w:rStyle w:val="Hyperlink"/>
            <w:noProof/>
          </w:rPr>
          <w:t>5.</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for Pain and Palliative Care</w:t>
        </w:r>
        <w:r w:rsidR="009769F4">
          <w:rPr>
            <w:noProof/>
            <w:webHidden/>
          </w:rPr>
          <w:tab/>
        </w:r>
        <w:r w:rsidR="009769F4">
          <w:rPr>
            <w:noProof/>
            <w:webHidden/>
          </w:rPr>
          <w:fldChar w:fldCharType="begin"/>
        </w:r>
        <w:r w:rsidR="009769F4">
          <w:rPr>
            <w:noProof/>
            <w:webHidden/>
          </w:rPr>
          <w:instrText xml:space="preserve"> PAGEREF _Toc179490334 \h </w:instrText>
        </w:r>
        <w:r w:rsidR="009769F4">
          <w:rPr>
            <w:noProof/>
            <w:webHidden/>
          </w:rPr>
        </w:r>
        <w:r w:rsidR="009769F4">
          <w:rPr>
            <w:noProof/>
            <w:webHidden/>
          </w:rPr>
          <w:fldChar w:fldCharType="separate"/>
        </w:r>
        <w:r w:rsidR="00255242">
          <w:rPr>
            <w:noProof/>
            <w:webHidden/>
          </w:rPr>
          <w:t>316</w:t>
        </w:r>
        <w:r w:rsidR="009769F4">
          <w:rPr>
            <w:noProof/>
            <w:webHidden/>
          </w:rPr>
          <w:fldChar w:fldCharType="end"/>
        </w:r>
      </w:hyperlink>
    </w:p>
    <w:p w14:paraId="50A0146A" w14:textId="7A441FB7"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5" w:history="1">
        <w:r w:rsidR="009769F4" w:rsidRPr="002D5E01">
          <w:rPr>
            <w:rStyle w:val="Hyperlink"/>
            <w:noProof/>
          </w:rPr>
          <w:t>Non-opioid and Non-Steroidal Anti-Inflammatory Drugs (NSAIDs)</w:t>
        </w:r>
        <w:r w:rsidR="009769F4">
          <w:rPr>
            <w:noProof/>
            <w:webHidden/>
          </w:rPr>
          <w:tab/>
        </w:r>
        <w:r w:rsidR="009769F4">
          <w:rPr>
            <w:noProof/>
            <w:webHidden/>
          </w:rPr>
          <w:fldChar w:fldCharType="begin"/>
        </w:r>
        <w:r w:rsidR="009769F4">
          <w:rPr>
            <w:noProof/>
            <w:webHidden/>
          </w:rPr>
          <w:instrText xml:space="preserve"> PAGEREF _Toc179490335 \h </w:instrText>
        </w:r>
        <w:r w:rsidR="009769F4">
          <w:rPr>
            <w:noProof/>
            <w:webHidden/>
          </w:rPr>
        </w:r>
        <w:r w:rsidR="009769F4">
          <w:rPr>
            <w:noProof/>
            <w:webHidden/>
          </w:rPr>
          <w:fldChar w:fldCharType="separate"/>
        </w:r>
        <w:r w:rsidR="00255242">
          <w:rPr>
            <w:noProof/>
            <w:webHidden/>
          </w:rPr>
          <w:t>316</w:t>
        </w:r>
        <w:r w:rsidR="009769F4">
          <w:rPr>
            <w:noProof/>
            <w:webHidden/>
          </w:rPr>
          <w:fldChar w:fldCharType="end"/>
        </w:r>
      </w:hyperlink>
    </w:p>
    <w:p w14:paraId="283C110F" w14:textId="6229D65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6" w:history="1">
        <w:r w:rsidR="009769F4" w:rsidRPr="002D5E01">
          <w:rPr>
            <w:rStyle w:val="Hyperlink"/>
            <w:noProof/>
          </w:rPr>
          <w:t>Opioid Analgesics</w:t>
        </w:r>
        <w:r w:rsidR="009769F4">
          <w:rPr>
            <w:noProof/>
            <w:webHidden/>
          </w:rPr>
          <w:tab/>
        </w:r>
        <w:r w:rsidR="009769F4">
          <w:rPr>
            <w:noProof/>
            <w:webHidden/>
          </w:rPr>
          <w:fldChar w:fldCharType="begin"/>
        </w:r>
        <w:r w:rsidR="009769F4">
          <w:rPr>
            <w:noProof/>
            <w:webHidden/>
          </w:rPr>
          <w:instrText xml:space="preserve"> PAGEREF _Toc179490336 \h </w:instrText>
        </w:r>
        <w:r w:rsidR="009769F4">
          <w:rPr>
            <w:noProof/>
            <w:webHidden/>
          </w:rPr>
        </w:r>
        <w:r w:rsidR="009769F4">
          <w:rPr>
            <w:noProof/>
            <w:webHidden/>
          </w:rPr>
          <w:fldChar w:fldCharType="separate"/>
        </w:r>
        <w:r w:rsidR="00255242">
          <w:rPr>
            <w:noProof/>
            <w:webHidden/>
          </w:rPr>
          <w:t>324</w:t>
        </w:r>
        <w:r w:rsidR="009769F4">
          <w:rPr>
            <w:noProof/>
            <w:webHidden/>
          </w:rPr>
          <w:fldChar w:fldCharType="end"/>
        </w:r>
      </w:hyperlink>
    </w:p>
    <w:p w14:paraId="23672B2B" w14:textId="4F9A404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7" w:history="1">
        <w:r w:rsidR="009769F4" w:rsidRPr="002D5E01">
          <w:rPr>
            <w:rStyle w:val="Hyperlink"/>
            <w:noProof/>
          </w:rPr>
          <w:t>Medicines used for other common symptoms in palliative care</w:t>
        </w:r>
        <w:r w:rsidR="009769F4">
          <w:rPr>
            <w:noProof/>
            <w:webHidden/>
          </w:rPr>
          <w:tab/>
        </w:r>
        <w:r w:rsidR="009769F4">
          <w:rPr>
            <w:noProof/>
            <w:webHidden/>
          </w:rPr>
          <w:fldChar w:fldCharType="begin"/>
        </w:r>
        <w:r w:rsidR="009769F4">
          <w:rPr>
            <w:noProof/>
            <w:webHidden/>
          </w:rPr>
          <w:instrText xml:space="preserve"> PAGEREF _Toc179490337 \h </w:instrText>
        </w:r>
        <w:r w:rsidR="009769F4">
          <w:rPr>
            <w:noProof/>
            <w:webHidden/>
          </w:rPr>
        </w:r>
        <w:r w:rsidR="009769F4">
          <w:rPr>
            <w:noProof/>
            <w:webHidden/>
          </w:rPr>
          <w:fldChar w:fldCharType="separate"/>
        </w:r>
        <w:r w:rsidR="00255242">
          <w:rPr>
            <w:noProof/>
            <w:webHidden/>
          </w:rPr>
          <w:t>332</w:t>
        </w:r>
        <w:r w:rsidR="009769F4">
          <w:rPr>
            <w:noProof/>
            <w:webHidden/>
          </w:rPr>
          <w:fldChar w:fldCharType="end"/>
        </w:r>
      </w:hyperlink>
    </w:p>
    <w:p w14:paraId="47EFC55F" w14:textId="1FC052F0"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38" w:history="1">
        <w:r w:rsidR="009769F4" w:rsidRPr="002D5E01">
          <w:rPr>
            <w:rStyle w:val="Hyperlink"/>
            <w:noProof/>
          </w:rPr>
          <w:t>6.</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for Neurological Disorders</w:t>
        </w:r>
        <w:r w:rsidR="009769F4">
          <w:rPr>
            <w:noProof/>
            <w:webHidden/>
          </w:rPr>
          <w:tab/>
        </w:r>
        <w:r w:rsidR="009769F4">
          <w:rPr>
            <w:noProof/>
            <w:webHidden/>
          </w:rPr>
          <w:fldChar w:fldCharType="begin"/>
        </w:r>
        <w:r w:rsidR="009769F4">
          <w:rPr>
            <w:noProof/>
            <w:webHidden/>
          </w:rPr>
          <w:instrText xml:space="preserve"> PAGEREF _Toc179490338 \h </w:instrText>
        </w:r>
        <w:r w:rsidR="009769F4">
          <w:rPr>
            <w:noProof/>
            <w:webHidden/>
          </w:rPr>
        </w:r>
        <w:r w:rsidR="009769F4">
          <w:rPr>
            <w:noProof/>
            <w:webHidden/>
          </w:rPr>
          <w:fldChar w:fldCharType="separate"/>
        </w:r>
        <w:r w:rsidR="00255242">
          <w:rPr>
            <w:noProof/>
            <w:webHidden/>
          </w:rPr>
          <w:t>355</w:t>
        </w:r>
        <w:r w:rsidR="009769F4">
          <w:rPr>
            <w:noProof/>
            <w:webHidden/>
          </w:rPr>
          <w:fldChar w:fldCharType="end"/>
        </w:r>
      </w:hyperlink>
    </w:p>
    <w:p w14:paraId="5473A28E" w14:textId="4D6C7180"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39" w:history="1">
        <w:r w:rsidR="009769F4" w:rsidRPr="002D5E01">
          <w:rPr>
            <w:rStyle w:val="Hyperlink"/>
            <w:noProof/>
          </w:rPr>
          <w:t>Antiseizure medicines</w:t>
        </w:r>
        <w:r w:rsidR="009769F4">
          <w:rPr>
            <w:noProof/>
            <w:webHidden/>
          </w:rPr>
          <w:tab/>
        </w:r>
        <w:r w:rsidR="009769F4">
          <w:rPr>
            <w:noProof/>
            <w:webHidden/>
          </w:rPr>
          <w:fldChar w:fldCharType="begin"/>
        </w:r>
        <w:r w:rsidR="009769F4">
          <w:rPr>
            <w:noProof/>
            <w:webHidden/>
          </w:rPr>
          <w:instrText xml:space="preserve"> PAGEREF _Toc179490339 \h </w:instrText>
        </w:r>
        <w:r w:rsidR="009769F4">
          <w:rPr>
            <w:noProof/>
            <w:webHidden/>
          </w:rPr>
        </w:r>
        <w:r w:rsidR="009769F4">
          <w:rPr>
            <w:noProof/>
            <w:webHidden/>
          </w:rPr>
          <w:fldChar w:fldCharType="separate"/>
        </w:r>
        <w:r w:rsidR="00255242">
          <w:rPr>
            <w:noProof/>
            <w:webHidden/>
          </w:rPr>
          <w:t>355</w:t>
        </w:r>
        <w:r w:rsidR="009769F4">
          <w:rPr>
            <w:noProof/>
            <w:webHidden/>
          </w:rPr>
          <w:fldChar w:fldCharType="end"/>
        </w:r>
      </w:hyperlink>
    </w:p>
    <w:p w14:paraId="733001A4" w14:textId="5DCF4FA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0" w:history="1">
        <w:r w:rsidR="009769F4" w:rsidRPr="002D5E01">
          <w:rPr>
            <w:rStyle w:val="Hyperlink"/>
            <w:noProof/>
          </w:rPr>
          <w:t>Antiparkinsonian medicines</w:t>
        </w:r>
        <w:r w:rsidR="009769F4">
          <w:rPr>
            <w:noProof/>
            <w:webHidden/>
          </w:rPr>
          <w:tab/>
        </w:r>
        <w:r w:rsidR="009769F4">
          <w:rPr>
            <w:noProof/>
            <w:webHidden/>
          </w:rPr>
          <w:fldChar w:fldCharType="begin"/>
        </w:r>
        <w:r w:rsidR="009769F4">
          <w:rPr>
            <w:noProof/>
            <w:webHidden/>
          </w:rPr>
          <w:instrText xml:space="preserve"> PAGEREF _Toc179490340 \h </w:instrText>
        </w:r>
        <w:r w:rsidR="009769F4">
          <w:rPr>
            <w:noProof/>
            <w:webHidden/>
          </w:rPr>
        </w:r>
        <w:r w:rsidR="009769F4">
          <w:rPr>
            <w:noProof/>
            <w:webHidden/>
          </w:rPr>
          <w:fldChar w:fldCharType="separate"/>
        </w:r>
        <w:r w:rsidR="00255242">
          <w:rPr>
            <w:noProof/>
            <w:webHidden/>
          </w:rPr>
          <w:t>371</w:t>
        </w:r>
        <w:r w:rsidR="009769F4">
          <w:rPr>
            <w:noProof/>
            <w:webHidden/>
          </w:rPr>
          <w:fldChar w:fldCharType="end"/>
        </w:r>
      </w:hyperlink>
    </w:p>
    <w:p w14:paraId="13BBEB8A" w14:textId="604E9FE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1" w:history="1">
        <w:r w:rsidR="009769F4" w:rsidRPr="002D5E01">
          <w:rPr>
            <w:rStyle w:val="Hyperlink"/>
            <w:noProof/>
          </w:rPr>
          <w:t>Antimigraine medicines</w:t>
        </w:r>
        <w:r w:rsidR="009769F4">
          <w:rPr>
            <w:noProof/>
            <w:webHidden/>
          </w:rPr>
          <w:tab/>
        </w:r>
        <w:r w:rsidR="009769F4">
          <w:rPr>
            <w:noProof/>
            <w:webHidden/>
          </w:rPr>
          <w:fldChar w:fldCharType="begin"/>
        </w:r>
        <w:r w:rsidR="009769F4">
          <w:rPr>
            <w:noProof/>
            <w:webHidden/>
          </w:rPr>
          <w:instrText xml:space="preserve"> PAGEREF _Toc179490341 \h </w:instrText>
        </w:r>
        <w:r w:rsidR="009769F4">
          <w:rPr>
            <w:noProof/>
            <w:webHidden/>
          </w:rPr>
        </w:r>
        <w:r w:rsidR="009769F4">
          <w:rPr>
            <w:noProof/>
            <w:webHidden/>
          </w:rPr>
          <w:fldChar w:fldCharType="separate"/>
        </w:r>
        <w:r w:rsidR="00255242">
          <w:rPr>
            <w:noProof/>
            <w:webHidden/>
          </w:rPr>
          <w:t>374</w:t>
        </w:r>
        <w:r w:rsidR="009769F4">
          <w:rPr>
            <w:noProof/>
            <w:webHidden/>
          </w:rPr>
          <w:fldChar w:fldCharType="end"/>
        </w:r>
      </w:hyperlink>
    </w:p>
    <w:p w14:paraId="2B47C375" w14:textId="36C72653"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42" w:history="1">
        <w:r w:rsidR="009769F4" w:rsidRPr="002D5E01">
          <w:rPr>
            <w:rStyle w:val="Hyperlink"/>
            <w:noProof/>
          </w:rPr>
          <w:t>7.</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for Mental and Behavioral Disorders</w:t>
        </w:r>
        <w:r w:rsidR="009769F4">
          <w:rPr>
            <w:noProof/>
            <w:webHidden/>
          </w:rPr>
          <w:tab/>
        </w:r>
        <w:r w:rsidR="009769F4">
          <w:rPr>
            <w:noProof/>
            <w:webHidden/>
          </w:rPr>
          <w:fldChar w:fldCharType="begin"/>
        </w:r>
        <w:r w:rsidR="009769F4">
          <w:rPr>
            <w:noProof/>
            <w:webHidden/>
          </w:rPr>
          <w:instrText xml:space="preserve"> PAGEREF _Toc179490342 \h </w:instrText>
        </w:r>
        <w:r w:rsidR="009769F4">
          <w:rPr>
            <w:noProof/>
            <w:webHidden/>
          </w:rPr>
        </w:r>
        <w:r w:rsidR="009769F4">
          <w:rPr>
            <w:noProof/>
            <w:webHidden/>
          </w:rPr>
          <w:fldChar w:fldCharType="separate"/>
        </w:r>
        <w:r w:rsidR="00255242">
          <w:rPr>
            <w:noProof/>
            <w:webHidden/>
          </w:rPr>
          <w:t>380</w:t>
        </w:r>
        <w:r w:rsidR="009769F4">
          <w:rPr>
            <w:noProof/>
            <w:webHidden/>
          </w:rPr>
          <w:fldChar w:fldCharType="end"/>
        </w:r>
      </w:hyperlink>
    </w:p>
    <w:p w14:paraId="7B222D6D" w14:textId="1598147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3" w:history="1">
        <w:r w:rsidR="009769F4" w:rsidRPr="002D5E01">
          <w:rPr>
            <w:rStyle w:val="Hyperlink"/>
            <w:noProof/>
          </w:rPr>
          <w:t>Medicines used for anxiety and sleep disorders</w:t>
        </w:r>
        <w:r w:rsidR="009769F4">
          <w:rPr>
            <w:noProof/>
            <w:webHidden/>
          </w:rPr>
          <w:tab/>
        </w:r>
        <w:r w:rsidR="009769F4">
          <w:rPr>
            <w:noProof/>
            <w:webHidden/>
          </w:rPr>
          <w:fldChar w:fldCharType="begin"/>
        </w:r>
        <w:r w:rsidR="009769F4">
          <w:rPr>
            <w:noProof/>
            <w:webHidden/>
          </w:rPr>
          <w:instrText xml:space="preserve"> PAGEREF _Toc179490343 \h </w:instrText>
        </w:r>
        <w:r w:rsidR="009769F4">
          <w:rPr>
            <w:noProof/>
            <w:webHidden/>
          </w:rPr>
        </w:r>
        <w:r w:rsidR="009769F4">
          <w:rPr>
            <w:noProof/>
            <w:webHidden/>
          </w:rPr>
          <w:fldChar w:fldCharType="separate"/>
        </w:r>
        <w:r w:rsidR="00255242">
          <w:rPr>
            <w:noProof/>
            <w:webHidden/>
          </w:rPr>
          <w:t>381</w:t>
        </w:r>
        <w:r w:rsidR="009769F4">
          <w:rPr>
            <w:noProof/>
            <w:webHidden/>
          </w:rPr>
          <w:fldChar w:fldCharType="end"/>
        </w:r>
      </w:hyperlink>
    </w:p>
    <w:p w14:paraId="6935AB34" w14:textId="44731EA8"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4" w:history="1">
        <w:r w:rsidR="009769F4" w:rsidRPr="002D5E01">
          <w:rPr>
            <w:rStyle w:val="Hyperlink"/>
            <w:noProof/>
          </w:rPr>
          <w:t>Medicines used for obsessive compulsive disorders</w:t>
        </w:r>
        <w:r w:rsidR="009769F4">
          <w:rPr>
            <w:noProof/>
            <w:webHidden/>
          </w:rPr>
          <w:tab/>
        </w:r>
        <w:r w:rsidR="009769F4">
          <w:rPr>
            <w:noProof/>
            <w:webHidden/>
          </w:rPr>
          <w:fldChar w:fldCharType="begin"/>
        </w:r>
        <w:r w:rsidR="009769F4">
          <w:rPr>
            <w:noProof/>
            <w:webHidden/>
          </w:rPr>
          <w:instrText xml:space="preserve"> PAGEREF _Toc179490344 \h </w:instrText>
        </w:r>
        <w:r w:rsidR="009769F4">
          <w:rPr>
            <w:noProof/>
            <w:webHidden/>
          </w:rPr>
        </w:r>
        <w:r w:rsidR="009769F4">
          <w:rPr>
            <w:noProof/>
            <w:webHidden/>
          </w:rPr>
          <w:fldChar w:fldCharType="separate"/>
        </w:r>
        <w:r w:rsidR="00255242">
          <w:rPr>
            <w:noProof/>
            <w:webHidden/>
          </w:rPr>
          <w:t>386</w:t>
        </w:r>
        <w:r w:rsidR="009769F4">
          <w:rPr>
            <w:noProof/>
            <w:webHidden/>
          </w:rPr>
          <w:fldChar w:fldCharType="end"/>
        </w:r>
      </w:hyperlink>
    </w:p>
    <w:p w14:paraId="4AF5C66D" w14:textId="3C5F222E"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5" w:history="1">
        <w:r w:rsidR="009769F4" w:rsidRPr="002D5E01">
          <w:rPr>
            <w:rStyle w:val="Hyperlink"/>
            <w:noProof/>
          </w:rPr>
          <w:t>Medicines used for mood disorders</w:t>
        </w:r>
        <w:r w:rsidR="009769F4">
          <w:rPr>
            <w:noProof/>
            <w:webHidden/>
          </w:rPr>
          <w:tab/>
        </w:r>
        <w:r w:rsidR="009769F4">
          <w:rPr>
            <w:noProof/>
            <w:webHidden/>
          </w:rPr>
          <w:fldChar w:fldCharType="begin"/>
        </w:r>
        <w:r w:rsidR="009769F4">
          <w:rPr>
            <w:noProof/>
            <w:webHidden/>
          </w:rPr>
          <w:instrText xml:space="preserve"> PAGEREF _Toc179490345 \h </w:instrText>
        </w:r>
        <w:r w:rsidR="009769F4">
          <w:rPr>
            <w:noProof/>
            <w:webHidden/>
          </w:rPr>
        </w:r>
        <w:r w:rsidR="009769F4">
          <w:rPr>
            <w:noProof/>
            <w:webHidden/>
          </w:rPr>
          <w:fldChar w:fldCharType="separate"/>
        </w:r>
        <w:r w:rsidR="00255242">
          <w:rPr>
            <w:noProof/>
            <w:webHidden/>
          </w:rPr>
          <w:t>387</w:t>
        </w:r>
        <w:r w:rsidR="009769F4">
          <w:rPr>
            <w:noProof/>
            <w:webHidden/>
          </w:rPr>
          <w:fldChar w:fldCharType="end"/>
        </w:r>
      </w:hyperlink>
    </w:p>
    <w:p w14:paraId="51CA29F3" w14:textId="6202973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6" w:history="1">
        <w:r w:rsidR="009769F4" w:rsidRPr="002D5E01">
          <w:rPr>
            <w:rStyle w:val="Hyperlink"/>
            <w:noProof/>
          </w:rPr>
          <w:t>Antipsychotic medicines</w:t>
        </w:r>
        <w:r w:rsidR="009769F4">
          <w:rPr>
            <w:noProof/>
            <w:webHidden/>
          </w:rPr>
          <w:tab/>
        </w:r>
        <w:r w:rsidR="009769F4">
          <w:rPr>
            <w:noProof/>
            <w:webHidden/>
          </w:rPr>
          <w:fldChar w:fldCharType="begin"/>
        </w:r>
        <w:r w:rsidR="009769F4">
          <w:rPr>
            <w:noProof/>
            <w:webHidden/>
          </w:rPr>
          <w:instrText xml:space="preserve"> PAGEREF _Toc179490346 \h </w:instrText>
        </w:r>
        <w:r w:rsidR="009769F4">
          <w:rPr>
            <w:noProof/>
            <w:webHidden/>
          </w:rPr>
        </w:r>
        <w:r w:rsidR="009769F4">
          <w:rPr>
            <w:noProof/>
            <w:webHidden/>
          </w:rPr>
          <w:fldChar w:fldCharType="separate"/>
        </w:r>
        <w:r w:rsidR="00255242">
          <w:rPr>
            <w:noProof/>
            <w:webHidden/>
          </w:rPr>
          <w:t>396</w:t>
        </w:r>
        <w:r w:rsidR="009769F4">
          <w:rPr>
            <w:noProof/>
            <w:webHidden/>
          </w:rPr>
          <w:fldChar w:fldCharType="end"/>
        </w:r>
      </w:hyperlink>
    </w:p>
    <w:p w14:paraId="53B82DC3" w14:textId="3A4D7D2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7" w:history="1">
        <w:r w:rsidR="009769F4" w:rsidRPr="002D5E01">
          <w:rPr>
            <w:rStyle w:val="Hyperlink"/>
            <w:noProof/>
          </w:rPr>
          <w:t>Medicines used for disorders due to psychoactive substance use</w:t>
        </w:r>
        <w:r w:rsidR="009769F4">
          <w:rPr>
            <w:noProof/>
            <w:webHidden/>
          </w:rPr>
          <w:tab/>
        </w:r>
        <w:r w:rsidR="009769F4">
          <w:rPr>
            <w:noProof/>
            <w:webHidden/>
          </w:rPr>
          <w:fldChar w:fldCharType="begin"/>
        </w:r>
        <w:r w:rsidR="009769F4">
          <w:rPr>
            <w:noProof/>
            <w:webHidden/>
          </w:rPr>
          <w:instrText xml:space="preserve"> PAGEREF _Toc179490347 \h </w:instrText>
        </w:r>
        <w:r w:rsidR="009769F4">
          <w:rPr>
            <w:noProof/>
            <w:webHidden/>
          </w:rPr>
        </w:r>
        <w:r w:rsidR="009769F4">
          <w:rPr>
            <w:noProof/>
            <w:webHidden/>
          </w:rPr>
          <w:fldChar w:fldCharType="separate"/>
        </w:r>
        <w:r w:rsidR="00255242">
          <w:rPr>
            <w:noProof/>
            <w:webHidden/>
          </w:rPr>
          <w:t>402</w:t>
        </w:r>
        <w:r w:rsidR="009769F4">
          <w:rPr>
            <w:noProof/>
            <w:webHidden/>
          </w:rPr>
          <w:fldChar w:fldCharType="end"/>
        </w:r>
      </w:hyperlink>
    </w:p>
    <w:p w14:paraId="5BC06D8D" w14:textId="170AF55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48" w:history="1">
        <w:r w:rsidR="009769F4" w:rsidRPr="002D5E01">
          <w:rPr>
            <w:rStyle w:val="Hyperlink"/>
            <w:noProof/>
          </w:rPr>
          <w:t>Medicines used for attention deficit disorder</w:t>
        </w:r>
        <w:r w:rsidR="009769F4">
          <w:rPr>
            <w:noProof/>
            <w:webHidden/>
          </w:rPr>
          <w:tab/>
        </w:r>
        <w:r w:rsidR="009769F4">
          <w:rPr>
            <w:noProof/>
            <w:webHidden/>
          </w:rPr>
          <w:fldChar w:fldCharType="begin"/>
        </w:r>
        <w:r w:rsidR="009769F4">
          <w:rPr>
            <w:noProof/>
            <w:webHidden/>
          </w:rPr>
          <w:instrText xml:space="preserve"> PAGEREF _Toc179490348 \h </w:instrText>
        </w:r>
        <w:r w:rsidR="009769F4">
          <w:rPr>
            <w:noProof/>
            <w:webHidden/>
          </w:rPr>
        </w:r>
        <w:r w:rsidR="009769F4">
          <w:rPr>
            <w:noProof/>
            <w:webHidden/>
          </w:rPr>
          <w:fldChar w:fldCharType="separate"/>
        </w:r>
        <w:r w:rsidR="00255242">
          <w:rPr>
            <w:noProof/>
            <w:webHidden/>
          </w:rPr>
          <w:t>409</w:t>
        </w:r>
        <w:r w:rsidR="009769F4">
          <w:rPr>
            <w:noProof/>
            <w:webHidden/>
          </w:rPr>
          <w:fldChar w:fldCharType="end"/>
        </w:r>
      </w:hyperlink>
    </w:p>
    <w:p w14:paraId="0037A0A7" w14:textId="25AF6049"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49" w:history="1">
        <w:r w:rsidR="009769F4" w:rsidRPr="002D5E01">
          <w:rPr>
            <w:rStyle w:val="Hyperlink"/>
            <w:noProof/>
          </w:rPr>
          <w:t>8.</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Anesthetic, Preoperative Medicines and Medical Gases</w:t>
        </w:r>
        <w:r w:rsidR="009769F4">
          <w:rPr>
            <w:noProof/>
            <w:webHidden/>
          </w:rPr>
          <w:tab/>
        </w:r>
        <w:r w:rsidR="009769F4">
          <w:rPr>
            <w:noProof/>
            <w:webHidden/>
          </w:rPr>
          <w:fldChar w:fldCharType="begin"/>
        </w:r>
        <w:r w:rsidR="009769F4">
          <w:rPr>
            <w:noProof/>
            <w:webHidden/>
          </w:rPr>
          <w:instrText xml:space="preserve"> PAGEREF _Toc179490349 \h </w:instrText>
        </w:r>
        <w:r w:rsidR="009769F4">
          <w:rPr>
            <w:noProof/>
            <w:webHidden/>
          </w:rPr>
        </w:r>
        <w:r w:rsidR="009769F4">
          <w:rPr>
            <w:noProof/>
            <w:webHidden/>
          </w:rPr>
          <w:fldChar w:fldCharType="separate"/>
        </w:r>
        <w:r w:rsidR="00255242">
          <w:rPr>
            <w:noProof/>
            <w:webHidden/>
          </w:rPr>
          <w:t>413</w:t>
        </w:r>
        <w:r w:rsidR="009769F4">
          <w:rPr>
            <w:noProof/>
            <w:webHidden/>
          </w:rPr>
          <w:fldChar w:fldCharType="end"/>
        </w:r>
      </w:hyperlink>
    </w:p>
    <w:p w14:paraId="711AE5C1" w14:textId="298171CA"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0" w:history="1">
        <w:r w:rsidR="009769F4" w:rsidRPr="002D5E01">
          <w:rPr>
            <w:rStyle w:val="Hyperlink"/>
            <w:noProof/>
          </w:rPr>
          <w:t>General anesthetics</w:t>
        </w:r>
        <w:r w:rsidR="009769F4">
          <w:rPr>
            <w:noProof/>
            <w:webHidden/>
          </w:rPr>
          <w:tab/>
        </w:r>
        <w:r w:rsidR="009769F4">
          <w:rPr>
            <w:noProof/>
            <w:webHidden/>
          </w:rPr>
          <w:fldChar w:fldCharType="begin"/>
        </w:r>
        <w:r w:rsidR="009769F4">
          <w:rPr>
            <w:noProof/>
            <w:webHidden/>
          </w:rPr>
          <w:instrText xml:space="preserve"> PAGEREF _Toc179490350 \h </w:instrText>
        </w:r>
        <w:r w:rsidR="009769F4">
          <w:rPr>
            <w:noProof/>
            <w:webHidden/>
          </w:rPr>
        </w:r>
        <w:r w:rsidR="009769F4">
          <w:rPr>
            <w:noProof/>
            <w:webHidden/>
          </w:rPr>
          <w:fldChar w:fldCharType="separate"/>
        </w:r>
        <w:r w:rsidR="00255242">
          <w:rPr>
            <w:noProof/>
            <w:webHidden/>
          </w:rPr>
          <w:t>413</w:t>
        </w:r>
        <w:r w:rsidR="009769F4">
          <w:rPr>
            <w:noProof/>
            <w:webHidden/>
          </w:rPr>
          <w:fldChar w:fldCharType="end"/>
        </w:r>
      </w:hyperlink>
    </w:p>
    <w:p w14:paraId="2FED1B12" w14:textId="51AB4EF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1" w:history="1">
        <w:r w:rsidR="009769F4" w:rsidRPr="002D5E01">
          <w:rPr>
            <w:rStyle w:val="Hyperlink"/>
            <w:noProof/>
          </w:rPr>
          <w:t>Local anesthetics</w:t>
        </w:r>
        <w:r w:rsidR="009769F4">
          <w:rPr>
            <w:noProof/>
            <w:webHidden/>
          </w:rPr>
          <w:tab/>
        </w:r>
        <w:r w:rsidR="009769F4">
          <w:rPr>
            <w:noProof/>
            <w:webHidden/>
          </w:rPr>
          <w:fldChar w:fldCharType="begin"/>
        </w:r>
        <w:r w:rsidR="009769F4">
          <w:rPr>
            <w:noProof/>
            <w:webHidden/>
          </w:rPr>
          <w:instrText xml:space="preserve"> PAGEREF _Toc179490351 \h </w:instrText>
        </w:r>
        <w:r w:rsidR="009769F4">
          <w:rPr>
            <w:noProof/>
            <w:webHidden/>
          </w:rPr>
        </w:r>
        <w:r w:rsidR="009769F4">
          <w:rPr>
            <w:noProof/>
            <w:webHidden/>
          </w:rPr>
          <w:fldChar w:fldCharType="separate"/>
        </w:r>
        <w:r w:rsidR="00255242">
          <w:rPr>
            <w:noProof/>
            <w:webHidden/>
          </w:rPr>
          <w:t>426</w:t>
        </w:r>
        <w:r w:rsidR="009769F4">
          <w:rPr>
            <w:noProof/>
            <w:webHidden/>
          </w:rPr>
          <w:fldChar w:fldCharType="end"/>
        </w:r>
      </w:hyperlink>
    </w:p>
    <w:p w14:paraId="36345071" w14:textId="1DBC6B26"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2" w:history="1">
        <w:r w:rsidR="009769F4" w:rsidRPr="002D5E01">
          <w:rPr>
            <w:rStyle w:val="Hyperlink"/>
            <w:rFonts w:eastAsia="SimSun"/>
            <w:noProof/>
          </w:rPr>
          <w:t>Preoperative medication and sedation for short term procedure</w:t>
        </w:r>
        <w:r w:rsidR="009769F4">
          <w:rPr>
            <w:noProof/>
            <w:webHidden/>
          </w:rPr>
          <w:tab/>
        </w:r>
        <w:r w:rsidR="009769F4">
          <w:rPr>
            <w:noProof/>
            <w:webHidden/>
          </w:rPr>
          <w:fldChar w:fldCharType="begin"/>
        </w:r>
        <w:r w:rsidR="009769F4">
          <w:rPr>
            <w:noProof/>
            <w:webHidden/>
          </w:rPr>
          <w:instrText xml:space="preserve"> PAGEREF _Toc179490352 \h </w:instrText>
        </w:r>
        <w:r w:rsidR="009769F4">
          <w:rPr>
            <w:noProof/>
            <w:webHidden/>
          </w:rPr>
        </w:r>
        <w:r w:rsidR="009769F4">
          <w:rPr>
            <w:noProof/>
            <w:webHidden/>
          </w:rPr>
          <w:fldChar w:fldCharType="separate"/>
        </w:r>
        <w:r w:rsidR="00255242">
          <w:rPr>
            <w:noProof/>
            <w:webHidden/>
          </w:rPr>
          <w:t>432</w:t>
        </w:r>
        <w:r w:rsidR="009769F4">
          <w:rPr>
            <w:noProof/>
            <w:webHidden/>
          </w:rPr>
          <w:fldChar w:fldCharType="end"/>
        </w:r>
      </w:hyperlink>
    </w:p>
    <w:p w14:paraId="0FFEBCCC" w14:textId="76D57741"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3" w:history="1">
        <w:r w:rsidR="009769F4" w:rsidRPr="002D5E01">
          <w:rPr>
            <w:rStyle w:val="Hyperlink"/>
            <w:noProof/>
          </w:rPr>
          <w:t>Medical gases</w:t>
        </w:r>
        <w:r w:rsidR="009769F4">
          <w:rPr>
            <w:noProof/>
            <w:webHidden/>
          </w:rPr>
          <w:tab/>
        </w:r>
        <w:r w:rsidR="009769F4">
          <w:rPr>
            <w:noProof/>
            <w:webHidden/>
          </w:rPr>
          <w:fldChar w:fldCharType="begin"/>
        </w:r>
        <w:r w:rsidR="009769F4">
          <w:rPr>
            <w:noProof/>
            <w:webHidden/>
          </w:rPr>
          <w:instrText xml:space="preserve"> PAGEREF _Toc179490353 \h </w:instrText>
        </w:r>
        <w:r w:rsidR="009769F4">
          <w:rPr>
            <w:noProof/>
            <w:webHidden/>
          </w:rPr>
        </w:r>
        <w:r w:rsidR="009769F4">
          <w:rPr>
            <w:noProof/>
            <w:webHidden/>
          </w:rPr>
          <w:fldChar w:fldCharType="separate"/>
        </w:r>
        <w:r w:rsidR="00255242">
          <w:rPr>
            <w:noProof/>
            <w:webHidden/>
          </w:rPr>
          <w:t>437</w:t>
        </w:r>
        <w:r w:rsidR="009769F4">
          <w:rPr>
            <w:noProof/>
            <w:webHidden/>
          </w:rPr>
          <w:fldChar w:fldCharType="end"/>
        </w:r>
      </w:hyperlink>
    </w:p>
    <w:p w14:paraId="3A9D84FF" w14:textId="7F85579A" w:rsidR="009769F4" w:rsidRDefault="00EA5977">
      <w:pPr>
        <w:pStyle w:val="TOC1"/>
        <w:tabs>
          <w:tab w:val="left" w:pos="440"/>
          <w:tab w:val="right" w:leader="dot" w:pos="9350"/>
        </w:tabs>
        <w:rPr>
          <w:rFonts w:asciiTheme="minorHAnsi" w:hAnsiTheme="minorHAnsi" w:cstheme="minorBidi"/>
          <w:b w:val="0"/>
          <w:bCs w:val="0"/>
          <w:caps w:val="0"/>
          <w:noProof/>
          <w:kern w:val="0"/>
          <w:sz w:val="22"/>
          <w:szCs w:val="22"/>
          <w:lang w:val="en-US" w:eastAsia="en-US"/>
        </w:rPr>
      </w:pPr>
      <w:hyperlink w:anchor="_Toc179490354" w:history="1">
        <w:r w:rsidR="009769F4" w:rsidRPr="002D5E01">
          <w:rPr>
            <w:rStyle w:val="Hyperlink"/>
            <w:noProof/>
          </w:rPr>
          <w:t>9.</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Muscle Relaxants (Peripherally – Acting) And Cholinesterase Inhibitor</w:t>
        </w:r>
        <w:r w:rsidR="009769F4">
          <w:rPr>
            <w:noProof/>
            <w:webHidden/>
          </w:rPr>
          <w:tab/>
        </w:r>
        <w:r w:rsidR="009769F4">
          <w:rPr>
            <w:noProof/>
            <w:webHidden/>
          </w:rPr>
          <w:fldChar w:fldCharType="begin"/>
        </w:r>
        <w:r w:rsidR="009769F4">
          <w:rPr>
            <w:noProof/>
            <w:webHidden/>
          </w:rPr>
          <w:instrText xml:space="preserve"> PAGEREF _Toc179490354 \h </w:instrText>
        </w:r>
        <w:r w:rsidR="009769F4">
          <w:rPr>
            <w:noProof/>
            <w:webHidden/>
          </w:rPr>
        </w:r>
        <w:r w:rsidR="009769F4">
          <w:rPr>
            <w:noProof/>
            <w:webHidden/>
          </w:rPr>
          <w:fldChar w:fldCharType="separate"/>
        </w:r>
        <w:r w:rsidR="00255242">
          <w:rPr>
            <w:noProof/>
            <w:webHidden/>
          </w:rPr>
          <w:t>438</w:t>
        </w:r>
        <w:r w:rsidR="009769F4">
          <w:rPr>
            <w:noProof/>
            <w:webHidden/>
          </w:rPr>
          <w:fldChar w:fldCharType="end"/>
        </w:r>
      </w:hyperlink>
    </w:p>
    <w:p w14:paraId="48040EE4" w14:textId="4E39FDB8"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55" w:history="1">
        <w:r w:rsidR="009769F4" w:rsidRPr="002D5E01">
          <w:rPr>
            <w:rStyle w:val="Hyperlink"/>
            <w:noProof/>
          </w:rPr>
          <w:t>10.</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For Joint Diseases</w:t>
        </w:r>
        <w:r w:rsidR="009769F4">
          <w:rPr>
            <w:noProof/>
            <w:webHidden/>
          </w:rPr>
          <w:tab/>
        </w:r>
        <w:r w:rsidR="009769F4">
          <w:rPr>
            <w:noProof/>
            <w:webHidden/>
          </w:rPr>
          <w:fldChar w:fldCharType="begin"/>
        </w:r>
        <w:r w:rsidR="009769F4">
          <w:rPr>
            <w:noProof/>
            <w:webHidden/>
          </w:rPr>
          <w:instrText xml:space="preserve"> PAGEREF _Toc179490355 \h </w:instrText>
        </w:r>
        <w:r w:rsidR="009769F4">
          <w:rPr>
            <w:noProof/>
            <w:webHidden/>
          </w:rPr>
        </w:r>
        <w:r w:rsidR="009769F4">
          <w:rPr>
            <w:noProof/>
            <w:webHidden/>
          </w:rPr>
          <w:fldChar w:fldCharType="separate"/>
        </w:r>
        <w:r w:rsidR="00255242">
          <w:rPr>
            <w:noProof/>
            <w:webHidden/>
          </w:rPr>
          <w:t>448</w:t>
        </w:r>
        <w:r w:rsidR="009769F4">
          <w:rPr>
            <w:noProof/>
            <w:webHidden/>
          </w:rPr>
          <w:fldChar w:fldCharType="end"/>
        </w:r>
      </w:hyperlink>
    </w:p>
    <w:p w14:paraId="5EBC1C04" w14:textId="7A50E82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6" w:history="1">
        <w:r w:rsidR="009769F4" w:rsidRPr="002D5E01">
          <w:rPr>
            <w:rStyle w:val="Hyperlink"/>
            <w:noProof/>
          </w:rPr>
          <w:t>Medicines used for gout</w:t>
        </w:r>
        <w:r w:rsidR="009769F4">
          <w:rPr>
            <w:noProof/>
            <w:webHidden/>
          </w:rPr>
          <w:tab/>
        </w:r>
        <w:r w:rsidR="009769F4">
          <w:rPr>
            <w:noProof/>
            <w:webHidden/>
          </w:rPr>
          <w:fldChar w:fldCharType="begin"/>
        </w:r>
        <w:r w:rsidR="009769F4">
          <w:rPr>
            <w:noProof/>
            <w:webHidden/>
          </w:rPr>
          <w:instrText xml:space="preserve"> PAGEREF _Toc179490356 \h </w:instrText>
        </w:r>
        <w:r w:rsidR="009769F4">
          <w:rPr>
            <w:noProof/>
            <w:webHidden/>
          </w:rPr>
        </w:r>
        <w:r w:rsidR="009769F4">
          <w:rPr>
            <w:noProof/>
            <w:webHidden/>
          </w:rPr>
          <w:fldChar w:fldCharType="separate"/>
        </w:r>
        <w:r w:rsidR="00255242">
          <w:rPr>
            <w:noProof/>
            <w:webHidden/>
          </w:rPr>
          <w:t>448</w:t>
        </w:r>
        <w:r w:rsidR="009769F4">
          <w:rPr>
            <w:noProof/>
            <w:webHidden/>
          </w:rPr>
          <w:fldChar w:fldCharType="end"/>
        </w:r>
      </w:hyperlink>
    </w:p>
    <w:p w14:paraId="718BA176" w14:textId="256B0898"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7" w:history="1">
        <w:r w:rsidR="009769F4" w:rsidRPr="002D5E01">
          <w:rPr>
            <w:rStyle w:val="Hyperlink"/>
            <w:noProof/>
          </w:rPr>
          <w:t>Disease modifying anti-rheumatic drugs</w:t>
        </w:r>
        <w:r w:rsidR="009769F4">
          <w:rPr>
            <w:noProof/>
            <w:webHidden/>
          </w:rPr>
          <w:tab/>
        </w:r>
        <w:r w:rsidR="009769F4">
          <w:rPr>
            <w:noProof/>
            <w:webHidden/>
          </w:rPr>
          <w:fldChar w:fldCharType="begin"/>
        </w:r>
        <w:r w:rsidR="009769F4">
          <w:rPr>
            <w:noProof/>
            <w:webHidden/>
          </w:rPr>
          <w:instrText xml:space="preserve"> PAGEREF _Toc179490357 \h </w:instrText>
        </w:r>
        <w:r w:rsidR="009769F4">
          <w:rPr>
            <w:noProof/>
            <w:webHidden/>
          </w:rPr>
        </w:r>
        <w:r w:rsidR="009769F4">
          <w:rPr>
            <w:noProof/>
            <w:webHidden/>
          </w:rPr>
          <w:fldChar w:fldCharType="separate"/>
        </w:r>
        <w:r w:rsidR="00255242">
          <w:rPr>
            <w:noProof/>
            <w:webHidden/>
          </w:rPr>
          <w:t>453</w:t>
        </w:r>
        <w:r w:rsidR="009769F4">
          <w:rPr>
            <w:noProof/>
            <w:webHidden/>
          </w:rPr>
          <w:fldChar w:fldCharType="end"/>
        </w:r>
      </w:hyperlink>
    </w:p>
    <w:p w14:paraId="14BE2E2C" w14:textId="1937B6EA"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58" w:history="1">
        <w:r w:rsidR="009769F4" w:rsidRPr="002D5E01">
          <w:rPr>
            <w:rStyle w:val="Hyperlink"/>
            <w:noProof/>
          </w:rPr>
          <w:t>Medicines for juvenile joint diseases</w:t>
        </w:r>
        <w:r w:rsidR="009769F4">
          <w:rPr>
            <w:noProof/>
            <w:webHidden/>
          </w:rPr>
          <w:tab/>
        </w:r>
        <w:r w:rsidR="009769F4">
          <w:rPr>
            <w:noProof/>
            <w:webHidden/>
          </w:rPr>
          <w:fldChar w:fldCharType="begin"/>
        </w:r>
        <w:r w:rsidR="009769F4">
          <w:rPr>
            <w:noProof/>
            <w:webHidden/>
          </w:rPr>
          <w:instrText xml:space="preserve"> PAGEREF _Toc179490358 \h </w:instrText>
        </w:r>
        <w:r w:rsidR="009769F4">
          <w:rPr>
            <w:noProof/>
            <w:webHidden/>
          </w:rPr>
        </w:r>
        <w:r w:rsidR="009769F4">
          <w:rPr>
            <w:noProof/>
            <w:webHidden/>
          </w:rPr>
          <w:fldChar w:fldCharType="separate"/>
        </w:r>
        <w:r w:rsidR="00255242">
          <w:rPr>
            <w:noProof/>
            <w:webHidden/>
          </w:rPr>
          <w:t>457</w:t>
        </w:r>
        <w:r w:rsidR="009769F4">
          <w:rPr>
            <w:noProof/>
            <w:webHidden/>
          </w:rPr>
          <w:fldChar w:fldCharType="end"/>
        </w:r>
      </w:hyperlink>
    </w:p>
    <w:p w14:paraId="5EFDFCAA" w14:textId="4F50AB4E"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59" w:history="1">
        <w:r w:rsidR="009769F4" w:rsidRPr="002D5E01">
          <w:rPr>
            <w:rStyle w:val="Hyperlink"/>
            <w:noProof/>
          </w:rPr>
          <w:t>11.</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Vitamins and Minerals</w:t>
        </w:r>
        <w:r w:rsidR="009769F4">
          <w:rPr>
            <w:noProof/>
            <w:webHidden/>
          </w:rPr>
          <w:tab/>
        </w:r>
        <w:r w:rsidR="009769F4">
          <w:rPr>
            <w:noProof/>
            <w:webHidden/>
          </w:rPr>
          <w:fldChar w:fldCharType="begin"/>
        </w:r>
        <w:r w:rsidR="009769F4">
          <w:rPr>
            <w:noProof/>
            <w:webHidden/>
          </w:rPr>
          <w:instrText xml:space="preserve"> PAGEREF _Toc179490359 \h </w:instrText>
        </w:r>
        <w:r w:rsidR="009769F4">
          <w:rPr>
            <w:noProof/>
            <w:webHidden/>
          </w:rPr>
        </w:r>
        <w:r w:rsidR="009769F4">
          <w:rPr>
            <w:noProof/>
            <w:webHidden/>
          </w:rPr>
          <w:fldChar w:fldCharType="separate"/>
        </w:r>
        <w:r w:rsidR="00255242">
          <w:rPr>
            <w:noProof/>
            <w:webHidden/>
          </w:rPr>
          <w:t>462</w:t>
        </w:r>
        <w:r w:rsidR="009769F4">
          <w:rPr>
            <w:noProof/>
            <w:webHidden/>
          </w:rPr>
          <w:fldChar w:fldCharType="end"/>
        </w:r>
      </w:hyperlink>
    </w:p>
    <w:p w14:paraId="50D2E5D1" w14:textId="04A3EBC5"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0" w:history="1">
        <w:r w:rsidR="009769F4" w:rsidRPr="002D5E01">
          <w:rPr>
            <w:rStyle w:val="Hyperlink"/>
            <w:noProof/>
          </w:rPr>
          <w:t>Vitamins</w:t>
        </w:r>
        <w:r w:rsidR="009769F4">
          <w:rPr>
            <w:noProof/>
            <w:webHidden/>
          </w:rPr>
          <w:tab/>
        </w:r>
        <w:r w:rsidR="009769F4">
          <w:rPr>
            <w:noProof/>
            <w:webHidden/>
          </w:rPr>
          <w:fldChar w:fldCharType="begin"/>
        </w:r>
        <w:r w:rsidR="009769F4">
          <w:rPr>
            <w:noProof/>
            <w:webHidden/>
          </w:rPr>
          <w:instrText xml:space="preserve"> PAGEREF _Toc179490360 \h </w:instrText>
        </w:r>
        <w:r w:rsidR="009769F4">
          <w:rPr>
            <w:noProof/>
            <w:webHidden/>
          </w:rPr>
        </w:r>
        <w:r w:rsidR="009769F4">
          <w:rPr>
            <w:noProof/>
            <w:webHidden/>
          </w:rPr>
          <w:fldChar w:fldCharType="separate"/>
        </w:r>
        <w:r w:rsidR="00255242">
          <w:rPr>
            <w:noProof/>
            <w:webHidden/>
          </w:rPr>
          <w:t>462</w:t>
        </w:r>
        <w:r w:rsidR="009769F4">
          <w:rPr>
            <w:noProof/>
            <w:webHidden/>
          </w:rPr>
          <w:fldChar w:fldCharType="end"/>
        </w:r>
      </w:hyperlink>
    </w:p>
    <w:p w14:paraId="45C75785" w14:textId="3A72A22A"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1" w:history="1">
        <w:r w:rsidR="009769F4" w:rsidRPr="002D5E01">
          <w:rPr>
            <w:rStyle w:val="Hyperlink"/>
            <w:noProof/>
          </w:rPr>
          <w:t>Minerals</w:t>
        </w:r>
        <w:r w:rsidR="009769F4">
          <w:rPr>
            <w:noProof/>
            <w:webHidden/>
          </w:rPr>
          <w:tab/>
        </w:r>
        <w:r w:rsidR="009769F4">
          <w:rPr>
            <w:noProof/>
            <w:webHidden/>
          </w:rPr>
          <w:fldChar w:fldCharType="begin"/>
        </w:r>
        <w:r w:rsidR="009769F4">
          <w:rPr>
            <w:noProof/>
            <w:webHidden/>
          </w:rPr>
          <w:instrText xml:space="preserve"> PAGEREF _Toc179490361 \h </w:instrText>
        </w:r>
        <w:r w:rsidR="009769F4">
          <w:rPr>
            <w:noProof/>
            <w:webHidden/>
          </w:rPr>
        </w:r>
        <w:r w:rsidR="009769F4">
          <w:rPr>
            <w:noProof/>
            <w:webHidden/>
          </w:rPr>
          <w:fldChar w:fldCharType="separate"/>
        </w:r>
        <w:r w:rsidR="00255242">
          <w:rPr>
            <w:noProof/>
            <w:webHidden/>
          </w:rPr>
          <w:t>476</w:t>
        </w:r>
        <w:r w:rsidR="009769F4">
          <w:rPr>
            <w:noProof/>
            <w:webHidden/>
          </w:rPr>
          <w:fldChar w:fldCharType="end"/>
        </w:r>
      </w:hyperlink>
    </w:p>
    <w:p w14:paraId="0B7565EE" w14:textId="2860FED2"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62" w:history="1">
        <w:r w:rsidR="009769F4" w:rsidRPr="002D5E01">
          <w:rPr>
            <w:rStyle w:val="Hyperlink"/>
            <w:noProof/>
          </w:rPr>
          <w:t>12.</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Antiallergics and Medicines Used in Anaphylaxis</w:t>
        </w:r>
        <w:r w:rsidR="009769F4">
          <w:rPr>
            <w:noProof/>
            <w:webHidden/>
          </w:rPr>
          <w:tab/>
        </w:r>
        <w:r w:rsidR="009769F4">
          <w:rPr>
            <w:noProof/>
            <w:webHidden/>
          </w:rPr>
          <w:fldChar w:fldCharType="begin"/>
        </w:r>
        <w:r w:rsidR="009769F4">
          <w:rPr>
            <w:noProof/>
            <w:webHidden/>
          </w:rPr>
          <w:instrText xml:space="preserve"> PAGEREF _Toc179490362 \h </w:instrText>
        </w:r>
        <w:r w:rsidR="009769F4">
          <w:rPr>
            <w:noProof/>
            <w:webHidden/>
          </w:rPr>
        </w:r>
        <w:r w:rsidR="009769F4">
          <w:rPr>
            <w:noProof/>
            <w:webHidden/>
          </w:rPr>
          <w:fldChar w:fldCharType="separate"/>
        </w:r>
        <w:r w:rsidR="00255242">
          <w:rPr>
            <w:noProof/>
            <w:webHidden/>
          </w:rPr>
          <w:t>482</w:t>
        </w:r>
        <w:r w:rsidR="009769F4">
          <w:rPr>
            <w:noProof/>
            <w:webHidden/>
          </w:rPr>
          <w:fldChar w:fldCharType="end"/>
        </w:r>
      </w:hyperlink>
    </w:p>
    <w:p w14:paraId="31D4226B" w14:textId="5EA36B91"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3" w:history="1">
        <w:r w:rsidR="009769F4" w:rsidRPr="002D5E01">
          <w:rPr>
            <w:rStyle w:val="Hyperlink"/>
            <w:noProof/>
          </w:rPr>
          <w:t>Antiallergics</w:t>
        </w:r>
        <w:r w:rsidR="009769F4">
          <w:rPr>
            <w:noProof/>
            <w:webHidden/>
          </w:rPr>
          <w:tab/>
        </w:r>
        <w:r w:rsidR="009769F4">
          <w:rPr>
            <w:noProof/>
            <w:webHidden/>
          </w:rPr>
          <w:fldChar w:fldCharType="begin"/>
        </w:r>
        <w:r w:rsidR="009769F4">
          <w:rPr>
            <w:noProof/>
            <w:webHidden/>
          </w:rPr>
          <w:instrText xml:space="preserve"> PAGEREF _Toc179490363 \h </w:instrText>
        </w:r>
        <w:r w:rsidR="009769F4">
          <w:rPr>
            <w:noProof/>
            <w:webHidden/>
          </w:rPr>
        </w:r>
        <w:r w:rsidR="009769F4">
          <w:rPr>
            <w:noProof/>
            <w:webHidden/>
          </w:rPr>
          <w:fldChar w:fldCharType="separate"/>
        </w:r>
        <w:r w:rsidR="00255242">
          <w:rPr>
            <w:noProof/>
            <w:webHidden/>
          </w:rPr>
          <w:t>482</w:t>
        </w:r>
        <w:r w:rsidR="009769F4">
          <w:rPr>
            <w:noProof/>
            <w:webHidden/>
          </w:rPr>
          <w:fldChar w:fldCharType="end"/>
        </w:r>
      </w:hyperlink>
    </w:p>
    <w:p w14:paraId="32393D3C" w14:textId="631E734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4" w:history="1">
        <w:r w:rsidR="009769F4" w:rsidRPr="002D5E01">
          <w:rPr>
            <w:rStyle w:val="Hyperlink"/>
            <w:noProof/>
          </w:rPr>
          <w:t>Medicines used in anaphylaxis</w:t>
        </w:r>
        <w:r w:rsidR="009769F4">
          <w:rPr>
            <w:noProof/>
            <w:webHidden/>
          </w:rPr>
          <w:tab/>
        </w:r>
        <w:r w:rsidR="009769F4">
          <w:rPr>
            <w:noProof/>
            <w:webHidden/>
          </w:rPr>
          <w:fldChar w:fldCharType="begin"/>
        </w:r>
        <w:r w:rsidR="009769F4">
          <w:rPr>
            <w:noProof/>
            <w:webHidden/>
          </w:rPr>
          <w:instrText xml:space="preserve"> PAGEREF _Toc179490364 \h </w:instrText>
        </w:r>
        <w:r w:rsidR="009769F4">
          <w:rPr>
            <w:noProof/>
            <w:webHidden/>
          </w:rPr>
        </w:r>
        <w:r w:rsidR="009769F4">
          <w:rPr>
            <w:noProof/>
            <w:webHidden/>
          </w:rPr>
          <w:fldChar w:fldCharType="separate"/>
        </w:r>
        <w:r w:rsidR="00255242">
          <w:rPr>
            <w:noProof/>
            <w:webHidden/>
          </w:rPr>
          <w:t>492</w:t>
        </w:r>
        <w:r w:rsidR="009769F4">
          <w:rPr>
            <w:noProof/>
            <w:webHidden/>
          </w:rPr>
          <w:fldChar w:fldCharType="end"/>
        </w:r>
      </w:hyperlink>
    </w:p>
    <w:p w14:paraId="58EF02E2" w14:textId="31D8E210"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65" w:history="1">
        <w:r w:rsidR="009769F4" w:rsidRPr="002D5E01">
          <w:rPr>
            <w:rStyle w:val="Hyperlink"/>
            <w:noProof/>
          </w:rPr>
          <w:t>13.</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in Endocrine Disorders</w:t>
        </w:r>
        <w:r w:rsidR="009769F4">
          <w:rPr>
            <w:noProof/>
            <w:webHidden/>
          </w:rPr>
          <w:tab/>
        </w:r>
        <w:r w:rsidR="009769F4">
          <w:rPr>
            <w:noProof/>
            <w:webHidden/>
          </w:rPr>
          <w:fldChar w:fldCharType="begin"/>
        </w:r>
        <w:r w:rsidR="009769F4">
          <w:rPr>
            <w:noProof/>
            <w:webHidden/>
          </w:rPr>
          <w:instrText xml:space="preserve"> PAGEREF _Toc179490365 \h </w:instrText>
        </w:r>
        <w:r w:rsidR="009769F4">
          <w:rPr>
            <w:noProof/>
            <w:webHidden/>
          </w:rPr>
        </w:r>
        <w:r w:rsidR="009769F4">
          <w:rPr>
            <w:noProof/>
            <w:webHidden/>
          </w:rPr>
          <w:fldChar w:fldCharType="separate"/>
        </w:r>
        <w:r w:rsidR="00255242">
          <w:rPr>
            <w:noProof/>
            <w:webHidden/>
          </w:rPr>
          <w:t>496</w:t>
        </w:r>
        <w:r w:rsidR="009769F4">
          <w:rPr>
            <w:noProof/>
            <w:webHidden/>
          </w:rPr>
          <w:fldChar w:fldCharType="end"/>
        </w:r>
      </w:hyperlink>
    </w:p>
    <w:p w14:paraId="644E7B01" w14:textId="1432C193"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6" w:history="1">
        <w:r w:rsidR="009769F4" w:rsidRPr="002D5E01">
          <w:rPr>
            <w:rStyle w:val="Hyperlink"/>
            <w:noProof/>
          </w:rPr>
          <w:t>Corticosteroid preparations</w:t>
        </w:r>
        <w:r w:rsidR="009769F4">
          <w:rPr>
            <w:noProof/>
            <w:webHidden/>
          </w:rPr>
          <w:tab/>
        </w:r>
        <w:r w:rsidR="009769F4">
          <w:rPr>
            <w:noProof/>
            <w:webHidden/>
          </w:rPr>
          <w:fldChar w:fldCharType="begin"/>
        </w:r>
        <w:r w:rsidR="009769F4">
          <w:rPr>
            <w:noProof/>
            <w:webHidden/>
          </w:rPr>
          <w:instrText xml:space="preserve"> PAGEREF _Toc179490366 \h </w:instrText>
        </w:r>
        <w:r w:rsidR="009769F4">
          <w:rPr>
            <w:noProof/>
            <w:webHidden/>
          </w:rPr>
        </w:r>
        <w:r w:rsidR="009769F4">
          <w:rPr>
            <w:noProof/>
            <w:webHidden/>
          </w:rPr>
          <w:fldChar w:fldCharType="separate"/>
        </w:r>
        <w:r w:rsidR="00255242">
          <w:rPr>
            <w:noProof/>
            <w:webHidden/>
          </w:rPr>
          <w:t>496</w:t>
        </w:r>
        <w:r w:rsidR="009769F4">
          <w:rPr>
            <w:noProof/>
            <w:webHidden/>
          </w:rPr>
          <w:fldChar w:fldCharType="end"/>
        </w:r>
      </w:hyperlink>
    </w:p>
    <w:p w14:paraId="31D1CC93" w14:textId="72F7F650"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7" w:history="1">
        <w:r w:rsidR="009769F4" w:rsidRPr="002D5E01">
          <w:rPr>
            <w:rStyle w:val="Hyperlink"/>
            <w:rFonts w:eastAsiaTheme="minorHAnsi"/>
            <w:noProof/>
          </w:rPr>
          <w:t>Thyroid hormone and anti-thyroid medicines</w:t>
        </w:r>
        <w:r w:rsidR="009769F4">
          <w:rPr>
            <w:noProof/>
            <w:webHidden/>
          </w:rPr>
          <w:tab/>
        </w:r>
        <w:r w:rsidR="009769F4">
          <w:rPr>
            <w:noProof/>
            <w:webHidden/>
          </w:rPr>
          <w:fldChar w:fldCharType="begin"/>
        </w:r>
        <w:r w:rsidR="009769F4">
          <w:rPr>
            <w:noProof/>
            <w:webHidden/>
          </w:rPr>
          <w:instrText xml:space="preserve"> PAGEREF _Toc179490367 \h </w:instrText>
        </w:r>
        <w:r w:rsidR="009769F4">
          <w:rPr>
            <w:noProof/>
            <w:webHidden/>
          </w:rPr>
        </w:r>
        <w:r w:rsidR="009769F4">
          <w:rPr>
            <w:noProof/>
            <w:webHidden/>
          </w:rPr>
          <w:fldChar w:fldCharType="separate"/>
        </w:r>
        <w:r w:rsidR="00255242">
          <w:rPr>
            <w:noProof/>
            <w:webHidden/>
          </w:rPr>
          <w:t>507</w:t>
        </w:r>
        <w:r w:rsidR="009769F4">
          <w:rPr>
            <w:noProof/>
            <w:webHidden/>
          </w:rPr>
          <w:fldChar w:fldCharType="end"/>
        </w:r>
      </w:hyperlink>
    </w:p>
    <w:p w14:paraId="58A1FCDE" w14:textId="03E5410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8" w:history="1">
        <w:r w:rsidR="009769F4" w:rsidRPr="002D5E01">
          <w:rPr>
            <w:rStyle w:val="Hyperlink"/>
            <w:noProof/>
          </w:rPr>
          <w:t>Medicines used for diabetes mellitus</w:t>
        </w:r>
        <w:r w:rsidR="009769F4">
          <w:rPr>
            <w:noProof/>
            <w:webHidden/>
          </w:rPr>
          <w:tab/>
        </w:r>
        <w:r w:rsidR="009769F4">
          <w:rPr>
            <w:noProof/>
            <w:webHidden/>
          </w:rPr>
          <w:fldChar w:fldCharType="begin"/>
        </w:r>
        <w:r w:rsidR="009769F4">
          <w:rPr>
            <w:noProof/>
            <w:webHidden/>
          </w:rPr>
          <w:instrText xml:space="preserve"> PAGEREF _Toc179490368 \h </w:instrText>
        </w:r>
        <w:r w:rsidR="009769F4">
          <w:rPr>
            <w:noProof/>
            <w:webHidden/>
          </w:rPr>
        </w:r>
        <w:r w:rsidR="009769F4">
          <w:rPr>
            <w:noProof/>
            <w:webHidden/>
          </w:rPr>
          <w:fldChar w:fldCharType="separate"/>
        </w:r>
        <w:r w:rsidR="00255242">
          <w:rPr>
            <w:noProof/>
            <w:webHidden/>
          </w:rPr>
          <w:t>516</w:t>
        </w:r>
        <w:r w:rsidR="009769F4">
          <w:rPr>
            <w:noProof/>
            <w:webHidden/>
          </w:rPr>
          <w:fldChar w:fldCharType="end"/>
        </w:r>
      </w:hyperlink>
    </w:p>
    <w:p w14:paraId="596EA5D7" w14:textId="63904333"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69" w:history="1">
        <w:r w:rsidR="009769F4" w:rsidRPr="002D5E01">
          <w:rPr>
            <w:rStyle w:val="Hyperlink"/>
            <w:noProof/>
          </w:rPr>
          <w:t>Medicines for the management of hypoglycaemia</w:t>
        </w:r>
        <w:r w:rsidR="009769F4">
          <w:rPr>
            <w:noProof/>
            <w:webHidden/>
          </w:rPr>
          <w:tab/>
        </w:r>
        <w:r w:rsidR="009769F4">
          <w:rPr>
            <w:noProof/>
            <w:webHidden/>
          </w:rPr>
          <w:fldChar w:fldCharType="begin"/>
        </w:r>
        <w:r w:rsidR="009769F4">
          <w:rPr>
            <w:noProof/>
            <w:webHidden/>
          </w:rPr>
          <w:instrText xml:space="preserve"> PAGEREF _Toc179490369 \h </w:instrText>
        </w:r>
        <w:r w:rsidR="009769F4">
          <w:rPr>
            <w:noProof/>
            <w:webHidden/>
          </w:rPr>
        </w:r>
        <w:r w:rsidR="009769F4">
          <w:rPr>
            <w:noProof/>
            <w:webHidden/>
          </w:rPr>
          <w:fldChar w:fldCharType="separate"/>
        </w:r>
        <w:r w:rsidR="00255242">
          <w:rPr>
            <w:noProof/>
            <w:webHidden/>
          </w:rPr>
          <w:t>527</w:t>
        </w:r>
        <w:r w:rsidR="009769F4">
          <w:rPr>
            <w:noProof/>
            <w:webHidden/>
          </w:rPr>
          <w:fldChar w:fldCharType="end"/>
        </w:r>
      </w:hyperlink>
    </w:p>
    <w:p w14:paraId="04DD171B" w14:textId="296C0CC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0" w:history="1">
        <w:r w:rsidR="009769F4" w:rsidRPr="002D5E01">
          <w:rPr>
            <w:rStyle w:val="Hyperlink"/>
            <w:noProof/>
          </w:rPr>
          <w:t>Medicines used for the disorders of the pituitary hormone system</w:t>
        </w:r>
        <w:r w:rsidR="009769F4">
          <w:rPr>
            <w:noProof/>
            <w:webHidden/>
          </w:rPr>
          <w:tab/>
        </w:r>
        <w:r w:rsidR="009769F4">
          <w:rPr>
            <w:noProof/>
            <w:webHidden/>
          </w:rPr>
          <w:fldChar w:fldCharType="begin"/>
        </w:r>
        <w:r w:rsidR="009769F4">
          <w:rPr>
            <w:noProof/>
            <w:webHidden/>
          </w:rPr>
          <w:instrText xml:space="preserve"> PAGEREF _Toc179490370 \h </w:instrText>
        </w:r>
        <w:r w:rsidR="009769F4">
          <w:rPr>
            <w:noProof/>
            <w:webHidden/>
          </w:rPr>
        </w:r>
        <w:r w:rsidR="009769F4">
          <w:rPr>
            <w:noProof/>
            <w:webHidden/>
          </w:rPr>
          <w:fldChar w:fldCharType="separate"/>
        </w:r>
        <w:r w:rsidR="00255242">
          <w:rPr>
            <w:noProof/>
            <w:webHidden/>
          </w:rPr>
          <w:t>529</w:t>
        </w:r>
        <w:r w:rsidR="009769F4">
          <w:rPr>
            <w:noProof/>
            <w:webHidden/>
          </w:rPr>
          <w:fldChar w:fldCharType="end"/>
        </w:r>
      </w:hyperlink>
    </w:p>
    <w:p w14:paraId="30CC0CCC" w14:textId="6F32D26F"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71" w:history="1">
        <w:r w:rsidR="009769F4" w:rsidRPr="002D5E01">
          <w:rPr>
            <w:rStyle w:val="Hyperlink"/>
            <w:noProof/>
          </w:rPr>
          <w:t>14.</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for Reproductive Health and Perinatal Care</w:t>
        </w:r>
        <w:r w:rsidR="009769F4">
          <w:rPr>
            <w:noProof/>
            <w:webHidden/>
          </w:rPr>
          <w:tab/>
        </w:r>
        <w:r w:rsidR="009769F4">
          <w:rPr>
            <w:noProof/>
            <w:webHidden/>
          </w:rPr>
          <w:fldChar w:fldCharType="begin"/>
        </w:r>
        <w:r w:rsidR="009769F4">
          <w:rPr>
            <w:noProof/>
            <w:webHidden/>
          </w:rPr>
          <w:instrText xml:space="preserve"> PAGEREF _Toc179490371 \h </w:instrText>
        </w:r>
        <w:r w:rsidR="009769F4">
          <w:rPr>
            <w:noProof/>
            <w:webHidden/>
          </w:rPr>
        </w:r>
        <w:r w:rsidR="009769F4">
          <w:rPr>
            <w:noProof/>
            <w:webHidden/>
          </w:rPr>
          <w:fldChar w:fldCharType="separate"/>
        </w:r>
        <w:r w:rsidR="00255242">
          <w:rPr>
            <w:noProof/>
            <w:webHidden/>
          </w:rPr>
          <w:t>533</w:t>
        </w:r>
        <w:r w:rsidR="009769F4">
          <w:rPr>
            <w:noProof/>
            <w:webHidden/>
          </w:rPr>
          <w:fldChar w:fldCharType="end"/>
        </w:r>
      </w:hyperlink>
    </w:p>
    <w:p w14:paraId="1F13CB79" w14:textId="5B3B3BB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2" w:history="1">
        <w:r w:rsidR="009769F4" w:rsidRPr="002D5E01">
          <w:rPr>
            <w:rStyle w:val="Hyperlink"/>
            <w:noProof/>
          </w:rPr>
          <w:t>Contraceptives</w:t>
        </w:r>
        <w:r w:rsidR="009769F4">
          <w:rPr>
            <w:noProof/>
            <w:webHidden/>
          </w:rPr>
          <w:tab/>
        </w:r>
        <w:r w:rsidR="009769F4">
          <w:rPr>
            <w:noProof/>
            <w:webHidden/>
          </w:rPr>
          <w:fldChar w:fldCharType="begin"/>
        </w:r>
        <w:r w:rsidR="009769F4">
          <w:rPr>
            <w:noProof/>
            <w:webHidden/>
          </w:rPr>
          <w:instrText xml:space="preserve"> PAGEREF _Toc179490372 \h </w:instrText>
        </w:r>
        <w:r w:rsidR="009769F4">
          <w:rPr>
            <w:noProof/>
            <w:webHidden/>
          </w:rPr>
        </w:r>
        <w:r w:rsidR="009769F4">
          <w:rPr>
            <w:noProof/>
            <w:webHidden/>
          </w:rPr>
          <w:fldChar w:fldCharType="separate"/>
        </w:r>
        <w:r w:rsidR="00255242">
          <w:rPr>
            <w:noProof/>
            <w:webHidden/>
          </w:rPr>
          <w:t>533</w:t>
        </w:r>
        <w:r w:rsidR="009769F4">
          <w:rPr>
            <w:noProof/>
            <w:webHidden/>
          </w:rPr>
          <w:fldChar w:fldCharType="end"/>
        </w:r>
      </w:hyperlink>
    </w:p>
    <w:p w14:paraId="5571A0DF" w14:textId="6429446E"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3" w:history="1">
        <w:r w:rsidR="009769F4" w:rsidRPr="002D5E01">
          <w:rPr>
            <w:rStyle w:val="Hyperlink"/>
            <w:noProof/>
          </w:rPr>
          <w:t>Ovulation inducers</w:t>
        </w:r>
        <w:r w:rsidR="009769F4">
          <w:rPr>
            <w:noProof/>
            <w:webHidden/>
          </w:rPr>
          <w:tab/>
        </w:r>
        <w:r w:rsidR="009769F4">
          <w:rPr>
            <w:noProof/>
            <w:webHidden/>
          </w:rPr>
          <w:fldChar w:fldCharType="begin"/>
        </w:r>
        <w:r w:rsidR="009769F4">
          <w:rPr>
            <w:noProof/>
            <w:webHidden/>
          </w:rPr>
          <w:instrText xml:space="preserve"> PAGEREF _Toc179490373 \h </w:instrText>
        </w:r>
        <w:r w:rsidR="009769F4">
          <w:rPr>
            <w:noProof/>
            <w:webHidden/>
          </w:rPr>
        </w:r>
        <w:r w:rsidR="009769F4">
          <w:rPr>
            <w:noProof/>
            <w:webHidden/>
          </w:rPr>
          <w:fldChar w:fldCharType="separate"/>
        </w:r>
        <w:r w:rsidR="00255242">
          <w:rPr>
            <w:noProof/>
            <w:webHidden/>
          </w:rPr>
          <w:t>545</w:t>
        </w:r>
        <w:r w:rsidR="009769F4">
          <w:rPr>
            <w:noProof/>
            <w:webHidden/>
          </w:rPr>
          <w:fldChar w:fldCharType="end"/>
        </w:r>
      </w:hyperlink>
    </w:p>
    <w:p w14:paraId="03356288" w14:textId="27C6A6B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4" w:history="1">
        <w:r w:rsidR="009769F4" w:rsidRPr="002D5E01">
          <w:rPr>
            <w:rStyle w:val="Hyperlink"/>
            <w:noProof/>
          </w:rPr>
          <w:t>Uterotonics</w:t>
        </w:r>
        <w:r w:rsidR="009769F4">
          <w:rPr>
            <w:noProof/>
            <w:webHidden/>
          </w:rPr>
          <w:tab/>
        </w:r>
        <w:r w:rsidR="009769F4">
          <w:rPr>
            <w:noProof/>
            <w:webHidden/>
          </w:rPr>
          <w:fldChar w:fldCharType="begin"/>
        </w:r>
        <w:r w:rsidR="009769F4">
          <w:rPr>
            <w:noProof/>
            <w:webHidden/>
          </w:rPr>
          <w:instrText xml:space="preserve"> PAGEREF _Toc179490374 \h </w:instrText>
        </w:r>
        <w:r w:rsidR="009769F4">
          <w:rPr>
            <w:noProof/>
            <w:webHidden/>
          </w:rPr>
        </w:r>
        <w:r w:rsidR="009769F4">
          <w:rPr>
            <w:noProof/>
            <w:webHidden/>
          </w:rPr>
          <w:fldChar w:fldCharType="separate"/>
        </w:r>
        <w:r w:rsidR="00255242">
          <w:rPr>
            <w:noProof/>
            <w:webHidden/>
          </w:rPr>
          <w:t>547</w:t>
        </w:r>
        <w:r w:rsidR="009769F4">
          <w:rPr>
            <w:noProof/>
            <w:webHidden/>
          </w:rPr>
          <w:fldChar w:fldCharType="end"/>
        </w:r>
      </w:hyperlink>
    </w:p>
    <w:p w14:paraId="3211B4E1" w14:textId="532BF1C8"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5" w:history="1">
        <w:r w:rsidR="009769F4" w:rsidRPr="002D5E01">
          <w:rPr>
            <w:rStyle w:val="Hyperlink"/>
            <w:noProof/>
          </w:rPr>
          <w:t>Antioxytocics (Tocolytics)</w:t>
        </w:r>
        <w:r w:rsidR="009769F4">
          <w:rPr>
            <w:noProof/>
            <w:webHidden/>
          </w:rPr>
          <w:tab/>
        </w:r>
        <w:r w:rsidR="009769F4">
          <w:rPr>
            <w:noProof/>
            <w:webHidden/>
          </w:rPr>
          <w:fldChar w:fldCharType="begin"/>
        </w:r>
        <w:r w:rsidR="009769F4">
          <w:rPr>
            <w:noProof/>
            <w:webHidden/>
          </w:rPr>
          <w:instrText xml:space="preserve"> PAGEREF _Toc179490375 \h </w:instrText>
        </w:r>
        <w:r w:rsidR="009769F4">
          <w:rPr>
            <w:noProof/>
            <w:webHidden/>
          </w:rPr>
        </w:r>
        <w:r w:rsidR="009769F4">
          <w:rPr>
            <w:noProof/>
            <w:webHidden/>
          </w:rPr>
          <w:fldChar w:fldCharType="separate"/>
        </w:r>
        <w:r w:rsidR="00255242">
          <w:rPr>
            <w:noProof/>
            <w:webHidden/>
          </w:rPr>
          <w:t>552</w:t>
        </w:r>
        <w:r w:rsidR="009769F4">
          <w:rPr>
            <w:noProof/>
            <w:webHidden/>
          </w:rPr>
          <w:fldChar w:fldCharType="end"/>
        </w:r>
      </w:hyperlink>
    </w:p>
    <w:p w14:paraId="6C54DB6D" w14:textId="661B90B5"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6" w:history="1">
        <w:r w:rsidR="009769F4" w:rsidRPr="002D5E01">
          <w:rPr>
            <w:rStyle w:val="Hyperlink"/>
            <w:noProof/>
          </w:rPr>
          <w:t>Other medicines administered to the mother</w:t>
        </w:r>
        <w:r w:rsidR="009769F4">
          <w:rPr>
            <w:noProof/>
            <w:webHidden/>
          </w:rPr>
          <w:tab/>
        </w:r>
        <w:r w:rsidR="009769F4">
          <w:rPr>
            <w:noProof/>
            <w:webHidden/>
          </w:rPr>
          <w:fldChar w:fldCharType="begin"/>
        </w:r>
        <w:r w:rsidR="009769F4">
          <w:rPr>
            <w:noProof/>
            <w:webHidden/>
          </w:rPr>
          <w:instrText xml:space="preserve"> PAGEREF _Toc179490376 \h </w:instrText>
        </w:r>
        <w:r w:rsidR="009769F4">
          <w:rPr>
            <w:noProof/>
            <w:webHidden/>
          </w:rPr>
        </w:r>
        <w:r w:rsidR="009769F4">
          <w:rPr>
            <w:noProof/>
            <w:webHidden/>
          </w:rPr>
          <w:fldChar w:fldCharType="separate"/>
        </w:r>
        <w:r w:rsidR="00255242">
          <w:rPr>
            <w:noProof/>
            <w:webHidden/>
          </w:rPr>
          <w:t>553</w:t>
        </w:r>
        <w:r w:rsidR="009769F4">
          <w:rPr>
            <w:noProof/>
            <w:webHidden/>
          </w:rPr>
          <w:fldChar w:fldCharType="end"/>
        </w:r>
      </w:hyperlink>
    </w:p>
    <w:p w14:paraId="0E72E494" w14:textId="5EA12639"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77" w:history="1">
        <w:r w:rsidR="009769F4" w:rsidRPr="002D5E01">
          <w:rPr>
            <w:rStyle w:val="Hyperlink"/>
            <w:noProof/>
          </w:rPr>
          <w:t>15.</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Affecting the Blood</w:t>
        </w:r>
        <w:r w:rsidR="009769F4">
          <w:rPr>
            <w:noProof/>
            <w:webHidden/>
          </w:rPr>
          <w:tab/>
        </w:r>
        <w:r w:rsidR="009769F4">
          <w:rPr>
            <w:noProof/>
            <w:webHidden/>
          </w:rPr>
          <w:fldChar w:fldCharType="begin"/>
        </w:r>
        <w:r w:rsidR="009769F4">
          <w:rPr>
            <w:noProof/>
            <w:webHidden/>
          </w:rPr>
          <w:instrText xml:space="preserve"> PAGEREF _Toc179490377 \h </w:instrText>
        </w:r>
        <w:r w:rsidR="009769F4">
          <w:rPr>
            <w:noProof/>
            <w:webHidden/>
          </w:rPr>
        </w:r>
        <w:r w:rsidR="009769F4">
          <w:rPr>
            <w:noProof/>
            <w:webHidden/>
          </w:rPr>
          <w:fldChar w:fldCharType="separate"/>
        </w:r>
        <w:r w:rsidR="00255242">
          <w:rPr>
            <w:noProof/>
            <w:webHidden/>
          </w:rPr>
          <w:t>559</w:t>
        </w:r>
        <w:r w:rsidR="009769F4">
          <w:rPr>
            <w:noProof/>
            <w:webHidden/>
          </w:rPr>
          <w:fldChar w:fldCharType="end"/>
        </w:r>
      </w:hyperlink>
    </w:p>
    <w:p w14:paraId="68B7BE88" w14:textId="4039C0A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8" w:history="1">
        <w:r w:rsidR="009769F4" w:rsidRPr="002D5E01">
          <w:rPr>
            <w:rStyle w:val="Hyperlink"/>
            <w:noProof/>
          </w:rPr>
          <w:t>Antianemics</w:t>
        </w:r>
        <w:r w:rsidR="009769F4">
          <w:rPr>
            <w:noProof/>
            <w:webHidden/>
          </w:rPr>
          <w:tab/>
        </w:r>
        <w:r w:rsidR="009769F4">
          <w:rPr>
            <w:noProof/>
            <w:webHidden/>
          </w:rPr>
          <w:fldChar w:fldCharType="begin"/>
        </w:r>
        <w:r w:rsidR="009769F4">
          <w:rPr>
            <w:noProof/>
            <w:webHidden/>
          </w:rPr>
          <w:instrText xml:space="preserve"> PAGEREF _Toc179490378 \h </w:instrText>
        </w:r>
        <w:r w:rsidR="009769F4">
          <w:rPr>
            <w:noProof/>
            <w:webHidden/>
          </w:rPr>
        </w:r>
        <w:r w:rsidR="009769F4">
          <w:rPr>
            <w:noProof/>
            <w:webHidden/>
          </w:rPr>
          <w:fldChar w:fldCharType="separate"/>
        </w:r>
        <w:r w:rsidR="00255242">
          <w:rPr>
            <w:noProof/>
            <w:webHidden/>
          </w:rPr>
          <w:t>559</w:t>
        </w:r>
        <w:r w:rsidR="009769F4">
          <w:rPr>
            <w:noProof/>
            <w:webHidden/>
          </w:rPr>
          <w:fldChar w:fldCharType="end"/>
        </w:r>
      </w:hyperlink>
    </w:p>
    <w:p w14:paraId="6C154D28" w14:textId="08C48A9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79" w:history="1">
        <w:r w:rsidR="009769F4" w:rsidRPr="002D5E01">
          <w:rPr>
            <w:rStyle w:val="Hyperlink"/>
            <w:noProof/>
          </w:rPr>
          <w:t>Erythropoietin stimulating agents</w:t>
        </w:r>
        <w:r w:rsidR="009769F4">
          <w:rPr>
            <w:noProof/>
            <w:webHidden/>
          </w:rPr>
          <w:tab/>
        </w:r>
        <w:r w:rsidR="009769F4">
          <w:rPr>
            <w:noProof/>
            <w:webHidden/>
          </w:rPr>
          <w:fldChar w:fldCharType="begin"/>
        </w:r>
        <w:r w:rsidR="009769F4">
          <w:rPr>
            <w:noProof/>
            <w:webHidden/>
          </w:rPr>
          <w:instrText xml:space="preserve"> PAGEREF _Toc179490379 \h </w:instrText>
        </w:r>
        <w:r w:rsidR="009769F4">
          <w:rPr>
            <w:noProof/>
            <w:webHidden/>
          </w:rPr>
        </w:r>
        <w:r w:rsidR="009769F4">
          <w:rPr>
            <w:noProof/>
            <w:webHidden/>
          </w:rPr>
          <w:fldChar w:fldCharType="separate"/>
        </w:r>
        <w:r w:rsidR="00255242">
          <w:rPr>
            <w:noProof/>
            <w:webHidden/>
          </w:rPr>
          <w:t>569</w:t>
        </w:r>
        <w:r w:rsidR="009769F4">
          <w:rPr>
            <w:noProof/>
            <w:webHidden/>
          </w:rPr>
          <w:fldChar w:fldCharType="end"/>
        </w:r>
      </w:hyperlink>
    </w:p>
    <w:p w14:paraId="083DEB00" w14:textId="3F47D2C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0" w:history="1">
        <w:r w:rsidR="009769F4" w:rsidRPr="002D5E01">
          <w:rPr>
            <w:rStyle w:val="Hyperlink"/>
            <w:noProof/>
          </w:rPr>
          <w:t>Medicines affecting coagulation</w:t>
        </w:r>
        <w:r w:rsidR="009769F4">
          <w:rPr>
            <w:noProof/>
            <w:webHidden/>
          </w:rPr>
          <w:tab/>
        </w:r>
        <w:r w:rsidR="009769F4">
          <w:rPr>
            <w:noProof/>
            <w:webHidden/>
          </w:rPr>
          <w:fldChar w:fldCharType="begin"/>
        </w:r>
        <w:r w:rsidR="009769F4">
          <w:rPr>
            <w:noProof/>
            <w:webHidden/>
          </w:rPr>
          <w:instrText xml:space="preserve"> PAGEREF _Toc179490380 \h </w:instrText>
        </w:r>
        <w:r w:rsidR="009769F4">
          <w:rPr>
            <w:noProof/>
            <w:webHidden/>
          </w:rPr>
        </w:r>
        <w:r w:rsidR="009769F4">
          <w:rPr>
            <w:noProof/>
            <w:webHidden/>
          </w:rPr>
          <w:fldChar w:fldCharType="separate"/>
        </w:r>
        <w:r w:rsidR="00255242">
          <w:rPr>
            <w:noProof/>
            <w:webHidden/>
          </w:rPr>
          <w:t>580</w:t>
        </w:r>
        <w:r w:rsidR="009769F4">
          <w:rPr>
            <w:noProof/>
            <w:webHidden/>
          </w:rPr>
          <w:fldChar w:fldCharType="end"/>
        </w:r>
      </w:hyperlink>
    </w:p>
    <w:p w14:paraId="4A6D0F07" w14:textId="4E2789E2"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81" w:history="1">
        <w:r w:rsidR="009769F4" w:rsidRPr="002D5E01">
          <w:rPr>
            <w:rStyle w:val="Hyperlink"/>
            <w:noProof/>
          </w:rPr>
          <w:t>16.</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Blood Products of Human Origin and Plasma Substitutes</w:t>
        </w:r>
        <w:r w:rsidR="009769F4">
          <w:rPr>
            <w:noProof/>
            <w:webHidden/>
          </w:rPr>
          <w:tab/>
        </w:r>
        <w:r w:rsidR="009769F4">
          <w:rPr>
            <w:noProof/>
            <w:webHidden/>
          </w:rPr>
          <w:fldChar w:fldCharType="begin"/>
        </w:r>
        <w:r w:rsidR="009769F4">
          <w:rPr>
            <w:noProof/>
            <w:webHidden/>
          </w:rPr>
          <w:instrText xml:space="preserve"> PAGEREF _Toc179490381 \h </w:instrText>
        </w:r>
        <w:r w:rsidR="009769F4">
          <w:rPr>
            <w:noProof/>
            <w:webHidden/>
          </w:rPr>
        </w:r>
        <w:r w:rsidR="009769F4">
          <w:rPr>
            <w:noProof/>
            <w:webHidden/>
          </w:rPr>
          <w:fldChar w:fldCharType="separate"/>
        </w:r>
        <w:r w:rsidR="00255242">
          <w:rPr>
            <w:noProof/>
            <w:webHidden/>
          </w:rPr>
          <w:t>600</w:t>
        </w:r>
        <w:r w:rsidR="009769F4">
          <w:rPr>
            <w:noProof/>
            <w:webHidden/>
          </w:rPr>
          <w:fldChar w:fldCharType="end"/>
        </w:r>
      </w:hyperlink>
    </w:p>
    <w:p w14:paraId="54E669F1" w14:textId="2CF64D1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2" w:history="1">
        <w:r w:rsidR="009769F4" w:rsidRPr="002D5E01">
          <w:rPr>
            <w:rStyle w:val="Hyperlink"/>
            <w:noProof/>
          </w:rPr>
          <w:t>Human immunoglobulins</w:t>
        </w:r>
        <w:r w:rsidR="009769F4">
          <w:rPr>
            <w:noProof/>
            <w:webHidden/>
          </w:rPr>
          <w:tab/>
        </w:r>
        <w:r w:rsidR="009769F4">
          <w:rPr>
            <w:noProof/>
            <w:webHidden/>
          </w:rPr>
          <w:fldChar w:fldCharType="begin"/>
        </w:r>
        <w:r w:rsidR="009769F4">
          <w:rPr>
            <w:noProof/>
            <w:webHidden/>
          </w:rPr>
          <w:instrText xml:space="preserve"> PAGEREF _Toc179490382 \h </w:instrText>
        </w:r>
        <w:r w:rsidR="009769F4">
          <w:rPr>
            <w:noProof/>
            <w:webHidden/>
          </w:rPr>
        </w:r>
        <w:r w:rsidR="009769F4">
          <w:rPr>
            <w:noProof/>
            <w:webHidden/>
          </w:rPr>
          <w:fldChar w:fldCharType="separate"/>
        </w:r>
        <w:r w:rsidR="00255242">
          <w:rPr>
            <w:noProof/>
            <w:webHidden/>
          </w:rPr>
          <w:t>600</w:t>
        </w:r>
        <w:r w:rsidR="009769F4">
          <w:rPr>
            <w:noProof/>
            <w:webHidden/>
          </w:rPr>
          <w:fldChar w:fldCharType="end"/>
        </w:r>
      </w:hyperlink>
    </w:p>
    <w:p w14:paraId="267B19B2" w14:textId="54B0B853"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3" w:history="1">
        <w:r w:rsidR="009769F4" w:rsidRPr="002D5E01">
          <w:rPr>
            <w:rStyle w:val="Hyperlink"/>
            <w:noProof/>
          </w:rPr>
          <w:t>Blood coagulation factors</w:t>
        </w:r>
        <w:r w:rsidR="009769F4">
          <w:rPr>
            <w:noProof/>
            <w:webHidden/>
          </w:rPr>
          <w:tab/>
        </w:r>
        <w:r w:rsidR="009769F4">
          <w:rPr>
            <w:noProof/>
            <w:webHidden/>
          </w:rPr>
          <w:fldChar w:fldCharType="begin"/>
        </w:r>
        <w:r w:rsidR="009769F4">
          <w:rPr>
            <w:noProof/>
            <w:webHidden/>
          </w:rPr>
          <w:instrText xml:space="preserve"> PAGEREF _Toc179490383 \h </w:instrText>
        </w:r>
        <w:r w:rsidR="009769F4">
          <w:rPr>
            <w:noProof/>
            <w:webHidden/>
          </w:rPr>
        </w:r>
        <w:r w:rsidR="009769F4">
          <w:rPr>
            <w:noProof/>
            <w:webHidden/>
          </w:rPr>
          <w:fldChar w:fldCharType="separate"/>
        </w:r>
        <w:r w:rsidR="00255242">
          <w:rPr>
            <w:noProof/>
            <w:webHidden/>
          </w:rPr>
          <w:t>606</w:t>
        </w:r>
        <w:r w:rsidR="009769F4">
          <w:rPr>
            <w:noProof/>
            <w:webHidden/>
          </w:rPr>
          <w:fldChar w:fldCharType="end"/>
        </w:r>
      </w:hyperlink>
    </w:p>
    <w:p w14:paraId="5B957EA8" w14:textId="74914AC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4" w:history="1">
        <w:r w:rsidR="009769F4" w:rsidRPr="002D5E01">
          <w:rPr>
            <w:rStyle w:val="Hyperlink"/>
            <w:noProof/>
          </w:rPr>
          <w:t>Plasma substitutes</w:t>
        </w:r>
        <w:r w:rsidR="009769F4">
          <w:rPr>
            <w:noProof/>
            <w:webHidden/>
          </w:rPr>
          <w:tab/>
        </w:r>
        <w:r w:rsidR="009769F4">
          <w:rPr>
            <w:noProof/>
            <w:webHidden/>
          </w:rPr>
          <w:fldChar w:fldCharType="begin"/>
        </w:r>
        <w:r w:rsidR="009769F4">
          <w:rPr>
            <w:noProof/>
            <w:webHidden/>
          </w:rPr>
          <w:instrText xml:space="preserve"> PAGEREF _Toc179490384 \h </w:instrText>
        </w:r>
        <w:r w:rsidR="009769F4">
          <w:rPr>
            <w:noProof/>
            <w:webHidden/>
          </w:rPr>
        </w:r>
        <w:r w:rsidR="009769F4">
          <w:rPr>
            <w:noProof/>
            <w:webHidden/>
          </w:rPr>
          <w:fldChar w:fldCharType="separate"/>
        </w:r>
        <w:r w:rsidR="00255242">
          <w:rPr>
            <w:noProof/>
            <w:webHidden/>
          </w:rPr>
          <w:t>610</w:t>
        </w:r>
        <w:r w:rsidR="009769F4">
          <w:rPr>
            <w:noProof/>
            <w:webHidden/>
          </w:rPr>
          <w:fldChar w:fldCharType="end"/>
        </w:r>
      </w:hyperlink>
    </w:p>
    <w:p w14:paraId="1128C754" w14:textId="44A33545"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5" w:history="1">
        <w:r w:rsidR="009769F4" w:rsidRPr="002D5E01">
          <w:rPr>
            <w:rStyle w:val="Hyperlink"/>
            <w:noProof/>
          </w:rPr>
          <w:t>Blood and blood components</w:t>
        </w:r>
        <w:r w:rsidR="009769F4">
          <w:rPr>
            <w:noProof/>
            <w:webHidden/>
          </w:rPr>
          <w:tab/>
        </w:r>
        <w:r w:rsidR="009769F4">
          <w:rPr>
            <w:noProof/>
            <w:webHidden/>
          </w:rPr>
          <w:fldChar w:fldCharType="begin"/>
        </w:r>
        <w:r w:rsidR="009769F4">
          <w:rPr>
            <w:noProof/>
            <w:webHidden/>
          </w:rPr>
          <w:instrText xml:space="preserve"> PAGEREF _Toc179490385 \h </w:instrText>
        </w:r>
        <w:r w:rsidR="009769F4">
          <w:rPr>
            <w:noProof/>
            <w:webHidden/>
          </w:rPr>
        </w:r>
        <w:r w:rsidR="009769F4">
          <w:rPr>
            <w:noProof/>
            <w:webHidden/>
          </w:rPr>
          <w:fldChar w:fldCharType="separate"/>
        </w:r>
        <w:r w:rsidR="00255242">
          <w:rPr>
            <w:noProof/>
            <w:webHidden/>
          </w:rPr>
          <w:t>614</w:t>
        </w:r>
        <w:r w:rsidR="009769F4">
          <w:rPr>
            <w:noProof/>
            <w:webHidden/>
          </w:rPr>
          <w:fldChar w:fldCharType="end"/>
        </w:r>
      </w:hyperlink>
    </w:p>
    <w:p w14:paraId="6473A240" w14:textId="4E192473"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86" w:history="1">
        <w:r w:rsidR="009769F4" w:rsidRPr="002D5E01">
          <w:rPr>
            <w:rStyle w:val="Hyperlink"/>
            <w:noProof/>
          </w:rPr>
          <w:t>Anti-platelet medicines</w:t>
        </w:r>
        <w:r w:rsidR="009769F4">
          <w:rPr>
            <w:noProof/>
            <w:webHidden/>
          </w:rPr>
          <w:tab/>
        </w:r>
        <w:r w:rsidR="009769F4">
          <w:rPr>
            <w:noProof/>
            <w:webHidden/>
          </w:rPr>
          <w:fldChar w:fldCharType="begin"/>
        </w:r>
        <w:r w:rsidR="009769F4">
          <w:rPr>
            <w:noProof/>
            <w:webHidden/>
          </w:rPr>
          <w:instrText xml:space="preserve"> PAGEREF _Toc179490386 \h </w:instrText>
        </w:r>
        <w:r w:rsidR="009769F4">
          <w:rPr>
            <w:noProof/>
            <w:webHidden/>
          </w:rPr>
        </w:r>
        <w:r w:rsidR="009769F4">
          <w:rPr>
            <w:noProof/>
            <w:webHidden/>
          </w:rPr>
          <w:fldChar w:fldCharType="separate"/>
        </w:r>
        <w:r w:rsidR="00255242">
          <w:rPr>
            <w:noProof/>
            <w:webHidden/>
          </w:rPr>
          <w:t>620</w:t>
        </w:r>
        <w:r w:rsidR="009769F4">
          <w:rPr>
            <w:noProof/>
            <w:webHidden/>
          </w:rPr>
          <w:fldChar w:fldCharType="end"/>
        </w:r>
      </w:hyperlink>
    </w:p>
    <w:p w14:paraId="43246F0E" w14:textId="286A909E"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87" w:history="1">
        <w:r w:rsidR="009769F4" w:rsidRPr="002D5E01">
          <w:rPr>
            <w:rStyle w:val="Hyperlink"/>
            <w:rFonts w:cs="Times New Roman"/>
            <w:noProof/>
          </w:rPr>
          <w:t>17.</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rFonts w:cs="Times New Roman"/>
            <w:noProof/>
          </w:rPr>
          <w:t>Medicines Used for Correcting Fluid, Electrolyte and Acid Base Balance</w:t>
        </w:r>
        <w:r w:rsidR="009769F4">
          <w:rPr>
            <w:noProof/>
            <w:webHidden/>
          </w:rPr>
          <w:tab/>
        </w:r>
        <w:r w:rsidR="009769F4">
          <w:rPr>
            <w:noProof/>
            <w:webHidden/>
          </w:rPr>
          <w:fldChar w:fldCharType="begin"/>
        </w:r>
        <w:r w:rsidR="009769F4">
          <w:rPr>
            <w:noProof/>
            <w:webHidden/>
          </w:rPr>
          <w:instrText xml:space="preserve"> PAGEREF _Toc179490387 \h </w:instrText>
        </w:r>
        <w:r w:rsidR="009769F4">
          <w:rPr>
            <w:noProof/>
            <w:webHidden/>
          </w:rPr>
        </w:r>
        <w:r w:rsidR="009769F4">
          <w:rPr>
            <w:noProof/>
            <w:webHidden/>
          </w:rPr>
          <w:fldChar w:fldCharType="separate"/>
        </w:r>
        <w:r w:rsidR="00255242">
          <w:rPr>
            <w:noProof/>
            <w:webHidden/>
          </w:rPr>
          <w:t>626</w:t>
        </w:r>
        <w:r w:rsidR="009769F4">
          <w:rPr>
            <w:noProof/>
            <w:webHidden/>
          </w:rPr>
          <w:fldChar w:fldCharType="end"/>
        </w:r>
      </w:hyperlink>
    </w:p>
    <w:p w14:paraId="67C544F3" w14:textId="37F91805"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88" w:history="1">
        <w:r w:rsidR="009769F4" w:rsidRPr="002D5E01">
          <w:rPr>
            <w:rStyle w:val="Hyperlink"/>
            <w:noProof/>
          </w:rPr>
          <w:t>18.</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Immunomodulators</w:t>
        </w:r>
        <w:r w:rsidR="009769F4">
          <w:rPr>
            <w:noProof/>
            <w:webHidden/>
          </w:rPr>
          <w:tab/>
        </w:r>
        <w:r w:rsidR="009769F4">
          <w:rPr>
            <w:noProof/>
            <w:webHidden/>
          </w:rPr>
          <w:fldChar w:fldCharType="begin"/>
        </w:r>
        <w:r w:rsidR="009769F4">
          <w:rPr>
            <w:noProof/>
            <w:webHidden/>
          </w:rPr>
          <w:instrText xml:space="preserve"> PAGEREF _Toc179490388 \h </w:instrText>
        </w:r>
        <w:r w:rsidR="009769F4">
          <w:rPr>
            <w:noProof/>
            <w:webHidden/>
          </w:rPr>
        </w:r>
        <w:r w:rsidR="009769F4">
          <w:rPr>
            <w:noProof/>
            <w:webHidden/>
          </w:rPr>
          <w:fldChar w:fldCharType="separate"/>
        </w:r>
        <w:r w:rsidR="00255242">
          <w:rPr>
            <w:noProof/>
            <w:webHidden/>
          </w:rPr>
          <w:t>641</w:t>
        </w:r>
        <w:r w:rsidR="009769F4">
          <w:rPr>
            <w:noProof/>
            <w:webHidden/>
          </w:rPr>
          <w:fldChar w:fldCharType="end"/>
        </w:r>
      </w:hyperlink>
    </w:p>
    <w:p w14:paraId="15F30874" w14:textId="326F2A5B"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89" w:history="1">
        <w:r w:rsidR="009769F4" w:rsidRPr="002D5E01">
          <w:rPr>
            <w:rStyle w:val="Hyperlink"/>
            <w:noProof/>
          </w:rPr>
          <w:t>19.</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Antineoplastic and Supportive Medicines</w:t>
        </w:r>
        <w:r w:rsidR="009769F4">
          <w:rPr>
            <w:noProof/>
            <w:webHidden/>
          </w:rPr>
          <w:tab/>
        </w:r>
        <w:r w:rsidR="009769F4">
          <w:rPr>
            <w:noProof/>
            <w:webHidden/>
          </w:rPr>
          <w:fldChar w:fldCharType="begin"/>
        </w:r>
        <w:r w:rsidR="009769F4">
          <w:rPr>
            <w:noProof/>
            <w:webHidden/>
          </w:rPr>
          <w:instrText xml:space="preserve"> PAGEREF _Toc179490389 \h </w:instrText>
        </w:r>
        <w:r w:rsidR="009769F4">
          <w:rPr>
            <w:noProof/>
            <w:webHidden/>
          </w:rPr>
        </w:r>
        <w:r w:rsidR="009769F4">
          <w:rPr>
            <w:noProof/>
            <w:webHidden/>
          </w:rPr>
          <w:fldChar w:fldCharType="separate"/>
        </w:r>
        <w:r w:rsidR="00255242">
          <w:rPr>
            <w:noProof/>
            <w:webHidden/>
          </w:rPr>
          <w:t>663</w:t>
        </w:r>
        <w:r w:rsidR="009769F4">
          <w:rPr>
            <w:noProof/>
            <w:webHidden/>
          </w:rPr>
          <w:fldChar w:fldCharType="end"/>
        </w:r>
      </w:hyperlink>
    </w:p>
    <w:p w14:paraId="27980C61" w14:textId="6052D3D3"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0" w:history="1">
        <w:r w:rsidR="009769F4" w:rsidRPr="002D5E01">
          <w:rPr>
            <w:rStyle w:val="Hyperlink"/>
            <w:noProof/>
          </w:rPr>
          <w:t>Cytotoxic agents</w:t>
        </w:r>
        <w:r w:rsidR="009769F4">
          <w:rPr>
            <w:noProof/>
            <w:webHidden/>
          </w:rPr>
          <w:tab/>
        </w:r>
        <w:r w:rsidR="009769F4">
          <w:rPr>
            <w:noProof/>
            <w:webHidden/>
          </w:rPr>
          <w:fldChar w:fldCharType="begin"/>
        </w:r>
        <w:r w:rsidR="009769F4">
          <w:rPr>
            <w:noProof/>
            <w:webHidden/>
          </w:rPr>
          <w:instrText xml:space="preserve"> PAGEREF _Toc179490390 \h </w:instrText>
        </w:r>
        <w:r w:rsidR="009769F4">
          <w:rPr>
            <w:noProof/>
            <w:webHidden/>
          </w:rPr>
        </w:r>
        <w:r w:rsidR="009769F4">
          <w:rPr>
            <w:noProof/>
            <w:webHidden/>
          </w:rPr>
          <w:fldChar w:fldCharType="separate"/>
        </w:r>
        <w:r w:rsidR="00255242">
          <w:rPr>
            <w:noProof/>
            <w:webHidden/>
          </w:rPr>
          <w:t>663</w:t>
        </w:r>
        <w:r w:rsidR="009769F4">
          <w:rPr>
            <w:noProof/>
            <w:webHidden/>
          </w:rPr>
          <w:fldChar w:fldCharType="end"/>
        </w:r>
      </w:hyperlink>
    </w:p>
    <w:p w14:paraId="0F1FAE99" w14:textId="4A24DC9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1" w:history="1">
        <w:r w:rsidR="009769F4" w:rsidRPr="002D5E01">
          <w:rPr>
            <w:rStyle w:val="Hyperlink"/>
            <w:noProof/>
          </w:rPr>
          <w:t>Targeted therapies</w:t>
        </w:r>
        <w:r w:rsidR="009769F4">
          <w:rPr>
            <w:noProof/>
            <w:webHidden/>
          </w:rPr>
          <w:tab/>
        </w:r>
        <w:r w:rsidR="009769F4">
          <w:rPr>
            <w:noProof/>
            <w:webHidden/>
          </w:rPr>
          <w:fldChar w:fldCharType="begin"/>
        </w:r>
        <w:r w:rsidR="009769F4">
          <w:rPr>
            <w:noProof/>
            <w:webHidden/>
          </w:rPr>
          <w:instrText xml:space="preserve"> PAGEREF _Toc179490391 \h </w:instrText>
        </w:r>
        <w:r w:rsidR="009769F4">
          <w:rPr>
            <w:noProof/>
            <w:webHidden/>
          </w:rPr>
        </w:r>
        <w:r w:rsidR="009769F4">
          <w:rPr>
            <w:noProof/>
            <w:webHidden/>
          </w:rPr>
          <w:fldChar w:fldCharType="separate"/>
        </w:r>
        <w:r w:rsidR="00255242">
          <w:rPr>
            <w:noProof/>
            <w:webHidden/>
          </w:rPr>
          <w:t>693</w:t>
        </w:r>
        <w:r w:rsidR="009769F4">
          <w:rPr>
            <w:noProof/>
            <w:webHidden/>
          </w:rPr>
          <w:fldChar w:fldCharType="end"/>
        </w:r>
      </w:hyperlink>
    </w:p>
    <w:p w14:paraId="4D79D063" w14:textId="3E29F19D"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2" w:history="1">
        <w:r w:rsidR="009769F4" w:rsidRPr="002D5E01">
          <w:rPr>
            <w:rStyle w:val="Hyperlink"/>
            <w:noProof/>
          </w:rPr>
          <w:t>Hormone and antihormones</w:t>
        </w:r>
        <w:r w:rsidR="009769F4">
          <w:rPr>
            <w:noProof/>
            <w:webHidden/>
          </w:rPr>
          <w:tab/>
        </w:r>
        <w:r w:rsidR="009769F4">
          <w:rPr>
            <w:noProof/>
            <w:webHidden/>
          </w:rPr>
          <w:fldChar w:fldCharType="begin"/>
        </w:r>
        <w:r w:rsidR="009769F4">
          <w:rPr>
            <w:noProof/>
            <w:webHidden/>
          </w:rPr>
          <w:instrText xml:space="preserve"> PAGEREF _Toc179490392 \h </w:instrText>
        </w:r>
        <w:r w:rsidR="009769F4">
          <w:rPr>
            <w:noProof/>
            <w:webHidden/>
          </w:rPr>
        </w:r>
        <w:r w:rsidR="009769F4">
          <w:rPr>
            <w:noProof/>
            <w:webHidden/>
          </w:rPr>
          <w:fldChar w:fldCharType="separate"/>
        </w:r>
        <w:r w:rsidR="00255242">
          <w:rPr>
            <w:noProof/>
            <w:webHidden/>
          </w:rPr>
          <w:t>701</w:t>
        </w:r>
        <w:r w:rsidR="009769F4">
          <w:rPr>
            <w:noProof/>
            <w:webHidden/>
          </w:rPr>
          <w:fldChar w:fldCharType="end"/>
        </w:r>
      </w:hyperlink>
    </w:p>
    <w:p w14:paraId="553C57A1" w14:textId="741300F1"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3" w:history="1">
        <w:r w:rsidR="009769F4" w:rsidRPr="002D5E01">
          <w:rPr>
            <w:rStyle w:val="Hyperlink"/>
            <w:noProof/>
          </w:rPr>
          <w:t>Supportive medicines</w:t>
        </w:r>
        <w:r w:rsidR="009769F4">
          <w:rPr>
            <w:noProof/>
            <w:webHidden/>
          </w:rPr>
          <w:tab/>
        </w:r>
        <w:r w:rsidR="009769F4">
          <w:rPr>
            <w:noProof/>
            <w:webHidden/>
          </w:rPr>
          <w:fldChar w:fldCharType="begin"/>
        </w:r>
        <w:r w:rsidR="009769F4">
          <w:rPr>
            <w:noProof/>
            <w:webHidden/>
          </w:rPr>
          <w:instrText xml:space="preserve"> PAGEREF _Toc179490393 \h </w:instrText>
        </w:r>
        <w:r w:rsidR="009769F4">
          <w:rPr>
            <w:noProof/>
            <w:webHidden/>
          </w:rPr>
        </w:r>
        <w:r w:rsidR="009769F4">
          <w:rPr>
            <w:noProof/>
            <w:webHidden/>
          </w:rPr>
          <w:fldChar w:fldCharType="separate"/>
        </w:r>
        <w:r w:rsidR="00255242">
          <w:rPr>
            <w:noProof/>
            <w:webHidden/>
          </w:rPr>
          <w:t>708</w:t>
        </w:r>
        <w:r w:rsidR="009769F4">
          <w:rPr>
            <w:noProof/>
            <w:webHidden/>
          </w:rPr>
          <w:fldChar w:fldCharType="end"/>
        </w:r>
      </w:hyperlink>
    </w:p>
    <w:p w14:paraId="06FAAA63" w14:textId="6E93B9CB"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94" w:history="1">
        <w:r w:rsidR="009769F4" w:rsidRPr="002D5E01">
          <w:rPr>
            <w:rStyle w:val="Hyperlink"/>
            <w:noProof/>
          </w:rPr>
          <w:t>20.</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Medicines Used for Benign Prostatic Hyperplasia</w:t>
        </w:r>
        <w:r w:rsidR="009769F4">
          <w:rPr>
            <w:noProof/>
            <w:webHidden/>
          </w:rPr>
          <w:tab/>
        </w:r>
        <w:r w:rsidR="009769F4">
          <w:rPr>
            <w:noProof/>
            <w:webHidden/>
          </w:rPr>
          <w:fldChar w:fldCharType="begin"/>
        </w:r>
        <w:r w:rsidR="009769F4">
          <w:rPr>
            <w:noProof/>
            <w:webHidden/>
          </w:rPr>
          <w:instrText xml:space="preserve"> PAGEREF _Toc179490394 \h </w:instrText>
        </w:r>
        <w:r w:rsidR="009769F4">
          <w:rPr>
            <w:noProof/>
            <w:webHidden/>
          </w:rPr>
        </w:r>
        <w:r w:rsidR="009769F4">
          <w:rPr>
            <w:noProof/>
            <w:webHidden/>
          </w:rPr>
          <w:fldChar w:fldCharType="separate"/>
        </w:r>
        <w:r w:rsidR="00255242">
          <w:rPr>
            <w:noProof/>
            <w:webHidden/>
          </w:rPr>
          <w:t>721</w:t>
        </w:r>
        <w:r w:rsidR="009769F4">
          <w:rPr>
            <w:noProof/>
            <w:webHidden/>
          </w:rPr>
          <w:fldChar w:fldCharType="end"/>
        </w:r>
      </w:hyperlink>
    </w:p>
    <w:p w14:paraId="596744D8" w14:textId="53258AB6"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95" w:history="1">
        <w:r w:rsidR="009769F4" w:rsidRPr="002D5E01">
          <w:rPr>
            <w:rStyle w:val="Hyperlink"/>
            <w:noProof/>
          </w:rPr>
          <w:t>21.</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Ophthalmic Medicines</w:t>
        </w:r>
        <w:r w:rsidR="009769F4">
          <w:rPr>
            <w:noProof/>
            <w:webHidden/>
          </w:rPr>
          <w:tab/>
        </w:r>
        <w:r w:rsidR="009769F4">
          <w:rPr>
            <w:noProof/>
            <w:webHidden/>
          </w:rPr>
          <w:fldChar w:fldCharType="begin"/>
        </w:r>
        <w:r w:rsidR="009769F4">
          <w:rPr>
            <w:noProof/>
            <w:webHidden/>
          </w:rPr>
          <w:instrText xml:space="preserve"> PAGEREF _Toc179490395 \h </w:instrText>
        </w:r>
        <w:r w:rsidR="009769F4">
          <w:rPr>
            <w:noProof/>
            <w:webHidden/>
          </w:rPr>
        </w:r>
        <w:r w:rsidR="009769F4">
          <w:rPr>
            <w:noProof/>
            <w:webHidden/>
          </w:rPr>
          <w:fldChar w:fldCharType="separate"/>
        </w:r>
        <w:r w:rsidR="00255242">
          <w:rPr>
            <w:noProof/>
            <w:webHidden/>
          </w:rPr>
          <w:t>724</w:t>
        </w:r>
        <w:r w:rsidR="009769F4">
          <w:rPr>
            <w:noProof/>
            <w:webHidden/>
          </w:rPr>
          <w:fldChar w:fldCharType="end"/>
        </w:r>
      </w:hyperlink>
    </w:p>
    <w:p w14:paraId="69C90B1A" w14:textId="658BA537"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6" w:history="1">
        <w:r w:rsidR="009769F4" w:rsidRPr="002D5E01">
          <w:rPr>
            <w:rStyle w:val="Hyperlink"/>
            <w:noProof/>
          </w:rPr>
          <w:t>Miotics and Anti-Glaucoma Medicines</w:t>
        </w:r>
        <w:r w:rsidR="009769F4">
          <w:rPr>
            <w:noProof/>
            <w:webHidden/>
          </w:rPr>
          <w:tab/>
        </w:r>
        <w:r w:rsidR="009769F4">
          <w:rPr>
            <w:noProof/>
            <w:webHidden/>
          </w:rPr>
          <w:fldChar w:fldCharType="begin"/>
        </w:r>
        <w:r w:rsidR="009769F4">
          <w:rPr>
            <w:noProof/>
            <w:webHidden/>
          </w:rPr>
          <w:instrText xml:space="preserve"> PAGEREF _Toc179490396 \h </w:instrText>
        </w:r>
        <w:r w:rsidR="009769F4">
          <w:rPr>
            <w:noProof/>
            <w:webHidden/>
          </w:rPr>
        </w:r>
        <w:r w:rsidR="009769F4">
          <w:rPr>
            <w:noProof/>
            <w:webHidden/>
          </w:rPr>
          <w:fldChar w:fldCharType="separate"/>
        </w:r>
        <w:r w:rsidR="00255242">
          <w:rPr>
            <w:noProof/>
            <w:webHidden/>
          </w:rPr>
          <w:t>724</w:t>
        </w:r>
        <w:r w:rsidR="009769F4">
          <w:rPr>
            <w:noProof/>
            <w:webHidden/>
          </w:rPr>
          <w:fldChar w:fldCharType="end"/>
        </w:r>
      </w:hyperlink>
    </w:p>
    <w:p w14:paraId="60BBCF37" w14:textId="01DA9049"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397" w:history="1">
        <w:r w:rsidR="009769F4" w:rsidRPr="002D5E01">
          <w:rPr>
            <w:rStyle w:val="Hyperlink"/>
            <w:noProof/>
          </w:rPr>
          <w:t>Mydriatics / Cycloplegics</w:t>
        </w:r>
        <w:r w:rsidR="009769F4">
          <w:rPr>
            <w:noProof/>
            <w:webHidden/>
          </w:rPr>
          <w:tab/>
        </w:r>
        <w:r w:rsidR="009769F4">
          <w:rPr>
            <w:noProof/>
            <w:webHidden/>
          </w:rPr>
          <w:fldChar w:fldCharType="begin"/>
        </w:r>
        <w:r w:rsidR="009769F4">
          <w:rPr>
            <w:noProof/>
            <w:webHidden/>
          </w:rPr>
          <w:instrText xml:space="preserve"> PAGEREF _Toc179490397 \h </w:instrText>
        </w:r>
        <w:r w:rsidR="009769F4">
          <w:rPr>
            <w:noProof/>
            <w:webHidden/>
          </w:rPr>
        </w:r>
        <w:r w:rsidR="009769F4">
          <w:rPr>
            <w:noProof/>
            <w:webHidden/>
          </w:rPr>
          <w:fldChar w:fldCharType="separate"/>
        </w:r>
        <w:r w:rsidR="00255242">
          <w:rPr>
            <w:noProof/>
            <w:webHidden/>
          </w:rPr>
          <w:t>733</w:t>
        </w:r>
        <w:r w:rsidR="009769F4">
          <w:rPr>
            <w:noProof/>
            <w:webHidden/>
          </w:rPr>
          <w:fldChar w:fldCharType="end"/>
        </w:r>
      </w:hyperlink>
    </w:p>
    <w:p w14:paraId="20096AF7" w14:textId="338D8A57"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98" w:history="1">
        <w:r w:rsidR="009769F4" w:rsidRPr="002D5E01">
          <w:rPr>
            <w:rStyle w:val="Hyperlink"/>
            <w:noProof/>
          </w:rPr>
          <w:t>22.</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Ear, Nose and Throat Preparations (ENT)</w:t>
        </w:r>
        <w:r w:rsidR="009769F4">
          <w:rPr>
            <w:noProof/>
            <w:webHidden/>
          </w:rPr>
          <w:tab/>
        </w:r>
        <w:r w:rsidR="009769F4">
          <w:rPr>
            <w:noProof/>
            <w:webHidden/>
          </w:rPr>
          <w:fldChar w:fldCharType="begin"/>
        </w:r>
        <w:r w:rsidR="009769F4">
          <w:rPr>
            <w:noProof/>
            <w:webHidden/>
          </w:rPr>
          <w:instrText xml:space="preserve"> PAGEREF _Toc179490398 \h </w:instrText>
        </w:r>
        <w:r w:rsidR="009769F4">
          <w:rPr>
            <w:noProof/>
            <w:webHidden/>
          </w:rPr>
        </w:r>
        <w:r w:rsidR="009769F4">
          <w:rPr>
            <w:noProof/>
            <w:webHidden/>
          </w:rPr>
          <w:fldChar w:fldCharType="separate"/>
        </w:r>
        <w:r w:rsidR="00255242">
          <w:rPr>
            <w:noProof/>
            <w:webHidden/>
          </w:rPr>
          <w:t>737</w:t>
        </w:r>
        <w:r w:rsidR="009769F4">
          <w:rPr>
            <w:noProof/>
            <w:webHidden/>
          </w:rPr>
          <w:fldChar w:fldCharType="end"/>
        </w:r>
      </w:hyperlink>
    </w:p>
    <w:p w14:paraId="2459547B" w14:textId="3A743580"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399" w:history="1">
        <w:r w:rsidR="009769F4" w:rsidRPr="002D5E01">
          <w:rPr>
            <w:rStyle w:val="Hyperlink"/>
            <w:noProof/>
          </w:rPr>
          <w:t>23.</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Dermatologic Medicines</w:t>
        </w:r>
        <w:r w:rsidR="009769F4">
          <w:rPr>
            <w:noProof/>
            <w:webHidden/>
          </w:rPr>
          <w:tab/>
        </w:r>
        <w:r w:rsidR="009769F4">
          <w:rPr>
            <w:noProof/>
            <w:webHidden/>
          </w:rPr>
          <w:fldChar w:fldCharType="begin"/>
        </w:r>
        <w:r w:rsidR="009769F4">
          <w:rPr>
            <w:noProof/>
            <w:webHidden/>
          </w:rPr>
          <w:instrText xml:space="preserve"> PAGEREF _Toc179490399 \h </w:instrText>
        </w:r>
        <w:r w:rsidR="009769F4">
          <w:rPr>
            <w:noProof/>
            <w:webHidden/>
          </w:rPr>
        </w:r>
        <w:r w:rsidR="009769F4">
          <w:rPr>
            <w:noProof/>
            <w:webHidden/>
          </w:rPr>
          <w:fldChar w:fldCharType="separate"/>
        </w:r>
        <w:r w:rsidR="00255242">
          <w:rPr>
            <w:noProof/>
            <w:webHidden/>
          </w:rPr>
          <w:t>749</w:t>
        </w:r>
        <w:r w:rsidR="009769F4">
          <w:rPr>
            <w:noProof/>
            <w:webHidden/>
          </w:rPr>
          <w:fldChar w:fldCharType="end"/>
        </w:r>
      </w:hyperlink>
    </w:p>
    <w:p w14:paraId="120AC8DB" w14:textId="715FAAE1"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0" w:history="1">
        <w:r w:rsidR="009769F4" w:rsidRPr="002D5E01">
          <w:rPr>
            <w:rStyle w:val="Hyperlink"/>
            <w:noProof/>
          </w:rPr>
          <w:t>Anti-bacterials</w:t>
        </w:r>
        <w:r w:rsidR="009769F4">
          <w:rPr>
            <w:noProof/>
            <w:webHidden/>
          </w:rPr>
          <w:tab/>
        </w:r>
        <w:r w:rsidR="009769F4">
          <w:rPr>
            <w:noProof/>
            <w:webHidden/>
          </w:rPr>
          <w:fldChar w:fldCharType="begin"/>
        </w:r>
        <w:r w:rsidR="009769F4">
          <w:rPr>
            <w:noProof/>
            <w:webHidden/>
          </w:rPr>
          <w:instrText xml:space="preserve"> PAGEREF _Toc179490400 \h </w:instrText>
        </w:r>
        <w:r w:rsidR="009769F4">
          <w:rPr>
            <w:noProof/>
            <w:webHidden/>
          </w:rPr>
        </w:r>
        <w:r w:rsidR="009769F4">
          <w:rPr>
            <w:noProof/>
            <w:webHidden/>
          </w:rPr>
          <w:fldChar w:fldCharType="separate"/>
        </w:r>
        <w:r w:rsidR="00255242">
          <w:rPr>
            <w:noProof/>
            <w:webHidden/>
          </w:rPr>
          <w:t>749</w:t>
        </w:r>
        <w:r w:rsidR="009769F4">
          <w:rPr>
            <w:noProof/>
            <w:webHidden/>
          </w:rPr>
          <w:fldChar w:fldCharType="end"/>
        </w:r>
      </w:hyperlink>
    </w:p>
    <w:p w14:paraId="42C828B0" w14:textId="63C6F1BF"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1" w:history="1">
        <w:r w:rsidR="009769F4" w:rsidRPr="002D5E01">
          <w:rPr>
            <w:rStyle w:val="Hyperlink"/>
            <w:noProof/>
          </w:rPr>
          <w:t>Antivirals</w:t>
        </w:r>
        <w:r w:rsidR="009769F4">
          <w:rPr>
            <w:noProof/>
            <w:webHidden/>
          </w:rPr>
          <w:tab/>
        </w:r>
        <w:r w:rsidR="009769F4">
          <w:rPr>
            <w:noProof/>
            <w:webHidden/>
          </w:rPr>
          <w:fldChar w:fldCharType="begin"/>
        </w:r>
        <w:r w:rsidR="009769F4">
          <w:rPr>
            <w:noProof/>
            <w:webHidden/>
          </w:rPr>
          <w:instrText xml:space="preserve"> PAGEREF _Toc179490401 \h </w:instrText>
        </w:r>
        <w:r w:rsidR="009769F4">
          <w:rPr>
            <w:noProof/>
            <w:webHidden/>
          </w:rPr>
        </w:r>
        <w:r w:rsidR="009769F4">
          <w:rPr>
            <w:noProof/>
            <w:webHidden/>
          </w:rPr>
          <w:fldChar w:fldCharType="separate"/>
        </w:r>
        <w:r w:rsidR="00255242">
          <w:rPr>
            <w:noProof/>
            <w:webHidden/>
          </w:rPr>
          <w:t>755</w:t>
        </w:r>
        <w:r w:rsidR="009769F4">
          <w:rPr>
            <w:noProof/>
            <w:webHidden/>
          </w:rPr>
          <w:fldChar w:fldCharType="end"/>
        </w:r>
      </w:hyperlink>
    </w:p>
    <w:p w14:paraId="13CDCB72" w14:textId="293699FC"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2" w:history="1">
        <w:r w:rsidR="009769F4" w:rsidRPr="002D5E01">
          <w:rPr>
            <w:rStyle w:val="Hyperlink"/>
            <w:noProof/>
          </w:rPr>
          <w:t>Antifungals</w:t>
        </w:r>
        <w:r w:rsidR="009769F4">
          <w:rPr>
            <w:noProof/>
            <w:webHidden/>
          </w:rPr>
          <w:tab/>
        </w:r>
        <w:r w:rsidR="009769F4">
          <w:rPr>
            <w:noProof/>
            <w:webHidden/>
          </w:rPr>
          <w:fldChar w:fldCharType="begin"/>
        </w:r>
        <w:r w:rsidR="009769F4">
          <w:rPr>
            <w:noProof/>
            <w:webHidden/>
          </w:rPr>
          <w:instrText xml:space="preserve"> PAGEREF _Toc179490402 \h </w:instrText>
        </w:r>
        <w:r w:rsidR="009769F4">
          <w:rPr>
            <w:noProof/>
            <w:webHidden/>
          </w:rPr>
        </w:r>
        <w:r w:rsidR="009769F4">
          <w:rPr>
            <w:noProof/>
            <w:webHidden/>
          </w:rPr>
          <w:fldChar w:fldCharType="separate"/>
        </w:r>
        <w:r w:rsidR="00255242">
          <w:rPr>
            <w:noProof/>
            <w:webHidden/>
          </w:rPr>
          <w:t>756</w:t>
        </w:r>
        <w:r w:rsidR="009769F4">
          <w:rPr>
            <w:noProof/>
            <w:webHidden/>
          </w:rPr>
          <w:fldChar w:fldCharType="end"/>
        </w:r>
      </w:hyperlink>
    </w:p>
    <w:p w14:paraId="59029048" w14:textId="4C58CE6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3" w:history="1">
        <w:r w:rsidR="009769F4" w:rsidRPr="002D5E01">
          <w:rPr>
            <w:rStyle w:val="Hyperlink"/>
            <w:noProof/>
          </w:rPr>
          <w:t>Scabicides and pediculicides</w:t>
        </w:r>
        <w:r w:rsidR="009769F4">
          <w:rPr>
            <w:noProof/>
            <w:webHidden/>
          </w:rPr>
          <w:tab/>
        </w:r>
        <w:r w:rsidR="009769F4">
          <w:rPr>
            <w:noProof/>
            <w:webHidden/>
          </w:rPr>
          <w:fldChar w:fldCharType="begin"/>
        </w:r>
        <w:r w:rsidR="009769F4">
          <w:rPr>
            <w:noProof/>
            <w:webHidden/>
          </w:rPr>
          <w:instrText xml:space="preserve"> PAGEREF _Toc179490403 \h </w:instrText>
        </w:r>
        <w:r w:rsidR="009769F4">
          <w:rPr>
            <w:noProof/>
            <w:webHidden/>
          </w:rPr>
        </w:r>
        <w:r w:rsidR="009769F4">
          <w:rPr>
            <w:noProof/>
            <w:webHidden/>
          </w:rPr>
          <w:fldChar w:fldCharType="separate"/>
        </w:r>
        <w:r w:rsidR="00255242">
          <w:rPr>
            <w:noProof/>
            <w:webHidden/>
          </w:rPr>
          <w:t>762</w:t>
        </w:r>
        <w:r w:rsidR="009769F4">
          <w:rPr>
            <w:noProof/>
            <w:webHidden/>
          </w:rPr>
          <w:fldChar w:fldCharType="end"/>
        </w:r>
      </w:hyperlink>
    </w:p>
    <w:p w14:paraId="5265F904" w14:textId="74BF503B"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4" w:history="1">
        <w:r w:rsidR="009769F4" w:rsidRPr="002D5E01">
          <w:rPr>
            <w:rStyle w:val="Hyperlink"/>
            <w:noProof/>
          </w:rPr>
          <w:t>Anti-inflammatories</w:t>
        </w:r>
        <w:r w:rsidR="009769F4">
          <w:rPr>
            <w:noProof/>
            <w:webHidden/>
          </w:rPr>
          <w:tab/>
        </w:r>
        <w:r w:rsidR="009769F4">
          <w:rPr>
            <w:noProof/>
            <w:webHidden/>
          </w:rPr>
          <w:fldChar w:fldCharType="begin"/>
        </w:r>
        <w:r w:rsidR="009769F4">
          <w:rPr>
            <w:noProof/>
            <w:webHidden/>
          </w:rPr>
          <w:instrText xml:space="preserve"> PAGEREF _Toc179490404 \h </w:instrText>
        </w:r>
        <w:r w:rsidR="009769F4">
          <w:rPr>
            <w:noProof/>
            <w:webHidden/>
          </w:rPr>
        </w:r>
        <w:r w:rsidR="009769F4">
          <w:rPr>
            <w:noProof/>
            <w:webHidden/>
          </w:rPr>
          <w:fldChar w:fldCharType="separate"/>
        </w:r>
        <w:r w:rsidR="00255242">
          <w:rPr>
            <w:noProof/>
            <w:webHidden/>
          </w:rPr>
          <w:t>765</w:t>
        </w:r>
        <w:r w:rsidR="009769F4">
          <w:rPr>
            <w:noProof/>
            <w:webHidden/>
          </w:rPr>
          <w:fldChar w:fldCharType="end"/>
        </w:r>
      </w:hyperlink>
    </w:p>
    <w:p w14:paraId="2D0EE6A5" w14:textId="46FC78B4"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5" w:history="1">
        <w:r w:rsidR="009769F4" w:rsidRPr="002D5E01">
          <w:rPr>
            <w:rStyle w:val="Hyperlink"/>
            <w:noProof/>
          </w:rPr>
          <w:t>Keratolytic/Caustics and Anti-acne medicines</w:t>
        </w:r>
        <w:r w:rsidR="009769F4">
          <w:rPr>
            <w:noProof/>
            <w:webHidden/>
          </w:rPr>
          <w:tab/>
        </w:r>
        <w:r w:rsidR="009769F4">
          <w:rPr>
            <w:noProof/>
            <w:webHidden/>
          </w:rPr>
          <w:fldChar w:fldCharType="begin"/>
        </w:r>
        <w:r w:rsidR="009769F4">
          <w:rPr>
            <w:noProof/>
            <w:webHidden/>
          </w:rPr>
          <w:instrText xml:space="preserve"> PAGEREF _Toc179490405 \h </w:instrText>
        </w:r>
        <w:r w:rsidR="009769F4">
          <w:rPr>
            <w:noProof/>
            <w:webHidden/>
          </w:rPr>
        </w:r>
        <w:r w:rsidR="009769F4">
          <w:rPr>
            <w:noProof/>
            <w:webHidden/>
          </w:rPr>
          <w:fldChar w:fldCharType="separate"/>
        </w:r>
        <w:r w:rsidR="00255242">
          <w:rPr>
            <w:noProof/>
            <w:webHidden/>
          </w:rPr>
          <w:t>772</w:t>
        </w:r>
        <w:r w:rsidR="009769F4">
          <w:rPr>
            <w:noProof/>
            <w:webHidden/>
          </w:rPr>
          <w:fldChar w:fldCharType="end"/>
        </w:r>
      </w:hyperlink>
    </w:p>
    <w:p w14:paraId="2FB319C4" w14:textId="0D15CC90"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6" w:history="1">
        <w:r w:rsidR="009769F4" w:rsidRPr="002D5E01">
          <w:rPr>
            <w:rStyle w:val="Hyperlink"/>
            <w:noProof/>
          </w:rPr>
          <w:t>Medicines used for psoriasis and eczema</w:t>
        </w:r>
        <w:r w:rsidR="009769F4">
          <w:rPr>
            <w:noProof/>
            <w:webHidden/>
          </w:rPr>
          <w:tab/>
        </w:r>
        <w:r w:rsidR="009769F4">
          <w:rPr>
            <w:noProof/>
            <w:webHidden/>
          </w:rPr>
          <w:fldChar w:fldCharType="begin"/>
        </w:r>
        <w:r w:rsidR="009769F4">
          <w:rPr>
            <w:noProof/>
            <w:webHidden/>
          </w:rPr>
          <w:instrText xml:space="preserve"> PAGEREF _Toc179490406 \h </w:instrText>
        </w:r>
        <w:r w:rsidR="009769F4">
          <w:rPr>
            <w:noProof/>
            <w:webHidden/>
          </w:rPr>
        </w:r>
        <w:r w:rsidR="009769F4">
          <w:rPr>
            <w:noProof/>
            <w:webHidden/>
          </w:rPr>
          <w:fldChar w:fldCharType="separate"/>
        </w:r>
        <w:r w:rsidR="00255242">
          <w:rPr>
            <w:noProof/>
            <w:webHidden/>
          </w:rPr>
          <w:t>781</w:t>
        </w:r>
        <w:r w:rsidR="009769F4">
          <w:rPr>
            <w:noProof/>
            <w:webHidden/>
          </w:rPr>
          <w:fldChar w:fldCharType="end"/>
        </w:r>
      </w:hyperlink>
    </w:p>
    <w:p w14:paraId="04F0352B" w14:textId="1F8026F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7" w:history="1">
        <w:r w:rsidR="009769F4" w:rsidRPr="002D5E01">
          <w:rPr>
            <w:rStyle w:val="Hyperlink"/>
            <w:noProof/>
          </w:rPr>
          <w:t>Antipruritics</w:t>
        </w:r>
        <w:r w:rsidR="009769F4">
          <w:rPr>
            <w:noProof/>
            <w:webHidden/>
          </w:rPr>
          <w:tab/>
        </w:r>
        <w:r w:rsidR="009769F4">
          <w:rPr>
            <w:noProof/>
            <w:webHidden/>
          </w:rPr>
          <w:fldChar w:fldCharType="begin"/>
        </w:r>
        <w:r w:rsidR="009769F4">
          <w:rPr>
            <w:noProof/>
            <w:webHidden/>
          </w:rPr>
          <w:instrText xml:space="preserve"> PAGEREF _Toc179490407 \h </w:instrText>
        </w:r>
        <w:r w:rsidR="009769F4">
          <w:rPr>
            <w:noProof/>
            <w:webHidden/>
          </w:rPr>
        </w:r>
        <w:r w:rsidR="009769F4">
          <w:rPr>
            <w:noProof/>
            <w:webHidden/>
          </w:rPr>
          <w:fldChar w:fldCharType="separate"/>
        </w:r>
        <w:r w:rsidR="00255242">
          <w:rPr>
            <w:noProof/>
            <w:webHidden/>
          </w:rPr>
          <w:t>786</w:t>
        </w:r>
        <w:r w:rsidR="009769F4">
          <w:rPr>
            <w:noProof/>
            <w:webHidden/>
          </w:rPr>
          <w:fldChar w:fldCharType="end"/>
        </w:r>
      </w:hyperlink>
    </w:p>
    <w:p w14:paraId="0E34789C" w14:textId="72B139B2" w:rsidR="009769F4" w:rsidRDefault="00EA5977">
      <w:pPr>
        <w:pStyle w:val="TOC2"/>
        <w:tabs>
          <w:tab w:val="right" w:leader="dot" w:pos="9350"/>
        </w:tabs>
        <w:rPr>
          <w:rFonts w:asciiTheme="minorHAnsi" w:hAnsiTheme="minorHAnsi" w:cstheme="minorBidi"/>
          <w:smallCaps w:val="0"/>
          <w:noProof/>
          <w:kern w:val="0"/>
          <w:sz w:val="22"/>
          <w:szCs w:val="22"/>
          <w:lang w:val="en-US" w:eastAsia="en-US"/>
        </w:rPr>
      </w:pPr>
      <w:hyperlink w:anchor="_Toc179490408" w:history="1">
        <w:r w:rsidR="009769F4" w:rsidRPr="002D5E01">
          <w:rPr>
            <w:rStyle w:val="Hyperlink"/>
            <w:noProof/>
          </w:rPr>
          <w:t>Antiseptics and disinfectants</w:t>
        </w:r>
        <w:r w:rsidR="009769F4">
          <w:rPr>
            <w:noProof/>
            <w:webHidden/>
          </w:rPr>
          <w:tab/>
        </w:r>
        <w:r w:rsidR="009769F4">
          <w:rPr>
            <w:noProof/>
            <w:webHidden/>
          </w:rPr>
          <w:fldChar w:fldCharType="begin"/>
        </w:r>
        <w:r w:rsidR="009769F4">
          <w:rPr>
            <w:noProof/>
            <w:webHidden/>
          </w:rPr>
          <w:instrText xml:space="preserve"> PAGEREF _Toc179490408 \h </w:instrText>
        </w:r>
        <w:r w:rsidR="009769F4">
          <w:rPr>
            <w:noProof/>
            <w:webHidden/>
          </w:rPr>
        </w:r>
        <w:r w:rsidR="009769F4">
          <w:rPr>
            <w:noProof/>
            <w:webHidden/>
          </w:rPr>
          <w:fldChar w:fldCharType="separate"/>
        </w:r>
        <w:r w:rsidR="00255242">
          <w:rPr>
            <w:noProof/>
            <w:webHidden/>
          </w:rPr>
          <w:t>786</w:t>
        </w:r>
        <w:r w:rsidR="009769F4">
          <w:rPr>
            <w:noProof/>
            <w:webHidden/>
          </w:rPr>
          <w:fldChar w:fldCharType="end"/>
        </w:r>
      </w:hyperlink>
    </w:p>
    <w:p w14:paraId="0E039ED0" w14:textId="44F60F04"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409" w:history="1">
        <w:r w:rsidR="009769F4" w:rsidRPr="002D5E01">
          <w:rPr>
            <w:rStyle w:val="Hyperlink"/>
            <w:noProof/>
          </w:rPr>
          <w:t>24.</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Vaccines</w:t>
        </w:r>
        <w:r w:rsidR="009769F4">
          <w:rPr>
            <w:noProof/>
            <w:webHidden/>
          </w:rPr>
          <w:tab/>
        </w:r>
        <w:r w:rsidR="009769F4">
          <w:rPr>
            <w:noProof/>
            <w:webHidden/>
          </w:rPr>
          <w:fldChar w:fldCharType="begin"/>
        </w:r>
        <w:r w:rsidR="009769F4">
          <w:rPr>
            <w:noProof/>
            <w:webHidden/>
          </w:rPr>
          <w:instrText xml:space="preserve"> PAGEREF _Toc179490409 \h </w:instrText>
        </w:r>
        <w:r w:rsidR="009769F4">
          <w:rPr>
            <w:noProof/>
            <w:webHidden/>
          </w:rPr>
        </w:r>
        <w:r w:rsidR="009769F4">
          <w:rPr>
            <w:noProof/>
            <w:webHidden/>
          </w:rPr>
          <w:fldChar w:fldCharType="separate"/>
        </w:r>
        <w:r w:rsidR="00255242">
          <w:rPr>
            <w:noProof/>
            <w:webHidden/>
          </w:rPr>
          <w:t>793</w:t>
        </w:r>
        <w:r w:rsidR="009769F4">
          <w:rPr>
            <w:noProof/>
            <w:webHidden/>
          </w:rPr>
          <w:fldChar w:fldCharType="end"/>
        </w:r>
      </w:hyperlink>
    </w:p>
    <w:p w14:paraId="3BF0567F" w14:textId="6EA7AD87" w:rsidR="009769F4" w:rsidRDefault="00EA5977">
      <w:pPr>
        <w:pStyle w:val="TOC1"/>
        <w:tabs>
          <w:tab w:val="left" w:pos="660"/>
          <w:tab w:val="right" w:leader="dot" w:pos="9350"/>
        </w:tabs>
        <w:rPr>
          <w:rFonts w:asciiTheme="minorHAnsi" w:hAnsiTheme="minorHAnsi" w:cstheme="minorBidi"/>
          <w:b w:val="0"/>
          <w:bCs w:val="0"/>
          <w:caps w:val="0"/>
          <w:noProof/>
          <w:kern w:val="0"/>
          <w:sz w:val="22"/>
          <w:szCs w:val="22"/>
          <w:lang w:val="en-US" w:eastAsia="en-US"/>
        </w:rPr>
      </w:pPr>
      <w:hyperlink w:anchor="_Toc179490410" w:history="1">
        <w:r w:rsidR="009769F4" w:rsidRPr="002D5E01">
          <w:rPr>
            <w:rStyle w:val="Hyperlink"/>
            <w:noProof/>
          </w:rPr>
          <w:t>25.</w:t>
        </w:r>
        <w:r w:rsidR="009769F4">
          <w:rPr>
            <w:rFonts w:asciiTheme="minorHAnsi" w:hAnsiTheme="minorHAnsi" w:cstheme="minorBidi"/>
            <w:b w:val="0"/>
            <w:bCs w:val="0"/>
            <w:caps w:val="0"/>
            <w:noProof/>
            <w:kern w:val="0"/>
            <w:sz w:val="22"/>
            <w:szCs w:val="22"/>
            <w:lang w:val="en-US" w:eastAsia="en-US"/>
          </w:rPr>
          <w:tab/>
        </w:r>
        <w:r w:rsidR="009769F4" w:rsidRPr="002D5E01">
          <w:rPr>
            <w:rStyle w:val="Hyperlink"/>
            <w:noProof/>
          </w:rPr>
          <w:t>Antidotes and Other Substances Used in Poisoning</w:t>
        </w:r>
        <w:r w:rsidR="009769F4">
          <w:rPr>
            <w:noProof/>
            <w:webHidden/>
          </w:rPr>
          <w:tab/>
        </w:r>
        <w:r w:rsidR="009769F4">
          <w:rPr>
            <w:noProof/>
            <w:webHidden/>
          </w:rPr>
          <w:fldChar w:fldCharType="begin"/>
        </w:r>
        <w:r w:rsidR="009769F4">
          <w:rPr>
            <w:noProof/>
            <w:webHidden/>
          </w:rPr>
          <w:instrText xml:space="preserve"> PAGEREF _Toc179490410 \h </w:instrText>
        </w:r>
        <w:r w:rsidR="009769F4">
          <w:rPr>
            <w:noProof/>
            <w:webHidden/>
          </w:rPr>
        </w:r>
        <w:r w:rsidR="009769F4">
          <w:rPr>
            <w:noProof/>
            <w:webHidden/>
          </w:rPr>
          <w:fldChar w:fldCharType="separate"/>
        </w:r>
        <w:r w:rsidR="00255242">
          <w:rPr>
            <w:noProof/>
            <w:webHidden/>
          </w:rPr>
          <w:t>807</w:t>
        </w:r>
        <w:r w:rsidR="009769F4">
          <w:rPr>
            <w:noProof/>
            <w:webHidden/>
          </w:rPr>
          <w:fldChar w:fldCharType="end"/>
        </w:r>
      </w:hyperlink>
    </w:p>
    <w:p w14:paraId="0E33242D" w14:textId="77777777" w:rsidR="00E837DD" w:rsidRPr="00C66B6C" w:rsidRDefault="00E837DD" w:rsidP="00E837DD">
      <w:pPr>
        <w:spacing w:after="0" w:line="240" w:lineRule="auto"/>
        <w:rPr>
          <w:rFonts w:cs="Times New Roman"/>
          <w:szCs w:val="24"/>
        </w:rPr>
      </w:pPr>
      <w:r w:rsidRPr="00C66B6C">
        <w:rPr>
          <w:rFonts w:cs="Times New Roman"/>
          <w:szCs w:val="24"/>
        </w:rPr>
        <w:fldChar w:fldCharType="end"/>
      </w:r>
    </w:p>
    <w:p w14:paraId="5AFF8440" w14:textId="77777777" w:rsidR="00E837DD" w:rsidRPr="00C66B6C" w:rsidRDefault="00E837DD" w:rsidP="00E837DD">
      <w:pPr>
        <w:spacing w:after="0" w:line="240" w:lineRule="auto"/>
        <w:rPr>
          <w:rFonts w:cs="Times New Roman"/>
          <w:szCs w:val="24"/>
        </w:rPr>
      </w:pPr>
      <w:r w:rsidRPr="00C66B6C">
        <w:rPr>
          <w:rFonts w:cs="Times New Roman"/>
          <w:szCs w:val="24"/>
        </w:rPr>
        <w:br w:type="page"/>
      </w:r>
    </w:p>
    <w:p w14:paraId="59E7B6D6" w14:textId="64D0CD1A" w:rsidR="00E837DD" w:rsidRDefault="00E837DD" w:rsidP="00040A45">
      <w:pPr>
        <w:pStyle w:val="Heading1"/>
        <w:spacing w:before="0"/>
      </w:pPr>
      <w:bookmarkStart w:id="1" w:name="_Toc179490293"/>
      <w:r w:rsidRPr="00142F45">
        <w:lastRenderedPageBreak/>
        <w:t>Foreword</w:t>
      </w:r>
      <w:bookmarkEnd w:id="1"/>
      <w:r w:rsidR="00040A45">
        <w:t xml:space="preserve"> m</w:t>
      </w:r>
      <w:r w:rsidRPr="00AA2C4F">
        <w:rPr>
          <w:rFonts w:cs="Times New Roman"/>
          <w:szCs w:val="24"/>
        </w:rPr>
        <w:t xml:space="preserve">essage from the </w:t>
      </w:r>
      <w:r w:rsidR="00040A45" w:rsidRPr="00F727D7">
        <w:t>EFDA</w:t>
      </w:r>
    </w:p>
    <w:p w14:paraId="2F7A10CE" w14:textId="77777777" w:rsidR="0080500F" w:rsidRPr="0080500F" w:rsidRDefault="0080500F" w:rsidP="0080500F">
      <w:pPr>
        <w:jc w:val="both"/>
        <w:rPr>
          <w:rFonts w:cs="Times New Roman"/>
          <w:szCs w:val="24"/>
        </w:rPr>
      </w:pPr>
      <w:r w:rsidRPr="0080500F">
        <w:rPr>
          <w:rFonts w:cs="Times New Roman"/>
          <w:szCs w:val="24"/>
        </w:rPr>
        <w:t xml:space="preserve">To promote the safe and effective use of medicines, up to date and evidence based medicines information is crucial. In the absence of such information sources, promotion of rational use of medicines is at risk, which ultimately compromises people's health and has an impact on the healthcare delivery system as a whole.   </w:t>
      </w:r>
    </w:p>
    <w:p w14:paraId="78E37F4E" w14:textId="77777777" w:rsidR="0080500F" w:rsidRPr="0080500F" w:rsidRDefault="0080500F" w:rsidP="0080500F">
      <w:pPr>
        <w:spacing w:before="240"/>
        <w:jc w:val="both"/>
        <w:rPr>
          <w:rFonts w:cs="Times New Roman"/>
          <w:szCs w:val="24"/>
        </w:rPr>
      </w:pPr>
      <w:r w:rsidRPr="0080500F">
        <w:rPr>
          <w:rFonts w:cs="Times New Roman"/>
          <w:szCs w:val="24"/>
        </w:rPr>
        <w:t xml:space="preserve">Recognizing this unmet need on medicines information, the Ethiopian Food and Medicine Authority (EFDA) in collaboration with Ministry of health has been working to develop and make available a variety of medicine information resources, such as Ethiopian medicine formulary, good prescribing and dispensing manuals, bulletins, and more, both in hard copy and through its website, </w:t>
      </w:r>
      <w:hyperlink r:id="rId11" w:history="1">
        <w:r w:rsidRPr="0080500F">
          <w:rPr>
            <w:rFonts w:cs="Times New Roman"/>
            <w:szCs w:val="24"/>
          </w:rPr>
          <w:t>www.efda.gov.et</w:t>
        </w:r>
      </w:hyperlink>
      <w:r w:rsidRPr="0080500F">
        <w:rPr>
          <w:rFonts w:cs="Times New Roman"/>
          <w:szCs w:val="24"/>
        </w:rPr>
        <w:t xml:space="preserve">.  </w:t>
      </w:r>
    </w:p>
    <w:p w14:paraId="4A97D6AF" w14:textId="77777777" w:rsidR="0080500F" w:rsidRPr="0080500F" w:rsidRDefault="0080500F" w:rsidP="0080500F">
      <w:pPr>
        <w:spacing w:before="240"/>
        <w:jc w:val="both"/>
        <w:rPr>
          <w:rFonts w:cs="Times New Roman"/>
          <w:szCs w:val="24"/>
        </w:rPr>
      </w:pPr>
      <w:r w:rsidRPr="0080500F">
        <w:rPr>
          <w:rFonts w:cs="Times New Roman"/>
          <w:szCs w:val="24"/>
        </w:rPr>
        <w:t xml:space="preserve">The EMF aims to offer accurate, unbiased, and current medicine information and it targets all health professionals involved in patient care, training, research and others. Therefore, the main objective of the EMF is to assist health professionals in establishing a sound foundation for their practice in order to promote the rational use of medicines.  </w:t>
      </w:r>
    </w:p>
    <w:p w14:paraId="3E13E173" w14:textId="77777777" w:rsidR="0080500F" w:rsidRPr="0080500F" w:rsidRDefault="0080500F" w:rsidP="0080500F">
      <w:pPr>
        <w:spacing w:before="240"/>
        <w:jc w:val="both"/>
        <w:rPr>
          <w:rFonts w:cs="Times New Roman"/>
          <w:szCs w:val="24"/>
        </w:rPr>
      </w:pPr>
      <w:r w:rsidRPr="0080500F">
        <w:rPr>
          <w:rFonts w:cs="Times New Roman"/>
          <w:szCs w:val="24"/>
        </w:rPr>
        <w:t>The third edition of the Ethiopian Medicines Formulary (EMF) is hereby revised based on the latest developments in the fields of health and pharmaceutical sciences.  The EMF contains key information on medicines which are essential for good prescribing, dispensing, administration and use of medicine.</w:t>
      </w:r>
    </w:p>
    <w:p w14:paraId="1BBCC582" w14:textId="77777777" w:rsidR="0080500F" w:rsidRPr="0080500F" w:rsidRDefault="0080500F" w:rsidP="0080500F">
      <w:pPr>
        <w:spacing w:before="240"/>
        <w:jc w:val="both"/>
        <w:rPr>
          <w:rFonts w:cs="Times New Roman"/>
          <w:szCs w:val="24"/>
        </w:rPr>
      </w:pPr>
      <w:r w:rsidRPr="0080500F">
        <w:rPr>
          <w:rFonts w:cs="Times New Roman"/>
          <w:szCs w:val="24"/>
        </w:rPr>
        <w:t xml:space="preserve">This EMF is helpful in providing useful information to promote the rational use of medicines and provision of quality health services for improved health outcomes. It is of particular importance to those healthcare providers working at health facilities who have little access to adequate and up to date information on medicines. </w:t>
      </w:r>
    </w:p>
    <w:p w14:paraId="33F1BFB4" w14:textId="77777777" w:rsidR="0080500F" w:rsidRPr="0080500F" w:rsidRDefault="0080500F" w:rsidP="0080500F">
      <w:pPr>
        <w:spacing w:before="240"/>
        <w:jc w:val="both"/>
        <w:rPr>
          <w:rFonts w:cs="Times New Roman"/>
          <w:szCs w:val="24"/>
        </w:rPr>
      </w:pPr>
      <w:r w:rsidRPr="0080500F">
        <w:rPr>
          <w:rFonts w:cs="Times New Roman"/>
          <w:szCs w:val="24"/>
        </w:rPr>
        <w:t>Lastly, I want to say thank you to everyone who took part in the EMF revision. I urge all pertinent health professionals to utilize the EMF to its fullest potential in their day-to-day work and to share their thoughts and recommendations for improvement and future changes.</w:t>
      </w:r>
    </w:p>
    <w:p w14:paraId="60F7E847" w14:textId="77777777" w:rsidR="0080500F" w:rsidRDefault="0080500F" w:rsidP="0080500F">
      <w:pPr>
        <w:pStyle w:val="Default"/>
        <w:rPr>
          <w:sz w:val="23"/>
          <w:szCs w:val="23"/>
        </w:rPr>
      </w:pPr>
    </w:p>
    <w:p w14:paraId="5C542E10" w14:textId="77777777" w:rsidR="0080500F" w:rsidRDefault="0080500F" w:rsidP="0080500F">
      <w:pPr>
        <w:pStyle w:val="Default"/>
        <w:rPr>
          <w:sz w:val="23"/>
          <w:szCs w:val="23"/>
        </w:rPr>
      </w:pPr>
      <w:r>
        <w:rPr>
          <w:sz w:val="23"/>
          <w:szCs w:val="23"/>
        </w:rPr>
        <w:t xml:space="preserve">Heran Gerba   </w:t>
      </w:r>
    </w:p>
    <w:p w14:paraId="39594014" w14:textId="2477F534" w:rsidR="00040A45" w:rsidRDefault="0080500F" w:rsidP="0080500F">
      <w:pPr>
        <w:rPr>
          <w:lang w:val="en-US" w:eastAsia="en-US"/>
        </w:rPr>
      </w:pPr>
      <w:r>
        <w:rPr>
          <w:sz w:val="23"/>
          <w:szCs w:val="23"/>
        </w:rPr>
        <w:t>Director General, EFDA</w:t>
      </w:r>
    </w:p>
    <w:p w14:paraId="42A23F8C" w14:textId="5E8D0F59" w:rsidR="0080500F" w:rsidRPr="0080500F" w:rsidRDefault="0080500F" w:rsidP="0080500F">
      <w:pPr>
        <w:rPr>
          <w:rFonts w:cs="Times New Roman"/>
          <w:b/>
          <w:sz w:val="28"/>
          <w:szCs w:val="24"/>
        </w:rPr>
      </w:pPr>
      <w:r w:rsidRPr="0080500F">
        <w:rPr>
          <w:b/>
          <w:sz w:val="28"/>
          <w:szCs w:val="24"/>
        </w:rPr>
        <w:lastRenderedPageBreak/>
        <w:t xml:space="preserve">Foreword </w:t>
      </w:r>
      <w:r w:rsidRPr="0080500F">
        <w:rPr>
          <w:rFonts w:cs="Times New Roman"/>
          <w:b/>
          <w:bCs/>
          <w:sz w:val="28"/>
          <w:szCs w:val="24"/>
        </w:rPr>
        <w:t>Message from the Ministry of Health</w:t>
      </w:r>
    </w:p>
    <w:p w14:paraId="295E1C77" w14:textId="77777777" w:rsidR="00E837DD" w:rsidRPr="00AA2C4F" w:rsidRDefault="00E837DD" w:rsidP="00E837DD">
      <w:pPr>
        <w:spacing w:after="0"/>
        <w:jc w:val="both"/>
        <w:rPr>
          <w:rFonts w:cs="Times New Roman"/>
          <w:szCs w:val="24"/>
        </w:rPr>
      </w:pPr>
      <w:r w:rsidRPr="00AA2C4F">
        <w:rPr>
          <w:rFonts w:cs="Times New Roman"/>
          <w:szCs w:val="24"/>
        </w:rPr>
        <w:t>It is with great pleasure that we present the third edition of the Ethiopian Medicines Formulary. This formulary is a testament to our unwavering commitment to enhancing public health and ensuring the well-being of all Ethiopians. Medicines play a crucial role in the prevention and treatment of diseases, and it is our duty to ensure that they are used rationally and effectively.</w:t>
      </w:r>
    </w:p>
    <w:p w14:paraId="1A76CA37" w14:textId="77777777" w:rsidR="00E837DD" w:rsidRPr="00AA2C4F" w:rsidRDefault="00E837DD" w:rsidP="00E837DD">
      <w:pPr>
        <w:spacing w:before="240" w:after="0"/>
        <w:jc w:val="both"/>
        <w:rPr>
          <w:rFonts w:cs="Times New Roman"/>
          <w:szCs w:val="24"/>
        </w:rPr>
      </w:pPr>
      <w:r w:rsidRPr="00AA2C4F">
        <w:rPr>
          <w:rFonts w:cs="Times New Roman"/>
          <w:szCs w:val="24"/>
        </w:rPr>
        <w:t>The Ethiopian Medicines Formulary serves as an essential tool for healthcare providers, policymakers, and stakeholders involved in the procurement, distribution, and utilization of medicines. It provides up-to-date, evidence-based information that is vital for making informed decisions about the selection, dosing, and administration of essential medicines.</w:t>
      </w:r>
    </w:p>
    <w:p w14:paraId="5A38504F" w14:textId="77777777" w:rsidR="00E837DD" w:rsidRPr="00AA2C4F" w:rsidRDefault="00E837DD" w:rsidP="00E837DD">
      <w:pPr>
        <w:spacing w:before="240" w:after="0"/>
        <w:jc w:val="both"/>
        <w:rPr>
          <w:rFonts w:cs="Times New Roman"/>
          <w:szCs w:val="24"/>
        </w:rPr>
      </w:pPr>
      <w:r w:rsidRPr="00AA2C4F">
        <w:rPr>
          <w:rFonts w:cs="Times New Roman"/>
          <w:szCs w:val="24"/>
        </w:rPr>
        <w:t>This formulary has been developed through a collaborative effort involving the Ministry of Health, the Ethiopian Food and Drug Authority (EFDA), healthcare professionals, and academic institutions. It reflects the latest scientific evidence and international best practices, tailored to meet the specific needs of our healthcare system.</w:t>
      </w:r>
    </w:p>
    <w:p w14:paraId="3D6DC69C" w14:textId="77777777" w:rsidR="00E837DD" w:rsidRPr="00AA2C4F" w:rsidRDefault="00E837DD" w:rsidP="00E837DD">
      <w:pPr>
        <w:spacing w:before="240" w:after="0"/>
        <w:jc w:val="both"/>
        <w:rPr>
          <w:rFonts w:cs="Times New Roman"/>
          <w:szCs w:val="24"/>
        </w:rPr>
      </w:pPr>
      <w:r w:rsidRPr="00AA2C4F">
        <w:rPr>
          <w:rFonts w:cs="Times New Roman"/>
          <w:szCs w:val="24"/>
        </w:rPr>
        <w:t>Our aim is to ensure that all healthcare providers have access to accurate and unbiased information, enabling them to deliver the highest standard of care to their patients. The formulary includes a comprehensive list of medicines that are essential for the treatment of common diseases in Ethiopia, promoting the rational use of these medicines to improve health outcomes.</w:t>
      </w:r>
    </w:p>
    <w:p w14:paraId="37691555" w14:textId="77777777" w:rsidR="00E837DD" w:rsidRPr="00AA2C4F" w:rsidRDefault="00E837DD" w:rsidP="00E837DD">
      <w:pPr>
        <w:spacing w:before="240" w:after="0"/>
        <w:jc w:val="both"/>
        <w:rPr>
          <w:rFonts w:cs="Times New Roman"/>
          <w:szCs w:val="24"/>
        </w:rPr>
      </w:pPr>
      <w:r w:rsidRPr="00AA2C4F">
        <w:rPr>
          <w:rFonts w:cs="Times New Roman"/>
          <w:szCs w:val="24"/>
        </w:rPr>
        <w:t>We extend our heartfelt gratitude to all those who have contributed to the development and revision of this formulary. Your expertise and dedication have been instrumental in creating a resource that will benefit healthcare providers and patients alike.</w:t>
      </w:r>
    </w:p>
    <w:p w14:paraId="7CA12EB7" w14:textId="79850DDD" w:rsidR="00E837DD" w:rsidRPr="00AA2C4F" w:rsidRDefault="00E837DD" w:rsidP="00040A45">
      <w:pPr>
        <w:spacing w:before="240" w:after="0"/>
        <w:jc w:val="both"/>
        <w:rPr>
          <w:rFonts w:cs="Times New Roman"/>
          <w:szCs w:val="24"/>
        </w:rPr>
      </w:pPr>
      <w:r w:rsidRPr="00AA2C4F">
        <w:rPr>
          <w:rFonts w:cs="Times New Roman"/>
          <w:szCs w:val="24"/>
        </w:rPr>
        <w:t>As we move forward, we remain committed to continuous improvement and innovation in healthcare. We encourage feedback from the healthcare community to enhance the relevance and effectiveness of the formulary. Together, we can build a stronger healthcare system and ensure a healthier future for all Ethiopians.</w:t>
      </w:r>
    </w:p>
    <w:p w14:paraId="4E8A2A40" w14:textId="77777777" w:rsidR="00E837DD" w:rsidRPr="00AA2C4F" w:rsidRDefault="00E837DD" w:rsidP="00E837DD">
      <w:pPr>
        <w:spacing w:after="0" w:line="276" w:lineRule="auto"/>
        <w:jc w:val="both"/>
        <w:rPr>
          <w:rFonts w:cs="Times New Roman"/>
          <w:szCs w:val="24"/>
        </w:rPr>
      </w:pPr>
      <w:r w:rsidRPr="00AA2C4F">
        <w:rPr>
          <w:rFonts w:cs="Times New Roman"/>
          <w:szCs w:val="24"/>
        </w:rPr>
        <w:t>Sincerely,</w:t>
      </w:r>
    </w:p>
    <w:p w14:paraId="2686F1F3" w14:textId="77777777" w:rsidR="00040A45" w:rsidRDefault="00040A45" w:rsidP="00040A45">
      <w:pPr>
        <w:spacing w:after="0"/>
        <w:jc w:val="both"/>
        <w:rPr>
          <w:rFonts w:eastAsia="Times New Roman" w:cs="Times New Roman"/>
          <w:kern w:val="0"/>
          <w:szCs w:val="24"/>
          <w:lang w:eastAsia="zh-CN"/>
        </w:rPr>
      </w:pPr>
      <w:r w:rsidRPr="00876E38">
        <w:rPr>
          <w:rFonts w:eastAsia="Times New Roman" w:cs="Times New Roman"/>
          <w:kern w:val="0"/>
          <w:szCs w:val="24"/>
          <w:lang w:eastAsia="zh-CN"/>
        </w:rPr>
        <w:t xml:space="preserve">Firehiwot Abebe Gobena </w:t>
      </w:r>
    </w:p>
    <w:p w14:paraId="21FCC7AD" w14:textId="77777777" w:rsidR="00040A45" w:rsidRPr="00876E38" w:rsidRDefault="00040A45" w:rsidP="00040A45">
      <w:pPr>
        <w:spacing w:after="0"/>
        <w:jc w:val="both"/>
        <w:rPr>
          <w:rFonts w:eastAsia="Times New Roman" w:cs="Times New Roman"/>
          <w:kern w:val="0"/>
          <w:szCs w:val="24"/>
          <w:lang w:eastAsia="zh-CN"/>
        </w:rPr>
      </w:pPr>
      <w:r w:rsidRPr="00876E38">
        <w:rPr>
          <w:rFonts w:eastAsia="Times New Roman" w:cs="Times New Roman"/>
          <w:kern w:val="0"/>
          <w:szCs w:val="24"/>
          <w:lang w:eastAsia="zh-CN"/>
        </w:rPr>
        <w:t>State Minister, Ministry of Health</w:t>
      </w:r>
      <w:r>
        <w:rPr>
          <w:rFonts w:eastAsia="Times New Roman" w:cs="Times New Roman"/>
          <w:kern w:val="0"/>
          <w:szCs w:val="24"/>
          <w:lang w:eastAsia="zh-CN"/>
        </w:rPr>
        <w:t>-</w:t>
      </w:r>
      <w:r w:rsidRPr="00876E38">
        <w:rPr>
          <w:rFonts w:eastAsia="Times New Roman" w:cs="Times New Roman"/>
          <w:kern w:val="0"/>
          <w:szCs w:val="24"/>
          <w:lang w:eastAsia="zh-CN"/>
        </w:rPr>
        <w:t>Ethiopia</w:t>
      </w:r>
    </w:p>
    <w:p w14:paraId="6151457F" w14:textId="77777777" w:rsidR="00E837DD" w:rsidRPr="00142F45" w:rsidRDefault="00E837DD" w:rsidP="00142F45">
      <w:pPr>
        <w:pStyle w:val="Heading1"/>
      </w:pPr>
      <w:bookmarkStart w:id="2" w:name="_Toc179490294"/>
      <w:r w:rsidRPr="00142F45">
        <w:lastRenderedPageBreak/>
        <w:t>Acknowledgements</w:t>
      </w:r>
      <w:bookmarkEnd w:id="2"/>
    </w:p>
    <w:p w14:paraId="05E400D7" w14:textId="77777777" w:rsidR="00E837DD" w:rsidRPr="00AA2C4F" w:rsidRDefault="00E837DD" w:rsidP="00E837DD">
      <w:pPr>
        <w:spacing w:after="0"/>
        <w:jc w:val="both"/>
        <w:rPr>
          <w:rFonts w:cs="Times New Roman"/>
          <w:szCs w:val="24"/>
        </w:rPr>
      </w:pPr>
      <w:r w:rsidRPr="00AA2C4F">
        <w:rPr>
          <w:rFonts w:cs="Times New Roman"/>
          <w:szCs w:val="24"/>
        </w:rPr>
        <w:t xml:space="preserve">The Ministry of Health and the Ethiopian Food and Drug Authority (EFDA) extend our heartfelt gratitude to all those who contributed to the preparation and refinement of this edition of </w:t>
      </w:r>
      <w:bookmarkStart w:id="3" w:name="_GoBack"/>
      <w:bookmarkEnd w:id="3"/>
      <w:r w:rsidRPr="00AA2C4F">
        <w:rPr>
          <w:rFonts w:cs="Times New Roman"/>
          <w:szCs w:val="24"/>
        </w:rPr>
        <w:t>the Ethiopian Medicines Formulary. The extensive work involved in the revision of this document, from drafting individual medicine monographs to producing a comprehensive compilation, was made possible through the collaborative efforts of various stakeholders.</w:t>
      </w:r>
    </w:p>
    <w:p w14:paraId="1700FA92" w14:textId="77777777" w:rsidR="00E837DD" w:rsidRPr="00AA2C4F" w:rsidRDefault="00E837DD" w:rsidP="00E837DD">
      <w:pPr>
        <w:spacing w:before="240" w:after="0"/>
        <w:jc w:val="both"/>
        <w:rPr>
          <w:rFonts w:cs="Times New Roman"/>
          <w:szCs w:val="24"/>
        </w:rPr>
      </w:pPr>
      <w:r w:rsidRPr="00AA2C4F">
        <w:rPr>
          <w:rFonts w:cs="Times New Roman"/>
          <w:szCs w:val="24"/>
        </w:rPr>
        <w:t>We are particularly grateful to healthcare professionals - doctors, pharmacists, nurses, and other healthcare providers - who offered valuable feedback and insights during the review process. Their practical experience and expertise have been instrumental in shaping the content of the formulary. In addition, the contributions from academic institutions and service providers from universities, have significantly enriched the scientific basis of this formulary through their knowledge and research findings.</w:t>
      </w:r>
    </w:p>
    <w:p w14:paraId="1B996AF0" w14:textId="77777777" w:rsidR="00E837DD" w:rsidRPr="00AA2C4F" w:rsidRDefault="00E837DD" w:rsidP="00E837DD">
      <w:pPr>
        <w:spacing w:before="240" w:after="0"/>
        <w:jc w:val="both"/>
        <w:rPr>
          <w:rFonts w:cs="Times New Roman"/>
          <w:szCs w:val="24"/>
        </w:rPr>
      </w:pPr>
      <w:r w:rsidRPr="00AA2C4F">
        <w:rPr>
          <w:rFonts w:cs="Times New Roman"/>
          <w:szCs w:val="24"/>
        </w:rPr>
        <w:t>We also acknowledge the active participation and support of professional associations such as the Ethiopian Medical Association and the Ethiopian Pharmaceutical Association. Their involvement has ensured that the formulary meets the needs of healthcare professionals across the country. Special thanks go to the members of the Technical Working Group, who carefully reviewed and refined the formulary. Their dedication and attention to detail have been critical in ensuring the accuracy and relevance of the information provided.</w:t>
      </w:r>
    </w:p>
    <w:p w14:paraId="67A83FFE" w14:textId="77777777" w:rsidR="00E837DD" w:rsidRPr="00AA2C4F" w:rsidRDefault="00E837DD" w:rsidP="00E837DD">
      <w:pPr>
        <w:spacing w:before="240" w:after="0"/>
        <w:jc w:val="both"/>
        <w:rPr>
          <w:rFonts w:cs="Times New Roman"/>
          <w:szCs w:val="24"/>
        </w:rPr>
      </w:pPr>
      <w:r w:rsidRPr="00AA2C4F">
        <w:rPr>
          <w:rFonts w:cs="Times New Roman"/>
          <w:szCs w:val="24"/>
        </w:rPr>
        <w:t>The participants of the national workshop deserve our gratitude for engaging in discussions and sharing their perspectives, which were instrumental in shaping the final version of the formulary. We also thank the team of final editors for their tireless work in ensuring the quality and coherence of the document. Their commitment to excellence has played a crucial role in the completion of this formulary.</w:t>
      </w:r>
    </w:p>
    <w:p w14:paraId="3CABE610" w14:textId="77777777" w:rsidR="00E837DD" w:rsidRPr="00AA2C4F" w:rsidRDefault="00E837DD" w:rsidP="00E837DD">
      <w:pPr>
        <w:spacing w:before="240" w:after="0"/>
        <w:jc w:val="both"/>
        <w:rPr>
          <w:rFonts w:cs="Times New Roman"/>
          <w:szCs w:val="24"/>
        </w:rPr>
      </w:pPr>
      <w:r w:rsidRPr="00AA2C4F">
        <w:rPr>
          <w:rFonts w:cs="Times New Roman"/>
          <w:szCs w:val="24"/>
        </w:rPr>
        <w:t>We extend our deepest thanks to the supporting organizations, particularly the Clinton Health Access Initiative, for their continued generous sponsorship. Their support covered the printing and workshop costs associated with the formulary, making this valuable resource available to healthcare providers across Ethiopia.</w:t>
      </w:r>
    </w:p>
    <w:p w14:paraId="29A5D825" w14:textId="77777777" w:rsidR="00E837DD" w:rsidRPr="00AA2C4F" w:rsidRDefault="00E837DD" w:rsidP="00E837DD">
      <w:pPr>
        <w:spacing w:before="240" w:after="0"/>
        <w:jc w:val="both"/>
        <w:rPr>
          <w:rFonts w:cs="Times New Roman"/>
          <w:szCs w:val="24"/>
        </w:rPr>
      </w:pPr>
      <w:r w:rsidRPr="00AA2C4F">
        <w:rPr>
          <w:rFonts w:cs="Times New Roman"/>
          <w:szCs w:val="24"/>
        </w:rPr>
        <w:lastRenderedPageBreak/>
        <w:t>Lastly, we acknowledge the unwavering support of our partners, including the World Health Organization (WHO) and other international health agencies. Their collaboration and support have been invaluable in the development of this formulary.</w:t>
      </w:r>
    </w:p>
    <w:p w14:paraId="5A61BF3C" w14:textId="77777777" w:rsidR="00E837DD" w:rsidRPr="00AA2C4F" w:rsidRDefault="00E837DD" w:rsidP="00E837DD">
      <w:pPr>
        <w:spacing w:before="240" w:after="0"/>
        <w:jc w:val="both"/>
        <w:rPr>
          <w:rFonts w:cs="Times New Roman"/>
          <w:szCs w:val="24"/>
        </w:rPr>
      </w:pPr>
      <w:r w:rsidRPr="00AA2C4F">
        <w:rPr>
          <w:rFonts w:cs="Times New Roman"/>
          <w:szCs w:val="24"/>
        </w:rPr>
        <w:t>Once again, we express our profound appreciation to everyone involved in this collaborative endeavour. Your dedication has contributed to the enhancement of healthcare practices in Ethiopia, and your efforts will undoubtedly have a lasting impact on the health and well-being of our citizens.</w:t>
      </w:r>
    </w:p>
    <w:p w14:paraId="72F238AF" w14:textId="77777777" w:rsidR="00E837DD" w:rsidRPr="00AA2C4F" w:rsidRDefault="00E837DD" w:rsidP="00E837DD">
      <w:pPr>
        <w:rPr>
          <w:rFonts w:cs="Times New Roman"/>
        </w:rPr>
      </w:pPr>
      <w:r w:rsidRPr="00AA2C4F">
        <w:rPr>
          <w:rFonts w:cs="Times New Roman"/>
        </w:rPr>
        <w:br w:type="page"/>
      </w:r>
    </w:p>
    <w:p w14:paraId="51759440" w14:textId="77777777" w:rsidR="00E837DD" w:rsidRPr="00142F45" w:rsidRDefault="00E837DD" w:rsidP="00A3461C">
      <w:pPr>
        <w:pStyle w:val="Heading1"/>
        <w:spacing w:after="240"/>
      </w:pPr>
      <w:bookmarkStart w:id="4" w:name="_Toc179490295"/>
      <w:r w:rsidRPr="00142F45">
        <w:lastRenderedPageBreak/>
        <w:t>Executive Summary</w:t>
      </w:r>
      <w:bookmarkEnd w:id="4"/>
    </w:p>
    <w:p w14:paraId="26C52CB3" w14:textId="77777777" w:rsidR="00E837DD" w:rsidRPr="00AA2C4F" w:rsidRDefault="00E837DD" w:rsidP="00E837DD">
      <w:pPr>
        <w:spacing w:after="0"/>
        <w:jc w:val="both"/>
        <w:rPr>
          <w:rFonts w:cs="Times New Roman"/>
          <w:szCs w:val="24"/>
        </w:rPr>
      </w:pPr>
      <w:r w:rsidRPr="00AA2C4F">
        <w:rPr>
          <w:rFonts w:cs="Times New Roman"/>
          <w:szCs w:val="24"/>
        </w:rPr>
        <w:t>The Ethiopian National Medicines Formulary (ENMF) is an essential resource designed to support healthcare professionals in delivering high-quality, evidence-based care. This formulary serves as a comprehensive guide for the selection, procurement, distribution, and utilization of medicines within Ethiopia’s healthcare system. Developed through a collaborative effort involving the Ministry of Health and the Ethiopian Food and Drug Authority (EFDA), the ENMF reflects the latest scientific evidence and international best practices tailored to the specific needs.</w:t>
      </w:r>
    </w:p>
    <w:p w14:paraId="75509382" w14:textId="77777777" w:rsidR="00E837DD" w:rsidRPr="00AA2C4F" w:rsidRDefault="00E837DD" w:rsidP="00E837DD">
      <w:pPr>
        <w:spacing w:before="240" w:after="0"/>
        <w:jc w:val="both"/>
        <w:rPr>
          <w:rFonts w:cs="Times New Roman"/>
          <w:szCs w:val="24"/>
        </w:rPr>
      </w:pPr>
      <w:r w:rsidRPr="00AA2C4F">
        <w:rPr>
          <w:rFonts w:cs="Times New Roman"/>
          <w:szCs w:val="24"/>
        </w:rPr>
        <w:t>The primary objectives of the ENMF are to ensure the rational use of medicines, enhance patient safety, and improve healthcare outcomes. By providing accurate, unbiased, and up-to-date information, the formulary assists healthcare professionals in making informed decisions about medication therapy. The ENMF aims to promote rational drug use by ensuring the right medicine is used for the right patient at the right dose and for the right duration. It also seeks to enhance patient safety by minimizing the risk of adverse drug reactions through detailed information on drug interactions, contraindications, and side effects. The formulary also supports evidence-based practice by providing recommendations grounded in the latest scientific research, facilitates access to essential medicines, and improves treatment outcomes.</w:t>
      </w:r>
    </w:p>
    <w:p w14:paraId="2F37E32E" w14:textId="77777777" w:rsidR="00E837DD" w:rsidRPr="00AA2C4F" w:rsidRDefault="00E837DD" w:rsidP="00E837DD">
      <w:pPr>
        <w:spacing w:before="240" w:after="0"/>
        <w:jc w:val="both"/>
        <w:rPr>
          <w:rFonts w:cs="Times New Roman"/>
          <w:szCs w:val="24"/>
        </w:rPr>
      </w:pPr>
      <w:r w:rsidRPr="00AA2C4F">
        <w:rPr>
          <w:rFonts w:cs="Times New Roman"/>
          <w:szCs w:val="24"/>
        </w:rPr>
        <w:t>The ENMF is organized into therapeutic categories, with each section containing medicines grouped by their pharmacological class. Each medicine monograph follows a standardized format that includes the name of the drug, pharmacological class, dosage form, indications, dose and administration, contraindications, drug interactions, side effects, cautions, and storage conditions. This structured approach ensures that healthcare professionals can quickly and easily find the information they need, supporting safe and effective medicine use.</w:t>
      </w:r>
    </w:p>
    <w:p w14:paraId="0E13266B" w14:textId="77777777" w:rsidR="00E837DD" w:rsidRPr="00AA2C4F" w:rsidRDefault="00E837DD" w:rsidP="00E837DD">
      <w:pPr>
        <w:spacing w:before="240" w:after="0"/>
        <w:jc w:val="both"/>
        <w:rPr>
          <w:rFonts w:cs="Times New Roman"/>
          <w:szCs w:val="24"/>
        </w:rPr>
      </w:pPr>
      <w:r w:rsidRPr="00AA2C4F">
        <w:rPr>
          <w:rFonts w:cs="Times New Roman"/>
          <w:szCs w:val="24"/>
        </w:rPr>
        <w:t xml:space="preserve">Key features of the ENMF include its evidence-based information, comprehensive coverage, user-friendly format, special considerations for specific populations, and continuous updates. The formulary incorporates the latest scientific research and clinical guidelines to provide reliable and current information. It offers detailed monographs for a wide range of medicines. The standardized format of the monographs ensures consistency and ease of use. Specific guidelines </w:t>
      </w:r>
      <w:r w:rsidRPr="00AA2C4F">
        <w:rPr>
          <w:rFonts w:cs="Times New Roman"/>
          <w:szCs w:val="24"/>
        </w:rPr>
        <w:lastRenderedPageBreak/>
        <w:t xml:space="preserve">for the use of medicines in special populations such as pregnant women, children, and the elderly ensure safe and effective treatment across all patient groups. </w:t>
      </w:r>
    </w:p>
    <w:p w14:paraId="0FB58E06" w14:textId="77777777" w:rsidR="00E837DD" w:rsidRPr="00142F45" w:rsidRDefault="00E837DD" w:rsidP="00946365">
      <w:pPr>
        <w:pStyle w:val="Heading1"/>
        <w:spacing w:after="240"/>
      </w:pPr>
      <w:bookmarkStart w:id="5" w:name="_Toc179490296"/>
      <w:r w:rsidRPr="00142F45">
        <w:t>Abbreviations and Acronyms</w:t>
      </w:r>
      <w:bookmarkEnd w:id="5"/>
    </w:p>
    <w:p w14:paraId="431623AB" w14:textId="77777777" w:rsidR="00E837DD" w:rsidRPr="00AA2C4F" w:rsidRDefault="00E837DD" w:rsidP="00E837DD">
      <w:pPr>
        <w:spacing w:after="0"/>
        <w:rPr>
          <w:rFonts w:cs="Times New Roman"/>
          <w:szCs w:val="24"/>
        </w:rPr>
      </w:pPr>
      <w:r w:rsidRPr="00AA2C4F">
        <w:rPr>
          <w:rFonts w:cs="Times New Roman"/>
          <w:szCs w:val="24"/>
        </w:rPr>
        <w:t>ADR:</w:t>
      </w:r>
      <w:r w:rsidRPr="00AA2C4F">
        <w:rPr>
          <w:rFonts w:cs="Times New Roman"/>
          <w:szCs w:val="24"/>
        </w:rPr>
        <w:tab/>
      </w:r>
      <w:r w:rsidRPr="00AA2C4F">
        <w:rPr>
          <w:rFonts w:cs="Times New Roman"/>
          <w:szCs w:val="24"/>
        </w:rPr>
        <w:tab/>
      </w:r>
      <w:r w:rsidRPr="00AA2C4F">
        <w:rPr>
          <w:rFonts w:cs="Times New Roman"/>
          <w:szCs w:val="24"/>
        </w:rPr>
        <w:tab/>
        <w:t>Adverse Drug Reaction</w:t>
      </w:r>
    </w:p>
    <w:p w14:paraId="43632665" w14:textId="77777777" w:rsidR="00E837DD" w:rsidRPr="00AA2C4F" w:rsidRDefault="00E837DD" w:rsidP="00E837DD">
      <w:pPr>
        <w:spacing w:after="0"/>
        <w:rPr>
          <w:rFonts w:cs="Times New Roman"/>
          <w:szCs w:val="24"/>
        </w:rPr>
      </w:pPr>
      <w:r w:rsidRPr="00AA2C4F">
        <w:rPr>
          <w:rFonts w:cs="Times New Roman"/>
          <w:szCs w:val="24"/>
        </w:rPr>
        <w:t>AIDS:</w:t>
      </w:r>
      <w:r w:rsidRPr="00AA2C4F">
        <w:rPr>
          <w:rFonts w:cs="Times New Roman"/>
          <w:szCs w:val="24"/>
        </w:rPr>
        <w:tab/>
      </w:r>
      <w:r w:rsidRPr="00AA2C4F">
        <w:rPr>
          <w:rFonts w:cs="Times New Roman"/>
          <w:szCs w:val="24"/>
        </w:rPr>
        <w:tab/>
      </w:r>
      <w:r w:rsidRPr="00AA2C4F">
        <w:rPr>
          <w:rFonts w:cs="Times New Roman"/>
          <w:szCs w:val="24"/>
        </w:rPr>
        <w:tab/>
        <w:t>Acquired Immunodeficiency Syndrome</w:t>
      </w:r>
    </w:p>
    <w:p w14:paraId="4DC4D146" w14:textId="77777777" w:rsidR="00E837DD" w:rsidRPr="00AA2C4F" w:rsidRDefault="00E837DD" w:rsidP="00E837DD">
      <w:pPr>
        <w:spacing w:after="0"/>
        <w:rPr>
          <w:rFonts w:cs="Times New Roman"/>
          <w:szCs w:val="24"/>
        </w:rPr>
      </w:pPr>
      <w:r w:rsidRPr="00AA2C4F">
        <w:rPr>
          <w:rFonts w:cs="Times New Roman"/>
          <w:szCs w:val="24"/>
        </w:rPr>
        <w:t>ALL:</w:t>
      </w:r>
      <w:r w:rsidRPr="00AA2C4F">
        <w:rPr>
          <w:rFonts w:cs="Times New Roman"/>
          <w:szCs w:val="24"/>
        </w:rPr>
        <w:tab/>
      </w:r>
      <w:r w:rsidRPr="00AA2C4F">
        <w:rPr>
          <w:rFonts w:cs="Times New Roman"/>
          <w:szCs w:val="24"/>
        </w:rPr>
        <w:tab/>
      </w:r>
      <w:r w:rsidRPr="00AA2C4F">
        <w:rPr>
          <w:rFonts w:cs="Times New Roman"/>
          <w:szCs w:val="24"/>
        </w:rPr>
        <w:tab/>
        <w:t>Acute Lymphoblastic Leukemia</w:t>
      </w:r>
    </w:p>
    <w:p w14:paraId="129D4971" w14:textId="77777777" w:rsidR="00E837DD" w:rsidRPr="00AA2C4F" w:rsidRDefault="00E837DD" w:rsidP="00E837DD">
      <w:pPr>
        <w:spacing w:after="0"/>
        <w:rPr>
          <w:rFonts w:cs="Times New Roman"/>
          <w:szCs w:val="24"/>
        </w:rPr>
      </w:pPr>
      <w:r w:rsidRPr="00AA2C4F">
        <w:rPr>
          <w:rFonts w:cs="Times New Roman"/>
          <w:szCs w:val="24"/>
        </w:rPr>
        <w:t>AML:</w:t>
      </w:r>
      <w:r w:rsidRPr="00AA2C4F">
        <w:rPr>
          <w:rFonts w:cs="Times New Roman"/>
          <w:szCs w:val="24"/>
        </w:rPr>
        <w:tab/>
      </w:r>
      <w:r w:rsidRPr="00AA2C4F">
        <w:rPr>
          <w:rFonts w:cs="Times New Roman"/>
          <w:szCs w:val="24"/>
        </w:rPr>
        <w:tab/>
      </w:r>
      <w:r w:rsidRPr="00AA2C4F">
        <w:rPr>
          <w:rFonts w:cs="Times New Roman"/>
          <w:szCs w:val="24"/>
        </w:rPr>
        <w:tab/>
        <w:t>Acute Myeloid Leukemia</w:t>
      </w:r>
    </w:p>
    <w:p w14:paraId="371733D1" w14:textId="77777777" w:rsidR="00E837DD" w:rsidRPr="00AA2C4F" w:rsidRDefault="00E837DD" w:rsidP="00E837DD">
      <w:pPr>
        <w:spacing w:after="0"/>
        <w:rPr>
          <w:rFonts w:cs="Times New Roman"/>
          <w:szCs w:val="24"/>
        </w:rPr>
      </w:pPr>
      <w:r w:rsidRPr="00AA2C4F">
        <w:rPr>
          <w:rFonts w:cs="Times New Roman"/>
          <w:szCs w:val="24"/>
        </w:rPr>
        <w:t>ART:</w:t>
      </w:r>
      <w:r w:rsidRPr="00AA2C4F">
        <w:rPr>
          <w:rFonts w:cs="Times New Roman"/>
          <w:szCs w:val="24"/>
        </w:rPr>
        <w:tab/>
      </w:r>
      <w:r w:rsidRPr="00AA2C4F">
        <w:rPr>
          <w:rFonts w:cs="Times New Roman"/>
          <w:szCs w:val="24"/>
        </w:rPr>
        <w:tab/>
      </w:r>
      <w:r w:rsidRPr="00AA2C4F">
        <w:rPr>
          <w:rFonts w:cs="Times New Roman"/>
          <w:szCs w:val="24"/>
        </w:rPr>
        <w:tab/>
        <w:t>Antiretroviral Therapy</w:t>
      </w:r>
    </w:p>
    <w:p w14:paraId="102BA282" w14:textId="77777777" w:rsidR="00E837DD" w:rsidRPr="00AA2C4F" w:rsidRDefault="00E837DD" w:rsidP="00E837DD">
      <w:pPr>
        <w:spacing w:after="0"/>
        <w:rPr>
          <w:rFonts w:cs="Times New Roman"/>
          <w:szCs w:val="24"/>
        </w:rPr>
      </w:pPr>
      <w:r w:rsidRPr="00AA2C4F">
        <w:rPr>
          <w:rFonts w:cs="Times New Roman"/>
          <w:szCs w:val="24"/>
        </w:rPr>
        <w:t>BCG:</w:t>
      </w:r>
      <w:r w:rsidRPr="00AA2C4F">
        <w:rPr>
          <w:rFonts w:cs="Times New Roman"/>
          <w:szCs w:val="24"/>
        </w:rPr>
        <w:tab/>
      </w:r>
      <w:r w:rsidRPr="00AA2C4F">
        <w:rPr>
          <w:rFonts w:cs="Times New Roman"/>
          <w:szCs w:val="24"/>
        </w:rPr>
        <w:tab/>
      </w:r>
      <w:r w:rsidRPr="00AA2C4F">
        <w:rPr>
          <w:rFonts w:cs="Times New Roman"/>
          <w:szCs w:val="24"/>
        </w:rPr>
        <w:tab/>
        <w:t>Bacillus Calmette-Guérin</w:t>
      </w:r>
    </w:p>
    <w:p w14:paraId="750616F0" w14:textId="77777777" w:rsidR="00E837DD" w:rsidRPr="00AA2C4F" w:rsidRDefault="00E837DD" w:rsidP="00E837DD">
      <w:pPr>
        <w:spacing w:after="0"/>
        <w:rPr>
          <w:rFonts w:cs="Times New Roman"/>
          <w:szCs w:val="24"/>
        </w:rPr>
      </w:pPr>
      <w:r w:rsidRPr="00AA2C4F">
        <w:rPr>
          <w:rFonts w:cs="Times New Roman"/>
          <w:szCs w:val="24"/>
        </w:rPr>
        <w:t>BPaLM:</w:t>
      </w:r>
      <w:r w:rsidRPr="00AA2C4F">
        <w:rPr>
          <w:rFonts w:cs="Times New Roman"/>
          <w:szCs w:val="24"/>
        </w:rPr>
        <w:tab/>
      </w:r>
      <w:r w:rsidRPr="00AA2C4F">
        <w:rPr>
          <w:rFonts w:cs="Times New Roman"/>
          <w:szCs w:val="24"/>
        </w:rPr>
        <w:tab/>
        <w:t>Bedaquiline, Pretomanid, Linezolid, and Moxifloxacin</w:t>
      </w:r>
    </w:p>
    <w:p w14:paraId="05AADA7F" w14:textId="77777777" w:rsidR="00E837DD" w:rsidRPr="00AA2C4F" w:rsidRDefault="00E837DD" w:rsidP="00E837DD">
      <w:pPr>
        <w:spacing w:after="0"/>
        <w:rPr>
          <w:rFonts w:cs="Times New Roman"/>
          <w:szCs w:val="24"/>
        </w:rPr>
      </w:pPr>
      <w:r w:rsidRPr="00AA2C4F">
        <w:rPr>
          <w:rFonts w:cs="Times New Roman"/>
          <w:szCs w:val="24"/>
        </w:rPr>
        <w:t>CBC:</w:t>
      </w:r>
      <w:r w:rsidRPr="00AA2C4F">
        <w:rPr>
          <w:rFonts w:cs="Times New Roman"/>
          <w:szCs w:val="24"/>
        </w:rPr>
        <w:tab/>
      </w:r>
      <w:r w:rsidRPr="00AA2C4F">
        <w:rPr>
          <w:rFonts w:cs="Times New Roman"/>
          <w:szCs w:val="24"/>
        </w:rPr>
        <w:tab/>
      </w:r>
      <w:r w:rsidRPr="00AA2C4F">
        <w:rPr>
          <w:rFonts w:cs="Times New Roman"/>
          <w:szCs w:val="24"/>
        </w:rPr>
        <w:tab/>
        <w:t>Complete Blood Count</w:t>
      </w:r>
    </w:p>
    <w:p w14:paraId="068CDD6F" w14:textId="77777777" w:rsidR="00E837DD" w:rsidRPr="00AA2C4F" w:rsidRDefault="00E837DD" w:rsidP="00E837DD">
      <w:pPr>
        <w:spacing w:after="0"/>
        <w:rPr>
          <w:rFonts w:cs="Times New Roman"/>
          <w:szCs w:val="24"/>
        </w:rPr>
      </w:pPr>
      <w:r w:rsidRPr="00AA2C4F">
        <w:rPr>
          <w:rFonts w:cs="Times New Roman"/>
          <w:szCs w:val="24"/>
        </w:rPr>
        <w:t>CCB:</w:t>
      </w:r>
      <w:r w:rsidRPr="00AA2C4F">
        <w:rPr>
          <w:rFonts w:cs="Times New Roman"/>
          <w:szCs w:val="24"/>
        </w:rPr>
        <w:tab/>
      </w:r>
      <w:r w:rsidRPr="00AA2C4F">
        <w:rPr>
          <w:rFonts w:cs="Times New Roman"/>
          <w:szCs w:val="24"/>
        </w:rPr>
        <w:tab/>
      </w:r>
      <w:r w:rsidRPr="00AA2C4F">
        <w:rPr>
          <w:rFonts w:cs="Times New Roman"/>
          <w:szCs w:val="24"/>
        </w:rPr>
        <w:tab/>
        <w:t>Calcium Channel Blocker</w:t>
      </w:r>
    </w:p>
    <w:p w14:paraId="65178DA4" w14:textId="77777777" w:rsidR="00E837DD" w:rsidRPr="00AA2C4F" w:rsidRDefault="00E837DD" w:rsidP="00E837DD">
      <w:pPr>
        <w:spacing w:after="0"/>
        <w:rPr>
          <w:rFonts w:cs="Times New Roman"/>
          <w:szCs w:val="24"/>
        </w:rPr>
      </w:pPr>
      <w:r w:rsidRPr="00AA2C4F">
        <w:rPr>
          <w:rFonts w:cs="Times New Roman"/>
          <w:szCs w:val="24"/>
        </w:rPr>
        <w:t>CD4:</w:t>
      </w:r>
      <w:r w:rsidRPr="00AA2C4F">
        <w:rPr>
          <w:rFonts w:cs="Times New Roman"/>
          <w:szCs w:val="24"/>
        </w:rPr>
        <w:tab/>
      </w:r>
      <w:r w:rsidRPr="00AA2C4F">
        <w:rPr>
          <w:rFonts w:cs="Times New Roman"/>
          <w:szCs w:val="24"/>
        </w:rPr>
        <w:tab/>
      </w:r>
      <w:r w:rsidRPr="00AA2C4F">
        <w:rPr>
          <w:rFonts w:cs="Times New Roman"/>
          <w:szCs w:val="24"/>
        </w:rPr>
        <w:tab/>
        <w:t>Cluster of Differentiation 4</w:t>
      </w:r>
    </w:p>
    <w:p w14:paraId="53A1ADC2" w14:textId="77777777" w:rsidR="00E837DD" w:rsidRPr="00AA2C4F" w:rsidRDefault="00E837DD" w:rsidP="00E837DD">
      <w:pPr>
        <w:spacing w:after="0"/>
        <w:rPr>
          <w:rFonts w:cs="Times New Roman"/>
          <w:szCs w:val="24"/>
        </w:rPr>
      </w:pPr>
      <w:r w:rsidRPr="00AA2C4F">
        <w:rPr>
          <w:rFonts w:cs="Times New Roman"/>
          <w:szCs w:val="24"/>
        </w:rPr>
        <w:t>CLL:</w:t>
      </w:r>
      <w:r w:rsidRPr="00AA2C4F">
        <w:rPr>
          <w:rFonts w:cs="Times New Roman"/>
          <w:szCs w:val="24"/>
        </w:rPr>
        <w:tab/>
      </w:r>
      <w:r w:rsidRPr="00AA2C4F">
        <w:rPr>
          <w:rFonts w:cs="Times New Roman"/>
          <w:szCs w:val="24"/>
        </w:rPr>
        <w:tab/>
      </w:r>
      <w:r w:rsidRPr="00AA2C4F">
        <w:rPr>
          <w:rFonts w:cs="Times New Roman"/>
          <w:szCs w:val="24"/>
        </w:rPr>
        <w:tab/>
        <w:t>Chronic Lymphocytic Leukemia</w:t>
      </w:r>
    </w:p>
    <w:p w14:paraId="7C93DBDE" w14:textId="77777777" w:rsidR="00E837DD" w:rsidRPr="00AA2C4F" w:rsidRDefault="00E837DD" w:rsidP="00E837DD">
      <w:pPr>
        <w:spacing w:after="0"/>
        <w:rPr>
          <w:rFonts w:cs="Times New Roman"/>
          <w:szCs w:val="24"/>
        </w:rPr>
      </w:pPr>
      <w:r w:rsidRPr="00AA2C4F">
        <w:rPr>
          <w:rFonts w:cs="Times New Roman"/>
          <w:szCs w:val="24"/>
        </w:rPr>
        <w:t>CML:</w:t>
      </w:r>
      <w:r w:rsidRPr="00AA2C4F">
        <w:rPr>
          <w:rFonts w:cs="Times New Roman"/>
          <w:szCs w:val="24"/>
        </w:rPr>
        <w:tab/>
      </w:r>
      <w:r w:rsidRPr="00AA2C4F">
        <w:rPr>
          <w:rFonts w:cs="Times New Roman"/>
          <w:szCs w:val="24"/>
        </w:rPr>
        <w:tab/>
      </w:r>
      <w:r w:rsidRPr="00AA2C4F">
        <w:rPr>
          <w:rFonts w:cs="Times New Roman"/>
          <w:szCs w:val="24"/>
        </w:rPr>
        <w:tab/>
        <w:t>Chronic Myeloid Leukemia</w:t>
      </w:r>
    </w:p>
    <w:p w14:paraId="4F66BF2C" w14:textId="77777777" w:rsidR="00E837DD" w:rsidRPr="00AA2C4F" w:rsidRDefault="00E837DD" w:rsidP="00E837DD">
      <w:pPr>
        <w:spacing w:after="0"/>
        <w:rPr>
          <w:rFonts w:cs="Times New Roman"/>
          <w:szCs w:val="24"/>
        </w:rPr>
      </w:pPr>
      <w:r w:rsidRPr="00AA2C4F">
        <w:rPr>
          <w:rFonts w:cs="Times New Roman"/>
          <w:szCs w:val="24"/>
        </w:rPr>
        <w:t>CNS:</w:t>
      </w:r>
      <w:r w:rsidRPr="00AA2C4F">
        <w:rPr>
          <w:rFonts w:cs="Times New Roman"/>
          <w:szCs w:val="24"/>
        </w:rPr>
        <w:tab/>
      </w:r>
      <w:r w:rsidRPr="00AA2C4F">
        <w:rPr>
          <w:rFonts w:cs="Times New Roman"/>
          <w:szCs w:val="24"/>
        </w:rPr>
        <w:tab/>
      </w:r>
      <w:r w:rsidRPr="00AA2C4F">
        <w:rPr>
          <w:rFonts w:cs="Times New Roman"/>
          <w:szCs w:val="24"/>
        </w:rPr>
        <w:tab/>
        <w:t>Central Nervous System</w:t>
      </w:r>
    </w:p>
    <w:p w14:paraId="33C0C7A3" w14:textId="77777777" w:rsidR="00E837DD" w:rsidRPr="00AA2C4F" w:rsidRDefault="00E837DD" w:rsidP="00E837DD">
      <w:pPr>
        <w:spacing w:after="0"/>
        <w:rPr>
          <w:rFonts w:cs="Times New Roman"/>
          <w:szCs w:val="24"/>
        </w:rPr>
      </w:pPr>
      <w:r w:rsidRPr="00AA2C4F">
        <w:rPr>
          <w:rFonts w:cs="Times New Roman"/>
          <w:szCs w:val="24"/>
        </w:rPr>
        <w:t>CrCl:</w:t>
      </w:r>
      <w:r w:rsidRPr="00AA2C4F">
        <w:rPr>
          <w:rFonts w:cs="Times New Roman"/>
          <w:szCs w:val="24"/>
        </w:rPr>
        <w:tab/>
      </w:r>
      <w:r w:rsidRPr="00AA2C4F">
        <w:rPr>
          <w:rFonts w:cs="Times New Roman"/>
          <w:szCs w:val="24"/>
        </w:rPr>
        <w:tab/>
      </w:r>
      <w:r w:rsidRPr="00AA2C4F">
        <w:rPr>
          <w:rFonts w:cs="Times New Roman"/>
          <w:szCs w:val="24"/>
        </w:rPr>
        <w:tab/>
        <w:t>Creatinine Clearance</w:t>
      </w:r>
    </w:p>
    <w:p w14:paraId="05B78B17" w14:textId="77777777" w:rsidR="00E837DD" w:rsidRPr="00AA2C4F" w:rsidRDefault="00E837DD" w:rsidP="00E837DD">
      <w:pPr>
        <w:spacing w:after="0"/>
        <w:rPr>
          <w:rFonts w:cs="Times New Roman"/>
          <w:szCs w:val="24"/>
        </w:rPr>
      </w:pPr>
      <w:r w:rsidRPr="00AA2C4F">
        <w:rPr>
          <w:rFonts w:cs="Times New Roman"/>
          <w:szCs w:val="24"/>
        </w:rPr>
        <w:t>DNA:</w:t>
      </w:r>
      <w:r w:rsidRPr="00AA2C4F">
        <w:rPr>
          <w:rFonts w:cs="Times New Roman"/>
          <w:szCs w:val="24"/>
        </w:rPr>
        <w:tab/>
      </w:r>
      <w:r w:rsidRPr="00AA2C4F">
        <w:rPr>
          <w:rFonts w:cs="Times New Roman"/>
          <w:szCs w:val="24"/>
        </w:rPr>
        <w:tab/>
      </w:r>
      <w:r w:rsidRPr="00AA2C4F">
        <w:rPr>
          <w:rFonts w:cs="Times New Roman"/>
          <w:szCs w:val="24"/>
        </w:rPr>
        <w:tab/>
        <w:t>Deoxyribonucleic Acid</w:t>
      </w:r>
    </w:p>
    <w:p w14:paraId="6D5FA0C8" w14:textId="77777777" w:rsidR="00E837DD" w:rsidRPr="00AA2C4F" w:rsidRDefault="00E837DD" w:rsidP="00E837DD">
      <w:pPr>
        <w:spacing w:after="0"/>
        <w:rPr>
          <w:rFonts w:cs="Times New Roman"/>
          <w:szCs w:val="24"/>
        </w:rPr>
      </w:pPr>
      <w:r w:rsidRPr="00AA2C4F">
        <w:rPr>
          <w:rFonts w:cs="Times New Roman"/>
          <w:szCs w:val="24"/>
        </w:rPr>
        <w:t>DTP:</w:t>
      </w:r>
      <w:r w:rsidRPr="00AA2C4F">
        <w:rPr>
          <w:rFonts w:cs="Times New Roman"/>
          <w:szCs w:val="24"/>
        </w:rPr>
        <w:tab/>
      </w:r>
      <w:r w:rsidRPr="00AA2C4F">
        <w:rPr>
          <w:rFonts w:cs="Times New Roman"/>
          <w:szCs w:val="24"/>
        </w:rPr>
        <w:tab/>
      </w:r>
      <w:r w:rsidRPr="00AA2C4F">
        <w:rPr>
          <w:rFonts w:cs="Times New Roman"/>
          <w:szCs w:val="24"/>
        </w:rPr>
        <w:tab/>
        <w:t>Diphtheria, Tetanus, Pertussis</w:t>
      </w:r>
    </w:p>
    <w:p w14:paraId="08A8180A" w14:textId="77777777" w:rsidR="00E837DD" w:rsidRPr="00AA2C4F" w:rsidRDefault="00E837DD" w:rsidP="00E837DD">
      <w:pPr>
        <w:spacing w:after="0"/>
        <w:rPr>
          <w:rFonts w:cs="Times New Roman"/>
          <w:szCs w:val="24"/>
        </w:rPr>
      </w:pPr>
      <w:r w:rsidRPr="00AA2C4F">
        <w:rPr>
          <w:rFonts w:cs="Times New Roman"/>
          <w:szCs w:val="24"/>
        </w:rPr>
        <w:t>DTPa-HepB Hib:</w:t>
      </w:r>
      <w:r w:rsidRPr="00AA2C4F">
        <w:rPr>
          <w:rFonts w:cs="Times New Roman"/>
          <w:szCs w:val="24"/>
        </w:rPr>
        <w:tab/>
        <w:t>Diphtheria, Tetanus, acellular Pertussis, Hepatitis B, Haemophilus influenzae type B</w:t>
      </w:r>
    </w:p>
    <w:p w14:paraId="33AEE304" w14:textId="77777777" w:rsidR="00E837DD" w:rsidRPr="00AA2C4F" w:rsidRDefault="00E837DD" w:rsidP="00E837DD">
      <w:pPr>
        <w:spacing w:after="0"/>
        <w:rPr>
          <w:rFonts w:cs="Times New Roman"/>
          <w:szCs w:val="24"/>
        </w:rPr>
      </w:pPr>
      <w:r w:rsidRPr="00AA2C4F">
        <w:rPr>
          <w:rFonts w:cs="Times New Roman"/>
          <w:szCs w:val="24"/>
        </w:rPr>
        <w:t>DTwP:</w:t>
      </w:r>
      <w:r w:rsidRPr="00AA2C4F">
        <w:rPr>
          <w:rFonts w:cs="Times New Roman"/>
          <w:szCs w:val="24"/>
        </w:rPr>
        <w:tab/>
      </w:r>
      <w:r w:rsidRPr="00AA2C4F">
        <w:rPr>
          <w:rFonts w:cs="Times New Roman"/>
          <w:szCs w:val="24"/>
        </w:rPr>
        <w:tab/>
      </w:r>
      <w:r w:rsidRPr="00AA2C4F">
        <w:rPr>
          <w:rFonts w:cs="Times New Roman"/>
          <w:szCs w:val="24"/>
        </w:rPr>
        <w:tab/>
        <w:t>Diphtheria, Tetanus, whole-cell Pertussis</w:t>
      </w:r>
    </w:p>
    <w:p w14:paraId="5747F0CF" w14:textId="77777777" w:rsidR="00E837DD" w:rsidRPr="00AA2C4F" w:rsidRDefault="00E837DD" w:rsidP="00E837DD">
      <w:pPr>
        <w:spacing w:after="0"/>
        <w:rPr>
          <w:rFonts w:cs="Times New Roman"/>
          <w:szCs w:val="24"/>
        </w:rPr>
      </w:pPr>
      <w:r w:rsidRPr="00AA2C4F">
        <w:rPr>
          <w:rFonts w:cs="Times New Roman"/>
          <w:szCs w:val="24"/>
        </w:rPr>
        <w:t>EFDA:</w:t>
      </w:r>
      <w:r w:rsidRPr="00AA2C4F">
        <w:rPr>
          <w:rFonts w:cs="Times New Roman"/>
          <w:szCs w:val="24"/>
        </w:rPr>
        <w:tab/>
      </w:r>
      <w:r w:rsidRPr="00AA2C4F">
        <w:rPr>
          <w:rFonts w:cs="Times New Roman"/>
          <w:szCs w:val="24"/>
        </w:rPr>
        <w:tab/>
      </w:r>
      <w:r w:rsidRPr="00AA2C4F">
        <w:rPr>
          <w:rFonts w:cs="Times New Roman"/>
          <w:szCs w:val="24"/>
        </w:rPr>
        <w:tab/>
        <w:t>Ethiopian Food and Drug Authority</w:t>
      </w:r>
    </w:p>
    <w:p w14:paraId="7DEE25AA" w14:textId="77777777" w:rsidR="00E837DD" w:rsidRPr="00AA2C4F" w:rsidRDefault="00E837DD" w:rsidP="00E837DD">
      <w:pPr>
        <w:spacing w:after="0"/>
        <w:rPr>
          <w:rFonts w:cs="Times New Roman"/>
          <w:szCs w:val="24"/>
        </w:rPr>
      </w:pPr>
      <w:r w:rsidRPr="00AA2C4F">
        <w:rPr>
          <w:rFonts w:cs="Times New Roman"/>
          <w:szCs w:val="24"/>
        </w:rPr>
        <w:t>GBS:</w:t>
      </w:r>
      <w:r w:rsidRPr="00AA2C4F">
        <w:rPr>
          <w:rFonts w:cs="Times New Roman"/>
          <w:szCs w:val="24"/>
        </w:rPr>
        <w:tab/>
      </w:r>
      <w:r w:rsidRPr="00AA2C4F">
        <w:rPr>
          <w:rFonts w:cs="Times New Roman"/>
          <w:szCs w:val="24"/>
        </w:rPr>
        <w:tab/>
      </w:r>
      <w:r w:rsidRPr="00AA2C4F">
        <w:rPr>
          <w:rFonts w:cs="Times New Roman"/>
          <w:szCs w:val="24"/>
        </w:rPr>
        <w:tab/>
        <w:t>Guillain-Barré Syndrome</w:t>
      </w:r>
    </w:p>
    <w:p w14:paraId="3427DD40" w14:textId="77777777" w:rsidR="00E837DD" w:rsidRPr="00AA2C4F" w:rsidRDefault="00E837DD" w:rsidP="00E837DD">
      <w:pPr>
        <w:spacing w:after="0"/>
        <w:rPr>
          <w:rFonts w:cs="Times New Roman"/>
          <w:szCs w:val="24"/>
        </w:rPr>
      </w:pPr>
      <w:r w:rsidRPr="00AA2C4F">
        <w:rPr>
          <w:rFonts w:cs="Times New Roman"/>
          <w:szCs w:val="24"/>
        </w:rPr>
        <w:t>GI:</w:t>
      </w:r>
      <w:r w:rsidRPr="00AA2C4F">
        <w:rPr>
          <w:rFonts w:cs="Times New Roman"/>
          <w:szCs w:val="24"/>
        </w:rPr>
        <w:tab/>
      </w:r>
      <w:r w:rsidRPr="00AA2C4F">
        <w:rPr>
          <w:rFonts w:cs="Times New Roman"/>
          <w:szCs w:val="24"/>
        </w:rPr>
        <w:tab/>
      </w:r>
      <w:r w:rsidRPr="00AA2C4F">
        <w:rPr>
          <w:rFonts w:cs="Times New Roman"/>
          <w:szCs w:val="24"/>
        </w:rPr>
        <w:tab/>
        <w:t>Gastrointestinal</w:t>
      </w:r>
    </w:p>
    <w:p w14:paraId="785FA8B4" w14:textId="77777777" w:rsidR="00E837DD" w:rsidRPr="00AA2C4F" w:rsidRDefault="00E837DD" w:rsidP="00E837DD">
      <w:pPr>
        <w:spacing w:after="0"/>
        <w:rPr>
          <w:rFonts w:cs="Times New Roman"/>
          <w:szCs w:val="24"/>
        </w:rPr>
      </w:pPr>
      <w:r w:rsidRPr="00AA2C4F">
        <w:rPr>
          <w:rFonts w:cs="Times New Roman"/>
          <w:szCs w:val="24"/>
        </w:rPr>
        <w:t>G6PD:</w:t>
      </w:r>
      <w:r w:rsidRPr="00AA2C4F">
        <w:rPr>
          <w:rFonts w:cs="Times New Roman"/>
          <w:szCs w:val="24"/>
        </w:rPr>
        <w:tab/>
      </w:r>
      <w:r w:rsidRPr="00AA2C4F">
        <w:rPr>
          <w:rFonts w:cs="Times New Roman"/>
          <w:szCs w:val="24"/>
        </w:rPr>
        <w:tab/>
      </w:r>
      <w:r w:rsidRPr="00AA2C4F">
        <w:rPr>
          <w:rFonts w:cs="Times New Roman"/>
          <w:szCs w:val="24"/>
        </w:rPr>
        <w:tab/>
        <w:t>Glucose-6-Phosphate Dehydrogenase</w:t>
      </w:r>
    </w:p>
    <w:p w14:paraId="08D7F409" w14:textId="77777777" w:rsidR="00E837DD" w:rsidRPr="00AA2C4F" w:rsidRDefault="00E837DD" w:rsidP="00E837DD">
      <w:pPr>
        <w:spacing w:after="0"/>
        <w:rPr>
          <w:rFonts w:cs="Times New Roman"/>
          <w:szCs w:val="24"/>
        </w:rPr>
      </w:pPr>
      <w:r w:rsidRPr="00AA2C4F">
        <w:rPr>
          <w:rFonts w:cs="Times New Roman"/>
          <w:szCs w:val="24"/>
        </w:rPr>
        <w:t>HAT:</w:t>
      </w:r>
      <w:r w:rsidRPr="00AA2C4F">
        <w:rPr>
          <w:rFonts w:cs="Times New Roman"/>
          <w:szCs w:val="24"/>
        </w:rPr>
        <w:tab/>
      </w:r>
      <w:r w:rsidRPr="00AA2C4F">
        <w:rPr>
          <w:rFonts w:cs="Times New Roman"/>
          <w:szCs w:val="24"/>
        </w:rPr>
        <w:tab/>
      </w:r>
      <w:r w:rsidRPr="00AA2C4F">
        <w:rPr>
          <w:rFonts w:cs="Times New Roman"/>
          <w:szCs w:val="24"/>
        </w:rPr>
        <w:tab/>
        <w:t>Human African Trypanosomiasis</w:t>
      </w:r>
    </w:p>
    <w:p w14:paraId="5FB9AD72" w14:textId="77777777" w:rsidR="00E837DD" w:rsidRPr="00AA2C4F" w:rsidRDefault="00E837DD" w:rsidP="00E837DD">
      <w:pPr>
        <w:spacing w:after="0"/>
        <w:rPr>
          <w:rFonts w:cs="Times New Roman"/>
          <w:szCs w:val="24"/>
        </w:rPr>
      </w:pPr>
      <w:r w:rsidRPr="00AA2C4F">
        <w:rPr>
          <w:rFonts w:cs="Times New Roman"/>
          <w:szCs w:val="24"/>
        </w:rPr>
        <w:t>HCV:</w:t>
      </w:r>
      <w:r w:rsidRPr="00AA2C4F">
        <w:rPr>
          <w:rFonts w:cs="Times New Roman"/>
          <w:szCs w:val="24"/>
        </w:rPr>
        <w:tab/>
      </w:r>
      <w:r w:rsidRPr="00AA2C4F">
        <w:rPr>
          <w:rFonts w:cs="Times New Roman"/>
          <w:szCs w:val="24"/>
        </w:rPr>
        <w:tab/>
      </w:r>
      <w:r w:rsidRPr="00AA2C4F">
        <w:rPr>
          <w:rFonts w:cs="Times New Roman"/>
          <w:szCs w:val="24"/>
        </w:rPr>
        <w:tab/>
        <w:t>Hepatitis C Virus</w:t>
      </w:r>
    </w:p>
    <w:p w14:paraId="713FE6BF" w14:textId="77777777" w:rsidR="00E837DD" w:rsidRPr="00AA2C4F" w:rsidRDefault="00E837DD" w:rsidP="00E837DD">
      <w:pPr>
        <w:spacing w:after="0"/>
        <w:rPr>
          <w:rFonts w:cs="Times New Roman"/>
          <w:szCs w:val="24"/>
        </w:rPr>
      </w:pPr>
      <w:r w:rsidRPr="00AA2C4F">
        <w:rPr>
          <w:rFonts w:cs="Times New Roman"/>
          <w:szCs w:val="24"/>
        </w:rPr>
        <w:t>Hib:</w:t>
      </w:r>
      <w:r w:rsidRPr="00AA2C4F">
        <w:rPr>
          <w:rFonts w:cs="Times New Roman"/>
          <w:szCs w:val="24"/>
        </w:rPr>
        <w:tab/>
      </w:r>
      <w:r w:rsidRPr="00AA2C4F">
        <w:rPr>
          <w:rFonts w:cs="Times New Roman"/>
          <w:szCs w:val="24"/>
        </w:rPr>
        <w:tab/>
      </w:r>
      <w:r w:rsidRPr="00AA2C4F">
        <w:rPr>
          <w:rFonts w:cs="Times New Roman"/>
          <w:szCs w:val="24"/>
        </w:rPr>
        <w:tab/>
        <w:t>Haemophilus influenzae type B</w:t>
      </w:r>
    </w:p>
    <w:p w14:paraId="3B8422A6" w14:textId="77777777" w:rsidR="00E837DD" w:rsidRPr="00AA2C4F" w:rsidRDefault="00E837DD" w:rsidP="00E837DD">
      <w:pPr>
        <w:spacing w:after="0"/>
        <w:rPr>
          <w:rFonts w:cs="Times New Roman"/>
          <w:szCs w:val="24"/>
        </w:rPr>
      </w:pPr>
      <w:r w:rsidRPr="00AA2C4F">
        <w:rPr>
          <w:rFonts w:cs="Times New Roman"/>
          <w:szCs w:val="24"/>
        </w:rPr>
        <w:lastRenderedPageBreak/>
        <w:t>HIV:</w:t>
      </w:r>
      <w:r w:rsidRPr="00AA2C4F">
        <w:rPr>
          <w:rFonts w:cs="Times New Roman"/>
          <w:szCs w:val="24"/>
        </w:rPr>
        <w:tab/>
      </w:r>
      <w:r w:rsidRPr="00AA2C4F">
        <w:rPr>
          <w:rFonts w:cs="Times New Roman"/>
          <w:szCs w:val="24"/>
        </w:rPr>
        <w:tab/>
      </w:r>
      <w:r w:rsidRPr="00AA2C4F">
        <w:rPr>
          <w:rFonts w:cs="Times New Roman"/>
          <w:szCs w:val="24"/>
        </w:rPr>
        <w:tab/>
        <w:t>Human Immunodeficiency Virus</w:t>
      </w:r>
    </w:p>
    <w:p w14:paraId="57321E7C" w14:textId="77777777" w:rsidR="00E837DD" w:rsidRPr="00AA2C4F" w:rsidRDefault="00E837DD" w:rsidP="00E837DD">
      <w:pPr>
        <w:spacing w:after="0"/>
        <w:rPr>
          <w:rFonts w:cs="Times New Roman"/>
          <w:szCs w:val="24"/>
        </w:rPr>
      </w:pPr>
      <w:r w:rsidRPr="00AA2C4F">
        <w:rPr>
          <w:rFonts w:cs="Times New Roman"/>
          <w:szCs w:val="24"/>
        </w:rPr>
        <w:t>HL:</w:t>
      </w:r>
      <w:r w:rsidRPr="00AA2C4F">
        <w:rPr>
          <w:rFonts w:cs="Times New Roman"/>
          <w:szCs w:val="24"/>
        </w:rPr>
        <w:tab/>
      </w:r>
      <w:r w:rsidRPr="00AA2C4F">
        <w:rPr>
          <w:rFonts w:cs="Times New Roman"/>
          <w:szCs w:val="24"/>
        </w:rPr>
        <w:tab/>
      </w:r>
      <w:r w:rsidRPr="00AA2C4F">
        <w:rPr>
          <w:rFonts w:cs="Times New Roman"/>
          <w:szCs w:val="24"/>
        </w:rPr>
        <w:tab/>
        <w:t>Hodgkin Lymphoma</w:t>
      </w:r>
    </w:p>
    <w:p w14:paraId="38C84F44" w14:textId="77777777" w:rsidR="00E837DD" w:rsidRPr="00AA2C4F" w:rsidRDefault="00E837DD" w:rsidP="00E837DD">
      <w:pPr>
        <w:spacing w:after="0"/>
        <w:rPr>
          <w:rFonts w:cs="Times New Roman"/>
          <w:szCs w:val="24"/>
        </w:rPr>
      </w:pPr>
      <w:r w:rsidRPr="00AA2C4F">
        <w:rPr>
          <w:rFonts w:cs="Times New Roman"/>
          <w:szCs w:val="24"/>
        </w:rPr>
        <w:t>HPV:</w:t>
      </w:r>
      <w:r w:rsidRPr="00AA2C4F">
        <w:rPr>
          <w:rFonts w:cs="Times New Roman"/>
          <w:szCs w:val="24"/>
        </w:rPr>
        <w:tab/>
      </w:r>
      <w:r w:rsidRPr="00AA2C4F">
        <w:rPr>
          <w:rFonts w:cs="Times New Roman"/>
          <w:szCs w:val="24"/>
        </w:rPr>
        <w:tab/>
      </w:r>
      <w:r w:rsidRPr="00AA2C4F">
        <w:rPr>
          <w:rFonts w:cs="Times New Roman"/>
          <w:szCs w:val="24"/>
        </w:rPr>
        <w:tab/>
        <w:t>Human Papilloma Virus</w:t>
      </w:r>
    </w:p>
    <w:p w14:paraId="7795C3D5" w14:textId="77777777" w:rsidR="00E837DD" w:rsidRPr="00AA2C4F" w:rsidRDefault="00E837DD" w:rsidP="00E837DD">
      <w:pPr>
        <w:spacing w:after="0"/>
        <w:rPr>
          <w:rFonts w:cs="Times New Roman"/>
          <w:szCs w:val="24"/>
        </w:rPr>
      </w:pPr>
      <w:r w:rsidRPr="00AA2C4F">
        <w:rPr>
          <w:rFonts w:cs="Times New Roman"/>
          <w:szCs w:val="24"/>
        </w:rPr>
        <w:t>IM:</w:t>
      </w:r>
      <w:r w:rsidRPr="00AA2C4F">
        <w:rPr>
          <w:rFonts w:cs="Times New Roman"/>
          <w:szCs w:val="24"/>
        </w:rPr>
        <w:tab/>
      </w:r>
      <w:r w:rsidRPr="00AA2C4F">
        <w:rPr>
          <w:rFonts w:cs="Times New Roman"/>
          <w:szCs w:val="24"/>
        </w:rPr>
        <w:tab/>
      </w:r>
      <w:r w:rsidRPr="00AA2C4F">
        <w:rPr>
          <w:rFonts w:cs="Times New Roman"/>
          <w:szCs w:val="24"/>
        </w:rPr>
        <w:tab/>
        <w:t>Intramuscular</w:t>
      </w:r>
    </w:p>
    <w:p w14:paraId="4786C44E" w14:textId="77777777" w:rsidR="00E837DD" w:rsidRPr="00AA2C4F" w:rsidRDefault="00E837DD" w:rsidP="00E837DD">
      <w:pPr>
        <w:spacing w:after="0"/>
        <w:rPr>
          <w:rFonts w:cs="Times New Roman"/>
          <w:szCs w:val="24"/>
        </w:rPr>
      </w:pPr>
      <w:r w:rsidRPr="00AA2C4F">
        <w:rPr>
          <w:rFonts w:cs="Times New Roman"/>
          <w:szCs w:val="24"/>
        </w:rPr>
        <w:t>INR:</w:t>
      </w:r>
      <w:r w:rsidRPr="00AA2C4F">
        <w:rPr>
          <w:rFonts w:cs="Times New Roman"/>
          <w:szCs w:val="24"/>
        </w:rPr>
        <w:tab/>
      </w:r>
      <w:r w:rsidRPr="00AA2C4F">
        <w:rPr>
          <w:rFonts w:cs="Times New Roman"/>
          <w:szCs w:val="24"/>
        </w:rPr>
        <w:tab/>
      </w:r>
      <w:r w:rsidRPr="00AA2C4F">
        <w:rPr>
          <w:rFonts w:cs="Times New Roman"/>
          <w:szCs w:val="24"/>
        </w:rPr>
        <w:tab/>
        <w:t>International Normalized Ratio</w:t>
      </w:r>
    </w:p>
    <w:p w14:paraId="1825BCFB" w14:textId="77777777" w:rsidR="00E837DD" w:rsidRPr="00AA2C4F" w:rsidRDefault="00E837DD" w:rsidP="00E837DD">
      <w:pPr>
        <w:spacing w:after="0"/>
        <w:rPr>
          <w:rFonts w:cs="Times New Roman"/>
          <w:szCs w:val="24"/>
        </w:rPr>
      </w:pPr>
      <w:r w:rsidRPr="00AA2C4F">
        <w:rPr>
          <w:rFonts w:cs="Times New Roman"/>
          <w:szCs w:val="24"/>
        </w:rPr>
        <w:t>IU:</w:t>
      </w:r>
      <w:r w:rsidRPr="00AA2C4F">
        <w:rPr>
          <w:rFonts w:cs="Times New Roman"/>
          <w:szCs w:val="24"/>
        </w:rPr>
        <w:tab/>
      </w:r>
      <w:r w:rsidRPr="00AA2C4F">
        <w:rPr>
          <w:rFonts w:cs="Times New Roman"/>
          <w:szCs w:val="24"/>
        </w:rPr>
        <w:tab/>
      </w:r>
      <w:r w:rsidRPr="00AA2C4F">
        <w:rPr>
          <w:rFonts w:cs="Times New Roman"/>
          <w:szCs w:val="24"/>
        </w:rPr>
        <w:tab/>
        <w:t>International Unit</w:t>
      </w:r>
    </w:p>
    <w:p w14:paraId="7ACF9816" w14:textId="77777777" w:rsidR="00E837DD" w:rsidRPr="00AA2C4F" w:rsidRDefault="00E837DD" w:rsidP="00E837DD">
      <w:pPr>
        <w:spacing w:after="0"/>
        <w:rPr>
          <w:rFonts w:cs="Times New Roman"/>
          <w:szCs w:val="24"/>
        </w:rPr>
      </w:pPr>
      <w:r w:rsidRPr="00AA2C4F">
        <w:rPr>
          <w:rFonts w:cs="Times New Roman"/>
          <w:szCs w:val="24"/>
        </w:rPr>
        <w:t>IV:</w:t>
      </w:r>
      <w:r w:rsidRPr="00AA2C4F">
        <w:rPr>
          <w:rFonts w:cs="Times New Roman"/>
          <w:szCs w:val="24"/>
        </w:rPr>
        <w:tab/>
      </w:r>
      <w:r w:rsidRPr="00AA2C4F">
        <w:rPr>
          <w:rFonts w:cs="Times New Roman"/>
          <w:szCs w:val="24"/>
        </w:rPr>
        <w:tab/>
      </w:r>
      <w:r w:rsidRPr="00AA2C4F">
        <w:rPr>
          <w:rFonts w:cs="Times New Roman"/>
          <w:szCs w:val="24"/>
        </w:rPr>
        <w:tab/>
        <w:t>Intravenous</w:t>
      </w:r>
    </w:p>
    <w:p w14:paraId="090A78F5" w14:textId="77777777" w:rsidR="00E837DD" w:rsidRPr="00AA2C4F" w:rsidRDefault="00E837DD" w:rsidP="00E837DD">
      <w:pPr>
        <w:spacing w:after="0"/>
        <w:rPr>
          <w:rFonts w:cs="Times New Roman"/>
          <w:szCs w:val="24"/>
        </w:rPr>
      </w:pPr>
      <w:r w:rsidRPr="00AA2C4F">
        <w:rPr>
          <w:rFonts w:cs="Times New Roman"/>
          <w:szCs w:val="24"/>
        </w:rPr>
        <w:t>IVIG:</w:t>
      </w:r>
      <w:r w:rsidRPr="00AA2C4F">
        <w:rPr>
          <w:rFonts w:cs="Times New Roman"/>
          <w:szCs w:val="24"/>
        </w:rPr>
        <w:tab/>
      </w:r>
      <w:r w:rsidRPr="00AA2C4F">
        <w:rPr>
          <w:rFonts w:cs="Times New Roman"/>
          <w:szCs w:val="24"/>
        </w:rPr>
        <w:tab/>
      </w:r>
      <w:r w:rsidRPr="00AA2C4F">
        <w:rPr>
          <w:rFonts w:cs="Times New Roman"/>
          <w:szCs w:val="24"/>
        </w:rPr>
        <w:tab/>
        <w:t>Intravenous Immunoglobulin</w:t>
      </w:r>
    </w:p>
    <w:p w14:paraId="71CF174F" w14:textId="77777777" w:rsidR="00E837DD" w:rsidRPr="00AA2C4F" w:rsidRDefault="00E837DD" w:rsidP="00E837DD">
      <w:pPr>
        <w:spacing w:after="0"/>
        <w:rPr>
          <w:rFonts w:cs="Times New Roman"/>
          <w:szCs w:val="24"/>
        </w:rPr>
      </w:pPr>
      <w:r w:rsidRPr="00AA2C4F">
        <w:rPr>
          <w:rFonts w:cs="Times New Roman"/>
          <w:szCs w:val="24"/>
        </w:rPr>
        <w:t>J&amp;J:</w:t>
      </w:r>
      <w:r w:rsidRPr="00AA2C4F">
        <w:rPr>
          <w:rFonts w:cs="Times New Roman"/>
          <w:szCs w:val="24"/>
        </w:rPr>
        <w:tab/>
      </w:r>
      <w:r w:rsidRPr="00AA2C4F">
        <w:rPr>
          <w:rFonts w:cs="Times New Roman"/>
          <w:szCs w:val="24"/>
        </w:rPr>
        <w:tab/>
      </w:r>
      <w:r w:rsidRPr="00AA2C4F">
        <w:rPr>
          <w:rFonts w:cs="Times New Roman"/>
          <w:szCs w:val="24"/>
        </w:rPr>
        <w:tab/>
        <w:t>Johnson &amp; Johnson</w:t>
      </w:r>
    </w:p>
    <w:p w14:paraId="30BE1667" w14:textId="77777777" w:rsidR="00E837DD" w:rsidRPr="00AA2C4F" w:rsidRDefault="00E837DD" w:rsidP="00E837DD">
      <w:pPr>
        <w:spacing w:after="0"/>
        <w:rPr>
          <w:rFonts w:cs="Times New Roman"/>
          <w:szCs w:val="24"/>
        </w:rPr>
      </w:pPr>
      <w:r w:rsidRPr="00AA2C4F">
        <w:rPr>
          <w:rFonts w:cs="Times New Roman"/>
          <w:szCs w:val="24"/>
        </w:rPr>
        <w:t>MDR:</w:t>
      </w:r>
      <w:r w:rsidRPr="00AA2C4F">
        <w:rPr>
          <w:rFonts w:cs="Times New Roman"/>
          <w:szCs w:val="24"/>
        </w:rPr>
        <w:tab/>
      </w:r>
      <w:r w:rsidRPr="00AA2C4F">
        <w:rPr>
          <w:rFonts w:cs="Times New Roman"/>
          <w:szCs w:val="24"/>
        </w:rPr>
        <w:tab/>
      </w:r>
      <w:r w:rsidRPr="00AA2C4F">
        <w:rPr>
          <w:rFonts w:cs="Times New Roman"/>
          <w:szCs w:val="24"/>
        </w:rPr>
        <w:tab/>
        <w:t>Multidrug Resistant</w:t>
      </w:r>
    </w:p>
    <w:p w14:paraId="076E4C0E" w14:textId="77777777" w:rsidR="00E837DD" w:rsidRPr="00AA2C4F" w:rsidRDefault="00E837DD" w:rsidP="00E837DD">
      <w:pPr>
        <w:spacing w:after="0"/>
        <w:rPr>
          <w:rFonts w:cs="Times New Roman"/>
          <w:szCs w:val="24"/>
        </w:rPr>
      </w:pPr>
      <w:r w:rsidRPr="00AA2C4F">
        <w:rPr>
          <w:rFonts w:cs="Times New Roman"/>
          <w:szCs w:val="24"/>
        </w:rPr>
        <w:t>MDR-TB:</w:t>
      </w:r>
      <w:r w:rsidRPr="00AA2C4F">
        <w:rPr>
          <w:rFonts w:cs="Times New Roman"/>
          <w:szCs w:val="24"/>
        </w:rPr>
        <w:tab/>
      </w:r>
      <w:r w:rsidRPr="00AA2C4F">
        <w:rPr>
          <w:rFonts w:cs="Times New Roman"/>
          <w:szCs w:val="24"/>
        </w:rPr>
        <w:tab/>
        <w:t>Multidrug-Resistant Tuberculosis</w:t>
      </w:r>
    </w:p>
    <w:p w14:paraId="2D68785F" w14:textId="77777777" w:rsidR="00E837DD" w:rsidRPr="00AA2C4F" w:rsidRDefault="00E837DD" w:rsidP="00E837DD">
      <w:pPr>
        <w:spacing w:after="0"/>
        <w:rPr>
          <w:rFonts w:cs="Times New Roman"/>
          <w:szCs w:val="24"/>
        </w:rPr>
      </w:pPr>
      <w:r w:rsidRPr="00AA2C4F">
        <w:rPr>
          <w:rFonts w:cs="Times New Roman"/>
          <w:szCs w:val="24"/>
        </w:rPr>
        <w:t>MDS:</w:t>
      </w:r>
      <w:r w:rsidRPr="00AA2C4F">
        <w:rPr>
          <w:rFonts w:cs="Times New Roman"/>
          <w:szCs w:val="24"/>
        </w:rPr>
        <w:tab/>
      </w:r>
      <w:r w:rsidRPr="00AA2C4F">
        <w:rPr>
          <w:rFonts w:cs="Times New Roman"/>
          <w:szCs w:val="24"/>
        </w:rPr>
        <w:tab/>
      </w:r>
      <w:r w:rsidRPr="00AA2C4F">
        <w:rPr>
          <w:rFonts w:cs="Times New Roman"/>
          <w:szCs w:val="24"/>
        </w:rPr>
        <w:tab/>
        <w:t>Myelodysplastic Syndromes</w:t>
      </w:r>
    </w:p>
    <w:p w14:paraId="1BDEB2B3" w14:textId="77777777" w:rsidR="00E837DD" w:rsidRPr="00AA2C4F" w:rsidRDefault="00E837DD" w:rsidP="00E837DD">
      <w:pPr>
        <w:spacing w:after="0"/>
        <w:rPr>
          <w:rFonts w:cs="Times New Roman"/>
          <w:szCs w:val="24"/>
        </w:rPr>
      </w:pPr>
      <w:r w:rsidRPr="00AA2C4F">
        <w:rPr>
          <w:rFonts w:cs="Times New Roman"/>
          <w:szCs w:val="24"/>
        </w:rPr>
        <w:t>mg:</w:t>
      </w:r>
      <w:r w:rsidRPr="00AA2C4F">
        <w:rPr>
          <w:rFonts w:cs="Times New Roman"/>
          <w:szCs w:val="24"/>
        </w:rPr>
        <w:tab/>
      </w:r>
      <w:r w:rsidRPr="00AA2C4F">
        <w:rPr>
          <w:rFonts w:cs="Times New Roman"/>
          <w:szCs w:val="24"/>
        </w:rPr>
        <w:tab/>
      </w:r>
      <w:r w:rsidRPr="00AA2C4F">
        <w:rPr>
          <w:rFonts w:cs="Times New Roman"/>
          <w:szCs w:val="24"/>
        </w:rPr>
        <w:tab/>
        <w:t>Milligram</w:t>
      </w:r>
    </w:p>
    <w:p w14:paraId="497A3CDE" w14:textId="77777777" w:rsidR="00E837DD" w:rsidRPr="00AA2C4F" w:rsidRDefault="00E837DD" w:rsidP="00E837DD">
      <w:pPr>
        <w:spacing w:after="0"/>
        <w:rPr>
          <w:rFonts w:cs="Times New Roman"/>
          <w:szCs w:val="24"/>
        </w:rPr>
      </w:pPr>
      <w:r w:rsidRPr="00AA2C4F">
        <w:rPr>
          <w:rFonts w:cs="Times New Roman"/>
          <w:szCs w:val="24"/>
        </w:rPr>
        <w:t>mL:</w:t>
      </w:r>
      <w:r w:rsidRPr="00AA2C4F">
        <w:rPr>
          <w:rFonts w:cs="Times New Roman"/>
          <w:szCs w:val="24"/>
        </w:rPr>
        <w:tab/>
      </w:r>
      <w:r w:rsidRPr="00AA2C4F">
        <w:rPr>
          <w:rFonts w:cs="Times New Roman"/>
          <w:szCs w:val="24"/>
        </w:rPr>
        <w:tab/>
      </w:r>
      <w:r w:rsidRPr="00AA2C4F">
        <w:rPr>
          <w:rFonts w:cs="Times New Roman"/>
          <w:szCs w:val="24"/>
        </w:rPr>
        <w:tab/>
        <w:t>Milliliter</w:t>
      </w:r>
    </w:p>
    <w:p w14:paraId="717DE132" w14:textId="77777777" w:rsidR="00E837DD" w:rsidRPr="00AA2C4F" w:rsidRDefault="00E837DD" w:rsidP="00E837DD">
      <w:pPr>
        <w:spacing w:after="0"/>
        <w:rPr>
          <w:rFonts w:cs="Times New Roman"/>
          <w:szCs w:val="24"/>
        </w:rPr>
      </w:pPr>
      <w:r w:rsidRPr="00AA2C4F">
        <w:rPr>
          <w:rFonts w:cs="Times New Roman"/>
          <w:szCs w:val="24"/>
        </w:rPr>
        <w:t>NIP:</w:t>
      </w:r>
      <w:r w:rsidRPr="00AA2C4F">
        <w:rPr>
          <w:rFonts w:cs="Times New Roman"/>
          <w:szCs w:val="24"/>
        </w:rPr>
        <w:tab/>
      </w:r>
      <w:r w:rsidRPr="00AA2C4F">
        <w:rPr>
          <w:rFonts w:cs="Times New Roman"/>
          <w:szCs w:val="24"/>
        </w:rPr>
        <w:tab/>
      </w:r>
      <w:r w:rsidRPr="00AA2C4F">
        <w:rPr>
          <w:rFonts w:cs="Times New Roman"/>
          <w:szCs w:val="24"/>
        </w:rPr>
        <w:tab/>
        <w:t>National Immunization Programme</w:t>
      </w:r>
    </w:p>
    <w:p w14:paraId="05351F1F" w14:textId="77777777" w:rsidR="00E837DD" w:rsidRPr="00AA2C4F" w:rsidRDefault="00E837DD" w:rsidP="00E837DD">
      <w:pPr>
        <w:spacing w:after="0"/>
        <w:rPr>
          <w:rFonts w:cs="Times New Roman"/>
          <w:szCs w:val="24"/>
        </w:rPr>
      </w:pPr>
      <w:r w:rsidRPr="00AA2C4F">
        <w:rPr>
          <w:rFonts w:cs="Times New Roman"/>
          <w:szCs w:val="24"/>
        </w:rPr>
        <w:t>NSAIDs:</w:t>
      </w:r>
      <w:r w:rsidRPr="00AA2C4F">
        <w:rPr>
          <w:rFonts w:cs="Times New Roman"/>
          <w:szCs w:val="24"/>
        </w:rPr>
        <w:tab/>
      </w:r>
      <w:r w:rsidRPr="00AA2C4F">
        <w:rPr>
          <w:rFonts w:cs="Times New Roman"/>
          <w:szCs w:val="24"/>
        </w:rPr>
        <w:tab/>
        <w:t>Nonsteroidal Anti-Inflammatory Drugs</w:t>
      </w:r>
    </w:p>
    <w:p w14:paraId="61F7A7B9" w14:textId="77777777" w:rsidR="00E837DD" w:rsidRPr="00AA2C4F" w:rsidRDefault="00E837DD" w:rsidP="00E837DD">
      <w:pPr>
        <w:spacing w:after="0"/>
        <w:rPr>
          <w:rFonts w:cs="Times New Roman"/>
          <w:szCs w:val="24"/>
        </w:rPr>
      </w:pPr>
      <w:r w:rsidRPr="00AA2C4F">
        <w:rPr>
          <w:rFonts w:cs="Times New Roman"/>
          <w:szCs w:val="24"/>
        </w:rPr>
        <w:t>NSCLC:</w:t>
      </w:r>
      <w:r w:rsidRPr="00AA2C4F">
        <w:rPr>
          <w:rFonts w:cs="Times New Roman"/>
          <w:szCs w:val="24"/>
        </w:rPr>
        <w:tab/>
      </w:r>
      <w:r w:rsidRPr="00AA2C4F">
        <w:rPr>
          <w:rFonts w:cs="Times New Roman"/>
          <w:szCs w:val="24"/>
        </w:rPr>
        <w:tab/>
        <w:t>Non-Small Cell Lung Cancer</w:t>
      </w:r>
    </w:p>
    <w:p w14:paraId="74EA5EA3" w14:textId="77777777" w:rsidR="00E837DD" w:rsidRPr="00AA2C4F" w:rsidRDefault="00E837DD" w:rsidP="00E837DD">
      <w:pPr>
        <w:spacing w:after="0"/>
        <w:rPr>
          <w:rFonts w:cs="Times New Roman"/>
          <w:szCs w:val="24"/>
        </w:rPr>
      </w:pPr>
      <w:r w:rsidRPr="00AA2C4F">
        <w:rPr>
          <w:rFonts w:cs="Times New Roman"/>
          <w:szCs w:val="24"/>
        </w:rPr>
        <w:t>OPV:</w:t>
      </w:r>
      <w:r w:rsidRPr="00AA2C4F">
        <w:rPr>
          <w:rFonts w:cs="Times New Roman"/>
          <w:szCs w:val="24"/>
        </w:rPr>
        <w:tab/>
      </w:r>
      <w:r w:rsidRPr="00AA2C4F">
        <w:rPr>
          <w:rFonts w:cs="Times New Roman"/>
          <w:szCs w:val="24"/>
        </w:rPr>
        <w:tab/>
      </w:r>
      <w:r w:rsidRPr="00AA2C4F">
        <w:rPr>
          <w:rFonts w:cs="Times New Roman"/>
          <w:szCs w:val="24"/>
        </w:rPr>
        <w:tab/>
        <w:t>Oral Poliomyelitis Vaccine</w:t>
      </w:r>
    </w:p>
    <w:p w14:paraId="5E3D8BC6" w14:textId="77777777" w:rsidR="00E837DD" w:rsidRPr="00AA2C4F" w:rsidRDefault="00E837DD" w:rsidP="00E837DD">
      <w:pPr>
        <w:spacing w:after="0"/>
        <w:rPr>
          <w:rFonts w:cs="Times New Roman"/>
          <w:szCs w:val="24"/>
        </w:rPr>
      </w:pPr>
      <w:r w:rsidRPr="00AA2C4F">
        <w:rPr>
          <w:rFonts w:cs="Times New Roman"/>
          <w:szCs w:val="24"/>
        </w:rPr>
        <w:t>PCP:</w:t>
      </w:r>
      <w:r w:rsidRPr="00AA2C4F">
        <w:rPr>
          <w:rFonts w:cs="Times New Roman"/>
          <w:szCs w:val="24"/>
        </w:rPr>
        <w:tab/>
      </w:r>
      <w:r w:rsidRPr="00AA2C4F">
        <w:rPr>
          <w:rFonts w:cs="Times New Roman"/>
          <w:szCs w:val="24"/>
        </w:rPr>
        <w:tab/>
      </w:r>
      <w:r w:rsidRPr="00AA2C4F">
        <w:rPr>
          <w:rFonts w:cs="Times New Roman"/>
          <w:szCs w:val="24"/>
        </w:rPr>
        <w:tab/>
        <w:t>Pneumocystis Pneumonia</w:t>
      </w:r>
    </w:p>
    <w:p w14:paraId="7A280ECE" w14:textId="77777777" w:rsidR="00E837DD" w:rsidRPr="00AA2C4F" w:rsidRDefault="00E837DD" w:rsidP="00E837DD">
      <w:pPr>
        <w:spacing w:after="0"/>
        <w:rPr>
          <w:rFonts w:cs="Times New Roman"/>
          <w:szCs w:val="24"/>
        </w:rPr>
      </w:pPr>
      <w:r w:rsidRPr="00AA2C4F">
        <w:rPr>
          <w:rFonts w:cs="Times New Roman"/>
          <w:szCs w:val="24"/>
        </w:rPr>
        <w:t>PCV:</w:t>
      </w:r>
      <w:r w:rsidRPr="00AA2C4F">
        <w:rPr>
          <w:rFonts w:cs="Times New Roman"/>
          <w:szCs w:val="24"/>
        </w:rPr>
        <w:tab/>
      </w:r>
      <w:r w:rsidRPr="00AA2C4F">
        <w:rPr>
          <w:rFonts w:cs="Times New Roman"/>
          <w:szCs w:val="24"/>
        </w:rPr>
        <w:tab/>
      </w:r>
      <w:r w:rsidRPr="00AA2C4F">
        <w:rPr>
          <w:rFonts w:cs="Times New Roman"/>
          <w:szCs w:val="24"/>
        </w:rPr>
        <w:tab/>
        <w:t>Pneumococcal Conjugated Vaccine</w:t>
      </w:r>
    </w:p>
    <w:p w14:paraId="6DCCF9E8" w14:textId="77777777" w:rsidR="00E837DD" w:rsidRPr="00AA2C4F" w:rsidRDefault="00E837DD" w:rsidP="00E837DD">
      <w:pPr>
        <w:spacing w:after="0"/>
        <w:rPr>
          <w:rFonts w:cs="Times New Roman"/>
          <w:szCs w:val="24"/>
        </w:rPr>
      </w:pPr>
      <w:r w:rsidRPr="00AA2C4F">
        <w:rPr>
          <w:rFonts w:cs="Times New Roman"/>
          <w:szCs w:val="24"/>
        </w:rPr>
        <w:t>PWID:</w:t>
      </w:r>
      <w:r w:rsidRPr="00AA2C4F">
        <w:rPr>
          <w:rFonts w:cs="Times New Roman"/>
          <w:szCs w:val="24"/>
        </w:rPr>
        <w:tab/>
      </w:r>
      <w:r w:rsidRPr="00AA2C4F">
        <w:rPr>
          <w:rFonts w:cs="Times New Roman"/>
          <w:szCs w:val="24"/>
        </w:rPr>
        <w:tab/>
      </w:r>
      <w:r w:rsidRPr="00AA2C4F">
        <w:rPr>
          <w:rFonts w:cs="Times New Roman"/>
          <w:szCs w:val="24"/>
        </w:rPr>
        <w:tab/>
        <w:t>People Who Inject Drugs</w:t>
      </w:r>
    </w:p>
    <w:p w14:paraId="6B9C29E5" w14:textId="77777777" w:rsidR="00E837DD" w:rsidRPr="00AA2C4F" w:rsidRDefault="00E837DD" w:rsidP="00E837DD">
      <w:pPr>
        <w:spacing w:after="0"/>
        <w:rPr>
          <w:rFonts w:cs="Times New Roman"/>
          <w:szCs w:val="24"/>
        </w:rPr>
      </w:pPr>
      <w:r w:rsidRPr="00AA2C4F">
        <w:rPr>
          <w:rFonts w:cs="Times New Roman"/>
          <w:szCs w:val="24"/>
        </w:rPr>
        <w:t>PWIDs:</w:t>
      </w:r>
      <w:r w:rsidRPr="00AA2C4F">
        <w:rPr>
          <w:rFonts w:cs="Times New Roman"/>
          <w:szCs w:val="24"/>
        </w:rPr>
        <w:tab/>
      </w:r>
      <w:r w:rsidRPr="00AA2C4F">
        <w:rPr>
          <w:rFonts w:cs="Times New Roman"/>
          <w:szCs w:val="24"/>
        </w:rPr>
        <w:tab/>
        <w:t>People Who Inject Drugs</w:t>
      </w:r>
    </w:p>
    <w:p w14:paraId="610036B1" w14:textId="77777777" w:rsidR="00E837DD" w:rsidRPr="00AA2C4F" w:rsidRDefault="00E837DD" w:rsidP="00E837DD">
      <w:pPr>
        <w:spacing w:after="0"/>
        <w:rPr>
          <w:rFonts w:cs="Times New Roman"/>
          <w:szCs w:val="24"/>
        </w:rPr>
      </w:pPr>
      <w:r w:rsidRPr="00AA2C4F">
        <w:rPr>
          <w:rFonts w:cs="Times New Roman"/>
          <w:szCs w:val="24"/>
        </w:rPr>
        <w:t>RNA:</w:t>
      </w:r>
      <w:r w:rsidRPr="00AA2C4F">
        <w:rPr>
          <w:rFonts w:cs="Times New Roman"/>
          <w:szCs w:val="24"/>
        </w:rPr>
        <w:tab/>
      </w:r>
      <w:r w:rsidRPr="00AA2C4F">
        <w:rPr>
          <w:rFonts w:cs="Times New Roman"/>
          <w:szCs w:val="24"/>
        </w:rPr>
        <w:tab/>
      </w:r>
      <w:r w:rsidRPr="00AA2C4F">
        <w:rPr>
          <w:rFonts w:cs="Times New Roman"/>
          <w:szCs w:val="24"/>
        </w:rPr>
        <w:tab/>
        <w:t>Ribonucleic Acid</w:t>
      </w:r>
    </w:p>
    <w:p w14:paraId="603F11EB" w14:textId="77777777" w:rsidR="00E837DD" w:rsidRPr="00AA2C4F" w:rsidRDefault="00E837DD" w:rsidP="00E837DD">
      <w:pPr>
        <w:spacing w:after="0"/>
        <w:rPr>
          <w:rFonts w:cs="Times New Roman"/>
          <w:szCs w:val="24"/>
        </w:rPr>
      </w:pPr>
      <w:r w:rsidRPr="00AA2C4F">
        <w:rPr>
          <w:rFonts w:cs="Times New Roman"/>
          <w:szCs w:val="24"/>
        </w:rPr>
        <w:t>SC:</w:t>
      </w:r>
      <w:r w:rsidRPr="00AA2C4F">
        <w:rPr>
          <w:rFonts w:cs="Times New Roman"/>
          <w:szCs w:val="24"/>
        </w:rPr>
        <w:tab/>
      </w:r>
      <w:r w:rsidRPr="00AA2C4F">
        <w:rPr>
          <w:rFonts w:cs="Times New Roman"/>
          <w:szCs w:val="24"/>
        </w:rPr>
        <w:tab/>
      </w:r>
      <w:r w:rsidRPr="00AA2C4F">
        <w:rPr>
          <w:rFonts w:cs="Times New Roman"/>
          <w:szCs w:val="24"/>
        </w:rPr>
        <w:tab/>
        <w:t>Subcutaneous</w:t>
      </w:r>
    </w:p>
    <w:p w14:paraId="6E9F5A9B" w14:textId="77777777" w:rsidR="00E837DD" w:rsidRPr="00AA2C4F" w:rsidRDefault="00E837DD" w:rsidP="00E837DD">
      <w:pPr>
        <w:spacing w:after="0"/>
        <w:rPr>
          <w:rFonts w:cs="Times New Roman"/>
          <w:szCs w:val="24"/>
        </w:rPr>
      </w:pPr>
      <w:r w:rsidRPr="00AA2C4F">
        <w:rPr>
          <w:rFonts w:cs="Times New Roman"/>
          <w:szCs w:val="24"/>
        </w:rPr>
        <w:t>SCARs:</w:t>
      </w:r>
      <w:r w:rsidRPr="00AA2C4F">
        <w:rPr>
          <w:rFonts w:cs="Times New Roman"/>
          <w:szCs w:val="24"/>
        </w:rPr>
        <w:tab/>
      </w:r>
      <w:r w:rsidRPr="00AA2C4F">
        <w:rPr>
          <w:rFonts w:cs="Times New Roman"/>
          <w:szCs w:val="24"/>
        </w:rPr>
        <w:tab/>
        <w:t>Severe Cutaneous Adverse Reactions</w:t>
      </w:r>
    </w:p>
    <w:p w14:paraId="7263DE46" w14:textId="77777777" w:rsidR="00E837DD" w:rsidRPr="00AA2C4F" w:rsidRDefault="00E837DD" w:rsidP="00E837DD">
      <w:pPr>
        <w:spacing w:after="0"/>
        <w:rPr>
          <w:rFonts w:cs="Times New Roman"/>
          <w:szCs w:val="24"/>
        </w:rPr>
      </w:pPr>
      <w:r w:rsidRPr="00AA2C4F">
        <w:rPr>
          <w:rFonts w:cs="Times New Roman"/>
          <w:szCs w:val="24"/>
        </w:rPr>
        <w:t>TB:</w:t>
      </w:r>
      <w:r w:rsidRPr="00AA2C4F">
        <w:rPr>
          <w:rFonts w:cs="Times New Roman"/>
          <w:szCs w:val="24"/>
        </w:rPr>
        <w:tab/>
      </w:r>
      <w:r w:rsidRPr="00AA2C4F">
        <w:rPr>
          <w:rFonts w:cs="Times New Roman"/>
          <w:szCs w:val="24"/>
        </w:rPr>
        <w:tab/>
      </w:r>
      <w:r w:rsidRPr="00AA2C4F">
        <w:rPr>
          <w:rFonts w:cs="Times New Roman"/>
          <w:szCs w:val="24"/>
        </w:rPr>
        <w:tab/>
        <w:t>Tuberculosis</w:t>
      </w:r>
    </w:p>
    <w:p w14:paraId="7C5307E8" w14:textId="77777777" w:rsidR="00E837DD" w:rsidRPr="00AA2C4F" w:rsidRDefault="00E837DD" w:rsidP="00E837DD">
      <w:pPr>
        <w:spacing w:after="0"/>
        <w:rPr>
          <w:rFonts w:cs="Times New Roman"/>
          <w:szCs w:val="24"/>
        </w:rPr>
      </w:pPr>
      <w:r w:rsidRPr="00AA2C4F">
        <w:rPr>
          <w:rFonts w:cs="Times New Roman"/>
          <w:szCs w:val="24"/>
        </w:rPr>
        <w:t>T. b. Gambiense:</w:t>
      </w:r>
      <w:r w:rsidRPr="00AA2C4F">
        <w:rPr>
          <w:rFonts w:cs="Times New Roman"/>
          <w:szCs w:val="24"/>
        </w:rPr>
        <w:tab/>
        <w:t>Trypanosoma brucei gambiense</w:t>
      </w:r>
    </w:p>
    <w:p w14:paraId="18633F74" w14:textId="77777777" w:rsidR="00E837DD" w:rsidRPr="00AA2C4F" w:rsidRDefault="00E837DD" w:rsidP="00E837DD">
      <w:pPr>
        <w:spacing w:after="0"/>
        <w:rPr>
          <w:rFonts w:cs="Times New Roman"/>
          <w:szCs w:val="24"/>
        </w:rPr>
      </w:pPr>
      <w:r w:rsidRPr="00AA2C4F">
        <w:rPr>
          <w:rFonts w:cs="Times New Roman"/>
          <w:szCs w:val="24"/>
        </w:rPr>
        <w:t>T. b. rhodesiense:</w:t>
      </w:r>
      <w:r w:rsidRPr="00AA2C4F">
        <w:rPr>
          <w:rFonts w:cs="Times New Roman"/>
          <w:szCs w:val="24"/>
        </w:rPr>
        <w:tab/>
        <w:t>Trypanosoma brucei rhodesiense</w:t>
      </w:r>
    </w:p>
    <w:p w14:paraId="3285F578" w14:textId="77777777" w:rsidR="00E837DD" w:rsidRPr="00AA2C4F" w:rsidRDefault="00E837DD" w:rsidP="00E837DD">
      <w:pPr>
        <w:spacing w:after="0"/>
        <w:rPr>
          <w:rFonts w:cs="Times New Roman"/>
          <w:szCs w:val="24"/>
        </w:rPr>
      </w:pPr>
      <w:r w:rsidRPr="00AA2C4F">
        <w:rPr>
          <w:rFonts w:cs="Times New Roman"/>
          <w:szCs w:val="24"/>
        </w:rPr>
        <w:t>TIA:</w:t>
      </w:r>
      <w:r w:rsidRPr="00AA2C4F">
        <w:rPr>
          <w:rFonts w:cs="Times New Roman"/>
          <w:szCs w:val="24"/>
        </w:rPr>
        <w:tab/>
      </w:r>
      <w:r w:rsidRPr="00AA2C4F">
        <w:rPr>
          <w:rFonts w:cs="Times New Roman"/>
          <w:szCs w:val="24"/>
        </w:rPr>
        <w:tab/>
      </w:r>
      <w:r w:rsidRPr="00AA2C4F">
        <w:rPr>
          <w:rFonts w:cs="Times New Roman"/>
          <w:szCs w:val="24"/>
        </w:rPr>
        <w:tab/>
        <w:t>Transient Ischemic Attack</w:t>
      </w:r>
    </w:p>
    <w:p w14:paraId="5826DC80" w14:textId="77777777" w:rsidR="00E837DD" w:rsidRPr="00AA2C4F" w:rsidRDefault="00E837DD" w:rsidP="00E837DD">
      <w:pPr>
        <w:spacing w:after="0"/>
        <w:rPr>
          <w:rFonts w:cs="Times New Roman"/>
          <w:szCs w:val="24"/>
        </w:rPr>
      </w:pPr>
      <w:r w:rsidRPr="00AA2C4F">
        <w:rPr>
          <w:rFonts w:cs="Times New Roman"/>
          <w:szCs w:val="24"/>
        </w:rPr>
        <w:t>tOPV:</w:t>
      </w:r>
      <w:r w:rsidRPr="00AA2C4F">
        <w:rPr>
          <w:rFonts w:cs="Times New Roman"/>
          <w:szCs w:val="24"/>
        </w:rPr>
        <w:tab/>
      </w:r>
      <w:r w:rsidRPr="00AA2C4F">
        <w:rPr>
          <w:rFonts w:cs="Times New Roman"/>
          <w:szCs w:val="24"/>
        </w:rPr>
        <w:tab/>
      </w:r>
      <w:r w:rsidRPr="00AA2C4F">
        <w:rPr>
          <w:rFonts w:cs="Times New Roman"/>
          <w:szCs w:val="24"/>
        </w:rPr>
        <w:tab/>
        <w:t>Trivalent Oral Poliovirus Vaccine</w:t>
      </w:r>
    </w:p>
    <w:p w14:paraId="65E60785" w14:textId="77777777" w:rsidR="00E837DD" w:rsidRPr="00AA2C4F" w:rsidRDefault="00E837DD" w:rsidP="00E837DD">
      <w:pPr>
        <w:spacing w:after="0"/>
        <w:rPr>
          <w:rFonts w:cs="Times New Roman"/>
          <w:szCs w:val="24"/>
        </w:rPr>
      </w:pPr>
      <w:r w:rsidRPr="00AA2C4F">
        <w:rPr>
          <w:rFonts w:cs="Times New Roman"/>
          <w:szCs w:val="24"/>
        </w:rPr>
        <w:t>VEGF:</w:t>
      </w:r>
      <w:r w:rsidRPr="00AA2C4F">
        <w:rPr>
          <w:rFonts w:cs="Times New Roman"/>
          <w:szCs w:val="24"/>
        </w:rPr>
        <w:tab/>
      </w:r>
      <w:r w:rsidRPr="00AA2C4F">
        <w:rPr>
          <w:rFonts w:cs="Times New Roman"/>
          <w:szCs w:val="24"/>
        </w:rPr>
        <w:tab/>
      </w:r>
      <w:r w:rsidRPr="00AA2C4F">
        <w:rPr>
          <w:rFonts w:cs="Times New Roman"/>
          <w:szCs w:val="24"/>
        </w:rPr>
        <w:tab/>
        <w:t>Vascular Endothelial Growth Factor</w:t>
      </w:r>
    </w:p>
    <w:p w14:paraId="44BB5E2C" w14:textId="77777777" w:rsidR="00E837DD" w:rsidRPr="00AA2C4F" w:rsidRDefault="00E837DD" w:rsidP="00E837DD">
      <w:pPr>
        <w:spacing w:after="0"/>
        <w:rPr>
          <w:rFonts w:cs="Times New Roman"/>
          <w:szCs w:val="24"/>
        </w:rPr>
      </w:pPr>
      <w:r w:rsidRPr="00AA2C4F">
        <w:rPr>
          <w:rFonts w:cs="Times New Roman"/>
          <w:szCs w:val="24"/>
        </w:rPr>
        <w:lastRenderedPageBreak/>
        <w:t>vWD:</w:t>
      </w:r>
      <w:r w:rsidRPr="00AA2C4F">
        <w:rPr>
          <w:rFonts w:cs="Times New Roman"/>
          <w:szCs w:val="24"/>
        </w:rPr>
        <w:tab/>
      </w:r>
      <w:r w:rsidRPr="00AA2C4F">
        <w:rPr>
          <w:rFonts w:cs="Times New Roman"/>
          <w:szCs w:val="24"/>
        </w:rPr>
        <w:tab/>
      </w:r>
      <w:r w:rsidRPr="00AA2C4F">
        <w:rPr>
          <w:rFonts w:cs="Times New Roman"/>
          <w:szCs w:val="24"/>
        </w:rPr>
        <w:tab/>
        <w:t>von Willebrand Disease</w:t>
      </w:r>
    </w:p>
    <w:p w14:paraId="63188431" w14:textId="77777777" w:rsidR="00E837DD" w:rsidRPr="00AA2C4F" w:rsidRDefault="00E837DD" w:rsidP="00E837DD">
      <w:pPr>
        <w:spacing w:after="0"/>
        <w:rPr>
          <w:rFonts w:cs="Times New Roman"/>
          <w:szCs w:val="24"/>
        </w:rPr>
      </w:pPr>
      <w:r w:rsidRPr="00AA2C4F">
        <w:rPr>
          <w:rFonts w:cs="Times New Roman"/>
          <w:szCs w:val="24"/>
        </w:rPr>
        <w:t>WBC:</w:t>
      </w:r>
      <w:r w:rsidRPr="00AA2C4F">
        <w:rPr>
          <w:rFonts w:cs="Times New Roman"/>
          <w:szCs w:val="24"/>
        </w:rPr>
        <w:tab/>
      </w:r>
      <w:r w:rsidRPr="00AA2C4F">
        <w:rPr>
          <w:rFonts w:cs="Times New Roman"/>
          <w:szCs w:val="24"/>
        </w:rPr>
        <w:tab/>
      </w:r>
      <w:r w:rsidRPr="00AA2C4F">
        <w:rPr>
          <w:rFonts w:cs="Times New Roman"/>
          <w:szCs w:val="24"/>
        </w:rPr>
        <w:tab/>
        <w:t>White Blood Cell</w:t>
      </w:r>
    </w:p>
    <w:p w14:paraId="3E942D35" w14:textId="77777777" w:rsidR="009769F4" w:rsidRDefault="00E837DD" w:rsidP="009769F4">
      <w:pPr>
        <w:spacing w:after="0"/>
        <w:rPr>
          <w:rFonts w:cs="Times New Roman"/>
          <w:szCs w:val="24"/>
        </w:rPr>
        <w:sectPr w:rsidR="009769F4" w:rsidSect="003D2325">
          <w:footerReference w:type="default" r:id="rId12"/>
          <w:pgSz w:w="12240" w:h="15840"/>
          <w:pgMar w:top="1440" w:right="1440" w:bottom="1440" w:left="1440" w:header="720" w:footer="720" w:gutter="0"/>
          <w:pgNumType w:fmt="lowerRoman" w:start="1"/>
          <w:cols w:space="720"/>
          <w:docGrid w:linePitch="360"/>
        </w:sectPr>
      </w:pPr>
      <w:r w:rsidRPr="00AA2C4F">
        <w:rPr>
          <w:rFonts w:cs="Times New Roman"/>
          <w:szCs w:val="24"/>
        </w:rPr>
        <w:t>XDR-TB:</w:t>
      </w:r>
      <w:r w:rsidRPr="00AA2C4F">
        <w:rPr>
          <w:rFonts w:cs="Times New Roman"/>
          <w:szCs w:val="24"/>
        </w:rPr>
        <w:tab/>
      </w:r>
      <w:r w:rsidRPr="00AA2C4F">
        <w:rPr>
          <w:rFonts w:cs="Times New Roman"/>
          <w:szCs w:val="24"/>
        </w:rPr>
        <w:tab/>
        <w:t>Extensively Drug-Resistant Tuberculosis</w:t>
      </w:r>
    </w:p>
    <w:p w14:paraId="55972930" w14:textId="77777777" w:rsidR="00E837DD" w:rsidRPr="009769F4" w:rsidRDefault="00E837DD" w:rsidP="009769F4">
      <w:pPr>
        <w:pStyle w:val="Heading1"/>
        <w:spacing w:after="240"/>
        <w:rPr>
          <w:rFonts w:cs="Times New Roman"/>
          <w:szCs w:val="24"/>
        </w:rPr>
      </w:pPr>
      <w:bookmarkStart w:id="6" w:name="_Toc179490297"/>
      <w:r w:rsidRPr="00142F45">
        <w:lastRenderedPageBreak/>
        <w:t>Introduction to the Ethiopian Medicine Formulary</w:t>
      </w:r>
      <w:bookmarkEnd w:id="6"/>
    </w:p>
    <w:p w14:paraId="2313F599" w14:textId="77777777" w:rsidR="00E837DD" w:rsidRPr="00AA2C4F" w:rsidRDefault="00E837DD" w:rsidP="00E837DD">
      <w:pPr>
        <w:spacing w:after="0"/>
        <w:jc w:val="both"/>
        <w:rPr>
          <w:rFonts w:cs="Times New Roman"/>
          <w:szCs w:val="24"/>
        </w:rPr>
      </w:pPr>
      <w:r w:rsidRPr="00AA2C4F">
        <w:rPr>
          <w:rFonts w:cs="Times New Roman"/>
          <w:szCs w:val="24"/>
        </w:rPr>
        <w:t>The Ethiopian Medicine Formulary (EMF) is an essential resource designed to support healthcare professionals in the rational use of medicines. The primary goal of the formulary is to ensure that all medicines used in the Ethiopian healthcare system are safe, effective, and of high quality. By providing comprehensive, evidence-based information on a wide range of medicines, the formulary aims to enhance the quality of care delivered to patients and improve overall health outcomes.</w:t>
      </w:r>
    </w:p>
    <w:p w14:paraId="4FC1BC48" w14:textId="77777777" w:rsidR="00E837DD" w:rsidRPr="00AA2C4F" w:rsidRDefault="00E837DD" w:rsidP="00E837DD">
      <w:pPr>
        <w:spacing w:before="240" w:after="0"/>
        <w:jc w:val="both"/>
        <w:rPr>
          <w:rFonts w:cs="Times New Roman"/>
          <w:szCs w:val="24"/>
        </w:rPr>
      </w:pPr>
      <w:r w:rsidRPr="00AA2C4F">
        <w:rPr>
          <w:rFonts w:cs="Times New Roman"/>
          <w:szCs w:val="24"/>
        </w:rPr>
        <w:t>This formulary serves as a guide for the selection, procurement, distribution, and utilization of medicines across various healthcare settings in Ethiopia. It includes detailed monographs for each medicine, covering essential aspects such as pharmacological class, dosage form, indications, dose and administration, contraindications, drug interactions, side effects, cautions, and storage conditions. The standardized format of the monographs ensures consistency and ease of use, enabling healthcare professionals to make informed decisions quickly and efficiently.</w:t>
      </w:r>
    </w:p>
    <w:p w14:paraId="5660FDDB" w14:textId="77777777" w:rsidR="00E837DD" w:rsidRPr="00AA2C4F" w:rsidRDefault="00E837DD" w:rsidP="00E837DD">
      <w:pPr>
        <w:spacing w:before="240" w:after="0"/>
        <w:jc w:val="both"/>
        <w:rPr>
          <w:rFonts w:cs="Times New Roman"/>
          <w:szCs w:val="24"/>
        </w:rPr>
      </w:pPr>
      <w:r w:rsidRPr="00AA2C4F">
        <w:rPr>
          <w:rFonts w:cs="Times New Roman"/>
          <w:szCs w:val="24"/>
        </w:rPr>
        <w:t>Key Objectives of the Ethiopian Medicine Formulary</w:t>
      </w:r>
    </w:p>
    <w:p w14:paraId="61F7A362" w14:textId="77777777" w:rsidR="00E837DD" w:rsidRPr="00AA2C4F" w:rsidRDefault="00E837DD" w:rsidP="003D3F76">
      <w:pPr>
        <w:pStyle w:val="ListParagraph"/>
        <w:numPr>
          <w:ilvl w:val="0"/>
          <w:numId w:val="16"/>
        </w:numPr>
        <w:spacing w:line="360" w:lineRule="auto"/>
        <w:rPr>
          <w:szCs w:val="24"/>
        </w:rPr>
      </w:pPr>
      <w:r w:rsidRPr="00AA2C4F">
        <w:rPr>
          <w:b/>
          <w:bCs/>
          <w:szCs w:val="24"/>
        </w:rPr>
        <w:t>Promote Rational Use of Medicines:</w:t>
      </w:r>
      <w:r w:rsidRPr="00AA2C4F">
        <w:rPr>
          <w:szCs w:val="24"/>
        </w:rPr>
        <w:t xml:space="preserve"> The EMF provides healthcare professionals with the information needed to prescribe and administer medicines appropriately, ensuring the right drug is given to the right patient at the right dose and for the right duration.</w:t>
      </w:r>
    </w:p>
    <w:p w14:paraId="7443C4DC" w14:textId="77777777" w:rsidR="00E837DD" w:rsidRPr="00AA2C4F" w:rsidRDefault="00E837DD" w:rsidP="003D3F76">
      <w:pPr>
        <w:pStyle w:val="ListParagraph"/>
        <w:numPr>
          <w:ilvl w:val="0"/>
          <w:numId w:val="16"/>
        </w:numPr>
        <w:spacing w:line="360" w:lineRule="auto"/>
        <w:rPr>
          <w:szCs w:val="24"/>
        </w:rPr>
      </w:pPr>
      <w:r w:rsidRPr="00AA2C4F">
        <w:rPr>
          <w:b/>
          <w:bCs/>
          <w:szCs w:val="24"/>
        </w:rPr>
        <w:t>Ensure Access to Essential Medicines:</w:t>
      </w:r>
      <w:r w:rsidRPr="00AA2C4F">
        <w:rPr>
          <w:szCs w:val="24"/>
        </w:rPr>
        <w:t xml:space="preserve"> By listing essential medicines required for the treatment of common health conditions in Ethiopia, the formulary helps in ensuring their availability and accessibility throughout the country.</w:t>
      </w:r>
    </w:p>
    <w:p w14:paraId="66E41917" w14:textId="77777777" w:rsidR="00E837DD" w:rsidRPr="00AA2C4F" w:rsidRDefault="00E837DD" w:rsidP="003D3F76">
      <w:pPr>
        <w:pStyle w:val="ListParagraph"/>
        <w:numPr>
          <w:ilvl w:val="0"/>
          <w:numId w:val="16"/>
        </w:numPr>
        <w:spacing w:line="360" w:lineRule="auto"/>
        <w:rPr>
          <w:szCs w:val="24"/>
        </w:rPr>
      </w:pPr>
      <w:r w:rsidRPr="00AA2C4F">
        <w:rPr>
          <w:b/>
          <w:bCs/>
          <w:szCs w:val="24"/>
        </w:rPr>
        <w:t>Support Evidence-Based Practice:</w:t>
      </w:r>
      <w:r w:rsidRPr="00AA2C4F">
        <w:rPr>
          <w:szCs w:val="24"/>
        </w:rPr>
        <w:t xml:space="preserve"> The formulary is based on the latest scientific evidence and international best practices, adapted to the local context. This supports healthcare professionals in providing high-quality, evidence-based care to their patients.</w:t>
      </w:r>
    </w:p>
    <w:p w14:paraId="57A37A38" w14:textId="77777777" w:rsidR="00E837DD" w:rsidRPr="00AA2C4F" w:rsidRDefault="00E837DD" w:rsidP="003D3F76">
      <w:pPr>
        <w:pStyle w:val="ListParagraph"/>
        <w:numPr>
          <w:ilvl w:val="0"/>
          <w:numId w:val="16"/>
        </w:numPr>
        <w:spacing w:line="360" w:lineRule="auto"/>
        <w:rPr>
          <w:szCs w:val="24"/>
        </w:rPr>
      </w:pPr>
      <w:r w:rsidRPr="00AA2C4F">
        <w:rPr>
          <w:b/>
          <w:bCs/>
          <w:szCs w:val="24"/>
        </w:rPr>
        <w:t>Enhance Patient Safety:</w:t>
      </w:r>
      <w:r w:rsidRPr="00AA2C4F">
        <w:rPr>
          <w:szCs w:val="24"/>
        </w:rPr>
        <w:t xml:space="preserve"> Detailed information on contraindications, drug interactions, side effects, and cautions helps in minimizing the risk of adverse drug reactions and improving patient safety.</w:t>
      </w:r>
    </w:p>
    <w:p w14:paraId="3594A1A4" w14:textId="77777777" w:rsidR="00E837DD" w:rsidRPr="00AA2C4F" w:rsidRDefault="00E837DD" w:rsidP="003D3F76">
      <w:pPr>
        <w:pStyle w:val="ListParagraph"/>
        <w:numPr>
          <w:ilvl w:val="0"/>
          <w:numId w:val="16"/>
        </w:numPr>
        <w:spacing w:line="360" w:lineRule="auto"/>
        <w:rPr>
          <w:szCs w:val="24"/>
        </w:rPr>
      </w:pPr>
      <w:r w:rsidRPr="00AA2C4F">
        <w:rPr>
          <w:b/>
          <w:bCs/>
          <w:szCs w:val="24"/>
        </w:rPr>
        <w:t>Facilitate Training and Education:</w:t>
      </w:r>
      <w:r w:rsidRPr="00AA2C4F">
        <w:rPr>
          <w:szCs w:val="24"/>
        </w:rPr>
        <w:t xml:space="preserve"> The EMF serves as an educational tool for healthcare professionals, including students, providing a reliable reference for the safe </w:t>
      </w:r>
      <w:r w:rsidRPr="00AA2C4F">
        <w:rPr>
          <w:szCs w:val="24"/>
        </w:rPr>
        <w:lastRenderedPageBreak/>
        <w:t>and effective use of medicines.</w:t>
      </w:r>
    </w:p>
    <w:p w14:paraId="2209EE9E" w14:textId="77777777" w:rsidR="00E837DD" w:rsidRPr="00AA2C4F" w:rsidRDefault="00E837DD" w:rsidP="00E837DD">
      <w:pPr>
        <w:spacing w:after="0"/>
        <w:jc w:val="both"/>
        <w:rPr>
          <w:rFonts w:cs="Times New Roman"/>
          <w:szCs w:val="24"/>
        </w:rPr>
      </w:pPr>
    </w:p>
    <w:p w14:paraId="7213D54C" w14:textId="77777777" w:rsidR="00E837DD" w:rsidRPr="00AA2C4F" w:rsidRDefault="00E837DD" w:rsidP="00E837DD">
      <w:pPr>
        <w:spacing w:after="0"/>
        <w:jc w:val="both"/>
        <w:rPr>
          <w:rFonts w:cs="Times New Roman"/>
          <w:b/>
          <w:bCs/>
          <w:szCs w:val="24"/>
        </w:rPr>
      </w:pPr>
      <w:r w:rsidRPr="00AA2C4F">
        <w:rPr>
          <w:rFonts w:cs="Times New Roman"/>
          <w:b/>
          <w:bCs/>
          <w:szCs w:val="24"/>
        </w:rPr>
        <w:t>Development and Revision Process</w:t>
      </w:r>
    </w:p>
    <w:p w14:paraId="7DEAC3C2" w14:textId="77777777" w:rsidR="00E837DD" w:rsidRPr="00AA2C4F" w:rsidRDefault="00E837DD" w:rsidP="00E837DD">
      <w:pPr>
        <w:spacing w:after="0"/>
        <w:jc w:val="both"/>
        <w:rPr>
          <w:rFonts w:cs="Times New Roman"/>
          <w:szCs w:val="24"/>
        </w:rPr>
      </w:pPr>
      <w:r w:rsidRPr="00AA2C4F">
        <w:rPr>
          <w:rFonts w:cs="Times New Roman"/>
          <w:szCs w:val="24"/>
        </w:rPr>
        <w:t>The Ethiopian Medicine Formulary is the result of a collaborative effort between the Ministry of Health, the EFDA, and various stakeholders, including healthcare professionals, academic institutions, and Clinton Health Access Initiative. The formulary is regularly updated to reflect new developments in medical science and pharmacology, ensuring that it remains a relevant and up-to-date resource for healthcare providers.</w:t>
      </w:r>
    </w:p>
    <w:p w14:paraId="3264F31F" w14:textId="77777777" w:rsidR="00E837DD" w:rsidRPr="00AA2C4F" w:rsidRDefault="00E837DD" w:rsidP="00E837DD">
      <w:pPr>
        <w:spacing w:before="240" w:after="0"/>
        <w:jc w:val="both"/>
        <w:rPr>
          <w:rFonts w:cs="Times New Roman"/>
          <w:szCs w:val="24"/>
        </w:rPr>
      </w:pPr>
      <w:r w:rsidRPr="00AA2C4F">
        <w:rPr>
          <w:rFonts w:cs="Times New Roman"/>
          <w:szCs w:val="24"/>
        </w:rPr>
        <w:t>The revision process involves reviewing the latest scientific evidence, international guidelines and formularies, and feedback from users of the formulary. This rigorous process ensures that the formulary continues to meet the highest standards of quality and reliability.</w:t>
      </w:r>
    </w:p>
    <w:p w14:paraId="65CFB9A9" w14:textId="77777777" w:rsidR="00E837DD" w:rsidRPr="00AA2C4F" w:rsidRDefault="00E837DD" w:rsidP="00E837DD">
      <w:pPr>
        <w:spacing w:before="240" w:after="0"/>
        <w:jc w:val="both"/>
        <w:rPr>
          <w:rFonts w:cs="Times New Roman"/>
          <w:b/>
          <w:bCs/>
          <w:szCs w:val="24"/>
        </w:rPr>
      </w:pPr>
      <w:r w:rsidRPr="00AA2C4F">
        <w:rPr>
          <w:rFonts w:cs="Times New Roman"/>
          <w:b/>
          <w:bCs/>
          <w:szCs w:val="24"/>
        </w:rPr>
        <w:t>Scope and Organization</w:t>
      </w:r>
    </w:p>
    <w:p w14:paraId="6D127A95" w14:textId="77777777" w:rsidR="00E837DD" w:rsidRPr="00AA2C4F" w:rsidRDefault="00E837DD" w:rsidP="00E837DD">
      <w:pPr>
        <w:spacing w:after="0"/>
        <w:jc w:val="both"/>
        <w:rPr>
          <w:rFonts w:cs="Times New Roman"/>
          <w:szCs w:val="24"/>
        </w:rPr>
      </w:pPr>
      <w:r w:rsidRPr="00AA2C4F">
        <w:rPr>
          <w:rFonts w:cs="Times New Roman"/>
          <w:szCs w:val="24"/>
        </w:rPr>
        <w:t>The formulary is organized into therapeutic categories, each containing medicines grouped by their therapeutic class. This structure allows for easy navigation and quick reference, helping healthcare professionals find the information they need efficiently. Each medicine monograph follows a standardized format, providing detailed information on the name of the drug, pharmacological class, dosage form, indications, dose and administration, contraindications, drug interactions, side effects, cautions, and storage conditions.</w:t>
      </w:r>
    </w:p>
    <w:p w14:paraId="78F59F6F" w14:textId="77777777" w:rsidR="00E837DD" w:rsidRPr="00AA2C4F" w:rsidRDefault="00E837DD" w:rsidP="00E837DD">
      <w:pPr>
        <w:spacing w:after="0"/>
        <w:jc w:val="both"/>
        <w:rPr>
          <w:rFonts w:cs="Times New Roman"/>
          <w:szCs w:val="24"/>
        </w:rPr>
      </w:pPr>
    </w:p>
    <w:p w14:paraId="01F26887" w14:textId="77777777" w:rsidR="00E837DD" w:rsidRPr="00AA2C4F" w:rsidRDefault="00E837DD" w:rsidP="00E837DD">
      <w:pPr>
        <w:spacing w:after="0"/>
        <w:jc w:val="both"/>
        <w:rPr>
          <w:rFonts w:cs="Times New Roman"/>
          <w:szCs w:val="24"/>
        </w:rPr>
      </w:pPr>
    </w:p>
    <w:p w14:paraId="4BA0B89E" w14:textId="77777777" w:rsidR="00E837DD" w:rsidRPr="00AA2C4F" w:rsidRDefault="00E837DD" w:rsidP="00E837DD">
      <w:pPr>
        <w:spacing w:after="0"/>
        <w:jc w:val="both"/>
        <w:rPr>
          <w:rFonts w:cs="Times New Roman"/>
          <w:szCs w:val="24"/>
        </w:rPr>
      </w:pPr>
    </w:p>
    <w:p w14:paraId="6FD75A5E" w14:textId="77777777" w:rsidR="00E837DD" w:rsidRPr="00AA2C4F" w:rsidRDefault="00E837DD" w:rsidP="00E837DD">
      <w:pPr>
        <w:spacing w:after="0"/>
        <w:jc w:val="both"/>
        <w:rPr>
          <w:rFonts w:cs="Times New Roman"/>
          <w:szCs w:val="24"/>
        </w:rPr>
      </w:pPr>
    </w:p>
    <w:p w14:paraId="33B2B83E" w14:textId="77777777" w:rsidR="00E837DD" w:rsidRPr="00AA2C4F" w:rsidRDefault="00E837DD" w:rsidP="00E837DD">
      <w:pPr>
        <w:spacing w:after="0"/>
        <w:jc w:val="both"/>
        <w:rPr>
          <w:rFonts w:cs="Times New Roman"/>
          <w:szCs w:val="24"/>
        </w:rPr>
      </w:pPr>
    </w:p>
    <w:p w14:paraId="6A52F22C" w14:textId="77777777" w:rsidR="00E837DD" w:rsidRPr="00AA2C4F" w:rsidRDefault="00E837DD" w:rsidP="00E837DD">
      <w:pPr>
        <w:spacing w:after="0"/>
        <w:jc w:val="both"/>
        <w:rPr>
          <w:rFonts w:cs="Times New Roman"/>
          <w:szCs w:val="24"/>
        </w:rPr>
      </w:pPr>
    </w:p>
    <w:p w14:paraId="0B215F0D" w14:textId="77777777" w:rsidR="00E837DD" w:rsidRPr="00AA2C4F" w:rsidRDefault="00E837DD" w:rsidP="00E837DD">
      <w:pPr>
        <w:spacing w:after="0"/>
        <w:jc w:val="both"/>
        <w:rPr>
          <w:rFonts w:cs="Times New Roman"/>
          <w:szCs w:val="24"/>
        </w:rPr>
      </w:pPr>
    </w:p>
    <w:p w14:paraId="1A4819C4" w14:textId="77777777" w:rsidR="00E837DD" w:rsidRPr="00AA2C4F" w:rsidRDefault="00E837DD" w:rsidP="00E837DD">
      <w:pPr>
        <w:spacing w:after="0"/>
        <w:jc w:val="both"/>
        <w:rPr>
          <w:rFonts w:cs="Times New Roman"/>
          <w:szCs w:val="24"/>
        </w:rPr>
      </w:pPr>
    </w:p>
    <w:p w14:paraId="5B1135D7" w14:textId="77777777" w:rsidR="00E837DD" w:rsidRPr="00AA2C4F" w:rsidRDefault="00E837DD" w:rsidP="00E837DD">
      <w:pPr>
        <w:spacing w:after="0"/>
        <w:jc w:val="both"/>
        <w:rPr>
          <w:rFonts w:cs="Times New Roman"/>
          <w:szCs w:val="24"/>
        </w:rPr>
      </w:pPr>
    </w:p>
    <w:p w14:paraId="3E4B5771" w14:textId="77777777" w:rsidR="00E837DD" w:rsidRPr="00AA2C4F" w:rsidRDefault="00E837DD" w:rsidP="00E837DD">
      <w:pPr>
        <w:spacing w:after="0"/>
        <w:jc w:val="both"/>
        <w:rPr>
          <w:rFonts w:cs="Times New Roman"/>
          <w:szCs w:val="24"/>
        </w:rPr>
      </w:pPr>
    </w:p>
    <w:p w14:paraId="6B6657D3" w14:textId="77777777" w:rsidR="005A0E39" w:rsidRDefault="005A0E39" w:rsidP="00E837DD">
      <w:pPr>
        <w:pStyle w:val="Heading1"/>
        <w:spacing w:before="0"/>
        <w:rPr>
          <w:rFonts w:cs="Times New Roman"/>
        </w:rPr>
      </w:pPr>
    </w:p>
    <w:p w14:paraId="50442852" w14:textId="77777777" w:rsidR="005A0E39" w:rsidRDefault="005A0E39" w:rsidP="00E837DD">
      <w:pPr>
        <w:pStyle w:val="Heading1"/>
        <w:spacing w:before="0"/>
        <w:rPr>
          <w:rFonts w:cs="Times New Roman"/>
        </w:rPr>
      </w:pPr>
    </w:p>
    <w:p w14:paraId="61CBB691" w14:textId="77777777" w:rsidR="00E837DD" w:rsidRPr="00AA2C4F" w:rsidRDefault="00E837DD" w:rsidP="00E837DD">
      <w:pPr>
        <w:pStyle w:val="Heading1"/>
        <w:spacing w:before="0"/>
        <w:rPr>
          <w:rFonts w:cs="Times New Roman"/>
        </w:rPr>
      </w:pPr>
      <w:bookmarkStart w:id="7" w:name="_Toc179490298"/>
      <w:r w:rsidRPr="00AA2C4F">
        <w:rPr>
          <w:rFonts w:cs="Times New Roman"/>
        </w:rPr>
        <w:t>Background</w:t>
      </w:r>
      <w:bookmarkEnd w:id="7"/>
    </w:p>
    <w:p w14:paraId="5F27BE47" w14:textId="77777777" w:rsidR="00E837DD" w:rsidRPr="00AA2C4F" w:rsidRDefault="00E837DD" w:rsidP="00E837DD">
      <w:pPr>
        <w:spacing w:after="0"/>
        <w:jc w:val="both"/>
        <w:rPr>
          <w:rFonts w:cs="Times New Roman"/>
          <w:b/>
          <w:bCs/>
          <w:szCs w:val="24"/>
        </w:rPr>
      </w:pPr>
      <w:r w:rsidRPr="00AA2C4F">
        <w:rPr>
          <w:rFonts w:cs="Times New Roman"/>
          <w:b/>
          <w:bCs/>
          <w:szCs w:val="24"/>
        </w:rPr>
        <w:t>Historical Development of the Formulary</w:t>
      </w:r>
    </w:p>
    <w:p w14:paraId="12BB8F53" w14:textId="77777777" w:rsidR="00E837DD" w:rsidRPr="00AA2C4F" w:rsidRDefault="00E837DD" w:rsidP="00E837DD">
      <w:pPr>
        <w:spacing w:after="0"/>
        <w:jc w:val="both"/>
        <w:rPr>
          <w:rFonts w:cs="Times New Roman"/>
          <w:szCs w:val="24"/>
        </w:rPr>
      </w:pPr>
      <w:r w:rsidRPr="00AA2C4F">
        <w:rPr>
          <w:rFonts w:cs="Times New Roman"/>
          <w:szCs w:val="24"/>
        </w:rPr>
        <w:t>The Ethiopian Medicines Formulary has undergone significant evolution since its inception, reflecting the dynamic nature of healthcare and the continuous advancements in medical science. The journey began in 2008 with the development of the first edition by the Drug Administration and Control Authority (DACA), which was modelled after the World Health Organization (WHO) Model Drug Formulary. This foundational document set the stage for standardized and rational use of medicines across Ethiopia.</w:t>
      </w:r>
    </w:p>
    <w:p w14:paraId="40761B59" w14:textId="77777777" w:rsidR="00E837DD" w:rsidRPr="00AA2C4F" w:rsidRDefault="00E837DD" w:rsidP="00E837DD">
      <w:pPr>
        <w:spacing w:before="240" w:after="0"/>
        <w:jc w:val="both"/>
        <w:rPr>
          <w:rFonts w:cs="Times New Roman"/>
          <w:szCs w:val="24"/>
        </w:rPr>
      </w:pPr>
      <w:r w:rsidRPr="00AA2C4F">
        <w:rPr>
          <w:rFonts w:cs="Times New Roman"/>
          <w:szCs w:val="24"/>
        </w:rPr>
        <w:t>Since then, subsequent editions have progressively built upon this foundation, incorporating new scientific evidence and addressing the changing healthcare needs of the Ethiopian population. Each revision has been driven by the goal of improving the accuracy, relevance, and comprehensiveness of the information provided to healthcare professionals.</w:t>
      </w:r>
    </w:p>
    <w:p w14:paraId="0E040804" w14:textId="77777777" w:rsidR="00E837DD" w:rsidRPr="00AA2C4F" w:rsidRDefault="00E837DD" w:rsidP="00E837DD">
      <w:pPr>
        <w:spacing w:before="240" w:after="0"/>
        <w:jc w:val="both"/>
        <w:rPr>
          <w:rFonts w:cs="Times New Roman"/>
          <w:szCs w:val="24"/>
        </w:rPr>
      </w:pPr>
      <w:r w:rsidRPr="00AA2C4F">
        <w:rPr>
          <w:rFonts w:cs="Times New Roman"/>
          <w:szCs w:val="24"/>
        </w:rPr>
        <w:t>The second edition marked a significant step forward by integrating the latest developments in pharmacology and clinical practice. This edition expanded the scope of the formulary, including a wider range of medicines and more detailed monographs. The focus was on providing evidence-based recommendations that could be easily implemented in clinical settings.</w:t>
      </w:r>
    </w:p>
    <w:p w14:paraId="4BB43D65" w14:textId="77777777" w:rsidR="00E837DD" w:rsidRPr="00AA2C4F" w:rsidRDefault="00E837DD" w:rsidP="00E837DD">
      <w:pPr>
        <w:spacing w:before="240" w:after="0"/>
        <w:jc w:val="both"/>
        <w:rPr>
          <w:rFonts w:cs="Times New Roman"/>
          <w:szCs w:val="24"/>
        </w:rPr>
      </w:pPr>
      <w:r w:rsidRPr="00AA2C4F">
        <w:rPr>
          <w:rFonts w:cs="Times New Roman"/>
          <w:szCs w:val="24"/>
        </w:rPr>
        <w:t>In recent years, the formulary has continued to evolve in response to both local and global health challenges. The incorporation of emerging treatments, updated clinical guidelines, and feedback from healthcare providers has ensured that the formulary remains a vital resource. The integration of new technologies and data management systems has also enhanced the accessibility and usability of the formulary.</w:t>
      </w:r>
    </w:p>
    <w:p w14:paraId="5CA43184" w14:textId="77777777" w:rsidR="00E837DD" w:rsidRPr="00AA2C4F" w:rsidRDefault="00E837DD" w:rsidP="00E837DD">
      <w:pPr>
        <w:spacing w:before="240" w:after="0"/>
        <w:jc w:val="both"/>
        <w:rPr>
          <w:rFonts w:cs="Times New Roman"/>
          <w:szCs w:val="24"/>
        </w:rPr>
      </w:pPr>
      <w:r w:rsidRPr="00AA2C4F">
        <w:rPr>
          <w:rFonts w:cs="Times New Roman"/>
          <w:szCs w:val="24"/>
        </w:rPr>
        <w:t>The collaborative efforts of the Ministry of Health, the EFDA, healthcare professionals, academic institutions, and international partners have been instrumental in this ongoing development. These collaborations have ensured that the formulary not only meets international standards but also addresses the unique healthcare needs of Ethiopia.</w:t>
      </w:r>
      <w:r>
        <w:rPr>
          <w:rFonts w:cs="Times New Roman"/>
          <w:szCs w:val="24"/>
        </w:rPr>
        <w:t xml:space="preserve"> </w:t>
      </w:r>
      <w:r w:rsidRPr="00AA2C4F">
        <w:rPr>
          <w:rFonts w:cs="Times New Roman"/>
          <w:szCs w:val="24"/>
        </w:rPr>
        <w:t xml:space="preserve">As we look to the future, the Ethiopian Medicines Formulary will continue to evolve, guided by the principles of </w:t>
      </w:r>
      <w:r w:rsidRPr="00AA2C4F">
        <w:rPr>
          <w:rFonts w:cs="Times New Roman"/>
          <w:szCs w:val="24"/>
        </w:rPr>
        <w:lastRenderedPageBreak/>
        <w:t>evidence-based practice, patient safety, and healthcare excellence. Each edition aims to build on past successes and learn from the evolving landscape of healthcare, ensuring that Ethiopian healthcare providers have access to the most current and relevant information to support their clinical decisions.</w:t>
      </w:r>
    </w:p>
    <w:p w14:paraId="220C8F63" w14:textId="77777777" w:rsidR="00E837DD" w:rsidRPr="00AA2C4F" w:rsidRDefault="00E837DD" w:rsidP="00E837DD">
      <w:pPr>
        <w:spacing w:before="240" w:after="0"/>
        <w:jc w:val="both"/>
        <w:rPr>
          <w:rFonts w:cs="Times New Roman"/>
          <w:b/>
          <w:bCs/>
          <w:szCs w:val="24"/>
        </w:rPr>
      </w:pPr>
      <w:r w:rsidRPr="00AA2C4F">
        <w:rPr>
          <w:rFonts w:cs="Times New Roman"/>
          <w:b/>
          <w:bCs/>
          <w:szCs w:val="24"/>
        </w:rPr>
        <w:t>Importance and Objectives of the Formulary</w:t>
      </w:r>
    </w:p>
    <w:p w14:paraId="56E59B29" w14:textId="77777777" w:rsidR="00E837DD" w:rsidRPr="00AA2C4F" w:rsidRDefault="00E837DD" w:rsidP="00E837DD">
      <w:pPr>
        <w:spacing w:after="0"/>
        <w:jc w:val="both"/>
        <w:rPr>
          <w:rFonts w:cs="Times New Roman"/>
          <w:szCs w:val="24"/>
        </w:rPr>
      </w:pPr>
      <w:r w:rsidRPr="00AA2C4F">
        <w:rPr>
          <w:rFonts w:cs="Times New Roman"/>
          <w:szCs w:val="24"/>
        </w:rPr>
        <w:t>The Ethiopian Medicines Formulary is an essential tool designed to support the rational use of medicines, which is a cornerstone of effective healthcare delivery. Its importance cannot be overstated, as it directly impacts patient safety, treatment efficacy, and overall healthcare outcomes. By serving as a comprehensive reference, the formulary guides healthcare professionals in the selection, procurement, distribution, and utilization of medicines across various levels of the healthcare system.</w:t>
      </w:r>
    </w:p>
    <w:p w14:paraId="417E57B3" w14:textId="77777777" w:rsidR="00E837DD" w:rsidRPr="00AA2C4F" w:rsidRDefault="00E837DD" w:rsidP="00E837DD">
      <w:pPr>
        <w:spacing w:before="240" w:after="0"/>
        <w:jc w:val="both"/>
        <w:rPr>
          <w:rFonts w:cs="Times New Roman"/>
          <w:szCs w:val="24"/>
        </w:rPr>
      </w:pPr>
      <w:r w:rsidRPr="00AA2C4F">
        <w:rPr>
          <w:rFonts w:cs="Times New Roman"/>
          <w:szCs w:val="24"/>
        </w:rPr>
        <w:t>The formulary plays a crucial role in enhancing patient safety. It provides detailed information on drug interactions, contraindications, and side effects, which is vital for minimizing the risk of adverse drug reactions. By offering clear guidelines on the safe use of medicines, the formulary helps healthcare providers make informed decisions that safeguard patient health. Furthermore, the formulary is grounded in the latest scientific evidence and international best practices. This ensures that the recommendations are current and reliable, supporting healthcare professionals in delivering evidence-based care that meets the highest standards of quality.</w:t>
      </w:r>
    </w:p>
    <w:p w14:paraId="26F745C5" w14:textId="77777777" w:rsidR="00E837DD" w:rsidRPr="00AA2C4F" w:rsidRDefault="00E837DD" w:rsidP="00E837DD">
      <w:pPr>
        <w:spacing w:before="240" w:after="0"/>
        <w:jc w:val="both"/>
        <w:rPr>
          <w:rFonts w:cs="Times New Roman"/>
          <w:szCs w:val="24"/>
        </w:rPr>
      </w:pPr>
      <w:r w:rsidRPr="00AA2C4F">
        <w:rPr>
          <w:rFonts w:cs="Times New Roman"/>
          <w:szCs w:val="24"/>
        </w:rPr>
        <w:t>Improving treatment outcomes is another significant benefit of the formulary. By providing comprehensive information on the indications, dosing, and administration of medicines, it helps healthcare providers select the most appropriate treatments for their patients. This leads to more effective management of diseases and better health outcomes. Additionally, the formulary promotes standardized prescribing practices across the country, reducing variability in treatment approaches. This consistency is essential for maintaining a high standard of care and ensuring that all patients receive appropriate and effective treatment.</w:t>
      </w:r>
    </w:p>
    <w:p w14:paraId="773C64F0" w14:textId="77777777" w:rsidR="00E837DD" w:rsidRPr="00AA2C4F" w:rsidRDefault="00E837DD" w:rsidP="00E837DD">
      <w:pPr>
        <w:spacing w:before="240" w:after="0"/>
        <w:jc w:val="both"/>
        <w:rPr>
          <w:rFonts w:cs="Times New Roman"/>
          <w:szCs w:val="24"/>
        </w:rPr>
      </w:pPr>
      <w:r w:rsidRPr="00AA2C4F">
        <w:rPr>
          <w:rFonts w:cs="Times New Roman"/>
          <w:szCs w:val="24"/>
        </w:rPr>
        <w:t xml:space="preserve">Facilitating access to essential medicines is a key objective of the formulary. By listing the medicines necessary for addressing the health needs of the Ethiopian population, the formulary helps ensure that these critical medicines are available and accessible in healthcare facilities </w:t>
      </w:r>
      <w:r w:rsidRPr="00AA2C4F">
        <w:rPr>
          <w:rFonts w:cs="Times New Roman"/>
          <w:szCs w:val="24"/>
        </w:rPr>
        <w:lastRenderedPageBreak/>
        <w:t>nationwide. This is crucial for the effective functioning of the healthcare system and for meeting the needs of patients.</w:t>
      </w:r>
    </w:p>
    <w:p w14:paraId="62F94B3D" w14:textId="77777777" w:rsidR="00E837DD" w:rsidRPr="00AA2C4F" w:rsidRDefault="00E837DD" w:rsidP="00E837DD">
      <w:pPr>
        <w:spacing w:before="240" w:after="0"/>
        <w:jc w:val="both"/>
        <w:rPr>
          <w:rFonts w:cs="Times New Roman"/>
          <w:szCs w:val="24"/>
        </w:rPr>
      </w:pPr>
      <w:r w:rsidRPr="00AA2C4F">
        <w:rPr>
          <w:rFonts w:cs="Times New Roman"/>
          <w:szCs w:val="24"/>
        </w:rPr>
        <w:t>The primary objective of the formulary is to promote the rational use of medicines by providing accurate, unbiased, and up-to-date information. This helps healthcare professionals prescribe medicines appropriately, ensuring that patients receive the right medicine at the right dose for the right duration. Additionally, the formulary serves as an educational tool for healthcare providers, including medical students and trainees. It offers a reliable source of information that supports learning and professional development in the field of pharmacotherapy.</w:t>
      </w:r>
    </w:p>
    <w:p w14:paraId="10C84D56" w14:textId="77777777" w:rsidR="00E837DD" w:rsidRPr="00AA2C4F" w:rsidRDefault="00E837DD" w:rsidP="00E837DD">
      <w:pPr>
        <w:spacing w:before="240" w:after="0"/>
        <w:jc w:val="both"/>
        <w:rPr>
          <w:rFonts w:cs="Times New Roman"/>
          <w:szCs w:val="24"/>
        </w:rPr>
      </w:pPr>
      <w:r w:rsidRPr="00AA2C4F">
        <w:rPr>
          <w:rFonts w:cs="Times New Roman"/>
          <w:szCs w:val="24"/>
        </w:rPr>
        <w:t>The formulary also assists policymakers and healthcare planners in making informed decisions about medicine procurement and distribution. It provides a foundation for developing policies that ensure the availability and affordability of essential medicines. By promoting the use of effective and safe medicines, the formulary contributes to cost-effective healthcare delivery. Rational prescribing reduces the incidence of drug-related complications and unnecessary treatments, leading to more efficient use of healthcare resources.</w:t>
      </w:r>
    </w:p>
    <w:p w14:paraId="6F4B9E7A" w14:textId="77777777" w:rsidR="00E837DD" w:rsidRPr="00AA2C4F" w:rsidRDefault="00E837DD" w:rsidP="00E837DD">
      <w:pPr>
        <w:spacing w:before="240" w:after="0"/>
        <w:jc w:val="both"/>
        <w:rPr>
          <w:rFonts w:cs="Times New Roman"/>
          <w:szCs w:val="24"/>
        </w:rPr>
      </w:pPr>
      <w:r w:rsidRPr="00AA2C4F">
        <w:rPr>
          <w:rFonts w:cs="Times New Roman"/>
          <w:szCs w:val="24"/>
        </w:rPr>
        <w:t>Continuous improvement is a fundamental aspect of the formulary. It is regularly updated to reflect new scientific evidence, emerging treatments, and feedback from healthcare providers. This ongoing process ensures that the formulary remains a relevant and valuable resource for the Ethiopian healthcare system.</w:t>
      </w:r>
    </w:p>
    <w:p w14:paraId="430B9E0A" w14:textId="77777777" w:rsidR="00E837DD" w:rsidRPr="00AA2C4F" w:rsidRDefault="00E837DD" w:rsidP="00E837DD">
      <w:pPr>
        <w:rPr>
          <w:rFonts w:cs="Times New Roman"/>
          <w:szCs w:val="24"/>
        </w:rPr>
      </w:pPr>
      <w:r w:rsidRPr="00AA2C4F">
        <w:rPr>
          <w:rFonts w:cs="Times New Roman"/>
          <w:szCs w:val="24"/>
        </w:rPr>
        <w:br w:type="page"/>
      </w:r>
    </w:p>
    <w:p w14:paraId="2FBAB8E1" w14:textId="77777777" w:rsidR="00E837DD" w:rsidRPr="00AA2C4F" w:rsidRDefault="00E837DD" w:rsidP="00E837DD">
      <w:pPr>
        <w:pStyle w:val="Heading1"/>
        <w:rPr>
          <w:rFonts w:cs="Times New Roman"/>
        </w:rPr>
      </w:pPr>
      <w:bookmarkStart w:id="8" w:name="_Toc179490299"/>
      <w:r w:rsidRPr="00AA2C4F">
        <w:rPr>
          <w:rFonts w:cs="Times New Roman"/>
        </w:rPr>
        <w:lastRenderedPageBreak/>
        <w:t>Presentation of Information</w:t>
      </w:r>
      <w:bookmarkEnd w:id="8"/>
    </w:p>
    <w:p w14:paraId="29536203" w14:textId="77777777" w:rsidR="00E837DD" w:rsidRPr="00AA2C4F" w:rsidRDefault="00E837DD" w:rsidP="00E837DD">
      <w:pPr>
        <w:spacing w:after="0"/>
        <w:jc w:val="both"/>
        <w:rPr>
          <w:rFonts w:cs="Times New Roman"/>
          <w:b/>
          <w:bCs/>
          <w:szCs w:val="24"/>
        </w:rPr>
      </w:pPr>
      <w:r w:rsidRPr="00AA2C4F">
        <w:rPr>
          <w:rFonts w:cs="Times New Roman"/>
          <w:b/>
          <w:bCs/>
          <w:szCs w:val="24"/>
        </w:rPr>
        <w:t>Structure of the Formulary</w:t>
      </w:r>
    </w:p>
    <w:p w14:paraId="7EE3D17F" w14:textId="77777777" w:rsidR="00E837DD" w:rsidRPr="00AA2C4F" w:rsidRDefault="00E837DD" w:rsidP="00E837DD">
      <w:pPr>
        <w:spacing w:after="0"/>
        <w:jc w:val="both"/>
        <w:rPr>
          <w:rFonts w:cs="Times New Roman"/>
          <w:szCs w:val="24"/>
        </w:rPr>
      </w:pPr>
      <w:r w:rsidRPr="00AA2C4F">
        <w:rPr>
          <w:rFonts w:cs="Times New Roman"/>
          <w:szCs w:val="24"/>
        </w:rPr>
        <w:t>The Ethiopian Medicines Formulary is meticulously organized to ensure ease of use and quick reference for healthcare professionals. The formulary is divided into therapeutic categories, with each section containing medicines grouped by their pharmacological class. This logical arrangement facilitates the efficient location of specific medicines and relevant information. Each entry within these categories provides detailed information to support the safe and effective use of medicines. The main sections of the formulary include:</w:t>
      </w:r>
    </w:p>
    <w:p w14:paraId="04E8EF20" w14:textId="77777777" w:rsidR="00E837DD" w:rsidRPr="00AA2C4F" w:rsidRDefault="00E837DD" w:rsidP="003D3F76">
      <w:pPr>
        <w:pStyle w:val="ListParagraph"/>
        <w:numPr>
          <w:ilvl w:val="0"/>
          <w:numId w:val="17"/>
        </w:numPr>
        <w:spacing w:line="360" w:lineRule="auto"/>
        <w:rPr>
          <w:szCs w:val="24"/>
        </w:rPr>
      </w:pPr>
      <w:r w:rsidRPr="00AA2C4F">
        <w:rPr>
          <w:b/>
          <w:bCs/>
          <w:szCs w:val="24"/>
        </w:rPr>
        <w:t>Name of the Drug:</w:t>
      </w:r>
      <w:r w:rsidRPr="00AA2C4F">
        <w:rPr>
          <w:szCs w:val="24"/>
        </w:rPr>
        <w:t xml:space="preserve"> The generic name of the medicine.</w:t>
      </w:r>
    </w:p>
    <w:p w14:paraId="772A4702" w14:textId="77777777" w:rsidR="00E837DD" w:rsidRPr="00AA2C4F" w:rsidRDefault="00E837DD" w:rsidP="003D3F76">
      <w:pPr>
        <w:pStyle w:val="ListParagraph"/>
        <w:numPr>
          <w:ilvl w:val="0"/>
          <w:numId w:val="17"/>
        </w:numPr>
        <w:spacing w:line="360" w:lineRule="auto"/>
        <w:rPr>
          <w:szCs w:val="24"/>
        </w:rPr>
      </w:pPr>
      <w:r w:rsidRPr="00AA2C4F">
        <w:rPr>
          <w:b/>
          <w:bCs/>
          <w:szCs w:val="24"/>
        </w:rPr>
        <w:t>Pharmacological Class:</w:t>
      </w:r>
      <w:r w:rsidRPr="00AA2C4F">
        <w:rPr>
          <w:szCs w:val="24"/>
        </w:rPr>
        <w:t xml:space="preserve"> The therapeutic category or class to which the medicine belongs.</w:t>
      </w:r>
    </w:p>
    <w:p w14:paraId="2BF31442" w14:textId="77777777" w:rsidR="00E837DD" w:rsidRPr="00AA2C4F" w:rsidRDefault="00E837DD" w:rsidP="003D3F76">
      <w:pPr>
        <w:pStyle w:val="ListParagraph"/>
        <w:numPr>
          <w:ilvl w:val="0"/>
          <w:numId w:val="17"/>
        </w:numPr>
        <w:spacing w:line="360" w:lineRule="auto"/>
        <w:rPr>
          <w:szCs w:val="24"/>
        </w:rPr>
      </w:pPr>
      <w:r w:rsidRPr="00AA2C4F">
        <w:rPr>
          <w:b/>
          <w:bCs/>
          <w:szCs w:val="24"/>
        </w:rPr>
        <w:t>Dosage Form:</w:t>
      </w:r>
      <w:r w:rsidRPr="00AA2C4F">
        <w:rPr>
          <w:szCs w:val="24"/>
        </w:rPr>
        <w:t xml:space="preserve"> The available formulations (e.g., tablet, injection, suspension).</w:t>
      </w:r>
    </w:p>
    <w:p w14:paraId="275CFD9F" w14:textId="77777777" w:rsidR="00E837DD" w:rsidRPr="00AA2C4F" w:rsidRDefault="00E837DD" w:rsidP="003D3F76">
      <w:pPr>
        <w:pStyle w:val="ListParagraph"/>
        <w:numPr>
          <w:ilvl w:val="0"/>
          <w:numId w:val="17"/>
        </w:numPr>
        <w:spacing w:line="360" w:lineRule="auto"/>
        <w:rPr>
          <w:szCs w:val="24"/>
        </w:rPr>
      </w:pPr>
      <w:r w:rsidRPr="00AA2C4F">
        <w:rPr>
          <w:b/>
          <w:bCs/>
          <w:szCs w:val="24"/>
        </w:rPr>
        <w:t>Indications:</w:t>
      </w:r>
      <w:r w:rsidRPr="00AA2C4F">
        <w:rPr>
          <w:szCs w:val="24"/>
        </w:rPr>
        <w:t xml:space="preserve"> The medical conditions or diseases for which the medicine is approved.</w:t>
      </w:r>
    </w:p>
    <w:p w14:paraId="357A87D7" w14:textId="77777777" w:rsidR="00E837DD" w:rsidRPr="00AA2C4F" w:rsidRDefault="00E837DD" w:rsidP="003D3F76">
      <w:pPr>
        <w:pStyle w:val="ListParagraph"/>
        <w:numPr>
          <w:ilvl w:val="0"/>
          <w:numId w:val="17"/>
        </w:numPr>
        <w:spacing w:line="360" w:lineRule="auto"/>
        <w:rPr>
          <w:szCs w:val="24"/>
        </w:rPr>
      </w:pPr>
      <w:r w:rsidRPr="00AA2C4F">
        <w:rPr>
          <w:b/>
          <w:bCs/>
          <w:szCs w:val="24"/>
        </w:rPr>
        <w:t>Dose and Administration:</w:t>
      </w:r>
      <w:r w:rsidRPr="00AA2C4F">
        <w:rPr>
          <w:szCs w:val="24"/>
        </w:rPr>
        <w:t xml:space="preserve"> Detailed dosage information, including standard doses, dosing intervals, and special instructions for administration.</w:t>
      </w:r>
    </w:p>
    <w:p w14:paraId="38BA1D18" w14:textId="77777777" w:rsidR="00E837DD" w:rsidRPr="00AA2C4F" w:rsidRDefault="00E837DD" w:rsidP="003D3F76">
      <w:pPr>
        <w:pStyle w:val="ListParagraph"/>
        <w:numPr>
          <w:ilvl w:val="0"/>
          <w:numId w:val="17"/>
        </w:numPr>
        <w:spacing w:line="360" w:lineRule="auto"/>
        <w:rPr>
          <w:szCs w:val="24"/>
        </w:rPr>
      </w:pPr>
      <w:r w:rsidRPr="00AA2C4F">
        <w:rPr>
          <w:b/>
          <w:bCs/>
          <w:szCs w:val="24"/>
        </w:rPr>
        <w:t>Contraindications:</w:t>
      </w:r>
      <w:r w:rsidRPr="00AA2C4F">
        <w:rPr>
          <w:szCs w:val="24"/>
        </w:rPr>
        <w:t xml:space="preserve"> Situations or conditions where the medicine should not be used.</w:t>
      </w:r>
    </w:p>
    <w:p w14:paraId="56FB0154" w14:textId="77777777" w:rsidR="00E837DD" w:rsidRPr="00AA2C4F" w:rsidRDefault="00E837DD" w:rsidP="003D3F76">
      <w:pPr>
        <w:pStyle w:val="ListParagraph"/>
        <w:numPr>
          <w:ilvl w:val="0"/>
          <w:numId w:val="17"/>
        </w:numPr>
        <w:spacing w:line="360" w:lineRule="auto"/>
        <w:rPr>
          <w:szCs w:val="24"/>
        </w:rPr>
      </w:pPr>
      <w:r w:rsidRPr="00AA2C4F">
        <w:rPr>
          <w:b/>
          <w:bCs/>
          <w:szCs w:val="24"/>
        </w:rPr>
        <w:t>Drug Interactions:</w:t>
      </w:r>
      <w:r w:rsidRPr="00AA2C4F">
        <w:rPr>
          <w:szCs w:val="24"/>
        </w:rPr>
        <w:t xml:space="preserve"> Important interactions with other medicines that may affect the efficacy or safety of the drug.</w:t>
      </w:r>
    </w:p>
    <w:p w14:paraId="766EC4A9" w14:textId="77777777" w:rsidR="00E837DD" w:rsidRPr="00AA2C4F" w:rsidRDefault="00E837DD" w:rsidP="003D3F76">
      <w:pPr>
        <w:pStyle w:val="ListParagraph"/>
        <w:numPr>
          <w:ilvl w:val="0"/>
          <w:numId w:val="17"/>
        </w:numPr>
        <w:spacing w:line="360" w:lineRule="auto"/>
        <w:rPr>
          <w:szCs w:val="24"/>
        </w:rPr>
      </w:pPr>
      <w:r w:rsidRPr="00AA2C4F">
        <w:rPr>
          <w:b/>
          <w:bCs/>
          <w:szCs w:val="24"/>
        </w:rPr>
        <w:t>Side Effects:</w:t>
      </w:r>
      <w:r w:rsidRPr="00AA2C4F">
        <w:rPr>
          <w:szCs w:val="24"/>
        </w:rPr>
        <w:t xml:space="preserve"> Common and significant adverse effects associated with the medicine.</w:t>
      </w:r>
    </w:p>
    <w:p w14:paraId="127B7CBC" w14:textId="77777777" w:rsidR="00E837DD" w:rsidRPr="00AA2C4F" w:rsidRDefault="00E837DD" w:rsidP="003D3F76">
      <w:pPr>
        <w:pStyle w:val="ListParagraph"/>
        <w:numPr>
          <w:ilvl w:val="0"/>
          <w:numId w:val="17"/>
        </w:numPr>
        <w:spacing w:line="360" w:lineRule="auto"/>
        <w:rPr>
          <w:szCs w:val="24"/>
        </w:rPr>
      </w:pPr>
      <w:r w:rsidRPr="00AA2C4F">
        <w:rPr>
          <w:b/>
          <w:bCs/>
          <w:szCs w:val="24"/>
        </w:rPr>
        <w:t>Cautions:</w:t>
      </w:r>
      <w:r w:rsidRPr="00AA2C4F">
        <w:rPr>
          <w:szCs w:val="24"/>
        </w:rPr>
        <w:t xml:space="preserve"> Precautions and warnings to consider when using the medicine.</w:t>
      </w:r>
    </w:p>
    <w:p w14:paraId="266CFD28" w14:textId="77777777" w:rsidR="00E837DD" w:rsidRPr="00AA2C4F" w:rsidRDefault="00E837DD" w:rsidP="003D3F76">
      <w:pPr>
        <w:pStyle w:val="ListParagraph"/>
        <w:numPr>
          <w:ilvl w:val="0"/>
          <w:numId w:val="17"/>
        </w:numPr>
        <w:spacing w:line="360" w:lineRule="auto"/>
        <w:rPr>
          <w:szCs w:val="24"/>
        </w:rPr>
      </w:pPr>
      <w:r w:rsidRPr="00AA2C4F">
        <w:rPr>
          <w:b/>
          <w:bCs/>
          <w:szCs w:val="24"/>
        </w:rPr>
        <w:t>Storage Condition:</w:t>
      </w:r>
      <w:r w:rsidRPr="00AA2C4F">
        <w:rPr>
          <w:szCs w:val="24"/>
        </w:rPr>
        <w:t xml:space="preserve"> Proper storage instructions to ensure the medicine's stability and effectiveness.</w:t>
      </w:r>
    </w:p>
    <w:p w14:paraId="3E38BE99" w14:textId="77777777" w:rsidR="00E837DD" w:rsidRPr="00AA2C4F" w:rsidRDefault="00E837DD" w:rsidP="00E837DD">
      <w:pPr>
        <w:spacing w:after="0"/>
        <w:jc w:val="both"/>
        <w:rPr>
          <w:rFonts w:cs="Times New Roman"/>
          <w:szCs w:val="24"/>
        </w:rPr>
      </w:pPr>
      <w:r w:rsidRPr="00AA2C4F">
        <w:rPr>
          <w:rFonts w:cs="Times New Roman"/>
          <w:szCs w:val="24"/>
        </w:rPr>
        <w:t>This structured approach ensures that healthcare professionals can quickly and easily find the information they need.</w:t>
      </w:r>
    </w:p>
    <w:p w14:paraId="21F4CFF9" w14:textId="77777777" w:rsidR="00E837DD" w:rsidRPr="00AA2C4F" w:rsidRDefault="00E837DD" w:rsidP="00E837DD">
      <w:pPr>
        <w:spacing w:before="240" w:after="0"/>
        <w:jc w:val="both"/>
        <w:rPr>
          <w:rFonts w:cs="Times New Roman"/>
          <w:b/>
          <w:bCs/>
          <w:szCs w:val="24"/>
        </w:rPr>
      </w:pPr>
      <w:r w:rsidRPr="00AA2C4F">
        <w:rPr>
          <w:rFonts w:cs="Times New Roman"/>
          <w:b/>
          <w:bCs/>
          <w:szCs w:val="24"/>
        </w:rPr>
        <w:t>How to Use the Formulary</w:t>
      </w:r>
    </w:p>
    <w:p w14:paraId="47DB3582" w14:textId="77777777" w:rsidR="00E837DD" w:rsidRPr="00AA2C4F" w:rsidRDefault="00E837DD" w:rsidP="00E837DD">
      <w:pPr>
        <w:spacing w:after="0"/>
        <w:jc w:val="both"/>
        <w:rPr>
          <w:rFonts w:cs="Times New Roman"/>
          <w:szCs w:val="24"/>
        </w:rPr>
      </w:pPr>
      <w:r w:rsidRPr="00AA2C4F">
        <w:rPr>
          <w:rFonts w:cs="Times New Roman"/>
          <w:szCs w:val="24"/>
        </w:rPr>
        <w:t>Healthcare professionals can use the Ethiopian Medicines Formulary as a comprehensive reference guide to support their clinical decision-making. The formulary is designed to assist in the selection of the most appropriate medicine for a given condition, determining the correct dosage, understanding potential drug interactions and side effects, and ensuring proper storage and handling of medicines.</w:t>
      </w:r>
    </w:p>
    <w:p w14:paraId="3FA0A2F4" w14:textId="77777777" w:rsidR="00E837DD" w:rsidRPr="00AA2C4F" w:rsidRDefault="00E837DD" w:rsidP="00E837DD">
      <w:pPr>
        <w:spacing w:before="240" w:after="0"/>
        <w:jc w:val="both"/>
        <w:rPr>
          <w:rFonts w:cs="Times New Roman"/>
          <w:szCs w:val="24"/>
        </w:rPr>
      </w:pPr>
    </w:p>
    <w:p w14:paraId="1098459B" w14:textId="77777777" w:rsidR="00E837DD" w:rsidRPr="00AA2C4F" w:rsidRDefault="00E837DD" w:rsidP="00E837DD">
      <w:pPr>
        <w:spacing w:after="0"/>
        <w:jc w:val="both"/>
        <w:rPr>
          <w:rFonts w:cs="Times New Roman"/>
          <w:szCs w:val="24"/>
        </w:rPr>
      </w:pPr>
      <w:r w:rsidRPr="00AA2C4F">
        <w:rPr>
          <w:rFonts w:cs="Times New Roman"/>
          <w:szCs w:val="24"/>
        </w:rPr>
        <w:t>To use the formulary effectively, healthcare providers should:</w:t>
      </w:r>
    </w:p>
    <w:p w14:paraId="3CB3126B" w14:textId="77777777" w:rsidR="00E837DD" w:rsidRPr="00AA2C4F" w:rsidRDefault="00E837DD" w:rsidP="003D3F76">
      <w:pPr>
        <w:pStyle w:val="ListParagraph"/>
        <w:numPr>
          <w:ilvl w:val="0"/>
          <w:numId w:val="18"/>
        </w:numPr>
        <w:spacing w:line="360" w:lineRule="auto"/>
        <w:rPr>
          <w:szCs w:val="24"/>
        </w:rPr>
      </w:pPr>
      <w:r w:rsidRPr="00AA2C4F">
        <w:rPr>
          <w:b/>
          <w:bCs/>
          <w:szCs w:val="24"/>
        </w:rPr>
        <w:t>Identify the Therapeutic Category:</w:t>
      </w:r>
      <w:r w:rsidRPr="00AA2C4F">
        <w:rPr>
          <w:szCs w:val="24"/>
        </w:rPr>
        <w:t xml:space="preserve"> Start by locating the therapeutic category relevant to the patient's condition.</w:t>
      </w:r>
    </w:p>
    <w:p w14:paraId="3CD654CF" w14:textId="77777777" w:rsidR="00E837DD" w:rsidRPr="00AA2C4F" w:rsidRDefault="00E837DD" w:rsidP="003D3F76">
      <w:pPr>
        <w:pStyle w:val="ListParagraph"/>
        <w:numPr>
          <w:ilvl w:val="0"/>
          <w:numId w:val="18"/>
        </w:numPr>
        <w:spacing w:line="360" w:lineRule="auto"/>
        <w:rPr>
          <w:szCs w:val="24"/>
        </w:rPr>
      </w:pPr>
      <w:r w:rsidRPr="00AA2C4F">
        <w:rPr>
          <w:b/>
          <w:bCs/>
          <w:szCs w:val="24"/>
        </w:rPr>
        <w:t>Find the Specific Medicine:</w:t>
      </w:r>
      <w:r w:rsidRPr="00AA2C4F">
        <w:rPr>
          <w:szCs w:val="24"/>
        </w:rPr>
        <w:t xml:space="preserve"> Within the therapeutic category, find the specific medicine listed alphabetically or by pharmacological class.</w:t>
      </w:r>
    </w:p>
    <w:p w14:paraId="05805D0C" w14:textId="77777777" w:rsidR="00E837DD" w:rsidRPr="00AA2C4F" w:rsidRDefault="00E837DD" w:rsidP="003D3F76">
      <w:pPr>
        <w:pStyle w:val="ListParagraph"/>
        <w:numPr>
          <w:ilvl w:val="0"/>
          <w:numId w:val="18"/>
        </w:numPr>
        <w:spacing w:line="360" w:lineRule="auto"/>
        <w:rPr>
          <w:szCs w:val="24"/>
        </w:rPr>
      </w:pPr>
      <w:r w:rsidRPr="00AA2C4F">
        <w:rPr>
          <w:b/>
          <w:bCs/>
          <w:szCs w:val="24"/>
        </w:rPr>
        <w:t>Review the Monograph:</w:t>
      </w:r>
      <w:r w:rsidRPr="00AA2C4F">
        <w:rPr>
          <w:szCs w:val="24"/>
        </w:rPr>
        <w:t xml:space="preserve"> Carefully read the monograph for detailed information on indications, dosing, administration, contraindications, drug interactions, side effects, cautions, and storage conditions.</w:t>
      </w:r>
    </w:p>
    <w:p w14:paraId="287E52A7" w14:textId="77777777" w:rsidR="00E837DD" w:rsidRPr="00AA2C4F" w:rsidRDefault="00E837DD" w:rsidP="003D3F76">
      <w:pPr>
        <w:pStyle w:val="ListParagraph"/>
        <w:numPr>
          <w:ilvl w:val="0"/>
          <w:numId w:val="18"/>
        </w:numPr>
        <w:spacing w:line="360" w:lineRule="auto"/>
        <w:rPr>
          <w:szCs w:val="24"/>
        </w:rPr>
      </w:pPr>
      <w:r w:rsidRPr="00AA2C4F">
        <w:rPr>
          <w:b/>
          <w:bCs/>
          <w:szCs w:val="24"/>
        </w:rPr>
        <w:t>Cross-Reference Information:</w:t>
      </w:r>
      <w:r w:rsidRPr="00AA2C4F">
        <w:rPr>
          <w:szCs w:val="24"/>
        </w:rPr>
        <w:t xml:space="preserve"> Use the cross-references provided in the formulary to check for potential drug interactions and special considerations, especially for patients with comorbid conditions or special populations such as pregnant women, children, and the elderly.</w:t>
      </w:r>
    </w:p>
    <w:p w14:paraId="11359A7A" w14:textId="77777777" w:rsidR="00E837DD" w:rsidRPr="00AA2C4F" w:rsidRDefault="00E837DD" w:rsidP="003D3F76">
      <w:pPr>
        <w:pStyle w:val="ListParagraph"/>
        <w:numPr>
          <w:ilvl w:val="0"/>
          <w:numId w:val="18"/>
        </w:numPr>
        <w:spacing w:line="360" w:lineRule="auto"/>
        <w:rPr>
          <w:szCs w:val="24"/>
        </w:rPr>
      </w:pPr>
      <w:r w:rsidRPr="00AA2C4F">
        <w:rPr>
          <w:b/>
          <w:bCs/>
          <w:szCs w:val="24"/>
        </w:rPr>
        <w:t>Apply Evidence-Based Guidelines:</w:t>
      </w:r>
      <w:r w:rsidRPr="00AA2C4F">
        <w:rPr>
          <w:szCs w:val="24"/>
        </w:rPr>
        <w:t xml:space="preserve"> Follow the evidence-based recommendations provided in the formulary to ensure safe and effective use of the medicine.</w:t>
      </w:r>
    </w:p>
    <w:p w14:paraId="5073EA93" w14:textId="77777777" w:rsidR="00E837DD" w:rsidRPr="00AA2C4F" w:rsidRDefault="00E837DD" w:rsidP="00E837DD">
      <w:pPr>
        <w:spacing w:after="0"/>
        <w:jc w:val="both"/>
        <w:rPr>
          <w:rFonts w:cs="Times New Roman"/>
          <w:szCs w:val="24"/>
        </w:rPr>
      </w:pPr>
      <w:r w:rsidRPr="00AA2C4F">
        <w:rPr>
          <w:rFonts w:cs="Times New Roman"/>
          <w:szCs w:val="24"/>
        </w:rPr>
        <w:t>By following these steps, healthcare professionals can ensure that they are making informed decisions that enhance patient safety and treatment efficacy.</w:t>
      </w:r>
    </w:p>
    <w:p w14:paraId="09FAE259" w14:textId="77777777" w:rsidR="00E837DD" w:rsidRPr="00AA2C4F" w:rsidRDefault="00E837DD" w:rsidP="00E837DD">
      <w:pPr>
        <w:spacing w:before="240" w:after="0"/>
        <w:jc w:val="both"/>
        <w:rPr>
          <w:rFonts w:cs="Times New Roman"/>
          <w:szCs w:val="24"/>
        </w:rPr>
      </w:pPr>
      <w:r w:rsidRPr="00AA2C4F">
        <w:rPr>
          <w:rFonts w:cs="Times New Roman"/>
          <w:b/>
          <w:bCs/>
          <w:szCs w:val="24"/>
        </w:rPr>
        <w:t>Explanation of Monograph Format</w:t>
      </w:r>
    </w:p>
    <w:p w14:paraId="78CA14BE" w14:textId="77777777" w:rsidR="00E837DD" w:rsidRPr="00AA2C4F" w:rsidRDefault="00E837DD" w:rsidP="00E837DD">
      <w:pPr>
        <w:spacing w:after="0"/>
        <w:jc w:val="both"/>
        <w:rPr>
          <w:rFonts w:cs="Times New Roman"/>
          <w:szCs w:val="24"/>
        </w:rPr>
      </w:pPr>
      <w:r w:rsidRPr="00AA2C4F">
        <w:rPr>
          <w:rFonts w:cs="Times New Roman"/>
          <w:szCs w:val="24"/>
        </w:rPr>
        <w:t>Each monograph in the Ethiopian Medicines Formulary follows a standardized format to ensure consistency and ease of use. This format includes the following sections:</w:t>
      </w:r>
    </w:p>
    <w:p w14:paraId="7B8AC7DD" w14:textId="77777777" w:rsidR="00E837DD" w:rsidRPr="00AA2C4F" w:rsidRDefault="00E837DD" w:rsidP="003D3F76">
      <w:pPr>
        <w:pStyle w:val="ListParagraph"/>
        <w:numPr>
          <w:ilvl w:val="0"/>
          <w:numId w:val="19"/>
        </w:numPr>
        <w:spacing w:line="360" w:lineRule="auto"/>
        <w:rPr>
          <w:szCs w:val="24"/>
        </w:rPr>
      </w:pPr>
      <w:r w:rsidRPr="00AA2C4F">
        <w:rPr>
          <w:b/>
          <w:bCs/>
          <w:szCs w:val="24"/>
        </w:rPr>
        <w:t>Name of the Drug:</w:t>
      </w:r>
      <w:r w:rsidRPr="00AA2C4F">
        <w:rPr>
          <w:szCs w:val="24"/>
        </w:rPr>
        <w:t xml:space="preserve"> The official generic name used internationally and recognized within the Ethiopian healthcare system.</w:t>
      </w:r>
    </w:p>
    <w:p w14:paraId="16225975" w14:textId="77777777" w:rsidR="00E837DD" w:rsidRPr="00AA2C4F" w:rsidRDefault="00E837DD" w:rsidP="003D3F76">
      <w:pPr>
        <w:pStyle w:val="ListParagraph"/>
        <w:numPr>
          <w:ilvl w:val="0"/>
          <w:numId w:val="19"/>
        </w:numPr>
        <w:spacing w:line="360" w:lineRule="auto"/>
        <w:rPr>
          <w:szCs w:val="24"/>
        </w:rPr>
      </w:pPr>
      <w:r w:rsidRPr="00AA2C4F">
        <w:rPr>
          <w:b/>
          <w:bCs/>
          <w:szCs w:val="24"/>
        </w:rPr>
        <w:t>Pharmacological Class:</w:t>
      </w:r>
      <w:r w:rsidRPr="00AA2C4F">
        <w:rPr>
          <w:szCs w:val="24"/>
        </w:rPr>
        <w:t xml:space="preserve"> The class or category of the medicine based on its mechanism of action or therapeutic use.</w:t>
      </w:r>
    </w:p>
    <w:p w14:paraId="3ECE8DD5" w14:textId="77777777" w:rsidR="00E837DD" w:rsidRPr="00AA2C4F" w:rsidRDefault="00E837DD" w:rsidP="003D3F76">
      <w:pPr>
        <w:pStyle w:val="ListParagraph"/>
        <w:numPr>
          <w:ilvl w:val="0"/>
          <w:numId w:val="19"/>
        </w:numPr>
        <w:spacing w:line="360" w:lineRule="auto"/>
        <w:rPr>
          <w:szCs w:val="24"/>
        </w:rPr>
      </w:pPr>
      <w:r w:rsidRPr="00AA2C4F">
        <w:rPr>
          <w:b/>
          <w:bCs/>
          <w:szCs w:val="24"/>
        </w:rPr>
        <w:t>Dosage Form:</w:t>
      </w:r>
      <w:r w:rsidRPr="00AA2C4F">
        <w:rPr>
          <w:szCs w:val="24"/>
        </w:rPr>
        <w:t xml:space="preserve"> The different formulations available for the medicine, such as tablets, capsules, injections, suspensions, etc.</w:t>
      </w:r>
    </w:p>
    <w:p w14:paraId="1524044A" w14:textId="77777777" w:rsidR="00E837DD" w:rsidRPr="00AA2C4F" w:rsidRDefault="00E837DD" w:rsidP="003D3F76">
      <w:pPr>
        <w:pStyle w:val="ListParagraph"/>
        <w:numPr>
          <w:ilvl w:val="0"/>
          <w:numId w:val="19"/>
        </w:numPr>
        <w:spacing w:line="360" w:lineRule="auto"/>
        <w:rPr>
          <w:szCs w:val="24"/>
        </w:rPr>
      </w:pPr>
      <w:r w:rsidRPr="00AA2C4F">
        <w:rPr>
          <w:b/>
          <w:bCs/>
          <w:szCs w:val="24"/>
        </w:rPr>
        <w:t>Indications:</w:t>
      </w:r>
      <w:r w:rsidRPr="00AA2C4F">
        <w:rPr>
          <w:szCs w:val="24"/>
        </w:rPr>
        <w:t xml:space="preserve"> The approved medical conditions or diseases for which the medicine is indicated. This section provides guidance on clinical situations where the medicine should be used.</w:t>
      </w:r>
    </w:p>
    <w:p w14:paraId="21C5518B" w14:textId="77777777" w:rsidR="00E837DD" w:rsidRPr="00AA2C4F" w:rsidRDefault="00E837DD" w:rsidP="003D3F76">
      <w:pPr>
        <w:pStyle w:val="ListParagraph"/>
        <w:numPr>
          <w:ilvl w:val="0"/>
          <w:numId w:val="19"/>
        </w:numPr>
        <w:spacing w:line="360" w:lineRule="auto"/>
        <w:rPr>
          <w:szCs w:val="24"/>
        </w:rPr>
      </w:pPr>
      <w:r w:rsidRPr="00AA2C4F">
        <w:rPr>
          <w:b/>
          <w:bCs/>
          <w:szCs w:val="24"/>
        </w:rPr>
        <w:t>Dose and Administration:</w:t>
      </w:r>
      <w:r w:rsidRPr="00AA2C4F">
        <w:rPr>
          <w:szCs w:val="24"/>
        </w:rPr>
        <w:t xml:space="preserve"> Detailed instructions on the appropriate dosing regimen, </w:t>
      </w:r>
      <w:r w:rsidRPr="00AA2C4F">
        <w:rPr>
          <w:szCs w:val="24"/>
        </w:rPr>
        <w:lastRenderedPageBreak/>
        <w:t>including the recommended dose, frequency, and route of administration. Special dosing instructions for different populations (e.g., children, elderly, patients with renal or hepatic impairment) are also included.</w:t>
      </w:r>
    </w:p>
    <w:p w14:paraId="29D5FFFD" w14:textId="77777777" w:rsidR="00E837DD" w:rsidRPr="00AA2C4F" w:rsidRDefault="00E837DD" w:rsidP="003D3F76">
      <w:pPr>
        <w:pStyle w:val="ListParagraph"/>
        <w:numPr>
          <w:ilvl w:val="0"/>
          <w:numId w:val="19"/>
        </w:numPr>
        <w:spacing w:line="360" w:lineRule="auto"/>
        <w:rPr>
          <w:szCs w:val="24"/>
        </w:rPr>
      </w:pPr>
      <w:r w:rsidRPr="00AA2C4F">
        <w:rPr>
          <w:b/>
          <w:bCs/>
          <w:szCs w:val="24"/>
        </w:rPr>
        <w:t>Contraindications:</w:t>
      </w:r>
      <w:r w:rsidRPr="00AA2C4F">
        <w:rPr>
          <w:szCs w:val="24"/>
        </w:rPr>
        <w:t xml:space="preserve"> A list of conditions or situations where the medicine should not be used due to potential harm or lack of efficacy. This section helps healthcare professionals avoid prescribing the medicine to patients for whom it is unsafe.</w:t>
      </w:r>
    </w:p>
    <w:p w14:paraId="11CA531F" w14:textId="77777777" w:rsidR="00E837DD" w:rsidRPr="00AA2C4F" w:rsidRDefault="00E837DD" w:rsidP="003D3F76">
      <w:pPr>
        <w:pStyle w:val="ListParagraph"/>
        <w:numPr>
          <w:ilvl w:val="0"/>
          <w:numId w:val="19"/>
        </w:numPr>
        <w:spacing w:line="360" w:lineRule="auto"/>
        <w:rPr>
          <w:szCs w:val="24"/>
        </w:rPr>
      </w:pPr>
      <w:r w:rsidRPr="00AA2C4F">
        <w:rPr>
          <w:b/>
          <w:bCs/>
          <w:szCs w:val="24"/>
        </w:rPr>
        <w:t>Drug Interactions:</w:t>
      </w:r>
      <w:r w:rsidRPr="00AA2C4F">
        <w:rPr>
          <w:szCs w:val="24"/>
        </w:rPr>
        <w:t xml:space="preserve"> Information on significant interactions with other medicines that can affect the efficacy or safety of the drug. This section highlights potential interactions that healthcare providers should be aware of to prevent adverse effects.</w:t>
      </w:r>
    </w:p>
    <w:p w14:paraId="19E3874F" w14:textId="77777777" w:rsidR="00E837DD" w:rsidRPr="00AA2C4F" w:rsidRDefault="00E837DD" w:rsidP="003D3F76">
      <w:pPr>
        <w:pStyle w:val="ListParagraph"/>
        <w:numPr>
          <w:ilvl w:val="0"/>
          <w:numId w:val="19"/>
        </w:numPr>
        <w:spacing w:line="360" w:lineRule="auto"/>
        <w:rPr>
          <w:szCs w:val="24"/>
        </w:rPr>
      </w:pPr>
      <w:r w:rsidRPr="00AA2C4F">
        <w:rPr>
          <w:b/>
          <w:bCs/>
          <w:szCs w:val="24"/>
        </w:rPr>
        <w:t>Side Effects:</w:t>
      </w:r>
      <w:r w:rsidRPr="00AA2C4F">
        <w:rPr>
          <w:szCs w:val="24"/>
        </w:rPr>
        <w:t xml:space="preserve"> A comprehensive list of possible adverse effects associated with the medicine, categorized by frequency and severity. This section helps healthcare professionals monitor for and manage potential side effects in their patients.</w:t>
      </w:r>
    </w:p>
    <w:p w14:paraId="48CA9A45" w14:textId="77777777" w:rsidR="00E837DD" w:rsidRPr="00AA2C4F" w:rsidRDefault="00E837DD" w:rsidP="003D3F76">
      <w:pPr>
        <w:pStyle w:val="ListParagraph"/>
        <w:numPr>
          <w:ilvl w:val="0"/>
          <w:numId w:val="19"/>
        </w:numPr>
        <w:spacing w:line="360" w:lineRule="auto"/>
        <w:rPr>
          <w:szCs w:val="24"/>
        </w:rPr>
      </w:pPr>
      <w:r w:rsidRPr="00AA2C4F">
        <w:rPr>
          <w:b/>
          <w:bCs/>
          <w:szCs w:val="24"/>
        </w:rPr>
        <w:t>Cautions:</w:t>
      </w:r>
      <w:r w:rsidRPr="00AA2C4F">
        <w:rPr>
          <w:szCs w:val="24"/>
        </w:rPr>
        <w:t xml:space="preserve"> Precautions and special warnings to consider when using the medicine. This section includes information on specific patient populations, such as pregnant women, lactating mothers, and individuals with certain medical conditions.</w:t>
      </w:r>
    </w:p>
    <w:p w14:paraId="1F8D283A" w14:textId="77777777" w:rsidR="00E837DD" w:rsidRPr="00AA2C4F" w:rsidRDefault="00E837DD" w:rsidP="003D3F76">
      <w:pPr>
        <w:pStyle w:val="ListParagraph"/>
        <w:numPr>
          <w:ilvl w:val="0"/>
          <w:numId w:val="19"/>
        </w:numPr>
        <w:spacing w:line="360" w:lineRule="auto"/>
        <w:rPr>
          <w:szCs w:val="24"/>
        </w:rPr>
      </w:pPr>
      <w:r w:rsidRPr="00AA2C4F">
        <w:rPr>
          <w:b/>
          <w:bCs/>
          <w:szCs w:val="24"/>
        </w:rPr>
        <w:t>Storage Condition:</w:t>
      </w:r>
      <w:r w:rsidRPr="00AA2C4F">
        <w:rPr>
          <w:szCs w:val="24"/>
        </w:rPr>
        <w:t xml:space="preserve"> Guidelines on how to store the medicine properly to maintain its stability and effectiveness. This section includes information on temperature, humidity, light exposure, and other relevant storage conditions.</w:t>
      </w:r>
    </w:p>
    <w:p w14:paraId="054D06C6" w14:textId="77777777" w:rsidR="00E837DD" w:rsidRPr="00AA2C4F" w:rsidRDefault="00E837DD" w:rsidP="00E837DD">
      <w:pPr>
        <w:rPr>
          <w:rFonts w:cs="Times New Roman"/>
          <w:szCs w:val="24"/>
        </w:rPr>
      </w:pPr>
      <w:r w:rsidRPr="00AA2C4F">
        <w:rPr>
          <w:rFonts w:cs="Times New Roman"/>
          <w:szCs w:val="24"/>
        </w:rPr>
        <w:br w:type="page"/>
      </w:r>
    </w:p>
    <w:p w14:paraId="77099B44" w14:textId="77777777" w:rsidR="00E837DD" w:rsidRPr="00AA2C4F" w:rsidRDefault="00E837DD" w:rsidP="00E837DD">
      <w:pPr>
        <w:pStyle w:val="Heading1"/>
        <w:rPr>
          <w:rFonts w:cs="Times New Roman"/>
        </w:rPr>
      </w:pPr>
      <w:bookmarkStart w:id="9" w:name="_Toc179490300"/>
      <w:r w:rsidRPr="00AA2C4F">
        <w:rPr>
          <w:rFonts w:cs="Times New Roman"/>
        </w:rPr>
        <w:lastRenderedPageBreak/>
        <w:t>Sources of Information</w:t>
      </w:r>
      <w:bookmarkEnd w:id="9"/>
      <w:r w:rsidRPr="00AA2C4F">
        <w:rPr>
          <w:rFonts w:cs="Times New Roman"/>
        </w:rPr>
        <w:t xml:space="preserve"> </w:t>
      </w:r>
    </w:p>
    <w:p w14:paraId="46966887" w14:textId="77777777" w:rsidR="00E837DD" w:rsidRPr="00AA2C4F" w:rsidRDefault="00E837DD" w:rsidP="00E837DD">
      <w:pPr>
        <w:spacing w:after="0"/>
        <w:jc w:val="both"/>
        <w:rPr>
          <w:rFonts w:cs="Times New Roman"/>
          <w:b/>
          <w:bCs/>
          <w:szCs w:val="24"/>
        </w:rPr>
      </w:pPr>
      <w:r w:rsidRPr="00AA2C4F">
        <w:rPr>
          <w:rFonts w:cs="Times New Roman"/>
          <w:b/>
          <w:bCs/>
          <w:szCs w:val="24"/>
        </w:rPr>
        <w:t>References and Literature Used</w:t>
      </w:r>
    </w:p>
    <w:p w14:paraId="1334E161" w14:textId="77777777" w:rsidR="00E837DD" w:rsidRPr="00AA2C4F" w:rsidRDefault="00E837DD" w:rsidP="00E837DD">
      <w:pPr>
        <w:spacing w:after="0"/>
        <w:jc w:val="both"/>
        <w:rPr>
          <w:rFonts w:cs="Times New Roman"/>
          <w:szCs w:val="24"/>
        </w:rPr>
      </w:pPr>
      <w:r w:rsidRPr="00AA2C4F">
        <w:rPr>
          <w:rFonts w:cs="Times New Roman"/>
          <w:szCs w:val="24"/>
        </w:rPr>
        <w:t>The Ethiopian Medicines Formulary is built upon a solid foundation of reputable sources to ensure the accuracy and reliability of the information provided. The references include clinical guidelines, pharmacology textbooks, peer-reviewed journals, and manufacturer product information. Key sources that have been instrumental in the development of the formulary include the British National Formulary (BNF), the WHO Model List of Essential Medicines, and the Kenya National Medicines Formulary (KNMF). These references offer a wealth of evidence-based information that supports the formulary’s recommendations and ensures they meet global standards.</w:t>
      </w:r>
    </w:p>
    <w:p w14:paraId="6EB71403" w14:textId="77777777" w:rsidR="00E837DD" w:rsidRPr="00AA2C4F" w:rsidRDefault="00E837DD" w:rsidP="00E837DD">
      <w:pPr>
        <w:spacing w:before="240" w:after="0"/>
        <w:jc w:val="both"/>
        <w:rPr>
          <w:rFonts w:cs="Times New Roman"/>
          <w:b/>
          <w:bCs/>
          <w:szCs w:val="24"/>
        </w:rPr>
      </w:pPr>
      <w:r w:rsidRPr="00AA2C4F">
        <w:rPr>
          <w:rFonts w:cs="Times New Roman"/>
          <w:b/>
          <w:bCs/>
          <w:szCs w:val="24"/>
        </w:rPr>
        <w:t>Regulatory and Professional Guidelines</w:t>
      </w:r>
    </w:p>
    <w:p w14:paraId="0087A5C3" w14:textId="77777777" w:rsidR="00E837DD" w:rsidRPr="00AA2C4F" w:rsidRDefault="00E837DD" w:rsidP="00E837DD">
      <w:pPr>
        <w:spacing w:after="0"/>
        <w:jc w:val="both"/>
        <w:rPr>
          <w:rFonts w:cs="Times New Roman"/>
          <w:szCs w:val="24"/>
        </w:rPr>
      </w:pPr>
      <w:r w:rsidRPr="00AA2C4F">
        <w:rPr>
          <w:rFonts w:cs="Times New Roman"/>
          <w:szCs w:val="24"/>
        </w:rPr>
        <w:t>Incorporating guidelines and recommendations from renowned regulatory authorities and professional bodies is crucial to the formulary's integrity and utility. The formulary adheres to standards set by organizations such as the World Health Organization (WHO) and the Ethiopian Food and Drug Administration (EFDA). In addition, it reflects the guidelines and best practices established by the Ministry of Health. This alignment with both international and local guidelines ensures that the formulary is both globally informed and locally relevant.</w:t>
      </w:r>
    </w:p>
    <w:p w14:paraId="6EEEE841" w14:textId="77777777" w:rsidR="00E837DD" w:rsidRPr="00AA2C4F" w:rsidRDefault="00E837DD" w:rsidP="00E837DD">
      <w:pPr>
        <w:spacing w:before="240" w:after="0"/>
        <w:jc w:val="both"/>
        <w:rPr>
          <w:rFonts w:cs="Times New Roman"/>
          <w:b/>
          <w:bCs/>
          <w:szCs w:val="24"/>
        </w:rPr>
      </w:pPr>
      <w:r w:rsidRPr="00AA2C4F">
        <w:rPr>
          <w:rFonts w:cs="Times New Roman"/>
          <w:b/>
          <w:bCs/>
          <w:szCs w:val="24"/>
        </w:rPr>
        <w:t>Contribution of Experts</w:t>
      </w:r>
    </w:p>
    <w:p w14:paraId="5E50EB37" w14:textId="77777777" w:rsidR="00E837DD" w:rsidRPr="00AA2C4F" w:rsidRDefault="00E837DD" w:rsidP="00E837DD">
      <w:pPr>
        <w:spacing w:after="0"/>
        <w:jc w:val="both"/>
        <w:rPr>
          <w:rFonts w:cs="Times New Roman"/>
          <w:szCs w:val="24"/>
        </w:rPr>
      </w:pPr>
      <w:r w:rsidRPr="00AA2C4F">
        <w:rPr>
          <w:rFonts w:cs="Times New Roman"/>
          <w:szCs w:val="24"/>
        </w:rPr>
        <w:t>The preparation and revision of the Ethiopian Medicines Formulary involve the collaborative efforts of a diverse group of experts. Clinicians, pharmacists, researchers, and public health specialists contribute their expertise to ensure that the formulary is comprehensive, evidence-based, and tailored to the healthcare needs of Ethiopia. Experts provide insights that address the specific challenges and requirements of the Ethiopian healthcare system based on global best practices and the latest advancements in medical science. This approach enriches the formulary, making it a valuable resource for healthcare providers in Ethiopia.</w:t>
      </w:r>
    </w:p>
    <w:p w14:paraId="615C8E0C" w14:textId="77777777" w:rsidR="00E837DD" w:rsidRPr="00AA2C4F" w:rsidRDefault="00E837DD" w:rsidP="00E837DD">
      <w:pPr>
        <w:rPr>
          <w:rFonts w:cs="Times New Roman"/>
          <w:szCs w:val="24"/>
        </w:rPr>
      </w:pPr>
      <w:r w:rsidRPr="00AA2C4F">
        <w:rPr>
          <w:rFonts w:cs="Times New Roman"/>
          <w:szCs w:val="24"/>
        </w:rPr>
        <w:br w:type="page"/>
      </w:r>
    </w:p>
    <w:p w14:paraId="36C23FDF" w14:textId="77777777" w:rsidR="00E837DD" w:rsidRPr="00AA2C4F" w:rsidRDefault="00E837DD" w:rsidP="00E837DD">
      <w:pPr>
        <w:pStyle w:val="Heading1"/>
        <w:rPr>
          <w:rFonts w:cs="Times New Roman"/>
        </w:rPr>
      </w:pPr>
      <w:bookmarkStart w:id="10" w:name="_Toc179490301"/>
      <w:r w:rsidRPr="00AA2C4F">
        <w:rPr>
          <w:rFonts w:cs="Times New Roman"/>
        </w:rPr>
        <w:lastRenderedPageBreak/>
        <w:t>General Guidelines for Medicine Use</w:t>
      </w:r>
      <w:bookmarkEnd w:id="10"/>
    </w:p>
    <w:p w14:paraId="55191BDC" w14:textId="77777777" w:rsidR="00E837DD" w:rsidRPr="00AA2C4F" w:rsidRDefault="00E837DD" w:rsidP="00E837DD">
      <w:pPr>
        <w:spacing w:after="0"/>
        <w:jc w:val="both"/>
        <w:rPr>
          <w:rFonts w:cs="Times New Roman"/>
          <w:b/>
          <w:bCs/>
          <w:szCs w:val="24"/>
        </w:rPr>
      </w:pPr>
      <w:r w:rsidRPr="00AA2C4F">
        <w:rPr>
          <w:rFonts w:cs="Times New Roman"/>
          <w:b/>
          <w:bCs/>
          <w:szCs w:val="24"/>
        </w:rPr>
        <w:t>Principles of Rational Drug Use</w:t>
      </w:r>
    </w:p>
    <w:p w14:paraId="3F4EBC8F" w14:textId="77777777" w:rsidR="00E837DD" w:rsidRPr="00AA2C4F" w:rsidRDefault="00E837DD" w:rsidP="00E837DD">
      <w:pPr>
        <w:spacing w:after="0"/>
        <w:jc w:val="both"/>
        <w:rPr>
          <w:rFonts w:cs="Times New Roman"/>
          <w:szCs w:val="24"/>
        </w:rPr>
      </w:pPr>
      <w:r w:rsidRPr="00AA2C4F">
        <w:rPr>
          <w:rFonts w:cs="Times New Roman"/>
          <w:szCs w:val="24"/>
        </w:rPr>
        <w:t>The Ethiopian Medicines Formulary is guided by the principles of rational drug use, which are essential for effective and safe healthcare delivery. These principles include:</w:t>
      </w:r>
    </w:p>
    <w:p w14:paraId="4AA49A88" w14:textId="77777777" w:rsidR="00E837DD" w:rsidRPr="00AA2C4F" w:rsidRDefault="00E837DD" w:rsidP="003D3F76">
      <w:pPr>
        <w:pStyle w:val="ListParagraph"/>
        <w:numPr>
          <w:ilvl w:val="0"/>
          <w:numId w:val="20"/>
        </w:numPr>
        <w:spacing w:line="360" w:lineRule="auto"/>
        <w:rPr>
          <w:szCs w:val="24"/>
        </w:rPr>
      </w:pPr>
      <w:r w:rsidRPr="00AA2C4F">
        <w:rPr>
          <w:b/>
          <w:bCs/>
          <w:szCs w:val="24"/>
        </w:rPr>
        <w:t>Correct Diagnosis:</w:t>
      </w:r>
      <w:r w:rsidRPr="00AA2C4F">
        <w:rPr>
          <w:szCs w:val="24"/>
        </w:rPr>
        <w:t xml:space="preserve"> Ensure an accurate diagnosis is made before prescribing any medication. This involves a thorough patient assessment and appropriate diagnostic tests.</w:t>
      </w:r>
    </w:p>
    <w:p w14:paraId="27C9326B" w14:textId="77777777" w:rsidR="00E837DD" w:rsidRPr="00AA2C4F" w:rsidRDefault="00E837DD" w:rsidP="003D3F76">
      <w:pPr>
        <w:pStyle w:val="ListParagraph"/>
        <w:numPr>
          <w:ilvl w:val="0"/>
          <w:numId w:val="20"/>
        </w:numPr>
        <w:spacing w:line="360" w:lineRule="auto"/>
        <w:rPr>
          <w:szCs w:val="24"/>
        </w:rPr>
      </w:pPr>
      <w:r w:rsidRPr="00AA2C4F">
        <w:rPr>
          <w:b/>
          <w:bCs/>
          <w:szCs w:val="24"/>
        </w:rPr>
        <w:t>Effective Treatment:</w:t>
      </w:r>
      <w:r w:rsidRPr="00AA2C4F">
        <w:rPr>
          <w:szCs w:val="24"/>
        </w:rPr>
        <w:t xml:space="preserve"> Select the most effective and safe medication based on current evidence, considering the efficacy, safety, and cost-effectiveness of available treatment options.</w:t>
      </w:r>
    </w:p>
    <w:p w14:paraId="6C9FF2A2" w14:textId="77777777" w:rsidR="00E837DD" w:rsidRPr="00AA2C4F" w:rsidRDefault="00E837DD" w:rsidP="003D3F76">
      <w:pPr>
        <w:pStyle w:val="ListParagraph"/>
        <w:numPr>
          <w:ilvl w:val="0"/>
          <w:numId w:val="20"/>
        </w:numPr>
        <w:spacing w:line="360" w:lineRule="auto"/>
        <w:rPr>
          <w:szCs w:val="24"/>
        </w:rPr>
      </w:pPr>
      <w:r w:rsidRPr="00AA2C4F">
        <w:rPr>
          <w:b/>
          <w:bCs/>
          <w:szCs w:val="24"/>
        </w:rPr>
        <w:t>Appropriate Dosage:</w:t>
      </w:r>
      <w:r w:rsidRPr="00AA2C4F">
        <w:rPr>
          <w:szCs w:val="24"/>
        </w:rPr>
        <w:t xml:space="preserve"> Administer the correct dose to achieve the desired therapeutic effect, </w:t>
      </w:r>
      <w:r w:rsidR="00A5517C" w:rsidRPr="00AA2C4F">
        <w:rPr>
          <w:szCs w:val="24"/>
        </w:rPr>
        <w:t>considering</w:t>
      </w:r>
      <w:r w:rsidRPr="00AA2C4F">
        <w:rPr>
          <w:szCs w:val="24"/>
        </w:rPr>
        <w:t xml:space="preserve"> the patient’s age, weight, renal and hepatic function, and other relevant factors.</w:t>
      </w:r>
    </w:p>
    <w:p w14:paraId="4F2C20CB" w14:textId="77777777" w:rsidR="00E837DD" w:rsidRPr="00AA2C4F" w:rsidRDefault="00E837DD" w:rsidP="003D3F76">
      <w:pPr>
        <w:pStyle w:val="ListParagraph"/>
        <w:numPr>
          <w:ilvl w:val="0"/>
          <w:numId w:val="20"/>
        </w:numPr>
        <w:spacing w:line="360" w:lineRule="auto"/>
        <w:rPr>
          <w:szCs w:val="24"/>
        </w:rPr>
      </w:pPr>
      <w:r w:rsidRPr="00AA2C4F">
        <w:rPr>
          <w:b/>
          <w:bCs/>
          <w:szCs w:val="24"/>
        </w:rPr>
        <w:t>Patient Compliance:</w:t>
      </w:r>
      <w:r w:rsidRPr="00AA2C4F">
        <w:rPr>
          <w:szCs w:val="24"/>
        </w:rPr>
        <w:t xml:space="preserve"> Encourage adherence to the prescribed treatment regimen to ensure optimal outcomes, including educating patients about the importance of following their medication instructions.</w:t>
      </w:r>
    </w:p>
    <w:p w14:paraId="6AF2F3F8" w14:textId="77777777" w:rsidR="00E837DD" w:rsidRPr="00AA2C4F" w:rsidRDefault="00E837DD" w:rsidP="003D3F76">
      <w:pPr>
        <w:pStyle w:val="ListParagraph"/>
        <w:numPr>
          <w:ilvl w:val="0"/>
          <w:numId w:val="20"/>
        </w:numPr>
        <w:spacing w:line="360" w:lineRule="auto"/>
        <w:rPr>
          <w:szCs w:val="24"/>
        </w:rPr>
      </w:pPr>
      <w:r w:rsidRPr="00AA2C4F">
        <w:rPr>
          <w:b/>
          <w:bCs/>
          <w:szCs w:val="24"/>
        </w:rPr>
        <w:t>Monitoring and Follow-up:</w:t>
      </w:r>
      <w:r w:rsidRPr="00AA2C4F">
        <w:rPr>
          <w:szCs w:val="24"/>
        </w:rPr>
        <w:t xml:space="preserve"> Regularly monitor the patient’s response to treatment and make necessary adjustments to identify and manage any adverse effects or complications promptly.</w:t>
      </w:r>
    </w:p>
    <w:p w14:paraId="05866456" w14:textId="77777777" w:rsidR="00E837DD" w:rsidRPr="00AA2C4F" w:rsidRDefault="00E837DD" w:rsidP="00E837DD">
      <w:pPr>
        <w:spacing w:before="240" w:after="0"/>
        <w:jc w:val="both"/>
        <w:rPr>
          <w:rFonts w:cs="Times New Roman"/>
          <w:b/>
          <w:bCs/>
          <w:szCs w:val="24"/>
        </w:rPr>
      </w:pPr>
      <w:r w:rsidRPr="00AA2C4F">
        <w:rPr>
          <w:rFonts w:cs="Times New Roman"/>
          <w:b/>
          <w:bCs/>
          <w:szCs w:val="24"/>
        </w:rPr>
        <w:t>Dose and Administration</w:t>
      </w:r>
    </w:p>
    <w:p w14:paraId="0FC3F8CF" w14:textId="77777777" w:rsidR="00E837DD" w:rsidRPr="00AA2C4F" w:rsidRDefault="00E837DD" w:rsidP="00E837DD">
      <w:pPr>
        <w:spacing w:after="0"/>
        <w:jc w:val="both"/>
        <w:rPr>
          <w:rFonts w:cs="Times New Roman"/>
          <w:szCs w:val="24"/>
        </w:rPr>
      </w:pPr>
      <w:r w:rsidRPr="00AA2C4F">
        <w:rPr>
          <w:rFonts w:cs="Times New Roman"/>
          <w:szCs w:val="24"/>
        </w:rPr>
        <w:t>The formulary provides comprehensive guidelines on the correct dosage and administration of each medication to ensure optimal therapeutic outcomes. This includes:</w:t>
      </w:r>
    </w:p>
    <w:p w14:paraId="6C2CCE33" w14:textId="77777777" w:rsidR="00E837DD" w:rsidRPr="00AA2C4F" w:rsidRDefault="00E837DD" w:rsidP="003D3F76">
      <w:pPr>
        <w:pStyle w:val="ListParagraph"/>
        <w:numPr>
          <w:ilvl w:val="0"/>
          <w:numId w:val="21"/>
        </w:numPr>
        <w:spacing w:line="360" w:lineRule="auto"/>
        <w:rPr>
          <w:szCs w:val="24"/>
        </w:rPr>
      </w:pPr>
      <w:r w:rsidRPr="00AA2C4F">
        <w:rPr>
          <w:b/>
          <w:bCs/>
          <w:szCs w:val="24"/>
        </w:rPr>
        <w:t>Standard Doses:</w:t>
      </w:r>
      <w:r w:rsidRPr="00AA2C4F">
        <w:rPr>
          <w:szCs w:val="24"/>
        </w:rPr>
        <w:t xml:space="preserve"> Recommended doses for various conditions.</w:t>
      </w:r>
    </w:p>
    <w:p w14:paraId="0DEF72CA" w14:textId="77777777" w:rsidR="00E837DD" w:rsidRPr="00AA2C4F" w:rsidRDefault="00E837DD" w:rsidP="003D3F76">
      <w:pPr>
        <w:pStyle w:val="ListParagraph"/>
        <w:numPr>
          <w:ilvl w:val="0"/>
          <w:numId w:val="21"/>
        </w:numPr>
        <w:spacing w:line="360" w:lineRule="auto"/>
        <w:rPr>
          <w:szCs w:val="24"/>
        </w:rPr>
      </w:pPr>
      <w:r w:rsidRPr="00AA2C4F">
        <w:rPr>
          <w:b/>
          <w:bCs/>
          <w:szCs w:val="24"/>
        </w:rPr>
        <w:t>Dosing Intervals:</w:t>
      </w:r>
      <w:r w:rsidRPr="00AA2C4F">
        <w:rPr>
          <w:szCs w:val="24"/>
        </w:rPr>
        <w:t xml:space="preserve"> Guidelines on the frequency of administration.</w:t>
      </w:r>
    </w:p>
    <w:p w14:paraId="36137764" w14:textId="77777777" w:rsidR="00E837DD" w:rsidRPr="00AA2C4F" w:rsidRDefault="00E837DD" w:rsidP="003D3F76">
      <w:pPr>
        <w:pStyle w:val="ListParagraph"/>
        <w:numPr>
          <w:ilvl w:val="0"/>
          <w:numId w:val="21"/>
        </w:numPr>
        <w:spacing w:line="360" w:lineRule="auto"/>
        <w:rPr>
          <w:szCs w:val="24"/>
        </w:rPr>
      </w:pPr>
      <w:r w:rsidRPr="00AA2C4F">
        <w:rPr>
          <w:b/>
          <w:bCs/>
          <w:szCs w:val="24"/>
        </w:rPr>
        <w:t>Special Instructions:</w:t>
      </w:r>
      <w:r w:rsidRPr="00AA2C4F">
        <w:rPr>
          <w:szCs w:val="24"/>
        </w:rPr>
        <w:t xml:space="preserve"> Specific instructions for different routes of administration and any preparatory steps required.</w:t>
      </w:r>
    </w:p>
    <w:p w14:paraId="23D80029" w14:textId="77777777" w:rsidR="00E837DD" w:rsidRPr="00AA2C4F" w:rsidRDefault="00E837DD" w:rsidP="00E837DD">
      <w:pPr>
        <w:spacing w:after="0"/>
        <w:jc w:val="both"/>
        <w:rPr>
          <w:rFonts w:cs="Times New Roman"/>
          <w:szCs w:val="24"/>
        </w:rPr>
      </w:pPr>
      <w:r w:rsidRPr="00AA2C4F">
        <w:rPr>
          <w:rFonts w:cs="Times New Roman"/>
          <w:szCs w:val="24"/>
        </w:rPr>
        <w:t>Proper dosing and administration are critical for achieving desired therapeutic effects and preventing medication errors. Healthcare professionals should follow these guidelines to ensure the safe and effective use of medicines.</w:t>
      </w:r>
    </w:p>
    <w:p w14:paraId="308AEDA7" w14:textId="77777777" w:rsidR="00E837DD" w:rsidRPr="00AA2C4F" w:rsidRDefault="00E837DD" w:rsidP="00E837DD">
      <w:pPr>
        <w:spacing w:before="240" w:after="0"/>
        <w:jc w:val="both"/>
        <w:rPr>
          <w:rFonts w:cs="Times New Roman"/>
          <w:b/>
          <w:bCs/>
          <w:szCs w:val="24"/>
        </w:rPr>
      </w:pPr>
    </w:p>
    <w:p w14:paraId="5CCBE174" w14:textId="77777777" w:rsidR="00E837DD" w:rsidRPr="00AA2C4F" w:rsidRDefault="00E837DD" w:rsidP="00E837DD">
      <w:pPr>
        <w:spacing w:before="240" w:after="0"/>
        <w:jc w:val="both"/>
        <w:rPr>
          <w:rFonts w:cs="Times New Roman"/>
          <w:b/>
          <w:bCs/>
          <w:szCs w:val="24"/>
        </w:rPr>
      </w:pPr>
      <w:r w:rsidRPr="00AA2C4F">
        <w:rPr>
          <w:rFonts w:cs="Times New Roman"/>
          <w:b/>
          <w:bCs/>
          <w:szCs w:val="24"/>
        </w:rPr>
        <w:lastRenderedPageBreak/>
        <w:t>Special Considerations (Pregnancy, Pediatrics, Geriatrics)</w:t>
      </w:r>
    </w:p>
    <w:p w14:paraId="14950B6A" w14:textId="77777777" w:rsidR="00E837DD" w:rsidRPr="00AA2C4F" w:rsidRDefault="00E837DD" w:rsidP="00E837DD">
      <w:pPr>
        <w:spacing w:after="0"/>
        <w:jc w:val="both"/>
        <w:rPr>
          <w:rFonts w:cs="Times New Roman"/>
          <w:szCs w:val="24"/>
        </w:rPr>
      </w:pPr>
      <w:r w:rsidRPr="00AA2C4F">
        <w:rPr>
          <w:rFonts w:cs="Times New Roman"/>
          <w:szCs w:val="24"/>
        </w:rPr>
        <w:t>The formulary includes specific guidelines for the use of medicines in special populations such as pregnant women, children, and the elderly. These sections address the unique pharmacokinetic and pharmacodynamic considerations in these groups to ensure safe and effective treatment:</w:t>
      </w:r>
    </w:p>
    <w:p w14:paraId="34E3A70B" w14:textId="77777777" w:rsidR="00E837DD" w:rsidRPr="00AA2C4F" w:rsidRDefault="00E837DD" w:rsidP="003D3F76">
      <w:pPr>
        <w:pStyle w:val="ListParagraph"/>
        <w:numPr>
          <w:ilvl w:val="0"/>
          <w:numId w:val="22"/>
        </w:numPr>
        <w:spacing w:line="360" w:lineRule="auto"/>
        <w:rPr>
          <w:szCs w:val="24"/>
        </w:rPr>
      </w:pPr>
      <w:r w:rsidRPr="00AA2C4F">
        <w:rPr>
          <w:b/>
          <w:bCs/>
          <w:szCs w:val="24"/>
        </w:rPr>
        <w:t>Pregnancy:</w:t>
      </w:r>
      <w:r w:rsidRPr="00AA2C4F">
        <w:rPr>
          <w:szCs w:val="24"/>
        </w:rPr>
        <w:t xml:space="preserve"> Information on the safety of medications during pregnancy, including potential teratogenic effects and recommended alternatives.</w:t>
      </w:r>
    </w:p>
    <w:p w14:paraId="1C8C1A0E" w14:textId="77777777" w:rsidR="00E837DD" w:rsidRPr="00AA2C4F" w:rsidRDefault="00E837DD" w:rsidP="003D3F76">
      <w:pPr>
        <w:pStyle w:val="ListParagraph"/>
        <w:numPr>
          <w:ilvl w:val="0"/>
          <w:numId w:val="22"/>
        </w:numPr>
        <w:spacing w:line="360" w:lineRule="auto"/>
        <w:rPr>
          <w:szCs w:val="24"/>
        </w:rPr>
      </w:pPr>
      <w:r w:rsidRPr="00AA2C4F">
        <w:rPr>
          <w:b/>
          <w:bCs/>
          <w:szCs w:val="24"/>
        </w:rPr>
        <w:t>Pediatrics:</w:t>
      </w:r>
      <w:r w:rsidRPr="00AA2C4F">
        <w:rPr>
          <w:szCs w:val="24"/>
        </w:rPr>
        <w:t xml:space="preserve"> Guidelines on appropriate dosing for children, considering their developmental stage and metabolic differences.</w:t>
      </w:r>
    </w:p>
    <w:p w14:paraId="45D04262" w14:textId="77777777" w:rsidR="00E837DD" w:rsidRPr="00AA2C4F" w:rsidRDefault="00E837DD" w:rsidP="003D3F76">
      <w:pPr>
        <w:pStyle w:val="ListParagraph"/>
        <w:numPr>
          <w:ilvl w:val="0"/>
          <w:numId w:val="22"/>
        </w:numPr>
        <w:spacing w:line="360" w:lineRule="auto"/>
        <w:rPr>
          <w:szCs w:val="24"/>
        </w:rPr>
      </w:pPr>
      <w:r w:rsidRPr="00AA2C4F">
        <w:rPr>
          <w:b/>
          <w:bCs/>
          <w:szCs w:val="24"/>
        </w:rPr>
        <w:t>Geriatrics:</w:t>
      </w:r>
      <w:r w:rsidRPr="00AA2C4F">
        <w:rPr>
          <w:szCs w:val="24"/>
        </w:rPr>
        <w:t xml:space="preserve"> Considerations for elderly patients, including dosage adjustments due to altered pharmacokinetics and increased susceptibility to adverse effects.</w:t>
      </w:r>
    </w:p>
    <w:p w14:paraId="618F8563" w14:textId="77777777" w:rsidR="00E837DD" w:rsidRPr="00AA2C4F" w:rsidRDefault="00E837DD" w:rsidP="00E837DD">
      <w:pPr>
        <w:spacing w:after="0"/>
        <w:jc w:val="both"/>
        <w:rPr>
          <w:rFonts w:cs="Times New Roman"/>
          <w:szCs w:val="24"/>
        </w:rPr>
      </w:pPr>
      <w:r w:rsidRPr="00AA2C4F">
        <w:rPr>
          <w:rFonts w:cs="Times New Roman"/>
          <w:szCs w:val="24"/>
        </w:rPr>
        <w:t>These tailored recommendations assist healthcare providers in delivering appropriate care to special populations.</w:t>
      </w:r>
    </w:p>
    <w:p w14:paraId="59FD145C" w14:textId="77777777" w:rsidR="00E837DD" w:rsidRPr="00AA2C4F" w:rsidRDefault="00E837DD" w:rsidP="00E837DD">
      <w:pPr>
        <w:spacing w:before="240" w:after="0"/>
        <w:jc w:val="both"/>
        <w:rPr>
          <w:rFonts w:cs="Times New Roman"/>
          <w:b/>
          <w:bCs/>
          <w:szCs w:val="24"/>
        </w:rPr>
      </w:pPr>
      <w:r w:rsidRPr="00AA2C4F">
        <w:rPr>
          <w:rFonts w:cs="Times New Roman"/>
          <w:b/>
          <w:bCs/>
          <w:szCs w:val="24"/>
        </w:rPr>
        <w:t>Drug Interactions and Side Effects</w:t>
      </w:r>
    </w:p>
    <w:p w14:paraId="5D02EEC1" w14:textId="77777777" w:rsidR="00E837DD" w:rsidRPr="00AA2C4F" w:rsidRDefault="00E837DD" w:rsidP="00E837DD">
      <w:pPr>
        <w:spacing w:after="0"/>
        <w:jc w:val="both"/>
        <w:rPr>
          <w:rFonts w:cs="Times New Roman"/>
          <w:szCs w:val="24"/>
        </w:rPr>
      </w:pPr>
      <w:r w:rsidRPr="00AA2C4F">
        <w:rPr>
          <w:rFonts w:cs="Times New Roman"/>
          <w:szCs w:val="24"/>
        </w:rPr>
        <w:t>The formulary provides detailed information on potential drug interactions and side effects to help healthcare professionals avoid adverse reactions and manage them effectively if they occur. This section includes:</w:t>
      </w:r>
    </w:p>
    <w:p w14:paraId="548E3A14" w14:textId="77777777" w:rsidR="00E837DD" w:rsidRPr="00AA2C4F" w:rsidRDefault="00E837DD" w:rsidP="003D3F76">
      <w:pPr>
        <w:pStyle w:val="ListParagraph"/>
        <w:numPr>
          <w:ilvl w:val="0"/>
          <w:numId w:val="23"/>
        </w:numPr>
        <w:spacing w:line="360" w:lineRule="auto"/>
        <w:rPr>
          <w:szCs w:val="24"/>
        </w:rPr>
      </w:pPr>
      <w:r w:rsidRPr="00AA2C4F">
        <w:rPr>
          <w:b/>
          <w:bCs/>
          <w:szCs w:val="24"/>
        </w:rPr>
        <w:t>Drug Interactions:</w:t>
      </w:r>
      <w:r w:rsidRPr="00AA2C4F">
        <w:rPr>
          <w:szCs w:val="24"/>
        </w:rPr>
        <w:t xml:space="preserve"> Significant interactions with other medications that can affect the efficacy or safety of the drug, helping healthcare providers anticipate and mitigate potential risks.</w:t>
      </w:r>
    </w:p>
    <w:p w14:paraId="6F56F48B" w14:textId="77777777" w:rsidR="00E837DD" w:rsidRPr="00AA2C4F" w:rsidRDefault="00E837DD" w:rsidP="003D3F76">
      <w:pPr>
        <w:pStyle w:val="ListParagraph"/>
        <w:numPr>
          <w:ilvl w:val="0"/>
          <w:numId w:val="23"/>
        </w:numPr>
        <w:spacing w:line="360" w:lineRule="auto"/>
        <w:rPr>
          <w:szCs w:val="24"/>
        </w:rPr>
      </w:pPr>
      <w:r w:rsidRPr="00AA2C4F">
        <w:rPr>
          <w:b/>
          <w:bCs/>
          <w:szCs w:val="24"/>
        </w:rPr>
        <w:t>Side Effects:</w:t>
      </w:r>
      <w:r w:rsidRPr="00AA2C4F">
        <w:rPr>
          <w:szCs w:val="24"/>
        </w:rPr>
        <w:t xml:space="preserve"> A comprehensive list of possible adverse effects associated with the medication, categorized by frequency and severity, enabling healthcare professionals to monitor and manage potential side effects in their patients.</w:t>
      </w:r>
    </w:p>
    <w:p w14:paraId="75F06C2F" w14:textId="77777777" w:rsidR="00E837DD" w:rsidRDefault="00E837DD" w:rsidP="00E837DD">
      <w:pPr>
        <w:spacing w:after="0"/>
        <w:jc w:val="both"/>
        <w:rPr>
          <w:rFonts w:cs="Times New Roman"/>
          <w:szCs w:val="24"/>
        </w:rPr>
      </w:pPr>
      <w:r w:rsidRPr="00AA2C4F">
        <w:rPr>
          <w:rFonts w:cs="Times New Roman"/>
          <w:szCs w:val="24"/>
        </w:rPr>
        <w:t>Understanding drug interactions and side effects is essential for ensuring patient safety and optimizing therapeutic outcomes. The detailed and accessible information provided in this section supports healthcare professionals in delivering high-quality, evidence-based care.</w:t>
      </w:r>
    </w:p>
    <w:p w14:paraId="2373324C" w14:textId="77777777" w:rsidR="0053763D" w:rsidRDefault="0053763D" w:rsidP="00E837DD">
      <w:pPr>
        <w:spacing w:after="0"/>
        <w:jc w:val="both"/>
        <w:rPr>
          <w:rFonts w:cs="Times New Roman"/>
          <w:szCs w:val="24"/>
        </w:rPr>
      </w:pPr>
    </w:p>
    <w:p w14:paraId="155D64C1" w14:textId="77777777" w:rsidR="0053763D" w:rsidRDefault="0053763D" w:rsidP="00E837DD">
      <w:pPr>
        <w:spacing w:after="0"/>
        <w:jc w:val="both"/>
        <w:rPr>
          <w:rFonts w:cs="Times New Roman"/>
          <w:szCs w:val="24"/>
        </w:rPr>
      </w:pPr>
    </w:p>
    <w:p w14:paraId="3AEEFD1B" w14:textId="77777777" w:rsidR="0053763D" w:rsidRDefault="0053763D" w:rsidP="00E837DD">
      <w:pPr>
        <w:spacing w:after="0"/>
        <w:jc w:val="both"/>
        <w:rPr>
          <w:rFonts w:cs="Times New Roman"/>
          <w:szCs w:val="24"/>
        </w:rPr>
      </w:pPr>
    </w:p>
    <w:p w14:paraId="7D70C919" w14:textId="77777777" w:rsidR="0053763D" w:rsidRDefault="0053763D" w:rsidP="00E837DD">
      <w:pPr>
        <w:spacing w:after="0"/>
        <w:jc w:val="both"/>
        <w:rPr>
          <w:rFonts w:cs="Times New Roman"/>
          <w:szCs w:val="24"/>
        </w:rPr>
      </w:pPr>
    </w:p>
    <w:p w14:paraId="6ADFD18B" w14:textId="77777777" w:rsidR="0053763D" w:rsidRDefault="0053763D" w:rsidP="00E837DD">
      <w:pPr>
        <w:spacing w:after="0"/>
        <w:jc w:val="both"/>
        <w:rPr>
          <w:rFonts w:cs="Times New Roman"/>
          <w:szCs w:val="24"/>
        </w:rPr>
      </w:pPr>
    </w:p>
    <w:p w14:paraId="2776BF4D" w14:textId="77777777" w:rsidR="0053763D" w:rsidRPr="00F10C37" w:rsidRDefault="0053763D" w:rsidP="00F62AE0">
      <w:pPr>
        <w:pStyle w:val="Heading1"/>
        <w:numPr>
          <w:ilvl w:val="0"/>
          <w:numId w:val="25"/>
        </w:numPr>
        <w:spacing w:after="240"/>
      </w:pPr>
      <w:bookmarkStart w:id="11" w:name="_Toc179490302"/>
      <w:r w:rsidRPr="00F10C37">
        <w:lastRenderedPageBreak/>
        <w:t>Gastrointestinal System Medicines</w:t>
      </w:r>
      <w:bookmarkEnd w:id="11"/>
    </w:p>
    <w:p w14:paraId="1195C5EA" w14:textId="77777777" w:rsidR="0053763D" w:rsidRPr="009D6392" w:rsidRDefault="0053763D" w:rsidP="00F62AE0">
      <w:pPr>
        <w:pStyle w:val="Heading2"/>
        <w:spacing w:after="240"/>
      </w:pPr>
      <w:bookmarkStart w:id="12" w:name="1.1._Antacids"/>
      <w:bookmarkStart w:id="13" w:name="_bookmark21"/>
      <w:bookmarkStart w:id="14" w:name="_Toc179490303"/>
      <w:bookmarkEnd w:id="12"/>
      <w:bookmarkEnd w:id="13"/>
      <w:r w:rsidRPr="009D6392">
        <w:t>Antacids and anti-flatulent agents</w:t>
      </w:r>
      <w:bookmarkEnd w:id="14"/>
    </w:p>
    <w:p w14:paraId="39D66CC9" w14:textId="77777777" w:rsidR="0053763D" w:rsidRPr="00F10C37" w:rsidRDefault="0053763D" w:rsidP="00F62AE0">
      <w:pPr>
        <w:pStyle w:val="BodyText"/>
        <w:spacing w:after="240" w:line="360" w:lineRule="auto"/>
        <w:ind w:right="144"/>
        <w:rPr>
          <w:color w:val="000000" w:themeColor="text1"/>
        </w:rPr>
      </w:pPr>
      <w:r w:rsidRPr="005E450A">
        <w:rPr>
          <w:color w:val="000000" w:themeColor="text1"/>
        </w:rPr>
        <w:t xml:space="preserve">Antacids are weak bases that react with gastric </w:t>
      </w:r>
      <w:r>
        <w:rPr>
          <w:color w:val="000000" w:themeColor="text1"/>
        </w:rPr>
        <w:t>h</w:t>
      </w:r>
      <w:r w:rsidRPr="005E450A">
        <w:rPr>
          <w:color w:val="000000" w:themeColor="text1"/>
        </w:rPr>
        <w:t xml:space="preserve">ydrochloric acid to form a salt and water. Their principal </w:t>
      </w:r>
      <w:r>
        <w:rPr>
          <w:color w:val="000000" w:themeColor="text1"/>
        </w:rPr>
        <w:t>effect</w:t>
      </w:r>
      <w:r w:rsidRPr="005E450A">
        <w:rPr>
          <w:color w:val="000000" w:themeColor="text1"/>
        </w:rPr>
        <w:t xml:space="preserve"> is reduction of intragastric acidity. Antacids (which usually contain alumin</w:t>
      </w:r>
      <w:r>
        <w:rPr>
          <w:color w:val="000000" w:themeColor="text1"/>
        </w:rPr>
        <w:t>i</w:t>
      </w:r>
      <w:r w:rsidRPr="005E450A">
        <w:rPr>
          <w:color w:val="000000" w:themeColor="text1"/>
        </w:rPr>
        <w:t xml:space="preserve">um or magnesium compounds) can often relieve symptoms in ulcer dyspepsia and in non-erosive gastroesophageal reflux. </w:t>
      </w:r>
      <w:r w:rsidRPr="003D3E3A">
        <w:rPr>
          <w:color w:val="000000" w:themeColor="text1"/>
        </w:rPr>
        <w:t>M</w:t>
      </w:r>
      <w:r w:rsidRPr="005E450A">
        <w:rPr>
          <w:color w:val="000000" w:themeColor="text1"/>
        </w:rPr>
        <w:t>agnesium-containing antacids have a laxative effect whereas alumin</w:t>
      </w:r>
      <w:r>
        <w:rPr>
          <w:color w:val="000000" w:themeColor="text1"/>
        </w:rPr>
        <w:t>i</w:t>
      </w:r>
      <w:r w:rsidRPr="005E450A">
        <w:rPr>
          <w:color w:val="000000" w:themeColor="text1"/>
        </w:rPr>
        <w:t>um-containing antacids have constipating effect</w:t>
      </w:r>
      <w:r w:rsidRPr="003D3E3A">
        <w:rPr>
          <w:color w:val="000000" w:themeColor="text1"/>
        </w:rPr>
        <w:t xml:space="preserve">. </w:t>
      </w:r>
      <w:r>
        <w:rPr>
          <w:color w:val="000000" w:themeColor="text1"/>
        </w:rPr>
        <w:t xml:space="preserve">Antiflatulents are agents used for the alleviation or prevention of excessive intestinal gas and are commonly used in combination with antacids. </w:t>
      </w:r>
    </w:p>
    <w:tbl>
      <w:tblPr>
        <w:tblStyle w:val="TableGrid"/>
        <w:tblW w:w="0" w:type="auto"/>
        <w:jc w:val="center"/>
        <w:tblLook w:val="04A0" w:firstRow="1" w:lastRow="0" w:firstColumn="1" w:lastColumn="0" w:noHBand="0" w:noVBand="1"/>
      </w:tblPr>
      <w:tblGrid>
        <w:gridCol w:w="2790"/>
        <w:gridCol w:w="90"/>
        <w:gridCol w:w="6322"/>
      </w:tblGrid>
      <w:tr w:rsidR="0053763D" w:rsidRPr="00F10C37" w14:paraId="2748DB3B" w14:textId="77777777" w:rsidTr="00C46407">
        <w:trPr>
          <w:jc w:val="center"/>
        </w:trPr>
        <w:tc>
          <w:tcPr>
            <w:tcW w:w="9202" w:type="dxa"/>
            <w:gridSpan w:val="3"/>
          </w:tcPr>
          <w:p w14:paraId="72183F7F"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Aluminium </w:t>
            </w:r>
            <w:r>
              <w:rPr>
                <w:rFonts w:cs="Times New Roman"/>
                <w:b/>
                <w:color w:val="000000" w:themeColor="text1"/>
                <w:szCs w:val="24"/>
              </w:rPr>
              <w:t>h</w:t>
            </w:r>
            <w:r w:rsidRPr="00F10C37">
              <w:rPr>
                <w:rFonts w:cs="Times New Roman"/>
                <w:b/>
                <w:color w:val="000000" w:themeColor="text1"/>
                <w:szCs w:val="24"/>
              </w:rPr>
              <w:t xml:space="preserve">ydroxide + Magnesium </w:t>
            </w:r>
            <w:r>
              <w:rPr>
                <w:rFonts w:cs="Times New Roman"/>
                <w:b/>
                <w:color w:val="000000" w:themeColor="text1"/>
                <w:szCs w:val="24"/>
              </w:rPr>
              <w:t>h</w:t>
            </w:r>
            <w:r w:rsidRPr="00F10C37">
              <w:rPr>
                <w:rFonts w:cs="Times New Roman"/>
                <w:b/>
                <w:color w:val="000000" w:themeColor="text1"/>
                <w:szCs w:val="24"/>
              </w:rPr>
              <w:t xml:space="preserve">ydroxide + Sodium </w:t>
            </w:r>
            <w:r>
              <w:rPr>
                <w:rFonts w:cs="Times New Roman"/>
                <w:b/>
                <w:color w:val="000000" w:themeColor="text1"/>
                <w:szCs w:val="24"/>
              </w:rPr>
              <w:t>a</w:t>
            </w:r>
            <w:r w:rsidRPr="00F10C37">
              <w:rPr>
                <w:rFonts w:cs="Times New Roman"/>
                <w:b/>
                <w:color w:val="000000" w:themeColor="text1"/>
                <w:szCs w:val="24"/>
              </w:rPr>
              <w:t>lginate + Simethicone</w:t>
            </w:r>
          </w:p>
        </w:tc>
      </w:tr>
      <w:tr w:rsidR="0053763D" w:rsidRPr="00F10C37" w14:paraId="5A1370B4" w14:textId="77777777" w:rsidTr="00C46407">
        <w:trPr>
          <w:jc w:val="center"/>
        </w:trPr>
        <w:tc>
          <w:tcPr>
            <w:tcW w:w="2790" w:type="dxa"/>
          </w:tcPr>
          <w:p w14:paraId="310F361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12" w:type="dxa"/>
            <w:gridSpan w:val="2"/>
          </w:tcPr>
          <w:p w14:paraId="2F9AA0B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Antacid with anti-flatulent</w:t>
            </w:r>
          </w:p>
        </w:tc>
      </w:tr>
      <w:tr w:rsidR="0053763D" w:rsidRPr="00F10C37" w14:paraId="23E11A14" w14:textId="77777777" w:rsidTr="00C46407">
        <w:trPr>
          <w:jc w:val="center"/>
        </w:trPr>
        <w:tc>
          <w:tcPr>
            <w:tcW w:w="2790" w:type="dxa"/>
          </w:tcPr>
          <w:p w14:paraId="36D7916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12" w:type="dxa"/>
            <w:gridSpan w:val="2"/>
          </w:tcPr>
          <w:p w14:paraId="06F187A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Suspension: (125mg + 250mg + 100mg + 50mg)/5</w:t>
            </w:r>
            <w:r>
              <w:rPr>
                <w:rFonts w:cs="Times New Roman"/>
                <w:color w:val="000000" w:themeColor="text1"/>
                <w:szCs w:val="24"/>
              </w:rPr>
              <w:t>ml</w:t>
            </w:r>
            <w:r w:rsidRPr="00F10C37">
              <w:rPr>
                <w:rFonts w:cs="Times New Roman"/>
                <w:color w:val="000000" w:themeColor="text1"/>
                <w:szCs w:val="24"/>
              </w:rPr>
              <w:t xml:space="preserve">  </w:t>
            </w:r>
          </w:p>
          <w:p w14:paraId="7AEE528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Chewable tablet: 200mg + 400mg + 100mg + 50mg</w:t>
            </w:r>
          </w:p>
        </w:tc>
      </w:tr>
      <w:tr w:rsidR="0053763D" w:rsidRPr="00F10C37" w14:paraId="1FBE1018" w14:textId="77777777" w:rsidTr="00C46407">
        <w:trPr>
          <w:jc w:val="center"/>
        </w:trPr>
        <w:tc>
          <w:tcPr>
            <w:tcW w:w="2790" w:type="dxa"/>
          </w:tcPr>
          <w:p w14:paraId="0DB22FAF" w14:textId="77777777" w:rsidR="0053763D" w:rsidRPr="00FA084D" w:rsidRDefault="0053763D" w:rsidP="00C46407">
            <w:pPr>
              <w:jc w:val="both"/>
              <w:rPr>
                <w:rFonts w:cs="Times New Roman"/>
                <w:color w:val="000000" w:themeColor="text1"/>
                <w:szCs w:val="24"/>
              </w:rPr>
            </w:pPr>
            <w:r w:rsidRPr="00FA084D">
              <w:rPr>
                <w:rFonts w:cs="Times New Roman"/>
                <w:color w:val="000000" w:themeColor="text1"/>
                <w:szCs w:val="24"/>
              </w:rPr>
              <w:t>Indications</w:t>
            </w:r>
          </w:p>
        </w:tc>
        <w:tc>
          <w:tcPr>
            <w:tcW w:w="6412" w:type="dxa"/>
            <w:gridSpan w:val="2"/>
          </w:tcPr>
          <w:p w14:paraId="07DC0BD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Duodenal</w:t>
            </w:r>
            <w:r>
              <w:rPr>
                <w:rFonts w:cs="Times New Roman"/>
                <w:color w:val="000000" w:themeColor="text1"/>
                <w:szCs w:val="24"/>
              </w:rPr>
              <w:t xml:space="preserve"> and</w:t>
            </w:r>
            <w:r w:rsidRPr="00F10C37">
              <w:rPr>
                <w:rFonts w:cs="Times New Roman"/>
                <w:color w:val="000000" w:themeColor="text1"/>
                <w:szCs w:val="24"/>
              </w:rPr>
              <w:t xml:space="preserve"> stomach ulcers</w:t>
            </w:r>
            <w:r>
              <w:rPr>
                <w:rFonts w:cs="Times New Roman"/>
                <w:color w:val="000000" w:themeColor="text1"/>
                <w:szCs w:val="24"/>
              </w:rPr>
              <w:t>,</w:t>
            </w:r>
            <w:r w:rsidRPr="00F10C37">
              <w:rPr>
                <w:rFonts w:cs="Times New Roman"/>
                <w:color w:val="000000" w:themeColor="text1"/>
                <w:szCs w:val="24"/>
              </w:rPr>
              <w:t xml:space="preserve"> non-ulcer dyspepsia, </w:t>
            </w:r>
            <w:r>
              <w:rPr>
                <w:rFonts w:cs="Times New Roman"/>
                <w:color w:val="000000" w:themeColor="text1"/>
                <w:szCs w:val="24"/>
              </w:rPr>
              <w:t xml:space="preserve">non-erosive </w:t>
            </w:r>
            <w:r w:rsidRPr="00F10C37">
              <w:rPr>
                <w:rFonts w:cs="Times New Roman"/>
                <w:color w:val="000000" w:themeColor="text1"/>
                <w:szCs w:val="24"/>
              </w:rPr>
              <w:t>gastroesophageal reflux disease (GERD), flatulence, gastritis, hiatus hernia</w:t>
            </w:r>
            <w:r>
              <w:rPr>
                <w:rFonts w:cs="Times New Roman"/>
                <w:color w:val="000000" w:themeColor="text1"/>
                <w:szCs w:val="24"/>
              </w:rPr>
              <w:t xml:space="preserve"> and </w:t>
            </w:r>
            <w:r w:rsidRPr="00F10C37">
              <w:rPr>
                <w:rFonts w:cs="Times New Roman"/>
                <w:color w:val="000000" w:themeColor="text1"/>
                <w:szCs w:val="24"/>
              </w:rPr>
              <w:t>esophagitis</w:t>
            </w:r>
            <w:r>
              <w:rPr>
                <w:rFonts w:cs="Times New Roman"/>
                <w:color w:val="000000" w:themeColor="text1"/>
                <w:szCs w:val="24"/>
              </w:rPr>
              <w:t>.</w:t>
            </w:r>
            <w:r w:rsidRPr="00F10C37">
              <w:rPr>
                <w:rFonts w:cs="Times New Roman"/>
                <w:color w:val="000000" w:themeColor="text1"/>
                <w:szCs w:val="24"/>
              </w:rPr>
              <w:t xml:space="preserve"> </w:t>
            </w:r>
          </w:p>
        </w:tc>
      </w:tr>
      <w:tr w:rsidR="0053763D" w:rsidRPr="00F10C37" w14:paraId="5FB9A93E" w14:textId="77777777" w:rsidTr="00C46407">
        <w:trPr>
          <w:jc w:val="center"/>
        </w:trPr>
        <w:tc>
          <w:tcPr>
            <w:tcW w:w="2790" w:type="dxa"/>
          </w:tcPr>
          <w:p w14:paraId="597C20EA"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12" w:type="dxa"/>
            <w:gridSpan w:val="2"/>
          </w:tcPr>
          <w:p w14:paraId="0A0793B1"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 xml:space="preserve">Child </w:t>
            </w:r>
            <w:r>
              <w:rPr>
                <w:rFonts w:cs="Times New Roman"/>
                <w:b/>
                <w:color w:val="000000" w:themeColor="text1"/>
                <w:szCs w:val="24"/>
              </w:rPr>
              <w:t xml:space="preserve">above </w:t>
            </w:r>
            <w:r w:rsidRPr="00F10C37">
              <w:rPr>
                <w:rFonts w:cs="Times New Roman"/>
                <w:b/>
                <w:color w:val="000000" w:themeColor="text1"/>
                <w:szCs w:val="24"/>
              </w:rPr>
              <w:t>12</w:t>
            </w:r>
            <w:r>
              <w:rPr>
                <w:rFonts w:cs="Times New Roman"/>
                <w:b/>
                <w:color w:val="000000" w:themeColor="text1"/>
                <w:szCs w:val="24"/>
              </w:rPr>
              <w:t xml:space="preserve"> </w:t>
            </w:r>
            <w:r w:rsidRPr="00F10C37">
              <w:rPr>
                <w:rFonts w:cs="Times New Roman"/>
                <w:b/>
                <w:color w:val="000000" w:themeColor="text1"/>
                <w:szCs w:val="24"/>
              </w:rPr>
              <w:t>years</w:t>
            </w:r>
            <w:r>
              <w:rPr>
                <w:rFonts w:cs="Times New Roman"/>
                <w:b/>
                <w:color w:val="000000" w:themeColor="text1"/>
                <w:szCs w:val="24"/>
              </w:rPr>
              <w:t xml:space="preserve"> and Adult</w:t>
            </w:r>
            <w:r w:rsidRPr="00F10C37">
              <w:rPr>
                <w:rFonts w:cs="Times New Roman"/>
                <w:color w:val="000000" w:themeColor="text1"/>
                <w:szCs w:val="24"/>
              </w:rPr>
              <w:t>:</w:t>
            </w:r>
            <w:r w:rsidRPr="00F10C37">
              <w:rPr>
                <w:rFonts w:cs="Times New Roman"/>
                <w:b/>
                <w:color w:val="000000" w:themeColor="text1"/>
                <w:szCs w:val="24"/>
              </w:rPr>
              <w:t xml:space="preserve"> </w:t>
            </w:r>
            <w:r w:rsidRPr="00F10C37">
              <w:rPr>
                <w:rFonts w:cs="Times New Roman"/>
                <w:color w:val="000000" w:themeColor="text1"/>
                <w:szCs w:val="24"/>
              </w:rPr>
              <w:t xml:space="preserve">5–10 </w:t>
            </w:r>
            <w:r>
              <w:rPr>
                <w:rFonts w:cs="Times New Roman"/>
                <w:color w:val="000000" w:themeColor="text1"/>
                <w:szCs w:val="24"/>
              </w:rPr>
              <w:t>ml</w:t>
            </w:r>
            <w:r w:rsidRPr="00F10C37">
              <w:rPr>
                <w:rFonts w:cs="Times New Roman"/>
                <w:color w:val="000000" w:themeColor="text1"/>
                <w:szCs w:val="24"/>
              </w:rPr>
              <w:t xml:space="preserve"> 4 times a day, to be taken </w:t>
            </w:r>
            <w:r>
              <w:rPr>
                <w:rFonts w:cs="Times New Roman"/>
                <w:color w:val="000000" w:themeColor="text1"/>
                <w:szCs w:val="24"/>
              </w:rPr>
              <w:t xml:space="preserve">between </w:t>
            </w:r>
            <w:r w:rsidRPr="00F10C37">
              <w:rPr>
                <w:rFonts w:cs="Times New Roman"/>
                <w:color w:val="000000" w:themeColor="text1"/>
                <w:szCs w:val="24"/>
              </w:rPr>
              <w:t>meal</w:t>
            </w:r>
            <w:r>
              <w:rPr>
                <w:rFonts w:cs="Times New Roman"/>
                <w:color w:val="000000" w:themeColor="text1"/>
                <w:szCs w:val="24"/>
              </w:rPr>
              <w:t>s</w:t>
            </w:r>
            <w:r w:rsidRPr="00F10C37">
              <w:rPr>
                <w:rFonts w:cs="Times New Roman"/>
                <w:color w:val="000000" w:themeColor="text1"/>
                <w:szCs w:val="24"/>
              </w:rPr>
              <w:t xml:space="preserve"> and at bedtime</w:t>
            </w:r>
            <w:r w:rsidRPr="00F10C37" w:rsidDel="006A1F3B">
              <w:rPr>
                <w:rFonts w:cs="Times New Roman"/>
                <w:color w:val="000000" w:themeColor="text1"/>
                <w:szCs w:val="24"/>
              </w:rPr>
              <w:t xml:space="preserve"> </w:t>
            </w:r>
            <w:r>
              <w:rPr>
                <w:rFonts w:cs="Times New Roman"/>
                <w:color w:val="000000" w:themeColor="text1"/>
                <w:szCs w:val="24"/>
              </w:rPr>
              <w:t>o</w:t>
            </w:r>
            <w:r w:rsidRPr="00F10C37">
              <w:rPr>
                <w:rFonts w:cs="Times New Roman"/>
                <w:color w:val="000000" w:themeColor="text1"/>
                <w:szCs w:val="24"/>
              </w:rPr>
              <w:t>r when required.</w:t>
            </w:r>
          </w:p>
        </w:tc>
      </w:tr>
      <w:tr w:rsidR="0053763D" w:rsidRPr="00F10C37" w14:paraId="071D3E8E" w14:textId="77777777" w:rsidTr="00C46407">
        <w:trPr>
          <w:jc w:val="center"/>
        </w:trPr>
        <w:tc>
          <w:tcPr>
            <w:tcW w:w="2790" w:type="dxa"/>
          </w:tcPr>
          <w:p w14:paraId="709E955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12" w:type="dxa"/>
            <w:gridSpan w:val="2"/>
          </w:tcPr>
          <w:p w14:paraId="0ED471C5"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Hypophosphatemia, undiagnosed gastrointestinal or rectal bleeding, appendicitis, porphyria, severe </w:t>
            </w:r>
            <w:r>
              <w:rPr>
                <w:rFonts w:cs="Times New Roman"/>
                <w:color w:val="000000" w:themeColor="text1"/>
                <w:szCs w:val="24"/>
              </w:rPr>
              <w:t>renal</w:t>
            </w:r>
            <w:r w:rsidRPr="00F10C37">
              <w:rPr>
                <w:rFonts w:cs="Times New Roman"/>
                <w:color w:val="000000" w:themeColor="text1"/>
                <w:szCs w:val="24"/>
              </w:rPr>
              <w:t xml:space="preserve"> failure, alkalosis or hypermagnesemia.</w:t>
            </w:r>
          </w:p>
        </w:tc>
      </w:tr>
      <w:tr w:rsidR="0053763D" w:rsidRPr="00F10C37" w14:paraId="4DB9DD8A" w14:textId="77777777" w:rsidTr="00C46407">
        <w:trPr>
          <w:jc w:val="center"/>
        </w:trPr>
        <w:tc>
          <w:tcPr>
            <w:tcW w:w="2790" w:type="dxa"/>
          </w:tcPr>
          <w:p w14:paraId="07F5729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12" w:type="dxa"/>
            <w:gridSpan w:val="2"/>
          </w:tcPr>
          <w:p w14:paraId="6E3A4D7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Alkylating agents, gabapentin, azole antifungals, chloroquine, proguanil, aspirin, bisphosphonates, corticosteroids, dipyridamole, dolutegravir, HIV-protease inhibitors, iron, phenothiazines, quinolones, raltegravir, rifampicin, statins, tetracyclines, levothyroxine, allupurinol, cyclosporine, isoniazid, and phenytoin.</w:t>
            </w:r>
          </w:p>
        </w:tc>
      </w:tr>
      <w:tr w:rsidR="0053763D" w:rsidRPr="00F10C37" w14:paraId="3A33C006" w14:textId="77777777" w:rsidTr="00C46407">
        <w:trPr>
          <w:jc w:val="center"/>
        </w:trPr>
        <w:tc>
          <w:tcPr>
            <w:tcW w:w="2790" w:type="dxa"/>
          </w:tcPr>
          <w:p w14:paraId="6E74C9C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12" w:type="dxa"/>
            <w:gridSpan w:val="2"/>
          </w:tcPr>
          <w:p w14:paraId="116DBE8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Constipation, diarrhoea, electrolyte imbalance, abdominal pain, hyperaluminaemia. </w:t>
            </w:r>
          </w:p>
        </w:tc>
      </w:tr>
      <w:tr w:rsidR="0053763D" w:rsidRPr="00F10C37" w14:paraId="0B75D0FD" w14:textId="77777777" w:rsidTr="00C46407">
        <w:trPr>
          <w:jc w:val="center"/>
        </w:trPr>
        <w:tc>
          <w:tcPr>
            <w:tcW w:w="2790" w:type="dxa"/>
          </w:tcPr>
          <w:p w14:paraId="6E5A84B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6412" w:type="dxa"/>
            <w:gridSpan w:val="2"/>
          </w:tcPr>
          <w:p w14:paraId="21A3295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Uraemia, congestive heart failure, renal failure and renal dialysis, oedema, cirrhosis, low sodium diets, gastrointestinal haemorrhage, and elderly.</w:t>
            </w:r>
          </w:p>
        </w:tc>
      </w:tr>
      <w:tr w:rsidR="0053763D" w:rsidRPr="00F10C37" w14:paraId="1A04ECF2" w14:textId="77777777" w:rsidTr="00C46407">
        <w:trPr>
          <w:jc w:val="center"/>
        </w:trPr>
        <w:tc>
          <w:tcPr>
            <w:tcW w:w="2790" w:type="dxa"/>
          </w:tcPr>
          <w:p w14:paraId="41DF405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12" w:type="dxa"/>
            <w:gridSpan w:val="2"/>
          </w:tcPr>
          <w:p w14:paraId="2CB43FE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65A009E0" w14:textId="77777777" w:rsidTr="00C46407">
        <w:trPr>
          <w:trHeight w:val="516"/>
          <w:jc w:val="center"/>
        </w:trPr>
        <w:tc>
          <w:tcPr>
            <w:tcW w:w="9202" w:type="dxa"/>
            <w:gridSpan w:val="3"/>
          </w:tcPr>
          <w:p w14:paraId="4A02B9D5"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Aluminium </w:t>
            </w:r>
            <w:r>
              <w:rPr>
                <w:rFonts w:cs="Times New Roman"/>
                <w:b/>
                <w:color w:val="000000" w:themeColor="text1"/>
                <w:szCs w:val="24"/>
              </w:rPr>
              <w:t>h</w:t>
            </w:r>
            <w:r w:rsidRPr="00F10C37">
              <w:rPr>
                <w:rFonts w:cs="Times New Roman"/>
                <w:b/>
                <w:color w:val="000000" w:themeColor="text1"/>
                <w:szCs w:val="24"/>
              </w:rPr>
              <w:t xml:space="preserve">ydroxide + Magnesium </w:t>
            </w:r>
            <w:r>
              <w:rPr>
                <w:rFonts w:cs="Times New Roman"/>
                <w:b/>
                <w:color w:val="000000" w:themeColor="text1"/>
                <w:szCs w:val="24"/>
              </w:rPr>
              <w:t>t</w:t>
            </w:r>
            <w:r w:rsidRPr="00F10C37">
              <w:rPr>
                <w:rFonts w:cs="Times New Roman"/>
                <w:b/>
                <w:color w:val="000000" w:themeColor="text1"/>
                <w:szCs w:val="24"/>
              </w:rPr>
              <w:t>risilicate</w:t>
            </w:r>
          </w:p>
        </w:tc>
      </w:tr>
      <w:tr w:rsidR="0053763D" w:rsidRPr="00F10C37" w14:paraId="5B3E5912" w14:textId="77777777" w:rsidTr="00C46407">
        <w:trPr>
          <w:trHeight w:val="407"/>
          <w:jc w:val="center"/>
        </w:trPr>
        <w:tc>
          <w:tcPr>
            <w:tcW w:w="2880" w:type="dxa"/>
            <w:gridSpan w:val="2"/>
          </w:tcPr>
          <w:p w14:paraId="47A7CCF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22" w:type="dxa"/>
          </w:tcPr>
          <w:p w14:paraId="0B6FCDF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Antacid</w:t>
            </w:r>
          </w:p>
        </w:tc>
      </w:tr>
      <w:tr w:rsidR="0053763D" w:rsidRPr="00F10C37" w14:paraId="6A133FEE" w14:textId="77777777" w:rsidTr="00C46407">
        <w:trPr>
          <w:trHeight w:val="280"/>
          <w:jc w:val="center"/>
        </w:trPr>
        <w:tc>
          <w:tcPr>
            <w:tcW w:w="2880" w:type="dxa"/>
            <w:gridSpan w:val="2"/>
          </w:tcPr>
          <w:p w14:paraId="01EBF28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22" w:type="dxa"/>
          </w:tcPr>
          <w:p w14:paraId="53C45A4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Suspension: 310 mg + 620 mg in 5</w:t>
            </w:r>
            <w:r>
              <w:rPr>
                <w:rFonts w:cs="Times New Roman"/>
                <w:color w:val="000000" w:themeColor="text1"/>
                <w:szCs w:val="24"/>
              </w:rPr>
              <w:t>ml</w:t>
            </w:r>
            <w:r w:rsidRPr="00F10C37">
              <w:rPr>
                <w:rFonts w:cs="Times New Roman"/>
                <w:color w:val="000000" w:themeColor="text1"/>
                <w:szCs w:val="24"/>
              </w:rPr>
              <w:t>.</w:t>
            </w:r>
          </w:p>
          <w:p w14:paraId="2EC8D80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Tablet (chewable): 120 mg + 250 mg</w:t>
            </w:r>
          </w:p>
        </w:tc>
      </w:tr>
      <w:tr w:rsidR="0053763D" w:rsidRPr="00F10C37" w14:paraId="7473EC7C" w14:textId="77777777" w:rsidTr="00C46407">
        <w:trPr>
          <w:trHeight w:val="42"/>
          <w:jc w:val="center"/>
        </w:trPr>
        <w:tc>
          <w:tcPr>
            <w:tcW w:w="2880" w:type="dxa"/>
            <w:gridSpan w:val="2"/>
          </w:tcPr>
          <w:p w14:paraId="7F8875AF" w14:textId="77777777" w:rsidR="0053763D" w:rsidRPr="00895D56" w:rsidRDefault="0053763D" w:rsidP="00C46407">
            <w:pPr>
              <w:jc w:val="both"/>
              <w:rPr>
                <w:rFonts w:cs="Times New Roman"/>
                <w:color w:val="000000" w:themeColor="text1"/>
                <w:szCs w:val="24"/>
              </w:rPr>
            </w:pPr>
            <w:r w:rsidRPr="00895D56">
              <w:rPr>
                <w:rFonts w:cs="Times New Roman"/>
                <w:color w:val="000000" w:themeColor="text1"/>
                <w:szCs w:val="24"/>
              </w:rPr>
              <w:t>Indications</w:t>
            </w:r>
          </w:p>
        </w:tc>
        <w:tc>
          <w:tcPr>
            <w:tcW w:w="6322" w:type="dxa"/>
          </w:tcPr>
          <w:p w14:paraId="3117ADD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Ulcer and non-ulcer dyspepsia</w:t>
            </w:r>
            <w:r>
              <w:rPr>
                <w:rFonts w:cs="Times New Roman"/>
                <w:color w:val="000000" w:themeColor="text1"/>
                <w:szCs w:val="24"/>
              </w:rPr>
              <w:t xml:space="preserve">, </w:t>
            </w:r>
            <w:r w:rsidRPr="00F10C37">
              <w:rPr>
                <w:rFonts w:cs="Times New Roman"/>
                <w:color w:val="000000" w:themeColor="text1"/>
                <w:szCs w:val="24"/>
              </w:rPr>
              <w:t>GERD.</w:t>
            </w:r>
          </w:p>
        </w:tc>
      </w:tr>
      <w:tr w:rsidR="0053763D" w:rsidRPr="00F10C37" w14:paraId="3FD93C15" w14:textId="77777777" w:rsidTr="00C46407">
        <w:trPr>
          <w:trHeight w:val="1307"/>
          <w:jc w:val="center"/>
        </w:trPr>
        <w:tc>
          <w:tcPr>
            <w:tcW w:w="2880" w:type="dxa"/>
            <w:gridSpan w:val="2"/>
          </w:tcPr>
          <w:p w14:paraId="1E444EC7"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22" w:type="dxa"/>
          </w:tcPr>
          <w:p w14:paraId="3D8EFA57" w14:textId="77777777" w:rsidR="0053763D" w:rsidRPr="00F10C37" w:rsidRDefault="0053763D" w:rsidP="00C46407">
            <w:pPr>
              <w:autoSpaceDE w:val="0"/>
              <w:autoSpaceDN w:val="0"/>
              <w:adjustRightInd w:val="0"/>
              <w:jc w:val="both"/>
              <w:rPr>
                <w:rFonts w:eastAsiaTheme="minorHAnsi" w:cs="Times New Roman"/>
                <w:b/>
                <w:color w:val="000000" w:themeColor="text1"/>
                <w:kern w:val="0"/>
                <w:szCs w:val="24"/>
                <w:lang w:val="en-US" w:eastAsia="en-US"/>
              </w:rPr>
            </w:pPr>
            <w:r w:rsidRPr="00F10C37">
              <w:rPr>
                <w:rFonts w:eastAsiaTheme="minorHAnsi" w:cs="Times New Roman"/>
                <w:b/>
                <w:color w:val="000000" w:themeColor="text1"/>
                <w:kern w:val="0"/>
                <w:szCs w:val="24"/>
                <w:lang w:val="en-US" w:eastAsia="en-US"/>
              </w:rPr>
              <w:t xml:space="preserve">Dyspepsia, GERD, </w:t>
            </w:r>
            <w:r>
              <w:rPr>
                <w:rFonts w:eastAsiaTheme="minorHAnsi" w:cs="Times New Roman"/>
                <w:color w:val="000000" w:themeColor="text1"/>
                <w:kern w:val="0"/>
                <w:szCs w:val="24"/>
                <w:lang w:val="en-US" w:eastAsia="en-US"/>
              </w:rPr>
              <w:t>oral</w:t>
            </w:r>
            <w:r w:rsidRPr="00F10C37">
              <w:rPr>
                <w:rFonts w:eastAsiaTheme="minorHAnsi" w:cs="Times New Roman"/>
                <w:color w:val="000000" w:themeColor="text1"/>
                <w:kern w:val="0"/>
                <w:szCs w:val="24"/>
                <w:lang w:val="en-US" w:eastAsia="en-US"/>
              </w:rPr>
              <w:t>:</w:t>
            </w:r>
          </w:p>
          <w:p w14:paraId="3126B179" w14:textId="77777777" w:rsidR="0053763D" w:rsidRPr="00F10C37" w:rsidRDefault="0053763D" w:rsidP="00C46407">
            <w:pPr>
              <w:adjustRightInd w:val="0"/>
              <w:jc w:val="both"/>
              <w:rPr>
                <w:rFonts w:eastAsiaTheme="minorHAnsi" w:cs="Times New Roman"/>
                <w:color w:val="000000" w:themeColor="text1"/>
                <w:szCs w:val="24"/>
              </w:rPr>
            </w:pPr>
            <w:r w:rsidRPr="00F10C37">
              <w:rPr>
                <w:rFonts w:eastAsiaTheme="minorHAnsi" w:cs="Times New Roman"/>
                <w:b/>
                <w:bCs/>
                <w:color w:val="000000" w:themeColor="text1"/>
                <w:szCs w:val="24"/>
              </w:rPr>
              <w:t>Adult</w:t>
            </w:r>
            <w:r w:rsidRPr="00F10C37">
              <w:rPr>
                <w:rFonts w:eastAsiaTheme="minorHAnsi" w:cs="Times New Roman"/>
                <w:color w:val="000000" w:themeColor="text1"/>
                <w:szCs w:val="24"/>
              </w:rPr>
              <w:t xml:space="preserve">: 5–10 </w:t>
            </w:r>
            <w:r>
              <w:rPr>
                <w:rFonts w:eastAsiaTheme="minorHAnsi" w:cs="Times New Roman"/>
                <w:color w:val="000000" w:themeColor="text1"/>
                <w:szCs w:val="24"/>
              </w:rPr>
              <w:t>ml</w:t>
            </w:r>
            <w:r w:rsidRPr="00F10C37">
              <w:rPr>
                <w:rFonts w:eastAsiaTheme="minorHAnsi" w:cs="Times New Roman"/>
                <w:color w:val="000000" w:themeColor="text1"/>
                <w:szCs w:val="24"/>
              </w:rPr>
              <w:t xml:space="preserve"> suspension 4 times daily between meals and at bedtime, or as required. </w:t>
            </w:r>
          </w:p>
          <w:p w14:paraId="34734EF1" w14:textId="77777777" w:rsidR="0053763D" w:rsidRPr="00F10C37" w:rsidRDefault="0053763D" w:rsidP="00C46407">
            <w:pPr>
              <w:adjustRightInd w:val="0"/>
              <w:jc w:val="both"/>
              <w:rPr>
                <w:rFonts w:eastAsiaTheme="minorHAnsi" w:cs="Times New Roman"/>
                <w:color w:val="000000" w:themeColor="text1"/>
                <w:szCs w:val="24"/>
              </w:rPr>
            </w:pPr>
            <w:r w:rsidRPr="00F10C37">
              <w:rPr>
                <w:rFonts w:eastAsiaTheme="minorHAnsi" w:cs="Times New Roman"/>
                <w:b/>
                <w:bCs/>
                <w:color w:val="000000" w:themeColor="text1"/>
                <w:szCs w:val="24"/>
              </w:rPr>
              <w:t>Adult</w:t>
            </w:r>
            <w:r w:rsidRPr="00F10C37">
              <w:rPr>
                <w:rFonts w:eastAsiaTheme="minorHAnsi" w:cs="Times New Roman"/>
                <w:color w:val="000000" w:themeColor="text1"/>
                <w:szCs w:val="24"/>
              </w:rPr>
              <w:t xml:space="preserve">: Chew 1-2 tablets when required. </w:t>
            </w:r>
          </w:p>
          <w:p w14:paraId="46A8412D" w14:textId="77777777" w:rsidR="0053763D" w:rsidRPr="00F10C37" w:rsidRDefault="0053763D" w:rsidP="00C46407">
            <w:pPr>
              <w:adjustRightInd w:val="0"/>
              <w:jc w:val="both"/>
              <w:rPr>
                <w:rFonts w:eastAsiaTheme="minorHAnsi" w:cs="Times New Roman"/>
                <w:color w:val="000000" w:themeColor="text1"/>
                <w:szCs w:val="24"/>
              </w:rPr>
            </w:pPr>
            <w:r w:rsidRPr="00F10C37">
              <w:rPr>
                <w:rFonts w:eastAsiaTheme="minorHAnsi" w:cs="Times New Roman"/>
                <w:b/>
                <w:bCs/>
                <w:color w:val="000000" w:themeColor="text1"/>
                <w:szCs w:val="24"/>
              </w:rPr>
              <w:t xml:space="preserve">Child </w:t>
            </w:r>
            <w:r w:rsidRPr="00F10C37">
              <w:rPr>
                <w:rFonts w:eastAsiaTheme="minorHAnsi" w:cs="Times New Roman"/>
                <w:b/>
                <w:color w:val="000000" w:themeColor="text1"/>
                <w:szCs w:val="24"/>
              </w:rPr>
              <w:t>6–12 years</w:t>
            </w:r>
            <w:r w:rsidRPr="00F10C37">
              <w:rPr>
                <w:rFonts w:eastAsiaTheme="minorHAnsi" w:cs="Times New Roman"/>
                <w:color w:val="000000" w:themeColor="text1"/>
                <w:szCs w:val="24"/>
              </w:rPr>
              <w:t xml:space="preserve">: 5 </w:t>
            </w:r>
            <w:r>
              <w:rPr>
                <w:rFonts w:eastAsiaTheme="minorHAnsi" w:cs="Times New Roman"/>
                <w:color w:val="000000" w:themeColor="text1"/>
                <w:szCs w:val="24"/>
              </w:rPr>
              <w:t>ml</w:t>
            </w:r>
            <w:r w:rsidRPr="00F10C37">
              <w:rPr>
                <w:rFonts w:eastAsiaTheme="minorHAnsi" w:cs="Times New Roman"/>
                <w:color w:val="000000" w:themeColor="text1"/>
                <w:szCs w:val="24"/>
              </w:rPr>
              <w:t xml:space="preserve"> up to </w:t>
            </w:r>
            <w:r>
              <w:rPr>
                <w:rFonts w:eastAsiaTheme="minorHAnsi" w:cs="Times New Roman"/>
                <w:color w:val="000000" w:themeColor="text1"/>
                <w:szCs w:val="24"/>
              </w:rPr>
              <w:t>3</w:t>
            </w:r>
            <w:r w:rsidRPr="00F10C37">
              <w:rPr>
                <w:rFonts w:eastAsiaTheme="minorHAnsi" w:cs="Times New Roman"/>
                <w:color w:val="000000" w:themeColor="text1"/>
                <w:szCs w:val="24"/>
              </w:rPr>
              <w:t xml:space="preserve"> times daily. </w:t>
            </w:r>
          </w:p>
        </w:tc>
      </w:tr>
      <w:tr w:rsidR="0053763D" w:rsidRPr="00F10C37" w14:paraId="0CF59832" w14:textId="77777777" w:rsidTr="00C46407">
        <w:trPr>
          <w:trHeight w:val="560"/>
          <w:jc w:val="center"/>
        </w:trPr>
        <w:tc>
          <w:tcPr>
            <w:tcW w:w="2880" w:type="dxa"/>
            <w:gridSpan w:val="2"/>
          </w:tcPr>
          <w:p w14:paraId="0BE2B83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22" w:type="dxa"/>
          </w:tcPr>
          <w:p w14:paraId="13C1CD8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Hypophosphatemia, undiagnosed gastrointestinal or rectal bleeding, appendicitis, porphyria, hepatic coma.</w:t>
            </w:r>
          </w:p>
        </w:tc>
      </w:tr>
      <w:tr w:rsidR="0053763D" w:rsidRPr="00F10C37" w14:paraId="00A54826" w14:textId="77777777" w:rsidTr="00C46407">
        <w:trPr>
          <w:trHeight w:val="1208"/>
          <w:jc w:val="center"/>
        </w:trPr>
        <w:tc>
          <w:tcPr>
            <w:tcW w:w="2880" w:type="dxa"/>
            <w:gridSpan w:val="2"/>
          </w:tcPr>
          <w:p w14:paraId="44DC70D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22" w:type="dxa"/>
          </w:tcPr>
          <w:p w14:paraId="57E17DD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Estramustine, gabapentin, antifungal agents, chloroquine, proguanil, aspirin, bisphosphonates, corticosteroids, dipyridamole, dolutegravir, HIV-protease inhibitors, iron salts, phenothiazines, quinolones, raltegravir, rifampicin, statins, tetracyclines, levothyroxine, allupurinol, cyclosporine, isoniazid, phenytoin.</w:t>
            </w:r>
          </w:p>
        </w:tc>
      </w:tr>
      <w:tr w:rsidR="0053763D" w:rsidRPr="00F10C37" w14:paraId="12CF5451" w14:textId="77777777" w:rsidTr="00C46407">
        <w:trPr>
          <w:trHeight w:val="488"/>
          <w:jc w:val="center"/>
        </w:trPr>
        <w:tc>
          <w:tcPr>
            <w:tcW w:w="2880" w:type="dxa"/>
            <w:gridSpan w:val="2"/>
          </w:tcPr>
          <w:p w14:paraId="5FCD7F4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22" w:type="dxa"/>
          </w:tcPr>
          <w:p w14:paraId="69984D0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Constipation, diarrhoea, electrolyte imbalance, renal impairment, abdominal pain, nephrolithiasis (long-term use).</w:t>
            </w:r>
          </w:p>
        </w:tc>
      </w:tr>
      <w:tr w:rsidR="0053763D" w:rsidRPr="00F10C37" w14:paraId="6741B02D" w14:textId="77777777" w:rsidTr="00C46407">
        <w:trPr>
          <w:trHeight w:val="605"/>
          <w:jc w:val="center"/>
        </w:trPr>
        <w:tc>
          <w:tcPr>
            <w:tcW w:w="2880" w:type="dxa"/>
            <w:gridSpan w:val="2"/>
          </w:tcPr>
          <w:p w14:paraId="36E2744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22" w:type="dxa"/>
          </w:tcPr>
          <w:p w14:paraId="289495C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Uraemia, congestive heart failure, renal failure and renal dialysis, oedema, cirrhosis, low sodium diets, gastrointestinal haemorrhage, and elderly.</w:t>
            </w:r>
          </w:p>
        </w:tc>
      </w:tr>
      <w:tr w:rsidR="0053763D" w:rsidRPr="00F10C37" w14:paraId="37185A25" w14:textId="77777777" w:rsidTr="00C46407">
        <w:trPr>
          <w:trHeight w:val="280"/>
          <w:jc w:val="center"/>
        </w:trPr>
        <w:tc>
          <w:tcPr>
            <w:tcW w:w="2880" w:type="dxa"/>
            <w:gridSpan w:val="2"/>
          </w:tcPr>
          <w:p w14:paraId="5E10AED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22" w:type="dxa"/>
          </w:tcPr>
          <w:p w14:paraId="4110A86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0CD0E84A" w14:textId="77777777" w:rsidTr="00C46407">
        <w:trPr>
          <w:trHeight w:val="317"/>
          <w:jc w:val="center"/>
        </w:trPr>
        <w:tc>
          <w:tcPr>
            <w:tcW w:w="9202" w:type="dxa"/>
            <w:gridSpan w:val="3"/>
          </w:tcPr>
          <w:p w14:paraId="3C470D2A"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Simethicone </w:t>
            </w:r>
          </w:p>
        </w:tc>
      </w:tr>
      <w:tr w:rsidR="0053763D" w:rsidRPr="00F10C37" w14:paraId="3EEAB5AA" w14:textId="77777777" w:rsidTr="00C46407">
        <w:trPr>
          <w:jc w:val="center"/>
        </w:trPr>
        <w:tc>
          <w:tcPr>
            <w:tcW w:w="2880" w:type="dxa"/>
            <w:gridSpan w:val="2"/>
          </w:tcPr>
          <w:p w14:paraId="456C252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22" w:type="dxa"/>
          </w:tcPr>
          <w:p w14:paraId="60DAA4A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Antifoaming agent, anti-flatulent</w:t>
            </w:r>
          </w:p>
        </w:tc>
      </w:tr>
      <w:tr w:rsidR="0053763D" w:rsidRPr="00F10C37" w14:paraId="496FFA00" w14:textId="77777777" w:rsidTr="00C46407">
        <w:trPr>
          <w:jc w:val="center"/>
        </w:trPr>
        <w:tc>
          <w:tcPr>
            <w:tcW w:w="2880" w:type="dxa"/>
            <w:gridSpan w:val="2"/>
          </w:tcPr>
          <w:p w14:paraId="4D481A4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Dosage form</w:t>
            </w:r>
          </w:p>
        </w:tc>
        <w:tc>
          <w:tcPr>
            <w:tcW w:w="6322" w:type="dxa"/>
          </w:tcPr>
          <w:p w14:paraId="6225796C"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Tablet: 80 mg (chewable) </w:t>
            </w:r>
          </w:p>
          <w:p w14:paraId="52B01DB1"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Oral drop: 40 mg/</w:t>
            </w:r>
            <w:r>
              <w:rPr>
                <w:rFonts w:cs="Times New Roman"/>
                <w:color w:val="000000" w:themeColor="text1"/>
                <w:szCs w:val="24"/>
              </w:rPr>
              <w:t>ml</w:t>
            </w:r>
            <w:r w:rsidRPr="00F10C37">
              <w:rPr>
                <w:rFonts w:cs="Times New Roman"/>
                <w:color w:val="000000" w:themeColor="text1"/>
                <w:szCs w:val="24"/>
              </w:rPr>
              <w:t>, 66.6mg/</w:t>
            </w:r>
            <w:r>
              <w:rPr>
                <w:rFonts w:cs="Times New Roman"/>
                <w:color w:val="000000" w:themeColor="text1"/>
                <w:szCs w:val="24"/>
              </w:rPr>
              <w:t>ml</w:t>
            </w:r>
          </w:p>
        </w:tc>
      </w:tr>
      <w:tr w:rsidR="0053763D" w:rsidRPr="00F10C37" w14:paraId="723F66EC" w14:textId="77777777" w:rsidTr="00C46407">
        <w:trPr>
          <w:jc w:val="center"/>
        </w:trPr>
        <w:tc>
          <w:tcPr>
            <w:tcW w:w="2880" w:type="dxa"/>
            <w:gridSpan w:val="2"/>
          </w:tcPr>
          <w:p w14:paraId="67D69EA6" w14:textId="77777777" w:rsidR="0053763D" w:rsidRPr="00E404D3" w:rsidRDefault="0053763D" w:rsidP="00C46407">
            <w:pPr>
              <w:jc w:val="both"/>
              <w:rPr>
                <w:rFonts w:cs="Times New Roman"/>
                <w:color w:val="000000" w:themeColor="text1"/>
                <w:szCs w:val="24"/>
              </w:rPr>
            </w:pPr>
            <w:r w:rsidRPr="00E404D3">
              <w:rPr>
                <w:rFonts w:cs="Times New Roman"/>
                <w:color w:val="000000" w:themeColor="text1"/>
                <w:szCs w:val="24"/>
              </w:rPr>
              <w:t>Indications</w:t>
            </w:r>
          </w:p>
        </w:tc>
        <w:tc>
          <w:tcPr>
            <w:tcW w:w="6322" w:type="dxa"/>
          </w:tcPr>
          <w:p w14:paraId="2F913F8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Symptomatic relief of flatulence, wind pains, bloating, abdominal distension, and other intestinal gas symptoms</w:t>
            </w:r>
            <w:r>
              <w:rPr>
                <w:rFonts w:cs="Times New Roman"/>
                <w:color w:val="000000" w:themeColor="text1"/>
                <w:szCs w:val="24"/>
              </w:rPr>
              <w:t>.</w:t>
            </w:r>
            <w:r w:rsidRPr="00F10C37">
              <w:rPr>
                <w:rFonts w:cs="Times New Roman"/>
                <w:color w:val="000000" w:themeColor="text1"/>
                <w:szCs w:val="24"/>
              </w:rPr>
              <w:t xml:space="preserve"> </w:t>
            </w:r>
          </w:p>
        </w:tc>
      </w:tr>
      <w:tr w:rsidR="0053763D" w:rsidRPr="00F10C37" w14:paraId="37D7650F" w14:textId="77777777" w:rsidTr="00C46407">
        <w:trPr>
          <w:jc w:val="center"/>
        </w:trPr>
        <w:tc>
          <w:tcPr>
            <w:tcW w:w="2880" w:type="dxa"/>
            <w:gridSpan w:val="2"/>
          </w:tcPr>
          <w:p w14:paraId="055C6B1E"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22" w:type="dxa"/>
          </w:tcPr>
          <w:p w14:paraId="45860948"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Oral:</w:t>
            </w:r>
          </w:p>
          <w:p w14:paraId="421EEF84"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 month–1 year</w:t>
            </w:r>
            <w:r w:rsidRPr="00F10C37">
              <w:rPr>
                <w:rFonts w:cs="Times New Roman"/>
                <w:color w:val="000000" w:themeColor="text1"/>
                <w:szCs w:val="24"/>
              </w:rPr>
              <w:t xml:space="preserve">: 2.5 </w:t>
            </w:r>
            <w:r>
              <w:rPr>
                <w:rFonts w:cs="Times New Roman"/>
                <w:color w:val="000000" w:themeColor="text1"/>
                <w:szCs w:val="24"/>
              </w:rPr>
              <w:t>ml</w:t>
            </w:r>
            <w:r w:rsidRPr="00F10C37">
              <w:rPr>
                <w:rFonts w:cs="Times New Roman"/>
                <w:color w:val="000000" w:themeColor="text1"/>
                <w:szCs w:val="24"/>
              </w:rPr>
              <w:t>, to be taken with or after each feed; may be added to bottle feed (maximum 6 doses per day)</w:t>
            </w:r>
          </w:p>
        </w:tc>
      </w:tr>
      <w:tr w:rsidR="0053763D" w:rsidRPr="00F10C37" w14:paraId="535850FC" w14:textId="77777777" w:rsidTr="00C46407">
        <w:trPr>
          <w:jc w:val="center"/>
        </w:trPr>
        <w:tc>
          <w:tcPr>
            <w:tcW w:w="2880" w:type="dxa"/>
            <w:gridSpan w:val="2"/>
          </w:tcPr>
          <w:p w14:paraId="5D4CBC9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22" w:type="dxa"/>
          </w:tcPr>
          <w:p w14:paraId="63EB423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Hypersensitivity to </w:t>
            </w:r>
            <w:r>
              <w:rPr>
                <w:rFonts w:cs="Times New Roman"/>
                <w:color w:val="000000" w:themeColor="text1"/>
                <w:szCs w:val="24"/>
              </w:rPr>
              <w:t>the drug</w:t>
            </w:r>
            <w:r w:rsidRPr="00F10C37">
              <w:rPr>
                <w:rFonts w:cs="Times New Roman"/>
                <w:color w:val="000000" w:themeColor="text1"/>
                <w:szCs w:val="24"/>
              </w:rPr>
              <w:t>.</w:t>
            </w:r>
          </w:p>
        </w:tc>
      </w:tr>
      <w:tr w:rsidR="0053763D" w:rsidRPr="00F10C37" w14:paraId="2933BFA3" w14:textId="77777777" w:rsidTr="00C46407">
        <w:trPr>
          <w:jc w:val="center"/>
        </w:trPr>
        <w:tc>
          <w:tcPr>
            <w:tcW w:w="2880" w:type="dxa"/>
            <w:gridSpan w:val="2"/>
          </w:tcPr>
          <w:p w14:paraId="7E27A9F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22" w:type="dxa"/>
            <w:shd w:val="clear" w:color="auto" w:fill="FFFFFF" w:themeFill="background1"/>
          </w:tcPr>
          <w:p w14:paraId="52AF469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Levothyroxine </w:t>
            </w:r>
          </w:p>
        </w:tc>
      </w:tr>
      <w:tr w:rsidR="0053763D" w:rsidRPr="00F10C37" w14:paraId="455627F6" w14:textId="77777777" w:rsidTr="00C46407">
        <w:trPr>
          <w:jc w:val="center"/>
        </w:trPr>
        <w:tc>
          <w:tcPr>
            <w:tcW w:w="2880" w:type="dxa"/>
            <w:gridSpan w:val="2"/>
          </w:tcPr>
          <w:p w14:paraId="414B8D3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22" w:type="dxa"/>
          </w:tcPr>
          <w:p w14:paraId="0A74FE8D" w14:textId="77777777" w:rsidR="0053763D" w:rsidRPr="00F10C37" w:rsidRDefault="0053763D" w:rsidP="00C46407">
            <w:pPr>
              <w:pStyle w:val="Footer"/>
              <w:spacing w:line="360" w:lineRule="auto"/>
              <w:jc w:val="both"/>
              <w:rPr>
                <w:rFonts w:cs="Times New Roman"/>
                <w:szCs w:val="24"/>
              </w:rPr>
            </w:pPr>
            <w:r w:rsidRPr="00F10C37">
              <w:rPr>
                <w:rFonts w:cs="Times New Roman"/>
                <w:szCs w:val="24"/>
              </w:rPr>
              <w:t>Allergic reaction/rash, hives, itching, difficulty breathing, tightness in the chest, swelling of mouth, face, lips, or tongue.</w:t>
            </w:r>
          </w:p>
        </w:tc>
      </w:tr>
      <w:tr w:rsidR="0053763D" w:rsidRPr="00F10C37" w14:paraId="23040CFD" w14:textId="77777777" w:rsidTr="00C46407">
        <w:trPr>
          <w:jc w:val="center"/>
        </w:trPr>
        <w:tc>
          <w:tcPr>
            <w:tcW w:w="2880" w:type="dxa"/>
            <w:gridSpan w:val="2"/>
          </w:tcPr>
          <w:p w14:paraId="1547DFD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22" w:type="dxa"/>
          </w:tcPr>
          <w:p w14:paraId="0161E11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Infant colic.</w:t>
            </w:r>
          </w:p>
        </w:tc>
      </w:tr>
      <w:tr w:rsidR="0053763D" w:rsidRPr="00F10C37" w14:paraId="04FE2B54" w14:textId="77777777" w:rsidTr="00C46407">
        <w:trPr>
          <w:jc w:val="center"/>
        </w:trPr>
        <w:tc>
          <w:tcPr>
            <w:tcW w:w="2880" w:type="dxa"/>
            <w:gridSpan w:val="2"/>
          </w:tcPr>
          <w:p w14:paraId="6D73082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22" w:type="dxa"/>
          </w:tcPr>
          <w:p w14:paraId="710C6EA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below 30 °C.</w:t>
            </w:r>
          </w:p>
        </w:tc>
      </w:tr>
    </w:tbl>
    <w:p w14:paraId="25D0F894" w14:textId="77777777" w:rsidR="0053763D" w:rsidRPr="00F10C37" w:rsidRDefault="0053763D" w:rsidP="00491AFD">
      <w:pPr>
        <w:pStyle w:val="Heading2"/>
        <w:spacing w:before="240" w:after="240"/>
      </w:pPr>
      <w:bookmarkStart w:id="15" w:name="_Toc179490304"/>
      <w:r w:rsidRPr="00F10C37">
        <w:t>Antiulcer medicines</w:t>
      </w:r>
      <w:bookmarkEnd w:id="15"/>
    </w:p>
    <w:p w14:paraId="5CDD0F0B" w14:textId="77777777" w:rsidR="0053763D" w:rsidRPr="00F10C37" w:rsidRDefault="0053763D" w:rsidP="0053763D">
      <w:pPr>
        <w:autoSpaceDE w:val="0"/>
        <w:autoSpaceDN w:val="0"/>
        <w:adjustRightInd w:val="0"/>
        <w:spacing w:after="0"/>
        <w:ind w:right="144"/>
        <w:jc w:val="both"/>
        <w:rPr>
          <w:rFonts w:cs="Times New Roman"/>
          <w:color w:val="000000" w:themeColor="text1"/>
          <w:szCs w:val="24"/>
        </w:rPr>
      </w:pPr>
      <w:r w:rsidRPr="00F10C37">
        <w:rPr>
          <w:rFonts w:cs="Times New Roman"/>
          <w:color w:val="000000" w:themeColor="text1"/>
          <w:szCs w:val="24"/>
        </w:rPr>
        <w:t xml:space="preserve">Antiulcer medicines may be broadly divided into anti-secretory agents which suppress the production of gastric acid, and agents with cytoprotective or mucosal protectant properties. Histamine-2 (H2)-receptor antagonists such as cimetidine and famotidine reduce acid secretion by blocking the action of histamine at the H2-receptors in the parietal cells of the stomach. They are used in the management of peptic ulcer disease (PUD), reflux oesophagitis and hyper-secretory states such as Zollinger-Ellison syndrome (ZES). High doses of H2-receptor antagonists have been used in ZES, but a proton-pump inhibitor (PPIs) [e.g., omeprazole, pantoprazole], is now preferred. Maintenance treatment with low doses of H2-receptor antagonists has largely been replaced in </w:t>
      </w:r>
      <w:r w:rsidRPr="00F10C37">
        <w:rPr>
          <w:rFonts w:cs="Times New Roman"/>
          <w:i/>
          <w:iCs/>
          <w:color w:val="000000" w:themeColor="text1"/>
          <w:szCs w:val="24"/>
        </w:rPr>
        <w:t xml:space="preserve">Helicobacter pylori (H.pylori) </w:t>
      </w:r>
      <w:r w:rsidRPr="00F10C37">
        <w:rPr>
          <w:rFonts w:cs="Times New Roman"/>
          <w:color w:val="000000" w:themeColor="text1"/>
          <w:szCs w:val="24"/>
        </w:rPr>
        <w:t>positive patients by eradication regimens. H2-receptor antagonist therapy can promote healing of</w:t>
      </w:r>
      <w:r>
        <w:rPr>
          <w:rFonts w:cs="Times New Roman"/>
          <w:color w:val="000000" w:themeColor="text1"/>
          <w:szCs w:val="24"/>
        </w:rPr>
        <w:t xml:space="preserve"> </w:t>
      </w:r>
      <w:r w:rsidRPr="00F10C37">
        <w:rPr>
          <w:rFonts w:cs="Times New Roman"/>
          <w:color w:val="000000" w:themeColor="text1"/>
          <w:szCs w:val="24"/>
        </w:rPr>
        <w:t>Non-steroidal anti-inflammatory drugs (NSAID</w:t>
      </w:r>
      <w:r>
        <w:rPr>
          <w:rFonts w:cs="Times New Roman"/>
          <w:color w:val="000000" w:themeColor="text1"/>
          <w:szCs w:val="24"/>
        </w:rPr>
        <w:t>s</w:t>
      </w:r>
      <w:r w:rsidRPr="00F10C37">
        <w:rPr>
          <w:rFonts w:cs="Times New Roman"/>
          <w:color w:val="000000" w:themeColor="text1"/>
          <w:szCs w:val="24"/>
        </w:rPr>
        <w:t>)-associated ulcers, particularly duodenal ulcer. Their treatment also reduces the risk of acid aspiration in obstetric patients at delivery (Mendelson syndrome).</w:t>
      </w:r>
    </w:p>
    <w:p w14:paraId="27970B90" w14:textId="77777777" w:rsidR="0053763D" w:rsidRPr="00F10C37" w:rsidRDefault="0053763D" w:rsidP="0053763D">
      <w:pPr>
        <w:autoSpaceDE w:val="0"/>
        <w:autoSpaceDN w:val="0"/>
        <w:adjustRightInd w:val="0"/>
        <w:spacing w:after="0"/>
        <w:ind w:right="144"/>
        <w:jc w:val="both"/>
        <w:rPr>
          <w:rFonts w:cs="Times New Roman"/>
          <w:color w:val="000000" w:themeColor="text1"/>
          <w:szCs w:val="24"/>
        </w:rPr>
      </w:pPr>
      <w:r w:rsidRPr="00F10C37">
        <w:rPr>
          <w:rFonts w:cs="Times New Roman"/>
          <w:color w:val="000000" w:themeColor="text1"/>
          <w:szCs w:val="24"/>
        </w:rPr>
        <w:t xml:space="preserve"> PPIs are effective short-term treatments for gastric and duodenal ulcers. They are also used in combination with antibacterials for the eradication of </w:t>
      </w:r>
      <w:r w:rsidRPr="00F10C37">
        <w:rPr>
          <w:rFonts w:cs="Times New Roman"/>
          <w:i/>
          <w:color w:val="000000" w:themeColor="text1"/>
          <w:szCs w:val="24"/>
        </w:rPr>
        <w:t>H. pylori</w:t>
      </w:r>
      <w:r w:rsidRPr="00F10C37">
        <w:rPr>
          <w:rFonts w:cs="Times New Roman"/>
          <w:color w:val="000000" w:themeColor="text1"/>
          <w:szCs w:val="24"/>
        </w:rPr>
        <w:t>. Following endoscopic treatment of severe peptic ulcer bleeding, an intravenous, high-dose PPIs reduces the risk of re-</w:t>
      </w:r>
      <w:r w:rsidRPr="00F10C37">
        <w:rPr>
          <w:rFonts w:cs="Times New Roman"/>
          <w:color w:val="000000" w:themeColor="text1"/>
          <w:szCs w:val="24"/>
        </w:rPr>
        <w:lastRenderedPageBreak/>
        <w:t>bleeding and the need for surgery. Proton pump inhibitors can be used for the treatment of dyspepsia and GERD. PPIs are also used for the prevention and treatment of NSAID-associated ulcers. A PPIs can be used to reduce the degradation of pancreatic enzyme supplements in patients with cystic fibrosis. They can also be used to control excessive secretion of gastric acid in ZES; high doses are often required.</w:t>
      </w:r>
    </w:p>
    <w:tbl>
      <w:tblPr>
        <w:tblStyle w:val="TableGrid"/>
        <w:tblW w:w="5000" w:type="pct"/>
        <w:jc w:val="center"/>
        <w:tblLook w:val="04A0" w:firstRow="1" w:lastRow="0" w:firstColumn="1" w:lastColumn="0" w:noHBand="0" w:noVBand="1"/>
      </w:tblPr>
      <w:tblGrid>
        <w:gridCol w:w="2722"/>
        <w:gridCol w:w="36"/>
        <w:gridCol w:w="6818"/>
      </w:tblGrid>
      <w:tr w:rsidR="0053763D" w:rsidRPr="00F10C37" w14:paraId="5F0FB4D1" w14:textId="77777777" w:rsidTr="00C46407">
        <w:trPr>
          <w:jc w:val="center"/>
        </w:trPr>
        <w:tc>
          <w:tcPr>
            <w:tcW w:w="5000" w:type="pct"/>
            <w:gridSpan w:val="3"/>
          </w:tcPr>
          <w:p w14:paraId="68A362BC"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Cimetidine</w:t>
            </w:r>
          </w:p>
        </w:tc>
      </w:tr>
      <w:tr w:rsidR="0053763D" w:rsidRPr="00F10C37" w14:paraId="15B62C53" w14:textId="77777777" w:rsidTr="00C46407">
        <w:trPr>
          <w:jc w:val="center"/>
        </w:trPr>
        <w:tc>
          <w:tcPr>
            <w:tcW w:w="1440" w:type="pct"/>
            <w:gridSpan w:val="2"/>
          </w:tcPr>
          <w:p w14:paraId="78988CB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3560" w:type="pct"/>
          </w:tcPr>
          <w:p w14:paraId="0F5A492E" w14:textId="77777777" w:rsidR="0053763D" w:rsidRPr="00F10C37" w:rsidRDefault="0053763D" w:rsidP="00C46407">
            <w:pPr>
              <w:autoSpaceDE w:val="0"/>
              <w:autoSpaceDN w:val="0"/>
              <w:adjustRightInd w:val="0"/>
              <w:jc w:val="both"/>
              <w:rPr>
                <w:rFonts w:cs="Times New Roman"/>
                <w:bCs/>
                <w:color w:val="000000" w:themeColor="text1"/>
                <w:szCs w:val="24"/>
              </w:rPr>
            </w:pPr>
            <w:r w:rsidRPr="00F10C37">
              <w:rPr>
                <w:rFonts w:cs="Times New Roman"/>
                <w:bCs/>
                <w:color w:val="000000" w:themeColor="text1"/>
                <w:szCs w:val="24"/>
              </w:rPr>
              <w:t>H2-receptor antagonist</w:t>
            </w:r>
          </w:p>
        </w:tc>
      </w:tr>
      <w:tr w:rsidR="0053763D" w:rsidRPr="00F10C37" w14:paraId="7250967E" w14:textId="77777777" w:rsidTr="00C46407">
        <w:trPr>
          <w:jc w:val="center"/>
        </w:trPr>
        <w:tc>
          <w:tcPr>
            <w:tcW w:w="1440" w:type="pct"/>
            <w:gridSpan w:val="2"/>
          </w:tcPr>
          <w:p w14:paraId="08CF31F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3560" w:type="pct"/>
          </w:tcPr>
          <w:p w14:paraId="0FBD757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Injection: 200mg/</w:t>
            </w:r>
            <w:r>
              <w:rPr>
                <w:rFonts w:cs="Times New Roman"/>
                <w:color w:val="000000" w:themeColor="text1"/>
                <w:szCs w:val="24"/>
              </w:rPr>
              <w:t>ml</w:t>
            </w:r>
            <w:r w:rsidRPr="00F10C37">
              <w:rPr>
                <w:rFonts w:cs="Times New Roman"/>
                <w:color w:val="000000" w:themeColor="text1"/>
                <w:szCs w:val="24"/>
              </w:rPr>
              <w:t xml:space="preserve"> in 2</w:t>
            </w:r>
            <w:r>
              <w:rPr>
                <w:rFonts w:cs="Times New Roman"/>
                <w:color w:val="000000" w:themeColor="text1"/>
                <w:szCs w:val="24"/>
              </w:rPr>
              <w:t>ml</w:t>
            </w:r>
            <w:r w:rsidRPr="00F10C37">
              <w:rPr>
                <w:rFonts w:cs="Times New Roman"/>
                <w:color w:val="000000" w:themeColor="text1"/>
                <w:szCs w:val="24"/>
              </w:rPr>
              <w:t xml:space="preserve"> ampoule</w:t>
            </w:r>
          </w:p>
        </w:tc>
      </w:tr>
      <w:tr w:rsidR="0053763D" w:rsidRPr="00F10C37" w14:paraId="4AA56101" w14:textId="77777777" w:rsidTr="00C46407">
        <w:trPr>
          <w:jc w:val="center"/>
        </w:trPr>
        <w:tc>
          <w:tcPr>
            <w:tcW w:w="1440" w:type="pct"/>
            <w:gridSpan w:val="2"/>
          </w:tcPr>
          <w:p w14:paraId="18AA636D" w14:textId="77777777" w:rsidR="0053763D" w:rsidRPr="00D93656" w:rsidRDefault="0053763D" w:rsidP="00C46407">
            <w:pPr>
              <w:jc w:val="both"/>
              <w:rPr>
                <w:rFonts w:cs="Times New Roman"/>
                <w:color w:val="000000" w:themeColor="text1"/>
                <w:szCs w:val="24"/>
              </w:rPr>
            </w:pPr>
            <w:r w:rsidRPr="00D93656">
              <w:rPr>
                <w:rFonts w:cs="Times New Roman"/>
                <w:color w:val="000000" w:themeColor="text1"/>
                <w:szCs w:val="24"/>
              </w:rPr>
              <w:t>Indications</w:t>
            </w:r>
          </w:p>
        </w:tc>
        <w:tc>
          <w:tcPr>
            <w:tcW w:w="3560" w:type="pct"/>
          </w:tcPr>
          <w:p w14:paraId="5BB5059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Gastric and duodenal ulceration, GERD, ZES, and other conditions where gastric acid reduction is beneficial</w:t>
            </w:r>
          </w:p>
        </w:tc>
      </w:tr>
      <w:tr w:rsidR="0053763D" w:rsidRPr="00F10C37" w14:paraId="34B195B1" w14:textId="77777777" w:rsidTr="00C46407">
        <w:trPr>
          <w:jc w:val="center"/>
        </w:trPr>
        <w:tc>
          <w:tcPr>
            <w:tcW w:w="1440" w:type="pct"/>
            <w:gridSpan w:val="2"/>
          </w:tcPr>
          <w:p w14:paraId="45873EB3"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3560" w:type="pct"/>
          </w:tcPr>
          <w:p w14:paraId="707D42F9" w14:textId="77777777" w:rsidR="0053763D" w:rsidRPr="00F10C37" w:rsidRDefault="0053763D" w:rsidP="00C46407">
            <w:pPr>
              <w:autoSpaceDE w:val="0"/>
              <w:autoSpaceDN w:val="0"/>
              <w:adjustRightInd w:val="0"/>
              <w:jc w:val="both"/>
              <w:rPr>
                <w:rFonts w:cs="Times New Roman"/>
                <w:b/>
                <w:color w:val="000000" w:themeColor="text1"/>
                <w:spacing w:val="1"/>
                <w:szCs w:val="24"/>
              </w:rPr>
            </w:pPr>
            <w:r w:rsidRPr="00F10C37">
              <w:rPr>
                <w:rFonts w:cs="Times New Roman"/>
                <w:b/>
                <w:color w:val="000000" w:themeColor="text1"/>
                <w:szCs w:val="24"/>
              </w:rPr>
              <w:t>Short-term treatment of active ulcers:</w:t>
            </w:r>
            <w:r w:rsidRPr="00F10C37">
              <w:rPr>
                <w:rFonts w:cs="Times New Roman"/>
                <w:b/>
                <w:color w:val="000000" w:themeColor="text1"/>
                <w:spacing w:val="1"/>
                <w:szCs w:val="24"/>
              </w:rPr>
              <w:t xml:space="preserve"> </w:t>
            </w:r>
          </w:p>
          <w:p w14:paraId="107F4485"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IM, IV 200mg 4-6 hourly. For IV, dilute it in 20</w:t>
            </w:r>
            <w:r>
              <w:rPr>
                <w:rFonts w:cs="Times New Roman"/>
                <w:color w:val="000000" w:themeColor="text1"/>
                <w:szCs w:val="24"/>
              </w:rPr>
              <w:t>ml</w:t>
            </w:r>
            <w:r w:rsidRPr="00F10C37">
              <w:rPr>
                <w:rFonts w:cs="Times New Roman"/>
                <w:color w:val="000000" w:themeColor="text1"/>
                <w:szCs w:val="24"/>
              </w:rPr>
              <w:t xml:space="preserve"> of 0.9% sodium chloride solution and give slowly, over at least 2 minutes. IV infusion is recommended in cardiovascular disease or if a higher dose is required: 400mg, diluted in 100</w:t>
            </w:r>
            <w:r>
              <w:rPr>
                <w:rFonts w:cs="Times New Roman"/>
                <w:color w:val="000000" w:themeColor="text1"/>
                <w:szCs w:val="24"/>
              </w:rPr>
              <w:t>ml</w:t>
            </w:r>
            <w:r w:rsidRPr="00F10C37">
              <w:rPr>
                <w:rFonts w:cs="Times New Roman"/>
                <w:color w:val="000000" w:themeColor="text1"/>
                <w:szCs w:val="24"/>
              </w:rPr>
              <w:t xml:space="preserve"> of 0.9% sodium chloride and given over 30 minutes-1 hours, may be repeated 4-6 hourly; or continuous infusion at a rate of 50-100mg/hour (maximum 2.4g/24 hours).</w:t>
            </w:r>
          </w:p>
          <w:p w14:paraId="7D7451BE" w14:textId="77777777" w:rsidR="0053763D" w:rsidRPr="00F10C37" w:rsidRDefault="0053763D" w:rsidP="00C46407">
            <w:pPr>
              <w:adjustRightInd w:val="0"/>
              <w:jc w:val="both"/>
              <w:rPr>
                <w:rFonts w:cs="Times New Roman"/>
                <w:b/>
                <w:color w:val="000000" w:themeColor="text1"/>
                <w:spacing w:val="1"/>
                <w:szCs w:val="24"/>
              </w:rPr>
            </w:pPr>
            <w:r w:rsidRPr="00F10C37">
              <w:rPr>
                <w:rFonts w:cs="Times New Roman"/>
                <w:b/>
                <w:color w:val="000000" w:themeColor="text1"/>
                <w:szCs w:val="24"/>
              </w:rPr>
              <w:t>Gastric hyper-secretory conditions:</w:t>
            </w:r>
            <w:r w:rsidRPr="00F10C37">
              <w:rPr>
                <w:rFonts w:cs="Times New Roman"/>
                <w:color w:val="000000" w:themeColor="text1"/>
                <w:spacing w:val="56"/>
                <w:szCs w:val="24"/>
              </w:rPr>
              <w:t xml:space="preserve"> </w:t>
            </w:r>
          </w:p>
          <w:p w14:paraId="7270E566" w14:textId="77777777" w:rsidR="0053763D" w:rsidRPr="00F10C37" w:rsidRDefault="0053763D" w:rsidP="00C46407">
            <w:pPr>
              <w:pStyle w:val="BodyText"/>
              <w:spacing w:line="360" w:lineRule="auto"/>
              <w:ind w:right="476"/>
              <w:rPr>
                <w:color w:val="000000" w:themeColor="text1"/>
                <w:spacing w:val="56"/>
              </w:rPr>
            </w:pPr>
            <w:r w:rsidRPr="00F10C37">
              <w:rPr>
                <w:b/>
                <w:color w:val="000000" w:themeColor="text1"/>
              </w:rPr>
              <w:t>Adult</w:t>
            </w:r>
            <w:r w:rsidRPr="00F10C37">
              <w:rPr>
                <w:color w:val="000000" w:themeColor="text1"/>
              </w:rPr>
              <w:t>: IM, IV 300mg–600mg every 6 hours (max. dose 2.4g/day).</w:t>
            </w:r>
          </w:p>
          <w:p w14:paraId="701D722A" w14:textId="77777777" w:rsidR="0053763D" w:rsidRPr="00F10C37" w:rsidRDefault="0053763D" w:rsidP="00C46407">
            <w:pPr>
              <w:pStyle w:val="BodyText"/>
              <w:spacing w:line="360" w:lineRule="auto"/>
              <w:ind w:right="476"/>
              <w:rPr>
                <w:color w:val="000000" w:themeColor="text1"/>
                <w:spacing w:val="56"/>
              </w:rPr>
            </w:pPr>
            <w:r w:rsidRPr="00F10C37">
              <w:rPr>
                <w:b/>
                <w:color w:val="000000" w:themeColor="text1"/>
              </w:rPr>
              <w:t xml:space="preserve">Child: </w:t>
            </w:r>
            <w:r w:rsidRPr="00F10C37">
              <w:rPr>
                <w:color w:val="000000" w:themeColor="text1"/>
              </w:rPr>
              <w:t xml:space="preserve">IM, IV 20-40mg/kg/day in divided doses every 6 hours. </w:t>
            </w:r>
          </w:p>
        </w:tc>
      </w:tr>
      <w:tr w:rsidR="0053763D" w:rsidRPr="00F10C37" w14:paraId="438D8AD3" w14:textId="77777777" w:rsidTr="00C46407">
        <w:trPr>
          <w:jc w:val="center"/>
        </w:trPr>
        <w:tc>
          <w:tcPr>
            <w:tcW w:w="1440" w:type="pct"/>
            <w:gridSpan w:val="2"/>
          </w:tcPr>
          <w:p w14:paraId="1BC8787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3560" w:type="pct"/>
          </w:tcPr>
          <w:p w14:paraId="74C1A2C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Hypersensitivity to the drug or other H2-receptor antagonists.</w:t>
            </w:r>
          </w:p>
        </w:tc>
      </w:tr>
      <w:tr w:rsidR="0053763D" w:rsidRPr="00F10C37" w14:paraId="5F3A0C13" w14:textId="77777777" w:rsidTr="00C46407">
        <w:trPr>
          <w:jc w:val="center"/>
        </w:trPr>
        <w:tc>
          <w:tcPr>
            <w:tcW w:w="1440" w:type="pct"/>
            <w:gridSpan w:val="2"/>
          </w:tcPr>
          <w:p w14:paraId="281389D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3560" w:type="pct"/>
          </w:tcPr>
          <w:p w14:paraId="109C8229" w14:textId="77777777" w:rsidR="0053763D" w:rsidRPr="00F10C37" w:rsidRDefault="0053763D" w:rsidP="00C46407">
            <w:pPr>
              <w:pStyle w:val="BodyText"/>
              <w:spacing w:line="360" w:lineRule="auto"/>
              <w:ind w:right="434"/>
              <w:rPr>
                <w:color w:val="000000" w:themeColor="text1"/>
              </w:rPr>
            </w:pPr>
            <w:r w:rsidRPr="00F10C37">
              <w:rPr>
                <w:color w:val="000000" w:themeColor="text1"/>
              </w:rPr>
              <w:t>Aminophylline, antiarrhythmics, antiepileptics, azole antifungals, chloroquine, calcium channel blockers, capecitabine, fentanyl, fluorouracil, metformin, quinine praziquantel, selective serotonin re-uptake inhibitors (SSRIs), and tricyclic antidepressants (TCAs).</w:t>
            </w:r>
          </w:p>
        </w:tc>
      </w:tr>
      <w:tr w:rsidR="0053763D" w:rsidRPr="00F10C37" w14:paraId="13EC7E6D" w14:textId="77777777" w:rsidTr="00C46407">
        <w:trPr>
          <w:jc w:val="center"/>
        </w:trPr>
        <w:tc>
          <w:tcPr>
            <w:tcW w:w="1440" w:type="pct"/>
            <w:gridSpan w:val="2"/>
          </w:tcPr>
          <w:p w14:paraId="50EE230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3560" w:type="pct"/>
          </w:tcPr>
          <w:p w14:paraId="5AC35DA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Constipation, diarrhoea, dizziness, fatigue, headache, myalgia, skin reactions, confusion, depression, erectile dysfunction, gynaecomastia, hallucination, hepatic disorders, leukopenia, nausea, </w:t>
            </w:r>
            <w:r w:rsidRPr="00F10C37">
              <w:rPr>
                <w:rFonts w:cs="Times New Roman"/>
                <w:color w:val="000000" w:themeColor="text1"/>
                <w:szCs w:val="24"/>
              </w:rPr>
              <w:lastRenderedPageBreak/>
              <w:t>and tachycardia.</w:t>
            </w:r>
          </w:p>
        </w:tc>
      </w:tr>
      <w:tr w:rsidR="0053763D" w:rsidRPr="00F10C37" w14:paraId="03F7F6B4" w14:textId="77777777" w:rsidTr="00C46407">
        <w:trPr>
          <w:jc w:val="center"/>
        </w:trPr>
        <w:tc>
          <w:tcPr>
            <w:tcW w:w="1440" w:type="pct"/>
            <w:gridSpan w:val="2"/>
          </w:tcPr>
          <w:p w14:paraId="72BADC4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3560" w:type="pct"/>
          </w:tcPr>
          <w:p w14:paraId="05A0C6D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Gastric cancer, severe renal and hepatic impairment.</w:t>
            </w:r>
          </w:p>
        </w:tc>
      </w:tr>
      <w:tr w:rsidR="0053763D" w:rsidRPr="00F10C37" w14:paraId="23303D89" w14:textId="77777777" w:rsidTr="00C46407">
        <w:trPr>
          <w:jc w:val="center"/>
        </w:trPr>
        <w:tc>
          <w:tcPr>
            <w:tcW w:w="1440" w:type="pct"/>
            <w:gridSpan w:val="2"/>
          </w:tcPr>
          <w:p w14:paraId="5AC0026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3560" w:type="pct"/>
          </w:tcPr>
          <w:p w14:paraId="1328E6F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below 30 °C in an air tight container. Protect from light.</w:t>
            </w:r>
          </w:p>
        </w:tc>
      </w:tr>
      <w:tr w:rsidR="0053763D" w:rsidRPr="00F10C37" w14:paraId="293D6F3F" w14:textId="77777777" w:rsidTr="00C46407">
        <w:trPr>
          <w:jc w:val="center"/>
        </w:trPr>
        <w:tc>
          <w:tcPr>
            <w:tcW w:w="5000" w:type="pct"/>
            <w:gridSpan w:val="3"/>
          </w:tcPr>
          <w:p w14:paraId="0CB57B0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Famotidine</w:t>
            </w:r>
          </w:p>
        </w:tc>
      </w:tr>
      <w:tr w:rsidR="0053763D" w:rsidRPr="00F10C37" w14:paraId="6A203F4E" w14:textId="77777777" w:rsidTr="00C46407">
        <w:trPr>
          <w:jc w:val="center"/>
        </w:trPr>
        <w:tc>
          <w:tcPr>
            <w:tcW w:w="1440" w:type="pct"/>
            <w:gridSpan w:val="2"/>
          </w:tcPr>
          <w:p w14:paraId="34E1841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3560" w:type="pct"/>
          </w:tcPr>
          <w:p w14:paraId="4A95A67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H2-receptor antagonist</w:t>
            </w:r>
          </w:p>
        </w:tc>
      </w:tr>
      <w:tr w:rsidR="0053763D" w:rsidRPr="00F10C37" w14:paraId="37DE3046" w14:textId="77777777" w:rsidTr="00C46407">
        <w:trPr>
          <w:jc w:val="center"/>
        </w:trPr>
        <w:tc>
          <w:tcPr>
            <w:tcW w:w="1440" w:type="pct"/>
            <w:gridSpan w:val="2"/>
          </w:tcPr>
          <w:p w14:paraId="72297AE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3560" w:type="pct"/>
          </w:tcPr>
          <w:p w14:paraId="3C5C315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Tablet: 20mg, 40mg </w:t>
            </w:r>
          </w:p>
        </w:tc>
      </w:tr>
      <w:tr w:rsidR="0053763D" w:rsidRPr="00F10C37" w14:paraId="5FDF37BF" w14:textId="77777777" w:rsidTr="00C46407">
        <w:trPr>
          <w:jc w:val="center"/>
        </w:trPr>
        <w:tc>
          <w:tcPr>
            <w:tcW w:w="1440" w:type="pct"/>
            <w:gridSpan w:val="2"/>
          </w:tcPr>
          <w:p w14:paraId="61EEBA74" w14:textId="77777777" w:rsidR="0053763D" w:rsidRPr="001F70B8" w:rsidRDefault="0053763D" w:rsidP="00C46407">
            <w:pPr>
              <w:jc w:val="both"/>
              <w:rPr>
                <w:rFonts w:cs="Times New Roman"/>
                <w:color w:val="000000" w:themeColor="text1"/>
                <w:szCs w:val="24"/>
              </w:rPr>
            </w:pPr>
            <w:r w:rsidRPr="001F70B8">
              <w:rPr>
                <w:rFonts w:cs="Times New Roman"/>
                <w:color w:val="000000" w:themeColor="text1"/>
                <w:szCs w:val="24"/>
              </w:rPr>
              <w:t>Indications</w:t>
            </w:r>
          </w:p>
        </w:tc>
        <w:tc>
          <w:tcPr>
            <w:tcW w:w="3560" w:type="pct"/>
          </w:tcPr>
          <w:p w14:paraId="1E73E9D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Duodenal or benign gastric ulcers, GERD, ZES</w:t>
            </w:r>
          </w:p>
        </w:tc>
      </w:tr>
      <w:tr w:rsidR="0053763D" w:rsidRPr="00F10C37" w14:paraId="1C754702" w14:textId="77777777" w:rsidTr="00C46407">
        <w:trPr>
          <w:jc w:val="center"/>
        </w:trPr>
        <w:tc>
          <w:tcPr>
            <w:tcW w:w="1440" w:type="pct"/>
            <w:gridSpan w:val="2"/>
          </w:tcPr>
          <w:p w14:paraId="116A7547"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3560" w:type="pct"/>
          </w:tcPr>
          <w:p w14:paraId="3C21E4EF"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Benign gastric and duodenal ulceration, </w:t>
            </w:r>
            <w:r w:rsidRPr="00F10C37">
              <w:rPr>
                <w:rFonts w:cs="Times New Roman"/>
                <w:color w:val="000000" w:themeColor="text1"/>
                <w:szCs w:val="24"/>
              </w:rPr>
              <w:t>oral:</w:t>
            </w:r>
            <w:r w:rsidRPr="00F10C37">
              <w:rPr>
                <w:rFonts w:cs="Times New Roman"/>
                <w:b/>
                <w:color w:val="000000" w:themeColor="text1"/>
                <w:szCs w:val="24"/>
              </w:rPr>
              <w:t xml:space="preserve"> </w:t>
            </w:r>
          </w:p>
          <w:p w14:paraId="7B586AE1"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b/>
                <w:i/>
                <w:color w:val="000000" w:themeColor="text1"/>
                <w:szCs w:val="24"/>
              </w:rPr>
              <w:t xml:space="preserve">: </w:t>
            </w:r>
            <w:r w:rsidRPr="00F10C37">
              <w:rPr>
                <w:rFonts w:cs="Times New Roman"/>
                <w:color w:val="000000" w:themeColor="text1"/>
                <w:szCs w:val="24"/>
              </w:rPr>
              <w:t xml:space="preserve">40mg daily at bed time (or 20 mg twice daily) for 4-8 weeks. Maintenance therapy: 20 mg daily at bed time. </w:t>
            </w:r>
          </w:p>
          <w:p w14:paraId="0A093393"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GERD</w:t>
            </w:r>
            <w:r w:rsidRPr="00F10C37">
              <w:rPr>
                <w:rFonts w:cs="Times New Roman"/>
                <w:color w:val="000000" w:themeColor="text1"/>
                <w:szCs w:val="24"/>
              </w:rPr>
              <w:t xml:space="preserve">, oral: </w:t>
            </w:r>
          </w:p>
          <w:p w14:paraId="1E0C4F5E"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20mg twice daily for 6-12 weeks or up to 40 mg twice daily if there is oesophageal ulceration. Maintenance dose: 20 mg twice daily may be given to prevent recurrence. </w:t>
            </w:r>
          </w:p>
          <w:p w14:paraId="594D8F21" w14:textId="77777777" w:rsidR="0053763D" w:rsidRPr="00F10C37" w:rsidRDefault="0053763D" w:rsidP="00C46407">
            <w:pPr>
              <w:jc w:val="both"/>
              <w:rPr>
                <w:rFonts w:cs="Times New Roman"/>
                <w:color w:val="000000" w:themeColor="text1"/>
                <w:spacing w:val="49"/>
                <w:szCs w:val="24"/>
              </w:rPr>
            </w:pPr>
            <w:r w:rsidRPr="00F10C37">
              <w:rPr>
                <w:rFonts w:cs="Times New Roman"/>
                <w:b/>
                <w:color w:val="000000" w:themeColor="text1"/>
                <w:szCs w:val="24"/>
              </w:rPr>
              <w:t>Child</w:t>
            </w:r>
            <w:r w:rsidRPr="00F10C37">
              <w:rPr>
                <w:rFonts w:cs="Times New Roman"/>
                <w:color w:val="000000" w:themeColor="text1"/>
                <w:szCs w:val="24"/>
              </w:rPr>
              <w:t>: 0.5mg/kg once daily if &lt;3 months; 0.5mg/kg twice daily if 3 to 12 months; 1mg/kg/day twice daily (maximum dose: 40mg twice daily) if 1 to 16 years.</w:t>
            </w:r>
          </w:p>
          <w:p w14:paraId="0F78D7DB"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ZES</w:t>
            </w:r>
            <w:r w:rsidRPr="00F10C37">
              <w:rPr>
                <w:rFonts w:cs="Times New Roman"/>
                <w:color w:val="000000" w:themeColor="text1"/>
                <w:szCs w:val="24"/>
              </w:rPr>
              <w:t>, oral:</w:t>
            </w:r>
          </w:p>
          <w:p w14:paraId="29FDB17F"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Initially, 20 mg every 6 hour, up to 40 mg daily if necessary.</w:t>
            </w:r>
          </w:p>
          <w:p w14:paraId="048F0CD0"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w:t>
            </w:r>
            <w:r w:rsidRPr="00F10C37">
              <w:rPr>
                <w:rFonts w:cs="Times New Roman"/>
                <w:color w:val="000000" w:themeColor="text1"/>
                <w:szCs w:val="24"/>
              </w:rPr>
              <w:t xml:space="preserve"> </w:t>
            </w:r>
            <w:r w:rsidRPr="00F10C37">
              <w:rPr>
                <w:rFonts w:cs="Times New Roman"/>
                <w:b/>
                <w:color w:val="000000" w:themeColor="text1"/>
                <w:szCs w:val="24"/>
              </w:rPr>
              <w:t>1-16 year</w:t>
            </w:r>
            <w:r w:rsidRPr="00F10C37">
              <w:rPr>
                <w:rFonts w:cs="Times New Roman"/>
                <w:color w:val="000000" w:themeColor="text1"/>
                <w:szCs w:val="24"/>
              </w:rPr>
              <w:t>: 0.5-1 mg/kg/day up to 40 mg/ day, given once at bed time or taken twice daily.</w:t>
            </w:r>
          </w:p>
          <w:p w14:paraId="7EEB3976"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b/>
                <w:bCs/>
                <w:color w:val="000000" w:themeColor="text1"/>
                <w:szCs w:val="24"/>
              </w:rPr>
              <w:t>Non-ulcer dyspepsia</w:t>
            </w:r>
            <w:r w:rsidRPr="00F10C37">
              <w:rPr>
                <w:rFonts w:cs="Times New Roman"/>
                <w:bCs/>
                <w:color w:val="000000" w:themeColor="text1"/>
                <w:szCs w:val="24"/>
              </w:rPr>
              <w:t>, oral:</w:t>
            </w:r>
          </w:p>
          <w:p w14:paraId="21086306" w14:textId="77777777" w:rsidR="0053763D" w:rsidRPr="00F10C37" w:rsidRDefault="0053763D" w:rsidP="00C46407">
            <w:pPr>
              <w:jc w:val="both"/>
              <w:rPr>
                <w:rFonts w:cs="Times New Roman"/>
                <w:color w:val="000000" w:themeColor="text1"/>
                <w:szCs w:val="24"/>
              </w:rPr>
            </w:pPr>
            <w:r w:rsidRPr="00F10C37">
              <w:rPr>
                <w:rFonts w:cs="Times New Roman"/>
                <w:b/>
                <w:bCs/>
                <w:color w:val="000000" w:themeColor="text1"/>
                <w:szCs w:val="24"/>
              </w:rPr>
              <w:t xml:space="preserve">Adult: </w:t>
            </w:r>
            <w:r w:rsidRPr="00F10C37">
              <w:rPr>
                <w:rFonts w:cs="Times New Roman"/>
                <w:color w:val="000000" w:themeColor="text1"/>
                <w:szCs w:val="24"/>
              </w:rPr>
              <w:t>10 mg twice daily.</w:t>
            </w:r>
          </w:p>
          <w:p w14:paraId="59CB9A18"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b/>
                <w:bCs/>
                <w:color w:val="000000" w:themeColor="text1"/>
                <w:szCs w:val="24"/>
              </w:rPr>
              <w:t>Heartburn</w:t>
            </w:r>
            <w:r w:rsidRPr="00F10C37">
              <w:rPr>
                <w:rFonts w:cs="Times New Roman"/>
                <w:b/>
                <w:color w:val="000000" w:themeColor="text1"/>
                <w:szCs w:val="24"/>
              </w:rPr>
              <w:t>, indigestion, sour stomach</w:t>
            </w:r>
            <w:r w:rsidRPr="00F10C37">
              <w:rPr>
                <w:rFonts w:cs="Times New Roman"/>
                <w:color w:val="000000" w:themeColor="text1"/>
                <w:szCs w:val="24"/>
              </w:rPr>
              <w:t>, oral:</w:t>
            </w:r>
          </w:p>
          <w:p w14:paraId="72E37E68" w14:textId="77777777" w:rsidR="0053763D" w:rsidRPr="00F10C37" w:rsidRDefault="0053763D" w:rsidP="00C46407">
            <w:pPr>
              <w:jc w:val="both"/>
              <w:rPr>
                <w:rFonts w:cs="Times New Roman"/>
                <w:color w:val="000000" w:themeColor="text1"/>
                <w:szCs w:val="24"/>
              </w:rPr>
            </w:pPr>
            <w:r w:rsidRPr="00F10C37">
              <w:rPr>
                <w:rFonts w:cs="Times New Roman"/>
                <w:b/>
                <w:bCs/>
                <w:color w:val="000000" w:themeColor="text1"/>
                <w:szCs w:val="24"/>
              </w:rPr>
              <w:t xml:space="preserve">Adult: </w:t>
            </w:r>
            <w:r w:rsidRPr="00F10C37">
              <w:rPr>
                <w:rFonts w:cs="Times New Roman"/>
                <w:color w:val="000000" w:themeColor="text1"/>
                <w:szCs w:val="24"/>
              </w:rPr>
              <w:t>10-20mg every12 hours; dose may be taken 15-60 minutes before eating foods known to cause heartburn.</w:t>
            </w:r>
          </w:p>
        </w:tc>
      </w:tr>
      <w:tr w:rsidR="0053763D" w:rsidRPr="00F10C37" w14:paraId="07D798A4" w14:textId="77777777" w:rsidTr="00C46407">
        <w:trPr>
          <w:jc w:val="center"/>
        </w:trPr>
        <w:tc>
          <w:tcPr>
            <w:tcW w:w="1440" w:type="pct"/>
            <w:gridSpan w:val="2"/>
          </w:tcPr>
          <w:p w14:paraId="5A31C88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3560" w:type="pct"/>
          </w:tcPr>
          <w:p w14:paraId="42E5E03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Hypersensitivity to the medicine and other H2-receptor antagonists</w:t>
            </w:r>
          </w:p>
        </w:tc>
      </w:tr>
      <w:tr w:rsidR="0053763D" w:rsidRPr="00F10C37" w14:paraId="11A5DB97" w14:textId="77777777" w:rsidTr="00C46407">
        <w:trPr>
          <w:jc w:val="center"/>
        </w:trPr>
        <w:tc>
          <w:tcPr>
            <w:tcW w:w="1440" w:type="pct"/>
            <w:gridSpan w:val="2"/>
          </w:tcPr>
          <w:p w14:paraId="75078C5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3560" w:type="pct"/>
          </w:tcPr>
          <w:p w14:paraId="3D9ED6D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See under cimetidine; the potential for drug interaction is much less than with cimetidine.</w:t>
            </w:r>
          </w:p>
        </w:tc>
      </w:tr>
      <w:tr w:rsidR="0053763D" w:rsidRPr="00F10C37" w14:paraId="321F6F9C" w14:textId="77777777" w:rsidTr="00C46407">
        <w:trPr>
          <w:jc w:val="center"/>
        </w:trPr>
        <w:tc>
          <w:tcPr>
            <w:tcW w:w="1440" w:type="pct"/>
            <w:gridSpan w:val="2"/>
          </w:tcPr>
          <w:p w14:paraId="22E5FAA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3560" w:type="pct"/>
          </w:tcPr>
          <w:p w14:paraId="6BCCFD5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Appetite decreased, dry mouth, taste altered, vomiting.</w:t>
            </w:r>
          </w:p>
        </w:tc>
      </w:tr>
      <w:tr w:rsidR="0053763D" w:rsidRPr="00F10C37" w14:paraId="0C231EC1" w14:textId="77777777" w:rsidTr="00C46407">
        <w:trPr>
          <w:jc w:val="center"/>
        </w:trPr>
        <w:tc>
          <w:tcPr>
            <w:tcW w:w="1440" w:type="pct"/>
            <w:gridSpan w:val="2"/>
          </w:tcPr>
          <w:p w14:paraId="7B09835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3560" w:type="pct"/>
          </w:tcPr>
          <w:p w14:paraId="36FFBDD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Pregnancy, breastfeeding, and renal impairment </w:t>
            </w:r>
          </w:p>
        </w:tc>
      </w:tr>
      <w:tr w:rsidR="0053763D" w:rsidRPr="00F10C37" w14:paraId="4B6F4069" w14:textId="77777777" w:rsidTr="00C46407">
        <w:trPr>
          <w:jc w:val="center"/>
        </w:trPr>
        <w:tc>
          <w:tcPr>
            <w:tcW w:w="1440" w:type="pct"/>
            <w:gridSpan w:val="2"/>
          </w:tcPr>
          <w:p w14:paraId="3A5F7B5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3560" w:type="pct"/>
          </w:tcPr>
          <w:p w14:paraId="7C0AF53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at a temperature between 15°C and 30 °C in an airtight container. Protect from light.</w:t>
            </w:r>
          </w:p>
        </w:tc>
      </w:tr>
      <w:tr w:rsidR="0053763D" w:rsidRPr="00F10C37" w14:paraId="515CDE6C" w14:textId="77777777" w:rsidTr="00C46407">
        <w:trPr>
          <w:jc w:val="center"/>
        </w:trPr>
        <w:tc>
          <w:tcPr>
            <w:tcW w:w="5000" w:type="pct"/>
            <w:gridSpan w:val="3"/>
          </w:tcPr>
          <w:p w14:paraId="0606E3C6" w14:textId="77777777" w:rsidR="0053763D" w:rsidRPr="003D3E3A" w:rsidRDefault="0053763D" w:rsidP="00C46407">
            <w:pPr>
              <w:autoSpaceDE w:val="0"/>
              <w:autoSpaceDN w:val="0"/>
              <w:adjustRightInd w:val="0"/>
              <w:jc w:val="both"/>
              <w:rPr>
                <w:rFonts w:cs="Times New Roman"/>
                <w:b/>
                <w:color w:val="000000" w:themeColor="text1"/>
                <w:szCs w:val="24"/>
              </w:rPr>
            </w:pPr>
            <w:r w:rsidRPr="003D3E3A">
              <w:rPr>
                <w:rFonts w:cs="Times New Roman"/>
                <w:b/>
                <w:color w:val="000000" w:themeColor="text1"/>
                <w:szCs w:val="24"/>
              </w:rPr>
              <w:t>Esomeprazole</w:t>
            </w:r>
          </w:p>
        </w:tc>
      </w:tr>
      <w:tr w:rsidR="0053763D" w:rsidRPr="00F10C37" w14:paraId="6D1C3153" w14:textId="77777777" w:rsidTr="00C46407">
        <w:trPr>
          <w:jc w:val="center"/>
        </w:trPr>
        <w:tc>
          <w:tcPr>
            <w:tcW w:w="1421" w:type="pct"/>
          </w:tcPr>
          <w:p w14:paraId="72CDB79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3579" w:type="pct"/>
            <w:gridSpan w:val="2"/>
          </w:tcPr>
          <w:p w14:paraId="5909EED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Cs/>
                <w:color w:val="000000" w:themeColor="text1"/>
                <w:szCs w:val="24"/>
              </w:rPr>
              <w:t>Proton pump inhibitor.</w:t>
            </w:r>
          </w:p>
        </w:tc>
      </w:tr>
      <w:tr w:rsidR="0053763D" w:rsidRPr="00F10C37" w14:paraId="41A53B44" w14:textId="77777777" w:rsidTr="00C46407">
        <w:trPr>
          <w:jc w:val="center"/>
        </w:trPr>
        <w:tc>
          <w:tcPr>
            <w:tcW w:w="1421" w:type="pct"/>
          </w:tcPr>
          <w:p w14:paraId="6D9D361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3579" w:type="pct"/>
            <w:gridSpan w:val="2"/>
          </w:tcPr>
          <w:p w14:paraId="4330CA6D" w14:textId="77777777" w:rsidR="0053763D" w:rsidRDefault="0053763D" w:rsidP="00C46407">
            <w:pPr>
              <w:autoSpaceDE w:val="0"/>
              <w:autoSpaceDN w:val="0"/>
              <w:adjustRightInd w:val="0"/>
              <w:jc w:val="both"/>
              <w:rPr>
                <w:rFonts w:cs="Times New Roman"/>
                <w:iCs/>
                <w:color w:val="000000"/>
                <w:szCs w:val="24"/>
              </w:rPr>
            </w:pPr>
            <w:r w:rsidRPr="00F10C37">
              <w:rPr>
                <w:rFonts w:cs="Times New Roman"/>
                <w:iCs/>
                <w:color w:val="000000"/>
                <w:szCs w:val="24"/>
              </w:rPr>
              <w:t>Capsule</w:t>
            </w:r>
            <w:r>
              <w:rPr>
                <w:rFonts w:cs="Times New Roman"/>
                <w:iCs/>
                <w:color w:val="000000"/>
                <w:szCs w:val="24"/>
              </w:rPr>
              <w:t xml:space="preserve">: </w:t>
            </w:r>
            <w:r w:rsidRPr="00F10C37">
              <w:rPr>
                <w:rFonts w:cs="Times New Roman"/>
                <w:iCs/>
                <w:color w:val="000000"/>
                <w:szCs w:val="24"/>
              </w:rPr>
              <w:t>20mg</w:t>
            </w:r>
          </w:p>
          <w:p w14:paraId="41D288BF" w14:textId="77777777" w:rsidR="0053763D" w:rsidRDefault="0053763D" w:rsidP="00C46407">
            <w:pPr>
              <w:autoSpaceDE w:val="0"/>
              <w:autoSpaceDN w:val="0"/>
              <w:adjustRightInd w:val="0"/>
              <w:jc w:val="both"/>
              <w:rPr>
                <w:rFonts w:cs="Times New Roman"/>
                <w:iCs/>
                <w:color w:val="000000"/>
                <w:szCs w:val="24"/>
              </w:rPr>
            </w:pPr>
            <w:r w:rsidRPr="00F10C37">
              <w:rPr>
                <w:rFonts w:cs="Times New Roman"/>
                <w:iCs/>
                <w:color w:val="000000"/>
                <w:szCs w:val="24"/>
              </w:rPr>
              <w:t>Tablet (</w:t>
            </w:r>
            <w:r>
              <w:rPr>
                <w:rFonts w:cs="Times New Roman"/>
                <w:iCs/>
                <w:color w:val="000000"/>
                <w:szCs w:val="24"/>
              </w:rPr>
              <w:t>enteric coated</w:t>
            </w:r>
            <w:r w:rsidRPr="00F10C37">
              <w:rPr>
                <w:rFonts w:cs="Times New Roman"/>
                <w:iCs/>
                <w:color w:val="000000"/>
                <w:szCs w:val="24"/>
              </w:rPr>
              <w:t>)</w:t>
            </w:r>
            <w:r>
              <w:rPr>
                <w:rFonts w:cs="Times New Roman"/>
                <w:iCs/>
                <w:color w:val="000000"/>
                <w:szCs w:val="24"/>
              </w:rPr>
              <w:t xml:space="preserve">: </w:t>
            </w:r>
            <w:r w:rsidRPr="00F10C37">
              <w:rPr>
                <w:rFonts w:cs="Times New Roman"/>
                <w:iCs/>
                <w:color w:val="000000"/>
                <w:szCs w:val="24"/>
              </w:rPr>
              <w:t>20mg, 40mg</w:t>
            </w:r>
          </w:p>
          <w:p w14:paraId="44D4D65C" w14:textId="77777777" w:rsidR="0053763D" w:rsidRDefault="0053763D" w:rsidP="00C46407">
            <w:pPr>
              <w:autoSpaceDE w:val="0"/>
              <w:autoSpaceDN w:val="0"/>
              <w:adjustRightInd w:val="0"/>
              <w:jc w:val="both"/>
              <w:rPr>
                <w:rFonts w:cs="Times New Roman"/>
                <w:iCs/>
                <w:color w:val="000000"/>
                <w:szCs w:val="24"/>
              </w:rPr>
            </w:pPr>
            <w:r>
              <w:rPr>
                <w:rFonts w:cs="Times New Roman"/>
                <w:iCs/>
                <w:color w:val="000000"/>
                <w:szCs w:val="24"/>
              </w:rPr>
              <w:t xml:space="preserve">Powder for </w:t>
            </w:r>
            <w:r w:rsidRPr="00F10C37">
              <w:rPr>
                <w:rFonts w:cs="Times New Roman"/>
                <w:iCs/>
                <w:color w:val="000000"/>
                <w:szCs w:val="24"/>
              </w:rPr>
              <w:t>suspension (pediatric)</w:t>
            </w:r>
            <w:r>
              <w:rPr>
                <w:rFonts w:cs="Times New Roman"/>
                <w:iCs/>
                <w:color w:val="000000"/>
                <w:szCs w:val="24"/>
              </w:rPr>
              <w:t xml:space="preserve">: </w:t>
            </w:r>
            <w:r w:rsidRPr="00F10C37">
              <w:rPr>
                <w:rFonts w:cs="Times New Roman"/>
                <w:iCs/>
                <w:color w:val="000000"/>
                <w:szCs w:val="24"/>
              </w:rPr>
              <w:t>20mg, 40mg/sachet</w:t>
            </w:r>
          </w:p>
          <w:p w14:paraId="3430727F"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iCs/>
                <w:color w:val="000000"/>
                <w:szCs w:val="24"/>
              </w:rPr>
              <w:t>Powder for injection</w:t>
            </w:r>
            <w:r>
              <w:rPr>
                <w:rFonts w:cs="Times New Roman"/>
                <w:iCs/>
                <w:color w:val="000000"/>
                <w:szCs w:val="24"/>
              </w:rPr>
              <w:t xml:space="preserve">: </w:t>
            </w:r>
            <w:r w:rsidRPr="00F10C37">
              <w:rPr>
                <w:rFonts w:cs="Times New Roman"/>
                <w:iCs/>
                <w:color w:val="000000"/>
                <w:szCs w:val="24"/>
              </w:rPr>
              <w:t>20mg</w:t>
            </w:r>
            <w:r>
              <w:rPr>
                <w:rFonts w:cs="Times New Roman"/>
                <w:iCs/>
                <w:color w:val="000000"/>
                <w:szCs w:val="24"/>
              </w:rPr>
              <w:t>/5ml</w:t>
            </w:r>
            <w:r w:rsidRPr="00F10C37">
              <w:rPr>
                <w:rFonts w:cs="Times New Roman"/>
                <w:iCs/>
                <w:color w:val="000000"/>
                <w:szCs w:val="24"/>
              </w:rPr>
              <w:t>, 40mg/5</w:t>
            </w:r>
            <w:r>
              <w:rPr>
                <w:rFonts w:cs="Times New Roman"/>
                <w:iCs/>
                <w:color w:val="000000"/>
                <w:szCs w:val="24"/>
              </w:rPr>
              <w:t>ml</w:t>
            </w:r>
            <w:r w:rsidRPr="00F10C37">
              <w:rPr>
                <w:rFonts w:cs="Times New Roman"/>
                <w:iCs/>
                <w:color w:val="000000"/>
                <w:szCs w:val="24"/>
              </w:rPr>
              <w:t xml:space="preserve"> vial</w:t>
            </w:r>
          </w:p>
        </w:tc>
      </w:tr>
      <w:tr w:rsidR="0053763D" w:rsidRPr="00F10C37" w14:paraId="39572A6B" w14:textId="77777777" w:rsidTr="00C46407">
        <w:trPr>
          <w:jc w:val="center"/>
        </w:trPr>
        <w:tc>
          <w:tcPr>
            <w:tcW w:w="1421" w:type="pct"/>
          </w:tcPr>
          <w:p w14:paraId="7ADF8454" w14:textId="77777777" w:rsidR="0053763D" w:rsidRPr="00540005" w:rsidRDefault="0053763D" w:rsidP="00C46407">
            <w:pPr>
              <w:jc w:val="both"/>
              <w:rPr>
                <w:rFonts w:cs="Times New Roman"/>
                <w:color w:val="000000" w:themeColor="text1"/>
                <w:szCs w:val="24"/>
              </w:rPr>
            </w:pPr>
            <w:r w:rsidRPr="00540005">
              <w:rPr>
                <w:rFonts w:cs="Times New Roman"/>
                <w:color w:val="000000" w:themeColor="text1"/>
                <w:szCs w:val="24"/>
              </w:rPr>
              <w:t>Indications</w:t>
            </w:r>
          </w:p>
        </w:tc>
        <w:tc>
          <w:tcPr>
            <w:tcW w:w="3579" w:type="pct"/>
            <w:gridSpan w:val="2"/>
          </w:tcPr>
          <w:p w14:paraId="6BE4888B" w14:textId="77777777" w:rsidR="0053763D" w:rsidRPr="003D3E3A"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color w:val="000000"/>
                <w:szCs w:val="24"/>
              </w:rPr>
              <w:t>Erosive oesophagitis, GERD, NSAID</w:t>
            </w:r>
            <w:r>
              <w:rPr>
                <w:rFonts w:eastAsia="TimesNewRomanPSMT" w:cs="Times New Roman"/>
                <w:color w:val="000000"/>
                <w:szCs w:val="24"/>
              </w:rPr>
              <w:t>s</w:t>
            </w:r>
            <w:r w:rsidRPr="00F10C37">
              <w:rPr>
                <w:rFonts w:eastAsia="TimesNewRomanPSMT" w:cs="Times New Roman"/>
                <w:color w:val="000000"/>
                <w:szCs w:val="24"/>
              </w:rPr>
              <w:t>-associated</w:t>
            </w:r>
            <w:r>
              <w:rPr>
                <w:rFonts w:eastAsia="TimesNewRomanPSMT" w:cs="Times New Roman"/>
                <w:color w:val="000000"/>
                <w:szCs w:val="24"/>
              </w:rPr>
              <w:t xml:space="preserve"> </w:t>
            </w:r>
            <w:r w:rsidRPr="00F10C37">
              <w:rPr>
                <w:rFonts w:eastAsia="TimesNewRomanPSMT" w:cs="Times New Roman"/>
                <w:color w:val="000000"/>
                <w:szCs w:val="24"/>
              </w:rPr>
              <w:t xml:space="preserve">gastric ulcer, ZES, </w:t>
            </w:r>
            <w:r>
              <w:rPr>
                <w:rFonts w:eastAsia="TimesNewRomanPSMT" w:cs="Times New Roman"/>
                <w:color w:val="000000"/>
                <w:szCs w:val="24"/>
              </w:rPr>
              <w:t>e</w:t>
            </w:r>
            <w:r w:rsidRPr="00F10C37">
              <w:rPr>
                <w:rFonts w:eastAsia="TimesNewRomanPSMT" w:cs="Times New Roman"/>
                <w:color w:val="000000"/>
                <w:szCs w:val="24"/>
              </w:rPr>
              <w:t xml:space="preserve">radication of </w:t>
            </w:r>
            <w:r w:rsidRPr="00F10C37">
              <w:rPr>
                <w:rFonts w:cs="Times New Roman"/>
                <w:i/>
                <w:iCs/>
                <w:color w:val="000000"/>
                <w:szCs w:val="24"/>
              </w:rPr>
              <w:t>H. pylori</w:t>
            </w:r>
            <w:r w:rsidRPr="00F10C37">
              <w:rPr>
                <w:rFonts w:cs="Times New Roman"/>
                <w:iCs/>
                <w:color w:val="000000"/>
                <w:szCs w:val="24"/>
              </w:rPr>
              <w:t>,</w:t>
            </w:r>
            <w:r w:rsidRPr="00F10C37">
              <w:rPr>
                <w:rFonts w:cs="Times New Roman"/>
                <w:i/>
                <w:iCs/>
                <w:color w:val="000000"/>
                <w:szCs w:val="24"/>
              </w:rPr>
              <w:t xml:space="preserve"> </w:t>
            </w:r>
            <w:r>
              <w:rPr>
                <w:rFonts w:eastAsia="TimesNewRomanPSMT" w:cs="Times New Roman"/>
                <w:color w:val="000000"/>
                <w:szCs w:val="24"/>
              </w:rPr>
              <w:t>s</w:t>
            </w:r>
            <w:r w:rsidRPr="00F10C37">
              <w:rPr>
                <w:rFonts w:eastAsia="TimesNewRomanPSMT" w:cs="Times New Roman"/>
                <w:color w:val="000000"/>
                <w:szCs w:val="24"/>
              </w:rPr>
              <w:t>evere peptic ulcer bleeding (following endoscopic treatment)</w:t>
            </w:r>
          </w:p>
        </w:tc>
      </w:tr>
      <w:tr w:rsidR="0053763D" w:rsidRPr="00F10C37" w14:paraId="54799C5D" w14:textId="77777777" w:rsidTr="00C46407">
        <w:trPr>
          <w:jc w:val="center"/>
        </w:trPr>
        <w:tc>
          <w:tcPr>
            <w:tcW w:w="1421" w:type="pct"/>
          </w:tcPr>
          <w:p w14:paraId="60031054"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3579" w:type="pct"/>
            <w:gridSpan w:val="2"/>
          </w:tcPr>
          <w:p w14:paraId="70964EF7"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Erosive oesophagitis,</w:t>
            </w:r>
            <w:r w:rsidRPr="00F10C37">
              <w:rPr>
                <w:rFonts w:cs="Times New Roman"/>
                <w:i/>
                <w:iCs/>
                <w:color w:val="000000"/>
                <w:szCs w:val="24"/>
              </w:rPr>
              <w:t xml:space="preserve"> </w:t>
            </w:r>
            <w:r>
              <w:rPr>
                <w:rFonts w:cs="Times New Roman"/>
                <w:iCs/>
                <w:color w:val="000000"/>
                <w:szCs w:val="24"/>
              </w:rPr>
              <w:t>o</w:t>
            </w:r>
            <w:r w:rsidRPr="003D3E3A">
              <w:rPr>
                <w:rFonts w:cs="Times New Roman"/>
                <w:iCs/>
                <w:color w:val="000000"/>
                <w:szCs w:val="24"/>
              </w:rPr>
              <w:t>ral</w:t>
            </w:r>
            <w:r w:rsidRPr="00405797">
              <w:rPr>
                <w:rFonts w:eastAsia="TimesNewRomanPSMT" w:cs="Times New Roman"/>
                <w:color w:val="000000"/>
                <w:szCs w:val="24"/>
              </w:rPr>
              <w:t>:</w:t>
            </w:r>
            <w:r w:rsidRPr="00F10C37">
              <w:rPr>
                <w:rFonts w:eastAsia="TimesNewRomanPSMT" w:cs="Times New Roman"/>
                <w:color w:val="000000"/>
                <w:szCs w:val="24"/>
              </w:rPr>
              <w:t xml:space="preserve"> </w:t>
            </w:r>
          </w:p>
          <w:p w14:paraId="51603B83" w14:textId="77777777" w:rsidR="0053763D"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 xml:space="preserve">Adult and child </w:t>
            </w:r>
            <w:r w:rsidRPr="00F10C37">
              <w:rPr>
                <w:rFonts w:eastAsia="TimesNewRomanPSMT" w:cs="Times New Roman"/>
                <w:b/>
                <w:color w:val="000000"/>
                <w:szCs w:val="24"/>
                <w:u w:val="single"/>
              </w:rPr>
              <w:t>&gt;</w:t>
            </w:r>
            <w:r w:rsidRPr="00F10C37">
              <w:rPr>
                <w:rFonts w:eastAsia="TimesNewRomanPSMT" w:cs="Times New Roman"/>
                <w:b/>
                <w:color w:val="000000"/>
                <w:szCs w:val="24"/>
              </w:rPr>
              <w:t xml:space="preserve"> 12 years:</w:t>
            </w:r>
            <w:r w:rsidRPr="00F10C37">
              <w:rPr>
                <w:rFonts w:eastAsia="TimesNewRomanPSMT" w:cs="Times New Roman"/>
                <w:color w:val="000000"/>
                <w:szCs w:val="24"/>
              </w:rPr>
              <w:t xml:space="preserve"> 40 mg once daily for 4-8 weeks. Maintenance to prevent relapse, 20mg once daily for additional 4-8 weeks. </w:t>
            </w:r>
          </w:p>
          <w:p w14:paraId="73D7EC13"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Chlid (1 to 11 years):</w:t>
            </w:r>
            <w:r w:rsidRPr="00F10C37">
              <w:rPr>
                <w:rFonts w:eastAsia="TimesNewRomanPSMT" w:cs="Times New Roman"/>
                <w:color w:val="000000"/>
                <w:szCs w:val="24"/>
              </w:rPr>
              <w:t xml:space="preserve"> 10 mg once a day up to 4-8 weeks.</w:t>
            </w:r>
          </w:p>
          <w:p w14:paraId="3D888CCA" w14:textId="77777777" w:rsidR="0053763D"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GERD</w:t>
            </w:r>
            <w:r w:rsidRPr="00F10C37">
              <w:rPr>
                <w:rFonts w:eastAsia="TimesNewRomanPSMT" w:cs="Times New Roman"/>
                <w:color w:val="000000"/>
                <w:szCs w:val="24"/>
              </w:rPr>
              <w:t xml:space="preserve"> </w:t>
            </w:r>
            <w:r w:rsidRPr="00F10C37">
              <w:rPr>
                <w:rFonts w:eastAsia="TimesNewRomanPSMT" w:cs="Times New Roman"/>
                <w:b/>
                <w:color w:val="000000"/>
                <w:szCs w:val="24"/>
              </w:rPr>
              <w:t>(without oesophagitis), oral</w:t>
            </w:r>
            <w:r w:rsidRPr="00F10C37">
              <w:rPr>
                <w:rFonts w:eastAsia="TimesNewRomanPSMT" w:cs="Times New Roman"/>
                <w:color w:val="000000"/>
                <w:szCs w:val="24"/>
              </w:rPr>
              <w:t xml:space="preserve">: </w:t>
            </w:r>
          </w:p>
          <w:p w14:paraId="3A8DECD6" w14:textId="77777777" w:rsidR="0053763D"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 xml:space="preserve">Adult and child </w:t>
            </w:r>
            <w:r w:rsidRPr="00F10C37">
              <w:rPr>
                <w:rFonts w:eastAsia="TimesNewRomanPSMT" w:cs="Times New Roman"/>
                <w:b/>
                <w:color w:val="000000"/>
                <w:szCs w:val="24"/>
                <w:u w:val="single"/>
              </w:rPr>
              <w:t>&gt;</w:t>
            </w:r>
            <w:r w:rsidRPr="00F10C37">
              <w:rPr>
                <w:rFonts w:eastAsia="TimesNewRomanPSMT" w:cs="Times New Roman"/>
                <w:b/>
                <w:color w:val="000000"/>
                <w:szCs w:val="24"/>
              </w:rPr>
              <w:t xml:space="preserve"> 12 years:</w:t>
            </w:r>
            <w:r w:rsidRPr="00F10C37">
              <w:rPr>
                <w:rFonts w:eastAsia="TimesNewRomanPSMT" w:cs="Times New Roman"/>
                <w:color w:val="000000"/>
                <w:szCs w:val="24"/>
              </w:rPr>
              <w:t xml:space="preserve"> 20mg once daily for 4 weeks. </w:t>
            </w:r>
          </w:p>
          <w:p w14:paraId="71C3A435"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Chlid (1 to 11 years):</w:t>
            </w:r>
            <w:r w:rsidRPr="00F10C37">
              <w:rPr>
                <w:rFonts w:eastAsia="TimesNewRomanPSMT" w:cs="Times New Roman"/>
                <w:color w:val="000000"/>
                <w:szCs w:val="24"/>
              </w:rPr>
              <w:t xml:space="preserve"> 10 mg once a day up to 4 weeks.</w:t>
            </w:r>
          </w:p>
          <w:p w14:paraId="797F769E"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NSAID</w:t>
            </w:r>
            <w:r>
              <w:rPr>
                <w:rFonts w:eastAsia="TimesNewRomanPSMT" w:cs="Times New Roman"/>
                <w:b/>
                <w:color w:val="000000"/>
                <w:szCs w:val="24"/>
              </w:rPr>
              <w:t>s</w:t>
            </w:r>
            <w:r w:rsidRPr="00F10C37">
              <w:rPr>
                <w:rFonts w:eastAsia="TimesNewRomanPSMT" w:cs="Times New Roman"/>
                <w:b/>
                <w:color w:val="000000"/>
                <w:szCs w:val="24"/>
              </w:rPr>
              <w:t>-associated gastric ulcer, oral</w:t>
            </w:r>
            <w:r w:rsidRPr="00F10C37">
              <w:rPr>
                <w:rFonts w:eastAsia="TimesNewRomanPSMT" w:cs="Times New Roman"/>
                <w:color w:val="000000"/>
                <w:szCs w:val="24"/>
              </w:rPr>
              <w:t xml:space="preserve">: </w:t>
            </w:r>
            <w:r w:rsidRPr="00F10C37">
              <w:rPr>
                <w:rFonts w:eastAsia="TimesNewRomanPSMT" w:cs="Times New Roman"/>
                <w:b/>
                <w:color w:val="000000"/>
                <w:szCs w:val="24"/>
              </w:rPr>
              <w:t>Adult:</w:t>
            </w:r>
            <w:r w:rsidRPr="00F10C37">
              <w:rPr>
                <w:rFonts w:eastAsia="TimesNewRomanPSMT" w:cs="Times New Roman"/>
                <w:color w:val="000000"/>
                <w:szCs w:val="24"/>
              </w:rPr>
              <w:t xml:space="preserve"> 20 mg once daily for 4–8 weeks</w:t>
            </w:r>
            <w:r>
              <w:rPr>
                <w:rFonts w:eastAsia="TimesNewRomanPSMT" w:cs="Times New Roman"/>
                <w:color w:val="000000"/>
                <w:szCs w:val="24"/>
              </w:rPr>
              <w:t>.</w:t>
            </w:r>
          </w:p>
          <w:p w14:paraId="29F684DC"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ZES, oral</w:t>
            </w:r>
            <w:r w:rsidRPr="00F10C37">
              <w:rPr>
                <w:rFonts w:eastAsia="TimesNewRomanPSMT" w:cs="Times New Roman"/>
                <w:color w:val="000000"/>
                <w:szCs w:val="24"/>
              </w:rPr>
              <w:t xml:space="preserve">: </w:t>
            </w:r>
            <w:r w:rsidRPr="00F10C37">
              <w:rPr>
                <w:rFonts w:eastAsia="TimesNewRomanPSMT" w:cs="Times New Roman"/>
                <w:b/>
                <w:color w:val="000000"/>
                <w:szCs w:val="24"/>
              </w:rPr>
              <w:t>Adult</w:t>
            </w:r>
            <w:r w:rsidRPr="00F10C37">
              <w:rPr>
                <w:rFonts w:eastAsia="TimesNewRomanPSMT" w:cs="Times New Roman"/>
                <w:color w:val="000000"/>
                <w:szCs w:val="24"/>
              </w:rPr>
              <w:t xml:space="preserve">: initially 40 mg twice daily, adjusted according to response; usual range 80–160 mg daily (above 80 mg in 2 divided doses). </w:t>
            </w:r>
          </w:p>
          <w:p w14:paraId="7153B054" w14:textId="77777777" w:rsidR="0053763D" w:rsidRPr="00F10C37" w:rsidRDefault="0053763D" w:rsidP="00C46407">
            <w:pPr>
              <w:autoSpaceDE w:val="0"/>
              <w:autoSpaceDN w:val="0"/>
              <w:adjustRightInd w:val="0"/>
              <w:jc w:val="both"/>
              <w:rPr>
                <w:rFonts w:eastAsia="TimesNewRomanPSMT" w:cs="Times New Roman"/>
                <w:color w:val="000000"/>
                <w:szCs w:val="24"/>
              </w:rPr>
            </w:pPr>
            <w:r w:rsidRPr="00F10C37">
              <w:rPr>
                <w:rFonts w:eastAsia="TimesNewRomanPSMT" w:cs="Times New Roman"/>
                <w:b/>
                <w:color w:val="000000"/>
                <w:szCs w:val="24"/>
              </w:rPr>
              <w:t xml:space="preserve">Eradication of </w:t>
            </w:r>
            <w:r w:rsidRPr="00F10C37">
              <w:rPr>
                <w:rFonts w:cs="Times New Roman"/>
                <w:b/>
                <w:i/>
                <w:iCs/>
                <w:color w:val="000000"/>
                <w:szCs w:val="24"/>
              </w:rPr>
              <w:t xml:space="preserve">H. pylori, </w:t>
            </w:r>
            <w:r w:rsidRPr="00F10C37">
              <w:rPr>
                <w:rFonts w:cs="Times New Roman"/>
                <w:b/>
                <w:iCs/>
                <w:color w:val="000000"/>
                <w:szCs w:val="24"/>
              </w:rPr>
              <w:t>oral</w:t>
            </w:r>
            <w:r w:rsidRPr="00F10C37">
              <w:rPr>
                <w:rFonts w:cs="Times New Roman"/>
                <w:iCs/>
                <w:color w:val="000000"/>
                <w:szCs w:val="24"/>
              </w:rPr>
              <w:t>:</w:t>
            </w:r>
            <w:r w:rsidRPr="00F10C37">
              <w:rPr>
                <w:rFonts w:cs="Times New Roman"/>
                <w:i/>
                <w:iCs/>
                <w:color w:val="000000"/>
                <w:szCs w:val="24"/>
              </w:rPr>
              <w:t xml:space="preserve"> </w:t>
            </w:r>
            <w:r w:rsidRPr="00F10C37">
              <w:rPr>
                <w:rFonts w:eastAsia="TimesNewRomanPSMT" w:cs="Times New Roman"/>
                <w:color w:val="000000"/>
                <w:szCs w:val="24"/>
              </w:rPr>
              <w:t xml:space="preserve"> </w:t>
            </w:r>
            <w:r w:rsidRPr="00F10C37">
              <w:rPr>
                <w:rFonts w:cs="Times New Roman"/>
                <w:b/>
                <w:iCs/>
                <w:color w:val="000000"/>
                <w:szCs w:val="24"/>
              </w:rPr>
              <w:t>Adult:</w:t>
            </w:r>
            <w:r w:rsidRPr="00F10C37">
              <w:rPr>
                <w:rFonts w:cs="Times New Roman"/>
                <w:i/>
                <w:iCs/>
                <w:color w:val="000000"/>
                <w:szCs w:val="24"/>
              </w:rPr>
              <w:t xml:space="preserve"> </w:t>
            </w:r>
            <w:r w:rsidRPr="00F10C37">
              <w:rPr>
                <w:rFonts w:eastAsia="TimesNewRomanPSMT" w:cs="Times New Roman"/>
                <w:color w:val="000000"/>
                <w:szCs w:val="24"/>
              </w:rPr>
              <w:t xml:space="preserve">esomeprazole 20mg plus amoxicillin 1g and clarithromycin 500mg, all twice daily for 7 -10 days. </w:t>
            </w:r>
          </w:p>
          <w:p w14:paraId="32A08080" w14:textId="77777777" w:rsidR="0053763D" w:rsidRPr="00F10C37" w:rsidRDefault="0053763D" w:rsidP="00C46407">
            <w:pPr>
              <w:autoSpaceDE w:val="0"/>
              <w:autoSpaceDN w:val="0"/>
              <w:adjustRightInd w:val="0"/>
              <w:jc w:val="both"/>
              <w:rPr>
                <w:rFonts w:eastAsia="TimesNewRomanPSMT" w:cs="Times New Roman"/>
                <w:b/>
                <w:color w:val="000000"/>
                <w:szCs w:val="24"/>
              </w:rPr>
            </w:pPr>
            <w:r w:rsidRPr="00F10C37">
              <w:rPr>
                <w:rFonts w:eastAsia="TimesNewRomanPSMT" w:cs="Times New Roman"/>
                <w:b/>
                <w:color w:val="000000"/>
                <w:szCs w:val="24"/>
              </w:rPr>
              <w:t>Gastric antisecretory treatment, IV: Adult:</w:t>
            </w:r>
            <w:r w:rsidRPr="00F10C37">
              <w:rPr>
                <w:rFonts w:eastAsia="TimesNewRomanPSMT" w:cs="Times New Roman"/>
                <w:color w:val="000000"/>
                <w:szCs w:val="24"/>
              </w:rPr>
              <w:t xml:space="preserve"> </w:t>
            </w:r>
            <w:r w:rsidRPr="00F10C37">
              <w:rPr>
                <w:rFonts w:eastAsia="TimesNewRomanPSMT" w:cs="Times New Roman"/>
                <w:b/>
                <w:color w:val="000000"/>
                <w:szCs w:val="24"/>
              </w:rPr>
              <w:t>GERD</w:t>
            </w:r>
            <w:r w:rsidRPr="00F10C37">
              <w:rPr>
                <w:rFonts w:eastAsia="TimesNewRomanPSMT" w:cs="Times New Roman"/>
                <w:color w:val="000000"/>
                <w:szCs w:val="24"/>
              </w:rPr>
              <w:t>, 40 mg once daily (</w:t>
            </w:r>
            <w:r w:rsidRPr="00F10C37">
              <w:rPr>
                <w:rFonts w:cs="Times New Roman"/>
                <w:iCs/>
                <w:color w:val="000000"/>
                <w:szCs w:val="24"/>
              </w:rPr>
              <w:t xml:space="preserve">IV </w:t>
            </w:r>
            <w:r w:rsidRPr="00F10C37">
              <w:rPr>
                <w:rFonts w:eastAsia="TimesNewRomanPSMT" w:cs="Times New Roman"/>
                <w:color w:val="000000"/>
                <w:szCs w:val="24"/>
              </w:rPr>
              <w:t xml:space="preserve">over a period of at least 3 minutes or by infusion); </w:t>
            </w:r>
            <w:r w:rsidRPr="00F10C37">
              <w:rPr>
                <w:rFonts w:eastAsia="TimesNewRomanPSMT" w:cs="Times New Roman"/>
                <w:b/>
                <w:color w:val="000000"/>
                <w:szCs w:val="24"/>
              </w:rPr>
              <w:t xml:space="preserve">symptomatic reflux disease without oesophagitis, treatment of </w:t>
            </w:r>
            <w:r w:rsidRPr="00F10C37">
              <w:rPr>
                <w:rFonts w:eastAsia="TimesNewRomanPSMT" w:cs="Times New Roman"/>
                <w:b/>
                <w:color w:val="000000"/>
                <w:szCs w:val="24"/>
              </w:rPr>
              <w:lastRenderedPageBreak/>
              <w:t>NSAID-associated gastric ulcer, prevention of NSAID associated gastric or duodenal ulcer</w:t>
            </w:r>
            <w:r w:rsidRPr="00F10C37">
              <w:rPr>
                <w:rFonts w:eastAsia="TimesNewRomanPSMT" w:cs="Times New Roman"/>
                <w:color w:val="000000"/>
                <w:szCs w:val="24"/>
              </w:rPr>
              <w:t>, 20 mg daily (</w:t>
            </w:r>
            <w:r w:rsidRPr="00F10C37">
              <w:rPr>
                <w:rFonts w:cs="Times New Roman"/>
                <w:iCs/>
                <w:color w:val="000000"/>
                <w:szCs w:val="24"/>
              </w:rPr>
              <w:t xml:space="preserve">IV </w:t>
            </w:r>
            <w:r w:rsidRPr="00F10C37">
              <w:rPr>
                <w:rFonts w:eastAsia="TimesNewRomanPSMT" w:cs="Times New Roman"/>
                <w:color w:val="000000"/>
                <w:szCs w:val="24"/>
              </w:rPr>
              <w:t xml:space="preserve">over a period of at least 3 minutes or by infusion); continue until oral administration possible. </w:t>
            </w:r>
          </w:p>
          <w:p w14:paraId="526E7D40" w14:textId="77777777" w:rsidR="0053763D" w:rsidRPr="00F10C37" w:rsidRDefault="0053763D" w:rsidP="00C46407">
            <w:pPr>
              <w:autoSpaceDE w:val="0"/>
              <w:autoSpaceDN w:val="0"/>
              <w:adjustRightInd w:val="0"/>
              <w:jc w:val="both"/>
              <w:rPr>
                <w:rFonts w:eastAsia="TimesNewRomanPSMT" w:cs="Times New Roman"/>
                <w:b/>
                <w:color w:val="000000"/>
                <w:szCs w:val="24"/>
              </w:rPr>
            </w:pPr>
            <w:r w:rsidRPr="00F10C37">
              <w:rPr>
                <w:rFonts w:eastAsia="TimesNewRomanPSMT" w:cs="Times New Roman"/>
                <w:b/>
                <w:color w:val="000000"/>
                <w:szCs w:val="24"/>
              </w:rPr>
              <w:t>Prevention of rebleeding of gastric and doudinal ulcers, IV: Adult: severe peptic ulcer bleeding (following endoscopic treatment):</w:t>
            </w:r>
            <w:r w:rsidRPr="00F10C37">
              <w:rPr>
                <w:rFonts w:eastAsia="TimesNewRomanPSMT" w:cs="Times New Roman"/>
                <w:color w:val="000000"/>
                <w:szCs w:val="24"/>
              </w:rPr>
              <w:t xml:space="preserve"> initial IV infusion of 80 mg over 30 minutes, then by continuous IV infusion 8 mg/hour for 72 hours, then by mouth 40 mg once daily for 4 weeks.</w:t>
            </w:r>
          </w:p>
          <w:p w14:paraId="73C7D66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iCs/>
                <w:color w:val="000000"/>
                <w:szCs w:val="24"/>
              </w:rPr>
              <w:t>Note:</w:t>
            </w:r>
            <w:r w:rsidRPr="00F10C37">
              <w:rPr>
                <w:rFonts w:cs="Times New Roman"/>
                <w:iCs/>
                <w:color w:val="000000"/>
                <w:szCs w:val="24"/>
              </w:rPr>
              <w:t xml:space="preserve"> Taking the medication at least 1 hour before a meal will have maximum benefit</w:t>
            </w:r>
            <w:r w:rsidRPr="00F10C37">
              <w:rPr>
                <w:rFonts w:cs="Times New Roman"/>
                <w:i/>
                <w:iCs/>
                <w:color w:val="000000"/>
                <w:szCs w:val="24"/>
              </w:rPr>
              <w:t>.</w:t>
            </w:r>
          </w:p>
        </w:tc>
      </w:tr>
      <w:tr w:rsidR="0053763D" w:rsidRPr="00F10C37" w14:paraId="2F19CD49" w14:textId="77777777" w:rsidTr="00C46407">
        <w:trPr>
          <w:jc w:val="center"/>
        </w:trPr>
        <w:tc>
          <w:tcPr>
            <w:tcW w:w="1421" w:type="pct"/>
          </w:tcPr>
          <w:p w14:paraId="58707F5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3579" w:type="pct"/>
            <w:gridSpan w:val="2"/>
          </w:tcPr>
          <w:p w14:paraId="6ED2FBFB" w14:textId="77777777" w:rsidR="0053763D" w:rsidRPr="00F10C37" w:rsidRDefault="005A0E39" w:rsidP="00C46407">
            <w:pPr>
              <w:autoSpaceDE w:val="0"/>
              <w:autoSpaceDN w:val="0"/>
              <w:adjustRightInd w:val="0"/>
              <w:jc w:val="both"/>
              <w:rPr>
                <w:rFonts w:cs="Times New Roman"/>
                <w:color w:val="000000" w:themeColor="text1"/>
                <w:szCs w:val="24"/>
              </w:rPr>
            </w:pPr>
            <w:r>
              <w:rPr>
                <w:rFonts w:eastAsia="TimesNewRomanPSMT" w:cs="Times New Roman"/>
                <w:color w:val="000000"/>
                <w:szCs w:val="24"/>
              </w:rPr>
              <w:t>H</w:t>
            </w:r>
            <w:r w:rsidR="0053763D" w:rsidRPr="00F10C37">
              <w:rPr>
                <w:rFonts w:eastAsia="TimesNewRomanPSMT" w:cs="Times New Roman"/>
                <w:color w:val="000000"/>
                <w:szCs w:val="24"/>
              </w:rPr>
              <w:t>ypersensitivity to the drug.</w:t>
            </w:r>
          </w:p>
        </w:tc>
      </w:tr>
      <w:tr w:rsidR="0053763D" w:rsidRPr="00F10C37" w14:paraId="18CEBDDC" w14:textId="77777777" w:rsidTr="00C46407">
        <w:trPr>
          <w:jc w:val="center"/>
        </w:trPr>
        <w:tc>
          <w:tcPr>
            <w:tcW w:w="1421" w:type="pct"/>
          </w:tcPr>
          <w:p w14:paraId="0BE5422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3579" w:type="pct"/>
            <w:gridSpan w:val="2"/>
          </w:tcPr>
          <w:p w14:paraId="7527F42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eastAsia="TimesNewRomanPSMT" w:cs="Times New Roman"/>
                <w:color w:val="000000"/>
                <w:szCs w:val="24"/>
              </w:rPr>
              <w:t>Diazepam, warfarin, phenytoin, fluoxetin, propranolol, indinavir, ketoconazole, and carbamazepine.</w:t>
            </w:r>
          </w:p>
        </w:tc>
      </w:tr>
      <w:tr w:rsidR="0053763D" w:rsidRPr="00F10C37" w14:paraId="4A7D1C90" w14:textId="77777777" w:rsidTr="00C46407">
        <w:trPr>
          <w:jc w:val="center"/>
        </w:trPr>
        <w:tc>
          <w:tcPr>
            <w:tcW w:w="1421" w:type="pct"/>
          </w:tcPr>
          <w:p w14:paraId="4E56693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3579" w:type="pct"/>
            <w:gridSpan w:val="2"/>
          </w:tcPr>
          <w:p w14:paraId="640FBAC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eastAsia="TimesNewRomanPSMT" w:cs="Times New Roman"/>
                <w:color w:val="000000"/>
                <w:szCs w:val="24"/>
              </w:rPr>
              <w:t>Diarrhoea, headache, skin rashes, nausea, vomiting, constipation, flatulence and abdominal pain, pruritus, urticaria, dizziness.</w:t>
            </w:r>
          </w:p>
        </w:tc>
      </w:tr>
      <w:tr w:rsidR="0053763D" w:rsidRPr="00F10C37" w14:paraId="2BA3A76D" w14:textId="77777777" w:rsidTr="00C46407">
        <w:trPr>
          <w:jc w:val="center"/>
        </w:trPr>
        <w:tc>
          <w:tcPr>
            <w:tcW w:w="1421" w:type="pct"/>
          </w:tcPr>
          <w:p w14:paraId="3CBDA9F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3579" w:type="pct"/>
            <w:gridSpan w:val="2"/>
          </w:tcPr>
          <w:p w14:paraId="532E208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eastAsia="TimesNewRomanPSMT" w:cs="Times New Roman"/>
                <w:color w:val="000000"/>
                <w:szCs w:val="24"/>
              </w:rPr>
              <w:t>Pregnancy</w:t>
            </w:r>
            <w:r w:rsidRPr="00F10C37">
              <w:rPr>
                <w:rFonts w:cs="Times New Roman"/>
                <w:b/>
                <w:bCs/>
                <w:color w:val="000000"/>
                <w:szCs w:val="24"/>
              </w:rPr>
              <w:t xml:space="preserve">, </w:t>
            </w:r>
            <w:r w:rsidRPr="00F10C37">
              <w:rPr>
                <w:rFonts w:eastAsia="TimesNewRomanPSMT" w:cs="Times New Roman"/>
                <w:color w:val="000000"/>
                <w:szCs w:val="24"/>
              </w:rPr>
              <w:t>lactating women, liver disease, porphyria.</w:t>
            </w:r>
          </w:p>
        </w:tc>
      </w:tr>
      <w:tr w:rsidR="0053763D" w:rsidRPr="00F10C37" w14:paraId="2FE3745F" w14:textId="77777777" w:rsidTr="00C46407">
        <w:trPr>
          <w:jc w:val="center"/>
        </w:trPr>
        <w:tc>
          <w:tcPr>
            <w:tcW w:w="1421" w:type="pct"/>
          </w:tcPr>
          <w:p w14:paraId="405AD12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3579" w:type="pct"/>
            <w:gridSpan w:val="2"/>
          </w:tcPr>
          <w:p w14:paraId="77165C65"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30°C. Protect from light.</w:t>
            </w:r>
          </w:p>
        </w:tc>
      </w:tr>
      <w:tr w:rsidR="0053763D" w:rsidRPr="00F10C37" w14:paraId="087E4241" w14:textId="77777777" w:rsidTr="00C46407">
        <w:trPr>
          <w:jc w:val="center"/>
        </w:trPr>
        <w:tc>
          <w:tcPr>
            <w:tcW w:w="5000" w:type="pct"/>
            <w:gridSpan w:val="3"/>
          </w:tcPr>
          <w:p w14:paraId="43F426B8"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Omeprazole</w:t>
            </w:r>
          </w:p>
        </w:tc>
      </w:tr>
      <w:tr w:rsidR="0053763D" w:rsidRPr="00F10C37" w14:paraId="7DD5BDA5" w14:textId="77777777" w:rsidTr="00C46407">
        <w:trPr>
          <w:jc w:val="center"/>
        </w:trPr>
        <w:tc>
          <w:tcPr>
            <w:tcW w:w="1421" w:type="pct"/>
          </w:tcPr>
          <w:p w14:paraId="6EC0702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3579" w:type="pct"/>
            <w:gridSpan w:val="2"/>
          </w:tcPr>
          <w:p w14:paraId="679C9A3B" w14:textId="77777777" w:rsidR="0053763D" w:rsidRPr="00F10C37" w:rsidRDefault="0053763D" w:rsidP="00C46407">
            <w:pPr>
              <w:autoSpaceDE w:val="0"/>
              <w:autoSpaceDN w:val="0"/>
              <w:adjustRightInd w:val="0"/>
              <w:jc w:val="both"/>
              <w:rPr>
                <w:rFonts w:cs="Times New Roman"/>
                <w:bCs/>
                <w:color w:val="000000" w:themeColor="text1"/>
                <w:szCs w:val="24"/>
              </w:rPr>
            </w:pPr>
            <w:r w:rsidRPr="00F10C37">
              <w:rPr>
                <w:rFonts w:cs="Times New Roman"/>
                <w:bCs/>
                <w:color w:val="000000" w:themeColor="text1"/>
                <w:szCs w:val="24"/>
              </w:rPr>
              <w:t>Proton pump inhibitor</w:t>
            </w:r>
          </w:p>
        </w:tc>
      </w:tr>
      <w:tr w:rsidR="0053763D" w:rsidRPr="00F10C37" w14:paraId="12D42449" w14:textId="77777777" w:rsidTr="00C46407">
        <w:trPr>
          <w:jc w:val="center"/>
        </w:trPr>
        <w:tc>
          <w:tcPr>
            <w:tcW w:w="1421" w:type="pct"/>
          </w:tcPr>
          <w:p w14:paraId="0BD9589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3579" w:type="pct"/>
            <w:gridSpan w:val="2"/>
          </w:tcPr>
          <w:p w14:paraId="2C280680" w14:textId="77777777" w:rsidR="0053763D" w:rsidRPr="00F10C37" w:rsidRDefault="0053763D" w:rsidP="00C46407">
            <w:pPr>
              <w:jc w:val="both"/>
              <w:rPr>
                <w:rFonts w:cs="Times New Roman"/>
                <w:color w:val="000000" w:themeColor="text1"/>
                <w:szCs w:val="24"/>
              </w:rPr>
            </w:pPr>
            <w:r w:rsidRPr="00F10C37">
              <w:rPr>
                <w:rStyle w:val="fontstyle01"/>
                <w:rFonts w:ascii="Times New Roman" w:hAnsi="Times New Roman" w:cs="Times New Roman"/>
                <w:color w:val="000000" w:themeColor="text1"/>
                <w:sz w:val="24"/>
                <w:szCs w:val="24"/>
              </w:rPr>
              <w:t>Tablet/Capsule: 10 mg</w:t>
            </w:r>
            <w:r>
              <w:rPr>
                <w:rStyle w:val="fontstyle01"/>
                <w:rFonts w:ascii="Times New Roman" w:hAnsi="Times New Roman" w:cs="Times New Roman"/>
                <w:color w:val="000000" w:themeColor="text1"/>
                <w:sz w:val="24"/>
                <w:szCs w:val="24"/>
              </w:rPr>
              <w:t>,</w:t>
            </w:r>
            <w:r w:rsidRPr="00F10C37">
              <w:rPr>
                <w:rStyle w:val="fontstyle01"/>
                <w:rFonts w:ascii="Times New Roman" w:hAnsi="Times New Roman" w:cs="Times New Roman"/>
                <w:color w:val="000000" w:themeColor="text1"/>
                <w:sz w:val="24"/>
                <w:szCs w:val="24"/>
              </w:rPr>
              <w:t xml:space="preserve"> 20 mg</w:t>
            </w:r>
          </w:p>
          <w:p w14:paraId="168E2316" w14:textId="77777777" w:rsidR="0053763D" w:rsidRPr="00F10C37" w:rsidRDefault="0053763D" w:rsidP="00C46407">
            <w:pPr>
              <w:jc w:val="both"/>
              <w:rPr>
                <w:rFonts w:cs="Times New Roman"/>
                <w:color w:val="000000" w:themeColor="text1"/>
                <w:szCs w:val="24"/>
              </w:rPr>
            </w:pPr>
            <w:r w:rsidRPr="00F10C37">
              <w:rPr>
                <w:rStyle w:val="fontstyle01"/>
                <w:rFonts w:ascii="Times New Roman" w:hAnsi="Times New Roman" w:cs="Times New Roman"/>
                <w:color w:val="000000" w:themeColor="text1"/>
                <w:sz w:val="24"/>
                <w:szCs w:val="24"/>
              </w:rPr>
              <w:t>Powder for injection: 40 mg in vial</w:t>
            </w:r>
          </w:p>
          <w:p w14:paraId="65E4BA83" w14:textId="77777777" w:rsidR="0053763D" w:rsidRPr="00F10C37" w:rsidRDefault="0053763D" w:rsidP="00C46407">
            <w:pPr>
              <w:jc w:val="both"/>
              <w:rPr>
                <w:rFonts w:cs="Times New Roman"/>
                <w:color w:val="000000" w:themeColor="text1"/>
                <w:szCs w:val="24"/>
              </w:rPr>
            </w:pPr>
            <w:r w:rsidRPr="00F10C37">
              <w:rPr>
                <w:rStyle w:val="fontstyle01"/>
                <w:rFonts w:ascii="Times New Roman" w:hAnsi="Times New Roman" w:cs="Times New Roman"/>
                <w:color w:val="000000" w:themeColor="text1"/>
                <w:sz w:val="24"/>
                <w:szCs w:val="24"/>
              </w:rPr>
              <w:t>Powder for or</w:t>
            </w:r>
            <w:r w:rsidRPr="00F10C37">
              <w:rPr>
                <w:rStyle w:val="fontstyle01"/>
                <w:rFonts w:ascii="Times New Roman" w:hAnsi="Times New Roman" w:cs="Times New Roman"/>
                <w:color w:val="000000" w:themeColor="text1"/>
                <w:sz w:val="24"/>
                <w:szCs w:val="24"/>
                <w:shd w:val="clear" w:color="auto" w:fill="FFFFFF" w:themeFill="background1"/>
              </w:rPr>
              <w:t xml:space="preserve">al </w:t>
            </w:r>
            <w:r w:rsidRPr="00F10C37">
              <w:rPr>
                <w:rStyle w:val="fontstyle01"/>
                <w:rFonts w:ascii="Times New Roman" w:hAnsi="Times New Roman" w:cs="Times New Roman"/>
                <w:color w:val="000000" w:themeColor="text1"/>
                <w:sz w:val="24"/>
                <w:szCs w:val="24"/>
              </w:rPr>
              <w:t>liquid: 20 mg</w:t>
            </w:r>
            <w:r>
              <w:rPr>
                <w:rStyle w:val="fontstyle01"/>
                <w:rFonts w:ascii="Times New Roman" w:hAnsi="Times New Roman" w:cs="Times New Roman"/>
                <w:color w:val="000000" w:themeColor="text1"/>
                <w:sz w:val="24"/>
                <w:szCs w:val="24"/>
              </w:rPr>
              <w:t>,</w:t>
            </w:r>
            <w:r w:rsidRPr="00F10C37">
              <w:rPr>
                <w:rStyle w:val="fontstyle01"/>
                <w:rFonts w:ascii="Times New Roman" w:hAnsi="Times New Roman" w:cs="Times New Roman"/>
                <w:color w:val="000000" w:themeColor="text1"/>
                <w:sz w:val="24"/>
                <w:szCs w:val="24"/>
              </w:rPr>
              <w:t xml:space="preserve"> 40 mg sachets</w:t>
            </w:r>
          </w:p>
        </w:tc>
      </w:tr>
      <w:tr w:rsidR="0053763D" w:rsidRPr="00F10C37" w14:paraId="0664FCBF" w14:textId="77777777" w:rsidTr="00C46407">
        <w:trPr>
          <w:jc w:val="center"/>
        </w:trPr>
        <w:tc>
          <w:tcPr>
            <w:tcW w:w="1421" w:type="pct"/>
          </w:tcPr>
          <w:p w14:paraId="6F80BF30" w14:textId="77777777" w:rsidR="0053763D" w:rsidRPr="007E5067" w:rsidRDefault="0053763D" w:rsidP="00C46407">
            <w:pPr>
              <w:jc w:val="both"/>
              <w:rPr>
                <w:rFonts w:cs="Times New Roman"/>
                <w:color w:val="000000" w:themeColor="text1"/>
                <w:szCs w:val="24"/>
              </w:rPr>
            </w:pPr>
            <w:r w:rsidRPr="007E5067">
              <w:rPr>
                <w:rFonts w:cs="Times New Roman"/>
                <w:color w:val="000000" w:themeColor="text1"/>
                <w:szCs w:val="24"/>
              </w:rPr>
              <w:t>Indications</w:t>
            </w:r>
          </w:p>
        </w:tc>
        <w:tc>
          <w:tcPr>
            <w:tcW w:w="3579" w:type="pct"/>
            <w:gridSpan w:val="2"/>
          </w:tcPr>
          <w:p w14:paraId="393376E5"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Benign gastric and duodenal ulcers</w:t>
            </w:r>
            <w:r>
              <w:rPr>
                <w:rFonts w:cs="Times New Roman"/>
                <w:color w:val="000000" w:themeColor="text1"/>
                <w:szCs w:val="24"/>
              </w:rPr>
              <w:t>,</w:t>
            </w:r>
            <w:r w:rsidRPr="00F10C37">
              <w:rPr>
                <w:rFonts w:cs="Times New Roman"/>
                <w:color w:val="000000" w:themeColor="text1"/>
                <w:szCs w:val="24"/>
              </w:rPr>
              <w:t xml:space="preserve"> reflux esophagitis and ZES</w:t>
            </w:r>
            <w:r>
              <w:rPr>
                <w:rFonts w:cs="Times New Roman"/>
                <w:color w:val="000000" w:themeColor="text1"/>
                <w:szCs w:val="24"/>
              </w:rPr>
              <w:t>,</w:t>
            </w:r>
            <w:r w:rsidRPr="00F10C37">
              <w:rPr>
                <w:rFonts w:cs="Times New Roman"/>
                <w:color w:val="000000" w:themeColor="text1"/>
                <w:szCs w:val="24"/>
              </w:rPr>
              <w:t xml:space="preserve"> gastric acid reduction during gastric surgery</w:t>
            </w:r>
            <w:r>
              <w:rPr>
                <w:rFonts w:cs="Times New Roman"/>
                <w:color w:val="000000" w:themeColor="text1"/>
                <w:szCs w:val="24"/>
              </w:rPr>
              <w:t>,</w:t>
            </w:r>
            <w:r w:rsidRPr="00F10C37">
              <w:rPr>
                <w:rFonts w:cs="Times New Roman"/>
                <w:color w:val="000000" w:themeColor="text1"/>
                <w:szCs w:val="24"/>
              </w:rPr>
              <w:t xml:space="preserve"> GERD, NSAID-induced ulcer, prophylaxis during NSAIDs treatment in patients with high risk for peptic ulceration, eradication of </w:t>
            </w:r>
            <w:r w:rsidRPr="00F10C37">
              <w:rPr>
                <w:rFonts w:cs="Times New Roman"/>
                <w:i/>
                <w:color w:val="000000" w:themeColor="text1"/>
                <w:szCs w:val="24"/>
              </w:rPr>
              <w:t>H. pylori</w:t>
            </w:r>
            <w:r w:rsidRPr="00F10C37">
              <w:rPr>
                <w:rFonts w:cs="Times New Roman"/>
                <w:color w:val="000000" w:themeColor="text1"/>
                <w:szCs w:val="24"/>
              </w:rPr>
              <w:t xml:space="preserve"> in combination with other drugs, as preoperative medication, and in patients not responsive to H2-receptor blockers.</w:t>
            </w:r>
          </w:p>
        </w:tc>
      </w:tr>
      <w:tr w:rsidR="0053763D" w:rsidRPr="00F10C37" w14:paraId="3F6E1DF8" w14:textId="77777777" w:rsidTr="00C46407">
        <w:trPr>
          <w:trHeight w:val="800"/>
          <w:jc w:val="center"/>
        </w:trPr>
        <w:tc>
          <w:tcPr>
            <w:tcW w:w="1421" w:type="pct"/>
          </w:tcPr>
          <w:p w14:paraId="6B40DEC9"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3579" w:type="pct"/>
            <w:gridSpan w:val="2"/>
          </w:tcPr>
          <w:p w14:paraId="32AFB61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p>
          <w:p w14:paraId="19E94795" w14:textId="77777777" w:rsidR="0053763D" w:rsidRPr="00F10C37" w:rsidRDefault="0053763D" w:rsidP="00C46407">
            <w:pPr>
              <w:jc w:val="both"/>
              <w:rPr>
                <w:rFonts w:cs="Times New Roman"/>
                <w:color w:val="000000" w:themeColor="text1"/>
                <w:szCs w:val="24"/>
              </w:rPr>
            </w:pPr>
            <w:r w:rsidRPr="00F10C37">
              <w:rPr>
                <w:rFonts w:cs="Times New Roman"/>
                <w:b/>
                <w:iCs/>
                <w:color w:val="000000" w:themeColor="text1"/>
                <w:szCs w:val="24"/>
              </w:rPr>
              <w:t>GERD</w:t>
            </w:r>
            <w:r w:rsidRPr="00F10C37">
              <w:rPr>
                <w:rFonts w:cs="Times New Roman"/>
                <w:iCs/>
                <w:color w:val="000000" w:themeColor="text1"/>
                <w:szCs w:val="24"/>
              </w:rPr>
              <w:t>, oral:</w:t>
            </w:r>
            <w:r w:rsidRPr="00F10C37">
              <w:rPr>
                <w:rFonts w:cs="Times New Roman"/>
                <w:color w:val="000000" w:themeColor="text1"/>
                <w:szCs w:val="24"/>
              </w:rPr>
              <w:t xml:space="preserve"> 20 mg once daily for 4–8 weeks.</w:t>
            </w:r>
          </w:p>
          <w:p w14:paraId="256BCD96" w14:textId="77777777" w:rsidR="0053763D" w:rsidRPr="00F10C37" w:rsidRDefault="0053763D" w:rsidP="00C46407">
            <w:pPr>
              <w:jc w:val="both"/>
              <w:rPr>
                <w:rFonts w:cs="Times New Roman"/>
                <w:color w:val="000000" w:themeColor="text1"/>
                <w:szCs w:val="24"/>
              </w:rPr>
            </w:pPr>
            <w:r w:rsidRPr="00F10C37">
              <w:rPr>
                <w:rFonts w:cs="Times New Roman"/>
                <w:b/>
                <w:iCs/>
                <w:color w:val="000000" w:themeColor="text1"/>
                <w:szCs w:val="24"/>
              </w:rPr>
              <w:lastRenderedPageBreak/>
              <w:t>Severe esophagitis,</w:t>
            </w:r>
            <w:r w:rsidRPr="00F10C37">
              <w:rPr>
                <w:rFonts w:cs="Times New Roman"/>
                <w:iCs/>
                <w:color w:val="000000" w:themeColor="text1"/>
                <w:szCs w:val="24"/>
              </w:rPr>
              <w:t xml:space="preserve"> oral:</w:t>
            </w:r>
            <w:r w:rsidRPr="00F10C37">
              <w:rPr>
                <w:rFonts w:cs="Times New Roman"/>
                <w:color w:val="000000" w:themeColor="text1"/>
                <w:szCs w:val="24"/>
              </w:rPr>
              <w:t xml:space="preserve"> 40 mg once daily for at least 8 weeks. Continue as maintenance treatment if appropriate.</w:t>
            </w:r>
          </w:p>
          <w:p w14:paraId="33BABEA5" w14:textId="77777777" w:rsidR="0053763D" w:rsidRPr="00F10C37" w:rsidRDefault="0053763D" w:rsidP="00C46407">
            <w:pPr>
              <w:jc w:val="both"/>
              <w:rPr>
                <w:rFonts w:cs="Times New Roman"/>
                <w:color w:val="000000" w:themeColor="text1"/>
                <w:szCs w:val="24"/>
              </w:rPr>
            </w:pPr>
            <w:r w:rsidRPr="003D3E3A">
              <w:rPr>
                <w:rFonts w:cs="Times New Roman"/>
                <w:b/>
                <w:i/>
                <w:iCs/>
                <w:color w:val="000000" w:themeColor="text1"/>
                <w:szCs w:val="24"/>
              </w:rPr>
              <w:t>H. pylori</w:t>
            </w:r>
            <w:r w:rsidRPr="00F10C37">
              <w:rPr>
                <w:rFonts w:cs="Times New Roman"/>
                <w:b/>
                <w:iCs/>
                <w:color w:val="000000" w:themeColor="text1"/>
                <w:szCs w:val="24"/>
              </w:rPr>
              <w:t xml:space="preserve"> eradication</w:t>
            </w:r>
            <w:r w:rsidRPr="00F10C37">
              <w:rPr>
                <w:rFonts w:cs="Times New Roman"/>
                <w:iCs/>
                <w:color w:val="000000" w:themeColor="text1"/>
                <w:szCs w:val="24"/>
              </w:rPr>
              <w:t>, oral:</w:t>
            </w:r>
            <w:r w:rsidRPr="00F10C37">
              <w:rPr>
                <w:rFonts w:cs="Times New Roman"/>
                <w:color w:val="000000" w:themeColor="text1"/>
                <w:szCs w:val="24"/>
              </w:rPr>
              <w:t xml:space="preserve"> 20 mg or 40 mg twice daily as part of an appropriate combination regimen with antibiotics.</w:t>
            </w:r>
          </w:p>
          <w:p w14:paraId="1E30A0E7"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PUD, uncomplicated ulcer</w:t>
            </w:r>
            <w:r w:rsidRPr="00F10C37">
              <w:rPr>
                <w:rFonts w:cs="Times New Roman"/>
                <w:iCs/>
                <w:color w:val="000000" w:themeColor="text1"/>
                <w:szCs w:val="24"/>
              </w:rPr>
              <w:t>, oral</w:t>
            </w:r>
            <w:r w:rsidRPr="00F10C37">
              <w:rPr>
                <w:rFonts w:cs="Times New Roman"/>
                <w:color w:val="000000" w:themeColor="text1"/>
                <w:szCs w:val="24"/>
              </w:rPr>
              <w:t>: 20 to 40mg once daily for 4–8 weeks.</w:t>
            </w:r>
          </w:p>
          <w:p w14:paraId="4A99730B"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Complicated ulcer (perforation, penetration, or gastric outlet obstruction)</w:t>
            </w:r>
            <w:r w:rsidRPr="00F10C37">
              <w:rPr>
                <w:rFonts w:cs="Times New Roman"/>
                <w:iCs/>
                <w:color w:val="000000" w:themeColor="text1"/>
                <w:szCs w:val="24"/>
              </w:rPr>
              <w:t>, oral:</w:t>
            </w:r>
            <w:r w:rsidRPr="00F10C37">
              <w:rPr>
                <w:rFonts w:cs="Times New Roman"/>
                <w:color w:val="000000" w:themeColor="text1"/>
                <w:szCs w:val="24"/>
              </w:rPr>
              <w:t xml:space="preserve"> 40 mg twice daily for 4 weeks, followed by 40 mg once daily</w:t>
            </w:r>
          </w:p>
          <w:p w14:paraId="7BDF3E84" w14:textId="77777777" w:rsidR="0053763D" w:rsidRPr="00F10C37" w:rsidRDefault="0053763D" w:rsidP="00C46407">
            <w:pPr>
              <w:adjustRightInd w:val="0"/>
              <w:jc w:val="both"/>
              <w:rPr>
                <w:rFonts w:cs="Times New Roman"/>
                <w:i/>
                <w:iCs/>
                <w:color w:val="000000" w:themeColor="text1"/>
                <w:szCs w:val="24"/>
              </w:rPr>
            </w:pPr>
            <w:r w:rsidRPr="00F10C37">
              <w:rPr>
                <w:rFonts w:cs="Times New Roman"/>
                <w:b/>
                <w:iCs/>
                <w:color w:val="000000" w:themeColor="text1"/>
                <w:szCs w:val="24"/>
              </w:rPr>
              <w:t>Stress ulcer prophylaxis in selected critically ill patients</w:t>
            </w:r>
            <w:r w:rsidRPr="00F10C37">
              <w:rPr>
                <w:rFonts w:cs="Times New Roman"/>
                <w:iCs/>
                <w:color w:val="000000" w:themeColor="text1"/>
                <w:szCs w:val="24"/>
              </w:rPr>
              <w:t>, oral or via NG tube:</w:t>
            </w:r>
            <w:r w:rsidRPr="00F10C37">
              <w:rPr>
                <w:rFonts w:cs="Times New Roman"/>
                <w:color w:val="000000" w:themeColor="text1"/>
                <w:szCs w:val="24"/>
              </w:rPr>
              <w:t xml:space="preserve"> 40 mg once daily</w:t>
            </w:r>
          </w:p>
          <w:p w14:paraId="3E6E3FC5"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ZES,</w:t>
            </w:r>
            <w:r w:rsidRPr="00F10C37">
              <w:rPr>
                <w:rFonts w:cs="Times New Roman"/>
                <w:iCs/>
                <w:color w:val="000000" w:themeColor="text1"/>
                <w:szCs w:val="24"/>
              </w:rPr>
              <w:t xml:space="preserve"> oral:</w:t>
            </w:r>
            <w:r w:rsidRPr="00F10C37">
              <w:rPr>
                <w:rFonts w:cs="Times New Roman"/>
                <w:color w:val="000000" w:themeColor="text1"/>
                <w:szCs w:val="24"/>
              </w:rPr>
              <w:t xml:space="preserve"> 40 mg twice daily up to a maximum of 180 mg/day. Once acid output has been controlled, maintenance dose is 10–180 mg daily.</w:t>
            </w:r>
          </w:p>
          <w:p w14:paraId="26913F1C"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NSAID-associated peptic ulcer</w:t>
            </w:r>
            <w:r w:rsidRPr="00F10C37">
              <w:rPr>
                <w:rFonts w:cs="Times New Roman"/>
                <w:iCs/>
                <w:color w:val="000000" w:themeColor="text1"/>
                <w:szCs w:val="24"/>
              </w:rPr>
              <w:t>, oral:</w:t>
            </w:r>
            <w:r w:rsidRPr="00F10C37">
              <w:rPr>
                <w:rFonts w:cs="Times New Roman"/>
                <w:color w:val="000000" w:themeColor="text1"/>
                <w:szCs w:val="24"/>
              </w:rPr>
              <w:t xml:space="preserve"> 20 mg once daily for 4 weeks; continue for a further 4 weeks if not fully healed.</w:t>
            </w:r>
          </w:p>
          <w:p w14:paraId="2D2EE725"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Prophylaxis against NSAID-associated peptic ulcer</w:t>
            </w:r>
            <w:r w:rsidRPr="00F10C37">
              <w:rPr>
                <w:rFonts w:cs="Times New Roman"/>
                <w:iCs/>
                <w:color w:val="000000" w:themeColor="text1"/>
                <w:szCs w:val="24"/>
              </w:rPr>
              <w:t>, oral:</w:t>
            </w:r>
            <w:r w:rsidRPr="00F10C37">
              <w:rPr>
                <w:rFonts w:cs="Times New Roman"/>
                <w:i/>
                <w:iCs/>
                <w:color w:val="000000" w:themeColor="text1"/>
                <w:szCs w:val="24"/>
              </w:rPr>
              <w:t xml:space="preserve"> </w:t>
            </w:r>
            <w:r w:rsidRPr="00F10C37">
              <w:rPr>
                <w:rFonts w:cs="Times New Roman"/>
                <w:color w:val="000000" w:themeColor="text1"/>
                <w:szCs w:val="24"/>
              </w:rPr>
              <w:t>20 mg once daily.</w:t>
            </w:r>
          </w:p>
          <w:p w14:paraId="7B664556"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Major peptic ulcer bleeding following endoscopic treatmen</w:t>
            </w:r>
            <w:r w:rsidRPr="00F10C37">
              <w:rPr>
                <w:rFonts w:cs="Times New Roman"/>
                <w:iCs/>
                <w:color w:val="000000" w:themeColor="text1"/>
                <w:szCs w:val="24"/>
              </w:rPr>
              <w:t>t, IV:</w:t>
            </w:r>
            <w:r w:rsidRPr="00F10C37">
              <w:rPr>
                <w:rFonts w:cs="Times New Roman"/>
                <w:color w:val="000000" w:themeColor="text1"/>
                <w:szCs w:val="24"/>
              </w:rPr>
              <w:t xml:space="preserve"> Initially 80 mg, to be given over 40–60 minutes, then (by IV infusion) 8 mg/ hour for 72 hours; subsequent dose then changed to oral therapy.</w:t>
            </w:r>
          </w:p>
          <w:p w14:paraId="1D7EFEB6" w14:textId="77777777" w:rsidR="0053763D" w:rsidRPr="00F10C37" w:rsidRDefault="0053763D" w:rsidP="00C46407">
            <w:pPr>
              <w:adjustRightInd w:val="0"/>
              <w:jc w:val="both"/>
              <w:rPr>
                <w:rFonts w:cs="Times New Roman"/>
                <w:color w:val="000000" w:themeColor="text1"/>
                <w:szCs w:val="24"/>
              </w:rPr>
            </w:pPr>
            <w:r w:rsidRPr="00F10C37">
              <w:rPr>
                <w:rFonts w:cs="Times New Roman"/>
                <w:b/>
                <w:iCs/>
                <w:color w:val="000000" w:themeColor="text1"/>
                <w:szCs w:val="24"/>
              </w:rPr>
              <w:t>Treatment and prevention of benign peptic ulcers, NSAID-associated ulcers, and GERD</w:t>
            </w:r>
            <w:r w:rsidRPr="00F10C37">
              <w:rPr>
                <w:rFonts w:cs="Times New Roman"/>
                <w:iCs/>
                <w:color w:val="000000" w:themeColor="text1"/>
                <w:szCs w:val="24"/>
              </w:rPr>
              <w:t>, IV:</w:t>
            </w:r>
            <w:r w:rsidRPr="00F10C37">
              <w:rPr>
                <w:rFonts w:cs="Times New Roman"/>
                <w:color w:val="000000" w:themeColor="text1"/>
                <w:szCs w:val="24"/>
              </w:rPr>
              <w:t xml:space="preserve"> 40 mg once daily until oral administration possible.</w:t>
            </w:r>
          </w:p>
          <w:p w14:paraId="2BFE595F"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Child</w:t>
            </w:r>
          </w:p>
          <w:p w14:paraId="57B74F67" w14:textId="77777777" w:rsidR="0053763D" w:rsidRPr="00F10C37" w:rsidRDefault="0053763D" w:rsidP="00C46407">
            <w:pPr>
              <w:autoSpaceDE w:val="0"/>
              <w:autoSpaceDN w:val="0"/>
              <w:adjustRightInd w:val="0"/>
              <w:jc w:val="both"/>
              <w:rPr>
                <w:rFonts w:cs="Times New Roman"/>
                <w:color w:val="000000" w:themeColor="text1"/>
                <w:szCs w:val="24"/>
              </w:rPr>
            </w:pPr>
            <w:r w:rsidRPr="003D3E3A">
              <w:rPr>
                <w:rFonts w:cs="Times New Roman"/>
                <w:b/>
                <w:i/>
                <w:color w:val="000000" w:themeColor="text1"/>
                <w:szCs w:val="24"/>
              </w:rPr>
              <w:t>H. pylori</w:t>
            </w:r>
            <w:r w:rsidRPr="00F10C37">
              <w:rPr>
                <w:rFonts w:cs="Times New Roman"/>
                <w:b/>
                <w:color w:val="000000" w:themeColor="text1"/>
                <w:szCs w:val="24"/>
              </w:rPr>
              <w:t xml:space="preserve"> eradication, used in combination with antibacterial agents, </w:t>
            </w:r>
            <w:r w:rsidRPr="00F10C37">
              <w:rPr>
                <w:rFonts w:cs="Times New Roman"/>
                <w:color w:val="000000" w:themeColor="text1"/>
                <w:szCs w:val="24"/>
              </w:rPr>
              <w:t>oral:</w:t>
            </w:r>
          </w:p>
          <w:p w14:paraId="2E6DFD9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5–11 years</w:t>
            </w:r>
            <w:r w:rsidRPr="00F10C37">
              <w:rPr>
                <w:rFonts w:cs="Times New Roman"/>
                <w:color w:val="000000" w:themeColor="text1"/>
                <w:szCs w:val="24"/>
              </w:rPr>
              <w:t>: 1–2 mg/kg once daily, max daily dose 40 mg</w:t>
            </w:r>
          </w:p>
          <w:p w14:paraId="4CA6FF52"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40 mg once daily.</w:t>
            </w:r>
          </w:p>
          <w:p w14:paraId="3D9DC8BA"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Gastric and duodenal ulcers</w:t>
            </w:r>
          </w:p>
          <w:p w14:paraId="692A5C89"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lastRenderedPageBreak/>
              <w:t xml:space="preserve">Child: </w:t>
            </w:r>
            <w:r w:rsidRPr="00F10C37">
              <w:rPr>
                <w:rFonts w:cs="Times New Roman"/>
                <w:color w:val="000000" w:themeColor="text1"/>
                <w:szCs w:val="24"/>
              </w:rPr>
              <w:t>1–2 mg/kg (maximum 40 mg) once daily.</w:t>
            </w:r>
          </w:p>
          <w:p w14:paraId="192CF33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GERD, esophagi</w:t>
            </w:r>
            <w:r>
              <w:rPr>
                <w:rFonts w:cs="Times New Roman"/>
                <w:b/>
                <w:color w:val="000000" w:themeColor="text1"/>
                <w:szCs w:val="24"/>
              </w:rPr>
              <w:t xml:space="preserve">al </w:t>
            </w:r>
            <w:r w:rsidRPr="00F10C37">
              <w:rPr>
                <w:rFonts w:cs="Times New Roman"/>
                <w:b/>
                <w:color w:val="000000" w:themeColor="text1"/>
                <w:szCs w:val="24"/>
              </w:rPr>
              <w:t>strictur</w:t>
            </w:r>
            <w:r>
              <w:rPr>
                <w:rFonts w:cs="Times New Roman"/>
                <w:b/>
                <w:color w:val="000000" w:themeColor="text1"/>
                <w:szCs w:val="24"/>
              </w:rPr>
              <w:t>e</w:t>
            </w:r>
            <w:r w:rsidRPr="00F10C37">
              <w:rPr>
                <w:rFonts w:cs="Times New Roman"/>
                <w:b/>
                <w:color w:val="000000" w:themeColor="text1"/>
                <w:szCs w:val="24"/>
              </w:rPr>
              <w:t>, NSAID-associated gastric and duodenal ulcers prophylaxis and treatment, ZES, acid-related dyspepsia, fat malabsorption despite pancreatic enzyme replacement therapy in cystic fibrosis</w:t>
            </w:r>
            <w:r w:rsidRPr="00F10C37">
              <w:rPr>
                <w:rFonts w:cs="Times New Roman"/>
                <w:b/>
                <w:iCs/>
                <w:color w:val="000000" w:themeColor="text1"/>
                <w:szCs w:val="24"/>
              </w:rPr>
              <w:t xml:space="preserve">, </w:t>
            </w:r>
            <w:r w:rsidRPr="00F10C37">
              <w:rPr>
                <w:rFonts w:cs="Times New Roman"/>
                <w:iCs/>
                <w:color w:val="000000" w:themeColor="text1"/>
                <w:szCs w:val="24"/>
              </w:rPr>
              <w:t>oral:</w:t>
            </w:r>
          </w:p>
          <w:p w14:paraId="6C7BAA6B" w14:textId="77777777" w:rsidR="0053763D" w:rsidRPr="00F10C37" w:rsidRDefault="0053763D" w:rsidP="00C46407">
            <w:pPr>
              <w:adjustRightInd w:val="0"/>
              <w:jc w:val="both"/>
              <w:rPr>
                <w:rFonts w:cs="Times New Roman"/>
                <w:color w:val="000000" w:themeColor="text1"/>
                <w:szCs w:val="24"/>
              </w:rPr>
            </w:pPr>
            <w:r w:rsidRPr="00F10C37">
              <w:rPr>
                <w:rFonts w:cs="Times New Roman"/>
                <w:b/>
                <w:bCs/>
                <w:color w:val="000000" w:themeColor="text1"/>
                <w:szCs w:val="24"/>
              </w:rPr>
              <w:t>Child 10-19 kg</w:t>
            </w:r>
            <w:r w:rsidRPr="00F10C37">
              <w:rPr>
                <w:rFonts w:cs="Times New Roman"/>
                <w:bCs/>
                <w:color w:val="000000" w:themeColor="text1"/>
                <w:szCs w:val="24"/>
              </w:rPr>
              <w:t>:</w:t>
            </w:r>
            <w:r w:rsidRPr="00F10C37">
              <w:rPr>
                <w:rFonts w:cs="Times New Roman"/>
                <w:b/>
                <w:bCs/>
                <w:color w:val="000000" w:themeColor="text1"/>
                <w:szCs w:val="24"/>
              </w:rPr>
              <w:t xml:space="preserve"> </w:t>
            </w:r>
            <w:r w:rsidRPr="00F10C37">
              <w:rPr>
                <w:rFonts w:cs="Times New Roman"/>
                <w:color w:val="000000" w:themeColor="text1"/>
                <w:szCs w:val="24"/>
              </w:rPr>
              <w:t>1 mg/kg once or twice daily (max. 40 mg/day).</w:t>
            </w:r>
          </w:p>
          <w:p w14:paraId="5F45CD78" w14:textId="77777777" w:rsidR="0053763D" w:rsidRPr="00F10C37" w:rsidRDefault="0053763D" w:rsidP="00C46407">
            <w:pPr>
              <w:adjustRightInd w:val="0"/>
              <w:jc w:val="both"/>
              <w:rPr>
                <w:rFonts w:cs="Times New Roman"/>
                <w:color w:val="000000" w:themeColor="text1"/>
                <w:szCs w:val="24"/>
              </w:rPr>
            </w:pPr>
            <w:r w:rsidRPr="00F10C37">
              <w:rPr>
                <w:rFonts w:cs="Times New Roman"/>
                <w:b/>
                <w:bCs/>
                <w:color w:val="000000" w:themeColor="text1"/>
                <w:szCs w:val="24"/>
              </w:rPr>
              <w:t>Child ≥ 20 kg</w:t>
            </w:r>
            <w:r w:rsidRPr="00F10C37">
              <w:rPr>
                <w:rFonts w:cs="Times New Roman"/>
                <w:bCs/>
                <w:color w:val="000000" w:themeColor="text1"/>
                <w:szCs w:val="24"/>
              </w:rPr>
              <w:t>:</w:t>
            </w:r>
            <w:r w:rsidRPr="00F10C37">
              <w:rPr>
                <w:rFonts w:cs="Times New Roman"/>
                <w:b/>
                <w:bCs/>
                <w:color w:val="000000" w:themeColor="text1"/>
                <w:szCs w:val="24"/>
              </w:rPr>
              <w:t xml:space="preserve"> </w:t>
            </w:r>
            <w:r w:rsidRPr="00F10C37">
              <w:rPr>
                <w:rFonts w:cs="Times New Roman"/>
                <w:color w:val="000000" w:themeColor="text1"/>
                <w:szCs w:val="24"/>
              </w:rPr>
              <w:t>20 mg once daily, increased if necessary to 40 mg once daily.</w:t>
            </w:r>
          </w:p>
          <w:p w14:paraId="13E8658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GERD, esophagi</w:t>
            </w:r>
            <w:r>
              <w:rPr>
                <w:rFonts w:cs="Times New Roman"/>
                <w:b/>
                <w:color w:val="000000" w:themeColor="text1"/>
                <w:szCs w:val="24"/>
              </w:rPr>
              <w:t xml:space="preserve">al </w:t>
            </w:r>
            <w:r w:rsidRPr="00F10C37">
              <w:rPr>
                <w:rFonts w:cs="Times New Roman"/>
                <w:b/>
                <w:color w:val="000000" w:themeColor="text1"/>
                <w:szCs w:val="24"/>
              </w:rPr>
              <w:t>strictur</w:t>
            </w:r>
            <w:r>
              <w:rPr>
                <w:rFonts w:cs="Times New Roman"/>
                <w:b/>
                <w:color w:val="000000" w:themeColor="text1"/>
                <w:szCs w:val="24"/>
              </w:rPr>
              <w:t>e</w:t>
            </w:r>
            <w:r w:rsidRPr="00F10C37">
              <w:rPr>
                <w:rFonts w:cs="Times New Roman"/>
                <w:b/>
                <w:color w:val="000000" w:themeColor="text1"/>
                <w:szCs w:val="24"/>
              </w:rPr>
              <w:t>, ZES, acid-related dyspepsia, fat malabsorption despite pancreatic enzyme replacement therapy in cystic fibrosis</w:t>
            </w:r>
            <w:r w:rsidRPr="00F10C37">
              <w:rPr>
                <w:rFonts w:cs="Times New Roman"/>
                <w:iCs/>
                <w:color w:val="000000" w:themeColor="text1"/>
                <w:szCs w:val="24"/>
              </w:rPr>
              <w:t xml:space="preserve">, </w:t>
            </w:r>
            <w:r w:rsidRPr="00F10C37">
              <w:rPr>
                <w:rFonts w:cs="Times New Roman"/>
                <w:color w:val="000000" w:themeColor="text1"/>
                <w:szCs w:val="24"/>
              </w:rPr>
              <w:t xml:space="preserve">IV: </w:t>
            </w:r>
          </w:p>
          <w:p w14:paraId="558B222A" w14:textId="77777777" w:rsidR="0053763D" w:rsidRPr="00F10C37" w:rsidRDefault="0053763D" w:rsidP="00C46407">
            <w:pPr>
              <w:adjustRightInd w:val="0"/>
              <w:jc w:val="both"/>
              <w:rPr>
                <w:rFonts w:cs="Times New Roman"/>
                <w:bCs/>
                <w:color w:val="000000" w:themeColor="text1"/>
                <w:szCs w:val="24"/>
              </w:rPr>
            </w:pPr>
            <w:r w:rsidRPr="00F10C37">
              <w:rPr>
                <w:rFonts w:cs="Times New Roman"/>
                <w:b/>
                <w:bCs/>
                <w:color w:val="000000" w:themeColor="text1"/>
                <w:szCs w:val="24"/>
              </w:rPr>
              <w:t>Child 1 month–11 years</w:t>
            </w:r>
            <w:r w:rsidRPr="00F10C37">
              <w:rPr>
                <w:rFonts w:cs="Times New Roman"/>
                <w:bCs/>
                <w:color w:val="000000" w:themeColor="text1"/>
                <w:szCs w:val="24"/>
              </w:rPr>
              <w:t>: Initially 500 mcg/kg once daily (max. per dose 20 mg), increase if necessary to 2 mg/kg once daily (max. per dose 40mg), injection to be given over 5 minutes.</w:t>
            </w:r>
          </w:p>
          <w:p w14:paraId="55AA7B59" w14:textId="77777777" w:rsidR="0053763D" w:rsidRPr="00F10C37" w:rsidRDefault="0053763D" w:rsidP="00C46407">
            <w:pPr>
              <w:adjustRightInd w:val="0"/>
              <w:jc w:val="both"/>
              <w:rPr>
                <w:rFonts w:cs="Times New Roman"/>
                <w:bCs/>
                <w:color w:val="000000" w:themeColor="text1"/>
                <w:szCs w:val="24"/>
              </w:rPr>
            </w:pPr>
            <w:r w:rsidRPr="00F10C37">
              <w:rPr>
                <w:rFonts w:cs="Times New Roman"/>
                <w:b/>
                <w:bCs/>
                <w:color w:val="000000" w:themeColor="text1"/>
                <w:szCs w:val="24"/>
              </w:rPr>
              <w:t>Child 12–17 years</w:t>
            </w:r>
            <w:r w:rsidRPr="00F10C37">
              <w:rPr>
                <w:rFonts w:cs="Times New Roman"/>
                <w:bCs/>
                <w:color w:val="000000" w:themeColor="text1"/>
                <w:szCs w:val="24"/>
              </w:rPr>
              <w:t>: 40 mg once daily, injection to be given over 5 minutes</w:t>
            </w:r>
          </w:p>
          <w:p w14:paraId="084AFA3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i/>
                <w:iCs/>
                <w:color w:val="000000" w:themeColor="text1"/>
                <w:szCs w:val="24"/>
              </w:rPr>
              <w:t>Note:</w:t>
            </w:r>
            <w:r w:rsidRPr="00F10C37">
              <w:rPr>
                <w:rFonts w:cs="Times New Roman"/>
                <w:i/>
                <w:iCs/>
                <w:color w:val="000000" w:themeColor="text1"/>
                <w:szCs w:val="24"/>
              </w:rPr>
              <w:t xml:space="preserve"> Taking the medication at least 1 hour before a meal will have maximum benefit.</w:t>
            </w:r>
          </w:p>
        </w:tc>
      </w:tr>
      <w:tr w:rsidR="0053763D" w:rsidRPr="00F10C37" w14:paraId="798EE9E6" w14:textId="77777777" w:rsidTr="00C46407">
        <w:trPr>
          <w:jc w:val="center"/>
        </w:trPr>
        <w:tc>
          <w:tcPr>
            <w:tcW w:w="1421" w:type="pct"/>
          </w:tcPr>
          <w:p w14:paraId="7E8094F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3579" w:type="pct"/>
            <w:gridSpan w:val="2"/>
          </w:tcPr>
          <w:p w14:paraId="25DF10A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Hypersensitivity</w:t>
            </w:r>
          </w:p>
        </w:tc>
      </w:tr>
      <w:tr w:rsidR="0053763D" w:rsidRPr="00F10C37" w14:paraId="215A3989" w14:textId="77777777" w:rsidTr="00C46407">
        <w:trPr>
          <w:jc w:val="center"/>
        </w:trPr>
        <w:tc>
          <w:tcPr>
            <w:tcW w:w="1421" w:type="pct"/>
          </w:tcPr>
          <w:p w14:paraId="7AB019D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3579" w:type="pct"/>
            <w:gridSpan w:val="2"/>
          </w:tcPr>
          <w:p w14:paraId="50DBF53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Azole antifungals, clopidogrel, dasatinib, erlotinib, HIV-protease inhibitors, oral iron preparations</w:t>
            </w:r>
            <w:r>
              <w:rPr>
                <w:rFonts w:cs="Times New Roman"/>
                <w:color w:val="000000" w:themeColor="text1"/>
                <w:szCs w:val="24"/>
              </w:rPr>
              <w:t xml:space="preserve">, </w:t>
            </w:r>
            <w:r w:rsidRPr="00F10C37">
              <w:rPr>
                <w:rFonts w:cs="Times New Roman"/>
                <w:color w:val="000000" w:themeColor="text1"/>
                <w:szCs w:val="24"/>
              </w:rPr>
              <w:t>met</w:t>
            </w:r>
            <w:r>
              <w:rPr>
                <w:rFonts w:cs="Times New Roman"/>
                <w:color w:val="000000" w:themeColor="text1"/>
                <w:szCs w:val="24"/>
              </w:rPr>
              <w:t>h</w:t>
            </w:r>
            <w:r w:rsidRPr="00F10C37">
              <w:rPr>
                <w:rFonts w:cs="Times New Roman"/>
                <w:color w:val="000000" w:themeColor="text1"/>
                <w:szCs w:val="24"/>
              </w:rPr>
              <w:t>otrixate and SSRIs (escitalopram).</w:t>
            </w:r>
          </w:p>
        </w:tc>
      </w:tr>
      <w:tr w:rsidR="0053763D" w:rsidRPr="00F10C37" w14:paraId="11192B76" w14:textId="77777777" w:rsidTr="00C46407">
        <w:trPr>
          <w:jc w:val="center"/>
        </w:trPr>
        <w:tc>
          <w:tcPr>
            <w:tcW w:w="1421" w:type="pct"/>
          </w:tcPr>
          <w:p w14:paraId="1D5E035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3579" w:type="pct"/>
            <w:gridSpan w:val="2"/>
          </w:tcPr>
          <w:p w14:paraId="3AB37195"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Abdominal pain, constipation, diarrhoea, dizziness, dry mouth, gastrointestinal disorders, headache, insomnia, nausea, skin reactions, vomiting, arthralgia, bone fractures, confusion, depression, drowsiness, leukopenia, malaise, myalgia, paraesthesia, peripheral oedema, thrombocytopenia, vertigo, and vision disorders.</w:t>
            </w:r>
          </w:p>
        </w:tc>
      </w:tr>
      <w:tr w:rsidR="0053763D" w:rsidRPr="00F10C37" w14:paraId="71704878" w14:textId="77777777" w:rsidTr="00C46407">
        <w:trPr>
          <w:jc w:val="center"/>
        </w:trPr>
        <w:tc>
          <w:tcPr>
            <w:tcW w:w="1421" w:type="pct"/>
          </w:tcPr>
          <w:p w14:paraId="0DA5088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3579" w:type="pct"/>
            <w:gridSpan w:val="2"/>
          </w:tcPr>
          <w:p w14:paraId="0F45523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Elderly, gastrointestinal infections (including </w:t>
            </w:r>
            <w:r w:rsidRPr="00F10C37">
              <w:rPr>
                <w:rFonts w:cs="Times New Roman"/>
                <w:i/>
                <w:color w:val="000000" w:themeColor="text1"/>
                <w:szCs w:val="24"/>
              </w:rPr>
              <w:t>Clostridioides difficile</w:t>
            </w:r>
            <w:r w:rsidRPr="00F10C37">
              <w:rPr>
                <w:rFonts w:cs="Times New Roman"/>
                <w:color w:val="000000" w:themeColor="text1"/>
                <w:szCs w:val="24"/>
              </w:rPr>
              <w:t xml:space="preserve"> infection), gastric cancer (in adults), long-term use (risk of osteoporosis and reduced absorption of Vit B12).</w:t>
            </w:r>
          </w:p>
        </w:tc>
      </w:tr>
      <w:tr w:rsidR="0053763D" w:rsidRPr="00F10C37" w14:paraId="1443EA92" w14:textId="77777777" w:rsidTr="00C46407">
        <w:trPr>
          <w:jc w:val="center"/>
        </w:trPr>
        <w:tc>
          <w:tcPr>
            <w:tcW w:w="1421" w:type="pct"/>
          </w:tcPr>
          <w:p w14:paraId="7B9915C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3579" w:type="pct"/>
            <w:gridSpan w:val="2"/>
          </w:tcPr>
          <w:p w14:paraId="3AE592F7"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at below 30 °C. Protect from light and moisture.</w:t>
            </w:r>
          </w:p>
        </w:tc>
      </w:tr>
      <w:tr w:rsidR="0053763D" w:rsidRPr="00F10C37" w14:paraId="3C0AB422" w14:textId="77777777" w:rsidTr="00C46407">
        <w:trPr>
          <w:jc w:val="center"/>
        </w:trPr>
        <w:tc>
          <w:tcPr>
            <w:tcW w:w="5000" w:type="pct"/>
            <w:gridSpan w:val="3"/>
          </w:tcPr>
          <w:p w14:paraId="0C8A988B" w14:textId="77777777" w:rsidR="0053763D" w:rsidRPr="003D3E3A" w:rsidRDefault="0053763D" w:rsidP="00C46407">
            <w:pPr>
              <w:autoSpaceDE w:val="0"/>
              <w:autoSpaceDN w:val="0"/>
              <w:adjustRightInd w:val="0"/>
              <w:jc w:val="both"/>
              <w:rPr>
                <w:rFonts w:cs="Times New Roman"/>
                <w:b/>
                <w:color w:val="000000" w:themeColor="text1"/>
                <w:szCs w:val="24"/>
              </w:rPr>
            </w:pPr>
            <w:r w:rsidRPr="003D3E3A">
              <w:rPr>
                <w:rFonts w:cs="Times New Roman"/>
                <w:b/>
                <w:color w:val="000000" w:themeColor="text1"/>
                <w:szCs w:val="24"/>
              </w:rPr>
              <w:lastRenderedPageBreak/>
              <w:t>Pantoprazole</w:t>
            </w:r>
          </w:p>
        </w:tc>
      </w:tr>
      <w:tr w:rsidR="0053763D" w:rsidRPr="00F10C37" w14:paraId="457F036E" w14:textId="77777777" w:rsidTr="00C46407">
        <w:trPr>
          <w:jc w:val="center"/>
        </w:trPr>
        <w:tc>
          <w:tcPr>
            <w:tcW w:w="1421" w:type="pct"/>
          </w:tcPr>
          <w:p w14:paraId="01AD599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3579" w:type="pct"/>
            <w:gridSpan w:val="2"/>
          </w:tcPr>
          <w:p w14:paraId="7251C1A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Proton pump inhibitor</w:t>
            </w:r>
          </w:p>
        </w:tc>
      </w:tr>
      <w:tr w:rsidR="0053763D" w:rsidRPr="00F10C37" w14:paraId="231FE57C" w14:textId="77777777" w:rsidTr="00C46407">
        <w:trPr>
          <w:jc w:val="center"/>
        </w:trPr>
        <w:tc>
          <w:tcPr>
            <w:tcW w:w="1421" w:type="pct"/>
          </w:tcPr>
          <w:p w14:paraId="34B362C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3579" w:type="pct"/>
            <w:gridSpan w:val="2"/>
          </w:tcPr>
          <w:p w14:paraId="60E0977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Style w:val="fontstyle01"/>
                <w:rFonts w:ascii="Times New Roman" w:hAnsi="Times New Roman" w:cs="Times New Roman"/>
                <w:color w:val="000000" w:themeColor="text1"/>
                <w:sz w:val="24"/>
                <w:szCs w:val="24"/>
                <w:shd w:val="clear" w:color="auto" w:fill="FFFFFF" w:themeFill="background1"/>
              </w:rPr>
              <w:t xml:space="preserve">Tablet: 20mg, 40mg </w:t>
            </w:r>
          </w:p>
        </w:tc>
      </w:tr>
      <w:tr w:rsidR="0053763D" w:rsidRPr="00F10C37" w14:paraId="062D3555" w14:textId="77777777" w:rsidTr="00C46407">
        <w:trPr>
          <w:jc w:val="center"/>
        </w:trPr>
        <w:tc>
          <w:tcPr>
            <w:tcW w:w="1421" w:type="pct"/>
          </w:tcPr>
          <w:p w14:paraId="19B38870" w14:textId="77777777" w:rsidR="0053763D" w:rsidRPr="002C2834" w:rsidRDefault="0053763D" w:rsidP="00C46407">
            <w:pPr>
              <w:jc w:val="both"/>
              <w:rPr>
                <w:rFonts w:cs="Times New Roman"/>
                <w:color w:val="000000" w:themeColor="text1"/>
                <w:szCs w:val="24"/>
              </w:rPr>
            </w:pPr>
            <w:r w:rsidRPr="002C2834">
              <w:rPr>
                <w:rFonts w:cs="Times New Roman"/>
                <w:color w:val="000000" w:themeColor="text1"/>
                <w:szCs w:val="24"/>
              </w:rPr>
              <w:t>Indications</w:t>
            </w:r>
          </w:p>
        </w:tc>
        <w:tc>
          <w:tcPr>
            <w:tcW w:w="3579" w:type="pct"/>
            <w:gridSpan w:val="2"/>
          </w:tcPr>
          <w:p w14:paraId="1785E19E"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Duodenal ulcer, gastric ulcer, GERD, erosive esophagitis, prophylaxis of NSAID-associated gastric or duodenal ulcer</w:t>
            </w:r>
            <w:r>
              <w:rPr>
                <w:rFonts w:cs="Times New Roman"/>
                <w:color w:val="000000" w:themeColor="text1"/>
                <w:szCs w:val="24"/>
              </w:rPr>
              <w:t xml:space="preserve"> and</w:t>
            </w:r>
            <w:r w:rsidRPr="00F10C37">
              <w:rPr>
                <w:rFonts w:cs="Times New Roman"/>
                <w:color w:val="000000" w:themeColor="text1"/>
                <w:szCs w:val="24"/>
              </w:rPr>
              <w:t xml:space="preserve"> ZES</w:t>
            </w:r>
            <w:r>
              <w:rPr>
                <w:rFonts w:cs="Times New Roman"/>
                <w:color w:val="000000" w:themeColor="text1"/>
                <w:szCs w:val="24"/>
              </w:rPr>
              <w:t>.</w:t>
            </w:r>
          </w:p>
        </w:tc>
      </w:tr>
      <w:tr w:rsidR="0053763D" w:rsidRPr="00F10C37" w14:paraId="5C38FA82" w14:textId="77777777" w:rsidTr="00C46407">
        <w:trPr>
          <w:jc w:val="center"/>
        </w:trPr>
        <w:tc>
          <w:tcPr>
            <w:tcW w:w="1421" w:type="pct"/>
          </w:tcPr>
          <w:p w14:paraId="0F63A392"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3579" w:type="pct"/>
            <w:gridSpan w:val="2"/>
          </w:tcPr>
          <w:p w14:paraId="7C86D986"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Benign gastric ulcer</w:t>
            </w:r>
            <w:r w:rsidRPr="00F10C37">
              <w:rPr>
                <w:color w:val="000000" w:themeColor="text1"/>
              </w:rPr>
              <w:t>, oral:</w:t>
            </w:r>
          </w:p>
          <w:p w14:paraId="5C53E071"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Adult</w:t>
            </w:r>
            <w:r w:rsidRPr="00F10C37">
              <w:rPr>
                <w:color w:val="000000" w:themeColor="text1"/>
              </w:rPr>
              <w:t>: 40 mg daily for 4 weeks, continued for further 4 weeks if not fully healed.</w:t>
            </w:r>
          </w:p>
          <w:p w14:paraId="18D62525" w14:textId="77777777" w:rsidR="0053763D" w:rsidRPr="00F10C37" w:rsidRDefault="0053763D" w:rsidP="00C46407">
            <w:pPr>
              <w:pStyle w:val="BodyText"/>
              <w:spacing w:line="360" w:lineRule="auto"/>
              <w:ind w:right="476"/>
              <w:rPr>
                <w:color w:val="000000" w:themeColor="text1"/>
                <w:spacing w:val="1"/>
              </w:rPr>
            </w:pPr>
            <w:r w:rsidRPr="00F10C37">
              <w:rPr>
                <w:b/>
                <w:color w:val="000000" w:themeColor="text1"/>
              </w:rPr>
              <w:t>GERD</w:t>
            </w:r>
            <w:r w:rsidRPr="00F10C37">
              <w:rPr>
                <w:color w:val="000000" w:themeColor="text1"/>
              </w:rPr>
              <w:t>, oral:</w:t>
            </w:r>
          </w:p>
          <w:p w14:paraId="6A5BCAF7" w14:textId="77777777" w:rsidR="0053763D" w:rsidRPr="00F10C37" w:rsidRDefault="0053763D" w:rsidP="00C46407">
            <w:pPr>
              <w:pStyle w:val="BodyText"/>
              <w:spacing w:line="360" w:lineRule="auto"/>
              <w:ind w:right="476"/>
              <w:rPr>
                <w:color w:val="000000" w:themeColor="text1"/>
                <w:spacing w:val="-57"/>
              </w:rPr>
            </w:pPr>
            <w:r w:rsidRPr="00F10C37">
              <w:rPr>
                <w:b/>
                <w:color w:val="000000" w:themeColor="text1"/>
              </w:rPr>
              <w:t>Adult and child ≥ 12 years</w:t>
            </w:r>
            <w:r w:rsidRPr="00F10C37">
              <w:rPr>
                <w:color w:val="000000" w:themeColor="text1"/>
              </w:rPr>
              <w:t>: 20–40 mg daily for 4 weeks, continued for further 4 weeks if not fully healed; maintenance 20mg daily, increased to 40mg daily if symptoms return.</w:t>
            </w:r>
          </w:p>
          <w:p w14:paraId="5E864D5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 5 years</w:t>
            </w:r>
            <w:r w:rsidRPr="00F10C37">
              <w:rPr>
                <w:rFonts w:cs="Times New Roman"/>
                <w:color w:val="000000" w:themeColor="text1"/>
                <w:szCs w:val="24"/>
              </w:rPr>
              <w:t>: 20mg once daily for up to 8 weeks if child of 15-40 kg; 40mg once daily for up to 8 weeks if child of 40kg or greater.</w:t>
            </w:r>
          </w:p>
          <w:p w14:paraId="61527DEA"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Dyspepsia</w:t>
            </w:r>
            <w:r w:rsidRPr="00F10C37">
              <w:rPr>
                <w:color w:val="000000" w:themeColor="text1"/>
              </w:rPr>
              <w:t xml:space="preserve">, oral: </w:t>
            </w:r>
          </w:p>
          <w:p w14:paraId="34B55C64" w14:textId="77777777" w:rsidR="0053763D" w:rsidRPr="00F10C37" w:rsidRDefault="0053763D" w:rsidP="00C46407">
            <w:pPr>
              <w:pStyle w:val="BodyText"/>
              <w:spacing w:line="360" w:lineRule="auto"/>
              <w:ind w:right="476"/>
              <w:rPr>
                <w:color w:val="000000" w:themeColor="text1"/>
                <w:spacing w:val="-57"/>
              </w:rPr>
            </w:pPr>
            <w:r w:rsidRPr="00F10C37">
              <w:rPr>
                <w:b/>
                <w:color w:val="000000" w:themeColor="text1"/>
              </w:rPr>
              <w:t>Adult</w:t>
            </w:r>
            <w:r w:rsidRPr="00F10C37">
              <w:rPr>
                <w:color w:val="000000" w:themeColor="text1"/>
              </w:rPr>
              <w:t>: 20mg once daily for 4 weeks or 40mg once daily for 4 weeks if cause is unknown.</w:t>
            </w:r>
          </w:p>
          <w:p w14:paraId="2CA62EC3"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Uncomplicated gastric ulcer</w:t>
            </w:r>
            <w:r w:rsidRPr="00F10C37">
              <w:rPr>
                <w:color w:val="000000" w:themeColor="text1"/>
              </w:rPr>
              <w:t>, oral:</w:t>
            </w:r>
          </w:p>
          <w:p w14:paraId="7E5CBEC9"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Adult</w:t>
            </w:r>
            <w:r w:rsidRPr="00F10C37">
              <w:rPr>
                <w:color w:val="000000" w:themeColor="text1"/>
              </w:rPr>
              <w:t>: 40 mg daily for 8 weeks; increased if necessary up to 80 mg daily (dose increased in severe cases).</w:t>
            </w:r>
          </w:p>
          <w:p w14:paraId="47101DF4" w14:textId="77777777" w:rsidR="0053763D" w:rsidRPr="00F10C37" w:rsidRDefault="0053763D" w:rsidP="00C46407">
            <w:pPr>
              <w:pStyle w:val="BodyText"/>
              <w:spacing w:line="360" w:lineRule="auto"/>
              <w:ind w:right="476"/>
              <w:rPr>
                <w:b/>
                <w:color w:val="000000" w:themeColor="text1"/>
              </w:rPr>
            </w:pPr>
            <w:r w:rsidRPr="00F10C37">
              <w:rPr>
                <w:b/>
                <w:color w:val="000000" w:themeColor="text1"/>
              </w:rPr>
              <w:t>Duodenal ulcer</w:t>
            </w:r>
            <w:r w:rsidRPr="00F10C37">
              <w:rPr>
                <w:color w:val="000000" w:themeColor="text1"/>
              </w:rPr>
              <w:t>, oral:</w:t>
            </w:r>
          </w:p>
          <w:p w14:paraId="5059FA13"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Adult</w:t>
            </w:r>
            <w:r w:rsidRPr="00F10C37">
              <w:rPr>
                <w:color w:val="000000" w:themeColor="text1"/>
              </w:rPr>
              <w:t>: 40 mg daily for 4 weeks; increased if necessary up to 80 mg daily (dose increased in severe cases).</w:t>
            </w:r>
          </w:p>
          <w:p w14:paraId="26DB7BFA" w14:textId="77777777" w:rsidR="0053763D" w:rsidRPr="00F10C37" w:rsidRDefault="0053763D" w:rsidP="00C46407">
            <w:pPr>
              <w:pStyle w:val="BodyText"/>
              <w:spacing w:line="360" w:lineRule="auto"/>
              <w:ind w:right="476"/>
              <w:rPr>
                <w:b/>
                <w:color w:val="000000" w:themeColor="text1"/>
              </w:rPr>
            </w:pPr>
            <w:r w:rsidRPr="00F10C37">
              <w:rPr>
                <w:b/>
                <w:i/>
                <w:color w:val="000000" w:themeColor="text1"/>
              </w:rPr>
              <w:t>H. pylori</w:t>
            </w:r>
            <w:r w:rsidRPr="00F10C37">
              <w:rPr>
                <w:b/>
                <w:color w:val="000000" w:themeColor="text1"/>
              </w:rPr>
              <w:t xml:space="preserve"> eradication</w:t>
            </w:r>
            <w:r w:rsidRPr="00F10C37">
              <w:rPr>
                <w:color w:val="000000" w:themeColor="text1"/>
              </w:rPr>
              <w:t>, oral:</w:t>
            </w:r>
          </w:p>
          <w:p w14:paraId="4D2FEDD3"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Adult</w:t>
            </w:r>
            <w:r w:rsidRPr="00F10C37">
              <w:rPr>
                <w:color w:val="000000" w:themeColor="text1"/>
              </w:rPr>
              <w:t>: 40 mg twice daily for 7 days as part of an appropriate combination regimen with antibiotics (clarithromycin 250mg twice daily + metronidazole 500mg twice daily OR amoxicillin 1g twice daily + clarithromycin 500mg three times daily if a patient has been treated with metronidazole for other infections)</w:t>
            </w:r>
          </w:p>
          <w:p w14:paraId="42C3A6D9" w14:textId="77777777" w:rsidR="0053763D" w:rsidRPr="00F10C37" w:rsidRDefault="0053763D" w:rsidP="00C46407">
            <w:pPr>
              <w:pStyle w:val="BodyText"/>
              <w:spacing w:line="360" w:lineRule="auto"/>
              <w:ind w:right="476"/>
              <w:rPr>
                <w:b/>
                <w:color w:val="000000" w:themeColor="text1"/>
              </w:rPr>
            </w:pPr>
            <w:r w:rsidRPr="00F10C37">
              <w:rPr>
                <w:b/>
                <w:color w:val="000000" w:themeColor="text1"/>
              </w:rPr>
              <w:t xml:space="preserve">Prophylaxis against NSAID-associated gastric or duodenal </w:t>
            </w:r>
            <w:r w:rsidRPr="00F10C37">
              <w:rPr>
                <w:b/>
                <w:color w:val="000000" w:themeColor="text1"/>
              </w:rPr>
              <w:lastRenderedPageBreak/>
              <w:t>ulcer</w:t>
            </w:r>
            <w:r w:rsidRPr="00F10C37">
              <w:rPr>
                <w:color w:val="000000" w:themeColor="text1"/>
              </w:rPr>
              <w:t xml:space="preserve">, oral: </w:t>
            </w:r>
          </w:p>
          <w:p w14:paraId="66E49B96" w14:textId="77777777" w:rsidR="0053763D" w:rsidRPr="00F10C37" w:rsidRDefault="0053763D" w:rsidP="00C46407">
            <w:pPr>
              <w:pStyle w:val="BodyText"/>
              <w:spacing w:line="360" w:lineRule="auto"/>
              <w:ind w:right="476"/>
              <w:rPr>
                <w:b/>
                <w:color w:val="000000" w:themeColor="text1"/>
              </w:rPr>
            </w:pPr>
            <w:r w:rsidRPr="00F10C37">
              <w:rPr>
                <w:b/>
                <w:color w:val="000000" w:themeColor="text1"/>
              </w:rPr>
              <w:t>Adult</w:t>
            </w:r>
            <w:r w:rsidRPr="00F10C37">
              <w:rPr>
                <w:color w:val="000000" w:themeColor="text1"/>
              </w:rPr>
              <w:t>: 20mg once daily for 8 weeks.</w:t>
            </w:r>
          </w:p>
          <w:p w14:paraId="6B31B1A4"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NSAID</w:t>
            </w:r>
            <w:r w:rsidRPr="00F10C37">
              <w:rPr>
                <w:iCs/>
                <w:color w:val="000000" w:themeColor="text1"/>
              </w:rPr>
              <w:t>-</w:t>
            </w:r>
            <w:r w:rsidRPr="00F10C37">
              <w:rPr>
                <w:b/>
                <w:color w:val="000000" w:themeColor="text1"/>
              </w:rPr>
              <w:t>associated peptic ulcer disease</w:t>
            </w:r>
            <w:r w:rsidRPr="00F10C37">
              <w:rPr>
                <w:color w:val="000000" w:themeColor="text1"/>
              </w:rPr>
              <w:t xml:space="preserve">, oral: </w:t>
            </w:r>
          </w:p>
          <w:p w14:paraId="6C78CCD9"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 xml:space="preserve">Adult: </w:t>
            </w:r>
            <w:r w:rsidRPr="00F10C37">
              <w:rPr>
                <w:color w:val="000000" w:themeColor="text1"/>
              </w:rPr>
              <w:t>40 mg once daily for 8 weeks.</w:t>
            </w:r>
          </w:p>
          <w:p w14:paraId="71578CCD" w14:textId="77777777" w:rsidR="0053763D" w:rsidRPr="00F10C37" w:rsidRDefault="0053763D" w:rsidP="00C46407">
            <w:pPr>
              <w:pStyle w:val="BodyText"/>
              <w:spacing w:line="360" w:lineRule="auto"/>
              <w:ind w:right="476"/>
              <w:rPr>
                <w:b/>
                <w:color w:val="000000" w:themeColor="text1"/>
              </w:rPr>
            </w:pPr>
            <w:r w:rsidRPr="00F10C37">
              <w:rPr>
                <w:b/>
                <w:color w:val="000000" w:themeColor="text1"/>
              </w:rPr>
              <w:t>Severe esophagitis</w:t>
            </w:r>
            <w:r w:rsidRPr="00F10C37">
              <w:rPr>
                <w:color w:val="000000" w:themeColor="text1"/>
              </w:rPr>
              <w:t>, oral:</w:t>
            </w:r>
          </w:p>
          <w:p w14:paraId="46C18AEF" w14:textId="77777777" w:rsidR="0053763D" w:rsidRPr="00F10C37" w:rsidRDefault="0053763D" w:rsidP="00C46407">
            <w:pPr>
              <w:pStyle w:val="BodyText"/>
              <w:spacing w:line="360" w:lineRule="auto"/>
              <w:ind w:right="476"/>
              <w:rPr>
                <w:color w:val="000000" w:themeColor="text1"/>
              </w:rPr>
            </w:pPr>
            <w:r w:rsidRPr="00F10C37">
              <w:rPr>
                <w:b/>
                <w:color w:val="000000" w:themeColor="text1"/>
              </w:rPr>
              <w:t xml:space="preserve">Adult: </w:t>
            </w:r>
            <w:r w:rsidRPr="00F10C37">
              <w:rPr>
                <w:color w:val="000000" w:themeColor="text1"/>
              </w:rPr>
              <w:t>40 mg once daily for 8 weeks, continue as maintenance treatment if appropriate.</w:t>
            </w:r>
          </w:p>
          <w:p w14:paraId="09FBD369" w14:textId="77777777" w:rsidR="0053763D" w:rsidRPr="00F10C37" w:rsidRDefault="0053763D" w:rsidP="00C46407">
            <w:pPr>
              <w:pStyle w:val="BodyText"/>
              <w:spacing w:line="360" w:lineRule="auto"/>
              <w:ind w:right="476"/>
              <w:rPr>
                <w:b/>
                <w:color w:val="000000" w:themeColor="text1"/>
              </w:rPr>
            </w:pPr>
            <w:r w:rsidRPr="00F10C37">
              <w:rPr>
                <w:b/>
                <w:color w:val="000000" w:themeColor="text1"/>
              </w:rPr>
              <w:t>ZES and other hyper-secretory syndromes</w:t>
            </w:r>
            <w:r w:rsidRPr="00F10C37">
              <w:rPr>
                <w:color w:val="000000" w:themeColor="text1"/>
              </w:rPr>
              <w:t>, oral:</w:t>
            </w:r>
            <w:r w:rsidRPr="00F10C37">
              <w:rPr>
                <w:b/>
                <w:color w:val="000000" w:themeColor="text1"/>
              </w:rPr>
              <w:t xml:space="preserve"> </w:t>
            </w:r>
          </w:p>
          <w:p w14:paraId="1CEA1BCB" w14:textId="77777777" w:rsidR="0053763D" w:rsidRPr="00F10C37" w:rsidRDefault="0053763D" w:rsidP="00C46407">
            <w:pPr>
              <w:autoSpaceDE w:val="0"/>
              <w:autoSpaceDN w:val="0"/>
              <w:adjustRightInd w:val="0"/>
              <w:jc w:val="both"/>
              <w:rPr>
                <w:rFonts w:cs="Times New Roman"/>
                <w:color w:val="000000" w:themeColor="text1"/>
                <w:szCs w:val="24"/>
              </w:rPr>
            </w:pPr>
            <w:r w:rsidRPr="003D3E3A">
              <w:rPr>
                <w:rFonts w:cs="Times New Roman"/>
                <w:b/>
                <w:color w:val="000000" w:themeColor="text1"/>
                <w:szCs w:val="24"/>
              </w:rPr>
              <w:t xml:space="preserve">Adult: </w:t>
            </w:r>
            <w:r w:rsidRPr="003D3E3A">
              <w:rPr>
                <w:rFonts w:cs="Times New Roman"/>
                <w:color w:val="000000" w:themeColor="text1"/>
                <w:szCs w:val="24"/>
              </w:rPr>
              <w:t>80 mg once daily initially (max. per dose 80 mg), adjusted according to response, up to 240mg/day</w:t>
            </w:r>
            <w:r w:rsidRPr="003D3E3A">
              <w:rPr>
                <w:rFonts w:eastAsiaTheme="minorHAnsi" w:cs="Times New Roman"/>
                <w:color w:val="000000" w:themeColor="text1"/>
                <w:szCs w:val="24"/>
              </w:rPr>
              <w:t xml:space="preserve">. </w:t>
            </w:r>
          </w:p>
        </w:tc>
      </w:tr>
      <w:tr w:rsidR="0053763D" w:rsidRPr="00F10C37" w14:paraId="3F44CBF8" w14:textId="77777777" w:rsidTr="00C46407">
        <w:trPr>
          <w:jc w:val="center"/>
        </w:trPr>
        <w:tc>
          <w:tcPr>
            <w:tcW w:w="1421" w:type="pct"/>
          </w:tcPr>
          <w:p w14:paraId="10EF3D2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3579" w:type="pct"/>
            <w:gridSpan w:val="2"/>
          </w:tcPr>
          <w:p w14:paraId="450A82B2"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hepatic impairment, severe renal impairment, pregnancy.</w:t>
            </w:r>
          </w:p>
        </w:tc>
      </w:tr>
      <w:tr w:rsidR="0053763D" w:rsidRPr="00F10C37" w14:paraId="77D8B524" w14:textId="77777777" w:rsidTr="00C46407">
        <w:trPr>
          <w:jc w:val="center"/>
        </w:trPr>
        <w:tc>
          <w:tcPr>
            <w:tcW w:w="1421" w:type="pct"/>
          </w:tcPr>
          <w:p w14:paraId="4D51B2B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3579" w:type="pct"/>
            <w:gridSpan w:val="2"/>
          </w:tcPr>
          <w:p w14:paraId="5243386E"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Protease inhibitors</w:t>
            </w:r>
            <w:r>
              <w:rPr>
                <w:rFonts w:cs="Times New Roman"/>
                <w:color w:val="000000" w:themeColor="text1"/>
                <w:szCs w:val="24"/>
              </w:rPr>
              <w:t xml:space="preserve">, </w:t>
            </w:r>
            <w:r w:rsidRPr="00F10C37">
              <w:rPr>
                <w:rFonts w:cs="Times New Roman"/>
                <w:color w:val="000000" w:themeColor="text1"/>
                <w:szCs w:val="24"/>
              </w:rPr>
              <w:t>azole antifungals</w:t>
            </w:r>
            <w:r>
              <w:rPr>
                <w:rFonts w:cs="Times New Roman"/>
                <w:color w:val="000000" w:themeColor="text1"/>
                <w:szCs w:val="24"/>
              </w:rPr>
              <w:t>,</w:t>
            </w:r>
            <w:r w:rsidRPr="00F10C37">
              <w:rPr>
                <w:rFonts w:cs="Times New Roman"/>
                <w:color w:val="000000" w:themeColor="text1"/>
                <w:szCs w:val="24"/>
              </w:rPr>
              <w:t xml:space="preserve"> methotrexate</w:t>
            </w:r>
            <w:r>
              <w:rPr>
                <w:rFonts w:cs="Times New Roman"/>
                <w:color w:val="000000" w:themeColor="text1"/>
                <w:szCs w:val="24"/>
              </w:rPr>
              <w:t>,</w:t>
            </w:r>
            <w:r w:rsidRPr="00F10C37">
              <w:rPr>
                <w:rFonts w:cs="Times New Roman"/>
                <w:color w:val="000000" w:themeColor="text1"/>
                <w:szCs w:val="24"/>
              </w:rPr>
              <w:t xml:space="preserve"> warfarin.</w:t>
            </w:r>
          </w:p>
        </w:tc>
      </w:tr>
      <w:tr w:rsidR="0053763D" w:rsidRPr="00F10C37" w14:paraId="145E7C7A" w14:textId="77777777" w:rsidTr="00C46407">
        <w:trPr>
          <w:jc w:val="center"/>
        </w:trPr>
        <w:tc>
          <w:tcPr>
            <w:tcW w:w="1421" w:type="pct"/>
          </w:tcPr>
          <w:p w14:paraId="4FAA167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3579" w:type="pct"/>
            <w:gridSpan w:val="2"/>
          </w:tcPr>
          <w:p w14:paraId="4B2CE51E"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Sleep disturbances, headache and dizziness, fundic gland polyps, abdominal pain, diarrhoea, nausea and vomiting, increased liver enzymes, rash, pruritus, angioedema, bone fractures.</w:t>
            </w:r>
          </w:p>
        </w:tc>
      </w:tr>
      <w:tr w:rsidR="0053763D" w:rsidRPr="00F10C37" w14:paraId="32A52067" w14:textId="77777777" w:rsidTr="00C46407">
        <w:trPr>
          <w:jc w:val="center"/>
        </w:trPr>
        <w:tc>
          <w:tcPr>
            <w:tcW w:w="1421" w:type="pct"/>
          </w:tcPr>
          <w:p w14:paraId="07DA203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3579" w:type="pct"/>
            <w:gridSpan w:val="2"/>
          </w:tcPr>
          <w:p w14:paraId="5613049F"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Long term use in elderly</w:t>
            </w:r>
            <w:r>
              <w:rPr>
                <w:rFonts w:cs="Times New Roman"/>
                <w:color w:val="000000" w:themeColor="text1"/>
                <w:szCs w:val="24"/>
              </w:rPr>
              <w:t xml:space="preserve">, </w:t>
            </w:r>
            <w:r w:rsidRPr="00F10C37">
              <w:rPr>
                <w:rFonts w:cs="Times New Roman"/>
                <w:color w:val="000000" w:themeColor="text1"/>
                <w:szCs w:val="24"/>
              </w:rPr>
              <w:t xml:space="preserve">GI infections (including </w:t>
            </w:r>
            <w:r w:rsidRPr="00F10C37">
              <w:rPr>
                <w:rFonts w:cs="Times New Roman"/>
                <w:i/>
                <w:color w:val="000000" w:themeColor="text1"/>
                <w:szCs w:val="24"/>
              </w:rPr>
              <w:t>Clostridioides difficile</w:t>
            </w:r>
            <w:r w:rsidRPr="00F10C37">
              <w:rPr>
                <w:rFonts w:cs="Times New Roman"/>
                <w:color w:val="000000" w:themeColor="text1"/>
                <w:szCs w:val="24"/>
              </w:rPr>
              <w:t xml:space="preserve"> infection)</w:t>
            </w:r>
            <w:r>
              <w:rPr>
                <w:rFonts w:cs="Times New Roman"/>
                <w:color w:val="000000" w:themeColor="text1"/>
                <w:szCs w:val="24"/>
              </w:rPr>
              <w:t xml:space="preserve">, </w:t>
            </w:r>
            <w:r w:rsidRPr="00F10C37">
              <w:rPr>
                <w:rFonts w:cs="Times New Roman"/>
                <w:color w:val="000000" w:themeColor="text1"/>
                <w:szCs w:val="24"/>
              </w:rPr>
              <w:t>gastric cancer (in adults)</w:t>
            </w:r>
            <w:r>
              <w:rPr>
                <w:rFonts w:cs="Times New Roman"/>
                <w:color w:val="000000" w:themeColor="text1"/>
                <w:szCs w:val="24"/>
              </w:rPr>
              <w:t xml:space="preserve">, </w:t>
            </w:r>
            <w:r w:rsidRPr="00F10C37">
              <w:rPr>
                <w:rFonts w:cs="Times New Roman"/>
                <w:color w:val="000000" w:themeColor="text1"/>
                <w:szCs w:val="24"/>
              </w:rPr>
              <w:t>long-term treatment</w:t>
            </w:r>
            <w:r>
              <w:rPr>
                <w:rFonts w:cs="Times New Roman"/>
                <w:color w:val="000000" w:themeColor="text1"/>
                <w:szCs w:val="24"/>
              </w:rPr>
              <w:t>,</w:t>
            </w:r>
            <w:r w:rsidRPr="00F10C37">
              <w:rPr>
                <w:rFonts w:cs="Times New Roman"/>
                <w:color w:val="000000" w:themeColor="text1"/>
                <w:szCs w:val="24"/>
              </w:rPr>
              <w:t xml:space="preserve"> patients at risk of osteoporosis.  </w:t>
            </w:r>
          </w:p>
        </w:tc>
      </w:tr>
      <w:tr w:rsidR="0053763D" w:rsidRPr="00F10C37" w14:paraId="0AD0305E" w14:textId="77777777" w:rsidTr="00C46407">
        <w:trPr>
          <w:jc w:val="center"/>
        </w:trPr>
        <w:tc>
          <w:tcPr>
            <w:tcW w:w="1421" w:type="pct"/>
          </w:tcPr>
          <w:p w14:paraId="03D8E4B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3579" w:type="pct"/>
            <w:gridSpan w:val="2"/>
          </w:tcPr>
          <w:p w14:paraId="32CA028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30°C. Protect from light.</w:t>
            </w:r>
          </w:p>
        </w:tc>
      </w:tr>
    </w:tbl>
    <w:p w14:paraId="6FDC3D85" w14:textId="77777777" w:rsidR="0053763D" w:rsidRPr="00F10C37" w:rsidRDefault="0053763D" w:rsidP="0053763D">
      <w:pPr>
        <w:tabs>
          <w:tab w:val="left" w:pos="797"/>
        </w:tabs>
        <w:spacing w:after="0"/>
        <w:jc w:val="both"/>
        <w:rPr>
          <w:rFonts w:cs="Times New Roman"/>
          <w:b/>
          <w:color w:val="000000" w:themeColor="text1"/>
          <w:szCs w:val="24"/>
        </w:rPr>
      </w:pPr>
      <w:bookmarkStart w:id="16" w:name="1.2._Anti-ulcer_Agents"/>
      <w:bookmarkStart w:id="17" w:name="_bookmark25"/>
      <w:bookmarkEnd w:id="16"/>
      <w:bookmarkEnd w:id="17"/>
    </w:p>
    <w:p w14:paraId="6F30FA12" w14:textId="77777777" w:rsidR="0053763D" w:rsidRPr="00F10C37" w:rsidRDefault="0053763D" w:rsidP="001477BB">
      <w:pPr>
        <w:pStyle w:val="Heading2"/>
        <w:spacing w:after="240"/>
      </w:pPr>
      <w:bookmarkStart w:id="18" w:name="_Toc179490305"/>
      <w:r w:rsidRPr="00F10C37">
        <w:t xml:space="preserve">Medicines for upper </w:t>
      </w:r>
      <w:r>
        <w:t>gastro-intestinal</w:t>
      </w:r>
      <w:r w:rsidRPr="00F10C37">
        <w:t xml:space="preserve"> bleeding</w:t>
      </w:r>
      <w:bookmarkEnd w:id="18"/>
    </w:p>
    <w:p w14:paraId="44F66DF7" w14:textId="77777777" w:rsidR="0053763D" w:rsidRPr="00D9253F" w:rsidRDefault="0053763D" w:rsidP="00491AFD">
      <w:pPr>
        <w:tabs>
          <w:tab w:val="left" w:pos="797"/>
        </w:tabs>
        <w:jc w:val="both"/>
        <w:rPr>
          <w:rFonts w:cs="Times New Roman"/>
          <w:color w:val="000000" w:themeColor="text1"/>
          <w:szCs w:val="24"/>
        </w:rPr>
      </w:pPr>
      <w:r w:rsidRPr="00D9253F">
        <w:rPr>
          <w:rFonts w:cs="Times New Roman"/>
          <w:color w:val="000000" w:themeColor="text1"/>
          <w:szCs w:val="24"/>
        </w:rPr>
        <w:t xml:space="preserve">Proton pump inhibitors, prokinetic agents, non-steroidal anti-inflammatory drugs (NSAIDs), histamine H2 antagonists, iron products, antibiotics are among the drugs that used for the managment of upper GI bleeding. Sclerosing agents are the mainstay therapy for upper GI bleeding. These agents are used in the management of varicosities including varicose veins and oesophageal varices when their capacity to damage veins is apparently put to good use. The mechanisms by which injection sclerotherapy works are not completely understood but are thought to involve damage to the intima, intraluminal thrombosis, and intravascular fibrous </w:t>
      </w:r>
      <w:r w:rsidRPr="00D9253F">
        <w:rPr>
          <w:rFonts w:cs="Times New Roman"/>
          <w:color w:val="000000" w:themeColor="text1"/>
          <w:szCs w:val="24"/>
        </w:rPr>
        <w:lastRenderedPageBreak/>
        <w:t xml:space="preserve">organisation. Nowadays, hormone analogs (e.g., octreotide) and beta blockers (e.g., propranolol) are also largely used. </w:t>
      </w:r>
    </w:p>
    <w:tbl>
      <w:tblPr>
        <w:tblStyle w:val="TableGrid"/>
        <w:tblW w:w="9017" w:type="dxa"/>
        <w:jc w:val="center"/>
        <w:tblLook w:val="04A0" w:firstRow="1" w:lastRow="0" w:firstColumn="1" w:lastColumn="0" w:noHBand="0" w:noVBand="1"/>
      </w:tblPr>
      <w:tblGrid>
        <w:gridCol w:w="2651"/>
        <w:gridCol w:w="6344"/>
        <w:gridCol w:w="22"/>
      </w:tblGrid>
      <w:tr w:rsidR="0053763D" w:rsidRPr="00F10C37" w14:paraId="478A2D2A" w14:textId="77777777" w:rsidTr="00C46407">
        <w:trPr>
          <w:jc w:val="center"/>
        </w:trPr>
        <w:tc>
          <w:tcPr>
            <w:tcW w:w="9017" w:type="dxa"/>
            <w:gridSpan w:val="3"/>
          </w:tcPr>
          <w:p w14:paraId="3CE56616"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Octreotide</w:t>
            </w:r>
          </w:p>
        </w:tc>
      </w:tr>
      <w:tr w:rsidR="0053763D" w:rsidRPr="00F10C37" w14:paraId="4365C4B7" w14:textId="77777777" w:rsidTr="00C46407">
        <w:trPr>
          <w:jc w:val="center"/>
        </w:trPr>
        <w:tc>
          <w:tcPr>
            <w:tcW w:w="2651" w:type="dxa"/>
          </w:tcPr>
          <w:p w14:paraId="1AF36F9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66" w:type="dxa"/>
            <w:gridSpan w:val="2"/>
          </w:tcPr>
          <w:p w14:paraId="080BAFD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Somatostatin analog</w:t>
            </w:r>
          </w:p>
        </w:tc>
      </w:tr>
      <w:tr w:rsidR="0053763D" w:rsidRPr="00F10C37" w14:paraId="51E15A4D" w14:textId="77777777" w:rsidTr="00C46407">
        <w:trPr>
          <w:jc w:val="center"/>
        </w:trPr>
        <w:tc>
          <w:tcPr>
            <w:tcW w:w="2651" w:type="dxa"/>
          </w:tcPr>
          <w:p w14:paraId="323872C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66" w:type="dxa"/>
            <w:gridSpan w:val="2"/>
          </w:tcPr>
          <w:p w14:paraId="3A971A8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Injection: 50mcg/</w:t>
            </w:r>
            <w:r>
              <w:rPr>
                <w:rFonts w:cs="Times New Roman"/>
                <w:color w:val="000000" w:themeColor="text1"/>
                <w:szCs w:val="24"/>
              </w:rPr>
              <w:t>ml</w:t>
            </w:r>
            <w:r w:rsidRPr="00F10C37">
              <w:rPr>
                <w:rFonts w:cs="Times New Roman"/>
                <w:color w:val="000000" w:themeColor="text1"/>
                <w:szCs w:val="24"/>
              </w:rPr>
              <w:t>, 100mcg/</w:t>
            </w:r>
            <w:r>
              <w:rPr>
                <w:rFonts w:cs="Times New Roman"/>
                <w:color w:val="000000" w:themeColor="text1"/>
                <w:szCs w:val="24"/>
              </w:rPr>
              <w:t>ml</w:t>
            </w:r>
            <w:r w:rsidRPr="00F10C37">
              <w:rPr>
                <w:rFonts w:cs="Times New Roman"/>
                <w:color w:val="000000" w:themeColor="text1"/>
                <w:szCs w:val="24"/>
              </w:rPr>
              <w:t>.</w:t>
            </w:r>
          </w:p>
        </w:tc>
      </w:tr>
      <w:tr w:rsidR="0053763D" w:rsidRPr="00F10C37" w14:paraId="3ADD055E" w14:textId="77777777" w:rsidTr="00C46407">
        <w:trPr>
          <w:jc w:val="center"/>
        </w:trPr>
        <w:tc>
          <w:tcPr>
            <w:tcW w:w="2651" w:type="dxa"/>
          </w:tcPr>
          <w:p w14:paraId="4D520AB9" w14:textId="77777777" w:rsidR="0053763D" w:rsidRPr="00837345" w:rsidRDefault="0053763D" w:rsidP="00C46407">
            <w:pPr>
              <w:jc w:val="both"/>
              <w:rPr>
                <w:rFonts w:cs="Times New Roman"/>
                <w:color w:val="000000" w:themeColor="text1"/>
                <w:szCs w:val="24"/>
              </w:rPr>
            </w:pPr>
            <w:r w:rsidRPr="00837345">
              <w:rPr>
                <w:rFonts w:cs="Times New Roman"/>
                <w:color w:val="000000" w:themeColor="text1"/>
                <w:szCs w:val="24"/>
              </w:rPr>
              <w:t>Indications</w:t>
            </w:r>
          </w:p>
        </w:tc>
        <w:tc>
          <w:tcPr>
            <w:tcW w:w="6366" w:type="dxa"/>
            <w:gridSpan w:val="2"/>
          </w:tcPr>
          <w:p w14:paraId="5F72315F" w14:textId="77777777" w:rsidR="0053763D" w:rsidRPr="00F10C37" w:rsidRDefault="0053763D" w:rsidP="00C46407">
            <w:pPr>
              <w:autoSpaceDE w:val="0"/>
              <w:autoSpaceDN w:val="0"/>
              <w:adjustRightInd w:val="0"/>
              <w:jc w:val="both"/>
              <w:rPr>
                <w:rFonts w:cs="Times New Roman"/>
                <w:i/>
                <w:iCs/>
                <w:color w:val="000000" w:themeColor="text1"/>
                <w:szCs w:val="24"/>
              </w:rPr>
            </w:pPr>
            <w:r w:rsidRPr="00F10C37">
              <w:rPr>
                <w:rFonts w:cs="Times New Roman"/>
                <w:color w:val="000000" w:themeColor="text1"/>
                <w:szCs w:val="24"/>
              </w:rPr>
              <w:t>Bleeding from gastroesophageal varices</w:t>
            </w:r>
          </w:p>
        </w:tc>
      </w:tr>
      <w:tr w:rsidR="0053763D" w:rsidRPr="00F10C37" w14:paraId="02A0386B" w14:textId="77777777" w:rsidTr="00C46407">
        <w:trPr>
          <w:jc w:val="center"/>
        </w:trPr>
        <w:tc>
          <w:tcPr>
            <w:tcW w:w="2651" w:type="dxa"/>
          </w:tcPr>
          <w:p w14:paraId="4C23CAA7"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66" w:type="dxa"/>
            <w:gridSpan w:val="2"/>
          </w:tcPr>
          <w:p w14:paraId="14224AE7"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25 mcg/hour for 5 days by continuous intravenous IV infusion. </w:t>
            </w:r>
          </w:p>
        </w:tc>
      </w:tr>
      <w:tr w:rsidR="0053763D" w:rsidRPr="00F10C37" w14:paraId="00AD392A" w14:textId="77777777" w:rsidTr="00C46407">
        <w:trPr>
          <w:jc w:val="center"/>
        </w:trPr>
        <w:tc>
          <w:tcPr>
            <w:tcW w:w="2651" w:type="dxa"/>
          </w:tcPr>
          <w:p w14:paraId="57A112B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66" w:type="dxa"/>
            <w:gridSpan w:val="2"/>
          </w:tcPr>
          <w:p w14:paraId="59572ED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w:t>
            </w:r>
          </w:p>
        </w:tc>
      </w:tr>
      <w:tr w:rsidR="0053763D" w:rsidRPr="00F10C37" w14:paraId="71A5A135" w14:textId="77777777" w:rsidTr="00C46407">
        <w:trPr>
          <w:jc w:val="center"/>
        </w:trPr>
        <w:tc>
          <w:tcPr>
            <w:tcW w:w="2651" w:type="dxa"/>
          </w:tcPr>
          <w:p w14:paraId="1076BD2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66" w:type="dxa"/>
            <w:gridSpan w:val="2"/>
          </w:tcPr>
          <w:p w14:paraId="364434A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Beta blockers, calcium channel blockers, indapamide, cyclosporine, quinidine, disopyramide, ciclosporin, cimetidine, bromocriptine, and anti-diabetic drugs.</w:t>
            </w:r>
          </w:p>
        </w:tc>
      </w:tr>
      <w:tr w:rsidR="0053763D" w:rsidRPr="00F10C37" w14:paraId="40C66426" w14:textId="77777777" w:rsidTr="00C46407">
        <w:trPr>
          <w:jc w:val="center"/>
        </w:trPr>
        <w:tc>
          <w:tcPr>
            <w:tcW w:w="2651" w:type="dxa"/>
          </w:tcPr>
          <w:p w14:paraId="7A26540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66" w:type="dxa"/>
            <w:gridSpan w:val="2"/>
          </w:tcPr>
          <w:p w14:paraId="2B719DF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Cholelithiasis, hepatitis, glucose dysregulation, abdominal pain, nausea, flatulence, diarrhoea, headache, pruritus, rash, alopecia, and bradycardia.</w:t>
            </w:r>
          </w:p>
        </w:tc>
      </w:tr>
      <w:tr w:rsidR="0053763D" w:rsidRPr="00F10C37" w14:paraId="301FE04A" w14:textId="77777777" w:rsidTr="00C46407">
        <w:trPr>
          <w:jc w:val="center"/>
        </w:trPr>
        <w:tc>
          <w:tcPr>
            <w:tcW w:w="2651" w:type="dxa"/>
          </w:tcPr>
          <w:p w14:paraId="15FCE7F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66" w:type="dxa"/>
            <w:gridSpan w:val="2"/>
          </w:tcPr>
          <w:p w14:paraId="225BA043" w14:textId="77777777" w:rsidR="0053763D" w:rsidRPr="00F10C37" w:rsidRDefault="0053763D" w:rsidP="00C46407">
            <w:pPr>
              <w:adjustRightInd w:val="0"/>
              <w:jc w:val="both"/>
              <w:rPr>
                <w:rFonts w:cs="Times New Roman"/>
                <w:bCs/>
                <w:color w:val="000000" w:themeColor="text1"/>
                <w:szCs w:val="24"/>
              </w:rPr>
            </w:pPr>
            <w:r w:rsidRPr="00F10C37">
              <w:rPr>
                <w:rFonts w:cs="Times New Roman"/>
                <w:bCs/>
                <w:color w:val="000000" w:themeColor="text1"/>
                <w:szCs w:val="24"/>
              </w:rPr>
              <w:t>Hepatic impairment, pregnancy, breastfeeding.</w:t>
            </w:r>
          </w:p>
        </w:tc>
      </w:tr>
      <w:tr w:rsidR="0053763D" w:rsidRPr="00F10C37" w14:paraId="38312F60" w14:textId="77777777" w:rsidTr="00C46407">
        <w:trPr>
          <w:jc w:val="center"/>
        </w:trPr>
        <w:tc>
          <w:tcPr>
            <w:tcW w:w="2651" w:type="dxa"/>
          </w:tcPr>
          <w:p w14:paraId="51EC485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66" w:type="dxa"/>
            <w:gridSpan w:val="2"/>
          </w:tcPr>
          <w:p w14:paraId="709FA95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Stored below 30 °C. Protect from light. </w:t>
            </w:r>
          </w:p>
        </w:tc>
      </w:tr>
      <w:tr w:rsidR="0053763D" w:rsidRPr="00F10C37" w14:paraId="7C014B46" w14:textId="77777777" w:rsidTr="00C46407">
        <w:trPr>
          <w:jc w:val="center"/>
        </w:trPr>
        <w:tc>
          <w:tcPr>
            <w:tcW w:w="9017" w:type="dxa"/>
            <w:gridSpan w:val="3"/>
          </w:tcPr>
          <w:p w14:paraId="51F34094" w14:textId="77777777" w:rsidR="0053763D" w:rsidRPr="00F10C37" w:rsidRDefault="0053763D" w:rsidP="00C46407">
            <w:pPr>
              <w:jc w:val="both"/>
              <w:rPr>
                <w:rFonts w:cs="Times New Roman"/>
                <w:b/>
                <w:color w:val="000000" w:themeColor="text1"/>
                <w:szCs w:val="24"/>
              </w:rPr>
            </w:pPr>
            <w:bookmarkStart w:id="19" w:name="Esomeprazole"/>
            <w:bookmarkEnd w:id="19"/>
            <w:r w:rsidRPr="00F10C37">
              <w:rPr>
                <w:rFonts w:cs="Times New Roman"/>
                <w:b/>
                <w:color w:val="000000" w:themeColor="text1"/>
                <w:szCs w:val="24"/>
              </w:rPr>
              <w:t>Omeprazole</w:t>
            </w:r>
          </w:p>
        </w:tc>
      </w:tr>
      <w:tr w:rsidR="0053763D" w:rsidRPr="00F10C37" w14:paraId="2C83F36F" w14:textId="77777777" w:rsidTr="00C46407">
        <w:trPr>
          <w:trHeight w:val="42"/>
          <w:jc w:val="center"/>
        </w:trPr>
        <w:tc>
          <w:tcPr>
            <w:tcW w:w="2651" w:type="dxa"/>
          </w:tcPr>
          <w:p w14:paraId="58B1B0A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66" w:type="dxa"/>
            <w:gridSpan w:val="2"/>
          </w:tcPr>
          <w:p w14:paraId="33D2794B" w14:textId="77777777" w:rsidR="0053763D" w:rsidRPr="00F10C37" w:rsidRDefault="0053763D" w:rsidP="00C46407">
            <w:pPr>
              <w:autoSpaceDE w:val="0"/>
              <w:autoSpaceDN w:val="0"/>
              <w:adjustRightInd w:val="0"/>
              <w:jc w:val="both"/>
              <w:rPr>
                <w:rFonts w:cs="Times New Roman"/>
                <w:bCs/>
                <w:color w:val="000000" w:themeColor="text1"/>
                <w:szCs w:val="24"/>
              </w:rPr>
            </w:pPr>
            <w:r w:rsidRPr="00F10C37">
              <w:rPr>
                <w:rFonts w:cs="Times New Roman"/>
                <w:bCs/>
                <w:color w:val="000000" w:themeColor="text1"/>
                <w:szCs w:val="24"/>
              </w:rPr>
              <w:t>Proton pump inhibitor</w:t>
            </w:r>
          </w:p>
        </w:tc>
      </w:tr>
      <w:tr w:rsidR="0053763D" w:rsidRPr="00F10C37" w14:paraId="1F419552" w14:textId="77777777" w:rsidTr="00C46407">
        <w:trPr>
          <w:jc w:val="center"/>
        </w:trPr>
        <w:tc>
          <w:tcPr>
            <w:tcW w:w="2651" w:type="dxa"/>
          </w:tcPr>
          <w:p w14:paraId="5D1EC43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66" w:type="dxa"/>
            <w:gridSpan w:val="2"/>
          </w:tcPr>
          <w:p w14:paraId="005A3220" w14:textId="77777777" w:rsidR="0053763D" w:rsidRPr="00F10C37" w:rsidRDefault="0053763D" w:rsidP="00C46407">
            <w:pPr>
              <w:jc w:val="both"/>
              <w:rPr>
                <w:rFonts w:cs="Times New Roman"/>
                <w:color w:val="000000" w:themeColor="text1"/>
                <w:szCs w:val="24"/>
                <w:shd w:val="clear" w:color="auto" w:fill="FFFFFF" w:themeFill="background1"/>
              </w:rPr>
            </w:pPr>
            <w:r w:rsidRPr="00F10C37">
              <w:rPr>
                <w:rStyle w:val="fontstyle01"/>
                <w:rFonts w:ascii="Times New Roman" w:hAnsi="Times New Roman" w:cs="Times New Roman"/>
                <w:color w:val="000000" w:themeColor="text1"/>
                <w:sz w:val="24"/>
                <w:szCs w:val="24"/>
                <w:shd w:val="clear" w:color="auto" w:fill="FFFFFF" w:themeFill="background1"/>
              </w:rPr>
              <w:t>Powder for injection: 40 mg in vial</w:t>
            </w:r>
          </w:p>
        </w:tc>
      </w:tr>
      <w:tr w:rsidR="0053763D" w:rsidRPr="00F10C37" w14:paraId="72750ABF" w14:textId="77777777" w:rsidTr="00C46407">
        <w:trPr>
          <w:jc w:val="center"/>
        </w:trPr>
        <w:tc>
          <w:tcPr>
            <w:tcW w:w="2651" w:type="dxa"/>
          </w:tcPr>
          <w:p w14:paraId="320A3E43" w14:textId="77777777" w:rsidR="0053763D" w:rsidRPr="0050680D" w:rsidRDefault="0053763D" w:rsidP="00C46407">
            <w:pPr>
              <w:jc w:val="both"/>
              <w:rPr>
                <w:rFonts w:cs="Times New Roman"/>
                <w:color w:val="000000" w:themeColor="text1"/>
                <w:szCs w:val="24"/>
              </w:rPr>
            </w:pPr>
            <w:r w:rsidRPr="0050680D">
              <w:rPr>
                <w:rFonts w:cs="Times New Roman"/>
                <w:color w:val="000000" w:themeColor="text1"/>
                <w:szCs w:val="24"/>
              </w:rPr>
              <w:t>Indications</w:t>
            </w:r>
          </w:p>
        </w:tc>
        <w:tc>
          <w:tcPr>
            <w:tcW w:w="6366" w:type="dxa"/>
            <w:gridSpan w:val="2"/>
          </w:tcPr>
          <w:p w14:paraId="4E035F8A" w14:textId="77777777" w:rsidR="0053763D" w:rsidRPr="00F10C37" w:rsidRDefault="0053763D" w:rsidP="00C46407">
            <w:pPr>
              <w:autoSpaceDE w:val="0"/>
              <w:autoSpaceDN w:val="0"/>
              <w:adjustRightInd w:val="0"/>
              <w:jc w:val="both"/>
              <w:rPr>
                <w:rFonts w:cs="Times New Roman"/>
                <w:color w:val="000000" w:themeColor="text1"/>
                <w:szCs w:val="24"/>
              </w:rPr>
            </w:pPr>
            <w:r>
              <w:rPr>
                <w:rFonts w:cs="Times New Roman"/>
                <w:color w:val="000000" w:themeColor="text1"/>
                <w:szCs w:val="24"/>
              </w:rPr>
              <w:t>Gastro esophageal reflux diseases (</w:t>
            </w:r>
            <w:r w:rsidRPr="00F10C37">
              <w:rPr>
                <w:rFonts w:cs="Times New Roman"/>
                <w:color w:val="000000" w:themeColor="text1"/>
                <w:szCs w:val="24"/>
              </w:rPr>
              <w:t>GERD</w:t>
            </w:r>
            <w:r>
              <w:rPr>
                <w:rFonts w:cs="Times New Roman"/>
                <w:color w:val="000000" w:themeColor="text1"/>
                <w:szCs w:val="24"/>
              </w:rPr>
              <w:t>)</w:t>
            </w:r>
            <w:r w:rsidRPr="00F10C37">
              <w:rPr>
                <w:rFonts w:cs="Times New Roman"/>
                <w:color w:val="000000" w:themeColor="text1"/>
                <w:szCs w:val="24"/>
              </w:rPr>
              <w:t xml:space="preserve">, severe esophagitis, </w:t>
            </w:r>
            <w:r w:rsidRPr="00F10C37">
              <w:rPr>
                <w:rFonts w:cs="Times New Roman"/>
                <w:i/>
                <w:color w:val="000000" w:themeColor="text1"/>
                <w:szCs w:val="24"/>
              </w:rPr>
              <w:t>H.pylori</w:t>
            </w:r>
            <w:r w:rsidRPr="00F10C37">
              <w:rPr>
                <w:rFonts w:cs="Times New Roman"/>
                <w:color w:val="000000" w:themeColor="text1"/>
                <w:szCs w:val="24"/>
              </w:rPr>
              <w:t xml:space="preserve"> eradication, peptic ulcer disease, uncomplicated ulcer, NSAID-associated peptic ulcer, </w:t>
            </w:r>
            <w:r>
              <w:rPr>
                <w:rFonts w:cs="Times New Roman"/>
                <w:color w:val="000000" w:themeColor="text1"/>
                <w:szCs w:val="24"/>
              </w:rPr>
              <w:t>Zollinger Ellison syndrome (</w:t>
            </w:r>
            <w:r w:rsidRPr="00F10C37">
              <w:rPr>
                <w:rFonts w:cs="Times New Roman"/>
                <w:color w:val="000000" w:themeColor="text1"/>
                <w:szCs w:val="24"/>
              </w:rPr>
              <w:t>ZES</w:t>
            </w:r>
            <w:r>
              <w:rPr>
                <w:rFonts w:cs="Times New Roman"/>
                <w:color w:val="000000" w:themeColor="text1"/>
                <w:szCs w:val="24"/>
              </w:rPr>
              <w:t>)</w:t>
            </w:r>
            <w:r w:rsidRPr="00F10C37">
              <w:rPr>
                <w:rFonts w:cs="Times New Roman"/>
                <w:color w:val="000000" w:themeColor="text1"/>
                <w:szCs w:val="24"/>
              </w:rPr>
              <w:t>, Stress ulcer prophylaxis in critically ill patients, Complicated ulcer (perforation, penetration, or gastric outlet obstruction).</w:t>
            </w:r>
          </w:p>
        </w:tc>
      </w:tr>
      <w:tr w:rsidR="0053763D" w:rsidRPr="00F10C37" w14:paraId="3061E9BA" w14:textId="77777777" w:rsidTr="00C46407">
        <w:trPr>
          <w:trHeight w:val="42"/>
          <w:jc w:val="center"/>
        </w:trPr>
        <w:tc>
          <w:tcPr>
            <w:tcW w:w="2651" w:type="dxa"/>
          </w:tcPr>
          <w:p w14:paraId="0F2A2485"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66" w:type="dxa"/>
            <w:gridSpan w:val="2"/>
          </w:tcPr>
          <w:p w14:paraId="5EC7C1C7" w14:textId="77777777" w:rsidR="0053763D" w:rsidRPr="00F10C37" w:rsidRDefault="0053763D" w:rsidP="00C46407">
            <w:pPr>
              <w:tabs>
                <w:tab w:val="left" w:pos="797"/>
              </w:tabs>
              <w:jc w:val="both"/>
              <w:rPr>
                <w:rFonts w:cs="Times New Roman"/>
                <w:color w:val="000000" w:themeColor="text1"/>
                <w:szCs w:val="24"/>
              </w:rPr>
            </w:pPr>
            <w:r w:rsidRPr="00F10C37">
              <w:rPr>
                <w:rFonts w:cs="Times New Roman"/>
                <w:color w:val="000000" w:themeColor="text1"/>
                <w:szCs w:val="24"/>
              </w:rPr>
              <w:t>Refer to omeprazole under antiulcer medicines.</w:t>
            </w:r>
          </w:p>
        </w:tc>
      </w:tr>
      <w:tr w:rsidR="0053763D" w:rsidRPr="00F10C37" w14:paraId="26EB0178" w14:textId="77777777" w:rsidTr="00C46407">
        <w:trPr>
          <w:jc w:val="center"/>
        </w:trPr>
        <w:tc>
          <w:tcPr>
            <w:tcW w:w="2651" w:type="dxa"/>
          </w:tcPr>
          <w:p w14:paraId="375056C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66" w:type="dxa"/>
            <w:gridSpan w:val="2"/>
          </w:tcPr>
          <w:p w14:paraId="201D810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Refer to omeprazole under antiulcer medicines.</w:t>
            </w:r>
          </w:p>
        </w:tc>
      </w:tr>
      <w:tr w:rsidR="0053763D" w:rsidRPr="00F10C37" w14:paraId="13B7CFC2" w14:textId="77777777" w:rsidTr="00C46407">
        <w:trPr>
          <w:jc w:val="center"/>
        </w:trPr>
        <w:tc>
          <w:tcPr>
            <w:tcW w:w="2651" w:type="dxa"/>
          </w:tcPr>
          <w:p w14:paraId="20A426F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66" w:type="dxa"/>
            <w:gridSpan w:val="2"/>
          </w:tcPr>
          <w:p w14:paraId="5477D1C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Refer to omeprazole under antiulcer medicines.</w:t>
            </w:r>
          </w:p>
        </w:tc>
      </w:tr>
      <w:tr w:rsidR="0053763D" w:rsidRPr="00F10C37" w14:paraId="5BBC2D14" w14:textId="77777777" w:rsidTr="00C46407">
        <w:trPr>
          <w:jc w:val="center"/>
        </w:trPr>
        <w:tc>
          <w:tcPr>
            <w:tcW w:w="2651" w:type="dxa"/>
          </w:tcPr>
          <w:p w14:paraId="0DAA00C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66" w:type="dxa"/>
            <w:gridSpan w:val="2"/>
          </w:tcPr>
          <w:p w14:paraId="4DEB6CD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Refer to omeprazole under antiulcer medicines.</w:t>
            </w:r>
          </w:p>
        </w:tc>
      </w:tr>
      <w:tr w:rsidR="0053763D" w:rsidRPr="00F10C37" w14:paraId="69EDCD2A" w14:textId="77777777" w:rsidTr="00C46407">
        <w:trPr>
          <w:jc w:val="center"/>
        </w:trPr>
        <w:tc>
          <w:tcPr>
            <w:tcW w:w="2651" w:type="dxa"/>
          </w:tcPr>
          <w:p w14:paraId="5D1A4D7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6366" w:type="dxa"/>
            <w:gridSpan w:val="2"/>
          </w:tcPr>
          <w:p w14:paraId="551A384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Refer to omeprazole under antiulcer medicines.</w:t>
            </w:r>
          </w:p>
        </w:tc>
      </w:tr>
      <w:tr w:rsidR="0053763D" w:rsidRPr="00F10C37" w14:paraId="6E8F90D9" w14:textId="77777777" w:rsidTr="00C46407">
        <w:trPr>
          <w:jc w:val="center"/>
        </w:trPr>
        <w:tc>
          <w:tcPr>
            <w:tcW w:w="2651" w:type="dxa"/>
          </w:tcPr>
          <w:p w14:paraId="62E4A82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66" w:type="dxa"/>
            <w:gridSpan w:val="2"/>
          </w:tcPr>
          <w:p w14:paraId="7913256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at below 30 °C. Protect from light.</w:t>
            </w:r>
          </w:p>
        </w:tc>
      </w:tr>
      <w:tr w:rsidR="0053763D" w:rsidRPr="00F10C37" w14:paraId="78690B7F" w14:textId="77777777" w:rsidTr="00C46407">
        <w:trPr>
          <w:jc w:val="center"/>
        </w:trPr>
        <w:tc>
          <w:tcPr>
            <w:tcW w:w="9017" w:type="dxa"/>
            <w:gridSpan w:val="3"/>
          </w:tcPr>
          <w:p w14:paraId="14B4D556"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Pantoprazole </w:t>
            </w:r>
          </w:p>
        </w:tc>
      </w:tr>
      <w:tr w:rsidR="0053763D" w:rsidRPr="00F10C37" w14:paraId="6522478A" w14:textId="77777777" w:rsidTr="00C46407">
        <w:trPr>
          <w:jc w:val="center"/>
        </w:trPr>
        <w:tc>
          <w:tcPr>
            <w:tcW w:w="2651" w:type="dxa"/>
          </w:tcPr>
          <w:p w14:paraId="70EAFD5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66" w:type="dxa"/>
            <w:gridSpan w:val="2"/>
          </w:tcPr>
          <w:p w14:paraId="020717A2" w14:textId="77777777" w:rsidR="0053763D" w:rsidRPr="00F10C37" w:rsidRDefault="0053763D" w:rsidP="00C46407">
            <w:pPr>
              <w:autoSpaceDE w:val="0"/>
              <w:autoSpaceDN w:val="0"/>
              <w:adjustRightInd w:val="0"/>
              <w:jc w:val="both"/>
              <w:rPr>
                <w:rFonts w:cs="Times New Roman"/>
                <w:bCs/>
                <w:color w:val="000000" w:themeColor="text1"/>
                <w:szCs w:val="24"/>
              </w:rPr>
            </w:pPr>
            <w:r w:rsidRPr="00F10C37">
              <w:rPr>
                <w:rFonts w:cs="Times New Roman"/>
                <w:bCs/>
                <w:color w:val="000000" w:themeColor="text1"/>
                <w:szCs w:val="24"/>
              </w:rPr>
              <w:t>Proton pump inhibitor.</w:t>
            </w:r>
          </w:p>
        </w:tc>
      </w:tr>
      <w:tr w:rsidR="0053763D" w:rsidRPr="00F10C37" w14:paraId="0B57593B" w14:textId="77777777" w:rsidTr="00C46407">
        <w:trPr>
          <w:jc w:val="center"/>
        </w:trPr>
        <w:tc>
          <w:tcPr>
            <w:tcW w:w="2651" w:type="dxa"/>
          </w:tcPr>
          <w:p w14:paraId="6F1F60F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66" w:type="dxa"/>
            <w:gridSpan w:val="2"/>
          </w:tcPr>
          <w:p w14:paraId="21D88AF3" w14:textId="77777777" w:rsidR="0053763D" w:rsidRPr="00F10C37" w:rsidRDefault="0053763D" w:rsidP="00C46407">
            <w:pPr>
              <w:jc w:val="both"/>
              <w:rPr>
                <w:rStyle w:val="fontstyle01"/>
                <w:rFonts w:ascii="Times New Roman" w:hAnsi="Times New Roman" w:cs="Times New Roman"/>
                <w:color w:val="000000" w:themeColor="text1"/>
                <w:sz w:val="24"/>
                <w:szCs w:val="24"/>
                <w:shd w:val="clear" w:color="auto" w:fill="FFFFFF" w:themeFill="background1"/>
              </w:rPr>
            </w:pPr>
            <w:r w:rsidRPr="00F10C37">
              <w:rPr>
                <w:rStyle w:val="fontstyle01"/>
                <w:rFonts w:ascii="Times New Roman" w:hAnsi="Times New Roman" w:cs="Times New Roman"/>
                <w:color w:val="000000" w:themeColor="text1"/>
                <w:sz w:val="24"/>
                <w:szCs w:val="24"/>
                <w:shd w:val="clear" w:color="auto" w:fill="FFFFFF" w:themeFill="background1"/>
              </w:rPr>
              <w:t xml:space="preserve">Tablet: 20mg, 40mg </w:t>
            </w:r>
          </w:p>
        </w:tc>
      </w:tr>
      <w:tr w:rsidR="0053763D" w:rsidRPr="00F10C37" w14:paraId="321DC750" w14:textId="77777777" w:rsidTr="00C46407">
        <w:trPr>
          <w:jc w:val="center"/>
        </w:trPr>
        <w:tc>
          <w:tcPr>
            <w:tcW w:w="2651" w:type="dxa"/>
          </w:tcPr>
          <w:p w14:paraId="3106F4D1" w14:textId="77777777" w:rsidR="0053763D" w:rsidRPr="000F1DB2" w:rsidRDefault="0053763D" w:rsidP="00C46407">
            <w:pPr>
              <w:jc w:val="both"/>
              <w:rPr>
                <w:rFonts w:cs="Times New Roman"/>
                <w:color w:val="000000" w:themeColor="text1"/>
                <w:szCs w:val="24"/>
              </w:rPr>
            </w:pPr>
            <w:r w:rsidRPr="000F1DB2">
              <w:rPr>
                <w:rFonts w:cs="Times New Roman"/>
                <w:color w:val="000000" w:themeColor="text1"/>
                <w:szCs w:val="24"/>
              </w:rPr>
              <w:t>Indications</w:t>
            </w:r>
          </w:p>
        </w:tc>
        <w:tc>
          <w:tcPr>
            <w:tcW w:w="6366" w:type="dxa"/>
            <w:gridSpan w:val="2"/>
          </w:tcPr>
          <w:p w14:paraId="72EABB3B" w14:textId="77777777" w:rsidR="0053763D" w:rsidRPr="00F10C37" w:rsidRDefault="0053763D" w:rsidP="00C46407">
            <w:pPr>
              <w:jc w:val="both"/>
              <w:rPr>
                <w:rStyle w:val="fontstyle01"/>
                <w:rFonts w:ascii="Times New Roman" w:hAnsi="Times New Roman" w:cs="Times New Roman"/>
                <w:color w:val="000000" w:themeColor="text1"/>
                <w:sz w:val="24"/>
                <w:szCs w:val="24"/>
                <w:shd w:val="clear" w:color="auto" w:fill="FFFFFF" w:themeFill="background1"/>
              </w:rPr>
            </w:pPr>
            <w:r w:rsidRPr="00F10C37">
              <w:rPr>
                <w:rFonts w:cs="Times New Roman"/>
                <w:color w:val="000000" w:themeColor="text1"/>
                <w:szCs w:val="24"/>
              </w:rPr>
              <w:t>Duodenal ulcer, gastric ulcer, GERD, erosive esophagitis, prophylaxis of NSAID-associated gastric or duodenal ulcer in patients with an increased risk of gastro-duodenal complications who require continued NSAID treatment</w:t>
            </w:r>
            <w:r>
              <w:rPr>
                <w:rFonts w:cs="Times New Roman"/>
                <w:color w:val="000000" w:themeColor="text1"/>
                <w:szCs w:val="24"/>
              </w:rPr>
              <w:t xml:space="preserve"> and ZES</w:t>
            </w:r>
            <w:r w:rsidRPr="00F10C37">
              <w:rPr>
                <w:rFonts w:cs="Times New Roman"/>
                <w:color w:val="000000" w:themeColor="text1"/>
                <w:szCs w:val="24"/>
              </w:rPr>
              <w:t>.</w:t>
            </w:r>
          </w:p>
        </w:tc>
      </w:tr>
      <w:tr w:rsidR="0053763D" w:rsidRPr="00F10C37" w14:paraId="0DF9469D" w14:textId="77777777" w:rsidTr="00C46407">
        <w:trPr>
          <w:jc w:val="center"/>
        </w:trPr>
        <w:tc>
          <w:tcPr>
            <w:tcW w:w="2651" w:type="dxa"/>
          </w:tcPr>
          <w:p w14:paraId="3B740BB9"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66" w:type="dxa"/>
            <w:gridSpan w:val="2"/>
          </w:tcPr>
          <w:p w14:paraId="6DF292DE" w14:textId="77777777" w:rsidR="0053763D" w:rsidRPr="00F10C37" w:rsidRDefault="0053763D" w:rsidP="00C46407">
            <w:pPr>
              <w:pStyle w:val="BodyText"/>
              <w:spacing w:line="360" w:lineRule="auto"/>
              <w:ind w:right="476"/>
              <w:rPr>
                <w:b/>
                <w:color w:val="000000" w:themeColor="text1"/>
              </w:rPr>
            </w:pPr>
            <w:r w:rsidRPr="00F10C37">
              <w:rPr>
                <w:color w:val="000000" w:themeColor="text1"/>
              </w:rPr>
              <w:t>Refer to pantoprazole under antiulcer medicines.</w:t>
            </w:r>
          </w:p>
        </w:tc>
      </w:tr>
      <w:tr w:rsidR="0053763D" w:rsidRPr="00F10C37" w14:paraId="1AD00972" w14:textId="77777777" w:rsidTr="00C46407">
        <w:trPr>
          <w:jc w:val="center"/>
        </w:trPr>
        <w:tc>
          <w:tcPr>
            <w:tcW w:w="2651" w:type="dxa"/>
          </w:tcPr>
          <w:p w14:paraId="2F16A12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66" w:type="dxa"/>
            <w:gridSpan w:val="2"/>
          </w:tcPr>
          <w:p w14:paraId="1231C7F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Refer to pantoprazole under antiulcer medicines.</w:t>
            </w:r>
          </w:p>
        </w:tc>
      </w:tr>
      <w:tr w:rsidR="0053763D" w:rsidRPr="00F10C37" w14:paraId="2DFA8D74" w14:textId="77777777" w:rsidTr="00C46407">
        <w:trPr>
          <w:jc w:val="center"/>
        </w:trPr>
        <w:tc>
          <w:tcPr>
            <w:tcW w:w="2651" w:type="dxa"/>
          </w:tcPr>
          <w:p w14:paraId="3A072A4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66" w:type="dxa"/>
            <w:gridSpan w:val="2"/>
          </w:tcPr>
          <w:p w14:paraId="3FEE247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Refer to pantoprazole under antiulcer medicines.</w:t>
            </w:r>
          </w:p>
        </w:tc>
      </w:tr>
      <w:tr w:rsidR="0053763D" w:rsidRPr="00F10C37" w14:paraId="48744EA0" w14:textId="77777777" w:rsidTr="00C46407">
        <w:trPr>
          <w:jc w:val="center"/>
        </w:trPr>
        <w:tc>
          <w:tcPr>
            <w:tcW w:w="2651" w:type="dxa"/>
          </w:tcPr>
          <w:p w14:paraId="00115DE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66" w:type="dxa"/>
            <w:gridSpan w:val="2"/>
          </w:tcPr>
          <w:p w14:paraId="354C3AB0" w14:textId="77777777" w:rsidR="0053763D" w:rsidRPr="00F10C37" w:rsidRDefault="0053763D" w:rsidP="00C46407">
            <w:pPr>
              <w:autoSpaceDE w:val="0"/>
              <w:autoSpaceDN w:val="0"/>
              <w:adjustRightInd w:val="0"/>
              <w:jc w:val="both"/>
              <w:rPr>
                <w:rFonts w:cs="Times New Roman"/>
                <w:color w:val="000000" w:themeColor="text1"/>
                <w:spacing w:val="1"/>
                <w:szCs w:val="24"/>
              </w:rPr>
            </w:pPr>
            <w:r w:rsidRPr="00F10C37">
              <w:rPr>
                <w:rFonts w:cs="Times New Roman"/>
                <w:color w:val="000000" w:themeColor="text1"/>
                <w:szCs w:val="24"/>
              </w:rPr>
              <w:t>Refer to pantoprazole under antiulcer medicines.</w:t>
            </w:r>
          </w:p>
        </w:tc>
      </w:tr>
      <w:tr w:rsidR="0053763D" w:rsidRPr="00F10C37" w14:paraId="480E5E4B" w14:textId="77777777" w:rsidTr="00C46407">
        <w:trPr>
          <w:jc w:val="center"/>
        </w:trPr>
        <w:tc>
          <w:tcPr>
            <w:tcW w:w="2651" w:type="dxa"/>
          </w:tcPr>
          <w:p w14:paraId="30F92BB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66" w:type="dxa"/>
            <w:gridSpan w:val="2"/>
          </w:tcPr>
          <w:p w14:paraId="620DD76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Refer to pantoprazole under antiulcer medicines.</w:t>
            </w:r>
          </w:p>
        </w:tc>
      </w:tr>
      <w:tr w:rsidR="0053763D" w:rsidRPr="00F10C37" w14:paraId="6CEB3585" w14:textId="77777777" w:rsidTr="00C46407">
        <w:trPr>
          <w:jc w:val="center"/>
        </w:trPr>
        <w:tc>
          <w:tcPr>
            <w:tcW w:w="2651" w:type="dxa"/>
          </w:tcPr>
          <w:p w14:paraId="6A443A1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66" w:type="dxa"/>
            <w:gridSpan w:val="2"/>
          </w:tcPr>
          <w:p w14:paraId="56754BD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30°C. Protect from light.</w:t>
            </w:r>
          </w:p>
        </w:tc>
      </w:tr>
      <w:tr w:rsidR="0053763D" w:rsidRPr="00F10C37" w14:paraId="0B3C60E7" w14:textId="77777777" w:rsidTr="00C46407">
        <w:trPr>
          <w:gridAfter w:val="1"/>
          <w:wAfter w:w="22" w:type="dxa"/>
          <w:jc w:val="center"/>
        </w:trPr>
        <w:tc>
          <w:tcPr>
            <w:tcW w:w="8995" w:type="dxa"/>
            <w:gridSpan w:val="2"/>
          </w:tcPr>
          <w:p w14:paraId="167114EC"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Propranolol </w:t>
            </w:r>
          </w:p>
        </w:tc>
      </w:tr>
      <w:tr w:rsidR="0053763D" w:rsidRPr="00F10C37" w14:paraId="76EFF549" w14:textId="77777777" w:rsidTr="00C46407">
        <w:trPr>
          <w:gridAfter w:val="1"/>
          <w:wAfter w:w="22" w:type="dxa"/>
          <w:jc w:val="center"/>
        </w:trPr>
        <w:tc>
          <w:tcPr>
            <w:tcW w:w="2651" w:type="dxa"/>
          </w:tcPr>
          <w:p w14:paraId="265E361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44" w:type="dxa"/>
          </w:tcPr>
          <w:p w14:paraId="074ED938" w14:textId="77777777" w:rsidR="0053763D" w:rsidRPr="00F10C37" w:rsidRDefault="0053763D" w:rsidP="00C46407">
            <w:pPr>
              <w:jc w:val="both"/>
              <w:rPr>
                <w:rFonts w:cs="Times New Roman"/>
                <w:color w:val="000000" w:themeColor="text1"/>
                <w:szCs w:val="24"/>
              </w:rPr>
            </w:pPr>
            <w:r>
              <w:rPr>
                <w:rFonts w:cs="Times New Roman"/>
                <w:color w:val="000000" w:themeColor="text1"/>
                <w:szCs w:val="24"/>
              </w:rPr>
              <w:t>Non-selective b</w:t>
            </w:r>
            <w:r w:rsidRPr="00F10C37">
              <w:rPr>
                <w:rFonts w:cs="Times New Roman"/>
                <w:color w:val="000000" w:themeColor="text1"/>
                <w:szCs w:val="24"/>
              </w:rPr>
              <w:t>eta blocker</w:t>
            </w:r>
          </w:p>
        </w:tc>
      </w:tr>
      <w:tr w:rsidR="0053763D" w:rsidRPr="00F10C37" w14:paraId="17A93290" w14:textId="77777777" w:rsidTr="00C46407">
        <w:trPr>
          <w:gridAfter w:val="1"/>
          <w:wAfter w:w="22" w:type="dxa"/>
          <w:jc w:val="center"/>
        </w:trPr>
        <w:tc>
          <w:tcPr>
            <w:tcW w:w="2651" w:type="dxa"/>
          </w:tcPr>
          <w:p w14:paraId="6EA1D75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44" w:type="dxa"/>
          </w:tcPr>
          <w:p w14:paraId="51CF457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Tablet: </w:t>
            </w:r>
            <w:r w:rsidRPr="00F10C37">
              <w:rPr>
                <w:rStyle w:val="fontstyle01"/>
                <w:rFonts w:ascii="Times New Roman" w:hAnsi="Times New Roman" w:cs="Times New Roman"/>
                <w:color w:val="000000" w:themeColor="text1"/>
                <w:sz w:val="24"/>
                <w:szCs w:val="24"/>
                <w:shd w:val="clear" w:color="auto" w:fill="FFFFFF" w:themeFill="background1"/>
              </w:rPr>
              <w:t>10mg, 20mg, 40mg</w:t>
            </w:r>
          </w:p>
        </w:tc>
      </w:tr>
      <w:tr w:rsidR="0053763D" w:rsidRPr="00F10C37" w14:paraId="78DBC1C7" w14:textId="77777777" w:rsidTr="00C46407">
        <w:trPr>
          <w:gridAfter w:val="1"/>
          <w:wAfter w:w="22" w:type="dxa"/>
          <w:jc w:val="center"/>
        </w:trPr>
        <w:tc>
          <w:tcPr>
            <w:tcW w:w="2651" w:type="dxa"/>
          </w:tcPr>
          <w:p w14:paraId="51057E9A" w14:textId="77777777" w:rsidR="0053763D" w:rsidRPr="00956FB1" w:rsidRDefault="0053763D" w:rsidP="00C46407">
            <w:pPr>
              <w:jc w:val="both"/>
              <w:rPr>
                <w:rFonts w:cs="Times New Roman"/>
                <w:color w:val="000000" w:themeColor="text1"/>
                <w:szCs w:val="24"/>
              </w:rPr>
            </w:pPr>
            <w:r w:rsidRPr="00956FB1">
              <w:rPr>
                <w:rFonts w:cs="Times New Roman"/>
                <w:color w:val="000000" w:themeColor="text1"/>
                <w:szCs w:val="24"/>
              </w:rPr>
              <w:t>Indications</w:t>
            </w:r>
          </w:p>
        </w:tc>
        <w:tc>
          <w:tcPr>
            <w:tcW w:w="6344" w:type="dxa"/>
          </w:tcPr>
          <w:p w14:paraId="5AD6ADF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Prophylaxis of variceal bleeding in portal hyp</w:t>
            </w:r>
            <w:r>
              <w:rPr>
                <w:rFonts w:cs="Times New Roman"/>
                <w:color w:val="000000" w:themeColor="text1"/>
                <w:szCs w:val="24"/>
              </w:rPr>
              <w:t>ertension.</w:t>
            </w:r>
          </w:p>
        </w:tc>
      </w:tr>
      <w:tr w:rsidR="0053763D" w:rsidRPr="00F10C37" w14:paraId="3CE4096D" w14:textId="77777777" w:rsidTr="00C46407">
        <w:trPr>
          <w:gridAfter w:val="1"/>
          <w:wAfter w:w="22" w:type="dxa"/>
          <w:jc w:val="center"/>
        </w:trPr>
        <w:tc>
          <w:tcPr>
            <w:tcW w:w="2651" w:type="dxa"/>
          </w:tcPr>
          <w:p w14:paraId="21A5D738"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44" w:type="dxa"/>
          </w:tcPr>
          <w:p w14:paraId="723E56C8"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Prophylaxis of variceal bleeding in portal hyp</w:t>
            </w:r>
            <w:r>
              <w:rPr>
                <w:rFonts w:cs="Times New Roman"/>
                <w:b/>
                <w:color w:val="000000" w:themeColor="text1"/>
                <w:szCs w:val="24"/>
              </w:rPr>
              <w:t>er</w:t>
            </w:r>
            <w:r w:rsidRPr="00F10C37">
              <w:rPr>
                <w:rFonts w:cs="Times New Roman"/>
                <w:b/>
                <w:color w:val="000000" w:themeColor="text1"/>
                <w:szCs w:val="24"/>
              </w:rPr>
              <w:t>tension</w:t>
            </w:r>
            <w:r w:rsidRPr="00F10C37">
              <w:rPr>
                <w:rFonts w:cs="Times New Roman"/>
                <w:color w:val="000000" w:themeColor="text1"/>
                <w:szCs w:val="24"/>
              </w:rPr>
              <w:t>, oral:</w:t>
            </w:r>
            <w:r w:rsidRPr="00F10C37">
              <w:rPr>
                <w:rFonts w:cs="Times New Roman"/>
                <w:b/>
                <w:color w:val="000000" w:themeColor="text1"/>
                <w:szCs w:val="24"/>
              </w:rPr>
              <w:t xml:space="preserve"> </w:t>
            </w:r>
          </w:p>
          <w:p w14:paraId="5C9435E2"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Initially 40 mg twice daily, then increased to 80 mg twice daily (max. per dose 160 mg twice daily), dose to be adjusted according to heart rate. </w:t>
            </w:r>
          </w:p>
        </w:tc>
      </w:tr>
      <w:tr w:rsidR="0053763D" w:rsidRPr="00F10C37" w14:paraId="71554CEA" w14:textId="77777777" w:rsidTr="00C46407">
        <w:trPr>
          <w:gridAfter w:val="1"/>
          <w:wAfter w:w="22" w:type="dxa"/>
          <w:jc w:val="center"/>
        </w:trPr>
        <w:tc>
          <w:tcPr>
            <w:tcW w:w="2651" w:type="dxa"/>
          </w:tcPr>
          <w:p w14:paraId="134A6AC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44" w:type="dxa"/>
          </w:tcPr>
          <w:p w14:paraId="28EEEF0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Asthma, history of bronchospasm, uncontrolled heart failure, marked bradycardia, hypotension, sick sinus syndrome, second- or third-degree atrioventricular block, cardiogenic shock, metabolic acidosis, severe peripheral arterial disease, phaeochromocytoma.</w:t>
            </w:r>
          </w:p>
        </w:tc>
      </w:tr>
      <w:tr w:rsidR="0053763D" w:rsidRPr="00F10C37" w14:paraId="7F6729B4" w14:textId="77777777" w:rsidTr="00C46407">
        <w:trPr>
          <w:gridAfter w:val="1"/>
          <w:wAfter w:w="22" w:type="dxa"/>
          <w:jc w:val="center"/>
        </w:trPr>
        <w:tc>
          <w:tcPr>
            <w:tcW w:w="2651" w:type="dxa"/>
          </w:tcPr>
          <w:p w14:paraId="707497A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344" w:type="dxa"/>
          </w:tcPr>
          <w:p w14:paraId="43E9E79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Bupivacaine, chlorpromazine, oral contraceptives, dexamethasone, diazepam, digoxin, enalapril, epinephrine, furosemide, halothane, hydrochlorothiazide, hydrocortisone, ibuprofen, insulins, ketamine, lidocaine, meloquine, neostigmine, nifedipine, nitrous oxide, prednisolone, procainamide, pyridostigmine, quinidine, rifampicin, sodium nitroprusside, spironolactone, suxamethonium, thiopental, verapamil.</w:t>
            </w:r>
          </w:p>
        </w:tc>
      </w:tr>
      <w:tr w:rsidR="0053763D" w:rsidRPr="00F10C37" w14:paraId="302F9A42" w14:textId="77777777" w:rsidTr="00C46407">
        <w:trPr>
          <w:gridAfter w:val="1"/>
          <w:wAfter w:w="22" w:type="dxa"/>
          <w:jc w:val="center"/>
        </w:trPr>
        <w:tc>
          <w:tcPr>
            <w:tcW w:w="2651" w:type="dxa"/>
          </w:tcPr>
          <w:p w14:paraId="33B7DD0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44" w:type="dxa"/>
          </w:tcPr>
          <w:p w14:paraId="2FA6E1C2"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Nausea, diarrhoea, fatigue, insomnia, nightmares, dyspnoea, bronchospasm, peripheral vasoconstriction, exacerbation of Raynaud</w:t>
            </w:r>
            <w:r>
              <w:rPr>
                <w:rFonts w:cs="Times New Roman"/>
                <w:color w:val="000000" w:themeColor="text1"/>
                <w:szCs w:val="24"/>
              </w:rPr>
              <w:t>’s</w:t>
            </w:r>
            <w:r w:rsidRPr="00F10C37">
              <w:rPr>
                <w:rFonts w:cs="Times New Roman"/>
                <w:color w:val="000000" w:themeColor="text1"/>
                <w:szCs w:val="24"/>
              </w:rPr>
              <w:t xml:space="preserve"> syndrome, bradycardia, heart failure, hypotension, conduction disorders, rash, exacerbation of psoriasis, muscle cramp, dry eyes, hypersensitivity reaction, thrombocytopenic purpura, liver function abnormality, alopecia, cardiac arrest.</w:t>
            </w:r>
          </w:p>
        </w:tc>
      </w:tr>
      <w:tr w:rsidR="0053763D" w:rsidRPr="00F10C37" w14:paraId="463AD96D" w14:textId="77777777" w:rsidTr="00C46407">
        <w:trPr>
          <w:gridAfter w:val="1"/>
          <w:wAfter w:w="22" w:type="dxa"/>
          <w:jc w:val="center"/>
        </w:trPr>
        <w:tc>
          <w:tcPr>
            <w:tcW w:w="2651" w:type="dxa"/>
          </w:tcPr>
          <w:p w14:paraId="2D3D941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44" w:type="dxa"/>
          </w:tcPr>
          <w:p w14:paraId="2E67267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Avoid abrupt withdrawal, first- degree atrioventricular block, portal hypertension, diabetes mellitus, history of obstructive airways disease, renal impairment, liver disease, myasthenia gravis, history of hypersensitivity, use </w:t>
            </w:r>
            <w:r>
              <w:rPr>
                <w:rFonts w:cs="Times New Roman"/>
                <w:color w:val="000000" w:themeColor="text1"/>
                <w:szCs w:val="24"/>
              </w:rPr>
              <w:t xml:space="preserve">of </w:t>
            </w:r>
            <w:r w:rsidRPr="00F10C37">
              <w:rPr>
                <w:rFonts w:cs="Times New Roman"/>
                <w:color w:val="000000" w:themeColor="text1"/>
                <w:szCs w:val="24"/>
              </w:rPr>
              <w:t>adrenaline.</w:t>
            </w:r>
          </w:p>
        </w:tc>
      </w:tr>
      <w:tr w:rsidR="0053763D" w:rsidRPr="00F10C37" w14:paraId="79D6821B" w14:textId="77777777" w:rsidTr="00C46407">
        <w:trPr>
          <w:gridAfter w:val="1"/>
          <w:wAfter w:w="22" w:type="dxa"/>
          <w:jc w:val="center"/>
        </w:trPr>
        <w:tc>
          <w:tcPr>
            <w:tcW w:w="2651" w:type="dxa"/>
          </w:tcPr>
          <w:p w14:paraId="5AB407A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44" w:type="dxa"/>
          </w:tcPr>
          <w:p w14:paraId="4796A8C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bl>
    <w:p w14:paraId="354A4A82" w14:textId="77777777" w:rsidR="0053763D" w:rsidRPr="00F10C37" w:rsidRDefault="0053763D" w:rsidP="0053763D">
      <w:pPr>
        <w:spacing w:after="0"/>
        <w:jc w:val="both"/>
        <w:rPr>
          <w:rFonts w:cs="Times New Roman"/>
          <w:color w:val="000000" w:themeColor="text1"/>
          <w:szCs w:val="24"/>
        </w:rPr>
      </w:pPr>
    </w:p>
    <w:p w14:paraId="7E192B13" w14:textId="77777777" w:rsidR="0053763D" w:rsidRPr="00F10C37" w:rsidRDefault="0053763D" w:rsidP="001477BB">
      <w:pPr>
        <w:pStyle w:val="Heading2"/>
        <w:spacing w:after="240"/>
        <w:rPr>
          <w:shd w:val="clear" w:color="auto" w:fill="FFFFFF" w:themeFill="background1"/>
        </w:rPr>
      </w:pPr>
      <w:bookmarkStart w:id="20" w:name="_Toc179490306"/>
      <w:r w:rsidRPr="00F10C37">
        <w:t>Antispasmodics</w:t>
      </w:r>
      <w:bookmarkEnd w:id="20"/>
    </w:p>
    <w:p w14:paraId="26966D8B" w14:textId="77777777" w:rsidR="0053763D" w:rsidRPr="00F10C37" w:rsidRDefault="0053763D" w:rsidP="0053763D">
      <w:pPr>
        <w:autoSpaceDE w:val="0"/>
        <w:autoSpaceDN w:val="0"/>
        <w:adjustRightInd w:val="0"/>
        <w:spacing w:after="0"/>
        <w:jc w:val="both"/>
        <w:rPr>
          <w:rFonts w:cs="Times New Roman"/>
          <w:color w:val="000000" w:themeColor="text1"/>
          <w:szCs w:val="24"/>
        </w:rPr>
      </w:pPr>
      <w:r w:rsidRPr="00F10C37">
        <w:rPr>
          <w:rFonts w:cs="Times New Roman"/>
          <w:color w:val="000000" w:themeColor="text1"/>
          <w:szCs w:val="24"/>
        </w:rPr>
        <w:t>Antispasmodic</w:t>
      </w:r>
      <w:r>
        <w:rPr>
          <w:rFonts w:cs="Times New Roman"/>
          <w:color w:val="000000" w:themeColor="text1"/>
          <w:szCs w:val="24"/>
        </w:rPr>
        <w:t>s</w:t>
      </w:r>
      <w:r w:rsidRPr="00F10C37">
        <w:rPr>
          <w:rFonts w:cs="Times New Roman"/>
          <w:color w:val="000000" w:themeColor="text1"/>
          <w:szCs w:val="24"/>
        </w:rPr>
        <w:t xml:space="preserve"> are used to treat symptoms such as pain and spasm in irritable bowel syndrome (IBS). Antispasmodics can be divided into two main classiﬁcations: antimuscarinics and smooth muscle relaxants. Antimuscarinics reduce intestinal motility and are used for gastrointestinal smooth muscle spasm. </w:t>
      </w:r>
    </w:p>
    <w:tbl>
      <w:tblPr>
        <w:tblStyle w:val="TableGrid"/>
        <w:tblW w:w="9175" w:type="dxa"/>
        <w:jc w:val="center"/>
        <w:tblLayout w:type="fixed"/>
        <w:tblLook w:val="04A0" w:firstRow="1" w:lastRow="0" w:firstColumn="1" w:lastColumn="0" w:noHBand="0" w:noVBand="1"/>
      </w:tblPr>
      <w:tblGrid>
        <w:gridCol w:w="2785"/>
        <w:gridCol w:w="6390"/>
      </w:tblGrid>
      <w:tr w:rsidR="0053763D" w:rsidRPr="00F10C37" w14:paraId="1F07363C" w14:textId="77777777" w:rsidTr="00C46407">
        <w:trPr>
          <w:jc w:val="center"/>
        </w:trPr>
        <w:tc>
          <w:tcPr>
            <w:tcW w:w="9175" w:type="dxa"/>
            <w:gridSpan w:val="2"/>
          </w:tcPr>
          <w:p w14:paraId="73F527DD"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Hyoscine (Scopolamine) butylbromide</w:t>
            </w:r>
          </w:p>
        </w:tc>
      </w:tr>
      <w:tr w:rsidR="0053763D" w:rsidRPr="00F10C37" w14:paraId="1DB2A2DD" w14:textId="77777777" w:rsidTr="00C46407">
        <w:trPr>
          <w:jc w:val="center"/>
        </w:trPr>
        <w:tc>
          <w:tcPr>
            <w:tcW w:w="2785" w:type="dxa"/>
          </w:tcPr>
          <w:p w14:paraId="72B8537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90" w:type="dxa"/>
          </w:tcPr>
          <w:p w14:paraId="2466FAD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Antispasmodic</w:t>
            </w:r>
          </w:p>
        </w:tc>
      </w:tr>
      <w:tr w:rsidR="0053763D" w:rsidRPr="00F10C37" w14:paraId="78BFA1BA" w14:textId="77777777" w:rsidTr="00C46407">
        <w:trPr>
          <w:jc w:val="center"/>
        </w:trPr>
        <w:tc>
          <w:tcPr>
            <w:tcW w:w="2785" w:type="dxa"/>
          </w:tcPr>
          <w:p w14:paraId="691EC31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90" w:type="dxa"/>
          </w:tcPr>
          <w:p w14:paraId="5C2E214A" w14:textId="77777777" w:rsidR="0053763D" w:rsidRPr="00F10C37" w:rsidRDefault="0053763D" w:rsidP="00C46407">
            <w:pPr>
              <w:widowControl w:val="0"/>
              <w:autoSpaceDE w:val="0"/>
              <w:autoSpaceDN w:val="0"/>
              <w:adjustRightInd w:val="0"/>
              <w:jc w:val="both"/>
              <w:rPr>
                <w:rFonts w:cs="Times New Roman"/>
                <w:color w:val="000000" w:themeColor="text1"/>
                <w:szCs w:val="24"/>
                <w:lang w:val="fr-FR"/>
              </w:rPr>
            </w:pPr>
            <w:r w:rsidRPr="00F10C37">
              <w:rPr>
                <w:rFonts w:cs="Times New Roman"/>
                <w:color w:val="000000" w:themeColor="text1"/>
                <w:szCs w:val="24"/>
              </w:rPr>
              <w:t>Injection: 20mg/</w:t>
            </w:r>
            <w:r>
              <w:rPr>
                <w:rFonts w:cs="Times New Roman"/>
                <w:color w:val="000000" w:themeColor="text1"/>
                <w:szCs w:val="24"/>
              </w:rPr>
              <w:t>ml</w:t>
            </w:r>
          </w:p>
          <w:p w14:paraId="70C003F9"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Tablet: 10mg</w:t>
            </w:r>
          </w:p>
          <w:p w14:paraId="11655D79" w14:textId="77777777" w:rsidR="0053763D" w:rsidRPr="00F10C37" w:rsidRDefault="0053763D" w:rsidP="00C46407">
            <w:pPr>
              <w:jc w:val="both"/>
              <w:rPr>
                <w:rFonts w:cs="Times New Roman"/>
                <w:color w:val="000000" w:themeColor="text1"/>
                <w:szCs w:val="24"/>
                <w:lang w:val="it-IT"/>
              </w:rPr>
            </w:pPr>
            <w:r w:rsidRPr="00F10C37">
              <w:rPr>
                <w:rFonts w:cs="Times New Roman"/>
                <w:color w:val="000000" w:themeColor="text1"/>
                <w:szCs w:val="24"/>
                <w:lang w:val="it-IT"/>
              </w:rPr>
              <w:t>Syrup: 5mg/5</w:t>
            </w:r>
            <w:r>
              <w:rPr>
                <w:rFonts w:cs="Times New Roman"/>
                <w:color w:val="000000" w:themeColor="text1"/>
                <w:szCs w:val="24"/>
                <w:lang w:val="it-IT"/>
              </w:rPr>
              <w:t>ml</w:t>
            </w:r>
          </w:p>
        </w:tc>
      </w:tr>
      <w:tr w:rsidR="0053763D" w:rsidRPr="00F10C37" w14:paraId="4052946E" w14:textId="77777777" w:rsidTr="00C46407">
        <w:trPr>
          <w:jc w:val="center"/>
        </w:trPr>
        <w:tc>
          <w:tcPr>
            <w:tcW w:w="2785" w:type="dxa"/>
          </w:tcPr>
          <w:p w14:paraId="6AAC544E" w14:textId="77777777" w:rsidR="0053763D" w:rsidRPr="009919CC" w:rsidRDefault="0053763D" w:rsidP="00C46407">
            <w:pPr>
              <w:jc w:val="both"/>
              <w:rPr>
                <w:rFonts w:cs="Times New Roman"/>
                <w:color w:val="000000" w:themeColor="text1"/>
                <w:szCs w:val="24"/>
              </w:rPr>
            </w:pPr>
            <w:r w:rsidRPr="009919CC">
              <w:rPr>
                <w:rFonts w:cs="Times New Roman"/>
                <w:color w:val="000000" w:themeColor="text1"/>
                <w:szCs w:val="24"/>
              </w:rPr>
              <w:lastRenderedPageBreak/>
              <w:t>Indications</w:t>
            </w:r>
          </w:p>
        </w:tc>
        <w:tc>
          <w:tcPr>
            <w:tcW w:w="6390" w:type="dxa"/>
          </w:tcPr>
          <w:p w14:paraId="702B185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Symptomatic relief of GI or genitourinary disorders characterised by smooth muscle spasm, IBS, acute spasm, excessive respiratory secretions in palliative care, and bowel colic in palliative care.</w:t>
            </w:r>
          </w:p>
        </w:tc>
      </w:tr>
      <w:tr w:rsidR="0053763D" w:rsidRPr="00F10C37" w14:paraId="1B00F30C" w14:textId="77777777" w:rsidTr="00C46407">
        <w:trPr>
          <w:jc w:val="center"/>
        </w:trPr>
        <w:tc>
          <w:tcPr>
            <w:tcW w:w="2785" w:type="dxa"/>
          </w:tcPr>
          <w:p w14:paraId="3B15287D"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90" w:type="dxa"/>
          </w:tcPr>
          <w:p w14:paraId="35BF05C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Symptomatic relief of gastro-intestinal or genitourinary disorders characterised by smooth muscle spasm</w:t>
            </w:r>
            <w:r w:rsidRPr="00F10C37">
              <w:rPr>
                <w:rFonts w:cs="Times New Roman"/>
                <w:color w:val="000000" w:themeColor="text1"/>
                <w:szCs w:val="24"/>
              </w:rPr>
              <w:t>, oral:</w:t>
            </w:r>
          </w:p>
          <w:p w14:paraId="7C4E3A66"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6–11 years</w:t>
            </w:r>
            <w:r w:rsidRPr="00F10C37">
              <w:rPr>
                <w:rFonts w:cs="Times New Roman"/>
                <w:color w:val="000000" w:themeColor="text1"/>
                <w:szCs w:val="24"/>
              </w:rPr>
              <w:t>: 10 mg 3 times a day.</w:t>
            </w:r>
          </w:p>
          <w:p w14:paraId="60234C58"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20 mg 4 times a day.</w:t>
            </w:r>
          </w:p>
          <w:p w14:paraId="4534BE62"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20 mg 4 times a day.</w:t>
            </w:r>
          </w:p>
          <w:p w14:paraId="13789D75"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Irritable bowel syndrome</w:t>
            </w:r>
            <w:r w:rsidRPr="00F10C37">
              <w:rPr>
                <w:rFonts w:cs="Times New Roman"/>
                <w:color w:val="000000" w:themeColor="text1"/>
                <w:szCs w:val="24"/>
              </w:rPr>
              <w:t>, oral:</w:t>
            </w:r>
          </w:p>
          <w:p w14:paraId="153D3B8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10 mg 3 times a day; increased if necessary up to 20 mg 4 times a day.</w:t>
            </w:r>
          </w:p>
          <w:p w14:paraId="6921F326" w14:textId="77777777" w:rsidR="0053763D" w:rsidRPr="00F10C37" w:rsidRDefault="0053763D" w:rsidP="00C46407">
            <w:pPr>
              <w:adjustRightInd w:val="0"/>
              <w:jc w:val="both"/>
              <w:rPr>
                <w:rFonts w:cs="Times New Roman"/>
                <w:b/>
                <w:color w:val="000000" w:themeColor="text1"/>
                <w:szCs w:val="24"/>
              </w:rPr>
            </w:pPr>
            <w:r w:rsidRPr="00F10C37">
              <w:rPr>
                <w:rFonts w:cs="Times New Roman"/>
                <w:b/>
                <w:color w:val="000000" w:themeColor="text1"/>
                <w:szCs w:val="24"/>
              </w:rPr>
              <w:t>Acute spasm, spasm in diagnostic procedures</w:t>
            </w:r>
            <w:r w:rsidRPr="00F10C37">
              <w:rPr>
                <w:rFonts w:cs="Times New Roman"/>
                <w:color w:val="000000" w:themeColor="text1"/>
                <w:szCs w:val="24"/>
              </w:rPr>
              <w:t>, IM, IV:</w:t>
            </w:r>
            <w:r w:rsidRPr="00F10C37">
              <w:rPr>
                <w:rFonts w:cs="Times New Roman"/>
                <w:b/>
                <w:color w:val="000000" w:themeColor="text1"/>
                <w:szCs w:val="24"/>
              </w:rPr>
              <w:t xml:space="preserve"> </w:t>
            </w:r>
          </w:p>
          <w:p w14:paraId="5679E6B9"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20 mg (by IM or slow IV injection), then 20 mg after 30 minutes if required, dose may be repeated more frequently in endoscopy (max. 100 mg per day).</w:t>
            </w:r>
          </w:p>
          <w:p w14:paraId="1D9532F5"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Excessive respiratory secretions in palliative care</w:t>
            </w:r>
            <w:r w:rsidRPr="00F10C37">
              <w:rPr>
                <w:rFonts w:cs="Times New Roman"/>
                <w:color w:val="000000" w:themeColor="text1"/>
                <w:szCs w:val="24"/>
              </w:rPr>
              <w:t>, oral:</w:t>
            </w:r>
          </w:p>
          <w:p w14:paraId="7FD09C1E"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 month–1 year</w:t>
            </w:r>
            <w:r w:rsidRPr="00F10C37">
              <w:rPr>
                <w:rFonts w:cs="Times New Roman"/>
                <w:color w:val="000000" w:themeColor="text1"/>
                <w:szCs w:val="24"/>
              </w:rPr>
              <w:t>: 300-500 mcg/kg 3-4 times a day (max. 5 mg/dose)</w:t>
            </w:r>
          </w:p>
          <w:p w14:paraId="0102372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2–4 years</w:t>
            </w:r>
            <w:r w:rsidRPr="00F10C37">
              <w:rPr>
                <w:rFonts w:cs="Times New Roman"/>
                <w:color w:val="000000" w:themeColor="text1"/>
                <w:szCs w:val="24"/>
              </w:rPr>
              <w:t>: 5 mg 3-4 times a day.</w:t>
            </w:r>
          </w:p>
          <w:p w14:paraId="4D0B214C"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5–11 years</w:t>
            </w:r>
            <w:r w:rsidRPr="00F10C37">
              <w:rPr>
                <w:rFonts w:cs="Times New Roman"/>
                <w:color w:val="000000" w:themeColor="text1"/>
                <w:szCs w:val="24"/>
              </w:rPr>
              <w:t>: 10 mg 3-4 times a day.</w:t>
            </w:r>
          </w:p>
          <w:p w14:paraId="3F092EB0"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10-20 mg 3-4 times a day.</w:t>
            </w:r>
          </w:p>
          <w:p w14:paraId="5E50DF37"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Excessive respiratory secretions in palliative care</w:t>
            </w:r>
            <w:r w:rsidRPr="00F10C37">
              <w:rPr>
                <w:rFonts w:cs="Times New Roman"/>
                <w:color w:val="000000" w:themeColor="text1"/>
                <w:szCs w:val="24"/>
              </w:rPr>
              <w:t>, IM, IV</w:t>
            </w:r>
          </w:p>
          <w:p w14:paraId="5F90338B" w14:textId="77777777" w:rsidR="0053763D" w:rsidRPr="00F10C37" w:rsidRDefault="0053763D" w:rsidP="00C46407">
            <w:pPr>
              <w:adjustRightInd w:val="0"/>
              <w:jc w:val="both"/>
              <w:rPr>
                <w:rFonts w:cs="Times New Roman"/>
                <w:b/>
                <w:i/>
                <w:color w:val="000000" w:themeColor="text1"/>
                <w:szCs w:val="24"/>
              </w:rPr>
            </w:pPr>
            <w:r w:rsidRPr="00F10C37">
              <w:rPr>
                <w:rFonts w:cs="Times New Roman"/>
                <w:b/>
                <w:color w:val="000000" w:themeColor="text1"/>
                <w:szCs w:val="24"/>
              </w:rPr>
              <w:t>Child 1 month–4 years</w:t>
            </w:r>
            <w:r w:rsidRPr="00F10C37">
              <w:rPr>
                <w:rFonts w:cs="Times New Roman"/>
                <w:color w:val="000000" w:themeColor="text1"/>
                <w:szCs w:val="24"/>
              </w:rPr>
              <w:t>: 300-500 mcg/kg 3-4 times a day (max. 5mg/dose).</w:t>
            </w:r>
          </w:p>
          <w:p w14:paraId="3A165149" w14:textId="77777777" w:rsidR="0053763D" w:rsidRPr="00F10C37" w:rsidRDefault="0053763D" w:rsidP="00C46407">
            <w:pPr>
              <w:adjustRightInd w:val="0"/>
              <w:jc w:val="both"/>
              <w:rPr>
                <w:rFonts w:cs="Times New Roman"/>
                <w:b/>
                <w:i/>
                <w:color w:val="000000" w:themeColor="text1"/>
                <w:szCs w:val="24"/>
              </w:rPr>
            </w:pPr>
            <w:r w:rsidRPr="00F10C37">
              <w:rPr>
                <w:rFonts w:cs="Times New Roman"/>
                <w:b/>
                <w:color w:val="000000" w:themeColor="text1"/>
                <w:szCs w:val="24"/>
              </w:rPr>
              <w:t>Child 5–11 years</w:t>
            </w:r>
            <w:r w:rsidRPr="00F10C37">
              <w:rPr>
                <w:rFonts w:cs="Times New Roman"/>
                <w:color w:val="000000" w:themeColor="text1"/>
                <w:szCs w:val="24"/>
              </w:rPr>
              <w:t>: 5–10 mg 3–4 times a day.</w:t>
            </w:r>
          </w:p>
          <w:p w14:paraId="053925AE" w14:textId="77777777" w:rsidR="0053763D" w:rsidRPr="00F10C37" w:rsidRDefault="0053763D" w:rsidP="00C46407">
            <w:pPr>
              <w:adjustRightInd w:val="0"/>
              <w:jc w:val="both"/>
              <w:rPr>
                <w:rFonts w:cs="Times New Roman"/>
                <w:b/>
                <w:i/>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10–20 mg 3–4 times a day.</w:t>
            </w:r>
          </w:p>
          <w:p w14:paraId="7C67349C"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Bowel colic in palliative care</w:t>
            </w:r>
            <w:r w:rsidRPr="00F10C37">
              <w:rPr>
                <w:rFonts w:cs="Times New Roman"/>
                <w:color w:val="000000" w:themeColor="text1"/>
                <w:szCs w:val="24"/>
              </w:rPr>
              <w:t>, oral:</w:t>
            </w:r>
          </w:p>
          <w:p w14:paraId="1E5A51EA"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 month–1 year</w:t>
            </w:r>
            <w:r w:rsidRPr="00F10C37">
              <w:rPr>
                <w:rFonts w:cs="Times New Roman"/>
                <w:color w:val="000000" w:themeColor="text1"/>
                <w:szCs w:val="24"/>
              </w:rPr>
              <w:t xml:space="preserve">: 300–500 </w:t>
            </w:r>
            <w:r>
              <w:rPr>
                <w:rFonts w:cs="Times New Roman"/>
                <w:color w:val="000000" w:themeColor="text1"/>
                <w:szCs w:val="24"/>
              </w:rPr>
              <w:t>mcg</w:t>
            </w:r>
            <w:r w:rsidRPr="00F10C37">
              <w:rPr>
                <w:rFonts w:cs="Times New Roman"/>
                <w:color w:val="000000" w:themeColor="text1"/>
                <w:szCs w:val="24"/>
              </w:rPr>
              <w:t>/kg 3–4 times a day (max. 5mg/dose).</w:t>
            </w:r>
          </w:p>
          <w:p w14:paraId="0A05409F"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2–4 years</w:t>
            </w:r>
            <w:r w:rsidRPr="00F10C37">
              <w:rPr>
                <w:rFonts w:cs="Times New Roman"/>
                <w:color w:val="000000" w:themeColor="text1"/>
                <w:szCs w:val="24"/>
              </w:rPr>
              <w:t>: 5 mg 3–4 times a day.</w:t>
            </w:r>
          </w:p>
          <w:p w14:paraId="068CD999"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lastRenderedPageBreak/>
              <w:t>Child 5–11 years</w:t>
            </w:r>
            <w:r w:rsidRPr="00F10C37">
              <w:rPr>
                <w:rFonts w:cs="Times New Roman"/>
                <w:color w:val="000000" w:themeColor="text1"/>
                <w:szCs w:val="24"/>
              </w:rPr>
              <w:t>: 10 mg 3–4 times a day.</w:t>
            </w:r>
          </w:p>
          <w:p w14:paraId="64848125"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10–20 mg 3–4 times a day.</w:t>
            </w:r>
          </w:p>
          <w:p w14:paraId="4A5B5BFB"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Bowel colic in palliative care</w:t>
            </w:r>
            <w:r w:rsidRPr="00F10C37">
              <w:rPr>
                <w:rFonts w:cs="Times New Roman"/>
                <w:color w:val="000000" w:themeColor="text1"/>
                <w:szCs w:val="24"/>
              </w:rPr>
              <w:t>, IM, IV:</w:t>
            </w:r>
          </w:p>
          <w:p w14:paraId="2DE48979"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 month–4 years</w:t>
            </w:r>
            <w:r w:rsidRPr="00F10C37">
              <w:rPr>
                <w:rFonts w:cs="Times New Roman"/>
                <w:color w:val="000000" w:themeColor="text1"/>
                <w:szCs w:val="24"/>
              </w:rPr>
              <w:t xml:space="preserve">: 300–500 </w:t>
            </w:r>
            <w:r>
              <w:rPr>
                <w:rFonts w:cs="Times New Roman"/>
                <w:color w:val="000000" w:themeColor="text1"/>
                <w:szCs w:val="24"/>
              </w:rPr>
              <w:t>mcg</w:t>
            </w:r>
            <w:r w:rsidRPr="00F10C37">
              <w:rPr>
                <w:rFonts w:cs="Times New Roman"/>
                <w:color w:val="000000" w:themeColor="text1"/>
                <w:szCs w:val="24"/>
              </w:rPr>
              <w:t xml:space="preserve">/kg 3–4 times a day (max. 5mg/dose). </w:t>
            </w:r>
          </w:p>
          <w:p w14:paraId="337A9FE7"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5–11 years</w:t>
            </w:r>
            <w:r w:rsidRPr="00F10C37">
              <w:rPr>
                <w:rFonts w:cs="Times New Roman"/>
                <w:color w:val="000000" w:themeColor="text1"/>
                <w:szCs w:val="24"/>
              </w:rPr>
              <w:t>: 5–10 mg 3–4 times a day.</w:t>
            </w:r>
          </w:p>
          <w:p w14:paraId="02553C8F"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10–20 mg 3–4 times a day.</w:t>
            </w:r>
          </w:p>
        </w:tc>
      </w:tr>
      <w:tr w:rsidR="0053763D" w:rsidRPr="00F10C37" w14:paraId="5E53FE3B" w14:textId="77777777" w:rsidTr="00C46407">
        <w:trPr>
          <w:jc w:val="center"/>
        </w:trPr>
        <w:tc>
          <w:tcPr>
            <w:tcW w:w="2785" w:type="dxa"/>
          </w:tcPr>
          <w:p w14:paraId="0E78D69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390" w:type="dxa"/>
          </w:tcPr>
          <w:p w14:paraId="4CCC8D42" w14:textId="77777777" w:rsidR="0053763D" w:rsidRPr="00F10C37" w:rsidRDefault="002041F3" w:rsidP="00C46407">
            <w:pPr>
              <w:autoSpaceDE w:val="0"/>
              <w:autoSpaceDN w:val="0"/>
              <w:adjustRightInd w:val="0"/>
              <w:jc w:val="both"/>
              <w:rPr>
                <w:rFonts w:cs="Times New Roman"/>
                <w:color w:val="000000" w:themeColor="text1"/>
                <w:szCs w:val="24"/>
              </w:rPr>
            </w:pPr>
            <w:r>
              <w:rPr>
                <w:rFonts w:cs="Times New Roman"/>
                <w:color w:val="000000" w:themeColor="text1"/>
                <w:szCs w:val="24"/>
              </w:rPr>
              <w:t>H</w:t>
            </w:r>
            <w:r w:rsidR="0053763D" w:rsidRPr="00F10C37">
              <w:rPr>
                <w:rFonts w:cs="Times New Roman"/>
                <w:color w:val="000000" w:themeColor="text1"/>
                <w:szCs w:val="24"/>
              </w:rPr>
              <w:t xml:space="preserve">ypersensitivity to the </w:t>
            </w:r>
            <w:r>
              <w:rPr>
                <w:rFonts w:cs="Times New Roman"/>
                <w:color w:val="000000" w:themeColor="text1"/>
                <w:szCs w:val="24"/>
              </w:rPr>
              <w:t>dug</w:t>
            </w:r>
            <w:r w:rsidR="0053763D" w:rsidRPr="00F10C37">
              <w:rPr>
                <w:rFonts w:cs="Times New Roman"/>
                <w:color w:val="000000" w:themeColor="text1"/>
                <w:szCs w:val="24"/>
              </w:rPr>
              <w:t>, angle-closure glaucoma,</w:t>
            </w:r>
            <w:r w:rsidR="0053763D">
              <w:rPr>
                <w:rFonts w:cs="Times New Roman"/>
                <w:color w:val="000000" w:themeColor="text1"/>
                <w:szCs w:val="24"/>
              </w:rPr>
              <w:t xml:space="preserve"> </w:t>
            </w:r>
            <w:r w:rsidR="0053763D" w:rsidRPr="00F10C37">
              <w:rPr>
                <w:rFonts w:cs="Times New Roman"/>
                <w:color w:val="000000" w:themeColor="text1"/>
                <w:szCs w:val="24"/>
              </w:rPr>
              <w:t>prostate hypertrophy with urinary retention, mechanical stenosis in the GIT, paralytic or obstructive ileus, megacolon, tachycardia, myasthenia gravis</w:t>
            </w:r>
            <w:r w:rsidR="0053763D">
              <w:rPr>
                <w:rFonts w:cs="Times New Roman"/>
                <w:color w:val="000000" w:themeColor="text1"/>
                <w:szCs w:val="24"/>
              </w:rPr>
              <w:t>.</w:t>
            </w:r>
          </w:p>
        </w:tc>
      </w:tr>
      <w:tr w:rsidR="0053763D" w:rsidRPr="00F10C37" w14:paraId="476A59C2" w14:textId="77777777" w:rsidTr="00C46407">
        <w:trPr>
          <w:jc w:val="center"/>
        </w:trPr>
        <w:tc>
          <w:tcPr>
            <w:tcW w:w="2785" w:type="dxa"/>
          </w:tcPr>
          <w:p w14:paraId="574D14C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90" w:type="dxa"/>
          </w:tcPr>
          <w:p w14:paraId="4323972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CNS depressants.</w:t>
            </w:r>
          </w:p>
        </w:tc>
      </w:tr>
      <w:tr w:rsidR="0053763D" w:rsidRPr="00F10C37" w14:paraId="7A2B41F2" w14:textId="77777777" w:rsidTr="00C46407">
        <w:trPr>
          <w:jc w:val="center"/>
        </w:trPr>
        <w:tc>
          <w:tcPr>
            <w:tcW w:w="2785" w:type="dxa"/>
          </w:tcPr>
          <w:p w14:paraId="56022FD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90" w:type="dxa"/>
          </w:tcPr>
          <w:p w14:paraId="2CF2D03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Feeling hot, hypotension, mydriasis, sweat changes, headache, confusion, dizziness, dyspnoea, hallucination, palpitation, tachycardia, blurred vision, photophobia, cycloplegia, dry mouth, constipation, paralytic ileus.</w:t>
            </w:r>
          </w:p>
        </w:tc>
      </w:tr>
      <w:tr w:rsidR="0053763D" w:rsidRPr="00F10C37" w14:paraId="3667E3AA" w14:textId="77777777" w:rsidTr="00C46407">
        <w:trPr>
          <w:jc w:val="center"/>
        </w:trPr>
        <w:tc>
          <w:tcPr>
            <w:tcW w:w="2785" w:type="dxa"/>
          </w:tcPr>
          <w:p w14:paraId="688DCAE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90" w:type="dxa"/>
          </w:tcPr>
          <w:p w14:paraId="22AF33EE" w14:textId="77777777" w:rsidR="0053763D" w:rsidRPr="00F10C37" w:rsidRDefault="0053763D" w:rsidP="00C46407">
            <w:pPr>
              <w:pStyle w:val="BodyText"/>
              <w:spacing w:line="360" w:lineRule="auto"/>
              <w:ind w:right="475"/>
              <w:rPr>
                <w:color w:val="000000" w:themeColor="text1"/>
              </w:rPr>
            </w:pPr>
            <w:r w:rsidRPr="00F10C37">
              <w:rPr>
                <w:color w:val="000000" w:themeColor="text1"/>
              </w:rPr>
              <w:t>Cardiac disease including coronary heart disease.</w:t>
            </w:r>
          </w:p>
        </w:tc>
      </w:tr>
      <w:tr w:rsidR="0053763D" w:rsidRPr="00F10C37" w14:paraId="4ACEE0D7" w14:textId="77777777" w:rsidTr="00C46407">
        <w:trPr>
          <w:jc w:val="center"/>
        </w:trPr>
        <w:tc>
          <w:tcPr>
            <w:tcW w:w="2785" w:type="dxa"/>
          </w:tcPr>
          <w:p w14:paraId="4A95BF0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90" w:type="dxa"/>
          </w:tcPr>
          <w:p w14:paraId="6DCF752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440395A7" w14:textId="77777777" w:rsidTr="00C46407">
        <w:trPr>
          <w:jc w:val="center"/>
        </w:trPr>
        <w:tc>
          <w:tcPr>
            <w:tcW w:w="9175" w:type="dxa"/>
            <w:gridSpan w:val="2"/>
          </w:tcPr>
          <w:p w14:paraId="7D94796F"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Scopolamine (hyoscine) Hydrobromide</w:t>
            </w:r>
          </w:p>
        </w:tc>
      </w:tr>
      <w:tr w:rsidR="0053763D" w:rsidRPr="00F10C37" w14:paraId="3AFEA7F3" w14:textId="77777777" w:rsidTr="00C46407">
        <w:trPr>
          <w:jc w:val="center"/>
        </w:trPr>
        <w:tc>
          <w:tcPr>
            <w:tcW w:w="2785" w:type="dxa"/>
          </w:tcPr>
          <w:p w14:paraId="58910B1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90" w:type="dxa"/>
          </w:tcPr>
          <w:p w14:paraId="4F63995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Antispasmodic</w:t>
            </w:r>
          </w:p>
        </w:tc>
      </w:tr>
      <w:tr w:rsidR="0053763D" w:rsidRPr="00F10C37" w14:paraId="0E1FE1B7" w14:textId="77777777" w:rsidTr="00C46407">
        <w:trPr>
          <w:jc w:val="center"/>
        </w:trPr>
        <w:tc>
          <w:tcPr>
            <w:tcW w:w="2785" w:type="dxa"/>
          </w:tcPr>
          <w:p w14:paraId="567DED1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90" w:type="dxa"/>
          </w:tcPr>
          <w:p w14:paraId="37FD8710"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Injection: 0.4mg/</w:t>
            </w:r>
            <w:r>
              <w:rPr>
                <w:rFonts w:cs="Times New Roman"/>
                <w:color w:val="000000" w:themeColor="text1"/>
                <w:szCs w:val="24"/>
              </w:rPr>
              <w:t>ml</w:t>
            </w:r>
            <w:r w:rsidRPr="00F10C37">
              <w:rPr>
                <w:rFonts w:cs="Times New Roman"/>
                <w:color w:val="000000" w:themeColor="text1"/>
                <w:szCs w:val="24"/>
              </w:rPr>
              <w:t>, 0.6mg/</w:t>
            </w:r>
            <w:r>
              <w:rPr>
                <w:rFonts w:cs="Times New Roman"/>
                <w:color w:val="000000" w:themeColor="text1"/>
                <w:szCs w:val="24"/>
              </w:rPr>
              <w:t>ml</w:t>
            </w:r>
            <w:r w:rsidRPr="00F10C37">
              <w:rPr>
                <w:rFonts w:cs="Times New Roman"/>
                <w:color w:val="000000" w:themeColor="text1"/>
                <w:szCs w:val="24"/>
              </w:rPr>
              <w:t xml:space="preserve"> in 1 </w:t>
            </w:r>
            <w:r>
              <w:rPr>
                <w:rFonts w:cs="Times New Roman"/>
                <w:color w:val="000000" w:themeColor="text1"/>
                <w:szCs w:val="24"/>
              </w:rPr>
              <w:t>ml</w:t>
            </w:r>
            <w:r w:rsidRPr="00F10C37">
              <w:rPr>
                <w:rFonts w:cs="Times New Roman"/>
                <w:color w:val="000000" w:themeColor="text1"/>
                <w:szCs w:val="24"/>
              </w:rPr>
              <w:t xml:space="preserve"> ampoule</w:t>
            </w:r>
          </w:p>
          <w:p w14:paraId="14334662" w14:textId="77777777" w:rsidR="0053763D" w:rsidRPr="00F10C37" w:rsidRDefault="0053763D" w:rsidP="00C46407">
            <w:pPr>
              <w:jc w:val="both"/>
              <w:rPr>
                <w:rFonts w:cs="Times New Roman"/>
                <w:color w:val="000000" w:themeColor="text1"/>
                <w:szCs w:val="24"/>
                <w:lang w:val="it-IT"/>
              </w:rPr>
            </w:pPr>
            <w:r w:rsidRPr="00F10C37">
              <w:rPr>
                <w:rFonts w:cs="Times New Roman"/>
                <w:color w:val="000000" w:themeColor="text1"/>
                <w:szCs w:val="24"/>
              </w:rPr>
              <w:t xml:space="preserve">Tablet: 0.6mg </w:t>
            </w:r>
          </w:p>
        </w:tc>
      </w:tr>
      <w:tr w:rsidR="0053763D" w:rsidRPr="00F10C37" w14:paraId="17CD7E15" w14:textId="77777777" w:rsidTr="00C46407">
        <w:trPr>
          <w:jc w:val="center"/>
        </w:trPr>
        <w:tc>
          <w:tcPr>
            <w:tcW w:w="2785" w:type="dxa"/>
          </w:tcPr>
          <w:p w14:paraId="7822E139" w14:textId="77777777" w:rsidR="0053763D" w:rsidRPr="009D645E" w:rsidRDefault="0053763D" w:rsidP="00C46407">
            <w:pPr>
              <w:jc w:val="both"/>
              <w:rPr>
                <w:rFonts w:cs="Times New Roman"/>
                <w:color w:val="000000" w:themeColor="text1"/>
                <w:szCs w:val="24"/>
              </w:rPr>
            </w:pPr>
            <w:r w:rsidRPr="009D645E">
              <w:rPr>
                <w:rFonts w:cs="Times New Roman"/>
                <w:color w:val="000000" w:themeColor="text1"/>
                <w:szCs w:val="24"/>
              </w:rPr>
              <w:t>Indications</w:t>
            </w:r>
          </w:p>
        </w:tc>
        <w:tc>
          <w:tcPr>
            <w:tcW w:w="6390" w:type="dxa"/>
          </w:tcPr>
          <w:p w14:paraId="6D274D4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Symptomatic relief of visceral spasms of the gastrointestinal tract, painful spasm of the biliary and genitourinary system, bowel colic and excessive respiratory secretions. </w:t>
            </w:r>
          </w:p>
        </w:tc>
      </w:tr>
      <w:tr w:rsidR="0053763D" w:rsidRPr="00F10C37" w14:paraId="34008366" w14:textId="77777777" w:rsidTr="00C46407">
        <w:trPr>
          <w:jc w:val="center"/>
        </w:trPr>
        <w:tc>
          <w:tcPr>
            <w:tcW w:w="2785" w:type="dxa"/>
          </w:tcPr>
          <w:p w14:paraId="416AAFE4"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90" w:type="dxa"/>
          </w:tcPr>
          <w:p w14:paraId="34EA8383" w14:textId="77777777" w:rsidR="0053763D" w:rsidRPr="00F10C37" w:rsidRDefault="0053763D" w:rsidP="00C46407">
            <w:pPr>
              <w:pStyle w:val="BodyText"/>
              <w:spacing w:line="360" w:lineRule="auto"/>
              <w:rPr>
                <w:color w:val="000000" w:themeColor="text1"/>
              </w:rPr>
            </w:pPr>
            <w:r w:rsidRPr="00F10C37">
              <w:rPr>
                <w:b/>
                <w:color w:val="000000" w:themeColor="text1"/>
              </w:rPr>
              <w:t xml:space="preserve">Adult: </w:t>
            </w:r>
            <w:r w:rsidRPr="00F10C37">
              <w:rPr>
                <w:color w:val="000000" w:themeColor="text1"/>
              </w:rPr>
              <w:t>Oral,</w:t>
            </w:r>
            <w:r w:rsidRPr="00F10C37">
              <w:rPr>
                <w:b/>
                <w:color w:val="000000" w:themeColor="text1"/>
              </w:rPr>
              <w:t xml:space="preserve"> </w:t>
            </w:r>
            <w:r w:rsidRPr="00F10C37">
              <w:rPr>
                <w:color w:val="000000" w:themeColor="text1"/>
              </w:rPr>
              <w:t>0.3 mg 30 minutes before a journey to prevent</w:t>
            </w:r>
            <w:r>
              <w:rPr>
                <w:color w:val="000000" w:themeColor="text1"/>
              </w:rPr>
              <w:t xml:space="preserve"> m</w:t>
            </w:r>
            <w:r w:rsidRPr="00F10C37">
              <w:rPr>
                <w:color w:val="000000" w:themeColor="text1"/>
              </w:rPr>
              <w:t>otion sickness then 0.3 mg every 6 hours if required up to a maximum of 3 doses in 24 hours; IM, IV, or SC, 0.3 to 0.6 mg; if necessary, the dose may be repeated 3 or 4 times daily.</w:t>
            </w:r>
          </w:p>
          <w:p w14:paraId="23C40F95" w14:textId="77777777" w:rsidR="0053763D" w:rsidRPr="00F10C37" w:rsidRDefault="0053763D" w:rsidP="00C46407">
            <w:pPr>
              <w:pStyle w:val="BodyText"/>
              <w:spacing w:line="360" w:lineRule="auto"/>
              <w:ind w:right="479"/>
              <w:rPr>
                <w:color w:val="000000" w:themeColor="text1"/>
              </w:rPr>
            </w:pPr>
            <w:r w:rsidRPr="00F10C37">
              <w:rPr>
                <w:b/>
                <w:color w:val="000000" w:themeColor="text1"/>
              </w:rPr>
              <w:t>Child 4-10 years</w:t>
            </w:r>
            <w:r w:rsidRPr="00F10C37">
              <w:rPr>
                <w:color w:val="000000" w:themeColor="text1"/>
              </w:rPr>
              <w:t xml:space="preserve">: </w:t>
            </w:r>
            <w:r>
              <w:rPr>
                <w:color w:val="000000" w:themeColor="text1"/>
              </w:rPr>
              <w:t>o</w:t>
            </w:r>
            <w:r w:rsidRPr="00F10C37">
              <w:rPr>
                <w:color w:val="000000" w:themeColor="text1"/>
              </w:rPr>
              <w:t>ral, 75 to 150 mcg.</w:t>
            </w:r>
          </w:p>
          <w:p w14:paraId="33969C8C" w14:textId="77777777" w:rsidR="0053763D" w:rsidRPr="00F10C37" w:rsidRDefault="0053763D" w:rsidP="00C46407">
            <w:pPr>
              <w:pStyle w:val="BodyText"/>
              <w:spacing w:line="360" w:lineRule="auto"/>
              <w:ind w:right="479"/>
              <w:rPr>
                <w:color w:val="000000" w:themeColor="text1"/>
              </w:rPr>
            </w:pPr>
            <w:r w:rsidRPr="00F10C37">
              <w:rPr>
                <w:b/>
                <w:color w:val="000000" w:themeColor="text1"/>
              </w:rPr>
              <w:t>Child &gt;10 years</w:t>
            </w:r>
            <w:r w:rsidRPr="00F10C37">
              <w:rPr>
                <w:color w:val="000000" w:themeColor="text1"/>
              </w:rPr>
              <w:t xml:space="preserve">: </w:t>
            </w:r>
            <w:r>
              <w:rPr>
                <w:color w:val="000000" w:themeColor="text1"/>
              </w:rPr>
              <w:t>o</w:t>
            </w:r>
            <w:r w:rsidRPr="00F10C37">
              <w:rPr>
                <w:color w:val="000000" w:themeColor="text1"/>
              </w:rPr>
              <w:t xml:space="preserve">ral, 150 to 300 mcg; IM, IV, or SC, </w:t>
            </w:r>
            <w:r w:rsidRPr="00F10C37">
              <w:rPr>
                <w:color w:val="000000" w:themeColor="text1"/>
              </w:rPr>
              <w:lastRenderedPageBreak/>
              <w:t>0.006mg/kg.</w:t>
            </w:r>
          </w:p>
        </w:tc>
      </w:tr>
      <w:tr w:rsidR="0053763D" w:rsidRPr="00F10C37" w14:paraId="2CFFDE66" w14:textId="77777777" w:rsidTr="00C46407">
        <w:trPr>
          <w:jc w:val="center"/>
        </w:trPr>
        <w:tc>
          <w:tcPr>
            <w:tcW w:w="2785" w:type="dxa"/>
          </w:tcPr>
          <w:p w14:paraId="12BDA00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390" w:type="dxa"/>
          </w:tcPr>
          <w:p w14:paraId="0FB1A47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iCs/>
                <w:color w:val="000000" w:themeColor="text1"/>
                <w:szCs w:val="24"/>
              </w:rPr>
              <w:t xml:space="preserve">Refer to </w:t>
            </w:r>
            <w:r>
              <w:rPr>
                <w:rFonts w:cs="Times New Roman"/>
                <w:iCs/>
                <w:color w:val="000000" w:themeColor="text1"/>
                <w:szCs w:val="24"/>
              </w:rPr>
              <w:t>h</w:t>
            </w:r>
            <w:r w:rsidRPr="00F10C37">
              <w:rPr>
                <w:rFonts w:cs="Times New Roman"/>
                <w:iCs/>
                <w:color w:val="000000" w:themeColor="text1"/>
                <w:szCs w:val="24"/>
              </w:rPr>
              <w:t>yoscine (</w:t>
            </w:r>
            <w:r>
              <w:rPr>
                <w:rFonts w:cs="Times New Roman"/>
                <w:iCs/>
                <w:color w:val="000000" w:themeColor="text1"/>
                <w:szCs w:val="24"/>
              </w:rPr>
              <w:t>s</w:t>
            </w:r>
            <w:r w:rsidRPr="00F10C37">
              <w:rPr>
                <w:rFonts w:cs="Times New Roman"/>
                <w:iCs/>
                <w:color w:val="000000" w:themeColor="text1"/>
                <w:szCs w:val="24"/>
              </w:rPr>
              <w:t xml:space="preserve">copolamine) </w:t>
            </w:r>
            <w:r>
              <w:rPr>
                <w:rFonts w:cs="Times New Roman"/>
                <w:iCs/>
                <w:color w:val="000000" w:themeColor="text1"/>
                <w:szCs w:val="24"/>
              </w:rPr>
              <w:t>b</w:t>
            </w:r>
            <w:r w:rsidRPr="00F10C37">
              <w:rPr>
                <w:rFonts w:cs="Times New Roman"/>
                <w:iCs/>
                <w:color w:val="000000" w:themeColor="text1"/>
                <w:szCs w:val="24"/>
              </w:rPr>
              <w:t>utylbromide above.</w:t>
            </w:r>
          </w:p>
        </w:tc>
      </w:tr>
      <w:tr w:rsidR="0053763D" w:rsidRPr="00F10C37" w14:paraId="785B0F6F" w14:textId="77777777" w:rsidTr="00C46407">
        <w:trPr>
          <w:jc w:val="center"/>
        </w:trPr>
        <w:tc>
          <w:tcPr>
            <w:tcW w:w="2785" w:type="dxa"/>
          </w:tcPr>
          <w:p w14:paraId="6F03AF1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90" w:type="dxa"/>
          </w:tcPr>
          <w:p w14:paraId="7B61F75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CNS depressants</w:t>
            </w:r>
          </w:p>
        </w:tc>
      </w:tr>
      <w:tr w:rsidR="0053763D" w:rsidRPr="00F10C37" w14:paraId="47831F5C" w14:textId="77777777" w:rsidTr="00C46407">
        <w:trPr>
          <w:jc w:val="center"/>
        </w:trPr>
        <w:tc>
          <w:tcPr>
            <w:tcW w:w="2785" w:type="dxa"/>
          </w:tcPr>
          <w:p w14:paraId="586C0A2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90" w:type="dxa"/>
          </w:tcPr>
          <w:p w14:paraId="43CDC173" w14:textId="77777777" w:rsidR="0053763D" w:rsidRPr="00F10C37" w:rsidRDefault="0053763D" w:rsidP="00C46407">
            <w:pPr>
              <w:jc w:val="both"/>
              <w:rPr>
                <w:rFonts w:cs="Times New Roman"/>
                <w:color w:val="000000" w:themeColor="text1"/>
                <w:szCs w:val="24"/>
              </w:rPr>
            </w:pPr>
            <w:r w:rsidRPr="00F10C37">
              <w:rPr>
                <w:rFonts w:cs="Times New Roman"/>
                <w:iCs/>
                <w:color w:val="000000" w:themeColor="text1"/>
                <w:szCs w:val="24"/>
              </w:rPr>
              <w:t xml:space="preserve">Refer to </w:t>
            </w:r>
            <w:r>
              <w:rPr>
                <w:rFonts w:cs="Times New Roman"/>
                <w:iCs/>
                <w:color w:val="000000" w:themeColor="text1"/>
                <w:szCs w:val="24"/>
              </w:rPr>
              <w:t>h</w:t>
            </w:r>
            <w:r w:rsidRPr="00F10C37">
              <w:rPr>
                <w:rFonts w:cs="Times New Roman"/>
                <w:iCs/>
                <w:color w:val="000000" w:themeColor="text1"/>
                <w:szCs w:val="24"/>
              </w:rPr>
              <w:t>yoscine (</w:t>
            </w:r>
            <w:r>
              <w:rPr>
                <w:rFonts w:cs="Times New Roman"/>
                <w:iCs/>
                <w:color w:val="000000" w:themeColor="text1"/>
                <w:szCs w:val="24"/>
              </w:rPr>
              <w:t>s</w:t>
            </w:r>
            <w:r w:rsidRPr="00F10C37">
              <w:rPr>
                <w:rFonts w:cs="Times New Roman"/>
                <w:iCs/>
                <w:color w:val="000000" w:themeColor="text1"/>
                <w:szCs w:val="24"/>
              </w:rPr>
              <w:t xml:space="preserve">copolamine) </w:t>
            </w:r>
            <w:r>
              <w:rPr>
                <w:rFonts w:cs="Times New Roman"/>
                <w:iCs/>
                <w:color w:val="000000" w:themeColor="text1"/>
                <w:szCs w:val="24"/>
              </w:rPr>
              <w:t>b</w:t>
            </w:r>
            <w:r w:rsidRPr="00F10C37">
              <w:rPr>
                <w:rFonts w:cs="Times New Roman"/>
                <w:iCs/>
                <w:color w:val="000000" w:themeColor="text1"/>
                <w:szCs w:val="24"/>
              </w:rPr>
              <w:t>utylbromide above.</w:t>
            </w:r>
          </w:p>
        </w:tc>
      </w:tr>
      <w:tr w:rsidR="0053763D" w:rsidRPr="00F10C37" w14:paraId="0BE62494" w14:textId="77777777" w:rsidTr="00C46407">
        <w:trPr>
          <w:jc w:val="center"/>
        </w:trPr>
        <w:tc>
          <w:tcPr>
            <w:tcW w:w="2785" w:type="dxa"/>
          </w:tcPr>
          <w:p w14:paraId="0C56EA4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90" w:type="dxa"/>
          </w:tcPr>
          <w:p w14:paraId="7D67A306" w14:textId="77777777" w:rsidR="0053763D" w:rsidRPr="00F10C37" w:rsidRDefault="0053763D" w:rsidP="00C46407">
            <w:pPr>
              <w:jc w:val="both"/>
              <w:rPr>
                <w:rFonts w:cs="Times New Roman"/>
                <w:color w:val="000000" w:themeColor="text1"/>
                <w:szCs w:val="24"/>
              </w:rPr>
            </w:pPr>
            <w:r w:rsidRPr="00F10C37">
              <w:rPr>
                <w:rFonts w:cs="Times New Roman"/>
                <w:iCs/>
                <w:color w:val="000000" w:themeColor="text1"/>
                <w:szCs w:val="24"/>
              </w:rPr>
              <w:t xml:space="preserve">Refer to </w:t>
            </w:r>
            <w:r>
              <w:rPr>
                <w:rFonts w:cs="Times New Roman"/>
                <w:iCs/>
                <w:color w:val="000000" w:themeColor="text1"/>
                <w:szCs w:val="24"/>
              </w:rPr>
              <w:t>h</w:t>
            </w:r>
            <w:r w:rsidRPr="00F10C37">
              <w:rPr>
                <w:rFonts w:cs="Times New Roman"/>
                <w:iCs/>
                <w:color w:val="000000" w:themeColor="text1"/>
                <w:szCs w:val="24"/>
              </w:rPr>
              <w:t>yoscine (</w:t>
            </w:r>
            <w:r>
              <w:rPr>
                <w:rFonts w:cs="Times New Roman"/>
                <w:iCs/>
                <w:color w:val="000000" w:themeColor="text1"/>
                <w:szCs w:val="24"/>
              </w:rPr>
              <w:t>s</w:t>
            </w:r>
            <w:r w:rsidRPr="00F10C37">
              <w:rPr>
                <w:rFonts w:cs="Times New Roman"/>
                <w:iCs/>
                <w:color w:val="000000" w:themeColor="text1"/>
                <w:szCs w:val="24"/>
              </w:rPr>
              <w:t xml:space="preserve">copolamine) </w:t>
            </w:r>
            <w:r>
              <w:rPr>
                <w:rFonts w:cs="Times New Roman"/>
                <w:iCs/>
                <w:color w:val="000000" w:themeColor="text1"/>
                <w:szCs w:val="24"/>
              </w:rPr>
              <w:t>b</w:t>
            </w:r>
            <w:r w:rsidRPr="00F10C37">
              <w:rPr>
                <w:rFonts w:cs="Times New Roman"/>
                <w:iCs/>
                <w:color w:val="000000" w:themeColor="text1"/>
                <w:szCs w:val="24"/>
              </w:rPr>
              <w:t>utylbromide above.</w:t>
            </w:r>
          </w:p>
        </w:tc>
      </w:tr>
      <w:tr w:rsidR="0053763D" w:rsidRPr="00F10C37" w14:paraId="534ADBDF" w14:textId="77777777" w:rsidTr="00C46407">
        <w:trPr>
          <w:jc w:val="center"/>
        </w:trPr>
        <w:tc>
          <w:tcPr>
            <w:tcW w:w="2785" w:type="dxa"/>
          </w:tcPr>
          <w:p w14:paraId="1715FDF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90" w:type="dxa"/>
          </w:tcPr>
          <w:p w14:paraId="41BB8E32" w14:textId="77777777" w:rsidR="0053763D" w:rsidRPr="00F10C37" w:rsidRDefault="0053763D" w:rsidP="00C46407">
            <w:pPr>
              <w:autoSpaceDE w:val="0"/>
              <w:autoSpaceDN w:val="0"/>
              <w:adjustRightInd w:val="0"/>
              <w:jc w:val="both"/>
              <w:rPr>
                <w:rFonts w:eastAsia="Malgun Gothic" w:cs="Times New Roman"/>
                <w:color w:val="000000" w:themeColor="text1"/>
                <w:szCs w:val="24"/>
              </w:rPr>
            </w:pPr>
            <w:r w:rsidRPr="00F10C37">
              <w:rPr>
                <w:rFonts w:cs="Times New Roman"/>
                <w:color w:val="000000" w:themeColor="text1"/>
                <w:szCs w:val="24"/>
              </w:rPr>
              <w:t>Store below 30 °C in a light-resistant container.</w:t>
            </w:r>
          </w:p>
        </w:tc>
      </w:tr>
    </w:tbl>
    <w:p w14:paraId="79E1CD54" w14:textId="77777777" w:rsidR="0053763D" w:rsidRPr="00F10C37" w:rsidRDefault="0053763D" w:rsidP="00491AFD">
      <w:pPr>
        <w:pStyle w:val="Heading2"/>
        <w:spacing w:before="240" w:after="240"/>
      </w:pPr>
      <w:bookmarkStart w:id="21" w:name="_Toc179490307"/>
      <w:r w:rsidRPr="00F10C37">
        <w:t>Antiemetic</w:t>
      </w:r>
      <w:r>
        <w:t>s</w:t>
      </w:r>
      <w:bookmarkEnd w:id="21"/>
    </w:p>
    <w:p w14:paraId="668F0F1E" w14:textId="77777777" w:rsidR="0053763D" w:rsidRPr="00F10C37" w:rsidRDefault="0053763D" w:rsidP="0053763D">
      <w:pPr>
        <w:pStyle w:val="BodyText"/>
        <w:spacing w:line="360" w:lineRule="auto"/>
        <w:rPr>
          <w:color w:val="000000" w:themeColor="text1"/>
        </w:rPr>
      </w:pPr>
      <w:r w:rsidRPr="00F10C37">
        <w:rPr>
          <w:color w:val="000000" w:themeColor="text1"/>
        </w:rPr>
        <w:t>Antiemetics are a diverse group of medicines used to treat or prevent nausea and vomiting. Antiemeti</w:t>
      </w:r>
      <w:r>
        <w:rPr>
          <w:color w:val="000000" w:themeColor="text1"/>
        </w:rPr>
        <w:t>cs</w:t>
      </w:r>
      <w:r w:rsidRPr="00F10C37">
        <w:rPr>
          <w:color w:val="000000" w:themeColor="text1"/>
        </w:rPr>
        <w:t xml:space="preserve"> include dopamine antagonists (metoclopramide and chlorpromazine hydrochloride),</w:t>
      </w:r>
      <w:r>
        <w:rPr>
          <w:color w:val="000000" w:themeColor="text1"/>
        </w:rPr>
        <w:t xml:space="preserve"> </w:t>
      </w:r>
      <w:r w:rsidRPr="00F10C37">
        <w:rPr>
          <w:color w:val="000000" w:themeColor="text1"/>
          <w:spacing w:val="1"/>
        </w:rPr>
        <w:t>antihistamines</w:t>
      </w:r>
      <w:r w:rsidRPr="00F10C37">
        <w:rPr>
          <w:color w:val="000000" w:themeColor="text1"/>
        </w:rPr>
        <w:t xml:space="preserve"> (dimenhydrinate, meclizine hydrochloride, and promethazine hydrochloride</w:t>
      </w:r>
      <w:r>
        <w:rPr>
          <w:color w:val="000000" w:themeColor="text1"/>
        </w:rPr>
        <w:t>),</w:t>
      </w:r>
      <w:r w:rsidRPr="00F10C37">
        <w:rPr>
          <w:color w:val="000000" w:themeColor="text1"/>
        </w:rPr>
        <w:t xml:space="preserve"> phenothiazin</w:t>
      </w:r>
      <w:r>
        <w:rPr>
          <w:color w:val="000000" w:themeColor="text1"/>
        </w:rPr>
        <w:t>e</w:t>
      </w:r>
      <w:r w:rsidRPr="00F10C37">
        <w:rPr>
          <w:color w:val="000000" w:themeColor="text1"/>
        </w:rPr>
        <w:t xml:space="preserve">, </w:t>
      </w:r>
      <w:r>
        <w:rPr>
          <w:color w:val="000000" w:themeColor="text1"/>
          <w:shd w:val="clear" w:color="auto" w:fill="FFFFFF"/>
        </w:rPr>
        <w:t>n</w:t>
      </w:r>
      <w:r w:rsidRPr="00F10C37">
        <w:rPr>
          <w:color w:val="000000" w:themeColor="text1"/>
          <w:shd w:val="clear" w:color="auto" w:fill="FFFFFF"/>
        </w:rPr>
        <w:t xml:space="preserve">eurokinin-1 receptor antagonist </w:t>
      </w:r>
      <w:r w:rsidRPr="00F10C37">
        <w:rPr>
          <w:color w:val="000000" w:themeColor="text1"/>
        </w:rPr>
        <w:t>(</w:t>
      </w:r>
      <w:r>
        <w:rPr>
          <w:color w:val="000000" w:themeColor="text1"/>
        </w:rPr>
        <w:t>a</w:t>
      </w:r>
      <w:r w:rsidRPr="00F10C37">
        <w:rPr>
          <w:color w:val="000000" w:themeColor="text1"/>
        </w:rPr>
        <w:t>prepitant)</w:t>
      </w:r>
      <w:r>
        <w:rPr>
          <w:color w:val="000000" w:themeColor="text1"/>
        </w:rPr>
        <w:t xml:space="preserve">, </w:t>
      </w:r>
      <w:r w:rsidRPr="00F10C37">
        <w:rPr>
          <w:color w:val="000000" w:themeColor="text1"/>
        </w:rPr>
        <w:t xml:space="preserve">and </w:t>
      </w:r>
      <w:r>
        <w:rPr>
          <w:color w:val="000000" w:themeColor="text1"/>
        </w:rPr>
        <w:t>c</w:t>
      </w:r>
      <w:r w:rsidRPr="00F10C37">
        <w:rPr>
          <w:color w:val="000000" w:themeColor="text1"/>
        </w:rPr>
        <w:t>orticosteroids (dexamethasone)</w:t>
      </w:r>
      <w:r>
        <w:rPr>
          <w:color w:val="000000" w:themeColor="text1"/>
        </w:rPr>
        <w:t>.</w:t>
      </w:r>
    </w:p>
    <w:tbl>
      <w:tblPr>
        <w:tblStyle w:val="TableGrid"/>
        <w:tblW w:w="9314" w:type="dxa"/>
        <w:jc w:val="center"/>
        <w:tblLook w:val="04A0" w:firstRow="1" w:lastRow="0" w:firstColumn="1" w:lastColumn="0" w:noHBand="0" w:noVBand="1"/>
      </w:tblPr>
      <w:tblGrid>
        <w:gridCol w:w="2875"/>
        <w:gridCol w:w="6439"/>
      </w:tblGrid>
      <w:tr w:rsidR="0053763D" w:rsidRPr="00F10C37" w14:paraId="5ADA4D16" w14:textId="77777777" w:rsidTr="00C46407">
        <w:trPr>
          <w:jc w:val="center"/>
        </w:trPr>
        <w:tc>
          <w:tcPr>
            <w:tcW w:w="9314" w:type="dxa"/>
            <w:gridSpan w:val="2"/>
          </w:tcPr>
          <w:p w14:paraId="1943D8A1" w14:textId="77777777" w:rsidR="0053763D" w:rsidRPr="00491AFD" w:rsidRDefault="0053763D" w:rsidP="00491AFD">
            <w:pPr>
              <w:rPr>
                <w:b/>
              </w:rPr>
            </w:pPr>
            <w:r w:rsidRPr="00491AFD">
              <w:rPr>
                <w:b/>
              </w:rPr>
              <w:t>Aprepitant</w:t>
            </w:r>
          </w:p>
        </w:tc>
      </w:tr>
      <w:tr w:rsidR="0053763D" w:rsidRPr="00F10C37" w14:paraId="09D76278" w14:textId="77777777" w:rsidTr="00C46407">
        <w:trPr>
          <w:jc w:val="center"/>
        </w:trPr>
        <w:tc>
          <w:tcPr>
            <w:tcW w:w="2875" w:type="dxa"/>
          </w:tcPr>
          <w:p w14:paraId="03CC327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4BB8C12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Neurokinin</w:t>
            </w:r>
            <w:r>
              <w:rPr>
                <w:rFonts w:cs="Times New Roman"/>
                <w:color w:val="000000" w:themeColor="text1"/>
                <w:szCs w:val="24"/>
                <w:shd w:val="clear" w:color="auto" w:fill="FFFFFF"/>
              </w:rPr>
              <w:t>-1</w:t>
            </w:r>
            <w:r w:rsidRPr="00F10C37">
              <w:rPr>
                <w:rFonts w:cs="Times New Roman"/>
                <w:color w:val="000000" w:themeColor="text1"/>
                <w:szCs w:val="24"/>
                <w:shd w:val="clear" w:color="auto" w:fill="FFFFFF"/>
              </w:rPr>
              <w:t xml:space="preserve"> receptor antagonist</w:t>
            </w:r>
          </w:p>
        </w:tc>
      </w:tr>
      <w:tr w:rsidR="0053763D" w:rsidRPr="00F10C37" w14:paraId="1BB4C384" w14:textId="77777777" w:rsidTr="00C46407">
        <w:trPr>
          <w:jc w:val="center"/>
        </w:trPr>
        <w:tc>
          <w:tcPr>
            <w:tcW w:w="2875" w:type="dxa"/>
          </w:tcPr>
          <w:p w14:paraId="26E952E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601D9845"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Capsule: 80 mg</w:t>
            </w:r>
            <w:r>
              <w:rPr>
                <w:rFonts w:cs="Times New Roman"/>
                <w:color w:val="000000" w:themeColor="text1"/>
                <w:szCs w:val="24"/>
              </w:rPr>
              <w:t>,</w:t>
            </w:r>
            <w:r w:rsidRPr="00F10C37">
              <w:rPr>
                <w:rFonts w:cs="Times New Roman"/>
                <w:color w:val="000000" w:themeColor="text1"/>
                <w:szCs w:val="24"/>
              </w:rPr>
              <w:t xml:space="preserve"> 125 mg</w:t>
            </w:r>
            <w:r>
              <w:rPr>
                <w:rFonts w:cs="Times New Roman"/>
                <w:color w:val="000000" w:themeColor="text1"/>
                <w:szCs w:val="24"/>
              </w:rPr>
              <w:t>,</w:t>
            </w:r>
            <w:r w:rsidRPr="00F10C37">
              <w:rPr>
                <w:rFonts w:cs="Times New Roman"/>
                <w:color w:val="000000" w:themeColor="text1"/>
                <w:szCs w:val="24"/>
              </w:rPr>
              <w:t xml:space="preserve"> 165 mg</w:t>
            </w:r>
          </w:p>
          <w:p w14:paraId="6A6765A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Powder for oral suspension: 125 mg in sachet</w:t>
            </w:r>
          </w:p>
        </w:tc>
      </w:tr>
      <w:tr w:rsidR="0053763D" w:rsidRPr="00F10C37" w14:paraId="4DF21F3D" w14:textId="77777777" w:rsidTr="00C46407">
        <w:trPr>
          <w:jc w:val="center"/>
        </w:trPr>
        <w:tc>
          <w:tcPr>
            <w:tcW w:w="2875" w:type="dxa"/>
          </w:tcPr>
          <w:p w14:paraId="00BD69BC" w14:textId="77777777" w:rsidR="0053763D" w:rsidRPr="00A56548" w:rsidRDefault="0053763D" w:rsidP="00C46407">
            <w:pPr>
              <w:jc w:val="both"/>
              <w:rPr>
                <w:rFonts w:cs="Times New Roman"/>
                <w:color w:val="000000" w:themeColor="text1"/>
                <w:szCs w:val="24"/>
              </w:rPr>
            </w:pPr>
            <w:r w:rsidRPr="00A56548">
              <w:rPr>
                <w:rFonts w:cs="Times New Roman"/>
                <w:color w:val="000000" w:themeColor="text1"/>
                <w:szCs w:val="24"/>
              </w:rPr>
              <w:t>Indications</w:t>
            </w:r>
          </w:p>
        </w:tc>
        <w:tc>
          <w:tcPr>
            <w:tcW w:w="6439" w:type="dxa"/>
          </w:tcPr>
          <w:p w14:paraId="7D8E0F69"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Prevention of nausea and vomiting associated with emetogenic cancer chemotherapy</w:t>
            </w:r>
            <w:r>
              <w:rPr>
                <w:color w:val="000000" w:themeColor="text1"/>
              </w:rPr>
              <w:t>.</w:t>
            </w:r>
          </w:p>
        </w:tc>
      </w:tr>
      <w:tr w:rsidR="0053763D" w:rsidRPr="00F10C37" w14:paraId="0E8D2441" w14:textId="77777777" w:rsidTr="00C46407">
        <w:trPr>
          <w:trHeight w:val="980"/>
          <w:jc w:val="center"/>
        </w:trPr>
        <w:tc>
          <w:tcPr>
            <w:tcW w:w="2875" w:type="dxa"/>
          </w:tcPr>
          <w:p w14:paraId="5CA54259"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4AEF2C58"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Pr>
                <w:b/>
                <w:iCs/>
                <w:color w:val="000000" w:themeColor="text1"/>
              </w:rPr>
              <w:t>Child</w:t>
            </w:r>
            <w:r w:rsidRPr="00F10C37">
              <w:rPr>
                <w:b/>
                <w:iCs/>
                <w:color w:val="000000" w:themeColor="text1"/>
              </w:rPr>
              <w:t xml:space="preserve"> &gt; 12 years</w:t>
            </w:r>
            <w:r>
              <w:rPr>
                <w:b/>
                <w:iCs/>
                <w:color w:val="000000" w:themeColor="text1"/>
              </w:rPr>
              <w:t xml:space="preserve"> and adult</w:t>
            </w:r>
            <w:r w:rsidRPr="00F10C37">
              <w:rPr>
                <w:iCs/>
                <w:color w:val="000000" w:themeColor="text1"/>
              </w:rPr>
              <w:t>:</w:t>
            </w:r>
            <w:r w:rsidRPr="00F10C37">
              <w:rPr>
                <w:b/>
                <w:i/>
                <w:iCs/>
                <w:color w:val="000000" w:themeColor="text1"/>
              </w:rPr>
              <w:t xml:space="preserve"> </w:t>
            </w:r>
            <w:r w:rsidRPr="00F10C37">
              <w:rPr>
                <w:color w:val="000000" w:themeColor="text1"/>
              </w:rPr>
              <w:t xml:space="preserve">125 mg, dose to be taken 1 hour before chemotherapy on day 1 and 80 mg on days 2 and 3. If no chemotherapy is given on days 2 and 3, it should be administered in the morning. </w:t>
            </w:r>
            <w:r>
              <w:rPr>
                <w:color w:val="000000" w:themeColor="text1"/>
              </w:rPr>
              <w:t xml:space="preserve">It is given for 3 days as part of a regimen that includes a corticosteroid and 5-hydroxy-triptamine (5-HT3) antagonist. </w:t>
            </w:r>
            <w:r w:rsidRPr="00F10C37">
              <w:rPr>
                <w:color w:val="000000" w:themeColor="text1"/>
              </w:rPr>
              <w:t>If a corticosteroid, such as dexamethasone, is co-administered with it, the dose of the corticosteroid should be administered at 50 % of the usual dose.</w:t>
            </w:r>
          </w:p>
          <w:p w14:paraId="548507E8" w14:textId="77777777" w:rsidR="0053763D" w:rsidRPr="00F10C37" w:rsidRDefault="0053763D" w:rsidP="00C46407">
            <w:pPr>
              <w:pStyle w:val="NormalWeb"/>
              <w:shd w:val="clear" w:color="auto" w:fill="FFFFFF"/>
              <w:spacing w:before="0" w:beforeAutospacing="0" w:after="0" w:afterAutospacing="0" w:line="360" w:lineRule="auto"/>
              <w:jc w:val="both"/>
              <w:rPr>
                <w:i/>
                <w:color w:val="000000" w:themeColor="text1"/>
              </w:rPr>
            </w:pPr>
            <w:r w:rsidRPr="00F10C37">
              <w:rPr>
                <w:b/>
                <w:iCs/>
                <w:color w:val="000000" w:themeColor="text1"/>
                <w:shd w:val="clear" w:color="auto" w:fill="FFFFFF"/>
              </w:rPr>
              <w:t>Child &lt; 12 years</w:t>
            </w:r>
            <w:r w:rsidRPr="00F10C37">
              <w:rPr>
                <w:iCs/>
                <w:color w:val="000000" w:themeColor="text1"/>
                <w:shd w:val="clear" w:color="auto" w:fill="FFFFFF"/>
              </w:rPr>
              <w:t xml:space="preserve">, </w:t>
            </w:r>
            <w:r w:rsidRPr="00491AFD">
              <w:rPr>
                <w:b/>
                <w:iCs/>
                <w:color w:val="000000" w:themeColor="text1"/>
                <w:shd w:val="clear" w:color="auto" w:fill="FFFFFF"/>
              </w:rPr>
              <w:t>and not less than 6 kg</w:t>
            </w:r>
            <w:r w:rsidRPr="00F10C37">
              <w:rPr>
                <w:color w:val="000000" w:themeColor="text1"/>
              </w:rPr>
              <w:t>: 3 mg/kg (max. 125 mg), dose to be taken 1 hour before chemotherapy on day 1, then 2 mg/kg (max. 80 mg) on days 2 and 3, give in the morning</w:t>
            </w:r>
            <w:r w:rsidRPr="00F10C37">
              <w:rPr>
                <w:b/>
                <w:iCs/>
                <w:color w:val="000000" w:themeColor="text1"/>
                <w:shd w:val="clear" w:color="auto" w:fill="FFFFFF"/>
              </w:rPr>
              <w:t xml:space="preserve"> </w:t>
            </w:r>
            <w:r w:rsidRPr="00F10C37">
              <w:rPr>
                <w:iCs/>
                <w:color w:val="000000" w:themeColor="text1"/>
                <w:shd w:val="clear" w:color="auto" w:fill="FFFFFF"/>
              </w:rPr>
              <w:lastRenderedPageBreak/>
              <w:t>i</w:t>
            </w:r>
            <w:r w:rsidRPr="00F10C37">
              <w:rPr>
                <w:color w:val="000000" w:themeColor="text1"/>
              </w:rPr>
              <w:t>f no chemotherapy on days 2 and 3.</w:t>
            </w:r>
          </w:p>
        </w:tc>
      </w:tr>
      <w:tr w:rsidR="0053763D" w:rsidRPr="00F10C37" w14:paraId="693BE406" w14:textId="77777777" w:rsidTr="00C46407">
        <w:trPr>
          <w:jc w:val="center"/>
        </w:trPr>
        <w:tc>
          <w:tcPr>
            <w:tcW w:w="2875" w:type="dxa"/>
          </w:tcPr>
          <w:p w14:paraId="57B4845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439" w:type="dxa"/>
          </w:tcPr>
          <w:p w14:paraId="4345D652" w14:textId="77777777" w:rsidR="0053763D" w:rsidRPr="00F10C37" w:rsidRDefault="0053763D" w:rsidP="00C46407">
            <w:pPr>
              <w:pStyle w:val="BodyText"/>
              <w:spacing w:line="360" w:lineRule="auto"/>
              <w:ind w:right="476"/>
              <w:rPr>
                <w:color w:val="000000" w:themeColor="text1"/>
                <w:shd w:val="clear" w:color="auto" w:fill="FFFFFF"/>
              </w:rPr>
            </w:pPr>
            <w:r w:rsidRPr="00F10C37">
              <w:rPr>
                <w:color w:val="000000" w:themeColor="text1"/>
                <w:shd w:val="clear" w:color="auto" w:fill="FFFFFF"/>
              </w:rPr>
              <w:t xml:space="preserve">Acute porphyrias, hypersensitivity to the </w:t>
            </w:r>
            <w:r>
              <w:rPr>
                <w:color w:val="000000" w:themeColor="text1"/>
                <w:shd w:val="clear" w:color="auto" w:fill="FFFFFF"/>
              </w:rPr>
              <w:t>drug</w:t>
            </w:r>
            <w:r w:rsidRPr="00F10C37">
              <w:rPr>
                <w:color w:val="000000" w:themeColor="text1"/>
                <w:shd w:val="clear" w:color="auto" w:fill="FFFFFF"/>
              </w:rPr>
              <w:t>.</w:t>
            </w:r>
          </w:p>
        </w:tc>
      </w:tr>
      <w:tr w:rsidR="0053763D" w:rsidRPr="00F10C37" w14:paraId="19DB723C" w14:textId="77777777" w:rsidTr="00C46407">
        <w:trPr>
          <w:jc w:val="center"/>
        </w:trPr>
        <w:tc>
          <w:tcPr>
            <w:tcW w:w="2875" w:type="dxa"/>
          </w:tcPr>
          <w:p w14:paraId="39A7AB0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39" w:type="dxa"/>
          </w:tcPr>
          <w:p w14:paraId="7058CDC8" w14:textId="77777777" w:rsidR="0053763D" w:rsidRPr="00F10C37" w:rsidRDefault="0053763D" w:rsidP="00C46407">
            <w:pPr>
              <w:pStyle w:val="BodyText"/>
              <w:spacing w:line="360" w:lineRule="auto"/>
              <w:ind w:right="476"/>
              <w:rPr>
                <w:color w:val="000000" w:themeColor="text1"/>
              </w:rPr>
            </w:pPr>
            <w:r w:rsidRPr="00F10C37">
              <w:rPr>
                <w:color w:val="000000" w:themeColor="text1"/>
                <w:shd w:val="clear" w:color="auto" w:fill="FFFFFF"/>
              </w:rPr>
              <w:t>Benzodiazepines, corticosteroids, warfarin, hormonal contraceptives, 5-HT3 antagonists.</w:t>
            </w:r>
          </w:p>
        </w:tc>
      </w:tr>
      <w:tr w:rsidR="0053763D" w:rsidRPr="00F10C37" w14:paraId="013BE5EA" w14:textId="77777777" w:rsidTr="00C46407">
        <w:trPr>
          <w:trHeight w:val="42"/>
          <w:jc w:val="center"/>
        </w:trPr>
        <w:tc>
          <w:tcPr>
            <w:tcW w:w="2875" w:type="dxa"/>
          </w:tcPr>
          <w:p w14:paraId="12BA35F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0CB47011" w14:textId="77777777" w:rsidR="0053763D" w:rsidRPr="00F10C37" w:rsidRDefault="0053763D" w:rsidP="00C46407">
            <w:pPr>
              <w:pStyle w:val="BodyText"/>
              <w:spacing w:line="360" w:lineRule="auto"/>
              <w:rPr>
                <w:color w:val="000000" w:themeColor="text1"/>
                <w:shd w:val="clear" w:color="auto" w:fill="FFFFFF"/>
              </w:rPr>
            </w:pPr>
            <w:r w:rsidRPr="00F10C37">
              <w:rPr>
                <w:color w:val="000000" w:themeColor="text1"/>
                <w:shd w:val="clear" w:color="auto" w:fill="FFFFFF"/>
              </w:rPr>
              <w:t>Alanine amino transferase (ALT) increase, constipation, decreased appetite, asthenia, constipation, gastrointestinal discomfort, fatigue, headache, hiccups, anemia, anxiety, burping, dizziness, drowsiness, dry mouth, febrile neutropenia, gastrointestinal disorders, hot flush, malaise, nausea, palpitations, skin reactions, urinary disorders, vomiting.</w:t>
            </w:r>
          </w:p>
        </w:tc>
      </w:tr>
      <w:tr w:rsidR="0053763D" w:rsidRPr="00F10C37" w14:paraId="5D77B31D" w14:textId="77777777" w:rsidTr="00C46407">
        <w:trPr>
          <w:trHeight w:val="42"/>
          <w:jc w:val="center"/>
        </w:trPr>
        <w:tc>
          <w:tcPr>
            <w:tcW w:w="2875" w:type="dxa"/>
          </w:tcPr>
          <w:p w14:paraId="71EFFC2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1EA93C36"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iCs/>
                <w:color w:val="000000" w:themeColor="text1"/>
              </w:rPr>
              <w:t>Moderate to severe hepatic impairment</w:t>
            </w:r>
            <w:r>
              <w:rPr>
                <w:iCs/>
                <w:color w:val="000000" w:themeColor="text1"/>
              </w:rPr>
              <w:t>,</w:t>
            </w:r>
            <w:r w:rsidRPr="00F10C37">
              <w:rPr>
                <w:iCs/>
                <w:color w:val="000000" w:themeColor="text1"/>
              </w:rPr>
              <w:t xml:space="preserve"> elderly (≥ 65 years)</w:t>
            </w:r>
            <w:r w:rsidRPr="00F10C37">
              <w:rPr>
                <w:color w:val="000000" w:themeColor="text1"/>
              </w:rPr>
              <w:t>.</w:t>
            </w:r>
          </w:p>
        </w:tc>
      </w:tr>
      <w:tr w:rsidR="0053763D" w:rsidRPr="00F10C37" w14:paraId="11D31AE8" w14:textId="77777777" w:rsidTr="00C46407">
        <w:trPr>
          <w:jc w:val="center"/>
        </w:trPr>
        <w:tc>
          <w:tcPr>
            <w:tcW w:w="2875" w:type="dxa"/>
          </w:tcPr>
          <w:p w14:paraId="541F550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510D99D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Store below 30 °C. Protect from moisture. </w:t>
            </w:r>
          </w:p>
        </w:tc>
      </w:tr>
      <w:tr w:rsidR="0053763D" w:rsidRPr="00F10C37" w14:paraId="47BE353B" w14:textId="77777777" w:rsidTr="00C46407">
        <w:trPr>
          <w:jc w:val="center"/>
        </w:trPr>
        <w:tc>
          <w:tcPr>
            <w:tcW w:w="9314" w:type="dxa"/>
            <w:gridSpan w:val="2"/>
            <w:tcBorders>
              <w:top w:val="nil"/>
            </w:tcBorders>
          </w:tcPr>
          <w:p w14:paraId="6ABBF54B" w14:textId="77777777" w:rsidR="0053763D" w:rsidRPr="00491AFD" w:rsidRDefault="0053763D" w:rsidP="00491AFD">
            <w:pPr>
              <w:rPr>
                <w:b/>
              </w:rPr>
            </w:pPr>
            <w:r w:rsidRPr="00491AFD">
              <w:rPr>
                <w:b/>
              </w:rPr>
              <w:t>Chlorpromazine Hydrochloride</w:t>
            </w:r>
          </w:p>
        </w:tc>
      </w:tr>
      <w:tr w:rsidR="0053763D" w:rsidRPr="00F10C37" w14:paraId="24CCC2E8" w14:textId="77777777" w:rsidTr="00C46407">
        <w:trPr>
          <w:jc w:val="center"/>
        </w:trPr>
        <w:tc>
          <w:tcPr>
            <w:tcW w:w="2875" w:type="dxa"/>
          </w:tcPr>
          <w:p w14:paraId="670D035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79469B9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Dopamine antagonist</w:t>
            </w:r>
          </w:p>
        </w:tc>
      </w:tr>
      <w:tr w:rsidR="0053763D" w:rsidRPr="00F10C37" w14:paraId="065A80FD" w14:textId="77777777" w:rsidTr="00C46407">
        <w:trPr>
          <w:jc w:val="center"/>
        </w:trPr>
        <w:tc>
          <w:tcPr>
            <w:tcW w:w="2875" w:type="dxa"/>
          </w:tcPr>
          <w:p w14:paraId="5E5E154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5A62F3D9" w14:textId="77777777" w:rsidR="0053763D" w:rsidRPr="00F10C37" w:rsidRDefault="0053763D" w:rsidP="00C46407">
            <w:pPr>
              <w:jc w:val="both"/>
              <w:rPr>
                <w:rFonts w:cs="Times New Roman"/>
                <w:color w:val="000000" w:themeColor="text1"/>
                <w:szCs w:val="24"/>
                <w:lang w:val="sv-SE"/>
              </w:rPr>
            </w:pPr>
            <w:r w:rsidRPr="00F10C37">
              <w:rPr>
                <w:rFonts w:cs="Times New Roman"/>
                <w:color w:val="000000" w:themeColor="text1"/>
                <w:szCs w:val="24"/>
                <w:lang w:val="sv-SE"/>
              </w:rPr>
              <w:t>Drops: 25mg/</w:t>
            </w:r>
            <w:r>
              <w:rPr>
                <w:rFonts w:cs="Times New Roman"/>
                <w:color w:val="000000" w:themeColor="text1"/>
                <w:szCs w:val="24"/>
                <w:lang w:val="sv-SE"/>
              </w:rPr>
              <w:t>ml</w:t>
            </w:r>
          </w:p>
          <w:p w14:paraId="2131A85F" w14:textId="77777777" w:rsidR="0053763D" w:rsidRDefault="0053763D" w:rsidP="00C46407">
            <w:pPr>
              <w:jc w:val="both"/>
              <w:rPr>
                <w:rFonts w:cs="Times New Roman"/>
                <w:color w:val="000000" w:themeColor="text1"/>
                <w:szCs w:val="24"/>
                <w:shd w:val="clear" w:color="auto" w:fill="FFFFFF" w:themeFill="background1"/>
                <w:lang w:val="sv-SE"/>
              </w:rPr>
            </w:pPr>
            <w:r w:rsidRPr="00F10C37">
              <w:rPr>
                <w:rFonts w:cs="Times New Roman"/>
                <w:color w:val="000000" w:themeColor="text1"/>
                <w:szCs w:val="24"/>
                <w:shd w:val="clear" w:color="auto" w:fill="FFFFFF" w:themeFill="background1"/>
                <w:lang w:val="sv-SE"/>
              </w:rPr>
              <w:t>Tablet: 25mg</w:t>
            </w:r>
          </w:p>
          <w:p w14:paraId="09150481" w14:textId="77777777" w:rsidR="0053763D" w:rsidRPr="00F10C37" w:rsidRDefault="0053763D" w:rsidP="00C46407">
            <w:pPr>
              <w:jc w:val="both"/>
              <w:rPr>
                <w:rFonts w:cs="Times New Roman"/>
                <w:color w:val="000000" w:themeColor="text1"/>
                <w:szCs w:val="24"/>
                <w:lang w:val="it-IT"/>
              </w:rPr>
            </w:pPr>
            <w:r>
              <w:rPr>
                <w:rFonts w:cs="Times New Roman"/>
                <w:color w:val="000000"/>
                <w:szCs w:val="24"/>
              </w:rPr>
              <w:t>Injection:</w:t>
            </w:r>
            <w:r w:rsidRPr="00826E69">
              <w:rPr>
                <w:rFonts w:cs="Times New Roman"/>
                <w:color w:val="000000"/>
                <w:szCs w:val="24"/>
              </w:rPr>
              <w:t xml:space="preserve"> 25mg/</w:t>
            </w:r>
            <w:r>
              <w:rPr>
                <w:rFonts w:cs="Times New Roman"/>
                <w:color w:val="000000"/>
                <w:szCs w:val="24"/>
              </w:rPr>
              <w:t>ml</w:t>
            </w:r>
          </w:p>
        </w:tc>
      </w:tr>
      <w:tr w:rsidR="0053763D" w:rsidRPr="00F10C37" w14:paraId="03460DE0" w14:textId="77777777" w:rsidTr="00C46407">
        <w:trPr>
          <w:jc w:val="center"/>
        </w:trPr>
        <w:tc>
          <w:tcPr>
            <w:tcW w:w="2875" w:type="dxa"/>
          </w:tcPr>
          <w:p w14:paraId="59131F42" w14:textId="77777777" w:rsidR="0053763D" w:rsidRPr="00517738" w:rsidRDefault="0053763D" w:rsidP="00C46407">
            <w:pPr>
              <w:jc w:val="both"/>
              <w:rPr>
                <w:rFonts w:cs="Times New Roman"/>
                <w:color w:val="000000" w:themeColor="text1"/>
                <w:szCs w:val="24"/>
              </w:rPr>
            </w:pPr>
            <w:r w:rsidRPr="00517738">
              <w:rPr>
                <w:rFonts w:cs="Times New Roman"/>
                <w:color w:val="000000" w:themeColor="text1"/>
                <w:szCs w:val="24"/>
              </w:rPr>
              <w:t>Indications</w:t>
            </w:r>
          </w:p>
        </w:tc>
        <w:tc>
          <w:tcPr>
            <w:tcW w:w="6439" w:type="dxa"/>
          </w:tcPr>
          <w:p w14:paraId="4DA30D67"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w:t>
            </w:r>
            <w:r>
              <w:rPr>
                <w:rFonts w:cs="Times New Roman"/>
                <w:color w:val="000000" w:themeColor="text1"/>
                <w:szCs w:val="24"/>
              </w:rPr>
              <w:t>rophylaxsis and treatment</w:t>
            </w:r>
            <w:r w:rsidRPr="00F10C37">
              <w:rPr>
                <w:rFonts w:cs="Times New Roman"/>
                <w:color w:val="000000" w:themeColor="text1"/>
                <w:szCs w:val="24"/>
              </w:rPr>
              <w:t xml:space="preserve"> of severe nausea and vomiting. </w:t>
            </w:r>
          </w:p>
        </w:tc>
      </w:tr>
      <w:tr w:rsidR="0053763D" w:rsidRPr="00F10C37" w14:paraId="17799313" w14:textId="77777777" w:rsidTr="00C46407">
        <w:trPr>
          <w:jc w:val="center"/>
        </w:trPr>
        <w:tc>
          <w:tcPr>
            <w:tcW w:w="2875" w:type="dxa"/>
          </w:tcPr>
          <w:p w14:paraId="318EFB9B"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555729C0" w14:textId="77777777" w:rsidR="0053763D" w:rsidRPr="00F10C37" w:rsidRDefault="0053763D" w:rsidP="00C46407">
            <w:pPr>
              <w:pStyle w:val="BodyText"/>
              <w:spacing w:line="360" w:lineRule="auto"/>
              <w:rPr>
                <w:color w:val="000000" w:themeColor="text1"/>
              </w:rPr>
            </w:pPr>
            <w:r w:rsidRPr="00F10C37">
              <w:rPr>
                <w:b/>
                <w:color w:val="000000" w:themeColor="text1"/>
              </w:rPr>
              <w:t xml:space="preserve">Adult: </w:t>
            </w:r>
            <w:r>
              <w:rPr>
                <w:color w:val="000000" w:themeColor="text1"/>
              </w:rPr>
              <w:t>o</w:t>
            </w:r>
            <w:r w:rsidRPr="00F10C37">
              <w:rPr>
                <w:color w:val="000000" w:themeColor="text1"/>
              </w:rPr>
              <w:t>ral, 12.5-25 mg every 4-6 hours, as necessary; Slow, deep I.M</w:t>
            </w:r>
            <w:r w:rsidRPr="00F10C37">
              <w:rPr>
                <w:b/>
                <w:color w:val="000000" w:themeColor="text1"/>
              </w:rPr>
              <w:t>,</w:t>
            </w:r>
            <w:r w:rsidRPr="00F10C37">
              <w:rPr>
                <w:color w:val="000000" w:themeColor="text1"/>
              </w:rPr>
              <w:t xml:space="preserve"> 25 mg as a single dose, the dosage being increased to 25-50 mg every 3-4 hours until vomiting stops; it is then given orally if necessary.</w:t>
            </w:r>
          </w:p>
          <w:p w14:paraId="0BE97D53" w14:textId="77777777" w:rsidR="0053763D" w:rsidRPr="00F10C37" w:rsidRDefault="0053763D" w:rsidP="00C46407">
            <w:pPr>
              <w:pStyle w:val="BodyText"/>
              <w:spacing w:line="360" w:lineRule="auto"/>
              <w:rPr>
                <w:color w:val="000000" w:themeColor="text1"/>
              </w:rPr>
            </w:pPr>
            <w:r w:rsidRPr="00F10C37">
              <w:rPr>
                <w:b/>
                <w:color w:val="000000" w:themeColor="text1"/>
              </w:rPr>
              <w:t>Child ≥ 6 months:</w:t>
            </w:r>
            <w:r w:rsidRPr="00F10C37">
              <w:rPr>
                <w:color w:val="000000" w:themeColor="text1"/>
              </w:rPr>
              <w:t xml:space="preserve"> </w:t>
            </w:r>
            <w:r>
              <w:rPr>
                <w:color w:val="000000" w:themeColor="text1"/>
              </w:rPr>
              <w:t>o</w:t>
            </w:r>
            <w:r w:rsidRPr="00F10C37">
              <w:rPr>
                <w:color w:val="000000" w:themeColor="text1"/>
              </w:rPr>
              <w:t xml:space="preserve">ral or slow, deep IM, 0.55mg/kg every 6-8 hour as necessary.  </w:t>
            </w:r>
          </w:p>
        </w:tc>
      </w:tr>
      <w:tr w:rsidR="0053763D" w:rsidRPr="00F10C37" w14:paraId="51C0B42F" w14:textId="77777777" w:rsidTr="00C46407">
        <w:trPr>
          <w:jc w:val="center"/>
        </w:trPr>
        <w:tc>
          <w:tcPr>
            <w:tcW w:w="2875" w:type="dxa"/>
          </w:tcPr>
          <w:p w14:paraId="2E0C030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39" w:type="dxa"/>
          </w:tcPr>
          <w:p w14:paraId="1DDD66E2"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Severe cardiovascular disease, severe </w:t>
            </w:r>
            <w:r>
              <w:rPr>
                <w:rFonts w:cs="Times New Roman"/>
                <w:color w:val="000000" w:themeColor="text1"/>
                <w:szCs w:val="24"/>
              </w:rPr>
              <w:t>d</w:t>
            </w:r>
            <w:r w:rsidRPr="00F10C37">
              <w:rPr>
                <w:rFonts w:cs="Times New Roman"/>
                <w:color w:val="000000" w:themeColor="text1"/>
                <w:szCs w:val="24"/>
              </w:rPr>
              <w:t>epression, and comatose state.</w:t>
            </w:r>
          </w:p>
        </w:tc>
      </w:tr>
      <w:tr w:rsidR="0053763D" w:rsidRPr="00F10C37" w14:paraId="6D922140" w14:textId="77777777" w:rsidTr="00C46407">
        <w:trPr>
          <w:jc w:val="center"/>
        </w:trPr>
        <w:tc>
          <w:tcPr>
            <w:tcW w:w="2875" w:type="dxa"/>
          </w:tcPr>
          <w:p w14:paraId="68CD3ED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39" w:type="dxa"/>
          </w:tcPr>
          <w:p w14:paraId="24F1DC0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Alcohol, CNS depressants, TCAs, antithyroid agents, epinephrine, extra pyramidal reaction causing medications, hypotension producing medications, levodopa, lithium, </w:t>
            </w:r>
            <w:r w:rsidRPr="00F10C37">
              <w:rPr>
                <w:rFonts w:cs="Times New Roman"/>
                <w:color w:val="000000" w:themeColor="text1"/>
                <w:szCs w:val="24"/>
              </w:rPr>
              <w:lastRenderedPageBreak/>
              <w:t>amphetamines, anticonvulsants, barbiturates.</w:t>
            </w:r>
          </w:p>
        </w:tc>
      </w:tr>
      <w:tr w:rsidR="0053763D" w:rsidRPr="00F10C37" w14:paraId="387F07EB" w14:textId="77777777" w:rsidTr="00C46407">
        <w:trPr>
          <w:jc w:val="center"/>
        </w:trPr>
        <w:tc>
          <w:tcPr>
            <w:tcW w:w="2875" w:type="dxa"/>
          </w:tcPr>
          <w:p w14:paraId="1A127D0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Side effects</w:t>
            </w:r>
          </w:p>
        </w:tc>
        <w:tc>
          <w:tcPr>
            <w:tcW w:w="6439" w:type="dxa"/>
          </w:tcPr>
          <w:p w14:paraId="5252407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Akathisia, blurred vision, muscle spasms of the face, neck, and back</w:t>
            </w:r>
            <w:r>
              <w:rPr>
                <w:rFonts w:cs="Times New Roman"/>
                <w:color w:val="000000" w:themeColor="text1"/>
                <w:szCs w:val="24"/>
              </w:rPr>
              <w:t>,</w:t>
            </w:r>
            <w:r w:rsidRPr="00F10C37">
              <w:rPr>
                <w:rFonts w:cs="Times New Roman"/>
                <w:color w:val="000000" w:themeColor="text1"/>
                <w:szCs w:val="24"/>
              </w:rPr>
              <w:t xml:space="preserve"> tic-like or twitching movements</w:t>
            </w:r>
            <w:r>
              <w:rPr>
                <w:rFonts w:cs="Times New Roman"/>
                <w:color w:val="000000" w:themeColor="text1"/>
                <w:szCs w:val="24"/>
              </w:rPr>
              <w:t>,</w:t>
            </w:r>
            <w:r w:rsidRPr="00F10C37">
              <w:rPr>
                <w:rFonts w:cs="Times New Roman"/>
                <w:color w:val="000000" w:themeColor="text1"/>
                <w:szCs w:val="24"/>
              </w:rPr>
              <w:t xml:space="preserve"> twisting movements of the body; inability to move eyes; weakness of arms and legs, parkinsonian extrapyramidal effects, hypotension (fainting), pigmentary retinopathy</w:t>
            </w:r>
            <w:r>
              <w:rPr>
                <w:rFonts w:cs="Times New Roman"/>
                <w:color w:val="000000" w:themeColor="text1"/>
                <w:szCs w:val="24"/>
              </w:rPr>
              <w:t>,</w:t>
            </w:r>
            <w:r w:rsidRPr="00F10C37">
              <w:rPr>
                <w:rFonts w:cs="Times New Roman"/>
                <w:color w:val="000000" w:themeColor="text1"/>
                <w:szCs w:val="24"/>
              </w:rPr>
              <w:t xml:space="preserve"> tardive dyskinesia (lip smacking)</w:t>
            </w:r>
            <w:r>
              <w:rPr>
                <w:rFonts w:cs="Times New Roman"/>
                <w:color w:val="000000" w:themeColor="text1"/>
                <w:szCs w:val="24"/>
              </w:rPr>
              <w:t>,</w:t>
            </w:r>
            <w:r w:rsidRPr="00F10C37">
              <w:rPr>
                <w:rFonts w:cs="Times New Roman"/>
                <w:color w:val="000000" w:themeColor="text1"/>
                <w:szCs w:val="24"/>
              </w:rPr>
              <w:t xml:space="preserve"> putting of cheeks, rapid or worm-like movements of tongue</w:t>
            </w:r>
            <w:r>
              <w:rPr>
                <w:rFonts w:cs="Times New Roman"/>
                <w:color w:val="000000" w:themeColor="text1"/>
                <w:szCs w:val="24"/>
              </w:rPr>
              <w:t>,</w:t>
            </w:r>
            <w:r w:rsidRPr="00F10C37">
              <w:rPr>
                <w:rFonts w:cs="Times New Roman"/>
                <w:color w:val="000000" w:themeColor="text1"/>
                <w:szCs w:val="24"/>
              </w:rPr>
              <w:t xml:space="preserve"> uncontrolled chewing movements</w:t>
            </w:r>
            <w:r>
              <w:rPr>
                <w:rFonts w:cs="Times New Roman"/>
                <w:color w:val="000000" w:themeColor="text1"/>
                <w:szCs w:val="24"/>
              </w:rPr>
              <w:t>,</w:t>
            </w:r>
            <w:r w:rsidRPr="00F10C37">
              <w:rPr>
                <w:rFonts w:cs="Times New Roman"/>
                <w:color w:val="000000" w:themeColor="text1"/>
                <w:szCs w:val="24"/>
              </w:rPr>
              <w:t xml:space="preserve"> uncontrolled movements of arms and legs)</w:t>
            </w:r>
            <w:r>
              <w:rPr>
                <w:rFonts w:cs="Times New Roman"/>
                <w:color w:val="000000" w:themeColor="text1"/>
                <w:szCs w:val="24"/>
              </w:rPr>
              <w:t>,</w:t>
            </w:r>
            <w:r w:rsidRPr="00F10C37">
              <w:rPr>
                <w:rFonts w:cs="Times New Roman"/>
                <w:color w:val="000000" w:themeColor="text1"/>
                <w:szCs w:val="24"/>
              </w:rPr>
              <w:t xml:space="preserve"> amenorrhea and galactorrhoea (female), gynecomastia and impotence (in male), hypothermia</w:t>
            </w:r>
            <w:r>
              <w:rPr>
                <w:rFonts w:cs="Times New Roman"/>
                <w:color w:val="000000" w:themeColor="text1"/>
                <w:szCs w:val="24"/>
              </w:rPr>
              <w:t>,</w:t>
            </w:r>
            <w:r w:rsidRPr="00F10C37">
              <w:rPr>
                <w:rFonts w:cs="Times New Roman"/>
                <w:color w:val="000000" w:themeColor="text1"/>
                <w:szCs w:val="24"/>
              </w:rPr>
              <w:t xml:space="preserve"> dry mouth</w:t>
            </w:r>
            <w:r>
              <w:rPr>
                <w:rFonts w:cs="Times New Roman"/>
                <w:color w:val="000000" w:themeColor="text1"/>
                <w:szCs w:val="24"/>
              </w:rPr>
              <w:t>,</w:t>
            </w:r>
            <w:r w:rsidRPr="00F10C37">
              <w:rPr>
                <w:rFonts w:cs="Times New Roman"/>
                <w:color w:val="000000" w:themeColor="text1"/>
                <w:szCs w:val="24"/>
              </w:rPr>
              <w:t xml:space="preserve"> tachycardia, urinary retention</w:t>
            </w:r>
            <w:r>
              <w:rPr>
                <w:rFonts w:cs="Times New Roman"/>
                <w:color w:val="000000" w:themeColor="text1"/>
                <w:szCs w:val="24"/>
              </w:rPr>
              <w:t>,</w:t>
            </w:r>
            <w:r w:rsidRPr="00F10C37">
              <w:rPr>
                <w:rFonts w:cs="Times New Roman"/>
                <w:color w:val="000000" w:themeColor="text1"/>
                <w:szCs w:val="24"/>
              </w:rPr>
              <w:t xml:space="preserve"> increased appetite and weight gain, cholestatic jaundice, corneal opacity.</w:t>
            </w:r>
          </w:p>
        </w:tc>
      </w:tr>
      <w:tr w:rsidR="0053763D" w:rsidRPr="00F10C37" w14:paraId="08A6756C" w14:textId="77777777" w:rsidTr="00C46407">
        <w:trPr>
          <w:jc w:val="center"/>
        </w:trPr>
        <w:tc>
          <w:tcPr>
            <w:tcW w:w="2875" w:type="dxa"/>
          </w:tcPr>
          <w:p w14:paraId="7C5F862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77AB7B4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Cardiovascular and cerebrovascular disease, respiratory disease, parkinsonism, epilepsy, acute infection, pregnancy, breast-feeding, renal and hepatic impairment, history of jaundice, leucopenia, hypothyroidism, myasthenia gravis, prostatic hypertrophy, closed-angle glaucoma, elderly particularly in very hot or cold weather</w:t>
            </w:r>
            <w:r>
              <w:rPr>
                <w:rFonts w:cs="Times New Roman"/>
                <w:color w:val="000000" w:themeColor="text1"/>
                <w:szCs w:val="24"/>
              </w:rPr>
              <w:t>,</w:t>
            </w:r>
            <w:r w:rsidRPr="00F10C37">
              <w:rPr>
                <w:rFonts w:cs="Times New Roman"/>
                <w:color w:val="000000" w:themeColor="text1"/>
                <w:szCs w:val="24"/>
              </w:rPr>
              <w:t xml:space="preserve"> a</w:t>
            </w:r>
            <w:r w:rsidRPr="00F10C37">
              <w:rPr>
                <w:rFonts w:cs="Times New Roman"/>
                <w:iCs/>
                <w:color w:val="000000" w:themeColor="text1"/>
                <w:szCs w:val="24"/>
              </w:rPr>
              <w:t>void abrupt withdrawal.</w:t>
            </w:r>
          </w:p>
        </w:tc>
      </w:tr>
      <w:tr w:rsidR="0053763D" w:rsidRPr="00F10C37" w14:paraId="6420CE8B" w14:textId="77777777" w:rsidTr="00C46407">
        <w:trPr>
          <w:jc w:val="center"/>
        </w:trPr>
        <w:tc>
          <w:tcPr>
            <w:tcW w:w="2875" w:type="dxa"/>
          </w:tcPr>
          <w:p w14:paraId="74F35D1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37481A2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w:t>
            </w:r>
            <w:r w:rsidRPr="00F10C37">
              <w:rPr>
                <w:rFonts w:cs="Times New Roman"/>
                <w:color w:val="000000" w:themeColor="text1"/>
                <w:szCs w:val="24"/>
                <w:vertAlign w:val="superscript"/>
              </w:rPr>
              <w:t xml:space="preserve"> </w:t>
            </w:r>
            <w:r w:rsidRPr="00F10C37">
              <w:rPr>
                <w:rFonts w:cs="Times New Roman"/>
                <w:color w:val="000000" w:themeColor="text1"/>
                <w:szCs w:val="24"/>
              </w:rPr>
              <w:t xml:space="preserve">°C. Protect from light. </w:t>
            </w:r>
          </w:p>
        </w:tc>
      </w:tr>
      <w:tr w:rsidR="0053763D" w:rsidRPr="00F10C37" w14:paraId="7F29BB97" w14:textId="77777777" w:rsidTr="00C46407">
        <w:tblPrEx>
          <w:jc w:val="left"/>
        </w:tblPrEx>
        <w:tc>
          <w:tcPr>
            <w:tcW w:w="9314" w:type="dxa"/>
            <w:gridSpan w:val="2"/>
          </w:tcPr>
          <w:p w14:paraId="59A08C0D" w14:textId="77777777" w:rsidR="0053763D" w:rsidRPr="00491AFD" w:rsidRDefault="0053763D" w:rsidP="00491AFD">
            <w:pPr>
              <w:rPr>
                <w:b/>
              </w:rPr>
            </w:pPr>
            <w:r w:rsidRPr="00491AFD">
              <w:rPr>
                <w:b/>
                <w:lang w:val="sv-SE"/>
              </w:rPr>
              <w:t xml:space="preserve">Dexamethasone </w:t>
            </w:r>
          </w:p>
        </w:tc>
      </w:tr>
      <w:tr w:rsidR="0053763D" w:rsidRPr="00F10C37" w14:paraId="521599FD" w14:textId="77777777" w:rsidTr="00C46407">
        <w:tblPrEx>
          <w:jc w:val="left"/>
        </w:tblPrEx>
        <w:tc>
          <w:tcPr>
            <w:tcW w:w="2875" w:type="dxa"/>
          </w:tcPr>
          <w:p w14:paraId="7F0E8D2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6C49462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Corticosteroid</w:t>
            </w:r>
          </w:p>
        </w:tc>
      </w:tr>
      <w:tr w:rsidR="0053763D" w:rsidRPr="00F10C37" w14:paraId="52D2DFA2" w14:textId="77777777" w:rsidTr="00C46407">
        <w:tblPrEx>
          <w:jc w:val="left"/>
        </w:tblPrEx>
        <w:tc>
          <w:tcPr>
            <w:tcW w:w="2875" w:type="dxa"/>
          </w:tcPr>
          <w:p w14:paraId="21C16BE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14566E51" w14:textId="77777777" w:rsidR="0053763D" w:rsidRPr="00F10C37" w:rsidRDefault="0053763D" w:rsidP="00C46407">
            <w:pPr>
              <w:jc w:val="both"/>
              <w:rPr>
                <w:rFonts w:cs="Times New Roman"/>
                <w:i/>
                <w:color w:val="000000" w:themeColor="text1"/>
                <w:szCs w:val="24"/>
              </w:rPr>
            </w:pPr>
            <w:r w:rsidRPr="00F10C37">
              <w:rPr>
                <w:rFonts w:cs="Times New Roman"/>
                <w:color w:val="000000" w:themeColor="text1"/>
                <w:szCs w:val="24"/>
                <w:lang w:val="sv-SE"/>
              </w:rPr>
              <w:t>Injection: 4mg/</w:t>
            </w:r>
            <w:r>
              <w:rPr>
                <w:rFonts w:cs="Times New Roman"/>
                <w:color w:val="000000" w:themeColor="text1"/>
                <w:szCs w:val="24"/>
                <w:lang w:val="sv-SE"/>
              </w:rPr>
              <w:t>ml</w:t>
            </w:r>
            <w:r w:rsidRPr="00F10C37">
              <w:rPr>
                <w:rFonts w:cs="Times New Roman"/>
                <w:color w:val="000000" w:themeColor="text1"/>
                <w:szCs w:val="24"/>
                <w:lang w:val="sv-SE"/>
              </w:rPr>
              <w:t xml:space="preserve"> </w:t>
            </w:r>
          </w:p>
        </w:tc>
      </w:tr>
      <w:tr w:rsidR="0053763D" w:rsidRPr="00F10C37" w14:paraId="134B06E2" w14:textId="77777777" w:rsidTr="00C46407">
        <w:tblPrEx>
          <w:jc w:val="left"/>
        </w:tblPrEx>
        <w:tc>
          <w:tcPr>
            <w:tcW w:w="2875" w:type="dxa"/>
          </w:tcPr>
          <w:p w14:paraId="7EDA2B41" w14:textId="77777777" w:rsidR="0053763D" w:rsidRPr="00677077" w:rsidRDefault="0053763D" w:rsidP="00C46407">
            <w:pPr>
              <w:jc w:val="both"/>
              <w:rPr>
                <w:rFonts w:cs="Times New Roman"/>
                <w:color w:val="000000" w:themeColor="text1"/>
                <w:szCs w:val="24"/>
              </w:rPr>
            </w:pPr>
            <w:r w:rsidRPr="00677077">
              <w:rPr>
                <w:rFonts w:cs="Times New Roman"/>
                <w:color w:val="000000" w:themeColor="text1"/>
                <w:szCs w:val="24"/>
              </w:rPr>
              <w:t>Indications</w:t>
            </w:r>
          </w:p>
        </w:tc>
        <w:tc>
          <w:tcPr>
            <w:tcW w:w="6439" w:type="dxa"/>
          </w:tcPr>
          <w:p w14:paraId="12BA61EA" w14:textId="77777777" w:rsidR="0053763D" w:rsidRPr="00F10C37" w:rsidRDefault="0053763D" w:rsidP="00C46407">
            <w:pPr>
              <w:pStyle w:val="BodyText"/>
              <w:spacing w:line="360" w:lineRule="auto"/>
              <w:rPr>
                <w:color w:val="000000" w:themeColor="text1"/>
              </w:rPr>
            </w:pPr>
            <w:r w:rsidRPr="00F10C37">
              <w:rPr>
                <w:rFonts w:eastAsiaTheme="minorHAnsi"/>
                <w:color w:val="000000" w:themeColor="text1"/>
              </w:rPr>
              <w:t>Prophylaxis and treatment of nausea and vomiting induced by cyto</w:t>
            </w:r>
            <w:r>
              <w:rPr>
                <w:rFonts w:eastAsiaTheme="minorHAnsi"/>
                <w:color w:val="000000" w:themeColor="text1"/>
              </w:rPr>
              <w:t>toxic</w:t>
            </w:r>
            <w:r w:rsidRPr="00F10C37">
              <w:rPr>
                <w:rFonts w:eastAsiaTheme="minorHAnsi"/>
                <w:color w:val="000000" w:themeColor="text1"/>
              </w:rPr>
              <w:t xml:space="preserve"> chemotherapy and postoperative vomiting. </w:t>
            </w:r>
          </w:p>
        </w:tc>
      </w:tr>
      <w:tr w:rsidR="0053763D" w:rsidRPr="00F10C37" w14:paraId="78E5FB7F" w14:textId="77777777" w:rsidTr="00C46407">
        <w:tblPrEx>
          <w:jc w:val="left"/>
        </w:tblPrEx>
        <w:tc>
          <w:tcPr>
            <w:tcW w:w="2875" w:type="dxa"/>
          </w:tcPr>
          <w:p w14:paraId="4053BA68"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67230B5C"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8–20 mg IV before starting chemotherapy, then 4–8 mg one to two times daily for 2–3 days as necessary (moderately emetogenic chemotherapy), or up to 3-4 days (highly emetogenic chemotherapy).</w:t>
            </w:r>
          </w:p>
          <w:p w14:paraId="4677B19F"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 years</w:t>
            </w:r>
            <w:r w:rsidRPr="00F10C37">
              <w:rPr>
                <w:rFonts w:cs="Times New Roman"/>
                <w:color w:val="000000" w:themeColor="text1"/>
                <w:szCs w:val="24"/>
              </w:rPr>
              <w:t xml:space="preserve">: 6 mg/dose IV once a day for up to 10 days. </w:t>
            </w:r>
          </w:p>
        </w:tc>
      </w:tr>
      <w:tr w:rsidR="0053763D" w:rsidRPr="00F10C37" w14:paraId="4AFAF2C8" w14:textId="77777777" w:rsidTr="00C46407">
        <w:tblPrEx>
          <w:jc w:val="left"/>
        </w:tblPrEx>
        <w:tc>
          <w:tcPr>
            <w:tcW w:w="2875" w:type="dxa"/>
          </w:tcPr>
          <w:p w14:paraId="29EE3611" w14:textId="77777777" w:rsidR="0053763D" w:rsidRPr="00F10C37" w:rsidRDefault="0053763D" w:rsidP="00C46407">
            <w:pPr>
              <w:jc w:val="both"/>
              <w:rPr>
                <w:rFonts w:cs="Times New Roman"/>
                <w:color w:val="000000" w:themeColor="text1"/>
                <w:szCs w:val="24"/>
              </w:rPr>
            </w:pPr>
            <w:r w:rsidRPr="00C83FC7">
              <w:rPr>
                <w:rFonts w:cs="Times New Roman"/>
                <w:color w:val="000000" w:themeColor="text1"/>
                <w:szCs w:val="24"/>
              </w:rPr>
              <w:t>Contraindications</w:t>
            </w:r>
          </w:p>
        </w:tc>
        <w:tc>
          <w:tcPr>
            <w:tcW w:w="6439" w:type="dxa"/>
          </w:tcPr>
          <w:p w14:paraId="329CF8A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systemic fungal infection</w:t>
            </w:r>
            <w:r>
              <w:rPr>
                <w:rFonts w:cs="Times New Roman"/>
                <w:color w:val="000000" w:themeColor="text1"/>
                <w:szCs w:val="24"/>
              </w:rPr>
              <w:t>,</w:t>
            </w:r>
            <w:r w:rsidRPr="00F10C37">
              <w:rPr>
                <w:rFonts w:cs="Times New Roman"/>
                <w:color w:val="000000" w:themeColor="text1"/>
                <w:szCs w:val="24"/>
              </w:rPr>
              <w:t xml:space="preserve"> administration of live virus vaccines.</w:t>
            </w:r>
          </w:p>
        </w:tc>
      </w:tr>
      <w:tr w:rsidR="0053763D" w:rsidRPr="00F10C37" w14:paraId="122251E1" w14:textId="77777777" w:rsidTr="00C46407">
        <w:tblPrEx>
          <w:jc w:val="left"/>
        </w:tblPrEx>
        <w:tc>
          <w:tcPr>
            <w:tcW w:w="2875" w:type="dxa"/>
          </w:tcPr>
          <w:p w14:paraId="1840C8A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439" w:type="dxa"/>
          </w:tcPr>
          <w:p w14:paraId="085DD0D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Acetylsalicylic acid, albendazole, amphotericin B, carbamazepine, oral contraceptives, digoxin, enalapril, erythromycin, furosemide, hydrochlorothiazide, ibuprofen, insulin, lopinavir, metformin, methotrexate, phenobarbital, phenytoin, praziquantel, propranolol, rifampicin, ritonavir, salbutamol.</w:t>
            </w:r>
          </w:p>
        </w:tc>
      </w:tr>
      <w:tr w:rsidR="0053763D" w:rsidRPr="00F10C37" w14:paraId="09C0116D" w14:textId="77777777" w:rsidTr="00C46407">
        <w:tblPrEx>
          <w:jc w:val="left"/>
        </w:tblPrEx>
        <w:tc>
          <w:tcPr>
            <w:tcW w:w="2875" w:type="dxa"/>
          </w:tcPr>
          <w:p w14:paraId="49ABE2E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622D952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Nausea, increased susceptibility to infection, masking of signs of infection, sodium and water retention, oedema, hypertension, hypokalaemia, hyperglycaemia, increased appetite, dyspepsia, delayed wound healing, bruising, acne, psychiatric effects (euphoria, hypomania, depression, disturbances of mood, cognition, sleep and behaviour</w:t>
            </w:r>
            <w:r w:rsidR="000648B2" w:rsidRPr="00F10C37">
              <w:rPr>
                <w:rFonts w:cs="Times New Roman"/>
                <w:color w:val="000000" w:themeColor="text1"/>
                <w:szCs w:val="24"/>
              </w:rPr>
              <w:t>), transient</w:t>
            </w:r>
            <w:r w:rsidRPr="00F10C37">
              <w:rPr>
                <w:rFonts w:cs="Times New Roman"/>
                <w:color w:val="000000" w:themeColor="text1"/>
                <w:szCs w:val="24"/>
              </w:rPr>
              <w:t xml:space="preserve"> itching, burning or tingling in perineal area (after IV bolus).</w:t>
            </w:r>
          </w:p>
        </w:tc>
      </w:tr>
      <w:tr w:rsidR="0053763D" w:rsidRPr="00F10C37" w14:paraId="21BCE38C" w14:textId="77777777" w:rsidTr="00C46407">
        <w:tblPrEx>
          <w:jc w:val="left"/>
        </w:tblPrEx>
        <w:tc>
          <w:tcPr>
            <w:tcW w:w="2875" w:type="dxa"/>
          </w:tcPr>
          <w:p w14:paraId="286939A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67D6425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Systemic infections such as TB, amoebiasis, strongyloidiasis, severe chickenpox, measles</w:t>
            </w:r>
            <w:r w:rsidR="00491AFD">
              <w:rPr>
                <w:rFonts w:cs="Times New Roman"/>
                <w:color w:val="000000" w:themeColor="text1"/>
                <w:szCs w:val="24"/>
              </w:rPr>
              <w:t xml:space="preserve">, </w:t>
            </w:r>
            <w:r w:rsidRPr="00F10C37">
              <w:rPr>
                <w:rFonts w:cs="Times New Roman"/>
                <w:color w:val="000000" w:themeColor="text1"/>
                <w:szCs w:val="24"/>
              </w:rPr>
              <w:t>diabetes mellitus</w:t>
            </w:r>
            <w:r w:rsidR="00491AFD">
              <w:rPr>
                <w:rFonts w:cs="Times New Roman"/>
                <w:color w:val="000000" w:themeColor="text1"/>
                <w:szCs w:val="24"/>
              </w:rPr>
              <w:t>,</w:t>
            </w:r>
            <w:r w:rsidRPr="00F10C37">
              <w:rPr>
                <w:rFonts w:cs="Times New Roman"/>
                <w:color w:val="000000" w:themeColor="text1"/>
                <w:szCs w:val="24"/>
              </w:rPr>
              <w:t xml:space="preserve"> peptic ulcer</w:t>
            </w:r>
            <w:r w:rsidR="00491AFD">
              <w:rPr>
                <w:rFonts w:cs="Times New Roman"/>
                <w:color w:val="000000" w:themeColor="text1"/>
                <w:szCs w:val="24"/>
              </w:rPr>
              <w:t>,</w:t>
            </w:r>
            <w:r w:rsidRPr="00F10C37">
              <w:rPr>
                <w:rFonts w:cs="Times New Roman"/>
                <w:color w:val="000000" w:themeColor="text1"/>
                <w:szCs w:val="24"/>
              </w:rPr>
              <w:t xml:space="preserve"> hypertension</w:t>
            </w:r>
            <w:r w:rsidR="00491AFD">
              <w:rPr>
                <w:rFonts w:cs="Times New Roman"/>
                <w:color w:val="000000" w:themeColor="text1"/>
                <w:szCs w:val="24"/>
              </w:rPr>
              <w:t xml:space="preserve">, </w:t>
            </w:r>
            <w:r w:rsidRPr="00F10C37">
              <w:rPr>
                <w:rFonts w:cs="Times New Roman"/>
                <w:color w:val="000000" w:themeColor="text1"/>
                <w:szCs w:val="24"/>
              </w:rPr>
              <w:t>corneal perforation</w:t>
            </w:r>
            <w:r w:rsidR="00491AFD">
              <w:rPr>
                <w:rFonts w:cs="Times New Roman"/>
                <w:color w:val="000000" w:themeColor="text1"/>
                <w:szCs w:val="24"/>
              </w:rPr>
              <w:t>,</w:t>
            </w:r>
            <w:r w:rsidRPr="00F10C37">
              <w:rPr>
                <w:rFonts w:cs="Times New Roman"/>
                <w:color w:val="000000" w:themeColor="text1"/>
                <w:szCs w:val="24"/>
              </w:rPr>
              <w:t xml:space="preserve"> osteoporosis</w:t>
            </w:r>
            <w:r w:rsidR="00491AFD">
              <w:rPr>
                <w:rFonts w:cs="Times New Roman"/>
                <w:color w:val="000000" w:themeColor="text1"/>
                <w:szCs w:val="24"/>
              </w:rPr>
              <w:t>,</w:t>
            </w:r>
            <w:r w:rsidRPr="00F10C37">
              <w:rPr>
                <w:rFonts w:cs="Times New Roman"/>
                <w:color w:val="000000" w:themeColor="text1"/>
                <w:szCs w:val="24"/>
              </w:rPr>
              <w:t xml:space="preserve"> myasthenia gravis. </w:t>
            </w:r>
          </w:p>
        </w:tc>
      </w:tr>
      <w:tr w:rsidR="0053763D" w:rsidRPr="00F10C37" w14:paraId="318F841B" w14:textId="77777777" w:rsidTr="00C46407">
        <w:tblPrEx>
          <w:jc w:val="left"/>
        </w:tblPrEx>
        <w:tc>
          <w:tcPr>
            <w:tcW w:w="2875" w:type="dxa"/>
          </w:tcPr>
          <w:p w14:paraId="66722BB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45037AE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49B1E646" w14:textId="77777777" w:rsidTr="00C46407">
        <w:trPr>
          <w:jc w:val="center"/>
        </w:trPr>
        <w:tc>
          <w:tcPr>
            <w:tcW w:w="9314" w:type="dxa"/>
            <w:gridSpan w:val="2"/>
          </w:tcPr>
          <w:p w14:paraId="69CBC783" w14:textId="77777777" w:rsidR="0053763D" w:rsidRPr="00491AFD" w:rsidRDefault="0053763D" w:rsidP="00491AFD">
            <w:pPr>
              <w:rPr>
                <w:b/>
              </w:rPr>
            </w:pPr>
            <w:r w:rsidRPr="00491AFD">
              <w:rPr>
                <w:b/>
              </w:rPr>
              <w:t>Dimenhydrinate</w:t>
            </w:r>
          </w:p>
        </w:tc>
      </w:tr>
      <w:tr w:rsidR="0053763D" w:rsidRPr="00F10C37" w14:paraId="580731EC" w14:textId="77777777" w:rsidTr="00C46407">
        <w:trPr>
          <w:jc w:val="center"/>
        </w:trPr>
        <w:tc>
          <w:tcPr>
            <w:tcW w:w="2875" w:type="dxa"/>
          </w:tcPr>
          <w:p w14:paraId="48DBE4A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36E05AC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Antihistamine</w:t>
            </w:r>
          </w:p>
        </w:tc>
      </w:tr>
      <w:tr w:rsidR="0053763D" w:rsidRPr="00F10C37" w14:paraId="6401CAA1" w14:textId="77777777" w:rsidTr="00C46407">
        <w:trPr>
          <w:jc w:val="center"/>
        </w:trPr>
        <w:tc>
          <w:tcPr>
            <w:tcW w:w="2875" w:type="dxa"/>
          </w:tcPr>
          <w:p w14:paraId="27131C5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2332841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Tablet: 50mg</w:t>
            </w:r>
          </w:p>
        </w:tc>
      </w:tr>
      <w:tr w:rsidR="0053763D" w:rsidRPr="00F10C37" w14:paraId="16DDFE70" w14:textId="77777777" w:rsidTr="00C46407">
        <w:trPr>
          <w:jc w:val="center"/>
        </w:trPr>
        <w:tc>
          <w:tcPr>
            <w:tcW w:w="2875" w:type="dxa"/>
          </w:tcPr>
          <w:p w14:paraId="33C77AC0" w14:textId="77777777" w:rsidR="0053763D" w:rsidRPr="003D3E3A" w:rsidRDefault="0053763D" w:rsidP="00C46407">
            <w:pPr>
              <w:jc w:val="both"/>
              <w:rPr>
                <w:rFonts w:cs="Times New Roman"/>
                <w:b/>
                <w:color w:val="000000" w:themeColor="text1"/>
                <w:szCs w:val="24"/>
              </w:rPr>
            </w:pPr>
            <w:r w:rsidRPr="000674E0">
              <w:rPr>
                <w:rFonts w:cs="Times New Roman"/>
                <w:color w:val="000000" w:themeColor="text1"/>
                <w:szCs w:val="24"/>
              </w:rPr>
              <w:t>Indications</w:t>
            </w:r>
          </w:p>
        </w:tc>
        <w:tc>
          <w:tcPr>
            <w:tcW w:w="6439" w:type="dxa"/>
          </w:tcPr>
          <w:p w14:paraId="06BCDFAF" w14:textId="77777777" w:rsidR="0053763D" w:rsidRPr="00F10C37" w:rsidRDefault="0053763D" w:rsidP="00C46407">
            <w:pPr>
              <w:pStyle w:val="BodyText"/>
              <w:spacing w:line="360" w:lineRule="auto"/>
              <w:ind w:right="475"/>
              <w:rPr>
                <w:color w:val="000000" w:themeColor="text1"/>
              </w:rPr>
            </w:pPr>
            <w:r w:rsidRPr="00F10C37">
              <w:rPr>
                <w:color w:val="000000" w:themeColor="text1"/>
              </w:rPr>
              <w:t>Prevention and treatment of nausea, vomiting and/or vertigo associated with motion sickness.</w:t>
            </w:r>
          </w:p>
        </w:tc>
      </w:tr>
      <w:tr w:rsidR="0053763D" w:rsidRPr="00F10C37" w14:paraId="1CDB272C" w14:textId="77777777" w:rsidTr="00C46407">
        <w:trPr>
          <w:jc w:val="center"/>
        </w:trPr>
        <w:tc>
          <w:tcPr>
            <w:tcW w:w="2875" w:type="dxa"/>
          </w:tcPr>
          <w:p w14:paraId="5D76DB90"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33D20B17" w14:textId="77777777" w:rsidR="0053763D" w:rsidRPr="00F10C37" w:rsidRDefault="0053763D" w:rsidP="00C46407">
            <w:pPr>
              <w:pStyle w:val="BodyText"/>
              <w:spacing w:line="360" w:lineRule="auto"/>
              <w:rPr>
                <w:color w:val="000000" w:themeColor="text1"/>
              </w:rPr>
            </w:pPr>
            <w:r w:rsidRPr="00F10C37">
              <w:rPr>
                <w:b/>
                <w:color w:val="000000" w:themeColor="text1"/>
              </w:rPr>
              <w:t xml:space="preserve">Adult: </w:t>
            </w:r>
            <w:r>
              <w:rPr>
                <w:color w:val="000000" w:themeColor="text1"/>
              </w:rPr>
              <w:t>o</w:t>
            </w:r>
            <w:r w:rsidRPr="00F10C37">
              <w:rPr>
                <w:color w:val="000000" w:themeColor="text1"/>
              </w:rPr>
              <w:t xml:space="preserve">ral, 50 to 100 mg every four to six hours. </w:t>
            </w:r>
          </w:p>
          <w:p w14:paraId="1C003ACA" w14:textId="77777777" w:rsidR="0053763D" w:rsidRPr="00F10C37" w:rsidRDefault="0053763D" w:rsidP="00C46407">
            <w:pPr>
              <w:pStyle w:val="BodyText"/>
              <w:spacing w:line="360" w:lineRule="auto"/>
              <w:rPr>
                <w:color w:val="000000" w:themeColor="text1"/>
              </w:rPr>
            </w:pPr>
            <w:r w:rsidRPr="00F10C37">
              <w:rPr>
                <w:b/>
                <w:color w:val="000000" w:themeColor="text1"/>
              </w:rPr>
              <w:t>Child 6-12 years</w:t>
            </w:r>
            <w:r w:rsidRPr="00F10C37">
              <w:rPr>
                <w:color w:val="000000" w:themeColor="text1"/>
              </w:rPr>
              <w:t xml:space="preserve">: </w:t>
            </w:r>
            <w:r>
              <w:rPr>
                <w:color w:val="000000" w:themeColor="text1"/>
              </w:rPr>
              <w:t>o</w:t>
            </w:r>
            <w:r w:rsidRPr="00F10C37">
              <w:rPr>
                <w:color w:val="000000" w:themeColor="text1"/>
              </w:rPr>
              <w:t>ral,</w:t>
            </w:r>
            <w:r w:rsidRPr="00F10C37">
              <w:rPr>
                <w:b/>
                <w:color w:val="000000" w:themeColor="text1"/>
              </w:rPr>
              <w:t xml:space="preserve"> </w:t>
            </w:r>
            <w:r w:rsidRPr="00F10C37">
              <w:rPr>
                <w:color w:val="000000" w:themeColor="text1"/>
              </w:rPr>
              <w:t>25 to 50 mg every six to eight hours as needed, not to exceed 150 mg per day.</w:t>
            </w:r>
          </w:p>
          <w:p w14:paraId="4FDC0B28" w14:textId="77777777" w:rsidR="0053763D" w:rsidRPr="00F10C37" w:rsidRDefault="0053763D" w:rsidP="00C46407">
            <w:pPr>
              <w:pStyle w:val="BodyText"/>
              <w:spacing w:line="360" w:lineRule="auto"/>
              <w:rPr>
                <w:color w:val="000000" w:themeColor="text1"/>
              </w:rPr>
            </w:pPr>
            <w:r w:rsidRPr="00F10C37">
              <w:rPr>
                <w:b/>
                <w:color w:val="000000" w:themeColor="text1"/>
              </w:rPr>
              <w:t xml:space="preserve">Child 2-6 years: </w:t>
            </w:r>
            <w:r w:rsidRPr="00F10C37">
              <w:rPr>
                <w:color w:val="000000" w:themeColor="text1"/>
              </w:rPr>
              <w:t>Oral, 12.5 to 25 mg every six to eight hours as needed, not to exceed 75 mg per day.</w:t>
            </w:r>
          </w:p>
          <w:p w14:paraId="47A4EB14" w14:textId="77777777" w:rsidR="0053763D" w:rsidRPr="00F10C37" w:rsidRDefault="0053763D" w:rsidP="00C46407">
            <w:pPr>
              <w:jc w:val="both"/>
              <w:rPr>
                <w:rFonts w:cs="Times New Roman"/>
                <w:i/>
                <w:color w:val="000000" w:themeColor="text1"/>
                <w:szCs w:val="24"/>
              </w:rPr>
            </w:pPr>
            <w:r w:rsidRPr="00491AFD">
              <w:rPr>
                <w:rFonts w:cs="Times New Roman"/>
                <w:i/>
                <w:color w:val="000000" w:themeColor="text1"/>
                <w:szCs w:val="24"/>
              </w:rPr>
              <w:t>Note:</w:t>
            </w:r>
            <w:r w:rsidRPr="00F10C37">
              <w:rPr>
                <w:rFonts w:cs="Times New Roman"/>
                <w:i/>
                <w:color w:val="000000" w:themeColor="text1"/>
                <w:szCs w:val="24"/>
              </w:rPr>
              <w:t xml:space="preserve"> Oral dosage forms used for motion sickness should be taken 30 minutes before travel.</w:t>
            </w:r>
          </w:p>
        </w:tc>
      </w:tr>
      <w:tr w:rsidR="0053763D" w:rsidRPr="00F10C37" w14:paraId="432C9E4D" w14:textId="77777777" w:rsidTr="00C46407">
        <w:trPr>
          <w:jc w:val="center"/>
        </w:trPr>
        <w:tc>
          <w:tcPr>
            <w:tcW w:w="2875" w:type="dxa"/>
          </w:tcPr>
          <w:p w14:paraId="1E7A92B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39" w:type="dxa"/>
          </w:tcPr>
          <w:p w14:paraId="5F5B0DC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patients with stenosing peptic </w:t>
            </w:r>
            <w:r w:rsidRPr="00F10C37">
              <w:rPr>
                <w:rFonts w:cs="Times New Roman"/>
                <w:color w:val="000000" w:themeColor="text1"/>
                <w:szCs w:val="24"/>
              </w:rPr>
              <w:lastRenderedPageBreak/>
              <w:t>ulcer, and pyloroduodenal obstruction.</w:t>
            </w:r>
          </w:p>
        </w:tc>
      </w:tr>
      <w:tr w:rsidR="0053763D" w:rsidRPr="00F10C37" w14:paraId="1C86CFFA" w14:textId="77777777" w:rsidTr="00C46407">
        <w:trPr>
          <w:jc w:val="center"/>
        </w:trPr>
        <w:tc>
          <w:tcPr>
            <w:tcW w:w="2875" w:type="dxa"/>
          </w:tcPr>
          <w:p w14:paraId="21C1D85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439" w:type="dxa"/>
          </w:tcPr>
          <w:p w14:paraId="2495A92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Alcohol, CNS depressants (tranquillizers, hypnotics and anxiolytics), medicines with anticholinergic effects (TCAs), ototoxic drugs e.g., aminoglycoside.</w:t>
            </w:r>
          </w:p>
        </w:tc>
      </w:tr>
      <w:tr w:rsidR="0053763D" w:rsidRPr="00F10C37" w14:paraId="46D73E7E" w14:textId="77777777" w:rsidTr="00C46407">
        <w:trPr>
          <w:jc w:val="center"/>
        </w:trPr>
        <w:tc>
          <w:tcPr>
            <w:tcW w:w="2875" w:type="dxa"/>
          </w:tcPr>
          <w:p w14:paraId="7AE573F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4F9FF71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Sedation, drowsiness, disturbance in attention, unsteadiness, dizziness, dry mouth, fatigue.</w:t>
            </w:r>
          </w:p>
        </w:tc>
      </w:tr>
      <w:tr w:rsidR="0053763D" w:rsidRPr="00F10C37" w14:paraId="7E34A537" w14:textId="77777777" w:rsidTr="00C46407">
        <w:trPr>
          <w:jc w:val="center"/>
        </w:trPr>
        <w:tc>
          <w:tcPr>
            <w:tcW w:w="2875" w:type="dxa"/>
          </w:tcPr>
          <w:p w14:paraId="4A853B6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7444607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Heavy machinery operation/driving, concomitant use with ototoxic drugs (e.g., aminoglycosides), patients with seizures, angle-closure glaucoma, BPH, asthma, emphysema, and acute hepatic insufficiency; elderly, pregnant and nursing mothers. </w:t>
            </w:r>
          </w:p>
        </w:tc>
      </w:tr>
      <w:tr w:rsidR="0053763D" w:rsidRPr="00F10C37" w14:paraId="100701C6" w14:textId="77777777" w:rsidTr="00C46407">
        <w:trPr>
          <w:jc w:val="center"/>
        </w:trPr>
        <w:tc>
          <w:tcPr>
            <w:tcW w:w="2875" w:type="dxa"/>
          </w:tcPr>
          <w:p w14:paraId="44B32AF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2884F71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4416F09C" w14:textId="77777777" w:rsidTr="00C46407">
        <w:tblPrEx>
          <w:jc w:val="left"/>
        </w:tblPrEx>
        <w:tc>
          <w:tcPr>
            <w:tcW w:w="9314" w:type="dxa"/>
            <w:gridSpan w:val="2"/>
          </w:tcPr>
          <w:p w14:paraId="77DBBE0D" w14:textId="77777777" w:rsidR="0053763D" w:rsidRPr="00491AFD" w:rsidRDefault="0053763D" w:rsidP="00491AFD">
            <w:pPr>
              <w:rPr>
                <w:b/>
              </w:rPr>
            </w:pPr>
            <w:r w:rsidRPr="00491AFD">
              <w:rPr>
                <w:b/>
              </w:rPr>
              <w:t xml:space="preserve">Meclizine Hydrochloride </w:t>
            </w:r>
            <w:r w:rsidRPr="00491AFD">
              <w:rPr>
                <w:b/>
                <w:lang w:val="sv-SE"/>
              </w:rPr>
              <w:t>+ Vitamin B6</w:t>
            </w:r>
          </w:p>
        </w:tc>
      </w:tr>
      <w:tr w:rsidR="0053763D" w:rsidRPr="00F10C37" w14:paraId="765979B8" w14:textId="77777777" w:rsidTr="00C46407">
        <w:tblPrEx>
          <w:jc w:val="left"/>
        </w:tblPrEx>
        <w:tc>
          <w:tcPr>
            <w:tcW w:w="2875" w:type="dxa"/>
          </w:tcPr>
          <w:p w14:paraId="3F195C2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4AF00E18"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Antihistamine PLUS Vitamin B6</w:t>
            </w:r>
          </w:p>
        </w:tc>
      </w:tr>
      <w:tr w:rsidR="0053763D" w:rsidRPr="00F10C37" w14:paraId="4D73963F" w14:textId="77777777" w:rsidTr="00C46407">
        <w:tblPrEx>
          <w:jc w:val="left"/>
        </w:tblPrEx>
        <w:tc>
          <w:tcPr>
            <w:tcW w:w="2875" w:type="dxa"/>
          </w:tcPr>
          <w:p w14:paraId="619F813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3F2D71CD" w14:textId="77777777" w:rsidR="0053763D" w:rsidRPr="00F10C37" w:rsidRDefault="0053763D" w:rsidP="00C46407">
            <w:pPr>
              <w:jc w:val="both"/>
              <w:rPr>
                <w:rFonts w:cs="Times New Roman"/>
                <w:i/>
                <w:color w:val="000000" w:themeColor="text1"/>
                <w:szCs w:val="24"/>
              </w:rPr>
            </w:pPr>
            <w:r w:rsidRPr="00F10C37">
              <w:rPr>
                <w:rFonts w:cs="Times New Roman"/>
                <w:color w:val="000000" w:themeColor="text1"/>
                <w:szCs w:val="24"/>
                <w:lang w:val="sv-SE"/>
              </w:rPr>
              <w:t xml:space="preserve">Tablet: 25mg + 50mg </w:t>
            </w:r>
          </w:p>
        </w:tc>
      </w:tr>
      <w:tr w:rsidR="0053763D" w:rsidRPr="00F10C37" w14:paraId="2DC3EFA1" w14:textId="77777777" w:rsidTr="00C46407">
        <w:tblPrEx>
          <w:jc w:val="left"/>
        </w:tblPrEx>
        <w:tc>
          <w:tcPr>
            <w:tcW w:w="2875" w:type="dxa"/>
          </w:tcPr>
          <w:p w14:paraId="6657C161" w14:textId="77777777" w:rsidR="0053763D" w:rsidRPr="004B16C3" w:rsidRDefault="0053763D" w:rsidP="00C46407">
            <w:pPr>
              <w:jc w:val="both"/>
              <w:rPr>
                <w:rFonts w:cs="Times New Roman"/>
                <w:color w:val="000000" w:themeColor="text1"/>
                <w:szCs w:val="24"/>
              </w:rPr>
            </w:pPr>
            <w:r w:rsidRPr="004B16C3">
              <w:rPr>
                <w:rFonts w:cs="Times New Roman"/>
                <w:color w:val="000000" w:themeColor="text1"/>
                <w:szCs w:val="24"/>
              </w:rPr>
              <w:t>Indications</w:t>
            </w:r>
          </w:p>
        </w:tc>
        <w:tc>
          <w:tcPr>
            <w:tcW w:w="6439" w:type="dxa"/>
          </w:tcPr>
          <w:p w14:paraId="4FA2A5EA" w14:textId="77777777" w:rsidR="0053763D" w:rsidRPr="00F10C37" w:rsidRDefault="0053763D" w:rsidP="00C46407">
            <w:pPr>
              <w:pStyle w:val="BodyText"/>
              <w:spacing w:line="360" w:lineRule="auto"/>
              <w:ind w:right="475"/>
              <w:rPr>
                <w:color w:val="000000" w:themeColor="text1"/>
              </w:rPr>
            </w:pPr>
            <w:r w:rsidRPr="00F10C37">
              <w:rPr>
                <w:color w:val="000000" w:themeColor="text1"/>
              </w:rPr>
              <w:t xml:space="preserve">Prevention and treatment of nausea, vomiting and/or vertigo associated with motion sickness, pregnancy, anesthesia, and radiation therapy. </w:t>
            </w:r>
          </w:p>
        </w:tc>
      </w:tr>
      <w:tr w:rsidR="0053763D" w:rsidRPr="00F10C37" w14:paraId="4CF51A86" w14:textId="77777777" w:rsidTr="00C46407">
        <w:tblPrEx>
          <w:jc w:val="left"/>
        </w:tblPrEx>
        <w:tc>
          <w:tcPr>
            <w:tcW w:w="2875" w:type="dxa"/>
          </w:tcPr>
          <w:p w14:paraId="50CCC35C"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5A6F9263" w14:textId="77777777" w:rsidR="0053763D" w:rsidRPr="00F10C37" w:rsidRDefault="0053763D" w:rsidP="00C46407">
            <w:pPr>
              <w:ind w:right="475"/>
              <w:jc w:val="both"/>
              <w:rPr>
                <w:rFonts w:cs="Times New Roman"/>
                <w:b/>
                <w:color w:val="000000" w:themeColor="text1"/>
                <w:szCs w:val="24"/>
              </w:rPr>
            </w:pPr>
            <w:r w:rsidRPr="00F10C37">
              <w:rPr>
                <w:rFonts w:cs="Times New Roman"/>
                <w:b/>
                <w:color w:val="000000" w:themeColor="text1"/>
                <w:szCs w:val="24"/>
              </w:rPr>
              <w:t>Motion sickness (prophylaxis and treatment)</w:t>
            </w:r>
            <w:r w:rsidRPr="00F10C37">
              <w:rPr>
                <w:rFonts w:cs="Times New Roman"/>
                <w:color w:val="000000" w:themeColor="text1"/>
                <w:szCs w:val="24"/>
              </w:rPr>
              <w:t>, oral:</w:t>
            </w:r>
          </w:p>
          <w:p w14:paraId="054FC45F" w14:textId="77777777" w:rsidR="0053763D" w:rsidRPr="00F10C37" w:rsidRDefault="0053763D" w:rsidP="00C46407">
            <w:pPr>
              <w:ind w:right="475"/>
              <w:jc w:val="both"/>
              <w:rPr>
                <w:rFonts w:cs="Times New Roman"/>
                <w:color w:val="000000" w:themeColor="text1"/>
                <w:szCs w:val="24"/>
              </w:rPr>
            </w:pPr>
            <w:r w:rsidRPr="00F10C37">
              <w:rPr>
                <w:rFonts w:cs="Times New Roman"/>
                <w:b/>
                <w:color w:val="000000" w:themeColor="text1"/>
                <w:szCs w:val="24"/>
              </w:rPr>
              <w:t>Adult and child &gt;12 years</w:t>
            </w:r>
            <w:r w:rsidRPr="00F10C37">
              <w:rPr>
                <w:rFonts w:cs="Times New Roman"/>
                <w:color w:val="000000" w:themeColor="text1"/>
                <w:szCs w:val="24"/>
              </w:rPr>
              <w:t>: 25 to 50 mg one hour before travel. Dose may be repeated every twenty-four hours as needed.</w:t>
            </w:r>
          </w:p>
          <w:p w14:paraId="602D3345" w14:textId="77777777" w:rsidR="0053763D" w:rsidRPr="00F10C37" w:rsidRDefault="0053763D" w:rsidP="00C46407">
            <w:pPr>
              <w:ind w:right="475"/>
              <w:jc w:val="both"/>
              <w:rPr>
                <w:rFonts w:cs="Times New Roman"/>
                <w:b/>
                <w:color w:val="000000" w:themeColor="text1"/>
                <w:szCs w:val="24"/>
              </w:rPr>
            </w:pPr>
            <w:r w:rsidRPr="00F10C37">
              <w:rPr>
                <w:rFonts w:cs="Times New Roman"/>
                <w:b/>
                <w:color w:val="000000" w:themeColor="text1"/>
                <w:szCs w:val="24"/>
              </w:rPr>
              <w:t>Vertigo (prophylaxis and treatment)</w:t>
            </w:r>
            <w:r w:rsidRPr="00F10C37">
              <w:rPr>
                <w:rFonts w:cs="Times New Roman"/>
                <w:color w:val="000000" w:themeColor="text1"/>
                <w:szCs w:val="24"/>
              </w:rPr>
              <w:t>, oral:</w:t>
            </w:r>
          </w:p>
          <w:p w14:paraId="4114D833" w14:textId="77777777" w:rsidR="0053763D" w:rsidRPr="00F10C37" w:rsidRDefault="0053763D" w:rsidP="00C46407">
            <w:pPr>
              <w:ind w:right="475"/>
              <w:jc w:val="both"/>
              <w:rPr>
                <w:rFonts w:cs="Times New Roman"/>
                <w:color w:val="000000" w:themeColor="text1"/>
                <w:szCs w:val="24"/>
              </w:rPr>
            </w:pPr>
            <w:r w:rsidRPr="00F10C37">
              <w:rPr>
                <w:rFonts w:cs="Times New Roman"/>
                <w:b/>
                <w:color w:val="000000" w:themeColor="text1"/>
                <w:szCs w:val="24"/>
              </w:rPr>
              <w:t>Adult and child &gt;12 years</w:t>
            </w:r>
            <w:r w:rsidRPr="00F10C37">
              <w:rPr>
                <w:rFonts w:cs="Times New Roman"/>
                <w:color w:val="000000" w:themeColor="text1"/>
                <w:szCs w:val="24"/>
              </w:rPr>
              <w:t>: 25 to 100mg a day as needed (in divided doses).</w:t>
            </w:r>
          </w:p>
          <w:p w14:paraId="57B6F936" w14:textId="77777777" w:rsidR="0053763D" w:rsidRPr="00F10C37" w:rsidRDefault="0053763D" w:rsidP="00C46407">
            <w:pPr>
              <w:ind w:right="475"/>
              <w:jc w:val="both"/>
              <w:rPr>
                <w:rFonts w:cs="Times New Roman"/>
                <w:b/>
                <w:color w:val="000000" w:themeColor="text1"/>
                <w:szCs w:val="24"/>
              </w:rPr>
            </w:pPr>
            <w:r w:rsidRPr="00F10C37">
              <w:rPr>
                <w:rFonts w:cs="Times New Roman"/>
                <w:b/>
                <w:color w:val="000000" w:themeColor="text1"/>
                <w:szCs w:val="24"/>
              </w:rPr>
              <w:t>Treatment of nausea</w:t>
            </w:r>
            <w:r>
              <w:rPr>
                <w:rFonts w:cs="Times New Roman"/>
                <w:b/>
                <w:color w:val="000000" w:themeColor="text1"/>
                <w:szCs w:val="24"/>
              </w:rPr>
              <w:t xml:space="preserve"> and vomiting</w:t>
            </w:r>
            <w:r w:rsidRPr="00F10C37">
              <w:rPr>
                <w:rFonts w:cs="Times New Roman"/>
                <w:b/>
                <w:color w:val="000000" w:themeColor="text1"/>
                <w:szCs w:val="24"/>
              </w:rPr>
              <w:t xml:space="preserve"> </w:t>
            </w:r>
            <w:r>
              <w:rPr>
                <w:rFonts w:cs="Times New Roman"/>
                <w:b/>
                <w:color w:val="000000" w:themeColor="text1"/>
                <w:szCs w:val="24"/>
              </w:rPr>
              <w:t>associated with</w:t>
            </w:r>
            <w:r w:rsidRPr="00F10C37">
              <w:rPr>
                <w:rFonts w:cs="Times New Roman"/>
                <w:b/>
                <w:color w:val="000000" w:themeColor="text1"/>
                <w:szCs w:val="24"/>
              </w:rPr>
              <w:t xml:space="preserve"> pregnancy, anaesthesia and radiation therapy</w:t>
            </w:r>
            <w:r w:rsidRPr="00F10C37">
              <w:rPr>
                <w:rFonts w:cs="Times New Roman"/>
                <w:color w:val="000000" w:themeColor="text1"/>
                <w:szCs w:val="24"/>
              </w:rPr>
              <w:t>, oral:</w:t>
            </w:r>
          </w:p>
          <w:p w14:paraId="218380E8" w14:textId="77777777" w:rsidR="0053763D" w:rsidRPr="00F10C37" w:rsidRDefault="0053763D" w:rsidP="00C46407">
            <w:pPr>
              <w:ind w:right="475"/>
              <w:jc w:val="both"/>
              <w:rPr>
                <w:rFonts w:cs="Times New Roman"/>
                <w:i/>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25 to 50 mg daily, possibly increased, depending upon clinical response, to 100mg daily in divided doses. </w:t>
            </w:r>
          </w:p>
        </w:tc>
      </w:tr>
      <w:tr w:rsidR="0053763D" w:rsidRPr="00F10C37" w14:paraId="7FBD008B" w14:textId="77777777" w:rsidTr="00C46407">
        <w:tblPrEx>
          <w:jc w:val="left"/>
        </w:tblPrEx>
        <w:tc>
          <w:tcPr>
            <w:tcW w:w="2875" w:type="dxa"/>
          </w:tcPr>
          <w:p w14:paraId="7207632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39" w:type="dxa"/>
          </w:tcPr>
          <w:p w14:paraId="20733B77"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children younger than 12 years of age</w:t>
            </w:r>
            <w:r>
              <w:rPr>
                <w:rFonts w:cs="Times New Roman"/>
                <w:color w:val="000000" w:themeColor="text1"/>
                <w:szCs w:val="24"/>
              </w:rPr>
              <w:t>,</w:t>
            </w:r>
            <w:r w:rsidRPr="00F10C37">
              <w:rPr>
                <w:rFonts w:cs="Times New Roman"/>
                <w:color w:val="000000" w:themeColor="text1"/>
                <w:szCs w:val="24"/>
              </w:rPr>
              <w:t xml:space="preserve"> patients with epilepsy or liver disease, asthma, and BPH or a urinary tract blockage. </w:t>
            </w:r>
          </w:p>
        </w:tc>
      </w:tr>
      <w:tr w:rsidR="0053763D" w:rsidRPr="00F10C37" w14:paraId="21BF7210" w14:textId="77777777" w:rsidTr="00C46407">
        <w:tblPrEx>
          <w:jc w:val="left"/>
        </w:tblPrEx>
        <w:tc>
          <w:tcPr>
            <w:tcW w:w="2875" w:type="dxa"/>
          </w:tcPr>
          <w:p w14:paraId="10CADD2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439" w:type="dxa"/>
          </w:tcPr>
          <w:p w14:paraId="51937A16" w14:textId="77777777" w:rsidR="0053763D" w:rsidRPr="00F10C37" w:rsidRDefault="0053763D" w:rsidP="00C46407">
            <w:pPr>
              <w:pStyle w:val="BodyText"/>
              <w:spacing w:line="360" w:lineRule="auto"/>
              <w:ind w:right="477"/>
              <w:rPr>
                <w:color w:val="000000" w:themeColor="text1"/>
              </w:rPr>
            </w:pPr>
            <w:r w:rsidRPr="00F10C37">
              <w:rPr>
                <w:color w:val="000000" w:themeColor="text1"/>
              </w:rPr>
              <w:t xml:space="preserve">Alcohol, CNS depressants (barbiturates, tranquillizers, neuroleptics), medicines with anticholinergic effects including TCAs, cycloserine </w:t>
            </w:r>
          </w:p>
        </w:tc>
      </w:tr>
      <w:tr w:rsidR="0053763D" w:rsidRPr="00F10C37" w14:paraId="5723DB25" w14:textId="77777777" w:rsidTr="00C46407">
        <w:tblPrEx>
          <w:jc w:val="left"/>
        </w:tblPrEx>
        <w:tc>
          <w:tcPr>
            <w:tcW w:w="2875" w:type="dxa"/>
          </w:tcPr>
          <w:p w14:paraId="4887A20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165F0A8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Drowsiness, fatigue, headache, dryness of mouth, nose and throat, palpitations, thickening of bronchial secretions, allergic reaction, increase appetite, weight gain, arthralgia, and pharyngitis.</w:t>
            </w:r>
          </w:p>
        </w:tc>
      </w:tr>
      <w:tr w:rsidR="0053763D" w:rsidRPr="00F10C37" w14:paraId="014E0028" w14:textId="77777777" w:rsidTr="00C46407">
        <w:tblPrEx>
          <w:jc w:val="left"/>
        </w:tblPrEx>
        <w:tc>
          <w:tcPr>
            <w:tcW w:w="2875" w:type="dxa"/>
          </w:tcPr>
          <w:p w14:paraId="159B0F2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78A23166" w14:textId="77777777" w:rsidR="0053763D" w:rsidRPr="00F10C37" w:rsidRDefault="0053763D" w:rsidP="00C46407">
            <w:pPr>
              <w:pStyle w:val="BodyText"/>
              <w:spacing w:line="360" w:lineRule="auto"/>
              <w:ind w:right="477"/>
              <w:rPr>
                <w:color w:val="000000" w:themeColor="text1"/>
              </w:rPr>
            </w:pPr>
            <w:r w:rsidRPr="00F10C37">
              <w:rPr>
                <w:color w:val="000000" w:themeColor="text1"/>
              </w:rPr>
              <w:t xml:space="preserve">Patients with angle-closure glaucoma or prostatic hypertrophy (bladder neck obstruction), coma, jaundice; use with caution in hot weather, and during exercise. </w:t>
            </w:r>
          </w:p>
        </w:tc>
      </w:tr>
      <w:tr w:rsidR="0053763D" w:rsidRPr="00F10C37" w14:paraId="018CDA94" w14:textId="77777777" w:rsidTr="00C46407">
        <w:tblPrEx>
          <w:jc w:val="left"/>
        </w:tblPrEx>
        <w:tc>
          <w:tcPr>
            <w:tcW w:w="2875" w:type="dxa"/>
          </w:tcPr>
          <w:p w14:paraId="2868B9C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54ACBAF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7F3DDCDB" w14:textId="77777777" w:rsidTr="00C46407">
        <w:trPr>
          <w:jc w:val="center"/>
        </w:trPr>
        <w:tc>
          <w:tcPr>
            <w:tcW w:w="9314" w:type="dxa"/>
            <w:gridSpan w:val="2"/>
          </w:tcPr>
          <w:p w14:paraId="13AA16EA" w14:textId="77777777" w:rsidR="0053763D" w:rsidRPr="00491AFD" w:rsidRDefault="0053763D" w:rsidP="00491AFD">
            <w:pPr>
              <w:rPr>
                <w:b/>
              </w:rPr>
            </w:pPr>
            <w:r w:rsidRPr="00491AFD">
              <w:rPr>
                <w:b/>
              </w:rPr>
              <w:t>Metoclopramide hydrochloride</w:t>
            </w:r>
          </w:p>
        </w:tc>
      </w:tr>
      <w:tr w:rsidR="0053763D" w:rsidRPr="00F10C37" w14:paraId="56AF1D8D" w14:textId="77777777" w:rsidTr="00C46407">
        <w:trPr>
          <w:jc w:val="center"/>
        </w:trPr>
        <w:tc>
          <w:tcPr>
            <w:tcW w:w="2875" w:type="dxa"/>
          </w:tcPr>
          <w:p w14:paraId="034EBEB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7EF6A1EE" w14:textId="77777777" w:rsidR="0053763D" w:rsidRPr="00F10C37" w:rsidRDefault="0053763D" w:rsidP="00C46407">
            <w:pPr>
              <w:jc w:val="both"/>
              <w:rPr>
                <w:rFonts w:cs="Times New Roman"/>
                <w:i/>
                <w:color w:val="000000" w:themeColor="text1"/>
                <w:szCs w:val="24"/>
              </w:rPr>
            </w:pPr>
            <w:r w:rsidRPr="00F10C37">
              <w:rPr>
                <w:rFonts w:cs="Times New Roman"/>
                <w:color w:val="000000" w:themeColor="text1"/>
                <w:szCs w:val="24"/>
              </w:rPr>
              <w:t>Prokinetic agent</w:t>
            </w:r>
          </w:p>
        </w:tc>
      </w:tr>
      <w:tr w:rsidR="0053763D" w:rsidRPr="00F10C37" w14:paraId="27DA7BF1" w14:textId="77777777" w:rsidTr="00C46407">
        <w:trPr>
          <w:jc w:val="center"/>
        </w:trPr>
        <w:tc>
          <w:tcPr>
            <w:tcW w:w="2875" w:type="dxa"/>
          </w:tcPr>
          <w:p w14:paraId="170D7EF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7BCCB44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Drop: 0.2 mg/drop</w:t>
            </w:r>
          </w:p>
          <w:p w14:paraId="772CECD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Injection: 5mg/</w:t>
            </w:r>
            <w:r>
              <w:rPr>
                <w:rFonts w:cs="Times New Roman"/>
                <w:color w:val="000000" w:themeColor="text1"/>
                <w:szCs w:val="24"/>
              </w:rPr>
              <w:t>ml</w:t>
            </w:r>
            <w:r w:rsidRPr="00F10C37">
              <w:rPr>
                <w:rFonts w:cs="Times New Roman"/>
                <w:color w:val="000000" w:themeColor="text1"/>
                <w:szCs w:val="24"/>
              </w:rPr>
              <w:t>, 5mg/2</w:t>
            </w:r>
            <w:r>
              <w:rPr>
                <w:rFonts w:cs="Times New Roman"/>
                <w:color w:val="000000" w:themeColor="text1"/>
                <w:szCs w:val="24"/>
              </w:rPr>
              <w:t>ml</w:t>
            </w:r>
            <w:r w:rsidRPr="00F10C37">
              <w:rPr>
                <w:rFonts w:cs="Times New Roman"/>
                <w:color w:val="000000" w:themeColor="text1"/>
                <w:szCs w:val="24"/>
              </w:rPr>
              <w:t xml:space="preserve"> in 2</w:t>
            </w:r>
            <w:r>
              <w:rPr>
                <w:rFonts w:cs="Times New Roman"/>
                <w:color w:val="000000" w:themeColor="text1"/>
                <w:szCs w:val="24"/>
              </w:rPr>
              <w:t>ml</w:t>
            </w:r>
            <w:r w:rsidRPr="00F10C37">
              <w:rPr>
                <w:rFonts w:cs="Times New Roman"/>
                <w:color w:val="000000" w:themeColor="text1"/>
                <w:szCs w:val="24"/>
              </w:rPr>
              <w:t xml:space="preserve"> ampoule</w:t>
            </w:r>
          </w:p>
          <w:p w14:paraId="11880234" w14:textId="77777777" w:rsidR="0053763D" w:rsidRPr="00F10C37" w:rsidRDefault="0053763D" w:rsidP="00C46407">
            <w:pPr>
              <w:jc w:val="both"/>
              <w:rPr>
                <w:rFonts w:cs="Times New Roman"/>
                <w:color w:val="000000" w:themeColor="text1"/>
                <w:szCs w:val="24"/>
                <w:lang w:val="sv-SE"/>
              </w:rPr>
            </w:pPr>
            <w:r w:rsidRPr="00F10C37">
              <w:rPr>
                <w:rFonts w:cs="Times New Roman"/>
                <w:color w:val="000000" w:themeColor="text1"/>
                <w:szCs w:val="24"/>
                <w:lang w:val="sv-SE"/>
              </w:rPr>
              <w:t>Syrup: 5mg/5</w:t>
            </w:r>
            <w:r>
              <w:rPr>
                <w:rFonts w:cs="Times New Roman"/>
                <w:color w:val="000000" w:themeColor="text1"/>
                <w:szCs w:val="24"/>
                <w:lang w:val="sv-SE"/>
              </w:rPr>
              <w:t>ml</w:t>
            </w:r>
          </w:p>
          <w:p w14:paraId="29C93A9E" w14:textId="77777777" w:rsidR="0053763D" w:rsidRPr="00F10C37" w:rsidRDefault="0053763D" w:rsidP="00C46407">
            <w:pPr>
              <w:jc w:val="both"/>
              <w:rPr>
                <w:rFonts w:cs="Times New Roman"/>
                <w:i/>
                <w:color w:val="000000" w:themeColor="text1"/>
                <w:szCs w:val="24"/>
                <w:lang w:val="sv-SE"/>
              </w:rPr>
            </w:pPr>
            <w:r w:rsidRPr="00F10C37">
              <w:rPr>
                <w:rFonts w:cs="Times New Roman"/>
                <w:color w:val="000000" w:themeColor="text1"/>
                <w:szCs w:val="24"/>
                <w:lang w:val="sv-SE"/>
              </w:rPr>
              <w:t>Tablet: 10mg</w:t>
            </w:r>
          </w:p>
        </w:tc>
      </w:tr>
      <w:tr w:rsidR="0053763D" w:rsidRPr="00F10C37" w14:paraId="04E26284" w14:textId="77777777" w:rsidTr="00C46407">
        <w:trPr>
          <w:jc w:val="center"/>
        </w:trPr>
        <w:tc>
          <w:tcPr>
            <w:tcW w:w="2875" w:type="dxa"/>
          </w:tcPr>
          <w:p w14:paraId="03D19D67" w14:textId="77777777" w:rsidR="0053763D" w:rsidRPr="00744953" w:rsidRDefault="0053763D" w:rsidP="00C46407">
            <w:pPr>
              <w:jc w:val="both"/>
              <w:rPr>
                <w:rFonts w:cs="Times New Roman"/>
                <w:color w:val="000000" w:themeColor="text1"/>
                <w:szCs w:val="24"/>
              </w:rPr>
            </w:pPr>
            <w:r w:rsidRPr="00744953">
              <w:rPr>
                <w:rFonts w:cs="Times New Roman"/>
                <w:color w:val="000000" w:themeColor="text1"/>
                <w:szCs w:val="24"/>
              </w:rPr>
              <w:t>Indications</w:t>
            </w:r>
          </w:p>
        </w:tc>
        <w:tc>
          <w:tcPr>
            <w:tcW w:w="6439" w:type="dxa"/>
          </w:tcPr>
          <w:p w14:paraId="1B902B86" w14:textId="77777777" w:rsidR="0053763D" w:rsidRPr="00F10C37" w:rsidRDefault="0053763D" w:rsidP="00C46407">
            <w:pPr>
              <w:pStyle w:val="BodyText"/>
              <w:spacing w:line="360" w:lineRule="auto"/>
              <w:rPr>
                <w:color w:val="000000" w:themeColor="text1"/>
              </w:rPr>
            </w:pPr>
            <w:r w:rsidRPr="00F10C37">
              <w:rPr>
                <w:color w:val="000000" w:themeColor="text1"/>
              </w:rPr>
              <w:t>Symptomatic treatment of nausea and vomiting including that associated with acute migraine</w:t>
            </w:r>
            <w:r>
              <w:rPr>
                <w:color w:val="000000" w:themeColor="text1"/>
              </w:rPr>
              <w:t>,</w:t>
            </w:r>
            <w:r w:rsidRPr="00F10C37">
              <w:rPr>
                <w:color w:val="000000" w:themeColor="text1"/>
              </w:rPr>
              <w:t xml:space="preserve"> delayed (but not acute) chemotherapy-induced nausea and vomiting</w:t>
            </w:r>
            <w:r>
              <w:rPr>
                <w:color w:val="000000" w:themeColor="text1"/>
              </w:rPr>
              <w:t>,</w:t>
            </w:r>
            <w:r w:rsidRPr="00F10C37">
              <w:rPr>
                <w:color w:val="000000" w:themeColor="text1"/>
              </w:rPr>
              <w:t xml:space="preserve"> radiotherapy-induced nausea and vomiting</w:t>
            </w:r>
            <w:r>
              <w:rPr>
                <w:color w:val="000000" w:themeColor="text1"/>
              </w:rPr>
              <w:t>,</w:t>
            </w:r>
            <w:r w:rsidRPr="00F10C37">
              <w:rPr>
                <w:color w:val="000000" w:themeColor="text1"/>
              </w:rPr>
              <w:t xml:space="preserve"> prevention of postoperative nausea and vomiting</w:t>
            </w:r>
            <w:r>
              <w:rPr>
                <w:color w:val="000000" w:themeColor="text1"/>
              </w:rPr>
              <w:t xml:space="preserve">, </w:t>
            </w:r>
            <w:r w:rsidRPr="003D3E3A">
              <w:rPr>
                <w:color w:val="000000" w:themeColor="text1"/>
              </w:rPr>
              <w:t xml:space="preserve">hiccup in palliative care, and </w:t>
            </w:r>
            <w:r>
              <w:rPr>
                <w:color w:val="000000" w:themeColor="text1"/>
              </w:rPr>
              <w:t>n</w:t>
            </w:r>
            <w:r w:rsidRPr="003D3E3A">
              <w:rPr>
                <w:color w:val="000000" w:themeColor="text1"/>
              </w:rPr>
              <w:t>ausea and vomiting in palliative care</w:t>
            </w:r>
            <w:r>
              <w:rPr>
                <w:color w:val="000000" w:themeColor="text1"/>
              </w:rPr>
              <w:t>.</w:t>
            </w:r>
          </w:p>
        </w:tc>
      </w:tr>
      <w:tr w:rsidR="0053763D" w:rsidRPr="00F10C37" w14:paraId="6CF37F22" w14:textId="77777777" w:rsidTr="00C46407">
        <w:trPr>
          <w:jc w:val="center"/>
        </w:trPr>
        <w:tc>
          <w:tcPr>
            <w:tcW w:w="2875" w:type="dxa"/>
          </w:tcPr>
          <w:p w14:paraId="7BEA0338"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5B8A6E0F"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Symptomatic treatment of nausea and vomiting, including that associated with acute migraine, delayed chemotherapy-induced nausea and vomiting, radiotherapy-induced nausea and vomiting, prevention of post-operative nausea and vomiting</w:t>
            </w:r>
            <w:r w:rsidRPr="00F10C37">
              <w:rPr>
                <w:rFonts w:cs="Times New Roman"/>
                <w:color w:val="000000" w:themeColor="text1"/>
                <w:szCs w:val="24"/>
              </w:rPr>
              <w:t>, oral, IM or slow IV injection:</w:t>
            </w:r>
          </w:p>
          <w:p w14:paraId="68AD12E2"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 &lt; 60 kg</w:t>
            </w:r>
            <w:r w:rsidRPr="00F10C37">
              <w:rPr>
                <w:rFonts w:cs="Times New Roman"/>
                <w:color w:val="000000" w:themeColor="text1"/>
                <w:szCs w:val="24"/>
              </w:rPr>
              <w:t>: Up to 500 mcg/kg daily in 3 divided doses.</w:t>
            </w:r>
          </w:p>
          <w:p w14:paraId="52BA5559"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 ≥ 60 kg</w:t>
            </w:r>
            <w:r w:rsidRPr="00F10C37">
              <w:rPr>
                <w:rFonts w:cs="Times New Roman"/>
                <w:color w:val="000000" w:themeColor="text1"/>
                <w:szCs w:val="24"/>
              </w:rPr>
              <w:t>: 10 mg up to 3 times a day (when administered by slow IV injection, to be given over at least 3 minutes).</w:t>
            </w:r>
          </w:p>
          <w:p w14:paraId="51690ABA"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lastRenderedPageBreak/>
              <w:t>Hiccup in palliative care</w:t>
            </w:r>
            <w:r w:rsidRPr="00F10C37">
              <w:rPr>
                <w:rFonts w:cs="Times New Roman"/>
                <w:color w:val="000000" w:themeColor="text1"/>
                <w:szCs w:val="24"/>
              </w:rPr>
              <w:t xml:space="preserve">, oral, IM or SC injection: </w:t>
            </w:r>
          </w:p>
          <w:p w14:paraId="45CD61C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10mg every 6-8 hours.</w:t>
            </w:r>
          </w:p>
          <w:p w14:paraId="732CF1D2"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Nausea and vomiting in palliative care</w:t>
            </w:r>
            <w:r w:rsidRPr="00F10C37">
              <w:rPr>
                <w:rFonts w:cs="Times New Roman"/>
                <w:color w:val="000000" w:themeColor="text1"/>
                <w:szCs w:val="24"/>
              </w:rPr>
              <w:t xml:space="preserve">, oral: </w:t>
            </w:r>
          </w:p>
          <w:p w14:paraId="1E46000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10 mg 3 times a day.</w:t>
            </w:r>
          </w:p>
          <w:p w14:paraId="7E7BAE08"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Nausea and vomiting in GI disorders, vomiting associated with radiotherapy and cytotoxic chemotherapy, aid to GI intubation, gastroesophageal reflux, gastroparesis, nausea and vomiting in migraine</w:t>
            </w:r>
            <w:r w:rsidRPr="00F10C37">
              <w:rPr>
                <w:rFonts w:cs="Times New Roman"/>
                <w:color w:val="000000" w:themeColor="text1"/>
                <w:szCs w:val="24"/>
              </w:rPr>
              <w:t>, oral, IM or slow IV (over 15 minutes):</w:t>
            </w:r>
          </w:p>
          <w:p w14:paraId="69D0708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Infant &lt; 10 kg</w:t>
            </w:r>
            <w:r w:rsidRPr="00F10C37">
              <w:rPr>
                <w:rFonts w:cs="Times New Roman"/>
                <w:color w:val="000000" w:themeColor="text1"/>
                <w:szCs w:val="24"/>
              </w:rPr>
              <w:t xml:space="preserve">: 100 mcg/kg (max. 1 mg) twice daily. </w:t>
            </w:r>
          </w:p>
          <w:p w14:paraId="7C79BC30"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1–3 years</w:t>
            </w:r>
            <w:r w:rsidRPr="00F10C37">
              <w:rPr>
                <w:rFonts w:cs="Times New Roman"/>
                <w:color w:val="000000" w:themeColor="text1"/>
                <w:szCs w:val="24"/>
              </w:rPr>
              <w:t xml:space="preserve"> (10–14 kg): 1 mg 2–3 times daily. </w:t>
            </w:r>
          </w:p>
          <w:p w14:paraId="653572C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3–5 years</w:t>
            </w:r>
            <w:r w:rsidRPr="00F10C37">
              <w:rPr>
                <w:rFonts w:cs="Times New Roman"/>
                <w:color w:val="000000" w:themeColor="text1"/>
                <w:szCs w:val="24"/>
              </w:rPr>
              <w:t xml:space="preserve"> (15–19 kg): 2 mg 2–3 times daily. </w:t>
            </w:r>
          </w:p>
          <w:p w14:paraId="4E81012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5–9 years</w:t>
            </w:r>
            <w:r w:rsidRPr="00F10C37">
              <w:rPr>
                <w:rFonts w:cs="Times New Roman"/>
                <w:color w:val="000000" w:themeColor="text1"/>
                <w:szCs w:val="24"/>
              </w:rPr>
              <w:t xml:space="preserve"> (20–29 kg): 2.5 mg three times daily. </w:t>
            </w:r>
          </w:p>
          <w:p w14:paraId="46160C3C"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9–12 years</w:t>
            </w:r>
            <w:r w:rsidRPr="00F10C37">
              <w:rPr>
                <w:rFonts w:cs="Times New Roman"/>
                <w:color w:val="000000" w:themeColor="text1"/>
                <w:szCs w:val="24"/>
              </w:rPr>
              <w:t xml:space="preserve"> (≥30 kg): 5 mg three times daily (max. 500 mcg/kg daily).</w:t>
            </w:r>
          </w:p>
          <w:p w14:paraId="56E0362F"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Pre- and postoperatively</w:t>
            </w:r>
            <w:r w:rsidRPr="00F10C37">
              <w:rPr>
                <w:rFonts w:cs="Times New Roman"/>
                <w:color w:val="000000" w:themeColor="text1"/>
                <w:szCs w:val="24"/>
              </w:rPr>
              <w:t>, oral or IM or slow IV:</w:t>
            </w:r>
          </w:p>
          <w:p w14:paraId="728B817D"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all ages</w:t>
            </w:r>
            <w:r w:rsidRPr="00F10C37">
              <w:rPr>
                <w:rFonts w:cs="Times New Roman"/>
                <w:color w:val="000000" w:themeColor="text1"/>
                <w:szCs w:val="24"/>
              </w:rPr>
              <w:t>: 0.1–0.2 mg/kg per dose 3–4 times daily as needed.</w:t>
            </w:r>
          </w:p>
        </w:tc>
      </w:tr>
      <w:tr w:rsidR="0053763D" w:rsidRPr="00F10C37" w14:paraId="787FA37C" w14:textId="77777777" w:rsidTr="00C46407">
        <w:trPr>
          <w:jc w:val="center"/>
        </w:trPr>
        <w:tc>
          <w:tcPr>
            <w:tcW w:w="2875" w:type="dxa"/>
          </w:tcPr>
          <w:p w14:paraId="54613CC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439" w:type="dxa"/>
          </w:tcPr>
          <w:p w14:paraId="3164864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Epilepsy, 3–4 days after GI surgery, GI haemorrhage, obstruction, and perforation</w:t>
            </w:r>
            <w:r>
              <w:rPr>
                <w:rFonts w:cs="Times New Roman"/>
                <w:color w:val="000000" w:themeColor="text1"/>
                <w:szCs w:val="24"/>
              </w:rPr>
              <w:t>, and p</w:t>
            </w:r>
            <w:r w:rsidRPr="00F10C37">
              <w:rPr>
                <w:rFonts w:cs="Times New Roman"/>
                <w:color w:val="000000" w:themeColor="text1"/>
                <w:szCs w:val="24"/>
              </w:rPr>
              <w:t>haeochromocytoma.</w:t>
            </w:r>
          </w:p>
        </w:tc>
      </w:tr>
      <w:tr w:rsidR="0053763D" w:rsidRPr="00F10C37" w14:paraId="78A84535" w14:textId="77777777" w:rsidTr="00C46407">
        <w:trPr>
          <w:jc w:val="center"/>
        </w:trPr>
        <w:tc>
          <w:tcPr>
            <w:tcW w:w="2875" w:type="dxa"/>
          </w:tcPr>
          <w:p w14:paraId="53AFC28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39" w:type="dxa"/>
          </w:tcPr>
          <w:p w14:paraId="18C5D5D0" w14:textId="77777777" w:rsidR="0053763D" w:rsidRPr="00F10C37" w:rsidRDefault="0053763D" w:rsidP="00C46407">
            <w:pPr>
              <w:pStyle w:val="BodyText"/>
              <w:spacing w:line="360" w:lineRule="auto"/>
              <w:rPr>
                <w:color w:val="000000" w:themeColor="text1"/>
              </w:rPr>
            </w:pPr>
            <w:r w:rsidRPr="00F10C37">
              <w:rPr>
                <w:color w:val="000000" w:themeColor="text1"/>
              </w:rPr>
              <w:t>Acetylsalicylic acid, atropine, digoxin, bromocriptine, chlorpromazine, cyclosporine, codeine, haloperidol, methadone, morphine, paracetamol, suxamethonium.</w:t>
            </w:r>
          </w:p>
        </w:tc>
      </w:tr>
      <w:tr w:rsidR="0053763D" w:rsidRPr="00F10C37" w14:paraId="4750C9A8" w14:textId="77777777" w:rsidTr="00C46407">
        <w:trPr>
          <w:jc w:val="center"/>
        </w:trPr>
        <w:tc>
          <w:tcPr>
            <w:tcW w:w="2875" w:type="dxa"/>
          </w:tcPr>
          <w:p w14:paraId="6A73E86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7BA6C141" w14:textId="77777777" w:rsidR="0053763D" w:rsidRPr="00F10C37" w:rsidRDefault="0053763D" w:rsidP="00C46407">
            <w:pPr>
              <w:pStyle w:val="BodyText"/>
              <w:spacing w:line="360" w:lineRule="auto"/>
              <w:rPr>
                <w:color w:val="000000" w:themeColor="text1"/>
              </w:rPr>
            </w:pPr>
            <w:r w:rsidRPr="00F10C37">
              <w:rPr>
                <w:color w:val="000000" w:themeColor="text1"/>
              </w:rPr>
              <w:t>Asthenia, depression, diarrhea, drowsiness, hypotension, menstrual cycle irregularities, movement disorders, Parkinsonism, arrhythmias, hallucination, hyperprolactinemia, decreased level of consciousness, anxiety, dizziness, dyspnea, edema, skin reactions, visual impairment with injections.</w:t>
            </w:r>
          </w:p>
        </w:tc>
      </w:tr>
      <w:tr w:rsidR="0053763D" w:rsidRPr="00F10C37" w14:paraId="7540DF07" w14:textId="77777777" w:rsidTr="00C46407">
        <w:trPr>
          <w:trHeight w:val="42"/>
          <w:jc w:val="center"/>
        </w:trPr>
        <w:tc>
          <w:tcPr>
            <w:tcW w:w="2875" w:type="dxa"/>
          </w:tcPr>
          <w:p w14:paraId="0155135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37D4AEC0" w14:textId="77777777" w:rsidR="0053763D" w:rsidRPr="00F10C37" w:rsidRDefault="0053763D" w:rsidP="00C46407">
            <w:pPr>
              <w:pStyle w:val="BodyText"/>
              <w:spacing w:line="360" w:lineRule="auto"/>
              <w:rPr>
                <w:color w:val="000000" w:themeColor="text1"/>
              </w:rPr>
            </w:pPr>
            <w:r w:rsidRPr="00F10C37">
              <w:rPr>
                <w:color w:val="000000" w:themeColor="text1"/>
              </w:rPr>
              <w:t xml:space="preserve">Asthma, atopic allergy, bradycardia, cardiac conduction disturbances, children, young adults, elderly, Parkinson’s disease, uncorrected electrolyte imbalance, previous </w:t>
            </w:r>
            <w:r w:rsidRPr="00F10C37">
              <w:rPr>
                <w:color w:val="000000" w:themeColor="text1"/>
              </w:rPr>
              <w:lastRenderedPageBreak/>
              <w:t xml:space="preserve">extrapyramidal reaction, cerebral irritation, depression, porphyria, and renal impairment. </w:t>
            </w:r>
          </w:p>
        </w:tc>
      </w:tr>
      <w:tr w:rsidR="0053763D" w:rsidRPr="00F10C37" w14:paraId="6E6C023D" w14:textId="77777777" w:rsidTr="00C46407">
        <w:trPr>
          <w:jc w:val="center"/>
        </w:trPr>
        <w:tc>
          <w:tcPr>
            <w:tcW w:w="2875" w:type="dxa"/>
          </w:tcPr>
          <w:p w14:paraId="54B90EB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Storage condition</w:t>
            </w:r>
          </w:p>
        </w:tc>
        <w:tc>
          <w:tcPr>
            <w:tcW w:w="6439" w:type="dxa"/>
          </w:tcPr>
          <w:p w14:paraId="5A75A5F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26A08BBF" w14:textId="77777777" w:rsidTr="00C46407">
        <w:trPr>
          <w:jc w:val="center"/>
        </w:trPr>
        <w:tc>
          <w:tcPr>
            <w:tcW w:w="9314" w:type="dxa"/>
            <w:gridSpan w:val="2"/>
          </w:tcPr>
          <w:p w14:paraId="409EC962" w14:textId="77777777" w:rsidR="0053763D" w:rsidRPr="00491AFD" w:rsidRDefault="0053763D" w:rsidP="00491AFD">
            <w:pPr>
              <w:rPr>
                <w:b/>
              </w:rPr>
            </w:pPr>
            <w:r w:rsidRPr="00491AFD">
              <w:rPr>
                <w:b/>
              </w:rPr>
              <w:t>Ondansetron</w:t>
            </w:r>
          </w:p>
        </w:tc>
      </w:tr>
      <w:tr w:rsidR="0053763D" w:rsidRPr="00F10C37" w14:paraId="43000495" w14:textId="77777777" w:rsidTr="00C46407">
        <w:trPr>
          <w:jc w:val="center"/>
        </w:trPr>
        <w:tc>
          <w:tcPr>
            <w:tcW w:w="2875" w:type="dxa"/>
          </w:tcPr>
          <w:p w14:paraId="781DDB6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39" w:type="dxa"/>
          </w:tcPr>
          <w:p w14:paraId="2C75EC8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5-HT3 receptor antagonist</w:t>
            </w:r>
          </w:p>
        </w:tc>
      </w:tr>
      <w:tr w:rsidR="0053763D" w:rsidRPr="00F10C37" w14:paraId="2F190D91" w14:textId="77777777" w:rsidTr="00C46407">
        <w:trPr>
          <w:jc w:val="center"/>
        </w:trPr>
        <w:tc>
          <w:tcPr>
            <w:tcW w:w="2875" w:type="dxa"/>
          </w:tcPr>
          <w:p w14:paraId="72BCA68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39" w:type="dxa"/>
          </w:tcPr>
          <w:p w14:paraId="4A4DD0E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Injection: 2 mg/</w:t>
            </w:r>
            <w:r>
              <w:rPr>
                <w:rFonts w:cs="Times New Roman"/>
                <w:color w:val="000000" w:themeColor="text1"/>
                <w:szCs w:val="24"/>
              </w:rPr>
              <w:t>ml</w:t>
            </w:r>
            <w:r w:rsidRPr="00F10C37">
              <w:rPr>
                <w:rFonts w:cs="Times New Roman"/>
                <w:color w:val="000000" w:themeColor="text1"/>
                <w:szCs w:val="24"/>
              </w:rPr>
              <w:t xml:space="preserve"> in 2 </w:t>
            </w:r>
            <w:r>
              <w:rPr>
                <w:rFonts w:cs="Times New Roman"/>
                <w:color w:val="000000" w:themeColor="text1"/>
                <w:szCs w:val="24"/>
              </w:rPr>
              <w:t>ml</w:t>
            </w:r>
          </w:p>
          <w:p w14:paraId="26530C0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Oral liquid: 4 mg base/5 </w:t>
            </w:r>
            <w:r>
              <w:rPr>
                <w:rFonts w:cs="Times New Roman"/>
                <w:color w:val="000000" w:themeColor="text1"/>
                <w:szCs w:val="24"/>
              </w:rPr>
              <w:t>ml</w:t>
            </w:r>
          </w:p>
          <w:p w14:paraId="5B0021A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Tablet: 4 mg</w:t>
            </w:r>
          </w:p>
        </w:tc>
      </w:tr>
      <w:tr w:rsidR="0053763D" w:rsidRPr="00F10C37" w14:paraId="5887760A" w14:textId="77777777" w:rsidTr="00C46407">
        <w:trPr>
          <w:jc w:val="center"/>
        </w:trPr>
        <w:tc>
          <w:tcPr>
            <w:tcW w:w="2875" w:type="dxa"/>
          </w:tcPr>
          <w:p w14:paraId="6F2A4917" w14:textId="77777777" w:rsidR="0053763D" w:rsidRPr="005011A7" w:rsidRDefault="0053763D" w:rsidP="00C46407">
            <w:pPr>
              <w:jc w:val="both"/>
              <w:rPr>
                <w:rFonts w:cs="Times New Roman"/>
                <w:color w:val="000000" w:themeColor="text1"/>
                <w:szCs w:val="24"/>
              </w:rPr>
            </w:pPr>
            <w:r w:rsidRPr="005011A7">
              <w:rPr>
                <w:rFonts w:cs="Times New Roman"/>
                <w:color w:val="000000" w:themeColor="text1"/>
                <w:szCs w:val="24"/>
              </w:rPr>
              <w:t>Indications</w:t>
            </w:r>
          </w:p>
        </w:tc>
        <w:tc>
          <w:tcPr>
            <w:tcW w:w="6439" w:type="dxa"/>
          </w:tcPr>
          <w:p w14:paraId="4442FA4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Postoperative nausea and vomiting, chemotherapy and/or radiotherapy induced nausea and vomiting.</w:t>
            </w:r>
          </w:p>
        </w:tc>
      </w:tr>
      <w:tr w:rsidR="0053763D" w:rsidRPr="00F10C37" w14:paraId="0127AA1D" w14:textId="77777777" w:rsidTr="00C46407">
        <w:trPr>
          <w:jc w:val="center"/>
        </w:trPr>
        <w:tc>
          <w:tcPr>
            <w:tcW w:w="2875" w:type="dxa"/>
          </w:tcPr>
          <w:p w14:paraId="5FC84316"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39" w:type="dxa"/>
          </w:tcPr>
          <w:p w14:paraId="20C27A96" w14:textId="77777777" w:rsidR="0053763D" w:rsidRPr="00F10C37" w:rsidRDefault="0053763D" w:rsidP="00C46407">
            <w:pPr>
              <w:pStyle w:val="BodyText"/>
              <w:spacing w:line="360" w:lineRule="auto"/>
              <w:rPr>
                <w:b/>
                <w:color w:val="000000" w:themeColor="text1"/>
              </w:rPr>
            </w:pPr>
            <w:r w:rsidRPr="00F10C37">
              <w:rPr>
                <w:b/>
                <w:color w:val="000000" w:themeColor="text1"/>
              </w:rPr>
              <w:t>Moderate chemotherapy or radiotherapy</w:t>
            </w:r>
            <w:r>
              <w:rPr>
                <w:b/>
                <w:color w:val="000000" w:themeColor="text1"/>
              </w:rPr>
              <w:t xml:space="preserve"> induced nausea and vomiting</w:t>
            </w:r>
            <w:r w:rsidRPr="00F10C37">
              <w:rPr>
                <w:b/>
                <w:color w:val="000000" w:themeColor="text1"/>
              </w:rPr>
              <w:t xml:space="preserve">: </w:t>
            </w:r>
          </w:p>
          <w:p w14:paraId="5FE58CEE"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xml:space="preserve">, oral: Initially 8 mg, dose to be taken 1–2 hours before treatment, then 8 mg every 12 hours for up to 5 days. </w:t>
            </w:r>
          </w:p>
          <w:p w14:paraId="045C6865" w14:textId="77777777" w:rsidR="0053763D" w:rsidRPr="00F10C37" w:rsidRDefault="0053763D" w:rsidP="00C46407">
            <w:pPr>
              <w:pStyle w:val="BodyText"/>
              <w:spacing w:line="360" w:lineRule="auto"/>
              <w:rPr>
                <w:color w:val="000000" w:themeColor="text1"/>
              </w:rPr>
            </w:pPr>
            <w:r w:rsidRPr="00F10C37">
              <w:rPr>
                <w:b/>
                <w:color w:val="000000" w:themeColor="text1"/>
              </w:rPr>
              <w:t xml:space="preserve">Adult, </w:t>
            </w:r>
            <w:r w:rsidRPr="00F10C37">
              <w:rPr>
                <w:color w:val="000000" w:themeColor="text1"/>
              </w:rPr>
              <w:t>IM, slow IV injection: Initially 8 mg, dose to be administered immediately before treatment, then (by mouth) 8 mg every 12 hours for up to 5 days.</w:t>
            </w:r>
          </w:p>
          <w:p w14:paraId="681DADAD" w14:textId="77777777" w:rsidR="0053763D" w:rsidRPr="00F10C37" w:rsidRDefault="0053763D" w:rsidP="00C46407">
            <w:pPr>
              <w:pStyle w:val="BodyText"/>
              <w:spacing w:line="360" w:lineRule="auto"/>
              <w:rPr>
                <w:color w:val="000000" w:themeColor="text1"/>
              </w:rPr>
            </w:pPr>
            <w:r w:rsidRPr="00F10C37">
              <w:rPr>
                <w:b/>
                <w:color w:val="000000" w:themeColor="text1"/>
              </w:rPr>
              <w:t>Infants, children, and adolescents</w:t>
            </w:r>
            <w:r w:rsidRPr="00F10C37">
              <w:rPr>
                <w:color w:val="000000" w:themeColor="text1"/>
              </w:rPr>
              <w:t>, IV, oral: 0.15 mg/kg/dose (5 mg/m2/dose); max. 8 mg/dose, administer first dose before the start of chemotherapy with subsequent doses every 12 hours used in combination with other antiemetics.</w:t>
            </w:r>
          </w:p>
          <w:p w14:paraId="559CAE86" w14:textId="77777777" w:rsidR="0053763D" w:rsidRPr="00F10C37" w:rsidRDefault="0053763D" w:rsidP="00C46407">
            <w:pPr>
              <w:pStyle w:val="BodyText"/>
              <w:spacing w:line="360" w:lineRule="auto"/>
              <w:rPr>
                <w:color w:val="000000" w:themeColor="text1"/>
              </w:rPr>
            </w:pPr>
            <w:r w:rsidRPr="00F10C37">
              <w:rPr>
                <w:b/>
                <w:color w:val="000000" w:themeColor="text1"/>
              </w:rPr>
              <w:t>Severe</w:t>
            </w:r>
            <w:r>
              <w:rPr>
                <w:b/>
                <w:color w:val="000000" w:themeColor="text1"/>
              </w:rPr>
              <w:t xml:space="preserve"> </w:t>
            </w:r>
            <w:r w:rsidRPr="00F10C37">
              <w:rPr>
                <w:b/>
                <w:color w:val="000000" w:themeColor="text1"/>
              </w:rPr>
              <w:t>chemotherapy</w:t>
            </w:r>
            <w:r>
              <w:rPr>
                <w:b/>
                <w:color w:val="000000" w:themeColor="text1"/>
              </w:rPr>
              <w:t xml:space="preserve"> induced nausea and vomiting</w:t>
            </w:r>
            <w:r w:rsidRPr="00F10C37">
              <w:rPr>
                <w:color w:val="000000" w:themeColor="text1"/>
              </w:rPr>
              <w:t xml:space="preserve">: </w:t>
            </w:r>
          </w:p>
          <w:p w14:paraId="76E01B00"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xml:space="preserve">, oral: 24 mg, dose to be taken 1–2 hours before treatment, then 8 mg every 12 hours for up to 5 days. </w:t>
            </w:r>
          </w:p>
          <w:p w14:paraId="0E78C46A"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IM, slow IV: Initially 8 mg, dose to be administered immediately before treatment, followed by 8 mg every 4 hours if required for 2 doses, alternatively, followed by (by continuous IV infusion) 1 mg/hour for up to 24 hours, then (by mouth) 8 mg every 12 hours for up to 5 days.</w:t>
            </w:r>
          </w:p>
          <w:p w14:paraId="4A13E243" w14:textId="77777777" w:rsidR="0053763D" w:rsidRPr="00F10C37" w:rsidRDefault="0053763D" w:rsidP="00C46407">
            <w:pPr>
              <w:pStyle w:val="BodyText"/>
              <w:spacing w:line="360" w:lineRule="auto"/>
              <w:rPr>
                <w:color w:val="000000" w:themeColor="text1"/>
              </w:rPr>
            </w:pPr>
            <w:r w:rsidRPr="00F10C37">
              <w:rPr>
                <w:b/>
                <w:color w:val="000000" w:themeColor="text1"/>
              </w:rPr>
              <w:t>Infants, children, and adolescents</w:t>
            </w:r>
            <w:r w:rsidRPr="00F10C37">
              <w:rPr>
                <w:color w:val="000000" w:themeColor="text1"/>
              </w:rPr>
              <w:t xml:space="preserve">, IV, oral: 0.15 mg/kg/dose (5 mg/m2/dose), administer first dose before the start of </w:t>
            </w:r>
            <w:r w:rsidRPr="00F10C37">
              <w:rPr>
                <w:color w:val="000000" w:themeColor="text1"/>
              </w:rPr>
              <w:lastRenderedPageBreak/>
              <w:t xml:space="preserve">chemotherapy and then every 8 hours (max. dose 8 mg/dose) used in combination with other antiemetics. </w:t>
            </w:r>
          </w:p>
          <w:p w14:paraId="77DBF050" w14:textId="77777777" w:rsidR="0053763D" w:rsidRPr="00F10C37" w:rsidRDefault="0053763D" w:rsidP="00C46407">
            <w:pPr>
              <w:pStyle w:val="BodyText"/>
              <w:spacing w:line="360" w:lineRule="auto"/>
              <w:rPr>
                <w:b/>
                <w:color w:val="000000" w:themeColor="text1"/>
              </w:rPr>
            </w:pPr>
            <w:r w:rsidRPr="00F10C37">
              <w:rPr>
                <w:b/>
                <w:color w:val="000000" w:themeColor="text1"/>
              </w:rPr>
              <w:t>Prevention of postoperative nausea and vomiting</w:t>
            </w:r>
            <w:r w:rsidRPr="00F10C37">
              <w:rPr>
                <w:color w:val="000000" w:themeColor="text1"/>
              </w:rPr>
              <w:t>:</w:t>
            </w:r>
          </w:p>
          <w:p w14:paraId="4B9F344F"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xml:space="preserve">, oral: 16 mg, dose to be taken 1 hour before anesthesia. </w:t>
            </w:r>
          </w:p>
          <w:p w14:paraId="35A68F4B"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IM, slow IV: 4 mg, dose to be administered at induction of anesthesia.</w:t>
            </w:r>
          </w:p>
          <w:p w14:paraId="51D40CDB" w14:textId="77777777" w:rsidR="0053763D" w:rsidRPr="00F10C37" w:rsidRDefault="0053763D" w:rsidP="00C46407">
            <w:pPr>
              <w:pStyle w:val="BodyText"/>
              <w:spacing w:line="360" w:lineRule="auto"/>
              <w:rPr>
                <w:color w:val="000000" w:themeColor="text1"/>
              </w:rPr>
            </w:pPr>
            <w:r w:rsidRPr="00F10C37">
              <w:rPr>
                <w:b/>
                <w:color w:val="000000" w:themeColor="text1"/>
              </w:rPr>
              <w:t>Infant and child ≤ 40 kg</w:t>
            </w:r>
            <w:r w:rsidRPr="00F10C37">
              <w:rPr>
                <w:color w:val="000000" w:themeColor="text1"/>
              </w:rPr>
              <w:t>, IV: 0.1 mg/kg/dose as a single dose (max. 4 mg/dose)</w:t>
            </w:r>
          </w:p>
          <w:p w14:paraId="4EFE1AE1" w14:textId="77777777" w:rsidR="0053763D" w:rsidRPr="00F10C37" w:rsidRDefault="0053763D" w:rsidP="00C46407">
            <w:pPr>
              <w:pStyle w:val="BodyText"/>
              <w:spacing w:line="360" w:lineRule="auto"/>
              <w:rPr>
                <w:color w:val="000000" w:themeColor="text1"/>
              </w:rPr>
            </w:pPr>
            <w:r w:rsidRPr="00F10C37">
              <w:rPr>
                <w:b/>
                <w:color w:val="000000" w:themeColor="text1"/>
              </w:rPr>
              <w:t>Child &gt; 40 kg</w:t>
            </w:r>
            <w:r w:rsidRPr="00F10C37">
              <w:rPr>
                <w:color w:val="000000" w:themeColor="text1"/>
              </w:rPr>
              <w:t>, IV: 4 mg/dose as a single dose.</w:t>
            </w:r>
          </w:p>
          <w:p w14:paraId="055A041B" w14:textId="77777777" w:rsidR="0053763D" w:rsidRPr="00F10C37" w:rsidRDefault="0053763D" w:rsidP="00C46407">
            <w:pPr>
              <w:pStyle w:val="BodyText"/>
              <w:spacing w:line="360" w:lineRule="auto"/>
              <w:rPr>
                <w:color w:val="000000" w:themeColor="text1"/>
              </w:rPr>
            </w:pPr>
            <w:r w:rsidRPr="00F10C37">
              <w:rPr>
                <w:b/>
                <w:color w:val="000000" w:themeColor="text1"/>
              </w:rPr>
              <w:t>Adolescent</w:t>
            </w:r>
            <w:r w:rsidRPr="00F10C37">
              <w:rPr>
                <w:color w:val="000000" w:themeColor="text1"/>
              </w:rPr>
              <w:t>, IM, IV: 4 mg/dose as a single dose.</w:t>
            </w:r>
          </w:p>
          <w:p w14:paraId="695C3588" w14:textId="77777777" w:rsidR="0053763D" w:rsidRPr="003D3E3A" w:rsidRDefault="0053763D" w:rsidP="00C46407">
            <w:pPr>
              <w:pStyle w:val="BodyText"/>
              <w:spacing w:line="360" w:lineRule="auto"/>
              <w:rPr>
                <w:b/>
                <w:color w:val="000000" w:themeColor="text1"/>
              </w:rPr>
            </w:pPr>
            <w:r w:rsidRPr="003D3E3A">
              <w:rPr>
                <w:b/>
                <w:color w:val="000000" w:themeColor="text1"/>
              </w:rPr>
              <w:t>Treatment of postoperative nausea and vomiting</w:t>
            </w:r>
            <w:r w:rsidRPr="005011A7">
              <w:rPr>
                <w:color w:val="000000" w:themeColor="text1"/>
              </w:rPr>
              <w:t>:</w:t>
            </w:r>
          </w:p>
          <w:p w14:paraId="117E8551"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 xml:space="preserve">, IM, slow IV: 4 mg for 1 dose. </w:t>
            </w:r>
          </w:p>
          <w:p w14:paraId="3DCD1EE9" w14:textId="77777777" w:rsidR="0053763D" w:rsidRPr="00F10C37" w:rsidRDefault="0053763D" w:rsidP="00C46407">
            <w:pPr>
              <w:pStyle w:val="BodyText"/>
              <w:spacing w:line="360" w:lineRule="auto"/>
              <w:rPr>
                <w:color w:val="000000" w:themeColor="text1"/>
              </w:rPr>
            </w:pPr>
            <w:r w:rsidRPr="00F10C37">
              <w:rPr>
                <w:b/>
                <w:color w:val="000000" w:themeColor="text1"/>
              </w:rPr>
              <w:t>Child 1 month –18 years</w:t>
            </w:r>
            <w:r w:rsidRPr="00F10C37">
              <w:rPr>
                <w:color w:val="000000" w:themeColor="text1"/>
              </w:rPr>
              <w:t xml:space="preserve">, IV (over at least 30 seconds): 100 mcg/kg (max. 4 mg). </w:t>
            </w:r>
          </w:p>
        </w:tc>
      </w:tr>
      <w:tr w:rsidR="0053763D" w:rsidRPr="00F10C37" w14:paraId="1CDAEA7A" w14:textId="77777777" w:rsidTr="00C46407">
        <w:trPr>
          <w:jc w:val="center"/>
        </w:trPr>
        <w:tc>
          <w:tcPr>
            <w:tcW w:w="2875" w:type="dxa"/>
          </w:tcPr>
          <w:p w14:paraId="69B5C95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439" w:type="dxa"/>
          </w:tcPr>
          <w:p w14:paraId="7DFAE2C7" w14:textId="77777777" w:rsidR="0053763D" w:rsidRPr="00F10C37" w:rsidRDefault="0053763D" w:rsidP="00C46407">
            <w:pPr>
              <w:pStyle w:val="BodyText"/>
              <w:spacing w:line="360" w:lineRule="auto"/>
              <w:rPr>
                <w:color w:val="000000" w:themeColor="text1"/>
              </w:rPr>
            </w:pPr>
            <w:r w:rsidRPr="00F10C37">
              <w:rPr>
                <w:color w:val="000000" w:themeColor="text1"/>
              </w:rPr>
              <w:t xml:space="preserve">Congenital </w:t>
            </w:r>
            <w:r>
              <w:rPr>
                <w:color w:val="000000" w:themeColor="text1"/>
              </w:rPr>
              <w:t>p</w:t>
            </w:r>
            <w:r w:rsidRPr="00F10C37">
              <w:rPr>
                <w:color w:val="000000" w:themeColor="text1"/>
              </w:rPr>
              <w:t>rolonged QT</w:t>
            </w:r>
            <w:r w:rsidR="00BD78A8">
              <w:rPr>
                <w:color w:val="000000" w:themeColor="text1"/>
              </w:rPr>
              <w:t>.</w:t>
            </w:r>
          </w:p>
        </w:tc>
      </w:tr>
      <w:tr w:rsidR="0053763D" w:rsidRPr="00F10C37" w14:paraId="76D79C9A" w14:textId="77777777" w:rsidTr="00C46407">
        <w:trPr>
          <w:jc w:val="center"/>
        </w:trPr>
        <w:tc>
          <w:tcPr>
            <w:tcW w:w="2875" w:type="dxa"/>
          </w:tcPr>
          <w:p w14:paraId="1561F94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39" w:type="dxa"/>
          </w:tcPr>
          <w:p w14:paraId="6AA5D48A" w14:textId="77777777" w:rsidR="0053763D" w:rsidRPr="00F10C37" w:rsidRDefault="0053763D" w:rsidP="00C46407">
            <w:pPr>
              <w:pStyle w:val="BodyText"/>
              <w:spacing w:line="360" w:lineRule="auto"/>
              <w:rPr>
                <w:color w:val="000000" w:themeColor="text1"/>
              </w:rPr>
            </w:pPr>
            <w:r w:rsidRPr="00F10C37">
              <w:rPr>
                <w:color w:val="000000" w:themeColor="text1"/>
              </w:rPr>
              <w:t>Carbamazepine, phenobarbital, phenytoin, rifampicin, apomorphine</w:t>
            </w:r>
            <w:r w:rsidR="00BD78A8">
              <w:rPr>
                <w:color w:val="000000" w:themeColor="text1"/>
              </w:rPr>
              <w:t>.</w:t>
            </w:r>
          </w:p>
        </w:tc>
      </w:tr>
      <w:tr w:rsidR="0053763D" w:rsidRPr="00F10C37" w14:paraId="74260C7A" w14:textId="77777777" w:rsidTr="00C46407">
        <w:trPr>
          <w:jc w:val="center"/>
        </w:trPr>
        <w:tc>
          <w:tcPr>
            <w:tcW w:w="2875" w:type="dxa"/>
          </w:tcPr>
          <w:p w14:paraId="489FC46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39" w:type="dxa"/>
          </w:tcPr>
          <w:p w14:paraId="343F1C1B" w14:textId="77777777" w:rsidR="0053763D" w:rsidRPr="00F10C37" w:rsidRDefault="0053763D" w:rsidP="00C46407">
            <w:pPr>
              <w:pStyle w:val="BodyText"/>
              <w:spacing w:line="360" w:lineRule="auto"/>
              <w:rPr>
                <w:color w:val="000000" w:themeColor="text1"/>
              </w:rPr>
            </w:pPr>
            <w:r w:rsidRPr="00F10C37">
              <w:rPr>
                <w:color w:val="000000" w:themeColor="text1"/>
              </w:rPr>
              <w:t>Constipation, feeling hot, headache, abnormal sensation, arrhythmias, chest pain, hiccups, hypotension, movement disorders, oculogyric crisis, seizure, dizziness, QT interval prolongation, vision disorders.</w:t>
            </w:r>
          </w:p>
        </w:tc>
      </w:tr>
      <w:tr w:rsidR="0053763D" w:rsidRPr="00F10C37" w14:paraId="48F885CC" w14:textId="77777777" w:rsidTr="00C46407">
        <w:trPr>
          <w:jc w:val="center"/>
        </w:trPr>
        <w:tc>
          <w:tcPr>
            <w:tcW w:w="2875" w:type="dxa"/>
          </w:tcPr>
          <w:p w14:paraId="72B987E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39" w:type="dxa"/>
          </w:tcPr>
          <w:p w14:paraId="529F6BD4" w14:textId="77777777" w:rsidR="0053763D" w:rsidRPr="00F10C37" w:rsidRDefault="0053763D" w:rsidP="00C46407">
            <w:pPr>
              <w:pStyle w:val="BodyText"/>
              <w:spacing w:line="360" w:lineRule="auto"/>
              <w:ind w:right="477"/>
              <w:rPr>
                <w:color w:val="000000" w:themeColor="text1"/>
              </w:rPr>
            </w:pPr>
            <w:r w:rsidRPr="00F10C37">
              <w:rPr>
                <w:color w:val="000000" w:themeColor="text1"/>
              </w:rPr>
              <w:t>Adenotonsillar surgery, subacute intestinal obstruction, susceptibility to QT-interval prolongation (including electrolyte disturbances), hepatic impairment (reduce dose if moderate or severe impairment).</w:t>
            </w:r>
          </w:p>
        </w:tc>
      </w:tr>
      <w:tr w:rsidR="0053763D" w:rsidRPr="00F10C37" w14:paraId="4274FE5F" w14:textId="77777777" w:rsidTr="00C46407">
        <w:trPr>
          <w:jc w:val="center"/>
        </w:trPr>
        <w:tc>
          <w:tcPr>
            <w:tcW w:w="2875" w:type="dxa"/>
          </w:tcPr>
          <w:p w14:paraId="0131BE8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39" w:type="dxa"/>
          </w:tcPr>
          <w:p w14:paraId="6C66E53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between 2 °C and 30 °C.</w:t>
            </w:r>
          </w:p>
        </w:tc>
      </w:tr>
    </w:tbl>
    <w:p w14:paraId="1D4F6425" w14:textId="77777777" w:rsidR="0053763D" w:rsidRPr="00F10C37" w:rsidRDefault="0053763D" w:rsidP="0053763D">
      <w:pPr>
        <w:spacing w:after="0"/>
        <w:jc w:val="both"/>
        <w:rPr>
          <w:rFonts w:cs="Times New Roman"/>
          <w:szCs w:val="24"/>
          <w:lang w:val="en-US" w:eastAsia="en-US"/>
        </w:rPr>
      </w:pPr>
    </w:p>
    <w:p w14:paraId="09C1ACEC" w14:textId="77777777" w:rsidR="00BD78A8" w:rsidRDefault="00BD78A8" w:rsidP="0053763D">
      <w:pPr>
        <w:pStyle w:val="Heading2"/>
      </w:pPr>
      <w:bookmarkStart w:id="22" w:name="1.5._Cathartics_and_Laxative"/>
      <w:bookmarkStart w:id="23" w:name="_bookmark26"/>
      <w:bookmarkEnd w:id="22"/>
      <w:bookmarkEnd w:id="23"/>
    </w:p>
    <w:p w14:paraId="6613862A" w14:textId="77777777" w:rsidR="00BD78A8" w:rsidRDefault="00BD78A8" w:rsidP="0053763D">
      <w:pPr>
        <w:pStyle w:val="Heading2"/>
      </w:pPr>
    </w:p>
    <w:p w14:paraId="160EEE73" w14:textId="77777777" w:rsidR="0053763D" w:rsidRPr="00F10C37" w:rsidRDefault="0053763D" w:rsidP="0053763D">
      <w:pPr>
        <w:pStyle w:val="Heading2"/>
      </w:pPr>
      <w:bookmarkStart w:id="24" w:name="_Toc179490308"/>
      <w:r>
        <w:t>L</w:t>
      </w:r>
      <w:r w:rsidRPr="00F10C37">
        <w:t>axatives</w:t>
      </w:r>
      <w:r w:rsidRPr="00EC78C9">
        <w:t xml:space="preserve"> </w:t>
      </w:r>
      <w:r>
        <w:t>and c</w:t>
      </w:r>
      <w:r w:rsidRPr="00F10C37">
        <w:t>athartics</w:t>
      </w:r>
      <w:bookmarkEnd w:id="24"/>
    </w:p>
    <w:p w14:paraId="55DE688D" w14:textId="77777777" w:rsidR="0053763D" w:rsidRPr="00F10C37" w:rsidRDefault="0053763D" w:rsidP="00491AFD">
      <w:pPr>
        <w:pStyle w:val="BodyText"/>
        <w:spacing w:after="240" w:line="360" w:lineRule="auto"/>
        <w:rPr>
          <w:color w:val="000000" w:themeColor="text1"/>
        </w:rPr>
      </w:pPr>
      <w:r w:rsidRPr="00F10C37">
        <w:rPr>
          <w:color w:val="000000" w:themeColor="text1"/>
        </w:rPr>
        <w:t xml:space="preserve">Laxatives and cathartics promote </w:t>
      </w:r>
      <w:r>
        <w:rPr>
          <w:color w:val="000000" w:themeColor="text1"/>
        </w:rPr>
        <w:t xml:space="preserve">bowel evacuation </w:t>
      </w:r>
      <w:r w:rsidRPr="00F10C37">
        <w:rPr>
          <w:color w:val="000000" w:themeColor="text1"/>
        </w:rPr>
        <w:t xml:space="preserve">and are used in the treatment of constipation </w:t>
      </w:r>
      <w:r>
        <w:rPr>
          <w:color w:val="000000" w:themeColor="text1"/>
        </w:rPr>
        <w:lastRenderedPageBreak/>
        <w:t xml:space="preserve">and </w:t>
      </w:r>
      <w:r w:rsidRPr="00F10C37">
        <w:rPr>
          <w:color w:val="000000" w:themeColor="text1"/>
        </w:rPr>
        <w:t xml:space="preserve">before investigational procedures such as endoscopy or radiological examination or before surgery. Laxatives are </w:t>
      </w:r>
      <w:r>
        <w:rPr>
          <w:color w:val="000000" w:themeColor="text1"/>
        </w:rPr>
        <w:t>important</w:t>
      </w:r>
      <w:r w:rsidRPr="00F10C37">
        <w:rPr>
          <w:color w:val="000000" w:themeColor="text1"/>
        </w:rPr>
        <w:t xml:space="preserve"> in medicine-induced constipation, for the expulsion of parasites after anthelminthic treatment and to clear the alimentary tract before surgery and radiological procedures. Laxatives are usually subdivided into several categories including the bulk forming laxatives such as diphenyl methane derivatives (bisacodyl) and also other miscellaneous agent (castor oil); osmotic laxatives (glycerin, lactulose) and fecal softeners (polyethylene glycol).</w:t>
      </w:r>
    </w:p>
    <w:tbl>
      <w:tblPr>
        <w:tblStyle w:val="TableGrid"/>
        <w:tblW w:w="9090" w:type="dxa"/>
        <w:jc w:val="center"/>
        <w:tblLayout w:type="fixed"/>
        <w:tblLook w:val="04A0" w:firstRow="1" w:lastRow="0" w:firstColumn="1" w:lastColumn="0" w:noHBand="0" w:noVBand="1"/>
      </w:tblPr>
      <w:tblGrid>
        <w:gridCol w:w="2605"/>
        <w:gridCol w:w="6412"/>
        <w:gridCol w:w="73"/>
      </w:tblGrid>
      <w:tr w:rsidR="0053763D" w:rsidRPr="00F10C37" w14:paraId="36CC3D19" w14:textId="77777777" w:rsidTr="00C46407">
        <w:trPr>
          <w:jc w:val="center"/>
        </w:trPr>
        <w:tc>
          <w:tcPr>
            <w:tcW w:w="9090" w:type="dxa"/>
            <w:gridSpan w:val="3"/>
          </w:tcPr>
          <w:p w14:paraId="505DBA98" w14:textId="77777777" w:rsidR="0053763D" w:rsidRPr="00F10C37" w:rsidRDefault="0053763D" w:rsidP="00C46407">
            <w:pPr>
              <w:jc w:val="both"/>
              <w:rPr>
                <w:rFonts w:cs="Times New Roman"/>
                <w:b/>
                <w:bCs/>
                <w:color w:val="000000" w:themeColor="text1"/>
                <w:szCs w:val="24"/>
                <w:shd w:val="clear" w:color="auto" w:fill="FFFFFF"/>
              </w:rPr>
            </w:pPr>
            <w:r w:rsidRPr="00F10C37">
              <w:rPr>
                <w:rFonts w:cs="Times New Roman"/>
                <w:b/>
                <w:bCs/>
                <w:color w:val="000000" w:themeColor="text1"/>
                <w:szCs w:val="24"/>
                <w:lang w:val="sv-SE"/>
              </w:rPr>
              <w:t>Bisacodyl</w:t>
            </w:r>
          </w:p>
        </w:tc>
      </w:tr>
      <w:tr w:rsidR="0053763D" w:rsidRPr="00F10C37" w14:paraId="735CEE10" w14:textId="77777777" w:rsidTr="00C46407">
        <w:trPr>
          <w:jc w:val="center"/>
        </w:trPr>
        <w:tc>
          <w:tcPr>
            <w:tcW w:w="2605" w:type="dxa"/>
          </w:tcPr>
          <w:p w14:paraId="5450C6C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5" w:type="dxa"/>
            <w:gridSpan w:val="2"/>
          </w:tcPr>
          <w:p w14:paraId="39E7240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Laxative</w:t>
            </w:r>
          </w:p>
        </w:tc>
      </w:tr>
      <w:tr w:rsidR="0053763D" w:rsidRPr="00F10C37" w14:paraId="036CEC3A" w14:textId="77777777" w:rsidTr="00C46407">
        <w:trPr>
          <w:jc w:val="center"/>
        </w:trPr>
        <w:tc>
          <w:tcPr>
            <w:tcW w:w="2605" w:type="dxa"/>
          </w:tcPr>
          <w:p w14:paraId="4F25C26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5" w:type="dxa"/>
            <w:gridSpan w:val="2"/>
          </w:tcPr>
          <w:p w14:paraId="769F436D"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Suppository: 5mg, 10mg</w:t>
            </w:r>
          </w:p>
          <w:p w14:paraId="56EAA947"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Tablet: 5mg, 10mg</w:t>
            </w:r>
          </w:p>
        </w:tc>
      </w:tr>
      <w:tr w:rsidR="0053763D" w:rsidRPr="00F10C37" w14:paraId="020A52B9" w14:textId="77777777" w:rsidTr="00C46407">
        <w:trPr>
          <w:jc w:val="center"/>
        </w:trPr>
        <w:tc>
          <w:tcPr>
            <w:tcW w:w="2605" w:type="dxa"/>
          </w:tcPr>
          <w:p w14:paraId="04AF21F9" w14:textId="77777777" w:rsidR="0053763D" w:rsidRPr="00744E73" w:rsidRDefault="0053763D" w:rsidP="00C46407">
            <w:pPr>
              <w:jc w:val="both"/>
              <w:rPr>
                <w:rFonts w:cs="Times New Roman"/>
                <w:color w:val="000000" w:themeColor="text1"/>
                <w:szCs w:val="24"/>
              </w:rPr>
            </w:pPr>
            <w:r w:rsidRPr="00744E73">
              <w:rPr>
                <w:rFonts w:cs="Times New Roman"/>
                <w:color w:val="000000" w:themeColor="text1"/>
                <w:szCs w:val="24"/>
              </w:rPr>
              <w:t>Indications</w:t>
            </w:r>
          </w:p>
        </w:tc>
        <w:tc>
          <w:tcPr>
            <w:tcW w:w="6485" w:type="dxa"/>
            <w:gridSpan w:val="2"/>
          </w:tcPr>
          <w:p w14:paraId="4DB70A13"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Pr>
                <w:color w:val="000000" w:themeColor="text1"/>
              </w:rPr>
              <w:t>C</w:t>
            </w:r>
            <w:r w:rsidRPr="00F10C37">
              <w:rPr>
                <w:color w:val="000000" w:themeColor="text1"/>
              </w:rPr>
              <w:t>onstipation</w:t>
            </w:r>
            <w:r>
              <w:rPr>
                <w:color w:val="000000" w:themeColor="text1"/>
              </w:rPr>
              <w:t>, bowel evacuation.</w:t>
            </w:r>
          </w:p>
        </w:tc>
      </w:tr>
      <w:tr w:rsidR="0053763D" w:rsidRPr="00F10C37" w14:paraId="4060EE8F" w14:textId="77777777" w:rsidTr="00C46407">
        <w:trPr>
          <w:jc w:val="center"/>
        </w:trPr>
        <w:tc>
          <w:tcPr>
            <w:tcW w:w="2605" w:type="dxa"/>
          </w:tcPr>
          <w:p w14:paraId="6114322F"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5" w:type="dxa"/>
            <w:gridSpan w:val="2"/>
          </w:tcPr>
          <w:p w14:paraId="5ED63102" w14:textId="77777777" w:rsidR="0053763D" w:rsidRPr="00F10C37" w:rsidRDefault="0053763D" w:rsidP="00C46407">
            <w:pPr>
              <w:jc w:val="both"/>
              <w:rPr>
                <w:rFonts w:cs="Times New Roman"/>
                <w:b/>
                <w:i/>
                <w:color w:val="000000" w:themeColor="text1"/>
                <w:szCs w:val="24"/>
              </w:rPr>
            </w:pPr>
            <w:r w:rsidRPr="00F10C37">
              <w:rPr>
                <w:rFonts w:cs="Times New Roman"/>
                <w:b/>
                <w:color w:val="000000" w:themeColor="text1"/>
                <w:szCs w:val="24"/>
              </w:rPr>
              <w:t>Constipation</w:t>
            </w:r>
            <w:r w:rsidRPr="00F10C37">
              <w:rPr>
                <w:rFonts w:cs="Times New Roman"/>
                <w:color w:val="000000" w:themeColor="text1"/>
                <w:szCs w:val="24"/>
              </w:rPr>
              <w:t>, oral:</w:t>
            </w:r>
          </w:p>
          <w:p w14:paraId="5A22F4D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4–17 years</w:t>
            </w:r>
            <w:r w:rsidRPr="00F10C37">
              <w:rPr>
                <w:rFonts w:cs="Times New Roman"/>
                <w:color w:val="000000" w:themeColor="text1"/>
                <w:szCs w:val="24"/>
              </w:rPr>
              <w:t>: 5–20 mg once daily, adjusted according to response, dose to be taken at night.</w:t>
            </w:r>
          </w:p>
          <w:p w14:paraId="0A17B12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5–10 mg once daily; increased if necessary up to 20 mg once daily, dose to be taken at night.</w:t>
            </w:r>
          </w:p>
          <w:p w14:paraId="49F3DEDD"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Constipation, </w:t>
            </w:r>
            <w:r w:rsidRPr="00F10C37">
              <w:rPr>
                <w:rFonts w:cs="Times New Roman"/>
                <w:color w:val="000000" w:themeColor="text1"/>
                <w:szCs w:val="24"/>
              </w:rPr>
              <w:t>rectal</w:t>
            </w:r>
            <w:r w:rsidRPr="00F10C37">
              <w:rPr>
                <w:rFonts w:cs="Times New Roman"/>
                <w:b/>
                <w:color w:val="000000" w:themeColor="text1"/>
                <w:szCs w:val="24"/>
              </w:rPr>
              <w:t>:</w:t>
            </w:r>
          </w:p>
          <w:p w14:paraId="2BB998E1"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&lt; 3 years</w:t>
            </w:r>
            <w:r w:rsidRPr="00F10C37">
              <w:rPr>
                <w:rFonts w:cs="Times New Roman"/>
                <w:color w:val="000000" w:themeColor="text1"/>
                <w:szCs w:val="24"/>
              </w:rPr>
              <w:t>: 5mg daily as a single dose.</w:t>
            </w:r>
          </w:p>
          <w:p w14:paraId="0A2ACC5A"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4–9 years</w:t>
            </w:r>
            <w:r w:rsidRPr="00F10C37">
              <w:rPr>
                <w:rFonts w:cs="Times New Roman"/>
                <w:color w:val="000000" w:themeColor="text1"/>
                <w:szCs w:val="24"/>
              </w:rPr>
              <w:t>: 5 mg once daily, adjusted according to response.</w:t>
            </w:r>
          </w:p>
          <w:p w14:paraId="26EE5FA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10–17 years</w:t>
            </w:r>
            <w:r w:rsidRPr="00F10C37">
              <w:rPr>
                <w:rFonts w:cs="Times New Roman"/>
                <w:color w:val="000000" w:themeColor="text1"/>
                <w:szCs w:val="24"/>
              </w:rPr>
              <w:t>: 10 mg once daily, dose to be taken in the morning.</w:t>
            </w:r>
          </w:p>
          <w:p w14:paraId="21D86409"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10 mg once daily, dose to be taken in the morning.</w:t>
            </w:r>
          </w:p>
          <w:p w14:paraId="058262FF" w14:textId="77777777" w:rsidR="0053763D" w:rsidRPr="00F10C37" w:rsidRDefault="0053763D" w:rsidP="00C46407">
            <w:pPr>
              <w:jc w:val="both"/>
              <w:rPr>
                <w:rFonts w:cs="Times New Roman"/>
                <w:b/>
                <w:i/>
                <w:color w:val="000000" w:themeColor="text1"/>
                <w:szCs w:val="24"/>
              </w:rPr>
            </w:pPr>
            <w:r w:rsidRPr="00F10C37">
              <w:rPr>
                <w:rFonts w:cs="Times New Roman"/>
                <w:b/>
                <w:color w:val="000000" w:themeColor="text1"/>
                <w:szCs w:val="24"/>
              </w:rPr>
              <w:t xml:space="preserve">Bowel </w:t>
            </w:r>
            <w:r>
              <w:rPr>
                <w:rFonts w:cs="Times New Roman"/>
                <w:b/>
                <w:color w:val="000000" w:themeColor="text1"/>
                <w:szCs w:val="24"/>
              </w:rPr>
              <w:t>evacuation</w:t>
            </w:r>
            <w:r w:rsidRPr="00F10C37">
              <w:rPr>
                <w:rFonts w:cs="Times New Roman"/>
                <w:b/>
                <w:color w:val="000000" w:themeColor="text1"/>
                <w:szCs w:val="24"/>
              </w:rPr>
              <w:t xml:space="preserve"> before radiological procedures and surgery</w:t>
            </w:r>
            <w:r w:rsidRPr="00F10C37">
              <w:rPr>
                <w:rFonts w:cs="Times New Roman"/>
                <w:b/>
                <w:i/>
                <w:color w:val="000000" w:themeColor="text1"/>
                <w:szCs w:val="24"/>
              </w:rPr>
              <w:t>:</w:t>
            </w:r>
          </w:p>
          <w:p w14:paraId="761C8D2D"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Initially 10 mg twice daily (orally), dose to be taken in the morning and evening on the day before procedure, then 10 mg (by rectum) to be administered 1–2 hours before procedure in the following day. </w:t>
            </w:r>
          </w:p>
        </w:tc>
      </w:tr>
      <w:tr w:rsidR="0053763D" w:rsidRPr="00F10C37" w14:paraId="61300AE9" w14:textId="77777777" w:rsidTr="00C46407">
        <w:trPr>
          <w:jc w:val="center"/>
        </w:trPr>
        <w:tc>
          <w:tcPr>
            <w:tcW w:w="2605" w:type="dxa"/>
          </w:tcPr>
          <w:p w14:paraId="61ACBD7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5" w:type="dxa"/>
            <w:gridSpan w:val="2"/>
          </w:tcPr>
          <w:p w14:paraId="3AEE4093" w14:textId="77777777" w:rsidR="0053763D" w:rsidRPr="00F10C37" w:rsidRDefault="0053763D" w:rsidP="00C46407">
            <w:pPr>
              <w:pStyle w:val="BodyText"/>
              <w:spacing w:line="360" w:lineRule="auto"/>
              <w:rPr>
                <w:color w:val="000000" w:themeColor="text1"/>
              </w:rPr>
            </w:pPr>
            <w:r w:rsidRPr="00F10C37">
              <w:rPr>
                <w:color w:val="000000" w:themeColor="text1"/>
              </w:rPr>
              <w:t xml:space="preserve">Acute abdominal conditions, acute inflammatory bowel disease, </w:t>
            </w:r>
            <w:r w:rsidRPr="00F10C37">
              <w:rPr>
                <w:color w:val="000000" w:themeColor="text1"/>
              </w:rPr>
              <w:lastRenderedPageBreak/>
              <w:t>intestinal obstruction, severe dehydration.</w:t>
            </w:r>
          </w:p>
        </w:tc>
      </w:tr>
      <w:tr w:rsidR="0053763D" w:rsidRPr="00F10C37" w14:paraId="4D5AF563" w14:textId="77777777" w:rsidTr="00C46407">
        <w:trPr>
          <w:jc w:val="center"/>
        </w:trPr>
        <w:tc>
          <w:tcPr>
            <w:tcW w:w="2605" w:type="dxa"/>
          </w:tcPr>
          <w:p w14:paraId="0B1F7FB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485" w:type="dxa"/>
            <w:gridSpan w:val="2"/>
          </w:tcPr>
          <w:p w14:paraId="52742923"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Antacids, polyethylene glycol, sodium sulphate.</w:t>
            </w:r>
          </w:p>
        </w:tc>
      </w:tr>
      <w:tr w:rsidR="0053763D" w:rsidRPr="00F10C37" w14:paraId="2B96F946" w14:textId="77777777" w:rsidTr="00C46407">
        <w:trPr>
          <w:jc w:val="center"/>
        </w:trPr>
        <w:tc>
          <w:tcPr>
            <w:tcW w:w="2605" w:type="dxa"/>
          </w:tcPr>
          <w:p w14:paraId="3584B05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5" w:type="dxa"/>
            <w:gridSpan w:val="2"/>
          </w:tcPr>
          <w:p w14:paraId="3E6E6149"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Gastrointestinal discomfort, nausea, hematochezia, vomiting, angioedema, colitis, dehydration.</w:t>
            </w:r>
          </w:p>
        </w:tc>
      </w:tr>
      <w:tr w:rsidR="0053763D" w:rsidRPr="00F10C37" w14:paraId="22A95A47" w14:textId="77777777" w:rsidTr="00C46407">
        <w:trPr>
          <w:jc w:val="center"/>
        </w:trPr>
        <w:tc>
          <w:tcPr>
            <w:tcW w:w="2605" w:type="dxa"/>
          </w:tcPr>
          <w:p w14:paraId="59E5BE6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5" w:type="dxa"/>
            <w:gridSpan w:val="2"/>
          </w:tcPr>
          <w:p w14:paraId="5DC67CA9"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Pr>
                <w:color w:val="000000" w:themeColor="text1"/>
              </w:rPr>
              <w:t>E</w:t>
            </w:r>
            <w:r w:rsidRPr="00F10C37">
              <w:rPr>
                <w:color w:val="000000" w:themeColor="text1"/>
              </w:rPr>
              <w:t>lectrolyte imbalanc</w:t>
            </w:r>
            <w:r>
              <w:rPr>
                <w:color w:val="000000" w:themeColor="text1"/>
              </w:rPr>
              <w:t>e</w:t>
            </w:r>
            <w:r w:rsidRPr="00F10C37">
              <w:rPr>
                <w:color w:val="000000" w:themeColor="text1"/>
              </w:rPr>
              <w:t xml:space="preserve">. </w:t>
            </w:r>
          </w:p>
        </w:tc>
      </w:tr>
      <w:tr w:rsidR="0053763D" w:rsidRPr="00F10C37" w14:paraId="631C6331" w14:textId="77777777" w:rsidTr="00C46407">
        <w:trPr>
          <w:jc w:val="center"/>
        </w:trPr>
        <w:tc>
          <w:tcPr>
            <w:tcW w:w="2605" w:type="dxa"/>
          </w:tcPr>
          <w:p w14:paraId="55F92B6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5" w:type="dxa"/>
            <w:gridSpan w:val="2"/>
          </w:tcPr>
          <w:p w14:paraId="530432C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Store below </w:t>
            </w:r>
            <w:r>
              <w:rPr>
                <w:rFonts w:cs="Times New Roman"/>
                <w:color w:val="000000" w:themeColor="text1"/>
                <w:szCs w:val="24"/>
              </w:rPr>
              <w:t>30</w:t>
            </w:r>
            <w:r w:rsidRPr="00F10C37">
              <w:rPr>
                <w:rFonts w:cs="Times New Roman"/>
                <w:color w:val="000000" w:themeColor="text1"/>
                <w:szCs w:val="24"/>
              </w:rPr>
              <w:t xml:space="preserve"> °C. Protect from moisture.</w:t>
            </w:r>
          </w:p>
        </w:tc>
      </w:tr>
      <w:tr w:rsidR="0053763D" w:rsidRPr="00F10C37" w14:paraId="14FF434B" w14:textId="77777777" w:rsidTr="00C46407">
        <w:trPr>
          <w:jc w:val="center"/>
        </w:trPr>
        <w:tc>
          <w:tcPr>
            <w:tcW w:w="9090" w:type="dxa"/>
            <w:gridSpan w:val="3"/>
          </w:tcPr>
          <w:p w14:paraId="53162E69" w14:textId="77777777" w:rsidR="0053763D" w:rsidRPr="00F10C37" w:rsidRDefault="0053763D" w:rsidP="00C46407">
            <w:pPr>
              <w:jc w:val="both"/>
              <w:rPr>
                <w:rFonts w:cs="Times New Roman"/>
                <w:b/>
                <w:color w:val="000000" w:themeColor="text1"/>
                <w:szCs w:val="24"/>
                <w:shd w:val="clear" w:color="auto" w:fill="FFFFFF"/>
              </w:rPr>
            </w:pPr>
            <w:r w:rsidRPr="00F10C37">
              <w:rPr>
                <w:rFonts w:cs="Times New Roman"/>
                <w:b/>
                <w:color w:val="000000" w:themeColor="text1"/>
                <w:szCs w:val="24"/>
              </w:rPr>
              <w:t>Castor oil</w:t>
            </w:r>
          </w:p>
        </w:tc>
      </w:tr>
      <w:tr w:rsidR="0053763D" w:rsidRPr="00F10C37" w14:paraId="24A64001" w14:textId="77777777" w:rsidTr="00C46407">
        <w:trPr>
          <w:jc w:val="center"/>
        </w:trPr>
        <w:tc>
          <w:tcPr>
            <w:tcW w:w="2605" w:type="dxa"/>
          </w:tcPr>
          <w:p w14:paraId="1FC5633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5" w:type="dxa"/>
            <w:gridSpan w:val="2"/>
          </w:tcPr>
          <w:p w14:paraId="727C466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 xml:space="preserve">Laxative </w:t>
            </w:r>
          </w:p>
        </w:tc>
      </w:tr>
      <w:tr w:rsidR="0053763D" w:rsidRPr="00F10C37" w14:paraId="2B0321F1" w14:textId="77777777" w:rsidTr="00C46407">
        <w:trPr>
          <w:jc w:val="center"/>
        </w:trPr>
        <w:tc>
          <w:tcPr>
            <w:tcW w:w="2605" w:type="dxa"/>
          </w:tcPr>
          <w:p w14:paraId="18F224A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5" w:type="dxa"/>
            <w:gridSpan w:val="2"/>
          </w:tcPr>
          <w:p w14:paraId="1C740C28" w14:textId="77777777" w:rsidR="0053763D" w:rsidRPr="00F10C37" w:rsidRDefault="0053763D" w:rsidP="00C46407">
            <w:pPr>
              <w:widowControl w:val="0"/>
              <w:autoSpaceDE w:val="0"/>
              <w:autoSpaceDN w:val="0"/>
              <w:adjustRightInd w:val="0"/>
              <w:jc w:val="both"/>
              <w:rPr>
                <w:rFonts w:cs="Times New Roman"/>
                <w:color w:val="000000" w:themeColor="text1"/>
                <w:szCs w:val="24"/>
                <w:lang w:val="sv-SE"/>
              </w:rPr>
            </w:pPr>
            <w:r w:rsidRPr="00F10C37">
              <w:rPr>
                <w:rFonts w:cs="Times New Roman"/>
                <w:color w:val="000000" w:themeColor="text1"/>
                <w:szCs w:val="24"/>
              </w:rPr>
              <w:t>Liquid: 30</w:t>
            </w:r>
            <w:r>
              <w:rPr>
                <w:rFonts w:cs="Times New Roman"/>
                <w:color w:val="000000" w:themeColor="text1"/>
                <w:szCs w:val="24"/>
              </w:rPr>
              <w:t>ml</w:t>
            </w:r>
            <w:r w:rsidRPr="00F10C37">
              <w:rPr>
                <w:rFonts w:cs="Times New Roman"/>
                <w:color w:val="000000" w:themeColor="text1"/>
                <w:szCs w:val="24"/>
              </w:rPr>
              <w:t>, 60</w:t>
            </w:r>
            <w:r>
              <w:rPr>
                <w:rFonts w:cs="Times New Roman"/>
                <w:color w:val="000000" w:themeColor="text1"/>
                <w:szCs w:val="24"/>
              </w:rPr>
              <w:t>ml</w:t>
            </w:r>
          </w:p>
        </w:tc>
      </w:tr>
      <w:tr w:rsidR="0053763D" w:rsidRPr="00F10C37" w14:paraId="211F6794" w14:textId="77777777" w:rsidTr="00C46407">
        <w:trPr>
          <w:jc w:val="center"/>
        </w:trPr>
        <w:tc>
          <w:tcPr>
            <w:tcW w:w="2605" w:type="dxa"/>
          </w:tcPr>
          <w:p w14:paraId="3239D200" w14:textId="77777777" w:rsidR="0053763D" w:rsidRPr="00744E73" w:rsidRDefault="0053763D" w:rsidP="00C46407">
            <w:pPr>
              <w:jc w:val="both"/>
              <w:rPr>
                <w:rFonts w:cs="Times New Roman"/>
                <w:color w:val="000000" w:themeColor="text1"/>
                <w:szCs w:val="24"/>
              </w:rPr>
            </w:pPr>
            <w:r w:rsidRPr="00744E73">
              <w:rPr>
                <w:rFonts w:cs="Times New Roman"/>
                <w:color w:val="000000" w:themeColor="text1"/>
                <w:szCs w:val="24"/>
              </w:rPr>
              <w:t>Indications</w:t>
            </w:r>
          </w:p>
        </w:tc>
        <w:tc>
          <w:tcPr>
            <w:tcW w:w="6485" w:type="dxa"/>
            <w:gridSpan w:val="2"/>
          </w:tcPr>
          <w:p w14:paraId="6F3A0D5C" w14:textId="77777777" w:rsidR="0053763D" w:rsidRPr="00F10C37" w:rsidRDefault="0053763D" w:rsidP="00C46407">
            <w:pPr>
              <w:pStyle w:val="BodyText"/>
              <w:spacing w:line="360" w:lineRule="auto"/>
              <w:ind w:right="431"/>
              <w:rPr>
                <w:color w:val="000000" w:themeColor="text1"/>
              </w:rPr>
            </w:pPr>
            <w:r>
              <w:rPr>
                <w:color w:val="000000" w:themeColor="text1"/>
              </w:rPr>
              <w:t>Co</w:t>
            </w:r>
            <w:r w:rsidRPr="00F10C37">
              <w:rPr>
                <w:color w:val="000000" w:themeColor="text1"/>
              </w:rPr>
              <w:t xml:space="preserve">nstipation, and colonic evacuation. </w:t>
            </w:r>
          </w:p>
        </w:tc>
      </w:tr>
      <w:tr w:rsidR="0053763D" w:rsidRPr="00F10C37" w14:paraId="14C55AF5" w14:textId="77777777" w:rsidTr="00C46407">
        <w:trPr>
          <w:jc w:val="center"/>
        </w:trPr>
        <w:tc>
          <w:tcPr>
            <w:tcW w:w="2605" w:type="dxa"/>
          </w:tcPr>
          <w:p w14:paraId="4CD554A2"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5" w:type="dxa"/>
            <w:gridSpan w:val="2"/>
          </w:tcPr>
          <w:p w14:paraId="2F1CA9B6" w14:textId="77777777" w:rsidR="0053763D" w:rsidRPr="00F10C37" w:rsidRDefault="0053763D" w:rsidP="00C46407">
            <w:pPr>
              <w:pStyle w:val="BodyText"/>
              <w:spacing w:line="360" w:lineRule="auto"/>
              <w:rPr>
                <w:color w:val="000000" w:themeColor="text1"/>
              </w:rPr>
            </w:pPr>
            <w:r w:rsidRPr="00F10C37">
              <w:rPr>
                <w:b/>
                <w:color w:val="000000" w:themeColor="text1"/>
              </w:rPr>
              <w:t>Constipation</w:t>
            </w:r>
            <w:r w:rsidRPr="00F10C37">
              <w:rPr>
                <w:color w:val="000000" w:themeColor="text1"/>
              </w:rPr>
              <w:t>:</w:t>
            </w:r>
          </w:p>
          <w:p w14:paraId="79A7834E" w14:textId="77777777" w:rsidR="0053763D" w:rsidRPr="00F10C37" w:rsidRDefault="0053763D" w:rsidP="00C46407">
            <w:pPr>
              <w:pStyle w:val="BodyText"/>
              <w:spacing w:line="360" w:lineRule="auto"/>
              <w:rPr>
                <w:color w:val="000000" w:themeColor="text1"/>
              </w:rPr>
            </w:pPr>
            <w:r w:rsidRPr="00F10C37">
              <w:rPr>
                <w:b/>
                <w:color w:val="000000" w:themeColor="text1"/>
              </w:rPr>
              <w:t>Adult</w:t>
            </w:r>
            <w:r w:rsidRPr="00F10C37">
              <w:rPr>
                <w:color w:val="000000" w:themeColor="text1"/>
              </w:rPr>
              <w:t>:</w:t>
            </w:r>
            <w:r w:rsidRPr="00F10C37">
              <w:rPr>
                <w:b/>
                <w:color w:val="000000" w:themeColor="text1"/>
              </w:rPr>
              <w:t xml:space="preserve"> </w:t>
            </w:r>
            <w:r w:rsidRPr="00F10C37">
              <w:rPr>
                <w:color w:val="000000" w:themeColor="text1"/>
              </w:rPr>
              <w:t>15</w:t>
            </w:r>
            <w:r>
              <w:rPr>
                <w:color w:val="000000" w:themeColor="text1"/>
              </w:rPr>
              <w:t>ml</w:t>
            </w:r>
            <w:r w:rsidRPr="00F10C37">
              <w:rPr>
                <w:color w:val="000000" w:themeColor="text1"/>
              </w:rPr>
              <w:t xml:space="preserve"> daily by mouth.</w:t>
            </w:r>
          </w:p>
          <w:p w14:paraId="2A653F86" w14:textId="77777777" w:rsidR="0053763D" w:rsidRPr="00F10C37" w:rsidRDefault="0053763D" w:rsidP="00C46407">
            <w:pPr>
              <w:pStyle w:val="BodyText"/>
              <w:spacing w:line="360" w:lineRule="auto"/>
              <w:rPr>
                <w:color w:val="000000" w:themeColor="text1"/>
              </w:rPr>
            </w:pPr>
            <w:r w:rsidRPr="00F10C37">
              <w:rPr>
                <w:b/>
                <w:color w:val="000000" w:themeColor="text1"/>
              </w:rPr>
              <w:t>Child &lt; 2 years</w:t>
            </w:r>
            <w:r w:rsidRPr="00F10C37">
              <w:rPr>
                <w:color w:val="000000" w:themeColor="text1"/>
              </w:rPr>
              <w:t xml:space="preserve">: 1-5 </w:t>
            </w:r>
            <w:r>
              <w:rPr>
                <w:color w:val="000000" w:themeColor="text1"/>
              </w:rPr>
              <w:t>ml</w:t>
            </w:r>
            <w:r w:rsidRPr="00F10C37">
              <w:rPr>
                <w:color w:val="000000" w:themeColor="text1"/>
              </w:rPr>
              <w:t xml:space="preserve"> daily by mouth.</w:t>
            </w:r>
          </w:p>
          <w:p w14:paraId="0942B8A5" w14:textId="77777777" w:rsidR="0053763D" w:rsidRPr="00F10C37" w:rsidRDefault="0053763D" w:rsidP="00C46407">
            <w:pPr>
              <w:pStyle w:val="BodyText"/>
              <w:spacing w:line="360" w:lineRule="auto"/>
              <w:rPr>
                <w:color w:val="000000" w:themeColor="text1"/>
              </w:rPr>
            </w:pPr>
            <w:r w:rsidRPr="00F10C37">
              <w:rPr>
                <w:b/>
                <w:color w:val="000000" w:themeColor="text1"/>
              </w:rPr>
              <w:t>Child &gt; 2 years</w:t>
            </w:r>
            <w:r w:rsidRPr="00F10C37">
              <w:rPr>
                <w:color w:val="000000" w:themeColor="text1"/>
              </w:rPr>
              <w:t xml:space="preserve">: 5-15 </w:t>
            </w:r>
            <w:r>
              <w:rPr>
                <w:color w:val="000000" w:themeColor="text1"/>
              </w:rPr>
              <w:t>ml</w:t>
            </w:r>
            <w:r w:rsidRPr="00F10C37">
              <w:rPr>
                <w:color w:val="000000" w:themeColor="text1"/>
              </w:rPr>
              <w:t xml:space="preserve"> daily by mouth. </w:t>
            </w:r>
          </w:p>
          <w:p w14:paraId="5FB257EC" w14:textId="77777777" w:rsidR="0053763D" w:rsidRPr="00F10C37" w:rsidRDefault="0053763D" w:rsidP="00C46407">
            <w:pPr>
              <w:pStyle w:val="BodyText"/>
              <w:spacing w:line="360" w:lineRule="auto"/>
              <w:rPr>
                <w:b/>
                <w:color w:val="000000" w:themeColor="text1"/>
              </w:rPr>
            </w:pPr>
            <w:r w:rsidRPr="00F10C37">
              <w:rPr>
                <w:b/>
                <w:color w:val="000000" w:themeColor="text1"/>
              </w:rPr>
              <w:t>Colonic evacuation before surgery or radiologic sigmoidoscopic procedure:</w:t>
            </w:r>
          </w:p>
          <w:p w14:paraId="57E3EB99" w14:textId="77777777" w:rsidR="0053763D" w:rsidRPr="00F10C37" w:rsidRDefault="0053763D" w:rsidP="00C46407">
            <w:pPr>
              <w:pStyle w:val="BodyText"/>
              <w:spacing w:line="360" w:lineRule="auto"/>
              <w:rPr>
                <w:color w:val="000000" w:themeColor="text1"/>
              </w:rPr>
            </w:pPr>
            <w:r w:rsidRPr="00F10C37">
              <w:rPr>
                <w:b/>
                <w:color w:val="000000" w:themeColor="text1"/>
              </w:rPr>
              <w:t>Adult and child ≥12 years</w:t>
            </w:r>
            <w:r w:rsidRPr="00F10C37">
              <w:rPr>
                <w:color w:val="000000" w:themeColor="text1"/>
              </w:rPr>
              <w:t xml:space="preserve">: 15-60 </w:t>
            </w:r>
            <w:r>
              <w:rPr>
                <w:color w:val="000000" w:themeColor="text1"/>
              </w:rPr>
              <w:t>ml</w:t>
            </w:r>
            <w:r w:rsidRPr="00F10C37">
              <w:rPr>
                <w:color w:val="000000" w:themeColor="text1"/>
              </w:rPr>
              <w:t>, to be administered as a single dose about 16 hours before the procedure.</w:t>
            </w:r>
          </w:p>
          <w:p w14:paraId="5DD237E1" w14:textId="77777777" w:rsidR="0053763D" w:rsidRPr="00F10C37" w:rsidRDefault="0053763D" w:rsidP="00C46407">
            <w:pPr>
              <w:pStyle w:val="BodyText"/>
              <w:spacing w:line="360" w:lineRule="auto"/>
              <w:rPr>
                <w:color w:val="000000" w:themeColor="text1"/>
              </w:rPr>
            </w:pPr>
            <w:r w:rsidRPr="00F10C37">
              <w:rPr>
                <w:b/>
                <w:color w:val="000000" w:themeColor="text1"/>
              </w:rPr>
              <w:t>Child 2-11 years</w:t>
            </w:r>
            <w:r w:rsidRPr="00F10C37">
              <w:rPr>
                <w:color w:val="000000" w:themeColor="text1"/>
              </w:rPr>
              <w:t xml:space="preserve">: 5-15 </w:t>
            </w:r>
            <w:r>
              <w:rPr>
                <w:color w:val="000000" w:themeColor="text1"/>
              </w:rPr>
              <w:t>ml</w:t>
            </w:r>
            <w:r w:rsidRPr="00F10C37">
              <w:rPr>
                <w:color w:val="000000" w:themeColor="text1"/>
              </w:rPr>
              <w:t>, to be administered as a single dose about 16 hours before the procedure.</w:t>
            </w:r>
          </w:p>
          <w:p w14:paraId="64B690C5" w14:textId="77777777" w:rsidR="0053763D" w:rsidRPr="00F10C37" w:rsidRDefault="0053763D" w:rsidP="00C46407">
            <w:pPr>
              <w:pStyle w:val="BodyText"/>
              <w:spacing w:line="360" w:lineRule="auto"/>
              <w:rPr>
                <w:color w:val="000000" w:themeColor="text1"/>
              </w:rPr>
            </w:pPr>
            <w:r w:rsidRPr="00F10C37">
              <w:rPr>
                <w:b/>
                <w:color w:val="000000" w:themeColor="text1"/>
              </w:rPr>
              <w:t>Child &lt; 2 years</w:t>
            </w:r>
            <w:r w:rsidRPr="00F10C37">
              <w:rPr>
                <w:color w:val="000000" w:themeColor="text1"/>
              </w:rPr>
              <w:t xml:space="preserve">: 1-5 </w:t>
            </w:r>
            <w:r>
              <w:rPr>
                <w:color w:val="000000" w:themeColor="text1"/>
              </w:rPr>
              <w:t>ml</w:t>
            </w:r>
            <w:r w:rsidRPr="00F10C37">
              <w:rPr>
                <w:color w:val="000000" w:themeColor="text1"/>
              </w:rPr>
              <w:t>, to be administered as a single dose about 16 hours before the procedure.</w:t>
            </w:r>
          </w:p>
          <w:p w14:paraId="4ADCD432" w14:textId="77777777" w:rsidR="0053763D" w:rsidRPr="00F10C37" w:rsidRDefault="0053763D" w:rsidP="00C46407">
            <w:pPr>
              <w:pStyle w:val="BodyText"/>
              <w:spacing w:line="360" w:lineRule="auto"/>
              <w:rPr>
                <w:b/>
                <w:color w:val="000000" w:themeColor="text1"/>
              </w:rPr>
            </w:pPr>
            <w:r w:rsidRPr="00E13DF5">
              <w:rPr>
                <w:i/>
                <w:color w:val="000000" w:themeColor="text1"/>
              </w:rPr>
              <w:t>Note:</w:t>
            </w:r>
            <w:r w:rsidRPr="00F10C37">
              <w:rPr>
                <w:b/>
                <w:color w:val="000000" w:themeColor="text1"/>
              </w:rPr>
              <w:t xml:space="preserve"> </w:t>
            </w:r>
            <w:r w:rsidR="00E13DF5">
              <w:rPr>
                <w:i/>
                <w:color w:val="000000" w:themeColor="text1"/>
              </w:rPr>
              <w:t>t</w:t>
            </w:r>
            <w:r w:rsidRPr="003D3E3A">
              <w:rPr>
                <w:i/>
                <w:color w:val="000000" w:themeColor="text1"/>
              </w:rPr>
              <w:t>ake each dose with a full glass of water or other liquid.</w:t>
            </w:r>
          </w:p>
        </w:tc>
      </w:tr>
      <w:tr w:rsidR="0053763D" w:rsidRPr="00F10C37" w14:paraId="208F6CDC" w14:textId="77777777" w:rsidTr="00C46407">
        <w:trPr>
          <w:jc w:val="center"/>
        </w:trPr>
        <w:tc>
          <w:tcPr>
            <w:tcW w:w="2605" w:type="dxa"/>
          </w:tcPr>
          <w:p w14:paraId="723F25D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5" w:type="dxa"/>
            <w:gridSpan w:val="2"/>
          </w:tcPr>
          <w:p w14:paraId="7B9BBC30" w14:textId="77777777" w:rsidR="0053763D" w:rsidRPr="00F10C37" w:rsidRDefault="0053763D" w:rsidP="00C46407">
            <w:pPr>
              <w:pStyle w:val="BodyText"/>
              <w:spacing w:line="360" w:lineRule="auto"/>
              <w:rPr>
                <w:color w:val="000000" w:themeColor="text1"/>
              </w:rPr>
            </w:pPr>
            <w:r w:rsidRPr="00F10C37">
              <w:rPr>
                <w:color w:val="000000" w:themeColor="text1"/>
              </w:rPr>
              <w:t>Pregnancy, acute abdominal pain, nausea, vomiting or other symptoms of appendicitis or undiagnosed abdominal pain, intestinal obstruction.</w:t>
            </w:r>
          </w:p>
        </w:tc>
      </w:tr>
      <w:tr w:rsidR="0053763D" w:rsidRPr="00F10C37" w14:paraId="5CCF0C46" w14:textId="77777777" w:rsidTr="00C46407">
        <w:trPr>
          <w:jc w:val="center"/>
        </w:trPr>
        <w:tc>
          <w:tcPr>
            <w:tcW w:w="2605" w:type="dxa"/>
          </w:tcPr>
          <w:p w14:paraId="394FEB4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5" w:type="dxa"/>
            <w:gridSpan w:val="2"/>
          </w:tcPr>
          <w:p w14:paraId="4A027F00"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Potassium sparing diuretics, potassium supplements.</w:t>
            </w:r>
          </w:p>
        </w:tc>
      </w:tr>
      <w:tr w:rsidR="0053763D" w:rsidRPr="00F10C37" w14:paraId="7C5DAD91" w14:textId="77777777" w:rsidTr="00C46407">
        <w:trPr>
          <w:jc w:val="center"/>
        </w:trPr>
        <w:tc>
          <w:tcPr>
            <w:tcW w:w="2605" w:type="dxa"/>
          </w:tcPr>
          <w:p w14:paraId="0E16BB2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5" w:type="dxa"/>
            <w:gridSpan w:val="2"/>
          </w:tcPr>
          <w:p w14:paraId="19160229" w14:textId="77777777" w:rsidR="0053763D" w:rsidRPr="00F10C37" w:rsidRDefault="0053763D" w:rsidP="00C46407">
            <w:pPr>
              <w:pStyle w:val="BodyText"/>
              <w:spacing w:line="360" w:lineRule="auto"/>
              <w:ind w:right="432"/>
              <w:rPr>
                <w:color w:val="000000" w:themeColor="text1"/>
              </w:rPr>
            </w:pPr>
            <w:r w:rsidRPr="00F10C37">
              <w:rPr>
                <w:color w:val="000000" w:themeColor="text1"/>
              </w:rPr>
              <w:t>Abdominal discomfort, nausea, mild cramp, gripping or faintness, excessive irritation of the colon, violent purgation.</w:t>
            </w:r>
          </w:p>
        </w:tc>
      </w:tr>
      <w:tr w:rsidR="0053763D" w:rsidRPr="00F10C37" w14:paraId="23E0E8EF" w14:textId="77777777" w:rsidTr="00C46407">
        <w:trPr>
          <w:jc w:val="center"/>
        </w:trPr>
        <w:tc>
          <w:tcPr>
            <w:tcW w:w="2605" w:type="dxa"/>
          </w:tcPr>
          <w:p w14:paraId="30D8893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5" w:type="dxa"/>
            <w:gridSpan w:val="2"/>
          </w:tcPr>
          <w:p w14:paraId="7E15C2D9"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Pr>
                <w:color w:val="000000" w:themeColor="text1"/>
              </w:rPr>
              <w:t>C</w:t>
            </w:r>
            <w:r w:rsidRPr="00F10C37">
              <w:rPr>
                <w:color w:val="000000" w:themeColor="text1"/>
              </w:rPr>
              <w:t xml:space="preserve">hildren </w:t>
            </w:r>
            <w:r>
              <w:rPr>
                <w:color w:val="000000" w:themeColor="text1"/>
              </w:rPr>
              <w:t>below</w:t>
            </w:r>
            <w:r w:rsidRPr="00F10C37">
              <w:rPr>
                <w:color w:val="000000" w:themeColor="text1"/>
              </w:rPr>
              <w:t xml:space="preserve"> six years of age</w:t>
            </w:r>
            <w:r>
              <w:rPr>
                <w:color w:val="000000" w:themeColor="text1"/>
              </w:rPr>
              <w:t xml:space="preserve"> (prolonged use),</w:t>
            </w:r>
            <w:r w:rsidRPr="00F10C37">
              <w:rPr>
                <w:color w:val="000000" w:themeColor="text1"/>
              </w:rPr>
              <w:t xml:space="preserve"> elderly.</w:t>
            </w:r>
          </w:p>
        </w:tc>
      </w:tr>
      <w:tr w:rsidR="0053763D" w:rsidRPr="00F10C37" w14:paraId="244BD2F6" w14:textId="77777777" w:rsidTr="00C46407">
        <w:trPr>
          <w:jc w:val="center"/>
        </w:trPr>
        <w:tc>
          <w:tcPr>
            <w:tcW w:w="2605" w:type="dxa"/>
          </w:tcPr>
          <w:p w14:paraId="0654D41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Storage condition</w:t>
            </w:r>
          </w:p>
        </w:tc>
        <w:tc>
          <w:tcPr>
            <w:tcW w:w="6485" w:type="dxa"/>
            <w:gridSpan w:val="2"/>
          </w:tcPr>
          <w:p w14:paraId="7F596A3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 in a tight container and dry place. Protect from freezing.</w:t>
            </w:r>
          </w:p>
        </w:tc>
      </w:tr>
      <w:tr w:rsidR="0053763D" w:rsidRPr="00F10C37" w14:paraId="033C72D0" w14:textId="77777777" w:rsidTr="00C46407">
        <w:trPr>
          <w:jc w:val="center"/>
        </w:trPr>
        <w:tc>
          <w:tcPr>
            <w:tcW w:w="9090" w:type="dxa"/>
            <w:gridSpan w:val="3"/>
          </w:tcPr>
          <w:p w14:paraId="0BE8F645" w14:textId="77777777" w:rsidR="0053763D" w:rsidRPr="00F10C37" w:rsidRDefault="0053763D" w:rsidP="00C46407">
            <w:pPr>
              <w:jc w:val="both"/>
              <w:rPr>
                <w:rFonts w:cs="Times New Roman"/>
                <w:b/>
                <w:bCs/>
                <w:color w:val="000000" w:themeColor="text1"/>
                <w:szCs w:val="24"/>
                <w:shd w:val="clear" w:color="auto" w:fill="FFFFFF"/>
              </w:rPr>
            </w:pPr>
            <w:r w:rsidRPr="00F10C37">
              <w:rPr>
                <w:rFonts w:cs="Times New Roman"/>
                <w:b/>
                <w:bCs/>
                <w:color w:val="000000" w:themeColor="text1"/>
                <w:szCs w:val="24"/>
              </w:rPr>
              <w:t>Glycerine</w:t>
            </w:r>
          </w:p>
        </w:tc>
      </w:tr>
      <w:tr w:rsidR="0053763D" w:rsidRPr="00F10C37" w14:paraId="0A6FE11A" w14:textId="77777777" w:rsidTr="00C46407">
        <w:trPr>
          <w:jc w:val="center"/>
        </w:trPr>
        <w:tc>
          <w:tcPr>
            <w:tcW w:w="2605" w:type="dxa"/>
          </w:tcPr>
          <w:p w14:paraId="410D3C7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5" w:type="dxa"/>
            <w:gridSpan w:val="2"/>
          </w:tcPr>
          <w:p w14:paraId="33D4EC0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 xml:space="preserve">Laxative </w:t>
            </w:r>
          </w:p>
        </w:tc>
      </w:tr>
      <w:tr w:rsidR="0053763D" w:rsidRPr="00F10C37" w14:paraId="7880313A" w14:textId="77777777" w:rsidTr="00C46407">
        <w:trPr>
          <w:jc w:val="center"/>
        </w:trPr>
        <w:tc>
          <w:tcPr>
            <w:tcW w:w="2605" w:type="dxa"/>
          </w:tcPr>
          <w:p w14:paraId="011B4F0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5" w:type="dxa"/>
            <w:gridSpan w:val="2"/>
          </w:tcPr>
          <w:p w14:paraId="0FB39C4F"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Suppository: 1g, 1.36g, 2g, 2.76g.</w:t>
            </w:r>
          </w:p>
        </w:tc>
      </w:tr>
      <w:tr w:rsidR="0053763D" w:rsidRPr="00F10C37" w14:paraId="63A5B33F" w14:textId="77777777" w:rsidTr="00C46407">
        <w:trPr>
          <w:jc w:val="center"/>
        </w:trPr>
        <w:tc>
          <w:tcPr>
            <w:tcW w:w="2605" w:type="dxa"/>
          </w:tcPr>
          <w:p w14:paraId="68ED820E" w14:textId="77777777" w:rsidR="0053763D" w:rsidRPr="00371E0B" w:rsidRDefault="0053763D" w:rsidP="00C46407">
            <w:pPr>
              <w:jc w:val="both"/>
              <w:rPr>
                <w:rFonts w:cs="Times New Roman"/>
                <w:color w:val="000000" w:themeColor="text1"/>
                <w:szCs w:val="24"/>
              </w:rPr>
            </w:pPr>
            <w:r w:rsidRPr="00371E0B">
              <w:rPr>
                <w:rFonts w:cs="Times New Roman"/>
                <w:color w:val="000000" w:themeColor="text1"/>
                <w:szCs w:val="24"/>
              </w:rPr>
              <w:t>Indications</w:t>
            </w:r>
          </w:p>
        </w:tc>
        <w:tc>
          <w:tcPr>
            <w:tcW w:w="6485" w:type="dxa"/>
            <w:gridSpan w:val="2"/>
          </w:tcPr>
          <w:p w14:paraId="7AA33E9B" w14:textId="77777777" w:rsidR="0053763D" w:rsidRPr="00F10C37" w:rsidRDefault="0053763D" w:rsidP="00C46407">
            <w:pPr>
              <w:pStyle w:val="BodyText"/>
              <w:spacing w:line="360" w:lineRule="auto"/>
              <w:rPr>
                <w:color w:val="000000" w:themeColor="text1"/>
              </w:rPr>
            </w:pPr>
            <w:r w:rsidRPr="00F10C37">
              <w:rPr>
                <w:color w:val="000000" w:themeColor="text1"/>
              </w:rPr>
              <w:t>Constipation</w:t>
            </w:r>
            <w:r>
              <w:rPr>
                <w:color w:val="000000" w:themeColor="text1"/>
              </w:rPr>
              <w:t xml:space="preserve"> (</w:t>
            </w:r>
            <w:r w:rsidRPr="00F10C37">
              <w:rPr>
                <w:color w:val="000000" w:themeColor="text1"/>
              </w:rPr>
              <w:t>especially in children</w:t>
            </w:r>
            <w:r>
              <w:rPr>
                <w:color w:val="000000" w:themeColor="text1"/>
              </w:rPr>
              <w:t>)</w:t>
            </w:r>
            <w:r w:rsidRPr="00F10C37">
              <w:rPr>
                <w:color w:val="000000" w:themeColor="text1"/>
              </w:rPr>
              <w:t>.</w:t>
            </w:r>
          </w:p>
        </w:tc>
      </w:tr>
      <w:tr w:rsidR="0053763D" w:rsidRPr="00F10C37" w14:paraId="7C2C9641" w14:textId="77777777" w:rsidTr="00C46407">
        <w:trPr>
          <w:jc w:val="center"/>
        </w:trPr>
        <w:tc>
          <w:tcPr>
            <w:tcW w:w="2605" w:type="dxa"/>
          </w:tcPr>
          <w:p w14:paraId="66DA6A4D"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5" w:type="dxa"/>
            <w:gridSpan w:val="2"/>
          </w:tcPr>
          <w:p w14:paraId="642CF3D2"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Rectal</w:t>
            </w:r>
          </w:p>
          <w:p w14:paraId="2B92B60D"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1–11 months</w:t>
            </w:r>
            <w:r w:rsidRPr="00F10C37">
              <w:rPr>
                <w:rFonts w:cs="Times New Roman"/>
                <w:color w:val="000000" w:themeColor="text1"/>
                <w:szCs w:val="24"/>
              </w:rPr>
              <w:t>: 1 g as required.</w:t>
            </w:r>
          </w:p>
          <w:p w14:paraId="365EE6BE"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1–11 years</w:t>
            </w:r>
            <w:r w:rsidRPr="00F10C37">
              <w:rPr>
                <w:rFonts w:cs="Times New Roman"/>
                <w:color w:val="000000" w:themeColor="text1"/>
                <w:szCs w:val="24"/>
              </w:rPr>
              <w:t>: 2 g as required.</w:t>
            </w:r>
          </w:p>
          <w:p w14:paraId="71C6CE94"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4 g as required.</w:t>
            </w:r>
          </w:p>
          <w:p w14:paraId="72EFEF82"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4 g as required.</w:t>
            </w:r>
          </w:p>
          <w:p w14:paraId="79C45638" w14:textId="77777777" w:rsidR="0053763D" w:rsidRPr="00F10C37" w:rsidRDefault="0053763D" w:rsidP="00C46407">
            <w:pPr>
              <w:jc w:val="both"/>
              <w:rPr>
                <w:rFonts w:cs="Times New Roman"/>
                <w:color w:val="000000" w:themeColor="text1"/>
                <w:szCs w:val="24"/>
              </w:rPr>
            </w:pPr>
            <w:r w:rsidRPr="00E13DF5">
              <w:rPr>
                <w:rFonts w:cs="Times New Roman"/>
                <w:i/>
                <w:color w:val="000000" w:themeColor="text1"/>
                <w:szCs w:val="24"/>
              </w:rPr>
              <w:t>Note: Manufacturer</w:t>
            </w:r>
            <w:r w:rsidRPr="003D3E3A">
              <w:rPr>
                <w:rFonts w:cs="Times New Roman"/>
                <w:i/>
                <w:color w:val="000000" w:themeColor="text1"/>
                <w:szCs w:val="24"/>
              </w:rPr>
              <w:t xml:space="preserve"> advises moisten suppositories with water before insertion.</w:t>
            </w:r>
          </w:p>
        </w:tc>
      </w:tr>
      <w:tr w:rsidR="0053763D" w:rsidRPr="00F10C37" w14:paraId="7CD3B0D7" w14:textId="77777777" w:rsidTr="00C46407">
        <w:trPr>
          <w:jc w:val="center"/>
        </w:trPr>
        <w:tc>
          <w:tcPr>
            <w:tcW w:w="2605" w:type="dxa"/>
          </w:tcPr>
          <w:p w14:paraId="558D3BD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5" w:type="dxa"/>
            <w:gridSpan w:val="2"/>
          </w:tcPr>
          <w:p w14:paraId="263C92AD" w14:textId="77777777" w:rsidR="0053763D" w:rsidRPr="00F10C37" w:rsidRDefault="0053763D" w:rsidP="00C46407">
            <w:pPr>
              <w:pStyle w:val="BodyText"/>
              <w:spacing w:line="360" w:lineRule="auto"/>
              <w:rPr>
                <w:color w:val="000000" w:themeColor="text1"/>
              </w:rPr>
            </w:pPr>
            <w:r w:rsidRPr="00F10C37">
              <w:rPr>
                <w:color w:val="000000" w:themeColor="text1"/>
              </w:rPr>
              <w:t>Pregnancy, acute abdominal pain, nausea, vomiting or other symptoms of appendicitis or undiagnosed abdominal pain, intestinal obstruction.</w:t>
            </w:r>
          </w:p>
        </w:tc>
      </w:tr>
      <w:tr w:rsidR="0053763D" w:rsidRPr="00F10C37" w14:paraId="08BB88BC" w14:textId="77777777" w:rsidTr="00C46407">
        <w:trPr>
          <w:jc w:val="center"/>
        </w:trPr>
        <w:tc>
          <w:tcPr>
            <w:tcW w:w="2605" w:type="dxa"/>
          </w:tcPr>
          <w:p w14:paraId="6034189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5" w:type="dxa"/>
            <w:gridSpan w:val="2"/>
          </w:tcPr>
          <w:p w14:paraId="499F8B9B"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Potassium sparing diuretics, potassium supplements.</w:t>
            </w:r>
          </w:p>
        </w:tc>
      </w:tr>
      <w:tr w:rsidR="0053763D" w:rsidRPr="00F10C37" w14:paraId="52AF3F28" w14:textId="77777777" w:rsidTr="00C46407">
        <w:trPr>
          <w:jc w:val="center"/>
        </w:trPr>
        <w:tc>
          <w:tcPr>
            <w:tcW w:w="2605" w:type="dxa"/>
          </w:tcPr>
          <w:p w14:paraId="1D795C7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5" w:type="dxa"/>
            <w:gridSpan w:val="2"/>
          </w:tcPr>
          <w:p w14:paraId="53DCA4E8" w14:textId="77777777" w:rsidR="0053763D" w:rsidRPr="00F10C37" w:rsidRDefault="0053763D" w:rsidP="00C46407">
            <w:pPr>
              <w:pStyle w:val="BodyText"/>
              <w:spacing w:line="360" w:lineRule="auto"/>
              <w:ind w:right="432"/>
              <w:rPr>
                <w:color w:val="000000" w:themeColor="text1"/>
              </w:rPr>
            </w:pPr>
            <w:r w:rsidRPr="00F10C37">
              <w:rPr>
                <w:color w:val="000000" w:themeColor="text1"/>
              </w:rPr>
              <w:t>Rectal discomfort such as irritation, burning and pain may occur rarely.</w:t>
            </w:r>
          </w:p>
        </w:tc>
      </w:tr>
      <w:tr w:rsidR="0053763D" w:rsidRPr="00F10C37" w14:paraId="542CF17C" w14:textId="77777777" w:rsidTr="00C46407">
        <w:trPr>
          <w:trHeight w:val="42"/>
          <w:jc w:val="center"/>
        </w:trPr>
        <w:tc>
          <w:tcPr>
            <w:tcW w:w="2605" w:type="dxa"/>
          </w:tcPr>
          <w:p w14:paraId="2816CA6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5" w:type="dxa"/>
            <w:gridSpan w:val="2"/>
          </w:tcPr>
          <w:p w14:paraId="0D60C331"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Avoid habitual use.</w:t>
            </w:r>
          </w:p>
        </w:tc>
      </w:tr>
      <w:tr w:rsidR="0053763D" w:rsidRPr="00F10C37" w14:paraId="7DDDB825" w14:textId="77777777" w:rsidTr="00C46407">
        <w:trPr>
          <w:jc w:val="center"/>
        </w:trPr>
        <w:tc>
          <w:tcPr>
            <w:tcW w:w="2605" w:type="dxa"/>
          </w:tcPr>
          <w:p w14:paraId="5B39153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5" w:type="dxa"/>
            <w:gridSpan w:val="2"/>
          </w:tcPr>
          <w:p w14:paraId="37EF996D" w14:textId="77777777" w:rsidR="0053763D" w:rsidRPr="003D3E3A" w:rsidRDefault="0053763D" w:rsidP="00C46407">
            <w:pPr>
              <w:autoSpaceDE w:val="0"/>
              <w:autoSpaceDN w:val="0"/>
              <w:adjustRightInd w:val="0"/>
              <w:jc w:val="both"/>
              <w:rPr>
                <w:rFonts w:cs="Times New Roman"/>
                <w:color w:val="000000" w:themeColor="text1"/>
                <w:szCs w:val="24"/>
                <w:highlight w:val="yellow"/>
              </w:rPr>
            </w:pPr>
            <w:r w:rsidRPr="000C5E04">
              <w:rPr>
                <w:rFonts w:cs="Times New Roman"/>
                <w:color w:val="000000" w:themeColor="text1"/>
                <w:szCs w:val="24"/>
              </w:rPr>
              <w:t>Store in a cool place in an airtight container.</w:t>
            </w:r>
          </w:p>
        </w:tc>
      </w:tr>
      <w:tr w:rsidR="0053763D" w:rsidRPr="00F10C37" w14:paraId="7D6EA2E4" w14:textId="77777777" w:rsidTr="00C46407">
        <w:trPr>
          <w:gridAfter w:val="1"/>
          <w:wAfter w:w="73" w:type="dxa"/>
          <w:jc w:val="center"/>
        </w:trPr>
        <w:tc>
          <w:tcPr>
            <w:tcW w:w="9017" w:type="dxa"/>
            <w:gridSpan w:val="2"/>
          </w:tcPr>
          <w:p w14:paraId="3DEE6392" w14:textId="77777777" w:rsidR="0053763D" w:rsidRPr="00F10C37" w:rsidRDefault="0053763D" w:rsidP="00C46407">
            <w:pPr>
              <w:jc w:val="both"/>
              <w:rPr>
                <w:rFonts w:cs="Times New Roman"/>
                <w:b/>
                <w:bCs/>
                <w:color w:val="000000" w:themeColor="text1"/>
                <w:szCs w:val="24"/>
                <w:shd w:val="clear" w:color="auto" w:fill="FFFFFF"/>
              </w:rPr>
            </w:pPr>
            <w:r w:rsidRPr="00F10C37">
              <w:rPr>
                <w:rFonts w:cs="Times New Roman"/>
                <w:b/>
                <w:bCs/>
                <w:color w:val="000000" w:themeColor="text1"/>
                <w:szCs w:val="24"/>
              </w:rPr>
              <w:t>Lactulose</w:t>
            </w:r>
          </w:p>
        </w:tc>
      </w:tr>
      <w:tr w:rsidR="0053763D" w:rsidRPr="00F10C37" w14:paraId="5928942E" w14:textId="77777777" w:rsidTr="00C46407">
        <w:trPr>
          <w:gridAfter w:val="1"/>
          <w:wAfter w:w="73" w:type="dxa"/>
          <w:jc w:val="center"/>
        </w:trPr>
        <w:tc>
          <w:tcPr>
            <w:tcW w:w="2605" w:type="dxa"/>
          </w:tcPr>
          <w:p w14:paraId="186BF04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12" w:type="dxa"/>
          </w:tcPr>
          <w:p w14:paraId="7FED998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Laxative</w:t>
            </w:r>
          </w:p>
        </w:tc>
      </w:tr>
      <w:tr w:rsidR="0053763D" w:rsidRPr="00F10C37" w14:paraId="398F4176" w14:textId="77777777" w:rsidTr="00C46407">
        <w:trPr>
          <w:gridAfter w:val="1"/>
          <w:wAfter w:w="73" w:type="dxa"/>
          <w:jc w:val="center"/>
        </w:trPr>
        <w:tc>
          <w:tcPr>
            <w:tcW w:w="2605" w:type="dxa"/>
          </w:tcPr>
          <w:p w14:paraId="04C9A08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12" w:type="dxa"/>
          </w:tcPr>
          <w:p w14:paraId="461FF92A"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Enema: 300</w:t>
            </w:r>
            <w:r>
              <w:rPr>
                <w:rFonts w:cs="Times New Roman"/>
                <w:color w:val="000000" w:themeColor="text1"/>
                <w:szCs w:val="24"/>
              </w:rPr>
              <w:t>ml</w:t>
            </w:r>
            <w:r w:rsidRPr="00F10C37">
              <w:rPr>
                <w:rFonts w:cs="Times New Roman"/>
                <w:color w:val="000000" w:themeColor="text1"/>
                <w:szCs w:val="24"/>
              </w:rPr>
              <w:t xml:space="preserve"> lactulose + 700</w:t>
            </w:r>
            <w:r>
              <w:rPr>
                <w:rFonts w:cs="Times New Roman"/>
                <w:color w:val="000000" w:themeColor="text1"/>
                <w:szCs w:val="24"/>
              </w:rPr>
              <w:t>ml</w:t>
            </w:r>
            <w:r w:rsidRPr="00F10C37">
              <w:rPr>
                <w:rFonts w:cs="Times New Roman"/>
                <w:color w:val="000000" w:themeColor="text1"/>
                <w:szCs w:val="24"/>
              </w:rPr>
              <w:t xml:space="preserve"> water</w:t>
            </w:r>
          </w:p>
          <w:p w14:paraId="53A69AD8"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Oral solution: 10g/15</w:t>
            </w:r>
            <w:r>
              <w:rPr>
                <w:rFonts w:cs="Times New Roman"/>
                <w:color w:val="000000" w:themeColor="text1"/>
                <w:szCs w:val="24"/>
              </w:rPr>
              <w:t>ml</w:t>
            </w:r>
          </w:p>
        </w:tc>
      </w:tr>
      <w:tr w:rsidR="0053763D" w:rsidRPr="00F10C37" w14:paraId="5D4095CC" w14:textId="77777777" w:rsidTr="00C46407">
        <w:trPr>
          <w:gridAfter w:val="1"/>
          <w:wAfter w:w="73" w:type="dxa"/>
          <w:jc w:val="center"/>
        </w:trPr>
        <w:tc>
          <w:tcPr>
            <w:tcW w:w="2605" w:type="dxa"/>
          </w:tcPr>
          <w:p w14:paraId="47CF2269" w14:textId="77777777" w:rsidR="0053763D" w:rsidRPr="00371E0B" w:rsidRDefault="0053763D" w:rsidP="00C46407">
            <w:pPr>
              <w:jc w:val="both"/>
              <w:rPr>
                <w:rFonts w:cs="Times New Roman"/>
                <w:color w:val="000000" w:themeColor="text1"/>
                <w:szCs w:val="24"/>
              </w:rPr>
            </w:pPr>
            <w:r w:rsidRPr="00371E0B">
              <w:rPr>
                <w:rFonts w:cs="Times New Roman"/>
                <w:color w:val="000000" w:themeColor="text1"/>
                <w:szCs w:val="24"/>
              </w:rPr>
              <w:t>Indications</w:t>
            </w:r>
          </w:p>
        </w:tc>
        <w:tc>
          <w:tcPr>
            <w:tcW w:w="6412" w:type="dxa"/>
          </w:tcPr>
          <w:p w14:paraId="7067E81D" w14:textId="77777777" w:rsidR="0053763D" w:rsidRPr="00F10C37" w:rsidRDefault="0053763D" w:rsidP="00C46407">
            <w:pPr>
              <w:pStyle w:val="BodyText"/>
              <w:spacing w:line="360" w:lineRule="auto"/>
              <w:ind w:right="437"/>
              <w:rPr>
                <w:color w:val="000000" w:themeColor="text1"/>
              </w:rPr>
            </w:pPr>
            <w:r w:rsidRPr="00F10C37">
              <w:rPr>
                <w:color w:val="000000" w:themeColor="text1"/>
              </w:rPr>
              <w:t>Constipation</w:t>
            </w:r>
            <w:r>
              <w:rPr>
                <w:color w:val="000000" w:themeColor="text1"/>
              </w:rPr>
              <w:t xml:space="preserve">, </w:t>
            </w:r>
            <w:r w:rsidRPr="00F10C37">
              <w:rPr>
                <w:color w:val="000000" w:themeColor="text1"/>
              </w:rPr>
              <w:t>hepatic encephalopathy.</w:t>
            </w:r>
          </w:p>
        </w:tc>
      </w:tr>
      <w:tr w:rsidR="0053763D" w:rsidRPr="00F10C37" w14:paraId="0E649442" w14:textId="77777777" w:rsidTr="00C46407">
        <w:trPr>
          <w:gridAfter w:val="1"/>
          <w:wAfter w:w="73" w:type="dxa"/>
          <w:jc w:val="center"/>
        </w:trPr>
        <w:tc>
          <w:tcPr>
            <w:tcW w:w="2605" w:type="dxa"/>
          </w:tcPr>
          <w:p w14:paraId="11BF974B"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12" w:type="dxa"/>
          </w:tcPr>
          <w:p w14:paraId="7E1BC619" w14:textId="77777777" w:rsidR="0053763D" w:rsidRPr="00F10C37" w:rsidRDefault="0053763D" w:rsidP="00C46407">
            <w:pPr>
              <w:pStyle w:val="BodyText"/>
              <w:spacing w:line="360" w:lineRule="auto"/>
              <w:ind w:right="429"/>
              <w:rPr>
                <w:b/>
                <w:color w:val="000000" w:themeColor="text1"/>
              </w:rPr>
            </w:pPr>
            <w:r w:rsidRPr="00F10C37">
              <w:rPr>
                <w:b/>
                <w:color w:val="000000" w:themeColor="text1"/>
              </w:rPr>
              <w:t>Constipation</w:t>
            </w:r>
            <w:r w:rsidRPr="00F10C37">
              <w:rPr>
                <w:color w:val="000000" w:themeColor="text1"/>
              </w:rPr>
              <w:t>, oral</w:t>
            </w:r>
            <w:r w:rsidRPr="00F10C37">
              <w:rPr>
                <w:b/>
                <w:color w:val="000000" w:themeColor="text1"/>
              </w:rPr>
              <w:t xml:space="preserve">: </w:t>
            </w:r>
          </w:p>
          <w:p w14:paraId="0A8BB395" w14:textId="77777777" w:rsidR="0053763D" w:rsidRPr="00F10C37" w:rsidRDefault="0053763D" w:rsidP="00C46407">
            <w:pPr>
              <w:pStyle w:val="BodyText"/>
              <w:spacing w:line="360" w:lineRule="auto"/>
              <w:ind w:right="429"/>
              <w:rPr>
                <w:color w:val="000000" w:themeColor="text1"/>
              </w:rPr>
            </w:pPr>
            <w:r w:rsidRPr="00F10C37">
              <w:rPr>
                <w:b/>
                <w:color w:val="000000" w:themeColor="text1"/>
              </w:rPr>
              <w:t>Child 1–11 months</w:t>
            </w:r>
            <w:r w:rsidRPr="00F10C37">
              <w:rPr>
                <w:color w:val="000000" w:themeColor="text1"/>
              </w:rPr>
              <w:t xml:space="preserve">: 2.5 </w:t>
            </w:r>
            <w:r>
              <w:rPr>
                <w:color w:val="000000" w:themeColor="text1"/>
              </w:rPr>
              <w:t>ml</w:t>
            </w:r>
            <w:r w:rsidRPr="00F10C37">
              <w:rPr>
                <w:color w:val="000000" w:themeColor="text1"/>
              </w:rPr>
              <w:t xml:space="preserve"> twice daily, adjusted according to response.</w:t>
            </w:r>
          </w:p>
          <w:p w14:paraId="2C751068" w14:textId="77777777" w:rsidR="0053763D" w:rsidRPr="00F10C37" w:rsidRDefault="0053763D" w:rsidP="00C46407">
            <w:pPr>
              <w:pStyle w:val="BodyText"/>
              <w:spacing w:line="360" w:lineRule="auto"/>
              <w:ind w:right="429"/>
              <w:rPr>
                <w:color w:val="000000" w:themeColor="text1"/>
              </w:rPr>
            </w:pPr>
            <w:r w:rsidRPr="00F10C37">
              <w:rPr>
                <w:b/>
                <w:color w:val="000000" w:themeColor="text1"/>
              </w:rPr>
              <w:t>Child 1–4 years</w:t>
            </w:r>
            <w:r w:rsidRPr="00F10C37">
              <w:rPr>
                <w:color w:val="000000" w:themeColor="text1"/>
              </w:rPr>
              <w:t xml:space="preserve">: 2.5–10 </w:t>
            </w:r>
            <w:r>
              <w:rPr>
                <w:color w:val="000000" w:themeColor="text1"/>
              </w:rPr>
              <w:t>ml</w:t>
            </w:r>
            <w:r w:rsidRPr="00F10C37">
              <w:rPr>
                <w:color w:val="000000" w:themeColor="text1"/>
              </w:rPr>
              <w:t xml:space="preserve"> twice daily, adjusted according </w:t>
            </w:r>
            <w:r w:rsidRPr="00F10C37">
              <w:rPr>
                <w:color w:val="000000" w:themeColor="text1"/>
              </w:rPr>
              <w:lastRenderedPageBreak/>
              <w:t>to response.</w:t>
            </w:r>
          </w:p>
          <w:p w14:paraId="22031EE1" w14:textId="77777777" w:rsidR="0053763D" w:rsidRPr="00F10C37" w:rsidRDefault="0053763D" w:rsidP="00C46407">
            <w:pPr>
              <w:pStyle w:val="BodyText"/>
              <w:spacing w:line="360" w:lineRule="auto"/>
              <w:ind w:right="429"/>
              <w:rPr>
                <w:color w:val="000000" w:themeColor="text1"/>
              </w:rPr>
            </w:pPr>
            <w:r w:rsidRPr="00F10C37">
              <w:rPr>
                <w:b/>
                <w:color w:val="000000" w:themeColor="text1"/>
              </w:rPr>
              <w:t>Child 5–17 years</w:t>
            </w:r>
            <w:r w:rsidRPr="00F10C37">
              <w:rPr>
                <w:color w:val="000000" w:themeColor="text1"/>
              </w:rPr>
              <w:t xml:space="preserve">: 5–20 </w:t>
            </w:r>
            <w:r>
              <w:rPr>
                <w:color w:val="000000" w:themeColor="text1"/>
              </w:rPr>
              <w:t>ml</w:t>
            </w:r>
            <w:r w:rsidRPr="00F10C37">
              <w:rPr>
                <w:color w:val="000000" w:themeColor="text1"/>
              </w:rPr>
              <w:t xml:space="preserve"> twice daily, adjusted according to response.</w:t>
            </w:r>
          </w:p>
          <w:p w14:paraId="6CC460F2" w14:textId="77777777" w:rsidR="0053763D" w:rsidRPr="00F10C37" w:rsidRDefault="0053763D" w:rsidP="00C46407">
            <w:pPr>
              <w:pStyle w:val="BodyText"/>
              <w:spacing w:line="360" w:lineRule="auto"/>
              <w:ind w:right="429"/>
              <w:rPr>
                <w:color w:val="000000" w:themeColor="text1"/>
              </w:rPr>
            </w:pPr>
            <w:r w:rsidRPr="00F10C37">
              <w:rPr>
                <w:b/>
                <w:color w:val="000000" w:themeColor="text1"/>
              </w:rPr>
              <w:t>Adult</w:t>
            </w:r>
            <w:r w:rsidRPr="00F10C37">
              <w:rPr>
                <w:color w:val="000000" w:themeColor="text1"/>
              </w:rPr>
              <w:t xml:space="preserve">: Initially 15 </w:t>
            </w:r>
            <w:r>
              <w:rPr>
                <w:color w:val="000000" w:themeColor="text1"/>
              </w:rPr>
              <w:t>ml</w:t>
            </w:r>
            <w:r w:rsidRPr="00F10C37">
              <w:rPr>
                <w:color w:val="000000" w:themeColor="text1"/>
              </w:rPr>
              <w:t xml:space="preserve"> twice daily, adjusted according to response.</w:t>
            </w:r>
          </w:p>
          <w:p w14:paraId="44C8217E" w14:textId="77777777" w:rsidR="0053763D" w:rsidRPr="00F10C37" w:rsidRDefault="0053763D" w:rsidP="00C46407">
            <w:pPr>
              <w:ind w:right="475"/>
              <w:jc w:val="both"/>
              <w:rPr>
                <w:rFonts w:cs="Times New Roman"/>
                <w:i/>
                <w:color w:val="000000" w:themeColor="text1"/>
                <w:szCs w:val="24"/>
              </w:rPr>
            </w:pPr>
            <w:r w:rsidRPr="00F10C37">
              <w:rPr>
                <w:rFonts w:cs="Times New Roman"/>
                <w:b/>
                <w:color w:val="000000" w:themeColor="text1"/>
                <w:szCs w:val="24"/>
              </w:rPr>
              <w:t xml:space="preserve">Hepatic encephalopathy, </w:t>
            </w:r>
            <w:r w:rsidRPr="00F10C37">
              <w:rPr>
                <w:rFonts w:cs="Times New Roman"/>
                <w:color w:val="000000" w:themeColor="text1"/>
                <w:szCs w:val="24"/>
              </w:rPr>
              <w:t>oral</w:t>
            </w:r>
            <w:r w:rsidRPr="00F10C37">
              <w:rPr>
                <w:rFonts w:cs="Times New Roman"/>
                <w:b/>
                <w:color w:val="000000" w:themeColor="text1"/>
                <w:szCs w:val="24"/>
              </w:rPr>
              <w:t>:</w:t>
            </w:r>
          </w:p>
          <w:p w14:paraId="4CB9C919" w14:textId="77777777" w:rsidR="0053763D" w:rsidRPr="00F10C37" w:rsidRDefault="0053763D" w:rsidP="00C46407">
            <w:pPr>
              <w:ind w:right="475"/>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Adjusted according to response to 30–50 </w:t>
            </w:r>
            <w:r>
              <w:rPr>
                <w:rFonts w:cs="Times New Roman"/>
                <w:color w:val="000000" w:themeColor="text1"/>
                <w:szCs w:val="24"/>
              </w:rPr>
              <w:t>ml</w:t>
            </w:r>
            <w:r w:rsidRPr="00F10C37">
              <w:rPr>
                <w:rFonts w:cs="Times New Roman"/>
                <w:color w:val="000000" w:themeColor="text1"/>
                <w:szCs w:val="24"/>
              </w:rPr>
              <w:t xml:space="preserve"> 3 times a day, subsequently adjusted to produce 2–3 soft stools per day.</w:t>
            </w:r>
          </w:p>
        </w:tc>
      </w:tr>
      <w:tr w:rsidR="0053763D" w:rsidRPr="00F10C37" w14:paraId="4994470D" w14:textId="77777777" w:rsidTr="00C46407">
        <w:trPr>
          <w:gridAfter w:val="1"/>
          <w:wAfter w:w="73" w:type="dxa"/>
          <w:jc w:val="center"/>
        </w:trPr>
        <w:tc>
          <w:tcPr>
            <w:tcW w:w="2605" w:type="dxa"/>
          </w:tcPr>
          <w:p w14:paraId="4398691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412" w:type="dxa"/>
          </w:tcPr>
          <w:p w14:paraId="49046B46" w14:textId="77777777" w:rsidR="0053763D" w:rsidRPr="00F10C37" w:rsidRDefault="0053763D" w:rsidP="00C46407">
            <w:pPr>
              <w:pStyle w:val="BodyText"/>
              <w:spacing w:line="360" w:lineRule="auto"/>
              <w:ind w:right="432"/>
              <w:rPr>
                <w:color w:val="000000" w:themeColor="text1"/>
              </w:rPr>
            </w:pPr>
            <w:r w:rsidRPr="00F10C37">
              <w:rPr>
                <w:color w:val="000000" w:themeColor="text1"/>
              </w:rPr>
              <w:t>Galactosaemia, GI obstruction, perforation, and risk of gastrointestinal perforation.</w:t>
            </w:r>
          </w:p>
        </w:tc>
      </w:tr>
      <w:tr w:rsidR="0053763D" w:rsidRPr="00F10C37" w14:paraId="6A1D605D" w14:textId="77777777" w:rsidTr="00C46407">
        <w:trPr>
          <w:gridAfter w:val="1"/>
          <w:wAfter w:w="73" w:type="dxa"/>
          <w:jc w:val="center"/>
        </w:trPr>
        <w:tc>
          <w:tcPr>
            <w:tcW w:w="2605" w:type="dxa"/>
          </w:tcPr>
          <w:p w14:paraId="5876A9C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12" w:type="dxa"/>
          </w:tcPr>
          <w:p w14:paraId="5B5BC18F"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Other laxatives, nifedipine, vitamin K.</w:t>
            </w:r>
          </w:p>
        </w:tc>
      </w:tr>
      <w:tr w:rsidR="0053763D" w:rsidRPr="00F10C37" w14:paraId="27658796" w14:textId="77777777" w:rsidTr="00C46407">
        <w:trPr>
          <w:gridAfter w:val="1"/>
          <w:wAfter w:w="73" w:type="dxa"/>
          <w:jc w:val="center"/>
        </w:trPr>
        <w:tc>
          <w:tcPr>
            <w:tcW w:w="2605" w:type="dxa"/>
          </w:tcPr>
          <w:p w14:paraId="0406D2B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12" w:type="dxa"/>
          </w:tcPr>
          <w:p w14:paraId="14CD69EE" w14:textId="77777777" w:rsidR="0053763D" w:rsidRPr="00F10C37" w:rsidRDefault="0053763D" w:rsidP="00C46407">
            <w:pPr>
              <w:pStyle w:val="BodyText"/>
              <w:spacing w:line="360" w:lineRule="auto"/>
              <w:ind w:right="432"/>
              <w:rPr>
                <w:color w:val="000000" w:themeColor="text1"/>
              </w:rPr>
            </w:pPr>
            <w:r w:rsidRPr="00F10C37">
              <w:rPr>
                <w:color w:val="000000" w:themeColor="text1"/>
              </w:rPr>
              <w:t>Abdominal pain, diarrhea, flatulence, nausea, vomiting, electrolyte imbalance.</w:t>
            </w:r>
          </w:p>
        </w:tc>
      </w:tr>
      <w:tr w:rsidR="0053763D" w:rsidRPr="00F10C37" w14:paraId="61BFB6EF" w14:textId="77777777" w:rsidTr="00C46407">
        <w:trPr>
          <w:gridAfter w:val="1"/>
          <w:wAfter w:w="73" w:type="dxa"/>
          <w:jc w:val="center"/>
        </w:trPr>
        <w:tc>
          <w:tcPr>
            <w:tcW w:w="2605" w:type="dxa"/>
          </w:tcPr>
          <w:p w14:paraId="7D0F3AD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12" w:type="dxa"/>
          </w:tcPr>
          <w:p w14:paraId="4C513088" w14:textId="77777777" w:rsidR="0053763D" w:rsidRPr="00F10C37" w:rsidRDefault="0053763D" w:rsidP="00C46407">
            <w:pPr>
              <w:pStyle w:val="BodyText"/>
              <w:spacing w:line="360" w:lineRule="auto"/>
              <w:ind w:right="437"/>
              <w:rPr>
                <w:color w:val="000000" w:themeColor="text1"/>
              </w:rPr>
            </w:pPr>
            <w:r w:rsidRPr="00F10C37">
              <w:rPr>
                <w:color w:val="000000" w:themeColor="text1"/>
              </w:rPr>
              <w:t>Lactose/galactose intolerance, patients with diabetes, electrolyte imbalance.</w:t>
            </w:r>
          </w:p>
        </w:tc>
      </w:tr>
      <w:tr w:rsidR="0053763D" w:rsidRPr="00F10C37" w14:paraId="1822AB77" w14:textId="77777777" w:rsidTr="00C46407">
        <w:trPr>
          <w:gridAfter w:val="1"/>
          <w:wAfter w:w="73" w:type="dxa"/>
          <w:jc w:val="center"/>
        </w:trPr>
        <w:tc>
          <w:tcPr>
            <w:tcW w:w="2605" w:type="dxa"/>
          </w:tcPr>
          <w:p w14:paraId="12D9CD6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12" w:type="dxa"/>
          </w:tcPr>
          <w:p w14:paraId="48A90B4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at a temperature between 2 °C and 30 °C in a tight container.</w:t>
            </w:r>
          </w:p>
        </w:tc>
      </w:tr>
      <w:tr w:rsidR="0053763D" w:rsidRPr="00F10C37" w14:paraId="1FB287BC" w14:textId="77777777" w:rsidTr="00C46407">
        <w:trPr>
          <w:gridAfter w:val="1"/>
          <w:wAfter w:w="73" w:type="dxa"/>
          <w:jc w:val="center"/>
        </w:trPr>
        <w:tc>
          <w:tcPr>
            <w:tcW w:w="9017" w:type="dxa"/>
            <w:gridSpan w:val="2"/>
          </w:tcPr>
          <w:p w14:paraId="0518B3B3" w14:textId="77777777" w:rsidR="0053763D" w:rsidRPr="00F10C37" w:rsidRDefault="0053763D" w:rsidP="00C46407">
            <w:pPr>
              <w:jc w:val="both"/>
              <w:rPr>
                <w:rFonts w:cs="Times New Roman"/>
                <w:b/>
                <w:color w:val="000000" w:themeColor="text1"/>
                <w:szCs w:val="24"/>
                <w:shd w:val="clear" w:color="auto" w:fill="FFFFFF"/>
              </w:rPr>
            </w:pPr>
            <w:r w:rsidRPr="00F10C37">
              <w:rPr>
                <w:rFonts w:cs="Times New Roman"/>
                <w:b/>
                <w:color w:val="000000" w:themeColor="text1"/>
                <w:szCs w:val="24"/>
              </w:rPr>
              <w:t>Polyethylene glycol (PEG)</w:t>
            </w:r>
          </w:p>
        </w:tc>
      </w:tr>
      <w:tr w:rsidR="0053763D" w:rsidRPr="00F10C37" w14:paraId="2295A782" w14:textId="77777777" w:rsidTr="00C46407">
        <w:trPr>
          <w:gridAfter w:val="1"/>
          <w:wAfter w:w="73" w:type="dxa"/>
          <w:jc w:val="center"/>
        </w:trPr>
        <w:tc>
          <w:tcPr>
            <w:tcW w:w="2605" w:type="dxa"/>
          </w:tcPr>
          <w:p w14:paraId="1F0E097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12" w:type="dxa"/>
          </w:tcPr>
          <w:p w14:paraId="788F0A9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shd w:val="clear" w:color="auto" w:fill="FFFFFF"/>
              </w:rPr>
              <w:t>Laxative</w:t>
            </w:r>
          </w:p>
        </w:tc>
      </w:tr>
      <w:tr w:rsidR="0053763D" w:rsidRPr="00F10C37" w14:paraId="104947D8" w14:textId="77777777" w:rsidTr="00C46407">
        <w:trPr>
          <w:gridAfter w:val="1"/>
          <w:wAfter w:w="73" w:type="dxa"/>
          <w:jc w:val="center"/>
        </w:trPr>
        <w:tc>
          <w:tcPr>
            <w:tcW w:w="2605" w:type="dxa"/>
          </w:tcPr>
          <w:p w14:paraId="6247F4A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12" w:type="dxa"/>
          </w:tcPr>
          <w:p w14:paraId="7D827180"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Powder: 17g per oral dose.</w:t>
            </w:r>
          </w:p>
        </w:tc>
      </w:tr>
      <w:tr w:rsidR="0053763D" w:rsidRPr="00F10C37" w14:paraId="082D30DC" w14:textId="77777777" w:rsidTr="00C46407">
        <w:trPr>
          <w:gridAfter w:val="1"/>
          <w:wAfter w:w="73" w:type="dxa"/>
          <w:jc w:val="center"/>
        </w:trPr>
        <w:tc>
          <w:tcPr>
            <w:tcW w:w="2605" w:type="dxa"/>
          </w:tcPr>
          <w:p w14:paraId="6655E52F" w14:textId="77777777" w:rsidR="0053763D" w:rsidRPr="003607F6" w:rsidRDefault="0053763D" w:rsidP="00C46407">
            <w:pPr>
              <w:jc w:val="both"/>
              <w:rPr>
                <w:rFonts w:cs="Times New Roman"/>
                <w:color w:val="000000" w:themeColor="text1"/>
                <w:szCs w:val="24"/>
              </w:rPr>
            </w:pPr>
            <w:r w:rsidRPr="003607F6">
              <w:rPr>
                <w:rFonts w:cs="Times New Roman"/>
                <w:color w:val="000000" w:themeColor="text1"/>
                <w:szCs w:val="24"/>
              </w:rPr>
              <w:t>Indications</w:t>
            </w:r>
          </w:p>
        </w:tc>
        <w:tc>
          <w:tcPr>
            <w:tcW w:w="6412" w:type="dxa"/>
          </w:tcPr>
          <w:p w14:paraId="0846335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Bowel cleansing (before any procedure requiring a clean bowel)</w:t>
            </w:r>
          </w:p>
        </w:tc>
      </w:tr>
      <w:tr w:rsidR="0053763D" w:rsidRPr="00F10C37" w14:paraId="39E648CD" w14:textId="77777777" w:rsidTr="00C46407">
        <w:trPr>
          <w:gridAfter w:val="1"/>
          <w:wAfter w:w="73" w:type="dxa"/>
          <w:jc w:val="center"/>
        </w:trPr>
        <w:tc>
          <w:tcPr>
            <w:tcW w:w="2605" w:type="dxa"/>
          </w:tcPr>
          <w:p w14:paraId="48B812A1"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12" w:type="dxa"/>
          </w:tcPr>
          <w:p w14:paraId="58AF98DB"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Bowel cleansing (before any procedure requiring a clean Bowel)</w:t>
            </w:r>
            <w:r w:rsidRPr="00F10C37">
              <w:rPr>
                <w:rFonts w:cs="Times New Roman"/>
                <w:color w:val="000000" w:themeColor="text1"/>
                <w:szCs w:val="24"/>
              </w:rPr>
              <w:t>, oral:</w:t>
            </w:r>
          </w:p>
          <w:p w14:paraId="6387F8C0"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500 </w:t>
            </w:r>
            <w:r>
              <w:rPr>
                <w:rFonts w:cs="Times New Roman"/>
                <w:color w:val="000000" w:themeColor="text1"/>
                <w:szCs w:val="24"/>
              </w:rPr>
              <w:t>ml</w:t>
            </w:r>
            <w:r w:rsidRPr="00F10C37">
              <w:rPr>
                <w:rFonts w:cs="Times New Roman"/>
                <w:color w:val="000000" w:themeColor="text1"/>
                <w:szCs w:val="24"/>
              </w:rPr>
              <w:t xml:space="preserve"> daily for 2 doses; first dose of reconstituted solution taken on the evening before procedure and the second dose on the morning of procedure, alternatively 1 litre daily in 2 divided doses, reconstituted solution to be taken either on the evening before the procedure, or in the morning of the procedure</w:t>
            </w:r>
            <w:r>
              <w:rPr>
                <w:rFonts w:cs="Times New Roman"/>
                <w:color w:val="000000" w:themeColor="text1"/>
                <w:szCs w:val="24"/>
              </w:rPr>
              <w:t xml:space="preserve"> </w:t>
            </w:r>
            <w:r w:rsidRPr="00F10C37">
              <w:rPr>
                <w:rFonts w:cs="Times New Roman"/>
                <w:color w:val="000000" w:themeColor="text1"/>
                <w:szCs w:val="24"/>
              </w:rPr>
              <w:t xml:space="preserve">separate doses by at least 1 hour, treatment should be completed at least 1 hour before clinical procedures conducted </w:t>
            </w:r>
            <w:r w:rsidRPr="00F10C37">
              <w:rPr>
                <w:rFonts w:cs="Times New Roman"/>
                <w:color w:val="000000" w:themeColor="text1"/>
                <w:szCs w:val="24"/>
              </w:rPr>
              <w:lastRenderedPageBreak/>
              <w:t>without general anesthesia, and at least 2 hours before clinical procedures conducted under general anesthesia.</w:t>
            </w:r>
          </w:p>
          <w:p w14:paraId="725ECCDE" w14:textId="77777777" w:rsidR="0053763D" w:rsidRPr="00E13DF5" w:rsidRDefault="0053763D" w:rsidP="00C46407">
            <w:pPr>
              <w:jc w:val="both"/>
              <w:rPr>
                <w:rFonts w:cs="Times New Roman"/>
                <w:i/>
                <w:color w:val="000000" w:themeColor="text1"/>
                <w:szCs w:val="24"/>
              </w:rPr>
            </w:pPr>
            <w:r w:rsidRPr="00E13DF5">
              <w:rPr>
                <w:rFonts w:cs="Times New Roman"/>
                <w:i/>
                <w:color w:val="000000" w:themeColor="text1"/>
                <w:szCs w:val="24"/>
              </w:rPr>
              <w:t>Note: The contents of the single sachet for dose 1 should be made up to 500ml with water and taken over 30 minutes. The contents of the 2 sachets (A and B) for Dose 2 should be made up to 500ml with water and taken over 30 minutes. Each dose should be followed by 500ml of clear fluid taken over 30 minutes. Other oral drugs should not be taken 1 hour before, or after, administering it because absorption might be impaired.</w:t>
            </w:r>
          </w:p>
        </w:tc>
      </w:tr>
      <w:tr w:rsidR="0053763D" w:rsidRPr="00F10C37" w14:paraId="38E1B28D" w14:textId="77777777" w:rsidTr="00C46407">
        <w:trPr>
          <w:gridAfter w:val="1"/>
          <w:wAfter w:w="73" w:type="dxa"/>
          <w:jc w:val="center"/>
        </w:trPr>
        <w:tc>
          <w:tcPr>
            <w:tcW w:w="2605" w:type="dxa"/>
          </w:tcPr>
          <w:p w14:paraId="5283A68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412" w:type="dxa"/>
          </w:tcPr>
          <w:p w14:paraId="1F9882E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Disorders of gastric emptying, glucose 6-phosphate dehydrogenase (G6PD) deficiency, GI obstruction, GI perforation, ileus, toxic megacolon. </w:t>
            </w:r>
          </w:p>
        </w:tc>
      </w:tr>
      <w:tr w:rsidR="0053763D" w:rsidRPr="00F10C37" w14:paraId="470D31C4" w14:textId="77777777" w:rsidTr="00C46407">
        <w:trPr>
          <w:gridAfter w:val="1"/>
          <w:wAfter w:w="73" w:type="dxa"/>
          <w:jc w:val="center"/>
        </w:trPr>
        <w:tc>
          <w:tcPr>
            <w:tcW w:w="2605" w:type="dxa"/>
          </w:tcPr>
          <w:p w14:paraId="458BA9A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12" w:type="dxa"/>
          </w:tcPr>
          <w:p w14:paraId="19F78099"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Angiotensin converting enzyme (ACE) inhibitors, angiotensin-II receptor antagonists, and NSAIDs, diuretics.</w:t>
            </w:r>
          </w:p>
        </w:tc>
      </w:tr>
      <w:tr w:rsidR="0053763D" w:rsidRPr="00F10C37" w14:paraId="4E19761C" w14:textId="77777777" w:rsidTr="00C46407">
        <w:trPr>
          <w:gridAfter w:val="1"/>
          <w:wAfter w:w="73" w:type="dxa"/>
          <w:jc w:val="center"/>
        </w:trPr>
        <w:tc>
          <w:tcPr>
            <w:tcW w:w="2605" w:type="dxa"/>
          </w:tcPr>
          <w:p w14:paraId="603B114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12" w:type="dxa"/>
          </w:tcPr>
          <w:p w14:paraId="5512D24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Chills, dehydration, dizziness, fever, GI discomfort, headaches, hunger, malaise, nausea, sleep disorder, thirst, vomiting, arrhythmias, asthenia, drowsiness, dry mouth, dry throat, dysphagia, electrolyte imbalance, hot flush, pain, palpitations, altered temperature sensation. </w:t>
            </w:r>
          </w:p>
        </w:tc>
      </w:tr>
      <w:tr w:rsidR="0053763D" w:rsidRPr="00F10C37" w14:paraId="1ED5D528" w14:textId="77777777" w:rsidTr="00C46407">
        <w:trPr>
          <w:gridAfter w:val="1"/>
          <w:wAfter w:w="73" w:type="dxa"/>
          <w:jc w:val="center"/>
        </w:trPr>
        <w:tc>
          <w:tcPr>
            <w:tcW w:w="2605" w:type="dxa"/>
          </w:tcPr>
          <w:p w14:paraId="41D4F03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12" w:type="dxa"/>
          </w:tcPr>
          <w:p w14:paraId="2110DC0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Debilitated patients, dehydration, impaired consciousness, impaired gag reflex or possibility of regurgitation or aspiration, moderate-to-severe cardiac impairment, severe acute IBD, creatinine clearance &lt; 30 </w:t>
            </w:r>
            <w:r>
              <w:rPr>
                <w:rFonts w:cs="Times New Roman"/>
                <w:color w:val="000000" w:themeColor="text1"/>
                <w:szCs w:val="24"/>
              </w:rPr>
              <w:t>ml</w:t>
            </w:r>
            <w:r w:rsidRPr="00F10C37">
              <w:rPr>
                <w:rFonts w:cs="Times New Roman"/>
                <w:color w:val="000000" w:themeColor="text1"/>
                <w:szCs w:val="24"/>
              </w:rPr>
              <w:t xml:space="preserve">/minute. </w:t>
            </w:r>
          </w:p>
        </w:tc>
      </w:tr>
      <w:tr w:rsidR="0053763D" w:rsidRPr="00F10C37" w14:paraId="75847F03" w14:textId="77777777" w:rsidTr="00C46407">
        <w:trPr>
          <w:gridAfter w:val="1"/>
          <w:wAfter w:w="73" w:type="dxa"/>
          <w:jc w:val="center"/>
        </w:trPr>
        <w:tc>
          <w:tcPr>
            <w:tcW w:w="2605" w:type="dxa"/>
          </w:tcPr>
          <w:p w14:paraId="0C5F267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12" w:type="dxa"/>
          </w:tcPr>
          <w:p w14:paraId="395463C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at a temperature between 2°C and 8°C. Do not freeze.</w:t>
            </w:r>
          </w:p>
        </w:tc>
      </w:tr>
    </w:tbl>
    <w:p w14:paraId="77099F5B" w14:textId="77777777" w:rsidR="0053763D" w:rsidRPr="000648B2" w:rsidRDefault="0053763D" w:rsidP="00491AFD">
      <w:pPr>
        <w:pStyle w:val="Heading2"/>
        <w:spacing w:before="240" w:after="240"/>
      </w:pPr>
      <w:bookmarkStart w:id="25" w:name="_Toc179490309"/>
      <w:r w:rsidRPr="000648B2">
        <w:t>Medicines used in diarrhea</w:t>
      </w:r>
      <w:bookmarkEnd w:id="25"/>
    </w:p>
    <w:p w14:paraId="47335D45" w14:textId="77777777" w:rsidR="0053763D" w:rsidRPr="005A06C7" w:rsidRDefault="0053763D" w:rsidP="0053763D">
      <w:pPr>
        <w:pStyle w:val="ListParagraph"/>
        <w:tabs>
          <w:tab w:val="left" w:pos="797"/>
        </w:tabs>
        <w:spacing w:after="240" w:line="360" w:lineRule="auto"/>
        <w:ind w:left="60" w:firstLine="0"/>
        <w:rPr>
          <w:b/>
          <w:color w:val="000000" w:themeColor="text1"/>
          <w:szCs w:val="24"/>
        </w:rPr>
      </w:pPr>
      <w:r w:rsidRPr="009D2462">
        <w:rPr>
          <w:szCs w:val="24"/>
        </w:rPr>
        <w:t>Antidiarrheal medicines are essential in the management of diarrhea, a condition characterized by frequent, loose, or watery stools. While often self-limiting, diarrhea can lead to significant dehydration, particularly in vulnerable populations such as young children and the elderly.</w:t>
      </w:r>
      <w:r>
        <w:rPr>
          <w:szCs w:val="24"/>
        </w:rPr>
        <w:t xml:space="preserve"> </w:t>
      </w:r>
      <w:r w:rsidRPr="009D2462">
        <w:rPr>
          <w:szCs w:val="24"/>
        </w:rPr>
        <w:t xml:space="preserve">Antidiarrheal medications are designed to alleviate symptoms and restore normal bowel function. </w:t>
      </w:r>
      <w:r w:rsidRPr="00201352">
        <w:t xml:space="preserve">In addition to pharmaceutical treatments, rehydration is crucial to </w:t>
      </w:r>
      <w:r w:rsidRPr="00297A3A">
        <w:rPr>
          <w:szCs w:val="24"/>
        </w:rPr>
        <w:t>correc</w:t>
      </w:r>
      <w:r>
        <w:t>t</w:t>
      </w:r>
      <w:r w:rsidRPr="00297A3A">
        <w:rPr>
          <w:szCs w:val="24"/>
        </w:rPr>
        <w:t xml:space="preserve"> fluid and </w:t>
      </w:r>
      <w:r w:rsidRPr="00297A3A">
        <w:rPr>
          <w:szCs w:val="24"/>
        </w:rPr>
        <w:lastRenderedPageBreak/>
        <w:t xml:space="preserve">electrolyte depletion </w:t>
      </w:r>
      <w:r>
        <w:t xml:space="preserve">and </w:t>
      </w:r>
      <w:r w:rsidRPr="00201352">
        <w:t xml:space="preserve">prevent dehydration. Oral </w:t>
      </w:r>
      <w:r>
        <w:t>r</w:t>
      </w:r>
      <w:r w:rsidRPr="00201352">
        <w:t xml:space="preserve">ehydration </w:t>
      </w:r>
      <w:r>
        <w:t>s</w:t>
      </w:r>
      <w:r w:rsidRPr="00201352">
        <w:t>olutions (ORS) are often recommended, especially for children.</w:t>
      </w:r>
      <w:r>
        <w:t xml:space="preserve"> </w:t>
      </w:r>
      <w:r w:rsidRPr="00297A3A">
        <w:rPr>
          <w:szCs w:val="24"/>
        </w:rPr>
        <w:t>Antidiarrheal medicines are used as an adjunct</w:t>
      </w:r>
      <w:r w:rsidRPr="00297A3A" w:rsidDel="003E5668">
        <w:rPr>
          <w:szCs w:val="24"/>
        </w:rPr>
        <w:t xml:space="preserve"> </w:t>
      </w:r>
      <w:r w:rsidRPr="00297A3A">
        <w:rPr>
          <w:szCs w:val="24"/>
        </w:rPr>
        <w:t xml:space="preserve">in the symptomatic treatment of diarrhoea.  </w:t>
      </w:r>
    </w:p>
    <w:tbl>
      <w:tblPr>
        <w:tblStyle w:val="TableGrid"/>
        <w:tblW w:w="0" w:type="auto"/>
        <w:jc w:val="center"/>
        <w:tblLook w:val="04A0" w:firstRow="1" w:lastRow="0" w:firstColumn="1" w:lastColumn="0" w:noHBand="0" w:noVBand="1"/>
      </w:tblPr>
      <w:tblGrid>
        <w:gridCol w:w="2649"/>
        <w:gridCol w:w="46"/>
        <w:gridCol w:w="6322"/>
      </w:tblGrid>
      <w:tr w:rsidR="0053763D" w:rsidRPr="00F10C37" w14:paraId="19AD8B79" w14:textId="77777777" w:rsidTr="00C46407">
        <w:trPr>
          <w:jc w:val="center"/>
        </w:trPr>
        <w:tc>
          <w:tcPr>
            <w:tcW w:w="9017" w:type="dxa"/>
            <w:gridSpan w:val="3"/>
          </w:tcPr>
          <w:p w14:paraId="188DF99C" w14:textId="77777777" w:rsidR="0053763D" w:rsidRPr="00F10C37" w:rsidRDefault="0053763D" w:rsidP="00C46407">
            <w:pPr>
              <w:jc w:val="both"/>
              <w:rPr>
                <w:rFonts w:cs="Times New Roman"/>
                <w:b/>
                <w:bCs/>
                <w:color w:val="000000" w:themeColor="text1"/>
                <w:szCs w:val="24"/>
                <w:shd w:val="clear" w:color="auto" w:fill="FFFFFF"/>
              </w:rPr>
            </w:pPr>
            <w:r w:rsidRPr="00F10C37">
              <w:rPr>
                <w:rFonts w:cs="Times New Roman"/>
                <w:b/>
                <w:bCs/>
                <w:color w:val="000000" w:themeColor="text1"/>
                <w:szCs w:val="24"/>
              </w:rPr>
              <w:t>Loperamide</w:t>
            </w:r>
          </w:p>
        </w:tc>
      </w:tr>
      <w:tr w:rsidR="0053763D" w:rsidRPr="00F10C37" w14:paraId="22464FA1" w14:textId="77777777" w:rsidTr="00C46407">
        <w:trPr>
          <w:jc w:val="center"/>
        </w:trPr>
        <w:tc>
          <w:tcPr>
            <w:tcW w:w="2695" w:type="dxa"/>
            <w:gridSpan w:val="2"/>
          </w:tcPr>
          <w:p w14:paraId="31CC647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22" w:type="dxa"/>
          </w:tcPr>
          <w:p w14:paraId="09371C53" w14:textId="77777777" w:rsidR="0053763D" w:rsidRPr="00F10C37" w:rsidRDefault="0053763D" w:rsidP="00C46407">
            <w:pPr>
              <w:jc w:val="both"/>
              <w:rPr>
                <w:rFonts w:cs="Times New Roman"/>
                <w:b/>
                <w:color w:val="000000" w:themeColor="text1"/>
                <w:szCs w:val="24"/>
              </w:rPr>
            </w:pPr>
            <w:r w:rsidRPr="00F10C37">
              <w:rPr>
                <w:rFonts w:cs="Times New Roman"/>
                <w:color w:val="000000" w:themeColor="text1"/>
                <w:szCs w:val="24"/>
                <w:shd w:val="clear" w:color="auto" w:fill="FFFFFF"/>
              </w:rPr>
              <w:t xml:space="preserve">Opioid </w:t>
            </w:r>
            <w:r>
              <w:rPr>
                <w:rFonts w:cs="Times New Roman"/>
                <w:color w:val="000000" w:themeColor="text1"/>
                <w:szCs w:val="24"/>
                <w:shd w:val="clear" w:color="auto" w:fill="FFFFFF"/>
              </w:rPr>
              <w:t>receptor agonist</w:t>
            </w:r>
          </w:p>
        </w:tc>
      </w:tr>
      <w:tr w:rsidR="0053763D" w:rsidRPr="00F10C37" w14:paraId="1D7591D2" w14:textId="77777777" w:rsidTr="00C46407">
        <w:trPr>
          <w:jc w:val="center"/>
        </w:trPr>
        <w:tc>
          <w:tcPr>
            <w:tcW w:w="2695" w:type="dxa"/>
            <w:gridSpan w:val="2"/>
          </w:tcPr>
          <w:p w14:paraId="7E69A52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22" w:type="dxa"/>
          </w:tcPr>
          <w:p w14:paraId="35F1EF49" w14:textId="77777777" w:rsidR="0053763D" w:rsidRPr="00F10C37" w:rsidRDefault="0053763D" w:rsidP="00C46407">
            <w:pPr>
              <w:widowControl w:val="0"/>
              <w:autoSpaceDE w:val="0"/>
              <w:autoSpaceDN w:val="0"/>
              <w:adjustRightInd w:val="0"/>
              <w:jc w:val="both"/>
              <w:rPr>
                <w:rFonts w:cs="Times New Roman"/>
                <w:color w:val="000000" w:themeColor="text1"/>
                <w:szCs w:val="24"/>
                <w:lang w:val="sv-SE"/>
              </w:rPr>
            </w:pPr>
            <w:r w:rsidRPr="00F10C37">
              <w:rPr>
                <w:rFonts w:cs="Times New Roman"/>
                <w:color w:val="000000" w:themeColor="text1"/>
                <w:szCs w:val="24"/>
              </w:rPr>
              <w:t xml:space="preserve">Tablet/Capsule: 2mg </w:t>
            </w:r>
          </w:p>
        </w:tc>
      </w:tr>
      <w:tr w:rsidR="0053763D" w:rsidRPr="00F10C37" w14:paraId="5354EF2C" w14:textId="77777777" w:rsidTr="00C46407">
        <w:trPr>
          <w:jc w:val="center"/>
        </w:trPr>
        <w:tc>
          <w:tcPr>
            <w:tcW w:w="2695" w:type="dxa"/>
            <w:gridSpan w:val="2"/>
          </w:tcPr>
          <w:p w14:paraId="4267F803" w14:textId="77777777" w:rsidR="0053763D" w:rsidRPr="00D125B5" w:rsidRDefault="0053763D" w:rsidP="00C46407">
            <w:pPr>
              <w:jc w:val="both"/>
              <w:rPr>
                <w:rFonts w:cs="Times New Roman"/>
                <w:color w:val="000000" w:themeColor="text1"/>
                <w:szCs w:val="24"/>
              </w:rPr>
            </w:pPr>
            <w:r w:rsidRPr="00D125B5">
              <w:rPr>
                <w:rFonts w:cs="Times New Roman"/>
                <w:color w:val="000000" w:themeColor="text1"/>
                <w:szCs w:val="24"/>
              </w:rPr>
              <w:t>Indications</w:t>
            </w:r>
          </w:p>
        </w:tc>
        <w:tc>
          <w:tcPr>
            <w:tcW w:w="6322" w:type="dxa"/>
          </w:tcPr>
          <w:p w14:paraId="29A252F3" w14:textId="77777777" w:rsidR="0053763D" w:rsidRPr="00F10C37" w:rsidRDefault="0053763D" w:rsidP="00C46407">
            <w:pPr>
              <w:pStyle w:val="BodyText"/>
              <w:spacing w:line="360" w:lineRule="auto"/>
              <w:ind w:right="437"/>
              <w:rPr>
                <w:color w:val="000000" w:themeColor="text1"/>
              </w:rPr>
            </w:pPr>
            <w:r w:rsidRPr="00F10C37">
              <w:rPr>
                <w:color w:val="000000" w:themeColor="text1"/>
              </w:rPr>
              <w:t>Acute and chronic diarrhea, fecal incontinence, pain of bowel colic in palliative care.</w:t>
            </w:r>
          </w:p>
        </w:tc>
      </w:tr>
      <w:tr w:rsidR="0053763D" w:rsidRPr="00F10C37" w14:paraId="0956E2CC" w14:textId="77777777" w:rsidTr="00C46407">
        <w:trPr>
          <w:jc w:val="center"/>
        </w:trPr>
        <w:tc>
          <w:tcPr>
            <w:tcW w:w="2695" w:type="dxa"/>
            <w:gridSpan w:val="2"/>
          </w:tcPr>
          <w:p w14:paraId="7C683BFA"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22" w:type="dxa"/>
          </w:tcPr>
          <w:p w14:paraId="45D1F39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Symptomatic treatment of acute diarrhoea</w:t>
            </w:r>
            <w:r w:rsidRPr="00F10C37">
              <w:rPr>
                <w:rFonts w:cs="Times New Roman"/>
                <w:b/>
                <w:i/>
                <w:color w:val="000000" w:themeColor="text1"/>
                <w:szCs w:val="24"/>
              </w:rPr>
              <w:t xml:space="preserve">, </w:t>
            </w:r>
            <w:r w:rsidRPr="00F10C37">
              <w:rPr>
                <w:rFonts w:cs="Times New Roman"/>
                <w:color w:val="000000" w:themeColor="text1"/>
                <w:szCs w:val="24"/>
              </w:rPr>
              <w:t>oral:</w:t>
            </w:r>
          </w:p>
          <w:p w14:paraId="227A8E72"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4–7 years</w:t>
            </w:r>
            <w:r w:rsidRPr="00F10C37">
              <w:rPr>
                <w:rFonts w:cs="Times New Roman"/>
                <w:color w:val="000000" w:themeColor="text1"/>
                <w:szCs w:val="24"/>
              </w:rPr>
              <w:t>: 1 mg 3–4 times a day for up to 3 days only.</w:t>
            </w:r>
          </w:p>
          <w:p w14:paraId="52B773C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8–11 years</w:t>
            </w:r>
            <w:r w:rsidRPr="00F10C37">
              <w:rPr>
                <w:rFonts w:cs="Times New Roman"/>
                <w:color w:val="000000" w:themeColor="text1"/>
                <w:szCs w:val="24"/>
              </w:rPr>
              <w:t>: 2 mg 4 times a day for up to 5 days.</w:t>
            </w:r>
          </w:p>
          <w:p w14:paraId="62E21E6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Initially 4 mg, followed by 2 mg for up to 5 days, dose to be taken after each loose stool; usual dose 6–8 mg daily (max. 16 mg per day).</w:t>
            </w:r>
          </w:p>
          <w:p w14:paraId="17B5C963"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Initially 4 mg, followed by 2 mg for up to 5 days, dose to be taken after each loose stool; usual dose 6–8 mg daily (max. 16 mg per day)</w:t>
            </w:r>
          </w:p>
          <w:p w14:paraId="33FB9EA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Chronic diarrhoea</w:t>
            </w:r>
            <w:r w:rsidRPr="00F10C37">
              <w:rPr>
                <w:rFonts w:cs="Times New Roman"/>
                <w:b/>
                <w:i/>
                <w:color w:val="000000" w:themeColor="text1"/>
                <w:szCs w:val="24"/>
              </w:rPr>
              <w:t xml:space="preserve">, </w:t>
            </w:r>
            <w:r w:rsidRPr="00F10C37">
              <w:rPr>
                <w:rFonts w:cs="Times New Roman"/>
                <w:color w:val="000000" w:themeColor="text1"/>
                <w:szCs w:val="24"/>
              </w:rPr>
              <w:t>oral:</w:t>
            </w:r>
          </w:p>
          <w:p w14:paraId="57013ACA"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Initially 4–8 mg daily in divided doses, adjusted according to response; maintenance up to 16 mg daily in 2 divided doses. </w:t>
            </w:r>
          </w:p>
          <w:p w14:paraId="653928FA"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&gt; 2 years</w:t>
            </w:r>
            <w:r w:rsidRPr="00F10C37">
              <w:rPr>
                <w:rFonts w:cs="Times New Roman"/>
                <w:color w:val="000000" w:themeColor="text1"/>
                <w:szCs w:val="24"/>
              </w:rPr>
              <w:t xml:space="preserve">: Initially 1 mg/12.5 kg body mass, followed by 0.5 mg/12.5 kg after each loose stool; alternatively, 0.08–0.24 mg/kg/day in 2–3 divided doses. </w:t>
            </w:r>
          </w:p>
          <w:p w14:paraId="5CE5F79A" w14:textId="77777777" w:rsidR="0053763D" w:rsidRPr="00F10C37" w:rsidRDefault="0053763D" w:rsidP="00C46407">
            <w:pPr>
              <w:adjustRightInd w:val="0"/>
              <w:jc w:val="both"/>
              <w:rPr>
                <w:rFonts w:cs="Times New Roman"/>
                <w:b/>
                <w:i/>
                <w:color w:val="000000" w:themeColor="text1"/>
                <w:szCs w:val="24"/>
              </w:rPr>
            </w:pPr>
            <w:r w:rsidRPr="00F10C37">
              <w:rPr>
                <w:rFonts w:cs="Times New Roman"/>
                <w:b/>
                <w:color w:val="000000" w:themeColor="text1"/>
                <w:szCs w:val="24"/>
              </w:rPr>
              <w:t>Pain of bowel colic in palliative care</w:t>
            </w:r>
            <w:r w:rsidRPr="00F10C37">
              <w:rPr>
                <w:rFonts w:cs="Times New Roman"/>
                <w:b/>
                <w:i/>
                <w:color w:val="000000" w:themeColor="text1"/>
                <w:szCs w:val="24"/>
              </w:rPr>
              <w:t xml:space="preserve">, </w:t>
            </w:r>
            <w:r w:rsidRPr="00F10C37">
              <w:rPr>
                <w:rFonts w:cs="Times New Roman"/>
                <w:color w:val="000000" w:themeColor="text1"/>
                <w:szCs w:val="24"/>
              </w:rPr>
              <w:t>oral:</w:t>
            </w:r>
          </w:p>
          <w:p w14:paraId="7D58C7A7"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Adult: 2–4 mg 4 times a day.</w:t>
            </w:r>
          </w:p>
          <w:p w14:paraId="51F04369" w14:textId="77777777" w:rsidR="0053763D" w:rsidRPr="00F10C37" w:rsidRDefault="0053763D" w:rsidP="00C46407">
            <w:pPr>
              <w:adjustRightInd w:val="0"/>
              <w:jc w:val="both"/>
              <w:rPr>
                <w:rFonts w:cs="Times New Roman"/>
                <w:color w:val="000000" w:themeColor="text1"/>
                <w:szCs w:val="24"/>
              </w:rPr>
            </w:pPr>
            <w:r w:rsidRPr="004C3229">
              <w:rPr>
                <w:rFonts w:cs="Times New Roman"/>
                <w:i/>
                <w:iCs/>
                <w:color w:val="000000" w:themeColor="text1"/>
                <w:szCs w:val="24"/>
              </w:rPr>
              <w:t>Note: If no improvement has been observed after treatment with 16 mg daily</w:t>
            </w:r>
            <w:r w:rsidRPr="003D3E3A">
              <w:rPr>
                <w:rFonts w:cs="Times New Roman"/>
                <w:i/>
                <w:iCs/>
                <w:color w:val="000000" w:themeColor="text1"/>
                <w:szCs w:val="24"/>
              </w:rPr>
              <w:t xml:space="preserve"> for at least 10 days, further administration is unlikely to be of benefit.</w:t>
            </w:r>
          </w:p>
        </w:tc>
      </w:tr>
      <w:tr w:rsidR="0053763D" w:rsidRPr="00F10C37" w14:paraId="512E20F2" w14:textId="77777777" w:rsidTr="00C46407">
        <w:trPr>
          <w:jc w:val="center"/>
        </w:trPr>
        <w:tc>
          <w:tcPr>
            <w:tcW w:w="2695" w:type="dxa"/>
            <w:gridSpan w:val="2"/>
          </w:tcPr>
          <w:p w14:paraId="654762C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22" w:type="dxa"/>
          </w:tcPr>
          <w:p w14:paraId="7EA66999" w14:textId="77777777" w:rsidR="0053763D" w:rsidRPr="00F10C37" w:rsidRDefault="0053763D" w:rsidP="00C46407">
            <w:pPr>
              <w:pStyle w:val="BodyText"/>
              <w:spacing w:line="360" w:lineRule="auto"/>
              <w:rPr>
                <w:color w:val="000000" w:themeColor="text1"/>
              </w:rPr>
            </w:pPr>
            <w:r w:rsidRPr="00F10C37">
              <w:rPr>
                <w:color w:val="000000" w:themeColor="text1"/>
              </w:rPr>
              <w:t xml:space="preserve">Active ulcerative colitis, antibiotic-associated colitis, bacterial </w:t>
            </w:r>
            <w:r w:rsidRPr="00F10C37">
              <w:rPr>
                <w:color w:val="000000" w:themeColor="text1"/>
              </w:rPr>
              <w:lastRenderedPageBreak/>
              <w:t xml:space="preserve">enterocolitis, conditions where abdominal distension develops, conditions where inhibition of peristalsis should be avoided, </w:t>
            </w:r>
          </w:p>
        </w:tc>
      </w:tr>
      <w:tr w:rsidR="0053763D" w:rsidRPr="00F10C37" w14:paraId="41C2D800" w14:textId="77777777" w:rsidTr="00C46407">
        <w:trPr>
          <w:jc w:val="center"/>
        </w:trPr>
        <w:tc>
          <w:tcPr>
            <w:tcW w:w="2695" w:type="dxa"/>
            <w:gridSpan w:val="2"/>
          </w:tcPr>
          <w:p w14:paraId="71B2C23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322" w:type="dxa"/>
          </w:tcPr>
          <w:p w14:paraId="71D2DF0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Fentanyl, opioid analgesics, CNS depressants (e.g., alcohol).</w:t>
            </w:r>
          </w:p>
        </w:tc>
      </w:tr>
      <w:tr w:rsidR="0053763D" w:rsidRPr="00F10C37" w14:paraId="4A341583" w14:textId="77777777" w:rsidTr="00C46407">
        <w:trPr>
          <w:jc w:val="center"/>
        </w:trPr>
        <w:tc>
          <w:tcPr>
            <w:tcW w:w="2695" w:type="dxa"/>
            <w:gridSpan w:val="2"/>
          </w:tcPr>
          <w:p w14:paraId="6AE5445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22" w:type="dxa"/>
          </w:tcPr>
          <w:p w14:paraId="787C0E0E" w14:textId="77777777" w:rsidR="0053763D" w:rsidRPr="00F10C37" w:rsidRDefault="0053763D" w:rsidP="00C46407">
            <w:pPr>
              <w:shd w:val="clear" w:color="auto" w:fill="FFFFFF"/>
              <w:jc w:val="both"/>
              <w:rPr>
                <w:rFonts w:cs="Times New Roman"/>
                <w:color w:val="000000" w:themeColor="text1"/>
                <w:szCs w:val="24"/>
              </w:rPr>
            </w:pPr>
            <w:r w:rsidRPr="00F10C37">
              <w:rPr>
                <w:rFonts w:cs="Times New Roman"/>
                <w:color w:val="000000" w:themeColor="text1"/>
                <w:szCs w:val="24"/>
              </w:rPr>
              <w:t>GI disorders, headache, nausea, dizziness, drowsiness, dry mouth, GI discomfort, skin reactions, vomiting.</w:t>
            </w:r>
          </w:p>
        </w:tc>
      </w:tr>
      <w:tr w:rsidR="0053763D" w:rsidRPr="00F10C37" w14:paraId="7FDC9C2E" w14:textId="77777777" w:rsidTr="00C46407">
        <w:trPr>
          <w:jc w:val="center"/>
        </w:trPr>
        <w:tc>
          <w:tcPr>
            <w:tcW w:w="2695" w:type="dxa"/>
            <w:gridSpan w:val="2"/>
          </w:tcPr>
          <w:p w14:paraId="4B2A281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22" w:type="dxa"/>
          </w:tcPr>
          <w:p w14:paraId="2B51E57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Dehydration, impaired hepatic function</w:t>
            </w:r>
            <w:r w:rsidRPr="003D3E3A">
              <w:rPr>
                <w:rFonts w:cs="Times New Roman"/>
                <w:color w:val="000000" w:themeColor="text1"/>
                <w:szCs w:val="24"/>
              </w:rPr>
              <w:t>,</w:t>
            </w:r>
            <w:r>
              <w:rPr>
                <w:rFonts w:cs="Times New Roman"/>
                <w:color w:val="000000" w:themeColor="text1"/>
                <w:szCs w:val="24"/>
              </w:rPr>
              <w:t xml:space="preserve"> </w:t>
            </w:r>
            <w:r w:rsidRPr="003D3E3A">
              <w:rPr>
                <w:rFonts w:cs="Times New Roman"/>
                <w:color w:val="000000" w:themeColor="text1"/>
                <w:szCs w:val="24"/>
              </w:rPr>
              <w:t>children under 12 years.</w:t>
            </w:r>
          </w:p>
        </w:tc>
      </w:tr>
      <w:tr w:rsidR="0053763D" w:rsidRPr="00F10C37" w14:paraId="3F4DD43F" w14:textId="77777777" w:rsidTr="00C46407">
        <w:trPr>
          <w:jc w:val="center"/>
        </w:trPr>
        <w:tc>
          <w:tcPr>
            <w:tcW w:w="2695" w:type="dxa"/>
            <w:gridSpan w:val="2"/>
          </w:tcPr>
          <w:p w14:paraId="4D60996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22" w:type="dxa"/>
          </w:tcPr>
          <w:p w14:paraId="0DE90412"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Store below 30°C. Protect from moisture. </w:t>
            </w:r>
          </w:p>
        </w:tc>
      </w:tr>
      <w:tr w:rsidR="0053763D" w:rsidRPr="00F10C37" w14:paraId="15B7D470" w14:textId="77777777" w:rsidTr="00C46407">
        <w:trPr>
          <w:jc w:val="center"/>
        </w:trPr>
        <w:tc>
          <w:tcPr>
            <w:tcW w:w="9017" w:type="dxa"/>
            <w:gridSpan w:val="3"/>
            <w:tcBorders>
              <w:top w:val="nil"/>
            </w:tcBorders>
          </w:tcPr>
          <w:p w14:paraId="27D44716" w14:textId="77777777" w:rsidR="0053763D" w:rsidRPr="00F10C37" w:rsidRDefault="0053763D" w:rsidP="00C46407">
            <w:pPr>
              <w:jc w:val="both"/>
              <w:rPr>
                <w:rFonts w:cs="Times New Roman"/>
                <w:b/>
                <w:bCs/>
                <w:color w:val="000000" w:themeColor="text1"/>
                <w:szCs w:val="24"/>
              </w:rPr>
            </w:pPr>
            <w:r w:rsidRPr="00F10C37">
              <w:rPr>
                <w:rFonts w:cs="Times New Roman"/>
                <w:b/>
                <w:bCs/>
                <w:color w:val="000000" w:themeColor="text1"/>
                <w:szCs w:val="24"/>
              </w:rPr>
              <w:t xml:space="preserve">Oral rehydration salt (ORS)  </w:t>
            </w:r>
          </w:p>
        </w:tc>
      </w:tr>
      <w:tr w:rsidR="0053763D" w:rsidRPr="00F10C37" w14:paraId="107F9AEA" w14:textId="77777777" w:rsidTr="00C46407">
        <w:trPr>
          <w:jc w:val="center"/>
        </w:trPr>
        <w:tc>
          <w:tcPr>
            <w:tcW w:w="2649" w:type="dxa"/>
          </w:tcPr>
          <w:p w14:paraId="485D7E1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68" w:type="dxa"/>
            <w:gridSpan w:val="2"/>
          </w:tcPr>
          <w:p w14:paraId="45BA208D" w14:textId="77777777" w:rsidR="0053763D" w:rsidRPr="00F10C37" w:rsidRDefault="0053763D" w:rsidP="00C46407">
            <w:pPr>
              <w:jc w:val="both"/>
              <w:rPr>
                <w:rFonts w:cs="Times New Roman"/>
                <w:b/>
                <w:color w:val="000000" w:themeColor="text1"/>
                <w:szCs w:val="24"/>
              </w:rPr>
            </w:pPr>
            <w:r w:rsidRPr="00F10C37">
              <w:rPr>
                <w:rFonts w:cs="Times New Roman"/>
                <w:color w:val="000000" w:themeColor="text1"/>
                <w:szCs w:val="24"/>
              </w:rPr>
              <w:t>Electrolyte and mineral</w:t>
            </w:r>
          </w:p>
        </w:tc>
      </w:tr>
      <w:tr w:rsidR="0053763D" w:rsidRPr="00F10C37" w14:paraId="3AC89308" w14:textId="77777777" w:rsidTr="00C46407">
        <w:trPr>
          <w:jc w:val="center"/>
        </w:trPr>
        <w:tc>
          <w:tcPr>
            <w:tcW w:w="2649" w:type="dxa"/>
          </w:tcPr>
          <w:p w14:paraId="0A66C6B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68" w:type="dxa"/>
            <w:gridSpan w:val="2"/>
          </w:tcPr>
          <w:p w14:paraId="23E348A8"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Powder for dilution, each sachet for 1 Liter contains:</w:t>
            </w:r>
          </w:p>
          <w:p w14:paraId="61672281"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Glucose:       75 mEq</w:t>
            </w:r>
          </w:p>
          <w:p w14:paraId="4CA3A806"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Sodium:       75 mEq or mmol/L </w:t>
            </w:r>
          </w:p>
          <w:p w14:paraId="3D71BD01"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Chloride:      65 mEq or mmol/L </w:t>
            </w:r>
          </w:p>
          <w:p w14:paraId="4F6CAC80"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Potassium:   20 mEq or mmol/L </w:t>
            </w:r>
          </w:p>
          <w:p w14:paraId="17227BE0"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Citrate:         10 mmol/L </w:t>
            </w:r>
          </w:p>
          <w:p w14:paraId="20F6FDE5"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Osmolarity:   245 mOsm/L </w:t>
            </w:r>
          </w:p>
          <w:p w14:paraId="3E76F28A"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Glucose:        13.5 g/L</w:t>
            </w:r>
          </w:p>
          <w:p w14:paraId="74436262"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Sodium chloride:       2.6 g/L </w:t>
            </w:r>
          </w:p>
          <w:p w14:paraId="58224A07"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Potassium chloride:   1.5 g/L</w:t>
            </w:r>
          </w:p>
          <w:p w14:paraId="367ED545" w14:textId="77777777" w:rsidR="0053763D" w:rsidRPr="00F10C37" w:rsidRDefault="0053763D" w:rsidP="00C46407">
            <w:pPr>
              <w:widowControl w:val="0"/>
              <w:autoSpaceDE w:val="0"/>
              <w:autoSpaceDN w:val="0"/>
              <w:adjustRightInd w:val="0"/>
              <w:jc w:val="both"/>
              <w:rPr>
                <w:rFonts w:cs="Times New Roman"/>
                <w:color w:val="000000" w:themeColor="text1"/>
                <w:szCs w:val="24"/>
                <w:lang w:val="sv-SE"/>
              </w:rPr>
            </w:pPr>
            <w:r w:rsidRPr="00F10C37">
              <w:rPr>
                <w:rFonts w:cs="Times New Roman"/>
                <w:color w:val="000000" w:themeColor="text1"/>
                <w:szCs w:val="24"/>
              </w:rPr>
              <w:t>Trisodium citrate dihydrate:   2.9 g/L</w:t>
            </w:r>
          </w:p>
        </w:tc>
      </w:tr>
      <w:tr w:rsidR="0053763D" w:rsidRPr="00F10C37" w14:paraId="01C6082D" w14:textId="77777777" w:rsidTr="00C46407">
        <w:trPr>
          <w:jc w:val="center"/>
        </w:trPr>
        <w:tc>
          <w:tcPr>
            <w:tcW w:w="2649" w:type="dxa"/>
          </w:tcPr>
          <w:p w14:paraId="3BBD6104" w14:textId="77777777" w:rsidR="0053763D" w:rsidRPr="002168B2" w:rsidRDefault="0053763D" w:rsidP="00C46407">
            <w:pPr>
              <w:jc w:val="both"/>
              <w:rPr>
                <w:rFonts w:cs="Times New Roman"/>
                <w:color w:val="000000" w:themeColor="text1"/>
                <w:szCs w:val="24"/>
              </w:rPr>
            </w:pPr>
            <w:r w:rsidRPr="002168B2">
              <w:rPr>
                <w:rFonts w:cs="Times New Roman"/>
                <w:color w:val="000000" w:themeColor="text1"/>
                <w:szCs w:val="24"/>
              </w:rPr>
              <w:t>Indications</w:t>
            </w:r>
          </w:p>
        </w:tc>
        <w:tc>
          <w:tcPr>
            <w:tcW w:w="6368" w:type="dxa"/>
            <w:gridSpan w:val="2"/>
          </w:tcPr>
          <w:p w14:paraId="6B3F986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Replacement of fluid and electrolyte loss in diarrhoea. </w:t>
            </w:r>
          </w:p>
        </w:tc>
      </w:tr>
      <w:tr w:rsidR="0053763D" w:rsidRPr="00F10C37" w14:paraId="4A2B0ED7" w14:textId="77777777" w:rsidTr="00C46407">
        <w:trPr>
          <w:jc w:val="center"/>
        </w:trPr>
        <w:tc>
          <w:tcPr>
            <w:tcW w:w="2649" w:type="dxa"/>
          </w:tcPr>
          <w:p w14:paraId="253463B7"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368" w:type="dxa"/>
            <w:gridSpan w:val="2"/>
          </w:tcPr>
          <w:p w14:paraId="65E2344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 xml:space="preserve">Fluid and electrolyte loss in diarrhoea, </w:t>
            </w:r>
            <w:r w:rsidRPr="00F10C37">
              <w:rPr>
                <w:rFonts w:cs="Times New Roman"/>
                <w:color w:val="000000" w:themeColor="text1"/>
                <w:szCs w:val="24"/>
              </w:rPr>
              <w:t xml:space="preserve">oral: </w:t>
            </w:r>
          </w:p>
          <w:p w14:paraId="31FB8B1D"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1–11 months</w:t>
            </w:r>
            <w:r w:rsidRPr="00F10C37">
              <w:rPr>
                <w:rFonts w:cs="Times New Roman"/>
                <w:color w:val="000000" w:themeColor="text1"/>
                <w:szCs w:val="24"/>
              </w:rPr>
              <w:t>: 1–1½ times usual feed volume to be given.</w:t>
            </w:r>
          </w:p>
          <w:p w14:paraId="1A14A7C9"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1–11 years</w:t>
            </w:r>
            <w:r w:rsidRPr="00F10C37">
              <w:rPr>
                <w:rFonts w:cs="Times New Roman"/>
                <w:color w:val="000000" w:themeColor="text1"/>
                <w:szCs w:val="24"/>
              </w:rPr>
              <w:t xml:space="preserve">: 200 </w:t>
            </w:r>
            <w:r>
              <w:rPr>
                <w:rFonts w:cs="Times New Roman"/>
                <w:color w:val="000000" w:themeColor="text1"/>
                <w:szCs w:val="24"/>
              </w:rPr>
              <w:t>ml</w:t>
            </w:r>
            <w:r w:rsidRPr="00F10C37">
              <w:rPr>
                <w:rFonts w:cs="Times New Roman"/>
                <w:color w:val="000000" w:themeColor="text1"/>
                <w:szCs w:val="24"/>
              </w:rPr>
              <w:t>, to be given after every loose motion</w:t>
            </w:r>
          </w:p>
          <w:p w14:paraId="2575921A"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xml:space="preserve">: 200–400 </w:t>
            </w:r>
            <w:r>
              <w:rPr>
                <w:rFonts w:cs="Times New Roman"/>
                <w:color w:val="000000" w:themeColor="text1"/>
                <w:szCs w:val="24"/>
              </w:rPr>
              <w:t>ml</w:t>
            </w:r>
            <w:r w:rsidRPr="00F10C37">
              <w:rPr>
                <w:rFonts w:cs="Times New Roman"/>
                <w:color w:val="000000" w:themeColor="text1"/>
                <w:szCs w:val="24"/>
              </w:rPr>
              <w:t>, to be given after every loose motion, dose according to fluid loss.</w:t>
            </w:r>
          </w:p>
          <w:p w14:paraId="2A72BF3F" w14:textId="77777777" w:rsidR="0053763D" w:rsidRPr="00F10C37" w:rsidRDefault="0053763D" w:rsidP="00C46407">
            <w:pPr>
              <w:adjustRightInd w:val="0"/>
              <w:jc w:val="both"/>
              <w:rPr>
                <w:rFonts w:cs="Times New Roman"/>
                <w:i/>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200–400 </w:t>
            </w:r>
            <w:r>
              <w:rPr>
                <w:rFonts w:cs="Times New Roman"/>
                <w:color w:val="000000" w:themeColor="text1"/>
                <w:szCs w:val="24"/>
              </w:rPr>
              <w:t>ml</w:t>
            </w:r>
            <w:r w:rsidRPr="00F10C37">
              <w:rPr>
                <w:rFonts w:cs="Times New Roman"/>
                <w:color w:val="000000" w:themeColor="text1"/>
                <w:szCs w:val="24"/>
              </w:rPr>
              <w:t>, to be given after every loose motion, dose according to fluid loss.</w:t>
            </w:r>
          </w:p>
          <w:p w14:paraId="0F1F9886"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Note</w:t>
            </w:r>
            <w:r w:rsidRPr="00F10C37">
              <w:rPr>
                <w:rFonts w:cs="Times New Roman"/>
                <w:color w:val="000000" w:themeColor="text1"/>
                <w:szCs w:val="24"/>
              </w:rPr>
              <w:t>: Reconstitute 1 sachet with 200</w:t>
            </w:r>
            <w:r>
              <w:rPr>
                <w:rFonts w:cs="Times New Roman"/>
                <w:color w:val="000000" w:themeColor="text1"/>
                <w:szCs w:val="24"/>
              </w:rPr>
              <w:t>ml</w:t>
            </w:r>
            <w:r w:rsidRPr="00F10C37">
              <w:rPr>
                <w:rFonts w:cs="Times New Roman"/>
                <w:color w:val="000000" w:themeColor="text1"/>
                <w:szCs w:val="24"/>
              </w:rPr>
              <w:t xml:space="preserve"> of water (freshly boiled </w:t>
            </w:r>
            <w:r w:rsidRPr="00F10C37">
              <w:rPr>
                <w:rFonts w:cs="Times New Roman"/>
                <w:color w:val="000000" w:themeColor="text1"/>
                <w:szCs w:val="24"/>
              </w:rPr>
              <w:lastRenderedPageBreak/>
              <w:t>and cooled for infants; 5 sachets reconstituted with 1 Litre of water provide Na+ 60 mmol, K+ 20 mmol, Cl– 60 mmol, citrate 10 mmol, and glucose 90 mmol. After reconstitution any unused solution should be discarded no later than 1 hour after preparation unless stored in a refrigerator when it may be kept for up to 24 hours.</w:t>
            </w:r>
          </w:p>
        </w:tc>
      </w:tr>
      <w:tr w:rsidR="0053763D" w:rsidRPr="00F10C37" w14:paraId="6888E432" w14:textId="77777777" w:rsidTr="00C46407">
        <w:trPr>
          <w:jc w:val="center"/>
        </w:trPr>
        <w:tc>
          <w:tcPr>
            <w:tcW w:w="2649" w:type="dxa"/>
          </w:tcPr>
          <w:p w14:paraId="70E536D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Contraindications</w:t>
            </w:r>
          </w:p>
        </w:tc>
        <w:tc>
          <w:tcPr>
            <w:tcW w:w="6368" w:type="dxa"/>
            <w:gridSpan w:val="2"/>
          </w:tcPr>
          <w:p w14:paraId="247646DA" w14:textId="77777777" w:rsidR="0053763D" w:rsidRPr="00F10C37" w:rsidRDefault="0053763D" w:rsidP="00C46407">
            <w:pPr>
              <w:pStyle w:val="BodyText"/>
              <w:spacing w:line="360" w:lineRule="auto"/>
              <w:rPr>
                <w:color w:val="000000" w:themeColor="text1"/>
              </w:rPr>
            </w:pPr>
            <w:r w:rsidRPr="00F10C37">
              <w:rPr>
                <w:color w:val="000000" w:themeColor="text1"/>
              </w:rPr>
              <w:t>Shock, severe dehydration, intractable vomiting, coma, acute abdomen, or absent bowel sounds.</w:t>
            </w:r>
          </w:p>
        </w:tc>
      </w:tr>
      <w:tr w:rsidR="0053763D" w:rsidRPr="00F10C37" w14:paraId="0E1DFAA2" w14:textId="77777777" w:rsidTr="00C46407">
        <w:trPr>
          <w:jc w:val="center"/>
        </w:trPr>
        <w:tc>
          <w:tcPr>
            <w:tcW w:w="2649" w:type="dxa"/>
          </w:tcPr>
          <w:p w14:paraId="66A74B8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68" w:type="dxa"/>
            <w:gridSpan w:val="2"/>
          </w:tcPr>
          <w:p w14:paraId="3B0A1D97" w14:textId="77777777" w:rsidR="0053763D" w:rsidRPr="00F10C37" w:rsidRDefault="0053763D" w:rsidP="00C46407">
            <w:pPr>
              <w:pStyle w:val="NormalWeb"/>
              <w:shd w:val="clear" w:color="auto" w:fill="FFFFFF"/>
              <w:spacing w:before="0" w:beforeAutospacing="0" w:after="0" w:afterAutospacing="0" w:line="360" w:lineRule="auto"/>
              <w:jc w:val="both"/>
              <w:rPr>
                <w:color w:val="000000" w:themeColor="text1"/>
              </w:rPr>
            </w:pPr>
            <w:r w:rsidRPr="00F10C37">
              <w:rPr>
                <w:color w:val="000000" w:themeColor="text1"/>
              </w:rPr>
              <w:t>There are no known interactions where it is recommended to avoid concomitant use.</w:t>
            </w:r>
          </w:p>
        </w:tc>
      </w:tr>
      <w:tr w:rsidR="0053763D" w:rsidRPr="00F10C37" w14:paraId="644A758A" w14:textId="77777777" w:rsidTr="00C46407">
        <w:trPr>
          <w:jc w:val="center"/>
        </w:trPr>
        <w:tc>
          <w:tcPr>
            <w:tcW w:w="2649" w:type="dxa"/>
          </w:tcPr>
          <w:p w14:paraId="2F24C4F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68" w:type="dxa"/>
            <w:gridSpan w:val="2"/>
          </w:tcPr>
          <w:p w14:paraId="30A5D0D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Vomiting (with rapid administration), hypernatremia and hyperkalaemia (in overdose, renal impairment or concentrated solution use).</w:t>
            </w:r>
          </w:p>
        </w:tc>
      </w:tr>
      <w:tr w:rsidR="0053763D" w:rsidRPr="00F10C37" w14:paraId="066D31F1" w14:textId="77777777" w:rsidTr="00C46407">
        <w:trPr>
          <w:jc w:val="center"/>
        </w:trPr>
        <w:tc>
          <w:tcPr>
            <w:tcW w:w="2649" w:type="dxa"/>
          </w:tcPr>
          <w:p w14:paraId="178C255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68" w:type="dxa"/>
            <w:gridSpan w:val="2"/>
          </w:tcPr>
          <w:p w14:paraId="7682791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Oliguric or anuric renal impairment (dose reduction may be necessary, monitor electrolytes carefully), patients with GI obstruction, inability to drink, when parenteral rehydration therapy is indicated as in severe dehydration or intractable vomiting.</w:t>
            </w:r>
          </w:p>
        </w:tc>
      </w:tr>
      <w:tr w:rsidR="0053763D" w:rsidRPr="00F10C37" w14:paraId="023A2D12" w14:textId="77777777" w:rsidTr="00C46407">
        <w:trPr>
          <w:jc w:val="center"/>
        </w:trPr>
        <w:tc>
          <w:tcPr>
            <w:tcW w:w="2649" w:type="dxa"/>
            <w:tcBorders>
              <w:bottom w:val="nil"/>
            </w:tcBorders>
          </w:tcPr>
          <w:p w14:paraId="2621AD5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68" w:type="dxa"/>
            <w:gridSpan w:val="2"/>
            <w:tcBorders>
              <w:bottom w:val="nil"/>
            </w:tcBorders>
          </w:tcPr>
          <w:p w14:paraId="7502A9D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Do not keep the solution for more than 1 hour at room temperature. You may keep it for 24 hours in a refrigerator. </w:t>
            </w:r>
          </w:p>
        </w:tc>
      </w:tr>
      <w:tr w:rsidR="0053763D" w:rsidRPr="00F10C37" w14:paraId="7CE9A28F" w14:textId="77777777" w:rsidTr="00C46407">
        <w:trPr>
          <w:jc w:val="center"/>
        </w:trPr>
        <w:tc>
          <w:tcPr>
            <w:tcW w:w="9017" w:type="dxa"/>
            <w:gridSpan w:val="3"/>
            <w:tcBorders>
              <w:bottom w:val="nil"/>
            </w:tcBorders>
          </w:tcPr>
          <w:p w14:paraId="0CDFB32E"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 xml:space="preserve">ReSoMal (Rehydration </w:t>
            </w:r>
            <w:r w:rsidR="005339A4">
              <w:rPr>
                <w:rFonts w:cs="Times New Roman"/>
                <w:b/>
                <w:color w:val="000000" w:themeColor="text1"/>
                <w:szCs w:val="24"/>
              </w:rPr>
              <w:t>s</w:t>
            </w:r>
            <w:r w:rsidRPr="00F10C37">
              <w:rPr>
                <w:rFonts w:cs="Times New Roman"/>
                <w:b/>
                <w:color w:val="000000" w:themeColor="text1"/>
                <w:szCs w:val="24"/>
              </w:rPr>
              <w:t xml:space="preserve">olution for </w:t>
            </w:r>
            <w:r w:rsidR="005339A4">
              <w:rPr>
                <w:rFonts w:cs="Times New Roman"/>
                <w:b/>
                <w:color w:val="000000" w:themeColor="text1"/>
                <w:szCs w:val="24"/>
              </w:rPr>
              <w:t>m</w:t>
            </w:r>
            <w:r w:rsidRPr="00F10C37">
              <w:rPr>
                <w:rFonts w:cs="Times New Roman"/>
                <w:b/>
                <w:color w:val="000000" w:themeColor="text1"/>
                <w:szCs w:val="24"/>
              </w:rPr>
              <w:t>alnutrition)</w:t>
            </w:r>
          </w:p>
        </w:tc>
      </w:tr>
    </w:tbl>
    <w:tbl>
      <w:tblPr>
        <w:tblStyle w:val="TableGrid1"/>
        <w:tblW w:w="0" w:type="auto"/>
        <w:jc w:val="center"/>
        <w:tblLook w:val="04A0" w:firstRow="1" w:lastRow="0" w:firstColumn="1" w:lastColumn="0" w:noHBand="0" w:noVBand="1"/>
      </w:tblPr>
      <w:tblGrid>
        <w:gridCol w:w="2683"/>
        <w:gridCol w:w="6322"/>
      </w:tblGrid>
      <w:tr w:rsidR="0053763D" w:rsidRPr="00F10C37" w14:paraId="04C1CBA7" w14:textId="77777777" w:rsidTr="00C46407">
        <w:trPr>
          <w:trHeight w:val="458"/>
          <w:jc w:val="center"/>
        </w:trPr>
        <w:tc>
          <w:tcPr>
            <w:tcW w:w="2683" w:type="dxa"/>
            <w:tcBorders>
              <w:top w:val="single" w:sz="4" w:space="0" w:color="auto"/>
            </w:tcBorders>
          </w:tcPr>
          <w:p w14:paraId="2A0E3749"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Pharmacological class </w:t>
            </w:r>
          </w:p>
        </w:tc>
        <w:tc>
          <w:tcPr>
            <w:tcW w:w="6322" w:type="dxa"/>
            <w:tcBorders>
              <w:top w:val="single" w:sz="4" w:space="0" w:color="auto"/>
            </w:tcBorders>
          </w:tcPr>
          <w:p w14:paraId="7E6BB31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Electrolyte and mineral </w:t>
            </w:r>
          </w:p>
        </w:tc>
      </w:tr>
      <w:tr w:rsidR="0053763D" w:rsidRPr="00F10C37" w14:paraId="4A80C872" w14:textId="77777777" w:rsidTr="00C46407">
        <w:trPr>
          <w:jc w:val="center"/>
        </w:trPr>
        <w:tc>
          <w:tcPr>
            <w:tcW w:w="2683" w:type="dxa"/>
          </w:tcPr>
          <w:p w14:paraId="19AE80F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22" w:type="dxa"/>
            <w:shd w:val="clear" w:color="auto" w:fill="auto"/>
          </w:tcPr>
          <w:p w14:paraId="569544AA" w14:textId="77777777" w:rsidR="0053763D" w:rsidRPr="00E6134F" w:rsidRDefault="0053763D" w:rsidP="00C46407">
            <w:pPr>
              <w:widowControl w:val="0"/>
              <w:autoSpaceDE w:val="0"/>
              <w:autoSpaceDN w:val="0"/>
              <w:adjustRightInd w:val="0"/>
              <w:jc w:val="both"/>
              <w:rPr>
                <w:rFonts w:cs="Times New Roman"/>
                <w:color w:val="000000" w:themeColor="text1"/>
                <w:szCs w:val="24"/>
              </w:rPr>
            </w:pPr>
            <w:r w:rsidRPr="00E6134F">
              <w:rPr>
                <w:rFonts w:cs="Times New Roman"/>
                <w:color w:val="000000" w:themeColor="text1"/>
                <w:szCs w:val="24"/>
              </w:rPr>
              <w:t xml:space="preserve">For each sachet for 2 litre contains                    </w:t>
            </w:r>
          </w:p>
          <w:p w14:paraId="3778008E" w14:textId="77777777" w:rsidR="0053763D" w:rsidRPr="00E6134F" w:rsidRDefault="0053763D" w:rsidP="00C46407">
            <w:pPr>
              <w:widowControl w:val="0"/>
              <w:autoSpaceDE w:val="0"/>
              <w:autoSpaceDN w:val="0"/>
              <w:adjustRightInd w:val="0"/>
              <w:jc w:val="both"/>
              <w:rPr>
                <w:rFonts w:cs="Times New Roman"/>
                <w:color w:val="000000" w:themeColor="text1"/>
                <w:szCs w:val="24"/>
              </w:rPr>
            </w:pPr>
            <w:r w:rsidRPr="00E6134F">
              <w:rPr>
                <w:rFonts w:cs="Times New Roman"/>
                <w:color w:val="000000" w:themeColor="text1"/>
                <w:szCs w:val="24"/>
              </w:rPr>
              <w:t>Glucose:       125 mEq/L</w:t>
            </w:r>
          </w:p>
          <w:p w14:paraId="11BA166A" w14:textId="77777777" w:rsidR="0053763D" w:rsidRPr="00E6134F" w:rsidRDefault="0053763D" w:rsidP="00C46407">
            <w:pPr>
              <w:widowControl w:val="0"/>
              <w:autoSpaceDE w:val="0"/>
              <w:autoSpaceDN w:val="0"/>
              <w:adjustRightInd w:val="0"/>
              <w:jc w:val="both"/>
              <w:rPr>
                <w:rFonts w:cs="Times New Roman"/>
                <w:color w:val="000000" w:themeColor="text1"/>
                <w:szCs w:val="24"/>
              </w:rPr>
            </w:pPr>
            <w:r w:rsidRPr="00E6134F">
              <w:rPr>
                <w:rFonts w:cs="Times New Roman"/>
                <w:color w:val="000000" w:themeColor="text1"/>
                <w:szCs w:val="24"/>
              </w:rPr>
              <w:t>Sodium:         45 mEq/L</w:t>
            </w:r>
          </w:p>
          <w:p w14:paraId="2AFA9748" w14:textId="77777777" w:rsidR="0053763D" w:rsidRPr="00E6134F" w:rsidRDefault="0053763D" w:rsidP="00C46407">
            <w:pPr>
              <w:widowControl w:val="0"/>
              <w:autoSpaceDE w:val="0"/>
              <w:autoSpaceDN w:val="0"/>
              <w:adjustRightInd w:val="0"/>
              <w:jc w:val="both"/>
              <w:rPr>
                <w:rFonts w:cs="Times New Roman"/>
                <w:color w:val="000000" w:themeColor="text1"/>
                <w:szCs w:val="24"/>
              </w:rPr>
            </w:pPr>
            <w:r w:rsidRPr="00E6134F">
              <w:rPr>
                <w:rFonts w:cs="Times New Roman"/>
                <w:color w:val="000000" w:themeColor="text1"/>
                <w:szCs w:val="24"/>
              </w:rPr>
              <w:t>Potassium:     40 mEq/L</w:t>
            </w:r>
          </w:p>
          <w:p w14:paraId="6A8A7687" w14:textId="77777777" w:rsidR="0053763D" w:rsidRPr="00E6134F" w:rsidRDefault="0053763D" w:rsidP="00C46407">
            <w:pPr>
              <w:widowControl w:val="0"/>
              <w:autoSpaceDE w:val="0"/>
              <w:autoSpaceDN w:val="0"/>
              <w:adjustRightInd w:val="0"/>
              <w:jc w:val="both"/>
              <w:rPr>
                <w:rFonts w:cs="Times New Roman"/>
                <w:color w:val="000000" w:themeColor="text1"/>
                <w:szCs w:val="24"/>
              </w:rPr>
            </w:pPr>
            <w:r w:rsidRPr="00E6134F">
              <w:rPr>
                <w:rFonts w:cs="Times New Roman"/>
                <w:color w:val="000000" w:themeColor="text1"/>
                <w:szCs w:val="24"/>
              </w:rPr>
              <w:t>Chloride:        70 mEq/L</w:t>
            </w:r>
          </w:p>
          <w:p w14:paraId="5CF1FCEC" w14:textId="77777777" w:rsidR="0053763D" w:rsidRPr="00F10C37" w:rsidRDefault="0053763D" w:rsidP="00C46407">
            <w:pPr>
              <w:jc w:val="both"/>
              <w:rPr>
                <w:rFonts w:cs="Times New Roman"/>
                <w:color w:val="000000" w:themeColor="text1"/>
                <w:szCs w:val="24"/>
              </w:rPr>
            </w:pPr>
            <w:r w:rsidRPr="00E6134F">
              <w:rPr>
                <w:rFonts w:cs="Times New Roman"/>
                <w:color w:val="000000" w:themeColor="text1"/>
                <w:szCs w:val="24"/>
              </w:rPr>
              <w:t>Total osmolality: 294 mEq/L</w:t>
            </w:r>
          </w:p>
        </w:tc>
      </w:tr>
      <w:tr w:rsidR="0053763D" w:rsidRPr="00F10C37" w14:paraId="500542A7" w14:textId="77777777" w:rsidTr="00C46407">
        <w:trPr>
          <w:trHeight w:val="659"/>
          <w:jc w:val="center"/>
        </w:trPr>
        <w:tc>
          <w:tcPr>
            <w:tcW w:w="2683" w:type="dxa"/>
          </w:tcPr>
          <w:p w14:paraId="499687AB" w14:textId="77777777" w:rsidR="0053763D" w:rsidRPr="009D1A9F" w:rsidRDefault="0053763D" w:rsidP="00C46407">
            <w:pPr>
              <w:jc w:val="both"/>
              <w:rPr>
                <w:rFonts w:cs="Times New Roman"/>
                <w:color w:val="000000" w:themeColor="text1"/>
                <w:szCs w:val="24"/>
              </w:rPr>
            </w:pPr>
            <w:r w:rsidRPr="009D1A9F">
              <w:rPr>
                <w:rFonts w:cs="Times New Roman"/>
                <w:color w:val="000000" w:themeColor="text1"/>
                <w:szCs w:val="24"/>
              </w:rPr>
              <w:t>Indications</w:t>
            </w:r>
          </w:p>
        </w:tc>
        <w:tc>
          <w:tcPr>
            <w:tcW w:w="6322" w:type="dxa"/>
          </w:tcPr>
          <w:p w14:paraId="2EDF853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Prevention and treatment of dehydration, in children suffering from complicated acute malnutrition</w:t>
            </w:r>
          </w:p>
        </w:tc>
      </w:tr>
      <w:tr w:rsidR="0053763D" w:rsidRPr="00F10C37" w14:paraId="1F5D122F" w14:textId="77777777" w:rsidTr="00C46407">
        <w:trPr>
          <w:jc w:val="center"/>
        </w:trPr>
        <w:tc>
          <w:tcPr>
            <w:tcW w:w="2683" w:type="dxa"/>
          </w:tcPr>
          <w:p w14:paraId="74DACDB1"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lastRenderedPageBreak/>
              <w:t>Dose and administration</w:t>
            </w:r>
          </w:p>
        </w:tc>
        <w:tc>
          <w:tcPr>
            <w:tcW w:w="6322" w:type="dxa"/>
          </w:tcPr>
          <w:p w14:paraId="0911F504"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Prevention of dehydration: </w:t>
            </w:r>
          </w:p>
          <w:p w14:paraId="10F15BB8"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w:t>
            </w:r>
            <w:r w:rsidRPr="00F10C37">
              <w:rPr>
                <w:rFonts w:cs="Times New Roman"/>
                <w:color w:val="000000" w:themeColor="text1"/>
                <w:szCs w:val="24"/>
              </w:rPr>
              <w:t xml:space="preserve">: 5 </w:t>
            </w:r>
            <w:r>
              <w:rPr>
                <w:rFonts w:cs="Times New Roman"/>
                <w:color w:val="000000" w:themeColor="text1"/>
                <w:szCs w:val="24"/>
              </w:rPr>
              <w:t>ml</w:t>
            </w:r>
            <w:r w:rsidRPr="00F10C37">
              <w:rPr>
                <w:rFonts w:cs="Times New Roman"/>
                <w:color w:val="000000" w:themeColor="text1"/>
                <w:szCs w:val="24"/>
              </w:rPr>
              <w:t>/kg after each loose stool as long as diarrhoea persists.</w:t>
            </w:r>
          </w:p>
          <w:p w14:paraId="16585D57"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&lt; 5 kg</w:t>
            </w:r>
            <w:r w:rsidRPr="00F10C37">
              <w:rPr>
                <w:rFonts w:cs="Times New Roman"/>
                <w:color w:val="000000" w:themeColor="text1"/>
                <w:szCs w:val="24"/>
              </w:rPr>
              <w:t xml:space="preserve">: 25 </w:t>
            </w:r>
            <w:r>
              <w:rPr>
                <w:rFonts w:cs="Times New Roman"/>
                <w:color w:val="000000" w:themeColor="text1"/>
                <w:szCs w:val="24"/>
              </w:rPr>
              <w:t>ml</w:t>
            </w:r>
          </w:p>
          <w:p w14:paraId="57018E9F"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5-9 kg</w:t>
            </w:r>
            <w:r w:rsidRPr="00F10C37">
              <w:rPr>
                <w:rFonts w:cs="Times New Roman"/>
                <w:color w:val="000000" w:themeColor="text1"/>
                <w:szCs w:val="24"/>
              </w:rPr>
              <w:t xml:space="preserve">: 50 </w:t>
            </w:r>
            <w:r>
              <w:rPr>
                <w:rFonts w:cs="Times New Roman"/>
                <w:color w:val="000000" w:themeColor="text1"/>
                <w:szCs w:val="24"/>
              </w:rPr>
              <w:t>ml</w:t>
            </w:r>
          </w:p>
          <w:p w14:paraId="71C9568E"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10-19 kg</w:t>
            </w:r>
            <w:r w:rsidRPr="00F10C37">
              <w:rPr>
                <w:rFonts w:cs="Times New Roman"/>
                <w:color w:val="000000" w:themeColor="text1"/>
                <w:szCs w:val="24"/>
              </w:rPr>
              <w:t xml:space="preserve">: 100 </w:t>
            </w:r>
            <w:r>
              <w:rPr>
                <w:rFonts w:cs="Times New Roman"/>
                <w:color w:val="000000" w:themeColor="text1"/>
                <w:szCs w:val="24"/>
              </w:rPr>
              <w:t>ml</w:t>
            </w:r>
          </w:p>
          <w:p w14:paraId="540A7BE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 ≥ 20 kg</w:t>
            </w:r>
            <w:r w:rsidRPr="00F10C37">
              <w:rPr>
                <w:rFonts w:cs="Times New Roman"/>
                <w:color w:val="000000" w:themeColor="text1"/>
                <w:szCs w:val="24"/>
              </w:rPr>
              <w:t xml:space="preserve">: 200 </w:t>
            </w:r>
            <w:r>
              <w:rPr>
                <w:rFonts w:cs="Times New Roman"/>
                <w:color w:val="000000" w:themeColor="text1"/>
                <w:szCs w:val="24"/>
              </w:rPr>
              <w:t>ml</w:t>
            </w:r>
          </w:p>
          <w:p w14:paraId="313FF934" w14:textId="77777777" w:rsidR="0053763D" w:rsidRPr="00F10C37" w:rsidRDefault="0053763D" w:rsidP="00C46407">
            <w:pPr>
              <w:jc w:val="both"/>
              <w:rPr>
                <w:rFonts w:cs="Times New Roman"/>
                <w:b/>
                <w:color w:val="000000" w:themeColor="text1"/>
                <w:szCs w:val="24"/>
              </w:rPr>
            </w:pPr>
            <w:r w:rsidRPr="00F10C37">
              <w:rPr>
                <w:rFonts w:cs="Times New Roman"/>
                <w:b/>
                <w:color w:val="000000" w:themeColor="text1"/>
                <w:szCs w:val="24"/>
              </w:rPr>
              <w:t xml:space="preserve">Treatment of </w:t>
            </w:r>
            <w:r>
              <w:rPr>
                <w:rFonts w:cs="Times New Roman"/>
                <w:b/>
                <w:color w:val="000000" w:themeColor="text1"/>
                <w:szCs w:val="24"/>
              </w:rPr>
              <w:t>severe acute malnutrition associated</w:t>
            </w:r>
            <w:r w:rsidRPr="00F10C37">
              <w:rPr>
                <w:rFonts w:cs="Times New Roman"/>
                <w:b/>
                <w:color w:val="000000" w:themeColor="text1"/>
                <w:szCs w:val="24"/>
              </w:rPr>
              <w:t xml:space="preserve"> dehydration: </w:t>
            </w:r>
          </w:p>
          <w:p w14:paraId="7E4800C6"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Child</w:t>
            </w:r>
            <w:r w:rsidRPr="00F10C37">
              <w:rPr>
                <w:rFonts w:cs="Times New Roman"/>
                <w:color w:val="000000" w:themeColor="text1"/>
                <w:szCs w:val="24"/>
              </w:rPr>
              <w:t xml:space="preserve">: 20 </w:t>
            </w:r>
            <w:r>
              <w:rPr>
                <w:rFonts w:cs="Times New Roman"/>
                <w:color w:val="000000" w:themeColor="text1"/>
                <w:szCs w:val="24"/>
              </w:rPr>
              <w:t>ml</w:t>
            </w:r>
            <w:r w:rsidRPr="00F10C37">
              <w:rPr>
                <w:rFonts w:cs="Times New Roman"/>
                <w:color w:val="000000" w:themeColor="text1"/>
                <w:szCs w:val="24"/>
              </w:rPr>
              <w:t xml:space="preserve">/kg/hour for 2 hours orally or by nasogastric tube. If improvement (diarrhoea and signs of dehydration regress), reduce to 10 </w:t>
            </w:r>
            <w:r>
              <w:rPr>
                <w:rFonts w:cs="Times New Roman"/>
                <w:color w:val="000000" w:themeColor="text1"/>
                <w:szCs w:val="24"/>
              </w:rPr>
              <w:t>ml</w:t>
            </w:r>
            <w:r w:rsidRPr="00F10C37">
              <w:rPr>
                <w:rFonts w:cs="Times New Roman"/>
                <w:color w:val="000000" w:themeColor="text1"/>
                <w:szCs w:val="24"/>
              </w:rPr>
              <w:t>/kg/hour until there are no signs of dehydration and/or target weight is reached, then change to prevention of dehydration as above.</w:t>
            </w:r>
          </w:p>
          <w:p w14:paraId="2B52B7AC" w14:textId="77777777" w:rsidR="0053763D" w:rsidRPr="00F10C37" w:rsidRDefault="0053763D" w:rsidP="00C46407">
            <w:pPr>
              <w:jc w:val="both"/>
              <w:rPr>
                <w:rFonts w:cs="Times New Roman"/>
                <w:color w:val="000000" w:themeColor="text1"/>
                <w:szCs w:val="24"/>
              </w:rPr>
            </w:pPr>
            <w:r w:rsidRPr="00F10C37">
              <w:rPr>
                <w:rFonts w:cs="Times New Roman"/>
                <w:b/>
                <w:color w:val="000000" w:themeColor="text1"/>
                <w:szCs w:val="24"/>
              </w:rPr>
              <w:t>Note</w:t>
            </w:r>
            <w:r w:rsidRPr="00F10C37">
              <w:rPr>
                <w:rFonts w:cs="Times New Roman"/>
                <w:color w:val="000000" w:themeColor="text1"/>
                <w:szCs w:val="24"/>
              </w:rPr>
              <w:t xml:space="preserve">: </w:t>
            </w:r>
            <w:r w:rsidRPr="003D3E3A">
              <w:rPr>
                <w:rFonts w:cs="Times New Roman"/>
                <w:i/>
                <w:color w:val="000000" w:themeColor="text1"/>
                <w:szCs w:val="24"/>
              </w:rPr>
              <w:t xml:space="preserve">ReSoMal can also be administered in adults suffering from complicated acute malnutrition, including pregnant or breastfeeding women. </w:t>
            </w:r>
          </w:p>
        </w:tc>
      </w:tr>
      <w:tr w:rsidR="0053763D" w:rsidRPr="00F10C37" w14:paraId="0762637D" w14:textId="77777777" w:rsidTr="00C46407">
        <w:trPr>
          <w:jc w:val="center"/>
        </w:trPr>
        <w:tc>
          <w:tcPr>
            <w:tcW w:w="2683" w:type="dxa"/>
          </w:tcPr>
          <w:p w14:paraId="508F609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22" w:type="dxa"/>
          </w:tcPr>
          <w:p w14:paraId="2779D16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Cholera or uncomplicated acute malnutrition</w:t>
            </w:r>
            <w:r w:rsidR="003707D6">
              <w:rPr>
                <w:rFonts w:cs="Times New Roman"/>
                <w:color w:val="000000" w:themeColor="text1"/>
                <w:szCs w:val="24"/>
              </w:rPr>
              <w:t>.</w:t>
            </w:r>
          </w:p>
        </w:tc>
      </w:tr>
      <w:tr w:rsidR="0053763D" w:rsidRPr="00F10C37" w14:paraId="10599083" w14:textId="77777777" w:rsidTr="00C46407">
        <w:trPr>
          <w:jc w:val="center"/>
        </w:trPr>
        <w:tc>
          <w:tcPr>
            <w:tcW w:w="2683" w:type="dxa"/>
          </w:tcPr>
          <w:p w14:paraId="648F5F7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22" w:type="dxa"/>
          </w:tcPr>
          <w:p w14:paraId="6B4D524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No known interactions where it is recommended to avoid concomitant use.</w:t>
            </w:r>
          </w:p>
        </w:tc>
      </w:tr>
      <w:tr w:rsidR="0053763D" w:rsidRPr="00F10C37" w14:paraId="4425EC18" w14:textId="77777777" w:rsidTr="00C46407">
        <w:trPr>
          <w:jc w:val="center"/>
        </w:trPr>
        <w:tc>
          <w:tcPr>
            <w:tcW w:w="2683" w:type="dxa"/>
          </w:tcPr>
          <w:p w14:paraId="57099FA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22" w:type="dxa"/>
          </w:tcPr>
          <w:p w14:paraId="273F582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Increased respiratory and heart rates and new onset or worsening of oedema (with fluid overload). </w:t>
            </w:r>
          </w:p>
        </w:tc>
      </w:tr>
      <w:tr w:rsidR="0053763D" w:rsidRPr="00F10C37" w14:paraId="2C4D708E" w14:textId="77777777" w:rsidTr="00C46407">
        <w:trPr>
          <w:jc w:val="center"/>
        </w:trPr>
        <w:tc>
          <w:tcPr>
            <w:tcW w:w="2683" w:type="dxa"/>
          </w:tcPr>
          <w:p w14:paraId="7DDF2E5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22" w:type="dxa"/>
          </w:tcPr>
          <w:p w14:paraId="76015602" w14:textId="77777777" w:rsidR="0053763D" w:rsidRPr="00F10C37" w:rsidRDefault="0053763D" w:rsidP="00C46407">
            <w:pPr>
              <w:jc w:val="both"/>
              <w:rPr>
                <w:rFonts w:cs="Times New Roman"/>
                <w:i/>
                <w:color w:val="000000" w:themeColor="text1"/>
                <w:szCs w:val="24"/>
              </w:rPr>
            </w:pPr>
            <w:r w:rsidRPr="00F10C37">
              <w:rPr>
                <w:rFonts w:cs="Times New Roman"/>
                <w:color w:val="000000" w:themeColor="text1"/>
                <w:szCs w:val="24"/>
              </w:rPr>
              <w:t xml:space="preserve">Risk of heart failure when administered too rapidly, renal impairment (dose reduction may be necessary). </w:t>
            </w:r>
          </w:p>
        </w:tc>
      </w:tr>
      <w:tr w:rsidR="0053763D" w:rsidRPr="00F10C37" w14:paraId="57BD04C4" w14:textId="77777777" w:rsidTr="00C46407">
        <w:trPr>
          <w:jc w:val="center"/>
        </w:trPr>
        <w:tc>
          <w:tcPr>
            <w:tcW w:w="2683" w:type="dxa"/>
          </w:tcPr>
          <w:p w14:paraId="31E3CBB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22" w:type="dxa"/>
          </w:tcPr>
          <w:p w14:paraId="0B0B9E1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Store below 30 °C.</w:t>
            </w:r>
          </w:p>
        </w:tc>
      </w:tr>
    </w:tbl>
    <w:tbl>
      <w:tblPr>
        <w:tblStyle w:val="TableGrid"/>
        <w:tblW w:w="0" w:type="auto"/>
        <w:jc w:val="center"/>
        <w:tblLook w:val="04A0" w:firstRow="1" w:lastRow="0" w:firstColumn="1" w:lastColumn="0" w:noHBand="0" w:noVBand="1"/>
      </w:tblPr>
      <w:tblGrid>
        <w:gridCol w:w="2695"/>
        <w:gridCol w:w="6322"/>
      </w:tblGrid>
      <w:tr w:rsidR="0053763D" w:rsidRPr="00F10C37" w14:paraId="28F533A5" w14:textId="77777777" w:rsidTr="00C46407">
        <w:trPr>
          <w:jc w:val="center"/>
        </w:trPr>
        <w:tc>
          <w:tcPr>
            <w:tcW w:w="9017" w:type="dxa"/>
            <w:gridSpan w:val="2"/>
            <w:tcBorders>
              <w:top w:val="nil"/>
            </w:tcBorders>
          </w:tcPr>
          <w:p w14:paraId="096CAB53" w14:textId="77777777" w:rsidR="0053763D" w:rsidRPr="00F10C37" w:rsidRDefault="0053763D" w:rsidP="00C46407">
            <w:pPr>
              <w:jc w:val="both"/>
              <w:rPr>
                <w:rFonts w:cs="Times New Roman"/>
                <w:b/>
                <w:bCs/>
                <w:color w:val="000000" w:themeColor="text1"/>
                <w:szCs w:val="24"/>
              </w:rPr>
            </w:pPr>
            <w:r w:rsidRPr="00F10C37">
              <w:rPr>
                <w:rFonts w:cs="Times New Roman"/>
                <w:b/>
                <w:bCs/>
                <w:color w:val="000000" w:themeColor="text1"/>
                <w:szCs w:val="24"/>
              </w:rPr>
              <w:t>Zinc Sulphate</w:t>
            </w:r>
          </w:p>
        </w:tc>
      </w:tr>
      <w:tr w:rsidR="0053763D" w:rsidRPr="00F10C37" w14:paraId="2219A832" w14:textId="77777777" w:rsidTr="00C46407">
        <w:trPr>
          <w:jc w:val="center"/>
        </w:trPr>
        <w:tc>
          <w:tcPr>
            <w:tcW w:w="2695" w:type="dxa"/>
          </w:tcPr>
          <w:p w14:paraId="61CB060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322" w:type="dxa"/>
          </w:tcPr>
          <w:p w14:paraId="44B30027" w14:textId="77777777" w:rsidR="0053763D" w:rsidRPr="00F10C37" w:rsidRDefault="0053763D" w:rsidP="00C46407">
            <w:pPr>
              <w:jc w:val="both"/>
              <w:rPr>
                <w:rFonts w:cs="Times New Roman"/>
                <w:b/>
                <w:color w:val="000000" w:themeColor="text1"/>
                <w:szCs w:val="24"/>
              </w:rPr>
            </w:pPr>
            <w:r w:rsidRPr="00F10C37">
              <w:rPr>
                <w:rFonts w:cs="Times New Roman"/>
                <w:color w:val="000000" w:themeColor="text1"/>
                <w:szCs w:val="24"/>
              </w:rPr>
              <w:t>Electrolyte and mineral</w:t>
            </w:r>
          </w:p>
        </w:tc>
      </w:tr>
      <w:tr w:rsidR="0053763D" w:rsidRPr="00F10C37" w14:paraId="5ADF3B11" w14:textId="77777777" w:rsidTr="00C46407">
        <w:trPr>
          <w:jc w:val="center"/>
        </w:trPr>
        <w:tc>
          <w:tcPr>
            <w:tcW w:w="2695" w:type="dxa"/>
          </w:tcPr>
          <w:p w14:paraId="4D56395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322" w:type="dxa"/>
          </w:tcPr>
          <w:p w14:paraId="7FE29AC4"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Tablet (dispersible): 10mg, 20mg</w:t>
            </w:r>
          </w:p>
          <w:p w14:paraId="33583B14"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Liquid: 10mg/unit</w:t>
            </w:r>
          </w:p>
        </w:tc>
      </w:tr>
      <w:tr w:rsidR="0053763D" w:rsidRPr="00F10C37" w14:paraId="014138DA" w14:textId="77777777" w:rsidTr="00C46407">
        <w:trPr>
          <w:jc w:val="center"/>
        </w:trPr>
        <w:tc>
          <w:tcPr>
            <w:tcW w:w="2695" w:type="dxa"/>
          </w:tcPr>
          <w:p w14:paraId="40E9DBFC" w14:textId="77777777" w:rsidR="0053763D" w:rsidRPr="004F19A1" w:rsidRDefault="0053763D" w:rsidP="00C46407">
            <w:pPr>
              <w:jc w:val="both"/>
              <w:rPr>
                <w:rFonts w:cs="Times New Roman"/>
                <w:color w:val="000000" w:themeColor="text1"/>
                <w:szCs w:val="24"/>
              </w:rPr>
            </w:pPr>
            <w:r w:rsidRPr="004F19A1">
              <w:rPr>
                <w:rFonts w:cs="Times New Roman"/>
                <w:color w:val="000000" w:themeColor="text1"/>
                <w:szCs w:val="24"/>
              </w:rPr>
              <w:t>Indications</w:t>
            </w:r>
          </w:p>
        </w:tc>
        <w:tc>
          <w:tcPr>
            <w:tcW w:w="6322" w:type="dxa"/>
          </w:tcPr>
          <w:p w14:paraId="66A92018" w14:textId="77777777" w:rsidR="0053763D" w:rsidRPr="00F10C37" w:rsidRDefault="0053763D" w:rsidP="00C46407">
            <w:pPr>
              <w:autoSpaceDE w:val="0"/>
              <w:autoSpaceDN w:val="0"/>
              <w:adjustRightInd w:val="0"/>
              <w:jc w:val="both"/>
              <w:rPr>
                <w:rFonts w:cs="Times New Roman"/>
                <w:color w:val="000000" w:themeColor="text1"/>
                <w:szCs w:val="24"/>
              </w:rPr>
            </w:pPr>
            <w:r w:rsidRPr="00C52582">
              <w:rPr>
                <w:rFonts w:cs="Times New Roman"/>
                <w:color w:val="000000" w:themeColor="text1"/>
                <w:szCs w:val="24"/>
              </w:rPr>
              <w:t xml:space="preserve">Adjunct to oral rehydration therapy in the event of acute and/or persistent diarrhoea </w:t>
            </w:r>
          </w:p>
        </w:tc>
      </w:tr>
      <w:tr w:rsidR="0053763D" w:rsidRPr="00F10C37" w14:paraId="28A1FDDB" w14:textId="77777777" w:rsidTr="00C46407">
        <w:trPr>
          <w:jc w:val="center"/>
        </w:trPr>
        <w:tc>
          <w:tcPr>
            <w:tcW w:w="2695" w:type="dxa"/>
          </w:tcPr>
          <w:p w14:paraId="3E2EA789"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lastRenderedPageBreak/>
              <w:t>Dose and administration</w:t>
            </w:r>
          </w:p>
        </w:tc>
        <w:tc>
          <w:tcPr>
            <w:tcW w:w="6322" w:type="dxa"/>
          </w:tcPr>
          <w:p w14:paraId="1EDE1049" w14:textId="77777777" w:rsidR="0053763D" w:rsidRDefault="0053763D" w:rsidP="00C46407">
            <w:pPr>
              <w:autoSpaceDE w:val="0"/>
              <w:autoSpaceDN w:val="0"/>
              <w:adjustRightInd w:val="0"/>
              <w:jc w:val="both"/>
              <w:rPr>
                <w:rFonts w:cs="Times New Roman"/>
                <w:b/>
                <w:color w:val="000000" w:themeColor="text1"/>
                <w:szCs w:val="24"/>
              </w:rPr>
            </w:pPr>
            <w:r w:rsidRPr="003D3E3A">
              <w:rPr>
                <w:rFonts w:cs="Times New Roman"/>
                <w:color w:val="000000" w:themeColor="text1"/>
                <w:szCs w:val="24"/>
              </w:rPr>
              <w:t>Oral</w:t>
            </w:r>
            <w:r>
              <w:rPr>
                <w:rFonts w:cs="Times New Roman"/>
                <w:b/>
                <w:color w:val="000000" w:themeColor="text1"/>
                <w:szCs w:val="24"/>
              </w:rPr>
              <w:t>:</w:t>
            </w:r>
          </w:p>
          <w:p w14:paraId="48237378" w14:textId="77777777" w:rsidR="0053763D" w:rsidRPr="00C52582" w:rsidRDefault="0053763D" w:rsidP="00C46407">
            <w:pPr>
              <w:autoSpaceDE w:val="0"/>
              <w:autoSpaceDN w:val="0"/>
              <w:adjustRightInd w:val="0"/>
              <w:jc w:val="both"/>
              <w:rPr>
                <w:rFonts w:cs="Times New Roman"/>
                <w:b/>
                <w:color w:val="000000" w:themeColor="text1"/>
                <w:szCs w:val="24"/>
              </w:rPr>
            </w:pPr>
            <w:r w:rsidRPr="00C52582">
              <w:rPr>
                <w:rFonts w:cs="Times New Roman"/>
                <w:b/>
                <w:color w:val="000000" w:themeColor="text1"/>
                <w:szCs w:val="24"/>
              </w:rPr>
              <w:t xml:space="preserve">Child under 6 months: </w:t>
            </w:r>
            <w:r w:rsidRPr="003D3E3A">
              <w:rPr>
                <w:rFonts w:cs="Times New Roman"/>
                <w:color w:val="000000" w:themeColor="text1"/>
                <w:szCs w:val="24"/>
              </w:rPr>
              <w:t xml:space="preserve">10 mg </w:t>
            </w:r>
            <w:r>
              <w:rPr>
                <w:rFonts w:cs="Times New Roman"/>
                <w:color w:val="000000" w:themeColor="text1"/>
                <w:szCs w:val="24"/>
              </w:rPr>
              <w:t>(elemental Zn</w:t>
            </w:r>
            <w:r w:rsidRPr="003D3E3A">
              <w:rPr>
                <w:rFonts w:cs="Times New Roman"/>
                <w:color w:val="000000" w:themeColor="text1"/>
                <w:szCs w:val="24"/>
              </w:rPr>
              <w:t>) once daily for 10</w:t>
            </w:r>
            <w:r>
              <w:rPr>
                <w:rFonts w:cs="Times New Roman"/>
                <w:color w:val="000000" w:themeColor="text1"/>
                <w:szCs w:val="24"/>
              </w:rPr>
              <w:t>-14</w:t>
            </w:r>
            <w:r w:rsidRPr="003D3E3A">
              <w:rPr>
                <w:rFonts w:cs="Times New Roman"/>
                <w:color w:val="000000" w:themeColor="text1"/>
                <w:szCs w:val="24"/>
              </w:rPr>
              <w:t xml:space="preserve"> days</w:t>
            </w:r>
            <w:r>
              <w:rPr>
                <w:rFonts w:cs="Times New Roman"/>
                <w:color w:val="000000" w:themeColor="text1"/>
                <w:szCs w:val="24"/>
              </w:rPr>
              <w:t>.</w:t>
            </w:r>
          </w:p>
          <w:p w14:paraId="1311B038" w14:textId="77777777" w:rsidR="0053763D" w:rsidRPr="00F10C37" w:rsidRDefault="0053763D" w:rsidP="00C46407">
            <w:pPr>
              <w:adjustRightInd w:val="0"/>
              <w:jc w:val="both"/>
              <w:rPr>
                <w:rFonts w:cs="Times New Roman"/>
                <w:color w:val="000000" w:themeColor="text1"/>
                <w:szCs w:val="24"/>
              </w:rPr>
            </w:pPr>
            <w:r w:rsidRPr="00C52582">
              <w:rPr>
                <w:rFonts w:cs="Times New Roman"/>
                <w:b/>
                <w:color w:val="000000" w:themeColor="text1"/>
                <w:szCs w:val="24"/>
              </w:rPr>
              <w:t xml:space="preserve">Child from 6 months to 5 years: </w:t>
            </w:r>
            <w:r w:rsidRPr="003D3E3A">
              <w:rPr>
                <w:rFonts w:cs="Times New Roman"/>
                <w:color w:val="000000" w:themeColor="text1"/>
                <w:szCs w:val="24"/>
              </w:rPr>
              <w:t xml:space="preserve">20 mg </w:t>
            </w:r>
            <w:r>
              <w:rPr>
                <w:rFonts w:cs="Times New Roman"/>
                <w:color w:val="000000" w:themeColor="text1"/>
                <w:szCs w:val="24"/>
              </w:rPr>
              <w:t>(elemental Zn</w:t>
            </w:r>
            <w:r w:rsidRPr="00263523">
              <w:rPr>
                <w:rFonts w:cs="Times New Roman"/>
                <w:color w:val="000000" w:themeColor="text1"/>
                <w:szCs w:val="24"/>
              </w:rPr>
              <w:t xml:space="preserve">) </w:t>
            </w:r>
            <w:r w:rsidRPr="003D3E3A">
              <w:rPr>
                <w:rFonts w:cs="Times New Roman"/>
                <w:color w:val="000000" w:themeColor="text1"/>
                <w:szCs w:val="24"/>
              </w:rPr>
              <w:t>once daily for 10</w:t>
            </w:r>
            <w:r>
              <w:rPr>
                <w:rFonts w:cs="Times New Roman"/>
                <w:color w:val="000000" w:themeColor="text1"/>
                <w:szCs w:val="24"/>
              </w:rPr>
              <w:t>-14</w:t>
            </w:r>
            <w:r w:rsidRPr="003D3E3A">
              <w:rPr>
                <w:rFonts w:cs="Times New Roman"/>
                <w:color w:val="000000" w:themeColor="text1"/>
                <w:szCs w:val="24"/>
              </w:rPr>
              <w:t xml:space="preserve"> days.</w:t>
            </w:r>
          </w:p>
        </w:tc>
      </w:tr>
      <w:tr w:rsidR="0053763D" w:rsidRPr="00F10C37" w14:paraId="4AE3C7BC" w14:textId="77777777" w:rsidTr="00C46407">
        <w:trPr>
          <w:jc w:val="center"/>
        </w:trPr>
        <w:tc>
          <w:tcPr>
            <w:tcW w:w="2695" w:type="dxa"/>
          </w:tcPr>
          <w:p w14:paraId="6994862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322" w:type="dxa"/>
          </w:tcPr>
          <w:p w14:paraId="01EBB74D"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color w:val="000000" w:themeColor="text1"/>
                <w:szCs w:val="24"/>
              </w:rPr>
              <w:t>Hypersensitivity</w:t>
            </w:r>
            <w:r>
              <w:rPr>
                <w:rFonts w:cs="Times New Roman"/>
                <w:color w:val="000000" w:themeColor="text1"/>
                <w:szCs w:val="24"/>
              </w:rPr>
              <w:t xml:space="preserve"> to the drug</w:t>
            </w:r>
            <w:r w:rsidRPr="00F10C37">
              <w:rPr>
                <w:rFonts w:cs="Times New Roman"/>
                <w:color w:val="000000" w:themeColor="text1"/>
                <w:szCs w:val="24"/>
              </w:rPr>
              <w:t>.</w:t>
            </w:r>
          </w:p>
        </w:tc>
      </w:tr>
      <w:tr w:rsidR="0053763D" w:rsidRPr="00F10C37" w14:paraId="43C50F82" w14:textId="77777777" w:rsidTr="00C46407">
        <w:trPr>
          <w:jc w:val="center"/>
        </w:trPr>
        <w:tc>
          <w:tcPr>
            <w:tcW w:w="2695" w:type="dxa"/>
          </w:tcPr>
          <w:p w14:paraId="1F724B1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322" w:type="dxa"/>
          </w:tcPr>
          <w:p w14:paraId="7EB6BEDD" w14:textId="77777777" w:rsidR="0053763D" w:rsidRPr="00F10C37" w:rsidRDefault="0053763D" w:rsidP="00C46407">
            <w:pPr>
              <w:autoSpaceDE w:val="0"/>
              <w:autoSpaceDN w:val="0"/>
              <w:adjustRightInd w:val="0"/>
              <w:jc w:val="both"/>
              <w:rPr>
                <w:rFonts w:eastAsia="Batang" w:cs="Times New Roman"/>
                <w:color w:val="000000" w:themeColor="text1"/>
                <w:kern w:val="0"/>
                <w:szCs w:val="24"/>
                <w:lang w:val="en-US" w:eastAsia="en-US"/>
              </w:rPr>
            </w:pPr>
            <w:r w:rsidRPr="00F10C37">
              <w:rPr>
                <w:rFonts w:eastAsia="Batang" w:cs="Times New Roman"/>
                <w:color w:val="000000" w:themeColor="text1"/>
                <w:kern w:val="0"/>
                <w:szCs w:val="24"/>
                <w:lang w:val="en-US" w:eastAsia="en-US"/>
              </w:rPr>
              <w:t>Calcium salts,</w:t>
            </w:r>
            <w:r w:rsidRPr="00F10C37">
              <w:rPr>
                <w:rFonts w:cs="Times New Roman"/>
                <w:color w:val="000000" w:themeColor="text1"/>
                <w:szCs w:val="24"/>
              </w:rPr>
              <w:t xml:space="preserve"> quinolone antibiotics (e.g., </w:t>
            </w:r>
            <w:r w:rsidRPr="00F10C37">
              <w:rPr>
                <w:rFonts w:eastAsia="Batang" w:cs="Times New Roman"/>
                <w:color w:val="000000" w:themeColor="text1"/>
                <w:kern w:val="0"/>
                <w:szCs w:val="24"/>
                <w:lang w:val="en-US" w:eastAsia="en-US"/>
              </w:rPr>
              <w:t xml:space="preserve">ciprofloxacin, ofloxacin), ferrous salts, penicillamine. </w:t>
            </w:r>
          </w:p>
        </w:tc>
      </w:tr>
      <w:tr w:rsidR="0053763D" w:rsidRPr="00F10C37" w14:paraId="6F5E4B4E" w14:textId="77777777" w:rsidTr="00C46407">
        <w:trPr>
          <w:jc w:val="center"/>
        </w:trPr>
        <w:tc>
          <w:tcPr>
            <w:tcW w:w="2695" w:type="dxa"/>
          </w:tcPr>
          <w:p w14:paraId="79F0C55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322" w:type="dxa"/>
          </w:tcPr>
          <w:p w14:paraId="24D08A8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Diarrhoea, gastritis, gastrointestinal discomfort, nausea, vomiting. </w:t>
            </w:r>
          </w:p>
        </w:tc>
      </w:tr>
      <w:tr w:rsidR="0053763D" w:rsidRPr="00F10C37" w14:paraId="38FCA042" w14:textId="77777777" w:rsidTr="00C46407">
        <w:trPr>
          <w:jc w:val="center"/>
        </w:trPr>
        <w:tc>
          <w:tcPr>
            <w:tcW w:w="2695" w:type="dxa"/>
          </w:tcPr>
          <w:p w14:paraId="0F7BE46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322" w:type="dxa"/>
          </w:tcPr>
          <w:p w14:paraId="1EF5063A" w14:textId="77777777" w:rsidR="0053763D" w:rsidRPr="00F10C37" w:rsidRDefault="0053763D" w:rsidP="00C46407">
            <w:pPr>
              <w:autoSpaceDE w:val="0"/>
              <w:autoSpaceDN w:val="0"/>
              <w:adjustRightInd w:val="0"/>
              <w:jc w:val="both"/>
              <w:rPr>
                <w:rFonts w:cs="Times New Roman"/>
                <w:color w:val="000000" w:themeColor="text1"/>
                <w:szCs w:val="24"/>
              </w:rPr>
            </w:pPr>
            <w:r w:rsidRPr="00B11D55">
              <w:rPr>
                <w:rFonts w:cs="Times New Roman"/>
                <w:color w:val="000000" w:themeColor="text1"/>
                <w:szCs w:val="24"/>
              </w:rPr>
              <w:t>Acute renal failure, pregnancy,</w:t>
            </w:r>
            <w:r>
              <w:rPr>
                <w:rFonts w:cs="Times New Roman"/>
                <w:color w:val="000000" w:themeColor="text1"/>
                <w:szCs w:val="24"/>
              </w:rPr>
              <w:t xml:space="preserve"> </w:t>
            </w:r>
            <w:r w:rsidRPr="00B11D55">
              <w:rPr>
                <w:rFonts w:cs="Times New Roman"/>
                <w:color w:val="000000" w:themeColor="text1"/>
                <w:szCs w:val="24"/>
              </w:rPr>
              <w:t xml:space="preserve">breastfeeding, </w:t>
            </w:r>
            <w:r w:rsidRPr="003D3E3A">
              <w:rPr>
                <w:rFonts w:cs="Times New Roman"/>
                <w:color w:val="000000" w:themeColor="text1"/>
                <w:szCs w:val="24"/>
              </w:rPr>
              <w:t>copper deficiency</w:t>
            </w:r>
            <w:r w:rsidRPr="00B11D55">
              <w:rPr>
                <w:rFonts w:cs="Times New Roman"/>
                <w:color w:val="000000" w:themeColor="text1"/>
                <w:szCs w:val="24"/>
              </w:rPr>
              <w:t>.</w:t>
            </w:r>
          </w:p>
        </w:tc>
      </w:tr>
      <w:tr w:rsidR="0053763D" w:rsidRPr="00F10C37" w14:paraId="7A8ACD70" w14:textId="77777777" w:rsidTr="00C46407">
        <w:trPr>
          <w:jc w:val="center"/>
        </w:trPr>
        <w:tc>
          <w:tcPr>
            <w:tcW w:w="2695" w:type="dxa"/>
          </w:tcPr>
          <w:p w14:paraId="4E9CDED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322" w:type="dxa"/>
          </w:tcPr>
          <w:p w14:paraId="731EAAC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 Protect from light</w:t>
            </w:r>
            <w:r w:rsidR="009B4FF7">
              <w:rPr>
                <w:rFonts w:cs="Times New Roman"/>
                <w:color w:val="000000" w:themeColor="text1"/>
                <w:szCs w:val="24"/>
              </w:rPr>
              <w:t xml:space="preserve"> and moisture</w:t>
            </w:r>
            <w:r w:rsidRPr="00F10C37">
              <w:rPr>
                <w:rFonts w:cs="Times New Roman"/>
                <w:color w:val="000000" w:themeColor="text1"/>
                <w:szCs w:val="24"/>
              </w:rPr>
              <w:t>.</w:t>
            </w:r>
          </w:p>
        </w:tc>
      </w:tr>
    </w:tbl>
    <w:p w14:paraId="39F83B99" w14:textId="77777777" w:rsidR="0053763D" w:rsidRPr="00C46407" w:rsidRDefault="0053763D" w:rsidP="00491AFD">
      <w:pPr>
        <w:pStyle w:val="Heading2"/>
        <w:spacing w:before="240" w:after="240"/>
      </w:pPr>
      <w:bookmarkStart w:id="26" w:name="_Toc179490310"/>
      <w:r w:rsidRPr="00C46407">
        <w:t>Medicines used for hemorrhoids</w:t>
      </w:r>
      <w:bookmarkEnd w:id="26"/>
    </w:p>
    <w:p w14:paraId="03132471" w14:textId="77777777" w:rsidR="0053763D" w:rsidRPr="00F10C37" w:rsidRDefault="0053763D" w:rsidP="0053763D">
      <w:pPr>
        <w:autoSpaceDE w:val="0"/>
        <w:autoSpaceDN w:val="0"/>
        <w:adjustRightInd w:val="0"/>
        <w:spacing w:after="0"/>
        <w:jc w:val="both"/>
        <w:rPr>
          <w:rFonts w:cs="Times New Roman"/>
          <w:color w:val="000000" w:themeColor="text1"/>
          <w:szCs w:val="24"/>
        </w:rPr>
      </w:pPr>
      <w:r>
        <w:rPr>
          <w:rFonts w:cs="Times New Roman"/>
          <w:color w:val="000000" w:themeColor="text1"/>
          <w:szCs w:val="24"/>
        </w:rPr>
        <w:t>A</w:t>
      </w:r>
      <w:r w:rsidRPr="00F10C37">
        <w:rPr>
          <w:rFonts w:cs="Times New Roman"/>
          <w:color w:val="000000" w:themeColor="text1"/>
          <w:szCs w:val="24"/>
        </w:rPr>
        <w:t>ntihaemorrhoidal</w:t>
      </w:r>
      <w:r w:rsidRPr="00F04399">
        <w:rPr>
          <w:rFonts w:cs="Times New Roman"/>
          <w:color w:val="000000" w:themeColor="text1"/>
          <w:szCs w:val="24"/>
        </w:rPr>
        <w:t xml:space="preserve"> </w:t>
      </w:r>
      <w:r>
        <w:rPr>
          <w:rFonts w:cs="Times New Roman"/>
          <w:color w:val="000000" w:themeColor="text1"/>
          <w:szCs w:val="24"/>
        </w:rPr>
        <w:t>m</w:t>
      </w:r>
      <w:r w:rsidRPr="00F04399">
        <w:rPr>
          <w:rFonts w:cs="Times New Roman"/>
          <w:color w:val="000000" w:themeColor="text1"/>
          <w:szCs w:val="24"/>
        </w:rPr>
        <w:t>edicines are used to temporarily relieve swelling, burning, pain, and itching caused by hemorrhoids.</w:t>
      </w:r>
      <w:r>
        <w:rPr>
          <w:rFonts w:cs="Times New Roman"/>
          <w:color w:val="000000" w:themeColor="text1"/>
          <w:szCs w:val="24"/>
        </w:rPr>
        <w:t xml:space="preserve"> These </w:t>
      </w:r>
      <w:r w:rsidRPr="00F10C37">
        <w:rPr>
          <w:rFonts w:cs="Times New Roman"/>
          <w:color w:val="000000" w:themeColor="text1"/>
          <w:szCs w:val="24"/>
        </w:rPr>
        <w:t>agents include a</w:t>
      </w:r>
      <w:r>
        <w:rPr>
          <w:rFonts w:cs="Times New Roman"/>
          <w:color w:val="000000" w:themeColor="text1"/>
          <w:szCs w:val="24"/>
        </w:rPr>
        <w:t xml:space="preserve"> </w:t>
      </w:r>
      <w:r w:rsidRPr="00F10C37">
        <w:rPr>
          <w:rFonts w:cs="Times New Roman"/>
          <w:color w:val="000000" w:themeColor="text1"/>
          <w:szCs w:val="24"/>
        </w:rPr>
        <w:t>coktail of drug combinations such as local anesthetics, corticosteroids, vasoconstrictors, astringents, etc</w:t>
      </w:r>
      <w:r w:rsidRPr="00F10C37">
        <w:rPr>
          <w:rFonts w:cs="Times New Roman"/>
          <w:color w:val="000000" w:themeColor="text1"/>
          <w:szCs w:val="24"/>
          <w:shd w:val="clear" w:color="auto" w:fill="FFFFFF"/>
        </w:rPr>
        <w:t xml:space="preserve">. They come in various forms such as </w:t>
      </w:r>
      <w:r w:rsidRPr="00F10C37">
        <w:rPr>
          <w:rFonts w:cs="Times New Roman"/>
          <w:color w:val="000000" w:themeColor="text1"/>
          <w:szCs w:val="24"/>
        </w:rPr>
        <w:t xml:space="preserve">topical ointments, creams, and suppositories. Preparations containing local ansthetetics or corticosteroids are intended only for short-term use after exclusion of infections. Prolonged use can cause atrophy of the anal skin.  </w:t>
      </w:r>
    </w:p>
    <w:tbl>
      <w:tblPr>
        <w:tblStyle w:val="TableGrid"/>
        <w:tblW w:w="9195" w:type="dxa"/>
        <w:jc w:val="center"/>
        <w:tblLook w:val="04A0" w:firstRow="1" w:lastRow="0" w:firstColumn="1" w:lastColumn="0" w:noHBand="0" w:noVBand="1"/>
      </w:tblPr>
      <w:tblGrid>
        <w:gridCol w:w="2615"/>
        <w:gridCol w:w="6580"/>
      </w:tblGrid>
      <w:tr w:rsidR="0053763D" w:rsidRPr="00F10C37" w14:paraId="43A8BDEA" w14:textId="77777777" w:rsidTr="00C46407">
        <w:trPr>
          <w:jc w:val="center"/>
        </w:trPr>
        <w:tc>
          <w:tcPr>
            <w:tcW w:w="9195" w:type="dxa"/>
            <w:gridSpan w:val="2"/>
          </w:tcPr>
          <w:p w14:paraId="1069BDF3" w14:textId="77777777" w:rsidR="0053763D" w:rsidRPr="00F10C37" w:rsidRDefault="0053763D" w:rsidP="00C46407">
            <w:pPr>
              <w:jc w:val="both"/>
              <w:rPr>
                <w:rFonts w:cs="Times New Roman"/>
                <w:b/>
                <w:bCs/>
                <w:color w:val="000000" w:themeColor="text1"/>
                <w:szCs w:val="24"/>
              </w:rPr>
            </w:pPr>
            <w:r w:rsidRPr="00F10C37">
              <w:rPr>
                <w:rFonts w:cs="Times New Roman"/>
                <w:b/>
                <w:bCs/>
                <w:color w:val="000000" w:themeColor="text1"/>
                <w:szCs w:val="24"/>
              </w:rPr>
              <w:t xml:space="preserve">Betamethasone </w:t>
            </w:r>
            <w:r>
              <w:rPr>
                <w:rFonts w:cs="Times New Roman"/>
                <w:b/>
                <w:bCs/>
                <w:color w:val="000000" w:themeColor="text1"/>
                <w:szCs w:val="24"/>
              </w:rPr>
              <w:t>v</w:t>
            </w:r>
            <w:r w:rsidRPr="00F10C37">
              <w:rPr>
                <w:rFonts w:cs="Times New Roman"/>
                <w:b/>
                <w:bCs/>
                <w:color w:val="000000" w:themeColor="text1"/>
                <w:szCs w:val="24"/>
              </w:rPr>
              <w:t>alerate+ Phenylephrine HCl + Lidocaine HCl</w:t>
            </w:r>
          </w:p>
        </w:tc>
      </w:tr>
      <w:tr w:rsidR="0053763D" w:rsidRPr="00F10C37" w14:paraId="1A16E9E1" w14:textId="77777777" w:rsidTr="00C46407">
        <w:trPr>
          <w:jc w:val="center"/>
        </w:trPr>
        <w:tc>
          <w:tcPr>
            <w:tcW w:w="2615" w:type="dxa"/>
          </w:tcPr>
          <w:p w14:paraId="3B8A920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580" w:type="dxa"/>
          </w:tcPr>
          <w:p w14:paraId="4E11C09B" w14:textId="77777777" w:rsidR="0053763D" w:rsidRPr="00F10C37" w:rsidRDefault="0053763D" w:rsidP="00C46407">
            <w:pPr>
              <w:jc w:val="both"/>
              <w:rPr>
                <w:rFonts w:cs="Times New Roman"/>
                <w:b/>
                <w:color w:val="000000" w:themeColor="text1"/>
                <w:szCs w:val="24"/>
              </w:rPr>
            </w:pPr>
            <w:r>
              <w:rPr>
                <w:rFonts w:cs="Times New Roman"/>
                <w:color w:val="000000" w:themeColor="text1"/>
                <w:szCs w:val="24"/>
              </w:rPr>
              <w:t xml:space="preserve">Corticosteroid + vasoconstrictor + </w:t>
            </w:r>
            <w:r w:rsidRPr="00F10C37">
              <w:rPr>
                <w:rFonts w:cs="Times New Roman"/>
                <w:color w:val="000000" w:themeColor="text1"/>
                <w:szCs w:val="24"/>
              </w:rPr>
              <w:t xml:space="preserve">local anaesthetic. </w:t>
            </w:r>
          </w:p>
        </w:tc>
      </w:tr>
      <w:tr w:rsidR="0053763D" w:rsidRPr="00F10C37" w14:paraId="0E21EB39" w14:textId="77777777" w:rsidTr="00C46407">
        <w:trPr>
          <w:jc w:val="center"/>
        </w:trPr>
        <w:tc>
          <w:tcPr>
            <w:tcW w:w="2615" w:type="dxa"/>
          </w:tcPr>
          <w:p w14:paraId="7C1721F8"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580" w:type="dxa"/>
          </w:tcPr>
          <w:p w14:paraId="1E7F2101" w14:textId="77777777" w:rsidR="0053763D" w:rsidRPr="00F10C37" w:rsidRDefault="0053763D" w:rsidP="00C46407">
            <w:pPr>
              <w:widowControl w:val="0"/>
              <w:autoSpaceDE w:val="0"/>
              <w:autoSpaceDN w:val="0"/>
              <w:adjustRightInd w:val="0"/>
              <w:jc w:val="both"/>
              <w:rPr>
                <w:rFonts w:cs="Times New Roman"/>
                <w:color w:val="000000" w:themeColor="text1"/>
                <w:szCs w:val="24"/>
                <w:lang w:val="sv-SE"/>
              </w:rPr>
            </w:pPr>
            <w:r w:rsidRPr="00F10C37">
              <w:rPr>
                <w:rFonts w:cs="Times New Roman"/>
                <w:color w:val="000000" w:themeColor="text1"/>
                <w:szCs w:val="24"/>
              </w:rPr>
              <w:t>Ointment: 0.5mg + 1mg + 25mg</w:t>
            </w:r>
          </w:p>
        </w:tc>
      </w:tr>
      <w:tr w:rsidR="0053763D" w:rsidRPr="00F10C37" w14:paraId="34F89CF4" w14:textId="77777777" w:rsidTr="00C46407">
        <w:trPr>
          <w:jc w:val="center"/>
        </w:trPr>
        <w:tc>
          <w:tcPr>
            <w:tcW w:w="2615" w:type="dxa"/>
          </w:tcPr>
          <w:p w14:paraId="4649A49A" w14:textId="77777777" w:rsidR="0053763D" w:rsidRPr="00F23AB8" w:rsidRDefault="0053763D" w:rsidP="00C46407">
            <w:pPr>
              <w:jc w:val="both"/>
              <w:rPr>
                <w:rFonts w:cs="Times New Roman"/>
                <w:color w:val="000000" w:themeColor="text1"/>
                <w:szCs w:val="24"/>
              </w:rPr>
            </w:pPr>
            <w:r w:rsidRPr="00F23AB8">
              <w:rPr>
                <w:rFonts w:cs="Times New Roman"/>
                <w:color w:val="000000" w:themeColor="text1"/>
                <w:szCs w:val="24"/>
              </w:rPr>
              <w:t>Indications</w:t>
            </w:r>
          </w:p>
        </w:tc>
        <w:tc>
          <w:tcPr>
            <w:tcW w:w="6580" w:type="dxa"/>
          </w:tcPr>
          <w:p w14:paraId="123C78F2" w14:textId="77777777" w:rsidR="0053763D" w:rsidRPr="00F10C37" w:rsidRDefault="0053763D" w:rsidP="00C46407">
            <w:pPr>
              <w:autoSpaceDE w:val="0"/>
              <w:autoSpaceDN w:val="0"/>
              <w:adjustRightInd w:val="0"/>
              <w:jc w:val="both"/>
              <w:rPr>
                <w:rFonts w:cs="Times New Roman"/>
                <w:color w:val="000000" w:themeColor="text1"/>
                <w:szCs w:val="24"/>
              </w:rPr>
            </w:pPr>
            <w:r>
              <w:rPr>
                <w:rFonts w:cs="Times New Roman"/>
                <w:color w:val="000000" w:themeColor="text1"/>
                <w:szCs w:val="24"/>
              </w:rPr>
              <w:t>H</w:t>
            </w:r>
            <w:r w:rsidRPr="00F10C37">
              <w:rPr>
                <w:rFonts w:cs="Times New Roman"/>
                <w:color w:val="000000" w:themeColor="text1"/>
                <w:szCs w:val="24"/>
              </w:rPr>
              <w:t>aemorrhoids</w:t>
            </w:r>
            <w:r>
              <w:rPr>
                <w:rFonts w:cs="Times New Roman"/>
                <w:color w:val="000000" w:themeColor="text1"/>
                <w:szCs w:val="24"/>
              </w:rPr>
              <w:t>, r</w:t>
            </w:r>
            <w:r w:rsidRPr="00F10C37">
              <w:rPr>
                <w:rFonts w:cs="Times New Roman"/>
                <w:color w:val="000000" w:themeColor="text1"/>
                <w:szCs w:val="24"/>
              </w:rPr>
              <w:t>elief from pain and bleeding associated with anal fissures, after haemorroidectomy, mild proctitis.</w:t>
            </w:r>
          </w:p>
        </w:tc>
      </w:tr>
      <w:tr w:rsidR="0053763D" w:rsidRPr="00F10C37" w14:paraId="0F2AE121" w14:textId="77777777" w:rsidTr="00C46407">
        <w:trPr>
          <w:jc w:val="center"/>
        </w:trPr>
        <w:tc>
          <w:tcPr>
            <w:tcW w:w="2615" w:type="dxa"/>
          </w:tcPr>
          <w:p w14:paraId="40AA0998"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580" w:type="dxa"/>
          </w:tcPr>
          <w:p w14:paraId="563ED49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Apply two or three times a day. Use the applicator for deep anal administration. </w:t>
            </w:r>
          </w:p>
          <w:p w14:paraId="436EDD41" w14:textId="77777777" w:rsidR="0053763D" w:rsidRPr="00490A00" w:rsidRDefault="0053763D" w:rsidP="00C46407">
            <w:pPr>
              <w:autoSpaceDE w:val="0"/>
              <w:autoSpaceDN w:val="0"/>
              <w:adjustRightInd w:val="0"/>
              <w:jc w:val="both"/>
              <w:rPr>
                <w:rFonts w:cs="Times New Roman"/>
                <w:i/>
                <w:color w:val="000000" w:themeColor="text1"/>
                <w:szCs w:val="24"/>
              </w:rPr>
            </w:pPr>
            <w:r w:rsidRPr="00490A00">
              <w:rPr>
                <w:rFonts w:cs="Times New Roman"/>
                <w:i/>
                <w:color w:val="000000" w:themeColor="text1"/>
                <w:szCs w:val="24"/>
              </w:rPr>
              <w:t xml:space="preserve">Note: It can be applied before and after defecation. </w:t>
            </w:r>
          </w:p>
        </w:tc>
      </w:tr>
      <w:tr w:rsidR="0053763D" w:rsidRPr="00F10C37" w14:paraId="2EA90FD8" w14:textId="77777777" w:rsidTr="00C46407">
        <w:trPr>
          <w:jc w:val="center"/>
        </w:trPr>
        <w:tc>
          <w:tcPr>
            <w:tcW w:w="2615" w:type="dxa"/>
          </w:tcPr>
          <w:p w14:paraId="7B0B72A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580" w:type="dxa"/>
          </w:tcPr>
          <w:p w14:paraId="013A24F9"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color w:val="000000" w:themeColor="text1"/>
                <w:szCs w:val="24"/>
              </w:rPr>
              <w:t xml:space="preserve">Hypersensitivity to any </w:t>
            </w:r>
            <w:r>
              <w:rPr>
                <w:rFonts w:cs="Times New Roman"/>
                <w:color w:val="000000" w:themeColor="text1"/>
                <w:szCs w:val="24"/>
              </w:rPr>
              <w:t xml:space="preserve">of the </w:t>
            </w:r>
            <w:r w:rsidRPr="00F10C37">
              <w:rPr>
                <w:rFonts w:cs="Times New Roman"/>
                <w:color w:val="000000" w:themeColor="text1"/>
                <w:szCs w:val="24"/>
              </w:rPr>
              <w:t>ingredient</w:t>
            </w:r>
            <w:r>
              <w:rPr>
                <w:rFonts w:cs="Times New Roman"/>
                <w:color w:val="000000" w:themeColor="text1"/>
                <w:szCs w:val="24"/>
              </w:rPr>
              <w:t>s</w:t>
            </w:r>
            <w:r w:rsidRPr="00F10C37">
              <w:rPr>
                <w:rFonts w:cs="Times New Roman"/>
                <w:color w:val="000000" w:themeColor="text1"/>
                <w:szCs w:val="24"/>
              </w:rPr>
              <w:t xml:space="preserve">, application to infected </w:t>
            </w:r>
            <w:r w:rsidRPr="00F10C37">
              <w:rPr>
                <w:rFonts w:cs="Times New Roman"/>
                <w:color w:val="000000" w:themeColor="text1"/>
                <w:szCs w:val="24"/>
              </w:rPr>
              <w:lastRenderedPageBreak/>
              <w:t>skin area.</w:t>
            </w:r>
          </w:p>
        </w:tc>
      </w:tr>
      <w:tr w:rsidR="0053763D" w:rsidRPr="00F10C37" w14:paraId="65B1D184" w14:textId="77777777" w:rsidTr="00C46407">
        <w:trPr>
          <w:jc w:val="center"/>
        </w:trPr>
        <w:tc>
          <w:tcPr>
            <w:tcW w:w="2615" w:type="dxa"/>
          </w:tcPr>
          <w:p w14:paraId="26D18B7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Drug interactions</w:t>
            </w:r>
          </w:p>
        </w:tc>
        <w:tc>
          <w:tcPr>
            <w:tcW w:w="6580" w:type="dxa"/>
          </w:tcPr>
          <w:p w14:paraId="4FE029D6"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Paraesthesia, skin reactions.</w:t>
            </w:r>
          </w:p>
        </w:tc>
      </w:tr>
      <w:tr w:rsidR="0053763D" w:rsidRPr="00F10C37" w14:paraId="56806C2C" w14:textId="77777777" w:rsidTr="00C46407">
        <w:trPr>
          <w:jc w:val="center"/>
        </w:trPr>
        <w:tc>
          <w:tcPr>
            <w:tcW w:w="2615" w:type="dxa"/>
          </w:tcPr>
          <w:p w14:paraId="71BFA42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580" w:type="dxa"/>
          </w:tcPr>
          <w:p w14:paraId="60090E8F"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Mild burning, stinging, itching or redness. </w:t>
            </w:r>
          </w:p>
        </w:tc>
      </w:tr>
      <w:tr w:rsidR="0053763D" w:rsidRPr="00F10C37" w14:paraId="0EAF077B" w14:textId="77777777" w:rsidTr="00C46407">
        <w:trPr>
          <w:jc w:val="center"/>
        </w:trPr>
        <w:tc>
          <w:tcPr>
            <w:tcW w:w="2615" w:type="dxa"/>
          </w:tcPr>
          <w:p w14:paraId="17C2C73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580" w:type="dxa"/>
          </w:tcPr>
          <w:p w14:paraId="2661BD7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Pregnan</w:t>
            </w:r>
            <w:r>
              <w:rPr>
                <w:rFonts w:cs="Times New Roman"/>
                <w:color w:val="000000" w:themeColor="text1"/>
                <w:szCs w:val="24"/>
              </w:rPr>
              <w:t>cy, breastfeeding</w:t>
            </w:r>
            <w:r w:rsidRPr="00F10C37">
              <w:rPr>
                <w:rFonts w:cs="Times New Roman"/>
                <w:color w:val="000000" w:themeColor="text1"/>
                <w:szCs w:val="24"/>
              </w:rPr>
              <w:t>.</w:t>
            </w:r>
          </w:p>
        </w:tc>
      </w:tr>
      <w:tr w:rsidR="0053763D" w:rsidRPr="00F10C37" w14:paraId="6C126EC6" w14:textId="77777777" w:rsidTr="00C46407">
        <w:trPr>
          <w:jc w:val="center"/>
        </w:trPr>
        <w:tc>
          <w:tcPr>
            <w:tcW w:w="2615" w:type="dxa"/>
          </w:tcPr>
          <w:p w14:paraId="6BBEAD7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580" w:type="dxa"/>
          </w:tcPr>
          <w:p w14:paraId="0D114F0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575B5D94" w14:textId="77777777" w:rsidTr="00C46407">
        <w:trPr>
          <w:jc w:val="center"/>
        </w:trPr>
        <w:tc>
          <w:tcPr>
            <w:tcW w:w="9195" w:type="dxa"/>
            <w:gridSpan w:val="2"/>
          </w:tcPr>
          <w:p w14:paraId="1A30A5F5" w14:textId="77777777" w:rsidR="0053763D" w:rsidRPr="00F10C37" w:rsidRDefault="0053763D" w:rsidP="00C46407">
            <w:pPr>
              <w:jc w:val="both"/>
              <w:rPr>
                <w:rFonts w:cs="Times New Roman"/>
                <w:b/>
                <w:bCs/>
                <w:color w:val="000000" w:themeColor="text1"/>
                <w:szCs w:val="24"/>
              </w:rPr>
            </w:pPr>
            <w:r w:rsidRPr="00F10C37">
              <w:rPr>
                <w:rFonts w:cs="Times New Roman"/>
                <w:b/>
                <w:bCs/>
                <w:color w:val="000000" w:themeColor="text1"/>
                <w:szCs w:val="24"/>
              </w:rPr>
              <w:t>Hydrocortisone + Framycetin + Cinchocaine + Esculoside</w:t>
            </w:r>
          </w:p>
        </w:tc>
      </w:tr>
      <w:tr w:rsidR="0053763D" w:rsidRPr="00F10C37" w14:paraId="7127E2AD" w14:textId="77777777" w:rsidTr="00C46407">
        <w:trPr>
          <w:jc w:val="center"/>
        </w:trPr>
        <w:tc>
          <w:tcPr>
            <w:tcW w:w="2615" w:type="dxa"/>
          </w:tcPr>
          <w:p w14:paraId="6721CBBB"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580" w:type="dxa"/>
          </w:tcPr>
          <w:p w14:paraId="1691C464" w14:textId="77777777" w:rsidR="0053763D" w:rsidRPr="00F10C37" w:rsidRDefault="0053763D" w:rsidP="00C46407">
            <w:pPr>
              <w:jc w:val="both"/>
              <w:rPr>
                <w:rFonts w:cs="Times New Roman"/>
                <w:b/>
                <w:color w:val="000000" w:themeColor="text1"/>
                <w:szCs w:val="24"/>
              </w:rPr>
            </w:pPr>
            <w:r w:rsidRPr="003D3E3A">
              <w:rPr>
                <w:rFonts w:cs="Times New Roman"/>
                <w:color w:val="000000" w:themeColor="text1"/>
                <w:szCs w:val="24"/>
              </w:rPr>
              <w:t>Corticosteroid +</w:t>
            </w:r>
            <w:r>
              <w:rPr>
                <w:rFonts w:cs="Times New Roman"/>
                <w:b/>
                <w:color w:val="000000" w:themeColor="text1"/>
                <w:szCs w:val="24"/>
              </w:rPr>
              <w:t xml:space="preserve"> </w:t>
            </w:r>
            <w:r>
              <w:rPr>
                <w:rFonts w:cs="Times New Roman"/>
                <w:color w:val="000000" w:themeColor="text1"/>
                <w:szCs w:val="24"/>
              </w:rPr>
              <w:t>a</w:t>
            </w:r>
            <w:r w:rsidRPr="00F10C37">
              <w:rPr>
                <w:rFonts w:cs="Times New Roman"/>
                <w:color w:val="000000" w:themeColor="text1"/>
                <w:szCs w:val="24"/>
              </w:rPr>
              <w:t>minoglycoside antibiotic</w:t>
            </w:r>
            <w:r>
              <w:rPr>
                <w:rFonts w:cs="Times New Roman"/>
                <w:color w:val="000000" w:themeColor="text1"/>
                <w:szCs w:val="24"/>
              </w:rPr>
              <w:t xml:space="preserve"> +</w:t>
            </w:r>
            <w:r>
              <w:rPr>
                <w:rFonts w:cs="Times New Roman"/>
                <w:b/>
                <w:color w:val="000000" w:themeColor="text1"/>
                <w:szCs w:val="24"/>
              </w:rPr>
              <w:t xml:space="preserve"> </w:t>
            </w:r>
            <w:r w:rsidRPr="00F10C37">
              <w:rPr>
                <w:rFonts w:cs="Times New Roman"/>
                <w:color w:val="000000" w:themeColor="text1"/>
                <w:szCs w:val="24"/>
              </w:rPr>
              <w:t>local anaesthetic</w:t>
            </w:r>
            <w:r>
              <w:rPr>
                <w:rFonts w:cs="Times New Roman"/>
                <w:b/>
                <w:color w:val="000000" w:themeColor="text1"/>
                <w:szCs w:val="24"/>
              </w:rPr>
              <w:t xml:space="preserve"> + </w:t>
            </w:r>
            <w:r w:rsidRPr="00F10C37">
              <w:rPr>
                <w:rFonts w:cs="Times New Roman"/>
                <w:color w:val="000000" w:themeColor="text1"/>
                <w:szCs w:val="24"/>
                <w:shd w:val="clear" w:color="auto" w:fill="FFFFFF"/>
              </w:rPr>
              <w:t>anti-inflammatory</w:t>
            </w:r>
            <w:r>
              <w:rPr>
                <w:rFonts w:cs="Times New Roman"/>
                <w:color w:val="000000" w:themeColor="text1"/>
                <w:szCs w:val="24"/>
                <w:shd w:val="clear" w:color="auto" w:fill="FFFFFF"/>
              </w:rPr>
              <w:t xml:space="preserve"> (</w:t>
            </w:r>
            <w:r w:rsidRPr="00F10C37">
              <w:rPr>
                <w:rFonts w:cs="Times New Roman"/>
                <w:color w:val="000000" w:themeColor="text1"/>
                <w:szCs w:val="24"/>
                <w:shd w:val="clear" w:color="auto" w:fill="FFFFFF"/>
              </w:rPr>
              <w:t>venotonic agent</w:t>
            </w:r>
            <w:r>
              <w:rPr>
                <w:rFonts w:cs="Times New Roman"/>
                <w:color w:val="000000" w:themeColor="text1"/>
                <w:szCs w:val="24"/>
                <w:shd w:val="clear" w:color="auto" w:fill="FFFFFF"/>
              </w:rPr>
              <w:t>)</w:t>
            </w:r>
          </w:p>
        </w:tc>
      </w:tr>
      <w:tr w:rsidR="0053763D" w:rsidRPr="00F10C37" w14:paraId="4A26F73C" w14:textId="77777777" w:rsidTr="00C46407">
        <w:trPr>
          <w:jc w:val="center"/>
        </w:trPr>
        <w:tc>
          <w:tcPr>
            <w:tcW w:w="2615" w:type="dxa"/>
          </w:tcPr>
          <w:p w14:paraId="2230097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580" w:type="dxa"/>
          </w:tcPr>
          <w:p w14:paraId="27E74B55"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Suppository: 5mg + 10mg + 5mg + 10mg</w:t>
            </w:r>
          </w:p>
          <w:p w14:paraId="6F41CB73"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Ointment: 15g/30g</w:t>
            </w:r>
          </w:p>
        </w:tc>
      </w:tr>
      <w:tr w:rsidR="0053763D" w:rsidRPr="00F10C37" w14:paraId="2743FA42" w14:textId="77777777" w:rsidTr="00C46407">
        <w:trPr>
          <w:jc w:val="center"/>
        </w:trPr>
        <w:tc>
          <w:tcPr>
            <w:tcW w:w="2615" w:type="dxa"/>
          </w:tcPr>
          <w:p w14:paraId="53E78765" w14:textId="77777777" w:rsidR="0053763D" w:rsidRPr="001D5B98" w:rsidRDefault="0053763D" w:rsidP="00C46407">
            <w:pPr>
              <w:jc w:val="both"/>
              <w:rPr>
                <w:rFonts w:cs="Times New Roman"/>
                <w:color w:val="000000" w:themeColor="text1"/>
                <w:szCs w:val="24"/>
              </w:rPr>
            </w:pPr>
            <w:r w:rsidRPr="001D5B98">
              <w:rPr>
                <w:rFonts w:cs="Times New Roman"/>
                <w:color w:val="000000" w:themeColor="text1"/>
                <w:szCs w:val="24"/>
              </w:rPr>
              <w:t>Indications</w:t>
            </w:r>
          </w:p>
        </w:tc>
        <w:tc>
          <w:tcPr>
            <w:tcW w:w="6580" w:type="dxa"/>
          </w:tcPr>
          <w:p w14:paraId="74421C4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shd w:val="clear" w:color="auto" w:fill="FFFFFF"/>
              </w:rPr>
              <w:t>Treat</w:t>
            </w:r>
            <w:r>
              <w:rPr>
                <w:rFonts w:cs="Times New Roman"/>
                <w:color w:val="000000" w:themeColor="text1"/>
                <w:szCs w:val="24"/>
                <w:shd w:val="clear" w:color="auto" w:fill="FFFFFF"/>
              </w:rPr>
              <w:t>ment of</w:t>
            </w:r>
            <w:r w:rsidRPr="00F10C37">
              <w:rPr>
                <w:rFonts w:cs="Times New Roman"/>
                <w:color w:val="000000" w:themeColor="text1"/>
                <w:szCs w:val="24"/>
                <w:shd w:val="clear" w:color="auto" w:fill="FFFFFF"/>
              </w:rPr>
              <w:t xml:space="preserve"> pain, itching, swelling, and discomfort caused by haemorrhoids.</w:t>
            </w:r>
          </w:p>
        </w:tc>
      </w:tr>
      <w:tr w:rsidR="0053763D" w:rsidRPr="00F10C37" w14:paraId="06ADDA77" w14:textId="77777777" w:rsidTr="00C46407">
        <w:trPr>
          <w:jc w:val="center"/>
        </w:trPr>
        <w:tc>
          <w:tcPr>
            <w:tcW w:w="2615" w:type="dxa"/>
          </w:tcPr>
          <w:p w14:paraId="75E47271"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580" w:type="dxa"/>
          </w:tcPr>
          <w:p w14:paraId="5807494B"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For external treatment</w:t>
            </w:r>
            <w:r>
              <w:rPr>
                <w:rFonts w:cs="Times New Roman"/>
                <w:b/>
                <w:color w:val="000000" w:themeColor="text1"/>
                <w:szCs w:val="24"/>
              </w:rPr>
              <w:t xml:space="preserve"> (ointment)</w:t>
            </w:r>
            <w:r w:rsidRPr="00F10C37">
              <w:rPr>
                <w:rFonts w:cs="Times New Roman"/>
                <w:b/>
                <w:color w:val="000000" w:themeColor="text1"/>
                <w:szCs w:val="24"/>
              </w:rPr>
              <w:t>:</w:t>
            </w:r>
            <w:r w:rsidRPr="00F10C37">
              <w:rPr>
                <w:rFonts w:cs="Times New Roman"/>
                <w:color w:val="000000" w:themeColor="text1"/>
                <w:szCs w:val="24"/>
              </w:rPr>
              <w:t xml:space="preserve"> apply a small quantity in the morning and evening and after each bowel movement to the painful or pruritic rectal area. </w:t>
            </w:r>
          </w:p>
          <w:p w14:paraId="2A939FF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b/>
                <w:color w:val="000000" w:themeColor="text1"/>
                <w:szCs w:val="24"/>
              </w:rPr>
              <w:t>For internal application</w:t>
            </w:r>
            <w:r>
              <w:rPr>
                <w:rFonts w:cs="Times New Roman"/>
                <w:b/>
                <w:color w:val="000000" w:themeColor="text1"/>
                <w:szCs w:val="24"/>
              </w:rPr>
              <w:t xml:space="preserve"> (ointment)</w:t>
            </w:r>
            <w:r w:rsidRPr="00F10C37">
              <w:rPr>
                <w:rFonts w:cs="Times New Roman"/>
                <w:b/>
                <w:color w:val="000000" w:themeColor="text1"/>
                <w:szCs w:val="24"/>
              </w:rPr>
              <w:t>:</w:t>
            </w:r>
            <w:r w:rsidRPr="00F10C37">
              <w:rPr>
                <w:rFonts w:cs="Times New Roman"/>
                <w:color w:val="000000" w:themeColor="text1"/>
                <w:szCs w:val="24"/>
              </w:rPr>
              <w:t xml:space="preserve"> attach rectal cannula to tube, insert to full extent and squeeze tube gently from lower end while withdrawing.</w:t>
            </w:r>
          </w:p>
          <w:p w14:paraId="7C6D42F0"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w:t>
            </w:r>
            <w:r>
              <w:rPr>
                <w:rFonts w:cs="Times New Roman"/>
                <w:color w:val="000000" w:themeColor="text1"/>
                <w:szCs w:val="24"/>
              </w:rPr>
              <w:t>o</w:t>
            </w:r>
            <w:r w:rsidRPr="00F10C37">
              <w:rPr>
                <w:rFonts w:cs="Times New Roman"/>
                <w:color w:val="000000" w:themeColor="text1"/>
                <w:szCs w:val="24"/>
              </w:rPr>
              <w:t>ne suppository in the morning</w:t>
            </w:r>
            <w:r>
              <w:rPr>
                <w:rFonts w:cs="Times New Roman"/>
                <w:color w:val="000000" w:themeColor="text1"/>
                <w:szCs w:val="24"/>
              </w:rPr>
              <w:t xml:space="preserve">, </w:t>
            </w:r>
            <w:r w:rsidRPr="00F10C37">
              <w:rPr>
                <w:rFonts w:cs="Times New Roman"/>
                <w:color w:val="000000" w:themeColor="text1"/>
                <w:szCs w:val="24"/>
              </w:rPr>
              <w:t>at the bedtime and after each bowel movement.</w:t>
            </w:r>
          </w:p>
        </w:tc>
      </w:tr>
      <w:tr w:rsidR="0053763D" w:rsidRPr="00F10C37" w14:paraId="7EA39E65" w14:textId="77777777" w:rsidTr="00C46407">
        <w:trPr>
          <w:jc w:val="center"/>
        </w:trPr>
        <w:tc>
          <w:tcPr>
            <w:tcW w:w="2615" w:type="dxa"/>
          </w:tcPr>
          <w:p w14:paraId="56A2C2A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580" w:type="dxa"/>
          </w:tcPr>
          <w:p w14:paraId="3D1235B8"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color w:val="000000" w:themeColor="text1"/>
                <w:szCs w:val="24"/>
              </w:rPr>
              <w:t xml:space="preserve">Hypersensitivity to </w:t>
            </w:r>
            <w:r w:rsidR="00490A00">
              <w:rPr>
                <w:rFonts w:cs="Times New Roman"/>
                <w:color w:val="000000" w:themeColor="text1"/>
                <w:szCs w:val="24"/>
              </w:rPr>
              <w:t>the drug</w:t>
            </w:r>
            <w:r>
              <w:rPr>
                <w:rFonts w:cs="Times New Roman"/>
                <w:color w:val="000000" w:themeColor="text1"/>
                <w:szCs w:val="24"/>
              </w:rPr>
              <w:t>.</w:t>
            </w:r>
            <w:r w:rsidRPr="00F10C37">
              <w:rPr>
                <w:rFonts w:cs="Times New Roman"/>
                <w:color w:val="000000" w:themeColor="text1"/>
                <w:szCs w:val="24"/>
              </w:rPr>
              <w:t xml:space="preserve"> </w:t>
            </w:r>
          </w:p>
        </w:tc>
      </w:tr>
      <w:tr w:rsidR="0053763D" w:rsidRPr="00F10C37" w14:paraId="69832E65" w14:textId="77777777" w:rsidTr="00C46407">
        <w:trPr>
          <w:jc w:val="center"/>
        </w:trPr>
        <w:tc>
          <w:tcPr>
            <w:tcW w:w="2615" w:type="dxa"/>
          </w:tcPr>
          <w:p w14:paraId="66007EA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580" w:type="dxa"/>
          </w:tcPr>
          <w:p w14:paraId="3C06BCBB" w14:textId="77777777" w:rsidR="0053763D" w:rsidRPr="00F10C37" w:rsidRDefault="0053763D" w:rsidP="00C46407">
            <w:pPr>
              <w:shd w:val="clear" w:color="auto" w:fill="FFFFFF"/>
              <w:jc w:val="both"/>
              <w:rPr>
                <w:rFonts w:eastAsia="Times New Roman" w:cs="Times New Roman"/>
                <w:color w:val="000000" w:themeColor="text1"/>
                <w:szCs w:val="24"/>
              </w:rPr>
            </w:pPr>
            <w:r w:rsidRPr="00F10C37">
              <w:rPr>
                <w:rFonts w:eastAsia="Times New Roman" w:cs="Times New Roman"/>
                <w:color w:val="000000" w:themeColor="text1"/>
                <w:szCs w:val="24"/>
              </w:rPr>
              <w:t xml:space="preserve">Clopidogrel, prednisone, warfarin. </w:t>
            </w:r>
          </w:p>
        </w:tc>
      </w:tr>
      <w:tr w:rsidR="0053763D" w:rsidRPr="00F10C37" w14:paraId="2F90BD91" w14:textId="77777777" w:rsidTr="00C46407">
        <w:trPr>
          <w:jc w:val="center"/>
        </w:trPr>
        <w:tc>
          <w:tcPr>
            <w:tcW w:w="2615" w:type="dxa"/>
          </w:tcPr>
          <w:p w14:paraId="6897B81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580" w:type="dxa"/>
          </w:tcPr>
          <w:p w14:paraId="1F7D938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Anal pruritus, anorectal discomfort, proctalgia</w:t>
            </w:r>
            <w:r>
              <w:rPr>
                <w:rFonts w:cs="Times New Roman"/>
                <w:color w:val="000000" w:themeColor="text1"/>
                <w:szCs w:val="24"/>
              </w:rPr>
              <w:t>,</w:t>
            </w:r>
            <w:r w:rsidRPr="00F10C37">
              <w:rPr>
                <w:rFonts w:cs="Times New Roman"/>
                <w:color w:val="000000" w:themeColor="text1"/>
                <w:szCs w:val="24"/>
              </w:rPr>
              <w:t xml:space="preserve"> burning, itching, irritation, redness and pain at the application site</w:t>
            </w:r>
            <w:r>
              <w:rPr>
                <w:rFonts w:cs="Times New Roman"/>
                <w:color w:val="000000" w:themeColor="text1"/>
                <w:szCs w:val="24"/>
              </w:rPr>
              <w:t>,</w:t>
            </w:r>
            <w:r w:rsidRPr="00F10C37">
              <w:rPr>
                <w:rFonts w:cs="Times New Roman"/>
                <w:color w:val="000000" w:themeColor="text1"/>
                <w:szCs w:val="24"/>
              </w:rPr>
              <w:t xml:space="preserve"> immune system disorders</w:t>
            </w:r>
            <w:r>
              <w:rPr>
                <w:rFonts w:cs="Times New Roman"/>
                <w:color w:val="000000" w:themeColor="text1"/>
                <w:szCs w:val="24"/>
              </w:rPr>
              <w:t>,</w:t>
            </w:r>
            <w:r w:rsidRPr="00F10C37">
              <w:rPr>
                <w:rFonts w:cs="Times New Roman"/>
                <w:color w:val="000000" w:themeColor="text1"/>
                <w:szCs w:val="24"/>
              </w:rPr>
              <w:t xml:space="preserve"> and hypersensitivity manifested as pruritus, rash and/or urticarial</w:t>
            </w:r>
            <w:r w:rsidRPr="00F10C37">
              <w:rPr>
                <w:rFonts w:cs="Times New Roman"/>
                <w:color w:val="000000" w:themeColor="text1"/>
                <w:szCs w:val="24"/>
                <w:shd w:val="clear" w:color="auto" w:fill="FFFFFF"/>
              </w:rPr>
              <w:t>.</w:t>
            </w:r>
          </w:p>
        </w:tc>
      </w:tr>
      <w:tr w:rsidR="0053763D" w:rsidRPr="00F10C37" w14:paraId="66E773FC" w14:textId="77777777" w:rsidTr="00C46407">
        <w:trPr>
          <w:jc w:val="center"/>
        </w:trPr>
        <w:tc>
          <w:tcPr>
            <w:tcW w:w="2615" w:type="dxa"/>
          </w:tcPr>
          <w:p w14:paraId="5EC5274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580" w:type="dxa"/>
          </w:tcPr>
          <w:p w14:paraId="4C800909"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Systemic corticosteroid effects, pregnancy</w:t>
            </w:r>
            <w:r>
              <w:rPr>
                <w:rFonts w:cs="Times New Roman"/>
                <w:color w:val="000000" w:themeColor="text1"/>
                <w:szCs w:val="24"/>
              </w:rPr>
              <w:t>,</w:t>
            </w:r>
            <w:r w:rsidRPr="00F10C37">
              <w:rPr>
                <w:rFonts w:cs="Times New Roman"/>
                <w:color w:val="000000" w:themeColor="text1"/>
                <w:szCs w:val="24"/>
              </w:rPr>
              <w:t xml:space="preserve"> </w:t>
            </w:r>
            <w:r>
              <w:rPr>
                <w:rFonts w:cs="Times New Roman"/>
                <w:color w:val="000000" w:themeColor="text1"/>
                <w:szCs w:val="24"/>
              </w:rPr>
              <w:t>breastfeeding</w:t>
            </w:r>
            <w:r w:rsidRPr="00F10C37">
              <w:rPr>
                <w:rFonts w:cs="Times New Roman"/>
                <w:color w:val="000000" w:themeColor="text1"/>
                <w:szCs w:val="24"/>
              </w:rPr>
              <w:t>, infections.</w:t>
            </w:r>
          </w:p>
        </w:tc>
      </w:tr>
      <w:tr w:rsidR="0053763D" w:rsidRPr="00F10C37" w14:paraId="483738FF" w14:textId="77777777" w:rsidTr="00C46407">
        <w:trPr>
          <w:jc w:val="center"/>
        </w:trPr>
        <w:tc>
          <w:tcPr>
            <w:tcW w:w="2615" w:type="dxa"/>
          </w:tcPr>
          <w:p w14:paraId="585982F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580" w:type="dxa"/>
          </w:tcPr>
          <w:p w14:paraId="7D01C6DE"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bl>
    <w:p w14:paraId="09925C57" w14:textId="77777777" w:rsidR="0053763D" w:rsidRPr="00F10C37" w:rsidRDefault="0053763D" w:rsidP="0053763D">
      <w:pPr>
        <w:spacing w:after="0"/>
        <w:jc w:val="both"/>
        <w:rPr>
          <w:rFonts w:cs="Times New Roman"/>
          <w:color w:val="000000" w:themeColor="text1"/>
          <w:szCs w:val="24"/>
        </w:rPr>
      </w:pPr>
    </w:p>
    <w:p w14:paraId="4EED36F1" w14:textId="77777777" w:rsidR="009C5DD5" w:rsidRDefault="009C5DD5" w:rsidP="009C5DD5">
      <w:pPr>
        <w:pStyle w:val="Heading2"/>
        <w:spacing w:before="240" w:after="240"/>
      </w:pPr>
    </w:p>
    <w:p w14:paraId="7D61A45F" w14:textId="77777777" w:rsidR="009C5DD5" w:rsidRDefault="009C5DD5" w:rsidP="009C5DD5">
      <w:pPr>
        <w:pStyle w:val="Heading2"/>
        <w:spacing w:before="240" w:after="240"/>
      </w:pPr>
    </w:p>
    <w:p w14:paraId="25EBD523" w14:textId="77777777" w:rsidR="0053763D" w:rsidRPr="00E77A4B" w:rsidRDefault="0053763D" w:rsidP="009C5DD5">
      <w:pPr>
        <w:pStyle w:val="Heading2"/>
        <w:spacing w:before="240" w:after="240"/>
      </w:pPr>
      <w:bookmarkStart w:id="27" w:name="_Toc179490311"/>
      <w:r w:rsidRPr="00E77A4B">
        <w:t>Medicines used for inflammatory bowel disease</w:t>
      </w:r>
      <w:bookmarkEnd w:id="27"/>
    </w:p>
    <w:p w14:paraId="635C66AC" w14:textId="77777777" w:rsidR="0053763D" w:rsidRDefault="0053763D" w:rsidP="0053763D">
      <w:pPr>
        <w:spacing w:after="0"/>
        <w:jc w:val="both"/>
        <w:rPr>
          <w:rFonts w:cs="Times New Roman"/>
          <w:color w:val="000000" w:themeColor="text1"/>
          <w:szCs w:val="24"/>
        </w:rPr>
      </w:pPr>
      <w:r>
        <w:rPr>
          <w:rFonts w:cs="Times New Roman"/>
          <w:color w:val="000000" w:themeColor="text1"/>
          <w:szCs w:val="24"/>
        </w:rPr>
        <w:t>S</w:t>
      </w:r>
      <w:r w:rsidRPr="00867C4F">
        <w:rPr>
          <w:rFonts w:cs="Times New Roman"/>
          <w:color w:val="000000" w:themeColor="text1"/>
          <w:szCs w:val="24"/>
        </w:rPr>
        <w:t xml:space="preserve">everal classes of medications </w:t>
      </w:r>
      <w:r>
        <w:rPr>
          <w:rFonts w:cs="Times New Roman"/>
          <w:color w:val="000000" w:themeColor="text1"/>
          <w:szCs w:val="24"/>
        </w:rPr>
        <w:t>are</w:t>
      </w:r>
      <w:r w:rsidRPr="00867C4F">
        <w:rPr>
          <w:rFonts w:cs="Times New Roman"/>
          <w:color w:val="000000" w:themeColor="text1"/>
          <w:szCs w:val="24"/>
        </w:rPr>
        <w:t xml:space="preserve"> used for </w:t>
      </w:r>
      <w:r>
        <w:rPr>
          <w:rFonts w:cs="Times New Roman"/>
          <w:color w:val="000000" w:themeColor="text1"/>
          <w:szCs w:val="24"/>
        </w:rPr>
        <w:t>the treatment of i</w:t>
      </w:r>
      <w:r w:rsidRPr="00867C4F">
        <w:rPr>
          <w:rFonts w:cs="Times New Roman"/>
          <w:color w:val="000000" w:themeColor="text1"/>
          <w:szCs w:val="24"/>
        </w:rPr>
        <w:t xml:space="preserve">nflammatory </w:t>
      </w:r>
      <w:r>
        <w:rPr>
          <w:rFonts w:cs="Times New Roman"/>
          <w:color w:val="000000" w:themeColor="text1"/>
          <w:szCs w:val="24"/>
        </w:rPr>
        <w:t>b</w:t>
      </w:r>
      <w:r w:rsidRPr="00867C4F">
        <w:rPr>
          <w:rFonts w:cs="Times New Roman"/>
          <w:color w:val="000000" w:themeColor="text1"/>
          <w:szCs w:val="24"/>
        </w:rPr>
        <w:t xml:space="preserve">owel </w:t>
      </w:r>
      <w:r>
        <w:rPr>
          <w:rFonts w:cs="Times New Roman"/>
          <w:color w:val="000000" w:themeColor="text1"/>
          <w:szCs w:val="24"/>
        </w:rPr>
        <w:t>d</w:t>
      </w:r>
      <w:r w:rsidRPr="00867C4F">
        <w:rPr>
          <w:rFonts w:cs="Times New Roman"/>
          <w:color w:val="000000" w:themeColor="text1"/>
          <w:szCs w:val="24"/>
        </w:rPr>
        <w:t>isease (IBD)</w:t>
      </w:r>
      <w:r>
        <w:rPr>
          <w:rFonts w:cs="Times New Roman"/>
          <w:color w:val="000000" w:themeColor="text1"/>
          <w:szCs w:val="24"/>
        </w:rPr>
        <w:t>, which can be</w:t>
      </w:r>
      <w:r w:rsidRPr="00867C4F">
        <w:rPr>
          <w:rFonts w:cs="Times New Roman"/>
          <w:color w:val="000000" w:themeColor="text1"/>
          <w:szCs w:val="24"/>
        </w:rPr>
        <w:t xml:space="preserve"> Crohn's disease </w:t>
      </w:r>
      <w:r>
        <w:rPr>
          <w:rFonts w:cs="Times New Roman"/>
          <w:color w:val="000000" w:themeColor="text1"/>
          <w:szCs w:val="24"/>
        </w:rPr>
        <w:t>or</w:t>
      </w:r>
      <w:r w:rsidRPr="00867C4F">
        <w:rPr>
          <w:rFonts w:cs="Times New Roman"/>
          <w:color w:val="000000" w:themeColor="text1"/>
          <w:szCs w:val="24"/>
        </w:rPr>
        <w:t xml:space="preserve"> ulcerative colitis. </w:t>
      </w:r>
      <w:r>
        <w:rPr>
          <w:rFonts w:cs="Times New Roman"/>
          <w:color w:val="000000" w:themeColor="text1"/>
          <w:szCs w:val="24"/>
        </w:rPr>
        <w:t>These include a</w:t>
      </w:r>
      <w:r w:rsidRPr="00867C4F">
        <w:rPr>
          <w:rFonts w:cs="Times New Roman"/>
          <w:color w:val="000000" w:themeColor="text1"/>
          <w:szCs w:val="24"/>
        </w:rPr>
        <w:t>minosalicylates</w:t>
      </w:r>
      <w:r>
        <w:rPr>
          <w:rFonts w:cs="Times New Roman"/>
          <w:color w:val="000000" w:themeColor="text1"/>
          <w:szCs w:val="24"/>
        </w:rPr>
        <w:t>, corticosteroids, immunomodulators and biologics. A</w:t>
      </w:r>
      <w:r w:rsidRPr="00867C4F">
        <w:rPr>
          <w:rFonts w:cs="Times New Roman"/>
          <w:color w:val="000000" w:themeColor="text1"/>
          <w:szCs w:val="24"/>
        </w:rPr>
        <w:t>minosalicylates (e.g., mesalamine, sulfasalazine) reduce intestinal inflammation and are typically used for mild to moderate IBD. Corticosteroids (e.g., prednisone, budesonide) effectively control acute flare-ups but are not recommended for long-term use due to potential side effects. Immunomodulators (e.g., azathioprine, mercaptopurine, methotrexate) suppress the immune system to help maintain remission, especially when other treatments fail. Biologics (e.g., infliximab, adalimumab, ustekinumab, vedolizumab) target specific components of the immune response and are effective for moderate to severe cases.</w:t>
      </w:r>
    </w:p>
    <w:p w14:paraId="6ADBAED8" w14:textId="77777777" w:rsidR="0053763D" w:rsidRPr="00F10C37" w:rsidRDefault="0053763D" w:rsidP="0053763D">
      <w:pPr>
        <w:spacing w:after="0"/>
        <w:jc w:val="both"/>
        <w:rPr>
          <w:rFonts w:cs="Times New Roman"/>
          <w:color w:val="000000" w:themeColor="text1"/>
          <w:szCs w:val="24"/>
        </w:rPr>
      </w:pPr>
    </w:p>
    <w:tbl>
      <w:tblPr>
        <w:tblStyle w:val="TableGrid"/>
        <w:tblW w:w="9085" w:type="dxa"/>
        <w:jc w:val="center"/>
        <w:tblLook w:val="04A0" w:firstRow="1" w:lastRow="0" w:firstColumn="1" w:lastColumn="0" w:noHBand="0" w:noVBand="1"/>
      </w:tblPr>
      <w:tblGrid>
        <w:gridCol w:w="2605"/>
        <w:gridCol w:w="6480"/>
      </w:tblGrid>
      <w:tr w:rsidR="0053763D" w:rsidRPr="00F10C37" w14:paraId="1EDD985B" w14:textId="77777777" w:rsidTr="00C46407">
        <w:trPr>
          <w:jc w:val="center"/>
        </w:trPr>
        <w:tc>
          <w:tcPr>
            <w:tcW w:w="9085" w:type="dxa"/>
            <w:gridSpan w:val="2"/>
          </w:tcPr>
          <w:p w14:paraId="08CF96EC" w14:textId="77777777" w:rsidR="0053763D" w:rsidRPr="009C5DD5" w:rsidRDefault="0053763D" w:rsidP="009C5DD5">
            <w:pPr>
              <w:rPr>
                <w:b/>
              </w:rPr>
            </w:pPr>
            <w:r w:rsidRPr="009C5DD5">
              <w:rPr>
                <w:b/>
              </w:rPr>
              <w:t>Azathioprine</w:t>
            </w:r>
          </w:p>
        </w:tc>
      </w:tr>
      <w:tr w:rsidR="0053763D" w:rsidRPr="00F10C37" w14:paraId="2C437065" w14:textId="77777777" w:rsidTr="00C46407">
        <w:trPr>
          <w:jc w:val="center"/>
        </w:trPr>
        <w:tc>
          <w:tcPr>
            <w:tcW w:w="2605" w:type="dxa"/>
          </w:tcPr>
          <w:p w14:paraId="362A8C83"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0" w:type="dxa"/>
          </w:tcPr>
          <w:p w14:paraId="195D52F0" w14:textId="77777777" w:rsidR="0053763D" w:rsidRPr="00F10C37" w:rsidRDefault="0053763D" w:rsidP="00C46407">
            <w:pPr>
              <w:jc w:val="both"/>
              <w:rPr>
                <w:rFonts w:cs="Times New Roman"/>
                <w:b/>
                <w:color w:val="000000" w:themeColor="text1"/>
                <w:szCs w:val="24"/>
              </w:rPr>
            </w:pPr>
            <w:r w:rsidRPr="00F10C37">
              <w:rPr>
                <w:rFonts w:cs="Times New Roman"/>
                <w:color w:val="000000" w:themeColor="text1"/>
                <w:szCs w:val="24"/>
              </w:rPr>
              <w:t>Antimetabolite, immunosuppressant</w:t>
            </w:r>
          </w:p>
        </w:tc>
      </w:tr>
      <w:tr w:rsidR="0053763D" w:rsidRPr="00F10C37" w14:paraId="47C6FF74" w14:textId="77777777" w:rsidTr="00C46407">
        <w:trPr>
          <w:jc w:val="center"/>
        </w:trPr>
        <w:tc>
          <w:tcPr>
            <w:tcW w:w="2605" w:type="dxa"/>
          </w:tcPr>
          <w:p w14:paraId="323B96C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0" w:type="dxa"/>
          </w:tcPr>
          <w:p w14:paraId="33151495" w14:textId="77777777" w:rsidR="0053763D" w:rsidRPr="00F10C37" w:rsidRDefault="0053763D" w:rsidP="00C46407">
            <w:pPr>
              <w:widowControl w:val="0"/>
              <w:autoSpaceDE w:val="0"/>
              <w:autoSpaceDN w:val="0"/>
              <w:adjustRightInd w:val="0"/>
              <w:jc w:val="both"/>
              <w:rPr>
                <w:rFonts w:cs="Times New Roman"/>
                <w:bCs/>
                <w:color w:val="000000" w:themeColor="text1"/>
                <w:szCs w:val="24"/>
              </w:rPr>
            </w:pPr>
            <w:r w:rsidRPr="00F10C37">
              <w:rPr>
                <w:rFonts w:cs="Times New Roman"/>
                <w:bCs/>
                <w:color w:val="000000" w:themeColor="text1"/>
                <w:szCs w:val="24"/>
              </w:rPr>
              <w:t>Tablet: 50mg</w:t>
            </w:r>
          </w:p>
          <w:p w14:paraId="4AC3775D"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bCs/>
                <w:color w:val="000000" w:themeColor="text1"/>
                <w:szCs w:val="24"/>
              </w:rPr>
              <w:t xml:space="preserve">Powder for injection: 100mg </w:t>
            </w:r>
          </w:p>
        </w:tc>
      </w:tr>
      <w:tr w:rsidR="0053763D" w:rsidRPr="00F10C37" w14:paraId="24FBB4BC" w14:textId="77777777" w:rsidTr="00C46407">
        <w:trPr>
          <w:jc w:val="center"/>
        </w:trPr>
        <w:tc>
          <w:tcPr>
            <w:tcW w:w="2605" w:type="dxa"/>
          </w:tcPr>
          <w:p w14:paraId="3842E8B9" w14:textId="77777777" w:rsidR="0053763D" w:rsidRPr="004C1219" w:rsidRDefault="0053763D" w:rsidP="00C46407">
            <w:pPr>
              <w:jc w:val="both"/>
              <w:rPr>
                <w:rFonts w:cs="Times New Roman"/>
                <w:color w:val="000000" w:themeColor="text1"/>
                <w:szCs w:val="24"/>
              </w:rPr>
            </w:pPr>
            <w:r w:rsidRPr="004C1219">
              <w:rPr>
                <w:rFonts w:cs="Times New Roman"/>
                <w:color w:val="000000" w:themeColor="text1"/>
                <w:szCs w:val="24"/>
              </w:rPr>
              <w:t>Indication</w:t>
            </w:r>
            <w:r>
              <w:rPr>
                <w:rFonts w:cs="Times New Roman"/>
                <w:color w:val="000000" w:themeColor="text1"/>
                <w:szCs w:val="24"/>
              </w:rPr>
              <w:t>s</w:t>
            </w:r>
          </w:p>
        </w:tc>
        <w:tc>
          <w:tcPr>
            <w:tcW w:w="6480" w:type="dxa"/>
          </w:tcPr>
          <w:p w14:paraId="79E6C40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iCs/>
                <w:color w:val="000000" w:themeColor="text1"/>
                <w:szCs w:val="24"/>
              </w:rPr>
              <w:t xml:space="preserve">Inflammatory </w:t>
            </w:r>
            <w:r>
              <w:rPr>
                <w:rFonts w:cs="Times New Roman"/>
                <w:iCs/>
                <w:color w:val="000000" w:themeColor="text1"/>
                <w:szCs w:val="24"/>
              </w:rPr>
              <w:t>b</w:t>
            </w:r>
            <w:r w:rsidRPr="00F10C37">
              <w:rPr>
                <w:rFonts w:cs="Times New Roman"/>
                <w:iCs/>
                <w:color w:val="000000" w:themeColor="text1"/>
                <w:szCs w:val="24"/>
              </w:rPr>
              <w:t xml:space="preserve">owel </w:t>
            </w:r>
            <w:r>
              <w:rPr>
                <w:rFonts w:cs="Times New Roman"/>
                <w:iCs/>
                <w:color w:val="000000" w:themeColor="text1"/>
                <w:szCs w:val="24"/>
              </w:rPr>
              <w:t>d</w:t>
            </w:r>
            <w:r w:rsidRPr="00F10C37">
              <w:rPr>
                <w:rFonts w:cs="Times New Roman"/>
                <w:iCs/>
                <w:color w:val="000000" w:themeColor="text1"/>
                <w:szCs w:val="24"/>
              </w:rPr>
              <w:t>isease</w:t>
            </w:r>
          </w:p>
        </w:tc>
      </w:tr>
      <w:tr w:rsidR="0053763D" w:rsidRPr="00F10C37" w14:paraId="5FC3A30A" w14:textId="77777777" w:rsidTr="00C46407">
        <w:trPr>
          <w:jc w:val="center"/>
        </w:trPr>
        <w:tc>
          <w:tcPr>
            <w:tcW w:w="2605" w:type="dxa"/>
          </w:tcPr>
          <w:p w14:paraId="675168EF"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0" w:type="dxa"/>
          </w:tcPr>
          <w:p w14:paraId="39339475" w14:textId="77777777" w:rsidR="0053763D" w:rsidRPr="00F10C37" w:rsidRDefault="0053763D" w:rsidP="00C46407">
            <w:pPr>
              <w:autoSpaceDE w:val="0"/>
              <w:autoSpaceDN w:val="0"/>
              <w:adjustRightInd w:val="0"/>
              <w:jc w:val="both"/>
              <w:rPr>
                <w:rFonts w:cs="Times New Roman"/>
                <w:b/>
                <w:color w:val="000000" w:themeColor="text1"/>
                <w:szCs w:val="24"/>
              </w:rPr>
            </w:pPr>
            <w:r>
              <w:rPr>
                <w:rFonts w:cs="Times New Roman"/>
                <w:color w:val="000000" w:themeColor="text1"/>
                <w:szCs w:val="24"/>
              </w:rPr>
              <w:t>O</w:t>
            </w:r>
            <w:r w:rsidRPr="00F10C37">
              <w:rPr>
                <w:rFonts w:cs="Times New Roman"/>
                <w:color w:val="000000" w:themeColor="text1"/>
                <w:szCs w:val="24"/>
              </w:rPr>
              <w:t>ral:</w:t>
            </w:r>
          </w:p>
          <w:p w14:paraId="0AD31B1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Initially, 2–2.5 mg/kg daily in 1 or 2 doses, some patients may respond to lower doses. </w:t>
            </w:r>
          </w:p>
        </w:tc>
      </w:tr>
      <w:tr w:rsidR="0053763D" w:rsidRPr="00F10C37" w14:paraId="3FE5D358" w14:textId="77777777" w:rsidTr="00C46407">
        <w:trPr>
          <w:jc w:val="center"/>
        </w:trPr>
        <w:tc>
          <w:tcPr>
            <w:tcW w:w="2605" w:type="dxa"/>
          </w:tcPr>
          <w:p w14:paraId="6F52945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0" w:type="dxa"/>
          </w:tcPr>
          <w:p w14:paraId="4E12BCE7" w14:textId="77777777" w:rsidR="0053763D" w:rsidRPr="00F10C37" w:rsidRDefault="0053763D" w:rsidP="00C46407">
            <w:pPr>
              <w:autoSpaceDE w:val="0"/>
              <w:autoSpaceDN w:val="0"/>
              <w:adjustRightInd w:val="0"/>
              <w:jc w:val="both"/>
              <w:rPr>
                <w:rFonts w:cs="Times New Roman"/>
                <w:b/>
                <w:bCs/>
                <w:color w:val="000000" w:themeColor="text1"/>
                <w:szCs w:val="24"/>
              </w:rPr>
            </w:pPr>
            <w:r w:rsidRPr="00F10C37">
              <w:rPr>
                <w:rFonts w:cs="Times New Roman"/>
                <w:color w:val="000000" w:themeColor="text1"/>
                <w:szCs w:val="24"/>
              </w:rPr>
              <w:t>Hypersensitivity to azathioprine and mercaptopurine</w:t>
            </w:r>
          </w:p>
        </w:tc>
      </w:tr>
      <w:tr w:rsidR="0053763D" w:rsidRPr="00F10C37" w14:paraId="3580C8A4" w14:textId="77777777" w:rsidTr="00C46407">
        <w:trPr>
          <w:jc w:val="center"/>
        </w:trPr>
        <w:tc>
          <w:tcPr>
            <w:tcW w:w="2605" w:type="dxa"/>
          </w:tcPr>
          <w:p w14:paraId="6EE9A03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0" w:type="dxa"/>
          </w:tcPr>
          <w:p w14:paraId="13B58375"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Mercaptopurine, allopurinol, sulfasalazine, warfarin, phenytoin, rifampicin</w:t>
            </w:r>
            <w:r>
              <w:rPr>
                <w:rFonts w:cs="Times New Roman"/>
                <w:color w:val="000000" w:themeColor="text1"/>
                <w:szCs w:val="24"/>
              </w:rPr>
              <w:t>,</w:t>
            </w:r>
            <w:r w:rsidRPr="00F10C37">
              <w:rPr>
                <w:rFonts w:cs="Times New Roman"/>
                <w:color w:val="000000" w:themeColor="text1"/>
                <w:szCs w:val="24"/>
              </w:rPr>
              <w:t xml:space="preserve"> sulfamethoxazole + trimethoprim.</w:t>
            </w:r>
          </w:p>
        </w:tc>
      </w:tr>
      <w:tr w:rsidR="0053763D" w:rsidRPr="00F10C37" w14:paraId="68433685" w14:textId="77777777" w:rsidTr="00C46407">
        <w:trPr>
          <w:jc w:val="center"/>
        </w:trPr>
        <w:tc>
          <w:tcPr>
            <w:tcW w:w="2605" w:type="dxa"/>
          </w:tcPr>
          <w:p w14:paraId="289E0AB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0" w:type="dxa"/>
          </w:tcPr>
          <w:p w14:paraId="520D6E09"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Bone marrow suppression (dose-related), increased risk of infection, leucopenia, pancreatitis, thrombocytopenia, anaemia, hepatic disorders.</w:t>
            </w:r>
            <w:r w:rsidRPr="00F10C37">
              <w:rPr>
                <w:rFonts w:cs="Times New Roman"/>
                <w:i/>
                <w:color w:val="000000" w:themeColor="text1"/>
                <w:szCs w:val="24"/>
              </w:rPr>
              <w:t xml:space="preserve"> </w:t>
            </w:r>
          </w:p>
        </w:tc>
      </w:tr>
      <w:tr w:rsidR="0053763D" w:rsidRPr="00F10C37" w14:paraId="580AFD71" w14:textId="77777777" w:rsidTr="00C46407">
        <w:trPr>
          <w:jc w:val="center"/>
        </w:trPr>
        <w:tc>
          <w:tcPr>
            <w:tcW w:w="2605" w:type="dxa"/>
          </w:tcPr>
          <w:p w14:paraId="758F71B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0" w:type="dxa"/>
          </w:tcPr>
          <w:p w14:paraId="1B098A4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Elderly, renal impairment, liver disease, </w:t>
            </w:r>
            <w:r>
              <w:rPr>
                <w:rFonts w:cs="Times New Roman"/>
                <w:color w:val="000000" w:themeColor="text1"/>
                <w:szCs w:val="24"/>
              </w:rPr>
              <w:t>breastfeeding</w:t>
            </w:r>
            <w:r w:rsidRPr="00F10C37">
              <w:rPr>
                <w:rFonts w:cs="Times New Roman"/>
                <w:color w:val="000000" w:themeColor="text1"/>
                <w:szCs w:val="24"/>
              </w:rPr>
              <w:t xml:space="preserve">, </w:t>
            </w:r>
            <w:r w:rsidRPr="00F10C37">
              <w:rPr>
                <w:rFonts w:cs="Times New Roman"/>
                <w:color w:val="000000" w:themeColor="text1"/>
                <w:szCs w:val="24"/>
              </w:rPr>
              <w:lastRenderedPageBreak/>
              <w:t>pregnancy, low thiopurine methyl transferase activity.</w:t>
            </w:r>
          </w:p>
        </w:tc>
      </w:tr>
      <w:tr w:rsidR="0053763D" w:rsidRPr="00F10C37" w14:paraId="26D727A1" w14:textId="77777777" w:rsidTr="00C46407">
        <w:trPr>
          <w:jc w:val="center"/>
        </w:trPr>
        <w:tc>
          <w:tcPr>
            <w:tcW w:w="2605" w:type="dxa"/>
          </w:tcPr>
          <w:p w14:paraId="38A9B99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Storage condition</w:t>
            </w:r>
          </w:p>
        </w:tc>
        <w:tc>
          <w:tcPr>
            <w:tcW w:w="6480" w:type="dxa"/>
          </w:tcPr>
          <w:p w14:paraId="62425C2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 in a dry place. Pr</w:t>
            </w:r>
            <w:r>
              <w:rPr>
                <w:rFonts w:cs="Times New Roman"/>
                <w:color w:val="000000" w:themeColor="text1"/>
                <w:szCs w:val="24"/>
              </w:rPr>
              <w:t xml:space="preserve">otect </w:t>
            </w:r>
            <w:r w:rsidRPr="00F10C37">
              <w:rPr>
                <w:rFonts w:cs="Times New Roman"/>
                <w:color w:val="000000" w:themeColor="text1"/>
                <w:szCs w:val="24"/>
              </w:rPr>
              <w:t>from light.</w:t>
            </w:r>
          </w:p>
        </w:tc>
      </w:tr>
      <w:tr w:rsidR="0053763D" w:rsidRPr="00F10C37" w14:paraId="62A7ECD8" w14:textId="77777777" w:rsidTr="00C46407">
        <w:trPr>
          <w:jc w:val="center"/>
        </w:trPr>
        <w:tc>
          <w:tcPr>
            <w:tcW w:w="9085" w:type="dxa"/>
            <w:gridSpan w:val="2"/>
          </w:tcPr>
          <w:p w14:paraId="271819F1" w14:textId="77777777" w:rsidR="0053763D" w:rsidRPr="009C5DD5" w:rsidRDefault="0053763D" w:rsidP="009C5DD5">
            <w:pPr>
              <w:rPr>
                <w:b/>
              </w:rPr>
            </w:pPr>
            <w:r w:rsidRPr="009C5DD5">
              <w:rPr>
                <w:b/>
              </w:rPr>
              <w:t>Budesonide</w:t>
            </w:r>
          </w:p>
        </w:tc>
      </w:tr>
      <w:tr w:rsidR="0053763D" w:rsidRPr="00F10C37" w14:paraId="070FB431" w14:textId="77777777" w:rsidTr="00C46407">
        <w:trPr>
          <w:jc w:val="center"/>
        </w:trPr>
        <w:tc>
          <w:tcPr>
            <w:tcW w:w="2605" w:type="dxa"/>
          </w:tcPr>
          <w:p w14:paraId="5F36007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0" w:type="dxa"/>
          </w:tcPr>
          <w:p w14:paraId="35BBF76C" w14:textId="77777777" w:rsidR="0053763D" w:rsidRPr="00F10C37" w:rsidRDefault="0053763D" w:rsidP="00C46407">
            <w:pPr>
              <w:jc w:val="both"/>
              <w:rPr>
                <w:rFonts w:cs="Times New Roman"/>
                <w:b/>
                <w:color w:val="000000" w:themeColor="text1"/>
                <w:szCs w:val="24"/>
              </w:rPr>
            </w:pPr>
            <w:r w:rsidRPr="00F10C37">
              <w:rPr>
                <w:rFonts w:cs="Times New Roman"/>
                <w:color w:val="000000" w:themeColor="text1"/>
                <w:szCs w:val="24"/>
              </w:rPr>
              <w:t xml:space="preserve">Corticosteroid </w:t>
            </w:r>
          </w:p>
        </w:tc>
      </w:tr>
      <w:tr w:rsidR="0053763D" w:rsidRPr="00F10C37" w14:paraId="0F217CFD" w14:textId="77777777" w:rsidTr="00C46407">
        <w:trPr>
          <w:jc w:val="center"/>
        </w:trPr>
        <w:tc>
          <w:tcPr>
            <w:tcW w:w="2605" w:type="dxa"/>
          </w:tcPr>
          <w:p w14:paraId="008079F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0" w:type="dxa"/>
          </w:tcPr>
          <w:p w14:paraId="5BD4D5F8" w14:textId="77777777" w:rsidR="0053763D" w:rsidRPr="00F10C37" w:rsidRDefault="0053763D" w:rsidP="00C46407">
            <w:pPr>
              <w:widowControl w:val="0"/>
              <w:autoSpaceDE w:val="0"/>
              <w:autoSpaceDN w:val="0"/>
              <w:adjustRightInd w:val="0"/>
              <w:jc w:val="both"/>
              <w:rPr>
                <w:rFonts w:cs="Times New Roman"/>
                <w:color w:val="000000" w:themeColor="text1"/>
                <w:szCs w:val="24"/>
                <w:lang w:val="sv-SE"/>
              </w:rPr>
            </w:pPr>
            <w:r w:rsidRPr="00F10C37">
              <w:rPr>
                <w:rFonts w:cs="Times New Roman"/>
                <w:color w:val="000000" w:themeColor="text1"/>
                <w:szCs w:val="24"/>
              </w:rPr>
              <w:t>Tablet/Capsule</w:t>
            </w:r>
            <w:r w:rsidRPr="00F10C37">
              <w:rPr>
                <w:rFonts w:cs="Times New Roman"/>
                <w:b/>
                <w:color w:val="000000" w:themeColor="text1"/>
                <w:szCs w:val="24"/>
              </w:rPr>
              <w:t>:</w:t>
            </w:r>
            <w:r w:rsidRPr="00F10C37">
              <w:rPr>
                <w:rFonts w:cs="Times New Roman"/>
                <w:color w:val="000000" w:themeColor="text1"/>
                <w:szCs w:val="24"/>
              </w:rPr>
              <w:t xml:space="preserve"> 6 mg, 9 mg</w:t>
            </w:r>
          </w:p>
        </w:tc>
      </w:tr>
      <w:tr w:rsidR="0053763D" w:rsidRPr="00F10C37" w14:paraId="2871C6A1" w14:textId="77777777" w:rsidTr="00C46407">
        <w:trPr>
          <w:jc w:val="center"/>
        </w:trPr>
        <w:tc>
          <w:tcPr>
            <w:tcW w:w="2605" w:type="dxa"/>
          </w:tcPr>
          <w:p w14:paraId="12C4B873" w14:textId="77777777" w:rsidR="0053763D" w:rsidRPr="00977554" w:rsidRDefault="0053763D" w:rsidP="00C46407">
            <w:pPr>
              <w:jc w:val="both"/>
              <w:rPr>
                <w:rFonts w:cs="Times New Roman"/>
                <w:color w:val="000000" w:themeColor="text1"/>
                <w:szCs w:val="24"/>
              </w:rPr>
            </w:pPr>
            <w:r w:rsidRPr="00977554">
              <w:rPr>
                <w:rFonts w:cs="Times New Roman"/>
                <w:color w:val="000000" w:themeColor="text1"/>
                <w:szCs w:val="24"/>
              </w:rPr>
              <w:t>Indications</w:t>
            </w:r>
          </w:p>
        </w:tc>
        <w:tc>
          <w:tcPr>
            <w:tcW w:w="6480" w:type="dxa"/>
          </w:tcPr>
          <w:p w14:paraId="1FE4D2A5"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Induction of remission in patients with mild to moderate active Crohn's disease affecting the ileum and/or the ascending colon. Induction of remission in patients with active microscopic colitis in adults aged ≥ 18 years. </w:t>
            </w:r>
          </w:p>
        </w:tc>
      </w:tr>
      <w:tr w:rsidR="0053763D" w:rsidRPr="00F10C37" w14:paraId="61CF770B" w14:textId="77777777" w:rsidTr="00C46407">
        <w:trPr>
          <w:jc w:val="center"/>
        </w:trPr>
        <w:tc>
          <w:tcPr>
            <w:tcW w:w="2605" w:type="dxa"/>
          </w:tcPr>
          <w:p w14:paraId="2FDDDB4B"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0" w:type="dxa"/>
          </w:tcPr>
          <w:p w14:paraId="6D3286B0" w14:textId="77777777" w:rsidR="0053763D" w:rsidRPr="00F10C37" w:rsidRDefault="0053763D" w:rsidP="00C46407">
            <w:pPr>
              <w:autoSpaceDE w:val="0"/>
              <w:autoSpaceDN w:val="0"/>
              <w:adjustRightInd w:val="0"/>
              <w:jc w:val="both"/>
              <w:rPr>
                <w:rFonts w:cs="Times New Roman"/>
                <w:b/>
                <w:i/>
                <w:color w:val="000000" w:themeColor="text1"/>
                <w:szCs w:val="24"/>
              </w:rPr>
            </w:pPr>
            <w:r w:rsidRPr="00F10C37">
              <w:rPr>
                <w:rFonts w:cs="Times New Roman"/>
                <w:b/>
                <w:color w:val="000000" w:themeColor="text1"/>
                <w:szCs w:val="24"/>
              </w:rPr>
              <w:t>Mild to moderate Crohn’s disease affecting the ileum and/or ascending colon</w:t>
            </w:r>
            <w:r w:rsidRPr="00F10C37">
              <w:rPr>
                <w:rFonts w:cs="Times New Roman"/>
                <w:color w:val="000000" w:themeColor="text1"/>
                <w:szCs w:val="24"/>
              </w:rPr>
              <w:t>, oral:</w:t>
            </w:r>
          </w:p>
          <w:p w14:paraId="466601DA"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9 mg once daily for up to 8 weeks, to be taken in the morning, alternatively 3 mg 3 times a day for up to 8 weeks, reduce the dose gradually over 2 weeks following the treatment course before stopping. </w:t>
            </w:r>
          </w:p>
          <w:p w14:paraId="5261E209" w14:textId="77777777" w:rsidR="0053763D" w:rsidRPr="00F10C37" w:rsidRDefault="0053763D" w:rsidP="00C46407">
            <w:pPr>
              <w:adjustRightInd w:val="0"/>
              <w:jc w:val="both"/>
              <w:rPr>
                <w:rFonts w:cs="Times New Roman"/>
                <w:b/>
                <w:color w:val="000000" w:themeColor="text1"/>
                <w:szCs w:val="24"/>
              </w:rPr>
            </w:pPr>
            <w:r w:rsidRPr="00F10C37">
              <w:rPr>
                <w:rFonts w:cs="Times New Roman"/>
                <w:b/>
                <w:color w:val="000000" w:themeColor="text1"/>
                <w:szCs w:val="24"/>
              </w:rPr>
              <w:t>Microscopic colitis, induction of remission</w:t>
            </w:r>
            <w:r w:rsidRPr="00F10C37">
              <w:rPr>
                <w:rFonts w:cs="Times New Roman"/>
                <w:color w:val="000000" w:themeColor="text1"/>
                <w:szCs w:val="24"/>
              </w:rPr>
              <w:t>, oral:</w:t>
            </w:r>
          </w:p>
          <w:p w14:paraId="102944F2"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9 mg once daily for up to 8 weeks, to be taken in the morning half an hour before breakfast, reduce dose gradually over 2 weeks following the treatment course before stopping. </w:t>
            </w:r>
          </w:p>
          <w:p w14:paraId="1A46AAF1"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Microscopic colitis, maintenance</w:t>
            </w:r>
            <w:r w:rsidRPr="00F10C37">
              <w:rPr>
                <w:rFonts w:cs="Times New Roman"/>
                <w:color w:val="000000" w:themeColor="text1"/>
                <w:szCs w:val="24"/>
              </w:rPr>
              <w:t>, oral:</w:t>
            </w:r>
          </w:p>
          <w:p w14:paraId="2418ADC7"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 xml:space="preserve">Adult: </w:t>
            </w:r>
            <w:r w:rsidRPr="00F10C37">
              <w:rPr>
                <w:rFonts w:cs="Times New Roman"/>
                <w:color w:val="000000" w:themeColor="text1"/>
                <w:szCs w:val="24"/>
              </w:rPr>
              <w:t>6 mg once daily, to be taken in the morning, alternatively 6 mg once daily, and 3 mg once daily, to be taken on alternate mornings, review treatment regularly and no later than 12 months after initiation of maintenance treatment, treatment may be extended to beyond 12 months if required when stopping treatment, reduce the dose gradually over 2 weeks.</w:t>
            </w:r>
          </w:p>
        </w:tc>
      </w:tr>
      <w:tr w:rsidR="0053763D" w:rsidRPr="00F10C37" w14:paraId="46387F38" w14:textId="77777777" w:rsidTr="00C46407">
        <w:trPr>
          <w:jc w:val="center"/>
        </w:trPr>
        <w:tc>
          <w:tcPr>
            <w:tcW w:w="2605" w:type="dxa"/>
          </w:tcPr>
          <w:p w14:paraId="6F16D35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0" w:type="dxa"/>
          </w:tcPr>
          <w:p w14:paraId="59B66B20"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hepatic impairment, severe renal impairment.</w:t>
            </w:r>
          </w:p>
        </w:tc>
      </w:tr>
      <w:tr w:rsidR="0053763D" w:rsidRPr="00F10C37" w14:paraId="37FBDBBC" w14:textId="77777777" w:rsidTr="00C46407">
        <w:trPr>
          <w:jc w:val="center"/>
        </w:trPr>
        <w:tc>
          <w:tcPr>
            <w:tcW w:w="2605" w:type="dxa"/>
          </w:tcPr>
          <w:p w14:paraId="007563F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0" w:type="dxa"/>
          </w:tcPr>
          <w:p w14:paraId="328874F6" w14:textId="77777777" w:rsidR="0053763D" w:rsidRPr="00F10C37" w:rsidRDefault="0053763D" w:rsidP="00C46407">
            <w:pPr>
              <w:shd w:val="clear" w:color="auto" w:fill="FFFFFF"/>
              <w:jc w:val="both"/>
              <w:rPr>
                <w:rFonts w:cs="Times New Roman"/>
                <w:color w:val="000000" w:themeColor="text1"/>
                <w:szCs w:val="24"/>
              </w:rPr>
            </w:pPr>
            <w:r w:rsidRPr="00F10C37">
              <w:rPr>
                <w:rFonts w:cs="Times New Roman"/>
                <w:color w:val="000000" w:themeColor="text1"/>
                <w:szCs w:val="24"/>
              </w:rPr>
              <w:t>Ritonavir</w:t>
            </w:r>
            <w:r>
              <w:rPr>
                <w:rFonts w:cs="Times New Roman"/>
                <w:color w:val="000000" w:themeColor="text1"/>
                <w:szCs w:val="24"/>
              </w:rPr>
              <w:t>.</w:t>
            </w:r>
          </w:p>
        </w:tc>
      </w:tr>
      <w:tr w:rsidR="0053763D" w:rsidRPr="00F10C37" w14:paraId="10590B36" w14:textId="77777777" w:rsidTr="00C46407">
        <w:trPr>
          <w:jc w:val="center"/>
        </w:trPr>
        <w:tc>
          <w:tcPr>
            <w:tcW w:w="2605" w:type="dxa"/>
          </w:tcPr>
          <w:p w14:paraId="54297C8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0" w:type="dxa"/>
          </w:tcPr>
          <w:p w14:paraId="569AEBE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Dyspepsia, abdominal pain, dry mouth, muscle complaints, oedema oral disorders, headache, back pain, dizziness, and </w:t>
            </w:r>
            <w:r w:rsidRPr="00F10C37">
              <w:rPr>
                <w:rFonts w:cs="Times New Roman"/>
                <w:color w:val="000000" w:themeColor="text1"/>
                <w:szCs w:val="24"/>
              </w:rPr>
              <w:lastRenderedPageBreak/>
              <w:t>flatulence.</w:t>
            </w:r>
          </w:p>
        </w:tc>
      </w:tr>
      <w:tr w:rsidR="0053763D" w:rsidRPr="00F10C37" w14:paraId="2E424B54" w14:textId="77777777" w:rsidTr="00C46407">
        <w:trPr>
          <w:jc w:val="center"/>
        </w:trPr>
        <w:tc>
          <w:tcPr>
            <w:tcW w:w="2605" w:type="dxa"/>
          </w:tcPr>
          <w:p w14:paraId="430FC79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6480" w:type="dxa"/>
          </w:tcPr>
          <w:p w14:paraId="4F69F0A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Crohn’s disease of the upper GIT; patients with liver function disorders, tuberculosis, hypertension, diabetes mellitus, osteoporosis, peptic ulcer, glaucoma, cataracts, family history of diabetes, family history of glaucoma, visual disturbance. </w:t>
            </w:r>
          </w:p>
        </w:tc>
      </w:tr>
      <w:tr w:rsidR="0053763D" w:rsidRPr="00F10C37" w14:paraId="2A850D50" w14:textId="77777777" w:rsidTr="00C46407">
        <w:trPr>
          <w:jc w:val="center"/>
        </w:trPr>
        <w:tc>
          <w:tcPr>
            <w:tcW w:w="2605" w:type="dxa"/>
          </w:tcPr>
          <w:p w14:paraId="4050976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0" w:type="dxa"/>
          </w:tcPr>
          <w:p w14:paraId="6ECC311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 Protect from moisture and light.</w:t>
            </w:r>
          </w:p>
        </w:tc>
      </w:tr>
      <w:tr w:rsidR="0053763D" w:rsidRPr="00F10C37" w14:paraId="7096BEC8" w14:textId="77777777" w:rsidTr="00C46407">
        <w:trPr>
          <w:jc w:val="center"/>
        </w:trPr>
        <w:tc>
          <w:tcPr>
            <w:tcW w:w="9085" w:type="dxa"/>
            <w:gridSpan w:val="2"/>
            <w:tcBorders>
              <w:top w:val="nil"/>
            </w:tcBorders>
          </w:tcPr>
          <w:p w14:paraId="4D5C7F91" w14:textId="77777777" w:rsidR="0053763D" w:rsidRPr="009C5DD5" w:rsidRDefault="0053763D" w:rsidP="009C5DD5">
            <w:pPr>
              <w:rPr>
                <w:b/>
              </w:rPr>
            </w:pPr>
            <w:r w:rsidRPr="009C5DD5">
              <w:rPr>
                <w:b/>
              </w:rPr>
              <w:t xml:space="preserve">Mesalazine </w:t>
            </w:r>
            <w:r w:rsidRPr="009C5DD5">
              <w:rPr>
                <w:b/>
              </w:rPr>
              <w:tab/>
            </w:r>
          </w:p>
        </w:tc>
      </w:tr>
      <w:tr w:rsidR="0053763D" w:rsidRPr="00F10C37" w14:paraId="7A3734B7" w14:textId="77777777" w:rsidTr="00C46407">
        <w:trPr>
          <w:jc w:val="center"/>
        </w:trPr>
        <w:tc>
          <w:tcPr>
            <w:tcW w:w="2605" w:type="dxa"/>
          </w:tcPr>
          <w:p w14:paraId="6221E81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0" w:type="dxa"/>
          </w:tcPr>
          <w:p w14:paraId="49D136F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Aminosalicylate, anti-inflammatory agent</w:t>
            </w:r>
          </w:p>
        </w:tc>
      </w:tr>
      <w:tr w:rsidR="0053763D" w:rsidRPr="00F10C37" w14:paraId="268C2993" w14:textId="77777777" w:rsidTr="00C46407">
        <w:trPr>
          <w:jc w:val="center"/>
        </w:trPr>
        <w:tc>
          <w:tcPr>
            <w:tcW w:w="2605" w:type="dxa"/>
          </w:tcPr>
          <w:p w14:paraId="32EE4226"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0" w:type="dxa"/>
          </w:tcPr>
          <w:p w14:paraId="796C7468"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Tablet: 400 mg</w:t>
            </w:r>
          </w:p>
          <w:p w14:paraId="50BABA5C"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Suppository: 1g</w:t>
            </w:r>
          </w:p>
        </w:tc>
      </w:tr>
      <w:tr w:rsidR="0053763D" w:rsidRPr="00F10C37" w14:paraId="283EBE47" w14:textId="77777777" w:rsidTr="00C46407">
        <w:trPr>
          <w:jc w:val="center"/>
        </w:trPr>
        <w:tc>
          <w:tcPr>
            <w:tcW w:w="2605" w:type="dxa"/>
          </w:tcPr>
          <w:p w14:paraId="6A23B12F" w14:textId="77777777" w:rsidR="0053763D" w:rsidRPr="00FA5E42" w:rsidRDefault="0053763D" w:rsidP="00C46407">
            <w:pPr>
              <w:jc w:val="both"/>
              <w:rPr>
                <w:rFonts w:cs="Times New Roman"/>
                <w:color w:val="000000" w:themeColor="text1"/>
                <w:szCs w:val="24"/>
              </w:rPr>
            </w:pPr>
            <w:r w:rsidRPr="00FA5E42">
              <w:rPr>
                <w:rFonts w:cs="Times New Roman"/>
                <w:color w:val="000000" w:themeColor="text1"/>
                <w:szCs w:val="24"/>
              </w:rPr>
              <w:t>Indications</w:t>
            </w:r>
          </w:p>
        </w:tc>
        <w:tc>
          <w:tcPr>
            <w:tcW w:w="6480" w:type="dxa"/>
          </w:tcPr>
          <w:p w14:paraId="76514E8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Inflammatory </w:t>
            </w:r>
            <w:r>
              <w:rPr>
                <w:rFonts w:cs="Times New Roman"/>
                <w:color w:val="000000" w:themeColor="text1"/>
                <w:szCs w:val="24"/>
              </w:rPr>
              <w:t>b</w:t>
            </w:r>
            <w:r w:rsidRPr="00F10C37">
              <w:rPr>
                <w:rFonts w:cs="Times New Roman"/>
                <w:color w:val="000000" w:themeColor="text1"/>
                <w:szCs w:val="24"/>
              </w:rPr>
              <w:t xml:space="preserve">owel </w:t>
            </w:r>
            <w:r>
              <w:rPr>
                <w:rFonts w:cs="Times New Roman"/>
                <w:color w:val="000000" w:themeColor="text1"/>
                <w:szCs w:val="24"/>
              </w:rPr>
              <w:t>d</w:t>
            </w:r>
            <w:r w:rsidRPr="00F10C37">
              <w:rPr>
                <w:rFonts w:cs="Times New Roman"/>
                <w:color w:val="000000" w:themeColor="text1"/>
                <w:szCs w:val="24"/>
              </w:rPr>
              <w:t xml:space="preserve">iseases (Ulcerative </w:t>
            </w:r>
            <w:r>
              <w:rPr>
                <w:rFonts w:cs="Times New Roman"/>
                <w:color w:val="000000" w:themeColor="text1"/>
                <w:szCs w:val="24"/>
              </w:rPr>
              <w:t>c</w:t>
            </w:r>
            <w:r w:rsidRPr="00F10C37">
              <w:rPr>
                <w:rFonts w:cs="Times New Roman"/>
                <w:color w:val="000000" w:themeColor="text1"/>
                <w:szCs w:val="24"/>
              </w:rPr>
              <w:t xml:space="preserve">olitis and Crohn’s </w:t>
            </w:r>
            <w:r>
              <w:rPr>
                <w:rFonts w:cs="Times New Roman"/>
                <w:color w:val="000000" w:themeColor="text1"/>
                <w:szCs w:val="24"/>
              </w:rPr>
              <w:t>d</w:t>
            </w:r>
            <w:r w:rsidRPr="00F10C37">
              <w:rPr>
                <w:rFonts w:cs="Times New Roman"/>
                <w:color w:val="000000" w:themeColor="text1"/>
                <w:szCs w:val="24"/>
              </w:rPr>
              <w:t>isease)</w:t>
            </w:r>
          </w:p>
        </w:tc>
      </w:tr>
      <w:tr w:rsidR="0053763D" w:rsidRPr="00F10C37" w14:paraId="60078B0E" w14:textId="77777777" w:rsidTr="00C46407">
        <w:trPr>
          <w:jc w:val="center"/>
        </w:trPr>
        <w:tc>
          <w:tcPr>
            <w:tcW w:w="2605" w:type="dxa"/>
          </w:tcPr>
          <w:p w14:paraId="0A1681D6"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0" w:type="dxa"/>
          </w:tcPr>
          <w:p w14:paraId="1C7FB2A1"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Treatment of mild to moderate ulcerative colitis, acute attack</w:t>
            </w:r>
            <w:r w:rsidR="009C5DD5">
              <w:rPr>
                <w:rFonts w:cs="Times New Roman"/>
                <w:b/>
                <w:color w:val="000000" w:themeColor="text1"/>
                <w:szCs w:val="24"/>
              </w:rPr>
              <w:t>, o</w:t>
            </w:r>
            <w:r w:rsidRPr="00F10C37">
              <w:rPr>
                <w:rFonts w:cs="Times New Roman"/>
                <w:color w:val="000000" w:themeColor="text1"/>
                <w:szCs w:val="24"/>
              </w:rPr>
              <w:t>ral:</w:t>
            </w:r>
          </w:p>
          <w:p w14:paraId="69F493B1"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800 mg 3 times a day.</w:t>
            </w:r>
          </w:p>
          <w:p w14:paraId="66D2D8E5"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2.4 g daily in divided doses.</w:t>
            </w:r>
          </w:p>
          <w:p w14:paraId="41D7C31A" w14:textId="77777777" w:rsidR="0053763D" w:rsidRPr="009C5DD5" w:rsidRDefault="0053763D" w:rsidP="00C46407">
            <w:pPr>
              <w:adjustRightInd w:val="0"/>
              <w:jc w:val="both"/>
              <w:rPr>
                <w:rFonts w:cs="Times New Roman"/>
                <w:b/>
                <w:color w:val="000000" w:themeColor="text1"/>
                <w:szCs w:val="24"/>
              </w:rPr>
            </w:pPr>
            <w:r w:rsidRPr="00F10C37">
              <w:rPr>
                <w:rFonts w:cs="Times New Roman"/>
                <w:b/>
                <w:color w:val="000000" w:themeColor="text1"/>
                <w:szCs w:val="24"/>
              </w:rPr>
              <w:t>Maintenance of remission of ulcerative colitis and Crohn’s disease</w:t>
            </w:r>
            <w:r w:rsidR="009C5DD5">
              <w:rPr>
                <w:rFonts w:cs="Times New Roman"/>
                <w:b/>
                <w:color w:val="000000" w:themeColor="text1"/>
                <w:szCs w:val="24"/>
              </w:rPr>
              <w:t xml:space="preserve">, </w:t>
            </w:r>
            <w:r w:rsidR="009C5DD5" w:rsidRPr="009C5DD5">
              <w:rPr>
                <w:rFonts w:cs="Times New Roman"/>
                <w:color w:val="000000" w:themeColor="text1"/>
                <w:szCs w:val="24"/>
              </w:rPr>
              <w:t>o</w:t>
            </w:r>
            <w:r w:rsidRPr="00F10C37">
              <w:rPr>
                <w:rFonts w:cs="Times New Roman"/>
                <w:color w:val="000000" w:themeColor="text1"/>
                <w:szCs w:val="24"/>
              </w:rPr>
              <w:t>ral:</w:t>
            </w:r>
          </w:p>
          <w:p w14:paraId="0D64843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400–800 mg 2-3 times a day.</w:t>
            </w:r>
          </w:p>
          <w:p w14:paraId="64317F5B"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1.2-2.4 g daily in divided doses.</w:t>
            </w:r>
          </w:p>
          <w:p w14:paraId="59EFC18A"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Suppository:</w:t>
            </w:r>
          </w:p>
          <w:p w14:paraId="5DE0B228"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1g daily for 2-4 weeks</w:t>
            </w:r>
          </w:p>
          <w:p w14:paraId="101F9F5F"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Maintenance of remission of ulcerative colitis and Crohn’s disease</w:t>
            </w:r>
            <w:r w:rsidRPr="00F10C37">
              <w:rPr>
                <w:rFonts w:cs="Times New Roman"/>
                <w:color w:val="000000" w:themeColor="text1"/>
                <w:szCs w:val="24"/>
              </w:rPr>
              <w:t>, oral:</w:t>
            </w:r>
          </w:p>
          <w:p w14:paraId="2831B623"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1.2-2.4g daily in divided doses.</w:t>
            </w:r>
          </w:p>
          <w:p w14:paraId="16252027"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12-17 years</w:t>
            </w:r>
            <w:r w:rsidRPr="00F10C37">
              <w:rPr>
                <w:rFonts w:cs="Times New Roman"/>
                <w:color w:val="000000" w:themeColor="text1"/>
                <w:szCs w:val="24"/>
              </w:rPr>
              <w:t>: 400-800mg 2-3 times daily.</w:t>
            </w:r>
          </w:p>
          <w:p w14:paraId="294F3DEE" w14:textId="77777777" w:rsidR="0053763D" w:rsidRPr="00910906" w:rsidRDefault="0053763D" w:rsidP="00C46407">
            <w:pPr>
              <w:adjustRightInd w:val="0"/>
              <w:jc w:val="both"/>
              <w:rPr>
                <w:rFonts w:cs="Times New Roman"/>
                <w:i/>
                <w:color w:val="000000" w:themeColor="text1"/>
                <w:szCs w:val="24"/>
              </w:rPr>
            </w:pPr>
            <w:r w:rsidRPr="00910906">
              <w:rPr>
                <w:rFonts w:cs="Times New Roman"/>
                <w:i/>
                <w:color w:val="000000" w:themeColor="text1"/>
                <w:szCs w:val="24"/>
              </w:rPr>
              <w:t>Note: preparations that lower stool pH (e.g., lactulose) might prevent the release of mesalazine.</w:t>
            </w:r>
          </w:p>
        </w:tc>
      </w:tr>
      <w:tr w:rsidR="0053763D" w:rsidRPr="00F10C37" w14:paraId="44F39971" w14:textId="77777777" w:rsidTr="00C46407">
        <w:trPr>
          <w:jc w:val="center"/>
        </w:trPr>
        <w:tc>
          <w:tcPr>
            <w:tcW w:w="2605" w:type="dxa"/>
          </w:tcPr>
          <w:p w14:paraId="1C6E8FC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0" w:type="dxa"/>
          </w:tcPr>
          <w:p w14:paraId="588D6F4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Blood clotting abnormalities</w:t>
            </w:r>
            <w:r>
              <w:rPr>
                <w:rFonts w:cs="Times New Roman"/>
                <w:color w:val="000000" w:themeColor="text1"/>
                <w:szCs w:val="24"/>
              </w:rPr>
              <w:t>.</w:t>
            </w:r>
          </w:p>
        </w:tc>
      </w:tr>
      <w:tr w:rsidR="0053763D" w:rsidRPr="00F10C37" w14:paraId="76577E2D" w14:textId="77777777" w:rsidTr="00C46407">
        <w:trPr>
          <w:jc w:val="center"/>
        </w:trPr>
        <w:tc>
          <w:tcPr>
            <w:tcW w:w="2605" w:type="dxa"/>
          </w:tcPr>
          <w:p w14:paraId="50524DE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0" w:type="dxa"/>
          </w:tcPr>
          <w:p w14:paraId="0084810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Antacids, heparins, myelosuppressive agents, NSAIDs, </w:t>
            </w:r>
            <w:r>
              <w:rPr>
                <w:rFonts w:cs="Times New Roman"/>
                <w:color w:val="000000" w:themeColor="text1"/>
                <w:szCs w:val="24"/>
              </w:rPr>
              <w:t>v</w:t>
            </w:r>
            <w:r w:rsidRPr="00F10C37">
              <w:rPr>
                <w:rFonts w:cs="Times New Roman"/>
                <w:color w:val="000000" w:themeColor="text1"/>
                <w:szCs w:val="24"/>
              </w:rPr>
              <w:t xml:space="preserve">aricella virus-containing vaccines. </w:t>
            </w:r>
          </w:p>
        </w:tc>
      </w:tr>
      <w:tr w:rsidR="0053763D" w:rsidRPr="00F10C37" w14:paraId="303031F7" w14:textId="77777777" w:rsidTr="00C46407">
        <w:trPr>
          <w:jc w:val="center"/>
        </w:trPr>
        <w:tc>
          <w:tcPr>
            <w:tcW w:w="2605" w:type="dxa"/>
          </w:tcPr>
          <w:p w14:paraId="159075D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Side effects</w:t>
            </w:r>
          </w:p>
        </w:tc>
        <w:tc>
          <w:tcPr>
            <w:tcW w:w="6480" w:type="dxa"/>
          </w:tcPr>
          <w:p w14:paraId="62068BDB"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 xml:space="preserve">Rash, abdominal pain, diarrhea, </w:t>
            </w:r>
            <w:r>
              <w:rPr>
                <w:rFonts w:cs="Times New Roman"/>
                <w:color w:val="000000" w:themeColor="text1"/>
                <w:szCs w:val="24"/>
              </w:rPr>
              <w:t>nausea and vomiting</w:t>
            </w:r>
            <w:r w:rsidRPr="00F10C37">
              <w:rPr>
                <w:rFonts w:cs="Times New Roman"/>
                <w:color w:val="000000" w:themeColor="text1"/>
                <w:szCs w:val="24"/>
              </w:rPr>
              <w:t>, arthralgia, headache, cholestasis exacerbated, drug fever, flatulence, nephritis, constipation (with rectal use), Steven Johnson Syndrom (SJS), haematological disorders, renal impairment, photosensitivity, hepatotoxicity.</w:t>
            </w:r>
          </w:p>
        </w:tc>
      </w:tr>
      <w:tr w:rsidR="0053763D" w:rsidRPr="00F10C37" w14:paraId="6F6B6412" w14:textId="77777777" w:rsidTr="00C46407">
        <w:trPr>
          <w:jc w:val="center"/>
        </w:trPr>
        <w:tc>
          <w:tcPr>
            <w:tcW w:w="2605" w:type="dxa"/>
          </w:tcPr>
          <w:p w14:paraId="43F9AFAA"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0" w:type="dxa"/>
          </w:tcPr>
          <w:p w14:paraId="5CD4EBEA"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Breastfeeding, renal/hepatic impairment, elderly, pulmonary disease.</w:t>
            </w:r>
          </w:p>
        </w:tc>
      </w:tr>
      <w:tr w:rsidR="0053763D" w:rsidRPr="00F10C37" w14:paraId="6127DBCE" w14:textId="77777777" w:rsidTr="00C46407">
        <w:trPr>
          <w:jc w:val="center"/>
        </w:trPr>
        <w:tc>
          <w:tcPr>
            <w:tcW w:w="2605" w:type="dxa"/>
          </w:tcPr>
          <w:p w14:paraId="05EAEE3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0" w:type="dxa"/>
          </w:tcPr>
          <w:p w14:paraId="20C282F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 Protect from light.</w:t>
            </w:r>
          </w:p>
        </w:tc>
      </w:tr>
      <w:tr w:rsidR="0053763D" w:rsidRPr="00F10C37" w14:paraId="14382828" w14:textId="77777777" w:rsidTr="00C46407">
        <w:trPr>
          <w:jc w:val="center"/>
        </w:trPr>
        <w:tc>
          <w:tcPr>
            <w:tcW w:w="9085" w:type="dxa"/>
            <w:gridSpan w:val="2"/>
            <w:shd w:val="clear" w:color="auto" w:fill="auto"/>
          </w:tcPr>
          <w:p w14:paraId="51285B01" w14:textId="77777777" w:rsidR="0053763D" w:rsidRPr="00910906" w:rsidRDefault="0053763D" w:rsidP="00910906">
            <w:pPr>
              <w:rPr>
                <w:b/>
              </w:rPr>
            </w:pPr>
            <w:r w:rsidRPr="00910906">
              <w:rPr>
                <w:b/>
              </w:rPr>
              <w:t xml:space="preserve">Methylprednisolone </w:t>
            </w:r>
          </w:p>
        </w:tc>
      </w:tr>
      <w:tr w:rsidR="0053763D" w:rsidRPr="00F10C37" w14:paraId="49467B23" w14:textId="77777777" w:rsidTr="00C46407">
        <w:trPr>
          <w:jc w:val="center"/>
        </w:trPr>
        <w:tc>
          <w:tcPr>
            <w:tcW w:w="2605" w:type="dxa"/>
          </w:tcPr>
          <w:p w14:paraId="4969447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0" w:type="dxa"/>
          </w:tcPr>
          <w:p w14:paraId="66759E4A" w14:textId="77777777" w:rsidR="0053763D" w:rsidRPr="00F10C37" w:rsidRDefault="0053763D" w:rsidP="00C46407">
            <w:pPr>
              <w:jc w:val="both"/>
              <w:rPr>
                <w:rFonts w:cs="Times New Roman"/>
                <w:b/>
                <w:color w:val="000000" w:themeColor="text1"/>
                <w:szCs w:val="24"/>
              </w:rPr>
            </w:pPr>
            <w:r>
              <w:rPr>
                <w:rFonts w:cs="Times New Roman"/>
                <w:color w:val="000000" w:themeColor="text1"/>
                <w:szCs w:val="24"/>
              </w:rPr>
              <w:t>Corticosteroid</w:t>
            </w:r>
          </w:p>
        </w:tc>
      </w:tr>
      <w:tr w:rsidR="0053763D" w:rsidRPr="00F10C37" w14:paraId="21A8B7C3" w14:textId="77777777" w:rsidTr="00C46407">
        <w:trPr>
          <w:jc w:val="center"/>
        </w:trPr>
        <w:tc>
          <w:tcPr>
            <w:tcW w:w="2605" w:type="dxa"/>
          </w:tcPr>
          <w:p w14:paraId="2FEECA0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0" w:type="dxa"/>
          </w:tcPr>
          <w:p w14:paraId="76C93FFD"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bCs/>
                <w:color w:val="000000" w:themeColor="text1"/>
                <w:szCs w:val="24"/>
              </w:rPr>
              <w:t>Injection (as sodium succinate): 40mg/</w:t>
            </w:r>
            <w:r>
              <w:rPr>
                <w:rFonts w:cs="Times New Roman"/>
                <w:bCs/>
                <w:color w:val="000000" w:themeColor="text1"/>
                <w:szCs w:val="24"/>
              </w:rPr>
              <w:t>ml</w:t>
            </w:r>
            <w:r w:rsidRPr="00F10C37">
              <w:rPr>
                <w:rFonts w:cs="Times New Roman"/>
                <w:bCs/>
                <w:color w:val="000000" w:themeColor="text1"/>
                <w:szCs w:val="24"/>
              </w:rPr>
              <w:t>, 80mg/</w:t>
            </w:r>
            <w:r>
              <w:rPr>
                <w:rFonts w:cs="Times New Roman"/>
                <w:bCs/>
                <w:color w:val="000000" w:themeColor="text1"/>
                <w:szCs w:val="24"/>
              </w:rPr>
              <w:t>ml</w:t>
            </w:r>
          </w:p>
        </w:tc>
      </w:tr>
      <w:tr w:rsidR="0053763D" w:rsidRPr="00F10C37" w14:paraId="7A366F28" w14:textId="77777777" w:rsidTr="00C46407">
        <w:trPr>
          <w:jc w:val="center"/>
        </w:trPr>
        <w:tc>
          <w:tcPr>
            <w:tcW w:w="2605" w:type="dxa"/>
          </w:tcPr>
          <w:p w14:paraId="609E6837" w14:textId="77777777" w:rsidR="0053763D" w:rsidRPr="00BE2931" w:rsidRDefault="0053763D" w:rsidP="00C46407">
            <w:pPr>
              <w:jc w:val="both"/>
              <w:rPr>
                <w:rFonts w:cs="Times New Roman"/>
                <w:color w:val="000000" w:themeColor="text1"/>
                <w:szCs w:val="24"/>
              </w:rPr>
            </w:pPr>
            <w:r w:rsidRPr="00BE2931">
              <w:rPr>
                <w:rFonts w:cs="Times New Roman"/>
                <w:color w:val="000000" w:themeColor="text1"/>
                <w:szCs w:val="24"/>
              </w:rPr>
              <w:t>Indications</w:t>
            </w:r>
          </w:p>
        </w:tc>
        <w:tc>
          <w:tcPr>
            <w:tcW w:w="6480" w:type="dxa"/>
          </w:tcPr>
          <w:p w14:paraId="3810DE8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Suppression of inflammatory and allergic disorders</w:t>
            </w:r>
            <w:r>
              <w:rPr>
                <w:rFonts w:cs="Times New Roman"/>
                <w:color w:val="000000" w:themeColor="text1"/>
                <w:szCs w:val="24"/>
              </w:rPr>
              <w:t xml:space="preserve">, </w:t>
            </w:r>
            <w:r w:rsidRPr="00F10C37">
              <w:rPr>
                <w:rFonts w:cs="Times New Roman"/>
                <w:color w:val="000000" w:themeColor="text1"/>
                <w:szCs w:val="24"/>
              </w:rPr>
              <w:t>severe IBD.</w:t>
            </w:r>
          </w:p>
        </w:tc>
      </w:tr>
      <w:tr w:rsidR="0053763D" w:rsidRPr="00F10C37" w14:paraId="0D5774EF" w14:textId="77777777" w:rsidTr="00C46407">
        <w:trPr>
          <w:jc w:val="center"/>
        </w:trPr>
        <w:tc>
          <w:tcPr>
            <w:tcW w:w="2605" w:type="dxa"/>
          </w:tcPr>
          <w:p w14:paraId="15534A9E"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0" w:type="dxa"/>
          </w:tcPr>
          <w:p w14:paraId="37625741"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Deep IM injection</w:t>
            </w:r>
            <w:r>
              <w:rPr>
                <w:rFonts w:cs="Times New Roman"/>
                <w:b/>
                <w:color w:val="000000" w:themeColor="text1"/>
                <w:szCs w:val="24"/>
              </w:rPr>
              <w:t>:</w:t>
            </w:r>
          </w:p>
          <w:p w14:paraId="52BA39DF"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40-120mg, then 40-120mg after 2-3 weeks if required, to be injected into the gluteal muscle</w:t>
            </w:r>
          </w:p>
          <w:p w14:paraId="4D4AF102" w14:textId="77777777" w:rsidR="0053763D" w:rsidRPr="00F10C37" w:rsidRDefault="0053763D" w:rsidP="00C46407">
            <w:pPr>
              <w:adjustRightInd w:val="0"/>
              <w:jc w:val="both"/>
              <w:rPr>
                <w:rFonts w:cs="Times New Roman"/>
                <w:b/>
                <w:color w:val="000000" w:themeColor="text1"/>
                <w:szCs w:val="24"/>
              </w:rPr>
            </w:pPr>
            <w:r w:rsidRPr="00F10C37">
              <w:rPr>
                <w:rFonts w:cs="Times New Roman"/>
                <w:b/>
                <w:color w:val="000000" w:themeColor="text1"/>
                <w:szCs w:val="24"/>
              </w:rPr>
              <w:t>Slow IV injection or IV infusion</w:t>
            </w:r>
            <w:r>
              <w:rPr>
                <w:rFonts w:cs="Times New Roman"/>
                <w:b/>
                <w:color w:val="000000" w:themeColor="text1"/>
                <w:szCs w:val="24"/>
              </w:rPr>
              <w:t>:</w:t>
            </w:r>
          </w:p>
          <w:p w14:paraId="4F0CC121"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w:t>
            </w:r>
            <w:r>
              <w:rPr>
                <w:rFonts w:cs="Times New Roman"/>
                <w:color w:val="000000" w:themeColor="text1"/>
                <w:szCs w:val="24"/>
              </w:rPr>
              <w:t>d</w:t>
            </w:r>
            <w:r w:rsidRPr="00DB1770">
              <w:rPr>
                <w:rFonts w:cs="Times New Roman"/>
                <w:color w:val="000000" w:themeColor="text1"/>
                <w:szCs w:val="24"/>
              </w:rPr>
              <w:t>osage should be varied according to the severity of the condition, initial dosage will vary from 10 to 500 mg.</w:t>
            </w:r>
          </w:p>
          <w:p w14:paraId="3759DBF1"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w:t>
            </w:r>
            <w:r w:rsidRPr="00F10C37">
              <w:rPr>
                <w:rFonts w:cs="Times New Roman"/>
                <w:color w:val="000000" w:themeColor="text1"/>
                <w:szCs w:val="24"/>
              </w:rPr>
              <w:t>: 0.5-1.7 mg/kg daily in 2–4 divided doses</w:t>
            </w:r>
            <w:r>
              <w:rPr>
                <w:rFonts w:cs="Times New Roman"/>
                <w:color w:val="000000" w:themeColor="text1"/>
                <w:szCs w:val="24"/>
              </w:rPr>
              <w:t>.</w:t>
            </w:r>
            <w:r w:rsidRPr="00F10C37">
              <w:rPr>
                <w:rFonts w:cs="Times New Roman"/>
                <w:color w:val="000000" w:themeColor="text1"/>
                <w:szCs w:val="24"/>
              </w:rPr>
              <w:t xml:space="preserve"> </w:t>
            </w:r>
          </w:p>
        </w:tc>
      </w:tr>
      <w:tr w:rsidR="0053763D" w:rsidRPr="00F10C37" w14:paraId="6DD7FC4E" w14:textId="77777777" w:rsidTr="00C46407">
        <w:trPr>
          <w:jc w:val="center"/>
        </w:trPr>
        <w:tc>
          <w:tcPr>
            <w:tcW w:w="2605" w:type="dxa"/>
          </w:tcPr>
          <w:p w14:paraId="6F2DBA21"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0" w:type="dxa"/>
          </w:tcPr>
          <w:p w14:paraId="484A84DD"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known or suspected allergy to cow's milk</w:t>
            </w:r>
            <w:r>
              <w:rPr>
                <w:rFonts w:cs="Times New Roman"/>
                <w:color w:val="000000" w:themeColor="text1"/>
                <w:szCs w:val="24"/>
              </w:rPr>
              <w:t>,</w:t>
            </w:r>
            <w:r w:rsidRPr="00F10C37">
              <w:rPr>
                <w:rFonts w:cs="Times New Roman"/>
                <w:color w:val="000000" w:themeColor="text1"/>
                <w:szCs w:val="24"/>
              </w:rPr>
              <w:t xml:space="preserve"> systemic fungal infection and systemic infection unless specific anti-infective therapy is employed</w:t>
            </w:r>
            <w:r>
              <w:rPr>
                <w:rFonts w:cs="Times New Roman"/>
                <w:color w:val="000000" w:themeColor="text1"/>
                <w:szCs w:val="24"/>
              </w:rPr>
              <w:t>,</w:t>
            </w:r>
            <w:r w:rsidRPr="00F10C37">
              <w:rPr>
                <w:rFonts w:cs="Times New Roman"/>
                <w:color w:val="000000" w:themeColor="text1"/>
                <w:szCs w:val="24"/>
              </w:rPr>
              <w:t xml:space="preserve"> cerebral oedema associated with malaria, administration of live or live attenuated vaccines. </w:t>
            </w:r>
          </w:p>
        </w:tc>
      </w:tr>
      <w:tr w:rsidR="0053763D" w:rsidRPr="00F10C37" w14:paraId="12A743C4" w14:textId="77777777" w:rsidTr="00C46407">
        <w:trPr>
          <w:jc w:val="center"/>
        </w:trPr>
        <w:tc>
          <w:tcPr>
            <w:tcW w:w="2605" w:type="dxa"/>
          </w:tcPr>
          <w:p w14:paraId="11F73D5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0" w:type="dxa"/>
          </w:tcPr>
          <w:p w14:paraId="54F9EA88" w14:textId="77777777" w:rsidR="0053763D" w:rsidRPr="00F10C37" w:rsidRDefault="0053763D" w:rsidP="00C46407">
            <w:pPr>
              <w:jc w:val="both"/>
              <w:rPr>
                <w:rFonts w:cs="Times New Roman"/>
                <w:color w:val="000000" w:themeColor="text1"/>
                <w:szCs w:val="24"/>
              </w:rPr>
            </w:pPr>
            <w:r w:rsidRPr="00F10C37">
              <w:rPr>
                <w:rFonts w:cs="Times New Roman"/>
                <w:bCs/>
                <w:color w:val="000000" w:themeColor="text1"/>
                <w:szCs w:val="24"/>
              </w:rPr>
              <w:t>Antiepileptics, protease inhibitors, macrolides, antifungals, aspirin, NSAIDs, rifampicin.</w:t>
            </w:r>
          </w:p>
        </w:tc>
      </w:tr>
      <w:tr w:rsidR="0053763D" w:rsidRPr="00F10C37" w14:paraId="6926E778" w14:textId="77777777" w:rsidTr="00C46407">
        <w:trPr>
          <w:jc w:val="center"/>
        </w:trPr>
        <w:tc>
          <w:tcPr>
            <w:tcW w:w="2605" w:type="dxa"/>
          </w:tcPr>
          <w:p w14:paraId="35DF804F"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0" w:type="dxa"/>
          </w:tcPr>
          <w:p w14:paraId="5A4A22D3" w14:textId="77777777" w:rsidR="0053763D" w:rsidRPr="00F10C37" w:rsidRDefault="0053763D" w:rsidP="00C46407">
            <w:pPr>
              <w:jc w:val="both"/>
              <w:rPr>
                <w:rFonts w:cs="Times New Roman"/>
                <w:color w:val="000000" w:themeColor="text1"/>
                <w:szCs w:val="24"/>
              </w:rPr>
            </w:pPr>
            <w:r w:rsidRPr="00F10C37">
              <w:rPr>
                <w:rFonts w:cs="Times New Roman"/>
                <w:bCs/>
                <w:color w:val="000000" w:themeColor="text1"/>
                <w:szCs w:val="24"/>
              </w:rPr>
              <w:t>Confusion, delusions, depressed mood, diarrhoea, dizziness, dyslipidaemia, hallucination, hiccups, Kaposi’s sarcoma, lipomatosis, oedema, schizophrenia, suicidal thoughts, vomiting, withdrawal syndrome.</w:t>
            </w:r>
          </w:p>
        </w:tc>
      </w:tr>
      <w:tr w:rsidR="0053763D" w:rsidRPr="00F10C37" w14:paraId="39B380D6" w14:textId="77777777" w:rsidTr="00C46407">
        <w:trPr>
          <w:jc w:val="center"/>
        </w:trPr>
        <w:tc>
          <w:tcPr>
            <w:tcW w:w="2605" w:type="dxa"/>
          </w:tcPr>
          <w:p w14:paraId="148AD93D"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lastRenderedPageBreak/>
              <w:t xml:space="preserve">Cautions </w:t>
            </w:r>
          </w:p>
        </w:tc>
        <w:tc>
          <w:tcPr>
            <w:tcW w:w="6480" w:type="dxa"/>
          </w:tcPr>
          <w:p w14:paraId="2DBCA931" w14:textId="77777777" w:rsidR="0053763D" w:rsidRPr="00F10C37" w:rsidRDefault="0053763D" w:rsidP="00C46407">
            <w:pPr>
              <w:jc w:val="both"/>
              <w:rPr>
                <w:rFonts w:cs="Times New Roman"/>
                <w:bCs/>
                <w:i/>
                <w:color w:val="000000" w:themeColor="text1"/>
                <w:szCs w:val="24"/>
              </w:rPr>
            </w:pPr>
            <w:r w:rsidRPr="00F10C37">
              <w:rPr>
                <w:rFonts w:cs="Times New Roman"/>
                <w:bCs/>
                <w:color w:val="000000" w:themeColor="text1"/>
                <w:szCs w:val="24"/>
              </w:rPr>
              <w:t>Rapid IV administration, risk of systemic sclerosis.</w:t>
            </w:r>
          </w:p>
        </w:tc>
      </w:tr>
      <w:tr w:rsidR="0053763D" w:rsidRPr="00F10C37" w14:paraId="5DCC21CC" w14:textId="77777777" w:rsidTr="00C46407">
        <w:trPr>
          <w:jc w:val="center"/>
        </w:trPr>
        <w:tc>
          <w:tcPr>
            <w:tcW w:w="2605" w:type="dxa"/>
          </w:tcPr>
          <w:p w14:paraId="366268E2"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0" w:type="dxa"/>
          </w:tcPr>
          <w:p w14:paraId="785E8974"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below 30 °C.</w:t>
            </w:r>
          </w:p>
        </w:tc>
      </w:tr>
      <w:tr w:rsidR="0053763D" w:rsidRPr="00F10C37" w14:paraId="667BACED" w14:textId="77777777" w:rsidTr="00C46407">
        <w:trPr>
          <w:jc w:val="center"/>
        </w:trPr>
        <w:tc>
          <w:tcPr>
            <w:tcW w:w="9085" w:type="dxa"/>
            <w:gridSpan w:val="2"/>
          </w:tcPr>
          <w:p w14:paraId="7B397648" w14:textId="77777777" w:rsidR="0053763D" w:rsidRPr="00910906" w:rsidRDefault="0053763D" w:rsidP="00910906">
            <w:pPr>
              <w:rPr>
                <w:b/>
              </w:rPr>
            </w:pPr>
            <w:r w:rsidRPr="00910906">
              <w:rPr>
                <w:b/>
              </w:rPr>
              <w:t xml:space="preserve">Sulfasalazine </w:t>
            </w:r>
          </w:p>
        </w:tc>
      </w:tr>
      <w:tr w:rsidR="0053763D" w:rsidRPr="00F10C37" w14:paraId="4F2281C4" w14:textId="77777777" w:rsidTr="00C46407">
        <w:trPr>
          <w:jc w:val="center"/>
        </w:trPr>
        <w:tc>
          <w:tcPr>
            <w:tcW w:w="2605" w:type="dxa"/>
          </w:tcPr>
          <w:p w14:paraId="31A5FB35"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Pharmacological class</w:t>
            </w:r>
          </w:p>
        </w:tc>
        <w:tc>
          <w:tcPr>
            <w:tcW w:w="6480" w:type="dxa"/>
          </w:tcPr>
          <w:p w14:paraId="47A2E47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Aminosalicylate, anti-inflammatory agent</w:t>
            </w:r>
          </w:p>
        </w:tc>
      </w:tr>
      <w:tr w:rsidR="0053763D" w:rsidRPr="00F10C37" w14:paraId="426F02BA" w14:textId="77777777" w:rsidTr="00C46407">
        <w:trPr>
          <w:jc w:val="center"/>
        </w:trPr>
        <w:tc>
          <w:tcPr>
            <w:tcW w:w="2605" w:type="dxa"/>
          </w:tcPr>
          <w:p w14:paraId="79D91750"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Dosage form</w:t>
            </w:r>
          </w:p>
        </w:tc>
        <w:tc>
          <w:tcPr>
            <w:tcW w:w="6480" w:type="dxa"/>
          </w:tcPr>
          <w:p w14:paraId="18605379" w14:textId="77777777" w:rsidR="0053763D" w:rsidRPr="00F10C37" w:rsidRDefault="0053763D" w:rsidP="00C46407">
            <w:pPr>
              <w:widowControl w:val="0"/>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Tablet: 500mg </w:t>
            </w:r>
          </w:p>
        </w:tc>
      </w:tr>
      <w:tr w:rsidR="0053763D" w:rsidRPr="00F10C37" w14:paraId="301632CD" w14:textId="77777777" w:rsidTr="00C46407">
        <w:trPr>
          <w:jc w:val="center"/>
        </w:trPr>
        <w:tc>
          <w:tcPr>
            <w:tcW w:w="2605" w:type="dxa"/>
          </w:tcPr>
          <w:p w14:paraId="37C87522" w14:textId="77777777" w:rsidR="0053763D" w:rsidRPr="001C69C0" w:rsidRDefault="0053763D" w:rsidP="00C46407">
            <w:pPr>
              <w:jc w:val="both"/>
              <w:rPr>
                <w:rFonts w:cs="Times New Roman"/>
                <w:color w:val="000000" w:themeColor="text1"/>
                <w:szCs w:val="24"/>
              </w:rPr>
            </w:pPr>
            <w:r w:rsidRPr="001C69C0">
              <w:rPr>
                <w:rFonts w:cs="Times New Roman"/>
                <w:color w:val="000000" w:themeColor="text1"/>
                <w:szCs w:val="24"/>
              </w:rPr>
              <w:t>Indications</w:t>
            </w:r>
          </w:p>
        </w:tc>
        <w:tc>
          <w:tcPr>
            <w:tcW w:w="6480" w:type="dxa"/>
          </w:tcPr>
          <w:p w14:paraId="204271D8" w14:textId="77777777" w:rsidR="0053763D" w:rsidRPr="00F10C37" w:rsidRDefault="0053763D" w:rsidP="00C46407">
            <w:pPr>
              <w:autoSpaceDE w:val="0"/>
              <w:autoSpaceDN w:val="0"/>
              <w:adjustRightInd w:val="0"/>
              <w:jc w:val="both"/>
              <w:rPr>
                <w:rFonts w:cs="Times New Roman"/>
                <w:color w:val="000000" w:themeColor="text1"/>
                <w:szCs w:val="24"/>
              </w:rPr>
            </w:pPr>
            <w:r>
              <w:rPr>
                <w:rFonts w:cs="Times New Roman"/>
                <w:color w:val="000000" w:themeColor="text1"/>
                <w:szCs w:val="24"/>
              </w:rPr>
              <w:t>IBD</w:t>
            </w:r>
            <w:r w:rsidRPr="00F10C37">
              <w:rPr>
                <w:rFonts w:cs="Times New Roman"/>
                <w:color w:val="000000" w:themeColor="text1"/>
                <w:szCs w:val="24"/>
              </w:rPr>
              <w:t xml:space="preserve"> (ulcerative colitis and Crohn’s disease)</w:t>
            </w:r>
          </w:p>
        </w:tc>
      </w:tr>
      <w:tr w:rsidR="0053763D" w:rsidRPr="00F10C37" w14:paraId="0D8765E2" w14:textId="77777777" w:rsidTr="00C46407">
        <w:trPr>
          <w:jc w:val="center"/>
        </w:trPr>
        <w:tc>
          <w:tcPr>
            <w:tcW w:w="2605" w:type="dxa"/>
          </w:tcPr>
          <w:p w14:paraId="5EA7B950" w14:textId="77777777" w:rsidR="0053763D" w:rsidRPr="00F10C37" w:rsidRDefault="0053763D" w:rsidP="00C46407">
            <w:pPr>
              <w:jc w:val="both"/>
              <w:rPr>
                <w:rFonts w:cs="Times New Roman"/>
                <w:color w:val="000000" w:themeColor="text1"/>
                <w:szCs w:val="24"/>
              </w:rPr>
            </w:pPr>
            <w:r w:rsidRPr="00F10C37">
              <w:rPr>
                <w:rFonts w:eastAsia="Times New Roman" w:cs="Times New Roman"/>
                <w:color w:val="000000" w:themeColor="text1"/>
                <w:szCs w:val="24"/>
              </w:rPr>
              <w:t>Dose and administration</w:t>
            </w:r>
          </w:p>
        </w:tc>
        <w:tc>
          <w:tcPr>
            <w:tcW w:w="6480" w:type="dxa"/>
          </w:tcPr>
          <w:p w14:paraId="637D1FE8"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Treatment of acute attack of ulcerative colitis or active Crohn’s disease:</w:t>
            </w:r>
          </w:p>
          <w:p w14:paraId="523DEC0F" w14:textId="77777777" w:rsidR="0053763D" w:rsidRPr="00F10C37" w:rsidRDefault="0053763D" w:rsidP="00C46407">
            <w:pPr>
              <w:adjustRightInd w:val="0"/>
              <w:jc w:val="both"/>
              <w:rPr>
                <w:rFonts w:cs="Times New Roman"/>
                <w:b/>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1–2 g 4 times a day until remission occurs, corticosteroids may also be given, if necessary.</w:t>
            </w:r>
            <w:r w:rsidRPr="00F10C37">
              <w:rPr>
                <w:rFonts w:cs="Times New Roman"/>
                <w:b/>
                <w:color w:val="000000" w:themeColor="text1"/>
                <w:szCs w:val="24"/>
              </w:rPr>
              <w:t xml:space="preserve"> </w:t>
            </w:r>
          </w:p>
          <w:p w14:paraId="2C95E10E"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Child &gt; 2 years</w:t>
            </w:r>
            <w:r w:rsidRPr="00F10C37">
              <w:rPr>
                <w:rFonts w:cs="Times New Roman"/>
                <w:color w:val="000000" w:themeColor="text1"/>
                <w:szCs w:val="24"/>
              </w:rPr>
              <w:t xml:space="preserve">: 40 to 60 mg/kg daily, reducing to maintenance dose of 20–30 mg/kg daily. </w:t>
            </w:r>
          </w:p>
          <w:p w14:paraId="0CE79541" w14:textId="77777777" w:rsidR="0053763D" w:rsidRPr="00F10C37" w:rsidRDefault="0053763D" w:rsidP="00C46407">
            <w:pPr>
              <w:autoSpaceDE w:val="0"/>
              <w:autoSpaceDN w:val="0"/>
              <w:adjustRightInd w:val="0"/>
              <w:jc w:val="both"/>
              <w:rPr>
                <w:rFonts w:cs="Times New Roman"/>
                <w:b/>
                <w:color w:val="000000" w:themeColor="text1"/>
                <w:szCs w:val="24"/>
              </w:rPr>
            </w:pPr>
            <w:r w:rsidRPr="00F10C37">
              <w:rPr>
                <w:rFonts w:cs="Times New Roman"/>
                <w:b/>
                <w:color w:val="000000" w:themeColor="text1"/>
                <w:szCs w:val="24"/>
              </w:rPr>
              <w:t>Maintenance of remission ulcerative colitis:</w:t>
            </w:r>
          </w:p>
          <w:p w14:paraId="2B5596D0" w14:textId="77777777" w:rsidR="0053763D" w:rsidRPr="00F10C37" w:rsidRDefault="0053763D" w:rsidP="00C46407">
            <w:pPr>
              <w:adjustRightInd w:val="0"/>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500 mg 4 times a day.</w:t>
            </w:r>
          </w:p>
        </w:tc>
      </w:tr>
      <w:tr w:rsidR="0053763D" w:rsidRPr="00F10C37" w14:paraId="06ECD4BA" w14:textId="77777777" w:rsidTr="00C46407">
        <w:trPr>
          <w:jc w:val="center"/>
        </w:trPr>
        <w:tc>
          <w:tcPr>
            <w:tcW w:w="2605" w:type="dxa"/>
          </w:tcPr>
          <w:p w14:paraId="1E5C4B0C"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Contraindications</w:t>
            </w:r>
          </w:p>
        </w:tc>
        <w:tc>
          <w:tcPr>
            <w:tcW w:w="6480" w:type="dxa"/>
          </w:tcPr>
          <w:p w14:paraId="55B7CAD3"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Hypersensitivity to salicylates and sulfonamides, severe renal impairment, child under 2 years, porphyria.</w:t>
            </w:r>
          </w:p>
        </w:tc>
      </w:tr>
      <w:tr w:rsidR="0053763D" w:rsidRPr="00F10C37" w14:paraId="0365D074" w14:textId="77777777" w:rsidTr="00C46407">
        <w:trPr>
          <w:jc w:val="center"/>
        </w:trPr>
        <w:tc>
          <w:tcPr>
            <w:tcW w:w="2605" w:type="dxa"/>
          </w:tcPr>
          <w:p w14:paraId="46A98F67"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Drug interactions</w:t>
            </w:r>
          </w:p>
        </w:tc>
        <w:tc>
          <w:tcPr>
            <w:tcW w:w="6480" w:type="dxa"/>
          </w:tcPr>
          <w:p w14:paraId="71EF4638"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Azathioprine, mercaptopurine, vitamin C.</w:t>
            </w:r>
          </w:p>
        </w:tc>
      </w:tr>
      <w:tr w:rsidR="0053763D" w:rsidRPr="00F10C37" w14:paraId="1EF95CB3" w14:textId="77777777" w:rsidTr="00C46407">
        <w:trPr>
          <w:jc w:val="center"/>
        </w:trPr>
        <w:tc>
          <w:tcPr>
            <w:tcW w:w="2605" w:type="dxa"/>
          </w:tcPr>
          <w:p w14:paraId="73FA9A39"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Side effects</w:t>
            </w:r>
          </w:p>
        </w:tc>
        <w:tc>
          <w:tcPr>
            <w:tcW w:w="6480" w:type="dxa"/>
          </w:tcPr>
          <w:p w14:paraId="6FFB83BA" w14:textId="77777777" w:rsidR="0053763D" w:rsidRPr="00F10C37" w:rsidRDefault="0053763D" w:rsidP="00C46407">
            <w:pPr>
              <w:adjustRightInd w:val="0"/>
              <w:jc w:val="both"/>
              <w:rPr>
                <w:rFonts w:cs="Times New Roman"/>
                <w:color w:val="000000" w:themeColor="text1"/>
                <w:szCs w:val="24"/>
              </w:rPr>
            </w:pPr>
            <w:r w:rsidRPr="00F10C37">
              <w:rPr>
                <w:rFonts w:cs="Times New Roman"/>
                <w:color w:val="000000" w:themeColor="text1"/>
                <w:szCs w:val="24"/>
              </w:rPr>
              <w:t>Arthralgia, cough, diarrhea, dizziness, fever, gastrointestinal discomfort, headache, leucopenia, nausea, skin reactions, vomiting, alopecia, depression, dyspnea, myalgia, photosensitivity reaction, thrombocytopenia, agranulocytosis, bone marrow disorders, cardiac inflammation, hepatitis, neutropenia, pancreatitis, peripheral neuropathy, renal impairment, respiratory disorders, angioedema, eosinophilia, hemolytic anemia, nephritis, yellow discoloration of body fluids.</w:t>
            </w:r>
          </w:p>
        </w:tc>
      </w:tr>
      <w:tr w:rsidR="0053763D" w:rsidRPr="00F10C37" w14:paraId="7592A0CB" w14:textId="77777777" w:rsidTr="00C46407">
        <w:trPr>
          <w:jc w:val="center"/>
        </w:trPr>
        <w:tc>
          <w:tcPr>
            <w:tcW w:w="2605" w:type="dxa"/>
          </w:tcPr>
          <w:p w14:paraId="5F6608AE"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 xml:space="preserve">Cautions </w:t>
            </w:r>
          </w:p>
        </w:tc>
        <w:tc>
          <w:tcPr>
            <w:tcW w:w="6480" w:type="dxa"/>
          </w:tcPr>
          <w:p w14:paraId="6867EA41"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 xml:space="preserve">Acute porphyrias, G6PD deficiency, history of asthma, maintain adequate fluid intake, hematological </w:t>
            </w:r>
            <w:r>
              <w:rPr>
                <w:rFonts w:cs="Times New Roman"/>
                <w:color w:val="000000" w:themeColor="text1"/>
                <w:szCs w:val="24"/>
              </w:rPr>
              <w:t>disorders</w:t>
            </w:r>
            <w:r w:rsidRPr="00F10C37">
              <w:rPr>
                <w:rFonts w:cs="Times New Roman"/>
                <w:color w:val="000000" w:themeColor="text1"/>
                <w:szCs w:val="24"/>
              </w:rPr>
              <w:t xml:space="preserve">, </w:t>
            </w:r>
            <w:r>
              <w:rPr>
                <w:rFonts w:cs="Times New Roman"/>
                <w:color w:val="000000" w:themeColor="text1"/>
                <w:szCs w:val="24"/>
              </w:rPr>
              <w:t>hepatic impairmnet</w:t>
            </w:r>
            <w:r w:rsidRPr="00F10C37">
              <w:rPr>
                <w:rFonts w:cs="Times New Roman"/>
                <w:color w:val="000000" w:themeColor="text1"/>
                <w:szCs w:val="24"/>
              </w:rPr>
              <w:t xml:space="preserve">, slow acetylation status. </w:t>
            </w:r>
          </w:p>
        </w:tc>
      </w:tr>
      <w:tr w:rsidR="0053763D" w:rsidRPr="00F10C37" w14:paraId="57BF8EBC" w14:textId="77777777" w:rsidTr="00C46407">
        <w:trPr>
          <w:jc w:val="center"/>
        </w:trPr>
        <w:tc>
          <w:tcPr>
            <w:tcW w:w="2605" w:type="dxa"/>
          </w:tcPr>
          <w:p w14:paraId="152F7C24" w14:textId="77777777" w:rsidR="0053763D" w:rsidRPr="00F10C37" w:rsidRDefault="0053763D" w:rsidP="00C46407">
            <w:pPr>
              <w:jc w:val="both"/>
              <w:rPr>
                <w:rFonts w:cs="Times New Roman"/>
                <w:color w:val="000000" w:themeColor="text1"/>
                <w:szCs w:val="24"/>
              </w:rPr>
            </w:pPr>
            <w:r w:rsidRPr="00F10C37">
              <w:rPr>
                <w:rFonts w:cs="Times New Roman"/>
                <w:color w:val="000000" w:themeColor="text1"/>
                <w:szCs w:val="24"/>
              </w:rPr>
              <w:t>Storage condition</w:t>
            </w:r>
          </w:p>
        </w:tc>
        <w:tc>
          <w:tcPr>
            <w:tcW w:w="6480" w:type="dxa"/>
          </w:tcPr>
          <w:p w14:paraId="59BA363C" w14:textId="77777777" w:rsidR="0053763D" w:rsidRPr="00F10C37" w:rsidRDefault="0053763D" w:rsidP="00C46407">
            <w:pPr>
              <w:autoSpaceDE w:val="0"/>
              <w:autoSpaceDN w:val="0"/>
              <w:adjustRightInd w:val="0"/>
              <w:jc w:val="both"/>
              <w:rPr>
                <w:rFonts w:cs="Times New Roman"/>
                <w:color w:val="000000" w:themeColor="text1"/>
                <w:szCs w:val="24"/>
              </w:rPr>
            </w:pPr>
            <w:r w:rsidRPr="00F10C37">
              <w:rPr>
                <w:rFonts w:cs="Times New Roman"/>
                <w:color w:val="000000" w:themeColor="text1"/>
                <w:szCs w:val="24"/>
              </w:rPr>
              <w:t>Store between 15 °C and 30 °C. Protect from light.</w:t>
            </w:r>
          </w:p>
        </w:tc>
      </w:tr>
    </w:tbl>
    <w:p w14:paraId="6AD3B48F" w14:textId="77777777" w:rsidR="0053763D" w:rsidRPr="00F10C37" w:rsidRDefault="0053763D" w:rsidP="0053763D">
      <w:pPr>
        <w:spacing w:after="0"/>
        <w:jc w:val="both"/>
        <w:rPr>
          <w:rFonts w:cs="Times New Roman"/>
          <w:color w:val="000000" w:themeColor="text1"/>
          <w:szCs w:val="24"/>
        </w:rPr>
      </w:pPr>
    </w:p>
    <w:p w14:paraId="56C2D23A" w14:textId="77777777" w:rsidR="0053763D" w:rsidRPr="00F10C37" w:rsidRDefault="0053763D" w:rsidP="0053763D">
      <w:pPr>
        <w:pStyle w:val="BodyText"/>
        <w:spacing w:line="360" w:lineRule="auto"/>
        <w:rPr>
          <w:b/>
        </w:rPr>
      </w:pPr>
    </w:p>
    <w:p w14:paraId="0B07D3B7" w14:textId="77777777" w:rsidR="0053763D" w:rsidRDefault="0053763D" w:rsidP="0053763D">
      <w:pPr>
        <w:pStyle w:val="BodyText"/>
        <w:spacing w:line="360" w:lineRule="auto"/>
        <w:rPr>
          <w:b/>
        </w:rPr>
      </w:pPr>
    </w:p>
    <w:p w14:paraId="4651C263" w14:textId="77777777" w:rsidR="0053763D" w:rsidRDefault="0053763D" w:rsidP="0053763D">
      <w:pPr>
        <w:pStyle w:val="BodyText"/>
        <w:spacing w:line="360" w:lineRule="auto"/>
        <w:rPr>
          <w:b/>
        </w:rPr>
      </w:pPr>
    </w:p>
    <w:p w14:paraId="499B1E90" w14:textId="77777777" w:rsidR="002D6DD7" w:rsidRDefault="002D6DD7">
      <w:pPr>
        <w:rPr>
          <w:rFonts w:eastAsiaTheme="majorEastAsia" w:cstheme="majorBidi"/>
          <w:b/>
          <w:bCs/>
          <w:kern w:val="0"/>
          <w:sz w:val="28"/>
          <w:szCs w:val="28"/>
          <w:lang w:val="en-US" w:eastAsia="en-US"/>
        </w:rPr>
      </w:pPr>
      <w:r>
        <w:br w:type="page"/>
      </w:r>
    </w:p>
    <w:p w14:paraId="5EF068E8" w14:textId="77777777" w:rsidR="0053763D" w:rsidRPr="00F10C37" w:rsidRDefault="0053763D" w:rsidP="00910906">
      <w:pPr>
        <w:pStyle w:val="Heading1"/>
        <w:numPr>
          <w:ilvl w:val="0"/>
          <w:numId w:val="25"/>
        </w:numPr>
        <w:spacing w:after="240"/>
      </w:pPr>
      <w:bookmarkStart w:id="28" w:name="_Toc179490312"/>
      <w:r w:rsidRPr="00F10C37">
        <w:lastRenderedPageBreak/>
        <w:t>Cardiovascular Medicines</w:t>
      </w:r>
      <w:bookmarkEnd w:id="28"/>
    </w:p>
    <w:p w14:paraId="47F56A04" w14:textId="77777777" w:rsidR="0053763D" w:rsidRPr="00F90A6F" w:rsidRDefault="0053763D" w:rsidP="00910906">
      <w:pPr>
        <w:pStyle w:val="Heading2"/>
        <w:spacing w:before="240" w:after="240"/>
      </w:pPr>
      <w:bookmarkStart w:id="29" w:name="_Toc179490313"/>
      <w:r w:rsidRPr="00F90A6F">
        <w:t>Medicines for heart failure</w:t>
      </w:r>
      <w:bookmarkEnd w:id="29"/>
    </w:p>
    <w:p w14:paraId="2CF0FE36" w14:textId="77777777" w:rsidR="0053763D" w:rsidRPr="00F4039E" w:rsidRDefault="0053763D" w:rsidP="0053763D">
      <w:pPr>
        <w:autoSpaceDE w:val="0"/>
        <w:autoSpaceDN w:val="0"/>
        <w:adjustRightInd w:val="0"/>
        <w:spacing w:after="0"/>
        <w:jc w:val="both"/>
        <w:rPr>
          <w:rFonts w:eastAsiaTheme="minorHAnsi" w:cs="Times New Roman"/>
          <w:kern w:val="0"/>
          <w:szCs w:val="24"/>
          <w:lang w:val="en-US" w:eastAsia="en-US"/>
        </w:rPr>
      </w:pPr>
      <w:r w:rsidRPr="00F4039E">
        <w:rPr>
          <w:rFonts w:eastAsiaTheme="minorHAnsi" w:cs="Times New Roman"/>
          <w:szCs w:val="24"/>
        </w:rPr>
        <w:t xml:space="preserve">Drugs used to treat heart failure due to left ventricular systolic dysfunction include ACE inhibitors, angiotensin receptor blockers (ARBs), beta-blockers, diuretics including aldosterone antagonists, cardiac glycosides, and vasodilators. </w:t>
      </w:r>
      <w:r w:rsidRPr="00F4039E">
        <w:rPr>
          <w:rFonts w:eastAsiaTheme="minorHAnsi" w:cs="Times New Roman"/>
          <w:kern w:val="0"/>
          <w:szCs w:val="24"/>
          <w:lang w:val="en-US" w:eastAsia="en-US"/>
        </w:rPr>
        <w:t xml:space="preserve">The primary treatment of heart failure is with ACE inhibitors) such as </w:t>
      </w:r>
      <w:r w:rsidRPr="00F4039E">
        <w:rPr>
          <w:rFonts w:eastAsiaTheme="minorHAnsi" w:cs="Times New Roman"/>
          <w:bCs/>
          <w:kern w:val="0"/>
          <w:szCs w:val="24"/>
          <w:lang w:val="en-US" w:eastAsia="en-US"/>
        </w:rPr>
        <w:t>enalapril</w:t>
      </w:r>
      <w:r w:rsidRPr="00F4039E">
        <w:rPr>
          <w:rFonts w:eastAsiaTheme="minorHAnsi" w:cs="Times New Roman"/>
          <w:b/>
          <w:bCs/>
          <w:kern w:val="0"/>
          <w:szCs w:val="24"/>
          <w:lang w:val="en-US" w:eastAsia="en-US"/>
        </w:rPr>
        <w:t xml:space="preserve"> </w:t>
      </w:r>
      <w:r w:rsidRPr="00F4039E">
        <w:rPr>
          <w:rFonts w:eastAsiaTheme="minorHAnsi" w:cs="Times New Roman"/>
          <w:kern w:val="0"/>
          <w:szCs w:val="24"/>
          <w:lang w:val="en-US" w:eastAsia="en-US"/>
        </w:rPr>
        <w:t xml:space="preserve">which can be used in all stages of chronic heart failure to prevent further deterioration and progression of heart disease. The aldosterone antagonist spironolactone may be considered for patients with severe heart failure who are already receiving an ACE inhibitor and a diuretic to reduce symptoms and mortality rate. The beta-blockers, bisoprolol and carvedilol, can be used in stable heart failure and left ventricular systolic dysfunction. </w:t>
      </w:r>
      <w:r w:rsidRPr="00F4039E">
        <w:rPr>
          <w:rFonts w:cs="Times New Roman"/>
          <w:szCs w:val="24"/>
        </w:rPr>
        <w:t>Patients who are already taking a beta-blocker for co-morbidities (e.g. angina or hypertension) and whose condition is stable should be switched to a beta-blocker licensed for heart failure.</w:t>
      </w:r>
      <w:r>
        <w:rPr>
          <w:rFonts w:cs="Times New Roman"/>
          <w:szCs w:val="24"/>
        </w:rPr>
        <w:t xml:space="preserve"> </w:t>
      </w:r>
      <w:r w:rsidRPr="00F4039E">
        <w:rPr>
          <w:rFonts w:cs="Times New Roman"/>
          <w:szCs w:val="24"/>
        </w:rPr>
        <w:t>In addition, d</w:t>
      </w:r>
      <w:r w:rsidRPr="00F4039E">
        <w:rPr>
          <w:rFonts w:eastAsiaTheme="minorHAnsi" w:cs="Times New Roman"/>
          <w:bCs/>
          <w:kern w:val="0"/>
          <w:szCs w:val="24"/>
          <w:lang w:val="en-US" w:eastAsia="en-US"/>
        </w:rPr>
        <w:t>igoxin</w:t>
      </w:r>
      <w:r w:rsidRPr="00F4039E">
        <w:rPr>
          <w:rFonts w:eastAsiaTheme="minorHAnsi" w:cs="Times New Roman"/>
          <w:kern w:val="0"/>
          <w:szCs w:val="24"/>
          <w:lang w:val="en-US" w:eastAsia="en-US"/>
        </w:rPr>
        <w:t xml:space="preserve">, a cardiac glycoside, increases the strength of cardiac muscle contractions and increases cardiac output. It produces symptomatic improvement, increases exercise tolerance, and reduces the need for hospitalization, but it does not reduce mortality. It is considered for patients with atrial fibrillation and for selected patients who remain symptomatic despite treatment with an ACE inhibitor, a </w:t>
      </w:r>
      <w:r w:rsidRPr="00F4039E">
        <w:rPr>
          <w:rFonts w:eastAsiaTheme="minorHAnsi" w:cs="Times New Roman"/>
          <w:szCs w:val="24"/>
        </w:rPr>
        <w:t>diuretic, and a suitable beta-blocker.</w:t>
      </w:r>
    </w:p>
    <w:p w14:paraId="34552087" w14:textId="77777777" w:rsidR="0053763D" w:rsidRPr="00F10C37" w:rsidRDefault="0053763D" w:rsidP="0053763D">
      <w:pPr>
        <w:spacing w:after="0"/>
        <w:jc w:val="both"/>
        <w:rPr>
          <w:rFonts w:cs="Times New Roman"/>
          <w:szCs w:val="24"/>
        </w:rPr>
      </w:pPr>
    </w:p>
    <w:tbl>
      <w:tblPr>
        <w:tblStyle w:val="TableGrid10"/>
        <w:tblW w:w="9265" w:type="dxa"/>
        <w:tblLook w:val="04A0" w:firstRow="1" w:lastRow="0" w:firstColumn="1" w:lastColumn="0" w:noHBand="0" w:noVBand="1"/>
      </w:tblPr>
      <w:tblGrid>
        <w:gridCol w:w="2425"/>
        <w:gridCol w:w="167"/>
        <w:gridCol w:w="13"/>
        <w:gridCol w:w="88"/>
        <w:gridCol w:w="221"/>
        <w:gridCol w:w="6351"/>
      </w:tblGrid>
      <w:tr w:rsidR="0053763D" w:rsidRPr="00F10C37" w14:paraId="2FCEE632" w14:textId="77777777" w:rsidTr="00C46407">
        <w:trPr>
          <w:trHeight w:val="512"/>
        </w:trPr>
        <w:tc>
          <w:tcPr>
            <w:tcW w:w="9265" w:type="dxa"/>
            <w:gridSpan w:val="6"/>
          </w:tcPr>
          <w:p w14:paraId="40CDBCC0" w14:textId="77777777" w:rsidR="0053763D" w:rsidRPr="00F10C37" w:rsidRDefault="0053763D" w:rsidP="00C46407">
            <w:pPr>
              <w:jc w:val="both"/>
              <w:rPr>
                <w:rFonts w:cs="Times New Roman"/>
                <w:szCs w:val="24"/>
              </w:rPr>
            </w:pPr>
            <w:r w:rsidRPr="00F10C37">
              <w:rPr>
                <w:rFonts w:cs="Times New Roman"/>
                <w:b/>
                <w:szCs w:val="24"/>
              </w:rPr>
              <w:t xml:space="preserve">Bisoprolol </w:t>
            </w:r>
          </w:p>
        </w:tc>
      </w:tr>
      <w:tr w:rsidR="0053763D" w:rsidRPr="00F10C37" w14:paraId="41443EF3" w14:textId="77777777" w:rsidTr="00C46407">
        <w:trPr>
          <w:trHeight w:val="512"/>
        </w:trPr>
        <w:tc>
          <w:tcPr>
            <w:tcW w:w="2425" w:type="dxa"/>
          </w:tcPr>
          <w:p w14:paraId="2F61DAD7"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5"/>
          </w:tcPr>
          <w:p w14:paraId="5815394E"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Beta blocker </w:t>
            </w:r>
          </w:p>
        </w:tc>
      </w:tr>
      <w:tr w:rsidR="0053763D" w:rsidRPr="00F10C37" w14:paraId="120FAF06" w14:textId="77777777" w:rsidTr="00C46407">
        <w:trPr>
          <w:trHeight w:val="341"/>
        </w:trPr>
        <w:tc>
          <w:tcPr>
            <w:tcW w:w="2425" w:type="dxa"/>
          </w:tcPr>
          <w:p w14:paraId="722FD368"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5"/>
          </w:tcPr>
          <w:p w14:paraId="2FCE2289"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w:t>
            </w:r>
            <w:r>
              <w:rPr>
                <w:rFonts w:cs="Times New Roman"/>
                <w:szCs w:val="24"/>
                <w:lang w:val="nb-NO"/>
              </w:rPr>
              <w:t xml:space="preserve">1.25mg, </w:t>
            </w:r>
            <w:r w:rsidRPr="00F10C37">
              <w:rPr>
                <w:rFonts w:cs="Times New Roman"/>
                <w:szCs w:val="24"/>
                <w:lang w:val="nb-NO"/>
              </w:rPr>
              <w:t xml:space="preserve">2.5mg, 5mg and 10mg </w:t>
            </w:r>
          </w:p>
        </w:tc>
      </w:tr>
      <w:tr w:rsidR="0053763D" w:rsidRPr="00F10C37" w14:paraId="428D23A8" w14:textId="77777777" w:rsidTr="00C46407">
        <w:trPr>
          <w:trHeight w:val="521"/>
        </w:trPr>
        <w:tc>
          <w:tcPr>
            <w:tcW w:w="2425" w:type="dxa"/>
          </w:tcPr>
          <w:p w14:paraId="7EBA3711" w14:textId="77777777" w:rsidR="0053763D" w:rsidRPr="001D5212" w:rsidRDefault="0053763D" w:rsidP="00C46407">
            <w:pPr>
              <w:jc w:val="both"/>
              <w:rPr>
                <w:rFonts w:cs="Times New Roman"/>
                <w:szCs w:val="24"/>
              </w:rPr>
            </w:pPr>
            <w:r w:rsidRPr="001D5212">
              <w:rPr>
                <w:rFonts w:cs="Times New Roman"/>
                <w:szCs w:val="24"/>
              </w:rPr>
              <w:t>Indications</w:t>
            </w:r>
          </w:p>
        </w:tc>
        <w:tc>
          <w:tcPr>
            <w:tcW w:w="6840" w:type="dxa"/>
            <w:gridSpan w:val="5"/>
          </w:tcPr>
          <w:p w14:paraId="48DF88BA" w14:textId="77777777" w:rsidR="0053763D" w:rsidRPr="00F10C37" w:rsidRDefault="0053763D" w:rsidP="00C46407">
            <w:pPr>
              <w:jc w:val="both"/>
              <w:rPr>
                <w:rFonts w:cs="Times New Roman"/>
                <w:szCs w:val="24"/>
              </w:rPr>
            </w:pPr>
            <w:r>
              <w:rPr>
                <w:rFonts w:cs="Times New Roman"/>
                <w:szCs w:val="24"/>
              </w:rPr>
              <w:t>Stable chronic h</w:t>
            </w:r>
            <w:r w:rsidRPr="00F10C37">
              <w:rPr>
                <w:rFonts w:cs="Times New Roman"/>
                <w:szCs w:val="24"/>
              </w:rPr>
              <w:t>eart failure</w:t>
            </w:r>
            <w:r>
              <w:rPr>
                <w:rFonts w:cs="Times New Roman"/>
                <w:szCs w:val="24"/>
              </w:rPr>
              <w:t>,</w:t>
            </w:r>
            <w:r w:rsidRPr="00F10C37">
              <w:rPr>
                <w:rFonts w:cs="Times New Roman"/>
                <w:szCs w:val="24"/>
              </w:rPr>
              <w:t xml:space="preserve"> </w:t>
            </w:r>
            <w:r>
              <w:rPr>
                <w:rFonts w:cs="Times New Roman"/>
                <w:szCs w:val="24"/>
              </w:rPr>
              <w:t>h</w:t>
            </w:r>
            <w:r w:rsidRPr="00F10C37">
              <w:rPr>
                <w:rFonts w:cs="Times New Roman"/>
                <w:szCs w:val="24"/>
              </w:rPr>
              <w:t>y</w:t>
            </w:r>
            <w:r>
              <w:rPr>
                <w:rFonts w:cs="Times New Roman"/>
                <w:szCs w:val="24"/>
              </w:rPr>
              <w:t>p</w:t>
            </w:r>
            <w:r w:rsidRPr="00F10C37">
              <w:rPr>
                <w:rFonts w:cs="Times New Roman"/>
                <w:szCs w:val="24"/>
              </w:rPr>
              <w:t>ertension, angina</w:t>
            </w:r>
          </w:p>
        </w:tc>
      </w:tr>
      <w:tr w:rsidR="0053763D" w:rsidRPr="00F10C37" w14:paraId="78E6D667" w14:textId="77777777" w:rsidTr="00C46407">
        <w:trPr>
          <w:trHeight w:val="521"/>
        </w:trPr>
        <w:tc>
          <w:tcPr>
            <w:tcW w:w="2425" w:type="dxa"/>
          </w:tcPr>
          <w:p w14:paraId="3B9DC6F0"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5"/>
          </w:tcPr>
          <w:p w14:paraId="2EE5B609" w14:textId="77777777" w:rsidR="0053763D" w:rsidRPr="00F90A6F" w:rsidRDefault="0053763D" w:rsidP="00C46407">
            <w:pPr>
              <w:jc w:val="both"/>
              <w:rPr>
                <w:rFonts w:cs="Times New Roman"/>
                <w:b/>
                <w:szCs w:val="24"/>
              </w:rPr>
            </w:pPr>
            <w:r w:rsidRPr="00F90A6F">
              <w:rPr>
                <w:rFonts w:cs="Times New Roman"/>
                <w:b/>
                <w:szCs w:val="24"/>
              </w:rPr>
              <w:t xml:space="preserve">Adjunct in stable chronic heart failure: </w:t>
            </w:r>
          </w:p>
          <w:p w14:paraId="3D8550BC" w14:textId="77777777" w:rsidR="0053763D" w:rsidRPr="00F90A6F" w:rsidRDefault="0053763D" w:rsidP="00C46407">
            <w:pPr>
              <w:jc w:val="both"/>
              <w:rPr>
                <w:rFonts w:cs="Times New Roman"/>
                <w:szCs w:val="24"/>
              </w:rPr>
            </w:pPr>
            <w:r w:rsidRPr="00F90A6F">
              <w:rPr>
                <w:rFonts w:cs="Times New Roman"/>
                <w:b/>
                <w:szCs w:val="24"/>
              </w:rPr>
              <w:t>Adult:</w:t>
            </w:r>
            <w:r w:rsidRPr="00F90A6F">
              <w:rPr>
                <w:rFonts w:cs="Times New Roman"/>
                <w:szCs w:val="24"/>
              </w:rPr>
              <w:t xml:space="preserve"> Initially, 1.25 mg once daily for 1 week, dose to be taken in the morning, then increased if tolerated to 2.5 mg once daily for 1 week, then increased if tolerated to 3.75 mg once daily for 1 week, then increased if tolerated to 5 mg once daily for 4 weeks, then increased if tolerated to 7.5 mg once daily for 4 weeks, then increased, if tolerated to 10 mg once daily. The maximum </w:t>
            </w:r>
            <w:r w:rsidRPr="00F90A6F">
              <w:rPr>
                <w:rFonts w:cs="Times New Roman"/>
                <w:szCs w:val="24"/>
              </w:rPr>
              <w:lastRenderedPageBreak/>
              <w:t>recommended dose is 10mg once daily.</w:t>
            </w:r>
          </w:p>
          <w:p w14:paraId="3E77117E" w14:textId="77777777" w:rsidR="0053763D" w:rsidRPr="00E4278A" w:rsidRDefault="0053763D" w:rsidP="00C46407">
            <w:pPr>
              <w:jc w:val="both"/>
              <w:rPr>
                <w:rFonts w:cs="Times New Roman"/>
                <w:i/>
                <w:szCs w:val="24"/>
              </w:rPr>
            </w:pPr>
            <w:r w:rsidRPr="00E4278A">
              <w:rPr>
                <w:rFonts w:cs="Times New Roman"/>
                <w:i/>
                <w:szCs w:val="24"/>
              </w:rPr>
              <w:t>Note: refer dosing for other indications at their respective section.</w:t>
            </w:r>
          </w:p>
        </w:tc>
      </w:tr>
      <w:tr w:rsidR="0053763D" w:rsidRPr="00F10C37" w14:paraId="0C642D45" w14:textId="77777777" w:rsidTr="00C46407">
        <w:tc>
          <w:tcPr>
            <w:tcW w:w="2425" w:type="dxa"/>
          </w:tcPr>
          <w:p w14:paraId="4ABC2022"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5"/>
          </w:tcPr>
          <w:p w14:paraId="2E2995C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ypersensitivity to the </w:t>
            </w:r>
            <w:r>
              <w:rPr>
                <w:rFonts w:eastAsiaTheme="minorHAnsi" w:cs="Times New Roman"/>
                <w:kern w:val="0"/>
                <w:szCs w:val="24"/>
                <w:lang w:val="en-US" w:eastAsia="en-US"/>
              </w:rPr>
              <w:t>drug,</w:t>
            </w:r>
            <w:r w:rsidRPr="00F10C37">
              <w:rPr>
                <w:rFonts w:eastAsiaTheme="minorHAnsi" w:cs="Times New Roman"/>
                <w:color w:val="231F20"/>
                <w:kern w:val="0"/>
                <w:szCs w:val="24"/>
                <w:lang w:val="en-US" w:eastAsia="en-US"/>
              </w:rPr>
              <w:t xml:space="preserve"> </w:t>
            </w:r>
            <w:r>
              <w:rPr>
                <w:rFonts w:eastAsiaTheme="minorHAnsi" w:cs="Times New Roman"/>
                <w:color w:val="231F20"/>
                <w:kern w:val="0"/>
                <w:szCs w:val="24"/>
                <w:lang w:val="en-US" w:eastAsia="en-US"/>
              </w:rPr>
              <w:t>a</w:t>
            </w:r>
            <w:r w:rsidRPr="00F10C37">
              <w:rPr>
                <w:rFonts w:eastAsiaTheme="minorHAnsi" w:cs="Times New Roman"/>
                <w:color w:val="231F20"/>
                <w:kern w:val="0"/>
                <w:szCs w:val="24"/>
                <w:lang w:val="en-US" w:eastAsia="en-US"/>
              </w:rPr>
              <w:t>cute or decompensated heart failure requiring intravenous inotropes</w:t>
            </w:r>
            <w:r w:rsidRPr="00F10C37">
              <w:rPr>
                <w:rFonts w:eastAsiaTheme="minorHAnsi" w:cs="Times New Roman"/>
                <w:kern w:val="0"/>
                <w:szCs w:val="24"/>
                <w:lang w:val="en-US" w:eastAsia="en-US"/>
              </w:rPr>
              <w:t>, cardiogenic shock, second- or third-degree AV block (without a pacemaker), sick sinus syndrome, sinoatrial block, symptomatic bradycardia, symptomatic hypotension, severe bronchial asthma or severe chronic obstructive pulmonary disease, late stages of peripheral arterial occlusive disease</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Raynaud’s syndrome, untreated phaeochromocytoma</w:t>
            </w:r>
            <w:r>
              <w:rPr>
                <w:rFonts w:eastAsiaTheme="minorHAnsi" w:cs="Times New Roman"/>
                <w:kern w:val="0"/>
                <w:szCs w:val="24"/>
                <w:lang w:val="en-US" w:eastAsia="en-US"/>
              </w:rPr>
              <w:t xml:space="preserve"> and </w:t>
            </w:r>
            <w:r w:rsidRPr="00F10C37">
              <w:rPr>
                <w:rFonts w:eastAsiaTheme="minorHAnsi" w:cs="Times New Roman"/>
                <w:kern w:val="0"/>
                <w:szCs w:val="24"/>
                <w:lang w:val="en-US" w:eastAsia="en-US"/>
              </w:rPr>
              <w:t>metabolic acidosis.</w:t>
            </w:r>
          </w:p>
        </w:tc>
      </w:tr>
      <w:tr w:rsidR="0053763D" w:rsidRPr="00F10C37" w14:paraId="3EDEC16A" w14:textId="77777777" w:rsidTr="00C46407">
        <w:tc>
          <w:tcPr>
            <w:tcW w:w="2425" w:type="dxa"/>
          </w:tcPr>
          <w:p w14:paraId="7A295D1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5"/>
          </w:tcPr>
          <w:p w14:paraId="1FE5684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Calcium </w:t>
            </w:r>
            <w:r>
              <w:rPr>
                <w:rFonts w:eastAsiaTheme="minorHAnsi" w:cs="Times New Roman"/>
                <w:kern w:val="0"/>
                <w:szCs w:val="24"/>
                <w:lang w:val="en-US" w:eastAsia="en-US"/>
              </w:rPr>
              <w:t xml:space="preserve">channel </w:t>
            </w:r>
            <w:r w:rsidRPr="00F10C37">
              <w:rPr>
                <w:rFonts w:eastAsiaTheme="minorHAnsi" w:cs="Times New Roman"/>
                <w:kern w:val="0"/>
                <w:szCs w:val="24"/>
                <w:lang w:val="en-US" w:eastAsia="en-US"/>
              </w:rPr>
              <w:t>blockers, centrally acting antihypertensive drugs (clonidine and methyldopa), class-III antiarrhythmic drugs (e.g., amiodarone), parasympathomimetic drugs, insulin and oral antidiabetic drugs, anaesthetic agents, digitalis glycosides, NSAIDs, sympathomimetics.</w:t>
            </w:r>
          </w:p>
        </w:tc>
      </w:tr>
      <w:tr w:rsidR="0053763D" w:rsidRPr="00F10C37" w14:paraId="7BE6B6BC" w14:textId="77777777" w:rsidTr="00C46407">
        <w:tc>
          <w:tcPr>
            <w:tcW w:w="2425" w:type="dxa"/>
          </w:tcPr>
          <w:p w14:paraId="02AED3E2"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5"/>
          </w:tcPr>
          <w:p w14:paraId="08032673"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Constipation, muscle cramps, muscle weakness, postural hypotension, allergic rhinitis, alopecia, auditory disorder, conjunctivitis, flushing, hepatitis, hypersensitivity, pruritus</w:t>
            </w:r>
          </w:p>
        </w:tc>
      </w:tr>
      <w:tr w:rsidR="0053763D" w:rsidRPr="00F10C37" w14:paraId="1FDA4F38" w14:textId="77777777" w:rsidTr="00C46407">
        <w:tc>
          <w:tcPr>
            <w:tcW w:w="2425" w:type="dxa"/>
          </w:tcPr>
          <w:p w14:paraId="5CFD3A87"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5"/>
          </w:tcPr>
          <w:p w14:paraId="79BB41D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Abrupt withdrawal, h</w:t>
            </w:r>
            <w:r w:rsidRPr="00F10C37">
              <w:rPr>
                <w:rFonts w:eastAsiaTheme="minorHAnsi" w:cs="Times New Roman"/>
                <w:bCs/>
                <w:kern w:val="0"/>
                <w:szCs w:val="24"/>
                <w:lang w:val="en-US" w:eastAsia="en-US"/>
              </w:rPr>
              <w:t>epatic or</w:t>
            </w:r>
            <w:r w:rsidRPr="00F10C37">
              <w:rPr>
                <w:rFonts w:eastAsiaTheme="minorHAnsi" w:cs="Times New Roman"/>
                <w:kern w:val="0"/>
                <w:szCs w:val="24"/>
                <w:lang w:val="en-US" w:eastAsia="en-US"/>
              </w:rPr>
              <w:t xml:space="preserve"> renal impairment, pregnancy and breastfeeding.</w:t>
            </w:r>
          </w:p>
        </w:tc>
      </w:tr>
      <w:tr w:rsidR="0053763D" w:rsidRPr="00F10C37" w14:paraId="7ABFABD2" w14:textId="77777777" w:rsidTr="00C46407">
        <w:tc>
          <w:tcPr>
            <w:tcW w:w="2425" w:type="dxa"/>
          </w:tcPr>
          <w:p w14:paraId="151DD71C"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5"/>
          </w:tcPr>
          <w:p w14:paraId="34D216C1"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below</w:t>
            </w:r>
            <w:r w:rsidRPr="00F10C37">
              <w:rPr>
                <w:rFonts w:cs="Times New Roman"/>
                <w:szCs w:val="24"/>
              </w:rPr>
              <w:t xml:space="preserve"> 30ºC.</w:t>
            </w:r>
          </w:p>
        </w:tc>
      </w:tr>
      <w:tr w:rsidR="0053763D" w:rsidRPr="00F10C37" w14:paraId="0C8B5AA9" w14:textId="77777777" w:rsidTr="00910906">
        <w:trPr>
          <w:trHeight w:val="332"/>
        </w:trPr>
        <w:tc>
          <w:tcPr>
            <w:tcW w:w="9265" w:type="dxa"/>
            <w:gridSpan w:val="6"/>
          </w:tcPr>
          <w:p w14:paraId="262FA2F5" w14:textId="77777777" w:rsidR="0053763D" w:rsidRPr="00F10C37" w:rsidRDefault="0053763D" w:rsidP="00C46407">
            <w:pPr>
              <w:jc w:val="both"/>
              <w:rPr>
                <w:rFonts w:cs="Times New Roman"/>
                <w:szCs w:val="24"/>
              </w:rPr>
            </w:pPr>
            <w:r w:rsidRPr="00F10C37">
              <w:rPr>
                <w:rFonts w:cs="Times New Roman"/>
                <w:b/>
                <w:szCs w:val="24"/>
              </w:rPr>
              <w:t xml:space="preserve">Candesartan </w:t>
            </w:r>
          </w:p>
        </w:tc>
      </w:tr>
      <w:tr w:rsidR="0053763D" w:rsidRPr="00F10C37" w14:paraId="68036605" w14:textId="77777777" w:rsidTr="00C46407">
        <w:trPr>
          <w:trHeight w:val="512"/>
        </w:trPr>
        <w:tc>
          <w:tcPr>
            <w:tcW w:w="2425" w:type="dxa"/>
          </w:tcPr>
          <w:p w14:paraId="5921CE1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5"/>
          </w:tcPr>
          <w:p w14:paraId="00EB9017"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Angiotensin-II receptor antagonist </w:t>
            </w:r>
          </w:p>
        </w:tc>
      </w:tr>
      <w:tr w:rsidR="0053763D" w:rsidRPr="00F10C37" w14:paraId="76ADA230" w14:textId="77777777" w:rsidTr="00C46407">
        <w:trPr>
          <w:trHeight w:val="341"/>
        </w:trPr>
        <w:tc>
          <w:tcPr>
            <w:tcW w:w="2425" w:type="dxa"/>
          </w:tcPr>
          <w:p w14:paraId="656DB956"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5"/>
          </w:tcPr>
          <w:p w14:paraId="3D6C16A6" w14:textId="77777777" w:rsidR="0053763D" w:rsidRPr="00F10C37" w:rsidRDefault="0053763D" w:rsidP="00C46407">
            <w:pPr>
              <w:jc w:val="both"/>
              <w:rPr>
                <w:rFonts w:cs="Times New Roman"/>
                <w:szCs w:val="24"/>
              </w:rPr>
            </w:pPr>
            <w:r w:rsidRPr="00F10C37">
              <w:rPr>
                <w:rFonts w:cs="Times New Roman"/>
                <w:szCs w:val="24"/>
              </w:rPr>
              <w:t>Tablet: 4 mg, 8 mg and 16 mg</w:t>
            </w:r>
          </w:p>
        </w:tc>
      </w:tr>
      <w:tr w:rsidR="0053763D" w:rsidRPr="00F10C37" w14:paraId="1B98D0DC" w14:textId="77777777" w:rsidTr="00C46407">
        <w:trPr>
          <w:trHeight w:val="521"/>
        </w:trPr>
        <w:tc>
          <w:tcPr>
            <w:tcW w:w="2425" w:type="dxa"/>
          </w:tcPr>
          <w:p w14:paraId="7E33FB01" w14:textId="77777777" w:rsidR="0053763D" w:rsidRPr="0095450D" w:rsidRDefault="0053763D" w:rsidP="00C46407">
            <w:pPr>
              <w:jc w:val="both"/>
              <w:rPr>
                <w:rFonts w:cs="Times New Roman"/>
                <w:szCs w:val="24"/>
              </w:rPr>
            </w:pPr>
            <w:r w:rsidRPr="0095450D">
              <w:rPr>
                <w:rFonts w:cs="Times New Roman"/>
                <w:szCs w:val="24"/>
              </w:rPr>
              <w:t>Indications</w:t>
            </w:r>
          </w:p>
        </w:tc>
        <w:tc>
          <w:tcPr>
            <w:tcW w:w="6840" w:type="dxa"/>
            <w:gridSpan w:val="5"/>
          </w:tcPr>
          <w:p w14:paraId="2B314109"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eart failure with left ventricular dysfunction when ACE inhibitors are not tolerated</w:t>
            </w:r>
            <w:r>
              <w:rPr>
                <w:rFonts w:cs="Times New Roman"/>
                <w:szCs w:val="24"/>
              </w:rPr>
              <w:t>, h</w:t>
            </w:r>
            <w:r w:rsidRPr="00F10C37">
              <w:rPr>
                <w:rFonts w:cs="Times New Roman"/>
                <w:szCs w:val="24"/>
              </w:rPr>
              <w:t>ypertensio</w:t>
            </w:r>
            <w:r>
              <w:rPr>
                <w:rFonts w:cs="Times New Roman"/>
                <w:szCs w:val="24"/>
              </w:rPr>
              <w:t>n.</w:t>
            </w:r>
          </w:p>
        </w:tc>
      </w:tr>
      <w:tr w:rsidR="0053763D" w:rsidRPr="00F10C37" w14:paraId="44E74557" w14:textId="77777777" w:rsidTr="00C46407">
        <w:trPr>
          <w:trHeight w:val="521"/>
        </w:trPr>
        <w:tc>
          <w:tcPr>
            <w:tcW w:w="2425" w:type="dxa"/>
          </w:tcPr>
          <w:p w14:paraId="5091528D"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5"/>
          </w:tcPr>
          <w:p w14:paraId="7218C1C3"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Heart failure with impaired left ventricular systolic function when ACE inhibitors are not tolerated:</w:t>
            </w:r>
          </w:p>
          <w:p w14:paraId="3ACE4E2D"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4 mg oral once daily, increased to up to 32 mg once daily, dose to be increased at intervals of at least 2 weeks to ‘target’ </w:t>
            </w:r>
            <w:r w:rsidRPr="00F10C37">
              <w:rPr>
                <w:rFonts w:eastAsiaTheme="minorHAnsi" w:cs="Times New Roman"/>
                <w:color w:val="231F20"/>
                <w:kern w:val="0"/>
                <w:szCs w:val="24"/>
                <w:lang w:val="en-US" w:eastAsia="en-US"/>
              </w:rPr>
              <w:lastRenderedPageBreak/>
              <w:t>dose of 32mg once daily or to maximum tolerated dose</w:t>
            </w:r>
          </w:p>
          <w:p w14:paraId="1799E366"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Heart failure with impaired left ventricular systolic function in conjunction with an ACE inhibitor (under expert supervision):</w:t>
            </w:r>
          </w:p>
          <w:p w14:paraId="05B58BB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4 mg oral once daily, increased to up to 32 mg once daily, dose to be increased at intervals of at least 2 weeks to ‘target’ dose of 32mg once daily or to maximum tolerated dose</w:t>
            </w:r>
          </w:p>
          <w:p w14:paraId="20BE704F" w14:textId="77777777" w:rsidR="0053763D" w:rsidRPr="00F10C37" w:rsidRDefault="0053763D" w:rsidP="00C46407">
            <w:pPr>
              <w:jc w:val="both"/>
              <w:rPr>
                <w:rFonts w:cs="Times New Roman"/>
                <w:szCs w:val="24"/>
              </w:rPr>
            </w:pPr>
            <w:r w:rsidRPr="00E4278A">
              <w:rPr>
                <w:rFonts w:cs="Times New Roman"/>
                <w:i/>
                <w:szCs w:val="24"/>
              </w:rPr>
              <w:t>Note: refer</w:t>
            </w:r>
            <w:r w:rsidRPr="003D3E3A">
              <w:rPr>
                <w:rFonts w:cs="Times New Roman"/>
                <w:i/>
                <w:szCs w:val="24"/>
              </w:rPr>
              <w:t xml:space="preserve"> dosing for other indications at their respective section</w:t>
            </w:r>
            <w:r w:rsidRPr="00F10C37">
              <w:rPr>
                <w:rFonts w:cs="Times New Roman"/>
                <w:i/>
                <w:szCs w:val="24"/>
              </w:rPr>
              <w:t>.</w:t>
            </w:r>
          </w:p>
        </w:tc>
      </w:tr>
      <w:tr w:rsidR="0053763D" w:rsidRPr="00F10C37" w14:paraId="4EA634D7" w14:textId="77777777" w:rsidTr="00C46407">
        <w:tc>
          <w:tcPr>
            <w:tcW w:w="2425" w:type="dxa"/>
          </w:tcPr>
          <w:p w14:paraId="775BEEBF"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5"/>
          </w:tcPr>
          <w:p w14:paraId="1CE314EB" w14:textId="77777777" w:rsidR="0053763D" w:rsidRPr="00F10C37" w:rsidRDefault="0053763D" w:rsidP="00C46407">
            <w:pPr>
              <w:jc w:val="both"/>
              <w:rPr>
                <w:rFonts w:cs="Times New Roman"/>
                <w:szCs w:val="24"/>
              </w:rPr>
            </w:pPr>
            <w:r w:rsidRPr="00F10C37">
              <w:rPr>
                <w:rFonts w:cs="Times New Roman"/>
                <w:szCs w:val="24"/>
              </w:rPr>
              <w:t xml:space="preserve">Hypersensitivity to the </w:t>
            </w:r>
            <w:r>
              <w:rPr>
                <w:rFonts w:cs="Times New Roman"/>
                <w:szCs w:val="24"/>
              </w:rPr>
              <w:t>drug</w:t>
            </w:r>
            <w:r w:rsidRPr="00F10C37">
              <w:rPr>
                <w:rFonts w:cs="Times New Roman"/>
                <w:szCs w:val="24"/>
              </w:rPr>
              <w:t xml:space="preserve">, </w:t>
            </w:r>
            <w:r>
              <w:rPr>
                <w:rFonts w:cs="Times New Roman"/>
                <w:szCs w:val="24"/>
              </w:rPr>
              <w:t>p</w:t>
            </w:r>
            <w:r w:rsidRPr="00F10C37">
              <w:rPr>
                <w:rFonts w:cs="Times New Roman"/>
                <w:szCs w:val="24"/>
              </w:rPr>
              <w:t>regnancy, biliary obstructive disorders, cholestasis, severe hepatic impairment.</w:t>
            </w:r>
          </w:p>
        </w:tc>
      </w:tr>
      <w:tr w:rsidR="0053763D" w:rsidRPr="00F10C37" w14:paraId="04B9BE10" w14:textId="77777777" w:rsidTr="00C46407">
        <w:tc>
          <w:tcPr>
            <w:tcW w:w="2425" w:type="dxa"/>
          </w:tcPr>
          <w:p w14:paraId="5946022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5"/>
          </w:tcPr>
          <w:p w14:paraId="6DCDA181" w14:textId="77777777" w:rsidR="0053763D" w:rsidRPr="00F10C37" w:rsidRDefault="0053763D" w:rsidP="00C46407">
            <w:pPr>
              <w:contextualSpacing/>
              <w:jc w:val="both"/>
              <w:rPr>
                <w:rFonts w:cs="Times New Roman"/>
                <w:szCs w:val="24"/>
              </w:rPr>
            </w:pPr>
            <w:r w:rsidRPr="00F10C37">
              <w:rPr>
                <w:rFonts w:cs="Times New Roman"/>
                <w:szCs w:val="24"/>
              </w:rPr>
              <w:t>ACE inhibitors, drugs that cause hypotension (e.g., tricyclic antidepressants, antipsychotics), lithium, NSAIDs, medicinal products which cause potassium retention (e.g. spironolactone, amiloride).</w:t>
            </w:r>
          </w:p>
        </w:tc>
      </w:tr>
      <w:tr w:rsidR="0053763D" w:rsidRPr="00F10C37" w14:paraId="1956F7CC" w14:textId="77777777" w:rsidTr="00C46407">
        <w:tc>
          <w:tcPr>
            <w:tcW w:w="2425" w:type="dxa"/>
          </w:tcPr>
          <w:p w14:paraId="64BD2A60"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5"/>
          </w:tcPr>
          <w:p w14:paraId="480F986A"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Abdominal pain, asthenia, back pain, cough, diarrhea, dizziness. headache, hyperkalemia, hypotension, nausea. postural hypotension, renal impairment, vertigo,</w:t>
            </w:r>
            <w:r>
              <w:rPr>
                <w:rFonts w:eastAsiaTheme="minorHAnsi" w:cs="Times New Roman"/>
                <w:color w:val="231F20"/>
                <w:kern w:val="0"/>
                <w:szCs w:val="24"/>
                <w:lang w:val="en-US" w:eastAsia="en-US"/>
              </w:rPr>
              <w:t xml:space="preserve"> </w:t>
            </w:r>
            <w:r w:rsidRPr="00F10C37">
              <w:rPr>
                <w:rFonts w:eastAsiaTheme="minorHAnsi" w:cs="Times New Roman"/>
                <w:color w:val="231F20"/>
                <w:kern w:val="0"/>
                <w:szCs w:val="24"/>
                <w:lang w:val="en-US" w:eastAsia="en-US"/>
              </w:rPr>
              <w:t>vomiting, angioedema, myalgia, skin reactions, thrombocytopenia</w:t>
            </w:r>
            <w:r w:rsidRPr="00F10C37">
              <w:rPr>
                <w:rFonts w:cs="Times New Roman"/>
                <w:color w:val="231F20"/>
                <w:szCs w:val="24"/>
              </w:rPr>
              <w:t>, i</w:t>
            </w:r>
            <w:r w:rsidRPr="00F10C37">
              <w:rPr>
                <w:rFonts w:cs="Times New Roman"/>
                <w:szCs w:val="24"/>
              </w:rPr>
              <w:t xml:space="preserve">ncreased risk of infection, leukopenia, neutropenia and agranulocytosis. </w:t>
            </w:r>
          </w:p>
        </w:tc>
      </w:tr>
      <w:tr w:rsidR="0053763D" w:rsidRPr="00F10C37" w14:paraId="6CD6F2AA" w14:textId="77777777" w:rsidTr="00C46407">
        <w:tc>
          <w:tcPr>
            <w:tcW w:w="2425" w:type="dxa"/>
          </w:tcPr>
          <w:p w14:paraId="386D060E"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5"/>
          </w:tcPr>
          <w:p w14:paraId="498E22B9"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Aortic or mitral valve stenosis, breastfeeding, elderly, hypertrophic cardiomyopathy, patients with a history of angioedema, patients with primary aldosteronism, renal artery stenosis, </w:t>
            </w:r>
            <w:r w:rsidRPr="00F10C37">
              <w:rPr>
                <w:rFonts w:cs="Times New Roman"/>
                <w:color w:val="231F20"/>
                <w:szCs w:val="24"/>
              </w:rPr>
              <w:t>h</w:t>
            </w:r>
            <w:r w:rsidRPr="00F10C37">
              <w:rPr>
                <w:rFonts w:cs="Times New Roman"/>
                <w:szCs w:val="24"/>
              </w:rPr>
              <w:t>epatic impairment, cholestasis, renal impairment.</w:t>
            </w:r>
          </w:p>
        </w:tc>
      </w:tr>
      <w:tr w:rsidR="0053763D" w:rsidRPr="00F10C37" w14:paraId="47D39BEA" w14:textId="77777777" w:rsidTr="00C46407">
        <w:tc>
          <w:tcPr>
            <w:tcW w:w="2425" w:type="dxa"/>
          </w:tcPr>
          <w:p w14:paraId="0D284D5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5"/>
          </w:tcPr>
          <w:p w14:paraId="5E2B8D2B"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below</w:t>
            </w:r>
            <w:r w:rsidRPr="00F10C37">
              <w:rPr>
                <w:rFonts w:cs="Times New Roman"/>
                <w:szCs w:val="24"/>
              </w:rPr>
              <w:t xml:space="preserve"> 30ºC.</w:t>
            </w:r>
          </w:p>
        </w:tc>
      </w:tr>
      <w:tr w:rsidR="0053763D" w:rsidRPr="00F10C37" w14:paraId="59D4234C" w14:textId="77777777" w:rsidTr="00C46407">
        <w:trPr>
          <w:trHeight w:val="515"/>
        </w:trPr>
        <w:tc>
          <w:tcPr>
            <w:tcW w:w="9265" w:type="dxa"/>
            <w:gridSpan w:val="6"/>
          </w:tcPr>
          <w:p w14:paraId="1C112C10" w14:textId="77777777" w:rsidR="0053763D" w:rsidRPr="00F10C37" w:rsidRDefault="0053763D" w:rsidP="00C46407">
            <w:pPr>
              <w:jc w:val="both"/>
              <w:rPr>
                <w:rFonts w:cs="Times New Roman"/>
                <w:szCs w:val="24"/>
              </w:rPr>
            </w:pPr>
            <w:r w:rsidRPr="00F10C37">
              <w:rPr>
                <w:rFonts w:cs="Times New Roman"/>
                <w:b/>
                <w:szCs w:val="24"/>
              </w:rPr>
              <w:t>Captopril</w:t>
            </w:r>
          </w:p>
        </w:tc>
      </w:tr>
      <w:tr w:rsidR="0053763D" w:rsidRPr="00F10C37" w14:paraId="34B00BF7" w14:textId="77777777" w:rsidTr="00C46407">
        <w:trPr>
          <w:trHeight w:val="515"/>
        </w:trPr>
        <w:tc>
          <w:tcPr>
            <w:tcW w:w="2693" w:type="dxa"/>
            <w:gridSpan w:val="4"/>
          </w:tcPr>
          <w:p w14:paraId="3A5B115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572" w:type="dxa"/>
            <w:gridSpan w:val="2"/>
          </w:tcPr>
          <w:p w14:paraId="52B63F87" w14:textId="77777777" w:rsidR="0053763D" w:rsidRPr="00F10C37" w:rsidRDefault="0053763D" w:rsidP="00C46407">
            <w:pPr>
              <w:jc w:val="both"/>
              <w:rPr>
                <w:rFonts w:cs="Times New Roman"/>
                <w:szCs w:val="24"/>
              </w:rPr>
            </w:pPr>
            <w:r w:rsidRPr="00F10C37">
              <w:rPr>
                <w:rFonts w:cs="Times New Roman"/>
                <w:szCs w:val="24"/>
              </w:rPr>
              <w:t xml:space="preserve">ACE inhibitor </w:t>
            </w:r>
          </w:p>
        </w:tc>
      </w:tr>
      <w:tr w:rsidR="0053763D" w:rsidRPr="00F10C37" w14:paraId="326F995B" w14:textId="77777777" w:rsidTr="00C46407">
        <w:trPr>
          <w:trHeight w:val="618"/>
        </w:trPr>
        <w:tc>
          <w:tcPr>
            <w:tcW w:w="2693" w:type="dxa"/>
            <w:gridSpan w:val="4"/>
          </w:tcPr>
          <w:p w14:paraId="60C7C81D" w14:textId="77777777" w:rsidR="0053763D" w:rsidRPr="00F10C37" w:rsidRDefault="0053763D" w:rsidP="00C46407">
            <w:pPr>
              <w:jc w:val="both"/>
              <w:rPr>
                <w:rFonts w:cs="Times New Roman"/>
                <w:szCs w:val="24"/>
              </w:rPr>
            </w:pPr>
            <w:r w:rsidRPr="00F10C37">
              <w:rPr>
                <w:rFonts w:cs="Times New Roman"/>
                <w:szCs w:val="24"/>
              </w:rPr>
              <w:t>Dosage form</w:t>
            </w:r>
          </w:p>
        </w:tc>
        <w:tc>
          <w:tcPr>
            <w:tcW w:w="6572" w:type="dxa"/>
            <w:gridSpan w:val="2"/>
          </w:tcPr>
          <w:p w14:paraId="6B54E204" w14:textId="77777777" w:rsidR="0053763D" w:rsidRPr="00F10C37" w:rsidRDefault="0053763D" w:rsidP="00C46407">
            <w:pPr>
              <w:jc w:val="both"/>
              <w:rPr>
                <w:rFonts w:cs="Times New Roman"/>
                <w:szCs w:val="24"/>
              </w:rPr>
            </w:pPr>
            <w:r w:rsidRPr="00F10C37">
              <w:rPr>
                <w:rFonts w:cs="Times New Roman"/>
                <w:szCs w:val="24"/>
              </w:rPr>
              <w:t>Tablet: 12.5 mg</w:t>
            </w:r>
          </w:p>
        </w:tc>
      </w:tr>
      <w:tr w:rsidR="0053763D" w:rsidRPr="00F10C37" w14:paraId="048D06DD" w14:textId="77777777" w:rsidTr="00C46407">
        <w:trPr>
          <w:trHeight w:val="524"/>
        </w:trPr>
        <w:tc>
          <w:tcPr>
            <w:tcW w:w="2693" w:type="dxa"/>
            <w:gridSpan w:val="4"/>
          </w:tcPr>
          <w:p w14:paraId="7E5B1318" w14:textId="77777777" w:rsidR="0053763D" w:rsidRPr="009574B3" w:rsidRDefault="0053763D" w:rsidP="00C46407">
            <w:pPr>
              <w:jc w:val="both"/>
              <w:rPr>
                <w:rFonts w:cs="Times New Roman"/>
                <w:szCs w:val="24"/>
              </w:rPr>
            </w:pPr>
            <w:r w:rsidRPr="009574B3">
              <w:rPr>
                <w:rFonts w:cs="Times New Roman"/>
                <w:szCs w:val="24"/>
              </w:rPr>
              <w:t>Indications</w:t>
            </w:r>
          </w:p>
        </w:tc>
        <w:tc>
          <w:tcPr>
            <w:tcW w:w="6572" w:type="dxa"/>
            <w:gridSpan w:val="2"/>
          </w:tcPr>
          <w:p w14:paraId="06F87429" w14:textId="77777777" w:rsidR="0053763D" w:rsidRPr="00F10C37" w:rsidRDefault="0053763D" w:rsidP="00C46407">
            <w:pPr>
              <w:jc w:val="both"/>
              <w:rPr>
                <w:rFonts w:cs="Times New Roman"/>
                <w:szCs w:val="24"/>
              </w:rPr>
            </w:pPr>
            <w:r w:rsidRPr="00F10C37">
              <w:rPr>
                <w:rFonts w:cs="Times New Roman"/>
                <w:szCs w:val="24"/>
              </w:rPr>
              <w:t>Treatment of congestive heart failure, hypertension, left ventricular dysfunction after myocardial infarction and diabetic nephropathy</w:t>
            </w:r>
          </w:p>
        </w:tc>
      </w:tr>
      <w:tr w:rsidR="0053763D" w:rsidRPr="00F10C37" w14:paraId="5245F59F" w14:textId="77777777" w:rsidTr="00C46407">
        <w:trPr>
          <w:trHeight w:val="1124"/>
        </w:trPr>
        <w:tc>
          <w:tcPr>
            <w:tcW w:w="2693" w:type="dxa"/>
            <w:gridSpan w:val="4"/>
          </w:tcPr>
          <w:p w14:paraId="314D0814" w14:textId="77777777" w:rsidR="0053763D" w:rsidRPr="00F10C37" w:rsidRDefault="0053763D" w:rsidP="00C46407">
            <w:pPr>
              <w:jc w:val="both"/>
              <w:rPr>
                <w:rFonts w:cs="Times New Roman"/>
                <w:szCs w:val="24"/>
              </w:rPr>
            </w:pPr>
            <w:r w:rsidRPr="00F10C37">
              <w:rPr>
                <w:rFonts w:eastAsia="Times New Roman" w:cs="Times New Roman"/>
                <w:szCs w:val="24"/>
              </w:rPr>
              <w:lastRenderedPageBreak/>
              <w:t>Dose and administration</w:t>
            </w:r>
          </w:p>
        </w:tc>
        <w:tc>
          <w:tcPr>
            <w:tcW w:w="6572" w:type="dxa"/>
            <w:gridSpan w:val="2"/>
          </w:tcPr>
          <w:p w14:paraId="733BBF27"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Heart failure</w:t>
            </w:r>
            <w:r>
              <w:rPr>
                <w:rFonts w:eastAsiaTheme="minorHAnsi" w:cs="Times New Roman"/>
                <w:b/>
                <w:color w:val="231F20"/>
                <w:kern w:val="0"/>
                <w:szCs w:val="24"/>
                <w:lang w:val="en-US" w:eastAsia="en-US"/>
              </w:rPr>
              <w:t>:</w:t>
            </w:r>
          </w:p>
          <w:p w14:paraId="56213DD8"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 xml:space="preserve">Adult, </w:t>
            </w:r>
            <w:r w:rsidRPr="00F10C37">
              <w:rPr>
                <w:rFonts w:eastAsiaTheme="minorHAnsi" w:cs="Times New Roman"/>
                <w:color w:val="231F20"/>
                <w:kern w:val="0"/>
                <w:szCs w:val="24"/>
                <w:lang w:val="en-US" w:eastAsia="en-US"/>
              </w:rPr>
              <w:t>oral: Initially 6.25–12.5 mg 2–3 times a day, then increased if tolerated to up to 150 mg daily in divided doses, dose to be increased gradually at intervals of at least 2 weeks</w:t>
            </w:r>
          </w:p>
          <w:p w14:paraId="544E58EA"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Short-term treatment within 24 hours of onset of myocardial infarction in clinically stable patients, </w:t>
            </w:r>
            <w:r w:rsidRPr="008326E6">
              <w:rPr>
                <w:rFonts w:eastAsiaTheme="minorHAnsi" w:cs="Times New Roman"/>
                <w:color w:val="231F20"/>
                <w:kern w:val="0"/>
                <w:szCs w:val="24"/>
                <w:lang w:val="en-US" w:eastAsia="en-US"/>
              </w:rPr>
              <w:t>oral</w:t>
            </w:r>
            <w:r w:rsidRPr="00F10C37">
              <w:rPr>
                <w:rFonts w:eastAsiaTheme="minorHAnsi" w:cs="Times New Roman"/>
                <w:b/>
                <w:color w:val="231F20"/>
                <w:kern w:val="0"/>
                <w:szCs w:val="24"/>
                <w:lang w:val="en-US" w:eastAsia="en-US"/>
              </w:rPr>
              <w:t xml:space="preserve">: </w:t>
            </w:r>
          </w:p>
          <w:p w14:paraId="5CB5F3D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Initially 6.25 mg, then increased to 12.5 mg after 2 hours, followed by 25 mg after 12 hours; increased if tolerated to 50 mg twice daily for 4 weeks</w:t>
            </w:r>
          </w:p>
          <w:p w14:paraId="4B58F326"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Prophylaxis of symptomatic heart failure after myocardial infarction in clinically stable patients with asymptomatic left ventricular dysfunction (starting 3–16 days after infarction) (under close medical supervision), </w:t>
            </w:r>
            <w:r w:rsidRPr="008326E6">
              <w:rPr>
                <w:rFonts w:eastAsiaTheme="minorHAnsi" w:cs="Times New Roman"/>
                <w:color w:val="231F20"/>
                <w:kern w:val="0"/>
                <w:szCs w:val="24"/>
                <w:lang w:val="en-US" w:eastAsia="en-US"/>
              </w:rPr>
              <w:t>oral</w:t>
            </w:r>
            <w:r w:rsidRPr="00F10C37">
              <w:rPr>
                <w:rFonts w:eastAsiaTheme="minorHAnsi" w:cs="Times New Roman"/>
                <w:b/>
                <w:color w:val="231F20"/>
                <w:kern w:val="0"/>
                <w:szCs w:val="24"/>
                <w:lang w:val="en-US" w:eastAsia="en-US"/>
              </w:rPr>
              <w:t xml:space="preserve">: </w:t>
            </w:r>
          </w:p>
          <w:p w14:paraId="2E74C36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6.25 mg daily, then increased to 12.5 mg 3 times a day for 2 days, then increased if tolerated to 25 mg 3 times a day, then increased if tolerated to 75–150 mg daily in 2–3 divided doses, doses exceeding 75mg per day to be increased gradually.</w:t>
            </w:r>
          </w:p>
          <w:p w14:paraId="507A4FDE"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Diabetic nephropathy in type 1 diabetes mellitus, </w:t>
            </w:r>
            <w:r w:rsidRPr="008326E6">
              <w:rPr>
                <w:rFonts w:eastAsiaTheme="minorHAnsi" w:cs="Times New Roman"/>
                <w:color w:val="231F20"/>
                <w:kern w:val="0"/>
                <w:szCs w:val="24"/>
                <w:lang w:val="en-US" w:eastAsia="en-US"/>
              </w:rPr>
              <w:t>oral</w:t>
            </w:r>
            <w:r>
              <w:rPr>
                <w:rFonts w:eastAsiaTheme="minorHAnsi" w:cs="Times New Roman"/>
                <w:color w:val="231F20"/>
                <w:kern w:val="0"/>
                <w:szCs w:val="24"/>
                <w:lang w:val="en-US" w:eastAsia="en-US"/>
              </w:rPr>
              <w:t>:</w:t>
            </w:r>
          </w:p>
          <w:p w14:paraId="7F56C99E" w14:textId="77777777" w:rsidR="0053763D" w:rsidRPr="00F10C37" w:rsidRDefault="0053763D" w:rsidP="00C46407">
            <w:pPr>
              <w:jc w:val="both"/>
              <w:rPr>
                <w:rFonts w:cs="Times New Roman"/>
                <w:b/>
                <w:bCs/>
                <w:szCs w:val="24"/>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75–100 mg daily in divided doses</w:t>
            </w:r>
          </w:p>
          <w:p w14:paraId="3F81A7A9" w14:textId="77777777" w:rsidR="0053763D" w:rsidRPr="00F10C37" w:rsidRDefault="0053763D" w:rsidP="00C46407">
            <w:pPr>
              <w:jc w:val="both"/>
              <w:rPr>
                <w:rFonts w:cs="Times New Roman"/>
                <w:szCs w:val="24"/>
              </w:rPr>
            </w:pPr>
            <w:r w:rsidRPr="00F10C37">
              <w:rPr>
                <w:rFonts w:cs="Times New Roman"/>
                <w:b/>
                <w:szCs w:val="24"/>
              </w:rPr>
              <w:t xml:space="preserve">Dosing: Renal: </w:t>
            </w:r>
            <w:r w:rsidRPr="00F10C37">
              <w:rPr>
                <w:rFonts w:cs="Times New Roman"/>
                <w:szCs w:val="24"/>
              </w:rPr>
              <w:t>Cl</w:t>
            </w:r>
            <w:r w:rsidRPr="00F10C37">
              <w:rPr>
                <w:rFonts w:cs="Times New Roman"/>
                <w:szCs w:val="24"/>
                <w:vertAlign w:val="subscript"/>
              </w:rPr>
              <w:t>cr</w:t>
            </w:r>
            <w:r w:rsidRPr="00F10C37">
              <w:rPr>
                <w:rFonts w:cs="Times New Roman"/>
                <w:szCs w:val="24"/>
              </w:rPr>
              <w:t xml:space="preserve"> 10-50 </w:t>
            </w:r>
            <w:r>
              <w:rPr>
                <w:rFonts w:cs="Times New Roman"/>
                <w:szCs w:val="24"/>
              </w:rPr>
              <w:t>ml</w:t>
            </w:r>
            <w:r w:rsidRPr="00F10C37">
              <w:rPr>
                <w:rFonts w:cs="Times New Roman"/>
                <w:szCs w:val="24"/>
              </w:rPr>
              <w:t>/minute: Administer at 75% of normal dose every 12-18 hours. Cl</w:t>
            </w:r>
            <w:r w:rsidRPr="00F10C37">
              <w:rPr>
                <w:rFonts w:cs="Times New Roman"/>
                <w:szCs w:val="24"/>
                <w:vertAlign w:val="subscript"/>
              </w:rPr>
              <w:t>cr</w:t>
            </w:r>
            <w:r w:rsidRPr="00F10C37">
              <w:rPr>
                <w:rFonts w:cs="Times New Roman"/>
                <w:szCs w:val="24"/>
              </w:rPr>
              <w:t xml:space="preserve">&lt;10 </w:t>
            </w:r>
            <w:r>
              <w:rPr>
                <w:rFonts w:cs="Times New Roman"/>
                <w:szCs w:val="24"/>
              </w:rPr>
              <w:t>ml</w:t>
            </w:r>
            <w:r w:rsidRPr="00F10C37">
              <w:rPr>
                <w:rFonts w:cs="Times New Roman"/>
                <w:szCs w:val="24"/>
              </w:rPr>
              <w:t>/minute: administer at 50% of normal dose every 24 hours.</w:t>
            </w:r>
          </w:p>
          <w:p w14:paraId="6C09E292" w14:textId="77777777" w:rsidR="0053763D" w:rsidRPr="00F10C37" w:rsidRDefault="0053763D" w:rsidP="00C46407">
            <w:pPr>
              <w:jc w:val="both"/>
              <w:rPr>
                <w:rFonts w:cs="Times New Roman"/>
                <w:szCs w:val="24"/>
              </w:rPr>
            </w:pPr>
            <w:r w:rsidRPr="008326E6">
              <w:rPr>
                <w:rFonts w:eastAsiaTheme="minorHAnsi" w:cs="Times New Roman"/>
                <w:i/>
                <w:kern w:val="0"/>
                <w:szCs w:val="24"/>
                <w:lang w:val="en-US" w:eastAsia="en-US"/>
              </w:rPr>
              <w:t>Note:</w:t>
            </w:r>
            <w:r w:rsidRPr="00F10C37">
              <w:rPr>
                <w:rFonts w:eastAsiaTheme="minorHAnsi" w:cs="Times New Roman"/>
                <w:b/>
                <w:kern w:val="0"/>
                <w:szCs w:val="24"/>
                <w:lang w:val="en-US" w:eastAsia="en-US"/>
              </w:rPr>
              <w:t xml:space="preserve"> </w:t>
            </w:r>
            <w:r w:rsidRPr="003D3E3A">
              <w:rPr>
                <w:rFonts w:eastAsiaTheme="minorHAnsi" w:cs="Times New Roman"/>
                <w:i/>
                <w:kern w:val="0"/>
                <w:szCs w:val="24"/>
                <w:lang w:val="en-US" w:eastAsia="en-US"/>
              </w:rPr>
              <w:t>Dose for hypertension is indicated in the section</w:t>
            </w:r>
          </w:p>
        </w:tc>
      </w:tr>
      <w:tr w:rsidR="0053763D" w:rsidRPr="00F10C37" w14:paraId="2292149B" w14:textId="77777777" w:rsidTr="00C46407">
        <w:trPr>
          <w:trHeight w:val="1322"/>
        </w:trPr>
        <w:tc>
          <w:tcPr>
            <w:tcW w:w="2693" w:type="dxa"/>
            <w:gridSpan w:val="4"/>
          </w:tcPr>
          <w:p w14:paraId="60ECB4E5"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572" w:type="dxa"/>
            <w:gridSpan w:val="2"/>
          </w:tcPr>
          <w:p w14:paraId="73E490C0" w14:textId="77777777" w:rsidR="0053763D" w:rsidRPr="00F10C37" w:rsidRDefault="0053763D" w:rsidP="00C46407">
            <w:pPr>
              <w:jc w:val="both"/>
              <w:rPr>
                <w:rFonts w:cs="Times New Roman"/>
                <w:szCs w:val="24"/>
              </w:rPr>
            </w:pPr>
            <w:r w:rsidRPr="00F10C37">
              <w:rPr>
                <w:rFonts w:cs="Times New Roman"/>
                <w:szCs w:val="24"/>
              </w:rPr>
              <w:t>Hypersensitivity to ACE inhibitors, idiopathic or hereditary angioedema; known or suspected venovascular disease, aortic or bilateral renal artery stenosis, outflow tract obstruction, pregnancy and lactation.</w:t>
            </w:r>
          </w:p>
        </w:tc>
      </w:tr>
      <w:tr w:rsidR="0053763D" w:rsidRPr="00F10C37" w14:paraId="5F330F9B" w14:textId="77777777" w:rsidTr="00C46407">
        <w:trPr>
          <w:trHeight w:val="1448"/>
        </w:trPr>
        <w:tc>
          <w:tcPr>
            <w:tcW w:w="2693" w:type="dxa"/>
            <w:gridSpan w:val="4"/>
          </w:tcPr>
          <w:p w14:paraId="592D45B7"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572" w:type="dxa"/>
            <w:gridSpan w:val="2"/>
          </w:tcPr>
          <w:p w14:paraId="38D85B4B" w14:textId="77777777" w:rsidR="0053763D" w:rsidRPr="00F10C37" w:rsidRDefault="0053763D" w:rsidP="00C46407">
            <w:pPr>
              <w:jc w:val="both"/>
              <w:rPr>
                <w:rFonts w:cs="Times New Roman"/>
                <w:szCs w:val="24"/>
              </w:rPr>
            </w:pPr>
            <w:r w:rsidRPr="00F10C37">
              <w:rPr>
                <w:rFonts w:cs="Times New Roman"/>
                <w:szCs w:val="24"/>
              </w:rPr>
              <w:t>Allopurinol, azathioprine, lithium, vasopressin, potassium-sparing diuretics or potassium supplements; aspirin, indomethacin and other NSAIDs, antacids, digoxin and probenecid.</w:t>
            </w:r>
          </w:p>
        </w:tc>
      </w:tr>
      <w:tr w:rsidR="0053763D" w:rsidRPr="00F10C37" w14:paraId="36A22D33" w14:textId="77777777" w:rsidTr="00C46407">
        <w:trPr>
          <w:trHeight w:val="1997"/>
        </w:trPr>
        <w:tc>
          <w:tcPr>
            <w:tcW w:w="2693" w:type="dxa"/>
            <w:gridSpan w:val="4"/>
          </w:tcPr>
          <w:p w14:paraId="44EA9276"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572" w:type="dxa"/>
            <w:gridSpan w:val="2"/>
          </w:tcPr>
          <w:p w14:paraId="76019AF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Insomnia, peptic ulcer, a</w:t>
            </w:r>
            <w:r w:rsidRPr="00F10C37">
              <w:rPr>
                <w:rFonts w:eastAsiaTheme="minorHAnsi" w:cs="Times New Roman"/>
                <w:color w:val="231F20"/>
                <w:kern w:val="0"/>
                <w:szCs w:val="24"/>
                <w:lang w:val="en-US" w:eastAsia="en-US"/>
              </w:rPr>
              <w:t xml:space="preserve">ppetite decreased, anemia, flushing. malaise. Pallor, Raynaud’s phenomenon, aplastic anaemia, autoimmune disorder, cardiac arrest, cardiogenic shock, cerebrovascular insufficiency, depression, gynaecomastia, hepatic disorders, hypoglycaemia, lymphadenopathy, nephrotic syndrome, proteinuria, vision blurred. </w:t>
            </w:r>
          </w:p>
        </w:tc>
      </w:tr>
      <w:tr w:rsidR="0053763D" w:rsidRPr="00F10C37" w:rsidDel="00251684" w14:paraId="1BE0720F" w14:textId="77777777" w:rsidTr="00C46407">
        <w:trPr>
          <w:trHeight w:val="1252"/>
        </w:trPr>
        <w:tc>
          <w:tcPr>
            <w:tcW w:w="2693" w:type="dxa"/>
            <w:gridSpan w:val="4"/>
          </w:tcPr>
          <w:p w14:paraId="06ACDDF7"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572" w:type="dxa"/>
            <w:gridSpan w:val="2"/>
          </w:tcPr>
          <w:p w14:paraId="30CBF771" w14:textId="77777777" w:rsidR="0053763D" w:rsidRPr="00F10C37" w:rsidDel="00251684"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Concomitant diuretics, diabetes, peripheral vascular disease or generalized atherosclerosis, primary aldosteronism, the risk of agranulocytosis, aortic or mitral valve stenosis, hypertrophic cardiomyopathy, e</w:t>
            </w:r>
            <w:r w:rsidRPr="00F10C37">
              <w:rPr>
                <w:rFonts w:cs="Times New Roman"/>
                <w:szCs w:val="24"/>
              </w:rPr>
              <w:t>lderly and paediatric, hypotension, impaired renal function, collagen-vascular disease, patients receiving immunosuppressant’s, coronary or cerebrovascular disease, severe salt/volume depletion, pregnancy, breast feeding</w:t>
            </w:r>
          </w:p>
        </w:tc>
      </w:tr>
      <w:tr w:rsidR="0053763D" w:rsidRPr="00F10C37" w14:paraId="1C935ECC" w14:textId="77777777" w:rsidTr="00C46407">
        <w:trPr>
          <w:trHeight w:val="618"/>
        </w:trPr>
        <w:tc>
          <w:tcPr>
            <w:tcW w:w="2693" w:type="dxa"/>
            <w:gridSpan w:val="4"/>
          </w:tcPr>
          <w:p w14:paraId="0C847248"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572" w:type="dxa"/>
            <w:gridSpan w:val="2"/>
          </w:tcPr>
          <w:p w14:paraId="5020FCE9"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below</w:t>
            </w:r>
            <w:r w:rsidRPr="00F10C37">
              <w:rPr>
                <w:rFonts w:cs="Times New Roman"/>
                <w:szCs w:val="24"/>
              </w:rPr>
              <w:t xml:space="preserve"> 30ºC.</w:t>
            </w:r>
            <w:r>
              <w:rPr>
                <w:rFonts w:cs="Times New Roman"/>
                <w:szCs w:val="24"/>
              </w:rPr>
              <w:t xml:space="preserve"> </w:t>
            </w:r>
            <w:r w:rsidRPr="00F10C37">
              <w:rPr>
                <w:rFonts w:cs="Times New Roman"/>
                <w:szCs w:val="24"/>
              </w:rPr>
              <w:t>Protect from moisture.</w:t>
            </w:r>
          </w:p>
        </w:tc>
      </w:tr>
      <w:tr w:rsidR="0053763D" w:rsidRPr="00F10C37" w14:paraId="46F74B5A" w14:textId="77777777" w:rsidTr="00C46407">
        <w:trPr>
          <w:trHeight w:val="512"/>
        </w:trPr>
        <w:tc>
          <w:tcPr>
            <w:tcW w:w="9265" w:type="dxa"/>
            <w:gridSpan w:val="6"/>
          </w:tcPr>
          <w:p w14:paraId="5CA87E04" w14:textId="77777777" w:rsidR="0053763D" w:rsidRPr="00F10C37" w:rsidRDefault="0053763D" w:rsidP="00C46407">
            <w:pPr>
              <w:jc w:val="both"/>
              <w:rPr>
                <w:rFonts w:cs="Times New Roman"/>
                <w:b/>
                <w:szCs w:val="24"/>
              </w:rPr>
            </w:pPr>
            <w:r w:rsidRPr="00F10C37">
              <w:rPr>
                <w:rFonts w:cs="Times New Roman"/>
                <w:b/>
                <w:szCs w:val="24"/>
              </w:rPr>
              <w:t>Carvedilol</w:t>
            </w:r>
          </w:p>
        </w:tc>
      </w:tr>
      <w:tr w:rsidR="0053763D" w:rsidRPr="00F10C37" w14:paraId="356C72EF" w14:textId="77777777" w:rsidTr="00C46407">
        <w:trPr>
          <w:trHeight w:val="512"/>
        </w:trPr>
        <w:tc>
          <w:tcPr>
            <w:tcW w:w="2425" w:type="dxa"/>
          </w:tcPr>
          <w:p w14:paraId="181284C1"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5"/>
          </w:tcPr>
          <w:p w14:paraId="197B976A"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Alpha- and beta-adrenoceptor blocker</w:t>
            </w:r>
          </w:p>
        </w:tc>
      </w:tr>
      <w:tr w:rsidR="0053763D" w:rsidRPr="00F10C37" w14:paraId="5F0475CB" w14:textId="77777777" w:rsidTr="00C46407">
        <w:trPr>
          <w:trHeight w:val="341"/>
        </w:trPr>
        <w:tc>
          <w:tcPr>
            <w:tcW w:w="2425" w:type="dxa"/>
          </w:tcPr>
          <w:p w14:paraId="1C8201DC"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5"/>
          </w:tcPr>
          <w:p w14:paraId="428E0FE4" w14:textId="77777777" w:rsidR="0053763D" w:rsidRPr="00F10C37" w:rsidRDefault="0053763D" w:rsidP="00C46407">
            <w:pPr>
              <w:jc w:val="both"/>
              <w:rPr>
                <w:rFonts w:cs="Times New Roman"/>
                <w:szCs w:val="24"/>
                <w:lang w:val="nb-NO"/>
              </w:rPr>
            </w:pPr>
            <w:r w:rsidRPr="00F10C37">
              <w:rPr>
                <w:rFonts w:cs="Times New Roman"/>
                <w:szCs w:val="24"/>
                <w:lang w:val="nb-NO"/>
              </w:rPr>
              <w:t>Tablet: 3.125mg, 6.25mg, 12.5 mg, 25 mg</w:t>
            </w:r>
          </w:p>
        </w:tc>
      </w:tr>
      <w:tr w:rsidR="0053763D" w:rsidRPr="00F10C37" w14:paraId="023E54E0" w14:textId="77777777" w:rsidTr="00C46407">
        <w:trPr>
          <w:trHeight w:val="521"/>
        </w:trPr>
        <w:tc>
          <w:tcPr>
            <w:tcW w:w="2425" w:type="dxa"/>
          </w:tcPr>
          <w:p w14:paraId="4927D007" w14:textId="77777777" w:rsidR="0053763D" w:rsidRPr="00E519BA" w:rsidRDefault="0053763D" w:rsidP="00C46407">
            <w:pPr>
              <w:jc w:val="both"/>
              <w:rPr>
                <w:rFonts w:cs="Times New Roman"/>
                <w:szCs w:val="24"/>
              </w:rPr>
            </w:pPr>
            <w:r w:rsidRPr="00E519BA">
              <w:rPr>
                <w:rFonts w:cs="Times New Roman"/>
                <w:szCs w:val="24"/>
              </w:rPr>
              <w:t>Indications</w:t>
            </w:r>
          </w:p>
        </w:tc>
        <w:tc>
          <w:tcPr>
            <w:tcW w:w="6840" w:type="dxa"/>
            <w:gridSpan w:val="5"/>
          </w:tcPr>
          <w:p w14:paraId="176469DF" w14:textId="77777777" w:rsidR="0053763D" w:rsidRPr="00F10C37" w:rsidRDefault="0053763D" w:rsidP="00C46407">
            <w:pPr>
              <w:jc w:val="both"/>
              <w:rPr>
                <w:rFonts w:cs="Times New Roman"/>
                <w:szCs w:val="24"/>
              </w:rPr>
            </w:pPr>
            <w:r w:rsidRPr="00F10C37">
              <w:rPr>
                <w:rFonts w:cs="Times New Roman"/>
                <w:szCs w:val="24"/>
              </w:rPr>
              <w:t>Hypertension, angina</w:t>
            </w:r>
            <w:r>
              <w:rPr>
                <w:rFonts w:cs="Times New Roman"/>
                <w:szCs w:val="24"/>
              </w:rPr>
              <w:t>,</w:t>
            </w:r>
            <w:r w:rsidRPr="00F10C37">
              <w:rPr>
                <w:rFonts w:cs="Times New Roman"/>
                <w:szCs w:val="24"/>
              </w:rPr>
              <w:t xml:space="preserve"> adjunct to diuretics, digoxin, or ACE inhibitors in symptomatic chronic heart failure</w:t>
            </w:r>
          </w:p>
        </w:tc>
      </w:tr>
      <w:tr w:rsidR="0053763D" w:rsidRPr="00F10C37" w14:paraId="554B35B5" w14:textId="77777777" w:rsidTr="00C46407">
        <w:trPr>
          <w:trHeight w:val="521"/>
        </w:trPr>
        <w:tc>
          <w:tcPr>
            <w:tcW w:w="2425" w:type="dxa"/>
          </w:tcPr>
          <w:p w14:paraId="2C4AC61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5"/>
          </w:tcPr>
          <w:p w14:paraId="4B9DC9A7" w14:textId="77777777" w:rsidR="0053763D" w:rsidRDefault="0053763D" w:rsidP="00C46407">
            <w:pPr>
              <w:jc w:val="both"/>
              <w:rPr>
                <w:rFonts w:cs="Times New Roman"/>
                <w:b/>
                <w:szCs w:val="24"/>
              </w:rPr>
            </w:pPr>
            <w:r w:rsidRPr="00F10C37">
              <w:rPr>
                <w:rFonts w:cs="Times New Roman"/>
                <w:b/>
                <w:szCs w:val="24"/>
              </w:rPr>
              <w:t xml:space="preserve">Adjunct to diuretics, digoxin, or ACE inhibitors in symptomatic chronic heart failure: </w:t>
            </w:r>
          </w:p>
          <w:p w14:paraId="7F4DFB15" w14:textId="77777777" w:rsidR="0053763D" w:rsidRPr="00F10C37" w:rsidRDefault="0053763D" w:rsidP="00C46407">
            <w:pPr>
              <w:jc w:val="both"/>
              <w:rPr>
                <w:rFonts w:cs="Times New Roman"/>
                <w:szCs w:val="24"/>
              </w:rPr>
            </w:pPr>
            <w:r w:rsidRPr="008326E6">
              <w:rPr>
                <w:rFonts w:cs="Times New Roman"/>
                <w:b/>
                <w:szCs w:val="24"/>
              </w:rPr>
              <w:t>Adult:</w:t>
            </w:r>
            <w:r w:rsidRPr="00F10C37">
              <w:rPr>
                <w:rFonts w:cs="Times New Roman"/>
                <w:szCs w:val="24"/>
              </w:rPr>
              <w:t xml:space="preserve"> Initially 3.125 mg twice daily, dose to be taken with food, then increased to 6.25 mg twice daily, then increased to 12.5 mg twice daily, then increased to 25 mg twice daily, dose should be increased at intervals of at least 2 weeks up to the highest tolerated dose, max. 25 mg twice daily in patients with severe heart failure or body-weight less than 85 kg; max. 50 mg twice daily in patients over 85 kg. </w:t>
            </w:r>
          </w:p>
          <w:p w14:paraId="6DA658A6"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3D3E3A">
              <w:rPr>
                <w:rFonts w:eastAsia="Candara-Italic" w:cs="Times New Roman"/>
                <w:b/>
                <w:iCs/>
                <w:kern w:val="0"/>
                <w:szCs w:val="24"/>
                <w:lang w:val="en-US" w:eastAsia="en-US"/>
              </w:rPr>
              <w:t xml:space="preserve">Left ventricular dysfunction after </w:t>
            </w:r>
            <w:r>
              <w:rPr>
                <w:rFonts w:eastAsia="Candara-Italic" w:cs="Times New Roman"/>
                <w:b/>
                <w:iCs/>
                <w:kern w:val="0"/>
                <w:szCs w:val="24"/>
                <w:lang w:val="en-US" w:eastAsia="en-US"/>
              </w:rPr>
              <w:t>myocardial infarction:</w:t>
            </w:r>
            <w:r w:rsidRPr="00F10C37">
              <w:rPr>
                <w:rFonts w:eastAsia="Candara-Italic" w:cs="Times New Roman"/>
                <w:i/>
                <w:iCs/>
                <w:kern w:val="0"/>
                <w:szCs w:val="24"/>
                <w:lang w:val="en-US" w:eastAsia="en-US"/>
              </w:rPr>
              <w:t xml:space="preserve"> </w:t>
            </w:r>
            <w:r w:rsidRPr="00F10C37">
              <w:rPr>
                <w:rFonts w:eastAsia="Candara-Italic" w:cs="Times New Roman"/>
                <w:kern w:val="0"/>
                <w:szCs w:val="24"/>
                <w:lang w:val="en-US" w:eastAsia="en-US"/>
              </w:rPr>
              <w:t xml:space="preserve">Initial dose is 6.25 mg twice daily, increased after 3 to 10 days, if tolerated, </w:t>
            </w:r>
            <w:r w:rsidRPr="00F10C37">
              <w:rPr>
                <w:rFonts w:eastAsia="Candara-Italic" w:cs="Times New Roman"/>
                <w:kern w:val="0"/>
                <w:szCs w:val="24"/>
                <w:lang w:val="en-US" w:eastAsia="en-US"/>
              </w:rPr>
              <w:lastRenderedPageBreak/>
              <w:t>to 12.5 mg twice daily and then to a target dose of 25 mg twice daily. A lower initial dose may be used in symptomatic patients.</w:t>
            </w:r>
          </w:p>
          <w:p w14:paraId="21A3DA9B" w14:textId="77777777" w:rsidR="0053763D"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Heart failure</w:t>
            </w:r>
            <w:r>
              <w:rPr>
                <w:rFonts w:eastAsiaTheme="minorHAnsi" w:cs="Times New Roman"/>
                <w:b/>
                <w:bCs/>
                <w:kern w:val="0"/>
                <w:szCs w:val="24"/>
                <w:lang w:val="en-US" w:eastAsia="en-US"/>
              </w:rPr>
              <w:t>:</w:t>
            </w:r>
          </w:p>
          <w:p w14:paraId="2606415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2–17 years: </w:t>
            </w:r>
            <w:r w:rsidRPr="00F10C37">
              <w:rPr>
                <w:rFonts w:eastAsiaTheme="minorHAnsi" w:cs="Times New Roman"/>
                <w:kern w:val="0"/>
                <w:szCs w:val="24"/>
                <w:lang w:val="en-US" w:eastAsia="en-US"/>
              </w:rPr>
              <w:t xml:space="preserve">Initially 50 </w:t>
            </w:r>
            <w:r>
              <w:rPr>
                <w:rFonts w:eastAsiaTheme="minorHAnsi" w:cs="Times New Roman"/>
                <w:kern w:val="0"/>
                <w:szCs w:val="24"/>
                <w:lang w:val="en-US" w:eastAsia="en-US"/>
              </w:rPr>
              <w:t>mcg</w:t>
            </w:r>
            <w:r w:rsidRPr="00F10C37">
              <w:rPr>
                <w:rFonts w:eastAsiaTheme="minorHAnsi" w:cs="Times New Roman"/>
                <w:kern w:val="0"/>
                <w:szCs w:val="24"/>
                <w:lang w:val="en-US" w:eastAsia="en-US"/>
              </w:rPr>
              <w:t xml:space="preserve">/kg twice daily (max. per dose 3.125 mg) for at least 2 weeks, then increased to 100 </w:t>
            </w:r>
            <w:r>
              <w:rPr>
                <w:rFonts w:eastAsiaTheme="minorHAnsi" w:cs="Times New Roman"/>
                <w:kern w:val="0"/>
                <w:szCs w:val="24"/>
                <w:lang w:val="en-US" w:eastAsia="en-US"/>
              </w:rPr>
              <w:t>mcg</w:t>
            </w:r>
            <w:r w:rsidRPr="00F10C37">
              <w:rPr>
                <w:rFonts w:eastAsiaTheme="minorHAnsi" w:cs="Times New Roman"/>
                <w:kern w:val="0"/>
                <w:szCs w:val="24"/>
                <w:lang w:val="en-US" w:eastAsia="en-US"/>
              </w:rPr>
              <w:t xml:space="preserve">/kg twice daily for at least 2 weeks, then increased to 200 </w:t>
            </w:r>
            <w:r>
              <w:rPr>
                <w:rFonts w:eastAsiaTheme="minorHAnsi" w:cs="Times New Roman"/>
                <w:kern w:val="0"/>
                <w:szCs w:val="24"/>
                <w:lang w:val="en-US" w:eastAsia="en-US"/>
              </w:rPr>
              <w:t>mcg</w:t>
            </w:r>
            <w:r w:rsidRPr="00F10C37">
              <w:rPr>
                <w:rFonts w:eastAsiaTheme="minorHAnsi" w:cs="Times New Roman"/>
                <w:kern w:val="0"/>
                <w:szCs w:val="24"/>
                <w:lang w:val="en-US" w:eastAsia="en-US"/>
              </w:rPr>
              <w:t xml:space="preserve">/kg twice daily, then increased if necessary up to 350 </w:t>
            </w:r>
            <w:r>
              <w:rPr>
                <w:rFonts w:eastAsiaTheme="minorHAnsi" w:cs="Times New Roman"/>
                <w:kern w:val="0"/>
                <w:szCs w:val="24"/>
                <w:lang w:val="en-US" w:eastAsia="en-US"/>
              </w:rPr>
              <w:t>mcg</w:t>
            </w:r>
            <w:r w:rsidRPr="00F10C37">
              <w:rPr>
                <w:rFonts w:eastAsiaTheme="minorHAnsi" w:cs="Times New Roman"/>
                <w:kern w:val="0"/>
                <w:szCs w:val="24"/>
                <w:lang w:val="en-US" w:eastAsia="en-US"/>
              </w:rPr>
              <w:t>/kg twice daily (max. per dose 25 mg)</w:t>
            </w:r>
          </w:p>
          <w:p w14:paraId="5905F9C1"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967CBB">
              <w:rPr>
                <w:rFonts w:cs="Times New Roman"/>
                <w:i/>
                <w:szCs w:val="24"/>
              </w:rPr>
              <w:t>Note:</w:t>
            </w:r>
            <w:r w:rsidRPr="00F10C37">
              <w:rPr>
                <w:rFonts w:cs="Times New Roman"/>
                <w:b/>
                <w:szCs w:val="24"/>
              </w:rPr>
              <w:t xml:space="preserve"> </w:t>
            </w:r>
            <w:r w:rsidRPr="003D3E3A">
              <w:rPr>
                <w:rFonts w:cs="Times New Roman"/>
                <w:i/>
                <w:szCs w:val="24"/>
              </w:rPr>
              <w:t>refer dosing for others under their respective section.</w:t>
            </w:r>
          </w:p>
        </w:tc>
      </w:tr>
      <w:tr w:rsidR="0053763D" w:rsidRPr="00F10C37" w14:paraId="66F2142C" w14:textId="77777777" w:rsidTr="00C46407">
        <w:tc>
          <w:tcPr>
            <w:tcW w:w="2425" w:type="dxa"/>
          </w:tcPr>
          <w:p w14:paraId="41583D5E"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5"/>
          </w:tcPr>
          <w:p w14:paraId="7137061A" w14:textId="77777777" w:rsidR="0053763D" w:rsidRPr="00F10C37" w:rsidRDefault="0053763D" w:rsidP="00C46407">
            <w:pPr>
              <w:jc w:val="both"/>
              <w:rPr>
                <w:rFonts w:cs="Times New Roman"/>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class IV of the heart failure, clinically significant hepatic dysfunction, bronchial asthma, AV block</w:t>
            </w:r>
            <w:r>
              <w:rPr>
                <w:rFonts w:cs="Times New Roman"/>
                <w:szCs w:val="24"/>
              </w:rPr>
              <w:t xml:space="preserve"> (</w:t>
            </w:r>
            <w:r w:rsidRPr="00F10C37">
              <w:rPr>
                <w:rFonts w:cs="Times New Roman"/>
                <w:szCs w:val="24"/>
              </w:rPr>
              <w:t>degree II or III</w:t>
            </w:r>
            <w:r>
              <w:rPr>
                <w:rFonts w:cs="Times New Roman"/>
                <w:szCs w:val="24"/>
              </w:rPr>
              <w:t>)</w:t>
            </w:r>
            <w:r w:rsidRPr="00F10C37">
              <w:rPr>
                <w:rFonts w:cs="Times New Roman"/>
                <w:szCs w:val="24"/>
              </w:rPr>
              <w:t>, severe bradycardia (&lt;50 bpm), sick sinus syndrome (e.g. sino-atrial block), cardiogenic shock, severe hypotension (SBP&lt; 85 mmHg), Prinzmetal’s angina, untreated pheochromocytoma, metabolic acidosis, severe peripheral arterial circulatory disturbances.</w:t>
            </w:r>
          </w:p>
        </w:tc>
      </w:tr>
      <w:tr w:rsidR="0053763D" w:rsidRPr="00F10C37" w14:paraId="65B65331" w14:textId="77777777" w:rsidTr="00C46407">
        <w:tc>
          <w:tcPr>
            <w:tcW w:w="2425" w:type="dxa"/>
          </w:tcPr>
          <w:p w14:paraId="6FFCB83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5"/>
          </w:tcPr>
          <w:p w14:paraId="4D342D2F" w14:textId="77777777" w:rsidR="0053763D" w:rsidRPr="00F10C37" w:rsidRDefault="0053763D" w:rsidP="00C46407">
            <w:pPr>
              <w:contextualSpacing/>
              <w:jc w:val="both"/>
              <w:rPr>
                <w:rFonts w:cs="Times New Roman"/>
                <w:szCs w:val="24"/>
              </w:rPr>
            </w:pPr>
            <w:r w:rsidRPr="00F10C37">
              <w:rPr>
                <w:rFonts w:cs="Times New Roman"/>
                <w:szCs w:val="24"/>
              </w:rPr>
              <w:t>Chlorpromazine, artemether/lumefantrine, afatinib, diltiazem, verapamil, amiodarone, class I antiarrhythmics, methyldopa, dihydropyridine</w:t>
            </w:r>
            <w:r>
              <w:rPr>
                <w:rFonts w:cs="Times New Roman"/>
                <w:szCs w:val="24"/>
              </w:rPr>
              <w:t>s</w:t>
            </w:r>
            <w:r w:rsidRPr="00F10C37">
              <w:rPr>
                <w:rFonts w:cs="Times New Roman"/>
                <w:szCs w:val="24"/>
              </w:rPr>
              <w:t xml:space="preserve">, </w:t>
            </w:r>
            <w:r>
              <w:rPr>
                <w:rFonts w:cs="Times New Roman"/>
                <w:szCs w:val="24"/>
              </w:rPr>
              <w:t>n</w:t>
            </w:r>
            <w:r w:rsidRPr="00F10C37">
              <w:rPr>
                <w:rFonts w:cs="Times New Roman"/>
                <w:szCs w:val="24"/>
              </w:rPr>
              <w:t xml:space="preserve">itrates, digoxin, antihypertensives, </w:t>
            </w:r>
            <w:r>
              <w:rPr>
                <w:rFonts w:cs="Times New Roman"/>
                <w:szCs w:val="24"/>
              </w:rPr>
              <w:t>beta-blockers</w:t>
            </w:r>
            <w:r w:rsidRPr="00F10C37">
              <w:rPr>
                <w:rFonts w:cs="Times New Roman"/>
                <w:szCs w:val="24"/>
              </w:rPr>
              <w:t>, α1-receptor antagonists, barbiturates, phenothiazines, tricyclic antidepressants, vasodilating agents.</w:t>
            </w:r>
          </w:p>
        </w:tc>
      </w:tr>
      <w:tr w:rsidR="0053763D" w:rsidRPr="00F10C37" w14:paraId="5BA23AC1" w14:textId="77777777" w:rsidTr="00C46407">
        <w:tc>
          <w:tcPr>
            <w:tcW w:w="2425" w:type="dxa"/>
          </w:tcPr>
          <w:p w14:paraId="1EA266F4"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5"/>
          </w:tcPr>
          <w:p w14:paraId="5754648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Abdominal discomfort, bradycardia, confusion, depression, diarrhea, dizziness, dry eye, dyspnoea, erectile dysfunction, fatigue, headache, heart failure, nausea, paraesthesia, peripheral coldness, peripheral vascular disease, rash, sleep disorders, syncope, visual impairment, vomiting </w:t>
            </w:r>
          </w:p>
        </w:tc>
      </w:tr>
      <w:tr w:rsidR="0053763D" w:rsidRPr="00F10C37" w14:paraId="5A84601D" w14:textId="77777777" w:rsidTr="00C46407">
        <w:tc>
          <w:tcPr>
            <w:tcW w:w="2425" w:type="dxa"/>
          </w:tcPr>
          <w:p w14:paraId="79B4ED87"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5"/>
          </w:tcPr>
          <w:p w14:paraId="2D095811"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Diabetes, first-degree AV block, history of obstructive airways disease, myasthenia gravis, portal hypertension, psoriasis, </w:t>
            </w:r>
            <w:r w:rsidRPr="00F10C37">
              <w:rPr>
                <w:rFonts w:cs="Times New Roman"/>
                <w:szCs w:val="24"/>
              </w:rPr>
              <w:t xml:space="preserve">severe liver impairment, renal impairment, </w:t>
            </w:r>
            <w:r>
              <w:rPr>
                <w:rFonts w:cs="Times New Roman"/>
                <w:szCs w:val="24"/>
              </w:rPr>
              <w:t>hypotension</w:t>
            </w:r>
            <w:r w:rsidRPr="00F10C37">
              <w:rPr>
                <w:rFonts w:cs="Times New Roman"/>
                <w:szCs w:val="24"/>
              </w:rPr>
              <w:t>, ischemic heart disease, or diffuse vascular disease, pregnancy</w:t>
            </w:r>
            <w:r>
              <w:rPr>
                <w:rFonts w:cs="Times New Roman"/>
                <w:szCs w:val="24"/>
              </w:rPr>
              <w:t xml:space="preserve"> </w:t>
            </w:r>
            <w:r w:rsidRPr="00F10C37">
              <w:rPr>
                <w:rFonts w:cs="Times New Roman"/>
                <w:szCs w:val="24"/>
              </w:rPr>
              <w:t>and breast feeding</w:t>
            </w:r>
          </w:p>
        </w:tc>
      </w:tr>
      <w:tr w:rsidR="0053763D" w:rsidRPr="00F10C37" w14:paraId="0DDAF75C" w14:textId="77777777" w:rsidTr="00C46407">
        <w:tc>
          <w:tcPr>
            <w:tcW w:w="2425" w:type="dxa"/>
          </w:tcPr>
          <w:p w14:paraId="23680D8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5"/>
          </w:tcPr>
          <w:p w14:paraId="69DAE6F3" w14:textId="77777777" w:rsidR="0053763D" w:rsidRPr="00F10C37" w:rsidRDefault="0053763D" w:rsidP="00C46407">
            <w:pPr>
              <w:jc w:val="both"/>
              <w:rPr>
                <w:rFonts w:cs="Times New Roman"/>
                <w:szCs w:val="24"/>
              </w:rPr>
            </w:pPr>
            <w:r w:rsidRPr="00F10C37">
              <w:rPr>
                <w:rFonts w:cs="Times New Roman"/>
                <w:szCs w:val="24"/>
              </w:rPr>
              <w:t xml:space="preserve">Store at between 15º and 30ºC. Protect from </w:t>
            </w:r>
            <w:r>
              <w:rPr>
                <w:rFonts w:cs="Times New Roman"/>
                <w:szCs w:val="24"/>
              </w:rPr>
              <w:t>moisture.</w:t>
            </w:r>
          </w:p>
        </w:tc>
      </w:tr>
      <w:tr w:rsidR="0053763D" w:rsidRPr="00F10C37" w14:paraId="34D94017" w14:textId="77777777" w:rsidTr="00C46407">
        <w:trPr>
          <w:trHeight w:val="518"/>
        </w:trPr>
        <w:tc>
          <w:tcPr>
            <w:tcW w:w="9265" w:type="dxa"/>
            <w:gridSpan w:val="6"/>
          </w:tcPr>
          <w:p w14:paraId="24503A4C" w14:textId="77777777" w:rsidR="0053763D" w:rsidRPr="00F10C37" w:rsidRDefault="0053763D" w:rsidP="00C46407">
            <w:pPr>
              <w:jc w:val="both"/>
              <w:rPr>
                <w:rFonts w:cs="Times New Roman"/>
                <w:b/>
                <w:szCs w:val="24"/>
              </w:rPr>
            </w:pPr>
            <w:r w:rsidRPr="00F10C37">
              <w:rPr>
                <w:rFonts w:cs="Times New Roman"/>
                <w:b/>
                <w:szCs w:val="24"/>
              </w:rPr>
              <w:lastRenderedPageBreak/>
              <w:t>Dapagliflozin</w:t>
            </w:r>
          </w:p>
        </w:tc>
      </w:tr>
      <w:tr w:rsidR="0053763D" w:rsidRPr="00F10C37" w14:paraId="602A6747" w14:textId="77777777" w:rsidTr="00C46407">
        <w:trPr>
          <w:trHeight w:val="518"/>
        </w:trPr>
        <w:tc>
          <w:tcPr>
            <w:tcW w:w="2914" w:type="dxa"/>
            <w:gridSpan w:val="5"/>
          </w:tcPr>
          <w:p w14:paraId="0D7C7AF7"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351" w:type="dxa"/>
          </w:tcPr>
          <w:p w14:paraId="7B860994"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Sodium glucose cotransporter 2 inhibitors </w:t>
            </w:r>
          </w:p>
        </w:tc>
      </w:tr>
      <w:tr w:rsidR="0053763D" w:rsidRPr="00F10C37" w14:paraId="2F00C4B4" w14:textId="77777777" w:rsidTr="00C46407">
        <w:trPr>
          <w:trHeight w:val="400"/>
        </w:trPr>
        <w:tc>
          <w:tcPr>
            <w:tcW w:w="2914" w:type="dxa"/>
            <w:gridSpan w:val="5"/>
          </w:tcPr>
          <w:p w14:paraId="55C8FA04" w14:textId="77777777" w:rsidR="0053763D" w:rsidRPr="00F10C37" w:rsidRDefault="0053763D" w:rsidP="00C46407">
            <w:pPr>
              <w:jc w:val="both"/>
              <w:rPr>
                <w:rFonts w:cs="Times New Roman"/>
                <w:szCs w:val="24"/>
              </w:rPr>
            </w:pPr>
            <w:r w:rsidRPr="00F10C37">
              <w:rPr>
                <w:rFonts w:cs="Times New Roman"/>
                <w:szCs w:val="24"/>
              </w:rPr>
              <w:t>Dosage form</w:t>
            </w:r>
          </w:p>
        </w:tc>
        <w:tc>
          <w:tcPr>
            <w:tcW w:w="6351" w:type="dxa"/>
          </w:tcPr>
          <w:p w14:paraId="1A2C4286"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Film coated tablet: 10mg </w:t>
            </w:r>
          </w:p>
        </w:tc>
      </w:tr>
      <w:tr w:rsidR="0053763D" w:rsidRPr="00F10C37" w14:paraId="2FFAED47" w14:textId="77777777" w:rsidTr="00C46407">
        <w:trPr>
          <w:trHeight w:val="527"/>
        </w:trPr>
        <w:tc>
          <w:tcPr>
            <w:tcW w:w="2914" w:type="dxa"/>
            <w:gridSpan w:val="5"/>
          </w:tcPr>
          <w:p w14:paraId="4B8705CE" w14:textId="77777777" w:rsidR="0053763D" w:rsidRPr="00E519BA" w:rsidRDefault="0053763D" w:rsidP="00C46407">
            <w:pPr>
              <w:jc w:val="both"/>
              <w:rPr>
                <w:rFonts w:cs="Times New Roman"/>
                <w:szCs w:val="24"/>
              </w:rPr>
            </w:pPr>
            <w:r w:rsidRPr="00E519BA">
              <w:rPr>
                <w:rFonts w:cs="Times New Roman"/>
                <w:szCs w:val="24"/>
              </w:rPr>
              <w:t>Indications</w:t>
            </w:r>
          </w:p>
        </w:tc>
        <w:tc>
          <w:tcPr>
            <w:tcW w:w="6351" w:type="dxa"/>
          </w:tcPr>
          <w:p w14:paraId="15F69691"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ymptomatic chronic heart failure (stage C) with reduced ejection fraction</w:t>
            </w:r>
            <w:r>
              <w:rPr>
                <w:rFonts w:cs="Times New Roman"/>
                <w:szCs w:val="24"/>
              </w:rPr>
              <w:t>,</w:t>
            </w:r>
            <w:r w:rsidRPr="00F10C37">
              <w:rPr>
                <w:rFonts w:cs="Times New Roman"/>
                <w:szCs w:val="24"/>
              </w:rPr>
              <w:t xml:space="preserve"> </w:t>
            </w:r>
            <w:r>
              <w:rPr>
                <w:rFonts w:cs="Times New Roman"/>
                <w:szCs w:val="24"/>
              </w:rPr>
              <w:t>t</w:t>
            </w:r>
            <w:r w:rsidRPr="00F10C37">
              <w:rPr>
                <w:rFonts w:cs="Times New Roman"/>
                <w:szCs w:val="24"/>
              </w:rPr>
              <w:t>ype 2 diabetes mellitus,</w:t>
            </w:r>
            <w:r>
              <w:rPr>
                <w:rFonts w:cs="Times New Roman"/>
                <w:szCs w:val="24"/>
              </w:rPr>
              <w:t xml:space="preserve"> </w:t>
            </w:r>
            <w:r w:rsidRPr="00F10C37">
              <w:rPr>
                <w:rFonts w:cs="Times New Roman"/>
                <w:szCs w:val="24"/>
              </w:rPr>
              <w:t>chronic kidney disease.</w:t>
            </w:r>
          </w:p>
        </w:tc>
      </w:tr>
      <w:tr w:rsidR="0053763D" w:rsidRPr="00F10C37" w14:paraId="78300366" w14:textId="77777777" w:rsidTr="00C46407">
        <w:trPr>
          <w:trHeight w:val="527"/>
        </w:trPr>
        <w:tc>
          <w:tcPr>
            <w:tcW w:w="2914" w:type="dxa"/>
            <w:gridSpan w:val="5"/>
          </w:tcPr>
          <w:p w14:paraId="486D83E6"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351" w:type="dxa"/>
          </w:tcPr>
          <w:p w14:paraId="2C69F6DB" w14:textId="77777777" w:rsidR="0053763D" w:rsidRPr="00F10C37" w:rsidRDefault="0053763D" w:rsidP="00C46407">
            <w:pPr>
              <w:jc w:val="both"/>
              <w:rPr>
                <w:rFonts w:cs="Times New Roman"/>
                <w:szCs w:val="24"/>
              </w:rPr>
            </w:pPr>
            <w:r w:rsidRPr="00967CBB">
              <w:rPr>
                <w:rFonts w:cs="Times New Roman"/>
                <w:szCs w:val="24"/>
              </w:rPr>
              <w:t>For all</w:t>
            </w:r>
            <w:r w:rsidRPr="00F10C37">
              <w:rPr>
                <w:rFonts w:cs="Times New Roman"/>
                <w:b/>
                <w:szCs w:val="24"/>
              </w:rPr>
              <w:t xml:space="preserve"> </w:t>
            </w:r>
            <w:r w:rsidRPr="000674E0">
              <w:rPr>
                <w:rFonts w:cs="Times New Roman"/>
                <w:szCs w:val="24"/>
              </w:rPr>
              <w:t>Indications</w:t>
            </w:r>
            <w:r w:rsidRPr="00F10C37">
              <w:rPr>
                <w:rFonts w:cs="Times New Roman"/>
                <w:szCs w:val="24"/>
              </w:rPr>
              <w:t>, the recommended dose is 10mg orally once daily.</w:t>
            </w:r>
          </w:p>
        </w:tc>
      </w:tr>
      <w:tr w:rsidR="0053763D" w:rsidRPr="00F10C37" w14:paraId="35B3CA1D" w14:textId="77777777" w:rsidTr="00C46407">
        <w:trPr>
          <w:trHeight w:val="835"/>
        </w:trPr>
        <w:tc>
          <w:tcPr>
            <w:tcW w:w="2914" w:type="dxa"/>
            <w:gridSpan w:val="5"/>
          </w:tcPr>
          <w:p w14:paraId="64FF6A12"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351" w:type="dxa"/>
          </w:tcPr>
          <w:p w14:paraId="359524DC"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the </w:t>
            </w:r>
            <w:r>
              <w:rPr>
                <w:rFonts w:cs="Times New Roman"/>
                <w:szCs w:val="24"/>
              </w:rPr>
              <w:t>drug, d</w:t>
            </w:r>
            <w:r w:rsidRPr="00F10C37">
              <w:rPr>
                <w:rFonts w:cs="Times New Roman"/>
                <w:szCs w:val="24"/>
              </w:rPr>
              <w:t>iabetic ketoacidosis, pregnancy, breast feeding, renal impairment</w:t>
            </w:r>
            <w:r>
              <w:rPr>
                <w:rFonts w:eastAsiaTheme="minorHAnsi" w:cs="Times New Roman"/>
                <w:color w:val="231F20"/>
                <w:kern w:val="0"/>
                <w:szCs w:val="24"/>
                <w:lang w:val="en-US" w:eastAsia="en-US"/>
              </w:rPr>
              <w:t>.</w:t>
            </w:r>
          </w:p>
        </w:tc>
      </w:tr>
      <w:tr w:rsidR="0053763D" w:rsidRPr="00F10C37" w14:paraId="30EA7597" w14:textId="77777777" w:rsidTr="00C46407">
        <w:trPr>
          <w:trHeight w:val="422"/>
        </w:trPr>
        <w:tc>
          <w:tcPr>
            <w:tcW w:w="2914" w:type="dxa"/>
            <w:gridSpan w:val="5"/>
          </w:tcPr>
          <w:p w14:paraId="4D5D8B3C"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351" w:type="dxa"/>
          </w:tcPr>
          <w:p w14:paraId="18B34854" w14:textId="77777777" w:rsidR="0053763D" w:rsidRPr="00F10C37" w:rsidRDefault="0053763D" w:rsidP="00C46407">
            <w:pPr>
              <w:jc w:val="both"/>
              <w:rPr>
                <w:rFonts w:cs="Times New Roman"/>
                <w:szCs w:val="24"/>
              </w:rPr>
            </w:pPr>
            <w:r w:rsidRPr="00F10C37">
              <w:rPr>
                <w:rFonts w:cs="Times New Roman"/>
                <w:szCs w:val="24"/>
              </w:rPr>
              <w:t>Phenytoin, insulin and insulin secretagogues, diuretics</w:t>
            </w:r>
          </w:p>
        </w:tc>
      </w:tr>
      <w:tr w:rsidR="0053763D" w:rsidRPr="00F10C37" w14:paraId="6E78EF4B" w14:textId="77777777" w:rsidTr="00C46407">
        <w:trPr>
          <w:trHeight w:val="2537"/>
        </w:trPr>
        <w:tc>
          <w:tcPr>
            <w:tcW w:w="2914" w:type="dxa"/>
            <w:gridSpan w:val="5"/>
          </w:tcPr>
          <w:p w14:paraId="2DADE8BD" w14:textId="77777777" w:rsidR="0053763D" w:rsidRPr="00F10C37" w:rsidRDefault="0053763D" w:rsidP="00C46407">
            <w:pPr>
              <w:jc w:val="both"/>
              <w:rPr>
                <w:rFonts w:cs="Times New Roman"/>
                <w:szCs w:val="24"/>
              </w:rPr>
            </w:pPr>
            <w:r w:rsidRPr="00F10C37">
              <w:rPr>
                <w:rFonts w:cs="Times New Roman"/>
                <w:szCs w:val="24"/>
              </w:rPr>
              <w:t>Side effects</w:t>
            </w:r>
          </w:p>
        </w:tc>
        <w:tc>
          <w:tcPr>
            <w:tcW w:w="6351" w:type="dxa"/>
          </w:tcPr>
          <w:p w14:paraId="03C66E0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Back pain, balanoposthitis, diabetic ketoacidosis, dizziness, dyslipidemia, hypoglycemia, increased risk of infection, rash, urinary disorders, constipation, dry mouth, genital pruritus, hypovolemia, thirst, vulvovaginal pruritus, weight decreased, </w:t>
            </w:r>
            <w:r w:rsidRPr="00F10C37">
              <w:rPr>
                <w:rFonts w:cs="Times New Roman"/>
                <w:szCs w:val="24"/>
              </w:rPr>
              <w:t xml:space="preserve">rash, haematocrit increased, creatinine renal clearance decreased during initial treatment, dyslipidaemia, necrotizing fasciitis of the perineum (Fournier's gangrene), angioedema. </w:t>
            </w:r>
          </w:p>
        </w:tc>
      </w:tr>
      <w:tr w:rsidR="0053763D" w:rsidRPr="00F10C37" w14:paraId="24337156" w14:textId="77777777" w:rsidTr="00C46407">
        <w:trPr>
          <w:trHeight w:val="440"/>
        </w:trPr>
        <w:tc>
          <w:tcPr>
            <w:tcW w:w="2914" w:type="dxa"/>
            <w:gridSpan w:val="5"/>
          </w:tcPr>
          <w:p w14:paraId="3080F2C7" w14:textId="77777777" w:rsidR="0053763D" w:rsidRPr="00F10C37" w:rsidRDefault="0053763D" w:rsidP="00C46407">
            <w:pPr>
              <w:jc w:val="both"/>
              <w:rPr>
                <w:rFonts w:cs="Times New Roman"/>
                <w:szCs w:val="24"/>
              </w:rPr>
            </w:pPr>
            <w:r w:rsidRPr="00F10C37">
              <w:rPr>
                <w:rFonts w:cs="Times New Roman"/>
                <w:szCs w:val="24"/>
              </w:rPr>
              <w:t>Cautions</w:t>
            </w:r>
          </w:p>
        </w:tc>
        <w:tc>
          <w:tcPr>
            <w:tcW w:w="6351" w:type="dxa"/>
          </w:tcPr>
          <w:p w14:paraId="5DEE90B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Volume depletion</w:t>
            </w:r>
            <w:r w:rsidRPr="00F10C37">
              <w:rPr>
                <w:rFonts w:eastAsiaTheme="minorHAnsi" w:cs="Times New Roman"/>
                <w:color w:val="231F20"/>
                <w:kern w:val="0"/>
                <w:szCs w:val="24"/>
                <w:lang w:val="en-US" w:eastAsia="en-US"/>
              </w:rPr>
              <w:t>, elderly,</w:t>
            </w:r>
            <w:r w:rsidRPr="00F10C37">
              <w:rPr>
                <w:rFonts w:cs="Times New Roman"/>
                <w:szCs w:val="24"/>
              </w:rPr>
              <w:t xml:space="preserve"> renal impairment, severe liver impairment.</w:t>
            </w:r>
          </w:p>
        </w:tc>
      </w:tr>
      <w:tr w:rsidR="0053763D" w:rsidRPr="00F10C37" w14:paraId="7687FBE3" w14:textId="77777777" w:rsidTr="00C46407">
        <w:trPr>
          <w:trHeight w:val="410"/>
        </w:trPr>
        <w:tc>
          <w:tcPr>
            <w:tcW w:w="2914" w:type="dxa"/>
            <w:gridSpan w:val="5"/>
          </w:tcPr>
          <w:p w14:paraId="648FBF71"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351" w:type="dxa"/>
          </w:tcPr>
          <w:p w14:paraId="79B02BA9" w14:textId="77777777" w:rsidR="0053763D" w:rsidRPr="00F10C37" w:rsidRDefault="0053763D" w:rsidP="00C46407">
            <w:pPr>
              <w:jc w:val="both"/>
              <w:rPr>
                <w:rFonts w:cs="Times New Roman"/>
                <w:szCs w:val="24"/>
              </w:rPr>
            </w:pPr>
            <w:r w:rsidRPr="00F10C37">
              <w:rPr>
                <w:rFonts w:cs="Times New Roman"/>
                <w:szCs w:val="24"/>
              </w:rPr>
              <w:t>Store between 15 and 30ºC.</w:t>
            </w:r>
          </w:p>
        </w:tc>
      </w:tr>
      <w:tr w:rsidR="0053763D" w:rsidRPr="00F10C37" w14:paraId="2BF22664" w14:textId="77777777" w:rsidTr="00C46407">
        <w:trPr>
          <w:trHeight w:val="515"/>
        </w:trPr>
        <w:tc>
          <w:tcPr>
            <w:tcW w:w="9265" w:type="dxa"/>
            <w:gridSpan w:val="6"/>
          </w:tcPr>
          <w:p w14:paraId="59D7194B" w14:textId="77777777" w:rsidR="0053763D" w:rsidRPr="00F10C37" w:rsidRDefault="0053763D" w:rsidP="00C46407">
            <w:pPr>
              <w:jc w:val="both"/>
              <w:rPr>
                <w:rFonts w:cs="Times New Roman"/>
                <w:szCs w:val="24"/>
              </w:rPr>
            </w:pPr>
            <w:r w:rsidRPr="00F10C37">
              <w:rPr>
                <w:rFonts w:cs="Times New Roman"/>
                <w:b/>
                <w:szCs w:val="24"/>
              </w:rPr>
              <w:t xml:space="preserve">Digoxin </w:t>
            </w:r>
          </w:p>
        </w:tc>
      </w:tr>
      <w:tr w:rsidR="0053763D" w:rsidRPr="00F10C37" w14:paraId="47D3789F" w14:textId="77777777" w:rsidTr="00C46407">
        <w:trPr>
          <w:trHeight w:val="515"/>
        </w:trPr>
        <w:tc>
          <w:tcPr>
            <w:tcW w:w="2592" w:type="dxa"/>
            <w:gridSpan w:val="2"/>
          </w:tcPr>
          <w:p w14:paraId="03B7A37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73" w:type="dxa"/>
            <w:gridSpan w:val="4"/>
          </w:tcPr>
          <w:p w14:paraId="3707F875"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Cardiac glycoside  </w:t>
            </w:r>
          </w:p>
        </w:tc>
      </w:tr>
      <w:tr w:rsidR="0053763D" w:rsidRPr="00F10C37" w14:paraId="289FB57F" w14:textId="77777777" w:rsidTr="00C46407">
        <w:trPr>
          <w:trHeight w:val="343"/>
        </w:trPr>
        <w:tc>
          <w:tcPr>
            <w:tcW w:w="2592" w:type="dxa"/>
            <w:gridSpan w:val="2"/>
          </w:tcPr>
          <w:p w14:paraId="16C7369E" w14:textId="77777777" w:rsidR="0053763D" w:rsidRPr="00F10C37" w:rsidRDefault="0053763D" w:rsidP="00C46407">
            <w:pPr>
              <w:jc w:val="both"/>
              <w:rPr>
                <w:rFonts w:cs="Times New Roman"/>
                <w:szCs w:val="24"/>
              </w:rPr>
            </w:pPr>
            <w:r w:rsidRPr="00F10C37">
              <w:rPr>
                <w:rFonts w:cs="Times New Roman"/>
                <w:szCs w:val="24"/>
              </w:rPr>
              <w:t>Dosage form</w:t>
            </w:r>
          </w:p>
        </w:tc>
        <w:tc>
          <w:tcPr>
            <w:tcW w:w="6673" w:type="dxa"/>
            <w:gridSpan w:val="4"/>
          </w:tcPr>
          <w:p w14:paraId="7387107B" w14:textId="77777777" w:rsidR="0053763D" w:rsidRPr="00BB6844" w:rsidRDefault="0053763D" w:rsidP="00C46407">
            <w:pPr>
              <w:jc w:val="both"/>
              <w:rPr>
                <w:rFonts w:cs="Times New Roman"/>
                <w:szCs w:val="24"/>
              </w:rPr>
            </w:pPr>
            <w:r w:rsidRPr="003D3E3A">
              <w:rPr>
                <w:rFonts w:cs="Times New Roman"/>
                <w:szCs w:val="24"/>
              </w:rPr>
              <w:t>Tablet:</w:t>
            </w:r>
            <w:r w:rsidRPr="00BB6844">
              <w:rPr>
                <w:rFonts w:cs="Times New Roman"/>
                <w:szCs w:val="24"/>
              </w:rPr>
              <w:t xml:space="preserve"> 0.25mg</w:t>
            </w:r>
          </w:p>
          <w:p w14:paraId="1F902AA8" w14:textId="77777777" w:rsidR="0053763D" w:rsidRPr="00BB6844" w:rsidRDefault="0053763D" w:rsidP="00C46407">
            <w:pPr>
              <w:jc w:val="both"/>
              <w:rPr>
                <w:rFonts w:cs="Times New Roman"/>
                <w:szCs w:val="24"/>
              </w:rPr>
            </w:pPr>
            <w:r w:rsidRPr="003D3E3A">
              <w:rPr>
                <w:rFonts w:cs="Times New Roman"/>
                <w:szCs w:val="24"/>
              </w:rPr>
              <w:t>Injection</w:t>
            </w:r>
            <w:r w:rsidRPr="00BB6844">
              <w:rPr>
                <w:rFonts w:cs="Times New Roman"/>
                <w:szCs w:val="24"/>
              </w:rPr>
              <w:t>: 0.25 mg/</w:t>
            </w:r>
            <w:r>
              <w:rPr>
                <w:rFonts w:cs="Times New Roman"/>
                <w:szCs w:val="24"/>
              </w:rPr>
              <w:t>ml</w:t>
            </w:r>
            <w:r w:rsidRPr="00BB6844">
              <w:rPr>
                <w:rFonts w:cs="Times New Roman"/>
                <w:szCs w:val="24"/>
              </w:rPr>
              <w:t xml:space="preserve"> in 2</w:t>
            </w:r>
            <w:r>
              <w:rPr>
                <w:rFonts w:cs="Times New Roman"/>
                <w:szCs w:val="24"/>
              </w:rPr>
              <w:t>ml</w:t>
            </w:r>
            <w:r w:rsidRPr="00BB6844">
              <w:rPr>
                <w:rFonts w:cs="Times New Roman"/>
                <w:szCs w:val="24"/>
              </w:rPr>
              <w:t xml:space="preserve"> ampoule</w:t>
            </w:r>
          </w:p>
          <w:p w14:paraId="78C13F20" w14:textId="77777777" w:rsidR="0053763D" w:rsidRPr="00F10C37" w:rsidRDefault="0053763D" w:rsidP="00C46407">
            <w:pPr>
              <w:jc w:val="both"/>
              <w:rPr>
                <w:rFonts w:cs="Times New Roman"/>
                <w:szCs w:val="24"/>
              </w:rPr>
            </w:pPr>
            <w:r w:rsidRPr="003D3E3A">
              <w:rPr>
                <w:rFonts w:cs="Times New Roman"/>
                <w:szCs w:val="24"/>
              </w:rPr>
              <w:t>Elixir</w:t>
            </w:r>
            <w:r w:rsidRPr="00BB6844">
              <w:rPr>
                <w:rFonts w:cs="Times New Roman"/>
                <w:szCs w:val="24"/>
              </w:rPr>
              <w:t>:</w:t>
            </w:r>
            <w:r w:rsidRPr="00F10C37">
              <w:rPr>
                <w:rFonts w:cs="Times New Roman"/>
                <w:szCs w:val="24"/>
              </w:rPr>
              <w:t xml:space="preserve"> 0.05mg/</w:t>
            </w:r>
            <w:r>
              <w:rPr>
                <w:rFonts w:cs="Times New Roman"/>
                <w:szCs w:val="24"/>
              </w:rPr>
              <w:t>ml</w:t>
            </w:r>
          </w:p>
        </w:tc>
      </w:tr>
      <w:tr w:rsidR="0053763D" w:rsidRPr="00F10C37" w14:paraId="102527CA" w14:textId="77777777" w:rsidTr="00C46407">
        <w:trPr>
          <w:trHeight w:val="524"/>
        </w:trPr>
        <w:tc>
          <w:tcPr>
            <w:tcW w:w="2592" w:type="dxa"/>
            <w:gridSpan w:val="2"/>
          </w:tcPr>
          <w:p w14:paraId="1202A12E" w14:textId="77777777" w:rsidR="0053763D" w:rsidRPr="00A36ADB" w:rsidRDefault="0053763D" w:rsidP="00C46407">
            <w:pPr>
              <w:jc w:val="both"/>
              <w:rPr>
                <w:rFonts w:cs="Times New Roman"/>
                <w:szCs w:val="24"/>
              </w:rPr>
            </w:pPr>
            <w:r w:rsidRPr="00A36ADB">
              <w:rPr>
                <w:rFonts w:cs="Times New Roman"/>
                <w:szCs w:val="24"/>
              </w:rPr>
              <w:t>Indications</w:t>
            </w:r>
          </w:p>
        </w:tc>
        <w:tc>
          <w:tcPr>
            <w:tcW w:w="6673" w:type="dxa"/>
            <w:gridSpan w:val="4"/>
          </w:tcPr>
          <w:p w14:paraId="09EE2599" w14:textId="77777777" w:rsidR="0053763D" w:rsidRPr="00967CBB" w:rsidRDefault="0053763D" w:rsidP="00C46407">
            <w:pPr>
              <w:jc w:val="both"/>
              <w:rPr>
                <w:rFonts w:cs="Times New Roman"/>
                <w:szCs w:val="24"/>
              </w:rPr>
            </w:pPr>
            <w:r w:rsidRPr="00967CBB">
              <w:rPr>
                <w:rFonts w:cs="Times New Roman"/>
                <w:szCs w:val="24"/>
              </w:rPr>
              <w:t>Heart failure (for patients in sinus rhythm), atrial fibrillation and flutter</w:t>
            </w:r>
            <w:r>
              <w:rPr>
                <w:rFonts w:cs="Times New Roman"/>
                <w:szCs w:val="24"/>
              </w:rPr>
              <w:t>.</w:t>
            </w:r>
          </w:p>
        </w:tc>
      </w:tr>
      <w:tr w:rsidR="0053763D" w:rsidRPr="00F10C37" w14:paraId="788219C1" w14:textId="77777777" w:rsidTr="00C46407">
        <w:trPr>
          <w:trHeight w:val="524"/>
        </w:trPr>
        <w:tc>
          <w:tcPr>
            <w:tcW w:w="2592" w:type="dxa"/>
            <w:gridSpan w:val="2"/>
          </w:tcPr>
          <w:p w14:paraId="7C74359D"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73" w:type="dxa"/>
            <w:gridSpan w:val="4"/>
          </w:tcPr>
          <w:p w14:paraId="1139C1F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BB6844">
              <w:rPr>
                <w:rFonts w:eastAsiaTheme="minorHAnsi" w:cs="Times New Roman"/>
                <w:b/>
                <w:color w:val="231F20"/>
                <w:kern w:val="0"/>
                <w:szCs w:val="24"/>
                <w:lang w:val="en-US" w:eastAsia="en-US"/>
              </w:rPr>
              <w:t>IV</w:t>
            </w:r>
            <w:r w:rsidRPr="003D3E3A">
              <w:rPr>
                <w:rFonts w:eastAsiaTheme="minorHAnsi" w:cs="Times New Roman"/>
                <w:b/>
                <w:color w:val="231F20"/>
                <w:kern w:val="0"/>
                <w:szCs w:val="24"/>
                <w:lang w:val="en-US" w:eastAsia="en-US"/>
              </w:rPr>
              <w:t xml:space="preserve"> infusion</w:t>
            </w:r>
            <w:r>
              <w:rPr>
                <w:rFonts w:eastAsiaTheme="minorHAnsi" w:cs="Times New Roman"/>
                <w:color w:val="231F20"/>
                <w:kern w:val="0"/>
                <w:szCs w:val="24"/>
                <w:lang w:val="en-US" w:eastAsia="en-US"/>
              </w:rPr>
              <w:t>:</w:t>
            </w:r>
            <w:r w:rsidRPr="00F10C37">
              <w:rPr>
                <w:rFonts w:eastAsiaTheme="minorHAnsi" w:cs="Times New Roman"/>
                <w:color w:val="231F20"/>
                <w:kern w:val="0"/>
                <w:szCs w:val="24"/>
                <w:lang w:val="en-US" w:eastAsia="en-US"/>
              </w:rPr>
              <w:t xml:space="preserve"> give intermittently in </w:t>
            </w:r>
            <w:r>
              <w:rPr>
                <w:rFonts w:eastAsiaTheme="minorHAnsi" w:cs="Times New Roman"/>
                <w:color w:val="231F20"/>
                <w:kern w:val="0"/>
                <w:szCs w:val="24"/>
                <w:lang w:val="en-US" w:eastAsia="en-US"/>
              </w:rPr>
              <w:t>g</w:t>
            </w:r>
            <w:r w:rsidRPr="00F10C37">
              <w:rPr>
                <w:rFonts w:eastAsiaTheme="minorHAnsi" w:cs="Times New Roman"/>
                <w:color w:val="231F20"/>
                <w:kern w:val="0"/>
                <w:szCs w:val="24"/>
                <w:lang w:val="en-US" w:eastAsia="en-US"/>
              </w:rPr>
              <w:t xml:space="preserve">lucose 5% or </w:t>
            </w:r>
            <w:r>
              <w:rPr>
                <w:rFonts w:eastAsiaTheme="minorHAnsi" w:cs="Times New Roman"/>
                <w:color w:val="231F20"/>
                <w:kern w:val="0"/>
                <w:szCs w:val="24"/>
                <w:lang w:val="en-US" w:eastAsia="en-US"/>
              </w:rPr>
              <w:t>s</w:t>
            </w:r>
            <w:r w:rsidRPr="00F10C37">
              <w:rPr>
                <w:rFonts w:eastAsiaTheme="minorHAnsi" w:cs="Times New Roman"/>
                <w:color w:val="231F20"/>
                <w:kern w:val="0"/>
                <w:szCs w:val="24"/>
                <w:lang w:val="en-US" w:eastAsia="en-US"/>
              </w:rPr>
              <w:t xml:space="preserve">odium chloride </w:t>
            </w:r>
            <w:r w:rsidRPr="00F10C37">
              <w:rPr>
                <w:rFonts w:eastAsiaTheme="minorHAnsi" w:cs="Times New Roman"/>
                <w:color w:val="231F20"/>
                <w:kern w:val="0"/>
                <w:szCs w:val="24"/>
                <w:lang w:val="en-US" w:eastAsia="en-US"/>
              </w:rPr>
              <w:lastRenderedPageBreak/>
              <w:t>0.9%; dilute to a concentration of not more than 62.5 m</w:t>
            </w:r>
            <w:r>
              <w:rPr>
                <w:rFonts w:eastAsiaTheme="minorHAnsi" w:cs="Times New Roman"/>
                <w:color w:val="231F20"/>
                <w:kern w:val="0"/>
                <w:szCs w:val="24"/>
                <w:lang w:val="en-US" w:eastAsia="en-US"/>
              </w:rPr>
              <w:t>cg</w:t>
            </w:r>
            <w:r w:rsidRPr="00F10C37">
              <w:rPr>
                <w:rFonts w:eastAsiaTheme="minorHAnsi" w:cs="Times New Roman"/>
                <w:color w:val="231F20"/>
                <w:kern w:val="0"/>
                <w:szCs w:val="24"/>
                <w:lang w:val="en-US" w:eastAsia="en-US"/>
              </w:rPr>
              <w:t>/</w:t>
            </w:r>
            <w:r>
              <w:rPr>
                <w:rFonts w:eastAsiaTheme="minorHAnsi" w:cs="Times New Roman"/>
                <w:color w:val="231F20"/>
                <w:kern w:val="0"/>
                <w:szCs w:val="24"/>
                <w:lang w:val="en-US" w:eastAsia="en-US"/>
              </w:rPr>
              <w:t>ml</w:t>
            </w:r>
            <w:r w:rsidRPr="00F10C37">
              <w:rPr>
                <w:rFonts w:eastAsiaTheme="minorHAnsi" w:cs="Times New Roman"/>
                <w:color w:val="231F20"/>
                <w:kern w:val="0"/>
                <w:szCs w:val="24"/>
                <w:lang w:val="en-US" w:eastAsia="en-US"/>
              </w:rPr>
              <w:t>. To be given over at least 2 hours.</w:t>
            </w:r>
          </w:p>
          <w:p w14:paraId="6FD228C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Pr>
                <w:rFonts w:eastAsiaTheme="minorHAnsi" w:cs="Times New Roman"/>
                <w:b/>
                <w:color w:val="231F20"/>
                <w:kern w:val="0"/>
                <w:szCs w:val="24"/>
                <w:lang w:val="en-US" w:eastAsia="en-US"/>
              </w:rPr>
              <w:t>O</w:t>
            </w:r>
            <w:r w:rsidRPr="00F10C37">
              <w:rPr>
                <w:rFonts w:eastAsiaTheme="minorHAnsi" w:cs="Times New Roman"/>
                <w:b/>
                <w:color w:val="231F20"/>
                <w:kern w:val="0"/>
                <w:szCs w:val="24"/>
                <w:lang w:val="en-US" w:eastAsia="en-US"/>
              </w:rPr>
              <w:t>ral</w:t>
            </w:r>
            <w:r>
              <w:rPr>
                <w:rFonts w:eastAsiaTheme="minorHAnsi" w:cs="Times New Roman"/>
                <w:color w:val="231F20"/>
                <w:kern w:val="0"/>
                <w:szCs w:val="24"/>
                <w:lang w:val="en-US" w:eastAsia="en-US"/>
              </w:rPr>
              <w:t>:</w:t>
            </w:r>
          </w:p>
          <w:p w14:paraId="6C72EED2" w14:textId="77777777" w:rsidR="0053763D" w:rsidRDefault="0053763D" w:rsidP="00C46407">
            <w:pPr>
              <w:jc w:val="both"/>
              <w:rPr>
                <w:rFonts w:cs="Times New Roman"/>
                <w:b/>
                <w:szCs w:val="24"/>
              </w:rPr>
            </w:pPr>
            <w:r w:rsidRPr="00F10C37">
              <w:rPr>
                <w:rFonts w:cs="Times New Roman"/>
                <w:b/>
                <w:szCs w:val="24"/>
              </w:rPr>
              <w:t>Heart failure (for patients in sinus rhythm)</w:t>
            </w:r>
            <w:r>
              <w:rPr>
                <w:rFonts w:cs="Times New Roman"/>
                <w:b/>
                <w:szCs w:val="24"/>
              </w:rPr>
              <w:t>:</w:t>
            </w:r>
          </w:p>
          <w:p w14:paraId="1040E5CE" w14:textId="77777777" w:rsidR="0053763D" w:rsidRPr="00F10C37" w:rsidRDefault="0053763D" w:rsidP="00C46407">
            <w:pPr>
              <w:jc w:val="both"/>
              <w:rPr>
                <w:rFonts w:cs="Times New Roman"/>
                <w:b/>
                <w:szCs w:val="24"/>
              </w:rPr>
            </w:pPr>
            <w:r w:rsidRPr="00F10C37">
              <w:rPr>
                <w:rFonts w:cs="Times New Roman"/>
                <w:b/>
                <w:szCs w:val="24"/>
              </w:rPr>
              <w:t>Adult:</w:t>
            </w:r>
            <w:r w:rsidRPr="00F10C37">
              <w:rPr>
                <w:rFonts w:cs="Times New Roman"/>
                <w:szCs w:val="24"/>
              </w:rPr>
              <w:t xml:space="preserve"> 0.0625–0.125 mg once daily, reduce dose in the elderly (note: loading dose is not required).</w:t>
            </w:r>
          </w:p>
          <w:p w14:paraId="24BCB886" w14:textId="77777777" w:rsidR="0053763D" w:rsidRDefault="0053763D" w:rsidP="00C46407">
            <w:pPr>
              <w:jc w:val="both"/>
              <w:rPr>
                <w:rFonts w:cs="Times New Roman"/>
                <w:b/>
                <w:szCs w:val="24"/>
              </w:rPr>
            </w:pPr>
            <w:r w:rsidRPr="00F10C37">
              <w:rPr>
                <w:rFonts w:cs="Times New Roman"/>
                <w:b/>
                <w:szCs w:val="24"/>
              </w:rPr>
              <w:t>Chronic heart failure</w:t>
            </w:r>
            <w:r>
              <w:rPr>
                <w:rFonts w:cs="Times New Roman"/>
                <w:b/>
                <w:szCs w:val="24"/>
              </w:rPr>
              <w:t>:</w:t>
            </w:r>
          </w:p>
          <w:p w14:paraId="76FFB85B" w14:textId="77777777" w:rsidR="0053763D" w:rsidRPr="00F10C37" w:rsidRDefault="0053763D" w:rsidP="00C46407">
            <w:pPr>
              <w:jc w:val="both"/>
              <w:rPr>
                <w:rFonts w:cs="Times New Roman"/>
                <w:szCs w:val="24"/>
              </w:rPr>
            </w:pPr>
            <w:r>
              <w:rPr>
                <w:rFonts w:cs="Times New Roman"/>
                <w:b/>
                <w:szCs w:val="24"/>
              </w:rPr>
              <w:t>C</w:t>
            </w:r>
            <w:r w:rsidRPr="00F10C37">
              <w:rPr>
                <w:rFonts w:cs="Times New Roman"/>
                <w:b/>
                <w:szCs w:val="24"/>
              </w:rPr>
              <w:t>hild</w:t>
            </w:r>
            <w:r w:rsidRPr="00F10C37">
              <w:rPr>
                <w:rFonts w:cs="Times New Roman"/>
                <w:szCs w:val="24"/>
              </w:rPr>
              <w:t xml:space="preserve">: </w:t>
            </w:r>
          </w:p>
          <w:p w14:paraId="4B50666E" w14:textId="77777777" w:rsidR="0053763D" w:rsidRPr="00F10C37" w:rsidRDefault="0053763D" w:rsidP="00C46407">
            <w:pPr>
              <w:jc w:val="both"/>
              <w:rPr>
                <w:rFonts w:cs="Times New Roman"/>
                <w:szCs w:val="24"/>
              </w:rPr>
            </w:pPr>
            <w:r w:rsidRPr="00F10C37">
              <w:rPr>
                <w:rFonts w:cs="Times New Roman"/>
                <w:b/>
                <w:szCs w:val="24"/>
              </w:rPr>
              <w:t>Neonate &lt;1.5 kg</w:t>
            </w:r>
            <w:r w:rsidRPr="00F10C37">
              <w:rPr>
                <w:rFonts w:cs="Times New Roman"/>
                <w:i/>
                <w:szCs w:val="24"/>
              </w:rPr>
              <w:t>:</w:t>
            </w:r>
            <w:r w:rsidRPr="00F10C37">
              <w:rPr>
                <w:rFonts w:cs="Times New Roman"/>
                <w:szCs w:val="24"/>
              </w:rPr>
              <w:t xml:space="preserve"> Initially 25 mcg/kg orally </w:t>
            </w:r>
            <w:r>
              <w:rPr>
                <w:rFonts w:cs="Times New Roman"/>
                <w:szCs w:val="24"/>
              </w:rPr>
              <w:t>or</w:t>
            </w:r>
            <w:r w:rsidRPr="00F10C37">
              <w:rPr>
                <w:rFonts w:cs="Times New Roman"/>
                <w:szCs w:val="24"/>
              </w:rPr>
              <w:t xml:space="preserve"> 20mcg/kg IV infusion in 3 divided doses for 24 hours then 4–6 mcg/kg/day oral or IV in 1–2 divided doses.</w:t>
            </w:r>
          </w:p>
          <w:p w14:paraId="66766F0A" w14:textId="77777777" w:rsidR="0053763D" w:rsidRPr="00F10C37" w:rsidRDefault="0053763D" w:rsidP="00C46407">
            <w:pPr>
              <w:jc w:val="both"/>
              <w:rPr>
                <w:rFonts w:cs="Times New Roman"/>
                <w:szCs w:val="24"/>
              </w:rPr>
            </w:pPr>
            <w:r w:rsidRPr="00F10C37">
              <w:rPr>
                <w:rFonts w:cs="Times New Roman"/>
                <w:b/>
                <w:szCs w:val="24"/>
              </w:rPr>
              <w:t>Neonate 1.5–2.5 kg</w:t>
            </w:r>
            <w:r w:rsidRPr="00F10C37">
              <w:rPr>
                <w:rFonts w:cs="Times New Roman"/>
                <w:i/>
                <w:szCs w:val="24"/>
              </w:rPr>
              <w:t>:</w:t>
            </w:r>
            <w:r w:rsidRPr="00F10C37">
              <w:rPr>
                <w:rFonts w:cs="Times New Roman"/>
                <w:szCs w:val="24"/>
              </w:rPr>
              <w:t xml:space="preserve"> Initially 30 mcg/kg orally OR IV infusion in 3 divided doses for 24 hours then 4–6 mcg/kg/day oral or IV in 1–2 divided doses.</w:t>
            </w:r>
          </w:p>
          <w:p w14:paraId="688EADBE" w14:textId="77777777" w:rsidR="0053763D" w:rsidRPr="00F10C37" w:rsidRDefault="0053763D" w:rsidP="00C46407">
            <w:pPr>
              <w:jc w:val="both"/>
              <w:rPr>
                <w:rFonts w:cs="Times New Roman"/>
                <w:szCs w:val="24"/>
              </w:rPr>
            </w:pPr>
            <w:r w:rsidRPr="00F10C37">
              <w:rPr>
                <w:rFonts w:cs="Times New Roman"/>
                <w:b/>
                <w:szCs w:val="24"/>
              </w:rPr>
              <w:t>Neonate &gt;2.5 kg or child under 2 years</w:t>
            </w:r>
            <w:r w:rsidRPr="00F10C37">
              <w:rPr>
                <w:rFonts w:cs="Times New Roman"/>
                <w:i/>
                <w:szCs w:val="24"/>
              </w:rPr>
              <w:t>:</w:t>
            </w:r>
            <w:r w:rsidRPr="00F10C37">
              <w:rPr>
                <w:rFonts w:cs="Times New Roman"/>
                <w:szCs w:val="24"/>
              </w:rPr>
              <w:t xml:space="preserve"> initially 45 mcg/kg orally </w:t>
            </w:r>
            <w:r>
              <w:rPr>
                <w:rFonts w:cs="Times New Roman"/>
                <w:szCs w:val="24"/>
              </w:rPr>
              <w:t>or</w:t>
            </w:r>
            <w:r w:rsidRPr="00F10C37">
              <w:rPr>
                <w:rFonts w:cs="Times New Roman"/>
                <w:szCs w:val="24"/>
              </w:rPr>
              <w:t xml:space="preserve"> 35mcg/kg IV infusion in 3 divided doses for 24 hours then, 10 mcg/kg/day oral or IV in 1–2 divided doses.</w:t>
            </w:r>
          </w:p>
          <w:p w14:paraId="44AC4D6E" w14:textId="77777777" w:rsidR="0053763D" w:rsidRPr="00F10C37" w:rsidRDefault="0053763D" w:rsidP="00C46407">
            <w:pPr>
              <w:jc w:val="both"/>
              <w:rPr>
                <w:rFonts w:cs="Times New Roman"/>
                <w:szCs w:val="24"/>
              </w:rPr>
            </w:pPr>
            <w:r w:rsidRPr="00F10C37">
              <w:rPr>
                <w:rFonts w:cs="Times New Roman"/>
                <w:b/>
                <w:szCs w:val="24"/>
              </w:rPr>
              <w:t>Child 2–5 years</w:t>
            </w:r>
            <w:r w:rsidRPr="00F10C37">
              <w:rPr>
                <w:rFonts w:cs="Times New Roman"/>
                <w:i/>
                <w:szCs w:val="24"/>
              </w:rPr>
              <w:t>:</w:t>
            </w:r>
            <w:r w:rsidRPr="00F10C37">
              <w:rPr>
                <w:rFonts w:cs="Times New Roman"/>
                <w:szCs w:val="24"/>
              </w:rPr>
              <w:t xml:space="preserve"> Initially 35 mcg/kg orally or IV infusion in 3 divided doses for 24 hours then, 10 mcg/kg/day oral or IV in 1–2 divided doses.</w:t>
            </w:r>
          </w:p>
          <w:p w14:paraId="21235505" w14:textId="77777777" w:rsidR="0053763D" w:rsidRPr="00F10C37" w:rsidRDefault="0053763D" w:rsidP="00C46407">
            <w:pPr>
              <w:jc w:val="both"/>
              <w:rPr>
                <w:rFonts w:cs="Times New Roman"/>
                <w:szCs w:val="24"/>
              </w:rPr>
            </w:pPr>
            <w:r w:rsidRPr="00F10C37">
              <w:rPr>
                <w:rFonts w:cs="Times New Roman"/>
                <w:b/>
                <w:szCs w:val="24"/>
              </w:rPr>
              <w:t>Child 5–10 years</w:t>
            </w:r>
            <w:r w:rsidRPr="00F10C37">
              <w:rPr>
                <w:rFonts w:cs="Times New Roman"/>
                <w:i/>
                <w:szCs w:val="24"/>
                <w:u w:val="single"/>
              </w:rPr>
              <w:t>:</w:t>
            </w:r>
            <w:r w:rsidRPr="00F10C37">
              <w:rPr>
                <w:rFonts w:cs="Times New Roman"/>
                <w:szCs w:val="24"/>
              </w:rPr>
              <w:t xml:space="preserve"> Initially 25 mcg/kg (maximum 0.75 mg) orally or IV infusion in 3 divided doses for 24 hours then, 6 mcg/kg/day (maximum 0.25 mg daily) oral or IV in 1–2 divided doses.</w:t>
            </w:r>
          </w:p>
          <w:p w14:paraId="63817569" w14:textId="77777777" w:rsidR="0053763D" w:rsidRPr="00F10C37" w:rsidRDefault="0053763D" w:rsidP="00C46407">
            <w:pPr>
              <w:jc w:val="both"/>
              <w:rPr>
                <w:rFonts w:cs="Times New Roman"/>
                <w:b/>
                <w:szCs w:val="24"/>
              </w:rPr>
            </w:pPr>
            <w:r w:rsidRPr="00F10C37">
              <w:rPr>
                <w:rFonts w:cs="Times New Roman"/>
                <w:b/>
                <w:szCs w:val="24"/>
              </w:rPr>
              <w:t>Child over 10 years:</w:t>
            </w:r>
            <w:r w:rsidRPr="00F10C37">
              <w:rPr>
                <w:rFonts w:cs="Times New Roman"/>
                <w:szCs w:val="24"/>
              </w:rPr>
              <w:t xml:space="preserve"> Initially 0.75–1.5 mg in 3 divided doses for 24 hours then 0.0625–0.25 mg/daily in 1–2 divided doses </w:t>
            </w:r>
            <w:r>
              <w:rPr>
                <w:rFonts w:cs="Times New Roman"/>
                <w:szCs w:val="24"/>
              </w:rPr>
              <w:t>or i</w:t>
            </w:r>
            <w:r w:rsidRPr="00F10C37">
              <w:rPr>
                <w:rFonts w:cs="Times New Roman"/>
                <w:szCs w:val="24"/>
              </w:rPr>
              <w:t>nitially 0.5–1mg in 3 divided doses for 24 hours then 0.0625–0.250 mcg daily in 1–2 divided doses as IV infusion.</w:t>
            </w:r>
          </w:p>
        </w:tc>
      </w:tr>
      <w:tr w:rsidR="0053763D" w:rsidRPr="00F10C37" w14:paraId="0E6B05E6" w14:textId="77777777" w:rsidTr="00C46407">
        <w:trPr>
          <w:trHeight w:val="2279"/>
        </w:trPr>
        <w:tc>
          <w:tcPr>
            <w:tcW w:w="2592" w:type="dxa"/>
            <w:gridSpan w:val="2"/>
          </w:tcPr>
          <w:p w14:paraId="3222EE6F"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73" w:type="dxa"/>
            <w:gridSpan w:val="4"/>
          </w:tcPr>
          <w:p w14:paraId="0121F2C4"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 xml:space="preserve">Hypersensitivity to digoxin or digitoxin, </w:t>
            </w:r>
            <w:r w:rsidRPr="00F10C37">
              <w:rPr>
                <w:rFonts w:eastAsiaTheme="minorHAnsi" w:cs="Times New Roman"/>
                <w:color w:val="231F20"/>
                <w:kern w:val="0"/>
                <w:szCs w:val="24"/>
                <w:lang w:val="en-US" w:eastAsia="en-US"/>
              </w:rPr>
              <w:t>constrictive pericarditis, hypertrophic cardiomyopathy, intermittent complete heart block, myocarditis, second degree AV block, supraventricular arrhythmias associated with accessory conducting pathways, ventricular tachycardia or fibrillation.</w:t>
            </w:r>
          </w:p>
        </w:tc>
      </w:tr>
      <w:tr w:rsidR="0053763D" w:rsidRPr="00F10C37" w14:paraId="3679E00D" w14:textId="77777777" w:rsidTr="00C46407">
        <w:trPr>
          <w:trHeight w:val="800"/>
        </w:trPr>
        <w:tc>
          <w:tcPr>
            <w:tcW w:w="2592" w:type="dxa"/>
            <w:gridSpan w:val="2"/>
          </w:tcPr>
          <w:p w14:paraId="3ACE00FA"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73" w:type="dxa"/>
            <w:gridSpan w:val="4"/>
          </w:tcPr>
          <w:p w14:paraId="0C08538C" w14:textId="77777777" w:rsidR="0053763D" w:rsidRPr="00F10C37" w:rsidRDefault="0053763D" w:rsidP="00C46407">
            <w:pPr>
              <w:contextualSpacing/>
              <w:jc w:val="both"/>
              <w:rPr>
                <w:rFonts w:cs="Times New Roman"/>
                <w:szCs w:val="24"/>
              </w:rPr>
            </w:pPr>
            <w:r w:rsidRPr="00F10C37">
              <w:rPr>
                <w:rFonts w:cs="Times New Roman"/>
                <w:szCs w:val="24"/>
              </w:rPr>
              <w:t>Cyclosporine, propafenone, beta-blockers, adenosine, aminoglycosides, antithyroid agents (carbimazole), CCBs ( specially non-dihydropyridine: verapamil and diltiazem), azole antifungals, colchicine, fluoxetine, NSAIDs, ranolazine, spironolactone, amiodarone, phenytoin, bupropion, prazosin, quinidine, macrolide antibiotics, tetracycline, quinine, mefloquine, atorvastatin, ritonavir/ ritonavir containing regimens, St John’s Wort, sucralfate, drugs that reduce serum potassium (e.g., loop diuretics, thiazides, mannitol, acetazolamide, amphotericin B), neuromuscular blocking drugs, sulfasalazine, trimethoprim, vitamin D, rifampicin.</w:t>
            </w:r>
          </w:p>
        </w:tc>
      </w:tr>
      <w:tr w:rsidR="0053763D" w:rsidRPr="00F10C37" w14:paraId="4ABC6346" w14:textId="77777777" w:rsidTr="00C46407">
        <w:trPr>
          <w:trHeight w:val="710"/>
        </w:trPr>
        <w:tc>
          <w:tcPr>
            <w:tcW w:w="2592" w:type="dxa"/>
            <w:gridSpan w:val="2"/>
          </w:tcPr>
          <w:p w14:paraId="7C95236B" w14:textId="77777777" w:rsidR="0053763D" w:rsidRPr="00F10C37" w:rsidRDefault="0053763D" w:rsidP="00C46407">
            <w:pPr>
              <w:jc w:val="both"/>
              <w:rPr>
                <w:rFonts w:cs="Times New Roman"/>
                <w:szCs w:val="24"/>
              </w:rPr>
            </w:pPr>
            <w:r w:rsidRPr="00F10C37">
              <w:rPr>
                <w:rFonts w:cs="Times New Roman"/>
                <w:szCs w:val="24"/>
              </w:rPr>
              <w:t>Side effects</w:t>
            </w:r>
          </w:p>
        </w:tc>
        <w:tc>
          <w:tcPr>
            <w:tcW w:w="6673" w:type="dxa"/>
            <w:gridSpan w:val="4"/>
          </w:tcPr>
          <w:p w14:paraId="007CB1C4"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GI disturbances including anorexia, nausea, cerebral impairment, vomiting, diarrhea, and abdominal pain, visual disturbances, headache, fatigue, drowsiness, confusion, dizziness, delirium, hallucinations, depression, arrhythmias, heart block, cardiac conduction disorder, PR prolongation, sinus bradycardia, intestinal ischemia, gynecomastia on long-term use, thrombocytopenia, rash.</w:t>
            </w:r>
          </w:p>
        </w:tc>
      </w:tr>
      <w:tr w:rsidR="0053763D" w:rsidRPr="00F10C37" w14:paraId="1B0BDFF2" w14:textId="77777777" w:rsidTr="00C46407">
        <w:trPr>
          <w:trHeight w:val="1268"/>
        </w:trPr>
        <w:tc>
          <w:tcPr>
            <w:tcW w:w="2592" w:type="dxa"/>
            <w:gridSpan w:val="2"/>
          </w:tcPr>
          <w:p w14:paraId="383961AD" w14:textId="77777777" w:rsidR="0053763D" w:rsidRPr="00F10C37" w:rsidRDefault="0053763D" w:rsidP="00C46407">
            <w:pPr>
              <w:jc w:val="both"/>
              <w:rPr>
                <w:rFonts w:cs="Times New Roman"/>
                <w:szCs w:val="24"/>
              </w:rPr>
            </w:pPr>
            <w:r w:rsidRPr="00F10C37">
              <w:rPr>
                <w:rFonts w:cs="Times New Roman"/>
                <w:szCs w:val="24"/>
              </w:rPr>
              <w:t>Cautions</w:t>
            </w:r>
          </w:p>
        </w:tc>
        <w:tc>
          <w:tcPr>
            <w:tcW w:w="6673" w:type="dxa"/>
            <w:gridSpan w:val="4"/>
          </w:tcPr>
          <w:p w14:paraId="0C6508B6" w14:textId="77777777" w:rsidR="0053763D" w:rsidRPr="00F10C37" w:rsidRDefault="0053763D" w:rsidP="00C46407">
            <w:pPr>
              <w:jc w:val="both"/>
              <w:rPr>
                <w:rFonts w:cs="Times New Roman"/>
                <w:szCs w:val="24"/>
              </w:rPr>
            </w:pPr>
            <w:r w:rsidRPr="00F10C37">
              <w:rPr>
                <w:rFonts w:cs="Times New Roman"/>
                <w:szCs w:val="24"/>
              </w:rPr>
              <w:t xml:space="preserve">Recent MI, sick sinus syndrome, severe pulmonary disease, thyroid disease, elderly, hypercalcemia, hypokalemia, hypomagnesaemia, hypoxia, renal </w:t>
            </w:r>
            <w:r>
              <w:rPr>
                <w:rFonts w:cs="Times New Roman"/>
                <w:szCs w:val="24"/>
              </w:rPr>
              <w:t>i</w:t>
            </w:r>
            <w:r w:rsidRPr="00F10C37">
              <w:rPr>
                <w:rFonts w:cs="Times New Roman"/>
                <w:szCs w:val="24"/>
              </w:rPr>
              <w:t xml:space="preserve">mpairment and </w:t>
            </w:r>
            <w:r>
              <w:rPr>
                <w:rFonts w:cs="Times New Roman"/>
                <w:szCs w:val="24"/>
              </w:rPr>
              <w:t>p</w:t>
            </w:r>
            <w:r w:rsidRPr="00F10C37">
              <w:rPr>
                <w:rFonts w:cs="Times New Roman"/>
                <w:szCs w:val="24"/>
              </w:rPr>
              <w:t xml:space="preserve">regnancy. </w:t>
            </w:r>
          </w:p>
        </w:tc>
      </w:tr>
      <w:tr w:rsidR="0053763D" w:rsidRPr="00F10C37" w14:paraId="6D607F1B" w14:textId="77777777" w:rsidTr="00C46407">
        <w:trPr>
          <w:trHeight w:val="618"/>
        </w:trPr>
        <w:tc>
          <w:tcPr>
            <w:tcW w:w="2592" w:type="dxa"/>
            <w:gridSpan w:val="2"/>
          </w:tcPr>
          <w:p w14:paraId="319B18B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73" w:type="dxa"/>
            <w:gridSpan w:val="4"/>
          </w:tcPr>
          <w:p w14:paraId="2610CBA0" w14:textId="77777777" w:rsidR="0053763D" w:rsidRPr="00F10C37" w:rsidRDefault="0053763D" w:rsidP="00C46407">
            <w:pPr>
              <w:jc w:val="both"/>
              <w:rPr>
                <w:rFonts w:cs="Times New Roman"/>
                <w:szCs w:val="24"/>
              </w:rPr>
            </w:pPr>
            <w:r w:rsidRPr="00F10C37">
              <w:rPr>
                <w:rFonts w:cs="Times New Roman"/>
                <w:szCs w:val="24"/>
              </w:rPr>
              <w:t>Store between 15°C to 30°C. Avoid exposure to excessive heat.</w:t>
            </w:r>
          </w:p>
        </w:tc>
      </w:tr>
      <w:tr w:rsidR="0053763D" w:rsidRPr="00F10C37" w14:paraId="558DAEDB" w14:textId="77777777" w:rsidTr="00C46407">
        <w:trPr>
          <w:trHeight w:val="512"/>
        </w:trPr>
        <w:tc>
          <w:tcPr>
            <w:tcW w:w="9265" w:type="dxa"/>
            <w:gridSpan w:val="6"/>
          </w:tcPr>
          <w:p w14:paraId="29F921AD" w14:textId="77777777" w:rsidR="0053763D" w:rsidRPr="00F10C37" w:rsidRDefault="0053763D" w:rsidP="00C46407">
            <w:pPr>
              <w:jc w:val="both"/>
              <w:rPr>
                <w:rFonts w:cs="Times New Roman"/>
                <w:b/>
                <w:szCs w:val="24"/>
              </w:rPr>
            </w:pPr>
            <w:r w:rsidRPr="00F10C37">
              <w:rPr>
                <w:rFonts w:cs="Times New Roman"/>
                <w:b/>
                <w:szCs w:val="24"/>
                <w:lang w:val="nb-NO"/>
              </w:rPr>
              <w:t>Empagliflozin</w:t>
            </w:r>
          </w:p>
        </w:tc>
      </w:tr>
      <w:tr w:rsidR="0053763D" w:rsidRPr="00F10C37" w14:paraId="380475AB" w14:textId="77777777" w:rsidTr="00C46407">
        <w:trPr>
          <w:trHeight w:val="395"/>
        </w:trPr>
        <w:tc>
          <w:tcPr>
            <w:tcW w:w="2425" w:type="dxa"/>
          </w:tcPr>
          <w:p w14:paraId="3779EC9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5"/>
          </w:tcPr>
          <w:p w14:paraId="5B752475"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Sodium glucose co</w:t>
            </w:r>
            <w:r>
              <w:rPr>
                <w:rFonts w:cs="Times New Roman"/>
                <w:szCs w:val="24"/>
              </w:rPr>
              <w:t>-</w:t>
            </w:r>
            <w:r w:rsidRPr="00F10C37">
              <w:rPr>
                <w:rFonts w:cs="Times New Roman"/>
                <w:szCs w:val="24"/>
              </w:rPr>
              <w:t>transporter 2 inhibitor</w:t>
            </w:r>
          </w:p>
        </w:tc>
      </w:tr>
      <w:tr w:rsidR="0053763D" w:rsidRPr="00F10C37" w14:paraId="7791797E" w14:textId="77777777" w:rsidTr="00C46407">
        <w:trPr>
          <w:trHeight w:val="395"/>
        </w:trPr>
        <w:tc>
          <w:tcPr>
            <w:tcW w:w="2425" w:type="dxa"/>
          </w:tcPr>
          <w:p w14:paraId="1E2300CF"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5"/>
          </w:tcPr>
          <w:p w14:paraId="3FE2B6F4"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Film coated tablet: 10 mg </w:t>
            </w:r>
          </w:p>
        </w:tc>
      </w:tr>
      <w:tr w:rsidR="0053763D" w:rsidRPr="00F10C37" w14:paraId="0C6D1532" w14:textId="77777777" w:rsidTr="00C46407">
        <w:trPr>
          <w:trHeight w:val="521"/>
        </w:trPr>
        <w:tc>
          <w:tcPr>
            <w:tcW w:w="2425" w:type="dxa"/>
          </w:tcPr>
          <w:p w14:paraId="22EEC239" w14:textId="77777777" w:rsidR="0053763D" w:rsidRPr="00045F0C" w:rsidRDefault="0053763D" w:rsidP="00C46407">
            <w:pPr>
              <w:jc w:val="both"/>
              <w:rPr>
                <w:rFonts w:cs="Times New Roman"/>
                <w:szCs w:val="24"/>
              </w:rPr>
            </w:pPr>
            <w:r w:rsidRPr="00045F0C">
              <w:rPr>
                <w:rFonts w:cs="Times New Roman"/>
                <w:szCs w:val="24"/>
              </w:rPr>
              <w:lastRenderedPageBreak/>
              <w:t>Indications</w:t>
            </w:r>
          </w:p>
        </w:tc>
        <w:tc>
          <w:tcPr>
            <w:tcW w:w="6840" w:type="dxa"/>
            <w:gridSpan w:val="5"/>
          </w:tcPr>
          <w:p w14:paraId="3C9DCA77"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ymptomatic chronic heart failure</w:t>
            </w:r>
            <w:r>
              <w:rPr>
                <w:rFonts w:cs="Times New Roman"/>
                <w:szCs w:val="24"/>
              </w:rPr>
              <w:t>, t</w:t>
            </w:r>
            <w:r w:rsidRPr="00F10C37">
              <w:rPr>
                <w:rFonts w:cs="Times New Roman"/>
                <w:szCs w:val="24"/>
              </w:rPr>
              <w:t>ype 2 diabetes mellitu</w:t>
            </w:r>
            <w:r>
              <w:rPr>
                <w:rFonts w:cs="Times New Roman"/>
                <w:szCs w:val="24"/>
              </w:rPr>
              <w:t>s</w:t>
            </w:r>
          </w:p>
        </w:tc>
      </w:tr>
      <w:tr w:rsidR="0053763D" w:rsidRPr="00F10C37" w14:paraId="31125A86" w14:textId="77777777" w:rsidTr="00C46407">
        <w:trPr>
          <w:trHeight w:val="521"/>
        </w:trPr>
        <w:tc>
          <w:tcPr>
            <w:tcW w:w="2425" w:type="dxa"/>
          </w:tcPr>
          <w:p w14:paraId="4FD2CA1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5"/>
          </w:tcPr>
          <w:p w14:paraId="649FFDFE" w14:textId="77777777" w:rsidR="0053763D" w:rsidRPr="00F10C37" w:rsidRDefault="0053763D" w:rsidP="00C46407">
            <w:pPr>
              <w:jc w:val="both"/>
              <w:rPr>
                <w:rFonts w:cs="Times New Roman"/>
                <w:szCs w:val="24"/>
              </w:rPr>
            </w:pPr>
            <w:r w:rsidRPr="00F10C37">
              <w:rPr>
                <w:rFonts w:cs="Times New Roman"/>
                <w:b/>
                <w:szCs w:val="24"/>
              </w:rPr>
              <w:t>Adult:</w:t>
            </w:r>
          </w:p>
          <w:p w14:paraId="68DFDC1A" w14:textId="77777777" w:rsidR="0053763D" w:rsidRPr="00F10C37" w:rsidRDefault="0053763D" w:rsidP="00C46407">
            <w:pPr>
              <w:jc w:val="both"/>
              <w:rPr>
                <w:rFonts w:cs="Times New Roman"/>
                <w:szCs w:val="24"/>
              </w:rPr>
            </w:pPr>
            <w:r w:rsidRPr="00F10C37">
              <w:rPr>
                <w:rFonts w:cs="Times New Roman"/>
                <w:b/>
                <w:szCs w:val="24"/>
              </w:rPr>
              <w:t>Symptomatic chronic heart failure</w:t>
            </w:r>
            <w:r w:rsidRPr="00F10C37">
              <w:rPr>
                <w:rFonts w:cs="Times New Roman"/>
                <w:szCs w:val="24"/>
              </w:rPr>
              <w:t>: 10 mg orally once daily.</w:t>
            </w:r>
          </w:p>
          <w:p w14:paraId="6F0BC1AF" w14:textId="77777777" w:rsidR="0053763D" w:rsidRPr="00F10C37" w:rsidRDefault="0053763D" w:rsidP="00C46407">
            <w:pPr>
              <w:jc w:val="both"/>
              <w:rPr>
                <w:rFonts w:cs="Times New Roman"/>
                <w:b/>
                <w:szCs w:val="24"/>
              </w:rPr>
            </w:pPr>
            <w:r w:rsidRPr="00967CBB">
              <w:rPr>
                <w:rFonts w:cs="Times New Roman"/>
                <w:i/>
                <w:szCs w:val="24"/>
              </w:rPr>
              <w:t>Note:</w:t>
            </w:r>
            <w:r w:rsidRPr="00F10C37">
              <w:rPr>
                <w:rFonts w:cs="Times New Roman"/>
                <w:b/>
                <w:szCs w:val="24"/>
              </w:rPr>
              <w:t xml:space="preserve"> </w:t>
            </w:r>
            <w:r w:rsidRPr="003D3E3A">
              <w:rPr>
                <w:rFonts w:cs="Times New Roman"/>
                <w:i/>
                <w:szCs w:val="24"/>
              </w:rPr>
              <w:t>refer the dosing for diabetes mellitus under the section</w:t>
            </w:r>
          </w:p>
        </w:tc>
      </w:tr>
      <w:tr w:rsidR="0053763D" w:rsidRPr="00F10C37" w14:paraId="0C877985" w14:textId="77777777" w:rsidTr="00C46407">
        <w:tc>
          <w:tcPr>
            <w:tcW w:w="2425" w:type="dxa"/>
          </w:tcPr>
          <w:p w14:paraId="28279B93"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840" w:type="dxa"/>
            <w:gridSpan w:val="5"/>
          </w:tcPr>
          <w:p w14:paraId="12882887"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the </w:t>
            </w:r>
            <w:r>
              <w:rPr>
                <w:rFonts w:cs="Times New Roman"/>
                <w:szCs w:val="24"/>
              </w:rPr>
              <w:t>drug, d</w:t>
            </w:r>
            <w:r w:rsidRPr="00F10C37">
              <w:rPr>
                <w:rFonts w:cs="Times New Roman"/>
                <w:szCs w:val="24"/>
              </w:rPr>
              <w:t xml:space="preserve">iabetic ketoacidosis, pregnancy, breast feeding, severe hepatic impairment, renal impairment (with </w:t>
            </w:r>
            <w:r w:rsidRPr="00F10C37">
              <w:rPr>
                <w:rFonts w:eastAsiaTheme="minorHAnsi" w:cs="Times New Roman"/>
                <w:color w:val="231F20"/>
                <w:kern w:val="0"/>
                <w:szCs w:val="24"/>
                <w:lang w:val="en-US" w:eastAsia="en-US"/>
              </w:rPr>
              <w:t xml:space="preserve">eGFR less than 20 </w:t>
            </w:r>
            <w:r>
              <w:rPr>
                <w:rFonts w:eastAsiaTheme="minorHAnsi" w:cs="Times New Roman"/>
                <w:color w:val="231F20"/>
                <w:kern w:val="0"/>
                <w:szCs w:val="24"/>
                <w:lang w:val="en-US" w:eastAsia="en-US"/>
              </w:rPr>
              <w:t>ml</w:t>
            </w:r>
            <w:r w:rsidRPr="00F10C37">
              <w:rPr>
                <w:rFonts w:eastAsiaTheme="minorHAnsi" w:cs="Times New Roman"/>
                <w:color w:val="231F20"/>
                <w:kern w:val="0"/>
                <w:szCs w:val="24"/>
                <w:lang w:val="en-US" w:eastAsia="en-US"/>
              </w:rPr>
              <w:t>/minute)</w:t>
            </w:r>
            <w:r>
              <w:rPr>
                <w:rFonts w:eastAsiaTheme="minorHAnsi" w:cs="Times New Roman"/>
                <w:color w:val="231F20"/>
                <w:kern w:val="0"/>
                <w:szCs w:val="24"/>
                <w:lang w:val="en-US" w:eastAsia="en-US"/>
              </w:rPr>
              <w:t>.</w:t>
            </w:r>
          </w:p>
        </w:tc>
      </w:tr>
      <w:tr w:rsidR="0053763D" w:rsidRPr="00F10C37" w14:paraId="58F5FC4F" w14:textId="77777777" w:rsidTr="00C46407">
        <w:tc>
          <w:tcPr>
            <w:tcW w:w="2425" w:type="dxa"/>
          </w:tcPr>
          <w:p w14:paraId="444D98D1"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5"/>
          </w:tcPr>
          <w:p w14:paraId="6FEC57EC" w14:textId="77777777" w:rsidR="0053763D" w:rsidRPr="00F10C37" w:rsidRDefault="0053763D" w:rsidP="00C46407">
            <w:pPr>
              <w:jc w:val="both"/>
              <w:rPr>
                <w:rFonts w:cs="Times New Roman"/>
                <w:szCs w:val="24"/>
              </w:rPr>
            </w:pPr>
            <w:r w:rsidRPr="00F10C37">
              <w:rPr>
                <w:rFonts w:cs="Times New Roman"/>
                <w:szCs w:val="24"/>
              </w:rPr>
              <w:t>Phenytoin, rifampicin, statins, insulin and insulin secretagogues (increased risk of hypoglycaemia), diuretics (increased risk of volume depletion)</w:t>
            </w:r>
          </w:p>
        </w:tc>
      </w:tr>
      <w:tr w:rsidR="0053763D" w:rsidRPr="00F10C37" w14:paraId="3FB0B190" w14:textId="77777777" w:rsidTr="00C46407">
        <w:tc>
          <w:tcPr>
            <w:tcW w:w="2425" w:type="dxa"/>
          </w:tcPr>
          <w:p w14:paraId="6FDD3B09"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5"/>
          </w:tcPr>
          <w:p w14:paraId="152ECE6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Balanoposthitis, constipation, hypoglycemia, hypovolemia, increased risk of infection, skin reactions, thirst, urinary disorders, urosepsis, angioedema, diabetic ketoacidosis, </w:t>
            </w:r>
            <w:r w:rsidRPr="00F10C37">
              <w:rPr>
                <w:rFonts w:eastAsia="AdvTT0e40dc65+25" w:cs="Times New Roman"/>
                <w:color w:val="231F20"/>
                <w:kern w:val="0"/>
                <w:szCs w:val="24"/>
                <w:lang w:val="en-US" w:eastAsia="en-US"/>
              </w:rPr>
              <w:t>F</w:t>
            </w:r>
            <w:r w:rsidRPr="00F10C37">
              <w:rPr>
                <w:rFonts w:eastAsiaTheme="minorHAnsi" w:cs="Times New Roman"/>
                <w:color w:val="231F20"/>
                <w:kern w:val="0"/>
                <w:szCs w:val="24"/>
                <w:lang w:val="en-US" w:eastAsia="en-US"/>
              </w:rPr>
              <w:t>ournier’s gangrene</w:t>
            </w:r>
          </w:p>
        </w:tc>
      </w:tr>
      <w:tr w:rsidR="0053763D" w:rsidRPr="00F10C37" w14:paraId="7409BF1C" w14:textId="77777777" w:rsidTr="00C46407">
        <w:tc>
          <w:tcPr>
            <w:tcW w:w="2425" w:type="dxa"/>
          </w:tcPr>
          <w:p w14:paraId="7898B5FA"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5"/>
          </w:tcPr>
          <w:p w14:paraId="158A41C4"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Complicated urinary tract infections, elderly, hypotension, risk of volume depletion</w:t>
            </w:r>
          </w:p>
        </w:tc>
      </w:tr>
      <w:tr w:rsidR="0053763D" w:rsidRPr="00F10C37" w14:paraId="477023C5" w14:textId="77777777" w:rsidTr="00C46407">
        <w:tc>
          <w:tcPr>
            <w:tcW w:w="2425" w:type="dxa"/>
          </w:tcPr>
          <w:p w14:paraId="34F59D3E"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5"/>
          </w:tcPr>
          <w:p w14:paraId="4D9E27F8" w14:textId="77777777" w:rsidR="0053763D" w:rsidRPr="00F10C37" w:rsidRDefault="0053763D" w:rsidP="00C46407">
            <w:pPr>
              <w:jc w:val="both"/>
              <w:rPr>
                <w:rFonts w:cs="Times New Roman"/>
                <w:szCs w:val="24"/>
              </w:rPr>
            </w:pPr>
            <w:r w:rsidRPr="00F10C37">
              <w:rPr>
                <w:rFonts w:cs="Times New Roman"/>
                <w:szCs w:val="24"/>
              </w:rPr>
              <w:t>Store between 15 and 30ºC.</w:t>
            </w:r>
          </w:p>
        </w:tc>
      </w:tr>
      <w:tr w:rsidR="0053763D" w:rsidRPr="00F10C37" w14:paraId="3FE537D1" w14:textId="77777777" w:rsidTr="00C46407">
        <w:trPr>
          <w:trHeight w:val="512"/>
        </w:trPr>
        <w:tc>
          <w:tcPr>
            <w:tcW w:w="9265" w:type="dxa"/>
            <w:gridSpan w:val="6"/>
          </w:tcPr>
          <w:p w14:paraId="34190BC4" w14:textId="77777777" w:rsidR="0053763D" w:rsidRPr="00F10C37" w:rsidRDefault="0053763D" w:rsidP="00C46407">
            <w:pPr>
              <w:jc w:val="both"/>
              <w:rPr>
                <w:rFonts w:cs="Times New Roman"/>
                <w:b/>
                <w:szCs w:val="24"/>
              </w:rPr>
            </w:pPr>
            <w:r w:rsidRPr="00F10C37">
              <w:rPr>
                <w:rFonts w:cs="Times New Roman"/>
                <w:b/>
                <w:szCs w:val="24"/>
              </w:rPr>
              <w:t>Enalapril Maleate</w:t>
            </w:r>
          </w:p>
        </w:tc>
      </w:tr>
      <w:tr w:rsidR="0053763D" w:rsidRPr="00F10C37" w14:paraId="549BFB35" w14:textId="77777777" w:rsidTr="00C46407">
        <w:trPr>
          <w:trHeight w:val="512"/>
        </w:trPr>
        <w:tc>
          <w:tcPr>
            <w:tcW w:w="2605" w:type="dxa"/>
            <w:gridSpan w:val="3"/>
          </w:tcPr>
          <w:p w14:paraId="579B300E"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gridSpan w:val="3"/>
          </w:tcPr>
          <w:p w14:paraId="778F6ED6"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ACE inhibitor</w:t>
            </w:r>
          </w:p>
        </w:tc>
      </w:tr>
      <w:tr w:rsidR="0053763D" w:rsidRPr="00F10C37" w14:paraId="057D9AC0" w14:textId="77777777" w:rsidTr="00C46407">
        <w:trPr>
          <w:trHeight w:val="341"/>
        </w:trPr>
        <w:tc>
          <w:tcPr>
            <w:tcW w:w="2605" w:type="dxa"/>
            <w:gridSpan w:val="3"/>
          </w:tcPr>
          <w:p w14:paraId="7F00F6A5"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gridSpan w:val="3"/>
          </w:tcPr>
          <w:p w14:paraId="63030256" w14:textId="77777777" w:rsidR="0053763D" w:rsidRPr="00F10C37" w:rsidRDefault="0053763D" w:rsidP="00C46407">
            <w:pPr>
              <w:jc w:val="both"/>
              <w:rPr>
                <w:rFonts w:cs="Times New Roman"/>
                <w:szCs w:val="24"/>
              </w:rPr>
            </w:pPr>
            <w:r w:rsidRPr="00F10C37">
              <w:rPr>
                <w:rFonts w:cs="Times New Roman"/>
                <w:szCs w:val="24"/>
              </w:rPr>
              <w:t>Tablet: 2.5 mg, 5 mg, 10 mg</w:t>
            </w:r>
          </w:p>
        </w:tc>
      </w:tr>
      <w:tr w:rsidR="0053763D" w:rsidRPr="00F10C37" w14:paraId="3ADD1787" w14:textId="77777777" w:rsidTr="00C46407">
        <w:trPr>
          <w:trHeight w:val="521"/>
        </w:trPr>
        <w:tc>
          <w:tcPr>
            <w:tcW w:w="2605" w:type="dxa"/>
            <w:gridSpan w:val="3"/>
          </w:tcPr>
          <w:p w14:paraId="3EA674BE" w14:textId="77777777" w:rsidR="0053763D" w:rsidRPr="00F21D21" w:rsidRDefault="0053763D" w:rsidP="00C46407">
            <w:pPr>
              <w:jc w:val="both"/>
              <w:rPr>
                <w:rFonts w:cs="Times New Roman"/>
                <w:szCs w:val="24"/>
              </w:rPr>
            </w:pPr>
            <w:r w:rsidRPr="00F21D21">
              <w:rPr>
                <w:rFonts w:cs="Times New Roman"/>
                <w:szCs w:val="24"/>
              </w:rPr>
              <w:t>Indications</w:t>
            </w:r>
          </w:p>
        </w:tc>
        <w:tc>
          <w:tcPr>
            <w:tcW w:w="6660" w:type="dxa"/>
            <w:gridSpan w:val="3"/>
          </w:tcPr>
          <w:p w14:paraId="12D97152" w14:textId="77777777" w:rsidR="0053763D" w:rsidRPr="00F10C37" w:rsidRDefault="0053763D" w:rsidP="00C46407">
            <w:pPr>
              <w:jc w:val="both"/>
              <w:rPr>
                <w:rFonts w:cs="Times New Roman"/>
                <w:szCs w:val="24"/>
              </w:rPr>
            </w:pPr>
            <w:r w:rsidRPr="00F10C37">
              <w:rPr>
                <w:rFonts w:cs="Times New Roman"/>
                <w:szCs w:val="24"/>
              </w:rPr>
              <w:t>Treatment of congestive heart failure, hypertension, left ventricular dysfunction after myocardial infarction, diabetic nephropathy</w:t>
            </w:r>
          </w:p>
        </w:tc>
      </w:tr>
      <w:tr w:rsidR="0053763D" w:rsidRPr="00F10C37" w14:paraId="5AB618A0" w14:textId="77777777" w:rsidTr="00C46407">
        <w:trPr>
          <w:trHeight w:val="521"/>
        </w:trPr>
        <w:tc>
          <w:tcPr>
            <w:tcW w:w="2605" w:type="dxa"/>
            <w:gridSpan w:val="3"/>
          </w:tcPr>
          <w:p w14:paraId="4EDC6D7C"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60" w:type="dxa"/>
            <w:gridSpan w:val="3"/>
          </w:tcPr>
          <w:p w14:paraId="796106E9"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Heart failure</w:t>
            </w:r>
            <w:r>
              <w:rPr>
                <w:rFonts w:eastAsiaTheme="minorHAnsi" w:cs="Times New Roman"/>
                <w:b/>
                <w:color w:val="231F20"/>
                <w:kern w:val="0"/>
                <w:szCs w:val="24"/>
                <w:lang w:val="en-US" w:eastAsia="en-US"/>
              </w:rPr>
              <w:t>,</w:t>
            </w:r>
            <w:r w:rsidRPr="00F10C37">
              <w:rPr>
                <w:rFonts w:eastAsiaTheme="minorHAnsi" w:cs="Times New Roman"/>
                <w:b/>
                <w:color w:val="231F20"/>
                <w:kern w:val="0"/>
                <w:szCs w:val="24"/>
                <w:lang w:val="en-US" w:eastAsia="en-US"/>
              </w:rPr>
              <w:t xml:space="preserve"> Prevention of symptomatic heart failure in patients with asymptomatic left ventricular dysfunction</w:t>
            </w:r>
            <w:r>
              <w:rPr>
                <w:rFonts w:eastAsiaTheme="minorHAnsi" w:cs="Times New Roman"/>
                <w:b/>
                <w:color w:val="231F20"/>
                <w:kern w:val="0"/>
                <w:szCs w:val="24"/>
                <w:lang w:val="en-US" w:eastAsia="en-US"/>
              </w:rPr>
              <w:t>:</w:t>
            </w:r>
          </w:p>
          <w:p w14:paraId="1A5302D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Initially 2.5 mg oral once daily, increased if tolerated to 10–20 mg twice daily, dose to be increased gradually over 2–4 weeks</w:t>
            </w:r>
          </w:p>
          <w:p w14:paraId="7D9FF499"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Pediatric</w:t>
            </w:r>
          </w:p>
          <w:p w14:paraId="7C778844" w14:textId="77777777" w:rsidR="0053763D" w:rsidRDefault="0053763D" w:rsidP="00C46407">
            <w:pPr>
              <w:autoSpaceDE w:val="0"/>
              <w:autoSpaceDN w:val="0"/>
              <w:adjustRightInd w:val="0"/>
              <w:jc w:val="both"/>
              <w:rPr>
                <w:rFonts w:eastAsia="Candara-Italic" w:cs="Times New Roman"/>
                <w:b/>
                <w:iCs/>
                <w:kern w:val="0"/>
                <w:szCs w:val="24"/>
                <w:lang w:val="en-US" w:eastAsia="en-US"/>
              </w:rPr>
            </w:pPr>
            <w:r w:rsidRPr="00F10C37">
              <w:rPr>
                <w:rFonts w:eastAsia="Candara-Italic" w:cs="Times New Roman"/>
                <w:b/>
                <w:iCs/>
                <w:kern w:val="0"/>
                <w:szCs w:val="24"/>
                <w:lang w:val="en-US" w:eastAsia="en-US"/>
              </w:rPr>
              <w:t xml:space="preserve">Heart failure, </w:t>
            </w:r>
            <w:r w:rsidRPr="00967CBB">
              <w:rPr>
                <w:rFonts w:eastAsia="Candara-Italic" w:cs="Times New Roman"/>
                <w:iCs/>
                <w:kern w:val="0"/>
                <w:szCs w:val="24"/>
                <w:lang w:val="en-US" w:eastAsia="en-US"/>
              </w:rPr>
              <w:t>oral</w:t>
            </w:r>
            <w:r>
              <w:rPr>
                <w:rFonts w:eastAsia="Candara-Italic" w:cs="Times New Roman"/>
                <w:b/>
                <w:iCs/>
                <w:kern w:val="0"/>
                <w:szCs w:val="24"/>
                <w:lang w:val="en-US" w:eastAsia="en-US"/>
              </w:rPr>
              <w:t>:</w:t>
            </w:r>
            <w:r w:rsidRPr="00F10C37">
              <w:rPr>
                <w:rFonts w:eastAsia="Candara-Italic" w:cs="Times New Roman"/>
                <w:b/>
                <w:iCs/>
                <w:kern w:val="0"/>
                <w:szCs w:val="24"/>
                <w:lang w:val="en-US" w:eastAsia="en-US"/>
              </w:rPr>
              <w:t xml:space="preserve"> </w:t>
            </w:r>
          </w:p>
          <w:p w14:paraId="10B38E1E" w14:textId="77777777" w:rsidR="0053763D" w:rsidRPr="00F10C37" w:rsidRDefault="0053763D" w:rsidP="00C46407">
            <w:pPr>
              <w:autoSpaceDE w:val="0"/>
              <w:autoSpaceDN w:val="0"/>
              <w:adjustRightInd w:val="0"/>
              <w:jc w:val="both"/>
              <w:rPr>
                <w:rFonts w:eastAsia="Candara-Italic" w:cs="Times New Roman"/>
                <w:b/>
                <w:iCs/>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Initially 10 m</w:t>
            </w:r>
            <w:r>
              <w:rPr>
                <w:rFonts w:eastAsiaTheme="minorHAnsi" w:cs="Times New Roman"/>
                <w:kern w:val="0"/>
                <w:szCs w:val="24"/>
                <w:lang w:val="en-US" w:eastAsia="en-US"/>
              </w:rPr>
              <w:t>cg</w:t>
            </w:r>
            <w:r w:rsidRPr="00F10C37">
              <w:rPr>
                <w:rFonts w:eastAsiaTheme="minorHAnsi" w:cs="Times New Roman"/>
                <w:kern w:val="0"/>
                <w:szCs w:val="24"/>
                <w:lang w:val="en-US" w:eastAsia="en-US"/>
              </w:rPr>
              <w:t xml:space="preserve">/kg oral once daily, increased as </w:t>
            </w:r>
            <w:r w:rsidRPr="00F10C37">
              <w:rPr>
                <w:rFonts w:eastAsiaTheme="minorHAnsi" w:cs="Times New Roman"/>
                <w:kern w:val="0"/>
                <w:szCs w:val="24"/>
                <w:lang w:val="en-US" w:eastAsia="en-US"/>
              </w:rPr>
              <w:lastRenderedPageBreak/>
              <w:t>necessary up to 500 m</w:t>
            </w:r>
            <w:r>
              <w:rPr>
                <w:rFonts w:eastAsiaTheme="minorHAnsi" w:cs="Times New Roman"/>
                <w:kern w:val="0"/>
                <w:szCs w:val="24"/>
                <w:lang w:val="en-US" w:eastAsia="en-US"/>
              </w:rPr>
              <w:t>cg</w:t>
            </w:r>
            <w:r w:rsidRPr="00F10C37">
              <w:rPr>
                <w:rFonts w:eastAsiaTheme="minorHAnsi" w:cs="Times New Roman"/>
                <w:kern w:val="0"/>
                <w:szCs w:val="24"/>
                <w:lang w:val="en-US" w:eastAsia="en-US"/>
              </w:rPr>
              <w:t>/kg daily in 1–3 divided doses; monitor blood pressure and urine output carefully for at least 2 hours following first dose and during dose escalation until blood pressure is stable.</w:t>
            </w:r>
          </w:p>
          <w:p w14:paraId="535FE0A6"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 month–11 years: </w:t>
            </w:r>
            <w:r w:rsidRPr="00F10C37">
              <w:rPr>
                <w:rFonts w:eastAsiaTheme="minorHAnsi" w:cs="Times New Roman"/>
                <w:kern w:val="0"/>
                <w:szCs w:val="24"/>
                <w:lang w:val="en-US" w:eastAsia="en-US"/>
              </w:rPr>
              <w:t>Initially 100 m</w:t>
            </w:r>
            <w:r>
              <w:rPr>
                <w:rFonts w:eastAsiaTheme="minorHAnsi" w:cs="Times New Roman"/>
                <w:kern w:val="0"/>
                <w:szCs w:val="24"/>
                <w:lang w:val="en-US" w:eastAsia="en-US"/>
              </w:rPr>
              <w:t>cg</w:t>
            </w:r>
            <w:r w:rsidRPr="00F10C37">
              <w:rPr>
                <w:rFonts w:eastAsiaTheme="minorHAnsi" w:cs="Times New Roman"/>
                <w:kern w:val="0"/>
                <w:szCs w:val="24"/>
                <w:lang w:val="en-US" w:eastAsia="en-US"/>
              </w:rPr>
              <w:t>/kg once daily, monitor blood pressure carefully for 1–2 hours, then increase if necessary up to 1 mg/kg daily in 1–2 divided doses</w:t>
            </w:r>
          </w:p>
          <w:p w14:paraId="203A32A6"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12–17 years, (body weight up to 50 kg): </w:t>
            </w:r>
            <w:r w:rsidRPr="00F10C37">
              <w:rPr>
                <w:rFonts w:eastAsiaTheme="minorHAnsi" w:cs="Times New Roman"/>
                <w:kern w:val="0"/>
                <w:szCs w:val="24"/>
                <w:lang w:val="en-US" w:eastAsia="en-US"/>
              </w:rPr>
              <w:t>Initially 2.5 mg once daily, monitor blood pressure carefully for 1–2 hours, maintenance 10–20 mg daily in 1–2 divided doses.</w:t>
            </w:r>
          </w:p>
          <w:p w14:paraId="73B5C4D2"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12–17 years (body weight 50 kg and above): </w:t>
            </w:r>
            <w:r w:rsidRPr="00F10C37">
              <w:rPr>
                <w:rFonts w:eastAsiaTheme="minorHAnsi" w:cs="Times New Roman"/>
                <w:kern w:val="0"/>
                <w:szCs w:val="24"/>
                <w:lang w:val="en-US" w:eastAsia="en-US"/>
              </w:rPr>
              <w:t>Initially 2.5 mg once daily, monitor blood pressure carefully for 1–2 hours, maintenance 10–20 mg daily in 1–2 divided doses, maximum 40 mg.</w:t>
            </w:r>
          </w:p>
          <w:p w14:paraId="1F4CA72C" w14:textId="77777777" w:rsidR="0053763D" w:rsidRPr="00F10C37" w:rsidRDefault="0053763D" w:rsidP="00C46407">
            <w:pPr>
              <w:jc w:val="both"/>
              <w:rPr>
                <w:rFonts w:cs="Times New Roman"/>
                <w:b/>
                <w:szCs w:val="24"/>
              </w:rPr>
            </w:pPr>
            <w:r w:rsidRPr="00967CBB">
              <w:rPr>
                <w:rFonts w:cs="Times New Roman"/>
                <w:i/>
                <w:szCs w:val="24"/>
              </w:rPr>
              <w:t>Note:</w:t>
            </w:r>
            <w:r w:rsidRPr="00F10C37">
              <w:rPr>
                <w:rFonts w:cs="Times New Roman"/>
                <w:b/>
                <w:szCs w:val="24"/>
              </w:rPr>
              <w:t xml:space="preserve"> </w:t>
            </w:r>
            <w:r w:rsidRPr="003D3E3A">
              <w:rPr>
                <w:rFonts w:cs="Times New Roman"/>
                <w:i/>
                <w:szCs w:val="24"/>
              </w:rPr>
              <w:t>refer dosing for hypertension under its section.</w:t>
            </w:r>
          </w:p>
        </w:tc>
      </w:tr>
      <w:tr w:rsidR="0053763D" w:rsidRPr="00F10C37" w14:paraId="4F78185E" w14:textId="77777777" w:rsidTr="00C46407">
        <w:tc>
          <w:tcPr>
            <w:tcW w:w="2605" w:type="dxa"/>
            <w:gridSpan w:val="3"/>
          </w:tcPr>
          <w:p w14:paraId="16DBA392"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60" w:type="dxa"/>
            <w:gridSpan w:val="3"/>
          </w:tcPr>
          <w:p w14:paraId="031ECBA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Hypersensitivity to ACEIs, renovascular disease, pregnancy.</w:t>
            </w:r>
          </w:p>
        </w:tc>
      </w:tr>
      <w:tr w:rsidR="0053763D" w:rsidRPr="00F10C37" w14:paraId="338EB880" w14:textId="77777777" w:rsidTr="00C46407">
        <w:tc>
          <w:tcPr>
            <w:tcW w:w="2605" w:type="dxa"/>
            <w:gridSpan w:val="3"/>
          </w:tcPr>
          <w:p w14:paraId="4D4B9F4C"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gridSpan w:val="3"/>
          </w:tcPr>
          <w:p w14:paraId="692B0C96"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Acetazolamide, acetylsalicylic acid, alcohol, amiloride, a</w:t>
            </w:r>
            <w:r>
              <w:rPr>
                <w:rFonts w:eastAsiaTheme="minorHAnsi" w:cs="Times New Roman"/>
                <w:kern w:val="0"/>
                <w:szCs w:val="24"/>
                <w:lang w:val="en-US" w:eastAsia="en-US"/>
              </w:rPr>
              <w:t>ml</w:t>
            </w:r>
            <w:r w:rsidRPr="00F10C37">
              <w:rPr>
                <w:rFonts w:eastAsiaTheme="minorHAnsi" w:cs="Times New Roman"/>
                <w:kern w:val="0"/>
                <w:szCs w:val="24"/>
                <w:lang w:val="en-US" w:eastAsia="en-US"/>
              </w:rPr>
              <w:t>odipine, antacids, atenolol, chlorpromazine, ciclosporin, oral contraceptives, dexamethasone, diazepam, furosemide, glibenclamide, glyceryl trinitrate, haloperidol, heparin, hydralazine, hydrochlorthiazide, hydrocortisone, lithium, potassium salts, spironolactone, metformin, prednisolone, verapamil, nifedipine, a</w:t>
            </w:r>
            <w:r w:rsidRPr="00F10C37">
              <w:rPr>
                <w:rFonts w:cs="Times New Roman"/>
                <w:szCs w:val="24"/>
              </w:rPr>
              <w:t>llopurinol, azathioprine, vasopressin, indomethacin, antacids, digoxin, probenecid</w:t>
            </w:r>
          </w:p>
        </w:tc>
      </w:tr>
      <w:tr w:rsidR="0053763D" w:rsidRPr="00F10C37" w14:paraId="0B463B5E" w14:textId="77777777" w:rsidTr="00C46407">
        <w:tc>
          <w:tcPr>
            <w:tcW w:w="2605" w:type="dxa"/>
            <w:gridSpan w:val="3"/>
          </w:tcPr>
          <w:p w14:paraId="0548D075"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gridSpan w:val="3"/>
          </w:tcPr>
          <w:p w14:paraId="5571D6B2"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Dizziness, headache, nausea, hypotension, dry cough, fatigue, asthenia, muscle cramps, rash, and renal impairment, GI disturbance, peptic ulcer, liver damage, chest pain, palpitations, arrhythmias, Raynaud syndrome, angioedema, bronchospasm, dry mouth, sore throat, pulmonary infiltrates, paraesthesia.</w:t>
            </w:r>
          </w:p>
        </w:tc>
      </w:tr>
      <w:tr w:rsidR="0053763D" w:rsidRPr="00F10C37" w14:paraId="64062161" w14:textId="77777777" w:rsidTr="00C46407">
        <w:tc>
          <w:tcPr>
            <w:tcW w:w="2605" w:type="dxa"/>
            <w:gridSpan w:val="3"/>
          </w:tcPr>
          <w:p w14:paraId="20602A51" w14:textId="77777777" w:rsidR="0053763D" w:rsidRPr="00F10C37" w:rsidRDefault="0053763D" w:rsidP="00C46407">
            <w:pPr>
              <w:jc w:val="both"/>
              <w:rPr>
                <w:rFonts w:cs="Times New Roman"/>
                <w:szCs w:val="24"/>
              </w:rPr>
            </w:pPr>
            <w:r w:rsidRPr="00F10C37">
              <w:rPr>
                <w:rFonts w:cs="Times New Roman"/>
                <w:szCs w:val="24"/>
              </w:rPr>
              <w:t>Cautions</w:t>
            </w:r>
          </w:p>
        </w:tc>
        <w:tc>
          <w:tcPr>
            <w:tcW w:w="6660" w:type="dxa"/>
            <w:gridSpan w:val="3"/>
          </w:tcPr>
          <w:p w14:paraId="24441C80" w14:textId="77777777" w:rsidR="0053763D" w:rsidRPr="00F10C37" w:rsidRDefault="0053763D" w:rsidP="00C46407">
            <w:pPr>
              <w:jc w:val="both"/>
              <w:rPr>
                <w:rFonts w:cs="Times New Roman"/>
                <w:szCs w:val="24"/>
              </w:rPr>
            </w:pPr>
            <w:r w:rsidRPr="00F10C37">
              <w:rPr>
                <w:rFonts w:cs="Times New Roman"/>
                <w:szCs w:val="24"/>
              </w:rPr>
              <w:t>Refer to captopril</w:t>
            </w:r>
          </w:p>
        </w:tc>
      </w:tr>
      <w:tr w:rsidR="0053763D" w:rsidRPr="00F10C37" w14:paraId="1879F601" w14:textId="77777777" w:rsidTr="00C46407">
        <w:trPr>
          <w:trHeight w:val="800"/>
        </w:trPr>
        <w:tc>
          <w:tcPr>
            <w:tcW w:w="2605" w:type="dxa"/>
            <w:gridSpan w:val="3"/>
          </w:tcPr>
          <w:p w14:paraId="5A3B7FFF"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660" w:type="dxa"/>
            <w:gridSpan w:val="3"/>
          </w:tcPr>
          <w:p w14:paraId="37AA39D8" w14:textId="77777777" w:rsidR="0053763D" w:rsidRPr="00F10C37" w:rsidRDefault="0053763D" w:rsidP="00C46407">
            <w:pPr>
              <w:jc w:val="both"/>
              <w:rPr>
                <w:rFonts w:cs="Times New Roman"/>
                <w:szCs w:val="24"/>
              </w:rPr>
            </w:pPr>
            <w:r w:rsidRPr="00F10C37">
              <w:rPr>
                <w:rFonts w:cs="Times New Roman"/>
                <w:szCs w:val="24"/>
              </w:rPr>
              <w:t>Store at 15°C - 30°C</w:t>
            </w:r>
            <w:r>
              <w:rPr>
                <w:rFonts w:cs="Times New Roman"/>
                <w:szCs w:val="24"/>
              </w:rPr>
              <w:t xml:space="preserve">. Protect </w:t>
            </w:r>
            <w:r w:rsidRPr="00F10C37">
              <w:rPr>
                <w:rFonts w:cs="Times New Roman"/>
                <w:szCs w:val="24"/>
              </w:rPr>
              <w:t>from heat and light.</w:t>
            </w:r>
          </w:p>
        </w:tc>
      </w:tr>
    </w:tbl>
    <w:tbl>
      <w:tblPr>
        <w:tblStyle w:val="TableGrid"/>
        <w:tblW w:w="9265" w:type="dxa"/>
        <w:tblLook w:val="04A0" w:firstRow="1" w:lastRow="0" w:firstColumn="1" w:lastColumn="0" w:noHBand="0" w:noVBand="1"/>
      </w:tblPr>
      <w:tblGrid>
        <w:gridCol w:w="2350"/>
        <w:gridCol w:w="75"/>
        <w:gridCol w:w="6840"/>
      </w:tblGrid>
      <w:tr w:rsidR="0053763D" w:rsidRPr="00F10C37" w14:paraId="229C2E38" w14:textId="77777777" w:rsidTr="00C46407">
        <w:tc>
          <w:tcPr>
            <w:tcW w:w="9265" w:type="dxa"/>
            <w:gridSpan w:val="3"/>
          </w:tcPr>
          <w:p w14:paraId="19DF325F" w14:textId="77777777" w:rsidR="0053763D" w:rsidRPr="00F10C37" w:rsidRDefault="0053763D" w:rsidP="00C46407">
            <w:pPr>
              <w:jc w:val="both"/>
              <w:rPr>
                <w:rFonts w:cs="Times New Roman"/>
                <w:szCs w:val="24"/>
              </w:rPr>
            </w:pPr>
            <w:r w:rsidRPr="00F10C37">
              <w:rPr>
                <w:rFonts w:cs="Times New Roman"/>
                <w:b/>
                <w:szCs w:val="24"/>
              </w:rPr>
              <w:t>Furosemide</w:t>
            </w:r>
          </w:p>
        </w:tc>
      </w:tr>
      <w:tr w:rsidR="0053763D" w:rsidRPr="00F10C37" w14:paraId="398AFC4A" w14:textId="77777777" w:rsidTr="00C46407">
        <w:tc>
          <w:tcPr>
            <w:tcW w:w="2425" w:type="dxa"/>
            <w:gridSpan w:val="2"/>
          </w:tcPr>
          <w:p w14:paraId="5CA5EDAA"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tcPr>
          <w:p w14:paraId="649B6BFF" w14:textId="77777777" w:rsidR="0053763D" w:rsidRPr="00F10C37" w:rsidRDefault="0053763D" w:rsidP="00C46407">
            <w:pPr>
              <w:jc w:val="both"/>
              <w:rPr>
                <w:rFonts w:cs="Times New Roman"/>
                <w:szCs w:val="24"/>
              </w:rPr>
            </w:pPr>
            <w:r w:rsidRPr="00F10C37">
              <w:rPr>
                <w:rFonts w:cs="Times New Roman"/>
                <w:szCs w:val="24"/>
              </w:rPr>
              <w:t xml:space="preserve">Loop diuretic </w:t>
            </w:r>
          </w:p>
        </w:tc>
      </w:tr>
      <w:tr w:rsidR="0053763D" w:rsidRPr="00F10C37" w14:paraId="4613F1F4" w14:textId="77777777" w:rsidTr="00C46407">
        <w:tc>
          <w:tcPr>
            <w:tcW w:w="2425" w:type="dxa"/>
            <w:gridSpan w:val="2"/>
          </w:tcPr>
          <w:p w14:paraId="23FD76E1"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tcPr>
          <w:p w14:paraId="4DC660F7" w14:textId="77777777" w:rsidR="0053763D" w:rsidRPr="003D3E3A" w:rsidRDefault="0053763D" w:rsidP="00C46407">
            <w:pPr>
              <w:jc w:val="both"/>
              <w:rPr>
                <w:rFonts w:cs="Times New Roman"/>
                <w:szCs w:val="24"/>
              </w:rPr>
            </w:pPr>
            <w:r w:rsidRPr="003D3E3A">
              <w:rPr>
                <w:rFonts w:cs="Times New Roman"/>
                <w:szCs w:val="24"/>
              </w:rPr>
              <w:t>Tablet:</w:t>
            </w:r>
            <w:r w:rsidRPr="00BB1E56">
              <w:rPr>
                <w:rFonts w:cs="Times New Roman"/>
                <w:szCs w:val="24"/>
              </w:rPr>
              <w:t>40 mg, 80mg</w:t>
            </w:r>
            <w:r w:rsidRPr="003D3E3A">
              <w:rPr>
                <w:rFonts w:cs="Times New Roman"/>
                <w:szCs w:val="24"/>
              </w:rPr>
              <w:t xml:space="preserve"> </w:t>
            </w:r>
          </w:p>
          <w:p w14:paraId="4E82CBA8" w14:textId="77777777" w:rsidR="0053763D" w:rsidRPr="00BB1E56" w:rsidRDefault="0053763D" w:rsidP="00C46407">
            <w:pPr>
              <w:jc w:val="both"/>
              <w:rPr>
                <w:rFonts w:cs="Times New Roman"/>
                <w:szCs w:val="24"/>
              </w:rPr>
            </w:pPr>
            <w:r w:rsidRPr="003D3E3A">
              <w:rPr>
                <w:rFonts w:cs="Times New Roman"/>
                <w:szCs w:val="24"/>
              </w:rPr>
              <w:t>Injection:</w:t>
            </w:r>
            <w:r w:rsidRPr="00BB1E56">
              <w:rPr>
                <w:rFonts w:cs="Times New Roman"/>
                <w:szCs w:val="24"/>
              </w:rPr>
              <w:t>10 mg/</w:t>
            </w:r>
            <w:r>
              <w:rPr>
                <w:rFonts w:cs="Times New Roman"/>
                <w:szCs w:val="24"/>
              </w:rPr>
              <w:t>ml</w:t>
            </w:r>
            <w:r w:rsidRPr="00BB1E56">
              <w:rPr>
                <w:rFonts w:cs="Times New Roman"/>
                <w:szCs w:val="24"/>
              </w:rPr>
              <w:t xml:space="preserve"> in 2 </w:t>
            </w:r>
            <w:r>
              <w:rPr>
                <w:rFonts w:cs="Times New Roman"/>
                <w:szCs w:val="24"/>
              </w:rPr>
              <w:t>ml</w:t>
            </w:r>
            <w:r w:rsidRPr="00BB1E56">
              <w:rPr>
                <w:rFonts w:cs="Times New Roman"/>
                <w:szCs w:val="24"/>
              </w:rPr>
              <w:t xml:space="preserve"> ampoule</w:t>
            </w:r>
          </w:p>
          <w:p w14:paraId="0ACBC367" w14:textId="77777777" w:rsidR="0053763D" w:rsidRPr="00F10C37" w:rsidRDefault="0053763D" w:rsidP="00C46407">
            <w:pPr>
              <w:jc w:val="both"/>
              <w:rPr>
                <w:rFonts w:cs="Times New Roman"/>
                <w:b/>
                <w:szCs w:val="24"/>
              </w:rPr>
            </w:pPr>
            <w:r w:rsidRPr="003D3E3A">
              <w:rPr>
                <w:rFonts w:cs="Times New Roman"/>
                <w:szCs w:val="24"/>
              </w:rPr>
              <w:t>Oral liquid</w:t>
            </w:r>
            <w:r w:rsidRPr="00BB1E56">
              <w:rPr>
                <w:rFonts w:cs="Times New Roman"/>
                <w:szCs w:val="24"/>
              </w:rPr>
              <w:t>:</w:t>
            </w:r>
            <w:r w:rsidRPr="00F10C37">
              <w:rPr>
                <w:rFonts w:cs="Times New Roman"/>
                <w:szCs w:val="24"/>
              </w:rPr>
              <w:t xml:space="preserve"> 20mg/5</w:t>
            </w:r>
            <w:r>
              <w:rPr>
                <w:rFonts w:cs="Times New Roman"/>
                <w:szCs w:val="24"/>
              </w:rPr>
              <w:t>ml</w:t>
            </w:r>
          </w:p>
        </w:tc>
      </w:tr>
      <w:tr w:rsidR="0053763D" w:rsidRPr="00F10C37" w14:paraId="25F1CF95" w14:textId="77777777" w:rsidTr="00C46407">
        <w:tc>
          <w:tcPr>
            <w:tcW w:w="2425" w:type="dxa"/>
            <w:gridSpan w:val="2"/>
          </w:tcPr>
          <w:p w14:paraId="0635E593" w14:textId="77777777" w:rsidR="0053763D" w:rsidRPr="00BB1E56" w:rsidRDefault="0053763D" w:rsidP="00C46407">
            <w:pPr>
              <w:jc w:val="both"/>
              <w:rPr>
                <w:rFonts w:cs="Times New Roman"/>
                <w:szCs w:val="24"/>
              </w:rPr>
            </w:pPr>
            <w:r w:rsidRPr="00BB1E56">
              <w:rPr>
                <w:rFonts w:cs="Times New Roman"/>
                <w:szCs w:val="24"/>
              </w:rPr>
              <w:t>Indications</w:t>
            </w:r>
          </w:p>
        </w:tc>
        <w:tc>
          <w:tcPr>
            <w:tcW w:w="6840" w:type="dxa"/>
          </w:tcPr>
          <w:p w14:paraId="5CB4FA43" w14:textId="77777777" w:rsidR="0053763D" w:rsidRPr="00F10C37" w:rsidRDefault="0053763D" w:rsidP="00C46407">
            <w:pPr>
              <w:jc w:val="both"/>
              <w:rPr>
                <w:rFonts w:cs="Times New Roman"/>
                <w:szCs w:val="24"/>
              </w:rPr>
            </w:pPr>
            <w:r w:rsidRPr="00F10C37">
              <w:rPr>
                <w:rFonts w:cs="Times New Roman"/>
                <w:szCs w:val="24"/>
              </w:rPr>
              <w:t>Edema of cardiac, hepatic or renal origin, oliguria due to renal failure</w:t>
            </w:r>
            <w:r>
              <w:rPr>
                <w:rFonts w:cs="Times New Roman"/>
                <w:szCs w:val="24"/>
              </w:rPr>
              <w:t>,</w:t>
            </w:r>
            <w:r w:rsidRPr="00F10C37">
              <w:rPr>
                <w:rFonts w:cs="Times New Roman"/>
                <w:szCs w:val="24"/>
              </w:rPr>
              <w:t xml:space="preserve"> mild to moderate hypertension</w:t>
            </w:r>
            <w:r>
              <w:rPr>
                <w:rFonts w:cs="Times New Roman"/>
                <w:szCs w:val="24"/>
              </w:rPr>
              <w:t>,</w:t>
            </w:r>
            <w:r w:rsidRPr="00F10C37">
              <w:rPr>
                <w:rFonts w:cs="Times New Roman"/>
                <w:szCs w:val="24"/>
              </w:rPr>
              <w:t xml:space="preserve"> as adjunct in the treatment of hypertensive crisis and for the treatment of hypercalcemia</w:t>
            </w:r>
            <w:r>
              <w:rPr>
                <w:rFonts w:cs="Times New Roman"/>
                <w:szCs w:val="24"/>
              </w:rPr>
              <w:t>.</w:t>
            </w:r>
          </w:p>
        </w:tc>
      </w:tr>
      <w:tr w:rsidR="0053763D" w:rsidRPr="00F10C37" w14:paraId="68027359" w14:textId="77777777" w:rsidTr="00C46407">
        <w:tc>
          <w:tcPr>
            <w:tcW w:w="2425" w:type="dxa"/>
            <w:gridSpan w:val="2"/>
          </w:tcPr>
          <w:p w14:paraId="48B5488B" w14:textId="77777777" w:rsidR="0053763D" w:rsidRPr="00F10C37" w:rsidRDefault="0053763D" w:rsidP="00C46407">
            <w:pPr>
              <w:jc w:val="both"/>
              <w:rPr>
                <w:rFonts w:cs="Times New Roman"/>
                <w:szCs w:val="24"/>
              </w:rPr>
            </w:pPr>
            <w:r w:rsidRPr="00F10C37">
              <w:rPr>
                <w:rFonts w:cs="Times New Roman"/>
                <w:szCs w:val="24"/>
              </w:rPr>
              <w:t xml:space="preserve">Dose and administration </w:t>
            </w:r>
          </w:p>
        </w:tc>
        <w:tc>
          <w:tcPr>
            <w:tcW w:w="6840" w:type="dxa"/>
          </w:tcPr>
          <w:p w14:paraId="6DACC5EC" w14:textId="77777777" w:rsidR="0053763D" w:rsidRPr="00F10C37" w:rsidRDefault="0053763D" w:rsidP="00C46407">
            <w:pPr>
              <w:autoSpaceDE w:val="0"/>
              <w:autoSpaceDN w:val="0"/>
              <w:adjustRightInd w:val="0"/>
              <w:jc w:val="both"/>
              <w:rPr>
                <w:rFonts w:eastAsia="Candara-Italic" w:cs="Times New Roman"/>
                <w:i/>
                <w:iCs/>
                <w:kern w:val="0"/>
                <w:szCs w:val="24"/>
                <w:lang w:val="en-US" w:eastAsia="en-US"/>
              </w:rPr>
            </w:pPr>
            <w:r w:rsidRPr="00F10C37">
              <w:rPr>
                <w:rFonts w:eastAsia="Candara-Italic" w:cs="Times New Roman"/>
                <w:b/>
                <w:iCs/>
                <w:kern w:val="0"/>
                <w:szCs w:val="24"/>
                <w:lang w:val="en-US" w:eastAsia="en-US"/>
              </w:rPr>
              <w:t xml:space="preserve">Edema </w:t>
            </w:r>
            <w:r w:rsidRPr="00F10C37">
              <w:rPr>
                <w:rFonts w:eastAsiaTheme="minorHAnsi" w:cs="Times New Roman"/>
                <w:b/>
                <w:iCs/>
                <w:kern w:val="0"/>
                <w:szCs w:val="24"/>
                <w:lang w:val="en-US" w:eastAsia="en-US"/>
              </w:rPr>
              <w:t>associated with heart failure</w:t>
            </w:r>
            <w:r w:rsidRPr="00F10C37">
              <w:rPr>
                <w:rFonts w:eastAsia="Candara-Italic" w:cs="Times New Roman"/>
                <w:b/>
                <w:iCs/>
                <w:kern w:val="0"/>
                <w:szCs w:val="24"/>
                <w:lang w:val="en-US" w:eastAsia="en-US"/>
              </w:rPr>
              <w:t xml:space="preserve">, </w:t>
            </w:r>
            <w:r w:rsidRPr="00967CBB">
              <w:rPr>
                <w:rFonts w:eastAsia="Candara-Italic" w:cs="Times New Roman"/>
                <w:iCs/>
                <w:kern w:val="0"/>
                <w:szCs w:val="24"/>
                <w:lang w:val="en-US" w:eastAsia="en-US"/>
              </w:rPr>
              <w:t>oral</w:t>
            </w:r>
            <w:r w:rsidRPr="00967CBB">
              <w:rPr>
                <w:rFonts w:eastAsia="Candara-Italic" w:cs="Times New Roman"/>
                <w:i/>
                <w:iCs/>
                <w:kern w:val="0"/>
                <w:szCs w:val="24"/>
                <w:lang w:val="en-US" w:eastAsia="en-US"/>
              </w:rPr>
              <w:t>:</w:t>
            </w:r>
            <w:r w:rsidRPr="00F10C37">
              <w:rPr>
                <w:rFonts w:eastAsia="Candara-Italic" w:cs="Times New Roman"/>
                <w:i/>
                <w:iCs/>
                <w:kern w:val="0"/>
                <w:szCs w:val="24"/>
                <w:lang w:val="en-US" w:eastAsia="en-US"/>
              </w:rPr>
              <w:t xml:space="preserve"> </w:t>
            </w:r>
          </w:p>
          <w:p w14:paraId="1831EF3D"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kern w:val="0"/>
                <w:szCs w:val="24"/>
                <w:lang w:val="en-US" w:eastAsia="en-US"/>
              </w:rPr>
              <w:t>Adult</w:t>
            </w:r>
            <w:r w:rsidRPr="00F10C37">
              <w:rPr>
                <w:rFonts w:eastAsia="Candara-Italic" w:cs="Times New Roman"/>
                <w:kern w:val="0"/>
                <w:szCs w:val="24"/>
                <w:lang w:val="en-US" w:eastAsia="en-US"/>
              </w:rPr>
              <w:t>: Initially 40 mg daily, preferably in the morning; usual maintenance dose, 20–40 mg daily; may be increased to 80 mg daily or more in resistant edema</w:t>
            </w:r>
            <w:r>
              <w:rPr>
                <w:rFonts w:eastAsia="Candara-Italic" w:cs="Times New Roman"/>
                <w:kern w:val="0"/>
                <w:szCs w:val="24"/>
                <w:lang w:val="en-US" w:eastAsia="en-US"/>
              </w:rPr>
              <w:t>.</w:t>
            </w:r>
          </w:p>
          <w:p w14:paraId="4EB3BE6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 xml:space="preserve">0.5–2 mg/kg every 12–24hours (every 24hours if corrected age under 31 weeks). </w:t>
            </w:r>
          </w:p>
          <w:p w14:paraId="609CDEB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 month – 11 years: </w:t>
            </w:r>
            <w:r w:rsidRPr="00F10C37">
              <w:rPr>
                <w:rFonts w:eastAsiaTheme="minorHAnsi" w:cs="Times New Roman"/>
                <w:kern w:val="0"/>
                <w:szCs w:val="24"/>
                <w:lang w:val="en-US" w:eastAsia="en-US"/>
              </w:rPr>
              <w:t>0.5–2 mg/kg 2–3 times daily, higher doses may be required in resistant edema, maximum 12 mg/kg (80 mg) daily.</w:t>
            </w:r>
          </w:p>
          <w:p w14:paraId="7D1A10F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12–17 years: </w:t>
            </w:r>
            <w:r w:rsidRPr="00F10C37">
              <w:rPr>
                <w:rFonts w:eastAsiaTheme="minorHAnsi" w:cs="Times New Roman"/>
                <w:kern w:val="0"/>
                <w:szCs w:val="24"/>
                <w:lang w:val="en-US" w:eastAsia="en-US"/>
              </w:rPr>
              <w:t>20–40 mg daily; increased to 80–120 mg daily, in resistant edema</w:t>
            </w:r>
            <w:r>
              <w:rPr>
                <w:rFonts w:eastAsiaTheme="minorHAnsi" w:cs="Times New Roman"/>
                <w:kern w:val="0"/>
                <w:szCs w:val="24"/>
                <w:lang w:val="en-US" w:eastAsia="en-US"/>
              </w:rPr>
              <w:t>.</w:t>
            </w:r>
          </w:p>
          <w:p w14:paraId="6C0A9E50" w14:textId="77777777" w:rsidR="0053763D" w:rsidRPr="00967CBB" w:rsidRDefault="0053763D" w:rsidP="00C46407">
            <w:pPr>
              <w:autoSpaceDE w:val="0"/>
              <w:autoSpaceDN w:val="0"/>
              <w:adjustRightInd w:val="0"/>
              <w:jc w:val="both"/>
              <w:rPr>
                <w:rFonts w:eastAsiaTheme="minorHAnsi" w:cs="Times New Roman"/>
                <w:i/>
                <w:iCs/>
                <w:kern w:val="0"/>
                <w:szCs w:val="24"/>
                <w:lang w:val="en-US" w:eastAsia="en-US"/>
              </w:rPr>
            </w:pPr>
            <w:r w:rsidRPr="00F10C37">
              <w:rPr>
                <w:rFonts w:eastAsiaTheme="minorHAnsi" w:cs="Times New Roman"/>
                <w:b/>
                <w:iCs/>
                <w:kern w:val="0"/>
                <w:szCs w:val="24"/>
                <w:lang w:val="en-US" w:eastAsia="en-US"/>
              </w:rPr>
              <w:t xml:space="preserve">Edema associated with heart failure, </w:t>
            </w:r>
            <w:r w:rsidRPr="00967CBB">
              <w:rPr>
                <w:rFonts w:eastAsiaTheme="minorHAnsi" w:cs="Times New Roman"/>
                <w:iCs/>
                <w:kern w:val="0"/>
                <w:szCs w:val="24"/>
                <w:lang w:val="en-US" w:eastAsia="en-US"/>
              </w:rPr>
              <w:t>by IM injection or slow IV injection or IV infusion:</w:t>
            </w:r>
            <w:r w:rsidRPr="00967CBB">
              <w:rPr>
                <w:rFonts w:eastAsiaTheme="minorHAnsi" w:cs="Times New Roman"/>
                <w:i/>
                <w:iCs/>
                <w:kern w:val="0"/>
                <w:szCs w:val="24"/>
                <w:lang w:val="en-US" w:eastAsia="en-US"/>
              </w:rPr>
              <w:t xml:space="preserve"> </w:t>
            </w:r>
          </w:p>
          <w:p w14:paraId="6E684C2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kern w:val="0"/>
                <w:szCs w:val="24"/>
                <w:lang w:val="en-US" w:eastAsia="en-US"/>
              </w:rPr>
              <w:t>Adult</w:t>
            </w:r>
            <w:r w:rsidRPr="00F10C37">
              <w:rPr>
                <w:rFonts w:eastAsiaTheme="minorHAnsi" w:cs="Times New Roman"/>
                <w:kern w:val="0"/>
                <w:szCs w:val="24"/>
                <w:lang w:val="en-US" w:eastAsia="en-US"/>
              </w:rPr>
              <w:t>: Initially 20–50 mg, then increased in steps of 20 mg every 2 hours if required, doses greater than 50 mg given by IV infusion only; maximum 1.5 g per day (for resistant edema d</w:t>
            </w:r>
            <w:r w:rsidRPr="00F10C37">
              <w:rPr>
                <w:rFonts w:eastAsiaTheme="minorHAnsi" w:cs="Times New Roman"/>
                <w:color w:val="231F20"/>
                <w:kern w:val="0"/>
                <w:szCs w:val="24"/>
                <w:lang w:val="en-US" w:eastAsia="en-US"/>
              </w:rPr>
              <w:t>ose can be increased to 80–120 mg daily).</w:t>
            </w:r>
          </w:p>
          <w:p w14:paraId="323FA14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Neonate</w:t>
            </w:r>
            <w:r w:rsidRPr="00F10C37">
              <w:rPr>
                <w:rFonts w:eastAsiaTheme="minorHAnsi" w:cs="Times New Roman"/>
                <w:kern w:val="0"/>
                <w:szCs w:val="24"/>
                <w:lang w:val="en-US" w:eastAsia="en-US"/>
              </w:rPr>
              <w:t>: 0.5–1 mg/kg every 12–24</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hours (every 24</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hours if corrected age under 31 weeks).</w:t>
            </w:r>
          </w:p>
          <w:p w14:paraId="4E1B2AE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 month – 11 years: </w:t>
            </w:r>
            <w:r w:rsidRPr="00F10C37">
              <w:rPr>
                <w:rFonts w:eastAsiaTheme="minorHAnsi" w:cs="Times New Roman"/>
                <w:kern w:val="0"/>
                <w:szCs w:val="24"/>
                <w:lang w:val="en-US" w:eastAsia="en-US"/>
              </w:rPr>
              <w:t>0.5–1 mg/kg (maximum 4 mg/kg) repeated every 8 hours as necessary, maximum 6 mg/kg per day</w:t>
            </w:r>
          </w:p>
          <w:p w14:paraId="0349173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lastRenderedPageBreak/>
              <w:t xml:space="preserve">Child 12–17 years: </w:t>
            </w:r>
            <w:r w:rsidRPr="00F10C37">
              <w:rPr>
                <w:rFonts w:eastAsiaTheme="minorHAnsi" w:cs="Times New Roman"/>
                <w:kern w:val="0"/>
                <w:szCs w:val="24"/>
                <w:lang w:val="en-US" w:eastAsia="en-US"/>
              </w:rPr>
              <w:t>20–40 mg every 8 hours as required, higher doses may be required in resistant cases.</w:t>
            </w:r>
          </w:p>
          <w:p w14:paraId="260D51A8" w14:textId="77777777" w:rsidR="0053763D" w:rsidRPr="00F10C37" w:rsidRDefault="0053763D" w:rsidP="00C46407">
            <w:pPr>
              <w:jc w:val="both"/>
              <w:rPr>
                <w:rFonts w:cs="Times New Roman"/>
                <w:szCs w:val="24"/>
              </w:rPr>
            </w:pPr>
            <w:r w:rsidRPr="00967CBB">
              <w:rPr>
                <w:rFonts w:eastAsiaTheme="minorHAnsi" w:cs="Times New Roman"/>
                <w:i/>
                <w:kern w:val="0"/>
                <w:szCs w:val="24"/>
                <w:lang w:val="en-US" w:eastAsia="en-US"/>
              </w:rPr>
              <w:t>Note:</w:t>
            </w:r>
            <w:r w:rsidRPr="00F10C37">
              <w:rPr>
                <w:rFonts w:eastAsiaTheme="minorHAnsi" w:cs="Times New Roman"/>
                <w:kern w:val="0"/>
                <w:szCs w:val="24"/>
                <w:lang w:val="en-US" w:eastAsia="en-US"/>
              </w:rPr>
              <w:t xml:space="preserve"> </w:t>
            </w:r>
            <w:r w:rsidRPr="003D3E3A">
              <w:rPr>
                <w:rFonts w:eastAsiaTheme="minorHAnsi" w:cs="Times New Roman"/>
                <w:i/>
                <w:kern w:val="0"/>
                <w:szCs w:val="24"/>
                <w:lang w:val="en-US" w:eastAsia="en-US"/>
              </w:rPr>
              <w:t>Refer dosing for other indications under respective sections.</w:t>
            </w:r>
          </w:p>
        </w:tc>
      </w:tr>
      <w:tr w:rsidR="0053763D" w:rsidRPr="00F10C37" w14:paraId="64E781F8" w14:textId="77777777" w:rsidTr="00C46407">
        <w:tc>
          <w:tcPr>
            <w:tcW w:w="2425" w:type="dxa"/>
            <w:gridSpan w:val="2"/>
          </w:tcPr>
          <w:p w14:paraId="410FFB98"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tcPr>
          <w:p w14:paraId="1D33BD07" w14:textId="77777777" w:rsidR="0053763D" w:rsidRPr="00F10C37" w:rsidRDefault="0053763D" w:rsidP="00C46407">
            <w:pPr>
              <w:jc w:val="both"/>
              <w:rPr>
                <w:rFonts w:cs="Times New Roman"/>
                <w:szCs w:val="24"/>
              </w:rPr>
            </w:pPr>
            <w:r w:rsidRPr="00F10C37">
              <w:rPr>
                <w:rFonts w:cs="Times New Roman"/>
                <w:szCs w:val="24"/>
              </w:rPr>
              <w:t>Patients with pre-comatose states associated with liver cirrhosis, renal failure with anuria.</w:t>
            </w:r>
          </w:p>
        </w:tc>
      </w:tr>
      <w:tr w:rsidR="0053763D" w:rsidRPr="00F10C37" w14:paraId="2E218438" w14:textId="77777777" w:rsidTr="00C46407">
        <w:tc>
          <w:tcPr>
            <w:tcW w:w="2425" w:type="dxa"/>
            <w:gridSpan w:val="2"/>
          </w:tcPr>
          <w:p w14:paraId="2071EB6D"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tcPr>
          <w:p w14:paraId="4D617064" w14:textId="77777777" w:rsidR="0053763D" w:rsidRPr="00F10C37" w:rsidRDefault="0053763D" w:rsidP="00C46407">
            <w:pPr>
              <w:jc w:val="both"/>
              <w:rPr>
                <w:rFonts w:cs="Times New Roman"/>
                <w:szCs w:val="24"/>
              </w:rPr>
            </w:pPr>
            <w:r w:rsidRPr="00F10C37">
              <w:rPr>
                <w:rFonts w:cs="Times New Roman"/>
                <w:szCs w:val="24"/>
              </w:rPr>
              <w:t xml:space="preserve">Aminoglycosides, cyclosporine, cisplatin, carbamazepine, beta-blockers, theophylline, antifungals, digoxin, corticosteroids, phenytoin, immunoglobulins, reboxetine and lithium. </w:t>
            </w:r>
          </w:p>
        </w:tc>
      </w:tr>
      <w:tr w:rsidR="0053763D" w:rsidRPr="00F10C37" w14:paraId="31574D2B" w14:textId="77777777" w:rsidTr="00C46407">
        <w:tc>
          <w:tcPr>
            <w:tcW w:w="2425" w:type="dxa"/>
            <w:gridSpan w:val="2"/>
          </w:tcPr>
          <w:p w14:paraId="56DA34A8"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tcPr>
          <w:p w14:paraId="0C22E27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Hyponatremia, hypokalemia, hypomagnesaemia, increased calcium excretion, hypotension, hyperuricemia and gout, hyperglycemia, increase in cholesterol and triglyceride concentrations, photosensitivity, a</w:t>
            </w:r>
            <w:r w:rsidRPr="00F10C37">
              <w:rPr>
                <w:rFonts w:eastAsiaTheme="minorHAnsi" w:cs="Times New Roman"/>
                <w:color w:val="231F20"/>
                <w:kern w:val="0"/>
                <w:szCs w:val="24"/>
                <w:lang w:val="en-US" w:eastAsia="en-US"/>
              </w:rPr>
              <w:t>granulocytosis, aplastic anaemia</w:t>
            </w:r>
            <w:r w:rsidRPr="00F10C37">
              <w:rPr>
                <w:rFonts w:cs="Times New Roman"/>
                <w:szCs w:val="24"/>
              </w:rPr>
              <w:t>, pancreatitis, tinnitus, deafness</w:t>
            </w:r>
            <w:r w:rsidRPr="00F10C37">
              <w:rPr>
                <w:rFonts w:eastAsiaTheme="minorHAnsi" w:cs="Times New Roman"/>
                <w:color w:val="231F20"/>
                <w:kern w:val="0"/>
                <w:szCs w:val="24"/>
                <w:lang w:val="en-US" w:eastAsia="en-US"/>
              </w:rPr>
              <w:t>, acute kidney injury, hepatic disorders, metabolic acidosis, cholestasis.</w:t>
            </w:r>
          </w:p>
        </w:tc>
      </w:tr>
      <w:tr w:rsidR="0053763D" w:rsidRPr="00F10C37" w14:paraId="62578E6D" w14:textId="77777777" w:rsidTr="00C46407">
        <w:tc>
          <w:tcPr>
            <w:tcW w:w="2425" w:type="dxa"/>
            <w:gridSpan w:val="2"/>
          </w:tcPr>
          <w:p w14:paraId="7D384535"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840" w:type="dxa"/>
          </w:tcPr>
          <w:p w14:paraId="72C3F33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cs="Times New Roman"/>
                <w:szCs w:val="24"/>
              </w:rPr>
              <w:t xml:space="preserve">Hyperproteinemia, children, elderly, pregnancy, breastfeeding, hypotension, hypovolemia, diabetes mellitus, gout, </w:t>
            </w:r>
            <w:r>
              <w:rPr>
                <w:rFonts w:cs="Times New Roman"/>
                <w:szCs w:val="24"/>
              </w:rPr>
              <w:t xml:space="preserve">hepatic </w:t>
            </w:r>
            <w:r w:rsidRPr="00F10C37">
              <w:rPr>
                <w:rFonts w:cs="Times New Roman"/>
                <w:szCs w:val="24"/>
              </w:rPr>
              <w:t>failure</w:t>
            </w:r>
            <w:r>
              <w:rPr>
                <w:rFonts w:cs="Times New Roman"/>
                <w:szCs w:val="24"/>
              </w:rPr>
              <w:t>,</w:t>
            </w:r>
            <w:r w:rsidRPr="00F10C37">
              <w:rPr>
                <w:rFonts w:cs="Times New Roman"/>
                <w:szCs w:val="24"/>
              </w:rPr>
              <w:t xml:space="preserve"> renal impairment, prostatic enlargement, porphyria, </w:t>
            </w:r>
            <w:r>
              <w:rPr>
                <w:rFonts w:eastAsiaTheme="minorHAnsi" w:cs="Times New Roman"/>
                <w:kern w:val="0"/>
                <w:szCs w:val="24"/>
                <w:lang w:val="en-US" w:eastAsia="en-US"/>
              </w:rPr>
              <w:t>hypokalemia, hyponatremia.</w:t>
            </w:r>
          </w:p>
        </w:tc>
      </w:tr>
      <w:tr w:rsidR="0053763D" w:rsidRPr="00F10C37" w14:paraId="5D330533" w14:textId="77777777" w:rsidTr="00C46407">
        <w:tc>
          <w:tcPr>
            <w:tcW w:w="2425" w:type="dxa"/>
            <w:gridSpan w:val="2"/>
          </w:tcPr>
          <w:p w14:paraId="53FFE40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tcPr>
          <w:p w14:paraId="1ADAF699"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 P</w:t>
            </w:r>
            <w:r w:rsidRPr="00F10C37">
              <w:rPr>
                <w:rFonts w:cs="Times New Roman"/>
                <w:szCs w:val="24"/>
              </w:rPr>
              <w:t>rotect from freezing and light.</w:t>
            </w:r>
          </w:p>
        </w:tc>
      </w:tr>
      <w:tr w:rsidR="0053763D" w:rsidRPr="00F10C37" w14:paraId="12EBCDB0" w14:textId="77777777" w:rsidTr="00C46407">
        <w:tc>
          <w:tcPr>
            <w:tcW w:w="9265" w:type="dxa"/>
            <w:gridSpan w:val="3"/>
          </w:tcPr>
          <w:p w14:paraId="095B6985" w14:textId="77777777" w:rsidR="0053763D" w:rsidRPr="00F10C37" w:rsidRDefault="0053763D" w:rsidP="00C46407">
            <w:pPr>
              <w:jc w:val="both"/>
              <w:rPr>
                <w:rFonts w:cs="Times New Roman"/>
                <w:b/>
                <w:szCs w:val="24"/>
              </w:rPr>
            </w:pPr>
            <w:r w:rsidRPr="00F10C37">
              <w:rPr>
                <w:rFonts w:cs="Times New Roman"/>
                <w:b/>
                <w:szCs w:val="24"/>
              </w:rPr>
              <w:t>Hydrochlorothiazide</w:t>
            </w:r>
          </w:p>
        </w:tc>
      </w:tr>
      <w:tr w:rsidR="0053763D" w:rsidRPr="00F10C37" w14:paraId="74D4884B" w14:textId="77777777" w:rsidTr="00C46407">
        <w:tc>
          <w:tcPr>
            <w:tcW w:w="2350" w:type="dxa"/>
          </w:tcPr>
          <w:p w14:paraId="7B3E9F84"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15" w:type="dxa"/>
            <w:gridSpan w:val="2"/>
          </w:tcPr>
          <w:p w14:paraId="2C7A8F34" w14:textId="77777777" w:rsidR="0053763D" w:rsidRPr="00F10C37" w:rsidRDefault="0053763D" w:rsidP="00C46407">
            <w:pPr>
              <w:jc w:val="both"/>
              <w:rPr>
                <w:rFonts w:cs="Times New Roman"/>
                <w:szCs w:val="24"/>
              </w:rPr>
            </w:pPr>
            <w:r w:rsidRPr="00F10C37">
              <w:rPr>
                <w:rFonts w:cs="Times New Roman"/>
                <w:szCs w:val="24"/>
              </w:rPr>
              <w:t>Thiazide diuretic</w:t>
            </w:r>
          </w:p>
        </w:tc>
      </w:tr>
      <w:tr w:rsidR="0053763D" w:rsidRPr="00F10C37" w14:paraId="12631D5B" w14:textId="77777777" w:rsidTr="00C46407">
        <w:tc>
          <w:tcPr>
            <w:tcW w:w="2350" w:type="dxa"/>
          </w:tcPr>
          <w:p w14:paraId="187D8D40" w14:textId="77777777" w:rsidR="0053763D" w:rsidRPr="00F10C37" w:rsidRDefault="0053763D" w:rsidP="00C46407">
            <w:pPr>
              <w:jc w:val="both"/>
              <w:rPr>
                <w:rFonts w:cs="Times New Roman"/>
                <w:szCs w:val="24"/>
              </w:rPr>
            </w:pPr>
            <w:r w:rsidRPr="00F10C37">
              <w:rPr>
                <w:rFonts w:cs="Times New Roman"/>
                <w:szCs w:val="24"/>
              </w:rPr>
              <w:t>Dosage form</w:t>
            </w:r>
          </w:p>
        </w:tc>
        <w:tc>
          <w:tcPr>
            <w:tcW w:w="6915" w:type="dxa"/>
            <w:gridSpan w:val="2"/>
          </w:tcPr>
          <w:p w14:paraId="23A08839" w14:textId="77777777" w:rsidR="0053763D" w:rsidRPr="005C7D48" w:rsidRDefault="0053763D" w:rsidP="00C46407">
            <w:pPr>
              <w:jc w:val="both"/>
              <w:rPr>
                <w:rFonts w:cs="Times New Roman"/>
                <w:szCs w:val="24"/>
                <w:lang w:val="nb-NO"/>
              </w:rPr>
            </w:pPr>
            <w:r w:rsidRPr="003D3E3A">
              <w:rPr>
                <w:rFonts w:cs="Times New Roman"/>
                <w:szCs w:val="24"/>
                <w:lang w:val="nb-NO"/>
              </w:rPr>
              <w:t>Oral liquid</w:t>
            </w:r>
            <w:r w:rsidRPr="005C7D48">
              <w:rPr>
                <w:rFonts w:cs="Times New Roman"/>
                <w:szCs w:val="24"/>
                <w:lang w:val="nb-NO"/>
              </w:rPr>
              <w:t>: 50 mg/5</w:t>
            </w:r>
            <w:r>
              <w:rPr>
                <w:rFonts w:cs="Times New Roman"/>
                <w:szCs w:val="24"/>
                <w:lang w:val="nb-NO"/>
              </w:rPr>
              <w:t>ml</w:t>
            </w:r>
          </w:p>
          <w:p w14:paraId="6096C07B" w14:textId="77777777" w:rsidR="0053763D" w:rsidRPr="00F10C37" w:rsidRDefault="0053763D" w:rsidP="00C46407">
            <w:pPr>
              <w:jc w:val="both"/>
              <w:rPr>
                <w:rFonts w:cs="Times New Roman"/>
                <w:b/>
                <w:szCs w:val="24"/>
                <w:lang w:val="nb-NO"/>
              </w:rPr>
            </w:pPr>
            <w:r w:rsidRPr="003D3E3A">
              <w:rPr>
                <w:rFonts w:cs="Times New Roman"/>
                <w:szCs w:val="24"/>
                <w:lang w:val="nb-NO"/>
              </w:rPr>
              <w:t>Tablet:</w:t>
            </w:r>
            <w:r w:rsidRPr="00F10C37">
              <w:rPr>
                <w:rFonts w:cs="Times New Roman"/>
                <w:szCs w:val="24"/>
                <w:lang w:val="nb-NO"/>
              </w:rPr>
              <w:t xml:space="preserve"> 25mg</w:t>
            </w:r>
          </w:p>
        </w:tc>
      </w:tr>
      <w:tr w:rsidR="0053763D" w:rsidRPr="00F10C37" w14:paraId="74162EA9" w14:textId="77777777" w:rsidTr="00C46407">
        <w:tc>
          <w:tcPr>
            <w:tcW w:w="2350" w:type="dxa"/>
          </w:tcPr>
          <w:p w14:paraId="7F69EA65" w14:textId="77777777" w:rsidR="0053763D" w:rsidRPr="005C7D48" w:rsidRDefault="0053763D" w:rsidP="00C46407">
            <w:pPr>
              <w:jc w:val="both"/>
              <w:rPr>
                <w:rFonts w:cs="Times New Roman"/>
                <w:szCs w:val="24"/>
              </w:rPr>
            </w:pPr>
            <w:r w:rsidRPr="005C7D48">
              <w:rPr>
                <w:rFonts w:cs="Times New Roman"/>
                <w:szCs w:val="24"/>
              </w:rPr>
              <w:t>Indications</w:t>
            </w:r>
          </w:p>
        </w:tc>
        <w:tc>
          <w:tcPr>
            <w:tcW w:w="6915" w:type="dxa"/>
            <w:gridSpan w:val="2"/>
          </w:tcPr>
          <w:p w14:paraId="1D5229B1"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eart failure</w:t>
            </w:r>
            <w:r>
              <w:rPr>
                <w:rFonts w:cs="Times New Roman"/>
                <w:szCs w:val="24"/>
              </w:rPr>
              <w:t>,</w:t>
            </w:r>
            <w:r w:rsidRPr="00F10C37">
              <w:rPr>
                <w:rFonts w:cs="Times New Roman"/>
                <w:szCs w:val="24"/>
              </w:rPr>
              <w:t xml:space="preserve"> </w:t>
            </w:r>
            <w:r>
              <w:rPr>
                <w:rFonts w:cs="Times New Roman"/>
                <w:szCs w:val="24"/>
              </w:rPr>
              <w:t>h</w:t>
            </w:r>
            <w:r w:rsidRPr="00F10C37">
              <w:rPr>
                <w:rFonts w:cs="Times New Roman"/>
                <w:szCs w:val="24"/>
              </w:rPr>
              <w:t>ypertension, edema, nephrogenic diabetes insipidus</w:t>
            </w:r>
          </w:p>
        </w:tc>
      </w:tr>
      <w:tr w:rsidR="0053763D" w:rsidRPr="00F10C37" w14:paraId="5BEECD19" w14:textId="77777777" w:rsidTr="00C46407">
        <w:tc>
          <w:tcPr>
            <w:tcW w:w="2350" w:type="dxa"/>
          </w:tcPr>
          <w:p w14:paraId="1208EE8D" w14:textId="77777777" w:rsidR="0053763D" w:rsidRPr="00F10C37" w:rsidRDefault="0053763D" w:rsidP="00C46407">
            <w:pPr>
              <w:jc w:val="both"/>
              <w:rPr>
                <w:rFonts w:cs="Times New Roman"/>
                <w:szCs w:val="24"/>
              </w:rPr>
            </w:pPr>
            <w:r w:rsidRPr="00F10C37">
              <w:rPr>
                <w:rFonts w:eastAsia="Times New Roman" w:cs="Times New Roman"/>
                <w:szCs w:val="24"/>
              </w:rPr>
              <w:t>Dose and method of administration</w:t>
            </w:r>
          </w:p>
        </w:tc>
        <w:tc>
          <w:tcPr>
            <w:tcW w:w="6915" w:type="dxa"/>
            <w:gridSpan w:val="2"/>
          </w:tcPr>
          <w:p w14:paraId="7BB45316" w14:textId="77777777" w:rsidR="0053763D"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Candara-Italic" w:cs="Times New Roman"/>
                <w:b/>
                <w:iCs/>
                <w:kern w:val="0"/>
                <w:szCs w:val="24"/>
                <w:lang w:val="en-US" w:eastAsia="en-US"/>
              </w:rPr>
              <w:t>Edema</w:t>
            </w:r>
            <w:r>
              <w:rPr>
                <w:rFonts w:eastAsia="Candara-Italic" w:cs="Times New Roman"/>
                <w:b/>
                <w:iCs/>
                <w:kern w:val="0"/>
                <w:szCs w:val="24"/>
                <w:lang w:val="en-US" w:eastAsia="en-US"/>
              </w:rPr>
              <w:t>,</w:t>
            </w:r>
            <w:r w:rsidRPr="00F10C37">
              <w:rPr>
                <w:rFonts w:eastAsia="Candara-Italic" w:cs="Times New Roman"/>
                <w:b/>
                <w:iCs/>
                <w:kern w:val="0"/>
                <w:szCs w:val="24"/>
                <w:lang w:val="en-US" w:eastAsia="en-US"/>
              </w:rPr>
              <w:t xml:space="preserve"> </w:t>
            </w:r>
            <w:r w:rsidRPr="009D0057">
              <w:rPr>
                <w:rFonts w:eastAsiaTheme="minorHAnsi" w:cs="Times New Roman"/>
                <w:bCs/>
                <w:kern w:val="0"/>
                <w:szCs w:val="24"/>
                <w:lang w:val="en-US" w:eastAsia="en-US"/>
              </w:rPr>
              <w:t>oral</w:t>
            </w:r>
            <w:r w:rsidRPr="00F10C37">
              <w:rPr>
                <w:rFonts w:eastAsiaTheme="minorHAnsi" w:cs="Times New Roman"/>
                <w:b/>
                <w:bCs/>
                <w:kern w:val="0"/>
                <w:szCs w:val="24"/>
                <w:lang w:val="en-US" w:eastAsia="en-US"/>
              </w:rPr>
              <w:t xml:space="preserve">: </w:t>
            </w:r>
          </w:p>
          <w:p w14:paraId="4FE47837"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Adult: </w:t>
            </w:r>
            <w:r w:rsidRPr="00F10C37">
              <w:rPr>
                <w:rFonts w:eastAsiaTheme="minorHAnsi" w:cs="Times New Roman"/>
                <w:kern w:val="0"/>
                <w:szCs w:val="24"/>
                <w:lang w:val="en-US" w:eastAsia="en-US"/>
              </w:rPr>
              <w:t xml:space="preserve">Initially 25 mg daily on rising, increased to 50 mg daily if necessary. </w:t>
            </w:r>
          </w:p>
          <w:p w14:paraId="0AE4AE53"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Elderly</w:t>
            </w:r>
            <w:r w:rsidRPr="00F10C37">
              <w:rPr>
                <w:rFonts w:eastAsia="Candara-Italic" w:cs="Times New Roman"/>
                <w:i/>
                <w:iCs/>
                <w:kern w:val="0"/>
                <w:szCs w:val="24"/>
                <w:lang w:val="en-US" w:eastAsia="en-US"/>
              </w:rPr>
              <w:t xml:space="preserve">: </w:t>
            </w:r>
            <w:r w:rsidRPr="00F10C37">
              <w:rPr>
                <w:rFonts w:eastAsiaTheme="minorHAnsi" w:cs="Times New Roman"/>
                <w:kern w:val="0"/>
                <w:szCs w:val="24"/>
                <w:lang w:val="en-US" w:eastAsia="en-US"/>
              </w:rPr>
              <w:t xml:space="preserve">Initially 12.5 mg daily on rising. </w:t>
            </w:r>
          </w:p>
          <w:p w14:paraId="02005F8D"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Infant under 6 months: </w:t>
            </w:r>
            <w:r w:rsidRPr="00F10C37">
              <w:rPr>
                <w:rFonts w:eastAsiaTheme="minorHAnsi" w:cs="Times New Roman"/>
                <w:kern w:val="0"/>
                <w:szCs w:val="24"/>
                <w:lang w:val="en-US" w:eastAsia="en-US"/>
              </w:rPr>
              <w:t xml:space="preserve">2 to 3.3 mg/kg daily in two divided doses; maximum dose 37.5 mg daily. </w:t>
            </w:r>
          </w:p>
          <w:p w14:paraId="635E5CF1"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lastRenderedPageBreak/>
              <w:t xml:space="preserve">Child over 6 months: </w:t>
            </w:r>
            <w:r w:rsidRPr="00F10C37">
              <w:rPr>
                <w:rFonts w:eastAsiaTheme="minorHAnsi" w:cs="Times New Roman"/>
                <w:kern w:val="0"/>
                <w:szCs w:val="24"/>
                <w:lang w:val="en-US" w:eastAsia="en-US"/>
              </w:rPr>
              <w:t>2 mg/kg daily in two divided doses; maximum dose 200 mg daily</w:t>
            </w:r>
          </w:p>
          <w:p w14:paraId="362076A6" w14:textId="77777777" w:rsidR="0053763D" w:rsidRPr="00F10C37" w:rsidRDefault="0053763D" w:rsidP="00C46407">
            <w:pPr>
              <w:autoSpaceDE w:val="0"/>
              <w:autoSpaceDN w:val="0"/>
              <w:adjustRightInd w:val="0"/>
              <w:jc w:val="both"/>
              <w:rPr>
                <w:rFonts w:eastAsia="Candara-Italic" w:cs="Times New Roman"/>
                <w:i/>
                <w:iCs/>
                <w:kern w:val="0"/>
                <w:szCs w:val="24"/>
                <w:lang w:val="en-US" w:eastAsia="en-US"/>
              </w:rPr>
            </w:pPr>
            <w:r w:rsidRPr="00F10C37">
              <w:rPr>
                <w:rFonts w:eastAsia="Candara-Italic" w:cs="Times New Roman"/>
                <w:b/>
                <w:iCs/>
                <w:kern w:val="0"/>
                <w:szCs w:val="24"/>
                <w:lang w:val="en-US" w:eastAsia="en-US"/>
              </w:rPr>
              <w:t xml:space="preserve">Severe edema in patients unable to tolerate loop diuretics, </w:t>
            </w:r>
            <w:r w:rsidRPr="009D0057">
              <w:rPr>
                <w:rFonts w:eastAsiaTheme="minorHAnsi" w:cs="Times New Roman"/>
                <w:kern w:val="0"/>
                <w:szCs w:val="24"/>
                <w:lang w:val="en-US" w:eastAsia="en-US"/>
              </w:rPr>
              <w:t>o</w:t>
            </w:r>
            <w:r w:rsidRPr="009D0057">
              <w:rPr>
                <w:rFonts w:eastAsia="Candara-Italic" w:cs="Times New Roman"/>
                <w:iCs/>
                <w:kern w:val="0"/>
                <w:szCs w:val="24"/>
                <w:lang w:val="en-US" w:eastAsia="en-US"/>
              </w:rPr>
              <w:t>ral</w:t>
            </w:r>
            <w:r w:rsidRPr="00F10C37">
              <w:rPr>
                <w:rFonts w:eastAsia="Candara-Italic" w:cs="Times New Roman"/>
                <w:i/>
                <w:iCs/>
                <w:kern w:val="0"/>
                <w:szCs w:val="24"/>
                <w:lang w:val="en-US" w:eastAsia="en-US"/>
              </w:rPr>
              <w:t xml:space="preserve">: </w:t>
            </w:r>
            <w:r w:rsidRPr="00F10C37">
              <w:rPr>
                <w:rFonts w:eastAsiaTheme="minorHAnsi" w:cs="Times New Roman"/>
                <w:kern w:val="0"/>
                <w:szCs w:val="24"/>
                <w:lang w:val="en-US" w:eastAsia="en-US"/>
              </w:rPr>
              <w:t>Up to 100 mg either daily or on alternate days; maximum 100 mg daily</w:t>
            </w:r>
          </w:p>
          <w:p w14:paraId="16749AC5"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Candara-Italic" w:cs="Times New Roman"/>
                <w:b/>
                <w:iCs/>
                <w:kern w:val="0"/>
                <w:szCs w:val="24"/>
                <w:lang w:val="en-US" w:eastAsia="en-US"/>
              </w:rPr>
              <w:t xml:space="preserve">Nephrogenic diabetes insipidus, </w:t>
            </w:r>
            <w:r w:rsidRPr="009D0057">
              <w:rPr>
                <w:rFonts w:eastAsiaTheme="minorHAnsi" w:cs="Times New Roman"/>
                <w:kern w:val="0"/>
                <w:szCs w:val="24"/>
                <w:lang w:val="en-US" w:eastAsia="en-US"/>
              </w:rPr>
              <w:t>o</w:t>
            </w:r>
            <w:r w:rsidRPr="009D0057">
              <w:rPr>
                <w:rFonts w:eastAsia="Candara-Italic" w:cs="Times New Roman"/>
                <w:iCs/>
                <w:kern w:val="0"/>
                <w:szCs w:val="24"/>
                <w:lang w:val="en-US" w:eastAsia="en-US"/>
              </w:rPr>
              <w:t>ral</w:t>
            </w:r>
            <w:r w:rsidRPr="009D0057">
              <w:rPr>
                <w:rFonts w:eastAsia="Candara-Italic" w:cs="Times New Roman"/>
                <w:i/>
                <w:iCs/>
                <w:kern w:val="0"/>
                <w:szCs w:val="24"/>
                <w:lang w:val="en-US" w:eastAsia="en-US"/>
              </w:rPr>
              <w:t>:</w:t>
            </w:r>
            <w:r w:rsidRPr="00F10C37">
              <w:rPr>
                <w:rFonts w:eastAsia="Candara-Italic" w:cs="Times New Roman"/>
                <w:i/>
                <w:iCs/>
                <w:kern w:val="0"/>
                <w:szCs w:val="24"/>
                <w:lang w:val="en-US" w:eastAsia="en-US"/>
              </w:rPr>
              <w:t xml:space="preserve"> </w:t>
            </w:r>
            <w:r w:rsidRPr="00F10C37">
              <w:rPr>
                <w:rFonts w:eastAsiaTheme="minorHAnsi" w:cs="Times New Roman"/>
                <w:kern w:val="0"/>
                <w:szCs w:val="24"/>
                <w:lang w:val="en-US" w:eastAsia="en-US"/>
              </w:rPr>
              <w:t>Initially up to 100 mg daily</w:t>
            </w:r>
          </w:p>
          <w:p w14:paraId="12623097" w14:textId="77777777" w:rsidR="0053763D" w:rsidRPr="00F10C37" w:rsidRDefault="0053763D" w:rsidP="00C46407">
            <w:pPr>
              <w:autoSpaceDE w:val="0"/>
              <w:autoSpaceDN w:val="0"/>
              <w:adjustRightInd w:val="0"/>
              <w:jc w:val="both"/>
              <w:rPr>
                <w:rFonts w:eastAsiaTheme="minorHAnsi" w:cs="Times New Roman"/>
                <w:b/>
                <w:kern w:val="0"/>
                <w:szCs w:val="24"/>
                <w:lang w:val="en-US" w:eastAsia="en-US"/>
              </w:rPr>
            </w:pPr>
            <w:r w:rsidRPr="009D0057">
              <w:rPr>
                <w:rFonts w:eastAsiaTheme="minorHAnsi" w:cs="Times New Roman"/>
                <w:i/>
                <w:kern w:val="0"/>
                <w:szCs w:val="24"/>
                <w:lang w:val="en-US" w:eastAsia="en-US"/>
              </w:rPr>
              <w:t>Note:</w:t>
            </w:r>
            <w:r w:rsidRPr="00F10C37">
              <w:rPr>
                <w:rFonts w:eastAsiaTheme="minorHAnsi" w:cs="Times New Roman"/>
                <w:b/>
                <w:kern w:val="0"/>
                <w:szCs w:val="24"/>
                <w:lang w:val="en-US" w:eastAsia="en-US"/>
              </w:rPr>
              <w:t xml:space="preserve"> </w:t>
            </w:r>
            <w:r w:rsidRPr="003D3E3A">
              <w:rPr>
                <w:rFonts w:eastAsiaTheme="minorHAnsi" w:cs="Times New Roman"/>
                <w:i/>
                <w:kern w:val="0"/>
                <w:szCs w:val="24"/>
                <w:lang w:val="en-US" w:eastAsia="en-US"/>
              </w:rPr>
              <w:t>refer indication for other under respective sections.</w:t>
            </w:r>
          </w:p>
        </w:tc>
      </w:tr>
      <w:tr w:rsidR="0053763D" w:rsidRPr="00F10C37" w14:paraId="7B292121" w14:textId="77777777" w:rsidTr="00C46407">
        <w:tc>
          <w:tcPr>
            <w:tcW w:w="2350" w:type="dxa"/>
          </w:tcPr>
          <w:p w14:paraId="733F136B"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15" w:type="dxa"/>
            <w:gridSpan w:val="2"/>
          </w:tcPr>
          <w:p w14:paraId="55D8D9D2"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Hyper</w:t>
            </w:r>
            <w:r w:rsidRPr="00F10C37">
              <w:rPr>
                <w:rFonts w:eastAsiaTheme="minorHAnsi" w:cs="Times New Roman"/>
                <w:kern w:val="0"/>
                <w:szCs w:val="24"/>
                <w:lang w:val="en-US" w:eastAsia="en-US"/>
              </w:rPr>
              <w:t xml:space="preserve">sensitive to </w:t>
            </w:r>
            <w:r>
              <w:rPr>
                <w:rFonts w:eastAsiaTheme="minorHAnsi" w:cs="Times New Roman"/>
                <w:kern w:val="0"/>
                <w:szCs w:val="24"/>
                <w:lang w:val="en-US" w:eastAsia="en-US"/>
              </w:rPr>
              <w:t>the drug or</w:t>
            </w:r>
            <w:r w:rsidRPr="00F10C37">
              <w:rPr>
                <w:rFonts w:eastAsiaTheme="minorHAnsi" w:cs="Times New Roman"/>
                <w:kern w:val="0"/>
                <w:szCs w:val="24"/>
                <w:lang w:val="en-US" w:eastAsia="en-US"/>
              </w:rPr>
              <w:t xml:space="preserve"> other sulfonamide-derived drugs</w:t>
            </w:r>
            <w:r>
              <w:rPr>
                <w:rFonts w:eastAsiaTheme="minorHAnsi" w:cs="Times New Roman"/>
                <w:kern w:val="0"/>
                <w:szCs w:val="24"/>
                <w:lang w:val="en-US" w:eastAsia="en-US"/>
              </w:rPr>
              <w:t>, s</w:t>
            </w:r>
            <w:r w:rsidRPr="00F10C37">
              <w:rPr>
                <w:rFonts w:eastAsiaTheme="minorHAnsi" w:cs="Times New Roman"/>
                <w:kern w:val="0"/>
                <w:szCs w:val="24"/>
                <w:lang w:val="en-US" w:eastAsia="en-US"/>
              </w:rPr>
              <w:t>evere renal or severe hepatic impairment, hyponatremia, hypercalcemia, refractory hypokalemia, symptomatic hyperuricemia, Addison disease</w:t>
            </w:r>
            <w:r>
              <w:rPr>
                <w:rFonts w:eastAsiaTheme="minorHAnsi" w:cs="Times New Roman"/>
                <w:kern w:val="0"/>
                <w:szCs w:val="24"/>
                <w:lang w:val="en-US" w:eastAsia="en-US"/>
              </w:rPr>
              <w:t>.</w:t>
            </w:r>
          </w:p>
        </w:tc>
      </w:tr>
      <w:tr w:rsidR="0053763D" w:rsidRPr="00F10C37" w14:paraId="28EC76D7" w14:textId="77777777" w:rsidTr="00C46407">
        <w:tc>
          <w:tcPr>
            <w:tcW w:w="2350" w:type="dxa"/>
          </w:tcPr>
          <w:p w14:paraId="73E8F901"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15" w:type="dxa"/>
            <w:gridSpan w:val="2"/>
          </w:tcPr>
          <w:p w14:paraId="4BA58BAE" w14:textId="77777777" w:rsidR="0053763D" w:rsidRPr="00F10C37" w:rsidRDefault="0053763D" w:rsidP="00C46407">
            <w:pPr>
              <w:jc w:val="both"/>
              <w:rPr>
                <w:rFonts w:cs="Times New Roman"/>
                <w:szCs w:val="24"/>
              </w:rPr>
            </w:pPr>
            <w:r w:rsidRPr="00F10C37">
              <w:rPr>
                <w:rFonts w:cs="Times New Roman"/>
                <w:szCs w:val="24"/>
              </w:rPr>
              <w:t xml:space="preserve">Allopurinol, NSAIDs, lithium, </w:t>
            </w:r>
            <w:r>
              <w:rPr>
                <w:rFonts w:cs="Times New Roman"/>
                <w:szCs w:val="24"/>
              </w:rPr>
              <w:t>calcium</w:t>
            </w:r>
            <w:r w:rsidRPr="00F10C37">
              <w:rPr>
                <w:rFonts w:cs="Times New Roman"/>
                <w:szCs w:val="24"/>
              </w:rPr>
              <w:t xml:space="preserve"> salts, vitamin D supplements, asp</w:t>
            </w:r>
            <w:r>
              <w:rPr>
                <w:rFonts w:cs="Times New Roman"/>
                <w:szCs w:val="24"/>
              </w:rPr>
              <w:t>i</w:t>
            </w:r>
            <w:r w:rsidRPr="00F10C37">
              <w:rPr>
                <w:rFonts w:cs="Times New Roman"/>
                <w:szCs w:val="24"/>
              </w:rPr>
              <w:t>rin</w:t>
            </w:r>
            <w:r>
              <w:rPr>
                <w:rFonts w:cs="Times New Roman"/>
                <w:szCs w:val="24"/>
              </w:rPr>
              <w:t>.</w:t>
            </w:r>
          </w:p>
        </w:tc>
      </w:tr>
      <w:tr w:rsidR="0053763D" w:rsidRPr="00F10C37" w14:paraId="5CD99D0D" w14:textId="77777777" w:rsidTr="00C46407">
        <w:tc>
          <w:tcPr>
            <w:tcW w:w="2350" w:type="dxa"/>
          </w:tcPr>
          <w:p w14:paraId="1297EDC6" w14:textId="77777777" w:rsidR="0053763D" w:rsidRPr="00F10C37" w:rsidRDefault="0053763D" w:rsidP="00C46407">
            <w:pPr>
              <w:jc w:val="both"/>
              <w:rPr>
                <w:rFonts w:cs="Times New Roman"/>
                <w:szCs w:val="24"/>
              </w:rPr>
            </w:pPr>
            <w:r w:rsidRPr="00F10C37">
              <w:rPr>
                <w:rFonts w:cs="Times New Roman"/>
                <w:szCs w:val="24"/>
              </w:rPr>
              <w:t>Side effects</w:t>
            </w:r>
          </w:p>
        </w:tc>
        <w:tc>
          <w:tcPr>
            <w:tcW w:w="6915" w:type="dxa"/>
            <w:gridSpan w:val="2"/>
          </w:tcPr>
          <w:p w14:paraId="69898C56" w14:textId="77777777" w:rsidR="0053763D" w:rsidRPr="00F10C37" w:rsidRDefault="0053763D" w:rsidP="00C46407">
            <w:pPr>
              <w:jc w:val="both"/>
              <w:rPr>
                <w:rFonts w:cs="Times New Roman"/>
                <w:szCs w:val="24"/>
              </w:rPr>
            </w:pPr>
            <w:r w:rsidRPr="00F10C37">
              <w:rPr>
                <w:rFonts w:cs="Times New Roman"/>
                <w:szCs w:val="24"/>
              </w:rPr>
              <w:t>Hypotension, mild gastrointestinal effects, impotence, hypercalcemia, hypokalemia, hypomagnesaemia, hyponatremia, hypochloraemic alkalosis, hyperuricemia, gout, hyperglycemia, and hypercholesterolemia.</w:t>
            </w:r>
          </w:p>
        </w:tc>
      </w:tr>
      <w:tr w:rsidR="0053763D" w:rsidRPr="00F10C37" w14:paraId="7D213BC1" w14:textId="77777777" w:rsidTr="00C46407">
        <w:tc>
          <w:tcPr>
            <w:tcW w:w="2350" w:type="dxa"/>
          </w:tcPr>
          <w:p w14:paraId="236AE573"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915" w:type="dxa"/>
            <w:gridSpan w:val="2"/>
          </w:tcPr>
          <w:p w14:paraId="56F12B91"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Renal impairment, hepatic impairment, pregnancy, breastfeeding, elderly, diabetes mellitus, gout, </w:t>
            </w:r>
            <w:r>
              <w:rPr>
                <w:rFonts w:eastAsiaTheme="minorHAnsi" w:cs="Times New Roman"/>
                <w:kern w:val="0"/>
                <w:szCs w:val="24"/>
                <w:lang w:val="en-US" w:eastAsia="en-US"/>
              </w:rPr>
              <w:t>systemic lupus erythermatous</w:t>
            </w:r>
            <w:r w:rsidRPr="00F10C37">
              <w:rPr>
                <w:rFonts w:eastAsiaTheme="minorHAnsi" w:cs="Times New Roman"/>
                <w:kern w:val="0"/>
                <w:szCs w:val="24"/>
                <w:lang w:val="en-US" w:eastAsia="en-US"/>
              </w:rPr>
              <w:t xml:space="preserve">, porphyria, </w:t>
            </w:r>
            <w:r w:rsidRPr="00F10C37">
              <w:rPr>
                <w:rFonts w:cs="Times New Roman"/>
                <w:szCs w:val="24"/>
              </w:rPr>
              <w:t xml:space="preserve">paediatrics, dyslipidaemia. </w:t>
            </w:r>
          </w:p>
        </w:tc>
      </w:tr>
      <w:tr w:rsidR="0053763D" w:rsidRPr="00F10C37" w14:paraId="48A8D38F" w14:textId="77777777" w:rsidTr="00C46407">
        <w:tc>
          <w:tcPr>
            <w:tcW w:w="2350" w:type="dxa"/>
          </w:tcPr>
          <w:p w14:paraId="7EFE5265"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15" w:type="dxa"/>
            <w:gridSpan w:val="2"/>
          </w:tcPr>
          <w:p w14:paraId="7DABF37C" w14:textId="77777777" w:rsidR="0053763D" w:rsidRPr="00F10C37" w:rsidRDefault="0053763D" w:rsidP="00C46407">
            <w:pPr>
              <w:jc w:val="both"/>
              <w:rPr>
                <w:rFonts w:cs="Times New Roman"/>
                <w:szCs w:val="24"/>
              </w:rPr>
            </w:pPr>
            <w:r w:rsidRPr="00F10C37">
              <w:rPr>
                <w:rFonts w:cs="Times New Roman"/>
                <w:szCs w:val="24"/>
              </w:rPr>
              <w:t>Store between 15 and 30ºC</w:t>
            </w:r>
            <w:r>
              <w:rPr>
                <w:rFonts w:cs="Times New Roman"/>
                <w:szCs w:val="24"/>
              </w:rPr>
              <w:t xml:space="preserve">. Protect </w:t>
            </w:r>
            <w:r w:rsidRPr="00F10C37">
              <w:rPr>
                <w:rFonts w:cs="Times New Roman"/>
                <w:szCs w:val="24"/>
              </w:rPr>
              <w:t>from heat and light.</w:t>
            </w:r>
          </w:p>
        </w:tc>
      </w:tr>
    </w:tbl>
    <w:tbl>
      <w:tblPr>
        <w:tblStyle w:val="TableGrid10"/>
        <w:tblW w:w="9265" w:type="dxa"/>
        <w:tblLook w:val="04A0" w:firstRow="1" w:lastRow="0" w:firstColumn="1" w:lastColumn="0" w:noHBand="0" w:noVBand="1"/>
      </w:tblPr>
      <w:tblGrid>
        <w:gridCol w:w="2425"/>
        <w:gridCol w:w="132"/>
        <w:gridCol w:w="6708"/>
      </w:tblGrid>
      <w:tr w:rsidR="0053763D" w:rsidRPr="00F10C37" w14:paraId="28DF9FAE" w14:textId="77777777" w:rsidTr="00C46407">
        <w:trPr>
          <w:trHeight w:val="512"/>
        </w:trPr>
        <w:tc>
          <w:tcPr>
            <w:tcW w:w="9265" w:type="dxa"/>
            <w:gridSpan w:val="3"/>
          </w:tcPr>
          <w:p w14:paraId="0FC8E400" w14:textId="77777777" w:rsidR="0053763D" w:rsidRPr="00F10C37" w:rsidRDefault="0053763D" w:rsidP="00C46407">
            <w:pPr>
              <w:jc w:val="both"/>
              <w:rPr>
                <w:rFonts w:cs="Times New Roman"/>
                <w:szCs w:val="24"/>
              </w:rPr>
            </w:pPr>
            <w:r w:rsidRPr="00F10C37">
              <w:rPr>
                <w:rFonts w:cs="Times New Roman"/>
                <w:b/>
                <w:szCs w:val="24"/>
              </w:rPr>
              <w:t xml:space="preserve">Lisinopril </w:t>
            </w:r>
          </w:p>
        </w:tc>
      </w:tr>
      <w:tr w:rsidR="0053763D" w:rsidRPr="00F10C37" w14:paraId="4F39627A" w14:textId="77777777" w:rsidTr="00C46407">
        <w:trPr>
          <w:trHeight w:val="512"/>
        </w:trPr>
        <w:tc>
          <w:tcPr>
            <w:tcW w:w="2425" w:type="dxa"/>
          </w:tcPr>
          <w:p w14:paraId="25FD9B39"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0D38985A"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ACE inhibitor</w:t>
            </w:r>
          </w:p>
        </w:tc>
      </w:tr>
      <w:tr w:rsidR="0053763D" w:rsidRPr="00F10C37" w14:paraId="2D4AD50D" w14:textId="77777777" w:rsidTr="00C46407">
        <w:trPr>
          <w:trHeight w:val="341"/>
        </w:trPr>
        <w:tc>
          <w:tcPr>
            <w:tcW w:w="2425" w:type="dxa"/>
          </w:tcPr>
          <w:p w14:paraId="6783BB7C"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43BC63BB" w14:textId="77777777" w:rsidR="0053763D" w:rsidRPr="00F10C37" w:rsidRDefault="0053763D" w:rsidP="00C46407">
            <w:pPr>
              <w:jc w:val="both"/>
              <w:rPr>
                <w:rFonts w:cs="Times New Roman"/>
                <w:szCs w:val="24"/>
              </w:rPr>
            </w:pPr>
            <w:r w:rsidRPr="00F10C37">
              <w:rPr>
                <w:rFonts w:cs="Times New Roman"/>
                <w:szCs w:val="24"/>
              </w:rPr>
              <w:t>Tablet: 10 mg, 20 mg</w:t>
            </w:r>
          </w:p>
        </w:tc>
      </w:tr>
      <w:tr w:rsidR="0053763D" w:rsidRPr="00F10C37" w14:paraId="31C4E8CE" w14:textId="77777777" w:rsidTr="00C46407">
        <w:trPr>
          <w:trHeight w:val="521"/>
        </w:trPr>
        <w:tc>
          <w:tcPr>
            <w:tcW w:w="2425" w:type="dxa"/>
          </w:tcPr>
          <w:p w14:paraId="2ADC1E94" w14:textId="77777777" w:rsidR="0053763D" w:rsidRPr="00740751" w:rsidRDefault="0053763D" w:rsidP="00C46407">
            <w:pPr>
              <w:jc w:val="both"/>
              <w:rPr>
                <w:rFonts w:cs="Times New Roman"/>
                <w:szCs w:val="24"/>
              </w:rPr>
            </w:pPr>
            <w:r w:rsidRPr="00740751">
              <w:rPr>
                <w:rFonts w:cs="Times New Roman"/>
                <w:szCs w:val="24"/>
              </w:rPr>
              <w:t>Indications</w:t>
            </w:r>
          </w:p>
        </w:tc>
        <w:tc>
          <w:tcPr>
            <w:tcW w:w="6840" w:type="dxa"/>
            <w:gridSpan w:val="2"/>
          </w:tcPr>
          <w:p w14:paraId="598DD8D9" w14:textId="77777777" w:rsidR="0053763D" w:rsidRPr="00F10C37" w:rsidRDefault="0053763D" w:rsidP="00C46407">
            <w:pPr>
              <w:jc w:val="both"/>
              <w:rPr>
                <w:rFonts w:cs="Times New Roman"/>
                <w:szCs w:val="24"/>
              </w:rPr>
            </w:pPr>
            <w:r w:rsidRPr="00F10C37">
              <w:rPr>
                <w:rFonts w:cs="Times New Roman"/>
                <w:szCs w:val="24"/>
              </w:rPr>
              <w:t>Treatment of congestive heart failure, hypertension, left ventricular dysfunction after myocardial infarction</w:t>
            </w:r>
            <w:r>
              <w:rPr>
                <w:rFonts w:cs="Times New Roman"/>
                <w:szCs w:val="24"/>
              </w:rPr>
              <w:t xml:space="preserve"> (MI)</w:t>
            </w:r>
            <w:r w:rsidRPr="00F10C37">
              <w:rPr>
                <w:rFonts w:cs="Times New Roman"/>
                <w:szCs w:val="24"/>
              </w:rPr>
              <w:t>, diabetic nephropathy</w:t>
            </w:r>
            <w:r>
              <w:rPr>
                <w:rFonts w:cs="Times New Roman"/>
                <w:szCs w:val="24"/>
              </w:rPr>
              <w:t xml:space="preserve"> in hypertensive patients</w:t>
            </w:r>
            <w:r w:rsidRPr="00F10C37">
              <w:rPr>
                <w:rFonts w:cs="Times New Roman"/>
                <w:szCs w:val="24"/>
              </w:rPr>
              <w:t>.</w:t>
            </w:r>
          </w:p>
        </w:tc>
      </w:tr>
      <w:tr w:rsidR="0053763D" w:rsidRPr="00F10C37" w14:paraId="48FCA810" w14:textId="77777777" w:rsidTr="00C46407">
        <w:trPr>
          <w:trHeight w:val="521"/>
        </w:trPr>
        <w:tc>
          <w:tcPr>
            <w:tcW w:w="2425" w:type="dxa"/>
          </w:tcPr>
          <w:p w14:paraId="6A23F6DB"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00C22F77" w14:textId="77777777" w:rsidR="0053763D" w:rsidRDefault="0053763D" w:rsidP="00C46407">
            <w:pPr>
              <w:jc w:val="both"/>
              <w:rPr>
                <w:rFonts w:cs="Times New Roman"/>
                <w:b/>
                <w:szCs w:val="24"/>
              </w:rPr>
            </w:pPr>
            <w:r w:rsidRPr="00F10C37">
              <w:rPr>
                <w:rFonts w:cs="Times New Roman"/>
                <w:b/>
                <w:szCs w:val="24"/>
              </w:rPr>
              <w:t xml:space="preserve">Heart failure (adjunct) (under close medical supervision): </w:t>
            </w:r>
          </w:p>
          <w:p w14:paraId="34A39E08"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2.5 mg once daily; increased in steps of up to 10 mg at least every 2 weeks; maximum 35 mg per day.</w:t>
            </w:r>
          </w:p>
          <w:p w14:paraId="03F25C6C" w14:textId="77777777" w:rsidR="0053763D" w:rsidRDefault="0053763D" w:rsidP="00C46407">
            <w:pPr>
              <w:jc w:val="both"/>
              <w:rPr>
                <w:rFonts w:cs="Times New Roman"/>
                <w:b/>
                <w:szCs w:val="24"/>
              </w:rPr>
            </w:pPr>
            <w:r w:rsidRPr="00F10C37">
              <w:rPr>
                <w:rFonts w:cs="Times New Roman"/>
                <w:b/>
                <w:szCs w:val="24"/>
              </w:rPr>
              <w:lastRenderedPageBreak/>
              <w:t xml:space="preserve">Short-term treatment following MI in hemodynamically stable patients SBP&gt;120 mmHg: </w:t>
            </w:r>
          </w:p>
          <w:p w14:paraId="03D04D1A"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5 mg, taken within 24 hours of MI, followed by 5 mg, to be taken 24 hours after initial dose, then 10 mg, to be taken 24 hours after second dose, then 10 mg once daily for 6 weeks (or continued if heart failure), temporarily reduce maintenance dose to 5 mg and if necessary 2.5 mg daily if SBP≤100 mmHg during treatment; withdraw if prolonged hypotension occurs during treatment (SBP&lt;90 mmHg for more than 1 hour).</w:t>
            </w:r>
          </w:p>
          <w:p w14:paraId="692AA091" w14:textId="77777777" w:rsidR="0053763D" w:rsidRDefault="0053763D" w:rsidP="00C46407">
            <w:pPr>
              <w:jc w:val="both"/>
              <w:rPr>
                <w:rFonts w:cs="Times New Roman"/>
                <w:b/>
                <w:szCs w:val="24"/>
              </w:rPr>
            </w:pPr>
            <w:r w:rsidRPr="00F10C37">
              <w:rPr>
                <w:rFonts w:cs="Times New Roman"/>
                <w:b/>
                <w:szCs w:val="24"/>
              </w:rPr>
              <w:t xml:space="preserve">Short-term treatment following MI in hemodynamically stable patients: systolic blood pressure 100–120 mmHg: </w:t>
            </w:r>
          </w:p>
          <w:p w14:paraId="235ED320"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2.5 mg once daily, maintenance 5 mg once daily, increase to maintenance dose only after at least 3 days of the initial dose, should not be started after MI if systolic blood pressure &lt;100 mmHg, temporarily reduce maintenance dose to 2.5 mg daily if SBP 100 ≤mmHg during treatment; withdraw if prolonged hypotension occurs (SBP &lt;90 mmHg for more than 1 hour).</w:t>
            </w:r>
          </w:p>
          <w:p w14:paraId="07D638C3" w14:textId="77777777" w:rsidR="0053763D" w:rsidRDefault="0053763D" w:rsidP="00C46407">
            <w:pPr>
              <w:jc w:val="both"/>
              <w:rPr>
                <w:rFonts w:cs="Times New Roman"/>
                <w:b/>
                <w:szCs w:val="24"/>
              </w:rPr>
            </w:pPr>
            <w:r w:rsidRPr="00F10C37">
              <w:rPr>
                <w:rFonts w:cs="Times New Roman"/>
                <w:b/>
                <w:szCs w:val="24"/>
              </w:rPr>
              <w:t xml:space="preserve">Renal complications of diabetes mellitus: </w:t>
            </w:r>
          </w:p>
          <w:p w14:paraId="404C44EA" w14:textId="77777777" w:rsidR="0053763D" w:rsidRPr="00F10C37" w:rsidRDefault="0053763D" w:rsidP="00C46407">
            <w:pPr>
              <w:jc w:val="both"/>
              <w:rPr>
                <w:rFonts w:cs="Times New Roman"/>
                <w:szCs w:val="24"/>
              </w:rPr>
            </w:pPr>
            <w:r w:rsidRPr="009D0057">
              <w:rPr>
                <w:rFonts w:cs="Times New Roman"/>
                <w:b/>
                <w:szCs w:val="24"/>
              </w:rPr>
              <w:t>Adult:</w:t>
            </w:r>
            <w:r w:rsidRPr="00F10C37">
              <w:rPr>
                <w:rFonts w:cs="Times New Roman"/>
                <w:szCs w:val="24"/>
              </w:rPr>
              <w:t xml:space="preserve"> Initially 2.5–5 mg daily, adjusted according to response; usual dose 10–20 mg once daily.</w:t>
            </w:r>
          </w:p>
        </w:tc>
      </w:tr>
      <w:tr w:rsidR="0053763D" w:rsidRPr="00F10C37" w14:paraId="4DBB66C7" w14:textId="77777777" w:rsidTr="00C46407">
        <w:tc>
          <w:tcPr>
            <w:tcW w:w="2425" w:type="dxa"/>
          </w:tcPr>
          <w:p w14:paraId="1FC84C99"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2"/>
          </w:tcPr>
          <w:p w14:paraId="622F5ACD" w14:textId="77777777" w:rsidR="0053763D" w:rsidRPr="00F10C37" w:rsidRDefault="0053763D" w:rsidP="00C46407">
            <w:pPr>
              <w:jc w:val="both"/>
              <w:rPr>
                <w:rFonts w:cs="Times New Roman"/>
                <w:szCs w:val="24"/>
              </w:rPr>
            </w:pPr>
            <w:r w:rsidRPr="00F10C37">
              <w:rPr>
                <w:rFonts w:cs="Times New Roman"/>
                <w:szCs w:val="24"/>
              </w:rPr>
              <w:t xml:space="preserve">Hypersensitivity to ACE inhibitors, </w:t>
            </w:r>
            <w:r>
              <w:rPr>
                <w:rFonts w:cs="Times New Roman"/>
                <w:szCs w:val="24"/>
              </w:rPr>
              <w:t>history of</w:t>
            </w:r>
            <w:r w:rsidRPr="00F10C37">
              <w:rPr>
                <w:rFonts w:cs="Times New Roman"/>
                <w:szCs w:val="24"/>
              </w:rPr>
              <w:t xml:space="preserve"> angioedema</w:t>
            </w:r>
            <w:r>
              <w:rPr>
                <w:rFonts w:cs="Times New Roman"/>
                <w:szCs w:val="24"/>
              </w:rPr>
              <w:t>,</w:t>
            </w:r>
            <w:r w:rsidRPr="00F10C37">
              <w:rPr>
                <w:rFonts w:cs="Times New Roman"/>
                <w:szCs w:val="24"/>
              </w:rPr>
              <w:t xml:space="preserve"> known or suspected venovascular disease</w:t>
            </w:r>
            <w:r>
              <w:rPr>
                <w:rFonts w:cs="Times New Roman"/>
                <w:szCs w:val="24"/>
              </w:rPr>
              <w:t>,</w:t>
            </w:r>
            <w:r w:rsidRPr="00F10C37">
              <w:rPr>
                <w:rFonts w:cs="Times New Roman"/>
                <w:szCs w:val="24"/>
              </w:rPr>
              <w:t xml:space="preserve"> aortic or bilateral renal artery stenosis, outflow</w:t>
            </w:r>
            <w:r>
              <w:rPr>
                <w:rFonts w:cs="Times New Roman"/>
                <w:szCs w:val="24"/>
              </w:rPr>
              <w:t xml:space="preserve"> urinary</w:t>
            </w:r>
            <w:r w:rsidRPr="00F10C37">
              <w:rPr>
                <w:rFonts w:cs="Times New Roman"/>
                <w:szCs w:val="24"/>
              </w:rPr>
              <w:t xml:space="preserve"> tract obstruction, pregnancy</w:t>
            </w:r>
            <w:r>
              <w:rPr>
                <w:rFonts w:cs="Times New Roman"/>
                <w:szCs w:val="24"/>
              </w:rPr>
              <w:t>,</w:t>
            </w:r>
            <w:r w:rsidRPr="00F10C37">
              <w:rPr>
                <w:rFonts w:cs="Times New Roman"/>
                <w:szCs w:val="24"/>
              </w:rPr>
              <w:t xml:space="preserve"> </w:t>
            </w:r>
            <w:r>
              <w:rPr>
                <w:rFonts w:cs="Times New Roman"/>
                <w:szCs w:val="24"/>
              </w:rPr>
              <w:t>breastfeeding</w:t>
            </w:r>
            <w:r w:rsidRPr="00F10C37">
              <w:rPr>
                <w:rFonts w:cs="Times New Roman"/>
                <w:szCs w:val="24"/>
              </w:rPr>
              <w:t xml:space="preserve">. </w:t>
            </w:r>
          </w:p>
        </w:tc>
      </w:tr>
      <w:tr w:rsidR="0053763D" w:rsidRPr="00F10C37" w14:paraId="23442E70" w14:textId="77777777" w:rsidTr="00C46407">
        <w:tc>
          <w:tcPr>
            <w:tcW w:w="2425" w:type="dxa"/>
          </w:tcPr>
          <w:p w14:paraId="2962C73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4D828564" w14:textId="77777777" w:rsidR="0053763D" w:rsidRPr="00F10C37" w:rsidRDefault="0053763D" w:rsidP="00C46407">
            <w:pPr>
              <w:contextualSpacing/>
              <w:jc w:val="both"/>
              <w:rPr>
                <w:rFonts w:cs="Times New Roman"/>
                <w:szCs w:val="24"/>
              </w:rPr>
            </w:pPr>
            <w:r w:rsidRPr="00F10C37">
              <w:rPr>
                <w:rFonts w:cs="Times New Roman"/>
                <w:szCs w:val="24"/>
              </w:rPr>
              <w:t>Allopurinol, azathioprine, lithium, vasopressin, potassium-sparing diuretics or potassium supplements; aspirin, indomethacin and other NSAIDs, antacids, digoxin</w:t>
            </w:r>
            <w:r>
              <w:rPr>
                <w:rFonts w:cs="Times New Roman"/>
                <w:szCs w:val="24"/>
              </w:rPr>
              <w:t xml:space="preserve">, sacubitrin/valsartan combination, </w:t>
            </w:r>
            <w:r w:rsidRPr="00F10C37">
              <w:rPr>
                <w:rFonts w:cs="Times New Roman"/>
                <w:szCs w:val="24"/>
              </w:rPr>
              <w:t>probenecid.</w:t>
            </w:r>
          </w:p>
        </w:tc>
      </w:tr>
      <w:tr w:rsidR="0053763D" w:rsidRPr="00F10C37" w14:paraId="5176FB1C" w14:textId="77777777" w:rsidTr="00C46407">
        <w:tc>
          <w:tcPr>
            <w:tcW w:w="2425" w:type="dxa"/>
          </w:tcPr>
          <w:p w14:paraId="09B641C1"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30052C08"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Postural disorder, hallucination, mood altered, Raynaud’s phenomenon, anemia, autoimmune disorder, azotaemia, bone marrow depression, gynaecomastia, hepatic disorders, hypersensitivity, hypoglycaemia, lymphadenopathy, olfactory nerve </w:t>
            </w:r>
            <w:r w:rsidRPr="00F10C37">
              <w:rPr>
                <w:rFonts w:eastAsiaTheme="minorHAnsi" w:cs="Times New Roman"/>
                <w:color w:val="231F20"/>
                <w:kern w:val="0"/>
                <w:szCs w:val="24"/>
                <w:lang w:val="en-US" w:eastAsia="en-US"/>
              </w:rPr>
              <w:lastRenderedPageBreak/>
              <w:t>disorder, sinusitis, toxic epidermal necrolysis</w:t>
            </w:r>
          </w:p>
        </w:tc>
      </w:tr>
      <w:tr w:rsidR="0053763D" w:rsidRPr="00F10C37" w14:paraId="3D819A6D" w14:textId="77777777" w:rsidTr="00C46407">
        <w:tc>
          <w:tcPr>
            <w:tcW w:w="2425" w:type="dxa"/>
          </w:tcPr>
          <w:p w14:paraId="5C8C3098" w14:textId="77777777" w:rsidR="0053763D" w:rsidRPr="00F10C37" w:rsidRDefault="0053763D" w:rsidP="00C46407">
            <w:pPr>
              <w:jc w:val="both"/>
              <w:rPr>
                <w:rFonts w:cs="Times New Roman"/>
                <w:szCs w:val="24"/>
              </w:rPr>
            </w:pPr>
            <w:r w:rsidRPr="00F10C37">
              <w:rPr>
                <w:rFonts w:cs="Times New Roman"/>
                <w:szCs w:val="24"/>
              </w:rPr>
              <w:lastRenderedPageBreak/>
              <w:t>Cautions</w:t>
            </w:r>
          </w:p>
        </w:tc>
        <w:tc>
          <w:tcPr>
            <w:tcW w:w="6840" w:type="dxa"/>
            <w:gridSpan w:val="2"/>
          </w:tcPr>
          <w:p w14:paraId="093125BE" w14:textId="77777777" w:rsidR="0053763D" w:rsidRPr="00F10C37" w:rsidRDefault="0053763D" w:rsidP="00C46407">
            <w:pPr>
              <w:jc w:val="both"/>
              <w:rPr>
                <w:rFonts w:cs="Times New Roman"/>
                <w:szCs w:val="24"/>
              </w:rPr>
            </w:pPr>
            <w:r w:rsidRPr="00F10C37">
              <w:rPr>
                <w:rFonts w:cs="Times New Roman"/>
                <w:szCs w:val="24"/>
              </w:rPr>
              <w:t>Refer to captopril</w:t>
            </w:r>
          </w:p>
        </w:tc>
      </w:tr>
      <w:tr w:rsidR="0053763D" w:rsidRPr="00F10C37" w14:paraId="160876CA" w14:textId="77777777" w:rsidTr="00C46407">
        <w:tc>
          <w:tcPr>
            <w:tcW w:w="2425" w:type="dxa"/>
          </w:tcPr>
          <w:p w14:paraId="300E2E7A"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2B19C0DC" w14:textId="77777777" w:rsidR="0053763D" w:rsidRPr="00F10C37" w:rsidRDefault="0053763D" w:rsidP="00C46407">
            <w:pPr>
              <w:jc w:val="both"/>
              <w:rPr>
                <w:rFonts w:cs="Times New Roman"/>
                <w:szCs w:val="24"/>
              </w:rPr>
            </w:pPr>
            <w:r w:rsidRPr="00F10C37">
              <w:rPr>
                <w:rFonts w:cs="Times New Roman"/>
                <w:szCs w:val="24"/>
              </w:rPr>
              <w:t>Store between 15 and 30ºC.</w:t>
            </w:r>
            <w:r>
              <w:rPr>
                <w:rFonts w:cs="Times New Roman"/>
                <w:szCs w:val="24"/>
              </w:rPr>
              <w:t xml:space="preserve"> </w:t>
            </w:r>
            <w:r w:rsidRPr="00F10C37">
              <w:rPr>
                <w:rFonts w:cs="Times New Roman"/>
                <w:szCs w:val="24"/>
              </w:rPr>
              <w:t>Protect from light.</w:t>
            </w:r>
          </w:p>
        </w:tc>
      </w:tr>
      <w:tr w:rsidR="0053763D" w:rsidRPr="00F10C37" w14:paraId="72A40D56" w14:textId="77777777" w:rsidTr="00C46407">
        <w:trPr>
          <w:trHeight w:val="368"/>
        </w:trPr>
        <w:tc>
          <w:tcPr>
            <w:tcW w:w="9265" w:type="dxa"/>
            <w:gridSpan w:val="3"/>
          </w:tcPr>
          <w:p w14:paraId="5DC1E611" w14:textId="77777777" w:rsidR="0053763D" w:rsidRPr="00F10C37" w:rsidRDefault="0053763D" w:rsidP="00C46407">
            <w:pPr>
              <w:jc w:val="both"/>
              <w:rPr>
                <w:rFonts w:cs="Times New Roman"/>
                <w:b/>
                <w:szCs w:val="24"/>
              </w:rPr>
            </w:pPr>
            <w:r w:rsidRPr="00F10C37">
              <w:rPr>
                <w:rFonts w:cs="Times New Roman"/>
                <w:b/>
                <w:szCs w:val="24"/>
              </w:rPr>
              <w:t>Losartan</w:t>
            </w:r>
          </w:p>
        </w:tc>
      </w:tr>
      <w:tr w:rsidR="0053763D" w:rsidRPr="00F10C37" w14:paraId="54120436" w14:textId="77777777" w:rsidTr="00C46407">
        <w:trPr>
          <w:trHeight w:val="512"/>
        </w:trPr>
        <w:tc>
          <w:tcPr>
            <w:tcW w:w="2425" w:type="dxa"/>
          </w:tcPr>
          <w:p w14:paraId="1AA0A36A"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1FA9E710"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Angiotensin-II receptor antagonist</w:t>
            </w:r>
          </w:p>
        </w:tc>
      </w:tr>
      <w:tr w:rsidR="0053763D" w:rsidRPr="00F10C37" w14:paraId="0B92D0D9" w14:textId="77777777" w:rsidTr="00C46407">
        <w:trPr>
          <w:trHeight w:val="458"/>
        </w:trPr>
        <w:tc>
          <w:tcPr>
            <w:tcW w:w="2425" w:type="dxa"/>
          </w:tcPr>
          <w:p w14:paraId="52387CAF"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5C142315" w14:textId="77777777" w:rsidR="0053763D" w:rsidRPr="00F10C37" w:rsidRDefault="0053763D" w:rsidP="00C46407">
            <w:pPr>
              <w:jc w:val="both"/>
              <w:rPr>
                <w:rFonts w:cs="Times New Roman"/>
                <w:szCs w:val="24"/>
              </w:rPr>
            </w:pPr>
            <w:r w:rsidRPr="00F10C37">
              <w:rPr>
                <w:rFonts w:cs="Times New Roman"/>
                <w:szCs w:val="24"/>
              </w:rPr>
              <w:t>Tablet: 25mg, 50mg, 100mg</w:t>
            </w:r>
          </w:p>
        </w:tc>
      </w:tr>
      <w:tr w:rsidR="0053763D" w:rsidRPr="00F10C37" w14:paraId="3C6ED351" w14:textId="77777777" w:rsidTr="00C46407">
        <w:trPr>
          <w:trHeight w:val="521"/>
        </w:trPr>
        <w:tc>
          <w:tcPr>
            <w:tcW w:w="2425" w:type="dxa"/>
          </w:tcPr>
          <w:p w14:paraId="1A62BDBF" w14:textId="77777777" w:rsidR="0053763D" w:rsidRPr="0005723F" w:rsidRDefault="0053763D" w:rsidP="00C46407">
            <w:pPr>
              <w:jc w:val="both"/>
              <w:rPr>
                <w:rFonts w:cs="Times New Roman"/>
                <w:szCs w:val="24"/>
              </w:rPr>
            </w:pPr>
            <w:r w:rsidRPr="0005723F">
              <w:rPr>
                <w:rFonts w:cs="Times New Roman"/>
                <w:szCs w:val="24"/>
              </w:rPr>
              <w:t>Indications</w:t>
            </w:r>
          </w:p>
        </w:tc>
        <w:tc>
          <w:tcPr>
            <w:tcW w:w="6840" w:type="dxa"/>
            <w:gridSpan w:val="2"/>
          </w:tcPr>
          <w:p w14:paraId="5916029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Chronic heart failure when ACE inhibitors are unsuitable or contra-indicated, hypertension</w:t>
            </w:r>
            <w:r w:rsidRPr="00F10C37">
              <w:rPr>
                <w:rFonts w:cs="Times New Roman"/>
                <w:szCs w:val="24"/>
              </w:rPr>
              <w:t>, MI with left ventricular dysfunction, d</w:t>
            </w:r>
            <w:r w:rsidRPr="00F10C37">
              <w:rPr>
                <w:rFonts w:eastAsiaTheme="minorHAnsi" w:cs="Times New Roman"/>
                <w:color w:val="231F20"/>
                <w:kern w:val="0"/>
                <w:szCs w:val="24"/>
                <w:lang w:val="en-US" w:eastAsia="en-US"/>
              </w:rPr>
              <w:t>iabetic nephropathy in type 2 diabetes mellitus</w:t>
            </w:r>
            <w:r>
              <w:rPr>
                <w:rFonts w:eastAsiaTheme="minorHAnsi" w:cs="Times New Roman"/>
                <w:color w:val="231F20"/>
                <w:kern w:val="0"/>
                <w:szCs w:val="24"/>
                <w:lang w:val="en-US" w:eastAsia="en-US"/>
              </w:rPr>
              <w:t>.</w:t>
            </w:r>
          </w:p>
        </w:tc>
      </w:tr>
      <w:tr w:rsidR="0053763D" w:rsidRPr="00F10C37" w14:paraId="7A2B3706" w14:textId="77777777" w:rsidTr="00C46407">
        <w:trPr>
          <w:trHeight w:val="521"/>
        </w:trPr>
        <w:tc>
          <w:tcPr>
            <w:tcW w:w="2425" w:type="dxa"/>
          </w:tcPr>
          <w:p w14:paraId="02ADB08F"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5C5B012A"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Chronic heart failure when ACE inhibitors are unsuitable or contra-indicated</w:t>
            </w:r>
          </w:p>
          <w:p w14:paraId="2A489056"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9D005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12.5 mg once daily, increased if tolerated up to 150 mg once daily, doses to be increased at weekly intervals</w:t>
            </w:r>
            <w:r>
              <w:rPr>
                <w:rFonts w:eastAsiaTheme="minorHAnsi" w:cs="Times New Roman"/>
                <w:color w:val="231F20"/>
                <w:kern w:val="0"/>
                <w:szCs w:val="24"/>
                <w:lang w:val="en-US" w:eastAsia="en-US"/>
              </w:rPr>
              <w:t>.</w:t>
            </w:r>
          </w:p>
          <w:p w14:paraId="3CD6092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9D0057">
              <w:rPr>
                <w:rFonts w:cs="Times New Roman"/>
                <w:i/>
                <w:szCs w:val="24"/>
              </w:rPr>
              <w:t>Note:</w:t>
            </w:r>
            <w:r w:rsidRPr="00F10C37">
              <w:rPr>
                <w:rFonts w:cs="Times New Roman"/>
                <w:b/>
                <w:szCs w:val="24"/>
              </w:rPr>
              <w:t xml:space="preserve"> </w:t>
            </w:r>
            <w:r w:rsidRPr="003D3E3A">
              <w:rPr>
                <w:rFonts w:cs="Times New Roman"/>
                <w:i/>
                <w:szCs w:val="24"/>
              </w:rPr>
              <w:t>refer dosing for other indications at their respective section</w:t>
            </w:r>
            <w:r w:rsidRPr="00F10C37">
              <w:rPr>
                <w:rFonts w:cs="Times New Roman"/>
                <w:szCs w:val="24"/>
              </w:rPr>
              <w:t>.</w:t>
            </w:r>
          </w:p>
        </w:tc>
      </w:tr>
      <w:tr w:rsidR="0053763D" w:rsidRPr="00F10C37" w14:paraId="36CF9087" w14:textId="77777777" w:rsidTr="00C46407">
        <w:tc>
          <w:tcPr>
            <w:tcW w:w="2425" w:type="dxa"/>
          </w:tcPr>
          <w:p w14:paraId="66EAD10C"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840" w:type="dxa"/>
            <w:gridSpan w:val="2"/>
          </w:tcPr>
          <w:p w14:paraId="59629A8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Hypersensitivity to the </w:t>
            </w:r>
            <w:r>
              <w:rPr>
                <w:rFonts w:eastAsiaTheme="minorHAnsi" w:cs="Times New Roman"/>
                <w:kern w:val="0"/>
                <w:szCs w:val="24"/>
                <w:lang w:val="en-US" w:eastAsia="en-US"/>
              </w:rPr>
              <w:t>drug</w:t>
            </w:r>
            <w:r w:rsidRPr="00F10C37">
              <w:rPr>
                <w:rFonts w:eastAsiaTheme="minorHAnsi" w:cs="Times New Roman"/>
                <w:kern w:val="0"/>
                <w:szCs w:val="24"/>
                <w:lang w:val="en-US" w:eastAsia="en-US"/>
              </w:rPr>
              <w:t>, pregnancy</w:t>
            </w:r>
          </w:p>
        </w:tc>
      </w:tr>
      <w:tr w:rsidR="0053763D" w:rsidRPr="00F10C37" w14:paraId="147A7280" w14:textId="77777777" w:rsidTr="00C46407">
        <w:tc>
          <w:tcPr>
            <w:tcW w:w="2425" w:type="dxa"/>
          </w:tcPr>
          <w:p w14:paraId="53E85033"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1259A778"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ACEI, drugs that cause hypotension (e.g., tricyclic antidepressants, antipsychotics), lithium, NSAIDs, medicinal products which cause potassium retention (e.g. spironolactone, amiloride).</w:t>
            </w:r>
          </w:p>
        </w:tc>
      </w:tr>
      <w:tr w:rsidR="0053763D" w:rsidRPr="00F10C37" w14:paraId="1AF3300E" w14:textId="77777777" w:rsidTr="00C46407">
        <w:tc>
          <w:tcPr>
            <w:tcW w:w="2425" w:type="dxa"/>
          </w:tcPr>
          <w:p w14:paraId="38874C0D"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397D675D"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Hypoglycemia, dizziness, vertigo, hyperkalemia, hypotension, dyspnea, cough, liver disorder, hypersensitivity, depression, malaise, urinary tract infection, renal impairment.</w:t>
            </w:r>
          </w:p>
        </w:tc>
      </w:tr>
      <w:tr w:rsidR="0053763D" w:rsidRPr="00F10C37" w14:paraId="74BB265A" w14:textId="77777777" w:rsidTr="00C46407">
        <w:tc>
          <w:tcPr>
            <w:tcW w:w="2425" w:type="dxa"/>
          </w:tcPr>
          <w:p w14:paraId="7E8757AF"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293BC32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Severe heart failure, aortic or mitral stenosis, or obstructive hypertrophic cardiomyopathy, mild to moderate hepatic impairment, breastfeeding</w:t>
            </w:r>
            <w:r>
              <w:rPr>
                <w:rFonts w:eastAsiaTheme="minorHAnsi" w:cs="Times New Roman"/>
                <w:kern w:val="0"/>
                <w:szCs w:val="24"/>
                <w:lang w:val="en-US" w:eastAsia="en-US"/>
              </w:rPr>
              <w:t>.</w:t>
            </w:r>
          </w:p>
        </w:tc>
      </w:tr>
      <w:tr w:rsidR="0053763D" w:rsidRPr="00F10C37" w14:paraId="6B892230" w14:textId="77777777" w:rsidTr="00C46407">
        <w:tc>
          <w:tcPr>
            <w:tcW w:w="2425" w:type="dxa"/>
          </w:tcPr>
          <w:p w14:paraId="4ABB53D0"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0F8B3BFD" w14:textId="77777777" w:rsidR="0053763D" w:rsidRPr="00F10C37" w:rsidRDefault="0053763D" w:rsidP="00C46407">
            <w:pPr>
              <w:jc w:val="both"/>
              <w:rPr>
                <w:rFonts w:cs="Times New Roman"/>
                <w:szCs w:val="24"/>
              </w:rPr>
            </w:pPr>
            <w:r w:rsidRPr="00F10C37">
              <w:rPr>
                <w:rFonts w:cs="Times New Roman"/>
                <w:szCs w:val="24"/>
              </w:rPr>
              <w:t>Store between 15 to 30°C.</w:t>
            </w:r>
          </w:p>
        </w:tc>
      </w:tr>
      <w:tr w:rsidR="0053763D" w:rsidRPr="00F10C37" w14:paraId="797BBBDC" w14:textId="77777777" w:rsidTr="00C46407">
        <w:trPr>
          <w:trHeight w:val="515"/>
        </w:trPr>
        <w:tc>
          <w:tcPr>
            <w:tcW w:w="9265" w:type="dxa"/>
            <w:gridSpan w:val="3"/>
          </w:tcPr>
          <w:p w14:paraId="06F17E02" w14:textId="77777777" w:rsidR="0053763D" w:rsidRPr="00F10C37" w:rsidRDefault="0053763D" w:rsidP="00C46407">
            <w:pPr>
              <w:jc w:val="both"/>
              <w:rPr>
                <w:rFonts w:cs="Times New Roman"/>
                <w:b/>
                <w:szCs w:val="24"/>
              </w:rPr>
            </w:pPr>
            <w:r w:rsidRPr="00F10C37">
              <w:rPr>
                <w:rFonts w:cs="Times New Roman"/>
                <w:b/>
                <w:szCs w:val="24"/>
              </w:rPr>
              <w:t>Metoprolol succinate</w:t>
            </w:r>
          </w:p>
        </w:tc>
      </w:tr>
      <w:tr w:rsidR="0053763D" w:rsidRPr="00F10C37" w14:paraId="6E297EA2" w14:textId="77777777" w:rsidTr="00C46407">
        <w:trPr>
          <w:trHeight w:val="515"/>
        </w:trPr>
        <w:tc>
          <w:tcPr>
            <w:tcW w:w="2557" w:type="dxa"/>
            <w:gridSpan w:val="2"/>
          </w:tcPr>
          <w:p w14:paraId="1AE2DC69"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708" w:type="dxa"/>
          </w:tcPr>
          <w:p w14:paraId="0C2E7ACB"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Selective beta blocker</w:t>
            </w:r>
          </w:p>
        </w:tc>
      </w:tr>
      <w:tr w:rsidR="0053763D" w:rsidRPr="00F10C37" w14:paraId="29CAEDE2" w14:textId="77777777" w:rsidTr="00C46407">
        <w:trPr>
          <w:trHeight w:val="343"/>
        </w:trPr>
        <w:tc>
          <w:tcPr>
            <w:tcW w:w="2557" w:type="dxa"/>
            <w:gridSpan w:val="2"/>
          </w:tcPr>
          <w:p w14:paraId="48EBF23B" w14:textId="77777777" w:rsidR="0053763D" w:rsidRPr="00F10C37" w:rsidRDefault="0053763D" w:rsidP="00C46407">
            <w:pPr>
              <w:jc w:val="both"/>
              <w:rPr>
                <w:rFonts w:cs="Times New Roman"/>
                <w:szCs w:val="24"/>
              </w:rPr>
            </w:pPr>
            <w:r w:rsidRPr="00F10C37">
              <w:rPr>
                <w:rFonts w:cs="Times New Roman"/>
                <w:szCs w:val="24"/>
              </w:rPr>
              <w:t>Dosage form</w:t>
            </w:r>
          </w:p>
        </w:tc>
        <w:tc>
          <w:tcPr>
            <w:tcW w:w="6708" w:type="dxa"/>
          </w:tcPr>
          <w:p w14:paraId="1EB89222"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25mg, 50mg,100mg </w:t>
            </w:r>
          </w:p>
        </w:tc>
      </w:tr>
      <w:tr w:rsidR="0053763D" w:rsidRPr="00F10C37" w14:paraId="6E9D99D4" w14:textId="77777777" w:rsidTr="00C46407">
        <w:trPr>
          <w:trHeight w:val="524"/>
        </w:trPr>
        <w:tc>
          <w:tcPr>
            <w:tcW w:w="2557" w:type="dxa"/>
            <w:gridSpan w:val="2"/>
          </w:tcPr>
          <w:p w14:paraId="6914AE2C" w14:textId="77777777" w:rsidR="0053763D" w:rsidRPr="00790606" w:rsidRDefault="0053763D" w:rsidP="00C46407">
            <w:pPr>
              <w:jc w:val="both"/>
              <w:rPr>
                <w:rFonts w:cs="Times New Roman"/>
                <w:szCs w:val="24"/>
              </w:rPr>
            </w:pPr>
            <w:r w:rsidRPr="00790606">
              <w:rPr>
                <w:rFonts w:cs="Times New Roman"/>
                <w:szCs w:val="24"/>
              </w:rPr>
              <w:t>Indications</w:t>
            </w:r>
          </w:p>
        </w:tc>
        <w:tc>
          <w:tcPr>
            <w:tcW w:w="6708" w:type="dxa"/>
          </w:tcPr>
          <w:p w14:paraId="596ABB3B" w14:textId="77777777" w:rsidR="0053763D" w:rsidRPr="00F10C37" w:rsidRDefault="0053763D" w:rsidP="00C46407">
            <w:pPr>
              <w:jc w:val="both"/>
              <w:rPr>
                <w:rFonts w:cs="Times New Roman"/>
                <w:szCs w:val="24"/>
              </w:rPr>
            </w:pPr>
            <w:r w:rsidRPr="00F10C37">
              <w:rPr>
                <w:rFonts w:cs="Times New Roman"/>
                <w:szCs w:val="24"/>
              </w:rPr>
              <w:t xml:space="preserve">Hypertension, heart failure, angina pectoris, arrhythmia particularly supraventricular tachycardia, prevention of cardiac </w:t>
            </w:r>
            <w:r w:rsidRPr="00F10C37">
              <w:rPr>
                <w:rFonts w:cs="Times New Roman"/>
                <w:szCs w:val="24"/>
              </w:rPr>
              <w:lastRenderedPageBreak/>
              <w:t xml:space="preserve">death and re-infarction after the acute phase of myocardial infarction and </w:t>
            </w:r>
            <w:r>
              <w:rPr>
                <w:rFonts w:cs="Times New Roman"/>
                <w:szCs w:val="24"/>
              </w:rPr>
              <w:t>p</w:t>
            </w:r>
            <w:r w:rsidRPr="00F10C37">
              <w:rPr>
                <w:rFonts w:cs="Times New Roman"/>
                <w:szCs w:val="24"/>
              </w:rPr>
              <w:t>rophylaxis of migraine.</w:t>
            </w:r>
          </w:p>
        </w:tc>
      </w:tr>
      <w:tr w:rsidR="0053763D" w:rsidRPr="00F10C37" w14:paraId="5C37F843" w14:textId="77777777" w:rsidTr="00C46407">
        <w:trPr>
          <w:trHeight w:val="524"/>
        </w:trPr>
        <w:tc>
          <w:tcPr>
            <w:tcW w:w="2557" w:type="dxa"/>
            <w:gridSpan w:val="2"/>
          </w:tcPr>
          <w:p w14:paraId="2F233A3A" w14:textId="77777777" w:rsidR="0053763D" w:rsidRPr="00F10C37" w:rsidRDefault="0053763D" w:rsidP="00C46407">
            <w:pPr>
              <w:jc w:val="both"/>
              <w:rPr>
                <w:rFonts w:cs="Times New Roman"/>
                <w:szCs w:val="24"/>
              </w:rPr>
            </w:pPr>
            <w:r w:rsidRPr="00F10C37">
              <w:rPr>
                <w:rFonts w:eastAsia="Times New Roman" w:cs="Times New Roman"/>
                <w:szCs w:val="24"/>
              </w:rPr>
              <w:lastRenderedPageBreak/>
              <w:t>Dose and administration</w:t>
            </w:r>
          </w:p>
        </w:tc>
        <w:tc>
          <w:tcPr>
            <w:tcW w:w="6708" w:type="dxa"/>
          </w:tcPr>
          <w:p w14:paraId="757D7F3C" w14:textId="77777777" w:rsidR="0053763D" w:rsidRPr="00F10C37" w:rsidRDefault="0053763D" w:rsidP="00C46407">
            <w:pPr>
              <w:jc w:val="both"/>
              <w:rPr>
                <w:rFonts w:cs="Times New Roman"/>
                <w:szCs w:val="24"/>
              </w:rPr>
            </w:pPr>
            <w:r w:rsidRPr="00F10C37">
              <w:rPr>
                <w:rFonts w:cs="Times New Roman"/>
                <w:b/>
                <w:szCs w:val="24"/>
              </w:rPr>
              <w:t>Heart failure:</w:t>
            </w:r>
            <w:r w:rsidRPr="00F10C37">
              <w:rPr>
                <w:rFonts w:cs="Times New Roman"/>
                <w:szCs w:val="24"/>
              </w:rPr>
              <w:t xml:space="preserve"> Initial daily dose 12.5-25mg once daily; with target dose of 200mg daily. </w:t>
            </w:r>
          </w:p>
          <w:p w14:paraId="6A871B87" w14:textId="77777777" w:rsidR="0053763D" w:rsidRPr="00F10C37" w:rsidRDefault="0053763D" w:rsidP="00C46407">
            <w:pPr>
              <w:jc w:val="both"/>
              <w:rPr>
                <w:rFonts w:cs="Times New Roman"/>
                <w:szCs w:val="24"/>
              </w:rPr>
            </w:pPr>
            <w:r w:rsidRPr="009D0057">
              <w:rPr>
                <w:rFonts w:cs="Times New Roman"/>
                <w:i/>
                <w:szCs w:val="24"/>
              </w:rPr>
              <w:t>Note:</w:t>
            </w:r>
            <w:r w:rsidRPr="00F10C37">
              <w:rPr>
                <w:rFonts w:cs="Times New Roman"/>
                <w:b/>
                <w:szCs w:val="24"/>
              </w:rPr>
              <w:t xml:space="preserve"> </w:t>
            </w:r>
            <w:r w:rsidRPr="003D3E3A">
              <w:rPr>
                <w:rFonts w:cs="Times New Roman"/>
                <w:i/>
                <w:szCs w:val="24"/>
              </w:rPr>
              <w:t>refer dosing for other indications at their respective section.</w:t>
            </w:r>
          </w:p>
        </w:tc>
      </w:tr>
      <w:tr w:rsidR="0053763D" w:rsidRPr="00F10C37" w14:paraId="39A8762B" w14:textId="77777777" w:rsidTr="00C46407">
        <w:trPr>
          <w:trHeight w:val="1322"/>
        </w:trPr>
        <w:tc>
          <w:tcPr>
            <w:tcW w:w="2557" w:type="dxa"/>
            <w:gridSpan w:val="2"/>
          </w:tcPr>
          <w:p w14:paraId="6A3C0398"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708" w:type="dxa"/>
          </w:tcPr>
          <w:p w14:paraId="1B62D595"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w:t>
            </w:r>
            <w:r>
              <w:rPr>
                <w:rFonts w:cs="Times New Roman"/>
                <w:szCs w:val="24"/>
              </w:rPr>
              <w:t>the drug</w:t>
            </w:r>
            <w:r w:rsidRPr="00F10C37">
              <w:rPr>
                <w:rFonts w:cs="Times New Roman"/>
                <w:szCs w:val="24"/>
              </w:rPr>
              <w:t xml:space="preserve">, severe bradycardia, greater than first degree heart block, or sick sinus syndrome without a pacemaker, cardiogenic shock or decompensated heart failure. </w:t>
            </w:r>
          </w:p>
        </w:tc>
      </w:tr>
      <w:tr w:rsidR="0053763D" w:rsidRPr="00F10C37" w14:paraId="58E61354" w14:textId="77777777" w:rsidTr="00C46407">
        <w:trPr>
          <w:trHeight w:val="1340"/>
        </w:trPr>
        <w:tc>
          <w:tcPr>
            <w:tcW w:w="2557" w:type="dxa"/>
            <w:gridSpan w:val="2"/>
          </w:tcPr>
          <w:p w14:paraId="0ECA1C93"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708" w:type="dxa"/>
          </w:tcPr>
          <w:p w14:paraId="7AB6FBC8" w14:textId="77777777" w:rsidR="0053763D" w:rsidRPr="00F10C37" w:rsidRDefault="0053763D" w:rsidP="00C46407">
            <w:pPr>
              <w:contextualSpacing/>
              <w:jc w:val="both"/>
              <w:rPr>
                <w:rFonts w:cs="Times New Roman"/>
                <w:szCs w:val="24"/>
              </w:rPr>
            </w:pPr>
            <w:r w:rsidRPr="00F10C37">
              <w:rPr>
                <w:rFonts w:cs="Times New Roman"/>
                <w:szCs w:val="24"/>
              </w:rPr>
              <w:t>Catecholamine-depleting drugs, CYP2D6 inhibitors, clonidine, prazosin, nitroglycerin; verapamil, diltiazem, digitalis glycosides, NSAIDs</w:t>
            </w:r>
            <w:r>
              <w:rPr>
                <w:rFonts w:cs="Times New Roman"/>
                <w:szCs w:val="24"/>
              </w:rPr>
              <w:t xml:space="preserve">, </w:t>
            </w:r>
            <w:r w:rsidRPr="00F10C37">
              <w:rPr>
                <w:rFonts w:cs="Times New Roman"/>
                <w:szCs w:val="24"/>
              </w:rPr>
              <w:t>lignocaine, alcohol</w:t>
            </w:r>
            <w:r>
              <w:rPr>
                <w:rFonts w:cs="Times New Roman"/>
                <w:szCs w:val="24"/>
              </w:rPr>
              <w:t>.</w:t>
            </w:r>
          </w:p>
        </w:tc>
      </w:tr>
      <w:tr w:rsidR="0053763D" w:rsidRPr="00F10C37" w14:paraId="72BC753A" w14:textId="77777777" w:rsidTr="00C46407">
        <w:trPr>
          <w:trHeight w:val="1253"/>
        </w:trPr>
        <w:tc>
          <w:tcPr>
            <w:tcW w:w="2557" w:type="dxa"/>
            <w:gridSpan w:val="2"/>
          </w:tcPr>
          <w:p w14:paraId="0D80581B" w14:textId="77777777" w:rsidR="0053763D" w:rsidRPr="00F10C37" w:rsidRDefault="0053763D" w:rsidP="00C46407">
            <w:pPr>
              <w:jc w:val="both"/>
              <w:rPr>
                <w:rFonts w:cs="Times New Roman"/>
                <w:szCs w:val="24"/>
              </w:rPr>
            </w:pPr>
            <w:r w:rsidRPr="00F10C37">
              <w:rPr>
                <w:rFonts w:cs="Times New Roman"/>
                <w:szCs w:val="24"/>
              </w:rPr>
              <w:t>Side effects</w:t>
            </w:r>
          </w:p>
        </w:tc>
        <w:tc>
          <w:tcPr>
            <w:tcW w:w="6708" w:type="dxa"/>
          </w:tcPr>
          <w:p w14:paraId="0FC0CE71" w14:textId="77777777" w:rsidR="0053763D" w:rsidRPr="00F10C37" w:rsidRDefault="0053763D" w:rsidP="00C46407">
            <w:pPr>
              <w:contextualSpacing/>
              <w:jc w:val="both"/>
              <w:rPr>
                <w:rFonts w:cs="Times New Roman"/>
                <w:szCs w:val="24"/>
              </w:rPr>
            </w:pPr>
            <w:r w:rsidRPr="00F10C37">
              <w:rPr>
                <w:rFonts w:cs="Times New Roman"/>
                <w:szCs w:val="24"/>
              </w:rPr>
              <w:t>Tiredness, dizziness, depression, shortness of breath, bradycardia, hypotension, diarrhoea, pruritus, constipation, palpitations, postural disorders, chest pain, drowsiness, dystrophic skin lesion, muscle cramps, edema, skin reactions, weight gain, hyperhidrosis.</w:t>
            </w:r>
          </w:p>
        </w:tc>
      </w:tr>
      <w:tr w:rsidR="0053763D" w:rsidRPr="00F10C37" w14:paraId="6C32050E" w14:textId="77777777" w:rsidTr="00C46407">
        <w:trPr>
          <w:trHeight w:val="782"/>
        </w:trPr>
        <w:tc>
          <w:tcPr>
            <w:tcW w:w="2557" w:type="dxa"/>
            <w:gridSpan w:val="2"/>
          </w:tcPr>
          <w:p w14:paraId="42EA2A68" w14:textId="77777777" w:rsidR="0053763D" w:rsidRPr="00F10C37" w:rsidRDefault="0053763D" w:rsidP="00C46407">
            <w:pPr>
              <w:jc w:val="both"/>
              <w:rPr>
                <w:rFonts w:cs="Times New Roman"/>
                <w:szCs w:val="24"/>
              </w:rPr>
            </w:pPr>
            <w:r w:rsidRPr="00F10C37">
              <w:rPr>
                <w:rFonts w:cs="Times New Roman"/>
                <w:szCs w:val="24"/>
              </w:rPr>
              <w:t>Cautions</w:t>
            </w:r>
          </w:p>
        </w:tc>
        <w:tc>
          <w:tcPr>
            <w:tcW w:w="6708" w:type="dxa"/>
          </w:tcPr>
          <w:p w14:paraId="2C69A6D5" w14:textId="77777777" w:rsidR="0053763D" w:rsidRPr="00F10C37" w:rsidRDefault="0053763D" w:rsidP="00C46407">
            <w:pPr>
              <w:jc w:val="both"/>
              <w:rPr>
                <w:rFonts w:cs="Times New Roman"/>
                <w:szCs w:val="24"/>
              </w:rPr>
            </w:pPr>
            <w:r w:rsidRPr="00F10C37">
              <w:rPr>
                <w:rFonts w:cs="Times New Roman"/>
                <w:szCs w:val="24"/>
              </w:rPr>
              <w:t>Hepatic impairment, pregnancy, breastfeeding, bronchospastic disease, pheochromocytoma, diabetic mellitus</w:t>
            </w:r>
          </w:p>
        </w:tc>
      </w:tr>
      <w:tr w:rsidR="0053763D" w:rsidRPr="00F10C37" w14:paraId="19FF053F" w14:textId="77777777" w:rsidTr="00C46407">
        <w:trPr>
          <w:trHeight w:val="589"/>
        </w:trPr>
        <w:tc>
          <w:tcPr>
            <w:tcW w:w="2557" w:type="dxa"/>
            <w:gridSpan w:val="2"/>
          </w:tcPr>
          <w:p w14:paraId="55F8D575"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708" w:type="dxa"/>
          </w:tcPr>
          <w:p w14:paraId="4621CE95" w14:textId="77777777" w:rsidR="0053763D" w:rsidRPr="00F10C37" w:rsidRDefault="0053763D" w:rsidP="00C46407">
            <w:pPr>
              <w:jc w:val="both"/>
              <w:rPr>
                <w:rFonts w:cs="Times New Roman"/>
                <w:szCs w:val="24"/>
              </w:rPr>
            </w:pPr>
            <w:r w:rsidRPr="00F10C37">
              <w:rPr>
                <w:rFonts w:cs="Times New Roman"/>
                <w:szCs w:val="24"/>
              </w:rPr>
              <w:t xml:space="preserve">Store between 15 °C and 30 °C. Protect from light and </w:t>
            </w:r>
            <w:r>
              <w:rPr>
                <w:rFonts w:cs="Times New Roman"/>
                <w:szCs w:val="24"/>
              </w:rPr>
              <w:t>moisture</w:t>
            </w:r>
          </w:p>
        </w:tc>
      </w:tr>
      <w:tr w:rsidR="0053763D" w:rsidRPr="00F10C37" w14:paraId="25B1CABC" w14:textId="77777777" w:rsidTr="00C46407">
        <w:trPr>
          <w:trHeight w:val="512"/>
        </w:trPr>
        <w:tc>
          <w:tcPr>
            <w:tcW w:w="9265" w:type="dxa"/>
            <w:gridSpan w:val="3"/>
          </w:tcPr>
          <w:p w14:paraId="6778F091" w14:textId="77777777" w:rsidR="0053763D" w:rsidRPr="00F10C37" w:rsidRDefault="0053763D" w:rsidP="00C46407">
            <w:pPr>
              <w:jc w:val="both"/>
              <w:rPr>
                <w:rFonts w:cs="Times New Roman"/>
                <w:b/>
                <w:szCs w:val="24"/>
              </w:rPr>
            </w:pPr>
            <w:r w:rsidRPr="00F10C37">
              <w:rPr>
                <w:rFonts w:cs="Times New Roman"/>
                <w:b/>
                <w:szCs w:val="24"/>
              </w:rPr>
              <w:t>Norepinephrine</w:t>
            </w:r>
          </w:p>
        </w:tc>
      </w:tr>
      <w:tr w:rsidR="0053763D" w:rsidRPr="00F10C37" w14:paraId="2EB73302" w14:textId="77777777" w:rsidTr="00C46407">
        <w:trPr>
          <w:trHeight w:val="512"/>
        </w:trPr>
        <w:tc>
          <w:tcPr>
            <w:tcW w:w="2425" w:type="dxa"/>
          </w:tcPr>
          <w:p w14:paraId="30BB62E4"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1FCDA171" w14:textId="77777777" w:rsidR="0053763D" w:rsidRPr="00F10C37" w:rsidRDefault="0053763D" w:rsidP="00C46407">
            <w:pPr>
              <w:jc w:val="both"/>
              <w:rPr>
                <w:rFonts w:cs="Times New Roman"/>
                <w:szCs w:val="24"/>
              </w:rPr>
            </w:pPr>
            <w:r w:rsidRPr="00F10C37">
              <w:rPr>
                <w:rFonts w:cs="Times New Roman"/>
                <w:szCs w:val="24"/>
              </w:rPr>
              <w:t>Vasoconstrictor sympathomimetic</w:t>
            </w:r>
          </w:p>
        </w:tc>
      </w:tr>
      <w:tr w:rsidR="0053763D" w:rsidRPr="00F10C37" w14:paraId="7A28C5F4" w14:textId="77777777" w:rsidTr="00C46407">
        <w:trPr>
          <w:trHeight w:val="395"/>
        </w:trPr>
        <w:tc>
          <w:tcPr>
            <w:tcW w:w="2425" w:type="dxa"/>
          </w:tcPr>
          <w:p w14:paraId="452CAE17"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5E1F8471"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Injection: 1mg/1</w:t>
            </w:r>
            <w:r>
              <w:rPr>
                <w:rFonts w:cs="Times New Roman"/>
                <w:szCs w:val="24"/>
                <w:lang w:val="nb-NO"/>
              </w:rPr>
              <w:t>ml</w:t>
            </w:r>
          </w:p>
        </w:tc>
      </w:tr>
      <w:tr w:rsidR="0053763D" w:rsidRPr="00F10C37" w14:paraId="7B8BD475" w14:textId="77777777" w:rsidTr="00C46407">
        <w:trPr>
          <w:trHeight w:val="521"/>
        </w:trPr>
        <w:tc>
          <w:tcPr>
            <w:tcW w:w="2425" w:type="dxa"/>
          </w:tcPr>
          <w:p w14:paraId="093F18DB" w14:textId="77777777" w:rsidR="0053763D" w:rsidRPr="00097BBD" w:rsidRDefault="0053763D" w:rsidP="00C46407">
            <w:pPr>
              <w:jc w:val="both"/>
              <w:rPr>
                <w:rFonts w:cs="Times New Roman"/>
                <w:szCs w:val="24"/>
              </w:rPr>
            </w:pPr>
            <w:r w:rsidRPr="00097BBD">
              <w:rPr>
                <w:rFonts w:cs="Times New Roman"/>
                <w:szCs w:val="24"/>
              </w:rPr>
              <w:t>Indications</w:t>
            </w:r>
          </w:p>
        </w:tc>
        <w:tc>
          <w:tcPr>
            <w:tcW w:w="6840" w:type="dxa"/>
            <w:gridSpan w:val="2"/>
          </w:tcPr>
          <w:p w14:paraId="54A93CBC" w14:textId="77777777" w:rsidR="0053763D" w:rsidRPr="00F10C37" w:rsidRDefault="0053763D" w:rsidP="00C46407">
            <w:pPr>
              <w:jc w:val="both"/>
              <w:rPr>
                <w:rFonts w:cs="Times New Roman"/>
                <w:szCs w:val="24"/>
              </w:rPr>
            </w:pPr>
            <w:r w:rsidRPr="00F10C37">
              <w:rPr>
                <w:rFonts w:cs="Times New Roman"/>
                <w:szCs w:val="24"/>
              </w:rPr>
              <w:t xml:space="preserve">Cardiogenic shock, septic shock, acute hypotension </w:t>
            </w:r>
          </w:p>
        </w:tc>
      </w:tr>
      <w:tr w:rsidR="0053763D" w:rsidRPr="00F10C37" w14:paraId="2E0D6ACD" w14:textId="77777777" w:rsidTr="00C46407">
        <w:trPr>
          <w:trHeight w:val="521"/>
        </w:trPr>
        <w:tc>
          <w:tcPr>
            <w:tcW w:w="2425" w:type="dxa"/>
          </w:tcPr>
          <w:p w14:paraId="3E627661"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6264340A" w14:textId="77777777" w:rsidR="0053763D" w:rsidRDefault="0053763D" w:rsidP="00C46407">
            <w:pPr>
              <w:jc w:val="both"/>
              <w:rPr>
                <w:rFonts w:cs="Times New Roman"/>
                <w:b/>
                <w:szCs w:val="24"/>
              </w:rPr>
            </w:pPr>
            <w:r w:rsidRPr="00F10C37">
              <w:rPr>
                <w:rFonts w:cs="Times New Roman"/>
                <w:b/>
                <w:szCs w:val="24"/>
              </w:rPr>
              <w:t xml:space="preserve">Acute hypotension (initial and on-going treatment): </w:t>
            </w:r>
          </w:p>
          <w:p w14:paraId="392D4471" w14:textId="77777777" w:rsidR="0053763D"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 xml:space="preserve">by IV infusion: Initially 0.16–0.33 </w:t>
            </w:r>
            <w:r>
              <w:rPr>
                <w:rFonts w:cs="Times New Roman"/>
                <w:szCs w:val="24"/>
              </w:rPr>
              <w:t>ml</w:t>
            </w:r>
            <w:r w:rsidRPr="00F10C37">
              <w:rPr>
                <w:rFonts w:cs="Times New Roman"/>
                <w:szCs w:val="24"/>
              </w:rPr>
              <w:t xml:space="preserve">/min, adjusted according to response, dose applies to a solution containing 40 </w:t>
            </w:r>
            <w:r>
              <w:rPr>
                <w:rFonts w:cs="Times New Roman"/>
                <w:szCs w:val="24"/>
              </w:rPr>
              <w:t>mcg</w:t>
            </w:r>
            <w:r w:rsidRPr="00F10C37">
              <w:rPr>
                <w:rFonts w:cs="Times New Roman"/>
                <w:szCs w:val="24"/>
              </w:rPr>
              <w:t xml:space="preserve"> (base)/</w:t>
            </w:r>
            <w:r>
              <w:rPr>
                <w:rFonts w:cs="Times New Roman"/>
                <w:szCs w:val="24"/>
              </w:rPr>
              <w:t>ml</w:t>
            </w:r>
            <w:r w:rsidRPr="00F10C37">
              <w:rPr>
                <w:rFonts w:cs="Times New Roman"/>
                <w:szCs w:val="24"/>
              </w:rPr>
              <w:t xml:space="preserve"> only, dilute the 1 mg/</w:t>
            </w:r>
            <w:r>
              <w:rPr>
                <w:rFonts w:cs="Times New Roman"/>
                <w:szCs w:val="24"/>
              </w:rPr>
              <w:t>ml</w:t>
            </w:r>
            <w:r w:rsidRPr="00F10C37">
              <w:rPr>
                <w:rFonts w:cs="Times New Roman"/>
                <w:szCs w:val="24"/>
              </w:rPr>
              <w:t xml:space="preserve"> concentrate for infusion for this solution</w:t>
            </w:r>
            <w:r>
              <w:rPr>
                <w:rFonts w:cs="Times New Roman"/>
                <w:szCs w:val="24"/>
              </w:rPr>
              <w:t>.</w:t>
            </w:r>
            <w:r w:rsidRPr="00F10C37">
              <w:rPr>
                <w:rFonts w:cs="Times New Roman"/>
                <w:szCs w:val="24"/>
              </w:rPr>
              <w:t xml:space="preserve"> </w:t>
            </w:r>
            <w:r w:rsidRPr="00F10C37">
              <w:rPr>
                <w:rFonts w:cs="Times New Roman"/>
                <w:b/>
                <w:szCs w:val="24"/>
              </w:rPr>
              <w:t>Neonate:</w:t>
            </w:r>
            <w:r w:rsidRPr="00F10C37">
              <w:rPr>
                <w:rFonts w:cs="Times New Roman"/>
                <w:szCs w:val="24"/>
              </w:rPr>
              <w:t xml:space="preserve"> 20–100 nanograms/kg/min (max. per dose 1 microgram/kg/min), adjusted according to response; dilute the 1 mg/</w:t>
            </w:r>
            <w:r>
              <w:rPr>
                <w:rFonts w:cs="Times New Roman"/>
                <w:szCs w:val="24"/>
              </w:rPr>
              <w:t>ml</w:t>
            </w:r>
            <w:r w:rsidRPr="00F10C37">
              <w:rPr>
                <w:rFonts w:cs="Times New Roman"/>
                <w:szCs w:val="24"/>
              </w:rPr>
              <w:t xml:space="preserve"> concentrate for infusion for this dose</w:t>
            </w:r>
            <w:r>
              <w:rPr>
                <w:rFonts w:cs="Times New Roman"/>
                <w:szCs w:val="24"/>
              </w:rPr>
              <w:t>.</w:t>
            </w:r>
          </w:p>
          <w:p w14:paraId="18A7709B" w14:textId="77777777" w:rsidR="0053763D" w:rsidRPr="00F10C37" w:rsidRDefault="0053763D" w:rsidP="00C46407">
            <w:pPr>
              <w:jc w:val="both"/>
              <w:rPr>
                <w:rFonts w:cs="Times New Roman"/>
                <w:szCs w:val="24"/>
              </w:rPr>
            </w:pPr>
            <w:r w:rsidRPr="00F10C37">
              <w:rPr>
                <w:rFonts w:cs="Times New Roman"/>
                <w:b/>
                <w:szCs w:val="24"/>
              </w:rPr>
              <w:lastRenderedPageBreak/>
              <w:t>Child:</w:t>
            </w:r>
            <w:r w:rsidRPr="00F10C37">
              <w:rPr>
                <w:rFonts w:cs="Times New Roman"/>
                <w:szCs w:val="24"/>
              </w:rPr>
              <w:t xml:space="preserve"> 20–100 nanograms/kg/min (max. per dose 1 microgram/kg/min), adjusted according to response; dilute the 1 mg/</w:t>
            </w:r>
            <w:r>
              <w:rPr>
                <w:rFonts w:cs="Times New Roman"/>
                <w:szCs w:val="24"/>
              </w:rPr>
              <w:t>ml</w:t>
            </w:r>
            <w:r w:rsidRPr="00F10C37">
              <w:rPr>
                <w:rFonts w:cs="Times New Roman"/>
                <w:szCs w:val="24"/>
              </w:rPr>
              <w:t xml:space="preserve"> concentrate for infusion for this dose.</w:t>
            </w:r>
          </w:p>
          <w:p w14:paraId="6A979DB5" w14:textId="77777777" w:rsidR="0053763D" w:rsidRDefault="0053763D" w:rsidP="00C46407">
            <w:pPr>
              <w:jc w:val="both"/>
              <w:rPr>
                <w:rFonts w:cs="Times New Roman"/>
                <w:b/>
                <w:szCs w:val="24"/>
              </w:rPr>
            </w:pPr>
            <w:r w:rsidRPr="00F10C37">
              <w:rPr>
                <w:rFonts w:cs="Times New Roman"/>
                <w:b/>
                <w:szCs w:val="24"/>
              </w:rPr>
              <w:t>On-going treatment of acute hypotension (with escalating dose requirements) (body weight 50 kg and above)</w:t>
            </w:r>
            <w:r>
              <w:rPr>
                <w:rFonts w:cs="Times New Roman"/>
                <w:b/>
                <w:szCs w:val="24"/>
              </w:rPr>
              <w:t>:</w:t>
            </w:r>
          </w:p>
          <w:p w14:paraId="558A19D2" w14:textId="77777777" w:rsidR="0053763D" w:rsidRPr="00F10C37" w:rsidRDefault="0053763D" w:rsidP="00C46407">
            <w:pPr>
              <w:jc w:val="both"/>
              <w:rPr>
                <w:rFonts w:cs="Times New Roman"/>
                <w:szCs w:val="24"/>
              </w:rPr>
            </w:pPr>
            <w:r w:rsidRPr="00F10C37">
              <w:rPr>
                <w:rFonts w:cs="Times New Roman"/>
                <w:b/>
                <w:szCs w:val="24"/>
              </w:rPr>
              <w:t>Adult</w:t>
            </w:r>
            <w:r>
              <w:rPr>
                <w:rFonts w:cs="Times New Roman"/>
                <w:b/>
                <w:szCs w:val="24"/>
              </w:rPr>
              <w:t xml:space="preserve">, </w:t>
            </w:r>
            <w:r w:rsidRPr="00F10C37">
              <w:rPr>
                <w:rFonts w:cs="Times New Roman"/>
                <w:szCs w:val="24"/>
              </w:rPr>
              <w:t xml:space="preserve">by IV infusion: </w:t>
            </w:r>
            <w:r>
              <w:rPr>
                <w:rFonts w:cs="Times New Roman"/>
                <w:szCs w:val="24"/>
              </w:rPr>
              <w:t>u</w:t>
            </w:r>
            <w:r w:rsidRPr="00F10C37">
              <w:rPr>
                <w:rFonts w:cs="Times New Roman"/>
                <w:szCs w:val="24"/>
              </w:rPr>
              <w:t>se the 0.08 mg/</w:t>
            </w:r>
            <w:r>
              <w:rPr>
                <w:rFonts w:cs="Times New Roman"/>
                <w:szCs w:val="24"/>
              </w:rPr>
              <w:t>ml</w:t>
            </w:r>
            <w:r w:rsidRPr="00F10C37">
              <w:rPr>
                <w:rFonts w:cs="Times New Roman"/>
                <w:szCs w:val="24"/>
              </w:rPr>
              <w:t xml:space="preserve"> or 0.16 mg/ </w:t>
            </w:r>
            <w:r>
              <w:rPr>
                <w:rFonts w:cs="Times New Roman"/>
                <w:szCs w:val="24"/>
              </w:rPr>
              <w:t>ml</w:t>
            </w:r>
            <w:r w:rsidRPr="00F10C37">
              <w:rPr>
                <w:rFonts w:cs="Times New Roman"/>
                <w:szCs w:val="24"/>
              </w:rPr>
              <w:t xml:space="preserve"> solution for infusion. </w:t>
            </w:r>
          </w:p>
        </w:tc>
      </w:tr>
      <w:tr w:rsidR="0053763D" w:rsidRPr="00F10C37" w14:paraId="62D0612E" w14:textId="77777777" w:rsidTr="00C46407">
        <w:tc>
          <w:tcPr>
            <w:tcW w:w="2425" w:type="dxa"/>
          </w:tcPr>
          <w:p w14:paraId="53C70853"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2"/>
          </w:tcPr>
          <w:p w14:paraId="1597276E" w14:textId="77777777" w:rsidR="0053763D" w:rsidRPr="00F10C37" w:rsidRDefault="0053763D" w:rsidP="00C46407">
            <w:pPr>
              <w:jc w:val="both"/>
              <w:rPr>
                <w:rFonts w:cs="Times New Roman"/>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hypertension.</w:t>
            </w:r>
          </w:p>
        </w:tc>
      </w:tr>
      <w:tr w:rsidR="0053763D" w:rsidRPr="00F10C37" w14:paraId="7E0AB21C" w14:textId="77777777" w:rsidTr="00C46407">
        <w:tc>
          <w:tcPr>
            <w:tcW w:w="2425" w:type="dxa"/>
          </w:tcPr>
          <w:p w14:paraId="6F2D00B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2C8178F9" w14:textId="77777777" w:rsidR="0053763D" w:rsidRPr="00F10C37" w:rsidRDefault="0053763D" w:rsidP="00C46407">
            <w:pPr>
              <w:jc w:val="both"/>
              <w:rPr>
                <w:rFonts w:cs="Times New Roman"/>
                <w:szCs w:val="24"/>
              </w:rPr>
            </w:pPr>
            <w:r w:rsidRPr="00F10C37">
              <w:rPr>
                <w:rFonts w:cs="Times New Roman"/>
                <w:szCs w:val="24"/>
              </w:rPr>
              <w:t xml:space="preserve">Betablockers, ergometrine, volatile halogenated anaesthetic agents, </w:t>
            </w:r>
            <w:r>
              <w:rPr>
                <w:rFonts w:cs="Times New Roman"/>
                <w:szCs w:val="24"/>
              </w:rPr>
              <w:t>monoamine oxidase inhibitors</w:t>
            </w:r>
            <w:r w:rsidRPr="00F10C37">
              <w:rPr>
                <w:rFonts w:cs="Times New Roman"/>
                <w:szCs w:val="24"/>
              </w:rPr>
              <w:t xml:space="preserve">, linezolid, tricyclic antidepressants, vasopressin, adrenergic-serotoninergic drugs, other cardiac sensitizing agents. </w:t>
            </w:r>
          </w:p>
        </w:tc>
      </w:tr>
      <w:tr w:rsidR="0053763D" w:rsidRPr="00F10C37" w14:paraId="20747B1B" w14:textId="77777777" w:rsidTr="00C46407">
        <w:tc>
          <w:tcPr>
            <w:tcW w:w="2425" w:type="dxa"/>
          </w:tcPr>
          <w:p w14:paraId="7B5FCB36"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2503DE50"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color w:val="231F20"/>
                <w:kern w:val="0"/>
                <w:szCs w:val="24"/>
                <w:lang w:val="en-US" w:eastAsia="en-US"/>
              </w:rPr>
              <w:t>Acute glaucoma, anxiety, arrhythmias, asthenia, cardiomyopathy, confusion, dyspnea, extravasation necrosis, gangrene, headache, heart failure, hypovolemia, hypoxia, injection site necrosis, insomnia, ischemia, myocardial contractility increased, nausea, palpitations, peripheral ischemia, psychotic disorder, respiratory failure, tremor, urinary retention, vomiting</w:t>
            </w:r>
          </w:p>
        </w:tc>
      </w:tr>
      <w:tr w:rsidR="0053763D" w:rsidRPr="00F10C37" w14:paraId="71459F3E" w14:textId="77777777" w:rsidTr="00C46407">
        <w:tc>
          <w:tcPr>
            <w:tcW w:w="2425" w:type="dxa"/>
          </w:tcPr>
          <w:p w14:paraId="2FA37EB2"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2E403BDF" w14:textId="77777777" w:rsidR="0053763D" w:rsidRPr="00F10C37" w:rsidRDefault="0053763D" w:rsidP="00C46407">
            <w:pPr>
              <w:jc w:val="both"/>
              <w:rPr>
                <w:rFonts w:cs="Times New Roman"/>
                <w:szCs w:val="24"/>
              </w:rPr>
            </w:pPr>
            <w:r w:rsidRPr="00F10C37">
              <w:rPr>
                <w:rFonts w:cs="Times New Roman"/>
                <w:szCs w:val="24"/>
              </w:rPr>
              <w:t xml:space="preserve">Coronary or mesenteric or peripheral vascular thrombosis, diabetes mellitus, extravasation at injection site may cause necrosis, following MI, hypercapnia, hyperthyroidism, hypoxia, Prinzmetal’s, variant angina, susceptibility to angle-closure glaucoma, uncorrected hypovolemia, elderly, hepatic impairment, renal impairment, pregnancy and breast feeding. </w:t>
            </w:r>
          </w:p>
        </w:tc>
      </w:tr>
      <w:tr w:rsidR="0053763D" w:rsidRPr="00F10C37" w14:paraId="6AC2C6F7" w14:textId="77777777" w:rsidTr="00C46407">
        <w:tc>
          <w:tcPr>
            <w:tcW w:w="2425" w:type="dxa"/>
          </w:tcPr>
          <w:p w14:paraId="16FB076F"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3758F52E"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15–30°C</w:t>
            </w:r>
            <w:r>
              <w:rPr>
                <w:rFonts w:cs="Times New Roman"/>
                <w:szCs w:val="24"/>
              </w:rPr>
              <w:t>. P</w:t>
            </w:r>
            <w:r w:rsidRPr="00F10C37">
              <w:rPr>
                <w:rFonts w:cs="Times New Roman"/>
                <w:szCs w:val="24"/>
              </w:rPr>
              <w:t>rotect from light. Diluted norepinephrine solution may be stored for up to 24 hours at room temperature prior to use.</w:t>
            </w:r>
          </w:p>
        </w:tc>
      </w:tr>
      <w:tr w:rsidR="0053763D" w:rsidRPr="00F10C37" w14:paraId="4095FEC2" w14:textId="77777777" w:rsidTr="00C46407">
        <w:trPr>
          <w:trHeight w:val="512"/>
        </w:trPr>
        <w:tc>
          <w:tcPr>
            <w:tcW w:w="9265" w:type="dxa"/>
            <w:gridSpan w:val="3"/>
          </w:tcPr>
          <w:p w14:paraId="4D57E917" w14:textId="77777777" w:rsidR="0053763D" w:rsidRPr="00F10C37" w:rsidRDefault="0053763D" w:rsidP="00C46407">
            <w:pPr>
              <w:jc w:val="both"/>
              <w:rPr>
                <w:rFonts w:cs="Times New Roman"/>
                <w:b/>
                <w:szCs w:val="24"/>
              </w:rPr>
            </w:pPr>
            <w:r w:rsidRPr="00F10C37">
              <w:rPr>
                <w:rFonts w:cs="Times New Roman"/>
                <w:b/>
                <w:szCs w:val="24"/>
              </w:rPr>
              <w:t>Sacubitril + Valsartan</w:t>
            </w:r>
          </w:p>
        </w:tc>
      </w:tr>
      <w:tr w:rsidR="0053763D" w:rsidRPr="00F10C37" w14:paraId="36B4B647" w14:textId="77777777" w:rsidTr="00C46407">
        <w:trPr>
          <w:trHeight w:val="512"/>
        </w:trPr>
        <w:tc>
          <w:tcPr>
            <w:tcW w:w="2425" w:type="dxa"/>
          </w:tcPr>
          <w:p w14:paraId="555B256D"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24B7B558"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 receptor-neprilysin inhibitor (ARNI) and Angiotensin II receptor antagonist</w:t>
            </w:r>
          </w:p>
        </w:tc>
      </w:tr>
      <w:tr w:rsidR="0053763D" w:rsidRPr="00F10C37" w14:paraId="7B161215" w14:textId="77777777" w:rsidTr="00C46407">
        <w:trPr>
          <w:trHeight w:val="395"/>
        </w:trPr>
        <w:tc>
          <w:tcPr>
            <w:tcW w:w="2425" w:type="dxa"/>
          </w:tcPr>
          <w:p w14:paraId="4DC19C4E" w14:textId="77777777" w:rsidR="0053763D" w:rsidRPr="00F10C37" w:rsidRDefault="0053763D" w:rsidP="00C46407">
            <w:pPr>
              <w:jc w:val="both"/>
              <w:rPr>
                <w:rFonts w:cs="Times New Roman"/>
                <w:szCs w:val="24"/>
              </w:rPr>
            </w:pPr>
            <w:r w:rsidRPr="00F10C37">
              <w:rPr>
                <w:rFonts w:cs="Times New Roman"/>
                <w:szCs w:val="24"/>
              </w:rPr>
              <w:lastRenderedPageBreak/>
              <w:t>Dosage form</w:t>
            </w:r>
          </w:p>
        </w:tc>
        <w:tc>
          <w:tcPr>
            <w:tcW w:w="6840" w:type="dxa"/>
            <w:gridSpan w:val="2"/>
          </w:tcPr>
          <w:p w14:paraId="1796465D" w14:textId="77777777" w:rsidR="0053763D" w:rsidRPr="00F10C37" w:rsidRDefault="0053763D" w:rsidP="00C46407">
            <w:pPr>
              <w:widowControl w:val="0"/>
              <w:autoSpaceDE w:val="0"/>
              <w:autoSpaceDN w:val="0"/>
              <w:jc w:val="both"/>
              <w:rPr>
                <w:rFonts w:cs="Times New Roman"/>
                <w:szCs w:val="24"/>
                <w:lang w:val="nb-NO"/>
              </w:rPr>
            </w:pPr>
            <w:r w:rsidRPr="00F10C37">
              <w:rPr>
                <w:rFonts w:cs="Times New Roman"/>
                <w:szCs w:val="24"/>
                <w:lang w:val="nb-NO"/>
              </w:rPr>
              <w:t>Tablet: 24mg + 26mg</w:t>
            </w:r>
            <w:r>
              <w:rPr>
                <w:rFonts w:cs="Times New Roman"/>
                <w:szCs w:val="24"/>
                <w:lang w:val="nb-NO"/>
              </w:rPr>
              <w:t>,</w:t>
            </w:r>
            <w:r w:rsidRPr="00F10C37">
              <w:rPr>
                <w:rFonts w:cs="Times New Roman"/>
                <w:szCs w:val="24"/>
                <w:lang w:val="nb-NO"/>
              </w:rPr>
              <w:t xml:space="preserve"> 49mg+51mg</w:t>
            </w:r>
            <w:r>
              <w:rPr>
                <w:rFonts w:cs="Times New Roman"/>
                <w:szCs w:val="24"/>
                <w:lang w:val="nb-NO"/>
              </w:rPr>
              <w:t>,</w:t>
            </w:r>
            <w:r w:rsidRPr="00F10C37">
              <w:rPr>
                <w:rFonts w:cs="Times New Roman"/>
                <w:szCs w:val="24"/>
                <w:lang w:val="nb-NO"/>
              </w:rPr>
              <w:t xml:space="preserve"> 97mg+103mg</w:t>
            </w:r>
          </w:p>
        </w:tc>
      </w:tr>
      <w:tr w:rsidR="0053763D" w:rsidRPr="00F10C37" w14:paraId="7D9B3C02" w14:textId="77777777" w:rsidTr="00C46407">
        <w:trPr>
          <w:trHeight w:val="521"/>
        </w:trPr>
        <w:tc>
          <w:tcPr>
            <w:tcW w:w="2425" w:type="dxa"/>
          </w:tcPr>
          <w:p w14:paraId="18C0A798" w14:textId="77777777" w:rsidR="0053763D" w:rsidRPr="001D15DF" w:rsidRDefault="0053763D" w:rsidP="00C46407">
            <w:pPr>
              <w:jc w:val="both"/>
              <w:rPr>
                <w:rFonts w:cs="Times New Roman"/>
                <w:szCs w:val="24"/>
              </w:rPr>
            </w:pPr>
            <w:r w:rsidRPr="001D15DF">
              <w:rPr>
                <w:rFonts w:cs="Times New Roman"/>
                <w:szCs w:val="24"/>
              </w:rPr>
              <w:t>Indications</w:t>
            </w:r>
          </w:p>
        </w:tc>
        <w:tc>
          <w:tcPr>
            <w:tcW w:w="6840" w:type="dxa"/>
            <w:gridSpan w:val="2"/>
          </w:tcPr>
          <w:p w14:paraId="31EA1E5A" w14:textId="77777777" w:rsidR="0053763D" w:rsidRPr="00F10C37" w:rsidRDefault="0053763D" w:rsidP="00C46407">
            <w:pPr>
              <w:jc w:val="both"/>
              <w:rPr>
                <w:rFonts w:cs="Times New Roman"/>
                <w:szCs w:val="24"/>
              </w:rPr>
            </w:pPr>
            <w:r w:rsidRPr="00F10C37">
              <w:rPr>
                <w:rFonts w:cs="Times New Roman"/>
                <w:szCs w:val="24"/>
              </w:rPr>
              <w:t xml:space="preserve">Symptomatic chronic </w:t>
            </w:r>
            <w:r>
              <w:rPr>
                <w:rFonts w:cs="Times New Roman"/>
                <w:szCs w:val="24"/>
              </w:rPr>
              <w:t>heart failure with reduced ejection fraction (HFrEF)</w:t>
            </w:r>
            <w:r w:rsidRPr="00F10C37">
              <w:rPr>
                <w:rFonts w:cs="Times New Roman"/>
                <w:szCs w:val="24"/>
              </w:rPr>
              <w:t xml:space="preserve"> (in patients not currently taking an ACE inhibitor or angiotensin II receptor antagonist, or stabilized on low doses of either of these agents)</w:t>
            </w:r>
            <w:r>
              <w:rPr>
                <w:rFonts w:cs="Times New Roman"/>
                <w:szCs w:val="24"/>
              </w:rPr>
              <w:t>.</w:t>
            </w:r>
            <w:r w:rsidRPr="00F10C37">
              <w:rPr>
                <w:rFonts w:cs="Times New Roman"/>
                <w:szCs w:val="24"/>
              </w:rPr>
              <w:t xml:space="preserve"> </w:t>
            </w:r>
          </w:p>
        </w:tc>
      </w:tr>
      <w:tr w:rsidR="0053763D" w:rsidRPr="00F10C37" w14:paraId="1D2617B2" w14:textId="77777777" w:rsidTr="00C46407">
        <w:trPr>
          <w:trHeight w:val="521"/>
        </w:trPr>
        <w:tc>
          <w:tcPr>
            <w:tcW w:w="2425" w:type="dxa"/>
          </w:tcPr>
          <w:p w14:paraId="475A065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63B25447" w14:textId="77777777" w:rsidR="0053763D" w:rsidRDefault="0053763D" w:rsidP="00C46407">
            <w:pPr>
              <w:jc w:val="both"/>
              <w:rPr>
                <w:rFonts w:cs="Times New Roman"/>
                <w:b/>
                <w:szCs w:val="24"/>
              </w:rPr>
            </w:pPr>
            <w:r w:rsidRPr="00F10C37">
              <w:rPr>
                <w:rFonts w:cs="Times New Roman"/>
                <w:b/>
                <w:szCs w:val="24"/>
              </w:rPr>
              <w:t xml:space="preserve">Symptomatic chronic </w:t>
            </w:r>
            <w:r w:rsidRPr="003D3E3A">
              <w:rPr>
                <w:rFonts w:cs="Times New Roman"/>
                <w:b/>
                <w:szCs w:val="24"/>
              </w:rPr>
              <w:t>HFrEF</w:t>
            </w:r>
            <w:r w:rsidRPr="00F10C37">
              <w:rPr>
                <w:rFonts w:cs="Times New Roman"/>
                <w:b/>
                <w:szCs w:val="24"/>
              </w:rPr>
              <w:t xml:space="preserve"> (in patients not currently taking an ACE inhibitor or angiotensin II receptor antagonist, or stabilized on low doses of either of these agents):</w:t>
            </w:r>
          </w:p>
          <w:p w14:paraId="4B5820BA" w14:textId="77777777" w:rsidR="0053763D" w:rsidRPr="00F10C37"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Initially, 24/26 mg twice daily for 3–4 weeks, increased if tolerated to 49/51mg twice daily for 3–4 weeks, then increased if tolerated to 97/103mg twice daily.</w:t>
            </w:r>
          </w:p>
          <w:p w14:paraId="0EEC5FDB" w14:textId="77777777" w:rsidR="0053763D" w:rsidRPr="00F10C37" w:rsidRDefault="0053763D" w:rsidP="00C46407">
            <w:pPr>
              <w:jc w:val="both"/>
              <w:rPr>
                <w:rFonts w:cs="Times New Roman"/>
                <w:szCs w:val="24"/>
              </w:rPr>
            </w:pPr>
            <w:r w:rsidRPr="00F10C37">
              <w:rPr>
                <w:rFonts w:cs="Times New Roman"/>
                <w:b/>
                <w:szCs w:val="24"/>
              </w:rPr>
              <w:t xml:space="preserve">Symptomatic chronic </w:t>
            </w:r>
            <w:r w:rsidRPr="00263523">
              <w:rPr>
                <w:rFonts w:cs="Times New Roman"/>
                <w:b/>
                <w:szCs w:val="24"/>
              </w:rPr>
              <w:t>HFrEF</w:t>
            </w:r>
            <w:r w:rsidRPr="00F10C37" w:rsidDel="00252EBB">
              <w:rPr>
                <w:rFonts w:cs="Times New Roman"/>
                <w:b/>
                <w:szCs w:val="24"/>
              </w:rPr>
              <w:t xml:space="preserve"> </w:t>
            </w:r>
            <w:r w:rsidRPr="00F10C37">
              <w:rPr>
                <w:rFonts w:cs="Times New Roman"/>
                <w:b/>
                <w:szCs w:val="24"/>
              </w:rPr>
              <w:t xml:space="preserve">(in patients currently stabilized on an ACE inhibitor or angiotensin II receptor antagonist): </w:t>
            </w:r>
            <w:r w:rsidRPr="00F10C37">
              <w:rPr>
                <w:rFonts w:cs="Times New Roman"/>
                <w:szCs w:val="24"/>
              </w:rPr>
              <w:t xml:space="preserve">Initially 49/51 mg twice daily for 2–4 weeks, increased if tolerated to 97/103 mg twice daily, consider a starting dose of 24/26mg if SBP &lt;110mmHg. </w:t>
            </w:r>
          </w:p>
        </w:tc>
      </w:tr>
      <w:tr w:rsidR="0053763D" w:rsidRPr="00F10C37" w14:paraId="5AEAE627" w14:textId="77777777" w:rsidTr="00C46407">
        <w:tc>
          <w:tcPr>
            <w:tcW w:w="2425" w:type="dxa"/>
          </w:tcPr>
          <w:p w14:paraId="5967D7E9"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840" w:type="dxa"/>
            <w:gridSpan w:val="2"/>
          </w:tcPr>
          <w:p w14:paraId="7FD2F416"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ypersensitivity to the </w:t>
            </w:r>
            <w:r>
              <w:rPr>
                <w:rFonts w:eastAsiaTheme="minorHAnsi" w:cs="Times New Roman"/>
                <w:kern w:val="0"/>
                <w:szCs w:val="24"/>
                <w:lang w:val="en-US" w:eastAsia="en-US"/>
              </w:rPr>
              <w:t>drug, c</w:t>
            </w:r>
            <w:r w:rsidRPr="00F10C37">
              <w:rPr>
                <w:rFonts w:eastAsiaTheme="minorHAnsi" w:cs="Times New Roman"/>
                <w:kern w:val="0"/>
                <w:szCs w:val="24"/>
                <w:lang w:val="en-US" w:eastAsia="en-US"/>
              </w:rPr>
              <w:t>oncomitant use with ACEI</w:t>
            </w:r>
            <w:r>
              <w:rPr>
                <w:rFonts w:eastAsiaTheme="minorHAnsi" w:cs="Times New Roman"/>
                <w:kern w:val="0"/>
                <w:szCs w:val="24"/>
                <w:lang w:val="en-US" w:eastAsia="en-US"/>
              </w:rPr>
              <w:t>s</w:t>
            </w:r>
            <w:r w:rsidRPr="00F10C37">
              <w:rPr>
                <w:rFonts w:eastAsiaTheme="minorHAnsi" w:cs="Times New Roman"/>
                <w:kern w:val="0"/>
                <w:szCs w:val="24"/>
                <w:lang w:val="en-US" w:eastAsia="en-US"/>
              </w:rPr>
              <w:t xml:space="preserve"> and </w:t>
            </w:r>
            <w:r>
              <w:rPr>
                <w:rFonts w:eastAsiaTheme="minorHAnsi" w:cs="Times New Roman"/>
                <w:kern w:val="0"/>
                <w:szCs w:val="24"/>
                <w:lang w:val="en-US" w:eastAsia="en-US"/>
              </w:rPr>
              <w:t>ARBs</w:t>
            </w:r>
            <w:r w:rsidRPr="00F10C37">
              <w:rPr>
                <w:rFonts w:eastAsiaTheme="minorHAnsi" w:cs="Times New Roman"/>
                <w:kern w:val="0"/>
                <w:szCs w:val="24"/>
                <w:lang w:val="en-US" w:eastAsia="en-US"/>
              </w:rPr>
              <w:t xml:space="preserve">, </w:t>
            </w:r>
            <w:r>
              <w:rPr>
                <w:rFonts w:eastAsiaTheme="minorHAnsi" w:cs="Times New Roman"/>
                <w:kern w:val="0"/>
                <w:szCs w:val="24"/>
                <w:lang w:val="en-US" w:eastAsia="en-US"/>
              </w:rPr>
              <w:t>SBP</w:t>
            </w:r>
            <w:r w:rsidRPr="00F10C37">
              <w:rPr>
                <w:rFonts w:eastAsiaTheme="minorHAnsi" w:cs="Times New Roman"/>
                <w:kern w:val="0"/>
                <w:szCs w:val="24"/>
                <w:lang w:val="en-US" w:eastAsia="en-US"/>
              </w:rPr>
              <w:t xml:space="preserve"> less than 100 mmHg, serum potassium level &gt;5.4 mmol/L, hereditary angioedema, severe hepatic impairment, biliary cirrhosis and cholestasis, pregnancy and breastfeeding.</w:t>
            </w:r>
          </w:p>
        </w:tc>
      </w:tr>
      <w:tr w:rsidR="0053763D" w:rsidRPr="00F10C37" w14:paraId="2DF56B4D" w14:textId="77777777" w:rsidTr="00C46407">
        <w:tc>
          <w:tcPr>
            <w:tcW w:w="2425" w:type="dxa"/>
          </w:tcPr>
          <w:p w14:paraId="008C513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221580A8" w14:textId="77777777" w:rsidR="0053763D" w:rsidRPr="00F10C37" w:rsidRDefault="0053763D" w:rsidP="00C46407">
            <w:pPr>
              <w:jc w:val="both"/>
              <w:rPr>
                <w:rFonts w:cs="Times New Roman"/>
                <w:szCs w:val="24"/>
              </w:rPr>
            </w:pPr>
            <w:r w:rsidRPr="00F10C37">
              <w:rPr>
                <w:rFonts w:cs="Times New Roman"/>
                <w:szCs w:val="24"/>
              </w:rPr>
              <w:t xml:space="preserve">ACEIs, ARB, statins, </w:t>
            </w:r>
            <w:r>
              <w:rPr>
                <w:rFonts w:cs="Times New Roman"/>
                <w:szCs w:val="24"/>
              </w:rPr>
              <w:t>p</w:t>
            </w:r>
            <w:r w:rsidRPr="00F10C37">
              <w:rPr>
                <w:rFonts w:cs="Times New Roman"/>
                <w:szCs w:val="24"/>
              </w:rPr>
              <w:t>hosphodiesterase 5 inhibitors, potassium sparing diuretics, potassium supplements, NSAIDs, selective COX2 inhibitors, lithium, rifampicin, cyclosporine.</w:t>
            </w:r>
          </w:p>
        </w:tc>
      </w:tr>
      <w:tr w:rsidR="0053763D" w:rsidRPr="00F10C37" w14:paraId="0CA94998" w14:textId="77777777" w:rsidTr="00C46407">
        <w:tc>
          <w:tcPr>
            <w:tcW w:w="2425" w:type="dxa"/>
          </w:tcPr>
          <w:p w14:paraId="3B2225C7"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2810195A" w14:textId="77777777" w:rsidR="0053763D" w:rsidRPr="00F10C37" w:rsidRDefault="0053763D" w:rsidP="00C46407">
            <w:pPr>
              <w:contextualSpacing/>
              <w:jc w:val="both"/>
              <w:rPr>
                <w:rFonts w:cs="Times New Roman"/>
                <w:szCs w:val="24"/>
              </w:rPr>
            </w:pPr>
            <w:r w:rsidRPr="00F10C37">
              <w:rPr>
                <w:rFonts w:cs="Times New Roman"/>
                <w:szCs w:val="24"/>
              </w:rPr>
              <w:t>Anaemia, asthenia, cough, diarrhoea, dizziness, electrolyte imbalance, gastritis, headache, hypoglycaemia, hypotension, nausea, renal impairment, syncope, vertigo, angioedema, skin rash</w:t>
            </w:r>
          </w:p>
        </w:tc>
      </w:tr>
      <w:tr w:rsidR="0053763D" w:rsidRPr="00F10C37" w14:paraId="2960716D" w14:textId="77777777" w:rsidTr="00C46407">
        <w:tc>
          <w:tcPr>
            <w:tcW w:w="2425" w:type="dxa"/>
          </w:tcPr>
          <w:p w14:paraId="55791306"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20DBBFF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Renal artery stenosis, stage IV CHF, psychiatric events such as hallucinations, paranoia and sleep disorders, </w:t>
            </w:r>
            <w:r w:rsidRPr="00F10C37">
              <w:rPr>
                <w:rFonts w:cs="Times New Roman"/>
                <w:szCs w:val="24"/>
              </w:rPr>
              <w:t xml:space="preserve">hepatic impairment, renal impairment </w:t>
            </w:r>
          </w:p>
        </w:tc>
      </w:tr>
      <w:tr w:rsidR="0053763D" w:rsidRPr="00F10C37" w14:paraId="4E32D2BB" w14:textId="77777777" w:rsidTr="00C46407">
        <w:tc>
          <w:tcPr>
            <w:tcW w:w="2425" w:type="dxa"/>
          </w:tcPr>
          <w:p w14:paraId="73EC1E6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4456BA38"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 xml:space="preserve">tore </w:t>
            </w:r>
            <w:r>
              <w:rPr>
                <w:rFonts w:cs="Times New Roman"/>
                <w:szCs w:val="24"/>
              </w:rPr>
              <w:t>below</w:t>
            </w:r>
            <w:r w:rsidRPr="00F10C37">
              <w:rPr>
                <w:rFonts w:cs="Times New Roman"/>
                <w:szCs w:val="24"/>
              </w:rPr>
              <w:t xml:space="preserve"> 30°C</w:t>
            </w:r>
            <w:r>
              <w:rPr>
                <w:rFonts w:cs="Times New Roman"/>
                <w:szCs w:val="24"/>
              </w:rPr>
              <w:t>. P</w:t>
            </w:r>
            <w:r w:rsidRPr="00F10C37">
              <w:rPr>
                <w:rFonts w:cs="Times New Roman"/>
                <w:szCs w:val="24"/>
              </w:rPr>
              <w:t>rotect from moisture.</w:t>
            </w:r>
          </w:p>
        </w:tc>
      </w:tr>
    </w:tbl>
    <w:tbl>
      <w:tblPr>
        <w:tblStyle w:val="TableGrid"/>
        <w:tblW w:w="9265" w:type="dxa"/>
        <w:tblLook w:val="04A0" w:firstRow="1" w:lastRow="0" w:firstColumn="1" w:lastColumn="0" w:noHBand="0" w:noVBand="1"/>
      </w:tblPr>
      <w:tblGrid>
        <w:gridCol w:w="2515"/>
        <w:gridCol w:w="6750"/>
      </w:tblGrid>
      <w:tr w:rsidR="0053763D" w:rsidRPr="00F10C37" w14:paraId="22D7C510" w14:textId="77777777" w:rsidTr="00C46407">
        <w:tc>
          <w:tcPr>
            <w:tcW w:w="9265" w:type="dxa"/>
            <w:gridSpan w:val="2"/>
          </w:tcPr>
          <w:p w14:paraId="0ECB285A" w14:textId="77777777" w:rsidR="0053763D" w:rsidRPr="00F10C37" w:rsidRDefault="0053763D" w:rsidP="00C46407">
            <w:pPr>
              <w:jc w:val="both"/>
              <w:rPr>
                <w:rFonts w:cs="Times New Roman"/>
                <w:szCs w:val="24"/>
              </w:rPr>
            </w:pPr>
            <w:r w:rsidRPr="00F10C37">
              <w:rPr>
                <w:rFonts w:cs="Times New Roman"/>
                <w:b/>
                <w:szCs w:val="24"/>
              </w:rPr>
              <w:t>Spironolactone</w:t>
            </w:r>
          </w:p>
        </w:tc>
      </w:tr>
      <w:tr w:rsidR="0053763D" w:rsidRPr="00F10C37" w14:paraId="1FD01756" w14:textId="77777777" w:rsidTr="00C46407">
        <w:tc>
          <w:tcPr>
            <w:tcW w:w="2515" w:type="dxa"/>
          </w:tcPr>
          <w:p w14:paraId="4AAFAB69" w14:textId="77777777" w:rsidR="0053763D" w:rsidRPr="00F10C37" w:rsidRDefault="0053763D" w:rsidP="00C46407">
            <w:pPr>
              <w:jc w:val="both"/>
              <w:rPr>
                <w:rFonts w:cs="Times New Roman"/>
                <w:szCs w:val="24"/>
              </w:rPr>
            </w:pPr>
            <w:r w:rsidRPr="00F10C37">
              <w:rPr>
                <w:rFonts w:cs="Times New Roman"/>
                <w:szCs w:val="24"/>
              </w:rPr>
              <w:lastRenderedPageBreak/>
              <w:t>Pharmacological class</w:t>
            </w:r>
          </w:p>
        </w:tc>
        <w:tc>
          <w:tcPr>
            <w:tcW w:w="6750" w:type="dxa"/>
          </w:tcPr>
          <w:p w14:paraId="504FC89D" w14:textId="77777777" w:rsidR="0053763D" w:rsidRPr="00F10C37" w:rsidRDefault="0053763D" w:rsidP="00C46407">
            <w:pPr>
              <w:jc w:val="both"/>
              <w:rPr>
                <w:rFonts w:cs="Times New Roman"/>
                <w:szCs w:val="24"/>
              </w:rPr>
            </w:pPr>
            <w:r w:rsidRPr="00F10C37">
              <w:rPr>
                <w:rFonts w:cs="Times New Roman"/>
                <w:szCs w:val="24"/>
              </w:rPr>
              <w:t xml:space="preserve">Potassium sparing diuretic, aldosterone antagonist </w:t>
            </w:r>
          </w:p>
        </w:tc>
      </w:tr>
      <w:tr w:rsidR="0053763D" w:rsidRPr="00F10C37" w14:paraId="58000BCA" w14:textId="77777777" w:rsidTr="00C46407">
        <w:tc>
          <w:tcPr>
            <w:tcW w:w="2515" w:type="dxa"/>
          </w:tcPr>
          <w:p w14:paraId="0D1C1217" w14:textId="77777777" w:rsidR="0053763D" w:rsidRPr="00F10C37" w:rsidRDefault="0053763D" w:rsidP="00C46407">
            <w:pPr>
              <w:jc w:val="both"/>
              <w:rPr>
                <w:rFonts w:cs="Times New Roman"/>
                <w:szCs w:val="24"/>
              </w:rPr>
            </w:pPr>
            <w:r w:rsidRPr="00F10C37">
              <w:rPr>
                <w:rFonts w:cs="Times New Roman"/>
                <w:szCs w:val="24"/>
              </w:rPr>
              <w:t>Dosage form</w:t>
            </w:r>
          </w:p>
        </w:tc>
        <w:tc>
          <w:tcPr>
            <w:tcW w:w="6750" w:type="dxa"/>
          </w:tcPr>
          <w:p w14:paraId="08EEB9A7" w14:textId="77777777" w:rsidR="0053763D" w:rsidRPr="00232DB8" w:rsidRDefault="0053763D" w:rsidP="00C46407">
            <w:pPr>
              <w:jc w:val="both"/>
              <w:rPr>
                <w:rFonts w:cs="Times New Roman"/>
                <w:szCs w:val="24"/>
                <w:lang w:val="nb-NO"/>
              </w:rPr>
            </w:pPr>
            <w:r w:rsidRPr="003D3E3A">
              <w:rPr>
                <w:rFonts w:cs="Times New Roman"/>
                <w:szCs w:val="24"/>
                <w:lang w:val="nb-NO"/>
              </w:rPr>
              <w:t>Tablet</w:t>
            </w:r>
            <w:r w:rsidRPr="00232DB8">
              <w:rPr>
                <w:rFonts w:cs="Times New Roman"/>
                <w:szCs w:val="24"/>
                <w:lang w:val="nb-NO"/>
              </w:rPr>
              <w:t>: 25mg</w:t>
            </w:r>
          </w:p>
          <w:p w14:paraId="4954DF1C" w14:textId="77777777" w:rsidR="0053763D" w:rsidRPr="00F10C37" w:rsidRDefault="0053763D" w:rsidP="00C46407">
            <w:pPr>
              <w:jc w:val="both"/>
              <w:rPr>
                <w:rFonts w:cs="Times New Roman"/>
                <w:szCs w:val="24"/>
                <w:lang w:val="nb-NO"/>
              </w:rPr>
            </w:pPr>
            <w:r w:rsidRPr="003D3E3A">
              <w:rPr>
                <w:rFonts w:cs="Times New Roman"/>
                <w:szCs w:val="24"/>
                <w:lang w:val="nb-NO"/>
              </w:rPr>
              <w:t>Oral liquid</w:t>
            </w:r>
            <w:r w:rsidRPr="00F10C37">
              <w:rPr>
                <w:rFonts w:cs="Times New Roman"/>
                <w:szCs w:val="24"/>
                <w:lang w:val="nb-NO"/>
              </w:rPr>
              <w:t>: 5mg/5</w:t>
            </w:r>
            <w:r>
              <w:rPr>
                <w:rFonts w:cs="Times New Roman"/>
                <w:szCs w:val="24"/>
                <w:lang w:val="nb-NO"/>
              </w:rPr>
              <w:t>ml, 1</w:t>
            </w:r>
            <w:r w:rsidRPr="00F10C37">
              <w:rPr>
                <w:rFonts w:cs="Times New Roman"/>
                <w:szCs w:val="24"/>
                <w:lang w:val="nb-NO"/>
              </w:rPr>
              <w:t>0mg/5</w:t>
            </w:r>
            <w:r>
              <w:rPr>
                <w:rFonts w:cs="Times New Roman"/>
                <w:szCs w:val="24"/>
                <w:lang w:val="nb-NO"/>
              </w:rPr>
              <w:t>ml,</w:t>
            </w:r>
            <w:r w:rsidRPr="00F10C37">
              <w:rPr>
                <w:rFonts w:cs="Times New Roman"/>
                <w:szCs w:val="24"/>
                <w:lang w:val="nb-NO"/>
              </w:rPr>
              <w:t xml:space="preserve"> 25mg/5</w:t>
            </w:r>
            <w:r>
              <w:rPr>
                <w:rFonts w:cs="Times New Roman"/>
                <w:szCs w:val="24"/>
                <w:lang w:val="nb-NO"/>
              </w:rPr>
              <w:t>ml</w:t>
            </w:r>
          </w:p>
        </w:tc>
      </w:tr>
      <w:tr w:rsidR="0053763D" w:rsidRPr="00F10C37" w14:paraId="0F8F65F1" w14:textId="77777777" w:rsidTr="00C46407">
        <w:tc>
          <w:tcPr>
            <w:tcW w:w="2515" w:type="dxa"/>
          </w:tcPr>
          <w:p w14:paraId="14D11D53" w14:textId="77777777" w:rsidR="0053763D" w:rsidRPr="00232DB8" w:rsidRDefault="0053763D" w:rsidP="00C46407">
            <w:pPr>
              <w:jc w:val="both"/>
              <w:rPr>
                <w:rFonts w:cs="Times New Roman"/>
                <w:szCs w:val="24"/>
              </w:rPr>
            </w:pPr>
            <w:r w:rsidRPr="00232DB8">
              <w:rPr>
                <w:rFonts w:cs="Times New Roman"/>
                <w:szCs w:val="24"/>
              </w:rPr>
              <w:t>Indications</w:t>
            </w:r>
          </w:p>
        </w:tc>
        <w:tc>
          <w:tcPr>
            <w:tcW w:w="6750" w:type="dxa"/>
          </w:tcPr>
          <w:p w14:paraId="355EC3EF" w14:textId="77777777" w:rsidR="0053763D" w:rsidRPr="00F10C37" w:rsidRDefault="0053763D" w:rsidP="00C46407">
            <w:pPr>
              <w:jc w:val="both"/>
              <w:rPr>
                <w:rFonts w:cs="Times New Roman"/>
                <w:szCs w:val="24"/>
              </w:rPr>
            </w:pPr>
            <w:r w:rsidRPr="00F10C37">
              <w:rPr>
                <w:rFonts w:cs="Times New Roman"/>
                <w:szCs w:val="24"/>
              </w:rPr>
              <w:t>Edema and ascites in cirrhosis of the liver, malignant ascites, nephrotic syndrome, moderate to severe heart failure (adjunct), resistant hypertension (adjunct), and primary hyperaldosteronism in patients awaiting surgery.</w:t>
            </w:r>
          </w:p>
        </w:tc>
      </w:tr>
      <w:tr w:rsidR="0053763D" w:rsidRPr="00F10C37" w14:paraId="7C1158CD" w14:textId="77777777" w:rsidTr="00C46407">
        <w:tc>
          <w:tcPr>
            <w:tcW w:w="2515" w:type="dxa"/>
          </w:tcPr>
          <w:p w14:paraId="0B469849" w14:textId="77777777" w:rsidR="0053763D" w:rsidRPr="00F10C37" w:rsidRDefault="0053763D" w:rsidP="00C46407">
            <w:pPr>
              <w:rPr>
                <w:rFonts w:cs="Times New Roman"/>
                <w:szCs w:val="24"/>
              </w:rPr>
            </w:pPr>
            <w:r w:rsidRPr="00F10C37">
              <w:rPr>
                <w:rFonts w:eastAsia="Times New Roman" w:cs="Times New Roman"/>
                <w:szCs w:val="24"/>
              </w:rPr>
              <w:t>Dose</w:t>
            </w:r>
            <w:r>
              <w:rPr>
                <w:rFonts w:eastAsia="Times New Roman" w:cs="Times New Roman"/>
                <w:szCs w:val="24"/>
              </w:rPr>
              <w:t xml:space="preserve"> </w:t>
            </w:r>
            <w:r w:rsidRPr="00F10C37">
              <w:rPr>
                <w:rFonts w:eastAsia="Times New Roman" w:cs="Times New Roman"/>
                <w:szCs w:val="24"/>
              </w:rPr>
              <w:t>and administration</w:t>
            </w:r>
            <w:r>
              <w:rPr>
                <w:rFonts w:eastAsia="Times New Roman" w:cs="Times New Roman"/>
                <w:szCs w:val="24"/>
              </w:rPr>
              <w:t xml:space="preserve"> </w:t>
            </w:r>
          </w:p>
        </w:tc>
        <w:tc>
          <w:tcPr>
            <w:tcW w:w="6750" w:type="dxa"/>
          </w:tcPr>
          <w:p w14:paraId="2E4CD1CE" w14:textId="77777777" w:rsidR="0053763D"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Edema in congestive heart failure:</w:t>
            </w:r>
            <w:r w:rsidRPr="00F10C37">
              <w:rPr>
                <w:rFonts w:eastAsiaTheme="minorHAnsi" w:cs="Times New Roman"/>
                <w:color w:val="231F20"/>
                <w:kern w:val="0"/>
                <w:szCs w:val="24"/>
                <w:lang w:val="en-US" w:eastAsia="en-US"/>
              </w:rPr>
              <w:t xml:space="preserve"> </w:t>
            </w:r>
          </w:p>
          <w:p w14:paraId="5419A8E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9D005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100 mg daily, alternatively initially 25–200 mg daily, dose may be taken as a single dose or divided doses, maintenance dose adjusted according to response</w:t>
            </w:r>
          </w:p>
          <w:p w14:paraId="777149F5"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Moderate to severe heart failure (adjunct): </w:t>
            </w:r>
          </w:p>
          <w:p w14:paraId="502F2401"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9D005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25 mg once daily, then adjusted according to response to 50 mg once daily</w:t>
            </w:r>
          </w:p>
          <w:p w14:paraId="3B8518B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9D0057">
              <w:rPr>
                <w:rFonts w:eastAsiaTheme="minorHAnsi" w:cs="Times New Roman"/>
                <w:i/>
                <w:kern w:val="0"/>
                <w:szCs w:val="24"/>
                <w:lang w:val="en-US" w:eastAsia="en-US"/>
              </w:rPr>
              <w:t>Note:</w:t>
            </w:r>
            <w:r w:rsidRPr="00F10C37">
              <w:rPr>
                <w:rFonts w:eastAsiaTheme="minorHAnsi" w:cs="Times New Roman"/>
                <w:b/>
                <w:kern w:val="0"/>
                <w:szCs w:val="24"/>
                <w:lang w:val="en-US" w:eastAsia="en-US"/>
              </w:rPr>
              <w:t xml:space="preserve"> </w:t>
            </w:r>
            <w:r>
              <w:rPr>
                <w:rFonts w:eastAsiaTheme="minorHAnsi" w:cs="Times New Roman"/>
                <w:i/>
                <w:kern w:val="0"/>
                <w:szCs w:val="24"/>
                <w:lang w:val="en-US" w:eastAsia="en-US"/>
              </w:rPr>
              <w:t>r</w:t>
            </w:r>
            <w:r w:rsidRPr="003D3E3A">
              <w:rPr>
                <w:rFonts w:eastAsiaTheme="minorHAnsi" w:cs="Times New Roman"/>
                <w:i/>
                <w:kern w:val="0"/>
                <w:szCs w:val="24"/>
                <w:lang w:val="en-US" w:eastAsia="en-US"/>
              </w:rPr>
              <w:t>efer dosing for others under respective sections.</w:t>
            </w:r>
          </w:p>
        </w:tc>
      </w:tr>
      <w:tr w:rsidR="0053763D" w:rsidRPr="00F10C37" w14:paraId="51501329" w14:textId="77777777" w:rsidTr="00C46407">
        <w:tc>
          <w:tcPr>
            <w:tcW w:w="2515" w:type="dxa"/>
          </w:tcPr>
          <w:p w14:paraId="40889F24"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750" w:type="dxa"/>
          </w:tcPr>
          <w:p w14:paraId="544E0CDB" w14:textId="77777777" w:rsidR="0053763D" w:rsidRPr="00F10C37" w:rsidRDefault="0053763D" w:rsidP="00C46407">
            <w:pPr>
              <w:jc w:val="both"/>
              <w:rPr>
                <w:rFonts w:cs="Times New Roman"/>
                <w:szCs w:val="24"/>
              </w:rPr>
            </w:pPr>
            <w:r w:rsidRPr="00F10C37">
              <w:rPr>
                <w:rFonts w:cs="Times New Roman"/>
                <w:szCs w:val="24"/>
              </w:rPr>
              <w:t>Addison’s disease</w:t>
            </w:r>
            <w:r>
              <w:rPr>
                <w:rFonts w:cs="Times New Roman"/>
                <w:szCs w:val="24"/>
              </w:rPr>
              <w:t>, a</w:t>
            </w:r>
            <w:r w:rsidRPr="00F10C37">
              <w:rPr>
                <w:rFonts w:cs="Times New Roman"/>
                <w:szCs w:val="24"/>
              </w:rPr>
              <w:t>nuria, hyperkalemia, hyponatremia</w:t>
            </w:r>
            <w:r>
              <w:rPr>
                <w:rFonts w:cs="Times New Roman"/>
                <w:szCs w:val="24"/>
              </w:rPr>
              <w:t>.</w:t>
            </w:r>
          </w:p>
        </w:tc>
      </w:tr>
      <w:tr w:rsidR="0053763D" w:rsidRPr="00F10C37" w14:paraId="5964406D" w14:textId="77777777" w:rsidTr="00C46407">
        <w:tc>
          <w:tcPr>
            <w:tcW w:w="2515" w:type="dxa"/>
          </w:tcPr>
          <w:p w14:paraId="07FBF16D"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750" w:type="dxa"/>
          </w:tcPr>
          <w:p w14:paraId="67699ACB" w14:textId="77777777" w:rsidR="0053763D" w:rsidRPr="00F10C37" w:rsidRDefault="0053763D" w:rsidP="00C46407">
            <w:pPr>
              <w:jc w:val="both"/>
              <w:rPr>
                <w:rFonts w:cs="Times New Roman"/>
                <w:szCs w:val="24"/>
              </w:rPr>
            </w:pPr>
            <w:r w:rsidRPr="00F10C37">
              <w:rPr>
                <w:rFonts w:cs="Times New Roman"/>
                <w:szCs w:val="24"/>
              </w:rPr>
              <w:t xml:space="preserve">Amiodarone, </w:t>
            </w:r>
            <w:r>
              <w:rPr>
                <w:rFonts w:cs="Times New Roman"/>
                <w:szCs w:val="24"/>
              </w:rPr>
              <w:t>p</w:t>
            </w:r>
            <w:r w:rsidRPr="00F10C37">
              <w:rPr>
                <w:rFonts w:cs="Times New Roman"/>
                <w:szCs w:val="24"/>
              </w:rPr>
              <w:t xml:space="preserve">henytoin, </w:t>
            </w:r>
            <w:r>
              <w:rPr>
                <w:rFonts w:cs="Times New Roman"/>
                <w:szCs w:val="24"/>
              </w:rPr>
              <w:t>p</w:t>
            </w:r>
            <w:r w:rsidRPr="00F10C37">
              <w:rPr>
                <w:rFonts w:cs="Times New Roman"/>
                <w:szCs w:val="24"/>
              </w:rPr>
              <w:t xml:space="preserve">henobarbitone, </w:t>
            </w:r>
            <w:r>
              <w:rPr>
                <w:rFonts w:cs="Times New Roman"/>
                <w:szCs w:val="24"/>
              </w:rPr>
              <w:t>c</w:t>
            </w:r>
            <w:r w:rsidRPr="00F10C37">
              <w:rPr>
                <w:rFonts w:cs="Times New Roman"/>
                <w:szCs w:val="24"/>
              </w:rPr>
              <w:t xml:space="preserve">arbamazepine, </w:t>
            </w:r>
            <w:r>
              <w:rPr>
                <w:rFonts w:cs="Times New Roman"/>
                <w:szCs w:val="24"/>
              </w:rPr>
              <w:t>l</w:t>
            </w:r>
            <w:r w:rsidRPr="00F10C37">
              <w:rPr>
                <w:rFonts w:cs="Times New Roman"/>
                <w:szCs w:val="24"/>
              </w:rPr>
              <w:t xml:space="preserve">ithium, ACE inhibitors, ARBs, other potassium sparing diuretics, potassium supplementation. </w:t>
            </w:r>
          </w:p>
        </w:tc>
      </w:tr>
      <w:tr w:rsidR="0053763D" w:rsidRPr="00F10C37" w14:paraId="3E5E7988" w14:textId="77777777" w:rsidTr="00C46407">
        <w:tc>
          <w:tcPr>
            <w:tcW w:w="2515" w:type="dxa"/>
          </w:tcPr>
          <w:p w14:paraId="760877E7" w14:textId="77777777" w:rsidR="0053763D" w:rsidRPr="00F10C37" w:rsidRDefault="0053763D" w:rsidP="00C46407">
            <w:pPr>
              <w:jc w:val="both"/>
              <w:rPr>
                <w:rFonts w:cs="Times New Roman"/>
                <w:szCs w:val="24"/>
              </w:rPr>
            </w:pPr>
            <w:r w:rsidRPr="00F10C37">
              <w:rPr>
                <w:rFonts w:cs="Times New Roman"/>
                <w:szCs w:val="24"/>
              </w:rPr>
              <w:t>Side effects</w:t>
            </w:r>
          </w:p>
        </w:tc>
        <w:tc>
          <w:tcPr>
            <w:tcW w:w="6750" w:type="dxa"/>
          </w:tcPr>
          <w:p w14:paraId="3DECBEB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Gastro-intestinal disturbances, impotence, gynecomastia, menstrual irregularities, lethargy, headache, confusion; rashes, hyperkalemia, hyponatremia, hepatotoxicity, osteomalacia, and thrombocytopenia, a</w:t>
            </w:r>
            <w:r w:rsidRPr="00F10C37">
              <w:rPr>
                <w:rFonts w:eastAsiaTheme="minorHAnsi" w:cs="Times New Roman"/>
                <w:color w:val="231F20"/>
                <w:kern w:val="0"/>
                <w:szCs w:val="24"/>
                <w:lang w:val="en-US" w:eastAsia="en-US"/>
              </w:rPr>
              <w:t>cidosis hyperchloraemic, acute kidney injury, agranulocytosis, alopecia, breast neoplasm benign, breast pain, dizziness, hypertrichosis, leg cramps, leucopenia and libido.</w:t>
            </w:r>
          </w:p>
        </w:tc>
      </w:tr>
      <w:tr w:rsidR="0053763D" w:rsidRPr="00F10C37" w14:paraId="7B913852" w14:textId="77777777" w:rsidTr="00C46407">
        <w:tc>
          <w:tcPr>
            <w:tcW w:w="2515" w:type="dxa"/>
          </w:tcPr>
          <w:p w14:paraId="49692F92"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750" w:type="dxa"/>
          </w:tcPr>
          <w:p w14:paraId="6352D3B8"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Elderly, porphyria, diabetes mellitus, renal impairment, hepatic impairment, pregnancy and breastfeeding.</w:t>
            </w:r>
          </w:p>
        </w:tc>
      </w:tr>
      <w:tr w:rsidR="0053763D" w:rsidRPr="00F10C37" w14:paraId="5168690A" w14:textId="77777777" w:rsidTr="00C46407">
        <w:tc>
          <w:tcPr>
            <w:tcW w:w="2515" w:type="dxa"/>
          </w:tcPr>
          <w:p w14:paraId="0D2A930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750" w:type="dxa"/>
          </w:tcPr>
          <w:p w14:paraId="355678E3" w14:textId="77777777" w:rsidR="0053763D" w:rsidRPr="00F10C37" w:rsidRDefault="0053763D" w:rsidP="00C46407">
            <w:pPr>
              <w:jc w:val="both"/>
              <w:rPr>
                <w:rFonts w:cs="Times New Roman"/>
                <w:szCs w:val="24"/>
              </w:rPr>
            </w:pPr>
            <w:r w:rsidRPr="00F10C37">
              <w:rPr>
                <w:rFonts w:cs="Times New Roman"/>
                <w:szCs w:val="24"/>
              </w:rPr>
              <w:t>Store between 15 and 30ºC.</w:t>
            </w:r>
            <w:r>
              <w:rPr>
                <w:rFonts w:cs="Times New Roman"/>
                <w:szCs w:val="24"/>
              </w:rPr>
              <w:t xml:space="preserve"> </w:t>
            </w:r>
            <w:r w:rsidRPr="00F10C37">
              <w:rPr>
                <w:rFonts w:cs="Times New Roman"/>
                <w:szCs w:val="24"/>
              </w:rPr>
              <w:t>Protect from light.</w:t>
            </w:r>
          </w:p>
        </w:tc>
      </w:tr>
    </w:tbl>
    <w:tbl>
      <w:tblPr>
        <w:tblStyle w:val="TableGrid10"/>
        <w:tblW w:w="9265" w:type="dxa"/>
        <w:tblLook w:val="04A0" w:firstRow="1" w:lastRow="0" w:firstColumn="1" w:lastColumn="0" w:noHBand="0" w:noVBand="1"/>
      </w:tblPr>
      <w:tblGrid>
        <w:gridCol w:w="2875"/>
        <w:gridCol w:w="6390"/>
      </w:tblGrid>
      <w:tr w:rsidR="0053763D" w:rsidRPr="00F10C37" w14:paraId="6BB3CF77" w14:textId="77777777" w:rsidTr="00C46407">
        <w:trPr>
          <w:trHeight w:val="512"/>
        </w:trPr>
        <w:tc>
          <w:tcPr>
            <w:tcW w:w="9265" w:type="dxa"/>
            <w:gridSpan w:val="2"/>
          </w:tcPr>
          <w:p w14:paraId="2D9296E6" w14:textId="77777777" w:rsidR="0053763D" w:rsidRPr="00F10C37" w:rsidRDefault="0053763D" w:rsidP="00C46407">
            <w:pPr>
              <w:jc w:val="both"/>
              <w:rPr>
                <w:rFonts w:cs="Times New Roman"/>
                <w:szCs w:val="24"/>
              </w:rPr>
            </w:pPr>
            <w:r w:rsidRPr="00F10C37">
              <w:rPr>
                <w:rFonts w:cs="Times New Roman"/>
                <w:b/>
                <w:szCs w:val="24"/>
              </w:rPr>
              <w:t xml:space="preserve">Valsartan </w:t>
            </w:r>
          </w:p>
        </w:tc>
      </w:tr>
      <w:tr w:rsidR="0053763D" w:rsidRPr="00F10C37" w14:paraId="1A4560B9" w14:textId="77777777" w:rsidTr="00C46407">
        <w:trPr>
          <w:trHeight w:val="512"/>
        </w:trPr>
        <w:tc>
          <w:tcPr>
            <w:tcW w:w="2875" w:type="dxa"/>
          </w:tcPr>
          <w:p w14:paraId="6C2B073B"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390" w:type="dxa"/>
          </w:tcPr>
          <w:p w14:paraId="49C15E24"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Angiotensin-II receptor antagonist</w:t>
            </w:r>
          </w:p>
        </w:tc>
      </w:tr>
      <w:tr w:rsidR="0053763D" w:rsidRPr="00F10C37" w14:paraId="095F40EA" w14:textId="77777777" w:rsidTr="00C46407">
        <w:trPr>
          <w:trHeight w:val="395"/>
        </w:trPr>
        <w:tc>
          <w:tcPr>
            <w:tcW w:w="2875" w:type="dxa"/>
          </w:tcPr>
          <w:p w14:paraId="729C6448" w14:textId="77777777" w:rsidR="0053763D" w:rsidRPr="00F10C37" w:rsidRDefault="0053763D" w:rsidP="00C46407">
            <w:pPr>
              <w:jc w:val="both"/>
              <w:rPr>
                <w:rFonts w:cs="Times New Roman"/>
                <w:szCs w:val="24"/>
              </w:rPr>
            </w:pPr>
            <w:r w:rsidRPr="00F10C37">
              <w:rPr>
                <w:rFonts w:cs="Times New Roman"/>
                <w:szCs w:val="24"/>
              </w:rPr>
              <w:lastRenderedPageBreak/>
              <w:t>Dosage form</w:t>
            </w:r>
          </w:p>
        </w:tc>
        <w:tc>
          <w:tcPr>
            <w:tcW w:w="6390" w:type="dxa"/>
          </w:tcPr>
          <w:p w14:paraId="74C01E81" w14:textId="77777777" w:rsidR="0053763D" w:rsidRPr="00F10C37" w:rsidRDefault="0053763D" w:rsidP="00C46407">
            <w:pPr>
              <w:jc w:val="both"/>
              <w:rPr>
                <w:rFonts w:cs="Times New Roman"/>
                <w:szCs w:val="24"/>
              </w:rPr>
            </w:pPr>
            <w:r w:rsidRPr="00F10C37">
              <w:rPr>
                <w:rFonts w:cs="Times New Roman"/>
                <w:szCs w:val="24"/>
              </w:rPr>
              <w:t>Tablet: 40 mg, 80mg and 160 mg</w:t>
            </w:r>
          </w:p>
        </w:tc>
      </w:tr>
      <w:tr w:rsidR="0053763D" w:rsidRPr="00F10C37" w14:paraId="55B884A3" w14:textId="77777777" w:rsidTr="00C46407">
        <w:trPr>
          <w:trHeight w:val="521"/>
        </w:trPr>
        <w:tc>
          <w:tcPr>
            <w:tcW w:w="2875" w:type="dxa"/>
          </w:tcPr>
          <w:p w14:paraId="264A02D6" w14:textId="77777777" w:rsidR="0053763D" w:rsidRPr="00A70EDE" w:rsidRDefault="0053763D" w:rsidP="00C46407">
            <w:pPr>
              <w:jc w:val="both"/>
              <w:rPr>
                <w:rFonts w:cs="Times New Roman"/>
                <w:szCs w:val="24"/>
              </w:rPr>
            </w:pPr>
            <w:r w:rsidRPr="00A70EDE">
              <w:rPr>
                <w:rFonts w:cs="Times New Roman"/>
                <w:szCs w:val="24"/>
              </w:rPr>
              <w:t>Indications</w:t>
            </w:r>
          </w:p>
        </w:tc>
        <w:tc>
          <w:tcPr>
            <w:tcW w:w="6390" w:type="dxa"/>
          </w:tcPr>
          <w:p w14:paraId="005B9D91"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eart failure</w:t>
            </w:r>
            <w:r>
              <w:rPr>
                <w:rFonts w:cs="Times New Roman"/>
                <w:szCs w:val="24"/>
              </w:rPr>
              <w:t>,</w:t>
            </w:r>
            <w:r w:rsidRPr="00F10C37">
              <w:rPr>
                <w:rFonts w:cs="Times New Roman"/>
                <w:szCs w:val="24"/>
              </w:rPr>
              <w:t xml:space="preserve"> </w:t>
            </w:r>
            <w:r>
              <w:rPr>
                <w:rFonts w:cs="Times New Roman"/>
                <w:szCs w:val="24"/>
              </w:rPr>
              <w:t>h</w:t>
            </w:r>
            <w:r w:rsidRPr="00F10C37">
              <w:rPr>
                <w:rFonts w:cs="Times New Roman"/>
                <w:szCs w:val="24"/>
              </w:rPr>
              <w:t>ypertension, MI with left ventricular dysfunction</w:t>
            </w:r>
          </w:p>
        </w:tc>
      </w:tr>
      <w:tr w:rsidR="0053763D" w:rsidRPr="00F10C37" w14:paraId="23552AD8" w14:textId="77777777" w:rsidTr="00C46407">
        <w:trPr>
          <w:trHeight w:val="521"/>
        </w:trPr>
        <w:tc>
          <w:tcPr>
            <w:tcW w:w="2875" w:type="dxa"/>
          </w:tcPr>
          <w:p w14:paraId="22C54D91"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390" w:type="dxa"/>
          </w:tcPr>
          <w:p w14:paraId="063D6834" w14:textId="77777777" w:rsidR="0053763D" w:rsidRDefault="0053763D" w:rsidP="00C46407">
            <w:pPr>
              <w:jc w:val="both"/>
              <w:rPr>
                <w:rFonts w:cs="Times New Roman"/>
                <w:b/>
                <w:szCs w:val="24"/>
              </w:rPr>
            </w:pPr>
            <w:r w:rsidRPr="00F10C37">
              <w:rPr>
                <w:rFonts w:cs="Times New Roman"/>
                <w:b/>
                <w:szCs w:val="24"/>
              </w:rPr>
              <w:t xml:space="preserve">Heart failure when ACE inhibitors cannot be used, or in conjunction with an ACE inhibitor when a beta-blocker cannot be used (under expert supervision): </w:t>
            </w:r>
          </w:p>
          <w:p w14:paraId="7CD35307" w14:textId="77777777" w:rsidR="0053763D" w:rsidRPr="00F10C37" w:rsidRDefault="0053763D" w:rsidP="00C46407">
            <w:pPr>
              <w:jc w:val="both"/>
              <w:rPr>
                <w:rFonts w:cs="Times New Roman"/>
                <w:szCs w:val="24"/>
              </w:rPr>
            </w:pPr>
            <w:r w:rsidRPr="009D0057">
              <w:rPr>
                <w:rFonts w:cs="Times New Roman"/>
                <w:szCs w:val="24"/>
              </w:rPr>
              <w:t>Adult:</w:t>
            </w:r>
            <w:r w:rsidRPr="00F10C37">
              <w:rPr>
                <w:rFonts w:cs="Times New Roman"/>
                <w:szCs w:val="24"/>
              </w:rPr>
              <w:t xml:space="preserve"> Initially 40 mg twice daily, increased to 160 mg oral twice daily and increase dose every 2 weeks.</w:t>
            </w:r>
          </w:p>
          <w:p w14:paraId="52251FF7" w14:textId="77777777" w:rsidR="0053763D" w:rsidRDefault="0053763D" w:rsidP="00C46407">
            <w:pPr>
              <w:jc w:val="both"/>
              <w:rPr>
                <w:rFonts w:cs="Times New Roman"/>
                <w:b/>
                <w:szCs w:val="24"/>
              </w:rPr>
            </w:pPr>
            <w:r>
              <w:rPr>
                <w:rFonts w:cs="Times New Roman"/>
                <w:b/>
                <w:szCs w:val="24"/>
              </w:rPr>
              <w:t>MI</w:t>
            </w:r>
            <w:r w:rsidRPr="00F10C37">
              <w:rPr>
                <w:rFonts w:cs="Times New Roman"/>
                <w:b/>
                <w:szCs w:val="24"/>
              </w:rPr>
              <w:t xml:space="preserve"> with left ventricular dysfunction (adjunct): </w:t>
            </w:r>
          </w:p>
          <w:p w14:paraId="75481A46"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20 mg oral twice daily, increased if necessary up to 160 mg twice daily, doses to be increased over several weeks if tolerated. </w:t>
            </w:r>
          </w:p>
          <w:p w14:paraId="6A24DD92" w14:textId="77777777" w:rsidR="0053763D" w:rsidRPr="00F10C37" w:rsidRDefault="0053763D" w:rsidP="00C46407">
            <w:pPr>
              <w:jc w:val="both"/>
              <w:rPr>
                <w:rFonts w:cs="Times New Roman"/>
                <w:b/>
                <w:szCs w:val="24"/>
              </w:rPr>
            </w:pPr>
            <w:r w:rsidRPr="009D0057">
              <w:rPr>
                <w:rFonts w:cs="Times New Roman"/>
                <w:i/>
                <w:szCs w:val="24"/>
              </w:rPr>
              <w:t>Note:</w:t>
            </w:r>
            <w:r w:rsidRPr="00F10C37">
              <w:rPr>
                <w:rFonts w:cs="Times New Roman"/>
                <w:b/>
                <w:szCs w:val="24"/>
              </w:rPr>
              <w:t xml:space="preserve"> </w:t>
            </w:r>
            <w:r w:rsidRPr="003D3E3A">
              <w:rPr>
                <w:rFonts w:cs="Times New Roman"/>
                <w:i/>
                <w:szCs w:val="24"/>
              </w:rPr>
              <w:t>refer dosing for other indications at their respective section.</w:t>
            </w:r>
            <w:r w:rsidRPr="00F10C37">
              <w:rPr>
                <w:rFonts w:cs="Times New Roman"/>
                <w:b/>
                <w:szCs w:val="24"/>
              </w:rPr>
              <w:t xml:space="preserve"> </w:t>
            </w:r>
          </w:p>
        </w:tc>
      </w:tr>
      <w:tr w:rsidR="0053763D" w:rsidRPr="00F10C37" w14:paraId="6354006E" w14:textId="77777777" w:rsidTr="00C46407">
        <w:tc>
          <w:tcPr>
            <w:tcW w:w="2875" w:type="dxa"/>
          </w:tcPr>
          <w:p w14:paraId="15595D2A"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390" w:type="dxa"/>
          </w:tcPr>
          <w:p w14:paraId="2057CCAE" w14:textId="77777777" w:rsidR="0053763D" w:rsidRPr="00F10C37" w:rsidRDefault="0053763D" w:rsidP="00C46407">
            <w:pPr>
              <w:jc w:val="both"/>
              <w:rPr>
                <w:rFonts w:cs="Times New Roman"/>
                <w:szCs w:val="24"/>
              </w:rPr>
            </w:pPr>
            <w:r w:rsidRPr="00F10C37">
              <w:rPr>
                <w:rFonts w:eastAsiaTheme="minorHAnsi" w:cs="Times New Roman"/>
                <w:color w:val="231F20"/>
                <w:kern w:val="0"/>
                <w:szCs w:val="24"/>
                <w:lang w:val="en-US" w:eastAsia="en-US"/>
              </w:rPr>
              <w:t>Biliary cirrhosis, cholestasis</w:t>
            </w:r>
          </w:p>
        </w:tc>
      </w:tr>
      <w:tr w:rsidR="0053763D" w:rsidRPr="00F10C37" w14:paraId="0452898A" w14:textId="77777777" w:rsidTr="00C46407">
        <w:tc>
          <w:tcPr>
            <w:tcW w:w="2875" w:type="dxa"/>
          </w:tcPr>
          <w:p w14:paraId="28A17845"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390" w:type="dxa"/>
          </w:tcPr>
          <w:p w14:paraId="558FAFA7" w14:textId="77777777" w:rsidR="0053763D" w:rsidRPr="00F10C37" w:rsidRDefault="0053763D" w:rsidP="00C46407">
            <w:pPr>
              <w:contextualSpacing/>
              <w:jc w:val="both"/>
              <w:rPr>
                <w:rFonts w:cs="Times New Roman"/>
                <w:szCs w:val="24"/>
              </w:rPr>
            </w:pPr>
            <w:r w:rsidRPr="00F10C37">
              <w:rPr>
                <w:rFonts w:cs="Times New Roman"/>
                <w:szCs w:val="24"/>
              </w:rPr>
              <w:t>ACE inhibitors, drugs that cause hypotension (e.g., tricyclic antidepressants, antipsychotics), lithium, NSAIDs, medicinal products which cause potassium retention (e.g. spironolactone, amiloride).</w:t>
            </w:r>
          </w:p>
        </w:tc>
      </w:tr>
      <w:tr w:rsidR="0053763D" w:rsidRPr="00F10C37" w14:paraId="6BD128D3" w14:textId="77777777" w:rsidTr="00C46407">
        <w:tc>
          <w:tcPr>
            <w:tcW w:w="2875" w:type="dxa"/>
          </w:tcPr>
          <w:p w14:paraId="6D732DE0" w14:textId="77777777" w:rsidR="0053763D" w:rsidRPr="00F10C37" w:rsidRDefault="0053763D" w:rsidP="00C46407">
            <w:pPr>
              <w:jc w:val="both"/>
              <w:rPr>
                <w:rFonts w:cs="Times New Roman"/>
                <w:szCs w:val="24"/>
              </w:rPr>
            </w:pPr>
            <w:r w:rsidRPr="00F10C37">
              <w:rPr>
                <w:rFonts w:cs="Times New Roman"/>
                <w:szCs w:val="24"/>
              </w:rPr>
              <w:t>Side effects</w:t>
            </w:r>
          </w:p>
        </w:tc>
        <w:tc>
          <w:tcPr>
            <w:tcW w:w="6390" w:type="dxa"/>
          </w:tcPr>
          <w:p w14:paraId="76B3D3C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Syncope, hyponatremia, neutropenia, respiratory disorders, serum sickness. </w:t>
            </w:r>
            <w:r>
              <w:rPr>
                <w:rFonts w:eastAsiaTheme="minorHAnsi" w:cs="Times New Roman"/>
                <w:color w:val="231F20"/>
                <w:kern w:val="0"/>
                <w:szCs w:val="24"/>
                <w:lang w:val="en-US" w:eastAsia="en-US"/>
              </w:rPr>
              <w:t>v</w:t>
            </w:r>
            <w:r w:rsidRPr="00F10C37">
              <w:rPr>
                <w:rFonts w:eastAsiaTheme="minorHAnsi" w:cs="Times New Roman"/>
                <w:color w:val="231F20"/>
                <w:kern w:val="0"/>
                <w:szCs w:val="24"/>
                <w:lang w:val="en-US" w:eastAsia="en-US"/>
              </w:rPr>
              <w:t>asculitis</w:t>
            </w:r>
          </w:p>
        </w:tc>
      </w:tr>
      <w:tr w:rsidR="0053763D" w:rsidRPr="00F10C37" w14:paraId="7BAE3750" w14:textId="77777777" w:rsidTr="00C46407">
        <w:trPr>
          <w:trHeight w:val="1610"/>
        </w:trPr>
        <w:tc>
          <w:tcPr>
            <w:tcW w:w="2875" w:type="dxa"/>
          </w:tcPr>
          <w:p w14:paraId="52182043" w14:textId="77777777" w:rsidR="0053763D" w:rsidRPr="00F10C37" w:rsidRDefault="0053763D" w:rsidP="00C46407">
            <w:pPr>
              <w:jc w:val="both"/>
              <w:rPr>
                <w:rFonts w:cs="Times New Roman"/>
                <w:szCs w:val="24"/>
              </w:rPr>
            </w:pPr>
            <w:r w:rsidRPr="00F10C37">
              <w:rPr>
                <w:rFonts w:cs="Times New Roman"/>
                <w:szCs w:val="24"/>
              </w:rPr>
              <w:t>Cautions</w:t>
            </w:r>
          </w:p>
        </w:tc>
        <w:tc>
          <w:tcPr>
            <w:tcW w:w="6390" w:type="dxa"/>
          </w:tcPr>
          <w:p w14:paraId="029A7CB1"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Aortic or mitral valve stenosis, breastfeeding, elderly, hypertrophic cardiomyopathy, patients with a history of angioedema</w:t>
            </w:r>
            <w:r>
              <w:rPr>
                <w:rFonts w:eastAsiaTheme="minorHAnsi" w:cs="Times New Roman"/>
                <w:color w:val="231F20"/>
                <w:kern w:val="0"/>
                <w:szCs w:val="24"/>
                <w:lang w:val="en-US" w:eastAsia="en-US"/>
              </w:rPr>
              <w:t>, p</w:t>
            </w:r>
            <w:r w:rsidRPr="00F10C37">
              <w:rPr>
                <w:rFonts w:eastAsiaTheme="minorHAnsi" w:cs="Times New Roman"/>
                <w:color w:val="231F20"/>
                <w:kern w:val="0"/>
                <w:szCs w:val="24"/>
                <w:lang w:val="en-US" w:eastAsia="en-US"/>
              </w:rPr>
              <w:t xml:space="preserve">atients with primary aldosteronism, renal artery stenosis, </w:t>
            </w:r>
            <w:r w:rsidRPr="00F10C37">
              <w:rPr>
                <w:rFonts w:cs="Times New Roman"/>
                <w:color w:val="231F20"/>
                <w:szCs w:val="24"/>
              </w:rPr>
              <w:t>h</w:t>
            </w:r>
            <w:r w:rsidRPr="00F10C37">
              <w:rPr>
                <w:rFonts w:cs="Times New Roman"/>
                <w:szCs w:val="24"/>
              </w:rPr>
              <w:t>epatic impairment, cholestasis, renal impairment.</w:t>
            </w:r>
          </w:p>
        </w:tc>
      </w:tr>
      <w:tr w:rsidR="0053763D" w:rsidRPr="00F10C37" w14:paraId="450711A6" w14:textId="77777777" w:rsidTr="00C46407">
        <w:tc>
          <w:tcPr>
            <w:tcW w:w="2875" w:type="dxa"/>
          </w:tcPr>
          <w:p w14:paraId="658CEDE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390" w:type="dxa"/>
          </w:tcPr>
          <w:p w14:paraId="6A908339" w14:textId="77777777" w:rsidR="0053763D" w:rsidRPr="00F10C37" w:rsidRDefault="0053763D" w:rsidP="00C46407">
            <w:pPr>
              <w:jc w:val="both"/>
              <w:rPr>
                <w:rFonts w:cs="Times New Roman"/>
                <w:szCs w:val="24"/>
              </w:rPr>
            </w:pPr>
            <w:r w:rsidRPr="00F10C37">
              <w:rPr>
                <w:rFonts w:cs="Times New Roman"/>
                <w:szCs w:val="24"/>
              </w:rPr>
              <w:t>Store between 15 and 30ºC.</w:t>
            </w:r>
            <w:r>
              <w:rPr>
                <w:rFonts w:cs="Times New Roman"/>
                <w:szCs w:val="24"/>
              </w:rPr>
              <w:t xml:space="preserve"> </w:t>
            </w:r>
            <w:r w:rsidRPr="00F10C37">
              <w:rPr>
                <w:rFonts w:cs="Times New Roman"/>
                <w:szCs w:val="24"/>
              </w:rPr>
              <w:t>Protect from moisture and heat.</w:t>
            </w:r>
          </w:p>
        </w:tc>
      </w:tr>
    </w:tbl>
    <w:p w14:paraId="3B3CF561" w14:textId="77777777" w:rsidR="0053763D" w:rsidRPr="00F10C37" w:rsidRDefault="0053763D" w:rsidP="00910906">
      <w:pPr>
        <w:pStyle w:val="Heading2"/>
        <w:spacing w:before="240" w:after="240"/>
      </w:pPr>
      <w:bookmarkStart w:id="30" w:name="_Toc179490314"/>
      <w:r w:rsidRPr="00F10C37">
        <w:t>Antiarrhythmics</w:t>
      </w:r>
      <w:bookmarkEnd w:id="30"/>
    </w:p>
    <w:p w14:paraId="2C9E6F8B" w14:textId="77777777" w:rsidR="0053763D" w:rsidRPr="002063A5" w:rsidRDefault="0053763D" w:rsidP="00F90A6F">
      <w:pPr>
        <w:jc w:val="both"/>
        <w:rPr>
          <w:rFonts w:cs="Times New Roman"/>
          <w:bCs/>
          <w:szCs w:val="24"/>
        </w:rPr>
      </w:pPr>
      <w:r w:rsidRPr="002063A5">
        <w:rPr>
          <w:rStyle w:val="Strong"/>
          <w:rFonts w:cs="Times New Roman"/>
          <w:b w:val="0"/>
          <w:szCs w:val="24"/>
        </w:rPr>
        <w:t>Antiarrhythmics</w:t>
      </w:r>
      <w:r w:rsidRPr="002063A5">
        <w:rPr>
          <w:rFonts w:cs="Times New Roman"/>
          <w:b/>
          <w:szCs w:val="24"/>
        </w:rPr>
        <w:t xml:space="preserve"> </w:t>
      </w:r>
      <w:r w:rsidRPr="002063A5">
        <w:rPr>
          <w:rFonts w:cs="Times New Roman"/>
          <w:szCs w:val="24"/>
        </w:rPr>
        <w:t xml:space="preserve">are a class of medications used to manage and treat </w:t>
      </w:r>
      <w:r w:rsidRPr="002063A5">
        <w:rPr>
          <w:rStyle w:val="Strong"/>
          <w:rFonts w:cs="Times New Roman"/>
          <w:b w:val="0"/>
          <w:szCs w:val="24"/>
        </w:rPr>
        <w:t>arrhythmias</w:t>
      </w:r>
      <w:r w:rsidRPr="002063A5">
        <w:rPr>
          <w:rFonts w:cs="Times New Roman"/>
          <w:szCs w:val="24"/>
        </w:rPr>
        <w:t xml:space="preserve">, which are abnormal heart rhythms. These drugs work by altering the electrical impulses in the heart to restore or maintain a normal rhythm. Arrhythmias can range from benign, mild irregularities to </w:t>
      </w:r>
      <w:r w:rsidRPr="002063A5">
        <w:rPr>
          <w:rFonts w:cs="Times New Roman"/>
          <w:szCs w:val="24"/>
        </w:rPr>
        <w:lastRenderedPageBreak/>
        <w:t>life-threatening conditions, and antiarrhythmic drugs are critical in managing these variations. Antiarrhythmic drugs modulate the electrical activity of the heart by affecting the action potentials that control cardiac muscle contraction. Each class of antiarrhythmic agents works on different phases of the cardiac action potential or affects specific ion channels or receptors.</w:t>
      </w:r>
      <w:r w:rsidRPr="002063A5">
        <w:rPr>
          <w:rFonts w:cs="Times New Roman"/>
          <w:bCs/>
          <w:szCs w:val="24"/>
        </w:rPr>
        <w:t xml:space="preserve"> Anti-arrhythmic drugs can be classified clinically into those that act on supraventricular arrhythmias (e.g. verapamil hydrochloride), those that act on both supraventricular</w:t>
      </w:r>
      <w:r>
        <w:rPr>
          <w:rFonts w:cs="Times New Roman"/>
          <w:bCs/>
          <w:szCs w:val="24"/>
        </w:rPr>
        <w:t xml:space="preserve"> (SVT)</w:t>
      </w:r>
      <w:r w:rsidRPr="002063A5">
        <w:rPr>
          <w:rFonts w:cs="Times New Roman"/>
          <w:bCs/>
          <w:szCs w:val="24"/>
        </w:rPr>
        <w:t xml:space="preserve"> and ventricular arrhythmias (e.g. amiodarone hydrochloride), and those that act on ventricular arrhythmias (e.g. lidocaine hydrochloride). Based on the electrophysiological activity anti-arrhythmic drugs can also be classified according to their effects on the electrical behaviour of myocardial cells during activity (the Vaughan Williams classification) although this classification is of less clinical significance: </w:t>
      </w:r>
      <w:r w:rsidRPr="002063A5">
        <w:rPr>
          <w:rFonts w:cs="Times New Roman"/>
          <w:bCs/>
          <w:i/>
          <w:szCs w:val="24"/>
        </w:rPr>
        <w:t>Class I:</w:t>
      </w:r>
      <w:r w:rsidRPr="002063A5">
        <w:rPr>
          <w:rFonts w:cs="Times New Roman"/>
          <w:bCs/>
          <w:szCs w:val="24"/>
        </w:rPr>
        <w:t xml:space="preserve"> membrane stabilizing drugs (e.g. lidocaine, flecainide); </w:t>
      </w:r>
      <w:r w:rsidRPr="002063A5">
        <w:rPr>
          <w:rFonts w:cs="Times New Roman"/>
          <w:bCs/>
          <w:i/>
          <w:szCs w:val="24"/>
        </w:rPr>
        <w:t>Class II:</w:t>
      </w:r>
      <w:r w:rsidRPr="002063A5">
        <w:rPr>
          <w:rFonts w:cs="Times New Roman"/>
          <w:bCs/>
          <w:szCs w:val="24"/>
        </w:rPr>
        <w:t xml:space="preserve"> beta-blockers; </w:t>
      </w:r>
      <w:r w:rsidRPr="002063A5">
        <w:rPr>
          <w:rFonts w:cs="Times New Roman"/>
          <w:bCs/>
          <w:i/>
          <w:szCs w:val="24"/>
        </w:rPr>
        <w:t>Class III:</w:t>
      </w:r>
      <w:r w:rsidRPr="002063A5">
        <w:rPr>
          <w:rFonts w:cs="Times New Roman"/>
          <w:bCs/>
          <w:szCs w:val="24"/>
        </w:rPr>
        <w:t xml:space="preserve"> amiodarone; sotalol (also Class II); </w:t>
      </w:r>
      <w:r w:rsidRPr="002063A5">
        <w:rPr>
          <w:rFonts w:cs="Times New Roman"/>
          <w:bCs/>
          <w:i/>
          <w:szCs w:val="24"/>
        </w:rPr>
        <w:t>Class IV:</w:t>
      </w:r>
      <w:r w:rsidRPr="002063A5">
        <w:rPr>
          <w:rFonts w:cs="Times New Roman"/>
          <w:bCs/>
          <w:szCs w:val="24"/>
        </w:rPr>
        <w:t xml:space="preserve"> non- dihydropyridine calcium-channel blockers. Due to Adenosine’s very short duration of action (half-life about 8 to 10 seconds only), it is a treatment of choice for terminating paroxysmal SVT.</w:t>
      </w:r>
    </w:p>
    <w:tbl>
      <w:tblPr>
        <w:tblStyle w:val="TableGrid10"/>
        <w:tblW w:w="9355" w:type="dxa"/>
        <w:tblLook w:val="04A0" w:firstRow="1" w:lastRow="0" w:firstColumn="1" w:lastColumn="0" w:noHBand="0" w:noVBand="1"/>
      </w:tblPr>
      <w:tblGrid>
        <w:gridCol w:w="2425"/>
        <w:gridCol w:w="30"/>
        <w:gridCol w:w="96"/>
        <w:gridCol w:w="123"/>
        <w:gridCol w:w="7"/>
        <w:gridCol w:w="6674"/>
      </w:tblGrid>
      <w:tr w:rsidR="0053763D" w:rsidRPr="00F10C37" w14:paraId="45152DD9" w14:textId="77777777" w:rsidTr="00C46407">
        <w:trPr>
          <w:trHeight w:val="512"/>
        </w:trPr>
        <w:tc>
          <w:tcPr>
            <w:tcW w:w="9355" w:type="dxa"/>
            <w:gridSpan w:val="6"/>
          </w:tcPr>
          <w:p w14:paraId="5529F126" w14:textId="77777777" w:rsidR="0053763D" w:rsidRPr="00F10C37" w:rsidRDefault="0053763D" w:rsidP="00C46407">
            <w:pPr>
              <w:jc w:val="both"/>
              <w:rPr>
                <w:rFonts w:cs="Times New Roman"/>
                <w:b/>
                <w:szCs w:val="24"/>
              </w:rPr>
            </w:pPr>
            <w:r w:rsidRPr="00F10C37">
              <w:rPr>
                <w:rFonts w:cs="Times New Roman"/>
                <w:b/>
                <w:color w:val="000000"/>
                <w:szCs w:val="24"/>
              </w:rPr>
              <w:t>Adenosine</w:t>
            </w:r>
          </w:p>
        </w:tc>
      </w:tr>
      <w:tr w:rsidR="0053763D" w:rsidRPr="00F10C37" w14:paraId="5C334834" w14:textId="77777777" w:rsidTr="00C46407">
        <w:trPr>
          <w:trHeight w:val="512"/>
        </w:trPr>
        <w:tc>
          <w:tcPr>
            <w:tcW w:w="2425" w:type="dxa"/>
          </w:tcPr>
          <w:p w14:paraId="588CBF0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2A88C67C" w14:textId="77777777" w:rsidR="0053763D" w:rsidRPr="00F10C37" w:rsidRDefault="0053763D" w:rsidP="00C46407">
            <w:pPr>
              <w:jc w:val="both"/>
              <w:rPr>
                <w:rFonts w:cs="Times New Roman"/>
                <w:szCs w:val="24"/>
              </w:rPr>
            </w:pPr>
            <w:r w:rsidRPr="00F10C37">
              <w:rPr>
                <w:rFonts w:cs="Times New Roman"/>
                <w:szCs w:val="24"/>
              </w:rPr>
              <w:t xml:space="preserve">Other Antiarrhythmic </w:t>
            </w:r>
          </w:p>
        </w:tc>
      </w:tr>
      <w:tr w:rsidR="0053763D" w:rsidRPr="00F10C37" w14:paraId="6891EC11" w14:textId="77777777" w:rsidTr="00C46407">
        <w:trPr>
          <w:trHeight w:val="395"/>
        </w:trPr>
        <w:tc>
          <w:tcPr>
            <w:tcW w:w="2425" w:type="dxa"/>
          </w:tcPr>
          <w:p w14:paraId="3665E5D5"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7E2EE847"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rPr>
              <w:t>Injection: 3mg/</w:t>
            </w:r>
            <w:r>
              <w:rPr>
                <w:rFonts w:cs="Times New Roman"/>
                <w:szCs w:val="24"/>
              </w:rPr>
              <w:t>ml</w:t>
            </w:r>
          </w:p>
        </w:tc>
      </w:tr>
      <w:tr w:rsidR="0053763D" w:rsidRPr="00F10C37" w14:paraId="5BDF5FC8" w14:textId="77777777" w:rsidTr="00C46407">
        <w:trPr>
          <w:trHeight w:val="521"/>
        </w:trPr>
        <w:tc>
          <w:tcPr>
            <w:tcW w:w="2425" w:type="dxa"/>
          </w:tcPr>
          <w:p w14:paraId="411A472E" w14:textId="77777777" w:rsidR="0053763D" w:rsidRPr="002B16B4" w:rsidRDefault="0053763D" w:rsidP="00C46407">
            <w:pPr>
              <w:jc w:val="both"/>
              <w:rPr>
                <w:rFonts w:cs="Times New Roman"/>
                <w:szCs w:val="24"/>
              </w:rPr>
            </w:pPr>
            <w:r w:rsidRPr="002B16B4">
              <w:rPr>
                <w:rFonts w:cs="Times New Roman"/>
                <w:szCs w:val="24"/>
              </w:rPr>
              <w:t>Indications</w:t>
            </w:r>
          </w:p>
        </w:tc>
        <w:tc>
          <w:tcPr>
            <w:tcW w:w="6930" w:type="dxa"/>
            <w:gridSpan w:val="5"/>
          </w:tcPr>
          <w:p w14:paraId="282984FB" w14:textId="77777777" w:rsidR="0053763D" w:rsidRPr="00F10C37" w:rsidRDefault="0053763D" w:rsidP="00C46407">
            <w:pPr>
              <w:jc w:val="both"/>
              <w:rPr>
                <w:rFonts w:cs="Times New Roman"/>
                <w:szCs w:val="24"/>
              </w:rPr>
            </w:pPr>
            <w:r w:rsidRPr="00F10C37">
              <w:rPr>
                <w:rFonts w:cs="Times New Roman"/>
                <w:szCs w:val="24"/>
              </w:rPr>
              <w:t xml:space="preserve">For paroxysmal </w:t>
            </w:r>
            <w:r w:rsidRPr="006A55C4">
              <w:rPr>
                <w:rFonts w:cs="Times New Roman"/>
                <w:szCs w:val="24"/>
              </w:rPr>
              <w:t>SVT,</w:t>
            </w:r>
            <w:r w:rsidRPr="00F10C37">
              <w:rPr>
                <w:rFonts w:cs="Times New Roman"/>
                <w:szCs w:val="24"/>
              </w:rPr>
              <w:t xml:space="preserve"> including Wolff-Parkinson-White (WPW) syndrome, and to aid diagnosis of broad or narrow complex SVT. </w:t>
            </w:r>
          </w:p>
        </w:tc>
      </w:tr>
      <w:tr w:rsidR="0053763D" w:rsidRPr="00F10C37" w14:paraId="62BF1709" w14:textId="77777777" w:rsidTr="00C46407">
        <w:trPr>
          <w:trHeight w:val="521"/>
        </w:trPr>
        <w:tc>
          <w:tcPr>
            <w:tcW w:w="2425" w:type="dxa"/>
          </w:tcPr>
          <w:p w14:paraId="236A6A41"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447AF6FC" w14:textId="77777777" w:rsidR="0053763D" w:rsidRPr="00F10C37" w:rsidRDefault="0053763D" w:rsidP="00C46407">
            <w:pPr>
              <w:jc w:val="both"/>
              <w:rPr>
                <w:rFonts w:cs="Times New Roman"/>
                <w:szCs w:val="24"/>
              </w:rPr>
            </w:pPr>
            <w:r w:rsidRPr="003D3E3A">
              <w:rPr>
                <w:rFonts w:cs="Times New Roman"/>
                <w:b/>
                <w:szCs w:val="24"/>
              </w:rPr>
              <w:t>Rapid reversal to sinus rhythm of paroxysmal SVT, including WPW-syndrome and used to aid diagnosis of broad or narrow, complex SVT</w:t>
            </w:r>
            <w:r w:rsidRPr="00F10C37">
              <w:rPr>
                <w:rFonts w:cs="Times New Roman"/>
                <w:szCs w:val="24"/>
              </w:rPr>
              <w:t xml:space="preserve">, </w:t>
            </w:r>
            <w:r w:rsidRPr="003D3E3A">
              <w:rPr>
                <w:rFonts w:cs="Times New Roman"/>
                <w:szCs w:val="24"/>
              </w:rPr>
              <w:t>by rapid IV infusion with cardiac monitoring</w:t>
            </w:r>
            <w:r>
              <w:rPr>
                <w:rFonts w:cs="Times New Roman"/>
                <w:szCs w:val="24"/>
              </w:rPr>
              <w:t>:</w:t>
            </w:r>
          </w:p>
          <w:p w14:paraId="3C62044E" w14:textId="77777777" w:rsidR="0053763D" w:rsidRPr="00F10C37" w:rsidRDefault="0053763D" w:rsidP="00C46407">
            <w:pPr>
              <w:jc w:val="both"/>
              <w:rPr>
                <w:rFonts w:cs="Times New Roman"/>
                <w:szCs w:val="24"/>
              </w:rPr>
            </w:pPr>
            <w:r w:rsidRPr="00F10C37">
              <w:rPr>
                <w:rFonts w:cs="Times New Roman"/>
                <w:b/>
                <w:szCs w:val="24"/>
              </w:rPr>
              <w:t>Adult patients without heart transplant:</w:t>
            </w:r>
            <w:r w:rsidRPr="00F10C37">
              <w:rPr>
                <w:rFonts w:cs="Times New Roman"/>
                <w:szCs w:val="24"/>
              </w:rPr>
              <w:t xml:space="preserve"> Initially 6 mg, administer into central or large peripheral vein and give over 2 seconds followed by rapid saline flush, followed by 12 mg after 1–2 minutes </w:t>
            </w:r>
            <w:r w:rsidRPr="00F10C37">
              <w:rPr>
                <w:rFonts w:cs="Times New Roman"/>
                <w:i/>
                <w:szCs w:val="24"/>
              </w:rPr>
              <w:t>if required</w:t>
            </w:r>
            <w:r w:rsidRPr="00F10C37">
              <w:rPr>
                <w:rFonts w:cs="Times New Roman"/>
                <w:szCs w:val="24"/>
              </w:rPr>
              <w:t xml:space="preserve">, then 12 mg after 1–2 minutes </w:t>
            </w:r>
            <w:r w:rsidRPr="00F10C37">
              <w:rPr>
                <w:rFonts w:cs="Times New Roman"/>
                <w:i/>
                <w:szCs w:val="24"/>
              </w:rPr>
              <w:t>if required</w:t>
            </w:r>
            <w:r w:rsidRPr="00F10C37">
              <w:rPr>
                <w:rFonts w:cs="Times New Roman"/>
                <w:szCs w:val="24"/>
              </w:rPr>
              <w:t>; increments should not be given if high-level AV block develops at any particular dose.</w:t>
            </w:r>
          </w:p>
          <w:p w14:paraId="174BE740" w14:textId="77777777" w:rsidR="0053763D" w:rsidRPr="00F10C37" w:rsidRDefault="0053763D" w:rsidP="00C46407">
            <w:pPr>
              <w:jc w:val="both"/>
              <w:rPr>
                <w:rFonts w:cs="Times New Roman"/>
                <w:szCs w:val="24"/>
              </w:rPr>
            </w:pPr>
            <w:r w:rsidRPr="00F10C37">
              <w:rPr>
                <w:rFonts w:cs="Times New Roman"/>
                <w:b/>
                <w:szCs w:val="24"/>
              </w:rPr>
              <w:t>Adult patients with a heart transplant:</w:t>
            </w:r>
            <w:r w:rsidRPr="00F10C37">
              <w:rPr>
                <w:rFonts w:cs="Times New Roman"/>
                <w:szCs w:val="24"/>
              </w:rPr>
              <w:t xml:space="preserve"> Initially 3 mg, administer into a central or large peripheral vein and give over 2 seconds then give a rapid saline flush, followed by 6 mg after 1–2 minutes </w:t>
            </w:r>
            <w:r w:rsidRPr="00F10C37">
              <w:rPr>
                <w:rFonts w:cs="Times New Roman"/>
                <w:i/>
                <w:szCs w:val="24"/>
              </w:rPr>
              <w:t xml:space="preserve">if </w:t>
            </w:r>
            <w:r w:rsidRPr="00F10C37">
              <w:rPr>
                <w:rFonts w:cs="Times New Roman"/>
                <w:i/>
                <w:szCs w:val="24"/>
              </w:rPr>
              <w:lastRenderedPageBreak/>
              <w:t>required</w:t>
            </w:r>
            <w:r w:rsidRPr="00F10C37">
              <w:rPr>
                <w:rFonts w:cs="Times New Roman"/>
                <w:szCs w:val="24"/>
              </w:rPr>
              <w:t xml:space="preserve">, then 12 mg after 1–2 minutes </w:t>
            </w:r>
            <w:r w:rsidRPr="00F10C37">
              <w:rPr>
                <w:rFonts w:cs="Times New Roman"/>
                <w:i/>
                <w:szCs w:val="24"/>
              </w:rPr>
              <w:t>if required</w:t>
            </w:r>
            <w:r w:rsidRPr="00F10C37">
              <w:rPr>
                <w:rFonts w:cs="Times New Roman"/>
                <w:szCs w:val="24"/>
              </w:rPr>
              <w:t>; patients with a heart transplant are very sensitive to the effects of adenosine.</w:t>
            </w:r>
          </w:p>
          <w:p w14:paraId="55F33D98" w14:textId="77777777" w:rsidR="0053763D" w:rsidRPr="00F10C37"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Initially 150 m</w:t>
            </w:r>
            <w:r>
              <w:rPr>
                <w:rFonts w:cs="Times New Roman"/>
                <w:szCs w:val="24"/>
              </w:rPr>
              <w:t>cg</w:t>
            </w:r>
            <w:r w:rsidRPr="00F10C37">
              <w:rPr>
                <w:rFonts w:cs="Times New Roman"/>
                <w:szCs w:val="24"/>
              </w:rPr>
              <w:t>/kg, then increased in steps of 50–100 m</w:t>
            </w:r>
            <w:r>
              <w:rPr>
                <w:rFonts w:cs="Times New Roman"/>
                <w:szCs w:val="24"/>
              </w:rPr>
              <w:t>cg</w:t>
            </w:r>
            <w:r w:rsidRPr="00F10C37">
              <w:rPr>
                <w:rFonts w:cs="Times New Roman"/>
                <w:szCs w:val="24"/>
              </w:rPr>
              <w:t>/kg every 1–2 minutes (max. per dose 300 m</w:t>
            </w:r>
            <w:r>
              <w:rPr>
                <w:rFonts w:cs="Times New Roman"/>
                <w:szCs w:val="24"/>
              </w:rPr>
              <w:t>cg</w:t>
            </w:r>
            <w:r w:rsidRPr="00F10C37">
              <w:rPr>
                <w:rFonts w:cs="Times New Roman"/>
                <w:szCs w:val="24"/>
              </w:rPr>
              <w:t>/kg) if required; dose to be repeated until tachycardia terminated, or maximum single dose given.</w:t>
            </w:r>
          </w:p>
          <w:p w14:paraId="6F8EC4A9" w14:textId="77777777" w:rsidR="0053763D" w:rsidRPr="00F10C37" w:rsidRDefault="0053763D" w:rsidP="00C46407">
            <w:pPr>
              <w:jc w:val="both"/>
              <w:rPr>
                <w:rFonts w:cs="Times New Roman"/>
                <w:szCs w:val="24"/>
              </w:rPr>
            </w:pPr>
            <w:r w:rsidRPr="00F10C37">
              <w:rPr>
                <w:rFonts w:cs="Times New Roman"/>
                <w:b/>
                <w:szCs w:val="24"/>
              </w:rPr>
              <w:t>Infants</w:t>
            </w:r>
            <w:r w:rsidRPr="00F10C37">
              <w:rPr>
                <w:rFonts w:cs="Times New Roman"/>
                <w:szCs w:val="24"/>
              </w:rPr>
              <w:t>: Initially 150 m</w:t>
            </w:r>
            <w:r>
              <w:rPr>
                <w:rFonts w:cs="Times New Roman"/>
                <w:szCs w:val="24"/>
              </w:rPr>
              <w:t>cg</w:t>
            </w:r>
            <w:r w:rsidRPr="00F10C37">
              <w:rPr>
                <w:rFonts w:cs="Times New Roman"/>
                <w:szCs w:val="24"/>
              </w:rPr>
              <w:t>/kg, then increased in steps of 50–100 m</w:t>
            </w:r>
            <w:r>
              <w:rPr>
                <w:rFonts w:cs="Times New Roman"/>
                <w:szCs w:val="24"/>
              </w:rPr>
              <w:t>cg</w:t>
            </w:r>
            <w:r w:rsidRPr="00F10C37">
              <w:rPr>
                <w:rFonts w:cs="Times New Roman"/>
                <w:szCs w:val="24"/>
              </w:rPr>
              <w:t>/kg every 1–2 minutes (max. per dose 500 m</w:t>
            </w:r>
            <w:r>
              <w:rPr>
                <w:rFonts w:cs="Times New Roman"/>
                <w:szCs w:val="24"/>
              </w:rPr>
              <w:t>cg</w:t>
            </w:r>
            <w:r w:rsidRPr="00F10C37">
              <w:rPr>
                <w:rFonts w:cs="Times New Roman"/>
                <w:szCs w:val="24"/>
              </w:rPr>
              <w:t>/kg) if required; dose to be repeated until tachycardia terminated, or maximum single dose given.</w:t>
            </w:r>
          </w:p>
          <w:p w14:paraId="531B7C6F" w14:textId="77777777" w:rsidR="0053763D" w:rsidRPr="00F10C37" w:rsidRDefault="0053763D" w:rsidP="00C46407">
            <w:pPr>
              <w:jc w:val="both"/>
              <w:rPr>
                <w:rFonts w:cs="Times New Roman"/>
                <w:szCs w:val="24"/>
              </w:rPr>
            </w:pPr>
            <w:r w:rsidRPr="00F10C37">
              <w:rPr>
                <w:rFonts w:cs="Times New Roman"/>
                <w:b/>
                <w:szCs w:val="24"/>
              </w:rPr>
              <w:t>Child 1–11 years:</w:t>
            </w:r>
            <w:r w:rsidRPr="00F10C37">
              <w:rPr>
                <w:rFonts w:cs="Times New Roman"/>
                <w:szCs w:val="24"/>
              </w:rPr>
              <w:t xml:space="preserve"> Initially 100 mcg/kg, then increased in steps of 50–100 mcg/kg every 1–2 minutes (max. per dose 12 mg) </w:t>
            </w:r>
            <w:r w:rsidRPr="00F10C37">
              <w:rPr>
                <w:rFonts w:cs="Times New Roman"/>
                <w:i/>
                <w:szCs w:val="24"/>
              </w:rPr>
              <w:t xml:space="preserve">if required; </w:t>
            </w:r>
            <w:r w:rsidRPr="00F10C37">
              <w:rPr>
                <w:rFonts w:cs="Times New Roman"/>
                <w:szCs w:val="24"/>
              </w:rPr>
              <w:t>dose to be repeated until tachycardia terminated, or maximum single dose given.</w:t>
            </w:r>
          </w:p>
          <w:p w14:paraId="60817DAC" w14:textId="77777777" w:rsidR="0053763D" w:rsidRPr="00F10C37" w:rsidRDefault="0053763D" w:rsidP="00C46407">
            <w:pPr>
              <w:jc w:val="both"/>
              <w:rPr>
                <w:rFonts w:cs="Times New Roman"/>
                <w:szCs w:val="24"/>
              </w:rPr>
            </w:pPr>
            <w:r w:rsidRPr="00F10C37">
              <w:rPr>
                <w:rFonts w:cs="Times New Roman"/>
                <w:b/>
                <w:szCs w:val="24"/>
              </w:rPr>
              <w:t>Child 12–17 years:</w:t>
            </w:r>
            <w:r w:rsidRPr="00F10C37">
              <w:rPr>
                <w:rFonts w:cs="Times New Roman"/>
                <w:szCs w:val="24"/>
              </w:rPr>
              <w:t xml:space="preserve"> Initially 3 mg, followed by 6 mg after 1–2 minutes if required, followed by 12 mg after 1–2 minutes if required; in some children over 12 years, 3 mg dose ineffective (e.g., if a small peripheral vein is used for administration) and higher initial dose sometimes used, however, those with heart transplant are very sensitive to the effects of adenosine and should not receive higher initial doses.</w:t>
            </w:r>
          </w:p>
        </w:tc>
      </w:tr>
      <w:tr w:rsidR="0053763D" w:rsidRPr="00F10C37" w14:paraId="72279753" w14:textId="77777777" w:rsidTr="00C46407">
        <w:tc>
          <w:tcPr>
            <w:tcW w:w="2425" w:type="dxa"/>
          </w:tcPr>
          <w:p w14:paraId="57E38F28"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gridSpan w:val="5"/>
          </w:tcPr>
          <w:p w14:paraId="4FF7D808"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ypersensitivity to </w:t>
            </w:r>
            <w:r>
              <w:rPr>
                <w:rFonts w:eastAsiaTheme="minorHAnsi" w:cs="Times New Roman"/>
                <w:kern w:val="0"/>
                <w:szCs w:val="24"/>
                <w:lang w:val="en-US" w:eastAsia="en-US"/>
              </w:rPr>
              <w:t>the drug,</w:t>
            </w:r>
            <w:r>
              <w:rPr>
                <w:rFonts w:cs="Times New Roman"/>
                <w:szCs w:val="24"/>
              </w:rPr>
              <w:t xml:space="preserve"> a</w:t>
            </w:r>
            <w:r w:rsidRPr="00F10C37">
              <w:rPr>
                <w:rFonts w:cs="Times New Roman"/>
                <w:szCs w:val="24"/>
              </w:rPr>
              <w:t xml:space="preserve">sthma, chronic obstructive lung disease, decompensated heart failure, QT </w:t>
            </w:r>
            <w:r>
              <w:rPr>
                <w:rFonts w:cs="Times New Roman"/>
                <w:szCs w:val="24"/>
              </w:rPr>
              <w:t>prolongation</w:t>
            </w:r>
            <w:r w:rsidRPr="00F10C37">
              <w:rPr>
                <w:rFonts w:cs="Times New Roman"/>
                <w:szCs w:val="24"/>
              </w:rPr>
              <w:t>, second- or third-degree AV block and sick sinus syndrome (unless pacemaker fitted), severe hypotension</w:t>
            </w:r>
            <w:r>
              <w:rPr>
                <w:rFonts w:cs="Times New Roman"/>
                <w:szCs w:val="24"/>
              </w:rPr>
              <w:t>.</w:t>
            </w:r>
          </w:p>
        </w:tc>
      </w:tr>
      <w:tr w:rsidR="0053763D" w:rsidRPr="00F10C37" w14:paraId="00087D70" w14:textId="77777777" w:rsidTr="00C46407">
        <w:tc>
          <w:tcPr>
            <w:tcW w:w="2425" w:type="dxa"/>
          </w:tcPr>
          <w:p w14:paraId="73E544FC"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tcPr>
          <w:p w14:paraId="3D945EE0" w14:textId="77777777" w:rsidR="0053763D" w:rsidRPr="00F10C37" w:rsidRDefault="0053763D" w:rsidP="00C46407">
            <w:pPr>
              <w:jc w:val="both"/>
              <w:rPr>
                <w:rFonts w:cs="Times New Roman"/>
                <w:szCs w:val="24"/>
              </w:rPr>
            </w:pPr>
            <w:r w:rsidRPr="00F10C37">
              <w:rPr>
                <w:rFonts w:cs="Times New Roman"/>
                <w:szCs w:val="24"/>
              </w:rPr>
              <w:t>Dipyridamole, aminophylline, theophylline and other xanthines, including food and drinks containing xanthines (tea, coffee, chocolate and cola), digoxin, verapamil.</w:t>
            </w:r>
          </w:p>
        </w:tc>
      </w:tr>
      <w:tr w:rsidR="0053763D" w:rsidRPr="00F10C37" w14:paraId="656D61C7" w14:textId="77777777" w:rsidTr="00C46407">
        <w:tc>
          <w:tcPr>
            <w:tcW w:w="2425" w:type="dxa"/>
          </w:tcPr>
          <w:p w14:paraId="60C0DECB"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5"/>
          </w:tcPr>
          <w:p w14:paraId="622FF8EC" w14:textId="77777777" w:rsidR="0053763D" w:rsidRPr="00F10C37" w:rsidRDefault="0053763D" w:rsidP="00C46407">
            <w:pPr>
              <w:contextualSpacing/>
              <w:jc w:val="both"/>
              <w:rPr>
                <w:rFonts w:cs="Times New Roman"/>
                <w:szCs w:val="24"/>
              </w:rPr>
            </w:pPr>
            <w:r w:rsidRPr="00F10C37">
              <w:rPr>
                <w:rFonts w:cs="Times New Roman"/>
                <w:szCs w:val="24"/>
              </w:rPr>
              <w:t xml:space="preserve">Abdominal discomfort, arrhythmias, atrioventricular block, chest discomfort, chest pain (discontinue), dizziness, dry mouth, dyspnea, flushing, headache, hypotension (discontinue if severe), pain, </w:t>
            </w:r>
            <w:r w:rsidRPr="00F10C37">
              <w:rPr>
                <w:rFonts w:cs="Times New Roman"/>
                <w:szCs w:val="24"/>
              </w:rPr>
              <w:lastRenderedPageBreak/>
              <w:t xml:space="preserve">paresthesia, throat discomfort. </w:t>
            </w:r>
          </w:p>
        </w:tc>
      </w:tr>
      <w:tr w:rsidR="0053763D" w:rsidRPr="00F10C37" w14:paraId="5313C2BE" w14:textId="77777777" w:rsidTr="00C46407">
        <w:tc>
          <w:tcPr>
            <w:tcW w:w="2425" w:type="dxa"/>
          </w:tcPr>
          <w:p w14:paraId="304D0CA6" w14:textId="77777777" w:rsidR="0053763D" w:rsidRPr="00F10C37" w:rsidRDefault="0053763D" w:rsidP="00C46407">
            <w:pPr>
              <w:jc w:val="both"/>
              <w:rPr>
                <w:rFonts w:cs="Times New Roman"/>
                <w:szCs w:val="24"/>
              </w:rPr>
            </w:pPr>
            <w:r w:rsidRPr="00F10C37">
              <w:rPr>
                <w:rFonts w:cs="Times New Roman"/>
                <w:szCs w:val="24"/>
              </w:rPr>
              <w:lastRenderedPageBreak/>
              <w:t>Cautions</w:t>
            </w:r>
          </w:p>
        </w:tc>
        <w:tc>
          <w:tcPr>
            <w:tcW w:w="6930" w:type="dxa"/>
            <w:gridSpan w:val="5"/>
          </w:tcPr>
          <w:p w14:paraId="16EB11BA"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Atrial fibrillation, atrial fibrillation with accessory pathway (conduction down anomalous pathway may increase), atrial flutter, atrial flutter with accessory pathway, autonomic dysfunction, bundle branch block, first-degree AV block, heart transplant, left main coronary, artery stenosis, left to right shunt, pericardial effusion, pericarditis, QT-interval prolongation, recent myocardial infarction, severe heart failure, stenotic carotid artery, disease with cerebrovascular insufficiency, stenotic valvular heart disease, uncorrected hypovolemia, pregnancy and breastfeeding. </w:t>
            </w:r>
          </w:p>
        </w:tc>
      </w:tr>
      <w:tr w:rsidR="0053763D" w:rsidRPr="00F10C37" w14:paraId="3438A323" w14:textId="77777777" w:rsidTr="00C46407">
        <w:tc>
          <w:tcPr>
            <w:tcW w:w="2425" w:type="dxa"/>
          </w:tcPr>
          <w:p w14:paraId="3822D960"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2BFA165C" w14:textId="77777777" w:rsidR="0053763D" w:rsidRPr="00F10C37" w:rsidRDefault="0053763D" w:rsidP="00C46407">
            <w:pPr>
              <w:jc w:val="both"/>
              <w:rPr>
                <w:rFonts w:cs="Times New Roman"/>
                <w:szCs w:val="24"/>
              </w:rPr>
            </w:pPr>
            <w:r w:rsidRPr="00F10C37">
              <w:rPr>
                <w:rFonts w:cs="Times New Roman"/>
                <w:szCs w:val="24"/>
              </w:rPr>
              <w:t>Store between 15 and 30ºC.</w:t>
            </w:r>
            <w:r>
              <w:rPr>
                <w:rFonts w:cs="Times New Roman"/>
                <w:szCs w:val="24"/>
              </w:rPr>
              <w:t xml:space="preserve"> </w:t>
            </w:r>
          </w:p>
        </w:tc>
      </w:tr>
      <w:tr w:rsidR="0053763D" w:rsidRPr="00F10C37" w14:paraId="0A36F8C0" w14:textId="77777777" w:rsidTr="00C46407">
        <w:trPr>
          <w:trHeight w:val="512"/>
        </w:trPr>
        <w:tc>
          <w:tcPr>
            <w:tcW w:w="9355" w:type="dxa"/>
            <w:gridSpan w:val="6"/>
          </w:tcPr>
          <w:p w14:paraId="7BD735C6" w14:textId="77777777" w:rsidR="0053763D" w:rsidRPr="00F10C37" w:rsidRDefault="0053763D" w:rsidP="00C46407">
            <w:pPr>
              <w:jc w:val="both"/>
              <w:rPr>
                <w:rFonts w:cs="Times New Roman"/>
                <w:b/>
                <w:szCs w:val="24"/>
              </w:rPr>
            </w:pPr>
            <w:r w:rsidRPr="00F10C37">
              <w:rPr>
                <w:rFonts w:cs="Times New Roman"/>
                <w:b/>
                <w:color w:val="000000"/>
                <w:szCs w:val="24"/>
              </w:rPr>
              <w:t>Amiodarone</w:t>
            </w:r>
          </w:p>
        </w:tc>
      </w:tr>
      <w:tr w:rsidR="0053763D" w:rsidRPr="00F10C37" w14:paraId="5949D09F" w14:textId="77777777" w:rsidTr="00C46407">
        <w:trPr>
          <w:trHeight w:val="512"/>
        </w:trPr>
        <w:tc>
          <w:tcPr>
            <w:tcW w:w="2425" w:type="dxa"/>
          </w:tcPr>
          <w:p w14:paraId="79F18F2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430CB35D" w14:textId="77777777" w:rsidR="0053763D" w:rsidRPr="00F10C37" w:rsidRDefault="0053763D" w:rsidP="00C46407">
            <w:pPr>
              <w:jc w:val="both"/>
              <w:rPr>
                <w:rFonts w:cs="Times New Roman"/>
                <w:szCs w:val="24"/>
              </w:rPr>
            </w:pPr>
            <w:r w:rsidRPr="00F10C37">
              <w:rPr>
                <w:rFonts w:cs="Times New Roman"/>
                <w:szCs w:val="24"/>
              </w:rPr>
              <w:t>Class III antiarrhythmic</w:t>
            </w:r>
          </w:p>
        </w:tc>
      </w:tr>
      <w:tr w:rsidR="0053763D" w:rsidRPr="00F10C37" w14:paraId="1C8AE132" w14:textId="77777777" w:rsidTr="00C46407">
        <w:trPr>
          <w:trHeight w:val="395"/>
        </w:trPr>
        <w:tc>
          <w:tcPr>
            <w:tcW w:w="2425" w:type="dxa"/>
          </w:tcPr>
          <w:p w14:paraId="7FD55BCB"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372F7A80" w14:textId="77777777" w:rsidR="0053763D"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100mg, 200mg, 400mg</w:t>
            </w:r>
          </w:p>
          <w:p w14:paraId="337B4ECD"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Injection: 50mg/</w:t>
            </w:r>
            <w:r>
              <w:rPr>
                <w:rFonts w:cs="Times New Roman"/>
                <w:szCs w:val="24"/>
                <w:lang w:val="nb-NO"/>
              </w:rPr>
              <w:t>ml</w:t>
            </w:r>
          </w:p>
        </w:tc>
      </w:tr>
      <w:tr w:rsidR="0053763D" w:rsidRPr="00F10C37" w14:paraId="6B0081E6" w14:textId="77777777" w:rsidTr="00C46407">
        <w:trPr>
          <w:trHeight w:val="521"/>
        </w:trPr>
        <w:tc>
          <w:tcPr>
            <w:tcW w:w="2425" w:type="dxa"/>
          </w:tcPr>
          <w:p w14:paraId="16EE0306" w14:textId="77777777" w:rsidR="0053763D" w:rsidRPr="00140E9F" w:rsidRDefault="0053763D" w:rsidP="00C46407">
            <w:pPr>
              <w:jc w:val="both"/>
              <w:rPr>
                <w:rFonts w:cs="Times New Roman"/>
                <w:szCs w:val="24"/>
              </w:rPr>
            </w:pPr>
            <w:r w:rsidRPr="00140E9F">
              <w:rPr>
                <w:rFonts w:cs="Times New Roman"/>
                <w:szCs w:val="24"/>
              </w:rPr>
              <w:t>Indications</w:t>
            </w:r>
          </w:p>
        </w:tc>
        <w:tc>
          <w:tcPr>
            <w:tcW w:w="6930" w:type="dxa"/>
            <w:gridSpan w:val="5"/>
          </w:tcPr>
          <w:p w14:paraId="43F6B813" w14:textId="77777777" w:rsidR="0053763D" w:rsidRPr="00F10C37" w:rsidRDefault="0053763D" w:rsidP="00C46407">
            <w:pPr>
              <w:jc w:val="both"/>
              <w:rPr>
                <w:rFonts w:cs="Times New Roman"/>
                <w:szCs w:val="24"/>
              </w:rPr>
            </w:pPr>
            <w:r w:rsidRPr="00F10C37">
              <w:rPr>
                <w:rFonts w:cs="Times New Roman"/>
                <w:szCs w:val="24"/>
              </w:rPr>
              <w:t>For arrhythmia particularly when other drugs are ineffective or contraindicated, for ventricular fibrillation or pulseless ventricular tachycardia refractory to defibrillation</w:t>
            </w:r>
          </w:p>
        </w:tc>
      </w:tr>
      <w:tr w:rsidR="0053763D" w:rsidRPr="00F10C37" w14:paraId="3D7B3134" w14:textId="77777777" w:rsidTr="00C46407">
        <w:trPr>
          <w:trHeight w:val="521"/>
        </w:trPr>
        <w:tc>
          <w:tcPr>
            <w:tcW w:w="2425" w:type="dxa"/>
          </w:tcPr>
          <w:p w14:paraId="0D843BF6"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24FCF2F5" w14:textId="77777777" w:rsidR="0053763D" w:rsidRPr="00755E26" w:rsidRDefault="0053763D" w:rsidP="00C46407">
            <w:pPr>
              <w:jc w:val="both"/>
              <w:rPr>
                <w:rFonts w:cs="Times New Roman"/>
                <w:b/>
                <w:szCs w:val="24"/>
              </w:rPr>
            </w:pPr>
            <w:r w:rsidRPr="00755E26">
              <w:rPr>
                <w:rFonts w:cs="Times New Roman"/>
                <w:b/>
                <w:szCs w:val="24"/>
              </w:rPr>
              <w:t xml:space="preserve">Treatment of arrhythmias when other drugs are ineffective or contraindicated (paroxysmal supraventricular, nodal and ventricular tachycardia or fibrillation, atrial fibrillation and flutter, and tachyarrhythmia’s associated with WPW-syndrome): </w:t>
            </w:r>
          </w:p>
          <w:p w14:paraId="17016963" w14:textId="77777777" w:rsidR="0053763D" w:rsidRPr="003D3E3A"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200 mg orally 3 times a day for 1 week, then reduced to 200 mg twice daily for a further week, followed by maintenance dose, usually 200mg orally once daily </w:t>
            </w:r>
            <w:r w:rsidRPr="00F10C37">
              <w:rPr>
                <w:rFonts w:cs="Times New Roman"/>
                <w:b/>
                <w:szCs w:val="24"/>
              </w:rPr>
              <w:t xml:space="preserve">OR </w:t>
            </w:r>
            <w:r w:rsidRPr="00F10C37">
              <w:rPr>
                <w:rFonts w:cs="Times New Roman"/>
                <w:szCs w:val="24"/>
              </w:rPr>
              <w:t xml:space="preserve">Initially 5 mg/kg, to be given over 20–120 minutes as IV infusion with ECG monitoring, subsequent infusions given </w:t>
            </w:r>
            <w:r w:rsidRPr="003D3E3A">
              <w:rPr>
                <w:rFonts w:cs="Times New Roman"/>
                <w:szCs w:val="24"/>
              </w:rPr>
              <w:t>if necessary</w:t>
            </w:r>
            <w:r w:rsidRPr="000E2BCA">
              <w:rPr>
                <w:rFonts w:cs="Times New Roman"/>
                <w:szCs w:val="24"/>
              </w:rPr>
              <w:t xml:space="preserve"> according to response; </w:t>
            </w:r>
            <w:r w:rsidRPr="003D3E3A">
              <w:rPr>
                <w:rFonts w:cs="Times New Roman"/>
                <w:szCs w:val="24"/>
              </w:rPr>
              <w:t xml:space="preserve">maximum 1.2 g per day. </w:t>
            </w:r>
          </w:p>
          <w:p w14:paraId="2C34C046" w14:textId="77777777" w:rsidR="0053763D"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Pediatrics</w:t>
            </w:r>
            <w:r>
              <w:rPr>
                <w:rFonts w:eastAsiaTheme="minorHAnsi" w:cs="Times New Roman"/>
                <w:b/>
                <w:bCs/>
                <w:kern w:val="0"/>
                <w:szCs w:val="24"/>
                <w:lang w:val="en-US" w:eastAsia="en-US"/>
              </w:rPr>
              <w:t xml:space="preserve">, </w:t>
            </w:r>
            <w:r w:rsidRPr="00CE6922">
              <w:rPr>
                <w:rFonts w:eastAsiaTheme="minorHAnsi" w:cs="Times New Roman"/>
                <w:bCs/>
                <w:kern w:val="0"/>
                <w:szCs w:val="24"/>
                <w:lang w:val="en-US" w:eastAsia="en-US"/>
              </w:rPr>
              <w:t>oral:</w:t>
            </w:r>
            <w:r w:rsidRPr="00F10C37">
              <w:rPr>
                <w:rFonts w:eastAsiaTheme="minorHAnsi" w:cs="Times New Roman"/>
                <w:b/>
                <w:bCs/>
                <w:kern w:val="0"/>
                <w:szCs w:val="24"/>
                <w:lang w:val="en-US" w:eastAsia="en-US"/>
              </w:rPr>
              <w:t xml:space="preserve"> </w:t>
            </w:r>
          </w:p>
          <w:p w14:paraId="7EC117F1"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 xml:space="preserve">Initially 5–10 mg/kg twice daily for 7–10 days, then </w:t>
            </w:r>
            <w:r w:rsidRPr="00F10C37">
              <w:rPr>
                <w:rFonts w:eastAsiaTheme="minorHAnsi" w:cs="Times New Roman"/>
                <w:kern w:val="0"/>
                <w:szCs w:val="24"/>
                <w:lang w:val="en-US" w:eastAsia="en-US"/>
              </w:rPr>
              <w:lastRenderedPageBreak/>
              <w:t>reduced to 5–10 mg/kg daily.</w:t>
            </w:r>
          </w:p>
          <w:p w14:paraId="50C0629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 month–11 years: </w:t>
            </w:r>
            <w:r w:rsidRPr="00F10C37">
              <w:rPr>
                <w:rFonts w:eastAsiaTheme="minorHAnsi" w:cs="Times New Roman"/>
                <w:kern w:val="0"/>
                <w:szCs w:val="24"/>
                <w:lang w:val="en-US" w:eastAsia="en-US"/>
              </w:rPr>
              <w:t>Initially 5–10 mg/kg twice daily (max. per dose 200 mg) for 7–10 days, then reduced to 5–10 mg/kg once daily; maximum 200 mg per day</w:t>
            </w:r>
          </w:p>
          <w:p w14:paraId="7F927C2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12–17 years: </w:t>
            </w:r>
            <w:r w:rsidRPr="00F10C37">
              <w:rPr>
                <w:rFonts w:eastAsiaTheme="minorHAnsi" w:cs="Times New Roman"/>
                <w:kern w:val="0"/>
                <w:szCs w:val="24"/>
                <w:lang w:val="en-US" w:eastAsia="en-US"/>
              </w:rPr>
              <w:t>200 mg 3 times a day for 1 week, then 200 mg twice daily for 1 week, then usually 200 mg daily adjusted according to response</w:t>
            </w:r>
          </w:p>
          <w:p w14:paraId="31B149A5" w14:textId="77777777" w:rsidR="0053763D" w:rsidRDefault="0053763D" w:rsidP="00C46407">
            <w:pPr>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Pediatrics</w:t>
            </w:r>
            <w:r>
              <w:rPr>
                <w:rFonts w:eastAsiaTheme="minorHAnsi" w:cs="Times New Roman"/>
                <w:b/>
                <w:bCs/>
                <w:kern w:val="0"/>
                <w:szCs w:val="24"/>
                <w:lang w:val="en-US" w:eastAsia="en-US"/>
              </w:rPr>
              <w:t xml:space="preserve">, </w:t>
            </w:r>
            <w:r w:rsidRPr="00CE6922">
              <w:rPr>
                <w:rFonts w:eastAsiaTheme="minorHAnsi" w:cs="Times New Roman"/>
                <w:bCs/>
                <w:kern w:val="0"/>
                <w:szCs w:val="24"/>
                <w:lang w:val="en-US" w:eastAsia="en-US"/>
              </w:rPr>
              <w:t>IV infusion</w:t>
            </w:r>
            <w:r w:rsidRPr="00F10C37">
              <w:rPr>
                <w:rFonts w:eastAsiaTheme="minorHAnsi" w:cs="Times New Roman"/>
                <w:b/>
                <w:bCs/>
                <w:kern w:val="0"/>
                <w:szCs w:val="24"/>
                <w:lang w:val="en-US" w:eastAsia="en-US"/>
              </w:rPr>
              <w:t xml:space="preserve">: </w:t>
            </w:r>
          </w:p>
          <w:p w14:paraId="79630D63" w14:textId="77777777" w:rsidR="0053763D"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Initially 5–10 mg/kg IV infusion twice daily for 7–10 days, then reduced to 5–10 mg/kg IV infusion daily. </w:t>
            </w:r>
          </w:p>
          <w:p w14:paraId="680595FC" w14:textId="77777777" w:rsidR="0053763D"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1 month–11 years: Initially 5–10 mg/kg IV infusion twice daily for 7–10 days, then reduced to 5–10 mg/kg IV infusion once daily; (maximum 200 mg per day)</w:t>
            </w:r>
            <w:r>
              <w:rPr>
                <w:rFonts w:cs="Times New Roman"/>
                <w:szCs w:val="24"/>
              </w:rPr>
              <w:t>.</w:t>
            </w:r>
          </w:p>
          <w:p w14:paraId="3957CAAD" w14:textId="77777777" w:rsidR="0053763D" w:rsidRPr="00F10C37" w:rsidRDefault="0053763D" w:rsidP="00C46407">
            <w:pPr>
              <w:jc w:val="both"/>
              <w:rPr>
                <w:rFonts w:cs="Times New Roman"/>
                <w:szCs w:val="24"/>
              </w:rPr>
            </w:pPr>
            <w:r w:rsidRPr="00F10C37">
              <w:rPr>
                <w:rFonts w:cs="Times New Roman"/>
                <w:b/>
                <w:szCs w:val="24"/>
              </w:rPr>
              <w:t xml:space="preserve">Child 12–17 years: </w:t>
            </w:r>
            <w:r w:rsidRPr="00F10C37">
              <w:rPr>
                <w:rFonts w:cs="Times New Roman"/>
                <w:szCs w:val="24"/>
              </w:rPr>
              <w:t xml:space="preserve">200 mg 3 times a day for 1 week, then 200 mg twice daily for 1 week, then usually 200 mg daily adjusted according to response. </w:t>
            </w:r>
          </w:p>
          <w:p w14:paraId="7807186D" w14:textId="77777777" w:rsidR="0053763D" w:rsidRDefault="0053763D" w:rsidP="00C46407">
            <w:pPr>
              <w:jc w:val="both"/>
              <w:rPr>
                <w:rFonts w:cs="Times New Roman"/>
                <w:i/>
                <w:szCs w:val="24"/>
              </w:rPr>
            </w:pPr>
            <w:r w:rsidRPr="00F10C37">
              <w:rPr>
                <w:rFonts w:cs="Times New Roman"/>
                <w:b/>
                <w:szCs w:val="24"/>
              </w:rPr>
              <w:t>Ventricular fibrillation or pulseless ventricular tachycardia refractory to defibrillation</w:t>
            </w:r>
            <w:r w:rsidRPr="00F10C37">
              <w:rPr>
                <w:rFonts w:cs="Times New Roman"/>
                <w:szCs w:val="24"/>
              </w:rPr>
              <w:t xml:space="preserve"> </w:t>
            </w:r>
            <w:r w:rsidRPr="00CE6922">
              <w:rPr>
                <w:rFonts w:cs="Times New Roman"/>
                <w:b/>
                <w:szCs w:val="24"/>
              </w:rPr>
              <w:t>(for cardiopulmonary resuscitation)</w:t>
            </w:r>
            <w:r>
              <w:rPr>
                <w:rFonts w:cs="Times New Roman"/>
                <w:b/>
                <w:szCs w:val="24"/>
              </w:rPr>
              <w:t>:</w:t>
            </w:r>
            <w:r w:rsidRPr="00F10C37">
              <w:rPr>
                <w:rFonts w:cs="Times New Roman"/>
                <w:szCs w:val="24"/>
              </w:rPr>
              <w:t xml:space="preserve"> </w:t>
            </w:r>
            <w:r w:rsidRPr="00F10C37">
              <w:rPr>
                <w:rFonts w:cs="Times New Roman"/>
                <w:b/>
                <w:szCs w:val="24"/>
              </w:rPr>
              <w:t>Adult:</w:t>
            </w:r>
            <w:r w:rsidRPr="00F10C37">
              <w:rPr>
                <w:rFonts w:cs="Times New Roman"/>
                <w:szCs w:val="24"/>
              </w:rPr>
              <w:t xml:space="preserve"> Initially 300mg as IV infusion, dose to be given over at least 3 minutes, dose should be given from a pre-filled syringe or diluted in 20 </w:t>
            </w:r>
            <w:r>
              <w:rPr>
                <w:rFonts w:cs="Times New Roman"/>
                <w:szCs w:val="24"/>
              </w:rPr>
              <w:t>ml</w:t>
            </w:r>
            <w:r w:rsidRPr="00F10C37">
              <w:rPr>
                <w:rFonts w:cs="Times New Roman"/>
                <w:szCs w:val="24"/>
              </w:rPr>
              <w:t xml:space="preserve"> Glucose 5%, then 150 mg </w:t>
            </w:r>
            <w:r w:rsidRPr="00CE6922">
              <w:rPr>
                <w:rFonts w:cs="Times New Roman"/>
                <w:szCs w:val="24"/>
              </w:rPr>
              <w:t>if required</w:t>
            </w:r>
            <w:r w:rsidRPr="00F10C37">
              <w:rPr>
                <w:rFonts w:cs="Times New Roman"/>
                <w:i/>
                <w:szCs w:val="24"/>
              </w:rPr>
              <w:t xml:space="preserve">. </w:t>
            </w:r>
          </w:p>
          <w:p w14:paraId="4340F5AC" w14:textId="77777777" w:rsidR="0053763D"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5 mg/kg to be given over at least 3 minutes</w:t>
            </w:r>
          </w:p>
          <w:p w14:paraId="2E1DACDD" w14:textId="77777777" w:rsidR="0053763D" w:rsidRPr="00F10C37"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5 mg/kg (max. per dose 300 mg) to be given over at least 3 minutes.</w:t>
            </w:r>
          </w:p>
          <w:p w14:paraId="437D6AE8" w14:textId="77777777" w:rsidR="0053763D" w:rsidRPr="00F10C37" w:rsidRDefault="0053763D" w:rsidP="00C46407">
            <w:pPr>
              <w:jc w:val="both"/>
              <w:rPr>
                <w:rFonts w:cs="Times New Roman"/>
                <w:szCs w:val="24"/>
              </w:rPr>
            </w:pPr>
            <w:r w:rsidRPr="00CE6922">
              <w:rPr>
                <w:rFonts w:cs="Times New Roman"/>
                <w:i/>
                <w:szCs w:val="24"/>
              </w:rPr>
              <w:t>Note:</w:t>
            </w:r>
            <w:r w:rsidRPr="00F10C37">
              <w:rPr>
                <w:rFonts w:cs="Times New Roman"/>
                <w:szCs w:val="24"/>
              </w:rPr>
              <w:t xml:space="preserve"> </w:t>
            </w:r>
            <w:r w:rsidRPr="003D3E3A">
              <w:rPr>
                <w:rFonts w:cs="Times New Roman"/>
                <w:i/>
                <w:szCs w:val="24"/>
              </w:rPr>
              <w:t>avoid bolus injection in cardiomyopathy, congestive heart failure, circulatory collapse, severe arterial hypotension, and severe respiratory failure.</w:t>
            </w:r>
          </w:p>
        </w:tc>
      </w:tr>
      <w:tr w:rsidR="0053763D" w:rsidRPr="00F10C37" w14:paraId="18318270" w14:textId="77777777" w:rsidTr="00C46407">
        <w:tc>
          <w:tcPr>
            <w:tcW w:w="2425" w:type="dxa"/>
          </w:tcPr>
          <w:p w14:paraId="3A1B7973"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gridSpan w:val="5"/>
          </w:tcPr>
          <w:p w14:paraId="4B0EF749" w14:textId="77777777" w:rsidR="0053763D" w:rsidRPr="00F10C37" w:rsidRDefault="0053763D" w:rsidP="00C46407">
            <w:pPr>
              <w:jc w:val="both"/>
              <w:rPr>
                <w:rFonts w:cs="Times New Roman"/>
                <w:szCs w:val="24"/>
              </w:rPr>
            </w:pPr>
            <w:r w:rsidRPr="00F10C37">
              <w:rPr>
                <w:rFonts w:cs="Times New Roman"/>
                <w:szCs w:val="24"/>
              </w:rPr>
              <w:t xml:space="preserve">Hypersensitivity to </w:t>
            </w:r>
            <w:r>
              <w:rPr>
                <w:rFonts w:cs="Times New Roman"/>
                <w:szCs w:val="24"/>
              </w:rPr>
              <w:t xml:space="preserve">the drug or </w:t>
            </w:r>
            <w:r w:rsidRPr="00F10C37">
              <w:rPr>
                <w:rFonts w:cs="Times New Roman"/>
                <w:szCs w:val="24"/>
              </w:rPr>
              <w:t>iodine, sino-atrial heart block or sinus bradycardi</w:t>
            </w:r>
            <w:r>
              <w:rPr>
                <w:rFonts w:cs="Times New Roman"/>
                <w:szCs w:val="24"/>
              </w:rPr>
              <w:t>a</w:t>
            </w:r>
            <w:r w:rsidRPr="00F10C37">
              <w:rPr>
                <w:rFonts w:cs="Times New Roman"/>
                <w:szCs w:val="24"/>
              </w:rPr>
              <w:t xml:space="preserve">, thyroid dysfunction, combination of amiodarone with drugs which may induce Torsades de Pointes, pregnancy and breastfeeding. </w:t>
            </w:r>
          </w:p>
        </w:tc>
      </w:tr>
      <w:tr w:rsidR="0053763D" w:rsidRPr="00F10C37" w14:paraId="39887E7D" w14:textId="77777777" w:rsidTr="00C46407">
        <w:tc>
          <w:tcPr>
            <w:tcW w:w="2425" w:type="dxa"/>
          </w:tcPr>
          <w:p w14:paraId="3E65D123"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930" w:type="dxa"/>
            <w:gridSpan w:val="5"/>
          </w:tcPr>
          <w:p w14:paraId="63150C5F" w14:textId="77777777" w:rsidR="0053763D" w:rsidRPr="00F10C37" w:rsidRDefault="0053763D" w:rsidP="00C46407">
            <w:pPr>
              <w:jc w:val="both"/>
              <w:rPr>
                <w:rFonts w:cs="Times New Roman"/>
                <w:szCs w:val="24"/>
              </w:rPr>
            </w:pPr>
            <w:r w:rsidRPr="00F10C37">
              <w:rPr>
                <w:rFonts w:cs="Times New Roman"/>
                <w:szCs w:val="24"/>
              </w:rPr>
              <w:t>Quinidine, procainamide, sotalol, co-trimoxazole, pentamidine injection, some antipsychotics (chlorpromazine, fluphenazine, haloperidol), lithium and TCAs, anti-malarials, erythromycin, clarithromycin, fluoroquinolones, beta blockers, diltiazem, verapamil, stimulant laxatives, diuretics, systemic corticosteroids, amphotericin, general anaesthesia, high dose oxygen therapy, ticagrelor, ciclosporin, simvastatin, lidocaine, tacrolimus, sildenafil, fentanyl, midazolam, ergotamine and colchicine).</w:t>
            </w:r>
          </w:p>
        </w:tc>
      </w:tr>
      <w:tr w:rsidR="0053763D" w:rsidRPr="00F10C37" w14:paraId="1DA68835" w14:textId="77777777" w:rsidTr="00C46407">
        <w:tc>
          <w:tcPr>
            <w:tcW w:w="2425" w:type="dxa"/>
          </w:tcPr>
          <w:p w14:paraId="4469636B"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5"/>
          </w:tcPr>
          <w:p w14:paraId="1A17C9D4"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 xml:space="preserve">Arrhythmias, hepatic disorders, hyperthyroidism, nausea, respiratory disorders, skin reactions, bronchospasm </w:t>
            </w:r>
            <w:r w:rsidRPr="00F10C37">
              <w:rPr>
                <w:rFonts w:eastAsiaTheme="minorHAnsi" w:cs="Times New Roman"/>
                <w:color w:val="231F20"/>
                <w:kern w:val="0"/>
                <w:szCs w:val="24"/>
                <w:lang w:val="en-US" w:eastAsia="en-US"/>
              </w:rPr>
              <w:t>in patients with severe respiratory failure</w:t>
            </w:r>
            <w:r w:rsidRPr="00F10C37">
              <w:rPr>
                <w:rFonts w:cs="Times New Roman"/>
                <w:szCs w:val="24"/>
              </w:rPr>
              <w:t xml:space="preserve"> constipation, corneal deposits, hypothyroidism, movement disorders, photosensitivity reaction, sleep disorders, taste altered and vomiting whereas hypotension is common with parenteral use, </w:t>
            </w:r>
            <w:r w:rsidRPr="00F10C37">
              <w:rPr>
                <w:rFonts w:eastAsiaTheme="minorHAnsi" w:cs="Times New Roman"/>
                <w:color w:val="231F20"/>
                <w:kern w:val="0"/>
                <w:szCs w:val="24"/>
                <w:lang w:val="en-US" w:eastAsia="en-US"/>
              </w:rPr>
              <w:t>idiopathic intracranial hypertension, nerve disorders.</w:t>
            </w:r>
          </w:p>
        </w:tc>
      </w:tr>
      <w:tr w:rsidR="0053763D" w:rsidRPr="00F10C37" w14:paraId="2AF2EC0F" w14:textId="77777777" w:rsidTr="00C46407">
        <w:tc>
          <w:tcPr>
            <w:tcW w:w="2425" w:type="dxa"/>
          </w:tcPr>
          <w:p w14:paraId="18C429F4"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tcPr>
          <w:p w14:paraId="388A412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Acute porphyria’s, conduction disturbances, elderly, heart failure, hypokalemia, severe bradycardia, moderate and transient fall in blood pressure, severe hepatocellular toxicity, </w:t>
            </w:r>
            <w:r w:rsidRPr="00F10C37">
              <w:rPr>
                <w:rFonts w:cs="Times New Roman"/>
                <w:szCs w:val="24"/>
              </w:rPr>
              <w:t xml:space="preserve">patients taking amiodarone may develop corneal microdeposits. </w:t>
            </w:r>
          </w:p>
        </w:tc>
      </w:tr>
      <w:tr w:rsidR="0053763D" w:rsidRPr="00F10C37" w14:paraId="3218FFA4" w14:textId="77777777" w:rsidTr="00C46407">
        <w:tc>
          <w:tcPr>
            <w:tcW w:w="2425" w:type="dxa"/>
          </w:tcPr>
          <w:p w14:paraId="4456C255"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4F6A0A46" w14:textId="77777777" w:rsidR="0053763D" w:rsidRPr="00F10C37" w:rsidRDefault="0053763D" w:rsidP="00C46407">
            <w:pPr>
              <w:jc w:val="both"/>
              <w:rPr>
                <w:rFonts w:cs="Times New Roman"/>
                <w:szCs w:val="24"/>
              </w:rPr>
            </w:pPr>
            <w:r w:rsidRPr="00F10C37">
              <w:rPr>
                <w:rFonts w:cs="Times New Roman"/>
                <w:szCs w:val="24"/>
              </w:rPr>
              <w:t>Store between 15°C and 30°C. Protect from light and heat.</w:t>
            </w:r>
          </w:p>
        </w:tc>
      </w:tr>
      <w:tr w:rsidR="0053763D" w:rsidRPr="00F10C37" w14:paraId="0C545DC2" w14:textId="77777777" w:rsidTr="00C46407">
        <w:trPr>
          <w:trHeight w:val="512"/>
        </w:trPr>
        <w:tc>
          <w:tcPr>
            <w:tcW w:w="9355" w:type="dxa"/>
            <w:gridSpan w:val="6"/>
          </w:tcPr>
          <w:p w14:paraId="0413F2C0" w14:textId="77777777" w:rsidR="0053763D" w:rsidRPr="00F10C37" w:rsidRDefault="0053763D" w:rsidP="00C46407">
            <w:pPr>
              <w:jc w:val="both"/>
              <w:rPr>
                <w:rFonts w:cs="Times New Roman"/>
                <w:b/>
                <w:szCs w:val="24"/>
              </w:rPr>
            </w:pPr>
            <w:r w:rsidRPr="00F10C37">
              <w:rPr>
                <w:rFonts w:cs="Times New Roman"/>
                <w:b/>
                <w:color w:val="000000"/>
                <w:szCs w:val="24"/>
              </w:rPr>
              <w:t>Atropine sulfate</w:t>
            </w:r>
          </w:p>
        </w:tc>
      </w:tr>
      <w:tr w:rsidR="0053763D" w:rsidRPr="00F10C37" w14:paraId="11639CEF" w14:textId="77777777" w:rsidTr="00C46407">
        <w:trPr>
          <w:trHeight w:val="512"/>
        </w:trPr>
        <w:tc>
          <w:tcPr>
            <w:tcW w:w="2425" w:type="dxa"/>
          </w:tcPr>
          <w:p w14:paraId="1B9DA32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098A1566" w14:textId="77777777" w:rsidR="0053763D" w:rsidRPr="00F10C37" w:rsidRDefault="0053763D" w:rsidP="00C46407">
            <w:pPr>
              <w:jc w:val="both"/>
              <w:rPr>
                <w:rFonts w:cs="Times New Roman"/>
                <w:szCs w:val="24"/>
              </w:rPr>
            </w:pPr>
            <w:r w:rsidRPr="00F10C37">
              <w:rPr>
                <w:rFonts w:cs="Times New Roman"/>
                <w:szCs w:val="24"/>
              </w:rPr>
              <w:t>Other antiarrhythmi</w:t>
            </w:r>
            <w:r>
              <w:rPr>
                <w:rFonts w:cs="Times New Roman"/>
                <w:szCs w:val="24"/>
              </w:rPr>
              <w:t>c</w:t>
            </w:r>
            <w:r w:rsidRPr="00F10C37">
              <w:rPr>
                <w:rFonts w:cs="Times New Roman"/>
                <w:szCs w:val="24"/>
              </w:rPr>
              <w:t>/antimuscarinic</w:t>
            </w:r>
          </w:p>
        </w:tc>
      </w:tr>
      <w:tr w:rsidR="0053763D" w:rsidRPr="00F10C37" w14:paraId="1CE70DA3" w14:textId="77777777" w:rsidTr="00C46407">
        <w:trPr>
          <w:trHeight w:val="395"/>
        </w:trPr>
        <w:tc>
          <w:tcPr>
            <w:tcW w:w="2425" w:type="dxa"/>
          </w:tcPr>
          <w:p w14:paraId="35883D1D"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469D5588"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0.1mg/</w:t>
            </w:r>
            <w:r>
              <w:rPr>
                <w:rFonts w:cs="Times New Roman"/>
                <w:szCs w:val="24"/>
                <w:lang w:val="en-US"/>
              </w:rPr>
              <w:t>ml</w:t>
            </w:r>
            <w:r w:rsidRPr="00F10C37">
              <w:rPr>
                <w:rFonts w:cs="Times New Roman"/>
                <w:szCs w:val="24"/>
                <w:lang w:val="en-US"/>
              </w:rPr>
              <w:t>, 1mg/</w:t>
            </w:r>
            <w:r>
              <w:rPr>
                <w:rFonts w:cs="Times New Roman"/>
                <w:szCs w:val="24"/>
                <w:lang w:val="en-US"/>
              </w:rPr>
              <w:t>ml</w:t>
            </w:r>
            <w:r w:rsidRPr="00F10C37">
              <w:rPr>
                <w:rFonts w:cs="Times New Roman"/>
                <w:szCs w:val="24"/>
                <w:lang w:val="en-US"/>
              </w:rPr>
              <w:t xml:space="preserve"> (as sulphate) in 1-</w:t>
            </w:r>
            <w:r>
              <w:rPr>
                <w:rFonts w:cs="Times New Roman"/>
                <w:szCs w:val="24"/>
                <w:lang w:val="en-US"/>
              </w:rPr>
              <w:t>ml</w:t>
            </w:r>
            <w:r w:rsidRPr="00F10C37">
              <w:rPr>
                <w:rFonts w:cs="Times New Roman"/>
                <w:szCs w:val="24"/>
                <w:lang w:val="en-US"/>
              </w:rPr>
              <w:t xml:space="preserve"> ampule</w:t>
            </w:r>
          </w:p>
        </w:tc>
      </w:tr>
      <w:tr w:rsidR="0053763D" w:rsidRPr="00F10C37" w14:paraId="2D8DE94B" w14:textId="77777777" w:rsidTr="00C46407">
        <w:trPr>
          <w:trHeight w:val="521"/>
        </w:trPr>
        <w:tc>
          <w:tcPr>
            <w:tcW w:w="2425" w:type="dxa"/>
          </w:tcPr>
          <w:p w14:paraId="6702E7C6" w14:textId="77777777" w:rsidR="0053763D" w:rsidRPr="00762630" w:rsidRDefault="0053763D" w:rsidP="00C46407">
            <w:pPr>
              <w:jc w:val="both"/>
              <w:rPr>
                <w:rFonts w:cs="Times New Roman"/>
                <w:szCs w:val="24"/>
              </w:rPr>
            </w:pPr>
            <w:r w:rsidRPr="00762630">
              <w:rPr>
                <w:rFonts w:cs="Times New Roman"/>
                <w:szCs w:val="24"/>
              </w:rPr>
              <w:t>Indications</w:t>
            </w:r>
          </w:p>
        </w:tc>
        <w:tc>
          <w:tcPr>
            <w:tcW w:w="6930" w:type="dxa"/>
            <w:gridSpan w:val="5"/>
          </w:tcPr>
          <w:p w14:paraId="758294A8" w14:textId="77777777" w:rsidR="0053763D" w:rsidRPr="00F10C37" w:rsidRDefault="0053763D" w:rsidP="00C46407">
            <w:pPr>
              <w:jc w:val="both"/>
              <w:rPr>
                <w:rFonts w:cs="Times New Roman"/>
                <w:szCs w:val="24"/>
              </w:rPr>
            </w:pPr>
            <w:r w:rsidRPr="00F10C37">
              <w:rPr>
                <w:rFonts w:cs="Times New Roman"/>
                <w:szCs w:val="24"/>
              </w:rPr>
              <w:t>Symptomatic bradycardia, intra-operative bradycardia, bradycardia following myocardial infarction, symptomatic bradycardia due to acute massive over dosage of beta-blockers</w:t>
            </w:r>
          </w:p>
        </w:tc>
      </w:tr>
      <w:tr w:rsidR="0053763D" w:rsidRPr="00F10C37" w14:paraId="0EAC2F02" w14:textId="77777777" w:rsidTr="00C46407">
        <w:trPr>
          <w:trHeight w:val="521"/>
        </w:trPr>
        <w:tc>
          <w:tcPr>
            <w:tcW w:w="2425" w:type="dxa"/>
          </w:tcPr>
          <w:p w14:paraId="383BAA41"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63FF4871" w14:textId="77777777" w:rsidR="0053763D" w:rsidRPr="00F10C37" w:rsidRDefault="0053763D" w:rsidP="00C46407">
            <w:pPr>
              <w:jc w:val="both"/>
              <w:rPr>
                <w:rFonts w:cs="Times New Roman"/>
                <w:szCs w:val="24"/>
              </w:rPr>
            </w:pPr>
            <w:r w:rsidRPr="00F10C37">
              <w:rPr>
                <w:rFonts w:cs="Times New Roman"/>
                <w:b/>
                <w:szCs w:val="24"/>
              </w:rPr>
              <w:t>Symptomatic bradycardia</w:t>
            </w:r>
            <w:r w:rsidRPr="00F10C37">
              <w:rPr>
                <w:rFonts w:cs="Times New Roman"/>
                <w:szCs w:val="24"/>
              </w:rPr>
              <w:t xml:space="preserve"> due to acute over dosage of beta-blockers, intravenous injection: </w:t>
            </w:r>
          </w:p>
          <w:p w14:paraId="538B062B"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0.5–1.2 mg, repeat doses may be necessary. </w:t>
            </w:r>
          </w:p>
          <w:p w14:paraId="177887C6" w14:textId="77777777" w:rsidR="0053763D" w:rsidRPr="00F10C37"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0.02 mg/kg (max. per dose 1.2 mg), repeat doses may be necessary. </w:t>
            </w:r>
          </w:p>
          <w:p w14:paraId="05FD7CD7" w14:textId="77777777" w:rsidR="0053763D" w:rsidRPr="00F10C37" w:rsidRDefault="0053763D" w:rsidP="00C46407">
            <w:pPr>
              <w:jc w:val="both"/>
              <w:rPr>
                <w:rFonts w:cs="Times New Roman"/>
                <w:szCs w:val="24"/>
              </w:rPr>
            </w:pPr>
            <w:r w:rsidRPr="00F10C37">
              <w:rPr>
                <w:rFonts w:cs="Times New Roman"/>
                <w:b/>
                <w:szCs w:val="24"/>
              </w:rPr>
              <w:lastRenderedPageBreak/>
              <w:t>Excessive bradycardia</w:t>
            </w:r>
            <w:r w:rsidRPr="00F10C37">
              <w:rPr>
                <w:rFonts w:cs="Times New Roman"/>
                <w:szCs w:val="24"/>
              </w:rPr>
              <w:t xml:space="preserve"> associated with beta-blocker use, </w:t>
            </w:r>
            <w:r>
              <w:rPr>
                <w:rFonts w:cs="Times New Roman"/>
                <w:szCs w:val="24"/>
              </w:rPr>
              <w:t>IV</w:t>
            </w:r>
            <w:r w:rsidRPr="00F10C37">
              <w:rPr>
                <w:rFonts w:cs="Times New Roman"/>
                <w:szCs w:val="24"/>
              </w:rPr>
              <w:t xml:space="preserve"> injection:</w:t>
            </w:r>
          </w:p>
          <w:p w14:paraId="68AB09A3"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0.6–2.4 mg in divided doses (max. per dose 0.6 mg)</w:t>
            </w:r>
          </w:p>
          <w:p w14:paraId="049DA1A3" w14:textId="77777777" w:rsidR="0053763D" w:rsidRPr="00F10C37"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10–20 m</w:t>
            </w:r>
            <w:r>
              <w:rPr>
                <w:rFonts w:cs="Times New Roman"/>
                <w:szCs w:val="24"/>
              </w:rPr>
              <w:t>cg</w:t>
            </w:r>
            <w:r w:rsidRPr="00F10C37">
              <w:rPr>
                <w:rFonts w:cs="Times New Roman"/>
                <w:szCs w:val="24"/>
              </w:rPr>
              <w:t xml:space="preserve">/kg; </w:t>
            </w:r>
            <w:r w:rsidRPr="00F10C37">
              <w:rPr>
                <w:rFonts w:cs="Times New Roman"/>
                <w:b/>
                <w:szCs w:val="24"/>
              </w:rPr>
              <w:t>Infants:</w:t>
            </w:r>
            <w:r w:rsidRPr="00F10C37">
              <w:rPr>
                <w:rFonts w:cs="Times New Roman"/>
                <w:szCs w:val="24"/>
              </w:rPr>
              <w:t xml:space="preserve"> 1 month – 11 years:10–20 m</w:t>
            </w:r>
            <w:r>
              <w:rPr>
                <w:rFonts w:cs="Times New Roman"/>
                <w:szCs w:val="24"/>
              </w:rPr>
              <w:t>cg</w:t>
            </w:r>
            <w:r w:rsidRPr="00F10C37">
              <w:rPr>
                <w:rFonts w:cs="Times New Roman"/>
                <w:szCs w:val="24"/>
              </w:rPr>
              <w:t xml:space="preserve">/kg </w:t>
            </w:r>
            <w:r w:rsidRPr="00F10C37">
              <w:rPr>
                <w:rFonts w:cs="Times New Roman"/>
                <w:b/>
                <w:szCs w:val="24"/>
              </w:rPr>
              <w:t>Child from 12–17 years</w:t>
            </w:r>
            <w:r w:rsidRPr="00F10C37">
              <w:rPr>
                <w:rFonts w:cs="Times New Roman"/>
                <w:szCs w:val="24"/>
              </w:rPr>
              <w:t xml:space="preserve">: 300–600 </w:t>
            </w:r>
            <w:r>
              <w:rPr>
                <w:rFonts w:cs="Times New Roman"/>
                <w:szCs w:val="24"/>
              </w:rPr>
              <w:t>mcg</w:t>
            </w:r>
            <w:r w:rsidRPr="00F10C37">
              <w:rPr>
                <w:rFonts w:cs="Times New Roman"/>
                <w:szCs w:val="24"/>
              </w:rPr>
              <w:t>, larger doses may be used in emergencies</w:t>
            </w:r>
            <w:r>
              <w:rPr>
                <w:rFonts w:cs="Times New Roman"/>
                <w:szCs w:val="24"/>
              </w:rPr>
              <w:t>.</w:t>
            </w:r>
          </w:p>
          <w:p w14:paraId="2E4EA183" w14:textId="77777777" w:rsidR="0053763D" w:rsidRPr="00F10C37" w:rsidRDefault="0053763D" w:rsidP="00C46407">
            <w:pPr>
              <w:jc w:val="both"/>
              <w:rPr>
                <w:rFonts w:cs="Times New Roman"/>
                <w:szCs w:val="24"/>
              </w:rPr>
            </w:pPr>
            <w:r w:rsidRPr="00F10C37">
              <w:rPr>
                <w:rFonts w:cs="Times New Roman"/>
                <w:b/>
                <w:szCs w:val="24"/>
              </w:rPr>
              <w:t>Bradycardia following MI</w:t>
            </w:r>
            <w:r w:rsidRPr="00F10C37">
              <w:rPr>
                <w:rFonts w:cs="Times New Roman"/>
                <w:szCs w:val="24"/>
              </w:rPr>
              <w:t xml:space="preserve"> (particularly if complicated by hypotension), </w:t>
            </w:r>
            <w:r>
              <w:rPr>
                <w:rFonts w:cs="Times New Roman"/>
                <w:szCs w:val="24"/>
              </w:rPr>
              <w:t>IV</w:t>
            </w:r>
            <w:r w:rsidRPr="00F10C37">
              <w:rPr>
                <w:rFonts w:cs="Times New Roman"/>
                <w:szCs w:val="24"/>
              </w:rPr>
              <w:t xml:space="preserve"> injection: </w:t>
            </w:r>
          </w:p>
          <w:p w14:paraId="1996FA61" w14:textId="77777777" w:rsidR="0053763D" w:rsidRPr="00F10C37"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500 m</w:t>
            </w:r>
            <w:r>
              <w:rPr>
                <w:rFonts w:cs="Times New Roman"/>
                <w:szCs w:val="24"/>
              </w:rPr>
              <w:t>cg</w:t>
            </w:r>
            <w:r w:rsidRPr="00F10C37">
              <w:rPr>
                <w:rFonts w:cs="Times New Roman"/>
                <w:szCs w:val="24"/>
              </w:rPr>
              <w:t xml:space="preserve"> every 3–5 minutes; maximum 3 mg per course.</w:t>
            </w:r>
          </w:p>
          <w:p w14:paraId="50102245" w14:textId="77777777" w:rsidR="0053763D" w:rsidRPr="00F10C37" w:rsidRDefault="0053763D" w:rsidP="00C46407">
            <w:pPr>
              <w:jc w:val="both"/>
              <w:rPr>
                <w:rFonts w:cs="Times New Roman"/>
                <w:szCs w:val="24"/>
              </w:rPr>
            </w:pPr>
            <w:r w:rsidRPr="00F10C37">
              <w:rPr>
                <w:rFonts w:cs="Times New Roman"/>
                <w:b/>
                <w:szCs w:val="24"/>
              </w:rPr>
              <w:t>Intra operative bradycardia</w:t>
            </w:r>
            <w:r w:rsidRPr="00F10C37">
              <w:rPr>
                <w:rFonts w:cs="Times New Roman"/>
                <w:szCs w:val="24"/>
              </w:rPr>
              <w:t xml:space="preserve">, </w:t>
            </w:r>
            <w:r>
              <w:rPr>
                <w:rFonts w:cs="Times New Roman"/>
                <w:szCs w:val="24"/>
              </w:rPr>
              <w:t>IV</w:t>
            </w:r>
            <w:r w:rsidRPr="00F10C37">
              <w:rPr>
                <w:rFonts w:cs="Times New Roman"/>
                <w:szCs w:val="24"/>
              </w:rPr>
              <w:t xml:space="preserve"> injection; </w:t>
            </w:r>
          </w:p>
          <w:p w14:paraId="15FF9267" w14:textId="77777777" w:rsidR="0053763D" w:rsidRPr="00F10C37" w:rsidRDefault="0053763D" w:rsidP="00C46407">
            <w:pPr>
              <w:jc w:val="both"/>
              <w:rPr>
                <w:rFonts w:cs="Times New Roman"/>
                <w:b/>
                <w:szCs w:val="24"/>
              </w:rPr>
            </w:pPr>
            <w:r w:rsidRPr="00F10C37">
              <w:rPr>
                <w:rFonts w:cs="Times New Roman"/>
                <w:b/>
                <w:szCs w:val="24"/>
              </w:rPr>
              <w:t xml:space="preserve">Adult: </w:t>
            </w:r>
            <w:r w:rsidRPr="00F10C37">
              <w:rPr>
                <w:rFonts w:cs="Times New Roman"/>
                <w:szCs w:val="24"/>
              </w:rPr>
              <w:t>300–600 m</w:t>
            </w:r>
            <w:r>
              <w:rPr>
                <w:rFonts w:cs="Times New Roman"/>
                <w:szCs w:val="24"/>
              </w:rPr>
              <w:t>cg</w:t>
            </w:r>
            <w:r w:rsidRPr="00F10C37">
              <w:rPr>
                <w:rFonts w:cs="Times New Roman"/>
                <w:szCs w:val="24"/>
              </w:rPr>
              <w:t xml:space="preserve">, larger doses may be used in emergencies. </w:t>
            </w:r>
          </w:p>
          <w:p w14:paraId="08A02B06" w14:textId="77777777" w:rsidR="0053763D"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10–20 </w:t>
            </w:r>
            <w:r>
              <w:rPr>
                <w:rFonts w:cs="Times New Roman"/>
                <w:szCs w:val="24"/>
              </w:rPr>
              <w:t>mcg</w:t>
            </w:r>
            <w:r w:rsidRPr="00F10C37">
              <w:rPr>
                <w:rFonts w:cs="Times New Roman"/>
                <w:szCs w:val="24"/>
              </w:rPr>
              <w:t xml:space="preserve">/kg </w:t>
            </w:r>
          </w:p>
          <w:p w14:paraId="039F421A" w14:textId="77777777" w:rsidR="0053763D"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1 month–11 years: 10–20 m</w:t>
            </w:r>
            <w:r>
              <w:rPr>
                <w:rFonts w:cs="Times New Roman"/>
                <w:szCs w:val="24"/>
              </w:rPr>
              <w:t>cg</w:t>
            </w:r>
            <w:r w:rsidRPr="00F10C37">
              <w:rPr>
                <w:rFonts w:cs="Times New Roman"/>
                <w:szCs w:val="24"/>
              </w:rPr>
              <w:t xml:space="preserve">/kg </w:t>
            </w:r>
          </w:p>
          <w:p w14:paraId="0FB78669" w14:textId="77777777" w:rsidR="0053763D" w:rsidRPr="00F10C37" w:rsidRDefault="0053763D" w:rsidP="00C46407">
            <w:pPr>
              <w:jc w:val="both"/>
              <w:rPr>
                <w:rFonts w:cs="Times New Roman"/>
                <w:szCs w:val="24"/>
              </w:rPr>
            </w:pPr>
            <w:r w:rsidRPr="00F10C37">
              <w:rPr>
                <w:rFonts w:cs="Times New Roman"/>
                <w:b/>
                <w:szCs w:val="24"/>
              </w:rPr>
              <w:t xml:space="preserve">Child: </w:t>
            </w:r>
            <w:r w:rsidRPr="00F10C37">
              <w:rPr>
                <w:rFonts w:cs="Times New Roman"/>
                <w:szCs w:val="24"/>
              </w:rPr>
              <w:t>12–17 years: 300–600 m</w:t>
            </w:r>
            <w:r>
              <w:rPr>
                <w:rFonts w:cs="Times New Roman"/>
                <w:szCs w:val="24"/>
              </w:rPr>
              <w:t>cg</w:t>
            </w:r>
            <w:r w:rsidRPr="00F10C37">
              <w:rPr>
                <w:rFonts w:cs="Times New Roman"/>
                <w:szCs w:val="24"/>
              </w:rPr>
              <w:t xml:space="preserve">, larger doses may be used in emergencies. </w:t>
            </w:r>
          </w:p>
        </w:tc>
      </w:tr>
      <w:tr w:rsidR="0053763D" w:rsidRPr="00F10C37" w14:paraId="71E3B6D2" w14:textId="77777777" w:rsidTr="00C46407">
        <w:tc>
          <w:tcPr>
            <w:tcW w:w="2425" w:type="dxa"/>
          </w:tcPr>
          <w:p w14:paraId="7E94106D"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gridSpan w:val="5"/>
          </w:tcPr>
          <w:p w14:paraId="1147285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cs="Times New Roman"/>
                <w:szCs w:val="24"/>
              </w:rPr>
              <w:t>H</w:t>
            </w:r>
            <w:r w:rsidRPr="00F10C37">
              <w:rPr>
                <w:rFonts w:cs="Times New Roman"/>
                <w:szCs w:val="24"/>
              </w:rPr>
              <w:t xml:space="preserve">ypersensitivity to the </w:t>
            </w:r>
            <w:r>
              <w:rPr>
                <w:rFonts w:cs="Times New Roman"/>
                <w:szCs w:val="24"/>
              </w:rPr>
              <w:t xml:space="preserve">drug or </w:t>
            </w:r>
            <w:r w:rsidRPr="00F10C37">
              <w:rPr>
                <w:rFonts w:cs="Times New Roman"/>
                <w:szCs w:val="24"/>
              </w:rPr>
              <w:t>belladonna alkaloids</w:t>
            </w:r>
            <w:r>
              <w:rPr>
                <w:rFonts w:cs="Times New Roman"/>
                <w:szCs w:val="24"/>
              </w:rPr>
              <w:t xml:space="preserve">, </w:t>
            </w:r>
            <w:r>
              <w:rPr>
                <w:rFonts w:eastAsiaTheme="minorHAnsi" w:cs="Times New Roman"/>
                <w:kern w:val="0"/>
                <w:szCs w:val="24"/>
                <w:lang w:val="en-US" w:eastAsia="en-US"/>
              </w:rPr>
              <w:t>c</w:t>
            </w:r>
            <w:r w:rsidRPr="00F10C37">
              <w:rPr>
                <w:rFonts w:eastAsiaTheme="minorHAnsi" w:cs="Times New Roman"/>
                <w:kern w:val="0"/>
                <w:szCs w:val="24"/>
                <w:lang w:val="en-US" w:eastAsia="en-US"/>
              </w:rPr>
              <w:t xml:space="preserve">losed-angle glaucoma, myasthenia gravis, prostatic enlargement, severe </w:t>
            </w:r>
            <w:r>
              <w:rPr>
                <w:rFonts w:eastAsiaTheme="minorHAnsi" w:cs="Times New Roman"/>
                <w:kern w:val="0"/>
                <w:szCs w:val="24"/>
                <w:lang w:val="en-US" w:eastAsia="en-US"/>
              </w:rPr>
              <w:t>GI</w:t>
            </w:r>
            <w:r w:rsidRPr="00F10C37">
              <w:rPr>
                <w:rFonts w:eastAsiaTheme="minorHAnsi" w:cs="Times New Roman"/>
                <w:kern w:val="0"/>
                <w:szCs w:val="24"/>
                <w:lang w:val="en-US" w:eastAsia="en-US"/>
              </w:rPr>
              <w:t xml:space="preserve"> inflammatory disease, GI obstruction</w:t>
            </w:r>
            <w:r>
              <w:rPr>
                <w:rFonts w:eastAsiaTheme="minorHAnsi" w:cs="Times New Roman"/>
                <w:kern w:val="0"/>
                <w:szCs w:val="24"/>
                <w:lang w:val="en-US" w:eastAsia="en-US"/>
              </w:rPr>
              <w:t>.</w:t>
            </w:r>
            <w:r w:rsidRPr="00F10C37">
              <w:rPr>
                <w:rFonts w:cs="Times New Roman"/>
                <w:szCs w:val="24"/>
              </w:rPr>
              <w:t xml:space="preserve"> </w:t>
            </w:r>
          </w:p>
        </w:tc>
      </w:tr>
      <w:tr w:rsidR="0053763D" w:rsidRPr="00F10C37" w14:paraId="186890D0" w14:textId="77777777" w:rsidTr="00C46407">
        <w:tc>
          <w:tcPr>
            <w:tcW w:w="2425" w:type="dxa"/>
          </w:tcPr>
          <w:p w14:paraId="47E983FC"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tcPr>
          <w:p w14:paraId="6479316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cs="Times New Roman"/>
                <w:szCs w:val="24"/>
              </w:rPr>
              <w:t>Concomitant administration of other products with antimuscarinic properties, (</w:t>
            </w:r>
            <w:r>
              <w:rPr>
                <w:rFonts w:eastAsiaTheme="minorHAnsi" w:cs="Times New Roman"/>
                <w:kern w:val="0"/>
                <w:szCs w:val="24"/>
                <w:lang w:val="en-US" w:eastAsia="en-US"/>
              </w:rPr>
              <w:t>a</w:t>
            </w:r>
            <w:r w:rsidRPr="00F10C37">
              <w:rPr>
                <w:rFonts w:eastAsiaTheme="minorHAnsi" w:cs="Times New Roman"/>
                <w:kern w:val="0"/>
                <w:szCs w:val="24"/>
                <w:lang w:val="en-US" w:eastAsia="en-US"/>
              </w:rPr>
              <w:t xml:space="preserve">mitriptyline, chlorpheniramine, chlorpromazine, haloperidol, metoclopramide, neostigmine, pyridostigmine), </w:t>
            </w:r>
            <w:r>
              <w:rPr>
                <w:rFonts w:eastAsiaTheme="minorHAnsi" w:cs="Times New Roman"/>
                <w:kern w:val="0"/>
                <w:szCs w:val="24"/>
                <w:lang w:val="en-US" w:eastAsia="en-US"/>
              </w:rPr>
              <w:t>c</w:t>
            </w:r>
            <w:r w:rsidRPr="00F10C37">
              <w:rPr>
                <w:rFonts w:eastAsiaTheme="minorHAnsi" w:cs="Times New Roman"/>
                <w:kern w:val="0"/>
                <w:szCs w:val="24"/>
                <w:lang w:val="en-US" w:eastAsia="en-US"/>
              </w:rPr>
              <w:t xml:space="preserve">lozapine, </w:t>
            </w:r>
            <w:r>
              <w:rPr>
                <w:rFonts w:eastAsiaTheme="minorHAnsi" w:cs="Times New Roman"/>
                <w:kern w:val="0"/>
                <w:szCs w:val="24"/>
                <w:lang w:val="en-US" w:eastAsia="en-US"/>
              </w:rPr>
              <w:t>p</w:t>
            </w:r>
            <w:r w:rsidRPr="00F10C37">
              <w:rPr>
                <w:rFonts w:eastAsiaTheme="minorHAnsi" w:cs="Times New Roman"/>
                <w:kern w:val="0"/>
                <w:szCs w:val="24"/>
                <w:lang w:val="en-US" w:eastAsia="en-US"/>
              </w:rPr>
              <w:t>henylephrine.</w:t>
            </w:r>
          </w:p>
        </w:tc>
      </w:tr>
      <w:tr w:rsidR="0053763D" w:rsidRPr="00F10C37" w14:paraId="681A41C3" w14:textId="77777777" w:rsidTr="00C46407">
        <w:tc>
          <w:tcPr>
            <w:tcW w:w="2425" w:type="dxa"/>
          </w:tcPr>
          <w:p w14:paraId="7E8839F9"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5"/>
          </w:tcPr>
          <w:p w14:paraId="4B25116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Dry mouth, blurred vision, photophobia, flushing and dryness of skin, rash, difficulty in micturition, constipation, tachycardia, palpitations, fever, nausea, vomiting, confusion, seizures, a</w:t>
            </w:r>
            <w:r w:rsidRPr="00F10C37">
              <w:rPr>
                <w:rFonts w:eastAsiaTheme="minorHAnsi" w:cs="Times New Roman"/>
                <w:color w:val="231F20"/>
                <w:kern w:val="0"/>
                <w:szCs w:val="24"/>
                <w:lang w:val="en-US" w:eastAsia="en-US"/>
              </w:rPr>
              <w:t>bdominal distension, anhidrosis, anxiety, arrhythmias, bronchial secretion decreased, dysphagia, hallucination, hyperthermia, movement disorders</w:t>
            </w:r>
          </w:p>
        </w:tc>
      </w:tr>
      <w:tr w:rsidR="0053763D" w:rsidRPr="00F10C37" w14:paraId="5119019A" w14:textId="77777777" w:rsidTr="00C46407">
        <w:tc>
          <w:tcPr>
            <w:tcW w:w="2425" w:type="dxa"/>
          </w:tcPr>
          <w:p w14:paraId="5259B466"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tcPr>
          <w:p w14:paraId="566A8FB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D</w:t>
            </w:r>
            <w:r w:rsidRPr="00F10C37">
              <w:rPr>
                <w:rFonts w:eastAsiaTheme="minorHAnsi" w:cs="Times New Roman"/>
                <w:kern w:val="0"/>
                <w:szCs w:val="24"/>
                <w:lang w:val="en-US" w:eastAsia="en-US"/>
              </w:rPr>
              <w:t xml:space="preserve">own syndrome, children, ulcerative colitis, </w:t>
            </w:r>
            <w:r w:rsidRPr="00F10C37">
              <w:rPr>
                <w:rFonts w:cs="Times New Roman"/>
                <w:szCs w:val="24"/>
              </w:rPr>
              <w:t>elderly, photosensitivity, pregnancy and breastfeeding.</w:t>
            </w:r>
          </w:p>
        </w:tc>
      </w:tr>
      <w:tr w:rsidR="0053763D" w:rsidRPr="00F10C37" w14:paraId="5ED5D832" w14:textId="77777777" w:rsidTr="00C46407">
        <w:tc>
          <w:tcPr>
            <w:tcW w:w="2425" w:type="dxa"/>
          </w:tcPr>
          <w:p w14:paraId="475F56C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2F90BE00" w14:textId="77777777" w:rsidR="0053763D" w:rsidRPr="00F10C37" w:rsidRDefault="0053763D" w:rsidP="00C46407">
            <w:pPr>
              <w:jc w:val="both"/>
              <w:rPr>
                <w:rFonts w:cs="Times New Roman"/>
                <w:szCs w:val="24"/>
              </w:rPr>
            </w:pPr>
            <w:r w:rsidRPr="00F10C37">
              <w:rPr>
                <w:rFonts w:cs="Times New Roman"/>
                <w:szCs w:val="24"/>
              </w:rPr>
              <w:t>Store between 15</w:t>
            </w:r>
            <w:r w:rsidRPr="00F10C37">
              <w:rPr>
                <w:rFonts w:cs="Times New Roman"/>
                <w:szCs w:val="24"/>
                <w:vertAlign w:val="superscript"/>
              </w:rPr>
              <w:t>o</w:t>
            </w:r>
            <w:r w:rsidRPr="00F10C37">
              <w:rPr>
                <w:rFonts w:cs="Times New Roman"/>
                <w:szCs w:val="24"/>
              </w:rPr>
              <w:t xml:space="preserve">C to 30 </w:t>
            </w:r>
            <w:r w:rsidRPr="00F10C37">
              <w:rPr>
                <w:rFonts w:cs="Times New Roman"/>
                <w:szCs w:val="24"/>
                <w:vertAlign w:val="superscript"/>
              </w:rPr>
              <w:t>o</w:t>
            </w:r>
            <w:r w:rsidRPr="00F10C37">
              <w:rPr>
                <w:rFonts w:cs="Times New Roman"/>
                <w:szCs w:val="24"/>
              </w:rPr>
              <w:t>C. Protect from freezing and heat.</w:t>
            </w:r>
          </w:p>
        </w:tc>
      </w:tr>
      <w:tr w:rsidR="0053763D" w:rsidRPr="00F10C37" w14:paraId="765DD6D5" w14:textId="77777777" w:rsidTr="00C46407">
        <w:trPr>
          <w:trHeight w:val="512"/>
        </w:trPr>
        <w:tc>
          <w:tcPr>
            <w:tcW w:w="9355" w:type="dxa"/>
            <w:gridSpan w:val="6"/>
          </w:tcPr>
          <w:p w14:paraId="4CD3D9F8" w14:textId="77777777" w:rsidR="0053763D" w:rsidRPr="00F10C37" w:rsidRDefault="0053763D" w:rsidP="00C46407">
            <w:pPr>
              <w:jc w:val="both"/>
              <w:rPr>
                <w:rFonts w:cs="Times New Roman"/>
                <w:szCs w:val="24"/>
              </w:rPr>
            </w:pPr>
            <w:r w:rsidRPr="00F10C37">
              <w:rPr>
                <w:rFonts w:cs="Times New Roman"/>
                <w:b/>
                <w:szCs w:val="24"/>
              </w:rPr>
              <w:lastRenderedPageBreak/>
              <w:t xml:space="preserve">Bisoprolol </w:t>
            </w:r>
          </w:p>
        </w:tc>
      </w:tr>
      <w:tr w:rsidR="0053763D" w:rsidRPr="00F10C37" w14:paraId="1C272A56" w14:textId="77777777" w:rsidTr="00C46407">
        <w:trPr>
          <w:trHeight w:val="512"/>
        </w:trPr>
        <w:tc>
          <w:tcPr>
            <w:tcW w:w="2425" w:type="dxa"/>
          </w:tcPr>
          <w:p w14:paraId="09079E1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0449BEBE"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Beta blocker, </w:t>
            </w:r>
            <w:r>
              <w:rPr>
                <w:rFonts w:cs="Times New Roman"/>
                <w:szCs w:val="24"/>
              </w:rPr>
              <w:t>c</w:t>
            </w:r>
            <w:r w:rsidRPr="00F10C37">
              <w:rPr>
                <w:rFonts w:cs="Times New Roman"/>
                <w:szCs w:val="24"/>
              </w:rPr>
              <w:t xml:space="preserve">lass II antiarrythimic  </w:t>
            </w:r>
          </w:p>
        </w:tc>
      </w:tr>
      <w:tr w:rsidR="0053763D" w:rsidRPr="00F10C37" w14:paraId="3A671200" w14:textId="77777777" w:rsidTr="00C46407">
        <w:trPr>
          <w:trHeight w:val="341"/>
        </w:trPr>
        <w:tc>
          <w:tcPr>
            <w:tcW w:w="2425" w:type="dxa"/>
          </w:tcPr>
          <w:p w14:paraId="258FD845"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1A689D4B"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2.5mg, 5mg and 10mg </w:t>
            </w:r>
          </w:p>
        </w:tc>
      </w:tr>
      <w:tr w:rsidR="0053763D" w:rsidRPr="00F10C37" w14:paraId="195925EA" w14:textId="77777777" w:rsidTr="00C46407">
        <w:trPr>
          <w:trHeight w:val="521"/>
        </w:trPr>
        <w:tc>
          <w:tcPr>
            <w:tcW w:w="2425" w:type="dxa"/>
          </w:tcPr>
          <w:p w14:paraId="1F2A55FB" w14:textId="77777777" w:rsidR="0053763D" w:rsidRPr="00D7256C" w:rsidRDefault="0053763D" w:rsidP="00C46407">
            <w:pPr>
              <w:jc w:val="both"/>
              <w:rPr>
                <w:rFonts w:cs="Times New Roman"/>
                <w:szCs w:val="24"/>
              </w:rPr>
            </w:pPr>
            <w:r w:rsidRPr="00D7256C">
              <w:rPr>
                <w:rFonts w:cs="Times New Roman"/>
                <w:szCs w:val="24"/>
              </w:rPr>
              <w:t>Indications</w:t>
            </w:r>
          </w:p>
        </w:tc>
        <w:tc>
          <w:tcPr>
            <w:tcW w:w="6930" w:type="dxa"/>
            <w:gridSpan w:val="5"/>
          </w:tcPr>
          <w:p w14:paraId="363138B4" w14:textId="77777777" w:rsidR="0053763D" w:rsidRPr="00F10C37" w:rsidRDefault="0053763D" w:rsidP="00C46407">
            <w:pPr>
              <w:jc w:val="both"/>
              <w:rPr>
                <w:rFonts w:cs="Times New Roman"/>
                <w:szCs w:val="24"/>
              </w:rPr>
            </w:pPr>
            <w:r w:rsidRPr="00F10C37">
              <w:rPr>
                <w:rFonts w:eastAsia="Candara-Italic" w:cs="Times New Roman"/>
                <w:iCs/>
                <w:kern w:val="0"/>
                <w:szCs w:val="24"/>
                <w:lang w:val="en-US" w:eastAsia="en-US"/>
              </w:rPr>
              <w:t xml:space="preserve">Supraventricular arrhythmias, </w:t>
            </w:r>
            <w:r w:rsidRPr="00F10C37">
              <w:rPr>
                <w:rFonts w:cs="Times New Roman"/>
                <w:szCs w:val="24"/>
              </w:rPr>
              <w:t xml:space="preserve">hypertension, angina, heart failure </w:t>
            </w:r>
          </w:p>
        </w:tc>
      </w:tr>
      <w:tr w:rsidR="0053763D" w:rsidRPr="00F10C37" w14:paraId="7A27ED5A" w14:textId="77777777" w:rsidTr="00C46407">
        <w:trPr>
          <w:trHeight w:val="521"/>
        </w:trPr>
        <w:tc>
          <w:tcPr>
            <w:tcW w:w="2425" w:type="dxa"/>
          </w:tcPr>
          <w:p w14:paraId="0C10314B"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643FAEF6" w14:textId="77777777" w:rsidR="0053763D" w:rsidRPr="00F10C37" w:rsidRDefault="0053763D" w:rsidP="00C46407">
            <w:pPr>
              <w:autoSpaceDE w:val="0"/>
              <w:autoSpaceDN w:val="0"/>
              <w:adjustRightInd w:val="0"/>
              <w:jc w:val="both"/>
              <w:rPr>
                <w:rFonts w:eastAsia="Candara-Italic" w:cs="Times New Roman"/>
                <w:iCs/>
                <w:kern w:val="0"/>
                <w:szCs w:val="24"/>
                <w:lang w:val="en-US" w:eastAsia="en-US"/>
              </w:rPr>
            </w:pPr>
            <w:r w:rsidRPr="00F10C37">
              <w:rPr>
                <w:rFonts w:eastAsia="Candara-Italic" w:cs="Times New Roman"/>
                <w:b/>
                <w:iCs/>
                <w:kern w:val="0"/>
                <w:szCs w:val="24"/>
                <w:lang w:val="en-US" w:eastAsia="en-US"/>
              </w:rPr>
              <w:t>Supraventricular arrhythmias and acute/chronic coronary syndromes</w:t>
            </w:r>
            <w:r>
              <w:rPr>
                <w:rFonts w:eastAsia="Candara-Italic" w:cs="Times New Roman"/>
                <w:b/>
                <w:iCs/>
                <w:kern w:val="0"/>
                <w:szCs w:val="24"/>
                <w:lang w:val="en-US" w:eastAsia="en-US"/>
              </w:rPr>
              <w:t xml:space="preserve">, </w:t>
            </w:r>
            <w:r w:rsidRPr="00D40242">
              <w:rPr>
                <w:rFonts w:eastAsia="Candara-Italic" w:cs="Times New Roman"/>
                <w:iCs/>
                <w:kern w:val="0"/>
                <w:szCs w:val="24"/>
                <w:lang w:val="en-US" w:eastAsia="en-US"/>
              </w:rPr>
              <w:t>oral</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5 to 10 mg as a single daily dose; maximum recommended dose is 20 mg daily; dose reduction may be necessary in patients with hepatic or renal impairment</w:t>
            </w:r>
            <w:r w:rsidRPr="00F10C37">
              <w:rPr>
                <w:rFonts w:cs="Times New Roman"/>
                <w:szCs w:val="24"/>
              </w:rPr>
              <w:t xml:space="preserve"> </w:t>
            </w:r>
          </w:p>
        </w:tc>
      </w:tr>
      <w:tr w:rsidR="0053763D" w:rsidRPr="00F10C37" w14:paraId="6F8DE60A" w14:textId="77777777" w:rsidTr="00C46407">
        <w:tc>
          <w:tcPr>
            <w:tcW w:w="2425" w:type="dxa"/>
          </w:tcPr>
          <w:p w14:paraId="68C99BAA"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5"/>
          </w:tcPr>
          <w:p w14:paraId="1965C04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Refer bisoprolol under </w:t>
            </w:r>
            <w:r>
              <w:rPr>
                <w:rFonts w:eastAsiaTheme="minorHAnsi" w:cs="Times New Roman"/>
                <w:color w:val="231F20"/>
                <w:kern w:val="0"/>
                <w:szCs w:val="24"/>
                <w:lang w:val="en-US" w:eastAsia="en-US"/>
              </w:rPr>
              <w:t xml:space="preserve">medicnes used for </w:t>
            </w:r>
            <w:r w:rsidRPr="00F10C37">
              <w:rPr>
                <w:rFonts w:eastAsiaTheme="minorHAnsi" w:cs="Times New Roman"/>
                <w:color w:val="231F20"/>
                <w:kern w:val="0"/>
                <w:szCs w:val="24"/>
                <w:lang w:val="en-US" w:eastAsia="en-US"/>
              </w:rPr>
              <w:t>heart failure</w:t>
            </w:r>
            <w:r>
              <w:rPr>
                <w:rFonts w:eastAsiaTheme="minorHAnsi" w:cs="Times New Roman"/>
                <w:color w:val="231F20"/>
                <w:kern w:val="0"/>
                <w:szCs w:val="24"/>
                <w:lang w:val="en-US" w:eastAsia="en-US"/>
              </w:rPr>
              <w:t>.</w:t>
            </w:r>
          </w:p>
        </w:tc>
      </w:tr>
      <w:tr w:rsidR="0053763D" w:rsidRPr="00F10C37" w14:paraId="7929A299" w14:textId="77777777" w:rsidTr="00C46407">
        <w:tc>
          <w:tcPr>
            <w:tcW w:w="2425" w:type="dxa"/>
          </w:tcPr>
          <w:p w14:paraId="31BEF8B5"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tcPr>
          <w:p w14:paraId="065800F6" w14:textId="77777777" w:rsidR="0053763D" w:rsidRPr="00F10C37" w:rsidRDefault="0053763D" w:rsidP="00C46407">
            <w:pPr>
              <w:contextualSpacing/>
              <w:jc w:val="both"/>
              <w:rPr>
                <w:rFonts w:cs="Times New Roman"/>
                <w:szCs w:val="24"/>
              </w:rPr>
            </w:pPr>
            <w:r w:rsidRPr="00130D4E">
              <w:rPr>
                <w:rFonts w:eastAsiaTheme="minorHAnsi" w:cs="Times New Roman"/>
                <w:color w:val="231F20"/>
                <w:kern w:val="0"/>
                <w:szCs w:val="24"/>
                <w:lang w:val="en-US" w:eastAsia="en-US"/>
              </w:rPr>
              <w:t>Refer bisoprolol under medicnes used for heart failure.</w:t>
            </w:r>
          </w:p>
        </w:tc>
      </w:tr>
      <w:tr w:rsidR="0053763D" w:rsidRPr="00F10C37" w14:paraId="3CD6EFBF" w14:textId="77777777" w:rsidTr="00C46407">
        <w:tc>
          <w:tcPr>
            <w:tcW w:w="2425" w:type="dxa"/>
          </w:tcPr>
          <w:p w14:paraId="4D4FC17D"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5"/>
          </w:tcPr>
          <w:p w14:paraId="07BEC6A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130D4E">
              <w:rPr>
                <w:rFonts w:eastAsiaTheme="minorHAnsi" w:cs="Times New Roman"/>
                <w:color w:val="231F20"/>
                <w:kern w:val="0"/>
                <w:szCs w:val="24"/>
                <w:lang w:val="en-US" w:eastAsia="en-US"/>
              </w:rPr>
              <w:t>Refer bisoprolol under medicnes used for heart failure.</w:t>
            </w:r>
          </w:p>
        </w:tc>
      </w:tr>
      <w:tr w:rsidR="0053763D" w:rsidRPr="00F10C37" w14:paraId="1FA06951" w14:textId="77777777" w:rsidTr="00C46407">
        <w:tc>
          <w:tcPr>
            <w:tcW w:w="2425" w:type="dxa"/>
          </w:tcPr>
          <w:p w14:paraId="1CB84363"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tcPr>
          <w:p w14:paraId="63FDEE00"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130D4E">
              <w:rPr>
                <w:rFonts w:eastAsiaTheme="minorHAnsi" w:cs="Times New Roman"/>
                <w:color w:val="231F20"/>
                <w:kern w:val="0"/>
                <w:szCs w:val="24"/>
                <w:lang w:val="en-US" w:eastAsia="en-US"/>
              </w:rPr>
              <w:t>Refer bisoprolol under medicnes used for heart failure.</w:t>
            </w:r>
          </w:p>
        </w:tc>
      </w:tr>
      <w:tr w:rsidR="0053763D" w:rsidRPr="00F10C37" w14:paraId="763E47BD" w14:textId="77777777" w:rsidTr="00C46407">
        <w:tc>
          <w:tcPr>
            <w:tcW w:w="2425" w:type="dxa"/>
          </w:tcPr>
          <w:p w14:paraId="67F510CE"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3F929A82"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tore between 15 and 30ºC.</w:t>
            </w:r>
          </w:p>
        </w:tc>
      </w:tr>
      <w:tr w:rsidR="0053763D" w:rsidRPr="00F10C37" w14:paraId="625A9F50" w14:textId="77777777" w:rsidTr="00C46407">
        <w:trPr>
          <w:trHeight w:val="513"/>
        </w:trPr>
        <w:tc>
          <w:tcPr>
            <w:tcW w:w="9355" w:type="dxa"/>
            <w:gridSpan w:val="6"/>
          </w:tcPr>
          <w:p w14:paraId="4E5307AF" w14:textId="77777777" w:rsidR="0053763D" w:rsidRPr="00F10C37" w:rsidRDefault="0053763D" w:rsidP="00C46407">
            <w:pPr>
              <w:jc w:val="both"/>
              <w:rPr>
                <w:rFonts w:cs="Times New Roman"/>
                <w:b/>
                <w:szCs w:val="24"/>
              </w:rPr>
            </w:pPr>
            <w:r w:rsidRPr="00F10C37">
              <w:rPr>
                <w:rFonts w:cs="Times New Roman"/>
                <w:b/>
                <w:color w:val="000000"/>
                <w:szCs w:val="24"/>
              </w:rPr>
              <w:t>Digoxin</w:t>
            </w:r>
          </w:p>
        </w:tc>
      </w:tr>
      <w:tr w:rsidR="0053763D" w:rsidRPr="00F10C37" w14:paraId="3EA6E61B" w14:textId="77777777" w:rsidTr="00C46407">
        <w:trPr>
          <w:trHeight w:val="513"/>
        </w:trPr>
        <w:tc>
          <w:tcPr>
            <w:tcW w:w="2674" w:type="dxa"/>
            <w:gridSpan w:val="4"/>
          </w:tcPr>
          <w:p w14:paraId="499E98A1"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81" w:type="dxa"/>
            <w:gridSpan w:val="2"/>
          </w:tcPr>
          <w:p w14:paraId="645226C9" w14:textId="77777777" w:rsidR="0053763D" w:rsidRPr="00F10C37" w:rsidRDefault="0053763D" w:rsidP="00C46407">
            <w:pPr>
              <w:jc w:val="both"/>
              <w:rPr>
                <w:rFonts w:cs="Times New Roman"/>
                <w:szCs w:val="24"/>
              </w:rPr>
            </w:pPr>
            <w:r w:rsidRPr="00F10C37">
              <w:rPr>
                <w:rFonts w:cs="Times New Roman"/>
                <w:szCs w:val="24"/>
              </w:rPr>
              <w:t>Cardiac glycoside</w:t>
            </w:r>
          </w:p>
        </w:tc>
      </w:tr>
      <w:tr w:rsidR="0053763D" w:rsidRPr="00F10C37" w14:paraId="4BE97A9C" w14:textId="77777777" w:rsidTr="00C46407">
        <w:trPr>
          <w:trHeight w:val="396"/>
        </w:trPr>
        <w:tc>
          <w:tcPr>
            <w:tcW w:w="2674" w:type="dxa"/>
            <w:gridSpan w:val="4"/>
          </w:tcPr>
          <w:p w14:paraId="23D661AB" w14:textId="77777777" w:rsidR="0053763D" w:rsidRPr="00F10C37" w:rsidRDefault="0053763D" w:rsidP="00C46407">
            <w:pPr>
              <w:jc w:val="both"/>
              <w:rPr>
                <w:rFonts w:cs="Times New Roman"/>
                <w:szCs w:val="24"/>
              </w:rPr>
            </w:pPr>
            <w:r w:rsidRPr="00F10C37">
              <w:rPr>
                <w:rFonts w:cs="Times New Roman"/>
                <w:szCs w:val="24"/>
              </w:rPr>
              <w:t>Dosage form</w:t>
            </w:r>
          </w:p>
        </w:tc>
        <w:tc>
          <w:tcPr>
            <w:tcW w:w="6681" w:type="dxa"/>
            <w:gridSpan w:val="2"/>
          </w:tcPr>
          <w:p w14:paraId="726D9803" w14:textId="77777777" w:rsidR="0053763D"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Elixir: 0.05mg/</w:t>
            </w:r>
            <w:r>
              <w:rPr>
                <w:rFonts w:cs="Times New Roman"/>
                <w:szCs w:val="24"/>
                <w:lang w:val="en-US"/>
              </w:rPr>
              <w:t>ml</w:t>
            </w:r>
          </w:p>
          <w:p w14:paraId="716DA273"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0.25 mg/</w:t>
            </w:r>
            <w:r>
              <w:rPr>
                <w:rFonts w:cs="Times New Roman"/>
                <w:szCs w:val="24"/>
                <w:lang w:val="en-US"/>
              </w:rPr>
              <w:t>ml</w:t>
            </w:r>
            <w:r w:rsidRPr="00F10C37">
              <w:rPr>
                <w:rFonts w:cs="Times New Roman"/>
                <w:szCs w:val="24"/>
                <w:lang w:val="en-US"/>
              </w:rPr>
              <w:t xml:space="preserve"> in 2</w:t>
            </w:r>
            <w:r>
              <w:rPr>
                <w:rFonts w:cs="Times New Roman"/>
                <w:szCs w:val="24"/>
                <w:lang w:val="en-US"/>
              </w:rPr>
              <w:t>ml</w:t>
            </w:r>
            <w:r w:rsidRPr="00F10C37">
              <w:rPr>
                <w:rFonts w:cs="Times New Roman"/>
                <w:szCs w:val="24"/>
                <w:lang w:val="en-US"/>
              </w:rPr>
              <w:t xml:space="preserve"> ampoul</w:t>
            </w:r>
            <w:r>
              <w:rPr>
                <w:rFonts w:cs="Times New Roman"/>
                <w:szCs w:val="24"/>
                <w:lang w:val="en-US"/>
              </w:rPr>
              <w:t>e</w:t>
            </w:r>
          </w:p>
          <w:p w14:paraId="15FDFD42"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0.125mg, 0.25mg</w:t>
            </w:r>
          </w:p>
        </w:tc>
      </w:tr>
      <w:tr w:rsidR="0053763D" w:rsidRPr="00F10C37" w14:paraId="0C72EE0E" w14:textId="77777777" w:rsidTr="00C46407">
        <w:trPr>
          <w:trHeight w:val="522"/>
        </w:trPr>
        <w:tc>
          <w:tcPr>
            <w:tcW w:w="2674" w:type="dxa"/>
            <w:gridSpan w:val="4"/>
          </w:tcPr>
          <w:p w14:paraId="57117DE6" w14:textId="77777777" w:rsidR="0053763D" w:rsidRPr="00D7256C" w:rsidRDefault="0053763D" w:rsidP="00C46407">
            <w:pPr>
              <w:jc w:val="both"/>
              <w:rPr>
                <w:rFonts w:cs="Times New Roman"/>
                <w:szCs w:val="24"/>
              </w:rPr>
            </w:pPr>
            <w:r w:rsidRPr="00D7256C">
              <w:rPr>
                <w:rFonts w:cs="Times New Roman"/>
                <w:szCs w:val="24"/>
              </w:rPr>
              <w:t>Indications</w:t>
            </w:r>
          </w:p>
        </w:tc>
        <w:tc>
          <w:tcPr>
            <w:tcW w:w="6681" w:type="dxa"/>
            <w:gridSpan w:val="2"/>
          </w:tcPr>
          <w:p w14:paraId="5517C87B" w14:textId="77777777" w:rsidR="0053763D" w:rsidRPr="00F10C37" w:rsidRDefault="0053763D" w:rsidP="00C46407">
            <w:pPr>
              <w:jc w:val="both"/>
              <w:rPr>
                <w:rFonts w:cs="Times New Roman"/>
                <w:szCs w:val="24"/>
              </w:rPr>
            </w:pPr>
            <w:r w:rsidRPr="00F10C37">
              <w:rPr>
                <w:rFonts w:cs="Times New Roman"/>
                <w:szCs w:val="24"/>
              </w:rPr>
              <w:t xml:space="preserve"> Atrial fibrillation or flutter, heart failure (for patients in sinus rhythm)</w:t>
            </w:r>
          </w:p>
        </w:tc>
      </w:tr>
      <w:tr w:rsidR="0053763D" w:rsidRPr="00F10C37" w14:paraId="45BD0A70" w14:textId="77777777" w:rsidTr="00C46407">
        <w:trPr>
          <w:trHeight w:val="522"/>
        </w:trPr>
        <w:tc>
          <w:tcPr>
            <w:tcW w:w="2674" w:type="dxa"/>
            <w:gridSpan w:val="4"/>
          </w:tcPr>
          <w:p w14:paraId="30233A9F"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81" w:type="dxa"/>
            <w:gridSpan w:val="2"/>
          </w:tcPr>
          <w:p w14:paraId="528CADB1"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eastAsiaTheme="minorHAnsi" w:cs="Times New Roman"/>
                <w:b/>
                <w:color w:val="231F20"/>
                <w:kern w:val="0"/>
                <w:szCs w:val="24"/>
                <w:lang w:val="en-US" w:eastAsia="en-US"/>
              </w:rPr>
              <w:t>IV infusion</w:t>
            </w:r>
            <w:r>
              <w:rPr>
                <w:rFonts w:eastAsiaTheme="minorHAnsi" w:cs="Times New Roman"/>
                <w:color w:val="231F20"/>
                <w:kern w:val="0"/>
                <w:szCs w:val="24"/>
                <w:lang w:val="en-US" w:eastAsia="en-US"/>
              </w:rPr>
              <w:t>:</w:t>
            </w:r>
            <w:r w:rsidRPr="00F10C37">
              <w:rPr>
                <w:rFonts w:eastAsiaTheme="minorHAnsi" w:cs="Times New Roman"/>
                <w:color w:val="231F20"/>
                <w:kern w:val="0"/>
                <w:szCs w:val="24"/>
                <w:lang w:val="en-US" w:eastAsia="en-US"/>
              </w:rPr>
              <w:t xml:space="preserve"> give intermittently in 5% </w:t>
            </w:r>
            <w:r>
              <w:rPr>
                <w:rFonts w:eastAsiaTheme="minorHAnsi" w:cs="Times New Roman"/>
                <w:color w:val="231F20"/>
                <w:kern w:val="0"/>
                <w:szCs w:val="24"/>
                <w:lang w:val="en-US" w:eastAsia="en-US"/>
              </w:rPr>
              <w:t xml:space="preserve">dextrose in water </w:t>
            </w:r>
            <w:r w:rsidRPr="00F10C37">
              <w:rPr>
                <w:rFonts w:eastAsiaTheme="minorHAnsi" w:cs="Times New Roman"/>
                <w:color w:val="231F20"/>
                <w:kern w:val="0"/>
                <w:szCs w:val="24"/>
                <w:lang w:val="en-US" w:eastAsia="en-US"/>
              </w:rPr>
              <w:t xml:space="preserve">or </w:t>
            </w:r>
            <w:r>
              <w:rPr>
                <w:rFonts w:eastAsiaTheme="minorHAnsi" w:cs="Times New Roman"/>
                <w:color w:val="231F20"/>
                <w:kern w:val="0"/>
                <w:szCs w:val="24"/>
                <w:lang w:val="en-US" w:eastAsia="en-US"/>
              </w:rPr>
              <w:t>s</w:t>
            </w:r>
            <w:r w:rsidRPr="00F10C37">
              <w:rPr>
                <w:rFonts w:eastAsiaTheme="minorHAnsi" w:cs="Times New Roman"/>
                <w:color w:val="231F20"/>
                <w:kern w:val="0"/>
                <w:szCs w:val="24"/>
                <w:lang w:val="en-US" w:eastAsia="en-US"/>
              </w:rPr>
              <w:t>odium chloride 0.9%; dilute to a concentration of not more than 62.5 m</w:t>
            </w:r>
            <w:r>
              <w:rPr>
                <w:rFonts w:eastAsiaTheme="minorHAnsi" w:cs="Times New Roman"/>
                <w:color w:val="231F20"/>
                <w:kern w:val="0"/>
                <w:szCs w:val="24"/>
                <w:lang w:val="en-US" w:eastAsia="en-US"/>
              </w:rPr>
              <w:t>cg</w:t>
            </w:r>
            <w:r w:rsidRPr="00F10C37">
              <w:rPr>
                <w:rFonts w:eastAsiaTheme="minorHAnsi" w:cs="Times New Roman"/>
                <w:color w:val="231F20"/>
                <w:kern w:val="0"/>
                <w:szCs w:val="24"/>
                <w:lang w:val="en-US" w:eastAsia="en-US"/>
              </w:rPr>
              <w:t>/</w:t>
            </w:r>
            <w:r>
              <w:rPr>
                <w:rFonts w:eastAsiaTheme="minorHAnsi" w:cs="Times New Roman"/>
                <w:color w:val="231F20"/>
                <w:kern w:val="0"/>
                <w:szCs w:val="24"/>
                <w:lang w:val="en-US" w:eastAsia="en-US"/>
              </w:rPr>
              <w:t>ml</w:t>
            </w:r>
            <w:r w:rsidRPr="00F10C37">
              <w:rPr>
                <w:rFonts w:eastAsiaTheme="minorHAnsi" w:cs="Times New Roman"/>
                <w:color w:val="231F20"/>
                <w:kern w:val="0"/>
                <w:szCs w:val="24"/>
                <w:lang w:val="en-US" w:eastAsia="en-US"/>
              </w:rPr>
              <w:t>. To be given over at least 2 hours.</w:t>
            </w:r>
          </w:p>
          <w:p w14:paraId="79F04786"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Pr>
                <w:rFonts w:eastAsiaTheme="minorHAnsi" w:cs="Times New Roman"/>
                <w:b/>
                <w:color w:val="231F20"/>
                <w:kern w:val="0"/>
                <w:szCs w:val="24"/>
                <w:lang w:val="en-US" w:eastAsia="en-US"/>
              </w:rPr>
              <w:t>O</w:t>
            </w:r>
            <w:r w:rsidRPr="00F10C37">
              <w:rPr>
                <w:rFonts w:eastAsiaTheme="minorHAnsi" w:cs="Times New Roman"/>
                <w:b/>
                <w:color w:val="231F20"/>
                <w:kern w:val="0"/>
                <w:szCs w:val="24"/>
                <w:lang w:val="en-US" w:eastAsia="en-US"/>
              </w:rPr>
              <w:t>ral:</w:t>
            </w:r>
          </w:p>
          <w:p w14:paraId="11F4D2EC"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Rapid digitalization, for atrial fibrillation or flutter:</w:t>
            </w:r>
          </w:p>
          <w:p w14:paraId="784C694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Adult: 0.75–1.5 mg in divided doses, dose to be given over 24 hours, reduce dose in the elderly</w:t>
            </w:r>
          </w:p>
          <w:p w14:paraId="26705FFA"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Maintenance, for atrial fibrillation or flutter:</w:t>
            </w:r>
          </w:p>
          <w:p w14:paraId="401ECBDE"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Adult: Maintenance 0.125mg–0.25 mg daily, dose according to </w:t>
            </w:r>
            <w:r w:rsidRPr="00F10C37">
              <w:rPr>
                <w:rFonts w:eastAsiaTheme="minorHAnsi" w:cs="Times New Roman"/>
                <w:color w:val="231F20"/>
                <w:kern w:val="0"/>
                <w:szCs w:val="24"/>
                <w:lang w:val="en-US" w:eastAsia="en-US"/>
              </w:rPr>
              <w:lastRenderedPageBreak/>
              <w:t>renal function and initial loading dose, reduce dose in the elderly</w:t>
            </w:r>
          </w:p>
          <w:p w14:paraId="787FD983"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Emergency loading dose, for atrial fibrillation or flutter</w:t>
            </w:r>
            <w:r>
              <w:rPr>
                <w:rFonts w:eastAsiaTheme="minorHAnsi" w:cs="Times New Roman"/>
                <w:b/>
                <w:color w:val="231F20"/>
                <w:kern w:val="0"/>
                <w:szCs w:val="24"/>
                <w:lang w:val="en-US" w:eastAsia="en-US"/>
              </w:rPr>
              <w:t>, i</w:t>
            </w:r>
            <w:r w:rsidRPr="00F10C37">
              <w:rPr>
                <w:rFonts w:eastAsiaTheme="minorHAnsi" w:cs="Times New Roman"/>
                <w:color w:val="231F20"/>
                <w:kern w:val="0"/>
                <w:szCs w:val="24"/>
                <w:lang w:val="en-US" w:eastAsia="en-US"/>
              </w:rPr>
              <w:t>nitially by intravenous infusion</w:t>
            </w:r>
            <w:r>
              <w:rPr>
                <w:rFonts w:eastAsiaTheme="minorHAnsi" w:cs="Times New Roman"/>
                <w:color w:val="231F20"/>
                <w:kern w:val="0"/>
                <w:szCs w:val="24"/>
                <w:lang w:val="en-US" w:eastAsia="en-US"/>
              </w:rPr>
              <w:t>:</w:t>
            </w:r>
          </w:p>
          <w:p w14:paraId="5BC87CE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Loading dose 0.75–1 mg, to be given over at least 2 hours, then (by mouth) maintenance, loading dose is rarely necessary, maintenance dose to be started on the day following the loading dose, reduce dose in the elderly</w:t>
            </w:r>
          </w:p>
          <w:p w14:paraId="356DD0E4" w14:textId="77777777" w:rsidR="0053763D" w:rsidRPr="00F10C37" w:rsidRDefault="0053763D" w:rsidP="00C46407">
            <w:pPr>
              <w:jc w:val="both"/>
              <w:rPr>
                <w:rFonts w:cs="Times New Roman"/>
                <w:szCs w:val="24"/>
              </w:rPr>
            </w:pPr>
            <w:r w:rsidRPr="00F10C37">
              <w:rPr>
                <w:rFonts w:cs="Times New Roman"/>
                <w:b/>
                <w:szCs w:val="24"/>
              </w:rPr>
              <w:t>Supraventricular arrhythmias, Child</w:t>
            </w:r>
            <w:r w:rsidRPr="00F10C37">
              <w:rPr>
                <w:rFonts w:cs="Times New Roman"/>
                <w:szCs w:val="24"/>
              </w:rPr>
              <w:t xml:space="preserve">: </w:t>
            </w:r>
          </w:p>
          <w:p w14:paraId="50F37C2A" w14:textId="77777777" w:rsidR="0053763D" w:rsidRPr="00F10C37" w:rsidRDefault="0053763D" w:rsidP="00C46407">
            <w:pPr>
              <w:jc w:val="both"/>
              <w:rPr>
                <w:rFonts w:cs="Times New Roman"/>
                <w:szCs w:val="24"/>
              </w:rPr>
            </w:pPr>
            <w:r w:rsidRPr="00F10C37">
              <w:rPr>
                <w:rFonts w:cs="Times New Roman"/>
                <w:b/>
                <w:szCs w:val="24"/>
              </w:rPr>
              <w:t>Neonate &lt;1.5 kg</w:t>
            </w:r>
            <w:r w:rsidRPr="00F10C37">
              <w:rPr>
                <w:rFonts w:cs="Times New Roman"/>
                <w:i/>
                <w:szCs w:val="24"/>
              </w:rPr>
              <w:t>:</w:t>
            </w:r>
            <w:r w:rsidRPr="00F10C37">
              <w:rPr>
                <w:rFonts w:cs="Times New Roman"/>
                <w:szCs w:val="24"/>
              </w:rPr>
              <w:t xml:space="preserve"> Initially 25 mcg/kg orally OR 20mcg/kg IV infusion in 3 divided doses for 24 hours then 4–6 mcg/kg/day oral or IV in 1–2 divided doses.</w:t>
            </w:r>
          </w:p>
          <w:p w14:paraId="27EF4016" w14:textId="77777777" w:rsidR="0053763D" w:rsidRPr="00F10C37" w:rsidRDefault="0053763D" w:rsidP="00C46407">
            <w:pPr>
              <w:jc w:val="both"/>
              <w:rPr>
                <w:rFonts w:cs="Times New Roman"/>
                <w:szCs w:val="24"/>
              </w:rPr>
            </w:pPr>
            <w:r w:rsidRPr="00F10C37">
              <w:rPr>
                <w:rFonts w:cs="Times New Roman"/>
                <w:b/>
                <w:szCs w:val="24"/>
              </w:rPr>
              <w:t>Neonate 1.5–2.5 kg</w:t>
            </w:r>
            <w:r w:rsidRPr="00F10C37">
              <w:rPr>
                <w:rFonts w:cs="Times New Roman"/>
                <w:i/>
                <w:szCs w:val="24"/>
              </w:rPr>
              <w:t>:</w:t>
            </w:r>
            <w:r w:rsidRPr="00F10C37">
              <w:rPr>
                <w:rFonts w:cs="Times New Roman"/>
                <w:szCs w:val="24"/>
              </w:rPr>
              <w:t xml:space="preserve"> Initially 30 mcg/kg orally OR IV infusion in 3 divided doses for 24 hours then 4–6 mcg/kg/day oral or IV in 1–2 divided doses.</w:t>
            </w:r>
          </w:p>
          <w:p w14:paraId="207A43E4" w14:textId="77777777" w:rsidR="0053763D" w:rsidRPr="00F10C37" w:rsidRDefault="0053763D" w:rsidP="00C46407">
            <w:pPr>
              <w:jc w:val="both"/>
              <w:rPr>
                <w:rFonts w:cs="Times New Roman"/>
                <w:szCs w:val="24"/>
              </w:rPr>
            </w:pPr>
            <w:r w:rsidRPr="00F10C37">
              <w:rPr>
                <w:rFonts w:cs="Times New Roman"/>
                <w:b/>
                <w:szCs w:val="24"/>
              </w:rPr>
              <w:t>Neonate &gt;2.5 kg or child under 2 years</w:t>
            </w:r>
            <w:r w:rsidRPr="00F10C37">
              <w:rPr>
                <w:rFonts w:cs="Times New Roman"/>
                <w:i/>
                <w:szCs w:val="24"/>
              </w:rPr>
              <w:t>:</w:t>
            </w:r>
            <w:r w:rsidRPr="00F10C37">
              <w:rPr>
                <w:rFonts w:cs="Times New Roman"/>
                <w:szCs w:val="24"/>
              </w:rPr>
              <w:t xml:space="preserve"> initially 45 mcg/kg orally OR 35mcg/kg IV infusion in 3 divided doses for 24 hours then, 10 mcg/kg/day oral or IV in 1–2 divided doses.</w:t>
            </w:r>
          </w:p>
          <w:p w14:paraId="0D8B48A4" w14:textId="77777777" w:rsidR="0053763D" w:rsidRPr="00F10C37" w:rsidRDefault="0053763D" w:rsidP="00C46407">
            <w:pPr>
              <w:jc w:val="both"/>
              <w:rPr>
                <w:rFonts w:cs="Times New Roman"/>
                <w:szCs w:val="24"/>
              </w:rPr>
            </w:pPr>
            <w:r w:rsidRPr="00F10C37">
              <w:rPr>
                <w:rFonts w:cs="Times New Roman"/>
                <w:b/>
                <w:szCs w:val="24"/>
              </w:rPr>
              <w:t>Child 2–5 years</w:t>
            </w:r>
            <w:r w:rsidRPr="00F10C37">
              <w:rPr>
                <w:rFonts w:cs="Times New Roman"/>
                <w:i/>
                <w:szCs w:val="24"/>
              </w:rPr>
              <w:t>:</w:t>
            </w:r>
            <w:r w:rsidRPr="00F10C37">
              <w:rPr>
                <w:rFonts w:cs="Times New Roman"/>
                <w:szCs w:val="24"/>
              </w:rPr>
              <w:t xml:space="preserve"> Initially 35 mcg/kg orally or IV infusion in 3 divided doses for 24 hours then, 10 mcg/kg/day oral or IV in 1–2 divided doses.</w:t>
            </w:r>
          </w:p>
          <w:p w14:paraId="336E61A5" w14:textId="77777777" w:rsidR="0053763D" w:rsidRPr="00F10C37" w:rsidRDefault="0053763D" w:rsidP="00C46407">
            <w:pPr>
              <w:jc w:val="both"/>
              <w:rPr>
                <w:rFonts w:cs="Times New Roman"/>
                <w:szCs w:val="24"/>
              </w:rPr>
            </w:pPr>
            <w:r w:rsidRPr="00F10C37">
              <w:rPr>
                <w:rFonts w:cs="Times New Roman"/>
                <w:b/>
                <w:szCs w:val="24"/>
              </w:rPr>
              <w:t>Child 5–10 years</w:t>
            </w:r>
            <w:r>
              <w:rPr>
                <w:rFonts w:cs="Times New Roman"/>
                <w:b/>
                <w:szCs w:val="24"/>
              </w:rPr>
              <w:t xml:space="preserve">: </w:t>
            </w:r>
            <w:r w:rsidRPr="00F10C37">
              <w:rPr>
                <w:rFonts w:cs="Times New Roman"/>
                <w:szCs w:val="24"/>
              </w:rPr>
              <w:t>Initially 25 mcg/kg (maximum 0.75 mg) orally or IV infusion in 3 divided doses for 24 hours then, 6 mcg/kg/day (maximum 0.25 mg daily) oral or IV in 1–2 divided doses.</w:t>
            </w:r>
          </w:p>
          <w:p w14:paraId="2CA4B4E9" w14:textId="77777777" w:rsidR="0053763D" w:rsidRPr="00F10C37" w:rsidRDefault="0053763D" w:rsidP="00C46407">
            <w:pPr>
              <w:jc w:val="both"/>
              <w:rPr>
                <w:rFonts w:cs="Times New Roman"/>
                <w:szCs w:val="24"/>
              </w:rPr>
            </w:pPr>
            <w:r w:rsidRPr="00F10C37">
              <w:rPr>
                <w:rFonts w:cs="Times New Roman"/>
                <w:b/>
                <w:szCs w:val="24"/>
              </w:rPr>
              <w:t>Child over 10 years:</w:t>
            </w:r>
            <w:r w:rsidRPr="00F10C37">
              <w:rPr>
                <w:rFonts w:cs="Times New Roman"/>
                <w:szCs w:val="24"/>
              </w:rPr>
              <w:t xml:space="preserve"> Initially 0.75–1.5 mg in 3 divided doses for 24 hours then 0.0625–0.25 mg/daily in 1–2 divided doses OR Initially 0.5–1mg in 3 divided doses for 24 hours then 0.0625–0.250 mcg daily in 1–2 divided doses as IV infusion.</w:t>
            </w:r>
          </w:p>
        </w:tc>
      </w:tr>
      <w:tr w:rsidR="0053763D" w:rsidRPr="00F10C37" w14:paraId="7E2A44B6" w14:textId="77777777" w:rsidTr="00C46407">
        <w:trPr>
          <w:trHeight w:val="409"/>
        </w:trPr>
        <w:tc>
          <w:tcPr>
            <w:tcW w:w="2674" w:type="dxa"/>
            <w:gridSpan w:val="4"/>
          </w:tcPr>
          <w:p w14:paraId="00464295"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81" w:type="dxa"/>
            <w:gridSpan w:val="2"/>
          </w:tcPr>
          <w:p w14:paraId="22750414" w14:textId="77777777" w:rsidR="0053763D" w:rsidRPr="00F10C37" w:rsidRDefault="0053763D" w:rsidP="00C46407">
            <w:pPr>
              <w:jc w:val="both"/>
              <w:rPr>
                <w:rFonts w:cs="Times New Roman"/>
                <w:szCs w:val="24"/>
              </w:rPr>
            </w:pPr>
            <w:r w:rsidRPr="00F10C37">
              <w:rPr>
                <w:rFonts w:cs="Times New Roman"/>
                <w:szCs w:val="24"/>
              </w:rPr>
              <w:t>Refer to Digoxin above</w:t>
            </w:r>
          </w:p>
        </w:tc>
      </w:tr>
      <w:tr w:rsidR="0053763D" w:rsidRPr="00F10C37" w14:paraId="6DF0E92A" w14:textId="77777777" w:rsidTr="00C46407">
        <w:trPr>
          <w:trHeight w:val="409"/>
        </w:trPr>
        <w:tc>
          <w:tcPr>
            <w:tcW w:w="2674" w:type="dxa"/>
            <w:gridSpan w:val="4"/>
          </w:tcPr>
          <w:p w14:paraId="369AF35A"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81" w:type="dxa"/>
            <w:gridSpan w:val="2"/>
          </w:tcPr>
          <w:p w14:paraId="717699A3" w14:textId="77777777" w:rsidR="0053763D" w:rsidRPr="00F10C37" w:rsidRDefault="0053763D" w:rsidP="00C46407">
            <w:pPr>
              <w:jc w:val="both"/>
              <w:rPr>
                <w:rFonts w:cs="Times New Roman"/>
                <w:szCs w:val="24"/>
              </w:rPr>
            </w:pPr>
            <w:r w:rsidRPr="00F10C37">
              <w:rPr>
                <w:rFonts w:cs="Times New Roman"/>
                <w:szCs w:val="24"/>
              </w:rPr>
              <w:t>Refer to Digoxin above</w:t>
            </w:r>
          </w:p>
        </w:tc>
      </w:tr>
      <w:tr w:rsidR="0053763D" w:rsidRPr="00F10C37" w14:paraId="4D10FF02" w14:textId="77777777" w:rsidTr="00C46407">
        <w:trPr>
          <w:trHeight w:val="409"/>
        </w:trPr>
        <w:tc>
          <w:tcPr>
            <w:tcW w:w="2674" w:type="dxa"/>
            <w:gridSpan w:val="4"/>
          </w:tcPr>
          <w:p w14:paraId="4E2DE046" w14:textId="77777777" w:rsidR="0053763D" w:rsidRPr="00F10C37" w:rsidRDefault="0053763D" w:rsidP="00C46407">
            <w:pPr>
              <w:jc w:val="both"/>
              <w:rPr>
                <w:rFonts w:cs="Times New Roman"/>
                <w:szCs w:val="24"/>
              </w:rPr>
            </w:pPr>
            <w:r w:rsidRPr="00F10C37">
              <w:rPr>
                <w:rFonts w:cs="Times New Roman"/>
                <w:szCs w:val="24"/>
              </w:rPr>
              <w:t>Side effects</w:t>
            </w:r>
          </w:p>
        </w:tc>
        <w:tc>
          <w:tcPr>
            <w:tcW w:w="6681" w:type="dxa"/>
            <w:gridSpan w:val="2"/>
          </w:tcPr>
          <w:p w14:paraId="5101CC8C" w14:textId="77777777" w:rsidR="0053763D" w:rsidRPr="00F10C37" w:rsidRDefault="0053763D" w:rsidP="00C46407">
            <w:pPr>
              <w:contextualSpacing/>
              <w:jc w:val="both"/>
              <w:rPr>
                <w:rFonts w:cs="Times New Roman"/>
                <w:szCs w:val="24"/>
              </w:rPr>
            </w:pPr>
            <w:r w:rsidRPr="00F10C37">
              <w:rPr>
                <w:rFonts w:cs="Times New Roman"/>
                <w:szCs w:val="24"/>
              </w:rPr>
              <w:t>Refer to Digoxin above</w:t>
            </w:r>
          </w:p>
        </w:tc>
      </w:tr>
      <w:tr w:rsidR="0053763D" w:rsidRPr="00F10C37" w14:paraId="51069DD3" w14:textId="77777777" w:rsidTr="00C46407">
        <w:trPr>
          <w:trHeight w:val="422"/>
        </w:trPr>
        <w:tc>
          <w:tcPr>
            <w:tcW w:w="2674" w:type="dxa"/>
            <w:gridSpan w:val="4"/>
          </w:tcPr>
          <w:p w14:paraId="2013DC00" w14:textId="77777777" w:rsidR="0053763D" w:rsidRPr="00F10C37" w:rsidRDefault="0053763D" w:rsidP="00C46407">
            <w:pPr>
              <w:jc w:val="both"/>
              <w:rPr>
                <w:rFonts w:cs="Times New Roman"/>
                <w:szCs w:val="24"/>
              </w:rPr>
            </w:pPr>
            <w:r w:rsidRPr="00F10C37">
              <w:rPr>
                <w:rFonts w:cs="Times New Roman"/>
                <w:szCs w:val="24"/>
              </w:rPr>
              <w:t>Cautions</w:t>
            </w:r>
          </w:p>
        </w:tc>
        <w:tc>
          <w:tcPr>
            <w:tcW w:w="6681" w:type="dxa"/>
            <w:gridSpan w:val="2"/>
          </w:tcPr>
          <w:p w14:paraId="34EBB189" w14:textId="77777777" w:rsidR="0053763D" w:rsidRPr="00F10C37" w:rsidRDefault="0053763D" w:rsidP="00C46407">
            <w:pPr>
              <w:jc w:val="both"/>
              <w:rPr>
                <w:rFonts w:cs="Times New Roman"/>
                <w:szCs w:val="24"/>
              </w:rPr>
            </w:pPr>
            <w:r w:rsidRPr="00F10C37">
              <w:rPr>
                <w:rFonts w:cs="Times New Roman"/>
                <w:szCs w:val="24"/>
              </w:rPr>
              <w:t xml:space="preserve">Refer to Digoxin above </w:t>
            </w:r>
          </w:p>
        </w:tc>
      </w:tr>
      <w:tr w:rsidR="0053763D" w:rsidRPr="00F10C37" w14:paraId="7B865739" w14:textId="77777777" w:rsidTr="00C46407">
        <w:trPr>
          <w:trHeight w:val="422"/>
        </w:trPr>
        <w:tc>
          <w:tcPr>
            <w:tcW w:w="2674" w:type="dxa"/>
            <w:gridSpan w:val="4"/>
          </w:tcPr>
          <w:p w14:paraId="05E18551"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681" w:type="dxa"/>
            <w:gridSpan w:val="2"/>
          </w:tcPr>
          <w:p w14:paraId="37C429DA" w14:textId="77777777" w:rsidR="0053763D" w:rsidRPr="00F10C37" w:rsidRDefault="0053763D" w:rsidP="00C46407">
            <w:pPr>
              <w:jc w:val="both"/>
              <w:rPr>
                <w:rFonts w:cs="Times New Roman"/>
                <w:szCs w:val="24"/>
              </w:rPr>
            </w:pPr>
            <w:r w:rsidRPr="00F10C37">
              <w:rPr>
                <w:rFonts w:cs="Times New Roman"/>
                <w:szCs w:val="24"/>
              </w:rPr>
              <w:t xml:space="preserve">Store between 15°C to 30°C. </w:t>
            </w:r>
          </w:p>
        </w:tc>
      </w:tr>
      <w:tr w:rsidR="0053763D" w:rsidRPr="00F10C37" w14:paraId="3953A076" w14:textId="77777777" w:rsidTr="00C46407">
        <w:trPr>
          <w:trHeight w:val="512"/>
        </w:trPr>
        <w:tc>
          <w:tcPr>
            <w:tcW w:w="9355" w:type="dxa"/>
            <w:gridSpan w:val="6"/>
          </w:tcPr>
          <w:p w14:paraId="6BCD2D66" w14:textId="77777777" w:rsidR="0053763D" w:rsidRPr="00F10C37" w:rsidRDefault="0053763D" w:rsidP="00C46407">
            <w:pPr>
              <w:jc w:val="both"/>
              <w:rPr>
                <w:rFonts w:cs="Times New Roman"/>
                <w:b/>
                <w:szCs w:val="24"/>
              </w:rPr>
            </w:pPr>
            <w:r w:rsidRPr="00F10C37">
              <w:rPr>
                <w:rFonts w:cs="Times New Roman"/>
                <w:b/>
                <w:szCs w:val="24"/>
              </w:rPr>
              <w:t>Isoprenaline/Isoproterenol hydrochloride</w:t>
            </w:r>
          </w:p>
        </w:tc>
      </w:tr>
      <w:tr w:rsidR="0053763D" w:rsidRPr="00F10C37" w14:paraId="3F17DBEA" w14:textId="77777777" w:rsidTr="00C46407">
        <w:trPr>
          <w:trHeight w:val="512"/>
        </w:trPr>
        <w:tc>
          <w:tcPr>
            <w:tcW w:w="2455" w:type="dxa"/>
            <w:gridSpan w:val="2"/>
          </w:tcPr>
          <w:p w14:paraId="583F92D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00" w:type="dxa"/>
            <w:gridSpan w:val="4"/>
          </w:tcPr>
          <w:p w14:paraId="19F09F31" w14:textId="77777777" w:rsidR="0053763D" w:rsidRPr="00F10C37" w:rsidRDefault="0053763D" w:rsidP="00C46407">
            <w:pPr>
              <w:jc w:val="both"/>
              <w:rPr>
                <w:rFonts w:cs="Times New Roman"/>
                <w:szCs w:val="24"/>
              </w:rPr>
            </w:pPr>
            <w:r w:rsidRPr="00F10C37">
              <w:rPr>
                <w:rFonts w:cs="Times New Roman"/>
                <w:szCs w:val="24"/>
              </w:rPr>
              <w:t>Sympathomimetic acting on beta- receptor</w:t>
            </w:r>
          </w:p>
        </w:tc>
      </w:tr>
      <w:tr w:rsidR="0053763D" w:rsidRPr="00F10C37" w14:paraId="5B91BFE4" w14:textId="77777777" w:rsidTr="00C46407">
        <w:trPr>
          <w:trHeight w:val="395"/>
        </w:trPr>
        <w:tc>
          <w:tcPr>
            <w:tcW w:w="2455" w:type="dxa"/>
            <w:gridSpan w:val="2"/>
          </w:tcPr>
          <w:p w14:paraId="115C73EE" w14:textId="77777777" w:rsidR="0053763D" w:rsidRPr="00F10C37" w:rsidRDefault="0053763D" w:rsidP="00C46407">
            <w:pPr>
              <w:jc w:val="both"/>
              <w:rPr>
                <w:rFonts w:cs="Times New Roman"/>
                <w:szCs w:val="24"/>
              </w:rPr>
            </w:pPr>
            <w:r w:rsidRPr="00F10C37">
              <w:rPr>
                <w:rFonts w:cs="Times New Roman"/>
                <w:szCs w:val="24"/>
              </w:rPr>
              <w:t>Dosage form</w:t>
            </w:r>
          </w:p>
        </w:tc>
        <w:tc>
          <w:tcPr>
            <w:tcW w:w="6900" w:type="dxa"/>
            <w:gridSpan w:val="4"/>
          </w:tcPr>
          <w:p w14:paraId="22D835B9"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iCs/>
                <w:szCs w:val="24"/>
              </w:rPr>
              <w:t>Injection</w:t>
            </w:r>
            <w:r>
              <w:rPr>
                <w:rFonts w:cs="Times New Roman"/>
                <w:iCs/>
                <w:szCs w:val="24"/>
              </w:rPr>
              <w:t xml:space="preserve">: </w:t>
            </w:r>
            <w:r w:rsidRPr="00F10C37">
              <w:rPr>
                <w:rFonts w:cs="Times New Roman"/>
                <w:iCs/>
                <w:szCs w:val="24"/>
              </w:rPr>
              <w:t>0.02 mg/</w:t>
            </w:r>
            <w:r>
              <w:rPr>
                <w:rFonts w:cs="Times New Roman"/>
                <w:iCs/>
                <w:szCs w:val="24"/>
              </w:rPr>
              <w:t>ml</w:t>
            </w:r>
            <w:r w:rsidRPr="00F10C37">
              <w:rPr>
                <w:rFonts w:cs="Times New Roman"/>
                <w:iCs/>
                <w:szCs w:val="24"/>
              </w:rPr>
              <w:t>, 0.2mg/</w:t>
            </w:r>
            <w:r>
              <w:rPr>
                <w:rFonts w:cs="Times New Roman"/>
                <w:iCs/>
                <w:szCs w:val="24"/>
              </w:rPr>
              <w:t>ml</w:t>
            </w:r>
          </w:p>
        </w:tc>
      </w:tr>
      <w:tr w:rsidR="0053763D" w:rsidRPr="00F10C37" w14:paraId="6C63794A" w14:textId="77777777" w:rsidTr="00C46407">
        <w:trPr>
          <w:trHeight w:val="521"/>
        </w:trPr>
        <w:tc>
          <w:tcPr>
            <w:tcW w:w="2455" w:type="dxa"/>
            <w:gridSpan w:val="2"/>
          </w:tcPr>
          <w:p w14:paraId="017B64D3" w14:textId="77777777" w:rsidR="0053763D" w:rsidRPr="00AA36AE" w:rsidRDefault="0053763D" w:rsidP="00C46407">
            <w:pPr>
              <w:jc w:val="both"/>
              <w:rPr>
                <w:rFonts w:cs="Times New Roman"/>
                <w:szCs w:val="24"/>
              </w:rPr>
            </w:pPr>
            <w:r w:rsidRPr="00AA36AE">
              <w:rPr>
                <w:rFonts w:cs="Times New Roman"/>
                <w:szCs w:val="24"/>
              </w:rPr>
              <w:t>Indications</w:t>
            </w:r>
          </w:p>
        </w:tc>
        <w:tc>
          <w:tcPr>
            <w:tcW w:w="6900" w:type="dxa"/>
            <w:gridSpan w:val="4"/>
          </w:tcPr>
          <w:p w14:paraId="75D7A1B4" w14:textId="77777777" w:rsidR="0053763D" w:rsidRPr="00F10C37" w:rsidRDefault="0053763D" w:rsidP="00C46407">
            <w:pPr>
              <w:jc w:val="both"/>
              <w:rPr>
                <w:rFonts w:cs="Times New Roman"/>
                <w:szCs w:val="24"/>
              </w:rPr>
            </w:pPr>
            <w:r w:rsidRPr="00F10C37">
              <w:rPr>
                <w:rFonts w:cs="Times New Roman"/>
                <w:szCs w:val="24"/>
              </w:rPr>
              <w:t>Cardiac arrythmia, cardiac arrest, severe bradycardia, unresponsive to atropine, shock, bronchospasm</w:t>
            </w:r>
          </w:p>
        </w:tc>
      </w:tr>
      <w:tr w:rsidR="0053763D" w:rsidRPr="00F10C37" w14:paraId="65970751" w14:textId="77777777" w:rsidTr="00C46407">
        <w:trPr>
          <w:trHeight w:val="521"/>
        </w:trPr>
        <w:tc>
          <w:tcPr>
            <w:tcW w:w="2455" w:type="dxa"/>
            <w:gridSpan w:val="2"/>
          </w:tcPr>
          <w:p w14:paraId="3F30FDD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00" w:type="dxa"/>
            <w:gridSpan w:val="4"/>
          </w:tcPr>
          <w:p w14:paraId="5587524F" w14:textId="77777777" w:rsidR="0053763D" w:rsidRDefault="0053763D" w:rsidP="00C46407">
            <w:pPr>
              <w:pStyle w:val="Heading5"/>
              <w:spacing w:before="0" w:line="360" w:lineRule="auto"/>
              <w:jc w:val="both"/>
              <w:outlineLvl w:val="4"/>
              <w:rPr>
                <w:rFonts w:ascii="Times New Roman" w:hAnsi="Times New Roman" w:cs="Times New Roman"/>
                <w:b/>
                <w:color w:val="auto"/>
                <w:szCs w:val="24"/>
              </w:rPr>
            </w:pPr>
            <w:r w:rsidRPr="00F10C37">
              <w:rPr>
                <w:rFonts w:ascii="Times New Roman" w:hAnsi="Times New Roman" w:cs="Times New Roman"/>
                <w:b/>
                <w:color w:val="auto"/>
                <w:szCs w:val="24"/>
              </w:rPr>
              <w:t>Cardiac arrhythmias and cardiac arrest</w:t>
            </w:r>
            <w:r>
              <w:rPr>
                <w:rFonts w:ascii="Times New Roman" w:hAnsi="Times New Roman" w:cs="Times New Roman"/>
                <w:b/>
                <w:color w:val="auto"/>
                <w:szCs w:val="24"/>
              </w:rPr>
              <w:t xml:space="preserve">: </w:t>
            </w:r>
          </w:p>
          <w:p w14:paraId="436D90CB" w14:textId="77777777" w:rsidR="0053763D" w:rsidRDefault="0053763D" w:rsidP="00C46407">
            <w:pPr>
              <w:pStyle w:val="Heading5"/>
              <w:spacing w:before="0" w:line="360" w:lineRule="auto"/>
              <w:jc w:val="both"/>
              <w:outlineLvl w:val="4"/>
              <w:rPr>
                <w:rFonts w:ascii="Times New Roman" w:hAnsi="Times New Roman" w:cs="Times New Roman"/>
                <w:b/>
                <w:color w:val="auto"/>
                <w:szCs w:val="24"/>
              </w:rPr>
            </w:pPr>
            <w:r w:rsidRPr="003D3E3A">
              <w:rPr>
                <w:rFonts w:ascii="Times New Roman" w:hAnsi="Times New Roman" w:cs="Times New Roman"/>
                <w:b/>
                <w:color w:val="auto"/>
                <w:szCs w:val="24"/>
              </w:rPr>
              <w:t>Adult</w:t>
            </w:r>
            <w:r>
              <w:rPr>
                <w:rFonts w:ascii="Times New Roman" w:hAnsi="Times New Roman" w:cs="Times New Roman"/>
                <w:b/>
                <w:color w:val="auto"/>
                <w:szCs w:val="24"/>
              </w:rPr>
              <w:t xml:space="preserve">; </w:t>
            </w:r>
          </w:p>
          <w:p w14:paraId="5D588B65" w14:textId="77777777" w:rsidR="0053763D" w:rsidRDefault="0053763D" w:rsidP="00C46407">
            <w:pPr>
              <w:pStyle w:val="Heading5"/>
              <w:spacing w:before="0" w:line="360" w:lineRule="auto"/>
              <w:jc w:val="both"/>
              <w:outlineLvl w:val="4"/>
              <w:rPr>
                <w:rFonts w:ascii="Times New Roman" w:hAnsi="Times New Roman" w:cs="Times New Roman"/>
                <w:color w:val="auto"/>
                <w:szCs w:val="24"/>
              </w:rPr>
            </w:pPr>
            <w:r w:rsidRPr="00680C2B">
              <w:rPr>
                <w:rFonts w:ascii="Times New Roman" w:hAnsi="Times New Roman" w:cs="Times New Roman"/>
                <w:color w:val="auto"/>
                <w:szCs w:val="24"/>
              </w:rPr>
              <w:t>IV infusion</w:t>
            </w:r>
            <w:r w:rsidRPr="003D3E3A">
              <w:rPr>
                <w:rFonts w:ascii="Times New Roman" w:hAnsi="Times New Roman" w:cs="Times New Roman"/>
                <w:b/>
                <w:color w:val="auto"/>
                <w:szCs w:val="24"/>
              </w:rPr>
              <w:t>:</w:t>
            </w:r>
            <w:r>
              <w:rPr>
                <w:rFonts w:ascii="Times New Roman" w:hAnsi="Times New Roman" w:cs="Times New Roman"/>
                <w:color w:val="auto"/>
                <w:szCs w:val="24"/>
              </w:rPr>
              <w:t xml:space="preserve"> </w:t>
            </w:r>
            <w:r w:rsidRPr="00F10C37">
              <w:rPr>
                <w:rFonts w:ascii="Times New Roman" w:hAnsi="Times New Roman" w:cs="Times New Roman"/>
                <w:color w:val="auto"/>
                <w:szCs w:val="24"/>
              </w:rPr>
              <w:t xml:space="preserve">initial dosage of 5 mcg/minute, adjust subsequent dosage based on patient response (generally ranges from 2–20 mcg/minute). </w:t>
            </w:r>
          </w:p>
          <w:p w14:paraId="28E87EC1" w14:textId="77777777" w:rsidR="0053763D" w:rsidRDefault="0053763D" w:rsidP="00C46407">
            <w:pPr>
              <w:pStyle w:val="Heading5"/>
              <w:spacing w:before="0" w:line="360" w:lineRule="auto"/>
              <w:jc w:val="both"/>
              <w:outlineLvl w:val="4"/>
              <w:rPr>
                <w:rFonts w:ascii="Times New Roman" w:hAnsi="Times New Roman" w:cs="Times New Roman"/>
                <w:color w:val="auto"/>
                <w:szCs w:val="24"/>
              </w:rPr>
            </w:pPr>
            <w:r w:rsidRPr="00680C2B">
              <w:rPr>
                <w:rFonts w:ascii="Times New Roman" w:hAnsi="Times New Roman" w:cs="Times New Roman"/>
                <w:color w:val="auto"/>
                <w:szCs w:val="24"/>
              </w:rPr>
              <w:t>IV injection</w:t>
            </w:r>
            <w:r w:rsidRPr="00F10C37">
              <w:rPr>
                <w:rFonts w:ascii="Times New Roman" w:hAnsi="Times New Roman" w:cs="Times New Roman"/>
                <w:color w:val="auto"/>
                <w:szCs w:val="24"/>
              </w:rPr>
              <w:t xml:space="preserve">: IV doses of 0.04–0.06 mg have been used in adults. </w:t>
            </w:r>
          </w:p>
          <w:p w14:paraId="7A537C84" w14:textId="77777777" w:rsidR="0053763D" w:rsidRDefault="0053763D" w:rsidP="00C46407">
            <w:pPr>
              <w:pStyle w:val="Heading5"/>
              <w:spacing w:before="0" w:line="360" w:lineRule="auto"/>
              <w:jc w:val="both"/>
              <w:outlineLvl w:val="4"/>
              <w:rPr>
                <w:rFonts w:ascii="Times New Roman" w:hAnsi="Times New Roman" w:cs="Times New Roman"/>
                <w:color w:val="auto"/>
                <w:szCs w:val="24"/>
              </w:rPr>
            </w:pPr>
            <w:r w:rsidRPr="00680C2B">
              <w:rPr>
                <w:rFonts w:ascii="Times New Roman" w:hAnsi="Times New Roman" w:cs="Times New Roman"/>
                <w:color w:val="auto"/>
                <w:szCs w:val="24"/>
              </w:rPr>
              <w:t>IM injection</w:t>
            </w:r>
            <w:r w:rsidRPr="00F10C37">
              <w:rPr>
                <w:rFonts w:ascii="Times New Roman" w:hAnsi="Times New Roman" w:cs="Times New Roman"/>
                <w:color w:val="auto"/>
                <w:szCs w:val="24"/>
              </w:rPr>
              <w:t xml:space="preserve">: 0.02–1 mg. </w:t>
            </w:r>
          </w:p>
          <w:p w14:paraId="6FDCBBF3" w14:textId="77777777" w:rsidR="0053763D" w:rsidRDefault="0053763D" w:rsidP="00C46407">
            <w:pPr>
              <w:pStyle w:val="Heading5"/>
              <w:spacing w:before="0" w:line="360" w:lineRule="auto"/>
              <w:jc w:val="both"/>
              <w:outlineLvl w:val="4"/>
              <w:rPr>
                <w:rFonts w:ascii="Times New Roman" w:hAnsi="Times New Roman" w:cs="Times New Roman"/>
                <w:color w:val="auto"/>
                <w:szCs w:val="24"/>
              </w:rPr>
            </w:pPr>
            <w:r w:rsidRPr="003D3E3A">
              <w:rPr>
                <w:rFonts w:ascii="Times New Roman" w:hAnsi="Times New Roman" w:cs="Times New Roman"/>
                <w:b/>
                <w:color w:val="auto"/>
                <w:szCs w:val="24"/>
              </w:rPr>
              <w:t>Child:</w:t>
            </w:r>
            <w:r w:rsidRPr="00F10C37">
              <w:rPr>
                <w:rFonts w:ascii="Times New Roman" w:hAnsi="Times New Roman" w:cs="Times New Roman"/>
                <w:color w:val="auto"/>
                <w:szCs w:val="24"/>
              </w:rPr>
              <w:t xml:space="preserve"> 0.1mcg-1mcg/kg per minute. </w:t>
            </w:r>
          </w:p>
          <w:p w14:paraId="02235DFB" w14:textId="77777777" w:rsidR="0053763D" w:rsidRPr="00F10C37" w:rsidRDefault="0053763D" w:rsidP="00C46407">
            <w:pPr>
              <w:pStyle w:val="Heading5"/>
              <w:spacing w:before="0" w:line="360" w:lineRule="auto"/>
              <w:jc w:val="both"/>
              <w:outlineLvl w:val="4"/>
              <w:rPr>
                <w:rFonts w:ascii="Times New Roman" w:hAnsi="Times New Roman" w:cs="Times New Roman"/>
                <w:color w:val="auto"/>
                <w:szCs w:val="24"/>
              </w:rPr>
            </w:pPr>
            <w:r w:rsidRPr="00F10C37">
              <w:rPr>
                <w:rFonts w:ascii="Times New Roman" w:hAnsi="Times New Roman" w:cs="Times New Roman"/>
                <w:b/>
                <w:color w:val="auto"/>
                <w:szCs w:val="24"/>
              </w:rPr>
              <w:t>Infants</w:t>
            </w:r>
            <w:r w:rsidRPr="00F10C37">
              <w:rPr>
                <w:rFonts w:ascii="Times New Roman" w:hAnsi="Times New Roman" w:cs="Times New Roman"/>
                <w:b/>
                <w:szCs w:val="24"/>
              </w:rPr>
              <w:t>:</w:t>
            </w:r>
            <w:r w:rsidRPr="00F10C37">
              <w:rPr>
                <w:rFonts w:ascii="Times New Roman" w:hAnsi="Times New Roman" w:cs="Times New Roman"/>
                <w:color w:val="auto"/>
                <w:szCs w:val="24"/>
              </w:rPr>
              <w:t xml:space="preserve"> IV doses of 0.01–0.03 mg.</w:t>
            </w:r>
          </w:p>
          <w:p w14:paraId="21D90DAC" w14:textId="77777777" w:rsidR="0053763D" w:rsidRDefault="0053763D" w:rsidP="00C46407">
            <w:pPr>
              <w:pStyle w:val="Heading5"/>
              <w:spacing w:before="0" w:line="360" w:lineRule="auto"/>
              <w:jc w:val="both"/>
              <w:outlineLvl w:val="4"/>
              <w:rPr>
                <w:rFonts w:ascii="Times New Roman" w:hAnsi="Times New Roman" w:cs="Times New Roman"/>
                <w:color w:val="auto"/>
                <w:szCs w:val="24"/>
              </w:rPr>
            </w:pPr>
            <w:r w:rsidRPr="00F10C37">
              <w:rPr>
                <w:rFonts w:ascii="Times New Roman" w:hAnsi="Times New Roman" w:cs="Times New Roman"/>
                <w:b/>
                <w:color w:val="auto"/>
                <w:szCs w:val="24"/>
              </w:rPr>
              <w:t>Shock</w:t>
            </w:r>
            <w:r>
              <w:rPr>
                <w:rFonts w:ascii="Times New Roman" w:hAnsi="Times New Roman" w:cs="Times New Roman"/>
                <w:b/>
                <w:color w:val="auto"/>
                <w:szCs w:val="24"/>
              </w:rPr>
              <w:t>:</w:t>
            </w:r>
          </w:p>
          <w:p w14:paraId="1EEE4EC3" w14:textId="77777777" w:rsidR="0053763D" w:rsidRDefault="0053763D" w:rsidP="00C46407">
            <w:pPr>
              <w:pStyle w:val="Heading5"/>
              <w:spacing w:before="0" w:line="360" w:lineRule="auto"/>
              <w:jc w:val="both"/>
              <w:outlineLvl w:val="4"/>
              <w:rPr>
                <w:rFonts w:ascii="Times New Roman" w:hAnsi="Times New Roman" w:cs="Times New Roman"/>
                <w:b/>
                <w:color w:val="auto"/>
                <w:szCs w:val="24"/>
              </w:rPr>
            </w:pPr>
            <w:r w:rsidRPr="00680C2B">
              <w:rPr>
                <w:rFonts w:ascii="Times New Roman" w:hAnsi="Times New Roman" w:cs="Times New Roman"/>
                <w:b/>
                <w:color w:val="auto"/>
                <w:szCs w:val="24"/>
              </w:rPr>
              <w:t>Adult:</w:t>
            </w:r>
          </w:p>
          <w:p w14:paraId="37506010" w14:textId="77777777" w:rsidR="0053763D" w:rsidRPr="00F10C37" w:rsidRDefault="0053763D" w:rsidP="00C46407">
            <w:pPr>
              <w:pStyle w:val="Heading5"/>
              <w:spacing w:before="0" w:line="360" w:lineRule="auto"/>
              <w:jc w:val="both"/>
              <w:outlineLvl w:val="4"/>
              <w:rPr>
                <w:rFonts w:ascii="Times New Roman" w:eastAsia="Times New Roman" w:hAnsi="Times New Roman" w:cs="Times New Roman"/>
                <w:color w:val="auto"/>
                <w:szCs w:val="24"/>
              </w:rPr>
            </w:pPr>
            <w:r>
              <w:rPr>
                <w:rFonts w:ascii="Times New Roman" w:hAnsi="Times New Roman" w:cs="Times New Roman"/>
                <w:color w:val="auto"/>
                <w:szCs w:val="24"/>
              </w:rPr>
              <w:t>IV infusion:</w:t>
            </w:r>
            <w:r w:rsidRPr="00F10C37">
              <w:rPr>
                <w:rFonts w:ascii="Times New Roman" w:hAnsi="Times New Roman" w:cs="Times New Roman"/>
                <w:color w:val="auto"/>
                <w:szCs w:val="24"/>
              </w:rPr>
              <w:t xml:space="preserve"> 0.5–5 mcg per minute. In advanced stages of shock, rates &gt;30 mcg/minute have been used.</w:t>
            </w:r>
          </w:p>
          <w:p w14:paraId="21821BC2" w14:textId="77777777" w:rsidR="0053763D" w:rsidRPr="00F10C37" w:rsidRDefault="0053763D" w:rsidP="00C46407">
            <w:pPr>
              <w:pStyle w:val="Heading6"/>
              <w:spacing w:before="0" w:line="360" w:lineRule="auto"/>
              <w:jc w:val="both"/>
              <w:outlineLvl w:val="5"/>
              <w:rPr>
                <w:rFonts w:cs="Times New Roman"/>
                <w:i w:val="0"/>
                <w:color w:val="auto"/>
                <w:szCs w:val="24"/>
              </w:rPr>
            </w:pPr>
            <w:r w:rsidRPr="00680C2B">
              <w:rPr>
                <w:rFonts w:cs="Times New Roman"/>
                <w:i w:val="0"/>
                <w:color w:val="auto"/>
                <w:szCs w:val="24"/>
              </w:rPr>
              <w:t>IV injection</w:t>
            </w:r>
            <w:r w:rsidRPr="00F10C37">
              <w:rPr>
                <w:rFonts w:cs="Times New Roman"/>
                <w:i w:val="0"/>
                <w:color w:val="auto"/>
                <w:szCs w:val="24"/>
              </w:rPr>
              <w:t>: initial dose of 0.01–0.02 mg dose may be repeated if necessary.</w:t>
            </w:r>
          </w:p>
          <w:p w14:paraId="176FA211" w14:textId="77777777" w:rsidR="0053763D" w:rsidRPr="00680C2B" w:rsidRDefault="0053763D" w:rsidP="00C46407">
            <w:pPr>
              <w:pStyle w:val="Heading5"/>
              <w:spacing w:before="0" w:line="360" w:lineRule="auto"/>
              <w:jc w:val="both"/>
              <w:outlineLvl w:val="4"/>
              <w:rPr>
                <w:rFonts w:ascii="Times New Roman" w:hAnsi="Times New Roman" w:cs="Times New Roman"/>
                <w:color w:val="auto"/>
                <w:szCs w:val="24"/>
              </w:rPr>
            </w:pPr>
            <w:r w:rsidRPr="00F10C37">
              <w:rPr>
                <w:rFonts w:ascii="Times New Roman" w:hAnsi="Times New Roman" w:cs="Times New Roman"/>
                <w:b/>
                <w:color w:val="auto"/>
                <w:szCs w:val="24"/>
              </w:rPr>
              <w:t xml:space="preserve">Bronchospasm, </w:t>
            </w:r>
            <w:r w:rsidRPr="00680C2B">
              <w:rPr>
                <w:rFonts w:ascii="Times New Roman" w:hAnsi="Times New Roman" w:cs="Times New Roman"/>
                <w:color w:val="auto"/>
                <w:szCs w:val="24"/>
              </w:rPr>
              <w:t>IV:</w:t>
            </w:r>
          </w:p>
          <w:p w14:paraId="30A92FAF" w14:textId="77777777" w:rsidR="0053763D" w:rsidRPr="00F10C37" w:rsidRDefault="0053763D" w:rsidP="00C46407">
            <w:pPr>
              <w:pStyle w:val="Heading5"/>
              <w:spacing w:before="0" w:line="360" w:lineRule="auto"/>
              <w:jc w:val="both"/>
              <w:outlineLvl w:val="4"/>
              <w:rPr>
                <w:rFonts w:ascii="Times New Roman" w:hAnsi="Times New Roman" w:cs="Times New Roman"/>
                <w:color w:val="auto"/>
                <w:szCs w:val="24"/>
              </w:rPr>
            </w:pPr>
            <w:r w:rsidRPr="00680C2B">
              <w:rPr>
                <w:rFonts w:ascii="Times New Roman" w:hAnsi="Times New Roman" w:cs="Times New Roman"/>
                <w:b/>
                <w:color w:val="auto"/>
                <w:szCs w:val="24"/>
              </w:rPr>
              <w:t>Adult:</w:t>
            </w:r>
            <w:r w:rsidRPr="00F10C37">
              <w:rPr>
                <w:rFonts w:ascii="Times New Roman" w:hAnsi="Times New Roman" w:cs="Times New Roman"/>
                <w:color w:val="auto"/>
                <w:szCs w:val="24"/>
              </w:rPr>
              <w:t xml:space="preserve"> IV doses of 0.01–0.02 mg, repeated as needed.</w:t>
            </w:r>
          </w:p>
        </w:tc>
      </w:tr>
      <w:tr w:rsidR="0053763D" w:rsidRPr="00F10C37" w14:paraId="30CBC7AC" w14:textId="77777777" w:rsidTr="00C46407">
        <w:tc>
          <w:tcPr>
            <w:tcW w:w="2455" w:type="dxa"/>
            <w:gridSpan w:val="2"/>
          </w:tcPr>
          <w:p w14:paraId="6E0097D9"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00" w:type="dxa"/>
            <w:gridSpan w:val="4"/>
          </w:tcPr>
          <w:p w14:paraId="27CE4F7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Tachyarrhythmias, tachycardia of heart-block caused by digitalis intoxication</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ventricular arrhythmias which require inotropic therapy and angina pectoris. </w:t>
            </w:r>
          </w:p>
        </w:tc>
      </w:tr>
      <w:tr w:rsidR="0053763D" w:rsidRPr="00F10C37" w14:paraId="53D308E7" w14:textId="77777777" w:rsidTr="00C46407">
        <w:tc>
          <w:tcPr>
            <w:tcW w:w="2455" w:type="dxa"/>
            <w:gridSpan w:val="2"/>
          </w:tcPr>
          <w:p w14:paraId="14B7EED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00" w:type="dxa"/>
            <w:gridSpan w:val="4"/>
          </w:tcPr>
          <w:p w14:paraId="6F52BABE" w14:textId="77777777" w:rsidR="0053763D" w:rsidRPr="00F10C37" w:rsidRDefault="0053763D" w:rsidP="00C46407">
            <w:pPr>
              <w:jc w:val="both"/>
              <w:rPr>
                <w:rFonts w:cs="Times New Roman"/>
                <w:szCs w:val="24"/>
              </w:rPr>
            </w:pPr>
            <w:r w:rsidRPr="00F10C37">
              <w:rPr>
                <w:rFonts w:cs="Times New Roman"/>
                <w:szCs w:val="24"/>
              </w:rPr>
              <w:t>Betablocker</w:t>
            </w:r>
            <w:r>
              <w:rPr>
                <w:rFonts w:cs="Times New Roman"/>
                <w:szCs w:val="24"/>
              </w:rPr>
              <w:t>s</w:t>
            </w:r>
            <w:r w:rsidRPr="00F10C37">
              <w:rPr>
                <w:rFonts w:cs="Times New Roman"/>
                <w:szCs w:val="24"/>
              </w:rPr>
              <w:t>, sympathomimetics, halothane, aminophylline, theophylline, MAO inhibitors</w:t>
            </w:r>
            <w:r>
              <w:rPr>
                <w:rFonts w:cs="Times New Roman"/>
                <w:szCs w:val="24"/>
              </w:rPr>
              <w:t>.</w:t>
            </w:r>
          </w:p>
        </w:tc>
      </w:tr>
      <w:tr w:rsidR="0053763D" w:rsidRPr="00F10C37" w14:paraId="6CA20D72" w14:textId="77777777" w:rsidTr="00C46407">
        <w:tc>
          <w:tcPr>
            <w:tcW w:w="2455" w:type="dxa"/>
            <w:gridSpan w:val="2"/>
          </w:tcPr>
          <w:p w14:paraId="620965C0" w14:textId="77777777" w:rsidR="0053763D" w:rsidRPr="00F10C37" w:rsidRDefault="0053763D" w:rsidP="00C46407">
            <w:pPr>
              <w:jc w:val="both"/>
              <w:rPr>
                <w:rFonts w:cs="Times New Roman"/>
                <w:szCs w:val="24"/>
              </w:rPr>
            </w:pPr>
            <w:r w:rsidRPr="00F10C37">
              <w:rPr>
                <w:rFonts w:cs="Times New Roman"/>
                <w:szCs w:val="24"/>
              </w:rPr>
              <w:t>Side effects</w:t>
            </w:r>
          </w:p>
        </w:tc>
        <w:tc>
          <w:tcPr>
            <w:tcW w:w="6900" w:type="dxa"/>
            <w:gridSpan w:val="4"/>
          </w:tcPr>
          <w:p w14:paraId="1D915CC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Arrhythmias, hypotension, sweating, tremor, headache, palpitations, tachycardia, nervousness, excitability, insomnia, dizziness</w:t>
            </w:r>
            <w:r>
              <w:rPr>
                <w:rFonts w:eastAsiaTheme="minorHAnsi" w:cs="Times New Roman"/>
                <w:kern w:val="0"/>
                <w:szCs w:val="24"/>
                <w:lang w:val="en-US" w:eastAsia="en-US"/>
              </w:rPr>
              <w:t>.</w:t>
            </w:r>
          </w:p>
        </w:tc>
      </w:tr>
      <w:tr w:rsidR="0053763D" w:rsidRPr="00F10C37" w14:paraId="7A2CFC1E" w14:textId="77777777" w:rsidTr="00C46407">
        <w:tc>
          <w:tcPr>
            <w:tcW w:w="2455" w:type="dxa"/>
            <w:gridSpan w:val="2"/>
          </w:tcPr>
          <w:p w14:paraId="1FEABA9D" w14:textId="77777777" w:rsidR="0053763D" w:rsidRPr="00F10C37" w:rsidRDefault="0053763D" w:rsidP="00C46407">
            <w:pPr>
              <w:jc w:val="both"/>
              <w:rPr>
                <w:rFonts w:cs="Times New Roman"/>
                <w:szCs w:val="24"/>
              </w:rPr>
            </w:pPr>
            <w:r w:rsidRPr="00F10C37">
              <w:rPr>
                <w:rFonts w:cs="Times New Roman"/>
                <w:szCs w:val="24"/>
              </w:rPr>
              <w:lastRenderedPageBreak/>
              <w:t>Cautions</w:t>
            </w:r>
          </w:p>
        </w:tc>
        <w:tc>
          <w:tcPr>
            <w:tcW w:w="6900" w:type="dxa"/>
            <w:gridSpan w:val="4"/>
          </w:tcPr>
          <w:p w14:paraId="0B05D79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Ischemic heart disease, diabetes mellitus, hyperthyroidism; pregnancy, hypertension, cardiovascular disorders (including coronary artery disease and coronary insufficiency). </w:t>
            </w:r>
          </w:p>
        </w:tc>
      </w:tr>
      <w:tr w:rsidR="0053763D" w:rsidRPr="00F10C37" w14:paraId="64385D21" w14:textId="77777777" w:rsidTr="00C46407">
        <w:tc>
          <w:tcPr>
            <w:tcW w:w="2455" w:type="dxa"/>
            <w:gridSpan w:val="2"/>
          </w:tcPr>
          <w:p w14:paraId="2AD10E8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00" w:type="dxa"/>
            <w:gridSpan w:val="4"/>
          </w:tcPr>
          <w:p w14:paraId="3127F03F"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 P</w:t>
            </w:r>
            <w:r w:rsidRPr="00F10C37">
              <w:rPr>
                <w:rFonts w:cs="Times New Roman"/>
                <w:szCs w:val="24"/>
              </w:rPr>
              <w:t>rotect from light</w:t>
            </w:r>
            <w:r>
              <w:rPr>
                <w:rFonts w:cs="Times New Roman"/>
                <w:szCs w:val="24"/>
              </w:rPr>
              <w:t>.</w:t>
            </w:r>
          </w:p>
        </w:tc>
      </w:tr>
      <w:tr w:rsidR="0053763D" w:rsidRPr="00F10C37" w14:paraId="44E8D81A" w14:textId="77777777" w:rsidTr="00C46407">
        <w:trPr>
          <w:trHeight w:val="513"/>
        </w:trPr>
        <w:tc>
          <w:tcPr>
            <w:tcW w:w="9355" w:type="dxa"/>
            <w:gridSpan w:val="6"/>
          </w:tcPr>
          <w:p w14:paraId="61599653" w14:textId="77777777" w:rsidR="0053763D" w:rsidRPr="00F10C37" w:rsidRDefault="0053763D" w:rsidP="00C46407">
            <w:pPr>
              <w:jc w:val="both"/>
              <w:rPr>
                <w:rFonts w:cs="Times New Roman"/>
                <w:b/>
                <w:szCs w:val="24"/>
              </w:rPr>
            </w:pPr>
            <w:r w:rsidRPr="00F10C37">
              <w:rPr>
                <w:rFonts w:cs="Times New Roman"/>
                <w:b/>
                <w:color w:val="000000"/>
                <w:szCs w:val="24"/>
              </w:rPr>
              <w:t>Lidocaine</w:t>
            </w:r>
            <w:r w:rsidRPr="00F10C37">
              <w:rPr>
                <w:rFonts w:cs="Times New Roman"/>
                <w:b/>
                <w:color w:val="000000"/>
                <w:szCs w:val="24"/>
              </w:rPr>
              <w:fldChar w:fldCharType="begin"/>
            </w:r>
            <w:r w:rsidRPr="00F10C37">
              <w:rPr>
                <w:rFonts w:cs="Times New Roman"/>
                <w:b/>
                <w:szCs w:val="24"/>
              </w:rPr>
              <w:instrText xml:space="preserve"> XE "</w:instrText>
            </w:r>
            <w:r w:rsidRPr="00F10C37">
              <w:rPr>
                <w:rFonts w:cs="Times New Roman"/>
                <w:b/>
                <w:color w:val="000000"/>
                <w:szCs w:val="24"/>
              </w:rPr>
              <w:instrText>Lidocaine</w:instrText>
            </w:r>
            <w:r w:rsidRPr="00F10C37">
              <w:rPr>
                <w:rFonts w:cs="Times New Roman"/>
                <w:b/>
                <w:szCs w:val="24"/>
              </w:rPr>
              <w:instrText xml:space="preserve">" </w:instrText>
            </w:r>
            <w:r w:rsidRPr="00F10C37">
              <w:rPr>
                <w:rFonts w:cs="Times New Roman"/>
                <w:b/>
                <w:color w:val="000000"/>
                <w:szCs w:val="24"/>
              </w:rPr>
              <w:fldChar w:fldCharType="end"/>
            </w:r>
            <w:r w:rsidRPr="00F10C37">
              <w:rPr>
                <w:rFonts w:cs="Times New Roman"/>
                <w:b/>
                <w:color w:val="000000"/>
                <w:szCs w:val="24"/>
              </w:rPr>
              <w:t xml:space="preserve"> (</w:t>
            </w:r>
            <w:r>
              <w:rPr>
                <w:rFonts w:cs="Times New Roman"/>
                <w:b/>
                <w:color w:val="000000"/>
                <w:szCs w:val="24"/>
              </w:rPr>
              <w:t>l</w:t>
            </w:r>
            <w:r w:rsidRPr="00F10C37">
              <w:rPr>
                <w:rFonts w:cs="Times New Roman"/>
                <w:b/>
                <w:color w:val="000000"/>
                <w:szCs w:val="24"/>
              </w:rPr>
              <w:t>ignocaine)</w:t>
            </w:r>
            <w:r>
              <w:rPr>
                <w:rFonts w:cs="Times New Roman"/>
                <w:b/>
                <w:color w:val="000000"/>
                <w:szCs w:val="24"/>
              </w:rPr>
              <w:t xml:space="preserve"> h</w:t>
            </w:r>
            <w:r w:rsidRPr="00F10C37">
              <w:rPr>
                <w:rFonts w:cs="Times New Roman"/>
                <w:b/>
                <w:color w:val="000000"/>
                <w:szCs w:val="24"/>
              </w:rPr>
              <w:t>ydrochloride</w:t>
            </w:r>
          </w:p>
        </w:tc>
      </w:tr>
      <w:tr w:rsidR="0053763D" w:rsidRPr="00F10C37" w14:paraId="0E68EF29" w14:textId="77777777" w:rsidTr="00C46407">
        <w:trPr>
          <w:trHeight w:val="513"/>
        </w:trPr>
        <w:tc>
          <w:tcPr>
            <w:tcW w:w="2681" w:type="dxa"/>
            <w:gridSpan w:val="5"/>
          </w:tcPr>
          <w:p w14:paraId="33B73124"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74" w:type="dxa"/>
          </w:tcPr>
          <w:p w14:paraId="15E507CD" w14:textId="77777777" w:rsidR="0053763D" w:rsidRPr="00F10C37" w:rsidRDefault="0053763D" w:rsidP="00C46407">
            <w:pPr>
              <w:jc w:val="both"/>
              <w:rPr>
                <w:rFonts w:cs="Times New Roman"/>
                <w:szCs w:val="24"/>
              </w:rPr>
            </w:pPr>
            <w:r w:rsidRPr="00F10C37">
              <w:rPr>
                <w:rFonts w:cs="Times New Roman"/>
                <w:szCs w:val="24"/>
              </w:rPr>
              <w:t>Local anesthetic, Class IB antiarrhythmic</w:t>
            </w:r>
          </w:p>
        </w:tc>
      </w:tr>
      <w:tr w:rsidR="0053763D" w:rsidRPr="00F10C37" w14:paraId="36705142" w14:textId="77777777" w:rsidTr="00C46407">
        <w:trPr>
          <w:trHeight w:val="396"/>
        </w:trPr>
        <w:tc>
          <w:tcPr>
            <w:tcW w:w="2681" w:type="dxa"/>
            <w:gridSpan w:val="5"/>
          </w:tcPr>
          <w:p w14:paraId="6AABA766" w14:textId="77777777" w:rsidR="0053763D" w:rsidRPr="00F10C37" w:rsidRDefault="0053763D" w:rsidP="00C46407">
            <w:pPr>
              <w:jc w:val="both"/>
              <w:rPr>
                <w:rFonts w:cs="Times New Roman"/>
                <w:szCs w:val="24"/>
              </w:rPr>
            </w:pPr>
            <w:r w:rsidRPr="00F10C37">
              <w:rPr>
                <w:rFonts w:cs="Times New Roman"/>
                <w:szCs w:val="24"/>
              </w:rPr>
              <w:t>Dosage form</w:t>
            </w:r>
          </w:p>
        </w:tc>
        <w:tc>
          <w:tcPr>
            <w:tcW w:w="6674" w:type="dxa"/>
          </w:tcPr>
          <w:p w14:paraId="5641D409"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5mg/</w:t>
            </w:r>
            <w:r>
              <w:rPr>
                <w:rFonts w:cs="Times New Roman"/>
                <w:szCs w:val="24"/>
                <w:lang w:val="en-US"/>
              </w:rPr>
              <w:t>ml</w:t>
            </w:r>
            <w:r w:rsidRPr="00F10C37">
              <w:rPr>
                <w:rFonts w:cs="Times New Roman"/>
                <w:szCs w:val="24"/>
                <w:lang w:val="en-US"/>
              </w:rPr>
              <w:t xml:space="preserve"> (0.5%), 10mg/</w:t>
            </w:r>
            <w:r>
              <w:rPr>
                <w:rFonts w:cs="Times New Roman"/>
                <w:szCs w:val="24"/>
                <w:lang w:val="en-US"/>
              </w:rPr>
              <w:t>ml</w:t>
            </w:r>
            <w:r w:rsidRPr="00F10C37">
              <w:rPr>
                <w:rFonts w:cs="Times New Roman"/>
                <w:szCs w:val="24"/>
                <w:lang w:val="en-US"/>
              </w:rPr>
              <w:t xml:space="preserve"> (1%), 20mg/</w:t>
            </w:r>
            <w:r>
              <w:rPr>
                <w:rFonts w:cs="Times New Roman"/>
                <w:szCs w:val="24"/>
                <w:lang w:val="en-US"/>
              </w:rPr>
              <w:t xml:space="preserve">ml </w:t>
            </w:r>
            <w:r w:rsidRPr="00F10C37">
              <w:rPr>
                <w:rFonts w:cs="Times New Roman"/>
                <w:szCs w:val="24"/>
                <w:lang w:val="en-US"/>
              </w:rPr>
              <w:t>(2%) in 20</w:t>
            </w:r>
            <w:r>
              <w:rPr>
                <w:rFonts w:cs="Times New Roman"/>
                <w:szCs w:val="24"/>
                <w:lang w:val="en-US"/>
              </w:rPr>
              <w:t>ml</w:t>
            </w:r>
            <w:r w:rsidRPr="00F10C37">
              <w:rPr>
                <w:rFonts w:cs="Times New Roman"/>
                <w:szCs w:val="24"/>
                <w:lang w:val="en-US"/>
              </w:rPr>
              <w:t xml:space="preserve"> vial</w:t>
            </w:r>
          </w:p>
        </w:tc>
      </w:tr>
      <w:tr w:rsidR="0053763D" w:rsidRPr="00F10C37" w14:paraId="4C8985E9" w14:textId="77777777" w:rsidTr="00C46407">
        <w:trPr>
          <w:trHeight w:val="522"/>
        </w:trPr>
        <w:tc>
          <w:tcPr>
            <w:tcW w:w="2681" w:type="dxa"/>
            <w:gridSpan w:val="5"/>
          </w:tcPr>
          <w:p w14:paraId="0DEA31B6" w14:textId="77777777" w:rsidR="0053763D" w:rsidRPr="00A13B12" w:rsidRDefault="0053763D" w:rsidP="00C46407">
            <w:pPr>
              <w:jc w:val="both"/>
              <w:rPr>
                <w:rFonts w:cs="Times New Roman"/>
                <w:szCs w:val="24"/>
              </w:rPr>
            </w:pPr>
            <w:r w:rsidRPr="00A13B12">
              <w:rPr>
                <w:rFonts w:cs="Times New Roman"/>
                <w:szCs w:val="24"/>
              </w:rPr>
              <w:t>Indications</w:t>
            </w:r>
          </w:p>
        </w:tc>
        <w:tc>
          <w:tcPr>
            <w:tcW w:w="6674" w:type="dxa"/>
          </w:tcPr>
          <w:p w14:paraId="6C81D9B2" w14:textId="77777777" w:rsidR="0053763D" w:rsidRPr="00F10C37" w:rsidRDefault="0053763D" w:rsidP="00C46407">
            <w:pPr>
              <w:jc w:val="both"/>
              <w:rPr>
                <w:rFonts w:cs="Times New Roman"/>
                <w:szCs w:val="24"/>
              </w:rPr>
            </w:pPr>
            <w:r w:rsidRPr="00F10C37">
              <w:rPr>
                <w:rFonts w:cs="Times New Roman"/>
                <w:szCs w:val="24"/>
              </w:rPr>
              <w:t>Cardiopulmonary resuscitation (as an alternative if amiodarone is not available), ventricular arrhythmias</w:t>
            </w:r>
          </w:p>
        </w:tc>
      </w:tr>
      <w:tr w:rsidR="0053763D" w:rsidRPr="00F10C37" w14:paraId="14F9FB28" w14:textId="77777777" w:rsidTr="00C46407">
        <w:trPr>
          <w:trHeight w:val="522"/>
        </w:trPr>
        <w:tc>
          <w:tcPr>
            <w:tcW w:w="2681" w:type="dxa"/>
            <w:gridSpan w:val="5"/>
          </w:tcPr>
          <w:p w14:paraId="52E32C6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74" w:type="dxa"/>
          </w:tcPr>
          <w:p w14:paraId="702BA024" w14:textId="77777777" w:rsidR="0053763D" w:rsidRPr="00F10C37" w:rsidRDefault="0053763D" w:rsidP="00C46407">
            <w:pPr>
              <w:jc w:val="both"/>
              <w:rPr>
                <w:rFonts w:cs="Times New Roman"/>
                <w:szCs w:val="24"/>
              </w:rPr>
            </w:pPr>
            <w:r w:rsidRPr="00F10C37">
              <w:rPr>
                <w:rFonts w:cs="Times New Roman"/>
                <w:b/>
                <w:szCs w:val="24"/>
              </w:rPr>
              <w:t>Cardiopulmonary resuscitation</w:t>
            </w:r>
            <w:r w:rsidRPr="00F10C37">
              <w:rPr>
                <w:rFonts w:cs="Times New Roman"/>
                <w:szCs w:val="24"/>
              </w:rPr>
              <w:t xml:space="preserve"> (as an alternative if amiodarone is not available):</w:t>
            </w:r>
          </w:p>
          <w:p w14:paraId="54AB89C6"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1 mg/kg IV, do not exceed 3 mg/kg over the first hour. </w:t>
            </w:r>
          </w:p>
          <w:p w14:paraId="53D16525" w14:textId="77777777" w:rsidR="0053763D" w:rsidRPr="00F10C37" w:rsidRDefault="0053763D" w:rsidP="00C46407">
            <w:pPr>
              <w:jc w:val="both"/>
              <w:rPr>
                <w:rFonts w:cs="Times New Roman"/>
                <w:szCs w:val="24"/>
              </w:rPr>
            </w:pPr>
            <w:r w:rsidRPr="00F10C37">
              <w:rPr>
                <w:rFonts w:cs="Times New Roman"/>
                <w:b/>
                <w:szCs w:val="24"/>
              </w:rPr>
              <w:t>Ventricular arrhythmias,</w:t>
            </w:r>
            <w:r w:rsidRPr="00F10C37">
              <w:rPr>
                <w:rFonts w:cs="Times New Roman"/>
                <w:szCs w:val="24"/>
              </w:rPr>
              <w:t xml:space="preserve"> especially after MI in patients without gross circulatory impairment;</w:t>
            </w:r>
          </w:p>
          <w:p w14:paraId="23220BB8"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100 mg IV, to be given as a bolus dose over a few minutes, followed immediately by (by IV infusion) 4 mg/minute for 30 minutes, then (by IV infusion) 2 mg/minute for 2 hours, then (by IV infusion) 1 mg/minute, reduce concentration further if infusion continued beyond 24 hours (ECG monitoring and specialist advice for infusion), following IV injection lidocaine has a short duration of action (lasting for 15–20 minutes). If an IV infusion is not immediately available the initial IV injection of 100 mg can be repeated if necessary once or twice at intervals of not &lt;10 minutes. </w:t>
            </w:r>
          </w:p>
          <w:p w14:paraId="6C284C10" w14:textId="77777777" w:rsidR="0053763D" w:rsidRPr="00F10C37" w:rsidRDefault="0053763D" w:rsidP="00C46407">
            <w:pPr>
              <w:jc w:val="both"/>
              <w:rPr>
                <w:rFonts w:cs="Times New Roman"/>
                <w:szCs w:val="24"/>
              </w:rPr>
            </w:pPr>
            <w:r w:rsidRPr="00F10C37">
              <w:rPr>
                <w:rFonts w:cs="Times New Roman"/>
                <w:b/>
                <w:szCs w:val="24"/>
              </w:rPr>
              <w:t>Ventricular arrhythmias</w:t>
            </w:r>
            <w:r w:rsidRPr="00F10C37">
              <w:rPr>
                <w:rFonts w:cs="Times New Roman"/>
                <w:szCs w:val="24"/>
              </w:rPr>
              <w:t>, especially after myocardial infarction in lighter patients or those whose circulation is severely impaired;</w:t>
            </w:r>
          </w:p>
          <w:p w14:paraId="60FAE0D2"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50 mg, to be given as a bolus dose over a few minutes, followed immediately by (by IV infusion) 4 mg/minute for 30 minutes, then (by IV infusion) 2 mg/minute for 2 hours, then (by IV infusion) 1 mg/minute, reduce concentration further if </w:t>
            </w:r>
            <w:r w:rsidRPr="00F10C37">
              <w:rPr>
                <w:rFonts w:cs="Times New Roman"/>
                <w:szCs w:val="24"/>
              </w:rPr>
              <w:lastRenderedPageBreak/>
              <w:t xml:space="preserve">infusion continued beyond 24 hours (ECG monitoring and specialist advice for infusion), following IV injection lidocaine has a short duration of action (lasting for 15–20 minutes). </w:t>
            </w:r>
          </w:p>
          <w:p w14:paraId="138FBE6B" w14:textId="77777777" w:rsidR="0053763D" w:rsidRPr="00F10C37" w:rsidRDefault="0053763D" w:rsidP="00C46407">
            <w:pPr>
              <w:autoSpaceDE w:val="0"/>
              <w:autoSpaceDN w:val="0"/>
              <w:adjustRightInd w:val="0"/>
              <w:jc w:val="both"/>
              <w:rPr>
                <w:rFonts w:eastAsia="Candara-Italic" w:cs="Times New Roman"/>
                <w:b/>
                <w:iCs/>
                <w:kern w:val="0"/>
                <w:szCs w:val="24"/>
                <w:lang w:val="en-US" w:eastAsia="en-US"/>
              </w:rPr>
            </w:pPr>
            <w:r w:rsidRPr="00F10C37">
              <w:rPr>
                <w:rFonts w:eastAsia="Candara-Italic" w:cs="Times New Roman"/>
                <w:b/>
                <w:iCs/>
                <w:kern w:val="0"/>
                <w:szCs w:val="24"/>
                <w:lang w:val="en-US" w:eastAsia="en-US"/>
              </w:rPr>
              <w:t>Ventricular arrhythmias, Pulseless ventricular tachycardia, Ventricular fibrillation in pediatrics:</w:t>
            </w:r>
          </w:p>
          <w:p w14:paraId="0C88D874"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Initially 0.5–1 mg/kg, followed immediately by (by intravenous infusion) 0.6–3 mg/kg/hour, alternatively (by intravenous injection or by intraosseous injection) 0.5–1 mg/kg repeated at intervals of not less than 5 minutes if infusion is not immediately available following initial injection, until infusion can be initiated; maximum 3 mg/kg per course.</w:t>
            </w:r>
          </w:p>
          <w:p w14:paraId="78E49BD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 month–11 years: </w:t>
            </w:r>
            <w:r w:rsidRPr="00F10C37">
              <w:rPr>
                <w:rFonts w:eastAsiaTheme="minorHAnsi" w:cs="Times New Roman"/>
                <w:kern w:val="0"/>
                <w:szCs w:val="24"/>
                <w:lang w:val="en-US" w:eastAsia="en-US"/>
              </w:rPr>
              <w:t>Initially 0.5–1 mg/kg, followed immediately by (by intravenous infusion) 0.6–3 mg/kg/hour, alternatively (by intravenous injection or by intraosseous injection) 0.5–1 mg/kg repeated at intervals of not less than 5 minutes if infusion is not immediately available following initial injection, until infusion can be initiated; maximum 3 mg/kg per course.</w:t>
            </w:r>
          </w:p>
          <w:p w14:paraId="753BDF7F"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12–17 years: </w:t>
            </w:r>
            <w:r w:rsidRPr="00F10C37">
              <w:rPr>
                <w:rFonts w:eastAsiaTheme="minorHAnsi" w:cs="Times New Roman"/>
                <w:kern w:val="0"/>
                <w:szCs w:val="24"/>
                <w:lang w:val="en-US" w:eastAsia="en-US"/>
              </w:rPr>
              <w:t>Initially 50–100 mg, followed by (by intravenous infusion) 120 mg, dose to be given over 30 minutes, then (by intravenous infusion) 240 mg, dose to be given over 2 hours, then (by intravenous infusion) 60 mg/hour, reduce dose further if infusion is continued beyond 24 hours, if infusion not immediately available following initial injection, the initial injection dose may be repeated at intervals of not less than 5 minutes (to a maximum 300mg dose in 1 hour) until infusion can be initiated.</w:t>
            </w:r>
          </w:p>
        </w:tc>
      </w:tr>
      <w:tr w:rsidR="0053763D" w:rsidRPr="00F10C37" w14:paraId="2A832A65" w14:textId="77777777" w:rsidTr="00C46407">
        <w:trPr>
          <w:trHeight w:val="831"/>
        </w:trPr>
        <w:tc>
          <w:tcPr>
            <w:tcW w:w="2681" w:type="dxa"/>
            <w:gridSpan w:val="5"/>
          </w:tcPr>
          <w:p w14:paraId="5524F649"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74" w:type="dxa"/>
          </w:tcPr>
          <w:p w14:paraId="060936A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Hypersensitivity to the </w:t>
            </w:r>
            <w:r>
              <w:rPr>
                <w:rFonts w:eastAsiaTheme="minorHAnsi" w:cs="Times New Roman"/>
                <w:kern w:val="0"/>
                <w:szCs w:val="24"/>
                <w:lang w:val="en-US" w:eastAsia="en-US"/>
              </w:rPr>
              <w:t xml:space="preserve">drug and amide class </w:t>
            </w:r>
            <w:r w:rsidRPr="00F10C37">
              <w:rPr>
                <w:rFonts w:eastAsiaTheme="minorHAnsi" w:cs="Times New Roman"/>
                <w:kern w:val="0"/>
                <w:szCs w:val="24"/>
                <w:lang w:val="en-US" w:eastAsia="en-US"/>
              </w:rPr>
              <w:t xml:space="preserve">anesthetics, hypovolemia, </w:t>
            </w:r>
            <w:r w:rsidRPr="00F10C37">
              <w:rPr>
                <w:rFonts w:cs="Times New Roman"/>
                <w:szCs w:val="24"/>
              </w:rPr>
              <w:t xml:space="preserve">all grades of </w:t>
            </w:r>
            <w:r>
              <w:rPr>
                <w:rFonts w:cs="Times New Roman"/>
                <w:szCs w:val="24"/>
              </w:rPr>
              <w:t>AV</w:t>
            </w:r>
            <w:r w:rsidRPr="00F10C37">
              <w:rPr>
                <w:rFonts w:cs="Times New Roman"/>
                <w:szCs w:val="24"/>
              </w:rPr>
              <w:t xml:space="preserve"> block, severe myocardial depression, sino-atrial disorders.</w:t>
            </w:r>
          </w:p>
        </w:tc>
      </w:tr>
      <w:tr w:rsidR="0053763D" w:rsidRPr="00F10C37" w14:paraId="088BF54A" w14:textId="77777777" w:rsidTr="00C46407">
        <w:trPr>
          <w:trHeight w:val="1682"/>
        </w:trPr>
        <w:tc>
          <w:tcPr>
            <w:tcW w:w="2681" w:type="dxa"/>
            <w:gridSpan w:val="5"/>
          </w:tcPr>
          <w:p w14:paraId="04FE2A3B"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674" w:type="dxa"/>
          </w:tcPr>
          <w:p w14:paraId="25A6BC21" w14:textId="77777777" w:rsidR="0053763D" w:rsidRPr="00F10C37" w:rsidRDefault="0053763D" w:rsidP="00C46407">
            <w:pPr>
              <w:jc w:val="both"/>
              <w:rPr>
                <w:rFonts w:cs="Times New Roman"/>
                <w:szCs w:val="24"/>
              </w:rPr>
            </w:pPr>
            <w:r w:rsidRPr="00F10C37">
              <w:rPr>
                <w:rFonts w:cs="Times New Roman"/>
                <w:szCs w:val="24"/>
              </w:rPr>
              <w:t xml:space="preserve">Propafenone, </w:t>
            </w:r>
            <w:r>
              <w:rPr>
                <w:rFonts w:cs="Times New Roman"/>
                <w:szCs w:val="24"/>
              </w:rPr>
              <w:t>p</w:t>
            </w:r>
            <w:r w:rsidRPr="00F10C37">
              <w:rPr>
                <w:rFonts w:cs="Times New Roman"/>
                <w:szCs w:val="24"/>
              </w:rPr>
              <w:t>henytoin, beta blockers, H2-antagonist (cimetidine), protease inhibitors, macrolides, local anesthetics, antipsychotics (pimozide, olanzapine, quetiapine, zotepine), 5HT3 antagonists (tropisetron, dolasetron), quinupristin/dalfopristin, suxamethonium.</w:t>
            </w:r>
          </w:p>
        </w:tc>
      </w:tr>
      <w:tr w:rsidR="0053763D" w:rsidRPr="00F10C37" w14:paraId="16D6E545" w14:textId="77777777" w:rsidTr="00C46407">
        <w:trPr>
          <w:trHeight w:val="2420"/>
        </w:trPr>
        <w:tc>
          <w:tcPr>
            <w:tcW w:w="2681" w:type="dxa"/>
            <w:gridSpan w:val="5"/>
          </w:tcPr>
          <w:p w14:paraId="7C4DCD4E" w14:textId="77777777" w:rsidR="0053763D" w:rsidRPr="00F10C37" w:rsidRDefault="0053763D" w:rsidP="00C46407">
            <w:pPr>
              <w:jc w:val="both"/>
              <w:rPr>
                <w:rFonts w:cs="Times New Roman"/>
                <w:szCs w:val="24"/>
              </w:rPr>
            </w:pPr>
            <w:r w:rsidRPr="00F10C37">
              <w:rPr>
                <w:rFonts w:cs="Times New Roman"/>
                <w:szCs w:val="24"/>
              </w:rPr>
              <w:t>Side effects</w:t>
            </w:r>
          </w:p>
        </w:tc>
        <w:tc>
          <w:tcPr>
            <w:tcW w:w="6674" w:type="dxa"/>
          </w:tcPr>
          <w:p w14:paraId="4FCA16BB" w14:textId="77777777" w:rsidR="0053763D" w:rsidRPr="00F10C37" w:rsidRDefault="0053763D" w:rsidP="00C46407">
            <w:pPr>
              <w:contextualSpacing/>
              <w:jc w:val="both"/>
              <w:rPr>
                <w:rFonts w:cs="Times New Roman"/>
                <w:szCs w:val="24"/>
              </w:rPr>
            </w:pPr>
            <w:r w:rsidRPr="00F10C37">
              <w:rPr>
                <w:rFonts w:cs="Times New Roman"/>
                <w:szCs w:val="24"/>
              </w:rPr>
              <w:t xml:space="preserve">Anxiety, arrhythmias, AV-block, cardiac arrest, circulatory collapse, confusion, dizziness, drowsiness, euphoric mood, headache, hypotension, loss of consciousness, methaemoglobinaemia, muscle twitching, myocardial contractility decreased, nausea, neurological effects, nystagmus, pain, psychosis, respiratory disorders, seizure, sensation abnormal, tinnitus, tremor, vision blurred, vomiting. </w:t>
            </w:r>
          </w:p>
        </w:tc>
      </w:tr>
      <w:tr w:rsidR="0053763D" w:rsidRPr="00F10C37" w14:paraId="01A394C0" w14:textId="77777777" w:rsidTr="00C46407">
        <w:trPr>
          <w:trHeight w:val="1250"/>
        </w:trPr>
        <w:tc>
          <w:tcPr>
            <w:tcW w:w="2681" w:type="dxa"/>
            <w:gridSpan w:val="5"/>
          </w:tcPr>
          <w:p w14:paraId="4D2639AB" w14:textId="77777777" w:rsidR="0053763D" w:rsidRPr="00F10C37" w:rsidRDefault="0053763D" w:rsidP="00C46407">
            <w:pPr>
              <w:jc w:val="both"/>
              <w:rPr>
                <w:rFonts w:cs="Times New Roman"/>
                <w:szCs w:val="24"/>
              </w:rPr>
            </w:pPr>
            <w:r w:rsidRPr="00F10C37">
              <w:rPr>
                <w:rFonts w:cs="Times New Roman"/>
                <w:szCs w:val="24"/>
              </w:rPr>
              <w:t>Cautions</w:t>
            </w:r>
          </w:p>
        </w:tc>
        <w:tc>
          <w:tcPr>
            <w:tcW w:w="6674" w:type="dxa"/>
          </w:tcPr>
          <w:p w14:paraId="4E7F3867"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cs="Times New Roman"/>
                <w:szCs w:val="24"/>
              </w:rPr>
              <w:t>Acute porphyrias, congestive cardiac failure, post cardiac surgery,</w:t>
            </w:r>
            <w:r w:rsidRPr="00F10C37">
              <w:rPr>
                <w:rFonts w:eastAsiaTheme="minorHAnsi" w:cs="Times New Roman"/>
                <w:kern w:val="0"/>
                <w:szCs w:val="24"/>
                <w:lang w:val="en-US" w:eastAsia="en-US"/>
              </w:rPr>
              <w:t xml:space="preserve"> acid-base balance disorders, hypoxia</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hypokalemia, epilepsy, myasthenia gravis, respiratory depression,</w:t>
            </w:r>
            <w:r w:rsidRPr="00F10C37">
              <w:rPr>
                <w:rFonts w:cs="Times New Roman"/>
                <w:szCs w:val="24"/>
              </w:rPr>
              <w:t xml:space="preserve"> hepatic impairment, renal impairment, pregnancy, breast feeding.</w:t>
            </w:r>
          </w:p>
        </w:tc>
      </w:tr>
      <w:tr w:rsidR="0053763D" w:rsidRPr="00F10C37" w14:paraId="0EF8AB92" w14:textId="77777777" w:rsidTr="00C46407">
        <w:trPr>
          <w:trHeight w:val="409"/>
        </w:trPr>
        <w:tc>
          <w:tcPr>
            <w:tcW w:w="2681" w:type="dxa"/>
            <w:gridSpan w:val="5"/>
          </w:tcPr>
          <w:p w14:paraId="7B8E283E"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74" w:type="dxa"/>
          </w:tcPr>
          <w:p w14:paraId="17AACFF5" w14:textId="77777777" w:rsidR="0053763D" w:rsidRPr="00F10C37" w:rsidRDefault="0053763D" w:rsidP="00C46407">
            <w:pPr>
              <w:jc w:val="both"/>
              <w:rPr>
                <w:rFonts w:cs="Times New Roman"/>
                <w:szCs w:val="24"/>
              </w:rPr>
            </w:pPr>
            <w:r>
              <w:rPr>
                <w:rFonts w:cs="Times New Roman"/>
                <w:szCs w:val="24"/>
              </w:rPr>
              <w:t>Store between 1</w:t>
            </w:r>
            <w:r w:rsidRPr="00F10C37">
              <w:rPr>
                <w:rFonts w:cs="Times New Roman"/>
                <w:szCs w:val="24"/>
              </w:rPr>
              <w:t>5-30ºC. Protect from freezing.</w:t>
            </w:r>
          </w:p>
        </w:tc>
      </w:tr>
      <w:tr w:rsidR="0053763D" w:rsidRPr="00F10C37" w14:paraId="04C6C4E6" w14:textId="77777777" w:rsidTr="00C46407">
        <w:trPr>
          <w:trHeight w:val="510"/>
        </w:trPr>
        <w:tc>
          <w:tcPr>
            <w:tcW w:w="9355" w:type="dxa"/>
            <w:gridSpan w:val="6"/>
          </w:tcPr>
          <w:p w14:paraId="74DAB10A" w14:textId="77777777" w:rsidR="0053763D" w:rsidRPr="00F10C37" w:rsidRDefault="0053763D" w:rsidP="00C46407">
            <w:pPr>
              <w:jc w:val="both"/>
              <w:rPr>
                <w:rFonts w:cs="Times New Roman"/>
                <w:b/>
                <w:szCs w:val="24"/>
              </w:rPr>
            </w:pPr>
            <w:r w:rsidRPr="00F10C37">
              <w:rPr>
                <w:rFonts w:cs="Times New Roman"/>
                <w:b/>
                <w:color w:val="000000"/>
                <w:szCs w:val="24"/>
              </w:rPr>
              <w:t>Metoprolol tartrate</w:t>
            </w:r>
          </w:p>
        </w:tc>
      </w:tr>
      <w:tr w:rsidR="0053763D" w:rsidRPr="00F10C37" w14:paraId="2B25A02E" w14:textId="77777777" w:rsidTr="00C46407">
        <w:trPr>
          <w:trHeight w:val="510"/>
        </w:trPr>
        <w:tc>
          <w:tcPr>
            <w:tcW w:w="2551" w:type="dxa"/>
            <w:gridSpan w:val="3"/>
          </w:tcPr>
          <w:p w14:paraId="587C4D3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04" w:type="dxa"/>
            <w:gridSpan w:val="3"/>
          </w:tcPr>
          <w:p w14:paraId="33AA665C" w14:textId="77777777" w:rsidR="0053763D" w:rsidRPr="00F10C37" w:rsidRDefault="0053763D" w:rsidP="00C46407">
            <w:pPr>
              <w:jc w:val="both"/>
              <w:rPr>
                <w:rFonts w:cs="Times New Roman"/>
                <w:szCs w:val="24"/>
              </w:rPr>
            </w:pPr>
            <w:r w:rsidRPr="00F10C37">
              <w:rPr>
                <w:rFonts w:cs="Times New Roman"/>
                <w:szCs w:val="24"/>
              </w:rPr>
              <w:t xml:space="preserve">Beta blocker, </w:t>
            </w:r>
            <w:r>
              <w:rPr>
                <w:rFonts w:cs="Times New Roman"/>
                <w:szCs w:val="24"/>
              </w:rPr>
              <w:t>c</w:t>
            </w:r>
            <w:r w:rsidRPr="00F10C37">
              <w:rPr>
                <w:rFonts w:cs="Times New Roman"/>
                <w:szCs w:val="24"/>
              </w:rPr>
              <w:t>lass II antiarrhythmic</w:t>
            </w:r>
          </w:p>
        </w:tc>
      </w:tr>
      <w:tr w:rsidR="0053763D" w:rsidRPr="00F10C37" w14:paraId="2F0C2B44" w14:textId="77777777" w:rsidTr="00C46407">
        <w:trPr>
          <w:trHeight w:val="393"/>
        </w:trPr>
        <w:tc>
          <w:tcPr>
            <w:tcW w:w="2551" w:type="dxa"/>
            <w:gridSpan w:val="3"/>
          </w:tcPr>
          <w:p w14:paraId="5D7EC67F" w14:textId="77777777" w:rsidR="0053763D" w:rsidRPr="00F10C37" w:rsidRDefault="0053763D" w:rsidP="00C46407">
            <w:pPr>
              <w:jc w:val="both"/>
              <w:rPr>
                <w:rFonts w:cs="Times New Roman"/>
                <w:szCs w:val="24"/>
              </w:rPr>
            </w:pPr>
            <w:r w:rsidRPr="00F10C37">
              <w:rPr>
                <w:rFonts w:cs="Times New Roman"/>
                <w:szCs w:val="24"/>
              </w:rPr>
              <w:t>Dosage form</w:t>
            </w:r>
          </w:p>
        </w:tc>
        <w:tc>
          <w:tcPr>
            <w:tcW w:w="6804" w:type="dxa"/>
            <w:gridSpan w:val="3"/>
          </w:tcPr>
          <w:p w14:paraId="6391E268" w14:textId="77777777" w:rsidR="0053763D"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Injection: 1mg/</w:t>
            </w:r>
            <w:r>
              <w:rPr>
                <w:rFonts w:cs="Times New Roman"/>
                <w:szCs w:val="24"/>
                <w:lang w:val="nb-NO"/>
              </w:rPr>
              <w:t>ml</w:t>
            </w:r>
            <w:r w:rsidRPr="00F10C37">
              <w:rPr>
                <w:rFonts w:cs="Times New Roman"/>
                <w:szCs w:val="24"/>
                <w:lang w:val="nb-NO"/>
              </w:rPr>
              <w:t>,5mg/</w:t>
            </w:r>
            <w:r>
              <w:rPr>
                <w:rFonts w:cs="Times New Roman"/>
                <w:szCs w:val="24"/>
                <w:lang w:val="nb-NO"/>
              </w:rPr>
              <w:t>ml</w:t>
            </w:r>
          </w:p>
          <w:p w14:paraId="6EA79BAD"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25mg, 50mg</w:t>
            </w:r>
          </w:p>
        </w:tc>
      </w:tr>
      <w:tr w:rsidR="0053763D" w:rsidRPr="00F10C37" w14:paraId="768BCC53" w14:textId="77777777" w:rsidTr="00C46407">
        <w:trPr>
          <w:trHeight w:val="519"/>
        </w:trPr>
        <w:tc>
          <w:tcPr>
            <w:tcW w:w="2551" w:type="dxa"/>
            <w:gridSpan w:val="3"/>
          </w:tcPr>
          <w:p w14:paraId="00E4AD71" w14:textId="77777777" w:rsidR="0053763D" w:rsidRPr="003950AC" w:rsidRDefault="0053763D" w:rsidP="00C46407">
            <w:pPr>
              <w:jc w:val="both"/>
              <w:rPr>
                <w:rFonts w:cs="Times New Roman"/>
                <w:szCs w:val="24"/>
              </w:rPr>
            </w:pPr>
            <w:r w:rsidRPr="003950AC">
              <w:rPr>
                <w:rFonts w:cs="Times New Roman"/>
                <w:szCs w:val="24"/>
              </w:rPr>
              <w:t>Indications</w:t>
            </w:r>
          </w:p>
        </w:tc>
        <w:tc>
          <w:tcPr>
            <w:tcW w:w="6804" w:type="dxa"/>
            <w:gridSpan w:val="3"/>
          </w:tcPr>
          <w:p w14:paraId="5FDE8471" w14:textId="77777777" w:rsidR="0053763D" w:rsidRPr="00F10C37" w:rsidRDefault="0053763D" w:rsidP="00C46407">
            <w:pPr>
              <w:jc w:val="both"/>
              <w:rPr>
                <w:rFonts w:cs="Times New Roman"/>
                <w:szCs w:val="24"/>
              </w:rPr>
            </w:pPr>
            <w:r w:rsidRPr="00F10C37">
              <w:rPr>
                <w:rFonts w:cs="Times New Roman"/>
                <w:szCs w:val="24"/>
              </w:rPr>
              <w:t xml:space="preserve">Arrhythmias, </w:t>
            </w:r>
            <w:r>
              <w:rPr>
                <w:rFonts w:cs="Times New Roman"/>
                <w:szCs w:val="24"/>
              </w:rPr>
              <w:t>a</w:t>
            </w:r>
            <w:r w:rsidRPr="00F10C37">
              <w:rPr>
                <w:rFonts w:cs="Times New Roman"/>
                <w:szCs w:val="24"/>
              </w:rPr>
              <w:t xml:space="preserve">ngina, hypertension, </w:t>
            </w:r>
            <w:r>
              <w:rPr>
                <w:rFonts w:cs="Times New Roman"/>
                <w:szCs w:val="24"/>
              </w:rPr>
              <w:t>MI (e</w:t>
            </w:r>
            <w:r w:rsidRPr="00F10C37">
              <w:rPr>
                <w:rFonts w:cs="Times New Roman"/>
                <w:szCs w:val="24"/>
              </w:rPr>
              <w:t>arly intervention within 12 hours</w:t>
            </w:r>
            <w:r>
              <w:rPr>
                <w:rFonts w:cs="Times New Roman"/>
                <w:szCs w:val="24"/>
              </w:rPr>
              <w:t>),</w:t>
            </w:r>
            <w:r w:rsidRPr="00F10C37">
              <w:rPr>
                <w:rFonts w:cs="Times New Roman"/>
                <w:szCs w:val="24"/>
              </w:rPr>
              <w:t xml:space="preserve"> </w:t>
            </w:r>
            <w:r>
              <w:rPr>
                <w:rFonts w:cs="Times New Roman"/>
                <w:szCs w:val="24"/>
              </w:rPr>
              <w:t>m</w:t>
            </w:r>
            <w:r w:rsidRPr="00F10C37">
              <w:rPr>
                <w:rFonts w:cs="Times New Roman"/>
                <w:szCs w:val="24"/>
              </w:rPr>
              <w:t>igraine prophylaxis</w:t>
            </w:r>
            <w:r>
              <w:rPr>
                <w:rFonts w:cs="Times New Roman"/>
                <w:szCs w:val="24"/>
              </w:rPr>
              <w:t>,</w:t>
            </w:r>
            <w:r w:rsidRPr="00F10C37">
              <w:rPr>
                <w:rFonts w:cs="Times New Roman"/>
                <w:szCs w:val="24"/>
              </w:rPr>
              <w:t xml:space="preserve"> </w:t>
            </w:r>
            <w:r>
              <w:rPr>
                <w:rFonts w:cs="Times New Roman"/>
                <w:szCs w:val="24"/>
              </w:rPr>
              <w:t>h</w:t>
            </w:r>
            <w:r w:rsidRPr="00F10C37">
              <w:rPr>
                <w:rFonts w:cs="Times New Roman"/>
                <w:szCs w:val="24"/>
              </w:rPr>
              <w:t>yperthyroidism (adjunct).</w:t>
            </w:r>
          </w:p>
        </w:tc>
      </w:tr>
      <w:tr w:rsidR="0053763D" w:rsidRPr="00F10C37" w14:paraId="4C3BC7A3" w14:textId="77777777" w:rsidTr="00C46407">
        <w:trPr>
          <w:trHeight w:val="519"/>
        </w:trPr>
        <w:tc>
          <w:tcPr>
            <w:tcW w:w="2551" w:type="dxa"/>
            <w:gridSpan w:val="3"/>
          </w:tcPr>
          <w:p w14:paraId="6C2A7952"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04" w:type="dxa"/>
            <w:gridSpan w:val="3"/>
          </w:tcPr>
          <w:p w14:paraId="347D31A8" w14:textId="77777777" w:rsidR="0053763D" w:rsidRDefault="0053763D" w:rsidP="00C46407">
            <w:pPr>
              <w:jc w:val="both"/>
              <w:rPr>
                <w:rFonts w:cs="Times New Roman"/>
                <w:szCs w:val="24"/>
              </w:rPr>
            </w:pPr>
            <w:r w:rsidRPr="00F10C37">
              <w:rPr>
                <w:rFonts w:cs="Times New Roman"/>
                <w:b/>
                <w:szCs w:val="24"/>
              </w:rPr>
              <w:t>Arrhythmias:</w:t>
            </w:r>
            <w:r w:rsidRPr="00F10C37">
              <w:rPr>
                <w:rFonts w:cs="Times New Roman"/>
                <w:szCs w:val="24"/>
              </w:rPr>
              <w:t xml:space="preserve"> </w:t>
            </w:r>
          </w:p>
          <w:p w14:paraId="41E6BF0A"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Usual dose 50 mg immediate release tablet 2–3 times a day, then increased if necessary up to 300 mg daily in divided doses </w:t>
            </w:r>
            <w:r>
              <w:rPr>
                <w:rFonts w:cs="Times New Roman"/>
                <w:szCs w:val="24"/>
              </w:rPr>
              <w:t>or</w:t>
            </w:r>
            <w:r w:rsidRPr="00F10C37">
              <w:rPr>
                <w:rFonts w:cs="Times New Roman"/>
                <w:szCs w:val="24"/>
              </w:rPr>
              <w:t xml:space="preserve"> </w:t>
            </w:r>
            <w:r>
              <w:rPr>
                <w:rFonts w:cs="Times New Roman"/>
                <w:szCs w:val="24"/>
              </w:rPr>
              <w:t>u</w:t>
            </w:r>
            <w:r w:rsidRPr="00F10C37">
              <w:rPr>
                <w:rFonts w:cs="Times New Roman"/>
                <w:szCs w:val="24"/>
              </w:rPr>
              <w:t xml:space="preserve">p to 5 mg IV infusion, dose to be given at a rate of 1–2 mg/minute, then up to 5 mg after 5 minutes if required, total dose of 10–15mg. </w:t>
            </w:r>
          </w:p>
        </w:tc>
      </w:tr>
      <w:tr w:rsidR="0053763D" w:rsidRPr="00F10C37" w14:paraId="6DBC202C" w14:textId="77777777" w:rsidTr="00C46407">
        <w:trPr>
          <w:trHeight w:val="406"/>
        </w:trPr>
        <w:tc>
          <w:tcPr>
            <w:tcW w:w="2551" w:type="dxa"/>
            <w:gridSpan w:val="3"/>
          </w:tcPr>
          <w:p w14:paraId="2C668C5C"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804" w:type="dxa"/>
            <w:gridSpan w:val="3"/>
          </w:tcPr>
          <w:p w14:paraId="75237E95"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w:t>
            </w:r>
          </w:p>
        </w:tc>
      </w:tr>
      <w:tr w:rsidR="0053763D" w:rsidRPr="00F10C37" w14:paraId="0F04E0D7" w14:textId="77777777" w:rsidTr="00C46407">
        <w:trPr>
          <w:trHeight w:val="419"/>
        </w:trPr>
        <w:tc>
          <w:tcPr>
            <w:tcW w:w="2551" w:type="dxa"/>
            <w:gridSpan w:val="3"/>
          </w:tcPr>
          <w:p w14:paraId="652B368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04" w:type="dxa"/>
            <w:gridSpan w:val="3"/>
          </w:tcPr>
          <w:p w14:paraId="45D81E08"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w:t>
            </w:r>
          </w:p>
        </w:tc>
      </w:tr>
      <w:tr w:rsidR="0053763D" w:rsidRPr="00F10C37" w14:paraId="721950DE" w14:textId="77777777" w:rsidTr="00C46407">
        <w:trPr>
          <w:trHeight w:val="406"/>
        </w:trPr>
        <w:tc>
          <w:tcPr>
            <w:tcW w:w="2551" w:type="dxa"/>
            <w:gridSpan w:val="3"/>
          </w:tcPr>
          <w:p w14:paraId="493259F8"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804" w:type="dxa"/>
            <w:gridSpan w:val="3"/>
          </w:tcPr>
          <w:p w14:paraId="2BB24BF9"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Tiredness, dizziness, depression, shortness of breath, bradycardia, hypotension, diarrhoea, pruritus, constipation, palpitations, postural disorders, chest pain, drowsiness, dystrophic skin lesion, muscle cramps, edema, skin reactions, weight gain, hyperhidrosis</w:t>
            </w:r>
            <w:r w:rsidRPr="00F10C37">
              <w:rPr>
                <w:rFonts w:eastAsiaTheme="minorHAnsi" w:cs="Times New Roman"/>
                <w:color w:val="231F20"/>
                <w:kern w:val="0"/>
                <w:szCs w:val="24"/>
                <w:lang w:val="en-US" w:eastAsia="en-US"/>
              </w:rPr>
              <w:t>, alopecia, dry mouth, eye irritation, gangrene, hepatitis, rhinitis, sexual dysfunction, thrombocytopenia, cardiogenic shock, anxiety.</w:t>
            </w:r>
          </w:p>
        </w:tc>
      </w:tr>
      <w:tr w:rsidR="0053763D" w:rsidRPr="00F10C37" w14:paraId="116587FC" w14:textId="77777777" w:rsidTr="00C46407">
        <w:trPr>
          <w:trHeight w:val="406"/>
        </w:trPr>
        <w:tc>
          <w:tcPr>
            <w:tcW w:w="2551" w:type="dxa"/>
            <w:gridSpan w:val="3"/>
          </w:tcPr>
          <w:p w14:paraId="50404471" w14:textId="77777777" w:rsidR="0053763D" w:rsidRPr="00F10C37" w:rsidRDefault="0053763D" w:rsidP="00C46407">
            <w:pPr>
              <w:jc w:val="both"/>
              <w:rPr>
                <w:rFonts w:cs="Times New Roman"/>
                <w:szCs w:val="24"/>
              </w:rPr>
            </w:pPr>
            <w:r w:rsidRPr="00F10C37">
              <w:rPr>
                <w:rFonts w:cs="Times New Roman"/>
                <w:szCs w:val="24"/>
              </w:rPr>
              <w:t>Cautions</w:t>
            </w:r>
          </w:p>
        </w:tc>
        <w:tc>
          <w:tcPr>
            <w:tcW w:w="6804" w:type="dxa"/>
            <w:gridSpan w:val="3"/>
          </w:tcPr>
          <w:p w14:paraId="4C8E7D30"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w:t>
            </w:r>
          </w:p>
        </w:tc>
      </w:tr>
      <w:tr w:rsidR="0053763D" w:rsidRPr="00F10C37" w14:paraId="7DEB5E50" w14:textId="77777777" w:rsidTr="00C46407">
        <w:trPr>
          <w:trHeight w:val="406"/>
        </w:trPr>
        <w:tc>
          <w:tcPr>
            <w:tcW w:w="2551" w:type="dxa"/>
            <w:gridSpan w:val="3"/>
          </w:tcPr>
          <w:p w14:paraId="7F1E977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04" w:type="dxa"/>
            <w:gridSpan w:val="3"/>
          </w:tcPr>
          <w:p w14:paraId="53A50CDD" w14:textId="77777777" w:rsidR="0053763D" w:rsidRPr="00F10C37" w:rsidRDefault="0053763D" w:rsidP="00C46407">
            <w:pPr>
              <w:jc w:val="both"/>
              <w:rPr>
                <w:rFonts w:cs="Times New Roman"/>
                <w:szCs w:val="24"/>
              </w:rPr>
            </w:pPr>
            <w:r w:rsidRPr="00F10C37">
              <w:rPr>
                <w:rFonts w:cs="Times New Roman"/>
                <w:szCs w:val="24"/>
              </w:rPr>
              <w:t xml:space="preserve">Store between 15 to 30°C. Protect from heat, light and </w:t>
            </w:r>
            <w:r>
              <w:rPr>
                <w:rFonts w:cs="Times New Roman"/>
                <w:szCs w:val="24"/>
              </w:rPr>
              <w:t>moisture</w:t>
            </w:r>
            <w:r w:rsidRPr="00F10C37">
              <w:rPr>
                <w:rFonts w:cs="Times New Roman"/>
                <w:szCs w:val="24"/>
              </w:rPr>
              <w:t>.</w:t>
            </w:r>
          </w:p>
        </w:tc>
      </w:tr>
      <w:tr w:rsidR="0053763D" w:rsidRPr="00F10C37" w14:paraId="69FD7B47" w14:textId="77777777" w:rsidTr="00C46407">
        <w:trPr>
          <w:trHeight w:val="512"/>
        </w:trPr>
        <w:tc>
          <w:tcPr>
            <w:tcW w:w="9355" w:type="dxa"/>
            <w:gridSpan w:val="6"/>
          </w:tcPr>
          <w:p w14:paraId="498E0FB5" w14:textId="77777777" w:rsidR="0053763D" w:rsidRPr="00F10C37" w:rsidRDefault="0053763D" w:rsidP="00C46407">
            <w:pPr>
              <w:jc w:val="both"/>
              <w:rPr>
                <w:rFonts w:cs="Times New Roman"/>
                <w:b/>
                <w:szCs w:val="24"/>
              </w:rPr>
            </w:pPr>
            <w:r w:rsidRPr="00F10C37">
              <w:rPr>
                <w:rFonts w:cs="Times New Roman"/>
                <w:b/>
                <w:szCs w:val="24"/>
                <w:lang w:val="nb-NO"/>
              </w:rPr>
              <w:t xml:space="preserve">Procainamide hydrochloride </w:t>
            </w:r>
          </w:p>
        </w:tc>
      </w:tr>
      <w:tr w:rsidR="0053763D" w:rsidRPr="00F10C37" w14:paraId="0CAC8251" w14:textId="77777777" w:rsidTr="00C46407">
        <w:trPr>
          <w:trHeight w:val="512"/>
        </w:trPr>
        <w:tc>
          <w:tcPr>
            <w:tcW w:w="2425" w:type="dxa"/>
          </w:tcPr>
          <w:p w14:paraId="3C6F3B8B"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124C1ACA" w14:textId="77777777" w:rsidR="0053763D" w:rsidRPr="00F10C37" w:rsidRDefault="0053763D" w:rsidP="00C46407">
            <w:pPr>
              <w:jc w:val="both"/>
              <w:rPr>
                <w:rFonts w:cs="Times New Roman"/>
                <w:szCs w:val="24"/>
              </w:rPr>
            </w:pPr>
            <w:r w:rsidRPr="00F10C37">
              <w:rPr>
                <w:rFonts w:cs="Times New Roman"/>
                <w:szCs w:val="24"/>
              </w:rPr>
              <w:t>Class IA antiarrhythmic</w:t>
            </w:r>
          </w:p>
        </w:tc>
      </w:tr>
      <w:tr w:rsidR="0053763D" w:rsidRPr="00F10C37" w14:paraId="34A9415D" w14:textId="77777777" w:rsidTr="00C46407">
        <w:trPr>
          <w:trHeight w:val="395"/>
        </w:trPr>
        <w:tc>
          <w:tcPr>
            <w:tcW w:w="2425" w:type="dxa"/>
          </w:tcPr>
          <w:p w14:paraId="5110031D"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6E545762" w14:textId="77777777" w:rsidR="0053763D" w:rsidRPr="00F10C37" w:rsidRDefault="0053763D" w:rsidP="00C46407">
            <w:pPr>
              <w:jc w:val="both"/>
              <w:rPr>
                <w:rFonts w:cs="Times New Roman"/>
                <w:szCs w:val="24"/>
                <w:lang w:val="en-US"/>
              </w:rPr>
            </w:pPr>
            <w:r w:rsidRPr="00F10C37">
              <w:rPr>
                <w:rFonts w:cs="Times New Roman"/>
                <w:szCs w:val="24"/>
              </w:rPr>
              <w:t>Injection:100 mg/</w:t>
            </w:r>
            <w:r>
              <w:rPr>
                <w:rFonts w:cs="Times New Roman"/>
                <w:szCs w:val="24"/>
              </w:rPr>
              <w:t>ml</w:t>
            </w:r>
            <w:r w:rsidRPr="00F10C37">
              <w:rPr>
                <w:rFonts w:cs="Times New Roman"/>
                <w:szCs w:val="24"/>
              </w:rPr>
              <w:t>, 500mg/</w:t>
            </w:r>
            <w:r>
              <w:rPr>
                <w:rFonts w:cs="Times New Roman"/>
                <w:szCs w:val="24"/>
              </w:rPr>
              <w:t>ml</w:t>
            </w:r>
            <w:r w:rsidRPr="00F10C37">
              <w:rPr>
                <w:rFonts w:cs="Times New Roman"/>
                <w:szCs w:val="24"/>
              </w:rPr>
              <w:t xml:space="preserve"> </w:t>
            </w:r>
          </w:p>
        </w:tc>
      </w:tr>
      <w:tr w:rsidR="0053763D" w:rsidRPr="00F10C37" w14:paraId="3E6D91F7" w14:textId="77777777" w:rsidTr="00C46407">
        <w:trPr>
          <w:trHeight w:val="521"/>
        </w:trPr>
        <w:tc>
          <w:tcPr>
            <w:tcW w:w="2425" w:type="dxa"/>
          </w:tcPr>
          <w:p w14:paraId="5C3D62E0" w14:textId="77777777" w:rsidR="0053763D" w:rsidRPr="00D2498E" w:rsidRDefault="0053763D" w:rsidP="00C46407">
            <w:pPr>
              <w:jc w:val="both"/>
              <w:rPr>
                <w:rFonts w:cs="Times New Roman"/>
                <w:szCs w:val="24"/>
              </w:rPr>
            </w:pPr>
            <w:r w:rsidRPr="00D2498E">
              <w:rPr>
                <w:rFonts w:cs="Times New Roman"/>
                <w:szCs w:val="24"/>
              </w:rPr>
              <w:t>Indications</w:t>
            </w:r>
          </w:p>
        </w:tc>
        <w:tc>
          <w:tcPr>
            <w:tcW w:w="6930" w:type="dxa"/>
            <w:gridSpan w:val="5"/>
          </w:tcPr>
          <w:p w14:paraId="3A072044"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Severe ventricular arrhythmias, especially those resistant to lidocaine or those appearing after </w:t>
            </w:r>
            <w:r>
              <w:rPr>
                <w:rFonts w:eastAsiaTheme="minorHAnsi" w:cs="Times New Roman"/>
                <w:kern w:val="0"/>
                <w:szCs w:val="24"/>
                <w:lang w:val="en-US" w:eastAsia="en-US"/>
              </w:rPr>
              <w:t>MI,</w:t>
            </w:r>
            <w:r w:rsidRPr="00F10C37">
              <w:rPr>
                <w:rFonts w:eastAsiaTheme="minorHAnsi" w:cs="Times New Roman"/>
                <w:kern w:val="0"/>
                <w:szCs w:val="24"/>
                <w:lang w:val="en-US" w:eastAsia="en-US"/>
              </w:rPr>
              <w:t xml:space="preserve"> atrial tachycardia, atrial fibrillation; maintenance of sinus rhythm after cardioversion of atrial fibrillation.</w:t>
            </w:r>
          </w:p>
        </w:tc>
      </w:tr>
      <w:tr w:rsidR="0053763D" w:rsidRPr="00F10C37" w14:paraId="2CFA8108" w14:textId="77777777" w:rsidTr="00C46407">
        <w:trPr>
          <w:trHeight w:val="521"/>
        </w:trPr>
        <w:tc>
          <w:tcPr>
            <w:tcW w:w="2425" w:type="dxa"/>
          </w:tcPr>
          <w:p w14:paraId="0C859297"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7B5566DF" w14:textId="77777777" w:rsidR="0053763D" w:rsidRPr="003D3E3A" w:rsidRDefault="0053763D" w:rsidP="00C46407">
            <w:pPr>
              <w:autoSpaceDE w:val="0"/>
              <w:autoSpaceDN w:val="0"/>
              <w:adjustRightInd w:val="0"/>
              <w:jc w:val="both"/>
              <w:rPr>
                <w:rFonts w:eastAsiaTheme="minorHAnsi" w:cs="Times New Roman"/>
                <w:b/>
                <w:kern w:val="0"/>
                <w:szCs w:val="24"/>
                <w:lang w:val="en-US" w:eastAsia="en-US"/>
              </w:rPr>
            </w:pPr>
            <w:r w:rsidRPr="00F10C37">
              <w:rPr>
                <w:rFonts w:eastAsiaTheme="minorHAnsi" w:cs="Times New Roman"/>
                <w:b/>
                <w:kern w:val="0"/>
                <w:szCs w:val="24"/>
                <w:lang w:val="en-US" w:eastAsia="en-US"/>
              </w:rPr>
              <w:t>Ventricular arrhythmias</w:t>
            </w:r>
            <w:r w:rsidRPr="00F10C37">
              <w:rPr>
                <w:rFonts w:eastAsiaTheme="minorHAnsi" w:cs="Times New Roman"/>
                <w:kern w:val="0"/>
                <w:szCs w:val="24"/>
                <w:lang w:val="en-US" w:eastAsia="en-US"/>
              </w:rPr>
              <w:t>,</w:t>
            </w:r>
            <w:r w:rsidRPr="003D3E3A">
              <w:rPr>
                <w:rFonts w:eastAsiaTheme="minorHAnsi" w:cs="Times New Roman"/>
                <w:iCs/>
                <w:kern w:val="0"/>
                <w:szCs w:val="24"/>
                <w:lang w:val="en-US" w:eastAsia="en-US"/>
              </w:rPr>
              <w:t xml:space="preserve"> </w:t>
            </w:r>
            <w:r w:rsidRPr="00421947">
              <w:rPr>
                <w:rFonts w:eastAsiaTheme="minorHAnsi" w:cs="Times New Roman"/>
                <w:iCs/>
                <w:kern w:val="0"/>
                <w:szCs w:val="24"/>
                <w:lang w:val="en-US" w:eastAsia="en-US"/>
              </w:rPr>
              <w:t>slow IV</w:t>
            </w:r>
            <w:r w:rsidRPr="003D3E3A">
              <w:rPr>
                <w:rFonts w:eastAsiaTheme="minorHAnsi" w:cs="Times New Roman"/>
                <w:iCs/>
                <w:kern w:val="0"/>
                <w:szCs w:val="24"/>
                <w:lang w:val="en-US" w:eastAsia="en-US"/>
              </w:rPr>
              <w:t xml:space="preserve"> injection</w:t>
            </w:r>
            <w:r w:rsidRPr="003D3E3A">
              <w:rPr>
                <w:rFonts w:eastAsiaTheme="minorHAnsi" w:cs="Times New Roman"/>
                <w:b/>
                <w:kern w:val="0"/>
                <w:szCs w:val="24"/>
                <w:lang w:val="en-US" w:eastAsia="en-US"/>
              </w:rPr>
              <w:t>:</w:t>
            </w:r>
          </w:p>
          <w:p w14:paraId="165865CF"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Adult: </w:t>
            </w:r>
            <w:r w:rsidRPr="00F10C37">
              <w:rPr>
                <w:rFonts w:eastAsiaTheme="minorHAnsi" w:cs="Times New Roman"/>
                <w:kern w:val="0"/>
                <w:szCs w:val="24"/>
                <w:lang w:val="en-US" w:eastAsia="en-US"/>
              </w:rPr>
              <w:t>100 mg at a rate not exceeding 50 mg/minute, with ECG monitoring; may be repeated at 5-minute intervals until arrhythmia controlled; maximum 1 g.</w:t>
            </w:r>
          </w:p>
          <w:p w14:paraId="58468626"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kern w:val="0"/>
                <w:szCs w:val="24"/>
                <w:lang w:val="en-US" w:eastAsia="en-US"/>
              </w:rPr>
              <w:t>Ventricular arrhythmias,</w:t>
            </w:r>
            <w:r w:rsidRPr="00F10C37">
              <w:rPr>
                <w:rFonts w:eastAsiaTheme="minorHAnsi" w:cs="Times New Roman"/>
                <w:kern w:val="0"/>
                <w:szCs w:val="24"/>
                <w:lang w:val="en-US" w:eastAsia="en-US"/>
              </w:rPr>
              <w:t xml:space="preserve"> </w:t>
            </w:r>
            <w:r w:rsidRPr="003D3E3A">
              <w:rPr>
                <w:rFonts w:eastAsiaTheme="minorHAnsi" w:cs="Times New Roman"/>
                <w:iCs/>
                <w:kern w:val="0"/>
                <w:szCs w:val="24"/>
                <w:lang w:val="en-US" w:eastAsia="en-US"/>
              </w:rPr>
              <w:t>IV infusion</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w:t>
            </w:r>
          </w:p>
          <w:p w14:paraId="24953261"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Adult: </w:t>
            </w:r>
            <w:r w:rsidRPr="00F10C37">
              <w:rPr>
                <w:rFonts w:eastAsiaTheme="minorHAnsi" w:cs="Times New Roman"/>
                <w:kern w:val="0"/>
                <w:szCs w:val="24"/>
                <w:lang w:val="en-US" w:eastAsia="en-US"/>
              </w:rPr>
              <w:t>500–600 mg over 25–30 minutes, with ECG monitoring, followed by a maintenance dose of 2–6 mg/minute; if further antiarrhythmic treatment is required, allow an interval of 3–4 hours after infusion before giving further drug therapy by mouth.</w:t>
            </w:r>
          </w:p>
          <w:p w14:paraId="0ABA6D29" w14:textId="77777777" w:rsidR="0053763D" w:rsidRPr="00F10C37" w:rsidRDefault="0053763D" w:rsidP="00C46407">
            <w:pPr>
              <w:jc w:val="both"/>
              <w:rPr>
                <w:rFonts w:cs="Times New Roman"/>
                <w:i/>
                <w:szCs w:val="24"/>
                <w:highlight w:val="magenta"/>
              </w:rPr>
            </w:pPr>
            <w:r w:rsidRPr="00F10C37">
              <w:rPr>
                <w:rFonts w:eastAsiaTheme="minorHAnsi" w:cs="Times New Roman"/>
                <w:b/>
                <w:kern w:val="0"/>
                <w:szCs w:val="24"/>
                <w:lang w:val="en-US" w:eastAsia="en-US"/>
              </w:rPr>
              <w:t>Atrial arrhythmias</w:t>
            </w:r>
            <w:r w:rsidRPr="00F10C37">
              <w:rPr>
                <w:rFonts w:eastAsiaTheme="minorHAnsi" w:cs="Times New Roman"/>
                <w:kern w:val="0"/>
                <w:szCs w:val="24"/>
                <w:lang w:val="en-US" w:eastAsia="en-US"/>
              </w:rPr>
              <w:t>, higher doses may be required.</w:t>
            </w:r>
          </w:p>
        </w:tc>
      </w:tr>
      <w:tr w:rsidR="0053763D" w:rsidRPr="00F10C37" w14:paraId="763E24D5" w14:textId="77777777" w:rsidTr="00C46407">
        <w:tc>
          <w:tcPr>
            <w:tcW w:w="2425" w:type="dxa"/>
          </w:tcPr>
          <w:p w14:paraId="2134E028"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5"/>
          </w:tcPr>
          <w:p w14:paraId="0488269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cs="Times New Roman"/>
                <w:szCs w:val="24"/>
              </w:rPr>
              <w:t xml:space="preserve">Hypersensitivity to procainamide, procaine, other ester-type local anesthetics, or any component of the formulation, </w:t>
            </w:r>
            <w:r w:rsidRPr="00F10C37">
              <w:rPr>
                <w:rFonts w:eastAsiaTheme="minorHAnsi" w:cs="Times New Roman"/>
                <w:kern w:val="0"/>
                <w:szCs w:val="24"/>
                <w:lang w:val="en-US" w:eastAsia="en-US"/>
              </w:rPr>
              <w:t>torsades de pointes, systemic lupus erythematosus, heart block, heart failure, hypotension.</w:t>
            </w:r>
            <w:r w:rsidRPr="00F10C37">
              <w:rPr>
                <w:rFonts w:cs="Times New Roman"/>
                <w:szCs w:val="24"/>
              </w:rPr>
              <w:t xml:space="preserve"> </w:t>
            </w:r>
          </w:p>
        </w:tc>
      </w:tr>
      <w:tr w:rsidR="0053763D" w:rsidRPr="00F10C37" w14:paraId="22B12ACE" w14:textId="77777777" w:rsidTr="00C46407">
        <w:tc>
          <w:tcPr>
            <w:tcW w:w="2425" w:type="dxa"/>
          </w:tcPr>
          <w:p w14:paraId="4917EA60"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tcPr>
          <w:p w14:paraId="35874D67" w14:textId="77777777" w:rsidR="0053763D" w:rsidRPr="00F10C37" w:rsidRDefault="0053763D" w:rsidP="00C46407">
            <w:pPr>
              <w:jc w:val="both"/>
              <w:rPr>
                <w:rFonts w:cs="Times New Roman"/>
                <w:szCs w:val="24"/>
              </w:rPr>
            </w:pPr>
            <w:r w:rsidRPr="00F10C37">
              <w:rPr>
                <w:rFonts w:cs="Times New Roman"/>
                <w:szCs w:val="24"/>
              </w:rPr>
              <w:t>Other antiarrhythmics, anticholinergics, cimetidine, trimethoprim, neuromuscular blockers like succinylcholine.</w:t>
            </w:r>
          </w:p>
        </w:tc>
      </w:tr>
      <w:tr w:rsidR="0053763D" w:rsidRPr="00F10C37" w14:paraId="2B7F076D" w14:textId="77777777" w:rsidTr="00C46407">
        <w:tc>
          <w:tcPr>
            <w:tcW w:w="2425" w:type="dxa"/>
          </w:tcPr>
          <w:p w14:paraId="01C3F822"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930" w:type="dxa"/>
            <w:gridSpan w:val="5"/>
          </w:tcPr>
          <w:p w14:paraId="5612D4EA" w14:textId="77777777" w:rsidR="0053763D" w:rsidRPr="00F10C37" w:rsidRDefault="0053763D" w:rsidP="00C46407">
            <w:pPr>
              <w:contextualSpacing/>
              <w:jc w:val="both"/>
              <w:rPr>
                <w:rFonts w:cs="Times New Roman"/>
                <w:szCs w:val="24"/>
              </w:rPr>
            </w:pPr>
            <w:r w:rsidRPr="00F10C37">
              <w:rPr>
                <w:rFonts w:cs="Times New Roman"/>
                <w:szCs w:val="24"/>
              </w:rPr>
              <w:t>Nausea, vomiting, diarrhea, anorexia, severe hypotension, ventricular fibrillation, pericarditis, rashes, pruritus, urticaria, flushing, fever, and angioedema, depression, dizziness, and psychosis; blood disorders include leukopenia, hemolytic anemia and agranulocytosis after prolonged treatment; lupus erythematosus-like syndrome.</w:t>
            </w:r>
          </w:p>
        </w:tc>
      </w:tr>
      <w:tr w:rsidR="0053763D" w:rsidRPr="00F10C37" w14:paraId="5B542CC7" w14:textId="77777777" w:rsidTr="00C46407">
        <w:tc>
          <w:tcPr>
            <w:tcW w:w="2425" w:type="dxa"/>
          </w:tcPr>
          <w:p w14:paraId="434CB917"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tcPr>
          <w:p w14:paraId="71656EAF" w14:textId="77777777" w:rsidR="0053763D" w:rsidRPr="00F10C37" w:rsidRDefault="0053763D" w:rsidP="00C46407">
            <w:pPr>
              <w:jc w:val="both"/>
              <w:rPr>
                <w:rFonts w:cs="Times New Roman"/>
                <w:szCs w:val="24"/>
              </w:rPr>
            </w:pPr>
            <w:r w:rsidRPr="00F10C37">
              <w:rPr>
                <w:rFonts w:cs="Times New Roman"/>
                <w:szCs w:val="24"/>
              </w:rPr>
              <w:t xml:space="preserve">Elderly, renal and hepatic impairment, asthma, pregnancy; breastfeeding, blood dyscrasias, </w:t>
            </w:r>
            <w:r w:rsidRPr="00F10C37">
              <w:rPr>
                <w:rFonts w:eastAsiaTheme="minorHAnsi" w:cs="Times New Roman"/>
                <w:kern w:val="0"/>
                <w:szCs w:val="24"/>
                <w:lang w:val="en-US" w:eastAsia="en-US"/>
              </w:rPr>
              <w:t>myasthenia gravis.</w:t>
            </w:r>
            <w:r w:rsidRPr="00F10C37">
              <w:rPr>
                <w:rFonts w:cs="Times New Roman"/>
                <w:szCs w:val="24"/>
              </w:rPr>
              <w:t xml:space="preserve"> </w:t>
            </w:r>
          </w:p>
        </w:tc>
      </w:tr>
      <w:tr w:rsidR="0053763D" w:rsidRPr="00F10C37" w14:paraId="03848445" w14:textId="77777777" w:rsidTr="00C46407">
        <w:tc>
          <w:tcPr>
            <w:tcW w:w="2425" w:type="dxa"/>
          </w:tcPr>
          <w:p w14:paraId="4746BC3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7FAF4F5C"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w:t>
            </w:r>
            <w:r w:rsidRPr="00F10C37">
              <w:rPr>
                <w:rFonts w:cs="Times New Roman"/>
                <w:szCs w:val="24"/>
              </w:rPr>
              <w:t xml:space="preserve"> Protect from light.</w:t>
            </w:r>
          </w:p>
        </w:tc>
      </w:tr>
      <w:tr w:rsidR="0053763D" w:rsidRPr="00F10C37" w14:paraId="744D9737" w14:textId="77777777" w:rsidTr="00C46407">
        <w:trPr>
          <w:trHeight w:val="512"/>
        </w:trPr>
        <w:tc>
          <w:tcPr>
            <w:tcW w:w="9355" w:type="dxa"/>
            <w:gridSpan w:val="6"/>
          </w:tcPr>
          <w:p w14:paraId="0DD30AAF" w14:textId="77777777" w:rsidR="0053763D" w:rsidRPr="00F10C37" w:rsidRDefault="0053763D" w:rsidP="00C46407">
            <w:pPr>
              <w:jc w:val="both"/>
              <w:rPr>
                <w:rFonts w:cs="Times New Roman"/>
                <w:b/>
                <w:szCs w:val="24"/>
              </w:rPr>
            </w:pPr>
            <w:r w:rsidRPr="00F10C37">
              <w:rPr>
                <w:rFonts w:cs="Times New Roman"/>
                <w:b/>
                <w:color w:val="000000"/>
                <w:szCs w:val="24"/>
              </w:rPr>
              <w:t xml:space="preserve">Propranolol hydrochloride </w:t>
            </w:r>
          </w:p>
        </w:tc>
      </w:tr>
      <w:tr w:rsidR="0053763D" w:rsidRPr="00F10C37" w14:paraId="1EAB34D4" w14:textId="77777777" w:rsidTr="00C46407">
        <w:trPr>
          <w:trHeight w:val="512"/>
        </w:trPr>
        <w:tc>
          <w:tcPr>
            <w:tcW w:w="2425" w:type="dxa"/>
          </w:tcPr>
          <w:p w14:paraId="5FAF094C"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5"/>
          </w:tcPr>
          <w:p w14:paraId="59048D3D" w14:textId="77777777" w:rsidR="0053763D" w:rsidRPr="00F10C37" w:rsidRDefault="0053763D" w:rsidP="00C46407">
            <w:pPr>
              <w:jc w:val="both"/>
              <w:rPr>
                <w:rFonts w:cs="Times New Roman"/>
                <w:szCs w:val="24"/>
              </w:rPr>
            </w:pPr>
            <w:r>
              <w:rPr>
                <w:rFonts w:cs="Times New Roman"/>
                <w:szCs w:val="24"/>
              </w:rPr>
              <w:t>Non-selective b</w:t>
            </w:r>
            <w:r w:rsidRPr="00F10C37">
              <w:rPr>
                <w:rFonts w:cs="Times New Roman"/>
                <w:szCs w:val="24"/>
              </w:rPr>
              <w:t xml:space="preserve">eta blocker, </w:t>
            </w:r>
            <w:r>
              <w:rPr>
                <w:rFonts w:cs="Times New Roman"/>
                <w:szCs w:val="24"/>
              </w:rPr>
              <w:t>c</w:t>
            </w:r>
            <w:r w:rsidRPr="00F10C37">
              <w:rPr>
                <w:rFonts w:cs="Times New Roman"/>
                <w:szCs w:val="24"/>
              </w:rPr>
              <w:t>lass II antiarrythimic</w:t>
            </w:r>
          </w:p>
        </w:tc>
      </w:tr>
      <w:tr w:rsidR="0053763D" w:rsidRPr="00F10C37" w14:paraId="27D838B9" w14:textId="77777777" w:rsidTr="00C46407">
        <w:trPr>
          <w:trHeight w:val="395"/>
        </w:trPr>
        <w:tc>
          <w:tcPr>
            <w:tcW w:w="2425" w:type="dxa"/>
          </w:tcPr>
          <w:p w14:paraId="2916706D"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tcPr>
          <w:p w14:paraId="5CE3BD0B"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color w:val="000000"/>
                <w:szCs w:val="24"/>
              </w:rPr>
              <w:t>Tablet:10mg, 20mg, 40mg</w:t>
            </w:r>
          </w:p>
        </w:tc>
      </w:tr>
      <w:tr w:rsidR="0053763D" w:rsidRPr="00F10C37" w14:paraId="68E1A2C4" w14:textId="77777777" w:rsidTr="00C46407">
        <w:trPr>
          <w:trHeight w:val="521"/>
        </w:trPr>
        <w:tc>
          <w:tcPr>
            <w:tcW w:w="2425" w:type="dxa"/>
          </w:tcPr>
          <w:p w14:paraId="2D04D000" w14:textId="77777777" w:rsidR="0053763D" w:rsidRPr="00993184" w:rsidRDefault="0053763D" w:rsidP="00C46407">
            <w:pPr>
              <w:jc w:val="both"/>
              <w:rPr>
                <w:rFonts w:cs="Times New Roman"/>
                <w:szCs w:val="24"/>
              </w:rPr>
            </w:pPr>
            <w:r w:rsidRPr="00993184">
              <w:rPr>
                <w:rFonts w:cs="Times New Roman"/>
                <w:szCs w:val="24"/>
              </w:rPr>
              <w:t>Indications</w:t>
            </w:r>
          </w:p>
        </w:tc>
        <w:tc>
          <w:tcPr>
            <w:tcW w:w="6930" w:type="dxa"/>
            <w:gridSpan w:val="5"/>
          </w:tcPr>
          <w:p w14:paraId="2CAC4BB8" w14:textId="77777777" w:rsidR="0053763D" w:rsidRPr="00F10C37" w:rsidRDefault="0053763D" w:rsidP="00C46407">
            <w:pPr>
              <w:jc w:val="both"/>
              <w:rPr>
                <w:rFonts w:cs="Times New Roman"/>
                <w:szCs w:val="24"/>
              </w:rPr>
            </w:pPr>
            <w:r w:rsidRPr="00F10C37">
              <w:rPr>
                <w:rFonts w:cs="Times New Roman"/>
                <w:szCs w:val="24"/>
              </w:rPr>
              <w:t xml:space="preserve">Arrhythmias, </w:t>
            </w:r>
            <w:r>
              <w:rPr>
                <w:rFonts w:cs="Times New Roman"/>
                <w:szCs w:val="24"/>
              </w:rPr>
              <w:t>t</w:t>
            </w:r>
            <w:r w:rsidRPr="00F10C37">
              <w:rPr>
                <w:rFonts w:cs="Times New Roman"/>
                <w:szCs w:val="24"/>
              </w:rPr>
              <w:t xml:space="preserve">hyrotoxicosis, </w:t>
            </w:r>
            <w:r>
              <w:rPr>
                <w:rFonts w:cs="Times New Roman"/>
                <w:szCs w:val="24"/>
              </w:rPr>
              <w:t>p</w:t>
            </w:r>
            <w:r w:rsidRPr="00F10C37">
              <w:rPr>
                <w:rFonts w:cs="Times New Roman"/>
                <w:szCs w:val="24"/>
              </w:rPr>
              <w:t xml:space="preserve">rophylaxis of variceal bleeding in portal hypertension, pheochromocytoma, </w:t>
            </w:r>
            <w:r>
              <w:rPr>
                <w:rFonts w:cs="Times New Roman"/>
                <w:szCs w:val="24"/>
              </w:rPr>
              <w:t>a</w:t>
            </w:r>
            <w:r w:rsidRPr="00F10C37">
              <w:rPr>
                <w:rFonts w:cs="Times New Roman"/>
                <w:szCs w:val="24"/>
              </w:rPr>
              <w:t xml:space="preserve">ngina, </w:t>
            </w:r>
            <w:r>
              <w:rPr>
                <w:rFonts w:cs="Times New Roman"/>
                <w:szCs w:val="24"/>
              </w:rPr>
              <w:t>h</w:t>
            </w:r>
            <w:r w:rsidRPr="00F10C37">
              <w:rPr>
                <w:rFonts w:cs="Times New Roman"/>
                <w:szCs w:val="24"/>
              </w:rPr>
              <w:t xml:space="preserve">ypertrophic cardiomyopathy and </w:t>
            </w:r>
            <w:r>
              <w:rPr>
                <w:rFonts w:cs="Times New Roman"/>
                <w:szCs w:val="24"/>
              </w:rPr>
              <w:t>a</w:t>
            </w:r>
            <w:r w:rsidRPr="00F10C37">
              <w:rPr>
                <w:rFonts w:cs="Times New Roman"/>
                <w:szCs w:val="24"/>
              </w:rPr>
              <w:t xml:space="preserve">nxiety tachycardia, </w:t>
            </w:r>
            <w:r>
              <w:rPr>
                <w:rFonts w:cs="Times New Roman"/>
                <w:szCs w:val="24"/>
              </w:rPr>
              <w:t>a</w:t>
            </w:r>
            <w:r w:rsidRPr="00F10C37">
              <w:rPr>
                <w:rFonts w:cs="Times New Roman"/>
                <w:szCs w:val="24"/>
              </w:rPr>
              <w:t xml:space="preserve">nxiety with symptoms such as palpitation, sweating and tremor, </w:t>
            </w:r>
            <w:r>
              <w:rPr>
                <w:rFonts w:cs="Times New Roman"/>
                <w:szCs w:val="24"/>
              </w:rPr>
              <w:t>p</w:t>
            </w:r>
            <w:r w:rsidRPr="00F10C37">
              <w:rPr>
                <w:rFonts w:cs="Times New Roman"/>
                <w:szCs w:val="24"/>
              </w:rPr>
              <w:t xml:space="preserve">rophylaxis after myocardial infarction, </w:t>
            </w:r>
            <w:r>
              <w:rPr>
                <w:rFonts w:cs="Times New Roman"/>
                <w:szCs w:val="24"/>
              </w:rPr>
              <w:t>e</w:t>
            </w:r>
            <w:r w:rsidRPr="00F10C37">
              <w:rPr>
                <w:rFonts w:cs="Times New Roman"/>
                <w:szCs w:val="24"/>
              </w:rPr>
              <w:t xml:space="preserve">ssential tremor, </w:t>
            </w:r>
            <w:r>
              <w:rPr>
                <w:rFonts w:cs="Times New Roman"/>
                <w:szCs w:val="24"/>
              </w:rPr>
              <w:t>m</w:t>
            </w:r>
            <w:r w:rsidRPr="00F10C37">
              <w:rPr>
                <w:rFonts w:cs="Times New Roman"/>
                <w:szCs w:val="24"/>
              </w:rPr>
              <w:t>igraine prophylaxis.</w:t>
            </w:r>
          </w:p>
        </w:tc>
      </w:tr>
      <w:tr w:rsidR="0053763D" w:rsidRPr="00F10C37" w14:paraId="2D40C4A9" w14:textId="77777777" w:rsidTr="00C46407">
        <w:trPr>
          <w:trHeight w:val="521"/>
        </w:trPr>
        <w:tc>
          <w:tcPr>
            <w:tcW w:w="2425" w:type="dxa"/>
          </w:tcPr>
          <w:p w14:paraId="332E19A3"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tcPr>
          <w:p w14:paraId="0A9A534A" w14:textId="77777777" w:rsidR="0053763D" w:rsidRDefault="0053763D" w:rsidP="00C46407">
            <w:pPr>
              <w:jc w:val="both"/>
              <w:rPr>
                <w:rFonts w:cs="Times New Roman"/>
                <w:b/>
                <w:szCs w:val="24"/>
              </w:rPr>
            </w:pPr>
            <w:r w:rsidRPr="00F10C37">
              <w:rPr>
                <w:rFonts w:cs="Times New Roman"/>
                <w:b/>
                <w:szCs w:val="24"/>
              </w:rPr>
              <w:t>Arrhythmias</w:t>
            </w:r>
            <w:r>
              <w:rPr>
                <w:rFonts w:cs="Times New Roman"/>
                <w:b/>
                <w:szCs w:val="24"/>
              </w:rPr>
              <w:t>:</w:t>
            </w:r>
            <w:r w:rsidRPr="00F10C37">
              <w:rPr>
                <w:rFonts w:cs="Times New Roman"/>
                <w:b/>
                <w:szCs w:val="24"/>
              </w:rPr>
              <w:t xml:space="preserve"> </w:t>
            </w:r>
          </w:p>
          <w:p w14:paraId="5D7A05E3" w14:textId="77777777" w:rsidR="0053763D" w:rsidRPr="00F10C37" w:rsidRDefault="0053763D" w:rsidP="00C46407">
            <w:pPr>
              <w:jc w:val="both"/>
              <w:rPr>
                <w:rFonts w:cs="Times New Roman"/>
                <w:b/>
                <w:szCs w:val="24"/>
              </w:rPr>
            </w:pPr>
            <w:r w:rsidRPr="003D3E3A">
              <w:rPr>
                <w:rFonts w:cs="Times New Roman"/>
                <w:b/>
                <w:szCs w:val="24"/>
              </w:rPr>
              <w:t>Adult:</w:t>
            </w:r>
            <w:r w:rsidRPr="00F10C37">
              <w:rPr>
                <w:rFonts w:cs="Times New Roman"/>
                <w:szCs w:val="24"/>
              </w:rPr>
              <w:t xml:space="preserve"> 10–40 mg 3–4 times a day </w:t>
            </w:r>
            <w:r w:rsidRPr="003D3E3A">
              <w:rPr>
                <w:rFonts w:cs="Times New Roman"/>
                <w:szCs w:val="24"/>
              </w:rPr>
              <w:t>or</w:t>
            </w:r>
            <w:r w:rsidRPr="00F10C37">
              <w:rPr>
                <w:rFonts w:cs="Times New Roman"/>
                <w:szCs w:val="24"/>
              </w:rPr>
              <w:t xml:space="preserve"> 1 mg IV to be given over 1 minute, dose may be repeated if necessary at intervals of 2 minutes, maximum 10 mg per course (5 mg in anesthesia).</w:t>
            </w:r>
          </w:p>
        </w:tc>
      </w:tr>
      <w:tr w:rsidR="0053763D" w:rsidRPr="00F10C37" w14:paraId="12A4E1EA" w14:textId="77777777" w:rsidTr="00C46407">
        <w:tc>
          <w:tcPr>
            <w:tcW w:w="2425" w:type="dxa"/>
          </w:tcPr>
          <w:p w14:paraId="28C55027"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5"/>
          </w:tcPr>
          <w:p w14:paraId="34A0A9F5" w14:textId="77777777" w:rsidR="0053763D" w:rsidRPr="00F10C37" w:rsidRDefault="0053763D" w:rsidP="00C46407">
            <w:pPr>
              <w:tabs>
                <w:tab w:val="left" w:pos="797"/>
              </w:tabs>
              <w:jc w:val="both"/>
              <w:rPr>
                <w:rFonts w:eastAsiaTheme="minorHAnsi" w:cs="Times New Roman"/>
                <w:kern w:val="0"/>
                <w:szCs w:val="24"/>
                <w:lang w:val="en-US" w:eastAsia="en-US"/>
              </w:rPr>
            </w:pPr>
            <w:r>
              <w:rPr>
                <w:rFonts w:cs="Times New Roman"/>
                <w:szCs w:val="24"/>
              </w:rPr>
              <w:t xml:space="preserve">Refer to propranolol under </w:t>
            </w:r>
            <w:r w:rsidRPr="00113C13">
              <w:rPr>
                <w:rFonts w:cs="Times New Roman"/>
                <w:szCs w:val="24"/>
              </w:rPr>
              <w:t>m</w:t>
            </w:r>
            <w:r w:rsidRPr="003D3E3A">
              <w:rPr>
                <w:rFonts w:cs="Times New Roman"/>
                <w:color w:val="000000" w:themeColor="text1"/>
                <w:szCs w:val="24"/>
              </w:rPr>
              <w:t>edicines for upper gastro-intestinal bleeding.</w:t>
            </w:r>
            <w:r w:rsidRPr="00113C13">
              <w:rPr>
                <w:rFonts w:cs="Times New Roman"/>
                <w:szCs w:val="24"/>
              </w:rPr>
              <w:t xml:space="preserve"> </w:t>
            </w:r>
          </w:p>
        </w:tc>
      </w:tr>
      <w:tr w:rsidR="0053763D" w:rsidRPr="00F10C37" w14:paraId="673372E2" w14:textId="77777777" w:rsidTr="00C46407">
        <w:tc>
          <w:tcPr>
            <w:tcW w:w="2425" w:type="dxa"/>
          </w:tcPr>
          <w:p w14:paraId="5A7B938A"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tcPr>
          <w:p w14:paraId="51D8048D"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cs="Times New Roman"/>
                <w:szCs w:val="24"/>
              </w:rPr>
              <w:t xml:space="preserve">Refer to propranolol under </w:t>
            </w:r>
            <w:r w:rsidRPr="0041105B">
              <w:rPr>
                <w:rFonts w:cs="Times New Roman"/>
                <w:szCs w:val="24"/>
              </w:rPr>
              <w:t>m</w:t>
            </w:r>
            <w:r w:rsidRPr="0041105B">
              <w:rPr>
                <w:rFonts w:cs="Times New Roman"/>
                <w:color w:val="000000" w:themeColor="text1"/>
                <w:szCs w:val="24"/>
              </w:rPr>
              <w:t>edicines for upper gastro-intestinal bleeding.</w:t>
            </w:r>
          </w:p>
        </w:tc>
      </w:tr>
      <w:tr w:rsidR="0053763D" w:rsidRPr="00F10C37" w14:paraId="7B56E140" w14:textId="77777777" w:rsidTr="00C46407">
        <w:tc>
          <w:tcPr>
            <w:tcW w:w="2425" w:type="dxa"/>
          </w:tcPr>
          <w:p w14:paraId="3BCB23E4"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5"/>
          </w:tcPr>
          <w:p w14:paraId="7B2CA8DB" w14:textId="77777777" w:rsidR="0053763D" w:rsidRPr="003D3E3A" w:rsidRDefault="0053763D" w:rsidP="00C46407">
            <w:pPr>
              <w:autoSpaceDE w:val="0"/>
              <w:autoSpaceDN w:val="0"/>
              <w:adjustRightInd w:val="0"/>
              <w:jc w:val="both"/>
              <w:rPr>
                <w:rFonts w:eastAsiaTheme="minorHAnsi" w:cs="Times New Roman"/>
                <w:color w:val="231F20"/>
                <w:kern w:val="0"/>
                <w:szCs w:val="24"/>
                <w:highlight w:val="yellow"/>
                <w:lang w:val="en-US" w:eastAsia="en-US"/>
              </w:rPr>
            </w:pPr>
            <w:r>
              <w:rPr>
                <w:rFonts w:cs="Times New Roman"/>
                <w:szCs w:val="24"/>
              </w:rPr>
              <w:t xml:space="preserve">Refer to propranolol under </w:t>
            </w:r>
            <w:r w:rsidRPr="0041105B">
              <w:rPr>
                <w:rFonts w:cs="Times New Roman"/>
                <w:szCs w:val="24"/>
              </w:rPr>
              <w:t>m</w:t>
            </w:r>
            <w:r w:rsidRPr="0041105B">
              <w:rPr>
                <w:rFonts w:cs="Times New Roman"/>
                <w:color w:val="000000" w:themeColor="text1"/>
                <w:szCs w:val="24"/>
              </w:rPr>
              <w:t>edicines for upper gastro-intestinal bleeding.</w:t>
            </w:r>
          </w:p>
        </w:tc>
      </w:tr>
      <w:tr w:rsidR="0053763D" w:rsidRPr="00F10C37" w14:paraId="70D17272" w14:textId="77777777" w:rsidTr="00C46407">
        <w:tc>
          <w:tcPr>
            <w:tcW w:w="2425" w:type="dxa"/>
          </w:tcPr>
          <w:p w14:paraId="4F0C52A7"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tcPr>
          <w:p w14:paraId="26CBBAFE" w14:textId="77777777" w:rsidR="0053763D" w:rsidRPr="003D3E3A" w:rsidRDefault="0053763D" w:rsidP="00C46407">
            <w:pPr>
              <w:jc w:val="both"/>
              <w:rPr>
                <w:rFonts w:cs="Times New Roman"/>
                <w:szCs w:val="24"/>
                <w:highlight w:val="yellow"/>
              </w:rPr>
            </w:pPr>
            <w:r>
              <w:rPr>
                <w:rFonts w:cs="Times New Roman"/>
                <w:szCs w:val="24"/>
              </w:rPr>
              <w:t xml:space="preserve">Refer to propranolol under </w:t>
            </w:r>
            <w:r w:rsidRPr="0041105B">
              <w:rPr>
                <w:rFonts w:cs="Times New Roman"/>
                <w:szCs w:val="24"/>
              </w:rPr>
              <w:t>m</w:t>
            </w:r>
            <w:r w:rsidRPr="0041105B">
              <w:rPr>
                <w:rFonts w:cs="Times New Roman"/>
                <w:color w:val="000000" w:themeColor="text1"/>
                <w:szCs w:val="24"/>
              </w:rPr>
              <w:t>edicines for upper gastro-intestinal bleeding.</w:t>
            </w:r>
          </w:p>
        </w:tc>
      </w:tr>
      <w:tr w:rsidR="0053763D" w:rsidRPr="00F10C37" w14:paraId="31B0C5E2" w14:textId="77777777" w:rsidTr="00C46407">
        <w:tc>
          <w:tcPr>
            <w:tcW w:w="2425" w:type="dxa"/>
          </w:tcPr>
          <w:p w14:paraId="2E2066E4"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tcPr>
          <w:p w14:paraId="2C180CD3" w14:textId="77777777" w:rsidR="0053763D" w:rsidRPr="00F10C37" w:rsidRDefault="0053763D" w:rsidP="00C46407">
            <w:pPr>
              <w:jc w:val="both"/>
              <w:rPr>
                <w:rFonts w:cs="Times New Roman"/>
                <w:szCs w:val="24"/>
              </w:rPr>
            </w:pPr>
            <w:r w:rsidRPr="00F10C37">
              <w:rPr>
                <w:rFonts w:cs="Times New Roman"/>
                <w:szCs w:val="24"/>
              </w:rPr>
              <w:t>Store between 15 and 30ºC.</w:t>
            </w:r>
          </w:p>
        </w:tc>
      </w:tr>
      <w:tr w:rsidR="0053763D" w:rsidRPr="00F10C37" w14:paraId="66EBC11F" w14:textId="77777777" w:rsidTr="00C46407">
        <w:trPr>
          <w:trHeight w:val="512"/>
        </w:trPr>
        <w:tc>
          <w:tcPr>
            <w:tcW w:w="9355" w:type="dxa"/>
            <w:gridSpan w:val="6"/>
            <w:hideMark/>
          </w:tcPr>
          <w:p w14:paraId="65A430A9" w14:textId="77777777" w:rsidR="0053763D" w:rsidRPr="00F10C37" w:rsidRDefault="0053763D" w:rsidP="00C46407">
            <w:pPr>
              <w:jc w:val="both"/>
              <w:rPr>
                <w:rFonts w:cs="Times New Roman"/>
                <w:b/>
                <w:szCs w:val="24"/>
              </w:rPr>
            </w:pPr>
            <w:r w:rsidRPr="00F10C37">
              <w:rPr>
                <w:rFonts w:cs="Times New Roman"/>
                <w:b/>
                <w:color w:val="000000"/>
                <w:szCs w:val="24"/>
              </w:rPr>
              <w:t xml:space="preserve">Verapamil hydrochloride </w:t>
            </w:r>
          </w:p>
        </w:tc>
      </w:tr>
      <w:tr w:rsidR="0053763D" w:rsidRPr="00F10C37" w14:paraId="7FDC3EE5" w14:textId="77777777" w:rsidTr="00C46407">
        <w:trPr>
          <w:trHeight w:val="512"/>
        </w:trPr>
        <w:tc>
          <w:tcPr>
            <w:tcW w:w="2425" w:type="dxa"/>
            <w:hideMark/>
          </w:tcPr>
          <w:p w14:paraId="7D5CBA85" w14:textId="77777777" w:rsidR="0053763D" w:rsidRPr="00F10C37" w:rsidRDefault="0053763D" w:rsidP="00C46407">
            <w:pPr>
              <w:jc w:val="both"/>
              <w:rPr>
                <w:rFonts w:cs="Times New Roman"/>
                <w:szCs w:val="24"/>
              </w:rPr>
            </w:pPr>
            <w:r w:rsidRPr="00F10C37">
              <w:rPr>
                <w:rFonts w:cs="Times New Roman"/>
                <w:szCs w:val="24"/>
              </w:rPr>
              <w:lastRenderedPageBreak/>
              <w:t>Pharmacological class</w:t>
            </w:r>
          </w:p>
        </w:tc>
        <w:tc>
          <w:tcPr>
            <w:tcW w:w="6930" w:type="dxa"/>
            <w:gridSpan w:val="5"/>
            <w:hideMark/>
          </w:tcPr>
          <w:p w14:paraId="696C6E9C" w14:textId="77777777" w:rsidR="0053763D" w:rsidRPr="00F10C37" w:rsidRDefault="0053763D" w:rsidP="00C46407">
            <w:pPr>
              <w:jc w:val="both"/>
              <w:rPr>
                <w:rFonts w:cs="Times New Roman"/>
                <w:szCs w:val="24"/>
              </w:rPr>
            </w:pPr>
            <w:r w:rsidRPr="00F10C37">
              <w:rPr>
                <w:rFonts w:cs="Times New Roman"/>
                <w:szCs w:val="24"/>
              </w:rPr>
              <w:t xml:space="preserve">Non- dihydropyridine calcium-channel blocker, </w:t>
            </w:r>
            <w:r>
              <w:rPr>
                <w:rFonts w:cs="Times New Roman"/>
                <w:szCs w:val="24"/>
              </w:rPr>
              <w:t>c</w:t>
            </w:r>
            <w:r w:rsidRPr="00F10C37">
              <w:rPr>
                <w:rFonts w:cs="Times New Roman"/>
                <w:szCs w:val="24"/>
              </w:rPr>
              <w:t>lass IV antiarrhythmic</w:t>
            </w:r>
          </w:p>
        </w:tc>
      </w:tr>
      <w:tr w:rsidR="0053763D" w:rsidRPr="00F10C37" w14:paraId="09AAF947" w14:textId="77777777" w:rsidTr="00C46407">
        <w:trPr>
          <w:trHeight w:val="395"/>
        </w:trPr>
        <w:tc>
          <w:tcPr>
            <w:tcW w:w="2425" w:type="dxa"/>
            <w:hideMark/>
          </w:tcPr>
          <w:p w14:paraId="3F65CA6E"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5"/>
            <w:hideMark/>
          </w:tcPr>
          <w:p w14:paraId="3F13C5E3" w14:textId="77777777" w:rsidR="0053763D"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2.5mg/</w:t>
            </w:r>
            <w:r>
              <w:rPr>
                <w:rFonts w:cs="Times New Roman"/>
                <w:szCs w:val="24"/>
                <w:lang w:val="en-US"/>
              </w:rPr>
              <w:t>ml</w:t>
            </w:r>
            <w:r w:rsidRPr="00F10C37">
              <w:rPr>
                <w:rFonts w:cs="Times New Roman"/>
                <w:szCs w:val="24"/>
                <w:lang w:val="en-US"/>
              </w:rPr>
              <w:t xml:space="preserve"> in 2</w:t>
            </w:r>
            <w:r>
              <w:rPr>
                <w:rFonts w:cs="Times New Roman"/>
                <w:szCs w:val="24"/>
                <w:lang w:val="en-US"/>
              </w:rPr>
              <w:t>ml</w:t>
            </w:r>
            <w:r w:rsidRPr="00F10C37">
              <w:rPr>
                <w:rFonts w:cs="Times New Roman"/>
                <w:szCs w:val="24"/>
                <w:lang w:val="en-US"/>
              </w:rPr>
              <w:t xml:space="preserve"> ampoule</w:t>
            </w:r>
          </w:p>
          <w:p w14:paraId="749B6CD4"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Tablet: 40mg, 80mg</w:t>
            </w:r>
          </w:p>
        </w:tc>
      </w:tr>
      <w:tr w:rsidR="0053763D" w:rsidRPr="00F10C37" w14:paraId="514D3617" w14:textId="77777777" w:rsidTr="00C46407">
        <w:trPr>
          <w:trHeight w:val="521"/>
        </w:trPr>
        <w:tc>
          <w:tcPr>
            <w:tcW w:w="2425" w:type="dxa"/>
            <w:hideMark/>
          </w:tcPr>
          <w:p w14:paraId="7F29E0CC" w14:textId="77777777" w:rsidR="0053763D" w:rsidRPr="00967E72" w:rsidRDefault="0053763D" w:rsidP="00C46407">
            <w:pPr>
              <w:jc w:val="both"/>
              <w:rPr>
                <w:rFonts w:cs="Times New Roman"/>
                <w:szCs w:val="24"/>
              </w:rPr>
            </w:pPr>
            <w:r w:rsidRPr="00967E72">
              <w:rPr>
                <w:rFonts w:cs="Times New Roman"/>
                <w:szCs w:val="24"/>
              </w:rPr>
              <w:t>Indications</w:t>
            </w:r>
          </w:p>
        </w:tc>
        <w:tc>
          <w:tcPr>
            <w:tcW w:w="6930" w:type="dxa"/>
            <w:gridSpan w:val="5"/>
            <w:hideMark/>
          </w:tcPr>
          <w:p w14:paraId="04A1E14F" w14:textId="77777777" w:rsidR="0053763D" w:rsidRPr="00F10C37" w:rsidRDefault="0053763D" w:rsidP="00C46407">
            <w:pPr>
              <w:jc w:val="both"/>
              <w:rPr>
                <w:rFonts w:cs="Times New Roman"/>
                <w:szCs w:val="24"/>
              </w:rPr>
            </w:pPr>
            <w:r w:rsidRPr="00F10C37">
              <w:rPr>
                <w:rFonts w:cs="Times New Roman"/>
                <w:szCs w:val="24"/>
              </w:rPr>
              <w:t>Treatment of supraventricular and paroxysmal arrhythmias, angina, hypertension, prophylaxis of cluster headache.</w:t>
            </w:r>
          </w:p>
        </w:tc>
      </w:tr>
      <w:tr w:rsidR="0053763D" w:rsidRPr="00F10C37" w14:paraId="4909B141" w14:textId="77777777" w:rsidTr="00C46407">
        <w:trPr>
          <w:trHeight w:val="521"/>
        </w:trPr>
        <w:tc>
          <w:tcPr>
            <w:tcW w:w="2425" w:type="dxa"/>
            <w:hideMark/>
          </w:tcPr>
          <w:p w14:paraId="1A20F882"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5"/>
            <w:hideMark/>
          </w:tcPr>
          <w:p w14:paraId="7DEA5922" w14:textId="77777777" w:rsidR="0053763D" w:rsidRDefault="0053763D" w:rsidP="00C46407">
            <w:pPr>
              <w:jc w:val="both"/>
              <w:rPr>
                <w:rFonts w:cs="Times New Roman"/>
                <w:b/>
                <w:szCs w:val="24"/>
              </w:rPr>
            </w:pPr>
            <w:r w:rsidRPr="00F10C37">
              <w:rPr>
                <w:rFonts w:cs="Times New Roman"/>
                <w:b/>
                <w:szCs w:val="24"/>
              </w:rPr>
              <w:t>Treatment of supraventricular arrhythmias</w:t>
            </w:r>
            <w:r>
              <w:rPr>
                <w:rFonts w:cs="Times New Roman"/>
                <w:b/>
                <w:szCs w:val="24"/>
              </w:rPr>
              <w:t>:</w:t>
            </w:r>
          </w:p>
          <w:p w14:paraId="226A5940" w14:textId="77777777" w:rsidR="0053763D" w:rsidRDefault="0053763D" w:rsidP="00C46407">
            <w:pPr>
              <w:jc w:val="both"/>
              <w:rPr>
                <w:rFonts w:cs="Times New Roman"/>
                <w:b/>
                <w:szCs w:val="24"/>
              </w:rPr>
            </w:pPr>
            <w:r w:rsidRPr="003D3E3A">
              <w:rPr>
                <w:rFonts w:cs="Times New Roman"/>
                <w:b/>
                <w:szCs w:val="24"/>
              </w:rPr>
              <w:t>Adult</w:t>
            </w:r>
            <w:r>
              <w:rPr>
                <w:rFonts w:cs="Times New Roman"/>
                <w:szCs w:val="24"/>
              </w:rPr>
              <w:t xml:space="preserve">, </w:t>
            </w:r>
            <w:r w:rsidRPr="003D3E3A">
              <w:rPr>
                <w:rFonts w:cs="Times New Roman"/>
                <w:b/>
                <w:szCs w:val="24"/>
              </w:rPr>
              <w:t>oral</w:t>
            </w:r>
            <w:r>
              <w:rPr>
                <w:rFonts w:cs="Times New Roman"/>
                <w:b/>
                <w:szCs w:val="24"/>
              </w:rPr>
              <w:t>:</w:t>
            </w:r>
            <w:r>
              <w:rPr>
                <w:rFonts w:cs="Times New Roman"/>
                <w:szCs w:val="24"/>
              </w:rPr>
              <w:t xml:space="preserve"> </w:t>
            </w:r>
            <w:r w:rsidRPr="00F10C37">
              <w:rPr>
                <w:rFonts w:cs="Times New Roman"/>
                <w:szCs w:val="24"/>
              </w:rPr>
              <w:t>40–120 mg immediate release 3 times a day</w:t>
            </w:r>
            <w:r>
              <w:rPr>
                <w:rFonts w:cs="Times New Roman"/>
                <w:b/>
                <w:szCs w:val="24"/>
              </w:rPr>
              <w:t>.</w:t>
            </w:r>
          </w:p>
          <w:p w14:paraId="64EEB54E" w14:textId="77777777" w:rsidR="0053763D" w:rsidRDefault="0053763D" w:rsidP="00C46407">
            <w:pPr>
              <w:jc w:val="both"/>
              <w:rPr>
                <w:rFonts w:cs="Times New Roman"/>
                <w:szCs w:val="24"/>
              </w:rPr>
            </w:pPr>
            <w:r w:rsidRPr="003D3E3A">
              <w:rPr>
                <w:rFonts w:cs="Times New Roman"/>
                <w:b/>
                <w:szCs w:val="24"/>
              </w:rPr>
              <w:t>IV:</w:t>
            </w:r>
            <w:r>
              <w:rPr>
                <w:rFonts w:cs="Times New Roman"/>
                <w:szCs w:val="24"/>
              </w:rPr>
              <w:t xml:space="preserve"> </w:t>
            </w:r>
            <w:r w:rsidRPr="00F10C37">
              <w:rPr>
                <w:rFonts w:cs="Times New Roman"/>
                <w:szCs w:val="24"/>
              </w:rPr>
              <w:t>5–10 mg to be given over 2 minutes, preferably with ECG monitoring</w:t>
            </w:r>
            <w:r>
              <w:rPr>
                <w:rFonts w:cs="Times New Roman"/>
                <w:szCs w:val="24"/>
              </w:rPr>
              <w:t>.</w:t>
            </w:r>
          </w:p>
          <w:p w14:paraId="34AE4EFF" w14:textId="77777777" w:rsidR="0053763D" w:rsidRPr="00F10C37" w:rsidRDefault="0053763D" w:rsidP="00C46407">
            <w:pPr>
              <w:jc w:val="both"/>
              <w:rPr>
                <w:rFonts w:cs="Times New Roman"/>
                <w:szCs w:val="24"/>
              </w:rPr>
            </w:pPr>
            <w:r w:rsidRPr="00F10C37">
              <w:rPr>
                <w:rFonts w:cs="Times New Roman"/>
                <w:b/>
                <w:szCs w:val="24"/>
              </w:rPr>
              <w:t>Elderly</w:t>
            </w:r>
            <w:r w:rsidRPr="00F10C37">
              <w:rPr>
                <w:rFonts w:cs="Times New Roman"/>
                <w:szCs w:val="24"/>
              </w:rPr>
              <w:t>: 5–10 mg, to be given over 3 minutes, preferably with ECG monitoring.</w:t>
            </w:r>
          </w:p>
          <w:p w14:paraId="1E19686D" w14:textId="77777777" w:rsidR="0053763D" w:rsidRDefault="0053763D" w:rsidP="00C46407">
            <w:pPr>
              <w:jc w:val="both"/>
              <w:rPr>
                <w:rFonts w:cs="Times New Roman"/>
                <w:b/>
                <w:szCs w:val="24"/>
              </w:rPr>
            </w:pPr>
            <w:r w:rsidRPr="00F10C37">
              <w:rPr>
                <w:rFonts w:cs="Times New Roman"/>
                <w:b/>
                <w:szCs w:val="24"/>
              </w:rPr>
              <w:t xml:space="preserve">Paroxysmal tachyarrhythmias: </w:t>
            </w:r>
          </w:p>
          <w:p w14:paraId="4FC7E4A1" w14:textId="77777777" w:rsidR="0053763D"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5–10 mg slow IV injection, followed by 5 mg after 5–10 minutes if required, to be given over 2 minutes, preferably with ECG monitoring</w:t>
            </w:r>
            <w:r>
              <w:rPr>
                <w:rFonts w:cs="Times New Roman"/>
                <w:szCs w:val="24"/>
              </w:rPr>
              <w:t>.</w:t>
            </w:r>
            <w:r w:rsidRPr="00F10C37">
              <w:rPr>
                <w:rFonts w:cs="Times New Roman"/>
                <w:szCs w:val="24"/>
              </w:rPr>
              <w:t xml:space="preserve"> </w:t>
            </w:r>
          </w:p>
          <w:p w14:paraId="429AD5D2" w14:textId="77777777" w:rsidR="0053763D" w:rsidRPr="00F10C37" w:rsidRDefault="0053763D" w:rsidP="00C46407">
            <w:pPr>
              <w:jc w:val="both"/>
              <w:rPr>
                <w:rFonts w:cs="Times New Roman"/>
                <w:szCs w:val="24"/>
              </w:rPr>
            </w:pPr>
            <w:r w:rsidRPr="003D3E3A">
              <w:rPr>
                <w:rFonts w:cs="Times New Roman"/>
                <w:b/>
                <w:szCs w:val="24"/>
              </w:rPr>
              <w:t>Elderly:</w:t>
            </w:r>
            <w:r w:rsidRPr="00F10C37">
              <w:rPr>
                <w:rFonts w:cs="Times New Roman"/>
                <w:szCs w:val="24"/>
              </w:rPr>
              <w:t xml:space="preserve"> Initially 5–10 mg, followed by 5 mg after 5–10 minutes if required, to be given over 3 minutes, preferably with ECG monitoring.</w:t>
            </w:r>
          </w:p>
        </w:tc>
      </w:tr>
      <w:tr w:rsidR="0053763D" w:rsidRPr="00F10C37" w14:paraId="350EAE2D" w14:textId="77777777" w:rsidTr="00C46407">
        <w:tc>
          <w:tcPr>
            <w:tcW w:w="2425" w:type="dxa"/>
            <w:hideMark/>
          </w:tcPr>
          <w:p w14:paraId="13E1EDE5"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5"/>
            <w:hideMark/>
          </w:tcPr>
          <w:p w14:paraId="5D703784" w14:textId="77777777" w:rsidR="0053763D" w:rsidRPr="00F10C37" w:rsidRDefault="0053763D" w:rsidP="00C46407">
            <w:pPr>
              <w:jc w:val="both"/>
              <w:rPr>
                <w:rFonts w:cs="Times New Roman"/>
                <w:szCs w:val="24"/>
              </w:rPr>
            </w:pPr>
            <w:r w:rsidRPr="00F10C37">
              <w:rPr>
                <w:rFonts w:cs="Times New Roman"/>
                <w:szCs w:val="24"/>
              </w:rPr>
              <w:t>Acute porphyria’s, atrial flutter or fibrillation associated with accessory conducting pathways, bradycardia, cardiogenic shock, heart failure, history of significantly impaired left ventricular function, hypotension, second- and third-degree AV block, sick sinus syndrome, sino-atrial block</w:t>
            </w:r>
          </w:p>
        </w:tc>
      </w:tr>
      <w:tr w:rsidR="0053763D" w:rsidRPr="00F10C37" w14:paraId="066E929C" w14:textId="77777777" w:rsidTr="00C46407">
        <w:tc>
          <w:tcPr>
            <w:tcW w:w="2425" w:type="dxa"/>
            <w:hideMark/>
          </w:tcPr>
          <w:p w14:paraId="0F3CCB6B"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5"/>
            <w:hideMark/>
          </w:tcPr>
          <w:p w14:paraId="2A547DE5"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Aliskiren, doxorubicin, disopyramide, amiodarone, flecainide, propafenone, phenobarbitone, carbamazepine, phenytoin, azole antifungals, antihistamine, second generation antipsychotics, beta blockers</w:t>
            </w:r>
            <w:r w:rsidRPr="00F10C37">
              <w:rPr>
                <w:rFonts w:cs="Times New Roman"/>
                <w:szCs w:val="24"/>
              </w:rPr>
              <w:t xml:space="preserve">, benzodiazepines, bromocriptine, ergotamine, protease inhibitors, cimetidine, ciclosporin, digoxin, erythromycin, halothane, ketamine, lidocaine, nitrous oxide, methyldopa, lithium, ibuprofen, hydrocortisone, glyceryl trinitrate, amitriptyline, amiloride, enalapril, </w:t>
            </w:r>
            <w:r w:rsidRPr="00F10C37">
              <w:rPr>
                <w:rFonts w:cs="Times New Roman"/>
                <w:szCs w:val="24"/>
              </w:rPr>
              <w:lastRenderedPageBreak/>
              <w:t>isosorbide dinitrate, furosemide, chlorpromazine, oral contraceptives, dexamethasone, hydralazine, hydrochlorothiazide, acetylsalicylic acid, grapefruit juice, CYP3A4 inhibitors.</w:t>
            </w:r>
          </w:p>
        </w:tc>
      </w:tr>
      <w:tr w:rsidR="0053763D" w:rsidRPr="00F10C37" w14:paraId="7DEA6BE6" w14:textId="77777777" w:rsidTr="00C46407">
        <w:tc>
          <w:tcPr>
            <w:tcW w:w="2425" w:type="dxa"/>
            <w:hideMark/>
          </w:tcPr>
          <w:p w14:paraId="5AFB2B09"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930" w:type="dxa"/>
            <w:gridSpan w:val="5"/>
            <w:hideMark/>
          </w:tcPr>
          <w:p w14:paraId="70AED33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Hypotension, atrioventricular block, extrapyramidal symptoms, gynecomastia, </w:t>
            </w:r>
            <w:r w:rsidRPr="00F10C37">
              <w:rPr>
                <w:rFonts w:cs="Times New Roman"/>
                <w:szCs w:val="24"/>
              </w:rPr>
              <w:t>allergic reactions including pruritus, urticaria, angioedema, and erythema multiforme, SJS</w:t>
            </w:r>
            <w:r w:rsidRPr="00F10C37">
              <w:rPr>
                <w:rFonts w:eastAsiaTheme="minorHAnsi" w:cs="Times New Roman"/>
                <w:color w:val="231F20"/>
                <w:kern w:val="0"/>
                <w:szCs w:val="24"/>
                <w:lang w:val="en-US" w:eastAsia="en-US"/>
              </w:rPr>
              <w:t xml:space="preserve">, vertigo, bradycardia, cardiac arrest, hepatic impairment hyperhidrosis, myocardial contractility decreased, nervousness, seizure, abdominal discomfort, alopecia, arrhythmias, arthralgia, constipation, erythromelalgia, fatigue, galactorrhea, heart failure, ileus, muscle weakness, tinnitus, tremor, </w:t>
            </w:r>
            <w:r w:rsidRPr="00F10C37">
              <w:rPr>
                <w:rFonts w:cs="Times New Roman"/>
                <w:szCs w:val="24"/>
              </w:rPr>
              <w:t>cardiac arrest, hepatic impairment, myocardial contractility reduced, seizure.</w:t>
            </w:r>
          </w:p>
        </w:tc>
      </w:tr>
      <w:tr w:rsidR="0053763D" w:rsidRPr="00F10C37" w14:paraId="38CD03DB" w14:textId="77777777" w:rsidTr="00C46407">
        <w:tc>
          <w:tcPr>
            <w:tcW w:w="2425" w:type="dxa"/>
            <w:hideMark/>
          </w:tcPr>
          <w:p w14:paraId="253A654C"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5"/>
            <w:hideMark/>
          </w:tcPr>
          <w:p w14:paraId="4C4CC922" w14:textId="77777777" w:rsidR="0053763D" w:rsidRPr="00F10C37" w:rsidRDefault="0053763D" w:rsidP="00C46407">
            <w:pPr>
              <w:jc w:val="both"/>
              <w:rPr>
                <w:rFonts w:cs="Times New Roman"/>
                <w:szCs w:val="24"/>
              </w:rPr>
            </w:pPr>
            <w:r w:rsidRPr="00F10C37">
              <w:rPr>
                <w:rFonts w:cs="Times New Roman"/>
                <w:szCs w:val="24"/>
              </w:rPr>
              <w:t xml:space="preserve">Acute phase of </w:t>
            </w:r>
            <w:r>
              <w:rPr>
                <w:rFonts w:cs="Times New Roman"/>
                <w:szCs w:val="24"/>
              </w:rPr>
              <w:t>MI</w:t>
            </w:r>
            <w:r w:rsidRPr="00F10C37">
              <w:rPr>
                <w:rFonts w:cs="Times New Roman"/>
                <w:szCs w:val="24"/>
              </w:rPr>
              <w:t>, first degree AV block, neuromuscular disorders, hepatic impairment, renal impairment, pregnancy, breastfeeding.</w:t>
            </w:r>
          </w:p>
        </w:tc>
      </w:tr>
      <w:tr w:rsidR="0053763D" w:rsidRPr="00F10C37" w14:paraId="4A1049D3" w14:textId="77777777" w:rsidTr="00C46407">
        <w:tc>
          <w:tcPr>
            <w:tcW w:w="2425" w:type="dxa"/>
            <w:hideMark/>
          </w:tcPr>
          <w:p w14:paraId="2C19AE9E"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5"/>
            <w:hideMark/>
          </w:tcPr>
          <w:p w14:paraId="704CB6DE" w14:textId="77777777" w:rsidR="0053763D" w:rsidRPr="00F10C37" w:rsidRDefault="0053763D" w:rsidP="00C46407">
            <w:pPr>
              <w:jc w:val="both"/>
              <w:rPr>
                <w:rFonts w:cs="Times New Roman"/>
                <w:szCs w:val="24"/>
              </w:rPr>
            </w:pPr>
            <w:r w:rsidRPr="00F10C37">
              <w:rPr>
                <w:rFonts w:cs="Times New Roman"/>
                <w:szCs w:val="24"/>
              </w:rPr>
              <w:t>Store between 15 ºC and 30 ºC. Protect from light.</w:t>
            </w:r>
          </w:p>
        </w:tc>
      </w:tr>
    </w:tbl>
    <w:p w14:paraId="6DED0222" w14:textId="77777777" w:rsidR="0053763D" w:rsidRPr="00F90A6F" w:rsidRDefault="0053763D" w:rsidP="00910906">
      <w:pPr>
        <w:pStyle w:val="Heading2"/>
        <w:spacing w:before="240" w:after="240"/>
      </w:pPr>
      <w:bookmarkStart w:id="31" w:name="_Toc179490315"/>
      <w:r w:rsidRPr="00F90A6F">
        <w:t>Antihypertensive medicines</w:t>
      </w:r>
      <w:bookmarkEnd w:id="31"/>
      <w:r w:rsidRPr="00F90A6F">
        <w:t xml:space="preserve"> </w:t>
      </w:r>
    </w:p>
    <w:p w14:paraId="3877D46E" w14:textId="77777777" w:rsidR="0053763D" w:rsidRPr="00FE140E" w:rsidRDefault="0053763D" w:rsidP="00910906">
      <w:pPr>
        <w:pStyle w:val="NormalWeb"/>
        <w:spacing w:after="240" w:afterAutospacing="0" w:line="360" w:lineRule="auto"/>
        <w:jc w:val="both"/>
      </w:pPr>
      <w:r w:rsidRPr="006C5BB2">
        <w:rPr>
          <w:bCs/>
        </w:rPr>
        <w:t>Antihypertensives</w:t>
      </w:r>
      <w:r w:rsidRPr="006C5BB2">
        <w:t xml:space="preserve"> are a class of </w:t>
      </w:r>
      <w:hyperlink r:id="rId13" w:tooltip="Medication" w:history="1">
        <w:r w:rsidRPr="006C5BB2">
          <w:rPr>
            <w:rStyle w:val="Hyperlink"/>
            <w:rFonts w:eastAsiaTheme="majorEastAsia"/>
            <w:color w:val="auto"/>
            <w:u w:val="none"/>
          </w:rPr>
          <w:t>drugs</w:t>
        </w:r>
      </w:hyperlink>
      <w:r w:rsidRPr="006C5BB2">
        <w:t xml:space="preserve"> that are used to treat </w:t>
      </w:r>
      <w:hyperlink r:id="rId14" w:tooltip="Hypertension" w:history="1">
        <w:r w:rsidRPr="006C5BB2">
          <w:rPr>
            <w:rStyle w:val="Hyperlink"/>
            <w:rFonts w:eastAsiaTheme="majorEastAsia"/>
            <w:color w:val="auto"/>
            <w:u w:val="none"/>
          </w:rPr>
          <w:t>hypertension</w:t>
        </w:r>
      </w:hyperlink>
      <w:r w:rsidRPr="006C5BB2">
        <w:t xml:space="preserve">. The fundamental goal of </w:t>
      </w:r>
      <w:r>
        <w:t xml:space="preserve">the </w:t>
      </w:r>
      <w:r w:rsidRPr="006C5BB2">
        <w:t xml:space="preserve">treatment </w:t>
      </w:r>
      <w:r>
        <w:t>is for</w:t>
      </w:r>
      <w:r w:rsidRPr="006C5BB2">
        <w:t xml:space="preserve"> the prevention of the important </w:t>
      </w:r>
      <w:hyperlink r:id="rId15" w:tooltip="Clinical endpoint" w:history="1">
        <w:r w:rsidRPr="006C5BB2">
          <w:rPr>
            <w:rStyle w:val="Hyperlink"/>
            <w:rFonts w:eastAsiaTheme="majorEastAsia"/>
            <w:color w:val="auto"/>
            <w:u w:val="none"/>
          </w:rPr>
          <w:t>endpoints</w:t>
        </w:r>
      </w:hyperlink>
      <w:r w:rsidRPr="006C5BB2">
        <w:t xml:space="preserve"> of hypertension, such as heart attack, stroke and heart failure. There are many classes of antihypertensives, which lower blood pressure by different means. Among the most important and most widely used </w:t>
      </w:r>
      <w:r>
        <w:t xml:space="preserve">first line </w:t>
      </w:r>
      <w:r w:rsidRPr="006C5BB2">
        <w:t xml:space="preserve">medications are </w:t>
      </w:r>
      <w:hyperlink r:id="rId16" w:tooltip="Thiazide diuretic" w:history="1">
        <w:r w:rsidRPr="006C5BB2">
          <w:rPr>
            <w:rStyle w:val="Hyperlink"/>
            <w:rFonts w:eastAsiaTheme="majorEastAsia"/>
            <w:color w:val="auto"/>
            <w:u w:val="none"/>
          </w:rPr>
          <w:t>thiazide diuretics</w:t>
        </w:r>
      </w:hyperlink>
      <w:r w:rsidRPr="006C5BB2">
        <w:t xml:space="preserve">, </w:t>
      </w:r>
      <w:hyperlink r:id="rId17" w:tooltip="Calcium channel blocker" w:history="1">
        <w:r w:rsidRPr="006C5BB2">
          <w:rPr>
            <w:rStyle w:val="Hyperlink"/>
            <w:rFonts w:eastAsiaTheme="majorEastAsia"/>
            <w:color w:val="auto"/>
            <w:u w:val="none"/>
          </w:rPr>
          <w:t>calcium channel blockers</w:t>
        </w:r>
      </w:hyperlink>
      <w:r w:rsidRPr="006C5BB2">
        <w:t xml:space="preserve">, </w:t>
      </w:r>
      <w:r>
        <w:t>angiotensin converting enzyme (</w:t>
      </w:r>
      <w:hyperlink r:id="rId18" w:tooltip="ACE inhibitor" w:history="1">
        <w:r w:rsidRPr="006C5BB2">
          <w:rPr>
            <w:rStyle w:val="Hyperlink"/>
            <w:rFonts w:eastAsiaTheme="majorEastAsia"/>
            <w:color w:val="auto"/>
            <w:u w:val="none"/>
          </w:rPr>
          <w:t>ACE</w:t>
        </w:r>
        <w:r>
          <w:rPr>
            <w:rStyle w:val="Hyperlink"/>
            <w:rFonts w:eastAsiaTheme="majorEastAsia"/>
            <w:color w:val="auto"/>
            <w:u w:val="none"/>
          </w:rPr>
          <w:t>)</w:t>
        </w:r>
        <w:r w:rsidRPr="006C5BB2">
          <w:rPr>
            <w:rStyle w:val="Hyperlink"/>
            <w:rFonts w:eastAsiaTheme="majorEastAsia"/>
            <w:color w:val="auto"/>
            <w:u w:val="none"/>
          </w:rPr>
          <w:t xml:space="preserve"> inhibitors</w:t>
        </w:r>
      </w:hyperlink>
      <w:r w:rsidRPr="006C5BB2">
        <w:t xml:space="preserve">, </w:t>
      </w:r>
      <w:r>
        <w:t>angiotensin II receptor blockers (</w:t>
      </w:r>
      <w:r w:rsidRPr="006C5BB2">
        <w:t>ARBs</w:t>
      </w:r>
      <w:r>
        <w:t>)</w:t>
      </w:r>
      <w:r w:rsidRPr="006C5BB2">
        <w:t xml:space="preserve">, and </w:t>
      </w:r>
      <w:hyperlink r:id="rId19" w:tooltip="Beta blocker" w:history="1">
        <w:r w:rsidRPr="006C5BB2">
          <w:rPr>
            <w:rStyle w:val="Hyperlink"/>
            <w:rFonts w:eastAsiaTheme="majorEastAsia"/>
            <w:color w:val="auto"/>
            <w:u w:val="none"/>
          </w:rPr>
          <w:t>beta blockers</w:t>
        </w:r>
      </w:hyperlink>
      <w:r w:rsidRPr="006C5BB2">
        <w:t xml:space="preserve">. </w:t>
      </w:r>
      <w:r>
        <w:t>A</w:t>
      </w:r>
      <w:r w:rsidRPr="006C5BB2">
        <w:t xml:space="preserve"> monotherapy condition-specific recommendation should be initiated first, titrated to the optimum or maximum tolerated dose at each step of treatment along with support and discussions around adherence throughout treatment.</w:t>
      </w:r>
    </w:p>
    <w:tbl>
      <w:tblPr>
        <w:tblStyle w:val="TableGrid10"/>
        <w:tblW w:w="9355" w:type="dxa"/>
        <w:tblLook w:val="04A0" w:firstRow="1" w:lastRow="0" w:firstColumn="1" w:lastColumn="0" w:noHBand="0" w:noVBand="1"/>
      </w:tblPr>
      <w:tblGrid>
        <w:gridCol w:w="2425"/>
        <w:gridCol w:w="6930"/>
      </w:tblGrid>
      <w:tr w:rsidR="0053763D" w:rsidRPr="00F10C37" w14:paraId="452E0BA2" w14:textId="77777777" w:rsidTr="00C46407">
        <w:trPr>
          <w:trHeight w:val="512"/>
        </w:trPr>
        <w:tc>
          <w:tcPr>
            <w:tcW w:w="9355" w:type="dxa"/>
            <w:gridSpan w:val="2"/>
          </w:tcPr>
          <w:p w14:paraId="681D4006" w14:textId="77777777" w:rsidR="0053763D" w:rsidRPr="00F10C37" w:rsidRDefault="0053763D" w:rsidP="00C46407">
            <w:pPr>
              <w:jc w:val="both"/>
              <w:rPr>
                <w:rFonts w:cs="Times New Roman"/>
                <w:b/>
                <w:szCs w:val="24"/>
              </w:rPr>
            </w:pPr>
            <w:r w:rsidRPr="00F10C37">
              <w:rPr>
                <w:rFonts w:cs="Times New Roman"/>
                <w:b/>
                <w:szCs w:val="24"/>
              </w:rPr>
              <w:t>A</w:t>
            </w:r>
            <w:r>
              <w:rPr>
                <w:rFonts w:cs="Times New Roman"/>
                <w:b/>
                <w:szCs w:val="24"/>
              </w:rPr>
              <w:t>ml</w:t>
            </w:r>
            <w:r w:rsidRPr="00F10C37">
              <w:rPr>
                <w:rFonts w:cs="Times New Roman"/>
                <w:b/>
                <w:szCs w:val="24"/>
              </w:rPr>
              <w:t>odipine</w:t>
            </w:r>
          </w:p>
        </w:tc>
      </w:tr>
      <w:tr w:rsidR="0053763D" w:rsidRPr="00F10C37" w14:paraId="5F6AB320" w14:textId="77777777" w:rsidTr="00C46407">
        <w:trPr>
          <w:trHeight w:val="512"/>
        </w:trPr>
        <w:tc>
          <w:tcPr>
            <w:tcW w:w="2425" w:type="dxa"/>
          </w:tcPr>
          <w:p w14:paraId="12811D7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7E535ED9" w14:textId="77777777" w:rsidR="0053763D" w:rsidRPr="00F10C37" w:rsidRDefault="0053763D" w:rsidP="00C46407">
            <w:pPr>
              <w:widowControl w:val="0"/>
              <w:autoSpaceDE w:val="0"/>
              <w:autoSpaceDN w:val="0"/>
              <w:jc w:val="both"/>
              <w:rPr>
                <w:rFonts w:cs="Times New Roman"/>
                <w:szCs w:val="24"/>
              </w:rPr>
            </w:pPr>
            <w:r>
              <w:rPr>
                <w:rFonts w:cs="Times New Roman"/>
                <w:szCs w:val="24"/>
              </w:rPr>
              <w:t>calcium channel blocker</w:t>
            </w:r>
          </w:p>
        </w:tc>
      </w:tr>
      <w:tr w:rsidR="0053763D" w:rsidRPr="00F10C37" w14:paraId="3FC4DA91" w14:textId="77777777" w:rsidTr="00C46407">
        <w:trPr>
          <w:trHeight w:val="341"/>
        </w:trPr>
        <w:tc>
          <w:tcPr>
            <w:tcW w:w="2425" w:type="dxa"/>
          </w:tcPr>
          <w:p w14:paraId="1B66BC0D"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4F490800" w14:textId="77777777" w:rsidR="0053763D" w:rsidRPr="00F10C37" w:rsidRDefault="0053763D" w:rsidP="00C46407">
            <w:pPr>
              <w:jc w:val="both"/>
              <w:rPr>
                <w:rFonts w:cs="Times New Roman"/>
                <w:szCs w:val="24"/>
              </w:rPr>
            </w:pPr>
            <w:r w:rsidRPr="00F10C37">
              <w:rPr>
                <w:rFonts w:cs="Times New Roman"/>
                <w:szCs w:val="24"/>
              </w:rPr>
              <w:t xml:space="preserve">Tablet: 2.5mg, 5mg and 10mg </w:t>
            </w:r>
          </w:p>
        </w:tc>
      </w:tr>
      <w:tr w:rsidR="0053763D" w:rsidRPr="00F10C37" w14:paraId="65095FC9" w14:textId="77777777" w:rsidTr="00C46407">
        <w:trPr>
          <w:trHeight w:val="521"/>
        </w:trPr>
        <w:tc>
          <w:tcPr>
            <w:tcW w:w="2425" w:type="dxa"/>
          </w:tcPr>
          <w:p w14:paraId="7E01BC19" w14:textId="77777777" w:rsidR="0053763D" w:rsidRPr="0032115B" w:rsidRDefault="0053763D" w:rsidP="00C46407">
            <w:pPr>
              <w:jc w:val="both"/>
              <w:rPr>
                <w:rFonts w:cs="Times New Roman"/>
                <w:szCs w:val="24"/>
              </w:rPr>
            </w:pPr>
            <w:r w:rsidRPr="0032115B">
              <w:rPr>
                <w:rFonts w:cs="Times New Roman"/>
                <w:szCs w:val="24"/>
              </w:rPr>
              <w:lastRenderedPageBreak/>
              <w:t>Indications</w:t>
            </w:r>
          </w:p>
        </w:tc>
        <w:tc>
          <w:tcPr>
            <w:tcW w:w="6930" w:type="dxa"/>
          </w:tcPr>
          <w:p w14:paraId="2399F99A"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ypertension</w:t>
            </w:r>
            <w:r>
              <w:rPr>
                <w:rFonts w:cs="Times New Roman"/>
                <w:szCs w:val="24"/>
              </w:rPr>
              <w:t>,</w:t>
            </w:r>
            <w:r w:rsidRPr="00F10C37">
              <w:rPr>
                <w:rFonts w:cs="Times New Roman"/>
                <w:szCs w:val="24"/>
              </w:rPr>
              <w:t xml:space="preserve"> symptomatic chronic stable angina, vasospastic (Prinzmetal's) angina (confirmed or suspected)</w:t>
            </w:r>
          </w:p>
        </w:tc>
      </w:tr>
      <w:tr w:rsidR="0053763D" w:rsidRPr="00F10C37" w14:paraId="1C58DD1F" w14:textId="77777777" w:rsidTr="00C46407">
        <w:trPr>
          <w:trHeight w:val="521"/>
        </w:trPr>
        <w:tc>
          <w:tcPr>
            <w:tcW w:w="2425" w:type="dxa"/>
          </w:tcPr>
          <w:p w14:paraId="33AC8FDE"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7E17F60F" w14:textId="77777777" w:rsidR="0053763D" w:rsidRDefault="0053763D" w:rsidP="00C46407">
            <w:pPr>
              <w:jc w:val="both"/>
              <w:rPr>
                <w:rFonts w:cs="Times New Roman"/>
                <w:b/>
                <w:bCs/>
                <w:szCs w:val="24"/>
              </w:rPr>
            </w:pPr>
            <w:r w:rsidRPr="00F10C37">
              <w:rPr>
                <w:rFonts w:cs="Times New Roman"/>
                <w:b/>
                <w:bCs/>
                <w:szCs w:val="24"/>
              </w:rPr>
              <w:t>Hypertension</w:t>
            </w:r>
            <w:r>
              <w:rPr>
                <w:rFonts w:cs="Times New Roman"/>
                <w:b/>
                <w:bCs/>
                <w:szCs w:val="24"/>
              </w:rPr>
              <w:t>:</w:t>
            </w:r>
          </w:p>
          <w:p w14:paraId="7847A96A" w14:textId="77777777" w:rsidR="0053763D" w:rsidRPr="00F10C37" w:rsidRDefault="0053763D" w:rsidP="00C46407">
            <w:pPr>
              <w:jc w:val="both"/>
              <w:rPr>
                <w:rFonts w:cs="Times New Roman"/>
                <w:bCs/>
                <w:szCs w:val="24"/>
              </w:rPr>
            </w:pPr>
            <w:r w:rsidRPr="00F10C37">
              <w:rPr>
                <w:rFonts w:cs="Times New Roman"/>
                <w:b/>
                <w:bCs/>
                <w:szCs w:val="24"/>
              </w:rPr>
              <w:t>Adult</w:t>
            </w:r>
            <w:r w:rsidRPr="00F10C37">
              <w:rPr>
                <w:rFonts w:cs="Times New Roman"/>
                <w:bCs/>
                <w:szCs w:val="24"/>
              </w:rPr>
              <w:t xml:space="preserve">: oral: Initially 5 mg once daily, increased if necessary; maximum 10 mg once daily; </w:t>
            </w:r>
          </w:p>
          <w:p w14:paraId="703B2D08" w14:textId="77777777" w:rsidR="0053763D" w:rsidRPr="00F10C37" w:rsidRDefault="0053763D" w:rsidP="00C46407">
            <w:pPr>
              <w:jc w:val="both"/>
              <w:rPr>
                <w:rFonts w:cs="Times New Roman"/>
                <w:bCs/>
                <w:szCs w:val="24"/>
              </w:rPr>
            </w:pPr>
            <w:r w:rsidRPr="00F10C37">
              <w:rPr>
                <w:rFonts w:cs="Times New Roman"/>
                <w:b/>
                <w:bCs/>
                <w:szCs w:val="24"/>
              </w:rPr>
              <w:t>Elderly, hepatic or renal impairment:</w:t>
            </w:r>
            <w:r w:rsidRPr="00F10C37">
              <w:rPr>
                <w:rFonts w:cs="Times New Roman"/>
                <w:bCs/>
                <w:szCs w:val="24"/>
              </w:rPr>
              <w:t xml:space="preserve"> Initial dose 2.5 mg twice daily (1.25 mg twice daily increased if necessary after 3 - 4 weeks.</w:t>
            </w:r>
          </w:p>
          <w:p w14:paraId="293B90E8" w14:textId="77777777" w:rsidR="0053763D" w:rsidRDefault="0053763D" w:rsidP="00C46407">
            <w:pPr>
              <w:jc w:val="both"/>
              <w:rPr>
                <w:rFonts w:cs="Times New Roman"/>
                <w:bCs/>
                <w:szCs w:val="24"/>
              </w:rPr>
            </w:pPr>
            <w:r w:rsidRPr="00F10C37">
              <w:rPr>
                <w:rFonts w:cs="Times New Roman"/>
                <w:b/>
                <w:bCs/>
                <w:szCs w:val="24"/>
              </w:rPr>
              <w:t>Child</w:t>
            </w:r>
            <w:r w:rsidRPr="00F10C37">
              <w:rPr>
                <w:rFonts w:cs="Times New Roman"/>
                <w:bCs/>
                <w:szCs w:val="24"/>
              </w:rPr>
              <w:t xml:space="preserve"> </w:t>
            </w:r>
            <w:r w:rsidRPr="003D3E3A">
              <w:rPr>
                <w:rFonts w:cs="Times New Roman"/>
                <w:b/>
                <w:bCs/>
                <w:szCs w:val="24"/>
              </w:rPr>
              <w:t>1month–11 years</w:t>
            </w:r>
            <w:r w:rsidRPr="00F10C37">
              <w:rPr>
                <w:rFonts w:cs="Times New Roman"/>
                <w:bCs/>
                <w:szCs w:val="24"/>
              </w:rPr>
              <w:t>: Initially 100–200 m</w:t>
            </w:r>
            <w:r>
              <w:rPr>
                <w:rFonts w:cs="Times New Roman"/>
                <w:bCs/>
                <w:szCs w:val="24"/>
              </w:rPr>
              <w:t>cg</w:t>
            </w:r>
            <w:r w:rsidRPr="00F10C37">
              <w:rPr>
                <w:rFonts w:cs="Times New Roman"/>
                <w:bCs/>
                <w:szCs w:val="24"/>
              </w:rPr>
              <w:t>/ kg once daily, increased if necessary up to 400 m</w:t>
            </w:r>
            <w:r>
              <w:rPr>
                <w:rFonts w:cs="Times New Roman"/>
                <w:bCs/>
                <w:szCs w:val="24"/>
              </w:rPr>
              <w:t>cg</w:t>
            </w:r>
            <w:r w:rsidRPr="00F10C37">
              <w:rPr>
                <w:rFonts w:cs="Times New Roman"/>
                <w:bCs/>
                <w:szCs w:val="24"/>
              </w:rPr>
              <w:t>/kg once daily, adjusted at intervals of 1–2 weeks; maximum 10 mg per day</w:t>
            </w:r>
            <w:r>
              <w:rPr>
                <w:rFonts w:cs="Times New Roman"/>
                <w:bCs/>
                <w:szCs w:val="24"/>
              </w:rPr>
              <w:t>.</w:t>
            </w:r>
          </w:p>
          <w:p w14:paraId="6D32D7A4" w14:textId="77777777" w:rsidR="0053763D" w:rsidRDefault="0053763D" w:rsidP="00C46407">
            <w:pPr>
              <w:jc w:val="both"/>
              <w:rPr>
                <w:rFonts w:cs="Times New Roman"/>
                <w:bCs/>
                <w:szCs w:val="24"/>
              </w:rPr>
            </w:pPr>
            <w:r w:rsidRPr="00F10C37">
              <w:rPr>
                <w:rFonts w:cs="Times New Roman"/>
                <w:b/>
                <w:bCs/>
                <w:szCs w:val="24"/>
              </w:rPr>
              <w:t xml:space="preserve">Child 12 years and </w:t>
            </w:r>
            <w:r w:rsidRPr="00A10104">
              <w:rPr>
                <w:rFonts w:cs="Times New Roman"/>
                <w:b/>
                <w:bCs/>
                <w:szCs w:val="24"/>
              </w:rPr>
              <w:t>over</w:t>
            </w:r>
            <w:r w:rsidRPr="00F10C37">
              <w:rPr>
                <w:rFonts w:cs="Times New Roman"/>
                <w:b/>
                <w:bCs/>
                <w:szCs w:val="24"/>
              </w:rPr>
              <w:t xml:space="preserve">: </w:t>
            </w:r>
            <w:r w:rsidRPr="00F10C37">
              <w:rPr>
                <w:rFonts w:cs="Times New Roman"/>
                <w:bCs/>
                <w:szCs w:val="24"/>
              </w:rPr>
              <w:t xml:space="preserve">Give adult dose. </w:t>
            </w:r>
          </w:p>
          <w:p w14:paraId="528793BB" w14:textId="77777777" w:rsidR="0053763D" w:rsidRDefault="0053763D" w:rsidP="00C46407">
            <w:pPr>
              <w:jc w:val="both"/>
              <w:rPr>
                <w:rFonts w:cs="Times New Roman"/>
                <w:bCs/>
                <w:szCs w:val="24"/>
              </w:rPr>
            </w:pPr>
            <w:r w:rsidRPr="00F10C37">
              <w:rPr>
                <w:rFonts w:cs="Times New Roman"/>
                <w:b/>
                <w:bCs/>
                <w:szCs w:val="24"/>
              </w:rPr>
              <w:t>Angina</w:t>
            </w:r>
            <w:r w:rsidRPr="00F10C37">
              <w:rPr>
                <w:rFonts w:cs="Times New Roman"/>
                <w:bCs/>
                <w:szCs w:val="24"/>
              </w:rPr>
              <w:t xml:space="preserve">, </w:t>
            </w:r>
            <w:r w:rsidRPr="00F80CC3">
              <w:rPr>
                <w:rFonts w:cs="Times New Roman"/>
                <w:bCs/>
                <w:szCs w:val="24"/>
              </w:rPr>
              <w:t>oral</w:t>
            </w:r>
            <w:r w:rsidRPr="00F10C37">
              <w:rPr>
                <w:rFonts w:cs="Times New Roman"/>
                <w:b/>
                <w:bCs/>
                <w:szCs w:val="24"/>
              </w:rPr>
              <w:t>:</w:t>
            </w:r>
            <w:r w:rsidRPr="00F10C37">
              <w:rPr>
                <w:rFonts w:cs="Times New Roman"/>
                <w:bCs/>
                <w:szCs w:val="24"/>
              </w:rPr>
              <w:t xml:space="preserve"> </w:t>
            </w:r>
          </w:p>
          <w:p w14:paraId="363B4F2A" w14:textId="77777777" w:rsidR="0053763D" w:rsidRPr="00F10C37" w:rsidRDefault="0053763D" w:rsidP="00C46407">
            <w:pPr>
              <w:jc w:val="both"/>
              <w:rPr>
                <w:rFonts w:cs="Times New Roman"/>
                <w:b/>
                <w:szCs w:val="24"/>
              </w:rPr>
            </w:pPr>
            <w:r w:rsidRPr="00F10C37">
              <w:rPr>
                <w:rFonts w:cs="Times New Roman"/>
                <w:b/>
                <w:bCs/>
                <w:szCs w:val="24"/>
              </w:rPr>
              <w:t>Adult</w:t>
            </w:r>
            <w:r>
              <w:rPr>
                <w:rFonts w:cs="Times New Roman"/>
                <w:b/>
                <w:bCs/>
                <w:szCs w:val="24"/>
              </w:rPr>
              <w:t xml:space="preserve">: </w:t>
            </w:r>
            <w:r w:rsidRPr="00F10C37">
              <w:rPr>
                <w:rFonts w:cs="Times New Roman"/>
                <w:bCs/>
                <w:szCs w:val="24"/>
              </w:rPr>
              <w:t>Initially</w:t>
            </w:r>
            <w:r>
              <w:rPr>
                <w:rFonts w:cs="Times New Roman"/>
                <w:bCs/>
                <w:szCs w:val="24"/>
              </w:rPr>
              <w:t xml:space="preserve">, </w:t>
            </w:r>
            <w:r w:rsidRPr="00F10C37">
              <w:rPr>
                <w:rFonts w:cs="Times New Roman"/>
                <w:bCs/>
                <w:szCs w:val="24"/>
              </w:rPr>
              <w:t>5 mg once daily, increased if necessary; maximum 10 mg once daily.</w:t>
            </w:r>
          </w:p>
        </w:tc>
      </w:tr>
      <w:tr w:rsidR="0053763D" w:rsidRPr="00F10C37" w14:paraId="7250F9AC" w14:textId="77777777" w:rsidTr="00C46407">
        <w:tc>
          <w:tcPr>
            <w:tcW w:w="2425" w:type="dxa"/>
          </w:tcPr>
          <w:p w14:paraId="1827A017"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4335642D"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w:t>
            </w:r>
            <w:r>
              <w:rPr>
                <w:rFonts w:cs="Times New Roman"/>
                <w:szCs w:val="24"/>
              </w:rPr>
              <w:t>the drug, s</w:t>
            </w:r>
            <w:r w:rsidRPr="00F10C37">
              <w:rPr>
                <w:rFonts w:cs="Times New Roman"/>
                <w:szCs w:val="24"/>
              </w:rPr>
              <w:t xml:space="preserve">evere hypotension, </w:t>
            </w:r>
            <w:r>
              <w:rPr>
                <w:rFonts w:cs="Times New Roman"/>
                <w:szCs w:val="24"/>
              </w:rPr>
              <w:t>c</w:t>
            </w:r>
            <w:r w:rsidRPr="00F10C37">
              <w:rPr>
                <w:rFonts w:cs="Times New Roman"/>
                <w:szCs w:val="24"/>
              </w:rPr>
              <w:t xml:space="preserve">ardiogenic shock, unstable angina, significant aortic stenosis, hemodynamically unstable heart failure after acute MI (during the first 28 days). </w:t>
            </w:r>
          </w:p>
        </w:tc>
      </w:tr>
      <w:tr w:rsidR="0053763D" w:rsidRPr="00F10C37" w14:paraId="07857CC8" w14:textId="77777777" w:rsidTr="00C46407">
        <w:tc>
          <w:tcPr>
            <w:tcW w:w="2425" w:type="dxa"/>
          </w:tcPr>
          <w:p w14:paraId="278727D5"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070FE309" w14:textId="77777777" w:rsidR="0053763D" w:rsidRPr="00F10C37" w:rsidRDefault="0053763D" w:rsidP="00C46407">
            <w:pPr>
              <w:contextualSpacing/>
              <w:jc w:val="both"/>
              <w:rPr>
                <w:rFonts w:cs="Times New Roman"/>
                <w:szCs w:val="24"/>
              </w:rPr>
            </w:pPr>
            <w:r w:rsidRPr="00F10C37">
              <w:rPr>
                <w:rFonts w:cs="Times New Roman"/>
                <w:szCs w:val="24"/>
              </w:rPr>
              <w:t xml:space="preserve">Phenobarbitone, </w:t>
            </w:r>
            <w:r w:rsidRPr="00F10C37">
              <w:rPr>
                <w:rFonts w:eastAsiaTheme="minorHAnsi" w:cs="Times New Roman"/>
                <w:kern w:val="0"/>
                <w:szCs w:val="24"/>
                <w:lang w:val="en-US" w:eastAsia="en-US"/>
              </w:rPr>
              <w:t>carbamazepine, phenytoin</w:t>
            </w:r>
            <w:r w:rsidRPr="00F10C37">
              <w:rPr>
                <w:rFonts w:cs="Times New Roman"/>
                <w:szCs w:val="24"/>
              </w:rPr>
              <w:t>, azole antifungals, ritonavir, acetazolamide, alcohol, amiloride, atenolol, chlorpromazine, furosemide, glyceryl trinitrate, ibuprofen, enalapril, hydralazine, spironolactone, ketamine, oestrogens, CYP3A4 inhibitors (e.g., clarithromycin, erythromycin), CYP3A4 inducers (rifampin), IV magnesium, grape fruit juice.</w:t>
            </w:r>
          </w:p>
        </w:tc>
      </w:tr>
      <w:tr w:rsidR="0053763D" w:rsidRPr="00F10C37" w14:paraId="2269E37A" w14:textId="77777777" w:rsidTr="00C46407">
        <w:tc>
          <w:tcPr>
            <w:tcW w:w="2425" w:type="dxa"/>
          </w:tcPr>
          <w:p w14:paraId="2710B416"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46D9890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Asthenia, constipation, diarrhea, dyspepsia, dyspnoea, gastrointestinal</w:t>
            </w:r>
            <w:r>
              <w:rPr>
                <w:rFonts w:eastAsiaTheme="minorHAnsi" w:cs="Times New Roman"/>
                <w:color w:val="231F20"/>
                <w:kern w:val="0"/>
                <w:szCs w:val="24"/>
                <w:lang w:val="en-US" w:eastAsia="en-US"/>
              </w:rPr>
              <w:t xml:space="preserve"> </w:t>
            </w:r>
            <w:r w:rsidRPr="00F10C37">
              <w:rPr>
                <w:rFonts w:eastAsiaTheme="minorHAnsi" w:cs="Times New Roman"/>
                <w:color w:val="231F20"/>
                <w:kern w:val="0"/>
                <w:szCs w:val="24"/>
                <w:lang w:val="en-US" w:eastAsia="en-US"/>
              </w:rPr>
              <w:t>disorders, joint disorders, muscle cramps, edema, vision, disorders, alopecia, anxiety, arrhythmias, chest pain, cough, dry mouth, gynecomastia, hyperhidrosis, hypotension, insomnia, malaise, mood altered, numbness, pain, rhinitis, tinnitus, tremor, weight changes.</w:t>
            </w:r>
          </w:p>
        </w:tc>
      </w:tr>
      <w:tr w:rsidR="0053763D" w:rsidRPr="00F10C37" w14:paraId="52994788" w14:textId="77777777" w:rsidTr="00C46407">
        <w:trPr>
          <w:trHeight w:val="782"/>
        </w:trPr>
        <w:tc>
          <w:tcPr>
            <w:tcW w:w="2425" w:type="dxa"/>
          </w:tcPr>
          <w:p w14:paraId="53487950"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1E62E288" w14:textId="77777777" w:rsidR="0053763D" w:rsidRPr="00F10C37" w:rsidRDefault="0053763D" w:rsidP="00C46407">
            <w:pPr>
              <w:jc w:val="both"/>
              <w:rPr>
                <w:rFonts w:cs="Times New Roman"/>
                <w:szCs w:val="24"/>
              </w:rPr>
            </w:pPr>
            <w:r w:rsidRPr="00F10C37">
              <w:rPr>
                <w:rFonts w:cs="Times New Roman"/>
                <w:szCs w:val="24"/>
              </w:rPr>
              <w:t>Congestive heart failure, elderly</w:t>
            </w:r>
            <w:r>
              <w:rPr>
                <w:rFonts w:cs="Times New Roman"/>
                <w:szCs w:val="24"/>
              </w:rPr>
              <w:t>,</w:t>
            </w:r>
            <w:r w:rsidRPr="00F10C37">
              <w:rPr>
                <w:rFonts w:cs="Times New Roman"/>
                <w:szCs w:val="24"/>
              </w:rPr>
              <w:t xml:space="preserve"> hepatic impairment, pregnancy</w:t>
            </w:r>
            <w:r>
              <w:rPr>
                <w:rFonts w:cs="Times New Roman"/>
                <w:szCs w:val="24"/>
              </w:rPr>
              <w:t xml:space="preserve">, </w:t>
            </w:r>
            <w:r w:rsidRPr="00F10C37">
              <w:rPr>
                <w:rFonts w:cs="Times New Roman"/>
                <w:szCs w:val="24"/>
              </w:rPr>
              <w:t>breastfeeding</w:t>
            </w:r>
            <w:r w:rsidRPr="00F10C37">
              <w:rPr>
                <w:rFonts w:cs="Times New Roman"/>
                <w:i/>
                <w:szCs w:val="24"/>
              </w:rPr>
              <w:t>.</w:t>
            </w:r>
          </w:p>
        </w:tc>
      </w:tr>
      <w:tr w:rsidR="0053763D" w:rsidRPr="00F10C37" w14:paraId="1924C8BA" w14:textId="77777777" w:rsidTr="00C46407">
        <w:tc>
          <w:tcPr>
            <w:tcW w:w="2425" w:type="dxa"/>
          </w:tcPr>
          <w:p w14:paraId="5D5A1B39"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930" w:type="dxa"/>
          </w:tcPr>
          <w:p w14:paraId="64D34C58" w14:textId="77777777" w:rsidR="0053763D" w:rsidRPr="00F10C37" w:rsidRDefault="0053763D" w:rsidP="00C46407">
            <w:pPr>
              <w:jc w:val="both"/>
              <w:rPr>
                <w:rFonts w:cs="Times New Roman"/>
                <w:szCs w:val="24"/>
              </w:rPr>
            </w:pPr>
            <w:r>
              <w:rPr>
                <w:rFonts w:cs="Times New Roman"/>
                <w:szCs w:val="24"/>
              </w:rPr>
              <w:t xml:space="preserve">Store 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 xml:space="preserve"> Protect from light.</w:t>
            </w:r>
          </w:p>
        </w:tc>
      </w:tr>
      <w:tr w:rsidR="0053763D" w:rsidRPr="00F10C37" w14:paraId="1EA25074" w14:textId="77777777" w:rsidTr="00C46407">
        <w:trPr>
          <w:trHeight w:val="512"/>
        </w:trPr>
        <w:tc>
          <w:tcPr>
            <w:tcW w:w="9355" w:type="dxa"/>
            <w:gridSpan w:val="2"/>
          </w:tcPr>
          <w:p w14:paraId="33354B9B" w14:textId="77777777" w:rsidR="0053763D" w:rsidRPr="00F10C37" w:rsidRDefault="0053763D" w:rsidP="00C46407">
            <w:pPr>
              <w:jc w:val="both"/>
              <w:rPr>
                <w:rFonts w:cs="Times New Roman"/>
                <w:szCs w:val="24"/>
              </w:rPr>
            </w:pPr>
            <w:r w:rsidRPr="00F10C37">
              <w:rPr>
                <w:rFonts w:cs="Times New Roman"/>
                <w:b/>
                <w:szCs w:val="24"/>
              </w:rPr>
              <w:t xml:space="preserve">Bisoprolol </w:t>
            </w:r>
          </w:p>
        </w:tc>
      </w:tr>
      <w:tr w:rsidR="0053763D" w:rsidRPr="00F10C37" w14:paraId="19E5440C" w14:textId="77777777" w:rsidTr="00C46407">
        <w:trPr>
          <w:trHeight w:val="512"/>
        </w:trPr>
        <w:tc>
          <w:tcPr>
            <w:tcW w:w="2425" w:type="dxa"/>
          </w:tcPr>
          <w:p w14:paraId="53F52F2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001DFFA6"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Beta blocker </w:t>
            </w:r>
          </w:p>
        </w:tc>
      </w:tr>
      <w:tr w:rsidR="0053763D" w:rsidRPr="00F10C37" w14:paraId="3B363099" w14:textId="77777777" w:rsidTr="00C46407">
        <w:trPr>
          <w:trHeight w:val="341"/>
        </w:trPr>
        <w:tc>
          <w:tcPr>
            <w:tcW w:w="2425" w:type="dxa"/>
          </w:tcPr>
          <w:p w14:paraId="0B703171"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6A257CEB"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2.5mg, 5mg and 10mg </w:t>
            </w:r>
          </w:p>
        </w:tc>
      </w:tr>
      <w:tr w:rsidR="0053763D" w:rsidRPr="00F10C37" w14:paraId="3183A898" w14:textId="77777777" w:rsidTr="00C46407">
        <w:trPr>
          <w:trHeight w:val="521"/>
        </w:trPr>
        <w:tc>
          <w:tcPr>
            <w:tcW w:w="2425" w:type="dxa"/>
          </w:tcPr>
          <w:p w14:paraId="28F338D9" w14:textId="77777777" w:rsidR="0053763D" w:rsidRPr="00D33321" w:rsidRDefault="0053763D" w:rsidP="00C46407">
            <w:pPr>
              <w:jc w:val="both"/>
              <w:rPr>
                <w:rFonts w:cs="Times New Roman"/>
                <w:szCs w:val="24"/>
              </w:rPr>
            </w:pPr>
            <w:r w:rsidRPr="00D33321">
              <w:rPr>
                <w:rFonts w:cs="Times New Roman"/>
                <w:szCs w:val="24"/>
              </w:rPr>
              <w:t>Indications</w:t>
            </w:r>
          </w:p>
        </w:tc>
        <w:tc>
          <w:tcPr>
            <w:tcW w:w="6930" w:type="dxa"/>
          </w:tcPr>
          <w:p w14:paraId="15D89974" w14:textId="77777777" w:rsidR="0053763D" w:rsidRPr="00F10C37" w:rsidRDefault="0053763D" w:rsidP="00C46407">
            <w:pPr>
              <w:jc w:val="both"/>
              <w:rPr>
                <w:rFonts w:cs="Times New Roman"/>
                <w:szCs w:val="24"/>
              </w:rPr>
            </w:pPr>
            <w:r w:rsidRPr="00F10C37">
              <w:rPr>
                <w:rFonts w:cs="Times New Roman"/>
                <w:szCs w:val="24"/>
              </w:rPr>
              <w:t xml:space="preserve">Hypertension, angina, heart failure </w:t>
            </w:r>
          </w:p>
        </w:tc>
      </w:tr>
      <w:tr w:rsidR="0053763D" w:rsidRPr="00F10C37" w14:paraId="464174BA" w14:textId="77777777" w:rsidTr="00C46407">
        <w:trPr>
          <w:trHeight w:val="521"/>
        </w:trPr>
        <w:tc>
          <w:tcPr>
            <w:tcW w:w="2425" w:type="dxa"/>
          </w:tcPr>
          <w:p w14:paraId="22E7A490"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2BA0FDE2" w14:textId="77777777" w:rsidR="0053763D" w:rsidRDefault="0053763D" w:rsidP="00C46407">
            <w:pPr>
              <w:jc w:val="both"/>
              <w:rPr>
                <w:rFonts w:cs="Times New Roman"/>
                <w:b/>
                <w:szCs w:val="24"/>
              </w:rPr>
            </w:pPr>
            <w:r w:rsidRPr="00F10C37">
              <w:rPr>
                <w:rFonts w:cs="Times New Roman"/>
                <w:b/>
                <w:szCs w:val="24"/>
              </w:rPr>
              <w:t xml:space="preserve">Hypertension: </w:t>
            </w:r>
          </w:p>
          <w:p w14:paraId="5A388B36"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5 mg once daily, usual maintenance 10 mg once daily; increased if necessary up to 20 mg once daily.</w:t>
            </w:r>
          </w:p>
        </w:tc>
      </w:tr>
      <w:tr w:rsidR="0053763D" w:rsidRPr="00F10C37" w14:paraId="3DBCB172" w14:textId="77777777" w:rsidTr="00C46407">
        <w:tc>
          <w:tcPr>
            <w:tcW w:w="2425" w:type="dxa"/>
          </w:tcPr>
          <w:p w14:paraId="5827E2CE"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0D34CD82"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color w:val="231F20"/>
                <w:kern w:val="0"/>
                <w:szCs w:val="24"/>
                <w:lang w:val="en-US" w:eastAsia="en-US"/>
              </w:rPr>
              <w:t xml:space="preserve">Refer to bisoprolol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3FDDC7A" w14:textId="77777777" w:rsidTr="00C46407">
        <w:tc>
          <w:tcPr>
            <w:tcW w:w="2425" w:type="dxa"/>
          </w:tcPr>
          <w:p w14:paraId="0AF02541"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9D1E2FD"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color w:val="231F20"/>
                <w:kern w:val="0"/>
                <w:szCs w:val="24"/>
                <w:lang w:val="en-US" w:eastAsia="en-US"/>
              </w:rPr>
              <w:t xml:space="preserve">Refer to bisoprolol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0C8F3CE8" w14:textId="77777777" w:rsidTr="00C46407">
        <w:tc>
          <w:tcPr>
            <w:tcW w:w="2425" w:type="dxa"/>
          </w:tcPr>
          <w:p w14:paraId="7D00029E"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0471607D"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Refer to bisoprolol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C28ED72" w14:textId="77777777" w:rsidTr="00C46407">
        <w:tc>
          <w:tcPr>
            <w:tcW w:w="2425" w:type="dxa"/>
          </w:tcPr>
          <w:p w14:paraId="6E204B2C"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67F0CE58"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color w:val="231F20"/>
                <w:kern w:val="0"/>
                <w:szCs w:val="24"/>
                <w:lang w:val="en-US" w:eastAsia="en-US"/>
              </w:rPr>
              <w:t xml:space="preserve">Refer to bisoprolol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55B1578C" w14:textId="77777777" w:rsidTr="00C46407">
        <w:tc>
          <w:tcPr>
            <w:tcW w:w="2425" w:type="dxa"/>
          </w:tcPr>
          <w:p w14:paraId="692A0255"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0BA86181"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tore between 15 and 30ºC.</w:t>
            </w:r>
          </w:p>
        </w:tc>
      </w:tr>
      <w:tr w:rsidR="0053763D" w:rsidRPr="00F10C37" w14:paraId="19F4BC9E" w14:textId="77777777" w:rsidTr="00C46407">
        <w:trPr>
          <w:trHeight w:val="368"/>
        </w:trPr>
        <w:tc>
          <w:tcPr>
            <w:tcW w:w="9355" w:type="dxa"/>
            <w:gridSpan w:val="2"/>
          </w:tcPr>
          <w:p w14:paraId="0F786CDB" w14:textId="77777777" w:rsidR="0053763D" w:rsidRPr="00F10C37" w:rsidRDefault="0053763D" w:rsidP="00C46407">
            <w:pPr>
              <w:jc w:val="both"/>
              <w:rPr>
                <w:rFonts w:cs="Times New Roman"/>
                <w:b/>
                <w:szCs w:val="24"/>
              </w:rPr>
            </w:pPr>
            <w:r w:rsidRPr="00F10C37">
              <w:rPr>
                <w:rFonts w:cs="Times New Roman"/>
                <w:b/>
                <w:szCs w:val="24"/>
              </w:rPr>
              <w:t xml:space="preserve">Candesartan </w:t>
            </w:r>
          </w:p>
        </w:tc>
      </w:tr>
      <w:tr w:rsidR="0053763D" w:rsidRPr="00F10C37" w14:paraId="52988CD0" w14:textId="77777777" w:rsidTr="00C46407">
        <w:trPr>
          <w:trHeight w:val="512"/>
        </w:trPr>
        <w:tc>
          <w:tcPr>
            <w:tcW w:w="2425" w:type="dxa"/>
          </w:tcPr>
          <w:p w14:paraId="5CF4AF9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32005A64"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Angiotensin-II receptor antagonist</w:t>
            </w:r>
          </w:p>
        </w:tc>
      </w:tr>
      <w:tr w:rsidR="0053763D" w:rsidRPr="00F10C37" w14:paraId="2975E903" w14:textId="77777777" w:rsidTr="00C46407">
        <w:trPr>
          <w:trHeight w:val="341"/>
        </w:trPr>
        <w:tc>
          <w:tcPr>
            <w:tcW w:w="2425" w:type="dxa"/>
          </w:tcPr>
          <w:p w14:paraId="415EE346"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7041DADB" w14:textId="77777777" w:rsidR="0053763D" w:rsidRPr="00F10C37" w:rsidRDefault="0053763D" w:rsidP="00C46407">
            <w:pPr>
              <w:jc w:val="both"/>
              <w:rPr>
                <w:rFonts w:cs="Times New Roman"/>
                <w:szCs w:val="24"/>
              </w:rPr>
            </w:pPr>
            <w:r w:rsidRPr="00F10C37">
              <w:rPr>
                <w:rFonts w:cs="Times New Roman"/>
                <w:szCs w:val="24"/>
              </w:rPr>
              <w:t>Tablet: 4 mg, 8 mg and 16 mg</w:t>
            </w:r>
          </w:p>
        </w:tc>
      </w:tr>
      <w:tr w:rsidR="0053763D" w:rsidRPr="00F10C37" w14:paraId="5945A1CD" w14:textId="77777777" w:rsidTr="00C46407">
        <w:trPr>
          <w:trHeight w:val="521"/>
        </w:trPr>
        <w:tc>
          <w:tcPr>
            <w:tcW w:w="2425" w:type="dxa"/>
          </w:tcPr>
          <w:p w14:paraId="2B78EFD5" w14:textId="77777777" w:rsidR="0053763D" w:rsidRPr="009E5A24" w:rsidRDefault="0053763D" w:rsidP="00C46407">
            <w:pPr>
              <w:jc w:val="both"/>
              <w:rPr>
                <w:rFonts w:cs="Times New Roman"/>
                <w:szCs w:val="24"/>
              </w:rPr>
            </w:pPr>
            <w:r w:rsidRPr="009E5A24">
              <w:rPr>
                <w:rFonts w:cs="Times New Roman"/>
                <w:szCs w:val="24"/>
              </w:rPr>
              <w:t>Indications</w:t>
            </w:r>
          </w:p>
        </w:tc>
        <w:tc>
          <w:tcPr>
            <w:tcW w:w="6930" w:type="dxa"/>
          </w:tcPr>
          <w:p w14:paraId="59958CC1" w14:textId="77777777" w:rsidR="0053763D" w:rsidRPr="00F10C37" w:rsidRDefault="0053763D" w:rsidP="00C46407">
            <w:pPr>
              <w:jc w:val="both"/>
              <w:rPr>
                <w:rFonts w:cs="Times New Roman"/>
                <w:szCs w:val="24"/>
              </w:rPr>
            </w:pPr>
            <w:r w:rsidRPr="00F10C37">
              <w:rPr>
                <w:rFonts w:cs="Times New Roman"/>
                <w:szCs w:val="24"/>
              </w:rPr>
              <w:t xml:space="preserve">Hypertension, </w:t>
            </w:r>
            <w:r>
              <w:rPr>
                <w:rFonts w:cs="Times New Roman"/>
                <w:szCs w:val="24"/>
              </w:rPr>
              <w:t>h</w:t>
            </w:r>
            <w:r w:rsidRPr="00F10C37">
              <w:rPr>
                <w:rFonts w:cs="Times New Roman"/>
                <w:szCs w:val="24"/>
              </w:rPr>
              <w:t xml:space="preserve">ypertension with intravascular volume depletion, heart failure with left ventricular dysfunction when ACE inhibitors are not tolerated. </w:t>
            </w:r>
          </w:p>
        </w:tc>
      </w:tr>
      <w:tr w:rsidR="0053763D" w:rsidRPr="00F10C37" w14:paraId="14D098C5" w14:textId="77777777" w:rsidTr="00C46407">
        <w:trPr>
          <w:trHeight w:val="521"/>
        </w:trPr>
        <w:tc>
          <w:tcPr>
            <w:tcW w:w="2425" w:type="dxa"/>
          </w:tcPr>
          <w:p w14:paraId="5F5D1F92"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129105AC" w14:textId="77777777" w:rsidR="0053763D" w:rsidRDefault="0053763D" w:rsidP="00C46407">
            <w:pPr>
              <w:jc w:val="both"/>
              <w:rPr>
                <w:rFonts w:cs="Times New Roman"/>
                <w:b/>
                <w:szCs w:val="24"/>
              </w:rPr>
            </w:pPr>
            <w:r w:rsidRPr="00F10C37">
              <w:rPr>
                <w:rFonts w:cs="Times New Roman"/>
                <w:b/>
                <w:szCs w:val="24"/>
              </w:rPr>
              <w:t xml:space="preserve">Hypertension: </w:t>
            </w:r>
          </w:p>
          <w:p w14:paraId="609364F5"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8 mg oral once daily, increased if necessary</w:t>
            </w:r>
            <w:r>
              <w:rPr>
                <w:rFonts w:cs="Times New Roman"/>
                <w:szCs w:val="24"/>
              </w:rPr>
              <w:t xml:space="preserve"> </w:t>
            </w:r>
            <w:r w:rsidRPr="00F10C37">
              <w:rPr>
                <w:rFonts w:cs="Times New Roman"/>
                <w:szCs w:val="24"/>
              </w:rPr>
              <w:t>up to 32 mg once daily, dose to be increased at intervals of 4 weeks; usual dose 8 mg once daily</w:t>
            </w:r>
          </w:p>
          <w:p w14:paraId="1195042B" w14:textId="77777777" w:rsidR="0053763D" w:rsidRDefault="0053763D" w:rsidP="00C46407">
            <w:pPr>
              <w:jc w:val="both"/>
              <w:rPr>
                <w:rFonts w:cs="Times New Roman"/>
                <w:b/>
                <w:szCs w:val="24"/>
              </w:rPr>
            </w:pPr>
            <w:r w:rsidRPr="00F10C37">
              <w:rPr>
                <w:rFonts w:cs="Times New Roman"/>
                <w:b/>
                <w:szCs w:val="24"/>
              </w:rPr>
              <w:t xml:space="preserve">Hypertension with intravascular volume depletion: </w:t>
            </w:r>
          </w:p>
          <w:p w14:paraId="1CCD8E16" w14:textId="77777777" w:rsidR="0053763D" w:rsidRPr="00F10C37" w:rsidRDefault="0053763D" w:rsidP="00C46407">
            <w:pPr>
              <w:jc w:val="both"/>
              <w:rPr>
                <w:rFonts w:cs="Times New Roman"/>
                <w:b/>
                <w:szCs w:val="24"/>
              </w:rPr>
            </w:pPr>
            <w:r w:rsidRPr="00F10C37">
              <w:rPr>
                <w:rFonts w:cs="Times New Roman"/>
                <w:b/>
                <w:szCs w:val="24"/>
              </w:rPr>
              <w:t>Adult:</w:t>
            </w:r>
            <w:r w:rsidRPr="00F10C37">
              <w:rPr>
                <w:rFonts w:cs="Times New Roman"/>
                <w:szCs w:val="24"/>
              </w:rPr>
              <w:t xml:space="preserve"> Initially 4 mg oral once daily, increased if necessary up to 32 mg once daily, dose to be increased at intervals of 4 weeks; usual dose 8 mg once daily</w:t>
            </w:r>
            <w:r w:rsidRPr="00F10C37">
              <w:rPr>
                <w:rFonts w:cs="Times New Roman"/>
                <w:b/>
                <w:szCs w:val="24"/>
              </w:rPr>
              <w:t>.</w:t>
            </w:r>
          </w:p>
        </w:tc>
      </w:tr>
      <w:tr w:rsidR="0053763D" w:rsidRPr="00F10C37" w14:paraId="160BAFDE" w14:textId="77777777" w:rsidTr="00C46407">
        <w:tc>
          <w:tcPr>
            <w:tcW w:w="2425" w:type="dxa"/>
          </w:tcPr>
          <w:p w14:paraId="21816894"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7C95B347" w14:textId="77777777" w:rsidR="0053763D" w:rsidRPr="00F10C37" w:rsidRDefault="0053763D" w:rsidP="00C46407">
            <w:pPr>
              <w:jc w:val="both"/>
              <w:rPr>
                <w:rFonts w:cs="Times New Roman"/>
                <w:szCs w:val="24"/>
              </w:rPr>
            </w:pPr>
            <w:r w:rsidRPr="00F10C37">
              <w:rPr>
                <w:rFonts w:cs="Times New Roman"/>
                <w:szCs w:val="24"/>
              </w:rPr>
              <w:t xml:space="preserve">Refer to </w:t>
            </w:r>
            <w:r>
              <w:rPr>
                <w:rFonts w:cs="Times New Roman"/>
                <w:szCs w:val="24"/>
              </w:rPr>
              <w:t>c</w:t>
            </w:r>
            <w:r w:rsidRPr="00F10C37">
              <w:rPr>
                <w:rFonts w:cs="Times New Roman"/>
                <w:szCs w:val="24"/>
              </w:rPr>
              <w:t xml:space="preserve">andesartan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C8C27C3" w14:textId="77777777" w:rsidTr="00C46407">
        <w:tc>
          <w:tcPr>
            <w:tcW w:w="2425" w:type="dxa"/>
          </w:tcPr>
          <w:p w14:paraId="5966A1E7"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515DF4FB" w14:textId="77777777" w:rsidR="0053763D" w:rsidRPr="00F10C37" w:rsidRDefault="0053763D" w:rsidP="00C46407">
            <w:pPr>
              <w:contextualSpacing/>
              <w:jc w:val="both"/>
              <w:rPr>
                <w:rFonts w:cs="Times New Roman"/>
                <w:szCs w:val="24"/>
              </w:rPr>
            </w:pPr>
            <w:r w:rsidRPr="00F10C37">
              <w:rPr>
                <w:rFonts w:cs="Times New Roman"/>
                <w:szCs w:val="24"/>
              </w:rPr>
              <w:t xml:space="preserve">Refer to </w:t>
            </w:r>
            <w:r>
              <w:rPr>
                <w:rFonts w:cs="Times New Roman"/>
                <w:szCs w:val="24"/>
              </w:rPr>
              <w:t>c</w:t>
            </w:r>
            <w:r w:rsidRPr="00F10C37">
              <w:rPr>
                <w:rFonts w:cs="Times New Roman"/>
                <w:szCs w:val="24"/>
              </w:rPr>
              <w:t xml:space="preserve">andesartan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8A5B531" w14:textId="77777777" w:rsidTr="00C46407">
        <w:tc>
          <w:tcPr>
            <w:tcW w:w="2425" w:type="dxa"/>
          </w:tcPr>
          <w:p w14:paraId="47DE30DE"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930" w:type="dxa"/>
          </w:tcPr>
          <w:p w14:paraId="32058400" w14:textId="77777777" w:rsidR="0053763D" w:rsidRPr="00F10C37" w:rsidRDefault="0053763D" w:rsidP="00C46407">
            <w:pPr>
              <w:contextualSpacing/>
              <w:jc w:val="both"/>
              <w:rPr>
                <w:rFonts w:cs="Times New Roman"/>
                <w:szCs w:val="24"/>
              </w:rPr>
            </w:pPr>
            <w:r w:rsidRPr="00F10C37">
              <w:rPr>
                <w:rFonts w:cs="Times New Roman"/>
                <w:szCs w:val="24"/>
              </w:rPr>
              <w:t xml:space="preserve">Refer to </w:t>
            </w:r>
            <w:r>
              <w:rPr>
                <w:rFonts w:cs="Times New Roman"/>
                <w:szCs w:val="24"/>
              </w:rPr>
              <w:t>c</w:t>
            </w:r>
            <w:r w:rsidRPr="00F10C37">
              <w:rPr>
                <w:rFonts w:cs="Times New Roman"/>
                <w:szCs w:val="24"/>
              </w:rPr>
              <w:t xml:space="preserve">andesartan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595C2617" w14:textId="77777777" w:rsidTr="00C46407">
        <w:tc>
          <w:tcPr>
            <w:tcW w:w="2425" w:type="dxa"/>
          </w:tcPr>
          <w:p w14:paraId="2824CD54"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26E5CFA8" w14:textId="77777777" w:rsidR="0053763D" w:rsidRPr="00F10C37" w:rsidRDefault="0053763D" w:rsidP="00C46407">
            <w:pPr>
              <w:jc w:val="both"/>
              <w:rPr>
                <w:rFonts w:cs="Times New Roman"/>
                <w:szCs w:val="24"/>
              </w:rPr>
            </w:pPr>
            <w:r w:rsidRPr="00F10C37">
              <w:rPr>
                <w:rFonts w:cs="Times New Roman"/>
                <w:szCs w:val="24"/>
              </w:rPr>
              <w:t xml:space="preserve">Refer to </w:t>
            </w:r>
            <w:r>
              <w:rPr>
                <w:rFonts w:cs="Times New Roman"/>
                <w:szCs w:val="24"/>
              </w:rPr>
              <w:t>c</w:t>
            </w:r>
            <w:r w:rsidRPr="00F10C37">
              <w:rPr>
                <w:rFonts w:cs="Times New Roman"/>
                <w:szCs w:val="24"/>
              </w:rPr>
              <w:t xml:space="preserve">andesartan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24ADF6C" w14:textId="77777777" w:rsidTr="00C46407">
        <w:tc>
          <w:tcPr>
            <w:tcW w:w="2425" w:type="dxa"/>
          </w:tcPr>
          <w:p w14:paraId="3F2E13D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65BB6CD4"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below</w:t>
            </w:r>
            <w:r w:rsidRPr="00F10C37">
              <w:rPr>
                <w:rFonts w:cs="Times New Roman"/>
                <w:szCs w:val="24"/>
              </w:rPr>
              <w:t xml:space="preserve"> 30°C.</w:t>
            </w:r>
          </w:p>
        </w:tc>
      </w:tr>
      <w:tr w:rsidR="0053763D" w:rsidRPr="00F10C37" w14:paraId="1D5A4D28" w14:textId="77777777" w:rsidTr="00C46407">
        <w:trPr>
          <w:trHeight w:val="515"/>
        </w:trPr>
        <w:tc>
          <w:tcPr>
            <w:tcW w:w="9355" w:type="dxa"/>
            <w:gridSpan w:val="2"/>
          </w:tcPr>
          <w:p w14:paraId="6D6A2D57" w14:textId="77777777" w:rsidR="0053763D" w:rsidRPr="00F10C37" w:rsidRDefault="0053763D" w:rsidP="00C46407">
            <w:pPr>
              <w:jc w:val="both"/>
              <w:rPr>
                <w:rFonts w:cs="Times New Roman"/>
                <w:szCs w:val="24"/>
              </w:rPr>
            </w:pPr>
            <w:r w:rsidRPr="00F10C37">
              <w:rPr>
                <w:rFonts w:cs="Times New Roman"/>
                <w:b/>
                <w:szCs w:val="24"/>
              </w:rPr>
              <w:t>Captopril</w:t>
            </w:r>
          </w:p>
        </w:tc>
      </w:tr>
      <w:tr w:rsidR="0053763D" w:rsidRPr="00F10C37" w14:paraId="4E262AD3" w14:textId="77777777" w:rsidTr="00C46407">
        <w:trPr>
          <w:trHeight w:val="515"/>
        </w:trPr>
        <w:tc>
          <w:tcPr>
            <w:tcW w:w="2425" w:type="dxa"/>
          </w:tcPr>
          <w:p w14:paraId="2C4EB66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62B829BD" w14:textId="77777777" w:rsidR="0053763D" w:rsidRPr="00F10C37" w:rsidRDefault="0053763D" w:rsidP="00C46407">
            <w:pPr>
              <w:jc w:val="both"/>
              <w:rPr>
                <w:rFonts w:cs="Times New Roman"/>
                <w:szCs w:val="24"/>
              </w:rPr>
            </w:pPr>
            <w:r w:rsidRPr="00F10C37">
              <w:rPr>
                <w:rFonts w:cs="Times New Roman"/>
                <w:szCs w:val="24"/>
              </w:rPr>
              <w:t xml:space="preserve">ACE inhibitor </w:t>
            </w:r>
          </w:p>
        </w:tc>
      </w:tr>
      <w:tr w:rsidR="0053763D" w:rsidRPr="00F10C37" w14:paraId="61D977A2" w14:textId="77777777" w:rsidTr="00C46407">
        <w:trPr>
          <w:trHeight w:val="377"/>
        </w:trPr>
        <w:tc>
          <w:tcPr>
            <w:tcW w:w="2425" w:type="dxa"/>
          </w:tcPr>
          <w:p w14:paraId="2945C176"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741B996A" w14:textId="77777777" w:rsidR="0053763D" w:rsidRPr="00F10C37" w:rsidRDefault="0053763D" w:rsidP="00C46407">
            <w:pPr>
              <w:jc w:val="both"/>
              <w:rPr>
                <w:rFonts w:cs="Times New Roman"/>
                <w:szCs w:val="24"/>
              </w:rPr>
            </w:pPr>
            <w:r w:rsidRPr="00F10C37">
              <w:rPr>
                <w:rFonts w:cs="Times New Roman"/>
                <w:szCs w:val="24"/>
              </w:rPr>
              <w:t>Tablet: 12.5 mg</w:t>
            </w:r>
          </w:p>
        </w:tc>
      </w:tr>
      <w:tr w:rsidR="0053763D" w:rsidRPr="00F10C37" w14:paraId="313545E2" w14:textId="77777777" w:rsidTr="00C46407">
        <w:trPr>
          <w:trHeight w:val="524"/>
        </w:trPr>
        <w:tc>
          <w:tcPr>
            <w:tcW w:w="2425" w:type="dxa"/>
          </w:tcPr>
          <w:p w14:paraId="6ECF7311" w14:textId="77777777" w:rsidR="0053763D" w:rsidRPr="00CC339B" w:rsidRDefault="0053763D" w:rsidP="00C46407">
            <w:pPr>
              <w:jc w:val="both"/>
              <w:rPr>
                <w:rFonts w:cs="Times New Roman"/>
                <w:szCs w:val="24"/>
              </w:rPr>
            </w:pPr>
            <w:r w:rsidRPr="00CC339B">
              <w:rPr>
                <w:rFonts w:cs="Times New Roman"/>
                <w:szCs w:val="24"/>
              </w:rPr>
              <w:t>Indications</w:t>
            </w:r>
          </w:p>
        </w:tc>
        <w:tc>
          <w:tcPr>
            <w:tcW w:w="6930" w:type="dxa"/>
          </w:tcPr>
          <w:p w14:paraId="277E3EA0"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ypertension</w:t>
            </w:r>
            <w:r>
              <w:rPr>
                <w:rFonts w:cs="Times New Roman"/>
                <w:szCs w:val="24"/>
              </w:rPr>
              <w:t>,</w:t>
            </w:r>
            <w:r w:rsidRPr="00F10C37">
              <w:rPr>
                <w:rFonts w:cs="Times New Roman"/>
                <w:szCs w:val="24"/>
              </w:rPr>
              <w:t xml:space="preserve"> congestive heart failure, left ventricular dysfunction after </w:t>
            </w:r>
            <w:r>
              <w:rPr>
                <w:rFonts w:cs="Times New Roman"/>
                <w:szCs w:val="24"/>
              </w:rPr>
              <w:t>MI</w:t>
            </w:r>
            <w:r w:rsidRPr="00F10C37">
              <w:rPr>
                <w:rFonts w:cs="Times New Roman"/>
                <w:szCs w:val="24"/>
              </w:rPr>
              <w:t>, diabetic nephropathy</w:t>
            </w:r>
            <w:r>
              <w:rPr>
                <w:rFonts w:cs="Times New Roman"/>
                <w:szCs w:val="24"/>
              </w:rPr>
              <w:t>.</w:t>
            </w:r>
          </w:p>
        </w:tc>
      </w:tr>
      <w:tr w:rsidR="0053763D" w:rsidRPr="00F10C37" w14:paraId="21D17880" w14:textId="77777777" w:rsidTr="00C46407">
        <w:trPr>
          <w:trHeight w:val="1160"/>
        </w:trPr>
        <w:tc>
          <w:tcPr>
            <w:tcW w:w="2425" w:type="dxa"/>
          </w:tcPr>
          <w:p w14:paraId="63C6CD0F"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5CB5B01C"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Hypertension</w:t>
            </w:r>
          </w:p>
          <w:p w14:paraId="4131FF1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Initially 12.5–25 mg twice daily, then increased if necessary up to 150 mg daily in 2 divided doses, doses to be increased at intervals of at least 2 weeks, once-daily dosing may be appropriate if other concomitant antihypertensive drugs taken</w:t>
            </w:r>
          </w:p>
          <w:p w14:paraId="3613AB76"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Elderly</w:t>
            </w:r>
            <w:r w:rsidRPr="00F10C37">
              <w:rPr>
                <w:rFonts w:eastAsiaTheme="minorHAnsi" w:cs="Times New Roman"/>
                <w:color w:val="231F20"/>
                <w:kern w:val="0"/>
                <w:szCs w:val="24"/>
                <w:lang w:val="en-US" w:eastAsia="en-US"/>
              </w:rPr>
              <w:t>: Initially 6.25 mg twice daily, then increased if necessary up to 150 mg daily in 2 divided doses, doses to be increased at intervals of at least 2 weeks, once daily dosing may be appropriate if other concomitant antihypertensive drugs taken</w:t>
            </w:r>
          </w:p>
          <w:p w14:paraId="2BA597C0" w14:textId="77777777" w:rsidR="0053763D" w:rsidRDefault="0053763D" w:rsidP="00C46407">
            <w:pPr>
              <w:autoSpaceDE w:val="0"/>
              <w:autoSpaceDN w:val="0"/>
              <w:adjustRightInd w:val="0"/>
              <w:jc w:val="both"/>
              <w:rPr>
                <w:rFonts w:cs="Times New Roman"/>
                <w:szCs w:val="24"/>
              </w:rPr>
            </w:pPr>
            <w:r w:rsidRPr="00F10C37">
              <w:rPr>
                <w:rFonts w:cs="Times New Roman"/>
                <w:b/>
                <w:szCs w:val="24"/>
              </w:rPr>
              <w:t xml:space="preserve">Infants: </w:t>
            </w:r>
            <w:r w:rsidRPr="00F10C37">
              <w:rPr>
                <w:rFonts w:cs="Times New Roman"/>
                <w:szCs w:val="24"/>
              </w:rPr>
              <w:t>Initial</w:t>
            </w:r>
            <w:r>
              <w:rPr>
                <w:rFonts w:cs="Times New Roman"/>
                <w:szCs w:val="24"/>
              </w:rPr>
              <w:t xml:space="preserve">, </w:t>
            </w:r>
            <w:r w:rsidRPr="00F10C37">
              <w:rPr>
                <w:rFonts w:cs="Times New Roman"/>
                <w:szCs w:val="24"/>
              </w:rPr>
              <w:t>0.15-0.3 mg/kg/dose; titrate dose upward to maximum of 6 mg/kg/day in 1-4 divided doses</w:t>
            </w:r>
          </w:p>
          <w:p w14:paraId="0ABB57FA" w14:textId="77777777" w:rsidR="0053763D" w:rsidRDefault="0053763D" w:rsidP="00C46407">
            <w:pPr>
              <w:autoSpaceDE w:val="0"/>
              <w:autoSpaceDN w:val="0"/>
              <w:adjustRightInd w:val="0"/>
              <w:jc w:val="both"/>
              <w:rPr>
                <w:rFonts w:cs="Times New Roman"/>
                <w:szCs w:val="24"/>
              </w:rPr>
            </w:pPr>
            <w:r w:rsidRPr="00F10C37">
              <w:rPr>
                <w:rFonts w:cs="Times New Roman"/>
                <w:b/>
                <w:szCs w:val="24"/>
              </w:rPr>
              <w:t>Child</w:t>
            </w:r>
            <w:r w:rsidRPr="00F10C37">
              <w:rPr>
                <w:rFonts w:cs="Times New Roman"/>
                <w:i/>
                <w:szCs w:val="24"/>
              </w:rPr>
              <w:t xml:space="preserve">: </w:t>
            </w:r>
            <w:r w:rsidRPr="00F10C37">
              <w:rPr>
                <w:rFonts w:cs="Times New Roman"/>
                <w:szCs w:val="24"/>
              </w:rPr>
              <w:t>Initial</w:t>
            </w:r>
            <w:r>
              <w:rPr>
                <w:rFonts w:cs="Times New Roman"/>
                <w:szCs w:val="24"/>
              </w:rPr>
              <w:t>,</w:t>
            </w:r>
            <w:r w:rsidRPr="00F10C37">
              <w:rPr>
                <w:rFonts w:cs="Times New Roman"/>
                <w:szCs w:val="24"/>
              </w:rPr>
              <w:t xml:space="preserve"> 0.3-0.5 mg/kg/dose; titrate upward to maximum of 6 mg/kg/day in 2-4 divided doses</w:t>
            </w:r>
          </w:p>
          <w:p w14:paraId="502AC046"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b/>
                <w:szCs w:val="24"/>
              </w:rPr>
              <w:t>Older Child</w:t>
            </w:r>
            <w:r w:rsidRPr="00F10C37">
              <w:rPr>
                <w:rFonts w:cs="Times New Roman"/>
                <w:i/>
                <w:szCs w:val="24"/>
              </w:rPr>
              <w:t xml:space="preserve">: </w:t>
            </w:r>
            <w:r w:rsidRPr="00F10C37">
              <w:rPr>
                <w:rFonts w:cs="Times New Roman"/>
                <w:szCs w:val="24"/>
              </w:rPr>
              <w:t>Initial</w:t>
            </w:r>
            <w:r>
              <w:rPr>
                <w:rFonts w:cs="Times New Roman"/>
                <w:szCs w:val="24"/>
              </w:rPr>
              <w:t>,</w:t>
            </w:r>
            <w:r w:rsidRPr="00F10C37">
              <w:rPr>
                <w:rFonts w:cs="Times New Roman"/>
                <w:szCs w:val="24"/>
              </w:rPr>
              <w:t xml:space="preserve"> 6.25-12.5 mg/dose every 12-24 hours; titrate upward to maximum of 6 mg/kg/day.</w:t>
            </w:r>
          </w:p>
          <w:p w14:paraId="131F2EF3"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Essential hypertension if used in volume depletion, cardiac decompensation, or renovascular hypertension</w:t>
            </w:r>
            <w:r>
              <w:rPr>
                <w:rFonts w:eastAsiaTheme="minorHAnsi" w:cs="Times New Roman"/>
                <w:b/>
                <w:color w:val="231F20"/>
                <w:kern w:val="0"/>
                <w:szCs w:val="24"/>
                <w:lang w:val="en-US" w:eastAsia="en-US"/>
              </w:rPr>
              <w:t>:</w:t>
            </w:r>
          </w:p>
          <w:p w14:paraId="2E58DADF"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6.25–12.5 mg for 1 dose (under close medical supervision), then 6.25–12.5 mg twice daily; increased if necessary up to 100 mg daily in 1–2 divided doses, doses to be increased at intervals of at least 2 weeks, once-daily dosing may be appropriate if other concomitant antihypertensive drugs taken</w:t>
            </w:r>
            <w:r>
              <w:rPr>
                <w:rFonts w:eastAsiaTheme="minorHAnsi" w:cs="Times New Roman"/>
                <w:color w:val="231F20"/>
                <w:kern w:val="0"/>
                <w:szCs w:val="24"/>
                <w:lang w:val="en-US" w:eastAsia="en-US"/>
              </w:rPr>
              <w:t>.</w:t>
            </w:r>
          </w:p>
        </w:tc>
      </w:tr>
      <w:tr w:rsidR="0053763D" w:rsidRPr="00F10C37" w14:paraId="1A5BC265" w14:textId="77777777" w:rsidTr="00C46407">
        <w:trPr>
          <w:trHeight w:val="395"/>
        </w:trPr>
        <w:tc>
          <w:tcPr>
            <w:tcW w:w="2425" w:type="dxa"/>
          </w:tcPr>
          <w:p w14:paraId="7C089805"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tcPr>
          <w:p w14:paraId="70BCE9A1" w14:textId="77777777" w:rsidR="0053763D" w:rsidRPr="00F10C37" w:rsidRDefault="0053763D" w:rsidP="00C46407">
            <w:pPr>
              <w:jc w:val="both"/>
              <w:rPr>
                <w:rFonts w:cs="Times New Roman"/>
                <w:szCs w:val="24"/>
              </w:rPr>
            </w:pPr>
            <w:r w:rsidRPr="00F10C37">
              <w:rPr>
                <w:rFonts w:cs="Times New Roman"/>
                <w:szCs w:val="24"/>
              </w:rPr>
              <w:t xml:space="preserve">Refer captopril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6760107" w14:textId="77777777" w:rsidTr="00C46407">
        <w:trPr>
          <w:trHeight w:val="404"/>
        </w:trPr>
        <w:tc>
          <w:tcPr>
            <w:tcW w:w="2425" w:type="dxa"/>
          </w:tcPr>
          <w:p w14:paraId="4D3D6EBD"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48CE1E87" w14:textId="77777777" w:rsidR="0053763D" w:rsidRPr="00F10C37" w:rsidRDefault="0053763D" w:rsidP="00C46407">
            <w:pPr>
              <w:jc w:val="both"/>
              <w:rPr>
                <w:rFonts w:cs="Times New Roman"/>
                <w:szCs w:val="24"/>
              </w:rPr>
            </w:pPr>
            <w:r w:rsidRPr="00F10C37">
              <w:rPr>
                <w:rFonts w:cs="Times New Roman"/>
                <w:szCs w:val="24"/>
              </w:rPr>
              <w:t xml:space="preserve">Refer captopril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13362A4" w14:textId="77777777" w:rsidTr="00C46407">
        <w:trPr>
          <w:trHeight w:val="314"/>
        </w:trPr>
        <w:tc>
          <w:tcPr>
            <w:tcW w:w="2425" w:type="dxa"/>
          </w:tcPr>
          <w:p w14:paraId="1812372C"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0DDB4D5B" w14:textId="77777777" w:rsidR="0053763D" w:rsidRPr="003D3E3A" w:rsidRDefault="0053763D" w:rsidP="00C46407">
            <w:pPr>
              <w:jc w:val="both"/>
              <w:rPr>
                <w:rFonts w:cs="Times New Roman"/>
                <w:szCs w:val="24"/>
              </w:rPr>
            </w:pPr>
            <w:r w:rsidRPr="00F10C37">
              <w:rPr>
                <w:rFonts w:cs="Times New Roman"/>
                <w:szCs w:val="24"/>
              </w:rPr>
              <w:t xml:space="preserve">Refer captopril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53FB4FC" w14:textId="77777777" w:rsidTr="00C46407">
        <w:trPr>
          <w:trHeight w:val="413"/>
        </w:trPr>
        <w:tc>
          <w:tcPr>
            <w:tcW w:w="2425" w:type="dxa"/>
          </w:tcPr>
          <w:p w14:paraId="1B5C0B77"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930" w:type="dxa"/>
          </w:tcPr>
          <w:p w14:paraId="35309E8F" w14:textId="77777777" w:rsidR="0053763D" w:rsidRPr="003D3E3A" w:rsidRDefault="0053763D" w:rsidP="00C46407">
            <w:pPr>
              <w:jc w:val="both"/>
              <w:rPr>
                <w:rFonts w:cs="Times New Roman"/>
                <w:szCs w:val="24"/>
              </w:rPr>
            </w:pPr>
            <w:r w:rsidRPr="00F10C37">
              <w:rPr>
                <w:rFonts w:cs="Times New Roman"/>
                <w:szCs w:val="24"/>
              </w:rPr>
              <w:t xml:space="preserve">Refer captopril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24D8403" w14:textId="77777777" w:rsidTr="00C46407">
        <w:trPr>
          <w:trHeight w:val="413"/>
        </w:trPr>
        <w:tc>
          <w:tcPr>
            <w:tcW w:w="2425" w:type="dxa"/>
          </w:tcPr>
          <w:p w14:paraId="180EE3A4"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0E3FD7FB"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below</w:t>
            </w:r>
            <w:r w:rsidRPr="00F10C37">
              <w:rPr>
                <w:rFonts w:cs="Times New Roman"/>
                <w:szCs w:val="24"/>
              </w:rPr>
              <w:t xml:space="preserve"> 30ºC.</w:t>
            </w:r>
            <w:r>
              <w:rPr>
                <w:rFonts w:cs="Times New Roman"/>
                <w:szCs w:val="24"/>
              </w:rPr>
              <w:t xml:space="preserve"> </w:t>
            </w:r>
            <w:r w:rsidRPr="00F10C37">
              <w:rPr>
                <w:rFonts w:cs="Times New Roman"/>
                <w:szCs w:val="24"/>
              </w:rPr>
              <w:t>Protect from moisture.</w:t>
            </w:r>
          </w:p>
        </w:tc>
      </w:tr>
      <w:tr w:rsidR="0053763D" w:rsidRPr="00F10C37" w14:paraId="2C954808" w14:textId="77777777" w:rsidTr="00C46407">
        <w:trPr>
          <w:trHeight w:val="512"/>
        </w:trPr>
        <w:tc>
          <w:tcPr>
            <w:tcW w:w="9355" w:type="dxa"/>
            <w:gridSpan w:val="2"/>
          </w:tcPr>
          <w:p w14:paraId="32CE3A09" w14:textId="77777777" w:rsidR="0053763D" w:rsidRPr="00F10C37" w:rsidRDefault="0053763D" w:rsidP="00C46407">
            <w:pPr>
              <w:jc w:val="both"/>
              <w:rPr>
                <w:rFonts w:cs="Times New Roman"/>
                <w:b/>
                <w:szCs w:val="24"/>
              </w:rPr>
            </w:pPr>
            <w:r w:rsidRPr="00F10C37">
              <w:rPr>
                <w:rFonts w:cs="Times New Roman"/>
                <w:b/>
                <w:szCs w:val="24"/>
              </w:rPr>
              <w:t>Carvedilol</w:t>
            </w:r>
          </w:p>
        </w:tc>
      </w:tr>
      <w:tr w:rsidR="0053763D" w:rsidRPr="00F10C37" w14:paraId="19C9AD0F" w14:textId="77777777" w:rsidTr="00C46407">
        <w:trPr>
          <w:trHeight w:val="512"/>
        </w:trPr>
        <w:tc>
          <w:tcPr>
            <w:tcW w:w="2425" w:type="dxa"/>
          </w:tcPr>
          <w:p w14:paraId="75F92FCC"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73AB9D97"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Alpha- and beta-adrenoceptor blocker</w:t>
            </w:r>
          </w:p>
        </w:tc>
      </w:tr>
      <w:tr w:rsidR="0053763D" w:rsidRPr="00F10C37" w14:paraId="348937E5" w14:textId="77777777" w:rsidTr="00C46407">
        <w:trPr>
          <w:trHeight w:val="341"/>
        </w:trPr>
        <w:tc>
          <w:tcPr>
            <w:tcW w:w="2425" w:type="dxa"/>
          </w:tcPr>
          <w:p w14:paraId="6900CE05"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5EEC9126" w14:textId="77777777" w:rsidR="0053763D" w:rsidRPr="00F10C37" w:rsidRDefault="0053763D" w:rsidP="00C46407">
            <w:pPr>
              <w:jc w:val="both"/>
              <w:rPr>
                <w:rFonts w:cs="Times New Roman"/>
                <w:szCs w:val="24"/>
                <w:lang w:val="nb-NO"/>
              </w:rPr>
            </w:pPr>
            <w:r w:rsidRPr="00F10C37">
              <w:rPr>
                <w:rFonts w:cs="Times New Roman"/>
                <w:szCs w:val="24"/>
                <w:lang w:val="nb-NO"/>
              </w:rPr>
              <w:t>Tablet: 3.125mg, 6.25mg, 12.5 mg, 25 mg</w:t>
            </w:r>
          </w:p>
        </w:tc>
      </w:tr>
      <w:tr w:rsidR="0053763D" w:rsidRPr="00F10C37" w14:paraId="5C201CCB" w14:textId="77777777" w:rsidTr="00C46407">
        <w:trPr>
          <w:trHeight w:val="521"/>
        </w:trPr>
        <w:tc>
          <w:tcPr>
            <w:tcW w:w="2425" w:type="dxa"/>
          </w:tcPr>
          <w:p w14:paraId="0F3224E9" w14:textId="77777777" w:rsidR="0053763D" w:rsidRPr="004562AE" w:rsidRDefault="0053763D" w:rsidP="00C46407">
            <w:pPr>
              <w:jc w:val="both"/>
              <w:rPr>
                <w:rFonts w:cs="Times New Roman"/>
                <w:szCs w:val="24"/>
              </w:rPr>
            </w:pPr>
            <w:r w:rsidRPr="004562AE">
              <w:rPr>
                <w:rFonts w:cs="Times New Roman"/>
                <w:szCs w:val="24"/>
              </w:rPr>
              <w:t>Indications</w:t>
            </w:r>
          </w:p>
        </w:tc>
        <w:tc>
          <w:tcPr>
            <w:tcW w:w="6930" w:type="dxa"/>
          </w:tcPr>
          <w:p w14:paraId="11BEB485" w14:textId="77777777" w:rsidR="0053763D" w:rsidRPr="00F10C37" w:rsidRDefault="0053763D" w:rsidP="00C46407">
            <w:pPr>
              <w:jc w:val="both"/>
              <w:rPr>
                <w:rFonts w:cs="Times New Roman"/>
                <w:szCs w:val="24"/>
              </w:rPr>
            </w:pPr>
            <w:r w:rsidRPr="00F10C37">
              <w:rPr>
                <w:rFonts w:cs="Times New Roman"/>
                <w:szCs w:val="24"/>
              </w:rPr>
              <w:t>Hypertension, angina</w:t>
            </w:r>
            <w:r>
              <w:rPr>
                <w:rFonts w:cs="Times New Roman"/>
                <w:szCs w:val="24"/>
              </w:rPr>
              <w:t>,</w:t>
            </w:r>
            <w:r w:rsidRPr="00F10C37">
              <w:rPr>
                <w:rFonts w:cs="Times New Roman"/>
                <w:szCs w:val="24"/>
              </w:rPr>
              <w:t xml:space="preserve"> symptomatic chronic heart failure</w:t>
            </w:r>
            <w:r>
              <w:rPr>
                <w:rFonts w:cs="Times New Roman"/>
                <w:szCs w:val="24"/>
              </w:rPr>
              <w:t xml:space="preserve"> (</w:t>
            </w:r>
            <w:r w:rsidRPr="00F10C37">
              <w:rPr>
                <w:rFonts w:cs="Times New Roman"/>
                <w:szCs w:val="24"/>
              </w:rPr>
              <w:t>adjunct to diuretics, digoxin, or ACE inhibitors</w:t>
            </w:r>
            <w:r>
              <w:rPr>
                <w:rFonts w:cs="Times New Roman"/>
                <w:szCs w:val="24"/>
              </w:rPr>
              <w:t>).</w:t>
            </w:r>
            <w:r w:rsidRPr="00F10C37">
              <w:rPr>
                <w:rFonts w:cs="Times New Roman"/>
                <w:szCs w:val="24"/>
              </w:rPr>
              <w:t xml:space="preserve"> </w:t>
            </w:r>
          </w:p>
        </w:tc>
      </w:tr>
      <w:tr w:rsidR="0053763D" w:rsidRPr="00F10C37" w14:paraId="78DEA236" w14:textId="77777777" w:rsidTr="00C46407">
        <w:trPr>
          <w:trHeight w:val="521"/>
        </w:trPr>
        <w:tc>
          <w:tcPr>
            <w:tcW w:w="2425" w:type="dxa"/>
          </w:tcPr>
          <w:p w14:paraId="56FD86B7"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5725F4B1" w14:textId="77777777" w:rsidR="0053763D" w:rsidRDefault="0053763D" w:rsidP="00C46407">
            <w:pPr>
              <w:jc w:val="both"/>
              <w:rPr>
                <w:rFonts w:cs="Times New Roman"/>
                <w:szCs w:val="24"/>
              </w:rPr>
            </w:pPr>
            <w:r w:rsidRPr="00F10C37">
              <w:rPr>
                <w:rFonts w:cs="Times New Roman"/>
                <w:b/>
                <w:szCs w:val="24"/>
              </w:rPr>
              <w:t>Hypertension</w:t>
            </w:r>
            <w:r>
              <w:rPr>
                <w:rFonts w:cs="Times New Roman"/>
                <w:szCs w:val="24"/>
              </w:rPr>
              <w:t>, o</w:t>
            </w:r>
            <w:r w:rsidRPr="00F10C37">
              <w:rPr>
                <w:rFonts w:cs="Times New Roman"/>
                <w:szCs w:val="24"/>
              </w:rPr>
              <w:t xml:space="preserve">ral: </w:t>
            </w:r>
          </w:p>
          <w:p w14:paraId="66291ED0" w14:textId="77777777" w:rsidR="0053763D"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12.5 mg once daily; increased after 2 days to 25 mg once daily; may be increased at intervals of at least 2 weeks up to a maximum of 50mg/day in single or divided doses. </w:t>
            </w:r>
          </w:p>
          <w:p w14:paraId="528FFCB6" w14:textId="77777777" w:rsidR="0053763D" w:rsidRPr="00F10C37" w:rsidRDefault="0053763D" w:rsidP="00C46407">
            <w:pPr>
              <w:jc w:val="both"/>
              <w:rPr>
                <w:rFonts w:cs="Times New Roman"/>
                <w:szCs w:val="24"/>
              </w:rPr>
            </w:pPr>
            <w:r w:rsidRPr="003D3E3A">
              <w:rPr>
                <w:rFonts w:cs="Times New Roman"/>
                <w:b/>
                <w:szCs w:val="24"/>
              </w:rPr>
              <w:t>Elderly:</w:t>
            </w:r>
            <w:r w:rsidRPr="00F10C37">
              <w:rPr>
                <w:rFonts w:cs="Times New Roman"/>
                <w:szCs w:val="24"/>
              </w:rPr>
              <w:t xml:space="preserve"> 12.5mg once daily, titrated at intervals of at least 2 weeks up to 25mg/day.</w:t>
            </w:r>
          </w:p>
        </w:tc>
      </w:tr>
      <w:tr w:rsidR="0053763D" w:rsidRPr="00F10C37" w14:paraId="330C4507" w14:textId="77777777" w:rsidTr="00C46407">
        <w:tc>
          <w:tcPr>
            <w:tcW w:w="2425" w:type="dxa"/>
          </w:tcPr>
          <w:p w14:paraId="1001F87E"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36A6AB74"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7084F17" w14:textId="77777777" w:rsidTr="00C46407">
        <w:tc>
          <w:tcPr>
            <w:tcW w:w="2425" w:type="dxa"/>
          </w:tcPr>
          <w:p w14:paraId="78C0E6B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1B6118FC"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BA0AD3F" w14:textId="77777777" w:rsidTr="00C46407">
        <w:tc>
          <w:tcPr>
            <w:tcW w:w="2425" w:type="dxa"/>
          </w:tcPr>
          <w:p w14:paraId="14CF1381"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672BEFF0"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BE570AC" w14:textId="77777777" w:rsidTr="00C46407">
        <w:tc>
          <w:tcPr>
            <w:tcW w:w="2425" w:type="dxa"/>
          </w:tcPr>
          <w:p w14:paraId="7E23024E"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201C61EC"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5269CFAB" w14:textId="77777777" w:rsidTr="00C46407">
        <w:tc>
          <w:tcPr>
            <w:tcW w:w="2425" w:type="dxa"/>
          </w:tcPr>
          <w:p w14:paraId="2C2083C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766D1920" w14:textId="77777777" w:rsidR="0053763D" w:rsidRPr="00F10C37" w:rsidRDefault="0053763D" w:rsidP="00C46407">
            <w:pPr>
              <w:jc w:val="both"/>
              <w:rPr>
                <w:rFonts w:cs="Times New Roman"/>
                <w:szCs w:val="24"/>
              </w:rPr>
            </w:pPr>
            <w:r w:rsidRPr="00F10C37">
              <w:rPr>
                <w:rFonts w:cs="Times New Roman"/>
                <w:szCs w:val="24"/>
              </w:rPr>
              <w:t xml:space="preserve">Store at between 15º and 30ºC. Protect from </w:t>
            </w:r>
            <w:r>
              <w:rPr>
                <w:rFonts w:cs="Times New Roman"/>
                <w:szCs w:val="24"/>
              </w:rPr>
              <w:t>moisture.</w:t>
            </w:r>
          </w:p>
        </w:tc>
      </w:tr>
      <w:tr w:rsidR="0053763D" w:rsidRPr="00F10C37" w14:paraId="73279E1B" w14:textId="77777777" w:rsidTr="00C46407">
        <w:trPr>
          <w:trHeight w:val="512"/>
        </w:trPr>
        <w:tc>
          <w:tcPr>
            <w:tcW w:w="9355" w:type="dxa"/>
            <w:gridSpan w:val="2"/>
          </w:tcPr>
          <w:p w14:paraId="4050B474" w14:textId="77777777" w:rsidR="0053763D" w:rsidRPr="00F10C37" w:rsidRDefault="0053763D" w:rsidP="00C46407">
            <w:pPr>
              <w:jc w:val="both"/>
              <w:rPr>
                <w:rFonts w:cs="Times New Roman"/>
                <w:b/>
                <w:szCs w:val="24"/>
              </w:rPr>
            </w:pPr>
            <w:r w:rsidRPr="00F10C37">
              <w:rPr>
                <w:rFonts w:cs="Times New Roman"/>
                <w:b/>
                <w:szCs w:val="24"/>
              </w:rPr>
              <w:t>Enalapril Maleate</w:t>
            </w:r>
          </w:p>
        </w:tc>
      </w:tr>
      <w:tr w:rsidR="0053763D" w:rsidRPr="00F10C37" w14:paraId="585F7E4E" w14:textId="77777777" w:rsidTr="00C46407">
        <w:trPr>
          <w:trHeight w:val="512"/>
        </w:trPr>
        <w:tc>
          <w:tcPr>
            <w:tcW w:w="2425" w:type="dxa"/>
          </w:tcPr>
          <w:p w14:paraId="51E9551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7F7220C1"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ACE inhibitor</w:t>
            </w:r>
          </w:p>
        </w:tc>
      </w:tr>
      <w:tr w:rsidR="0053763D" w:rsidRPr="00F10C37" w14:paraId="2AED21E7" w14:textId="77777777" w:rsidTr="00C46407">
        <w:trPr>
          <w:trHeight w:val="341"/>
        </w:trPr>
        <w:tc>
          <w:tcPr>
            <w:tcW w:w="2425" w:type="dxa"/>
          </w:tcPr>
          <w:p w14:paraId="627D4948"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7B712BEA" w14:textId="77777777" w:rsidR="0053763D" w:rsidRDefault="0053763D" w:rsidP="00C46407">
            <w:pPr>
              <w:jc w:val="both"/>
              <w:rPr>
                <w:rFonts w:cs="Times New Roman"/>
                <w:szCs w:val="24"/>
              </w:rPr>
            </w:pPr>
            <w:r w:rsidRPr="00F10C37">
              <w:rPr>
                <w:rFonts w:cs="Times New Roman"/>
                <w:szCs w:val="24"/>
              </w:rPr>
              <w:t>Tablet: 2.5 mg, 5 mg, 10 mg</w:t>
            </w:r>
          </w:p>
          <w:p w14:paraId="3FAEAB44" w14:textId="77777777" w:rsidR="0053763D" w:rsidRPr="00F10C37" w:rsidRDefault="0053763D" w:rsidP="00C46407">
            <w:pPr>
              <w:jc w:val="both"/>
              <w:rPr>
                <w:rFonts w:cs="Times New Roman"/>
                <w:szCs w:val="24"/>
              </w:rPr>
            </w:pPr>
            <w:r w:rsidRPr="00F10C37">
              <w:rPr>
                <w:rFonts w:cs="Times New Roman"/>
                <w:szCs w:val="24"/>
                <w:lang w:val="nb-NO"/>
              </w:rPr>
              <w:t>Oral liquid: 1 mg/</w:t>
            </w:r>
            <w:r>
              <w:rPr>
                <w:rFonts w:cs="Times New Roman"/>
                <w:szCs w:val="24"/>
                <w:lang w:val="nb-NO"/>
              </w:rPr>
              <w:t>ml</w:t>
            </w:r>
            <w:r w:rsidRPr="00F10C37">
              <w:rPr>
                <w:rFonts w:cs="Times New Roman"/>
                <w:szCs w:val="24"/>
                <w:lang w:val="nb-NO"/>
              </w:rPr>
              <w:t xml:space="preserve"> (as hydrogen maleate)</w:t>
            </w:r>
          </w:p>
        </w:tc>
      </w:tr>
      <w:tr w:rsidR="0053763D" w:rsidRPr="00F10C37" w14:paraId="666CAEA1" w14:textId="77777777" w:rsidTr="00C46407">
        <w:trPr>
          <w:trHeight w:val="521"/>
        </w:trPr>
        <w:tc>
          <w:tcPr>
            <w:tcW w:w="2425" w:type="dxa"/>
          </w:tcPr>
          <w:p w14:paraId="663A585B" w14:textId="77777777" w:rsidR="0053763D" w:rsidRPr="004016A2" w:rsidRDefault="0053763D" w:rsidP="00C46407">
            <w:pPr>
              <w:jc w:val="both"/>
              <w:rPr>
                <w:rFonts w:cs="Times New Roman"/>
                <w:szCs w:val="24"/>
              </w:rPr>
            </w:pPr>
            <w:r w:rsidRPr="004016A2">
              <w:rPr>
                <w:rFonts w:cs="Times New Roman"/>
                <w:szCs w:val="24"/>
              </w:rPr>
              <w:t>Indications</w:t>
            </w:r>
          </w:p>
        </w:tc>
        <w:tc>
          <w:tcPr>
            <w:tcW w:w="6930" w:type="dxa"/>
          </w:tcPr>
          <w:p w14:paraId="675C9929"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ypertension</w:t>
            </w:r>
            <w:r>
              <w:rPr>
                <w:rFonts w:cs="Times New Roman"/>
                <w:szCs w:val="24"/>
              </w:rPr>
              <w:t>,</w:t>
            </w:r>
            <w:r w:rsidRPr="00F10C37" w:rsidDel="001A6CE1">
              <w:rPr>
                <w:rFonts w:cs="Times New Roman"/>
                <w:szCs w:val="24"/>
              </w:rPr>
              <w:t xml:space="preserve"> </w:t>
            </w:r>
            <w:r>
              <w:rPr>
                <w:rFonts w:cs="Times New Roman"/>
                <w:szCs w:val="24"/>
              </w:rPr>
              <w:t>c</w:t>
            </w:r>
            <w:r w:rsidRPr="00F10C37">
              <w:rPr>
                <w:rFonts w:cs="Times New Roman"/>
                <w:szCs w:val="24"/>
              </w:rPr>
              <w:t>ongestive heart failure,</w:t>
            </w:r>
            <w:r>
              <w:rPr>
                <w:rFonts w:cs="Times New Roman"/>
                <w:szCs w:val="24"/>
              </w:rPr>
              <w:t xml:space="preserve"> </w:t>
            </w:r>
            <w:r w:rsidRPr="00F10C37">
              <w:rPr>
                <w:rFonts w:cs="Times New Roman"/>
                <w:szCs w:val="24"/>
              </w:rPr>
              <w:t xml:space="preserve">left ventricular dysfunction after </w:t>
            </w:r>
            <w:r>
              <w:rPr>
                <w:rFonts w:cs="Times New Roman"/>
                <w:szCs w:val="24"/>
              </w:rPr>
              <w:t>MI</w:t>
            </w:r>
            <w:r w:rsidRPr="00F10C37">
              <w:rPr>
                <w:rFonts w:cs="Times New Roman"/>
                <w:szCs w:val="24"/>
              </w:rPr>
              <w:t>, diabetic nephropathy</w:t>
            </w:r>
            <w:r>
              <w:rPr>
                <w:rFonts w:cs="Times New Roman"/>
                <w:szCs w:val="24"/>
              </w:rPr>
              <w:t>.</w:t>
            </w:r>
          </w:p>
        </w:tc>
      </w:tr>
      <w:tr w:rsidR="0053763D" w:rsidRPr="00F10C37" w14:paraId="3C90190E" w14:textId="77777777" w:rsidTr="00C46407">
        <w:trPr>
          <w:trHeight w:val="521"/>
        </w:trPr>
        <w:tc>
          <w:tcPr>
            <w:tcW w:w="2425" w:type="dxa"/>
          </w:tcPr>
          <w:p w14:paraId="7274568A"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7428D63A" w14:textId="77777777" w:rsidR="0053763D" w:rsidRDefault="0053763D" w:rsidP="00C46407">
            <w:pPr>
              <w:autoSpaceDE w:val="0"/>
              <w:autoSpaceDN w:val="0"/>
              <w:adjustRightInd w:val="0"/>
              <w:jc w:val="both"/>
              <w:rPr>
                <w:rFonts w:cs="Times New Roman"/>
                <w:b/>
                <w:szCs w:val="24"/>
              </w:rPr>
            </w:pPr>
            <w:r w:rsidRPr="00F10C37">
              <w:rPr>
                <w:rFonts w:cs="Times New Roman"/>
                <w:b/>
                <w:szCs w:val="24"/>
              </w:rPr>
              <w:t xml:space="preserve">Hypertension: </w:t>
            </w:r>
          </w:p>
          <w:p w14:paraId="5DAF7710" w14:textId="77777777" w:rsidR="0053763D" w:rsidRPr="00F10C37" w:rsidRDefault="0053763D" w:rsidP="00C46407">
            <w:pPr>
              <w:autoSpaceDE w:val="0"/>
              <w:autoSpaceDN w:val="0"/>
              <w:adjustRightInd w:val="0"/>
              <w:jc w:val="both"/>
              <w:rPr>
                <w:rFonts w:cs="Times New Roman"/>
                <w:szCs w:val="24"/>
              </w:rPr>
            </w:pPr>
            <w:r w:rsidRPr="00F10C37">
              <w:rPr>
                <w:rFonts w:cs="Times New Roman"/>
                <w:b/>
                <w:szCs w:val="24"/>
              </w:rPr>
              <w:t>Adult:</w:t>
            </w:r>
            <w:r w:rsidRPr="00F10C37">
              <w:rPr>
                <w:rFonts w:cs="Times New Roman"/>
                <w:szCs w:val="24"/>
              </w:rPr>
              <w:t xml:space="preserve"> Initially 5 mg oral once daily, lower initial doses maybe </w:t>
            </w:r>
            <w:r w:rsidRPr="00F10C37">
              <w:rPr>
                <w:rFonts w:cs="Times New Roman"/>
                <w:szCs w:val="24"/>
              </w:rPr>
              <w:lastRenderedPageBreak/>
              <w:t>required when used in addition to diuretic or in renal impairment; maintenance 20 mg once daily; maximum 40 mg per day.</w:t>
            </w:r>
          </w:p>
          <w:p w14:paraId="2F7794BA" w14:textId="77777777" w:rsidR="0053763D" w:rsidRDefault="0053763D" w:rsidP="00C46407">
            <w:pPr>
              <w:autoSpaceDE w:val="0"/>
              <w:autoSpaceDN w:val="0"/>
              <w:adjustRightInd w:val="0"/>
              <w:jc w:val="both"/>
              <w:rPr>
                <w:rFonts w:eastAsia="Candara-Italic" w:cs="Times New Roman"/>
                <w:b/>
                <w:iCs/>
                <w:kern w:val="0"/>
                <w:szCs w:val="24"/>
                <w:lang w:val="en-US" w:eastAsia="en-US"/>
              </w:rPr>
            </w:pPr>
            <w:r w:rsidRPr="00F10C37">
              <w:rPr>
                <w:rFonts w:eastAsiaTheme="minorHAnsi" w:cs="Times New Roman"/>
                <w:b/>
                <w:bCs/>
                <w:kern w:val="0"/>
                <w:szCs w:val="24"/>
                <w:lang w:val="en-US" w:eastAsia="en-US"/>
              </w:rPr>
              <w:t>Pediatric</w:t>
            </w:r>
            <w:r w:rsidRPr="00F10C37">
              <w:rPr>
                <w:rFonts w:eastAsia="Candara-Italic" w:cs="Times New Roman"/>
                <w:b/>
                <w:iCs/>
                <w:kern w:val="0"/>
                <w:szCs w:val="24"/>
                <w:lang w:val="en-US" w:eastAsia="en-US"/>
              </w:rPr>
              <w:t xml:space="preserve">, oral: </w:t>
            </w:r>
          </w:p>
          <w:p w14:paraId="19917D56"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Initially 10 m</w:t>
            </w:r>
            <w:r>
              <w:rPr>
                <w:rFonts w:eastAsiaTheme="minorHAnsi" w:cs="Times New Roman"/>
                <w:kern w:val="0"/>
                <w:szCs w:val="24"/>
                <w:lang w:val="en-US" w:eastAsia="en-US"/>
              </w:rPr>
              <w:t>cg</w:t>
            </w:r>
            <w:r w:rsidRPr="00F10C37">
              <w:rPr>
                <w:rFonts w:eastAsiaTheme="minorHAnsi" w:cs="Times New Roman"/>
                <w:kern w:val="0"/>
                <w:szCs w:val="24"/>
                <w:lang w:val="en-US" w:eastAsia="en-US"/>
              </w:rPr>
              <w:t>/kg once daily, increased as necessary up to 500 m</w:t>
            </w:r>
            <w:r>
              <w:rPr>
                <w:rFonts w:eastAsiaTheme="minorHAnsi" w:cs="Times New Roman"/>
                <w:kern w:val="0"/>
                <w:szCs w:val="24"/>
                <w:lang w:val="en-US" w:eastAsia="en-US"/>
              </w:rPr>
              <w:t>cg</w:t>
            </w:r>
            <w:r w:rsidRPr="00F10C37">
              <w:rPr>
                <w:rFonts w:eastAsiaTheme="minorHAnsi" w:cs="Times New Roman"/>
                <w:kern w:val="0"/>
                <w:szCs w:val="24"/>
                <w:lang w:val="en-US" w:eastAsia="en-US"/>
              </w:rPr>
              <w:t>/kg daily in 1–3 divided doses; monitor blood pressure and urine output carefully for at least 2 hours following first dose and during dose escalation until blood pressure is stable.</w:t>
            </w:r>
          </w:p>
          <w:p w14:paraId="7D8216F1"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 month–11 years (under expert supervision): </w:t>
            </w:r>
            <w:r w:rsidRPr="00F10C37">
              <w:rPr>
                <w:rFonts w:eastAsiaTheme="minorHAnsi" w:cs="Times New Roman"/>
                <w:kern w:val="0"/>
                <w:szCs w:val="24"/>
                <w:lang w:val="en-US" w:eastAsia="en-US"/>
              </w:rPr>
              <w:t xml:space="preserve">Initially 100 </w:t>
            </w:r>
            <w:r>
              <w:rPr>
                <w:rFonts w:eastAsiaTheme="minorHAnsi" w:cs="Times New Roman"/>
                <w:kern w:val="0"/>
                <w:szCs w:val="24"/>
                <w:lang w:val="en-US" w:eastAsia="en-US"/>
              </w:rPr>
              <w:t>mcg</w:t>
            </w:r>
            <w:r w:rsidRPr="00F10C37">
              <w:rPr>
                <w:rFonts w:eastAsiaTheme="minorHAnsi" w:cs="Times New Roman"/>
                <w:kern w:val="0"/>
                <w:szCs w:val="24"/>
                <w:lang w:val="en-US" w:eastAsia="en-US"/>
              </w:rPr>
              <w:t>/kg once daily, monitor blood pressure carefully for 1–2 hours, then increase if necessary up to 1 mg/kg daily in 1–2 divided doses</w:t>
            </w:r>
            <w:r>
              <w:rPr>
                <w:rFonts w:eastAsiaTheme="minorHAnsi" w:cs="Times New Roman"/>
                <w:kern w:val="0"/>
                <w:szCs w:val="24"/>
                <w:lang w:val="en-US" w:eastAsia="en-US"/>
              </w:rPr>
              <w:t>.</w:t>
            </w:r>
          </w:p>
          <w:p w14:paraId="02B71F6E"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12–17 years (under expert supervision) (body weight up to 50 kg): </w:t>
            </w:r>
            <w:r w:rsidRPr="00F10C37">
              <w:rPr>
                <w:rFonts w:eastAsiaTheme="minorHAnsi" w:cs="Times New Roman"/>
                <w:kern w:val="0"/>
                <w:szCs w:val="24"/>
                <w:lang w:val="en-US" w:eastAsia="en-US"/>
              </w:rPr>
              <w:t>Initially 2.5 mg once daily, monitor blood pressure carefully for 1–2 hours, maintenance 10–20 mg daily in 1–2 divided doses</w:t>
            </w:r>
            <w:r>
              <w:rPr>
                <w:rFonts w:eastAsiaTheme="minorHAnsi" w:cs="Times New Roman"/>
                <w:kern w:val="0"/>
                <w:szCs w:val="24"/>
                <w:lang w:val="en-US" w:eastAsia="en-US"/>
              </w:rPr>
              <w:t>.</w:t>
            </w:r>
          </w:p>
          <w:p w14:paraId="463D6673"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12–17 years (under expert supervision) (body weight 50 kg and above): </w:t>
            </w:r>
            <w:r w:rsidRPr="00F10C37">
              <w:rPr>
                <w:rFonts w:eastAsiaTheme="minorHAnsi" w:cs="Times New Roman"/>
                <w:kern w:val="0"/>
                <w:szCs w:val="24"/>
                <w:lang w:val="en-US" w:eastAsia="en-US"/>
              </w:rPr>
              <w:t>Initially 2.5 mg once daily, monitor blood pressure carefully for 1–2 hours, maintenance 10–20 mg daily in 1–2 divided doses, maximum 40 mg.</w:t>
            </w:r>
          </w:p>
        </w:tc>
      </w:tr>
      <w:tr w:rsidR="0053763D" w:rsidRPr="00F10C37" w14:paraId="51742D9B" w14:textId="77777777" w:rsidTr="00C46407">
        <w:tc>
          <w:tcPr>
            <w:tcW w:w="2425" w:type="dxa"/>
          </w:tcPr>
          <w:p w14:paraId="7F1DFF4E"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tcPr>
          <w:p w14:paraId="3CD84FA4"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enalapril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76D9974" w14:textId="77777777" w:rsidTr="00C46407">
        <w:tc>
          <w:tcPr>
            <w:tcW w:w="2425" w:type="dxa"/>
          </w:tcPr>
          <w:p w14:paraId="710663C7"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1D2ECCA5"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enalapril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7A88E15" w14:textId="77777777" w:rsidTr="00C46407">
        <w:tc>
          <w:tcPr>
            <w:tcW w:w="2425" w:type="dxa"/>
          </w:tcPr>
          <w:p w14:paraId="32A4C3DE"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75FAF57C"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enalapril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DA8D887" w14:textId="77777777" w:rsidTr="00C46407">
        <w:tc>
          <w:tcPr>
            <w:tcW w:w="2425" w:type="dxa"/>
          </w:tcPr>
          <w:p w14:paraId="585F952B"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65EA6EC8"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 xml:space="preserve">Refer to enalapril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D946979" w14:textId="77777777" w:rsidTr="00C46407">
        <w:trPr>
          <w:trHeight w:val="368"/>
        </w:trPr>
        <w:tc>
          <w:tcPr>
            <w:tcW w:w="2425" w:type="dxa"/>
          </w:tcPr>
          <w:p w14:paraId="0187A62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4BFD4031"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15°C - 30°C</w:t>
            </w:r>
            <w:r>
              <w:rPr>
                <w:rFonts w:cs="Times New Roman"/>
                <w:szCs w:val="24"/>
              </w:rPr>
              <w:t xml:space="preserve">. Protect </w:t>
            </w:r>
            <w:r w:rsidRPr="00F10C37">
              <w:rPr>
                <w:rFonts w:cs="Times New Roman"/>
                <w:szCs w:val="24"/>
              </w:rPr>
              <w:t>from heat and light.</w:t>
            </w:r>
          </w:p>
        </w:tc>
      </w:tr>
      <w:tr w:rsidR="0053763D" w:rsidRPr="00F10C37" w14:paraId="626090C5" w14:textId="77777777" w:rsidTr="00C46407">
        <w:trPr>
          <w:trHeight w:val="512"/>
        </w:trPr>
        <w:tc>
          <w:tcPr>
            <w:tcW w:w="9355" w:type="dxa"/>
            <w:gridSpan w:val="2"/>
          </w:tcPr>
          <w:p w14:paraId="519F2BCF" w14:textId="77777777" w:rsidR="0053763D" w:rsidRPr="00F10C37" w:rsidRDefault="0053763D" w:rsidP="00C46407">
            <w:pPr>
              <w:jc w:val="both"/>
              <w:rPr>
                <w:rFonts w:cs="Times New Roman"/>
                <w:b/>
                <w:szCs w:val="24"/>
              </w:rPr>
            </w:pPr>
            <w:r w:rsidRPr="005F5401">
              <w:rPr>
                <w:rFonts w:cs="Times New Roman"/>
                <w:b/>
                <w:color w:val="000000"/>
                <w:szCs w:val="24"/>
              </w:rPr>
              <w:t>Hydralazine</w:t>
            </w:r>
            <w:r w:rsidRPr="00F10C37">
              <w:rPr>
                <w:rFonts w:cs="Times New Roman"/>
                <w:b/>
                <w:color w:val="000000"/>
                <w:szCs w:val="24"/>
              </w:rPr>
              <w:t xml:space="preserve"> hydrochloride </w:t>
            </w:r>
          </w:p>
        </w:tc>
      </w:tr>
      <w:tr w:rsidR="0053763D" w:rsidRPr="00F10C37" w14:paraId="374BD47D" w14:textId="77777777" w:rsidTr="00C46407">
        <w:trPr>
          <w:trHeight w:val="512"/>
        </w:trPr>
        <w:tc>
          <w:tcPr>
            <w:tcW w:w="2425" w:type="dxa"/>
          </w:tcPr>
          <w:p w14:paraId="2D9EB6FA"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3CDE4D64"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Vasodil</w:t>
            </w:r>
            <w:r>
              <w:rPr>
                <w:rFonts w:cs="Times New Roman"/>
                <w:szCs w:val="24"/>
              </w:rPr>
              <w:t>l</w:t>
            </w:r>
            <w:r w:rsidRPr="00F10C37">
              <w:rPr>
                <w:rFonts w:cs="Times New Roman"/>
                <w:szCs w:val="24"/>
              </w:rPr>
              <w:t xml:space="preserve">ator </w:t>
            </w:r>
          </w:p>
        </w:tc>
      </w:tr>
      <w:tr w:rsidR="0053763D" w:rsidRPr="00F10C37" w14:paraId="531D1DD6" w14:textId="77777777" w:rsidTr="00C46407">
        <w:trPr>
          <w:trHeight w:val="341"/>
        </w:trPr>
        <w:tc>
          <w:tcPr>
            <w:tcW w:w="2425" w:type="dxa"/>
          </w:tcPr>
          <w:p w14:paraId="73238D1C"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35E952E0" w14:textId="77777777" w:rsidR="0053763D" w:rsidRPr="00F10C37" w:rsidRDefault="0053763D" w:rsidP="00C46407">
            <w:pPr>
              <w:jc w:val="both"/>
              <w:rPr>
                <w:rFonts w:cs="Times New Roman"/>
                <w:szCs w:val="24"/>
                <w:lang w:val="en-US"/>
              </w:rPr>
            </w:pPr>
            <w:r w:rsidRPr="00F10C37">
              <w:rPr>
                <w:rFonts w:cs="Times New Roman"/>
                <w:color w:val="000000"/>
                <w:szCs w:val="24"/>
              </w:rPr>
              <w:t>Injection: 20mg/</w:t>
            </w:r>
            <w:r>
              <w:rPr>
                <w:rFonts w:cs="Times New Roman"/>
                <w:color w:val="000000"/>
                <w:szCs w:val="24"/>
              </w:rPr>
              <w:t>ml</w:t>
            </w:r>
            <w:r w:rsidRPr="00F10C37">
              <w:rPr>
                <w:rFonts w:cs="Times New Roman"/>
                <w:color w:val="000000"/>
                <w:szCs w:val="24"/>
              </w:rPr>
              <w:t xml:space="preserve"> in 1</w:t>
            </w:r>
            <w:r>
              <w:rPr>
                <w:rFonts w:cs="Times New Roman"/>
                <w:color w:val="000000"/>
                <w:szCs w:val="24"/>
              </w:rPr>
              <w:t>ml</w:t>
            </w:r>
            <w:r w:rsidRPr="00F10C37">
              <w:rPr>
                <w:rFonts w:cs="Times New Roman"/>
                <w:color w:val="000000"/>
                <w:szCs w:val="24"/>
              </w:rPr>
              <w:t xml:space="preserve"> ampoule</w:t>
            </w:r>
          </w:p>
        </w:tc>
      </w:tr>
      <w:tr w:rsidR="0053763D" w:rsidRPr="00F10C37" w14:paraId="32A57E6A" w14:textId="77777777" w:rsidTr="00C46407">
        <w:trPr>
          <w:trHeight w:val="521"/>
        </w:trPr>
        <w:tc>
          <w:tcPr>
            <w:tcW w:w="2425" w:type="dxa"/>
          </w:tcPr>
          <w:p w14:paraId="1F0E7901" w14:textId="77777777" w:rsidR="0053763D" w:rsidRPr="00776FA4" w:rsidRDefault="0053763D" w:rsidP="00C46407">
            <w:pPr>
              <w:jc w:val="both"/>
              <w:rPr>
                <w:rFonts w:cs="Times New Roman"/>
                <w:szCs w:val="24"/>
              </w:rPr>
            </w:pPr>
            <w:r w:rsidRPr="00776FA4">
              <w:rPr>
                <w:rFonts w:cs="Times New Roman"/>
                <w:szCs w:val="24"/>
              </w:rPr>
              <w:t>Indications</w:t>
            </w:r>
          </w:p>
        </w:tc>
        <w:tc>
          <w:tcPr>
            <w:tcW w:w="6930" w:type="dxa"/>
          </w:tcPr>
          <w:p w14:paraId="0944E22D" w14:textId="77777777" w:rsidR="0053763D" w:rsidRPr="00F10C37" w:rsidRDefault="0053763D" w:rsidP="00C46407">
            <w:pPr>
              <w:jc w:val="both"/>
              <w:rPr>
                <w:rFonts w:cs="Times New Roman"/>
                <w:szCs w:val="24"/>
              </w:rPr>
            </w:pPr>
            <w:r w:rsidRPr="00F10C37">
              <w:rPr>
                <w:rFonts w:cs="Times New Roman"/>
                <w:szCs w:val="24"/>
              </w:rPr>
              <w:t>Hypertensive emergency, moderate to severe hypertension (adjunct), heart failure (with long acting nitrate)</w:t>
            </w:r>
            <w:r>
              <w:rPr>
                <w:rFonts w:cs="Times New Roman"/>
                <w:szCs w:val="24"/>
              </w:rPr>
              <w:t>.</w:t>
            </w:r>
            <w:r w:rsidRPr="00F10C37">
              <w:rPr>
                <w:rFonts w:cs="Times New Roman"/>
                <w:szCs w:val="24"/>
              </w:rPr>
              <w:t xml:space="preserve"> </w:t>
            </w:r>
          </w:p>
        </w:tc>
      </w:tr>
      <w:tr w:rsidR="0053763D" w:rsidRPr="00F10C37" w14:paraId="16880E51" w14:textId="77777777" w:rsidTr="00C46407">
        <w:trPr>
          <w:trHeight w:val="521"/>
        </w:trPr>
        <w:tc>
          <w:tcPr>
            <w:tcW w:w="2425" w:type="dxa"/>
          </w:tcPr>
          <w:p w14:paraId="11EF667A"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283B121D" w14:textId="77777777" w:rsidR="0053763D" w:rsidRDefault="0053763D" w:rsidP="00C46407">
            <w:pPr>
              <w:jc w:val="both"/>
              <w:rPr>
                <w:rFonts w:cs="Times New Roman"/>
                <w:szCs w:val="24"/>
              </w:rPr>
            </w:pPr>
            <w:r w:rsidRPr="00F10C37">
              <w:rPr>
                <w:rFonts w:cs="Times New Roman"/>
                <w:b/>
                <w:szCs w:val="24"/>
              </w:rPr>
              <w:t>Moderate to severe hypertension (adjunct)</w:t>
            </w:r>
            <w:r>
              <w:rPr>
                <w:rFonts w:cs="Times New Roman"/>
                <w:b/>
                <w:szCs w:val="24"/>
              </w:rPr>
              <w:t>, oral</w:t>
            </w:r>
            <w:r w:rsidRPr="00F10C37">
              <w:rPr>
                <w:rFonts w:cs="Times New Roman"/>
                <w:b/>
                <w:szCs w:val="24"/>
              </w:rPr>
              <w:t>:</w:t>
            </w:r>
            <w:r w:rsidRPr="00F10C37">
              <w:rPr>
                <w:rFonts w:cs="Times New Roman"/>
                <w:szCs w:val="24"/>
              </w:rPr>
              <w:t xml:space="preserve"> </w:t>
            </w:r>
          </w:p>
          <w:p w14:paraId="7D32BA6C"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25 mg twice daily, increased if necessary up to 50 mg twice daily.</w:t>
            </w:r>
          </w:p>
          <w:p w14:paraId="1E26C3E9" w14:textId="77777777" w:rsidR="0053763D" w:rsidRDefault="0053763D" w:rsidP="00C46407">
            <w:pPr>
              <w:jc w:val="both"/>
              <w:rPr>
                <w:rFonts w:cs="Times New Roman"/>
                <w:szCs w:val="24"/>
              </w:rPr>
            </w:pPr>
            <w:r w:rsidRPr="00F10C37">
              <w:rPr>
                <w:rFonts w:cs="Times New Roman"/>
                <w:b/>
                <w:szCs w:val="24"/>
              </w:rPr>
              <w:lastRenderedPageBreak/>
              <w:t>Hypertensive emergencies (including during pregnancy)</w:t>
            </w:r>
            <w:r>
              <w:rPr>
                <w:rFonts w:cs="Times New Roman"/>
                <w:b/>
                <w:szCs w:val="24"/>
              </w:rPr>
              <w:t>, h</w:t>
            </w:r>
            <w:r w:rsidRPr="00F10C37">
              <w:rPr>
                <w:rFonts w:cs="Times New Roman"/>
                <w:b/>
                <w:szCs w:val="24"/>
              </w:rPr>
              <w:t>ypertension with renal complications:</w:t>
            </w:r>
            <w:r w:rsidRPr="00F10C37">
              <w:rPr>
                <w:rFonts w:cs="Times New Roman"/>
                <w:szCs w:val="24"/>
              </w:rPr>
              <w:t xml:space="preserve"> </w:t>
            </w:r>
          </w:p>
          <w:p w14:paraId="50369317" w14:textId="77777777" w:rsidR="0053763D" w:rsidRDefault="0053763D" w:rsidP="00C46407">
            <w:pPr>
              <w:jc w:val="both"/>
              <w:rPr>
                <w:rFonts w:cs="Times New Roman"/>
                <w:b/>
                <w:szCs w:val="24"/>
              </w:rPr>
            </w:pPr>
            <w:r>
              <w:rPr>
                <w:rFonts w:cs="Times New Roman"/>
                <w:b/>
                <w:szCs w:val="24"/>
              </w:rPr>
              <w:t>Adult:</w:t>
            </w:r>
          </w:p>
          <w:p w14:paraId="58B5C434" w14:textId="77777777" w:rsidR="0053763D" w:rsidRDefault="0053763D" w:rsidP="00C46407">
            <w:pPr>
              <w:jc w:val="both"/>
              <w:rPr>
                <w:rFonts w:cs="Times New Roman"/>
                <w:szCs w:val="24"/>
              </w:rPr>
            </w:pPr>
            <w:r>
              <w:rPr>
                <w:rFonts w:cs="Times New Roman"/>
                <w:b/>
                <w:szCs w:val="24"/>
              </w:rPr>
              <w:t>IV infusion</w:t>
            </w:r>
            <w:r w:rsidRPr="003D3E3A">
              <w:rPr>
                <w:rFonts w:cs="Times New Roman"/>
                <w:b/>
                <w:szCs w:val="24"/>
              </w:rPr>
              <w:t>:</w:t>
            </w:r>
            <w:r w:rsidRPr="00F10C37">
              <w:rPr>
                <w:rFonts w:cs="Times New Roman"/>
                <w:szCs w:val="24"/>
              </w:rPr>
              <w:t xml:space="preserve"> Initially 200–300 m</w:t>
            </w:r>
            <w:r>
              <w:rPr>
                <w:rFonts w:cs="Times New Roman"/>
                <w:szCs w:val="24"/>
              </w:rPr>
              <w:t>cg</w:t>
            </w:r>
            <w:r w:rsidRPr="00F10C37">
              <w:rPr>
                <w:rFonts w:cs="Times New Roman"/>
                <w:szCs w:val="24"/>
              </w:rPr>
              <w:t>/minute; usual maintenance 50–150 m</w:t>
            </w:r>
            <w:r>
              <w:rPr>
                <w:rFonts w:cs="Times New Roman"/>
                <w:szCs w:val="24"/>
              </w:rPr>
              <w:t>cg</w:t>
            </w:r>
            <w:r w:rsidRPr="00F10C37">
              <w:rPr>
                <w:rFonts w:cs="Times New Roman"/>
                <w:szCs w:val="24"/>
              </w:rPr>
              <w:t>/minute</w:t>
            </w:r>
            <w:r>
              <w:rPr>
                <w:rFonts w:cs="Times New Roman"/>
                <w:szCs w:val="24"/>
              </w:rPr>
              <w:t>.</w:t>
            </w:r>
          </w:p>
          <w:p w14:paraId="5034D97A" w14:textId="77777777" w:rsidR="0053763D" w:rsidRPr="003D3E3A" w:rsidRDefault="0053763D" w:rsidP="00C46407">
            <w:pPr>
              <w:jc w:val="both"/>
              <w:rPr>
                <w:rFonts w:eastAsiaTheme="minorHAnsi" w:cs="Times New Roman"/>
                <w:kern w:val="0"/>
                <w:szCs w:val="24"/>
                <w:lang w:val="en-US" w:eastAsia="en-US"/>
              </w:rPr>
            </w:pPr>
            <w:r w:rsidRPr="003D3E3A">
              <w:rPr>
                <w:rFonts w:cs="Times New Roman"/>
                <w:b/>
                <w:szCs w:val="24"/>
              </w:rPr>
              <w:t>Slow IV injection</w:t>
            </w:r>
            <w:r w:rsidRPr="00F10C37">
              <w:rPr>
                <w:rFonts w:cs="Times New Roman"/>
                <w:szCs w:val="24"/>
              </w:rPr>
              <w:t xml:space="preserve">: 5–10 mg, to be diluted with 10 </w:t>
            </w:r>
            <w:r>
              <w:rPr>
                <w:rFonts w:cs="Times New Roman"/>
                <w:szCs w:val="24"/>
              </w:rPr>
              <w:t>ml</w:t>
            </w:r>
            <w:r w:rsidRPr="00F10C37">
              <w:rPr>
                <w:rFonts w:cs="Times New Roman"/>
                <w:szCs w:val="24"/>
              </w:rPr>
              <w:t xml:space="preserve"> sodium chloride 0.9%; dose may be repeated after 20–30 minutes.</w:t>
            </w:r>
          </w:p>
        </w:tc>
      </w:tr>
      <w:tr w:rsidR="0053763D" w:rsidRPr="00F10C37" w14:paraId="1DD4E635" w14:textId="77777777" w:rsidTr="00C46407">
        <w:tc>
          <w:tcPr>
            <w:tcW w:w="2425" w:type="dxa"/>
          </w:tcPr>
          <w:p w14:paraId="7C99E99A"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tcPr>
          <w:p w14:paraId="37A3B148" w14:textId="77777777" w:rsidR="0053763D" w:rsidRPr="00F10C37" w:rsidRDefault="0053763D" w:rsidP="00C46407">
            <w:pPr>
              <w:jc w:val="both"/>
              <w:rPr>
                <w:rFonts w:cs="Times New Roman"/>
                <w:szCs w:val="24"/>
              </w:rPr>
            </w:pPr>
            <w:r w:rsidRPr="00F10C37">
              <w:rPr>
                <w:rFonts w:cs="Times New Roman"/>
                <w:szCs w:val="24"/>
              </w:rPr>
              <w:t xml:space="preserve">Idiopathic </w:t>
            </w:r>
            <w:r>
              <w:rPr>
                <w:rFonts w:cs="Times New Roman"/>
                <w:szCs w:val="24"/>
              </w:rPr>
              <w:t>systemic lupus erytherematous</w:t>
            </w:r>
            <w:r w:rsidRPr="00F10C37">
              <w:rPr>
                <w:rFonts w:cs="Times New Roman"/>
                <w:szCs w:val="24"/>
              </w:rPr>
              <w:t>, severe tachycardia, high output heart failure, myocardial insufficiency due to mechanical obstruction, cor pulmonale, dissecting aortic aneurysm, porphyria</w:t>
            </w:r>
            <w:r>
              <w:rPr>
                <w:rFonts w:cs="Times New Roman"/>
                <w:szCs w:val="24"/>
              </w:rPr>
              <w:t>.</w:t>
            </w:r>
          </w:p>
        </w:tc>
      </w:tr>
      <w:tr w:rsidR="0053763D" w:rsidRPr="00F10C37" w14:paraId="02DD0B63" w14:textId="77777777" w:rsidTr="00C46407">
        <w:tc>
          <w:tcPr>
            <w:tcW w:w="2425" w:type="dxa"/>
          </w:tcPr>
          <w:p w14:paraId="0B904AE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99777D5" w14:textId="77777777" w:rsidR="0053763D" w:rsidRPr="00F10C37" w:rsidRDefault="0053763D" w:rsidP="00C46407">
            <w:pPr>
              <w:contextualSpacing/>
              <w:jc w:val="both"/>
              <w:rPr>
                <w:rFonts w:cs="Times New Roman"/>
                <w:szCs w:val="24"/>
              </w:rPr>
            </w:pPr>
            <w:r w:rsidRPr="00F10C37">
              <w:rPr>
                <w:rFonts w:cs="Times New Roman"/>
                <w:szCs w:val="24"/>
              </w:rPr>
              <w:t>Acetazolamide, alcohol, amiloride, a</w:t>
            </w:r>
            <w:r>
              <w:rPr>
                <w:rFonts w:cs="Times New Roman"/>
                <w:szCs w:val="24"/>
              </w:rPr>
              <w:t>ml</w:t>
            </w:r>
            <w:r w:rsidRPr="00F10C37">
              <w:rPr>
                <w:rFonts w:cs="Times New Roman"/>
                <w:szCs w:val="24"/>
              </w:rPr>
              <w:t>odipine, atenolol, chlorpromazine, oestrogens, dexamethasone, diazepam, enalapril, fluphenazine, furosemide, glyceryl trinitrate, halothane, hydrochlorothiazide, ibuprofen, isosorbide dinitrate, ketamine, levodopa, methyldopa, nifedipine, nitrous oxide, prednisolone, propranolol, sodium nitroprusside, spironolactone, thiopental, timolol, verapamil.</w:t>
            </w:r>
          </w:p>
        </w:tc>
      </w:tr>
      <w:tr w:rsidR="0053763D" w:rsidRPr="00F10C37" w14:paraId="463CC1FC" w14:textId="77777777" w:rsidTr="00C46407">
        <w:tc>
          <w:tcPr>
            <w:tcW w:w="2425" w:type="dxa"/>
          </w:tcPr>
          <w:p w14:paraId="750A82BE"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2F46B28E"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Angina pectoris, diarrhea, dizziness, flushing, </w:t>
            </w:r>
            <w:r>
              <w:rPr>
                <w:rFonts w:eastAsiaTheme="minorHAnsi" w:cs="Times New Roman"/>
                <w:color w:val="231F20"/>
                <w:kern w:val="0"/>
                <w:szCs w:val="24"/>
                <w:lang w:val="en-US" w:eastAsia="en-US"/>
              </w:rPr>
              <w:t>GI</w:t>
            </w:r>
            <w:r w:rsidRPr="00F10C37">
              <w:rPr>
                <w:rFonts w:eastAsiaTheme="minorHAnsi" w:cs="Times New Roman"/>
                <w:color w:val="231F20"/>
                <w:kern w:val="0"/>
                <w:szCs w:val="24"/>
                <w:lang w:val="en-US" w:eastAsia="en-US"/>
              </w:rPr>
              <w:t xml:space="preserve"> disorders, headache, hypotension, joint disorders, lupus-like syndrome, myalgia, nasal congestion, nausea, palpitations, tachycardia, vomiting, </w:t>
            </w:r>
            <w:r w:rsidRPr="00F10C37">
              <w:rPr>
                <w:rFonts w:cs="Times New Roman"/>
                <w:szCs w:val="24"/>
              </w:rPr>
              <w:t>fluid retention, dizziness, flushing.</w:t>
            </w:r>
          </w:p>
        </w:tc>
      </w:tr>
      <w:tr w:rsidR="0053763D" w:rsidRPr="00F10C37" w14:paraId="5B91E32E" w14:textId="77777777" w:rsidTr="00C46407">
        <w:tc>
          <w:tcPr>
            <w:tcW w:w="2425" w:type="dxa"/>
          </w:tcPr>
          <w:p w14:paraId="23EAB691"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7E6AA03B"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color w:val="231F20"/>
                <w:kern w:val="0"/>
                <w:szCs w:val="24"/>
                <w:lang w:val="en-US" w:eastAsia="en-US"/>
              </w:rPr>
              <w:t xml:space="preserve">Cerebrovascular disease, </w:t>
            </w:r>
            <w:r w:rsidRPr="00F10C37">
              <w:rPr>
                <w:rFonts w:cs="Times New Roman"/>
                <w:szCs w:val="24"/>
              </w:rPr>
              <w:t>coronary artery disease, hepatic impairment, renal impairment, pregnancy and breastfeeding.</w:t>
            </w:r>
          </w:p>
        </w:tc>
      </w:tr>
      <w:tr w:rsidR="0053763D" w:rsidRPr="00F10C37" w14:paraId="4102B636" w14:textId="77777777" w:rsidTr="00C46407">
        <w:tc>
          <w:tcPr>
            <w:tcW w:w="2425" w:type="dxa"/>
          </w:tcPr>
          <w:p w14:paraId="06C53D59"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57CF2672" w14:textId="77777777" w:rsidR="0053763D" w:rsidRPr="00F10C37" w:rsidRDefault="0053763D" w:rsidP="00C46407">
            <w:pPr>
              <w:jc w:val="both"/>
              <w:rPr>
                <w:rFonts w:cs="Times New Roman"/>
                <w:szCs w:val="24"/>
              </w:rPr>
            </w:pPr>
            <w:r w:rsidRPr="00F10C37">
              <w:rPr>
                <w:rFonts w:cs="Times New Roman"/>
                <w:szCs w:val="24"/>
              </w:rPr>
              <w:t>Store between 15 and 30°C. Protect from heat and light.</w:t>
            </w:r>
          </w:p>
        </w:tc>
      </w:tr>
    </w:tbl>
    <w:tbl>
      <w:tblPr>
        <w:tblStyle w:val="TableGrid"/>
        <w:tblW w:w="9355" w:type="dxa"/>
        <w:tblLook w:val="04A0" w:firstRow="1" w:lastRow="0" w:firstColumn="1" w:lastColumn="0" w:noHBand="0" w:noVBand="1"/>
      </w:tblPr>
      <w:tblGrid>
        <w:gridCol w:w="2350"/>
        <w:gridCol w:w="7005"/>
      </w:tblGrid>
      <w:tr w:rsidR="0053763D" w:rsidRPr="00F10C37" w14:paraId="6158402F" w14:textId="77777777" w:rsidTr="00C46407">
        <w:tc>
          <w:tcPr>
            <w:tcW w:w="9355" w:type="dxa"/>
            <w:gridSpan w:val="2"/>
          </w:tcPr>
          <w:p w14:paraId="20150472" w14:textId="77777777" w:rsidR="0053763D" w:rsidRPr="00F10C37" w:rsidRDefault="0053763D" w:rsidP="00C46407">
            <w:pPr>
              <w:jc w:val="both"/>
              <w:rPr>
                <w:rFonts w:cs="Times New Roman"/>
                <w:b/>
                <w:szCs w:val="24"/>
              </w:rPr>
            </w:pPr>
            <w:r w:rsidRPr="00F10C37">
              <w:rPr>
                <w:rFonts w:cs="Times New Roman"/>
                <w:b/>
                <w:szCs w:val="24"/>
              </w:rPr>
              <w:t>Hydrochlorothiazide</w:t>
            </w:r>
          </w:p>
        </w:tc>
      </w:tr>
      <w:tr w:rsidR="0053763D" w:rsidRPr="00F10C37" w14:paraId="1D8254FA" w14:textId="77777777" w:rsidTr="00C46407">
        <w:tc>
          <w:tcPr>
            <w:tcW w:w="2350" w:type="dxa"/>
          </w:tcPr>
          <w:p w14:paraId="11A342D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7005" w:type="dxa"/>
          </w:tcPr>
          <w:p w14:paraId="3F46E314" w14:textId="77777777" w:rsidR="0053763D" w:rsidRPr="00F10C37" w:rsidRDefault="0053763D" w:rsidP="00C46407">
            <w:pPr>
              <w:jc w:val="both"/>
              <w:rPr>
                <w:rFonts w:cs="Times New Roman"/>
                <w:szCs w:val="24"/>
              </w:rPr>
            </w:pPr>
            <w:r w:rsidRPr="00F10C37">
              <w:rPr>
                <w:rFonts w:cs="Times New Roman"/>
                <w:szCs w:val="24"/>
              </w:rPr>
              <w:t>Thiazide diuretic</w:t>
            </w:r>
          </w:p>
        </w:tc>
      </w:tr>
      <w:tr w:rsidR="0053763D" w:rsidRPr="00F10C37" w14:paraId="6DA940B9" w14:textId="77777777" w:rsidTr="00C46407">
        <w:tc>
          <w:tcPr>
            <w:tcW w:w="2350" w:type="dxa"/>
          </w:tcPr>
          <w:p w14:paraId="2C02C513" w14:textId="77777777" w:rsidR="0053763D" w:rsidRPr="00F10C37" w:rsidRDefault="0053763D" w:rsidP="00C46407">
            <w:pPr>
              <w:jc w:val="both"/>
              <w:rPr>
                <w:rFonts w:cs="Times New Roman"/>
                <w:szCs w:val="24"/>
              </w:rPr>
            </w:pPr>
            <w:r w:rsidRPr="00F10C37">
              <w:rPr>
                <w:rFonts w:cs="Times New Roman"/>
                <w:szCs w:val="24"/>
              </w:rPr>
              <w:t>Dosage form</w:t>
            </w:r>
          </w:p>
        </w:tc>
        <w:tc>
          <w:tcPr>
            <w:tcW w:w="7005" w:type="dxa"/>
          </w:tcPr>
          <w:p w14:paraId="014F43F8" w14:textId="77777777" w:rsidR="0053763D" w:rsidRPr="00EA0059" w:rsidRDefault="0053763D" w:rsidP="00C46407">
            <w:pPr>
              <w:jc w:val="both"/>
              <w:rPr>
                <w:rFonts w:cs="Times New Roman"/>
                <w:szCs w:val="24"/>
                <w:lang w:val="nb-NO"/>
              </w:rPr>
            </w:pPr>
            <w:r w:rsidRPr="003D3E3A">
              <w:rPr>
                <w:rFonts w:cs="Times New Roman"/>
                <w:szCs w:val="24"/>
                <w:lang w:val="nb-NO"/>
              </w:rPr>
              <w:t>Oral liquid</w:t>
            </w:r>
            <w:r w:rsidRPr="00EA0059">
              <w:rPr>
                <w:rFonts w:cs="Times New Roman"/>
                <w:szCs w:val="24"/>
                <w:lang w:val="nb-NO"/>
              </w:rPr>
              <w:t>: 50 mg/5</w:t>
            </w:r>
            <w:r>
              <w:rPr>
                <w:rFonts w:cs="Times New Roman"/>
                <w:szCs w:val="24"/>
                <w:lang w:val="nb-NO"/>
              </w:rPr>
              <w:t>ml</w:t>
            </w:r>
          </w:p>
          <w:p w14:paraId="58EF414E" w14:textId="77777777" w:rsidR="0053763D" w:rsidRPr="00F10C37" w:rsidRDefault="0053763D" w:rsidP="00C46407">
            <w:pPr>
              <w:jc w:val="both"/>
              <w:rPr>
                <w:rFonts w:cs="Times New Roman"/>
                <w:b/>
                <w:szCs w:val="24"/>
                <w:lang w:val="nb-NO"/>
              </w:rPr>
            </w:pPr>
            <w:r w:rsidRPr="003D3E3A">
              <w:rPr>
                <w:rFonts w:cs="Times New Roman"/>
                <w:szCs w:val="24"/>
                <w:lang w:val="nb-NO"/>
              </w:rPr>
              <w:t>Tablet:</w:t>
            </w:r>
            <w:r w:rsidRPr="00F10C37">
              <w:rPr>
                <w:rFonts w:cs="Times New Roman"/>
                <w:szCs w:val="24"/>
                <w:lang w:val="nb-NO"/>
              </w:rPr>
              <w:t xml:space="preserve"> 25mg</w:t>
            </w:r>
          </w:p>
        </w:tc>
      </w:tr>
      <w:tr w:rsidR="0053763D" w:rsidRPr="00F10C37" w14:paraId="53E945E5" w14:textId="77777777" w:rsidTr="00C46407">
        <w:tc>
          <w:tcPr>
            <w:tcW w:w="2350" w:type="dxa"/>
          </w:tcPr>
          <w:p w14:paraId="1124FA63" w14:textId="77777777" w:rsidR="0053763D" w:rsidRPr="00EA0059" w:rsidRDefault="0053763D" w:rsidP="00C46407">
            <w:pPr>
              <w:jc w:val="both"/>
              <w:rPr>
                <w:rFonts w:cs="Times New Roman"/>
                <w:szCs w:val="24"/>
              </w:rPr>
            </w:pPr>
            <w:r w:rsidRPr="00EA0059">
              <w:rPr>
                <w:rFonts w:cs="Times New Roman"/>
                <w:szCs w:val="24"/>
              </w:rPr>
              <w:t>Indications</w:t>
            </w:r>
          </w:p>
        </w:tc>
        <w:tc>
          <w:tcPr>
            <w:tcW w:w="7005" w:type="dxa"/>
          </w:tcPr>
          <w:p w14:paraId="52A66122" w14:textId="77777777" w:rsidR="0053763D" w:rsidRPr="00F10C37" w:rsidRDefault="0053763D" w:rsidP="00C46407">
            <w:pPr>
              <w:jc w:val="both"/>
              <w:rPr>
                <w:rFonts w:cs="Times New Roman"/>
                <w:szCs w:val="24"/>
              </w:rPr>
            </w:pPr>
            <w:r w:rsidRPr="00F10C37">
              <w:rPr>
                <w:rFonts w:cs="Times New Roman"/>
                <w:szCs w:val="24"/>
              </w:rPr>
              <w:t xml:space="preserve">Hypertension, edema </w:t>
            </w:r>
            <w:r>
              <w:rPr>
                <w:rFonts w:cs="Times New Roman"/>
                <w:szCs w:val="24"/>
              </w:rPr>
              <w:t>associated to</w:t>
            </w:r>
            <w:r w:rsidRPr="00F10C37">
              <w:rPr>
                <w:rFonts w:cs="Times New Roman"/>
                <w:szCs w:val="24"/>
              </w:rPr>
              <w:t xml:space="preserve"> heart failure, nephrogenic diabetes insipidus</w:t>
            </w:r>
            <w:r>
              <w:rPr>
                <w:rFonts w:cs="Times New Roman"/>
                <w:szCs w:val="24"/>
              </w:rPr>
              <w:t>.</w:t>
            </w:r>
          </w:p>
        </w:tc>
      </w:tr>
      <w:tr w:rsidR="0053763D" w:rsidRPr="00F10C37" w14:paraId="11F4E2D6" w14:textId="77777777" w:rsidTr="00C46407">
        <w:tc>
          <w:tcPr>
            <w:tcW w:w="2350" w:type="dxa"/>
          </w:tcPr>
          <w:p w14:paraId="372B354A" w14:textId="77777777" w:rsidR="0053763D" w:rsidRPr="00F10C37" w:rsidRDefault="0053763D" w:rsidP="00C46407">
            <w:pPr>
              <w:rPr>
                <w:rFonts w:cs="Times New Roman"/>
                <w:szCs w:val="24"/>
              </w:rPr>
            </w:pPr>
            <w:r w:rsidRPr="00F10C37">
              <w:rPr>
                <w:rFonts w:eastAsia="Times New Roman" w:cs="Times New Roman"/>
                <w:szCs w:val="24"/>
              </w:rPr>
              <w:lastRenderedPageBreak/>
              <w:t>Dose and administration</w:t>
            </w:r>
          </w:p>
        </w:tc>
        <w:tc>
          <w:tcPr>
            <w:tcW w:w="7005" w:type="dxa"/>
          </w:tcPr>
          <w:p w14:paraId="0FA81C38" w14:textId="77777777" w:rsidR="0053763D" w:rsidRDefault="0053763D" w:rsidP="00C46407">
            <w:pPr>
              <w:autoSpaceDE w:val="0"/>
              <w:autoSpaceDN w:val="0"/>
              <w:adjustRightInd w:val="0"/>
              <w:jc w:val="both"/>
              <w:rPr>
                <w:rFonts w:cs="Times New Roman"/>
                <w:szCs w:val="24"/>
              </w:rPr>
            </w:pPr>
            <w:r w:rsidRPr="00F10C37">
              <w:rPr>
                <w:rFonts w:cs="Times New Roman"/>
                <w:b/>
                <w:szCs w:val="24"/>
              </w:rPr>
              <w:t>Hypertension</w:t>
            </w:r>
            <w:r>
              <w:rPr>
                <w:rFonts w:cs="Times New Roman"/>
                <w:b/>
                <w:szCs w:val="24"/>
              </w:rPr>
              <w:t xml:space="preserve">, </w:t>
            </w:r>
            <w:r>
              <w:rPr>
                <w:rFonts w:cs="Times New Roman"/>
                <w:szCs w:val="24"/>
              </w:rPr>
              <w:t>o</w:t>
            </w:r>
            <w:r w:rsidRPr="00F10C37">
              <w:rPr>
                <w:rFonts w:cs="Times New Roman"/>
                <w:szCs w:val="24"/>
              </w:rPr>
              <w:t xml:space="preserve">ral: </w:t>
            </w:r>
          </w:p>
          <w:p w14:paraId="3F4F5CFF" w14:textId="77777777" w:rsidR="0053763D" w:rsidRDefault="0053763D" w:rsidP="00C46407">
            <w:pPr>
              <w:autoSpaceDE w:val="0"/>
              <w:autoSpaceDN w:val="0"/>
              <w:adjustRightInd w:val="0"/>
              <w:jc w:val="both"/>
              <w:rPr>
                <w:rFonts w:cs="Times New Roman"/>
                <w:szCs w:val="24"/>
              </w:rPr>
            </w:pPr>
            <w:r w:rsidRPr="00F10C37">
              <w:rPr>
                <w:rFonts w:cs="Times New Roman"/>
                <w:b/>
                <w:szCs w:val="24"/>
              </w:rPr>
              <w:t xml:space="preserve">Adult: </w:t>
            </w:r>
            <w:r w:rsidRPr="00F10C37">
              <w:rPr>
                <w:rFonts w:cs="Times New Roman"/>
                <w:szCs w:val="24"/>
              </w:rPr>
              <w:t>12.5, 25 mg daily</w:t>
            </w:r>
            <w:r>
              <w:rPr>
                <w:rFonts w:cs="Times New Roman"/>
                <w:szCs w:val="24"/>
              </w:rPr>
              <w:t>.</w:t>
            </w:r>
          </w:p>
          <w:p w14:paraId="62AF7581" w14:textId="77777777" w:rsidR="0053763D" w:rsidRPr="00F10C37" w:rsidRDefault="0053763D" w:rsidP="00C46407">
            <w:pPr>
              <w:autoSpaceDE w:val="0"/>
              <w:autoSpaceDN w:val="0"/>
              <w:adjustRightInd w:val="0"/>
              <w:jc w:val="both"/>
              <w:rPr>
                <w:rFonts w:cs="Times New Roman"/>
                <w:szCs w:val="24"/>
              </w:rPr>
            </w:pPr>
            <w:r w:rsidRPr="003D3E3A">
              <w:rPr>
                <w:rFonts w:cs="Times New Roman"/>
                <w:b/>
                <w:szCs w:val="24"/>
              </w:rPr>
              <w:t>Elderly</w:t>
            </w:r>
            <w:r>
              <w:rPr>
                <w:rFonts w:cs="Times New Roman"/>
                <w:b/>
                <w:szCs w:val="24"/>
              </w:rPr>
              <w:t>:</w:t>
            </w:r>
            <w:r w:rsidRPr="00F10C37">
              <w:rPr>
                <w:rFonts w:cs="Times New Roman"/>
                <w:szCs w:val="24"/>
              </w:rPr>
              <w:t xml:space="preserve"> initially 12.5 mg daily</w:t>
            </w:r>
            <w:r w:rsidRPr="00F10C37">
              <w:rPr>
                <w:rFonts w:eastAsiaTheme="minorHAnsi" w:cs="Times New Roman"/>
                <w:kern w:val="0"/>
                <w:szCs w:val="24"/>
                <w:lang w:val="en-US" w:eastAsia="en-US"/>
              </w:rPr>
              <w:t>, increased to 25–50 mg daily if necessary</w:t>
            </w:r>
            <w:r w:rsidRPr="00F10C37">
              <w:rPr>
                <w:rFonts w:cs="Times New Roman"/>
                <w:szCs w:val="24"/>
              </w:rPr>
              <w:t>.</w:t>
            </w:r>
          </w:p>
          <w:p w14:paraId="003BD206"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Child all ages: </w:t>
            </w:r>
            <w:r w:rsidRPr="00F10C37">
              <w:rPr>
                <w:rFonts w:eastAsiaTheme="minorHAnsi" w:cs="Times New Roman"/>
                <w:kern w:val="0"/>
                <w:szCs w:val="24"/>
                <w:lang w:val="en-US" w:eastAsia="en-US"/>
              </w:rPr>
              <w:t>Initially 1 mg/kg once daily; may increase to a maximum 3 mg/kg daily (maximum 50 mg daily)</w:t>
            </w:r>
            <w:r>
              <w:rPr>
                <w:rFonts w:eastAsiaTheme="minorHAnsi" w:cs="Times New Roman"/>
                <w:kern w:val="0"/>
                <w:szCs w:val="24"/>
                <w:lang w:val="en-US" w:eastAsia="en-US"/>
              </w:rPr>
              <w:t>.</w:t>
            </w:r>
          </w:p>
        </w:tc>
      </w:tr>
      <w:tr w:rsidR="0053763D" w:rsidRPr="00F10C37" w14:paraId="6328AAF2" w14:textId="77777777" w:rsidTr="00C46407">
        <w:tc>
          <w:tcPr>
            <w:tcW w:w="2350" w:type="dxa"/>
          </w:tcPr>
          <w:p w14:paraId="7AAED720"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7005" w:type="dxa"/>
          </w:tcPr>
          <w:p w14:paraId="207FD55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D323737" w14:textId="77777777" w:rsidTr="00C46407">
        <w:tc>
          <w:tcPr>
            <w:tcW w:w="2350" w:type="dxa"/>
          </w:tcPr>
          <w:p w14:paraId="2A32EA2B"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7005" w:type="dxa"/>
          </w:tcPr>
          <w:p w14:paraId="7E4E4ECE"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07B2AAD" w14:textId="77777777" w:rsidTr="00C46407">
        <w:tc>
          <w:tcPr>
            <w:tcW w:w="2350" w:type="dxa"/>
          </w:tcPr>
          <w:p w14:paraId="2A7CEE8E" w14:textId="77777777" w:rsidR="0053763D" w:rsidRPr="00F10C37" w:rsidRDefault="0053763D" w:rsidP="00C46407">
            <w:pPr>
              <w:jc w:val="both"/>
              <w:rPr>
                <w:rFonts w:cs="Times New Roman"/>
                <w:szCs w:val="24"/>
              </w:rPr>
            </w:pPr>
            <w:r w:rsidRPr="00F10C37">
              <w:rPr>
                <w:rFonts w:cs="Times New Roman"/>
                <w:szCs w:val="24"/>
              </w:rPr>
              <w:t>Side effects</w:t>
            </w:r>
          </w:p>
        </w:tc>
        <w:tc>
          <w:tcPr>
            <w:tcW w:w="7005" w:type="dxa"/>
          </w:tcPr>
          <w:p w14:paraId="15D8928F"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85E1AB4" w14:textId="77777777" w:rsidTr="00C46407">
        <w:tc>
          <w:tcPr>
            <w:tcW w:w="2350" w:type="dxa"/>
          </w:tcPr>
          <w:p w14:paraId="00210791"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7005" w:type="dxa"/>
          </w:tcPr>
          <w:p w14:paraId="0E2BFB8D"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132DCD9" w14:textId="77777777" w:rsidTr="00C46407">
        <w:tc>
          <w:tcPr>
            <w:tcW w:w="2350" w:type="dxa"/>
          </w:tcPr>
          <w:p w14:paraId="5D33425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7005" w:type="dxa"/>
          </w:tcPr>
          <w:p w14:paraId="1285C713" w14:textId="77777777" w:rsidR="0053763D" w:rsidRPr="00F10C37" w:rsidRDefault="0053763D" w:rsidP="00C46407">
            <w:pPr>
              <w:jc w:val="both"/>
              <w:rPr>
                <w:rFonts w:cs="Times New Roman"/>
                <w:szCs w:val="24"/>
              </w:rPr>
            </w:pPr>
            <w:r>
              <w:rPr>
                <w:rFonts w:cs="Times New Roman"/>
                <w:szCs w:val="24"/>
              </w:rPr>
              <w:t xml:space="preserve">Store between </w:t>
            </w:r>
            <w:r w:rsidRPr="00F10C37">
              <w:rPr>
                <w:rFonts w:cs="Times New Roman"/>
                <w:szCs w:val="24"/>
              </w:rPr>
              <w:t>15°C to 30°C</w:t>
            </w:r>
            <w:r>
              <w:rPr>
                <w:rFonts w:cs="Times New Roman"/>
                <w:szCs w:val="24"/>
              </w:rPr>
              <w:t>. Protect</w:t>
            </w:r>
            <w:r w:rsidRPr="00F10C37">
              <w:rPr>
                <w:rFonts w:cs="Times New Roman"/>
                <w:szCs w:val="24"/>
              </w:rPr>
              <w:t xml:space="preserve"> from heat and light.</w:t>
            </w:r>
          </w:p>
        </w:tc>
      </w:tr>
    </w:tbl>
    <w:tbl>
      <w:tblPr>
        <w:tblStyle w:val="TableGrid10"/>
        <w:tblW w:w="9355" w:type="dxa"/>
        <w:tblLook w:val="04A0" w:firstRow="1" w:lastRow="0" w:firstColumn="1" w:lastColumn="0" w:noHBand="0" w:noVBand="1"/>
      </w:tblPr>
      <w:tblGrid>
        <w:gridCol w:w="2425"/>
        <w:gridCol w:w="6930"/>
      </w:tblGrid>
      <w:tr w:rsidR="0053763D" w:rsidRPr="00F10C37" w14:paraId="0835770E" w14:textId="77777777" w:rsidTr="00C46407">
        <w:trPr>
          <w:trHeight w:val="512"/>
        </w:trPr>
        <w:tc>
          <w:tcPr>
            <w:tcW w:w="9355" w:type="dxa"/>
            <w:gridSpan w:val="2"/>
          </w:tcPr>
          <w:p w14:paraId="074F4C79" w14:textId="77777777" w:rsidR="0053763D" w:rsidRPr="00F10C37" w:rsidRDefault="0053763D" w:rsidP="00C46407">
            <w:pPr>
              <w:jc w:val="both"/>
              <w:rPr>
                <w:rFonts w:cs="Times New Roman"/>
                <w:b/>
                <w:szCs w:val="24"/>
              </w:rPr>
            </w:pPr>
            <w:r w:rsidRPr="00F10C37">
              <w:rPr>
                <w:rFonts w:cs="Times New Roman"/>
                <w:b/>
                <w:color w:val="000000"/>
                <w:szCs w:val="24"/>
              </w:rPr>
              <w:t xml:space="preserve">Labetalol hydrochloride </w:t>
            </w:r>
          </w:p>
        </w:tc>
      </w:tr>
      <w:tr w:rsidR="0053763D" w:rsidRPr="00F10C37" w14:paraId="69AFA9F9" w14:textId="77777777" w:rsidTr="00C46407">
        <w:trPr>
          <w:trHeight w:val="512"/>
        </w:trPr>
        <w:tc>
          <w:tcPr>
            <w:tcW w:w="2425" w:type="dxa"/>
          </w:tcPr>
          <w:p w14:paraId="0625174D"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57FB95D3"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Alpha- and beta-adrenoceptor blocker</w:t>
            </w:r>
          </w:p>
        </w:tc>
      </w:tr>
      <w:tr w:rsidR="0053763D" w:rsidRPr="00F10C37" w14:paraId="56F497AB" w14:textId="77777777" w:rsidTr="00C46407">
        <w:trPr>
          <w:trHeight w:val="341"/>
        </w:trPr>
        <w:tc>
          <w:tcPr>
            <w:tcW w:w="2425" w:type="dxa"/>
          </w:tcPr>
          <w:p w14:paraId="1318ABFF"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348B16C0" w14:textId="77777777" w:rsidR="0053763D" w:rsidRPr="00F10C37" w:rsidRDefault="0053763D" w:rsidP="00C46407">
            <w:pPr>
              <w:jc w:val="both"/>
              <w:rPr>
                <w:rFonts w:cs="Times New Roman"/>
                <w:szCs w:val="24"/>
                <w:lang w:val="en-US"/>
              </w:rPr>
            </w:pPr>
            <w:r w:rsidRPr="00F10C37">
              <w:rPr>
                <w:rFonts w:cs="Times New Roman"/>
                <w:color w:val="000000"/>
                <w:szCs w:val="24"/>
              </w:rPr>
              <w:t>Injection: 5mg/</w:t>
            </w:r>
            <w:r>
              <w:rPr>
                <w:rFonts w:cs="Times New Roman"/>
                <w:color w:val="000000"/>
                <w:szCs w:val="24"/>
              </w:rPr>
              <w:t>ml</w:t>
            </w:r>
            <w:r w:rsidRPr="00F10C37">
              <w:rPr>
                <w:rFonts w:cs="Times New Roman"/>
                <w:color w:val="000000"/>
                <w:szCs w:val="24"/>
              </w:rPr>
              <w:t>, 100mg/20</w:t>
            </w:r>
            <w:r>
              <w:rPr>
                <w:rFonts w:cs="Times New Roman"/>
                <w:color w:val="000000"/>
                <w:szCs w:val="24"/>
              </w:rPr>
              <w:t>ml</w:t>
            </w:r>
          </w:p>
        </w:tc>
      </w:tr>
      <w:tr w:rsidR="0053763D" w:rsidRPr="00F10C37" w14:paraId="16FA8789" w14:textId="77777777" w:rsidTr="00C46407">
        <w:trPr>
          <w:trHeight w:val="521"/>
        </w:trPr>
        <w:tc>
          <w:tcPr>
            <w:tcW w:w="2425" w:type="dxa"/>
          </w:tcPr>
          <w:p w14:paraId="006B65C0" w14:textId="77777777" w:rsidR="0053763D" w:rsidRPr="00CA762F" w:rsidRDefault="0053763D" w:rsidP="00C46407">
            <w:pPr>
              <w:jc w:val="both"/>
              <w:rPr>
                <w:rFonts w:cs="Times New Roman"/>
                <w:szCs w:val="24"/>
              </w:rPr>
            </w:pPr>
            <w:r w:rsidRPr="00CA762F">
              <w:rPr>
                <w:rFonts w:cs="Times New Roman"/>
                <w:szCs w:val="24"/>
              </w:rPr>
              <w:t>Indications</w:t>
            </w:r>
          </w:p>
        </w:tc>
        <w:tc>
          <w:tcPr>
            <w:tcW w:w="6930" w:type="dxa"/>
          </w:tcPr>
          <w:p w14:paraId="332B1612"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ypertension</w:t>
            </w:r>
            <w:r>
              <w:rPr>
                <w:rFonts w:cs="Times New Roman"/>
                <w:szCs w:val="24"/>
              </w:rPr>
              <w:t>,</w:t>
            </w:r>
            <w:r w:rsidRPr="00F10C37">
              <w:rPr>
                <w:rFonts w:cs="Times New Roman"/>
                <w:szCs w:val="24"/>
              </w:rPr>
              <w:t xml:space="preserve"> hypertension of pregnancy, hypertension following myocardial infarction, </w:t>
            </w:r>
            <w:r>
              <w:rPr>
                <w:rFonts w:cs="Times New Roman"/>
                <w:szCs w:val="24"/>
              </w:rPr>
              <w:t>h</w:t>
            </w:r>
            <w:r w:rsidRPr="00F10C37">
              <w:rPr>
                <w:rFonts w:cs="Times New Roman"/>
                <w:szCs w:val="24"/>
              </w:rPr>
              <w:t>ypertensive emergencie</w:t>
            </w:r>
            <w:r>
              <w:rPr>
                <w:rFonts w:cs="Times New Roman"/>
                <w:szCs w:val="24"/>
              </w:rPr>
              <w:t>s.</w:t>
            </w:r>
          </w:p>
        </w:tc>
      </w:tr>
      <w:tr w:rsidR="0053763D" w:rsidRPr="00F10C37" w14:paraId="569D4B9A" w14:textId="77777777" w:rsidTr="00C46407">
        <w:trPr>
          <w:trHeight w:val="521"/>
        </w:trPr>
        <w:tc>
          <w:tcPr>
            <w:tcW w:w="2425" w:type="dxa"/>
          </w:tcPr>
          <w:p w14:paraId="242E4D5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1F595457" w14:textId="77777777" w:rsidR="0053763D" w:rsidRDefault="0053763D" w:rsidP="00C46407">
            <w:pPr>
              <w:jc w:val="both"/>
              <w:rPr>
                <w:rFonts w:cs="Times New Roman"/>
                <w:szCs w:val="24"/>
              </w:rPr>
            </w:pPr>
            <w:r w:rsidRPr="00F10C37">
              <w:rPr>
                <w:rFonts w:cs="Times New Roman"/>
                <w:b/>
                <w:szCs w:val="24"/>
              </w:rPr>
              <w:t>Hypertension</w:t>
            </w:r>
            <w:r>
              <w:rPr>
                <w:rFonts w:cs="Times New Roman"/>
                <w:b/>
                <w:szCs w:val="24"/>
              </w:rPr>
              <w:t xml:space="preserve">, </w:t>
            </w:r>
            <w:r w:rsidRPr="00F80CC3">
              <w:rPr>
                <w:rFonts w:cs="Times New Roman"/>
                <w:szCs w:val="24"/>
              </w:rPr>
              <w:t>IV injection</w:t>
            </w:r>
            <w:r w:rsidRPr="00F10C37">
              <w:rPr>
                <w:rFonts w:cs="Times New Roman"/>
                <w:b/>
                <w:i/>
                <w:szCs w:val="24"/>
              </w:rPr>
              <w:t>:</w:t>
            </w:r>
            <w:r w:rsidRPr="00F10C37">
              <w:rPr>
                <w:rFonts w:cs="Times New Roman"/>
                <w:szCs w:val="24"/>
              </w:rPr>
              <w:t xml:space="preserve"> </w:t>
            </w:r>
          </w:p>
          <w:p w14:paraId="41054E02"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50 mg, dose to be given over at least 1 minute, then 50 mg after 5 minutes if required; maximum 200 mg per course; </w:t>
            </w:r>
          </w:p>
          <w:p w14:paraId="038E6DFF" w14:textId="77777777" w:rsidR="0053763D" w:rsidRDefault="0053763D" w:rsidP="00C46407">
            <w:pPr>
              <w:jc w:val="both"/>
              <w:rPr>
                <w:rFonts w:cs="Times New Roman"/>
                <w:b/>
                <w:szCs w:val="24"/>
              </w:rPr>
            </w:pPr>
            <w:r>
              <w:rPr>
                <w:rFonts w:cs="Times New Roman"/>
                <w:b/>
                <w:szCs w:val="24"/>
              </w:rPr>
              <w:t xml:space="preserve">Hypertension, </w:t>
            </w:r>
            <w:r w:rsidRPr="00F80CC3">
              <w:rPr>
                <w:rFonts w:cs="Times New Roman"/>
                <w:szCs w:val="24"/>
              </w:rPr>
              <w:t>IV Infusion:</w:t>
            </w:r>
          </w:p>
          <w:p w14:paraId="0A1E818B"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2 mg/minute until a satisfactory response is achieved, then discontinue; usual dose 50–200 mg.</w:t>
            </w:r>
          </w:p>
          <w:p w14:paraId="4F5C63EC" w14:textId="77777777" w:rsidR="0053763D" w:rsidRDefault="0053763D" w:rsidP="00C46407">
            <w:pPr>
              <w:jc w:val="both"/>
              <w:rPr>
                <w:rFonts w:cs="Times New Roman"/>
                <w:szCs w:val="24"/>
              </w:rPr>
            </w:pPr>
            <w:r w:rsidRPr="00F10C37">
              <w:rPr>
                <w:rFonts w:cs="Times New Roman"/>
                <w:b/>
                <w:szCs w:val="24"/>
              </w:rPr>
              <w:t>Hypertension of pregnancy:</w:t>
            </w:r>
            <w:r w:rsidRPr="00F10C37">
              <w:rPr>
                <w:rFonts w:cs="Times New Roman"/>
                <w:szCs w:val="24"/>
              </w:rPr>
              <w:t xml:space="preserve"> </w:t>
            </w:r>
          </w:p>
          <w:p w14:paraId="267237F1" w14:textId="77777777" w:rsidR="0053763D"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20 mg/hour IV infusion, then increased if necessary to 40 mg/hour after 30 minutes, then increased if necessary to 80 mg/hour after 30 minutes, then increased if necessary to 160 mg/hour after 30 minutes, adjusted according to response; </w:t>
            </w:r>
            <w:r>
              <w:rPr>
                <w:rFonts w:cs="Times New Roman"/>
                <w:szCs w:val="24"/>
              </w:rPr>
              <w:t>u</w:t>
            </w:r>
            <w:r w:rsidRPr="00F10C37">
              <w:rPr>
                <w:rFonts w:cs="Times New Roman"/>
                <w:szCs w:val="24"/>
              </w:rPr>
              <w:t>sual maximum 160 mg/hour</w:t>
            </w:r>
            <w:r>
              <w:rPr>
                <w:rFonts w:cs="Times New Roman"/>
                <w:szCs w:val="24"/>
              </w:rPr>
              <w:t>.</w:t>
            </w:r>
          </w:p>
          <w:p w14:paraId="06D8DEEA" w14:textId="77777777" w:rsidR="0053763D" w:rsidRPr="003D3E3A" w:rsidRDefault="0053763D" w:rsidP="00C46407">
            <w:pPr>
              <w:jc w:val="both"/>
              <w:rPr>
                <w:rFonts w:cs="Times New Roman"/>
                <w:b/>
                <w:szCs w:val="24"/>
              </w:rPr>
            </w:pPr>
            <w:r w:rsidRPr="00F10C37">
              <w:rPr>
                <w:rFonts w:cs="Times New Roman"/>
                <w:b/>
                <w:szCs w:val="24"/>
              </w:rPr>
              <w:t xml:space="preserve">Hypertension following </w:t>
            </w:r>
            <w:r>
              <w:rPr>
                <w:rFonts w:cs="Times New Roman"/>
                <w:b/>
                <w:szCs w:val="24"/>
              </w:rPr>
              <w:t xml:space="preserve">MI, </w:t>
            </w:r>
            <w:r w:rsidRPr="00F80CC3">
              <w:rPr>
                <w:rFonts w:cs="Times New Roman"/>
                <w:szCs w:val="24"/>
              </w:rPr>
              <w:t>IV infusion</w:t>
            </w:r>
            <w:r>
              <w:rPr>
                <w:rFonts w:cs="Times New Roman"/>
                <w:b/>
                <w:szCs w:val="24"/>
              </w:rPr>
              <w:t>:</w:t>
            </w:r>
          </w:p>
          <w:p w14:paraId="48EC59A0"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15 mg/hour, then increased to up to 120 mg/hour, dose to be </w:t>
            </w:r>
            <w:r w:rsidRPr="00F10C37">
              <w:rPr>
                <w:rFonts w:cs="Times New Roman"/>
                <w:szCs w:val="24"/>
              </w:rPr>
              <w:lastRenderedPageBreak/>
              <w:t xml:space="preserve">increased gradually. </w:t>
            </w:r>
          </w:p>
          <w:p w14:paraId="2E3725D2" w14:textId="77777777" w:rsidR="0053763D" w:rsidRDefault="0053763D" w:rsidP="00C46407">
            <w:pPr>
              <w:jc w:val="both"/>
              <w:rPr>
                <w:rFonts w:cs="Times New Roman"/>
                <w:szCs w:val="24"/>
              </w:rPr>
            </w:pPr>
            <w:r w:rsidRPr="00F10C37">
              <w:rPr>
                <w:rFonts w:cs="Times New Roman"/>
                <w:b/>
                <w:szCs w:val="24"/>
              </w:rPr>
              <w:t>Hypertensive emergencies</w:t>
            </w:r>
            <w:r>
              <w:rPr>
                <w:rFonts w:cs="Times New Roman"/>
                <w:b/>
                <w:szCs w:val="24"/>
              </w:rPr>
              <w:t xml:space="preserve">, </w:t>
            </w:r>
            <w:r w:rsidRPr="00F80CC3">
              <w:rPr>
                <w:rFonts w:cs="Times New Roman"/>
                <w:szCs w:val="24"/>
              </w:rPr>
              <w:t>IV injection</w:t>
            </w:r>
            <w:r w:rsidRPr="003D3E3A">
              <w:rPr>
                <w:rFonts w:cs="Times New Roman"/>
                <w:b/>
                <w:szCs w:val="24"/>
              </w:rPr>
              <w:t>:</w:t>
            </w:r>
            <w:r w:rsidRPr="00F10C37">
              <w:rPr>
                <w:rFonts w:cs="Times New Roman"/>
                <w:szCs w:val="24"/>
              </w:rPr>
              <w:t xml:space="preserve"> </w:t>
            </w:r>
          </w:p>
          <w:p w14:paraId="14B2A2D6" w14:textId="77777777" w:rsidR="0053763D"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50 mg IV, to be given over at least 1 minute, then 50 mg every 5 minutes if required until a satisfactory response occurs; maximum 200 mg per course; </w:t>
            </w:r>
          </w:p>
          <w:p w14:paraId="241DB267" w14:textId="77777777" w:rsidR="0053763D" w:rsidRDefault="0053763D" w:rsidP="00C46407">
            <w:pPr>
              <w:jc w:val="both"/>
              <w:rPr>
                <w:rFonts w:cs="Times New Roman"/>
                <w:szCs w:val="24"/>
              </w:rPr>
            </w:pPr>
            <w:r w:rsidRPr="003D3E3A">
              <w:rPr>
                <w:rFonts w:cs="Times New Roman"/>
                <w:b/>
                <w:szCs w:val="24"/>
              </w:rPr>
              <w:t>IV infusion:</w:t>
            </w:r>
            <w:r w:rsidRPr="00F10C37">
              <w:rPr>
                <w:rFonts w:cs="Times New Roman"/>
                <w:szCs w:val="24"/>
              </w:rPr>
              <w:t xml:space="preserve"> </w:t>
            </w:r>
          </w:p>
          <w:p w14:paraId="2251D7E9"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2 mg/minute until a satisfactory response is achieved, then discontinue; usual dose 50–200 mg.</w:t>
            </w:r>
          </w:p>
          <w:p w14:paraId="38D4CBDA"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cs="Times New Roman"/>
                <w:i/>
                <w:szCs w:val="24"/>
              </w:rPr>
              <w:t>Note:</w:t>
            </w:r>
            <w:r w:rsidRPr="00F10C37">
              <w:rPr>
                <w:rFonts w:cs="Times New Roman"/>
                <w:szCs w:val="24"/>
              </w:rPr>
              <w:t xml:space="preserve"> </w:t>
            </w:r>
            <w:r w:rsidRPr="003D3E3A">
              <w:rPr>
                <w:rFonts w:eastAsiaTheme="minorHAnsi" w:cs="Times New Roman"/>
                <w:i/>
                <w:color w:val="231F20"/>
                <w:kern w:val="0"/>
                <w:szCs w:val="24"/>
                <w:lang w:val="en-US" w:eastAsia="en-US"/>
              </w:rPr>
              <w:t>For IV infusion, give intermittently in 5% dextrose in water or sodium chloride and glucose. Dilute to a concentration of 1 mg/</w:t>
            </w:r>
            <w:r>
              <w:rPr>
                <w:rFonts w:eastAsiaTheme="minorHAnsi" w:cs="Times New Roman"/>
                <w:i/>
                <w:color w:val="231F20"/>
                <w:kern w:val="0"/>
                <w:szCs w:val="24"/>
                <w:lang w:val="en-US" w:eastAsia="en-US"/>
              </w:rPr>
              <w:t>ml</w:t>
            </w:r>
            <w:r w:rsidRPr="003D3E3A">
              <w:rPr>
                <w:rFonts w:eastAsiaTheme="minorHAnsi" w:cs="Times New Roman"/>
                <w:i/>
                <w:color w:val="231F20"/>
                <w:kern w:val="0"/>
                <w:szCs w:val="24"/>
                <w:lang w:val="en-US" w:eastAsia="en-US"/>
              </w:rPr>
              <w:t xml:space="preserve">; suggested volume 200 </w:t>
            </w:r>
            <w:r>
              <w:rPr>
                <w:rFonts w:eastAsiaTheme="minorHAnsi" w:cs="Times New Roman"/>
                <w:i/>
                <w:color w:val="231F20"/>
                <w:kern w:val="0"/>
                <w:szCs w:val="24"/>
                <w:lang w:val="en-US" w:eastAsia="en-US"/>
              </w:rPr>
              <w:t>ml</w:t>
            </w:r>
            <w:r w:rsidRPr="003D3E3A">
              <w:rPr>
                <w:rFonts w:eastAsiaTheme="minorHAnsi" w:cs="Times New Roman"/>
                <w:i/>
                <w:color w:val="231F20"/>
                <w:kern w:val="0"/>
                <w:szCs w:val="24"/>
                <w:lang w:val="en-US" w:eastAsia="en-US"/>
              </w:rPr>
              <w:t>; adjust rate with inline burette. Avoid upright position during and for 3 hours after IV administration.</w:t>
            </w:r>
          </w:p>
        </w:tc>
      </w:tr>
      <w:tr w:rsidR="0053763D" w:rsidRPr="00F10C37" w14:paraId="30ED3C68" w14:textId="77777777" w:rsidTr="00C46407">
        <w:tc>
          <w:tcPr>
            <w:tcW w:w="2425" w:type="dxa"/>
          </w:tcPr>
          <w:p w14:paraId="6B6A31E1"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tcPr>
          <w:p w14:paraId="640863E5"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ypersensitivity to </w:t>
            </w:r>
            <w:r>
              <w:rPr>
                <w:rFonts w:eastAsiaTheme="minorHAnsi" w:cs="Times New Roman"/>
                <w:kern w:val="0"/>
                <w:szCs w:val="24"/>
                <w:lang w:val="en-US" w:eastAsia="en-US"/>
              </w:rPr>
              <w:t>the drug, r</w:t>
            </w:r>
            <w:r w:rsidRPr="00F10C37">
              <w:rPr>
                <w:rFonts w:eastAsiaTheme="minorHAnsi" w:cs="Times New Roman"/>
                <w:kern w:val="0"/>
                <w:szCs w:val="24"/>
                <w:lang w:val="en-US" w:eastAsia="en-US"/>
              </w:rPr>
              <w:t xml:space="preserve">efractory heart failure, sick sinus syndrome (including sino-atrial block), second- or third-degree heart block, Prinzmetal’s angina, history of wheezing or asthma, untreated pheochromocytoma, metabolic acidosis, bradycardia, hypotension, severe peripheral circulatory disturbances, </w:t>
            </w:r>
            <w:r>
              <w:rPr>
                <w:rFonts w:eastAsiaTheme="minorHAnsi" w:cs="Times New Roman"/>
                <w:kern w:val="0"/>
                <w:szCs w:val="24"/>
                <w:lang w:val="en-US" w:eastAsia="en-US"/>
              </w:rPr>
              <w:t>acute MI.</w:t>
            </w:r>
          </w:p>
        </w:tc>
      </w:tr>
      <w:tr w:rsidR="0053763D" w:rsidRPr="00F10C37" w14:paraId="02EB6D22" w14:textId="77777777" w:rsidTr="00C46407">
        <w:tc>
          <w:tcPr>
            <w:tcW w:w="2425" w:type="dxa"/>
          </w:tcPr>
          <w:p w14:paraId="1833310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7EEDC6AA" w14:textId="77777777" w:rsidR="0053763D" w:rsidRPr="00F10C37" w:rsidRDefault="0053763D" w:rsidP="00C46407">
            <w:pPr>
              <w:contextualSpacing/>
              <w:jc w:val="both"/>
              <w:rPr>
                <w:rFonts w:cs="Times New Roman"/>
                <w:szCs w:val="24"/>
              </w:rPr>
            </w:pPr>
            <w:r w:rsidRPr="00F10C37">
              <w:rPr>
                <w:rFonts w:cs="Times New Roman"/>
                <w:szCs w:val="24"/>
              </w:rPr>
              <w:t xml:space="preserve">Propafenone, phenobarbitone, diuretics, halothane, </w:t>
            </w:r>
            <w:r>
              <w:rPr>
                <w:rFonts w:cs="Times New Roman"/>
                <w:szCs w:val="24"/>
              </w:rPr>
              <w:t>c</w:t>
            </w:r>
            <w:r w:rsidRPr="00F10C37">
              <w:rPr>
                <w:rFonts w:cs="Times New Roman"/>
                <w:szCs w:val="24"/>
              </w:rPr>
              <w:t>lass I antiarrhythmic agents</w:t>
            </w:r>
            <w:r>
              <w:rPr>
                <w:rFonts w:cs="Times New Roman"/>
                <w:szCs w:val="24"/>
              </w:rPr>
              <w:t xml:space="preserve">, </w:t>
            </w:r>
            <w:r w:rsidRPr="00F10C37">
              <w:rPr>
                <w:rFonts w:cs="Times New Roman"/>
                <w:szCs w:val="24"/>
              </w:rPr>
              <w:t xml:space="preserve">verapamil, </w:t>
            </w:r>
            <w:r>
              <w:rPr>
                <w:rFonts w:cs="Times New Roman"/>
                <w:szCs w:val="24"/>
              </w:rPr>
              <w:t>tricyclic antidepressant</w:t>
            </w:r>
            <w:r w:rsidRPr="00F10C37">
              <w:rPr>
                <w:rFonts w:cs="Times New Roman"/>
                <w:szCs w:val="24"/>
              </w:rPr>
              <w:t>s</w:t>
            </w:r>
            <w:r>
              <w:rPr>
                <w:rFonts w:cs="Times New Roman"/>
                <w:szCs w:val="24"/>
              </w:rPr>
              <w:t>.</w:t>
            </w:r>
          </w:p>
        </w:tc>
      </w:tr>
      <w:tr w:rsidR="0053763D" w:rsidRPr="00F10C37" w14:paraId="69522866" w14:textId="77777777" w:rsidTr="00C46407">
        <w:tc>
          <w:tcPr>
            <w:tcW w:w="2425" w:type="dxa"/>
          </w:tcPr>
          <w:p w14:paraId="1CC6711E"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03EE557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Fever, ejaculation failure, hypersensitivity, urinary disorders, hepatic disorders, systemic lupus erythematosus, myopathy, tremor, </w:t>
            </w:r>
            <w:r w:rsidRPr="00F10C37">
              <w:rPr>
                <w:rFonts w:eastAsiaTheme="minorHAnsi" w:cs="Times New Roman"/>
                <w:kern w:val="0"/>
                <w:szCs w:val="24"/>
                <w:lang w:val="en-US" w:eastAsia="en-US"/>
              </w:rPr>
              <w:t>cyanosis, hyperkalaemia, interstitial lung, lichenoid keratosis, muscle cramps, nasal congestion, peripheral edema, photosensitivity reaction, postural hypotension, psychosis</w:t>
            </w:r>
            <w:r>
              <w:rPr>
                <w:rFonts w:eastAsiaTheme="minorHAnsi" w:cs="Times New Roman"/>
                <w:kern w:val="0"/>
                <w:szCs w:val="24"/>
                <w:lang w:val="en-US" w:eastAsia="en-US"/>
              </w:rPr>
              <w:t>.</w:t>
            </w:r>
          </w:p>
        </w:tc>
      </w:tr>
      <w:tr w:rsidR="0053763D" w:rsidRPr="00F10C37" w14:paraId="6532082D" w14:textId="77777777" w:rsidTr="00C46407">
        <w:tc>
          <w:tcPr>
            <w:tcW w:w="2425" w:type="dxa"/>
          </w:tcPr>
          <w:p w14:paraId="0FE4AD4B"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52D8E0B9"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kern w:val="0"/>
                <w:szCs w:val="24"/>
                <w:lang w:val="en-US" w:eastAsia="en-US"/>
              </w:rPr>
              <w:t>Peripheral circulatory disorders (Raynaud’s disease or syndrome, intermittent</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claudication), pulse rate of 50 – 55 bpm, first degree heart block, psoriasis</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h</w:t>
            </w:r>
            <w:r w:rsidRPr="00F10C37">
              <w:rPr>
                <w:rFonts w:eastAsiaTheme="minorHAnsi" w:cs="Times New Roman"/>
                <w:bCs/>
                <w:kern w:val="0"/>
                <w:szCs w:val="24"/>
                <w:lang w:val="en-US" w:eastAsia="en-US"/>
              </w:rPr>
              <w:t>epatic impairment, renal impairment.</w:t>
            </w:r>
          </w:p>
        </w:tc>
      </w:tr>
      <w:tr w:rsidR="0053763D" w:rsidRPr="00F10C37" w14:paraId="5AFCB403" w14:textId="77777777" w:rsidTr="00C46407">
        <w:tc>
          <w:tcPr>
            <w:tcW w:w="2425" w:type="dxa"/>
          </w:tcPr>
          <w:p w14:paraId="4B708090"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3600E277"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15°C - 30°</w:t>
            </w:r>
            <w:r>
              <w:rPr>
                <w:rFonts w:cs="Times New Roman"/>
                <w:szCs w:val="24"/>
              </w:rPr>
              <w:t>C. P</w:t>
            </w:r>
            <w:r w:rsidRPr="00F10C37">
              <w:rPr>
                <w:rFonts w:cs="Times New Roman"/>
                <w:szCs w:val="24"/>
              </w:rPr>
              <w:t>rotect from light.</w:t>
            </w:r>
          </w:p>
        </w:tc>
      </w:tr>
      <w:tr w:rsidR="0053763D" w:rsidRPr="00F10C37" w14:paraId="39E47ABB" w14:textId="77777777" w:rsidTr="00C46407">
        <w:trPr>
          <w:trHeight w:val="512"/>
        </w:trPr>
        <w:tc>
          <w:tcPr>
            <w:tcW w:w="9355" w:type="dxa"/>
            <w:gridSpan w:val="2"/>
          </w:tcPr>
          <w:p w14:paraId="2B92CD8E" w14:textId="77777777" w:rsidR="0053763D" w:rsidRPr="00F10C37" w:rsidRDefault="0053763D" w:rsidP="00C46407">
            <w:pPr>
              <w:jc w:val="both"/>
              <w:rPr>
                <w:rFonts w:cs="Times New Roman"/>
                <w:szCs w:val="24"/>
              </w:rPr>
            </w:pPr>
            <w:r w:rsidRPr="00F10C37">
              <w:rPr>
                <w:rFonts w:cs="Times New Roman"/>
                <w:b/>
                <w:szCs w:val="24"/>
              </w:rPr>
              <w:t xml:space="preserve">Lisinopril </w:t>
            </w:r>
          </w:p>
        </w:tc>
      </w:tr>
      <w:tr w:rsidR="0053763D" w:rsidRPr="00F10C37" w14:paraId="0107E1F7" w14:textId="77777777" w:rsidTr="00C46407">
        <w:trPr>
          <w:trHeight w:val="512"/>
        </w:trPr>
        <w:tc>
          <w:tcPr>
            <w:tcW w:w="2425" w:type="dxa"/>
          </w:tcPr>
          <w:p w14:paraId="0D452FFA"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324E4DB5"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ACE inhibitor</w:t>
            </w:r>
          </w:p>
        </w:tc>
      </w:tr>
      <w:tr w:rsidR="0053763D" w:rsidRPr="00F10C37" w14:paraId="47F6370E" w14:textId="77777777" w:rsidTr="00C46407">
        <w:trPr>
          <w:trHeight w:val="341"/>
        </w:trPr>
        <w:tc>
          <w:tcPr>
            <w:tcW w:w="2425" w:type="dxa"/>
          </w:tcPr>
          <w:p w14:paraId="26745F9A" w14:textId="77777777" w:rsidR="0053763D" w:rsidRPr="00F10C37" w:rsidRDefault="0053763D" w:rsidP="00C46407">
            <w:pPr>
              <w:jc w:val="both"/>
              <w:rPr>
                <w:rFonts w:cs="Times New Roman"/>
                <w:szCs w:val="24"/>
              </w:rPr>
            </w:pPr>
            <w:r w:rsidRPr="00F10C37">
              <w:rPr>
                <w:rFonts w:cs="Times New Roman"/>
                <w:szCs w:val="24"/>
              </w:rPr>
              <w:lastRenderedPageBreak/>
              <w:t>Dosage form</w:t>
            </w:r>
          </w:p>
        </w:tc>
        <w:tc>
          <w:tcPr>
            <w:tcW w:w="6930" w:type="dxa"/>
          </w:tcPr>
          <w:p w14:paraId="59846A7E" w14:textId="77777777" w:rsidR="0053763D" w:rsidRPr="00F10C37" w:rsidRDefault="0053763D" w:rsidP="00C46407">
            <w:pPr>
              <w:jc w:val="both"/>
              <w:rPr>
                <w:rFonts w:cs="Times New Roman"/>
                <w:szCs w:val="24"/>
              </w:rPr>
            </w:pPr>
            <w:r w:rsidRPr="00F10C37">
              <w:rPr>
                <w:rFonts w:cs="Times New Roman"/>
                <w:szCs w:val="24"/>
              </w:rPr>
              <w:t>Tablet: 10 mg, 20 mg</w:t>
            </w:r>
          </w:p>
        </w:tc>
      </w:tr>
      <w:tr w:rsidR="0053763D" w:rsidRPr="00F10C37" w14:paraId="2ACD78FB" w14:textId="77777777" w:rsidTr="00C46407">
        <w:trPr>
          <w:trHeight w:val="521"/>
        </w:trPr>
        <w:tc>
          <w:tcPr>
            <w:tcW w:w="2425" w:type="dxa"/>
          </w:tcPr>
          <w:p w14:paraId="4BAAFCFC" w14:textId="77777777" w:rsidR="0053763D" w:rsidRPr="009149B2" w:rsidRDefault="0053763D" w:rsidP="00C46407">
            <w:pPr>
              <w:jc w:val="both"/>
              <w:rPr>
                <w:rFonts w:cs="Times New Roman"/>
                <w:szCs w:val="24"/>
              </w:rPr>
            </w:pPr>
            <w:r w:rsidRPr="009149B2">
              <w:rPr>
                <w:rFonts w:cs="Times New Roman"/>
                <w:szCs w:val="24"/>
              </w:rPr>
              <w:t>Indications</w:t>
            </w:r>
          </w:p>
        </w:tc>
        <w:tc>
          <w:tcPr>
            <w:tcW w:w="6930" w:type="dxa"/>
          </w:tcPr>
          <w:p w14:paraId="79B834C6"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ypertension,</w:t>
            </w:r>
            <w:r>
              <w:rPr>
                <w:rFonts w:cs="Times New Roman"/>
                <w:szCs w:val="24"/>
              </w:rPr>
              <w:t xml:space="preserve"> c</w:t>
            </w:r>
            <w:r w:rsidRPr="00F10C37">
              <w:rPr>
                <w:rFonts w:cs="Times New Roman"/>
                <w:szCs w:val="24"/>
              </w:rPr>
              <w:t xml:space="preserve">ongestive heart failure, left ventricular dysfunction after </w:t>
            </w:r>
            <w:r>
              <w:rPr>
                <w:rFonts w:cs="Times New Roman"/>
                <w:szCs w:val="24"/>
              </w:rPr>
              <w:t>MI</w:t>
            </w:r>
            <w:r w:rsidRPr="00F10C37">
              <w:rPr>
                <w:rFonts w:cs="Times New Roman"/>
                <w:szCs w:val="24"/>
              </w:rPr>
              <w:t>, diabetic nephropathy.</w:t>
            </w:r>
          </w:p>
        </w:tc>
      </w:tr>
      <w:tr w:rsidR="0053763D" w:rsidRPr="00F10C37" w14:paraId="596C51A6" w14:textId="77777777" w:rsidTr="00C46407">
        <w:trPr>
          <w:trHeight w:val="521"/>
        </w:trPr>
        <w:tc>
          <w:tcPr>
            <w:tcW w:w="2425" w:type="dxa"/>
          </w:tcPr>
          <w:p w14:paraId="27A70223"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4D09C118" w14:textId="77777777" w:rsidR="0053763D" w:rsidRDefault="0053763D" w:rsidP="00C46407">
            <w:pPr>
              <w:jc w:val="both"/>
              <w:rPr>
                <w:rFonts w:cs="Times New Roman"/>
                <w:b/>
                <w:szCs w:val="24"/>
              </w:rPr>
            </w:pPr>
            <w:r w:rsidRPr="00F10C37">
              <w:rPr>
                <w:rFonts w:cs="Times New Roman"/>
                <w:b/>
                <w:szCs w:val="24"/>
              </w:rPr>
              <w:t>Hypertension</w:t>
            </w:r>
            <w:r>
              <w:rPr>
                <w:rFonts w:cs="Times New Roman"/>
                <w:b/>
                <w:szCs w:val="24"/>
              </w:rPr>
              <w:t>, oral</w:t>
            </w:r>
            <w:r w:rsidRPr="00F10C37">
              <w:rPr>
                <w:rFonts w:cs="Times New Roman"/>
                <w:b/>
                <w:szCs w:val="24"/>
              </w:rPr>
              <w:t xml:space="preserve">: </w:t>
            </w:r>
          </w:p>
          <w:p w14:paraId="0A41A165"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Initially 10 mg once daily; usual maintenance 20 mg once daily; maximum 80 mg per day.</w:t>
            </w:r>
          </w:p>
          <w:p w14:paraId="12D953D8" w14:textId="77777777" w:rsidR="0053763D" w:rsidRDefault="0053763D" w:rsidP="00C46407">
            <w:pPr>
              <w:jc w:val="both"/>
              <w:rPr>
                <w:rFonts w:cs="Times New Roman"/>
                <w:szCs w:val="24"/>
              </w:rPr>
            </w:pPr>
            <w:r w:rsidRPr="00F10C37">
              <w:rPr>
                <w:rFonts w:cs="Times New Roman"/>
                <w:b/>
                <w:szCs w:val="24"/>
              </w:rPr>
              <w:t>Hypertension, when used in addition to diuretic, in cardiac decompensation or in volume depletion</w:t>
            </w:r>
            <w:r>
              <w:rPr>
                <w:rFonts w:cs="Times New Roman"/>
                <w:b/>
                <w:szCs w:val="24"/>
              </w:rPr>
              <w:t>, oral</w:t>
            </w:r>
            <w:r w:rsidRPr="00F10C37">
              <w:rPr>
                <w:rFonts w:cs="Times New Roman"/>
                <w:szCs w:val="24"/>
              </w:rPr>
              <w:t xml:space="preserve">: </w:t>
            </w:r>
          </w:p>
          <w:p w14:paraId="36724921"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2.5–5 mg once daily; usual maintenance 20 mg per daily; maximum 80 mg per day.</w:t>
            </w:r>
          </w:p>
        </w:tc>
      </w:tr>
      <w:tr w:rsidR="0053763D" w:rsidRPr="00F10C37" w14:paraId="6773E1F8" w14:textId="77777777" w:rsidTr="00C46407">
        <w:trPr>
          <w:trHeight w:val="467"/>
        </w:trPr>
        <w:tc>
          <w:tcPr>
            <w:tcW w:w="2425" w:type="dxa"/>
          </w:tcPr>
          <w:p w14:paraId="2B854544"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32BF1420" w14:textId="77777777" w:rsidR="0053763D" w:rsidRPr="00F10C37" w:rsidRDefault="0053763D" w:rsidP="00C46407">
            <w:pPr>
              <w:jc w:val="both"/>
              <w:rPr>
                <w:rFonts w:cs="Times New Roman"/>
                <w:szCs w:val="24"/>
              </w:rPr>
            </w:pPr>
            <w:r w:rsidRPr="00F10C37">
              <w:rPr>
                <w:rFonts w:cs="Times New Roman"/>
                <w:szCs w:val="24"/>
              </w:rPr>
              <w:t xml:space="preserve">Refer to lisinopril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11B6EA6" w14:textId="77777777" w:rsidTr="00C46407">
        <w:tc>
          <w:tcPr>
            <w:tcW w:w="2425" w:type="dxa"/>
          </w:tcPr>
          <w:p w14:paraId="63B0D8D5"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127B593F" w14:textId="77777777" w:rsidR="0053763D" w:rsidRPr="00F10C37" w:rsidRDefault="0053763D" w:rsidP="00C46407">
            <w:pPr>
              <w:contextualSpacing/>
              <w:jc w:val="both"/>
              <w:rPr>
                <w:rFonts w:cs="Times New Roman"/>
                <w:szCs w:val="24"/>
              </w:rPr>
            </w:pPr>
            <w:r w:rsidRPr="00F10C37">
              <w:rPr>
                <w:rFonts w:cs="Times New Roman"/>
                <w:szCs w:val="24"/>
              </w:rPr>
              <w:t xml:space="preserve">Refer to lisinopril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E8D756B" w14:textId="77777777" w:rsidTr="00C46407">
        <w:tc>
          <w:tcPr>
            <w:tcW w:w="2425" w:type="dxa"/>
          </w:tcPr>
          <w:p w14:paraId="3470A8F4"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610E5987"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 xml:space="preserve">Refer to lisinopril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2D71C3E" w14:textId="77777777" w:rsidTr="00C46407">
        <w:tc>
          <w:tcPr>
            <w:tcW w:w="2425" w:type="dxa"/>
          </w:tcPr>
          <w:p w14:paraId="13DE80DC"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5A023C7B" w14:textId="77777777" w:rsidR="0053763D" w:rsidRPr="00F10C37" w:rsidRDefault="0053763D" w:rsidP="00C46407">
            <w:pPr>
              <w:jc w:val="both"/>
              <w:rPr>
                <w:rFonts w:cs="Times New Roman"/>
                <w:szCs w:val="24"/>
              </w:rPr>
            </w:pPr>
            <w:r w:rsidRPr="00F10C37">
              <w:rPr>
                <w:rFonts w:cs="Times New Roman"/>
                <w:szCs w:val="24"/>
              </w:rPr>
              <w:t xml:space="preserve">Refer to lisinopril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28F971B" w14:textId="77777777" w:rsidTr="00C46407">
        <w:tc>
          <w:tcPr>
            <w:tcW w:w="2425" w:type="dxa"/>
          </w:tcPr>
          <w:p w14:paraId="31633D08"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472932D3"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15°C - 30°</w:t>
            </w:r>
            <w:r>
              <w:rPr>
                <w:rFonts w:cs="Times New Roman"/>
                <w:szCs w:val="24"/>
              </w:rPr>
              <w:t>C. P</w:t>
            </w:r>
            <w:r w:rsidRPr="00F10C37">
              <w:rPr>
                <w:rFonts w:cs="Times New Roman"/>
                <w:szCs w:val="24"/>
              </w:rPr>
              <w:t>rotect from light.</w:t>
            </w:r>
          </w:p>
        </w:tc>
      </w:tr>
      <w:tr w:rsidR="0053763D" w:rsidRPr="00F10C37" w14:paraId="2BC5486D" w14:textId="77777777" w:rsidTr="00C46407">
        <w:trPr>
          <w:trHeight w:val="512"/>
        </w:trPr>
        <w:tc>
          <w:tcPr>
            <w:tcW w:w="9355" w:type="dxa"/>
            <w:gridSpan w:val="2"/>
          </w:tcPr>
          <w:p w14:paraId="29A4A11B" w14:textId="77777777" w:rsidR="0053763D" w:rsidRPr="00F10C37" w:rsidRDefault="0053763D" w:rsidP="00C46407">
            <w:pPr>
              <w:jc w:val="both"/>
              <w:rPr>
                <w:rFonts w:cs="Times New Roman"/>
                <w:b/>
                <w:szCs w:val="24"/>
              </w:rPr>
            </w:pPr>
            <w:r w:rsidRPr="00F10C37">
              <w:rPr>
                <w:rFonts w:cs="Times New Roman"/>
                <w:b/>
                <w:szCs w:val="24"/>
                <w:lang w:val="sv-SE"/>
              </w:rPr>
              <w:t>Lisinopril +  A</w:t>
            </w:r>
            <w:r>
              <w:rPr>
                <w:rFonts w:cs="Times New Roman"/>
                <w:b/>
                <w:szCs w:val="24"/>
                <w:lang w:val="sv-SE"/>
              </w:rPr>
              <w:t>ml</w:t>
            </w:r>
            <w:r w:rsidRPr="00F10C37">
              <w:rPr>
                <w:rFonts w:cs="Times New Roman"/>
                <w:b/>
                <w:szCs w:val="24"/>
                <w:lang w:val="sv-SE"/>
              </w:rPr>
              <w:t>odipine</w:t>
            </w:r>
          </w:p>
        </w:tc>
      </w:tr>
      <w:tr w:rsidR="0053763D" w:rsidRPr="00F10C37" w14:paraId="7A9631DF" w14:textId="77777777" w:rsidTr="00C46407">
        <w:trPr>
          <w:trHeight w:val="512"/>
        </w:trPr>
        <w:tc>
          <w:tcPr>
            <w:tcW w:w="2425" w:type="dxa"/>
          </w:tcPr>
          <w:p w14:paraId="4A78393E"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0138C97B"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ACE inhibitor </w:t>
            </w:r>
            <w:r>
              <w:rPr>
                <w:rFonts w:cs="Times New Roman"/>
                <w:szCs w:val="24"/>
              </w:rPr>
              <w:t>+</w:t>
            </w:r>
            <w:r w:rsidRPr="00F10C37">
              <w:rPr>
                <w:rFonts w:cs="Times New Roman"/>
                <w:szCs w:val="24"/>
              </w:rPr>
              <w:t xml:space="preserve"> dihydropyridine calcium channel blocker  </w:t>
            </w:r>
          </w:p>
        </w:tc>
      </w:tr>
      <w:tr w:rsidR="0053763D" w:rsidRPr="00F10C37" w14:paraId="15DD606E" w14:textId="77777777" w:rsidTr="00C46407">
        <w:trPr>
          <w:trHeight w:val="341"/>
        </w:trPr>
        <w:tc>
          <w:tcPr>
            <w:tcW w:w="2425" w:type="dxa"/>
          </w:tcPr>
          <w:p w14:paraId="6F042F12"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0E8EC30C" w14:textId="77777777" w:rsidR="0053763D" w:rsidRPr="00F10C37" w:rsidRDefault="0053763D" w:rsidP="00C46407">
            <w:pPr>
              <w:jc w:val="both"/>
              <w:rPr>
                <w:rFonts w:cs="Times New Roman"/>
                <w:szCs w:val="24"/>
                <w:lang w:val="en-US"/>
              </w:rPr>
            </w:pPr>
            <w:r w:rsidRPr="00F10C37">
              <w:rPr>
                <w:rFonts w:cs="Times New Roman"/>
                <w:szCs w:val="24"/>
              </w:rPr>
              <w:t>Fixed dose combination t</w:t>
            </w:r>
            <w:r w:rsidRPr="00F10C37">
              <w:rPr>
                <w:rFonts w:cs="Times New Roman"/>
                <w:szCs w:val="24"/>
                <w:lang w:val="en-US"/>
              </w:rPr>
              <w:t xml:space="preserve">ablet: </w:t>
            </w:r>
            <w:r w:rsidRPr="00F10C37">
              <w:rPr>
                <w:rFonts w:cs="Times New Roman"/>
                <w:szCs w:val="24"/>
                <w:lang w:val="sv-SE"/>
              </w:rPr>
              <w:t>10 mg + 5 mg</w:t>
            </w:r>
            <w:r>
              <w:rPr>
                <w:rFonts w:cs="Times New Roman"/>
                <w:szCs w:val="24"/>
                <w:lang w:val="sv-SE"/>
              </w:rPr>
              <w:t>,</w:t>
            </w:r>
            <w:r w:rsidRPr="00F10C37">
              <w:rPr>
                <w:rFonts w:cs="Times New Roman"/>
                <w:szCs w:val="24"/>
                <w:lang w:val="sv-SE"/>
              </w:rPr>
              <w:t xml:space="preserve"> 20 mg + 5 mg</w:t>
            </w:r>
            <w:r>
              <w:rPr>
                <w:rFonts w:cs="Times New Roman"/>
                <w:szCs w:val="24"/>
                <w:lang w:val="sv-SE"/>
              </w:rPr>
              <w:t>,</w:t>
            </w:r>
            <w:r w:rsidRPr="00F10C37">
              <w:rPr>
                <w:rFonts w:cs="Times New Roman"/>
                <w:szCs w:val="24"/>
                <w:lang w:val="sv-SE"/>
              </w:rPr>
              <w:t xml:space="preserve"> 20 mg + 10 mg.</w:t>
            </w:r>
          </w:p>
        </w:tc>
      </w:tr>
      <w:tr w:rsidR="0053763D" w:rsidRPr="00F10C37" w14:paraId="6FE137BB" w14:textId="77777777" w:rsidTr="00C46407">
        <w:trPr>
          <w:trHeight w:val="521"/>
        </w:trPr>
        <w:tc>
          <w:tcPr>
            <w:tcW w:w="2425" w:type="dxa"/>
          </w:tcPr>
          <w:p w14:paraId="68C910DC" w14:textId="77777777" w:rsidR="0053763D" w:rsidRPr="00F85D0A" w:rsidRDefault="0053763D" w:rsidP="00C46407">
            <w:pPr>
              <w:jc w:val="both"/>
              <w:rPr>
                <w:rFonts w:cs="Times New Roman"/>
                <w:szCs w:val="24"/>
              </w:rPr>
            </w:pPr>
            <w:r w:rsidRPr="00F85D0A">
              <w:rPr>
                <w:rFonts w:cs="Times New Roman"/>
                <w:szCs w:val="24"/>
              </w:rPr>
              <w:t>Indications</w:t>
            </w:r>
          </w:p>
        </w:tc>
        <w:tc>
          <w:tcPr>
            <w:tcW w:w="6930" w:type="dxa"/>
          </w:tcPr>
          <w:p w14:paraId="0498AAE8" w14:textId="77777777" w:rsidR="0053763D" w:rsidRPr="00F10C37" w:rsidRDefault="0053763D" w:rsidP="00C46407">
            <w:pPr>
              <w:jc w:val="both"/>
              <w:rPr>
                <w:rFonts w:cs="Times New Roman"/>
                <w:szCs w:val="24"/>
              </w:rPr>
            </w:pPr>
            <w:r w:rsidRPr="00F10C37">
              <w:rPr>
                <w:rFonts w:cs="Times New Roman"/>
                <w:szCs w:val="24"/>
              </w:rPr>
              <w:t>Hypertension not controlled by monotherapy, and patients stabilized on the individual components in the same proportions</w:t>
            </w:r>
            <w:r>
              <w:rPr>
                <w:rFonts w:cs="Times New Roman"/>
                <w:szCs w:val="24"/>
              </w:rPr>
              <w:t>.</w:t>
            </w:r>
          </w:p>
        </w:tc>
      </w:tr>
      <w:tr w:rsidR="0053763D" w:rsidRPr="00F10C37" w14:paraId="1A013703" w14:textId="77777777" w:rsidTr="00C46407">
        <w:trPr>
          <w:trHeight w:val="521"/>
        </w:trPr>
        <w:tc>
          <w:tcPr>
            <w:tcW w:w="2425" w:type="dxa"/>
          </w:tcPr>
          <w:p w14:paraId="2E23FCA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359FF539" w14:textId="77777777" w:rsidR="0053763D" w:rsidRDefault="0053763D" w:rsidP="00C46407">
            <w:pPr>
              <w:jc w:val="both"/>
              <w:rPr>
                <w:rFonts w:cs="Times New Roman"/>
                <w:b/>
                <w:szCs w:val="24"/>
              </w:rPr>
            </w:pPr>
            <w:r w:rsidRPr="00F10C37">
              <w:rPr>
                <w:rFonts w:cs="Times New Roman"/>
                <w:b/>
                <w:szCs w:val="24"/>
              </w:rPr>
              <w:t xml:space="preserve">Hypertension not controlled by monotherapy, </w:t>
            </w:r>
            <w:r w:rsidRPr="00F80CC3">
              <w:rPr>
                <w:rFonts w:cs="Times New Roman"/>
                <w:szCs w:val="24"/>
              </w:rPr>
              <w:t>oral</w:t>
            </w:r>
            <w:r>
              <w:rPr>
                <w:rFonts w:cs="Times New Roman"/>
                <w:b/>
                <w:szCs w:val="24"/>
              </w:rPr>
              <w:t>:</w:t>
            </w:r>
          </w:p>
          <w:p w14:paraId="548F56C9" w14:textId="77777777" w:rsidR="0053763D" w:rsidRPr="00F10C37" w:rsidRDefault="0053763D" w:rsidP="00C46407">
            <w:pPr>
              <w:jc w:val="both"/>
              <w:rPr>
                <w:rFonts w:cs="Times New Roman"/>
                <w:b/>
                <w:szCs w:val="24"/>
              </w:rPr>
            </w:pPr>
            <w:r w:rsidRPr="00F10C37">
              <w:rPr>
                <w:rFonts w:cs="Times New Roman"/>
                <w:b/>
                <w:szCs w:val="24"/>
              </w:rPr>
              <w:t xml:space="preserve">Adult: </w:t>
            </w:r>
            <w:r w:rsidRPr="00F10C37">
              <w:rPr>
                <w:rFonts w:cs="Times New Roman"/>
                <w:szCs w:val="24"/>
              </w:rPr>
              <w:t xml:space="preserve">One tablet of the fixed dose combination daily. </w:t>
            </w:r>
          </w:p>
        </w:tc>
      </w:tr>
      <w:tr w:rsidR="0053763D" w:rsidRPr="00F10C37" w14:paraId="58FBCE4D" w14:textId="77777777" w:rsidTr="00C46407">
        <w:tc>
          <w:tcPr>
            <w:tcW w:w="2425" w:type="dxa"/>
          </w:tcPr>
          <w:p w14:paraId="3BA82756"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3CF9DF64" w14:textId="77777777" w:rsidR="0053763D" w:rsidRPr="00F10C37" w:rsidRDefault="0053763D" w:rsidP="00C46407">
            <w:pPr>
              <w:jc w:val="both"/>
              <w:rPr>
                <w:rFonts w:cs="Times New Roman"/>
                <w:szCs w:val="24"/>
              </w:rPr>
            </w:pPr>
            <w:r w:rsidRPr="00F10C37">
              <w:rPr>
                <w:rFonts w:cs="Times New Roman"/>
                <w:szCs w:val="24"/>
              </w:rPr>
              <w:t>Refer to individual monograph</w:t>
            </w:r>
            <w:r>
              <w:rPr>
                <w:rFonts w:cs="Times New Roman"/>
                <w:szCs w:val="24"/>
              </w:rPr>
              <w:t>.</w:t>
            </w:r>
          </w:p>
        </w:tc>
      </w:tr>
      <w:tr w:rsidR="0053763D" w:rsidRPr="00F10C37" w14:paraId="78F9A409" w14:textId="77777777" w:rsidTr="00C46407">
        <w:tc>
          <w:tcPr>
            <w:tcW w:w="2425" w:type="dxa"/>
          </w:tcPr>
          <w:p w14:paraId="4F264B0B"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0B19D47E" w14:textId="77777777" w:rsidR="0053763D" w:rsidRPr="00F10C37" w:rsidRDefault="0053763D" w:rsidP="00C46407">
            <w:pPr>
              <w:contextualSpacing/>
              <w:jc w:val="both"/>
              <w:rPr>
                <w:rFonts w:cs="Times New Roman"/>
                <w:szCs w:val="24"/>
              </w:rPr>
            </w:pPr>
            <w:r w:rsidRPr="00F10C37">
              <w:rPr>
                <w:rFonts w:cs="Times New Roman"/>
                <w:szCs w:val="24"/>
              </w:rPr>
              <w:t>Refer to individual monograph</w:t>
            </w:r>
            <w:r>
              <w:rPr>
                <w:rFonts w:cs="Times New Roman"/>
                <w:szCs w:val="24"/>
              </w:rPr>
              <w:t>.</w:t>
            </w:r>
          </w:p>
        </w:tc>
      </w:tr>
      <w:tr w:rsidR="0053763D" w:rsidRPr="00F10C37" w14:paraId="5D7A16CA" w14:textId="77777777" w:rsidTr="00C46407">
        <w:tc>
          <w:tcPr>
            <w:tcW w:w="2425" w:type="dxa"/>
          </w:tcPr>
          <w:p w14:paraId="1C16EB4D"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364DB088" w14:textId="77777777" w:rsidR="0053763D" w:rsidRPr="00F10C37" w:rsidRDefault="0053763D" w:rsidP="00C46407">
            <w:pPr>
              <w:contextualSpacing/>
              <w:jc w:val="both"/>
              <w:rPr>
                <w:rFonts w:cs="Times New Roman"/>
                <w:szCs w:val="24"/>
              </w:rPr>
            </w:pPr>
            <w:r w:rsidRPr="00F10C37">
              <w:rPr>
                <w:rFonts w:cs="Times New Roman"/>
                <w:szCs w:val="24"/>
              </w:rPr>
              <w:t>Refer to individual monograph</w:t>
            </w:r>
            <w:r>
              <w:rPr>
                <w:rFonts w:cs="Times New Roman"/>
                <w:szCs w:val="24"/>
              </w:rPr>
              <w:t>.</w:t>
            </w:r>
          </w:p>
        </w:tc>
      </w:tr>
      <w:tr w:rsidR="0053763D" w:rsidRPr="00F10C37" w14:paraId="76524A65" w14:textId="77777777" w:rsidTr="00C46407">
        <w:tc>
          <w:tcPr>
            <w:tcW w:w="2425" w:type="dxa"/>
          </w:tcPr>
          <w:p w14:paraId="2FC924DE"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52981830" w14:textId="77777777" w:rsidR="0053763D" w:rsidRPr="00F10C37" w:rsidRDefault="0053763D" w:rsidP="00C46407">
            <w:pPr>
              <w:jc w:val="both"/>
              <w:rPr>
                <w:rFonts w:cs="Times New Roman"/>
                <w:szCs w:val="24"/>
              </w:rPr>
            </w:pPr>
            <w:r w:rsidRPr="00F10C37">
              <w:rPr>
                <w:rFonts w:cs="Times New Roman"/>
                <w:szCs w:val="24"/>
              </w:rPr>
              <w:t xml:space="preserve">Symptomatic hypotension, aortic and mitral stenosis, obstructive hypertrophic cardiomyopathy, renal </w:t>
            </w:r>
            <w:r>
              <w:rPr>
                <w:rFonts w:cs="Times New Roman"/>
                <w:szCs w:val="24"/>
              </w:rPr>
              <w:t>impairmnet</w:t>
            </w:r>
            <w:r w:rsidRPr="00F10C37">
              <w:rPr>
                <w:rFonts w:cs="Times New Roman"/>
                <w:szCs w:val="24"/>
              </w:rPr>
              <w:t xml:space="preserve">, hepatic impairment. </w:t>
            </w:r>
          </w:p>
          <w:p w14:paraId="2FE4C47A" w14:textId="77777777" w:rsidR="0053763D" w:rsidRPr="003D3E3A" w:rsidRDefault="0053763D" w:rsidP="00C46407">
            <w:pPr>
              <w:jc w:val="both"/>
              <w:rPr>
                <w:rFonts w:cs="Times New Roman"/>
                <w:i/>
                <w:szCs w:val="24"/>
              </w:rPr>
            </w:pPr>
            <w:r>
              <w:rPr>
                <w:rFonts w:cs="Times New Roman"/>
                <w:i/>
                <w:szCs w:val="24"/>
              </w:rPr>
              <w:t xml:space="preserve">Note: </w:t>
            </w:r>
            <w:r w:rsidRPr="003D3E3A">
              <w:rPr>
                <w:rFonts w:cs="Times New Roman"/>
                <w:i/>
                <w:szCs w:val="24"/>
              </w:rPr>
              <w:t>Refer individual product literature for detail.</w:t>
            </w:r>
          </w:p>
        </w:tc>
      </w:tr>
      <w:tr w:rsidR="0053763D" w:rsidRPr="00F10C37" w14:paraId="6319A26F" w14:textId="77777777" w:rsidTr="00C46407">
        <w:tc>
          <w:tcPr>
            <w:tcW w:w="2425" w:type="dxa"/>
          </w:tcPr>
          <w:p w14:paraId="4DFCE8DF"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7A7E874E"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w:t>
            </w:r>
          </w:p>
        </w:tc>
      </w:tr>
      <w:tr w:rsidR="0053763D" w:rsidRPr="00F10C37" w14:paraId="744F1CDA" w14:textId="77777777" w:rsidTr="00C46407">
        <w:trPr>
          <w:trHeight w:val="512"/>
        </w:trPr>
        <w:tc>
          <w:tcPr>
            <w:tcW w:w="9355" w:type="dxa"/>
            <w:gridSpan w:val="2"/>
          </w:tcPr>
          <w:p w14:paraId="69797A20" w14:textId="77777777" w:rsidR="0053763D" w:rsidRPr="00F10C37" w:rsidRDefault="0053763D" w:rsidP="00C46407">
            <w:pPr>
              <w:jc w:val="both"/>
              <w:rPr>
                <w:rFonts w:cs="Times New Roman"/>
                <w:b/>
                <w:szCs w:val="24"/>
              </w:rPr>
            </w:pPr>
            <w:r w:rsidRPr="00F10C37">
              <w:rPr>
                <w:rFonts w:cs="Times New Roman"/>
                <w:b/>
                <w:szCs w:val="24"/>
                <w:lang w:val="sv-SE"/>
              </w:rPr>
              <w:lastRenderedPageBreak/>
              <w:t>Lisinopril +  Hydrochlorothiazide</w:t>
            </w:r>
          </w:p>
        </w:tc>
      </w:tr>
      <w:tr w:rsidR="0053763D" w:rsidRPr="00F10C37" w14:paraId="45E53DFA" w14:textId="77777777" w:rsidTr="00C46407">
        <w:trPr>
          <w:trHeight w:val="512"/>
        </w:trPr>
        <w:tc>
          <w:tcPr>
            <w:tcW w:w="2425" w:type="dxa"/>
          </w:tcPr>
          <w:p w14:paraId="1A12C15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5C911BD2"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 xml:space="preserve">ACE inhibitor </w:t>
            </w:r>
            <w:r>
              <w:rPr>
                <w:rFonts w:cs="Times New Roman"/>
                <w:szCs w:val="24"/>
              </w:rPr>
              <w:t xml:space="preserve">+ </w:t>
            </w:r>
            <w:r w:rsidRPr="00F10C37">
              <w:rPr>
                <w:rFonts w:cs="Times New Roman"/>
                <w:szCs w:val="24"/>
              </w:rPr>
              <w:t>thiazide diuretic</w:t>
            </w:r>
          </w:p>
        </w:tc>
      </w:tr>
      <w:tr w:rsidR="0053763D" w:rsidRPr="00F10C37" w14:paraId="05804750" w14:textId="77777777" w:rsidTr="00C46407">
        <w:trPr>
          <w:trHeight w:val="341"/>
        </w:trPr>
        <w:tc>
          <w:tcPr>
            <w:tcW w:w="2425" w:type="dxa"/>
          </w:tcPr>
          <w:p w14:paraId="06876EE0"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14B52CB1" w14:textId="77777777" w:rsidR="0053763D" w:rsidRPr="00F10C37" w:rsidRDefault="0053763D" w:rsidP="00C46407">
            <w:pPr>
              <w:jc w:val="both"/>
              <w:rPr>
                <w:rFonts w:cs="Times New Roman"/>
                <w:szCs w:val="24"/>
                <w:lang w:val="en-US"/>
              </w:rPr>
            </w:pPr>
            <w:r w:rsidRPr="00F10C37">
              <w:rPr>
                <w:rFonts w:cs="Times New Roman"/>
                <w:szCs w:val="24"/>
                <w:lang w:val="sv-SE"/>
              </w:rPr>
              <w:t>Fixed dose combination tablet: 10 mg + 12.5 mg; 20 mg + 12.5 mg; 20 mg + 25 mg.</w:t>
            </w:r>
          </w:p>
        </w:tc>
      </w:tr>
      <w:tr w:rsidR="0053763D" w:rsidRPr="00F10C37" w14:paraId="46780FEF" w14:textId="77777777" w:rsidTr="00C46407">
        <w:trPr>
          <w:trHeight w:val="521"/>
        </w:trPr>
        <w:tc>
          <w:tcPr>
            <w:tcW w:w="2425" w:type="dxa"/>
          </w:tcPr>
          <w:p w14:paraId="253C86B4" w14:textId="77777777" w:rsidR="0053763D" w:rsidRPr="00E03D29" w:rsidRDefault="0053763D" w:rsidP="00C46407">
            <w:pPr>
              <w:jc w:val="both"/>
              <w:rPr>
                <w:rFonts w:cs="Times New Roman"/>
                <w:szCs w:val="24"/>
              </w:rPr>
            </w:pPr>
            <w:r w:rsidRPr="00E03D29">
              <w:rPr>
                <w:rFonts w:cs="Times New Roman"/>
                <w:szCs w:val="24"/>
              </w:rPr>
              <w:t>Indications</w:t>
            </w:r>
          </w:p>
        </w:tc>
        <w:tc>
          <w:tcPr>
            <w:tcW w:w="6930" w:type="dxa"/>
          </w:tcPr>
          <w:p w14:paraId="1E087B8A" w14:textId="77777777" w:rsidR="0053763D" w:rsidRPr="00F10C37" w:rsidRDefault="0053763D" w:rsidP="00C46407">
            <w:pPr>
              <w:jc w:val="both"/>
              <w:rPr>
                <w:rFonts w:cs="Times New Roman"/>
                <w:szCs w:val="24"/>
              </w:rPr>
            </w:pPr>
            <w:r w:rsidRPr="00F10C37">
              <w:rPr>
                <w:rFonts w:cs="Times New Roman"/>
                <w:szCs w:val="24"/>
              </w:rPr>
              <w:t>Hypertension not controlled by monotherapy, and patients stabilized on the individual components in the same proportions</w:t>
            </w:r>
            <w:r>
              <w:rPr>
                <w:rFonts w:cs="Times New Roman"/>
                <w:szCs w:val="24"/>
              </w:rPr>
              <w:t>.</w:t>
            </w:r>
          </w:p>
        </w:tc>
      </w:tr>
      <w:tr w:rsidR="0053763D" w:rsidRPr="00F10C37" w14:paraId="3CE10FBD" w14:textId="77777777" w:rsidTr="00C46407">
        <w:trPr>
          <w:trHeight w:val="521"/>
        </w:trPr>
        <w:tc>
          <w:tcPr>
            <w:tcW w:w="2425" w:type="dxa"/>
          </w:tcPr>
          <w:p w14:paraId="07082383"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5E470A57"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3D3E3A">
              <w:rPr>
                <w:rFonts w:eastAsiaTheme="minorHAnsi" w:cs="Times New Roman"/>
                <w:b/>
                <w:kern w:val="0"/>
                <w:szCs w:val="24"/>
                <w:lang w:val="en-US" w:eastAsia="en-US"/>
              </w:rPr>
              <w:t>Hypertension:</w:t>
            </w:r>
            <w:r w:rsidRPr="00F10C37">
              <w:rPr>
                <w:rFonts w:eastAsiaTheme="minorHAnsi" w:cs="Times New Roman"/>
                <w:kern w:val="0"/>
                <w:szCs w:val="24"/>
                <w:lang w:val="en-US" w:eastAsia="en-US"/>
              </w:rPr>
              <w:t xml:space="preserve"> </w:t>
            </w:r>
          </w:p>
          <w:p w14:paraId="66649CD2"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3D3E3A">
              <w:rPr>
                <w:rFonts w:eastAsiaTheme="minorHAnsi" w:cs="Times New Roman"/>
                <w:b/>
                <w:kern w:val="0"/>
                <w:szCs w:val="24"/>
                <w:lang w:val="en-US" w:eastAsia="en-US"/>
              </w:rPr>
              <w:t>Adult:</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20mg/12.5mg tablet once a day; in general, if the desired therapeutic effect cannot be achieved in 2 to 4 weeks at this dose level, the dose can be increased to 40mg/25mg administered once daily.</w:t>
            </w:r>
          </w:p>
        </w:tc>
      </w:tr>
      <w:tr w:rsidR="0053763D" w:rsidRPr="00F10C37" w14:paraId="555C99E5" w14:textId="77777777" w:rsidTr="00C46407">
        <w:tc>
          <w:tcPr>
            <w:tcW w:w="2425" w:type="dxa"/>
          </w:tcPr>
          <w:p w14:paraId="21258B45"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385CA617"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Hypersensitivity to the </w:t>
            </w:r>
            <w:r>
              <w:rPr>
                <w:rFonts w:eastAsiaTheme="minorHAnsi" w:cs="Times New Roman"/>
                <w:kern w:val="0"/>
                <w:szCs w:val="24"/>
                <w:lang w:val="en-US" w:eastAsia="en-US"/>
              </w:rPr>
              <w:t xml:space="preserve">drug or </w:t>
            </w:r>
            <w:r w:rsidRPr="00F10C37">
              <w:rPr>
                <w:rFonts w:eastAsiaTheme="minorHAnsi" w:cs="Times New Roman"/>
                <w:kern w:val="0"/>
                <w:szCs w:val="24"/>
                <w:lang w:val="en-US" w:eastAsia="en-US"/>
              </w:rPr>
              <w:t>any sulphonamide-derived drugs</w:t>
            </w:r>
            <w:r>
              <w:rPr>
                <w:rFonts w:eastAsiaTheme="minorHAnsi" w:cs="Times New Roman"/>
                <w:kern w:val="0"/>
                <w:szCs w:val="24"/>
                <w:lang w:val="en-US" w:eastAsia="en-US"/>
              </w:rPr>
              <w:t xml:space="preserve"> or</w:t>
            </w:r>
            <w:r w:rsidRPr="00F10C37">
              <w:rPr>
                <w:rFonts w:eastAsiaTheme="minorHAnsi" w:cs="Times New Roman"/>
                <w:kern w:val="0"/>
                <w:szCs w:val="24"/>
                <w:lang w:val="en-US" w:eastAsia="en-US"/>
              </w:rPr>
              <w:t xml:space="preserve"> any other ACEI, concomitant use with sacubitril/ valsartan therapy., history of angioedema, pregnancy, severe renal impairment (CrCl &lt; 30 </w:t>
            </w:r>
            <w:r>
              <w:rPr>
                <w:rFonts w:eastAsiaTheme="minorHAnsi" w:cs="Times New Roman"/>
                <w:kern w:val="0"/>
                <w:szCs w:val="24"/>
                <w:lang w:val="en-US" w:eastAsia="en-US"/>
              </w:rPr>
              <w:t>ml</w:t>
            </w:r>
            <w:r w:rsidRPr="00F10C37">
              <w:rPr>
                <w:rFonts w:eastAsiaTheme="minorHAnsi" w:cs="Times New Roman"/>
                <w:kern w:val="0"/>
                <w:szCs w:val="24"/>
                <w:lang w:val="en-US" w:eastAsia="en-US"/>
              </w:rPr>
              <w:t>/min), anuria, severe hepatic impairment.</w:t>
            </w:r>
          </w:p>
        </w:tc>
      </w:tr>
      <w:tr w:rsidR="0053763D" w:rsidRPr="00F10C37" w14:paraId="3B780DC4" w14:textId="77777777" w:rsidTr="00C46407">
        <w:tc>
          <w:tcPr>
            <w:tcW w:w="2425" w:type="dxa"/>
          </w:tcPr>
          <w:p w14:paraId="5C88C25A"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0594E093" w14:textId="77777777" w:rsidR="0053763D" w:rsidRPr="00F10C37" w:rsidRDefault="0053763D" w:rsidP="00C46407">
            <w:pPr>
              <w:contextualSpacing/>
              <w:jc w:val="both"/>
              <w:rPr>
                <w:rFonts w:cs="Times New Roman"/>
                <w:szCs w:val="24"/>
              </w:rPr>
            </w:pPr>
            <w:r w:rsidRPr="001D7EAD">
              <w:rPr>
                <w:rFonts w:cs="Times New Roman"/>
                <w:szCs w:val="24"/>
              </w:rPr>
              <w:t>Refer to individual monograph.</w:t>
            </w:r>
          </w:p>
        </w:tc>
      </w:tr>
      <w:tr w:rsidR="0053763D" w:rsidRPr="00F10C37" w14:paraId="46CDB683" w14:textId="77777777" w:rsidTr="00C46407">
        <w:tc>
          <w:tcPr>
            <w:tcW w:w="2425" w:type="dxa"/>
          </w:tcPr>
          <w:p w14:paraId="07B4F20C"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43B661AB" w14:textId="77777777" w:rsidR="0053763D" w:rsidRPr="00F10C37" w:rsidRDefault="0053763D" w:rsidP="00C46407">
            <w:pPr>
              <w:contextualSpacing/>
              <w:jc w:val="both"/>
              <w:rPr>
                <w:rFonts w:cs="Times New Roman"/>
                <w:szCs w:val="24"/>
              </w:rPr>
            </w:pPr>
            <w:r w:rsidRPr="001D7EAD">
              <w:rPr>
                <w:rFonts w:cs="Times New Roman"/>
                <w:szCs w:val="24"/>
              </w:rPr>
              <w:t>Refer to individual monograph.</w:t>
            </w:r>
          </w:p>
        </w:tc>
      </w:tr>
      <w:tr w:rsidR="0053763D" w:rsidRPr="00F10C37" w14:paraId="301A1D31" w14:textId="77777777" w:rsidTr="00C46407">
        <w:tc>
          <w:tcPr>
            <w:tcW w:w="2425" w:type="dxa"/>
          </w:tcPr>
          <w:p w14:paraId="5CDF8DD0"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075056AF" w14:textId="77777777" w:rsidR="0053763D" w:rsidRPr="00F10C37" w:rsidRDefault="0053763D" w:rsidP="00C46407">
            <w:pPr>
              <w:jc w:val="both"/>
              <w:rPr>
                <w:rFonts w:cs="Times New Roman"/>
                <w:szCs w:val="24"/>
              </w:rPr>
            </w:pPr>
            <w:r w:rsidRPr="00F10C37">
              <w:rPr>
                <w:rFonts w:cs="Times New Roman"/>
                <w:szCs w:val="24"/>
              </w:rPr>
              <w:t>Refer to individual monograph</w:t>
            </w:r>
            <w:r>
              <w:rPr>
                <w:rFonts w:cs="Times New Roman"/>
                <w:szCs w:val="24"/>
              </w:rPr>
              <w:t>.</w:t>
            </w:r>
          </w:p>
        </w:tc>
      </w:tr>
      <w:tr w:rsidR="0053763D" w:rsidRPr="00F10C37" w14:paraId="6DE34557" w14:textId="77777777" w:rsidTr="00C46407">
        <w:tc>
          <w:tcPr>
            <w:tcW w:w="2425" w:type="dxa"/>
          </w:tcPr>
          <w:p w14:paraId="74DE9B51"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1AF96D50"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w:t>
            </w:r>
          </w:p>
        </w:tc>
      </w:tr>
      <w:tr w:rsidR="0053763D" w:rsidRPr="00F10C37" w14:paraId="5B23027F" w14:textId="77777777" w:rsidTr="00C46407">
        <w:trPr>
          <w:trHeight w:val="512"/>
        </w:trPr>
        <w:tc>
          <w:tcPr>
            <w:tcW w:w="9355" w:type="dxa"/>
            <w:gridSpan w:val="2"/>
          </w:tcPr>
          <w:p w14:paraId="42E80C0C" w14:textId="77777777" w:rsidR="0053763D" w:rsidRPr="00F10C37" w:rsidRDefault="0053763D" w:rsidP="00C46407">
            <w:pPr>
              <w:jc w:val="both"/>
              <w:rPr>
                <w:rFonts w:cs="Times New Roman"/>
                <w:b/>
                <w:szCs w:val="24"/>
              </w:rPr>
            </w:pPr>
            <w:r w:rsidRPr="00F10C37">
              <w:rPr>
                <w:rFonts w:cs="Times New Roman"/>
                <w:b/>
                <w:szCs w:val="24"/>
              </w:rPr>
              <w:t xml:space="preserve">Losartan </w:t>
            </w:r>
          </w:p>
        </w:tc>
      </w:tr>
      <w:tr w:rsidR="0053763D" w:rsidRPr="00F10C37" w14:paraId="38CE5F68" w14:textId="77777777" w:rsidTr="00C46407">
        <w:trPr>
          <w:trHeight w:val="512"/>
        </w:trPr>
        <w:tc>
          <w:tcPr>
            <w:tcW w:w="2425" w:type="dxa"/>
          </w:tcPr>
          <w:p w14:paraId="6923AFAE"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1917957B"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Angiotensin-II receptor antagonist</w:t>
            </w:r>
          </w:p>
        </w:tc>
      </w:tr>
      <w:tr w:rsidR="0053763D" w:rsidRPr="00F10C37" w14:paraId="38D9AFD8" w14:textId="77777777" w:rsidTr="00C46407">
        <w:trPr>
          <w:trHeight w:val="341"/>
        </w:trPr>
        <w:tc>
          <w:tcPr>
            <w:tcW w:w="2425" w:type="dxa"/>
          </w:tcPr>
          <w:p w14:paraId="602EFCCF"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05A57DD9" w14:textId="77777777" w:rsidR="0053763D" w:rsidRPr="00F10C37" w:rsidRDefault="0053763D" w:rsidP="00C46407">
            <w:pPr>
              <w:jc w:val="both"/>
              <w:rPr>
                <w:rFonts w:cs="Times New Roman"/>
                <w:szCs w:val="24"/>
              </w:rPr>
            </w:pPr>
            <w:r w:rsidRPr="00F10C37">
              <w:rPr>
                <w:rFonts w:cs="Times New Roman"/>
                <w:szCs w:val="24"/>
              </w:rPr>
              <w:t>Tablet: 25 mg, 50mg and 100 mg</w:t>
            </w:r>
          </w:p>
        </w:tc>
      </w:tr>
      <w:tr w:rsidR="0053763D" w:rsidRPr="00F10C37" w14:paraId="2064E17B" w14:textId="77777777" w:rsidTr="00C46407">
        <w:trPr>
          <w:trHeight w:val="521"/>
        </w:trPr>
        <w:tc>
          <w:tcPr>
            <w:tcW w:w="2425" w:type="dxa"/>
          </w:tcPr>
          <w:p w14:paraId="123BCC49" w14:textId="77777777" w:rsidR="0053763D" w:rsidRPr="000E5B1D" w:rsidRDefault="0053763D" w:rsidP="00C46407">
            <w:pPr>
              <w:jc w:val="both"/>
              <w:rPr>
                <w:rFonts w:cs="Times New Roman"/>
                <w:szCs w:val="24"/>
              </w:rPr>
            </w:pPr>
            <w:r w:rsidRPr="000E5B1D">
              <w:rPr>
                <w:rFonts w:cs="Times New Roman"/>
                <w:szCs w:val="24"/>
              </w:rPr>
              <w:t>Indications</w:t>
            </w:r>
          </w:p>
        </w:tc>
        <w:tc>
          <w:tcPr>
            <w:tcW w:w="6930" w:type="dxa"/>
          </w:tcPr>
          <w:p w14:paraId="1B18C5B1" w14:textId="77777777" w:rsidR="0053763D" w:rsidRPr="00F10C37" w:rsidRDefault="0053763D" w:rsidP="00C46407">
            <w:pPr>
              <w:jc w:val="both"/>
              <w:rPr>
                <w:rFonts w:cs="Times New Roman"/>
                <w:szCs w:val="24"/>
              </w:rPr>
            </w:pPr>
            <w:r w:rsidRPr="00F10C37">
              <w:rPr>
                <w:rFonts w:cs="Times New Roman"/>
                <w:szCs w:val="24"/>
              </w:rPr>
              <w:t>Hypertension, heart failure, MI with left ventricular dysfunction</w:t>
            </w:r>
          </w:p>
        </w:tc>
      </w:tr>
      <w:tr w:rsidR="0053763D" w:rsidRPr="00F10C37" w14:paraId="36D5E46E" w14:textId="77777777" w:rsidTr="00C46407">
        <w:trPr>
          <w:trHeight w:val="521"/>
        </w:trPr>
        <w:tc>
          <w:tcPr>
            <w:tcW w:w="2425" w:type="dxa"/>
          </w:tcPr>
          <w:p w14:paraId="592AFEC7"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617D02FD" w14:textId="77777777" w:rsidR="0053763D"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Hypertension</w:t>
            </w:r>
            <w:r w:rsidRPr="00F10C37">
              <w:rPr>
                <w:rFonts w:eastAsiaTheme="minorHAnsi" w:cs="Times New Roman"/>
                <w:color w:val="231F20"/>
                <w:kern w:val="0"/>
                <w:szCs w:val="24"/>
                <w:lang w:val="en-US" w:eastAsia="en-US"/>
              </w:rPr>
              <w:t xml:space="preserve"> (including </w:t>
            </w:r>
            <w:r w:rsidRPr="00F10C37">
              <w:rPr>
                <w:rFonts w:eastAsiaTheme="minorHAnsi" w:cs="Times New Roman"/>
                <w:b/>
                <w:color w:val="231F20"/>
                <w:kern w:val="0"/>
                <w:szCs w:val="24"/>
                <w:lang w:val="en-US" w:eastAsia="en-US"/>
              </w:rPr>
              <w:t>reduction of stroke risk in hypertension with left ventricular hypertrophy</w:t>
            </w:r>
            <w:r w:rsidRPr="00F10C37">
              <w:rPr>
                <w:rFonts w:eastAsiaTheme="minorHAnsi" w:cs="Times New Roman"/>
                <w:color w:val="231F20"/>
                <w:kern w:val="0"/>
                <w:szCs w:val="24"/>
                <w:lang w:val="en-US" w:eastAsia="en-US"/>
              </w:rPr>
              <w:t>)</w:t>
            </w:r>
            <w:r>
              <w:rPr>
                <w:rFonts w:eastAsiaTheme="minorHAnsi" w:cs="Times New Roman"/>
                <w:color w:val="231F20"/>
                <w:kern w:val="0"/>
                <w:szCs w:val="24"/>
                <w:lang w:val="en-US" w:eastAsia="en-US"/>
              </w:rPr>
              <w:t>:</w:t>
            </w:r>
          </w:p>
          <w:p w14:paraId="13E896EE"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 xml:space="preserve">Adult </w:t>
            </w:r>
            <w:r>
              <w:rPr>
                <w:rFonts w:eastAsiaTheme="minorHAnsi" w:cs="Times New Roman"/>
                <w:b/>
                <w:color w:val="231F20"/>
                <w:kern w:val="0"/>
                <w:szCs w:val="24"/>
                <w:lang w:val="en-US" w:eastAsia="en-US"/>
              </w:rPr>
              <w:t>(</w:t>
            </w:r>
            <w:r w:rsidRPr="00F10C37">
              <w:rPr>
                <w:rFonts w:eastAsiaTheme="minorHAnsi" w:cs="Times New Roman"/>
                <w:b/>
                <w:color w:val="231F20"/>
                <w:kern w:val="0"/>
                <w:szCs w:val="24"/>
                <w:lang w:val="en-US" w:eastAsia="en-US"/>
              </w:rPr>
              <w:t>18–75</w:t>
            </w:r>
            <w:r w:rsidRPr="00F10C37">
              <w:rPr>
                <w:rFonts w:eastAsiaTheme="minorHAnsi" w:cs="Times New Roman"/>
                <w:color w:val="231F20"/>
                <w:kern w:val="0"/>
                <w:szCs w:val="24"/>
                <w:lang w:val="en-US" w:eastAsia="en-US"/>
              </w:rPr>
              <w:t xml:space="preserve"> </w:t>
            </w:r>
            <w:r w:rsidRPr="00F10C37">
              <w:rPr>
                <w:rFonts w:eastAsiaTheme="minorHAnsi" w:cs="Times New Roman"/>
                <w:b/>
                <w:color w:val="231F20"/>
                <w:kern w:val="0"/>
                <w:szCs w:val="24"/>
                <w:lang w:val="en-US" w:eastAsia="en-US"/>
              </w:rPr>
              <w:t>years</w:t>
            </w:r>
            <w:r>
              <w:rPr>
                <w:rFonts w:eastAsiaTheme="minorHAnsi" w:cs="Times New Roman"/>
                <w:b/>
                <w:color w:val="231F20"/>
                <w:kern w:val="0"/>
                <w:szCs w:val="24"/>
                <w:lang w:val="en-US" w:eastAsia="en-US"/>
              </w:rPr>
              <w:t>)</w:t>
            </w:r>
            <w:r w:rsidRPr="00F10C37">
              <w:rPr>
                <w:rFonts w:eastAsiaTheme="minorHAnsi" w:cs="Times New Roman"/>
                <w:color w:val="231F20"/>
                <w:kern w:val="0"/>
                <w:szCs w:val="24"/>
                <w:lang w:val="en-US" w:eastAsia="en-US"/>
              </w:rPr>
              <w:t>: Initially 50 mg oral once daily for several weeks, then increased if necessary to 100 mg once daily.</w:t>
            </w:r>
          </w:p>
          <w:p w14:paraId="5CF2D4F8"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Pr>
                <w:rFonts w:eastAsiaTheme="minorHAnsi" w:cs="Times New Roman"/>
                <w:b/>
                <w:color w:val="231F20"/>
                <w:kern w:val="0"/>
                <w:szCs w:val="24"/>
                <w:lang w:val="en-US" w:eastAsia="en-US"/>
              </w:rPr>
              <w:t>Elderly</w:t>
            </w:r>
            <w:r w:rsidRPr="00F10C37">
              <w:rPr>
                <w:rFonts w:eastAsiaTheme="minorHAnsi" w:cs="Times New Roman"/>
                <w:b/>
                <w:color w:val="231F20"/>
                <w:kern w:val="0"/>
                <w:szCs w:val="24"/>
                <w:lang w:val="en-US" w:eastAsia="en-US"/>
              </w:rPr>
              <w:t xml:space="preserve"> </w:t>
            </w:r>
            <w:r>
              <w:rPr>
                <w:rFonts w:eastAsiaTheme="minorHAnsi" w:cs="Times New Roman"/>
                <w:b/>
                <w:color w:val="231F20"/>
                <w:kern w:val="0"/>
                <w:szCs w:val="24"/>
                <w:lang w:val="en-US" w:eastAsia="en-US"/>
              </w:rPr>
              <w:t>(</w:t>
            </w:r>
            <w:r w:rsidRPr="00F10C37">
              <w:rPr>
                <w:rFonts w:eastAsiaTheme="minorHAnsi" w:cs="Times New Roman"/>
                <w:b/>
                <w:color w:val="231F20"/>
                <w:kern w:val="0"/>
                <w:szCs w:val="24"/>
                <w:lang w:val="en-US" w:eastAsia="en-US"/>
              </w:rPr>
              <w:t>76 years and over</w:t>
            </w:r>
            <w:r>
              <w:rPr>
                <w:rFonts w:eastAsiaTheme="minorHAnsi" w:cs="Times New Roman"/>
                <w:b/>
                <w:color w:val="231F20"/>
                <w:kern w:val="0"/>
                <w:szCs w:val="24"/>
                <w:lang w:val="en-US" w:eastAsia="en-US"/>
              </w:rPr>
              <w:t>)</w:t>
            </w:r>
            <w:r w:rsidRPr="00F10C37">
              <w:rPr>
                <w:rFonts w:eastAsiaTheme="minorHAnsi" w:cs="Times New Roman"/>
                <w:color w:val="231F20"/>
                <w:kern w:val="0"/>
                <w:szCs w:val="24"/>
                <w:lang w:val="en-US" w:eastAsia="en-US"/>
              </w:rPr>
              <w:t>: Initially 25 mg oral once daily for several weeks, then increased if necessary to 100 mg once daily</w:t>
            </w:r>
            <w:r>
              <w:rPr>
                <w:rFonts w:eastAsiaTheme="minorHAnsi" w:cs="Times New Roman"/>
                <w:color w:val="231F20"/>
                <w:kern w:val="0"/>
                <w:szCs w:val="24"/>
                <w:lang w:val="en-US" w:eastAsia="en-US"/>
              </w:rPr>
              <w:t>.</w:t>
            </w:r>
          </w:p>
          <w:p w14:paraId="6AE103E2"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lastRenderedPageBreak/>
              <w:t>Hypertension with intravascular volume depletion</w:t>
            </w:r>
            <w:r>
              <w:rPr>
                <w:rFonts w:eastAsiaTheme="minorHAnsi" w:cs="Times New Roman"/>
                <w:b/>
                <w:color w:val="231F20"/>
                <w:kern w:val="0"/>
                <w:szCs w:val="24"/>
                <w:lang w:val="en-US" w:eastAsia="en-US"/>
              </w:rPr>
              <w:t>:</w:t>
            </w:r>
          </w:p>
          <w:p w14:paraId="555EF47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Initially 25 mg oral once daily for several weeks, then increased if necessary up to 100 mg once daily</w:t>
            </w:r>
          </w:p>
        </w:tc>
      </w:tr>
      <w:tr w:rsidR="0053763D" w:rsidRPr="00F10C37" w14:paraId="5F63B451" w14:textId="77777777" w:rsidTr="00C46407">
        <w:tc>
          <w:tcPr>
            <w:tcW w:w="2425" w:type="dxa"/>
          </w:tcPr>
          <w:p w14:paraId="46A93052"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tcPr>
          <w:p w14:paraId="63AF83E4" w14:textId="77777777" w:rsidR="0053763D" w:rsidRPr="00F10C37" w:rsidRDefault="0053763D" w:rsidP="00C46407">
            <w:pPr>
              <w:jc w:val="both"/>
              <w:rPr>
                <w:rFonts w:cs="Times New Roman"/>
                <w:szCs w:val="24"/>
              </w:rPr>
            </w:pPr>
            <w:r w:rsidRPr="00F10C37">
              <w:rPr>
                <w:rFonts w:cs="Times New Roman"/>
                <w:szCs w:val="24"/>
              </w:rPr>
              <w:t xml:space="preserve">Refer to losartan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3C0F0A7" w14:textId="77777777" w:rsidTr="00C46407">
        <w:tc>
          <w:tcPr>
            <w:tcW w:w="2425" w:type="dxa"/>
          </w:tcPr>
          <w:p w14:paraId="0F09763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790A1B29" w14:textId="77777777" w:rsidR="0053763D" w:rsidRPr="00F10C37" w:rsidRDefault="0053763D" w:rsidP="00C46407">
            <w:pPr>
              <w:contextualSpacing/>
              <w:jc w:val="both"/>
              <w:rPr>
                <w:rFonts w:cs="Times New Roman"/>
                <w:szCs w:val="24"/>
              </w:rPr>
            </w:pPr>
            <w:r w:rsidRPr="00F10C37">
              <w:rPr>
                <w:rFonts w:cs="Times New Roman"/>
                <w:szCs w:val="24"/>
              </w:rPr>
              <w:t xml:space="preserve">Refer to losartan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AD088A7" w14:textId="77777777" w:rsidTr="00C46407">
        <w:tc>
          <w:tcPr>
            <w:tcW w:w="2425" w:type="dxa"/>
          </w:tcPr>
          <w:p w14:paraId="6BDCFAC7"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178D8268" w14:textId="77777777" w:rsidR="0053763D" w:rsidRPr="00F10C37" w:rsidRDefault="0053763D" w:rsidP="00C46407">
            <w:pPr>
              <w:contextualSpacing/>
              <w:jc w:val="both"/>
              <w:rPr>
                <w:rFonts w:cs="Times New Roman"/>
                <w:szCs w:val="24"/>
              </w:rPr>
            </w:pPr>
            <w:r w:rsidRPr="00F10C37">
              <w:rPr>
                <w:rFonts w:cs="Times New Roman"/>
                <w:szCs w:val="24"/>
              </w:rPr>
              <w:t xml:space="preserve">Refer to losartan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7A7EA7D" w14:textId="77777777" w:rsidTr="00C46407">
        <w:tc>
          <w:tcPr>
            <w:tcW w:w="2425" w:type="dxa"/>
          </w:tcPr>
          <w:p w14:paraId="1D174357"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207F1DD3" w14:textId="77777777" w:rsidR="0053763D" w:rsidRPr="00F10C37" w:rsidRDefault="0053763D" w:rsidP="00C46407">
            <w:pPr>
              <w:jc w:val="both"/>
              <w:rPr>
                <w:rFonts w:cs="Times New Roman"/>
                <w:szCs w:val="24"/>
              </w:rPr>
            </w:pPr>
            <w:r w:rsidRPr="00F10C37">
              <w:rPr>
                <w:rFonts w:cs="Times New Roman"/>
                <w:szCs w:val="24"/>
              </w:rPr>
              <w:t xml:space="preserve">Refer to losartan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BF584D0" w14:textId="77777777" w:rsidTr="00C46407">
        <w:tc>
          <w:tcPr>
            <w:tcW w:w="2425" w:type="dxa"/>
          </w:tcPr>
          <w:p w14:paraId="0FDB9827"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7668C25E" w14:textId="77777777" w:rsidR="0053763D" w:rsidRPr="00F10C37" w:rsidRDefault="0053763D" w:rsidP="00C46407">
            <w:pPr>
              <w:jc w:val="both"/>
              <w:rPr>
                <w:rFonts w:cs="Times New Roman"/>
                <w:szCs w:val="24"/>
              </w:rPr>
            </w:pPr>
            <w:r w:rsidRPr="00F10C37">
              <w:rPr>
                <w:rFonts w:cs="Times New Roman"/>
                <w:szCs w:val="24"/>
              </w:rPr>
              <w:t>Store at between 15 to 30°C.</w:t>
            </w:r>
          </w:p>
        </w:tc>
      </w:tr>
      <w:tr w:rsidR="0053763D" w:rsidRPr="00F10C37" w14:paraId="4402823F" w14:textId="77777777" w:rsidTr="00C46407">
        <w:trPr>
          <w:trHeight w:val="512"/>
        </w:trPr>
        <w:tc>
          <w:tcPr>
            <w:tcW w:w="9355" w:type="dxa"/>
            <w:gridSpan w:val="2"/>
          </w:tcPr>
          <w:p w14:paraId="04F4F25D" w14:textId="77777777" w:rsidR="0053763D" w:rsidRPr="00F10C37" w:rsidRDefault="0053763D" w:rsidP="00C46407">
            <w:pPr>
              <w:jc w:val="both"/>
              <w:rPr>
                <w:rFonts w:cs="Times New Roman"/>
                <w:szCs w:val="24"/>
              </w:rPr>
            </w:pPr>
            <w:r w:rsidRPr="00F10C37">
              <w:rPr>
                <w:rFonts w:eastAsia="Times New Roman" w:cs="Times New Roman"/>
                <w:b/>
                <w:bCs/>
                <w:szCs w:val="24"/>
              </w:rPr>
              <w:t>Methyldopa</w:t>
            </w:r>
          </w:p>
        </w:tc>
      </w:tr>
      <w:tr w:rsidR="0053763D" w:rsidRPr="00F10C37" w14:paraId="55FD481A" w14:textId="77777777" w:rsidTr="00C46407">
        <w:trPr>
          <w:trHeight w:val="512"/>
        </w:trPr>
        <w:tc>
          <w:tcPr>
            <w:tcW w:w="2425" w:type="dxa"/>
          </w:tcPr>
          <w:p w14:paraId="2F4B880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7FAE1F8C"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Centrally acting antihypertensive agent</w:t>
            </w:r>
          </w:p>
        </w:tc>
      </w:tr>
      <w:tr w:rsidR="0053763D" w:rsidRPr="00F10C37" w14:paraId="6C0456F9" w14:textId="77777777" w:rsidTr="00C46407">
        <w:trPr>
          <w:trHeight w:val="341"/>
        </w:trPr>
        <w:tc>
          <w:tcPr>
            <w:tcW w:w="2425" w:type="dxa"/>
          </w:tcPr>
          <w:p w14:paraId="70C3EC3A"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274A64A8" w14:textId="77777777" w:rsidR="0053763D" w:rsidRPr="00F10C37" w:rsidRDefault="0053763D" w:rsidP="00C46407">
            <w:pPr>
              <w:jc w:val="both"/>
              <w:rPr>
                <w:rFonts w:cs="Times New Roman"/>
                <w:szCs w:val="24"/>
                <w:lang w:val="nb-NO"/>
              </w:rPr>
            </w:pPr>
            <w:r w:rsidRPr="00F10C37">
              <w:rPr>
                <w:rFonts w:cs="Times New Roman"/>
                <w:szCs w:val="24"/>
                <w:lang w:val="nb-NO"/>
              </w:rPr>
              <w:t>Tablet: 250 mg</w:t>
            </w:r>
          </w:p>
        </w:tc>
      </w:tr>
      <w:tr w:rsidR="0053763D" w:rsidRPr="00F10C37" w14:paraId="0793AF3B" w14:textId="77777777" w:rsidTr="00C46407">
        <w:trPr>
          <w:trHeight w:val="521"/>
        </w:trPr>
        <w:tc>
          <w:tcPr>
            <w:tcW w:w="2425" w:type="dxa"/>
          </w:tcPr>
          <w:p w14:paraId="7D897568" w14:textId="77777777" w:rsidR="0053763D" w:rsidRPr="006C0C0D" w:rsidRDefault="0053763D" w:rsidP="00C46407">
            <w:pPr>
              <w:jc w:val="both"/>
              <w:rPr>
                <w:rFonts w:cs="Times New Roman"/>
                <w:szCs w:val="24"/>
              </w:rPr>
            </w:pPr>
            <w:r w:rsidRPr="006C0C0D">
              <w:rPr>
                <w:rFonts w:cs="Times New Roman"/>
                <w:szCs w:val="24"/>
              </w:rPr>
              <w:t>Indications</w:t>
            </w:r>
          </w:p>
        </w:tc>
        <w:tc>
          <w:tcPr>
            <w:tcW w:w="6930" w:type="dxa"/>
          </w:tcPr>
          <w:p w14:paraId="1D6A06CD" w14:textId="77777777" w:rsidR="0053763D" w:rsidRPr="00F10C37" w:rsidRDefault="0053763D" w:rsidP="00C46407">
            <w:pPr>
              <w:jc w:val="both"/>
              <w:rPr>
                <w:rFonts w:cs="Times New Roman"/>
                <w:szCs w:val="24"/>
              </w:rPr>
            </w:pPr>
            <w:r w:rsidRPr="00F10C37">
              <w:rPr>
                <w:rFonts w:cs="Times New Roman"/>
                <w:szCs w:val="24"/>
              </w:rPr>
              <w:t xml:space="preserve">Hypertension during pregnancy </w:t>
            </w:r>
          </w:p>
        </w:tc>
      </w:tr>
      <w:tr w:rsidR="0053763D" w:rsidRPr="00F10C37" w14:paraId="3C470EEF" w14:textId="77777777" w:rsidTr="00C46407">
        <w:trPr>
          <w:trHeight w:val="521"/>
        </w:trPr>
        <w:tc>
          <w:tcPr>
            <w:tcW w:w="2425" w:type="dxa"/>
          </w:tcPr>
          <w:p w14:paraId="47B62C38"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32CB4C9E" w14:textId="77777777" w:rsidR="0053763D" w:rsidRPr="00F10C37" w:rsidRDefault="0053763D" w:rsidP="00C46407">
            <w:pPr>
              <w:jc w:val="both"/>
              <w:rPr>
                <w:rFonts w:eastAsiaTheme="minorHAnsi" w:cs="Times New Roman"/>
                <w:kern w:val="0"/>
                <w:szCs w:val="24"/>
                <w:lang w:val="en-US" w:eastAsia="en-US"/>
              </w:rPr>
            </w:pPr>
            <w:r w:rsidRPr="003D3E3A">
              <w:rPr>
                <w:rFonts w:cs="Times New Roman"/>
                <w:b/>
                <w:szCs w:val="24"/>
              </w:rPr>
              <w:t>Adult:</w:t>
            </w:r>
            <w:r>
              <w:rPr>
                <w:rFonts w:cs="Times New Roman"/>
                <w:szCs w:val="24"/>
              </w:rPr>
              <w:t xml:space="preserve"> </w:t>
            </w:r>
            <w:r w:rsidRPr="00F10C37">
              <w:rPr>
                <w:rFonts w:cs="Times New Roman"/>
                <w:szCs w:val="24"/>
              </w:rPr>
              <w:t xml:space="preserve">Initially 250 mg 2–3 times daily, gradually increased at intervals of 2 or more days, if necessary; maximum 3 g daily. </w:t>
            </w:r>
          </w:p>
        </w:tc>
      </w:tr>
      <w:tr w:rsidR="0053763D" w:rsidRPr="00F10C37" w14:paraId="0096ACD9" w14:textId="77777777" w:rsidTr="00C46407">
        <w:tc>
          <w:tcPr>
            <w:tcW w:w="2425" w:type="dxa"/>
          </w:tcPr>
          <w:p w14:paraId="0D14AFE2"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6DAC2865" w14:textId="77777777" w:rsidR="0053763D" w:rsidRPr="00F10C37" w:rsidRDefault="0053763D" w:rsidP="00C46407">
            <w:pPr>
              <w:jc w:val="both"/>
              <w:rPr>
                <w:rFonts w:cs="Times New Roman"/>
                <w:szCs w:val="24"/>
              </w:rPr>
            </w:pPr>
            <w:r w:rsidRPr="00F10C37">
              <w:rPr>
                <w:rFonts w:cs="Times New Roman"/>
                <w:szCs w:val="24"/>
              </w:rPr>
              <w:t xml:space="preserve">Depression, active liver disease, pheochromocytoma, porphyria, </w:t>
            </w:r>
            <w:r w:rsidRPr="00F10C37">
              <w:rPr>
                <w:rFonts w:eastAsiaTheme="minorHAnsi" w:cs="Times New Roman"/>
                <w:color w:val="231F20"/>
                <w:kern w:val="0"/>
                <w:szCs w:val="24"/>
                <w:lang w:val="en-US" w:eastAsia="en-US"/>
              </w:rPr>
              <w:t>paraganglioma.</w:t>
            </w:r>
          </w:p>
        </w:tc>
      </w:tr>
      <w:tr w:rsidR="0053763D" w:rsidRPr="00F10C37" w14:paraId="696714BC" w14:textId="77777777" w:rsidTr="00C46407">
        <w:tc>
          <w:tcPr>
            <w:tcW w:w="2425" w:type="dxa"/>
          </w:tcPr>
          <w:p w14:paraId="2F71A194"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5506CB4" w14:textId="77777777" w:rsidR="0053763D" w:rsidRPr="00F10C37" w:rsidRDefault="0053763D" w:rsidP="00C46407">
            <w:pPr>
              <w:contextualSpacing/>
              <w:jc w:val="both"/>
              <w:rPr>
                <w:rFonts w:cs="Times New Roman"/>
                <w:szCs w:val="24"/>
              </w:rPr>
            </w:pPr>
            <w:r w:rsidRPr="00F10C37">
              <w:rPr>
                <w:rFonts w:cs="Times New Roman"/>
                <w:szCs w:val="24"/>
              </w:rPr>
              <w:t>Entacapone, oral iron, vasopressin, irreversible monoamine oxidase (MAO) inhibitors, lithium, other antihypertensive medicines, sympathomimetics, phenothiazines, TCAs</w:t>
            </w:r>
            <w:r>
              <w:rPr>
                <w:rFonts w:cs="Times New Roman"/>
                <w:szCs w:val="24"/>
              </w:rPr>
              <w:t>.</w:t>
            </w:r>
          </w:p>
        </w:tc>
      </w:tr>
      <w:tr w:rsidR="0053763D" w:rsidRPr="00F10C37" w14:paraId="6D1F36B8" w14:textId="77777777" w:rsidTr="00C46407">
        <w:tc>
          <w:tcPr>
            <w:tcW w:w="2425" w:type="dxa"/>
          </w:tcPr>
          <w:p w14:paraId="3293629A"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5B3A781F"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color w:val="231F20"/>
                <w:kern w:val="0"/>
                <w:szCs w:val="24"/>
                <w:lang w:val="en-US" w:eastAsia="en-US"/>
              </w:rPr>
              <w:t>Abdominal distension, amenorrhea, angina pectoris, angioedema, arthralgia, asthenia, bone marrow failure, bradycardia, breast enlargement, cardiac inflammation, cognitive impairment, constipation, depression, diarrhea, dizziness, dry mouth, eosinophilia, facial paralysis, fever, gynecomastia, hemolytic anemia, headache, hepatic disorders, hyperprolactinemia, leucopenia, lupus-like syndrome, myalgia, nasal congestion, nausea, nightmare, pancreatitis, paraesthesia, parkinsonism, postural hypotension, psychiatric disorder, psychosis, sedation, sexual dysfunction, tongue discoloration, toxic epidermal necrolysis, vomiting.</w:t>
            </w:r>
          </w:p>
        </w:tc>
      </w:tr>
      <w:tr w:rsidR="0053763D" w:rsidRPr="00F10C37" w14:paraId="740F34AC" w14:textId="77777777" w:rsidTr="00C46407">
        <w:tc>
          <w:tcPr>
            <w:tcW w:w="2425" w:type="dxa"/>
          </w:tcPr>
          <w:p w14:paraId="61831B8A"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7DC47025" w14:textId="77777777" w:rsidR="0053763D" w:rsidRPr="00F10C37" w:rsidRDefault="0053763D" w:rsidP="00C46407">
            <w:pPr>
              <w:jc w:val="both"/>
              <w:rPr>
                <w:rFonts w:cs="Times New Roman"/>
                <w:szCs w:val="24"/>
              </w:rPr>
            </w:pPr>
            <w:r w:rsidRPr="00F10C37">
              <w:rPr>
                <w:rFonts w:cs="Times New Roman"/>
                <w:szCs w:val="24"/>
              </w:rPr>
              <w:t xml:space="preserve">Elderly, history of depression, hepatic impairment, renal impairment, </w:t>
            </w:r>
            <w:r w:rsidRPr="00F10C37">
              <w:rPr>
                <w:rFonts w:cs="Times New Roman"/>
                <w:szCs w:val="24"/>
              </w:rPr>
              <w:lastRenderedPageBreak/>
              <w:t>increased sensitivity to hypotensive and sedative effects.</w:t>
            </w:r>
          </w:p>
        </w:tc>
      </w:tr>
      <w:tr w:rsidR="0053763D" w:rsidRPr="00F10C37" w14:paraId="0FE7DE9F" w14:textId="77777777" w:rsidTr="00C46407">
        <w:tc>
          <w:tcPr>
            <w:tcW w:w="2425" w:type="dxa"/>
          </w:tcPr>
          <w:p w14:paraId="0664A6CB"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930" w:type="dxa"/>
          </w:tcPr>
          <w:p w14:paraId="5E5F7A68" w14:textId="77777777" w:rsidR="0053763D" w:rsidRPr="00F10C37" w:rsidRDefault="0053763D" w:rsidP="00C46407">
            <w:pPr>
              <w:jc w:val="both"/>
              <w:rPr>
                <w:rFonts w:cs="Times New Roman"/>
                <w:szCs w:val="24"/>
              </w:rPr>
            </w:pPr>
            <w:r w:rsidRPr="00F10C37">
              <w:rPr>
                <w:rFonts w:cs="Times New Roman"/>
                <w:szCs w:val="24"/>
              </w:rPr>
              <w:t>Store between 15</w:t>
            </w:r>
            <w:r w:rsidRPr="00F10C37">
              <w:rPr>
                <w:rFonts w:cs="Times New Roman"/>
                <w:szCs w:val="24"/>
                <w:vertAlign w:val="superscript"/>
              </w:rPr>
              <w:t>o</w:t>
            </w:r>
            <w:r w:rsidRPr="00F10C37">
              <w:rPr>
                <w:rFonts w:cs="Times New Roman"/>
                <w:szCs w:val="24"/>
              </w:rPr>
              <w:t xml:space="preserve">C and 30 </w:t>
            </w:r>
            <w:r w:rsidRPr="00F10C37">
              <w:rPr>
                <w:rFonts w:cs="Times New Roman"/>
                <w:szCs w:val="24"/>
                <w:vertAlign w:val="superscript"/>
              </w:rPr>
              <w:t>o</w:t>
            </w:r>
            <w:r w:rsidRPr="00F10C37">
              <w:rPr>
                <w:rFonts w:cs="Times New Roman"/>
                <w:szCs w:val="24"/>
              </w:rPr>
              <w:t>C.</w:t>
            </w:r>
          </w:p>
        </w:tc>
      </w:tr>
      <w:tr w:rsidR="0053763D" w:rsidRPr="00F10C37" w14:paraId="31D10967" w14:textId="77777777" w:rsidTr="00C46407">
        <w:trPr>
          <w:trHeight w:val="512"/>
        </w:trPr>
        <w:tc>
          <w:tcPr>
            <w:tcW w:w="9355" w:type="dxa"/>
            <w:gridSpan w:val="2"/>
          </w:tcPr>
          <w:p w14:paraId="4D543062" w14:textId="77777777" w:rsidR="0053763D" w:rsidRPr="00F10C37" w:rsidRDefault="0053763D" w:rsidP="00C46407">
            <w:pPr>
              <w:jc w:val="both"/>
              <w:rPr>
                <w:rFonts w:cs="Times New Roman"/>
                <w:b/>
                <w:szCs w:val="24"/>
              </w:rPr>
            </w:pPr>
            <w:r w:rsidRPr="00F10C37">
              <w:rPr>
                <w:rFonts w:cs="Times New Roman"/>
                <w:b/>
                <w:szCs w:val="24"/>
              </w:rPr>
              <w:t>Metoprolol succinate</w:t>
            </w:r>
          </w:p>
        </w:tc>
      </w:tr>
      <w:tr w:rsidR="0053763D" w:rsidRPr="00F10C37" w14:paraId="34C41DFF" w14:textId="77777777" w:rsidTr="00C46407">
        <w:trPr>
          <w:trHeight w:val="512"/>
        </w:trPr>
        <w:tc>
          <w:tcPr>
            <w:tcW w:w="2425" w:type="dxa"/>
          </w:tcPr>
          <w:p w14:paraId="3B627A2D"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4BF5EE4F" w14:textId="77777777" w:rsidR="0053763D" w:rsidRPr="00F10C37" w:rsidRDefault="0053763D" w:rsidP="00C46407">
            <w:pPr>
              <w:widowControl w:val="0"/>
              <w:autoSpaceDE w:val="0"/>
              <w:autoSpaceDN w:val="0"/>
              <w:jc w:val="both"/>
              <w:rPr>
                <w:rFonts w:cs="Times New Roman"/>
                <w:szCs w:val="24"/>
              </w:rPr>
            </w:pPr>
            <w:r>
              <w:rPr>
                <w:rFonts w:cs="Times New Roman"/>
                <w:szCs w:val="24"/>
              </w:rPr>
              <w:t>Selective b</w:t>
            </w:r>
            <w:r w:rsidRPr="00F10C37">
              <w:rPr>
                <w:rFonts w:cs="Times New Roman"/>
                <w:szCs w:val="24"/>
              </w:rPr>
              <w:t xml:space="preserve">eta blocker </w:t>
            </w:r>
          </w:p>
        </w:tc>
      </w:tr>
      <w:tr w:rsidR="0053763D" w:rsidRPr="00F10C37" w14:paraId="5FE0152E" w14:textId="77777777" w:rsidTr="00C46407">
        <w:trPr>
          <w:trHeight w:val="341"/>
        </w:trPr>
        <w:tc>
          <w:tcPr>
            <w:tcW w:w="2425" w:type="dxa"/>
          </w:tcPr>
          <w:p w14:paraId="62BF9C8C"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6BE589B0"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25mg, 50mg,100mg </w:t>
            </w:r>
          </w:p>
        </w:tc>
      </w:tr>
      <w:tr w:rsidR="0053763D" w:rsidRPr="00F10C37" w14:paraId="3D4C2DE5" w14:textId="77777777" w:rsidTr="00C46407">
        <w:trPr>
          <w:trHeight w:val="521"/>
        </w:trPr>
        <w:tc>
          <w:tcPr>
            <w:tcW w:w="2425" w:type="dxa"/>
          </w:tcPr>
          <w:p w14:paraId="32996373" w14:textId="77777777" w:rsidR="0053763D" w:rsidRPr="00134AF7" w:rsidRDefault="0053763D" w:rsidP="00C46407">
            <w:pPr>
              <w:jc w:val="both"/>
              <w:rPr>
                <w:rFonts w:cs="Times New Roman"/>
                <w:szCs w:val="24"/>
              </w:rPr>
            </w:pPr>
            <w:r w:rsidRPr="00134AF7">
              <w:rPr>
                <w:rFonts w:cs="Times New Roman"/>
                <w:szCs w:val="24"/>
              </w:rPr>
              <w:t>Indications</w:t>
            </w:r>
          </w:p>
        </w:tc>
        <w:tc>
          <w:tcPr>
            <w:tcW w:w="6930" w:type="dxa"/>
          </w:tcPr>
          <w:p w14:paraId="4188EF2B" w14:textId="77777777" w:rsidR="0053763D" w:rsidRPr="00F10C37" w:rsidRDefault="0053763D" w:rsidP="00C46407">
            <w:pPr>
              <w:jc w:val="both"/>
              <w:rPr>
                <w:rFonts w:cs="Times New Roman"/>
                <w:szCs w:val="24"/>
              </w:rPr>
            </w:pPr>
            <w:r w:rsidRPr="00F10C37">
              <w:rPr>
                <w:rFonts w:cs="Times New Roman"/>
                <w:szCs w:val="24"/>
              </w:rPr>
              <w:t>Hypertension, heart failure, angina pectoris, arrhythmia particularly supraventricular tachycardia, prevention of cardiac death and re-infarction after the acute phase of myocardial infarction and prophylaxis of migraine.</w:t>
            </w:r>
          </w:p>
        </w:tc>
      </w:tr>
      <w:tr w:rsidR="0053763D" w:rsidRPr="00F10C37" w14:paraId="4B208DAD" w14:textId="77777777" w:rsidTr="00C46407">
        <w:trPr>
          <w:trHeight w:val="521"/>
        </w:trPr>
        <w:tc>
          <w:tcPr>
            <w:tcW w:w="2425" w:type="dxa"/>
          </w:tcPr>
          <w:p w14:paraId="2E898BE6"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6DC8CAFF" w14:textId="77777777" w:rsidR="0053763D" w:rsidRPr="00F10C37" w:rsidRDefault="0053763D" w:rsidP="00C46407">
            <w:pPr>
              <w:jc w:val="both"/>
              <w:rPr>
                <w:rFonts w:cs="Times New Roman"/>
                <w:szCs w:val="24"/>
              </w:rPr>
            </w:pPr>
            <w:r w:rsidRPr="00F10C37">
              <w:rPr>
                <w:rFonts w:cs="Times New Roman"/>
                <w:b/>
                <w:szCs w:val="24"/>
              </w:rPr>
              <w:t>Hypertension:</w:t>
            </w:r>
            <w:r w:rsidRPr="00F10C37">
              <w:rPr>
                <w:rFonts w:cs="Times New Roman"/>
                <w:szCs w:val="24"/>
              </w:rPr>
              <w:t xml:space="preserve"> Initially 100 mg daily, increased if necessary to 200 mg daily in 1–2 divided doses, high doses are rarely required. </w:t>
            </w:r>
          </w:p>
        </w:tc>
      </w:tr>
      <w:tr w:rsidR="0053763D" w:rsidRPr="00F10C37" w14:paraId="438F555E" w14:textId="77777777" w:rsidTr="00C46407">
        <w:tc>
          <w:tcPr>
            <w:tcW w:w="2425" w:type="dxa"/>
          </w:tcPr>
          <w:p w14:paraId="3AE7F533"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6FB666B6"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5E2BDEF" w14:textId="77777777" w:rsidTr="00C46407">
        <w:tc>
          <w:tcPr>
            <w:tcW w:w="2425" w:type="dxa"/>
          </w:tcPr>
          <w:p w14:paraId="6CCADDB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DA8F599" w14:textId="77777777" w:rsidR="0053763D" w:rsidRPr="00F10C37" w:rsidRDefault="0053763D" w:rsidP="00C46407">
            <w:pPr>
              <w:contextualSpacing/>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377A952" w14:textId="77777777" w:rsidTr="00C46407">
        <w:tc>
          <w:tcPr>
            <w:tcW w:w="2425" w:type="dxa"/>
          </w:tcPr>
          <w:p w14:paraId="369D3B03"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48EDBCFA" w14:textId="77777777" w:rsidR="0053763D" w:rsidRPr="00F10C37" w:rsidRDefault="0053763D" w:rsidP="00C46407">
            <w:pPr>
              <w:contextualSpacing/>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293452B" w14:textId="77777777" w:rsidTr="00C46407">
        <w:tc>
          <w:tcPr>
            <w:tcW w:w="2425" w:type="dxa"/>
          </w:tcPr>
          <w:p w14:paraId="00A79B37"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38FA3A17"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A62A7FF" w14:textId="77777777" w:rsidTr="00C46407">
        <w:tc>
          <w:tcPr>
            <w:tcW w:w="2425" w:type="dxa"/>
          </w:tcPr>
          <w:p w14:paraId="16D16C7F"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7B3C10EF" w14:textId="77777777" w:rsidR="0053763D" w:rsidRPr="00F10C37" w:rsidRDefault="0053763D" w:rsidP="00C46407">
            <w:pPr>
              <w:jc w:val="both"/>
              <w:rPr>
                <w:rFonts w:cs="Times New Roman"/>
                <w:szCs w:val="24"/>
              </w:rPr>
            </w:pPr>
            <w:r w:rsidRPr="00F10C37">
              <w:rPr>
                <w:rFonts w:cs="Times New Roman"/>
                <w:szCs w:val="24"/>
              </w:rPr>
              <w:t xml:space="preserve">Store between 15 °C and 30 °C. Protect from light and </w:t>
            </w:r>
            <w:r>
              <w:rPr>
                <w:rFonts w:cs="Times New Roman"/>
                <w:szCs w:val="24"/>
              </w:rPr>
              <w:t>moisture</w:t>
            </w:r>
            <w:r w:rsidRPr="00F10C37">
              <w:rPr>
                <w:rFonts w:cs="Times New Roman"/>
                <w:szCs w:val="24"/>
              </w:rPr>
              <w:t>.</w:t>
            </w:r>
          </w:p>
        </w:tc>
      </w:tr>
      <w:tr w:rsidR="0053763D" w:rsidRPr="00F10C37" w14:paraId="64F49E33" w14:textId="77777777" w:rsidTr="00C46407">
        <w:trPr>
          <w:trHeight w:val="512"/>
        </w:trPr>
        <w:tc>
          <w:tcPr>
            <w:tcW w:w="9355" w:type="dxa"/>
            <w:gridSpan w:val="2"/>
          </w:tcPr>
          <w:p w14:paraId="45D3AF30" w14:textId="77777777" w:rsidR="0053763D" w:rsidRPr="00F10C37" w:rsidRDefault="0053763D" w:rsidP="00C46407">
            <w:pPr>
              <w:jc w:val="both"/>
              <w:rPr>
                <w:rFonts w:cs="Times New Roman"/>
                <w:b/>
                <w:szCs w:val="24"/>
              </w:rPr>
            </w:pPr>
            <w:r w:rsidRPr="00F10C37">
              <w:rPr>
                <w:rFonts w:cs="Times New Roman"/>
                <w:b/>
                <w:szCs w:val="24"/>
              </w:rPr>
              <w:t xml:space="preserve">Nifedipine </w:t>
            </w:r>
          </w:p>
        </w:tc>
      </w:tr>
      <w:tr w:rsidR="0053763D" w:rsidRPr="00F10C37" w14:paraId="2FD47AC9" w14:textId="77777777" w:rsidTr="00C46407">
        <w:trPr>
          <w:trHeight w:val="512"/>
        </w:trPr>
        <w:tc>
          <w:tcPr>
            <w:tcW w:w="2425" w:type="dxa"/>
          </w:tcPr>
          <w:p w14:paraId="1765FB99"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3E71D3BB" w14:textId="77777777" w:rsidR="0053763D" w:rsidRPr="00F10C37" w:rsidRDefault="0053763D" w:rsidP="00C46407">
            <w:pPr>
              <w:widowControl w:val="0"/>
              <w:autoSpaceDE w:val="0"/>
              <w:autoSpaceDN w:val="0"/>
              <w:jc w:val="both"/>
              <w:rPr>
                <w:rFonts w:cs="Times New Roman"/>
                <w:szCs w:val="24"/>
              </w:rPr>
            </w:pPr>
            <w:r>
              <w:rPr>
                <w:rFonts w:cs="Times New Roman"/>
                <w:szCs w:val="24"/>
              </w:rPr>
              <w:t>Dihydropyridine calcium channel blocker</w:t>
            </w:r>
          </w:p>
        </w:tc>
      </w:tr>
      <w:tr w:rsidR="0053763D" w:rsidRPr="00F10C37" w14:paraId="1C1E6D07" w14:textId="77777777" w:rsidTr="00C46407">
        <w:trPr>
          <w:trHeight w:val="341"/>
        </w:trPr>
        <w:tc>
          <w:tcPr>
            <w:tcW w:w="2425" w:type="dxa"/>
          </w:tcPr>
          <w:p w14:paraId="0577404C"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4AEA5DD4" w14:textId="77777777" w:rsidR="0053763D" w:rsidRPr="00F10C37" w:rsidRDefault="0053763D" w:rsidP="00C46407">
            <w:pPr>
              <w:jc w:val="both"/>
              <w:rPr>
                <w:rFonts w:cs="Times New Roman"/>
                <w:szCs w:val="24"/>
              </w:rPr>
            </w:pPr>
            <w:r w:rsidRPr="00F10C37">
              <w:rPr>
                <w:rFonts w:cs="Times New Roman"/>
                <w:szCs w:val="24"/>
              </w:rPr>
              <w:t xml:space="preserve">Sustain release tablet: 10mg and 20mg. </w:t>
            </w:r>
          </w:p>
        </w:tc>
      </w:tr>
      <w:tr w:rsidR="0053763D" w:rsidRPr="00F10C37" w14:paraId="64FAF8DE" w14:textId="77777777" w:rsidTr="00C46407">
        <w:trPr>
          <w:trHeight w:val="458"/>
        </w:trPr>
        <w:tc>
          <w:tcPr>
            <w:tcW w:w="2425" w:type="dxa"/>
          </w:tcPr>
          <w:p w14:paraId="5649654E" w14:textId="77777777" w:rsidR="0053763D" w:rsidRPr="002458CB" w:rsidRDefault="0053763D" w:rsidP="00C46407">
            <w:pPr>
              <w:jc w:val="both"/>
              <w:rPr>
                <w:rFonts w:cs="Times New Roman"/>
                <w:szCs w:val="24"/>
              </w:rPr>
            </w:pPr>
            <w:r w:rsidRPr="002458CB">
              <w:rPr>
                <w:rFonts w:cs="Times New Roman"/>
                <w:szCs w:val="24"/>
              </w:rPr>
              <w:t>Indications</w:t>
            </w:r>
          </w:p>
        </w:tc>
        <w:tc>
          <w:tcPr>
            <w:tcW w:w="6930" w:type="dxa"/>
          </w:tcPr>
          <w:p w14:paraId="58C05147" w14:textId="77777777" w:rsidR="0053763D" w:rsidRPr="00F10C37" w:rsidRDefault="0053763D" w:rsidP="00C46407">
            <w:pPr>
              <w:jc w:val="both"/>
              <w:rPr>
                <w:rFonts w:cs="Times New Roman"/>
                <w:szCs w:val="24"/>
              </w:rPr>
            </w:pPr>
            <w:r w:rsidRPr="00F10C37">
              <w:rPr>
                <w:rFonts w:cs="Times New Roman"/>
                <w:szCs w:val="24"/>
              </w:rPr>
              <w:t>Hypertension</w:t>
            </w:r>
            <w:r>
              <w:rPr>
                <w:rFonts w:cs="Times New Roman"/>
                <w:szCs w:val="24"/>
              </w:rPr>
              <w:t xml:space="preserve">, </w:t>
            </w:r>
            <w:r w:rsidRPr="00F10C37">
              <w:rPr>
                <w:rFonts w:cs="Times New Roman"/>
                <w:szCs w:val="24"/>
              </w:rPr>
              <w:t>angina prophylaxis</w:t>
            </w:r>
            <w:r>
              <w:rPr>
                <w:rFonts w:cs="Times New Roman"/>
                <w:szCs w:val="24"/>
              </w:rPr>
              <w:t xml:space="preserve">, </w:t>
            </w:r>
            <w:r w:rsidRPr="00F10C37">
              <w:rPr>
                <w:rFonts w:cs="Times New Roman"/>
                <w:szCs w:val="24"/>
              </w:rPr>
              <w:t>Raynaud’s phenomenon</w:t>
            </w:r>
            <w:r>
              <w:rPr>
                <w:rFonts w:cs="Times New Roman"/>
                <w:szCs w:val="24"/>
              </w:rPr>
              <w:t>.</w:t>
            </w:r>
          </w:p>
        </w:tc>
      </w:tr>
      <w:tr w:rsidR="0053763D" w:rsidRPr="00F10C37" w14:paraId="4634E337" w14:textId="77777777" w:rsidTr="00C46407">
        <w:trPr>
          <w:trHeight w:val="521"/>
        </w:trPr>
        <w:tc>
          <w:tcPr>
            <w:tcW w:w="2425" w:type="dxa"/>
          </w:tcPr>
          <w:p w14:paraId="0B2A41F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6F30F74B" w14:textId="77777777" w:rsidR="0053763D" w:rsidRDefault="0053763D" w:rsidP="00C46407">
            <w:pPr>
              <w:jc w:val="both"/>
              <w:rPr>
                <w:rFonts w:cs="Times New Roman"/>
                <w:szCs w:val="24"/>
              </w:rPr>
            </w:pPr>
            <w:r w:rsidRPr="00F10C37">
              <w:rPr>
                <w:rFonts w:cs="Times New Roman"/>
                <w:b/>
                <w:szCs w:val="24"/>
              </w:rPr>
              <w:t>Hypertension</w:t>
            </w:r>
            <w:r w:rsidRPr="00F10C37">
              <w:rPr>
                <w:rFonts w:cs="Times New Roman"/>
                <w:szCs w:val="24"/>
              </w:rPr>
              <w:t xml:space="preserve">; </w:t>
            </w:r>
          </w:p>
          <w:p w14:paraId="448BE74A" w14:textId="77777777" w:rsidR="0053763D" w:rsidRPr="00F10C37" w:rsidRDefault="0053763D" w:rsidP="00C46407">
            <w:pPr>
              <w:jc w:val="both"/>
              <w:rPr>
                <w:rFonts w:cs="Times New Roman"/>
                <w:b/>
                <w:szCs w:val="24"/>
              </w:rPr>
            </w:pPr>
            <w:r w:rsidRPr="00F10C37">
              <w:rPr>
                <w:rFonts w:cs="Times New Roman"/>
                <w:b/>
                <w:bCs/>
                <w:szCs w:val="24"/>
              </w:rPr>
              <w:t xml:space="preserve">Adult: </w:t>
            </w:r>
            <w:r w:rsidRPr="00F10C37">
              <w:rPr>
                <w:rFonts w:cs="Times New Roman"/>
                <w:bCs/>
                <w:szCs w:val="24"/>
              </w:rPr>
              <w:t>Initially 10 mg twice daily, increased if necessary up to 40 mg twice daily</w:t>
            </w:r>
            <w:r w:rsidRPr="00F10C37">
              <w:rPr>
                <w:rFonts w:cs="Times New Roman"/>
                <w:b/>
                <w:bCs/>
                <w:szCs w:val="24"/>
              </w:rPr>
              <w:t xml:space="preserve">. </w:t>
            </w:r>
          </w:p>
        </w:tc>
      </w:tr>
      <w:tr w:rsidR="0053763D" w:rsidRPr="00F10C37" w14:paraId="10286291" w14:textId="77777777" w:rsidTr="00C46407">
        <w:tc>
          <w:tcPr>
            <w:tcW w:w="2425" w:type="dxa"/>
          </w:tcPr>
          <w:p w14:paraId="75FD8CF1"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1B150332" w14:textId="77777777" w:rsidR="0053763D" w:rsidRPr="00F10C37" w:rsidRDefault="0053763D" w:rsidP="00C46407">
            <w:pPr>
              <w:jc w:val="both"/>
              <w:rPr>
                <w:rFonts w:cs="Times New Roman"/>
                <w:szCs w:val="24"/>
              </w:rPr>
            </w:pPr>
            <w:r w:rsidRPr="00F10C37">
              <w:rPr>
                <w:rFonts w:cs="Times New Roman"/>
                <w:szCs w:val="24"/>
              </w:rPr>
              <w:t>Acute attacks of angina, cardiogenic shock, significant aortic stenosis, unstable angina, within 1 month of MI</w:t>
            </w:r>
            <w:r>
              <w:rPr>
                <w:rFonts w:cs="Times New Roman"/>
                <w:szCs w:val="24"/>
              </w:rPr>
              <w:t>.</w:t>
            </w:r>
          </w:p>
        </w:tc>
      </w:tr>
      <w:tr w:rsidR="0053763D" w:rsidRPr="00F10C37" w14:paraId="24072D0A" w14:textId="77777777" w:rsidTr="00C46407">
        <w:tc>
          <w:tcPr>
            <w:tcW w:w="2425" w:type="dxa"/>
          </w:tcPr>
          <w:p w14:paraId="785A2080"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49DC7CF"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Digoxin, grapefruit juice, magnesium (parenteral), propranolol, rifampicin, phenytoin, phenobarbital, atenolol, alcohol, carbamazepine, ciclosporin, enalapril, haloperidol, hydrocortisone, ibuprofen, insulins, furosemide, glyceryl trinitrate, hydralazine, </w:t>
            </w:r>
            <w:r w:rsidRPr="00F10C37">
              <w:rPr>
                <w:rFonts w:eastAsiaTheme="minorHAnsi" w:cs="Times New Roman"/>
                <w:kern w:val="0"/>
                <w:szCs w:val="24"/>
                <w:lang w:val="en-US" w:eastAsia="en-US"/>
              </w:rPr>
              <w:lastRenderedPageBreak/>
              <w:t>halothane, ketamine, estrogens, diazepam, chlorpromazine.</w:t>
            </w:r>
          </w:p>
        </w:tc>
      </w:tr>
      <w:tr w:rsidR="0053763D" w:rsidRPr="00F10C37" w14:paraId="455365E8" w14:textId="77777777" w:rsidTr="00C46407">
        <w:tc>
          <w:tcPr>
            <w:tcW w:w="2425" w:type="dxa"/>
          </w:tcPr>
          <w:p w14:paraId="42578E22"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930" w:type="dxa"/>
          </w:tcPr>
          <w:p w14:paraId="33F47C5A"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kern w:val="0"/>
                <w:szCs w:val="24"/>
                <w:lang w:val="en-US" w:eastAsia="en-US"/>
              </w:rPr>
              <w:t>Constipation, malaise, edema, vasodilation, anxiety, chills, diarrhea, dry mouth, epistaxis, gastrointestinal discomfort, hypotension, laryngealedema, migraine, nasal congestion, pain, sleep disorders, tremor, urinary disorders, vertigo, vision disorders.</w:t>
            </w:r>
          </w:p>
        </w:tc>
      </w:tr>
      <w:tr w:rsidR="0053763D" w:rsidRPr="00F10C37" w14:paraId="0D1E4967" w14:textId="77777777" w:rsidTr="00C46407">
        <w:tc>
          <w:tcPr>
            <w:tcW w:w="2425" w:type="dxa"/>
          </w:tcPr>
          <w:p w14:paraId="2B794DA0"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67A3AC85" w14:textId="77777777" w:rsidR="0053763D" w:rsidRPr="00F10C37" w:rsidRDefault="0053763D" w:rsidP="00C46407">
            <w:pPr>
              <w:jc w:val="both"/>
              <w:rPr>
                <w:rFonts w:cs="Times New Roman"/>
                <w:szCs w:val="24"/>
              </w:rPr>
            </w:pPr>
            <w:r w:rsidRPr="00F10C37">
              <w:rPr>
                <w:rFonts w:cs="Times New Roman"/>
                <w:szCs w:val="24"/>
              </w:rPr>
              <w:t>Diabetes mellitus, elderly, heart failure, ischemic pain, poor cardiac reserve, severe hypotension, significantly impaired left ventricular function, hepatic impairment, renal impairment, pregnancy</w:t>
            </w:r>
            <w:r>
              <w:rPr>
                <w:rFonts w:cs="Times New Roman"/>
                <w:szCs w:val="24"/>
              </w:rPr>
              <w:t>,</w:t>
            </w:r>
            <w:r w:rsidRPr="00F10C37">
              <w:rPr>
                <w:rFonts w:cs="Times New Roman"/>
                <w:szCs w:val="24"/>
              </w:rPr>
              <w:t xml:space="preserve"> breastfeeding. </w:t>
            </w:r>
          </w:p>
        </w:tc>
      </w:tr>
      <w:tr w:rsidR="0053763D" w:rsidRPr="00F10C37" w14:paraId="30D9BE94" w14:textId="77777777" w:rsidTr="00C46407">
        <w:tc>
          <w:tcPr>
            <w:tcW w:w="2425" w:type="dxa"/>
          </w:tcPr>
          <w:p w14:paraId="5DF2BB2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44028CA0" w14:textId="77777777" w:rsidR="0053763D" w:rsidRPr="00F10C37" w:rsidRDefault="0053763D" w:rsidP="00C46407">
            <w:pPr>
              <w:jc w:val="both"/>
              <w:rPr>
                <w:rFonts w:cs="Times New Roman"/>
                <w:szCs w:val="24"/>
              </w:rPr>
            </w:pPr>
            <w:r w:rsidRPr="00F10C37">
              <w:rPr>
                <w:rFonts w:cs="Times New Roman"/>
                <w:szCs w:val="24"/>
              </w:rPr>
              <w:t>Store between 15°C and 30°C. Protect from light and moisture.</w:t>
            </w:r>
          </w:p>
        </w:tc>
      </w:tr>
      <w:tr w:rsidR="0053763D" w:rsidRPr="00F10C37" w14:paraId="0394B97E" w14:textId="77777777" w:rsidTr="00C46407">
        <w:trPr>
          <w:trHeight w:val="413"/>
        </w:trPr>
        <w:tc>
          <w:tcPr>
            <w:tcW w:w="9355" w:type="dxa"/>
            <w:gridSpan w:val="2"/>
          </w:tcPr>
          <w:p w14:paraId="2C70EF2F" w14:textId="77777777" w:rsidR="0053763D" w:rsidRPr="00F10C37" w:rsidRDefault="0053763D" w:rsidP="00C46407">
            <w:pPr>
              <w:jc w:val="both"/>
              <w:rPr>
                <w:rFonts w:cs="Times New Roman"/>
                <w:szCs w:val="24"/>
              </w:rPr>
            </w:pPr>
            <w:r w:rsidRPr="00F10C37">
              <w:rPr>
                <w:rFonts w:cs="Times New Roman"/>
                <w:b/>
                <w:szCs w:val="24"/>
              </w:rPr>
              <w:t xml:space="preserve">Valsartan </w:t>
            </w:r>
          </w:p>
        </w:tc>
      </w:tr>
      <w:tr w:rsidR="0053763D" w:rsidRPr="00F10C37" w14:paraId="6AE43793" w14:textId="77777777" w:rsidTr="00C46407">
        <w:trPr>
          <w:trHeight w:val="512"/>
        </w:trPr>
        <w:tc>
          <w:tcPr>
            <w:tcW w:w="2425" w:type="dxa"/>
          </w:tcPr>
          <w:p w14:paraId="7B9CBAF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tcPr>
          <w:p w14:paraId="46BD654E"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Angiotensin-II receptor antagonist</w:t>
            </w:r>
          </w:p>
        </w:tc>
      </w:tr>
      <w:tr w:rsidR="0053763D" w:rsidRPr="00F10C37" w14:paraId="7EAB417C" w14:textId="77777777" w:rsidTr="00C46407">
        <w:trPr>
          <w:trHeight w:val="341"/>
        </w:trPr>
        <w:tc>
          <w:tcPr>
            <w:tcW w:w="2425" w:type="dxa"/>
          </w:tcPr>
          <w:p w14:paraId="5035053A"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tcPr>
          <w:p w14:paraId="1D16619B" w14:textId="77777777" w:rsidR="0053763D" w:rsidRPr="00F10C37" w:rsidRDefault="0053763D" w:rsidP="00C46407">
            <w:pPr>
              <w:jc w:val="both"/>
              <w:rPr>
                <w:rFonts w:cs="Times New Roman"/>
                <w:szCs w:val="24"/>
              </w:rPr>
            </w:pPr>
            <w:r w:rsidRPr="00F10C37">
              <w:rPr>
                <w:rFonts w:cs="Times New Roman"/>
                <w:szCs w:val="24"/>
              </w:rPr>
              <w:t>Tablet: 40 mg, 80mg and 160 mg</w:t>
            </w:r>
          </w:p>
        </w:tc>
      </w:tr>
      <w:tr w:rsidR="0053763D" w:rsidRPr="00F10C37" w14:paraId="1FF2E6D6" w14:textId="77777777" w:rsidTr="00C46407">
        <w:trPr>
          <w:trHeight w:val="521"/>
        </w:trPr>
        <w:tc>
          <w:tcPr>
            <w:tcW w:w="2425" w:type="dxa"/>
          </w:tcPr>
          <w:p w14:paraId="0AFC2B82" w14:textId="77777777" w:rsidR="0053763D" w:rsidRPr="002458CB" w:rsidRDefault="0053763D" w:rsidP="00C46407">
            <w:pPr>
              <w:jc w:val="both"/>
              <w:rPr>
                <w:rFonts w:cs="Times New Roman"/>
                <w:szCs w:val="24"/>
              </w:rPr>
            </w:pPr>
            <w:r w:rsidRPr="002458CB">
              <w:rPr>
                <w:rFonts w:cs="Times New Roman"/>
                <w:szCs w:val="24"/>
              </w:rPr>
              <w:t>Indications</w:t>
            </w:r>
          </w:p>
        </w:tc>
        <w:tc>
          <w:tcPr>
            <w:tcW w:w="6930" w:type="dxa"/>
          </w:tcPr>
          <w:p w14:paraId="071DDEA4" w14:textId="77777777" w:rsidR="0053763D" w:rsidRPr="00F10C37" w:rsidRDefault="0053763D" w:rsidP="00C46407">
            <w:pPr>
              <w:jc w:val="both"/>
              <w:rPr>
                <w:rFonts w:cs="Times New Roman"/>
                <w:szCs w:val="24"/>
              </w:rPr>
            </w:pPr>
            <w:r w:rsidRPr="00F10C37">
              <w:rPr>
                <w:rFonts w:cs="Times New Roman"/>
                <w:szCs w:val="24"/>
              </w:rPr>
              <w:t>Hypertension, heart failure, MI with left ventricular dysfunction</w:t>
            </w:r>
          </w:p>
        </w:tc>
      </w:tr>
      <w:tr w:rsidR="0053763D" w:rsidRPr="00F10C37" w14:paraId="37EACC0B" w14:textId="77777777" w:rsidTr="00C46407">
        <w:trPr>
          <w:trHeight w:val="521"/>
        </w:trPr>
        <w:tc>
          <w:tcPr>
            <w:tcW w:w="2425" w:type="dxa"/>
          </w:tcPr>
          <w:p w14:paraId="448E6E7E"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tcPr>
          <w:p w14:paraId="2731ADF1" w14:textId="77777777" w:rsidR="0053763D" w:rsidRPr="00F10C37" w:rsidRDefault="0053763D" w:rsidP="00C46407">
            <w:pPr>
              <w:autoSpaceDE w:val="0"/>
              <w:autoSpaceDN w:val="0"/>
              <w:adjustRightInd w:val="0"/>
              <w:jc w:val="both"/>
              <w:rPr>
                <w:rFonts w:cs="Times New Roman"/>
                <w:b/>
                <w:szCs w:val="24"/>
              </w:rPr>
            </w:pPr>
            <w:r w:rsidRPr="00F10C37">
              <w:rPr>
                <w:rFonts w:eastAsiaTheme="minorHAnsi" w:cs="Times New Roman"/>
                <w:b/>
                <w:color w:val="231F20"/>
                <w:kern w:val="0"/>
                <w:szCs w:val="24"/>
                <w:lang w:val="en-US" w:eastAsia="en-US"/>
              </w:rPr>
              <w:t>Hypertension alone or with intravascular volume depletion</w:t>
            </w:r>
            <w:r>
              <w:rPr>
                <w:rFonts w:eastAsiaTheme="minorHAnsi" w:cs="Times New Roman"/>
                <w:b/>
                <w:color w:val="231F20"/>
                <w:kern w:val="0"/>
                <w:szCs w:val="24"/>
                <w:lang w:val="en-US" w:eastAsia="en-US"/>
              </w:rPr>
              <w:t xml:space="preserve">, </w:t>
            </w:r>
            <w:r w:rsidRPr="00F80CC3">
              <w:rPr>
                <w:rFonts w:eastAsiaTheme="minorHAnsi" w:cs="Times New Roman"/>
                <w:color w:val="231F20"/>
                <w:kern w:val="0"/>
                <w:szCs w:val="24"/>
                <w:lang w:val="en-US" w:eastAsia="en-US"/>
              </w:rPr>
              <w:t>oral:</w:t>
            </w:r>
            <w:r w:rsidRPr="00F10C37">
              <w:rPr>
                <w:rFonts w:eastAsiaTheme="minorHAnsi" w:cs="Times New Roman"/>
                <w:color w:val="231F20"/>
                <w:kern w:val="0"/>
                <w:szCs w:val="24"/>
                <w:lang w:val="en-US" w:eastAsia="en-US"/>
              </w:rPr>
              <w:t xml:space="preserve"> </w:t>
            </w:r>
            <w:r w:rsidRPr="003D3E3A">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Initially 80 mg once daily, increased if necessary up to 320 mg daily, doses to be increased at intervals of 4 weeks.</w:t>
            </w:r>
          </w:p>
        </w:tc>
      </w:tr>
      <w:tr w:rsidR="0053763D" w:rsidRPr="00F10C37" w14:paraId="13B341CC" w14:textId="77777777" w:rsidTr="00C46407">
        <w:trPr>
          <w:trHeight w:val="350"/>
        </w:trPr>
        <w:tc>
          <w:tcPr>
            <w:tcW w:w="2425" w:type="dxa"/>
          </w:tcPr>
          <w:p w14:paraId="45A2A580"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tcPr>
          <w:p w14:paraId="0BB401BC" w14:textId="77777777" w:rsidR="0053763D" w:rsidRPr="00F10C37" w:rsidRDefault="0053763D" w:rsidP="00C46407">
            <w:pPr>
              <w:jc w:val="both"/>
              <w:rPr>
                <w:rFonts w:cs="Times New Roman"/>
                <w:szCs w:val="24"/>
              </w:rPr>
            </w:pPr>
            <w:r w:rsidRPr="00F10C37">
              <w:rPr>
                <w:rFonts w:eastAsiaTheme="minorHAnsi" w:cs="Times New Roman"/>
                <w:color w:val="231F20"/>
                <w:kern w:val="0"/>
                <w:szCs w:val="24"/>
                <w:lang w:val="en-US" w:eastAsia="en-US"/>
              </w:rPr>
              <w:t xml:space="preserve">Refer valsartan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C53190D" w14:textId="77777777" w:rsidTr="00C46407">
        <w:trPr>
          <w:trHeight w:val="332"/>
        </w:trPr>
        <w:tc>
          <w:tcPr>
            <w:tcW w:w="2425" w:type="dxa"/>
          </w:tcPr>
          <w:p w14:paraId="5EEFE0E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tcPr>
          <w:p w14:paraId="33952903" w14:textId="77777777" w:rsidR="0053763D" w:rsidRPr="00F10C37" w:rsidRDefault="0053763D" w:rsidP="00C46407">
            <w:pPr>
              <w:contextualSpacing/>
              <w:jc w:val="both"/>
              <w:rPr>
                <w:rFonts w:cs="Times New Roman"/>
                <w:szCs w:val="24"/>
              </w:rPr>
            </w:pPr>
            <w:r w:rsidRPr="00F10C37">
              <w:rPr>
                <w:rFonts w:eastAsiaTheme="minorHAnsi" w:cs="Times New Roman"/>
                <w:color w:val="231F20"/>
                <w:kern w:val="0"/>
                <w:szCs w:val="24"/>
                <w:lang w:val="en-US" w:eastAsia="en-US"/>
              </w:rPr>
              <w:t xml:space="preserve">Refer valsartan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B06E1AC" w14:textId="77777777" w:rsidTr="00C46407">
        <w:tc>
          <w:tcPr>
            <w:tcW w:w="2425" w:type="dxa"/>
          </w:tcPr>
          <w:p w14:paraId="1AF4F412"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tcPr>
          <w:p w14:paraId="42442331"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Refer valsartan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F82C3F2" w14:textId="77777777" w:rsidTr="00C46407">
        <w:trPr>
          <w:trHeight w:val="368"/>
        </w:trPr>
        <w:tc>
          <w:tcPr>
            <w:tcW w:w="2425" w:type="dxa"/>
          </w:tcPr>
          <w:p w14:paraId="620C5947"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tcPr>
          <w:p w14:paraId="0EC9D1D0"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Refer valsartan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334F1A3" w14:textId="77777777" w:rsidTr="00C46407">
        <w:tc>
          <w:tcPr>
            <w:tcW w:w="2425" w:type="dxa"/>
          </w:tcPr>
          <w:p w14:paraId="06A3FB47"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tcPr>
          <w:p w14:paraId="5BEB76AF" w14:textId="77777777" w:rsidR="0053763D" w:rsidRPr="00F10C37" w:rsidRDefault="0053763D" w:rsidP="00C46407">
            <w:pPr>
              <w:jc w:val="both"/>
              <w:rPr>
                <w:rFonts w:cs="Times New Roman"/>
                <w:szCs w:val="24"/>
              </w:rPr>
            </w:pPr>
            <w:r w:rsidRPr="00F10C37">
              <w:rPr>
                <w:rFonts w:cs="Times New Roman"/>
                <w:szCs w:val="24"/>
              </w:rPr>
              <w:t xml:space="preserve">Store between 15°C and 30°C. Protect from </w:t>
            </w:r>
            <w:r>
              <w:rPr>
                <w:rFonts w:cs="Times New Roman"/>
                <w:szCs w:val="24"/>
              </w:rPr>
              <w:t>heat</w:t>
            </w:r>
            <w:r w:rsidRPr="00F10C37">
              <w:rPr>
                <w:rFonts w:cs="Times New Roman"/>
                <w:szCs w:val="24"/>
              </w:rPr>
              <w:t xml:space="preserve"> and moisture.</w:t>
            </w:r>
          </w:p>
        </w:tc>
      </w:tr>
    </w:tbl>
    <w:p w14:paraId="5126E0CA" w14:textId="77777777" w:rsidR="0053763D" w:rsidRPr="00F10C37" w:rsidRDefault="0053763D" w:rsidP="00910906">
      <w:pPr>
        <w:pStyle w:val="Heading2"/>
        <w:spacing w:before="240" w:after="240"/>
      </w:pPr>
      <w:bookmarkStart w:id="32" w:name="_Toc179490316"/>
      <w:r w:rsidRPr="00F10C37">
        <w:t>Diuretics</w:t>
      </w:r>
      <w:bookmarkEnd w:id="32"/>
    </w:p>
    <w:p w14:paraId="5B8A98D9" w14:textId="77777777" w:rsidR="0053763D" w:rsidRPr="00F10C37" w:rsidRDefault="0053763D" w:rsidP="00910906">
      <w:pPr>
        <w:jc w:val="both"/>
        <w:rPr>
          <w:rFonts w:cs="Times New Roman"/>
          <w:szCs w:val="24"/>
        </w:rPr>
      </w:pPr>
      <w:r w:rsidRPr="00F10C37">
        <w:rPr>
          <w:rFonts w:cs="Times New Roman"/>
          <w:szCs w:val="24"/>
        </w:rPr>
        <w:t xml:space="preserve">Diuretics are class of drugs that increase the rate of urine flow and sodium excretion and are used to adjust the volume and/or composition of body fluids in a variety of clinical situations, including hypertension, heart failure, renal failure, nephrotic syndrome, and cirrhosis. They provide very effective symptomatic control in patients with peripheral or pulmonary edema and rapidly relieve dyspnea in patients with heart failure. Loop diuretics such as furosemide, bumetanide, or torasemide are usually the diuretics of choice. Thiazide diuretics may only be of </w:t>
      </w:r>
      <w:r w:rsidRPr="00F10C37">
        <w:rPr>
          <w:rFonts w:cs="Times New Roman"/>
          <w:szCs w:val="24"/>
        </w:rPr>
        <w:lastRenderedPageBreak/>
        <w:t xml:space="preserve">benefit in patients with mild fluid retention and an eGFR &gt;30 </w:t>
      </w:r>
      <w:r>
        <w:rPr>
          <w:rFonts w:cs="Times New Roman"/>
          <w:szCs w:val="24"/>
        </w:rPr>
        <w:t>ml</w:t>
      </w:r>
      <w:r w:rsidRPr="00F10C37">
        <w:rPr>
          <w:rFonts w:cs="Times New Roman"/>
          <w:szCs w:val="24"/>
        </w:rPr>
        <w:t xml:space="preserve">/minute/1.73 m2. Combination diuretic therapy may be effective in patients with edema resistant to treatment with one diuretic alone. </w:t>
      </w:r>
    </w:p>
    <w:tbl>
      <w:tblPr>
        <w:tblStyle w:val="TableGrid"/>
        <w:tblW w:w="9265" w:type="dxa"/>
        <w:tblLook w:val="04A0" w:firstRow="1" w:lastRow="0" w:firstColumn="1" w:lastColumn="0" w:noHBand="0" w:noVBand="1"/>
      </w:tblPr>
      <w:tblGrid>
        <w:gridCol w:w="2605"/>
        <w:gridCol w:w="6660"/>
      </w:tblGrid>
      <w:tr w:rsidR="0053763D" w:rsidRPr="00F10C37" w14:paraId="5017FC3C" w14:textId="77777777" w:rsidTr="00C46407">
        <w:trPr>
          <w:trHeight w:val="46"/>
        </w:trPr>
        <w:tc>
          <w:tcPr>
            <w:tcW w:w="9265" w:type="dxa"/>
            <w:gridSpan w:val="2"/>
            <w:tcBorders>
              <w:top w:val="single" w:sz="4" w:space="0" w:color="auto"/>
              <w:left w:val="single" w:sz="4" w:space="0" w:color="auto"/>
              <w:bottom w:val="single" w:sz="4" w:space="0" w:color="auto"/>
              <w:right w:val="single" w:sz="4" w:space="0" w:color="auto"/>
            </w:tcBorders>
            <w:hideMark/>
          </w:tcPr>
          <w:p w14:paraId="6F169326" w14:textId="77777777" w:rsidR="0053763D" w:rsidRPr="00F10C37" w:rsidRDefault="0053763D" w:rsidP="00C46407">
            <w:pPr>
              <w:jc w:val="both"/>
              <w:rPr>
                <w:rFonts w:cs="Times New Roman"/>
                <w:szCs w:val="24"/>
              </w:rPr>
            </w:pPr>
            <w:r w:rsidRPr="00F10C37">
              <w:rPr>
                <w:rFonts w:cs="Times New Roman"/>
                <w:b/>
                <w:szCs w:val="24"/>
              </w:rPr>
              <w:t>Furosemide</w:t>
            </w:r>
          </w:p>
        </w:tc>
      </w:tr>
      <w:tr w:rsidR="0053763D" w:rsidRPr="00F10C37" w14:paraId="6AA364AA" w14:textId="77777777" w:rsidTr="00C46407">
        <w:trPr>
          <w:trHeight w:val="46"/>
        </w:trPr>
        <w:tc>
          <w:tcPr>
            <w:tcW w:w="2605" w:type="dxa"/>
            <w:tcBorders>
              <w:top w:val="single" w:sz="4" w:space="0" w:color="auto"/>
              <w:left w:val="single" w:sz="4" w:space="0" w:color="auto"/>
              <w:bottom w:val="single" w:sz="4" w:space="0" w:color="auto"/>
              <w:right w:val="single" w:sz="4" w:space="0" w:color="auto"/>
            </w:tcBorders>
            <w:hideMark/>
          </w:tcPr>
          <w:p w14:paraId="4334652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4C18B34D" w14:textId="77777777" w:rsidR="0053763D" w:rsidRPr="00F10C37" w:rsidRDefault="0053763D" w:rsidP="00C46407">
            <w:pPr>
              <w:jc w:val="both"/>
              <w:rPr>
                <w:rFonts w:cs="Times New Roman"/>
                <w:szCs w:val="24"/>
              </w:rPr>
            </w:pPr>
            <w:r w:rsidRPr="00F10C37">
              <w:rPr>
                <w:rFonts w:cs="Times New Roman"/>
                <w:szCs w:val="24"/>
              </w:rPr>
              <w:t>Loop diuretic</w:t>
            </w:r>
          </w:p>
        </w:tc>
      </w:tr>
      <w:tr w:rsidR="0053763D" w:rsidRPr="00F10C37" w14:paraId="51B5293D"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1959C9D7"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24A10F27" w14:textId="77777777" w:rsidR="0053763D" w:rsidRPr="003D3E3A" w:rsidRDefault="0053763D" w:rsidP="00C46407">
            <w:pPr>
              <w:jc w:val="both"/>
              <w:rPr>
                <w:rFonts w:cs="Times New Roman"/>
                <w:szCs w:val="24"/>
              </w:rPr>
            </w:pPr>
            <w:r w:rsidRPr="003D3E3A">
              <w:rPr>
                <w:rFonts w:cs="Times New Roman"/>
                <w:szCs w:val="24"/>
              </w:rPr>
              <w:t>Tablet:</w:t>
            </w:r>
            <w:r w:rsidRPr="00711788">
              <w:rPr>
                <w:rFonts w:cs="Times New Roman"/>
                <w:szCs w:val="24"/>
              </w:rPr>
              <w:t>40 mg, 80mg</w:t>
            </w:r>
          </w:p>
          <w:p w14:paraId="51CF2109" w14:textId="77777777" w:rsidR="0053763D" w:rsidRPr="00711788" w:rsidRDefault="0053763D" w:rsidP="00C46407">
            <w:pPr>
              <w:jc w:val="both"/>
              <w:rPr>
                <w:rFonts w:cs="Times New Roman"/>
                <w:szCs w:val="24"/>
              </w:rPr>
            </w:pPr>
            <w:r w:rsidRPr="003D3E3A">
              <w:rPr>
                <w:rFonts w:cs="Times New Roman"/>
                <w:szCs w:val="24"/>
              </w:rPr>
              <w:t>Injection:</w:t>
            </w:r>
            <w:r w:rsidRPr="00711788">
              <w:rPr>
                <w:rFonts w:cs="Times New Roman"/>
                <w:szCs w:val="24"/>
              </w:rPr>
              <w:t>10 mg/</w:t>
            </w:r>
            <w:r>
              <w:rPr>
                <w:rFonts w:cs="Times New Roman"/>
                <w:szCs w:val="24"/>
              </w:rPr>
              <w:t>ml</w:t>
            </w:r>
            <w:r w:rsidRPr="00711788">
              <w:rPr>
                <w:rFonts w:cs="Times New Roman"/>
                <w:szCs w:val="24"/>
              </w:rPr>
              <w:t xml:space="preserve"> in 2 </w:t>
            </w:r>
            <w:r>
              <w:rPr>
                <w:rFonts w:cs="Times New Roman"/>
                <w:szCs w:val="24"/>
              </w:rPr>
              <w:t>ml</w:t>
            </w:r>
            <w:r w:rsidRPr="00711788">
              <w:rPr>
                <w:rFonts w:cs="Times New Roman"/>
                <w:szCs w:val="24"/>
              </w:rPr>
              <w:t xml:space="preserve"> ampoule</w:t>
            </w:r>
          </w:p>
          <w:p w14:paraId="12333641" w14:textId="77777777" w:rsidR="0053763D" w:rsidRPr="00F10C37" w:rsidRDefault="0053763D" w:rsidP="00C46407">
            <w:pPr>
              <w:jc w:val="both"/>
              <w:rPr>
                <w:rFonts w:cs="Times New Roman"/>
                <w:b/>
                <w:szCs w:val="24"/>
              </w:rPr>
            </w:pPr>
            <w:r w:rsidRPr="003D3E3A">
              <w:rPr>
                <w:rFonts w:cs="Times New Roman"/>
                <w:szCs w:val="24"/>
              </w:rPr>
              <w:t>Oral liquid</w:t>
            </w:r>
            <w:r w:rsidRPr="00711788">
              <w:rPr>
                <w:rFonts w:cs="Times New Roman"/>
                <w:szCs w:val="24"/>
              </w:rPr>
              <w:t>:</w:t>
            </w:r>
            <w:r w:rsidRPr="00F10C37">
              <w:rPr>
                <w:rFonts w:cs="Times New Roman"/>
                <w:szCs w:val="24"/>
              </w:rPr>
              <w:t xml:space="preserve"> 20mg/5</w:t>
            </w:r>
            <w:r>
              <w:rPr>
                <w:rFonts w:cs="Times New Roman"/>
                <w:szCs w:val="24"/>
              </w:rPr>
              <w:t>ml</w:t>
            </w:r>
          </w:p>
        </w:tc>
      </w:tr>
      <w:tr w:rsidR="0053763D" w:rsidRPr="00F10C37" w14:paraId="657ED5D0"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2DFBE9E5" w14:textId="77777777" w:rsidR="0053763D" w:rsidRPr="003D3E3A" w:rsidRDefault="0053763D" w:rsidP="00C46407">
            <w:pPr>
              <w:jc w:val="both"/>
              <w:rPr>
                <w:rFonts w:cs="Times New Roman"/>
                <w:szCs w:val="24"/>
              </w:rPr>
            </w:pPr>
            <w:r w:rsidRPr="003D3E3A">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3448BCC6" w14:textId="77777777" w:rsidR="0053763D" w:rsidRPr="00F10C37" w:rsidRDefault="0053763D" w:rsidP="00C46407">
            <w:pPr>
              <w:jc w:val="both"/>
              <w:rPr>
                <w:rFonts w:cs="Times New Roman"/>
                <w:szCs w:val="24"/>
              </w:rPr>
            </w:pPr>
            <w:r w:rsidRPr="00F10C37">
              <w:rPr>
                <w:rFonts w:cs="Times New Roman"/>
                <w:szCs w:val="24"/>
              </w:rPr>
              <w:t>Edema of cardiac, hepatic or renal origin, oliguria due to renal failure</w:t>
            </w:r>
            <w:r>
              <w:rPr>
                <w:rFonts w:cs="Times New Roman"/>
                <w:szCs w:val="24"/>
              </w:rPr>
              <w:t>,</w:t>
            </w:r>
            <w:r w:rsidRPr="00F10C37">
              <w:rPr>
                <w:rFonts w:cs="Times New Roman"/>
                <w:szCs w:val="24"/>
              </w:rPr>
              <w:t xml:space="preserve"> mild to moderate hypertension</w:t>
            </w:r>
            <w:r>
              <w:rPr>
                <w:rFonts w:cs="Times New Roman"/>
                <w:szCs w:val="24"/>
              </w:rPr>
              <w:t>,</w:t>
            </w:r>
            <w:r w:rsidRPr="00F10C37">
              <w:rPr>
                <w:rFonts w:cs="Times New Roman"/>
                <w:szCs w:val="24"/>
              </w:rPr>
              <w:t xml:space="preserve"> as adjunct in the treatment of hypertensive crisis and for the treatment of hypercalcemia</w:t>
            </w:r>
            <w:r>
              <w:rPr>
                <w:rFonts w:cs="Times New Roman"/>
                <w:szCs w:val="24"/>
              </w:rPr>
              <w:t>.</w:t>
            </w:r>
          </w:p>
        </w:tc>
      </w:tr>
      <w:tr w:rsidR="0053763D" w:rsidRPr="00F10C37" w14:paraId="626236EF"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4DDD7D41" w14:textId="77777777" w:rsidR="0053763D" w:rsidRPr="00F10C37" w:rsidRDefault="0053763D" w:rsidP="00C46407">
            <w:pPr>
              <w:jc w:val="both"/>
              <w:rPr>
                <w:rFonts w:cs="Times New Roman"/>
                <w:szCs w:val="24"/>
              </w:rPr>
            </w:pPr>
            <w:r w:rsidRPr="00F10C37">
              <w:rPr>
                <w:rFonts w:cs="Times New Roman"/>
                <w:szCs w:val="24"/>
              </w:rPr>
              <w:t xml:space="preserve">Dose and Administration </w:t>
            </w:r>
          </w:p>
        </w:tc>
        <w:tc>
          <w:tcPr>
            <w:tcW w:w="6660" w:type="dxa"/>
            <w:tcBorders>
              <w:top w:val="single" w:sz="4" w:space="0" w:color="auto"/>
              <w:left w:val="single" w:sz="4" w:space="0" w:color="auto"/>
              <w:bottom w:val="single" w:sz="4" w:space="0" w:color="auto"/>
              <w:right w:val="single" w:sz="4" w:space="0" w:color="auto"/>
            </w:tcBorders>
            <w:hideMark/>
          </w:tcPr>
          <w:p w14:paraId="451B07A5" w14:textId="77777777" w:rsidR="0053763D" w:rsidRPr="00F10C37" w:rsidRDefault="0053763D" w:rsidP="00C46407">
            <w:pPr>
              <w:autoSpaceDE w:val="0"/>
              <w:autoSpaceDN w:val="0"/>
              <w:adjustRightInd w:val="0"/>
              <w:jc w:val="both"/>
              <w:rPr>
                <w:rFonts w:eastAsia="Candara-Italic" w:cs="Times New Roman"/>
                <w:i/>
                <w:iCs/>
                <w:kern w:val="0"/>
                <w:szCs w:val="24"/>
                <w:lang w:val="en-US" w:eastAsia="en-US"/>
              </w:rPr>
            </w:pPr>
            <w:r w:rsidRPr="00F10C37">
              <w:rPr>
                <w:rFonts w:eastAsia="Candara-Italic" w:cs="Times New Roman"/>
                <w:b/>
                <w:iCs/>
                <w:kern w:val="0"/>
                <w:szCs w:val="24"/>
                <w:lang w:val="en-US" w:eastAsia="en-US"/>
              </w:rPr>
              <w:t xml:space="preserve">Acute pulmonary edema, </w:t>
            </w:r>
            <w:r w:rsidRPr="00F80CC3">
              <w:rPr>
                <w:rFonts w:eastAsia="Candara-Italic" w:cs="Times New Roman"/>
                <w:kern w:val="0"/>
                <w:szCs w:val="24"/>
                <w:lang w:val="en-US" w:eastAsia="en-US"/>
              </w:rPr>
              <w:t>s</w:t>
            </w:r>
            <w:r w:rsidRPr="00F80CC3">
              <w:rPr>
                <w:rFonts w:eastAsia="Candara-Italic" w:cs="Times New Roman"/>
                <w:iCs/>
                <w:kern w:val="0"/>
                <w:szCs w:val="24"/>
                <w:lang w:val="en-US" w:eastAsia="en-US"/>
              </w:rPr>
              <w:t>low IV infusion:</w:t>
            </w:r>
            <w:r w:rsidRPr="00F10C37">
              <w:rPr>
                <w:rFonts w:eastAsia="Candara-Italic" w:cs="Times New Roman"/>
                <w:i/>
                <w:iCs/>
                <w:kern w:val="0"/>
                <w:szCs w:val="24"/>
                <w:lang w:val="en-US" w:eastAsia="en-US"/>
              </w:rPr>
              <w:t xml:space="preserve"> </w:t>
            </w:r>
          </w:p>
          <w:p w14:paraId="39012766"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iCs/>
                <w:kern w:val="0"/>
                <w:szCs w:val="24"/>
                <w:lang w:val="en-US" w:eastAsia="en-US"/>
              </w:rPr>
              <w:t>Adult</w:t>
            </w:r>
            <w:r w:rsidRPr="00F10C37">
              <w:rPr>
                <w:rFonts w:eastAsia="Candara-Italic" w:cs="Times New Roman"/>
                <w:kern w:val="0"/>
                <w:szCs w:val="24"/>
                <w:lang w:val="en-US" w:eastAsia="en-US"/>
              </w:rPr>
              <w:t>: 20–50 mg, increased incrementally in 20-mg steps every 2 hours, if necessary; if the effective single dose is more than 50 mg, consider using slow IV infusion at a rate not exceeding 4 mg/min</w:t>
            </w:r>
          </w:p>
          <w:p w14:paraId="7C514174" w14:textId="77777777" w:rsidR="0053763D" w:rsidRPr="00F10C37"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0.5 to1.5 mg/kg body weight daily (maximum 20 mg daily).</w:t>
            </w:r>
          </w:p>
          <w:p w14:paraId="5448F155" w14:textId="77777777" w:rsidR="0053763D" w:rsidRDefault="0053763D" w:rsidP="00C46407">
            <w:pPr>
              <w:autoSpaceDE w:val="0"/>
              <w:autoSpaceDN w:val="0"/>
              <w:adjustRightInd w:val="0"/>
              <w:jc w:val="both"/>
              <w:rPr>
                <w:rFonts w:eastAsia="Candara-Italic" w:cs="Times New Roman"/>
                <w:i/>
                <w:iCs/>
                <w:kern w:val="0"/>
                <w:szCs w:val="24"/>
                <w:lang w:val="en-US" w:eastAsia="en-US"/>
              </w:rPr>
            </w:pPr>
            <w:r w:rsidRPr="00F10C37">
              <w:rPr>
                <w:rFonts w:eastAsia="Candara-Italic" w:cs="Times New Roman"/>
                <w:b/>
                <w:iCs/>
                <w:kern w:val="0"/>
                <w:szCs w:val="24"/>
                <w:lang w:val="en-US" w:eastAsia="en-US"/>
              </w:rPr>
              <w:t xml:space="preserve">Oliguria (glomerular filtration rate &lt;20 </w:t>
            </w:r>
            <w:r>
              <w:rPr>
                <w:rFonts w:eastAsia="Candara-Italic" w:cs="Times New Roman"/>
                <w:b/>
                <w:iCs/>
                <w:kern w:val="0"/>
                <w:szCs w:val="24"/>
                <w:lang w:val="en-US" w:eastAsia="en-US"/>
              </w:rPr>
              <w:t>ml</w:t>
            </w:r>
            <w:r w:rsidRPr="00F10C37">
              <w:rPr>
                <w:rFonts w:eastAsia="Candara-Italic" w:cs="Times New Roman"/>
                <w:b/>
                <w:iCs/>
                <w:kern w:val="0"/>
                <w:szCs w:val="24"/>
                <w:lang w:val="en-US" w:eastAsia="en-US"/>
              </w:rPr>
              <w:t xml:space="preserve">/min), </w:t>
            </w:r>
            <w:r w:rsidRPr="00F80CC3">
              <w:rPr>
                <w:rFonts w:eastAsia="Candara-Italic" w:cs="Times New Roman"/>
                <w:iCs/>
                <w:kern w:val="0"/>
                <w:szCs w:val="24"/>
                <w:lang w:val="en-US" w:eastAsia="en-US"/>
              </w:rPr>
              <w:t>slow IV (rate not exceeding 4 mg/min)</w:t>
            </w:r>
            <w:r w:rsidRPr="00F10C37">
              <w:rPr>
                <w:rFonts w:eastAsia="Candara-Italic" w:cs="Times New Roman"/>
                <w:i/>
                <w:iCs/>
                <w:kern w:val="0"/>
                <w:szCs w:val="24"/>
                <w:lang w:val="en-US" w:eastAsia="en-US"/>
              </w:rPr>
              <w:t xml:space="preserve">: </w:t>
            </w:r>
          </w:p>
          <w:p w14:paraId="0D5F1CD4" w14:textId="77777777" w:rsidR="0053763D" w:rsidRPr="00F10C37" w:rsidRDefault="0053763D" w:rsidP="00C46407">
            <w:pPr>
              <w:autoSpaceDE w:val="0"/>
              <w:autoSpaceDN w:val="0"/>
              <w:adjustRightInd w:val="0"/>
              <w:jc w:val="both"/>
              <w:rPr>
                <w:rFonts w:eastAsia="Candara-Italic" w:cs="Times New Roman"/>
                <w:i/>
                <w:iCs/>
                <w:kern w:val="0"/>
                <w:szCs w:val="24"/>
                <w:lang w:val="en-US" w:eastAsia="en-US"/>
              </w:rPr>
            </w:pPr>
            <w:r w:rsidRPr="003D3E3A">
              <w:rPr>
                <w:rFonts w:eastAsia="Candara-Italic" w:cs="Times New Roman"/>
                <w:b/>
                <w:kern w:val="0"/>
                <w:szCs w:val="24"/>
                <w:lang w:val="en-US" w:eastAsia="en-US"/>
              </w:rPr>
              <w:t>Adult:</w:t>
            </w:r>
            <w:r>
              <w:rPr>
                <w:rFonts w:eastAsia="Candara-Italic" w:cs="Times New Roman"/>
                <w:kern w:val="0"/>
                <w:szCs w:val="24"/>
                <w:lang w:val="en-US" w:eastAsia="en-US"/>
              </w:rPr>
              <w:t xml:space="preserve"> </w:t>
            </w:r>
            <w:r w:rsidRPr="00F10C37">
              <w:rPr>
                <w:rFonts w:eastAsia="Candara-Italic" w:cs="Times New Roman"/>
                <w:kern w:val="0"/>
                <w:szCs w:val="24"/>
                <w:lang w:val="en-US" w:eastAsia="en-US"/>
              </w:rPr>
              <w:t>Initially 250 mg over 1 hour; if urine output is not satisfactory, during the hour after the first dose, infuse 500 mg over 2 hours then, if there is no satisfactory response during the hour after the second dose, infuse 1 g over 4 hours; if there is no response after the third dose, dialysis is probably necessary; effective dose (up to 1 g) can be repeated every 24 hours</w:t>
            </w:r>
            <w:r>
              <w:rPr>
                <w:rFonts w:eastAsia="Candara-Italic" w:cs="Times New Roman"/>
                <w:kern w:val="0"/>
                <w:szCs w:val="24"/>
                <w:lang w:val="en-US" w:eastAsia="en-US"/>
              </w:rPr>
              <w:t>.</w:t>
            </w:r>
          </w:p>
          <w:p w14:paraId="14E1A76B" w14:textId="77777777" w:rsidR="0053763D" w:rsidRDefault="0053763D" w:rsidP="00C46407">
            <w:pPr>
              <w:jc w:val="both"/>
              <w:rPr>
                <w:rFonts w:cs="Times New Roman"/>
                <w:b/>
                <w:szCs w:val="24"/>
              </w:rPr>
            </w:pPr>
            <w:r w:rsidRPr="00F10C37">
              <w:rPr>
                <w:rFonts w:cs="Times New Roman"/>
                <w:b/>
                <w:szCs w:val="24"/>
              </w:rPr>
              <w:t xml:space="preserve">Resistant hypertension, </w:t>
            </w:r>
            <w:r w:rsidRPr="00F80CC3">
              <w:rPr>
                <w:rFonts w:cs="Times New Roman"/>
                <w:szCs w:val="24"/>
              </w:rPr>
              <w:t>oral:</w:t>
            </w:r>
          </w:p>
          <w:p w14:paraId="2FE06267" w14:textId="77777777" w:rsidR="0053763D" w:rsidRPr="00F10C37" w:rsidRDefault="0053763D" w:rsidP="00C46407">
            <w:pPr>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40–80 mg daily</w:t>
            </w:r>
          </w:p>
          <w:p w14:paraId="4E2BDB8A" w14:textId="77777777" w:rsidR="0053763D" w:rsidRPr="00F10C37" w:rsidRDefault="0053763D" w:rsidP="00C46407">
            <w:pPr>
              <w:autoSpaceDE w:val="0"/>
              <w:autoSpaceDN w:val="0"/>
              <w:adjustRightInd w:val="0"/>
              <w:jc w:val="both"/>
              <w:rPr>
                <w:rFonts w:eastAsiaTheme="minorHAnsi" w:cs="Times New Roman"/>
                <w:i/>
                <w:iCs/>
                <w:kern w:val="0"/>
                <w:szCs w:val="24"/>
                <w:lang w:val="en-US" w:eastAsia="en-US"/>
              </w:rPr>
            </w:pPr>
            <w:r w:rsidRPr="00F10C37">
              <w:rPr>
                <w:rFonts w:eastAsiaTheme="minorHAnsi" w:cs="Times New Roman"/>
                <w:b/>
                <w:iCs/>
                <w:kern w:val="0"/>
                <w:szCs w:val="24"/>
                <w:lang w:val="en-US" w:eastAsia="en-US"/>
              </w:rPr>
              <w:t xml:space="preserve">Initially by IM injection or slow IV injection or IV infusion, </w:t>
            </w:r>
            <w:r w:rsidRPr="00F10C37">
              <w:rPr>
                <w:rFonts w:eastAsiaTheme="minorHAnsi" w:cs="Times New Roman"/>
                <w:b/>
                <w:kern w:val="0"/>
                <w:szCs w:val="24"/>
                <w:lang w:val="en-US" w:eastAsia="en-US"/>
              </w:rPr>
              <w:t>Adult</w:t>
            </w:r>
            <w:r w:rsidRPr="00F10C37">
              <w:rPr>
                <w:rFonts w:eastAsiaTheme="minorHAnsi" w:cs="Times New Roman"/>
                <w:kern w:val="0"/>
                <w:szCs w:val="24"/>
                <w:lang w:val="en-US" w:eastAsia="en-US"/>
              </w:rPr>
              <w:t xml:space="preserve">: Initially 20–50 mg, then increased in steps of 20 mg every 2 hours if required, doses greater than 50 mg given by </w:t>
            </w:r>
            <w:r>
              <w:rPr>
                <w:rFonts w:eastAsiaTheme="minorHAnsi" w:cs="Times New Roman"/>
                <w:kern w:val="0"/>
                <w:szCs w:val="24"/>
                <w:lang w:val="en-US" w:eastAsia="en-US"/>
              </w:rPr>
              <w:t>IV</w:t>
            </w:r>
            <w:r w:rsidRPr="00F10C37">
              <w:rPr>
                <w:rFonts w:eastAsiaTheme="minorHAnsi" w:cs="Times New Roman"/>
                <w:kern w:val="0"/>
                <w:szCs w:val="24"/>
                <w:lang w:val="en-US" w:eastAsia="en-US"/>
              </w:rPr>
              <w:t xml:space="preserve">infusion </w:t>
            </w:r>
            <w:r w:rsidRPr="00F10C37">
              <w:rPr>
                <w:rFonts w:eastAsiaTheme="minorHAnsi" w:cs="Times New Roman"/>
                <w:kern w:val="0"/>
                <w:szCs w:val="24"/>
                <w:lang w:val="en-US" w:eastAsia="en-US"/>
              </w:rPr>
              <w:lastRenderedPageBreak/>
              <w:t>only; maximum 1.5 g per day</w:t>
            </w:r>
            <w:r>
              <w:rPr>
                <w:rFonts w:eastAsiaTheme="minorHAnsi" w:cs="Times New Roman"/>
                <w:kern w:val="0"/>
                <w:szCs w:val="24"/>
                <w:lang w:val="en-US" w:eastAsia="en-US"/>
              </w:rPr>
              <w:t>.</w:t>
            </w:r>
          </w:p>
          <w:p w14:paraId="039219F9" w14:textId="77777777" w:rsidR="0053763D" w:rsidRPr="00F80CC3" w:rsidRDefault="0053763D" w:rsidP="00C46407">
            <w:pPr>
              <w:jc w:val="both"/>
              <w:rPr>
                <w:rFonts w:cs="Times New Roman"/>
                <w:szCs w:val="24"/>
              </w:rPr>
            </w:pPr>
            <w:r w:rsidRPr="00F10C37">
              <w:rPr>
                <w:rFonts w:cs="Times New Roman"/>
                <w:b/>
                <w:szCs w:val="24"/>
              </w:rPr>
              <w:t>Hypertensive crisis in patients with normal renal function</w:t>
            </w:r>
            <w:r w:rsidRPr="00F80CC3">
              <w:rPr>
                <w:rFonts w:cs="Times New Roman"/>
                <w:szCs w:val="24"/>
              </w:rPr>
              <w:t>, IV injection:</w:t>
            </w:r>
          </w:p>
          <w:p w14:paraId="16FB1AF5" w14:textId="77777777" w:rsidR="0053763D" w:rsidRDefault="0053763D" w:rsidP="00C46407">
            <w:pPr>
              <w:jc w:val="both"/>
              <w:rPr>
                <w:rFonts w:cs="Times New Roman"/>
                <w:szCs w:val="24"/>
              </w:rPr>
            </w:pPr>
            <w:r w:rsidRPr="003D3E3A">
              <w:rPr>
                <w:rFonts w:cs="Times New Roman"/>
                <w:b/>
                <w:szCs w:val="24"/>
              </w:rPr>
              <w:t>Adult:</w:t>
            </w:r>
            <w:r>
              <w:rPr>
                <w:rFonts w:cs="Times New Roman"/>
                <w:szCs w:val="24"/>
              </w:rPr>
              <w:t xml:space="preserve"> </w:t>
            </w:r>
            <w:r w:rsidRPr="00F10C37">
              <w:rPr>
                <w:rFonts w:cs="Times New Roman"/>
                <w:szCs w:val="24"/>
              </w:rPr>
              <w:t xml:space="preserve">40 to 80mg. </w:t>
            </w:r>
          </w:p>
          <w:p w14:paraId="3A45F701" w14:textId="77777777" w:rsidR="0053763D" w:rsidRPr="00F80CC3" w:rsidRDefault="0053763D" w:rsidP="00C46407">
            <w:pPr>
              <w:jc w:val="both"/>
              <w:rPr>
                <w:rFonts w:cs="Times New Roman"/>
                <w:szCs w:val="24"/>
              </w:rPr>
            </w:pPr>
            <w:r w:rsidRPr="00F10C37">
              <w:rPr>
                <w:rFonts w:cs="Times New Roman"/>
                <w:b/>
                <w:szCs w:val="24"/>
              </w:rPr>
              <w:t>Hypertensive crisis accompanied by pulmonary edema or acute renal failure</w:t>
            </w:r>
            <w:r>
              <w:rPr>
                <w:rFonts w:cs="Times New Roman"/>
                <w:b/>
                <w:szCs w:val="24"/>
              </w:rPr>
              <w:t>,</w:t>
            </w:r>
            <w:r w:rsidRPr="00F10C37">
              <w:rPr>
                <w:rFonts w:cs="Times New Roman"/>
                <w:szCs w:val="24"/>
              </w:rPr>
              <w:t xml:space="preserve"> </w:t>
            </w:r>
            <w:r w:rsidRPr="00F80CC3">
              <w:rPr>
                <w:rFonts w:cs="Times New Roman"/>
                <w:szCs w:val="24"/>
              </w:rPr>
              <w:t>IV injection:</w:t>
            </w:r>
          </w:p>
          <w:p w14:paraId="2921BE93" w14:textId="77777777" w:rsidR="0053763D" w:rsidRPr="00F10C37" w:rsidRDefault="0053763D" w:rsidP="00C46407">
            <w:pPr>
              <w:jc w:val="both"/>
              <w:rPr>
                <w:rFonts w:cs="Times New Roman"/>
                <w:szCs w:val="24"/>
              </w:rPr>
            </w:pPr>
            <w:r w:rsidRPr="003D3E3A">
              <w:rPr>
                <w:rFonts w:cs="Times New Roman"/>
                <w:b/>
                <w:szCs w:val="24"/>
              </w:rPr>
              <w:t>Adult:</w:t>
            </w:r>
            <w:r>
              <w:rPr>
                <w:rFonts w:cs="Times New Roman"/>
                <w:szCs w:val="24"/>
              </w:rPr>
              <w:t xml:space="preserve"> </w:t>
            </w:r>
            <w:r w:rsidRPr="00F10C37">
              <w:rPr>
                <w:rFonts w:cs="Times New Roman"/>
                <w:szCs w:val="24"/>
              </w:rPr>
              <w:t>100-200 mg.</w:t>
            </w:r>
          </w:p>
          <w:p w14:paraId="0E98E5BF" w14:textId="77777777" w:rsidR="0053763D" w:rsidRPr="00F80CC3" w:rsidRDefault="0053763D" w:rsidP="00C46407">
            <w:pPr>
              <w:jc w:val="both"/>
              <w:rPr>
                <w:rFonts w:cs="Times New Roman"/>
                <w:szCs w:val="24"/>
              </w:rPr>
            </w:pPr>
            <w:r w:rsidRPr="00F10C37">
              <w:rPr>
                <w:rFonts w:cs="Times New Roman"/>
                <w:b/>
                <w:szCs w:val="24"/>
              </w:rPr>
              <w:t>Antihypercalcemic,</w:t>
            </w:r>
            <w:r w:rsidRPr="00F10C37">
              <w:rPr>
                <w:rFonts w:cs="Times New Roman"/>
                <w:szCs w:val="24"/>
              </w:rPr>
              <w:t xml:space="preserve"> </w:t>
            </w:r>
            <w:r w:rsidRPr="00F80CC3">
              <w:rPr>
                <w:rFonts w:cs="Times New Roman"/>
                <w:szCs w:val="24"/>
              </w:rPr>
              <w:t xml:space="preserve">oral: </w:t>
            </w:r>
          </w:p>
          <w:p w14:paraId="1AB289C9" w14:textId="77777777" w:rsidR="0053763D"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 xml:space="preserve">120mg a day a single dose or divided into two or three doses; IM or IV:80-100mg in severe cases, the dosage being repeated, if necessary, every one to two hours until the desired response is obtained. In less severe cases smaller doses may be given every two or four hours. </w:t>
            </w:r>
          </w:p>
          <w:p w14:paraId="4E5C9CBD" w14:textId="77777777" w:rsidR="0053763D" w:rsidRPr="00F10C37" w:rsidRDefault="0053763D" w:rsidP="00C46407">
            <w:pPr>
              <w:jc w:val="both"/>
              <w:rPr>
                <w:rFonts w:cs="Times New Roman"/>
                <w:szCs w:val="24"/>
              </w:rPr>
            </w:pPr>
            <w:r w:rsidRPr="00F10C37">
              <w:rPr>
                <w:rFonts w:cs="Times New Roman"/>
                <w:b/>
                <w:szCs w:val="24"/>
              </w:rPr>
              <w:t>Child</w:t>
            </w:r>
            <w:r w:rsidRPr="00F10C37">
              <w:rPr>
                <w:rFonts w:cs="Times New Roman"/>
                <w:szCs w:val="24"/>
              </w:rPr>
              <w:t>: IM or IV: 25 to 50mg, the dosage being repeated, if necessary, every four hours until the desired response is obtained.</w:t>
            </w:r>
          </w:p>
          <w:p w14:paraId="51F5EBC1" w14:textId="77777777" w:rsidR="0053763D" w:rsidRPr="00F10C37" w:rsidRDefault="0053763D" w:rsidP="00C46407">
            <w:pPr>
              <w:jc w:val="both"/>
              <w:rPr>
                <w:rFonts w:cs="Times New Roman"/>
                <w:szCs w:val="24"/>
              </w:rPr>
            </w:pPr>
            <w:r w:rsidRPr="003D3E3A">
              <w:rPr>
                <w:rFonts w:cs="Times New Roman"/>
                <w:i/>
                <w:szCs w:val="24"/>
              </w:rPr>
              <w:t>Note:</w:t>
            </w:r>
            <w:r>
              <w:rPr>
                <w:rFonts w:cs="Times New Roman"/>
                <w:i/>
                <w:szCs w:val="24"/>
              </w:rPr>
              <w:t xml:space="preserve"> </w:t>
            </w:r>
            <w:r>
              <w:rPr>
                <w:rFonts w:cs="Times New Roman"/>
                <w:szCs w:val="24"/>
              </w:rPr>
              <w:t>r</w:t>
            </w:r>
            <w:r w:rsidRPr="003D3E3A">
              <w:rPr>
                <w:rFonts w:cs="Times New Roman"/>
                <w:i/>
                <w:szCs w:val="24"/>
              </w:rPr>
              <w:t>efer dosing for other indications under respective section</w:t>
            </w:r>
          </w:p>
        </w:tc>
      </w:tr>
      <w:tr w:rsidR="0053763D" w:rsidRPr="00F10C37" w14:paraId="6B9DC51A"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6CE25746"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423AFA36" w14:textId="77777777" w:rsidR="0053763D" w:rsidRPr="00F10C37" w:rsidRDefault="0053763D" w:rsidP="00C46407">
            <w:pPr>
              <w:jc w:val="both"/>
              <w:rPr>
                <w:rFonts w:cs="Times New Roman"/>
                <w:szCs w:val="24"/>
              </w:rPr>
            </w:pPr>
            <w:r w:rsidRPr="00F10C37">
              <w:rPr>
                <w:rFonts w:cs="Times New Roman"/>
                <w:szCs w:val="24"/>
              </w:rPr>
              <w:t xml:space="preserve">Refer to </w:t>
            </w:r>
            <w:r>
              <w:rPr>
                <w:rFonts w:cs="Times New Roman"/>
                <w:szCs w:val="24"/>
              </w:rPr>
              <w:t>f</w:t>
            </w:r>
            <w:r w:rsidRPr="00F10C37">
              <w:rPr>
                <w:rFonts w:cs="Times New Roman"/>
                <w:szCs w:val="24"/>
              </w:rPr>
              <w:t xml:space="preserve">urosemide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0EF35959"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1E9F6E55"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65587E54" w14:textId="77777777" w:rsidR="0053763D" w:rsidRPr="00F10C37" w:rsidRDefault="0053763D" w:rsidP="00C46407">
            <w:pPr>
              <w:jc w:val="both"/>
              <w:rPr>
                <w:rFonts w:cs="Times New Roman"/>
                <w:szCs w:val="24"/>
              </w:rPr>
            </w:pPr>
            <w:r w:rsidRPr="00F10C37">
              <w:rPr>
                <w:rFonts w:cs="Times New Roman"/>
                <w:szCs w:val="24"/>
              </w:rPr>
              <w:t xml:space="preserve">Refer to </w:t>
            </w:r>
            <w:r>
              <w:rPr>
                <w:rFonts w:cs="Times New Roman"/>
                <w:szCs w:val="24"/>
              </w:rPr>
              <w:t>f</w:t>
            </w:r>
            <w:r w:rsidRPr="00F10C37">
              <w:rPr>
                <w:rFonts w:cs="Times New Roman"/>
                <w:szCs w:val="24"/>
              </w:rPr>
              <w:t xml:space="preserve">urosemide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89BB212"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28B77656"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21439444"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 xml:space="preserve">Refer to </w:t>
            </w:r>
            <w:r>
              <w:rPr>
                <w:rFonts w:cs="Times New Roman"/>
                <w:szCs w:val="24"/>
              </w:rPr>
              <w:t>f</w:t>
            </w:r>
            <w:r w:rsidRPr="00F10C37">
              <w:rPr>
                <w:rFonts w:cs="Times New Roman"/>
                <w:szCs w:val="24"/>
              </w:rPr>
              <w:t xml:space="preserve">urosemide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05DECF45"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480B2D50"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6FD6288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cs="Times New Roman"/>
                <w:szCs w:val="24"/>
              </w:rPr>
              <w:t xml:space="preserve">Refer to </w:t>
            </w:r>
            <w:r>
              <w:rPr>
                <w:rFonts w:cs="Times New Roman"/>
                <w:szCs w:val="24"/>
              </w:rPr>
              <w:t>f</w:t>
            </w:r>
            <w:r w:rsidRPr="00F10C37">
              <w:rPr>
                <w:rFonts w:cs="Times New Roman"/>
                <w:szCs w:val="24"/>
              </w:rPr>
              <w:t xml:space="preserve">urosemide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2A44E921"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4FC22AF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66F6EF3D" w14:textId="77777777" w:rsidR="0053763D" w:rsidRPr="00F10C37" w:rsidRDefault="0053763D" w:rsidP="00C46407">
            <w:pPr>
              <w:jc w:val="both"/>
              <w:rPr>
                <w:rFonts w:cs="Times New Roman"/>
                <w:szCs w:val="24"/>
              </w:rPr>
            </w:pPr>
            <w:r w:rsidRPr="00F10C37">
              <w:rPr>
                <w:rFonts w:cs="Times New Roman"/>
                <w:szCs w:val="24"/>
              </w:rPr>
              <w:t>Store below 30C</w:t>
            </w:r>
            <w:r w:rsidRPr="00F10C37">
              <w:rPr>
                <w:rFonts w:cs="Times New Roman"/>
                <w:szCs w:val="24"/>
                <w:vertAlign w:val="superscript"/>
              </w:rPr>
              <w:t>0</w:t>
            </w:r>
            <w:r>
              <w:rPr>
                <w:rFonts w:cs="Times New Roman"/>
                <w:szCs w:val="24"/>
              </w:rPr>
              <w:t>. P</w:t>
            </w:r>
            <w:r w:rsidRPr="00F10C37">
              <w:rPr>
                <w:rFonts w:cs="Times New Roman"/>
                <w:szCs w:val="24"/>
              </w:rPr>
              <w:t>rotect from freezing and light.</w:t>
            </w:r>
          </w:p>
        </w:tc>
      </w:tr>
      <w:tr w:rsidR="0053763D" w:rsidRPr="00F10C37" w14:paraId="77BAD6AA" w14:textId="77777777" w:rsidTr="00C46407">
        <w:trPr>
          <w:trHeight w:val="46"/>
        </w:trPr>
        <w:tc>
          <w:tcPr>
            <w:tcW w:w="9265" w:type="dxa"/>
            <w:gridSpan w:val="2"/>
            <w:tcBorders>
              <w:top w:val="single" w:sz="4" w:space="0" w:color="auto"/>
              <w:left w:val="single" w:sz="4" w:space="0" w:color="auto"/>
              <w:bottom w:val="single" w:sz="4" w:space="0" w:color="auto"/>
              <w:right w:val="single" w:sz="4" w:space="0" w:color="auto"/>
            </w:tcBorders>
            <w:hideMark/>
          </w:tcPr>
          <w:p w14:paraId="30B05508" w14:textId="77777777" w:rsidR="0053763D" w:rsidRPr="00F10C37" w:rsidRDefault="0053763D" w:rsidP="00C46407">
            <w:pPr>
              <w:jc w:val="both"/>
              <w:rPr>
                <w:rFonts w:cs="Times New Roman"/>
                <w:b/>
                <w:szCs w:val="24"/>
              </w:rPr>
            </w:pPr>
            <w:r w:rsidRPr="00F10C37">
              <w:rPr>
                <w:rFonts w:cs="Times New Roman"/>
                <w:b/>
                <w:szCs w:val="24"/>
              </w:rPr>
              <w:t>Hydrochlorothiazide</w:t>
            </w:r>
          </w:p>
        </w:tc>
      </w:tr>
      <w:tr w:rsidR="0053763D" w:rsidRPr="00F10C37" w14:paraId="2733599F" w14:textId="77777777" w:rsidTr="00C46407">
        <w:trPr>
          <w:trHeight w:val="46"/>
        </w:trPr>
        <w:tc>
          <w:tcPr>
            <w:tcW w:w="2605" w:type="dxa"/>
            <w:tcBorders>
              <w:top w:val="single" w:sz="4" w:space="0" w:color="auto"/>
              <w:left w:val="single" w:sz="4" w:space="0" w:color="auto"/>
              <w:bottom w:val="single" w:sz="4" w:space="0" w:color="auto"/>
              <w:right w:val="single" w:sz="4" w:space="0" w:color="auto"/>
            </w:tcBorders>
            <w:hideMark/>
          </w:tcPr>
          <w:p w14:paraId="55CA31E4"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48E8D4AA" w14:textId="77777777" w:rsidR="0053763D" w:rsidRPr="00F10C37" w:rsidRDefault="0053763D" w:rsidP="00C46407">
            <w:pPr>
              <w:jc w:val="both"/>
              <w:rPr>
                <w:rFonts w:cs="Times New Roman"/>
                <w:szCs w:val="24"/>
              </w:rPr>
            </w:pPr>
            <w:r w:rsidRPr="00F10C37">
              <w:rPr>
                <w:rFonts w:cs="Times New Roman"/>
                <w:szCs w:val="24"/>
              </w:rPr>
              <w:t>Thiazide diuretic</w:t>
            </w:r>
          </w:p>
        </w:tc>
      </w:tr>
      <w:tr w:rsidR="0053763D" w:rsidRPr="00F10C37" w14:paraId="141418A6"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7801F6C2"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7E64740C" w14:textId="77777777" w:rsidR="0053763D" w:rsidRPr="00C04CA0" w:rsidRDefault="0053763D" w:rsidP="00C46407">
            <w:pPr>
              <w:jc w:val="both"/>
              <w:rPr>
                <w:rFonts w:cs="Times New Roman"/>
                <w:szCs w:val="24"/>
                <w:lang w:val="nb-NO"/>
              </w:rPr>
            </w:pPr>
            <w:r w:rsidRPr="003D3E3A">
              <w:rPr>
                <w:rFonts w:cs="Times New Roman"/>
                <w:szCs w:val="24"/>
                <w:lang w:val="nb-NO"/>
              </w:rPr>
              <w:t>Oral liquid</w:t>
            </w:r>
            <w:r w:rsidRPr="00C04CA0">
              <w:rPr>
                <w:rFonts w:cs="Times New Roman"/>
                <w:szCs w:val="24"/>
                <w:lang w:val="nb-NO"/>
              </w:rPr>
              <w:t>: 50 mg/5</w:t>
            </w:r>
            <w:r>
              <w:rPr>
                <w:rFonts w:cs="Times New Roman"/>
                <w:szCs w:val="24"/>
                <w:lang w:val="nb-NO"/>
              </w:rPr>
              <w:t>ml</w:t>
            </w:r>
          </w:p>
          <w:p w14:paraId="6EC4EF10" w14:textId="77777777" w:rsidR="0053763D" w:rsidRPr="00F10C37" w:rsidRDefault="0053763D" w:rsidP="00C46407">
            <w:pPr>
              <w:jc w:val="both"/>
              <w:rPr>
                <w:rFonts w:cs="Times New Roman"/>
                <w:b/>
                <w:szCs w:val="24"/>
                <w:lang w:val="nb-NO"/>
              </w:rPr>
            </w:pPr>
            <w:r w:rsidRPr="003D3E3A">
              <w:rPr>
                <w:rFonts w:cs="Times New Roman"/>
                <w:szCs w:val="24"/>
                <w:lang w:val="nb-NO"/>
              </w:rPr>
              <w:t>Tablet:</w:t>
            </w:r>
            <w:r w:rsidRPr="00F10C37">
              <w:rPr>
                <w:rFonts w:cs="Times New Roman"/>
                <w:szCs w:val="24"/>
                <w:lang w:val="nb-NO"/>
              </w:rPr>
              <w:t xml:space="preserve"> 25mg</w:t>
            </w:r>
          </w:p>
        </w:tc>
      </w:tr>
      <w:tr w:rsidR="0053763D" w:rsidRPr="00F10C37" w14:paraId="12E88AFA"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62025811" w14:textId="77777777" w:rsidR="0053763D" w:rsidRPr="00E30A37" w:rsidRDefault="0053763D" w:rsidP="00C46407">
            <w:pPr>
              <w:jc w:val="both"/>
              <w:rPr>
                <w:rFonts w:cs="Times New Roman"/>
                <w:szCs w:val="24"/>
              </w:rPr>
            </w:pPr>
            <w:r w:rsidRPr="00E30A37">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0EF9741F" w14:textId="77777777" w:rsidR="0053763D" w:rsidRPr="00F10C37" w:rsidRDefault="0053763D" w:rsidP="00C46407">
            <w:pPr>
              <w:jc w:val="both"/>
              <w:rPr>
                <w:rFonts w:cs="Times New Roman"/>
                <w:szCs w:val="24"/>
              </w:rPr>
            </w:pPr>
            <w:r w:rsidRPr="00F10C37">
              <w:rPr>
                <w:rFonts w:cs="Times New Roman"/>
                <w:szCs w:val="24"/>
              </w:rPr>
              <w:t>Hypertension, edema, heart failure, nephrogenic diabetes insipidus</w:t>
            </w:r>
          </w:p>
        </w:tc>
      </w:tr>
      <w:tr w:rsidR="0053763D" w:rsidRPr="00F10C37" w14:paraId="1E449A82"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7E2857C2"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6CBB9D7E" w14:textId="77777777" w:rsidR="0053763D"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Candara-Italic" w:cs="Times New Roman"/>
                <w:b/>
                <w:iCs/>
                <w:kern w:val="0"/>
                <w:szCs w:val="24"/>
                <w:lang w:val="en-US" w:eastAsia="en-US"/>
              </w:rPr>
              <w:t>Edema</w:t>
            </w:r>
            <w:r>
              <w:rPr>
                <w:rFonts w:eastAsia="Candara-Italic" w:cs="Times New Roman"/>
                <w:b/>
                <w:iCs/>
                <w:kern w:val="0"/>
                <w:szCs w:val="24"/>
                <w:lang w:val="en-US" w:eastAsia="en-US"/>
              </w:rPr>
              <w:t xml:space="preserve">, </w:t>
            </w:r>
            <w:r w:rsidRPr="00F10C37">
              <w:rPr>
                <w:rFonts w:eastAsiaTheme="minorHAnsi" w:cs="Times New Roman"/>
                <w:b/>
                <w:bCs/>
                <w:kern w:val="0"/>
                <w:szCs w:val="24"/>
                <w:lang w:val="en-US" w:eastAsia="en-US"/>
              </w:rPr>
              <w:t xml:space="preserve">oral: </w:t>
            </w:r>
          </w:p>
          <w:p w14:paraId="7495D9E4"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Adult: </w:t>
            </w:r>
            <w:r w:rsidRPr="00F10C37">
              <w:rPr>
                <w:rFonts w:eastAsiaTheme="minorHAnsi" w:cs="Times New Roman"/>
                <w:kern w:val="0"/>
                <w:szCs w:val="24"/>
                <w:lang w:val="en-US" w:eastAsia="en-US"/>
              </w:rPr>
              <w:t xml:space="preserve">Initially 25 mg daily on rising, increased to 50 mg daily if necessary. </w:t>
            </w:r>
          </w:p>
          <w:p w14:paraId="33D4E80E"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Elderly</w:t>
            </w:r>
            <w:r w:rsidRPr="00F10C37">
              <w:rPr>
                <w:rFonts w:eastAsia="Candara-Italic" w:cs="Times New Roman"/>
                <w:i/>
                <w:iCs/>
                <w:kern w:val="0"/>
                <w:szCs w:val="24"/>
                <w:lang w:val="en-US" w:eastAsia="en-US"/>
              </w:rPr>
              <w:t xml:space="preserve">: </w:t>
            </w:r>
            <w:r w:rsidRPr="00F10C37">
              <w:rPr>
                <w:rFonts w:eastAsiaTheme="minorHAnsi" w:cs="Times New Roman"/>
                <w:kern w:val="0"/>
                <w:szCs w:val="24"/>
                <w:lang w:val="en-US" w:eastAsia="en-US"/>
              </w:rPr>
              <w:t xml:space="preserve">Initially 12.5 mg daily on rising. </w:t>
            </w:r>
          </w:p>
          <w:p w14:paraId="09D72E0A" w14:textId="77777777" w:rsidR="0053763D"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bCs/>
                <w:kern w:val="0"/>
                <w:szCs w:val="24"/>
                <w:lang w:val="en-US" w:eastAsia="en-US"/>
              </w:rPr>
              <w:t xml:space="preserve">Infant under 6 months: </w:t>
            </w:r>
            <w:r w:rsidRPr="00F10C37">
              <w:rPr>
                <w:rFonts w:eastAsiaTheme="minorHAnsi" w:cs="Times New Roman"/>
                <w:kern w:val="0"/>
                <w:szCs w:val="24"/>
                <w:lang w:val="en-US" w:eastAsia="en-US"/>
              </w:rPr>
              <w:t xml:space="preserve">2 to 3.3 mg/kg daily in two divided </w:t>
            </w:r>
            <w:r w:rsidRPr="00F10C37">
              <w:rPr>
                <w:rFonts w:eastAsiaTheme="minorHAnsi" w:cs="Times New Roman"/>
                <w:kern w:val="0"/>
                <w:szCs w:val="24"/>
                <w:lang w:val="en-US" w:eastAsia="en-US"/>
              </w:rPr>
              <w:lastRenderedPageBreak/>
              <w:t xml:space="preserve">doses; maximum dose 37.5 mg daily. </w:t>
            </w:r>
          </w:p>
          <w:p w14:paraId="1F0DFE04"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Child over 6 months: </w:t>
            </w:r>
            <w:r w:rsidRPr="00F10C37">
              <w:rPr>
                <w:rFonts w:eastAsiaTheme="minorHAnsi" w:cs="Times New Roman"/>
                <w:kern w:val="0"/>
                <w:szCs w:val="24"/>
                <w:lang w:val="en-US" w:eastAsia="en-US"/>
              </w:rPr>
              <w:t>2 mg/kg daily in two divided doses; maximum dose 200 mg daily</w:t>
            </w:r>
            <w:r>
              <w:rPr>
                <w:rFonts w:eastAsiaTheme="minorHAnsi" w:cs="Times New Roman"/>
                <w:kern w:val="0"/>
                <w:szCs w:val="24"/>
                <w:lang w:val="en-US" w:eastAsia="en-US"/>
              </w:rPr>
              <w:t>.</w:t>
            </w:r>
          </w:p>
          <w:p w14:paraId="76D6A4C2" w14:textId="77777777" w:rsidR="0053763D" w:rsidRPr="00F10C37" w:rsidRDefault="0053763D" w:rsidP="00C46407">
            <w:pPr>
              <w:autoSpaceDE w:val="0"/>
              <w:autoSpaceDN w:val="0"/>
              <w:adjustRightInd w:val="0"/>
              <w:jc w:val="both"/>
              <w:rPr>
                <w:rFonts w:eastAsia="Candara-Italic" w:cs="Times New Roman"/>
                <w:i/>
                <w:iCs/>
                <w:kern w:val="0"/>
                <w:szCs w:val="24"/>
                <w:lang w:val="en-US" w:eastAsia="en-US"/>
              </w:rPr>
            </w:pPr>
            <w:r w:rsidRPr="00F10C37">
              <w:rPr>
                <w:rFonts w:eastAsia="Candara-Italic" w:cs="Times New Roman"/>
                <w:b/>
                <w:iCs/>
                <w:kern w:val="0"/>
                <w:szCs w:val="24"/>
                <w:lang w:val="en-US" w:eastAsia="en-US"/>
              </w:rPr>
              <w:t xml:space="preserve">Severe edema in patients unable to tolerate loop diuretics, </w:t>
            </w:r>
            <w:r w:rsidRPr="00F11F9E">
              <w:rPr>
                <w:rFonts w:eastAsiaTheme="minorHAnsi" w:cs="Times New Roman"/>
                <w:kern w:val="0"/>
                <w:szCs w:val="24"/>
                <w:lang w:val="en-US" w:eastAsia="en-US"/>
              </w:rPr>
              <w:t>o</w:t>
            </w:r>
            <w:r w:rsidRPr="00F11F9E">
              <w:rPr>
                <w:rFonts w:eastAsia="Candara-Italic" w:cs="Times New Roman"/>
                <w:iCs/>
                <w:kern w:val="0"/>
                <w:szCs w:val="24"/>
                <w:lang w:val="en-US" w:eastAsia="en-US"/>
              </w:rPr>
              <w:t>ral</w:t>
            </w:r>
            <w:r w:rsidRPr="00F11F9E">
              <w:rPr>
                <w:rFonts w:eastAsia="Candara-Italic" w:cs="Times New Roman"/>
                <w:i/>
                <w:iCs/>
                <w:kern w:val="0"/>
                <w:szCs w:val="24"/>
                <w:lang w:val="en-US" w:eastAsia="en-US"/>
              </w:rPr>
              <w:t>:</w:t>
            </w:r>
            <w:r w:rsidRPr="00F10C37">
              <w:rPr>
                <w:rFonts w:eastAsia="Candara-Italic" w:cs="Times New Roman"/>
                <w:i/>
                <w:iCs/>
                <w:kern w:val="0"/>
                <w:szCs w:val="24"/>
                <w:lang w:val="en-US" w:eastAsia="en-US"/>
              </w:rPr>
              <w:t xml:space="preserve"> </w:t>
            </w:r>
            <w:r w:rsidRPr="003D3E3A">
              <w:rPr>
                <w:rFonts w:eastAsia="Candara-Italic" w:cs="Times New Roman"/>
                <w:b/>
                <w:iCs/>
                <w:kern w:val="0"/>
                <w:szCs w:val="24"/>
                <w:lang w:val="en-US" w:eastAsia="en-US"/>
              </w:rPr>
              <w:t>Adult:</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Up to 100 mg either daily or on alternate days; maximum 100 mg daily</w:t>
            </w:r>
            <w:r>
              <w:rPr>
                <w:rFonts w:eastAsiaTheme="minorHAnsi" w:cs="Times New Roman"/>
                <w:kern w:val="0"/>
                <w:szCs w:val="24"/>
                <w:lang w:val="en-US" w:eastAsia="en-US"/>
              </w:rPr>
              <w:t>.</w:t>
            </w:r>
          </w:p>
          <w:p w14:paraId="237BA75B"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Candara-Italic" w:cs="Times New Roman"/>
                <w:b/>
                <w:iCs/>
                <w:kern w:val="0"/>
                <w:szCs w:val="24"/>
                <w:lang w:val="en-US" w:eastAsia="en-US"/>
              </w:rPr>
              <w:t xml:space="preserve">Nephrogenic diabetes insipidus, </w:t>
            </w:r>
            <w:r w:rsidRPr="00F11F9E">
              <w:rPr>
                <w:rFonts w:eastAsiaTheme="minorHAnsi" w:cs="Times New Roman"/>
                <w:kern w:val="0"/>
                <w:szCs w:val="24"/>
                <w:lang w:val="en-US" w:eastAsia="en-US"/>
              </w:rPr>
              <w:t>o</w:t>
            </w:r>
            <w:r w:rsidRPr="00F11F9E">
              <w:rPr>
                <w:rFonts w:eastAsia="Candara-Italic" w:cs="Times New Roman"/>
                <w:iCs/>
                <w:kern w:val="0"/>
                <w:szCs w:val="24"/>
                <w:lang w:val="en-US" w:eastAsia="en-US"/>
              </w:rPr>
              <w:t>ral</w:t>
            </w:r>
            <w:r w:rsidRPr="00F11F9E">
              <w:rPr>
                <w:rFonts w:eastAsia="Candara-Italic" w:cs="Times New Roman"/>
                <w:i/>
                <w:iCs/>
                <w:kern w:val="0"/>
                <w:szCs w:val="24"/>
                <w:lang w:val="en-US" w:eastAsia="en-US"/>
              </w:rPr>
              <w:t>:</w:t>
            </w:r>
            <w:r w:rsidRPr="00F10C37">
              <w:rPr>
                <w:rFonts w:eastAsia="Candara-Italic" w:cs="Times New Roman"/>
                <w:i/>
                <w:iCs/>
                <w:kern w:val="0"/>
                <w:szCs w:val="24"/>
                <w:lang w:val="en-US" w:eastAsia="en-US"/>
              </w:rPr>
              <w:t xml:space="preserve"> </w:t>
            </w:r>
            <w:r w:rsidRPr="00F10C37">
              <w:rPr>
                <w:rFonts w:eastAsiaTheme="minorHAnsi" w:cs="Times New Roman"/>
                <w:kern w:val="0"/>
                <w:szCs w:val="24"/>
                <w:lang w:val="en-US" w:eastAsia="en-US"/>
              </w:rPr>
              <w:t>Initially up to 100 mg daily</w:t>
            </w:r>
          </w:p>
          <w:p w14:paraId="59D011B8" w14:textId="77777777" w:rsidR="0053763D" w:rsidRPr="00F10C37" w:rsidRDefault="0053763D" w:rsidP="00C46407">
            <w:pPr>
              <w:autoSpaceDE w:val="0"/>
              <w:autoSpaceDN w:val="0"/>
              <w:adjustRightInd w:val="0"/>
              <w:jc w:val="both"/>
              <w:rPr>
                <w:rFonts w:eastAsiaTheme="minorHAnsi" w:cs="Times New Roman"/>
                <w:b/>
                <w:kern w:val="0"/>
                <w:szCs w:val="24"/>
                <w:lang w:val="en-US" w:eastAsia="en-US"/>
              </w:rPr>
            </w:pPr>
            <w:r w:rsidRPr="003D3E3A">
              <w:rPr>
                <w:rFonts w:eastAsiaTheme="minorHAnsi" w:cs="Times New Roman"/>
                <w:i/>
                <w:kern w:val="0"/>
                <w:szCs w:val="24"/>
                <w:lang w:val="en-US" w:eastAsia="en-US"/>
              </w:rPr>
              <w:t>Note:</w:t>
            </w:r>
            <w:r w:rsidRPr="00F10C37">
              <w:rPr>
                <w:rFonts w:eastAsiaTheme="minorHAnsi" w:cs="Times New Roman"/>
                <w:b/>
                <w:kern w:val="0"/>
                <w:szCs w:val="24"/>
                <w:lang w:val="en-US" w:eastAsia="en-US"/>
              </w:rPr>
              <w:t xml:space="preserve"> </w:t>
            </w:r>
            <w:r>
              <w:rPr>
                <w:rFonts w:eastAsiaTheme="minorHAnsi" w:cs="Times New Roman"/>
                <w:i/>
                <w:kern w:val="0"/>
                <w:szCs w:val="24"/>
                <w:lang w:val="en-US" w:eastAsia="en-US"/>
              </w:rPr>
              <w:t>d</w:t>
            </w:r>
            <w:r w:rsidRPr="003D3E3A">
              <w:rPr>
                <w:rFonts w:eastAsiaTheme="minorHAnsi" w:cs="Times New Roman"/>
                <w:i/>
                <w:kern w:val="0"/>
                <w:szCs w:val="24"/>
                <w:lang w:val="en-US" w:eastAsia="en-US"/>
              </w:rPr>
              <w:t>osing for hypertension and heart failure is indicated in the respective sections.</w:t>
            </w:r>
          </w:p>
        </w:tc>
      </w:tr>
      <w:tr w:rsidR="0053763D" w:rsidRPr="00F10C37" w14:paraId="09196641"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48E83ED3"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10BEF714"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w:t>
            </w: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3337C08"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2E7470A1"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44119FFD"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016F03A"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192A37EB"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03AFF357"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120B248"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5B0AAD92"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43B1A556"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Refer to Hydrochlorothiazide </w:t>
            </w:r>
            <w:r w:rsidRPr="00F10C37">
              <w:rPr>
                <w:rFonts w:cs="Times New Roman"/>
                <w:szCs w:val="24"/>
              </w:rPr>
              <w:t xml:space="preserve">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3D1955D"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2E64260F"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5314E63D"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15°C to 30°C</w:t>
            </w:r>
            <w:r>
              <w:rPr>
                <w:rFonts w:cs="Times New Roman"/>
                <w:szCs w:val="24"/>
              </w:rPr>
              <w:t>. Protect f</w:t>
            </w:r>
            <w:r w:rsidRPr="00F10C37">
              <w:rPr>
                <w:rFonts w:cs="Times New Roman"/>
                <w:szCs w:val="24"/>
              </w:rPr>
              <w:t>rom heat and light.</w:t>
            </w:r>
          </w:p>
        </w:tc>
      </w:tr>
      <w:tr w:rsidR="0053763D" w:rsidRPr="00F10C37" w14:paraId="36192D35" w14:textId="77777777" w:rsidTr="00C46407">
        <w:trPr>
          <w:trHeight w:val="46"/>
        </w:trPr>
        <w:tc>
          <w:tcPr>
            <w:tcW w:w="9265" w:type="dxa"/>
            <w:gridSpan w:val="2"/>
            <w:tcBorders>
              <w:top w:val="single" w:sz="4" w:space="0" w:color="auto"/>
              <w:left w:val="single" w:sz="4" w:space="0" w:color="auto"/>
              <w:bottom w:val="single" w:sz="4" w:space="0" w:color="auto"/>
              <w:right w:val="single" w:sz="4" w:space="0" w:color="auto"/>
            </w:tcBorders>
            <w:hideMark/>
          </w:tcPr>
          <w:p w14:paraId="7A5BFD81" w14:textId="77777777" w:rsidR="0053763D" w:rsidRPr="00F10C37" w:rsidRDefault="0053763D" w:rsidP="00C46407">
            <w:pPr>
              <w:jc w:val="both"/>
              <w:rPr>
                <w:rFonts w:cs="Times New Roman"/>
                <w:b/>
                <w:szCs w:val="24"/>
              </w:rPr>
            </w:pPr>
            <w:r w:rsidRPr="00F10C37">
              <w:rPr>
                <w:rFonts w:cs="Times New Roman"/>
                <w:b/>
                <w:szCs w:val="24"/>
              </w:rPr>
              <w:t>Mannitol</w:t>
            </w:r>
          </w:p>
        </w:tc>
      </w:tr>
      <w:tr w:rsidR="0053763D" w:rsidRPr="00F10C37" w14:paraId="07A6103F" w14:textId="77777777" w:rsidTr="00C46407">
        <w:trPr>
          <w:trHeight w:val="46"/>
        </w:trPr>
        <w:tc>
          <w:tcPr>
            <w:tcW w:w="2605" w:type="dxa"/>
            <w:tcBorders>
              <w:top w:val="single" w:sz="4" w:space="0" w:color="auto"/>
              <w:left w:val="single" w:sz="4" w:space="0" w:color="auto"/>
              <w:bottom w:val="single" w:sz="4" w:space="0" w:color="auto"/>
              <w:right w:val="single" w:sz="4" w:space="0" w:color="auto"/>
            </w:tcBorders>
            <w:hideMark/>
          </w:tcPr>
          <w:p w14:paraId="7EE82118"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2A4A8391" w14:textId="77777777" w:rsidR="0053763D" w:rsidRPr="00F10C37" w:rsidRDefault="0053763D" w:rsidP="00C46407">
            <w:pPr>
              <w:jc w:val="both"/>
              <w:rPr>
                <w:rFonts w:cs="Times New Roman"/>
                <w:szCs w:val="24"/>
              </w:rPr>
            </w:pPr>
            <w:r w:rsidRPr="00F10C37">
              <w:rPr>
                <w:rFonts w:cs="Times New Roman"/>
                <w:szCs w:val="24"/>
              </w:rPr>
              <w:t>Osmotic diuretic</w:t>
            </w:r>
          </w:p>
        </w:tc>
      </w:tr>
      <w:tr w:rsidR="0053763D" w:rsidRPr="00F10C37" w14:paraId="2BB52B5F"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08C9E7B4"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44CA9B50" w14:textId="77777777" w:rsidR="0053763D" w:rsidRPr="00F10C37" w:rsidRDefault="0053763D" w:rsidP="00C46407">
            <w:pPr>
              <w:jc w:val="both"/>
              <w:rPr>
                <w:rFonts w:cs="Times New Roman"/>
                <w:b/>
                <w:szCs w:val="24"/>
                <w:lang w:val="nb-NO"/>
              </w:rPr>
            </w:pPr>
            <w:r w:rsidRPr="00F10C37">
              <w:rPr>
                <w:rFonts w:cs="Times New Roman"/>
                <w:color w:val="000000"/>
                <w:szCs w:val="24"/>
              </w:rPr>
              <w:t>Injection: 10%, 20%</w:t>
            </w:r>
          </w:p>
        </w:tc>
      </w:tr>
      <w:tr w:rsidR="0053763D" w:rsidRPr="00F10C37" w14:paraId="387B4FEA"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604DB726" w14:textId="77777777" w:rsidR="0053763D" w:rsidRPr="00CB666B" w:rsidRDefault="0053763D" w:rsidP="00C46407">
            <w:pPr>
              <w:jc w:val="both"/>
              <w:rPr>
                <w:rFonts w:cs="Times New Roman"/>
                <w:szCs w:val="24"/>
              </w:rPr>
            </w:pPr>
            <w:r w:rsidRPr="00CB666B">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20780C44" w14:textId="77777777" w:rsidR="0053763D" w:rsidRPr="00F10C37" w:rsidRDefault="0053763D" w:rsidP="00C46407">
            <w:pPr>
              <w:jc w:val="both"/>
              <w:rPr>
                <w:rFonts w:cs="Times New Roman"/>
                <w:szCs w:val="24"/>
              </w:rPr>
            </w:pPr>
            <w:r w:rsidRPr="00F10C37">
              <w:rPr>
                <w:rFonts w:cs="Times New Roman"/>
                <w:szCs w:val="24"/>
              </w:rPr>
              <w:t>Cerebral edema, raised intraocular pressure, assessment of renal function test</w:t>
            </w:r>
            <w:r>
              <w:rPr>
                <w:rFonts w:cs="Times New Roman"/>
                <w:szCs w:val="24"/>
              </w:rPr>
              <w:t>.</w:t>
            </w:r>
          </w:p>
        </w:tc>
      </w:tr>
      <w:tr w:rsidR="0053763D" w:rsidRPr="00F10C37" w14:paraId="4C2BE8D4"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6DB59B3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6B10C407"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Cerebral oedem</w:t>
            </w:r>
            <w:r>
              <w:rPr>
                <w:rFonts w:eastAsiaTheme="minorHAnsi" w:cs="Times New Roman"/>
                <w:b/>
                <w:color w:val="231F20"/>
                <w:kern w:val="0"/>
                <w:szCs w:val="24"/>
                <w:lang w:val="en-US" w:eastAsia="en-US"/>
              </w:rPr>
              <w:t>a,</w:t>
            </w:r>
            <w:r>
              <w:rPr>
                <w:rFonts w:eastAsiaTheme="minorHAnsi" w:cs="Times New Roman"/>
                <w:color w:val="231F20"/>
                <w:kern w:val="0"/>
                <w:szCs w:val="24"/>
                <w:lang w:val="en-US" w:eastAsia="en-US"/>
              </w:rPr>
              <w:t xml:space="preserve"> </w:t>
            </w:r>
            <w:r w:rsidRPr="00F11F9E">
              <w:rPr>
                <w:rFonts w:eastAsiaTheme="minorHAnsi" w:cs="Times New Roman"/>
                <w:color w:val="231F20"/>
                <w:kern w:val="0"/>
                <w:szCs w:val="24"/>
                <w:lang w:val="en-US" w:eastAsia="en-US"/>
              </w:rPr>
              <w:t>IV infusion:</w:t>
            </w:r>
          </w:p>
          <w:p w14:paraId="7D3D3727"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0.25–2 g/kg, repeated if necessary, to be administered over 30-60 minutes, dose may be repeated 1–2 times after 4–8 hours</w:t>
            </w:r>
          </w:p>
          <w:p w14:paraId="3079C1B0"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bCs/>
                <w:kern w:val="0"/>
                <w:szCs w:val="24"/>
                <w:lang w:val="en-US" w:eastAsia="en-US"/>
              </w:rPr>
              <w:t xml:space="preserve">Infant or child 1 month to 12 years: </w:t>
            </w:r>
            <w:r w:rsidRPr="00F10C37">
              <w:rPr>
                <w:rFonts w:eastAsia="Candara-Italic" w:cs="Times New Roman"/>
                <w:kern w:val="0"/>
                <w:szCs w:val="24"/>
                <w:lang w:val="en-US" w:eastAsia="en-US"/>
              </w:rPr>
              <w:t>0.25–1.5 g/kg given</w:t>
            </w:r>
            <w:r>
              <w:rPr>
                <w:rFonts w:eastAsia="Candara-Italic" w:cs="Times New Roman"/>
                <w:kern w:val="0"/>
                <w:szCs w:val="24"/>
                <w:lang w:val="en-US" w:eastAsia="en-US"/>
              </w:rPr>
              <w:t xml:space="preserve"> </w:t>
            </w:r>
            <w:r w:rsidRPr="00F10C37">
              <w:rPr>
                <w:rFonts w:eastAsia="Candara-Italic" w:cs="Times New Roman"/>
                <w:kern w:val="0"/>
                <w:szCs w:val="24"/>
                <w:lang w:val="en-US" w:eastAsia="en-US"/>
              </w:rPr>
              <w:t>over 30 to 60 minutes, repeated if necessary 1 to 2 times after 4 to 8 hours</w:t>
            </w:r>
          </w:p>
          <w:p w14:paraId="4A0853C7"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 xml:space="preserve">Raised intra-ocular pressure, </w:t>
            </w:r>
            <w:r w:rsidRPr="00F11F9E">
              <w:rPr>
                <w:rFonts w:eastAsiaTheme="minorHAnsi" w:cs="Times New Roman"/>
                <w:color w:val="231F20"/>
                <w:kern w:val="0"/>
                <w:szCs w:val="24"/>
                <w:lang w:val="en-US" w:eastAsia="en-US"/>
              </w:rPr>
              <w:t>IV infusion</w:t>
            </w:r>
            <w:r>
              <w:rPr>
                <w:rFonts w:eastAsiaTheme="minorHAnsi" w:cs="Times New Roman"/>
                <w:color w:val="231F20"/>
                <w:kern w:val="0"/>
                <w:szCs w:val="24"/>
                <w:lang w:val="en-US" w:eastAsia="en-US"/>
              </w:rPr>
              <w:t>:</w:t>
            </w:r>
          </w:p>
          <w:p w14:paraId="3C82E723"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0.25–2 g/kg, repeated if necessary, to be administered over 30–60 minutes, dose may be repeated 1–2 times after 4–8 hours</w:t>
            </w:r>
          </w:p>
          <w:p w14:paraId="04EA0E7F"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bCs/>
                <w:kern w:val="0"/>
                <w:szCs w:val="24"/>
                <w:lang w:val="en-US" w:eastAsia="en-US"/>
              </w:rPr>
              <w:t xml:space="preserve">Infant or child 1 month to 12 years: </w:t>
            </w:r>
            <w:r w:rsidRPr="00F10C37">
              <w:rPr>
                <w:rFonts w:eastAsia="Candara-Italic" w:cs="Times New Roman"/>
                <w:kern w:val="0"/>
                <w:szCs w:val="24"/>
                <w:lang w:val="en-US" w:eastAsia="en-US"/>
              </w:rPr>
              <w:t>0.25–1.5 g/kg given</w:t>
            </w:r>
          </w:p>
          <w:p w14:paraId="223ADD61"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Candara-Italic" w:cs="Times New Roman"/>
                <w:kern w:val="0"/>
                <w:szCs w:val="24"/>
                <w:lang w:val="en-US" w:eastAsia="en-US"/>
              </w:rPr>
              <w:t>over 30 to 60 minutes, repeated if necessary 1 to 2 times after 4 to 8 hours</w:t>
            </w:r>
          </w:p>
          <w:p w14:paraId="474B9167" w14:textId="77777777" w:rsidR="0053763D" w:rsidRPr="00F10C37" w:rsidRDefault="0053763D" w:rsidP="00C46407">
            <w:pPr>
              <w:autoSpaceDE w:val="0"/>
              <w:autoSpaceDN w:val="0"/>
              <w:adjustRightInd w:val="0"/>
              <w:jc w:val="both"/>
              <w:rPr>
                <w:rFonts w:eastAsia="Candara-Italic" w:cs="Times New Roman"/>
                <w:iCs/>
                <w:kern w:val="0"/>
                <w:szCs w:val="24"/>
                <w:lang w:val="en-US" w:eastAsia="en-US"/>
              </w:rPr>
            </w:pPr>
            <w:r w:rsidRPr="00F10C37">
              <w:rPr>
                <w:rFonts w:eastAsia="Candara-Italic" w:cs="Times New Roman"/>
                <w:b/>
                <w:iCs/>
                <w:kern w:val="0"/>
                <w:szCs w:val="24"/>
                <w:lang w:val="en-US" w:eastAsia="en-US"/>
              </w:rPr>
              <w:lastRenderedPageBreak/>
              <w:t>Assessment of renal function, test dose (if patient is oliguric or if renal function is inadequate),</w:t>
            </w:r>
            <w:r w:rsidRPr="00F10C37">
              <w:rPr>
                <w:rFonts w:eastAsia="Candara-Italic" w:cs="Times New Roman"/>
                <w:iCs/>
                <w:kern w:val="0"/>
                <w:szCs w:val="24"/>
                <w:lang w:val="en-US" w:eastAsia="en-US"/>
              </w:rPr>
              <w:t xml:space="preserve"> </w:t>
            </w:r>
            <w:r w:rsidRPr="00F11F9E">
              <w:rPr>
                <w:rFonts w:eastAsia="Candara-Italic" w:cs="Times New Roman"/>
                <w:iCs/>
                <w:kern w:val="0"/>
                <w:szCs w:val="24"/>
                <w:lang w:val="en-US" w:eastAsia="en-US"/>
              </w:rPr>
              <w:t>IV infusion</w:t>
            </w:r>
            <w:r w:rsidRPr="00F10C37">
              <w:rPr>
                <w:rFonts w:eastAsia="Candara-Italic" w:cs="Times New Roman"/>
                <w:iCs/>
                <w:kern w:val="0"/>
                <w:szCs w:val="24"/>
                <w:lang w:val="en-US" w:eastAsia="en-US"/>
              </w:rPr>
              <w:t>:</w:t>
            </w:r>
          </w:p>
          <w:p w14:paraId="3915FAFA"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iCs/>
                <w:kern w:val="0"/>
                <w:szCs w:val="24"/>
                <w:lang w:val="en-US" w:eastAsia="en-US"/>
              </w:rPr>
              <w:t>Adult</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 xml:space="preserve">As a 20% solution infused over 3–5 minutes, 200 mg/ kg; repeat test dose if urine output is &lt;30–50 </w:t>
            </w:r>
            <w:r>
              <w:rPr>
                <w:rFonts w:eastAsia="Candara-Italic" w:cs="Times New Roman"/>
                <w:kern w:val="0"/>
                <w:szCs w:val="24"/>
                <w:lang w:val="en-US" w:eastAsia="en-US"/>
              </w:rPr>
              <w:t>ml</w:t>
            </w:r>
            <w:r w:rsidRPr="00F10C37">
              <w:rPr>
                <w:rFonts w:eastAsia="Candara-Italic" w:cs="Times New Roman"/>
                <w:kern w:val="0"/>
                <w:szCs w:val="24"/>
                <w:lang w:val="en-US" w:eastAsia="en-US"/>
              </w:rPr>
              <w:t>/hour; if response is inadequate after a second test dose, reevaluate the patient</w:t>
            </w:r>
          </w:p>
          <w:p w14:paraId="1B4A2B81"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F10C37">
              <w:rPr>
                <w:rFonts w:eastAsia="Candara-Italic" w:cs="Times New Roman"/>
                <w:b/>
                <w:bCs/>
                <w:kern w:val="0"/>
                <w:szCs w:val="24"/>
                <w:lang w:val="en-US" w:eastAsia="en-US"/>
              </w:rPr>
              <w:t xml:space="preserve">Child all ages: </w:t>
            </w:r>
            <w:r w:rsidRPr="00F10C37">
              <w:rPr>
                <w:rFonts w:eastAsia="Candara-Italic" w:cs="Times New Roman"/>
                <w:kern w:val="0"/>
                <w:szCs w:val="24"/>
                <w:lang w:val="en-US" w:eastAsia="en-US"/>
              </w:rPr>
              <w:t xml:space="preserve">200 mg/kg (maximum dose 12.5 g) given over 3 to 5 minutes to produce urine flow of at least 1 </w:t>
            </w:r>
            <w:r>
              <w:rPr>
                <w:rFonts w:eastAsia="Candara-Italic" w:cs="Times New Roman"/>
                <w:kern w:val="0"/>
                <w:szCs w:val="24"/>
                <w:lang w:val="en-US" w:eastAsia="en-US"/>
              </w:rPr>
              <w:t>ml</w:t>
            </w:r>
            <w:r w:rsidRPr="00F10C37">
              <w:rPr>
                <w:rFonts w:eastAsia="Candara-Italic" w:cs="Times New Roman"/>
                <w:kern w:val="0"/>
                <w:szCs w:val="24"/>
                <w:lang w:val="en-US" w:eastAsia="en-US"/>
              </w:rPr>
              <w:t>/kg/hour for 1–3 hours</w:t>
            </w:r>
          </w:p>
          <w:p w14:paraId="0773AFCF" w14:textId="77777777" w:rsidR="0053763D" w:rsidRPr="003D3E3A" w:rsidRDefault="0053763D" w:rsidP="00C46407">
            <w:pPr>
              <w:autoSpaceDE w:val="0"/>
              <w:autoSpaceDN w:val="0"/>
              <w:adjustRightInd w:val="0"/>
              <w:jc w:val="both"/>
              <w:rPr>
                <w:rFonts w:eastAsiaTheme="minorHAnsi" w:cs="Times New Roman"/>
                <w:i/>
                <w:kern w:val="0"/>
                <w:szCs w:val="24"/>
                <w:lang w:val="en-US" w:eastAsia="en-US"/>
              </w:rPr>
            </w:pPr>
            <w:r w:rsidRPr="003D3E3A">
              <w:rPr>
                <w:rFonts w:eastAsiaTheme="minorHAnsi" w:cs="Times New Roman"/>
                <w:i/>
                <w:kern w:val="0"/>
                <w:szCs w:val="24"/>
                <w:lang w:val="en-US" w:eastAsia="en-US"/>
              </w:rPr>
              <w:t>Note:</w:t>
            </w:r>
            <w:r w:rsidRPr="00F10C37">
              <w:rPr>
                <w:rFonts w:eastAsiaTheme="minorHAnsi" w:cs="Times New Roman"/>
                <w:b/>
                <w:kern w:val="0"/>
                <w:szCs w:val="24"/>
                <w:lang w:val="en-US" w:eastAsia="en-US"/>
              </w:rPr>
              <w:t xml:space="preserve"> </w:t>
            </w:r>
            <w:r w:rsidRPr="003D3E3A">
              <w:rPr>
                <w:rFonts w:eastAsiaTheme="minorHAnsi" w:cs="Times New Roman"/>
                <w:i/>
                <w:kern w:val="0"/>
                <w:szCs w:val="24"/>
                <w:lang w:val="en-US" w:eastAsia="en-US"/>
              </w:rPr>
              <w:t>Solutions containing more than 15% may crystallize during storage, crystals must be redissolved by warming solution before use and solution must not be used if any crystals remain, IV administration sets must have a filter, mannitol should not be administered with whole blood or passed through the same</w:t>
            </w:r>
          </w:p>
          <w:p w14:paraId="7C2C57A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3D3E3A">
              <w:rPr>
                <w:rFonts w:eastAsiaTheme="minorHAnsi" w:cs="Times New Roman"/>
                <w:i/>
                <w:kern w:val="0"/>
                <w:szCs w:val="24"/>
                <w:lang w:val="en-US" w:eastAsia="en-US"/>
              </w:rPr>
              <w:t>transfusion set as blood.</w:t>
            </w:r>
          </w:p>
        </w:tc>
      </w:tr>
      <w:tr w:rsidR="0053763D" w:rsidRPr="00F10C37" w14:paraId="582420C1"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4B8FDF5D"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6978BE29"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Anuria, intracranial bleeding, severe cardiac failure. severe dehydration, severe pulmonary oedema</w:t>
            </w:r>
            <w:r>
              <w:rPr>
                <w:rFonts w:eastAsiaTheme="minorHAnsi" w:cs="Times New Roman"/>
                <w:color w:val="231F20"/>
                <w:kern w:val="0"/>
                <w:szCs w:val="24"/>
                <w:lang w:val="en-US" w:eastAsia="en-US"/>
              </w:rPr>
              <w:t>.</w:t>
            </w:r>
          </w:p>
        </w:tc>
      </w:tr>
      <w:tr w:rsidR="0053763D" w:rsidRPr="00F10C37" w14:paraId="3B055F2F"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7D09819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70BDC397" w14:textId="77777777" w:rsidR="0053763D" w:rsidRPr="00F10C37" w:rsidRDefault="0053763D" w:rsidP="00C46407">
            <w:pPr>
              <w:jc w:val="both"/>
              <w:rPr>
                <w:rFonts w:cs="Times New Roman"/>
                <w:szCs w:val="24"/>
              </w:rPr>
            </w:pPr>
            <w:r w:rsidRPr="00F10C37">
              <w:rPr>
                <w:rFonts w:cs="Times New Roman"/>
                <w:szCs w:val="24"/>
              </w:rPr>
              <w:t>Lithium</w:t>
            </w:r>
          </w:p>
        </w:tc>
      </w:tr>
      <w:tr w:rsidR="0053763D" w:rsidRPr="00F10C37" w14:paraId="12BFB278"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58215422"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11A56FD3"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Fluid and electrolyte imbalance, circulatory overload, acidosis, dry mouth, thirst, nausea, vomiting, oedema, raised intracranial pressure, arrhythmia, hypotension, pulmonary oedema, chest pain, headache, seizures, dizziness, chills, fever</w:t>
            </w:r>
            <w:r>
              <w:rPr>
                <w:rFonts w:eastAsiaTheme="minorHAnsi" w:cs="Times New Roman"/>
                <w:kern w:val="0"/>
                <w:szCs w:val="24"/>
                <w:lang w:val="en-US" w:eastAsia="en-US"/>
              </w:rPr>
              <w:t>.</w:t>
            </w:r>
          </w:p>
        </w:tc>
      </w:tr>
      <w:tr w:rsidR="0053763D" w:rsidRPr="00F10C37" w14:paraId="5E300156"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5F2E5DA3" w14:textId="77777777" w:rsidR="0053763D" w:rsidRPr="00F10C37" w:rsidRDefault="0053763D" w:rsidP="00C46407">
            <w:pPr>
              <w:jc w:val="both"/>
              <w:rPr>
                <w:rFonts w:cs="Times New Roman"/>
                <w:szCs w:val="24"/>
              </w:rPr>
            </w:pPr>
            <w:r w:rsidRPr="00F10C37">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10CB3153"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Extravasation causes inflammation and thrombophlebitis, hepatic impairment</w:t>
            </w:r>
          </w:p>
        </w:tc>
      </w:tr>
      <w:tr w:rsidR="0053763D" w:rsidRPr="00F10C37" w14:paraId="614793F6" w14:textId="77777777" w:rsidTr="00C46407">
        <w:tc>
          <w:tcPr>
            <w:tcW w:w="2605" w:type="dxa"/>
            <w:tcBorders>
              <w:top w:val="single" w:sz="4" w:space="0" w:color="auto"/>
              <w:left w:val="single" w:sz="4" w:space="0" w:color="auto"/>
              <w:bottom w:val="single" w:sz="4" w:space="0" w:color="auto"/>
              <w:right w:val="single" w:sz="4" w:space="0" w:color="auto"/>
            </w:tcBorders>
            <w:hideMark/>
          </w:tcPr>
          <w:p w14:paraId="72B02551"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6A9495E6"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15°C to 30°C.</w:t>
            </w:r>
          </w:p>
        </w:tc>
      </w:tr>
    </w:tbl>
    <w:p w14:paraId="1204246E" w14:textId="77777777" w:rsidR="0053763D" w:rsidRPr="00B15BBB" w:rsidRDefault="0053763D" w:rsidP="00910906">
      <w:pPr>
        <w:pStyle w:val="Heading2"/>
        <w:spacing w:before="240" w:after="240"/>
      </w:pPr>
      <w:bookmarkStart w:id="33" w:name="_Toc179490317"/>
      <w:r w:rsidRPr="00B15BBB">
        <w:t>Medicines used for angina/Ischemic heart disease</w:t>
      </w:r>
      <w:bookmarkEnd w:id="33"/>
      <w:r w:rsidRPr="00B15BBB">
        <w:t xml:space="preserve"> </w:t>
      </w:r>
    </w:p>
    <w:p w14:paraId="43F63E31" w14:textId="77777777" w:rsidR="0053763D" w:rsidRPr="00F10C37" w:rsidRDefault="0053763D" w:rsidP="0053763D">
      <w:pPr>
        <w:autoSpaceDE w:val="0"/>
        <w:autoSpaceDN w:val="0"/>
        <w:adjustRightInd w:val="0"/>
        <w:spacing w:after="0"/>
        <w:jc w:val="both"/>
        <w:rPr>
          <w:rFonts w:eastAsiaTheme="minorHAnsi" w:cs="Times New Roman"/>
          <w:color w:val="231F20"/>
          <w:kern w:val="0"/>
          <w:szCs w:val="24"/>
          <w:lang w:val="en-US" w:eastAsia="en-US"/>
        </w:rPr>
      </w:pPr>
      <w:r w:rsidRPr="004D376E">
        <w:rPr>
          <w:rFonts w:cs="Times New Roman"/>
          <w:szCs w:val="24"/>
        </w:rPr>
        <w:t>A</w:t>
      </w:r>
      <w:r w:rsidRPr="003D3E3A">
        <w:rPr>
          <w:rFonts w:cs="Times New Roman"/>
          <w:szCs w:val="24"/>
        </w:rPr>
        <w:t xml:space="preserve">ntianginal </w:t>
      </w:r>
      <w:r w:rsidRPr="004D376E">
        <w:rPr>
          <w:rFonts w:cs="Times New Roman"/>
          <w:szCs w:val="24"/>
        </w:rPr>
        <w:t>medicines are</w:t>
      </w:r>
      <w:r w:rsidRPr="003D3E3A">
        <w:rPr>
          <w:rFonts w:cs="Times New Roman"/>
          <w:szCs w:val="24"/>
        </w:rPr>
        <w:t xml:space="preserve"> used to treat angina pectoris, a symptom of ischaemic heart disease. These drugs help in relieving or preventing conditions associated with coronary insufficiency and related ischemic heart diseases by reducing the heart's need for oxygen</w:t>
      </w:r>
      <w:r>
        <w:rPr>
          <w:rFonts w:cs="Times New Roman"/>
          <w:szCs w:val="24"/>
        </w:rPr>
        <w:t xml:space="preserve"> or increasing oxygen supply</w:t>
      </w:r>
      <w:r w:rsidRPr="003D3E3A">
        <w:rPr>
          <w:rFonts w:cs="Times New Roman"/>
          <w:szCs w:val="24"/>
        </w:rPr>
        <w:t>.</w:t>
      </w:r>
      <w:r w:rsidRPr="003D3E3A">
        <w:rPr>
          <w:rFonts w:eastAsiaTheme="minorHAnsi" w:cs="Times New Roman"/>
          <w:color w:val="231F20"/>
          <w:kern w:val="0"/>
          <w:szCs w:val="24"/>
          <w:lang w:val="en-US" w:eastAsia="en-US"/>
        </w:rPr>
        <w:t xml:space="preserve"> </w:t>
      </w:r>
      <w:r w:rsidRPr="003D3E3A">
        <w:rPr>
          <w:rStyle w:val="u-font-serif"/>
          <w:rFonts w:cs="Times New Roman"/>
          <w:szCs w:val="24"/>
        </w:rPr>
        <w:t xml:space="preserve">The main drugs used for myocardial ischema therapy and for relieving pain in angina pectoris are nitrates and nitrites, such as </w:t>
      </w:r>
      <w:hyperlink r:id="rId20" w:tooltip="Learn more about nitroglycerin from ScienceDirect's AI-generated Topic Pages" w:history="1">
        <w:r w:rsidRPr="003D3E3A">
          <w:rPr>
            <w:rStyle w:val="Hyperlink"/>
            <w:rFonts w:cs="Times New Roman"/>
            <w:color w:val="auto"/>
            <w:szCs w:val="24"/>
            <w:u w:val="none"/>
          </w:rPr>
          <w:t>nitroglycerin</w:t>
        </w:r>
      </w:hyperlink>
      <w:r w:rsidRPr="003D3E3A">
        <w:rPr>
          <w:rStyle w:val="u-font-serif"/>
          <w:rFonts w:cs="Times New Roman"/>
          <w:szCs w:val="24"/>
        </w:rPr>
        <w:t xml:space="preserve">, </w:t>
      </w:r>
      <w:hyperlink r:id="rId21" w:tooltip="Learn more about isosorbide from ScienceDirect's AI-generated Topic Pages" w:history="1">
        <w:r w:rsidRPr="003D3E3A">
          <w:rPr>
            <w:rStyle w:val="Hyperlink"/>
            <w:rFonts w:cs="Times New Roman"/>
            <w:color w:val="auto"/>
            <w:szCs w:val="24"/>
            <w:u w:val="none"/>
          </w:rPr>
          <w:t>isosorbide</w:t>
        </w:r>
      </w:hyperlink>
      <w:r w:rsidRPr="003D3E3A">
        <w:rPr>
          <w:rStyle w:val="u-font-serif"/>
          <w:rFonts w:cs="Times New Roman"/>
          <w:szCs w:val="24"/>
        </w:rPr>
        <w:t xml:space="preserve"> dinitrate, and </w:t>
      </w:r>
      <w:hyperlink r:id="rId22" w:tooltip="Learn more about pentaerythritol from ScienceDirect's AI-generated Topic Pages" w:history="1">
        <w:r w:rsidRPr="003D3E3A">
          <w:rPr>
            <w:rStyle w:val="Hyperlink"/>
            <w:rFonts w:cs="Times New Roman"/>
            <w:color w:val="auto"/>
            <w:szCs w:val="24"/>
            <w:u w:val="none"/>
          </w:rPr>
          <w:t>pentaerythritol</w:t>
        </w:r>
      </w:hyperlink>
      <w:r w:rsidRPr="003D3E3A">
        <w:rPr>
          <w:rStyle w:val="u-font-serif"/>
          <w:rFonts w:cs="Times New Roman"/>
          <w:szCs w:val="24"/>
        </w:rPr>
        <w:t xml:space="preserve"> </w:t>
      </w:r>
      <w:r w:rsidRPr="003D3E3A">
        <w:rPr>
          <w:rStyle w:val="u-font-serif"/>
          <w:rFonts w:cs="Times New Roman"/>
          <w:szCs w:val="24"/>
        </w:rPr>
        <w:lastRenderedPageBreak/>
        <w:t xml:space="preserve">tetranitrate, which help in lowering systemic venous and arterial pressure. Also substances that suppress adrenergic systems of the heart such as β-adrenoblockers and </w:t>
      </w:r>
      <w:r>
        <w:rPr>
          <w:rStyle w:val="u-font-serif"/>
          <w:rFonts w:cs="Times New Roman"/>
          <w:szCs w:val="24"/>
        </w:rPr>
        <w:t>calcium</w:t>
      </w:r>
      <w:r w:rsidRPr="003D3E3A">
        <w:rPr>
          <w:rStyle w:val="u-font-serif"/>
          <w:rFonts w:cs="Times New Roman"/>
          <w:szCs w:val="24"/>
        </w:rPr>
        <w:t xml:space="preserve"> </w:t>
      </w:r>
      <w:hyperlink r:id="rId23" w:tooltip="Learn more about channel blockers from ScienceDirect's AI-generated Topic Pages" w:history="1">
        <w:r w:rsidRPr="003D3E3A">
          <w:rPr>
            <w:rStyle w:val="Hyperlink"/>
            <w:rFonts w:cs="Times New Roman"/>
            <w:color w:val="auto"/>
            <w:szCs w:val="24"/>
            <w:u w:val="none"/>
          </w:rPr>
          <w:t>channel blockers</w:t>
        </w:r>
      </w:hyperlink>
      <w:r>
        <w:rPr>
          <w:rStyle w:val="u-font-serif"/>
          <w:rFonts w:cs="Times New Roman"/>
          <w:szCs w:val="24"/>
        </w:rPr>
        <w:t xml:space="preserve"> a</w:t>
      </w:r>
      <w:r w:rsidRPr="003D3E3A">
        <w:rPr>
          <w:rStyle w:val="u-font-serif"/>
          <w:rFonts w:cs="Times New Roman"/>
          <w:szCs w:val="24"/>
        </w:rPr>
        <w:t>re also used for this purpose.</w:t>
      </w:r>
      <w:r>
        <w:rPr>
          <w:rFonts w:eastAsiaTheme="minorHAnsi" w:cs="Times New Roman"/>
          <w:color w:val="231F20"/>
          <w:kern w:val="0"/>
          <w:szCs w:val="24"/>
          <w:lang w:val="en-US" w:eastAsia="en-US"/>
        </w:rPr>
        <w:t xml:space="preserve"> </w:t>
      </w:r>
      <w:r w:rsidRPr="004D376E">
        <w:rPr>
          <w:rFonts w:eastAsiaTheme="minorHAnsi" w:cs="Times New Roman"/>
          <w:color w:val="231F20"/>
          <w:kern w:val="0"/>
          <w:szCs w:val="24"/>
          <w:lang w:val="en-US" w:eastAsia="en-US"/>
        </w:rPr>
        <w:t>Acute attacks of stable angina should be managed with sublingual glyceryl trinitrate. For long-term prevention of chest pain in patients with stable angina, a beta-blocker should be given as first line therapy. A rate-limiting calcium-channel blocker (such as verapamil hydrochloride or diltiazem hydrochloride should be considered as an alternative if betablockers are contra-indicated</w:t>
      </w:r>
      <w:r>
        <w:rPr>
          <w:rFonts w:eastAsiaTheme="minorHAnsi" w:cs="Times New Roman"/>
          <w:color w:val="231F20"/>
          <w:kern w:val="0"/>
          <w:szCs w:val="24"/>
          <w:lang w:val="en-US" w:eastAsia="en-US"/>
        </w:rPr>
        <w:t>.</w:t>
      </w:r>
      <w:r w:rsidRPr="00F10C37">
        <w:rPr>
          <w:rFonts w:eastAsiaTheme="minorHAnsi" w:cs="Times New Roman"/>
          <w:color w:val="231F20"/>
          <w:kern w:val="0"/>
          <w:szCs w:val="24"/>
          <w:lang w:val="en-US" w:eastAsia="en-US"/>
        </w:rPr>
        <w:t xml:space="preserve"> </w:t>
      </w:r>
    </w:p>
    <w:p w14:paraId="58BCBA69" w14:textId="77777777" w:rsidR="0053763D" w:rsidRPr="00F10C37" w:rsidRDefault="0053763D" w:rsidP="0053763D">
      <w:pPr>
        <w:autoSpaceDE w:val="0"/>
        <w:autoSpaceDN w:val="0"/>
        <w:adjustRightInd w:val="0"/>
        <w:spacing w:after="0"/>
        <w:jc w:val="both"/>
        <w:rPr>
          <w:rFonts w:eastAsiaTheme="minorHAnsi" w:cs="Times New Roman"/>
          <w:color w:val="231F20"/>
          <w:kern w:val="0"/>
          <w:szCs w:val="24"/>
          <w:lang w:val="en-US" w:eastAsia="en-US"/>
        </w:rPr>
      </w:pPr>
    </w:p>
    <w:tbl>
      <w:tblPr>
        <w:tblStyle w:val="TableGrid10"/>
        <w:tblW w:w="9355" w:type="dxa"/>
        <w:tblLook w:val="04A0" w:firstRow="1" w:lastRow="0" w:firstColumn="1" w:lastColumn="0" w:noHBand="0" w:noVBand="1"/>
      </w:tblPr>
      <w:tblGrid>
        <w:gridCol w:w="2425"/>
        <w:gridCol w:w="21"/>
        <w:gridCol w:w="699"/>
        <w:gridCol w:w="6210"/>
      </w:tblGrid>
      <w:tr w:rsidR="0053763D" w:rsidRPr="00F10C37" w14:paraId="7D1E1E97" w14:textId="77777777" w:rsidTr="00C46407">
        <w:trPr>
          <w:trHeight w:val="512"/>
        </w:trPr>
        <w:tc>
          <w:tcPr>
            <w:tcW w:w="9355" w:type="dxa"/>
            <w:gridSpan w:val="4"/>
          </w:tcPr>
          <w:p w14:paraId="5B483B77" w14:textId="77777777" w:rsidR="0053763D" w:rsidRPr="00F10C37" w:rsidRDefault="0053763D" w:rsidP="00C46407">
            <w:pPr>
              <w:jc w:val="both"/>
              <w:rPr>
                <w:rFonts w:cs="Times New Roman"/>
                <w:b/>
                <w:szCs w:val="24"/>
              </w:rPr>
            </w:pPr>
            <w:r w:rsidRPr="00F10C37">
              <w:rPr>
                <w:rFonts w:cs="Times New Roman"/>
                <w:b/>
                <w:szCs w:val="24"/>
              </w:rPr>
              <w:t>Atenolol</w:t>
            </w:r>
          </w:p>
        </w:tc>
      </w:tr>
      <w:tr w:rsidR="0053763D" w:rsidRPr="00F10C37" w14:paraId="0730F33F" w14:textId="77777777" w:rsidTr="00C46407">
        <w:trPr>
          <w:trHeight w:val="512"/>
        </w:trPr>
        <w:tc>
          <w:tcPr>
            <w:tcW w:w="3145" w:type="dxa"/>
            <w:gridSpan w:val="3"/>
          </w:tcPr>
          <w:p w14:paraId="0788894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10" w:type="dxa"/>
          </w:tcPr>
          <w:p w14:paraId="1C085852" w14:textId="77777777" w:rsidR="0053763D" w:rsidRPr="00F10C37" w:rsidRDefault="0053763D" w:rsidP="00C46407">
            <w:pPr>
              <w:widowControl w:val="0"/>
              <w:autoSpaceDE w:val="0"/>
              <w:autoSpaceDN w:val="0"/>
              <w:jc w:val="both"/>
              <w:rPr>
                <w:rFonts w:cs="Times New Roman"/>
                <w:szCs w:val="24"/>
              </w:rPr>
            </w:pPr>
            <w:r>
              <w:rPr>
                <w:rFonts w:cs="Times New Roman"/>
                <w:szCs w:val="24"/>
              </w:rPr>
              <w:t>Selective b</w:t>
            </w:r>
            <w:r w:rsidRPr="00F10C37">
              <w:rPr>
                <w:rFonts w:cs="Times New Roman"/>
                <w:szCs w:val="24"/>
              </w:rPr>
              <w:t>eta-blocker</w:t>
            </w:r>
          </w:p>
        </w:tc>
      </w:tr>
      <w:tr w:rsidR="0053763D" w:rsidRPr="00F10C37" w14:paraId="37BEB09B" w14:textId="77777777" w:rsidTr="00C46407">
        <w:trPr>
          <w:trHeight w:val="341"/>
        </w:trPr>
        <w:tc>
          <w:tcPr>
            <w:tcW w:w="3145" w:type="dxa"/>
            <w:gridSpan w:val="3"/>
          </w:tcPr>
          <w:p w14:paraId="7BF066DD" w14:textId="77777777" w:rsidR="0053763D" w:rsidRPr="00F10C37" w:rsidRDefault="0053763D" w:rsidP="00C46407">
            <w:pPr>
              <w:jc w:val="both"/>
              <w:rPr>
                <w:rFonts w:cs="Times New Roman"/>
                <w:szCs w:val="24"/>
              </w:rPr>
            </w:pPr>
            <w:r w:rsidRPr="00F10C37">
              <w:rPr>
                <w:rFonts w:cs="Times New Roman"/>
                <w:szCs w:val="24"/>
              </w:rPr>
              <w:t>Dosage form</w:t>
            </w:r>
          </w:p>
        </w:tc>
        <w:tc>
          <w:tcPr>
            <w:tcW w:w="6210" w:type="dxa"/>
          </w:tcPr>
          <w:p w14:paraId="50A72837" w14:textId="77777777" w:rsidR="0053763D" w:rsidRPr="00F10C37" w:rsidRDefault="0053763D" w:rsidP="00C46407">
            <w:pPr>
              <w:jc w:val="both"/>
              <w:rPr>
                <w:rFonts w:cs="Times New Roman"/>
                <w:szCs w:val="24"/>
                <w:lang w:val="nb-NO"/>
              </w:rPr>
            </w:pPr>
            <w:r w:rsidRPr="00F10C37">
              <w:rPr>
                <w:rFonts w:cs="Times New Roman"/>
                <w:szCs w:val="24"/>
                <w:lang w:val="nb-NO"/>
              </w:rPr>
              <w:t>Tablet: 25mg, 50mg, 100mg</w:t>
            </w:r>
          </w:p>
        </w:tc>
      </w:tr>
      <w:tr w:rsidR="0053763D" w:rsidRPr="00F10C37" w14:paraId="4E9E981F" w14:textId="77777777" w:rsidTr="00C46407">
        <w:trPr>
          <w:trHeight w:val="521"/>
        </w:trPr>
        <w:tc>
          <w:tcPr>
            <w:tcW w:w="3145" w:type="dxa"/>
            <w:gridSpan w:val="3"/>
          </w:tcPr>
          <w:p w14:paraId="2989EFFE" w14:textId="77777777" w:rsidR="0053763D" w:rsidRPr="00FB312E" w:rsidRDefault="0053763D" w:rsidP="00C46407">
            <w:pPr>
              <w:jc w:val="both"/>
              <w:rPr>
                <w:rFonts w:cs="Times New Roman"/>
                <w:szCs w:val="24"/>
              </w:rPr>
            </w:pPr>
            <w:r w:rsidRPr="00FB312E">
              <w:rPr>
                <w:rFonts w:cs="Times New Roman"/>
                <w:szCs w:val="24"/>
              </w:rPr>
              <w:t>Indications</w:t>
            </w:r>
          </w:p>
        </w:tc>
        <w:tc>
          <w:tcPr>
            <w:tcW w:w="6210" w:type="dxa"/>
          </w:tcPr>
          <w:p w14:paraId="2BC8BA44"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3D3E3A">
              <w:rPr>
                <w:rFonts w:cs="Times New Roman"/>
                <w:szCs w:val="24"/>
              </w:rPr>
              <w:t>Angina,</w:t>
            </w:r>
            <w:r>
              <w:rPr>
                <w:rFonts w:cs="Times New Roman"/>
                <w:szCs w:val="24"/>
              </w:rPr>
              <w:t xml:space="preserve"> h</w:t>
            </w:r>
            <w:r w:rsidRPr="00F10C37">
              <w:rPr>
                <w:rFonts w:cs="Times New Roman"/>
                <w:szCs w:val="24"/>
              </w:rPr>
              <w:t xml:space="preserve">ypertension, arrythmia, </w:t>
            </w:r>
            <w:r w:rsidRPr="00F10C37">
              <w:rPr>
                <w:rFonts w:eastAsiaTheme="minorHAnsi" w:cs="Times New Roman"/>
                <w:color w:val="231F20"/>
                <w:kern w:val="0"/>
                <w:szCs w:val="24"/>
                <w:lang w:val="en-US" w:eastAsia="en-US"/>
              </w:rPr>
              <w:t>early intervention within 12 hours of myocardial infarction</w:t>
            </w:r>
            <w:r w:rsidRPr="00F10C37">
              <w:rPr>
                <w:rFonts w:cs="Times New Roman"/>
                <w:szCs w:val="24"/>
              </w:rPr>
              <w:t>.</w:t>
            </w:r>
          </w:p>
        </w:tc>
      </w:tr>
      <w:tr w:rsidR="0053763D" w:rsidRPr="00F10C37" w14:paraId="118D665B" w14:textId="77777777" w:rsidTr="00C46407">
        <w:trPr>
          <w:trHeight w:val="521"/>
        </w:trPr>
        <w:tc>
          <w:tcPr>
            <w:tcW w:w="3145" w:type="dxa"/>
            <w:gridSpan w:val="3"/>
          </w:tcPr>
          <w:p w14:paraId="353EB9CD"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10" w:type="dxa"/>
          </w:tcPr>
          <w:p w14:paraId="426AAD76"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 xml:space="preserve">Angina, Adult: </w:t>
            </w:r>
            <w:r w:rsidRPr="00F10C37">
              <w:rPr>
                <w:rFonts w:eastAsiaTheme="minorHAnsi" w:cs="Times New Roman"/>
                <w:color w:val="231F20"/>
                <w:kern w:val="0"/>
                <w:szCs w:val="24"/>
                <w:lang w:val="en-US" w:eastAsia="en-US"/>
              </w:rPr>
              <w:t>100 mg daily in 1–2 divided doses</w:t>
            </w:r>
            <w:r>
              <w:rPr>
                <w:rFonts w:eastAsiaTheme="minorHAnsi" w:cs="Times New Roman"/>
                <w:color w:val="231F20"/>
                <w:kern w:val="0"/>
                <w:szCs w:val="24"/>
                <w:lang w:val="en-US" w:eastAsia="en-US"/>
              </w:rPr>
              <w:t>.</w:t>
            </w:r>
          </w:p>
        </w:tc>
      </w:tr>
      <w:tr w:rsidR="0053763D" w:rsidRPr="00F10C37" w14:paraId="72EFF8C7" w14:textId="77777777" w:rsidTr="00C46407">
        <w:tc>
          <w:tcPr>
            <w:tcW w:w="3145" w:type="dxa"/>
            <w:gridSpan w:val="3"/>
          </w:tcPr>
          <w:p w14:paraId="789C6668"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210" w:type="dxa"/>
          </w:tcPr>
          <w:p w14:paraId="23118A36"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the </w:t>
            </w:r>
            <w:r>
              <w:rPr>
                <w:rFonts w:cs="Times New Roman"/>
                <w:szCs w:val="24"/>
              </w:rPr>
              <w:t>drug, b</w:t>
            </w:r>
            <w:r w:rsidRPr="00F10C37">
              <w:rPr>
                <w:rFonts w:cs="Times New Roman"/>
                <w:szCs w:val="24"/>
              </w:rPr>
              <w:t>radycardia, second- and third-degree A-V block, sick sinus syndrome, right ventricular failure secondary to pulmonary hypertension, uncontrolled heart failure, cardiogenic shock, hypotension, severe peripheral arterial disorders, pheochromocytoma</w:t>
            </w:r>
            <w:r>
              <w:rPr>
                <w:rFonts w:cs="Times New Roman"/>
                <w:szCs w:val="24"/>
              </w:rPr>
              <w:t xml:space="preserve"> </w:t>
            </w:r>
            <w:r w:rsidRPr="00F10C37">
              <w:rPr>
                <w:rFonts w:cs="Times New Roman"/>
                <w:szCs w:val="24"/>
              </w:rPr>
              <w:t>in the absence of alpha-blockade, metabolic acidosis</w:t>
            </w:r>
            <w:r>
              <w:rPr>
                <w:rFonts w:cs="Times New Roman"/>
                <w:szCs w:val="24"/>
              </w:rPr>
              <w:t>.</w:t>
            </w:r>
            <w:r w:rsidRPr="00F10C37">
              <w:rPr>
                <w:rFonts w:cs="Times New Roman"/>
                <w:szCs w:val="24"/>
              </w:rPr>
              <w:t xml:space="preserve"> </w:t>
            </w:r>
          </w:p>
        </w:tc>
      </w:tr>
      <w:tr w:rsidR="0053763D" w:rsidRPr="00F10C37" w14:paraId="13663C85" w14:textId="77777777" w:rsidTr="00C46407">
        <w:tc>
          <w:tcPr>
            <w:tcW w:w="3145" w:type="dxa"/>
            <w:gridSpan w:val="3"/>
          </w:tcPr>
          <w:p w14:paraId="7B27EF36"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10" w:type="dxa"/>
          </w:tcPr>
          <w:p w14:paraId="4610F3D0" w14:textId="77777777" w:rsidR="0053763D" w:rsidRPr="00F10C37" w:rsidRDefault="0053763D" w:rsidP="00C46407">
            <w:pPr>
              <w:jc w:val="both"/>
              <w:rPr>
                <w:rFonts w:cs="Times New Roman"/>
                <w:szCs w:val="24"/>
              </w:rPr>
            </w:pPr>
            <w:r w:rsidRPr="00F10C37">
              <w:rPr>
                <w:rFonts w:cs="Times New Roman"/>
                <w:szCs w:val="24"/>
              </w:rPr>
              <w:t>Clonidine, reserpine, guanethidine, class I anti-arrhythmic drugs (disopyramide), calcium channel blockers, NSAIDs, anaesthetics, digoxin.</w:t>
            </w:r>
          </w:p>
        </w:tc>
      </w:tr>
      <w:tr w:rsidR="0053763D" w:rsidRPr="00F10C37" w14:paraId="348FC6A0" w14:textId="77777777" w:rsidTr="00C46407">
        <w:tc>
          <w:tcPr>
            <w:tcW w:w="3145" w:type="dxa"/>
            <w:gridSpan w:val="3"/>
          </w:tcPr>
          <w:p w14:paraId="542C7882" w14:textId="77777777" w:rsidR="0053763D" w:rsidRPr="00F10C37" w:rsidRDefault="0053763D" w:rsidP="00C46407">
            <w:pPr>
              <w:jc w:val="both"/>
              <w:rPr>
                <w:rFonts w:cs="Times New Roman"/>
                <w:szCs w:val="24"/>
              </w:rPr>
            </w:pPr>
            <w:r w:rsidRPr="00F10C37">
              <w:rPr>
                <w:rFonts w:cs="Times New Roman"/>
                <w:szCs w:val="24"/>
              </w:rPr>
              <w:t>Side effects</w:t>
            </w:r>
          </w:p>
        </w:tc>
        <w:tc>
          <w:tcPr>
            <w:tcW w:w="6210" w:type="dxa"/>
          </w:tcPr>
          <w:p w14:paraId="4917E3ED"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Gastrointestinal disorder, alopecia, dry mouth, hepatic disorders, mood altered, postural hypotension, psychosis, skin reactions, thrombocytopenia, hypersensitivity, lupus-like syndrome</w:t>
            </w:r>
            <w:r>
              <w:rPr>
                <w:rFonts w:eastAsiaTheme="minorHAnsi" w:cs="Times New Roman"/>
                <w:color w:val="231F20"/>
                <w:kern w:val="0"/>
                <w:szCs w:val="24"/>
                <w:lang w:val="en-US" w:eastAsia="en-US"/>
              </w:rPr>
              <w:t>.</w:t>
            </w:r>
          </w:p>
        </w:tc>
      </w:tr>
      <w:tr w:rsidR="0053763D" w:rsidRPr="00F10C37" w14:paraId="07380D90" w14:textId="77777777" w:rsidTr="00C46407">
        <w:tc>
          <w:tcPr>
            <w:tcW w:w="3145" w:type="dxa"/>
            <w:gridSpan w:val="3"/>
          </w:tcPr>
          <w:p w14:paraId="0AC3C590" w14:textId="77777777" w:rsidR="0053763D" w:rsidRPr="00F10C37" w:rsidRDefault="0053763D" w:rsidP="00C46407">
            <w:pPr>
              <w:jc w:val="both"/>
              <w:rPr>
                <w:rFonts w:cs="Times New Roman"/>
                <w:szCs w:val="24"/>
              </w:rPr>
            </w:pPr>
            <w:r w:rsidRPr="00F10C37">
              <w:rPr>
                <w:rFonts w:cs="Times New Roman"/>
                <w:szCs w:val="24"/>
              </w:rPr>
              <w:t>Cautions</w:t>
            </w:r>
          </w:p>
        </w:tc>
        <w:tc>
          <w:tcPr>
            <w:tcW w:w="6210" w:type="dxa"/>
          </w:tcPr>
          <w:p w14:paraId="137EEC33" w14:textId="77777777" w:rsidR="0053763D" w:rsidRPr="00F10C37" w:rsidRDefault="0053763D" w:rsidP="00C46407">
            <w:pPr>
              <w:jc w:val="both"/>
              <w:rPr>
                <w:rFonts w:cs="Times New Roman"/>
                <w:szCs w:val="24"/>
              </w:rPr>
            </w:pPr>
            <w:r w:rsidRPr="00F10C37">
              <w:rPr>
                <w:rFonts w:cs="Times New Roman"/>
                <w:szCs w:val="24"/>
              </w:rPr>
              <w:t>Bronchospastic disorders, first degree heart block, peripheral arterial circulatory disorders, diabetes and patients subject to hypoglycemia, impaired renal function, breastfeeding</w:t>
            </w:r>
            <w:r>
              <w:rPr>
                <w:rFonts w:cs="Times New Roman"/>
                <w:szCs w:val="24"/>
              </w:rPr>
              <w:t>.</w:t>
            </w:r>
          </w:p>
        </w:tc>
      </w:tr>
      <w:tr w:rsidR="0053763D" w:rsidRPr="00F10C37" w14:paraId="3716762F" w14:textId="77777777" w:rsidTr="00C46407">
        <w:tc>
          <w:tcPr>
            <w:tcW w:w="3145" w:type="dxa"/>
            <w:gridSpan w:val="3"/>
          </w:tcPr>
          <w:p w14:paraId="0C6D0729"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210" w:type="dxa"/>
          </w:tcPr>
          <w:p w14:paraId="4DB86C10"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w:t>
            </w:r>
            <w:r w:rsidRPr="00F10C37">
              <w:rPr>
                <w:rFonts w:cs="Times New Roman"/>
                <w:szCs w:val="24"/>
                <w:vertAlign w:val="superscript"/>
              </w:rPr>
              <w:t>o</w:t>
            </w:r>
            <w:r w:rsidRPr="00F10C37">
              <w:rPr>
                <w:rFonts w:cs="Times New Roman"/>
                <w:szCs w:val="24"/>
              </w:rPr>
              <w:t xml:space="preserve">C-30 </w:t>
            </w:r>
            <w:r w:rsidRPr="00F10C37">
              <w:rPr>
                <w:rFonts w:cs="Times New Roman"/>
                <w:szCs w:val="24"/>
                <w:vertAlign w:val="superscript"/>
              </w:rPr>
              <w:t>o</w:t>
            </w:r>
            <w:r w:rsidRPr="00F10C37">
              <w:rPr>
                <w:rFonts w:cs="Times New Roman"/>
                <w:szCs w:val="24"/>
              </w:rPr>
              <w:t>C. Protect from light and moisture.</w:t>
            </w:r>
          </w:p>
        </w:tc>
      </w:tr>
      <w:tr w:rsidR="0053763D" w:rsidRPr="00F10C37" w14:paraId="424ABBFA" w14:textId="77777777" w:rsidTr="00C46407">
        <w:trPr>
          <w:trHeight w:val="512"/>
        </w:trPr>
        <w:tc>
          <w:tcPr>
            <w:tcW w:w="9355" w:type="dxa"/>
            <w:gridSpan w:val="4"/>
          </w:tcPr>
          <w:p w14:paraId="73C0B0C7" w14:textId="77777777" w:rsidR="0053763D" w:rsidRPr="00F10C37" w:rsidRDefault="0053763D" w:rsidP="00C46407">
            <w:pPr>
              <w:jc w:val="both"/>
              <w:rPr>
                <w:rFonts w:cs="Times New Roman"/>
                <w:b/>
                <w:szCs w:val="24"/>
              </w:rPr>
            </w:pPr>
            <w:r w:rsidRPr="00F10C37">
              <w:rPr>
                <w:rFonts w:cs="Times New Roman"/>
                <w:b/>
                <w:szCs w:val="24"/>
              </w:rPr>
              <w:t>Carvedilol</w:t>
            </w:r>
          </w:p>
        </w:tc>
      </w:tr>
      <w:tr w:rsidR="0053763D" w:rsidRPr="00F10C37" w14:paraId="2D53FE71" w14:textId="77777777" w:rsidTr="00C46407">
        <w:trPr>
          <w:trHeight w:val="512"/>
        </w:trPr>
        <w:tc>
          <w:tcPr>
            <w:tcW w:w="2425" w:type="dxa"/>
          </w:tcPr>
          <w:p w14:paraId="481A3F0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31F2091A" w14:textId="77777777" w:rsidR="0053763D" w:rsidRPr="00F10C37" w:rsidRDefault="0053763D" w:rsidP="00C46407">
            <w:pPr>
              <w:widowControl w:val="0"/>
              <w:autoSpaceDE w:val="0"/>
              <w:autoSpaceDN w:val="0"/>
              <w:jc w:val="both"/>
              <w:rPr>
                <w:rFonts w:cs="Times New Roman"/>
                <w:szCs w:val="24"/>
              </w:rPr>
            </w:pPr>
            <w:r w:rsidRPr="00F10C37">
              <w:rPr>
                <w:rFonts w:cs="Times New Roman"/>
                <w:szCs w:val="24"/>
              </w:rPr>
              <w:t>Alpha- and beta-adrenoceptor blocker</w:t>
            </w:r>
          </w:p>
        </w:tc>
      </w:tr>
      <w:tr w:rsidR="0053763D" w:rsidRPr="00F10C37" w14:paraId="4F14E936" w14:textId="77777777" w:rsidTr="00C46407">
        <w:trPr>
          <w:trHeight w:val="341"/>
        </w:trPr>
        <w:tc>
          <w:tcPr>
            <w:tcW w:w="2425" w:type="dxa"/>
          </w:tcPr>
          <w:p w14:paraId="0A550048"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79F88BB7" w14:textId="77777777" w:rsidR="0053763D" w:rsidRPr="00F10C37" w:rsidRDefault="0053763D" w:rsidP="00C46407">
            <w:pPr>
              <w:jc w:val="both"/>
              <w:rPr>
                <w:rFonts w:cs="Times New Roman"/>
                <w:szCs w:val="24"/>
                <w:lang w:val="nb-NO"/>
              </w:rPr>
            </w:pPr>
            <w:r w:rsidRPr="00F10C37">
              <w:rPr>
                <w:rFonts w:cs="Times New Roman"/>
                <w:szCs w:val="24"/>
                <w:lang w:val="nb-NO"/>
              </w:rPr>
              <w:t>Tablet: 3.125mg, 6.25mg, 12.5 mg, 25 mg</w:t>
            </w:r>
          </w:p>
        </w:tc>
      </w:tr>
      <w:tr w:rsidR="0053763D" w:rsidRPr="00F10C37" w14:paraId="1EAA0B43" w14:textId="77777777" w:rsidTr="00C46407">
        <w:trPr>
          <w:trHeight w:val="521"/>
        </w:trPr>
        <w:tc>
          <w:tcPr>
            <w:tcW w:w="2425" w:type="dxa"/>
          </w:tcPr>
          <w:p w14:paraId="70438EA9" w14:textId="77777777" w:rsidR="0053763D" w:rsidRPr="00FB312E" w:rsidRDefault="0053763D" w:rsidP="00C46407">
            <w:pPr>
              <w:jc w:val="both"/>
              <w:rPr>
                <w:rFonts w:cs="Times New Roman"/>
                <w:szCs w:val="24"/>
              </w:rPr>
            </w:pPr>
            <w:r w:rsidRPr="00FB312E">
              <w:rPr>
                <w:rFonts w:cs="Times New Roman"/>
                <w:szCs w:val="24"/>
              </w:rPr>
              <w:t>Indications</w:t>
            </w:r>
          </w:p>
        </w:tc>
        <w:tc>
          <w:tcPr>
            <w:tcW w:w="6930" w:type="dxa"/>
            <w:gridSpan w:val="3"/>
          </w:tcPr>
          <w:p w14:paraId="6AC4E5A0" w14:textId="77777777" w:rsidR="0053763D" w:rsidRPr="00F10C37" w:rsidRDefault="0053763D" w:rsidP="00C46407">
            <w:pPr>
              <w:jc w:val="both"/>
              <w:rPr>
                <w:rFonts w:cs="Times New Roman"/>
                <w:szCs w:val="24"/>
              </w:rPr>
            </w:pPr>
            <w:r>
              <w:rPr>
                <w:rFonts w:cs="Times New Roman"/>
                <w:szCs w:val="24"/>
              </w:rPr>
              <w:t>Angina, h</w:t>
            </w:r>
            <w:r w:rsidRPr="00F10C37">
              <w:rPr>
                <w:rFonts w:cs="Times New Roman"/>
                <w:szCs w:val="24"/>
              </w:rPr>
              <w:t>ypertension, symptomatic chronic heart failure</w:t>
            </w:r>
            <w:r w:rsidRPr="00CD7CDF" w:rsidDel="00237ABA">
              <w:rPr>
                <w:rFonts w:cs="Times New Roman"/>
                <w:szCs w:val="24"/>
              </w:rPr>
              <w:t xml:space="preserve"> </w:t>
            </w:r>
            <w:r>
              <w:rPr>
                <w:rFonts w:cs="Times New Roman"/>
                <w:szCs w:val="24"/>
              </w:rPr>
              <w:t>(</w:t>
            </w:r>
            <w:r w:rsidRPr="00F10C37">
              <w:rPr>
                <w:rFonts w:cs="Times New Roman"/>
                <w:szCs w:val="24"/>
              </w:rPr>
              <w:t>adjunct to diuretics, digoxin, or ACE inhibitors</w:t>
            </w:r>
            <w:r>
              <w:rPr>
                <w:rFonts w:cs="Times New Roman"/>
                <w:szCs w:val="24"/>
              </w:rPr>
              <w:t>).</w:t>
            </w:r>
            <w:r w:rsidRPr="00F10C37">
              <w:rPr>
                <w:rFonts w:cs="Times New Roman"/>
                <w:szCs w:val="24"/>
              </w:rPr>
              <w:t xml:space="preserve"> </w:t>
            </w:r>
          </w:p>
        </w:tc>
      </w:tr>
      <w:tr w:rsidR="0053763D" w:rsidRPr="00F10C37" w14:paraId="039A784B" w14:textId="77777777" w:rsidTr="00C46407">
        <w:trPr>
          <w:trHeight w:val="521"/>
        </w:trPr>
        <w:tc>
          <w:tcPr>
            <w:tcW w:w="2425" w:type="dxa"/>
          </w:tcPr>
          <w:p w14:paraId="7C7EBE9C"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3"/>
          </w:tcPr>
          <w:p w14:paraId="25636C7F" w14:textId="77777777" w:rsidR="0053763D" w:rsidRDefault="0053763D" w:rsidP="00C46407">
            <w:pPr>
              <w:jc w:val="both"/>
              <w:rPr>
                <w:rFonts w:cs="Times New Roman"/>
                <w:b/>
                <w:szCs w:val="24"/>
              </w:rPr>
            </w:pPr>
            <w:r w:rsidRPr="00F10C37">
              <w:rPr>
                <w:rFonts w:cs="Times New Roman"/>
                <w:b/>
                <w:szCs w:val="24"/>
              </w:rPr>
              <w:t xml:space="preserve">Angina: </w:t>
            </w:r>
          </w:p>
          <w:p w14:paraId="7246077F"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12.5 mg twice daily for 2 days, then increased to 25 mg twice daily.</w:t>
            </w:r>
          </w:p>
        </w:tc>
      </w:tr>
      <w:tr w:rsidR="0053763D" w:rsidRPr="00F10C37" w14:paraId="65F2CEE1" w14:textId="77777777" w:rsidTr="00C46407">
        <w:tc>
          <w:tcPr>
            <w:tcW w:w="2425" w:type="dxa"/>
          </w:tcPr>
          <w:p w14:paraId="5805911D"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tcPr>
          <w:p w14:paraId="689CE464"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E5EA9CB" w14:textId="77777777" w:rsidTr="00C46407">
        <w:tc>
          <w:tcPr>
            <w:tcW w:w="2425" w:type="dxa"/>
          </w:tcPr>
          <w:p w14:paraId="2EF785ED"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3"/>
          </w:tcPr>
          <w:p w14:paraId="68D9960F"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0CDA4201" w14:textId="77777777" w:rsidTr="00C46407">
        <w:tc>
          <w:tcPr>
            <w:tcW w:w="2425" w:type="dxa"/>
          </w:tcPr>
          <w:p w14:paraId="10A4C39D"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1BF1230C"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37142BFE" w14:textId="77777777" w:rsidTr="00C46407">
        <w:tc>
          <w:tcPr>
            <w:tcW w:w="2425" w:type="dxa"/>
          </w:tcPr>
          <w:p w14:paraId="2C22CE25"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4E4B3A9B"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61F21A28" w14:textId="77777777" w:rsidTr="00C46407">
        <w:tc>
          <w:tcPr>
            <w:tcW w:w="2425" w:type="dxa"/>
          </w:tcPr>
          <w:p w14:paraId="1BE88764"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tcPr>
          <w:p w14:paraId="429ED22F" w14:textId="77777777" w:rsidR="0053763D" w:rsidRPr="00F10C37" w:rsidRDefault="0053763D" w:rsidP="00C46407">
            <w:pPr>
              <w:jc w:val="both"/>
              <w:rPr>
                <w:rFonts w:cs="Times New Roman"/>
                <w:szCs w:val="24"/>
              </w:rPr>
            </w:pPr>
            <w:r w:rsidRPr="00F10C37">
              <w:rPr>
                <w:rFonts w:cs="Times New Roman"/>
                <w:szCs w:val="24"/>
              </w:rPr>
              <w:t xml:space="preserve">Refer to carvedilol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A0390E3" w14:textId="77777777" w:rsidTr="00C46407">
        <w:trPr>
          <w:trHeight w:val="512"/>
        </w:trPr>
        <w:tc>
          <w:tcPr>
            <w:tcW w:w="9355" w:type="dxa"/>
            <w:gridSpan w:val="4"/>
          </w:tcPr>
          <w:p w14:paraId="1FE25C81" w14:textId="77777777" w:rsidR="0053763D" w:rsidRPr="00F10C37" w:rsidRDefault="0053763D" w:rsidP="00C46407">
            <w:pPr>
              <w:jc w:val="both"/>
              <w:rPr>
                <w:rFonts w:cs="Times New Roman"/>
                <w:b/>
                <w:szCs w:val="24"/>
              </w:rPr>
            </w:pPr>
            <w:r w:rsidRPr="00F10C37">
              <w:rPr>
                <w:rFonts w:cs="Times New Roman"/>
                <w:b/>
                <w:color w:val="000000"/>
                <w:szCs w:val="24"/>
              </w:rPr>
              <w:t>Glyceryl Trinitrate</w:t>
            </w:r>
            <w:r w:rsidRPr="00F10C37">
              <w:rPr>
                <w:rFonts w:cs="Times New Roman"/>
                <w:b/>
                <w:color w:val="000000"/>
                <w:szCs w:val="24"/>
              </w:rPr>
              <w:fldChar w:fldCharType="begin"/>
            </w:r>
            <w:r w:rsidRPr="00F10C37">
              <w:rPr>
                <w:rFonts w:cs="Times New Roman"/>
                <w:b/>
                <w:szCs w:val="24"/>
              </w:rPr>
              <w:instrText xml:space="preserve"> XE “</w:instrText>
            </w:r>
            <w:r w:rsidRPr="00F10C37">
              <w:rPr>
                <w:rFonts w:cs="Times New Roman"/>
                <w:b/>
                <w:color w:val="000000"/>
                <w:szCs w:val="24"/>
              </w:rPr>
              <w:instrText>Glyceryl Trinitrate</w:instrText>
            </w:r>
            <w:r w:rsidRPr="00F10C37">
              <w:rPr>
                <w:rFonts w:cs="Times New Roman"/>
                <w:b/>
                <w:szCs w:val="24"/>
              </w:rPr>
              <w:instrText>”</w:instrText>
            </w:r>
            <w:r w:rsidRPr="00F10C37">
              <w:rPr>
                <w:rFonts w:cs="Times New Roman"/>
                <w:b/>
                <w:color w:val="000000"/>
                <w:szCs w:val="24"/>
              </w:rPr>
              <w:fldChar w:fldCharType="end"/>
            </w:r>
            <w:r w:rsidRPr="00F10C37">
              <w:rPr>
                <w:rFonts w:cs="Times New Roman"/>
                <w:b/>
                <w:color w:val="000000"/>
                <w:szCs w:val="24"/>
              </w:rPr>
              <w:t xml:space="preserve"> (Nitroglycerine</w:t>
            </w:r>
            <w:r w:rsidRPr="00F10C37">
              <w:rPr>
                <w:rFonts w:cs="Times New Roman"/>
                <w:b/>
                <w:color w:val="000000"/>
                <w:szCs w:val="24"/>
              </w:rPr>
              <w:fldChar w:fldCharType="begin"/>
            </w:r>
            <w:r w:rsidRPr="00F10C37">
              <w:rPr>
                <w:rFonts w:cs="Times New Roman"/>
                <w:b/>
                <w:szCs w:val="24"/>
              </w:rPr>
              <w:instrText xml:space="preserve"> XE “</w:instrText>
            </w:r>
            <w:r w:rsidRPr="00F10C37">
              <w:rPr>
                <w:rFonts w:cs="Times New Roman"/>
                <w:b/>
                <w:color w:val="000000"/>
                <w:szCs w:val="24"/>
              </w:rPr>
              <w:instrText>Nitroglycerine</w:instrText>
            </w:r>
            <w:r w:rsidRPr="00F10C37">
              <w:rPr>
                <w:rFonts w:cs="Times New Roman"/>
                <w:b/>
                <w:szCs w:val="24"/>
              </w:rPr>
              <w:instrText>”</w:instrText>
            </w:r>
            <w:r w:rsidRPr="00F10C37">
              <w:rPr>
                <w:rFonts w:cs="Times New Roman"/>
                <w:b/>
                <w:color w:val="000000"/>
                <w:szCs w:val="24"/>
              </w:rPr>
              <w:fldChar w:fldCharType="end"/>
            </w:r>
            <w:r w:rsidRPr="00F10C37">
              <w:rPr>
                <w:rFonts w:cs="Times New Roman"/>
                <w:b/>
                <w:color w:val="000000"/>
                <w:szCs w:val="24"/>
              </w:rPr>
              <w:t>)*</w:t>
            </w:r>
          </w:p>
        </w:tc>
      </w:tr>
      <w:tr w:rsidR="0053763D" w:rsidRPr="00F10C37" w14:paraId="5B6AD68D" w14:textId="77777777" w:rsidTr="00C46407">
        <w:trPr>
          <w:trHeight w:val="512"/>
        </w:trPr>
        <w:tc>
          <w:tcPr>
            <w:tcW w:w="2425" w:type="dxa"/>
          </w:tcPr>
          <w:p w14:paraId="05DA2E0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1E23B887" w14:textId="77777777" w:rsidR="0053763D" w:rsidRPr="00F10C37" w:rsidRDefault="0053763D" w:rsidP="00C46407">
            <w:pPr>
              <w:jc w:val="both"/>
              <w:rPr>
                <w:rFonts w:cs="Times New Roman"/>
                <w:szCs w:val="24"/>
              </w:rPr>
            </w:pPr>
            <w:r w:rsidRPr="00F10C37">
              <w:rPr>
                <w:rFonts w:cs="Times New Roman"/>
                <w:szCs w:val="24"/>
              </w:rPr>
              <w:t>Vasodil</w:t>
            </w:r>
            <w:r>
              <w:rPr>
                <w:rFonts w:cs="Times New Roman"/>
                <w:szCs w:val="24"/>
              </w:rPr>
              <w:t>l</w:t>
            </w:r>
            <w:r w:rsidRPr="00F10C37">
              <w:rPr>
                <w:rFonts w:cs="Times New Roman"/>
                <w:szCs w:val="24"/>
              </w:rPr>
              <w:t xml:space="preserve">ator </w:t>
            </w:r>
          </w:p>
        </w:tc>
      </w:tr>
      <w:tr w:rsidR="0053763D" w:rsidRPr="00F10C37" w14:paraId="5CFE1C49" w14:textId="77777777" w:rsidTr="00C46407">
        <w:trPr>
          <w:trHeight w:val="395"/>
        </w:trPr>
        <w:tc>
          <w:tcPr>
            <w:tcW w:w="2425" w:type="dxa"/>
          </w:tcPr>
          <w:p w14:paraId="2CB5D250"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565220E7" w14:textId="77777777" w:rsidR="0053763D"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Tablet (sublingual): 0.3mg, 0.5mg</w:t>
            </w:r>
          </w:p>
          <w:p w14:paraId="27C50F97"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Tablet (Sustained release): 2.5mg</w:t>
            </w:r>
          </w:p>
          <w:p w14:paraId="4DF3ED3F" w14:textId="77777777" w:rsidR="0053763D"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 xml:space="preserve">Spray: 400mcg/spray </w:t>
            </w:r>
          </w:p>
          <w:p w14:paraId="21E1581D"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rPr>
              <w:t>Injection</w:t>
            </w:r>
            <w:r>
              <w:rPr>
                <w:rFonts w:cs="Times New Roman"/>
                <w:szCs w:val="24"/>
              </w:rPr>
              <w:t>:</w:t>
            </w:r>
            <w:r w:rsidRPr="00F10C37">
              <w:rPr>
                <w:rFonts w:cs="Times New Roman"/>
                <w:szCs w:val="24"/>
              </w:rPr>
              <w:t xml:space="preserve"> 1mg/</w:t>
            </w:r>
            <w:r>
              <w:rPr>
                <w:rFonts w:cs="Times New Roman"/>
                <w:szCs w:val="24"/>
              </w:rPr>
              <w:t>ml</w:t>
            </w:r>
            <w:r w:rsidRPr="00F10C37">
              <w:rPr>
                <w:rFonts w:cs="Times New Roman"/>
                <w:szCs w:val="24"/>
              </w:rPr>
              <w:t>, 5mg/</w:t>
            </w:r>
            <w:r>
              <w:rPr>
                <w:rFonts w:cs="Times New Roman"/>
                <w:szCs w:val="24"/>
              </w:rPr>
              <w:t>ml</w:t>
            </w:r>
            <w:r w:rsidRPr="00F10C37">
              <w:rPr>
                <w:rFonts w:cs="Times New Roman"/>
                <w:szCs w:val="24"/>
              </w:rPr>
              <w:t>.</w:t>
            </w:r>
            <w:r w:rsidRPr="00F10C37">
              <w:rPr>
                <w:rFonts w:cs="Times New Roman"/>
                <w:i/>
                <w:szCs w:val="24"/>
              </w:rPr>
              <w:t xml:space="preserve"> </w:t>
            </w:r>
          </w:p>
        </w:tc>
      </w:tr>
      <w:tr w:rsidR="0053763D" w:rsidRPr="00F10C37" w14:paraId="3954295B" w14:textId="77777777" w:rsidTr="00C46407">
        <w:trPr>
          <w:trHeight w:val="521"/>
        </w:trPr>
        <w:tc>
          <w:tcPr>
            <w:tcW w:w="2425" w:type="dxa"/>
          </w:tcPr>
          <w:p w14:paraId="1B900EDD" w14:textId="77777777" w:rsidR="0053763D" w:rsidRPr="00237ABA" w:rsidRDefault="0053763D" w:rsidP="00C46407">
            <w:pPr>
              <w:jc w:val="both"/>
              <w:rPr>
                <w:rFonts w:cs="Times New Roman"/>
                <w:szCs w:val="24"/>
              </w:rPr>
            </w:pPr>
            <w:r w:rsidRPr="00237ABA">
              <w:rPr>
                <w:rFonts w:cs="Times New Roman"/>
                <w:szCs w:val="24"/>
              </w:rPr>
              <w:t>Indications</w:t>
            </w:r>
          </w:p>
        </w:tc>
        <w:tc>
          <w:tcPr>
            <w:tcW w:w="6930" w:type="dxa"/>
            <w:gridSpan w:val="3"/>
          </w:tcPr>
          <w:p w14:paraId="0096EECF" w14:textId="77777777" w:rsidR="0053763D" w:rsidRPr="00F10C37" w:rsidRDefault="0053763D" w:rsidP="00C46407">
            <w:pPr>
              <w:jc w:val="both"/>
              <w:rPr>
                <w:rFonts w:cs="Times New Roman"/>
                <w:szCs w:val="24"/>
              </w:rPr>
            </w:pPr>
            <w:r w:rsidRPr="00F10C37">
              <w:rPr>
                <w:rFonts w:cs="Times New Roman"/>
                <w:szCs w:val="24"/>
              </w:rPr>
              <w:t>Unresponsive congestive heart failure, refractory unstable angina pectoris and coronary insufficiency, hypertensive episodes and/or myocardial ischaemia during and after cardiac surgery, induction of controlled hypotension for surgery</w:t>
            </w:r>
            <w:r>
              <w:rPr>
                <w:rFonts w:cs="Times New Roman"/>
                <w:szCs w:val="24"/>
              </w:rPr>
              <w:t>.</w:t>
            </w:r>
          </w:p>
        </w:tc>
      </w:tr>
      <w:tr w:rsidR="0053763D" w:rsidRPr="00F10C37" w14:paraId="2587FB5A" w14:textId="77777777" w:rsidTr="00C46407">
        <w:trPr>
          <w:trHeight w:val="521"/>
        </w:trPr>
        <w:tc>
          <w:tcPr>
            <w:tcW w:w="2425" w:type="dxa"/>
          </w:tcPr>
          <w:p w14:paraId="6CC35DB3" w14:textId="77777777" w:rsidR="0053763D" w:rsidRPr="00F10C37" w:rsidRDefault="0053763D" w:rsidP="00C46407">
            <w:pPr>
              <w:rPr>
                <w:rFonts w:cs="Times New Roman"/>
                <w:szCs w:val="24"/>
              </w:rPr>
            </w:pPr>
            <w:r w:rsidRPr="00F10C37">
              <w:rPr>
                <w:rFonts w:eastAsia="Times New Roman" w:cs="Times New Roman"/>
                <w:szCs w:val="24"/>
              </w:rPr>
              <w:t>Dose and administration</w:t>
            </w:r>
          </w:p>
        </w:tc>
        <w:tc>
          <w:tcPr>
            <w:tcW w:w="6930" w:type="dxa"/>
            <w:gridSpan w:val="3"/>
          </w:tcPr>
          <w:p w14:paraId="1DEE98EF" w14:textId="77777777" w:rsidR="0053763D"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Prophylaxis of angina by sublingual administration using sublingual tablets</w:t>
            </w:r>
            <w:r w:rsidRPr="00F10C37">
              <w:rPr>
                <w:rFonts w:eastAsiaTheme="minorHAnsi" w:cs="Times New Roman"/>
                <w:color w:val="231F20"/>
                <w:kern w:val="0"/>
                <w:szCs w:val="24"/>
                <w:lang w:val="en-US" w:eastAsia="en-US"/>
              </w:rPr>
              <w:t xml:space="preserve">: </w:t>
            </w:r>
          </w:p>
          <w:p w14:paraId="656DDADE"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 tablet, to be administered prior to activity likely to cause angina</w:t>
            </w:r>
            <w:r>
              <w:rPr>
                <w:rFonts w:eastAsiaTheme="minorHAnsi" w:cs="Times New Roman"/>
                <w:color w:val="231F20"/>
                <w:kern w:val="0"/>
                <w:szCs w:val="24"/>
                <w:lang w:val="en-US" w:eastAsia="en-US"/>
              </w:rPr>
              <w:t>.</w:t>
            </w:r>
          </w:p>
          <w:p w14:paraId="427272E1"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Prophylaxis of angina by sublingual administration using aerosol </w:t>
            </w:r>
            <w:r w:rsidRPr="00F10C37">
              <w:rPr>
                <w:rFonts w:eastAsiaTheme="minorHAnsi" w:cs="Times New Roman"/>
                <w:b/>
                <w:color w:val="231F20"/>
                <w:kern w:val="0"/>
                <w:szCs w:val="24"/>
                <w:lang w:val="en-US" w:eastAsia="en-US"/>
              </w:rPr>
              <w:lastRenderedPageBreak/>
              <w:t>spray</w:t>
            </w:r>
            <w:r>
              <w:rPr>
                <w:rFonts w:eastAsiaTheme="minorHAnsi" w:cs="Times New Roman"/>
                <w:b/>
                <w:color w:val="231F20"/>
                <w:kern w:val="0"/>
                <w:szCs w:val="24"/>
                <w:lang w:val="en-US" w:eastAsia="en-US"/>
              </w:rPr>
              <w:t>:</w:t>
            </w:r>
          </w:p>
          <w:p w14:paraId="3BAE01B9"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400–800 </w:t>
            </w:r>
            <w:r>
              <w:rPr>
                <w:rFonts w:eastAsiaTheme="minorHAnsi" w:cs="Times New Roman"/>
                <w:color w:val="231F20"/>
                <w:kern w:val="0"/>
                <w:szCs w:val="24"/>
                <w:lang w:val="en-US" w:eastAsia="en-US"/>
              </w:rPr>
              <w:t>mcg</w:t>
            </w:r>
            <w:r w:rsidRPr="00F10C37">
              <w:rPr>
                <w:rFonts w:eastAsiaTheme="minorHAnsi" w:cs="Times New Roman"/>
                <w:color w:val="231F20"/>
                <w:kern w:val="0"/>
                <w:szCs w:val="24"/>
                <w:lang w:val="en-US" w:eastAsia="en-US"/>
              </w:rPr>
              <w:t>, to be administered under the tongue and then close mouth prior to activity likely to cause angina</w:t>
            </w:r>
          </w:p>
          <w:p w14:paraId="1D84E3D6"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Treatment of angina</w:t>
            </w:r>
            <w:r w:rsidRPr="00F10C37">
              <w:rPr>
                <w:rFonts w:eastAsia="AdvTT0e40dc65+25" w:cs="Times New Roman"/>
                <w:b/>
                <w:color w:val="231F20"/>
                <w:kern w:val="0"/>
                <w:szCs w:val="24"/>
                <w:lang w:val="en-US" w:eastAsia="en-US"/>
              </w:rPr>
              <w:t xml:space="preserve"> </w:t>
            </w:r>
            <w:r w:rsidRPr="00F10C37">
              <w:rPr>
                <w:rFonts w:eastAsiaTheme="minorHAnsi" w:cs="Times New Roman"/>
                <w:b/>
                <w:color w:val="231F20"/>
                <w:kern w:val="0"/>
                <w:szCs w:val="24"/>
                <w:lang w:val="en-US" w:eastAsia="en-US"/>
              </w:rPr>
              <w:t>by sublingual administration using sublingual tablets:</w:t>
            </w:r>
          </w:p>
          <w:p w14:paraId="0E25431D"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 tablet, dose may be repeated at 5minute intervals if required; seek urgent medical attention if symptoms have not resolved 5 minutes after the second dose, or earlier if the pain is intensifying or the person is unwell</w:t>
            </w:r>
          </w:p>
          <w:p w14:paraId="468C761E"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Treatment of angina</w:t>
            </w:r>
            <w:r w:rsidRPr="00F10C37">
              <w:rPr>
                <w:rFonts w:eastAsia="AdvTT0e40dc65+25" w:cs="Times New Roman"/>
                <w:b/>
                <w:color w:val="231F20"/>
                <w:kern w:val="0"/>
                <w:szCs w:val="24"/>
                <w:lang w:val="en-US" w:eastAsia="en-US"/>
              </w:rPr>
              <w:t xml:space="preserve"> </w:t>
            </w:r>
            <w:r w:rsidRPr="00F10C37">
              <w:rPr>
                <w:rFonts w:eastAsiaTheme="minorHAnsi" w:cs="Times New Roman"/>
                <w:b/>
                <w:color w:val="231F20"/>
                <w:kern w:val="0"/>
                <w:szCs w:val="24"/>
                <w:lang w:val="en-US" w:eastAsia="en-US"/>
              </w:rPr>
              <w:t>by sublingual administration using aerosol spray</w:t>
            </w:r>
            <w:r>
              <w:rPr>
                <w:rFonts w:eastAsiaTheme="minorHAnsi" w:cs="Times New Roman"/>
                <w:b/>
                <w:color w:val="231F20"/>
                <w:kern w:val="0"/>
                <w:szCs w:val="24"/>
                <w:lang w:val="en-US" w:eastAsia="en-US"/>
              </w:rPr>
              <w:t xml:space="preserve">: </w:t>
            </w:r>
          </w:p>
          <w:p w14:paraId="159C3AC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400–800 m</w:t>
            </w:r>
            <w:r>
              <w:rPr>
                <w:rFonts w:eastAsiaTheme="minorHAnsi" w:cs="Times New Roman"/>
                <w:color w:val="231F20"/>
                <w:kern w:val="0"/>
                <w:szCs w:val="24"/>
                <w:lang w:val="en-US" w:eastAsia="en-US"/>
              </w:rPr>
              <w:t>cg</w:t>
            </w:r>
            <w:r w:rsidRPr="00F10C37">
              <w:rPr>
                <w:rFonts w:eastAsiaTheme="minorHAnsi" w:cs="Times New Roman"/>
                <w:color w:val="231F20"/>
                <w:kern w:val="0"/>
                <w:szCs w:val="24"/>
                <w:lang w:val="en-US" w:eastAsia="en-US"/>
              </w:rPr>
              <w:t>, to be administered under the tongue and then close mouth, dose may be repeated at 5-minute intervals if required; seek urgent medical attention if symptoms have not resolved 5 minutes after the second dose, or earlier if the pain is intensifying or the person is unwell</w:t>
            </w:r>
            <w:r>
              <w:rPr>
                <w:rFonts w:eastAsiaTheme="minorHAnsi" w:cs="Times New Roman"/>
                <w:color w:val="231F20"/>
                <w:kern w:val="0"/>
                <w:szCs w:val="24"/>
                <w:lang w:val="en-US" w:eastAsia="en-US"/>
              </w:rPr>
              <w:t>.</w:t>
            </w:r>
          </w:p>
        </w:tc>
      </w:tr>
      <w:tr w:rsidR="0053763D" w:rsidRPr="00F10C37" w14:paraId="72F07812" w14:textId="77777777" w:rsidTr="00C46407">
        <w:tc>
          <w:tcPr>
            <w:tcW w:w="2425" w:type="dxa"/>
          </w:tcPr>
          <w:p w14:paraId="6CC2665D"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930" w:type="dxa"/>
            <w:gridSpan w:val="3"/>
          </w:tcPr>
          <w:p w14:paraId="78DDE03D" w14:textId="77777777" w:rsidR="0053763D" w:rsidRPr="00F10C37" w:rsidRDefault="0053763D" w:rsidP="00C46407">
            <w:pPr>
              <w:jc w:val="both"/>
              <w:rPr>
                <w:rFonts w:cs="Times New Roman"/>
                <w:szCs w:val="24"/>
              </w:rPr>
            </w:pPr>
            <w:r w:rsidRPr="00F10C37">
              <w:rPr>
                <w:rFonts w:cs="Times New Roman"/>
                <w:szCs w:val="24"/>
              </w:rPr>
              <w:t>Hypersensitivity to nitrates, hypotension, hypovolaemia, hypertrophic obstructive cardiomyopathy, aortic stenosis, cardiac tamponade, constrictive pericarditis, mitral stenosis, marked anaemia, head trauma, increased intracranial pressure, cerebral haemorrhage, angle-closure glaucoma, concomitant use with phosphodiesterase 5 inhibitors.</w:t>
            </w:r>
          </w:p>
        </w:tc>
      </w:tr>
      <w:tr w:rsidR="0053763D" w:rsidRPr="00F10C37" w14:paraId="425561ED" w14:textId="77777777" w:rsidTr="00C46407">
        <w:tc>
          <w:tcPr>
            <w:tcW w:w="2425" w:type="dxa"/>
          </w:tcPr>
          <w:p w14:paraId="0E3B4ABF"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3"/>
          </w:tcPr>
          <w:p w14:paraId="13AF2CC6" w14:textId="77777777" w:rsidR="0053763D" w:rsidRPr="00F10C37" w:rsidRDefault="0053763D" w:rsidP="00C46407">
            <w:pPr>
              <w:jc w:val="both"/>
              <w:rPr>
                <w:rFonts w:cs="Times New Roman"/>
                <w:szCs w:val="24"/>
              </w:rPr>
            </w:pPr>
            <w:r w:rsidRPr="00F10C37">
              <w:rPr>
                <w:rFonts w:cs="Times New Roman"/>
                <w:szCs w:val="24"/>
              </w:rPr>
              <w:t>Acetylcysteine, phosphodiesterase type 5 inhibitors (e.g., sildenafil, tadalafil), agents with hypotensive effects (e.g., vasodilators, antihypertensives, beta-blockers, CCBs and neuroleptics</w:t>
            </w:r>
            <w:r>
              <w:rPr>
                <w:rFonts w:cs="Times New Roman"/>
                <w:szCs w:val="24"/>
              </w:rPr>
              <w:t>)</w:t>
            </w:r>
            <w:r w:rsidRPr="00F10C37">
              <w:rPr>
                <w:rFonts w:cs="Times New Roman"/>
                <w:szCs w:val="24"/>
              </w:rPr>
              <w:t xml:space="preserve">, </w:t>
            </w:r>
            <w:r>
              <w:rPr>
                <w:rFonts w:cs="Times New Roman"/>
                <w:szCs w:val="24"/>
              </w:rPr>
              <w:t>TCAs</w:t>
            </w:r>
            <w:r w:rsidRPr="00F10C37">
              <w:rPr>
                <w:rFonts w:cs="Times New Roman"/>
                <w:szCs w:val="24"/>
              </w:rPr>
              <w:t xml:space="preserve">, alcohol, ergot alkaloids, antimuscarinics, dapsone, prilocaine. </w:t>
            </w:r>
          </w:p>
        </w:tc>
      </w:tr>
      <w:tr w:rsidR="0053763D" w:rsidRPr="00F10C37" w14:paraId="26E88646" w14:textId="77777777" w:rsidTr="00C46407">
        <w:tc>
          <w:tcPr>
            <w:tcW w:w="2425" w:type="dxa"/>
          </w:tcPr>
          <w:p w14:paraId="609A8B33"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23DB1605" w14:textId="77777777" w:rsidR="0053763D" w:rsidRPr="00F10C37" w:rsidRDefault="0053763D" w:rsidP="00C46407">
            <w:pPr>
              <w:contextualSpacing/>
              <w:jc w:val="both"/>
              <w:rPr>
                <w:rFonts w:cs="Times New Roman"/>
                <w:szCs w:val="24"/>
              </w:rPr>
            </w:pPr>
            <w:r w:rsidRPr="00F10C37">
              <w:rPr>
                <w:rFonts w:cs="Times New Roman"/>
                <w:szCs w:val="24"/>
              </w:rPr>
              <w:t>Throbbing headache, vertigo, dizziness, flushing, postural hypotension, tachycardia, paradoxical bradycardia</w:t>
            </w:r>
            <w:r>
              <w:rPr>
                <w:rFonts w:cs="Times New Roman"/>
                <w:szCs w:val="24"/>
              </w:rPr>
              <w:t>,</w:t>
            </w:r>
            <w:r w:rsidRPr="00F10C37">
              <w:rPr>
                <w:rFonts w:cs="Times New Roman"/>
                <w:szCs w:val="24"/>
              </w:rPr>
              <w:t xml:space="preserve"> local burning or tingling sensation under the tongue.</w:t>
            </w:r>
          </w:p>
        </w:tc>
      </w:tr>
      <w:tr w:rsidR="0053763D" w:rsidRPr="00F10C37" w14:paraId="3182C2D7" w14:textId="77777777" w:rsidTr="00C46407">
        <w:tc>
          <w:tcPr>
            <w:tcW w:w="2425" w:type="dxa"/>
          </w:tcPr>
          <w:p w14:paraId="4173F7B5"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18F2B126" w14:textId="77777777" w:rsidR="0053763D" w:rsidRPr="00F10C37" w:rsidRDefault="0053763D" w:rsidP="00C46407">
            <w:pPr>
              <w:jc w:val="both"/>
              <w:rPr>
                <w:rFonts w:cs="Times New Roman"/>
                <w:szCs w:val="24"/>
              </w:rPr>
            </w:pPr>
            <w:r w:rsidRPr="00F10C37">
              <w:rPr>
                <w:rFonts w:cs="Times New Roman"/>
                <w:szCs w:val="24"/>
              </w:rPr>
              <w:t xml:space="preserve">Hypothyroidism, malnutrition, hypothermia, recent history of MI, cerebrovascular disease, patients with lung disease or cor-pulmonale, </w:t>
            </w:r>
            <w:r w:rsidRPr="00F10C37">
              <w:rPr>
                <w:rFonts w:cs="Times New Roman"/>
                <w:szCs w:val="24"/>
              </w:rPr>
              <w:lastRenderedPageBreak/>
              <w:t>hepatic impairment, renal impairment, pregnancy and breastfeeding.</w:t>
            </w:r>
          </w:p>
        </w:tc>
      </w:tr>
      <w:tr w:rsidR="0053763D" w:rsidRPr="00F10C37" w14:paraId="133C33D2" w14:textId="77777777" w:rsidTr="00C46407">
        <w:tc>
          <w:tcPr>
            <w:tcW w:w="2425" w:type="dxa"/>
          </w:tcPr>
          <w:p w14:paraId="00798940" w14:textId="77777777" w:rsidR="0053763D" w:rsidRPr="00F10C37" w:rsidRDefault="0053763D" w:rsidP="00C46407">
            <w:pPr>
              <w:jc w:val="both"/>
              <w:rPr>
                <w:rFonts w:cs="Times New Roman"/>
                <w:szCs w:val="24"/>
              </w:rPr>
            </w:pPr>
            <w:r w:rsidRPr="00F10C37">
              <w:rPr>
                <w:rFonts w:cs="Times New Roman"/>
                <w:szCs w:val="24"/>
              </w:rPr>
              <w:lastRenderedPageBreak/>
              <w:t>Storage condition</w:t>
            </w:r>
          </w:p>
        </w:tc>
        <w:tc>
          <w:tcPr>
            <w:tcW w:w="6930" w:type="dxa"/>
            <w:gridSpan w:val="3"/>
          </w:tcPr>
          <w:p w14:paraId="5193193E"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15-30°C. </w:t>
            </w:r>
            <w:r>
              <w:rPr>
                <w:rFonts w:cs="Times New Roman"/>
                <w:szCs w:val="24"/>
              </w:rPr>
              <w:t>P</w:t>
            </w:r>
            <w:r w:rsidRPr="00F10C37">
              <w:rPr>
                <w:rFonts w:cs="Times New Roman"/>
                <w:szCs w:val="24"/>
              </w:rPr>
              <w:t>rotect from light.</w:t>
            </w:r>
          </w:p>
        </w:tc>
      </w:tr>
      <w:tr w:rsidR="0053763D" w:rsidRPr="00F10C37" w14:paraId="25377033" w14:textId="77777777" w:rsidTr="00C46407">
        <w:trPr>
          <w:trHeight w:val="512"/>
        </w:trPr>
        <w:tc>
          <w:tcPr>
            <w:tcW w:w="9355" w:type="dxa"/>
            <w:gridSpan w:val="4"/>
          </w:tcPr>
          <w:p w14:paraId="079CCB7F" w14:textId="77777777" w:rsidR="0053763D" w:rsidRPr="00F10C37" w:rsidRDefault="0053763D" w:rsidP="00C46407">
            <w:pPr>
              <w:jc w:val="both"/>
              <w:rPr>
                <w:rFonts w:cs="Times New Roman"/>
                <w:b/>
                <w:szCs w:val="24"/>
              </w:rPr>
            </w:pPr>
            <w:r w:rsidRPr="00F10C37">
              <w:rPr>
                <w:rFonts w:cs="Times New Roman"/>
                <w:b/>
                <w:color w:val="000000"/>
                <w:szCs w:val="24"/>
              </w:rPr>
              <w:t xml:space="preserve">Isosorbide dinitrate </w:t>
            </w:r>
          </w:p>
        </w:tc>
      </w:tr>
      <w:tr w:rsidR="0053763D" w:rsidRPr="00F10C37" w14:paraId="0904BC7C" w14:textId="77777777" w:rsidTr="00C46407">
        <w:trPr>
          <w:trHeight w:val="512"/>
        </w:trPr>
        <w:tc>
          <w:tcPr>
            <w:tcW w:w="2425" w:type="dxa"/>
          </w:tcPr>
          <w:p w14:paraId="5AD81CA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2FD13C58" w14:textId="77777777" w:rsidR="0053763D" w:rsidRPr="00F10C37" w:rsidRDefault="0053763D" w:rsidP="00C46407">
            <w:pPr>
              <w:jc w:val="both"/>
              <w:rPr>
                <w:rFonts w:cs="Times New Roman"/>
                <w:szCs w:val="24"/>
              </w:rPr>
            </w:pPr>
            <w:r w:rsidRPr="00F10C37">
              <w:rPr>
                <w:rFonts w:cs="Times New Roman"/>
                <w:szCs w:val="24"/>
              </w:rPr>
              <w:t>Vasodil</w:t>
            </w:r>
            <w:r>
              <w:rPr>
                <w:rFonts w:cs="Times New Roman"/>
                <w:szCs w:val="24"/>
              </w:rPr>
              <w:t>l</w:t>
            </w:r>
            <w:r w:rsidRPr="00F10C37">
              <w:rPr>
                <w:rFonts w:cs="Times New Roman"/>
                <w:szCs w:val="24"/>
              </w:rPr>
              <w:t xml:space="preserve">ator </w:t>
            </w:r>
          </w:p>
        </w:tc>
      </w:tr>
      <w:tr w:rsidR="0053763D" w:rsidRPr="00F10C37" w14:paraId="3850CB20" w14:textId="77777777" w:rsidTr="00C46407">
        <w:trPr>
          <w:trHeight w:val="395"/>
        </w:trPr>
        <w:tc>
          <w:tcPr>
            <w:tcW w:w="2425" w:type="dxa"/>
          </w:tcPr>
          <w:p w14:paraId="15BFA396"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73F3705B" w14:textId="77777777" w:rsidR="0053763D"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20 mg</w:t>
            </w:r>
          </w:p>
          <w:p w14:paraId="5D2A3C1B"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(Sublingual): 5mg</w:t>
            </w:r>
          </w:p>
        </w:tc>
      </w:tr>
      <w:tr w:rsidR="0053763D" w:rsidRPr="00F10C37" w14:paraId="0FB6E8C9" w14:textId="77777777" w:rsidTr="00C46407">
        <w:trPr>
          <w:trHeight w:val="521"/>
        </w:trPr>
        <w:tc>
          <w:tcPr>
            <w:tcW w:w="2425" w:type="dxa"/>
          </w:tcPr>
          <w:p w14:paraId="0E8D5302" w14:textId="77777777" w:rsidR="0053763D" w:rsidRPr="00803131" w:rsidRDefault="0053763D" w:rsidP="00C46407">
            <w:pPr>
              <w:jc w:val="both"/>
              <w:rPr>
                <w:rFonts w:cs="Times New Roman"/>
                <w:szCs w:val="24"/>
              </w:rPr>
            </w:pPr>
            <w:r w:rsidRPr="00803131">
              <w:rPr>
                <w:rFonts w:cs="Times New Roman"/>
                <w:szCs w:val="24"/>
              </w:rPr>
              <w:t>Indications</w:t>
            </w:r>
          </w:p>
        </w:tc>
        <w:tc>
          <w:tcPr>
            <w:tcW w:w="6930" w:type="dxa"/>
            <w:gridSpan w:val="3"/>
          </w:tcPr>
          <w:p w14:paraId="5EB63909" w14:textId="77777777" w:rsidR="0053763D" w:rsidRPr="00F10C37" w:rsidRDefault="0053763D" w:rsidP="00C46407">
            <w:pPr>
              <w:jc w:val="both"/>
              <w:rPr>
                <w:rFonts w:cs="Times New Roman"/>
                <w:szCs w:val="24"/>
              </w:rPr>
            </w:pPr>
            <w:r w:rsidRPr="00F10C37">
              <w:rPr>
                <w:rFonts w:cs="Times New Roman"/>
                <w:szCs w:val="24"/>
              </w:rPr>
              <w:t>Prophylaxis and treatment of angina, left ventricular failure/congestive cardiac failure</w:t>
            </w:r>
            <w:r>
              <w:rPr>
                <w:rFonts w:cs="Times New Roman"/>
                <w:szCs w:val="24"/>
              </w:rPr>
              <w:t>.</w:t>
            </w:r>
          </w:p>
        </w:tc>
      </w:tr>
      <w:tr w:rsidR="0053763D" w:rsidRPr="00F10C37" w14:paraId="1225D4DB" w14:textId="77777777" w:rsidTr="00C46407">
        <w:trPr>
          <w:trHeight w:val="521"/>
        </w:trPr>
        <w:tc>
          <w:tcPr>
            <w:tcW w:w="2425" w:type="dxa"/>
          </w:tcPr>
          <w:p w14:paraId="770D2AAD"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3"/>
          </w:tcPr>
          <w:p w14:paraId="4F2B2FE0" w14:textId="77777777" w:rsidR="0053763D" w:rsidRDefault="0053763D" w:rsidP="00C46407">
            <w:pPr>
              <w:autoSpaceDE w:val="0"/>
              <w:autoSpaceDN w:val="0"/>
              <w:adjustRightInd w:val="0"/>
              <w:jc w:val="both"/>
              <w:rPr>
                <w:rFonts w:eastAsia="Candara-Italic" w:cs="Times New Roman"/>
                <w:b/>
                <w:iCs/>
                <w:kern w:val="0"/>
                <w:szCs w:val="24"/>
                <w:lang w:val="en-US" w:eastAsia="en-US"/>
              </w:rPr>
            </w:pPr>
            <w:r w:rsidRPr="00F10C37">
              <w:rPr>
                <w:rFonts w:eastAsia="Candara-Italic" w:cs="Times New Roman"/>
                <w:b/>
                <w:iCs/>
                <w:kern w:val="0"/>
                <w:szCs w:val="24"/>
                <w:lang w:val="en-US" w:eastAsia="en-US"/>
              </w:rPr>
              <w:t>Prophylaxis and treatment of angina</w:t>
            </w:r>
            <w:r>
              <w:rPr>
                <w:rFonts w:eastAsia="Candara-Italic" w:cs="Times New Roman"/>
                <w:b/>
                <w:iCs/>
                <w:kern w:val="0"/>
                <w:szCs w:val="24"/>
                <w:lang w:val="en-US" w:eastAsia="en-US"/>
              </w:rPr>
              <w:t>:</w:t>
            </w:r>
          </w:p>
          <w:p w14:paraId="46D8761F"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sidRPr="00E135CC">
              <w:rPr>
                <w:rFonts w:eastAsia="Candara-Italic" w:cs="Times New Roman"/>
                <w:b/>
                <w:iCs/>
                <w:kern w:val="0"/>
                <w:szCs w:val="24"/>
                <w:lang w:val="en-US" w:eastAsia="en-US"/>
              </w:rPr>
              <w:t xml:space="preserve">Oral </w:t>
            </w:r>
            <w:r w:rsidRPr="003D3E3A">
              <w:rPr>
                <w:rFonts w:eastAsia="Candara-Italic" w:cs="Times New Roman"/>
                <w:b/>
                <w:iCs/>
                <w:kern w:val="0"/>
                <w:szCs w:val="24"/>
                <w:lang w:val="en-US" w:eastAsia="en-US"/>
              </w:rPr>
              <w:t>tablet (prophylaxsis and treatment)</w:t>
            </w:r>
            <w:r w:rsidRPr="00E135CC">
              <w:rPr>
                <w:rFonts w:eastAsia="Candara-Italic" w:cs="Times New Roman"/>
                <w:iCs/>
                <w:kern w:val="0"/>
                <w:szCs w:val="24"/>
                <w:lang w:val="en-US" w:eastAsia="en-US"/>
              </w:rPr>
              <w:t>:</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20–120 mg daily in 2-3 divided doses (8-12 hourly).</w:t>
            </w:r>
          </w:p>
          <w:p w14:paraId="7938639E"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Pr>
                <w:rFonts w:eastAsia="Candara-Italic" w:cs="Times New Roman"/>
                <w:b/>
                <w:iCs/>
                <w:kern w:val="0"/>
                <w:szCs w:val="24"/>
                <w:lang w:val="en-US" w:eastAsia="en-US"/>
              </w:rPr>
              <w:t>S</w:t>
            </w:r>
            <w:r w:rsidRPr="00F10C37">
              <w:rPr>
                <w:rFonts w:eastAsia="Candara-Italic" w:cs="Times New Roman"/>
                <w:b/>
                <w:iCs/>
                <w:kern w:val="0"/>
                <w:szCs w:val="24"/>
                <w:lang w:val="en-US" w:eastAsia="en-US"/>
              </w:rPr>
              <w:t>ublingual tablet (prophylaxis)</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2.5-5 mg 15 minutes before performing activities likely to cause angina.</w:t>
            </w:r>
          </w:p>
          <w:p w14:paraId="035294DF" w14:textId="77777777" w:rsidR="0053763D" w:rsidRPr="00F10C37" w:rsidRDefault="0053763D" w:rsidP="00C46407">
            <w:pPr>
              <w:autoSpaceDE w:val="0"/>
              <w:autoSpaceDN w:val="0"/>
              <w:adjustRightInd w:val="0"/>
              <w:jc w:val="both"/>
              <w:rPr>
                <w:rFonts w:eastAsia="Candara-Italic" w:cs="Times New Roman"/>
                <w:kern w:val="0"/>
                <w:szCs w:val="24"/>
                <w:lang w:val="en-US" w:eastAsia="en-US"/>
              </w:rPr>
            </w:pPr>
            <w:r>
              <w:rPr>
                <w:rFonts w:eastAsia="Candara-Italic" w:cs="Times New Roman"/>
                <w:b/>
                <w:iCs/>
                <w:kern w:val="0"/>
                <w:szCs w:val="24"/>
                <w:lang w:val="en-US" w:eastAsia="en-US"/>
              </w:rPr>
              <w:t>S</w:t>
            </w:r>
            <w:r w:rsidRPr="00F10C37">
              <w:rPr>
                <w:rFonts w:eastAsia="Candara-Italic" w:cs="Times New Roman"/>
                <w:b/>
                <w:iCs/>
                <w:kern w:val="0"/>
                <w:szCs w:val="24"/>
                <w:lang w:val="en-US" w:eastAsia="en-US"/>
              </w:rPr>
              <w:t>ublingual tablet (treatment)</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2.5-5 mg; may be repeated every 5-10 minutes; not to exceed 3 doses in 15-30 minutes.</w:t>
            </w:r>
          </w:p>
        </w:tc>
      </w:tr>
      <w:tr w:rsidR="0053763D" w:rsidRPr="00F10C37" w14:paraId="7E14C36E" w14:textId="77777777" w:rsidTr="00C46407">
        <w:tc>
          <w:tcPr>
            <w:tcW w:w="2425" w:type="dxa"/>
          </w:tcPr>
          <w:p w14:paraId="50637E9F"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tcPr>
          <w:p w14:paraId="13FD78EC" w14:textId="77777777" w:rsidR="0053763D" w:rsidRPr="00F10C37" w:rsidRDefault="0053763D" w:rsidP="00C46407">
            <w:pPr>
              <w:jc w:val="both"/>
              <w:rPr>
                <w:rFonts w:cs="Times New Roman"/>
                <w:szCs w:val="24"/>
              </w:rPr>
            </w:pPr>
            <w:r w:rsidRPr="00F10C37">
              <w:rPr>
                <w:rFonts w:cs="Times New Roman"/>
                <w:szCs w:val="24"/>
              </w:rPr>
              <w:t xml:space="preserve">Refer to </w:t>
            </w:r>
            <w:r>
              <w:rPr>
                <w:rFonts w:cs="Times New Roman"/>
                <w:color w:val="000000"/>
                <w:szCs w:val="24"/>
              </w:rPr>
              <w:t>g</w:t>
            </w:r>
            <w:r w:rsidRPr="00F10C37">
              <w:rPr>
                <w:rFonts w:cs="Times New Roman"/>
                <w:color w:val="000000"/>
                <w:szCs w:val="24"/>
              </w:rPr>
              <w:t xml:space="preserve">lyceryl </w:t>
            </w:r>
            <w:r>
              <w:rPr>
                <w:rFonts w:cs="Times New Roman"/>
                <w:color w:val="000000"/>
                <w:szCs w:val="24"/>
              </w:rPr>
              <w:t>t</w:t>
            </w:r>
            <w:r w:rsidRPr="00F10C37">
              <w:rPr>
                <w:rFonts w:cs="Times New Roman"/>
                <w:color w:val="000000"/>
                <w:szCs w:val="24"/>
              </w:rPr>
              <w:t>rinitrate</w:t>
            </w:r>
            <w:r>
              <w:rPr>
                <w:rFonts w:cs="Times New Roman"/>
                <w:color w:val="000000"/>
                <w:szCs w:val="24"/>
              </w:rPr>
              <w:t>.</w:t>
            </w:r>
            <w:r w:rsidRPr="00F10C37">
              <w:rPr>
                <w:rFonts w:cs="Times New Roman"/>
                <w:color w:val="000000"/>
                <w:szCs w:val="24"/>
              </w:rPr>
              <w:fldChar w:fldCharType="begin"/>
            </w:r>
            <w:r w:rsidRPr="00F10C37">
              <w:rPr>
                <w:rFonts w:cs="Times New Roman"/>
                <w:szCs w:val="24"/>
              </w:rPr>
              <w:instrText xml:space="preserve"> XE “</w:instrText>
            </w:r>
            <w:r w:rsidRPr="00F10C37">
              <w:rPr>
                <w:rFonts w:cs="Times New Roman"/>
                <w:color w:val="000000"/>
                <w:szCs w:val="24"/>
              </w:rPr>
              <w:instrText>Glyceryl Trinitrate</w:instrText>
            </w:r>
            <w:r w:rsidRPr="00F10C37">
              <w:rPr>
                <w:rFonts w:cs="Times New Roman"/>
                <w:szCs w:val="24"/>
              </w:rPr>
              <w:instrText>”</w:instrText>
            </w:r>
            <w:r w:rsidRPr="00F10C37">
              <w:rPr>
                <w:rFonts w:cs="Times New Roman"/>
                <w:color w:val="000000"/>
                <w:szCs w:val="24"/>
              </w:rPr>
              <w:fldChar w:fldCharType="end"/>
            </w:r>
          </w:p>
        </w:tc>
      </w:tr>
      <w:tr w:rsidR="0053763D" w:rsidRPr="00F10C37" w14:paraId="729E60B2" w14:textId="77777777" w:rsidTr="00C46407">
        <w:tc>
          <w:tcPr>
            <w:tcW w:w="2425" w:type="dxa"/>
          </w:tcPr>
          <w:p w14:paraId="7D9A6106"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3"/>
          </w:tcPr>
          <w:p w14:paraId="26890C02" w14:textId="77777777" w:rsidR="0053763D" w:rsidRPr="00F10C37" w:rsidRDefault="0053763D" w:rsidP="00C46407">
            <w:pPr>
              <w:jc w:val="both"/>
              <w:rPr>
                <w:rFonts w:cs="Times New Roman"/>
                <w:szCs w:val="24"/>
              </w:rPr>
            </w:pPr>
            <w:r w:rsidRPr="005E4469">
              <w:rPr>
                <w:rFonts w:cs="Times New Roman"/>
                <w:szCs w:val="24"/>
              </w:rPr>
              <w:t xml:space="preserve">Refer to </w:t>
            </w:r>
            <w:r w:rsidRPr="005E4469">
              <w:rPr>
                <w:rFonts w:cs="Times New Roman"/>
                <w:color w:val="000000"/>
                <w:szCs w:val="24"/>
              </w:rPr>
              <w:t>glyceryl trinitrate</w:t>
            </w:r>
            <w:r>
              <w:rPr>
                <w:rFonts w:cs="Times New Roman"/>
                <w:color w:val="000000"/>
                <w:szCs w:val="24"/>
              </w:rPr>
              <w:t>.</w:t>
            </w:r>
          </w:p>
        </w:tc>
      </w:tr>
      <w:tr w:rsidR="0053763D" w:rsidRPr="00F10C37" w14:paraId="00123487" w14:textId="77777777" w:rsidTr="00C46407">
        <w:tc>
          <w:tcPr>
            <w:tcW w:w="2425" w:type="dxa"/>
          </w:tcPr>
          <w:p w14:paraId="40F080CE"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658A274A" w14:textId="77777777" w:rsidR="0053763D" w:rsidRPr="00F10C37" w:rsidRDefault="0053763D" w:rsidP="00C46407">
            <w:pPr>
              <w:contextualSpacing/>
              <w:jc w:val="both"/>
              <w:rPr>
                <w:rFonts w:cs="Times New Roman"/>
                <w:szCs w:val="24"/>
              </w:rPr>
            </w:pPr>
            <w:r w:rsidRPr="005E4469">
              <w:rPr>
                <w:rFonts w:cs="Times New Roman"/>
                <w:szCs w:val="24"/>
              </w:rPr>
              <w:t xml:space="preserve">Refer to </w:t>
            </w:r>
            <w:r w:rsidRPr="005E4469">
              <w:rPr>
                <w:rFonts w:cs="Times New Roman"/>
                <w:color w:val="000000"/>
                <w:szCs w:val="24"/>
              </w:rPr>
              <w:t>glyceryl trinitrate</w:t>
            </w:r>
            <w:r>
              <w:rPr>
                <w:rFonts w:cs="Times New Roman"/>
                <w:color w:val="000000"/>
                <w:szCs w:val="24"/>
              </w:rPr>
              <w:t>.</w:t>
            </w:r>
          </w:p>
        </w:tc>
      </w:tr>
      <w:tr w:rsidR="0053763D" w:rsidRPr="00F10C37" w14:paraId="45570EF7" w14:textId="77777777" w:rsidTr="00C46407">
        <w:tc>
          <w:tcPr>
            <w:tcW w:w="2425" w:type="dxa"/>
          </w:tcPr>
          <w:p w14:paraId="5575CF12"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2395CFF1" w14:textId="77777777" w:rsidR="0053763D" w:rsidRPr="00F10C37" w:rsidRDefault="0053763D" w:rsidP="00C46407">
            <w:pPr>
              <w:jc w:val="both"/>
              <w:rPr>
                <w:rFonts w:cs="Times New Roman"/>
                <w:color w:val="000000"/>
                <w:szCs w:val="24"/>
              </w:rPr>
            </w:pPr>
            <w:r w:rsidRPr="005E4469">
              <w:rPr>
                <w:rFonts w:cs="Times New Roman"/>
                <w:szCs w:val="24"/>
              </w:rPr>
              <w:t xml:space="preserve">Refer to </w:t>
            </w:r>
            <w:r w:rsidRPr="005E4469">
              <w:rPr>
                <w:rFonts w:cs="Times New Roman"/>
                <w:color w:val="000000"/>
                <w:szCs w:val="24"/>
              </w:rPr>
              <w:t>glyceryl trinitrate</w:t>
            </w:r>
            <w:r>
              <w:rPr>
                <w:rFonts w:cs="Times New Roman"/>
                <w:color w:val="000000"/>
                <w:szCs w:val="24"/>
              </w:rPr>
              <w:t>.</w:t>
            </w:r>
          </w:p>
        </w:tc>
      </w:tr>
      <w:tr w:rsidR="0053763D" w:rsidRPr="00F10C37" w14:paraId="33508558" w14:textId="77777777" w:rsidTr="00C46407">
        <w:tc>
          <w:tcPr>
            <w:tcW w:w="2425" w:type="dxa"/>
          </w:tcPr>
          <w:p w14:paraId="37E5FF5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tcPr>
          <w:p w14:paraId="0D814569"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15-30°C. Protect from moisture.</w:t>
            </w:r>
          </w:p>
        </w:tc>
      </w:tr>
      <w:tr w:rsidR="0053763D" w:rsidRPr="00F10C37" w14:paraId="43F3FBD3" w14:textId="77777777" w:rsidTr="00C46407">
        <w:trPr>
          <w:trHeight w:val="278"/>
        </w:trPr>
        <w:tc>
          <w:tcPr>
            <w:tcW w:w="9355" w:type="dxa"/>
            <w:gridSpan w:val="4"/>
          </w:tcPr>
          <w:p w14:paraId="33183D4A" w14:textId="77777777" w:rsidR="0053763D" w:rsidRPr="00F10C37" w:rsidRDefault="0053763D" w:rsidP="00C46407">
            <w:pPr>
              <w:jc w:val="both"/>
              <w:rPr>
                <w:rFonts w:cs="Times New Roman"/>
                <w:b/>
                <w:szCs w:val="24"/>
              </w:rPr>
            </w:pPr>
            <w:r w:rsidRPr="00F10C37">
              <w:rPr>
                <w:rFonts w:cs="Times New Roman"/>
                <w:b/>
                <w:szCs w:val="24"/>
              </w:rPr>
              <w:t>Metoprolol succinate</w:t>
            </w:r>
          </w:p>
        </w:tc>
      </w:tr>
      <w:tr w:rsidR="0053763D" w:rsidRPr="00F10C37" w14:paraId="19944351" w14:textId="77777777" w:rsidTr="00C46407">
        <w:trPr>
          <w:trHeight w:val="512"/>
        </w:trPr>
        <w:tc>
          <w:tcPr>
            <w:tcW w:w="2425" w:type="dxa"/>
          </w:tcPr>
          <w:p w14:paraId="0210B37C"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55C249C1" w14:textId="77777777" w:rsidR="0053763D" w:rsidRPr="00F10C37" w:rsidRDefault="0053763D" w:rsidP="00C46407">
            <w:pPr>
              <w:widowControl w:val="0"/>
              <w:autoSpaceDE w:val="0"/>
              <w:autoSpaceDN w:val="0"/>
              <w:jc w:val="both"/>
              <w:rPr>
                <w:rFonts w:cs="Times New Roman"/>
                <w:szCs w:val="24"/>
              </w:rPr>
            </w:pPr>
            <w:r>
              <w:rPr>
                <w:rFonts w:cs="Times New Roman"/>
                <w:szCs w:val="24"/>
              </w:rPr>
              <w:t>Selective b</w:t>
            </w:r>
            <w:r w:rsidRPr="00F10C37">
              <w:rPr>
                <w:rFonts w:cs="Times New Roman"/>
                <w:szCs w:val="24"/>
              </w:rPr>
              <w:t xml:space="preserve">eta blocker </w:t>
            </w:r>
          </w:p>
        </w:tc>
      </w:tr>
      <w:tr w:rsidR="0053763D" w:rsidRPr="00F10C37" w14:paraId="55C65A1E" w14:textId="77777777" w:rsidTr="00C46407">
        <w:trPr>
          <w:trHeight w:val="341"/>
        </w:trPr>
        <w:tc>
          <w:tcPr>
            <w:tcW w:w="2425" w:type="dxa"/>
          </w:tcPr>
          <w:p w14:paraId="67E72881"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2A09D1E7" w14:textId="77777777" w:rsidR="0053763D" w:rsidRPr="00F10C37" w:rsidRDefault="0053763D" w:rsidP="00C46407">
            <w:pPr>
              <w:jc w:val="both"/>
              <w:rPr>
                <w:rFonts w:cs="Times New Roman"/>
                <w:szCs w:val="24"/>
                <w:lang w:val="nb-NO"/>
              </w:rPr>
            </w:pPr>
            <w:r w:rsidRPr="00F10C37">
              <w:rPr>
                <w:rFonts w:cs="Times New Roman"/>
                <w:szCs w:val="24"/>
                <w:lang w:val="nb-NO"/>
              </w:rPr>
              <w:t xml:space="preserve">Tablet: 25mg, 50mg,100mg </w:t>
            </w:r>
          </w:p>
        </w:tc>
      </w:tr>
      <w:tr w:rsidR="0053763D" w:rsidRPr="00F10C37" w14:paraId="51564698" w14:textId="77777777" w:rsidTr="00C46407">
        <w:trPr>
          <w:trHeight w:val="521"/>
        </w:trPr>
        <w:tc>
          <w:tcPr>
            <w:tcW w:w="2425" w:type="dxa"/>
          </w:tcPr>
          <w:p w14:paraId="357C0A83" w14:textId="77777777" w:rsidR="0053763D" w:rsidRPr="00045710" w:rsidRDefault="0053763D" w:rsidP="00C46407">
            <w:pPr>
              <w:jc w:val="both"/>
              <w:rPr>
                <w:rFonts w:cs="Times New Roman"/>
                <w:szCs w:val="24"/>
              </w:rPr>
            </w:pPr>
            <w:r w:rsidRPr="00045710">
              <w:rPr>
                <w:rFonts w:cs="Times New Roman"/>
                <w:szCs w:val="24"/>
              </w:rPr>
              <w:t>Indications</w:t>
            </w:r>
          </w:p>
        </w:tc>
        <w:tc>
          <w:tcPr>
            <w:tcW w:w="6930" w:type="dxa"/>
            <w:gridSpan w:val="3"/>
          </w:tcPr>
          <w:p w14:paraId="72AC26B8" w14:textId="77777777" w:rsidR="0053763D" w:rsidRPr="00F10C37" w:rsidRDefault="0053763D" w:rsidP="00C46407">
            <w:pPr>
              <w:jc w:val="both"/>
              <w:rPr>
                <w:rFonts w:cs="Times New Roman"/>
                <w:szCs w:val="24"/>
              </w:rPr>
            </w:pPr>
            <w:r>
              <w:rPr>
                <w:rFonts w:cs="Times New Roman"/>
                <w:szCs w:val="24"/>
              </w:rPr>
              <w:t>A</w:t>
            </w:r>
            <w:r w:rsidRPr="002858E9">
              <w:rPr>
                <w:rFonts w:cs="Times New Roman"/>
                <w:szCs w:val="24"/>
              </w:rPr>
              <w:t>ngina pectoris</w:t>
            </w:r>
            <w:r>
              <w:rPr>
                <w:rFonts w:cs="Times New Roman"/>
                <w:szCs w:val="24"/>
              </w:rPr>
              <w:t>, h</w:t>
            </w:r>
            <w:r w:rsidRPr="00F10C37">
              <w:rPr>
                <w:rFonts w:cs="Times New Roman"/>
                <w:szCs w:val="24"/>
              </w:rPr>
              <w:t>ypertension, heart failure,</w:t>
            </w:r>
            <w:r>
              <w:rPr>
                <w:rFonts w:cs="Times New Roman"/>
                <w:szCs w:val="24"/>
              </w:rPr>
              <w:t xml:space="preserve"> </w:t>
            </w:r>
            <w:r w:rsidRPr="00F10C37">
              <w:rPr>
                <w:rFonts w:cs="Times New Roman"/>
                <w:szCs w:val="24"/>
              </w:rPr>
              <w:t xml:space="preserve">arrhythmia, prevention of cardiac death and re-infarction after the acute phase of </w:t>
            </w:r>
            <w:r>
              <w:rPr>
                <w:rFonts w:cs="Times New Roman"/>
                <w:szCs w:val="24"/>
              </w:rPr>
              <w:t>MI</w:t>
            </w:r>
            <w:r w:rsidRPr="00F10C37">
              <w:rPr>
                <w:rFonts w:cs="Times New Roman"/>
                <w:szCs w:val="24"/>
              </w:rPr>
              <w:t xml:space="preserve"> and prophylaxis of migraine.</w:t>
            </w:r>
          </w:p>
        </w:tc>
      </w:tr>
      <w:tr w:rsidR="0053763D" w:rsidRPr="00F10C37" w14:paraId="733AC462" w14:textId="77777777" w:rsidTr="00C46407">
        <w:trPr>
          <w:trHeight w:val="521"/>
        </w:trPr>
        <w:tc>
          <w:tcPr>
            <w:tcW w:w="2425" w:type="dxa"/>
          </w:tcPr>
          <w:p w14:paraId="75DF28D5"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3"/>
          </w:tcPr>
          <w:p w14:paraId="0D2E57A3" w14:textId="77777777" w:rsidR="0053763D" w:rsidRDefault="0053763D" w:rsidP="00C46407">
            <w:pPr>
              <w:jc w:val="both"/>
              <w:rPr>
                <w:rFonts w:cs="Times New Roman"/>
                <w:b/>
                <w:szCs w:val="24"/>
              </w:rPr>
            </w:pPr>
            <w:r w:rsidRPr="00F10C37">
              <w:rPr>
                <w:rFonts w:cs="Times New Roman"/>
                <w:b/>
                <w:szCs w:val="24"/>
              </w:rPr>
              <w:t xml:space="preserve">Angina: </w:t>
            </w:r>
          </w:p>
          <w:p w14:paraId="45E4BD30" w14:textId="77777777" w:rsidR="0053763D" w:rsidRPr="00F10C37"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 xml:space="preserve">100 mg orally once a day; maintenance dose: 100 to 400 mg per day. </w:t>
            </w:r>
          </w:p>
        </w:tc>
      </w:tr>
      <w:tr w:rsidR="0053763D" w:rsidRPr="00F10C37" w14:paraId="22C97474" w14:textId="77777777" w:rsidTr="00C46407">
        <w:tc>
          <w:tcPr>
            <w:tcW w:w="2425" w:type="dxa"/>
          </w:tcPr>
          <w:p w14:paraId="308CDDA9"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tcPr>
          <w:p w14:paraId="27207230"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40F98BC2" w14:textId="77777777" w:rsidTr="00C46407">
        <w:tc>
          <w:tcPr>
            <w:tcW w:w="2425" w:type="dxa"/>
          </w:tcPr>
          <w:p w14:paraId="258557E4"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930" w:type="dxa"/>
            <w:gridSpan w:val="3"/>
          </w:tcPr>
          <w:p w14:paraId="07897FD4" w14:textId="77777777" w:rsidR="0053763D" w:rsidRPr="00F10C37" w:rsidRDefault="0053763D" w:rsidP="00C46407">
            <w:pPr>
              <w:contextualSpacing/>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78C7EA7A" w14:textId="77777777" w:rsidTr="00C46407">
        <w:tc>
          <w:tcPr>
            <w:tcW w:w="2425" w:type="dxa"/>
          </w:tcPr>
          <w:p w14:paraId="40735D9B"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24DACBC4" w14:textId="77777777" w:rsidR="0053763D" w:rsidRPr="00F10C37" w:rsidRDefault="0053763D" w:rsidP="00C46407">
            <w:pPr>
              <w:contextualSpacing/>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0BFCD6FD" w14:textId="77777777" w:rsidTr="00C46407">
        <w:tc>
          <w:tcPr>
            <w:tcW w:w="2425" w:type="dxa"/>
          </w:tcPr>
          <w:p w14:paraId="287B4714"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1C628E61" w14:textId="77777777" w:rsidR="0053763D" w:rsidRPr="00F10C37" w:rsidRDefault="0053763D" w:rsidP="00C46407">
            <w:pPr>
              <w:jc w:val="both"/>
              <w:rPr>
                <w:rFonts w:cs="Times New Roman"/>
                <w:szCs w:val="24"/>
              </w:rPr>
            </w:pPr>
            <w:r w:rsidRPr="00F10C37">
              <w:rPr>
                <w:rFonts w:cs="Times New Roman"/>
                <w:szCs w:val="24"/>
              </w:rPr>
              <w:t xml:space="preserve">Refer to metoprolol succinate under </w:t>
            </w:r>
            <w:r>
              <w:rPr>
                <w:rFonts w:cs="Times New Roman"/>
                <w:szCs w:val="24"/>
              </w:rPr>
              <w:t xml:space="preserve">medicines for </w:t>
            </w:r>
            <w:r w:rsidRPr="00F10C37">
              <w:rPr>
                <w:rFonts w:cs="Times New Roman"/>
                <w:szCs w:val="24"/>
              </w:rPr>
              <w:t>heart failure</w:t>
            </w:r>
            <w:r>
              <w:rPr>
                <w:rFonts w:cs="Times New Roman"/>
                <w:szCs w:val="24"/>
              </w:rPr>
              <w:t>.</w:t>
            </w:r>
          </w:p>
        </w:tc>
      </w:tr>
      <w:tr w:rsidR="0053763D" w:rsidRPr="00F10C37" w14:paraId="138F2CE3" w14:textId="77777777" w:rsidTr="00C46407">
        <w:tc>
          <w:tcPr>
            <w:tcW w:w="2425" w:type="dxa"/>
          </w:tcPr>
          <w:p w14:paraId="7DD060C7"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tcPr>
          <w:p w14:paraId="3E1DAD53" w14:textId="77777777" w:rsidR="0053763D" w:rsidRPr="00F10C37" w:rsidRDefault="0053763D" w:rsidP="00C46407">
            <w:pPr>
              <w:jc w:val="both"/>
              <w:rPr>
                <w:rFonts w:cs="Times New Roman"/>
                <w:szCs w:val="24"/>
              </w:rPr>
            </w:pPr>
            <w:r w:rsidRPr="00F10C37">
              <w:rPr>
                <w:rFonts w:cs="Times New Roman"/>
                <w:szCs w:val="24"/>
              </w:rPr>
              <w:t xml:space="preserve">Store between 15 °C and 30 °C. Protect from light and </w:t>
            </w:r>
            <w:r>
              <w:rPr>
                <w:rFonts w:cs="Times New Roman"/>
                <w:szCs w:val="24"/>
              </w:rPr>
              <w:t>moisture</w:t>
            </w:r>
            <w:r w:rsidRPr="00F10C37">
              <w:rPr>
                <w:rFonts w:cs="Times New Roman"/>
                <w:szCs w:val="24"/>
              </w:rPr>
              <w:t>.</w:t>
            </w:r>
          </w:p>
        </w:tc>
      </w:tr>
      <w:tr w:rsidR="0053763D" w:rsidRPr="00F10C37" w14:paraId="4BDD25DF" w14:textId="77777777" w:rsidTr="00C46407">
        <w:trPr>
          <w:trHeight w:val="512"/>
        </w:trPr>
        <w:tc>
          <w:tcPr>
            <w:tcW w:w="9355" w:type="dxa"/>
            <w:gridSpan w:val="4"/>
          </w:tcPr>
          <w:p w14:paraId="76B9AADF" w14:textId="77777777" w:rsidR="0053763D" w:rsidRPr="00F10C37" w:rsidRDefault="0053763D" w:rsidP="00C46407">
            <w:pPr>
              <w:jc w:val="both"/>
              <w:rPr>
                <w:rFonts w:cs="Times New Roman"/>
                <w:b/>
                <w:szCs w:val="24"/>
              </w:rPr>
            </w:pPr>
            <w:r w:rsidRPr="00F10C37">
              <w:rPr>
                <w:rFonts w:cs="Times New Roman"/>
                <w:b/>
                <w:color w:val="000000"/>
                <w:szCs w:val="24"/>
              </w:rPr>
              <w:t>Metoprolol tartrate</w:t>
            </w:r>
          </w:p>
        </w:tc>
      </w:tr>
      <w:tr w:rsidR="0053763D" w:rsidRPr="00F10C37" w14:paraId="2036CBB2" w14:textId="77777777" w:rsidTr="00C46407">
        <w:trPr>
          <w:trHeight w:val="512"/>
        </w:trPr>
        <w:tc>
          <w:tcPr>
            <w:tcW w:w="2446" w:type="dxa"/>
            <w:gridSpan w:val="2"/>
          </w:tcPr>
          <w:p w14:paraId="7E02B56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09" w:type="dxa"/>
            <w:gridSpan w:val="2"/>
          </w:tcPr>
          <w:p w14:paraId="48F5FEA5" w14:textId="77777777" w:rsidR="0053763D" w:rsidRPr="00F10C37" w:rsidRDefault="0053763D" w:rsidP="00C46407">
            <w:pPr>
              <w:jc w:val="both"/>
              <w:rPr>
                <w:rFonts w:cs="Times New Roman"/>
                <w:szCs w:val="24"/>
              </w:rPr>
            </w:pPr>
            <w:r>
              <w:rPr>
                <w:rFonts w:cs="Times New Roman"/>
                <w:szCs w:val="24"/>
              </w:rPr>
              <w:t>Selective b</w:t>
            </w:r>
            <w:r w:rsidRPr="00F10C37">
              <w:rPr>
                <w:rFonts w:cs="Times New Roman"/>
                <w:szCs w:val="24"/>
              </w:rPr>
              <w:t xml:space="preserve">eta blocker </w:t>
            </w:r>
          </w:p>
        </w:tc>
      </w:tr>
      <w:tr w:rsidR="0053763D" w:rsidRPr="00F10C37" w14:paraId="4530D676" w14:textId="77777777" w:rsidTr="00C46407">
        <w:trPr>
          <w:trHeight w:val="395"/>
        </w:trPr>
        <w:tc>
          <w:tcPr>
            <w:tcW w:w="2446" w:type="dxa"/>
            <w:gridSpan w:val="2"/>
          </w:tcPr>
          <w:p w14:paraId="713137A4" w14:textId="77777777" w:rsidR="0053763D" w:rsidRPr="00F10C37" w:rsidRDefault="0053763D" w:rsidP="00C46407">
            <w:pPr>
              <w:jc w:val="both"/>
              <w:rPr>
                <w:rFonts w:cs="Times New Roman"/>
                <w:szCs w:val="24"/>
              </w:rPr>
            </w:pPr>
            <w:r w:rsidRPr="00F10C37">
              <w:rPr>
                <w:rFonts w:cs="Times New Roman"/>
                <w:szCs w:val="24"/>
              </w:rPr>
              <w:t>Dosage form</w:t>
            </w:r>
          </w:p>
        </w:tc>
        <w:tc>
          <w:tcPr>
            <w:tcW w:w="6909" w:type="dxa"/>
            <w:gridSpan w:val="2"/>
          </w:tcPr>
          <w:p w14:paraId="08306F77"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Injection: 1mg/</w:t>
            </w:r>
            <w:r>
              <w:rPr>
                <w:rFonts w:cs="Times New Roman"/>
                <w:szCs w:val="24"/>
                <w:lang w:val="nb-NO"/>
              </w:rPr>
              <w:t>ml</w:t>
            </w:r>
            <w:r w:rsidRPr="00F10C37">
              <w:rPr>
                <w:rFonts w:cs="Times New Roman"/>
                <w:szCs w:val="24"/>
                <w:lang w:val="nb-NO"/>
              </w:rPr>
              <w:t>,5mg/</w:t>
            </w:r>
            <w:r>
              <w:rPr>
                <w:rFonts w:cs="Times New Roman"/>
                <w:szCs w:val="24"/>
                <w:lang w:val="nb-NO"/>
              </w:rPr>
              <w:t>ml</w:t>
            </w:r>
            <w:r w:rsidRPr="00F10C37">
              <w:rPr>
                <w:rFonts w:cs="Times New Roman"/>
                <w:szCs w:val="24"/>
                <w:lang w:val="nb-NO"/>
              </w:rPr>
              <w:t>; Tablet: 25mg, 50mg</w:t>
            </w:r>
          </w:p>
        </w:tc>
      </w:tr>
      <w:tr w:rsidR="0053763D" w:rsidRPr="00F10C37" w14:paraId="07180005" w14:textId="77777777" w:rsidTr="00C46407">
        <w:trPr>
          <w:trHeight w:val="521"/>
        </w:trPr>
        <w:tc>
          <w:tcPr>
            <w:tcW w:w="2446" w:type="dxa"/>
            <w:gridSpan w:val="2"/>
          </w:tcPr>
          <w:p w14:paraId="7DA0497A" w14:textId="77777777" w:rsidR="0053763D" w:rsidRPr="00045710" w:rsidRDefault="0053763D" w:rsidP="00C46407">
            <w:pPr>
              <w:jc w:val="both"/>
              <w:rPr>
                <w:rFonts w:cs="Times New Roman"/>
                <w:szCs w:val="24"/>
              </w:rPr>
            </w:pPr>
            <w:r w:rsidRPr="00045710">
              <w:rPr>
                <w:rFonts w:cs="Times New Roman"/>
                <w:szCs w:val="24"/>
              </w:rPr>
              <w:t>Indications</w:t>
            </w:r>
          </w:p>
        </w:tc>
        <w:tc>
          <w:tcPr>
            <w:tcW w:w="6909" w:type="dxa"/>
            <w:gridSpan w:val="2"/>
          </w:tcPr>
          <w:p w14:paraId="092FBAA5" w14:textId="77777777" w:rsidR="0053763D" w:rsidRPr="00F10C37" w:rsidRDefault="0053763D" w:rsidP="00C46407">
            <w:pPr>
              <w:jc w:val="both"/>
              <w:rPr>
                <w:rFonts w:cs="Times New Roman"/>
                <w:szCs w:val="24"/>
              </w:rPr>
            </w:pPr>
            <w:r>
              <w:rPr>
                <w:rFonts w:cs="Times New Roman"/>
                <w:szCs w:val="24"/>
              </w:rPr>
              <w:t>Angina, a</w:t>
            </w:r>
            <w:r w:rsidRPr="00F10C37">
              <w:rPr>
                <w:rFonts w:cs="Times New Roman"/>
                <w:szCs w:val="24"/>
              </w:rPr>
              <w:t xml:space="preserve">rrhythmias, hypertension, </w:t>
            </w:r>
            <w:r>
              <w:rPr>
                <w:rFonts w:cs="Times New Roman"/>
                <w:szCs w:val="24"/>
              </w:rPr>
              <w:t>e</w:t>
            </w:r>
            <w:r w:rsidRPr="00F10C37">
              <w:rPr>
                <w:rFonts w:cs="Times New Roman"/>
                <w:szCs w:val="24"/>
              </w:rPr>
              <w:t>arly intervention within 12 hours of infarction</w:t>
            </w:r>
            <w:r>
              <w:rPr>
                <w:rFonts w:cs="Times New Roman"/>
                <w:szCs w:val="24"/>
              </w:rPr>
              <w:t>, m</w:t>
            </w:r>
            <w:r w:rsidRPr="00F10C37">
              <w:rPr>
                <w:rFonts w:cs="Times New Roman"/>
                <w:szCs w:val="24"/>
              </w:rPr>
              <w:t>igraine prophylaxis</w:t>
            </w:r>
            <w:r>
              <w:rPr>
                <w:rFonts w:cs="Times New Roman"/>
                <w:szCs w:val="24"/>
              </w:rPr>
              <w:t>,</w:t>
            </w:r>
            <w:r w:rsidRPr="00F10C37">
              <w:rPr>
                <w:rFonts w:cs="Times New Roman"/>
                <w:szCs w:val="24"/>
              </w:rPr>
              <w:t xml:space="preserve"> </w:t>
            </w:r>
            <w:r>
              <w:rPr>
                <w:rFonts w:cs="Times New Roman"/>
                <w:szCs w:val="24"/>
              </w:rPr>
              <w:t>h</w:t>
            </w:r>
            <w:r w:rsidRPr="00F10C37">
              <w:rPr>
                <w:rFonts w:cs="Times New Roman"/>
                <w:szCs w:val="24"/>
              </w:rPr>
              <w:t>yperthyroidism (adjunct)</w:t>
            </w:r>
            <w:r>
              <w:rPr>
                <w:rFonts w:cs="Times New Roman"/>
                <w:szCs w:val="24"/>
              </w:rPr>
              <w:t>, e</w:t>
            </w:r>
            <w:r w:rsidRPr="00F10C37">
              <w:rPr>
                <w:rFonts w:cs="Times New Roman"/>
                <w:szCs w:val="24"/>
              </w:rPr>
              <w:t>arly intervention within 12 hours of infarction.</w:t>
            </w:r>
          </w:p>
        </w:tc>
      </w:tr>
      <w:tr w:rsidR="0053763D" w:rsidRPr="00F10C37" w14:paraId="17121651" w14:textId="77777777" w:rsidTr="00C46407">
        <w:trPr>
          <w:trHeight w:val="521"/>
        </w:trPr>
        <w:tc>
          <w:tcPr>
            <w:tcW w:w="2446" w:type="dxa"/>
            <w:gridSpan w:val="2"/>
          </w:tcPr>
          <w:p w14:paraId="3EC57C82"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09" w:type="dxa"/>
            <w:gridSpan w:val="2"/>
          </w:tcPr>
          <w:p w14:paraId="39466603" w14:textId="77777777" w:rsidR="0053763D" w:rsidRDefault="0053763D" w:rsidP="00C46407">
            <w:pPr>
              <w:jc w:val="both"/>
              <w:rPr>
                <w:rFonts w:cs="Times New Roman"/>
                <w:szCs w:val="24"/>
              </w:rPr>
            </w:pPr>
            <w:r w:rsidRPr="00F10C37">
              <w:rPr>
                <w:rFonts w:cs="Times New Roman"/>
                <w:b/>
                <w:szCs w:val="24"/>
              </w:rPr>
              <w:t>Angina</w:t>
            </w:r>
            <w:r w:rsidRPr="00F10C37">
              <w:rPr>
                <w:rFonts w:cs="Times New Roman"/>
                <w:szCs w:val="24"/>
              </w:rPr>
              <w:t xml:space="preserve"> </w:t>
            </w:r>
          </w:p>
          <w:p w14:paraId="5CC45250" w14:textId="77777777" w:rsidR="0053763D"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50–100 mg immediate release tablet orally 2–3 times a day OR 200–400 mg modified release daily orally.  </w:t>
            </w:r>
          </w:p>
          <w:p w14:paraId="72969D01" w14:textId="77777777" w:rsidR="0053763D" w:rsidRPr="00F10C37" w:rsidRDefault="0053763D" w:rsidP="00C46407">
            <w:pPr>
              <w:jc w:val="both"/>
              <w:rPr>
                <w:rFonts w:cs="Times New Roman"/>
                <w:szCs w:val="24"/>
              </w:rPr>
            </w:pPr>
            <w:r w:rsidRPr="003D3E3A">
              <w:rPr>
                <w:rFonts w:cs="Times New Roman"/>
                <w:i/>
                <w:szCs w:val="24"/>
              </w:rPr>
              <w:t>Note</w:t>
            </w:r>
            <w:r>
              <w:rPr>
                <w:rFonts w:cs="Times New Roman"/>
                <w:szCs w:val="24"/>
              </w:rPr>
              <w:t>:</w:t>
            </w:r>
            <w:r w:rsidRPr="00F10C37">
              <w:rPr>
                <w:rFonts w:cs="Times New Roman"/>
                <w:szCs w:val="24"/>
              </w:rPr>
              <w:t xml:space="preserve"> </w:t>
            </w:r>
            <w:r w:rsidRPr="003D3E3A">
              <w:rPr>
                <w:rFonts w:cs="Times New Roman"/>
                <w:i/>
                <w:szCs w:val="24"/>
              </w:rPr>
              <w:t>it is more preferred than metoprolol succinate to prevent further heart attack or angina.</w:t>
            </w:r>
            <w:r w:rsidRPr="00F10C37">
              <w:rPr>
                <w:rFonts w:cs="Times New Roman"/>
                <w:szCs w:val="24"/>
              </w:rPr>
              <w:t xml:space="preserve"> </w:t>
            </w:r>
          </w:p>
        </w:tc>
      </w:tr>
      <w:tr w:rsidR="0053763D" w:rsidRPr="00F10C37" w14:paraId="044BB0E3" w14:textId="77777777" w:rsidTr="00C46407">
        <w:tc>
          <w:tcPr>
            <w:tcW w:w="2446" w:type="dxa"/>
            <w:gridSpan w:val="2"/>
          </w:tcPr>
          <w:p w14:paraId="2BEEEB15"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09" w:type="dxa"/>
            <w:gridSpan w:val="2"/>
          </w:tcPr>
          <w:p w14:paraId="07BD4D50" w14:textId="77777777" w:rsidR="0053763D" w:rsidRPr="00F10C37" w:rsidRDefault="0053763D" w:rsidP="00C46407">
            <w:pPr>
              <w:jc w:val="both"/>
              <w:rPr>
                <w:rFonts w:cs="Times New Roman"/>
                <w:szCs w:val="24"/>
              </w:rPr>
            </w:pPr>
            <w:r w:rsidRPr="00F10C37">
              <w:rPr>
                <w:rFonts w:cs="Times New Roman"/>
                <w:szCs w:val="24"/>
              </w:rPr>
              <w:t xml:space="preserve">Refer to metoprolol </w:t>
            </w:r>
            <w:r w:rsidRPr="00F10C37">
              <w:rPr>
                <w:rFonts w:cs="Times New Roman"/>
                <w:color w:val="000000"/>
                <w:szCs w:val="24"/>
              </w:rPr>
              <w:t>tartrate</w:t>
            </w:r>
            <w:r>
              <w:rPr>
                <w:rFonts w:cs="Times New Roman"/>
                <w:color w:val="000000"/>
                <w:szCs w:val="24"/>
              </w:rPr>
              <w:t xml:space="preserve"> under antiarrythmics.</w:t>
            </w:r>
          </w:p>
        </w:tc>
      </w:tr>
      <w:tr w:rsidR="0053763D" w:rsidRPr="00F10C37" w14:paraId="00100F2C" w14:textId="77777777" w:rsidTr="00C46407">
        <w:tc>
          <w:tcPr>
            <w:tcW w:w="2446" w:type="dxa"/>
            <w:gridSpan w:val="2"/>
          </w:tcPr>
          <w:p w14:paraId="66CD9821"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09" w:type="dxa"/>
            <w:gridSpan w:val="2"/>
          </w:tcPr>
          <w:p w14:paraId="78521582" w14:textId="77777777" w:rsidR="0053763D" w:rsidRPr="00F10C37" w:rsidRDefault="0053763D" w:rsidP="00C46407">
            <w:pPr>
              <w:jc w:val="both"/>
              <w:rPr>
                <w:rFonts w:cs="Times New Roman"/>
                <w:szCs w:val="24"/>
              </w:rPr>
            </w:pPr>
            <w:r w:rsidRPr="00F10C37">
              <w:rPr>
                <w:rFonts w:cs="Times New Roman"/>
                <w:szCs w:val="24"/>
              </w:rPr>
              <w:t xml:space="preserve">Refer to metoprolol </w:t>
            </w:r>
            <w:r w:rsidRPr="00F10C37">
              <w:rPr>
                <w:rFonts w:cs="Times New Roman"/>
                <w:color w:val="000000"/>
                <w:szCs w:val="24"/>
              </w:rPr>
              <w:t>tartrate</w:t>
            </w:r>
            <w:r>
              <w:rPr>
                <w:rFonts w:cs="Times New Roman"/>
                <w:color w:val="000000"/>
                <w:szCs w:val="24"/>
              </w:rPr>
              <w:t xml:space="preserve"> under antiarrythmics.</w:t>
            </w:r>
          </w:p>
        </w:tc>
      </w:tr>
      <w:tr w:rsidR="0053763D" w:rsidRPr="00F10C37" w14:paraId="1827274C" w14:textId="77777777" w:rsidTr="00C46407">
        <w:tc>
          <w:tcPr>
            <w:tcW w:w="2446" w:type="dxa"/>
            <w:gridSpan w:val="2"/>
          </w:tcPr>
          <w:p w14:paraId="0322B0AD" w14:textId="77777777" w:rsidR="0053763D" w:rsidRPr="00F10C37" w:rsidRDefault="0053763D" w:rsidP="00C46407">
            <w:pPr>
              <w:jc w:val="both"/>
              <w:rPr>
                <w:rFonts w:cs="Times New Roman"/>
                <w:szCs w:val="24"/>
              </w:rPr>
            </w:pPr>
            <w:r w:rsidRPr="00F10C37">
              <w:rPr>
                <w:rFonts w:cs="Times New Roman"/>
                <w:szCs w:val="24"/>
              </w:rPr>
              <w:t>Side effects</w:t>
            </w:r>
          </w:p>
        </w:tc>
        <w:tc>
          <w:tcPr>
            <w:tcW w:w="6909" w:type="dxa"/>
            <w:gridSpan w:val="2"/>
          </w:tcPr>
          <w:p w14:paraId="64E09E56" w14:textId="77777777" w:rsidR="0053763D" w:rsidRPr="00F10C37" w:rsidRDefault="0053763D" w:rsidP="00C46407">
            <w:pPr>
              <w:jc w:val="both"/>
              <w:rPr>
                <w:rFonts w:cs="Times New Roman"/>
                <w:szCs w:val="24"/>
              </w:rPr>
            </w:pPr>
            <w:r w:rsidRPr="00F10C37">
              <w:rPr>
                <w:rFonts w:cs="Times New Roman"/>
                <w:szCs w:val="24"/>
              </w:rPr>
              <w:t xml:space="preserve">Refer to metoprolol </w:t>
            </w:r>
            <w:r w:rsidRPr="00F10C37">
              <w:rPr>
                <w:rFonts w:cs="Times New Roman"/>
                <w:color w:val="000000"/>
                <w:szCs w:val="24"/>
              </w:rPr>
              <w:t>tartrate</w:t>
            </w:r>
            <w:r>
              <w:rPr>
                <w:rFonts w:cs="Times New Roman"/>
                <w:color w:val="000000"/>
                <w:szCs w:val="24"/>
              </w:rPr>
              <w:t xml:space="preserve"> under antiarrythmics.</w:t>
            </w:r>
          </w:p>
        </w:tc>
      </w:tr>
      <w:tr w:rsidR="0053763D" w:rsidRPr="00F10C37" w14:paraId="069B57F2" w14:textId="77777777" w:rsidTr="00C46407">
        <w:tc>
          <w:tcPr>
            <w:tcW w:w="2446" w:type="dxa"/>
            <w:gridSpan w:val="2"/>
          </w:tcPr>
          <w:p w14:paraId="311B5F02" w14:textId="77777777" w:rsidR="0053763D" w:rsidRPr="00F10C37" w:rsidRDefault="0053763D" w:rsidP="00C46407">
            <w:pPr>
              <w:jc w:val="both"/>
              <w:rPr>
                <w:rFonts w:cs="Times New Roman"/>
                <w:szCs w:val="24"/>
              </w:rPr>
            </w:pPr>
            <w:r w:rsidRPr="00F10C37">
              <w:rPr>
                <w:rFonts w:cs="Times New Roman"/>
                <w:szCs w:val="24"/>
              </w:rPr>
              <w:t>Cautions</w:t>
            </w:r>
          </w:p>
        </w:tc>
        <w:tc>
          <w:tcPr>
            <w:tcW w:w="6909" w:type="dxa"/>
            <w:gridSpan w:val="2"/>
          </w:tcPr>
          <w:p w14:paraId="0218A5C0" w14:textId="77777777" w:rsidR="0053763D" w:rsidRPr="00F10C37" w:rsidRDefault="0053763D" w:rsidP="00C46407">
            <w:pPr>
              <w:jc w:val="both"/>
              <w:rPr>
                <w:rFonts w:cs="Times New Roman"/>
                <w:szCs w:val="24"/>
              </w:rPr>
            </w:pPr>
            <w:r w:rsidRPr="00F10C37">
              <w:rPr>
                <w:rFonts w:cs="Times New Roman"/>
                <w:szCs w:val="24"/>
              </w:rPr>
              <w:t xml:space="preserve">Refer to metoprolol </w:t>
            </w:r>
            <w:r w:rsidRPr="00F10C37">
              <w:rPr>
                <w:rFonts w:cs="Times New Roman"/>
                <w:color w:val="000000"/>
                <w:szCs w:val="24"/>
              </w:rPr>
              <w:t>tartrate</w:t>
            </w:r>
            <w:r>
              <w:rPr>
                <w:rFonts w:cs="Times New Roman"/>
                <w:color w:val="000000"/>
                <w:szCs w:val="24"/>
              </w:rPr>
              <w:t xml:space="preserve"> under antiarrythmics.</w:t>
            </w:r>
          </w:p>
        </w:tc>
      </w:tr>
      <w:tr w:rsidR="0053763D" w:rsidRPr="00F10C37" w14:paraId="06B74996" w14:textId="77777777" w:rsidTr="00C46407">
        <w:tc>
          <w:tcPr>
            <w:tcW w:w="2446" w:type="dxa"/>
            <w:gridSpan w:val="2"/>
          </w:tcPr>
          <w:p w14:paraId="1089A44E"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09" w:type="dxa"/>
            <w:gridSpan w:val="2"/>
          </w:tcPr>
          <w:p w14:paraId="0B70F017" w14:textId="77777777" w:rsidR="0053763D" w:rsidRPr="00F10C37" w:rsidRDefault="0053763D" w:rsidP="00C46407">
            <w:pPr>
              <w:jc w:val="both"/>
              <w:rPr>
                <w:rFonts w:cs="Times New Roman"/>
                <w:szCs w:val="24"/>
              </w:rPr>
            </w:pPr>
            <w:r w:rsidRPr="00F10C37">
              <w:rPr>
                <w:rFonts w:cs="Times New Roman"/>
                <w:szCs w:val="24"/>
              </w:rPr>
              <w:t>Store between 15 °C and 30 °C. Protect from light and</w:t>
            </w:r>
            <w:r>
              <w:rPr>
                <w:rFonts w:cs="Times New Roman"/>
                <w:szCs w:val="24"/>
              </w:rPr>
              <w:t xml:space="preserve"> moisture</w:t>
            </w:r>
            <w:r w:rsidRPr="00F10C37">
              <w:rPr>
                <w:rFonts w:cs="Times New Roman"/>
                <w:szCs w:val="24"/>
              </w:rPr>
              <w:t>.</w:t>
            </w:r>
          </w:p>
        </w:tc>
      </w:tr>
      <w:tr w:rsidR="0053763D" w:rsidRPr="00F10C37" w14:paraId="3B1790FD" w14:textId="77777777" w:rsidTr="00C46407">
        <w:trPr>
          <w:trHeight w:val="512"/>
        </w:trPr>
        <w:tc>
          <w:tcPr>
            <w:tcW w:w="9355" w:type="dxa"/>
            <w:gridSpan w:val="4"/>
            <w:hideMark/>
          </w:tcPr>
          <w:p w14:paraId="408EA332" w14:textId="77777777" w:rsidR="0053763D" w:rsidRPr="00F10C37" w:rsidRDefault="0053763D" w:rsidP="00C46407">
            <w:pPr>
              <w:jc w:val="both"/>
              <w:rPr>
                <w:rFonts w:cs="Times New Roman"/>
                <w:b/>
                <w:szCs w:val="24"/>
              </w:rPr>
            </w:pPr>
            <w:r w:rsidRPr="00F10C37">
              <w:rPr>
                <w:rFonts w:cs="Times New Roman"/>
                <w:b/>
                <w:color w:val="000000"/>
                <w:szCs w:val="24"/>
              </w:rPr>
              <w:t xml:space="preserve">Verapamil hydrochloride </w:t>
            </w:r>
          </w:p>
        </w:tc>
      </w:tr>
      <w:tr w:rsidR="0053763D" w:rsidRPr="00F10C37" w14:paraId="2F71E70D" w14:textId="77777777" w:rsidTr="00C46407">
        <w:trPr>
          <w:trHeight w:val="512"/>
        </w:trPr>
        <w:tc>
          <w:tcPr>
            <w:tcW w:w="2425" w:type="dxa"/>
            <w:hideMark/>
          </w:tcPr>
          <w:p w14:paraId="1222179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hideMark/>
          </w:tcPr>
          <w:p w14:paraId="40EF17D4" w14:textId="77777777" w:rsidR="0053763D" w:rsidRPr="00F10C37" w:rsidRDefault="0053763D" w:rsidP="00C46407">
            <w:pPr>
              <w:jc w:val="both"/>
              <w:rPr>
                <w:rFonts w:cs="Times New Roman"/>
                <w:szCs w:val="24"/>
              </w:rPr>
            </w:pPr>
            <w:r w:rsidRPr="00F10C37">
              <w:rPr>
                <w:rFonts w:cs="Times New Roman"/>
                <w:szCs w:val="24"/>
              </w:rPr>
              <w:t>Non- dihydropyridine calcium-channel blocker</w:t>
            </w:r>
          </w:p>
        </w:tc>
      </w:tr>
      <w:tr w:rsidR="0053763D" w:rsidRPr="00F10C37" w14:paraId="69153DDF" w14:textId="77777777" w:rsidTr="00C46407">
        <w:trPr>
          <w:trHeight w:val="395"/>
        </w:trPr>
        <w:tc>
          <w:tcPr>
            <w:tcW w:w="2425" w:type="dxa"/>
            <w:hideMark/>
          </w:tcPr>
          <w:p w14:paraId="3FB998B1"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hideMark/>
          </w:tcPr>
          <w:p w14:paraId="4E239644" w14:textId="77777777" w:rsidR="0053763D"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2.5mg/</w:t>
            </w:r>
            <w:r>
              <w:rPr>
                <w:rFonts w:cs="Times New Roman"/>
                <w:szCs w:val="24"/>
                <w:lang w:val="en-US"/>
              </w:rPr>
              <w:t>ml</w:t>
            </w:r>
            <w:r w:rsidRPr="00F10C37">
              <w:rPr>
                <w:rFonts w:cs="Times New Roman"/>
                <w:szCs w:val="24"/>
                <w:lang w:val="en-US"/>
              </w:rPr>
              <w:t xml:space="preserve"> in 2</w:t>
            </w:r>
            <w:r>
              <w:rPr>
                <w:rFonts w:cs="Times New Roman"/>
                <w:szCs w:val="24"/>
                <w:lang w:val="en-US"/>
              </w:rPr>
              <w:t>ml</w:t>
            </w:r>
            <w:r w:rsidRPr="00F10C37">
              <w:rPr>
                <w:rFonts w:cs="Times New Roman"/>
                <w:szCs w:val="24"/>
                <w:lang w:val="en-US"/>
              </w:rPr>
              <w:t xml:space="preserve"> ampoule</w:t>
            </w:r>
          </w:p>
          <w:p w14:paraId="464891FC"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Tablet: 40mg, 80mg</w:t>
            </w:r>
          </w:p>
        </w:tc>
      </w:tr>
      <w:tr w:rsidR="0053763D" w:rsidRPr="00F10C37" w14:paraId="5285B5D2" w14:textId="77777777" w:rsidTr="00C46407">
        <w:trPr>
          <w:trHeight w:val="521"/>
        </w:trPr>
        <w:tc>
          <w:tcPr>
            <w:tcW w:w="2425" w:type="dxa"/>
            <w:hideMark/>
          </w:tcPr>
          <w:p w14:paraId="6EF37F3B" w14:textId="77777777" w:rsidR="0053763D" w:rsidRPr="00045710" w:rsidRDefault="0053763D" w:rsidP="00C46407">
            <w:pPr>
              <w:jc w:val="both"/>
              <w:rPr>
                <w:rFonts w:cs="Times New Roman"/>
                <w:szCs w:val="24"/>
              </w:rPr>
            </w:pPr>
            <w:r w:rsidRPr="00045710">
              <w:rPr>
                <w:rFonts w:cs="Times New Roman"/>
                <w:szCs w:val="24"/>
              </w:rPr>
              <w:t>Indications</w:t>
            </w:r>
          </w:p>
        </w:tc>
        <w:tc>
          <w:tcPr>
            <w:tcW w:w="6930" w:type="dxa"/>
            <w:gridSpan w:val="3"/>
            <w:hideMark/>
          </w:tcPr>
          <w:p w14:paraId="0E64F7DE" w14:textId="77777777" w:rsidR="0053763D" w:rsidRPr="00F10C37" w:rsidRDefault="0053763D" w:rsidP="00C46407">
            <w:pPr>
              <w:jc w:val="both"/>
              <w:rPr>
                <w:rFonts w:cs="Times New Roman"/>
                <w:szCs w:val="24"/>
              </w:rPr>
            </w:pPr>
            <w:r>
              <w:rPr>
                <w:rFonts w:cs="Times New Roman"/>
                <w:szCs w:val="24"/>
              </w:rPr>
              <w:t>Angina,</w:t>
            </w:r>
            <w:r w:rsidRPr="00F10C37">
              <w:rPr>
                <w:rFonts w:cs="Times New Roman"/>
                <w:szCs w:val="24"/>
              </w:rPr>
              <w:t xml:space="preserve"> supraventricular and paroxysmal arrhythmias, hypertension, prophylaxis of cluster headache</w:t>
            </w:r>
            <w:r>
              <w:rPr>
                <w:rFonts w:cs="Times New Roman"/>
                <w:szCs w:val="24"/>
              </w:rPr>
              <w:t>.</w:t>
            </w:r>
            <w:r w:rsidRPr="00F10C37">
              <w:rPr>
                <w:rFonts w:cs="Times New Roman"/>
                <w:szCs w:val="24"/>
              </w:rPr>
              <w:t xml:space="preserve"> </w:t>
            </w:r>
          </w:p>
        </w:tc>
      </w:tr>
      <w:tr w:rsidR="0053763D" w:rsidRPr="00F10C37" w14:paraId="2D2E94FB" w14:textId="77777777" w:rsidTr="00C46407">
        <w:trPr>
          <w:trHeight w:val="521"/>
        </w:trPr>
        <w:tc>
          <w:tcPr>
            <w:tcW w:w="2425" w:type="dxa"/>
            <w:hideMark/>
          </w:tcPr>
          <w:p w14:paraId="6E9D1FA3"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930" w:type="dxa"/>
            <w:gridSpan w:val="3"/>
            <w:hideMark/>
          </w:tcPr>
          <w:p w14:paraId="1CD3B511" w14:textId="77777777" w:rsidR="0053763D" w:rsidRDefault="0053763D" w:rsidP="00C46407">
            <w:pPr>
              <w:jc w:val="both"/>
              <w:rPr>
                <w:rFonts w:cs="Times New Roman"/>
                <w:b/>
                <w:szCs w:val="24"/>
              </w:rPr>
            </w:pPr>
            <w:r w:rsidRPr="00F10C37">
              <w:rPr>
                <w:rFonts w:cs="Times New Roman"/>
                <w:b/>
                <w:szCs w:val="24"/>
              </w:rPr>
              <w:t xml:space="preserve">Angina: </w:t>
            </w:r>
          </w:p>
          <w:p w14:paraId="00D6029B"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80–120 mg immediate release tablet 3 times a day </w:t>
            </w:r>
          </w:p>
        </w:tc>
      </w:tr>
      <w:tr w:rsidR="0053763D" w:rsidRPr="00F10C37" w14:paraId="27BD23D2" w14:textId="77777777" w:rsidTr="00C46407">
        <w:tc>
          <w:tcPr>
            <w:tcW w:w="2425" w:type="dxa"/>
            <w:hideMark/>
          </w:tcPr>
          <w:p w14:paraId="6F161C27"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hideMark/>
          </w:tcPr>
          <w:p w14:paraId="3E42E7A3" w14:textId="77777777" w:rsidR="0053763D" w:rsidRPr="00F10C37" w:rsidRDefault="0053763D" w:rsidP="00C46407">
            <w:pPr>
              <w:jc w:val="both"/>
              <w:rPr>
                <w:rFonts w:cs="Times New Roman"/>
                <w:szCs w:val="24"/>
              </w:rPr>
            </w:pPr>
            <w:r w:rsidRPr="00F10C37">
              <w:rPr>
                <w:rFonts w:cs="Times New Roman"/>
                <w:szCs w:val="24"/>
              </w:rPr>
              <w:t xml:space="preserve">Refer to verapamil under </w:t>
            </w:r>
            <w:r>
              <w:rPr>
                <w:rFonts w:cs="Times New Roman"/>
                <w:szCs w:val="24"/>
              </w:rPr>
              <w:t>anti</w:t>
            </w:r>
            <w:r w:rsidRPr="00F10C37">
              <w:rPr>
                <w:rFonts w:cs="Times New Roman"/>
                <w:szCs w:val="24"/>
              </w:rPr>
              <w:t>arrhythmi</w:t>
            </w:r>
            <w:r>
              <w:rPr>
                <w:rFonts w:cs="Times New Roman"/>
                <w:szCs w:val="24"/>
              </w:rPr>
              <w:t>cs.</w:t>
            </w:r>
          </w:p>
        </w:tc>
      </w:tr>
      <w:tr w:rsidR="0053763D" w:rsidRPr="00F10C37" w14:paraId="62E09F59" w14:textId="77777777" w:rsidTr="00C46407">
        <w:tc>
          <w:tcPr>
            <w:tcW w:w="2425" w:type="dxa"/>
            <w:hideMark/>
          </w:tcPr>
          <w:p w14:paraId="1E13ED55"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930" w:type="dxa"/>
            <w:gridSpan w:val="3"/>
            <w:hideMark/>
          </w:tcPr>
          <w:p w14:paraId="7D8498A3" w14:textId="77777777" w:rsidR="0053763D" w:rsidRPr="00F10C37" w:rsidRDefault="0053763D" w:rsidP="00C46407">
            <w:pPr>
              <w:jc w:val="both"/>
              <w:rPr>
                <w:rFonts w:cs="Times New Roman"/>
                <w:szCs w:val="24"/>
              </w:rPr>
            </w:pPr>
            <w:r w:rsidRPr="00F10C37">
              <w:rPr>
                <w:rFonts w:cs="Times New Roman"/>
                <w:szCs w:val="24"/>
              </w:rPr>
              <w:t xml:space="preserve">Refer to verapamil under </w:t>
            </w:r>
            <w:r>
              <w:rPr>
                <w:rFonts w:cs="Times New Roman"/>
                <w:szCs w:val="24"/>
              </w:rPr>
              <w:t>anti</w:t>
            </w:r>
            <w:r w:rsidRPr="00F10C37">
              <w:rPr>
                <w:rFonts w:cs="Times New Roman"/>
                <w:szCs w:val="24"/>
              </w:rPr>
              <w:t>arrhythmi</w:t>
            </w:r>
            <w:r>
              <w:rPr>
                <w:rFonts w:cs="Times New Roman"/>
                <w:szCs w:val="24"/>
              </w:rPr>
              <w:t>cs.</w:t>
            </w:r>
          </w:p>
        </w:tc>
      </w:tr>
      <w:tr w:rsidR="0053763D" w:rsidRPr="00F10C37" w14:paraId="7264820B" w14:textId="77777777" w:rsidTr="00C46407">
        <w:tc>
          <w:tcPr>
            <w:tcW w:w="2425" w:type="dxa"/>
            <w:hideMark/>
          </w:tcPr>
          <w:p w14:paraId="5E4DF62B"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hideMark/>
          </w:tcPr>
          <w:p w14:paraId="6FE9AB7B"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 xml:space="preserve">Refer to verapamil under </w:t>
            </w:r>
            <w:r>
              <w:rPr>
                <w:rFonts w:cs="Times New Roman"/>
                <w:szCs w:val="24"/>
              </w:rPr>
              <w:t>anti</w:t>
            </w:r>
            <w:r w:rsidRPr="00F10C37">
              <w:rPr>
                <w:rFonts w:cs="Times New Roman"/>
                <w:szCs w:val="24"/>
              </w:rPr>
              <w:t>arrhythmi</w:t>
            </w:r>
            <w:r>
              <w:rPr>
                <w:rFonts w:cs="Times New Roman"/>
                <w:szCs w:val="24"/>
              </w:rPr>
              <w:t>cs.</w:t>
            </w:r>
          </w:p>
        </w:tc>
      </w:tr>
      <w:tr w:rsidR="0053763D" w:rsidRPr="00F10C37" w14:paraId="1C4622C3" w14:textId="77777777" w:rsidTr="00C46407">
        <w:tc>
          <w:tcPr>
            <w:tcW w:w="2425" w:type="dxa"/>
            <w:hideMark/>
          </w:tcPr>
          <w:p w14:paraId="14DDE3A6"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hideMark/>
          </w:tcPr>
          <w:p w14:paraId="1F731054" w14:textId="77777777" w:rsidR="0053763D" w:rsidRPr="00F10C37" w:rsidRDefault="0053763D" w:rsidP="00C46407">
            <w:pPr>
              <w:jc w:val="both"/>
              <w:rPr>
                <w:rFonts w:cs="Times New Roman"/>
                <w:szCs w:val="24"/>
              </w:rPr>
            </w:pPr>
            <w:r w:rsidRPr="00F10C37">
              <w:rPr>
                <w:rFonts w:cs="Times New Roman"/>
                <w:szCs w:val="24"/>
              </w:rPr>
              <w:t xml:space="preserve">Refer to verapamil under </w:t>
            </w:r>
            <w:r>
              <w:rPr>
                <w:rFonts w:cs="Times New Roman"/>
                <w:szCs w:val="24"/>
              </w:rPr>
              <w:t>anti</w:t>
            </w:r>
            <w:r w:rsidRPr="00F10C37">
              <w:rPr>
                <w:rFonts w:cs="Times New Roman"/>
                <w:szCs w:val="24"/>
              </w:rPr>
              <w:t>arrhythmi</w:t>
            </w:r>
            <w:r>
              <w:rPr>
                <w:rFonts w:cs="Times New Roman"/>
                <w:szCs w:val="24"/>
              </w:rPr>
              <w:t>cs.</w:t>
            </w:r>
          </w:p>
        </w:tc>
      </w:tr>
      <w:tr w:rsidR="0053763D" w:rsidRPr="00F10C37" w14:paraId="7E14D548" w14:textId="77777777" w:rsidTr="00C46407">
        <w:tc>
          <w:tcPr>
            <w:tcW w:w="2425" w:type="dxa"/>
            <w:hideMark/>
          </w:tcPr>
          <w:p w14:paraId="49B047D0"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hideMark/>
          </w:tcPr>
          <w:p w14:paraId="0ABFE084" w14:textId="77777777" w:rsidR="0053763D" w:rsidRPr="00F10C37" w:rsidRDefault="0053763D" w:rsidP="00C46407">
            <w:pPr>
              <w:jc w:val="both"/>
              <w:rPr>
                <w:rFonts w:cs="Times New Roman"/>
                <w:szCs w:val="24"/>
              </w:rPr>
            </w:pPr>
            <w:r w:rsidRPr="00F10C37">
              <w:rPr>
                <w:rFonts w:cs="Times New Roman"/>
                <w:szCs w:val="24"/>
              </w:rPr>
              <w:t>Store between 15 ºC and 30 ºC. Protect from light.</w:t>
            </w:r>
          </w:p>
        </w:tc>
      </w:tr>
      <w:tr w:rsidR="0053763D" w:rsidRPr="00F10C37" w14:paraId="44B92135" w14:textId="77777777" w:rsidTr="00C46407">
        <w:trPr>
          <w:trHeight w:val="512"/>
        </w:trPr>
        <w:tc>
          <w:tcPr>
            <w:tcW w:w="9355" w:type="dxa"/>
            <w:gridSpan w:val="4"/>
          </w:tcPr>
          <w:p w14:paraId="0047273E" w14:textId="77777777" w:rsidR="0053763D" w:rsidRPr="00F10C37" w:rsidRDefault="0053763D" w:rsidP="00C46407">
            <w:pPr>
              <w:jc w:val="both"/>
              <w:rPr>
                <w:rFonts w:cs="Times New Roman"/>
                <w:b/>
                <w:szCs w:val="24"/>
              </w:rPr>
            </w:pPr>
            <w:r w:rsidRPr="00F10C37">
              <w:rPr>
                <w:rFonts w:cs="Times New Roman"/>
                <w:b/>
                <w:szCs w:val="24"/>
              </w:rPr>
              <w:t>Ranolazine</w:t>
            </w:r>
          </w:p>
        </w:tc>
      </w:tr>
      <w:tr w:rsidR="0053763D" w:rsidRPr="00F10C37" w14:paraId="4BFA5AAE" w14:textId="77777777" w:rsidTr="00C46407">
        <w:trPr>
          <w:trHeight w:val="512"/>
        </w:trPr>
        <w:tc>
          <w:tcPr>
            <w:tcW w:w="2425" w:type="dxa"/>
          </w:tcPr>
          <w:p w14:paraId="0D3BC42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48DFC7A2" w14:textId="77777777" w:rsidR="0053763D" w:rsidRPr="00F10C37" w:rsidRDefault="0053763D" w:rsidP="00C46407">
            <w:pPr>
              <w:jc w:val="both"/>
              <w:rPr>
                <w:rFonts w:cs="Times New Roman"/>
                <w:szCs w:val="24"/>
              </w:rPr>
            </w:pPr>
            <w:r w:rsidRPr="00F10C37">
              <w:rPr>
                <w:rFonts w:cs="Times New Roman"/>
                <w:szCs w:val="24"/>
              </w:rPr>
              <w:t> Fatty acid oxidation inhibitor</w:t>
            </w:r>
          </w:p>
        </w:tc>
      </w:tr>
      <w:tr w:rsidR="0053763D" w:rsidRPr="00F10C37" w14:paraId="186B8008" w14:textId="77777777" w:rsidTr="00C46407">
        <w:trPr>
          <w:trHeight w:val="395"/>
        </w:trPr>
        <w:tc>
          <w:tcPr>
            <w:tcW w:w="2425" w:type="dxa"/>
          </w:tcPr>
          <w:p w14:paraId="5E75B454"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6493E2AA"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Extended release tablet: 500mg, 1000mg</w:t>
            </w:r>
          </w:p>
        </w:tc>
      </w:tr>
      <w:tr w:rsidR="0053763D" w:rsidRPr="00F10C37" w14:paraId="6A55F98B" w14:textId="77777777" w:rsidTr="00C46407">
        <w:trPr>
          <w:trHeight w:val="521"/>
        </w:trPr>
        <w:tc>
          <w:tcPr>
            <w:tcW w:w="2425" w:type="dxa"/>
          </w:tcPr>
          <w:p w14:paraId="6F1B7870" w14:textId="77777777" w:rsidR="0053763D" w:rsidRPr="00045710" w:rsidRDefault="0053763D" w:rsidP="00C46407">
            <w:pPr>
              <w:jc w:val="both"/>
              <w:rPr>
                <w:rFonts w:cs="Times New Roman"/>
                <w:szCs w:val="24"/>
              </w:rPr>
            </w:pPr>
            <w:r w:rsidRPr="00045710">
              <w:rPr>
                <w:rFonts w:cs="Times New Roman"/>
                <w:szCs w:val="24"/>
              </w:rPr>
              <w:t>Indications</w:t>
            </w:r>
          </w:p>
        </w:tc>
        <w:tc>
          <w:tcPr>
            <w:tcW w:w="6930" w:type="dxa"/>
            <w:gridSpan w:val="3"/>
          </w:tcPr>
          <w:p w14:paraId="0BE8501C" w14:textId="77777777" w:rsidR="0053763D" w:rsidRPr="00F10C37" w:rsidRDefault="0053763D" w:rsidP="00C46407">
            <w:pPr>
              <w:jc w:val="both"/>
              <w:rPr>
                <w:rFonts w:cs="Times New Roman"/>
                <w:szCs w:val="24"/>
              </w:rPr>
            </w:pPr>
            <w:r w:rsidRPr="00F10C37">
              <w:rPr>
                <w:rFonts w:cs="Times New Roman"/>
                <w:szCs w:val="24"/>
              </w:rPr>
              <w:t>Symptomatic treatment of patients with stable angina pectoris who are inadequately controlled or intolerant to first-line antianginal therapies</w:t>
            </w:r>
            <w:r>
              <w:rPr>
                <w:rFonts w:cs="Times New Roman"/>
                <w:szCs w:val="24"/>
              </w:rPr>
              <w:t>.</w:t>
            </w:r>
          </w:p>
        </w:tc>
      </w:tr>
      <w:tr w:rsidR="0053763D" w:rsidRPr="00F10C37" w14:paraId="7D170275" w14:textId="77777777" w:rsidTr="00C46407">
        <w:trPr>
          <w:trHeight w:val="521"/>
        </w:trPr>
        <w:tc>
          <w:tcPr>
            <w:tcW w:w="2425" w:type="dxa"/>
          </w:tcPr>
          <w:p w14:paraId="7F532C3F" w14:textId="77777777" w:rsidR="0053763D" w:rsidRPr="00F10C37" w:rsidRDefault="0053763D" w:rsidP="00C46407">
            <w:pPr>
              <w:rPr>
                <w:rFonts w:cs="Times New Roman"/>
                <w:szCs w:val="24"/>
              </w:rPr>
            </w:pPr>
            <w:r w:rsidRPr="00F10C37">
              <w:rPr>
                <w:rFonts w:eastAsia="Times New Roman" w:cs="Times New Roman"/>
                <w:szCs w:val="24"/>
              </w:rPr>
              <w:t>Dose and administration</w:t>
            </w:r>
          </w:p>
        </w:tc>
        <w:tc>
          <w:tcPr>
            <w:tcW w:w="6930" w:type="dxa"/>
            <w:gridSpan w:val="3"/>
          </w:tcPr>
          <w:p w14:paraId="34D57C86" w14:textId="77777777" w:rsidR="0053763D" w:rsidRPr="00F10C37" w:rsidRDefault="0053763D" w:rsidP="00C46407">
            <w:pPr>
              <w:jc w:val="both"/>
              <w:rPr>
                <w:rFonts w:cs="Times New Roman"/>
                <w:szCs w:val="24"/>
              </w:rPr>
            </w:pPr>
            <w:r>
              <w:rPr>
                <w:rFonts w:cs="Times New Roman"/>
                <w:b/>
                <w:szCs w:val="24"/>
              </w:rPr>
              <w:t>A</w:t>
            </w:r>
            <w:r w:rsidRPr="00F10C37">
              <w:rPr>
                <w:rFonts w:cs="Times New Roman"/>
                <w:b/>
                <w:szCs w:val="24"/>
              </w:rPr>
              <w:t xml:space="preserve">dult: </w:t>
            </w:r>
            <w:r w:rsidRPr="00F10C37">
              <w:rPr>
                <w:rFonts w:cs="Times New Roman"/>
                <w:szCs w:val="24"/>
              </w:rPr>
              <w:t>Initially, 500 mg twice daily; may increase to maximum of 1 g twice daily.</w:t>
            </w:r>
          </w:p>
        </w:tc>
      </w:tr>
      <w:tr w:rsidR="0053763D" w:rsidRPr="00F10C37" w14:paraId="50903DC4" w14:textId="77777777" w:rsidTr="00C46407">
        <w:tc>
          <w:tcPr>
            <w:tcW w:w="2425" w:type="dxa"/>
          </w:tcPr>
          <w:p w14:paraId="76C64447"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tcPr>
          <w:p w14:paraId="2F3648B6" w14:textId="77777777" w:rsidR="0053763D" w:rsidRPr="00F10C37" w:rsidRDefault="0053763D" w:rsidP="00C46407">
            <w:pPr>
              <w:jc w:val="both"/>
              <w:rPr>
                <w:rFonts w:eastAsia="Times New Roman" w:cs="Times New Roman"/>
                <w:kern w:val="0"/>
                <w:szCs w:val="24"/>
                <w:lang w:val="en-US" w:eastAsia="en-US"/>
              </w:rPr>
            </w:pPr>
            <w:r>
              <w:rPr>
                <w:rFonts w:eastAsia="Times New Roman" w:cs="Times New Roman"/>
                <w:kern w:val="0"/>
                <w:szCs w:val="24"/>
                <w:lang w:val="en-US" w:eastAsia="en-US"/>
              </w:rPr>
              <w:t>H</w:t>
            </w:r>
            <w:r w:rsidRPr="00F10C37">
              <w:rPr>
                <w:rFonts w:eastAsia="Times New Roman" w:cs="Times New Roman"/>
                <w:kern w:val="0"/>
                <w:szCs w:val="24"/>
                <w:lang w:val="en-US" w:eastAsia="en-US"/>
              </w:rPr>
              <w:t xml:space="preserve">ypersensitivity to </w:t>
            </w:r>
            <w:r>
              <w:rPr>
                <w:rFonts w:eastAsia="Times New Roman" w:cs="Times New Roman"/>
                <w:kern w:val="0"/>
                <w:szCs w:val="24"/>
                <w:lang w:val="en-US" w:eastAsia="en-US"/>
              </w:rPr>
              <w:t>the drug, h</w:t>
            </w:r>
            <w:r w:rsidRPr="00F10C37">
              <w:rPr>
                <w:rFonts w:eastAsia="Times New Roman" w:cs="Times New Roman"/>
                <w:kern w:val="0"/>
                <w:szCs w:val="24"/>
                <w:lang w:val="en-US" w:eastAsia="en-US"/>
              </w:rPr>
              <w:t>epatic cirrhosis, concomitant use with potent inhibitors</w:t>
            </w:r>
            <w:r>
              <w:rPr>
                <w:rFonts w:eastAsia="Times New Roman" w:cs="Times New Roman"/>
                <w:kern w:val="0"/>
                <w:szCs w:val="24"/>
                <w:lang w:val="en-US" w:eastAsia="en-US"/>
              </w:rPr>
              <w:t xml:space="preserve"> or inducers</w:t>
            </w:r>
            <w:r w:rsidRPr="00F10C37">
              <w:rPr>
                <w:rFonts w:eastAsia="Times New Roman" w:cs="Times New Roman"/>
                <w:kern w:val="0"/>
                <w:szCs w:val="24"/>
                <w:lang w:val="en-US" w:eastAsia="en-US"/>
              </w:rPr>
              <w:t xml:space="preserve"> of CYP3A</w:t>
            </w:r>
            <w:r>
              <w:rPr>
                <w:rFonts w:eastAsia="Times New Roman" w:cs="Times New Roman"/>
                <w:kern w:val="0"/>
                <w:szCs w:val="24"/>
                <w:lang w:val="en-US" w:eastAsia="en-US"/>
              </w:rPr>
              <w:t>.</w:t>
            </w:r>
          </w:p>
        </w:tc>
      </w:tr>
      <w:tr w:rsidR="0053763D" w:rsidRPr="00F10C37" w14:paraId="2B9A6FD0" w14:textId="77777777" w:rsidTr="00C46407">
        <w:tc>
          <w:tcPr>
            <w:tcW w:w="2425" w:type="dxa"/>
          </w:tcPr>
          <w:p w14:paraId="489E6544"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3"/>
          </w:tcPr>
          <w:p w14:paraId="7F9FAC1A" w14:textId="77777777" w:rsidR="0053763D" w:rsidRPr="00F10C37" w:rsidRDefault="0053763D" w:rsidP="00C46407">
            <w:pPr>
              <w:jc w:val="both"/>
              <w:rPr>
                <w:rFonts w:cs="Times New Roman"/>
                <w:szCs w:val="24"/>
              </w:rPr>
            </w:pPr>
            <w:r w:rsidRPr="00F10C37">
              <w:rPr>
                <w:rFonts w:cs="Times New Roman"/>
                <w:szCs w:val="24"/>
              </w:rPr>
              <w:t>Azole antifungals, clarithromycin, protease inhibitors, grapefruit juice, diltiazem, verapamil, cyclosporine, rifampin, phenobarbital, phenytoin, carbamazepine, St. John’s wort, metformin, antiarrhythmic medications, TCAs, antipsychotics</w:t>
            </w:r>
            <w:r>
              <w:rPr>
                <w:rFonts w:cs="Times New Roman"/>
                <w:szCs w:val="24"/>
              </w:rPr>
              <w:t>.</w:t>
            </w:r>
          </w:p>
        </w:tc>
      </w:tr>
      <w:tr w:rsidR="0053763D" w:rsidRPr="00F10C37" w14:paraId="7FA40A29" w14:textId="77777777" w:rsidTr="00C46407">
        <w:tc>
          <w:tcPr>
            <w:tcW w:w="2425" w:type="dxa"/>
          </w:tcPr>
          <w:p w14:paraId="5EC03688"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0EF8F38C" w14:textId="77777777" w:rsidR="0053763D" w:rsidRPr="00F10C37" w:rsidRDefault="0053763D" w:rsidP="00C46407">
            <w:pPr>
              <w:contextualSpacing/>
              <w:jc w:val="both"/>
              <w:rPr>
                <w:rFonts w:cs="Times New Roman"/>
                <w:szCs w:val="24"/>
              </w:rPr>
            </w:pPr>
            <w:r w:rsidRPr="00F10C37">
              <w:rPr>
                <w:rFonts w:cs="Times New Roman"/>
                <w:szCs w:val="24"/>
              </w:rPr>
              <w:t>Dizziness, headache, constipation, nausea, bradycardia, palpitations, tinnitus, vertigo, blurred vision, abdominal pain, dry mouth, vomiting, dyspepsia, asthenia, peripheral edema, anorexia, hyponatremia, syncope, anxiety, confusion, hematuria, dyspnea, hyperhidrosis, pruritus, urticaria, orthostatic hypotension</w:t>
            </w:r>
            <w:r>
              <w:rPr>
                <w:rFonts w:cs="Times New Roman"/>
                <w:szCs w:val="24"/>
              </w:rPr>
              <w:t>.</w:t>
            </w:r>
          </w:p>
        </w:tc>
      </w:tr>
      <w:tr w:rsidR="0053763D" w:rsidRPr="00F10C37" w14:paraId="3ECD4EA6" w14:textId="77777777" w:rsidTr="00C46407">
        <w:tc>
          <w:tcPr>
            <w:tcW w:w="2425" w:type="dxa"/>
          </w:tcPr>
          <w:p w14:paraId="5326D1F6"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1351A901" w14:textId="77777777" w:rsidR="0053763D" w:rsidRPr="00F10C37" w:rsidRDefault="0053763D" w:rsidP="00C46407">
            <w:pPr>
              <w:jc w:val="both"/>
              <w:rPr>
                <w:rFonts w:cs="Times New Roman"/>
                <w:szCs w:val="24"/>
              </w:rPr>
            </w:pPr>
            <w:r w:rsidRPr="00F10C37">
              <w:rPr>
                <w:rFonts w:cs="Times New Roman"/>
                <w:szCs w:val="24"/>
              </w:rPr>
              <w:t xml:space="preserve">QT </w:t>
            </w:r>
            <w:r>
              <w:rPr>
                <w:rFonts w:cs="Times New Roman"/>
                <w:szCs w:val="24"/>
              </w:rPr>
              <w:t>p</w:t>
            </w:r>
            <w:r w:rsidRPr="00F10C37">
              <w:rPr>
                <w:rFonts w:cs="Times New Roman"/>
                <w:szCs w:val="24"/>
              </w:rPr>
              <w:t>rolongation, hepatic impairment, pregnancy, breastfeeding</w:t>
            </w:r>
            <w:r>
              <w:rPr>
                <w:rFonts w:cs="Times New Roman"/>
                <w:szCs w:val="24"/>
              </w:rPr>
              <w:t>.</w:t>
            </w:r>
          </w:p>
        </w:tc>
      </w:tr>
      <w:tr w:rsidR="0053763D" w:rsidRPr="00F10C37" w14:paraId="00628896" w14:textId="77777777" w:rsidTr="00C46407">
        <w:tc>
          <w:tcPr>
            <w:tcW w:w="2425" w:type="dxa"/>
          </w:tcPr>
          <w:p w14:paraId="654F147D"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tcPr>
          <w:p w14:paraId="25D1E59D"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 xml:space="preserve">15 </w:t>
            </w:r>
            <w:r w:rsidRPr="00F10C37">
              <w:rPr>
                <w:rFonts w:cs="Times New Roman"/>
                <w:szCs w:val="24"/>
                <w:vertAlign w:val="superscript"/>
              </w:rPr>
              <w:t>o</w:t>
            </w:r>
            <w:r w:rsidRPr="00F10C37">
              <w:rPr>
                <w:rFonts w:cs="Times New Roman"/>
                <w:szCs w:val="24"/>
              </w:rPr>
              <w:t xml:space="preserve">C to 30 </w:t>
            </w:r>
            <w:r w:rsidRPr="00F10C37">
              <w:rPr>
                <w:rFonts w:cs="Times New Roman"/>
                <w:szCs w:val="24"/>
                <w:vertAlign w:val="superscript"/>
              </w:rPr>
              <w:t>o</w:t>
            </w:r>
            <w:r w:rsidRPr="00F10C37">
              <w:rPr>
                <w:rFonts w:cs="Times New Roman"/>
                <w:szCs w:val="24"/>
              </w:rPr>
              <w:t>C.</w:t>
            </w:r>
          </w:p>
        </w:tc>
      </w:tr>
      <w:tr w:rsidR="0053763D" w:rsidRPr="00F10C37" w14:paraId="34F02B4F" w14:textId="77777777" w:rsidTr="00C46407">
        <w:trPr>
          <w:trHeight w:val="512"/>
        </w:trPr>
        <w:tc>
          <w:tcPr>
            <w:tcW w:w="9355" w:type="dxa"/>
            <w:gridSpan w:val="4"/>
          </w:tcPr>
          <w:p w14:paraId="5F1EA015" w14:textId="77777777" w:rsidR="0053763D" w:rsidRPr="00F10C37" w:rsidRDefault="0053763D" w:rsidP="00C46407">
            <w:pPr>
              <w:jc w:val="both"/>
              <w:rPr>
                <w:rFonts w:cs="Times New Roman"/>
                <w:b/>
                <w:szCs w:val="24"/>
              </w:rPr>
            </w:pPr>
            <w:r w:rsidRPr="00F10C37">
              <w:rPr>
                <w:rFonts w:cs="Times New Roman"/>
                <w:b/>
                <w:szCs w:val="24"/>
              </w:rPr>
              <w:t>Trimetazidine</w:t>
            </w:r>
          </w:p>
        </w:tc>
      </w:tr>
      <w:tr w:rsidR="0053763D" w:rsidRPr="00F10C37" w14:paraId="45448410" w14:textId="77777777" w:rsidTr="00C46407">
        <w:trPr>
          <w:trHeight w:val="512"/>
        </w:trPr>
        <w:tc>
          <w:tcPr>
            <w:tcW w:w="2425" w:type="dxa"/>
          </w:tcPr>
          <w:p w14:paraId="7CBA4A37"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930" w:type="dxa"/>
            <w:gridSpan w:val="3"/>
          </w:tcPr>
          <w:p w14:paraId="11BE1BFD" w14:textId="77777777" w:rsidR="0053763D" w:rsidRPr="00F10C37" w:rsidRDefault="0053763D" w:rsidP="00C46407">
            <w:pPr>
              <w:jc w:val="both"/>
              <w:rPr>
                <w:rFonts w:cs="Times New Roman"/>
                <w:szCs w:val="24"/>
              </w:rPr>
            </w:pPr>
            <w:r w:rsidRPr="00F10C37">
              <w:rPr>
                <w:rFonts w:cs="Times New Roman"/>
                <w:szCs w:val="24"/>
              </w:rPr>
              <w:t>Fatty acid oxidation inhibitor</w:t>
            </w:r>
          </w:p>
        </w:tc>
      </w:tr>
      <w:tr w:rsidR="0053763D" w:rsidRPr="00F10C37" w14:paraId="30FCB1AF" w14:textId="77777777" w:rsidTr="00C46407">
        <w:trPr>
          <w:trHeight w:val="395"/>
        </w:trPr>
        <w:tc>
          <w:tcPr>
            <w:tcW w:w="2425" w:type="dxa"/>
          </w:tcPr>
          <w:p w14:paraId="708B3AC4" w14:textId="77777777" w:rsidR="0053763D" w:rsidRPr="00F10C37" w:rsidRDefault="0053763D" w:rsidP="00C46407">
            <w:pPr>
              <w:jc w:val="both"/>
              <w:rPr>
                <w:rFonts w:cs="Times New Roman"/>
                <w:szCs w:val="24"/>
              </w:rPr>
            </w:pPr>
            <w:r w:rsidRPr="00F10C37">
              <w:rPr>
                <w:rFonts w:cs="Times New Roman"/>
                <w:szCs w:val="24"/>
              </w:rPr>
              <w:t>Dosage form</w:t>
            </w:r>
          </w:p>
        </w:tc>
        <w:tc>
          <w:tcPr>
            <w:tcW w:w="6930" w:type="dxa"/>
            <w:gridSpan w:val="3"/>
          </w:tcPr>
          <w:p w14:paraId="285A730E"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rPr>
              <w:t xml:space="preserve">Tablet: 35mg   </w:t>
            </w:r>
          </w:p>
        </w:tc>
      </w:tr>
      <w:tr w:rsidR="0053763D" w:rsidRPr="00F10C37" w14:paraId="2BEA8EED" w14:textId="77777777" w:rsidTr="00C46407">
        <w:trPr>
          <w:trHeight w:val="521"/>
        </w:trPr>
        <w:tc>
          <w:tcPr>
            <w:tcW w:w="2425" w:type="dxa"/>
          </w:tcPr>
          <w:p w14:paraId="693958FE" w14:textId="77777777" w:rsidR="0053763D" w:rsidRPr="008B5113" w:rsidRDefault="0053763D" w:rsidP="00C46407">
            <w:pPr>
              <w:jc w:val="both"/>
              <w:rPr>
                <w:rFonts w:cs="Times New Roman"/>
                <w:szCs w:val="24"/>
              </w:rPr>
            </w:pPr>
            <w:r w:rsidRPr="008B5113">
              <w:rPr>
                <w:rFonts w:cs="Times New Roman"/>
                <w:szCs w:val="24"/>
              </w:rPr>
              <w:t>Indications</w:t>
            </w:r>
          </w:p>
        </w:tc>
        <w:tc>
          <w:tcPr>
            <w:tcW w:w="6930" w:type="dxa"/>
            <w:gridSpan w:val="3"/>
          </w:tcPr>
          <w:p w14:paraId="581800FB" w14:textId="77777777" w:rsidR="0053763D" w:rsidRPr="00F10C37" w:rsidRDefault="0053763D" w:rsidP="00C46407">
            <w:pPr>
              <w:jc w:val="both"/>
              <w:rPr>
                <w:rFonts w:cs="Times New Roman"/>
                <w:szCs w:val="24"/>
              </w:rPr>
            </w:pPr>
            <w:r w:rsidRPr="00F10C37">
              <w:rPr>
                <w:rFonts w:cs="Times New Roman"/>
                <w:szCs w:val="24"/>
              </w:rPr>
              <w:t xml:space="preserve">Long-term treatment of angina pectoris in combination with other </w:t>
            </w:r>
            <w:r w:rsidRPr="00F10C37">
              <w:rPr>
                <w:rFonts w:cs="Times New Roman"/>
                <w:szCs w:val="24"/>
              </w:rPr>
              <w:lastRenderedPageBreak/>
              <w:t>medicines</w:t>
            </w:r>
          </w:p>
        </w:tc>
      </w:tr>
      <w:tr w:rsidR="0053763D" w:rsidRPr="00F10C37" w14:paraId="5CC82F66" w14:textId="77777777" w:rsidTr="00C46407">
        <w:trPr>
          <w:trHeight w:val="521"/>
        </w:trPr>
        <w:tc>
          <w:tcPr>
            <w:tcW w:w="2425" w:type="dxa"/>
          </w:tcPr>
          <w:p w14:paraId="6079E998" w14:textId="77777777" w:rsidR="0053763D" w:rsidRPr="00F10C37" w:rsidRDefault="0053763D" w:rsidP="00C46407">
            <w:pPr>
              <w:jc w:val="both"/>
              <w:rPr>
                <w:rFonts w:cs="Times New Roman"/>
                <w:szCs w:val="24"/>
              </w:rPr>
            </w:pPr>
            <w:r w:rsidRPr="00F10C37">
              <w:rPr>
                <w:rFonts w:eastAsia="Times New Roman" w:cs="Times New Roman"/>
                <w:szCs w:val="24"/>
              </w:rPr>
              <w:lastRenderedPageBreak/>
              <w:t>Dose and administration</w:t>
            </w:r>
          </w:p>
        </w:tc>
        <w:tc>
          <w:tcPr>
            <w:tcW w:w="6930" w:type="dxa"/>
            <w:gridSpan w:val="3"/>
          </w:tcPr>
          <w:p w14:paraId="400361B5" w14:textId="77777777" w:rsidR="0053763D" w:rsidRPr="00F10C37" w:rsidRDefault="0053763D" w:rsidP="00C46407">
            <w:pPr>
              <w:jc w:val="both"/>
              <w:rPr>
                <w:rFonts w:cs="Times New Roman"/>
                <w:szCs w:val="24"/>
              </w:rPr>
            </w:pPr>
            <w:r w:rsidRPr="003D3E3A">
              <w:rPr>
                <w:rFonts w:cs="Times New Roman"/>
                <w:b/>
                <w:szCs w:val="24"/>
              </w:rPr>
              <w:t>Angina</w:t>
            </w:r>
            <w:r w:rsidRPr="00F10C37">
              <w:rPr>
                <w:rFonts w:cs="Times New Roman"/>
                <w:szCs w:val="24"/>
              </w:rPr>
              <w:t xml:space="preserve">, </w:t>
            </w:r>
            <w:r w:rsidRPr="003D3E3A">
              <w:rPr>
                <w:rFonts w:cs="Times New Roman"/>
                <w:b/>
                <w:szCs w:val="24"/>
              </w:rPr>
              <w:t>oral:</w:t>
            </w:r>
            <w:r w:rsidRPr="00F10C37">
              <w:rPr>
                <w:rFonts w:cs="Times New Roman"/>
                <w:szCs w:val="24"/>
              </w:rPr>
              <w:t xml:space="preserve"> 35 mg twice daily, in the morning and evening with meals.</w:t>
            </w:r>
          </w:p>
        </w:tc>
      </w:tr>
      <w:tr w:rsidR="0053763D" w:rsidRPr="00F10C37" w14:paraId="7366F91A" w14:textId="77777777" w:rsidTr="00C46407">
        <w:tc>
          <w:tcPr>
            <w:tcW w:w="2425" w:type="dxa"/>
          </w:tcPr>
          <w:p w14:paraId="06CF434F"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930" w:type="dxa"/>
            <w:gridSpan w:val="3"/>
          </w:tcPr>
          <w:p w14:paraId="5855ECB6" w14:textId="77777777" w:rsidR="0053763D" w:rsidRPr="00F10C37" w:rsidRDefault="0053763D" w:rsidP="00C46407">
            <w:pPr>
              <w:jc w:val="both"/>
              <w:rPr>
                <w:rFonts w:cs="Times New Roman"/>
                <w:szCs w:val="24"/>
              </w:rPr>
            </w:pPr>
            <w:r w:rsidRPr="00F10C37">
              <w:rPr>
                <w:rFonts w:cs="Times New Roman"/>
                <w:szCs w:val="24"/>
              </w:rPr>
              <w:t xml:space="preserve">Hypersensitivity to the </w:t>
            </w:r>
            <w:r>
              <w:rPr>
                <w:rFonts w:cs="Times New Roman"/>
                <w:szCs w:val="24"/>
              </w:rPr>
              <w:t>drug</w:t>
            </w:r>
            <w:r w:rsidRPr="00F10C37">
              <w:rPr>
                <w:rFonts w:cs="Times New Roman"/>
                <w:szCs w:val="24"/>
              </w:rPr>
              <w:t>, Parkinson disease</w:t>
            </w:r>
            <w:r>
              <w:rPr>
                <w:rFonts w:cs="Times New Roman"/>
                <w:szCs w:val="24"/>
              </w:rPr>
              <w:t xml:space="preserve"> or </w:t>
            </w:r>
            <w:r w:rsidRPr="00F10C37">
              <w:rPr>
                <w:rFonts w:cs="Times New Roman"/>
                <w:szCs w:val="24"/>
              </w:rPr>
              <w:t xml:space="preserve">parkinsonian symptoms, tremors, restless leg syndrome, severe renal impairment (CrCl&lt; 30 </w:t>
            </w:r>
            <w:r>
              <w:rPr>
                <w:rFonts w:cs="Times New Roman"/>
                <w:szCs w:val="24"/>
              </w:rPr>
              <w:t>ml</w:t>
            </w:r>
            <w:r w:rsidRPr="00F10C37">
              <w:rPr>
                <w:rFonts w:cs="Times New Roman"/>
                <w:szCs w:val="24"/>
              </w:rPr>
              <w:t>/min).</w:t>
            </w:r>
          </w:p>
        </w:tc>
      </w:tr>
      <w:tr w:rsidR="0053763D" w:rsidRPr="00F10C37" w14:paraId="3CEEAE22" w14:textId="77777777" w:rsidTr="00C46407">
        <w:tc>
          <w:tcPr>
            <w:tcW w:w="2425" w:type="dxa"/>
          </w:tcPr>
          <w:p w14:paraId="506F455E"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930" w:type="dxa"/>
            <w:gridSpan w:val="3"/>
          </w:tcPr>
          <w:p w14:paraId="57C508C7" w14:textId="77777777" w:rsidR="0053763D" w:rsidRPr="00F10C37" w:rsidRDefault="0053763D" w:rsidP="00C46407">
            <w:pPr>
              <w:jc w:val="both"/>
              <w:rPr>
                <w:rFonts w:cs="Times New Roman"/>
                <w:szCs w:val="24"/>
              </w:rPr>
            </w:pPr>
            <w:r w:rsidRPr="00F10C37">
              <w:rPr>
                <w:rFonts w:cs="Times New Roman"/>
                <w:szCs w:val="24"/>
              </w:rPr>
              <w:t xml:space="preserve">No drug interactions have been identified. </w:t>
            </w:r>
          </w:p>
        </w:tc>
      </w:tr>
      <w:tr w:rsidR="0053763D" w:rsidRPr="00F10C37" w14:paraId="130766A1" w14:textId="77777777" w:rsidTr="00C46407">
        <w:tc>
          <w:tcPr>
            <w:tcW w:w="2425" w:type="dxa"/>
          </w:tcPr>
          <w:p w14:paraId="2B9B2126" w14:textId="77777777" w:rsidR="0053763D" w:rsidRPr="00F10C37" w:rsidRDefault="0053763D" w:rsidP="00C46407">
            <w:pPr>
              <w:jc w:val="both"/>
              <w:rPr>
                <w:rFonts w:cs="Times New Roman"/>
                <w:szCs w:val="24"/>
              </w:rPr>
            </w:pPr>
            <w:r w:rsidRPr="00F10C37">
              <w:rPr>
                <w:rFonts w:cs="Times New Roman"/>
                <w:szCs w:val="24"/>
              </w:rPr>
              <w:t>Side effects</w:t>
            </w:r>
          </w:p>
        </w:tc>
        <w:tc>
          <w:tcPr>
            <w:tcW w:w="6930" w:type="dxa"/>
            <w:gridSpan w:val="3"/>
          </w:tcPr>
          <w:p w14:paraId="79537DA0" w14:textId="77777777" w:rsidR="0053763D" w:rsidRPr="00F10C37" w:rsidRDefault="0053763D" w:rsidP="00C46407">
            <w:pPr>
              <w:contextualSpacing/>
              <w:jc w:val="both"/>
              <w:rPr>
                <w:rFonts w:cs="Times New Roman"/>
                <w:szCs w:val="24"/>
              </w:rPr>
            </w:pPr>
            <w:r w:rsidRPr="00F10C37">
              <w:rPr>
                <w:rFonts w:cs="Times New Roman"/>
                <w:szCs w:val="24"/>
              </w:rPr>
              <w:t>Dizziness, headache, GI disturbance, rash, asthenia, pruritus, urticarial, agranulocytosis, thrombocytopenia, thrombocytopenic purpura, hepatitis.</w:t>
            </w:r>
          </w:p>
        </w:tc>
      </w:tr>
      <w:tr w:rsidR="0053763D" w:rsidRPr="00F10C37" w14:paraId="488BFF0E" w14:textId="77777777" w:rsidTr="00C46407">
        <w:tc>
          <w:tcPr>
            <w:tcW w:w="2425" w:type="dxa"/>
          </w:tcPr>
          <w:p w14:paraId="1DF8D993" w14:textId="77777777" w:rsidR="0053763D" w:rsidRPr="00F10C37" w:rsidRDefault="0053763D" w:rsidP="00C46407">
            <w:pPr>
              <w:jc w:val="both"/>
              <w:rPr>
                <w:rFonts w:cs="Times New Roman"/>
                <w:szCs w:val="24"/>
              </w:rPr>
            </w:pPr>
            <w:r w:rsidRPr="00F10C37">
              <w:rPr>
                <w:rFonts w:cs="Times New Roman"/>
                <w:szCs w:val="24"/>
              </w:rPr>
              <w:t>Cautions</w:t>
            </w:r>
          </w:p>
        </w:tc>
        <w:tc>
          <w:tcPr>
            <w:tcW w:w="6930" w:type="dxa"/>
            <w:gridSpan w:val="3"/>
          </w:tcPr>
          <w:p w14:paraId="6EBFA0E2" w14:textId="77777777" w:rsidR="0053763D" w:rsidRPr="00F10C37" w:rsidRDefault="0053763D" w:rsidP="00C46407">
            <w:pPr>
              <w:jc w:val="both"/>
              <w:rPr>
                <w:rFonts w:cs="Times New Roman"/>
                <w:szCs w:val="24"/>
              </w:rPr>
            </w:pPr>
            <w:r w:rsidRPr="00F10C37">
              <w:rPr>
                <w:rFonts w:cs="Times New Roman"/>
                <w:szCs w:val="24"/>
              </w:rPr>
              <w:t>Close-angle glaucoma, hepatic impairment, renal impairment, athletes (positive reaction in doping tests)</w:t>
            </w:r>
            <w:r>
              <w:rPr>
                <w:rFonts w:cs="Times New Roman"/>
                <w:szCs w:val="24"/>
              </w:rPr>
              <w:t>,</w:t>
            </w:r>
            <w:r w:rsidRPr="00F10C37">
              <w:rPr>
                <w:rFonts w:cs="Times New Roman"/>
                <w:szCs w:val="24"/>
              </w:rPr>
              <w:t xml:space="preserve"> pregnancy</w:t>
            </w:r>
            <w:r>
              <w:rPr>
                <w:rFonts w:cs="Times New Roman"/>
                <w:szCs w:val="24"/>
              </w:rPr>
              <w:t xml:space="preserve">, </w:t>
            </w:r>
            <w:r w:rsidRPr="00F10C37">
              <w:rPr>
                <w:rFonts w:cs="Times New Roman"/>
                <w:szCs w:val="24"/>
              </w:rPr>
              <w:t>breastfeeding.</w:t>
            </w:r>
          </w:p>
        </w:tc>
      </w:tr>
      <w:tr w:rsidR="0053763D" w:rsidRPr="00F10C37" w14:paraId="7121AF0A" w14:textId="77777777" w:rsidTr="00C46407">
        <w:trPr>
          <w:trHeight w:val="125"/>
        </w:trPr>
        <w:tc>
          <w:tcPr>
            <w:tcW w:w="2425" w:type="dxa"/>
          </w:tcPr>
          <w:p w14:paraId="3DC486CA"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930" w:type="dxa"/>
            <w:gridSpan w:val="3"/>
          </w:tcPr>
          <w:p w14:paraId="3773D0E5" w14:textId="77777777" w:rsidR="0053763D" w:rsidRPr="00F10C37" w:rsidRDefault="0053763D" w:rsidP="00C46407">
            <w:pPr>
              <w:jc w:val="both"/>
              <w:rPr>
                <w:rFonts w:cs="Times New Roman"/>
                <w:szCs w:val="24"/>
              </w:rPr>
            </w:pPr>
            <w:r w:rsidRPr="00F10C37">
              <w:rPr>
                <w:rFonts w:cs="Times New Roman"/>
                <w:szCs w:val="24"/>
              </w:rPr>
              <w:t>Store</w:t>
            </w:r>
            <w:r>
              <w:rPr>
                <w:rFonts w:cs="Times New Roman"/>
                <w:szCs w:val="24"/>
              </w:rPr>
              <w:t xml:space="preserve"> 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w:t>
            </w:r>
            <w:r>
              <w:rPr>
                <w:rFonts w:cs="Times New Roman"/>
                <w:szCs w:val="24"/>
              </w:rPr>
              <w:t>.</w:t>
            </w:r>
          </w:p>
        </w:tc>
      </w:tr>
    </w:tbl>
    <w:p w14:paraId="34450845" w14:textId="77777777" w:rsidR="0053763D" w:rsidRPr="00F10C37" w:rsidRDefault="0053763D" w:rsidP="00910906">
      <w:pPr>
        <w:pStyle w:val="Heading2"/>
        <w:spacing w:before="240" w:after="240"/>
        <w:rPr>
          <w:i/>
        </w:rPr>
      </w:pPr>
      <w:bookmarkStart w:id="34" w:name="_Toc179490318"/>
      <w:r w:rsidRPr="00F10C37">
        <w:t>Medicine used for vascular shock</w:t>
      </w:r>
      <w:bookmarkEnd w:id="34"/>
    </w:p>
    <w:p w14:paraId="575B1FCC" w14:textId="77777777" w:rsidR="0053763D" w:rsidRPr="00552CAF" w:rsidRDefault="0053763D" w:rsidP="0053763D">
      <w:pPr>
        <w:autoSpaceDE w:val="0"/>
        <w:autoSpaceDN w:val="0"/>
        <w:adjustRightInd w:val="0"/>
        <w:spacing w:after="0"/>
        <w:jc w:val="both"/>
        <w:rPr>
          <w:rFonts w:eastAsiaTheme="minorHAnsi" w:cs="Times New Roman"/>
          <w:color w:val="231F20"/>
          <w:kern w:val="0"/>
          <w:szCs w:val="24"/>
          <w:lang w:val="en-US" w:eastAsia="en-US"/>
        </w:rPr>
      </w:pPr>
      <w:r w:rsidRPr="00552CAF">
        <w:rPr>
          <w:rFonts w:eastAsiaTheme="minorHAnsi" w:cs="Times New Roman"/>
          <w:color w:val="231F20"/>
          <w:szCs w:val="24"/>
        </w:rPr>
        <w:t xml:space="preserve">Shock </w:t>
      </w:r>
      <w:r w:rsidRPr="003D3E3A">
        <w:rPr>
          <w:rFonts w:eastAsiaTheme="minorHAnsi" w:cs="Times New Roman"/>
          <w:color w:val="231F20"/>
          <w:szCs w:val="24"/>
        </w:rPr>
        <w:t xml:space="preserve">which is </w:t>
      </w:r>
      <w:r w:rsidRPr="00552CAF">
        <w:rPr>
          <w:rFonts w:eastAsiaTheme="minorHAnsi" w:cs="Times New Roman"/>
          <w:color w:val="231F20"/>
          <w:szCs w:val="24"/>
        </w:rPr>
        <w:t>failure of the circulatory system to maintain celluar perfusion and function</w:t>
      </w:r>
      <w:r w:rsidRPr="003D3E3A">
        <w:rPr>
          <w:rFonts w:eastAsiaTheme="minorHAnsi" w:cs="Times New Roman"/>
          <w:color w:val="231F20"/>
          <w:szCs w:val="24"/>
        </w:rPr>
        <w:t>, should be treated based on the cause</w:t>
      </w:r>
      <w:r w:rsidRPr="00552CAF">
        <w:rPr>
          <w:rFonts w:eastAsiaTheme="minorHAnsi" w:cs="Times New Roman"/>
          <w:color w:val="231F20"/>
          <w:szCs w:val="24"/>
        </w:rPr>
        <w:t xml:space="preserve">. The underlying causes of shock </w:t>
      </w:r>
      <w:r w:rsidRPr="003D3E3A">
        <w:rPr>
          <w:rFonts w:eastAsiaTheme="minorHAnsi" w:cs="Times New Roman"/>
          <w:color w:val="231F20"/>
          <w:szCs w:val="24"/>
        </w:rPr>
        <w:t>could be</w:t>
      </w:r>
      <w:r w:rsidRPr="00552CAF">
        <w:rPr>
          <w:rFonts w:eastAsiaTheme="minorHAnsi" w:cs="Times New Roman"/>
          <w:color w:val="231F20"/>
          <w:szCs w:val="24"/>
        </w:rPr>
        <w:t xml:space="preserve"> haemorrhage, sepsis, or myocardial insufficiency. The profound hypotension of shock must be treated promptly to prevent tissue hypoxia and organ failure. Volume replacement is essential to correct the hypovolaemia associated with haemorrhage and sepsis but may be detrimental in cardiogenic shock. Depending on haemodynamic status, cardiac output may be improved using of sympathomimetic inotropes such as adrenaline/epinephrine dobutamine or dopamine hydrochloride. In septic shock, when fluid replacement and inotropic support fail to maintain blood pressure, the vasoconstrictor noradrenaline/norepinephrine </w:t>
      </w:r>
      <w:r w:rsidRPr="00552CAF">
        <w:rPr>
          <w:rFonts w:eastAsiaTheme="minorHAnsi" w:cs="Times New Roman"/>
          <w:color w:val="231F20"/>
          <w:kern w:val="0"/>
          <w:szCs w:val="24"/>
          <w:lang w:val="en-US" w:eastAsia="en-US"/>
        </w:rPr>
        <w:t xml:space="preserve">may be considered. The use of sympathomimetic inotropes and vasoconstrictors should preferably be confined to the intensive care setting and undertaken with invasive hemodynamic monitoring. </w:t>
      </w:r>
    </w:p>
    <w:p w14:paraId="5DDFC20E" w14:textId="77777777" w:rsidR="0053763D" w:rsidRPr="00F10C37" w:rsidRDefault="0053763D" w:rsidP="0053763D">
      <w:pPr>
        <w:autoSpaceDE w:val="0"/>
        <w:autoSpaceDN w:val="0"/>
        <w:adjustRightInd w:val="0"/>
        <w:spacing w:after="0"/>
        <w:jc w:val="both"/>
        <w:rPr>
          <w:rFonts w:eastAsiaTheme="minorHAnsi" w:cs="Times New Roman"/>
          <w:color w:val="231F20"/>
          <w:kern w:val="0"/>
          <w:szCs w:val="24"/>
          <w:lang w:val="en-US" w:eastAsia="en-US"/>
        </w:rPr>
      </w:pPr>
    </w:p>
    <w:tbl>
      <w:tblPr>
        <w:tblStyle w:val="TableGrid10"/>
        <w:tblW w:w="9355" w:type="dxa"/>
        <w:tblLook w:val="04A0" w:firstRow="1" w:lastRow="0" w:firstColumn="1" w:lastColumn="0" w:noHBand="0" w:noVBand="1"/>
      </w:tblPr>
      <w:tblGrid>
        <w:gridCol w:w="2695"/>
        <w:gridCol w:w="414"/>
        <w:gridCol w:w="6246"/>
      </w:tblGrid>
      <w:tr w:rsidR="0053763D" w:rsidRPr="00F10C37" w14:paraId="4D0ECAC9" w14:textId="77777777" w:rsidTr="00C46407">
        <w:trPr>
          <w:trHeight w:val="512"/>
        </w:trPr>
        <w:tc>
          <w:tcPr>
            <w:tcW w:w="9355" w:type="dxa"/>
            <w:gridSpan w:val="3"/>
          </w:tcPr>
          <w:p w14:paraId="6C2470F8" w14:textId="77777777" w:rsidR="0053763D" w:rsidRPr="00F10C37" w:rsidRDefault="0053763D" w:rsidP="00C46407">
            <w:pPr>
              <w:jc w:val="both"/>
              <w:rPr>
                <w:rFonts w:cs="Times New Roman"/>
                <w:b/>
                <w:szCs w:val="24"/>
              </w:rPr>
            </w:pPr>
            <w:r w:rsidRPr="00F10C37">
              <w:rPr>
                <w:rFonts w:cs="Times New Roman"/>
                <w:b/>
                <w:color w:val="000000"/>
                <w:szCs w:val="24"/>
              </w:rPr>
              <w:t xml:space="preserve">Dobutamine </w:t>
            </w:r>
          </w:p>
        </w:tc>
      </w:tr>
      <w:tr w:rsidR="0053763D" w:rsidRPr="00F10C37" w14:paraId="43F2051D" w14:textId="77777777" w:rsidTr="00C46407">
        <w:trPr>
          <w:trHeight w:val="512"/>
        </w:trPr>
        <w:tc>
          <w:tcPr>
            <w:tcW w:w="2695" w:type="dxa"/>
          </w:tcPr>
          <w:p w14:paraId="4B86620D"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gridSpan w:val="2"/>
          </w:tcPr>
          <w:p w14:paraId="7D6C6F2D" w14:textId="77777777" w:rsidR="0053763D" w:rsidRPr="00F10C37" w:rsidRDefault="0053763D" w:rsidP="00C46407">
            <w:pPr>
              <w:jc w:val="both"/>
              <w:rPr>
                <w:rFonts w:cs="Times New Roman"/>
                <w:szCs w:val="24"/>
              </w:rPr>
            </w:pPr>
            <w:r>
              <w:rPr>
                <w:rFonts w:cs="Times New Roman"/>
                <w:szCs w:val="24"/>
              </w:rPr>
              <w:t>B</w:t>
            </w:r>
            <w:r w:rsidRPr="00F10C37">
              <w:rPr>
                <w:rFonts w:cs="Times New Roman"/>
                <w:szCs w:val="24"/>
              </w:rPr>
              <w:t xml:space="preserve">eta-1 receptor agonist. </w:t>
            </w:r>
          </w:p>
        </w:tc>
      </w:tr>
      <w:tr w:rsidR="0053763D" w:rsidRPr="00F10C37" w14:paraId="259F2396" w14:textId="77777777" w:rsidTr="00C46407">
        <w:trPr>
          <w:trHeight w:val="395"/>
        </w:trPr>
        <w:tc>
          <w:tcPr>
            <w:tcW w:w="2695" w:type="dxa"/>
          </w:tcPr>
          <w:p w14:paraId="36BAF570"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gridSpan w:val="2"/>
          </w:tcPr>
          <w:p w14:paraId="3D66A39A"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rPr>
              <w:t xml:space="preserve">Injection: </w:t>
            </w:r>
            <w:r>
              <w:rPr>
                <w:rFonts w:cs="Times New Roman"/>
                <w:szCs w:val="24"/>
              </w:rPr>
              <w:t xml:space="preserve">5mg/ml, </w:t>
            </w:r>
            <w:r w:rsidRPr="00F10C37">
              <w:rPr>
                <w:rFonts w:cs="Times New Roman"/>
                <w:szCs w:val="24"/>
              </w:rPr>
              <w:t>12.5 mg/m</w:t>
            </w:r>
            <w:r>
              <w:rPr>
                <w:rFonts w:cs="Times New Roman"/>
                <w:szCs w:val="24"/>
              </w:rPr>
              <w:t>l</w:t>
            </w:r>
            <w:r w:rsidRPr="00F10C37">
              <w:rPr>
                <w:rFonts w:cs="Times New Roman"/>
                <w:szCs w:val="24"/>
              </w:rPr>
              <w:t xml:space="preserve"> </w:t>
            </w:r>
          </w:p>
        </w:tc>
      </w:tr>
      <w:tr w:rsidR="0053763D" w:rsidRPr="00F10C37" w14:paraId="6FEBF847" w14:textId="77777777" w:rsidTr="00C46407">
        <w:trPr>
          <w:trHeight w:val="521"/>
        </w:trPr>
        <w:tc>
          <w:tcPr>
            <w:tcW w:w="2695" w:type="dxa"/>
          </w:tcPr>
          <w:p w14:paraId="652506C2" w14:textId="77777777" w:rsidR="0053763D" w:rsidRPr="006E464B" w:rsidRDefault="0053763D" w:rsidP="00C46407">
            <w:pPr>
              <w:jc w:val="both"/>
              <w:rPr>
                <w:rFonts w:cs="Times New Roman"/>
                <w:szCs w:val="24"/>
              </w:rPr>
            </w:pPr>
            <w:r w:rsidRPr="006E464B">
              <w:rPr>
                <w:rFonts w:cs="Times New Roman"/>
                <w:szCs w:val="24"/>
              </w:rPr>
              <w:lastRenderedPageBreak/>
              <w:t>Indications</w:t>
            </w:r>
          </w:p>
        </w:tc>
        <w:tc>
          <w:tcPr>
            <w:tcW w:w="6660" w:type="dxa"/>
            <w:gridSpan w:val="2"/>
          </w:tcPr>
          <w:p w14:paraId="58813570" w14:textId="77777777" w:rsidR="0053763D" w:rsidRPr="00F10C37" w:rsidRDefault="0053763D" w:rsidP="00C46407">
            <w:pPr>
              <w:jc w:val="both"/>
              <w:rPr>
                <w:rFonts w:cs="Times New Roman"/>
                <w:szCs w:val="24"/>
              </w:rPr>
            </w:pPr>
            <w:r w:rsidRPr="00F10C37">
              <w:rPr>
                <w:rFonts w:cs="Times New Roman"/>
                <w:szCs w:val="24"/>
              </w:rPr>
              <w:t>Cardiogenic shock, septic shock, acute hypotension</w:t>
            </w:r>
            <w:r>
              <w:rPr>
                <w:rFonts w:cs="Times New Roman"/>
                <w:szCs w:val="24"/>
              </w:rPr>
              <w:t>.</w:t>
            </w:r>
            <w:r w:rsidRPr="00F10C37">
              <w:rPr>
                <w:rFonts w:cs="Times New Roman"/>
                <w:szCs w:val="24"/>
              </w:rPr>
              <w:t xml:space="preserve"> </w:t>
            </w:r>
          </w:p>
        </w:tc>
      </w:tr>
      <w:tr w:rsidR="0053763D" w:rsidRPr="00F10C37" w14:paraId="3FF1B295" w14:textId="77777777" w:rsidTr="00C46407">
        <w:trPr>
          <w:trHeight w:val="521"/>
        </w:trPr>
        <w:tc>
          <w:tcPr>
            <w:tcW w:w="2695" w:type="dxa"/>
          </w:tcPr>
          <w:p w14:paraId="4AA0BFE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660" w:type="dxa"/>
            <w:gridSpan w:val="2"/>
          </w:tcPr>
          <w:p w14:paraId="13EE70A9" w14:textId="77777777" w:rsidR="0053763D" w:rsidRDefault="0053763D" w:rsidP="00C46407">
            <w:pPr>
              <w:jc w:val="both"/>
              <w:rPr>
                <w:rFonts w:cs="Times New Roman"/>
                <w:b/>
                <w:szCs w:val="24"/>
              </w:rPr>
            </w:pPr>
            <w:r w:rsidRPr="00F10C37">
              <w:rPr>
                <w:rFonts w:cs="Times New Roman"/>
                <w:b/>
                <w:szCs w:val="24"/>
              </w:rPr>
              <w:t>Inotropic support in infarction, cardiac surgery, cardiomyopathies, septic shock, cardiogenic shock, and during positive end expiratory pressure ventilation</w:t>
            </w:r>
            <w:r w:rsidRPr="006E464B">
              <w:rPr>
                <w:rFonts w:cs="Times New Roman"/>
                <w:b/>
                <w:szCs w:val="24"/>
              </w:rPr>
              <w:t xml:space="preserve">, </w:t>
            </w:r>
            <w:r w:rsidRPr="00F11F9E">
              <w:rPr>
                <w:rFonts w:cs="Times New Roman"/>
                <w:szCs w:val="24"/>
              </w:rPr>
              <w:t>IV infusion:</w:t>
            </w:r>
          </w:p>
          <w:p w14:paraId="3D64CD46" w14:textId="77777777" w:rsidR="0053763D" w:rsidRDefault="0053763D" w:rsidP="00C46407">
            <w:pPr>
              <w:jc w:val="both"/>
              <w:rPr>
                <w:rFonts w:cs="Times New Roman"/>
                <w:szCs w:val="24"/>
              </w:rPr>
            </w:pPr>
            <w:r w:rsidRPr="003D3E3A">
              <w:rPr>
                <w:rFonts w:cs="Times New Roman"/>
                <w:b/>
                <w:szCs w:val="24"/>
              </w:rPr>
              <w:t xml:space="preserve">Adult: </w:t>
            </w:r>
            <w:r w:rsidRPr="00F10C37">
              <w:rPr>
                <w:rFonts w:cs="Times New Roman"/>
                <w:szCs w:val="24"/>
              </w:rPr>
              <w:t xml:space="preserve">Usual dose 2.5–10 mcg/kg/minute, adjusted according to response, alternatively 0.5–40 mcg/kg/minute. </w:t>
            </w:r>
          </w:p>
          <w:p w14:paraId="5F23D403" w14:textId="77777777" w:rsidR="0053763D" w:rsidRDefault="0053763D" w:rsidP="00C46407">
            <w:pPr>
              <w:jc w:val="both"/>
              <w:rPr>
                <w:rFonts w:cs="Times New Roman"/>
                <w:szCs w:val="24"/>
              </w:rPr>
            </w:pPr>
            <w:r w:rsidRPr="00F10C37">
              <w:rPr>
                <w:rFonts w:cs="Times New Roman"/>
                <w:b/>
                <w:bCs/>
                <w:szCs w:val="24"/>
              </w:rPr>
              <w:t xml:space="preserve">Neonate: </w:t>
            </w:r>
            <w:r w:rsidRPr="00F10C37">
              <w:rPr>
                <w:rFonts w:cs="Times New Roman"/>
                <w:szCs w:val="24"/>
              </w:rPr>
              <w:t>Initially 5 m</w:t>
            </w:r>
            <w:r>
              <w:rPr>
                <w:rFonts w:cs="Times New Roman"/>
                <w:szCs w:val="24"/>
              </w:rPr>
              <w:t>cg</w:t>
            </w:r>
            <w:r w:rsidRPr="00F10C37">
              <w:rPr>
                <w:rFonts w:cs="Times New Roman"/>
                <w:szCs w:val="24"/>
              </w:rPr>
              <w:t>/kg/min, then adjusted according to response to 2–20 mcg/ kg/min; doses as low as 0.5–1 mcg/kg/min have been used</w:t>
            </w:r>
            <w:r>
              <w:rPr>
                <w:rFonts w:cs="Times New Roman"/>
                <w:szCs w:val="24"/>
              </w:rPr>
              <w:t>.</w:t>
            </w:r>
          </w:p>
          <w:p w14:paraId="7C897245" w14:textId="77777777" w:rsidR="0053763D" w:rsidRPr="00F10C37" w:rsidRDefault="0053763D" w:rsidP="00C46407">
            <w:pPr>
              <w:jc w:val="both"/>
              <w:rPr>
                <w:rFonts w:cs="Times New Roman"/>
                <w:szCs w:val="24"/>
              </w:rPr>
            </w:pPr>
            <w:r w:rsidRPr="00F10C37">
              <w:rPr>
                <w:rFonts w:cs="Times New Roman"/>
                <w:b/>
                <w:bCs/>
                <w:szCs w:val="24"/>
              </w:rPr>
              <w:t xml:space="preserve">Child: </w:t>
            </w:r>
            <w:r w:rsidRPr="00F10C37">
              <w:rPr>
                <w:rFonts w:cs="Times New Roman"/>
                <w:szCs w:val="24"/>
              </w:rPr>
              <w:t>Initially 5 mcg/kg/min, then adjusted according to response to 2–20 mcg/kg/min; doses as low as 0.5–1 mcg/kg/min have been used</w:t>
            </w:r>
            <w:r>
              <w:rPr>
                <w:rFonts w:cs="Times New Roman"/>
                <w:szCs w:val="24"/>
              </w:rPr>
              <w:t>.</w:t>
            </w:r>
          </w:p>
        </w:tc>
      </w:tr>
      <w:tr w:rsidR="0053763D" w:rsidRPr="00F10C37" w14:paraId="649BEC18" w14:textId="77777777" w:rsidTr="00C46407">
        <w:tc>
          <w:tcPr>
            <w:tcW w:w="2695" w:type="dxa"/>
          </w:tcPr>
          <w:p w14:paraId="365CDF29"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660" w:type="dxa"/>
            <w:gridSpan w:val="2"/>
          </w:tcPr>
          <w:p w14:paraId="23EA0A5A"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w:t>
            </w:r>
            <w:r>
              <w:rPr>
                <w:rFonts w:cs="Times New Roman"/>
                <w:szCs w:val="24"/>
              </w:rPr>
              <w:t>the drug, p</w:t>
            </w:r>
            <w:r w:rsidRPr="00F10C37">
              <w:rPr>
                <w:rFonts w:cs="Times New Roman"/>
                <w:szCs w:val="24"/>
              </w:rPr>
              <w:t>heochromocytoma</w:t>
            </w:r>
            <w:r>
              <w:rPr>
                <w:rFonts w:cs="Times New Roman"/>
                <w:szCs w:val="24"/>
              </w:rPr>
              <w:t>.</w:t>
            </w:r>
          </w:p>
        </w:tc>
      </w:tr>
      <w:tr w:rsidR="0053763D" w:rsidRPr="00F10C37" w14:paraId="48D31C9E" w14:textId="77777777" w:rsidTr="00C46407">
        <w:tc>
          <w:tcPr>
            <w:tcW w:w="2695" w:type="dxa"/>
          </w:tcPr>
          <w:p w14:paraId="4CBD46E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gridSpan w:val="2"/>
          </w:tcPr>
          <w:p w14:paraId="14562B98" w14:textId="77777777" w:rsidR="0053763D" w:rsidRPr="00F10C37" w:rsidRDefault="0053763D" w:rsidP="00C46407">
            <w:pPr>
              <w:jc w:val="both"/>
              <w:rPr>
                <w:rFonts w:cs="Times New Roman"/>
                <w:szCs w:val="24"/>
              </w:rPr>
            </w:pPr>
            <w:r w:rsidRPr="00F10C37">
              <w:rPr>
                <w:rFonts w:cs="Times New Roman"/>
                <w:szCs w:val="24"/>
              </w:rPr>
              <w:t>Beta-blockers, linezolid, chlorpromazine, ergometrine,</w:t>
            </w:r>
            <w:r>
              <w:rPr>
                <w:rFonts w:cs="Times New Roman"/>
                <w:szCs w:val="24"/>
              </w:rPr>
              <w:t xml:space="preserve"> </w:t>
            </w:r>
            <w:r w:rsidRPr="00F10C37">
              <w:rPr>
                <w:rFonts w:cs="Times New Roman"/>
                <w:szCs w:val="24"/>
              </w:rPr>
              <w:t>fluphenazine, haloperidol, cyclopropane</w:t>
            </w:r>
            <w:r>
              <w:rPr>
                <w:rFonts w:cs="Times New Roman"/>
                <w:szCs w:val="24"/>
              </w:rPr>
              <w:t xml:space="preserve">, </w:t>
            </w:r>
            <w:r w:rsidRPr="00F10C37">
              <w:rPr>
                <w:rFonts w:cs="Times New Roman"/>
                <w:szCs w:val="24"/>
              </w:rPr>
              <w:t>halogenated hydrocarbon anesthetics.</w:t>
            </w:r>
          </w:p>
        </w:tc>
      </w:tr>
      <w:tr w:rsidR="0053763D" w:rsidRPr="00F10C37" w14:paraId="34B603FC" w14:textId="77777777" w:rsidTr="00C46407">
        <w:tc>
          <w:tcPr>
            <w:tcW w:w="2695" w:type="dxa"/>
          </w:tcPr>
          <w:p w14:paraId="65FDAE4A"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gridSpan w:val="2"/>
          </w:tcPr>
          <w:p w14:paraId="5014455E" w14:textId="77777777" w:rsidR="0053763D" w:rsidRPr="00F10C37" w:rsidRDefault="0053763D" w:rsidP="00C46407">
            <w:pPr>
              <w:contextualSpacing/>
              <w:jc w:val="both"/>
              <w:rPr>
                <w:rFonts w:cs="Times New Roman"/>
                <w:szCs w:val="24"/>
              </w:rPr>
            </w:pPr>
            <w:r w:rsidRPr="00F10C37">
              <w:rPr>
                <w:rFonts w:cs="Times New Roman"/>
                <w:szCs w:val="24"/>
              </w:rPr>
              <w:t xml:space="preserve">Arrhythmias, bronchospasm, chest pain, dyspnea, eosinophilia, fever. headache, </w:t>
            </w:r>
            <w:r>
              <w:rPr>
                <w:rFonts w:cs="Times New Roman"/>
                <w:szCs w:val="24"/>
              </w:rPr>
              <w:t xml:space="preserve">localized </w:t>
            </w:r>
            <w:r w:rsidRPr="00F10C37">
              <w:rPr>
                <w:rFonts w:cs="Times New Roman"/>
                <w:szCs w:val="24"/>
              </w:rPr>
              <w:t>inflammation, ischemic heart disease, nausea, palpitations, platelet aggregation inhibition, skin reactions, urinary urgency, vasoconstriction, MI.</w:t>
            </w:r>
          </w:p>
        </w:tc>
      </w:tr>
      <w:tr w:rsidR="0053763D" w:rsidRPr="00F10C37" w14:paraId="3EF470A7" w14:textId="77777777" w:rsidTr="00C46407">
        <w:tc>
          <w:tcPr>
            <w:tcW w:w="2695" w:type="dxa"/>
          </w:tcPr>
          <w:p w14:paraId="45C3B669" w14:textId="77777777" w:rsidR="0053763D" w:rsidRPr="00F10C37" w:rsidRDefault="0053763D" w:rsidP="00C46407">
            <w:pPr>
              <w:jc w:val="both"/>
              <w:rPr>
                <w:rFonts w:cs="Times New Roman"/>
                <w:szCs w:val="24"/>
              </w:rPr>
            </w:pPr>
            <w:r w:rsidRPr="00F10C37">
              <w:rPr>
                <w:rFonts w:cs="Times New Roman"/>
                <w:szCs w:val="24"/>
              </w:rPr>
              <w:t>Cautions</w:t>
            </w:r>
          </w:p>
        </w:tc>
        <w:tc>
          <w:tcPr>
            <w:tcW w:w="6660" w:type="dxa"/>
            <w:gridSpan w:val="2"/>
          </w:tcPr>
          <w:p w14:paraId="0039A826" w14:textId="77777777" w:rsidR="0053763D" w:rsidRPr="00F10C37" w:rsidRDefault="0053763D" w:rsidP="00C46407">
            <w:pPr>
              <w:jc w:val="both"/>
              <w:rPr>
                <w:rFonts w:cs="Times New Roman"/>
                <w:szCs w:val="24"/>
              </w:rPr>
            </w:pPr>
            <w:r w:rsidRPr="00F10C37">
              <w:rPr>
                <w:rFonts w:cs="Times New Roman"/>
                <w:szCs w:val="24"/>
              </w:rPr>
              <w:t>Acute heart failure, acute MI, arrhythmias, hypovolemia, hypoxia, metabolic acidosis</w:t>
            </w:r>
            <w:r>
              <w:rPr>
                <w:rFonts w:cs="Times New Roman"/>
                <w:szCs w:val="24"/>
              </w:rPr>
              <w:t>,</w:t>
            </w:r>
            <w:r w:rsidRPr="00F10C37">
              <w:rPr>
                <w:rFonts w:cs="Times New Roman"/>
                <w:szCs w:val="24"/>
              </w:rPr>
              <w:t xml:space="preserve"> diabetes mellitus, elderly, marked obstruction of cardiac ejection, hyperthyroidism, ischemic heart disease, occlusive, vascular disease, severe hypotension, susceptibility to angle-closure glaucoma, tachycardia.</w:t>
            </w:r>
          </w:p>
        </w:tc>
      </w:tr>
      <w:tr w:rsidR="0053763D" w:rsidRPr="00F10C37" w14:paraId="0F3D9E4E" w14:textId="77777777" w:rsidTr="00C46407">
        <w:tc>
          <w:tcPr>
            <w:tcW w:w="2695" w:type="dxa"/>
          </w:tcPr>
          <w:p w14:paraId="42928F0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gridSpan w:val="2"/>
          </w:tcPr>
          <w:p w14:paraId="0B852DE0" w14:textId="77777777" w:rsidR="0053763D" w:rsidRPr="00F10C37" w:rsidRDefault="0053763D" w:rsidP="00C46407">
            <w:pPr>
              <w:jc w:val="both"/>
              <w:rPr>
                <w:rFonts w:cs="Times New Roman"/>
                <w:szCs w:val="24"/>
              </w:rPr>
            </w:pPr>
            <w:r w:rsidRPr="00F10C37">
              <w:rPr>
                <w:rFonts w:cs="Times New Roman"/>
                <w:szCs w:val="24"/>
              </w:rPr>
              <w:t>Store between 15 and 30 °C. Protect from light.</w:t>
            </w:r>
          </w:p>
        </w:tc>
      </w:tr>
      <w:tr w:rsidR="0053763D" w:rsidRPr="00F10C37" w14:paraId="680BEA61" w14:textId="77777777" w:rsidTr="00C46407">
        <w:trPr>
          <w:trHeight w:val="512"/>
        </w:trPr>
        <w:tc>
          <w:tcPr>
            <w:tcW w:w="9355" w:type="dxa"/>
            <w:gridSpan w:val="3"/>
          </w:tcPr>
          <w:p w14:paraId="49EEC517" w14:textId="77777777" w:rsidR="0053763D" w:rsidRPr="00F10C37" w:rsidRDefault="0053763D" w:rsidP="00C46407">
            <w:pPr>
              <w:jc w:val="both"/>
              <w:rPr>
                <w:rFonts w:cs="Times New Roman"/>
                <w:b/>
                <w:szCs w:val="24"/>
              </w:rPr>
            </w:pPr>
            <w:r w:rsidRPr="00F10C37">
              <w:rPr>
                <w:rFonts w:cs="Times New Roman"/>
                <w:b/>
                <w:color w:val="000000"/>
                <w:szCs w:val="24"/>
              </w:rPr>
              <w:t xml:space="preserve">Dopamine </w:t>
            </w:r>
            <w:r>
              <w:rPr>
                <w:rFonts w:cs="Times New Roman"/>
                <w:b/>
                <w:color w:val="000000"/>
                <w:szCs w:val="24"/>
              </w:rPr>
              <w:t>h</w:t>
            </w:r>
            <w:r w:rsidRPr="00F10C37">
              <w:rPr>
                <w:rFonts w:cs="Times New Roman"/>
                <w:b/>
                <w:color w:val="000000"/>
                <w:szCs w:val="24"/>
              </w:rPr>
              <w:t>ydrochloride</w:t>
            </w:r>
            <w:r w:rsidRPr="00F10C37">
              <w:rPr>
                <w:rFonts w:cs="Times New Roman"/>
                <w:b/>
                <w:color w:val="000000"/>
                <w:szCs w:val="24"/>
              </w:rPr>
              <w:fldChar w:fldCharType="begin"/>
            </w:r>
            <w:r w:rsidRPr="00F10C37">
              <w:rPr>
                <w:rFonts w:cs="Times New Roman"/>
                <w:b/>
                <w:szCs w:val="24"/>
              </w:rPr>
              <w:instrText xml:space="preserve"> XE "</w:instrText>
            </w:r>
            <w:r w:rsidRPr="00F10C37">
              <w:rPr>
                <w:rFonts w:cs="Times New Roman"/>
                <w:b/>
                <w:color w:val="000000"/>
                <w:szCs w:val="24"/>
              </w:rPr>
              <w:instrText>Dopamine Hydrochloride</w:instrText>
            </w:r>
            <w:r w:rsidRPr="00F10C37">
              <w:rPr>
                <w:rFonts w:cs="Times New Roman"/>
                <w:b/>
                <w:szCs w:val="24"/>
              </w:rPr>
              <w:instrText xml:space="preserve">" </w:instrText>
            </w:r>
            <w:r w:rsidRPr="00F10C37">
              <w:rPr>
                <w:rFonts w:cs="Times New Roman"/>
                <w:b/>
                <w:color w:val="000000"/>
                <w:szCs w:val="24"/>
              </w:rPr>
              <w:fldChar w:fldCharType="end"/>
            </w:r>
          </w:p>
        </w:tc>
      </w:tr>
      <w:tr w:rsidR="0053763D" w:rsidRPr="00F10C37" w14:paraId="0FE4C144" w14:textId="77777777" w:rsidTr="00C46407">
        <w:trPr>
          <w:trHeight w:val="512"/>
        </w:trPr>
        <w:tc>
          <w:tcPr>
            <w:tcW w:w="2695" w:type="dxa"/>
          </w:tcPr>
          <w:p w14:paraId="2C2B821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gridSpan w:val="2"/>
          </w:tcPr>
          <w:p w14:paraId="1C29EFE4" w14:textId="77777777" w:rsidR="0053763D" w:rsidRPr="00F10C37" w:rsidRDefault="0053763D" w:rsidP="00C46407">
            <w:pPr>
              <w:jc w:val="both"/>
              <w:rPr>
                <w:rFonts w:cs="Times New Roman"/>
                <w:szCs w:val="24"/>
              </w:rPr>
            </w:pPr>
            <w:r w:rsidRPr="00F10C37">
              <w:rPr>
                <w:rFonts w:cs="Times New Roman"/>
                <w:szCs w:val="24"/>
              </w:rPr>
              <w:t>Sympathomimetic inotrope</w:t>
            </w:r>
          </w:p>
        </w:tc>
      </w:tr>
      <w:tr w:rsidR="0053763D" w:rsidRPr="00F10C37" w14:paraId="59F25D50" w14:textId="77777777" w:rsidTr="00C46407">
        <w:trPr>
          <w:trHeight w:val="395"/>
        </w:trPr>
        <w:tc>
          <w:tcPr>
            <w:tcW w:w="2695" w:type="dxa"/>
          </w:tcPr>
          <w:p w14:paraId="55D71376"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gridSpan w:val="2"/>
          </w:tcPr>
          <w:p w14:paraId="371273D4"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color w:val="000000"/>
                <w:szCs w:val="24"/>
              </w:rPr>
              <w:t>Injection: 40mg/</w:t>
            </w:r>
            <w:r>
              <w:rPr>
                <w:rFonts w:cs="Times New Roman"/>
                <w:color w:val="000000"/>
                <w:szCs w:val="24"/>
              </w:rPr>
              <w:t>ml</w:t>
            </w:r>
            <w:r w:rsidRPr="00F10C37">
              <w:rPr>
                <w:rFonts w:cs="Times New Roman"/>
                <w:color w:val="000000"/>
                <w:szCs w:val="24"/>
              </w:rPr>
              <w:t xml:space="preserve"> </w:t>
            </w:r>
          </w:p>
        </w:tc>
      </w:tr>
      <w:tr w:rsidR="0053763D" w:rsidRPr="00F10C37" w14:paraId="370199C3" w14:textId="77777777" w:rsidTr="00C46407">
        <w:trPr>
          <w:trHeight w:val="521"/>
        </w:trPr>
        <w:tc>
          <w:tcPr>
            <w:tcW w:w="2695" w:type="dxa"/>
          </w:tcPr>
          <w:p w14:paraId="41F2A2F9" w14:textId="77777777" w:rsidR="0053763D" w:rsidRPr="00A66DE2" w:rsidRDefault="0053763D" w:rsidP="00C46407">
            <w:pPr>
              <w:jc w:val="both"/>
              <w:rPr>
                <w:rFonts w:cs="Times New Roman"/>
                <w:szCs w:val="24"/>
              </w:rPr>
            </w:pPr>
            <w:r w:rsidRPr="00A66DE2">
              <w:rPr>
                <w:rFonts w:cs="Times New Roman"/>
                <w:szCs w:val="24"/>
              </w:rPr>
              <w:t>Indications</w:t>
            </w:r>
          </w:p>
        </w:tc>
        <w:tc>
          <w:tcPr>
            <w:tcW w:w="6660" w:type="dxa"/>
            <w:gridSpan w:val="2"/>
          </w:tcPr>
          <w:p w14:paraId="14630D4A" w14:textId="77777777" w:rsidR="0053763D" w:rsidRPr="00F10C37" w:rsidRDefault="0053763D" w:rsidP="00C46407">
            <w:pPr>
              <w:jc w:val="both"/>
              <w:rPr>
                <w:rFonts w:cs="Times New Roman"/>
                <w:szCs w:val="24"/>
              </w:rPr>
            </w:pPr>
            <w:r w:rsidRPr="00F10C37">
              <w:rPr>
                <w:rFonts w:cs="Times New Roman"/>
                <w:szCs w:val="24"/>
              </w:rPr>
              <w:t>Cardiogenic shock including in MI and cardiac surgery</w:t>
            </w:r>
          </w:p>
        </w:tc>
      </w:tr>
      <w:tr w:rsidR="0053763D" w:rsidRPr="00F10C37" w14:paraId="69E84FF5" w14:textId="77777777" w:rsidTr="00C46407">
        <w:trPr>
          <w:trHeight w:val="521"/>
        </w:trPr>
        <w:tc>
          <w:tcPr>
            <w:tcW w:w="2695" w:type="dxa"/>
          </w:tcPr>
          <w:p w14:paraId="5374AB6D" w14:textId="77777777" w:rsidR="0053763D" w:rsidRPr="00F10C37" w:rsidRDefault="0053763D" w:rsidP="00C46407">
            <w:pPr>
              <w:jc w:val="both"/>
              <w:rPr>
                <w:rFonts w:cs="Times New Roman"/>
                <w:szCs w:val="24"/>
              </w:rPr>
            </w:pPr>
            <w:r w:rsidRPr="00F10C37">
              <w:rPr>
                <w:rFonts w:eastAsia="Times New Roman" w:cs="Times New Roman"/>
                <w:szCs w:val="24"/>
              </w:rPr>
              <w:lastRenderedPageBreak/>
              <w:t>Dose and administration</w:t>
            </w:r>
          </w:p>
        </w:tc>
        <w:tc>
          <w:tcPr>
            <w:tcW w:w="6660" w:type="dxa"/>
            <w:gridSpan w:val="2"/>
          </w:tcPr>
          <w:p w14:paraId="3DE1496B" w14:textId="77777777" w:rsidR="0053763D" w:rsidRDefault="0053763D" w:rsidP="00C46407">
            <w:pPr>
              <w:jc w:val="both"/>
              <w:rPr>
                <w:rFonts w:cs="Times New Roman"/>
                <w:b/>
                <w:iCs/>
                <w:szCs w:val="24"/>
              </w:rPr>
            </w:pPr>
            <w:r w:rsidRPr="003D3E3A">
              <w:rPr>
                <w:rFonts w:cs="Times New Roman"/>
                <w:b/>
                <w:iCs/>
                <w:szCs w:val="24"/>
              </w:rPr>
              <w:t>Cardiogenic shock</w:t>
            </w:r>
            <w:r>
              <w:rPr>
                <w:rFonts w:cs="Times New Roman"/>
                <w:b/>
                <w:iCs/>
                <w:szCs w:val="24"/>
              </w:rPr>
              <w:t xml:space="preserve">, </w:t>
            </w:r>
            <w:r w:rsidRPr="00F11F9E">
              <w:rPr>
                <w:rFonts w:cs="Times New Roman"/>
                <w:iCs/>
                <w:szCs w:val="24"/>
              </w:rPr>
              <w:t>IV infusion:</w:t>
            </w:r>
          </w:p>
          <w:p w14:paraId="06CA5907" w14:textId="77777777" w:rsidR="0053763D" w:rsidRPr="00F10C37" w:rsidRDefault="0053763D" w:rsidP="00C46407">
            <w:pPr>
              <w:jc w:val="both"/>
              <w:rPr>
                <w:rFonts w:cs="Times New Roman"/>
                <w:szCs w:val="24"/>
              </w:rPr>
            </w:pPr>
            <w:r w:rsidRPr="00F10C37">
              <w:rPr>
                <w:rFonts w:cs="Times New Roman"/>
                <w:b/>
                <w:iCs/>
                <w:szCs w:val="24"/>
              </w:rPr>
              <w:t>Adult:</w:t>
            </w:r>
            <w:r>
              <w:rPr>
                <w:rFonts w:cs="Times New Roman"/>
                <w:b/>
                <w:iCs/>
                <w:szCs w:val="24"/>
              </w:rPr>
              <w:t xml:space="preserve"> </w:t>
            </w:r>
            <w:r w:rsidRPr="00F10C37">
              <w:rPr>
                <w:rFonts w:cs="Times New Roman"/>
                <w:szCs w:val="24"/>
              </w:rPr>
              <w:t xml:space="preserve">Initially 2–5 </w:t>
            </w:r>
            <w:r>
              <w:rPr>
                <w:rFonts w:cs="Times New Roman"/>
                <w:szCs w:val="24"/>
              </w:rPr>
              <w:t>mcg</w:t>
            </w:r>
            <w:r w:rsidRPr="00F10C37">
              <w:rPr>
                <w:rFonts w:cs="Times New Roman"/>
                <w:szCs w:val="24"/>
              </w:rPr>
              <w:t xml:space="preserve">/kg/min, gradually increased by 5–10 </w:t>
            </w:r>
            <w:r>
              <w:rPr>
                <w:rFonts w:cs="Times New Roman"/>
                <w:szCs w:val="24"/>
              </w:rPr>
              <w:t>mcg</w:t>
            </w:r>
            <w:r w:rsidRPr="00F10C37">
              <w:rPr>
                <w:rFonts w:cs="Times New Roman"/>
                <w:szCs w:val="24"/>
              </w:rPr>
              <w:t xml:space="preserve">/kg/min according to blood pressure, cardiac output, and urine output (seriously ill patients, up to 20–50 </w:t>
            </w:r>
            <w:r>
              <w:rPr>
                <w:rFonts w:cs="Times New Roman"/>
                <w:szCs w:val="24"/>
              </w:rPr>
              <w:t>mcg</w:t>
            </w:r>
            <w:r w:rsidRPr="00F10C37">
              <w:rPr>
                <w:rFonts w:cs="Times New Roman"/>
                <w:szCs w:val="24"/>
              </w:rPr>
              <w:t>/kg/min).</w:t>
            </w:r>
          </w:p>
          <w:p w14:paraId="1BC61C24" w14:textId="77777777" w:rsidR="0053763D" w:rsidRPr="00F11F9E" w:rsidRDefault="0053763D" w:rsidP="00C46407">
            <w:pPr>
              <w:jc w:val="both"/>
              <w:rPr>
                <w:rFonts w:cs="Times New Roman"/>
                <w:iCs/>
                <w:szCs w:val="24"/>
              </w:rPr>
            </w:pPr>
            <w:r w:rsidRPr="00F10C37">
              <w:rPr>
                <w:rFonts w:cs="Times New Roman"/>
                <w:b/>
                <w:iCs/>
                <w:szCs w:val="24"/>
              </w:rPr>
              <w:t>Correct hemodynamic imbalance due to acute hypotension, shock, cardiac failure</w:t>
            </w:r>
            <w:r w:rsidRPr="00F10C37">
              <w:rPr>
                <w:rFonts w:cs="Times New Roman"/>
                <w:iCs/>
                <w:szCs w:val="24"/>
              </w:rPr>
              <w:t xml:space="preserve">, </w:t>
            </w:r>
            <w:r w:rsidRPr="003D3E3A">
              <w:rPr>
                <w:rFonts w:cs="Times New Roman"/>
                <w:b/>
                <w:iCs/>
                <w:szCs w:val="24"/>
              </w:rPr>
              <w:t>adjunct following cardiac surgery</w:t>
            </w:r>
            <w:r w:rsidRPr="00F10C37">
              <w:rPr>
                <w:rFonts w:cs="Times New Roman"/>
                <w:iCs/>
                <w:szCs w:val="24"/>
              </w:rPr>
              <w:t xml:space="preserve">, </w:t>
            </w:r>
            <w:r w:rsidRPr="00F11F9E">
              <w:rPr>
                <w:rFonts w:cs="Times New Roman"/>
                <w:iCs/>
                <w:szCs w:val="24"/>
              </w:rPr>
              <w:t>IV infusion:</w:t>
            </w:r>
          </w:p>
          <w:p w14:paraId="1A324634" w14:textId="77777777" w:rsidR="0053763D" w:rsidRPr="00F10C37" w:rsidRDefault="0053763D" w:rsidP="00C46407">
            <w:pPr>
              <w:contextualSpacing/>
              <w:jc w:val="both"/>
              <w:rPr>
                <w:rFonts w:cs="Times New Roman"/>
                <w:iCs/>
                <w:szCs w:val="24"/>
              </w:rPr>
            </w:pPr>
            <w:r w:rsidRPr="00F10C37">
              <w:rPr>
                <w:rFonts w:cs="Times New Roman"/>
                <w:b/>
                <w:bCs/>
                <w:iCs/>
                <w:szCs w:val="24"/>
              </w:rPr>
              <w:t xml:space="preserve">Neonate: </w:t>
            </w:r>
            <w:r w:rsidRPr="00F10C37">
              <w:rPr>
                <w:rFonts w:cs="Times New Roman"/>
                <w:iCs/>
                <w:szCs w:val="24"/>
              </w:rPr>
              <w:t>Initially 3 mcg/kg/min (max. per dose 20 mcg/kg/min), adjusted according to response.</w:t>
            </w:r>
          </w:p>
          <w:p w14:paraId="15BC0A6A" w14:textId="77777777" w:rsidR="0053763D" w:rsidRPr="00F10C37" w:rsidRDefault="0053763D" w:rsidP="00C46407">
            <w:pPr>
              <w:contextualSpacing/>
              <w:jc w:val="both"/>
              <w:rPr>
                <w:rFonts w:eastAsiaTheme="minorHAnsi" w:cs="Times New Roman"/>
                <w:i/>
                <w:color w:val="231F20"/>
                <w:kern w:val="0"/>
                <w:szCs w:val="24"/>
                <w:lang w:val="en-US" w:eastAsia="en-US"/>
              </w:rPr>
            </w:pPr>
            <w:r w:rsidRPr="00F10C37">
              <w:rPr>
                <w:rFonts w:cs="Times New Roman"/>
                <w:b/>
                <w:bCs/>
                <w:iCs/>
                <w:szCs w:val="24"/>
              </w:rPr>
              <w:t xml:space="preserve">Child: </w:t>
            </w:r>
            <w:r w:rsidRPr="00F10C37">
              <w:rPr>
                <w:rFonts w:cs="Times New Roman"/>
                <w:iCs/>
                <w:szCs w:val="24"/>
              </w:rPr>
              <w:t>Initially 5 mcg/kg/min (max. per dose 20 mcg/kg/min), adjusted according to response.</w:t>
            </w:r>
          </w:p>
        </w:tc>
      </w:tr>
      <w:tr w:rsidR="0053763D" w:rsidRPr="00F10C37" w14:paraId="678B7468" w14:textId="77777777" w:rsidTr="00C46407">
        <w:tc>
          <w:tcPr>
            <w:tcW w:w="2695" w:type="dxa"/>
          </w:tcPr>
          <w:p w14:paraId="105066D6"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660" w:type="dxa"/>
            <w:gridSpan w:val="2"/>
          </w:tcPr>
          <w:p w14:paraId="7785EABE" w14:textId="77777777" w:rsidR="0053763D" w:rsidRPr="00F10C37" w:rsidRDefault="0053763D" w:rsidP="00C46407">
            <w:pPr>
              <w:jc w:val="both"/>
              <w:rPr>
                <w:rFonts w:cs="Times New Roman"/>
                <w:szCs w:val="24"/>
              </w:rPr>
            </w:pPr>
            <w:r w:rsidRPr="00F10C37">
              <w:rPr>
                <w:rFonts w:cs="Times New Roman"/>
                <w:szCs w:val="24"/>
              </w:rPr>
              <w:t xml:space="preserve">Tachyarrhythmia, ventricular fibrillation, ischemic heart disease, pheochromocytoma, hyperthyroidism, cyclopropane and halogenated hydrocarbon anaesthetics. </w:t>
            </w:r>
          </w:p>
        </w:tc>
      </w:tr>
      <w:tr w:rsidR="0053763D" w:rsidRPr="00F10C37" w14:paraId="70D9716E" w14:textId="77777777" w:rsidTr="00C46407">
        <w:tc>
          <w:tcPr>
            <w:tcW w:w="2695" w:type="dxa"/>
          </w:tcPr>
          <w:p w14:paraId="6BFD9D82"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gridSpan w:val="2"/>
          </w:tcPr>
          <w:p w14:paraId="7B907B5C" w14:textId="77777777" w:rsidR="0053763D" w:rsidRPr="00F10C37" w:rsidRDefault="0053763D" w:rsidP="00C46407">
            <w:pPr>
              <w:jc w:val="both"/>
              <w:rPr>
                <w:rFonts w:cs="Times New Roman"/>
                <w:szCs w:val="24"/>
              </w:rPr>
            </w:pPr>
            <w:r w:rsidRPr="00F10C37">
              <w:rPr>
                <w:rFonts w:cs="Times New Roman"/>
                <w:szCs w:val="24"/>
              </w:rPr>
              <w:t>Chlorpromazine, beta-blockers, ergometrine, entacapone, linezolid, MAO inhibitors, fluphenazine, haloperidol, cyclopropane and halogenated hydrocarbon anaesthetics.</w:t>
            </w:r>
          </w:p>
        </w:tc>
      </w:tr>
      <w:tr w:rsidR="0053763D" w:rsidRPr="00F10C37" w14:paraId="0E34CD06" w14:textId="77777777" w:rsidTr="00C46407">
        <w:tc>
          <w:tcPr>
            <w:tcW w:w="2695" w:type="dxa"/>
          </w:tcPr>
          <w:p w14:paraId="60E17049"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gridSpan w:val="2"/>
          </w:tcPr>
          <w:p w14:paraId="439D8CF1"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color w:val="231F20"/>
                <w:kern w:val="0"/>
                <w:szCs w:val="24"/>
                <w:lang w:val="en-US" w:eastAsia="en-US"/>
              </w:rPr>
              <w:t>Angina pectoris, anxiety, arrhythmias, azotemia, cardiac conduction disorder, dyspnea, gangrene, headache, hypertension, mydriasis, nausea, palpitations, piloerection, polyuria, tremor, vasoconstriction, vomiting</w:t>
            </w:r>
            <w:r>
              <w:rPr>
                <w:rFonts w:eastAsiaTheme="minorHAnsi" w:cs="Times New Roman"/>
                <w:color w:val="231F20"/>
                <w:kern w:val="0"/>
                <w:szCs w:val="24"/>
                <w:lang w:val="en-US" w:eastAsia="en-US"/>
              </w:rPr>
              <w:t>.</w:t>
            </w:r>
          </w:p>
        </w:tc>
      </w:tr>
      <w:tr w:rsidR="0053763D" w:rsidRPr="00F10C37" w14:paraId="3570DB52" w14:textId="77777777" w:rsidTr="00C46407">
        <w:tc>
          <w:tcPr>
            <w:tcW w:w="2695" w:type="dxa"/>
          </w:tcPr>
          <w:p w14:paraId="1AAA1FFF" w14:textId="77777777" w:rsidR="0053763D" w:rsidRPr="00F10C37" w:rsidRDefault="0053763D" w:rsidP="00C46407">
            <w:pPr>
              <w:jc w:val="both"/>
              <w:rPr>
                <w:rFonts w:cs="Times New Roman"/>
                <w:szCs w:val="24"/>
              </w:rPr>
            </w:pPr>
            <w:r w:rsidRPr="00F10C37">
              <w:rPr>
                <w:rFonts w:cs="Times New Roman"/>
                <w:szCs w:val="24"/>
              </w:rPr>
              <w:t>Cautions</w:t>
            </w:r>
          </w:p>
        </w:tc>
        <w:tc>
          <w:tcPr>
            <w:tcW w:w="6660" w:type="dxa"/>
            <w:gridSpan w:val="2"/>
          </w:tcPr>
          <w:p w14:paraId="0B9A31B0" w14:textId="77777777" w:rsidR="0053763D" w:rsidRPr="00F10C37" w:rsidRDefault="0053763D" w:rsidP="00C46407">
            <w:pPr>
              <w:jc w:val="both"/>
              <w:rPr>
                <w:rFonts w:cs="Times New Roman"/>
                <w:szCs w:val="24"/>
              </w:rPr>
            </w:pPr>
            <w:r w:rsidRPr="00F10C37">
              <w:rPr>
                <w:rFonts w:cs="Times New Roman"/>
                <w:szCs w:val="24"/>
              </w:rPr>
              <w:t>Hypovolemia, hypoxia, hypercapnia, metabolic acidosis, hypertension, hyperthyroidism, history of peripheral vascular disease, elderly, h</w:t>
            </w:r>
            <w:r w:rsidRPr="00F10C37">
              <w:rPr>
                <w:rFonts w:cs="Times New Roman"/>
                <w:bCs/>
                <w:szCs w:val="24"/>
              </w:rPr>
              <w:t>epatic and renal impairment, pregnanc</w:t>
            </w:r>
            <w:r>
              <w:rPr>
                <w:rFonts w:cs="Times New Roman"/>
                <w:bCs/>
                <w:szCs w:val="24"/>
              </w:rPr>
              <w:t>y,</w:t>
            </w:r>
            <w:r w:rsidRPr="00F10C37">
              <w:rPr>
                <w:rFonts w:cs="Times New Roman"/>
                <w:bCs/>
                <w:szCs w:val="24"/>
              </w:rPr>
              <w:t xml:space="preserve"> breastfeeding.</w:t>
            </w:r>
          </w:p>
        </w:tc>
      </w:tr>
      <w:tr w:rsidR="0053763D" w:rsidRPr="00F10C37" w14:paraId="1FCD1FE2" w14:textId="77777777" w:rsidTr="00C46407">
        <w:tc>
          <w:tcPr>
            <w:tcW w:w="2695" w:type="dxa"/>
          </w:tcPr>
          <w:p w14:paraId="459A9CF9"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gridSpan w:val="2"/>
          </w:tcPr>
          <w:p w14:paraId="5784E189"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 xml:space="preserve">15-30 °C. Protect from </w:t>
            </w:r>
            <w:r>
              <w:rPr>
                <w:rFonts w:cs="Times New Roman"/>
                <w:szCs w:val="24"/>
              </w:rPr>
              <w:t xml:space="preserve">heat, </w:t>
            </w:r>
            <w:r w:rsidRPr="00F10C37">
              <w:rPr>
                <w:rFonts w:cs="Times New Roman"/>
                <w:szCs w:val="24"/>
              </w:rPr>
              <w:t>light and freezing.</w:t>
            </w:r>
          </w:p>
        </w:tc>
      </w:tr>
      <w:tr w:rsidR="0053763D" w:rsidRPr="00F10C37" w14:paraId="728BC97F" w14:textId="77777777" w:rsidTr="00C46407">
        <w:trPr>
          <w:trHeight w:val="512"/>
        </w:trPr>
        <w:tc>
          <w:tcPr>
            <w:tcW w:w="9355" w:type="dxa"/>
            <w:gridSpan w:val="3"/>
          </w:tcPr>
          <w:p w14:paraId="1B4CF626" w14:textId="77777777" w:rsidR="0053763D" w:rsidRPr="00F10C37" w:rsidRDefault="0053763D" w:rsidP="00C46407">
            <w:pPr>
              <w:jc w:val="both"/>
              <w:rPr>
                <w:rFonts w:cs="Times New Roman"/>
                <w:b/>
                <w:szCs w:val="24"/>
              </w:rPr>
            </w:pPr>
            <w:r w:rsidRPr="00F10C37">
              <w:rPr>
                <w:rFonts w:cs="Times New Roman"/>
                <w:b/>
                <w:szCs w:val="24"/>
              </w:rPr>
              <w:t>Epinephrine/adrenaline</w:t>
            </w:r>
          </w:p>
        </w:tc>
      </w:tr>
      <w:tr w:rsidR="0053763D" w:rsidRPr="00F10C37" w14:paraId="29912CC9" w14:textId="77777777" w:rsidTr="00C46407">
        <w:trPr>
          <w:trHeight w:val="512"/>
        </w:trPr>
        <w:tc>
          <w:tcPr>
            <w:tcW w:w="2695" w:type="dxa"/>
          </w:tcPr>
          <w:p w14:paraId="77BE0817"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660" w:type="dxa"/>
            <w:gridSpan w:val="2"/>
          </w:tcPr>
          <w:p w14:paraId="50495D68" w14:textId="77777777" w:rsidR="0053763D" w:rsidRPr="00F10C37" w:rsidRDefault="0053763D" w:rsidP="00C46407">
            <w:pPr>
              <w:jc w:val="both"/>
              <w:rPr>
                <w:rFonts w:cs="Times New Roman"/>
                <w:szCs w:val="24"/>
              </w:rPr>
            </w:pPr>
            <w:r w:rsidRPr="00F10C37">
              <w:rPr>
                <w:rFonts w:cs="Times New Roman"/>
                <w:szCs w:val="24"/>
              </w:rPr>
              <w:t xml:space="preserve">Sympathomimetic </w:t>
            </w:r>
          </w:p>
        </w:tc>
      </w:tr>
      <w:tr w:rsidR="0053763D" w:rsidRPr="00F10C37" w14:paraId="31C6955B" w14:textId="77777777" w:rsidTr="00C46407">
        <w:trPr>
          <w:trHeight w:val="395"/>
        </w:trPr>
        <w:tc>
          <w:tcPr>
            <w:tcW w:w="2695" w:type="dxa"/>
          </w:tcPr>
          <w:p w14:paraId="416FD1DE" w14:textId="77777777" w:rsidR="0053763D" w:rsidRPr="00F10C37" w:rsidRDefault="0053763D" w:rsidP="00C46407">
            <w:pPr>
              <w:jc w:val="both"/>
              <w:rPr>
                <w:rFonts w:cs="Times New Roman"/>
                <w:szCs w:val="24"/>
              </w:rPr>
            </w:pPr>
            <w:r w:rsidRPr="00F10C37">
              <w:rPr>
                <w:rFonts w:cs="Times New Roman"/>
                <w:szCs w:val="24"/>
              </w:rPr>
              <w:t>Dosage form</w:t>
            </w:r>
          </w:p>
        </w:tc>
        <w:tc>
          <w:tcPr>
            <w:tcW w:w="6660" w:type="dxa"/>
            <w:gridSpan w:val="2"/>
          </w:tcPr>
          <w:p w14:paraId="79D309FC"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 xml:space="preserve">Injection: 1 mg (as hydrochloride or hydrogen tartrate) in 1- </w:t>
            </w:r>
            <w:r>
              <w:rPr>
                <w:rFonts w:cs="Times New Roman"/>
                <w:szCs w:val="24"/>
                <w:lang w:val="en-US"/>
              </w:rPr>
              <w:t>ml</w:t>
            </w:r>
            <w:r w:rsidRPr="00F10C37">
              <w:rPr>
                <w:rFonts w:cs="Times New Roman"/>
                <w:szCs w:val="24"/>
                <w:lang w:val="en-US"/>
              </w:rPr>
              <w:t xml:space="preserve"> ampoule. </w:t>
            </w:r>
          </w:p>
          <w:p w14:paraId="30330EAB"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lastRenderedPageBreak/>
              <w:t xml:space="preserve">Injection: 100 </w:t>
            </w:r>
            <w:r>
              <w:rPr>
                <w:rFonts w:cs="Times New Roman"/>
                <w:szCs w:val="24"/>
                <w:lang w:val="en-US"/>
              </w:rPr>
              <w:t>mcg</w:t>
            </w:r>
            <w:r w:rsidRPr="00F10C37">
              <w:rPr>
                <w:rFonts w:cs="Times New Roman"/>
                <w:szCs w:val="24"/>
                <w:lang w:val="en-US"/>
              </w:rPr>
              <w:t xml:space="preserve">/ </w:t>
            </w:r>
            <w:r>
              <w:rPr>
                <w:rFonts w:cs="Times New Roman"/>
                <w:szCs w:val="24"/>
                <w:lang w:val="en-US"/>
              </w:rPr>
              <w:t>ml</w:t>
            </w:r>
            <w:r w:rsidRPr="00F10C37">
              <w:rPr>
                <w:rFonts w:cs="Times New Roman"/>
                <w:szCs w:val="24"/>
                <w:lang w:val="en-US"/>
              </w:rPr>
              <w:t xml:space="preserve"> (as acid tartrate or hydrochloride) in 10- </w:t>
            </w:r>
            <w:r>
              <w:rPr>
                <w:rFonts w:cs="Times New Roman"/>
                <w:szCs w:val="24"/>
                <w:lang w:val="en-US"/>
              </w:rPr>
              <w:t>ml</w:t>
            </w:r>
            <w:r w:rsidRPr="00F10C37">
              <w:rPr>
                <w:rFonts w:cs="Times New Roman"/>
                <w:szCs w:val="24"/>
                <w:lang w:val="en-US"/>
              </w:rPr>
              <w:t xml:space="preserve"> ampoule</w:t>
            </w:r>
          </w:p>
        </w:tc>
      </w:tr>
      <w:tr w:rsidR="0053763D" w:rsidRPr="00F10C37" w14:paraId="0CBECA02" w14:textId="77777777" w:rsidTr="00C46407">
        <w:trPr>
          <w:trHeight w:val="521"/>
        </w:trPr>
        <w:tc>
          <w:tcPr>
            <w:tcW w:w="2695" w:type="dxa"/>
          </w:tcPr>
          <w:p w14:paraId="2A5C98BB" w14:textId="77777777" w:rsidR="0053763D" w:rsidRPr="00051208" w:rsidRDefault="0053763D" w:rsidP="00C46407">
            <w:pPr>
              <w:jc w:val="both"/>
              <w:rPr>
                <w:rFonts w:cs="Times New Roman"/>
                <w:szCs w:val="24"/>
              </w:rPr>
            </w:pPr>
            <w:r w:rsidRPr="00051208">
              <w:rPr>
                <w:rFonts w:cs="Times New Roman"/>
                <w:szCs w:val="24"/>
              </w:rPr>
              <w:lastRenderedPageBreak/>
              <w:t>Indications</w:t>
            </w:r>
          </w:p>
        </w:tc>
        <w:tc>
          <w:tcPr>
            <w:tcW w:w="6660" w:type="dxa"/>
            <w:gridSpan w:val="2"/>
          </w:tcPr>
          <w:p w14:paraId="3D5BFB27" w14:textId="77777777" w:rsidR="0053763D" w:rsidRPr="00F10C37" w:rsidRDefault="0053763D" w:rsidP="00C46407">
            <w:pPr>
              <w:jc w:val="both"/>
              <w:rPr>
                <w:rFonts w:cs="Times New Roman"/>
                <w:szCs w:val="24"/>
              </w:rPr>
            </w:pPr>
            <w:r w:rsidRPr="00F10C37">
              <w:rPr>
                <w:rFonts w:cs="Times New Roman"/>
                <w:szCs w:val="24"/>
              </w:rPr>
              <w:t>Acute anaphylaxis, refractory anaphylaxis</w:t>
            </w:r>
            <w:r>
              <w:rPr>
                <w:rFonts w:cs="Times New Roman"/>
                <w:szCs w:val="24"/>
              </w:rPr>
              <w:t>,</w:t>
            </w:r>
            <w:r w:rsidRPr="00F10C37">
              <w:rPr>
                <w:rFonts w:cs="Times New Roman"/>
                <w:szCs w:val="24"/>
              </w:rPr>
              <w:t xml:space="preserve"> cardiogenic shock, septic shock, acute hypotension, control of bradycardia in patients with arrhythmias after MI</w:t>
            </w:r>
            <w:r>
              <w:rPr>
                <w:rFonts w:cs="Times New Roman"/>
                <w:szCs w:val="24"/>
              </w:rPr>
              <w:t>.</w:t>
            </w:r>
          </w:p>
        </w:tc>
      </w:tr>
      <w:tr w:rsidR="0053763D" w:rsidRPr="00F10C37" w14:paraId="34D0E6FF" w14:textId="77777777" w:rsidTr="00C46407">
        <w:trPr>
          <w:trHeight w:val="521"/>
        </w:trPr>
        <w:tc>
          <w:tcPr>
            <w:tcW w:w="2695" w:type="dxa"/>
          </w:tcPr>
          <w:p w14:paraId="0E58631B" w14:textId="77777777" w:rsidR="0053763D" w:rsidRPr="00F10C37" w:rsidRDefault="0053763D" w:rsidP="00C46407">
            <w:pPr>
              <w:rPr>
                <w:rFonts w:cs="Times New Roman"/>
                <w:szCs w:val="24"/>
              </w:rPr>
            </w:pPr>
            <w:r w:rsidRPr="00F10C37">
              <w:rPr>
                <w:rFonts w:eastAsia="Times New Roman" w:cs="Times New Roman"/>
                <w:szCs w:val="24"/>
              </w:rPr>
              <w:t>Dose and administration</w:t>
            </w:r>
          </w:p>
        </w:tc>
        <w:tc>
          <w:tcPr>
            <w:tcW w:w="6660" w:type="dxa"/>
            <w:gridSpan w:val="2"/>
          </w:tcPr>
          <w:p w14:paraId="6FDEB502" w14:textId="77777777" w:rsidR="0053763D" w:rsidRPr="003D3E3A" w:rsidRDefault="0053763D" w:rsidP="00C46407">
            <w:pPr>
              <w:jc w:val="both"/>
              <w:rPr>
                <w:rFonts w:cs="Times New Roman"/>
                <w:szCs w:val="24"/>
              </w:rPr>
            </w:pPr>
            <w:r w:rsidRPr="00F10C37">
              <w:rPr>
                <w:rFonts w:cs="Times New Roman"/>
                <w:b/>
                <w:szCs w:val="24"/>
              </w:rPr>
              <w:t>Cardiopulmonary resuscitation (specialist use only)</w:t>
            </w:r>
            <w:r>
              <w:rPr>
                <w:rFonts w:cs="Times New Roman"/>
                <w:szCs w:val="24"/>
              </w:rPr>
              <w:t>, b</w:t>
            </w:r>
            <w:r w:rsidRPr="003D3E3A">
              <w:rPr>
                <w:rFonts w:cs="Times New Roman"/>
                <w:szCs w:val="24"/>
              </w:rPr>
              <w:t xml:space="preserve">y slow </w:t>
            </w:r>
            <w:r>
              <w:rPr>
                <w:rFonts w:cs="Times New Roman"/>
                <w:szCs w:val="24"/>
              </w:rPr>
              <w:t>IV</w:t>
            </w:r>
            <w:r w:rsidRPr="003D3E3A">
              <w:rPr>
                <w:rFonts w:cs="Times New Roman"/>
                <w:szCs w:val="24"/>
              </w:rPr>
              <w:t xml:space="preserve"> injection</w:t>
            </w:r>
            <w:r>
              <w:rPr>
                <w:rFonts w:cs="Times New Roman"/>
                <w:szCs w:val="24"/>
              </w:rPr>
              <w:t>:</w:t>
            </w:r>
          </w:p>
          <w:p w14:paraId="4DD30264" w14:textId="77777777" w:rsidR="0053763D" w:rsidRPr="00F10C37" w:rsidRDefault="0053763D" w:rsidP="00C46407">
            <w:pPr>
              <w:contextualSpacing/>
              <w:jc w:val="both"/>
              <w:rPr>
                <w:rFonts w:cs="Times New Roman"/>
                <w:szCs w:val="24"/>
              </w:rPr>
            </w:pPr>
            <w:r w:rsidRPr="00F10C37">
              <w:rPr>
                <w:rFonts w:cs="Times New Roman"/>
                <w:b/>
                <w:szCs w:val="24"/>
              </w:rPr>
              <w:t>Adult:</w:t>
            </w:r>
            <w:r w:rsidRPr="00F10C37">
              <w:rPr>
                <w:rFonts w:cs="Times New Roman"/>
                <w:szCs w:val="24"/>
              </w:rPr>
              <w:t xml:space="preserve"> 1 mg every 3–5 minutes as required, 1 in 10 000 (100 mcg/</w:t>
            </w:r>
            <w:r>
              <w:rPr>
                <w:rFonts w:cs="Times New Roman"/>
                <w:szCs w:val="24"/>
              </w:rPr>
              <w:t>ml</w:t>
            </w:r>
            <w:r w:rsidRPr="00F10C37">
              <w:rPr>
                <w:rFonts w:cs="Times New Roman"/>
                <w:szCs w:val="24"/>
              </w:rPr>
              <w:t xml:space="preserve">) solution is recommended. </w:t>
            </w:r>
          </w:p>
          <w:p w14:paraId="330F8920" w14:textId="77777777" w:rsidR="0053763D" w:rsidRPr="00F10C37" w:rsidRDefault="0053763D" w:rsidP="00C46407">
            <w:pPr>
              <w:contextualSpacing/>
              <w:jc w:val="both"/>
              <w:rPr>
                <w:rFonts w:cs="Times New Roman"/>
                <w:szCs w:val="24"/>
              </w:rPr>
            </w:pPr>
            <w:r w:rsidRPr="00F10C37">
              <w:rPr>
                <w:rFonts w:cs="Times New Roman"/>
                <w:b/>
                <w:szCs w:val="24"/>
              </w:rPr>
              <w:t>Child:</w:t>
            </w:r>
            <w:r w:rsidRPr="00F10C37">
              <w:rPr>
                <w:rFonts w:cs="Times New Roman"/>
                <w:szCs w:val="24"/>
              </w:rPr>
              <w:t xml:space="preserve"> 10 mcg/kg every 3–5 minutes (max. per dose 1 mg) as required, 1 in 10,000 (100 mcg/</w:t>
            </w:r>
            <w:r>
              <w:rPr>
                <w:rFonts w:cs="Times New Roman"/>
                <w:szCs w:val="24"/>
              </w:rPr>
              <w:t>ml</w:t>
            </w:r>
            <w:r w:rsidRPr="00F10C37">
              <w:rPr>
                <w:rFonts w:cs="Times New Roman"/>
                <w:szCs w:val="24"/>
              </w:rPr>
              <w:t xml:space="preserve">) solution is recommended, </w:t>
            </w:r>
          </w:p>
          <w:p w14:paraId="760C5F72" w14:textId="77777777" w:rsidR="0053763D" w:rsidRPr="00F10C37" w:rsidRDefault="0053763D" w:rsidP="00C46407">
            <w:pPr>
              <w:jc w:val="both"/>
              <w:rPr>
                <w:rFonts w:cs="Times New Roman"/>
                <w:b/>
                <w:szCs w:val="24"/>
              </w:rPr>
            </w:pPr>
            <w:r w:rsidRPr="00F10C37">
              <w:rPr>
                <w:rFonts w:cs="Times New Roman"/>
                <w:b/>
                <w:szCs w:val="24"/>
              </w:rPr>
              <w:t>Acute hypotension</w:t>
            </w:r>
            <w:r>
              <w:rPr>
                <w:rFonts w:cs="Times New Roman"/>
                <w:b/>
                <w:szCs w:val="24"/>
              </w:rPr>
              <w:t>,</w:t>
            </w:r>
            <w:r w:rsidRPr="00F10C37">
              <w:rPr>
                <w:rFonts w:cs="Times New Roman"/>
                <w:b/>
                <w:szCs w:val="24"/>
              </w:rPr>
              <w:t xml:space="preserve"> </w:t>
            </w:r>
            <w:r w:rsidRPr="003D3E3A">
              <w:rPr>
                <w:rFonts w:cs="Times New Roman"/>
                <w:szCs w:val="24"/>
              </w:rPr>
              <w:t>by continuous intravenous infusion.</w:t>
            </w:r>
          </w:p>
          <w:p w14:paraId="53B69BEA" w14:textId="77777777" w:rsidR="0053763D" w:rsidRPr="00F10C37" w:rsidRDefault="0053763D" w:rsidP="00C46407">
            <w:pPr>
              <w:contextualSpacing/>
              <w:jc w:val="both"/>
              <w:rPr>
                <w:rFonts w:cs="Times New Roman"/>
                <w:szCs w:val="24"/>
              </w:rPr>
            </w:pPr>
            <w:r w:rsidRPr="00F10C37">
              <w:rPr>
                <w:rFonts w:cs="Times New Roman"/>
                <w:b/>
                <w:szCs w:val="24"/>
              </w:rPr>
              <w:t>Neonate:</w:t>
            </w:r>
            <w:r w:rsidRPr="00F10C37">
              <w:rPr>
                <w:rFonts w:cs="Times New Roman"/>
                <w:szCs w:val="24"/>
              </w:rPr>
              <w:t xml:space="preserve"> Initially 100 nanograms/kg/minute, adjusted according to response, higher doses up to 1.5 mcg/kg/minute have been used in acute hypotension. </w:t>
            </w:r>
          </w:p>
          <w:p w14:paraId="1F883175" w14:textId="77777777" w:rsidR="0053763D" w:rsidRPr="00F10C37" w:rsidRDefault="0053763D" w:rsidP="00C46407">
            <w:pPr>
              <w:contextualSpacing/>
              <w:jc w:val="both"/>
              <w:rPr>
                <w:rFonts w:cs="Times New Roman"/>
                <w:szCs w:val="24"/>
              </w:rPr>
            </w:pPr>
            <w:r w:rsidRPr="00F10C37">
              <w:rPr>
                <w:rFonts w:cs="Times New Roman"/>
                <w:b/>
                <w:szCs w:val="24"/>
              </w:rPr>
              <w:t>Child:</w:t>
            </w:r>
            <w:r w:rsidRPr="00F10C37">
              <w:rPr>
                <w:rFonts w:cs="Times New Roman"/>
                <w:szCs w:val="24"/>
              </w:rPr>
              <w:t xml:space="preserve"> Initially 100 nanograms/kg/minute, adjusted according to response, higher doses up to 1.5 </w:t>
            </w:r>
            <w:r>
              <w:rPr>
                <w:rFonts w:cs="Times New Roman"/>
                <w:szCs w:val="24"/>
              </w:rPr>
              <w:t>mcg</w:t>
            </w:r>
            <w:r w:rsidRPr="00F10C37">
              <w:rPr>
                <w:rFonts w:cs="Times New Roman"/>
                <w:szCs w:val="24"/>
              </w:rPr>
              <w:t>/kg/minute have been used in acute hypotension.</w:t>
            </w:r>
          </w:p>
          <w:p w14:paraId="46DE19FD" w14:textId="77777777" w:rsidR="0053763D" w:rsidRPr="001737B9" w:rsidRDefault="0053763D" w:rsidP="00C46407">
            <w:pPr>
              <w:jc w:val="both"/>
              <w:rPr>
                <w:rFonts w:cs="Times New Roman"/>
                <w:i/>
                <w:szCs w:val="24"/>
              </w:rPr>
            </w:pPr>
            <w:r w:rsidRPr="00F10C37">
              <w:rPr>
                <w:rFonts w:cs="Times New Roman"/>
                <w:b/>
                <w:szCs w:val="24"/>
              </w:rPr>
              <w:t>Emergency treatment of acute anaphylaxis (under expert supervision)</w:t>
            </w:r>
            <w:r>
              <w:rPr>
                <w:rFonts w:cs="Times New Roman"/>
                <w:b/>
                <w:szCs w:val="24"/>
              </w:rPr>
              <w:t xml:space="preserve">, </w:t>
            </w:r>
            <w:r w:rsidRPr="003D3E3A">
              <w:rPr>
                <w:rFonts w:cs="Times New Roman"/>
                <w:szCs w:val="24"/>
              </w:rPr>
              <w:t>by intramuscular injection:</w:t>
            </w:r>
          </w:p>
          <w:p w14:paraId="5197D97F" w14:textId="77777777" w:rsidR="0053763D" w:rsidRPr="00F10C37" w:rsidRDefault="0053763D" w:rsidP="00C46407">
            <w:pPr>
              <w:contextualSpacing/>
              <w:jc w:val="both"/>
              <w:rPr>
                <w:rFonts w:cs="Times New Roman"/>
                <w:szCs w:val="24"/>
              </w:rPr>
            </w:pPr>
            <w:r w:rsidRPr="00F10C37">
              <w:rPr>
                <w:rFonts w:cs="Times New Roman"/>
                <w:b/>
                <w:szCs w:val="24"/>
              </w:rPr>
              <w:t>Child up to 6 months:</w:t>
            </w:r>
            <w:r w:rsidRPr="00F10C37">
              <w:rPr>
                <w:rFonts w:cs="Times New Roman"/>
                <w:szCs w:val="24"/>
              </w:rPr>
              <w:t xml:space="preserve"> 100–150 mcg, using adrenaline 1 in 1000 (1 mg/</w:t>
            </w:r>
            <w:r>
              <w:rPr>
                <w:rFonts w:cs="Times New Roman"/>
                <w:szCs w:val="24"/>
              </w:rPr>
              <w:t>ml</w:t>
            </w:r>
            <w:r w:rsidRPr="00F10C37">
              <w:rPr>
                <w:rFonts w:cs="Times New Roman"/>
                <w:szCs w:val="24"/>
              </w:rPr>
              <w:t>) injection.</w:t>
            </w:r>
          </w:p>
          <w:p w14:paraId="497FCE21" w14:textId="77777777" w:rsidR="0053763D" w:rsidRPr="00F10C37" w:rsidRDefault="0053763D" w:rsidP="00C46407">
            <w:pPr>
              <w:contextualSpacing/>
              <w:jc w:val="both"/>
              <w:rPr>
                <w:rFonts w:cs="Times New Roman"/>
                <w:szCs w:val="24"/>
              </w:rPr>
            </w:pPr>
            <w:r w:rsidRPr="00F10C37">
              <w:rPr>
                <w:rFonts w:cs="Times New Roman"/>
                <w:b/>
                <w:szCs w:val="24"/>
              </w:rPr>
              <w:t>Child 6 months–5 years:</w:t>
            </w:r>
            <w:r w:rsidRPr="00F10C37">
              <w:rPr>
                <w:rFonts w:cs="Times New Roman"/>
                <w:szCs w:val="24"/>
              </w:rPr>
              <w:t xml:space="preserve"> 150 mcg, using adrenaline 1 in 1000 (1 mg/</w:t>
            </w:r>
            <w:r>
              <w:rPr>
                <w:rFonts w:cs="Times New Roman"/>
                <w:szCs w:val="24"/>
              </w:rPr>
              <w:t>ml</w:t>
            </w:r>
            <w:r w:rsidRPr="00F10C37">
              <w:rPr>
                <w:rFonts w:cs="Times New Roman"/>
                <w:szCs w:val="24"/>
              </w:rPr>
              <w:t>) injection.</w:t>
            </w:r>
          </w:p>
          <w:p w14:paraId="47139E88" w14:textId="77777777" w:rsidR="0053763D" w:rsidRPr="00F10C37" w:rsidRDefault="0053763D" w:rsidP="00C46407">
            <w:pPr>
              <w:contextualSpacing/>
              <w:jc w:val="both"/>
              <w:rPr>
                <w:rFonts w:cs="Times New Roman"/>
                <w:szCs w:val="24"/>
              </w:rPr>
            </w:pPr>
            <w:r w:rsidRPr="00F10C37">
              <w:rPr>
                <w:rFonts w:cs="Times New Roman"/>
                <w:b/>
                <w:szCs w:val="24"/>
              </w:rPr>
              <w:t>Child 6–11 years</w:t>
            </w:r>
            <w:r w:rsidRPr="00F10C37">
              <w:rPr>
                <w:rFonts w:cs="Times New Roman"/>
                <w:szCs w:val="24"/>
              </w:rPr>
              <w:t xml:space="preserve">: 300 </w:t>
            </w:r>
            <w:r>
              <w:rPr>
                <w:rFonts w:cs="Times New Roman"/>
                <w:szCs w:val="24"/>
              </w:rPr>
              <w:t>mcg</w:t>
            </w:r>
            <w:r w:rsidRPr="00F10C37">
              <w:rPr>
                <w:rFonts w:cs="Times New Roman"/>
                <w:szCs w:val="24"/>
              </w:rPr>
              <w:t>, using adrenaline 1 in 1000 (1 mg/</w:t>
            </w:r>
            <w:r>
              <w:rPr>
                <w:rFonts w:cs="Times New Roman"/>
                <w:szCs w:val="24"/>
              </w:rPr>
              <w:t>ml</w:t>
            </w:r>
            <w:r w:rsidRPr="00F10C37">
              <w:rPr>
                <w:rFonts w:cs="Times New Roman"/>
                <w:szCs w:val="24"/>
              </w:rPr>
              <w:t>) injection.</w:t>
            </w:r>
          </w:p>
          <w:p w14:paraId="56B59960" w14:textId="77777777" w:rsidR="0053763D" w:rsidRPr="00F10C37" w:rsidRDefault="0053763D" w:rsidP="00C46407">
            <w:pPr>
              <w:contextualSpacing/>
              <w:jc w:val="both"/>
              <w:rPr>
                <w:rFonts w:cs="Times New Roman"/>
                <w:szCs w:val="24"/>
              </w:rPr>
            </w:pPr>
            <w:r w:rsidRPr="00F10C37">
              <w:rPr>
                <w:rFonts w:cs="Times New Roman"/>
                <w:b/>
                <w:szCs w:val="24"/>
              </w:rPr>
              <w:t>Child 12–17 years:</w:t>
            </w:r>
            <w:r w:rsidRPr="00F10C37">
              <w:rPr>
                <w:rFonts w:cs="Times New Roman"/>
                <w:szCs w:val="24"/>
              </w:rPr>
              <w:t xml:space="preserve"> 500 </w:t>
            </w:r>
            <w:r>
              <w:rPr>
                <w:rFonts w:cs="Times New Roman"/>
                <w:szCs w:val="24"/>
              </w:rPr>
              <w:t>mcg</w:t>
            </w:r>
            <w:r w:rsidRPr="00F10C37">
              <w:rPr>
                <w:rFonts w:cs="Times New Roman"/>
                <w:szCs w:val="24"/>
              </w:rPr>
              <w:t>, using adrenaline 1 in 1000 (1 mg/</w:t>
            </w:r>
            <w:r>
              <w:rPr>
                <w:rFonts w:cs="Times New Roman"/>
                <w:szCs w:val="24"/>
              </w:rPr>
              <w:t>ml</w:t>
            </w:r>
            <w:r w:rsidRPr="00F10C37">
              <w:rPr>
                <w:rFonts w:cs="Times New Roman"/>
                <w:szCs w:val="24"/>
              </w:rPr>
              <w:t xml:space="preserve">) injection, 300 </w:t>
            </w:r>
            <w:r>
              <w:rPr>
                <w:rFonts w:cs="Times New Roman"/>
                <w:szCs w:val="24"/>
              </w:rPr>
              <w:t>mcg</w:t>
            </w:r>
            <w:r w:rsidRPr="00F10C37">
              <w:rPr>
                <w:rFonts w:cs="Times New Roman"/>
                <w:szCs w:val="24"/>
              </w:rPr>
              <w:t xml:space="preserve"> to be administered if child is small or prepubertal.</w:t>
            </w:r>
          </w:p>
          <w:p w14:paraId="0FC9ED24" w14:textId="77777777" w:rsidR="0053763D" w:rsidRPr="00F10C37" w:rsidRDefault="0053763D" w:rsidP="00C46407">
            <w:pPr>
              <w:contextualSpacing/>
              <w:jc w:val="both"/>
              <w:rPr>
                <w:rFonts w:cs="Times New Roman"/>
                <w:szCs w:val="24"/>
              </w:rPr>
            </w:pPr>
            <w:r w:rsidRPr="00F10C37">
              <w:rPr>
                <w:rFonts w:cs="Times New Roman"/>
                <w:b/>
                <w:szCs w:val="24"/>
              </w:rPr>
              <w:t>Adult:</w:t>
            </w:r>
            <w:r w:rsidRPr="00F10C37">
              <w:rPr>
                <w:rFonts w:cs="Times New Roman"/>
                <w:szCs w:val="24"/>
              </w:rPr>
              <w:t xml:space="preserve"> 500 </w:t>
            </w:r>
            <w:r>
              <w:rPr>
                <w:rFonts w:cs="Times New Roman"/>
                <w:szCs w:val="24"/>
              </w:rPr>
              <w:t>mcg</w:t>
            </w:r>
            <w:r w:rsidRPr="00F10C37">
              <w:rPr>
                <w:rFonts w:cs="Times New Roman"/>
                <w:szCs w:val="24"/>
              </w:rPr>
              <w:t>, using adrenaline 1 in 1000 (1 mg/</w:t>
            </w:r>
            <w:r>
              <w:rPr>
                <w:rFonts w:cs="Times New Roman"/>
                <w:szCs w:val="24"/>
              </w:rPr>
              <w:t>ml</w:t>
            </w:r>
            <w:r w:rsidRPr="00F10C37">
              <w:rPr>
                <w:rFonts w:cs="Times New Roman"/>
                <w:szCs w:val="24"/>
              </w:rPr>
              <w:t>) injection.</w:t>
            </w:r>
          </w:p>
          <w:p w14:paraId="509B3BD1" w14:textId="77777777" w:rsidR="0053763D" w:rsidRPr="00F10C37" w:rsidRDefault="0053763D" w:rsidP="00C46407">
            <w:pPr>
              <w:jc w:val="both"/>
              <w:rPr>
                <w:rFonts w:cs="Times New Roman"/>
                <w:szCs w:val="24"/>
              </w:rPr>
            </w:pPr>
            <w:r w:rsidRPr="00F10C37">
              <w:rPr>
                <w:rFonts w:cs="Times New Roman"/>
                <w:b/>
                <w:szCs w:val="24"/>
              </w:rPr>
              <w:t xml:space="preserve">Refractory anaphylaxis [persistent symptoms despite at least 2 </w:t>
            </w:r>
            <w:r w:rsidRPr="00F10C37">
              <w:rPr>
                <w:rFonts w:cs="Times New Roman"/>
                <w:b/>
                <w:szCs w:val="24"/>
              </w:rPr>
              <w:lastRenderedPageBreak/>
              <w:t>appropriate doses of intramuscular adrenaline/epinephrine] (specialist use only)</w:t>
            </w:r>
            <w:r>
              <w:rPr>
                <w:rFonts w:cs="Times New Roman"/>
                <w:szCs w:val="24"/>
              </w:rPr>
              <w:t>,</w:t>
            </w:r>
            <w:r w:rsidRPr="00F10C37">
              <w:rPr>
                <w:rFonts w:cs="Times New Roman"/>
                <w:szCs w:val="24"/>
              </w:rPr>
              <w:t xml:space="preserve"> by intravenous infusion:</w:t>
            </w:r>
          </w:p>
          <w:p w14:paraId="6E52B48A" w14:textId="77777777" w:rsidR="0053763D" w:rsidRPr="00F10C37" w:rsidRDefault="0053763D" w:rsidP="00C46407">
            <w:pPr>
              <w:contextualSpacing/>
              <w:jc w:val="both"/>
              <w:rPr>
                <w:rFonts w:cs="Times New Roman"/>
                <w:szCs w:val="24"/>
              </w:rPr>
            </w:pPr>
            <w:r w:rsidRPr="00F10C37">
              <w:rPr>
                <w:rFonts w:cs="Times New Roman"/>
                <w:b/>
                <w:szCs w:val="24"/>
              </w:rPr>
              <w:t>Adult:</w:t>
            </w:r>
            <w:r w:rsidRPr="00F10C37">
              <w:rPr>
                <w:rFonts w:cs="Times New Roman"/>
                <w:szCs w:val="24"/>
              </w:rPr>
              <w:t xml:space="preserve"> Consult emergency treatment of anaphylaxis guideline or local protocols </w:t>
            </w:r>
          </w:p>
          <w:p w14:paraId="75E4F662" w14:textId="77777777" w:rsidR="0053763D" w:rsidRPr="00F10C37" w:rsidRDefault="0053763D" w:rsidP="00C46407">
            <w:pPr>
              <w:jc w:val="both"/>
              <w:rPr>
                <w:rFonts w:cs="Times New Roman"/>
                <w:szCs w:val="24"/>
              </w:rPr>
            </w:pPr>
            <w:r w:rsidRPr="00F10C37">
              <w:rPr>
                <w:rFonts w:cs="Times New Roman"/>
                <w:b/>
                <w:szCs w:val="24"/>
              </w:rPr>
              <w:t>Control of bradycardia in patients with arrhythmias after MI, if there is a risk of asystole, or if the patient is unstable and has failed to respond to atropin</w:t>
            </w:r>
            <w:r>
              <w:rPr>
                <w:rFonts w:cs="Times New Roman"/>
                <w:szCs w:val="24"/>
              </w:rPr>
              <w:t>e,</w:t>
            </w:r>
            <w:r w:rsidRPr="00F10C37">
              <w:rPr>
                <w:rFonts w:cs="Times New Roman"/>
                <w:szCs w:val="24"/>
              </w:rPr>
              <w:t xml:space="preserve"> by intravenous infusion</w:t>
            </w:r>
            <w:r>
              <w:rPr>
                <w:rFonts w:cs="Times New Roman"/>
                <w:szCs w:val="24"/>
              </w:rPr>
              <w:t>:</w:t>
            </w:r>
          </w:p>
          <w:p w14:paraId="6BCD0F4D" w14:textId="77777777" w:rsidR="0053763D" w:rsidRPr="003D3E3A" w:rsidRDefault="0053763D" w:rsidP="00C46407">
            <w:pPr>
              <w:contextualSpacing/>
              <w:jc w:val="both"/>
              <w:rPr>
                <w:rFonts w:cs="Times New Roman"/>
                <w:szCs w:val="24"/>
              </w:rPr>
            </w:pPr>
            <w:r w:rsidRPr="00F10C37">
              <w:rPr>
                <w:rFonts w:cs="Times New Roman"/>
                <w:b/>
                <w:szCs w:val="24"/>
              </w:rPr>
              <w:t>Adult:</w:t>
            </w:r>
            <w:r w:rsidRPr="00F10C37">
              <w:rPr>
                <w:rFonts w:cs="Times New Roman"/>
                <w:szCs w:val="24"/>
              </w:rPr>
              <w:t xml:space="preserve"> 2–10 mcg/minute, adjusted according to response.</w:t>
            </w:r>
            <w:r w:rsidRPr="003D3E3A">
              <w:rPr>
                <w:rFonts w:cs="Times New Roman"/>
                <w:szCs w:val="24"/>
              </w:rPr>
              <w:t xml:space="preserve"> </w:t>
            </w:r>
          </w:p>
        </w:tc>
      </w:tr>
      <w:tr w:rsidR="0053763D" w:rsidRPr="00F10C37" w14:paraId="0A2E035B" w14:textId="77777777" w:rsidTr="00C46407">
        <w:tc>
          <w:tcPr>
            <w:tcW w:w="2695" w:type="dxa"/>
          </w:tcPr>
          <w:p w14:paraId="4D3A9F60"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660" w:type="dxa"/>
            <w:gridSpan w:val="2"/>
          </w:tcPr>
          <w:p w14:paraId="5D00FE70"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Hypertension, cardiac arrhythmias, closed-angle glaucoma, psychoneurosis, use during halothane or cyclopropane anaesthesia.</w:t>
            </w:r>
          </w:p>
        </w:tc>
      </w:tr>
      <w:tr w:rsidR="0053763D" w:rsidRPr="00F10C37" w14:paraId="7EB966D3" w14:textId="77777777" w:rsidTr="00C46407">
        <w:tc>
          <w:tcPr>
            <w:tcW w:w="2695" w:type="dxa"/>
          </w:tcPr>
          <w:p w14:paraId="2243666B"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660" w:type="dxa"/>
            <w:gridSpan w:val="2"/>
          </w:tcPr>
          <w:p w14:paraId="0EBCDEBB" w14:textId="77777777" w:rsidR="0053763D" w:rsidRPr="00F10C37" w:rsidRDefault="0053763D" w:rsidP="00C46407">
            <w:pPr>
              <w:jc w:val="both"/>
              <w:rPr>
                <w:rFonts w:cs="Times New Roman"/>
                <w:szCs w:val="24"/>
              </w:rPr>
            </w:pPr>
            <w:r>
              <w:rPr>
                <w:rFonts w:cs="Times New Roman"/>
                <w:szCs w:val="24"/>
              </w:rPr>
              <w:t>P</w:t>
            </w:r>
            <w:r w:rsidRPr="00F10C37">
              <w:rPr>
                <w:rFonts w:cs="Times New Roman"/>
                <w:szCs w:val="24"/>
              </w:rPr>
              <w:t>ropranolol, entacapone, linezolid, vasopressin, procainamide, quinidine, selegiline transdermal, sotalol, amiodarone, amitriptyline, artemether-lumefantrine, halothane, cyclosporine, chlorpromazine, clarithromycin, erythromycin, fluconazole, fluphenazine, formoterol, haloperidol, imipramine, isoflurane, sevoflurane, ketamine, ketoconazole.</w:t>
            </w:r>
          </w:p>
        </w:tc>
      </w:tr>
      <w:tr w:rsidR="0053763D" w:rsidRPr="00F10C37" w14:paraId="78670498" w14:textId="77777777" w:rsidTr="00C46407">
        <w:tc>
          <w:tcPr>
            <w:tcW w:w="2695" w:type="dxa"/>
          </w:tcPr>
          <w:p w14:paraId="29AAA404" w14:textId="77777777" w:rsidR="0053763D" w:rsidRPr="00F10C37" w:rsidRDefault="0053763D" w:rsidP="00C46407">
            <w:pPr>
              <w:jc w:val="both"/>
              <w:rPr>
                <w:rFonts w:cs="Times New Roman"/>
                <w:szCs w:val="24"/>
              </w:rPr>
            </w:pPr>
            <w:r w:rsidRPr="00F10C37">
              <w:rPr>
                <w:rFonts w:cs="Times New Roman"/>
                <w:szCs w:val="24"/>
              </w:rPr>
              <w:t>Side effects</w:t>
            </w:r>
          </w:p>
        </w:tc>
        <w:tc>
          <w:tcPr>
            <w:tcW w:w="6660" w:type="dxa"/>
            <w:gridSpan w:val="2"/>
          </w:tcPr>
          <w:p w14:paraId="1262EE92"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Nausea, vomiting, anxiety, headache, fear, palpitations, tachycardia, restlessness, tremor, dizziness, dyspnea, weakness, sweating, pallor, hyperglycemia</w:t>
            </w:r>
            <w:r>
              <w:rPr>
                <w:rFonts w:eastAsiaTheme="minorHAnsi" w:cs="Times New Roman"/>
                <w:kern w:val="0"/>
                <w:szCs w:val="24"/>
                <w:lang w:val="en-US" w:eastAsia="en-US"/>
              </w:rPr>
              <w:t>, hypertension</w:t>
            </w:r>
            <w:r w:rsidRPr="00F10C37">
              <w:rPr>
                <w:rFonts w:eastAsiaTheme="minorHAnsi" w:cs="Times New Roman"/>
                <w:kern w:val="0"/>
                <w:szCs w:val="24"/>
                <w:lang w:val="en-US" w:eastAsia="en-US"/>
              </w:rPr>
              <w:t>, ventricular arrhythmias, pulmonary oedema, angina, cold extremities, peripheral ischemia and necrosis (at infusion site).</w:t>
            </w:r>
          </w:p>
        </w:tc>
      </w:tr>
      <w:tr w:rsidR="0053763D" w:rsidRPr="00F10C37" w14:paraId="06A9B009" w14:textId="77777777" w:rsidTr="00C46407">
        <w:tc>
          <w:tcPr>
            <w:tcW w:w="2695" w:type="dxa"/>
          </w:tcPr>
          <w:p w14:paraId="232825D8" w14:textId="77777777" w:rsidR="0053763D" w:rsidRPr="00F10C37" w:rsidRDefault="0053763D" w:rsidP="00C46407">
            <w:pPr>
              <w:jc w:val="both"/>
              <w:rPr>
                <w:rFonts w:cs="Times New Roman"/>
                <w:szCs w:val="24"/>
              </w:rPr>
            </w:pPr>
            <w:r w:rsidRPr="00F10C37">
              <w:rPr>
                <w:rFonts w:cs="Times New Roman"/>
                <w:szCs w:val="24"/>
              </w:rPr>
              <w:t>Cautions</w:t>
            </w:r>
          </w:p>
        </w:tc>
        <w:tc>
          <w:tcPr>
            <w:tcW w:w="6660" w:type="dxa"/>
            <w:gridSpan w:val="2"/>
          </w:tcPr>
          <w:p w14:paraId="5640953A"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kern w:val="0"/>
                <w:szCs w:val="24"/>
                <w:lang w:val="en-US" w:eastAsia="en-US"/>
              </w:rPr>
              <w:t>Hyperthyroidism, diabetes mellitus</w:t>
            </w:r>
            <w:r w:rsidRPr="00F10C37">
              <w:rPr>
                <w:rFonts w:cs="Times New Roman"/>
                <w:szCs w:val="24"/>
              </w:rPr>
              <w:t>, ischemic heart disease</w:t>
            </w:r>
            <w:r w:rsidRPr="00F10C37">
              <w:rPr>
                <w:rFonts w:eastAsiaTheme="minorHAnsi" w:cs="Times New Roman"/>
                <w:kern w:val="0"/>
                <w:szCs w:val="24"/>
                <w:lang w:val="en-US" w:eastAsia="en-US"/>
              </w:rPr>
              <w:t>, cerebrovascular disease, pheochromocytoma, susceptibility to closed-angle glaucoma</w:t>
            </w:r>
            <w:r w:rsidRPr="00F10C37">
              <w:rPr>
                <w:rFonts w:eastAsiaTheme="minorHAnsi" w:cs="Times New Roman"/>
                <w:szCs w:val="24"/>
              </w:rPr>
              <w:t>, second stage of labour</w:t>
            </w:r>
            <w:r>
              <w:rPr>
                <w:rFonts w:eastAsiaTheme="minorHAnsi" w:cs="Times New Roman"/>
                <w:szCs w:val="24"/>
              </w:rPr>
              <w:t>,</w:t>
            </w:r>
            <w:r w:rsidRPr="00F10C37">
              <w:rPr>
                <w:rFonts w:eastAsiaTheme="minorHAnsi" w:cs="Times New Roman"/>
                <w:szCs w:val="24"/>
              </w:rPr>
              <w:t xml:space="preserve"> elderly, p</w:t>
            </w:r>
            <w:r w:rsidRPr="00F10C37">
              <w:rPr>
                <w:rFonts w:cs="Times New Roman"/>
                <w:szCs w:val="24"/>
              </w:rPr>
              <w:t>regnancy, breast feeding</w:t>
            </w:r>
            <w:r>
              <w:rPr>
                <w:rFonts w:cs="Times New Roman"/>
                <w:szCs w:val="24"/>
              </w:rPr>
              <w:t>.</w:t>
            </w:r>
          </w:p>
        </w:tc>
      </w:tr>
      <w:tr w:rsidR="0053763D" w:rsidRPr="00F10C37" w14:paraId="583BDA4D" w14:textId="77777777" w:rsidTr="00C46407">
        <w:tc>
          <w:tcPr>
            <w:tcW w:w="2695" w:type="dxa"/>
          </w:tcPr>
          <w:p w14:paraId="36D2F434"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660" w:type="dxa"/>
            <w:gridSpan w:val="2"/>
          </w:tcPr>
          <w:p w14:paraId="55EF4BCD"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below </w:t>
            </w:r>
            <w:r w:rsidRPr="00F10C37">
              <w:rPr>
                <w:rFonts w:cs="Times New Roman"/>
                <w:szCs w:val="24"/>
              </w:rPr>
              <w:t xml:space="preserve">30 </w:t>
            </w:r>
            <w:r w:rsidRPr="00F10C37">
              <w:rPr>
                <w:rFonts w:cs="Times New Roman"/>
                <w:szCs w:val="24"/>
                <w:vertAlign w:val="superscript"/>
              </w:rPr>
              <w:t>o</w:t>
            </w:r>
            <w:r w:rsidRPr="00F10C37">
              <w:rPr>
                <w:rFonts w:cs="Times New Roman"/>
                <w:szCs w:val="24"/>
              </w:rPr>
              <w:t>C. Do not refrigerate or freeze, protect from light</w:t>
            </w:r>
            <w:r>
              <w:rPr>
                <w:rFonts w:cs="Times New Roman"/>
                <w:szCs w:val="24"/>
              </w:rPr>
              <w:t>.</w:t>
            </w:r>
          </w:p>
        </w:tc>
      </w:tr>
      <w:tr w:rsidR="0053763D" w:rsidRPr="00F10C37" w14:paraId="32059791" w14:textId="77777777" w:rsidTr="00C46407">
        <w:trPr>
          <w:trHeight w:val="512"/>
        </w:trPr>
        <w:tc>
          <w:tcPr>
            <w:tcW w:w="9355" w:type="dxa"/>
            <w:gridSpan w:val="3"/>
          </w:tcPr>
          <w:p w14:paraId="0B32AC38" w14:textId="77777777" w:rsidR="0053763D" w:rsidRPr="00F10C37" w:rsidRDefault="0053763D" w:rsidP="00C46407">
            <w:pPr>
              <w:jc w:val="both"/>
              <w:rPr>
                <w:rFonts w:cs="Times New Roman"/>
                <w:b/>
                <w:szCs w:val="24"/>
              </w:rPr>
            </w:pPr>
            <w:r w:rsidRPr="00F10C37">
              <w:rPr>
                <w:rFonts w:cs="Times New Roman"/>
                <w:b/>
                <w:szCs w:val="24"/>
              </w:rPr>
              <w:t>Norepinephrine/noradrenaline</w:t>
            </w:r>
          </w:p>
        </w:tc>
      </w:tr>
      <w:tr w:rsidR="0053763D" w:rsidRPr="00F10C37" w14:paraId="7EC2D8D6" w14:textId="77777777" w:rsidTr="00C46407">
        <w:trPr>
          <w:trHeight w:val="512"/>
        </w:trPr>
        <w:tc>
          <w:tcPr>
            <w:tcW w:w="3109" w:type="dxa"/>
            <w:gridSpan w:val="2"/>
          </w:tcPr>
          <w:p w14:paraId="1B946A7F"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27C6554B" w14:textId="77777777" w:rsidR="0053763D" w:rsidRPr="00F10C37" w:rsidRDefault="0053763D" w:rsidP="00C46407">
            <w:pPr>
              <w:jc w:val="both"/>
              <w:rPr>
                <w:rFonts w:cs="Times New Roman"/>
                <w:szCs w:val="24"/>
              </w:rPr>
            </w:pPr>
            <w:r>
              <w:rPr>
                <w:rFonts w:cs="Times New Roman"/>
                <w:szCs w:val="24"/>
              </w:rPr>
              <w:t>S</w:t>
            </w:r>
            <w:r w:rsidRPr="00F10C37">
              <w:rPr>
                <w:rFonts w:cs="Times New Roman"/>
                <w:szCs w:val="24"/>
              </w:rPr>
              <w:t>ympathomimetic</w:t>
            </w:r>
          </w:p>
        </w:tc>
      </w:tr>
      <w:tr w:rsidR="0053763D" w:rsidRPr="00F10C37" w14:paraId="44A37F59" w14:textId="77777777" w:rsidTr="00C46407">
        <w:trPr>
          <w:trHeight w:val="395"/>
        </w:trPr>
        <w:tc>
          <w:tcPr>
            <w:tcW w:w="3109" w:type="dxa"/>
            <w:gridSpan w:val="2"/>
          </w:tcPr>
          <w:p w14:paraId="14058B99"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33C917D1"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Injection: 1mg/1</w:t>
            </w:r>
            <w:r>
              <w:rPr>
                <w:rFonts w:cs="Times New Roman"/>
                <w:szCs w:val="24"/>
                <w:lang w:val="en-US"/>
              </w:rPr>
              <w:t>ml</w:t>
            </w:r>
            <w:r w:rsidRPr="00F10C37">
              <w:rPr>
                <w:rFonts w:cs="Times New Roman"/>
                <w:szCs w:val="24"/>
                <w:lang w:val="en-US"/>
              </w:rPr>
              <w:t xml:space="preserve"> </w:t>
            </w:r>
            <w:r w:rsidRPr="00F10C37">
              <w:rPr>
                <w:rFonts w:cs="Times New Roman"/>
                <w:color w:val="000000"/>
                <w:szCs w:val="24"/>
              </w:rPr>
              <w:t>(4</w:t>
            </w:r>
            <w:r>
              <w:rPr>
                <w:rFonts w:cs="Times New Roman"/>
                <w:color w:val="000000"/>
                <w:szCs w:val="24"/>
              </w:rPr>
              <w:t>ml</w:t>
            </w:r>
            <w:r w:rsidRPr="00F10C37">
              <w:rPr>
                <w:rFonts w:cs="Times New Roman"/>
                <w:color w:val="000000"/>
                <w:szCs w:val="24"/>
              </w:rPr>
              <w:t xml:space="preserve"> ampoule)</w:t>
            </w:r>
          </w:p>
        </w:tc>
      </w:tr>
      <w:tr w:rsidR="0053763D" w:rsidRPr="00F10C37" w14:paraId="6BB0F95A" w14:textId="77777777" w:rsidTr="00C46407">
        <w:trPr>
          <w:trHeight w:val="521"/>
        </w:trPr>
        <w:tc>
          <w:tcPr>
            <w:tcW w:w="3109" w:type="dxa"/>
            <w:gridSpan w:val="2"/>
          </w:tcPr>
          <w:p w14:paraId="4F594BAD" w14:textId="77777777" w:rsidR="0053763D" w:rsidRPr="00D462F4" w:rsidRDefault="0053763D" w:rsidP="00C46407">
            <w:pPr>
              <w:jc w:val="both"/>
              <w:rPr>
                <w:rFonts w:cs="Times New Roman"/>
                <w:szCs w:val="24"/>
              </w:rPr>
            </w:pPr>
            <w:r w:rsidRPr="00D462F4">
              <w:rPr>
                <w:rFonts w:cs="Times New Roman"/>
                <w:szCs w:val="24"/>
              </w:rPr>
              <w:t>Indications</w:t>
            </w:r>
          </w:p>
        </w:tc>
        <w:tc>
          <w:tcPr>
            <w:tcW w:w="6246" w:type="dxa"/>
          </w:tcPr>
          <w:p w14:paraId="2FB91D97" w14:textId="77777777" w:rsidR="0053763D" w:rsidRPr="00F10C37" w:rsidRDefault="0053763D" w:rsidP="00C46407">
            <w:pPr>
              <w:jc w:val="both"/>
              <w:rPr>
                <w:rFonts w:cs="Times New Roman"/>
                <w:szCs w:val="24"/>
              </w:rPr>
            </w:pPr>
            <w:r w:rsidRPr="00F10C37">
              <w:rPr>
                <w:rFonts w:cs="Times New Roman"/>
                <w:szCs w:val="24"/>
              </w:rPr>
              <w:t xml:space="preserve">Cardiogenic shock, septic shock, acute hypotension </w:t>
            </w:r>
          </w:p>
        </w:tc>
      </w:tr>
      <w:tr w:rsidR="0053763D" w:rsidRPr="00F10C37" w14:paraId="00B0AA41" w14:textId="77777777" w:rsidTr="00C46407">
        <w:trPr>
          <w:trHeight w:val="521"/>
        </w:trPr>
        <w:tc>
          <w:tcPr>
            <w:tcW w:w="3109" w:type="dxa"/>
            <w:gridSpan w:val="2"/>
          </w:tcPr>
          <w:p w14:paraId="7F5AE72E" w14:textId="77777777" w:rsidR="0053763D" w:rsidRPr="00F10C37" w:rsidRDefault="0053763D" w:rsidP="00C46407">
            <w:pPr>
              <w:jc w:val="both"/>
              <w:rPr>
                <w:rFonts w:cs="Times New Roman"/>
                <w:szCs w:val="24"/>
              </w:rPr>
            </w:pPr>
            <w:r w:rsidRPr="00F10C37">
              <w:rPr>
                <w:rFonts w:eastAsia="Times New Roman" w:cs="Times New Roman"/>
                <w:szCs w:val="24"/>
              </w:rPr>
              <w:lastRenderedPageBreak/>
              <w:t>Dose and administration</w:t>
            </w:r>
          </w:p>
        </w:tc>
        <w:tc>
          <w:tcPr>
            <w:tcW w:w="6246" w:type="dxa"/>
          </w:tcPr>
          <w:p w14:paraId="5D63C8B8" w14:textId="77777777" w:rsidR="0053763D" w:rsidRDefault="0053763D" w:rsidP="00C46407">
            <w:pPr>
              <w:jc w:val="both"/>
              <w:rPr>
                <w:rFonts w:cs="Times New Roman"/>
                <w:b/>
                <w:szCs w:val="24"/>
              </w:rPr>
            </w:pPr>
            <w:r w:rsidRPr="00F10C37">
              <w:rPr>
                <w:rFonts w:cs="Times New Roman"/>
                <w:b/>
                <w:szCs w:val="24"/>
              </w:rPr>
              <w:t xml:space="preserve">Acute hypotension (initial and on-going treatment): </w:t>
            </w:r>
          </w:p>
          <w:p w14:paraId="5818222B"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by IV infusion: Initially 0.16–0.33 </w:t>
            </w:r>
            <w:r>
              <w:rPr>
                <w:rFonts w:cs="Times New Roman"/>
                <w:szCs w:val="24"/>
              </w:rPr>
              <w:t>ml</w:t>
            </w:r>
            <w:r w:rsidRPr="00F10C37">
              <w:rPr>
                <w:rFonts w:cs="Times New Roman"/>
                <w:szCs w:val="24"/>
              </w:rPr>
              <w:t xml:space="preserve">/min, adjusted according to response, dose applies to a solution containing 40 </w:t>
            </w:r>
            <w:r>
              <w:rPr>
                <w:rFonts w:cs="Times New Roman"/>
                <w:szCs w:val="24"/>
              </w:rPr>
              <w:t>mcg</w:t>
            </w:r>
            <w:r w:rsidRPr="00F10C37">
              <w:rPr>
                <w:rFonts w:cs="Times New Roman"/>
                <w:szCs w:val="24"/>
              </w:rPr>
              <w:t xml:space="preserve"> (base)/</w:t>
            </w:r>
            <w:r>
              <w:rPr>
                <w:rFonts w:cs="Times New Roman"/>
                <w:szCs w:val="24"/>
              </w:rPr>
              <w:t>ml</w:t>
            </w:r>
            <w:r w:rsidRPr="00F10C37">
              <w:rPr>
                <w:rFonts w:cs="Times New Roman"/>
                <w:szCs w:val="24"/>
              </w:rPr>
              <w:t xml:space="preserve"> only, dilute the 1 mg/</w:t>
            </w:r>
            <w:r>
              <w:rPr>
                <w:rFonts w:cs="Times New Roman"/>
                <w:szCs w:val="24"/>
              </w:rPr>
              <w:t>ml</w:t>
            </w:r>
            <w:r w:rsidRPr="00F10C37">
              <w:rPr>
                <w:rFonts w:cs="Times New Roman"/>
                <w:szCs w:val="24"/>
              </w:rPr>
              <w:t xml:space="preserve"> concentrate for infusion for this solution</w:t>
            </w:r>
            <w:r>
              <w:rPr>
                <w:rFonts w:cs="Times New Roman"/>
                <w:szCs w:val="24"/>
              </w:rPr>
              <w:t>.</w:t>
            </w:r>
          </w:p>
          <w:p w14:paraId="30E3B7F8" w14:textId="77777777" w:rsidR="0053763D" w:rsidRDefault="0053763D" w:rsidP="00C46407">
            <w:pPr>
              <w:jc w:val="both"/>
              <w:rPr>
                <w:rFonts w:cs="Times New Roman"/>
                <w:szCs w:val="24"/>
              </w:rPr>
            </w:pPr>
            <w:r w:rsidRPr="00F10C37">
              <w:rPr>
                <w:rFonts w:cs="Times New Roman"/>
                <w:b/>
                <w:szCs w:val="24"/>
              </w:rPr>
              <w:t>Neonate:</w:t>
            </w:r>
            <w:r w:rsidRPr="00F10C37">
              <w:rPr>
                <w:rFonts w:cs="Times New Roman"/>
                <w:szCs w:val="24"/>
              </w:rPr>
              <w:t xml:space="preserve"> 20–100 nanograms/kg/min (max. per dose 1 m</w:t>
            </w:r>
            <w:r>
              <w:rPr>
                <w:rFonts w:cs="Times New Roman"/>
                <w:szCs w:val="24"/>
              </w:rPr>
              <w:t>cg</w:t>
            </w:r>
            <w:r w:rsidRPr="00F10C37">
              <w:rPr>
                <w:rFonts w:cs="Times New Roman"/>
                <w:szCs w:val="24"/>
              </w:rPr>
              <w:t>/kg/min), adjusted according to response; dilute the 1 mg/</w:t>
            </w:r>
            <w:r>
              <w:rPr>
                <w:rFonts w:cs="Times New Roman"/>
                <w:szCs w:val="24"/>
              </w:rPr>
              <w:t>ml</w:t>
            </w:r>
            <w:r w:rsidRPr="00F10C37">
              <w:rPr>
                <w:rFonts w:cs="Times New Roman"/>
                <w:szCs w:val="24"/>
              </w:rPr>
              <w:t xml:space="preserve"> concentrate for infusion for this dose</w:t>
            </w:r>
            <w:r>
              <w:rPr>
                <w:rFonts w:cs="Times New Roman"/>
                <w:szCs w:val="24"/>
              </w:rPr>
              <w:t>.</w:t>
            </w:r>
          </w:p>
          <w:p w14:paraId="2B157199" w14:textId="77777777" w:rsidR="0053763D" w:rsidRPr="00F10C37" w:rsidRDefault="0053763D" w:rsidP="00C46407">
            <w:pPr>
              <w:jc w:val="both"/>
              <w:rPr>
                <w:rFonts w:cs="Times New Roman"/>
                <w:szCs w:val="24"/>
              </w:rPr>
            </w:pPr>
            <w:r w:rsidRPr="00F10C37">
              <w:rPr>
                <w:rFonts w:cs="Times New Roman"/>
                <w:b/>
                <w:szCs w:val="24"/>
              </w:rPr>
              <w:t>Child:</w:t>
            </w:r>
            <w:r w:rsidRPr="00F10C37">
              <w:rPr>
                <w:rFonts w:cs="Times New Roman"/>
                <w:szCs w:val="24"/>
              </w:rPr>
              <w:t xml:space="preserve"> 20–100 nanograms/kg/min (max. per dose 1 m</w:t>
            </w:r>
            <w:r>
              <w:rPr>
                <w:rFonts w:cs="Times New Roman"/>
                <w:szCs w:val="24"/>
              </w:rPr>
              <w:t>cg</w:t>
            </w:r>
            <w:r w:rsidRPr="00F10C37">
              <w:rPr>
                <w:rFonts w:cs="Times New Roman"/>
                <w:szCs w:val="24"/>
              </w:rPr>
              <w:t>/kg/min), adjusted according to response; dilute the 1 mg/</w:t>
            </w:r>
            <w:r>
              <w:rPr>
                <w:rFonts w:cs="Times New Roman"/>
                <w:szCs w:val="24"/>
              </w:rPr>
              <w:t>ml</w:t>
            </w:r>
            <w:r w:rsidRPr="00F10C37">
              <w:rPr>
                <w:rFonts w:cs="Times New Roman"/>
                <w:szCs w:val="24"/>
              </w:rPr>
              <w:t xml:space="preserve"> concentrate for infusion for this dose.</w:t>
            </w:r>
          </w:p>
          <w:p w14:paraId="70B3BF83" w14:textId="77777777" w:rsidR="0053763D" w:rsidRPr="00F11F9E" w:rsidRDefault="0053763D" w:rsidP="00C46407">
            <w:pPr>
              <w:jc w:val="both"/>
              <w:rPr>
                <w:rFonts w:cs="Times New Roman"/>
                <w:szCs w:val="24"/>
              </w:rPr>
            </w:pPr>
            <w:r w:rsidRPr="00F10C37">
              <w:rPr>
                <w:rFonts w:cs="Times New Roman"/>
                <w:b/>
                <w:szCs w:val="24"/>
              </w:rPr>
              <w:t>On-going treatment of acute hypotension (with escalating dose requirements) (body weight 50 kg and above)</w:t>
            </w:r>
            <w:r>
              <w:rPr>
                <w:rFonts w:cs="Times New Roman"/>
                <w:b/>
                <w:szCs w:val="24"/>
              </w:rPr>
              <w:t xml:space="preserve">, </w:t>
            </w:r>
            <w:r w:rsidRPr="00F11F9E">
              <w:rPr>
                <w:rFonts w:cs="Times New Roman"/>
                <w:szCs w:val="24"/>
              </w:rPr>
              <w:t>IV infusion:</w:t>
            </w:r>
          </w:p>
          <w:p w14:paraId="3AC708FD" w14:textId="77777777" w:rsidR="0053763D" w:rsidRPr="00F10C37" w:rsidRDefault="0053763D" w:rsidP="00C46407">
            <w:pPr>
              <w:jc w:val="both"/>
              <w:rPr>
                <w:rFonts w:cs="Times New Roman"/>
                <w:szCs w:val="24"/>
              </w:rPr>
            </w:pPr>
            <w:r w:rsidRPr="00F10C37">
              <w:rPr>
                <w:rFonts w:cs="Times New Roman"/>
                <w:b/>
                <w:szCs w:val="24"/>
              </w:rPr>
              <w:t xml:space="preserve">Adult: </w:t>
            </w:r>
            <w:r w:rsidRPr="00F11F9E">
              <w:rPr>
                <w:rFonts w:cs="Times New Roman"/>
                <w:szCs w:val="24"/>
              </w:rPr>
              <w:t>u</w:t>
            </w:r>
            <w:r w:rsidRPr="00F10C37">
              <w:rPr>
                <w:rFonts w:cs="Times New Roman"/>
                <w:szCs w:val="24"/>
              </w:rPr>
              <w:t>se the 0.08 mg/</w:t>
            </w:r>
            <w:r>
              <w:rPr>
                <w:rFonts w:cs="Times New Roman"/>
                <w:szCs w:val="24"/>
              </w:rPr>
              <w:t>ml</w:t>
            </w:r>
            <w:r w:rsidRPr="00F10C37">
              <w:rPr>
                <w:rFonts w:cs="Times New Roman"/>
                <w:szCs w:val="24"/>
              </w:rPr>
              <w:t xml:space="preserve"> or 0.16 mg/ </w:t>
            </w:r>
            <w:r>
              <w:rPr>
                <w:rFonts w:cs="Times New Roman"/>
                <w:szCs w:val="24"/>
              </w:rPr>
              <w:t>ml</w:t>
            </w:r>
            <w:r w:rsidRPr="00F10C37">
              <w:rPr>
                <w:rFonts w:cs="Times New Roman"/>
                <w:szCs w:val="24"/>
              </w:rPr>
              <w:t xml:space="preserve"> solution for infusion. </w:t>
            </w:r>
          </w:p>
        </w:tc>
      </w:tr>
      <w:tr w:rsidR="0053763D" w:rsidRPr="00F10C37" w14:paraId="2D185DCC" w14:textId="77777777" w:rsidTr="00C46407">
        <w:tc>
          <w:tcPr>
            <w:tcW w:w="3109" w:type="dxa"/>
            <w:gridSpan w:val="2"/>
          </w:tcPr>
          <w:p w14:paraId="14803903"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246" w:type="dxa"/>
          </w:tcPr>
          <w:p w14:paraId="1617E0D1" w14:textId="77777777" w:rsidR="0053763D" w:rsidRPr="00F10C37" w:rsidRDefault="0053763D" w:rsidP="00C46407">
            <w:pPr>
              <w:jc w:val="both"/>
              <w:rPr>
                <w:rFonts w:cs="Times New Roman"/>
                <w:szCs w:val="24"/>
              </w:rPr>
            </w:pPr>
            <w:r w:rsidRPr="00F10C37">
              <w:rPr>
                <w:rFonts w:cs="Times New Roman"/>
                <w:szCs w:val="24"/>
              </w:rPr>
              <w:t xml:space="preserve">Refer to norepinephrine under </w:t>
            </w:r>
            <w:r>
              <w:rPr>
                <w:rFonts w:cs="Times New Roman"/>
                <w:szCs w:val="24"/>
              </w:rPr>
              <w:t xml:space="preserve">medicines for </w:t>
            </w:r>
            <w:r w:rsidRPr="00F10C37">
              <w:rPr>
                <w:rFonts w:cs="Times New Roman"/>
                <w:szCs w:val="24"/>
              </w:rPr>
              <w:t>heart failure</w:t>
            </w:r>
            <w:r>
              <w:rPr>
                <w:rFonts w:cs="Times New Roman"/>
                <w:szCs w:val="24"/>
              </w:rPr>
              <w:t>.</w:t>
            </w:r>
            <w:r w:rsidRPr="00F10C37">
              <w:rPr>
                <w:rFonts w:cs="Times New Roman"/>
                <w:szCs w:val="24"/>
              </w:rPr>
              <w:t xml:space="preserve">  </w:t>
            </w:r>
          </w:p>
        </w:tc>
      </w:tr>
      <w:tr w:rsidR="0053763D" w:rsidRPr="00F10C37" w14:paraId="2002E209" w14:textId="77777777" w:rsidTr="00C46407">
        <w:tc>
          <w:tcPr>
            <w:tcW w:w="3109" w:type="dxa"/>
            <w:gridSpan w:val="2"/>
          </w:tcPr>
          <w:p w14:paraId="1AD32F3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32C739D8" w14:textId="77777777" w:rsidR="0053763D" w:rsidRPr="00F10C37" w:rsidRDefault="0053763D" w:rsidP="00C46407">
            <w:pPr>
              <w:jc w:val="both"/>
              <w:rPr>
                <w:rFonts w:cs="Times New Roman"/>
                <w:szCs w:val="24"/>
              </w:rPr>
            </w:pPr>
            <w:r w:rsidRPr="00F10C37">
              <w:rPr>
                <w:rFonts w:cs="Times New Roman"/>
                <w:szCs w:val="24"/>
              </w:rPr>
              <w:t xml:space="preserve">Refer to norepinephrine under </w:t>
            </w:r>
            <w:r>
              <w:rPr>
                <w:rFonts w:cs="Times New Roman"/>
                <w:szCs w:val="24"/>
              </w:rPr>
              <w:t xml:space="preserve">medicines for </w:t>
            </w:r>
            <w:r w:rsidRPr="00F10C37">
              <w:rPr>
                <w:rFonts w:cs="Times New Roman"/>
                <w:szCs w:val="24"/>
              </w:rPr>
              <w:t>heart failure</w:t>
            </w:r>
            <w:r>
              <w:rPr>
                <w:rFonts w:cs="Times New Roman"/>
                <w:szCs w:val="24"/>
              </w:rPr>
              <w:t>.</w:t>
            </w:r>
            <w:r w:rsidRPr="00F10C37">
              <w:rPr>
                <w:rFonts w:cs="Times New Roman"/>
                <w:szCs w:val="24"/>
              </w:rPr>
              <w:t xml:space="preserve">  </w:t>
            </w:r>
          </w:p>
        </w:tc>
      </w:tr>
      <w:tr w:rsidR="0053763D" w:rsidRPr="00F10C37" w14:paraId="5B616FA0" w14:textId="77777777" w:rsidTr="00C46407">
        <w:tc>
          <w:tcPr>
            <w:tcW w:w="3109" w:type="dxa"/>
            <w:gridSpan w:val="2"/>
          </w:tcPr>
          <w:p w14:paraId="29A624D6" w14:textId="77777777" w:rsidR="0053763D" w:rsidRPr="00F10C37" w:rsidRDefault="0053763D" w:rsidP="00C46407">
            <w:pPr>
              <w:jc w:val="both"/>
              <w:rPr>
                <w:rFonts w:cs="Times New Roman"/>
                <w:szCs w:val="24"/>
              </w:rPr>
            </w:pPr>
            <w:r w:rsidRPr="00F10C37">
              <w:rPr>
                <w:rFonts w:cs="Times New Roman"/>
                <w:szCs w:val="24"/>
              </w:rPr>
              <w:t>Side effects</w:t>
            </w:r>
          </w:p>
        </w:tc>
        <w:tc>
          <w:tcPr>
            <w:tcW w:w="6246" w:type="dxa"/>
          </w:tcPr>
          <w:p w14:paraId="65DFF25B" w14:textId="77777777" w:rsidR="0053763D" w:rsidRPr="00F10C37" w:rsidRDefault="0053763D" w:rsidP="00C46407">
            <w:pPr>
              <w:contextualSpacing/>
              <w:jc w:val="both"/>
              <w:rPr>
                <w:rFonts w:cs="Times New Roman"/>
                <w:szCs w:val="24"/>
              </w:rPr>
            </w:pPr>
            <w:r w:rsidRPr="00F10C37">
              <w:rPr>
                <w:rFonts w:cs="Times New Roman"/>
                <w:szCs w:val="24"/>
              </w:rPr>
              <w:t xml:space="preserve">Refer to norepinephrine under </w:t>
            </w:r>
            <w:r>
              <w:rPr>
                <w:rFonts w:cs="Times New Roman"/>
                <w:szCs w:val="24"/>
              </w:rPr>
              <w:t xml:space="preserve">medicines for </w:t>
            </w:r>
            <w:r w:rsidRPr="00F10C37">
              <w:rPr>
                <w:rFonts w:cs="Times New Roman"/>
                <w:szCs w:val="24"/>
              </w:rPr>
              <w:t>heart failure</w:t>
            </w:r>
            <w:r>
              <w:rPr>
                <w:rFonts w:cs="Times New Roman"/>
                <w:szCs w:val="24"/>
              </w:rPr>
              <w:t>.</w:t>
            </w:r>
            <w:r w:rsidRPr="00F10C37">
              <w:rPr>
                <w:rFonts w:cs="Times New Roman"/>
                <w:szCs w:val="24"/>
              </w:rPr>
              <w:t xml:space="preserve">  </w:t>
            </w:r>
          </w:p>
        </w:tc>
      </w:tr>
      <w:tr w:rsidR="0053763D" w:rsidRPr="00F10C37" w14:paraId="582138C5" w14:textId="77777777" w:rsidTr="00C46407">
        <w:tc>
          <w:tcPr>
            <w:tcW w:w="3109" w:type="dxa"/>
            <w:gridSpan w:val="2"/>
          </w:tcPr>
          <w:p w14:paraId="4404381F"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70E9E5C9" w14:textId="77777777" w:rsidR="0053763D" w:rsidRPr="00F10C37" w:rsidRDefault="0053763D" w:rsidP="00C46407">
            <w:pPr>
              <w:jc w:val="both"/>
              <w:rPr>
                <w:rFonts w:cs="Times New Roman"/>
                <w:szCs w:val="24"/>
              </w:rPr>
            </w:pPr>
            <w:r w:rsidRPr="00F10C37">
              <w:rPr>
                <w:rFonts w:cs="Times New Roman"/>
                <w:szCs w:val="24"/>
              </w:rPr>
              <w:t xml:space="preserve">Refer to norepinephrine under </w:t>
            </w:r>
            <w:r>
              <w:rPr>
                <w:rFonts w:cs="Times New Roman"/>
                <w:szCs w:val="24"/>
              </w:rPr>
              <w:t xml:space="preserve">medicines for </w:t>
            </w:r>
            <w:r w:rsidRPr="00F10C37">
              <w:rPr>
                <w:rFonts w:cs="Times New Roman"/>
                <w:szCs w:val="24"/>
              </w:rPr>
              <w:t>heart failure</w:t>
            </w:r>
            <w:r>
              <w:rPr>
                <w:rFonts w:cs="Times New Roman"/>
                <w:szCs w:val="24"/>
              </w:rPr>
              <w:t>.</w:t>
            </w:r>
            <w:r w:rsidRPr="00F10C37">
              <w:rPr>
                <w:rFonts w:cs="Times New Roman"/>
                <w:szCs w:val="24"/>
              </w:rPr>
              <w:t xml:space="preserve">  </w:t>
            </w:r>
          </w:p>
        </w:tc>
      </w:tr>
      <w:tr w:rsidR="0053763D" w:rsidRPr="00F10C37" w14:paraId="34BA1908" w14:textId="77777777" w:rsidTr="00C46407">
        <w:tc>
          <w:tcPr>
            <w:tcW w:w="3109" w:type="dxa"/>
            <w:gridSpan w:val="2"/>
          </w:tcPr>
          <w:p w14:paraId="0D8BB503"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43ABE697" w14:textId="77777777" w:rsidR="0053763D" w:rsidRPr="00F10C37" w:rsidRDefault="0053763D" w:rsidP="00C46407">
            <w:pPr>
              <w:jc w:val="both"/>
              <w:rPr>
                <w:rFonts w:cs="Times New Roman"/>
                <w:szCs w:val="24"/>
              </w:rPr>
            </w:pPr>
            <w:r>
              <w:rPr>
                <w:rFonts w:cs="Times New Roman"/>
                <w:szCs w:val="24"/>
              </w:rPr>
              <w:t xml:space="preserve">Store between 15-30 </w:t>
            </w:r>
            <w:r w:rsidRPr="00F10C37">
              <w:rPr>
                <w:rFonts w:cs="Times New Roman"/>
                <w:szCs w:val="24"/>
                <w:vertAlign w:val="superscript"/>
              </w:rPr>
              <w:t>o</w:t>
            </w:r>
            <w:r w:rsidRPr="00F10C37">
              <w:rPr>
                <w:rFonts w:cs="Times New Roman"/>
                <w:szCs w:val="24"/>
              </w:rPr>
              <w:t>C.</w:t>
            </w:r>
            <w:r>
              <w:rPr>
                <w:rFonts w:cs="Times New Roman"/>
                <w:szCs w:val="24"/>
              </w:rPr>
              <w:t xml:space="preserve"> Protect from light.</w:t>
            </w:r>
          </w:p>
        </w:tc>
      </w:tr>
    </w:tbl>
    <w:p w14:paraId="625F0A24" w14:textId="77777777" w:rsidR="0053763D" w:rsidRPr="00F10C37" w:rsidRDefault="0053763D" w:rsidP="00910906">
      <w:pPr>
        <w:pStyle w:val="Heading2"/>
        <w:spacing w:before="240" w:after="240"/>
        <w:rPr>
          <w:i/>
        </w:rPr>
      </w:pPr>
      <w:bookmarkStart w:id="35" w:name="_Toc179490319"/>
      <w:r w:rsidRPr="00F10C37">
        <w:t xml:space="preserve">Medicines used for </w:t>
      </w:r>
      <w:r>
        <w:t>p</w:t>
      </w:r>
      <w:r w:rsidRPr="00F10C37">
        <w:t xml:space="preserve">ulmonary </w:t>
      </w:r>
      <w:r>
        <w:t>h</w:t>
      </w:r>
      <w:r w:rsidRPr="00F10C37">
        <w:t>ypertension</w:t>
      </w:r>
      <w:bookmarkEnd w:id="35"/>
    </w:p>
    <w:p w14:paraId="7314F6CB" w14:textId="77777777" w:rsidR="0053763D" w:rsidRPr="00F10C37" w:rsidRDefault="0053763D" w:rsidP="0053763D">
      <w:pPr>
        <w:tabs>
          <w:tab w:val="num" w:pos="720"/>
        </w:tabs>
        <w:spacing w:after="0"/>
        <w:jc w:val="both"/>
        <w:rPr>
          <w:rFonts w:cs="Times New Roman"/>
          <w:szCs w:val="24"/>
        </w:rPr>
      </w:pPr>
      <w:r w:rsidRPr="00011842">
        <w:rPr>
          <w:rFonts w:cs="Times New Roman"/>
          <w:bCs/>
          <w:szCs w:val="24"/>
        </w:rPr>
        <w:t>Pulmonary hypertension is a rare disorder that progresses to increase in right ventricular after load and decrease in the ability to increase cardiac output resulting in heart failure.  It is categorized in to</w:t>
      </w:r>
      <w:r w:rsidRPr="003D3E3A">
        <w:rPr>
          <w:rFonts w:cs="Times New Roman"/>
          <w:bCs/>
          <w:szCs w:val="24"/>
        </w:rPr>
        <w:t xml:space="preserve"> five (group 1-5) based on the cause.</w:t>
      </w:r>
      <w:r w:rsidRPr="003D3E3A">
        <w:rPr>
          <w:rFonts w:cs="Times New Roman"/>
          <w:szCs w:val="24"/>
        </w:rPr>
        <w:t xml:space="preserve"> </w:t>
      </w:r>
      <w:r w:rsidRPr="00011842">
        <w:rPr>
          <w:rFonts w:cs="Times New Roman"/>
          <w:szCs w:val="24"/>
        </w:rPr>
        <w:t xml:space="preserve">The treatment of pulmonary hypertension is decided based on the type. Phosphodiesterase type 5 (PDE5) inhibitors, endothelin (ET) receptor antagonists, prostacyclin agonists, calcium channel blockers, anticoagulants, and inhaled nitric oxide (iNO) are widely studied and recommended mainly for group 1 pulmonary hypertension which is </w:t>
      </w:r>
      <w:hyperlink r:id="rId24" w:history="1">
        <w:r w:rsidRPr="003D3E3A">
          <w:rPr>
            <w:rStyle w:val="Hyperlink"/>
            <w:rFonts w:cs="Times New Roman"/>
            <w:color w:val="auto"/>
            <w:szCs w:val="24"/>
            <w:u w:val="none"/>
          </w:rPr>
          <w:t>Pulmonary arterial hypertension (PAH)</w:t>
        </w:r>
      </w:hyperlink>
      <w:r w:rsidRPr="00011842">
        <w:rPr>
          <w:rFonts w:cs="Times New Roman"/>
          <w:szCs w:val="24"/>
        </w:rPr>
        <w:t xml:space="preserve">. Prior to initiation of targeted pulmonary hypertension therapy, the patient should be assessed for acute vasodilator </w:t>
      </w:r>
      <w:r w:rsidRPr="00011842">
        <w:rPr>
          <w:rFonts w:cs="Times New Roman"/>
          <w:szCs w:val="24"/>
        </w:rPr>
        <w:lastRenderedPageBreak/>
        <w:t xml:space="preserve">responsiveness via cardiac catheterization; left-sided heart disease or pulmonary venous disease resulting in an anatomic obstruction should be excluded. </w:t>
      </w:r>
    </w:p>
    <w:tbl>
      <w:tblPr>
        <w:tblStyle w:val="TableGrid10"/>
        <w:tblW w:w="9355" w:type="dxa"/>
        <w:tblLook w:val="04A0" w:firstRow="1" w:lastRow="0" w:firstColumn="1" w:lastColumn="0" w:noHBand="0" w:noVBand="1"/>
      </w:tblPr>
      <w:tblGrid>
        <w:gridCol w:w="3109"/>
        <w:gridCol w:w="6246"/>
      </w:tblGrid>
      <w:tr w:rsidR="0053763D" w:rsidRPr="00F10C37" w14:paraId="49EC6C9C" w14:textId="77777777" w:rsidTr="00C46407">
        <w:trPr>
          <w:trHeight w:val="368"/>
        </w:trPr>
        <w:tc>
          <w:tcPr>
            <w:tcW w:w="9355" w:type="dxa"/>
            <w:gridSpan w:val="2"/>
          </w:tcPr>
          <w:p w14:paraId="064CC349" w14:textId="77777777" w:rsidR="0053763D" w:rsidRPr="00F10C37" w:rsidRDefault="0053763D" w:rsidP="00C46407">
            <w:pPr>
              <w:jc w:val="both"/>
              <w:rPr>
                <w:rFonts w:cs="Times New Roman"/>
                <w:b/>
                <w:szCs w:val="24"/>
              </w:rPr>
            </w:pPr>
            <w:r w:rsidRPr="00F10C37">
              <w:rPr>
                <w:rFonts w:cs="Times New Roman"/>
                <w:b/>
                <w:szCs w:val="24"/>
              </w:rPr>
              <w:t>Bosentan</w:t>
            </w:r>
          </w:p>
        </w:tc>
      </w:tr>
      <w:tr w:rsidR="0053763D" w:rsidRPr="00F10C37" w14:paraId="62D3B3A6" w14:textId="77777777" w:rsidTr="00C46407">
        <w:trPr>
          <w:trHeight w:val="512"/>
        </w:trPr>
        <w:tc>
          <w:tcPr>
            <w:tcW w:w="3109" w:type="dxa"/>
          </w:tcPr>
          <w:p w14:paraId="0E0F7324"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01C0F716" w14:textId="77777777" w:rsidR="0053763D" w:rsidRPr="00F10C37" w:rsidRDefault="0053763D" w:rsidP="00C46407">
            <w:pPr>
              <w:jc w:val="both"/>
              <w:rPr>
                <w:rFonts w:cs="Times New Roman"/>
                <w:szCs w:val="24"/>
              </w:rPr>
            </w:pPr>
            <w:r w:rsidRPr="00F10C37">
              <w:rPr>
                <w:rFonts w:cs="Times New Roman"/>
                <w:szCs w:val="24"/>
              </w:rPr>
              <w:t>Endothelin receptor antagonists</w:t>
            </w:r>
          </w:p>
        </w:tc>
      </w:tr>
      <w:tr w:rsidR="0053763D" w:rsidRPr="00F10C37" w14:paraId="563795DD" w14:textId="77777777" w:rsidTr="00C46407">
        <w:trPr>
          <w:trHeight w:val="395"/>
        </w:trPr>
        <w:tc>
          <w:tcPr>
            <w:tcW w:w="3109" w:type="dxa"/>
          </w:tcPr>
          <w:p w14:paraId="6E9FCB09"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033D000D"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lang w:val="en-US"/>
              </w:rPr>
              <w:t>Film coated tablet: 62.5mg, 125mg</w:t>
            </w:r>
          </w:p>
        </w:tc>
      </w:tr>
      <w:tr w:rsidR="0053763D" w:rsidRPr="00F10C37" w14:paraId="139A7EB1" w14:textId="77777777" w:rsidTr="00C46407">
        <w:trPr>
          <w:trHeight w:val="521"/>
        </w:trPr>
        <w:tc>
          <w:tcPr>
            <w:tcW w:w="3109" w:type="dxa"/>
          </w:tcPr>
          <w:p w14:paraId="2D7D2065" w14:textId="77777777" w:rsidR="0053763D" w:rsidRPr="00C46595" w:rsidRDefault="0053763D" w:rsidP="00C46407">
            <w:pPr>
              <w:jc w:val="both"/>
              <w:rPr>
                <w:rFonts w:cs="Times New Roman"/>
                <w:szCs w:val="24"/>
              </w:rPr>
            </w:pPr>
            <w:r w:rsidRPr="00C46595">
              <w:rPr>
                <w:rFonts w:cs="Times New Roman"/>
                <w:szCs w:val="24"/>
              </w:rPr>
              <w:t>Indications</w:t>
            </w:r>
          </w:p>
        </w:tc>
        <w:tc>
          <w:tcPr>
            <w:tcW w:w="6246" w:type="dxa"/>
          </w:tcPr>
          <w:p w14:paraId="34509CC2" w14:textId="77777777" w:rsidR="0053763D" w:rsidRPr="00F10C37" w:rsidRDefault="0053763D" w:rsidP="00C46407">
            <w:pPr>
              <w:jc w:val="both"/>
              <w:rPr>
                <w:rFonts w:cs="Times New Roman"/>
                <w:szCs w:val="24"/>
              </w:rPr>
            </w:pPr>
            <w:r w:rsidRPr="00F10C37">
              <w:rPr>
                <w:rFonts w:cs="Times New Roman"/>
                <w:szCs w:val="24"/>
              </w:rPr>
              <w:t>Pulmonary arterial hypertension, systemic sclerosis</w:t>
            </w:r>
            <w:r>
              <w:rPr>
                <w:rFonts w:cs="Times New Roman"/>
                <w:szCs w:val="24"/>
              </w:rPr>
              <w:t>.</w:t>
            </w:r>
            <w:r w:rsidRPr="00F10C37">
              <w:rPr>
                <w:rFonts w:cs="Times New Roman"/>
                <w:szCs w:val="24"/>
              </w:rPr>
              <w:t xml:space="preserve"> </w:t>
            </w:r>
          </w:p>
        </w:tc>
      </w:tr>
      <w:tr w:rsidR="0053763D" w:rsidRPr="00F10C37" w14:paraId="7B4658F3" w14:textId="77777777" w:rsidTr="00C46407">
        <w:trPr>
          <w:trHeight w:val="521"/>
        </w:trPr>
        <w:tc>
          <w:tcPr>
            <w:tcW w:w="3109" w:type="dxa"/>
          </w:tcPr>
          <w:p w14:paraId="28FB1954"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44077ADD" w14:textId="77777777" w:rsidR="0053763D" w:rsidRDefault="0053763D" w:rsidP="00C46407">
            <w:pPr>
              <w:jc w:val="both"/>
              <w:rPr>
                <w:rFonts w:cs="Times New Roman"/>
                <w:szCs w:val="24"/>
              </w:rPr>
            </w:pPr>
            <w:r w:rsidRPr="00F10C37">
              <w:rPr>
                <w:rFonts w:cs="Times New Roman"/>
                <w:b/>
                <w:szCs w:val="24"/>
              </w:rPr>
              <w:t>Pulmonary arterial hypertension (initiated under specialist supervision</w:t>
            </w:r>
            <w:r w:rsidRPr="00F10C37">
              <w:rPr>
                <w:rFonts w:cs="Times New Roman"/>
                <w:szCs w:val="24"/>
              </w:rPr>
              <w:t>)</w:t>
            </w:r>
            <w:r>
              <w:rPr>
                <w:rFonts w:cs="Times New Roman"/>
                <w:szCs w:val="24"/>
              </w:rPr>
              <w:t>:</w:t>
            </w:r>
          </w:p>
          <w:p w14:paraId="6E0157D5" w14:textId="77777777" w:rsidR="0053763D" w:rsidRDefault="0053763D" w:rsidP="00C46407">
            <w:pPr>
              <w:jc w:val="both"/>
              <w:rPr>
                <w:rFonts w:cs="Times New Roman"/>
                <w:iCs/>
                <w:szCs w:val="24"/>
              </w:rPr>
            </w:pPr>
            <w:r w:rsidRPr="00F10C37">
              <w:rPr>
                <w:rFonts w:cs="Times New Roman"/>
                <w:b/>
                <w:szCs w:val="24"/>
              </w:rPr>
              <w:t>Adult</w:t>
            </w:r>
            <w:r>
              <w:rPr>
                <w:rFonts w:cs="Times New Roman"/>
                <w:b/>
                <w:szCs w:val="24"/>
              </w:rPr>
              <w:t xml:space="preserve"> </w:t>
            </w:r>
            <w:r w:rsidRPr="00F10C37">
              <w:rPr>
                <w:rFonts w:cs="Times New Roman"/>
                <w:b/>
                <w:szCs w:val="24"/>
              </w:rPr>
              <w:t>&gt;</w:t>
            </w:r>
            <w:r>
              <w:rPr>
                <w:rFonts w:cs="Times New Roman"/>
                <w:b/>
                <w:szCs w:val="24"/>
              </w:rPr>
              <w:t xml:space="preserve"> </w:t>
            </w:r>
            <w:r w:rsidRPr="00F10C37">
              <w:rPr>
                <w:rFonts w:cs="Times New Roman"/>
                <w:b/>
                <w:szCs w:val="24"/>
              </w:rPr>
              <w:t>40kg:</w:t>
            </w:r>
            <w:r w:rsidRPr="00F10C37">
              <w:rPr>
                <w:rFonts w:cs="Times New Roman"/>
                <w:szCs w:val="24"/>
              </w:rPr>
              <w:t xml:space="preserve"> Initially 62.5 mg twice daily for 4 weeks, then increased to 125 mg twice daily (max. per dose 250 mg); maximum 500 mg per day. Adult &lt;40kg: </w:t>
            </w:r>
            <w:r w:rsidRPr="00F10C37">
              <w:rPr>
                <w:rFonts w:cs="Times New Roman"/>
                <w:iCs/>
                <w:szCs w:val="24"/>
              </w:rPr>
              <w:t xml:space="preserve">Maintenance dose at 62.5 mg twice daily. </w:t>
            </w:r>
          </w:p>
          <w:p w14:paraId="449387A1" w14:textId="77777777" w:rsidR="0053763D" w:rsidRPr="00F10C37" w:rsidRDefault="0053763D" w:rsidP="00C46407">
            <w:pPr>
              <w:jc w:val="both"/>
              <w:rPr>
                <w:rFonts w:cs="Times New Roman"/>
                <w:iCs/>
                <w:szCs w:val="24"/>
              </w:rPr>
            </w:pPr>
            <w:r w:rsidRPr="00F10C37">
              <w:rPr>
                <w:rFonts w:cs="Times New Roman"/>
                <w:b/>
                <w:iCs/>
                <w:szCs w:val="24"/>
              </w:rPr>
              <w:t>Child</w:t>
            </w:r>
            <w:r>
              <w:rPr>
                <w:rFonts w:cs="Times New Roman"/>
                <w:b/>
                <w:iCs/>
                <w:szCs w:val="24"/>
              </w:rPr>
              <w:t xml:space="preserve"> </w:t>
            </w:r>
            <w:r w:rsidRPr="00F10C37">
              <w:rPr>
                <w:rFonts w:cs="Times New Roman"/>
                <w:b/>
                <w:iCs/>
                <w:szCs w:val="24"/>
              </w:rPr>
              <w:t>&gt;</w:t>
            </w:r>
            <w:r>
              <w:rPr>
                <w:rFonts w:cs="Times New Roman"/>
                <w:b/>
                <w:iCs/>
                <w:szCs w:val="24"/>
              </w:rPr>
              <w:t xml:space="preserve"> </w:t>
            </w:r>
            <w:r w:rsidRPr="00F10C37">
              <w:rPr>
                <w:rFonts w:cs="Times New Roman"/>
                <w:b/>
                <w:iCs/>
                <w:szCs w:val="24"/>
              </w:rPr>
              <w:t>12 years and weighs &lt; 40Kg:</w:t>
            </w:r>
            <w:r w:rsidRPr="00F10C37">
              <w:rPr>
                <w:rFonts w:cs="Times New Roman"/>
                <w:iCs/>
                <w:szCs w:val="24"/>
              </w:rPr>
              <w:t xml:space="preserve"> 62.5mg two times a day. </w:t>
            </w:r>
          </w:p>
          <w:p w14:paraId="6AC71210" w14:textId="77777777" w:rsidR="0053763D" w:rsidRPr="00F10C37" w:rsidRDefault="0053763D" w:rsidP="00C46407">
            <w:pPr>
              <w:jc w:val="both"/>
              <w:rPr>
                <w:rFonts w:cs="Times New Roman"/>
                <w:szCs w:val="24"/>
              </w:rPr>
            </w:pPr>
            <w:r w:rsidRPr="00F10C37">
              <w:rPr>
                <w:rFonts w:cs="Times New Roman"/>
                <w:b/>
                <w:iCs/>
                <w:szCs w:val="24"/>
              </w:rPr>
              <w:t>Child</w:t>
            </w:r>
            <w:r>
              <w:rPr>
                <w:rFonts w:cs="Times New Roman"/>
                <w:b/>
                <w:iCs/>
                <w:szCs w:val="24"/>
              </w:rPr>
              <w:t xml:space="preserve"> </w:t>
            </w:r>
            <w:r w:rsidRPr="00F10C37">
              <w:rPr>
                <w:rFonts w:cs="Times New Roman"/>
                <w:b/>
                <w:iCs/>
                <w:szCs w:val="24"/>
              </w:rPr>
              <w:t>&lt;</w:t>
            </w:r>
            <w:r>
              <w:rPr>
                <w:rFonts w:cs="Times New Roman"/>
                <w:b/>
                <w:iCs/>
                <w:szCs w:val="24"/>
              </w:rPr>
              <w:t xml:space="preserve"> </w:t>
            </w:r>
            <w:r w:rsidRPr="00F10C37">
              <w:rPr>
                <w:rFonts w:cs="Times New Roman"/>
                <w:b/>
                <w:iCs/>
                <w:szCs w:val="24"/>
              </w:rPr>
              <w:t>12 years:</w:t>
            </w:r>
            <w:r w:rsidRPr="00F10C37">
              <w:rPr>
                <w:rFonts w:cs="Times New Roman"/>
                <w:iCs/>
                <w:szCs w:val="24"/>
              </w:rPr>
              <w:t xml:space="preserve"> Dose is based on body weight and must be determined by a specialist.</w:t>
            </w:r>
          </w:p>
          <w:p w14:paraId="720CE333" w14:textId="77777777" w:rsidR="0053763D" w:rsidRDefault="0053763D" w:rsidP="00C46407">
            <w:pPr>
              <w:jc w:val="both"/>
              <w:rPr>
                <w:rFonts w:cs="Times New Roman"/>
                <w:b/>
                <w:szCs w:val="24"/>
              </w:rPr>
            </w:pPr>
            <w:r w:rsidRPr="00F10C37">
              <w:rPr>
                <w:rFonts w:cs="Times New Roman"/>
                <w:b/>
                <w:szCs w:val="24"/>
              </w:rPr>
              <w:t>Systemic sclerosis with ongoing digital ulcer disease (to reduce number of new digital ulcers)</w:t>
            </w:r>
            <w:r>
              <w:rPr>
                <w:rFonts w:cs="Times New Roman"/>
                <w:b/>
                <w:szCs w:val="24"/>
              </w:rPr>
              <w:t>:</w:t>
            </w:r>
          </w:p>
          <w:p w14:paraId="7375113D"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62.5 mg twice daily for 4 weeks, then increased to 125 mg </w:t>
            </w:r>
            <w:r>
              <w:rPr>
                <w:rFonts w:cs="Times New Roman"/>
                <w:szCs w:val="24"/>
              </w:rPr>
              <w:t>twice daily</w:t>
            </w:r>
            <w:r w:rsidRPr="00F10C37">
              <w:rPr>
                <w:rFonts w:cs="Times New Roman"/>
                <w:szCs w:val="24"/>
              </w:rPr>
              <w:t>.</w:t>
            </w:r>
          </w:p>
          <w:p w14:paraId="6D2338C9" w14:textId="77777777" w:rsidR="0053763D" w:rsidRPr="003D3E3A" w:rsidRDefault="0053763D" w:rsidP="00C46407">
            <w:pPr>
              <w:jc w:val="both"/>
              <w:rPr>
                <w:rFonts w:cs="Times New Roman"/>
                <w:i/>
                <w:szCs w:val="24"/>
              </w:rPr>
            </w:pPr>
            <w:r w:rsidRPr="00F11F9E">
              <w:rPr>
                <w:rFonts w:cs="Times New Roman"/>
                <w:i/>
                <w:szCs w:val="24"/>
              </w:rPr>
              <w:t>Note:</w:t>
            </w:r>
            <w:r w:rsidRPr="00C46595">
              <w:rPr>
                <w:rFonts w:cs="Times New Roman"/>
                <w:i/>
                <w:szCs w:val="24"/>
              </w:rPr>
              <w:t xml:space="preserve"> discontinuation of treatment: consider a reduction in</w:t>
            </w:r>
            <w:r w:rsidRPr="00C46595">
              <w:rPr>
                <w:rFonts w:cs="Times New Roman"/>
                <w:i/>
                <w:szCs w:val="24"/>
              </w:rPr>
              <w:br/>
              <w:t>dosage to 62.5 mg twice daily for 3-7 days.</w:t>
            </w:r>
          </w:p>
        </w:tc>
      </w:tr>
      <w:tr w:rsidR="0053763D" w:rsidRPr="00F10C37" w14:paraId="7587CF8E" w14:textId="77777777" w:rsidTr="00C46407">
        <w:tc>
          <w:tcPr>
            <w:tcW w:w="3109" w:type="dxa"/>
          </w:tcPr>
          <w:p w14:paraId="54CF4BB3"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246" w:type="dxa"/>
          </w:tcPr>
          <w:p w14:paraId="2F9801BF"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ypersensitivity</w:t>
            </w:r>
            <w:r>
              <w:rPr>
                <w:rFonts w:cs="Times New Roman"/>
                <w:szCs w:val="24"/>
              </w:rPr>
              <w:t xml:space="preserve"> to the drug, </w:t>
            </w:r>
            <w:r>
              <w:rPr>
                <w:rFonts w:eastAsiaTheme="minorHAnsi" w:cs="Times New Roman"/>
                <w:color w:val="231F20"/>
                <w:kern w:val="0"/>
                <w:szCs w:val="24"/>
                <w:lang w:val="en-US" w:eastAsia="en-US"/>
              </w:rPr>
              <w:t>a</w:t>
            </w:r>
            <w:r w:rsidRPr="00F10C37">
              <w:rPr>
                <w:rFonts w:eastAsiaTheme="minorHAnsi" w:cs="Times New Roman"/>
                <w:color w:val="231F20"/>
                <w:kern w:val="0"/>
                <w:szCs w:val="24"/>
                <w:lang w:val="en-US" w:eastAsia="en-US"/>
              </w:rPr>
              <w:t>cute porphyria’s</w:t>
            </w:r>
            <w:r w:rsidRPr="00F10C37">
              <w:rPr>
                <w:rFonts w:cs="Times New Roman"/>
                <w:color w:val="231F20"/>
                <w:szCs w:val="24"/>
              </w:rPr>
              <w:t>, p</w:t>
            </w:r>
            <w:r w:rsidRPr="00F10C37">
              <w:rPr>
                <w:rFonts w:cs="Times New Roman"/>
                <w:szCs w:val="24"/>
              </w:rPr>
              <w:t>regnancy, concomitant cyclosporine or glyburide use</w:t>
            </w:r>
            <w:r>
              <w:rPr>
                <w:rFonts w:cs="Times New Roman"/>
                <w:szCs w:val="24"/>
              </w:rPr>
              <w:t>.</w:t>
            </w:r>
          </w:p>
        </w:tc>
      </w:tr>
      <w:tr w:rsidR="0053763D" w:rsidRPr="00F10C37" w14:paraId="657AB8A1" w14:textId="77777777" w:rsidTr="00C46407">
        <w:tc>
          <w:tcPr>
            <w:tcW w:w="3109" w:type="dxa"/>
          </w:tcPr>
          <w:p w14:paraId="76326C40"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076FC239" w14:textId="77777777" w:rsidR="0053763D" w:rsidRPr="00F10C37" w:rsidRDefault="0053763D" w:rsidP="00C46407">
            <w:pPr>
              <w:jc w:val="both"/>
              <w:rPr>
                <w:rFonts w:cs="Times New Roman"/>
                <w:szCs w:val="24"/>
              </w:rPr>
            </w:pPr>
            <w:r>
              <w:rPr>
                <w:rFonts w:cs="Times New Roman"/>
                <w:szCs w:val="24"/>
              </w:rPr>
              <w:t>P</w:t>
            </w:r>
            <w:r w:rsidRPr="00F10C37">
              <w:rPr>
                <w:rFonts w:cs="Times New Roman"/>
                <w:szCs w:val="24"/>
              </w:rPr>
              <w:t xml:space="preserve">henobarbitone, phenytoin, carbamazepine, amiodarone, azole antifungals, second generation antipsychotics, midazolam, nifedipine, </w:t>
            </w:r>
            <w:r>
              <w:rPr>
                <w:rFonts w:cs="Times New Roman"/>
                <w:szCs w:val="24"/>
              </w:rPr>
              <w:t>aml</w:t>
            </w:r>
            <w:r w:rsidRPr="00F10C37">
              <w:rPr>
                <w:rFonts w:cs="Times New Roman"/>
                <w:szCs w:val="24"/>
              </w:rPr>
              <w:t xml:space="preserve">odipine, </w:t>
            </w:r>
            <w:r>
              <w:rPr>
                <w:rFonts w:cs="Times New Roman"/>
                <w:szCs w:val="24"/>
              </w:rPr>
              <w:t>v</w:t>
            </w:r>
            <w:r w:rsidRPr="00F10C37">
              <w:rPr>
                <w:rFonts w:cs="Times New Roman"/>
                <w:szCs w:val="24"/>
              </w:rPr>
              <w:t>erapamil, cyclosporin, hormonal contraceptives, protease inhibitors, macrolides</w:t>
            </w:r>
            <w:r>
              <w:rPr>
                <w:rFonts w:cs="Times New Roman"/>
                <w:szCs w:val="24"/>
              </w:rPr>
              <w:t>,</w:t>
            </w:r>
            <w:r w:rsidRPr="00F10C37">
              <w:rPr>
                <w:rFonts w:cs="Times New Roman"/>
                <w:szCs w:val="24"/>
              </w:rPr>
              <w:t xml:space="preserve"> dolutegravir, NNRTIs, methadone, rifampicin, St. John’s wort, statins, glibenclimide, tacrolimus, taxanes. </w:t>
            </w:r>
          </w:p>
        </w:tc>
      </w:tr>
      <w:tr w:rsidR="0053763D" w:rsidRPr="00F10C37" w14:paraId="47FE6DBC" w14:textId="77777777" w:rsidTr="00C46407">
        <w:tc>
          <w:tcPr>
            <w:tcW w:w="3109" w:type="dxa"/>
          </w:tcPr>
          <w:p w14:paraId="3009F3F9"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246" w:type="dxa"/>
          </w:tcPr>
          <w:p w14:paraId="08E15820"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Anemia, diarrhea, flushing, </w:t>
            </w:r>
            <w:r>
              <w:rPr>
                <w:rFonts w:eastAsiaTheme="minorHAnsi" w:cs="Times New Roman"/>
                <w:color w:val="231F20"/>
                <w:kern w:val="0"/>
                <w:szCs w:val="24"/>
                <w:lang w:val="en-US" w:eastAsia="en-US"/>
              </w:rPr>
              <w:t>gastroesophageal reflux diseases</w:t>
            </w:r>
            <w:r w:rsidRPr="00F10C37">
              <w:rPr>
                <w:rFonts w:eastAsiaTheme="minorHAnsi" w:cs="Times New Roman"/>
                <w:color w:val="231F20"/>
                <w:kern w:val="0"/>
                <w:szCs w:val="24"/>
                <w:lang w:val="en-US" w:eastAsia="en-US"/>
              </w:rPr>
              <w:t>, headache, nasal congestion, palpitations, skin reactions, syncope</w:t>
            </w:r>
            <w:r>
              <w:rPr>
                <w:rFonts w:eastAsiaTheme="minorHAnsi" w:cs="Times New Roman"/>
                <w:color w:val="231F20"/>
                <w:kern w:val="0"/>
                <w:szCs w:val="24"/>
                <w:lang w:val="en-US" w:eastAsia="en-US"/>
              </w:rPr>
              <w:t>.</w:t>
            </w:r>
          </w:p>
        </w:tc>
      </w:tr>
      <w:tr w:rsidR="0053763D" w:rsidRPr="00F10C37" w14:paraId="515CB5C3" w14:textId="77777777" w:rsidTr="00C46407">
        <w:tc>
          <w:tcPr>
            <w:tcW w:w="3109" w:type="dxa"/>
          </w:tcPr>
          <w:p w14:paraId="06C4A249"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40928DF5" w14:textId="77777777" w:rsidR="0053763D" w:rsidRPr="00F10C37" w:rsidRDefault="0053763D" w:rsidP="00C46407">
            <w:pPr>
              <w:autoSpaceDE w:val="0"/>
              <w:autoSpaceDN w:val="0"/>
              <w:adjustRightInd w:val="0"/>
              <w:jc w:val="both"/>
              <w:rPr>
                <w:rFonts w:cs="Times New Roman"/>
                <w:szCs w:val="24"/>
              </w:rPr>
            </w:pPr>
            <w:r w:rsidRPr="003D3E3A">
              <w:rPr>
                <w:rFonts w:eastAsiaTheme="minorHAnsi" w:cs="Times New Roman"/>
                <w:color w:val="231F20"/>
                <w:kern w:val="0"/>
                <w:szCs w:val="24"/>
                <w:lang w:val="en-US" w:eastAsia="en-US"/>
              </w:rPr>
              <w:t>Hypotension</w:t>
            </w:r>
            <w:r w:rsidRPr="005E7CCF">
              <w:rPr>
                <w:rFonts w:eastAsiaTheme="minorHAnsi" w:cs="Times New Roman"/>
                <w:color w:val="231F20"/>
                <w:kern w:val="0"/>
                <w:szCs w:val="24"/>
                <w:lang w:val="en-US" w:eastAsia="en-US"/>
              </w:rPr>
              <w:t>, pulmonary veno-occlusive disease</w:t>
            </w:r>
            <w:r w:rsidRPr="005E7CCF">
              <w:rPr>
                <w:rFonts w:cs="Times New Roman"/>
                <w:color w:val="231F20"/>
                <w:szCs w:val="24"/>
              </w:rPr>
              <w:t xml:space="preserve">, </w:t>
            </w:r>
            <w:r w:rsidRPr="003D3E3A">
              <w:rPr>
                <w:rFonts w:cs="Times New Roman"/>
                <w:szCs w:val="24"/>
              </w:rPr>
              <w:t>anemia</w:t>
            </w:r>
            <w:r w:rsidRPr="005E7CCF">
              <w:rPr>
                <w:rFonts w:cs="Times New Roman"/>
                <w:szCs w:val="24"/>
              </w:rPr>
              <w:t>, h</w:t>
            </w:r>
            <w:r w:rsidRPr="005E7CCF">
              <w:rPr>
                <w:rFonts w:cs="Times New Roman"/>
                <w:bCs/>
                <w:szCs w:val="24"/>
              </w:rPr>
              <w:t>epatic impairment, renal impairment,</w:t>
            </w:r>
            <w:r w:rsidRPr="005E7CCF">
              <w:rPr>
                <w:rFonts w:cs="Times New Roman"/>
                <w:szCs w:val="24"/>
              </w:rPr>
              <w:t xml:space="preserve"> breast feeding.</w:t>
            </w:r>
            <w:r w:rsidRPr="00F10C37">
              <w:rPr>
                <w:rFonts w:cs="Times New Roman"/>
                <w:szCs w:val="24"/>
              </w:rPr>
              <w:t xml:space="preserve"> </w:t>
            </w:r>
          </w:p>
        </w:tc>
      </w:tr>
      <w:tr w:rsidR="0053763D" w:rsidRPr="00F10C37" w14:paraId="73D1F68D" w14:textId="77777777" w:rsidTr="00C46407">
        <w:tc>
          <w:tcPr>
            <w:tcW w:w="3109" w:type="dxa"/>
          </w:tcPr>
          <w:p w14:paraId="6CB5D7CC"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1724A4C6" w14:textId="77777777" w:rsidR="0053763D" w:rsidRPr="00F10C37" w:rsidRDefault="0053763D" w:rsidP="00C46407">
            <w:pPr>
              <w:jc w:val="both"/>
              <w:rPr>
                <w:rFonts w:cs="Times New Roman"/>
                <w:szCs w:val="24"/>
              </w:rPr>
            </w:pPr>
            <w:r w:rsidRPr="00F10C37">
              <w:rPr>
                <w:rFonts w:cs="Times New Roman"/>
                <w:szCs w:val="24"/>
              </w:rPr>
              <w:t>Store between 15ºC and 30ºC.</w:t>
            </w:r>
          </w:p>
        </w:tc>
      </w:tr>
      <w:tr w:rsidR="0053763D" w:rsidRPr="00F10C37" w14:paraId="0085D0F1" w14:textId="77777777" w:rsidTr="00C46407">
        <w:trPr>
          <w:trHeight w:val="512"/>
        </w:trPr>
        <w:tc>
          <w:tcPr>
            <w:tcW w:w="9355" w:type="dxa"/>
            <w:gridSpan w:val="2"/>
          </w:tcPr>
          <w:p w14:paraId="58EC6905" w14:textId="77777777" w:rsidR="0053763D" w:rsidRPr="00F10C37" w:rsidRDefault="0053763D" w:rsidP="00C46407">
            <w:pPr>
              <w:jc w:val="both"/>
              <w:rPr>
                <w:rFonts w:cs="Times New Roman"/>
                <w:b/>
                <w:szCs w:val="24"/>
              </w:rPr>
            </w:pPr>
            <w:r w:rsidRPr="00F10C37">
              <w:rPr>
                <w:rFonts w:cs="Times New Roman"/>
                <w:b/>
                <w:szCs w:val="24"/>
              </w:rPr>
              <w:t>Sildenafil citrate</w:t>
            </w:r>
          </w:p>
        </w:tc>
      </w:tr>
      <w:tr w:rsidR="0053763D" w:rsidRPr="00F10C37" w14:paraId="7EF1B1DB" w14:textId="77777777" w:rsidTr="00C46407">
        <w:trPr>
          <w:trHeight w:val="512"/>
        </w:trPr>
        <w:tc>
          <w:tcPr>
            <w:tcW w:w="3109" w:type="dxa"/>
          </w:tcPr>
          <w:p w14:paraId="28AD6526"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1F0E341B" w14:textId="77777777" w:rsidR="0053763D" w:rsidRPr="00F10C37" w:rsidRDefault="0053763D" w:rsidP="00C46407">
            <w:pPr>
              <w:jc w:val="both"/>
              <w:rPr>
                <w:rFonts w:cs="Times New Roman"/>
                <w:szCs w:val="24"/>
              </w:rPr>
            </w:pPr>
            <w:r w:rsidRPr="00F10C37">
              <w:rPr>
                <w:rFonts w:cs="Times New Roman"/>
                <w:szCs w:val="24"/>
              </w:rPr>
              <w:t xml:space="preserve">Phosphodiesterase-5 inhibitor </w:t>
            </w:r>
          </w:p>
        </w:tc>
      </w:tr>
      <w:tr w:rsidR="0053763D" w:rsidRPr="00F10C37" w14:paraId="108A3C68" w14:textId="77777777" w:rsidTr="00C46407">
        <w:trPr>
          <w:trHeight w:val="395"/>
        </w:trPr>
        <w:tc>
          <w:tcPr>
            <w:tcW w:w="3109" w:type="dxa"/>
          </w:tcPr>
          <w:p w14:paraId="1941100A"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70111A09" w14:textId="77777777" w:rsidR="0053763D"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25mg, 50mg, 100mg</w:t>
            </w:r>
          </w:p>
          <w:p w14:paraId="5B20B345"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Suspension: 10mg/</w:t>
            </w:r>
            <w:r>
              <w:rPr>
                <w:rFonts w:cs="Times New Roman"/>
                <w:szCs w:val="24"/>
                <w:lang w:val="nb-NO"/>
              </w:rPr>
              <w:t>ml</w:t>
            </w:r>
          </w:p>
        </w:tc>
      </w:tr>
      <w:tr w:rsidR="0053763D" w:rsidRPr="00F10C37" w14:paraId="5EA85F4C" w14:textId="77777777" w:rsidTr="00C46407">
        <w:trPr>
          <w:trHeight w:val="521"/>
        </w:trPr>
        <w:tc>
          <w:tcPr>
            <w:tcW w:w="3109" w:type="dxa"/>
          </w:tcPr>
          <w:p w14:paraId="223C0932" w14:textId="77777777" w:rsidR="0053763D" w:rsidRPr="00A62DB7" w:rsidRDefault="0053763D" w:rsidP="00C46407">
            <w:pPr>
              <w:jc w:val="both"/>
              <w:rPr>
                <w:rFonts w:cs="Times New Roman"/>
                <w:szCs w:val="24"/>
              </w:rPr>
            </w:pPr>
            <w:r w:rsidRPr="00A62DB7">
              <w:rPr>
                <w:rFonts w:cs="Times New Roman"/>
                <w:szCs w:val="24"/>
              </w:rPr>
              <w:t>Indications</w:t>
            </w:r>
          </w:p>
        </w:tc>
        <w:tc>
          <w:tcPr>
            <w:tcW w:w="6246" w:type="dxa"/>
          </w:tcPr>
          <w:p w14:paraId="74398B78" w14:textId="77777777" w:rsidR="0053763D" w:rsidRPr="00F10C37" w:rsidRDefault="0053763D" w:rsidP="00C46407">
            <w:pPr>
              <w:jc w:val="both"/>
              <w:rPr>
                <w:rFonts w:cs="Times New Roman"/>
                <w:szCs w:val="24"/>
              </w:rPr>
            </w:pPr>
            <w:r w:rsidRPr="00F10C37">
              <w:rPr>
                <w:rFonts w:cs="Times New Roman"/>
                <w:szCs w:val="24"/>
              </w:rPr>
              <w:t>Pulmonary arterial hypertension (PAH), erectile dysfunction</w:t>
            </w:r>
          </w:p>
        </w:tc>
      </w:tr>
      <w:tr w:rsidR="0053763D" w:rsidRPr="00F10C37" w14:paraId="491EC81E" w14:textId="77777777" w:rsidTr="00C46407">
        <w:trPr>
          <w:trHeight w:val="521"/>
        </w:trPr>
        <w:tc>
          <w:tcPr>
            <w:tcW w:w="3109" w:type="dxa"/>
          </w:tcPr>
          <w:p w14:paraId="7C5CC53E"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0E07C52D" w14:textId="77777777" w:rsidR="0053763D" w:rsidRDefault="0053763D" w:rsidP="00C46407">
            <w:pPr>
              <w:jc w:val="both"/>
              <w:rPr>
                <w:rFonts w:cs="Times New Roman"/>
                <w:b/>
                <w:szCs w:val="24"/>
              </w:rPr>
            </w:pPr>
            <w:r w:rsidRPr="00F10C37">
              <w:rPr>
                <w:rFonts w:cs="Times New Roman"/>
                <w:b/>
                <w:szCs w:val="24"/>
              </w:rPr>
              <w:t>PAH (initiated under specialist supervision)</w:t>
            </w:r>
            <w:r>
              <w:rPr>
                <w:rFonts w:cs="Times New Roman"/>
                <w:b/>
                <w:szCs w:val="24"/>
              </w:rPr>
              <w:t>:</w:t>
            </w:r>
          </w:p>
          <w:p w14:paraId="5B240751"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20 mg orally 3 times a day</w:t>
            </w:r>
            <w:r>
              <w:rPr>
                <w:rFonts w:cs="Times New Roman"/>
                <w:szCs w:val="24"/>
              </w:rPr>
              <w:t>.</w:t>
            </w:r>
            <w:r w:rsidRPr="00F10C37">
              <w:rPr>
                <w:rFonts w:cs="Times New Roman"/>
                <w:szCs w:val="24"/>
              </w:rPr>
              <w:t xml:space="preserve"> </w:t>
            </w:r>
          </w:p>
          <w:p w14:paraId="1039A291" w14:textId="77777777" w:rsidR="0053763D" w:rsidRPr="00F10C37" w:rsidRDefault="0053763D" w:rsidP="00C46407">
            <w:pPr>
              <w:autoSpaceDE w:val="0"/>
              <w:autoSpaceDN w:val="0"/>
              <w:adjustRightInd w:val="0"/>
              <w:jc w:val="both"/>
              <w:rPr>
                <w:rFonts w:eastAsiaTheme="minorHAnsi" w:cs="Times New Roman"/>
                <w:b/>
                <w:bCs/>
                <w:kern w:val="0"/>
                <w:szCs w:val="24"/>
                <w:lang w:val="en-US" w:eastAsia="en-US"/>
              </w:rPr>
            </w:pPr>
            <w:r w:rsidRPr="00F10C37">
              <w:rPr>
                <w:rFonts w:eastAsiaTheme="minorHAnsi" w:cs="Times New Roman"/>
                <w:b/>
                <w:bCs/>
                <w:kern w:val="0"/>
                <w:szCs w:val="24"/>
                <w:lang w:val="en-US" w:eastAsia="en-US"/>
              </w:rPr>
              <w:t xml:space="preserve">Neonate: </w:t>
            </w:r>
            <w:r w:rsidRPr="00F10C37">
              <w:rPr>
                <w:rFonts w:eastAsiaTheme="minorHAnsi" w:cs="Times New Roman"/>
                <w:kern w:val="0"/>
                <w:szCs w:val="24"/>
                <w:lang w:val="en-US" w:eastAsia="en-US"/>
              </w:rPr>
              <w:t xml:space="preserve">0.25 mg/kg/dose every 6hours </w:t>
            </w:r>
            <w:r w:rsidRPr="00F10C37">
              <w:rPr>
                <w:rFonts w:eastAsiaTheme="minorHAnsi" w:cs="Times New Roman"/>
                <w:bCs/>
                <w:kern w:val="0"/>
                <w:szCs w:val="24"/>
                <w:lang w:val="en-US" w:eastAsia="en-US"/>
              </w:rPr>
              <w:t>or 0</w:t>
            </w:r>
            <w:r w:rsidRPr="00F10C37">
              <w:rPr>
                <w:rFonts w:eastAsiaTheme="minorHAnsi" w:cs="Times New Roman"/>
                <w:kern w:val="0"/>
                <w:szCs w:val="24"/>
                <w:lang w:val="en-US" w:eastAsia="en-US"/>
              </w:rPr>
              <w:t>.5mg/kg/dose every 8 hours, titrate as needed, maximum reported dose range: 1 to 2 mg/kg/dose every 6 to 8 hours</w:t>
            </w:r>
            <w:r>
              <w:rPr>
                <w:rFonts w:eastAsiaTheme="minorHAnsi" w:cs="Times New Roman"/>
                <w:kern w:val="0"/>
                <w:szCs w:val="24"/>
                <w:lang w:val="en-US" w:eastAsia="en-US"/>
              </w:rPr>
              <w:t>.</w:t>
            </w:r>
          </w:p>
          <w:p w14:paraId="0E1E5CFC" w14:textId="77777777" w:rsidR="0053763D" w:rsidRDefault="0053763D" w:rsidP="00C46407">
            <w:pPr>
              <w:jc w:val="both"/>
              <w:rPr>
                <w:rFonts w:cs="Times New Roman"/>
                <w:szCs w:val="24"/>
              </w:rPr>
            </w:pPr>
            <w:r w:rsidRPr="00F10C37">
              <w:rPr>
                <w:rFonts w:cs="Times New Roman"/>
                <w:b/>
                <w:szCs w:val="24"/>
              </w:rPr>
              <w:t>Child &lt;1 year:</w:t>
            </w:r>
            <w:r w:rsidRPr="00F10C37">
              <w:rPr>
                <w:rFonts w:cs="Times New Roman"/>
                <w:szCs w:val="24"/>
              </w:rPr>
              <w:t xml:space="preserve"> the recommended dose of sildenafil is 0.5-0.1 mg/kg 3 times daily orally.  </w:t>
            </w:r>
          </w:p>
          <w:p w14:paraId="3DE1EDE3" w14:textId="77777777" w:rsidR="0053763D" w:rsidRDefault="0053763D" w:rsidP="00C46407">
            <w:pPr>
              <w:jc w:val="both"/>
              <w:rPr>
                <w:rFonts w:cs="Times New Roman"/>
                <w:szCs w:val="24"/>
              </w:rPr>
            </w:pPr>
            <w:r w:rsidRPr="00F10C37">
              <w:rPr>
                <w:rFonts w:cs="Times New Roman"/>
                <w:b/>
                <w:szCs w:val="24"/>
              </w:rPr>
              <w:t>Child &lt;20 kg</w:t>
            </w:r>
            <w:r w:rsidRPr="00F10C37">
              <w:rPr>
                <w:rFonts w:cs="Times New Roman"/>
                <w:szCs w:val="24"/>
              </w:rPr>
              <w:t xml:space="preserve">: 10 mg 3 times daily orally. </w:t>
            </w:r>
          </w:p>
          <w:p w14:paraId="1F6FFC1A" w14:textId="77777777" w:rsidR="0053763D" w:rsidRPr="00F10C37" w:rsidRDefault="0053763D" w:rsidP="00C46407">
            <w:pPr>
              <w:jc w:val="both"/>
              <w:rPr>
                <w:rFonts w:cs="Times New Roman"/>
                <w:szCs w:val="24"/>
              </w:rPr>
            </w:pPr>
            <w:r w:rsidRPr="00F10C37">
              <w:rPr>
                <w:rFonts w:cs="Times New Roman"/>
                <w:b/>
                <w:szCs w:val="24"/>
              </w:rPr>
              <w:t>Child&gt;20 kg:</w:t>
            </w:r>
            <w:r w:rsidRPr="00F10C37">
              <w:rPr>
                <w:rFonts w:cs="Times New Roman"/>
                <w:szCs w:val="24"/>
              </w:rPr>
              <w:t xml:space="preserve"> 20 mg 3 times daily orally. IV sildenafil is used only in an acute-care setting.</w:t>
            </w:r>
          </w:p>
          <w:p w14:paraId="262734BC" w14:textId="77777777" w:rsidR="0053763D" w:rsidRPr="00EE669D" w:rsidRDefault="0053763D" w:rsidP="00C46407">
            <w:pPr>
              <w:jc w:val="both"/>
              <w:rPr>
                <w:rFonts w:cs="Times New Roman"/>
                <w:i/>
                <w:szCs w:val="24"/>
              </w:rPr>
            </w:pPr>
            <w:r w:rsidRPr="00EE669D">
              <w:rPr>
                <w:rFonts w:cs="Times New Roman"/>
                <w:i/>
                <w:szCs w:val="24"/>
              </w:rPr>
              <w:t xml:space="preserve">Note: refer dosing for erectile dysfunction under the respective section. </w:t>
            </w:r>
          </w:p>
        </w:tc>
      </w:tr>
      <w:tr w:rsidR="0053763D" w:rsidRPr="00F10C37" w14:paraId="3035EA3B" w14:textId="77777777" w:rsidTr="00C46407">
        <w:tc>
          <w:tcPr>
            <w:tcW w:w="3109" w:type="dxa"/>
          </w:tcPr>
          <w:p w14:paraId="3CF00D1A"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246" w:type="dxa"/>
          </w:tcPr>
          <w:p w14:paraId="60336EFE" w14:textId="77777777" w:rsidR="0053763D" w:rsidRPr="00F10C37" w:rsidRDefault="0053763D" w:rsidP="00C46407">
            <w:pPr>
              <w:jc w:val="both"/>
              <w:rPr>
                <w:rFonts w:cs="Times New Roman"/>
                <w:szCs w:val="24"/>
              </w:rPr>
            </w:pPr>
            <w:r w:rsidRPr="00F10C37">
              <w:rPr>
                <w:rFonts w:cs="Times New Roman"/>
                <w:szCs w:val="24"/>
              </w:rPr>
              <w:t>Hereditary degenerative retinal disorders, history of non- arteritic anterior ischemic optic neuropathy</w:t>
            </w:r>
            <w:r>
              <w:rPr>
                <w:rFonts w:cs="Times New Roman"/>
                <w:szCs w:val="24"/>
              </w:rPr>
              <w:t>,</w:t>
            </w:r>
            <w:r w:rsidRPr="00F10C37">
              <w:rPr>
                <w:rFonts w:cs="Times New Roman"/>
                <w:szCs w:val="24"/>
              </w:rPr>
              <w:t xml:space="preserve"> recent history of MI, recent history of stroke.</w:t>
            </w:r>
          </w:p>
        </w:tc>
      </w:tr>
      <w:tr w:rsidR="0053763D" w:rsidRPr="00F10C37" w14:paraId="2F768F8B" w14:textId="77777777" w:rsidTr="00C46407">
        <w:tc>
          <w:tcPr>
            <w:tcW w:w="3109" w:type="dxa"/>
          </w:tcPr>
          <w:p w14:paraId="1F6798C0"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645BC3E2" w14:textId="77777777" w:rsidR="0053763D" w:rsidRPr="00F10C37" w:rsidRDefault="0053763D" w:rsidP="00C46407">
            <w:pPr>
              <w:jc w:val="both"/>
              <w:rPr>
                <w:rFonts w:cs="Times New Roman"/>
                <w:szCs w:val="24"/>
              </w:rPr>
            </w:pPr>
            <w:r w:rsidRPr="00F10C37">
              <w:rPr>
                <w:rFonts w:cs="Times New Roman"/>
                <w:szCs w:val="24"/>
              </w:rPr>
              <w:t>Nitrates, alpha blockers (prazocin),</w:t>
            </w:r>
            <w:r>
              <w:rPr>
                <w:rFonts w:cs="Times New Roman"/>
                <w:szCs w:val="24"/>
              </w:rPr>
              <w:t xml:space="preserve"> </w:t>
            </w:r>
            <w:r w:rsidRPr="00F10C37">
              <w:rPr>
                <w:rFonts w:cs="Times New Roman"/>
                <w:szCs w:val="24"/>
              </w:rPr>
              <w:t>carbamazepine, phenobarbitone, phenytoin, azole antifungals, verapamil, diltiazem, grape fruit juice, protease inhibitors, macrolides</w:t>
            </w:r>
            <w:r>
              <w:rPr>
                <w:rFonts w:cs="Times New Roman"/>
                <w:szCs w:val="24"/>
              </w:rPr>
              <w:t>,</w:t>
            </w:r>
            <w:r w:rsidRPr="00F10C37">
              <w:rPr>
                <w:rFonts w:cs="Times New Roman"/>
                <w:szCs w:val="24"/>
              </w:rPr>
              <w:t xml:space="preserve"> NNRTIs, rifampicin, St. John’s wort.</w:t>
            </w:r>
          </w:p>
        </w:tc>
      </w:tr>
      <w:tr w:rsidR="0053763D" w:rsidRPr="00F10C37" w14:paraId="1A2FD002" w14:textId="77777777" w:rsidTr="00C46407">
        <w:tc>
          <w:tcPr>
            <w:tcW w:w="3109" w:type="dxa"/>
          </w:tcPr>
          <w:p w14:paraId="726D842F"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246" w:type="dxa"/>
          </w:tcPr>
          <w:p w14:paraId="6E750438" w14:textId="77777777" w:rsidR="0053763D" w:rsidRPr="00F10C37" w:rsidRDefault="0053763D" w:rsidP="00C46407">
            <w:pPr>
              <w:contextualSpacing/>
              <w:jc w:val="both"/>
              <w:rPr>
                <w:rFonts w:cs="Times New Roman"/>
                <w:szCs w:val="24"/>
              </w:rPr>
            </w:pPr>
            <w:r w:rsidRPr="00F10C37">
              <w:rPr>
                <w:rFonts w:cs="Times New Roman"/>
                <w:szCs w:val="24"/>
              </w:rPr>
              <w:t xml:space="preserve">Alopecia, anemia, anxiety, cough, diarrhea, dizziness, fluid retention, gastrointestinal discomfort, gastrointestinal disorders, headaches, increased risk of infection, insomnia, nasal complaints, nausea, night sweats, pain, skin reactions, tremor, vasodilation, vision disorders. </w:t>
            </w:r>
          </w:p>
        </w:tc>
      </w:tr>
      <w:tr w:rsidR="0053763D" w:rsidRPr="00F10C37" w14:paraId="3BF8891C" w14:textId="77777777" w:rsidTr="00C46407">
        <w:tc>
          <w:tcPr>
            <w:tcW w:w="3109" w:type="dxa"/>
          </w:tcPr>
          <w:p w14:paraId="374B935A"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6960A721" w14:textId="77777777" w:rsidR="0053763D" w:rsidRPr="00F10C37" w:rsidRDefault="0053763D" w:rsidP="00C46407">
            <w:pPr>
              <w:jc w:val="both"/>
              <w:rPr>
                <w:rFonts w:cs="Times New Roman"/>
                <w:szCs w:val="24"/>
              </w:rPr>
            </w:pPr>
            <w:r w:rsidRPr="00F10C37">
              <w:rPr>
                <w:rFonts w:cs="Times New Roman"/>
                <w:szCs w:val="24"/>
              </w:rPr>
              <w:t xml:space="preserve">Active peptic ulceration, anatomical deformation of the penis (e.g. angulation, cavernosal fibrosis, Peyronie’s disease), autonomic dysfunction, bleeding disorders, cardiovascular disease, left ventricular outflow obstruction, predisposition to priapism (e.g. in sickle-cell disease, multiple myeloma, or leukemia), SBP below 90 mmHg, intravascular volume depletion, pulmonary veno-occlusive disease, elderly, hepatic </w:t>
            </w:r>
            <w:r>
              <w:rPr>
                <w:rFonts w:cs="Times New Roman"/>
                <w:szCs w:val="24"/>
              </w:rPr>
              <w:t>i</w:t>
            </w:r>
            <w:r w:rsidRPr="00F10C37">
              <w:rPr>
                <w:rFonts w:cs="Times New Roman"/>
                <w:szCs w:val="24"/>
              </w:rPr>
              <w:t>mpairment, renal impairment, pregnancy</w:t>
            </w:r>
            <w:r>
              <w:rPr>
                <w:rFonts w:cs="Times New Roman"/>
                <w:szCs w:val="24"/>
              </w:rPr>
              <w:t xml:space="preserve">, </w:t>
            </w:r>
            <w:r w:rsidRPr="00F10C37">
              <w:rPr>
                <w:rFonts w:cs="Times New Roman"/>
                <w:szCs w:val="24"/>
              </w:rPr>
              <w:t>breastfeeding.</w:t>
            </w:r>
          </w:p>
        </w:tc>
      </w:tr>
      <w:tr w:rsidR="0053763D" w:rsidRPr="00F10C37" w14:paraId="24559F38" w14:textId="77777777" w:rsidTr="00C46407">
        <w:tc>
          <w:tcPr>
            <w:tcW w:w="3109" w:type="dxa"/>
          </w:tcPr>
          <w:p w14:paraId="48B0D52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42ED4AA6"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 xml:space="preserve">15 ºC </w:t>
            </w:r>
            <w:r>
              <w:rPr>
                <w:rFonts w:cs="Times New Roman"/>
                <w:szCs w:val="24"/>
              </w:rPr>
              <w:t xml:space="preserve">to </w:t>
            </w:r>
            <w:r w:rsidRPr="00F10C37">
              <w:rPr>
                <w:rFonts w:cs="Times New Roman"/>
                <w:szCs w:val="24"/>
              </w:rPr>
              <w:t>30 ºC.</w:t>
            </w:r>
          </w:p>
        </w:tc>
      </w:tr>
      <w:tr w:rsidR="0053763D" w:rsidRPr="00F10C37" w14:paraId="73356C70" w14:textId="77777777" w:rsidTr="00C46407">
        <w:trPr>
          <w:trHeight w:val="512"/>
        </w:trPr>
        <w:tc>
          <w:tcPr>
            <w:tcW w:w="9355" w:type="dxa"/>
            <w:gridSpan w:val="2"/>
          </w:tcPr>
          <w:p w14:paraId="03C9E3D1" w14:textId="77777777" w:rsidR="0053763D" w:rsidRPr="00F10C37" w:rsidRDefault="0053763D" w:rsidP="00C46407">
            <w:pPr>
              <w:jc w:val="both"/>
              <w:rPr>
                <w:rFonts w:cs="Times New Roman"/>
                <w:b/>
                <w:szCs w:val="24"/>
              </w:rPr>
            </w:pPr>
            <w:r w:rsidRPr="00F10C37">
              <w:rPr>
                <w:rFonts w:cs="Times New Roman"/>
                <w:b/>
                <w:szCs w:val="24"/>
              </w:rPr>
              <w:t>Tadalafil</w:t>
            </w:r>
          </w:p>
        </w:tc>
      </w:tr>
      <w:tr w:rsidR="0053763D" w:rsidRPr="00F10C37" w14:paraId="7DD2464A" w14:textId="77777777" w:rsidTr="00C46407">
        <w:trPr>
          <w:trHeight w:val="512"/>
        </w:trPr>
        <w:tc>
          <w:tcPr>
            <w:tcW w:w="3109" w:type="dxa"/>
          </w:tcPr>
          <w:p w14:paraId="638E08A2"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5AEE2A1B" w14:textId="77777777" w:rsidR="0053763D" w:rsidRPr="00F10C37" w:rsidRDefault="0053763D" w:rsidP="00C46407">
            <w:pPr>
              <w:jc w:val="both"/>
              <w:rPr>
                <w:rFonts w:cs="Times New Roman"/>
                <w:szCs w:val="24"/>
              </w:rPr>
            </w:pPr>
            <w:r w:rsidRPr="00F10C37">
              <w:rPr>
                <w:rFonts w:cs="Times New Roman"/>
                <w:szCs w:val="24"/>
              </w:rPr>
              <w:t xml:space="preserve">Phosphodiesterase-5 inhibitor </w:t>
            </w:r>
          </w:p>
        </w:tc>
      </w:tr>
      <w:tr w:rsidR="0053763D" w:rsidRPr="00F10C37" w14:paraId="43D8F708" w14:textId="77777777" w:rsidTr="00C46407">
        <w:trPr>
          <w:trHeight w:val="395"/>
        </w:trPr>
        <w:tc>
          <w:tcPr>
            <w:tcW w:w="3109" w:type="dxa"/>
          </w:tcPr>
          <w:p w14:paraId="06DF8816"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48746991" w14:textId="77777777" w:rsidR="0053763D"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25mg, 50mg, 100mg</w:t>
            </w:r>
          </w:p>
          <w:p w14:paraId="3502B4A5"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Suspension: 10mg/</w:t>
            </w:r>
            <w:r>
              <w:rPr>
                <w:rFonts w:cs="Times New Roman"/>
                <w:szCs w:val="24"/>
                <w:lang w:val="nb-NO"/>
              </w:rPr>
              <w:t>ml</w:t>
            </w:r>
          </w:p>
        </w:tc>
      </w:tr>
      <w:tr w:rsidR="0053763D" w:rsidRPr="00F10C37" w14:paraId="23DB308E" w14:textId="77777777" w:rsidTr="00C46407">
        <w:trPr>
          <w:trHeight w:val="521"/>
        </w:trPr>
        <w:tc>
          <w:tcPr>
            <w:tcW w:w="3109" w:type="dxa"/>
          </w:tcPr>
          <w:p w14:paraId="7589C69E" w14:textId="77777777" w:rsidR="0053763D" w:rsidRPr="00190C43" w:rsidRDefault="0053763D" w:rsidP="00C46407">
            <w:pPr>
              <w:jc w:val="both"/>
              <w:rPr>
                <w:rFonts w:cs="Times New Roman"/>
                <w:szCs w:val="24"/>
              </w:rPr>
            </w:pPr>
            <w:r w:rsidRPr="00190C43">
              <w:rPr>
                <w:rFonts w:cs="Times New Roman"/>
                <w:szCs w:val="24"/>
              </w:rPr>
              <w:t>Indications</w:t>
            </w:r>
          </w:p>
        </w:tc>
        <w:tc>
          <w:tcPr>
            <w:tcW w:w="6246" w:type="dxa"/>
          </w:tcPr>
          <w:p w14:paraId="41959E00" w14:textId="77777777" w:rsidR="0053763D" w:rsidRPr="00F10C37" w:rsidRDefault="0053763D" w:rsidP="00C46407">
            <w:pPr>
              <w:autoSpaceDE w:val="0"/>
              <w:autoSpaceDN w:val="0"/>
              <w:adjustRightInd w:val="0"/>
              <w:jc w:val="both"/>
              <w:rPr>
                <w:rFonts w:eastAsia="Candara-Italic" w:cs="Times New Roman"/>
                <w:iCs/>
                <w:kern w:val="0"/>
                <w:szCs w:val="24"/>
                <w:lang w:val="en-US" w:eastAsia="en-US"/>
              </w:rPr>
            </w:pPr>
            <w:r w:rsidRPr="00F10C37">
              <w:rPr>
                <w:rFonts w:eastAsia="Candara-Italic" w:cs="Times New Roman"/>
                <w:iCs/>
                <w:kern w:val="0"/>
                <w:szCs w:val="24"/>
                <w:lang w:val="en-US" w:eastAsia="en-US"/>
              </w:rPr>
              <w:t>Pulmonary arterial hypertension (initiated under specialist supervision)</w:t>
            </w:r>
            <w:r w:rsidRPr="00F10C37">
              <w:rPr>
                <w:rFonts w:eastAsia="Candara-Italic" w:cs="Times New Roman"/>
                <w:kern w:val="0"/>
                <w:szCs w:val="24"/>
                <w:lang w:val="en-US" w:eastAsia="en-US"/>
              </w:rPr>
              <w:t>, e</w:t>
            </w:r>
            <w:r w:rsidRPr="00F10C37">
              <w:rPr>
                <w:rFonts w:eastAsiaTheme="minorHAnsi" w:cs="Times New Roman"/>
                <w:color w:val="231F20"/>
                <w:kern w:val="0"/>
                <w:szCs w:val="24"/>
                <w:lang w:val="en-US" w:eastAsia="en-US"/>
              </w:rPr>
              <w:t>rectile dysfunction, benign prostatic hyperplasia</w:t>
            </w:r>
          </w:p>
        </w:tc>
      </w:tr>
      <w:tr w:rsidR="0053763D" w:rsidRPr="00F10C37" w14:paraId="5BDCA222" w14:textId="77777777" w:rsidTr="00C46407">
        <w:trPr>
          <w:trHeight w:val="521"/>
        </w:trPr>
        <w:tc>
          <w:tcPr>
            <w:tcW w:w="3109" w:type="dxa"/>
          </w:tcPr>
          <w:p w14:paraId="2AE28729"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4F6805FD" w14:textId="77777777" w:rsidR="0053763D" w:rsidRDefault="0053763D" w:rsidP="00C46407">
            <w:pPr>
              <w:autoSpaceDE w:val="0"/>
              <w:autoSpaceDN w:val="0"/>
              <w:adjustRightInd w:val="0"/>
              <w:jc w:val="both"/>
              <w:rPr>
                <w:rFonts w:eastAsia="Candara-Italic" w:cs="Times New Roman"/>
                <w:iCs/>
                <w:kern w:val="0"/>
                <w:szCs w:val="24"/>
                <w:lang w:val="en-US" w:eastAsia="en-US"/>
              </w:rPr>
            </w:pPr>
            <w:r>
              <w:rPr>
                <w:rFonts w:eastAsia="Candara-Italic" w:cs="Times New Roman"/>
                <w:b/>
                <w:iCs/>
                <w:kern w:val="0"/>
                <w:szCs w:val="24"/>
                <w:lang w:val="en-US" w:eastAsia="en-US"/>
              </w:rPr>
              <w:t>PAH</w:t>
            </w:r>
            <w:r w:rsidRPr="00F10C37">
              <w:rPr>
                <w:rFonts w:eastAsia="Candara-Italic" w:cs="Times New Roman"/>
                <w:iCs/>
                <w:kern w:val="0"/>
                <w:szCs w:val="24"/>
                <w:lang w:val="en-US" w:eastAsia="en-US"/>
              </w:rPr>
              <w:t xml:space="preserve"> (initiated under specialist supervision): </w:t>
            </w:r>
          </w:p>
          <w:p w14:paraId="64BA896F" w14:textId="77777777" w:rsidR="0053763D" w:rsidRDefault="0053763D" w:rsidP="00C46407">
            <w:pPr>
              <w:autoSpaceDE w:val="0"/>
              <w:autoSpaceDN w:val="0"/>
              <w:adjustRightInd w:val="0"/>
              <w:jc w:val="both"/>
              <w:rPr>
                <w:rFonts w:eastAsia="Candara-Italic" w:cs="Times New Roman"/>
                <w:kern w:val="0"/>
                <w:szCs w:val="24"/>
                <w:lang w:val="en-US" w:eastAsia="en-US"/>
              </w:rPr>
            </w:pPr>
            <w:r w:rsidRPr="003D3E3A">
              <w:rPr>
                <w:rFonts w:eastAsia="Candara-Italic" w:cs="Times New Roman"/>
                <w:b/>
                <w:iCs/>
                <w:kern w:val="0"/>
                <w:szCs w:val="24"/>
                <w:lang w:val="en-US" w:eastAsia="en-US"/>
              </w:rPr>
              <w:t>Adult:</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40 mg once daily</w:t>
            </w:r>
            <w:r>
              <w:rPr>
                <w:rFonts w:eastAsia="Candara-Italic" w:cs="Times New Roman"/>
                <w:kern w:val="0"/>
                <w:szCs w:val="24"/>
                <w:lang w:val="en-US" w:eastAsia="en-US"/>
              </w:rPr>
              <w:t>.</w:t>
            </w:r>
          </w:p>
          <w:p w14:paraId="63374EF3" w14:textId="77777777" w:rsidR="0053763D" w:rsidRPr="00A10104" w:rsidRDefault="0053763D" w:rsidP="00C46407">
            <w:pPr>
              <w:autoSpaceDE w:val="0"/>
              <w:autoSpaceDN w:val="0"/>
              <w:adjustRightInd w:val="0"/>
              <w:jc w:val="both"/>
              <w:rPr>
                <w:rFonts w:eastAsia="Candara-Italic" w:cs="Times New Roman"/>
                <w:iCs/>
                <w:kern w:val="0"/>
                <w:szCs w:val="24"/>
                <w:lang w:val="en-US" w:eastAsia="en-US"/>
              </w:rPr>
            </w:pPr>
            <w:r w:rsidRPr="0041105B">
              <w:rPr>
                <w:rFonts w:cs="Times New Roman"/>
                <w:i/>
                <w:szCs w:val="24"/>
              </w:rPr>
              <w:t>Note: refer dosing for erectile dysfunction under the respective section.</w:t>
            </w:r>
          </w:p>
        </w:tc>
      </w:tr>
      <w:tr w:rsidR="0053763D" w:rsidRPr="00F10C37" w14:paraId="498333E2" w14:textId="77777777" w:rsidTr="00C46407">
        <w:tc>
          <w:tcPr>
            <w:tcW w:w="3109" w:type="dxa"/>
          </w:tcPr>
          <w:p w14:paraId="3A44D4BC"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246" w:type="dxa"/>
          </w:tcPr>
          <w:p w14:paraId="7DA1F6B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 xml:space="preserve">Mild to severe heart failure, patients in whom vasodilation or sexual activity are inadvisable, uncontrolled hypertension, unstable angina, stroke, arrhythmias, aortic and mitral valve disease, left ventricular dysfunction, life-threatening arrhythmias, pericardial congestive cardiomyopathy, coronary </w:t>
            </w:r>
            <w:r w:rsidRPr="00F10C37">
              <w:rPr>
                <w:rFonts w:eastAsiaTheme="minorHAnsi" w:cs="Times New Roman"/>
                <w:kern w:val="0"/>
                <w:szCs w:val="24"/>
                <w:lang w:val="en-US" w:eastAsia="en-US"/>
              </w:rPr>
              <w:lastRenderedPageBreak/>
              <w:t>artery disease</w:t>
            </w:r>
          </w:p>
        </w:tc>
      </w:tr>
      <w:tr w:rsidR="0053763D" w:rsidRPr="00F10C37" w14:paraId="3B1F2F98" w14:textId="77777777" w:rsidTr="00C46407">
        <w:tc>
          <w:tcPr>
            <w:tcW w:w="3109" w:type="dxa"/>
          </w:tcPr>
          <w:p w14:paraId="496A37BF"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246" w:type="dxa"/>
          </w:tcPr>
          <w:p w14:paraId="0AE981A4" w14:textId="77777777" w:rsidR="0053763D" w:rsidRPr="00F10C37" w:rsidRDefault="0053763D" w:rsidP="00C46407">
            <w:pPr>
              <w:jc w:val="both"/>
              <w:rPr>
                <w:rFonts w:cs="Times New Roman"/>
                <w:szCs w:val="24"/>
              </w:rPr>
            </w:pPr>
            <w:r w:rsidRPr="00F10C37">
              <w:rPr>
                <w:rFonts w:cs="Times New Roman"/>
                <w:szCs w:val="24"/>
              </w:rPr>
              <w:t>Refer sildenafil above</w:t>
            </w:r>
          </w:p>
        </w:tc>
      </w:tr>
      <w:tr w:rsidR="0053763D" w:rsidRPr="00F10C37" w14:paraId="2D661F1A" w14:textId="77777777" w:rsidTr="00C46407">
        <w:tc>
          <w:tcPr>
            <w:tcW w:w="3109" w:type="dxa"/>
          </w:tcPr>
          <w:p w14:paraId="3671AAD8" w14:textId="77777777" w:rsidR="0053763D" w:rsidRPr="00F10C37" w:rsidRDefault="0053763D" w:rsidP="00C46407">
            <w:pPr>
              <w:jc w:val="both"/>
              <w:rPr>
                <w:rFonts w:cs="Times New Roman"/>
                <w:szCs w:val="24"/>
              </w:rPr>
            </w:pPr>
            <w:r w:rsidRPr="00F10C37">
              <w:rPr>
                <w:rFonts w:cs="Times New Roman"/>
                <w:szCs w:val="24"/>
              </w:rPr>
              <w:t>Side effects</w:t>
            </w:r>
          </w:p>
        </w:tc>
        <w:tc>
          <w:tcPr>
            <w:tcW w:w="6246" w:type="dxa"/>
          </w:tcPr>
          <w:p w14:paraId="41B3E507" w14:textId="77777777" w:rsidR="0053763D" w:rsidRPr="00F10C37" w:rsidRDefault="0053763D" w:rsidP="00C46407">
            <w:pPr>
              <w:contextualSpacing/>
              <w:jc w:val="both"/>
              <w:rPr>
                <w:rFonts w:cs="Times New Roman"/>
                <w:szCs w:val="24"/>
              </w:rPr>
            </w:pPr>
            <w:r w:rsidRPr="00F10C37">
              <w:rPr>
                <w:rFonts w:cs="Times New Roman"/>
                <w:szCs w:val="24"/>
              </w:rPr>
              <w:t xml:space="preserve">Alopecia, anemia, anxiety, cough, diarrhea, dizziness, fluid retention, gastrointestinal discomfort, gastrointestinal disorders, headaches, increased risk of infection, insomnia, nasal complaints, nausea, night sweats, pain, skin reactions, tremor, vasodilation, vision disorders. </w:t>
            </w:r>
          </w:p>
        </w:tc>
      </w:tr>
      <w:tr w:rsidR="0053763D" w:rsidRPr="00F10C37" w14:paraId="2CEA8567" w14:textId="77777777" w:rsidTr="00C46407">
        <w:tc>
          <w:tcPr>
            <w:tcW w:w="3109" w:type="dxa"/>
          </w:tcPr>
          <w:p w14:paraId="41C3EEF4"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14B2DD8F" w14:textId="77777777" w:rsidR="0053763D" w:rsidRPr="00F10C37" w:rsidRDefault="0053763D" w:rsidP="00C46407">
            <w:pPr>
              <w:autoSpaceDE w:val="0"/>
              <w:autoSpaceDN w:val="0"/>
              <w:adjustRightInd w:val="0"/>
              <w:jc w:val="both"/>
              <w:rPr>
                <w:rFonts w:cs="Times New Roman"/>
                <w:szCs w:val="24"/>
              </w:rPr>
            </w:pPr>
            <w:r w:rsidRPr="00F10C37">
              <w:rPr>
                <w:rFonts w:eastAsiaTheme="minorHAnsi" w:cs="Times New Roman"/>
                <w:kern w:val="0"/>
                <w:szCs w:val="24"/>
                <w:lang w:val="en-US" w:eastAsia="en-US"/>
              </w:rPr>
              <w:t>Patients with preexisting hypotension, with autonomic dysfunction, with left ventricular outflow obstruction, a</w:t>
            </w:r>
            <w:r w:rsidRPr="00F10C37">
              <w:rPr>
                <w:rFonts w:eastAsiaTheme="minorHAnsi" w:cs="Times New Roman"/>
                <w:color w:val="231F20"/>
                <w:kern w:val="0"/>
                <w:szCs w:val="24"/>
                <w:lang w:val="en-US" w:eastAsia="en-US"/>
              </w:rPr>
              <w:t>cute myocardial infarction in past 90 days, history of non-arteritic anterior ischemic optic neuropathy, elderly, hepatic impairment, renal impairment, breastfeeding.</w:t>
            </w:r>
          </w:p>
        </w:tc>
      </w:tr>
      <w:tr w:rsidR="0053763D" w:rsidRPr="00F10C37" w14:paraId="510E40B9" w14:textId="77777777" w:rsidTr="00C46407">
        <w:tc>
          <w:tcPr>
            <w:tcW w:w="3109" w:type="dxa"/>
          </w:tcPr>
          <w:p w14:paraId="3C0C7AB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45CC7E18"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 xml:space="preserve">15 ºC </w:t>
            </w:r>
            <w:r>
              <w:rPr>
                <w:rFonts w:cs="Times New Roman"/>
                <w:szCs w:val="24"/>
              </w:rPr>
              <w:t xml:space="preserve">to </w:t>
            </w:r>
            <w:r w:rsidRPr="00F10C37">
              <w:rPr>
                <w:rFonts w:cs="Times New Roman"/>
                <w:szCs w:val="24"/>
              </w:rPr>
              <w:t>30 ºC.</w:t>
            </w:r>
          </w:p>
        </w:tc>
      </w:tr>
    </w:tbl>
    <w:p w14:paraId="2AD5E987" w14:textId="77777777" w:rsidR="0053763D" w:rsidRPr="00F10C37" w:rsidRDefault="0053763D" w:rsidP="00910906">
      <w:pPr>
        <w:pStyle w:val="Heading2"/>
        <w:spacing w:before="240" w:after="240"/>
        <w:rPr>
          <w:i/>
        </w:rPr>
      </w:pPr>
      <w:bookmarkStart w:id="36" w:name="_Toc179490320"/>
      <w:r w:rsidRPr="00F10C37">
        <w:t xml:space="preserve">Lipid </w:t>
      </w:r>
      <w:r w:rsidR="00083673">
        <w:t>l</w:t>
      </w:r>
      <w:r w:rsidRPr="00F10C37">
        <w:t xml:space="preserve">owering </w:t>
      </w:r>
      <w:r w:rsidR="00083673">
        <w:t>a</w:t>
      </w:r>
      <w:r w:rsidRPr="00F10C37">
        <w:t>gents</w:t>
      </w:r>
      <w:bookmarkEnd w:id="36"/>
    </w:p>
    <w:p w14:paraId="6B6C9E3B" w14:textId="77777777" w:rsidR="0053763D" w:rsidRPr="00F10C37" w:rsidRDefault="0053763D" w:rsidP="0053763D">
      <w:pPr>
        <w:spacing w:after="0"/>
        <w:jc w:val="both"/>
        <w:rPr>
          <w:rFonts w:cs="Times New Roman"/>
          <w:color w:val="000000"/>
          <w:szCs w:val="24"/>
        </w:rPr>
      </w:pPr>
      <w:r w:rsidRPr="00A05EF4">
        <w:rPr>
          <w:rFonts w:cs="Times New Roman"/>
          <w:color w:val="000000"/>
          <w:szCs w:val="24"/>
        </w:rPr>
        <w:t xml:space="preserve">Lipid lowering agents are used to modify blood lipid concentrations in the management of hyperlipidemias and for the reduction of cardiovascular risk. The principal groups of lipids regulating medicines are the statins, fibrates, bile-acid binding resins, nicotinates, and omega-3-faty acids. </w:t>
      </w:r>
      <w:r w:rsidRPr="003D3E3A">
        <w:rPr>
          <w:rFonts w:cs="Times New Roman"/>
          <w:color w:val="000000"/>
          <w:szCs w:val="24"/>
        </w:rPr>
        <w:t>Statins which include agents like simvastatin, rosuvastatin, atrovastatin, fluvastatin and lovastatin act by inhibiting</w:t>
      </w:r>
      <w:r w:rsidRPr="00A05EF4">
        <w:rPr>
          <w:rFonts w:cs="Times New Roman"/>
          <w:color w:val="000000"/>
          <w:szCs w:val="24"/>
        </w:rPr>
        <w:t xml:space="preserve"> 3-hydroxy-3-methyl glutaryl co enzyme A (HMG-CoA) reductase, the rate determining enzyme for cholesterol synthesis. They are potent reducers of plasma </w:t>
      </w:r>
      <w:r>
        <w:rPr>
          <w:rFonts w:cs="Times New Roman"/>
          <w:color w:val="000000"/>
          <w:szCs w:val="24"/>
        </w:rPr>
        <w:t>low density lipoprotein (</w:t>
      </w:r>
      <w:r w:rsidRPr="00A05EF4">
        <w:rPr>
          <w:rFonts w:cs="Times New Roman"/>
          <w:color w:val="000000"/>
          <w:szCs w:val="24"/>
        </w:rPr>
        <w:t>LDL</w:t>
      </w:r>
      <w:r>
        <w:rPr>
          <w:rFonts w:cs="Times New Roman"/>
          <w:color w:val="000000"/>
          <w:szCs w:val="24"/>
        </w:rPr>
        <w:t>)</w:t>
      </w:r>
      <w:r w:rsidRPr="00A05EF4">
        <w:rPr>
          <w:rFonts w:cs="Times New Roman"/>
          <w:color w:val="000000"/>
          <w:szCs w:val="24"/>
        </w:rPr>
        <w:t xml:space="preserve"> cholesterol and triglyceride</w:t>
      </w:r>
      <w:r>
        <w:rPr>
          <w:rFonts w:cs="Times New Roman"/>
          <w:color w:val="000000"/>
          <w:szCs w:val="24"/>
        </w:rPr>
        <w:t xml:space="preserve"> (TG)</w:t>
      </w:r>
      <w:r w:rsidRPr="00A05EF4">
        <w:rPr>
          <w:rFonts w:cs="Times New Roman"/>
          <w:color w:val="000000"/>
          <w:szCs w:val="24"/>
        </w:rPr>
        <w:t xml:space="preserve">. </w:t>
      </w:r>
      <w:r w:rsidRPr="003D3E3A">
        <w:rPr>
          <w:rFonts w:cs="Times New Roman"/>
          <w:color w:val="000000"/>
          <w:szCs w:val="24"/>
        </w:rPr>
        <w:t>Fibrates</w:t>
      </w:r>
      <w:r w:rsidRPr="00A05EF4">
        <w:rPr>
          <w:rFonts w:cs="Times New Roman"/>
          <w:color w:val="000000"/>
          <w:szCs w:val="24"/>
        </w:rPr>
        <w:t xml:space="preserve"> inhibits the synthesis of cholesterol and bile acids, and enhance the secretion of cholesterol in bile. The main effect is to reduce triglycerides by reducing the concentration of </w:t>
      </w:r>
      <w:r>
        <w:rPr>
          <w:rFonts w:cs="Times New Roman"/>
          <w:color w:val="000000"/>
          <w:szCs w:val="24"/>
        </w:rPr>
        <w:t>very low-density lipoprotein</w:t>
      </w:r>
      <w:r w:rsidRPr="00A05EF4">
        <w:rPr>
          <w:rFonts w:cs="Times New Roman"/>
          <w:color w:val="000000"/>
          <w:szCs w:val="24"/>
        </w:rPr>
        <w:t xml:space="preserve"> </w:t>
      </w:r>
      <w:r>
        <w:rPr>
          <w:rFonts w:cs="Times New Roman"/>
          <w:color w:val="000000"/>
          <w:szCs w:val="24"/>
        </w:rPr>
        <w:t>(</w:t>
      </w:r>
      <w:r w:rsidRPr="00A05EF4">
        <w:rPr>
          <w:rFonts w:cs="Times New Roman"/>
          <w:color w:val="000000"/>
          <w:szCs w:val="24"/>
        </w:rPr>
        <w:t>VLDL</w:t>
      </w:r>
      <w:r>
        <w:rPr>
          <w:rFonts w:cs="Times New Roman"/>
          <w:color w:val="000000"/>
          <w:szCs w:val="24"/>
        </w:rPr>
        <w:t>)</w:t>
      </w:r>
      <w:r w:rsidRPr="00A05EF4">
        <w:rPr>
          <w:rFonts w:cs="Times New Roman"/>
          <w:color w:val="000000"/>
          <w:szCs w:val="24"/>
        </w:rPr>
        <w:t xml:space="preserve">; they also increase </w:t>
      </w:r>
      <w:r>
        <w:rPr>
          <w:rFonts w:cs="Times New Roman"/>
          <w:color w:val="000000"/>
          <w:szCs w:val="24"/>
        </w:rPr>
        <w:t>high density lipoprotein</w:t>
      </w:r>
      <w:r w:rsidRPr="00A05EF4">
        <w:rPr>
          <w:rFonts w:cs="Times New Roman"/>
          <w:color w:val="000000"/>
          <w:szCs w:val="24"/>
        </w:rPr>
        <w:t xml:space="preserve"> </w:t>
      </w:r>
      <w:r>
        <w:rPr>
          <w:rFonts w:cs="Times New Roman"/>
          <w:color w:val="000000"/>
          <w:szCs w:val="24"/>
        </w:rPr>
        <w:t>(</w:t>
      </w:r>
      <w:r w:rsidRPr="00A05EF4">
        <w:rPr>
          <w:rFonts w:cs="Times New Roman"/>
          <w:color w:val="000000"/>
          <w:szCs w:val="24"/>
        </w:rPr>
        <w:t>HDL</w:t>
      </w:r>
      <w:r>
        <w:rPr>
          <w:rFonts w:cs="Times New Roman"/>
          <w:color w:val="000000"/>
          <w:szCs w:val="24"/>
        </w:rPr>
        <w:t xml:space="preserve">) </w:t>
      </w:r>
      <w:r w:rsidRPr="00A05EF4">
        <w:rPr>
          <w:rFonts w:cs="Times New Roman"/>
          <w:color w:val="000000"/>
          <w:szCs w:val="24"/>
        </w:rPr>
        <w:t xml:space="preserve">cholesterol and have variable effects on LDL-cholesterol. </w:t>
      </w:r>
      <w:r w:rsidRPr="003D3E3A">
        <w:rPr>
          <w:rFonts w:cs="Times New Roman"/>
          <w:color w:val="000000"/>
          <w:szCs w:val="24"/>
        </w:rPr>
        <w:t>Bile-acid binding agents</w:t>
      </w:r>
      <w:r w:rsidRPr="00A05EF4">
        <w:rPr>
          <w:rFonts w:cs="Times New Roman"/>
          <w:color w:val="000000"/>
          <w:szCs w:val="24"/>
        </w:rPr>
        <w:t xml:space="preserve"> such as cholestyramine are basic anion-exchange resins that bind bile acids in the gut, preventing their enterohepatic recycling and causing the hepatocyte to upregulate LDL receptors to obtain cholesterol for compensatory increases in bile acid synthesis.</w:t>
      </w:r>
      <w:r w:rsidRPr="003D3E3A">
        <w:rPr>
          <w:rFonts w:cs="Times New Roman"/>
          <w:color w:val="000000"/>
          <w:szCs w:val="24"/>
          <w:highlight w:val="yellow"/>
        </w:rPr>
        <w:t xml:space="preserve"> </w:t>
      </w:r>
    </w:p>
    <w:p w14:paraId="40FF347F" w14:textId="77777777" w:rsidR="0053763D" w:rsidRPr="00F10C37" w:rsidRDefault="0053763D" w:rsidP="0053763D">
      <w:pPr>
        <w:spacing w:after="0"/>
        <w:jc w:val="both"/>
        <w:rPr>
          <w:rFonts w:cs="Times New Roman"/>
          <w:color w:val="000000"/>
          <w:szCs w:val="24"/>
        </w:rPr>
      </w:pPr>
    </w:p>
    <w:tbl>
      <w:tblPr>
        <w:tblStyle w:val="TableGrid10"/>
        <w:tblW w:w="9355" w:type="dxa"/>
        <w:tblLook w:val="04A0" w:firstRow="1" w:lastRow="0" w:firstColumn="1" w:lastColumn="0" w:noHBand="0" w:noVBand="1"/>
      </w:tblPr>
      <w:tblGrid>
        <w:gridCol w:w="2515"/>
        <w:gridCol w:w="90"/>
        <w:gridCol w:w="6750"/>
      </w:tblGrid>
      <w:tr w:rsidR="0053763D" w:rsidRPr="00F10C37" w14:paraId="6CCEB210" w14:textId="77777777" w:rsidTr="00C46407">
        <w:trPr>
          <w:trHeight w:val="422"/>
        </w:trPr>
        <w:tc>
          <w:tcPr>
            <w:tcW w:w="9355" w:type="dxa"/>
            <w:gridSpan w:val="3"/>
          </w:tcPr>
          <w:p w14:paraId="198DB7BE" w14:textId="77777777" w:rsidR="0053763D" w:rsidRPr="00F10C37" w:rsidRDefault="0053763D" w:rsidP="00C46407">
            <w:pPr>
              <w:jc w:val="both"/>
              <w:rPr>
                <w:rFonts w:cs="Times New Roman"/>
                <w:b/>
                <w:szCs w:val="24"/>
              </w:rPr>
            </w:pPr>
            <w:r w:rsidRPr="00F10C37">
              <w:rPr>
                <w:rFonts w:cs="Times New Roman"/>
                <w:b/>
                <w:color w:val="000000"/>
                <w:szCs w:val="24"/>
              </w:rPr>
              <w:lastRenderedPageBreak/>
              <w:t>Atorvastatin</w:t>
            </w:r>
          </w:p>
        </w:tc>
      </w:tr>
      <w:tr w:rsidR="0053763D" w:rsidRPr="00F10C37" w14:paraId="489D8D90" w14:textId="77777777" w:rsidTr="00C46407">
        <w:trPr>
          <w:trHeight w:val="512"/>
        </w:trPr>
        <w:tc>
          <w:tcPr>
            <w:tcW w:w="2605" w:type="dxa"/>
            <w:gridSpan w:val="2"/>
          </w:tcPr>
          <w:p w14:paraId="5091F8F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750" w:type="dxa"/>
          </w:tcPr>
          <w:p w14:paraId="0B07E309" w14:textId="77777777" w:rsidR="0053763D" w:rsidRPr="00F10C37" w:rsidRDefault="0053763D" w:rsidP="00C46407">
            <w:pPr>
              <w:jc w:val="both"/>
              <w:rPr>
                <w:rFonts w:cs="Times New Roman"/>
                <w:szCs w:val="24"/>
              </w:rPr>
            </w:pPr>
            <w:r>
              <w:rPr>
                <w:rFonts w:cs="Times New Roman"/>
                <w:szCs w:val="24"/>
              </w:rPr>
              <w:t>HMG-CoA reductase inhibitor.</w:t>
            </w:r>
          </w:p>
        </w:tc>
      </w:tr>
      <w:tr w:rsidR="0053763D" w:rsidRPr="00F10C37" w14:paraId="0AA810E6" w14:textId="77777777" w:rsidTr="00C46407">
        <w:trPr>
          <w:trHeight w:val="395"/>
        </w:trPr>
        <w:tc>
          <w:tcPr>
            <w:tcW w:w="2605" w:type="dxa"/>
            <w:gridSpan w:val="2"/>
          </w:tcPr>
          <w:p w14:paraId="5F4C971E" w14:textId="77777777" w:rsidR="0053763D" w:rsidRPr="00F10C37" w:rsidRDefault="0053763D" w:rsidP="00C46407">
            <w:pPr>
              <w:jc w:val="both"/>
              <w:rPr>
                <w:rFonts w:cs="Times New Roman"/>
                <w:szCs w:val="24"/>
              </w:rPr>
            </w:pPr>
            <w:r w:rsidRPr="00F10C37">
              <w:rPr>
                <w:rFonts w:cs="Times New Roman"/>
                <w:szCs w:val="24"/>
              </w:rPr>
              <w:t>Dosage form</w:t>
            </w:r>
          </w:p>
        </w:tc>
        <w:tc>
          <w:tcPr>
            <w:tcW w:w="6750" w:type="dxa"/>
          </w:tcPr>
          <w:p w14:paraId="184E3085" w14:textId="77777777" w:rsidR="0053763D" w:rsidRPr="00F10C37" w:rsidRDefault="0053763D" w:rsidP="00C46407">
            <w:pPr>
              <w:widowControl w:val="0"/>
              <w:autoSpaceDE w:val="0"/>
              <w:autoSpaceDN w:val="0"/>
              <w:adjustRightInd w:val="0"/>
              <w:jc w:val="both"/>
              <w:rPr>
                <w:rFonts w:cs="Times New Roman"/>
                <w:color w:val="000000"/>
                <w:szCs w:val="24"/>
              </w:rPr>
            </w:pPr>
            <w:r w:rsidRPr="00F10C37">
              <w:rPr>
                <w:rFonts w:cs="Times New Roman"/>
                <w:color w:val="000000"/>
                <w:szCs w:val="24"/>
              </w:rPr>
              <w:t>Tablet: 20mg, 40mg,</w:t>
            </w:r>
            <w:r>
              <w:rPr>
                <w:rFonts w:cs="Times New Roman"/>
                <w:color w:val="000000"/>
                <w:szCs w:val="24"/>
              </w:rPr>
              <w:t xml:space="preserve"> </w:t>
            </w:r>
            <w:r w:rsidRPr="00F10C37">
              <w:rPr>
                <w:rFonts w:cs="Times New Roman"/>
                <w:color w:val="000000"/>
                <w:szCs w:val="24"/>
              </w:rPr>
              <w:t xml:space="preserve">80mg </w:t>
            </w:r>
          </w:p>
        </w:tc>
      </w:tr>
      <w:tr w:rsidR="0053763D" w:rsidRPr="00F10C37" w14:paraId="60196A35" w14:textId="77777777" w:rsidTr="00C46407">
        <w:trPr>
          <w:trHeight w:val="521"/>
        </w:trPr>
        <w:tc>
          <w:tcPr>
            <w:tcW w:w="2605" w:type="dxa"/>
            <w:gridSpan w:val="2"/>
          </w:tcPr>
          <w:p w14:paraId="6C9CEBF8" w14:textId="77777777" w:rsidR="0053763D" w:rsidRPr="004667AC" w:rsidRDefault="0053763D" w:rsidP="00C46407">
            <w:pPr>
              <w:jc w:val="both"/>
              <w:rPr>
                <w:rFonts w:cs="Times New Roman"/>
                <w:szCs w:val="24"/>
              </w:rPr>
            </w:pPr>
            <w:r w:rsidRPr="004667AC">
              <w:rPr>
                <w:rFonts w:cs="Times New Roman"/>
                <w:szCs w:val="24"/>
              </w:rPr>
              <w:t>Indications</w:t>
            </w:r>
          </w:p>
        </w:tc>
        <w:tc>
          <w:tcPr>
            <w:tcW w:w="6750" w:type="dxa"/>
          </w:tcPr>
          <w:p w14:paraId="5B156D92" w14:textId="77777777" w:rsidR="0053763D" w:rsidRPr="00F10C37" w:rsidRDefault="0053763D" w:rsidP="00C46407">
            <w:pPr>
              <w:jc w:val="both"/>
              <w:rPr>
                <w:rFonts w:cs="Times New Roman"/>
                <w:szCs w:val="24"/>
              </w:rPr>
            </w:pPr>
            <w:r w:rsidRPr="00F10C37">
              <w:rPr>
                <w:rFonts w:cs="Times New Roman"/>
                <w:szCs w:val="24"/>
              </w:rPr>
              <w:t>Primary hypercholesterolemia, heterozygous or homozygous hypercholesterolemia, combined hyperlipidemia, primary and secondary prevention of cardiovascular events</w:t>
            </w:r>
            <w:r>
              <w:rPr>
                <w:rFonts w:cs="Times New Roman"/>
                <w:szCs w:val="24"/>
              </w:rPr>
              <w:t>.</w:t>
            </w:r>
          </w:p>
        </w:tc>
      </w:tr>
      <w:tr w:rsidR="0053763D" w:rsidRPr="00F10C37" w14:paraId="379D8CE0" w14:textId="77777777" w:rsidTr="00C46407">
        <w:trPr>
          <w:trHeight w:val="521"/>
        </w:trPr>
        <w:tc>
          <w:tcPr>
            <w:tcW w:w="2605" w:type="dxa"/>
            <w:gridSpan w:val="2"/>
          </w:tcPr>
          <w:p w14:paraId="4A0C49DF"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750" w:type="dxa"/>
          </w:tcPr>
          <w:p w14:paraId="547AC8F3" w14:textId="77777777" w:rsidR="0053763D" w:rsidRDefault="0053763D" w:rsidP="00C46407">
            <w:pPr>
              <w:jc w:val="both"/>
              <w:rPr>
                <w:rFonts w:cs="Times New Roman"/>
                <w:b/>
                <w:szCs w:val="24"/>
              </w:rPr>
            </w:pPr>
            <w:r w:rsidRPr="00F10C37">
              <w:rPr>
                <w:rFonts w:cs="Times New Roman"/>
                <w:b/>
                <w:szCs w:val="24"/>
              </w:rPr>
              <w:t>Primary hypercholesterolemia or combined (mixed) hyperlipidemia in patients who have not responded adequately to diet and other appropriate measures</w:t>
            </w:r>
            <w:r>
              <w:rPr>
                <w:rFonts w:cs="Times New Roman"/>
                <w:b/>
                <w:szCs w:val="24"/>
              </w:rPr>
              <w:t>:</w:t>
            </w:r>
          </w:p>
          <w:p w14:paraId="057C036C"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Usual dose 10 mg once daily; increased if necessary up to 80 mg once daily, dose to be increased at intervals of at least 4 weeks. </w:t>
            </w:r>
            <w:r w:rsidRPr="00F10C37">
              <w:rPr>
                <w:rFonts w:cs="Times New Roman"/>
                <w:b/>
                <w:bCs/>
                <w:szCs w:val="24"/>
              </w:rPr>
              <w:t xml:space="preserve">Child 10–17 years: </w:t>
            </w:r>
            <w:r w:rsidRPr="00F10C37">
              <w:rPr>
                <w:rFonts w:cs="Times New Roman"/>
                <w:szCs w:val="24"/>
              </w:rPr>
              <w:t>Initially 10 mg once daily, then increase if necessary up to 20 mg once daily; dose tobe adjusted at least 4 weeks interval.</w:t>
            </w:r>
          </w:p>
          <w:p w14:paraId="019C045B" w14:textId="77777777" w:rsidR="0053763D" w:rsidRDefault="0053763D" w:rsidP="00C46407">
            <w:pPr>
              <w:jc w:val="both"/>
              <w:rPr>
                <w:rFonts w:cs="Times New Roman"/>
                <w:szCs w:val="24"/>
              </w:rPr>
            </w:pPr>
            <w:r w:rsidRPr="00F10C37">
              <w:rPr>
                <w:rFonts w:cs="Times New Roman"/>
                <w:b/>
                <w:szCs w:val="24"/>
              </w:rPr>
              <w:t>Heterozygous or homozygous familial hypercholesterolemia in patients who have not responded adequately to diet and other appropriate measures</w:t>
            </w:r>
            <w:r>
              <w:rPr>
                <w:rFonts w:cs="Times New Roman"/>
                <w:szCs w:val="24"/>
              </w:rPr>
              <w:t>:</w:t>
            </w:r>
          </w:p>
          <w:p w14:paraId="595FBA6C"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10 mg once daily, then increased to 40 mg once daily, increase dose to be increased at intervals of at least 4 weeks, then increased if necessary up to 80 mg once daily.</w:t>
            </w:r>
          </w:p>
          <w:p w14:paraId="487FB73F" w14:textId="77777777" w:rsidR="0053763D" w:rsidRDefault="0053763D" w:rsidP="00C46407">
            <w:pPr>
              <w:jc w:val="both"/>
              <w:rPr>
                <w:rFonts w:cs="Times New Roman"/>
                <w:b/>
                <w:szCs w:val="24"/>
              </w:rPr>
            </w:pPr>
            <w:r w:rsidRPr="00F10C37">
              <w:rPr>
                <w:rFonts w:cs="Times New Roman"/>
                <w:b/>
                <w:szCs w:val="24"/>
              </w:rPr>
              <w:t>Primary prevention of cardiovascular events in patients at high risk of a first cardiovascular even</w:t>
            </w:r>
            <w:r>
              <w:rPr>
                <w:rFonts w:cs="Times New Roman"/>
                <w:b/>
                <w:szCs w:val="24"/>
              </w:rPr>
              <w:t>t:</w:t>
            </w:r>
          </w:p>
          <w:p w14:paraId="66A5D469"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20 mg once daily; increased if necessary up to 80 mg once daily, dose to be increased at intervals of at least 4 weeks. </w:t>
            </w:r>
          </w:p>
          <w:p w14:paraId="02D2A8E6" w14:textId="77777777" w:rsidR="0053763D" w:rsidRPr="00F10C37" w:rsidRDefault="0053763D" w:rsidP="00C46407">
            <w:pPr>
              <w:jc w:val="both"/>
              <w:rPr>
                <w:rFonts w:cs="Times New Roman"/>
                <w:szCs w:val="24"/>
              </w:rPr>
            </w:pPr>
            <w:r w:rsidRPr="00F10C37">
              <w:rPr>
                <w:rFonts w:cs="Times New Roman"/>
                <w:b/>
                <w:bCs/>
                <w:szCs w:val="24"/>
              </w:rPr>
              <w:t xml:space="preserve">Child 10–17 years: </w:t>
            </w:r>
            <w:r w:rsidRPr="00F10C37">
              <w:rPr>
                <w:rFonts w:cs="Times New Roman"/>
                <w:szCs w:val="24"/>
              </w:rPr>
              <w:t>Initially 10 mg once daily, then increase if necessary up to 80 mg once a day; dose to be adjusted at least 4 weeks interval.</w:t>
            </w:r>
          </w:p>
          <w:p w14:paraId="66A6307B" w14:textId="77777777" w:rsidR="0053763D" w:rsidRDefault="0053763D" w:rsidP="00C46407">
            <w:pPr>
              <w:jc w:val="both"/>
              <w:rPr>
                <w:rFonts w:cs="Times New Roman"/>
                <w:szCs w:val="24"/>
              </w:rPr>
            </w:pPr>
            <w:r w:rsidRPr="00F10C37">
              <w:rPr>
                <w:rFonts w:cs="Times New Roman"/>
                <w:b/>
                <w:szCs w:val="24"/>
              </w:rPr>
              <w:t>Secondary prevention of cardiovascular events</w:t>
            </w:r>
            <w:r w:rsidRPr="00F10C37">
              <w:rPr>
                <w:rFonts w:cs="Times New Roman"/>
                <w:szCs w:val="24"/>
              </w:rPr>
              <w:t xml:space="preserve">: </w:t>
            </w:r>
          </w:p>
          <w:p w14:paraId="109ECFFB" w14:textId="77777777" w:rsidR="0053763D" w:rsidRPr="00F10C37" w:rsidRDefault="0053763D" w:rsidP="00C46407">
            <w:pPr>
              <w:jc w:val="both"/>
              <w:rPr>
                <w:rFonts w:cs="Times New Roman"/>
                <w:szCs w:val="24"/>
              </w:rPr>
            </w:pPr>
            <w:r w:rsidRPr="003D3E3A">
              <w:rPr>
                <w:rFonts w:cs="Times New Roman"/>
                <w:b/>
                <w:szCs w:val="24"/>
              </w:rPr>
              <w:t xml:space="preserve">Adult: </w:t>
            </w:r>
            <w:r w:rsidRPr="00F10C37">
              <w:rPr>
                <w:rFonts w:cs="Times New Roman"/>
                <w:szCs w:val="24"/>
              </w:rPr>
              <w:t>80 mg once daily.</w:t>
            </w:r>
          </w:p>
        </w:tc>
      </w:tr>
      <w:tr w:rsidR="0053763D" w:rsidRPr="00F10C37" w14:paraId="01125ED8" w14:textId="77777777" w:rsidTr="00C46407">
        <w:tc>
          <w:tcPr>
            <w:tcW w:w="2605" w:type="dxa"/>
            <w:gridSpan w:val="2"/>
          </w:tcPr>
          <w:p w14:paraId="32324C29" w14:textId="77777777" w:rsidR="0053763D" w:rsidRPr="00F10C37" w:rsidRDefault="0053763D" w:rsidP="00C46407">
            <w:pPr>
              <w:jc w:val="both"/>
              <w:rPr>
                <w:rFonts w:cs="Times New Roman"/>
                <w:szCs w:val="24"/>
              </w:rPr>
            </w:pPr>
            <w:r w:rsidRPr="00F10C37">
              <w:rPr>
                <w:rFonts w:cs="Times New Roman"/>
                <w:szCs w:val="24"/>
              </w:rPr>
              <w:t>Contraindications</w:t>
            </w:r>
          </w:p>
        </w:tc>
        <w:tc>
          <w:tcPr>
            <w:tcW w:w="6750" w:type="dxa"/>
          </w:tcPr>
          <w:p w14:paraId="4EA0921E"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the drug, active liver disease or unexplained </w:t>
            </w:r>
            <w:r w:rsidRPr="00F10C37">
              <w:rPr>
                <w:rFonts w:cs="Times New Roman"/>
                <w:szCs w:val="24"/>
              </w:rPr>
              <w:lastRenderedPageBreak/>
              <w:t xml:space="preserve">persistently raised serum-aminotransferase concentrations &gt; 3times upper limit of normal (ULN), </w:t>
            </w:r>
            <w:r>
              <w:rPr>
                <w:rFonts w:cs="Times New Roman"/>
                <w:szCs w:val="24"/>
              </w:rPr>
              <w:t>c</w:t>
            </w:r>
            <w:r w:rsidRPr="00F10C37">
              <w:rPr>
                <w:rFonts w:cs="Times New Roman"/>
                <w:szCs w:val="24"/>
              </w:rPr>
              <w:t xml:space="preserve">reatinine Kinase level &gt;5 times ULN. </w:t>
            </w:r>
          </w:p>
        </w:tc>
      </w:tr>
      <w:tr w:rsidR="0053763D" w:rsidRPr="00F10C37" w14:paraId="4AF39236" w14:textId="77777777" w:rsidTr="00C46407">
        <w:tc>
          <w:tcPr>
            <w:tcW w:w="2605" w:type="dxa"/>
            <w:gridSpan w:val="2"/>
          </w:tcPr>
          <w:p w14:paraId="38CD450F" w14:textId="77777777" w:rsidR="0053763D" w:rsidRPr="00F10C37" w:rsidRDefault="0053763D" w:rsidP="00C46407">
            <w:pPr>
              <w:jc w:val="both"/>
              <w:rPr>
                <w:rFonts w:cs="Times New Roman"/>
                <w:szCs w:val="24"/>
              </w:rPr>
            </w:pPr>
            <w:r w:rsidRPr="00F10C37">
              <w:rPr>
                <w:rFonts w:cs="Times New Roman"/>
                <w:szCs w:val="24"/>
              </w:rPr>
              <w:lastRenderedPageBreak/>
              <w:t>Drug interactions</w:t>
            </w:r>
          </w:p>
        </w:tc>
        <w:tc>
          <w:tcPr>
            <w:tcW w:w="6750" w:type="dxa"/>
          </w:tcPr>
          <w:p w14:paraId="35DF19F5" w14:textId="77777777" w:rsidR="0053763D" w:rsidRPr="00F10C37" w:rsidRDefault="0053763D" w:rsidP="00C46407">
            <w:pPr>
              <w:jc w:val="both"/>
              <w:rPr>
                <w:rFonts w:cs="Times New Roman"/>
                <w:szCs w:val="24"/>
              </w:rPr>
            </w:pPr>
            <w:r w:rsidRPr="00F10C37">
              <w:rPr>
                <w:rFonts w:cs="Times New Roman"/>
                <w:szCs w:val="24"/>
              </w:rPr>
              <w:t>Aliskren, amiodarone, carbamazepine, phenytoin, diltiazem, verapamil, fibrates, grape fruit juice,</w:t>
            </w:r>
            <w:r>
              <w:rPr>
                <w:rFonts w:cs="Times New Roman"/>
                <w:szCs w:val="24"/>
              </w:rPr>
              <w:t xml:space="preserve"> </w:t>
            </w:r>
            <w:r w:rsidRPr="00F10C37">
              <w:rPr>
                <w:rFonts w:cs="Times New Roman"/>
                <w:szCs w:val="24"/>
              </w:rPr>
              <w:t>protease inhibitors, NNRTIs, ranolazine, CYP3A4 inhibitors (e.g., ciclosporin, clarithromycin, ketoconazole, voriconazole, itraconazole, fluconazole, ritonavir, erythromycin), CYP3A4 inducers (e.g., efavirenz, rifampicin, St. John’s wort) antacids, bile acid sequestrants, warfarin, oral contraceptives, digoxin, alcohol, cholestyramine, propranolol, imatinib, colchicine.</w:t>
            </w:r>
          </w:p>
        </w:tc>
      </w:tr>
      <w:tr w:rsidR="0053763D" w:rsidRPr="00F10C37" w14:paraId="176E23C6" w14:textId="77777777" w:rsidTr="00C46407">
        <w:tc>
          <w:tcPr>
            <w:tcW w:w="2605" w:type="dxa"/>
            <w:gridSpan w:val="2"/>
          </w:tcPr>
          <w:p w14:paraId="7D3D0305" w14:textId="77777777" w:rsidR="0053763D" w:rsidRPr="00F10C37" w:rsidRDefault="0053763D" w:rsidP="00C46407">
            <w:pPr>
              <w:jc w:val="both"/>
              <w:rPr>
                <w:rFonts w:cs="Times New Roman"/>
                <w:szCs w:val="24"/>
              </w:rPr>
            </w:pPr>
            <w:r w:rsidRPr="00F10C37">
              <w:rPr>
                <w:rFonts w:cs="Times New Roman"/>
                <w:szCs w:val="24"/>
              </w:rPr>
              <w:t>Side effects</w:t>
            </w:r>
          </w:p>
        </w:tc>
        <w:tc>
          <w:tcPr>
            <w:tcW w:w="6750" w:type="dxa"/>
          </w:tcPr>
          <w:p w14:paraId="28A9DC1E"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GI disturbance, rhabdomylosis, muscle rupture, myalgia associated with muscle stiffness or weakness, elevations of creatine kinase and serum transaminase, hepatitis, headache, skin rash, peripheral neuropathy, hypersensitivity, urinary tract infections, myopathy, sinusitis, epistaxis, hyperglycaemia, joint disorders, pharyngolaryngeal pain, nasopharyngitis, pain, decreased appetite, chest pain, hypoglycaemia, vision disorders, hearing loss</w:t>
            </w:r>
            <w:r>
              <w:rPr>
                <w:rFonts w:eastAsiaTheme="minorHAnsi" w:cs="Times New Roman"/>
                <w:kern w:val="0"/>
                <w:szCs w:val="24"/>
                <w:lang w:val="en-US" w:eastAsia="en-US"/>
              </w:rPr>
              <w:t>.</w:t>
            </w:r>
          </w:p>
        </w:tc>
      </w:tr>
      <w:tr w:rsidR="0053763D" w:rsidRPr="00F10C37" w14:paraId="49A56226" w14:textId="77777777" w:rsidTr="00C46407">
        <w:tc>
          <w:tcPr>
            <w:tcW w:w="2605" w:type="dxa"/>
            <w:gridSpan w:val="2"/>
          </w:tcPr>
          <w:p w14:paraId="775F113B" w14:textId="77777777" w:rsidR="0053763D" w:rsidRPr="00F10C37" w:rsidRDefault="0053763D" w:rsidP="00C46407">
            <w:pPr>
              <w:jc w:val="both"/>
              <w:rPr>
                <w:rFonts w:cs="Times New Roman"/>
                <w:szCs w:val="24"/>
              </w:rPr>
            </w:pPr>
            <w:r w:rsidRPr="00F10C37">
              <w:rPr>
                <w:rFonts w:cs="Times New Roman"/>
                <w:szCs w:val="24"/>
              </w:rPr>
              <w:t>Cautions</w:t>
            </w:r>
          </w:p>
        </w:tc>
        <w:tc>
          <w:tcPr>
            <w:tcW w:w="6750" w:type="dxa"/>
          </w:tcPr>
          <w:p w14:paraId="15250E61" w14:textId="77777777" w:rsidR="0053763D" w:rsidRPr="00F10C37" w:rsidRDefault="0053763D" w:rsidP="00C46407">
            <w:pPr>
              <w:jc w:val="both"/>
              <w:rPr>
                <w:rFonts w:cs="Times New Roman"/>
                <w:szCs w:val="24"/>
              </w:rPr>
            </w:pPr>
            <w:r w:rsidRPr="00F10C37">
              <w:rPr>
                <w:rFonts w:cs="Times New Roman"/>
                <w:bCs/>
                <w:szCs w:val="24"/>
              </w:rPr>
              <w:t xml:space="preserve">Pre-disposing factors for rhabdomyolysis, </w:t>
            </w:r>
            <w:r>
              <w:rPr>
                <w:rFonts w:cs="Times New Roman"/>
                <w:szCs w:val="24"/>
              </w:rPr>
              <w:t>h</w:t>
            </w:r>
            <w:r w:rsidRPr="00F10C37">
              <w:rPr>
                <w:rFonts w:cs="Times New Roman"/>
                <w:szCs w:val="24"/>
              </w:rPr>
              <w:t>emmorhagic stroke,</w:t>
            </w:r>
            <w:r w:rsidRPr="00F10C37">
              <w:rPr>
                <w:rFonts w:cs="Times New Roman"/>
                <w:bCs/>
                <w:szCs w:val="24"/>
              </w:rPr>
              <w:t xml:space="preserve"> renal impairment, hypothyroidism, familial history of muscular toxicity, history of liver disease or alcoholism, elderly, hemorrhagic stroke, pregnancy</w:t>
            </w:r>
            <w:r>
              <w:rPr>
                <w:rFonts w:cs="Times New Roman"/>
                <w:bCs/>
                <w:szCs w:val="24"/>
              </w:rPr>
              <w:t xml:space="preserve">, </w:t>
            </w:r>
            <w:r w:rsidRPr="00F10C37">
              <w:rPr>
                <w:rFonts w:cs="Times New Roman"/>
                <w:bCs/>
                <w:szCs w:val="24"/>
              </w:rPr>
              <w:t>breast feeding.</w:t>
            </w:r>
          </w:p>
        </w:tc>
      </w:tr>
      <w:tr w:rsidR="0053763D" w:rsidRPr="00F10C37" w14:paraId="57445AF1" w14:textId="77777777" w:rsidTr="00C46407">
        <w:tc>
          <w:tcPr>
            <w:tcW w:w="2605" w:type="dxa"/>
            <w:gridSpan w:val="2"/>
          </w:tcPr>
          <w:p w14:paraId="68B32D8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750" w:type="dxa"/>
          </w:tcPr>
          <w:p w14:paraId="3CE5CF09"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 to 30°C.</w:t>
            </w:r>
          </w:p>
        </w:tc>
      </w:tr>
      <w:tr w:rsidR="0053763D" w:rsidRPr="00F10C37" w14:paraId="65D3C326" w14:textId="77777777" w:rsidTr="00C46407">
        <w:trPr>
          <w:trHeight w:val="512"/>
        </w:trPr>
        <w:tc>
          <w:tcPr>
            <w:tcW w:w="9355" w:type="dxa"/>
            <w:gridSpan w:val="3"/>
          </w:tcPr>
          <w:p w14:paraId="7461C51C" w14:textId="77777777" w:rsidR="0053763D" w:rsidRPr="00F10C37" w:rsidRDefault="0053763D" w:rsidP="00C46407">
            <w:pPr>
              <w:jc w:val="both"/>
              <w:rPr>
                <w:rFonts w:cs="Times New Roman"/>
                <w:b/>
                <w:szCs w:val="24"/>
              </w:rPr>
            </w:pPr>
            <w:r w:rsidRPr="00F10C37">
              <w:rPr>
                <w:rFonts w:cs="Times New Roman"/>
                <w:b/>
                <w:szCs w:val="24"/>
              </w:rPr>
              <w:t>Omega-3-fatty acids</w:t>
            </w:r>
            <w:r w:rsidRPr="00F10C37">
              <w:rPr>
                <w:rFonts w:cs="Times New Roman"/>
                <w:b/>
                <w:szCs w:val="24"/>
              </w:rPr>
              <w:tab/>
            </w:r>
          </w:p>
        </w:tc>
      </w:tr>
      <w:tr w:rsidR="0053763D" w:rsidRPr="00F10C37" w14:paraId="422E1BDE" w14:textId="77777777" w:rsidTr="00C46407">
        <w:trPr>
          <w:trHeight w:val="512"/>
        </w:trPr>
        <w:tc>
          <w:tcPr>
            <w:tcW w:w="2515" w:type="dxa"/>
          </w:tcPr>
          <w:p w14:paraId="07F26BF0"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7A239593" w14:textId="77777777" w:rsidR="0053763D" w:rsidRPr="00F10C37" w:rsidRDefault="0053763D" w:rsidP="00C46407">
            <w:pPr>
              <w:jc w:val="both"/>
              <w:rPr>
                <w:rFonts w:cs="Times New Roman"/>
                <w:szCs w:val="24"/>
              </w:rPr>
            </w:pPr>
            <w:r>
              <w:rPr>
                <w:rFonts w:cs="Times New Roman"/>
                <w:szCs w:val="24"/>
              </w:rPr>
              <w:t>Lipid</w:t>
            </w:r>
            <w:r w:rsidRPr="00F10C37">
              <w:rPr>
                <w:rFonts w:cs="Times New Roman"/>
                <w:szCs w:val="24"/>
              </w:rPr>
              <w:t xml:space="preserve"> lowering agent </w:t>
            </w:r>
          </w:p>
        </w:tc>
      </w:tr>
      <w:tr w:rsidR="0053763D" w:rsidRPr="00F10C37" w14:paraId="3FB71DCA" w14:textId="77777777" w:rsidTr="00C46407">
        <w:trPr>
          <w:trHeight w:val="395"/>
        </w:trPr>
        <w:tc>
          <w:tcPr>
            <w:tcW w:w="2515" w:type="dxa"/>
          </w:tcPr>
          <w:p w14:paraId="7DEFEA0A"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77F26C07" w14:textId="77777777" w:rsidR="0053763D" w:rsidRDefault="0053763D" w:rsidP="00C46407">
            <w:pPr>
              <w:widowControl w:val="0"/>
              <w:autoSpaceDE w:val="0"/>
              <w:autoSpaceDN w:val="0"/>
              <w:adjustRightInd w:val="0"/>
              <w:jc w:val="both"/>
              <w:rPr>
                <w:rFonts w:cs="Times New Roman"/>
                <w:szCs w:val="24"/>
              </w:rPr>
            </w:pPr>
            <w:r w:rsidRPr="00F10C37">
              <w:rPr>
                <w:rFonts w:cs="Times New Roman"/>
                <w:szCs w:val="24"/>
              </w:rPr>
              <w:t>Capsule: 1gm</w:t>
            </w:r>
          </w:p>
          <w:p w14:paraId="2A27460D"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szCs w:val="24"/>
              </w:rPr>
              <w:t>Liquid: 250 mg to 500 mg/100</w:t>
            </w:r>
            <w:r>
              <w:rPr>
                <w:rFonts w:cs="Times New Roman"/>
                <w:szCs w:val="24"/>
              </w:rPr>
              <w:t>ml</w:t>
            </w:r>
            <w:r w:rsidRPr="00F10C37">
              <w:rPr>
                <w:rFonts w:cs="Times New Roman"/>
                <w:szCs w:val="24"/>
              </w:rPr>
              <w:t xml:space="preserve"> (100 to 200 </w:t>
            </w:r>
            <w:r>
              <w:rPr>
                <w:rFonts w:cs="Times New Roman"/>
                <w:szCs w:val="24"/>
              </w:rPr>
              <w:t>ml</w:t>
            </w:r>
            <w:r w:rsidRPr="00F10C37">
              <w:rPr>
                <w:rFonts w:cs="Times New Roman"/>
                <w:szCs w:val="24"/>
              </w:rPr>
              <w:t>)</w:t>
            </w:r>
          </w:p>
        </w:tc>
      </w:tr>
      <w:tr w:rsidR="0053763D" w:rsidRPr="00F10C37" w14:paraId="4CB992A0" w14:textId="77777777" w:rsidTr="00C46407">
        <w:trPr>
          <w:trHeight w:val="521"/>
        </w:trPr>
        <w:tc>
          <w:tcPr>
            <w:tcW w:w="2515" w:type="dxa"/>
          </w:tcPr>
          <w:p w14:paraId="6EFEA9A5" w14:textId="77777777" w:rsidR="0053763D" w:rsidRPr="004667AC" w:rsidRDefault="0053763D" w:rsidP="00C46407">
            <w:pPr>
              <w:jc w:val="both"/>
              <w:rPr>
                <w:rFonts w:cs="Times New Roman"/>
                <w:szCs w:val="24"/>
              </w:rPr>
            </w:pPr>
            <w:r w:rsidRPr="004667AC">
              <w:rPr>
                <w:rFonts w:cs="Times New Roman"/>
                <w:szCs w:val="24"/>
              </w:rPr>
              <w:t>Indications</w:t>
            </w:r>
          </w:p>
        </w:tc>
        <w:tc>
          <w:tcPr>
            <w:tcW w:w="6840" w:type="dxa"/>
            <w:gridSpan w:val="2"/>
          </w:tcPr>
          <w:p w14:paraId="3ABF01EC" w14:textId="77777777" w:rsidR="0053763D" w:rsidRPr="00F10C37" w:rsidRDefault="0053763D" w:rsidP="00C46407">
            <w:pPr>
              <w:jc w:val="both"/>
              <w:rPr>
                <w:rFonts w:cs="Times New Roman"/>
                <w:szCs w:val="24"/>
              </w:rPr>
            </w:pPr>
            <w:r w:rsidRPr="00F10C37">
              <w:rPr>
                <w:rFonts w:cs="Times New Roman"/>
                <w:iCs/>
                <w:szCs w:val="24"/>
              </w:rPr>
              <w:t>Hypertriglyceridemia, Omega-3 deficiency in cardiovascular patients, secondary prevention in MI</w:t>
            </w:r>
            <w:r>
              <w:rPr>
                <w:rFonts w:cs="Times New Roman"/>
                <w:iCs/>
                <w:szCs w:val="24"/>
              </w:rPr>
              <w:t>.</w:t>
            </w:r>
          </w:p>
        </w:tc>
      </w:tr>
      <w:tr w:rsidR="0053763D" w:rsidRPr="00F10C37" w14:paraId="1EEB2A77" w14:textId="77777777" w:rsidTr="00C46407">
        <w:trPr>
          <w:trHeight w:val="521"/>
        </w:trPr>
        <w:tc>
          <w:tcPr>
            <w:tcW w:w="2515" w:type="dxa"/>
          </w:tcPr>
          <w:p w14:paraId="063AE071" w14:textId="77777777" w:rsidR="0053763D" w:rsidRPr="00F10C37" w:rsidRDefault="0053763D" w:rsidP="00C46407">
            <w:pPr>
              <w:jc w:val="both"/>
              <w:rPr>
                <w:rFonts w:cs="Times New Roman"/>
                <w:szCs w:val="24"/>
              </w:rPr>
            </w:pPr>
            <w:r w:rsidRPr="00F10C37">
              <w:rPr>
                <w:rFonts w:eastAsia="Times New Roman" w:cs="Times New Roman"/>
                <w:szCs w:val="24"/>
              </w:rPr>
              <w:t xml:space="preserve">Dose and </w:t>
            </w:r>
            <w:r w:rsidRPr="00F10C37">
              <w:rPr>
                <w:rFonts w:eastAsia="Times New Roman" w:cs="Times New Roman"/>
                <w:szCs w:val="24"/>
              </w:rPr>
              <w:lastRenderedPageBreak/>
              <w:t>administration</w:t>
            </w:r>
          </w:p>
        </w:tc>
        <w:tc>
          <w:tcPr>
            <w:tcW w:w="6840" w:type="dxa"/>
            <w:gridSpan w:val="2"/>
          </w:tcPr>
          <w:p w14:paraId="1BC0FA23" w14:textId="77777777" w:rsidR="0053763D" w:rsidRDefault="0053763D" w:rsidP="00C46407">
            <w:pPr>
              <w:autoSpaceDE w:val="0"/>
              <w:autoSpaceDN w:val="0"/>
              <w:adjustRightInd w:val="0"/>
              <w:jc w:val="both"/>
              <w:rPr>
                <w:rFonts w:cs="Times New Roman"/>
                <w:b/>
                <w:iCs/>
                <w:szCs w:val="24"/>
              </w:rPr>
            </w:pPr>
            <w:r w:rsidRPr="00F10C37">
              <w:rPr>
                <w:rFonts w:eastAsiaTheme="minorHAnsi" w:cs="Times New Roman"/>
                <w:b/>
                <w:color w:val="231F20"/>
                <w:kern w:val="0"/>
                <w:szCs w:val="24"/>
                <w:lang w:val="en-US" w:eastAsia="en-US"/>
              </w:rPr>
              <w:lastRenderedPageBreak/>
              <w:t xml:space="preserve">Adjunct to diet and statin in type IIb or III </w:t>
            </w:r>
            <w:r w:rsidRPr="00F10C37">
              <w:rPr>
                <w:rFonts w:eastAsiaTheme="minorHAnsi" w:cs="Times New Roman"/>
                <w:b/>
                <w:color w:val="231F20"/>
                <w:kern w:val="0"/>
                <w:szCs w:val="24"/>
                <w:lang w:val="en-US" w:eastAsia="en-US"/>
              </w:rPr>
              <w:lastRenderedPageBreak/>
              <w:t>hypertriglyceridemia</w:t>
            </w:r>
            <w:r w:rsidRPr="00F10C37">
              <w:rPr>
                <w:rFonts w:eastAsiaTheme="minorHAnsi" w:cs="Times New Roman"/>
                <w:color w:val="231F20"/>
                <w:kern w:val="0"/>
                <w:szCs w:val="24"/>
                <w:lang w:val="en-US" w:eastAsia="en-US"/>
              </w:rPr>
              <w:t xml:space="preserve">, </w:t>
            </w:r>
            <w:r w:rsidRPr="00F10C37">
              <w:rPr>
                <w:rFonts w:eastAsiaTheme="minorHAnsi" w:cs="Times New Roman"/>
                <w:b/>
                <w:color w:val="231F20"/>
                <w:kern w:val="0"/>
                <w:szCs w:val="24"/>
                <w:lang w:val="en-US" w:eastAsia="en-US"/>
              </w:rPr>
              <w:t>adjunct to diet in type IV hypertriglyceridemia</w:t>
            </w:r>
            <w:r w:rsidRPr="00F10C37">
              <w:rPr>
                <w:rFonts w:eastAsiaTheme="minorHAnsi" w:cs="Times New Roman"/>
                <w:color w:val="231F20"/>
                <w:kern w:val="0"/>
                <w:szCs w:val="24"/>
                <w:lang w:val="en-US" w:eastAsia="en-US"/>
              </w:rPr>
              <w:t xml:space="preserve">, </w:t>
            </w:r>
            <w:r w:rsidRPr="00F10C37">
              <w:rPr>
                <w:rFonts w:cs="Times New Roman"/>
                <w:b/>
                <w:iCs/>
                <w:szCs w:val="24"/>
              </w:rPr>
              <w:t>Omega-3</w:t>
            </w:r>
            <w:r>
              <w:rPr>
                <w:rFonts w:cs="Times New Roman"/>
                <w:b/>
                <w:iCs/>
                <w:szCs w:val="24"/>
              </w:rPr>
              <w:t xml:space="preserve"> </w:t>
            </w:r>
            <w:r w:rsidRPr="00F10C37">
              <w:rPr>
                <w:rFonts w:cs="Times New Roman"/>
                <w:b/>
                <w:iCs/>
                <w:szCs w:val="24"/>
              </w:rPr>
              <w:t>deficiency in cardiovascular patients</w:t>
            </w:r>
            <w:r>
              <w:rPr>
                <w:rFonts w:cs="Times New Roman"/>
                <w:b/>
                <w:iCs/>
                <w:szCs w:val="24"/>
              </w:rPr>
              <w:t>:</w:t>
            </w:r>
          </w:p>
          <w:p w14:paraId="5548D533"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1F9E">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2 capsules daily, dose to be taken with food, increased if necessary to 4 capsules daily</w:t>
            </w:r>
          </w:p>
          <w:p w14:paraId="6627E01D"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Adjunct in secondary prevention in those who have had a myocardial infarction in the preceding 3 months</w:t>
            </w:r>
            <w:r>
              <w:rPr>
                <w:rFonts w:eastAsiaTheme="minorHAnsi" w:cs="Times New Roman"/>
                <w:b/>
                <w:color w:val="231F20"/>
                <w:kern w:val="0"/>
                <w:szCs w:val="24"/>
                <w:lang w:val="en-US" w:eastAsia="en-US"/>
              </w:rPr>
              <w:t>:</w:t>
            </w:r>
          </w:p>
          <w:p w14:paraId="22CDA987"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1F9E">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1 capsule daily, dose to be taken with food</w:t>
            </w:r>
          </w:p>
          <w:p w14:paraId="46ED7696" w14:textId="77777777" w:rsidR="0053763D" w:rsidRPr="00F10C37" w:rsidRDefault="0053763D" w:rsidP="00C46407">
            <w:pPr>
              <w:autoSpaceDE w:val="0"/>
              <w:autoSpaceDN w:val="0"/>
              <w:adjustRightInd w:val="0"/>
              <w:jc w:val="both"/>
              <w:rPr>
                <w:rFonts w:eastAsiaTheme="minorHAnsi" w:cs="Times New Roman"/>
                <w:b/>
                <w:color w:val="231F20"/>
                <w:kern w:val="0"/>
                <w:szCs w:val="24"/>
                <w:lang w:val="en-US" w:eastAsia="en-US"/>
              </w:rPr>
            </w:pPr>
            <w:r w:rsidRPr="00F11F9E">
              <w:rPr>
                <w:rFonts w:cs="Times New Roman"/>
                <w:i/>
                <w:szCs w:val="24"/>
              </w:rPr>
              <w:t>Note:</w:t>
            </w:r>
            <w:r w:rsidRPr="00F10C37">
              <w:rPr>
                <w:rFonts w:cs="Times New Roman"/>
                <w:b/>
                <w:szCs w:val="24"/>
              </w:rPr>
              <w:t xml:space="preserve"> </w:t>
            </w:r>
            <w:r w:rsidRPr="003D3E3A">
              <w:rPr>
                <w:rFonts w:cs="Times New Roman"/>
                <w:i/>
                <w:szCs w:val="24"/>
              </w:rPr>
              <w:t>Evaluate triglyceride levels carefully prior to initiating treatment</w:t>
            </w:r>
            <w:r>
              <w:rPr>
                <w:rFonts w:cs="Times New Roman"/>
                <w:i/>
                <w:szCs w:val="24"/>
              </w:rPr>
              <w:t>.</w:t>
            </w:r>
          </w:p>
        </w:tc>
      </w:tr>
      <w:tr w:rsidR="0053763D" w:rsidRPr="00F10C37" w14:paraId="4DD9B9F8" w14:textId="77777777" w:rsidTr="00C46407">
        <w:tc>
          <w:tcPr>
            <w:tcW w:w="2515" w:type="dxa"/>
          </w:tcPr>
          <w:p w14:paraId="3EC8E621"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2"/>
          </w:tcPr>
          <w:p w14:paraId="3C316418" w14:textId="77777777" w:rsidR="0053763D" w:rsidRPr="00F10C37" w:rsidRDefault="0053763D" w:rsidP="00C46407">
            <w:pPr>
              <w:jc w:val="both"/>
              <w:rPr>
                <w:rFonts w:cs="Times New Roman"/>
                <w:szCs w:val="24"/>
              </w:rPr>
            </w:pPr>
            <w:r w:rsidRPr="00F10C37">
              <w:rPr>
                <w:rFonts w:cs="Times New Roman"/>
                <w:szCs w:val="24"/>
              </w:rPr>
              <w:t xml:space="preserve">Hypersensitivity </w:t>
            </w:r>
            <w:r>
              <w:rPr>
                <w:rFonts w:cs="Times New Roman"/>
                <w:szCs w:val="24"/>
              </w:rPr>
              <w:t>to the drug.</w:t>
            </w:r>
          </w:p>
        </w:tc>
      </w:tr>
      <w:tr w:rsidR="0053763D" w:rsidRPr="00F10C37" w14:paraId="30563254" w14:textId="77777777" w:rsidTr="00C46407">
        <w:tc>
          <w:tcPr>
            <w:tcW w:w="2515" w:type="dxa"/>
          </w:tcPr>
          <w:p w14:paraId="34C0435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4EE48885" w14:textId="77777777" w:rsidR="0053763D" w:rsidRPr="00F10C37" w:rsidRDefault="0053763D" w:rsidP="00C46407">
            <w:pPr>
              <w:jc w:val="both"/>
              <w:rPr>
                <w:rFonts w:cs="Times New Roman"/>
                <w:szCs w:val="24"/>
              </w:rPr>
            </w:pPr>
            <w:r w:rsidRPr="00F10C37">
              <w:rPr>
                <w:rFonts w:cs="Times New Roman"/>
                <w:szCs w:val="24"/>
              </w:rPr>
              <w:t>Antiplatelets, anti-coagulants</w:t>
            </w:r>
          </w:p>
        </w:tc>
      </w:tr>
      <w:tr w:rsidR="0053763D" w:rsidRPr="00F10C37" w14:paraId="0E18826A" w14:textId="77777777" w:rsidTr="00C46407">
        <w:tc>
          <w:tcPr>
            <w:tcW w:w="2515" w:type="dxa"/>
          </w:tcPr>
          <w:p w14:paraId="75D59C73"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1EDFE31D"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Bur</w:t>
            </w:r>
            <w:r>
              <w:rPr>
                <w:rFonts w:eastAsiaTheme="minorHAnsi" w:cs="Times New Roman"/>
                <w:color w:val="231F20"/>
                <w:kern w:val="0"/>
                <w:szCs w:val="24"/>
                <w:lang w:val="en-US" w:eastAsia="en-US"/>
              </w:rPr>
              <w:t>p</w:t>
            </w:r>
            <w:r w:rsidRPr="00F10C37">
              <w:rPr>
                <w:rFonts w:eastAsiaTheme="minorHAnsi" w:cs="Times New Roman"/>
                <w:color w:val="231F20"/>
                <w:kern w:val="0"/>
                <w:szCs w:val="24"/>
                <w:lang w:val="en-US" w:eastAsia="en-US"/>
              </w:rPr>
              <w:t>ing, constipation, diarrhea, gastrointestinal discomfort, nausea, vomiting, dizziness, gout, hemorrhage, headache, hyperglycaemia, hypotension, skin reactions, taste altered, liver disorder</w:t>
            </w:r>
            <w:r w:rsidRPr="00F10C37">
              <w:rPr>
                <w:rFonts w:cs="Times New Roman"/>
                <w:szCs w:val="24"/>
              </w:rPr>
              <w:t>, taste sense altered.</w:t>
            </w:r>
          </w:p>
        </w:tc>
      </w:tr>
      <w:tr w:rsidR="0053763D" w:rsidRPr="00F10C37" w14:paraId="4818A109" w14:textId="77777777" w:rsidTr="00C46407">
        <w:tc>
          <w:tcPr>
            <w:tcW w:w="2515" w:type="dxa"/>
          </w:tcPr>
          <w:p w14:paraId="5D4FDCCB"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5BD6521A" w14:textId="77777777" w:rsidR="0053763D" w:rsidRPr="00F10C37" w:rsidRDefault="0053763D" w:rsidP="00C46407">
            <w:pPr>
              <w:autoSpaceDE w:val="0"/>
              <w:autoSpaceDN w:val="0"/>
              <w:adjustRightInd w:val="0"/>
              <w:jc w:val="both"/>
              <w:rPr>
                <w:rFonts w:cs="Times New Roman"/>
                <w:szCs w:val="24"/>
              </w:rPr>
            </w:pPr>
            <w:r>
              <w:rPr>
                <w:rFonts w:cs="Times New Roman"/>
                <w:szCs w:val="24"/>
              </w:rPr>
              <w:t>H</w:t>
            </w:r>
            <w:r w:rsidRPr="00F10C37">
              <w:rPr>
                <w:rFonts w:cs="Times New Roman"/>
                <w:szCs w:val="24"/>
              </w:rPr>
              <w:t>ypersensitivity to fish or shellfish</w:t>
            </w:r>
            <w:r>
              <w:rPr>
                <w:rFonts w:cs="Times New Roman"/>
                <w:szCs w:val="24"/>
              </w:rPr>
              <w:t xml:space="preserve">, </w:t>
            </w:r>
            <w:r>
              <w:rPr>
                <w:rFonts w:eastAsiaTheme="minorHAnsi" w:cs="Times New Roman"/>
                <w:color w:val="231F20"/>
                <w:kern w:val="0"/>
                <w:szCs w:val="24"/>
                <w:lang w:val="en-US" w:eastAsia="en-US"/>
              </w:rPr>
              <w:t>a</w:t>
            </w:r>
            <w:r w:rsidRPr="00F10C37">
              <w:rPr>
                <w:rFonts w:eastAsiaTheme="minorHAnsi" w:cs="Times New Roman"/>
                <w:color w:val="231F20"/>
                <w:kern w:val="0"/>
                <w:szCs w:val="24"/>
                <w:lang w:val="en-US" w:eastAsia="en-US"/>
              </w:rPr>
              <w:t xml:space="preserve">nticoagulant treatment, haemorrhagic disorders, </w:t>
            </w:r>
            <w:r w:rsidRPr="00F10C37">
              <w:rPr>
                <w:rFonts w:eastAsiaTheme="minorHAnsi" w:cs="Times New Roman"/>
                <w:kern w:val="0"/>
                <w:szCs w:val="24"/>
                <w:lang w:val="en-US" w:eastAsia="en-US"/>
              </w:rPr>
              <w:t xml:space="preserve">symptomatic atrial fibrillation or flutter, </w:t>
            </w:r>
            <w:r w:rsidRPr="00F10C37">
              <w:rPr>
                <w:rFonts w:cs="Times New Roman"/>
                <w:szCs w:val="24"/>
              </w:rPr>
              <w:t>hepatic impairment, pregnancy</w:t>
            </w:r>
            <w:r>
              <w:rPr>
                <w:rFonts w:cs="Times New Roman"/>
                <w:szCs w:val="24"/>
              </w:rPr>
              <w:t>,</w:t>
            </w:r>
            <w:r w:rsidRPr="00F10C37">
              <w:rPr>
                <w:rFonts w:cs="Times New Roman"/>
                <w:szCs w:val="24"/>
              </w:rPr>
              <w:t xml:space="preserve"> breastfeeding</w:t>
            </w:r>
            <w:r>
              <w:rPr>
                <w:rFonts w:cs="Times New Roman"/>
                <w:szCs w:val="24"/>
              </w:rPr>
              <w:t>.</w:t>
            </w:r>
          </w:p>
        </w:tc>
      </w:tr>
      <w:tr w:rsidR="0053763D" w:rsidRPr="00F10C37" w14:paraId="12934275" w14:textId="77777777" w:rsidTr="00C46407">
        <w:tc>
          <w:tcPr>
            <w:tcW w:w="2515" w:type="dxa"/>
          </w:tcPr>
          <w:p w14:paraId="73E6BE31"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761B5B87"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w:t>
            </w:r>
            <w:r w:rsidRPr="00F10C37">
              <w:rPr>
                <w:rFonts w:cs="Times New Roman"/>
                <w:szCs w:val="24"/>
              </w:rPr>
              <w:t xml:space="preserve"> 15°C </w:t>
            </w:r>
            <w:r>
              <w:rPr>
                <w:rFonts w:cs="Times New Roman"/>
                <w:szCs w:val="24"/>
              </w:rPr>
              <w:t xml:space="preserve">and </w:t>
            </w:r>
            <w:r w:rsidRPr="00F10C37">
              <w:rPr>
                <w:rFonts w:cs="Times New Roman"/>
                <w:szCs w:val="24"/>
              </w:rPr>
              <w:t>30°C</w:t>
            </w:r>
            <w:r>
              <w:rPr>
                <w:rFonts w:cs="Times New Roman"/>
                <w:szCs w:val="24"/>
              </w:rPr>
              <w:t>.</w:t>
            </w:r>
          </w:p>
        </w:tc>
      </w:tr>
      <w:tr w:rsidR="0053763D" w:rsidRPr="00F10C37" w14:paraId="7CB33694" w14:textId="77777777" w:rsidTr="00C46407">
        <w:trPr>
          <w:trHeight w:val="512"/>
        </w:trPr>
        <w:tc>
          <w:tcPr>
            <w:tcW w:w="9355" w:type="dxa"/>
            <w:gridSpan w:val="3"/>
          </w:tcPr>
          <w:p w14:paraId="36693216" w14:textId="77777777" w:rsidR="0053763D" w:rsidRPr="00F10C37" w:rsidRDefault="0053763D" w:rsidP="00C46407">
            <w:pPr>
              <w:jc w:val="both"/>
              <w:rPr>
                <w:rFonts w:cs="Times New Roman"/>
                <w:b/>
                <w:szCs w:val="24"/>
              </w:rPr>
            </w:pPr>
            <w:r w:rsidRPr="00F10C37">
              <w:rPr>
                <w:rFonts w:cs="Times New Roman"/>
                <w:b/>
                <w:color w:val="000000"/>
                <w:szCs w:val="24"/>
              </w:rPr>
              <w:t xml:space="preserve">Rosuvastatin </w:t>
            </w:r>
          </w:p>
        </w:tc>
      </w:tr>
      <w:tr w:rsidR="0053763D" w:rsidRPr="00F10C37" w14:paraId="4D287E4D" w14:textId="77777777" w:rsidTr="00C46407">
        <w:trPr>
          <w:trHeight w:val="512"/>
        </w:trPr>
        <w:tc>
          <w:tcPr>
            <w:tcW w:w="2515" w:type="dxa"/>
          </w:tcPr>
          <w:p w14:paraId="0241BBA3"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2EC81709" w14:textId="77777777" w:rsidR="0053763D" w:rsidRPr="00F10C37" w:rsidRDefault="0053763D" w:rsidP="00C46407">
            <w:pPr>
              <w:jc w:val="both"/>
              <w:rPr>
                <w:rFonts w:cs="Times New Roman"/>
                <w:szCs w:val="24"/>
              </w:rPr>
            </w:pPr>
            <w:r>
              <w:rPr>
                <w:rFonts w:cs="Times New Roman"/>
                <w:szCs w:val="24"/>
              </w:rPr>
              <w:t>HMG CoA reductase inhibitor</w:t>
            </w:r>
          </w:p>
        </w:tc>
      </w:tr>
      <w:tr w:rsidR="0053763D" w:rsidRPr="00F10C37" w14:paraId="7E9CC3CB" w14:textId="77777777" w:rsidTr="00C46407">
        <w:trPr>
          <w:trHeight w:val="395"/>
        </w:trPr>
        <w:tc>
          <w:tcPr>
            <w:tcW w:w="2515" w:type="dxa"/>
          </w:tcPr>
          <w:p w14:paraId="25822C23"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0DE3FE3B"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 xml:space="preserve">Tablet: 5mg, 10mg, 20mg, and 40mg </w:t>
            </w:r>
          </w:p>
        </w:tc>
      </w:tr>
      <w:tr w:rsidR="0053763D" w:rsidRPr="00F10C37" w14:paraId="2D56648A" w14:textId="77777777" w:rsidTr="00C46407">
        <w:trPr>
          <w:trHeight w:val="521"/>
        </w:trPr>
        <w:tc>
          <w:tcPr>
            <w:tcW w:w="2515" w:type="dxa"/>
          </w:tcPr>
          <w:p w14:paraId="5F1042F2" w14:textId="77777777" w:rsidR="0053763D" w:rsidRPr="00620DDA" w:rsidRDefault="0053763D" w:rsidP="00C46407">
            <w:pPr>
              <w:jc w:val="both"/>
              <w:rPr>
                <w:rFonts w:cs="Times New Roman"/>
                <w:szCs w:val="24"/>
              </w:rPr>
            </w:pPr>
            <w:r w:rsidRPr="00620DDA">
              <w:rPr>
                <w:rFonts w:cs="Times New Roman"/>
                <w:szCs w:val="24"/>
              </w:rPr>
              <w:t>Indications</w:t>
            </w:r>
          </w:p>
        </w:tc>
        <w:tc>
          <w:tcPr>
            <w:tcW w:w="6840" w:type="dxa"/>
            <w:gridSpan w:val="2"/>
          </w:tcPr>
          <w:p w14:paraId="0DE53607" w14:textId="77777777" w:rsidR="0053763D" w:rsidRPr="00F10C37" w:rsidRDefault="0053763D" w:rsidP="00C46407">
            <w:pPr>
              <w:jc w:val="both"/>
              <w:rPr>
                <w:rFonts w:cs="Times New Roman"/>
                <w:szCs w:val="24"/>
              </w:rPr>
            </w:pPr>
            <w:r w:rsidRPr="00F10C37">
              <w:rPr>
                <w:rFonts w:cs="Times New Roman"/>
                <w:szCs w:val="24"/>
              </w:rPr>
              <w:t>Primary hypercholesterolemia, heterozygous or homozygous hypercholesterolemia, combined hyperlipidemia, primary and secondary prevention of cardiovascular events</w:t>
            </w:r>
          </w:p>
        </w:tc>
      </w:tr>
      <w:tr w:rsidR="0053763D" w:rsidRPr="00F10C37" w14:paraId="073EAA81" w14:textId="77777777" w:rsidTr="00C46407">
        <w:trPr>
          <w:trHeight w:val="521"/>
        </w:trPr>
        <w:tc>
          <w:tcPr>
            <w:tcW w:w="2515" w:type="dxa"/>
          </w:tcPr>
          <w:p w14:paraId="665BCC3C"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6AB70C49" w14:textId="77777777" w:rsidR="0053763D" w:rsidRPr="00F10C37" w:rsidRDefault="0053763D" w:rsidP="00C46407">
            <w:pPr>
              <w:jc w:val="both"/>
              <w:rPr>
                <w:rFonts w:cs="Times New Roman"/>
                <w:b/>
                <w:szCs w:val="24"/>
              </w:rPr>
            </w:pPr>
            <w:r w:rsidRPr="00F10C37">
              <w:rPr>
                <w:rFonts w:cs="Times New Roman"/>
                <w:b/>
                <w:szCs w:val="24"/>
              </w:rPr>
              <w:t>1</w:t>
            </w:r>
            <w:r w:rsidRPr="00F10C37">
              <w:rPr>
                <w:rFonts w:cs="Times New Roman"/>
                <w:b/>
                <w:szCs w:val="24"/>
                <w:vertAlign w:val="superscript"/>
              </w:rPr>
              <w:t>O</w:t>
            </w:r>
            <w:r w:rsidRPr="00F10C37">
              <w:rPr>
                <w:rFonts w:cs="Times New Roman"/>
                <w:b/>
                <w:szCs w:val="24"/>
              </w:rPr>
              <w:t xml:space="preserve"> hypercholesterolemia (type IIa including heterozygous familial hypercholesterolemia), mixed dyslipidemia (type IIb), or homozygous familial hypercholesterolemia in patients not responded adequately to diet and other measures: </w:t>
            </w:r>
          </w:p>
          <w:p w14:paraId="0B5F3B58" w14:textId="77777777" w:rsidR="0053763D" w:rsidRDefault="0053763D" w:rsidP="00C46407">
            <w:pPr>
              <w:contextualSpacing/>
              <w:jc w:val="both"/>
              <w:rPr>
                <w:rFonts w:cs="Times New Roman"/>
                <w:b/>
                <w:szCs w:val="24"/>
              </w:rPr>
            </w:pPr>
            <w:r w:rsidRPr="003D3E3A">
              <w:rPr>
                <w:rFonts w:cs="Times New Roman"/>
                <w:b/>
                <w:szCs w:val="24"/>
              </w:rPr>
              <w:lastRenderedPageBreak/>
              <w:t>Patients who doesn’t have risk factors for myopathy or rhabdomyolysis</w:t>
            </w:r>
            <w:r w:rsidRPr="00A43583">
              <w:rPr>
                <w:rFonts w:cs="Times New Roman"/>
                <w:b/>
                <w:szCs w:val="24"/>
              </w:rPr>
              <w:t>:</w:t>
            </w:r>
            <w:r w:rsidRPr="00F10C37">
              <w:rPr>
                <w:rFonts w:cs="Times New Roman"/>
                <w:b/>
                <w:szCs w:val="24"/>
              </w:rPr>
              <w:t xml:space="preserve"> </w:t>
            </w:r>
          </w:p>
          <w:p w14:paraId="5F7444E2" w14:textId="77777777" w:rsidR="0053763D" w:rsidRDefault="0053763D" w:rsidP="00C46407">
            <w:pPr>
              <w:contextualSpacing/>
              <w:jc w:val="both"/>
              <w:rPr>
                <w:rFonts w:cs="Times New Roman"/>
                <w:szCs w:val="24"/>
              </w:rPr>
            </w:pPr>
            <w:r w:rsidRPr="00F10C37">
              <w:rPr>
                <w:rFonts w:cs="Times New Roman"/>
                <w:b/>
                <w:szCs w:val="24"/>
              </w:rPr>
              <w:t xml:space="preserve">Adult 18–69 years: </w:t>
            </w:r>
            <w:r w:rsidRPr="00F10C37">
              <w:rPr>
                <w:rFonts w:cs="Times New Roman"/>
                <w:szCs w:val="24"/>
              </w:rPr>
              <w:t>Initially 5–10 mg once daily, then increased if necessary up to 20 mg once daily</w:t>
            </w:r>
            <w:r>
              <w:rPr>
                <w:rFonts w:cs="Times New Roman"/>
                <w:szCs w:val="24"/>
              </w:rPr>
              <w:t>.</w:t>
            </w:r>
          </w:p>
          <w:p w14:paraId="0A83687F" w14:textId="77777777" w:rsidR="0053763D" w:rsidRPr="00F10C37" w:rsidRDefault="0053763D" w:rsidP="00C46407">
            <w:pPr>
              <w:contextualSpacing/>
              <w:jc w:val="both"/>
              <w:rPr>
                <w:rFonts w:cs="Times New Roman"/>
                <w:szCs w:val="24"/>
              </w:rPr>
            </w:pPr>
            <w:r w:rsidRPr="00F10C37">
              <w:rPr>
                <w:rFonts w:cs="Times New Roman"/>
                <w:b/>
                <w:szCs w:val="24"/>
              </w:rPr>
              <w:t>Adult 70 years and over:</w:t>
            </w:r>
            <w:r w:rsidRPr="00F10C37">
              <w:rPr>
                <w:rFonts w:cs="Times New Roman"/>
                <w:szCs w:val="24"/>
              </w:rPr>
              <w:t xml:space="preserve"> Initially 5 mg once daily, then increased if necessary up to 20 mg once daily.</w:t>
            </w:r>
          </w:p>
          <w:p w14:paraId="6E4C942B" w14:textId="77777777" w:rsidR="0053763D" w:rsidRPr="00F10C37" w:rsidRDefault="0053763D" w:rsidP="00C46407">
            <w:pPr>
              <w:contextualSpacing/>
              <w:jc w:val="both"/>
              <w:rPr>
                <w:rFonts w:cs="Times New Roman"/>
                <w:szCs w:val="24"/>
              </w:rPr>
            </w:pPr>
            <w:r w:rsidRPr="00F10C37">
              <w:rPr>
                <w:rFonts w:cs="Times New Roman"/>
                <w:b/>
                <w:szCs w:val="24"/>
              </w:rPr>
              <w:t>Patients who have risk factors for myopathy or rhabdomyolysis</w:t>
            </w:r>
            <w:r w:rsidRPr="00F10C37">
              <w:rPr>
                <w:rFonts w:cs="Times New Roman"/>
                <w:szCs w:val="24"/>
              </w:rPr>
              <w:t xml:space="preserve">: </w:t>
            </w:r>
            <w:r w:rsidRPr="00F10C37">
              <w:rPr>
                <w:rFonts w:cs="Times New Roman"/>
                <w:b/>
                <w:szCs w:val="24"/>
              </w:rPr>
              <w:t xml:space="preserve">Adult: </w:t>
            </w:r>
            <w:r w:rsidRPr="00F10C37">
              <w:rPr>
                <w:rFonts w:cs="Times New Roman"/>
                <w:szCs w:val="24"/>
              </w:rPr>
              <w:t>Initially 5 mg once daily, then increased if necessary up to 20 mg once daily.</w:t>
            </w:r>
          </w:p>
          <w:p w14:paraId="0ADD3321" w14:textId="77777777" w:rsidR="0053763D" w:rsidRDefault="0053763D" w:rsidP="00C46407">
            <w:pPr>
              <w:contextualSpacing/>
              <w:jc w:val="both"/>
              <w:rPr>
                <w:rFonts w:cs="Times New Roman"/>
                <w:szCs w:val="24"/>
              </w:rPr>
            </w:pPr>
            <w:r w:rsidRPr="00F10C37">
              <w:rPr>
                <w:rFonts w:cs="Times New Roman"/>
                <w:b/>
                <w:szCs w:val="24"/>
              </w:rPr>
              <w:t>Patients with high cardio vascular risk (specialist use only):</w:t>
            </w:r>
            <w:r w:rsidRPr="00F10C37">
              <w:rPr>
                <w:rFonts w:cs="Times New Roman"/>
                <w:szCs w:val="24"/>
              </w:rPr>
              <w:t xml:space="preserve"> </w:t>
            </w:r>
          </w:p>
          <w:p w14:paraId="62FF360E" w14:textId="77777777" w:rsidR="0053763D" w:rsidRDefault="0053763D" w:rsidP="00C46407">
            <w:pPr>
              <w:contextualSpacing/>
              <w:jc w:val="both"/>
              <w:rPr>
                <w:rFonts w:cs="Times New Roman"/>
                <w:szCs w:val="24"/>
              </w:rPr>
            </w:pPr>
            <w:r w:rsidRPr="00F10C37">
              <w:rPr>
                <w:rFonts w:cs="Times New Roman"/>
                <w:b/>
                <w:szCs w:val="24"/>
              </w:rPr>
              <w:t>Adult 18–69 years:</w:t>
            </w:r>
            <w:r w:rsidRPr="00F10C37">
              <w:rPr>
                <w:rFonts w:cs="Times New Roman"/>
                <w:szCs w:val="24"/>
              </w:rPr>
              <w:t xml:space="preserve"> Initially 5–10 mg once daily, then increased if necessary up to 40 mg once daily</w:t>
            </w:r>
            <w:r>
              <w:rPr>
                <w:rFonts w:cs="Times New Roman"/>
                <w:szCs w:val="24"/>
              </w:rPr>
              <w:t>.</w:t>
            </w:r>
          </w:p>
          <w:p w14:paraId="73C99259" w14:textId="77777777" w:rsidR="0053763D" w:rsidRPr="00F10C37" w:rsidRDefault="0053763D" w:rsidP="00C46407">
            <w:pPr>
              <w:contextualSpacing/>
              <w:jc w:val="both"/>
              <w:rPr>
                <w:rFonts w:cs="Times New Roman"/>
                <w:szCs w:val="24"/>
              </w:rPr>
            </w:pPr>
            <w:r w:rsidRPr="00F10C37">
              <w:rPr>
                <w:rFonts w:cs="Times New Roman"/>
                <w:b/>
                <w:szCs w:val="24"/>
              </w:rPr>
              <w:t>Adult ≥70 years:</w:t>
            </w:r>
            <w:r w:rsidRPr="00F10C37">
              <w:rPr>
                <w:rFonts w:cs="Times New Roman"/>
                <w:szCs w:val="24"/>
              </w:rPr>
              <w:t xml:space="preserve"> Initially 5 mg once daily, then increased if necessary up to 40 mg once daily. </w:t>
            </w:r>
          </w:p>
          <w:p w14:paraId="17004351" w14:textId="77777777" w:rsidR="0053763D" w:rsidRDefault="0053763D" w:rsidP="00C46407">
            <w:pPr>
              <w:contextualSpacing/>
              <w:jc w:val="both"/>
              <w:rPr>
                <w:rFonts w:cs="Times New Roman"/>
                <w:szCs w:val="24"/>
              </w:rPr>
            </w:pPr>
            <w:r w:rsidRPr="00F10C37">
              <w:rPr>
                <w:rFonts w:cs="Times New Roman"/>
                <w:b/>
                <w:szCs w:val="24"/>
              </w:rPr>
              <w:t xml:space="preserve">Patients with high cardiovascular risk and risk factors for myopathy or rhabdomyolysis </w:t>
            </w:r>
            <w:r w:rsidRPr="00F10C37">
              <w:rPr>
                <w:rFonts w:cs="Times New Roman"/>
                <w:szCs w:val="24"/>
              </w:rPr>
              <w:t xml:space="preserve">(specialist use only): </w:t>
            </w:r>
          </w:p>
          <w:p w14:paraId="00232BF5" w14:textId="77777777" w:rsidR="0053763D" w:rsidRPr="00F10C37" w:rsidRDefault="0053763D" w:rsidP="00C46407">
            <w:pPr>
              <w:contextualSpacing/>
              <w:jc w:val="both"/>
              <w:rPr>
                <w:rFonts w:cs="Times New Roman"/>
                <w:szCs w:val="24"/>
              </w:rPr>
            </w:pPr>
            <w:r w:rsidRPr="00F10C37">
              <w:rPr>
                <w:rFonts w:cs="Times New Roman"/>
                <w:b/>
                <w:szCs w:val="24"/>
              </w:rPr>
              <w:t>Adult:</w:t>
            </w:r>
            <w:r w:rsidRPr="00F10C37">
              <w:rPr>
                <w:rFonts w:cs="Times New Roman"/>
                <w:szCs w:val="24"/>
              </w:rPr>
              <w:t xml:space="preserve"> Initially 5 mg once daily, then increased if necessary up to 20 mg once daily. </w:t>
            </w:r>
          </w:p>
          <w:p w14:paraId="605A0BF3" w14:textId="77777777" w:rsidR="0053763D" w:rsidRDefault="0053763D" w:rsidP="00C46407">
            <w:pPr>
              <w:jc w:val="both"/>
              <w:rPr>
                <w:rFonts w:cs="Times New Roman"/>
                <w:b/>
                <w:szCs w:val="24"/>
              </w:rPr>
            </w:pPr>
            <w:r w:rsidRPr="00F10C37">
              <w:rPr>
                <w:rFonts w:cs="Times New Roman"/>
                <w:b/>
                <w:szCs w:val="24"/>
              </w:rPr>
              <w:t>Prevention of cardiovascular events in patients at high risk of a first cardiovascular event</w:t>
            </w:r>
            <w:r>
              <w:rPr>
                <w:rFonts w:cs="Times New Roman"/>
                <w:b/>
                <w:szCs w:val="24"/>
              </w:rPr>
              <w:t>:</w:t>
            </w:r>
          </w:p>
          <w:p w14:paraId="79896116" w14:textId="77777777" w:rsidR="0053763D" w:rsidRDefault="0053763D" w:rsidP="00C46407">
            <w:pPr>
              <w:jc w:val="both"/>
              <w:rPr>
                <w:rFonts w:cs="Times New Roman"/>
                <w:szCs w:val="24"/>
              </w:rPr>
            </w:pPr>
            <w:r w:rsidRPr="00F10C37">
              <w:rPr>
                <w:rFonts w:cs="Times New Roman"/>
                <w:b/>
                <w:szCs w:val="24"/>
              </w:rPr>
              <w:t>Adult 18–69 years:</w:t>
            </w:r>
            <w:r w:rsidRPr="00F10C37">
              <w:rPr>
                <w:rFonts w:cs="Times New Roman"/>
                <w:szCs w:val="24"/>
              </w:rPr>
              <w:t xml:space="preserve"> 20 mg once daily</w:t>
            </w:r>
            <w:r>
              <w:rPr>
                <w:rFonts w:cs="Times New Roman"/>
                <w:szCs w:val="24"/>
              </w:rPr>
              <w:t>.</w:t>
            </w:r>
          </w:p>
          <w:p w14:paraId="265E823A" w14:textId="77777777" w:rsidR="0053763D" w:rsidRPr="00F10C37" w:rsidRDefault="0053763D" w:rsidP="00C46407">
            <w:pPr>
              <w:jc w:val="both"/>
              <w:rPr>
                <w:rFonts w:cs="Times New Roman"/>
                <w:b/>
                <w:szCs w:val="24"/>
              </w:rPr>
            </w:pPr>
            <w:r w:rsidRPr="00F10C37">
              <w:rPr>
                <w:rFonts w:cs="Times New Roman"/>
                <w:b/>
                <w:szCs w:val="24"/>
              </w:rPr>
              <w:t>Adult 70 years and over:</w:t>
            </w:r>
            <w:r w:rsidRPr="00F10C37">
              <w:rPr>
                <w:rFonts w:cs="Times New Roman"/>
                <w:szCs w:val="24"/>
              </w:rPr>
              <w:t xml:space="preserve"> Initially 5 mg once daily, then increased if tolerated to 20 mg once daily.</w:t>
            </w:r>
          </w:p>
          <w:p w14:paraId="12B6C104" w14:textId="77777777" w:rsidR="0053763D" w:rsidRDefault="0053763D" w:rsidP="00C46407">
            <w:pPr>
              <w:jc w:val="both"/>
              <w:rPr>
                <w:rFonts w:cs="Times New Roman"/>
                <w:b/>
                <w:szCs w:val="24"/>
              </w:rPr>
            </w:pPr>
            <w:r w:rsidRPr="00F10C37">
              <w:rPr>
                <w:rFonts w:cs="Times New Roman"/>
                <w:b/>
                <w:szCs w:val="24"/>
              </w:rPr>
              <w:t>Prevention of cardiovascular events in patients at high risk of a first cardiovascular event and with risk factors for myopathy or rhabdomyolysis</w:t>
            </w:r>
            <w:r>
              <w:rPr>
                <w:rFonts w:cs="Times New Roman"/>
                <w:b/>
                <w:szCs w:val="24"/>
              </w:rPr>
              <w:t>:</w:t>
            </w:r>
          </w:p>
          <w:p w14:paraId="0817770C"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5 mg once daily, then increased if tolerated to 20 mg once daily. </w:t>
            </w:r>
          </w:p>
        </w:tc>
      </w:tr>
      <w:tr w:rsidR="0053763D" w:rsidRPr="00F10C37" w14:paraId="33C3C594" w14:textId="77777777" w:rsidTr="00C46407">
        <w:tc>
          <w:tcPr>
            <w:tcW w:w="2515" w:type="dxa"/>
          </w:tcPr>
          <w:p w14:paraId="0A1FD19C"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2"/>
          </w:tcPr>
          <w:p w14:paraId="01B910BD"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 xml:space="preserve">ypersensitivity to </w:t>
            </w:r>
            <w:r>
              <w:rPr>
                <w:rFonts w:cs="Times New Roman"/>
                <w:szCs w:val="24"/>
              </w:rPr>
              <w:t>the drug</w:t>
            </w:r>
            <w:r w:rsidRPr="00F10C37">
              <w:rPr>
                <w:rFonts w:cs="Times New Roman"/>
                <w:szCs w:val="24"/>
              </w:rPr>
              <w:t>, active liver disease or with unexplained persistent elevations of serum transaminases.</w:t>
            </w:r>
          </w:p>
        </w:tc>
      </w:tr>
      <w:tr w:rsidR="0053763D" w:rsidRPr="00F10C37" w14:paraId="25B5FDD9" w14:textId="77777777" w:rsidTr="00C46407">
        <w:tc>
          <w:tcPr>
            <w:tcW w:w="2515" w:type="dxa"/>
          </w:tcPr>
          <w:p w14:paraId="787F8AF8"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50033285" w14:textId="77777777" w:rsidR="0053763D" w:rsidRPr="00F10C37" w:rsidRDefault="0053763D" w:rsidP="00C46407">
            <w:pPr>
              <w:jc w:val="both"/>
              <w:rPr>
                <w:rFonts w:cs="Times New Roman"/>
                <w:szCs w:val="24"/>
              </w:rPr>
            </w:pPr>
            <w:r w:rsidRPr="00F10C37">
              <w:rPr>
                <w:rFonts w:eastAsiaTheme="minorHAnsi" w:cs="Times New Roman"/>
                <w:kern w:val="0"/>
                <w:szCs w:val="24"/>
                <w:lang w:val="en-US" w:eastAsia="en-US"/>
              </w:rPr>
              <w:t>Refer to atorvastatin above</w:t>
            </w:r>
            <w:r>
              <w:rPr>
                <w:rFonts w:eastAsiaTheme="minorHAnsi" w:cs="Times New Roman"/>
                <w:kern w:val="0"/>
                <w:szCs w:val="24"/>
                <w:lang w:val="en-US" w:eastAsia="en-US"/>
              </w:rPr>
              <w:t>.</w:t>
            </w:r>
          </w:p>
        </w:tc>
      </w:tr>
      <w:tr w:rsidR="0053763D" w:rsidRPr="00F10C37" w14:paraId="31631604" w14:textId="77777777" w:rsidTr="00C46407">
        <w:tc>
          <w:tcPr>
            <w:tcW w:w="2515" w:type="dxa"/>
          </w:tcPr>
          <w:p w14:paraId="51D82607"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840" w:type="dxa"/>
            <w:gridSpan w:val="2"/>
          </w:tcPr>
          <w:p w14:paraId="6C37BD39"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Headache, dizziness, depression, rash, abdomainal pain, constipation, nausea, vomiting, diarrhea, anemia, pain in the muscles, weakness strength, g</w:t>
            </w:r>
            <w:r w:rsidRPr="00F10C37">
              <w:rPr>
                <w:rFonts w:eastAsiaTheme="minorHAnsi" w:cs="Times New Roman"/>
                <w:color w:val="231F20"/>
                <w:kern w:val="0"/>
                <w:szCs w:val="24"/>
                <w:lang w:val="en-US" w:eastAsia="en-US"/>
              </w:rPr>
              <w:t>ynecomastia, hematuria, polyneuropathy, cough, dyspnea, edema, proteinuria, severe cutaneous reactions.</w:t>
            </w:r>
          </w:p>
        </w:tc>
      </w:tr>
      <w:tr w:rsidR="0053763D" w:rsidRPr="00F10C37" w14:paraId="5EC5463F" w14:textId="77777777" w:rsidTr="00C46407">
        <w:tc>
          <w:tcPr>
            <w:tcW w:w="2515" w:type="dxa"/>
          </w:tcPr>
          <w:p w14:paraId="415056EB"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42234971" w14:textId="77777777" w:rsidR="0053763D" w:rsidRPr="00F10C37" w:rsidRDefault="0053763D" w:rsidP="00C46407">
            <w:pPr>
              <w:jc w:val="both"/>
              <w:rPr>
                <w:rFonts w:cs="Times New Roman"/>
                <w:szCs w:val="24"/>
              </w:rPr>
            </w:pPr>
            <w:r>
              <w:rPr>
                <w:rFonts w:cs="Times New Roman"/>
                <w:szCs w:val="24"/>
              </w:rPr>
              <w:t>R</w:t>
            </w:r>
            <w:r w:rsidRPr="00F10C37">
              <w:rPr>
                <w:rFonts w:cs="Times New Roman"/>
                <w:szCs w:val="24"/>
              </w:rPr>
              <w:t xml:space="preserve">isk factors for myopathy or rhabdomyolysis, hepatic impairment, renal impairment, pregnancy, breast feeding. </w:t>
            </w:r>
          </w:p>
        </w:tc>
      </w:tr>
      <w:tr w:rsidR="0053763D" w:rsidRPr="00F10C37" w14:paraId="6765EC5E" w14:textId="77777777" w:rsidTr="00C46407">
        <w:tc>
          <w:tcPr>
            <w:tcW w:w="2515" w:type="dxa"/>
          </w:tcPr>
          <w:p w14:paraId="5124C2B1"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0A4DD80C"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 xml:space="preserve">between </w:t>
            </w:r>
            <w:r w:rsidRPr="00F10C37">
              <w:rPr>
                <w:rFonts w:cs="Times New Roman"/>
                <w:szCs w:val="24"/>
              </w:rPr>
              <w:t xml:space="preserve">15°C </w:t>
            </w:r>
            <w:r>
              <w:rPr>
                <w:rFonts w:cs="Times New Roman"/>
                <w:szCs w:val="24"/>
              </w:rPr>
              <w:t xml:space="preserve">and </w:t>
            </w:r>
            <w:r w:rsidRPr="00F10C37">
              <w:rPr>
                <w:rFonts w:cs="Times New Roman"/>
                <w:szCs w:val="24"/>
              </w:rPr>
              <w:t>30°C. Protect from moisture.</w:t>
            </w:r>
          </w:p>
        </w:tc>
      </w:tr>
      <w:tr w:rsidR="0053763D" w:rsidRPr="00F10C37" w14:paraId="7B71D89F" w14:textId="77777777" w:rsidTr="00C46407">
        <w:trPr>
          <w:trHeight w:val="512"/>
        </w:trPr>
        <w:tc>
          <w:tcPr>
            <w:tcW w:w="9355" w:type="dxa"/>
            <w:gridSpan w:val="3"/>
          </w:tcPr>
          <w:p w14:paraId="4C29D233" w14:textId="77777777" w:rsidR="0053763D" w:rsidRPr="00F10C37" w:rsidRDefault="0053763D" w:rsidP="00C46407">
            <w:pPr>
              <w:jc w:val="both"/>
              <w:rPr>
                <w:rFonts w:cs="Times New Roman"/>
                <w:b/>
                <w:szCs w:val="24"/>
              </w:rPr>
            </w:pPr>
            <w:r w:rsidRPr="00F10C37">
              <w:rPr>
                <w:rFonts w:cs="Times New Roman"/>
                <w:b/>
                <w:color w:val="000000"/>
                <w:szCs w:val="24"/>
              </w:rPr>
              <w:t xml:space="preserve">Simvastatin </w:t>
            </w:r>
          </w:p>
        </w:tc>
      </w:tr>
      <w:tr w:rsidR="0053763D" w:rsidRPr="00F10C37" w14:paraId="7D1C714E" w14:textId="77777777" w:rsidTr="00C46407">
        <w:trPr>
          <w:trHeight w:val="512"/>
        </w:trPr>
        <w:tc>
          <w:tcPr>
            <w:tcW w:w="2515" w:type="dxa"/>
          </w:tcPr>
          <w:p w14:paraId="599053C1"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840" w:type="dxa"/>
            <w:gridSpan w:val="2"/>
          </w:tcPr>
          <w:p w14:paraId="10EA0708" w14:textId="77777777" w:rsidR="0053763D" w:rsidRPr="00F10C37" w:rsidRDefault="0053763D" w:rsidP="00C46407">
            <w:pPr>
              <w:jc w:val="both"/>
              <w:rPr>
                <w:rFonts w:cs="Times New Roman"/>
                <w:szCs w:val="24"/>
              </w:rPr>
            </w:pPr>
            <w:r>
              <w:rPr>
                <w:rFonts w:cs="Times New Roman"/>
                <w:szCs w:val="24"/>
              </w:rPr>
              <w:t>HMG CoA reductase inhibitor</w:t>
            </w:r>
          </w:p>
        </w:tc>
      </w:tr>
      <w:tr w:rsidR="0053763D" w:rsidRPr="00F10C37" w14:paraId="08CC9230" w14:textId="77777777" w:rsidTr="00C46407">
        <w:trPr>
          <w:trHeight w:val="395"/>
        </w:trPr>
        <w:tc>
          <w:tcPr>
            <w:tcW w:w="2515" w:type="dxa"/>
          </w:tcPr>
          <w:p w14:paraId="4733AE67" w14:textId="77777777" w:rsidR="0053763D" w:rsidRPr="00F10C37" w:rsidRDefault="0053763D" w:rsidP="00C46407">
            <w:pPr>
              <w:jc w:val="both"/>
              <w:rPr>
                <w:rFonts w:cs="Times New Roman"/>
                <w:szCs w:val="24"/>
              </w:rPr>
            </w:pPr>
            <w:r w:rsidRPr="00F10C37">
              <w:rPr>
                <w:rFonts w:cs="Times New Roman"/>
                <w:szCs w:val="24"/>
              </w:rPr>
              <w:t>Dosage form</w:t>
            </w:r>
          </w:p>
        </w:tc>
        <w:tc>
          <w:tcPr>
            <w:tcW w:w="6840" w:type="dxa"/>
            <w:gridSpan w:val="2"/>
          </w:tcPr>
          <w:p w14:paraId="24B68301"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szCs w:val="24"/>
                <w:lang w:val="nb-NO"/>
              </w:rPr>
              <w:t>Tablet: 10mg, 20mg and 40mg</w:t>
            </w:r>
          </w:p>
        </w:tc>
      </w:tr>
      <w:tr w:rsidR="0053763D" w:rsidRPr="00F10C37" w14:paraId="0B2FD209" w14:textId="77777777" w:rsidTr="00C46407">
        <w:trPr>
          <w:trHeight w:val="521"/>
        </w:trPr>
        <w:tc>
          <w:tcPr>
            <w:tcW w:w="2515" w:type="dxa"/>
          </w:tcPr>
          <w:p w14:paraId="2B10E03B" w14:textId="77777777" w:rsidR="0053763D" w:rsidRPr="003E5725" w:rsidRDefault="0053763D" w:rsidP="00C46407">
            <w:pPr>
              <w:jc w:val="both"/>
              <w:rPr>
                <w:rFonts w:cs="Times New Roman"/>
                <w:szCs w:val="24"/>
              </w:rPr>
            </w:pPr>
            <w:r w:rsidRPr="003E5725">
              <w:rPr>
                <w:rFonts w:cs="Times New Roman"/>
                <w:szCs w:val="24"/>
              </w:rPr>
              <w:t>Indications</w:t>
            </w:r>
          </w:p>
        </w:tc>
        <w:tc>
          <w:tcPr>
            <w:tcW w:w="6840" w:type="dxa"/>
            <w:gridSpan w:val="2"/>
          </w:tcPr>
          <w:p w14:paraId="4176F207" w14:textId="77777777" w:rsidR="0053763D" w:rsidRPr="00F10C37" w:rsidRDefault="0053763D" w:rsidP="00C46407">
            <w:pPr>
              <w:jc w:val="both"/>
              <w:rPr>
                <w:rFonts w:cs="Times New Roman"/>
                <w:szCs w:val="24"/>
              </w:rPr>
            </w:pPr>
            <w:r w:rsidRPr="00F10C37">
              <w:rPr>
                <w:rFonts w:cs="Times New Roman"/>
                <w:szCs w:val="24"/>
              </w:rPr>
              <w:t>Primary hypercholesterolemia, combined hyperlipidemia, prevention of cardiovascular events</w:t>
            </w:r>
            <w:r>
              <w:rPr>
                <w:rFonts w:cs="Times New Roman"/>
                <w:szCs w:val="24"/>
              </w:rPr>
              <w:t>.</w:t>
            </w:r>
          </w:p>
        </w:tc>
      </w:tr>
      <w:tr w:rsidR="0053763D" w:rsidRPr="00F10C37" w14:paraId="36FD419C" w14:textId="77777777" w:rsidTr="00C46407">
        <w:trPr>
          <w:trHeight w:val="521"/>
        </w:trPr>
        <w:tc>
          <w:tcPr>
            <w:tcW w:w="2515" w:type="dxa"/>
          </w:tcPr>
          <w:p w14:paraId="44994E6E"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840" w:type="dxa"/>
            <w:gridSpan w:val="2"/>
          </w:tcPr>
          <w:p w14:paraId="48629D6A" w14:textId="77777777" w:rsidR="0053763D" w:rsidRDefault="0053763D" w:rsidP="00C46407">
            <w:pPr>
              <w:jc w:val="both"/>
              <w:rPr>
                <w:rFonts w:cs="Times New Roman"/>
                <w:b/>
                <w:szCs w:val="24"/>
              </w:rPr>
            </w:pPr>
            <w:r w:rsidRPr="00F10C37">
              <w:rPr>
                <w:rFonts w:cs="Times New Roman"/>
                <w:b/>
                <w:szCs w:val="24"/>
              </w:rPr>
              <w:t>1</w:t>
            </w:r>
            <w:r w:rsidRPr="00F10C37">
              <w:rPr>
                <w:rFonts w:cs="Times New Roman"/>
                <w:b/>
                <w:szCs w:val="24"/>
                <w:vertAlign w:val="superscript"/>
              </w:rPr>
              <w:t>o</w:t>
            </w:r>
            <w:r w:rsidRPr="00F10C37">
              <w:rPr>
                <w:rFonts w:cs="Times New Roman"/>
                <w:b/>
                <w:szCs w:val="24"/>
              </w:rPr>
              <w:t xml:space="preserve"> hypercholesterolemia or combined hyperlipidemia in patients not responded adequately to diet and other measures</w:t>
            </w:r>
            <w:r>
              <w:rPr>
                <w:rFonts w:cs="Times New Roman"/>
                <w:b/>
                <w:szCs w:val="24"/>
              </w:rPr>
              <w:t>:</w:t>
            </w:r>
          </w:p>
          <w:p w14:paraId="0A3DC1FB"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10–20 mg once daily, dose to be taken at night, then increased if necessary up to 80 mg once daily, adjusted at intervals of at least 4 weeks; 80 mg dose only for those with severe hypercholesterolemia and at high risk of cardiovascular complications.</w:t>
            </w:r>
          </w:p>
          <w:p w14:paraId="7E475ED2" w14:textId="77777777" w:rsidR="0053763D" w:rsidRDefault="0053763D" w:rsidP="00C46407">
            <w:pPr>
              <w:jc w:val="both"/>
              <w:rPr>
                <w:rFonts w:cs="Times New Roman"/>
                <w:b/>
                <w:szCs w:val="24"/>
              </w:rPr>
            </w:pPr>
            <w:r w:rsidRPr="00F10C37">
              <w:rPr>
                <w:rFonts w:cs="Times New Roman"/>
                <w:b/>
                <w:szCs w:val="24"/>
              </w:rPr>
              <w:t>Homozygous familial hypercholesterolemia in patients not responded adequately to diet &amp; other measures</w:t>
            </w:r>
            <w:r>
              <w:rPr>
                <w:rFonts w:cs="Times New Roman"/>
                <w:b/>
                <w:szCs w:val="24"/>
              </w:rPr>
              <w:t>:</w:t>
            </w:r>
          </w:p>
          <w:p w14:paraId="130D97AD"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40 mg once daily, dose to be taken at night, then increased if necessary up to 80 mg once daily, adjusted at intervals of at least 4 weeks; 80 mg dose only for those with severe hypercholesterolemia and at high risk of cardiovascular complications.</w:t>
            </w:r>
          </w:p>
          <w:p w14:paraId="0B808538" w14:textId="77777777" w:rsidR="0053763D" w:rsidRDefault="0053763D" w:rsidP="00C46407">
            <w:pPr>
              <w:jc w:val="both"/>
              <w:rPr>
                <w:rFonts w:cs="Times New Roman"/>
                <w:b/>
                <w:szCs w:val="24"/>
              </w:rPr>
            </w:pPr>
            <w:r w:rsidRPr="00F10C37">
              <w:rPr>
                <w:rFonts w:cs="Times New Roman"/>
                <w:b/>
                <w:szCs w:val="24"/>
              </w:rPr>
              <w:t>Prevention of cardiovascular events in patients with atherosclerotic cardiovascular disease or diabetes mellitus</w:t>
            </w:r>
            <w:r>
              <w:rPr>
                <w:rFonts w:cs="Times New Roman"/>
                <w:b/>
                <w:szCs w:val="24"/>
              </w:rPr>
              <w:t>:</w:t>
            </w:r>
          </w:p>
          <w:p w14:paraId="5C835FC0"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20–40 mg once daily, dose to be taken at night, then </w:t>
            </w:r>
            <w:r w:rsidRPr="00F10C37">
              <w:rPr>
                <w:rFonts w:cs="Times New Roman"/>
                <w:szCs w:val="24"/>
              </w:rPr>
              <w:lastRenderedPageBreak/>
              <w:t>increased if necessary up to 80 mg once daily, adjusted at intervals of at least 4 weeks.</w:t>
            </w:r>
          </w:p>
        </w:tc>
      </w:tr>
      <w:tr w:rsidR="0053763D" w:rsidRPr="00F10C37" w14:paraId="1803947F" w14:textId="77777777" w:rsidTr="00C46407">
        <w:tc>
          <w:tcPr>
            <w:tcW w:w="2515" w:type="dxa"/>
          </w:tcPr>
          <w:p w14:paraId="2CCAD6FD"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840" w:type="dxa"/>
            <w:gridSpan w:val="2"/>
          </w:tcPr>
          <w:p w14:paraId="7CA66F2A"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Active liver disease (or persistently abnormal liver function tests), porphyria, pregnancy</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breastfeeding</w:t>
            </w:r>
            <w:r>
              <w:rPr>
                <w:rFonts w:eastAsiaTheme="minorHAnsi" w:cs="Times New Roman"/>
                <w:kern w:val="0"/>
                <w:szCs w:val="24"/>
                <w:lang w:val="en-US" w:eastAsia="en-US"/>
              </w:rPr>
              <w:t>.</w:t>
            </w:r>
          </w:p>
        </w:tc>
      </w:tr>
      <w:tr w:rsidR="0053763D" w:rsidRPr="00F10C37" w14:paraId="6B34ACB7" w14:textId="77777777" w:rsidTr="00C46407">
        <w:tc>
          <w:tcPr>
            <w:tcW w:w="2515" w:type="dxa"/>
          </w:tcPr>
          <w:p w14:paraId="5C6497E3"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840" w:type="dxa"/>
            <w:gridSpan w:val="2"/>
          </w:tcPr>
          <w:p w14:paraId="1A23D1CF"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Refer to atorvastatin above</w:t>
            </w:r>
            <w:r>
              <w:rPr>
                <w:rFonts w:eastAsiaTheme="minorHAnsi" w:cs="Times New Roman"/>
                <w:kern w:val="0"/>
                <w:szCs w:val="24"/>
                <w:lang w:val="en-US" w:eastAsia="en-US"/>
              </w:rPr>
              <w:t>.</w:t>
            </w:r>
          </w:p>
        </w:tc>
      </w:tr>
      <w:tr w:rsidR="0053763D" w:rsidRPr="00F10C37" w14:paraId="6F401309" w14:textId="77777777" w:rsidTr="00C46407">
        <w:tc>
          <w:tcPr>
            <w:tcW w:w="2515" w:type="dxa"/>
          </w:tcPr>
          <w:p w14:paraId="5ED2E35C" w14:textId="77777777" w:rsidR="0053763D" w:rsidRPr="00F10C37" w:rsidRDefault="0053763D" w:rsidP="00C46407">
            <w:pPr>
              <w:jc w:val="both"/>
              <w:rPr>
                <w:rFonts w:cs="Times New Roman"/>
                <w:szCs w:val="24"/>
              </w:rPr>
            </w:pPr>
            <w:r w:rsidRPr="00F10C37">
              <w:rPr>
                <w:rFonts w:cs="Times New Roman"/>
                <w:szCs w:val="24"/>
              </w:rPr>
              <w:t>Side effects</w:t>
            </w:r>
          </w:p>
        </w:tc>
        <w:tc>
          <w:tcPr>
            <w:tcW w:w="6840" w:type="dxa"/>
            <w:gridSpan w:val="2"/>
          </w:tcPr>
          <w:p w14:paraId="5B693C6D"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Muscle effects including myalgia, myopathy, myositis, and rhabdomyolysis</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abdominal pain, flatulence, constipation, dyspepsia, diarrhoea, nausea, vomiting, pancreatitis, raised serum transaminases, hepatitis, jaundice, headache, dizziness, asthenia, peripheral neuropathy, paresthesia, anaemia, pruritus, alopecia, rash, hypersensitivity reactions (including angioedema and anaphylaxis).</w:t>
            </w:r>
          </w:p>
        </w:tc>
      </w:tr>
      <w:tr w:rsidR="0053763D" w:rsidRPr="00F10C37" w14:paraId="0B163489" w14:textId="77777777" w:rsidTr="00C46407">
        <w:tc>
          <w:tcPr>
            <w:tcW w:w="2515" w:type="dxa"/>
          </w:tcPr>
          <w:p w14:paraId="082740A0" w14:textId="77777777" w:rsidR="0053763D" w:rsidRPr="00F10C37" w:rsidRDefault="0053763D" w:rsidP="00C46407">
            <w:pPr>
              <w:jc w:val="both"/>
              <w:rPr>
                <w:rFonts w:cs="Times New Roman"/>
                <w:szCs w:val="24"/>
              </w:rPr>
            </w:pPr>
            <w:r w:rsidRPr="00F10C37">
              <w:rPr>
                <w:rFonts w:cs="Times New Roman"/>
                <w:szCs w:val="24"/>
              </w:rPr>
              <w:t>Cautions</w:t>
            </w:r>
          </w:p>
        </w:tc>
        <w:tc>
          <w:tcPr>
            <w:tcW w:w="6840" w:type="dxa"/>
            <w:gridSpan w:val="2"/>
          </w:tcPr>
          <w:p w14:paraId="64E6F371"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History of liver disease or a high alcohol intake, increased risk of myopathy or rhabdomyolysis, renal impairment</w:t>
            </w:r>
            <w:r>
              <w:rPr>
                <w:rFonts w:eastAsiaTheme="minorHAnsi" w:cs="Times New Roman"/>
                <w:kern w:val="0"/>
                <w:szCs w:val="24"/>
                <w:lang w:val="en-US" w:eastAsia="en-US"/>
              </w:rPr>
              <w:t>.</w:t>
            </w:r>
          </w:p>
        </w:tc>
      </w:tr>
      <w:tr w:rsidR="0053763D" w:rsidRPr="00F10C37" w14:paraId="5FB6DE5B" w14:textId="77777777" w:rsidTr="00C46407">
        <w:tc>
          <w:tcPr>
            <w:tcW w:w="2515" w:type="dxa"/>
          </w:tcPr>
          <w:p w14:paraId="6DEA104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840" w:type="dxa"/>
            <w:gridSpan w:val="2"/>
          </w:tcPr>
          <w:p w14:paraId="477E9F6C" w14:textId="77777777" w:rsidR="0053763D" w:rsidRPr="00F10C37" w:rsidRDefault="0053763D" w:rsidP="00C46407">
            <w:pPr>
              <w:jc w:val="both"/>
              <w:rPr>
                <w:rFonts w:cs="Times New Roman"/>
                <w:szCs w:val="24"/>
              </w:rPr>
            </w:pPr>
            <w:r w:rsidRPr="00F10C37">
              <w:rPr>
                <w:rFonts w:cs="Times New Roman"/>
                <w:szCs w:val="24"/>
              </w:rPr>
              <w:t xml:space="preserve">Store </w:t>
            </w:r>
            <w:r>
              <w:rPr>
                <w:rFonts w:cs="Times New Roman"/>
                <w:szCs w:val="24"/>
              </w:rPr>
              <w:t>between 1</w:t>
            </w:r>
            <w:r w:rsidRPr="00F10C37">
              <w:rPr>
                <w:rFonts w:cs="Times New Roman"/>
                <w:szCs w:val="24"/>
              </w:rPr>
              <w:t xml:space="preserve">5°C </w:t>
            </w:r>
            <w:r>
              <w:rPr>
                <w:rFonts w:cs="Times New Roman"/>
                <w:szCs w:val="24"/>
              </w:rPr>
              <w:t>to</w:t>
            </w:r>
            <w:r w:rsidRPr="00F10C37">
              <w:rPr>
                <w:rFonts w:cs="Times New Roman"/>
                <w:szCs w:val="24"/>
              </w:rPr>
              <w:t xml:space="preserve"> 30°C. Protect from light.</w:t>
            </w:r>
          </w:p>
        </w:tc>
      </w:tr>
    </w:tbl>
    <w:p w14:paraId="057D2706" w14:textId="77777777" w:rsidR="0053763D" w:rsidRPr="00B76A4B" w:rsidRDefault="0053763D" w:rsidP="00910906">
      <w:pPr>
        <w:pStyle w:val="Heading2"/>
        <w:spacing w:before="240" w:after="240"/>
      </w:pPr>
      <w:bookmarkStart w:id="37" w:name="_Toc179490321"/>
      <w:r w:rsidRPr="00B76A4B">
        <w:t>Antiplatelet</w:t>
      </w:r>
      <w:bookmarkEnd w:id="37"/>
      <w:r w:rsidRPr="00B76A4B">
        <w:t xml:space="preserve"> </w:t>
      </w:r>
    </w:p>
    <w:p w14:paraId="2D4EBC1D" w14:textId="77777777" w:rsidR="0053763D" w:rsidRPr="00AA6889" w:rsidRDefault="0053763D" w:rsidP="0053763D">
      <w:pPr>
        <w:adjustRightInd w:val="0"/>
        <w:spacing w:after="0"/>
        <w:jc w:val="both"/>
        <w:rPr>
          <w:rFonts w:eastAsiaTheme="minorHAnsi" w:cs="Times New Roman"/>
          <w:color w:val="231F20"/>
          <w:szCs w:val="24"/>
        </w:rPr>
      </w:pPr>
      <w:r w:rsidRPr="003D3E3A">
        <w:rPr>
          <w:rFonts w:cs="Times New Roman"/>
          <w:szCs w:val="24"/>
        </w:rPr>
        <w:t>Antiplatelet drugs are medications that help prevent blood clots by inhibiting the aggregation of platelets. They are commonly used in various cardiovascular conditions to reduce the risk of heart attacks, strokes, and other thrombotic events. Some well-known antiplatelet agents include</w:t>
      </w:r>
      <w:r w:rsidRPr="00EC768F">
        <w:rPr>
          <w:rFonts w:cs="Times New Roman"/>
          <w:szCs w:val="24"/>
        </w:rPr>
        <w:t xml:space="preserve"> aspirin and clopidogrel. </w:t>
      </w:r>
      <w:r w:rsidRPr="003D3E3A">
        <w:rPr>
          <w:rStyle w:val="Strong"/>
          <w:rFonts w:cs="Times New Roman"/>
          <w:b w:val="0"/>
          <w:szCs w:val="24"/>
        </w:rPr>
        <w:t>Aspirin</w:t>
      </w:r>
      <w:r w:rsidRPr="00EC768F">
        <w:rPr>
          <w:rFonts w:cs="Times New Roman"/>
          <w:szCs w:val="24"/>
        </w:rPr>
        <w:t xml:space="preserve"> i</w:t>
      </w:r>
      <w:r w:rsidRPr="003D3E3A">
        <w:rPr>
          <w:rFonts w:cs="Times New Roman"/>
          <w:szCs w:val="24"/>
        </w:rPr>
        <w:t>nhibits the enzyme cyclooxygenase, leading to decreased production of thromboxane A2, which promotes platelet aggregation.</w:t>
      </w:r>
      <w:r w:rsidRPr="00EC768F">
        <w:rPr>
          <w:rFonts w:cs="Times New Roman"/>
          <w:szCs w:val="24"/>
        </w:rPr>
        <w:t xml:space="preserve"> </w:t>
      </w:r>
      <w:r w:rsidRPr="00EC768F">
        <w:rPr>
          <w:rFonts w:eastAsiaTheme="minorHAnsi" w:cs="Times New Roman"/>
          <w:color w:val="231F20"/>
          <w:szCs w:val="24"/>
        </w:rPr>
        <w:t>Long-term use of low dose aspirin is recommended in patients with established cardiovascular disease (secondary prevention) but not recommended for primary prevention</w:t>
      </w:r>
      <w:r w:rsidRPr="003D3E3A">
        <w:rPr>
          <w:rFonts w:eastAsiaTheme="minorHAnsi" w:cs="Times New Roman"/>
          <w:color w:val="231F20"/>
          <w:szCs w:val="24"/>
        </w:rPr>
        <w:t>.</w:t>
      </w:r>
      <w:r w:rsidRPr="00EC768F">
        <w:rPr>
          <w:rFonts w:eastAsiaTheme="minorHAnsi" w:cs="Times New Roman"/>
          <w:color w:val="231F20"/>
          <w:szCs w:val="24"/>
        </w:rPr>
        <w:t xml:space="preserve"> </w:t>
      </w:r>
      <w:r w:rsidRPr="00EC768F">
        <w:rPr>
          <w:rFonts w:eastAsiaTheme="minorHAnsi" w:cs="Times New Roman"/>
          <w:color w:val="231F20"/>
          <w:kern w:val="0"/>
          <w:szCs w:val="24"/>
          <w:lang w:val="en-US" w:eastAsia="en-US"/>
        </w:rPr>
        <w:t xml:space="preserve">The other antiplatelet agent </w:t>
      </w:r>
      <w:r w:rsidRPr="003D3E3A">
        <w:rPr>
          <w:rFonts w:eastAsiaTheme="minorHAnsi" w:cs="Times New Roman"/>
          <w:color w:val="231F20"/>
          <w:kern w:val="0"/>
          <w:szCs w:val="24"/>
          <w:lang w:val="en-US" w:eastAsia="en-US"/>
        </w:rPr>
        <w:t>c</w:t>
      </w:r>
      <w:r w:rsidRPr="00EC768F">
        <w:rPr>
          <w:rFonts w:eastAsiaTheme="minorHAnsi" w:cs="Times New Roman"/>
          <w:color w:val="231F20"/>
          <w:kern w:val="0"/>
          <w:szCs w:val="24"/>
          <w:lang w:val="en-US" w:eastAsia="en-US"/>
        </w:rPr>
        <w:t>lopidogrel is used for the prevention of</w:t>
      </w:r>
      <w:r w:rsidRPr="00EC768F">
        <w:rPr>
          <w:rFonts w:eastAsiaTheme="minorHAnsi" w:cs="Times New Roman"/>
          <w:color w:val="231F20"/>
          <w:szCs w:val="24"/>
        </w:rPr>
        <w:t xml:space="preserve"> </w:t>
      </w:r>
      <w:r w:rsidRPr="00EC768F">
        <w:rPr>
          <w:rFonts w:eastAsiaTheme="minorHAnsi" w:cs="Times New Roman"/>
          <w:color w:val="231F20"/>
          <w:kern w:val="0"/>
          <w:szCs w:val="24"/>
          <w:lang w:val="en-US" w:eastAsia="en-US"/>
        </w:rPr>
        <w:t>atherothrombotic events in patients with a history of</w:t>
      </w:r>
      <w:r w:rsidRPr="00EC768F">
        <w:rPr>
          <w:rFonts w:eastAsiaTheme="minorHAnsi" w:cs="Times New Roman"/>
          <w:color w:val="231F20"/>
          <w:szCs w:val="24"/>
        </w:rPr>
        <w:t xml:space="preserve"> </w:t>
      </w:r>
      <w:r w:rsidRPr="00EC768F">
        <w:rPr>
          <w:rFonts w:eastAsiaTheme="minorHAnsi" w:cs="Times New Roman"/>
          <w:color w:val="231F20"/>
          <w:kern w:val="0"/>
          <w:szCs w:val="24"/>
          <w:lang w:val="en-US" w:eastAsia="en-US"/>
        </w:rPr>
        <w:t>symptomatic ischemic disease (e.g. ischemic stroke).</w:t>
      </w:r>
      <w:r w:rsidRPr="00EC768F">
        <w:rPr>
          <w:rFonts w:eastAsiaTheme="minorHAnsi" w:cs="Times New Roman"/>
          <w:color w:val="231F20"/>
          <w:szCs w:val="24"/>
        </w:rPr>
        <w:t xml:space="preserve"> </w:t>
      </w:r>
      <w:r w:rsidRPr="00EC768F">
        <w:rPr>
          <w:rFonts w:eastAsiaTheme="minorHAnsi" w:cs="Times New Roman"/>
          <w:color w:val="231F20"/>
          <w:kern w:val="0"/>
          <w:szCs w:val="24"/>
          <w:lang w:val="en-US" w:eastAsia="en-US"/>
        </w:rPr>
        <w:t xml:space="preserve">Clopidogrel is also used, in combination with low-dose aspirin, for the prevention of atherothrombotic and thromboembolic events in patients with atrial fibrillation (and at least one risk factor for a vascular event), and for </w:t>
      </w:r>
      <w:r w:rsidRPr="00EC768F">
        <w:rPr>
          <w:rFonts w:eastAsiaTheme="minorHAnsi" w:cs="Times New Roman"/>
          <w:color w:val="231F20"/>
          <w:szCs w:val="24"/>
        </w:rPr>
        <w:t>whom warfarin sodium is unsuitable.</w:t>
      </w:r>
    </w:p>
    <w:p w14:paraId="40938172" w14:textId="77777777" w:rsidR="0053763D" w:rsidRPr="00F10C37" w:rsidRDefault="0053763D" w:rsidP="0053763D">
      <w:pPr>
        <w:spacing w:after="0"/>
        <w:jc w:val="both"/>
        <w:rPr>
          <w:rFonts w:cs="Times New Roman"/>
          <w:b/>
          <w:szCs w:val="24"/>
          <w:highlight w:val="yellow"/>
        </w:rPr>
      </w:pPr>
    </w:p>
    <w:tbl>
      <w:tblPr>
        <w:tblStyle w:val="TableGrid10"/>
        <w:tblW w:w="9355" w:type="dxa"/>
        <w:tblLook w:val="04A0" w:firstRow="1" w:lastRow="0" w:firstColumn="1" w:lastColumn="0" w:noHBand="0" w:noVBand="1"/>
      </w:tblPr>
      <w:tblGrid>
        <w:gridCol w:w="2605"/>
        <w:gridCol w:w="504"/>
        <w:gridCol w:w="6246"/>
      </w:tblGrid>
      <w:tr w:rsidR="0053763D" w:rsidRPr="00F10C37" w14:paraId="40D69BC4" w14:textId="77777777" w:rsidTr="00C46407">
        <w:trPr>
          <w:trHeight w:val="512"/>
        </w:trPr>
        <w:tc>
          <w:tcPr>
            <w:tcW w:w="9355" w:type="dxa"/>
            <w:gridSpan w:val="3"/>
          </w:tcPr>
          <w:p w14:paraId="75D9D53E" w14:textId="77777777" w:rsidR="0053763D" w:rsidRPr="00F10C37" w:rsidRDefault="0053763D" w:rsidP="00C46407">
            <w:pPr>
              <w:jc w:val="both"/>
              <w:rPr>
                <w:rFonts w:cs="Times New Roman"/>
                <w:b/>
                <w:szCs w:val="24"/>
              </w:rPr>
            </w:pPr>
            <w:r w:rsidRPr="00F10C37">
              <w:rPr>
                <w:rFonts w:cs="Times New Roman"/>
                <w:b/>
                <w:color w:val="000000"/>
                <w:szCs w:val="24"/>
              </w:rPr>
              <w:t>Acetylsalicylic acid</w:t>
            </w:r>
            <w:r>
              <w:rPr>
                <w:rFonts w:cs="Times New Roman"/>
                <w:b/>
                <w:color w:val="000000"/>
                <w:szCs w:val="24"/>
              </w:rPr>
              <w:t xml:space="preserve"> (Aspirin)</w:t>
            </w:r>
          </w:p>
        </w:tc>
      </w:tr>
      <w:tr w:rsidR="0053763D" w:rsidRPr="00F10C37" w14:paraId="30E3FED4" w14:textId="77777777" w:rsidTr="00C46407">
        <w:trPr>
          <w:trHeight w:val="512"/>
        </w:trPr>
        <w:tc>
          <w:tcPr>
            <w:tcW w:w="2605" w:type="dxa"/>
          </w:tcPr>
          <w:p w14:paraId="04228BF1" w14:textId="77777777" w:rsidR="0053763D" w:rsidRPr="00F10C37" w:rsidRDefault="0053763D" w:rsidP="00C46407">
            <w:pPr>
              <w:jc w:val="both"/>
              <w:rPr>
                <w:rFonts w:cs="Times New Roman"/>
                <w:szCs w:val="24"/>
              </w:rPr>
            </w:pPr>
            <w:r w:rsidRPr="00F10C37">
              <w:rPr>
                <w:rFonts w:cs="Times New Roman"/>
                <w:szCs w:val="24"/>
              </w:rPr>
              <w:lastRenderedPageBreak/>
              <w:t>Pharmacological class</w:t>
            </w:r>
          </w:p>
        </w:tc>
        <w:tc>
          <w:tcPr>
            <w:tcW w:w="6750" w:type="dxa"/>
            <w:gridSpan w:val="2"/>
          </w:tcPr>
          <w:p w14:paraId="3C5F58F2" w14:textId="77777777" w:rsidR="0053763D" w:rsidRPr="00F10C37" w:rsidRDefault="0053763D" w:rsidP="00C46407">
            <w:pPr>
              <w:jc w:val="both"/>
              <w:rPr>
                <w:rFonts w:cs="Times New Roman"/>
                <w:szCs w:val="24"/>
              </w:rPr>
            </w:pPr>
            <w:r w:rsidRPr="00F10C37">
              <w:rPr>
                <w:rFonts w:cs="Times New Roman"/>
                <w:szCs w:val="24"/>
              </w:rPr>
              <w:t>Antiplatelet- NSAID</w:t>
            </w:r>
          </w:p>
        </w:tc>
      </w:tr>
      <w:tr w:rsidR="0053763D" w:rsidRPr="00F10C37" w14:paraId="047B9254" w14:textId="77777777" w:rsidTr="00C46407">
        <w:trPr>
          <w:trHeight w:val="395"/>
        </w:trPr>
        <w:tc>
          <w:tcPr>
            <w:tcW w:w="2605" w:type="dxa"/>
          </w:tcPr>
          <w:p w14:paraId="35B3C65C" w14:textId="77777777" w:rsidR="0053763D" w:rsidRPr="00F10C37" w:rsidRDefault="0053763D" w:rsidP="00C46407">
            <w:pPr>
              <w:jc w:val="both"/>
              <w:rPr>
                <w:rFonts w:cs="Times New Roman"/>
                <w:szCs w:val="24"/>
              </w:rPr>
            </w:pPr>
            <w:r w:rsidRPr="00F10C37">
              <w:rPr>
                <w:rFonts w:cs="Times New Roman"/>
                <w:szCs w:val="24"/>
              </w:rPr>
              <w:t>Dosage form</w:t>
            </w:r>
          </w:p>
        </w:tc>
        <w:tc>
          <w:tcPr>
            <w:tcW w:w="6750" w:type="dxa"/>
            <w:gridSpan w:val="2"/>
          </w:tcPr>
          <w:p w14:paraId="4CCD8BDE"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color w:val="000000"/>
                <w:szCs w:val="24"/>
              </w:rPr>
              <w:t xml:space="preserve">Tablet, enteric coated: 75mg, 81 mg, 100 mg, 300mg    </w:t>
            </w:r>
          </w:p>
        </w:tc>
      </w:tr>
      <w:tr w:rsidR="0053763D" w:rsidRPr="00F10C37" w14:paraId="3E3D48D4" w14:textId="77777777" w:rsidTr="00C46407">
        <w:trPr>
          <w:trHeight w:val="521"/>
        </w:trPr>
        <w:tc>
          <w:tcPr>
            <w:tcW w:w="2605" w:type="dxa"/>
          </w:tcPr>
          <w:p w14:paraId="13A9495B" w14:textId="77777777" w:rsidR="0053763D" w:rsidRPr="004E2803" w:rsidRDefault="0053763D" w:rsidP="00C46407">
            <w:pPr>
              <w:jc w:val="both"/>
              <w:rPr>
                <w:rFonts w:cs="Times New Roman"/>
                <w:szCs w:val="24"/>
              </w:rPr>
            </w:pPr>
            <w:r w:rsidRPr="004E2803">
              <w:rPr>
                <w:rFonts w:cs="Times New Roman"/>
                <w:szCs w:val="24"/>
              </w:rPr>
              <w:t>Indications</w:t>
            </w:r>
          </w:p>
        </w:tc>
        <w:tc>
          <w:tcPr>
            <w:tcW w:w="6750" w:type="dxa"/>
            <w:gridSpan w:val="2"/>
          </w:tcPr>
          <w:p w14:paraId="606FDB4F" w14:textId="77777777" w:rsidR="0053763D" w:rsidRPr="00F10C37" w:rsidRDefault="0053763D" w:rsidP="00C46407">
            <w:pPr>
              <w:jc w:val="both"/>
              <w:rPr>
                <w:rFonts w:cs="Times New Roman"/>
                <w:szCs w:val="24"/>
              </w:rPr>
            </w:pPr>
            <w:r w:rsidRPr="00F10C37">
              <w:rPr>
                <w:rFonts w:cs="Times New Roman"/>
                <w:szCs w:val="24"/>
              </w:rPr>
              <w:t>Secondary prevention of cardiovascular disease, unstable angina and MI, suspected and confirmed transient ischemic attack, ischemic stroke, ischemic stroke in patients receiving anticoagulation for a prosthetic heart valve, post coronary by-pass surgery, pyrexia, pain, inflammation, migraine, juvenile joint disease</w:t>
            </w:r>
            <w:r>
              <w:rPr>
                <w:rFonts w:cs="Times New Roman"/>
                <w:szCs w:val="24"/>
              </w:rPr>
              <w:t xml:space="preserve">, </w:t>
            </w:r>
            <w:r w:rsidRPr="003D3E3A">
              <w:rPr>
                <w:rFonts w:cs="Times New Roman"/>
                <w:iCs/>
                <w:szCs w:val="24"/>
              </w:rPr>
              <w:t>Kawasaki disease</w:t>
            </w:r>
            <w:r>
              <w:rPr>
                <w:rFonts w:cs="Times New Roman"/>
                <w:szCs w:val="24"/>
              </w:rPr>
              <w:t>, pre-enclamsia.</w:t>
            </w:r>
          </w:p>
        </w:tc>
      </w:tr>
      <w:tr w:rsidR="0053763D" w:rsidRPr="00F10C37" w14:paraId="4662213C" w14:textId="77777777" w:rsidTr="00C46407">
        <w:trPr>
          <w:trHeight w:val="521"/>
        </w:trPr>
        <w:tc>
          <w:tcPr>
            <w:tcW w:w="2605" w:type="dxa"/>
          </w:tcPr>
          <w:p w14:paraId="501FD2C5"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750" w:type="dxa"/>
            <w:gridSpan w:val="2"/>
          </w:tcPr>
          <w:p w14:paraId="6FE59CAA" w14:textId="77777777" w:rsidR="0053763D" w:rsidRDefault="0053763D" w:rsidP="00C46407">
            <w:pPr>
              <w:jc w:val="both"/>
              <w:rPr>
                <w:rFonts w:cs="Times New Roman"/>
                <w:szCs w:val="24"/>
              </w:rPr>
            </w:pPr>
            <w:r w:rsidRPr="00F10C37">
              <w:rPr>
                <w:rFonts w:cs="Times New Roman"/>
                <w:b/>
                <w:szCs w:val="24"/>
              </w:rPr>
              <w:t>Cardiovascular disease (secondary prevention):</w:t>
            </w:r>
            <w:r w:rsidRPr="00F10C37">
              <w:rPr>
                <w:rFonts w:cs="Times New Roman"/>
                <w:szCs w:val="24"/>
              </w:rPr>
              <w:t xml:space="preserve"> </w:t>
            </w:r>
          </w:p>
          <w:p w14:paraId="56B82270"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75 mg daily. </w:t>
            </w:r>
          </w:p>
          <w:p w14:paraId="710E061D" w14:textId="77777777" w:rsidR="0053763D" w:rsidRDefault="0053763D" w:rsidP="00C46407">
            <w:pPr>
              <w:jc w:val="both"/>
              <w:rPr>
                <w:rFonts w:cs="Times New Roman"/>
                <w:b/>
                <w:szCs w:val="24"/>
              </w:rPr>
            </w:pPr>
            <w:r w:rsidRPr="00F10C37">
              <w:rPr>
                <w:rFonts w:cs="Times New Roman"/>
                <w:b/>
                <w:szCs w:val="24"/>
              </w:rPr>
              <w:t xml:space="preserve">Secondary prevention of deep-vein thrombosis (in patients who decline continued anticoagulation treatment), or secondary prevention of pulmonary embolism (in patients who decline continued anticoagulation treatment): </w:t>
            </w:r>
          </w:p>
          <w:p w14:paraId="420D8829"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75 mg daily, alternatively 150 mg daily.</w:t>
            </w:r>
          </w:p>
          <w:p w14:paraId="1C2D7007" w14:textId="77777777" w:rsidR="0053763D" w:rsidRDefault="0053763D" w:rsidP="00C46407">
            <w:pPr>
              <w:jc w:val="both"/>
              <w:rPr>
                <w:rFonts w:cs="Times New Roman"/>
                <w:b/>
                <w:szCs w:val="24"/>
              </w:rPr>
            </w:pPr>
            <w:r w:rsidRPr="00F10C37">
              <w:rPr>
                <w:rFonts w:cs="Times New Roman"/>
                <w:b/>
                <w:szCs w:val="24"/>
              </w:rPr>
              <w:t xml:space="preserve">Management of unstable angina and non-ST-segment elevation myocardial infarction (NSTEMI) or Management of ST-segment elevation myocardial infarction (STEMI): </w:t>
            </w:r>
          </w:p>
          <w:p w14:paraId="162F7BEF"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300 mg, chewed or dispersed in water. </w:t>
            </w:r>
          </w:p>
          <w:p w14:paraId="36B24CED" w14:textId="77777777" w:rsidR="0053763D" w:rsidRDefault="0053763D" w:rsidP="00C46407">
            <w:pPr>
              <w:jc w:val="both"/>
              <w:rPr>
                <w:rFonts w:cs="Times New Roman"/>
                <w:szCs w:val="24"/>
              </w:rPr>
            </w:pPr>
            <w:r w:rsidRPr="00F10C37">
              <w:rPr>
                <w:rFonts w:cs="Times New Roman"/>
                <w:b/>
                <w:szCs w:val="24"/>
              </w:rPr>
              <w:t>Suspected transient ischemic attack:</w:t>
            </w:r>
            <w:r w:rsidRPr="00F10C37">
              <w:rPr>
                <w:rFonts w:cs="Times New Roman"/>
                <w:szCs w:val="24"/>
              </w:rPr>
              <w:t xml:space="preserve"> </w:t>
            </w:r>
          </w:p>
          <w:p w14:paraId="713DF66A"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300 mg once daily until diagnosis established. </w:t>
            </w:r>
          </w:p>
          <w:p w14:paraId="712323EF" w14:textId="77777777" w:rsidR="0053763D" w:rsidRDefault="0053763D" w:rsidP="00C46407">
            <w:pPr>
              <w:jc w:val="both"/>
              <w:rPr>
                <w:rFonts w:cs="Times New Roman"/>
                <w:b/>
                <w:szCs w:val="24"/>
              </w:rPr>
            </w:pPr>
            <w:r w:rsidRPr="00F10C37">
              <w:rPr>
                <w:rFonts w:cs="Times New Roman"/>
                <w:b/>
                <w:szCs w:val="24"/>
              </w:rPr>
              <w:t xml:space="preserve">Transient ischemic attack (long-term treatment in combination with dipyridamole) or Ischaemic stroke not associated with AF (in combination with dipyridamole if clopidogrel contra-indicated or not tolerated) or Ischaemic stroke not associated with AF (used alone if clopidogrel and dipyridamole contra-indicated or not tolerated): </w:t>
            </w:r>
          </w:p>
          <w:p w14:paraId="6C268986"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75 mg once daily</w:t>
            </w:r>
          </w:p>
          <w:p w14:paraId="1D76C3B5" w14:textId="77777777" w:rsidR="0053763D" w:rsidRDefault="0053763D" w:rsidP="00C46407">
            <w:pPr>
              <w:jc w:val="both"/>
              <w:rPr>
                <w:rFonts w:cs="Times New Roman"/>
                <w:b/>
                <w:szCs w:val="24"/>
              </w:rPr>
            </w:pPr>
            <w:r w:rsidRPr="00F10C37">
              <w:rPr>
                <w:rFonts w:cs="Times New Roman"/>
                <w:b/>
                <w:szCs w:val="24"/>
              </w:rPr>
              <w:t>Acute ischemic stroke</w:t>
            </w:r>
            <w:r>
              <w:rPr>
                <w:rFonts w:cs="Times New Roman"/>
                <w:b/>
                <w:szCs w:val="24"/>
              </w:rPr>
              <w:t>:</w:t>
            </w:r>
          </w:p>
          <w:p w14:paraId="703EAB20"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300 mg once daily for 14 days, to be initiated 24 hours after </w:t>
            </w:r>
            <w:r w:rsidRPr="00F10C37">
              <w:rPr>
                <w:rFonts w:cs="Times New Roman"/>
                <w:szCs w:val="24"/>
              </w:rPr>
              <w:lastRenderedPageBreak/>
              <w:t>thrombolysis or as soon as possible within 48 hours of symptom onset in patients not receiving thrombolysis</w:t>
            </w:r>
          </w:p>
          <w:p w14:paraId="2F37E98E" w14:textId="77777777" w:rsidR="0053763D" w:rsidRDefault="0053763D" w:rsidP="00C46407">
            <w:pPr>
              <w:jc w:val="both"/>
              <w:rPr>
                <w:rFonts w:cs="Times New Roman"/>
                <w:b/>
                <w:szCs w:val="24"/>
              </w:rPr>
            </w:pPr>
            <w:r w:rsidRPr="00F10C37">
              <w:rPr>
                <w:rFonts w:cs="Times New Roman"/>
                <w:b/>
                <w:szCs w:val="24"/>
              </w:rPr>
              <w:t>Atrial fibrillation following a disabling ischemic stroke (before being considered for anticoagulant treatment)</w:t>
            </w:r>
            <w:r>
              <w:rPr>
                <w:rFonts w:cs="Times New Roman"/>
                <w:b/>
                <w:szCs w:val="24"/>
              </w:rPr>
              <w:t>:</w:t>
            </w:r>
          </w:p>
          <w:p w14:paraId="0F07BB0A"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300 mg once daily for 14 days.</w:t>
            </w:r>
          </w:p>
          <w:p w14:paraId="369F28EE" w14:textId="77777777" w:rsidR="0053763D" w:rsidRDefault="0053763D" w:rsidP="00C46407">
            <w:pPr>
              <w:jc w:val="both"/>
              <w:rPr>
                <w:rFonts w:cs="Times New Roman"/>
                <w:b/>
                <w:szCs w:val="24"/>
              </w:rPr>
            </w:pPr>
            <w:r w:rsidRPr="00F10C37">
              <w:rPr>
                <w:rFonts w:cs="Times New Roman"/>
                <w:b/>
                <w:szCs w:val="24"/>
              </w:rPr>
              <w:t>Following disabling ischemic stroke in patients receiving anticoagulation for a prosthetic heart valve and who are at significant risk of hemorrhagic transformation</w:t>
            </w:r>
            <w:r>
              <w:rPr>
                <w:rFonts w:cs="Times New Roman"/>
                <w:b/>
                <w:szCs w:val="24"/>
              </w:rPr>
              <w:t>:</w:t>
            </w:r>
          </w:p>
          <w:p w14:paraId="12F1F214" w14:textId="77777777" w:rsidR="0053763D" w:rsidRPr="00F10C37" w:rsidRDefault="0053763D" w:rsidP="00C46407">
            <w:pPr>
              <w:jc w:val="both"/>
              <w:rPr>
                <w:rFonts w:cs="Times New Roman"/>
                <w:szCs w:val="24"/>
              </w:rPr>
            </w:pPr>
            <w:r w:rsidRPr="00F10C37">
              <w:rPr>
                <w:rFonts w:cs="Times New Roman"/>
                <w:b/>
                <w:szCs w:val="24"/>
              </w:rPr>
              <w:t xml:space="preserve">Adult: </w:t>
            </w:r>
            <w:r w:rsidRPr="00F10C37">
              <w:rPr>
                <w:rFonts w:cs="Times New Roman"/>
                <w:szCs w:val="24"/>
              </w:rPr>
              <w:t>300 mg once daily, anticoagulant treatment stopped for 7 days and to be substituted with aspirin</w:t>
            </w:r>
          </w:p>
          <w:p w14:paraId="66E0A4E8" w14:textId="77777777" w:rsidR="0053763D" w:rsidRDefault="0053763D" w:rsidP="00C46407">
            <w:pPr>
              <w:jc w:val="both"/>
              <w:rPr>
                <w:rFonts w:cs="Times New Roman"/>
                <w:b/>
                <w:szCs w:val="24"/>
              </w:rPr>
            </w:pPr>
            <w:r w:rsidRPr="00F10C37">
              <w:rPr>
                <w:rFonts w:cs="Times New Roman"/>
                <w:b/>
                <w:szCs w:val="24"/>
              </w:rPr>
              <w:t xml:space="preserve">Following coronary by-pass surgery: </w:t>
            </w:r>
          </w:p>
          <w:p w14:paraId="53234899"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75–300 mg daily. </w:t>
            </w:r>
          </w:p>
          <w:p w14:paraId="0BA4FA24" w14:textId="77777777" w:rsidR="0053763D" w:rsidRDefault="0053763D" w:rsidP="00C46407">
            <w:pPr>
              <w:jc w:val="both"/>
              <w:rPr>
                <w:rFonts w:cs="Times New Roman"/>
                <w:szCs w:val="24"/>
              </w:rPr>
            </w:pPr>
            <w:r w:rsidRPr="00F10C37">
              <w:rPr>
                <w:rFonts w:cs="Times New Roman"/>
                <w:b/>
                <w:bCs/>
                <w:szCs w:val="24"/>
              </w:rPr>
              <w:t xml:space="preserve">Neonate: </w:t>
            </w:r>
            <w:r w:rsidRPr="00F10C37">
              <w:rPr>
                <w:rFonts w:cs="Times New Roman"/>
                <w:szCs w:val="24"/>
              </w:rPr>
              <w:t xml:space="preserve">1–5 mg/kg orally once daily. </w:t>
            </w:r>
          </w:p>
          <w:p w14:paraId="531CE169" w14:textId="77777777" w:rsidR="0053763D" w:rsidRDefault="0053763D" w:rsidP="00C46407">
            <w:pPr>
              <w:jc w:val="both"/>
              <w:rPr>
                <w:rFonts w:cs="Times New Roman"/>
                <w:szCs w:val="24"/>
              </w:rPr>
            </w:pPr>
            <w:r w:rsidRPr="00F10C37">
              <w:rPr>
                <w:rFonts w:cs="Times New Roman"/>
                <w:b/>
                <w:bCs/>
                <w:szCs w:val="24"/>
              </w:rPr>
              <w:t xml:space="preserve">Child 1 month–11 years: </w:t>
            </w:r>
            <w:r w:rsidRPr="00F10C37">
              <w:rPr>
                <w:rFonts w:cs="Times New Roman"/>
                <w:szCs w:val="24"/>
              </w:rPr>
              <w:t>1–5 mg/kg once daily (max. per dose 75 mg)</w:t>
            </w:r>
            <w:r>
              <w:rPr>
                <w:rFonts w:cs="Times New Roman"/>
                <w:szCs w:val="24"/>
              </w:rPr>
              <w:t>.</w:t>
            </w:r>
          </w:p>
          <w:p w14:paraId="16006B0A" w14:textId="77777777" w:rsidR="0053763D" w:rsidRPr="00F10C37" w:rsidRDefault="0053763D" w:rsidP="00C46407">
            <w:pPr>
              <w:jc w:val="both"/>
              <w:rPr>
                <w:rFonts w:cs="Times New Roman"/>
                <w:szCs w:val="24"/>
              </w:rPr>
            </w:pPr>
            <w:r w:rsidRPr="00F10C37">
              <w:rPr>
                <w:rFonts w:cs="Times New Roman"/>
                <w:b/>
                <w:bCs/>
                <w:szCs w:val="24"/>
              </w:rPr>
              <w:t xml:space="preserve">Child 12–17 years: </w:t>
            </w:r>
            <w:r w:rsidRPr="00F10C37">
              <w:rPr>
                <w:rFonts w:cs="Times New Roman"/>
                <w:szCs w:val="24"/>
              </w:rPr>
              <w:t xml:space="preserve">75 mg once daily </w:t>
            </w:r>
          </w:p>
          <w:p w14:paraId="291715B5" w14:textId="77777777" w:rsidR="0053763D" w:rsidRPr="001758FF" w:rsidRDefault="0053763D" w:rsidP="00C46407">
            <w:pPr>
              <w:jc w:val="both"/>
              <w:rPr>
                <w:rFonts w:cs="Times New Roman"/>
                <w:iCs/>
                <w:szCs w:val="24"/>
              </w:rPr>
            </w:pPr>
            <w:r w:rsidRPr="00F10C37">
              <w:rPr>
                <w:rFonts w:cs="Times New Roman"/>
                <w:b/>
                <w:iCs/>
                <w:szCs w:val="24"/>
              </w:rPr>
              <w:t xml:space="preserve">Kawasaki disease, </w:t>
            </w:r>
            <w:r w:rsidRPr="001758FF">
              <w:rPr>
                <w:rFonts w:cs="Times New Roman"/>
                <w:iCs/>
                <w:szCs w:val="24"/>
              </w:rPr>
              <w:t xml:space="preserve">oral: </w:t>
            </w:r>
          </w:p>
          <w:p w14:paraId="75A887A2" w14:textId="77777777" w:rsidR="0053763D" w:rsidRDefault="0053763D" w:rsidP="00C46407">
            <w:pPr>
              <w:jc w:val="both"/>
              <w:rPr>
                <w:rFonts w:cs="Times New Roman"/>
                <w:szCs w:val="24"/>
              </w:rPr>
            </w:pPr>
            <w:r w:rsidRPr="00F10C37">
              <w:rPr>
                <w:rFonts w:cs="Times New Roman"/>
                <w:b/>
                <w:bCs/>
                <w:szCs w:val="24"/>
              </w:rPr>
              <w:t xml:space="preserve">Neonate: </w:t>
            </w:r>
            <w:r w:rsidRPr="00F10C37">
              <w:rPr>
                <w:rFonts w:cs="Times New Roman"/>
                <w:szCs w:val="24"/>
              </w:rPr>
              <w:t xml:space="preserve">Initially 8 mg/kg 4 times a day for 2 weeks or until afebrile, followed by 5 mg/kg once daily for 6–8 weeks; if no evidence of coronary lesions after 8 weeks, discontinue treatment or seek expert advice. </w:t>
            </w:r>
          </w:p>
          <w:p w14:paraId="5D684B9C" w14:textId="77777777" w:rsidR="0053763D" w:rsidRPr="00F10C37" w:rsidRDefault="0053763D" w:rsidP="00C46407">
            <w:pPr>
              <w:jc w:val="both"/>
              <w:rPr>
                <w:rFonts w:cs="Times New Roman"/>
                <w:szCs w:val="24"/>
              </w:rPr>
            </w:pPr>
            <w:r w:rsidRPr="00F10C37">
              <w:rPr>
                <w:rFonts w:cs="Times New Roman"/>
                <w:b/>
                <w:bCs/>
                <w:szCs w:val="24"/>
              </w:rPr>
              <w:t xml:space="preserve">Child 1 month–11 years: </w:t>
            </w:r>
            <w:r w:rsidRPr="00F10C37">
              <w:rPr>
                <w:rFonts w:cs="Times New Roman"/>
                <w:szCs w:val="24"/>
              </w:rPr>
              <w:t>Initially 7.5–12.5 mg/kg 4 times a day for 2 weeks or until afebrile, then 2–5 mg/kg once daily for 6–8 weeks, if no evidence of coronary lesions after 8 weeks, discontinue treatment or seek expert advice.</w:t>
            </w:r>
          </w:p>
          <w:p w14:paraId="05297FF5" w14:textId="77777777" w:rsidR="0053763D" w:rsidRDefault="0053763D" w:rsidP="00C46407">
            <w:pPr>
              <w:jc w:val="both"/>
              <w:rPr>
                <w:rFonts w:cs="Times New Roman"/>
                <w:b/>
                <w:szCs w:val="24"/>
              </w:rPr>
            </w:pPr>
            <w:r w:rsidRPr="00F10C37">
              <w:rPr>
                <w:rFonts w:cs="Times New Roman"/>
                <w:b/>
                <w:szCs w:val="24"/>
              </w:rPr>
              <w:t xml:space="preserve">Mild to moderate pain or Pyrexia: </w:t>
            </w:r>
          </w:p>
          <w:p w14:paraId="241E9D24"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300–900 mg orally every 4–6 hours as required; maximum 4 g per day; </w:t>
            </w:r>
            <w:r>
              <w:rPr>
                <w:rFonts w:cs="Times New Roman"/>
                <w:szCs w:val="24"/>
              </w:rPr>
              <w:t>or</w:t>
            </w:r>
            <w:r w:rsidRPr="00F10C37">
              <w:rPr>
                <w:rFonts w:cs="Times New Roman"/>
                <w:szCs w:val="24"/>
              </w:rPr>
              <w:t xml:space="preserve"> 450–900 mg rectally every 4 hours; maximum 3.6 g per day.</w:t>
            </w:r>
          </w:p>
          <w:p w14:paraId="457F3E54" w14:textId="77777777" w:rsidR="0053763D" w:rsidRDefault="0053763D" w:rsidP="00C46407">
            <w:pPr>
              <w:jc w:val="both"/>
              <w:rPr>
                <w:rFonts w:cs="Times New Roman"/>
                <w:b/>
                <w:szCs w:val="24"/>
              </w:rPr>
            </w:pPr>
            <w:r w:rsidRPr="00F10C37">
              <w:rPr>
                <w:rFonts w:cs="Times New Roman"/>
                <w:b/>
                <w:szCs w:val="24"/>
              </w:rPr>
              <w:t>Acute migraine</w:t>
            </w:r>
            <w:r>
              <w:rPr>
                <w:rFonts w:cs="Times New Roman"/>
                <w:b/>
                <w:szCs w:val="24"/>
              </w:rPr>
              <w:t>:</w:t>
            </w:r>
          </w:p>
          <w:p w14:paraId="3D86E499"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900 mg for 1 dose, to be taken as soon as migraine </w:t>
            </w:r>
            <w:r w:rsidRPr="00F10C37">
              <w:rPr>
                <w:rFonts w:cs="Times New Roman"/>
                <w:szCs w:val="24"/>
              </w:rPr>
              <w:lastRenderedPageBreak/>
              <w:t>symptoms develop.</w:t>
            </w:r>
          </w:p>
          <w:p w14:paraId="7AFC9161" w14:textId="77777777" w:rsidR="0053763D" w:rsidRPr="00F10C37" w:rsidRDefault="0053763D" w:rsidP="00C46407">
            <w:pPr>
              <w:jc w:val="both"/>
              <w:rPr>
                <w:rFonts w:cs="Times New Roman"/>
                <w:szCs w:val="24"/>
              </w:rPr>
            </w:pPr>
            <w:r w:rsidRPr="00F10C37">
              <w:rPr>
                <w:rFonts w:cs="Times New Roman"/>
                <w:b/>
                <w:szCs w:val="24"/>
              </w:rPr>
              <w:t>Prevention of pre-eclampsia in women at moderate or high risk</w:t>
            </w:r>
            <w:r>
              <w:rPr>
                <w:rFonts w:cs="Times New Roman"/>
                <w:b/>
                <w:szCs w:val="24"/>
              </w:rPr>
              <w:t>:</w:t>
            </w:r>
            <w:r w:rsidRPr="00F10C37">
              <w:rPr>
                <w:rFonts w:cs="Times New Roman"/>
                <w:b/>
                <w:szCs w:val="24"/>
              </w:rPr>
              <w:t xml:space="preserve"> Adult</w:t>
            </w:r>
            <w:r w:rsidRPr="00F10C37">
              <w:rPr>
                <w:rFonts w:cs="Times New Roman"/>
                <w:szCs w:val="24"/>
              </w:rPr>
              <w:t>: 75–150 mg once daily from 12 weeks gestation until the birth of the baby.</w:t>
            </w:r>
          </w:p>
        </w:tc>
      </w:tr>
      <w:tr w:rsidR="0053763D" w:rsidRPr="00F10C37" w14:paraId="7666EA6C" w14:textId="77777777" w:rsidTr="00C46407">
        <w:tc>
          <w:tcPr>
            <w:tcW w:w="2605" w:type="dxa"/>
          </w:tcPr>
          <w:p w14:paraId="3DA1E353"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750" w:type="dxa"/>
            <w:gridSpan w:val="2"/>
          </w:tcPr>
          <w:p w14:paraId="069AA98B" w14:textId="77777777" w:rsidR="0053763D" w:rsidRPr="00F10C37" w:rsidRDefault="0053763D" w:rsidP="00C46407">
            <w:pPr>
              <w:jc w:val="both"/>
              <w:rPr>
                <w:rFonts w:cs="Times New Roman"/>
                <w:szCs w:val="24"/>
              </w:rPr>
            </w:pPr>
            <w:r w:rsidRPr="00F10C37">
              <w:rPr>
                <w:rFonts w:cs="Times New Roman"/>
                <w:szCs w:val="24"/>
              </w:rPr>
              <w:t xml:space="preserve">Hypersensitivity </w:t>
            </w:r>
            <w:r>
              <w:rPr>
                <w:rFonts w:cs="Times New Roman"/>
                <w:szCs w:val="24"/>
              </w:rPr>
              <w:t>to the drug</w:t>
            </w:r>
            <w:r w:rsidRPr="00F10C37">
              <w:rPr>
                <w:rFonts w:cs="Times New Roman"/>
                <w:szCs w:val="24"/>
              </w:rPr>
              <w:t xml:space="preserve">, children and adolescents under 16 years (risk of Reye syndrome), active peptic ulceration, hemophilia and other bleeding disorders, gout, severe renal and hepatic disease. </w:t>
            </w:r>
          </w:p>
        </w:tc>
      </w:tr>
      <w:tr w:rsidR="0053763D" w:rsidRPr="00F10C37" w14:paraId="1C6ABD92" w14:textId="77777777" w:rsidTr="00C46407">
        <w:tc>
          <w:tcPr>
            <w:tcW w:w="2605" w:type="dxa"/>
          </w:tcPr>
          <w:p w14:paraId="653C2286"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750" w:type="dxa"/>
            <w:gridSpan w:val="2"/>
          </w:tcPr>
          <w:p w14:paraId="4F056118" w14:textId="77777777" w:rsidR="0053763D" w:rsidRPr="00F10C37" w:rsidRDefault="0053763D" w:rsidP="00C46407">
            <w:pPr>
              <w:jc w:val="both"/>
              <w:rPr>
                <w:rFonts w:cs="Times New Roman"/>
                <w:szCs w:val="24"/>
              </w:rPr>
            </w:pPr>
            <w:r w:rsidRPr="00F10C37">
              <w:rPr>
                <w:rFonts w:cs="Times New Roman"/>
                <w:szCs w:val="24"/>
              </w:rPr>
              <w:t>Methotrexate, warfarin, fluoxetine, heparin, acetazolamide, antacids, dexamethasone, ACEIs, thiazide diuretics, rifampicin, bisphosphonate, hydrocortisone, metoclopramide, mifepristone, phenytoin, prednisolone, spironolactone, valproic acid, omega-3 fatty acid</w:t>
            </w:r>
            <w:r>
              <w:rPr>
                <w:rFonts w:cs="Times New Roman"/>
                <w:szCs w:val="24"/>
              </w:rPr>
              <w:t>.</w:t>
            </w:r>
          </w:p>
        </w:tc>
      </w:tr>
      <w:tr w:rsidR="0053763D" w:rsidRPr="00F10C37" w14:paraId="0D05F750" w14:textId="77777777" w:rsidTr="00C46407">
        <w:tc>
          <w:tcPr>
            <w:tcW w:w="2605" w:type="dxa"/>
          </w:tcPr>
          <w:p w14:paraId="45F75A70" w14:textId="77777777" w:rsidR="0053763D" w:rsidRPr="00F10C37" w:rsidRDefault="0053763D" w:rsidP="00C46407">
            <w:pPr>
              <w:jc w:val="both"/>
              <w:rPr>
                <w:rFonts w:cs="Times New Roman"/>
                <w:szCs w:val="24"/>
              </w:rPr>
            </w:pPr>
            <w:r w:rsidRPr="00F10C37">
              <w:rPr>
                <w:rFonts w:cs="Times New Roman"/>
                <w:szCs w:val="24"/>
              </w:rPr>
              <w:t>Side effects</w:t>
            </w:r>
          </w:p>
        </w:tc>
        <w:tc>
          <w:tcPr>
            <w:tcW w:w="6750" w:type="dxa"/>
            <w:gridSpan w:val="2"/>
          </w:tcPr>
          <w:p w14:paraId="3D5550B5"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Nausea, dyspepsia, GI ulceration or bleeding, tinnitus, vertigo, confusion, increased bleeding time, hypersensitivity reactions including angioedema, bronchospasm and rash (including SJS), iron deficiency anemia, renal impairment, esophageal ulceration, major hemorrhage, blood dyscrasias, edema, myocarditis, Reye syndrome with subsequent encephalopathy</w:t>
            </w:r>
            <w:r>
              <w:rPr>
                <w:rFonts w:eastAsiaTheme="minorHAnsi" w:cs="Times New Roman"/>
                <w:kern w:val="0"/>
                <w:szCs w:val="24"/>
                <w:lang w:val="en-US" w:eastAsia="en-US"/>
              </w:rPr>
              <w:t xml:space="preserve">, </w:t>
            </w:r>
            <w:r w:rsidRPr="00F10C37">
              <w:rPr>
                <w:rFonts w:eastAsiaTheme="minorHAnsi" w:cs="Times New Roman"/>
                <w:kern w:val="0"/>
                <w:szCs w:val="24"/>
                <w:lang w:val="en-US" w:eastAsia="en-US"/>
              </w:rPr>
              <w:t>severe hepatic injury.</w:t>
            </w:r>
          </w:p>
        </w:tc>
      </w:tr>
      <w:tr w:rsidR="0053763D" w:rsidRPr="00F10C37" w14:paraId="3255BA18" w14:textId="77777777" w:rsidTr="00C46407">
        <w:tc>
          <w:tcPr>
            <w:tcW w:w="2605" w:type="dxa"/>
          </w:tcPr>
          <w:p w14:paraId="38ED7D72" w14:textId="77777777" w:rsidR="0053763D" w:rsidRPr="00F10C37" w:rsidRDefault="0053763D" w:rsidP="00C46407">
            <w:pPr>
              <w:jc w:val="both"/>
              <w:rPr>
                <w:rFonts w:cs="Times New Roman"/>
                <w:szCs w:val="24"/>
              </w:rPr>
            </w:pPr>
            <w:r w:rsidRPr="00F10C37">
              <w:rPr>
                <w:rFonts w:cs="Times New Roman"/>
                <w:szCs w:val="24"/>
              </w:rPr>
              <w:t>Cautions</w:t>
            </w:r>
          </w:p>
        </w:tc>
        <w:tc>
          <w:tcPr>
            <w:tcW w:w="6750" w:type="dxa"/>
            <w:gridSpan w:val="2"/>
          </w:tcPr>
          <w:p w14:paraId="09F25FE6" w14:textId="77777777" w:rsidR="0053763D" w:rsidRPr="00F10C37" w:rsidRDefault="0053763D" w:rsidP="00C46407">
            <w:pPr>
              <w:jc w:val="both"/>
              <w:rPr>
                <w:rFonts w:cs="Times New Roman"/>
                <w:szCs w:val="24"/>
              </w:rPr>
            </w:pPr>
            <w:r w:rsidRPr="00F10C37">
              <w:rPr>
                <w:rFonts w:cs="Times New Roman"/>
                <w:szCs w:val="24"/>
              </w:rPr>
              <w:t>Uncontrolled hypertension, allergic disease, anemia, asthma, dehydration, elderly, G6PD deficiency, previous peptic ulceration, thyrotoxicosis, h</w:t>
            </w:r>
            <w:r w:rsidRPr="00F10C37">
              <w:rPr>
                <w:rFonts w:cs="Times New Roman"/>
                <w:bCs/>
                <w:szCs w:val="24"/>
              </w:rPr>
              <w:t xml:space="preserve">epatic impairment, renal impairment, </w:t>
            </w:r>
            <w:r w:rsidRPr="00F10C37">
              <w:rPr>
                <w:rFonts w:cs="Times New Roman"/>
                <w:szCs w:val="24"/>
              </w:rPr>
              <w:t>dehydration, p</w:t>
            </w:r>
            <w:r w:rsidRPr="00F10C37">
              <w:rPr>
                <w:rFonts w:cs="Times New Roman"/>
                <w:bCs/>
                <w:szCs w:val="24"/>
              </w:rPr>
              <w:t>regnancy</w:t>
            </w:r>
            <w:r>
              <w:rPr>
                <w:rFonts w:cs="Times New Roman"/>
                <w:bCs/>
                <w:szCs w:val="24"/>
              </w:rPr>
              <w:t xml:space="preserve">, </w:t>
            </w:r>
            <w:r w:rsidRPr="00F10C37">
              <w:rPr>
                <w:rFonts w:cs="Times New Roman"/>
                <w:szCs w:val="24"/>
              </w:rPr>
              <w:t>b</w:t>
            </w:r>
            <w:r w:rsidRPr="00F10C37">
              <w:rPr>
                <w:rFonts w:cs="Times New Roman"/>
                <w:bCs/>
                <w:szCs w:val="24"/>
              </w:rPr>
              <w:t>reastfeeding.</w:t>
            </w:r>
          </w:p>
        </w:tc>
      </w:tr>
      <w:tr w:rsidR="0053763D" w:rsidRPr="00F10C37" w14:paraId="25665267" w14:textId="77777777" w:rsidTr="00C46407">
        <w:tc>
          <w:tcPr>
            <w:tcW w:w="2605" w:type="dxa"/>
          </w:tcPr>
          <w:p w14:paraId="1DD105C2"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750" w:type="dxa"/>
            <w:gridSpan w:val="2"/>
          </w:tcPr>
          <w:p w14:paraId="76D6B18C" w14:textId="77777777" w:rsidR="0053763D" w:rsidRPr="00F10C37" w:rsidRDefault="0053763D" w:rsidP="00C46407">
            <w:pPr>
              <w:jc w:val="both"/>
              <w:rPr>
                <w:rFonts w:cs="Times New Roman"/>
                <w:szCs w:val="24"/>
              </w:rPr>
            </w:pPr>
            <w:r w:rsidRPr="00F10C37">
              <w:rPr>
                <w:rFonts w:cs="Times New Roman"/>
                <w:szCs w:val="24"/>
              </w:rPr>
              <w:t>Store between 15°C and 30°C.</w:t>
            </w:r>
          </w:p>
        </w:tc>
      </w:tr>
      <w:tr w:rsidR="0053763D" w:rsidRPr="00F10C37" w14:paraId="3C3EE638" w14:textId="77777777" w:rsidTr="00C46407">
        <w:trPr>
          <w:trHeight w:val="512"/>
        </w:trPr>
        <w:tc>
          <w:tcPr>
            <w:tcW w:w="9355" w:type="dxa"/>
            <w:gridSpan w:val="3"/>
          </w:tcPr>
          <w:p w14:paraId="61740DB6" w14:textId="77777777" w:rsidR="0053763D" w:rsidRPr="00F10C37" w:rsidRDefault="0053763D" w:rsidP="00C46407">
            <w:pPr>
              <w:jc w:val="both"/>
              <w:rPr>
                <w:rFonts w:cs="Times New Roman"/>
                <w:b/>
                <w:szCs w:val="24"/>
              </w:rPr>
            </w:pPr>
            <w:r w:rsidRPr="00F10C37">
              <w:rPr>
                <w:rFonts w:cs="Times New Roman"/>
                <w:b/>
                <w:color w:val="000000"/>
                <w:szCs w:val="24"/>
              </w:rPr>
              <w:t>Clopidogrel</w:t>
            </w:r>
          </w:p>
        </w:tc>
      </w:tr>
      <w:tr w:rsidR="0053763D" w:rsidRPr="00F10C37" w14:paraId="32995447" w14:textId="77777777" w:rsidTr="00C46407">
        <w:trPr>
          <w:trHeight w:val="512"/>
        </w:trPr>
        <w:tc>
          <w:tcPr>
            <w:tcW w:w="3109" w:type="dxa"/>
            <w:gridSpan w:val="2"/>
          </w:tcPr>
          <w:p w14:paraId="5412C9C9"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6FD3FCE2" w14:textId="77777777" w:rsidR="0053763D" w:rsidRPr="00F10C37" w:rsidRDefault="0053763D" w:rsidP="00C46407">
            <w:pPr>
              <w:jc w:val="both"/>
              <w:rPr>
                <w:rFonts w:cs="Times New Roman"/>
                <w:szCs w:val="24"/>
              </w:rPr>
            </w:pPr>
            <w:r w:rsidRPr="00F10C37">
              <w:rPr>
                <w:rFonts w:cs="Times New Roman"/>
                <w:szCs w:val="24"/>
              </w:rPr>
              <w:t xml:space="preserve">Antiplatelet </w:t>
            </w:r>
          </w:p>
        </w:tc>
      </w:tr>
      <w:tr w:rsidR="0053763D" w:rsidRPr="00F10C37" w14:paraId="19258D67" w14:textId="77777777" w:rsidTr="00C46407">
        <w:trPr>
          <w:trHeight w:val="395"/>
        </w:trPr>
        <w:tc>
          <w:tcPr>
            <w:tcW w:w="3109" w:type="dxa"/>
            <w:gridSpan w:val="2"/>
          </w:tcPr>
          <w:p w14:paraId="3F42EA1B"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051BDE23"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color w:val="000000"/>
                <w:szCs w:val="24"/>
              </w:rPr>
              <w:t>Tablet: 75 mg, 300 mg</w:t>
            </w:r>
          </w:p>
        </w:tc>
      </w:tr>
      <w:tr w:rsidR="0053763D" w:rsidRPr="00F10C37" w14:paraId="14455F5D" w14:textId="77777777" w:rsidTr="00C46407">
        <w:trPr>
          <w:trHeight w:val="521"/>
        </w:trPr>
        <w:tc>
          <w:tcPr>
            <w:tcW w:w="3109" w:type="dxa"/>
            <w:gridSpan w:val="2"/>
          </w:tcPr>
          <w:p w14:paraId="50AE7418" w14:textId="77777777" w:rsidR="0053763D" w:rsidRPr="004E2803" w:rsidRDefault="0053763D" w:rsidP="00C46407">
            <w:pPr>
              <w:jc w:val="both"/>
              <w:rPr>
                <w:rFonts w:cs="Times New Roman"/>
                <w:szCs w:val="24"/>
              </w:rPr>
            </w:pPr>
            <w:r w:rsidRPr="004E2803">
              <w:rPr>
                <w:rFonts w:cs="Times New Roman"/>
                <w:szCs w:val="24"/>
              </w:rPr>
              <w:t>Indications</w:t>
            </w:r>
          </w:p>
        </w:tc>
        <w:tc>
          <w:tcPr>
            <w:tcW w:w="6246" w:type="dxa"/>
          </w:tcPr>
          <w:p w14:paraId="4FA8A817" w14:textId="77777777" w:rsidR="0053763D" w:rsidRPr="00F10C37" w:rsidRDefault="0053763D" w:rsidP="00C46407">
            <w:pPr>
              <w:jc w:val="both"/>
              <w:rPr>
                <w:rFonts w:cs="Times New Roman"/>
                <w:szCs w:val="24"/>
              </w:rPr>
            </w:pPr>
            <w:r w:rsidRPr="00F10C37">
              <w:rPr>
                <w:rFonts w:cs="Times New Roman"/>
                <w:szCs w:val="24"/>
              </w:rPr>
              <w:t xml:space="preserve">Prevention of atherothrombotic events </w:t>
            </w:r>
          </w:p>
        </w:tc>
      </w:tr>
      <w:tr w:rsidR="0053763D" w:rsidRPr="00F10C37" w14:paraId="44DDF6DC" w14:textId="77777777" w:rsidTr="00C46407">
        <w:trPr>
          <w:trHeight w:val="521"/>
        </w:trPr>
        <w:tc>
          <w:tcPr>
            <w:tcW w:w="3109" w:type="dxa"/>
            <w:gridSpan w:val="2"/>
          </w:tcPr>
          <w:p w14:paraId="44682091"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69B633D7" w14:textId="77777777" w:rsidR="0053763D" w:rsidRDefault="0053763D" w:rsidP="00C46407">
            <w:pPr>
              <w:jc w:val="both"/>
              <w:rPr>
                <w:rFonts w:cs="Times New Roman"/>
                <w:b/>
                <w:szCs w:val="24"/>
              </w:rPr>
            </w:pPr>
            <w:r w:rsidRPr="00F10C37">
              <w:rPr>
                <w:rFonts w:cs="Times New Roman"/>
                <w:b/>
                <w:szCs w:val="24"/>
              </w:rPr>
              <w:t xml:space="preserve">Prevention of atherothrombotic events in percutaneous coronary intervention (adjunct with aspirin) in patients not already on clopidogrel: </w:t>
            </w:r>
          </w:p>
          <w:p w14:paraId="0DEF9ECB" w14:textId="77777777" w:rsidR="0053763D" w:rsidRPr="00F10C37" w:rsidRDefault="0053763D" w:rsidP="00C46407">
            <w:pPr>
              <w:jc w:val="both"/>
              <w:rPr>
                <w:rFonts w:cs="Times New Roman"/>
                <w:szCs w:val="24"/>
              </w:rPr>
            </w:pPr>
            <w:r w:rsidRPr="00F10C37">
              <w:rPr>
                <w:rFonts w:cs="Times New Roman"/>
                <w:b/>
                <w:szCs w:val="24"/>
              </w:rPr>
              <w:lastRenderedPageBreak/>
              <w:t>Adult</w:t>
            </w:r>
            <w:r w:rsidRPr="00F10C37">
              <w:rPr>
                <w:rFonts w:cs="Times New Roman"/>
                <w:szCs w:val="24"/>
              </w:rPr>
              <w:t>: Loading dose 300 mg, to be taken prior to the procedure, alternatively loading dose 600 mg, higher dose may produce a greater and more rapid inhibition of platelet aggregation.</w:t>
            </w:r>
          </w:p>
          <w:p w14:paraId="3CAB8380" w14:textId="77777777" w:rsidR="0053763D" w:rsidRDefault="0053763D" w:rsidP="00C46407">
            <w:pPr>
              <w:jc w:val="both"/>
              <w:rPr>
                <w:rFonts w:cs="Times New Roman"/>
                <w:szCs w:val="24"/>
              </w:rPr>
            </w:pPr>
            <w:r w:rsidRPr="00F10C37">
              <w:rPr>
                <w:rFonts w:cs="Times New Roman"/>
                <w:b/>
                <w:szCs w:val="24"/>
              </w:rPr>
              <w:t xml:space="preserve">Transient ischaemic attack for patients with aspirin hypersensitivity, or those intolerant of aspirin despite the addition of a proton pump inhibitor </w:t>
            </w:r>
            <w:r>
              <w:rPr>
                <w:rFonts w:cs="Times New Roman"/>
                <w:b/>
                <w:szCs w:val="24"/>
              </w:rPr>
              <w:t>or</w:t>
            </w:r>
            <w:r w:rsidRPr="00F10C37">
              <w:rPr>
                <w:rFonts w:cs="Times New Roman"/>
                <w:b/>
                <w:szCs w:val="24"/>
              </w:rPr>
              <w:t xml:space="preserve"> </w:t>
            </w:r>
            <w:r>
              <w:rPr>
                <w:rFonts w:cs="Times New Roman"/>
                <w:b/>
                <w:szCs w:val="24"/>
              </w:rPr>
              <w:t>a</w:t>
            </w:r>
            <w:r w:rsidRPr="00F10C37">
              <w:rPr>
                <w:rFonts w:cs="Times New Roman"/>
                <w:b/>
                <w:szCs w:val="24"/>
              </w:rPr>
              <w:t>cute ischaemic stroke for patients with aspirin hypersensitivity, or those intolerant of aspirin despite the addition of a proton pump inhibitor</w:t>
            </w:r>
            <w:r>
              <w:rPr>
                <w:rFonts w:cs="Times New Roman"/>
                <w:szCs w:val="24"/>
              </w:rPr>
              <w:t>:</w:t>
            </w:r>
          </w:p>
          <w:p w14:paraId="1AE0905B"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75 mg once daily</w:t>
            </w:r>
            <w:r>
              <w:rPr>
                <w:rFonts w:cs="Times New Roman"/>
                <w:szCs w:val="24"/>
              </w:rPr>
              <w:t>.</w:t>
            </w:r>
            <w:r w:rsidRPr="00F10C37">
              <w:rPr>
                <w:rFonts w:cs="Times New Roman"/>
                <w:szCs w:val="24"/>
              </w:rPr>
              <w:t xml:space="preserve"> </w:t>
            </w:r>
          </w:p>
          <w:p w14:paraId="340EB825" w14:textId="77777777" w:rsidR="0053763D" w:rsidRDefault="0053763D" w:rsidP="00C46407">
            <w:pPr>
              <w:jc w:val="both"/>
              <w:rPr>
                <w:rFonts w:cs="Times New Roman"/>
                <w:szCs w:val="24"/>
              </w:rPr>
            </w:pPr>
            <w:r w:rsidRPr="00F10C37">
              <w:rPr>
                <w:rFonts w:cs="Times New Roman"/>
                <w:b/>
                <w:szCs w:val="24"/>
              </w:rPr>
              <w:t>Prevention of atherothrombotic events in peripheral arterial disease or within 35 days of MI, or within 6 months of ischaemic stroke</w:t>
            </w:r>
            <w:r>
              <w:rPr>
                <w:rFonts w:cs="Times New Roman"/>
                <w:szCs w:val="24"/>
              </w:rPr>
              <w:t>:</w:t>
            </w:r>
          </w:p>
          <w:p w14:paraId="33BB290D"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75 mg once daily.</w:t>
            </w:r>
          </w:p>
          <w:p w14:paraId="2E22A7BF" w14:textId="77777777" w:rsidR="0053763D" w:rsidRDefault="0053763D" w:rsidP="00C46407">
            <w:pPr>
              <w:jc w:val="both"/>
              <w:rPr>
                <w:rFonts w:cs="Times New Roman"/>
                <w:szCs w:val="24"/>
              </w:rPr>
            </w:pPr>
            <w:r w:rsidRPr="00F10C37">
              <w:rPr>
                <w:rFonts w:cs="Times New Roman"/>
                <w:b/>
                <w:szCs w:val="24"/>
              </w:rPr>
              <w:t>Prevention of atherothrombotic events in acute coronary syndrome without ST-segment elevation (given with aspirin):</w:t>
            </w:r>
            <w:r w:rsidRPr="00F10C37">
              <w:rPr>
                <w:rFonts w:cs="Times New Roman"/>
                <w:szCs w:val="24"/>
              </w:rPr>
              <w:t xml:space="preserve"> </w:t>
            </w:r>
          </w:p>
          <w:p w14:paraId="028A23EE"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Initially 300 mg, then 75 mg daily for up to 12 months.</w:t>
            </w:r>
          </w:p>
          <w:p w14:paraId="08911743" w14:textId="77777777" w:rsidR="0053763D" w:rsidRDefault="0053763D" w:rsidP="00C46407">
            <w:pPr>
              <w:jc w:val="both"/>
              <w:rPr>
                <w:rFonts w:cs="Times New Roman"/>
                <w:szCs w:val="24"/>
              </w:rPr>
            </w:pPr>
            <w:r w:rsidRPr="00F10C37">
              <w:rPr>
                <w:rFonts w:cs="Times New Roman"/>
                <w:b/>
                <w:szCs w:val="24"/>
              </w:rPr>
              <w:t xml:space="preserve">Prevention of atherothrombotic events in acute myocardial infarction with ST-segment elevation (given with aspirin): </w:t>
            </w:r>
            <w:r w:rsidRPr="003D3E3A">
              <w:rPr>
                <w:rFonts w:cs="Times New Roman"/>
                <w:b/>
                <w:szCs w:val="24"/>
              </w:rPr>
              <w:t>Adult 18–75 years:</w:t>
            </w:r>
            <w:r w:rsidRPr="00F10C37">
              <w:rPr>
                <w:rFonts w:cs="Times New Roman"/>
                <w:szCs w:val="24"/>
              </w:rPr>
              <w:t xml:space="preserve"> Initially 300 mg, then 75 mg for at least 4 week</w:t>
            </w:r>
            <w:r>
              <w:rPr>
                <w:rFonts w:cs="Times New Roman"/>
                <w:szCs w:val="24"/>
              </w:rPr>
              <w:t>s</w:t>
            </w:r>
          </w:p>
          <w:p w14:paraId="413628DA" w14:textId="77777777" w:rsidR="0053763D" w:rsidRDefault="0053763D" w:rsidP="00C46407">
            <w:pPr>
              <w:jc w:val="both"/>
              <w:rPr>
                <w:rFonts w:cs="Times New Roman"/>
                <w:b/>
                <w:szCs w:val="24"/>
              </w:rPr>
            </w:pPr>
            <w:r w:rsidRPr="003D3E3A">
              <w:rPr>
                <w:rFonts w:cs="Times New Roman"/>
                <w:b/>
                <w:szCs w:val="24"/>
              </w:rPr>
              <w:t>Adult 76 years and over:</w:t>
            </w:r>
            <w:r w:rsidRPr="00F10C37">
              <w:rPr>
                <w:rFonts w:cs="Times New Roman"/>
                <w:szCs w:val="24"/>
              </w:rPr>
              <w:t xml:space="preserve"> 75 mg daily for at least 4 weeks </w:t>
            </w:r>
            <w:r w:rsidRPr="00F10C37">
              <w:rPr>
                <w:rFonts w:cs="Times New Roman"/>
                <w:b/>
                <w:szCs w:val="24"/>
              </w:rPr>
              <w:t>Prevention of atherothrombotic and thromboembolic events in patients with atrial fibrillation and at least one risk factor for a vascular event (with aspirin) and for whom warfarin is unsuitable</w:t>
            </w:r>
            <w:r>
              <w:rPr>
                <w:rFonts w:cs="Times New Roman"/>
                <w:b/>
                <w:szCs w:val="24"/>
              </w:rPr>
              <w:t>:</w:t>
            </w:r>
          </w:p>
          <w:p w14:paraId="55CA16EA"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75 mg once daily</w:t>
            </w:r>
          </w:p>
        </w:tc>
      </w:tr>
      <w:tr w:rsidR="0053763D" w:rsidRPr="00F10C37" w14:paraId="0C05E5C2" w14:textId="77777777" w:rsidTr="00C46407">
        <w:tc>
          <w:tcPr>
            <w:tcW w:w="3109" w:type="dxa"/>
            <w:gridSpan w:val="2"/>
          </w:tcPr>
          <w:p w14:paraId="12542653"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246" w:type="dxa"/>
          </w:tcPr>
          <w:p w14:paraId="414EEDCF" w14:textId="77777777" w:rsidR="0053763D" w:rsidRPr="00F10C37" w:rsidRDefault="0053763D" w:rsidP="00C46407">
            <w:pPr>
              <w:jc w:val="both"/>
              <w:rPr>
                <w:rFonts w:cs="Times New Roman"/>
                <w:szCs w:val="24"/>
              </w:rPr>
            </w:pPr>
            <w:r w:rsidRPr="00F10C37">
              <w:rPr>
                <w:rFonts w:cs="Times New Roman"/>
                <w:szCs w:val="24"/>
              </w:rPr>
              <w:t>Active bleeding</w:t>
            </w:r>
          </w:p>
        </w:tc>
      </w:tr>
      <w:tr w:rsidR="0053763D" w:rsidRPr="00F10C37" w14:paraId="7F947251" w14:textId="77777777" w:rsidTr="00C46407">
        <w:tc>
          <w:tcPr>
            <w:tcW w:w="3109" w:type="dxa"/>
            <w:gridSpan w:val="2"/>
          </w:tcPr>
          <w:p w14:paraId="594C08DC"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54FCC167" w14:textId="77777777" w:rsidR="0053763D" w:rsidRPr="00F10C37" w:rsidRDefault="0053763D" w:rsidP="00C46407">
            <w:pPr>
              <w:jc w:val="both"/>
              <w:rPr>
                <w:rFonts w:cs="Times New Roman"/>
                <w:szCs w:val="24"/>
              </w:rPr>
            </w:pPr>
            <w:r w:rsidRPr="00F10C37">
              <w:rPr>
                <w:rFonts w:cs="Times New Roman"/>
                <w:szCs w:val="24"/>
              </w:rPr>
              <w:t xml:space="preserve">Fluconazole, moclobemide, protease inhibitors, heparin, </w:t>
            </w:r>
            <w:r w:rsidRPr="00F10C37">
              <w:rPr>
                <w:rFonts w:cs="Times New Roman"/>
                <w:szCs w:val="24"/>
              </w:rPr>
              <w:lastRenderedPageBreak/>
              <w:t>NSA</w:t>
            </w:r>
            <w:r>
              <w:rPr>
                <w:rFonts w:cs="Times New Roman"/>
                <w:szCs w:val="24"/>
              </w:rPr>
              <w:t>ID</w:t>
            </w:r>
            <w:r w:rsidRPr="00F10C37">
              <w:rPr>
                <w:rFonts w:cs="Times New Roman"/>
                <w:szCs w:val="24"/>
              </w:rPr>
              <w:t xml:space="preserve">s, fluoxetine, grapefruit juice, pioglitazone, proton pump inhibitors, rosuvastatin, rifampicin, anticoagulants, taxanes. </w:t>
            </w:r>
          </w:p>
        </w:tc>
      </w:tr>
      <w:tr w:rsidR="0053763D" w:rsidRPr="00F10C37" w14:paraId="375E1B7B" w14:textId="77777777" w:rsidTr="00C46407">
        <w:tc>
          <w:tcPr>
            <w:tcW w:w="3109" w:type="dxa"/>
            <w:gridSpan w:val="2"/>
          </w:tcPr>
          <w:p w14:paraId="7CF28ED3" w14:textId="77777777" w:rsidR="0053763D" w:rsidRPr="00F10C37" w:rsidRDefault="0053763D" w:rsidP="00C46407">
            <w:pPr>
              <w:jc w:val="both"/>
              <w:rPr>
                <w:rFonts w:cs="Times New Roman"/>
                <w:szCs w:val="24"/>
              </w:rPr>
            </w:pPr>
            <w:r w:rsidRPr="00F10C37">
              <w:rPr>
                <w:rFonts w:cs="Times New Roman"/>
                <w:szCs w:val="24"/>
              </w:rPr>
              <w:lastRenderedPageBreak/>
              <w:t>Side effects</w:t>
            </w:r>
          </w:p>
        </w:tc>
        <w:tc>
          <w:tcPr>
            <w:tcW w:w="6246" w:type="dxa"/>
          </w:tcPr>
          <w:p w14:paraId="005E292C" w14:textId="77777777" w:rsidR="0053763D" w:rsidRPr="00F10C37" w:rsidRDefault="0053763D" w:rsidP="00C46407">
            <w:pPr>
              <w:contextualSpacing/>
              <w:jc w:val="both"/>
              <w:rPr>
                <w:rFonts w:cs="Times New Roman"/>
                <w:szCs w:val="24"/>
              </w:rPr>
            </w:pPr>
            <w:r w:rsidRPr="00F10C37">
              <w:rPr>
                <w:rFonts w:cs="Times New Roman"/>
                <w:szCs w:val="24"/>
              </w:rPr>
              <w:t>GI disturbance (nausea, diarrhea), headache, GI and duodenal ulceration, haemorrhag</w:t>
            </w:r>
            <w:r>
              <w:rPr>
                <w:rFonts w:cs="Times New Roman"/>
                <w:szCs w:val="24"/>
              </w:rPr>
              <w:t>e</w:t>
            </w:r>
            <w:r w:rsidRPr="00F10C37">
              <w:rPr>
                <w:rFonts w:cs="Times New Roman"/>
                <w:szCs w:val="24"/>
              </w:rPr>
              <w:t xml:space="preserve">, skin reactions, severe cutaneous adverse reactions (SCARs), thrombocytopenia, </w:t>
            </w:r>
            <w:r>
              <w:rPr>
                <w:rFonts w:cs="Times New Roman"/>
                <w:szCs w:val="24"/>
              </w:rPr>
              <w:t>a</w:t>
            </w:r>
            <w:r w:rsidRPr="00F10C37">
              <w:rPr>
                <w:rFonts w:cs="Times New Roman"/>
                <w:szCs w:val="24"/>
              </w:rPr>
              <w:t>cquired haemophilia, agranulocytosis, anaemia, arthralgia, arthritis, glomerulonephritis, hallucination, hepatic disorders, hypersensitivity, hypotension, neutropenia, pancreatitis, respiratory disorders, vasculitis, Kounis syndrome</w:t>
            </w:r>
            <w:r>
              <w:rPr>
                <w:rFonts w:cs="Times New Roman"/>
                <w:szCs w:val="24"/>
              </w:rPr>
              <w:t>.</w:t>
            </w:r>
          </w:p>
        </w:tc>
      </w:tr>
      <w:tr w:rsidR="0053763D" w:rsidRPr="00F10C37" w14:paraId="60D28C4C" w14:textId="77777777" w:rsidTr="00C46407">
        <w:tc>
          <w:tcPr>
            <w:tcW w:w="3109" w:type="dxa"/>
            <w:gridSpan w:val="2"/>
          </w:tcPr>
          <w:p w14:paraId="305114C1"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3195F486" w14:textId="77777777" w:rsidR="0053763D" w:rsidRPr="00F10C37" w:rsidRDefault="0053763D" w:rsidP="00C46407">
            <w:pPr>
              <w:jc w:val="both"/>
              <w:rPr>
                <w:rFonts w:cs="Times New Roman"/>
                <w:szCs w:val="24"/>
              </w:rPr>
            </w:pPr>
            <w:r w:rsidRPr="00F10C37">
              <w:rPr>
                <w:rFonts w:cs="Times New Roman"/>
                <w:szCs w:val="24"/>
              </w:rPr>
              <w:t>Patients at risk of increased bleeding from trauma, surgery, or other pathological conditions, elderly, h</w:t>
            </w:r>
            <w:r w:rsidRPr="00F10C37">
              <w:rPr>
                <w:rFonts w:cs="Times New Roman"/>
                <w:bCs/>
                <w:szCs w:val="24"/>
              </w:rPr>
              <w:t>epatic and renal impairment, pregnancy</w:t>
            </w:r>
            <w:r>
              <w:rPr>
                <w:rFonts w:cs="Times New Roman"/>
                <w:bCs/>
                <w:szCs w:val="24"/>
              </w:rPr>
              <w:t>,</w:t>
            </w:r>
            <w:r w:rsidRPr="00F10C37">
              <w:rPr>
                <w:rFonts w:cs="Times New Roman"/>
                <w:bCs/>
                <w:szCs w:val="24"/>
              </w:rPr>
              <w:t xml:space="preserve"> breast feeding.</w:t>
            </w:r>
          </w:p>
        </w:tc>
      </w:tr>
      <w:tr w:rsidR="0053763D" w:rsidRPr="00F10C37" w14:paraId="2AA2FF5F" w14:textId="77777777" w:rsidTr="00C46407">
        <w:tc>
          <w:tcPr>
            <w:tcW w:w="3109" w:type="dxa"/>
            <w:gridSpan w:val="2"/>
          </w:tcPr>
          <w:p w14:paraId="085D34BA"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7ABC735F" w14:textId="77777777" w:rsidR="0053763D" w:rsidRPr="00F10C37" w:rsidRDefault="0053763D" w:rsidP="00C46407">
            <w:pPr>
              <w:jc w:val="both"/>
              <w:rPr>
                <w:rFonts w:cs="Times New Roman"/>
                <w:szCs w:val="24"/>
              </w:rPr>
            </w:pPr>
            <w:r w:rsidRPr="00F10C37">
              <w:rPr>
                <w:rFonts w:cs="Times New Roman"/>
                <w:szCs w:val="24"/>
              </w:rPr>
              <w:t>Store between 15°C and 30°C.</w:t>
            </w:r>
          </w:p>
        </w:tc>
      </w:tr>
      <w:tr w:rsidR="0053763D" w:rsidRPr="00F10C37" w14:paraId="062874C6" w14:textId="77777777" w:rsidTr="00C46407">
        <w:trPr>
          <w:trHeight w:val="512"/>
        </w:trPr>
        <w:tc>
          <w:tcPr>
            <w:tcW w:w="9355" w:type="dxa"/>
            <w:gridSpan w:val="3"/>
          </w:tcPr>
          <w:p w14:paraId="4A2B9CBA" w14:textId="77777777" w:rsidR="0053763D" w:rsidRPr="00F10C37" w:rsidRDefault="0053763D" w:rsidP="00C46407">
            <w:pPr>
              <w:jc w:val="both"/>
              <w:rPr>
                <w:rFonts w:cs="Times New Roman"/>
                <w:b/>
                <w:szCs w:val="24"/>
              </w:rPr>
            </w:pPr>
            <w:r w:rsidRPr="00F10C37">
              <w:rPr>
                <w:rFonts w:cs="Times New Roman"/>
                <w:b/>
                <w:color w:val="000000"/>
                <w:szCs w:val="24"/>
              </w:rPr>
              <w:t>Ticagrelor</w:t>
            </w:r>
          </w:p>
        </w:tc>
      </w:tr>
      <w:tr w:rsidR="0053763D" w:rsidRPr="00F10C37" w14:paraId="29D87838" w14:textId="77777777" w:rsidTr="00C46407">
        <w:trPr>
          <w:trHeight w:val="512"/>
        </w:trPr>
        <w:tc>
          <w:tcPr>
            <w:tcW w:w="3109" w:type="dxa"/>
            <w:gridSpan w:val="2"/>
          </w:tcPr>
          <w:p w14:paraId="5914844E"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03247CE8" w14:textId="77777777" w:rsidR="0053763D" w:rsidRPr="00F10C37" w:rsidRDefault="0053763D" w:rsidP="00C46407">
            <w:pPr>
              <w:jc w:val="both"/>
              <w:rPr>
                <w:rFonts w:cs="Times New Roman"/>
                <w:szCs w:val="24"/>
              </w:rPr>
            </w:pPr>
            <w:r w:rsidRPr="00F10C37">
              <w:rPr>
                <w:rFonts w:cs="Times New Roman"/>
                <w:szCs w:val="24"/>
              </w:rPr>
              <w:t xml:space="preserve">Antiplatelet </w:t>
            </w:r>
          </w:p>
        </w:tc>
      </w:tr>
      <w:tr w:rsidR="0053763D" w:rsidRPr="00F10C37" w14:paraId="06C7979D" w14:textId="77777777" w:rsidTr="00C46407">
        <w:trPr>
          <w:trHeight w:val="395"/>
        </w:trPr>
        <w:tc>
          <w:tcPr>
            <w:tcW w:w="3109" w:type="dxa"/>
            <w:gridSpan w:val="2"/>
          </w:tcPr>
          <w:p w14:paraId="7088CF10"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4B7C9E09" w14:textId="77777777" w:rsidR="0053763D" w:rsidRPr="00F10C37" w:rsidRDefault="0053763D" w:rsidP="00C46407">
            <w:pPr>
              <w:widowControl w:val="0"/>
              <w:autoSpaceDE w:val="0"/>
              <w:autoSpaceDN w:val="0"/>
              <w:adjustRightInd w:val="0"/>
              <w:jc w:val="both"/>
              <w:rPr>
                <w:rFonts w:cs="Times New Roman"/>
                <w:szCs w:val="24"/>
                <w:lang w:val="nb-NO"/>
              </w:rPr>
            </w:pPr>
            <w:r w:rsidRPr="00F10C37">
              <w:rPr>
                <w:rFonts w:cs="Times New Roman"/>
                <w:color w:val="000000"/>
                <w:szCs w:val="24"/>
              </w:rPr>
              <w:t>Tablet: 60 mg, 90 mg</w:t>
            </w:r>
          </w:p>
        </w:tc>
      </w:tr>
      <w:tr w:rsidR="0053763D" w:rsidRPr="00F10C37" w14:paraId="27CED518" w14:textId="77777777" w:rsidTr="00C46407">
        <w:trPr>
          <w:trHeight w:val="521"/>
        </w:trPr>
        <w:tc>
          <w:tcPr>
            <w:tcW w:w="3109" w:type="dxa"/>
            <w:gridSpan w:val="2"/>
          </w:tcPr>
          <w:p w14:paraId="32101B6E" w14:textId="77777777" w:rsidR="0053763D" w:rsidRPr="00191646" w:rsidRDefault="0053763D" w:rsidP="00C46407">
            <w:pPr>
              <w:jc w:val="both"/>
              <w:rPr>
                <w:rFonts w:cs="Times New Roman"/>
                <w:szCs w:val="24"/>
              </w:rPr>
            </w:pPr>
            <w:r w:rsidRPr="00191646">
              <w:rPr>
                <w:rFonts w:cs="Times New Roman"/>
                <w:szCs w:val="24"/>
              </w:rPr>
              <w:t>Indications</w:t>
            </w:r>
          </w:p>
        </w:tc>
        <w:tc>
          <w:tcPr>
            <w:tcW w:w="6246" w:type="dxa"/>
          </w:tcPr>
          <w:p w14:paraId="2EF92A0C" w14:textId="77777777" w:rsidR="0053763D" w:rsidRPr="00F10C37" w:rsidRDefault="0053763D" w:rsidP="00C46407">
            <w:pPr>
              <w:jc w:val="both"/>
              <w:rPr>
                <w:rFonts w:cs="Times New Roman"/>
                <w:szCs w:val="24"/>
              </w:rPr>
            </w:pPr>
            <w:r w:rsidRPr="00F10C37">
              <w:rPr>
                <w:rFonts w:cs="Times New Roman"/>
                <w:szCs w:val="24"/>
              </w:rPr>
              <w:t>Prevention of atherothrombotic events</w:t>
            </w:r>
            <w:r>
              <w:rPr>
                <w:rFonts w:cs="Times New Roman"/>
                <w:szCs w:val="24"/>
              </w:rPr>
              <w:t>.</w:t>
            </w:r>
            <w:r w:rsidRPr="00F10C37">
              <w:rPr>
                <w:rFonts w:cs="Times New Roman"/>
                <w:szCs w:val="24"/>
              </w:rPr>
              <w:t xml:space="preserve"> </w:t>
            </w:r>
          </w:p>
        </w:tc>
      </w:tr>
      <w:tr w:rsidR="0053763D" w:rsidRPr="00F10C37" w14:paraId="523BBB14" w14:textId="77777777" w:rsidTr="00C46407">
        <w:trPr>
          <w:trHeight w:val="521"/>
        </w:trPr>
        <w:tc>
          <w:tcPr>
            <w:tcW w:w="3109" w:type="dxa"/>
            <w:gridSpan w:val="2"/>
          </w:tcPr>
          <w:p w14:paraId="44D1BF2D"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3DA009CC"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Prevention of atherothrombotic events in patients with acute coronary syndrome (in combination with aspirin)</w:t>
            </w:r>
            <w:r>
              <w:rPr>
                <w:rFonts w:eastAsiaTheme="minorHAnsi" w:cs="Times New Roman"/>
                <w:b/>
                <w:color w:val="231F20"/>
                <w:kern w:val="0"/>
                <w:szCs w:val="24"/>
                <w:lang w:val="en-US" w:eastAsia="en-US"/>
              </w:rPr>
              <w:t>:</w:t>
            </w:r>
            <w:r w:rsidRPr="00F10C37">
              <w:rPr>
                <w:rFonts w:eastAsiaTheme="minorHAnsi" w:cs="Times New Roman"/>
                <w:b/>
                <w:color w:val="231F20"/>
                <w:kern w:val="0"/>
                <w:szCs w:val="24"/>
                <w:lang w:val="en-US" w:eastAsia="en-US"/>
              </w:rPr>
              <w:t xml:space="preserve"> Adult</w:t>
            </w:r>
            <w:r w:rsidRPr="00F10C37">
              <w:rPr>
                <w:rFonts w:eastAsiaTheme="minorHAnsi" w:cs="Times New Roman"/>
                <w:color w:val="231F20"/>
                <w:kern w:val="0"/>
                <w:szCs w:val="24"/>
                <w:lang w:val="en-US" w:eastAsia="en-US"/>
              </w:rPr>
              <w:t>: Initially 180 mg</w:t>
            </w:r>
            <w:r>
              <w:rPr>
                <w:rFonts w:eastAsiaTheme="minorHAnsi" w:cs="Times New Roman"/>
                <w:color w:val="231F20"/>
                <w:kern w:val="0"/>
                <w:szCs w:val="24"/>
                <w:lang w:val="en-US" w:eastAsia="en-US"/>
              </w:rPr>
              <w:t xml:space="preserve"> </w:t>
            </w:r>
            <w:r w:rsidRPr="00F10C37">
              <w:rPr>
                <w:rFonts w:eastAsiaTheme="minorHAnsi" w:cs="Times New Roman"/>
                <w:color w:val="231F20"/>
                <w:kern w:val="0"/>
                <w:szCs w:val="24"/>
                <w:lang w:val="en-US" w:eastAsia="en-US"/>
              </w:rPr>
              <w:t>once, then 90 mg twice daily usually for up to 12 months</w:t>
            </w:r>
            <w:r>
              <w:rPr>
                <w:rFonts w:eastAsiaTheme="minorHAnsi" w:cs="Times New Roman"/>
                <w:color w:val="231F20"/>
                <w:kern w:val="0"/>
                <w:szCs w:val="24"/>
                <w:lang w:val="en-US" w:eastAsia="en-US"/>
              </w:rPr>
              <w:t>.</w:t>
            </w:r>
          </w:p>
          <w:p w14:paraId="3FA4B8E4" w14:textId="77777777" w:rsidR="0053763D" w:rsidRDefault="0053763D" w:rsidP="00C4640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 xml:space="preserve">Prevention of atherothrombotic events in patients with a history of </w:t>
            </w:r>
            <w:r>
              <w:rPr>
                <w:rFonts w:eastAsiaTheme="minorHAnsi" w:cs="Times New Roman"/>
                <w:b/>
                <w:color w:val="231F20"/>
                <w:kern w:val="0"/>
                <w:szCs w:val="24"/>
                <w:lang w:val="en-US" w:eastAsia="en-US"/>
              </w:rPr>
              <w:t>MI</w:t>
            </w:r>
            <w:r w:rsidRPr="00F10C37">
              <w:rPr>
                <w:rFonts w:eastAsiaTheme="minorHAnsi" w:cs="Times New Roman"/>
                <w:b/>
                <w:color w:val="231F20"/>
                <w:kern w:val="0"/>
                <w:szCs w:val="24"/>
                <w:lang w:val="en-US" w:eastAsia="en-US"/>
              </w:rPr>
              <w:t xml:space="preserve"> and a high risk of an atherothrombotic event (in combination with aspirin)</w:t>
            </w:r>
            <w:r>
              <w:rPr>
                <w:rFonts w:eastAsiaTheme="minorHAnsi" w:cs="Times New Roman"/>
                <w:b/>
                <w:color w:val="231F20"/>
                <w:kern w:val="0"/>
                <w:szCs w:val="24"/>
                <w:lang w:val="en-US" w:eastAsia="en-US"/>
              </w:rPr>
              <w:t>:</w:t>
            </w:r>
            <w:r w:rsidRPr="00F10C37">
              <w:rPr>
                <w:rFonts w:eastAsiaTheme="minorHAnsi" w:cs="Times New Roman"/>
                <w:b/>
                <w:color w:val="231F20"/>
                <w:kern w:val="0"/>
                <w:szCs w:val="24"/>
                <w:lang w:val="en-US" w:eastAsia="en-US"/>
              </w:rPr>
              <w:t xml:space="preserve"> </w:t>
            </w:r>
          </w:p>
          <w:p w14:paraId="2D55DE3E" w14:textId="77777777" w:rsidR="0053763D" w:rsidRPr="003D3E3A"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60 mg twice daily, extended treatment may be started without interruption after the initial 12-month therapy for acute coronary syndrome. Treatment may also be initiated up to 2 years from the </w:t>
            </w:r>
            <w:r>
              <w:rPr>
                <w:rFonts w:eastAsiaTheme="minorHAnsi" w:cs="Times New Roman"/>
                <w:color w:val="231F20"/>
                <w:kern w:val="0"/>
                <w:szCs w:val="24"/>
                <w:lang w:val="en-US" w:eastAsia="en-US"/>
              </w:rPr>
              <w:t>MI</w:t>
            </w:r>
            <w:r w:rsidRPr="00F10C37">
              <w:rPr>
                <w:rFonts w:eastAsiaTheme="minorHAnsi" w:cs="Times New Roman"/>
                <w:color w:val="231F20"/>
                <w:kern w:val="0"/>
                <w:szCs w:val="24"/>
                <w:lang w:val="en-US" w:eastAsia="en-US"/>
              </w:rPr>
              <w:t xml:space="preserve">, or within 1 year after stopping previous ADP receptor inhibitor treatment. </w:t>
            </w:r>
          </w:p>
        </w:tc>
      </w:tr>
      <w:tr w:rsidR="0053763D" w:rsidRPr="00F10C37" w14:paraId="2D47EE0E" w14:textId="77777777" w:rsidTr="00C46407">
        <w:tc>
          <w:tcPr>
            <w:tcW w:w="3109" w:type="dxa"/>
            <w:gridSpan w:val="2"/>
          </w:tcPr>
          <w:p w14:paraId="5884BDD7"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246" w:type="dxa"/>
          </w:tcPr>
          <w:p w14:paraId="7773B732"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Active bleeding, history of intracranial hemorrhage</w:t>
            </w:r>
            <w:r>
              <w:rPr>
                <w:rFonts w:eastAsiaTheme="minorHAnsi" w:cs="Times New Roman"/>
                <w:color w:val="231F20"/>
                <w:kern w:val="0"/>
                <w:szCs w:val="24"/>
                <w:lang w:val="en-US" w:eastAsia="en-US"/>
              </w:rPr>
              <w:t>.</w:t>
            </w:r>
          </w:p>
        </w:tc>
      </w:tr>
      <w:tr w:rsidR="0053763D" w:rsidRPr="00F10C37" w14:paraId="71DD3BD1" w14:textId="77777777" w:rsidTr="00C46407">
        <w:tc>
          <w:tcPr>
            <w:tcW w:w="3109" w:type="dxa"/>
            <w:gridSpan w:val="2"/>
          </w:tcPr>
          <w:p w14:paraId="3B845059"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5E0B4830" w14:textId="77777777" w:rsidR="0053763D" w:rsidRPr="00F10C37" w:rsidRDefault="0053763D" w:rsidP="00C46407">
            <w:pPr>
              <w:jc w:val="both"/>
              <w:rPr>
                <w:rFonts w:cs="Times New Roman"/>
                <w:szCs w:val="24"/>
              </w:rPr>
            </w:pPr>
            <w:r w:rsidRPr="00F10C37">
              <w:rPr>
                <w:rFonts w:cs="Times New Roman"/>
                <w:szCs w:val="24"/>
              </w:rPr>
              <w:t>Fluconazole, moclobemide, protease inhibitors, heparin, NSA</w:t>
            </w:r>
            <w:r>
              <w:rPr>
                <w:rFonts w:cs="Times New Roman"/>
                <w:szCs w:val="24"/>
              </w:rPr>
              <w:t>ID</w:t>
            </w:r>
            <w:r w:rsidRPr="00F10C37">
              <w:rPr>
                <w:rFonts w:cs="Times New Roman"/>
                <w:szCs w:val="24"/>
              </w:rPr>
              <w:t xml:space="preserve">s, fluoxetine, grapefruit juice, pioglitazone, proton pump inhibitors, rosuvastatin, rifampicin, anticoagulants, taxanes. </w:t>
            </w:r>
          </w:p>
        </w:tc>
      </w:tr>
      <w:tr w:rsidR="0053763D" w:rsidRPr="00F10C37" w14:paraId="6F0F6B1A" w14:textId="77777777" w:rsidTr="00C46407">
        <w:tc>
          <w:tcPr>
            <w:tcW w:w="3109" w:type="dxa"/>
            <w:gridSpan w:val="2"/>
          </w:tcPr>
          <w:p w14:paraId="4F4CADB9" w14:textId="77777777" w:rsidR="0053763D" w:rsidRPr="00F10C37" w:rsidRDefault="0053763D" w:rsidP="00C46407">
            <w:pPr>
              <w:jc w:val="both"/>
              <w:rPr>
                <w:rFonts w:cs="Times New Roman"/>
                <w:szCs w:val="24"/>
              </w:rPr>
            </w:pPr>
            <w:r w:rsidRPr="00F10C37">
              <w:rPr>
                <w:rFonts w:cs="Times New Roman"/>
                <w:szCs w:val="24"/>
              </w:rPr>
              <w:t>Side effects</w:t>
            </w:r>
          </w:p>
        </w:tc>
        <w:tc>
          <w:tcPr>
            <w:tcW w:w="6246" w:type="dxa"/>
          </w:tcPr>
          <w:p w14:paraId="4BB16228"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Constipation, diarrhea, dizziness, dyspepsia, dyspnea, gout, gouty arthritis, hemorrhage, headache, hyperuricemia, hypotension, nausea, skin reactions, syncope, vertigo, angioedema, confusion, intracranial hemorrhage.</w:t>
            </w:r>
          </w:p>
        </w:tc>
      </w:tr>
      <w:tr w:rsidR="0053763D" w:rsidRPr="00F10C37" w14:paraId="0B3A2BA9" w14:textId="77777777" w:rsidTr="00C46407">
        <w:tc>
          <w:tcPr>
            <w:tcW w:w="3109" w:type="dxa"/>
            <w:gridSpan w:val="2"/>
          </w:tcPr>
          <w:p w14:paraId="3D8CA4BB"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57985D25" w14:textId="77777777" w:rsidR="0053763D" w:rsidRPr="00F10C37" w:rsidRDefault="0053763D" w:rsidP="00C4640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Asthma, bradycardia, chronic obstructive pulmonary disease, history of hyperuricemia, patients at increased risk of bleeding (e.g. from recent trauma, surgery, gastrointestinal bleeding, or coagulation disorders), second- or third-degree AV block, sick sinus syndrome, hepatic impairment, pregnancy</w:t>
            </w:r>
            <w:r>
              <w:rPr>
                <w:rFonts w:eastAsiaTheme="minorHAnsi" w:cs="Times New Roman"/>
                <w:color w:val="231F20"/>
                <w:kern w:val="0"/>
                <w:szCs w:val="24"/>
                <w:lang w:val="en-US" w:eastAsia="en-US"/>
              </w:rPr>
              <w:t>,</w:t>
            </w:r>
            <w:r w:rsidRPr="00F10C37">
              <w:rPr>
                <w:rFonts w:eastAsiaTheme="minorHAnsi" w:cs="Times New Roman"/>
                <w:color w:val="231F20"/>
                <w:kern w:val="0"/>
                <w:szCs w:val="24"/>
                <w:lang w:val="en-US" w:eastAsia="en-US"/>
              </w:rPr>
              <w:t xml:space="preserve"> breastfeeding</w:t>
            </w:r>
            <w:r>
              <w:rPr>
                <w:rFonts w:eastAsiaTheme="minorHAnsi" w:cs="Times New Roman"/>
                <w:color w:val="231F20"/>
                <w:kern w:val="0"/>
                <w:szCs w:val="24"/>
                <w:lang w:val="en-US" w:eastAsia="en-US"/>
              </w:rPr>
              <w:t>.</w:t>
            </w:r>
          </w:p>
        </w:tc>
      </w:tr>
      <w:tr w:rsidR="0053763D" w:rsidRPr="00F10C37" w14:paraId="14616BEA" w14:textId="77777777" w:rsidTr="00C46407">
        <w:tc>
          <w:tcPr>
            <w:tcW w:w="3109" w:type="dxa"/>
            <w:gridSpan w:val="2"/>
          </w:tcPr>
          <w:p w14:paraId="51A9B65B"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76C5913B" w14:textId="77777777" w:rsidR="0053763D" w:rsidRPr="00F10C37" w:rsidRDefault="0053763D" w:rsidP="00C46407">
            <w:pPr>
              <w:jc w:val="both"/>
              <w:rPr>
                <w:rFonts w:cs="Times New Roman"/>
                <w:szCs w:val="24"/>
              </w:rPr>
            </w:pPr>
            <w:r w:rsidRPr="00F10C37">
              <w:rPr>
                <w:rFonts w:cs="Times New Roman"/>
                <w:szCs w:val="24"/>
              </w:rPr>
              <w:t>Store between 15°C and 30°C.</w:t>
            </w:r>
          </w:p>
        </w:tc>
      </w:tr>
    </w:tbl>
    <w:p w14:paraId="78759DA3" w14:textId="77777777" w:rsidR="0053763D" w:rsidRPr="00B76A4B" w:rsidRDefault="0053763D" w:rsidP="00910906">
      <w:pPr>
        <w:pStyle w:val="Heading2"/>
        <w:spacing w:before="240" w:after="240"/>
      </w:pPr>
      <w:bookmarkStart w:id="38" w:name="_Toc179490322"/>
      <w:r w:rsidRPr="00B76A4B">
        <w:t>Thrombolytic agents</w:t>
      </w:r>
      <w:bookmarkEnd w:id="38"/>
    </w:p>
    <w:p w14:paraId="532D67CE" w14:textId="77777777" w:rsidR="0053763D" w:rsidRPr="007B4D29" w:rsidRDefault="0053763D" w:rsidP="0053763D">
      <w:pPr>
        <w:autoSpaceDE w:val="0"/>
        <w:autoSpaceDN w:val="0"/>
        <w:adjustRightInd w:val="0"/>
        <w:spacing w:after="0"/>
        <w:jc w:val="both"/>
        <w:rPr>
          <w:rFonts w:eastAsiaTheme="minorHAnsi" w:cs="Times New Roman"/>
          <w:color w:val="231F20"/>
          <w:kern w:val="0"/>
          <w:szCs w:val="24"/>
          <w:lang w:val="en-US" w:eastAsia="en-US"/>
        </w:rPr>
      </w:pPr>
      <w:r w:rsidRPr="003D3E3A">
        <w:rPr>
          <w:rFonts w:cs="Times New Roman"/>
          <w:szCs w:val="24"/>
        </w:rPr>
        <w:t xml:space="preserve">Thrombolytic agents are medications used to dissolve blood clots that can cause serious medical conditions such as heart attacks, strokes, or pulmonary embolisms. They work by breaking down fibrin, a protein that helps form blood clots. </w:t>
      </w:r>
      <w:r>
        <w:rPr>
          <w:rFonts w:cs="Times New Roman"/>
          <w:szCs w:val="24"/>
        </w:rPr>
        <w:t>These</w:t>
      </w:r>
      <w:r w:rsidRPr="007B4D29">
        <w:rPr>
          <w:rFonts w:cs="Times New Roman"/>
          <w:szCs w:val="24"/>
        </w:rPr>
        <w:t xml:space="preserve"> agents can generally be used in the treatment of selected cases of acute myocardial infarction</w:t>
      </w:r>
      <w:r w:rsidRPr="003D3E3A">
        <w:rPr>
          <w:rFonts w:cs="Times New Roman"/>
          <w:szCs w:val="24"/>
        </w:rPr>
        <w:t xml:space="preserve">, </w:t>
      </w:r>
      <w:r w:rsidRPr="007B4D29">
        <w:rPr>
          <w:rFonts w:cs="Times New Roman"/>
          <w:szCs w:val="24"/>
        </w:rPr>
        <w:t>acute severe pulmonary thromboembolism</w:t>
      </w:r>
      <w:r w:rsidRPr="003D3E3A">
        <w:rPr>
          <w:rFonts w:cs="Times New Roman"/>
          <w:szCs w:val="24"/>
        </w:rPr>
        <w:t xml:space="preserve">, </w:t>
      </w:r>
      <w:r w:rsidRPr="007B4D29">
        <w:rPr>
          <w:rFonts w:cs="Times New Roman"/>
          <w:szCs w:val="24"/>
        </w:rPr>
        <w:t>acute arterial thrombosis and thromboembolism</w:t>
      </w:r>
      <w:r w:rsidRPr="003D3E3A">
        <w:rPr>
          <w:rFonts w:cs="Times New Roman"/>
          <w:szCs w:val="24"/>
        </w:rPr>
        <w:t xml:space="preserve">, </w:t>
      </w:r>
      <w:r w:rsidRPr="007B4D29">
        <w:rPr>
          <w:rFonts w:cs="Times New Roman"/>
          <w:szCs w:val="24"/>
        </w:rPr>
        <w:t>severe deep-vein thrombosis and clearance of arteriovenous catheters and cannula.</w:t>
      </w:r>
      <w:r w:rsidRPr="007B4D29">
        <w:rPr>
          <w:rFonts w:eastAsiaTheme="minorHAnsi" w:cs="Times New Roman"/>
          <w:color w:val="231F20"/>
          <w:kern w:val="0"/>
          <w:szCs w:val="24"/>
          <w:lang w:val="en-US" w:eastAsia="en-US"/>
        </w:rPr>
        <w:t xml:space="preserve"> Trials have shown that </w:t>
      </w:r>
      <w:r>
        <w:rPr>
          <w:rFonts w:eastAsiaTheme="minorHAnsi" w:cs="Times New Roman"/>
          <w:color w:val="231F20"/>
          <w:kern w:val="0"/>
          <w:szCs w:val="24"/>
          <w:lang w:val="en-US" w:eastAsia="en-US"/>
        </w:rPr>
        <w:t xml:space="preserve">the benefit of thromobolytic agents </w:t>
      </w:r>
      <w:r w:rsidRPr="007B4D29">
        <w:rPr>
          <w:rFonts w:eastAsiaTheme="minorHAnsi" w:cs="Times New Roman"/>
          <w:color w:val="231F20"/>
          <w:kern w:val="0"/>
          <w:szCs w:val="24"/>
          <w:lang w:val="en-US" w:eastAsia="en-US"/>
        </w:rPr>
        <w:t xml:space="preserve">is greatest in those with ECG changes that include ST segment elevation and in patients with bundle branch block. </w:t>
      </w:r>
      <w:r w:rsidRPr="007B4D29">
        <w:rPr>
          <w:rFonts w:eastAsiaTheme="minorHAnsi" w:cs="Times New Roman"/>
          <w:color w:val="231F20"/>
          <w:szCs w:val="24"/>
        </w:rPr>
        <w:t xml:space="preserve">Alteplase and streptokinase </w:t>
      </w:r>
      <w:r>
        <w:rPr>
          <w:rFonts w:eastAsiaTheme="minorHAnsi" w:cs="Times New Roman"/>
          <w:color w:val="231F20"/>
          <w:szCs w:val="24"/>
        </w:rPr>
        <w:t>are commonly used thromobolytic agents for t</w:t>
      </w:r>
      <w:r w:rsidRPr="007B4D29">
        <w:rPr>
          <w:rFonts w:eastAsiaTheme="minorHAnsi" w:cs="Times New Roman"/>
          <w:color w:val="231F20"/>
          <w:szCs w:val="24"/>
        </w:rPr>
        <w:t>hromboembolic disorders such as deep-vein</w:t>
      </w:r>
      <w:r w:rsidRPr="007B4D29">
        <w:rPr>
          <w:rFonts w:eastAsiaTheme="minorHAnsi" w:cs="Times New Roman"/>
          <w:color w:val="231F20"/>
          <w:kern w:val="0"/>
          <w:szCs w:val="24"/>
          <w:lang w:val="en-US" w:eastAsia="en-US"/>
        </w:rPr>
        <w:t xml:space="preserve"> </w:t>
      </w:r>
      <w:r w:rsidRPr="007B4D29">
        <w:rPr>
          <w:rFonts w:eastAsiaTheme="minorHAnsi" w:cs="Times New Roman"/>
          <w:color w:val="231F20"/>
          <w:szCs w:val="24"/>
        </w:rPr>
        <w:t>thrombosis and pulmonary embolism. Alteplase is also used</w:t>
      </w:r>
      <w:r w:rsidRPr="007B4D29">
        <w:rPr>
          <w:rFonts w:eastAsiaTheme="minorHAnsi" w:cs="Times New Roman"/>
          <w:color w:val="231F20"/>
          <w:kern w:val="0"/>
          <w:szCs w:val="24"/>
          <w:lang w:val="en-US" w:eastAsia="en-US"/>
        </w:rPr>
        <w:t xml:space="preserve"> </w:t>
      </w:r>
      <w:r w:rsidRPr="007B4D29">
        <w:rPr>
          <w:rFonts w:eastAsiaTheme="minorHAnsi" w:cs="Times New Roman"/>
          <w:color w:val="231F20"/>
          <w:szCs w:val="24"/>
        </w:rPr>
        <w:t>for acute ischaemic stroke.</w:t>
      </w:r>
      <w:r w:rsidRPr="007B4D29">
        <w:rPr>
          <w:rFonts w:eastAsiaTheme="minorHAnsi" w:cs="Times New Roman"/>
          <w:color w:val="231F20"/>
          <w:kern w:val="0"/>
          <w:szCs w:val="24"/>
          <w:lang w:val="en-US" w:eastAsia="en-US"/>
        </w:rPr>
        <w:t xml:space="preserve"> </w:t>
      </w:r>
    </w:p>
    <w:p w14:paraId="0FF431C4" w14:textId="77777777" w:rsidR="0053763D" w:rsidRPr="00F10C37" w:rsidRDefault="0053763D" w:rsidP="0053763D">
      <w:pPr>
        <w:spacing w:after="0"/>
        <w:jc w:val="both"/>
        <w:rPr>
          <w:rFonts w:cs="Times New Roman"/>
          <w:b/>
          <w:szCs w:val="24"/>
        </w:rPr>
      </w:pPr>
    </w:p>
    <w:tbl>
      <w:tblPr>
        <w:tblStyle w:val="TableGrid10"/>
        <w:tblW w:w="9355" w:type="dxa"/>
        <w:tblLook w:val="04A0" w:firstRow="1" w:lastRow="0" w:firstColumn="1" w:lastColumn="0" w:noHBand="0" w:noVBand="1"/>
      </w:tblPr>
      <w:tblGrid>
        <w:gridCol w:w="3109"/>
        <w:gridCol w:w="6246"/>
      </w:tblGrid>
      <w:tr w:rsidR="0053763D" w:rsidRPr="00F10C37" w14:paraId="15A40C27" w14:textId="77777777" w:rsidTr="00C46407">
        <w:trPr>
          <w:trHeight w:val="512"/>
        </w:trPr>
        <w:tc>
          <w:tcPr>
            <w:tcW w:w="9355" w:type="dxa"/>
            <w:gridSpan w:val="2"/>
          </w:tcPr>
          <w:p w14:paraId="2625DD35" w14:textId="77777777" w:rsidR="0053763D" w:rsidRPr="00F10C37" w:rsidRDefault="0053763D" w:rsidP="00C46407">
            <w:pPr>
              <w:jc w:val="both"/>
              <w:rPr>
                <w:rFonts w:cs="Times New Roman"/>
                <w:b/>
                <w:szCs w:val="24"/>
              </w:rPr>
            </w:pPr>
            <w:r w:rsidRPr="00F10C37">
              <w:rPr>
                <w:rFonts w:cs="Times New Roman"/>
                <w:b/>
                <w:color w:val="000000"/>
                <w:szCs w:val="24"/>
              </w:rPr>
              <w:t>Alteplase</w:t>
            </w:r>
          </w:p>
        </w:tc>
      </w:tr>
      <w:tr w:rsidR="0053763D" w:rsidRPr="00F10C37" w14:paraId="44432A93" w14:textId="77777777" w:rsidTr="00C46407">
        <w:trPr>
          <w:trHeight w:val="512"/>
        </w:trPr>
        <w:tc>
          <w:tcPr>
            <w:tcW w:w="3109" w:type="dxa"/>
          </w:tcPr>
          <w:p w14:paraId="5172FC19" w14:textId="77777777" w:rsidR="0053763D" w:rsidRPr="00F10C37" w:rsidRDefault="0053763D" w:rsidP="00C46407">
            <w:pPr>
              <w:jc w:val="both"/>
              <w:rPr>
                <w:rFonts w:cs="Times New Roman"/>
                <w:szCs w:val="24"/>
              </w:rPr>
            </w:pPr>
            <w:r w:rsidRPr="00F10C37">
              <w:rPr>
                <w:rFonts w:cs="Times New Roman"/>
                <w:szCs w:val="24"/>
              </w:rPr>
              <w:lastRenderedPageBreak/>
              <w:t>Pharmacological class</w:t>
            </w:r>
          </w:p>
        </w:tc>
        <w:tc>
          <w:tcPr>
            <w:tcW w:w="6246" w:type="dxa"/>
          </w:tcPr>
          <w:p w14:paraId="433E334F" w14:textId="77777777" w:rsidR="0053763D" w:rsidRPr="00F10C37" w:rsidRDefault="0053763D" w:rsidP="00C46407">
            <w:pPr>
              <w:jc w:val="both"/>
              <w:rPr>
                <w:rFonts w:cs="Times New Roman"/>
                <w:szCs w:val="24"/>
              </w:rPr>
            </w:pPr>
            <w:r w:rsidRPr="00F10C37">
              <w:rPr>
                <w:rFonts w:cs="Times New Roman"/>
                <w:szCs w:val="24"/>
              </w:rPr>
              <w:t>Fibrinolytic agent, (rt-PA; Tissue-type plasminogen activator)</w:t>
            </w:r>
          </w:p>
        </w:tc>
      </w:tr>
      <w:tr w:rsidR="0053763D" w:rsidRPr="00F10C37" w14:paraId="330CEE38" w14:textId="77777777" w:rsidTr="00C46407">
        <w:trPr>
          <w:trHeight w:val="395"/>
        </w:trPr>
        <w:tc>
          <w:tcPr>
            <w:tcW w:w="3109" w:type="dxa"/>
          </w:tcPr>
          <w:p w14:paraId="5FC5312D"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2AFC7B24"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Style w:val="fontstyle01"/>
                <w:rFonts w:ascii="Times New Roman" w:hAnsi="Times New Roman" w:cs="Times New Roman"/>
                <w:sz w:val="24"/>
                <w:szCs w:val="24"/>
              </w:rPr>
              <w:t>Powder for injection: 10 mg; 20 mg; 50 mg in vial</w:t>
            </w:r>
            <w:r>
              <w:rPr>
                <w:rStyle w:val="fontstyle01"/>
                <w:rFonts w:ascii="Times New Roman" w:hAnsi="Times New Roman" w:cs="Times New Roman"/>
                <w:sz w:val="24"/>
                <w:szCs w:val="24"/>
              </w:rPr>
              <w:t>.</w:t>
            </w:r>
          </w:p>
        </w:tc>
      </w:tr>
      <w:tr w:rsidR="0053763D" w:rsidRPr="00F10C37" w14:paraId="192FBA01" w14:textId="77777777" w:rsidTr="00C46407">
        <w:trPr>
          <w:trHeight w:val="521"/>
        </w:trPr>
        <w:tc>
          <w:tcPr>
            <w:tcW w:w="3109" w:type="dxa"/>
          </w:tcPr>
          <w:p w14:paraId="121BA187" w14:textId="77777777" w:rsidR="0053763D" w:rsidRPr="006419EF" w:rsidRDefault="0053763D" w:rsidP="00C46407">
            <w:pPr>
              <w:jc w:val="both"/>
              <w:rPr>
                <w:rFonts w:cs="Times New Roman"/>
                <w:szCs w:val="24"/>
              </w:rPr>
            </w:pPr>
            <w:r w:rsidRPr="006419EF">
              <w:rPr>
                <w:rFonts w:cs="Times New Roman"/>
                <w:szCs w:val="24"/>
              </w:rPr>
              <w:t>Indications</w:t>
            </w:r>
          </w:p>
        </w:tc>
        <w:tc>
          <w:tcPr>
            <w:tcW w:w="6246" w:type="dxa"/>
          </w:tcPr>
          <w:p w14:paraId="491080F3" w14:textId="77777777" w:rsidR="0053763D" w:rsidRPr="00F10C37" w:rsidRDefault="0053763D" w:rsidP="00C46407">
            <w:pPr>
              <w:jc w:val="both"/>
              <w:rPr>
                <w:rFonts w:cs="Times New Roman"/>
                <w:szCs w:val="24"/>
              </w:rPr>
            </w:pPr>
            <w:r w:rsidRPr="00F10C37">
              <w:rPr>
                <w:rFonts w:cs="Times New Roman"/>
                <w:szCs w:val="24"/>
              </w:rPr>
              <w:t>Acute MI, pulmonary embolism and ischemic stroke</w:t>
            </w:r>
            <w:r>
              <w:rPr>
                <w:rFonts w:cs="Times New Roman"/>
                <w:szCs w:val="24"/>
              </w:rPr>
              <w:t>.</w:t>
            </w:r>
            <w:r w:rsidRPr="00F10C37">
              <w:rPr>
                <w:rFonts w:cs="Times New Roman"/>
                <w:szCs w:val="24"/>
              </w:rPr>
              <w:t xml:space="preserve"> </w:t>
            </w:r>
          </w:p>
        </w:tc>
      </w:tr>
      <w:tr w:rsidR="0053763D" w:rsidRPr="00F10C37" w14:paraId="76F8D920" w14:textId="77777777" w:rsidTr="00C46407">
        <w:trPr>
          <w:trHeight w:val="521"/>
        </w:trPr>
        <w:tc>
          <w:tcPr>
            <w:tcW w:w="3109" w:type="dxa"/>
          </w:tcPr>
          <w:p w14:paraId="56FF7607"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215FD731" w14:textId="77777777" w:rsidR="0053763D" w:rsidRDefault="0053763D" w:rsidP="00C46407">
            <w:pPr>
              <w:jc w:val="both"/>
              <w:rPr>
                <w:rFonts w:cs="Times New Roman"/>
                <w:b/>
                <w:szCs w:val="24"/>
              </w:rPr>
            </w:pPr>
            <w:r w:rsidRPr="00F10C37">
              <w:rPr>
                <w:rFonts w:cs="Times New Roman"/>
                <w:b/>
                <w:szCs w:val="24"/>
              </w:rPr>
              <w:t xml:space="preserve">Acute MI, accelerated regimen: </w:t>
            </w:r>
          </w:p>
          <w:p w14:paraId="74CF34CF" w14:textId="77777777" w:rsidR="0053763D" w:rsidRDefault="0053763D" w:rsidP="00C46407">
            <w:pPr>
              <w:jc w:val="both"/>
              <w:rPr>
                <w:rFonts w:cs="Times New Roman"/>
                <w:szCs w:val="24"/>
              </w:rPr>
            </w:pPr>
            <w:r w:rsidRPr="00F10C37">
              <w:rPr>
                <w:rFonts w:cs="Times New Roman"/>
                <w:b/>
                <w:szCs w:val="24"/>
              </w:rPr>
              <w:t>Adult (body-weight up to 65 kg):</w:t>
            </w:r>
            <w:r w:rsidRPr="00F10C37">
              <w:rPr>
                <w:rFonts w:cs="Times New Roman"/>
                <w:szCs w:val="24"/>
              </w:rPr>
              <w:t xml:space="preserve"> Initially 15 mg IV to be initiated within 6 hours of symptom onset, followed by (by IV infusion) 0.75 mg/kg, to be given over 30 minutes, then (by IV infusion) 0.5 mg/kg to be given over 60 minutes, maximum total dose of 100 mg administered over 90 minutes</w:t>
            </w:r>
            <w:r>
              <w:rPr>
                <w:rFonts w:cs="Times New Roman"/>
                <w:szCs w:val="24"/>
              </w:rPr>
              <w:t>.</w:t>
            </w:r>
          </w:p>
          <w:p w14:paraId="4C29EA60" w14:textId="77777777" w:rsidR="0053763D" w:rsidRDefault="0053763D" w:rsidP="00C46407">
            <w:pPr>
              <w:jc w:val="both"/>
              <w:rPr>
                <w:rFonts w:cs="Times New Roman"/>
                <w:szCs w:val="24"/>
              </w:rPr>
            </w:pPr>
            <w:r w:rsidRPr="00F10C37">
              <w:rPr>
                <w:rFonts w:cs="Times New Roman"/>
                <w:b/>
                <w:szCs w:val="24"/>
              </w:rPr>
              <w:t>Adult (body-weight 65 kg and above):</w:t>
            </w:r>
            <w:r w:rsidRPr="00F10C37">
              <w:rPr>
                <w:rFonts w:cs="Times New Roman"/>
                <w:szCs w:val="24"/>
              </w:rPr>
              <w:t xml:space="preserve"> Initially 15 mg IV, to be initiated within 6 hours of symptom onset, followed by (by IV infusion) 50 mg, to be given over 30 minutes, then (by IV infusion) 35 mg, to be given over 60 minutes, maximum total dose of 100 mg administered over 90 minutes </w:t>
            </w:r>
          </w:p>
          <w:p w14:paraId="7F114468" w14:textId="77777777" w:rsidR="0053763D" w:rsidRDefault="0053763D" w:rsidP="00C46407">
            <w:pPr>
              <w:jc w:val="both"/>
              <w:rPr>
                <w:rFonts w:cs="Times New Roman"/>
                <w:b/>
                <w:szCs w:val="24"/>
              </w:rPr>
            </w:pPr>
            <w:r w:rsidRPr="00F10C37">
              <w:rPr>
                <w:rFonts w:cs="Times New Roman"/>
                <w:b/>
                <w:szCs w:val="24"/>
              </w:rPr>
              <w:t xml:space="preserve">Acute MI: </w:t>
            </w:r>
          </w:p>
          <w:p w14:paraId="547A3A53" w14:textId="77777777" w:rsidR="0053763D"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10 mg IV, to be initiated within 6–12 hours of symptom onset, followed by (by IV infusion) 50 mg, to be given over 60 minutes, then (by IV infusion) 10 mg for 4 infusions, each 10 mg infusion dose to be given over 30 minutes, total dose of 100 mg over 3 hours; maximum 1.5 mg/kg in patients less than 65 kg</w:t>
            </w:r>
            <w:r>
              <w:rPr>
                <w:rFonts w:cs="Times New Roman"/>
                <w:szCs w:val="24"/>
              </w:rPr>
              <w:t>.</w:t>
            </w:r>
          </w:p>
          <w:p w14:paraId="701C5565" w14:textId="77777777" w:rsidR="0053763D" w:rsidRDefault="0053763D" w:rsidP="00C46407">
            <w:pPr>
              <w:jc w:val="both"/>
              <w:rPr>
                <w:rFonts w:cs="Times New Roman"/>
                <w:b/>
                <w:szCs w:val="24"/>
              </w:rPr>
            </w:pPr>
            <w:r w:rsidRPr="00F10C37">
              <w:rPr>
                <w:rFonts w:cs="Times New Roman"/>
                <w:b/>
                <w:szCs w:val="24"/>
              </w:rPr>
              <w:t xml:space="preserve">Pulmonary embolism: </w:t>
            </w:r>
          </w:p>
          <w:p w14:paraId="0A04FC54"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Initially 10 mg IV, to be given over 1–2 minutes, followed by (by IV infusion) 90 mg, to be given over 2 hours, maximum 1.5 mg/kg in patients less than 65 kg.</w:t>
            </w:r>
          </w:p>
          <w:p w14:paraId="7C50E712" w14:textId="77777777" w:rsidR="0053763D" w:rsidRDefault="0053763D" w:rsidP="00C46407">
            <w:pPr>
              <w:jc w:val="both"/>
              <w:rPr>
                <w:rFonts w:cs="Times New Roman"/>
                <w:b/>
                <w:szCs w:val="24"/>
              </w:rPr>
            </w:pPr>
            <w:r w:rsidRPr="00F10C37">
              <w:rPr>
                <w:rFonts w:cs="Times New Roman"/>
                <w:b/>
                <w:szCs w:val="24"/>
              </w:rPr>
              <w:t xml:space="preserve">Acute ischemic stroke (under specialist neurology physician only): </w:t>
            </w:r>
          </w:p>
          <w:p w14:paraId="46BDA575" w14:textId="77777777" w:rsidR="0053763D" w:rsidRDefault="0053763D" w:rsidP="00C46407">
            <w:pPr>
              <w:jc w:val="both"/>
              <w:rPr>
                <w:rFonts w:cs="Times New Roman"/>
                <w:szCs w:val="24"/>
              </w:rPr>
            </w:pPr>
            <w:r w:rsidRPr="00F10C37">
              <w:rPr>
                <w:rFonts w:cs="Times New Roman"/>
                <w:b/>
                <w:szCs w:val="24"/>
              </w:rPr>
              <w:t>Adult 18–79 years:</w:t>
            </w:r>
            <w:r w:rsidRPr="00F10C37">
              <w:rPr>
                <w:rFonts w:cs="Times New Roman"/>
                <w:szCs w:val="24"/>
              </w:rPr>
              <w:t xml:space="preserve"> Initially 900 </w:t>
            </w:r>
            <w:r>
              <w:rPr>
                <w:rFonts w:cs="Times New Roman"/>
                <w:szCs w:val="24"/>
              </w:rPr>
              <w:t>mcg</w:t>
            </w:r>
            <w:r w:rsidRPr="00F10C37">
              <w:rPr>
                <w:rFonts w:cs="Times New Roman"/>
                <w:szCs w:val="24"/>
              </w:rPr>
              <w:t xml:space="preserve">/kg IV infusion (max. per dose 90 mg), treatment must begin within 4.5 hours of symptom onset, to be given over 60 minutes, the initial 10% </w:t>
            </w:r>
            <w:r w:rsidRPr="00F10C37">
              <w:rPr>
                <w:rFonts w:cs="Times New Roman"/>
                <w:szCs w:val="24"/>
              </w:rPr>
              <w:lastRenderedPageBreak/>
              <w:t>of dose is to be administered by IV injection and the remainder by IV infusion</w:t>
            </w:r>
            <w:r>
              <w:rPr>
                <w:rFonts w:cs="Times New Roman"/>
                <w:szCs w:val="24"/>
              </w:rPr>
              <w:t>.</w:t>
            </w:r>
          </w:p>
          <w:p w14:paraId="74816686" w14:textId="77777777" w:rsidR="0053763D" w:rsidRDefault="0053763D" w:rsidP="00C46407">
            <w:pPr>
              <w:jc w:val="both"/>
              <w:rPr>
                <w:rFonts w:cs="Times New Roman"/>
                <w:szCs w:val="24"/>
              </w:rPr>
            </w:pPr>
            <w:r w:rsidRPr="00F10C37">
              <w:rPr>
                <w:rFonts w:cs="Times New Roman"/>
                <w:b/>
                <w:szCs w:val="24"/>
              </w:rPr>
              <w:t>Thrombolytic treatment of occluded central venous access devices (including those used for hemodialysis):</w:t>
            </w:r>
            <w:r w:rsidRPr="00F10C37">
              <w:rPr>
                <w:rFonts w:cs="Times New Roman"/>
                <w:szCs w:val="24"/>
              </w:rPr>
              <w:t xml:space="preserve"> </w:t>
            </w:r>
          </w:p>
          <w:p w14:paraId="23470789" w14:textId="77777777" w:rsidR="0053763D" w:rsidRPr="00F10C37" w:rsidRDefault="0053763D" w:rsidP="00C46407">
            <w:pPr>
              <w:jc w:val="both"/>
              <w:rPr>
                <w:rFonts w:cs="Times New Roman"/>
                <w:szCs w:val="24"/>
              </w:rPr>
            </w:pPr>
            <w:r w:rsidRPr="003D3E3A">
              <w:rPr>
                <w:rFonts w:cs="Times New Roman"/>
                <w:b/>
                <w:szCs w:val="24"/>
              </w:rPr>
              <w:t>Adult:</w:t>
            </w:r>
            <w:r w:rsidRPr="00F10C37">
              <w:rPr>
                <w:rFonts w:cs="Times New Roman"/>
                <w:szCs w:val="24"/>
              </w:rPr>
              <w:t xml:space="preserve"> (consult product literature)</w:t>
            </w:r>
          </w:p>
        </w:tc>
      </w:tr>
      <w:tr w:rsidR="0053763D" w:rsidRPr="00F10C37" w14:paraId="1CFC05AC" w14:textId="77777777" w:rsidTr="00C46407">
        <w:tc>
          <w:tcPr>
            <w:tcW w:w="3109" w:type="dxa"/>
          </w:tcPr>
          <w:p w14:paraId="43AE8FF8"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246" w:type="dxa"/>
          </w:tcPr>
          <w:p w14:paraId="1AD5F3F0" w14:textId="77777777" w:rsidR="0053763D" w:rsidRPr="00F10C37" w:rsidRDefault="0053763D" w:rsidP="00C46407">
            <w:pPr>
              <w:jc w:val="both"/>
              <w:rPr>
                <w:rFonts w:cs="Times New Roman"/>
                <w:szCs w:val="24"/>
              </w:rPr>
            </w:pPr>
            <w:r>
              <w:rPr>
                <w:rFonts w:cs="Times New Roman"/>
                <w:szCs w:val="24"/>
              </w:rPr>
              <w:t>H</w:t>
            </w:r>
            <w:r w:rsidRPr="00F10C37">
              <w:rPr>
                <w:rFonts w:cs="Times New Roman"/>
                <w:szCs w:val="24"/>
              </w:rPr>
              <w:t>istory of hypersensitivity to gentamicin</w:t>
            </w:r>
            <w:r>
              <w:rPr>
                <w:rFonts w:cs="Times New Roman"/>
                <w:szCs w:val="24"/>
              </w:rPr>
              <w:t>, r</w:t>
            </w:r>
            <w:r w:rsidRPr="00F10C37">
              <w:rPr>
                <w:rFonts w:cs="Times New Roman"/>
                <w:szCs w:val="24"/>
              </w:rPr>
              <w:t xml:space="preserve">ecent delivery, active internal bleeding, history of recent stroke, ischemic stroke within 3 months except when within 4.5 hr, bleeding diathesis, aortic dissection, current severe uncontrolled hypertension, recent (within 3 months) brain injury or facial trauma intracranial or intraspinal surgery or serious head trauma, presence of aneurysms, prior intracranial </w:t>
            </w:r>
            <w:r>
              <w:rPr>
                <w:rFonts w:cs="Times New Roman"/>
                <w:szCs w:val="24"/>
              </w:rPr>
              <w:t>haemorrhage.</w:t>
            </w:r>
          </w:p>
        </w:tc>
      </w:tr>
      <w:tr w:rsidR="0053763D" w:rsidRPr="00F10C37" w14:paraId="539B6A0F" w14:textId="77777777" w:rsidTr="00C46407">
        <w:tc>
          <w:tcPr>
            <w:tcW w:w="3109" w:type="dxa"/>
          </w:tcPr>
          <w:p w14:paraId="0B7255E7"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3C563E28" w14:textId="77777777" w:rsidR="0053763D" w:rsidRPr="00F10C37" w:rsidRDefault="0053763D" w:rsidP="00C46407">
            <w:pPr>
              <w:jc w:val="both"/>
              <w:rPr>
                <w:rFonts w:cs="Times New Roman"/>
                <w:szCs w:val="24"/>
              </w:rPr>
            </w:pPr>
            <w:r w:rsidRPr="00F10C37">
              <w:rPr>
                <w:rFonts w:cs="Times New Roman"/>
                <w:szCs w:val="24"/>
              </w:rPr>
              <w:t>Anticoagulants, acetylsalicylic acid.</w:t>
            </w:r>
          </w:p>
        </w:tc>
      </w:tr>
      <w:tr w:rsidR="0053763D" w:rsidRPr="00F10C37" w14:paraId="18BE2B17" w14:textId="77777777" w:rsidTr="00C46407">
        <w:tc>
          <w:tcPr>
            <w:tcW w:w="3109" w:type="dxa"/>
          </w:tcPr>
          <w:p w14:paraId="0C40A003" w14:textId="77777777" w:rsidR="0053763D" w:rsidRPr="00F10C37" w:rsidRDefault="0053763D" w:rsidP="00C46407">
            <w:pPr>
              <w:jc w:val="both"/>
              <w:rPr>
                <w:rFonts w:cs="Times New Roman"/>
                <w:szCs w:val="24"/>
              </w:rPr>
            </w:pPr>
            <w:r w:rsidRPr="00F10C37">
              <w:rPr>
                <w:rFonts w:cs="Times New Roman"/>
                <w:szCs w:val="24"/>
              </w:rPr>
              <w:t>Side effects</w:t>
            </w:r>
          </w:p>
        </w:tc>
        <w:tc>
          <w:tcPr>
            <w:tcW w:w="6246" w:type="dxa"/>
          </w:tcPr>
          <w:p w14:paraId="26474F69" w14:textId="77777777" w:rsidR="0053763D" w:rsidRPr="00F10C37" w:rsidRDefault="0053763D" w:rsidP="00C4640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Anemia, cholesterol embolization, gastrointestinal bleeding, cardiogenic, shock, pain, intracranial hemorrhage, cardiac reinfarction, h</w:t>
            </w:r>
            <w:r w:rsidRPr="00F10C37">
              <w:rPr>
                <w:rFonts w:cs="Times New Roman"/>
                <w:szCs w:val="24"/>
              </w:rPr>
              <w:t>hypotension, intracranial hemorrhage, pulmonary embolism, pulmonary edema, bruising.</w:t>
            </w:r>
          </w:p>
        </w:tc>
      </w:tr>
      <w:tr w:rsidR="0053763D" w:rsidRPr="00F10C37" w14:paraId="4EAC879E" w14:textId="77777777" w:rsidTr="00C46407">
        <w:tc>
          <w:tcPr>
            <w:tcW w:w="3109" w:type="dxa"/>
          </w:tcPr>
          <w:p w14:paraId="5287D0D2"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3F62DC5C" w14:textId="77777777" w:rsidR="0053763D" w:rsidRPr="00F10C37" w:rsidRDefault="0053763D" w:rsidP="00C46407">
            <w:pPr>
              <w:jc w:val="both"/>
              <w:rPr>
                <w:rFonts w:cs="Times New Roman"/>
                <w:szCs w:val="24"/>
              </w:rPr>
            </w:pPr>
            <w:r w:rsidRPr="00F10C37">
              <w:rPr>
                <w:rFonts w:cs="Times New Roman"/>
                <w:szCs w:val="24"/>
              </w:rPr>
              <w:t>Recent major surgery, severe hepatic</w:t>
            </w:r>
            <w:r>
              <w:rPr>
                <w:rFonts w:cs="Times New Roman"/>
                <w:szCs w:val="24"/>
              </w:rPr>
              <w:t xml:space="preserve"> or </w:t>
            </w:r>
            <w:r w:rsidRPr="00F10C37">
              <w:rPr>
                <w:rFonts w:cs="Times New Roman"/>
                <w:szCs w:val="24"/>
              </w:rPr>
              <w:t>renal dysfunction, acute pericarditis, hemostatic defects, severe thrombophlebitis, cerebrovascular disease, hypertension, p</w:t>
            </w:r>
            <w:r w:rsidRPr="00F10C37">
              <w:rPr>
                <w:rFonts w:cs="Times New Roman"/>
                <w:bCs/>
                <w:szCs w:val="24"/>
              </w:rPr>
              <w:t>regnancy and breastfeeding.</w:t>
            </w:r>
          </w:p>
        </w:tc>
      </w:tr>
      <w:tr w:rsidR="0053763D" w:rsidRPr="00F10C37" w14:paraId="17496B3B" w14:textId="77777777" w:rsidTr="00C46407">
        <w:tc>
          <w:tcPr>
            <w:tcW w:w="3109" w:type="dxa"/>
          </w:tcPr>
          <w:p w14:paraId="4BDB9C34"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43044EA2" w14:textId="77777777" w:rsidR="0053763D" w:rsidRPr="00F10C37" w:rsidRDefault="0053763D" w:rsidP="00C46407">
            <w:pPr>
              <w:jc w:val="both"/>
              <w:rPr>
                <w:rFonts w:cs="Times New Roman"/>
                <w:szCs w:val="24"/>
              </w:rPr>
            </w:pPr>
            <w:r w:rsidRPr="00F10C37">
              <w:rPr>
                <w:rFonts w:cs="Times New Roman"/>
                <w:szCs w:val="24"/>
              </w:rPr>
              <w:t xml:space="preserve">Store under refrigeration (between 2°C and </w:t>
            </w:r>
            <w:r>
              <w:rPr>
                <w:rFonts w:cs="Times New Roman"/>
                <w:szCs w:val="24"/>
              </w:rPr>
              <w:t>8</w:t>
            </w:r>
            <w:r w:rsidRPr="00F10C37">
              <w:rPr>
                <w:rFonts w:cs="Times New Roman"/>
                <w:szCs w:val="24"/>
              </w:rPr>
              <w:t>°C)</w:t>
            </w:r>
            <w:r>
              <w:rPr>
                <w:rFonts w:cs="Times New Roman"/>
                <w:szCs w:val="24"/>
              </w:rPr>
              <w:t>.</w:t>
            </w:r>
            <w:r w:rsidRPr="00F10C37">
              <w:rPr>
                <w:rFonts w:cs="Times New Roman"/>
                <w:szCs w:val="24"/>
              </w:rPr>
              <w:t xml:space="preserve"> Protect from</w:t>
            </w:r>
            <w:r>
              <w:rPr>
                <w:rFonts w:cs="Times New Roman"/>
                <w:szCs w:val="24"/>
              </w:rPr>
              <w:t xml:space="preserve"> </w:t>
            </w:r>
            <w:r w:rsidRPr="00F10C37">
              <w:rPr>
                <w:rFonts w:cs="Times New Roman"/>
                <w:szCs w:val="24"/>
              </w:rPr>
              <w:t>light.</w:t>
            </w:r>
          </w:p>
        </w:tc>
      </w:tr>
      <w:tr w:rsidR="0053763D" w:rsidRPr="00F10C37" w14:paraId="761D2192" w14:textId="77777777" w:rsidTr="00C46407">
        <w:trPr>
          <w:trHeight w:val="512"/>
        </w:trPr>
        <w:tc>
          <w:tcPr>
            <w:tcW w:w="9355" w:type="dxa"/>
            <w:gridSpan w:val="2"/>
          </w:tcPr>
          <w:p w14:paraId="76A369C2" w14:textId="77777777" w:rsidR="0053763D" w:rsidRPr="00F10C37" w:rsidRDefault="0053763D" w:rsidP="00C46407">
            <w:pPr>
              <w:jc w:val="both"/>
              <w:rPr>
                <w:rFonts w:cs="Times New Roman"/>
                <w:b/>
                <w:szCs w:val="24"/>
              </w:rPr>
            </w:pPr>
            <w:r w:rsidRPr="00F10C37">
              <w:rPr>
                <w:rFonts w:cs="Times New Roman"/>
                <w:b/>
                <w:color w:val="000000"/>
                <w:szCs w:val="24"/>
              </w:rPr>
              <w:t xml:space="preserve">Streptokinase </w:t>
            </w:r>
            <w:r w:rsidRPr="00F10C37">
              <w:rPr>
                <w:rFonts w:cs="Times New Roman"/>
                <w:b/>
                <w:color w:val="000000"/>
                <w:szCs w:val="24"/>
              </w:rPr>
              <w:tab/>
            </w:r>
          </w:p>
        </w:tc>
      </w:tr>
      <w:tr w:rsidR="0053763D" w:rsidRPr="00F10C37" w14:paraId="37BBB60E" w14:textId="77777777" w:rsidTr="00C46407">
        <w:trPr>
          <w:trHeight w:val="512"/>
        </w:trPr>
        <w:tc>
          <w:tcPr>
            <w:tcW w:w="3109" w:type="dxa"/>
          </w:tcPr>
          <w:p w14:paraId="569DE608" w14:textId="77777777" w:rsidR="0053763D" w:rsidRPr="00F10C37" w:rsidRDefault="0053763D" w:rsidP="00C46407">
            <w:pPr>
              <w:jc w:val="both"/>
              <w:rPr>
                <w:rFonts w:cs="Times New Roman"/>
                <w:szCs w:val="24"/>
              </w:rPr>
            </w:pPr>
            <w:r w:rsidRPr="00F10C37">
              <w:rPr>
                <w:rFonts w:cs="Times New Roman"/>
                <w:szCs w:val="24"/>
              </w:rPr>
              <w:t>Pharmacological class</w:t>
            </w:r>
          </w:p>
        </w:tc>
        <w:tc>
          <w:tcPr>
            <w:tcW w:w="6246" w:type="dxa"/>
          </w:tcPr>
          <w:p w14:paraId="028EB4D3" w14:textId="77777777" w:rsidR="0053763D" w:rsidRPr="00F10C37" w:rsidRDefault="0053763D" w:rsidP="00C46407">
            <w:pPr>
              <w:jc w:val="both"/>
              <w:rPr>
                <w:rFonts w:cs="Times New Roman"/>
                <w:szCs w:val="24"/>
              </w:rPr>
            </w:pPr>
            <w:r w:rsidRPr="00F10C37">
              <w:rPr>
                <w:rFonts w:cs="Times New Roman"/>
                <w:szCs w:val="24"/>
              </w:rPr>
              <w:t>Fibrinolytic agent, plasminogen activator</w:t>
            </w:r>
          </w:p>
        </w:tc>
      </w:tr>
      <w:tr w:rsidR="0053763D" w:rsidRPr="00F10C37" w14:paraId="3C7ABA57" w14:textId="77777777" w:rsidTr="00C46407">
        <w:trPr>
          <w:trHeight w:val="395"/>
        </w:trPr>
        <w:tc>
          <w:tcPr>
            <w:tcW w:w="3109" w:type="dxa"/>
          </w:tcPr>
          <w:p w14:paraId="374401CB" w14:textId="77777777" w:rsidR="0053763D" w:rsidRPr="00F10C37" w:rsidRDefault="0053763D" w:rsidP="00C46407">
            <w:pPr>
              <w:jc w:val="both"/>
              <w:rPr>
                <w:rFonts w:cs="Times New Roman"/>
                <w:szCs w:val="24"/>
              </w:rPr>
            </w:pPr>
            <w:r w:rsidRPr="00F10C37">
              <w:rPr>
                <w:rFonts w:cs="Times New Roman"/>
                <w:szCs w:val="24"/>
              </w:rPr>
              <w:t>Dosage form</w:t>
            </w:r>
          </w:p>
        </w:tc>
        <w:tc>
          <w:tcPr>
            <w:tcW w:w="6246" w:type="dxa"/>
          </w:tcPr>
          <w:p w14:paraId="470596E5" w14:textId="77777777" w:rsidR="0053763D" w:rsidRPr="00F10C37" w:rsidRDefault="0053763D" w:rsidP="00C46407">
            <w:pPr>
              <w:widowControl w:val="0"/>
              <w:autoSpaceDE w:val="0"/>
              <w:autoSpaceDN w:val="0"/>
              <w:adjustRightInd w:val="0"/>
              <w:jc w:val="both"/>
              <w:rPr>
                <w:rFonts w:cs="Times New Roman"/>
                <w:szCs w:val="24"/>
                <w:lang w:val="en-US"/>
              </w:rPr>
            </w:pPr>
            <w:r w:rsidRPr="00F10C37">
              <w:rPr>
                <w:rFonts w:cs="Times New Roman"/>
                <w:color w:val="000000"/>
                <w:szCs w:val="24"/>
              </w:rPr>
              <w:t>Powder for injection: 1.5 million IU in vial</w:t>
            </w:r>
          </w:p>
        </w:tc>
      </w:tr>
      <w:tr w:rsidR="0053763D" w:rsidRPr="00F10C37" w14:paraId="04152799" w14:textId="77777777" w:rsidTr="00C46407">
        <w:trPr>
          <w:trHeight w:val="521"/>
        </w:trPr>
        <w:tc>
          <w:tcPr>
            <w:tcW w:w="3109" w:type="dxa"/>
          </w:tcPr>
          <w:p w14:paraId="4B4B6BB4" w14:textId="77777777" w:rsidR="0053763D" w:rsidRPr="00DE4BD6" w:rsidRDefault="0053763D" w:rsidP="00C46407">
            <w:pPr>
              <w:jc w:val="both"/>
              <w:rPr>
                <w:rFonts w:cs="Times New Roman"/>
                <w:szCs w:val="24"/>
              </w:rPr>
            </w:pPr>
            <w:r w:rsidRPr="00DE4BD6">
              <w:rPr>
                <w:rFonts w:cs="Times New Roman"/>
                <w:szCs w:val="24"/>
              </w:rPr>
              <w:t>Indications</w:t>
            </w:r>
          </w:p>
        </w:tc>
        <w:tc>
          <w:tcPr>
            <w:tcW w:w="6246" w:type="dxa"/>
          </w:tcPr>
          <w:p w14:paraId="276FB8E6" w14:textId="77777777" w:rsidR="0053763D" w:rsidRPr="00F10C37" w:rsidRDefault="0053763D" w:rsidP="00C46407">
            <w:pPr>
              <w:jc w:val="both"/>
              <w:rPr>
                <w:rFonts w:cs="Times New Roman"/>
                <w:szCs w:val="24"/>
              </w:rPr>
            </w:pPr>
            <w:r w:rsidRPr="00F10C37">
              <w:rPr>
                <w:rFonts w:cs="Times New Roman"/>
                <w:szCs w:val="24"/>
              </w:rPr>
              <w:t>Acute MI, DVT, central retinal venous or arterial thrombosis, pulmonary embolism</w:t>
            </w:r>
          </w:p>
        </w:tc>
      </w:tr>
      <w:tr w:rsidR="0053763D" w:rsidRPr="00F10C37" w14:paraId="022A0F07" w14:textId="77777777" w:rsidTr="00C46407">
        <w:trPr>
          <w:trHeight w:val="521"/>
        </w:trPr>
        <w:tc>
          <w:tcPr>
            <w:tcW w:w="3109" w:type="dxa"/>
          </w:tcPr>
          <w:p w14:paraId="3A9CDC78" w14:textId="77777777" w:rsidR="0053763D" w:rsidRPr="00F10C37" w:rsidRDefault="0053763D" w:rsidP="00C46407">
            <w:pPr>
              <w:jc w:val="both"/>
              <w:rPr>
                <w:rFonts w:cs="Times New Roman"/>
                <w:szCs w:val="24"/>
              </w:rPr>
            </w:pPr>
            <w:r w:rsidRPr="00F10C37">
              <w:rPr>
                <w:rFonts w:eastAsia="Times New Roman" w:cs="Times New Roman"/>
                <w:szCs w:val="24"/>
              </w:rPr>
              <w:t>Dose and administration</w:t>
            </w:r>
          </w:p>
        </w:tc>
        <w:tc>
          <w:tcPr>
            <w:tcW w:w="6246" w:type="dxa"/>
          </w:tcPr>
          <w:p w14:paraId="2EC2B0CD" w14:textId="77777777" w:rsidR="0053763D" w:rsidRDefault="0053763D" w:rsidP="00C46407">
            <w:pPr>
              <w:jc w:val="both"/>
              <w:rPr>
                <w:rFonts w:cs="Times New Roman"/>
                <w:b/>
                <w:szCs w:val="24"/>
              </w:rPr>
            </w:pPr>
            <w:r w:rsidRPr="00F10C37">
              <w:rPr>
                <w:rFonts w:cs="Times New Roman"/>
                <w:b/>
                <w:szCs w:val="24"/>
              </w:rPr>
              <w:t xml:space="preserve">Acute myocardial infarction:  </w:t>
            </w:r>
          </w:p>
          <w:p w14:paraId="7E056DB4" w14:textId="77777777" w:rsidR="0053763D" w:rsidRPr="00F10C37" w:rsidRDefault="0053763D" w:rsidP="00C46407">
            <w:pPr>
              <w:jc w:val="both"/>
              <w:rPr>
                <w:rFonts w:cs="Times New Roman"/>
                <w:szCs w:val="24"/>
              </w:rPr>
            </w:pPr>
            <w:r w:rsidRPr="00F10C37">
              <w:rPr>
                <w:rFonts w:cs="Times New Roman"/>
                <w:b/>
                <w:szCs w:val="24"/>
              </w:rPr>
              <w:lastRenderedPageBreak/>
              <w:t>Adult:</w:t>
            </w:r>
            <w:r w:rsidRPr="00F10C37">
              <w:rPr>
                <w:rFonts w:cs="Times New Roman"/>
                <w:szCs w:val="24"/>
              </w:rPr>
              <w:t xml:space="preserve"> 1,500,000 units as IV infusion, to be initiated within 12 hours of symptom onset, dose to be given over 60 minutes</w:t>
            </w:r>
          </w:p>
          <w:p w14:paraId="314E8C4D" w14:textId="77777777" w:rsidR="0053763D" w:rsidRDefault="0053763D" w:rsidP="00C46407">
            <w:pPr>
              <w:jc w:val="both"/>
              <w:rPr>
                <w:rFonts w:cs="Times New Roman"/>
                <w:b/>
                <w:szCs w:val="24"/>
              </w:rPr>
            </w:pPr>
            <w:r w:rsidRPr="00F10C37">
              <w:rPr>
                <w:rFonts w:cs="Times New Roman"/>
                <w:b/>
                <w:szCs w:val="24"/>
              </w:rPr>
              <w:t xml:space="preserve">Deep-vein thrombosis </w:t>
            </w:r>
            <w:r>
              <w:rPr>
                <w:rFonts w:cs="Times New Roman"/>
                <w:b/>
                <w:szCs w:val="24"/>
              </w:rPr>
              <w:t>or</w:t>
            </w:r>
            <w:r w:rsidRPr="00F10C37">
              <w:rPr>
                <w:rFonts w:cs="Times New Roman"/>
                <w:b/>
                <w:szCs w:val="24"/>
              </w:rPr>
              <w:t xml:space="preserve"> Central retinal venous or arterial thrombosis</w:t>
            </w:r>
            <w:r>
              <w:rPr>
                <w:rFonts w:cs="Times New Roman"/>
                <w:b/>
                <w:szCs w:val="24"/>
              </w:rPr>
              <w:t>:</w:t>
            </w:r>
          </w:p>
          <w:p w14:paraId="2D692DD5"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250,000 units IV infusion, dose to be given over 30 minutes, then 100 000 units every 1 hour for 12 hours for central retinal venous or arterial thrombosis, or for 72 hours for deep-vein thrombosis.</w:t>
            </w:r>
          </w:p>
          <w:p w14:paraId="370FFF46" w14:textId="77777777" w:rsidR="0053763D" w:rsidRDefault="0053763D" w:rsidP="00C46407">
            <w:pPr>
              <w:jc w:val="both"/>
              <w:rPr>
                <w:rFonts w:cs="Times New Roman"/>
                <w:b/>
                <w:szCs w:val="24"/>
              </w:rPr>
            </w:pPr>
            <w:r w:rsidRPr="00F10C37">
              <w:rPr>
                <w:rFonts w:cs="Times New Roman"/>
                <w:b/>
                <w:szCs w:val="24"/>
              </w:rPr>
              <w:t>Pulmonary embolism</w:t>
            </w:r>
            <w:r>
              <w:rPr>
                <w:rFonts w:cs="Times New Roman"/>
                <w:b/>
                <w:szCs w:val="24"/>
              </w:rPr>
              <w:t>:</w:t>
            </w:r>
          </w:p>
          <w:p w14:paraId="7BC0F16D" w14:textId="77777777" w:rsidR="0053763D" w:rsidRPr="00F10C37" w:rsidRDefault="0053763D" w:rsidP="00C46407">
            <w:pPr>
              <w:jc w:val="both"/>
              <w:rPr>
                <w:rFonts w:cs="Times New Roman"/>
                <w:szCs w:val="24"/>
              </w:rPr>
            </w:pPr>
            <w:r w:rsidRPr="00F10C37">
              <w:rPr>
                <w:rFonts w:cs="Times New Roman"/>
                <w:b/>
                <w:szCs w:val="24"/>
              </w:rPr>
              <w:t>Adult:</w:t>
            </w:r>
            <w:r w:rsidRPr="00F10C37">
              <w:rPr>
                <w:rFonts w:cs="Times New Roman"/>
                <w:szCs w:val="24"/>
              </w:rPr>
              <w:t xml:space="preserve"> 250,000 units IV infusion, dose to be given over 30 minutes, then 100,000 units every 1 hour for 24 hours, alternatively 1,500,000 units, dose to be given over 1–2 hours.</w:t>
            </w:r>
          </w:p>
          <w:p w14:paraId="33FACA00" w14:textId="77777777" w:rsidR="0053763D" w:rsidRDefault="0053763D" w:rsidP="00C46407">
            <w:pPr>
              <w:jc w:val="both"/>
              <w:rPr>
                <w:rFonts w:cs="Times New Roman"/>
                <w:b/>
                <w:szCs w:val="24"/>
              </w:rPr>
            </w:pPr>
            <w:r w:rsidRPr="00F10C37">
              <w:rPr>
                <w:rFonts w:cs="Times New Roman"/>
                <w:b/>
                <w:szCs w:val="24"/>
              </w:rPr>
              <w:t xml:space="preserve">Occlusive peripheral arterial disease: </w:t>
            </w:r>
          </w:p>
          <w:p w14:paraId="37242EF4" w14:textId="77777777" w:rsidR="0053763D" w:rsidRPr="00F10C37" w:rsidRDefault="0053763D" w:rsidP="00C46407">
            <w:pPr>
              <w:jc w:val="both"/>
              <w:rPr>
                <w:rFonts w:cs="Times New Roman"/>
                <w:i/>
                <w:szCs w:val="24"/>
              </w:rPr>
            </w:pPr>
            <w:r w:rsidRPr="00F10C37">
              <w:rPr>
                <w:rFonts w:cs="Times New Roman"/>
                <w:b/>
                <w:szCs w:val="24"/>
              </w:rPr>
              <w:t>Adult:</w:t>
            </w:r>
            <w:r w:rsidRPr="00F10C37">
              <w:rPr>
                <w:rFonts w:cs="Times New Roman"/>
                <w:szCs w:val="24"/>
              </w:rPr>
              <w:t xml:space="preserve"> 250,000 units IV infusion, dose to be given over 30 minutes, then 100,000 units every 1 hour for up to 5 days</w:t>
            </w:r>
            <w:r>
              <w:rPr>
                <w:rFonts w:cs="Times New Roman"/>
                <w:szCs w:val="24"/>
              </w:rPr>
              <w:t>.</w:t>
            </w:r>
          </w:p>
        </w:tc>
      </w:tr>
      <w:tr w:rsidR="0053763D" w:rsidRPr="00F10C37" w14:paraId="534C0DC3" w14:textId="77777777" w:rsidTr="00C46407">
        <w:tc>
          <w:tcPr>
            <w:tcW w:w="3109" w:type="dxa"/>
          </w:tcPr>
          <w:p w14:paraId="228F1E7E" w14:textId="77777777" w:rsidR="0053763D" w:rsidRPr="00F10C37" w:rsidRDefault="0053763D" w:rsidP="00C46407">
            <w:pPr>
              <w:jc w:val="both"/>
              <w:rPr>
                <w:rFonts w:cs="Times New Roman"/>
                <w:szCs w:val="24"/>
              </w:rPr>
            </w:pPr>
            <w:r w:rsidRPr="00F10C37">
              <w:rPr>
                <w:rFonts w:cs="Times New Roman"/>
                <w:szCs w:val="24"/>
              </w:rPr>
              <w:lastRenderedPageBreak/>
              <w:t>Contraindications</w:t>
            </w:r>
          </w:p>
        </w:tc>
        <w:tc>
          <w:tcPr>
            <w:tcW w:w="6246" w:type="dxa"/>
          </w:tcPr>
          <w:p w14:paraId="67917BEC" w14:textId="77777777" w:rsidR="0053763D" w:rsidRPr="00F10C37" w:rsidRDefault="0053763D" w:rsidP="00C46407">
            <w:pPr>
              <w:jc w:val="both"/>
              <w:rPr>
                <w:rFonts w:cs="Times New Roman"/>
                <w:szCs w:val="24"/>
              </w:rPr>
            </w:pPr>
            <w:r>
              <w:rPr>
                <w:rFonts w:cs="Times New Roman"/>
                <w:szCs w:val="24"/>
              </w:rPr>
              <w:t>Hypersensetivity to the drug</w:t>
            </w:r>
            <w:r w:rsidRPr="00F10C37">
              <w:rPr>
                <w:rFonts w:cs="Times New Roman"/>
                <w:szCs w:val="24"/>
              </w:rPr>
              <w:t xml:space="preserve"> and in conditions stated in the alteplase contraindication section above. </w:t>
            </w:r>
          </w:p>
        </w:tc>
      </w:tr>
      <w:tr w:rsidR="0053763D" w:rsidRPr="00F10C37" w14:paraId="6EDC6E84" w14:textId="77777777" w:rsidTr="00C46407">
        <w:tc>
          <w:tcPr>
            <w:tcW w:w="3109" w:type="dxa"/>
          </w:tcPr>
          <w:p w14:paraId="27B8C370" w14:textId="77777777" w:rsidR="0053763D" w:rsidRPr="00F10C37" w:rsidRDefault="0053763D" w:rsidP="00C46407">
            <w:pPr>
              <w:jc w:val="both"/>
              <w:rPr>
                <w:rFonts w:cs="Times New Roman"/>
                <w:szCs w:val="24"/>
              </w:rPr>
            </w:pPr>
            <w:r w:rsidRPr="00F10C37">
              <w:rPr>
                <w:rFonts w:cs="Times New Roman"/>
                <w:szCs w:val="24"/>
              </w:rPr>
              <w:t>Drug interactions</w:t>
            </w:r>
          </w:p>
        </w:tc>
        <w:tc>
          <w:tcPr>
            <w:tcW w:w="6246" w:type="dxa"/>
          </w:tcPr>
          <w:p w14:paraId="762E721B" w14:textId="77777777" w:rsidR="0053763D" w:rsidRPr="00F10C37" w:rsidRDefault="0053763D" w:rsidP="00C46407">
            <w:pPr>
              <w:jc w:val="both"/>
              <w:rPr>
                <w:rFonts w:cs="Times New Roman"/>
                <w:szCs w:val="24"/>
              </w:rPr>
            </w:pPr>
            <w:r w:rsidRPr="00F10C37">
              <w:rPr>
                <w:rFonts w:cs="Times New Roman"/>
                <w:szCs w:val="24"/>
              </w:rPr>
              <w:t>Anticoagulants, NSAIDs, or aspirin. Drugs that can reverse effects of streptokinase include aminocaproic acid, aprotinin, and tranexamic acid.</w:t>
            </w:r>
          </w:p>
        </w:tc>
      </w:tr>
      <w:tr w:rsidR="0053763D" w:rsidRPr="00F10C37" w14:paraId="49A0D725" w14:textId="77777777" w:rsidTr="00C46407">
        <w:tc>
          <w:tcPr>
            <w:tcW w:w="3109" w:type="dxa"/>
          </w:tcPr>
          <w:p w14:paraId="1988AFC6" w14:textId="77777777" w:rsidR="0053763D" w:rsidRPr="00F10C37" w:rsidRDefault="0053763D" w:rsidP="00C46407">
            <w:pPr>
              <w:jc w:val="both"/>
              <w:rPr>
                <w:rFonts w:cs="Times New Roman"/>
                <w:szCs w:val="24"/>
              </w:rPr>
            </w:pPr>
            <w:r w:rsidRPr="00F10C37">
              <w:rPr>
                <w:rFonts w:cs="Times New Roman"/>
                <w:szCs w:val="24"/>
              </w:rPr>
              <w:t>Side effects</w:t>
            </w:r>
          </w:p>
        </w:tc>
        <w:tc>
          <w:tcPr>
            <w:tcW w:w="6246" w:type="dxa"/>
          </w:tcPr>
          <w:p w14:paraId="2BCBEF1C" w14:textId="77777777" w:rsidR="0053763D" w:rsidRPr="00F10C37" w:rsidRDefault="0053763D" w:rsidP="00C46407">
            <w:pPr>
              <w:contextualSpacing/>
              <w:jc w:val="both"/>
              <w:rPr>
                <w:rFonts w:cs="Times New Roman"/>
                <w:szCs w:val="24"/>
              </w:rPr>
            </w:pPr>
            <w:r w:rsidRPr="00F10C37">
              <w:rPr>
                <w:rFonts w:cs="Times New Roman"/>
                <w:szCs w:val="24"/>
              </w:rPr>
              <w:t>Arrhythmias, asthenia, diarrhoea, epigastric pain, headache, malaise, pain</w:t>
            </w:r>
          </w:p>
        </w:tc>
      </w:tr>
      <w:tr w:rsidR="0053763D" w:rsidRPr="00F10C37" w14:paraId="0DB8095F" w14:textId="77777777" w:rsidTr="00C46407">
        <w:tc>
          <w:tcPr>
            <w:tcW w:w="3109" w:type="dxa"/>
          </w:tcPr>
          <w:p w14:paraId="3A6A7557" w14:textId="77777777" w:rsidR="0053763D" w:rsidRPr="00F10C37" w:rsidRDefault="0053763D" w:rsidP="00C46407">
            <w:pPr>
              <w:jc w:val="both"/>
              <w:rPr>
                <w:rFonts w:cs="Times New Roman"/>
                <w:szCs w:val="24"/>
              </w:rPr>
            </w:pPr>
            <w:r w:rsidRPr="00F10C37">
              <w:rPr>
                <w:rFonts w:cs="Times New Roman"/>
                <w:szCs w:val="24"/>
              </w:rPr>
              <w:t>Cautions</w:t>
            </w:r>
          </w:p>
        </w:tc>
        <w:tc>
          <w:tcPr>
            <w:tcW w:w="6246" w:type="dxa"/>
          </w:tcPr>
          <w:p w14:paraId="21246EB6" w14:textId="77777777" w:rsidR="0053763D" w:rsidRPr="00F10C37" w:rsidRDefault="0053763D" w:rsidP="00C46407">
            <w:pPr>
              <w:jc w:val="both"/>
              <w:rPr>
                <w:rFonts w:cs="Times New Roman"/>
                <w:szCs w:val="24"/>
              </w:rPr>
            </w:pPr>
            <w:r w:rsidRPr="00F10C37">
              <w:rPr>
                <w:rFonts w:cs="Times New Roman"/>
                <w:szCs w:val="24"/>
              </w:rPr>
              <w:t>Cavernous pulmonary disease, recent streptococcal infections</w:t>
            </w:r>
            <w:r>
              <w:rPr>
                <w:rFonts w:cs="Times New Roman"/>
                <w:szCs w:val="24"/>
              </w:rPr>
              <w:t>.</w:t>
            </w:r>
          </w:p>
        </w:tc>
      </w:tr>
      <w:tr w:rsidR="0053763D" w:rsidRPr="00F10C37" w14:paraId="56C76F52" w14:textId="77777777" w:rsidTr="00C46407">
        <w:tc>
          <w:tcPr>
            <w:tcW w:w="3109" w:type="dxa"/>
          </w:tcPr>
          <w:p w14:paraId="684C3F66" w14:textId="77777777" w:rsidR="0053763D" w:rsidRPr="00F10C37" w:rsidRDefault="0053763D" w:rsidP="00C46407">
            <w:pPr>
              <w:jc w:val="both"/>
              <w:rPr>
                <w:rFonts w:cs="Times New Roman"/>
                <w:szCs w:val="24"/>
              </w:rPr>
            </w:pPr>
            <w:r w:rsidRPr="00F10C37">
              <w:rPr>
                <w:rFonts w:cs="Times New Roman"/>
                <w:szCs w:val="24"/>
              </w:rPr>
              <w:t>Storage condition</w:t>
            </w:r>
          </w:p>
        </w:tc>
        <w:tc>
          <w:tcPr>
            <w:tcW w:w="6246" w:type="dxa"/>
          </w:tcPr>
          <w:p w14:paraId="50292D9B" w14:textId="77777777" w:rsidR="0053763D" w:rsidRPr="00F10C37" w:rsidRDefault="0053763D" w:rsidP="00C46407">
            <w:pPr>
              <w:jc w:val="both"/>
              <w:rPr>
                <w:rFonts w:cs="Times New Roman"/>
                <w:szCs w:val="24"/>
              </w:rPr>
            </w:pPr>
            <w:r w:rsidRPr="00F10C37">
              <w:rPr>
                <w:rFonts w:cs="Times New Roman"/>
                <w:szCs w:val="24"/>
              </w:rPr>
              <w:t xml:space="preserve">Store between 2°C and </w:t>
            </w:r>
            <w:r>
              <w:rPr>
                <w:rFonts w:cs="Times New Roman"/>
                <w:szCs w:val="24"/>
              </w:rPr>
              <w:t>30</w:t>
            </w:r>
            <w:r w:rsidRPr="00F10C37">
              <w:rPr>
                <w:rFonts w:cs="Times New Roman"/>
                <w:szCs w:val="24"/>
              </w:rPr>
              <w:t>°C</w:t>
            </w:r>
            <w:r>
              <w:rPr>
                <w:rFonts w:cs="Times New Roman"/>
                <w:szCs w:val="24"/>
              </w:rPr>
              <w:t>.</w:t>
            </w:r>
            <w:r w:rsidRPr="00F10C37">
              <w:rPr>
                <w:rFonts w:cs="Times New Roman"/>
                <w:szCs w:val="24"/>
              </w:rPr>
              <w:t xml:space="preserve"> </w:t>
            </w:r>
          </w:p>
        </w:tc>
      </w:tr>
    </w:tbl>
    <w:p w14:paraId="3C0678BA" w14:textId="77777777" w:rsidR="0053763D" w:rsidRPr="00F10C37" w:rsidRDefault="0053763D" w:rsidP="0053763D">
      <w:pPr>
        <w:spacing w:after="0"/>
        <w:jc w:val="both"/>
        <w:rPr>
          <w:rFonts w:cs="Times New Roman"/>
          <w:szCs w:val="24"/>
        </w:rPr>
      </w:pPr>
    </w:p>
    <w:p w14:paraId="5F524C8A" w14:textId="77777777" w:rsidR="0053763D" w:rsidRPr="00AA2C4F" w:rsidRDefault="0053763D" w:rsidP="00E837DD">
      <w:pPr>
        <w:spacing w:after="0"/>
        <w:jc w:val="both"/>
        <w:rPr>
          <w:rFonts w:cs="Times New Roman"/>
          <w:szCs w:val="24"/>
        </w:rPr>
      </w:pPr>
    </w:p>
    <w:p w14:paraId="734F2338" w14:textId="77777777" w:rsidR="00E837DD" w:rsidRDefault="00E837DD" w:rsidP="00E837DD">
      <w:pPr>
        <w:spacing w:after="0"/>
        <w:jc w:val="both"/>
        <w:rPr>
          <w:rFonts w:cs="Times New Roman"/>
          <w:szCs w:val="24"/>
        </w:rPr>
      </w:pPr>
    </w:p>
    <w:p w14:paraId="3E071A6C" w14:textId="77777777" w:rsidR="00E837DD" w:rsidRDefault="00E837DD" w:rsidP="00E837DD">
      <w:pPr>
        <w:spacing w:after="0"/>
        <w:jc w:val="both"/>
        <w:rPr>
          <w:rFonts w:cs="Times New Roman"/>
          <w:szCs w:val="24"/>
        </w:rPr>
      </w:pPr>
    </w:p>
    <w:p w14:paraId="318D7D79" w14:textId="77777777" w:rsidR="00142F45" w:rsidRDefault="00142F45" w:rsidP="00E837DD">
      <w:pPr>
        <w:spacing w:after="0"/>
        <w:jc w:val="both"/>
        <w:rPr>
          <w:rFonts w:cs="Times New Roman"/>
          <w:szCs w:val="24"/>
        </w:rPr>
      </w:pPr>
    </w:p>
    <w:p w14:paraId="1C135570" w14:textId="77777777" w:rsidR="00142F45" w:rsidRDefault="00142F45" w:rsidP="00E837DD">
      <w:pPr>
        <w:spacing w:after="0"/>
        <w:jc w:val="both"/>
        <w:rPr>
          <w:rFonts w:cs="Times New Roman"/>
          <w:szCs w:val="24"/>
        </w:rPr>
      </w:pPr>
    </w:p>
    <w:p w14:paraId="2CC1724B" w14:textId="77777777" w:rsidR="00142F45" w:rsidRDefault="00142F45" w:rsidP="00E837DD">
      <w:pPr>
        <w:spacing w:after="0"/>
        <w:jc w:val="both"/>
        <w:rPr>
          <w:rFonts w:cs="Times New Roman"/>
          <w:szCs w:val="24"/>
        </w:rPr>
      </w:pPr>
    </w:p>
    <w:p w14:paraId="144A8176" w14:textId="77777777" w:rsidR="00142F45" w:rsidRDefault="00142F45" w:rsidP="00E837DD">
      <w:pPr>
        <w:spacing w:after="0"/>
        <w:jc w:val="both"/>
        <w:rPr>
          <w:rFonts w:cs="Times New Roman"/>
          <w:szCs w:val="24"/>
        </w:rPr>
      </w:pPr>
    </w:p>
    <w:p w14:paraId="09555A05" w14:textId="77777777" w:rsidR="00142F45" w:rsidRDefault="00142F45" w:rsidP="00E837DD">
      <w:pPr>
        <w:spacing w:after="0"/>
        <w:jc w:val="both"/>
        <w:rPr>
          <w:rFonts w:cs="Times New Roman"/>
          <w:szCs w:val="24"/>
        </w:rPr>
      </w:pPr>
    </w:p>
    <w:p w14:paraId="2A6B369A" w14:textId="77777777" w:rsidR="00142F45" w:rsidRPr="00D25564" w:rsidRDefault="00142F45" w:rsidP="00910906">
      <w:pPr>
        <w:pStyle w:val="Heading1"/>
        <w:numPr>
          <w:ilvl w:val="0"/>
          <w:numId w:val="25"/>
        </w:numPr>
        <w:spacing w:after="240"/>
        <w:rPr>
          <w:rStyle w:val="fontstyle01"/>
          <w:rFonts w:ascii="Times New Roman" w:hAnsi="Times New Roman"/>
          <w:color w:val="auto"/>
          <w:sz w:val="28"/>
          <w:szCs w:val="28"/>
        </w:rPr>
      </w:pPr>
      <w:bookmarkStart w:id="39" w:name="_Toc179490323"/>
      <w:r w:rsidRPr="00D25564">
        <w:rPr>
          <w:rStyle w:val="fontstyle01"/>
          <w:rFonts w:ascii="Times New Roman" w:hAnsi="Times New Roman"/>
          <w:color w:val="auto"/>
          <w:sz w:val="28"/>
          <w:szCs w:val="28"/>
        </w:rPr>
        <w:t>Respiratory Medicines</w:t>
      </w:r>
      <w:bookmarkEnd w:id="39"/>
      <w:r w:rsidRPr="00D25564">
        <w:rPr>
          <w:rStyle w:val="fontstyle01"/>
          <w:rFonts w:ascii="Times New Roman" w:hAnsi="Times New Roman"/>
          <w:color w:val="auto"/>
          <w:sz w:val="28"/>
          <w:szCs w:val="28"/>
        </w:rPr>
        <w:t xml:space="preserve">  </w:t>
      </w:r>
    </w:p>
    <w:p w14:paraId="6E1A820B" w14:textId="77777777" w:rsidR="00142F45" w:rsidRDefault="00142F45" w:rsidP="00142F45">
      <w:pPr>
        <w:pStyle w:val="Default"/>
        <w:spacing w:line="360" w:lineRule="auto"/>
        <w:jc w:val="both"/>
      </w:pPr>
      <w:r w:rsidRPr="00944B15">
        <w:t>Respiratory</w:t>
      </w:r>
      <w:r w:rsidRPr="008D2961">
        <w:t xml:space="preserve"> medicines treat conditions like cough, asthma, and </w:t>
      </w:r>
      <w:r>
        <w:t>Chronic Obstructive Pulmonary Disease (</w:t>
      </w:r>
      <w:r w:rsidRPr="008D2961">
        <w:t>COPD</w:t>
      </w:r>
      <w:r>
        <w:t>)</w:t>
      </w:r>
      <w:r w:rsidRPr="008D2961">
        <w:t>. Non-productive coughs are relieved with suppressants like dextromethorphan, while productive coughs benefit from expectorants like guaifenesin. Asthma management includes beta</w:t>
      </w:r>
      <w:r>
        <w:t xml:space="preserve">-2 </w:t>
      </w:r>
      <w:r w:rsidRPr="008D2961">
        <w:t>agonists and inhaled corticosteroids</w:t>
      </w:r>
      <w:r>
        <w:t xml:space="preserve"> (ICs)</w:t>
      </w:r>
      <w:r w:rsidRPr="008D2961">
        <w:t xml:space="preserve"> for inflammation control and acute attacks. COPD treatment focuses on symptom relief, using bronchodilators like salbutamol, ipratropium, and tiotropium. Oral corticosteroids may be used for severe cases, while mucolytic use remains controversial. Emergency treatments include epinephrine for asthma attacks and magnesium sulfate for severe exacerbations. Aminophylline is essential in neonatal care for managing apnea of prematurity</w:t>
      </w:r>
      <w:r w:rsidRPr="00944B15">
        <w:t>.</w:t>
      </w:r>
    </w:p>
    <w:p w14:paraId="09FBC082" w14:textId="77777777" w:rsidR="00142F45" w:rsidRPr="00FC7D8E" w:rsidRDefault="00142F45" w:rsidP="00FC7D8E">
      <w:pPr>
        <w:pStyle w:val="Heading2"/>
        <w:spacing w:before="240" w:after="240"/>
      </w:pPr>
      <w:bookmarkStart w:id="40" w:name="_Toc179490324"/>
      <w:r w:rsidRPr="00FC7D8E">
        <w:t>Antitussive/</w:t>
      </w:r>
      <w:r w:rsidR="00083673" w:rsidRPr="00FC7D8E">
        <w:t>e</w:t>
      </w:r>
      <w:r w:rsidRPr="00FC7D8E">
        <w:t>xpectorant</w:t>
      </w:r>
      <w:bookmarkEnd w:id="40"/>
    </w:p>
    <w:p w14:paraId="1A14ECE8" w14:textId="77777777" w:rsidR="00142F45" w:rsidRPr="00E702AD" w:rsidRDefault="00142F45" w:rsidP="00142F45">
      <w:pPr>
        <w:autoSpaceDE w:val="0"/>
        <w:autoSpaceDN w:val="0"/>
        <w:adjustRightInd w:val="0"/>
        <w:spacing w:after="0"/>
        <w:jc w:val="both"/>
        <w:rPr>
          <w:rFonts w:eastAsia="Batang" w:cs="Times New Roman"/>
          <w:color w:val="221F1F"/>
          <w:kern w:val="0"/>
          <w:szCs w:val="24"/>
          <w:lang w:val="en-US" w:eastAsia="en-US"/>
        </w:rPr>
      </w:pPr>
      <w:r w:rsidRPr="00944B15">
        <w:rPr>
          <w:rFonts w:cs="Times New Roman"/>
          <w:szCs w:val="24"/>
        </w:rPr>
        <w:t xml:space="preserve">Antitussive </w:t>
      </w:r>
      <w:r w:rsidRPr="00046603">
        <w:rPr>
          <w:rFonts w:cs="Times New Roman"/>
          <w:szCs w:val="24"/>
        </w:rPr>
        <w:t xml:space="preserve">and expectorants help manage cough and clear mucus from the respiratory tract. Cough may result from underlying conditions like asthma, </w:t>
      </w:r>
      <w:r>
        <w:rPr>
          <w:rFonts w:cs="Times New Roman"/>
          <w:szCs w:val="24"/>
        </w:rPr>
        <w:t>gastroesophageal reflux disease (</w:t>
      </w:r>
      <w:r w:rsidRPr="00046603">
        <w:rPr>
          <w:rFonts w:cs="Times New Roman"/>
          <w:szCs w:val="24"/>
        </w:rPr>
        <w:t>GERD</w:t>
      </w:r>
      <w:r>
        <w:rPr>
          <w:rFonts w:cs="Times New Roman"/>
          <w:szCs w:val="24"/>
        </w:rPr>
        <w:t>)</w:t>
      </w:r>
      <w:r w:rsidRPr="00046603">
        <w:rPr>
          <w:rFonts w:cs="Times New Roman"/>
          <w:szCs w:val="24"/>
        </w:rPr>
        <w:t>, or rhinitis, which should be addressed first. It can also be triggered by drugs (e.g.,</w:t>
      </w:r>
      <w:r>
        <w:rPr>
          <w:rFonts w:cs="Times New Roman"/>
          <w:szCs w:val="24"/>
        </w:rPr>
        <w:t xml:space="preserve"> Angiotensin Converting Enzyme (</w:t>
      </w:r>
      <w:r w:rsidRPr="00046603">
        <w:rPr>
          <w:rFonts w:cs="Times New Roman"/>
          <w:szCs w:val="24"/>
        </w:rPr>
        <w:t>ACE</w:t>
      </w:r>
      <w:r>
        <w:rPr>
          <w:rFonts w:cs="Times New Roman"/>
          <w:szCs w:val="24"/>
        </w:rPr>
        <w:t xml:space="preserve">) </w:t>
      </w:r>
      <w:r w:rsidRPr="00046603">
        <w:rPr>
          <w:rFonts w:cs="Times New Roman"/>
          <w:szCs w:val="24"/>
        </w:rPr>
        <w:t>inhibitors</w:t>
      </w:r>
      <w:r>
        <w:rPr>
          <w:rFonts w:cs="Times New Roman"/>
          <w:szCs w:val="24"/>
        </w:rPr>
        <w:t>)</w:t>
      </w:r>
      <w:r w:rsidRPr="00046603">
        <w:rPr>
          <w:rFonts w:cs="Times New Roman"/>
          <w:szCs w:val="24"/>
        </w:rPr>
        <w:t>, smoking, or pollutants, and may have a habitual component. When no cause is found, antitussives and expectorants may be used. Dextromethorphan and codeine are common antitussives, with dextromethorphan for mild cough and codeine for more severe cases. Guaifenesin, an expectorant, thins mucus, aiding its expulsion and improving breathing. These medicines provide comprehensive options for managing both productive and non-productive coughs.</w:t>
      </w:r>
    </w:p>
    <w:p w14:paraId="2FD1442B" w14:textId="77777777" w:rsidR="00142F45" w:rsidRPr="00944B15" w:rsidRDefault="00142F45" w:rsidP="00142F45">
      <w:pPr>
        <w:spacing w:after="0"/>
        <w:jc w:val="both"/>
        <w:rPr>
          <w:rFonts w:cs="Times New Roman"/>
          <w:szCs w:val="24"/>
        </w:rPr>
      </w:pPr>
    </w:p>
    <w:tbl>
      <w:tblPr>
        <w:tblStyle w:val="TableGrid"/>
        <w:tblW w:w="9355" w:type="dxa"/>
        <w:tblLook w:val="04A0" w:firstRow="1" w:lastRow="0" w:firstColumn="1" w:lastColumn="0" w:noHBand="0" w:noVBand="1"/>
      </w:tblPr>
      <w:tblGrid>
        <w:gridCol w:w="2695"/>
        <w:gridCol w:w="6660"/>
      </w:tblGrid>
      <w:tr w:rsidR="00142F45" w:rsidRPr="00BA35DF" w14:paraId="12470041" w14:textId="77777777" w:rsidTr="00C46407">
        <w:trPr>
          <w:trHeight w:val="46"/>
        </w:trPr>
        <w:tc>
          <w:tcPr>
            <w:tcW w:w="9355" w:type="dxa"/>
            <w:gridSpan w:val="2"/>
          </w:tcPr>
          <w:p w14:paraId="0A30EED4" w14:textId="77777777" w:rsidR="00142F45" w:rsidRPr="00BA35DF" w:rsidRDefault="00142F45" w:rsidP="00C46407">
            <w:pPr>
              <w:jc w:val="both"/>
              <w:rPr>
                <w:rFonts w:cs="Times New Roman"/>
                <w:b/>
                <w:bCs/>
                <w:szCs w:val="24"/>
              </w:rPr>
            </w:pPr>
            <w:bookmarkStart w:id="41" w:name="_Toc168315202"/>
            <w:r w:rsidRPr="00BA35DF">
              <w:rPr>
                <w:rFonts w:cs="Times New Roman"/>
                <w:b/>
                <w:bCs/>
                <w:szCs w:val="24"/>
              </w:rPr>
              <w:t>Codeine</w:t>
            </w:r>
            <w:bookmarkEnd w:id="41"/>
          </w:p>
        </w:tc>
      </w:tr>
      <w:tr w:rsidR="00142F45" w:rsidRPr="00BA35DF" w14:paraId="2362941E" w14:textId="77777777" w:rsidTr="00C46407">
        <w:tc>
          <w:tcPr>
            <w:tcW w:w="2695" w:type="dxa"/>
          </w:tcPr>
          <w:p w14:paraId="48E16ACB" w14:textId="77777777" w:rsidR="00142F45" w:rsidRPr="00BA35DF" w:rsidRDefault="00142F45" w:rsidP="00C46407">
            <w:pPr>
              <w:rPr>
                <w:rFonts w:cs="Times New Roman"/>
                <w:szCs w:val="24"/>
              </w:rPr>
            </w:pPr>
            <w:r w:rsidRPr="00BA35DF">
              <w:rPr>
                <w:rFonts w:cs="Times New Roman"/>
                <w:szCs w:val="24"/>
              </w:rPr>
              <w:t xml:space="preserve">Pharmacological class </w:t>
            </w:r>
          </w:p>
        </w:tc>
        <w:tc>
          <w:tcPr>
            <w:tcW w:w="6660" w:type="dxa"/>
          </w:tcPr>
          <w:p w14:paraId="0ACADBE5" w14:textId="77777777" w:rsidR="00142F45" w:rsidRPr="00BA35DF" w:rsidRDefault="00142F45" w:rsidP="00C46407">
            <w:pPr>
              <w:jc w:val="both"/>
              <w:rPr>
                <w:rFonts w:cs="Times New Roman"/>
                <w:color w:val="231F20"/>
                <w:szCs w:val="24"/>
              </w:rPr>
            </w:pPr>
            <w:r w:rsidRPr="00BA35DF">
              <w:rPr>
                <w:rFonts w:cs="Times New Roman"/>
                <w:color w:val="231F20"/>
                <w:szCs w:val="24"/>
              </w:rPr>
              <w:t xml:space="preserve">Opioid </w:t>
            </w:r>
            <w:r>
              <w:rPr>
                <w:rFonts w:cs="Times New Roman"/>
                <w:color w:val="231F20"/>
                <w:szCs w:val="24"/>
              </w:rPr>
              <w:t>a</w:t>
            </w:r>
            <w:r w:rsidRPr="00BA35DF">
              <w:rPr>
                <w:rFonts w:cs="Times New Roman"/>
                <w:color w:val="231F20"/>
                <w:szCs w:val="24"/>
              </w:rPr>
              <w:t>nalgesic</w:t>
            </w:r>
          </w:p>
        </w:tc>
      </w:tr>
      <w:tr w:rsidR="00142F45" w:rsidRPr="00BA35DF" w14:paraId="58329728" w14:textId="77777777" w:rsidTr="00C46407">
        <w:tc>
          <w:tcPr>
            <w:tcW w:w="2695" w:type="dxa"/>
          </w:tcPr>
          <w:p w14:paraId="17D91805" w14:textId="77777777" w:rsidR="00142F45" w:rsidRPr="00BA35DF" w:rsidRDefault="00142F45" w:rsidP="00C46407">
            <w:pPr>
              <w:rPr>
                <w:rFonts w:cs="Times New Roman"/>
                <w:szCs w:val="24"/>
              </w:rPr>
            </w:pPr>
            <w:r w:rsidRPr="00BA35DF">
              <w:rPr>
                <w:rFonts w:cs="Times New Roman"/>
                <w:szCs w:val="24"/>
              </w:rPr>
              <w:t>Dosage form</w:t>
            </w:r>
          </w:p>
        </w:tc>
        <w:tc>
          <w:tcPr>
            <w:tcW w:w="6660" w:type="dxa"/>
          </w:tcPr>
          <w:p w14:paraId="7E7B387A" w14:textId="77777777" w:rsidR="00142F45" w:rsidRPr="00BA35DF" w:rsidRDefault="00142F45" w:rsidP="00C46407">
            <w:pPr>
              <w:jc w:val="both"/>
              <w:rPr>
                <w:rFonts w:cs="Times New Roman"/>
                <w:szCs w:val="24"/>
              </w:rPr>
            </w:pPr>
            <w:r w:rsidRPr="00BA35DF">
              <w:rPr>
                <w:rFonts w:cs="Times New Roman"/>
                <w:szCs w:val="24"/>
                <w:lang w:val="nb-NO"/>
              </w:rPr>
              <w:t xml:space="preserve">Tablet: 30mg </w:t>
            </w:r>
            <w:r w:rsidRPr="00BA35DF">
              <w:rPr>
                <w:rFonts w:cs="Times New Roman"/>
                <w:szCs w:val="24"/>
              </w:rPr>
              <w:t xml:space="preserve"> (phosphate) </w:t>
            </w:r>
          </w:p>
        </w:tc>
      </w:tr>
      <w:tr w:rsidR="00142F45" w:rsidRPr="00BA35DF" w14:paraId="734EB8A6" w14:textId="77777777" w:rsidTr="00C46407">
        <w:tc>
          <w:tcPr>
            <w:tcW w:w="2695" w:type="dxa"/>
          </w:tcPr>
          <w:p w14:paraId="27DDB6AB" w14:textId="77777777" w:rsidR="00142F45" w:rsidRPr="00BA35DF" w:rsidRDefault="00142F45" w:rsidP="00C46407">
            <w:pPr>
              <w:rPr>
                <w:rFonts w:cs="Times New Roman"/>
                <w:szCs w:val="24"/>
              </w:rPr>
            </w:pPr>
            <w:r w:rsidRPr="00BA35DF">
              <w:rPr>
                <w:rFonts w:cs="Times New Roman"/>
                <w:szCs w:val="24"/>
              </w:rPr>
              <w:t>Indications</w:t>
            </w:r>
          </w:p>
        </w:tc>
        <w:tc>
          <w:tcPr>
            <w:tcW w:w="6660" w:type="dxa"/>
          </w:tcPr>
          <w:p w14:paraId="7FB58F7D" w14:textId="77777777" w:rsidR="00142F45" w:rsidRPr="00BA35DF" w:rsidRDefault="00142F45" w:rsidP="00C46407">
            <w:pPr>
              <w:jc w:val="both"/>
              <w:rPr>
                <w:rFonts w:cs="Times New Roman"/>
                <w:szCs w:val="24"/>
              </w:rPr>
            </w:pPr>
            <w:r w:rsidRPr="00BA35DF">
              <w:rPr>
                <w:rFonts w:cs="Times New Roman"/>
                <w:szCs w:val="24"/>
              </w:rPr>
              <w:t>Antitussive in lower doses and treat mild to moderate pain</w:t>
            </w:r>
          </w:p>
        </w:tc>
      </w:tr>
      <w:tr w:rsidR="00142F45" w:rsidRPr="00BA35DF" w14:paraId="2FB57D6A" w14:textId="77777777" w:rsidTr="00C46407">
        <w:tc>
          <w:tcPr>
            <w:tcW w:w="2695" w:type="dxa"/>
          </w:tcPr>
          <w:p w14:paraId="2E0EBD74" w14:textId="77777777" w:rsidR="00142F45" w:rsidRPr="00BA35DF" w:rsidRDefault="00142F45" w:rsidP="00C46407">
            <w:pPr>
              <w:rPr>
                <w:rFonts w:cs="Times New Roman"/>
                <w:szCs w:val="24"/>
              </w:rPr>
            </w:pPr>
            <w:r w:rsidRPr="00BA35DF">
              <w:rPr>
                <w:rFonts w:cs="Times New Roman"/>
                <w:szCs w:val="24"/>
              </w:rPr>
              <w:t xml:space="preserve">Dose and </w:t>
            </w:r>
            <w:r>
              <w:rPr>
                <w:rFonts w:cs="Times New Roman"/>
                <w:szCs w:val="24"/>
              </w:rPr>
              <w:t>a</w:t>
            </w:r>
            <w:r w:rsidRPr="00BA35DF">
              <w:rPr>
                <w:rFonts w:cs="Times New Roman"/>
                <w:szCs w:val="24"/>
              </w:rPr>
              <w:t>dministration</w:t>
            </w:r>
          </w:p>
        </w:tc>
        <w:tc>
          <w:tcPr>
            <w:tcW w:w="6660" w:type="dxa"/>
          </w:tcPr>
          <w:p w14:paraId="0686DC71" w14:textId="77777777" w:rsidR="00142F45" w:rsidRPr="00E051C0" w:rsidRDefault="00142F45" w:rsidP="00C46407">
            <w:pPr>
              <w:jc w:val="both"/>
              <w:rPr>
                <w:rFonts w:cs="Times New Roman"/>
                <w:b/>
                <w:bCs/>
                <w:szCs w:val="24"/>
              </w:rPr>
            </w:pPr>
            <w:r w:rsidRPr="00E051C0">
              <w:rPr>
                <w:rFonts w:cs="Times New Roman"/>
                <w:b/>
                <w:bCs/>
                <w:szCs w:val="24"/>
              </w:rPr>
              <w:t xml:space="preserve">Antitussive, Oral: </w:t>
            </w:r>
          </w:p>
          <w:p w14:paraId="7EC39198" w14:textId="77777777" w:rsidR="00142F45" w:rsidRPr="00BA35DF" w:rsidRDefault="00142F45" w:rsidP="00C46407">
            <w:pPr>
              <w:jc w:val="both"/>
              <w:rPr>
                <w:rFonts w:cs="Times New Roman"/>
                <w:iCs/>
                <w:color w:val="000000"/>
                <w:szCs w:val="24"/>
              </w:rPr>
            </w:pPr>
            <w:r w:rsidRPr="00BA35DF">
              <w:rPr>
                <w:rFonts w:cs="Times New Roman"/>
                <w:b/>
                <w:bCs/>
                <w:szCs w:val="24"/>
              </w:rPr>
              <w:lastRenderedPageBreak/>
              <w:t>Adults:</w:t>
            </w:r>
            <w:r w:rsidRPr="00BA35DF">
              <w:rPr>
                <w:rFonts w:cs="Times New Roman"/>
                <w:szCs w:val="24"/>
              </w:rPr>
              <w:t xml:space="preserve"> </w:t>
            </w:r>
            <w:r w:rsidRPr="00BA35DF">
              <w:rPr>
                <w:rFonts w:eastAsia="Batang" w:cs="Times New Roman"/>
                <w:color w:val="221F1F"/>
                <w:kern w:val="0"/>
                <w:szCs w:val="24"/>
                <w:lang w:val="en-US" w:eastAsia="en-US"/>
              </w:rPr>
              <w:t>15–30 mg 3–4 times a day</w:t>
            </w:r>
            <w:r w:rsidRPr="00BA35DF">
              <w:rPr>
                <w:rFonts w:cs="Times New Roman"/>
                <w:szCs w:val="24"/>
              </w:rPr>
              <w:t xml:space="preserve"> Maximum, 120mg in 24 hours. </w:t>
            </w:r>
          </w:p>
        </w:tc>
      </w:tr>
      <w:tr w:rsidR="00142F45" w:rsidRPr="00BA35DF" w14:paraId="06BCE3F0" w14:textId="77777777" w:rsidTr="00C46407">
        <w:tc>
          <w:tcPr>
            <w:tcW w:w="2695" w:type="dxa"/>
          </w:tcPr>
          <w:p w14:paraId="60991576" w14:textId="77777777" w:rsidR="00142F45" w:rsidRPr="00BA35DF" w:rsidRDefault="00142F45" w:rsidP="00C46407">
            <w:pPr>
              <w:rPr>
                <w:rFonts w:cs="Times New Roman"/>
                <w:szCs w:val="24"/>
              </w:rPr>
            </w:pPr>
            <w:r w:rsidRPr="00BA35DF">
              <w:rPr>
                <w:rFonts w:cs="Times New Roman"/>
                <w:szCs w:val="24"/>
              </w:rPr>
              <w:lastRenderedPageBreak/>
              <w:t>Contraindications</w:t>
            </w:r>
          </w:p>
        </w:tc>
        <w:tc>
          <w:tcPr>
            <w:tcW w:w="6660" w:type="dxa"/>
          </w:tcPr>
          <w:p w14:paraId="6BD9346B" w14:textId="77777777" w:rsidR="00142F45" w:rsidRPr="00BA35DF" w:rsidRDefault="00142F45" w:rsidP="00C46407">
            <w:pPr>
              <w:jc w:val="both"/>
              <w:rPr>
                <w:rFonts w:cs="Times New Roman"/>
                <w:szCs w:val="24"/>
              </w:rPr>
            </w:pPr>
            <w:r>
              <w:rPr>
                <w:rFonts w:cs="Times New Roman"/>
                <w:szCs w:val="24"/>
              </w:rPr>
              <w:t>H</w:t>
            </w:r>
            <w:r w:rsidRPr="00BA35DF">
              <w:rPr>
                <w:rFonts w:cs="Times New Roman"/>
                <w:szCs w:val="24"/>
              </w:rPr>
              <w:t xml:space="preserve">ypersensitivity reactions to </w:t>
            </w:r>
            <w:r>
              <w:rPr>
                <w:rFonts w:cs="Times New Roman"/>
                <w:szCs w:val="24"/>
              </w:rPr>
              <w:t xml:space="preserve">the drug and </w:t>
            </w:r>
            <w:r w:rsidRPr="00BA35DF">
              <w:rPr>
                <w:rFonts w:cs="Times New Roman"/>
                <w:szCs w:val="24"/>
              </w:rPr>
              <w:t>other phenanthrene derivative opioid agonists</w:t>
            </w:r>
            <w:r>
              <w:rPr>
                <w:rFonts w:cs="Times New Roman"/>
                <w:szCs w:val="24"/>
              </w:rPr>
              <w:t>, child</w:t>
            </w:r>
            <w:r w:rsidRPr="00BA35DF">
              <w:rPr>
                <w:rFonts w:cs="Times New Roman"/>
                <w:szCs w:val="24"/>
              </w:rPr>
              <w:t xml:space="preserve"> under 12 years old, productive cough, respiratory depression, head injury, acute alcoholism</w:t>
            </w:r>
          </w:p>
        </w:tc>
      </w:tr>
      <w:tr w:rsidR="00142F45" w:rsidRPr="00BA35DF" w14:paraId="37A5E620" w14:textId="77777777" w:rsidTr="00C46407">
        <w:tc>
          <w:tcPr>
            <w:tcW w:w="2695" w:type="dxa"/>
          </w:tcPr>
          <w:p w14:paraId="1781136E" w14:textId="77777777" w:rsidR="00142F45" w:rsidRPr="00BA35DF" w:rsidRDefault="00142F45" w:rsidP="00C46407">
            <w:pPr>
              <w:rPr>
                <w:rFonts w:cs="Times New Roman"/>
                <w:szCs w:val="24"/>
              </w:rPr>
            </w:pPr>
            <w:r w:rsidRPr="00BA35DF">
              <w:rPr>
                <w:rFonts w:cs="Times New Roman"/>
                <w:szCs w:val="24"/>
              </w:rPr>
              <w:t>Drug interactions</w:t>
            </w:r>
          </w:p>
        </w:tc>
        <w:tc>
          <w:tcPr>
            <w:tcW w:w="6660" w:type="dxa"/>
          </w:tcPr>
          <w:p w14:paraId="4DD32100" w14:textId="77777777" w:rsidR="00142F45" w:rsidRPr="00BA35DF" w:rsidRDefault="00142F45" w:rsidP="00C46407">
            <w:pPr>
              <w:jc w:val="both"/>
              <w:rPr>
                <w:rFonts w:cs="Times New Roman"/>
                <w:szCs w:val="24"/>
              </w:rPr>
            </w:pPr>
            <w:r w:rsidRPr="00BA35DF">
              <w:rPr>
                <w:rFonts w:cs="Times New Roman"/>
                <w:szCs w:val="24"/>
              </w:rPr>
              <w:t>Monoamine oxidase inhibitors (MAOIs), CNS depressants (e.g., benzodiazepines, alcohol), anticholinergics, CYP2D6 inhibitors (e.g., fluoxetine, paroxetine)</w:t>
            </w:r>
          </w:p>
        </w:tc>
      </w:tr>
      <w:tr w:rsidR="00142F45" w:rsidRPr="00BA35DF" w14:paraId="44474F3D" w14:textId="77777777" w:rsidTr="00C46407">
        <w:tc>
          <w:tcPr>
            <w:tcW w:w="2695" w:type="dxa"/>
          </w:tcPr>
          <w:p w14:paraId="727A2D64" w14:textId="77777777" w:rsidR="00142F45" w:rsidRPr="00BA35DF" w:rsidRDefault="00142F45" w:rsidP="00C46407">
            <w:pPr>
              <w:rPr>
                <w:rFonts w:cs="Times New Roman"/>
                <w:szCs w:val="24"/>
                <w:shd w:val="clear" w:color="auto" w:fill="FFFFFF"/>
              </w:rPr>
            </w:pPr>
            <w:r w:rsidRPr="00BA35DF">
              <w:rPr>
                <w:rFonts w:cs="Times New Roman"/>
                <w:szCs w:val="24"/>
                <w:shd w:val="clear" w:color="auto" w:fill="FFFFFF"/>
              </w:rPr>
              <w:t>Side effects</w:t>
            </w:r>
          </w:p>
        </w:tc>
        <w:tc>
          <w:tcPr>
            <w:tcW w:w="6660" w:type="dxa"/>
          </w:tcPr>
          <w:p w14:paraId="542C5860" w14:textId="77777777" w:rsidR="00142F45" w:rsidRPr="00BA35DF" w:rsidRDefault="00142F45" w:rsidP="00C46407">
            <w:pPr>
              <w:jc w:val="both"/>
              <w:rPr>
                <w:rFonts w:cs="Times New Roman"/>
                <w:szCs w:val="24"/>
              </w:rPr>
            </w:pPr>
            <w:r w:rsidRPr="00BA35DF">
              <w:rPr>
                <w:rFonts w:cs="Times New Roman"/>
                <w:szCs w:val="24"/>
              </w:rPr>
              <w:t>Constipation, nausea, vomiting, dizziness, sedation, difficulty with micturition, ureteric or biliary spasm, dry oral, headaches, sweating, facial flushing, respiratory depression, circulatory collapse, anaphylactoid reactions, dependence, euphoria</w:t>
            </w:r>
          </w:p>
        </w:tc>
      </w:tr>
      <w:tr w:rsidR="00142F45" w:rsidRPr="00BA35DF" w14:paraId="631C2307" w14:textId="77777777" w:rsidTr="00C46407">
        <w:tc>
          <w:tcPr>
            <w:tcW w:w="2695" w:type="dxa"/>
          </w:tcPr>
          <w:p w14:paraId="7EB7B45E" w14:textId="77777777" w:rsidR="00142F45" w:rsidRPr="00BA35DF" w:rsidRDefault="00142F45" w:rsidP="00C46407">
            <w:pPr>
              <w:rPr>
                <w:rFonts w:cs="Times New Roman"/>
                <w:szCs w:val="24"/>
              </w:rPr>
            </w:pPr>
            <w:r w:rsidRPr="00BA35DF">
              <w:rPr>
                <w:rFonts w:cs="Times New Roman"/>
                <w:szCs w:val="24"/>
              </w:rPr>
              <w:t xml:space="preserve">Cautions </w:t>
            </w:r>
          </w:p>
        </w:tc>
        <w:tc>
          <w:tcPr>
            <w:tcW w:w="6660" w:type="dxa"/>
          </w:tcPr>
          <w:p w14:paraId="688F78DA" w14:textId="77777777" w:rsidR="00142F45" w:rsidRPr="00BA35DF" w:rsidRDefault="00142F45" w:rsidP="00C46407">
            <w:pPr>
              <w:jc w:val="both"/>
              <w:rPr>
                <w:rFonts w:cs="Times New Roman"/>
                <w:szCs w:val="24"/>
              </w:rPr>
            </w:pPr>
            <w:r w:rsidRPr="00BA35DF">
              <w:rPr>
                <w:rFonts w:cs="Times New Roman"/>
                <w:szCs w:val="24"/>
              </w:rPr>
              <w:t>Asthma, hepatic and renal impairment, history of drug abuse, elderly</w:t>
            </w:r>
            <w:r>
              <w:rPr>
                <w:rFonts w:cs="Times New Roman"/>
                <w:szCs w:val="24"/>
              </w:rPr>
              <w:t xml:space="preserve">, </w:t>
            </w:r>
            <w:r w:rsidRPr="00BA35DF">
              <w:rPr>
                <w:rFonts w:cs="Times New Roman"/>
                <w:szCs w:val="24"/>
              </w:rPr>
              <w:t>pre-existing respiratory conditions</w:t>
            </w:r>
          </w:p>
        </w:tc>
      </w:tr>
      <w:tr w:rsidR="00142F45" w:rsidRPr="00BA35DF" w14:paraId="1EACE500" w14:textId="77777777" w:rsidTr="00C46407">
        <w:tc>
          <w:tcPr>
            <w:tcW w:w="2695" w:type="dxa"/>
          </w:tcPr>
          <w:p w14:paraId="4978A998" w14:textId="77777777" w:rsidR="00142F45" w:rsidRPr="00BA35DF" w:rsidRDefault="00142F45" w:rsidP="00C46407">
            <w:pPr>
              <w:rPr>
                <w:rFonts w:cs="Times New Roman"/>
                <w:szCs w:val="24"/>
              </w:rPr>
            </w:pPr>
            <w:r w:rsidRPr="00BA35DF">
              <w:rPr>
                <w:rFonts w:cs="Times New Roman"/>
                <w:szCs w:val="24"/>
              </w:rPr>
              <w:t>Storage condition</w:t>
            </w:r>
          </w:p>
        </w:tc>
        <w:tc>
          <w:tcPr>
            <w:tcW w:w="6660" w:type="dxa"/>
          </w:tcPr>
          <w:p w14:paraId="350F1532" w14:textId="77777777" w:rsidR="00142F45" w:rsidRPr="00BA35DF" w:rsidRDefault="00142F45" w:rsidP="00C46407">
            <w:pPr>
              <w:jc w:val="both"/>
              <w:rPr>
                <w:rFonts w:cs="Times New Roman"/>
                <w:color w:val="FF0000"/>
                <w:szCs w:val="24"/>
              </w:rPr>
            </w:pPr>
            <w:r w:rsidRPr="00BA35DF">
              <w:rPr>
                <w:rFonts w:cs="Times New Roman"/>
                <w:szCs w:val="24"/>
              </w:rPr>
              <w:t>Store below 30°C</w:t>
            </w:r>
            <w:r>
              <w:rPr>
                <w:rFonts w:cs="Times New Roman"/>
                <w:szCs w:val="24"/>
              </w:rPr>
              <w:t>.</w:t>
            </w:r>
          </w:p>
        </w:tc>
      </w:tr>
      <w:tr w:rsidR="00142F45" w:rsidRPr="00BA35DF" w14:paraId="68C85ADA" w14:textId="77777777" w:rsidTr="00C46407">
        <w:tc>
          <w:tcPr>
            <w:tcW w:w="9355" w:type="dxa"/>
            <w:gridSpan w:val="2"/>
          </w:tcPr>
          <w:p w14:paraId="69D9EF90" w14:textId="77777777" w:rsidR="00142F45" w:rsidRPr="00BA35DF" w:rsidRDefault="00142F45" w:rsidP="00C46407">
            <w:pPr>
              <w:jc w:val="both"/>
              <w:rPr>
                <w:rFonts w:cs="Times New Roman"/>
                <w:b/>
                <w:bCs/>
                <w:szCs w:val="24"/>
              </w:rPr>
            </w:pPr>
            <w:bookmarkStart w:id="42" w:name="_Toc168315200"/>
            <w:r w:rsidRPr="00BA35DF">
              <w:rPr>
                <w:rFonts w:cs="Times New Roman"/>
                <w:b/>
                <w:bCs/>
                <w:szCs w:val="24"/>
              </w:rPr>
              <w:t>Dextromethorphan Hydrobromide</w:t>
            </w:r>
            <w:bookmarkEnd w:id="42"/>
          </w:p>
        </w:tc>
      </w:tr>
      <w:tr w:rsidR="00142F45" w:rsidRPr="00BA35DF" w14:paraId="47616EE9" w14:textId="77777777" w:rsidTr="00C46407">
        <w:tc>
          <w:tcPr>
            <w:tcW w:w="2695" w:type="dxa"/>
          </w:tcPr>
          <w:p w14:paraId="69523A7B" w14:textId="77777777" w:rsidR="00142F45" w:rsidRPr="00BA35DF" w:rsidRDefault="00142F45" w:rsidP="00C46407">
            <w:pPr>
              <w:rPr>
                <w:rFonts w:cs="Times New Roman"/>
                <w:szCs w:val="24"/>
              </w:rPr>
            </w:pPr>
            <w:r w:rsidRPr="00BA35DF">
              <w:rPr>
                <w:rFonts w:cs="Times New Roman"/>
                <w:szCs w:val="24"/>
              </w:rPr>
              <w:t xml:space="preserve">Pharmacological class </w:t>
            </w:r>
          </w:p>
        </w:tc>
        <w:tc>
          <w:tcPr>
            <w:tcW w:w="6660" w:type="dxa"/>
          </w:tcPr>
          <w:p w14:paraId="129A5FFF" w14:textId="77777777" w:rsidR="00142F45" w:rsidRPr="00BA35DF" w:rsidRDefault="00142F45" w:rsidP="00C46407">
            <w:pPr>
              <w:jc w:val="both"/>
              <w:rPr>
                <w:rFonts w:cs="Times New Roman"/>
                <w:szCs w:val="24"/>
              </w:rPr>
            </w:pPr>
            <w:r w:rsidRPr="00BA35DF">
              <w:rPr>
                <w:rFonts w:cs="Times New Roman"/>
                <w:szCs w:val="24"/>
              </w:rPr>
              <w:t>Antitussive</w:t>
            </w:r>
          </w:p>
        </w:tc>
      </w:tr>
      <w:tr w:rsidR="00142F45" w:rsidRPr="00BA35DF" w14:paraId="72618A1B" w14:textId="77777777" w:rsidTr="00C46407">
        <w:tc>
          <w:tcPr>
            <w:tcW w:w="2695" w:type="dxa"/>
          </w:tcPr>
          <w:p w14:paraId="7FE8C019" w14:textId="77777777" w:rsidR="00142F45" w:rsidRPr="00BA35DF" w:rsidRDefault="00142F45" w:rsidP="00C46407">
            <w:pPr>
              <w:rPr>
                <w:rFonts w:cs="Times New Roman"/>
                <w:szCs w:val="24"/>
              </w:rPr>
            </w:pPr>
            <w:r w:rsidRPr="00BA35DF">
              <w:rPr>
                <w:rFonts w:cs="Times New Roman"/>
                <w:szCs w:val="24"/>
              </w:rPr>
              <w:t>Dosage form</w:t>
            </w:r>
          </w:p>
        </w:tc>
        <w:tc>
          <w:tcPr>
            <w:tcW w:w="6660" w:type="dxa"/>
          </w:tcPr>
          <w:p w14:paraId="1F1E8F06" w14:textId="77777777" w:rsidR="00142F45" w:rsidRPr="00BA35DF" w:rsidRDefault="00142F45" w:rsidP="00C46407">
            <w:pPr>
              <w:jc w:val="both"/>
              <w:rPr>
                <w:rFonts w:cs="Times New Roman"/>
                <w:szCs w:val="24"/>
              </w:rPr>
            </w:pPr>
            <w:r w:rsidRPr="00BA35DF">
              <w:rPr>
                <w:rFonts w:cs="Times New Roman"/>
                <w:szCs w:val="24"/>
                <w:lang w:val="nb-NO"/>
              </w:rPr>
              <w:t>Syrup: 15mg/5</w:t>
            </w:r>
            <w:r>
              <w:rPr>
                <w:rFonts w:cs="Times New Roman"/>
                <w:szCs w:val="24"/>
                <w:lang w:val="nb-NO"/>
              </w:rPr>
              <w:t>ml</w:t>
            </w:r>
          </w:p>
        </w:tc>
      </w:tr>
      <w:tr w:rsidR="00142F45" w:rsidRPr="00BA35DF" w14:paraId="264D93FD" w14:textId="77777777" w:rsidTr="00C46407">
        <w:tc>
          <w:tcPr>
            <w:tcW w:w="2695" w:type="dxa"/>
          </w:tcPr>
          <w:p w14:paraId="22FC1F1A" w14:textId="77777777" w:rsidR="00142F45" w:rsidRPr="00BA35DF" w:rsidRDefault="00142F45" w:rsidP="00C46407">
            <w:pPr>
              <w:rPr>
                <w:rFonts w:cs="Times New Roman"/>
                <w:szCs w:val="24"/>
              </w:rPr>
            </w:pPr>
            <w:r w:rsidRPr="00BA35DF">
              <w:rPr>
                <w:rFonts w:cs="Times New Roman"/>
                <w:szCs w:val="24"/>
              </w:rPr>
              <w:t>Indications</w:t>
            </w:r>
          </w:p>
        </w:tc>
        <w:tc>
          <w:tcPr>
            <w:tcW w:w="6660" w:type="dxa"/>
          </w:tcPr>
          <w:p w14:paraId="3D41F47F" w14:textId="77777777" w:rsidR="00142F45" w:rsidRPr="00BA35DF" w:rsidRDefault="00142F45" w:rsidP="00C46407">
            <w:pPr>
              <w:jc w:val="both"/>
              <w:rPr>
                <w:rFonts w:cs="Times New Roman"/>
                <w:iCs/>
                <w:szCs w:val="24"/>
              </w:rPr>
            </w:pPr>
            <w:r w:rsidRPr="00BA35DF">
              <w:rPr>
                <w:rFonts w:cs="Times New Roman"/>
                <w:szCs w:val="24"/>
              </w:rPr>
              <w:t>Symptomatic relief of non-productive cough</w:t>
            </w:r>
          </w:p>
        </w:tc>
      </w:tr>
      <w:tr w:rsidR="00142F45" w:rsidRPr="00BA35DF" w14:paraId="214A9A8C" w14:textId="77777777" w:rsidTr="00C46407">
        <w:tc>
          <w:tcPr>
            <w:tcW w:w="2695" w:type="dxa"/>
          </w:tcPr>
          <w:p w14:paraId="09332150" w14:textId="77777777" w:rsidR="00142F45" w:rsidRPr="00BA35DF" w:rsidRDefault="00142F45" w:rsidP="00C46407">
            <w:pPr>
              <w:rPr>
                <w:rFonts w:cs="Times New Roman"/>
                <w:szCs w:val="24"/>
              </w:rPr>
            </w:pPr>
            <w:r w:rsidRPr="00BA35DF">
              <w:rPr>
                <w:rFonts w:cs="Times New Roman"/>
                <w:szCs w:val="24"/>
              </w:rPr>
              <w:t xml:space="preserve">Dose and </w:t>
            </w:r>
            <w:r>
              <w:rPr>
                <w:rFonts w:cs="Times New Roman"/>
                <w:szCs w:val="24"/>
              </w:rPr>
              <w:t>a</w:t>
            </w:r>
            <w:r w:rsidRPr="00BA35DF">
              <w:rPr>
                <w:rFonts w:cs="Times New Roman"/>
                <w:szCs w:val="24"/>
              </w:rPr>
              <w:t>dministration</w:t>
            </w:r>
          </w:p>
        </w:tc>
        <w:tc>
          <w:tcPr>
            <w:tcW w:w="6660" w:type="dxa"/>
          </w:tcPr>
          <w:p w14:paraId="0991A9B8" w14:textId="77777777" w:rsidR="00142F45" w:rsidRPr="00681E1D" w:rsidRDefault="00142F45" w:rsidP="00C46407">
            <w:pPr>
              <w:jc w:val="both"/>
              <w:rPr>
                <w:rFonts w:cs="Times New Roman"/>
                <w:b/>
                <w:bCs/>
                <w:iCs/>
                <w:szCs w:val="24"/>
              </w:rPr>
            </w:pPr>
            <w:r w:rsidRPr="00681E1D">
              <w:rPr>
                <w:rFonts w:cs="Times New Roman"/>
                <w:b/>
                <w:bCs/>
                <w:iCs/>
                <w:szCs w:val="24"/>
              </w:rPr>
              <w:t>Oral</w:t>
            </w:r>
            <w:r>
              <w:rPr>
                <w:rFonts w:cs="Times New Roman"/>
                <w:b/>
                <w:bCs/>
                <w:iCs/>
                <w:szCs w:val="24"/>
              </w:rPr>
              <w:t>:</w:t>
            </w:r>
          </w:p>
          <w:p w14:paraId="3428BF67" w14:textId="77777777" w:rsidR="00142F45" w:rsidRPr="00BA35DF" w:rsidRDefault="00142F45" w:rsidP="00C46407">
            <w:pPr>
              <w:jc w:val="both"/>
              <w:rPr>
                <w:rFonts w:cs="Times New Roman"/>
                <w:szCs w:val="24"/>
              </w:rPr>
            </w:pPr>
            <w:r w:rsidRPr="00BA35DF">
              <w:rPr>
                <w:rFonts w:cs="Times New Roman"/>
                <w:b/>
                <w:bCs/>
                <w:szCs w:val="24"/>
              </w:rPr>
              <w:t>Adult:</w:t>
            </w:r>
            <w:r w:rsidRPr="00BA35DF">
              <w:rPr>
                <w:rFonts w:cs="Times New Roman"/>
                <w:szCs w:val="24"/>
              </w:rPr>
              <w:t xml:space="preserve"> 10 to 20 mg every 4 hours, or 30 mg every 6 to 8 hours, to a usual maximum of 120 mg in 24 hours. </w:t>
            </w:r>
          </w:p>
          <w:p w14:paraId="1A4397CE" w14:textId="77777777" w:rsidR="00142F45" w:rsidRPr="00BA35DF" w:rsidRDefault="00142F45" w:rsidP="00C46407">
            <w:pPr>
              <w:jc w:val="both"/>
              <w:rPr>
                <w:rFonts w:cs="Times New Roman"/>
                <w:szCs w:val="24"/>
              </w:rPr>
            </w:pPr>
            <w:r w:rsidRPr="00BA35DF">
              <w:rPr>
                <w:rFonts w:cs="Times New Roman"/>
                <w:b/>
                <w:bCs/>
                <w:szCs w:val="24"/>
              </w:rPr>
              <w:t>Child (6-12 years):</w:t>
            </w:r>
            <w:r w:rsidRPr="00BA35DF">
              <w:rPr>
                <w:rFonts w:cs="Times New Roman"/>
                <w:szCs w:val="24"/>
              </w:rPr>
              <w:t xml:space="preserve"> 5 to 10 mg every 4 hours or 15 mg every 6 to 8 hours to a maximum of 60mg in 24 hours</w:t>
            </w:r>
          </w:p>
          <w:p w14:paraId="2E2374F5" w14:textId="77777777" w:rsidR="00142F45" w:rsidRPr="00BA35DF" w:rsidRDefault="00142F45" w:rsidP="00C46407">
            <w:pPr>
              <w:jc w:val="both"/>
              <w:rPr>
                <w:rFonts w:cs="Times New Roman"/>
                <w:szCs w:val="24"/>
              </w:rPr>
            </w:pPr>
            <w:r>
              <w:rPr>
                <w:rFonts w:cs="Times New Roman"/>
                <w:b/>
                <w:bCs/>
                <w:szCs w:val="24"/>
              </w:rPr>
              <w:t>Child</w:t>
            </w:r>
            <w:r w:rsidRPr="00BA35DF">
              <w:rPr>
                <w:rFonts w:cs="Times New Roman"/>
                <w:b/>
                <w:bCs/>
                <w:szCs w:val="24"/>
              </w:rPr>
              <w:t xml:space="preserve"> (2 to 6 years):</w:t>
            </w:r>
            <w:r w:rsidRPr="00BA35DF">
              <w:rPr>
                <w:rFonts w:cs="Times New Roman"/>
                <w:szCs w:val="24"/>
              </w:rPr>
              <w:t xml:space="preserve"> 2.5 to 5 mg every 4 hours, or 7.5 every 6 to 8 hours, to a maximum of 30 mg in 24 hours. </w:t>
            </w:r>
          </w:p>
        </w:tc>
      </w:tr>
      <w:tr w:rsidR="00142F45" w:rsidRPr="00BA35DF" w14:paraId="02518CA7" w14:textId="77777777" w:rsidTr="00C46407">
        <w:tc>
          <w:tcPr>
            <w:tcW w:w="2695" w:type="dxa"/>
          </w:tcPr>
          <w:p w14:paraId="4617A189" w14:textId="77777777" w:rsidR="00142F45" w:rsidRPr="00BA35DF" w:rsidRDefault="00142F45" w:rsidP="00C46407">
            <w:pPr>
              <w:rPr>
                <w:rFonts w:cs="Times New Roman"/>
                <w:szCs w:val="24"/>
              </w:rPr>
            </w:pPr>
            <w:r w:rsidRPr="00BA35DF">
              <w:rPr>
                <w:rFonts w:cs="Times New Roman"/>
                <w:szCs w:val="24"/>
              </w:rPr>
              <w:t>Contraindications</w:t>
            </w:r>
          </w:p>
        </w:tc>
        <w:tc>
          <w:tcPr>
            <w:tcW w:w="6660" w:type="dxa"/>
          </w:tcPr>
          <w:p w14:paraId="139CD2D9" w14:textId="77777777" w:rsidR="00142F45" w:rsidRPr="00BA35DF" w:rsidRDefault="00142F45" w:rsidP="00C46407">
            <w:pPr>
              <w:jc w:val="both"/>
              <w:rPr>
                <w:rFonts w:cs="Times New Roman"/>
                <w:szCs w:val="24"/>
              </w:rPr>
            </w:pPr>
            <w:r w:rsidRPr="00BA35DF">
              <w:rPr>
                <w:rFonts w:cs="Times New Roman"/>
                <w:szCs w:val="24"/>
              </w:rPr>
              <w:t xml:space="preserve">Respiratory failure, acute asthma, </w:t>
            </w:r>
            <w:r>
              <w:rPr>
                <w:rFonts w:cs="Times New Roman"/>
                <w:szCs w:val="24"/>
              </w:rPr>
              <w:t>child</w:t>
            </w:r>
            <w:r w:rsidRPr="00BA35DF">
              <w:rPr>
                <w:rFonts w:cs="Times New Roman"/>
                <w:szCs w:val="24"/>
              </w:rPr>
              <w:t xml:space="preserve"> under two years of age</w:t>
            </w:r>
          </w:p>
        </w:tc>
      </w:tr>
      <w:tr w:rsidR="00142F45" w:rsidRPr="00BA35DF" w14:paraId="71D2D220" w14:textId="77777777" w:rsidTr="00C46407">
        <w:tc>
          <w:tcPr>
            <w:tcW w:w="2695" w:type="dxa"/>
          </w:tcPr>
          <w:p w14:paraId="0D8D9087" w14:textId="77777777" w:rsidR="00142F45" w:rsidRPr="00BA35DF" w:rsidRDefault="00142F45" w:rsidP="00C46407">
            <w:pPr>
              <w:rPr>
                <w:rFonts w:cs="Times New Roman"/>
                <w:szCs w:val="24"/>
              </w:rPr>
            </w:pPr>
            <w:r w:rsidRPr="00BA35DF">
              <w:rPr>
                <w:rFonts w:cs="Times New Roman"/>
                <w:szCs w:val="24"/>
              </w:rPr>
              <w:t>Drug interactions</w:t>
            </w:r>
          </w:p>
        </w:tc>
        <w:tc>
          <w:tcPr>
            <w:tcW w:w="6660" w:type="dxa"/>
          </w:tcPr>
          <w:p w14:paraId="0AEE44D2" w14:textId="77777777" w:rsidR="00142F45" w:rsidRPr="00BA35DF" w:rsidRDefault="00142F45" w:rsidP="00C46407">
            <w:pPr>
              <w:jc w:val="both"/>
              <w:rPr>
                <w:rFonts w:cs="Times New Roman"/>
                <w:iCs/>
                <w:szCs w:val="24"/>
              </w:rPr>
            </w:pPr>
            <w:r w:rsidRPr="00BA35DF">
              <w:rPr>
                <w:rFonts w:cs="Times New Roman"/>
                <w:szCs w:val="24"/>
              </w:rPr>
              <w:t>MAOIs, quinidine, CNS depressants (e.g., alcohol, benzodiazepines, opioids), amiodarone, fluoxetine, haloperidol, thioridazine</w:t>
            </w:r>
          </w:p>
        </w:tc>
      </w:tr>
      <w:tr w:rsidR="00142F45" w:rsidRPr="00BA35DF" w14:paraId="1467B587" w14:textId="77777777" w:rsidTr="00C46407">
        <w:tc>
          <w:tcPr>
            <w:tcW w:w="2695" w:type="dxa"/>
          </w:tcPr>
          <w:p w14:paraId="3FD40B6A" w14:textId="77777777" w:rsidR="00142F45" w:rsidRPr="00BA35DF" w:rsidRDefault="00142F45" w:rsidP="00C46407">
            <w:pPr>
              <w:rPr>
                <w:rFonts w:cs="Times New Roman"/>
                <w:szCs w:val="24"/>
                <w:shd w:val="clear" w:color="auto" w:fill="FFFFFF"/>
              </w:rPr>
            </w:pPr>
            <w:r w:rsidRPr="00BA35DF">
              <w:rPr>
                <w:rFonts w:cs="Times New Roman"/>
                <w:szCs w:val="24"/>
                <w:shd w:val="clear" w:color="auto" w:fill="FFFFFF"/>
              </w:rPr>
              <w:t>Side effects</w:t>
            </w:r>
          </w:p>
        </w:tc>
        <w:tc>
          <w:tcPr>
            <w:tcW w:w="6660" w:type="dxa"/>
          </w:tcPr>
          <w:p w14:paraId="44C6A9AA" w14:textId="77777777" w:rsidR="00142F45" w:rsidRPr="00BA35DF" w:rsidRDefault="00142F45" w:rsidP="00C46407">
            <w:pPr>
              <w:jc w:val="both"/>
              <w:rPr>
                <w:rFonts w:cs="Times New Roman"/>
                <w:szCs w:val="24"/>
              </w:rPr>
            </w:pPr>
            <w:r>
              <w:rPr>
                <w:rFonts w:cs="Times New Roman"/>
                <w:szCs w:val="24"/>
              </w:rPr>
              <w:t>D</w:t>
            </w:r>
            <w:r w:rsidRPr="00BA35DF">
              <w:rPr>
                <w:rFonts w:cs="Times New Roman"/>
                <w:szCs w:val="24"/>
              </w:rPr>
              <w:t xml:space="preserve">izziness, drowsiness, nausea or vomiting, stomach pain, allergic </w:t>
            </w:r>
            <w:r w:rsidRPr="00BA35DF">
              <w:rPr>
                <w:rFonts w:cs="Times New Roman"/>
                <w:szCs w:val="24"/>
              </w:rPr>
              <w:lastRenderedPageBreak/>
              <w:t>reactions, hallucinations</w:t>
            </w:r>
          </w:p>
        </w:tc>
      </w:tr>
      <w:tr w:rsidR="00142F45" w:rsidRPr="00BA35DF" w14:paraId="0F4D8647" w14:textId="77777777" w:rsidTr="00C46407">
        <w:tc>
          <w:tcPr>
            <w:tcW w:w="2695" w:type="dxa"/>
          </w:tcPr>
          <w:p w14:paraId="69ABBC8E" w14:textId="77777777" w:rsidR="00142F45" w:rsidRPr="00BA35DF" w:rsidRDefault="00142F45" w:rsidP="00C46407">
            <w:pPr>
              <w:rPr>
                <w:rFonts w:cs="Times New Roman"/>
                <w:szCs w:val="24"/>
              </w:rPr>
            </w:pPr>
            <w:r w:rsidRPr="00BA35DF">
              <w:rPr>
                <w:rFonts w:cs="Times New Roman"/>
                <w:szCs w:val="24"/>
              </w:rPr>
              <w:lastRenderedPageBreak/>
              <w:t xml:space="preserve">Cautions </w:t>
            </w:r>
          </w:p>
        </w:tc>
        <w:tc>
          <w:tcPr>
            <w:tcW w:w="6660" w:type="dxa"/>
          </w:tcPr>
          <w:p w14:paraId="7C6D7C7B" w14:textId="77777777" w:rsidR="00142F45" w:rsidRPr="00BA35DF" w:rsidRDefault="00142F45" w:rsidP="00C46407">
            <w:pPr>
              <w:jc w:val="both"/>
              <w:rPr>
                <w:rFonts w:cs="Times New Roman"/>
                <w:szCs w:val="24"/>
              </w:rPr>
            </w:pPr>
            <w:r w:rsidRPr="00BA35DF">
              <w:rPr>
                <w:rFonts w:cs="Times New Roman"/>
                <w:szCs w:val="24"/>
              </w:rPr>
              <w:t>History of respiratory conditions or compromised respiratory function, substance abuse</w:t>
            </w:r>
          </w:p>
        </w:tc>
      </w:tr>
      <w:tr w:rsidR="00142F45" w:rsidRPr="00BA35DF" w14:paraId="7B6102BE" w14:textId="77777777" w:rsidTr="00C46407">
        <w:tc>
          <w:tcPr>
            <w:tcW w:w="2695" w:type="dxa"/>
          </w:tcPr>
          <w:p w14:paraId="2C25148E" w14:textId="77777777" w:rsidR="00142F45" w:rsidRPr="00BA35DF" w:rsidRDefault="00142F45" w:rsidP="00C46407">
            <w:pPr>
              <w:rPr>
                <w:rFonts w:cs="Times New Roman"/>
                <w:szCs w:val="24"/>
              </w:rPr>
            </w:pPr>
            <w:r w:rsidRPr="00BA35DF">
              <w:rPr>
                <w:rFonts w:cs="Times New Roman"/>
                <w:szCs w:val="24"/>
              </w:rPr>
              <w:t>Storage condition</w:t>
            </w:r>
          </w:p>
        </w:tc>
        <w:tc>
          <w:tcPr>
            <w:tcW w:w="6660" w:type="dxa"/>
          </w:tcPr>
          <w:p w14:paraId="25925F5C" w14:textId="77777777" w:rsidR="00142F45" w:rsidRPr="00BA35DF" w:rsidRDefault="00142F45" w:rsidP="00C46407">
            <w:pPr>
              <w:jc w:val="both"/>
              <w:rPr>
                <w:rFonts w:cs="Times New Roman"/>
                <w:szCs w:val="24"/>
              </w:rPr>
            </w:pPr>
            <w:r w:rsidRPr="00BA35DF">
              <w:rPr>
                <w:rFonts w:cs="Times New Roman"/>
                <w:szCs w:val="24"/>
              </w:rPr>
              <w:t>Store below 30°C.</w:t>
            </w:r>
          </w:p>
        </w:tc>
      </w:tr>
      <w:tr w:rsidR="00142F45" w:rsidRPr="00BA35DF" w14:paraId="1AF7FE4F" w14:textId="77777777" w:rsidTr="00C46407">
        <w:tc>
          <w:tcPr>
            <w:tcW w:w="9355" w:type="dxa"/>
            <w:gridSpan w:val="2"/>
          </w:tcPr>
          <w:p w14:paraId="53B32750" w14:textId="77777777" w:rsidR="00142F45" w:rsidRPr="00BA35DF" w:rsidRDefault="00142F45" w:rsidP="00C46407">
            <w:pPr>
              <w:jc w:val="both"/>
              <w:rPr>
                <w:rFonts w:cs="Times New Roman"/>
                <w:b/>
                <w:bCs/>
                <w:szCs w:val="24"/>
              </w:rPr>
            </w:pPr>
            <w:bookmarkStart w:id="43" w:name="_Toc168315201"/>
            <w:r w:rsidRPr="00BA35DF">
              <w:rPr>
                <w:rFonts w:cs="Times New Roman"/>
                <w:b/>
                <w:bCs/>
                <w:szCs w:val="24"/>
              </w:rPr>
              <w:t>Guaifenesin</w:t>
            </w:r>
            <w:bookmarkEnd w:id="43"/>
          </w:p>
        </w:tc>
      </w:tr>
      <w:tr w:rsidR="00142F45" w:rsidRPr="00BA35DF" w14:paraId="6597B361" w14:textId="77777777" w:rsidTr="00C46407">
        <w:tc>
          <w:tcPr>
            <w:tcW w:w="2695" w:type="dxa"/>
          </w:tcPr>
          <w:p w14:paraId="36E3D2CC" w14:textId="77777777" w:rsidR="00142F45" w:rsidRPr="00BA35DF" w:rsidRDefault="00142F45" w:rsidP="00C46407">
            <w:pPr>
              <w:rPr>
                <w:rFonts w:cs="Times New Roman"/>
                <w:szCs w:val="24"/>
              </w:rPr>
            </w:pPr>
            <w:r w:rsidRPr="00BA35DF">
              <w:rPr>
                <w:rFonts w:cs="Times New Roman"/>
                <w:szCs w:val="24"/>
              </w:rPr>
              <w:t xml:space="preserve">Pharmacological class </w:t>
            </w:r>
          </w:p>
        </w:tc>
        <w:tc>
          <w:tcPr>
            <w:tcW w:w="6660" w:type="dxa"/>
          </w:tcPr>
          <w:p w14:paraId="5D1ABB7E" w14:textId="77777777" w:rsidR="00142F45" w:rsidRPr="0083010E" w:rsidRDefault="00142F45" w:rsidP="00C46407">
            <w:pPr>
              <w:jc w:val="both"/>
              <w:rPr>
                <w:rFonts w:cs="Times New Roman"/>
                <w:color w:val="231F20"/>
                <w:szCs w:val="24"/>
              </w:rPr>
            </w:pPr>
            <w:r w:rsidRPr="00BA35DF">
              <w:rPr>
                <w:rFonts w:cs="Times New Roman"/>
                <w:color w:val="231F20"/>
                <w:szCs w:val="24"/>
              </w:rPr>
              <w:t>Expectorant</w:t>
            </w:r>
          </w:p>
        </w:tc>
      </w:tr>
      <w:tr w:rsidR="00142F45" w:rsidRPr="00BA35DF" w14:paraId="4CB5E064" w14:textId="77777777" w:rsidTr="00C46407">
        <w:tc>
          <w:tcPr>
            <w:tcW w:w="2695" w:type="dxa"/>
          </w:tcPr>
          <w:p w14:paraId="07C96B94" w14:textId="77777777" w:rsidR="00142F45" w:rsidRPr="00BA35DF" w:rsidRDefault="00142F45" w:rsidP="00C46407">
            <w:pPr>
              <w:rPr>
                <w:rFonts w:cs="Times New Roman"/>
                <w:szCs w:val="24"/>
              </w:rPr>
            </w:pPr>
            <w:r w:rsidRPr="00BA35DF">
              <w:rPr>
                <w:rFonts w:cs="Times New Roman"/>
                <w:szCs w:val="24"/>
              </w:rPr>
              <w:t>Dosage form</w:t>
            </w:r>
          </w:p>
        </w:tc>
        <w:tc>
          <w:tcPr>
            <w:tcW w:w="6660" w:type="dxa"/>
          </w:tcPr>
          <w:p w14:paraId="5530D05A" w14:textId="77777777" w:rsidR="00142F45" w:rsidRPr="00BA35DF" w:rsidRDefault="00142F45" w:rsidP="00C46407">
            <w:pPr>
              <w:jc w:val="both"/>
              <w:rPr>
                <w:rFonts w:cs="Times New Roman"/>
                <w:szCs w:val="24"/>
              </w:rPr>
            </w:pPr>
            <w:r w:rsidRPr="00BA35DF">
              <w:rPr>
                <w:rFonts w:cs="Times New Roman"/>
                <w:color w:val="000000"/>
                <w:szCs w:val="24"/>
                <w:lang w:val="nb-NO"/>
              </w:rPr>
              <w:t>Syrup: 100mg/5</w:t>
            </w:r>
            <w:r>
              <w:rPr>
                <w:rFonts w:cs="Times New Roman"/>
                <w:color w:val="000000"/>
                <w:szCs w:val="24"/>
                <w:lang w:val="nb-NO"/>
              </w:rPr>
              <w:t>ml</w:t>
            </w:r>
            <w:r w:rsidRPr="00BA35DF">
              <w:rPr>
                <w:rFonts w:cs="Times New Roman"/>
                <w:color w:val="000000"/>
                <w:szCs w:val="24"/>
                <w:lang w:val="nb-NO"/>
              </w:rPr>
              <w:t xml:space="preserve"> </w:t>
            </w:r>
          </w:p>
        </w:tc>
      </w:tr>
      <w:tr w:rsidR="00142F45" w:rsidRPr="00BA35DF" w14:paraId="524F13B9" w14:textId="77777777" w:rsidTr="00C46407">
        <w:tc>
          <w:tcPr>
            <w:tcW w:w="2695" w:type="dxa"/>
          </w:tcPr>
          <w:p w14:paraId="786E320B" w14:textId="77777777" w:rsidR="00142F45" w:rsidRPr="00BA35DF" w:rsidRDefault="00142F45" w:rsidP="00C46407">
            <w:pPr>
              <w:rPr>
                <w:rFonts w:cs="Times New Roman"/>
                <w:szCs w:val="24"/>
              </w:rPr>
            </w:pPr>
            <w:r w:rsidRPr="00BA35DF">
              <w:rPr>
                <w:rFonts w:cs="Times New Roman"/>
                <w:szCs w:val="24"/>
              </w:rPr>
              <w:t>Indications</w:t>
            </w:r>
          </w:p>
        </w:tc>
        <w:tc>
          <w:tcPr>
            <w:tcW w:w="6660" w:type="dxa"/>
          </w:tcPr>
          <w:p w14:paraId="3682C868" w14:textId="77777777" w:rsidR="00142F45" w:rsidRPr="00BA35DF" w:rsidRDefault="00142F45" w:rsidP="00C46407">
            <w:pPr>
              <w:jc w:val="both"/>
              <w:rPr>
                <w:rFonts w:cs="Times New Roman"/>
                <w:iCs/>
                <w:szCs w:val="24"/>
              </w:rPr>
            </w:pPr>
            <w:r w:rsidRPr="00BA35DF">
              <w:rPr>
                <w:rFonts w:cs="Times New Roman"/>
                <w:szCs w:val="24"/>
              </w:rPr>
              <w:t xml:space="preserve">Symptomatic relief of productive cough </w:t>
            </w:r>
          </w:p>
        </w:tc>
      </w:tr>
      <w:tr w:rsidR="00142F45" w:rsidRPr="00BA35DF" w14:paraId="72245EAF" w14:textId="77777777" w:rsidTr="00C46407">
        <w:tc>
          <w:tcPr>
            <w:tcW w:w="2695" w:type="dxa"/>
          </w:tcPr>
          <w:p w14:paraId="3EB48729" w14:textId="77777777" w:rsidR="00142F45" w:rsidRPr="00BA35DF" w:rsidRDefault="00142F45" w:rsidP="00C46407">
            <w:pPr>
              <w:rPr>
                <w:rFonts w:cs="Times New Roman"/>
                <w:szCs w:val="24"/>
              </w:rPr>
            </w:pPr>
            <w:r w:rsidRPr="00BA35DF">
              <w:rPr>
                <w:rFonts w:cs="Times New Roman"/>
                <w:szCs w:val="24"/>
              </w:rPr>
              <w:t>Dose and administration</w:t>
            </w:r>
          </w:p>
        </w:tc>
        <w:tc>
          <w:tcPr>
            <w:tcW w:w="6660" w:type="dxa"/>
          </w:tcPr>
          <w:p w14:paraId="2EB1F967" w14:textId="77777777" w:rsidR="00142F45" w:rsidRDefault="00142F45" w:rsidP="00C46407">
            <w:pPr>
              <w:jc w:val="both"/>
              <w:rPr>
                <w:rFonts w:cs="Times New Roman"/>
                <w:b/>
                <w:bCs/>
                <w:szCs w:val="24"/>
              </w:rPr>
            </w:pPr>
            <w:r>
              <w:rPr>
                <w:rFonts w:cs="Times New Roman"/>
                <w:b/>
                <w:bCs/>
                <w:szCs w:val="24"/>
              </w:rPr>
              <w:t>Oral:</w:t>
            </w:r>
          </w:p>
          <w:p w14:paraId="7CB99F29" w14:textId="77777777" w:rsidR="00142F45" w:rsidRPr="00BA35DF" w:rsidRDefault="00142F45" w:rsidP="00C46407">
            <w:pPr>
              <w:jc w:val="both"/>
              <w:rPr>
                <w:rFonts w:cs="Times New Roman"/>
                <w:szCs w:val="24"/>
              </w:rPr>
            </w:pPr>
            <w:r w:rsidRPr="00BA35DF">
              <w:rPr>
                <w:rFonts w:cs="Times New Roman"/>
                <w:b/>
                <w:bCs/>
                <w:szCs w:val="24"/>
              </w:rPr>
              <w:t>Adult:</w:t>
            </w:r>
            <w:r w:rsidRPr="00BA35DF">
              <w:rPr>
                <w:rFonts w:cs="Times New Roman"/>
                <w:szCs w:val="24"/>
              </w:rPr>
              <w:t xml:space="preserve"> 200 to 400 mg (10 to 20 </w:t>
            </w:r>
            <w:r>
              <w:rPr>
                <w:rFonts w:cs="Times New Roman"/>
                <w:szCs w:val="24"/>
              </w:rPr>
              <w:t>ml</w:t>
            </w:r>
            <w:r w:rsidRPr="00BA35DF">
              <w:rPr>
                <w:rFonts w:cs="Times New Roman"/>
                <w:szCs w:val="24"/>
              </w:rPr>
              <w:t>) every 4 hours as needed</w:t>
            </w:r>
            <w:r>
              <w:rPr>
                <w:rFonts w:cs="Times New Roman"/>
                <w:szCs w:val="24"/>
              </w:rPr>
              <w:t xml:space="preserve"> M</w:t>
            </w:r>
            <w:r w:rsidRPr="00BA35DF">
              <w:rPr>
                <w:rFonts w:cs="Times New Roman"/>
                <w:szCs w:val="24"/>
              </w:rPr>
              <w:t>aximum dose: 2</w:t>
            </w:r>
            <w:r>
              <w:rPr>
                <w:rFonts w:cs="Times New Roman"/>
                <w:szCs w:val="24"/>
              </w:rPr>
              <w:t>.</w:t>
            </w:r>
            <w:r w:rsidRPr="00BA35DF">
              <w:rPr>
                <w:rFonts w:cs="Times New Roman"/>
                <w:szCs w:val="24"/>
              </w:rPr>
              <w:t xml:space="preserve">4g (120 </w:t>
            </w:r>
            <w:r>
              <w:rPr>
                <w:rFonts w:cs="Times New Roman"/>
                <w:szCs w:val="24"/>
              </w:rPr>
              <w:t>ml</w:t>
            </w:r>
            <w:r w:rsidRPr="00BA35DF">
              <w:rPr>
                <w:rFonts w:cs="Times New Roman"/>
                <w:szCs w:val="24"/>
              </w:rPr>
              <w:t>) in 24 hours.</w:t>
            </w:r>
          </w:p>
          <w:p w14:paraId="781BD151" w14:textId="77777777" w:rsidR="00142F45" w:rsidRPr="00BA35DF" w:rsidRDefault="00142F45" w:rsidP="00C46407">
            <w:pPr>
              <w:jc w:val="both"/>
              <w:rPr>
                <w:rFonts w:cs="Times New Roman"/>
                <w:szCs w:val="24"/>
              </w:rPr>
            </w:pPr>
            <w:r w:rsidRPr="00BA35DF">
              <w:rPr>
                <w:rFonts w:cs="Times New Roman"/>
                <w:b/>
                <w:bCs/>
                <w:szCs w:val="24"/>
              </w:rPr>
              <w:t>Child (6 to 12 years):</w:t>
            </w:r>
            <w:r w:rsidRPr="00BA35DF">
              <w:rPr>
                <w:rFonts w:cs="Times New Roman"/>
                <w:szCs w:val="24"/>
              </w:rPr>
              <w:t xml:space="preserve"> 100 to 200 mg (5 to 10 </w:t>
            </w:r>
            <w:r>
              <w:rPr>
                <w:rFonts w:cs="Times New Roman"/>
                <w:szCs w:val="24"/>
              </w:rPr>
              <w:t>ml</w:t>
            </w:r>
            <w:r w:rsidRPr="00BA35DF">
              <w:rPr>
                <w:rFonts w:cs="Times New Roman"/>
                <w:szCs w:val="24"/>
              </w:rPr>
              <w:t>) every 4 hours as needed (</w:t>
            </w:r>
            <w:r>
              <w:rPr>
                <w:rFonts w:cs="Times New Roman"/>
                <w:szCs w:val="24"/>
              </w:rPr>
              <w:t>maximum:</w:t>
            </w:r>
            <w:r w:rsidRPr="00BA35DF">
              <w:rPr>
                <w:rFonts w:cs="Times New Roman"/>
                <w:szCs w:val="24"/>
              </w:rPr>
              <w:t xml:space="preserve"> 1</w:t>
            </w:r>
            <w:r>
              <w:rPr>
                <w:rFonts w:cs="Times New Roman"/>
                <w:szCs w:val="24"/>
              </w:rPr>
              <w:t>.</w:t>
            </w:r>
            <w:r w:rsidRPr="00BA35DF">
              <w:rPr>
                <w:rFonts w:cs="Times New Roman"/>
                <w:szCs w:val="24"/>
              </w:rPr>
              <w:t xml:space="preserve">g (60 </w:t>
            </w:r>
            <w:r>
              <w:rPr>
                <w:rFonts w:cs="Times New Roman"/>
                <w:szCs w:val="24"/>
              </w:rPr>
              <w:t>ml</w:t>
            </w:r>
            <w:r w:rsidRPr="00BA35DF">
              <w:rPr>
                <w:rFonts w:cs="Times New Roman"/>
                <w:szCs w:val="24"/>
              </w:rPr>
              <w:t>) in 24 hours)</w:t>
            </w:r>
          </w:p>
          <w:p w14:paraId="5E3A0024" w14:textId="77777777" w:rsidR="00142F45" w:rsidRPr="00BA35DF" w:rsidRDefault="00142F45" w:rsidP="00C46407">
            <w:pPr>
              <w:jc w:val="both"/>
              <w:rPr>
                <w:rFonts w:cs="Times New Roman"/>
                <w:szCs w:val="24"/>
              </w:rPr>
            </w:pPr>
            <w:r>
              <w:rPr>
                <w:rFonts w:cs="Times New Roman"/>
                <w:b/>
                <w:bCs/>
                <w:szCs w:val="24"/>
              </w:rPr>
              <w:t>Child</w:t>
            </w:r>
            <w:r w:rsidRPr="00BA35DF">
              <w:rPr>
                <w:rFonts w:cs="Times New Roman"/>
                <w:b/>
                <w:bCs/>
                <w:szCs w:val="24"/>
              </w:rPr>
              <w:t xml:space="preserve"> (2 to 6 years):</w:t>
            </w:r>
            <w:r w:rsidRPr="00BA35DF">
              <w:rPr>
                <w:rFonts w:cs="Times New Roman"/>
                <w:szCs w:val="24"/>
              </w:rPr>
              <w:t xml:space="preserve"> 50 to 100 mg (2.5 to 5 </w:t>
            </w:r>
            <w:r>
              <w:rPr>
                <w:rFonts w:cs="Times New Roman"/>
                <w:szCs w:val="24"/>
              </w:rPr>
              <w:t>ml</w:t>
            </w:r>
            <w:r w:rsidRPr="00BA35DF">
              <w:rPr>
                <w:rFonts w:cs="Times New Roman"/>
                <w:szCs w:val="24"/>
              </w:rPr>
              <w:t>) every 4 hours as needed (</w:t>
            </w:r>
            <w:r>
              <w:rPr>
                <w:rFonts w:cs="Times New Roman"/>
                <w:szCs w:val="24"/>
              </w:rPr>
              <w:t>maximum:</w:t>
            </w:r>
            <w:r w:rsidRPr="00BA35DF">
              <w:rPr>
                <w:rFonts w:cs="Times New Roman"/>
                <w:szCs w:val="24"/>
              </w:rPr>
              <w:t xml:space="preserve"> 600 mg (30 </w:t>
            </w:r>
            <w:r>
              <w:rPr>
                <w:rFonts w:cs="Times New Roman"/>
                <w:szCs w:val="24"/>
              </w:rPr>
              <w:t>ml</w:t>
            </w:r>
            <w:r w:rsidRPr="00BA35DF">
              <w:rPr>
                <w:rFonts w:cs="Times New Roman"/>
                <w:szCs w:val="24"/>
              </w:rPr>
              <w:t>) in 24 hours)</w:t>
            </w:r>
          </w:p>
        </w:tc>
      </w:tr>
      <w:tr w:rsidR="00142F45" w:rsidRPr="00BA35DF" w14:paraId="3825A3FB" w14:textId="77777777" w:rsidTr="00C46407">
        <w:tc>
          <w:tcPr>
            <w:tcW w:w="2695" w:type="dxa"/>
          </w:tcPr>
          <w:p w14:paraId="78515835" w14:textId="77777777" w:rsidR="00142F45" w:rsidRPr="00BA35DF" w:rsidRDefault="00142F45" w:rsidP="00C46407">
            <w:pPr>
              <w:rPr>
                <w:rFonts w:cs="Times New Roman"/>
                <w:szCs w:val="24"/>
              </w:rPr>
            </w:pPr>
            <w:r w:rsidRPr="00BA35DF">
              <w:rPr>
                <w:rFonts w:cs="Times New Roman"/>
                <w:szCs w:val="24"/>
              </w:rPr>
              <w:t>Contraindications</w:t>
            </w:r>
          </w:p>
        </w:tc>
        <w:tc>
          <w:tcPr>
            <w:tcW w:w="6660" w:type="dxa"/>
          </w:tcPr>
          <w:p w14:paraId="63B1D42D" w14:textId="77777777" w:rsidR="00142F45" w:rsidRPr="00BA35DF" w:rsidRDefault="00142F45" w:rsidP="00C46407">
            <w:pPr>
              <w:jc w:val="both"/>
              <w:rPr>
                <w:rFonts w:cs="Times New Roman"/>
                <w:color w:val="231F20"/>
                <w:szCs w:val="24"/>
              </w:rPr>
            </w:pPr>
            <w:r w:rsidRPr="00BA35DF">
              <w:rPr>
                <w:rFonts w:cs="Times New Roman"/>
                <w:szCs w:val="24"/>
              </w:rPr>
              <w:t xml:space="preserve">Hypersensitivity to </w:t>
            </w:r>
            <w:r>
              <w:rPr>
                <w:rFonts w:cs="Times New Roman"/>
                <w:szCs w:val="24"/>
              </w:rPr>
              <w:t>the drug</w:t>
            </w:r>
          </w:p>
        </w:tc>
      </w:tr>
      <w:tr w:rsidR="00142F45" w:rsidRPr="00BA35DF" w14:paraId="237F5DA1" w14:textId="77777777" w:rsidTr="00C46407">
        <w:tc>
          <w:tcPr>
            <w:tcW w:w="2695" w:type="dxa"/>
          </w:tcPr>
          <w:p w14:paraId="1710A1AA" w14:textId="77777777" w:rsidR="00142F45" w:rsidRPr="00BA35DF" w:rsidRDefault="00142F45" w:rsidP="00C46407">
            <w:pPr>
              <w:rPr>
                <w:rFonts w:cs="Times New Roman"/>
                <w:szCs w:val="24"/>
              </w:rPr>
            </w:pPr>
            <w:r w:rsidRPr="00BA35DF">
              <w:rPr>
                <w:rFonts w:cs="Times New Roman"/>
                <w:szCs w:val="24"/>
              </w:rPr>
              <w:t>Drug interactions</w:t>
            </w:r>
          </w:p>
        </w:tc>
        <w:tc>
          <w:tcPr>
            <w:tcW w:w="6660" w:type="dxa"/>
          </w:tcPr>
          <w:p w14:paraId="7416A330" w14:textId="77777777" w:rsidR="00142F45" w:rsidRPr="00BA35DF" w:rsidRDefault="00142F45" w:rsidP="00C46407">
            <w:pPr>
              <w:jc w:val="both"/>
              <w:rPr>
                <w:rFonts w:cs="Times New Roman"/>
                <w:szCs w:val="24"/>
              </w:rPr>
            </w:pPr>
            <w:r w:rsidRPr="00BA35DF">
              <w:rPr>
                <w:rFonts w:cs="Times New Roman"/>
                <w:szCs w:val="24"/>
              </w:rPr>
              <w:t>Heparin</w:t>
            </w:r>
          </w:p>
        </w:tc>
      </w:tr>
      <w:tr w:rsidR="00142F45" w:rsidRPr="00BA35DF" w14:paraId="1BC45900" w14:textId="77777777" w:rsidTr="00C46407">
        <w:tc>
          <w:tcPr>
            <w:tcW w:w="2695" w:type="dxa"/>
          </w:tcPr>
          <w:p w14:paraId="6837A042" w14:textId="77777777" w:rsidR="00142F45" w:rsidRPr="00BA35DF" w:rsidRDefault="00142F45" w:rsidP="00C46407">
            <w:pPr>
              <w:rPr>
                <w:rFonts w:cs="Times New Roman"/>
                <w:szCs w:val="24"/>
                <w:shd w:val="clear" w:color="auto" w:fill="FFFFFF"/>
              </w:rPr>
            </w:pPr>
            <w:r w:rsidRPr="00BA35DF">
              <w:rPr>
                <w:rFonts w:cs="Times New Roman"/>
                <w:szCs w:val="24"/>
                <w:shd w:val="clear" w:color="auto" w:fill="FFFFFF"/>
              </w:rPr>
              <w:t>Side effects</w:t>
            </w:r>
          </w:p>
        </w:tc>
        <w:tc>
          <w:tcPr>
            <w:tcW w:w="6660" w:type="dxa"/>
          </w:tcPr>
          <w:p w14:paraId="390BFBB6" w14:textId="77777777" w:rsidR="00142F45" w:rsidRPr="00BA35DF" w:rsidRDefault="00142F45" w:rsidP="00C46407">
            <w:pPr>
              <w:jc w:val="both"/>
              <w:rPr>
                <w:rFonts w:cs="Times New Roman"/>
                <w:szCs w:val="24"/>
              </w:rPr>
            </w:pPr>
            <w:r w:rsidRPr="00BA35DF">
              <w:rPr>
                <w:rFonts w:cs="Times New Roman"/>
                <w:szCs w:val="24"/>
              </w:rPr>
              <w:t>Diarrhea, nausea or vomiting, drowsiness, stomach pain, a</w:t>
            </w:r>
            <w:r w:rsidRPr="00BA35DF">
              <w:rPr>
                <w:rFonts w:cs="Times New Roman"/>
                <w:color w:val="231F20"/>
                <w:szCs w:val="24"/>
              </w:rPr>
              <w:t>llergic reactions</w:t>
            </w:r>
          </w:p>
        </w:tc>
      </w:tr>
      <w:tr w:rsidR="00142F45" w:rsidRPr="00BA35DF" w14:paraId="0893298F" w14:textId="77777777" w:rsidTr="00C46407">
        <w:tc>
          <w:tcPr>
            <w:tcW w:w="2695" w:type="dxa"/>
          </w:tcPr>
          <w:p w14:paraId="56970D58" w14:textId="77777777" w:rsidR="00142F45" w:rsidRPr="00BA35DF" w:rsidRDefault="00142F45" w:rsidP="00C46407">
            <w:pPr>
              <w:rPr>
                <w:rFonts w:cs="Times New Roman"/>
                <w:szCs w:val="24"/>
              </w:rPr>
            </w:pPr>
            <w:r w:rsidRPr="00BA35DF">
              <w:rPr>
                <w:rFonts w:cs="Times New Roman"/>
                <w:szCs w:val="24"/>
              </w:rPr>
              <w:t xml:space="preserve">Cautions </w:t>
            </w:r>
          </w:p>
        </w:tc>
        <w:tc>
          <w:tcPr>
            <w:tcW w:w="6660" w:type="dxa"/>
          </w:tcPr>
          <w:p w14:paraId="7BE7D995" w14:textId="77777777" w:rsidR="00142F45" w:rsidRPr="00BA35DF" w:rsidRDefault="00142F45" w:rsidP="00C46407">
            <w:pPr>
              <w:jc w:val="both"/>
              <w:rPr>
                <w:rFonts w:cs="Times New Roman"/>
                <w:szCs w:val="24"/>
              </w:rPr>
            </w:pPr>
            <w:r w:rsidRPr="00BA35DF">
              <w:rPr>
                <w:rFonts w:cs="Times New Roman"/>
                <w:szCs w:val="24"/>
              </w:rPr>
              <w:t>Persistent or chronic cough such as those occurring with smoking, asthma, chronic bronchitis, or emphysema</w:t>
            </w:r>
          </w:p>
        </w:tc>
      </w:tr>
      <w:tr w:rsidR="00142F45" w:rsidRPr="00BA35DF" w14:paraId="6CD836A6" w14:textId="77777777" w:rsidTr="00C46407">
        <w:tc>
          <w:tcPr>
            <w:tcW w:w="2695" w:type="dxa"/>
          </w:tcPr>
          <w:p w14:paraId="10AE1351" w14:textId="77777777" w:rsidR="00142F45" w:rsidRPr="00BA35DF" w:rsidRDefault="00142F45" w:rsidP="00C46407">
            <w:pPr>
              <w:rPr>
                <w:rFonts w:cs="Times New Roman"/>
                <w:szCs w:val="24"/>
              </w:rPr>
            </w:pPr>
            <w:r w:rsidRPr="00BA35DF">
              <w:rPr>
                <w:rFonts w:cs="Times New Roman"/>
                <w:szCs w:val="24"/>
              </w:rPr>
              <w:t>Storage condition</w:t>
            </w:r>
          </w:p>
        </w:tc>
        <w:tc>
          <w:tcPr>
            <w:tcW w:w="6660" w:type="dxa"/>
          </w:tcPr>
          <w:p w14:paraId="0127BF08" w14:textId="77777777" w:rsidR="00142F45" w:rsidRPr="00BA35DF" w:rsidRDefault="00142F45" w:rsidP="00C46407">
            <w:pPr>
              <w:jc w:val="both"/>
              <w:rPr>
                <w:rFonts w:cs="Times New Roman"/>
                <w:color w:val="FF0000"/>
                <w:szCs w:val="24"/>
              </w:rPr>
            </w:pPr>
            <w:r w:rsidRPr="00BA35DF">
              <w:rPr>
                <w:rFonts w:cs="Times New Roman"/>
                <w:szCs w:val="24"/>
              </w:rPr>
              <w:t>Store below 30°C.</w:t>
            </w:r>
          </w:p>
        </w:tc>
      </w:tr>
    </w:tbl>
    <w:p w14:paraId="3DB5669B" w14:textId="77777777" w:rsidR="00142F45" w:rsidRPr="00944B15" w:rsidRDefault="00142F45" w:rsidP="00142F45">
      <w:pPr>
        <w:spacing w:after="0"/>
        <w:rPr>
          <w:rFonts w:cs="Times New Roman"/>
          <w:szCs w:val="24"/>
        </w:rPr>
      </w:pPr>
    </w:p>
    <w:p w14:paraId="732E27B1" w14:textId="77777777" w:rsidR="00142F45" w:rsidRPr="00FC7D8E" w:rsidRDefault="00537B05" w:rsidP="00FC7D8E">
      <w:pPr>
        <w:pStyle w:val="Heading2"/>
        <w:spacing w:after="240"/>
      </w:pPr>
      <w:bookmarkStart w:id="44" w:name="_Toc179490325"/>
      <w:r w:rsidRPr="00FC7D8E">
        <w:t>A</w:t>
      </w:r>
      <w:r w:rsidR="00142F45" w:rsidRPr="00FC7D8E">
        <w:t>nti-asthmatic and chronic obstructive pulmonary disease (COPD) medicines</w:t>
      </w:r>
      <w:bookmarkEnd w:id="44"/>
    </w:p>
    <w:p w14:paraId="4CB593E8" w14:textId="77777777" w:rsidR="00142F45" w:rsidRPr="00944B15" w:rsidRDefault="00142F45" w:rsidP="00142F45">
      <w:pPr>
        <w:spacing w:after="0"/>
        <w:jc w:val="both"/>
        <w:rPr>
          <w:rFonts w:cs="Times New Roman"/>
          <w:szCs w:val="24"/>
        </w:rPr>
      </w:pPr>
      <w:r w:rsidRPr="002E1B6C">
        <w:rPr>
          <w:rFonts w:cs="Times New Roman"/>
          <w:szCs w:val="24"/>
        </w:rPr>
        <w:t xml:space="preserve">These medicines manage chronic respiratory conditions by improving lung function, reducing inflammation, and preventing exacerbations. Bronchodilators like salbutamol and ipratropium relax airway muscles, offering rapid relief from bronchospasm. Inhaled corticosteroids like beclomethasone and budesonide reduce airway inflammation and prevent asthma attacks. Combination inhalers (e.g., budesonide with formoterol) provide both bronchodilation and anti-inflammatory effects. Systemic corticosteroids like prednisolone treat acute exacerbations, while </w:t>
      </w:r>
      <w:r w:rsidRPr="002E1B6C">
        <w:rPr>
          <w:rFonts w:cs="Times New Roman"/>
          <w:szCs w:val="24"/>
        </w:rPr>
        <w:lastRenderedPageBreak/>
        <w:t>long-acting bronchodilators like tiotropium are key for COPD maintenance. Emergency treatments include epinephrine and magnesium sulfate, with oxygen therapy for hypoxemic patients.</w:t>
      </w:r>
      <w:r w:rsidRPr="00944B15">
        <w:rPr>
          <w:rFonts w:cs="Times New Roman"/>
          <w:szCs w:val="24"/>
        </w:rPr>
        <w:t xml:space="preserve"> </w:t>
      </w:r>
    </w:p>
    <w:p w14:paraId="6CF8069E" w14:textId="77777777" w:rsidR="00142F45" w:rsidRDefault="00142F45" w:rsidP="00142F45">
      <w:pPr>
        <w:spacing w:after="0"/>
        <w:jc w:val="both"/>
        <w:rPr>
          <w:rFonts w:cs="Times New Roman"/>
          <w:szCs w:val="24"/>
        </w:rPr>
      </w:pPr>
    </w:p>
    <w:p w14:paraId="0222C55A" w14:textId="77777777" w:rsidR="00142F45" w:rsidRPr="00944B15" w:rsidRDefault="00142F45" w:rsidP="00142F45">
      <w:pPr>
        <w:spacing w:after="0"/>
        <w:jc w:val="both"/>
        <w:rPr>
          <w:rFonts w:cs="Times New Roman"/>
          <w:szCs w:val="24"/>
        </w:rPr>
      </w:pPr>
    </w:p>
    <w:tbl>
      <w:tblPr>
        <w:tblStyle w:val="TableGrid"/>
        <w:tblW w:w="9270" w:type="dxa"/>
        <w:tblInd w:w="85" w:type="dxa"/>
        <w:tblLook w:val="04A0" w:firstRow="1" w:lastRow="0" w:firstColumn="1" w:lastColumn="0" w:noHBand="0" w:noVBand="1"/>
      </w:tblPr>
      <w:tblGrid>
        <w:gridCol w:w="2700"/>
        <w:gridCol w:w="6570"/>
      </w:tblGrid>
      <w:tr w:rsidR="00142F45" w:rsidRPr="000646DD" w14:paraId="298E9102" w14:textId="77777777" w:rsidTr="00C46407">
        <w:tc>
          <w:tcPr>
            <w:tcW w:w="9270" w:type="dxa"/>
            <w:gridSpan w:val="2"/>
          </w:tcPr>
          <w:p w14:paraId="0AF9BB2E" w14:textId="77777777" w:rsidR="00142F45" w:rsidRPr="000646DD" w:rsidRDefault="00142F45" w:rsidP="00C46407">
            <w:pPr>
              <w:jc w:val="both"/>
              <w:rPr>
                <w:rFonts w:cs="Times New Roman"/>
                <w:b/>
                <w:bCs/>
                <w:szCs w:val="24"/>
              </w:rPr>
            </w:pPr>
            <w:bookmarkStart w:id="45" w:name="_Toc168315203"/>
            <w:r w:rsidRPr="000646DD">
              <w:rPr>
                <w:rFonts w:cs="Times New Roman"/>
                <w:b/>
                <w:bCs/>
                <w:szCs w:val="24"/>
              </w:rPr>
              <w:t>Aminophylline</w:t>
            </w:r>
            <w:bookmarkEnd w:id="45"/>
            <w:r w:rsidRPr="000646DD">
              <w:rPr>
                <w:rFonts w:cs="Times New Roman"/>
                <w:b/>
                <w:bCs/>
                <w:szCs w:val="24"/>
              </w:rPr>
              <w:t xml:space="preserve">  </w:t>
            </w:r>
          </w:p>
        </w:tc>
      </w:tr>
      <w:tr w:rsidR="00142F45" w:rsidRPr="000646DD" w14:paraId="0CD8F53F" w14:textId="77777777" w:rsidTr="00C46407">
        <w:tc>
          <w:tcPr>
            <w:tcW w:w="2700" w:type="dxa"/>
          </w:tcPr>
          <w:p w14:paraId="5D5DB429"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6ED56D8F" w14:textId="77777777" w:rsidR="00142F45" w:rsidRPr="000646DD" w:rsidRDefault="00142F45" w:rsidP="00C46407">
            <w:pPr>
              <w:jc w:val="both"/>
              <w:rPr>
                <w:rFonts w:cs="Times New Roman"/>
                <w:szCs w:val="24"/>
              </w:rPr>
            </w:pPr>
            <w:r w:rsidRPr="000646DD">
              <w:rPr>
                <w:rFonts w:cs="Times New Roman"/>
                <w:szCs w:val="24"/>
                <w:shd w:val="clear" w:color="auto" w:fill="FFFFFF"/>
              </w:rPr>
              <w:t>Bronchodilator (xanthine derivative)</w:t>
            </w:r>
          </w:p>
        </w:tc>
      </w:tr>
      <w:tr w:rsidR="00142F45" w:rsidRPr="000646DD" w14:paraId="48E6F70D" w14:textId="77777777" w:rsidTr="00C46407">
        <w:tc>
          <w:tcPr>
            <w:tcW w:w="2700" w:type="dxa"/>
          </w:tcPr>
          <w:p w14:paraId="7A4533BF"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4BDF19A0" w14:textId="77777777" w:rsidR="00142F45" w:rsidRPr="000646DD" w:rsidRDefault="00142F45" w:rsidP="00C46407">
            <w:pPr>
              <w:jc w:val="both"/>
              <w:rPr>
                <w:rFonts w:cs="Times New Roman"/>
                <w:szCs w:val="24"/>
              </w:rPr>
            </w:pPr>
            <w:r w:rsidRPr="000646DD">
              <w:rPr>
                <w:rFonts w:cs="Times New Roman"/>
                <w:szCs w:val="24"/>
              </w:rPr>
              <w:t>Injection: 250mg/10ml in 10ml</w:t>
            </w:r>
          </w:p>
        </w:tc>
      </w:tr>
      <w:tr w:rsidR="00142F45" w:rsidRPr="000646DD" w14:paraId="2C50A68C" w14:textId="77777777" w:rsidTr="00C46407">
        <w:tc>
          <w:tcPr>
            <w:tcW w:w="2700" w:type="dxa"/>
          </w:tcPr>
          <w:p w14:paraId="5FA08516"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2C1E9541" w14:textId="77777777" w:rsidR="00142F45" w:rsidRPr="000646DD" w:rsidRDefault="00142F45" w:rsidP="00C46407">
            <w:pPr>
              <w:jc w:val="both"/>
              <w:rPr>
                <w:rFonts w:cs="Times New Roman"/>
                <w:szCs w:val="24"/>
              </w:rPr>
            </w:pPr>
            <w:r w:rsidRPr="000646DD">
              <w:rPr>
                <w:rFonts w:cs="Times New Roman"/>
                <w:szCs w:val="24"/>
              </w:rPr>
              <w:t>Reversible airways obstruction, acute severe and chronic asthma, severe acute exacerbation of COPD</w:t>
            </w:r>
          </w:p>
        </w:tc>
      </w:tr>
      <w:tr w:rsidR="00142F45" w:rsidRPr="000646DD" w14:paraId="22687D7E" w14:textId="77777777" w:rsidTr="00C46407">
        <w:tc>
          <w:tcPr>
            <w:tcW w:w="2700" w:type="dxa"/>
          </w:tcPr>
          <w:p w14:paraId="2D120AB9" w14:textId="77777777" w:rsidR="00142F45" w:rsidRPr="000646DD" w:rsidRDefault="00142F45" w:rsidP="00C46407">
            <w:pPr>
              <w:rPr>
                <w:rFonts w:cs="Times New Roman"/>
                <w:szCs w:val="24"/>
              </w:rPr>
            </w:pPr>
            <w:r w:rsidRPr="000646DD">
              <w:rPr>
                <w:rFonts w:cs="Times New Roman"/>
                <w:szCs w:val="24"/>
              </w:rPr>
              <w:t xml:space="preserve">Dose and </w:t>
            </w:r>
            <w:r>
              <w:rPr>
                <w:rFonts w:cs="Times New Roman"/>
                <w:szCs w:val="24"/>
              </w:rPr>
              <w:t>a</w:t>
            </w:r>
            <w:r w:rsidRPr="000646DD">
              <w:rPr>
                <w:rFonts w:cs="Times New Roman"/>
                <w:szCs w:val="24"/>
              </w:rPr>
              <w:t>dministration</w:t>
            </w:r>
          </w:p>
        </w:tc>
        <w:tc>
          <w:tcPr>
            <w:tcW w:w="6570" w:type="dxa"/>
          </w:tcPr>
          <w:p w14:paraId="28322816"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w:t>
            </w:r>
          </w:p>
          <w:p w14:paraId="27389568" w14:textId="77777777" w:rsidR="00142F45" w:rsidRPr="000646DD" w:rsidRDefault="00142F45" w:rsidP="00C46407">
            <w:pPr>
              <w:jc w:val="both"/>
              <w:rPr>
                <w:rFonts w:cs="Times New Roman"/>
                <w:szCs w:val="24"/>
              </w:rPr>
            </w:pPr>
            <w:r w:rsidRPr="000646DD">
              <w:rPr>
                <w:rFonts w:cs="Times New Roman"/>
                <w:szCs w:val="24"/>
              </w:rPr>
              <w:t xml:space="preserve">Slow IV, 250-500 mg (5 mg/kg) for over 20 minutes or diluted with 10 ml of water for injection. </w:t>
            </w:r>
          </w:p>
          <w:p w14:paraId="40C88036" w14:textId="77777777" w:rsidR="00142F45" w:rsidRPr="000646DD" w:rsidRDefault="00142F45" w:rsidP="00C46407">
            <w:pPr>
              <w:jc w:val="both"/>
              <w:rPr>
                <w:rFonts w:cs="Times New Roman"/>
                <w:szCs w:val="24"/>
              </w:rPr>
            </w:pPr>
            <w:r w:rsidRPr="000646DD">
              <w:rPr>
                <w:rFonts w:cs="Times New Roman"/>
                <w:szCs w:val="24"/>
              </w:rPr>
              <w:t>Maintenance, if required, 0.5 mg/kg per hour by slow IV infusion for a period of 24 hours only.</w:t>
            </w:r>
          </w:p>
          <w:p w14:paraId="66EB71C1" w14:textId="77777777" w:rsidR="00142F45" w:rsidRPr="000646DD" w:rsidRDefault="00142F45" w:rsidP="00C46407">
            <w:pPr>
              <w:jc w:val="both"/>
              <w:rPr>
                <w:rFonts w:cs="Times New Roman"/>
                <w:szCs w:val="24"/>
              </w:rPr>
            </w:pPr>
            <w:r w:rsidRPr="000646DD">
              <w:rPr>
                <w:rFonts w:cs="Times New Roman"/>
                <w:b/>
                <w:bCs/>
                <w:szCs w:val="24"/>
              </w:rPr>
              <w:t>Elderly:</w:t>
            </w:r>
            <w:r w:rsidRPr="000646DD">
              <w:rPr>
                <w:rFonts w:cs="Times New Roman"/>
                <w:szCs w:val="24"/>
              </w:rPr>
              <w:t xml:space="preserve"> 0.3mg/kg per hour by slow IV infusion.</w:t>
            </w:r>
          </w:p>
          <w:p w14:paraId="7177E6A8" w14:textId="77777777" w:rsidR="00142F45" w:rsidRPr="000646DD" w:rsidRDefault="00142F45" w:rsidP="00C46407">
            <w:pPr>
              <w:jc w:val="both"/>
              <w:rPr>
                <w:rFonts w:cs="Times New Roman"/>
                <w:szCs w:val="24"/>
              </w:rPr>
            </w:pPr>
            <w:r w:rsidRPr="000646DD">
              <w:rPr>
                <w:rFonts w:cs="Times New Roman"/>
                <w:b/>
                <w:bCs/>
                <w:szCs w:val="24"/>
              </w:rPr>
              <w:t>Child:</w:t>
            </w:r>
            <w:r w:rsidRPr="000646DD">
              <w:rPr>
                <w:rFonts w:cs="Times New Roman"/>
                <w:szCs w:val="24"/>
              </w:rPr>
              <w:t xml:space="preserve"> </w:t>
            </w:r>
          </w:p>
          <w:p w14:paraId="1FD8AA4D" w14:textId="77777777" w:rsidR="00142F45" w:rsidRPr="000646DD" w:rsidRDefault="00142F45" w:rsidP="00C46407">
            <w:pPr>
              <w:jc w:val="both"/>
              <w:rPr>
                <w:rFonts w:cs="Times New Roman"/>
                <w:szCs w:val="24"/>
              </w:rPr>
            </w:pPr>
            <w:r w:rsidRPr="000646DD">
              <w:rPr>
                <w:rFonts w:cs="Times New Roman"/>
                <w:szCs w:val="24"/>
              </w:rPr>
              <w:t>Slow IV, 5 mg/kg</w:t>
            </w:r>
          </w:p>
          <w:p w14:paraId="560A1BC5" w14:textId="77777777" w:rsidR="00142F45" w:rsidRPr="000646DD" w:rsidRDefault="00142F45" w:rsidP="00C46407">
            <w:pPr>
              <w:jc w:val="both"/>
              <w:rPr>
                <w:rFonts w:cs="Times New Roman"/>
                <w:szCs w:val="24"/>
              </w:rPr>
            </w:pPr>
            <w:r w:rsidRPr="000646DD">
              <w:rPr>
                <w:rFonts w:cs="Times New Roman"/>
                <w:szCs w:val="24"/>
              </w:rPr>
              <w:t xml:space="preserve">Maintenance, if required, </w:t>
            </w:r>
          </w:p>
          <w:p w14:paraId="5CD83F90" w14:textId="77777777" w:rsidR="00142F45" w:rsidRPr="000646DD" w:rsidRDefault="00142F45" w:rsidP="00C46407">
            <w:pPr>
              <w:jc w:val="both"/>
              <w:rPr>
                <w:rFonts w:cs="Times New Roman"/>
                <w:szCs w:val="24"/>
              </w:rPr>
            </w:pPr>
            <w:r w:rsidRPr="000646DD">
              <w:rPr>
                <w:rFonts w:cs="Times New Roman"/>
                <w:b/>
                <w:szCs w:val="24"/>
              </w:rPr>
              <w:t>6 months-9 years:</w:t>
            </w:r>
            <w:r w:rsidRPr="000646DD">
              <w:rPr>
                <w:rFonts w:cs="Times New Roman"/>
                <w:szCs w:val="24"/>
              </w:rPr>
              <w:t xml:space="preserve"> 1 mg/kg per hour by slow IV infusion. </w:t>
            </w:r>
          </w:p>
          <w:p w14:paraId="6F0B5FD6" w14:textId="77777777" w:rsidR="00142F45" w:rsidRPr="000646DD" w:rsidRDefault="00142F45" w:rsidP="00C46407">
            <w:pPr>
              <w:jc w:val="both"/>
              <w:rPr>
                <w:rFonts w:cs="Times New Roman"/>
                <w:szCs w:val="24"/>
              </w:rPr>
            </w:pPr>
            <w:r w:rsidRPr="000646DD">
              <w:rPr>
                <w:rFonts w:cs="Times New Roman"/>
                <w:b/>
                <w:bCs/>
                <w:szCs w:val="24"/>
              </w:rPr>
              <w:t xml:space="preserve">For 10 to 16 years: </w:t>
            </w:r>
            <w:r w:rsidRPr="000646DD">
              <w:rPr>
                <w:rFonts w:cs="Times New Roman"/>
                <w:szCs w:val="24"/>
              </w:rPr>
              <w:t>0.8 mg/kg per hour by slow IV infusion.</w:t>
            </w:r>
          </w:p>
        </w:tc>
      </w:tr>
      <w:tr w:rsidR="00142F45" w:rsidRPr="000646DD" w14:paraId="2649F8A5" w14:textId="77777777" w:rsidTr="00C46407">
        <w:tc>
          <w:tcPr>
            <w:tcW w:w="2700" w:type="dxa"/>
          </w:tcPr>
          <w:p w14:paraId="1DA32238"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166470D9" w14:textId="77777777" w:rsidR="00142F45" w:rsidRPr="000646DD" w:rsidRDefault="00142F45" w:rsidP="00C46407">
            <w:pPr>
              <w:jc w:val="both"/>
              <w:rPr>
                <w:rFonts w:cs="Times New Roman"/>
                <w:szCs w:val="24"/>
                <w:shd w:val="clear" w:color="auto" w:fill="FFFFFF"/>
              </w:rPr>
            </w:pPr>
            <w:r w:rsidRPr="000646DD">
              <w:rPr>
                <w:rFonts w:cs="Times New Roman"/>
                <w:szCs w:val="24"/>
                <w:shd w:val="clear" w:color="auto" w:fill="FFFFFF"/>
              </w:rPr>
              <w:t>Hypersensitivity to</w:t>
            </w:r>
            <w:r>
              <w:rPr>
                <w:rFonts w:cs="Times New Roman"/>
                <w:szCs w:val="24"/>
                <w:shd w:val="clear" w:color="auto" w:fill="FFFFFF"/>
              </w:rPr>
              <w:t xml:space="preserve"> the drug and other x</w:t>
            </w:r>
            <w:r w:rsidRPr="000646DD">
              <w:rPr>
                <w:rFonts w:cs="Times New Roman"/>
                <w:szCs w:val="24"/>
                <w:shd w:val="clear" w:color="auto" w:fill="FFFFFF"/>
              </w:rPr>
              <w:t>anthine derivatives (ethylenediamine, theophylline, caffeine, or theobromine), acute porphyria, use in child under 6 months of age</w:t>
            </w:r>
          </w:p>
        </w:tc>
      </w:tr>
      <w:tr w:rsidR="00142F45" w:rsidRPr="000646DD" w14:paraId="4F35C96C" w14:textId="77777777" w:rsidTr="00C46407">
        <w:tc>
          <w:tcPr>
            <w:tcW w:w="2700" w:type="dxa"/>
          </w:tcPr>
          <w:p w14:paraId="7ED4942D"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3C457211" w14:textId="77777777" w:rsidR="00142F45" w:rsidRPr="000646DD" w:rsidRDefault="00142F45" w:rsidP="00C46407">
            <w:pPr>
              <w:jc w:val="both"/>
              <w:rPr>
                <w:rFonts w:cs="Times New Roman"/>
                <w:szCs w:val="24"/>
              </w:rPr>
            </w:pPr>
            <w:r w:rsidRPr="000646DD">
              <w:rPr>
                <w:rFonts w:cs="Times New Roman"/>
                <w:szCs w:val="24"/>
              </w:rPr>
              <w:t>Zafirlukast, methotrexate, lithium</w:t>
            </w:r>
          </w:p>
        </w:tc>
      </w:tr>
      <w:tr w:rsidR="00142F45" w:rsidRPr="000646DD" w14:paraId="6DCDD9D5" w14:textId="77777777" w:rsidTr="00C46407">
        <w:tc>
          <w:tcPr>
            <w:tcW w:w="2700" w:type="dxa"/>
          </w:tcPr>
          <w:p w14:paraId="5D7D0681"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206F6DA3" w14:textId="77777777" w:rsidR="00142F45" w:rsidRPr="000646DD" w:rsidRDefault="00142F45" w:rsidP="00C46407">
            <w:pPr>
              <w:jc w:val="both"/>
              <w:rPr>
                <w:rFonts w:cs="Times New Roman"/>
                <w:szCs w:val="24"/>
              </w:rPr>
            </w:pPr>
            <w:r w:rsidRPr="000646DD">
              <w:rPr>
                <w:rFonts w:cs="Times New Roman"/>
                <w:szCs w:val="24"/>
              </w:rPr>
              <w:t>Nausea, vomiting, headache, insomnia, nervousness, diarrhea, gastrointestinal (GI) discomfort, increased urination, seizures, cardiac arrhythmias, severe hypotension, allergic reactions</w:t>
            </w:r>
          </w:p>
        </w:tc>
      </w:tr>
      <w:tr w:rsidR="00142F45" w:rsidRPr="000646DD" w14:paraId="140C6AEB" w14:textId="77777777" w:rsidTr="00C46407">
        <w:tc>
          <w:tcPr>
            <w:tcW w:w="2700" w:type="dxa"/>
          </w:tcPr>
          <w:p w14:paraId="0D2AB57F"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3A817904" w14:textId="77777777" w:rsidR="00142F45" w:rsidRPr="000646DD" w:rsidRDefault="00142F45" w:rsidP="00C46407">
            <w:pPr>
              <w:jc w:val="both"/>
              <w:rPr>
                <w:rFonts w:cs="Times New Roman"/>
                <w:szCs w:val="24"/>
              </w:rPr>
            </w:pPr>
            <w:r w:rsidRPr="000646DD">
              <w:rPr>
                <w:rFonts w:cs="Times New Roman"/>
                <w:szCs w:val="24"/>
              </w:rPr>
              <w:t>Cardiac arrhythmias, hypertension, hyperthyroidism, peptic ulcers,</w:t>
            </w:r>
            <w:r>
              <w:rPr>
                <w:rFonts w:cs="Times New Roman"/>
                <w:szCs w:val="24"/>
              </w:rPr>
              <w:t xml:space="preserve"> </w:t>
            </w:r>
            <w:r w:rsidRPr="000646DD">
              <w:rPr>
                <w:rFonts w:cs="Times New Roman"/>
                <w:szCs w:val="24"/>
              </w:rPr>
              <w:t>severe hypoxemia</w:t>
            </w:r>
          </w:p>
        </w:tc>
      </w:tr>
      <w:tr w:rsidR="00142F45" w:rsidRPr="000646DD" w14:paraId="5925D429" w14:textId="77777777" w:rsidTr="00C46407">
        <w:tc>
          <w:tcPr>
            <w:tcW w:w="2700" w:type="dxa"/>
          </w:tcPr>
          <w:p w14:paraId="3B6E7264"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172748F0" w14:textId="77777777" w:rsidR="00142F45" w:rsidRPr="000646DD" w:rsidRDefault="00142F45" w:rsidP="00C46407">
            <w:pPr>
              <w:jc w:val="both"/>
              <w:rPr>
                <w:rFonts w:cs="Times New Roman"/>
                <w:szCs w:val="24"/>
              </w:rPr>
            </w:pPr>
            <w:r w:rsidRPr="000646DD">
              <w:rPr>
                <w:rFonts w:cs="Times New Roman"/>
                <w:szCs w:val="24"/>
              </w:rPr>
              <w:t>Store below 30°C.</w:t>
            </w:r>
          </w:p>
        </w:tc>
      </w:tr>
      <w:tr w:rsidR="00142F45" w:rsidRPr="000646DD" w14:paraId="5D64BC2A" w14:textId="77777777" w:rsidTr="00C46407">
        <w:tc>
          <w:tcPr>
            <w:tcW w:w="9270" w:type="dxa"/>
            <w:gridSpan w:val="2"/>
          </w:tcPr>
          <w:p w14:paraId="1B4912D8" w14:textId="77777777" w:rsidR="00142F45" w:rsidRPr="000646DD" w:rsidRDefault="00142F45" w:rsidP="00C46407">
            <w:pPr>
              <w:jc w:val="both"/>
              <w:rPr>
                <w:rFonts w:cs="Times New Roman"/>
                <w:b/>
                <w:bCs/>
                <w:szCs w:val="24"/>
              </w:rPr>
            </w:pPr>
            <w:bookmarkStart w:id="46" w:name="_Toc168315204"/>
            <w:r w:rsidRPr="000646DD">
              <w:rPr>
                <w:rFonts w:cs="Times New Roman"/>
                <w:b/>
                <w:bCs/>
                <w:szCs w:val="24"/>
              </w:rPr>
              <w:lastRenderedPageBreak/>
              <w:t>Beclomethasone dipropionat</w:t>
            </w:r>
            <w:bookmarkEnd w:id="46"/>
            <w:r w:rsidRPr="000646DD">
              <w:rPr>
                <w:rFonts w:cs="Times New Roman"/>
                <w:b/>
                <w:bCs/>
                <w:szCs w:val="24"/>
              </w:rPr>
              <w:t>e</w:t>
            </w:r>
          </w:p>
        </w:tc>
      </w:tr>
      <w:tr w:rsidR="00142F45" w:rsidRPr="000646DD" w14:paraId="2D9E0E98" w14:textId="77777777" w:rsidTr="00C46407">
        <w:tc>
          <w:tcPr>
            <w:tcW w:w="2700" w:type="dxa"/>
          </w:tcPr>
          <w:p w14:paraId="7C936CF9"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3EC884DE" w14:textId="77777777" w:rsidR="00142F45" w:rsidRPr="000646DD" w:rsidRDefault="00142F45" w:rsidP="00C46407">
            <w:pPr>
              <w:jc w:val="both"/>
              <w:rPr>
                <w:rFonts w:cs="Times New Roman"/>
                <w:szCs w:val="24"/>
              </w:rPr>
            </w:pPr>
            <w:r w:rsidRPr="000646DD">
              <w:rPr>
                <w:rFonts w:cs="Times New Roman"/>
                <w:color w:val="000000" w:themeColor="text1"/>
                <w:szCs w:val="24"/>
              </w:rPr>
              <w:t>Corticosteroid</w:t>
            </w:r>
          </w:p>
        </w:tc>
      </w:tr>
      <w:tr w:rsidR="00142F45" w:rsidRPr="000646DD" w14:paraId="263BF580" w14:textId="77777777" w:rsidTr="00C46407">
        <w:tc>
          <w:tcPr>
            <w:tcW w:w="2700" w:type="dxa"/>
          </w:tcPr>
          <w:p w14:paraId="23A29DCF"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308CD7B5" w14:textId="77777777" w:rsidR="00142F45" w:rsidRPr="000646DD" w:rsidRDefault="00142F45" w:rsidP="00C46407">
            <w:pPr>
              <w:jc w:val="both"/>
              <w:rPr>
                <w:rFonts w:cs="Times New Roman"/>
                <w:szCs w:val="24"/>
              </w:rPr>
            </w:pPr>
            <w:r w:rsidRPr="000646DD">
              <w:rPr>
                <w:rFonts w:cs="Times New Roman"/>
                <w:szCs w:val="24"/>
              </w:rPr>
              <w:t xml:space="preserve">Oral Inhalation (aerosol): 50mcg/dose, 100mcg/dose, 200mcg/dose  </w:t>
            </w:r>
          </w:p>
        </w:tc>
      </w:tr>
      <w:tr w:rsidR="00142F45" w:rsidRPr="000646DD" w14:paraId="46025E6C" w14:textId="77777777" w:rsidTr="00C46407">
        <w:tc>
          <w:tcPr>
            <w:tcW w:w="2700" w:type="dxa"/>
          </w:tcPr>
          <w:p w14:paraId="6545F28F"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47774798" w14:textId="77777777" w:rsidR="00142F45" w:rsidRPr="000646DD" w:rsidRDefault="00142F45" w:rsidP="00C46407">
            <w:pPr>
              <w:jc w:val="both"/>
              <w:rPr>
                <w:rFonts w:cs="Times New Roman"/>
                <w:szCs w:val="24"/>
              </w:rPr>
            </w:pPr>
            <w:r w:rsidRPr="000646DD">
              <w:rPr>
                <w:rFonts w:cs="Times New Roman"/>
                <w:color w:val="192027"/>
                <w:szCs w:val="24"/>
                <w:shd w:val="clear" w:color="auto" w:fill="FFFFFF"/>
              </w:rPr>
              <w:t xml:space="preserve">Maintenance treatment in the prophylaxis of asthma attacks </w:t>
            </w:r>
          </w:p>
        </w:tc>
      </w:tr>
      <w:tr w:rsidR="00142F45" w:rsidRPr="000646DD" w14:paraId="3D7371EB" w14:textId="77777777" w:rsidTr="00C46407">
        <w:tc>
          <w:tcPr>
            <w:tcW w:w="2700" w:type="dxa"/>
          </w:tcPr>
          <w:p w14:paraId="63ED24A8"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1BA42F8E" w14:textId="77777777" w:rsidR="00142F45" w:rsidRDefault="00142F45" w:rsidP="00C46407">
            <w:pPr>
              <w:jc w:val="both"/>
              <w:rPr>
                <w:rFonts w:cs="Times New Roman"/>
                <w:b/>
                <w:bCs/>
                <w:szCs w:val="24"/>
              </w:rPr>
            </w:pPr>
            <w:r w:rsidRPr="005A3C8F">
              <w:rPr>
                <w:rFonts w:cs="Times New Roman"/>
                <w:b/>
                <w:bCs/>
                <w:szCs w:val="24"/>
              </w:rPr>
              <w:t>Inhalation</w:t>
            </w:r>
            <w:r>
              <w:rPr>
                <w:rFonts w:cs="Times New Roman"/>
                <w:b/>
                <w:bCs/>
                <w:szCs w:val="24"/>
              </w:rPr>
              <w:t>al:</w:t>
            </w:r>
          </w:p>
          <w:p w14:paraId="04C10AFE"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200–400 mcg twice daily; increased, if necessary, up to 800 mcg twice daily, dose to be adjusted as necessary.</w:t>
            </w:r>
          </w:p>
          <w:p w14:paraId="7CCF72C9" w14:textId="77777777" w:rsidR="00142F45" w:rsidRPr="000646DD" w:rsidRDefault="00142F45" w:rsidP="00C46407">
            <w:pPr>
              <w:jc w:val="both"/>
              <w:rPr>
                <w:rFonts w:cs="Times New Roman"/>
                <w:iCs/>
                <w:szCs w:val="24"/>
              </w:rPr>
            </w:pPr>
            <w:r w:rsidRPr="000646DD">
              <w:rPr>
                <w:rFonts w:cs="Times New Roman"/>
                <w:b/>
                <w:bCs/>
                <w:szCs w:val="24"/>
              </w:rPr>
              <w:t>Child (5–11 years):</w:t>
            </w:r>
            <w:r w:rsidRPr="000646DD">
              <w:rPr>
                <w:rFonts w:cs="Times New Roman"/>
                <w:szCs w:val="24"/>
              </w:rPr>
              <w:t xml:space="preserve"> 100–200 mcg twice daily, dose to be adjusted as necessary.</w:t>
            </w:r>
          </w:p>
        </w:tc>
      </w:tr>
      <w:tr w:rsidR="00142F45" w:rsidRPr="000646DD" w14:paraId="10E902A8" w14:textId="77777777" w:rsidTr="00C46407">
        <w:tc>
          <w:tcPr>
            <w:tcW w:w="2700" w:type="dxa"/>
          </w:tcPr>
          <w:p w14:paraId="10E6299A"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68D6BBA1" w14:textId="77777777" w:rsidR="00142F45" w:rsidRPr="000646DD" w:rsidRDefault="00142F45" w:rsidP="00C46407">
            <w:pPr>
              <w:jc w:val="both"/>
              <w:rPr>
                <w:rFonts w:cs="Times New Roman"/>
                <w:szCs w:val="24"/>
              </w:rPr>
            </w:pPr>
            <w:r w:rsidRPr="000646DD">
              <w:rPr>
                <w:rFonts w:cs="Times New Roman"/>
                <w:szCs w:val="24"/>
              </w:rPr>
              <w:t>Hypersensitivity to the drug or any of the excipients</w:t>
            </w:r>
          </w:p>
        </w:tc>
      </w:tr>
      <w:tr w:rsidR="00142F45" w:rsidRPr="000646DD" w14:paraId="3C014EC7" w14:textId="77777777" w:rsidTr="00C46407">
        <w:tc>
          <w:tcPr>
            <w:tcW w:w="2700" w:type="dxa"/>
          </w:tcPr>
          <w:p w14:paraId="5617A179"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639A92DF" w14:textId="77777777" w:rsidR="00142F45" w:rsidRPr="000646DD" w:rsidRDefault="00142F45" w:rsidP="00C46407">
            <w:pPr>
              <w:jc w:val="both"/>
              <w:rPr>
                <w:rFonts w:cs="Times New Roman"/>
                <w:szCs w:val="24"/>
              </w:rPr>
            </w:pPr>
            <w:r w:rsidRPr="000646DD">
              <w:rPr>
                <w:rFonts w:cs="Times New Roman"/>
                <w:szCs w:val="24"/>
              </w:rPr>
              <w:t>Ritonavir, metronidazole</w:t>
            </w:r>
          </w:p>
        </w:tc>
      </w:tr>
      <w:tr w:rsidR="00142F45" w:rsidRPr="000646DD" w14:paraId="3A2FC5A8" w14:textId="77777777" w:rsidTr="00C46407">
        <w:tc>
          <w:tcPr>
            <w:tcW w:w="2700" w:type="dxa"/>
          </w:tcPr>
          <w:p w14:paraId="1937F300"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1271FE26" w14:textId="77777777" w:rsidR="00142F45" w:rsidRPr="000646DD" w:rsidRDefault="00142F45" w:rsidP="00C46407">
            <w:pPr>
              <w:jc w:val="both"/>
              <w:rPr>
                <w:rFonts w:cs="Times New Roman"/>
                <w:szCs w:val="24"/>
              </w:rPr>
            </w:pPr>
            <w:r w:rsidRPr="000646DD">
              <w:rPr>
                <w:rFonts w:cs="Times New Roman"/>
                <w:szCs w:val="24"/>
              </w:rPr>
              <w:t>Throat irritation, candidiasis in oral and throat, taste disturbances, hoarseness, dry mouth, systemic side effects including Cushing’s syndrome, cushingoid features, adrenal suppression, decrease in bone mineral density, cataract, glaucoma, blurred vision.</w:t>
            </w:r>
          </w:p>
        </w:tc>
      </w:tr>
      <w:tr w:rsidR="00142F45" w:rsidRPr="000646DD" w14:paraId="4C321B61" w14:textId="77777777" w:rsidTr="00C46407">
        <w:tc>
          <w:tcPr>
            <w:tcW w:w="2700" w:type="dxa"/>
          </w:tcPr>
          <w:p w14:paraId="55BE8D4E"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0A3FC9EC" w14:textId="77777777" w:rsidR="00142F45" w:rsidRPr="000646DD" w:rsidRDefault="00142F45" w:rsidP="00C46407">
            <w:pPr>
              <w:jc w:val="both"/>
              <w:rPr>
                <w:rFonts w:cs="Times New Roman"/>
                <w:szCs w:val="24"/>
              </w:rPr>
            </w:pPr>
            <w:r w:rsidRPr="000646DD">
              <w:rPr>
                <w:rFonts w:cs="Times New Roman"/>
                <w:szCs w:val="24"/>
              </w:rPr>
              <w:t>High doses prescribed for prolonged periods, use in child and adolescents receiving prolonged treatment, active pulmonary tuberculosis and untreated fungal, bacterial, or viral infections.</w:t>
            </w:r>
          </w:p>
        </w:tc>
      </w:tr>
      <w:tr w:rsidR="00142F45" w:rsidRPr="000646DD" w14:paraId="2E9578A6" w14:textId="77777777" w:rsidTr="00C46407">
        <w:tc>
          <w:tcPr>
            <w:tcW w:w="2700" w:type="dxa"/>
          </w:tcPr>
          <w:p w14:paraId="39513E5E"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7CD265BA" w14:textId="77777777" w:rsidR="00142F45" w:rsidRPr="000646DD" w:rsidRDefault="00142F45" w:rsidP="00C46407">
            <w:pPr>
              <w:jc w:val="both"/>
              <w:rPr>
                <w:rFonts w:cs="Times New Roman"/>
                <w:szCs w:val="24"/>
              </w:rPr>
            </w:pPr>
            <w:r w:rsidRPr="000646DD">
              <w:rPr>
                <w:rFonts w:cs="Times New Roman"/>
                <w:szCs w:val="24"/>
              </w:rPr>
              <w:t>Store below 30°C. Protect from moisture.</w:t>
            </w:r>
          </w:p>
        </w:tc>
      </w:tr>
      <w:tr w:rsidR="00142F45" w:rsidRPr="000646DD" w14:paraId="0251156A" w14:textId="77777777" w:rsidTr="00C46407">
        <w:tc>
          <w:tcPr>
            <w:tcW w:w="9270" w:type="dxa"/>
            <w:gridSpan w:val="2"/>
          </w:tcPr>
          <w:p w14:paraId="37423752" w14:textId="77777777" w:rsidR="00142F45" w:rsidRPr="000646DD" w:rsidRDefault="00142F45" w:rsidP="00C46407">
            <w:pPr>
              <w:jc w:val="both"/>
              <w:rPr>
                <w:rFonts w:cs="Times New Roman"/>
                <w:b/>
                <w:bCs/>
                <w:szCs w:val="24"/>
              </w:rPr>
            </w:pPr>
            <w:bookmarkStart w:id="47" w:name="_Toc168315205"/>
            <w:r w:rsidRPr="000646DD">
              <w:rPr>
                <w:rFonts w:cs="Times New Roman"/>
                <w:b/>
                <w:bCs/>
                <w:szCs w:val="24"/>
              </w:rPr>
              <w:t>Budesonide</w:t>
            </w:r>
            <w:bookmarkEnd w:id="47"/>
          </w:p>
        </w:tc>
      </w:tr>
      <w:tr w:rsidR="00142F45" w:rsidRPr="000646DD" w14:paraId="76B92AE1" w14:textId="77777777" w:rsidTr="00C46407">
        <w:tc>
          <w:tcPr>
            <w:tcW w:w="2700" w:type="dxa"/>
          </w:tcPr>
          <w:p w14:paraId="7BAF4810"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0E6C95BD" w14:textId="77777777" w:rsidR="00142F45" w:rsidRPr="000646DD" w:rsidRDefault="00142F45" w:rsidP="00C46407">
            <w:pPr>
              <w:jc w:val="both"/>
              <w:rPr>
                <w:rFonts w:cs="Times New Roman"/>
                <w:szCs w:val="24"/>
              </w:rPr>
            </w:pPr>
            <w:r w:rsidRPr="000646DD">
              <w:rPr>
                <w:rFonts w:cs="Times New Roman"/>
                <w:szCs w:val="24"/>
              </w:rPr>
              <w:t>Corticosteroid</w:t>
            </w:r>
          </w:p>
        </w:tc>
      </w:tr>
      <w:tr w:rsidR="00142F45" w:rsidRPr="000646DD" w14:paraId="0FC3F66F" w14:textId="77777777" w:rsidTr="00C46407">
        <w:tc>
          <w:tcPr>
            <w:tcW w:w="2700" w:type="dxa"/>
          </w:tcPr>
          <w:p w14:paraId="38AEF4EC"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2AF6CCE4" w14:textId="77777777" w:rsidR="00142F45" w:rsidRPr="000646DD" w:rsidRDefault="00142F45" w:rsidP="00C46407">
            <w:pPr>
              <w:jc w:val="both"/>
              <w:rPr>
                <w:rFonts w:cs="Times New Roman"/>
                <w:szCs w:val="24"/>
              </w:rPr>
            </w:pPr>
            <w:r w:rsidRPr="000646DD">
              <w:rPr>
                <w:rFonts w:cs="Times New Roman"/>
                <w:szCs w:val="24"/>
              </w:rPr>
              <w:t>Inhaler (Metered Dose Inhaler - MDI): 100 mcg/dose, 200 mcg/dose or 400 mcg/dose</w:t>
            </w:r>
          </w:p>
          <w:p w14:paraId="591F016C" w14:textId="77777777" w:rsidR="00142F45" w:rsidRPr="000646DD" w:rsidRDefault="00142F45" w:rsidP="00C46407">
            <w:pPr>
              <w:jc w:val="both"/>
              <w:rPr>
                <w:rFonts w:cs="Times New Roman"/>
                <w:szCs w:val="24"/>
              </w:rPr>
            </w:pPr>
            <w:r w:rsidRPr="000646DD">
              <w:rPr>
                <w:rFonts w:cs="Times New Roman"/>
                <w:szCs w:val="24"/>
              </w:rPr>
              <w:t>Dry Powder Inhaler (DPI): 90 mcg/dose, or 180 mcg/dose</w:t>
            </w:r>
          </w:p>
          <w:p w14:paraId="158667BA" w14:textId="77777777" w:rsidR="00142F45" w:rsidRPr="000646DD" w:rsidRDefault="00142F45" w:rsidP="00C46407">
            <w:pPr>
              <w:jc w:val="both"/>
              <w:rPr>
                <w:rFonts w:cs="Times New Roman"/>
                <w:szCs w:val="24"/>
              </w:rPr>
            </w:pPr>
            <w:r w:rsidRPr="000646DD">
              <w:rPr>
                <w:rFonts w:cs="Times New Roman"/>
                <w:szCs w:val="24"/>
              </w:rPr>
              <w:t>Nebulizer Solution: 0.25 mg/2 ml, 0.5 mg/2 ml, or 1 mg/2 ml</w:t>
            </w:r>
          </w:p>
          <w:p w14:paraId="6045F5BA" w14:textId="77777777" w:rsidR="00142F45" w:rsidRPr="000646DD" w:rsidRDefault="00142F45" w:rsidP="00C46407">
            <w:pPr>
              <w:jc w:val="both"/>
              <w:rPr>
                <w:rFonts w:cs="Times New Roman"/>
                <w:szCs w:val="24"/>
              </w:rPr>
            </w:pPr>
            <w:r w:rsidRPr="000646DD">
              <w:rPr>
                <w:rFonts w:cs="Times New Roman"/>
                <w:szCs w:val="24"/>
              </w:rPr>
              <w:t>Nasal Spray: 32 mcg per spray</w:t>
            </w:r>
          </w:p>
          <w:p w14:paraId="76F0D262" w14:textId="77777777" w:rsidR="00142F45" w:rsidRPr="000646DD" w:rsidRDefault="00142F45" w:rsidP="00C46407">
            <w:pPr>
              <w:jc w:val="both"/>
              <w:rPr>
                <w:rFonts w:cs="Times New Roman"/>
                <w:szCs w:val="24"/>
              </w:rPr>
            </w:pPr>
            <w:r w:rsidRPr="000646DD">
              <w:rPr>
                <w:rFonts w:cs="Times New Roman"/>
                <w:szCs w:val="24"/>
              </w:rPr>
              <w:t>Capsule: 3 mg</w:t>
            </w:r>
          </w:p>
        </w:tc>
      </w:tr>
      <w:tr w:rsidR="00142F45" w:rsidRPr="000646DD" w14:paraId="1516C76F" w14:textId="77777777" w:rsidTr="00C46407">
        <w:tc>
          <w:tcPr>
            <w:tcW w:w="2700" w:type="dxa"/>
          </w:tcPr>
          <w:p w14:paraId="6BD1CB7A"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6A77E846" w14:textId="77777777" w:rsidR="00142F45" w:rsidRPr="000646DD" w:rsidRDefault="00142F45" w:rsidP="00C46407">
            <w:pPr>
              <w:jc w:val="both"/>
              <w:rPr>
                <w:rFonts w:cs="Times New Roman"/>
                <w:iCs/>
                <w:szCs w:val="24"/>
              </w:rPr>
            </w:pPr>
            <w:r w:rsidRPr="000646DD">
              <w:rPr>
                <w:rFonts w:cs="Times New Roman"/>
                <w:szCs w:val="24"/>
              </w:rPr>
              <w:t>Prophylaxis and treatment of asthma, chronic rhinosinusitis</w:t>
            </w:r>
          </w:p>
        </w:tc>
      </w:tr>
      <w:tr w:rsidR="00142F45" w:rsidRPr="000646DD" w14:paraId="7393786D" w14:textId="77777777" w:rsidTr="00C46407">
        <w:tc>
          <w:tcPr>
            <w:tcW w:w="2700" w:type="dxa"/>
          </w:tcPr>
          <w:p w14:paraId="25EDA66C"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29164072" w14:textId="77777777" w:rsidR="00142F45" w:rsidRPr="000646DD" w:rsidRDefault="00142F45" w:rsidP="00C46407">
            <w:pPr>
              <w:jc w:val="both"/>
              <w:rPr>
                <w:rFonts w:cs="Times New Roman"/>
                <w:b/>
                <w:bCs/>
                <w:szCs w:val="24"/>
              </w:rPr>
            </w:pPr>
            <w:r w:rsidRPr="000646DD">
              <w:rPr>
                <w:rFonts w:cs="Times New Roman"/>
                <w:b/>
                <w:bCs/>
                <w:szCs w:val="24"/>
              </w:rPr>
              <w:t>Asthma (Inhalation):</w:t>
            </w:r>
          </w:p>
          <w:p w14:paraId="55B32CA1" w14:textId="77777777" w:rsidR="00142F45" w:rsidRPr="000646DD" w:rsidRDefault="00142F45" w:rsidP="00C46407">
            <w:pPr>
              <w:jc w:val="both"/>
              <w:rPr>
                <w:rFonts w:cs="Times New Roman"/>
                <w:iCs/>
                <w:szCs w:val="24"/>
              </w:rPr>
            </w:pPr>
            <w:r w:rsidRPr="000646DD">
              <w:rPr>
                <w:rFonts w:cs="Times New Roman"/>
                <w:b/>
                <w:bCs/>
                <w:iCs/>
                <w:szCs w:val="24"/>
              </w:rPr>
              <w:lastRenderedPageBreak/>
              <w:t>Adult:</w:t>
            </w:r>
            <w:r w:rsidRPr="000646DD">
              <w:rPr>
                <w:rFonts w:cs="Times New Roman"/>
                <w:iCs/>
                <w:szCs w:val="24"/>
              </w:rPr>
              <w:t xml:space="preserve"> 100–800 mcg twice daily, dose to be adjusted as necessary.</w:t>
            </w:r>
          </w:p>
          <w:p w14:paraId="55C406CF" w14:textId="77777777" w:rsidR="00142F45" w:rsidRPr="000646DD" w:rsidRDefault="00142F45" w:rsidP="00C46407">
            <w:pPr>
              <w:jc w:val="both"/>
              <w:rPr>
                <w:rFonts w:cs="Times New Roman"/>
                <w:iCs/>
                <w:szCs w:val="24"/>
              </w:rPr>
            </w:pPr>
            <w:r w:rsidRPr="000646DD">
              <w:rPr>
                <w:rFonts w:cs="Times New Roman"/>
                <w:b/>
                <w:bCs/>
                <w:iCs/>
                <w:szCs w:val="24"/>
              </w:rPr>
              <w:t>Child (6–11 years):</w:t>
            </w:r>
            <w:r w:rsidRPr="000646DD">
              <w:rPr>
                <w:rFonts w:cs="Times New Roman"/>
                <w:iCs/>
                <w:szCs w:val="24"/>
              </w:rPr>
              <w:t xml:space="preserve"> 100–400 mcg twice daily, dose to be adjusted as necessary.</w:t>
            </w:r>
          </w:p>
          <w:p w14:paraId="5C4629BC" w14:textId="77777777" w:rsidR="00142F45" w:rsidRPr="000646DD" w:rsidRDefault="00142F45" w:rsidP="00C46407">
            <w:pPr>
              <w:jc w:val="both"/>
              <w:rPr>
                <w:rFonts w:cs="Times New Roman"/>
                <w:b/>
                <w:bCs/>
                <w:iCs/>
                <w:szCs w:val="24"/>
              </w:rPr>
            </w:pPr>
            <w:r w:rsidRPr="000646DD">
              <w:rPr>
                <w:rFonts w:cs="Times New Roman"/>
                <w:b/>
                <w:bCs/>
                <w:iCs/>
                <w:szCs w:val="24"/>
              </w:rPr>
              <w:t>Inhalation of Nebulized Suspension:</w:t>
            </w:r>
          </w:p>
          <w:p w14:paraId="0ABBF8C7" w14:textId="77777777" w:rsidR="00142F45" w:rsidRPr="000646DD" w:rsidRDefault="00142F45" w:rsidP="00C46407">
            <w:pPr>
              <w:jc w:val="both"/>
              <w:rPr>
                <w:rFonts w:cs="Times New Roman"/>
                <w:iCs/>
                <w:szCs w:val="24"/>
              </w:rPr>
            </w:pPr>
            <w:r w:rsidRPr="000646DD">
              <w:rPr>
                <w:rFonts w:cs="Times New Roman"/>
                <w:b/>
                <w:bCs/>
                <w:iCs/>
                <w:szCs w:val="24"/>
              </w:rPr>
              <w:t>Adult:</w:t>
            </w:r>
            <w:r w:rsidRPr="000646DD">
              <w:rPr>
                <w:rFonts w:cs="Times New Roman"/>
                <w:iCs/>
                <w:szCs w:val="24"/>
              </w:rPr>
              <w:t xml:space="preserve"> Initially 0.25–1 mg twice daily, adjusted according to response. </w:t>
            </w:r>
          </w:p>
          <w:p w14:paraId="684397D9" w14:textId="77777777" w:rsidR="00142F45" w:rsidRPr="000646DD" w:rsidRDefault="00142F45" w:rsidP="00C46407">
            <w:pPr>
              <w:jc w:val="both"/>
              <w:rPr>
                <w:rFonts w:cs="Times New Roman"/>
                <w:b/>
                <w:bCs/>
                <w:iCs/>
                <w:szCs w:val="24"/>
              </w:rPr>
            </w:pPr>
            <w:r w:rsidRPr="000646DD">
              <w:rPr>
                <w:rFonts w:cs="Times New Roman"/>
                <w:b/>
                <w:bCs/>
                <w:iCs/>
                <w:szCs w:val="24"/>
              </w:rPr>
              <w:t>Chronic Rhinosinusitis (Nasal Spray)</w:t>
            </w:r>
          </w:p>
          <w:p w14:paraId="04254A75" w14:textId="77777777" w:rsidR="00142F45" w:rsidRPr="000646DD" w:rsidRDefault="00142F45" w:rsidP="00C46407">
            <w:pPr>
              <w:jc w:val="both"/>
              <w:rPr>
                <w:rFonts w:cs="Times New Roman"/>
                <w:iCs/>
                <w:szCs w:val="24"/>
              </w:rPr>
            </w:pPr>
            <w:r w:rsidRPr="000646DD">
              <w:rPr>
                <w:rFonts w:cs="Times New Roman"/>
                <w:b/>
                <w:bCs/>
                <w:iCs/>
                <w:szCs w:val="24"/>
              </w:rPr>
              <w:t>Adult and Child 6 years and older:</w:t>
            </w:r>
            <w:r w:rsidRPr="000646DD">
              <w:rPr>
                <w:rFonts w:cs="Times New Roman"/>
                <w:iCs/>
                <w:szCs w:val="24"/>
              </w:rPr>
              <w:t xml:space="preserve"> 64 mcg (1 spray per nostril) once daily, up to 256 mcg daily.</w:t>
            </w:r>
          </w:p>
          <w:p w14:paraId="25A63030" w14:textId="77777777" w:rsidR="00142F45" w:rsidRPr="000646DD" w:rsidRDefault="00142F45" w:rsidP="00C46407">
            <w:pPr>
              <w:jc w:val="both"/>
              <w:rPr>
                <w:rFonts w:cs="Times New Roman"/>
                <w:iCs/>
                <w:szCs w:val="24"/>
              </w:rPr>
            </w:pPr>
            <w:r w:rsidRPr="00880A28">
              <w:rPr>
                <w:rFonts w:cs="Times New Roman"/>
                <w:bCs/>
                <w:i/>
                <w:iCs/>
                <w:szCs w:val="24"/>
              </w:rPr>
              <w:t>Note:</w:t>
            </w:r>
            <w:r w:rsidRPr="000646DD">
              <w:rPr>
                <w:rFonts w:cs="Times New Roman"/>
                <w:iCs/>
                <w:szCs w:val="24"/>
              </w:rPr>
              <w:t xml:space="preserve"> </w:t>
            </w:r>
            <w:r w:rsidRPr="000646DD">
              <w:rPr>
                <w:rFonts w:cs="Times New Roman"/>
                <w:i/>
                <w:szCs w:val="24"/>
              </w:rPr>
              <w:t>Doses higher than recommended may be used in severe disease.</w:t>
            </w:r>
          </w:p>
        </w:tc>
      </w:tr>
      <w:tr w:rsidR="00142F45" w:rsidRPr="000646DD" w14:paraId="428F345B" w14:textId="77777777" w:rsidTr="00C46407">
        <w:tc>
          <w:tcPr>
            <w:tcW w:w="2700" w:type="dxa"/>
          </w:tcPr>
          <w:p w14:paraId="7B7FE960" w14:textId="77777777" w:rsidR="00142F45" w:rsidRPr="000646DD" w:rsidRDefault="00142F45" w:rsidP="00C46407">
            <w:pPr>
              <w:rPr>
                <w:rFonts w:cs="Times New Roman"/>
                <w:szCs w:val="24"/>
              </w:rPr>
            </w:pPr>
            <w:r w:rsidRPr="000646DD">
              <w:rPr>
                <w:rFonts w:cs="Times New Roman"/>
                <w:szCs w:val="24"/>
              </w:rPr>
              <w:lastRenderedPageBreak/>
              <w:t>Contraindications</w:t>
            </w:r>
          </w:p>
        </w:tc>
        <w:tc>
          <w:tcPr>
            <w:tcW w:w="6570" w:type="dxa"/>
          </w:tcPr>
          <w:p w14:paraId="75290AC6" w14:textId="77777777" w:rsidR="00142F45" w:rsidRPr="000646DD" w:rsidRDefault="00142F45" w:rsidP="00C46407">
            <w:pPr>
              <w:jc w:val="both"/>
              <w:rPr>
                <w:rFonts w:cs="Times New Roman"/>
                <w:szCs w:val="24"/>
              </w:rPr>
            </w:pPr>
            <w:r w:rsidRPr="000646DD">
              <w:rPr>
                <w:rFonts w:cs="Times New Roman"/>
                <w:szCs w:val="24"/>
              </w:rPr>
              <w:t>Hypersensitivity to the drug</w:t>
            </w:r>
            <w:r w:rsidR="00880A28">
              <w:rPr>
                <w:rFonts w:cs="Times New Roman"/>
                <w:szCs w:val="24"/>
              </w:rPr>
              <w:t>.</w:t>
            </w:r>
          </w:p>
        </w:tc>
      </w:tr>
      <w:tr w:rsidR="00142F45" w:rsidRPr="000646DD" w14:paraId="15C4F668" w14:textId="77777777" w:rsidTr="00C46407">
        <w:tc>
          <w:tcPr>
            <w:tcW w:w="2700" w:type="dxa"/>
          </w:tcPr>
          <w:p w14:paraId="0AD86C97"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2BCA950E" w14:textId="77777777" w:rsidR="00142F45" w:rsidRPr="000646DD" w:rsidRDefault="00142F45" w:rsidP="00C46407">
            <w:pPr>
              <w:jc w:val="both"/>
              <w:rPr>
                <w:rFonts w:cs="Times New Roman"/>
                <w:szCs w:val="24"/>
              </w:rPr>
            </w:pPr>
            <w:r w:rsidRPr="000646DD">
              <w:rPr>
                <w:rFonts w:cs="Times New Roman"/>
                <w:szCs w:val="24"/>
              </w:rPr>
              <w:t>Ketoconazole, itraconazole, voriconazole, posaconazole, clarithromycin, telithromycin, nefazodone, HIV</w:t>
            </w:r>
            <w:r>
              <w:rPr>
                <w:rFonts w:cs="Times New Roman"/>
                <w:szCs w:val="24"/>
              </w:rPr>
              <w:t>-</w:t>
            </w:r>
            <w:r w:rsidRPr="000646DD">
              <w:rPr>
                <w:rFonts w:cs="Times New Roman"/>
                <w:szCs w:val="24"/>
              </w:rPr>
              <w:t>protease inhibitors, quinidine, disopyramide, procainamide, phenothiazines, antihistamines (e.g., terfenadine), tricyclic antidepressants, xanthine derivatives, steroids, and diuretics</w:t>
            </w:r>
          </w:p>
        </w:tc>
      </w:tr>
      <w:tr w:rsidR="00142F45" w:rsidRPr="000646DD" w14:paraId="2F7B5757" w14:textId="77777777" w:rsidTr="00C46407">
        <w:tc>
          <w:tcPr>
            <w:tcW w:w="2700" w:type="dxa"/>
          </w:tcPr>
          <w:p w14:paraId="402DAFB9"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33BB3209" w14:textId="77777777" w:rsidR="00142F45" w:rsidRPr="000646DD" w:rsidRDefault="00142F45" w:rsidP="00C46407">
            <w:pPr>
              <w:jc w:val="both"/>
              <w:rPr>
                <w:rFonts w:cs="Times New Roman"/>
                <w:szCs w:val="24"/>
              </w:rPr>
            </w:pPr>
            <w:r w:rsidRPr="000646DD">
              <w:rPr>
                <w:rFonts w:cs="Times New Roman"/>
                <w:szCs w:val="24"/>
              </w:rPr>
              <w:t xml:space="preserve">Refer notes under </w:t>
            </w:r>
            <w:r w:rsidRPr="00183A3A">
              <w:rPr>
                <w:rFonts w:cs="Times New Roman"/>
                <w:szCs w:val="24"/>
              </w:rPr>
              <w:t xml:space="preserve">Beclomethasone dipropionate </w:t>
            </w:r>
            <w:r w:rsidRPr="000646DD">
              <w:rPr>
                <w:rFonts w:cs="Times New Roman"/>
                <w:szCs w:val="24"/>
              </w:rPr>
              <w:t>side effects</w:t>
            </w:r>
          </w:p>
        </w:tc>
      </w:tr>
      <w:tr w:rsidR="00142F45" w:rsidRPr="000646DD" w14:paraId="3473CD89" w14:textId="77777777" w:rsidTr="00C46407">
        <w:tc>
          <w:tcPr>
            <w:tcW w:w="2700" w:type="dxa"/>
          </w:tcPr>
          <w:p w14:paraId="29D276CE"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0A247A48" w14:textId="77777777" w:rsidR="00142F45" w:rsidRPr="000646DD" w:rsidRDefault="00142F45" w:rsidP="00C46407">
            <w:pPr>
              <w:jc w:val="both"/>
              <w:rPr>
                <w:rFonts w:cs="Times New Roman"/>
                <w:szCs w:val="24"/>
              </w:rPr>
            </w:pPr>
            <w:r w:rsidRPr="000646DD">
              <w:rPr>
                <w:rFonts w:cs="Times New Roman"/>
                <w:szCs w:val="24"/>
              </w:rPr>
              <w:t xml:space="preserve">Refer notes under </w:t>
            </w:r>
            <w:r w:rsidRPr="00183A3A">
              <w:rPr>
                <w:rFonts w:cs="Times New Roman"/>
                <w:szCs w:val="24"/>
              </w:rPr>
              <w:t xml:space="preserve">Beclomethasone dipropionate </w:t>
            </w:r>
            <w:r w:rsidRPr="000646DD">
              <w:rPr>
                <w:rFonts w:cs="Times New Roman"/>
                <w:szCs w:val="24"/>
              </w:rPr>
              <w:t>cautions</w:t>
            </w:r>
          </w:p>
        </w:tc>
      </w:tr>
      <w:tr w:rsidR="00142F45" w:rsidRPr="000646DD" w14:paraId="34D41416" w14:textId="77777777" w:rsidTr="00C46407">
        <w:tc>
          <w:tcPr>
            <w:tcW w:w="2700" w:type="dxa"/>
          </w:tcPr>
          <w:p w14:paraId="59A0CF25"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09379822" w14:textId="77777777" w:rsidR="00142F45" w:rsidRPr="000646DD" w:rsidRDefault="00142F45" w:rsidP="00C46407">
            <w:pPr>
              <w:jc w:val="both"/>
              <w:rPr>
                <w:rFonts w:cs="Times New Roman"/>
                <w:szCs w:val="24"/>
              </w:rPr>
            </w:pPr>
            <w:r w:rsidRPr="000646DD">
              <w:rPr>
                <w:rFonts w:cs="Times New Roman"/>
                <w:szCs w:val="24"/>
              </w:rPr>
              <w:t>Store below 30°C. Protect from moisture.</w:t>
            </w:r>
          </w:p>
        </w:tc>
      </w:tr>
      <w:tr w:rsidR="00142F45" w:rsidRPr="000646DD" w14:paraId="4FFAD49A" w14:textId="77777777" w:rsidTr="00C46407">
        <w:tc>
          <w:tcPr>
            <w:tcW w:w="9270" w:type="dxa"/>
            <w:gridSpan w:val="2"/>
          </w:tcPr>
          <w:p w14:paraId="471371A0" w14:textId="77777777" w:rsidR="00142F45" w:rsidRPr="000646DD" w:rsidRDefault="00142F45" w:rsidP="00C46407">
            <w:pPr>
              <w:jc w:val="both"/>
              <w:rPr>
                <w:rFonts w:cs="Times New Roman"/>
                <w:b/>
                <w:bCs/>
                <w:szCs w:val="24"/>
              </w:rPr>
            </w:pPr>
            <w:bookmarkStart w:id="48" w:name="_Toc168315206"/>
            <w:r w:rsidRPr="000646DD">
              <w:rPr>
                <w:rStyle w:val="fontstyle01"/>
                <w:rFonts w:ascii="Times New Roman" w:hAnsi="Times New Roman" w:cs="Times New Roman"/>
                <w:b/>
                <w:bCs/>
                <w:sz w:val="24"/>
                <w:szCs w:val="24"/>
              </w:rPr>
              <w:t>Budesonide + formoterol</w:t>
            </w:r>
            <w:bookmarkEnd w:id="48"/>
          </w:p>
        </w:tc>
      </w:tr>
      <w:tr w:rsidR="00142F45" w:rsidRPr="000646DD" w14:paraId="4539E6F8" w14:textId="77777777" w:rsidTr="00C46407">
        <w:tc>
          <w:tcPr>
            <w:tcW w:w="2700" w:type="dxa"/>
          </w:tcPr>
          <w:p w14:paraId="64BAEABD"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71CC49D8" w14:textId="77777777" w:rsidR="00142F45" w:rsidRPr="000646DD" w:rsidRDefault="00142F45" w:rsidP="00C46407">
            <w:pPr>
              <w:jc w:val="both"/>
              <w:rPr>
                <w:rFonts w:cs="Times New Roman"/>
                <w:szCs w:val="24"/>
              </w:rPr>
            </w:pPr>
            <w:r w:rsidRPr="000646DD">
              <w:rPr>
                <w:rFonts w:cs="Times New Roman"/>
                <w:szCs w:val="24"/>
              </w:rPr>
              <w:t>Corticosteroid + Long-acting Beta2-agonist (LABA)</w:t>
            </w:r>
          </w:p>
        </w:tc>
      </w:tr>
      <w:tr w:rsidR="00142F45" w:rsidRPr="000646DD" w14:paraId="5A2DF3A5" w14:textId="77777777" w:rsidTr="00C46407">
        <w:tc>
          <w:tcPr>
            <w:tcW w:w="2700" w:type="dxa"/>
          </w:tcPr>
          <w:p w14:paraId="595E898A"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1ACF5DFC" w14:textId="77777777" w:rsidR="00142F45" w:rsidRPr="000646DD" w:rsidRDefault="00142F45" w:rsidP="00C46407">
            <w:pPr>
              <w:jc w:val="both"/>
              <w:rPr>
                <w:rStyle w:val="fontstyle01"/>
                <w:rFonts w:ascii="Times New Roman" w:hAnsi="Times New Roman" w:cs="Times New Roman"/>
                <w:b/>
                <w:bCs/>
                <w:sz w:val="24"/>
                <w:szCs w:val="24"/>
              </w:rPr>
            </w:pPr>
            <w:r w:rsidRPr="000646DD">
              <w:rPr>
                <w:rStyle w:val="fontstyle01"/>
                <w:rFonts w:ascii="Times New Roman" w:hAnsi="Times New Roman" w:cs="Times New Roman"/>
                <w:b/>
                <w:bCs/>
                <w:sz w:val="24"/>
                <w:szCs w:val="24"/>
              </w:rPr>
              <w:t xml:space="preserve">MDI: </w:t>
            </w:r>
          </w:p>
          <w:p w14:paraId="205540C6" w14:textId="77777777" w:rsidR="00142F45" w:rsidRPr="000646DD" w:rsidRDefault="00142F45" w:rsidP="00C46407">
            <w:pPr>
              <w:jc w:val="both"/>
              <w:rPr>
                <w:rFonts w:cs="Times New Roman"/>
                <w:szCs w:val="24"/>
              </w:rPr>
            </w:pPr>
            <w:r w:rsidRPr="000646DD">
              <w:rPr>
                <w:rFonts w:cs="Times New Roman"/>
                <w:szCs w:val="24"/>
              </w:rPr>
              <w:t>80 mcg Budesonide + 4.5 mcg Formoterol per actuation</w:t>
            </w:r>
          </w:p>
          <w:p w14:paraId="01A2B690" w14:textId="77777777" w:rsidR="00142F45" w:rsidRPr="000646DD" w:rsidRDefault="00142F45" w:rsidP="00C46407">
            <w:pPr>
              <w:jc w:val="both"/>
              <w:rPr>
                <w:rFonts w:cs="Times New Roman"/>
                <w:szCs w:val="24"/>
              </w:rPr>
            </w:pPr>
            <w:r w:rsidRPr="000646DD">
              <w:rPr>
                <w:rFonts w:cs="Times New Roman"/>
                <w:szCs w:val="24"/>
              </w:rPr>
              <w:t>160 mcg Budesonide + 4.5 mcg Formoterol per actuation</w:t>
            </w:r>
          </w:p>
          <w:p w14:paraId="5A42627D" w14:textId="77777777" w:rsidR="00142F45" w:rsidRPr="000646DD" w:rsidRDefault="00142F45" w:rsidP="00C46407">
            <w:pPr>
              <w:jc w:val="both"/>
              <w:rPr>
                <w:rFonts w:cs="Times New Roman"/>
                <w:szCs w:val="24"/>
              </w:rPr>
            </w:pPr>
            <w:r w:rsidRPr="000646DD">
              <w:rPr>
                <w:rFonts w:cs="Times New Roman"/>
                <w:szCs w:val="24"/>
              </w:rPr>
              <w:t>320 mcg Budesonide + 9 mcg Formoterol per actuation</w:t>
            </w:r>
          </w:p>
          <w:p w14:paraId="3FC94DBF" w14:textId="77777777" w:rsidR="00142F45" w:rsidRPr="000646DD" w:rsidRDefault="00142F45" w:rsidP="00C46407">
            <w:pPr>
              <w:jc w:val="both"/>
              <w:rPr>
                <w:rFonts w:cs="Times New Roman"/>
                <w:b/>
                <w:bCs/>
                <w:szCs w:val="24"/>
              </w:rPr>
            </w:pPr>
            <w:r w:rsidRPr="000646DD">
              <w:rPr>
                <w:rFonts w:cs="Times New Roman"/>
                <w:b/>
                <w:bCs/>
                <w:szCs w:val="24"/>
              </w:rPr>
              <w:t xml:space="preserve">DPI: </w:t>
            </w:r>
          </w:p>
          <w:p w14:paraId="28B872C1" w14:textId="77777777" w:rsidR="00142F45" w:rsidRPr="000646DD" w:rsidRDefault="00142F45" w:rsidP="00C46407">
            <w:pPr>
              <w:jc w:val="both"/>
              <w:rPr>
                <w:rFonts w:cs="Times New Roman"/>
                <w:szCs w:val="24"/>
              </w:rPr>
            </w:pPr>
            <w:r w:rsidRPr="000646DD">
              <w:rPr>
                <w:rFonts w:cs="Times New Roman"/>
                <w:szCs w:val="24"/>
              </w:rPr>
              <w:t>160 mcg Budesonide + 4.5 mcg Formoterol per actuation</w:t>
            </w:r>
          </w:p>
          <w:p w14:paraId="47170BD6" w14:textId="77777777" w:rsidR="00142F45" w:rsidRPr="000646DD" w:rsidRDefault="00142F45" w:rsidP="00C46407">
            <w:pPr>
              <w:jc w:val="both"/>
              <w:rPr>
                <w:rFonts w:cs="Times New Roman"/>
                <w:szCs w:val="24"/>
              </w:rPr>
            </w:pPr>
            <w:r w:rsidRPr="000646DD">
              <w:rPr>
                <w:rFonts w:cs="Times New Roman"/>
                <w:szCs w:val="24"/>
              </w:rPr>
              <w:t>320 mcg Budesonide + 9 mcg Formoterol per actuation</w:t>
            </w:r>
          </w:p>
        </w:tc>
      </w:tr>
      <w:tr w:rsidR="00142F45" w:rsidRPr="000646DD" w14:paraId="5C38210B" w14:textId="77777777" w:rsidTr="00C46407">
        <w:tc>
          <w:tcPr>
            <w:tcW w:w="2700" w:type="dxa"/>
          </w:tcPr>
          <w:p w14:paraId="2FE8F827"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1784C9A3" w14:textId="77777777" w:rsidR="00142F45" w:rsidRPr="000646DD" w:rsidRDefault="00142F45" w:rsidP="00C46407">
            <w:pPr>
              <w:jc w:val="both"/>
              <w:rPr>
                <w:rFonts w:cs="Times New Roman"/>
                <w:iCs/>
                <w:szCs w:val="24"/>
              </w:rPr>
            </w:pPr>
            <w:r w:rsidRPr="000646DD">
              <w:rPr>
                <w:rFonts w:cs="Times New Roman"/>
                <w:szCs w:val="24"/>
              </w:rPr>
              <w:t xml:space="preserve">Asthma, COPD </w:t>
            </w:r>
          </w:p>
        </w:tc>
      </w:tr>
      <w:tr w:rsidR="00142F45" w:rsidRPr="000646DD" w14:paraId="4881DA10" w14:textId="77777777" w:rsidTr="00C46407">
        <w:tc>
          <w:tcPr>
            <w:tcW w:w="2700" w:type="dxa"/>
          </w:tcPr>
          <w:p w14:paraId="705890FD" w14:textId="77777777" w:rsidR="00142F45" w:rsidRPr="000646DD" w:rsidRDefault="00142F45" w:rsidP="00C46407">
            <w:pPr>
              <w:rPr>
                <w:rFonts w:cs="Times New Roman"/>
                <w:szCs w:val="24"/>
              </w:rPr>
            </w:pPr>
            <w:r w:rsidRPr="000646DD">
              <w:rPr>
                <w:rFonts w:cs="Times New Roman"/>
                <w:szCs w:val="24"/>
              </w:rPr>
              <w:lastRenderedPageBreak/>
              <w:t>Dose and administration</w:t>
            </w:r>
          </w:p>
        </w:tc>
        <w:tc>
          <w:tcPr>
            <w:tcW w:w="6570" w:type="dxa"/>
          </w:tcPr>
          <w:p w14:paraId="10BF2CA1" w14:textId="77777777" w:rsidR="00142F45" w:rsidRPr="000646DD" w:rsidRDefault="00142F45" w:rsidP="00C46407">
            <w:pPr>
              <w:jc w:val="both"/>
              <w:rPr>
                <w:rFonts w:cs="Times New Roman"/>
                <w:b/>
                <w:bCs/>
                <w:szCs w:val="24"/>
              </w:rPr>
            </w:pPr>
            <w:r w:rsidRPr="000646DD">
              <w:rPr>
                <w:rFonts w:cs="Times New Roman"/>
                <w:b/>
                <w:bCs/>
                <w:szCs w:val="24"/>
              </w:rPr>
              <w:t>Asthma:</w:t>
            </w:r>
          </w:p>
          <w:p w14:paraId="111FD390"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1-2 inhalations twice daily. Some patients may require up to a maximum of 4 inhalations twice daily.</w:t>
            </w:r>
          </w:p>
          <w:p w14:paraId="0D040233" w14:textId="77777777" w:rsidR="00142F45" w:rsidRPr="000646DD" w:rsidRDefault="00142F45" w:rsidP="00C46407">
            <w:pPr>
              <w:jc w:val="both"/>
              <w:rPr>
                <w:rFonts w:cs="Times New Roman"/>
                <w:szCs w:val="24"/>
              </w:rPr>
            </w:pPr>
            <w:r w:rsidRPr="000646DD">
              <w:rPr>
                <w:rFonts w:cs="Times New Roman"/>
                <w:b/>
                <w:bCs/>
                <w:szCs w:val="24"/>
              </w:rPr>
              <w:t>Child (6 years and older):</w:t>
            </w:r>
            <w:r w:rsidRPr="000646DD">
              <w:rPr>
                <w:rFonts w:cs="Times New Roman"/>
                <w:szCs w:val="24"/>
              </w:rPr>
              <w:t xml:space="preserve"> A lower strength (80 mcg/4.5 mcg per inhalation) is available.</w:t>
            </w:r>
          </w:p>
          <w:p w14:paraId="6DD50B8F" w14:textId="77777777" w:rsidR="00142F45" w:rsidRPr="000646DD" w:rsidRDefault="00142F45" w:rsidP="00C46407">
            <w:pPr>
              <w:jc w:val="both"/>
              <w:rPr>
                <w:rFonts w:cs="Times New Roman"/>
                <w:b/>
                <w:bCs/>
                <w:szCs w:val="24"/>
              </w:rPr>
            </w:pPr>
            <w:r w:rsidRPr="000646DD">
              <w:rPr>
                <w:rFonts w:cs="Times New Roman"/>
                <w:b/>
                <w:bCs/>
                <w:szCs w:val="24"/>
              </w:rPr>
              <w:t xml:space="preserve">COPD:  </w:t>
            </w:r>
          </w:p>
          <w:p w14:paraId="21294D29" w14:textId="77777777" w:rsidR="00142F45" w:rsidRPr="000646DD" w:rsidRDefault="00142F45" w:rsidP="00C46407">
            <w:pPr>
              <w:jc w:val="both"/>
              <w:rPr>
                <w:rFonts w:cs="Times New Roman"/>
                <w:iCs/>
                <w:szCs w:val="24"/>
              </w:rPr>
            </w:pPr>
            <w:r w:rsidRPr="000646DD">
              <w:rPr>
                <w:rFonts w:cs="Times New Roman"/>
                <w:b/>
                <w:bCs/>
                <w:iCs/>
                <w:szCs w:val="24"/>
              </w:rPr>
              <w:t>Adult:</w:t>
            </w:r>
            <w:r w:rsidRPr="000646DD">
              <w:rPr>
                <w:rFonts w:cs="Times New Roman"/>
                <w:iCs/>
                <w:szCs w:val="24"/>
              </w:rPr>
              <w:t xml:space="preserve"> 2 inhalations twice daily.</w:t>
            </w:r>
          </w:p>
        </w:tc>
      </w:tr>
      <w:tr w:rsidR="00142F45" w:rsidRPr="000646DD" w14:paraId="3029E1FA" w14:textId="77777777" w:rsidTr="00C46407">
        <w:tc>
          <w:tcPr>
            <w:tcW w:w="2700" w:type="dxa"/>
          </w:tcPr>
          <w:p w14:paraId="38976C2F"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241E0EC8" w14:textId="77777777" w:rsidR="00142F45" w:rsidRPr="000646DD" w:rsidRDefault="00142F45" w:rsidP="00C46407">
            <w:pPr>
              <w:jc w:val="both"/>
              <w:rPr>
                <w:rFonts w:cs="Times New Roman"/>
                <w:szCs w:val="24"/>
              </w:rPr>
            </w:pPr>
            <w:r w:rsidRPr="000646DD">
              <w:rPr>
                <w:rFonts w:cs="Times New Roman"/>
                <w:szCs w:val="24"/>
              </w:rPr>
              <w:t>Hypersensitivity to the drugs or to any of the excipients.</w:t>
            </w:r>
          </w:p>
        </w:tc>
      </w:tr>
      <w:tr w:rsidR="00142F45" w:rsidRPr="000646DD" w14:paraId="7A5FBC70" w14:textId="77777777" w:rsidTr="00C46407">
        <w:tc>
          <w:tcPr>
            <w:tcW w:w="2700" w:type="dxa"/>
          </w:tcPr>
          <w:p w14:paraId="51CF0D0F"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0F34DF1B" w14:textId="77777777" w:rsidR="00142F45" w:rsidRPr="000646DD" w:rsidRDefault="00142F45" w:rsidP="00C46407">
            <w:pPr>
              <w:jc w:val="both"/>
              <w:rPr>
                <w:rFonts w:cs="Times New Roman"/>
                <w:szCs w:val="24"/>
              </w:rPr>
            </w:pPr>
            <w:r w:rsidRPr="000646DD">
              <w:rPr>
                <w:rFonts w:cs="Times New Roman"/>
                <w:szCs w:val="24"/>
              </w:rPr>
              <w:t>Ketoconazole, itraconazole, voriconazole, posaconazole, clarithromycin, telithromycin, nefazodone, HIV</w:t>
            </w:r>
            <w:r>
              <w:rPr>
                <w:rFonts w:cs="Times New Roman"/>
                <w:szCs w:val="24"/>
              </w:rPr>
              <w:t>-</w:t>
            </w:r>
            <w:r w:rsidRPr="000646DD">
              <w:rPr>
                <w:rFonts w:cs="Times New Roman"/>
                <w:szCs w:val="24"/>
              </w:rPr>
              <w:t>protease inhibitors, quinidine, disopyramide, procainamide, phenothiazines, antihistamines (e.g., terfenadine), tricyclic antidepressants, xanthine derivatives, steroids, and diuretics</w:t>
            </w:r>
          </w:p>
        </w:tc>
      </w:tr>
      <w:tr w:rsidR="00142F45" w:rsidRPr="000646DD" w14:paraId="16BF9F37" w14:textId="77777777" w:rsidTr="00C46407">
        <w:tc>
          <w:tcPr>
            <w:tcW w:w="2700" w:type="dxa"/>
          </w:tcPr>
          <w:p w14:paraId="45CD0647"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6576B9B7" w14:textId="77777777" w:rsidR="00142F45" w:rsidRPr="000646DD" w:rsidRDefault="00142F45" w:rsidP="00C46407">
            <w:pPr>
              <w:jc w:val="both"/>
              <w:rPr>
                <w:rFonts w:cs="Times New Roman"/>
                <w:szCs w:val="24"/>
              </w:rPr>
            </w:pPr>
            <w:r w:rsidRPr="000646DD">
              <w:rPr>
                <w:rFonts w:cs="Times New Roman"/>
                <w:szCs w:val="24"/>
              </w:rPr>
              <w:t>Tremor, palpitations, candida infections in the oropharynx, headache, mild irritation in the throat, coughing, hoarseness, nausea, muscle cramps, hypokalemia, hyperglycemia, paradoxical bronchospasm</w:t>
            </w:r>
          </w:p>
        </w:tc>
      </w:tr>
      <w:tr w:rsidR="00142F45" w:rsidRPr="000646DD" w14:paraId="08A2C555" w14:textId="77777777" w:rsidTr="00C46407">
        <w:tc>
          <w:tcPr>
            <w:tcW w:w="2700" w:type="dxa"/>
          </w:tcPr>
          <w:p w14:paraId="504BAC83"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02260BE3" w14:textId="77777777" w:rsidR="00142F45" w:rsidRPr="000646DD" w:rsidRDefault="00142F45" w:rsidP="00C46407">
            <w:pPr>
              <w:jc w:val="both"/>
              <w:rPr>
                <w:rFonts w:cs="Times New Roman"/>
                <w:szCs w:val="24"/>
              </w:rPr>
            </w:pPr>
            <w:r w:rsidRPr="000646DD">
              <w:rPr>
                <w:rFonts w:cs="Times New Roman"/>
                <w:szCs w:val="24"/>
              </w:rPr>
              <w:t>Abrupt discontinuation, thyrotoxicosis, phaeochromocytoma, diabetes mellitus, untreated hypokalemia, hypertrophic obstructive cardiomyopathy, idiopathic subvalvular aortic stenosis, severe hypertension, aneurysm, severe cardiovascular disorders such as ischemic heart disease, QT prolongation, tachyarrhythmias</w:t>
            </w:r>
          </w:p>
        </w:tc>
      </w:tr>
      <w:tr w:rsidR="00142F45" w:rsidRPr="000646DD" w14:paraId="31985986" w14:textId="77777777" w:rsidTr="00C46407">
        <w:tc>
          <w:tcPr>
            <w:tcW w:w="2700" w:type="dxa"/>
          </w:tcPr>
          <w:p w14:paraId="6778F464"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26449F19" w14:textId="77777777" w:rsidR="00142F45" w:rsidRPr="000646DD" w:rsidRDefault="00142F45" w:rsidP="00C46407">
            <w:pPr>
              <w:jc w:val="both"/>
              <w:rPr>
                <w:rFonts w:cs="Times New Roman"/>
                <w:szCs w:val="24"/>
              </w:rPr>
            </w:pPr>
            <w:r w:rsidRPr="000646DD">
              <w:rPr>
                <w:rFonts w:cs="Times New Roman"/>
                <w:szCs w:val="24"/>
              </w:rPr>
              <w:t>Store below 30°C.</w:t>
            </w:r>
          </w:p>
        </w:tc>
      </w:tr>
      <w:tr w:rsidR="00142F45" w:rsidRPr="000646DD" w14:paraId="2A98B8AC" w14:textId="77777777" w:rsidTr="00C46407">
        <w:tc>
          <w:tcPr>
            <w:tcW w:w="9270" w:type="dxa"/>
            <w:gridSpan w:val="2"/>
          </w:tcPr>
          <w:p w14:paraId="3CAF428C" w14:textId="77777777" w:rsidR="00142F45" w:rsidRPr="000646DD" w:rsidRDefault="00142F45" w:rsidP="00C46407">
            <w:pPr>
              <w:jc w:val="both"/>
              <w:rPr>
                <w:rFonts w:cs="Times New Roman"/>
                <w:b/>
                <w:bCs/>
                <w:szCs w:val="24"/>
              </w:rPr>
            </w:pPr>
            <w:bookmarkStart w:id="49" w:name="_Toc168315212"/>
            <w:r w:rsidRPr="000646DD">
              <w:rPr>
                <w:rFonts w:cs="Times New Roman"/>
                <w:b/>
                <w:bCs/>
                <w:spacing w:val="-6"/>
                <w:szCs w:val="24"/>
              </w:rPr>
              <w:t>Epinephrine</w:t>
            </w:r>
            <w:r w:rsidRPr="000646DD">
              <w:rPr>
                <w:rFonts w:cs="Times New Roman"/>
                <w:b/>
                <w:bCs/>
                <w:spacing w:val="7"/>
                <w:szCs w:val="24"/>
              </w:rPr>
              <w:t xml:space="preserve"> </w:t>
            </w:r>
            <w:r w:rsidRPr="000646DD">
              <w:rPr>
                <w:rFonts w:cs="Times New Roman"/>
                <w:b/>
                <w:bCs/>
                <w:szCs w:val="24"/>
              </w:rPr>
              <w:t>(adrenaline)</w:t>
            </w:r>
            <w:bookmarkEnd w:id="49"/>
          </w:p>
        </w:tc>
      </w:tr>
      <w:tr w:rsidR="00142F45" w:rsidRPr="000646DD" w14:paraId="048A017D" w14:textId="77777777" w:rsidTr="00C46407">
        <w:tc>
          <w:tcPr>
            <w:tcW w:w="2700" w:type="dxa"/>
          </w:tcPr>
          <w:p w14:paraId="3FF160B9"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2A186290" w14:textId="77777777" w:rsidR="00142F45" w:rsidRPr="000646DD" w:rsidRDefault="00142F45" w:rsidP="00C46407">
            <w:pPr>
              <w:jc w:val="both"/>
              <w:rPr>
                <w:rFonts w:cs="Times New Roman"/>
                <w:szCs w:val="24"/>
              </w:rPr>
            </w:pPr>
            <w:r w:rsidRPr="000646DD">
              <w:rPr>
                <w:rFonts w:cs="Times New Roman"/>
                <w:szCs w:val="24"/>
              </w:rPr>
              <w:t>Sympathomimetic</w:t>
            </w:r>
          </w:p>
        </w:tc>
      </w:tr>
      <w:tr w:rsidR="00142F45" w:rsidRPr="000646DD" w14:paraId="3516E270" w14:textId="77777777" w:rsidTr="00C46407">
        <w:tc>
          <w:tcPr>
            <w:tcW w:w="2700" w:type="dxa"/>
          </w:tcPr>
          <w:p w14:paraId="3D67BD5A"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4FD7EE3A" w14:textId="77777777" w:rsidR="00142F45" w:rsidRPr="000646DD" w:rsidRDefault="00142F45" w:rsidP="00C46407">
            <w:pPr>
              <w:jc w:val="both"/>
              <w:rPr>
                <w:rFonts w:cs="Times New Roman"/>
                <w:spacing w:val="-2"/>
                <w:szCs w:val="24"/>
              </w:rPr>
            </w:pPr>
            <w:r w:rsidRPr="000646DD">
              <w:rPr>
                <w:rFonts w:cs="Times New Roman"/>
                <w:spacing w:val="-2"/>
                <w:szCs w:val="24"/>
              </w:rPr>
              <w:t>Ampoules for Injection:</w:t>
            </w:r>
          </w:p>
          <w:p w14:paraId="29DAFA51" w14:textId="77777777" w:rsidR="00142F45" w:rsidRPr="000646DD" w:rsidRDefault="00142F45" w:rsidP="00C46407">
            <w:pPr>
              <w:jc w:val="both"/>
              <w:rPr>
                <w:rFonts w:cs="Times New Roman"/>
                <w:szCs w:val="24"/>
              </w:rPr>
            </w:pPr>
            <w:r w:rsidRPr="000646DD">
              <w:rPr>
                <w:rFonts w:cs="Times New Roman"/>
                <w:szCs w:val="24"/>
              </w:rPr>
              <w:t>1 mg/ml (1:1000) for IM or SC injection</w:t>
            </w:r>
          </w:p>
          <w:p w14:paraId="50C1C7B2" w14:textId="77777777" w:rsidR="00142F45" w:rsidRPr="000646DD" w:rsidRDefault="00142F45" w:rsidP="003D3F76">
            <w:pPr>
              <w:pStyle w:val="ListParagraph"/>
              <w:widowControl/>
              <w:numPr>
                <w:ilvl w:val="1"/>
                <w:numId w:val="14"/>
              </w:numPr>
              <w:autoSpaceDE/>
              <w:autoSpaceDN/>
              <w:spacing w:line="360" w:lineRule="auto"/>
              <w:contextualSpacing/>
              <w:rPr>
                <w:szCs w:val="24"/>
              </w:rPr>
            </w:pPr>
            <w:r w:rsidRPr="000646DD">
              <w:rPr>
                <w:szCs w:val="24"/>
              </w:rPr>
              <w:t xml:space="preserve">mg/ml (1:10,000) for IV use </w:t>
            </w:r>
          </w:p>
        </w:tc>
      </w:tr>
      <w:tr w:rsidR="00142F45" w:rsidRPr="000646DD" w14:paraId="55FDE8F2" w14:textId="77777777" w:rsidTr="00C46407">
        <w:tc>
          <w:tcPr>
            <w:tcW w:w="2700" w:type="dxa"/>
          </w:tcPr>
          <w:p w14:paraId="49F9B64F"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0BD3C374" w14:textId="77777777" w:rsidR="00142F45" w:rsidRPr="000646DD" w:rsidRDefault="00142F45" w:rsidP="00C46407">
            <w:pPr>
              <w:jc w:val="both"/>
              <w:rPr>
                <w:rFonts w:cs="Times New Roman"/>
                <w:szCs w:val="24"/>
              </w:rPr>
            </w:pPr>
            <w:r w:rsidRPr="000646DD">
              <w:rPr>
                <w:rFonts w:cs="Times New Roman"/>
                <w:szCs w:val="24"/>
              </w:rPr>
              <w:t>Anaphylactic shock, cardiac arrest, bronchospasms, open-angle glaucoma, added to local anesthetics, severe angioedema</w:t>
            </w:r>
          </w:p>
        </w:tc>
      </w:tr>
      <w:tr w:rsidR="00142F45" w:rsidRPr="000646DD" w14:paraId="28FCBC2F" w14:textId="77777777" w:rsidTr="00C46407">
        <w:tc>
          <w:tcPr>
            <w:tcW w:w="2700" w:type="dxa"/>
          </w:tcPr>
          <w:p w14:paraId="08DE6169" w14:textId="77777777" w:rsidR="00142F45" w:rsidRPr="000646DD" w:rsidRDefault="00142F45" w:rsidP="00C46407">
            <w:pPr>
              <w:rPr>
                <w:rFonts w:cs="Times New Roman"/>
                <w:szCs w:val="24"/>
              </w:rPr>
            </w:pPr>
            <w:r w:rsidRPr="000646DD">
              <w:rPr>
                <w:rFonts w:cs="Times New Roman"/>
                <w:szCs w:val="24"/>
              </w:rPr>
              <w:lastRenderedPageBreak/>
              <w:t>Dose and administration</w:t>
            </w:r>
          </w:p>
        </w:tc>
        <w:tc>
          <w:tcPr>
            <w:tcW w:w="6570" w:type="dxa"/>
          </w:tcPr>
          <w:p w14:paraId="564BB649" w14:textId="77777777" w:rsidR="00142F45" w:rsidRPr="000646DD" w:rsidRDefault="00142F45" w:rsidP="00C46407">
            <w:pPr>
              <w:jc w:val="both"/>
              <w:rPr>
                <w:rFonts w:cs="Times New Roman"/>
                <w:b/>
                <w:bCs/>
                <w:szCs w:val="24"/>
              </w:rPr>
            </w:pPr>
            <w:r w:rsidRPr="000646DD">
              <w:rPr>
                <w:rFonts w:cs="Times New Roman"/>
                <w:b/>
                <w:bCs/>
                <w:szCs w:val="24"/>
              </w:rPr>
              <w:t>Severe asthma exacerbation (acute care management):</w:t>
            </w:r>
          </w:p>
          <w:p w14:paraId="319CF0C0" w14:textId="77777777" w:rsidR="00142F45" w:rsidRPr="000646DD" w:rsidRDefault="00142F45" w:rsidP="00C46407">
            <w:pPr>
              <w:jc w:val="both"/>
              <w:rPr>
                <w:rFonts w:cs="Times New Roman"/>
                <w:szCs w:val="24"/>
              </w:rPr>
            </w:pPr>
            <w:r w:rsidRPr="000646DD">
              <w:rPr>
                <w:rFonts w:cs="Times New Roman"/>
                <w:b/>
                <w:bCs/>
                <w:szCs w:val="24"/>
              </w:rPr>
              <w:t>Adul</w:t>
            </w:r>
            <w:r>
              <w:rPr>
                <w:rFonts w:cs="Times New Roman"/>
                <w:b/>
                <w:bCs/>
                <w:szCs w:val="24"/>
              </w:rPr>
              <w:t>t</w:t>
            </w:r>
            <w:r w:rsidRPr="000646DD">
              <w:rPr>
                <w:rFonts w:cs="Times New Roman"/>
                <w:b/>
                <w:bCs/>
                <w:szCs w:val="24"/>
              </w:rPr>
              <w:t>:</w:t>
            </w:r>
            <w:r w:rsidRPr="000646DD">
              <w:rPr>
                <w:rFonts w:cs="Times New Roman"/>
                <w:szCs w:val="24"/>
              </w:rPr>
              <w:t xml:space="preserve"> 0.3 to 0.5 mg (0.3 to 0.5 ml of 1 mg/ml solution) IM or SC every 20 minutes for 3 doses.</w:t>
            </w:r>
          </w:p>
          <w:p w14:paraId="6CCCD49B" w14:textId="77777777" w:rsidR="00142F45" w:rsidRPr="000646DD" w:rsidRDefault="00142F45" w:rsidP="00C46407">
            <w:pPr>
              <w:jc w:val="both"/>
              <w:rPr>
                <w:rFonts w:cs="Times New Roman"/>
                <w:szCs w:val="24"/>
              </w:rPr>
            </w:pPr>
            <w:r w:rsidRPr="000646DD">
              <w:rPr>
                <w:rFonts w:cs="Times New Roman"/>
                <w:b/>
                <w:bCs/>
                <w:szCs w:val="24"/>
              </w:rPr>
              <w:t>Child (1 to 12 years):</w:t>
            </w:r>
            <w:r w:rsidRPr="000646DD">
              <w:rPr>
                <w:rFonts w:cs="Times New Roman"/>
                <w:szCs w:val="24"/>
              </w:rPr>
              <w:t xml:space="preserve"> 0.01 mg/kg (0.01 ml/kg of 1 mg/ml solution) IM or SC, up to a maximum of 0.5 mg/dose every 20 minutes for 3 doses. </w:t>
            </w:r>
          </w:p>
          <w:p w14:paraId="09053CDE" w14:textId="77777777" w:rsidR="00142F45" w:rsidRPr="000646DD" w:rsidRDefault="00142F45" w:rsidP="00C46407">
            <w:pPr>
              <w:jc w:val="both"/>
              <w:rPr>
                <w:rFonts w:cs="Times New Roman"/>
                <w:iCs/>
                <w:szCs w:val="24"/>
              </w:rPr>
            </w:pPr>
            <w:r w:rsidRPr="000646DD">
              <w:rPr>
                <w:rFonts w:cs="Times New Roman"/>
                <w:b/>
                <w:bCs/>
                <w:iCs/>
                <w:szCs w:val="24"/>
              </w:rPr>
              <w:t>Note:</w:t>
            </w:r>
            <w:r w:rsidRPr="000646DD">
              <w:rPr>
                <w:rFonts w:cs="Times New Roman"/>
                <w:iCs/>
                <w:szCs w:val="24"/>
              </w:rPr>
              <w:t xml:space="preserve"> Rapid IV infusion may cause death from cerebrovascular hemorrhage or cardiac arrhythmias.</w:t>
            </w:r>
          </w:p>
        </w:tc>
      </w:tr>
      <w:tr w:rsidR="00142F45" w:rsidRPr="000646DD" w14:paraId="651CDABB" w14:textId="77777777" w:rsidTr="00C46407">
        <w:tc>
          <w:tcPr>
            <w:tcW w:w="2700" w:type="dxa"/>
          </w:tcPr>
          <w:p w14:paraId="02CC1F02"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6BCE5196" w14:textId="77777777" w:rsidR="00142F45" w:rsidRPr="000646DD" w:rsidRDefault="00142F45" w:rsidP="00C46407">
            <w:pPr>
              <w:autoSpaceDE w:val="0"/>
              <w:autoSpaceDN w:val="0"/>
              <w:adjustRightInd w:val="0"/>
              <w:rPr>
                <w:rFonts w:eastAsia="Batang" w:cs="Times New Roman"/>
                <w:color w:val="231F20"/>
                <w:kern w:val="0"/>
                <w:szCs w:val="24"/>
                <w:lang w:val="en-US" w:eastAsia="en-US"/>
              </w:rPr>
            </w:pPr>
            <w:r w:rsidRPr="000646DD">
              <w:rPr>
                <w:rFonts w:cs="Times New Roman"/>
                <w:szCs w:val="24"/>
              </w:rPr>
              <w:t>Asymmetric septal hypertrophy, phaeochromocytoma, tachyarrhythmias, narrow-angle glaucoma, organic brain damage, cardiac dilation, coronary insufficiency, uncontrolled h</w:t>
            </w:r>
            <w:r w:rsidRPr="000646DD">
              <w:rPr>
                <w:rFonts w:eastAsia="Batang" w:cs="Times New Roman"/>
                <w:color w:val="231F20"/>
                <w:kern w:val="0"/>
                <w:szCs w:val="24"/>
                <w:lang w:val="en-US" w:eastAsia="en-US"/>
              </w:rPr>
              <w:t>ypertension</w:t>
            </w:r>
          </w:p>
        </w:tc>
      </w:tr>
      <w:tr w:rsidR="00142F45" w:rsidRPr="000646DD" w14:paraId="269C0553" w14:textId="77777777" w:rsidTr="00C46407">
        <w:tc>
          <w:tcPr>
            <w:tcW w:w="2700" w:type="dxa"/>
          </w:tcPr>
          <w:p w14:paraId="1F0036CA"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6642AAB6" w14:textId="77777777" w:rsidR="00142F45" w:rsidRPr="000646DD" w:rsidRDefault="00142F45" w:rsidP="00C46407">
            <w:pPr>
              <w:jc w:val="both"/>
              <w:rPr>
                <w:rFonts w:cs="Times New Roman"/>
                <w:szCs w:val="24"/>
              </w:rPr>
            </w:pPr>
            <w:r w:rsidRPr="000646DD">
              <w:rPr>
                <w:rFonts w:cs="Times New Roman"/>
                <w:szCs w:val="24"/>
              </w:rPr>
              <w:t>Other sympathomimetic agents, alpha-adrenergic blocking agents, beta-blockers, MAOIs, anesthetics, digoxin, theophylline, tricyclic antidepressants</w:t>
            </w:r>
          </w:p>
        </w:tc>
      </w:tr>
      <w:tr w:rsidR="00142F45" w:rsidRPr="000646DD" w14:paraId="2D62ED18" w14:textId="77777777" w:rsidTr="00C46407">
        <w:tc>
          <w:tcPr>
            <w:tcW w:w="2700" w:type="dxa"/>
          </w:tcPr>
          <w:p w14:paraId="4A8508A2"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6CA913A1" w14:textId="77777777" w:rsidR="00142F45" w:rsidRPr="000646DD" w:rsidRDefault="00142F45" w:rsidP="00C46407">
            <w:pPr>
              <w:jc w:val="both"/>
              <w:rPr>
                <w:rFonts w:cs="Times New Roman"/>
                <w:szCs w:val="24"/>
              </w:rPr>
            </w:pPr>
            <w:r w:rsidRPr="000646DD">
              <w:rPr>
                <w:rFonts w:cs="Times New Roman"/>
                <w:szCs w:val="24"/>
              </w:rPr>
              <w:t>Tachycardia, arrhythmia, hypertension, tremor, anxiety, sweating, nausea, vomiting, weakness, dizziness, hypotension, pulmonary edema, headache, peripheral vasoconstriction, paradoxical bronchospasm</w:t>
            </w:r>
          </w:p>
        </w:tc>
      </w:tr>
      <w:tr w:rsidR="00142F45" w:rsidRPr="000646DD" w14:paraId="272E7214" w14:textId="77777777" w:rsidTr="00C46407">
        <w:tc>
          <w:tcPr>
            <w:tcW w:w="2700" w:type="dxa"/>
          </w:tcPr>
          <w:p w14:paraId="472E70E2"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5BAD6CA9" w14:textId="77777777" w:rsidR="00142F45" w:rsidRPr="000646DD" w:rsidRDefault="00142F45" w:rsidP="00C46407">
            <w:pPr>
              <w:jc w:val="both"/>
              <w:rPr>
                <w:rFonts w:cs="Times New Roman"/>
                <w:szCs w:val="24"/>
              </w:rPr>
            </w:pPr>
            <w:r w:rsidRPr="000646DD">
              <w:rPr>
                <w:rFonts w:cs="Times New Roman"/>
                <w:szCs w:val="24"/>
              </w:rPr>
              <w:t>Hyperthyroidism, hypertension, diabetes mellitus, ischemic heart disease, arrhythmias, cerebrovascular disease, elderly patients, cerebral arteriosclerosis, Parkinson’s disease, hypercalcemia, hyperreflexia, hypokalemia, prostate disorders, psychoneurosis, severe angina, susceptibility to angle-closure glaucoma, pregnancy, renal impairment.</w:t>
            </w:r>
          </w:p>
        </w:tc>
      </w:tr>
      <w:tr w:rsidR="00142F45" w:rsidRPr="000646DD" w14:paraId="6DED21B2" w14:textId="77777777" w:rsidTr="00C46407">
        <w:tc>
          <w:tcPr>
            <w:tcW w:w="2700" w:type="dxa"/>
          </w:tcPr>
          <w:p w14:paraId="3BDB2535"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612F4814" w14:textId="77777777" w:rsidR="00142F45" w:rsidRPr="000646DD" w:rsidRDefault="00142F45" w:rsidP="00C46407">
            <w:pPr>
              <w:jc w:val="both"/>
              <w:rPr>
                <w:rFonts w:cs="Times New Roman"/>
                <w:szCs w:val="24"/>
              </w:rPr>
            </w:pPr>
            <w:r w:rsidRPr="000646DD">
              <w:rPr>
                <w:rFonts w:cs="Times New Roman"/>
                <w:szCs w:val="24"/>
              </w:rPr>
              <w:t>Store below 30°C. Protect from light and freezing.</w:t>
            </w:r>
          </w:p>
        </w:tc>
      </w:tr>
      <w:tr w:rsidR="00142F45" w:rsidRPr="000646DD" w14:paraId="5A864896" w14:textId="77777777" w:rsidTr="00C46407">
        <w:tc>
          <w:tcPr>
            <w:tcW w:w="9270" w:type="dxa"/>
            <w:gridSpan w:val="2"/>
          </w:tcPr>
          <w:p w14:paraId="3D32A239" w14:textId="77777777" w:rsidR="00142F45" w:rsidRPr="000646DD" w:rsidRDefault="00142F45" w:rsidP="00C46407">
            <w:pPr>
              <w:jc w:val="both"/>
              <w:rPr>
                <w:rFonts w:cs="Times New Roman"/>
                <w:b/>
                <w:bCs/>
                <w:szCs w:val="24"/>
              </w:rPr>
            </w:pPr>
            <w:r w:rsidRPr="000646DD">
              <w:rPr>
                <w:rFonts w:cs="Times New Roman"/>
                <w:b/>
                <w:bCs/>
                <w:szCs w:val="24"/>
              </w:rPr>
              <w:t>Fluticasone + Salmeterol</w:t>
            </w:r>
          </w:p>
        </w:tc>
      </w:tr>
      <w:tr w:rsidR="00142F45" w:rsidRPr="000646DD" w14:paraId="52FFCF94" w14:textId="77777777" w:rsidTr="00C46407">
        <w:tc>
          <w:tcPr>
            <w:tcW w:w="2700" w:type="dxa"/>
          </w:tcPr>
          <w:p w14:paraId="6C9B8133"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24B87226" w14:textId="77777777" w:rsidR="00142F45" w:rsidRPr="000646DD" w:rsidRDefault="00142F45" w:rsidP="00C46407">
            <w:pPr>
              <w:jc w:val="both"/>
              <w:rPr>
                <w:rFonts w:cs="Times New Roman"/>
                <w:szCs w:val="24"/>
              </w:rPr>
            </w:pPr>
            <w:r w:rsidRPr="000646DD">
              <w:rPr>
                <w:rFonts w:cs="Times New Roman"/>
                <w:szCs w:val="24"/>
              </w:rPr>
              <w:t xml:space="preserve">Corticosteroid + </w:t>
            </w:r>
            <w:r w:rsidRPr="00436E7F">
              <w:rPr>
                <w:rFonts w:cs="Times New Roman"/>
                <w:szCs w:val="24"/>
              </w:rPr>
              <w:t>Long-acting Beta2-agonist (LABA)</w:t>
            </w:r>
          </w:p>
        </w:tc>
      </w:tr>
      <w:tr w:rsidR="00142F45" w:rsidRPr="000646DD" w14:paraId="0DA07CD0" w14:textId="77777777" w:rsidTr="00C46407">
        <w:tc>
          <w:tcPr>
            <w:tcW w:w="2700" w:type="dxa"/>
          </w:tcPr>
          <w:p w14:paraId="3ACB4E50"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24881BF8" w14:textId="77777777" w:rsidR="00142F45" w:rsidRPr="000646DD" w:rsidRDefault="00142F45" w:rsidP="00C46407">
            <w:pPr>
              <w:jc w:val="both"/>
              <w:rPr>
                <w:rFonts w:cs="Times New Roman"/>
                <w:b/>
                <w:bCs/>
                <w:szCs w:val="24"/>
              </w:rPr>
            </w:pPr>
            <w:r w:rsidRPr="000646DD">
              <w:rPr>
                <w:rFonts w:cs="Times New Roman"/>
                <w:b/>
                <w:bCs/>
                <w:szCs w:val="24"/>
              </w:rPr>
              <w:t>MDI:</w:t>
            </w:r>
          </w:p>
          <w:p w14:paraId="14A5C8D2" w14:textId="77777777" w:rsidR="00142F45" w:rsidRPr="000646DD" w:rsidRDefault="00142F45" w:rsidP="00C46407">
            <w:pPr>
              <w:jc w:val="both"/>
              <w:rPr>
                <w:rFonts w:cs="Times New Roman"/>
                <w:szCs w:val="24"/>
              </w:rPr>
            </w:pPr>
            <w:r w:rsidRPr="000646DD">
              <w:rPr>
                <w:rFonts w:cs="Times New Roman"/>
                <w:szCs w:val="24"/>
              </w:rPr>
              <w:t>50 mcg Salmeterol + 125 mcg Fluticasone per actuation</w:t>
            </w:r>
          </w:p>
          <w:p w14:paraId="3715DDF5" w14:textId="77777777" w:rsidR="00142F45" w:rsidRPr="000646DD" w:rsidRDefault="00142F45" w:rsidP="00C46407">
            <w:pPr>
              <w:jc w:val="both"/>
              <w:rPr>
                <w:rFonts w:cs="Times New Roman"/>
                <w:szCs w:val="24"/>
              </w:rPr>
            </w:pPr>
            <w:r w:rsidRPr="000646DD">
              <w:rPr>
                <w:rFonts w:cs="Times New Roman"/>
                <w:szCs w:val="24"/>
              </w:rPr>
              <w:t>50 mcg Salmeterol + 250 mcg Fluticasone per actuation</w:t>
            </w:r>
          </w:p>
          <w:p w14:paraId="5CF0C649" w14:textId="77777777" w:rsidR="00142F45" w:rsidRPr="000646DD" w:rsidRDefault="00142F45" w:rsidP="00C46407">
            <w:pPr>
              <w:jc w:val="both"/>
              <w:rPr>
                <w:rFonts w:cs="Times New Roman"/>
                <w:b/>
                <w:bCs/>
                <w:szCs w:val="24"/>
              </w:rPr>
            </w:pPr>
            <w:r w:rsidRPr="000646DD">
              <w:rPr>
                <w:rFonts w:cs="Times New Roman"/>
                <w:b/>
                <w:bCs/>
                <w:szCs w:val="24"/>
              </w:rPr>
              <w:lastRenderedPageBreak/>
              <w:t>DPI:</w:t>
            </w:r>
          </w:p>
          <w:p w14:paraId="1BF3C6E6" w14:textId="77777777" w:rsidR="00142F45" w:rsidRPr="000646DD" w:rsidRDefault="00142F45" w:rsidP="00C46407">
            <w:pPr>
              <w:jc w:val="both"/>
              <w:rPr>
                <w:rFonts w:cs="Times New Roman"/>
                <w:szCs w:val="24"/>
              </w:rPr>
            </w:pPr>
            <w:r w:rsidRPr="000646DD">
              <w:rPr>
                <w:rFonts w:cs="Times New Roman"/>
                <w:szCs w:val="24"/>
              </w:rPr>
              <w:t>50 mcg Salmeterol + 100 mcg Fluticasone per dose</w:t>
            </w:r>
          </w:p>
          <w:p w14:paraId="72221A00" w14:textId="77777777" w:rsidR="00142F45" w:rsidRPr="000646DD" w:rsidRDefault="00142F45" w:rsidP="00C46407">
            <w:pPr>
              <w:jc w:val="both"/>
              <w:rPr>
                <w:rFonts w:cs="Times New Roman"/>
                <w:szCs w:val="24"/>
              </w:rPr>
            </w:pPr>
            <w:r w:rsidRPr="000646DD">
              <w:rPr>
                <w:rFonts w:cs="Times New Roman"/>
                <w:szCs w:val="24"/>
              </w:rPr>
              <w:t>50 mcg Salmeterol + 250 mcg Fluticasone per dose</w:t>
            </w:r>
          </w:p>
          <w:p w14:paraId="214C77E6" w14:textId="77777777" w:rsidR="00142F45" w:rsidRPr="000646DD" w:rsidRDefault="00142F45" w:rsidP="00C46407">
            <w:pPr>
              <w:jc w:val="both"/>
              <w:rPr>
                <w:rFonts w:cs="Times New Roman"/>
                <w:szCs w:val="24"/>
              </w:rPr>
            </w:pPr>
            <w:r w:rsidRPr="000646DD">
              <w:rPr>
                <w:rFonts w:cs="Times New Roman"/>
                <w:szCs w:val="24"/>
              </w:rPr>
              <w:t>50 mcg Salmeterol + 500 mcg Fluticasone per dose</w:t>
            </w:r>
          </w:p>
        </w:tc>
      </w:tr>
      <w:tr w:rsidR="00142F45" w:rsidRPr="000646DD" w14:paraId="4D3CB766" w14:textId="77777777" w:rsidTr="00C46407">
        <w:tc>
          <w:tcPr>
            <w:tcW w:w="2700" w:type="dxa"/>
          </w:tcPr>
          <w:p w14:paraId="60E0EB43" w14:textId="77777777" w:rsidR="00142F45" w:rsidRPr="000646DD" w:rsidRDefault="00142F45" w:rsidP="00C46407">
            <w:pPr>
              <w:rPr>
                <w:rFonts w:cs="Times New Roman"/>
                <w:szCs w:val="24"/>
              </w:rPr>
            </w:pPr>
            <w:r w:rsidRPr="000646DD">
              <w:rPr>
                <w:rFonts w:cs="Times New Roman"/>
                <w:szCs w:val="24"/>
              </w:rPr>
              <w:lastRenderedPageBreak/>
              <w:t>Indications</w:t>
            </w:r>
          </w:p>
        </w:tc>
        <w:tc>
          <w:tcPr>
            <w:tcW w:w="6570" w:type="dxa"/>
          </w:tcPr>
          <w:p w14:paraId="2FAE4FEB" w14:textId="77777777" w:rsidR="00142F45" w:rsidRPr="000646DD" w:rsidRDefault="00142F45" w:rsidP="00C46407">
            <w:pPr>
              <w:jc w:val="both"/>
              <w:rPr>
                <w:rFonts w:cs="Times New Roman"/>
                <w:iCs/>
                <w:szCs w:val="24"/>
              </w:rPr>
            </w:pPr>
            <w:r w:rsidRPr="000646DD">
              <w:rPr>
                <w:rFonts w:cs="Times New Roman"/>
                <w:iCs/>
                <w:szCs w:val="24"/>
              </w:rPr>
              <w:t>Asthma, COPD</w:t>
            </w:r>
          </w:p>
        </w:tc>
      </w:tr>
      <w:tr w:rsidR="00142F45" w:rsidRPr="000646DD" w14:paraId="491BBFE7" w14:textId="77777777" w:rsidTr="00C46407">
        <w:tc>
          <w:tcPr>
            <w:tcW w:w="2700" w:type="dxa"/>
          </w:tcPr>
          <w:p w14:paraId="2D549368"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20A7BDF9" w14:textId="77777777" w:rsidR="00142F45" w:rsidRPr="000646DD" w:rsidRDefault="00142F45" w:rsidP="00C46407">
            <w:pPr>
              <w:jc w:val="both"/>
              <w:rPr>
                <w:rFonts w:cs="Times New Roman"/>
                <w:b/>
                <w:bCs/>
                <w:iCs/>
                <w:szCs w:val="24"/>
              </w:rPr>
            </w:pPr>
            <w:r w:rsidRPr="000646DD">
              <w:rPr>
                <w:rFonts w:cs="Times New Roman"/>
                <w:b/>
                <w:bCs/>
                <w:iCs/>
                <w:szCs w:val="24"/>
              </w:rPr>
              <w:t>Asthma</w:t>
            </w:r>
          </w:p>
          <w:p w14:paraId="5E2FADFB" w14:textId="77777777" w:rsidR="00142F45" w:rsidRPr="000646DD" w:rsidRDefault="00142F45" w:rsidP="00C46407">
            <w:pPr>
              <w:jc w:val="both"/>
              <w:rPr>
                <w:rFonts w:cs="Times New Roman"/>
                <w:b/>
                <w:bCs/>
                <w:iCs/>
                <w:szCs w:val="24"/>
              </w:rPr>
            </w:pPr>
            <w:r w:rsidRPr="000646DD">
              <w:rPr>
                <w:rFonts w:cs="Times New Roman"/>
                <w:b/>
                <w:bCs/>
                <w:iCs/>
                <w:szCs w:val="24"/>
              </w:rPr>
              <w:t>Adult and Child 12 year</w:t>
            </w:r>
            <w:r>
              <w:rPr>
                <w:rFonts w:cs="Times New Roman"/>
                <w:b/>
                <w:bCs/>
                <w:iCs/>
                <w:szCs w:val="24"/>
              </w:rPr>
              <w:t xml:space="preserve">s </w:t>
            </w:r>
            <w:r w:rsidRPr="000646DD">
              <w:rPr>
                <w:rFonts w:cs="Times New Roman"/>
                <w:b/>
                <w:bCs/>
                <w:iCs/>
                <w:szCs w:val="24"/>
              </w:rPr>
              <w:t xml:space="preserve">and older: </w:t>
            </w:r>
          </w:p>
          <w:p w14:paraId="66325CAF" w14:textId="77777777" w:rsidR="00142F45" w:rsidRPr="000646DD" w:rsidRDefault="00142F45" w:rsidP="00C46407">
            <w:pPr>
              <w:jc w:val="both"/>
              <w:rPr>
                <w:rFonts w:cs="Times New Roman"/>
                <w:iCs/>
                <w:szCs w:val="24"/>
              </w:rPr>
            </w:pPr>
            <w:r w:rsidRPr="000646DD">
              <w:rPr>
                <w:rFonts w:cs="Times New Roman"/>
                <w:iCs/>
                <w:szCs w:val="24"/>
              </w:rPr>
              <w:t>MDI: 2 inhalations twice daily.</w:t>
            </w:r>
          </w:p>
          <w:p w14:paraId="351A91FF" w14:textId="77777777" w:rsidR="00142F45" w:rsidRPr="000646DD" w:rsidRDefault="00142F45" w:rsidP="00C46407">
            <w:pPr>
              <w:jc w:val="both"/>
              <w:rPr>
                <w:rFonts w:cs="Times New Roman"/>
                <w:iCs/>
                <w:szCs w:val="24"/>
              </w:rPr>
            </w:pPr>
            <w:r w:rsidRPr="000646DD">
              <w:rPr>
                <w:rFonts w:cs="Times New Roman"/>
                <w:iCs/>
                <w:szCs w:val="24"/>
              </w:rPr>
              <w:t>DPI: 1 inhalation twice daily.</w:t>
            </w:r>
          </w:p>
          <w:p w14:paraId="575FB71B" w14:textId="77777777" w:rsidR="00142F45" w:rsidRPr="000646DD" w:rsidRDefault="00142F45" w:rsidP="00C46407">
            <w:pPr>
              <w:jc w:val="both"/>
              <w:rPr>
                <w:rFonts w:cs="Times New Roman"/>
                <w:b/>
                <w:bCs/>
                <w:iCs/>
                <w:szCs w:val="24"/>
              </w:rPr>
            </w:pPr>
            <w:r w:rsidRPr="000646DD">
              <w:rPr>
                <w:rFonts w:cs="Times New Roman"/>
                <w:b/>
                <w:bCs/>
                <w:iCs/>
                <w:szCs w:val="24"/>
              </w:rPr>
              <w:t>Child 4 to 12 years</w:t>
            </w:r>
          </w:p>
          <w:p w14:paraId="0E006DFD" w14:textId="77777777" w:rsidR="00142F45" w:rsidRPr="000646DD" w:rsidRDefault="00142F45" w:rsidP="00C46407">
            <w:pPr>
              <w:jc w:val="both"/>
              <w:rPr>
                <w:rFonts w:cs="Times New Roman"/>
                <w:iCs/>
                <w:szCs w:val="24"/>
              </w:rPr>
            </w:pPr>
            <w:r w:rsidRPr="000646DD">
              <w:rPr>
                <w:rFonts w:cs="Times New Roman"/>
                <w:iCs/>
                <w:szCs w:val="24"/>
              </w:rPr>
              <w:t>MDI: 2 inhalations of the lower strength (50 mcg Salmeterol + 100 mcg Fluticasone) twice daily.</w:t>
            </w:r>
          </w:p>
          <w:p w14:paraId="41883AF5" w14:textId="77777777" w:rsidR="00142F45" w:rsidRPr="000646DD" w:rsidRDefault="00142F45" w:rsidP="00C46407">
            <w:pPr>
              <w:jc w:val="both"/>
              <w:rPr>
                <w:rFonts w:cs="Times New Roman"/>
                <w:iCs/>
                <w:szCs w:val="24"/>
              </w:rPr>
            </w:pPr>
            <w:r w:rsidRPr="000646DD">
              <w:rPr>
                <w:rFonts w:cs="Times New Roman"/>
                <w:iCs/>
                <w:szCs w:val="24"/>
              </w:rPr>
              <w:t xml:space="preserve">DPI: 1 inhalation of the lower strength (50 mcg Salmeterol + 100 mcg Fluticasone) twice daily. </w:t>
            </w:r>
          </w:p>
          <w:p w14:paraId="224A9DC0" w14:textId="77777777" w:rsidR="00142F45" w:rsidRPr="000646DD" w:rsidRDefault="00142F45" w:rsidP="00C46407">
            <w:pPr>
              <w:jc w:val="both"/>
              <w:rPr>
                <w:rFonts w:cs="Times New Roman"/>
                <w:b/>
                <w:bCs/>
                <w:iCs/>
                <w:szCs w:val="24"/>
              </w:rPr>
            </w:pPr>
            <w:r w:rsidRPr="000646DD">
              <w:rPr>
                <w:rFonts w:cs="Times New Roman"/>
                <w:b/>
                <w:bCs/>
                <w:iCs/>
                <w:szCs w:val="24"/>
              </w:rPr>
              <w:t xml:space="preserve">COPD: </w:t>
            </w:r>
          </w:p>
          <w:p w14:paraId="239292F0" w14:textId="77777777" w:rsidR="00142F45" w:rsidRPr="000646DD" w:rsidRDefault="00142F45" w:rsidP="00C46407">
            <w:pPr>
              <w:jc w:val="both"/>
              <w:rPr>
                <w:rFonts w:cs="Times New Roman"/>
                <w:iCs/>
                <w:szCs w:val="24"/>
              </w:rPr>
            </w:pPr>
            <w:r w:rsidRPr="000646DD">
              <w:rPr>
                <w:rFonts w:cs="Times New Roman"/>
                <w:iCs/>
                <w:szCs w:val="24"/>
              </w:rPr>
              <w:t>DPI: 1 inhalation of the 50 mcg Salmeterol + 500 mcg Fluticasone twice daily.</w:t>
            </w:r>
          </w:p>
        </w:tc>
      </w:tr>
      <w:tr w:rsidR="00142F45" w:rsidRPr="000646DD" w14:paraId="37B19156" w14:textId="77777777" w:rsidTr="00C46407">
        <w:tc>
          <w:tcPr>
            <w:tcW w:w="2700" w:type="dxa"/>
          </w:tcPr>
          <w:p w14:paraId="489DDC08"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6B0EF3F3" w14:textId="77777777" w:rsidR="00142F45" w:rsidRPr="000646DD" w:rsidRDefault="00142F45" w:rsidP="00C46407">
            <w:pPr>
              <w:jc w:val="both"/>
              <w:rPr>
                <w:rFonts w:cs="Times New Roman"/>
                <w:szCs w:val="24"/>
              </w:rPr>
            </w:pPr>
            <w:r w:rsidRPr="000646DD">
              <w:rPr>
                <w:rFonts w:cs="Times New Roman"/>
                <w:szCs w:val="24"/>
              </w:rPr>
              <w:t>Known hypersensitivity to the drugs or any component of the formulation</w:t>
            </w:r>
            <w:r>
              <w:rPr>
                <w:rFonts w:cs="Times New Roman"/>
                <w:szCs w:val="24"/>
              </w:rPr>
              <w:t xml:space="preserve">, </w:t>
            </w:r>
            <w:r w:rsidRPr="000646DD">
              <w:rPr>
                <w:rFonts w:cs="Times New Roman"/>
                <w:szCs w:val="24"/>
              </w:rPr>
              <w:t>primary treatment of status asthmaticus or other acute episodes of asthma or COPD</w:t>
            </w:r>
          </w:p>
        </w:tc>
      </w:tr>
      <w:tr w:rsidR="00142F45" w:rsidRPr="000646DD" w14:paraId="215937CD" w14:textId="77777777" w:rsidTr="00C46407">
        <w:tc>
          <w:tcPr>
            <w:tcW w:w="2700" w:type="dxa"/>
          </w:tcPr>
          <w:p w14:paraId="322164FD"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462C0218" w14:textId="77777777" w:rsidR="00142F45" w:rsidRPr="000646DD" w:rsidRDefault="00142F45" w:rsidP="00C46407">
            <w:pPr>
              <w:jc w:val="both"/>
              <w:rPr>
                <w:rFonts w:cs="Times New Roman"/>
                <w:szCs w:val="24"/>
              </w:rPr>
            </w:pPr>
            <w:r w:rsidRPr="000646DD">
              <w:rPr>
                <w:rFonts w:cs="Times New Roman"/>
                <w:szCs w:val="24"/>
              </w:rPr>
              <w:t>Beta-blockers, CYP3A4 inhibitors, diuretics, MAO inhibitors, tricyclic antidepressants</w:t>
            </w:r>
          </w:p>
        </w:tc>
      </w:tr>
      <w:tr w:rsidR="00142F45" w:rsidRPr="000646DD" w14:paraId="044ED0E3" w14:textId="77777777" w:rsidTr="00C46407">
        <w:tc>
          <w:tcPr>
            <w:tcW w:w="2700" w:type="dxa"/>
          </w:tcPr>
          <w:p w14:paraId="76BE6838"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01B127C1" w14:textId="77777777" w:rsidR="00142F45" w:rsidRPr="000646DD" w:rsidRDefault="00142F45" w:rsidP="00C46407">
            <w:pPr>
              <w:jc w:val="both"/>
              <w:rPr>
                <w:rFonts w:cs="Times New Roman"/>
                <w:szCs w:val="24"/>
              </w:rPr>
            </w:pPr>
            <w:r w:rsidRPr="000646DD">
              <w:rPr>
                <w:rFonts w:cs="Times New Roman"/>
                <w:szCs w:val="24"/>
              </w:rPr>
              <w:t>Throat irritation, hoarseness, and candidiasis (oral thrush), headache, musculoskeletal pain, and increased risk of upper respiratory infections, cardiovascular effects such as palpitations and tachycardia, hyperglycemia, growth retardation in child, and adrenal suppression with prolonged use</w:t>
            </w:r>
          </w:p>
        </w:tc>
      </w:tr>
      <w:tr w:rsidR="00142F45" w:rsidRPr="000646DD" w14:paraId="20EE95DE" w14:textId="77777777" w:rsidTr="00C46407">
        <w:tc>
          <w:tcPr>
            <w:tcW w:w="2700" w:type="dxa"/>
          </w:tcPr>
          <w:p w14:paraId="5EB049AA"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2C06EE3E" w14:textId="77777777" w:rsidR="00142F45" w:rsidRPr="000646DD" w:rsidRDefault="00142F45" w:rsidP="00C46407">
            <w:pPr>
              <w:jc w:val="both"/>
              <w:rPr>
                <w:rFonts w:cs="Times New Roman"/>
                <w:szCs w:val="24"/>
              </w:rPr>
            </w:pPr>
            <w:r w:rsidRPr="000646DD">
              <w:rPr>
                <w:rFonts w:cs="Times New Roman"/>
                <w:szCs w:val="24"/>
              </w:rPr>
              <w:t>Long term use; infections including tuberculosis, fungal, bacterial, viral, or parasitic infections; cardiovascular disorders especially coronary insufficiency, cardiac arrhythmias, and hypertension; thyrotoxicosis, diabetes mellitus, and ketoacidosis.</w:t>
            </w:r>
          </w:p>
        </w:tc>
      </w:tr>
      <w:tr w:rsidR="00142F45" w:rsidRPr="000646DD" w14:paraId="34331B54" w14:textId="77777777" w:rsidTr="00C46407">
        <w:tc>
          <w:tcPr>
            <w:tcW w:w="2700" w:type="dxa"/>
          </w:tcPr>
          <w:p w14:paraId="7BF83B37" w14:textId="77777777" w:rsidR="00142F45" w:rsidRPr="000646DD" w:rsidRDefault="00142F45" w:rsidP="00C46407">
            <w:pPr>
              <w:rPr>
                <w:rFonts w:cs="Times New Roman"/>
                <w:szCs w:val="24"/>
              </w:rPr>
            </w:pPr>
            <w:r w:rsidRPr="000646DD">
              <w:rPr>
                <w:rFonts w:cs="Times New Roman"/>
                <w:szCs w:val="24"/>
              </w:rPr>
              <w:lastRenderedPageBreak/>
              <w:t>Storage condition</w:t>
            </w:r>
          </w:p>
        </w:tc>
        <w:tc>
          <w:tcPr>
            <w:tcW w:w="6570" w:type="dxa"/>
          </w:tcPr>
          <w:p w14:paraId="7D049773" w14:textId="77777777" w:rsidR="00142F45" w:rsidRPr="000646DD" w:rsidRDefault="00142F45" w:rsidP="00C46407">
            <w:pPr>
              <w:jc w:val="both"/>
              <w:rPr>
                <w:rFonts w:cs="Times New Roman"/>
                <w:szCs w:val="24"/>
              </w:rPr>
            </w:pPr>
            <w:r w:rsidRPr="000646DD">
              <w:rPr>
                <w:rFonts w:cs="Times New Roman"/>
                <w:szCs w:val="24"/>
              </w:rPr>
              <w:t>Store below 30°C. Protect from moisture.</w:t>
            </w:r>
          </w:p>
        </w:tc>
      </w:tr>
      <w:tr w:rsidR="00142F45" w:rsidRPr="000646DD" w14:paraId="1224C47B" w14:textId="77777777" w:rsidTr="00C46407">
        <w:tc>
          <w:tcPr>
            <w:tcW w:w="9270" w:type="dxa"/>
            <w:gridSpan w:val="2"/>
          </w:tcPr>
          <w:p w14:paraId="27AC256E" w14:textId="77777777" w:rsidR="00142F45" w:rsidRPr="000646DD" w:rsidRDefault="00142F45" w:rsidP="00C46407">
            <w:pPr>
              <w:jc w:val="both"/>
              <w:rPr>
                <w:rFonts w:cs="Times New Roman"/>
                <w:b/>
                <w:bCs/>
                <w:szCs w:val="24"/>
              </w:rPr>
            </w:pPr>
            <w:bookmarkStart w:id="50" w:name="_Toc168315211"/>
            <w:r w:rsidRPr="000646DD">
              <w:rPr>
                <w:rFonts w:cs="Times New Roman"/>
                <w:b/>
                <w:bCs/>
                <w:szCs w:val="24"/>
              </w:rPr>
              <w:t>Hydrocortisone Succinate</w:t>
            </w:r>
            <w:bookmarkEnd w:id="50"/>
          </w:p>
        </w:tc>
      </w:tr>
      <w:tr w:rsidR="00142F45" w:rsidRPr="000646DD" w14:paraId="7CEE8F51" w14:textId="77777777" w:rsidTr="00C46407">
        <w:tc>
          <w:tcPr>
            <w:tcW w:w="2700" w:type="dxa"/>
          </w:tcPr>
          <w:p w14:paraId="27925C28"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34E62A39" w14:textId="77777777" w:rsidR="00142F45" w:rsidRPr="000646DD" w:rsidRDefault="00142F45" w:rsidP="00C46407">
            <w:pPr>
              <w:jc w:val="both"/>
              <w:rPr>
                <w:rFonts w:cs="Times New Roman"/>
                <w:szCs w:val="24"/>
              </w:rPr>
            </w:pPr>
            <w:r w:rsidRPr="000646DD">
              <w:rPr>
                <w:rFonts w:cs="Times New Roman"/>
                <w:szCs w:val="24"/>
              </w:rPr>
              <w:t>Corticosteroid</w:t>
            </w:r>
          </w:p>
        </w:tc>
      </w:tr>
      <w:tr w:rsidR="00142F45" w:rsidRPr="000646DD" w14:paraId="0FEEBD7B" w14:textId="77777777" w:rsidTr="00C46407">
        <w:tc>
          <w:tcPr>
            <w:tcW w:w="2700" w:type="dxa"/>
          </w:tcPr>
          <w:p w14:paraId="66FD029F"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135A72B1" w14:textId="77777777" w:rsidR="00142F45" w:rsidRPr="000646DD" w:rsidRDefault="00142F45" w:rsidP="00C46407">
            <w:pPr>
              <w:jc w:val="both"/>
              <w:rPr>
                <w:rFonts w:cs="Times New Roman"/>
                <w:color w:val="000000"/>
                <w:szCs w:val="24"/>
                <w:lang w:val="it-IT"/>
              </w:rPr>
            </w:pPr>
            <w:r w:rsidRPr="000646DD">
              <w:rPr>
                <w:rFonts w:cs="Times New Roman"/>
                <w:color w:val="000000"/>
                <w:szCs w:val="24"/>
                <w:lang w:val="it-IT"/>
              </w:rPr>
              <w:t>Injection: 40mg/ml, 80mg/2ml, 100 mg/vial</w:t>
            </w:r>
          </w:p>
        </w:tc>
      </w:tr>
      <w:tr w:rsidR="00142F45" w:rsidRPr="000646DD" w14:paraId="520E5C09" w14:textId="77777777" w:rsidTr="00C46407">
        <w:tc>
          <w:tcPr>
            <w:tcW w:w="2700" w:type="dxa"/>
          </w:tcPr>
          <w:p w14:paraId="54E7CE9B"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5BEDEF9E" w14:textId="77777777" w:rsidR="00142F45" w:rsidRPr="000646DD" w:rsidRDefault="00142F45" w:rsidP="00C46407">
            <w:pPr>
              <w:jc w:val="both"/>
              <w:rPr>
                <w:rFonts w:cs="Times New Roman"/>
                <w:iCs/>
                <w:szCs w:val="24"/>
              </w:rPr>
            </w:pPr>
            <w:r w:rsidRPr="000646DD">
              <w:rPr>
                <w:rFonts w:cs="Times New Roman"/>
                <w:iCs/>
                <w:szCs w:val="24"/>
              </w:rPr>
              <w:t>Adrenocortical insufficiency, hypersensitivity reactions including anaphylactic shock, acute asthma exacerbation, COPD exacerbation</w:t>
            </w:r>
          </w:p>
        </w:tc>
      </w:tr>
      <w:tr w:rsidR="00142F45" w:rsidRPr="000646DD" w14:paraId="6FEE9DA3" w14:textId="77777777" w:rsidTr="00C46407">
        <w:tc>
          <w:tcPr>
            <w:tcW w:w="2700" w:type="dxa"/>
          </w:tcPr>
          <w:p w14:paraId="0BEDA4BB"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36D55D25" w14:textId="77777777" w:rsidR="00142F45" w:rsidRPr="000646DD" w:rsidRDefault="00142F45" w:rsidP="00C46407">
            <w:pPr>
              <w:jc w:val="both"/>
              <w:rPr>
                <w:rFonts w:cs="Times New Roman"/>
                <w:b/>
                <w:bCs/>
                <w:szCs w:val="24"/>
              </w:rPr>
            </w:pPr>
            <w:r w:rsidRPr="000646DD">
              <w:rPr>
                <w:rFonts w:cs="Times New Roman"/>
                <w:b/>
                <w:bCs/>
                <w:szCs w:val="24"/>
              </w:rPr>
              <w:t>Acute Asthma Exacerbation:</w:t>
            </w:r>
          </w:p>
          <w:p w14:paraId="32632BA9"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100-200 mg IV initially, then 100 mg every 6-8 hours as needed.</w:t>
            </w:r>
          </w:p>
          <w:p w14:paraId="218EB65B" w14:textId="77777777" w:rsidR="00142F45" w:rsidRPr="000646DD" w:rsidRDefault="00142F45" w:rsidP="00C46407">
            <w:pPr>
              <w:jc w:val="both"/>
              <w:rPr>
                <w:rFonts w:cs="Times New Roman"/>
                <w:szCs w:val="24"/>
              </w:rPr>
            </w:pPr>
            <w:r w:rsidRPr="000646DD">
              <w:rPr>
                <w:rFonts w:cs="Times New Roman"/>
                <w:b/>
                <w:bCs/>
                <w:szCs w:val="24"/>
              </w:rPr>
              <w:t>Child:</w:t>
            </w:r>
            <w:r w:rsidRPr="000646DD">
              <w:rPr>
                <w:rFonts w:cs="Times New Roman"/>
                <w:szCs w:val="24"/>
              </w:rPr>
              <w:t xml:space="preserve"> 1-2 mg/kg/dose IV every 6 hours as needed.</w:t>
            </w:r>
          </w:p>
          <w:p w14:paraId="7AF6913B" w14:textId="77777777" w:rsidR="00142F45" w:rsidRPr="000646DD" w:rsidRDefault="00142F45" w:rsidP="00C46407">
            <w:pPr>
              <w:jc w:val="both"/>
              <w:rPr>
                <w:rFonts w:cs="Times New Roman"/>
                <w:b/>
                <w:bCs/>
                <w:szCs w:val="24"/>
              </w:rPr>
            </w:pPr>
            <w:r w:rsidRPr="000646DD">
              <w:rPr>
                <w:rFonts w:cs="Times New Roman"/>
                <w:b/>
                <w:bCs/>
                <w:szCs w:val="24"/>
              </w:rPr>
              <w:t>Severe COPD Exacerbation:</w:t>
            </w:r>
          </w:p>
          <w:p w14:paraId="602E6BE8"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100-200 mg IV initially, then 100 mg every 6-8 hours as needed.</w:t>
            </w:r>
          </w:p>
        </w:tc>
      </w:tr>
      <w:tr w:rsidR="00142F45" w:rsidRPr="000646DD" w14:paraId="0382DD36" w14:textId="77777777" w:rsidTr="00C46407">
        <w:tc>
          <w:tcPr>
            <w:tcW w:w="2700" w:type="dxa"/>
          </w:tcPr>
          <w:p w14:paraId="302267CF"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32F531C3" w14:textId="77777777" w:rsidR="00142F45" w:rsidRPr="000646DD" w:rsidRDefault="00142F45" w:rsidP="00C46407">
            <w:pPr>
              <w:jc w:val="both"/>
              <w:rPr>
                <w:rFonts w:cs="Times New Roman"/>
                <w:szCs w:val="24"/>
              </w:rPr>
            </w:pPr>
            <w:r w:rsidRPr="000646DD">
              <w:rPr>
                <w:rFonts w:cs="Times New Roman"/>
                <w:szCs w:val="24"/>
              </w:rPr>
              <w:t>Systemic infection, live virus vaccines</w:t>
            </w:r>
          </w:p>
        </w:tc>
      </w:tr>
      <w:tr w:rsidR="00142F45" w:rsidRPr="000646DD" w14:paraId="3E0F334F" w14:textId="77777777" w:rsidTr="00C46407">
        <w:tc>
          <w:tcPr>
            <w:tcW w:w="2700" w:type="dxa"/>
          </w:tcPr>
          <w:p w14:paraId="4E6D0C26"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4877FC19" w14:textId="77777777" w:rsidR="00142F45" w:rsidRPr="000646DD" w:rsidRDefault="00142F45" w:rsidP="00C46407">
            <w:pPr>
              <w:jc w:val="both"/>
              <w:rPr>
                <w:rFonts w:cs="Times New Roman"/>
                <w:szCs w:val="24"/>
              </w:rPr>
            </w:pPr>
            <w:r w:rsidRPr="000646DD">
              <w:rPr>
                <w:rFonts w:cs="Times New Roman"/>
                <w:szCs w:val="24"/>
              </w:rPr>
              <w:t>Acetylsalicylic acid, amiloride, amphotericin B, digoxin, ibuprofen, insulin, methotrexate, phenobarbital, phenytoin, rifampicin, ritonavir, warfarin, atenolol, calcium salts, carbamazepine, contraceptives, enalapril, erythromycin, glibenclamide, hydralazine, metformin, nifedipine, propranolol, salbutamol, spironolactone, influenza vaccine, live vaccines</w:t>
            </w:r>
          </w:p>
        </w:tc>
      </w:tr>
      <w:tr w:rsidR="00142F45" w:rsidRPr="000646DD" w14:paraId="59117B24" w14:textId="77777777" w:rsidTr="00C46407">
        <w:tc>
          <w:tcPr>
            <w:tcW w:w="2700" w:type="dxa"/>
          </w:tcPr>
          <w:p w14:paraId="68302A93"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1ADE312E" w14:textId="77777777" w:rsidR="00142F45" w:rsidRPr="000646DD" w:rsidRDefault="00142F45" w:rsidP="00C46407">
            <w:pPr>
              <w:jc w:val="both"/>
              <w:rPr>
                <w:rFonts w:cs="Times New Roman"/>
                <w:szCs w:val="24"/>
              </w:rPr>
            </w:pPr>
            <w:r w:rsidRPr="000646DD">
              <w:rPr>
                <w:rFonts w:cs="Times New Roman"/>
                <w:szCs w:val="24"/>
              </w:rPr>
              <w:t>Refer notes under budesonide side effects</w:t>
            </w:r>
          </w:p>
        </w:tc>
      </w:tr>
      <w:tr w:rsidR="00142F45" w:rsidRPr="000646DD" w14:paraId="177980F3" w14:textId="77777777" w:rsidTr="00C46407">
        <w:tc>
          <w:tcPr>
            <w:tcW w:w="2700" w:type="dxa"/>
          </w:tcPr>
          <w:p w14:paraId="0EADEE38"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4198A187" w14:textId="77777777" w:rsidR="00142F45" w:rsidRPr="000646DD" w:rsidRDefault="00142F45" w:rsidP="00C46407">
            <w:pPr>
              <w:jc w:val="both"/>
              <w:rPr>
                <w:rFonts w:cs="Times New Roman"/>
                <w:szCs w:val="24"/>
              </w:rPr>
            </w:pPr>
            <w:r w:rsidRPr="000646DD">
              <w:rPr>
                <w:rFonts w:cs="Times New Roman"/>
                <w:szCs w:val="24"/>
              </w:rPr>
              <w:t>Refer notes under budesonide cautions</w:t>
            </w:r>
          </w:p>
        </w:tc>
      </w:tr>
      <w:tr w:rsidR="00142F45" w:rsidRPr="000646DD" w14:paraId="316CD731" w14:textId="77777777" w:rsidTr="00C46407">
        <w:tc>
          <w:tcPr>
            <w:tcW w:w="2700" w:type="dxa"/>
          </w:tcPr>
          <w:p w14:paraId="2B54BA01"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6C707607" w14:textId="77777777" w:rsidR="00142F45" w:rsidRPr="000646DD" w:rsidRDefault="00142F45" w:rsidP="00C46407">
            <w:pPr>
              <w:jc w:val="both"/>
              <w:rPr>
                <w:rFonts w:cs="Times New Roman"/>
                <w:color w:val="FF0000"/>
                <w:szCs w:val="24"/>
              </w:rPr>
            </w:pPr>
            <w:r w:rsidRPr="000646DD">
              <w:rPr>
                <w:rFonts w:cs="Times New Roman"/>
                <w:szCs w:val="24"/>
              </w:rPr>
              <w:t>Store below 30°C. Protect from freezing.</w:t>
            </w:r>
          </w:p>
        </w:tc>
      </w:tr>
      <w:tr w:rsidR="00142F45" w:rsidRPr="000646DD" w14:paraId="7F64AA1D" w14:textId="77777777" w:rsidTr="00C46407">
        <w:tc>
          <w:tcPr>
            <w:tcW w:w="9270" w:type="dxa"/>
            <w:gridSpan w:val="2"/>
          </w:tcPr>
          <w:p w14:paraId="378834F7" w14:textId="77777777" w:rsidR="00142F45" w:rsidRPr="000646DD" w:rsidRDefault="00142F45" w:rsidP="00C46407">
            <w:pPr>
              <w:jc w:val="both"/>
              <w:rPr>
                <w:rFonts w:cs="Times New Roman"/>
                <w:b/>
                <w:bCs/>
                <w:szCs w:val="24"/>
              </w:rPr>
            </w:pPr>
            <w:r w:rsidRPr="000646DD">
              <w:rPr>
                <w:rFonts w:cs="Times New Roman"/>
                <w:b/>
                <w:bCs/>
                <w:szCs w:val="24"/>
              </w:rPr>
              <w:t>Ipratropium bromide</w:t>
            </w:r>
          </w:p>
        </w:tc>
      </w:tr>
      <w:tr w:rsidR="00142F45" w:rsidRPr="000646DD" w14:paraId="6569E3DB" w14:textId="77777777" w:rsidTr="00C46407">
        <w:tc>
          <w:tcPr>
            <w:tcW w:w="2700" w:type="dxa"/>
          </w:tcPr>
          <w:p w14:paraId="53DF1830"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30AFDACE" w14:textId="77777777" w:rsidR="00142F45" w:rsidRPr="000646DD" w:rsidRDefault="00142F45" w:rsidP="00C46407">
            <w:pPr>
              <w:jc w:val="both"/>
              <w:rPr>
                <w:rFonts w:cs="Times New Roman"/>
                <w:szCs w:val="24"/>
              </w:rPr>
            </w:pPr>
            <w:r w:rsidRPr="000646DD">
              <w:rPr>
                <w:rFonts w:cs="Times New Roman"/>
                <w:szCs w:val="24"/>
              </w:rPr>
              <w:t>Anticholinergic</w:t>
            </w:r>
          </w:p>
        </w:tc>
      </w:tr>
      <w:tr w:rsidR="00142F45" w:rsidRPr="000646DD" w14:paraId="6D0C7686" w14:textId="77777777" w:rsidTr="00C46407">
        <w:tc>
          <w:tcPr>
            <w:tcW w:w="2700" w:type="dxa"/>
          </w:tcPr>
          <w:p w14:paraId="2A572C4A"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6D4AE3A7" w14:textId="77777777" w:rsidR="00142F45" w:rsidRPr="000646DD" w:rsidRDefault="00142F45" w:rsidP="00C46407">
            <w:pPr>
              <w:jc w:val="both"/>
              <w:rPr>
                <w:rFonts w:cs="Times New Roman"/>
                <w:szCs w:val="24"/>
              </w:rPr>
            </w:pPr>
            <w:r w:rsidRPr="000646DD">
              <w:rPr>
                <w:rFonts w:cs="Times New Roman"/>
                <w:szCs w:val="24"/>
              </w:rPr>
              <w:t>MDI: 20mcg/metered dose, 40mcg/metered dose inhalation</w:t>
            </w:r>
          </w:p>
        </w:tc>
      </w:tr>
      <w:tr w:rsidR="00142F45" w:rsidRPr="000646DD" w14:paraId="17A17ED9" w14:textId="77777777" w:rsidTr="00C46407">
        <w:tc>
          <w:tcPr>
            <w:tcW w:w="2700" w:type="dxa"/>
          </w:tcPr>
          <w:p w14:paraId="122BF270"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3B005AA0" w14:textId="77777777" w:rsidR="00142F45" w:rsidRPr="000646DD" w:rsidRDefault="00142F45" w:rsidP="00C46407">
            <w:pPr>
              <w:jc w:val="both"/>
              <w:rPr>
                <w:rFonts w:cs="Times New Roman"/>
                <w:szCs w:val="24"/>
              </w:rPr>
            </w:pPr>
            <w:r w:rsidRPr="000646DD">
              <w:rPr>
                <w:rFonts w:cs="Times New Roman"/>
                <w:szCs w:val="24"/>
              </w:rPr>
              <w:t>Chronic asthma, COPD</w:t>
            </w:r>
          </w:p>
        </w:tc>
      </w:tr>
      <w:tr w:rsidR="00142F45" w:rsidRPr="000646DD" w14:paraId="5339C806" w14:textId="77777777" w:rsidTr="00C46407">
        <w:tc>
          <w:tcPr>
            <w:tcW w:w="2700" w:type="dxa"/>
          </w:tcPr>
          <w:p w14:paraId="298C12B1"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7DB5CB31" w14:textId="77777777" w:rsidR="00142F45" w:rsidRPr="000646DD" w:rsidRDefault="00142F45" w:rsidP="00C46407">
            <w:pPr>
              <w:jc w:val="both"/>
              <w:rPr>
                <w:rFonts w:cs="Times New Roman"/>
                <w:b/>
                <w:bCs/>
                <w:szCs w:val="24"/>
              </w:rPr>
            </w:pPr>
            <w:r w:rsidRPr="000646DD">
              <w:rPr>
                <w:rFonts w:cs="Times New Roman"/>
                <w:b/>
                <w:bCs/>
                <w:szCs w:val="24"/>
              </w:rPr>
              <w:t>Adult:</w:t>
            </w:r>
          </w:p>
          <w:p w14:paraId="42410E29" w14:textId="77777777" w:rsidR="00142F45" w:rsidRPr="000646DD" w:rsidRDefault="00142F45" w:rsidP="00C46407">
            <w:pPr>
              <w:jc w:val="both"/>
              <w:rPr>
                <w:rFonts w:cs="Times New Roman"/>
                <w:szCs w:val="24"/>
              </w:rPr>
            </w:pPr>
            <w:r w:rsidRPr="000646DD">
              <w:rPr>
                <w:rFonts w:cs="Times New Roman"/>
                <w:b/>
                <w:bCs/>
                <w:szCs w:val="24"/>
              </w:rPr>
              <w:t>Chronic asthma</w:t>
            </w:r>
            <w:r>
              <w:rPr>
                <w:rFonts w:cs="Times New Roman"/>
                <w:b/>
                <w:bCs/>
                <w:szCs w:val="24"/>
              </w:rPr>
              <w:t xml:space="preserve"> and </w:t>
            </w:r>
            <w:r w:rsidRPr="000646DD">
              <w:rPr>
                <w:rFonts w:cs="Times New Roman"/>
                <w:b/>
                <w:bCs/>
                <w:szCs w:val="24"/>
              </w:rPr>
              <w:t>COPD</w:t>
            </w:r>
            <w:r w:rsidRPr="000646DD" w:rsidDel="00543BF0">
              <w:rPr>
                <w:rFonts w:cs="Times New Roman"/>
                <w:b/>
                <w:bCs/>
                <w:szCs w:val="24"/>
              </w:rPr>
              <w:t>,</w:t>
            </w:r>
            <w:r w:rsidRPr="000646DD">
              <w:rPr>
                <w:rFonts w:cs="Times New Roman"/>
                <w:b/>
                <w:bCs/>
                <w:szCs w:val="24"/>
              </w:rPr>
              <w:t xml:space="preserve"> by aerosol inhalation</w:t>
            </w:r>
            <w:r w:rsidRPr="000646DD">
              <w:rPr>
                <w:rFonts w:cs="Times New Roman"/>
                <w:szCs w:val="24"/>
              </w:rPr>
              <w:t xml:space="preserve">: 20–40 mcg </w:t>
            </w:r>
            <w:r w:rsidRPr="000646DD">
              <w:rPr>
                <w:rFonts w:cs="Times New Roman"/>
                <w:szCs w:val="24"/>
              </w:rPr>
              <w:lastRenderedPageBreak/>
              <w:t>3–4 times daily.</w:t>
            </w:r>
          </w:p>
          <w:p w14:paraId="54C9225F" w14:textId="77777777" w:rsidR="00142F45" w:rsidRPr="000646DD" w:rsidRDefault="00142F45" w:rsidP="00C46407">
            <w:pPr>
              <w:jc w:val="both"/>
              <w:rPr>
                <w:rFonts w:cs="Times New Roman"/>
                <w:szCs w:val="24"/>
              </w:rPr>
            </w:pPr>
            <w:r w:rsidRPr="000646DD">
              <w:rPr>
                <w:rFonts w:cs="Times New Roman"/>
                <w:b/>
                <w:bCs/>
                <w:szCs w:val="24"/>
              </w:rPr>
              <w:t>COPD, by inhalation of nebulized solution:</w:t>
            </w:r>
            <w:r w:rsidRPr="000646DD">
              <w:rPr>
                <w:rFonts w:cs="Times New Roman"/>
                <w:szCs w:val="24"/>
              </w:rPr>
              <w:t xml:space="preserve"> 250–500 mcg 3–4 times daily.</w:t>
            </w:r>
          </w:p>
          <w:p w14:paraId="43386A6E" w14:textId="77777777" w:rsidR="00142F45" w:rsidRPr="000646DD" w:rsidRDefault="00142F45" w:rsidP="00C46407">
            <w:pPr>
              <w:jc w:val="both"/>
              <w:rPr>
                <w:rFonts w:cs="Times New Roman"/>
                <w:b/>
                <w:bCs/>
                <w:szCs w:val="24"/>
              </w:rPr>
            </w:pPr>
            <w:r w:rsidRPr="000646DD">
              <w:rPr>
                <w:rFonts w:cs="Times New Roman"/>
                <w:b/>
                <w:bCs/>
                <w:szCs w:val="24"/>
              </w:rPr>
              <w:t>Pediatric</w:t>
            </w:r>
            <w:r>
              <w:rPr>
                <w:rFonts w:cs="Times New Roman"/>
                <w:b/>
                <w:bCs/>
                <w:szCs w:val="24"/>
              </w:rPr>
              <w:t>:</w:t>
            </w:r>
          </w:p>
          <w:p w14:paraId="6657E895" w14:textId="77777777" w:rsidR="00142F45" w:rsidRPr="000646DD" w:rsidRDefault="00142F45" w:rsidP="00C46407">
            <w:pPr>
              <w:jc w:val="both"/>
              <w:rPr>
                <w:rFonts w:cs="Times New Roman"/>
                <w:b/>
                <w:bCs/>
                <w:szCs w:val="24"/>
              </w:rPr>
            </w:pPr>
            <w:r w:rsidRPr="000646DD">
              <w:rPr>
                <w:rFonts w:cs="Times New Roman"/>
                <w:b/>
                <w:bCs/>
                <w:szCs w:val="24"/>
              </w:rPr>
              <w:t>Chronic asthma, COPD</w:t>
            </w:r>
            <w:r w:rsidRPr="000646DD" w:rsidDel="00D542C7">
              <w:rPr>
                <w:rFonts w:cs="Times New Roman"/>
                <w:b/>
                <w:bCs/>
                <w:szCs w:val="24"/>
              </w:rPr>
              <w:t xml:space="preserve"> </w:t>
            </w:r>
            <w:r w:rsidRPr="000646DD">
              <w:rPr>
                <w:rFonts w:cs="Times New Roman"/>
                <w:b/>
                <w:bCs/>
                <w:szCs w:val="24"/>
              </w:rPr>
              <w:t>by aerosol inhalation</w:t>
            </w:r>
          </w:p>
          <w:p w14:paraId="5582882D" w14:textId="77777777" w:rsidR="00142F45" w:rsidRPr="000646DD" w:rsidRDefault="00142F45" w:rsidP="00C46407">
            <w:pPr>
              <w:jc w:val="both"/>
              <w:rPr>
                <w:rFonts w:cs="Times New Roman"/>
                <w:szCs w:val="24"/>
              </w:rPr>
            </w:pPr>
            <w:r w:rsidRPr="000646DD">
              <w:rPr>
                <w:rFonts w:cs="Times New Roman"/>
                <w:b/>
                <w:bCs/>
                <w:szCs w:val="24"/>
              </w:rPr>
              <w:t>Child up to 6 years:</w:t>
            </w:r>
            <w:r w:rsidRPr="000646DD">
              <w:rPr>
                <w:rFonts w:cs="Times New Roman"/>
                <w:szCs w:val="24"/>
              </w:rPr>
              <w:t xml:space="preserve"> 20 mcg</w:t>
            </w:r>
            <w:r>
              <w:rPr>
                <w:rFonts w:cs="Times New Roman"/>
                <w:szCs w:val="24"/>
              </w:rPr>
              <w:t xml:space="preserve"> </w:t>
            </w:r>
            <w:r w:rsidRPr="000646DD">
              <w:rPr>
                <w:rFonts w:cs="Times New Roman"/>
                <w:szCs w:val="24"/>
              </w:rPr>
              <w:t>3 times daily.</w:t>
            </w:r>
          </w:p>
          <w:p w14:paraId="0BAEFD58" w14:textId="77777777" w:rsidR="00142F45" w:rsidRPr="000646DD" w:rsidRDefault="00142F45" w:rsidP="00C46407">
            <w:pPr>
              <w:jc w:val="both"/>
              <w:rPr>
                <w:rFonts w:cs="Times New Roman"/>
                <w:szCs w:val="24"/>
              </w:rPr>
            </w:pPr>
            <w:r w:rsidRPr="000646DD">
              <w:rPr>
                <w:rFonts w:cs="Times New Roman"/>
                <w:b/>
                <w:bCs/>
                <w:szCs w:val="24"/>
              </w:rPr>
              <w:t>Child 6–12 years:</w:t>
            </w:r>
            <w:r w:rsidRPr="000646DD">
              <w:rPr>
                <w:rFonts w:cs="Times New Roman"/>
                <w:szCs w:val="24"/>
              </w:rPr>
              <w:t xml:space="preserve"> 20–40 mcg</w:t>
            </w:r>
            <w:r>
              <w:rPr>
                <w:rFonts w:cs="Times New Roman"/>
                <w:szCs w:val="24"/>
              </w:rPr>
              <w:t xml:space="preserve"> </w:t>
            </w:r>
            <w:r w:rsidRPr="000646DD">
              <w:rPr>
                <w:rFonts w:cs="Times New Roman"/>
                <w:szCs w:val="24"/>
              </w:rPr>
              <w:t>3 times daily.</w:t>
            </w:r>
          </w:p>
        </w:tc>
      </w:tr>
      <w:tr w:rsidR="00142F45" w:rsidRPr="000646DD" w14:paraId="3566CDDD" w14:textId="77777777" w:rsidTr="00C46407">
        <w:tc>
          <w:tcPr>
            <w:tcW w:w="2700" w:type="dxa"/>
          </w:tcPr>
          <w:p w14:paraId="6ABB6AB7" w14:textId="77777777" w:rsidR="00142F45" w:rsidRPr="000646DD" w:rsidRDefault="00142F45" w:rsidP="00C46407">
            <w:pPr>
              <w:rPr>
                <w:rFonts w:cs="Times New Roman"/>
                <w:szCs w:val="24"/>
              </w:rPr>
            </w:pPr>
            <w:r w:rsidRPr="000646DD">
              <w:rPr>
                <w:rFonts w:cs="Times New Roman"/>
                <w:szCs w:val="24"/>
              </w:rPr>
              <w:lastRenderedPageBreak/>
              <w:t>Contraindications</w:t>
            </w:r>
          </w:p>
        </w:tc>
        <w:tc>
          <w:tcPr>
            <w:tcW w:w="6570" w:type="dxa"/>
          </w:tcPr>
          <w:p w14:paraId="32F9D4D5" w14:textId="77777777" w:rsidR="00142F45" w:rsidRPr="000646DD" w:rsidRDefault="00142F45" w:rsidP="00C46407">
            <w:pPr>
              <w:jc w:val="both"/>
              <w:rPr>
                <w:rFonts w:cs="Times New Roman"/>
                <w:szCs w:val="24"/>
              </w:rPr>
            </w:pPr>
            <w:r w:rsidRPr="000646DD">
              <w:rPr>
                <w:rFonts w:cs="Times New Roman"/>
                <w:szCs w:val="24"/>
              </w:rPr>
              <w:t>Closed angle glaucoma, blockage of the urinary bladder, enlarged prostate, inability to completely empty the bladder</w:t>
            </w:r>
          </w:p>
        </w:tc>
      </w:tr>
      <w:tr w:rsidR="00142F45" w:rsidRPr="000646DD" w14:paraId="74065643" w14:textId="77777777" w:rsidTr="00C46407">
        <w:tc>
          <w:tcPr>
            <w:tcW w:w="2700" w:type="dxa"/>
          </w:tcPr>
          <w:p w14:paraId="43F472FF"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13EC8711" w14:textId="77777777" w:rsidR="00142F45" w:rsidRPr="000646DD" w:rsidRDefault="00142F45" w:rsidP="00C46407">
            <w:pPr>
              <w:jc w:val="both"/>
              <w:rPr>
                <w:rFonts w:cs="Times New Roman"/>
                <w:szCs w:val="24"/>
              </w:rPr>
            </w:pPr>
            <w:r w:rsidRPr="000646DD">
              <w:rPr>
                <w:rFonts w:cs="Times New Roman"/>
                <w:szCs w:val="24"/>
              </w:rPr>
              <w:t>Pramlintide, dimenhydrinate, donepezil, galantamine, tacrine, levodopa, other anticholinergics</w:t>
            </w:r>
          </w:p>
        </w:tc>
      </w:tr>
      <w:tr w:rsidR="00142F45" w:rsidRPr="000646DD" w14:paraId="5F7B9829" w14:textId="77777777" w:rsidTr="00C46407">
        <w:tc>
          <w:tcPr>
            <w:tcW w:w="2700" w:type="dxa"/>
          </w:tcPr>
          <w:p w14:paraId="3228464C"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4E1D921F" w14:textId="77777777" w:rsidR="00142F45" w:rsidRPr="000646DD" w:rsidRDefault="00142F45" w:rsidP="00C46407">
            <w:pPr>
              <w:jc w:val="both"/>
              <w:rPr>
                <w:rFonts w:cs="Times New Roman"/>
                <w:szCs w:val="24"/>
              </w:rPr>
            </w:pPr>
            <w:r w:rsidRPr="000646DD">
              <w:rPr>
                <w:rFonts w:cs="Times New Roman"/>
                <w:szCs w:val="24"/>
              </w:rPr>
              <w:t>Dry mouth, urinary retention, constipation, tachycardia, atrial fibrillation, paradoxical bronchospasm</w:t>
            </w:r>
          </w:p>
        </w:tc>
      </w:tr>
      <w:tr w:rsidR="00142F45" w:rsidRPr="000646DD" w14:paraId="060C31DE" w14:textId="77777777" w:rsidTr="00C46407">
        <w:tc>
          <w:tcPr>
            <w:tcW w:w="2700" w:type="dxa"/>
          </w:tcPr>
          <w:p w14:paraId="23894220"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63BA884F" w14:textId="77777777" w:rsidR="00142F45" w:rsidRPr="000646DD" w:rsidRDefault="00142F45" w:rsidP="00C46407">
            <w:pPr>
              <w:jc w:val="both"/>
              <w:rPr>
                <w:rFonts w:cs="Times New Roman"/>
                <w:szCs w:val="24"/>
              </w:rPr>
            </w:pPr>
            <w:r w:rsidRPr="000646DD">
              <w:rPr>
                <w:rFonts w:cs="Times New Roman"/>
                <w:szCs w:val="24"/>
              </w:rPr>
              <w:t>Prostatic hypertrophy, glaucoma</w:t>
            </w:r>
          </w:p>
        </w:tc>
      </w:tr>
      <w:tr w:rsidR="00142F45" w:rsidRPr="000646DD" w14:paraId="74156AD4" w14:textId="77777777" w:rsidTr="00C46407">
        <w:tc>
          <w:tcPr>
            <w:tcW w:w="2700" w:type="dxa"/>
          </w:tcPr>
          <w:p w14:paraId="1CE1CC18"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1D5F8246" w14:textId="77777777" w:rsidR="00142F45" w:rsidRPr="000646DD" w:rsidRDefault="00142F45" w:rsidP="00C46407">
            <w:pPr>
              <w:jc w:val="both"/>
              <w:rPr>
                <w:rFonts w:cs="Times New Roman"/>
                <w:szCs w:val="24"/>
              </w:rPr>
            </w:pPr>
            <w:r w:rsidRPr="000646DD">
              <w:rPr>
                <w:rFonts w:cs="Times New Roman"/>
                <w:szCs w:val="24"/>
              </w:rPr>
              <w:t>Store below 30°C.</w:t>
            </w:r>
          </w:p>
        </w:tc>
      </w:tr>
      <w:tr w:rsidR="00142F45" w:rsidRPr="000646DD" w14:paraId="27645B37" w14:textId="77777777" w:rsidTr="00C46407">
        <w:tc>
          <w:tcPr>
            <w:tcW w:w="9270" w:type="dxa"/>
            <w:gridSpan w:val="2"/>
          </w:tcPr>
          <w:p w14:paraId="74B03814" w14:textId="77777777" w:rsidR="00142F45" w:rsidRPr="000646DD" w:rsidRDefault="00142F45" w:rsidP="00C46407">
            <w:pPr>
              <w:jc w:val="both"/>
              <w:rPr>
                <w:rFonts w:cs="Times New Roman"/>
                <w:b/>
                <w:bCs/>
                <w:szCs w:val="24"/>
              </w:rPr>
            </w:pPr>
            <w:bookmarkStart w:id="51" w:name="_Toc168315213"/>
            <w:r w:rsidRPr="000646DD">
              <w:rPr>
                <w:rFonts w:cs="Times New Roman"/>
                <w:b/>
                <w:bCs/>
                <w:szCs w:val="24"/>
              </w:rPr>
              <w:t>Magnesium sulphate</w:t>
            </w:r>
            <w:bookmarkEnd w:id="51"/>
          </w:p>
        </w:tc>
      </w:tr>
      <w:tr w:rsidR="00142F45" w:rsidRPr="000646DD" w14:paraId="4A8EC4F9" w14:textId="77777777" w:rsidTr="00C46407">
        <w:tc>
          <w:tcPr>
            <w:tcW w:w="2700" w:type="dxa"/>
          </w:tcPr>
          <w:p w14:paraId="500C21E0"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7C7C607E" w14:textId="77777777" w:rsidR="00142F45" w:rsidRPr="000646DD" w:rsidRDefault="00142F45" w:rsidP="00C46407">
            <w:pPr>
              <w:jc w:val="both"/>
              <w:rPr>
                <w:rFonts w:cs="Times New Roman"/>
                <w:szCs w:val="24"/>
              </w:rPr>
            </w:pPr>
            <w:r w:rsidRPr="000646DD">
              <w:rPr>
                <w:rFonts w:cs="Times New Roman"/>
                <w:color w:val="111111"/>
                <w:szCs w:val="24"/>
                <w:shd w:val="clear" w:color="auto" w:fill="FFFFFF"/>
              </w:rPr>
              <w:t>Laxative, Mineral and electrolyte</w:t>
            </w:r>
          </w:p>
        </w:tc>
      </w:tr>
      <w:tr w:rsidR="00142F45" w:rsidRPr="000646DD" w14:paraId="5DC3477C" w14:textId="77777777" w:rsidTr="00C46407">
        <w:tc>
          <w:tcPr>
            <w:tcW w:w="2700" w:type="dxa"/>
          </w:tcPr>
          <w:p w14:paraId="62276064"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1BA9D7AA" w14:textId="77777777" w:rsidR="00142F45" w:rsidRPr="000646DD" w:rsidRDefault="00142F45" w:rsidP="00C46407">
            <w:pPr>
              <w:jc w:val="both"/>
              <w:rPr>
                <w:rFonts w:cs="Times New Roman"/>
                <w:spacing w:val="-2"/>
                <w:szCs w:val="24"/>
              </w:rPr>
            </w:pPr>
            <w:r w:rsidRPr="000646DD">
              <w:rPr>
                <w:rFonts w:cs="Times New Roman"/>
                <w:spacing w:val="-2"/>
                <w:szCs w:val="24"/>
              </w:rPr>
              <w:t xml:space="preserve">Injectable solution: 1 g/10 ml (10%), 2 g/20 ml (10%) </w:t>
            </w:r>
          </w:p>
        </w:tc>
      </w:tr>
      <w:tr w:rsidR="00142F45" w:rsidRPr="000646DD" w14:paraId="73E562BE" w14:textId="77777777" w:rsidTr="00C46407">
        <w:tc>
          <w:tcPr>
            <w:tcW w:w="2700" w:type="dxa"/>
          </w:tcPr>
          <w:p w14:paraId="279A38C4"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62806D13" w14:textId="77777777" w:rsidR="00142F45" w:rsidRPr="000646DD" w:rsidRDefault="00142F45" w:rsidP="00C46407">
            <w:pPr>
              <w:jc w:val="both"/>
              <w:rPr>
                <w:rFonts w:cs="Times New Roman"/>
                <w:iCs/>
                <w:szCs w:val="24"/>
              </w:rPr>
            </w:pPr>
            <w:r w:rsidRPr="000646DD">
              <w:rPr>
                <w:rFonts w:cs="Times New Roman"/>
                <w:szCs w:val="24"/>
              </w:rPr>
              <w:t>Rapid bowel evacuation in preparation for rectal and bowel examination</w:t>
            </w:r>
            <w:r>
              <w:rPr>
                <w:rFonts w:cs="Times New Roman"/>
                <w:szCs w:val="24"/>
              </w:rPr>
              <w:t>, p</w:t>
            </w:r>
            <w:r w:rsidRPr="000646DD">
              <w:rPr>
                <w:rFonts w:cs="Times New Roman"/>
                <w:szCs w:val="24"/>
              </w:rPr>
              <w:t>reparation for selective colon surgery</w:t>
            </w:r>
            <w:r>
              <w:rPr>
                <w:rFonts w:cs="Times New Roman"/>
                <w:szCs w:val="24"/>
              </w:rPr>
              <w:t>,</w:t>
            </w:r>
            <w:r w:rsidRPr="000646DD">
              <w:rPr>
                <w:rFonts w:cs="Times New Roman"/>
                <w:szCs w:val="24"/>
              </w:rPr>
              <w:t xml:space="preserve"> </w:t>
            </w:r>
            <w:r>
              <w:rPr>
                <w:rFonts w:cs="Times New Roman"/>
                <w:szCs w:val="24"/>
              </w:rPr>
              <w:t>t</w:t>
            </w:r>
            <w:r w:rsidRPr="000646DD">
              <w:rPr>
                <w:rFonts w:cs="Times New Roman"/>
                <w:szCs w:val="24"/>
              </w:rPr>
              <w:t xml:space="preserve">o hasten excretion of poisonous substances (except acids or alkalis) from the </w:t>
            </w:r>
            <w:r>
              <w:rPr>
                <w:rFonts w:cs="Times New Roman"/>
                <w:szCs w:val="24"/>
              </w:rPr>
              <w:t xml:space="preserve">GIT, </w:t>
            </w:r>
            <w:r w:rsidRPr="000646DD">
              <w:rPr>
                <w:rFonts w:cs="Times New Roman"/>
                <w:szCs w:val="24"/>
              </w:rPr>
              <w:t>status asthmaticus</w:t>
            </w:r>
          </w:p>
        </w:tc>
      </w:tr>
      <w:tr w:rsidR="00142F45" w:rsidRPr="000646DD" w14:paraId="1B552863" w14:textId="77777777" w:rsidTr="00C46407">
        <w:tc>
          <w:tcPr>
            <w:tcW w:w="2700" w:type="dxa"/>
          </w:tcPr>
          <w:p w14:paraId="420A01FE"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14FB4791" w14:textId="77777777" w:rsidR="00142F45" w:rsidRPr="000646DD" w:rsidRDefault="00142F45" w:rsidP="00C46407">
            <w:pPr>
              <w:jc w:val="both"/>
              <w:rPr>
                <w:rFonts w:cs="Times New Roman"/>
                <w:b/>
                <w:bCs/>
                <w:szCs w:val="24"/>
              </w:rPr>
            </w:pPr>
            <w:r>
              <w:rPr>
                <w:rFonts w:cs="Times New Roman"/>
                <w:b/>
                <w:bCs/>
                <w:szCs w:val="24"/>
              </w:rPr>
              <w:t>Status</w:t>
            </w:r>
            <w:r w:rsidRPr="000646DD">
              <w:rPr>
                <w:rFonts w:cs="Times New Roman"/>
                <w:b/>
                <w:bCs/>
                <w:szCs w:val="24"/>
              </w:rPr>
              <w:t xml:space="preserve"> </w:t>
            </w:r>
            <w:r>
              <w:rPr>
                <w:rFonts w:cs="Times New Roman"/>
                <w:b/>
                <w:bCs/>
                <w:szCs w:val="24"/>
              </w:rPr>
              <w:t>a</w:t>
            </w:r>
            <w:r w:rsidRPr="000646DD">
              <w:rPr>
                <w:rFonts w:cs="Times New Roman"/>
                <w:b/>
                <w:bCs/>
                <w:szCs w:val="24"/>
              </w:rPr>
              <w:t>sthmaticus</w:t>
            </w:r>
          </w:p>
          <w:p w14:paraId="06F5346F"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1.2 to 2 g IV infusion over 20 minutes. Repeat depending on the patient's response and clinical judgment.</w:t>
            </w:r>
          </w:p>
          <w:p w14:paraId="07E946FE" w14:textId="77777777" w:rsidR="00142F45" w:rsidRPr="000646DD" w:rsidRDefault="00142F45" w:rsidP="00C46407">
            <w:pPr>
              <w:jc w:val="both"/>
              <w:rPr>
                <w:rFonts w:cs="Times New Roman"/>
                <w:iCs/>
                <w:szCs w:val="24"/>
              </w:rPr>
            </w:pPr>
            <w:r w:rsidRPr="000646DD">
              <w:rPr>
                <w:rFonts w:cs="Times New Roman"/>
                <w:b/>
                <w:bCs/>
                <w:szCs w:val="24"/>
              </w:rPr>
              <w:t>Child:</w:t>
            </w:r>
            <w:r w:rsidRPr="000646DD">
              <w:rPr>
                <w:rFonts w:cs="Times New Roman"/>
                <w:szCs w:val="24"/>
              </w:rPr>
              <w:t xml:space="preserve"> 25 to 50 mg/kg IV infusion over 20 minutes, with a maximum single dose of 2 g.</w:t>
            </w:r>
          </w:p>
        </w:tc>
      </w:tr>
      <w:tr w:rsidR="00142F45" w:rsidRPr="000646DD" w14:paraId="52B20B01" w14:textId="77777777" w:rsidTr="00C46407">
        <w:tc>
          <w:tcPr>
            <w:tcW w:w="2700" w:type="dxa"/>
          </w:tcPr>
          <w:p w14:paraId="2CFB1497"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3751A84B" w14:textId="77777777" w:rsidR="00142F45" w:rsidRPr="000646DD" w:rsidRDefault="00142F45" w:rsidP="00C46407">
            <w:pPr>
              <w:jc w:val="both"/>
              <w:rPr>
                <w:rFonts w:cs="Times New Roman"/>
                <w:szCs w:val="24"/>
              </w:rPr>
            </w:pPr>
            <w:r w:rsidRPr="000646DD">
              <w:rPr>
                <w:rFonts w:cs="Times New Roman"/>
                <w:szCs w:val="24"/>
              </w:rPr>
              <w:t>Acute GI conditions, colostomy, ileostomy, dehydration, renal impairment</w:t>
            </w:r>
          </w:p>
        </w:tc>
      </w:tr>
      <w:tr w:rsidR="00142F45" w:rsidRPr="000646DD" w14:paraId="4F2F10B0" w14:textId="77777777" w:rsidTr="00C46407">
        <w:tc>
          <w:tcPr>
            <w:tcW w:w="2700" w:type="dxa"/>
          </w:tcPr>
          <w:p w14:paraId="135D0354"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72555872" w14:textId="77777777" w:rsidR="00142F45" w:rsidRPr="000646DD" w:rsidRDefault="00142F45" w:rsidP="00C46407">
            <w:pPr>
              <w:jc w:val="both"/>
              <w:rPr>
                <w:rFonts w:cs="Times New Roman"/>
                <w:szCs w:val="24"/>
              </w:rPr>
            </w:pPr>
            <w:r w:rsidRPr="000646DD">
              <w:rPr>
                <w:rFonts w:cs="Times New Roman"/>
                <w:szCs w:val="24"/>
              </w:rPr>
              <w:t xml:space="preserve">Anticoagulants, digitalis glycoside, chlorpromazine, sodium </w:t>
            </w:r>
            <w:r w:rsidRPr="000646DD">
              <w:rPr>
                <w:rFonts w:cs="Times New Roman"/>
                <w:szCs w:val="24"/>
              </w:rPr>
              <w:lastRenderedPageBreak/>
              <w:t>polystyrene sulfonate, tetracycline</w:t>
            </w:r>
          </w:p>
        </w:tc>
      </w:tr>
      <w:tr w:rsidR="00142F45" w:rsidRPr="000646DD" w14:paraId="4D2EC800" w14:textId="77777777" w:rsidTr="00C46407">
        <w:tc>
          <w:tcPr>
            <w:tcW w:w="2700" w:type="dxa"/>
          </w:tcPr>
          <w:p w14:paraId="5BA012C4"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lastRenderedPageBreak/>
              <w:t>Side effects</w:t>
            </w:r>
          </w:p>
        </w:tc>
        <w:tc>
          <w:tcPr>
            <w:tcW w:w="6570" w:type="dxa"/>
          </w:tcPr>
          <w:p w14:paraId="26FCD973" w14:textId="77777777" w:rsidR="00142F45" w:rsidRPr="000646DD" w:rsidRDefault="00142F45" w:rsidP="00C46407">
            <w:pPr>
              <w:jc w:val="both"/>
              <w:rPr>
                <w:rFonts w:cs="Times New Roman"/>
                <w:szCs w:val="24"/>
              </w:rPr>
            </w:pPr>
            <w:r w:rsidRPr="000646DD">
              <w:rPr>
                <w:rFonts w:cs="Times New Roman"/>
                <w:szCs w:val="24"/>
              </w:rPr>
              <w:t>Colic, cramping, diarrhea, gas formation, increased thirst, electrolyte imbalance</w:t>
            </w:r>
          </w:p>
        </w:tc>
      </w:tr>
      <w:tr w:rsidR="00142F45" w:rsidRPr="000646DD" w14:paraId="53E48302" w14:textId="77777777" w:rsidTr="00C46407">
        <w:tc>
          <w:tcPr>
            <w:tcW w:w="2700" w:type="dxa"/>
          </w:tcPr>
          <w:p w14:paraId="16BB7CD2"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31B04F71" w14:textId="77777777" w:rsidR="00142F45" w:rsidRPr="000646DD" w:rsidRDefault="00142F45" w:rsidP="00C46407">
            <w:pPr>
              <w:jc w:val="both"/>
              <w:rPr>
                <w:rFonts w:cs="Times New Roman"/>
                <w:szCs w:val="24"/>
              </w:rPr>
            </w:pPr>
            <w:r w:rsidRPr="000646DD">
              <w:rPr>
                <w:rFonts w:cs="Times New Roman"/>
                <w:szCs w:val="24"/>
              </w:rPr>
              <w:t>Renal impairment, hepatic impairment, elderly</w:t>
            </w:r>
          </w:p>
        </w:tc>
      </w:tr>
      <w:tr w:rsidR="00142F45" w:rsidRPr="000646DD" w14:paraId="00AB8A52" w14:textId="77777777" w:rsidTr="00C46407">
        <w:tc>
          <w:tcPr>
            <w:tcW w:w="2700" w:type="dxa"/>
          </w:tcPr>
          <w:p w14:paraId="0082BF38" w14:textId="77777777" w:rsidR="00142F45" w:rsidRPr="000646DD" w:rsidRDefault="00142F45" w:rsidP="00C46407">
            <w:pPr>
              <w:rPr>
                <w:rFonts w:cs="Times New Roman"/>
                <w:szCs w:val="24"/>
              </w:rPr>
            </w:pPr>
            <w:r w:rsidRPr="000646DD">
              <w:rPr>
                <w:rFonts w:cs="Times New Roman"/>
                <w:szCs w:val="24"/>
              </w:rPr>
              <w:t>Storage condition</w:t>
            </w:r>
          </w:p>
        </w:tc>
        <w:tc>
          <w:tcPr>
            <w:tcW w:w="6570" w:type="dxa"/>
          </w:tcPr>
          <w:p w14:paraId="32EE7281" w14:textId="77777777" w:rsidR="00142F45" w:rsidRPr="000646DD" w:rsidRDefault="00142F45" w:rsidP="00C46407">
            <w:pPr>
              <w:jc w:val="both"/>
              <w:rPr>
                <w:rFonts w:cs="Times New Roman"/>
                <w:szCs w:val="24"/>
              </w:rPr>
            </w:pPr>
            <w:r w:rsidRPr="000646DD">
              <w:rPr>
                <w:rFonts w:cs="Times New Roman"/>
                <w:szCs w:val="24"/>
              </w:rPr>
              <w:t>Store below 30°C.</w:t>
            </w:r>
          </w:p>
        </w:tc>
      </w:tr>
      <w:tr w:rsidR="00142F45" w:rsidRPr="000646DD" w14:paraId="4B822758" w14:textId="77777777" w:rsidTr="00C46407">
        <w:tc>
          <w:tcPr>
            <w:tcW w:w="9270" w:type="dxa"/>
            <w:gridSpan w:val="2"/>
          </w:tcPr>
          <w:p w14:paraId="4FE62765" w14:textId="77777777" w:rsidR="00142F45" w:rsidRPr="000646DD" w:rsidRDefault="00142F45" w:rsidP="00C46407">
            <w:pPr>
              <w:jc w:val="both"/>
              <w:rPr>
                <w:rFonts w:cs="Times New Roman"/>
                <w:b/>
                <w:bCs/>
                <w:szCs w:val="24"/>
              </w:rPr>
            </w:pPr>
            <w:r w:rsidRPr="000646DD">
              <w:rPr>
                <w:rFonts w:cs="Times New Roman"/>
                <w:b/>
                <w:bCs/>
                <w:szCs w:val="24"/>
              </w:rPr>
              <w:t>Prednisolone</w:t>
            </w:r>
          </w:p>
        </w:tc>
      </w:tr>
      <w:tr w:rsidR="00142F45" w:rsidRPr="000646DD" w14:paraId="4AABF6F7" w14:textId="77777777" w:rsidTr="00C46407">
        <w:tc>
          <w:tcPr>
            <w:tcW w:w="2700" w:type="dxa"/>
          </w:tcPr>
          <w:p w14:paraId="5B2C39E7"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4AB63214" w14:textId="77777777" w:rsidR="00142F45" w:rsidRPr="000646DD" w:rsidRDefault="00142F45" w:rsidP="00C46407">
            <w:pPr>
              <w:jc w:val="both"/>
              <w:rPr>
                <w:rFonts w:cs="Times New Roman"/>
                <w:szCs w:val="24"/>
              </w:rPr>
            </w:pPr>
            <w:r w:rsidRPr="000646DD">
              <w:rPr>
                <w:rFonts w:cs="Times New Roman"/>
                <w:szCs w:val="24"/>
              </w:rPr>
              <w:t>Corticosteroid</w:t>
            </w:r>
          </w:p>
        </w:tc>
      </w:tr>
      <w:tr w:rsidR="00142F45" w:rsidRPr="000646DD" w14:paraId="6AECA247" w14:textId="77777777" w:rsidTr="00C46407">
        <w:tc>
          <w:tcPr>
            <w:tcW w:w="2700" w:type="dxa"/>
          </w:tcPr>
          <w:p w14:paraId="422E496E"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04C3E9CA" w14:textId="77777777" w:rsidR="00142F45" w:rsidRPr="000646DD" w:rsidRDefault="00142F45" w:rsidP="00C46407">
            <w:pPr>
              <w:jc w:val="both"/>
              <w:rPr>
                <w:rFonts w:cs="Times New Roman"/>
                <w:color w:val="000000"/>
                <w:szCs w:val="24"/>
              </w:rPr>
            </w:pPr>
            <w:r w:rsidRPr="000646DD">
              <w:rPr>
                <w:rFonts w:cs="Times New Roman"/>
                <w:color w:val="000000"/>
                <w:szCs w:val="24"/>
              </w:rPr>
              <w:t>Tablet:  5mg</w:t>
            </w:r>
          </w:p>
        </w:tc>
      </w:tr>
      <w:tr w:rsidR="00142F45" w:rsidRPr="000646DD" w14:paraId="770D8CBA" w14:textId="77777777" w:rsidTr="00C46407">
        <w:tc>
          <w:tcPr>
            <w:tcW w:w="2700" w:type="dxa"/>
          </w:tcPr>
          <w:p w14:paraId="131A6AF7"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7786523B" w14:textId="77777777" w:rsidR="00142F45" w:rsidRPr="000646DD" w:rsidRDefault="00142F45" w:rsidP="00C46407">
            <w:pPr>
              <w:jc w:val="both"/>
              <w:rPr>
                <w:rFonts w:cs="Times New Roman"/>
                <w:iCs/>
                <w:szCs w:val="24"/>
              </w:rPr>
            </w:pPr>
            <w:r w:rsidRPr="000646DD">
              <w:rPr>
                <w:rFonts w:cs="Times New Roman"/>
                <w:szCs w:val="24"/>
              </w:rPr>
              <w:t xml:space="preserve">Suppression of inflammatory and allergic disorders, </w:t>
            </w:r>
            <w:r>
              <w:rPr>
                <w:rFonts w:cs="Times New Roman"/>
                <w:szCs w:val="24"/>
              </w:rPr>
              <w:t>a</w:t>
            </w:r>
            <w:r w:rsidRPr="000646DD">
              <w:rPr>
                <w:rFonts w:cs="Times New Roman"/>
                <w:szCs w:val="24"/>
              </w:rPr>
              <w:t>sthma, COPD, immune suppression</w:t>
            </w:r>
          </w:p>
        </w:tc>
      </w:tr>
      <w:tr w:rsidR="00142F45" w:rsidRPr="000646DD" w14:paraId="40592A9E" w14:textId="77777777" w:rsidTr="00C46407">
        <w:tc>
          <w:tcPr>
            <w:tcW w:w="2700" w:type="dxa"/>
          </w:tcPr>
          <w:p w14:paraId="5DDCBFF8"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78BD656E" w14:textId="77777777" w:rsidR="00142F45" w:rsidRPr="000646DD" w:rsidRDefault="00142F45" w:rsidP="00C46407">
            <w:pPr>
              <w:jc w:val="both"/>
              <w:rPr>
                <w:rFonts w:cs="Times New Roman"/>
                <w:b/>
                <w:bCs/>
                <w:szCs w:val="24"/>
              </w:rPr>
            </w:pPr>
            <w:r w:rsidRPr="000646DD">
              <w:rPr>
                <w:rFonts w:cs="Times New Roman"/>
                <w:b/>
                <w:bCs/>
                <w:szCs w:val="24"/>
              </w:rPr>
              <w:t>Acute exacerbations of asthma, Oral:</w:t>
            </w:r>
          </w:p>
          <w:p w14:paraId="14E93316"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Initially 40-60 mg daily for 1-2 weeks during exacerbations, followed by a gradual tapering based on clinical response. Maintenance doses typically range from 5-15 mg daily.</w:t>
            </w:r>
          </w:p>
          <w:p w14:paraId="51598BDD" w14:textId="77777777" w:rsidR="00142F45" w:rsidRPr="000646DD" w:rsidRDefault="00142F45" w:rsidP="00C46407">
            <w:pPr>
              <w:jc w:val="both"/>
              <w:rPr>
                <w:rFonts w:cs="Times New Roman"/>
                <w:szCs w:val="24"/>
              </w:rPr>
            </w:pPr>
            <w:r w:rsidRPr="000646DD">
              <w:rPr>
                <w:rFonts w:cs="Times New Roman"/>
                <w:b/>
                <w:bCs/>
                <w:szCs w:val="24"/>
              </w:rPr>
              <w:t>Child:</w:t>
            </w:r>
            <w:r w:rsidRPr="000646DD">
              <w:rPr>
                <w:rFonts w:cs="Times New Roman"/>
                <w:szCs w:val="24"/>
              </w:rPr>
              <w:t xml:space="preserve"> 1-2 mg/kg/day (maximum 60 mg/day) for 3-5 days.</w:t>
            </w:r>
          </w:p>
          <w:p w14:paraId="735771F4" w14:textId="77777777" w:rsidR="00142F45" w:rsidRPr="000646DD" w:rsidRDefault="00142F45" w:rsidP="00C46407">
            <w:pPr>
              <w:jc w:val="both"/>
              <w:rPr>
                <w:rFonts w:cs="Times New Roman"/>
                <w:szCs w:val="24"/>
              </w:rPr>
            </w:pPr>
            <w:r w:rsidRPr="000646DD">
              <w:rPr>
                <w:rFonts w:cs="Times New Roman"/>
                <w:b/>
                <w:bCs/>
                <w:szCs w:val="24"/>
              </w:rPr>
              <w:t>Acute exacerbations of COPD:</w:t>
            </w:r>
            <w:r w:rsidRPr="000646DD">
              <w:rPr>
                <w:rFonts w:cs="Times New Roman"/>
                <w:szCs w:val="24"/>
              </w:rPr>
              <w:t xml:space="preserve"> </w:t>
            </w:r>
          </w:p>
          <w:p w14:paraId="7CBB8138" w14:textId="77777777" w:rsidR="00142F45" w:rsidRPr="000646DD" w:rsidRDefault="00142F45" w:rsidP="00C46407">
            <w:pPr>
              <w:jc w:val="both"/>
              <w:rPr>
                <w:rFonts w:cs="Times New Roman"/>
                <w:szCs w:val="24"/>
              </w:rPr>
            </w:pPr>
            <w:r w:rsidRPr="000646DD">
              <w:rPr>
                <w:rFonts w:cs="Times New Roman"/>
                <w:b/>
                <w:bCs/>
                <w:szCs w:val="24"/>
              </w:rPr>
              <w:t>Adult:</w:t>
            </w:r>
            <w:r w:rsidRPr="000646DD">
              <w:rPr>
                <w:rFonts w:cs="Times New Roman"/>
                <w:szCs w:val="24"/>
              </w:rPr>
              <w:t xml:space="preserve"> 30-40 mg per day for 5-7 days</w:t>
            </w:r>
          </w:p>
        </w:tc>
      </w:tr>
      <w:tr w:rsidR="00142F45" w:rsidRPr="000646DD" w14:paraId="66936F2D" w14:textId="77777777" w:rsidTr="00C46407">
        <w:tc>
          <w:tcPr>
            <w:tcW w:w="2700" w:type="dxa"/>
          </w:tcPr>
          <w:p w14:paraId="37C4D12E"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1499AD20" w14:textId="77777777" w:rsidR="00142F45" w:rsidRPr="000646DD" w:rsidRDefault="00142F45" w:rsidP="00C46407">
            <w:pPr>
              <w:jc w:val="both"/>
              <w:rPr>
                <w:rFonts w:cs="Times New Roman"/>
                <w:szCs w:val="24"/>
              </w:rPr>
            </w:pPr>
            <w:r w:rsidRPr="000646DD">
              <w:rPr>
                <w:rFonts w:cs="Times New Roman"/>
                <w:szCs w:val="24"/>
              </w:rPr>
              <w:t>Hypersensitivity to the drug or any component, systemic fungal infections.</w:t>
            </w:r>
          </w:p>
        </w:tc>
      </w:tr>
      <w:tr w:rsidR="00142F45" w:rsidRPr="000646DD" w14:paraId="4120C28F" w14:textId="77777777" w:rsidTr="00C46407">
        <w:tc>
          <w:tcPr>
            <w:tcW w:w="2700" w:type="dxa"/>
          </w:tcPr>
          <w:p w14:paraId="411D0749"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11AD519E" w14:textId="77777777" w:rsidR="00142F45" w:rsidRPr="000646DD" w:rsidRDefault="00142F45" w:rsidP="00C46407">
            <w:pPr>
              <w:jc w:val="both"/>
              <w:rPr>
                <w:rFonts w:cs="Times New Roman"/>
                <w:szCs w:val="24"/>
              </w:rPr>
            </w:pPr>
            <w:r w:rsidRPr="000646DD">
              <w:rPr>
                <w:rFonts w:cs="Times New Roman"/>
                <w:szCs w:val="24"/>
              </w:rPr>
              <w:t>NSAIDs, anticoagulants (e.g., warfarin), antidiabetic drugs, antifungal drugs (e.g., ketoconazole), CYP3A4 inducers (e.g., rifampcin, phenytoin, carbamazepine), CYP3A4 inhibitors (e.g., clarithromycin, ritonavir), diuretics, live vaccines, anticholinesterases, estrogens (e.g., oral contraceptives)</w:t>
            </w:r>
          </w:p>
        </w:tc>
      </w:tr>
      <w:tr w:rsidR="00142F45" w:rsidRPr="000646DD" w14:paraId="7A44F25B" w14:textId="77777777" w:rsidTr="00C46407">
        <w:tc>
          <w:tcPr>
            <w:tcW w:w="2700" w:type="dxa"/>
          </w:tcPr>
          <w:p w14:paraId="20D4CF94"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1F2C1C43" w14:textId="77777777" w:rsidR="00142F45" w:rsidRPr="000646DD" w:rsidRDefault="00142F45" w:rsidP="00C46407">
            <w:pPr>
              <w:jc w:val="both"/>
              <w:rPr>
                <w:rFonts w:cs="Times New Roman"/>
                <w:szCs w:val="24"/>
              </w:rPr>
            </w:pPr>
            <w:r w:rsidRPr="000646DD">
              <w:rPr>
                <w:rFonts w:cs="Times New Roman"/>
                <w:szCs w:val="24"/>
                <w:shd w:val="clear" w:color="auto" w:fill="FFFFFF"/>
              </w:rPr>
              <w:t>Weight gain, fluid retention, increased blood sugar, mood changes, insomnia, anxiety, peptic ulcers, gastrointestinal bleeding, osteoporosis, high blood pressure, increased infection risk, muscle weakness, thin skin, slow wound healing, cataracts, glaucoma.</w:t>
            </w:r>
          </w:p>
        </w:tc>
      </w:tr>
      <w:tr w:rsidR="00142F45" w:rsidRPr="000646DD" w14:paraId="0B6FCBCD" w14:textId="77777777" w:rsidTr="00C46407">
        <w:tc>
          <w:tcPr>
            <w:tcW w:w="2700" w:type="dxa"/>
          </w:tcPr>
          <w:p w14:paraId="421279DB"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59D99681" w14:textId="77777777" w:rsidR="00142F45" w:rsidRPr="000646DD" w:rsidRDefault="00142F45" w:rsidP="00C46407">
            <w:pPr>
              <w:jc w:val="both"/>
              <w:rPr>
                <w:rFonts w:cs="Times New Roman"/>
                <w:szCs w:val="24"/>
              </w:rPr>
            </w:pPr>
            <w:r w:rsidRPr="000646DD">
              <w:rPr>
                <w:rFonts w:cs="Times New Roman"/>
                <w:szCs w:val="24"/>
                <w:shd w:val="clear" w:color="auto" w:fill="FFFFFF"/>
              </w:rPr>
              <w:t xml:space="preserve">Infection risk, history of gastrointestinal ulcers or bleeding, </w:t>
            </w:r>
            <w:r w:rsidRPr="000646DD">
              <w:rPr>
                <w:rFonts w:cs="Times New Roman"/>
                <w:szCs w:val="24"/>
                <w:shd w:val="clear" w:color="auto" w:fill="FFFFFF"/>
              </w:rPr>
              <w:lastRenderedPageBreak/>
              <w:t>diabetes, osteoporosis, hypertension, heart failure, psychiatric disorders, glaucoma or cataracts, concurrent NSAID use, adrenal suppression risk.</w:t>
            </w:r>
          </w:p>
        </w:tc>
      </w:tr>
      <w:tr w:rsidR="00142F45" w:rsidRPr="000646DD" w14:paraId="6F5A3F43" w14:textId="77777777" w:rsidTr="00C46407">
        <w:tc>
          <w:tcPr>
            <w:tcW w:w="2700" w:type="dxa"/>
          </w:tcPr>
          <w:p w14:paraId="5AEA3164" w14:textId="77777777" w:rsidR="00142F45" w:rsidRPr="000646DD" w:rsidRDefault="00142F45" w:rsidP="00C46407">
            <w:pPr>
              <w:rPr>
                <w:rFonts w:cs="Times New Roman"/>
                <w:szCs w:val="24"/>
              </w:rPr>
            </w:pPr>
            <w:r w:rsidRPr="000646DD">
              <w:rPr>
                <w:rFonts w:cs="Times New Roman"/>
                <w:szCs w:val="24"/>
              </w:rPr>
              <w:lastRenderedPageBreak/>
              <w:t>Storage condition</w:t>
            </w:r>
          </w:p>
        </w:tc>
        <w:tc>
          <w:tcPr>
            <w:tcW w:w="6570" w:type="dxa"/>
          </w:tcPr>
          <w:p w14:paraId="6575B2D3" w14:textId="77777777" w:rsidR="00142F45" w:rsidRPr="000646DD" w:rsidRDefault="00142F45" w:rsidP="00C46407">
            <w:pPr>
              <w:jc w:val="both"/>
              <w:rPr>
                <w:rFonts w:cs="Times New Roman"/>
                <w:szCs w:val="24"/>
              </w:rPr>
            </w:pPr>
            <w:r w:rsidRPr="000646DD">
              <w:rPr>
                <w:rFonts w:cs="Times New Roman"/>
                <w:szCs w:val="24"/>
              </w:rPr>
              <w:t>Store below 30°C. Protect from freezing and light.</w:t>
            </w:r>
          </w:p>
        </w:tc>
      </w:tr>
      <w:tr w:rsidR="00142F45" w:rsidRPr="000646DD" w14:paraId="6AB17DF7" w14:textId="77777777" w:rsidTr="00C46407">
        <w:trPr>
          <w:trHeight w:val="50"/>
        </w:trPr>
        <w:tc>
          <w:tcPr>
            <w:tcW w:w="9270" w:type="dxa"/>
            <w:gridSpan w:val="2"/>
          </w:tcPr>
          <w:p w14:paraId="7439DBC8" w14:textId="77777777" w:rsidR="00142F45" w:rsidRPr="000646DD" w:rsidRDefault="00142F45" w:rsidP="00C46407">
            <w:pPr>
              <w:jc w:val="both"/>
              <w:rPr>
                <w:rFonts w:cs="Times New Roman"/>
                <w:b/>
                <w:bCs/>
                <w:szCs w:val="24"/>
              </w:rPr>
            </w:pPr>
            <w:bookmarkStart w:id="52" w:name="_Toc168315209"/>
            <w:r w:rsidRPr="000646DD">
              <w:rPr>
                <w:rFonts w:cs="Times New Roman"/>
                <w:b/>
                <w:bCs/>
                <w:szCs w:val="24"/>
              </w:rPr>
              <w:t>Salbutamol (Albuterol)</w:t>
            </w:r>
            <w:bookmarkEnd w:id="52"/>
          </w:p>
        </w:tc>
      </w:tr>
      <w:tr w:rsidR="00142F45" w:rsidRPr="000646DD" w14:paraId="2309D206" w14:textId="77777777" w:rsidTr="00C46407">
        <w:tc>
          <w:tcPr>
            <w:tcW w:w="2700" w:type="dxa"/>
          </w:tcPr>
          <w:p w14:paraId="363A65BE"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795DEAE8" w14:textId="77777777" w:rsidR="00142F45" w:rsidRPr="000646DD" w:rsidRDefault="00142F45" w:rsidP="00C46407">
            <w:pPr>
              <w:jc w:val="both"/>
              <w:rPr>
                <w:rFonts w:cs="Times New Roman"/>
                <w:szCs w:val="24"/>
              </w:rPr>
            </w:pPr>
            <w:r w:rsidRPr="000646DD">
              <w:rPr>
                <w:rFonts w:cs="Times New Roman"/>
                <w:szCs w:val="24"/>
              </w:rPr>
              <w:t>Short acting beta2 agonist (SABA)</w:t>
            </w:r>
          </w:p>
        </w:tc>
      </w:tr>
      <w:tr w:rsidR="00142F45" w:rsidRPr="00BD4E51" w14:paraId="570D53D2" w14:textId="77777777" w:rsidTr="00C46407">
        <w:tc>
          <w:tcPr>
            <w:tcW w:w="2700" w:type="dxa"/>
          </w:tcPr>
          <w:p w14:paraId="4ACB00E1"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68ED8344" w14:textId="77777777" w:rsidR="00142F45" w:rsidRPr="000646DD" w:rsidRDefault="00142F45" w:rsidP="00C46407">
            <w:pPr>
              <w:jc w:val="both"/>
              <w:rPr>
                <w:rFonts w:cs="Times New Roman"/>
                <w:color w:val="000000" w:themeColor="text1"/>
                <w:szCs w:val="24"/>
              </w:rPr>
            </w:pPr>
            <w:r w:rsidRPr="000646DD">
              <w:rPr>
                <w:rFonts w:cs="Times New Roman"/>
                <w:color w:val="000000" w:themeColor="text1"/>
                <w:szCs w:val="24"/>
              </w:rPr>
              <w:t>Inhalation (aerosol): 0.1 mg (as sulfate) per dose</w:t>
            </w:r>
          </w:p>
          <w:p w14:paraId="7AD1A523" w14:textId="77777777" w:rsidR="00142F45" w:rsidRPr="000646DD" w:rsidRDefault="00142F45" w:rsidP="00C46407">
            <w:pPr>
              <w:jc w:val="both"/>
              <w:rPr>
                <w:rFonts w:cs="Times New Roman"/>
                <w:color w:val="000000" w:themeColor="text1"/>
                <w:szCs w:val="24"/>
              </w:rPr>
            </w:pPr>
            <w:r w:rsidRPr="000646DD">
              <w:rPr>
                <w:rFonts w:cs="Times New Roman"/>
                <w:color w:val="000000" w:themeColor="text1"/>
                <w:szCs w:val="24"/>
              </w:rPr>
              <w:t>Respirator solution for use in nebulizers: 5 mg/ml (as sulfate)</w:t>
            </w:r>
          </w:p>
          <w:p w14:paraId="57B91CF6" w14:textId="77777777" w:rsidR="00142F45" w:rsidRPr="000646DD" w:rsidRDefault="00142F45" w:rsidP="00C46407">
            <w:pPr>
              <w:jc w:val="both"/>
              <w:rPr>
                <w:rFonts w:cs="Times New Roman"/>
                <w:color w:val="000000" w:themeColor="text1"/>
                <w:szCs w:val="24"/>
              </w:rPr>
            </w:pPr>
            <w:r w:rsidRPr="000646DD">
              <w:rPr>
                <w:rFonts w:cs="Times New Roman"/>
                <w:color w:val="000000" w:themeColor="text1"/>
                <w:szCs w:val="24"/>
              </w:rPr>
              <w:t>Injection: 50 mcg/ml (as sulfate) in 5 ml ampoule</w:t>
            </w:r>
          </w:p>
          <w:p w14:paraId="7398DCE9" w14:textId="77777777" w:rsidR="00142F45" w:rsidRPr="000646DD" w:rsidRDefault="00142F45" w:rsidP="00C46407">
            <w:pPr>
              <w:jc w:val="both"/>
              <w:rPr>
                <w:rFonts w:cs="Times New Roman"/>
                <w:szCs w:val="24"/>
                <w:lang w:val="nb-NO"/>
              </w:rPr>
            </w:pPr>
            <w:r w:rsidRPr="000646DD">
              <w:rPr>
                <w:rFonts w:cs="Times New Roman"/>
                <w:szCs w:val="24"/>
                <w:lang w:val="nb-NO"/>
              </w:rPr>
              <w:t>Tablets: 2 mg, 4 mg</w:t>
            </w:r>
          </w:p>
          <w:p w14:paraId="4A5FC4CA" w14:textId="77777777" w:rsidR="00142F45" w:rsidRPr="000646DD" w:rsidRDefault="00142F45" w:rsidP="00C46407">
            <w:pPr>
              <w:jc w:val="both"/>
              <w:rPr>
                <w:rFonts w:cs="Times New Roman"/>
                <w:szCs w:val="24"/>
                <w:lang w:val="nb-NO"/>
              </w:rPr>
            </w:pPr>
            <w:r w:rsidRPr="000646DD">
              <w:rPr>
                <w:rFonts w:cs="Times New Roman"/>
                <w:szCs w:val="24"/>
                <w:lang w:val="nb-NO"/>
              </w:rPr>
              <w:t>Syrup: 2 mg/5 ml</w:t>
            </w:r>
          </w:p>
        </w:tc>
      </w:tr>
      <w:tr w:rsidR="00142F45" w:rsidRPr="000646DD" w14:paraId="50D1E556" w14:textId="77777777" w:rsidTr="00C46407">
        <w:tc>
          <w:tcPr>
            <w:tcW w:w="2700" w:type="dxa"/>
          </w:tcPr>
          <w:p w14:paraId="35558258"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2C7648C1" w14:textId="77777777" w:rsidR="00142F45" w:rsidRPr="000646DD" w:rsidRDefault="00142F45" w:rsidP="00C46407">
            <w:pPr>
              <w:jc w:val="both"/>
              <w:rPr>
                <w:rFonts w:cs="Times New Roman"/>
                <w:iCs/>
                <w:szCs w:val="24"/>
              </w:rPr>
            </w:pPr>
            <w:r w:rsidRPr="000646DD">
              <w:rPr>
                <w:rFonts w:cs="Times New Roman"/>
                <w:szCs w:val="24"/>
              </w:rPr>
              <w:t>Asthma, bronchospasm associated with other conditions such as acute bronchitis, emphysema, chronic bronchitis</w:t>
            </w:r>
          </w:p>
        </w:tc>
      </w:tr>
      <w:tr w:rsidR="00142F45" w:rsidRPr="000646DD" w14:paraId="1FDAC33C" w14:textId="77777777" w:rsidTr="00C46407">
        <w:tc>
          <w:tcPr>
            <w:tcW w:w="2700" w:type="dxa"/>
          </w:tcPr>
          <w:p w14:paraId="1F57EA30"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0ABFF407" w14:textId="77777777" w:rsidR="00142F45" w:rsidRDefault="00142F45" w:rsidP="00C46407">
            <w:pPr>
              <w:jc w:val="both"/>
              <w:rPr>
                <w:rFonts w:cs="Times New Roman"/>
                <w:b/>
                <w:bCs/>
                <w:szCs w:val="24"/>
              </w:rPr>
            </w:pPr>
            <w:r>
              <w:rPr>
                <w:rFonts w:cs="Times New Roman"/>
                <w:b/>
                <w:bCs/>
                <w:szCs w:val="24"/>
              </w:rPr>
              <w:t>Inhalation:</w:t>
            </w:r>
          </w:p>
          <w:p w14:paraId="01017A0D" w14:textId="77777777" w:rsidR="00142F45" w:rsidRPr="005A275A" w:rsidRDefault="00142F45" w:rsidP="00C46407">
            <w:pPr>
              <w:jc w:val="both"/>
              <w:rPr>
                <w:rFonts w:cs="Times New Roman"/>
                <w:b/>
                <w:bCs/>
                <w:szCs w:val="24"/>
              </w:rPr>
            </w:pPr>
            <w:r w:rsidRPr="005A275A">
              <w:rPr>
                <w:rFonts w:cs="Times New Roman"/>
                <w:b/>
                <w:bCs/>
                <w:szCs w:val="24"/>
              </w:rPr>
              <w:t>MDI:</w:t>
            </w:r>
          </w:p>
          <w:p w14:paraId="30B3FF78" w14:textId="77777777" w:rsidR="00142F45" w:rsidRPr="000646DD" w:rsidRDefault="00142F45" w:rsidP="00C46407">
            <w:pPr>
              <w:jc w:val="both"/>
              <w:rPr>
                <w:rFonts w:cs="Times New Roman"/>
                <w:szCs w:val="24"/>
              </w:rPr>
            </w:pPr>
            <w:r w:rsidRPr="000646DD">
              <w:rPr>
                <w:rFonts w:cs="Times New Roman"/>
                <w:b/>
                <w:bCs/>
                <w:szCs w:val="24"/>
              </w:rPr>
              <w:t>Adult and Child 12 years and older:</w:t>
            </w:r>
            <w:r w:rsidRPr="000646DD">
              <w:rPr>
                <w:rFonts w:cs="Times New Roman"/>
                <w:szCs w:val="24"/>
              </w:rPr>
              <w:t xml:space="preserve"> 1-2 inhalations (100-200 mcg) every 4-6 hours as needed.</w:t>
            </w:r>
          </w:p>
          <w:p w14:paraId="045C61A9" w14:textId="77777777" w:rsidR="00142F45" w:rsidRPr="000646DD" w:rsidRDefault="00142F45" w:rsidP="00C46407">
            <w:pPr>
              <w:jc w:val="both"/>
              <w:rPr>
                <w:rFonts w:cs="Times New Roman"/>
                <w:szCs w:val="24"/>
              </w:rPr>
            </w:pPr>
            <w:r w:rsidRPr="000646DD">
              <w:rPr>
                <w:rFonts w:cs="Times New Roman"/>
                <w:b/>
                <w:bCs/>
                <w:szCs w:val="24"/>
              </w:rPr>
              <w:t>Child 4 to 12 years:</w:t>
            </w:r>
            <w:r w:rsidRPr="000646DD">
              <w:rPr>
                <w:rFonts w:cs="Times New Roman"/>
                <w:szCs w:val="24"/>
              </w:rPr>
              <w:t xml:space="preserve"> 1-2 inhalations (100-200 mcg) every 4-6 hours as needed.</w:t>
            </w:r>
          </w:p>
          <w:p w14:paraId="671B3ED0" w14:textId="77777777" w:rsidR="00142F45" w:rsidRPr="000646DD" w:rsidRDefault="00142F45" w:rsidP="00C46407">
            <w:pPr>
              <w:jc w:val="both"/>
              <w:rPr>
                <w:rFonts w:cs="Times New Roman"/>
                <w:szCs w:val="24"/>
              </w:rPr>
            </w:pPr>
            <w:r w:rsidRPr="000646DD">
              <w:rPr>
                <w:rFonts w:cs="Times New Roman"/>
                <w:b/>
                <w:bCs/>
                <w:szCs w:val="24"/>
              </w:rPr>
              <w:t>Child under 4 years:</w:t>
            </w:r>
            <w:r w:rsidRPr="000646DD">
              <w:rPr>
                <w:rFonts w:cs="Times New Roman"/>
                <w:szCs w:val="24"/>
              </w:rPr>
              <w:t xml:space="preserve"> Consult a healthcare provider for appropriate dosing.</w:t>
            </w:r>
          </w:p>
          <w:p w14:paraId="1B458C6A" w14:textId="77777777" w:rsidR="00142F45" w:rsidRPr="005A275A" w:rsidRDefault="00142F45" w:rsidP="00C46407">
            <w:pPr>
              <w:jc w:val="both"/>
              <w:rPr>
                <w:rFonts w:cs="Times New Roman"/>
                <w:b/>
                <w:bCs/>
                <w:szCs w:val="24"/>
              </w:rPr>
            </w:pPr>
            <w:r w:rsidRPr="005A275A">
              <w:rPr>
                <w:rFonts w:cs="Times New Roman"/>
                <w:b/>
                <w:bCs/>
                <w:szCs w:val="24"/>
              </w:rPr>
              <w:t>DPI:</w:t>
            </w:r>
          </w:p>
          <w:p w14:paraId="56288E61" w14:textId="77777777" w:rsidR="00142F45" w:rsidRPr="000646DD" w:rsidRDefault="00142F45" w:rsidP="00C46407">
            <w:pPr>
              <w:jc w:val="both"/>
              <w:rPr>
                <w:rFonts w:cs="Times New Roman"/>
                <w:szCs w:val="24"/>
              </w:rPr>
            </w:pPr>
            <w:r w:rsidRPr="000646DD">
              <w:rPr>
                <w:rFonts w:cs="Times New Roman"/>
                <w:b/>
                <w:bCs/>
                <w:szCs w:val="24"/>
              </w:rPr>
              <w:t>Adult and Child 12 years and older:</w:t>
            </w:r>
            <w:r w:rsidRPr="000646DD">
              <w:rPr>
                <w:rFonts w:cs="Times New Roman"/>
                <w:szCs w:val="24"/>
              </w:rPr>
              <w:t xml:space="preserve"> 1 inhalation (200 mcg) every 4-6 hours as needed.</w:t>
            </w:r>
          </w:p>
          <w:p w14:paraId="6CEB1134" w14:textId="77777777" w:rsidR="00142F45" w:rsidRPr="000646DD" w:rsidRDefault="00142F45" w:rsidP="00C46407">
            <w:pPr>
              <w:jc w:val="both"/>
              <w:rPr>
                <w:rFonts w:cs="Times New Roman"/>
                <w:szCs w:val="24"/>
              </w:rPr>
            </w:pPr>
            <w:r w:rsidRPr="000646DD">
              <w:rPr>
                <w:rFonts w:cs="Times New Roman"/>
                <w:b/>
                <w:bCs/>
                <w:szCs w:val="24"/>
              </w:rPr>
              <w:t>Child 4 to 12 years:</w:t>
            </w:r>
            <w:r w:rsidRPr="000646DD">
              <w:rPr>
                <w:rFonts w:cs="Times New Roman"/>
                <w:szCs w:val="24"/>
              </w:rPr>
              <w:t xml:space="preserve"> 1 inhalation (200 mcg) every 4-6 hours as needed.</w:t>
            </w:r>
          </w:p>
          <w:p w14:paraId="10FFDC4C" w14:textId="77777777" w:rsidR="00142F45" w:rsidRPr="000646DD" w:rsidRDefault="00142F45" w:rsidP="00C46407">
            <w:pPr>
              <w:jc w:val="both"/>
              <w:rPr>
                <w:rFonts w:cs="Times New Roman"/>
                <w:szCs w:val="24"/>
              </w:rPr>
            </w:pPr>
            <w:r w:rsidRPr="000646DD">
              <w:rPr>
                <w:rFonts w:cs="Times New Roman"/>
                <w:b/>
                <w:bCs/>
                <w:szCs w:val="24"/>
              </w:rPr>
              <w:t>Child under 4 years:</w:t>
            </w:r>
            <w:r w:rsidRPr="000646DD">
              <w:rPr>
                <w:rFonts w:cs="Times New Roman"/>
                <w:szCs w:val="24"/>
              </w:rPr>
              <w:t xml:space="preserve"> Consult a healthcare provider for appropriate dosing.</w:t>
            </w:r>
          </w:p>
          <w:p w14:paraId="42B3125F" w14:textId="77777777" w:rsidR="00142F45" w:rsidRPr="000646DD" w:rsidRDefault="00142F45" w:rsidP="00C46407">
            <w:pPr>
              <w:jc w:val="both"/>
              <w:rPr>
                <w:rFonts w:cs="Times New Roman"/>
                <w:b/>
                <w:bCs/>
                <w:szCs w:val="24"/>
              </w:rPr>
            </w:pPr>
            <w:r w:rsidRPr="000646DD">
              <w:rPr>
                <w:rFonts w:cs="Times New Roman"/>
                <w:b/>
                <w:bCs/>
                <w:szCs w:val="24"/>
              </w:rPr>
              <w:t>Nebulized Solution</w:t>
            </w:r>
          </w:p>
          <w:p w14:paraId="6AD49A47" w14:textId="77777777" w:rsidR="00142F45" w:rsidRPr="000646DD" w:rsidRDefault="00142F45" w:rsidP="00C46407">
            <w:pPr>
              <w:jc w:val="both"/>
              <w:rPr>
                <w:rFonts w:cs="Times New Roman"/>
                <w:szCs w:val="24"/>
              </w:rPr>
            </w:pPr>
            <w:r w:rsidRPr="000646DD">
              <w:rPr>
                <w:rFonts w:cs="Times New Roman"/>
                <w:b/>
                <w:bCs/>
                <w:szCs w:val="24"/>
              </w:rPr>
              <w:t>Adult and Child 12 years and older:</w:t>
            </w:r>
            <w:r w:rsidRPr="000646DD">
              <w:rPr>
                <w:rFonts w:cs="Times New Roman"/>
                <w:szCs w:val="24"/>
              </w:rPr>
              <w:t xml:space="preserve"> 2.5 mg to 5 mg via nebulizer every 4-6 hours as needed.</w:t>
            </w:r>
          </w:p>
          <w:p w14:paraId="792F98D7" w14:textId="77777777" w:rsidR="00142F45" w:rsidRPr="000646DD" w:rsidRDefault="00142F45" w:rsidP="00C46407">
            <w:pPr>
              <w:jc w:val="both"/>
              <w:rPr>
                <w:rFonts w:cs="Times New Roman"/>
                <w:szCs w:val="24"/>
              </w:rPr>
            </w:pPr>
            <w:r w:rsidRPr="000646DD">
              <w:rPr>
                <w:rFonts w:cs="Times New Roman"/>
                <w:b/>
                <w:bCs/>
                <w:szCs w:val="24"/>
              </w:rPr>
              <w:lastRenderedPageBreak/>
              <w:t>Child 2 to 12 years:</w:t>
            </w:r>
            <w:r w:rsidRPr="000646DD">
              <w:rPr>
                <w:rFonts w:cs="Times New Roman"/>
                <w:szCs w:val="24"/>
              </w:rPr>
              <w:t xml:space="preserve"> 2.5 mg via nebulizer every 4-6 hours as needed.</w:t>
            </w:r>
          </w:p>
          <w:p w14:paraId="32076478" w14:textId="77777777" w:rsidR="00142F45" w:rsidRPr="000646DD" w:rsidRDefault="00142F45" w:rsidP="00C46407">
            <w:pPr>
              <w:jc w:val="both"/>
              <w:rPr>
                <w:rFonts w:cs="Times New Roman"/>
                <w:szCs w:val="24"/>
              </w:rPr>
            </w:pPr>
            <w:r w:rsidRPr="000646DD">
              <w:rPr>
                <w:rFonts w:cs="Times New Roman"/>
                <w:b/>
                <w:bCs/>
                <w:szCs w:val="24"/>
              </w:rPr>
              <w:t>Child under 2 years:</w:t>
            </w:r>
            <w:r w:rsidRPr="000646DD">
              <w:rPr>
                <w:rFonts w:cs="Times New Roman"/>
                <w:szCs w:val="24"/>
              </w:rPr>
              <w:t xml:space="preserve"> Consult a healthcare provider for appropriate dosing.</w:t>
            </w:r>
          </w:p>
          <w:p w14:paraId="60A62CE1" w14:textId="77777777" w:rsidR="00142F45" w:rsidRPr="000646DD" w:rsidRDefault="00142F45" w:rsidP="00C46407">
            <w:pPr>
              <w:autoSpaceDE w:val="0"/>
              <w:autoSpaceDN w:val="0"/>
              <w:adjustRightInd w:val="0"/>
              <w:jc w:val="both"/>
              <w:rPr>
                <w:rFonts w:eastAsia="Batang" w:cs="Times New Roman"/>
                <w:color w:val="231F20"/>
                <w:kern w:val="0"/>
                <w:szCs w:val="24"/>
                <w:lang w:val="en-US" w:eastAsia="en-US"/>
              </w:rPr>
            </w:pPr>
            <w:r w:rsidRPr="000646DD">
              <w:rPr>
                <w:rFonts w:eastAsia="Batang" w:cs="Times New Roman"/>
                <w:b/>
                <w:bCs/>
                <w:color w:val="231F20"/>
                <w:kern w:val="0"/>
                <w:szCs w:val="24"/>
                <w:lang w:val="en-US" w:eastAsia="en-US"/>
              </w:rPr>
              <w:t>Child 1 month–4 years:</w:t>
            </w:r>
            <w:r w:rsidRPr="000646DD">
              <w:rPr>
                <w:rFonts w:eastAsia="Batang" w:cs="Times New Roman"/>
                <w:color w:val="231F20"/>
                <w:kern w:val="0"/>
                <w:szCs w:val="24"/>
                <w:lang w:val="en-US" w:eastAsia="en-US"/>
              </w:rPr>
              <w:t xml:space="preserve"> 2.5 mg, repeat every 20–30</w:t>
            </w:r>
            <w:r>
              <w:rPr>
                <w:rFonts w:eastAsia="Batang" w:cs="Times New Roman"/>
                <w:color w:val="231F20"/>
                <w:kern w:val="0"/>
                <w:szCs w:val="24"/>
                <w:lang w:val="en-US" w:eastAsia="en-US"/>
              </w:rPr>
              <w:t xml:space="preserve"> </w:t>
            </w:r>
            <w:r w:rsidRPr="000646DD">
              <w:rPr>
                <w:rFonts w:eastAsia="Batang" w:cs="Times New Roman"/>
                <w:color w:val="231F20"/>
                <w:kern w:val="0"/>
                <w:szCs w:val="24"/>
                <w:lang w:val="en-US" w:eastAsia="en-US"/>
              </w:rPr>
              <w:t>minutes or when required; give via oxygen-driven</w:t>
            </w:r>
            <w:r>
              <w:rPr>
                <w:rFonts w:eastAsia="Batang" w:cs="Times New Roman"/>
                <w:color w:val="231F20"/>
                <w:kern w:val="0"/>
                <w:szCs w:val="24"/>
                <w:lang w:val="en-US" w:eastAsia="en-US"/>
              </w:rPr>
              <w:t xml:space="preserve"> </w:t>
            </w:r>
            <w:r w:rsidRPr="000646DD">
              <w:rPr>
                <w:rFonts w:eastAsia="Batang" w:cs="Times New Roman"/>
                <w:color w:val="231F20"/>
                <w:kern w:val="0"/>
                <w:szCs w:val="24"/>
                <w:lang w:val="en-US" w:eastAsia="en-US"/>
              </w:rPr>
              <w:t>nebulizer if available</w:t>
            </w:r>
          </w:p>
          <w:p w14:paraId="6214930C" w14:textId="77777777" w:rsidR="00142F45" w:rsidRPr="000646DD" w:rsidRDefault="00142F45" w:rsidP="00C46407">
            <w:pPr>
              <w:autoSpaceDE w:val="0"/>
              <w:autoSpaceDN w:val="0"/>
              <w:adjustRightInd w:val="0"/>
              <w:jc w:val="both"/>
              <w:rPr>
                <w:rFonts w:eastAsia="Batang" w:cs="Times New Roman"/>
                <w:color w:val="231F20"/>
                <w:kern w:val="0"/>
                <w:szCs w:val="24"/>
                <w:lang w:val="en-US" w:eastAsia="en-US"/>
              </w:rPr>
            </w:pPr>
            <w:r w:rsidRPr="000646DD">
              <w:rPr>
                <w:rFonts w:eastAsia="Batang" w:cs="Times New Roman"/>
                <w:b/>
                <w:bCs/>
                <w:color w:val="231F20"/>
                <w:kern w:val="0"/>
                <w:szCs w:val="24"/>
                <w:lang w:val="en-US" w:eastAsia="en-US"/>
              </w:rPr>
              <w:t>Child 5–11 years:</w:t>
            </w:r>
            <w:r w:rsidRPr="000646DD">
              <w:rPr>
                <w:rFonts w:eastAsia="Batang" w:cs="Times New Roman"/>
                <w:color w:val="231F20"/>
                <w:kern w:val="0"/>
                <w:szCs w:val="24"/>
                <w:lang w:val="en-US" w:eastAsia="en-US"/>
              </w:rPr>
              <w:t xml:space="preserve"> 2.5–5 mg, repeat every 20–30</w:t>
            </w:r>
            <w:r>
              <w:rPr>
                <w:rFonts w:eastAsia="Batang" w:cs="Times New Roman"/>
                <w:color w:val="231F20"/>
                <w:kern w:val="0"/>
                <w:szCs w:val="24"/>
                <w:lang w:val="en-US" w:eastAsia="en-US"/>
              </w:rPr>
              <w:t xml:space="preserve"> </w:t>
            </w:r>
            <w:r w:rsidRPr="000646DD">
              <w:rPr>
                <w:rFonts w:eastAsia="Batang" w:cs="Times New Roman"/>
                <w:color w:val="231F20"/>
                <w:kern w:val="0"/>
                <w:szCs w:val="24"/>
                <w:lang w:val="en-US" w:eastAsia="en-US"/>
              </w:rPr>
              <w:t>minutes or when required; give via oxygen-driven</w:t>
            </w:r>
            <w:r>
              <w:rPr>
                <w:rFonts w:eastAsia="Batang" w:cs="Times New Roman"/>
                <w:color w:val="231F20"/>
                <w:kern w:val="0"/>
                <w:szCs w:val="24"/>
                <w:lang w:val="en-US" w:eastAsia="en-US"/>
              </w:rPr>
              <w:t xml:space="preserve"> </w:t>
            </w:r>
            <w:r w:rsidRPr="000646DD">
              <w:rPr>
                <w:rFonts w:eastAsia="Batang" w:cs="Times New Roman"/>
                <w:color w:val="231F20"/>
                <w:kern w:val="0"/>
                <w:szCs w:val="24"/>
                <w:lang w:val="en-US" w:eastAsia="en-US"/>
              </w:rPr>
              <w:t>nebulizer if available</w:t>
            </w:r>
          </w:p>
          <w:p w14:paraId="4A5A0EFF" w14:textId="77777777" w:rsidR="00142F45" w:rsidRPr="00CC198A" w:rsidRDefault="00142F45" w:rsidP="00C46407">
            <w:pPr>
              <w:autoSpaceDE w:val="0"/>
              <w:autoSpaceDN w:val="0"/>
              <w:adjustRightInd w:val="0"/>
              <w:jc w:val="both"/>
              <w:rPr>
                <w:rFonts w:eastAsia="Batang" w:cs="Times New Roman"/>
                <w:color w:val="231F20"/>
                <w:kern w:val="0"/>
                <w:szCs w:val="24"/>
                <w:lang w:val="en-US" w:eastAsia="en-US"/>
              </w:rPr>
            </w:pPr>
            <w:r w:rsidRPr="000646DD">
              <w:rPr>
                <w:rFonts w:eastAsia="Batang" w:cs="Times New Roman"/>
                <w:b/>
                <w:bCs/>
                <w:color w:val="231F20"/>
                <w:kern w:val="0"/>
                <w:szCs w:val="24"/>
                <w:lang w:val="en-US" w:eastAsia="en-US"/>
              </w:rPr>
              <w:t>Child 12–17 years:</w:t>
            </w:r>
            <w:r w:rsidRPr="000646DD">
              <w:rPr>
                <w:rFonts w:eastAsia="Batang" w:cs="Times New Roman"/>
                <w:color w:val="231F20"/>
                <w:kern w:val="0"/>
                <w:szCs w:val="24"/>
                <w:lang w:val="en-US" w:eastAsia="en-US"/>
              </w:rPr>
              <w:t xml:space="preserve"> 5 mg, repeat every 20–30 minutes or when required; give via oxygen-driven</w:t>
            </w:r>
            <w:r>
              <w:rPr>
                <w:rFonts w:eastAsia="Batang" w:cs="Times New Roman"/>
                <w:color w:val="231F20"/>
                <w:kern w:val="0"/>
                <w:szCs w:val="24"/>
                <w:lang w:val="en-US" w:eastAsia="en-US"/>
              </w:rPr>
              <w:t xml:space="preserve"> </w:t>
            </w:r>
            <w:r w:rsidRPr="000646DD">
              <w:rPr>
                <w:rFonts w:eastAsia="Batang" w:cs="Times New Roman"/>
                <w:color w:val="231F20"/>
                <w:kern w:val="0"/>
                <w:szCs w:val="24"/>
                <w:lang w:val="en-US" w:eastAsia="en-US"/>
              </w:rPr>
              <w:t>nebulizer if available</w:t>
            </w:r>
          </w:p>
          <w:p w14:paraId="7BFE2C18" w14:textId="77777777" w:rsidR="00142F45" w:rsidRPr="00CC198A" w:rsidRDefault="00142F45" w:rsidP="00C46407">
            <w:pPr>
              <w:jc w:val="both"/>
              <w:rPr>
                <w:rFonts w:cs="Times New Roman"/>
                <w:b/>
                <w:bCs/>
                <w:szCs w:val="24"/>
              </w:rPr>
            </w:pPr>
            <w:r w:rsidRPr="00CC198A">
              <w:rPr>
                <w:rFonts w:cs="Times New Roman"/>
                <w:b/>
                <w:bCs/>
                <w:szCs w:val="24"/>
              </w:rPr>
              <w:t>Oral</w:t>
            </w:r>
            <w:r>
              <w:rPr>
                <w:rFonts w:cs="Times New Roman"/>
                <w:b/>
                <w:bCs/>
                <w:szCs w:val="24"/>
              </w:rPr>
              <w:t xml:space="preserve"> tablet</w:t>
            </w:r>
            <w:r w:rsidRPr="00CC198A">
              <w:rPr>
                <w:rFonts w:cs="Times New Roman"/>
                <w:b/>
                <w:bCs/>
                <w:szCs w:val="24"/>
              </w:rPr>
              <w:t>:</w:t>
            </w:r>
          </w:p>
          <w:p w14:paraId="60EE7E4B" w14:textId="77777777" w:rsidR="00142F45" w:rsidRPr="000646DD" w:rsidRDefault="00142F45" w:rsidP="00C46407">
            <w:pPr>
              <w:jc w:val="both"/>
              <w:rPr>
                <w:rFonts w:cs="Times New Roman"/>
                <w:szCs w:val="24"/>
              </w:rPr>
            </w:pPr>
            <w:r w:rsidRPr="000646DD">
              <w:rPr>
                <w:rFonts w:cs="Times New Roman"/>
                <w:b/>
                <w:bCs/>
                <w:szCs w:val="24"/>
              </w:rPr>
              <w:t>Adults and Child 12 years and older:</w:t>
            </w:r>
            <w:r w:rsidRPr="000646DD">
              <w:rPr>
                <w:rFonts w:cs="Times New Roman"/>
                <w:szCs w:val="24"/>
              </w:rPr>
              <w:t xml:space="preserve"> 2-4 mg orally three to four times a day.</w:t>
            </w:r>
          </w:p>
          <w:p w14:paraId="386FDA8A" w14:textId="77777777" w:rsidR="00142F45" w:rsidRPr="000646DD" w:rsidRDefault="00142F45" w:rsidP="00C46407">
            <w:pPr>
              <w:jc w:val="both"/>
              <w:rPr>
                <w:rFonts w:cs="Times New Roman"/>
                <w:szCs w:val="24"/>
              </w:rPr>
            </w:pPr>
            <w:r w:rsidRPr="000646DD">
              <w:rPr>
                <w:rFonts w:cs="Times New Roman"/>
                <w:b/>
                <w:bCs/>
                <w:szCs w:val="24"/>
              </w:rPr>
              <w:t>Child 6 to 12 years:</w:t>
            </w:r>
            <w:r w:rsidRPr="000646DD">
              <w:rPr>
                <w:rFonts w:cs="Times New Roman"/>
                <w:szCs w:val="24"/>
              </w:rPr>
              <w:t xml:space="preserve"> 2 mg orally three to four times a day.</w:t>
            </w:r>
          </w:p>
          <w:p w14:paraId="361FAB10" w14:textId="77777777" w:rsidR="00142F45" w:rsidRPr="000646DD" w:rsidRDefault="00142F45" w:rsidP="00C46407">
            <w:pPr>
              <w:jc w:val="both"/>
              <w:rPr>
                <w:rFonts w:cs="Times New Roman"/>
                <w:szCs w:val="24"/>
              </w:rPr>
            </w:pPr>
            <w:r w:rsidRPr="000646DD">
              <w:rPr>
                <w:rFonts w:cs="Times New Roman"/>
                <w:b/>
                <w:bCs/>
                <w:szCs w:val="24"/>
              </w:rPr>
              <w:t>Child under 6 years:</w:t>
            </w:r>
            <w:r w:rsidRPr="000646DD">
              <w:rPr>
                <w:rFonts w:cs="Times New Roman"/>
                <w:szCs w:val="24"/>
              </w:rPr>
              <w:t xml:space="preserve"> Use of tablets is not typically recommended; consult a healthcare provider for appropriate dosing.</w:t>
            </w:r>
          </w:p>
          <w:p w14:paraId="77F250DD" w14:textId="77777777" w:rsidR="00142F45" w:rsidRPr="00CC198A" w:rsidRDefault="00142F45" w:rsidP="00C46407">
            <w:pPr>
              <w:jc w:val="both"/>
              <w:rPr>
                <w:rFonts w:cs="Times New Roman"/>
                <w:b/>
                <w:bCs/>
                <w:szCs w:val="24"/>
              </w:rPr>
            </w:pPr>
            <w:r w:rsidRPr="00CC198A">
              <w:rPr>
                <w:rFonts w:cs="Times New Roman"/>
                <w:b/>
                <w:bCs/>
                <w:szCs w:val="24"/>
              </w:rPr>
              <w:t>Syrup</w:t>
            </w:r>
            <w:r>
              <w:rPr>
                <w:rFonts w:cs="Times New Roman"/>
                <w:b/>
                <w:bCs/>
                <w:szCs w:val="24"/>
              </w:rPr>
              <w:t>:</w:t>
            </w:r>
          </w:p>
          <w:p w14:paraId="26151623" w14:textId="77777777" w:rsidR="00142F45" w:rsidRPr="000646DD" w:rsidRDefault="00142F45" w:rsidP="00C46407">
            <w:pPr>
              <w:jc w:val="both"/>
              <w:rPr>
                <w:rFonts w:cs="Times New Roman"/>
                <w:szCs w:val="24"/>
              </w:rPr>
            </w:pPr>
            <w:r w:rsidRPr="000646DD">
              <w:rPr>
                <w:rFonts w:cs="Times New Roman"/>
                <w:b/>
                <w:bCs/>
                <w:szCs w:val="24"/>
              </w:rPr>
              <w:t>Adult</w:t>
            </w:r>
            <w:r>
              <w:rPr>
                <w:rFonts w:cs="Times New Roman"/>
                <w:b/>
                <w:bCs/>
                <w:szCs w:val="24"/>
              </w:rPr>
              <w:t xml:space="preserve"> </w:t>
            </w:r>
            <w:r w:rsidRPr="000646DD">
              <w:rPr>
                <w:rFonts w:cs="Times New Roman"/>
                <w:b/>
                <w:bCs/>
                <w:szCs w:val="24"/>
              </w:rPr>
              <w:t>and Child 12 years and older:</w:t>
            </w:r>
            <w:r w:rsidRPr="000646DD">
              <w:rPr>
                <w:rFonts w:cs="Times New Roman"/>
                <w:szCs w:val="24"/>
              </w:rPr>
              <w:t xml:space="preserve"> 2-4 mg (5-10 ml) three to four times a day.</w:t>
            </w:r>
          </w:p>
          <w:p w14:paraId="11FF0D44" w14:textId="77777777" w:rsidR="00142F45" w:rsidRPr="000646DD" w:rsidRDefault="00142F45" w:rsidP="00C46407">
            <w:pPr>
              <w:jc w:val="both"/>
              <w:rPr>
                <w:rFonts w:cs="Times New Roman"/>
                <w:szCs w:val="24"/>
              </w:rPr>
            </w:pPr>
            <w:r w:rsidRPr="000646DD">
              <w:rPr>
                <w:rFonts w:cs="Times New Roman"/>
                <w:b/>
                <w:bCs/>
                <w:szCs w:val="24"/>
              </w:rPr>
              <w:t>Child 6 to 12 years:</w:t>
            </w:r>
            <w:r w:rsidRPr="000646DD">
              <w:rPr>
                <w:rFonts w:cs="Times New Roman"/>
                <w:szCs w:val="24"/>
              </w:rPr>
              <w:t xml:space="preserve"> 2 mg (5 ml) three to four times a day.</w:t>
            </w:r>
          </w:p>
          <w:p w14:paraId="00ACA74C" w14:textId="77777777" w:rsidR="00142F45" w:rsidRPr="000646DD" w:rsidRDefault="00142F45" w:rsidP="00C46407">
            <w:pPr>
              <w:jc w:val="both"/>
              <w:rPr>
                <w:rFonts w:cs="Times New Roman"/>
                <w:szCs w:val="24"/>
              </w:rPr>
            </w:pPr>
            <w:r w:rsidRPr="000646DD">
              <w:rPr>
                <w:rFonts w:cs="Times New Roman"/>
                <w:b/>
                <w:bCs/>
                <w:szCs w:val="24"/>
              </w:rPr>
              <w:t>Child 2 to 6 years:</w:t>
            </w:r>
            <w:r w:rsidRPr="000646DD">
              <w:rPr>
                <w:rFonts w:cs="Times New Roman"/>
                <w:szCs w:val="24"/>
              </w:rPr>
              <w:t xml:space="preserve"> 1-2 mg (2.5-5 ml) three to four times a day.</w:t>
            </w:r>
          </w:p>
          <w:p w14:paraId="7A9ACDEC" w14:textId="77777777" w:rsidR="00142F45" w:rsidRPr="000646DD" w:rsidRDefault="00142F45" w:rsidP="00C46407">
            <w:pPr>
              <w:jc w:val="both"/>
              <w:rPr>
                <w:rFonts w:cs="Times New Roman"/>
                <w:iCs/>
                <w:szCs w:val="24"/>
              </w:rPr>
            </w:pPr>
            <w:r w:rsidRPr="000646DD">
              <w:rPr>
                <w:rFonts w:cs="Times New Roman"/>
                <w:b/>
                <w:bCs/>
                <w:szCs w:val="24"/>
              </w:rPr>
              <w:t>Child under 2 years:</w:t>
            </w:r>
            <w:r w:rsidRPr="000646DD">
              <w:rPr>
                <w:rFonts w:cs="Times New Roman"/>
                <w:szCs w:val="24"/>
              </w:rPr>
              <w:t xml:space="preserve"> Consult a healthcare provider for appropriate dosing.</w:t>
            </w:r>
          </w:p>
        </w:tc>
      </w:tr>
      <w:tr w:rsidR="00142F45" w:rsidRPr="000646DD" w14:paraId="48243C1F" w14:textId="77777777" w:rsidTr="00C46407">
        <w:tc>
          <w:tcPr>
            <w:tcW w:w="2700" w:type="dxa"/>
          </w:tcPr>
          <w:p w14:paraId="2680946A" w14:textId="77777777" w:rsidR="00142F45" w:rsidRPr="000646DD" w:rsidRDefault="00142F45" w:rsidP="00C46407">
            <w:pPr>
              <w:rPr>
                <w:rFonts w:cs="Times New Roman"/>
                <w:szCs w:val="24"/>
              </w:rPr>
            </w:pPr>
            <w:r w:rsidRPr="000646DD">
              <w:rPr>
                <w:rFonts w:cs="Times New Roman"/>
                <w:szCs w:val="24"/>
              </w:rPr>
              <w:lastRenderedPageBreak/>
              <w:t>Contraindications</w:t>
            </w:r>
          </w:p>
        </w:tc>
        <w:tc>
          <w:tcPr>
            <w:tcW w:w="6570" w:type="dxa"/>
          </w:tcPr>
          <w:p w14:paraId="2DCA6227" w14:textId="77777777" w:rsidR="00142F45" w:rsidRPr="000646DD" w:rsidRDefault="00142F45" w:rsidP="00C46407">
            <w:pPr>
              <w:jc w:val="both"/>
              <w:rPr>
                <w:rFonts w:cs="Times New Roman"/>
                <w:szCs w:val="24"/>
              </w:rPr>
            </w:pPr>
            <w:r w:rsidRPr="000646DD">
              <w:rPr>
                <w:rFonts w:cs="Times New Roman"/>
                <w:szCs w:val="24"/>
              </w:rPr>
              <w:t xml:space="preserve">Hypersensitivity to </w:t>
            </w:r>
            <w:r>
              <w:rPr>
                <w:rFonts w:cs="Times New Roman"/>
                <w:szCs w:val="24"/>
              </w:rPr>
              <w:t>the drug</w:t>
            </w:r>
            <w:r w:rsidR="00EC11CF">
              <w:rPr>
                <w:rFonts w:cs="Times New Roman"/>
                <w:szCs w:val="24"/>
              </w:rPr>
              <w:t>.</w:t>
            </w:r>
          </w:p>
        </w:tc>
      </w:tr>
      <w:tr w:rsidR="00142F45" w:rsidRPr="000646DD" w14:paraId="1CB7DCA8" w14:textId="77777777" w:rsidTr="00C46407">
        <w:tc>
          <w:tcPr>
            <w:tcW w:w="2700" w:type="dxa"/>
          </w:tcPr>
          <w:p w14:paraId="312355D1"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33A003A0" w14:textId="77777777" w:rsidR="00142F45" w:rsidRPr="000646DD" w:rsidRDefault="00142F45" w:rsidP="00C46407">
            <w:pPr>
              <w:jc w:val="both"/>
              <w:rPr>
                <w:rFonts w:cs="Times New Roman"/>
                <w:szCs w:val="24"/>
              </w:rPr>
            </w:pPr>
            <w:r w:rsidRPr="000646DD">
              <w:rPr>
                <w:rFonts w:cs="Times New Roman"/>
                <w:szCs w:val="24"/>
              </w:rPr>
              <w:t>Nonselective beta-blockers, cardiac digoxin, diuretics, corticosteroids, other beta-agonists, acetazolamide, methyldopa</w:t>
            </w:r>
          </w:p>
        </w:tc>
      </w:tr>
      <w:tr w:rsidR="00142F45" w:rsidRPr="000646DD" w14:paraId="5CFAF3B2" w14:textId="77777777" w:rsidTr="00C46407">
        <w:tc>
          <w:tcPr>
            <w:tcW w:w="2700" w:type="dxa"/>
          </w:tcPr>
          <w:p w14:paraId="5498D01A"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057462B2" w14:textId="77777777" w:rsidR="00142F45" w:rsidRPr="000646DD" w:rsidRDefault="00142F45" w:rsidP="00C46407">
            <w:pPr>
              <w:jc w:val="both"/>
              <w:rPr>
                <w:rFonts w:cs="Times New Roman"/>
                <w:szCs w:val="24"/>
              </w:rPr>
            </w:pPr>
            <w:r w:rsidRPr="000646DD">
              <w:rPr>
                <w:rFonts w:cs="Times New Roman"/>
                <w:szCs w:val="24"/>
              </w:rPr>
              <w:t>Muscle cramps, oral irritation, throat irritation, palpitations, tremor, nervousness, headache, paradoxical bronchospasm, hypokalemia</w:t>
            </w:r>
          </w:p>
        </w:tc>
      </w:tr>
      <w:tr w:rsidR="00142F45" w:rsidRPr="000646DD" w14:paraId="7A894CDD" w14:textId="77777777" w:rsidTr="00C46407">
        <w:tc>
          <w:tcPr>
            <w:tcW w:w="2700" w:type="dxa"/>
          </w:tcPr>
          <w:p w14:paraId="2263D3E0"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6AC3F48A" w14:textId="77777777" w:rsidR="00142F45" w:rsidRPr="000646DD" w:rsidRDefault="00142F45" w:rsidP="00C46407">
            <w:pPr>
              <w:jc w:val="both"/>
              <w:rPr>
                <w:rFonts w:cs="Times New Roman"/>
                <w:szCs w:val="24"/>
              </w:rPr>
            </w:pPr>
            <w:r w:rsidRPr="000646DD">
              <w:rPr>
                <w:rFonts w:cs="Times New Roman"/>
                <w:szCs w:val="24"/>
              </w:rPr>
              <w:t xml:space="preserve">Hyperthyroidism, myocardial insufficiency, arrhythmias, </w:t>
            </w:r>
            <w:r w:rsidRPr="000646DD">
              <w:rPr>
                <w:rFonts w:cs="Times New Roman"/>
                <w:szCs w:val="24"/>
              </w:rPr>
              <w:lastRenderedPageBreak/>
              <w:t>susceptibility to QT-interval prolongation, hypertension, diabetes mellitus, pregnancy</w:t>
            </w:r>
          </w:p>
        </w:tc>
      </w:tr>
      <w:tr w:rsidR="00142F45" w:rsidRPr="000646DD" w14:paraId="77510859" w14:textId="77777777" w:rsidTr="00C46407">
        <w:tc>
          <w:tcPr>
            <w:tcW w:w="2700" w:type="dxa"/>
          </w:tcPr>
          <w:p w14:paraId="0056A85C" w14:textId="77777777" w:rsidR="00142F45" w:rsidRPr="000646DD" w:rsidRDefault="00142F45" w:rsidP="00C46407">
            <w:pPr>
              <w:rPr>
                <w:rFonts w:cs="Times New Roman"/>
                <w:szCs w:val="24"/>
              </w:rPr>
            </w:pPr>
            <w:r w:rsidRPr="000646DD">
              <w:rPr>
                <w:rFonts w:cs="Times New Roman"/>
                <w:szCs w:val="24"/>
              </w:rPr>
              <w:lastRenderedPageBreak/>
              <w:t>Storage condition</w:t>
            </w:r>
          </w:p>
        </w:tc>
        <w:tc>
          <w:tcPr>
            <w:tcW w:w="6570" w:type="dxa"/>
          </w:tcPr>
          <w:p w14:paraId="17857E75" w14:textId="77777777" w:rsidR="00142F45" w:rsidRPr="000646DD" w:rsidRDefault="00142F45" w:rsidP="00C46407">
            <w:pPr>
              <w:jc w:val="both"/>
              <w:rPr>
                <w:rFonts w:cs="Times New Roman"/>
                <w:szCs w:val="24"/>
              </w:rPr>
            </w:pPr>
            <w:r w:rsidRPr="000646DD">
              <w:rPr>
                <w:rFonts w:cs="Times New Roman"/>
                <w:szCs w:val="24"/>
              </w:rPr>
              <w:t>Store below 30°C.</w:t>
            </w:r>
          </w:p>
        </w:tc>
      </w:tr>
      <w:tr w:rsidR="00142F45" w:rsidRPr="000646DD" w14:paraId="53B2C1E0" w14:textId="77777777" w:rsidTr="00C46407">
        <w:tc>
          <w:tcPr>
            <w:tcW w:w="9270" w:type="dxa"/>
            <w:gridSpan w:val="2"/>
          </w:tcPr>
          <w:p w14:paraId="7ABA2F3A" w14:textId="77777777" w:rsidR="00142F45" w:rsidRPr="000646DD" w:rsidRDefault="00142F45" w:rsidP="00C46407">
            <w:pPr>
              <w:rPr>
                <w:rFonts w:cs="Times New Roman"/>
                <w:b/>
                <w:bCs/>
                <w:szCs w:val="24"/>
              </w:rPr>
            </w:pPr>
            <w:r w:rsidRPr="000646DD">
              <w:rPr>
                <w:rFonts w:cs="Times New Roman"/>
                <w:color w:val="000000"/>
                <w:szCs w:val="24"/>
              </w:rPr>
              <w:br w:type="page"/>
            </w:r>
            <w:bookmarkStart w:id="53" w:name="_Toc168315208"/>
            <w:r w:rsidRPr="000646DD">
              <w:rPr>
                <w:rFonts w:cs="Times New Roman"/>
                <w:b/>
                <w:bCs/>
                <w:szCs w:val="24"/>
              </w:rPr>
              <w:t>Tiotropium</w:t>
            </w:r>
            <w:bookmarkEnd w:id="53"/>
          </w:p>
        </w:tc>
      </w:tr>
      <w:tr w:rsidR="00142F45" w:rsidRPr="000646DD" w14:paraId="3470245F" w14:textId="77777777" w:rsidTr="00C46407">
        <w:tc>
          <w:tcPr>
            <w:tcW w:w="2700" w:type="dxa"/>
          </w:tcPr>
          <w:p w14:paraId="0BC48752" w14:textId="77777777" w:rsidR="00142F45" w:rsidRPr="000646DD" w:rsidRDefault="00142F45" w:rsidP="00C46407">
            <w:pPr>
              <w:rPr>
                <w:rFonts w:cs="Times New Roman"/>
                <w:szCs w:val="24"/>
              </w:rPr>
            </w:pPr>
            <w:r w:rsidRPr="000646DD">
              <w:rPr>
                <w:rFonts w:cs="Times New Roman"/>
                <w:szCs w:val="24"/>
              </w:rPr>
              <w:t xml:space="preserve">Pharmacological class </w:t>
            </w:r>
          </w:p>
        </w:tc>
        <w:tc>
          <w:tcPr>
            <w:tcW w:w="6570" w:type="dxa"/>
          </w:tcPr>
          <w:p w14:paraId="0D87F935" w14:textId="77777777" w:rsidR="00142F45" w:rsidRPr="000646DD" w:rsidRDefault="00142F45" w:rsidP="00C46407">
            <w:pPr>
              <w:jc w:val="both"/>
              <w:rPr>
                <w:rFonts w:cs="Times New Roman"/>
                <w:szCs w:val="24"/>
              </w:rPr>
            </w:pPr>
            <w:r w:rsidRPr="000646DD">
              <w:rPr>
                <w:rFonts w:cs="Times New Roman"/>
                <w:szCs w:val="24"/>
              </w:rPr>
              <w:t>Anticholinergic</w:t>
            </w:r>
          </w:p>
        </w:tc>
      </w:tr>
      <w:tr w:rsidR="00142F45" w:rsidRPr="000646DD" w14:paraId="544B03C3" w14:textId="77777777" w:rsidTr="00C46407">
        <w:tc>
          <w:tcPr>
            <w:tcW w:w="2700" w:type="dxa"/>
          </w:tcPr>
          <w:p w14:paraId="4D301A3E" w14:textId="77777777" w:rsidR="00142F45" w:rsidRPr="000646DD" w:rsidRDefault="00142F45" w:rsidP="00C46407">
            <w:pPr>
              <w:rPr>
                <w:rFonts w:cs="Times New Roman"/>
                <w:szCs w:val="24"/>
              </w:rPr>
            </w:pPr>
            <w:r w:rsidRPr="000646DD">
              <w:rPr>
                <w:rFonts w:cs="Times New Roman"/>
                <w:szCs w:val="24"/>
              </w:rPr>
              <w:t>Dosage form</w:t>
            </w:r>
          </w:p>
        </w:tc>
        <w:tc>
          <w:tcPr>
            <w:tcW w:w="6570" w:type="dxa"/>
          </w:tcPr>
          <w:p w14:paraId="496B8C2C" w14:textId="77777777" w:rsidR="00142F45" w:rsidRPr="000646DD" w:rsidRDefault="00142F45" w:rsidP="00C46407">
            <w:pPr>
              <w:jc w:val="both"/>
              <w:rPr>
                <w:rFonts w:cs="Times New Roman"/>
                <w:szCs w:val="24"/>
              </w:rPr>
            </w:pPr>
            <w:r w:rsidRPr="000646DD">
              <w:rPr>
                <w:rFonts w:cs="Times New Roman"/>
                <w:szCs w:val="24"/>
              </w:rPr>
              <w:t>DPI: 18 mcg per capsule for inhalation.</w:t>
            </w:r>
          </w:p>
          <w:p w14:paraId="3DED510C" w14:textId="77777777" w:rsidR="00142F45" w:rsidRPr="000646DD" w:rsidRDefault="00142F45" w:rsidP="00C46407">
            <w:pPr>
              <w:jc w:val="both"/>
              <w:rPr>
                <w:rFonts w:cs="Times New Roman"/>
                <w:szCs w:val="24"/>
              </w:rPr>
            </w:pPr>
            <w:r w:rsidRPr="000646DD">
              <w:rPr>
                <w:rFonts w:cs="Times New Roman"/>
                <w:szCs w:val="24"/>
              </w:rPr>
              <w:t>MDI: 1.25 mcg, 2.5 mcg</w:t>
            </w:r>
          </w:p>
        </w:tc>
      </w:tr>
      <w:tr w:rsidR="00142F45" w:rsidRPr="000646DD" w14:paraId="3244E9D4" w14:textId="77777777" w:rsidTr="00C46407">
        <w:tc>
          <w:tcPr>
            <w:tcW w:w="2700" w:type="dxa"/>
          </w:tcPr>
          <w:p w14:paraId="5CDC37D7" w14:textId="77777777" w:rsidR="00142F45" w:rsidRPr="000646DD" w:rsidRDefault="00142F45" w:rsidP="00C46407">
            <w:pPr>
              <w:rPr>
                <w:rFonts w:cs="Times New Roman"/>
                <w:szCs w:val="24"/>
              </w:rPr>
            </w:pPr>
            <w:r w:rsidRPr="000646DD">
              <w:rPr>
                <w:rFonts w:cs="Times New Roman"/>
                <w:szCs w:val="24"/>
              </w:rPr>
              <w:t>Indications</w:t>
            </w:r>
          </w:p>
        </w:tc>
        <w:tc>
          <w:tcPr>
            <w:tcW w:w="6570" w:type="dxa"/>
          </w:tcPr>
          <w:p w14:paraId="07571172" w14:textId="77777777" w:rsidR="00142F45" w:rsidRPr="000646DD" w:rsidRDefault="00142F45" w:rsidP="00C46407">
            <w:pPr>
              <w:jc w:val="both"/>
              <w:rPr>
                <w:rFonts w:cs="Times New Roman"/>
                <w:szCs w:val="24"/>
              </w:rPr>
            </w:pPr>
            <w:r w:rsidRPr="000646DD">
              <w:rPr>
                <w:rFonts w:cs="Times New Roman"/>
                <w:szCs w:val="24"/>
              </w:rPr>
              <w:t>Maintenance treatment of COPD, severe asthma (as an add-on to inhaled corticosteroid and at least one controller)</w:t>
            </w:r>
          </w:p>
        </w:tc>
      </w:tr>
      <w:tr w:rsidR="00142F45" w:rsidRPr="000646DD" w14:paraId="6B9BDB33" w14:textId="77777777" w:rsidTr="00C46407">
        <w:tc>
          <w:tcPr>
            <w:tcW w:w="2700" w:type="dxa"/>
          </w:tcPr>
          <w:p w14:paraId="18CB3253" w14:textId="77777777" w:rsidR="00142F45" w:rsidRPr="000646DD" w:rsidRDefault="00142F45" w:rsidP="00C46407">
            <w:pPr>
              <w:rPr>
                <w:rFonts w:cs="Times New Roman"/>
                <w:szCs w:val="24"/>
              </w:rPr>
            </w:pPr>
            <w:r w:rsidRPr="000646DD">
              <w:rPr>
                <w:rFonts w:cs="Times New Roman"/>
                <w:szCs w:val="24"/>
              </w:rPr>
              <w:t>Dose and administration</w:t>
            </w:r>
          </w:p>
        </w:tc>
        <w:tc>
          <w:tcPr>
            <w:tcW w:w="6570" w:type="dxa"/>
          </w:tcPr>
          <w:p w14:paraId="4656587E" w14:textId="77777777" w:rsidR="00142F45" w:rsidRPr="000646DD" w:rsidRDefault="00142F45" w:rsidP="00C46407">
            <w:pPr>
              <w:jc w:val="both"/>
              <w:rPr>
                <w:rFonts w:cs="Times New Roman"/>
                <w:b/>
                <w:bCs/>
                <w:iCs/>
                <w:szCs w:val="24"/>
              </w:rPr>
            </w:pPr>
            <w:r w:rsidRPr="000646DD">
              <w:rPr>
                <w:rFonts w:cs="Times New Roman"/>
                <w:b/>
                <w:bCs/>
                <w:iCs/>
                <w:szCs w:val="24"/>
              </w:rPr>
              <w:t>COPD</w:t>
            </w:r>
          </w:p>
          <w:p w14:paraId="798DB868" w14:textId="77777777" w:rsidR="00142F45" w:rsidRPr="000646DD" w:rsidRDefault="00142F45" w:rsidP="00C46407">
            <w:pPr>
              <w:jc w:val="both"/>
              <w:rPr>
                <w:rFonts w:cs="Times New Roman"/>
                <w:b/>
                <w:bCs/>
                <w:iCs/>
                <w:szCs w:val="24"/>
              </w:rPr>
            </w:pPr>
            <w:r w:rsidRPr="000646DD">
              <w:rPr>
                <w:rFonts w:cs="Times New Roman"/>
                <w:b/>
                <w:bCs/>
                <w:iCs/>
                <w:szCs w:val="24"/>
              </w:rPr>
              <w:t>Adult</w:t>
            </w:r>
          </w:p>
          <w:p w14:paraId="4CE8576E" w14:textId="77777777" w:rsidR="00142F45" w:rsidRPr="000646DD" w:rsidRDefault="00142F45" w:rsidP="00C46407">
            <w:pPr>
              <w:jc w:val="both"/>
              <w:rPr>
                <w:rFonts w:cs="Times New Roman"/>
                <w:iCs/>
                <w:szCs w:val="24"/>
              </w:rPr>
            </w:pPr>
            <w:r w:rsidRPr="000646DD">
              <w:rPr>
                <w:rFonts w:cs="Times New Roman"/>
                <w:iCs/>
                <w:szCs w:val="24"/>
              </w:rPr>
              <w:t>Inhale the contents of one capsule (18 mcg) once daily using a device.</w:t>
            </w:r>
          </w:p>
          <w:p w14:paraId="086EF54D" w14:textId="77777777" w:rsidR="00142F45" w:rsidRPr="000646DD" w:rsidRDefault="00142F45" w:rsidP="00C46407">
            <w:pPr>
              <w:jc w:val="both"/>
              <w:rPr>
                <w:rFonts w:cs="Times New Roman"/>
                <w:iCs/>
                <w:szCs w:val="24"/>
              </w:rPr>
            </w:pPr>
            <w:r w:rsidRPr="000646DD">
              <w:rPr>
                <w:rFonts w:cs="Times New Roman"/>
                <w:iCs/>
                <w:szCs w:val="24"/>
              </w:rPr>
              <w:t>Two inhalations (2.5 mcg per actuation, total 5 mcg) once daily.</w:t>
            </w:r>
          </w:p>
          <w:p w14:paraId="23C53263" w14:textId="77777777" w:rsidR="00142F45" w:rsidRPr="000646DD" w:rsidRDefault="00142F45" w:rsidP="00C46407">
            <w:pPr>
              <w:jc w:val="both"/>
              <w:rPr>
                <w:rFonts w:cs="Times New Roman"/>
                <w:b/>
                <w:bCs/>
                <w:iCs/>
                <w:szCs w:val="24"/>
              </w:rPr>
            </w:pPr>
            <w:r w:rsidRPr="000646DD">
              <w:rPr>
                <w:rFonts w:cs="Times New Roman"/>
                <w:b/>
                <w:bCs/>
                <w:iCs/>
                <w:szCs w:val="24"/>
              </w:rPr>
              <w:t>Asthma</w:t>
            </w:r>
          </w:p>
          <w:p w14:paraId="5F2AC845" w14:textId="77777777" w:rsidR="00142F45" w:rsidRPr="000646DD" w:rsidRDefault="00142F45" w:rsidP="00C46407">
            <w:pPr>
              <w:jc w:val="both"/>
              <w:rPr>
                <w:rFonts w:cs="Times New Roman"/>
                <w:iCs/>
                <w:szCs w:val="24"/>
              </w:rPr>
            </w:pPr>
            <w:r w:rsidRPr="000646DD">
              <w:rPr>
                <w:rFonts w:cs="Times New Roman"/>
                <w:b/>
                <w:bCs/>
                <w:iCs/>
                <w:szCs w:val="24"/>
              </w:rPr>
              <w:t>Adult and Child 12 years and older:</w:t>
            </w:r>
            <w:r w:rsidRPr="000646DD">
              <w:rPr>
                <w:rFonts w:cs="Times New Roman"/>
                <w:szCs w:val="24"/>
              </w:rPr>
              <w:t xml:space="preserve"> </w:t>
            </w:r>
            <w:r w:rsidRPr="000646DD">
              <w:rPr>
                <w:rFonts w:cs="Times New Roman"/>
                <w:iCs/>
                <w:szCs w:val="24"/>
              </w:rPr>
              <w:t>Two inhalations (2.5 mcg per actuation, total 5 mcg) once daily.</w:t>
            </w:r>
          </w:p>
          <w:p w14:paraId="0751E3C6" w14:textId="77777777" w:rsidR="00142F45" w:rsidRPr="000646DD" w:rsidRDefault="00142F45" w:rsidP="00C46407">
            <w:pPr>
              <w:jc w:val="both"/>
              <w:rPr>
                <w:rFonts w:cs="Times New Roman"/>
                <w:iCs/>
                <w:szCs w:val="24"/>
              </w:rPr>
            </w:pPr>
            <w:r w:rsidRPr="000646DD">
              <w:rPr>
                <w:rFonts w:cs="Times New Roman"/>
                <w:b/>
                <w:bCs/>
                <w:iCs/>
                <w:szCs w:val="24"/>
              </w:rPr>
              <w:t>Child 6 to 12 years:</w:t>
            </w:r>
            <w:r w:rsidRPr="000646DD">
              <w:rPr>
                <w:rFonts w:cs="Times New Roman"/>
                <w:iCs/>
                <w:szCs w:val="24"/>
              </w:rPr>
              <w:t xml:space="preserve"> Two inhalations (1.25 mcg per actuation, total 2.5 mcg) once daily.</w:t>
            </w:r>
          </w:p>
        </w:tc>
      </w:tr>
      <w:tr w:rsidR="00142F45" w:rsidRPr="000646DD" w14:paraId="1A8B785A" w14:textId="77777777" w:rsidTr="00C46407">
        <w:tc>
          <w:tcPr>
            <w:tcW w:w="2700" w:type="dxa"/>
          </w:tcPr>
          <w:p w14:paraId="55351D2D" w14:textId="77777777" w:rsidR="00142F45" w:rsidRPr="000646DD" w:rsidRDefault="00142F45" w:rsidP="00C46407">
            <w:pPr>
              <w:rPr>
                <w:rFonts w:cs="Times New Roman"/>
                <w:szCs w:val="24"/>
              </w:rPr>
            </w:pPr>
            <w:r w:rsidRPr="000646DD">
              <w:rPr>
                <w:rFonts w:cs="Times New Roman"/>
                <w:szCs w:val="24"/>
              </w:rPr>
              <w:t>Contraindications</w:t>
            </w:r>
          </w:p>
        </w:tc>
        <w:tc>
          <w:tcPr>
            <w:tcW w:w="6570" w:type="dxa"/>
          </w:tcPr>
          <w:p w14:paraId="71AD25AE" w14:textId="77777777" w:rsidR="00142F45" w:rsidRPr="000646DD" w:rsidRDefault="00142F45" w:rsidP="00C46407">
            <w:pPr>
              <w:jc w:val="both"/>
              <w:rPr>
                <w:rFonts w:cs="Times New Roman"/>
                <w:szCs w:val="24"/>
              </w:rPr>
            </w:pPr>
            <w:r w:rsidRPr="000646DD">
              <w:rPr>
                <w:rFonts w:cs="Times New Roman"/>
                <w:szCs w:val="24"/>
              </w:rPr>
              <w:t>Hypersensitivity to the drug or any of the excipients</w:t>
            </w:r>
            <w:r>
              <w:rPr>
                <w:rFonts w:cs="Times New Roman"/>
                <w:szCs w:val="24"/>
              </w:rPr>
              <w:t>,</w:t>
            </w:r>
            <w:r w:rsidRPr="000646DD">
              <w:rPr>
                <w:rFonts w:cs="Times New Roman"/>
                <w:szCs w:val="24"/>
              </w:rPr>
              <w:t xml:space="preserve"> Hypersensitivity to atropine or its derivatives (e.g., ipratropium or oxitropium), </w:t>
            </w:r>
            <w:r w:rsidRPr="000646DD">
              <w:rPr>
                <w:rFonts w:cs="Times New Roman"/>
                <w:color w:val="040C28"/>
                <w:szCs w:val="24"/>
              </w:rPr>
              <w:t xml:space="preserve">narrow-angle glaucoma, </w:t>
            </w:r>
            <w:r w:rsidRPr="000646DD">
              <w:rPr>
                <w:rFonts w:cs="Times New Roman"/>
                <w:color w:val="202124"/>
                <w:szCs w:val="24"/>
                <w:shd w:val="clear" w:color="auto" w:fill="FFFFFF"/>
              </w:rPr>
              <w:t>in patients with allergies to milk (powder tiotropium capsules)</w:t>
            </w:r>
            <w:r w:rsidRPr="000646DD">
              <w:rPr>
                <w:rFonts w:cs="Times New Roman"/>
                <w:szCs w:val="24"/>
              </w:rPr>
              <w:t>.</w:t>
            </w:r>
          </w:p>
        </w:tc>
      </w:tr>
      <w:tr w:rsidR="00142F45" w:rsidRPr="000646DD" w14:paraId="3F4604F5" w14:textId="77777777" w:rsidTr="00C46407">
        <w:tc>
          <w:tcPr>
            <w:tcW w:w="2700" w:type="dxa"/>
          </w:tcPr>
          <w:p w14:paraId="7394DD26" w14:textId="77777777" w:rsidR="00142F45" w:rsidRPr="000646DD" w:rsidRDefault="00142F45" w:rsidP="00C46407">
            <w:pPr>
              <w:rPr>
                <w:rFonts w:cs="Times New Roman"/>
                <w:szCs w:val="24"/>
              </w:rPr>
            </w:pPr>
            <w:r w:rsidRPr="000646DD">
              <w:rPr>
                <w:rFonts w:cs="Times New Roman"/>
                <w:szCs w:val="24"/>
              </w:rPr>
              <w:t>Drug interactions</w:t>
            </w:r>
          </w:p>
        </w:tc>
        <w:tc>
          <w:tcPr>
            <w:tcW w:w="6570" w:type="dxa"/>
          </w:tcPr>
          <w:p w14:paraId="30F4ED72" w14:textId="77777777" w:rsidR="00142F45" w:rsidRPr="000646DD" w:rsidRDefault="00142F45" w:rsidP="00C46407">
            <w:pPr>
              <w:jc w:val="both"/>
              <w:rPr>
                <w:rFonts w:cs="Times New Roman"/>
                <w:szCs w:val="24"/>
              </w:rPr>
            </w:pPr>
            <w:r w:rsidRPr="000646DD">
              <w:rPr>
                <w:rFonts w:cs="Times New Roman"/>
                <w:szCs w:val="24"/>
              </w:rPr>
              <w:t>Pramlintide, dimenhydrinate, donepezil, galantamine, tacrine, clozapine</w:t>
            </w:r>
          </w:p>
        </w:tc>
      </w:tr>
      <w:tr w:rsidR="00142F45" w:rsidRPr="000646DD" w14:paraId="11736407" w14:textId="77777777" w:rsidTr="00C46407">
        <w:tc>
          <w:tcPr>
            <w:tcW w:w="2700" w:type="dxa"/>
          </w:tcPr>
          <w:p w14:paraId="7C38FCF9" w14:textId="77777777" w:rsidR="00142F45" w:rsidRPr="000646DD" w:rsidRDefault="00142F45" w:rsidP="00C46407">
            <w:pPr>
              <w:rPr>
                <w:rFonts w:cs="Times New Roman"/>
                <w:szCs w:val="24"/>
                <w:shd w:val="clear" w:color="auto" w:fill="FFFFFF"/>
              </w:rPr>
            </w:pPr>
            <w:r w:rsidRPr="000646DD">
              <w:rPr>
                <w:rFonts w:cs="Times New Roman"/>
                <w:szCs w:val="24"/>
                <w:shd w:val="clear" w:color="auto" w:fill="FFFFFF"/>
              </w:rPr>
              <w:t>Side effects</w:t>
            </w:r>
          </w:p>
        </w:tc>
        <w:tc>
          <w:tcPr>
            <w:tcW w:w="6570" w:type="dxa"/>
          </w:tcPr>
          <w:p w14:paraId="314DD1B9" w14:textId="77777777" w:rsidR="00142F45" w:rsidRPr="000646DD" w:rsidRDefault="00142F45" w:rsidP="00C46407">
            <w:pPr>
              <w:jc w:val="both"/>
              <w:rPr>
                <w:rFonts w:cs="Times New Roman"/>
                <w:szCs w:val="24"/>
              </w:rPr>
            </w:pPr>
            <w:r w:rsidRPr="000646DD">
              <w:rPr>
                <w:rFonts w:cs="Times New Roman"/>
                <w:szCs w:val="24"/>
              </w:rPr>
              <w:t>Dry mouth, constipation, tachycardia, urinary retention, glaucoma, paradoxical bronchospasm, hypersensitivity reactions including rash, angioedema</w:t>
            </w:r>
          </w:p>
        </w:tc>
      </w:tr>
      <w:tr w:rsidR="00142F45" w:rsidRPr="000646DD" w14:paraId="31DEF000" w14:textId="77777777" w:rsidTr="00C46407">
        <w:tc>
          <w:tcPr>
            <w:tcW w:w="2700" w:type="dxa"/>
          </w:tcPr>
          <w:p w14:paraId="12D10E67" w14:textId="77777777" w:rsidR="00142F45" w:rsidRPr="000646DD" w:rsidRDefault="00142F45" w:rsidP="00C46407">
            <w:pPr>
              <w:rPr>
                <w:rFonts w:cs="Times New Roman"/>
                <w:szCs w:val="24"/>
              </w:rPr>
            </w:pPr>
            <w:r w:rsidRPr="000646DD">
              <w:rPr>
                <w:rFonts w:cs="Times New Roman"/>
                <w:szCs w:val="24"/>
              </w:rPr>
              <w:t xml:space="preserve">Cautions </w:t>
            </w:r>
          </w:p>
        </w:tc>
        <w:tc>
          <w:tcPr>
            <w:tcW w:w="6570" w:type="dxa"/>
          </w:tcPr>
          <w:p w14:paraId="79223F2F" w14:textId="77777777" w:rsidR="00142F45" w:rsidRPr="000646DD" w:rsidRDefault="00142F45" w:rsidP="00C46407">
            <w:pPr>
              <w:jc w:val="both"/>
              <w:rPr>
                <w:rFonts w:cs="Times New Roman"/>
                <w:szCs w:val="24"/>
              </w:rPr>
            </w:pPr>
            <w:r w:rsidRPr="000646DD">
              <w:rPr>
                <w:rFonts w:cs="Times New Roman"/>
                <w:szCs w:val="24"/>
              </w:rPr>
              <w:t xml:space="preserve">Prostatic hyperplasia, bladder neck obstruction, narrow-angle glaucoma, moderate to severe renal impairment, contact with eyes, first dose of nebulized solution due to the risk of </w:t>
            </w:r>
            <w:r w:rsidRPr="000646DD">
              <w:rPr>
                <w:rFonts w:cs="Times New Roman"/>
                <w:szCs w:val="24"/>
              </w:rPr>
              <w:lastRenderedPageBreak/>
              <w:t>paradoxical bronchospasm.</w:t>
            </w:r>
          </w:p>
        </w:tc>
      </w:tr>
      <w:tr w:rsidR="00142F45" w:rsidRPr="000646DD" w14:paraId="5A9C636E" w14:textId="77777777" w:rsidTr="00C46407">
        <w:tc>
          <w:tcPr>
            <w:tcW w:w="2700" w:type="dxa"/>
          </w:tcPr>
          <w:p w14:paraId="50AA08A4" w14:textId="77777777" w:rsidR="00142F45" w:rsidRPr="000646DD" w:rsidRDefault="00142F45" w:rsidP="00C46407">
            <w:pPr>
              <w:rPr>
                <w:rFonts w:cs="Times New Roman"/>
                <w:szCs w:val="24"/>
              </w:rPr>
            </w:pPr>
            <w:r w:rsidRPr="000646DD">
              <w:rPr>
                <w:rFonts w:cs="Times New Roman"/>
                <w:szCs w:val="24"/>
              </w:rPr>
              <w:lastRenderedPageBreak/>
              <w:t>Storage condition</w:t>
            </w:r>
          </w:p>
        </w:tc>
        <w:tc>
          <w:tcPr>
            <w:tcW w:w="6570" w:type="dxa"/>
          </w:tcPr>
          <w:p w14:paraId="261A50D9" w14:textId="77777777" w:rsidR="00142F45" w:rsidRPr="000646DD" w:rsidRDefault="00142F45" w:rsidP="00C46407">
            <w:pPr>
              <w:jc w:val="both"/>
              <w:rPr>
                <w:rFonts w:cs="Times New Roman"/>
                <w:szCs w:val="24"/>
              </w:rPr>
            </w:pPr>
            <w:r w:rsidRPr="000646DD">
              <w:rPr>
                <w:rFonts w:cs="Times New Roman"/>
                <w:szCs w:val="24"/>
              </w:rPr>
              <w:t>Store below 30°C.</w:t>
            </w:r>
          </w:p>
        </w:tc>
      </w:tr>
    </w:tbl>
    <w:p w14:paraId="3C9F618E" w14:textId="77777777" w:rsidR="00142F45" w:rsidRDefault="00142F45" w:rsidP="00142F45">
      <w:pPr>
        <w:spacing w:after="0"/>
        <w:rPr>
          <w:rFonts w:cs="Times New Roman"/>
          <w:color w:val="000000"/>
          <w:szCs w:val="24"/>
        </w:rPr>
      </w:pPr>
    </w:p>
    <w:p w14:paraId="496E6252" w14:textId="77777777" w:rsidR="00142F45" w:rsidRPr="00FC7D8E" w:rsidRDefault="00142F45" w:rsidP="00FC7D8E">
      <w:pPr>
        <w:pStyle w:val="Heading2"/>
        <w:spacing w:after="240"/>
      </w:pPr>
      <w:bookmarkStart w:id="54" w:name="_Toc179490326"/>
      <w:r w:rsidRPr="00FC7D8E">
        <w:t>Medicines used for sarcoidosis and interstitial lung disease</w:t>
      </w:r>
      <w:bookmarkEnd w:id="54"/>
      <w:r w:rsidRPr="00FC7D8E">
        <w:t xml:space="preserve"> </w:t>
      </w:r>
    </w:p>
    <w:p w14:paraId="2ABEC68C" w14:textId="77777777" w:rsidR="00142F45" w:rsidRPr="00944B15" w:rsidRDefault="00142F45" w:rsidP="00142F45">
      <w:pPr>
        <w:spacing w:after="0"/>
        <w:jc w:val="both"/>
        <w:rPr>
          <w:rFonts w:cs="Times New Roman"/>
          <w:color w:val="000000"/>
          <w:szCs w:val="24"/>
          <w:lang w:val="en-US"/>
        </w:rPr>
      </w:pPr>
      <w:r w:rsidRPr="00944B15">
        <w:rPr>
          <w:rFonts w:cs="Times New Roman"/>
          <w:color w:val="000000"/>
          <w:szCs w:val="24"/>
          <w:lang w:val="en-US"/>
        </w:rPr>
        <w:t xml:space="preserve">Medicines for sarcoidosis and interstitial lung disease (ILD) are </w:t>
      </w:r>
      <w:r>
        <w:rPr>
          <w:rFonts w:cs="Times New Roman"/>
          <w:color w:val="000000"/>
          <w:szCs w:val="24"/>
          <w:lang w:val="en-US"/>
        </w:rPr>
        <w:t>used</w:t>
      </w:r>
      <w:r w:rsidRPr="00944B15">
        <w:rPr>
          <w:rFonts w:cs="Times New Roman"/>
          <w:color w:val="000000"/>
          <w:szCs w:val="24"/>
          <w:lang w:val="en-US"/>
        </w:rPr>
        <w:t xml:space="preserve"> to manage inflammation and immune responses that affect lung tissue. Prednisolone</w:t>
      </w:r>
      <w:r>
        <w:rPr>
          <w:rFonts w:cs="Times New Roman"/>
          <w:color w:val="000000"/>
          <w:szCs w:val="24"/>
          <w:lang w:val="en-US"/>
        </w:rPr>
        <w:t xml:space="preserve"> </w:t>
      </w:r>
      <w:r w:rsidRPr="00944B15">
        <w:rPr>
          <w:rFonts w:cs="Times New Roman"/>
          <w:color w:val="000000"/>
          <w:szCs w:val="24"/>
          <w:lang w:val="en-US"/>
        </w:rPr>
        <w:t xml:space="preserve">is commonly used to reduce inflammation and manage symptoms in both sarcoidosis and ILD. For patients requiring long-term immunosuppression, drugs like methotrexate and azathioprine are employed to control the disease while minimizing steroid use. These are </w:t>
      </w:r>
      <w:r>
        <w:rPr>
          <w:rFonts w:cs="Times New Roman"/>
          <w:color w:val="000000"/>
          <w:szCs w:val="24"/>
          <w:lang w:val="en-US"/>
        </w:rPr>
        <w:t>essential</w:t>
      </w:r>
      <w:r w:rsidRPr="00944B15">
        <w:rPr>
          <w:rFonts w:cs="Times New Roman"/>
          <w:color w:val="000000"/>
          <w:szCs w:val="24"/>
          <w:lang w:val="en-US"/>
        </w:rPr>
        <w:t xml:space="preserve"> in slowing disease progression, managing symptoms, and improving the overall lung function and quality of life for patients with sarcoidosis and ILD.</w:t>
      </w:r>
    </w:p>
    <w:p w14:paraId="73D3ABC4" w14:textId="77777777" w:rsidR="00142F45" w:rsidRPr="00944B15" w:rsidRDefault="00142F45" w:rsidP="00142F45">
      <w:pPr>
        <w:spacing w:after="0"/>
        <w:jc w:val="both"/>
        <w:rPr>
          <w:rFonts w:cs="Times New Roman"/>
          <w:color w:val="000000"/>
          <w:szCs w:val="24"/>
          <w:lang w:val="en-US"/>
        </w:rPr>
      </w:pPr>
    </w:p>
    <w:tbl>
      <w:tblPr>
        <w:tblStyle w:val="TableGrid"/>
        <w:tblW w:w="9355" w:type="dxa"/>
        <w:tblLook w:val="04A0" w:firstRow="1" w:lastRow="0" w:firstColumn="1" w:lastColumn="0" w:noHBand="0" w:noVBand="1"/>
      </w:tblPr>
      <w:tblGrid>
        <w:gridCol w:w="2695"/>
        <w:gridCol w:w="6660"/>
      </w:tblGrid>
      <w:tr w:rsidR="00142F45" w:rsidRPr="002C4365" w14:paraId="1038FFE1" w14:textId="77777777" w:rsidTr="00C46407">
        <w:tc>
          <w:tcPr>
            <w:tcW w:w="9355" w:type="dxa"/>
            <w:gridSpan w:val="2"/>
          </w:tcPr>
          <w:p w14:paraId="1A718647" w14:textId="77777777" w:rsidR="00142F45" w:rsidRPr="002C4365" w:rsidRDefault="00142F45" w:rsidP="00C46407">
            <w:pPr>
              <w:jc w:val="both"/>
              <w:rPr>
                <w:rFonts w:cs="Times New Roman"/>
                <w:b/>
                <w:bCs/>
                <w:szCs w:val="24"/>
              </w:rPr>
            </w:pPr>
            <w:r w:rsidRPr="002C4365">
              <w:rPr>
                <w:rFonts w:cs="Times New Roman"/>
                <w:b/>
                <w:bCs/>
                <w:szCs w:val="24"/>
              </w:rPr>
              <w:t>Azathioprine</w:t>
            </w:r>
          </w:p>
        </w:tc>
      </w:tr>
      <w:tr w:rsidR="00142F45" w:rsidRPr="002C4365" w14:paraId="59D0AF6C" w14:textId="77777777" w:rsidTr="00C46407">
        <w:tc>
          <w:tcPr>
            <w:tcW w:w="2695" w:type="dxa"/>
          </w:tcPr>
          <w:p w14:paraId="75BD030C" w14:textId="77777777" w:rsidR="00142F45" w:rsidRPr="002C4365" w:rsidRDefault="00142F45" w:rsidP="00C46407">
            <w:pPr>
              <w:rPr>
                <w:rFonts w:cs="Times New Roman"/>
                <w:szCs w:val="24"/>
              </w:rPr>
            </w:pPr>
            <w:r w:rsidRPr="002C4365">
              <w:rPr>
                <w:rFonts w:cs="Times New Roman"/>
                <w:szCs w:val="24"/>
              </w:rPr>
              <w:t xml:space="preserve">Pharmacological class </w:t>
            </w:r>
          </w:p>
        </w:tc>
        <w:tc>
          <w:tcPr>
            <w:tcW w:w="6660" w:type="dxa"/>
          </w:tcPr>
          <w:p w14:paraId="6F2AD8EB" w14:textId="77777777" w:rsidR="00142F45" w:rsidRPr="002C4365" w:rsidRDefault="00142F45" w:rsidP="00C46407">
            <w:pPr>
              <w:jc w:val="both"/>
              <w:rPr>
                <w:rFonts w:cs="Times New Roman"/>
                <w:color w:val="000000" w:themeColor="text1"/>
                <w:szCs w:val="24"/>
              </w:rPr>
            </w:pPr>
            <w:r>
              <w:rPr>
                <w:rFonts w:cs="Times New Roman"/>
                <w:color w:val="000000" w:themeColor="text1"/>
                <w:szCs w:val="24"/>
              </w:rPr>
              <w:t>I</w:t>
            </w:r>
            <w:r w:rsidRPr="002C4365">
              <w:rPr>
                <w:rFonts w:cs="Times New Roman"/>
                <w:color w:val="000000" w:themeColor="text1"/>
                <w:szCs w:val="24"/>
              </w:rPr>
              <w:t>mmunosuppressant</w:t>
            </w:r>
          </w:p>
        </w:tc>
      </w:tr>
      <w:tr w:rsidR="00142F45" w:rsidRPr="002C4365" w14:paraId="22424AF5" w14:textId="77777777" w:rsidTr="00C46407">
        <w:tc>
          <w:tcPr>
            <w:tcW w:w="2695" w:type="dxa"/>
          </w:tcPr>
          <w:p w14:paraId="35E6AC69" w14:textId="77777777" w:rsidR="00142F45" w:rsidRPr="002C4365" w:rsidRDefault="00142F45" w:rsidP="00C46407">
            <w:pPr>
              <w:rPr>
                <w:rFonts w:cs="Times New Roman"/>
                <w:szCs w:val="24"/>
              </w:rPr>
            </w:pPr>
            <w:r w:rsidRPr="002C4365">
              <w:rPr>
                <w:rFonts w:cs="Times New Roman"/>
                <w:szCs w:val="24"/>
              </w:rPr>
              <w:t>Dosage form</w:t>
            </w:r>
          </w:p>
        </w:tc>
        <w:tc>
          <w:tcPr>
            <w:tcW w:w="6660" w:type="dxa"/>
          </w:tcPr>
          <w:p w14:paraId="6D70FA61"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Tablet: 50 mg</w:t>
            </w:r>
          </w:p>
        </w:tc>
      </w:tr>
      <w:tr w:rsidR="00142F45" w:rsidRPr="002C4365" w14:paraId="1BBDCA17" w14:textId="77777777" w:rsidTr="00C46407">
        <w:tc>
          <w:tcPr>
            <w:tcW w:w="2695" w:type="dxa"/>
          </w:tcPr>
          <w:p w14:paraId="64426C3F" w14:textId="77777777" w:rsidR="00142F45" w:rsidRPr="002C4365" w:rsidRDefault="00142F45" w:rsidP="00C46407">
            <w:pPr>
              <w:rPr>
                <w:rFonts w:cs="Times New Roman"/>
                <w:szCs w:val="24"/>
              </w:rPr>
            </w:pPr>
            <w:r w:rsidRPr="002C4365">
              <w:rPr>
                <w:rFonts w:cs="Times New Roman"/>
                <w:szCs w:val="24"/>
              </w:rPr>
              <w:t>Indications</w:t>
            </w:r>
          </w:p>
        </w:tc>
        <w:tc>
          <w:tcPr>
            <w:tcW w:w="6660" w:type="dxa"/>
          </w:tcPr>
          <w:p w14:paraId="633FA585"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Sarcoidosis, ILD, rheumatoid arthritis that has not responded to other disease-modifying drugs, Severe systemic lupus erythematosus and other connective tissue disorders,  d</w:t>
            </w:r>
            <w:r w:rsidRPr="002C4365">
              <w:rPr>
                <w:rFonts w:eastAsia="Times New Roman" w:cs="Times New Roman"/>
                <w:color w:val="161616"/>
                <w:kern w:val="0"/>
                <w:szCs w:val="24"/>
                <w:lang w:val="en-US" w:eastAsia="en-US"/>
              </w:rPr>
              <w:t>ermatomyositis</w:t>
            </w:r>
            <w:r w:rsidRPr="002C4365">
              <w:rPr>
                <w:rFonts w:cs="Times New Roman"/>
                <w:color w:val="161616"/>
                <w:szCs w:val="24"/>
              </w:rPr>
              <w:t>, p</w:t>
            </w:r>
            <w:r w:rsidRPr="002C4365">
              <w:rPr>
                <w:rFonts w:cs="Times New Roman"/>
                <w:color w:val="000000" w:themeColor="text1"/>
                <w:szCs w:val="24"/>
              </w:rPr>
              <w:t>olymyositis in cases of corticosteroid resistance,  organ transplantation (in combination with steroids and/or other immunosuppressants), autoimmune hemolytic anemia, auto-immune chronic active hepatitis, p</w:t>
            </w:r>
            <w:r w:rsidRPr="002C4365">
              <w:rPr>
                <w:rFonts w:eastAsia="Times New Roman" w:cs="Times New Roman"/>
                <w:color w:val="161616"/>
                <w:kern w:val="0"/>
                <w:szCs w:val="24"/>
                <w:lang w:val="en-US" w:eastAsia="en-US"/>
              </w:rPr>
              <w:t>emphigus vulgaris</w:t>
            </w:r>
            <w:r w:rsidRPr="002C4365">
              <w:rPr>
                <w:rFonts w:cs="Times New Roman"/>
                <w:color w:val="161616"/>
                <w:szCs w:val="24"/>
              </w:rPr>
              <w:t>, p</w:t>
            </w:r>
            <w:r w:rsidRPr="002C4365">
              <w:rPr>
                <w:rFonts w:eastAsia="Times New Roman" w:cs="Times New Roman"/>
                <w:color w:val="161616"/>
                <w:kern w:val="0"/>
                <w:szCs w:val="24"/>
                <w:lang w:val="en-US" w:eastAsia="en-US"/>
              </w:rPr>
              <w:t>olyarteritis nodosa</w:t>
            </w:r>
            <w:r w:rsidRPr="002C4365">
              <w:rPr>
                <w:rFonts w:cs="Times New Roman"/>
                <w:color w:val="161616"/>
                <w:szCs w:val="24"/>
              </w:rPr>
              <w:t>, c</w:t>
            </w:r>
            <w:r w:rsidRPr="002C4365">
              <w:rPr>
                <w:rFonts w:eastAsia="Times New Roman" w:cs="Times New Roman"/>
                <w:color w:val="161616"/>
                <w:kern w:val="0"/>
                <w:szCs w:val="24"/>
                <w:lang w:val="en-US" w:eastAsia="en-US"/>
              </w:rPr>
              <w:t>hronic refractory idiopathic thrombocytopenic purpura</w:t>
            </w:r>
            <w:r w:rsidRPr="002C4365">
              <w:rPr>
                <w:rFonts w:cs="Times New Roman"/>
                <w:color w:val="161616"/>
                <w:szCs w:val="24"/>
              </w:rPr>
              <w:t>,</w:t>
            </w:r>
            <w:r w:rsidRPr="002C4365">
              <w:rPr>
                <w:rFonts w:cs="Times New Roman"/>
                <w:color w:val="000000" w:themeColor="text1"/>
                <w:szCs w:val="24"/>
              </w:rPr>
              <w:t xml:space="preserve"> p</w:t>
            </w:r>
            <w:r w:rsidRPr="002C4365">
              <w:rPr>
                <w:rFonts w:eastAsia="Times New Roman" w:cs="Times New Roman"/>
                <w:color w:val="161616"/>
                <w:kern w:val="0"/>
                <w:szCs w:val="24"/>
                <w:lang w:val="en-US" w:eastAsia="en-US"/>
              </w:rPr>
              <w:t>yoderma gangrenosa</w:t>
            </w:r>
          </w:p>
        </w:tc>
      </w:tr>
      <w:tr w:rsidR="00142F45" w:rsidRPr="002C4365" w14:paraId="6EB5B1E5" w14:textId="77777777" w:rsidTr="00C46407">
        <w:tc>
          <w:tcPr>
            <w:tcW w:w="2695" w:type="dxa"/>
          </w:tcPr>
          <w:p w14:paraId="5AFEA7F9" w14:textId="77777777" w:rsidR="00142F45" w:rsidRPr="002C4365" w:rsidRDefault="00142F45" w:rsidP="00C46407">
            <w:pPr>
              <w:rPr>
                <w:rFonts w:cs="Times New Roman"/>
                <w:szCs w:val="24"/>
              </w:rPr>
            </w:pPr>
            <w:r w:rsidRPr="002C4365">
              <w:rPr>
                <w:rFonts w:cs="Times New Roman"/>
                <w:szCs w:val="24"/>
              </w:rPr>
              <w:t>Dose and Administration</w:t>
            </w:r>
          </w:p>
        </w:tc>
        <w:tc>
          <w:tcPr>
            <w:tcW w:w="6660" w:type="dxa"/>
          </w:tcPr>
          <w:p w14:paraId="767EF091" w14:textId="77777777" w:rsidR="00142F45" w:rsidRPr="002C4365" w:rsidRDefault="00142F45" w:rsidP="00C46407">
            <w:pPr>
              <w:jc w:val="both"/>
              <w:rPr>
                <w:rFonts w:cs="Times New Roman"/>
                <w:b/>
                <w:bCs/>
                <w:color w:val="000000" w:themeColor="text1"/>
                <w:szCs w:val="24"/>
              </w:rPr>
            </w:pPr>
            <w:r w:rsidRPr="002C4365">
              <w:rPr>
                <w:rFonts w:cs="Times New Roman"/>
                <w:b/>
                <w:bCs/>
                <w:color w:val="000000" w:themeColor="text1"/>
                <w:szCs w:val="24"/>
              </w:rPr>
              <w:t xml:space="preserve">For Sarcoidosis and ILD, </w:t>
            </w:r>
            <w:r w:rsidR="00B70217" w:rsidRPr="00B70217">
              <w:rPr>
                <w:rFonts w:cs="Times New Roman"/>
                <w:bCs/>
                <w:color w:val="000000" w:themeColor="text1"/>
                <w:szCs w:val="24"/>
              </w:rPr>
              <w:t>o</w:t>
            </w:r>
            <w:r w:rsidRPr="00B70217">
              <w:rPr>
                <w:rFonts w:cs="Times New Roman"/>
                <w:bCs/>
                <w:color w:val="000000" w:themeColor="text1"/>
                <w:szCs w:val="24"/>
              </w:rPr>
              <w:t>ral</w:t>
            </w:r>
            <w:r w:rsidRPr="002C4365">
              <w:rPr>
                <w:rFonts w:cs="Times New Roman"/>
                <w:b/>
                <w:bCs/>
                <w:color w:val="000000" w:themeColor="text1"/>
                <w:szCs w:val="24"/>
              </w:rPr>
              <w:t>:</w:t>
            </w:r>
          </w:p>
          <w:p w14:paraId="7EDFE734" w14:textId="77777777" w:rsidR="00142F45" w:rsidRPr="002C4365" w:rsidRDefault="00142F45" w:rsidP="00C46407">
            <w:pPr>
              <w:jc w:val="both"/>
              <w:rPr>
                <w:rFonts w:cs="Times New Roman"/>
                <w:b/>
                <w:bCs/>
                <w:color w:val="000000" w:themeColor="text1"/>
                <w:szCs w:val="24"/>
              </w:rPr>
            </w:pPr>
            <w:r w:rsidRPr="002C4365">
              <w:rPr>
                <w:rFonts w:cs="Times New Roman"/>
                <w:b/>
                <w:bCs/>
                <w:color w:val="000000" w:themeColor="text1"/>
                <w:szCs w:val="24"/>
              </w:rPr>
              <w:t xml:space="preserve">Adult, </w:t>
            </w:r>
            <w:r w:rsidRPr="002C4365">
              <w:rPr>
                <w:rFonts w:cs="Times New Roman"/>
                <w:color w:val="000000" w:themeColor="text1"/>
                <w:szCs w:val="24"/>
              </w:rPr>
              <w:t xml:space="preserve">Start with 1-2 mg/kg daily. The dose can be given once or twice daily. The dose can be adjusted according to clinical response, ranging from 50-150 mg daily. Maintenance doses usually range from 1-3 mg/kg daily. </w:t>
            </w:r>
          </w:p>
        </w:tc>
      </w:tr>
      <w:tr w:rsidR="00142F45" w:rsidRPr="002C4365" w14:paraId="615C4879" w14:textId="77777777" w:rsidTr="00C46407">
        <w:tc>
          <w:tcPr>
            <w:tcW w:w="2695" w:type="dxa"/>
          </w:tcPr>
          <w:p w14:paraId="4B768FB5" w14:textId="77777777" w:rsidR="00142F45" w:rsidRPr="002C4365" w:rsidRDefault="00142F45" w:rsidP="00C46407">
            <w:pPr>
              <w:rPr>
                <w:rFonts w:cs="Times New Roman"/>
                <w:szCs w:val="24"/>
              </w:rPr>
            </w:pPr>
            <w:r w:rsidRPr="002C4365">
              <w:rPr>
                <w:rFonts w:cs="Times New Roman"/>
                <w:szCs w:val="24"/>
              </w:rPr>
              <w:t>Contraindications</w:t>
            </w:r>
          </w:p>
        </w:tc>
        <w:tc>
          <w:tcPr>
            <w:tcW w:w="6660" w:type="dxa"/>
          </w:tcPr>
          <w:p w14:paraId="1E73F3CA"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Hypersensitivity to the drug or mercaptopurine, pregnancy</w:t>
            </w:r>
          </w:p>
        </w:tc>
      </w:tr>
      <w:tr w:rsidR="00142F45" w:rsidRPr="002C4365" w14:paraId="3C7A6237" w14:textId="77777777" w:rsidTr="00C46407">
        <w:tc>
          <w:tcPr>
            <w:tcW w:w="2695" w:type="dxa"/>
          </w:tcPr>
          <w:p w14:paraId="2C553DB9" w14:textId="77777777" w:rsidR="00142F45" w:rsidRPr="002C4365" w:rsidRDefault="00142F45" w:rsidP="00C46407">
            <w:pPr>
              <w:rPr>
                <w:rFonts w:cs="Times New Roman"/>
                <w:szCs w:val="24"/>
              </w:rPr>
            </w:pPr>
            <w:r w:rsidRPr="002C4365">
              <w:rPr>
                <w:rFonts w:cs="Times New Roman"/>
                <w:szCs w:val="24"/>
              </w:rPr>
              <w:lastRenderedPageBreak/>
              <w:t>Drug interactions</w:t>
            </w:r>
          </w:p>
        </w:tc>
        <w:tc>
          <w:tcPr>
            <w:tcW w:w="6660" w:type="dxa"/>
          </w:tcPr>
          <w:p w14:paraId="5D2DAE08"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Allopurinol, sulfasalazine, warfarin, sulfamethoxazole + trimethoprim, phenytoin, live vaccines</w:t>
            </w:r>
          </w:p>
        </w:tc>
      </w:tr>
      <w:tr w:rsidR="00142F45" w:rsidRPr="002C4365" w14:paraId="6956567E" w14:textId="77777777" w:rsidTr="00C46407">
        <w:tc>
          <w:tcPr>
            <w:tcW w:w="2695" w:type="dxa"/>
          </w:tcPr>
          <w:p w14:paraId="3E16B4BE" w14:textId="77777777" w:rsidR="00142F45" w:rsidRPr="002C4365" w:rsidRDefault="00142F45" w:rsidP="00C46407">
            <w:pPr>
              <w:rPr>
                <w:rFonts w:cs="Times New Roman"/>
                <w:szCs w:val="24"/>
                <w:shd w:val="clear" w:color="auto" w:fill="FFFFFF"/>
              </w:rPr>
            </w:pPr>
            <w:r w:rsidRPr="002C4365">
              <w:rPr>
                <w:rFonts w:cs="Times New Roman"/>
                <w:szCs w:val="24"/>
                <w:shd w:val="clear" w:color="auto" w:fill="FFFFFF"/>
              </w:rPr>
              <w:t>Side effects</w:t>
            </w:r>
          </w:p>
        </w:tc>
        <w:tc>
          <w:tcPr>
            <w:tcW w:w="6660" w:type="dxa"/>
          </w:tcPr>
          <w:p w14:paraId="0820B1EC"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Bone marrow suppression (dose-related), increased risk of infection, leukopenia, pancreatitis, thrombocytopenia, malaise, dizziness, vomiting, diarrhea, fever, rigors, myalgia, arthralgia, rash, hypotension, interstitial nephritis, liver impairment, cholestatic jaundice, hair loss, increased susceptibility to infections, colitis</w:t>
            </w:r>
          </w:p>
        </w:tc>
      </w:tr>
      <w:tr w:rsidR="00142F45" w:rsidRPr="002C4365" w14:paraId="3944FDC5" w14:textId="77777777" w:rsidTr="00C46407">
        <w:tc>
          <w:tcPr>
            <w:tcW w:w="2695" w:type="dxa"/>
          </w:tcPr>
          <w:p w14:paraId="3040FC9C" w14:textId="77777777" w:rsidR="00142F45" w:rsidRPr="002C4365" w:rsidRDefault="00142F45" w:rsidP="00C46407">
            <w:pPr>
              <w:rPr>
                <w:rFonts w:cs="Times New Roman"/>
                <w:szCs w:val="24"/>
              </w:rPr>
            </w:pPr>
            <w:r w:rsidRPr="002C4365">
              <w:rPr>
                <w:rFonts w:cs="Times New Roman"/>
                <w:szCs w:val="24"/>
              </w:rPr>
              <w:t xml:space="preserve">Cautions </w:t>
            </w:r>
          </w:p>
        </w:tc>
        <w:tc>
          <w:tcPr>
            <w:tcW w:w="6660" w:type="dxa"/>
          </w:tcPr>
          <w:p w14:paraId="4827C889"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Elderly, hepatic or renal impairment, bone marrow suppression, concomitant use with other anti-folate drugs, signs of gastrointestinal toxicity, pneumonitis</w:t>
            </w:r>
            <w:r>
              <w:rPr>
                <w:rFonts w:cs="Times New Roman"/>
                <w:color w:val="000000" w:themeColor="text1"/>
                <w:szCs w:val="24"/>
              </w:rPr>
              <w:t xml:space="preserve">, </w:t>
            </w:r>
            <w:r w:rsidRPr="002C4365">
              <w:rPr>
                <w:rFonts w:cs="Times New Roman"/>
                <w:color w:val="000000" w:themeColor="text1"/>
                <w:szCs w:val="24"/>
              </w:rPr>
              <w:t>pregnancy, breastfeeding</w:t>
            </w:r>
          </w:p>
        </w:tc>
      </w:tr>
      <w:tr w:rsidR="00142F45" w:rsidRPr="002C4365" w14:paraId="1682CB9D" w14:textId="77777777" w:rsidTr="00C46407">
        <w:tc>
          <w:tcPr>
            <w:tcW w:w="2695" w:type="dxa"/>
          </w:tcPr>
          <w:p w14:paraId="26C84BC7" w14:textId="77777777" w:rsidR="00142F45" w:rsidRPr="002C4365" w:rsidRDefault="00142F45" w:rsidP="00C46407">
            <w:pPr>
              <w:rPr>
                <w:rFonts w:cs="Times New Roman"/>
                <w:szCs w:val="24"/>
              </w:rPr>
            </w:pPr>
            <w:r w:rsidRPr="002C4365">
              <w:rPr>
                <w:rFonts w:cs="Times New Roman"/>
                <w:szCs w:val="24"/>
              </w:rPr>
              <w:t>Storage condition</w:t>
            </w:r>
          </w:p>
        </w:tc>
        <w:tc>
          <w:tcPr>
            <w:tcW w:w="6660" w:type="dxa"/>
          </w:tcPr>
          <w:p w14:paraId="6D0FE9A2" w14:textId="77777777" w:rsidR="00142F45" w:rsidRPr="002C4365" w:rsidRDefault="00142F45" w:rsidP="00C46407">
            <w:pPr>
              <w:jc w:val="both"/>
              <w:rPr>
                <w:rFonts w:cs="Times New Roman"/>
                <w:szCs w:val="24"/>
              </w:rPr>
            </w:pPr>
            <w:r w:rsidRPr="002C4365">
              <w:rPr>
                <w:rFonts w:cs="Times New Roman"/>
                <w:szCs w:val="24"/>
              </w:rPr>
              <w:t xml:space="preserve">Store below 30°C. </w:t>
            </w:r>
            <w:r w:rsidRPr="002C4365">
              <w:rPr>
                <w:rFonts w:cs="Times New Roman"/>
                <w:color w:val="161616"/>
                <w:szCs w:val="24"/>
                <w:shd w:val="clear" w:color="auto" w:fill="FFFFFF"/>
              </w:rPr>
              <w:t xml:space="preserve">Protect from light. </w:t>
            </w:r>
          </w:p>
        </w:tc>
      </w:tr>
      <w:tr w:rsidR="00142F45" w:rsidRPr="002C4365" w14:paraId="0A44DEF4" w14:textId="77777777" w:rsidTr="00C46407">
        <w:tc>
          <w:tcPr>
            <w:tcW w:w="9355" w:type="dxa"/>
            <w:gridSpan w:val="2"/>
          </w:tcPr>
          <w:p w14:paraId="32C9FEE8" w14:textId="77777777" w:rsidR="00142F45" w:rsidRPr="002C4365" w:rsidRDefault="00142F45" w:rsidP="00C46407">
            <w:pPr>
              <w:jc w:val="both"/>
              <w:rPr>
                <w:rFonts w:cs="Times New Roman"/>
                <w:b/>
                <w:bCs/>
                <w:szCs w:val="24"/>
              </w:rPr>
            </w:pPr>
            <w:bookmarkStart w:id="55" w:name="_Toc168315215"/>
            <w:r w:rsidRPr="002C4365">
              <w:rPr>
                <w:rFonts w:cs="Times New Roman"/>
                <w:b/>
                <w:bCs/>
                <w:szCs w:val="24"/>
              </w:rPr>
              <w:t>Methotrexate</w:t>
            </w:r>
            <w:bookmarkEnd w:id="55"/>
          </w:p>
        </w:tc>
      </w:tr>
      <w:tr w:rsidR="00142F45" w:rsidRPr="002C4365" w14:paraId="71B94A36" w14:textId="77777777" w:rsidTr="00C46407">
        <w:tc>
          <w:tcPr>
            <w:tcW w:w="2695" w:type="dxa"/>
          </w:tcPr>
          <w:p w14:paraId="0F29F3DC" w14:textId="77777777" w:rsidR="00142F45" w:rsidRPr="002C4365" w:rsidRDefault="00142F45" w:rsidP="00C46407">
            <w:pPr>
              <w:rPr>
                <w:rFonts w:cs="Times New Roman"/>
                <w:szCs w:val="24"/>
              </w:rPr>
            </w:pPr>
            <w:r w:rsidRPr="002C4365">
              <w:rPr>
                <w:rFonts w:cs="Times New Roman"/>
                <w:szCs w:val="24"/>
              </w:rPr>
              <w:t xml:space="preserve">Pharmacological class </w:t>
            </w:r>
          </w:p>
        </w:tc>
        <w:tc>
          <w:tcPr>
            <w:tcW w:w="6660" w:type="dxa"/>
          </w:tcPr>
          <w:p w14:paraId="577D01C2" w14:textId="77777777" w:rsidR="00142F45" w:rsidRPr="002C4365" w:rsidRDefault="00142F45" w:rsidP="00C46407">
            <w:pPr>
              <w:jc w:val="both"/>
              <w:rPr>
                <w:rFonts w:cs="Times New Roman"/>
                <w:szCs w:val="24"/>
              </w:rPr>
            </w:pPr>
            <w:r>
              <w:rPr>
                <w:rFonts w:cs="Times New Roman"/>
                <w:color w:val="000000" w:themeColor="text1"/>
                <w:szCs w:val="24"/>
              </w:rPr>
              <w:t>I</w:t>
            </w:r>
            <w:r w:rsidRPr="002C4365">
              <w:rPr>
                <w:rFonts w:cs="Times New Roman"/>
                <w:color w:val="000000" w:themeColor="text1"/>
                <w:szCs w:val="24"/>
              </w:rPr>
              <w:t>mmunosuppressant</w:t>
            </w:r>
          </w:p>
        </w:tc>
      </w:tr>
      <w:tr w:rsidR="00142F45" w:rsidRPr="002C4365" w14:paraId="1BD28CE9" w14:textId="77777777" w:rsidTr="00C46407">
        <w:tc>
          <w:tcPr>
            <w:tcW w:w="2695" w:type="dxa"/>
          </w:tcPr>
          <w:p w14:paraId="6C60F88B" w14:textId="77777777" w:rsidR="00142F45" w:rsidRPr="002C4365" w:rsidRDefault="00142F45" w:rsidP="00C46407">
            <w:pPr>
              <w:rPr>
                <w:rFonts w:cs="Times New Roman"/>
                <w:szCs w:val="24"/>
              </w:rPr>
            </w:pPr>
            <w:r w:rsidRPr="002C4365">
              <w:rPr>
                <w:rFonts w:cs="Times New Roman"/>
                <w:szCs w:val="24"/>
              </w:rPr>
              <w:t>Dosage form</w:t>
            </w:r>
          </w:p>
        </w:tc>
        <w:tc>
          <w:tcPr>
            <w:tcW w:w="6660" w:type="dxa"/>
          </w:tcPr>
          <w:p w14:paraId="5F2BE14F" w14:textId="77777777" w:rsidR="00142F45" w:rsidRPr="002C4365" w:rsidRDefault="00142F45" w:rsidP="00C46407">
            <w:pPr>
              <w:jc w:val="both"/>
              <w:rPr>
                <w:rFonts w:cs="Times New Roman"/>
                <w:color w:val="000000" w:themeColor="text1"/>
                <w:szCs w:val="24"/>
                <w:lang w:val="sv-SE"/>
              </w:rPr>
            </w:pPr>
            <w:r w:rsidRPr="002C4365">
              <w:rPr>
                <w:rFonts w:cs="Times New Roman"/>
                <w:color w:val="000000" w:themeColor="text1"/>
                <w:szCs w:val="24"/>
                <w:lang w:val="sv-SE"/>
              </w:rPr>
              <w:t xml:space="preserve">Tablet: 2.5 mg, 5 mg, 7.5 mg, 10 mg, 15 mg, </w:t>
            </w:r>
          </w:p>
          <w:p w14:paraId="316F746F" w14:textId="77777777" w:rsidR="00142F45" w:rsidRPr="002C4365" w:rsidRDefault="00142F45" w:rsidP="00C46407">
            <w:pPr>
              <w:jc w:val="both"/>
              <w:rPr>
                <w:rFonts w:cs="Times New Roman"/>
                <w:szCs w:val="24"/>
              </w:rPr>
            </w:pPr>
            <w:r w:rsidRPr="002C4365">
              <w:rPr>
                <w:rFonts w:cs="Times New Roman"/>
                <w:color w:val="000000" w:themeColor="text1"/>
                <w:szCs w:val="24"/>
              </w:rPr>
              <w:t>Powder for Injection: 2.5 mg/ml, 50mg in vial</w:t>
            </w:r>
          </w:p>
        </w:tc>
      </w:tr>
      <w:tr w:rsidR="00142F45" w:rsidRPr="002C4365" w14:paraId="196CA850" w14:textId="77777777" w:rsidTr="00C46407">
        <w:tc>
          <w:tcPr>
            <w:tcW w:w="2695" w:type="dxa"/>
          </w:tcPr>
          <w:p w14:paraId="77747E2A" w14:textId="77777777" w:rsidR="00142F45" w:rsidRPr="002C4365" w:rsidRDefault="00142F45" w:rsidP="00C46407">
            <w:pPr>
              <w:rPr>
                <w:rFonts w:cs="Times New Roman"/>
                <w:szCs w:val="24"/>
              </w:rPr>
            </w:pPr>
            <w:r w:rsidRPr="002C4365">
              <w:rPr>
                <w:rFonts w:cs="Times New Roman"/>
                <w:szCs w:val="24"/>
              </w:rPr>
              <w:t>Indications</w:t>
            </w:r>
          </w:p>
        </w:tc>
        <w:tc>
          <w:tcPr>
            <w:tcW w:w="6660" w:type="dxa"/>
          </w:tcPr>
          <w:p w14:paraId="4B1901F3" w14:textId="77777777" w:rsidR="00142F45" w:rsidRPr="002C4365" w:rsidRDefault="00142F45" w:rsidP="00C46407">
            <w:pPr>
              <w:jc w:val="both"/>
              <w:rPr>
                <w:rFonts w:cs="Times New Roman"/>
                <w:szCs w:val="24"/>
              </w:rPr>
            </w:pPr>
            <w:r w:rsidRPr="002C4365">
              <w:rPr>
                <w:rFonts w:cs="Times New Roman"/>
                <w:color w:val="000000" w:themeColor="text1"/>
                <w:szCs w:val="24"/>
              </w:rPr>
              <w:t>Rheumatoid arthritis, psoriatic arthritis, other systemic rheumatic diseases, sarcoidosis, ILD</w:t>
            </w:r>
          </w:p>
        </w:tc>
      </w:tr>
      <w:tr w:rsidR="00142F45" w:rsidRPr="002C4365" w14:paraId="15EA8D7D" w14:textId="77777777" w:rsidTr="00C46407">
        <w:tc>
          <w:tcPr>
            <w:tcW w:w="2695" w:type="dxa"/>
          </w:tcPr>
          <w:p w14:paraId="7881C127" w14:textId="77777777" w:rsidR="00142F45" w:rsidRPr="002C4365" w:rsidRDefault="00142F45" w:rsidP="00C46407">
            <w:pPr>
              <w:rPr>
                <w:rFonts w:cs="Times New Roman"/>
                <w:szCs w:val="24"/>
              </w:rPr>
            </w:pPr>
            <w:r w:rsidRPr="002C4365">
              <w:rPr>
                <w:rFonts w:cs="Times New Roman"/>
                <w:szCs w:val="24"/>
              </w:rPr>
              <w:t>Dose and administration</w:t>
            </w:r>
          </w:p>
        </w:tc>
        <w:tc>
          <w:tcPr>
            <w:tcW w:w="6660" w:type="dxa"/>
          </w:tcPr>
          <w:p w14:paraId="24DBE8EF" w14:textId="77777777" w:rsidR="00142F45" w:rsidRDefault="00142F45" w:rsidP="00C46407">
            <w:pPr>
              <w:jc w:val="both"/>
              <w:rPr>
                <w:rFonts w:cs="Times New Roman"/>
                <w:b/>
                <w:bCs/>
                <w:color w:val="000000" w:themeColor="text1"/>
                <w:szCs w:val="24"/>
              </w:rPr>
            </w:pPr>
            <w:r w:rsidRPr="002C4365">
              <w:rPr>
                <w:rFonts w:cs="Times New Roman"/>
                <w:b/>
                <w:bCs/>
                <w:color w:val="000000" w:themeColor="text1"/>
                <w:szCs w:val="24"/>
              </w:rPr>
              <w:t>For Sarcoidosi</w:t>
            </w:r>
            <w:r>
              <w:rPr>
                <w:rFonts w:cs="Times New Roman"/>
                <w:b/>
                <w:bCs/>
                <w:color w:val="000000" w:themeColor="text1"/>
                <w:szCs w:val="24"/>
              </w:rPr>
              <w:t>s</w:t>
            </w:r>
            <w:r w:rsidRPr="002C4365">
              <w:rPr>
                <w:rFonts w:cs="Times New Roman"/>
                <w:b/>
                <w:bCs/>
                <w:color w:val="000000" w:themeColor="text1"/>
                <w:szCs w:val="24"/>
              </w:rPr>
              <w:t xml:space="preserve"> and ILD</w:t>
            </w:r>
            <w:r>
              <w:rPr>
                <w:rFonts w:cs="Times New Roman"/>
                <w:b/>
                <w:bCs/>
                <w:color w:val="000000" w:themeColor="text1"/>
                <w:szCs w:val="24"/>
              </w:rPr>
              <w:t xml:space="preserve">, </w:t>
            </w:r>
            <w:r w:rsidR="00B70217">
              <w:rPr>
                <w:rFonts w:cs="Times New Roman"/>
                <w:b/>
                <w:bCs/>
                <w:color w:val="000000" w:themeColor="text1"/>
                <w:szCs w:val="24"/>
              </w:rPr>
              <w:t>o</w:t>
            </w:r>
            <w:r w:rsidRPr="00B70217">
              <w:rPr>
                <w:rFonts w:cs="Times New Roman"/>
                <w:bCs/>
                <w:color w:val="000000" w:themeColor="text1"/>
                <w:szCs w:val="24"/>
              </w:rPr>
              <w:t>ral/IV/IM</w:t>
            </w:r>
            <w:r>
              <w:rPr>
                <w:rFonts w:cs="Times New Roman"/>
                <w:b/>
                <w:bCs/>
                <w:color w:val="000000" w:themeColor="text1"/>
                <w:szCs w:val="24"/>
              </w:rPr>
              <w:t>:</w:t>
            </w:r>
          </w:p>
          <w:p w14:paraId="2383E4BB" w14:textId="77777777" w:rsidR="00142F45" w:rsidRPr="00B02DA7" w:rsidRDefault="00142F45" w:rsidP="00C46407">
            <w:pPr>
              <w:jc w:val="both"/>
              <w:rPr>
                <w:rFonts w:cs="Times New Roman"/>
                <w:b/>
                <w:bCs/>
                <w:color w:val="000000" w:themeColor="text1"/>
                <w:szCs w:val="24"/>
              </w:rPr>
            </w:pPr>
            <w:r w:rsidRPr="002C4365">
              <w:rPr>
                <w:rFonts w:cs="Times New Roman"/>
                <w:b/>
                <w:bCs/>
                <w:color w:val="000000" w:themeColor="text1"/>
                <w:szCs w:val="24"/>
              </w:rPr>
              <w:t>Adult</w:t>
            </w:r>
            <w:r>
              <w:rPr>
                <w:rFonts w:cs="Times New Roman"/>
                <w:b/>
                <w:bCs/>
                <w:color w:val="000000" w:themeColor="text1"/>
                <w:szCs w:val="24"/>
              </w:rPr>
              <w:t xml:space="preserve">: </w:t>
            </w:r>
            <w:r w:rsidRPr="002C4365">
              <w:rPr>
                <w:rFonts w:cs="Times New Roman"/>
                <w:color w:val="000000" w:themeColor="text1"/>
                <w:szCs w:val="24"/>
              </w:rPr>
              <w:t>Start with 7.5 mg once weekly, either as a single dose or divided into three doses given every 12 hours. The dose can be adjusted according to clinical response, up to a maximum of 25 mg weekly.</w:t>
            </w:r>
          </w:p>
        </w:tc>
      </w:tr>
      <w:tr w:rsidR="00142F45" w:rsidRPr="002C4365" w14:paraId="7F1356DA" w14:textId="77777777" w:rsidTr="00C46407">
        <w:tc>
          <w:tcPr>
            <w:tcW w:w="2695" w:type="dxa"/>
          </w:tcPr>
          <w:p w14:paraId="6242A6AF" w14:textId="77777777" w:rsidR="00142F45" w:rsidRPr="002C4365" w:rsidRDefault="00142F45" w:rsidP="00C46407">
            <w:pPr>
              <w:rPr>
                <w:rFonts w:cs="Times New Roman"/>
                <w:szCs w:val="24"/>
              </w:rPr>
            </w:pPr>
            <w:r w:rsidRPr="002C4365">
              <w:rPr>
                <w:rFonts w:cs="Times New Roman"/>
                <w:szCs w:val="24"/>
              </w:rPr>
              <w:t>Contraindications</w:t>
            </w:r>
          </w:p>
        </w:tc>
        <w:tc>
          <w:tcPr>
            <w:tcW w:w="6660" w:type="dxa"/>
          </w:tcPr>
          <w:p w14:paraId="32018335"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Pregnancy, breastfeeding, immunodeficiency syndromes</w:t>
            </w:r>
          </w:p>
        </w:tc>
      </w:tr>
      <w:tr w:rsidR="00142F45" w:rsidRPr="002C4365" w14:paraId="0141E7A8" w14:textId="77777777" w:rsidTr="00C46407">
        <w:tc>
          <w:tcPr>
            <w:tcW w:w="2695" w:type="dxa"/>
          </w:tcPr>
          <w:p w14:paraId="23F7D7CB" w14:textId="77777777" w:rsidR="00142F45" w:rsidRPr="002C4365" w:rsidRDefault="00142F45" w:rsidP="00C46407">
            <w:pPr>
              <w:rPr>
                <w:rFonts w:cs="Times New Roman"/>
                <w:szCs w:val="24"/>
              </w:rPr>
            </w:pPr>
            <w:r w:rsidRPr="002C4365">
              <w:rPr>
                <w:rFonts w:cs="Times New Roman"/>
                <w:szCs w:val="24"/>
              </w:rPr>
              <w:t>Drug interactions</w:t>
            </w:r>
          </w:p>
        </w:tc>
        <w:tc>
          <w:tcPr>
            <w:tcW w:w="6660" w:type="dxa"/>
          </w:tcPr>
          <w:p w14:paraId="761E3E1D" w14:textId="77777777" w:rsidR="00142F45" w:rsidRPr="002C4365" w:rsidRDefault="00142F45" w:rsidP="00C46407">
            <w:pPr>
              <w:jc w:val="both"/>
              <w:rPr>
                <w:rFonts w:cs="Times New Roman"/>
                <w:szCs w:val="24"/>
              </w:rPr>
            </w:pPr>
            <w:r w:rsidRPr="002C4365">
              <w:rPr>
                <w:rFonts w:cs="Times New Roman"/>
                <w:color w:val="000000" w:themeColor="text1"/>
                <w:szCs w:val="24"/>
              </w:rPr>
              <w:t>Influenza virus vaccine quadrivalent (intranasal), measles, mumps, and rubella vaccine (live), measles, mumps, rubella, and varicella vaccine (live), rotavirus oral vaccine, acetylsalicylic acid, amoxicillin, ampicillin, benzyl penicillin, dexamethasone, doxycycline, hydrocortisone, ibuprofen, nitrous oxide</w:t>
            </w:r>
          </w:p>
        </w:tc>
      </w:tr>
      <w:tr w:rsidR="00142F45" w:rsidRPr="002C4365" w14:paraId="32EDBB87" w14:textId="77777777" w:rsidTr="00C46407">
        <w:tc>
          <w:tcPr>
            <w:tcW w:w="2695" w:type="dxa"/>
          </w:tcPr>
          <w:p w14:paraId="5860DB17" w14:textId="77777777" w:rsidR="00142F45" w:rsidRPr="002C4365" w:rsidRDefault="00142F45" w:rsidP="00C46407">
            <w:pPr>
              <w:rPr>
                <w:rFonts w:cs="Times New Roman"/>
                <w:szCs w:val="24"/>
              </w:rPr>
            </w:pPr>
            <w:r w:rsidRPr="002C4365">
              <w:rPr>
                <w:rFonts w:cs="Times New Roman"/>
                <w:szCs w:val="24"/>
                <w:shd w:val="clear" w:color="auto" w:fill="FFFFFF"/>
              </w:rPr>
              <w:t>Side effects</w:t>
            </w:r>
          </w:p>
        </w:tc>
        <w:tc>
          <w:tcPr>
            <w:tcW w:w="6660" w:type="dxa"/>
          </w:tcPr>
          <w:p w14:paraId="16C1F101"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 xml:space="preserve">With oral use: anemia, decreased appetite, diarrhea, drowsiness, </w:t>
            </w:r>
            <w:r w:rsidRPr="002C4365">
              <w:rPr>
                <w:rFonts w:cs="Times New Roman"/>
                <w:color w:val="000000" w:themeColor="text1"/>
                <w:szCs w:val="24"/>
              </w:rPr>
              <w:lastRenderedPageBreak/>
              <w:t>fatigue, gastrointestinal discomfort, headache, increased risk of infection, leukopenia, nausea, oral disorders, respiratory disorders, skin reactions, throat ulcer, thrombocytopenia, vomiting</w:t>
            </w:r>
          </w:p>
          <w:p w14:paraId="294764AB"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With parenteral use: anemia, decreased appetite, chest pain, cough, diarrhea, drowsiness, dyspnea, fatigue, fever, gastrointestinal discomfort, headache, leukopenia, malaise, nausea, oral disorders, respiratory disorders, skin reactions, throat complaints, thrombocytopenia, vomiting</w:t>
            </w:r>
          </w:p>
        </w:tc>
      </w:tr>
      <w:tr w:rsidR="00142F45" w:rsidRPr="002C4365" w14:paraId="3C275F86" w14:textId="77777777" w:rsidTr="00C46407">
        <w:tc>
          <w:tcPr>
            <w:tcW w:w="2695" w:type="dxa"/>
          </w:tcPr>
          <w:p w14:paraId="654007DA" w14:textId="77777777" w:rsidR="00142F45" w:rsidRPr="002C4365" w:rsidRDefault="00142F45" w:rsidP="00C46407">
            <w:pPr>
              <w:rPr>
                <w:rFonts w:cs="Times New Roman"/>
                <w:szCs w:val="24"/>
              </w:rPr>
            </w:pPr>
            <w:r w:rsidRPr="002C4365">
              <w:rPr>
                <w:rFonts w:cs="Times New Roman"/>
                <w:szCs w:val="24"/>
              </w:rPr>
              <w:lastRenderedPageBreak/>
              <w:t xml:space="preserve">Cautions </w:t>
            </w:r>
          </w:p>
        </w:tc>
        <w:tc>
          <w:tcPr>
            <w:tcW w:w="6660" w:type="dxa"/>
          </w:tcPr>
          <w:p w14:paraId="647A1FEB" w14:textId="77777777" w:rsidR="00142F45" w:rsidRPr="002C4365" w:rsidRDefault="00142F45" w:rsidP="00C46407">
            <w:pPr>
              <w:jc w:val="both"/>
              <w:rPr>
                <w:rFonts w:cs="Times New Roman"/>
                <w:szCs w:val="24"/>
              </w:rPr>
            </w:pPr>
            <w:r w:rsidRPr="002C4365">
              <w:rPr>
                <w:rFonts w:cs="Times New Roman"/>
                <w:szCs w:val="24"/>
              </w:rPr>
              <w:t>Refer under notes on Azathioprine</w:t>
            </w:r>
          </w:p>
        </w:tc>
      </w:tr>
      <w:tr w:rsidR="00142F45" w:rsidRPr="002C4365" w14:paraId="1F415F46" w14:textId="77777777" w:rsidTr="00C46407">
        <w:tc>
          <w:tcPr>
            <w:tcW w:w="2695" w:type="dxa"/>
          </w:tcPr>
          <w:p w14:paraId="4D8879C3" w14:textId="77777777" w:rsidR="00142F45" w:rsidRPr="002C4365" w:rsidRDefault="00142F45" w:rsidP="00C46407">
            <w:pPr>
              <w:rPr>
                <w:rFonts w:cs="Times New Roman"/>
                <w:szCs w:val="24"/>
              </w:rPr>
            </w:pPr>
            <w:r w:rsidRPr="002C4365">
              <w:rPr>
                <w:rFonts w:cs="Times New Roman"/>
                <w:szCs w:val="24"/>
              </w:rPr>
              <w:t>Storage condition</w:t>
            </w:r>
          </w:p>
        </w:tc>
        <w:tc>
          <w:tcPr>
            <w:tcW w:w="6660" w:type="dxa"/>
          </w:tcPr>
          <w:p w14:paraId="07B3FEC4" w14:textId="77777777" w:rsidR="00142F45" w:rsidRPr="002C4365" w:rsidRDefault="00142F45" w:rsidP="00C46407">
            <w:pPr>
              <w:jc w:val="both"/>
              <w:rPr>
                <w:rFonts w:cs="Times New Roman"/>
                <w:szCs w:val="24"/>
              </w:rPr>
            </w:pPr>
            <w:r w:rsidRPr="002C4365">
              <w:rPr>
                <w:rFonts w:cs="Times New Roman"/>
                <w:color w:val="000000" w:themeColor="text1"/>
                <w:szCs w:val="24"/>
              </w:rPr>
              <w:t>Store below 30°C. Protect from light.</w:t>
            </w:r>
          </w:p>
        </w:tc>
      </w:tr>
      <w:tr w:rsidR="00142F45" w:rsidRPr="002C4365" w14:paraId="16A209DF" w14:textId="77777777" w:rsidTr="00C46407">
        <w:tc>
          <w:tcPr>
            <w:tcW w:w="9355" w:type="dxa"/>
            <w:gridSpan w:val="2"/>
          </w:tcPr>
          <w:p w14:paraId="29F0D181" w14:textId="77777777" w:rsidR="00142F45" w:rsidRPr="002C4365" w:rsidRDefault="00142F45" w:rsidP="00C46407">
            <w:pPr>
              <w:jc w:val="both"/>
              <w:rPr>
                <w:rFonts w:cs="Times New Roman"/>
                <w:b/>
                <w:bCs/>
                <w:szCs w:val="24"/>
              </w:rPr>
            </w:pPr>
            <w:r w:rsidRPr="002C4365">
              <w:rPr>
                <w:rFonts w:cs="Times New Roman"/>
                <w:b/>
                <w:bCs/>
                <w:szCs w:val="24"/>
              </w:rPr>
              <w:t>Mycophenolate Mofetil</w:t>
            </w:r>
          </w:p>
        </w:tc>
      </w:tr>
      <w:tr w:rsidR="00142F45" w:rsidRPr="002C4365" w14:paraId="2165D5DC" w14:textId="77777777" w:rsidTr="00C46407">
        <w:tc>
          <w:tcPr>
            <w:tcW w:w="2695" w:type="dxa"/>
          </w:tcPr>
          <w:p w14:paraId="616178D7" w14:textId="77777777" w:rsidR="00142F45" w:rsidRPr="002C4365" w:rsidRDefault="00142F45" w:rsidP="00C46407">
            <w:pPr>
              <w:rPr>
                <w:rFonts w:cs="Times New Roman"/>
                <w:szCs w:val="24"/>
              </w:rPr>
            </w:pPr>
            <w:r w:rsidRPr="002C4365">
              <w:rPr>
                <w:rFonts w:cs="Times New Roman"/>
                <w:szCs w:val="24"/>
              </w:rPr>
              <w:t xml:space="preserve">Pharmacological class </w:t>
            </w:r>
          </w:p>
        </w:tc>
        <w:tc>
          <w:tcPr>
            <w:tcW w:w="6660" w:type="dxa"/>
          </w:tcPr>
          <w:p w14:paraId="7365BF39"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Immunosuppressant</w:t>
            </w:r>
          </w:p>
        </w:tc>
      </w:tr>
      <w:tr w:rsidR="00142F45" w:rsidRPr="002C4365" w14:paraId="27CEDBE1" w14:textId="77777777" w:rsidTr="00C46407">
        <w:tc>
          <w:tcPr>
            <w:tcW w:w="2695" w:type="dxa"/>
          </w:tcPr>
          <w:p w14:paraId="5ACA1EFB" w14:textId="77777777" w:rsidR="00142F45" w:rsidRPr="002C4365" w:rsidRDefault="00142F45" w:rsidP="00C46407">
            <w:pPr>
              <w:rPr>
                <w:rFonts w:cs="Times New Roman"/>
                <w:szCs w:val="24"/>
              </w:rPr>
            </w:pPr>
            <w:r w:rsidRPr="002C4365">
              <w:rPr>
                <w:rFonts w:cs="Times New Roman"/>
                <w:szCs w:val="24"/>
              </w:rPr>
              <w:t>Dosage form</w:t>
            </w:r>
          </w:p>
        </w:tc>
        <w:tc>
          <w:tcPr>
            <w:tcW w:w="6660" w:type="dxa"/>
          </w:tcPr>
          <w:p w14:paraId="171356A8"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Tablet: 250 mg, 500 mg</w:t>
            </w:r>
          </w:p>
          <w:p w14:paraId="5BF02BD8" w14:textId="77777777" w:rsidR="00142F45" w:rsidRPr="001D2319" w:rsidRDefault="00142F45" w:rsidP="00C46407">
            <w:pPr>
              <w:jc w:val="both"/>
              <w:rPr>
                <w:rFonts w:cs="Times New Roman"/>
                <w:color w:val="000000" w:themeColor="text1"/>
                <w:szCs w:val="24"/>
                <w:highlight w:val="yellow"/>
              </w:rPr>
            </w:pPr>
            <w:r w:rsidRPr="001D2319">
              <w:rPr>
                <w:rFonts w:cs="Times New Roman"/>
                <w:color w:val="000000" w:themeColor="text1"/>
                <w:szCs w:val="24"/>
              </w:rPr>
              <w:t>Oral Suspension: 200 mg/ml</w:t>
            </w:r>
          </w:p>
        </w:tc>
      </w:tr>
      <w:tr w:rsidR="00142F45" w:rsidRPr="002C4365" w14:paraId="28B94483" w14:textId="77777777" w:rsidTr="00C46407">
        <w:tc>
          <w:tcPr>
            <w:tcW w:w="2695" w:type="dxa"/>
          </w:tcPr>
          <w:p w14:paraId="45D61B7B" w14:textId="77777777" w:rsidR="00142F45" w:rsidRPr="002C4365" w:rsidRDefault="00142F45" w:rsidP="00C46407">
            <w:pPr>
              <w:rPr>
                <w:rFonts w:cs="Times New Roman"/>
                <w:szCs w:val="24"/>
              </w:rPr>
            </w:pPr>
            <w:r w:rsidRPr="002C4365">
              <w:rPr>
                <w:rFonts w:cs="Times New Roman"/>
                <w:szCs w:val="24"/>
              </w:rPr>
              <w:t>Indications</w:t>
            </w:r>
          </w:p>
        </w:tc>
        <w:tc>
          <w:tcPr>
            <w:tcW w:w="6660" w:type="dxa"/>
          </w:tcPr>
          <w:p w14:paraId="41E9283B"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Sarcoidosis, ILD</w:t>
            </w:r>
          </w:p>
        </w:tc>
      </w:tr>
      <w:tr w:rsidR="00142F45" w:rsidRPr="002C4365" w14:paraId="23956C33" w14:textId="77777777" w:rsidTr="00C46407">
        <w:tc>
          <w:tcPr>
            <w:tcW w:w="2695" w:type="dxa"/>
          </w:tcPr>
          <w:p w14:paraId="668630B3" w14:textId="77777777" w:rsidR="00142F45" w:rsidRPr="002C4365" w:rsidRDefault="00142F45" w:rsidP="00C46407">
            <w:pPr>
              <w:rPr>
                <w:rFonts w:cs="Times New Roman"/>
                <w:szCs w:val="24"/>
              </w:rPr>
            </w:pPr>
            <w:r w:rsidRPr="002C4365">
              <w:rPr>
                <w:rFonts w:cs="Times New Roman"/>
                <w:szCs w:val="24"/>
              </w:rPr>
              <w:t>Dose and administration</w:t>
            </w:r>
          </w:p>
        </w:tc>
        <w:tc>
          <w:tcPr>
            <w:tcW w:w="6660" w:type="dxa"/>
          </w:tcPr>
          <w:p w14:paraId="45073E6F" w14:textId="77777777" w:rsidR="00142F45" w:rsidRPr="002C4365" w:rsidRDefault="00142F45" w:rsidP="00C46407">
            <w:pPr>
              <w:jc w:val="both"/>
              <w:rPr>
                <w:rFonts w:cs="Times New Roman"/>
                <w:b/>
                <w:bCs/>
                <w:color w:val="000000" w:themeColor="text1"/>
                <w:szCs w:val="24"/>
              </w:rPr>
            </w:pPr>
            <w:r w:rsidRPr="002C4365">
              <w:rPr>
                <w:rFonts w:cs="Times New Roman"/>
                <w:b/>
                <w:bCs/>
                <w:color w:val="000000" w:themeColor="text1"/>
                <w:szCs w:val="24"/>
              </w:rPr>
              <w:t>Sarcoidosis and ILD:</w:t>
            </w:r>
          </w:p>
          <w:p w14:paraId="41F30862" w14:textId="77777777" w:rsidR="00142F45" w:rsidRPr="002C4365" w:rsidRDefault="00142F45" w:rsidP="00C46407">
            <w:pPr>
              <w:jc w:val="both"/>
              <w:rPr>
                <w:rFonts w:cs="Times New Roman"/>
                <w:color w:val="000000" w:themeColor="text1"/>
                <w:szCs w:val="24"/>
              </w:rPr>
            </w:pPr>
            <w:r w:rsidRPr="002C4365">
              <w:rPr>
                <w:rFonts w:cs="Times New Roman"/>
                <w:b/>
                <w:bCs/>
                <w:color w:val="000000" w:themeColor="text1"/>
                <w:szCs w:val="24"/>
              </w:rPr>
              <w:t>Adult:</w:t>
            </w:r>
            <w:r w:rsidRPr="002C4365">
              <w:rPr>
                <w:rFonts w:cs="Times New Roman"/>
                <w:color w:val="000000" w:themeColor="text1"/>
                <w:szCs w:val="24"/>
              </w:rPr>
              <w:t xml:space="preserve"> Start with 500 mg twice daily. The dose can be increased to 1 g twice daily based on clinical response and tolerability.</w:t>
            </w:r>
          </w:p>
        </w:tc>
      </w:tr>
      <w:tr w:rsidR="00142F45" w:rsidRPr="002C4365" w14:paraId="2DFDCC9D" w14:textId="77777777" w:rsidTr="00C46407">
        <w:tc>
          <w:tcPr>
            <w:tcW w:w="2695" w:type="dxa"/>
          </w:tcPr>
          <w:p w14:paraId="366496C7" w14:textId="77777777" w:rsidR="00142F45" w:rsidRPr="002C4365" w:rsidRDefault="00142F45" w:rsidP="00C46407">
            <w:pPr>
              <w:rPr>
                <w:rFonts w:cs="Times New Roman"/>
                <w:szCs w:val="24"/>
              </w:rPr>
            </w:pPr>
            <w:r w:rsidRPr="002C4365">
              <w:rPr>
                <w:rFonts w:cs="Times New Roman"/>
                <w:szCs w:val="24"/>
              </w:rPr>
              <w:t>Contraindications</w:t>
            </w:r>
          </w:p>
        </w:tc>
        <w:tc>
          <w:tcPr>
            <w:tcW w:w="6660" w:type="dxa"/>
          </w:tcPr>
          <w:p w14:paraId="4BF91740"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Hypersensitivity to the drug, pregnancy</w:t>
            </w:r>
          </w:p>
        </w:tc>
      </w:tr>
      <w:tr w:rsidR="00142F45" w:rsidRPr="002C4365" w14:paraId="659F6177" w14:textId="77777777" w:rsidTr="00C46407">
        <w:tc>
          <w:tcPr>
            <w:tcW w:w="2695" w:type="dxa"/>
          </w:tcPr>
          <w:p w14:paraId="7C9F7F1E" w14:textId="77777777" w:rsidR="00142F45" w:rsidRPr="002C4365" w:rsidRDefault="00142F45" w:rsidP="00C46407">
            <w:pPr>
              <w:rPr>
                <w:rFonts w:cs="Times New Roman"/>
                <w:szCs w:val="24"/>
              </w:rPr>
            </w:pPr>
            <w:r w:rsidRPr="002C4365">
              <w:rPr>
                <w:rFonts w:cs="Times New Roman"/>
                <w:szCs w:val="24"/>
              </w:rPr>
              <w:t>Drug interactions</w:t>
            </w:r>
          </w:p>
        </w:tc>
        <w:tc>
          <w:tcPr>
            <w:tcW w:w="6660" w:type="dxa"/>
          </w:tcPr>
          <w:p w14:paraId="0DDCAB2C"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Antacids containing aluminium and magnesium, cholestyramine, acyclovir, ganciclovir, live vaccines</w:t>
            </w:r>
          </w:p>
        </w:tc>
      </w:tr>
      <w:tr w:rsidR="00142F45" w:rsidRPr="002C4365" w14:paraId="18F2E793" w14:textId="77777777" w:rsidTr="00C46407">
        <w:tc>
          <w:tcPr>
            <w:tcW w:w="2695" w:type="dxa"/>
          </w:tcPr>
          <w:p w14:paraId="2E6B120F" w14:textId="77777777" w:rsidR="00142F45" w:rsidRPr="002C4365" w:rsidRDefault="00142F45" w:rsidP="00C46407">
            <w:pPr>
              <w:rPr>
                <w:rFonts w:cs="Times New Roman"/>
                <w:szCs w:val="24"/>
                <w:shd w:val="clear" w:color="auto" w:fill="FFFFFF"/>
              </w:rPr>
            </w:pPr>
            <w:r w:rsidRPr="002C4365">
              <w:rPr>
                <w:rFonts w:cs="Times New Roman"/>
                <w:szCs w:val="24"/>
                <w:shd w:val="clear" w:color="auto" w:fill="FFFFFF"/>
              </w:rPr>
              <w:t>Side effects</w:t>
            </w:r>
          </w:p>
        </w:tc>
        <w:tc>
          <w:tcPr>
            <w:tcW w:w="6660" w:type="dxa"/>
          </w:tcPr>
          <w:p w14:paraId="5CA09EA4"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Diarrhea, nausea, vomiting, abdominal pain, leukopenia, anemia, thrombocytopenia increased risk of infections, renal impairment, hyperglycemia, hypertension, neoplasms (skin cancers and lymphoproliferative disorders)</w:t>
            </w:r>
          </w:p>
        </w:tc>
      </w:tr>
      <w:tr w:rsidR="00142F45" w:rsidRPr="002C4365" w14:paraId="44783B3C" w14:textId="77777777" w:rsidTr="00C46407">
        <w:tc>
          <w:tcPr>
            <w:tcW w:w="2695" w:type="dxa"/>
          </w:tcPr>
          <w:p w14:paraId="39AABEC1" w14:textId="77777777" w:rsidR="00142F45" w:rsidRPr="002C4365" w:rsidRDefault="00142F45" w:rsidP="00C46407">
            <w:pPr>
              <w:rPr>
                <w:rFonts w:cs="Times New Roman"/>
                <w:szCs w:val="24"/>
              </w:rPr>
            </w:pPr>
            <w:r w:rsidRPr="002C4365">
              <w:rPr>
                <w:rFonts w:cs="Times New Roman"/>
                <w:szCs w:val="24"/>
              </w:rPr>
              <w:t xml:space="preserve">Cautions </w:t>
            </w:r>
          </w:p>
        </w:tc>
        <w:tc>
          <w:tcPr>
            <w:tcW w:w="6660" w:type="dxa"/>
          </w:tcPr>
          <w:p w14:paraId="6664CF79" w14:textId="77777777" w:rsidR="00142F45" w:rsidRPr="002C4365" w:rsidRDefault="00142F45" w:rsidP="00C46407">
            <w:pPr>
              <w:jc w:val="both"/>
              <w:rPr>
                <w:rFonts w:cs="Times New Roman"/>
                <w:color w:val="000000" w:themeColor="text1"/>
                <w:szCs w:val="24"/>
              </w:rPr>
            </w:pPr>
            <w:r w:rsidRPr="002C4365">
              <w:rPr>
                <w:rFonts w:cs="Times New Roman"/>
                <w:color w:val="000000" w:themeColor="text1"/>
                <w:szCs w:val="24"/>
              </w:rPr>
              <w:t>Infections, malignancies, lactation, renal impairment, active GI disease, such as peptic ulcer disease, severe chronic infections, hepatic impairment</w:t>
            </w:r>
          </w:p>
        </w:tc>
      </w:tr>
      <w:tr w:rsidR="00142F45" w:rsidRPr="002C4365" w14:paraId="56B5873E" w14:textId="77777777" w:rsidTr="00C46407">
        <w:tc>
          <w:tcPr>
            <w:tcW w:w="2695" w:type="dxa"/>
          </w:tcPr>
          <w:p w14:paraId="53854450" w14:textId="77777777" w:rsidR="00142F45" w:rsidRPr="002C4365" w:rsidRDefault="00142F45" w:rsidP="00C46407">
            <w:pPr>
              <w:rPr>
                <w:rFonts w:cs="Times New Roman"/>
                <w:szCs w:val="24"/>
              </w:rPr>
            </w:pPr>
            <w:r w:rsidRPr="002C4365">
              <w:rPr>
                <w:rFonts w:cs="Times New Roman"/>
                <w:szCs w:val="24"/>
              </w:rPr>
              <w:t>Storage condition</w:t>
            </w:r>
          </w:p>
        </w:tc>
        <w:tc>
          <w:tcPr>
            <w:tcW w:w="6660" w:type="dxa"/>
          </w:tcPr>
          <w:p w14:paraId="3A9A90E5" w14:textId="77777777" w:rsidR="00142F45" w:rsidRPr="002C4365" w:rsidRDefault="00142F45" w:rsidP="00C46407">
            <w:pPr>
              <w:jc w:val="both"/>
              <w:rPr>
                <w:rFonts w:cs="Times New Roman"/>
                <w:szCs w:val="24"/>
              </w:rPr>
            </w:pPr>
            <w:r w:rsidRPr="002C4365">
              <w:rPr>
                <w:rFonts w:cs="Times New Roman"/>
                <w:szCs w:val="24"/>
              </w:rPr>
              <w:t>Store below 30°C. Protect from moisture and light.</w:t>
            </w:r>
          </w:p>
        </w:tc>
      </w:tr>
      <w:tr w:rsidR="00142F45" w:rsidRPr="002C4365" w14:paraId="0FF47A56" w14:textId="77777777" w:rsidTr="00C46407">
        <w:tc>
          <w:tcPr>
            <w:tcW w:w="9355" w:type="dxa"/>
            <w:gridSpan w:val="2"/>
          </w:tcPr>
          <w:p w14:paraId="0D123E80" w14:textId="77777777" w:rsidR="00142F45" w:rsidRPr="002C4365" w:rsidRDefault="00142F45" w:rsidP="00C46407">
            <w:pPr>
              <w:jc w:val="both"/>
              <w:rPr>
                <w:rFonts w:cs="Times New Roman"/>
                <w:b/>
                <w:bCs/>
                <w:szCs w:val="24"/>
              </w:rPr>
            </w:pPr>
            <w:r w:rsidRPr="002C4365">
              <w:rPr>
                <w:rFonts w:cs="Times New Roman"/>
                <w:b/>
                <w:bCs/>
                <w:szCs w:val="24"/>
              </w:rPr>
              <w:t>Prednisolone</w:t>
            </w:r>
          </w:p>
        </w:tc>
      </w:tr>
      <w:tr w:rsidR="00142F45" w:rsidRPr="002C4365" w14:paraId="2A45552A" w14:textId="77777777" w:rsidTr="00C46407">
        <w:tc>
          <w:tcPr>
            <w:tcW w:w="2695" w:type="dxa"/>
          </w:tcPr>
          <w:p w14:paraId="3105F3CF" w14:textId="77777777" w:rsidR="00142F45" w:rsidRPr="002C4365" w:rsidRDefault="00142F45" w:rsidP="00C46407">
            <w:pPr>
              <w:rPr>
                <w:rFonts w:cs="Times New Roman"/>
                <w:szCs w:val="24"/>
              </w:rPr>
            </w:pPr>
            <w:r w:rsidRPr="002C4365">
              <w:rPr>
                <w:rFonts w:cs="Times New Roman"/>
                <w:szCs w:val="24"/>
              </w:rPr>
              <w:lastRenderedPageBreak/>
              <w:t xml:space="preserve">Pharmacological class </w:t>
            </w:r>
          </w:p>
        </w:tc>
        <w:tc>
          <w:tcPr>
            <w:tcW w:w="6660" w:type="dxa"/>
          </w:tcPr>
          <w:p w14:paraId="4C671960" w14:textId="77777777" w:rsidR="00142F45" w:rsidRPr="002C4365" w:rsidRDefault="00142F45" w:rsidP="00C46407">
            <w:pPr>
              <w:jc w:val="both"/>
              <w:rPr>
                <w:rFonts w:cs="Times New Roman"/>
                <w:szCs w:val="24"/>
              </w:rPr>
            </w:pPr>
            <w:r w:rsidRPr="002C4365">
              <w:rPr>
                <w:rFonts w:cs="Times New Roman"/>
                <w:szCs w:val="24"/>
              </w:rPr>
              <w:t>Corticosteroid</w:t>
            </w:r>
          </w:p>
        </w:tc>
      </w:tr>
      <w:tr w:rsidR="00142F45" w:rsidRPr="002C4365" w14:paraId="72135912" w14:textId="77777777" w:rsidTr="00C46407">
        <w:tc>
          <w:tcPr>
            <w:tcW w:w="2695" w:type="dxa"/>
          </w:tcPr>
          <w:p w14:paraId="40E0E534" w14:textId="77777777" w:rsidR="00142F45" w:rsidRPr="002C4365" w:rsidRDefault="00142F45" w:rsidP="00C46407">
            <w:pPr>
              <w:rPr>
                <w:rFonts w:cs="Times New Roman"/>
                <w:szCs w:val="24"/>
              </w:rPr>
            </w:pPr>
            <w:r w:rsidRPr="002C4365">
              <w:rPr>
                <w:rFonts w:cs="Times New Roman"/>
                <w:szCs w:val="24"/>
              </w:rPr>
              <w:t>Dosage form</w:t>
            </w:r>
          </w:p>
        </w:tc>
        <w:tc>
          <w:tcPr>
            <w:tcW w:w="6660" w:type="dxa"/>
          </w:tcPr>
          <w:p w14:paraId="0EC5D788" w14:textId="77777777" w:rsidR="00142F45" w:rsidRPr="002C4365" w:rsidRDefault="00142F45" w:rsidP="00C46407">
            <w:pPr>
              <w:jc w:val="both"/>
              <w:rPr>
                <w:rFonts w:cs="Times New Roman"/>
                <w:color w:val="000000"/>
                <w:szCs w:val="24"/>
              </w:rPr>
            </w:pPr>
            <w:r w:rsidRPr="002C4365">
              <w:rPr>
                <w:rFonts w:cs="Times New Roman"/>
                <w:color w:val="000000"/>
                <w:szCs w:val="24"/>
              </w:rPr>
              <w:t>Tablet:  5mg</w:t>
            </w:r>
          </w:p>
          <w:p w14:paraId="56EA3580" w14:textId="77777777" w:rsidR="00142F45" w:rsidRPr="002C4365" w:rsidRDefault="00142F45" w:rsidP="00C46407">
            <w:pPr>
              <w:jc w:val="both"/>
              <w:rPr>
                <w:rFonts w:cs="Times New Roman"/>
                <w:szCs w:val="24"/>
              </w:rPr>
            </w:pPr>
            <w:r w:rsidRPr="002C4365">
              <w:rPr>
                <w:rFonts w:cs="Times New Roman"/>
                <w:color w:val="000000"/>
                <w:szCs w:val="24"/>
              </w:rPr>
              <w:t xml:space="preserve">Injection (Sodium Phosphate): 10mg/ml, 25mg/ml in 2ml ampoule </w:t>
            </w:r>
          </w:p>
        </w:tc>
      </w:tr>
      <w:tr w:rsidR="00142F45" w:rsidRPr="002C4365" w14:paraId="5D286CF4" w14:textId="77777777" w:rsidTr="00C46407">
        <w:tc>
          <w:tcPr>
            <w:tcW w:w="2695" w:type="dxa"/>
          </w:tcPr>
          <w:p w14:paraId="6B4D051E" w14:textId="77777777" w:rsidR="00142F45" w:rsidRPr="002C4365" w:rsidRDefault="00142F45" w:rsidP="00C46407">
            <w:pPr>
              <w:rPr>
                <w:rFonts w:cs="Times New Roman"/>
                <w:szCs w:val="24"/>
              </w:rPr>
            </w:pPr>
            <w:r w:rsidRPr="002C4365">
              <w:rPr>
                <w:rFonts w:cs="Times New Roman"/>
                <w:szCs w:val="24"/>
              </w:rPr>
              <w:t>Indications</w:t>
            </w:r>
          </w:p>
        </w:tc>
        <w:tc>
          <w:tcPr>
            <w:tcW w:w="6660" w:type="dxa"/>
          </w:tcPr>
          <w:p w14:paraId="04CA3A3A" w14:textId="77777777" w:rsidR="00142F45" w:rsidRPr="002C4365" w:rsidRDefault="00142F45" w:rsidP="00C46407">
            <w:pPr>
              <w:jc w:val="both"/>
              <w:rPr>
                <w:rFonts w:cs="Times New Roman"/>
                <w:szCs w:val="24"/>
              </w:rPr>
            </w:pPr>
            <w:r w:rsidRPr="002C4365">
              <w:rPr>
                <w:rFonts w:cs="Times New Roman"/>
                <w:bCs/>
                <w:color w:val="000000" w:themeColor="text1"/>
                <w:szCs w:val="24"/>
              </w:rPr>
              <w:t>Sarcoidosis, ILD</w:t>
            </w:r>
            <w:r w:rsidRPr="002C4365">
              <w:rPr>
                <w:rFonts w:cs="Times New Roman"/>
                <w:color w:val="000000" w:themeColor="text1"/>
                <w:szCs w:val="24"/>
              </w:rPr>
              <w:t xml:space="preserve">, </w:t>
            </w:r>
            <w:r w:rsidRPr="002C4365">
              <w:rPr>
                <w:rFonts w:cs="Times New Roman"/>
                <w:szCs w:val="24"/>
              </w:rPr>
              <w:t>Suppression of inflammatory and allergic disorders, inflammatory bowel disease, asthma, rheumatic disorder, with antineoplastic drugs for acute leukaemia and lymphomas, treatment of adrenocortical insufficiency, immune suppression</w:t>
            </w:r>
          </w:p>
        </w:tc>
      </w:tr>
      <w:tr w:rsidR="00142F45" w:rsidRPr="002C4365" w14:paraId="2D2D7A7B" w14:textId="77777777" w:rsidTr="00C46407">
        <w:tc>
          <w:tcPr>
            <w:tcW w:w="2695" w:type="dxa"/>
          </w:tcPr>
          <w:p w14:paraId="72E8BB15" w14:textId="77777777" w:rsidR="00142F45" w:rsidRPr="002C4365" w:rsidRDefault="00142F45" w:rsidP="00C46407">
            <w:pPr>
              <w:rPr>
                <w:rFonts w:cs="Times New Roman"/>
                <w:szCs w:val="24"/>
              </w:rPr>
            </w:pPr>
            <w:r w:rsidRPr="002C4365">
              <w:rPr>
                <w:rFonts w:cs="Times New Roman"/>
                <w:szCs w:val="24"/>
              </w:rPr>
              <w:t>Dose and administration</w:t>
            </w:r>
          </w:p>
        </w:tc>
        <w:tc>
          <w:tcPr>
            <w:tcW w:w="6660" w:type="dxa"/>
          </w:tcPr>
          <w:p w14:paraId="655E0ACA" w14:textId="77777777" w:rsidR="00142F45" w:rsidRPr="002C4365" w:rsidRDefault="00142F45" w:rsidP="00C46407">
            <w:pPr>
              <w:jc w:val="both"/>
              <w:rPr>
                <w:rFonts w:cs="Times New Roman"/>
                <w:b/>
                <w:bCs/>
                <w:szCs w:val="24"/>
              </w:rPr>
            </w:pPr>
            <w:r w:rsidRPr="002C4365">
              <w:rPr>
                <w:rFonts w:cs="Times New Roman"/>
                <w:b/>
                <w:bCs/>
                <w:szCs w:val="24"/>
              </w:rPr>
              <w:t>For Sarcoidosis and ILD, Oral:</w:t>
            </w:r>
          </w:p>
          <w:p w14:paraId="63D0D274" w14:textId="77777777" w:rsidR="00142F45" w:rsidRPr="002C4365" w:rsidRDefault="00142F45" w:rsidP="00C46407">
            <w:pPr>
              <w:jc w:val="both"/>
              <w:rPr>
                <w:rFonts w:cs="Times New Roman"/>
                <w:szCs w:val="24"/>
              </w:rPr>
            </w:pPr>
            <w:r w:rsidRPr="002C4365">
              <w:rPr>
                <w:rFonts w:cs="Times New Roman"/>
                <w:b/>
                <w:bCs/>
                <w:szCs w:val="24"/>
              </w:rPr>
              <w:t xml:space="preserve">Adult: </w:t>
            </w:r>
            <w:r w:rsidRPr="002C4365">
              <w:rPr>
                <w:rFonts w:cs="Times New Roman"/>
                <w:szCs w:val="24"/>
              </w:rPr>
              <w:t>Start with an initial dose of 20-40 mg daily, taken preferably in the morning after breakfast. The dose can be tapered based on clinical response and tolerability, to a maintenance dose of 5-15 mg daily.</w:t>
            </w:r>
          </w:p>
          <w:p w14:paraId="5D269BA2" w14:textId="77777777" w:rsidR="00142F45" w:rsidRPr="002C4365" w:rsidRDefault="00142F45" w:rsidP="00C46407">
            <w:pPr>
              <w:jc w:val="both"/>
              <w:rPr>
                <w:rFonts w:cs="Times New Roman"/>
                <w:szCs w:val="24"/>
              </w:rPr>
            </w:pPr>
            <w:r w:rsidRPr="002C4365">
              <w:rPr>
                <w:rFonts w:cs="Times New Roman"/>
                <w:b/>
                <w:bCs/>
                <w:szCs w:val="24"/>
              </w:rPr>
              <w:t>Injection (Sodium Phosphate):</w:t>
            </w:r>
            <w:r w:rsidRPr="002C4365">
              <w:rPr>
                <w:rFonts w:cs="Times New Roman"/>
                <w:szCs w:val="24"/>
              </w:rPr>
              <w:t xml:space="preserve"> Used in severe cases or when oral administration is not feasible. Initial dose of 10-25 mg, adjusted based on clinical response.</w:t>
            </w:r>
          </w:p>
        </w:tc>
      </w:tr>
      <w:tr w:rsidR="00142F45" w:rsidRPr="002C4365" w14:paraId="6D22CF41" w14:textId="77777777" w:rsidTr="00C46407">
        <w:tc>
          <w:tcPr>
            <w:tcW w:w="2695" w:type="dxa"/>
          </w:tcPr>
          <w:p w14:paraId="44C0985A" w14:textId="77777777" w:rsidR="00142F45" w:rsidRPr="002C4365" w:rsidRDefault="00142F45" w:rsidP="00C46407">
            <w:pPr>
              <w:rPr>
                <w:rFonts w:cs="Times New Roman"/>
                <w:szCs w:val="24"/>
              </w:rPr>
            </w:pPr>
            <w:r w:rsidRPr="002C4365">
              <w:rPr>
                <w:rFonts w:cs="Times New Roman"/>
                <w:szCs w:val="24"/>
              </w:rPr>
              <w:t>Contraindications</w:t>
            </w:r>
          </w:p>
        </w:tc>
        <w:tc>
          <w:tcPr>
            <w:tcW w:w="6660" w:type="dxa"/>
          </w:tcPr>
          <w:p w14:paraId="2BA17C1B" w14:textId="77777777" w:rsidR="00142F45" w:rsidRPr="002C4365" w:rsidRDefault="00142F45" w:rsidP="00C46407">
            <w:pPr>
              <w:jc w:val="both"/>
              <w:rPr>
                <w:rFonts w:cs="Times New Roman"/>
                <w:szCs w:val="24"/>
              </w:rPr>
            </w:pPr>
            <w:r w:rsidRPr="002C4365">
              <w:rPr>
                <w:rFonts w:cs="Times New Roman"/>
                <w:szCs w:val="24"/>
              </w:rPr>
              <w:t>Refer under notes on prednisolone contraindication</w:t>
            </w:r>
          </w:p>
        </w:tc>
      </w:tr>
      <w:tr w:rsidR="00142F45" w:rsidRPr="002C4365" w14:paraId="4EA6B6B8" w14:textId="77777777" w:rsidTr="00C46407">
        <w:tc>
          <w:tcPr>
            <w:tcW w:w="2695" w:type="dxa"/>
          </w:tcPr>
          <w:p w14:paraId="6B75DA56" w14:textId="77777777" w:rsidR="00142F45" w:rsidRPr="002C4365" w:rsidRDefault="00142F45" w:rsidP="00C46407">
            <w:pPr>
              <w:rPr>
                <w:rFonts w:cs="Times New Roman"/>
                <w:szCs w:val="24"/>
              </w:rPr>
            </w:pPr>
            <w:r w:rsidRPr="002C4365">
              <w:rPr>
                <w:rFonts w:cs="Times New Roman"/>
                <w:szCs w:val="24"/>
              </w:rPr>
              <w:t>Drug interactions</w:t>
            </w:r>
          </w:p>
        </w:tc>
        <w:tc>
          <w:tcPr>
            <w:tcW w:w="6660" w:type="dxa"/>
          </w:tcPr>
          <w:p w14:paraId="2345FA79" w14:textId="77777777" w:rsidR="00142F45" w:rsidRPr="002C4365" w:rsidRDefault="00142F45" w:rsidP="00C46407">
            <w:pPr>
              <w:jc w:val="both"/>
              <w:rPr>
                <w:rFonts w:cs="Times New Roman"/>
                <w:szCs w:val="24"/>
              </w:rPr>
            </w:pPr>
            <w:r w:rsidRPr="002C4365">
              <w:rPr>
                <w:rFonts w:cs="Times New Roman"/>
                <w:szCs w:val="24"/>
              </w:rPr>
              <w:t>Refer under notes on prednisolone drug interactions</w:t>
            </w:r>
          </w:p>
        </w:tc>
      </w:tr>
      <w:tr w:rsidR="00142F45" w:rsidRPr="002C4365" w14:paraId="678A2235" w14:textId="77777777" w:rsidTr="00C46407">
        <w:tc>
          <w:tcPr>
            <w:tcW w:w="2695" w:type="dxa"/>
          </w:tcPr>
          <w:p w14:paraId="6CBC849C" w14:textId="77777777" w:rsidR="00142F45" w:rsidRPr="002C4365" w:rsidRDefault="00142F45" w:rsidP="00C46407">
            <w:pPr>
              <w:rPr>
                <w:rFonts w:cs="Times New Roman"/>
                <w:szCs w:val="24"/>
                <w:shd w:val="clear" w:color="auto" w:fill="FFFFFF"/>
              </w:rPr>
            </w:pPr>
            <w:r w:rsidRPr="002C4365">
              <w:rPr>
                <w:rFonts w:cs="Times New Roman"/>
                <w:szCs w:val="24"/>
                <w:shd w:val="clear" w:color="auto" w:fill="FFFFFF"/>
              </w:rPr>
              <w:t>Side effects</w:t>
            </w:r>
          </w:p>
        </w:tc>
        <w:tc>
          <w:tcPr>
            <w:tcW w:w="6660" w:type="dxa"/>
          </w:tcPr>
          <w:p w14:paraId="173857B9" w14:textId="77777777" w:rsidR="00142F45" w:rsidRPr="002C4365" w:rsidRDefault="00142F45" w:rsidP="00C46407">
            <w:pPr>
              <w:jc w:val="both"/>
              <w:rPr>
                <w:rFonts w:cs="Times New Roman"/>
                <w:szCs w:val="24"/>
                <w:shd w:val="clear" w:color="auto" w:fill="FFFFFF"/>
              </w:rPr>
            </w:pPr>
            <w:r w:rsidRPr="002C4365">
              <w:rPr>
                <w:rFonts w:cs="Times New Roman"/>
                <w:szCs w:val="24"/>
              </w:rPr>
              <w:t>Refer under notes on prednisolone side effects</w:t>
            </w:r>
          </w:p>
        </w:tc>
      </w:tr>
      <w:tr w:rsidR="00142F45" w:rsidRPr="002C4365" w14:paraId="4AA401CC" w14:textId="77777777" w:rsidTr="00C46407">
        <w:tc>
          <w:tcPr>
            <w:tcW w:w="2695" w:type="dxa"/>
          </w:tcPr>
          <w:p w14:paraId="394F2877" w14:textId="77777777" w:rsidR="00142F45" w:rsidRPr="002C4365" w:rsidRDefault="00142F45" w:rsidP="00C46407">
            <w:pPr>
              <w:rPr>
                <w:rFonts w:cs="Times New Roman"/>
                <w:szCs w:val="24"/>
              </w:rPr>
            </w:pPr>
            <w:r w:rsidRPr="002C4365">
              <w:rPr>
                <w:rFonts w:cs="Times New Roman"/>
                <w:szCs w:val="24"/>
              </w:rPr>
              <w:t xml:space="preserve">Cautions </w:t>
            </w:r>
          </w:p>
        </w:tc>
        <w:tc>
          <w:tcPr>
            <w:tcW w:w="6660" w:type="dxa"/>
          </w:tcPr>
          <w:p w14:paraId="2CD03593" w14:textId="77777777" w:rsidR="00142F45" w:rsidRPr="002C4365" w:rsidRDefault="00142F45" w:rsidP="00C46407">
            <w:pPr>
              <w:jc w:val="both"/>
              <w:rPr>
                <w:rFonts w:cs="Times New Roman"/>
                <w:szCs w:val="24"/>
              </w:rPr>
            </w:pPr>
            <w:r w:rsidRPr="002C4365">
              <w:rPr>
                <w:rFonts w:cs="Times New Roman"/>
                <w:szCs w:val="24"/>
              </w:rPr>
              <w:t>Refer under notes on prednisolone caution</w:t>
            </w:r>
          </w:p>
        </w:tc>
      </w:tr>
      <w:tr w:rsidR="00142F45" w:rsidRPr="002C4365" w14:paraId="1328AF04" w14:textId="77777777" w:rsidTr="00C46407">
        <w:tc>
          <w:tcPr>
            <w:tcW w:w="2695" w:type="dxa"/>
          </w:tcPr>
          <w:p w14:paraId="10E5CE32" w14:textId="77777777" w:rsidR="00142F45" w:rsidRPr="002C4365" w:rsidRDefault="00142F45" w:rsidP="00C46407">
            <w:pPr>
              <w:rPr>
                <w:rFonts w:cs="Times New Roman"/>
                <w:szCs w:val="24"/>
              </w:rPr>
            </w:pPr>
            <w:r w:rsidRPr="002C4365">
              <w:rPr>
                <w:rFonts w:cs="Times New Roman"/>
                <w:szCs w:val="24"/>
              </w:rPr>
              <w:t>Storage condition</w:t>
            </w:r>
          </w:p>
        </w:tc>
        <w:tc>
          <w:tcPr>
            <w:tcW w:w="6660" w:type="dxa"/>
          </w:tcPr>
          <w:p w14:paraId="5B241AE5" w14:textId="77777777" w:rsidR="00142F45" w:rsidRPr="002C4365" w:rsidRDefault="00142F45" w:rsidP="00C46407">
            <w:pPr>
              <w:jc w:val="both"/>
              <w:rPr>
                <w:rFonts w:cs="Times New Roman"/>
                <w:color w:val="FF0000"/>
                <w:szCs w:val="24"/>
              </w:rPr>
            </w:pPr>
            <w:r w:rsidRPr="002C4365">
              <w:rPr>
                <w:rFonts w:cs="Times New Roman"/>
                <w:szCs w:val="24"/>
              </w:rPr>
              <w:t>Store below 30°C. Protect from freezing and light.</w:t>
            </w:r>
          </w:p>
        </w:tc>
      </w:tr>
    </w:tbl>
    <w:p w14:paraId="1ACEEE8B" w14:textId="77777777" w:rsidR="00142F45" w:rsidRPr="00B70217" w:rsidRDefault="00142F45" w:rsidP="00BC0421">
      <w:pPr>
        <w:pStyle w:val="Heading2"/>
        <w:spacing w:before="240" w:after="240"/>
      </w:pPr>
      <w:bookmarkStart w:id="56" w:name="_Toc179490327"/>
      <w:r w:rsidRPr="00B70217">
        <w:t>Medicines used for apnea of prematurity</w:t>
      </w:r>
      <w:bookmarkEnd w:id="56"/>
    </w:p>
    <w:p w14:paraId="0FA205EB" w14:textId="77777777" w:rsidR="00142F45" w:rsidRDefault="00142F45" w:rsidP="00142F45">
      <w:pPr>
        <w:spacing w:after="0"/>
        <w:jc w:val="both"/>
        <w:rPr>
          <w:rFonts w:cs="Times New Roman"/>
          <w:szCs w:val="24"/>
        </w:rPr>
      </w:pPr>
      <w:r w:rsidRPr="00944B15">
        <w:rPr>
          <w:rFonts w:cs="Times New Roman"/>
          <w:szCs w:val="24"/>
        </w:rPr>
        <w:t>Medicines for apnea of prematurity are vital for managing a common condition in premature infants, characterized by episodes of paused breathing. Caffeine citrate is the primary treatment, stimulating the central nervous system and respiratory drive, thereby reducing the frequency and severity of apnea episodes. Aminophylline</w:t>
      </w:r>
      <w:r>
        <w:rPr>
          <w:rFonts w:cs="Times New Roman"/>
          <w:szCs w:val="24"/>
        </w:rPr>
        <w:t xml:space="preserve"> </w:t>
      </w:r>
      <w:r w:rsidRPr="00944B15">
        <w:rPr>
          <w:rFonts w:cs="Times New Roman"/>
          <w:szCs w:val="24"/>
        </w:rPr>
        <w:t xml:space="preserve">can be used as an alternative or adjunct therapy. These medications help stabilize breathing patterns, reduce the need for mechanical ventilation, and promote better growth and development in premature infants. </w:t>
      </w:r>
    </w:p>
    <w:p w14:paraId="55C9BD6B" w14:textId="77777777" w:rsidR="00142F45" w:rsidRPr="00377E66" w:rsidRDefault="00142F45" w:rsidP="00142F45">
      <w:pPr>
        <w:spacing w:after="0"/>
        <w:jc w:val="both"/>
        <w:rPr>
          <w:rFonts w:cs="Times New Roman"/>
          <w:szCs w:val="24"/>
        </w:rPr>
      </w:pPr>
    </w:p>
    <w:tbl>
      <w:tblPr>
        <w:tblStyle w:val="TableGrid"/>
        <w:tblW w:w="9355" w:type="dxa"/>
        <w:tblLook w:val="04A0" w:firstRow="1" w:lastRow="0" w:firstColumn="1" w:lastColumn="0" w:noHBand="0" w:noVBand="1"/>
      </w:tblPr>
      <w:tblGrid>
        <w:gridCol w:w="2695"/>
        <w:gridCol w:w="6660"/>
      </w:tblGrid>
      <w:tr w:rsidR="00142F45" w:rsidRPr="00377E66" w14:paraId="1095EEF6" w14:textId="77777777" w:rsidTr="00C46407">
        <w:tc>
          <w:tcPr>
            <w:tcW w:w="9355" w:type="dxa"/>
            <w:gridSpan w:val="2"/>
          </w:tcPr>
          <w:p w14:paraId="3774A2CA" w14:textId="77777777" w:rsidR="00142F45" w:rsidRPr="00377E66" w:rsidRDefault="00142F45" w:rsidP="00C46407">
            <w:pPr>
              <w:jc w:val="both"/>
              <w:rPr>
                <w:rFonts w:cs="Times New Roman"/>
                <w:b/>
                <w:bCs/>
                <w:szCs w:val="24"/>
              </w:rPr>
            </w:pPr>
            <w:bookmarkStart w:id="57" w:name="_Toc168315218"/>
            <w:r w:rsidRPr="00377E66">
              <w:rPr>
                <w:rStyle w:val="fontstyle01"/>
                <w:rFonts w:ascii="Times New Roman" w:hAnsi="Times New Roman" w:cs="Times New Roman"/>
                <w:b/>
                <w:bCs/>
                <w:sz w:val="24"/>
                <w:szCs w:val="24"/>
              </w:rPr>
              <w:lastRenderedPageBreak/>
              <w:t>Aminophylline</w:t>
            </w:r>
            <w:bookmarkEnd w:id="57"/>
          </w:p>
        </w:tc>
      </w:tr>
      <w:tr w:rsidR="00142F45" w:rsidRPr="00377E66" w14:paraId="25F3B5F0" w14:textId="77777777" w:rsidTr="00C46407">
        <w:tc>
          <w:tcPr>
            <w:tcW w:w="2695" w:type="dxa"/>
          </w:tcPr>
          <w:p w14:paraId="62FD0318" w14:textId="77777777" w:rsidR="00142F45" w:rsidRPr="00377E66" w:rsidRDefault="00142F45" w:rsidP="00C46407">
            <w:pPr>
              <w:rPr>
                <w:rFonts w:cs="Times New Roman"/>
                <w:szCs w:val="24"/>
              </w:rPr>
            </w:pPr>
            <w:r w:rsidRPr="00377E66">
              <w:rPr>
                <w:rFonts w:cs="Times New Roman"/>
                <w:szCs w:val="24"/>
              </w:rPr>
              <w:t xml:space="preserve">Pharmacological class </w:t>
            </w:r>
          </w:p>
        </w:tc>
        <w:tc>
          <w:tcPr>
            <w:tcW w:w="6660" w:type="dxa"/>
          </w:tcPr>
          <w:p w14:paraId="1F6CA49C" w14:textId="77777777" w:rsidR="00142F45" w:rsidRPr="00377E66" w:rsidRDefault="00142F45" w:rsidP="00C46407">
            <w:pPr>
              <w:jc w:val="both"/>
              <w:rPr>
                <w:rFonts w:cs="Times New Roman"/>
                <w:color w:val="231F20"/>
                <w:szCs w:val="24"/>
              </w:rPr>
            </w:pPr>
            <w:r w:rsidRPr="00377E66">
              <w:rPr>
                <w:rFonts w:cs="Times New Roman"/>
                <w:szCs w:val="24"/>
                <w:shd w:val="clear" w:color="auto" w:fill="FFFFFF"/>
              </w:rPr>
              <w:t>Bronchodilator (xanthine derivative)</w:t>
            </w:r>
          </w:p>
        </w:tc>
      </w:tr>
      <w:tr w:rsidR="00142F45" w:rsidRPr="00377E66" w14:paraId="2D78D9A7" w14:textId="77777777" w:rsidTr="00C46407">
        <w:tc>
          <w:tcPr>
            <w:tcW w:w="2695" w:type="dxa"/>
          </w:tcPr>
          <w:p w14:paraId="119773AF" w14:textId="77777777" w:rsidR="00142F45" w:rsidRPr="00377E66" w:rsidRDefault="00142F45" w:rsidP="00C46407">
            <w:pPr>
              <w:rPr>
                <w:rFonts w:cs="Times New Roman"/>
                <w:szCs w:val="24"/>
              </w:rPr>
            </w:pPr>
            <w:r w:rsidRPr="00377E66">
              <w:rPr>
                <w:rFonts w:cs="Times New Roman"/>
                <w:szCs w:val="24"/>
              </w:rPr>
              <w:t>Dosage form</w:t>
            </w:r>
          </w:p>
        </w:tc>
        <w:tc>
          <w:tcPr>
            <w:tcW w:w="6660" w:type="dxa"/>
          </w:tcPr>
          <w:p w14:paraId="7A3DBC97" w14:textId="77777777" w:rsidR="00142F45" w:rsidRPr="00377E66" w:rsidRDefault="00142F45" w:rsidP="00C46407">
            <w:pPr>
              <w:jc w:val="both"/>
              <w:rPr>
                <w:rFonts w:cs="Times New Roman"/>
                <w:color w:val="231F20"/>
                <w:szCs w:val="24"/>
              </w:rPr>
            </w:pPr>
            <w:r w:rsidRPr="00377E66">
              <w:rPr>
                <w:rFonts w:cs="Times New Roman"/>
                <w:szCs w:val="24"/>
              </w:rPr>
              <w:t>Injection: 250mg/10ml in 10ml</w:t>
            </w:r>
          </w:p>
        </w:tc>
      </w:tr>
      <w:tr w:rsidR="00142F45" w:rsidRPr="00377E66" w14:paraId="73E57060" w14:textId="77777777" w:rsidTr="00C46407">
        <w:tc>
          <w:tcPr>
            <w:tcW w:w="2695" w:type="dxa"/>
          </w:tcPr>
          <w:p w14:paraId="1042AB9F" w14:textId="77777777" w:rsidR="00142F45" w:rsidRPr="00377E66" w:rsidRDefault="00142F45" w:rsidP="00C46407">
            <w:pPr>
              <w:rPr>
                <w:rFonts w:cs="Times New Roman"/>
                <w:szCs w:val="24"/>
              </w:rPr>
            </w:pPr>
            <w:r w:rsidRPr="00377E66">
              <w:rPr>
                <w:rFonts w:cs="Times New Roman"/>
                <w:szCs w:val="24"/>
              </w:rPr>
              <w:t>Indications</w:t>
            </w:r>
          </w:p>
        </w:tc>
        <w:tc>
          <w:tcPr>
            <w:tcW w:w="6660" w:type="dxa"/>
          </w:tcPr>
          <w:p w14:paraId="68BE9EF8" w14:textId="77777777" w:rsidR="00142F45" w:rsidRPr="00377E66" w:rsidRDefault="00142F45" w:rsidP="00C46407">
            <w:pPr>
              <w:jc w:val="both"/>
              <w:rPr>
                <w:rFonts w:cs="Times New Roman"/>
                <w:color w:val="231F20"/>
                <w:szCs w:val="24"/>
              </w:rPr>
            </w:pPr>
            <w:r w:rsidRPr="00377E66">
              <w:rPr>
                <w:rFonts w:cs="Times New Roman"/>
                <w:szCs w:val="24"/>
              </w:rPr>
              <w:t>Apnea of prematurity, reversible airways obstruction, acute severe and chronic asthma, severe acute exacerbation of COPD</w:t>
            </w:r>
          </w:p>
        </w:tc>
      </w:tr>
      <w:tr w:rsidR="00142F45" w:rsidRPr="00377E66" w14:paraId="1215C0B3" w14:textId="77777777" w:rsidTr="00C46407">
        <w:tc>
          <w:tcPr>
            <w:tcW w:w="2695" w:type="dxa"/>
          </w:tcPr>
          <w:p w14:paraId="4414FC60" w14:textId="77777777" w:rsidR="00142F45" w:rsidRPr="00377E66" w:rsidRDefault="00142F45" w:rsidP="00C46407">
            <w:pPr>
              <w:rPr>
                <w:rFonts w:cs="Times New Roman"/>
                <w:szCs w:val="24"/>
              </w:rPr>
            </w:pPr>
            <w:r w:rsidRPr="00377E66">
              <w:rPr>
                <w:rFonts w:cs="Times New Roman"/>
                <w:szCs w:val="24"/>
              </w:rPr>
              <w:t>Dose and administration</w:t>
            </w:r>
          </w:p>
        </w:tc>
        <w:tc>
          <w:tcPr>
            <w:tcW w:w="6660" w:type="dxa"/>
          </w:tcPr>
          <w:p w14:paraId="7422BF1F" w14:textId="77777777" w:rsidR="00142F45" w:rsidRPr="00377E66" w:rsidRDefault="00142F45" w:rsidP="00C46407">
            <w:pPr>
              <w:jc w:val="both"/>
              <w:rPr>
                <w:rFonts w:cs="Times New Roman"/>
                <w:szCs w:val="24"/>
              </w:rPr>
            </w:pPr>
            <w:r w:rsidRPr="00377E66">
              <w:rPr>
                <w:rFonts w:cs="Times New Roman"/>
                <w:b/>
                <w:bCs/>
                <w:szCs w:val="24"/>
              </w:rPr>
              <w:t>Child:</w:t>
            </w:r>
            <w:r w:rsidRPr="00377E66">
              <w:rPr>
                <w:rFonts w:cs="Times New Roman"/>
                <w:szCs w:val="24"/>
              </w:rPr>
              <w:t xml:space="preserve"> </w:t>
            </w:r>
          </w:p>
          <w:p w14:paraId="740AF6B4" w14:textId="77777777" w:rsidR="00142F45" w:rsidRPr="00377E66" w:rsidRDefault="00142F45" w:rsidP="00C46407">
            <w:pPr>
              <w:jc w:val="both"/>
              <w:rPr>
                <w:rFonts w:cs="Times New Roman"/>
                <w:szCs w:val="24"/>
              </w:rPr>
            </w:pPr>
            <w:r w:rsidRPr="00377E66">
              <w:rPr>
                <w:rFonts w:cs="Times New Roman"/>
                <w:szCs w:val="24"/>
              </w:rPr>
              <w:t>Slow IV 5 mg/kg</w:t>
            </w:r>
          </w:p>
          <w:p w14:paraId="63A74DB3" w14:textId="77777777" w:rsidR="00142F45" w:rsidRPr="00377E66" w:rsidRDefault="00142F45" w:rsidP="00C46407">
            <w:pPr>
              <w:jc w:val="both"/>
              <w:rPr>
                <w:rFonts w:cs="Times New Roman"/>
                <w:szCs w:val="24"/>
              </w:rPr>
            </w:pPr>
            <w:r w:rsidRPr="00377E66">
              <w:rPr>
                <w:rFonts w:cs="Times New Roman"/>
                <w:szCs w:val="24"/>
              </w:rPr>
              <w:t xml:space="preserve">Maintenance if required, </w:t>
            </w:r>
          </w:p>
          <w:p w14:paraId="245CC50A" w14:textId="77777777" w:rsidR="00142F45" w:rsidRPr="00377E66" w:rsidRDefault="00142F45" w:rsidP="00C46407">
            <w:pPr>
              <w:jc w:val="both"/>
              <w:rPr>
                <w:rFonts w:cs="Times New Roman"/>
                <w:szCs w:val="24"/>
              </w:rPr>
            </w:pPr>
            <w:r w:rsidRPr="00377E66">
              <w:rPr>
                <w:rFonts w:cs="Times New Roman"/>
                <w:b/>
                <w:bCs/>
                <w:szCs w:val="24"/>
              </w:rPr>
              <w:t>6 months - 9 years:</w:t>
            </w:r>
            <w:r w:rsidRPr="00377E66">
              <w:rPr>
                <w:rFonts w:cs="Times New Roman"/>
                <w:szCs w:val="24"/>
              </w:rPr>
              <w:t xml:space="preserve"> 1 mg/kg per hour by slow IV infusion. </w:t>
            </w:r>
          </w:p>
          <w:p w14:paraId="15FFD186" w14:textId="77777777" w:rsidR="00142F45" w:rsidRPr="00377E66" w:rsidRDefault="00142F45" w:rsidP="00C46407">
            <w:pPr>
              <w:jc w:val="both"/>
              <w:rPr>
                <w:rFonts w:cs="Times New Roman"/>
                <w:color w:val="231F20"/>
                <w:szCs w:val="24"/>
              </w:rPr>
            </w:pPr>
            <w:r w:rsidRPr="00377E66">
              <w:rPr>
                <w:rFonts w:cs="Times New Roman"/>
                <w:b/>
                <w:bCs/>
                <w:szCs w:val="24"/>
              </w:rPr>
              <w:t>10 to 16 years:</w:t>
            </w:r>
            <w:r w:rsidRPr="00377E66">
              <w:rPr>
                <w:rFonts w:cs="Times New Roman"/>
                <w:szCs w:val="24"/>
              </w:rPr>
              <w:t xml:space="preserve"> 0.8 mg/kg per hour by slow IV infusion.</w:t>
            </w:r>
          </w:p>
        </w:tc>
      </w:tr>
      <w:tr w:rsidR="00142F45" w:rsidRPr="00377E66" w14:paraId="5201449B" w14:textId="77777777" w:rsidTr="00C46407">
        <w:tc>
          <w:tcPr>
            <w:tcW w:w="2695" w:type="dxa"/>
          </w:tcPr>
          <w:p w14:paraId="678E3D49" w14:textId="77777777" w:rsidR="00142F45" w:rsidRPr="00377E66" w:rsidRDefault="00142F45" w:rsidP="00C46407">
            <w:pPr>
              <w:rPr>
                <w:rFonts w:cs="Times New Roman"/>
                <w:szCs w:val="24"/>
              </w:rPr>
            </w:pPr>
            <w:r w:rsidRPr="00377E66">
              <w:rPr>
                <w:rFonts w:cs="Times New Roman"/>
                <w:szCs w:val="24"/>
              </w:rPr>
              <w:t>Contraindications</w:t>
            </w:r>
          </w:p>
        </w:tc>
        <w:tc>
          <w:tcPr>
            <w:tcW w:w="6660" w:type="dxa"/>
          </w:tcPr>
          <w:p w14:paraId="56D20471" w14:textId="77777777" w:rsidR="00142F45" w:rsidRPr="00377E66" w:rsidRDefault="00142F45" w:rsidP="00C46407">
            <w:pPr>
              <w:jc w:val="both"/>
              <w:rPr>
                <w:rFonts w:cs="Times New Roman"/>
                <w:color w:val="231F20"/>
                <w:szCs w:val="24"/>
              </w:rPr>
            </w:pPr>
            <w:r w:rsidRPr="00EA0A09">
              <w:rPr>
                <w:rFonts w:cs="Times New Roman"/>
                <w:szCs w:val="24"/>
              </w:rPr>
              <w:t xml:space="preserve">Refer </w:t>
            </w:r>
            <w:r>
              <w:rPr>
                <w:rFonts w:cs="Times New Roman"/>
                <w:szCs w:val="24"/>
              </w:rPr>
              <w:t>to a</w:t>
            </w:r>
            <w:r w:rsidRPr="00377E66">
              <w:rPr>
                <w:rFonts w:cs="Times New Roman"/>
                <w:szCs w:val="24"/>
              </w:rPr>
              <w:t>minophylline</w:t>
            </w:r>
            <w:r>
              <w:rPr>
                <w:rFonts w:cs="Times New Roman"/>
                <w:szCs w:val="24"/>
              </w:rPr>
              <w:t xml:space="preserve"> under a</w:t>
            </w:r>
            <w:r w:rsidRPr="00BA74B2">
              <w:rPr>
                <w:rFonts w:cs="Times New Roman"/>
                <w:szCs w:val="24"/>
              </w:rPr>
              <w:t>nti-asthmatic and COPD medicines</w:t>
            </w:r>
          </w:p>
        </w:tc>
      </w:tr>
      <w:tr w:rsidR="00142F45" w:rsidRPr="00377E66" w14:paraId="1B65D0F1" w14:textId="77777777" w:rsidTr="00C46407">
        <w:tc>
          <w:tcPr>
            <w:tcW w:w="2695" w:type="dxa"/>
          </w:tcPr>
          <w:p w14:paraId="15B1DB2F" w14:textId="77777777" w:rsidR="00142F45" w:rsidRPr="00377E66" w:rsidRDefault="00142F45" w:rsidP="00C46407">
            <w:pPr>
              <w:rPr>
                <w:rFonts w:cs="Times New Roman"/>
                <w:szCs w:val="24"/>
              </w:rPr>
            </w:pPr>
            <w:r w:rsidRPr="00377E66">
              <w:rPr>
                <w:rFonts w:cs="Times New Roman"/>
                <w:szCs w:val="24"/>
              </w:rPr>
              <w:t>Drug interactions</w:t>
            </w:r>
          </w:p>
        </w:tc>
        <w:tc>
          <w:tcPr>
            <w:tcW w:w="6660" w:type="dxa"/>
          </w:tcPr>
          <w:p w14:paraId="63324AA0" w14:textId="77777777" w:rsidR="00142F45" w:rsidRPr="00377E66" w:rsidRDefault="00142F45" w:rsidP="00C46407">
            <w:pPr>
              <w:jc w:val="both"/>
              <w:rPr>
                <w:rFonts w:cs="Times New Roman"/>
                <w:color w:val="231F20"/>
                <w:szCs w:val="24"/>
              </w:rPr>
            </w:pPr>
            <w:r w:rsidRPr="00BE3B00">
              <w:rPr>
                <w:rFonts w:cs="Times New Roman"/>
                <w:szCs w:val="24"/>
              </w:rPr>
              <w:t>Refer to aminophylline under anti-asthmatic and COPD medicines</w:t>
            </w:r>
          </w:p>
        </w:tc>
      </w:tr>
      <w:tr w:rsidR="00142F45" w:rsidRPr="00377E66" w14:paraId="07388A6D" w14:textId="77777777" w:rsidTr="00C46407">
        <w:tc>
          <w:tcPr>
            <w:tcW w:w="2695" w:type="dxa"/>
          </w:tcPr>
          <w:p w14:paraId="2C0D67D9" w14:textId="77777777" w:rsidR="00142F45" w:rsidRPr="00377E66" w:rsidRDefault="00142F45" w:rsidP="00C46407">
            <w:pPr>
              <w:rPr>
                <w:rFonts w:cs="Times New Roman"/>
                <w:szCs w:val="24"/>
              </w:rPr>
            </w:pPr>
            <w:r w:rsidRPr="00377E66">
              <w:rPr>
                <w:rFonts w:cs="Times New Roman"/>
                <w:szCs w:val="24"/>
                <w:shd w:val="clear" w:color="auto" w:fill="FFFFFF"/>
              </w:rPr>
              <w:t>Side effects</w:t>
            </w:r>
          </w:p>
        </w:tc>
        <w:tc>
          <w:tcPr>
            <w:tcW w:w="6660" w:type="dxa"/>
          </w:tcPr>
          <w:p w14:paraId="1955AF73" w14:textId="77777777" w:rsidR="00142F45" w:rsidRPr="00377E66" w:rsidRDefault="00142F45" w:rsidP="00C46407">
            <w:pPr>
              <w:jc w:val="both"/>
              <w:rPr>
                <w:rFonts w:cs="Times New Roman"/>
                <w:color w:val="231F20"/>
                <w:szCs w:val="24"/>
              </w:rPr>
            </w:pPr>
            <w:r w:rsidRPr="00BE3B00">
              <w:rPr>
                <w:rFonts w:cs="Times New Roman"/>
                <w:szCs w:val="24"/>
              </w:rPr>
              <w:t>Refer to aminophylline under anti-asthmatic and COPD medicines</w:t>
            </w:r>
          </w:p>
        </w:tc>
      </w:tr>
      <w:tr w:rsidR="00142F45" w:rsidRPr="00377E66" w14:paraId="6F1BB4F8" w14:textId="77777777" w:rsidTr="00C46407">
        <w:tc>
          <w:tcPr>
            <w:tcW w:w="2695" w:type="dxa"/>
          </w:tcPr>
          <w:p w14:paraId="1F231B31" w14:textId="77777777" w:rsidR="00142F45" w:rsidRPr="00377E66" w:rsidRDefault="00142F45" w:rsidP="00C46407">
            <w:pPr>
              <w:rPr>
                <w:rFonts w:cs="Times New Roman"/>
                <w:szCs w:val="24"/>
              </w:rPr>
            </w:pPr>
            <w:r w:rsidRPr="00377E66">
              <w:rPr>
                <w:rFonts w:cs="Times New Roman"/>
                <w:szCs w:val="24"/>
              </w:rPr>
              <w:t xml:space="preserve">Cautions </w:t>
            </w:r>
          </w:p>
        </w:tc>
        <w:tc>
          <w:tcPr>
            <w:tcW w:w="6660" w:type="dxa"/>
          </w:tcPr>
          <w:p w14:paraId="20D6E4FE" w14:textId="77777777" w:rsidR="00142F45" w:rsidRPr="00377E66" w:rsidRDefault="00142F45" w:rsidP="00C46407">
            <w:pPr>
              <w:jc w:val="both"/>
              <w:rPr>
                <w:rFonts w:cs="Times New Roman"/>
                <w:color w:val="231F20"/>
                <w:szCs w:val="24"/>
              </w:rPr>
            </w:pPr>
            <w:r w:rsidRPr="00BE3B00">
              <w:rPr>
                <w:rFonts w:cs="Times New Roman"/>
                <w:szCs w:val="24"/>
              </w:rPr>
              <w:t>Refer to aminophylline under anti-asthmatic and COPD medicines</w:t>
            </w:r>
          </w:p>
        </w:tc>
      </w:tr>
      <w:tr w:rsidR="00142F45" w:rsidRPr="00377E66" w14:paraId="29C7616E" w14:textId="77777777" w:rsidTr="00C46407">
        <w:tc>
          <w:tcPr>
            <w:tcW w:w="2695" w:type="dxa"/>
          </w:tcPr>
          <w:p w14:paraId="14FA7FFD" w14:textId="77777777" w:rsidR="00142F45" w:rsidRPr="00377E66" w:rsidRDefault="00142F45" w:rsidP="00C46407">
            <w:pPr>
              <w:rPr>
                <w:rFonts w:cs="Times New Roman"/>
                <w:szCs w:val="24"/>
              </w:rPr>
            </w:pPr>
            <w:r w:rsidRPr="00377E66">
              <w:rPr>
                <w:rFonts w:cs="Times New Roman"/>
                <w:szCs w:val="24"/>
              </w:rPr>
              <w:t>Storage condition</w:t>
            </w:r>
          </w:p>
        </w:tc>
        <w:tc>
          <w:tcPr>
            <w:tcW w:w="6660" w:type="dxa"/>
          </w:tcPr>
          <w:p w14:paraId="690CC3FB" w14:textId="77777777" w:rsidR="00142F45" w:rsidRPr="00377E66" w:rsidRDefault="00142F45" w:rsidP="00C46407">
            <w:pPr>
              <w:jc w:val="both"/>
              <w:rPr>
                <w:rFonts w:cs="Times New Roman"/>
                <w:color w:val="231F20"/>
                <w:szCs w:val="24"/>
              </w:rPr>
            </w:pPr>
            <w:r w:rsidRPr="00377E66">
              <w:rPr>
                <w:rFonts w:cs="Times New Roman"/>
                <w:szCs w:val="24"/>
              </w:rPr>
              <w:t>Store below 30°C.</w:t>
            </w:r>
          </w:p>
        </w:tc>
      </w:tr>
      <w:tr w:rsidR="00142F45" w:rsidRPr="00377E66" w14:paraId="2DA25F45" w14:textId="77777777" w:rsidTr="00C46407">
        <w:tc>
          <w:tcPr>
            <w:tcW w:w="9355" w:type="dxa"/>
            <w:gridSpan w:val="2"/>
          </w:tcPr>
          <w:p w14:paraId="60F18C5B" w14:textId="77777777" w:rsidR="00142F45" w:rsidRPr="00377E66" w:rsidRDefault="00142F45" w:rsidP="00C46407">
            <w:pPr>
              <w:jc w:val="both"/>
              <w:rPr>
                <w:rFonts w:cs="Times New Roman"/>
                <w:color w:val="231F20"/>
                <w:szCs w:val="24"/>
              </w:rPr>
            </w:pPr>
            <w:bookmarkStart w:id="58" w:name="_Toc168315217"/>
            <w:r w:rsidRPr="00377E66">
              <w:rPr>
                <w:rStyle w:val="fontstyle01"/>
                <w:rFonts w:ascii="Times New Roman" w:hAnsi="Times New Roman" w:cs="Times New Roman"/>
                <w:b/>
                <w:bCs/>
                <w:sz w:val="24"/>
                <w:szCs w:val="24"/>
              </w:rPr>
              <w:t>Caffeine citrate</w:t>
            </w:r>
            <w:bookmarkEnd w:id="58"/>
          </w:p>
        </w:tc>
      </w:tr>
      <w:tr w:rsidR="00142F45" w:rsidRPr="00377E66" w14:paraId="35B54954" w14:textId="77777777" w:rsidTr="00C46407">
        <w:tc>
          <w:tcPr>
            <w:tcW w:w="2695" w:type="dxa"/>
          </w:tcPr>
          <w:p w14:paraId="492D963C" w14:textId="77777777" w:rsidR="00142F45" w:rsidRPr="00377E66" w:rsidRDefault="00142F45" w:rsidP="00C46407">
            <w:pPr>
              <w:rPr>
                <w:rFonts w:cs="Times New Roman"/>
                <w:szCs w:val="24"/>
              </w:rPr>
            </w:pPr>
            <w:r w:rsidRPr="00377E66">
              <w:rPr>
                <w:rFonts w:cs="Times New Roman"/>
                <w:szCs w:val="24"/>
              </w:rPr>
              <w:t xml:space="preserve">Pharmacological class </w:t>
            </w:r>
          </w:p>
        </w:tc>
        <w:tc>
          <w:tcPr>
            <w:tcW w:w="6660" w:type="dxa"/>
          </w:tcPr>
          <w:p w14:paraId="74E9502A" w14:textId="77777777" w:rsidR="00142F45" w:rsidRPr="00377E66" w:rsidRDefault="00142F45" w:rsidP="00C46407">
            <w:pPr>
              <w:jc w:val="both"/>
              <w:rPr>
                <w:rFonts w:cs="Times New Roman"/>
                <w:color w:val="231F20"/>
                <w:szCs w:val="24"/>
              </w:rPr>
            </w:pPr>
            <w:r w:rsidRPr="00377E66">
              <w:rPr>
                <w:rFonts w:cs="Times New Roman"/>
                <w:color w:val="231F20"/>
                <w:szCs w:val="24"/>
              </w:rPr>
              <w:t>Central Nervous System stimulant (methylxanthine)</w:t>
            </w:r>
          </w:p>
        </w:tc>
      </w:tr>
      <w:tr w:rsidR="00142F45" w:rsidRPr="00377E66" w14:paraId="6A312CF0" w14:textId="77777777" w:rsidTr="00C46407">
        <w:tc>
          <w:tcPr>
            <w:tcW w:w="2695" w:type="dxa"/>
          </w:tcPr>
          <w:p w14:paraId="06CAEEEA" w14:textId="77777777" w:rsidR="00142F45" w:rsidRPr="00377E66" w:rsidRDefault="00142F45" w:rsidP="00C46407">
            <w:pPr>
              <w:rPr>
                <w:rFonts w:cs="Times New Roman"/>
                <w:szCs w:val="24"/>
              </w:rPr>
            </w:pPr>
            <w:r w:rsidRPr="00377E66">
              <w:rPr>
                <w:rFonts w:cs="Times New Roman"/>
                <w:szCs w:val="24"/>
              </w:rPr>
              <w:t>Dosage form</w:t>
            </w:r>
          </w:p>
        </w:tc>
        <w:tc>
          <w:tcPr>
            <w:tcW w:w="6660" w:type="dxa"/>
          </w:tcPr>
          <w:p w14:paraId="323C40DB" w14:textId="77777777" w:rsidR="00142F45" w:rsidRPr="00377E66" w:rsidRDefault="00142F45" w:rsidP="00C46407">
            <w:pPr>
              <w:jc w:val="both"/>
              <w:rPr>
                <w:rStyle w:val="fontstyle01"/>
                <w:rFonts w:ascii="Times New Roman" w:hAnsi="Times New Roman" w:cs="Times New Roman"/>
                <w:sz w:val="24"/>
                <w:szCs w:val="24"/>
              </w:rPr>
            </w:pPr>
            <w:r w:rsidRPr="00377E66">
              <w:rPr>
                <w:rStyle w:val="fontstyle01"/>
                <w:rFonts w:ascii="Times New Roman" w:hAnsi="Times New Roman" w:cs="Times New Roman"/>
                <w:sz w:val="24"/>
                <w:szCs w:val="24"/>
              </w:rPr>
              <w:t>Injection: 20 mg/ ml</w:t>
            </w:r>
          </w:p>
          <w:p w14:paraId="4C90CDBA" w14:textId="77777777" w:rsidR="00142F45" w:rsidRPr="00377E66" w:rsidRDefault="00142F45" w:rsidP="00C46407">
            <w:pPr>
              <w:jc w:val="both"/>
              <w:rPr>
                <w:rFonts w:cs="Times New Roman"/>
                <w:color w:val="000000"/>
                <w:szCs w:val="24"/>
              </w:rPr>
            </w:pPr>
            <w:r w:rsidRPr="00377E66">
              <w:rPr>
                <w:rStyle w:val="fontstyle01"/>
                <w:rFonts w:ascii="Times New Roman" w:hAnsi="Times New Roman" w:cs="Times New Roman"/>
                <w:sz w:val="24"/>
                <w:szCs w:val="24"/>
              </w:rPr>
              <w:t xml:space="preserve">Oral liquid: 20 mg/ ml </w:t>
            </w:r>
          </w:p>
        </w:tc>
      </w:tr>
      <w:tr w:rsidR="00142F45" w:rsidRPr="00377E66" w14:paraId="604D60D9" w14:textId="77777777" w:rsidTr="00C46407">
        <w:tc>
          <w:tcPr>
            <w:tcW w:w="2695" w:type="dxa"/>
          </w:tcPr>
          <w:p w14:paraId="7B95E141" w14:textId="77777777" w:rsidR="00142F45" w:rsidRPr="00377E66" w:rsidRDefault="00142F45" w:rsidP="00C46407">
            <w:pPr>
              <w:rPr>
                <w:rFonts w:cs="Times New Roman"/>
                <w:szCs w:val="24"/>
              </w:rPr>
            </w:pPr>
            <w:r w:rsidRPr="00377E66">
              <w:rPr>
                <w:rFonts w:cs="Times New Roman"/>
                <w:szCs w:val="24"/>
              </w:rPr>
              <w:t>Indications</w:t>
            </w:r>
          </w:p>
        </w:tc>
        <w:tc>
          <w:tcPr>
            <w:tcW w:w="6660" w:type="dxa"/>
          </w:tcPr>
          <w:p w14:paraId="3FEF744C" w14:textId="77777777" w:rsidR="00142F45" w:rsidRPr="00377E66" w:rsidRDefault="00142F45" w:rsidP="00C46407">
            <w:pPr>
              <w:jc w:val="both"/>
              <w:rPr>
                <w:rFonts w:cs="Times New Roman"/>
                <w:iCs/>
                <w:szCs w:val="24"/>
              </w:rPr>
            </w:pPr>
            <w:r w:rsidRPr="00377E66">
              <w:rPr>
                <w:rFonts w:cs="Times New Roman"/>
                <w:szCs w:val="24"/>
                <w:shd w:val="clear" w:color="auto" w:fill="FFFFFF"/>
              </w:rPr>
              <w:t>Treatment of apnea of prematurity, neonatal apnea in preterm infants</w:t>
            </w:r>
          </w:p>
        </w:tc>
      </w:tr>
      <w:tr w:rsidR="00142F45" w:rsidRPr="00377E66" w14:paraId="5EA7FB3D" w14:textId="77777777" w:rsidTr="00C46407">
        <w:tc>
          <w:tcPr>
            <w:tcW w:w="2695" w:type="dxa"/>
          </w:tcPr>
          <w:p w14:paraId="13894B7D" w14:textId="77777777" w:rsidR="00142F45" w:rsidRPr="00377E66" w:rsidRDefault="00142F45" w:rsidP="00C46407">
            <w:pPr>
              <w:rPr>
                <w:rFonts w:cs="Times New Roman"/>
                <w:szCs w:val="24"/>
              </w:rPr>
            </w:pPr>
            <w:r w:rsidRPr="00377E66">
              <w:rPr>
                <w:rFonts w:cs="Times New Roman"/>
                <w:szCs w:val="24"/>
              </w:rPr>
              <w:t>Dose and Administration</w:t>
            </w:r>
          </w:p>
        </w:tc>
        <w:tc>
          <w:tcPr>
            <w:tcW w:w="6660" w:type="dxa"/>
          </w:tcPr>
          <w:p w14:paraId="1521A80B" w14:textId="77777777" w:rsidR="00142F45" w:rsidRPr="00377E66" w:rsidRDefault="00142F45" w:rsidP="00C46407">
            <w:pPr>
              <w:jc w:val="both"/>
              <w:rPr>
                <w:rFonts w:cs="Times New Roman"/>
                <w:b/>
                <w:bCs/>
                <w:szCs w:val="24"/>
              </w:rPr>
            </w:pPr>
            <w:r w:rsidRPr="00377E66">
              <w:rPr>
                <w:rFonts w:cs="Times New Roman"/>
                <w:b/>
                <w:bCs/>
                <w:szCs w:val="24"/>
              </w:rPr>
              <w:t>Neonate:</w:t>
            </w:r>
          </w:p>
          <w:p w14:paraId="47387939" w14:textId="77777777" w:rsidR="00142F45" w:rsidRPr="00377E66" w:rsidRDefault="00142F45" w:rsidP="00C46407">
            <w:pPr>
              <w:jc w:val="both"/>
              <w:rPr>
                <w:rFonts w:cs="Times New Roman"/>
                <w:szCs w:val="24"/>
              </w:rPr>
            </w:pPr>
            <w:r w:rsidRPr="00377E66">
              <w:rPr>
                <w:rFonts w:cs="Times New Roman"/>
                <w:szCs w:val="24"/>
              </w:rPr>
              <w:t>20 mg/kg as a loading dose, then 5 mg/kg once daily, starting 24 hours after the loading dose.</w:t>
            </w:r>
          </w:p>
          <w:p w14:paraId="5C8F67A2" w14:textId="77777777" w:rsidR="00142F45" w:rsidRPr="00377E66" w:rsidRDefault="00142F45" w:rsidP="00C46407">
            <w:pPr>
              <w:jc w:val="both"/>
              <w:rPr>
                <w:rFonts w:cs="Times New Roman"/>
                <w:szCs w:val="24"/>
              </w:rPr>
            </w:pPr>
            <w:r w:rsidRPr="00377E66">
              <w:rPr>
                <w:rFonts w:cs="Times New Roman"/>
                <w:szCs w:val="24"/>
              </w:rPr>
              <w:t>The maintenance dose may be increased by 5 mg/kg every 24 hours to a maximum of 20 mg/kg/day, unless adverse effects develop.</w:t>
            </w:r>
          </w:p>
          <w:p w14:paraId="04878939" w14:textId="77777777" w:rsidR="00142F45" w:rsidRPr="00377E66" w:rsidRDefault="00142F45" w:rsidP="00C46407">
            <w:pPr>
              <w:jc w:val="both"/>
              <w:rPr>
                <w:rFonts w:cs="Times New Roman"/>
                <w:szCs w:val="24"/>
              </w:rPr>
            </w:pPr>
            <w:r w:rsidRPr="00377E66">
              <w:rPr>
                <w:rFonts w:cs="Times New Roman"/>
                <w:szCs w:val="24"/>
              </w:rPr>
              <w:t>Continue treatment for 4–5 days after cessation of apnea.</w:t>
            </w:r>
          </w:p>
        </w:tc>
      </w:tr>
      <w:tr w:rsidR="00142F45" w:rsidRPr="00377E66" w14:paraId="6815CE19" w14:textId="77777777" w:rsidTr="00C46407">
        <w:tc>
          <w:tcPr>
            <w:tcW w:w="2695" w:type="dxa"/>
          </w:tcPr>
          <w:p w14:paraId="6D5E4174" w14:textId="77777777" w:rsidR="00142F45" w:rsidRPr="00377E66" w:rsidRDefault="00142F45" w:rsidP="00C46407">
            <w:pPr>
              <w:rPr>
                <w:rFonts w:cs="Times New Roman"/>
                <w:szCs w:val="24"/>
              </w:rPr>
            </w:pPr>
            <w:r w:rsidRPr="00377E66">
              <w:rPr>
                <w:rFonts w:cs="Times New Roman"/>
                <w:szCs w:val="24"/>
              </w:rPr>
              <w:t>Contraindications</w:t>
            </w:r>
          </w:p>
        </w:tc>
        <w:tc>
          <w:tcPr>
            <w:tcW w:w="6660" w:type="dxa"/>
          </w:tcPr>
          <w:p w14:paraId="5401E75D" w14:textId="77777777" w:rsidR="00142F45" w:rsidRPr="00377E66" w:rsidRDefault="00142F45" w:rsidP="00C46407">
            <w:pPr>
              <w:jc w:val="both"/>
              <w:rPr>
                <w:rFonts w:cs="Times New Roman"/>
                <w:szCs w:val="24"/>
              </w:rPr>
            </w:pPr>
            <w:r w:rsidRPr="00377E66">
              <w:rPr>
                <w:rFonts w:cs="Times New Roman"/>
                <w:szCs w:val="24"/>
              </w:rPr>
              <w:t xml:space="preserve">Hypersensitivity to </w:t>
            </w:r>
            <w:r>
              <w:rPr>
                <w:rFonts w:cs="Times New Roman"/>
                <w:szCs w:val="24"/>
              </w:rPr>
              <w:t>the drug</w:t>
            </w:r>
          </w:p>
        </w:tc>
      </w:tr>
      <w:tr w:rsidR="00142F45" w:rsidRPr="00377E66" w14:paraId="14F147AB" w14:textId="77777777" w:rsidTr="00C46407">
        <w:tc>
          <w:tcPr>
            <w:tcW w:w="2695" w:type="dxa"/>
          </w:tcPr>
          <w:p w14:paraId="279083D4" w14:textId="77777777" w:rsidR="00142F45" w:rsidRPr="00377E66" w:rsidRDefault="00142F45" w:rsidP="00C46407">
            <w:pPr>
              <w:rPr>
                <w:rFonts w:cs="Times New Roman"/>
                <w:szCs w:val="24"/>
              </w:rPr>
            </w:pPr>
            <w:r w:rsidRPr="00377E66">
              <w:rPr>
                <w:rFonts w:cs="Times New Roman"/>
                <w:szCs w:val="24"/>
              </w:rPr>
              <w:t>Drug interactions</w:t>
            </w:r>
          </w:p>
        </w:tc>
        <w:tc>
          <w:tcPr>
            <w:tcW w:w="6660" w:type="dxa"/>
          </w:tcPr>
          <w:p w14:paraId="6E1E2152" w14:textId="77777777" w:rsidR="00142F45" w:rsidRPr="00377E66" w:rsidRDefault="00142F45" w:rsidP="00C46407">
            <w:pPr>
              <w:jc w:val="both"/>
              <w:rPr>
                <w:rFonts w:cs="Times New Roman"/>
                <w:szCs w:val="24"/>
              </w:rPr>
            </w:pPr>
            <w:r w:rsidRPr="00377E66">
              <w:rPr>
                <w:rFonts w:cs="Times New Roman"/>
                <w:szCs w:val="24"/>
              </w:rPr>
              <w:t>Ciprofloxacin, theophylline</w:t>
            </w:r>
          </w:p>
        </w:tc>
      </w:tr>
      <w:tr w:rsidR="00142F45" w:rsidRPr="00377E66" w14:paraId="4762E063" w14:textId="77777777" w:rsidTr="00C46407">
        <w:tc>
          <w:tcPr>
            <w:tcW w:w="2695" w:type="dxa"/>
          </w:tcPr>
          <w:p w14:paraId="07572EC9" w14:textId="77777777" w:rsidR="00142F45" w:rsidRPr="00377E66" w:rsidRDefault="00142F45" w:rsidP="00C46407">
            <w:pPr>
              <w:rPr>
                <w:rFonts w:cs="Times New Roman"/>
                <w:szCs w:val="24"/>
                <w:shd w:val="clear" w:color="auto" w:fill="FFFFFF"/>
              </w:rPr>
            </w:pPr>
            <w:r w:rsidRPr="00377E66">
              <w:rPr>
                <w:rFonts w:cs="Times New Roman"/>
                <w:szCs w:val="24"/>
                <w:shd w:val="clear" w:color="auto" w:fill="FFFFFF"/>
              </w:rPr>
              <w:lastRenderedPageBreak/>
              <w:t>Side effects</w:t>
            </w:r>
          </w:p>
        </w:tc>
        <w:tc>
          <w:tcPr>
            <w:tcW w:w="6660" w:type="dxa"/>
          </w:tcPr>
          <w:p w14:paraId="36AA8952" w14:textId="77777777" w:rsidR="00142F45" w:rsidRPr="00377E66" w:rsidRDefault="00142F45" w:rsidP="00C46407">
            <w:pPr>
              <w:jc w:val="both"/>
              <w:rPr>
                <w:rFonts w:cs="Times New Roman"/>
                <w:szCs w:val="24"/>
              </w:rPr>
            </w:pPr>
            <w:r w:rsidRPr="00377E66">
              <w:rPr>
                <w:rFonts w:cs="Times New Roman"/>
                <w:szCs w:val="24"/>
              </w:rPr>
              <w:t>Irritability, restlessness, tachycardia, feeding intolerance, gastrointestinal disturbances, diuresis, jitteriness, tremors, hyperglycemia, hypokalemia.</w:t>
            </w:r>
          </w:p>
        </w:tc>
      </w:tr>
      <w:tr w:rsidR="00142F45" w:rsidRPr="00377E66" w14:paraId="5EC21870" w14:textId="77777777" w:rsidTr="00C46407">
        <w:tc>
          <w:tcPr>
            <w:tcW w:w="2695" w:type="dxa"/>
          </w:tcPr>
          <w:p w14:paraId="37470863" w14:textId="77777777" w:rsidR="00142F45" w:rsidRPr="00377E66" w:rsidRDefault="00142F45" w:rsidP="00C46407">
            <w:pPr>
              <w:rPr>
                <w:rFonts w:cs="Times New Roman"/>
                <w:szCs w:val="24"/>
              </w:rPr>
            </w:pPr>
            <w:r w:rsidRPr="00377E66">
              <w:rPr>
                <w:rFonts w:cs="Times New Roman"/>
                <w:szCs w:val="24"/>
              </w:rPr>
              <w:t xml:space="preserve">Cautions </w:t>
            </w:r>
          </w:p>
        </w:tc>
        <w:tc>
          <w:tcPr>
            <w:tcW w:w="6660" w:type="dxa"/>
          </w:tcPr>
          <w:p w14:paraId="3B199050" w14:textId="77777777" w:rsidR="00142F45" w:rsidRPr="00377E66" w:rsidRDefault="00142F45" w:rsidP="00C46407">
            <w:pPr>
              <w:jc w:val="both"/>
              <w:rPr>
                <w:rFonts w:cs="Times New Roman"/>
                <w:szCs w:val="24"/>
              </w:rPr>
            </w:pPr>
            <w:r w:rsidRPr="00377E66">
              <w:rPr>
                <w:rFonts w:cs="Times New Roman"/>
                <w:szCs w:val="24"/>
              </w:rPr>
              <w:t>Other CNS stimulants, seizure disorders, renal impairment, hepatic impairment.</w:t>
            </w:r>
          </w:p>
        </w:tc>
      </w:tr>
      <w:tr w:rsidR="00142F45" w:rsidRPr="00377E66" w14:paraId="4638FEFA" w14:textId="77777777" w:rsidTr="00C46407">
        <w:tc>
          <w:tcPr>
            <w:tcW w:w="2695" w:type="dxa"/>
          </w:tcPr>
          <w:p w14:paraId="5730768C" w14:textId="77777777" w:rsidR="00142F45" w:rsidRPr="00377E66" w:rsidRDefault="00142F45" w:rsidP="00C46407">
            <w:pPr>
              <w:rPr>
                <w:rFonts w:cs="Times New Roman"/>
                <w:szCs w:val="24"/>
              </w:rPr>
            </w:pPr>
            <w:r w:rsidRPr="00377E66">
              <w:rPr>
                <w:rFonts w:cs="Times New Roman"/>
                <w:szCs w:val="24"/>
              </w:rPr>
              <w:t>Storage condition</w:t>
            </w:r>
          </w:p>
        </w:tc>
        <w:tc>
          <w:tcPr>
            <w:tcW w:w="6660" w:type="dxa"/>
          </w:tcPr>
          <w:p w14:paraId="7940CE58" w14:textId="77777777" w:rsidR="00142F45" w:rsidRPr="00377E66" w:rsidRDefault="00142F45" w:rsidP="00C46407">
            <w:pPr>
              <w:jc w:val="both"/>
              <w:rPr>
                <w:rFonts w:cs="Times New Roman"/>
                <w:color w:val="FF0000"/>
                <w:szCs w:val="24"/>
              </w:rPr>
            </w:pPr>
            <w:r w:rsidRPr="00377E66">
              <w:rPr>
                <w:rFonts w:cs="Times New Roman"/>
                <w:szCs w:val="24"/>
              </w:rPr>
              <w:t>Store below 30°C.</w:t>
            </w:r>
          </w:p>
        </w:tc>
      </w:tr>
    </w:tbl>
    <w:p w14:paraId="139AA426" w14:textId="77777777" w:rsidR="00142F45" w:rsidRDefault="00142F45" w:rsidP="00E837DD">
      <w:pPr>
        <w:spacing w:after="0"/>
        <w:jc w:val="both"/>
        <w:rPr>
          <w:rFonts w:cs="Times New Roman"/>
          <w:szCs w:val="24"/>
        </w:rPr>
      </w:pPr>
    </w:p>
    <w:p w14:paraId="2E980BCA" w14:textId="77777777" w:rsidR="00EC11CF" w:rsidRDefault="00EC11CF" w:rsidP="00E837DD">
      <w:pPr>
        <w:spacing w:after="0"/>
        <w:jc w:val="both"/>
        <w:rPr>
          <w:rFonts w:cs="Times New Roman"/>
          <w:szCs w:val="24"/>
        </w:rPr>
      </w:pPr>
    </w:p>
    <w:p w14:paraId="1A0910E3" w14:textId="77777777" w:rsidR="006E263B" w:rsidRDefault="006E263B">
      <w:pPr>
        <w:rPr>
          <w:rFonts w:eastAsia="DengXian Light" w:cstheme="majorBidi"/>
          <w:b/>
          <w:bCs/>
          <w:kern w:val="0"/>
          <w:sz w:val="28"/>
          <w:szCs w:val="28"/>
          <w:lang w:val="en-US" w:eastAsia="en-US"/>
        </w:rPr>
      </w:pPr>
      <w:r>
        <w:rPr>
          <w:rFonts w:eastAsia="DengXian Light"/>
        </w:rPr>
        <w:br w:type="page"/>
      </w:r>
    </w:p>
    <w:p w14:paraId="68D99966" w14:textId="77777777" w:rsidR="007B485D" w:rsidRPr="006E263B" w:rsidRDefault="007B485D" w:rsidP="006E263B">
      <w:pPr>
        <w:pStyle w:val="Heading1"/>
        <w:numPr>
          <w:ilvl w:val="0"/>
          <w:numId w:val="25"/>
        </w:numPr>
        <w:spacing w:after="240"/>
      </w:pPr>
      <w:bookmarkStart w:id="59" w:name="_Toc179490328"/>
      <w:r w:rsidRPr="006E263B">
        <w:lastRenderedPageBreak/>
        <w:t>Anti-infectives</w:t>
      </w:r>
      <w:bookmarkEnd w:id="59"/>
      <w:r w:rsidRPr="006E263B">
        <w:t xml:space="preserve"> </w:t>
      </w:r>
    </w:p>
    <w:p w14:paraId="7EDEBC16"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Anti-infectives are large group of medicines with diverse mechanisms that work to prevent or treat infections</w:t>
      </w:r>
      <w:r>
        <w:rPr>
          <w:rFonts w:eastAsia="DengXian" w:cs="Times New Roman"/>
          <w:szCs w:val="24"/>
        </w:rPr>
        <w:t>.</w:t>
      </w:r>
      <w:r w:rsidRPr="00727DFA">
        <w:rPr>
          <w:rFonts w:eastAsia="DengXian" w:cs="Times New Roman"/>
          <w:szCs w:val="24"/>
        </w:rPr>
        <w:t xml:space="preserve"> </w:t>
      </w:r>
      <w:r>
        <w:rPr>
          <w:rFonts w:eastAsia="DengXian" w:cs="Times New Roman"/>
          <w:szCs w:val="24"/>
        </w:rPr>
        <w:t>T</w:t>
      </w:r>
      <w:r w:rsidRPr="00727DFA">
        <w:rPr>
          <w:rFonts w:eastAsia="DengXian" w:cs="Times New Roman"/>
          <w:szCs w:val="24"/>
        </w:rPr>
        <w:t xml:space="preserve">hey include antibacterial, antifungal, antiviral, antiprotozoal and anthelminthic medications. Many infectious diseases once considered incurable and lethal are now amenable to treatment with a few </w:t>
      </w:r>
      <w:r w:rsidRPr="00873AF2">
        <w:rPr>
          <w:rFonts w:eastAsia="DengXian" w:cs="Times New Roman"/>
          <w:szCs w:val="24"/>
        </w:rPr>
        <w:t>anti-infective</w:t>
      </w:r>
      <w:r>
        <w:rPr>
          <w:rFonts w:eastAsia="DengXian" w:cs="Times New Roman"/>
          <w:szCs w:val="24"/>
        </w:rPr>
        <w:t xml:space="preserve"> </w:t>
      </w:r>
      <w:r w:rsidRPr="00727DFA">
        <w:rPr>
          <w:rFonts w:eastAsia="DengXian" w:cs="Times New Roman"/>
          <w:szCs w:val="24"/>
        </w:rPr>
        <w:t>pills. The remarkable and specific activity of anti-infective drugs is due to their selectivity for targets that are either unique to microorganisms or much more important in these organisms than in humans.</w:t>
      </w:r>
    </w:p>
    <w:p w14:paraId="41E2969F" w14:textId="77777777" w:rsidR="007B485D" w:rsidRPr="006E263B" w:rsidRDefault="007B485D" w:rsidP="006E263B">
      <w:pPr>
        <w:pStyle w:val="Heading2"/>
        <w:spacing w:before="240" w:after="240"/>
      </w:pPr>
      <w:bookmarkStart w:id="60" w:name="_Toc179490329"/>
      <w:r w:rsidRPr="006E263B">
        <w:t>Antibacterials</w:t>
      </w:r>
      <w:bookmarkEnd w:id="60"/>
      <w:r w:rsidRPr="006E263B">
        <w:t xml:space="preserve"> </w:t>
      </w:r>
    </w:p>
    <w:p w14:paraId="2CB92AB4" w14:textId="77777777" w:rsidR="007B485D" w:rsidRPr="00BC0421" w:rsidRDefault="007B485D" w:rsidP="00BC0421">
      <w:pPr>
        <w:rPr>
          <w:rFonts w:eastAsia="DengXian Light"/>
          <w:b/>
        </w:rPr>
      </w:pPr>
      <w:r w:rsidRPr="00BC0421">
        <w:rPr>
          <w:rFonts w:eastAsia="DengXian Light"/>
          <w:b/>
        </w:rPr>
        <w:t>Penicillins</w:t>
      </w:r>
    </w:p>
    <w:p w14:paraId="56A8062B"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Penicillins are β-lactam compounds, which constitute one of the most important group of antibiotics. The penicillins are bactericidal and act by interfering with bacterial cell wall synthesis. They are grouped into three major classes: naturally occurring penicillins (penicillin G and V), antistaphylococcal penicillins (cloxacillin and dicloxacillin) and extended</w:t>
      </w:r>
      <w:r>
        <w:rPr>
          <w:rFonts w:eastAsia="DengXian" w:cs="Times New Roman"/>
          <w:szCs w:val="24"/>
        </w:rPr>
        <w:t>/broad</w:t>
      </w:r>
      <w:r w:rsidRPr="00727DFA">
        <w:rPr>
          <w:rFonts w:eastAsia="DengXian" w:cs="Times New Roman"/>
          <w:szCs w:val="24"/>
        </w:rPr>
        <w:t xml:space="preserve"> spectrum pen</w:t>
      </w:r>
      <w:r>
        <w:rPr>
          <w:rFonts w:eastAsia="DengXian" w:cs="Times New Roman"/>
          <w:szCs w:val="24"/>
        </w:rPr>
        <w:t>i</w:t>
      </w:r>
      <w:r w:rsidRPr="00727DFA">
        <w:rPr>
          <w:rFonts w:eastAsia="DengXian" w:cs="Times New Roman"/>
          <w:szCs w:val="24"/>
        </w:rPr>
        <w:t>cillins (aminopenicillins and antipseudomonal pen</w:t>
      </w:r>
      <w:r>
        <w:rPr>
          <w:rFonts w:eastAsia="DengXian" w:cs="Times New Roman"/>
          <w:szCs w:val="24"/>
        </w:rPr>
        <w:t>i</w:t>
      </w:r>
      <w:r w:rsidRPr="00727DFA">
        <w:rPr>
          <w:rFonts w:eastAsia="DengXian" w:cs="Times New Roman"/>
          <w:szCs w:val="24"/>
        </w:rPr>
        <w:t>cillins).</w:t>
      </w:r>
    </w:p>
    <w:p w14:paraId="0701841B"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 xml:space="preserve">Natural penicillins have superior activity against gram-positive organisms, gram-negative cocci, and non-β-lactamase producing anaerobes while they exhibit poor activity against gram-negative rods. Anti-staphylococcal penicillins are found to be resistant to staphylococcal β-lactamases. The third class, </w:t>
      </w:r>
      <w:r>
        <w:rPr>
          <w:rFonts w:eastAsia="DengXian" w:cs="Times New Roman"/>
          <w:szCs w:val="24"/>
        </w:rPr>
        <w:t>broad/</w:t>
      </w:r>
      <w:r w:rsidRPr="00727DFA">
        <w:rPr>
          <w:rFonts w:eastAsia="DengXian" w:cs="Times New Roman"/>
          <w:szCs w:val="24"/>
        </w:rPr>
        <w:t>extended-spectrum pen</w:t>
      </w:r>
      <w:r>
        <w:rPr>
          <w:rFonts w:eastAsia="DengXian" w:cs="Times New Roman"/>
          <w:szCs w:val="24"/>
        </w:rPr>
        <w:t>i</w:t>
      </w:r>
      <w:r w:rsidRPr="00727DFA">
        <w:rPr>
          <w:rFonts w:eastAsia="DengXian" w:cs="Times New Roman"/>
          <w:szCs w:val="24"/>
        </w:rPr>
        <w:t xml:space="preserve">cillins, retain the antibacterial spectrum of natural penicillin and have improved activity against gram-negative organisms. </w:t>
      </w:r>
    </w:p>
    <w:p w14:paraId="6035A32C"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 xml:space="preserve">Benzylpenicillin, the parent compound of penicillins, is administered parenterally due to gastric acid instability. Moreover, it is inactivated by penicillinase-producing bacteria. Long-acting preparations like procaine and benzathine penicillins slowly release benzylpenicillin after injection. Ampicillin is a broad-spectrum antibiotic with a broader spectrum than benzylpenicillin. It is less effective against gram-positive bacteria but more effective for gram-negative organisms. Ampicillin is acid stable and can be administered orally. Amoxicillin, with a hydroxyl group, is better absorbed from the gastrointestinal tract. Blood levels of all penicillins can be raised by simultaneous administration of probenecid, which increases therapeutic efficacy </w:t>
      </w:r>
      <w:r w:rsidRPr="00727DFA">
        <w:rPr>
          <w:rFonts w:eastAsia="DengXian" w:cs="Times New Roman"/>
          <w:szCs w:val="24"/>
        </w:rPr>
        <w:lastRenderedPageBreak/>
        <w:t>of pen</w:t>
      </w:r>
      <w:r>
        <w:rPr>
          <w:rFonts w:eastAsia="DengXian" w:cs="Times New Roman"/>
          <w:szCs w:val="24"/>
        </w:rPr>
        <w:t>i</w:t>
      </w:r>
      <w:r w:rsidRPr="00727DFA">
        <w:rPr>
          <w:rFonts w:eastAsia="DengXian" w:cs="Times New Roman"/>
          <w:szCs w:val="24"/>
        </w:rPr>
        <w:t>cillins in systemic infections except in cases of gonorrhea and other sexually transmitted infections.</w:t>
      </w:r>
    </w:p>
    <w:p w14:paraId="04C1C500" w14:textId="77777777" w:rsidR="007B485D" w:rsidRPr="00727DFA" w:rsidRDefault="007B485D" w:rsidP="00BC0421">
      <w:pPr>
        <w:spacing w:before="240"/>
        <w:jc w:val="both"/>
        <w:rPr>
          <w:rFonts w:eastAsia="DengXian" w:cs="Times New Roman"/>
          <w:szCs w:val="24"/>
        </w:rPr>
      </w:pPr>
      <w:r w:rsidRPr="00587263">
        <w:rPr>
          <w:rFonts w:eastAsia="DengXian" w:cs="Times New Roman"/>
          <w:szCs w:val="24"/>
        </w:rPr>
        <w:t>Penicillins can cause hypersensitivity reactions, leading to rashes and anaphylaxis, which can be fatal. These reactions may have crossover sensitivity with other penicillin derivatives, cephalosporins or carbapenems. Moreover, high doses or intrathecal injections of penicillin can cause fatal encephalopathy. Oral penicillin therapy can cause antibiotic-associated diarrhea, mostly with broad-spectrum penicillins.</w:t>
      </w:r>
    </w:p>
    <w:tbl>
      <w:tblPr>
        <w:tblStyle w:val="TableGrid"/>
        <w:tblW w:w="9350" w:type="dxa"/>
        <w:tblLook w:val="04A0" w:firstRow="1" w:lastRow="0" w:firstColumn="1" w:lastColumn="0" w:noHBand="0" w:noVBand="1"/>
      </w:tblPr>
      <w:tblGrid>
        <w:gridCol w:w="2605"/>
        <w:gridCol w:w="6745"/>
      </w:tblGrid>
      <w:tr w:rsidR="007B485D" w:rsidRPr="00727DFA" w14:paraId="175E686F"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18AF47B3" w14:textId="77777777" w:rsidR="007B485D" w:rsidRPr="00727DFA" w:rsidRDefault="007B485D" w:rsidP="002D6DD7">
            <w:pPr>
              <w:jc w:val="both"/>
              <w:rPr>
                <w:rFonts w:eastAsia="DengXian"/>
                <w:b/>
                <w:szCs w:val="24"/>
              </w:rPr>
            </w:pPr>
            <w:r w:rsidRPr="00727DFA">
              <w:rPr>
                <w:rFonts w:eastAsia="DengXian"/>
                <w:b/>
                <w:szCs w:val="24"/>
              </w:rPr>
              <w:t xml:space="preserve">Amoxicillin </w:t>
            </w:r>
            <w:r w:rsidRPr="00873AF2">
              <w:rPr>
                <w:rFonts w:eastAsia="DengXian"/>
                <w:b/>
                <w:szCs w:val="24"/>
              </w:rPr>
              <w:t>(Access)</w:t>
            </w:r>
          </w:p>
        </w:tc>
      </w:tr>
      <w:tr w:rsidR="007B485D" w:rsidRPr="00727DFA" w14:paraId="253C792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BD92BF7"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5785AB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Penicillin </w:t>
            </w:r>
          </w:p>
        </w:tc>
      </w:tr>
      <w:tr w:rsidR="007B485D" w:rsidRPr="00727DFA" w14:paraId="56491B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012F14"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7477DE8A" w14:textId="77777777" w:rsidR="007B485D" w:rsidRPr="00727DFA" w:rsidRDefault="007B485D" w:rsidP="002D6DD7">
            <w:pPr>
              <w:widowControl w:val="0"/>
              <w:autoSpaceDE w:val="0"/>
              <w:autoSpaceDN w:val="0"/>
              <w:jc w:val="both"/>
              <w:rPr>
                <w:rFonts w:eastAsia="Times New Roman"/>
                <w:spacing w:val="-18"/>
                <w:szCs w:val="24"/>
                <w:lang w:val="nb-NO"/>
              </w:rPr>
            </w:pPr>
            <w:r w:rsidRPr="00727DFA">
              <w:rPr>
                <w:rFonts w:eastAsia="Times New Roman"/>
                <w:spacing w:val="-2"/>
                <w:szCs w:val="24"/>
                <w:lang w:val="nb-NO"/>
              </w:rPr>
              <w:t>Capsule:</w:t>
            </w:r>
            <w:r w:rsidRPr="00727DFA">
              <w:rPr>
                <w:rFonts w:eastAsia="Times New Roman"/>
                <w:spacing w:val="-18"/>
                <w:szCs w:val="24"/>
                <w:lang w:val="nb-NO"/>
              </w:rPr>
              <w:t xml:space="preserve"> </w:t>
            </w:r>
            <w:r w:rsidRPr="00727DFA">
              <w:rPr>
                <w:rFonts w:eastAsia="Times New Roman"/>
                <w:spacing w:val="-2"/>
                <w:szCs w:val="24"/>
                <w:lang w:val="nb-NO"/>
              </w:rPr>
              <w:t>250</w:t>
            </w:r>
            <w:r w:rsidRPr="00727DFA">
              <w:rPr>
                <w:rFonts w:eastAsia="Times New Roman"/>
                <w:spacing w:val="-16"/>
                <w:szCs w:val="24"/>
                <w:lang w:val="nb-NO"/>
              </w:rPr>
              <w:t xml:space="preserve"> </w:t>
            </w:r>
            <w:r w:rsidRPr="00727DFA">
              <w:rPr>
                <w:rFonts w:eastAsia="Times New Roman"/>
                <w:spacing w:val="-2"/>
                <w:szCs w:val="24"/>
                <w:lang w:val="nb-NO"/>
              </w:rPr>
              <w:t>mg,</w:t>
            </w:r>
            <w:r w:rsidRPr="00727DFA">
              <w:rPr>
                <w:rFonts w:eastAsia="Times New Roman"/>
                <w:spacing w:val="-17"/>
                <w:szCs w:val="24"/>
                <w:lang w:val="nb-NO"/>
              </w:rPr>
              <w:t xml:space="preserve"> </w:t>
            </w:r>
            <w:r w:rsidRPr="00727DFA">
              <w:rPr>
                <w:rFonts w:eastAsia="Times New Roman"/>
                <w:spacing w:val="-2"/>
                <w:szCs w:val="24"/>
                <w:lang w:val="nb-NO"/>
              </w:rPr>
              <w:t>500</w:t>
            </w:r>
            <w:r w:rsidRPr="00727DFA">
              <w:rPr>
                <w:rFonts w:eastAsia="Times New Roman"/>
                <w:spacing w:val="-17"/>
                <w:szCs w:val="24"/>
                <w:lang w:val="nb-NO"/>
              </w:rPr>
              <w:t xml:space="preserve"> </w:t>
            </w:r>
            <w:r w:rsidRPr="00727DFA">
              <w:rPr>
                <w:rFonts w:eastAsia="Times New Roman"/>
                <w:spacing w:val="-2"/>
                <w:szCs w:val="24"/>
                <w:lang w:val="nb-NO"/>
              </w:rPr>
              <w:t>mg</w:t>
            </w:r>
            <w:r w:rsidRPr="00727DFA">
              <w:rPr>
                <w:rFonts w:eastAsia="Times New Roman"/>
                <w:spacing w:val="-18"/>
                <w:szCs w:val="24"/>
                <w:lang w:val="nb-NO"/>
              </w:rPr>
              <w:t xml:space="preserve"> </w:t>
            </w:r>
          </w:p>
          <w:p w14:paraId="35A150E4" w14:textId="77777777" w:rsidR="007B485D" w:rsidRPr="00727DFA" w:rsidRDefault="007B485D" w:rsidP="002D6DD7">
            <w:pPr>
              <w:widowControl w:val="0"/>
              <w:autoSpaceDE w:val="0"/>
              <w:autoSpaceDN w:val="0"/>
              <w:jc w:val="both"/>
              <w:rPr>
                <w:rFonts w:eastAsia="Times New Roman"/>
                <w:szCs w:val="24"/>
                <w:lang w:val="nb-NO"/>
              </w:rPr>
            </w:pPr>
            <w:r w:rsidRPr="00727DFA">
              <w:rPr>
                <w:rFonts w:eastAsia="Times New Roman"/>
                <w:spacing w:val="-2"/>
                <w:szCs w:val="24"/>
                <w:lang w:val="nb-NO"/>
              </w:rPr>
              <w:t>Tablet: 125mg, 250mg,</w:t>
            </w:r>
            <w:r w:rsidRPr="00727DFA">
              <w:rPr>
                <w:rFonts w:eastAsia="Times New Roman"/>
                <w:spacing w:val="-18"/>
                <w:szCs w:val="24"/>
                <w:lang w:val="nb-NO"/>
              </w:rPr>
              <w:t xml:space="preserve"> </w:t>
            </w:r>
            <w:r w:rsidRPr="00727DFA">
              <w:rPr>
                <w:rFonts w:eastAsia="Times New Roman"/>
                <w:spacing w:val="-2"/>
                <w:szCs w:val="24"/>
                <w:lang w:val="nb-NO"/>
              </w:rPr>
              <w:t>500</w:t>
            </w:r>
            <w:r w:rsidRPr="00727DFA">
              <w:rPr>
                <w:rFonts w:eastAsia="Times New Roman"/>
                <w:spacing w:val="-17"/>
                <w:szCs w:val="24"/>
                <w:lang w:val="nb-NO"/>
              </w:rPr>
              <w:t xml:space="preserve"> </w:t>
            </w:r>
            <w:r w:rsidRPr="00727DFA">
              <w:rPr>
                <w:rFonts w:eastAsia="Times New Roman"/>
                <w:spacing w:val="-5"/>
                <w:szCs w:val="24"/>
                <w:lang w:val="nb-NO"/>
              </w:rPr>
              <w:t>mg</w:t>
            </w:r>
          </w:p>
          <w:p w14:paraId="08A8FEF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Oral powder for reconstitution:</w:t>
            </w:r>
            <w:r w:rsidRPr="00727DFA">
              <w:rPr>
                <w:rFonts w:eastAsia="Times New Roman"/>
                <w:szCs w:val="24"/>
              </w:rPr>
              <w:t xml:space="preserve"> </w:t>
            </w:r>
            <w:r w:rsidRPr="00727DFA">
              <w:rPr>
                <w:rFonts w:eastAsia="Times New Roman"/>
                <w:spacing w:val="-6"/>
                <w:szCs w:val="24"/>
              </w:rPr>
              <w:t>125mg/5ml,</w:t>
            </w:r>
            <w:r w:rsidRPr="00727DFA">
              <w:rPr>
                <w:rFonts w:eastAsia="Times New Roman"/>
                <w:spacing w:val="-4"/>
                <w:szCs w:val="24"/>
              </w:rPr>
              <w:t xml:space="preserve"> </w:t>
            </w:r>
            <w:r w:rsidRPr="00727DFA">
              <w:rPr>
                <w:rFonts w:eastAsia="Times New Roman"/>
                <w:spacing w:val="-6"/>
                <w:szCs w:val="24"/>
              </w:rPr>
              <w:t>250</w:t>
            </w:r>
            <w:r w:rsidRPr="00727DFA">
              <w:rPr>
                <w:rFonts w:eastAsia="Times New Roman"/>
                <w:spacing w:val="-2"/>
                <w:szCs w:val="24"/>
              </w:rPr>
              <w:t xml:space="preserve"> </w:t>
            </w:r>
            <w:r w:rsidRPr="00727DFA">
              <w:rPr>
                <w:rFonts w:eastAsia="Times New Roman"/>
                <w:spacing w:val="-6"/>
                <w:szCs w:val="24"/>
              </w:rPr>
              <w:t>mg/5ml</w:t>
            </w:r>
          </w:p>
        </w:tc>
      </w:tr>
      <w:tr w:rsidR="007B485D" w:rsidRPr="00727DFA" w14:paraId="2A5B02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A911D8" w14:textId="77777777" w:rsidR="007B485D" w:rsidRPr="0064001A" w:rsidRDefault="007B485D" w:rsidP="002D6DD7">
            <w:pPr>
              <w:widowControl w:val="0"/>
              <w:autoSpaceDE w:val="0"/>
              <w:autoSpaceDN w:val="0"/>
              <w:jc w:val="both"/>
              <w:rPr>
                <w:rFonts w:eastAsia="Times New Roman"/>
                <w:bCs/>
                <w:szCs w:val="24"/>
              </w:rPr>
            </w:pPr>
            <w:r w:rsidRPr="0064001A">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A1E6023"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Upper respiratory tract infections, bronchitis, pneumonia,</w:t>
            </w:r>
            <w:r>
              <w:rPr>
                <w:rFonts w:eastAsia="Times New Roman"/>
                <w:szCs w:val="24"/>
              </w:rPr>
              <w:t xml:space="preserve"> infections of the ear, nose and throat </w:t>
            </w:r>
            <w:r w:rsidRPr="00727DFA">
              <w:rPr>
                <w:rFonts w:eastAsia="Times New Roman"/>
                <w:spacing w:val="-7"/>
                <w:szCs w:val="24"/>
              </w:rPr>
              <w:t>(</w:t>
            </w:r>
            <w:r w:rsidRPr="00727DFA">
              <w:rPr>
                <w:rFonts w:eastAsia="Times New Roman"/>
                <w:szCs w:val="24"/>
              </w:rPr>
              <w:t>otitis</w:t>
            </w:r>
            <w:r w:rsidRPr="00727DFA">
              <w:rPr>
                <w:rFonts w:eastAsia="Times New Roman"/>
                <w:spacing w:val="-5"/>
                <w:szCs w:val="24"/>
              </w:rPr>
              <w:t xml:space="preserve"> </w:t>
            </w:r>
            <w:r w:rsidRPr="00727DFA">
              <w:rPr>
                <w:rFonts w:eastAsia="Times New Roman"/>
                <w:szCs w:val="24"/>
              </w:rPr>
              <w:t>media</w:t>
            </w:r>
            <w:r>
              <w:rPr>
                <w:rFonts w:eastAsia="Times New Roman"/>
                <w:szCs w:val="24"/>
              </w:rPr>
              <w:t>, peritonsillar infections)</w:t>
            </w:r>
            <w:r w:rsidRPr="00727DFA">
              <w:rPr>
                <w:rFonts w:eastAsia="Times New Roman"/>
                <w:szCs w:val="24"/>
              </w:rPr>
              <w:t>,</w:t>
            </w:r>
            <w:r w:rsidRPr="00727DFA">
              <w:rPr>
                <w:rFonts w:eastAsia="Times New Roman"/>
                <w:spacing w:val="-7"/>
                <w:szCs w:val="24"/>
              </w:rPr>
              <w:t xml:space="preserve"> </w:t>
            </w:r>
            <w:r w:rsidRPr="00727DFA">
              <w:rPr>
                <w:rFonts w:eastAsia="Times New Roman"/>
                <w:szCs w:val="24"/>
              </w:rPr>
              <w:t>urinary tract infections, dental</w:t>
            </w:r>
            <w:r w:rsidRPr="00727DFA">
              <w:rPr>
                <w:rFonts w:eastAsia="Times New Roman"/>
                <w:spacing w:val="-5"/>
                <w:szCs w:val="24"/>
              </w:rPr>
              <w:t xml:space="preserve"> </w:t>
            </w:r>
            <w:r w:rsidRPr="00727DFA">
              <w:rPr>
                <w:rFonts w:eastAsia="Times New Roman"/>
                <w:szCs w:val="24"/>
              </w:rPr>
              <w:t>abscess,</w:t>
            </w:r>
            <w:r w:rsidRPr="00727DFA">
              <w:rPr>
                <w:rFonts w:eastAsia="Times New Roman"/>
                <w:spacing w:val="-4"/>
                <w:szCs w:val="24"/>
              </w:rPr>
              <w:t xml:space="preserve"> </w:t>
            </w:r>
            <w:r w:rsidRPr="00727DFA">
              <w:rPr>
                <w:rFonts w:eastAsia="Times New Roman"/>
                <w:szCs w:val="24"/>
              </w:rPr>
              <w:t>osteomyelitis,</w:t>
            </w:r>
            <w:r w:rsidRPr="00727DFA">
              <w:rPr>
                <w:rFonts w:eastAsia="Times New Roman"/>
                <w:spacing w:val="-7"/>
                <w:szCs w:val="24"/>
              </w:rPr>
              <w:t xml:space="preserve"> </w:t>
            </w:r>
            <w:r w:rsidRPr="00873AF2">
              <w:rPr>
                <w:rFonts w:eastAsia="Times New Roman"/>
                <w:szCs w:val="24"/>
              </w:rPr>
              <w:t>Lyme</w:t>
            </w:r>
            <w:r w:rsidRPr="00873AF2">
              <w:rPr>
                <w:rFonts w:eastAsia="Times New Roman"/>
                <w:spacing w:val="-5"/>
                <w:szCs w:val="24"/>
              </w:rPr>
              <w:t xml:space="preserve"> </w:t>
            </w:r>
            <w:r w:rsidRPr="00873AF2">
              <w:rPr>
                <w:rFonts w:eastAsia="Times New Roman"/>
                <w:szCs w:val="24"/>
              </w:rPr>
              <w:t>disease,</w:t>
            </w:r>
            <w:r w:rsidRPr="00727DFA">
              <w:rPr>
                <w:rFonts w:eastAsia="Times New Roman"/>
                <w:szCs w:val="24"/>
              </w:rPr>
              <w:t xml:space="preserve"> endocarditis prophylaxis,</w:t>
            </w:r>
            <w:r>
              <w:rPr>
                <w:rFonts w:eastAsia="Times New Roman"/>
                <w:szCs w:val="24"/>
              </w:rPr>
              <w:t xml:space="preserve"> </w:t>
            </w:r>
            <w:r w:rsidRPr="00727DFA">
              <w:rPr>
                <w:rFonts w:eastAsia="Times New Roman"/>
                <w:szCs w:val="24"/>
              </w:rPr>
              <w:t xml:space="preserve">post-splenectomy prophylaxis, gynecological infections, gonorrhea, </w:t>
            </w:r>
            <w:r w:rsidRPr="00727DFA">
              <w:rPr>
                <w:rFonts w:eastAsia="Times New Roman"/>
                <w:spacing w:val="-2"/>
                <w:szCs w:val="24"/>
              </w:rPr>
              <w:t>shigellosis, and</w:t>
            </w:r>
            <w:r w:rsidRPr="00727DFA">
              <w:rPr>
                <w:rFonts w:eastAsia="Times New Roman"/>
                <w:szCs w:val="24"/>
              </w:rPr>
              <w:t xml:space="preserve"> </w:t>
            </w:r>
            <w:r w:rsidRPr="00727DFA">
              <w:rPr>
                <w:rFonts w:eastAsia="Times New Roman"/>
                <w:i/>
                <w:iCs/>
                <w:szCs w:val="24"/>
              </w:rPr>
              <w:t>Helicobacter pylori</w:t>
            </w:r>
            <w:r w:rsidRPr="00727DFA">
              <w:rPr>
                <w:rFonts w:eastAsia="Times New Roman"/>
                <w:szCs w:val="24"/>
              </w:rPr>
              <w:t xml:space="preserve"> </w:t>
            </w:r>
            <w:r w:rsidRPr="00727DFA">
              <w:rPr>
                <w:rFonts w:eastAsia="Times New Roman"/>
                <w:spacing w:val="-2"/>
                <w:szCs w:val="24"/>
              </w:rPr>
              <w:t>eradication (in combination with other drugs).</w:t>
            </w:r>
          </w:p>
        </w:tc>
      </w:tr>
      <w:tr w:rsidR="007B485D" w:rsidRPr="00727DFA" w14:paraId="6156955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73E073"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Pr>
                <w:rFonts w:eastAsia="Times New Roman"/>
                <w:bCs/>
                <w:szCs w:val="24"/>
              </w:rPr>
              <w:t>a</w:t>
            </w:r>
            <w:r w:rsidRPr="00727DFA">
              <w:rPr>
                <w:rFonts w:eastAsia="Times New Roman"/>
                <w:bCs/>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78765026" w14:textId="77777777" w:rsidR="007B485D" w:rsidRPr="00587263" w:rsidRDefault="007B485D" w:rsidP="002D6DD7">
            <w:pPr>
              <w:widowControl w:val="0"/>
              <w:autoSpaceDE w:val="0"/>
              <w:autoSpaceDN w:val="0"/>
              <w:jc w:val="both"/>
              <w:rPr>
                <w:rFonts w:eastAsia="Times New Roman"/>
                <w:b/>
                <w:bCs/>
                <w:spacing w:val="-2"/>
                <w:szCs w:val="24"/>
              </w:rPr>
            </w:pPr>
            <w:r w:rsidRPr="00587263">
              <w:rPr>
                <w:rFonts w:eastAsia="Times New Roman"/>
                <w:b/>
                <w:spacing w:val="-2"/>
                <w:szCs w:val="24"/>
              </w:rPr>
              <w:t>Infections</w:t>
            </w:r>
            <w:r w:rsidRPr="00587263">
              <w:rPr>
                <w:rFonts w:eastAsia="Times New Roman"/>
                <w:b/>
                <w:spacing w:val="-14"/>
                <w:szCs w:val="24"/>
              </w:rPr>
              <w:t xml:space="preserve"> </w:t>
            </w:r>
            <w:r w:rsidRPr="00587263">
              <w:rPr>
                <w:rFonts w:eastAsia="Times New Roman"/>
                <w:b/>
                <w:spacing w:val="-2"/>
                <w:szCs w:val="24"/>
              </w:rPr>
              <w:t>due</w:t>
            </w:r>
            <w:r w:rsidRPr="00587263">
              <w:rPr>
                <w:rFonts w:eastAsia="Times New Roman"/>
                <w:b/>
                <w:spacing w:val="-13"/>
                <w:szCs w:val="24"/>
              </w:rPr>
              <w:t xml:space="preserve"> </w:t>
            </w:r>
            <w:r w:rsidRPr="00587263">
              <w:rPr>
                <w:rFonts w:eastAsia="Times New Roman"/>
                <w:b/>
                <w:spacing w:val="-2"/>
                <w:szCs w:val="24"/>
              </w:rPr>
              <w:t>to</w:t>
            </w:r>
            <w:r w:rsidRPr="00587263">
              <w:rPr>
                <w:rFonts w:eastAsia="Times New Roman"/>
                <w:b/>
                <w:spacing w:val="-16"/>
                <w:szCs w:val="24"/>
              </w:rPr>
              <w:t xml:space="preserve"> </w:t>
            </w:r>
            <w:r w:rsidRPr="00587263">
              <w:rPr>
                <w:rFonts w:eastAsia="Times New Roman"/>
                <w:b/>
                <w:spacing w:val="-2"/>
                <w:szCs w:val="24"/>
              </w:rPr>
              <w:t>sensitive</w:t>
            </w:r>
            <w:r w:rsidRPr="00587263">
              <w:rPr>
                <w:rFonts w:eastAsia="Times New Roman"/>
                <w:b/>
                <w:spacing w:val="-14"/>
                <w:szCs w:val="24"/>
              </w:rPr>
              <w:t xml:space="preserve"> </w:t>
            </w:r>
            <w:r w:rsidRPr="00587263">
              <w:rPr>
                <w:rFonts w:eastAsia="Times New Roman"/>
                <w:b/>
                <w:spacing w:val="-2"/>
                <w:szCs w:val="24"/>
              </w:rPr>
              <w:t xml:space="preserve">organisms; </w:t>
            </w:r>
            <w:r w:rsidRPr="00587263">
              <w:rPr>
                <w:rFonts w:eastAsia="Times New Roman"/>
                <w:b/>
                <w:bCs/>
                <w:spacing w:val="-2"/>
                <w:szCs w:val="24"/>
              </w:rPr>
              <w:t>Oral:</w:t>
            </w:r>
          </w:p>
          <w:p w14:paraId="6DEDC0BB" w14:textId="77777777" w:rsidR="007B485D" w:rsidRPr="00873AF2" w:rsidRDefault="007B485D" w:rsidP="002D6DD7">
            <w:pPr>
              <w:jc w:val="both"/>
              <w:rPr>
                <w:rFonts w:eastAsia="Times New Roman"/>
                <w:szCs w:val="24"/>
              </w:rPr>
            </w:pPr>
            <w:r w:rsidRPr="00873AF2">
              <w:rPr>
                <w:rFonts w:eastAsia="Times New Roman"/>
                <w:b/>
                <w:bCs/>
                <w:szCs w:val="24"/>
              </w:rPr>
              <w:t>Child &lt;3 months</w:t>
            </w:r>
            <w:r w:rsidRPr="00873AF2">
              <w:rPr>
                <w:rFonts w:eastAsia="Times New Roman"/>
                <w:szCs w:val="24"/>
              </w:rPr>
              <w:t xml:space="preserve">: 30 mg/kg daily in 2 divided doses </w:t>
            </w:r>
          </w:p>
          <w:p w14:paraId="5507C623" w14:textId="77777777" w:rsidR="007B485D" w:rsidRPr="00873AF2" w:rsidRDefault="007B485D" w:rsidP="002D6DD7">
            <w:pPr>
              <w:jc w:val="both"/>
              <w:rPr>
                <w:rFonts w:eastAsia="Times New Roman"/>
                <w:szCs w:val="24"/>
              </w:rPr>
            </w:pPr>
            <w:r w:rsidRPr="00873AF2">
              <w:rPr>
                <w:rFonts w:eastAsia="Times New Roman"/>
                <w:b/>
                <w:bCs/>
                <w:szCs w:val="24"/>
              </w:rPr>
              <w:t>Child &gt;3 months and &lt; 40 kg</w:t>
            </w:r>
            <w:r w:rsidRPr="00873AF2">
              <w:rPr>
                <w:rFonts w:eastAsia="Times New Roman"/>
                <w:szCs w:val="24"/>
              </w:rPr>
              <w:t>: 25 mg/kg daily in 2 divided doses or 20 mg/kg daily in 3 divided doses; in severe infections increase up to 45 mg/kg daily in 2 divided doses or 40 mg/kg daily in 3 divided doses; in acute otitis media: 80-90mg/kg/day in 2 divided doses</w:t>
            </w:r>
          </w:p>
          <w:p w14:paraId="2648FE77" w14:textId="77777777" w:rsidR="007B485D" w:rsidRPr="00873AF2" w:rsidRDefault="007B485D" w:rsidP="002D6DD7">
            <w:pPr>
              <w:jc w:val="both"/>
              <w:rPr>
                <w:rFonts w:eastAsia="Times New Roman"/>
                <w:szCs w:val="24"/>
              </w:rPr>
            </w:pPr>
            <w:r w:rsidRPr="00873AF2">
              <w:rPr>
                <w:rFonts w:eastAsia="Times New Roman"/>
                <w:b/>
                <w:bCs/>
                <w:szCs w:val="24"/>
              </w:rPr>
              <w:t xml:space="preserve">Child &gt;3 months and </w:t>
            </w:r>
            <m:oMath>
              <m:r>
                <m:rPr>
                  <m:sty m:val="bi"/>
                </m:rPr>
                <w:rPr>
                  <w:rFonts w:ascii="Cambria Math" w:eastAsia="Times New Roman" w:hAnsi="Cambria Math"/>
                  <w:szCs w:val="24"/>
                </w:rPr>
                <m:t>≥</m:t>
              </m:r>
            </m:oMath>
            <w:r w:rsidRPr="00873AF2">
              <w:rPr>
                <w:rFonts w:eastAsia="Times New Roman"/>
                <w:b/>
                <w:bCs/>
                <w:szCs w:val="24"/>
              </w:rPr>
              <w:t>40 kg:</w:t>
            </w:r>
            <w:r w:rsidRPr="00873AF2">
              <w:rPr>
                <w:rFonts w:eastAsia="Times New Roman"/>
                <w:szCs w:val="24"/>
              </w:rPr>
              <w:t xml:space="preserve"> 500 mg twice daily or 250 mg 3 times daily for 10-14 days; in severe infections increase dose up to 875 mg 2 times a day or 500 mg 3 times a day</w:t>
            </w:r>
          </w:p>
          <w:p w14:paraId="5956D539" w14:textId="77777777" w:rsidR="007B485D" w:rsidRDefault="007B485D" w:rsidP="002D6DD7">
            <w:pPr>
              <w:jc w:val="both"/>
              <w:rPr>
                <w:szCs w:val="24"/>
              </w:rPr>
            </w:pPr>
            <w:r w:rsidRPr="00727DFA">
              <w:rPr>
                <w:b/>
                <w:bCs/>
                <w:szCs w:val="24"/>
              </w:rPr>
              <w:t>Adult:</w:t>
            </w:r>
            <w:r w:rsidRPr="00727DFA">
              <w:rPr>
                <w:szCs w:val="24"/>
              </w:rPr>
              <w:t xml:space="preserve"> 500 mg every 8 hours, increased if necessary to 1 g every 8 hours, increased dose used in severe infections</w:t>
            </w:r>
          </w:p>
          <w:p w14:paraId="733EDC2C" w14:textId="77777777" w:rsidR="007B485D" w:rsidRPr="00873AF2" w:rsidRDefault="007B485D" w:rsidP="002D6DD7">
            <w:pPr>
              <w:jc w:val="both"/>
              <w:rPr>
                <w:b/>
                <w:bCs/>
                <w:szCs w:val="24"/>
              </w:rPr>
            </w:pPr>
            <w:r w:rsidRPr="00873AF2">
              <w:rPr>
                <w:b/>
                <w:bCs/>
                <w:szCs w:val="24"/>
              </w:rPr>
              <w:lastRenderedPageBreak/>
              <w:t>Prophylaxis (Infective Endocarditis):</w:t>
            </w:r>
          </w:p>
          <w:p w14:paraId="4D917679" w14:textId="77777777" w:rsidR="007B485D" w:rsidRPr="00727DFA" w:rsidRDefault="007B485D" w:rsidP="002D6DD7">
            <w:pPr>
              <w:jc w:val="both"/>
              <w:rPr>
                <w:szCs w:val="24"/>
              </w:rPr>
            </w:pPr>
            <w:r w:rsidRPr="00873AF2">
              <w:rPr>
                <w:b/>
                <w:bCs/>
                <w:szCs w:val="24"/>
              </w:rPr>
              <w:t>Adult:</w:t>
            </w:r>
            <w:r w:rsidRPr="005B6D24">
              <w:rPr>
                <w:szCs w:val="24"/>
              </w:rPr>
              <w:t xml:space="preserve"> 2g 30-60 minute before procedure</w:t>
            </w:r>
          </w:p>
          <w:p w14:paraId="607AEEC6"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i/>
                <w:iCs/>
                <w:szCs w:val="24"/>
              </w:rPr>
              <w:t>Helicobacter pylori</w:t>
            </w:r>
            <w:r w:rsidRPr="00727DFA">
              <w:rPr>
                <w:rFonts w:eastAsia="Times New Roman"/>
                <w:b/>
                <w:bCs/>
                <w:szCs w:val="24"/>
              </w:rPr>
              <w:t xml:space="preserve"> eradication; Oral:</w:t>
            </w:r>
          </w:p>
          <w:p w14:paraId="6727149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 xml:space="preserve"> 1 g twice daily for 10-14 days</w:t>
            </w:r>
          </w:p>
          <w:p w14:paraId="614CFB6E" w14:textId="77777777" w:rsidR="007B485D" w:rsidRPr="00727DFA" w:rsidRDefault="007B485D" w:rsidP="002D6DD7">
            <w:pPr>
              <w:widowControl w:val="0"/>
              <w:autoSpaceDE w:val="0"/>
              <w:autoSpaceDN w:val="0"/>
              <w:jc w:val="both"/>
              <w:rPr>
                <w:rFonts w:eastAsia="Times New Roman"/>
                <w:szCs w:val="24"/>
              </w:rPr>
            </w:pPr>
            <w:r w:rsidRPr="006E263B">
              <w:rPr>
                <w:rFonts w:eastAsia="Times New Roman"/>
                <w:bCs/>
                <w:i/>
                <w:spacing w:val="-4"/>
                <w:szCs w:val="24"/>
              </w:rPr>
              <w:t>Note:</w:t>
            </w:r>
            <w:r w:rsidRPr="00727DFA">
              <w:rPr>
                <w:rFonts w:eastAsia="Times New Roman"/>
                <w:spacing w:val="-16"/>
                <w:szCs w:val="24"/>
              </w:rPr>
              <w:t xml:space="preserve"> </w:t>
            </w:r>
            <w:r w:rsidRPr="00873AF2">
              <w:rPr>
                <w:rFonts w:eastAsia="Times New Roman"/>
                <w:i/>
                <w:iCs/>
                <w:spacing w:val="-4"/>
                <w:szCs w:val="24"/>
              </w:rPr>
              <w:t>Reconstitution</w:t>
            </w:r>
            <w:r w:rsidRPr="00873AF2">
              <w:rPr>
                <w:rFonts w:eastAsia="Times New Roman"/>
                <w:i/>
                <w:iCs/>
                <w:spacing w:val="-16"/>
                <w:szCs w:val="24"/>
              </w:rPr>
              <w:t xml:space="preserve"> </w:t>
            </w:r>
            <w:r w:rsidRPr="00873AF2">
              <w:rPr>
                <w:rFonts w:eastAsia="Times New Roman"/>
                <w:i/>
                <w:iCs/>
                <w:spacing w:val="-4"/>
                <w:szCs w:val="24"/>
              </w:rPr>
              <w:t>and</w:t>
            </w:r>
            <w:r w:rsidRPr="00873AF2">
              <w:rPr>
                <w:rFonts w:eastAsia="Times New Roman"/>
                <w:i/>
                <w:iCs/>
                <w:spacing w:val="-15"/>
                <w:szCs w:val="24"/>
              </w:rPr>
              <w:t xml:space="preserve"> </w:t>
            </w:r>
            <w:r w:rsidRPr="00873AF2">
              <w:rPr>
                <w:rFonts w:eastAsia="Times New Roman"/>
                <w:i/>
                <w:iCs/>
                <w:spacing w:val="-4"/>
                <w:szCs w:val="24"/>
              </w:rPr>
              <w:t>administration</w:t>
            </w:r>
            <w:r w:rsidRPr="00873AF2">
              <w:rPr>
                <w:rFonts w:eastAsia="Times New Roman"/>
                <w:i/>
                <w:iCs/>
                <w:spacing w:val="-16"/>
                <w:szCs w:val="24"/>
              </w:rPr>
              <w:t xml:space="preserve"> </w:t>
            </w:r>
            <w:r w:rsidRPr="00873AF2">
              <w:rPr>
                <w:rFonts w:eastAsia="Times New Roman"/>
                <w:i/>
                <w:iCs/>
                <w:spacing w:val="-4"/>
                <w:szCs w:val="24"/>
              </w:rPr>
              <w:t>according</w:t>
            </w:r>
            <w:r w:rsidRPr="00873AF2">
              <w:rPr>
                <w:rFonts w:eastAsia="Times New Roman"/>
                <w:i/>
                <w:iCs/>
                <w:spacing w:val="-15"/>
                <w:szCs w:val="24"/>
              </w:rPr>
              <w:t xml:space="preserve"> </w:t>
            </w:r>
            <w:r w:rsidRPr="00873AF2">
              <w:rPr>
                <w:rFonts w:eastAsia="Times New Roman"/>
                <w:i/>
                <w:iCs/>
                <w:spacing w:val="-4"/>
                <w:szCs w:val="24"/>
              </w:rPr>
              <w:t>to</w:t>
            </w:r>
            <w:r w:rsidRPr="00873AF2">
              <w:rPr>
                <w:rFonts w:eastAsia="Times New Roman"/>
                <w:i/>
                <w:iCs/>
                <w:spacing w:val="-16"/>
                <w:szCs w:val="24"/>
              </w:rPr>
              <w:t xml:space="preserve"> </w:t>
            </w:r>
            <w:r w:rsidRPr="00873AF2">
              <w:rPr>
                <w:rFonts w:eastAsia="Times New Roman"/>
                <w:i/>
                <w:iCs/>
                <w:spacing w:val="-4"/>
                <w:szCs w:val="24"/>
              </w:rPr>
              <w:t xml:space="preserve">manufacturer’s </w:t>
            </w:r>
            <w:r w:rsidRPr="00873AF2">
              <w:rPr>
                <w:rFonts w:eastAsia="Times New Roman"/>
                <w:i/>
                <w:iCs/>
                <w:spacing w:val="-2"/>
                <w:szCs w:val="24"/>
              </w:rPr>
              <w:t>directions</w:t>
            </w:r>
          </w:p>
        </w:tc>
      </w:tr>
      <w:tr w:rsidR="007B485D" w:rsidRPr="00727DFA" w14:paraId="3E76386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ACC190"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B8A94A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w:t>
            </w:r>
            <w:r w:rsidRPr="00727DFA">
              <w:rPr>
                <w:rFonts w:eastAsia="Times New Roman"/>
                <w:spacing w:val="-5"/>
                <w:szCs w:val="24"/>
              </w:rPr>
              <w:t xml:space="preserve"> </w:t>
            </w:r>
            <w:r w:rsidRPr="00727DFA">
              <w:rPr>
                <w:rFonts w:eastAsia="Times New Roman"/>
                <w:szCs w:val="24"/>
              </w:rPr>
              <w:t>to</w:t>
            </w:r>
            <w:r w:rsidRPr="00727DFA">
              <w:rPr>
                <w:rFonts w:eastAsia="Times New Roman"/>
                <w:spacing w:val="-5"/>
                <w:szCs w:val="24"/>
              </w:rPr>
              <w:t xml:space="preserve"> </w:t>
            </w:r>
            <w:r>
              <w:rPr>
                <w:rFonts w:eastAsia="Times New Roman"/>
                <w:spacing w:val="-5"/>
                <w:szCs w:val="24"/>
              </w:rPr>
              <w:t xml:space="preserve">the drug or </w:t>
            </w:r>
            <w:r w:rsidRPr="00727DFA">
              <w:rPr>
                <w:rFonts w:eastAsia="Times New Roman"/>
                <w:szCs w:val="24"/>
              </w:rPr>
              <w:t>any</w:t>
            </w:r>
            <w:r w:rsidRPr="00727DFA">
              <w:rPr>
                <w:rFonts w:eastAsia="Times New Roman"/>
                <w:spacing w:val="-4"/>
                <w:szCs w:val="24"/>
              </w:rPr>
              <w:t xml:space="preserve"> </w:t>
            </w:r>
            <w:r w:rsidRPr="00727DFA">
              <w:rPr>
                <w:rFonts w:eastAsia="Times New Roman"/>
                <w:spacing w:val="-2"/>
                <w:szCs w:val="24"/>
              </w:rPr>
              <w:t>penicillins or other β-lactams.</w:t>
            </w:r>
          </w:p>
        </w:tc>
      </w:tr>
      <w:tr w:rsidR="007B485D" w:rsidRPr="00727DFA" w14:paraId="02DDDC4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5F21AF"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w:t>
            </w:r>
            <w:r w:rsidRPr="00727DFA">
              <w:rPr>
                <w:rFonts w:eastAsia="Times New Roman"/>
                <w:bCs/>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549C14F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Probenecid,</w:t>
            </w:r>
            <w:r w:rsidRPr="00727DFA">
              <w:rPr>
                <w:rFonts w:eastAsia="Times New Roman"/>
                <w:spacing w:val="-4"/>
                <w:szCs w:val="24"/>
              </w:rPr>
              <w:t xml:space="preserve"> </w:t>
            </w:r>
            <w:r w:rsidRPr="00727DFA">
              <w:rPr>
                <w:rFonts w:eastAsia="Times New Roman"/>
                <w:szCs w:val="24"/>
              </w:rPr>
              <w:t>allopurinol, oral contraceptives, methotrexate, warfarin, live cholera vaccine, mycophenolate mofetil</w:t>
            </w:r>
            <w:r>
              <w:rPr>
                <w:rFonts w:eastAsia="Times New Roman"/>
                <w:szCs w:val="24"/>
              </w:rPr>
              <w:t xml:space="preserve">, </w:t>
            </w:r>
            <w:r w:rsidRPr="005B6D24">
              <w:rPr>
                <w:rFonts w:eastAsia="Times New Roman"/>
                <w:szCs w:val="24"/>
              </w:rPr>
              <w:t>tetracyclines,</w:t>
            </w:r>
            <w:r>
              <w:rPr>
                <w:rFonts w:eastAsia="Times New Roman"/>
                <w:szCs w:val="24"/>
              </w:rPr>
              <w:t xml:space="preserve"> </w:t>
            </w:r>
            <w:r w:rsidRPr="005B6D24">
              <w:rPr>
                <w:rFonts w:eastAsia="Times New Roman"/>
                <w:szCs w:val="24"/>
              </w:rPr>
              <w:t xml:space="preserve">chloramphenicol, </w:t>
            </w:r>
            <w:r w:rsidRPr="00727DFA">
              <w:rPr>
                <w:rFonts w:eastAsia="Times New Roman"/>
                <w:szCs w:val="24"/>
              </w:rPr>
              <w:t xml:space="preserve">aminoglycosides, </w:t>
            </w:r>
            <w:r w:rsidRPr="005B6D24">
              <w:rPr>
                <w:rFonts w:eastAsia="Times New Roman"/>
                <w:szCs w:val="24"/>
              </w:rPr>
              <w:t>macrolides, sulfonamides</w:t>
            </w:r>
            <w:r>
              <w:rPr>
                <w:rFonts w:eastAsia="Times New Roman"/>
                <w:szCs w:val="24"/>
              </w:rPr>
              <w:t>.</w:t>
            </w:r>
            <w:r w:rsidRPr="005B6D24">
              <w:rPr>
                <w:rFonts w:eastAsia="Times New Roman"/>
                <w:szCs w:val="24"/>
              </w:rPr>
              <w:t xml:space="preserve"> </w:t>
            </w:r>
            <w:r>
              <w:rPr>
                <w:rFonts w:eastAsia="Times New Roman"/>
                <w:szCs w:val="24"/>
              </w:rPr>
              <w:t xml:space="preserve"> </w:t>
            </w:r>
          </w:p>
        </w:tc>
      </w:tr>
      <w:tr w:rsidR="007B485D" w:rsidRPr="00727DFA" w14:paraId="44EBC3C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58ED6F"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Side</w:t>
            </w:r>
            <w:r w:rsidRPr="00727DFA">
              <w:rPr>
                <w:rFonts w:eastAsia="Times New Roman"/>
                <w:bCs/>
                <w:spacing w:val="-4"/>
                <w:szCs w:val="24"/>
              </w:rPr>
              <w:t xml:space="preserve"> </w:t>
            </w:r>
            <w:r w:rsidRPr="00727DFA">
              <w:rPr>
                <w:rFonts w:eastAsia="Times New Roman"/>
                <w:bCs/>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32997A0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Allergic reaction (anaphylaxis, skin rash, joint pain, fever), GIT reaction (mild diarrhea, nausea, vomiting), </w:t>
            </w:r>
            <w:r>
              <w:rPr>
                <w:rFonts w:eastAsia="Times New Roman"/>
                <w:szCs w:val="24"/>
              </w:rPr>
              <w:t xml:space="preserve">mucocutaneous </w:t>
            </w:r>
            <w:r w:rsidRPr="00727DFA">
              <w:rPr>
                <w:rFonts w:eastAsia="Times New Roman"/>
                <w:szCs w:val="24"/>
              </w:rPr>
              <w:t>candidiasis,</w:t>
            </w:r>
            <w:r w:rsidRPr="00727DFA">
              <w:rPr>
                <w:rFonts w:eastAsia="Times New Roman"/>
                <w:spacing w:val="-6"/>
                <w:szCs w:val="24"/>
              </w:rPr>
              <w:t xml:space="preserve"> </w:t>
            </w:r>
            <w:r w:rsidRPr="00727DFA">
              <w:rPr>
                <w:rFonts w:eastAsia="Times New Roman"/>
                <w:szCs w:val="24"/>
              </w:rPr>
              <w:t>pseudomembranous</w:t>
            </w:r>
            <w:r w:rsidRPr="00727DFA">
              <w:rPr>
                <w:rFonts w:eastAsia="Times New Roman"/>
                <w:spacing w:val="-2"/>
                <w:szCs w:val="24"/>
              </w:rPr>
              <w:t xml:space="preserve"> </w:t>
            </w:r>
            <w:r w:rsidRPr="00727DFA">
              <w:rPr>
                <w:rFonts w:eastAsia="Times New Roman"/>
                <w:szCs w:val="24"/>
              </w:rPr>
              <w:t>colitis</w:t>
            </w:r>
            <w:r>
              <w:rPr>
                <w:rFonts w:eastAsia="Times New Roman"/>
                <w:szCs w:val="24"/>
              </w:rPr>
              <w:t>.</w:t>
            </w:r>
          </w:p>
        </w:tc>
      </w:tr>
      <w:tr w:rsidR="007B485D" w:rsidRPr="00727DFA" w14:paraId="7A0E9E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C168BB"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DDB887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History</w:t>
            </w:r>
            <w:r w:rsidRPr="00727DFA">
              <w:rPr>
                <w:rFonts w:eastAsia="Times New Roman"/>
                <w:spacing w:val="-7"/>
                <w:szCs w:val="24"/>
              </w:rPr>
              <w:t xml:space="preserve"> </w:t>
            </w:r>
            <w:r w:rsidRPr="00727DFA">
              <w:rPr>
                <w:rFonts w:eastAsia="Times New Roman"/>
                <w:szCs w:val="24"/>
              </w:rPr>
              <w:t>of</w:t>
            </w:r>
            <w:r w:rsidRPr="00727DFA">
              <w:rPr>
                <w:rFonts w:eastAsia="Times New Roman"/>
                <w:spacing w:val="-4"/>
                <w:szCs w:val="24"/>
              </w:rPr>
              <w:t xml:space="preserve"> </w:t>
            </w:r>
            <w:r w:rsidRPr="00727DFA">
              <w:rPr>
                <w:rFonts w:eastAsia="Times New Roman"/>
                <w:szCs w:val="24"/>
              </w:rPr>
              <w:t>allergy,</w:t>
            </w:r>
            <w:r w:rsidRPr="00727DFA">
              <w:rPr>
                <w:rFonts w:eastAsia="Times New Roman"/>
                <w:spacing w:val="-4"/>
                <w:szCs w:val="24"/>
              </w:rPr>
              <w:t xml:space="preserve"> </w:t>
            </w:r>
            <w:r w:rsidRPr="00727DFA">
              <w:rPr>
                <w:rFonts w:eastAsia="Times New Roman"/>
                <w:szCs w:val="24"/>
              </w:rPr>
              <w:t>renal</w:t>
            </w:r>
            <w:r w:rsidRPr="00727DFA">
              <w:rPr>
                <w:rFonts w:eastAsia="Times New Roman"/>
                <w:spacing w:val="-3"/>
                <w:szCs w:val="24"/>
              </w:rPr>
              <w:t xml:space="preserve"> </w:t>
            </w:r>
            <w:r w:rsidRPr="00727DFA">
              <w:rPr>
                <w:rFonts w:eastAsia="Times New Roman"/>
                <w:szCs w:val="24"/>
              </w:rPr>
              <w:t>impairment,</w:t>
            </w:r>
            <w:r w:rsidRPr="00727DFA">
              <w:rPr>
                <w:rFonts w:eastAsia="Times New Roman"/>
                <w:spacing w:val="-6"/>
                <w:szCs w:val="24"/>
              </w:rPr>
              <w:t xml:space="preserve"> </w:t>
            </w:r>
            <w:r w:rsidRPr="00727DFA">
              <w:rPr>
                <w:rFonts w:eastAsia="Times New Roman"/>
                <w:szCs w:val="24"/>
              </w:rPr>
              <w:t>erythematous</w:t>
            </w:r>
            <w:r w:rsidRPr="00727DFA">
              <w:rPr>
                <w:rFonts w:eastAsia="Times New Roman"/>
                <w:spacing w:val="-1"/>
                <w:szCs w:val="24"/>
              </w:rPr>
              <w:t xml:space="preserve"> </w:t>
            </w:r>
            <w:r w:rsidRPr="00727DFA">
              <w:rPr>
                <w:rFonts w:eastAsia="Times New Roman"/>
                <w:szCs w:val="24"/>
              </w:rPr>
              <w:t>rashes</w:t>
            </w:r>
            <w:r w:rsidRPr="00727DFA">
              <w:rPr>
                <w:rFonts w:eastAsia="Times New Roman"/>
                <w:spacing w:val="-4"/>
                <w:szCs w:val="24"/>
              </w:rPr>
              <w:t xml:space="preserve"> (</w:t>
            </w:r>
            <w:r w:rsidRPr="00727DFA">
              <w:rPr>
                <w:rFonts w:eastAsia="Times New Roman"/>
                <w:szCs w:val="24"/>
              </w:rPr>
              <w:t>common</w:t>
            </w:r>
            <w:r w:rsidRPr="00727DFA">
              <w:rPr>
                <w:rFonts w:eastAsia="Times New Roman"/>
                <w:spacing w:val="-4"/>
                <w:szCs w:val="24"/>
              </w:rPr>
              <w:t xml:space="preserve"> </w:t>
            </w:r>
            <w:r w:rsidRPr="00727DFA">
              <w:rPr>
                <w:rFonts w:eastAsia="Times New Roman"/>
                <w:spacing w:val="-5"/>
                <w:szCs w:val="24"/>
              </w:rPr>
              <w:t xml:space="preserve">in </w:t>
            </w:r>
            <w:r w:rsidRPr="00727DFA">
              <w:rPr>
                <w:rFonts w:eastAsia="Times New Roman"/>
                <w:szCs w:val="24"/>
              </w:rPr>
              <w:t>glandular</w:t>
            </w:r>
            <w:r w:rsidRPr="00727DFA">
              <w:rPr>
                <w:rFonts w:eastAsia="Times New Roman"/>
                <w:spacing w:val="-7"/>
                <w:szCs w:val="24"/>
              </w:rPr>
              <w:t xml:space="preserve"> </w:t>
            </w:r>
            <w:r w:rsidRPr="00727DFA">
              <w:rPr>
                <w:rFonts w:eastAsia="Times New Roman"/>
                <w:szCs w:val="24"/>
              </w:rPr>
              <w:t>fever, acute lymphatic</w:t>
            </w:r>
            <w:r w:rsidRPr="00727DFA">
              <w:rPr>
                <w:rFonts w:eastAsia="Times New Roman"/>
                <w:spacing w:val="-5"/>
                <w:szCs w:val="24"/>
              </w:rPr>
              <w:t xml:space="preserve"> </w:t>
            </w:r>
            <w:r w:rsidRPr="00727DFA">
              <w:rPr>
                <w:rFonts w:eastAsia="Times New Roman"/>
                <w:szCs w:val="24"/>
              </w:rPr>
              <w:t>leukemia, chronic</w:t>
            </w:r>
            <w:r w:rsidRPr="00727DFA">
              <w:rPr>
                <w:rFonts w:eastAsia="Times New Roman"/>
                <w:spacing w:val="-6"/>
                <w:szCs w:val="24"/>
              </w:rPr>
              <w:t xml:space="preserve"> </w:t>
            </w:r>
            <w:r w:rsidRPr="00727DFA">
              <w:rPr>
                <w:rFonts w:eastAsia="Times New Roman"/>
                <w:szCs w:val="24"/>
              </w:rPr>
              <w:t>lymphatic</w:t>
            </w:r>
            <w:r w:rsidRPr="00727DFA">
              <w:rPr>
                <w:rFonts w:eastAsia="Times New Roman"/>
                <w:spacing w:val="-5"/>
                <w:szCs w:val="24"/>
              </w:rPr>
              <w:t xml:space="preserve"> </w:t>
            </w:r>
            <w:r w:rsidRPr="00727DFA">
              <w:rPr>
                <w:rFonts w:eastAsia="Times New Roman"/>
                <w:szCs w:val="24"/>
              </w:rPr>
              <w:t>leukemia, cytomegalovirus infection)</w:t>
            </w:r>
          </w:p>
        </w:tc>
      </w:tr>
      <w:tr w:rsidR="007B485D" w:rsidRPr="00727DFA" w14:paraId="46CCDA4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E98F0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24213DC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shd w:val="clear" w:color="auto" w:fill="FFFFFF"/>
              </w:rPr>
              <w:t>° C</w:t>
            </w:r>
            <w:r>
              <w:rPr>
                <w:rFonts w:eastAsia="Times New Roman"/>
                <w:szCs w:val="24"/>
              </w:rPr>
              <w:t>.</w:t>
            </w:r>
            <w:r w:rsidRPr="00727DFA">
              <w:rPr>
                <w:rFonts w:eastAsia="Times New Roman"/>
                <w:szCs w:val="24"/>
              </w:rPr>
              <w:t xml:space="preserve"> Oral suspension remains stable for 14 days below 30</w:t>
            </w:r>
            <w:r w:rsidRPr="00727DFA">
              <w:rPr>
                <w:rFonts w:eastAsia="Times New Roman"/>
                <w:szCs w:val="24"/>
                <w:shd w:val="clear" w:color="auto" w:fill="FFFFFF"/>
              </w:rPr>
              <w:t>° C</w:t>
            </w:r>
            <w:r>
              <w:rPr>
                <w:rFonts w:eastAsia="Times New Roman"/>
                <w:szCs w:val="24"/>
                <w:shd w:val="clear" w:color="auto" w:fill="FFFFFF"/>
              </w:rPr>
              <w:t>.</w:t>
            </w:r>
          </w:p>
          <w:p w14:paraId="2A4C28FA" w14:textId="77777777" w:rsidR="007B485D" w:rsidRPr="00727DFA" w:rsidRDefault="007B485D" w:rsidP="002D6DD7">
            <w:pPr>
              <w:widowControl w:val="0"/>
              <w:autoSpaceDE w:val="0"/>
              <w:autoSpaceDN w:val="0"/>
              <w:jc w:val="both"/>
              <w:rPr>
                <w:rFonts w:eastAsia="Times New Roman"/>
                <w:szCs w:val="24"/>
              </w:rPr>
            </w:pPr>
          </w:p>
        </w:tc>
      </w:tr>
      <w:tr w:rsidR="007B485D" w:rsidRPr="00727DFA" w14:paraId="15C3882A"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3BDFDA39" w14:textId="77777777" w:rsidR="007B485D" w:rsidRPr="00727DFA" w:rsidRDefault="007B485D" w:rsidP="002D6DD7">
            <w:pPr>
              <w:jc w:val="both"/>
              <w:rPr>
                <w:rFonts w:eastAsia="DengXian"/>
                <w:b/>
                <w:szCs w:val="24"/>
              </w:rPr>
            </w:pPr>
            <w:r w:rsidRPr="00727DFA">
              <w:rPr>
                <w:rFonts w:eastAsia="DengXian"/>
                <w:b/>
                <w:szCs w:val="24"/>
              </w:rPr>
              <w:t xml:space="preserve">Amoxicillin + </w:t>
            </w:r>
            <w:r>
              <w:rPr>
                <w:rFonts w:eastAsia="DengXian"/>
                <w:b/>
                <w:szCs w:val="24"/>
              </w:rPr>
              <w:t>c</w:t>
            </w:r>
            <w:r w:rsidRPr="00727DFA">
              <w:rPr>
                <w:rFonts w:eastAsia="DengXian"/>
                <w:b/>
                <w:szCs w:val="24"/>
              </w:rPr>
              <w:t xml:space="preserve">lavulanic </w:t>
            </w:r>
            <w:r w:rsidRPr="00587263">
              <w:rPr>
                <w:rFonts w:eastAsia="DengXian"/>
                <w:b/>
                <w:szCs w:val="24"/>
              </w:rPr>
              <w:t xml:space="preserve">acid </w:t>
            </w:r>
            <w:r w:rsidRPr="00873AF2">
              <w:rPr>
                <w:rFonts w:eastAsia="DengXian"/>
                <w:b/>
                <w:szCs w:val="24"/>
              </w:rPr>
              <w:t>(Access)</w:t>
            </w:r>
          </w:p>
        </w:tc>
      </w:tr>
      <w:tr w:rsidR="007B485D" w:rsidRPr="00727DFA" w14:paraId="3CC465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4B635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C2FB1C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Penicillin and β-lactamase inhibitor combination</w:t>
            </w:r>
          </w:p>
        </w:tc>
      </w:tr>
      <w:tr w:rsidR="007B485D" w:rsidRPr="00727DFA" w14:paraId="182C9B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730426"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3872F69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Tablet (dispersible): </w:t>
            </w:r>
            <w:r>
              <w:rPr>
                <w:rFonts w:eastAsia="Times New Roman"/>
                <w:szCs w:val="24"/>
              </w:rPr>
              <w:t>a</w:t>
            </w:r>
            <w:r w:rsidRPr="00727DFA">
              <w:rPr>
                <w:rFonts w:eastAsia="Times New Roman"/>
                <w:szCs w:val="24"/>
              </w:rPr>
              <w:t xml:space="preserve">moxicillin 200 mg (as trihydrate) + </w:t>
            </w:r>
            <w:r>
              <w:rPr>
                <w:rFonts w:eastAsia="Times New Roman"/>
                <w:szCs w:val="24"/>
              </w:rPr>
              <w:t>c</w:t>
            </w:r>
            <w:r w:rsidRPr="00727DFA">
              <w:rPr>
                <w:rFonts w:eastAsia="Times New Roman"/>
                <w:szCs w:val="24"/>
              </w:rPr>
              <w:t>lavulanic</w:t>
            </w:r>
            <w:r w:rsidRPr="00727DFA">
              <w:rPr>
                <w:rFonts w:eastAsia="Times New Roman"/>
                <w:spacing w:val="-19"/>
                <w:szCs w:val="24"/>
              </w:rPr>
              <w:t xml:space="preserve"> </w:t>
            </w:r>
            <w:r w:rsidRPr="00727DFA">
              <w:rPr>
                <w:rFonts w:eastAsia="Times New Roman"/>
                <w:szCs w:val="24"/>
              </w:rPr>
              <w:t xml:space="preserve">acid 28.5 mg (as potassium salt); </w:t>
            </w:r>
            <w:r>
              <w:rPr>
                <w:rFonts w:eastAsia="Times New Roman"/>
                <w:szCs w:val="24"/>
              </w:rPr>
              <w:t>a</w:t>
            </w:r>
            <w:r w:rsidRPr="00727DFA">
              <w:rPr>
                <w:rFonts w:eastAsia="Times New Roman"/>
                <w:szCs w:val="24"/>
              </w:rPr>
              <w:t xml:space="preserve">moxicillin 250 mg (as trihydrate) + </w:t>
            </w:r>
            <w:r>
              <w:rPr>
                <w:rFonts w:eastAsia="Times New Roman"/>
                <w:szCs w:val="24"/>
              </w:rPr>
              <w:t>c</w:t>
            </w:r>
            <w:r w:rsidRPr="00727DFA">
              <w:rPr>
                <w:rFonts w:eastAsia="Times New Roman"/>
                <w:szCs w:val="24"/>
              </w:rPr>
              <w:t>lavulanic</w:t>
            </w:r>
            <w:r w:rsidRPr="00727DFA">
              <w:rPr>
                <w:rFonts w:eastAsia="Times New Roman"/>
                <w:spacing w:val="-19"/>
                <w:szCs w:val="24"/>
              </w:rPr>
              <w:t xml:space="preserve"> </w:t>
            </w:r>
            <w:r w:rsidRPr="00727DFA">
              <w:rPr>
                <w:rFonts w:eastAsia="Times New Roman"/>
                <w:szCs w:val="24"/>
              </w:rPr>
              <w:t>acid 62.5 mg (as potassium salt)</w:t>
            </w:r>
          </w:p>
          <w:p w14:paraId="2D6A5E4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Tablet: amoxicillin 500mg (as trihydrate) + 125mg clavulanic</w:t>
            </w:r>
            <w:r w:rsidRPr="00727DFA">
              <w:rPr>
                <w:rFonts w:eastAsia="Times New Roman"/>
                <w:spacing w:val="-19"/>
                <w:szCs w:val="24"/>
              </w:rPr>
              <w:t xml:space="preserve"> </w:t>
            </w:r>
            <w:r w:rsidRPr="00727DFA">
              <w:rPr>
                <w:rFonts w:eastAsia="Times New Roman"/>
                <w:szCs w:val="24"/>
              </w:rPr>
              <w:t>acid, amoxicillin 875mg (as trihydrate) +125 mg clavulanic</w:t>
            </w:r>
            <w:r w:rsidRPr="00727DFA">
              <w:rPr>
                <w:rFonts w:eastAsia="Times New Roman"/>
                <w:spacing w:val="-19"/>
                <w:szCs w:val="24"/>
              </w:rPr>
              <w:t xml:space="preserve"> </w:t>
            </w:r>
            <w:r w:rsidRPr="00727DFA">
              <w:rPr>
                <w:rFonts w:eastAsia="Times New Roman"/>
                <w:szCs w:val="24"/>
              </w:rPr>
              <w:t>acid, amoxicillin 250</w:t>
            </w:r>
            <w:r w:rsidRPr="00727DFA">
              <w:rPr>
                <w:rFonts w:eastAsia="Times New Roman"/>
                <w:spacing w:val="-6"/>
                <w:szCs w:val="24"/>
              </w:rPr>
              <w:t xml:space="preserve"> </w:t>
            </w:r>
            <w:r w:rsidRPr="00727DFA">
              <w:rPr>
                <w:rFonts w:eastAsia="Times New Roman"/>
                <w:szCs w:val="24"/>
              </w:rPr>
              <w:t>mg (as trihydrate)</w:t>
            </w:r>
            <w:r w:rsidRPr="00727DFA">
              <w:rPr>
                <w:rFonts w:eastAsia="Times New Roman"/>
                <w:spacing w:val="-7"/>
                <w:szCs w:val="24"/>
              </w:rPr>
              <w:t xml:space="preserve"> </w:t>
            </w:r>
            <w:r w:rsidRPr="00727DFA">
              <w:rPr>
                <w:rFonts w:eastAsia="Times New Roman"/>
                <w:szCs w:val="24"/>
              </w:rPr>
              <w:t>+</w:t>
            </w:r>
            <w:r w:rsidRPr="00727DFA">
              <w:rPr>
                <w:rFonts w:eastAsia="Times New Roman"/>
                <w:spacing w:val="-6"/>
                <w:szCs w:val="24"/>
              </w:rPr>
              <w:t xml:space="preserve"> </w:t>
            </w:r>
            <w:r w:rsidRPr="00727DFA">
              <w:rPr>
                <w:rFonts w:eastAsia="Times New Roman"/>
                <w:szCs w:val="24"/>
              </w:rPr>
              <w:t>125</w:t>
            </w:r>
            <w:r w:rsidRPr="00727DFA">
              <w:rPr>
                <w:rFonts w:eastAsia="Times New Roman"/>
                <w:spacing w:val="-6"/>
                <w:szCs w:val="24"/>
              </w:rPr>
              <w:t xml:space="preserve"> </w:t>
            </w:r>
            <w:r w:rsidRPr="00727DFA">
              <w:rPr>
                <w:rFonts w:eastAsia="Times New Roman"/>
                <w:szCs w:val="24"/>
              </w:rPr>
              <w:t>mg clavulanic</w:t>
            </w:r>
            <w:r w:rsidRPr="00727DFA">
              <w:rPr>
                <w:rFonts w:eastAsia="Times New Roman"/>
                <w:spacing w:val="-19"/>
                <w:szCs w:val="24"/>
              </w:rPr>
              <w:t xml:space="preserve"> </w:t>
            </w:r>
            <w:r w:rsidRPr="00727DFA">
              <w:rPr>
                <w:rFonts w:eastAsia="Times New Roman"/>
                <w:szCs w:val="24"/>
              </w:rPr>
              <w:t xml:space="preserve">acid </w:t>
            </w:r>
          </w:p>
          <w:p w14:paraId="64AF09A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Powder to reconstitute: 125mg amoxicillin (as trihydrate) + 31.25mg clavulanic</w:t>
            </w:r>
            <w:r w:rsidRPr="00727DFA">
              <w:rPr>
                <w:rFonts w:eastAsia="Times New Roman"/>
                <w:spacing w:val="-19"/>
                <w:szCs w:val="24"/>
              </w:rPr>
              <w:t xml:space="preserve"> </w:t>
            </w:r>
            <w:r w:rsidRPr="00727DFA">
              <w:rPr>
                <w:rFonts w:eastAsia="Times New Roman"/>
                <w:szCs w:val="24"/>
              </w:rPr>
              <w:t>acid (as potassium salt)/5ml, amoxicillin 200mg (as trihydrate) + 28.5mg clavulanic</w:t>
            </w:r>
            <w:r w:rsidRPr="00727DFA">
              <w:rPr>
                <w:rFonts w:eastAsia="Times New Roman"/>
                <w:spacing w:val="-19"/>
                <w:szCs w:val="24"/>
              </w:rPr>
              <w:t xml:space="preserve"> </w:t>
            </w:r>
            <w:r w:rsidRPr="00727DFA">
              <w:rPr>
                <w:rFonts w:eastAsia="Times New Roman"/>
                <w:szCs w:val="24"/>
              </w:rPr>
              <w:t xml:space="preserve">acid (as potassium salt) </w:t>
            </w:r>
            <w:r w:rsidRPr="00727DFA">
              <w:rPr>
                <w:rFonts w:eastAsia="Times New Roman"/>
                <w:szCs w:val="24"/>
              </w:rPr>
              <w:lastRenderedPageBreak/>
              <w:t>/5ml, 250mg amoxicillin (as trihydrate) + 62.5mg clavulanic</w:t>
            </w:r>
            <w:r w:rsidRPr="00727DFA">
              <w:rPr>
                <w:rFonts w:eastAsia="Times New Roman"/>
                <w:spacing w:val="-19"/>
                <w:szCs w:val="24"/>
              </w:rPr>
              <w:t xml:space="preserve"> </w:t>
            </w:r>
            <w:r w:rsidRPr="00727DFA">
              <w:rPr>
                <w:rFonts w:eastAsia="Times New Roman"/>
                <w:szCs w:val="24"/>
              </w:rPr>
              <w:t>acid (as potassium salt)/5ml, 400mg amoxicillin (as trihydrate) + clavulanic</w:t>
            </w:r>
            <w:r w:rsidRPr="00727DFA">
              <w:rPr>
                <w:rFonts w:eastAsia="Times New Roman"/>
                <w:spacing w:val="-19"/>
                <w:szCs w:val="24"/>
              </w:rPr>
              <w:t xml:space="preserve"> </w:t>
            </w:r>
            <w:r w:rsidRPr="00727DFA">
              <w:rPr>
                <w:rFonts w:eastAsia="Times New Roman"/>
                <w:szCs w:val="24"/>
              </w:rPr>
              <w:t xml:space="preserve">acid 57mg (as potassium salt)/5ml                                                           </w:t>
            </w:r>
          </w:p>
          <w:p w14:paraId="2A12394A" w14:textId="77777777" w:rsidR="007B485D" w:rsidRPr="00727DFA" w:rsidRDefault="007B485D" w:rsidP="002D6DD7">
            <w:pPr>
              <w:widowControl w:val="0"/>
              <w:autoSpaceDE w:val="0"/>
              <w:autoSpaceDN w:val="0"/>
              <w:jc w:val="both"/>
              <w:rPr>
                <w:rFonts w:eastAsia="Times New Roman"/>
                <w:spacing w:val="-5"/>
                <w:szCs w:val="24"/>
              </w:rPr>
            </w:pPr>
            <w:r w:rsidRPr="00727DFA">
              <w:rPr>
                <w:rFonts w:eastAsia="Times New Roman"/>
                <w:szCs w:val="24"/>
              </w:rPr>
              <w:t>Injection</w:t>
            </w:r>
            <w:r w:rsidRPr="00727DFA">
              <w:rPr>
                <w:rFonts w:eastAsia="Times New Roman"/>
                <w:b/>
                <w:bCs/>
                <w:szCs w:val="24"/>
              </w:rPr>
              <w:t>:</w:t>
            </w:r>
            <w:r w:rsidRPr="00727DFA">
              <w:rPr>
                <w:rFonts w:eastAsia="Times New Roman"/>
                <w:szCs w:val="24"/>
              </w:rPr>
              <w:t xml:space="preserve"> amoxicillin 500mg (as sodium salt) + clavulanic</w:t>
            </w:r>
            <w:r w:rsidRPr="00727DFA">
              <w:rPr>
                <w:rFonts w:eastAsia="Times New Roman"/>
                <w:spacing w:val="-19"/>
                <w:szCs w:val="24"/>
              </w:rPr>
              <w:t xml:space="preserve"> </w:t>
            </w:r>
            <w:r w:rsidRPr="00727DFA">
              <w:rPr>
                <w:rFonts w:eastAsia="Times New Roman"/>
                <w:szCs w:val="24"/>
              </w:rPr>
              <w:t xml:space="preserve">acid 100mg (as potassium salt); </w:t>
            </w:r>
            <w:r>
              <w:rPr>
                <w:rFonts w:eastAsia="Times New Roman"/>
                <w:szCs w:val="24"/>
              </w:rPr>
              <w:t>a</w:t>
            </w:r>
            <w:r w:rsidRPr="00727DFA">
              <w:rPr>
                <w:rFonts w:eastAsia="Times New Roman"/>
                <w:szCs w:val="24"/>
              </w:rPr>
              <w:t>moxicillin 1g (as sodium) + clavulanic</w:t>
            </w:r>
            <w:r w:rsidRPr="00727DFA">
              <w:rPr>
                <w:rFonts w:eastAsia="Times New Roman"/>
                <w:spacing w:val="-19"/>
                <w:szCs w:val="24"/>
              </w:rPr>
              <w:t xml:space="preserve"> </w:t>
            </w:r>
            <w:r w:rsidRPr="00727DFA">
              <w:rPr>
                <w:rFonts w:eastAsia="Times New Roman"/>
                <w:szCs w:val="24"/>
              </w:rPr>
              <w:t xml:space="preserve">acid 200mg (as potassium salt) in vial  </w:t>
            </w:r>
          </w:p>
        </w:tc>
      </w:tr>
      <w:tr w:rsidR="007B485D" w:rsidRPr="00727DFA" w14:paraId="3D5A554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602D15" w14:textId="77777777" w:rsidR="007B485D" w:rsidRPr="00873AF2" w:rsidRDefault="007B485D" w:rsidP="002D6DD7">
            <w:pPr>
              <w:widowControl w:val="0"/>
              <w:autoSpaceDE w:val="0"/>
              <w:autoSpaceDN w:val="0"/>
              <w:jc w:val="both"/>
              <w:rPr>
                <w:rFonts w:eastAsia="Times New Roman"/>
                <w:bCs/>
                <w:szCs w:val="24"/>
              </w:rPr>
            </w:pPr>
            <w:r w:rsidRPr="00873AF2">
              <w:rPr>
                <w:rFonts w:eastAsia="Times New Roman"/>
                <w:bCs/>
                <w:spacing w:val="-2"/>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3EAE3CA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Infection due to </w:t>
            </w:r>
            <w:r>
              <w:rPr>
                <w:rFonts w:eastAsia="Times New Roman"/>
                <w:szCs w:val="24"/>
              </w:rPr>
              <w:t>β</w:t>
            </w:r>
            <w:r w:rsidRPr="00727DFA">
              <w:rPr>
                <w:rFonts w:eastAsia="Times New Roman"/>
                <w:szCs w:val="24"/>
              </w:rPr>
              <w:t xml:space="preserve">-lactamase-producing bacteria, in cases where amoxicillin alone is not </w:t>
            </w:r>
            <w:r>
              <w:rPr>
                <w:rFonts w:eastAsia="Times New Roman"/>
                <w:szCs w:val="24"/>
              </w:rPr>
              <w:t>effective</w:t>
            </w:r>
            <w:r w:rsidRPr="00727DFA">
              <w:rPr>
                <w:rFonts w:eastAsia="Times New Roman"/>
                <w:szCs w:val="24"/>
              </w:rPr>
              <w:t>, including respiratory</w:t>
            </w:r>
            <w:r w:rsidRPr="00727DFA">
              <w:rPr>
                <w:rFonts w:eastAsia="Times New Roman"/>
                <w:spacing w:val="-6"/>
                <w:szCs w:val="24"/>
              </w:rPr>
              <w:t xml:space="preserve"> </w:t>
            </w:r>
            <w:r w:rsidRPr="00727DFA">
              <w:rPr>
                <w:rFonts w:eastAsia="Times New Roman"/>
                <w:szCs w:val="24"/>
              </w:rPr>
              <w:t>tract</w:t>
            </w:r>
            <w:r w:rsidRPr="00727DFA">
              <w:rPr>
                <w:rFonts w:eastAsia="Times New Roman"/>
                <w:spacing w:val="-6"/>
                <w:szCs w:val="24"/>
              </w:rPr>
              <w:t xml:space="preserve"> </w:t>
            </w:r>
            <w:r w:rsidRPr="00727DFA">
              <w:rPr>
                <w:rFonts w:eastAsia="Times New Roman"/>
                <w:szCs w:val="24"/>
              </w:rPr>
              <w:t>infections,</w:t>
            </w:r>
            <w:r>
              <w:rPr>
                <w:rFonts w:eastAsia="Times New Roman"/>
                <w:szCs w:val="24"/>
              </w:rPr>
              <w:t xml:space="preserve"> diabetic foot,</w:t>
            </w:r>
            <w:r w:rsidRPr="00727DFA">
              <w:rPr>
                <w:rFonts w:eastAsia="Times New Roman"/>
                <w:spacing w:val="-8"/>
                <w:szCs w:val="24"/>
              </w:rPr>
              <w:t xml:space="preserve"> </w:t>
            </w:r>
            <w:r w:rsidRPr="00727DFA">
              <w:rPr>
                <w:rFonts w:eastAsia="Times New Roman"/>
                <w:szCs w:val="24"/>
              </w:rPr>
              <w:t>genito-urinary</w:t>
            </w:r>
            <w:r w:rsidRPr="00727DFA">
              <w:rPr>
                <w:rFonts w:eastAsia="Times New Roman"/>
                <w:spacing w:val="-6"/>
                <w:szCs w:val="24"/>
              </w:rPr>
              <w:t xml:space="preserve"> </w:t>
            </w:r>
            <w:r w:rsidRPr="00727DFA">
              <w:rPr>
                <w:rFonts w:eastAsia="Times New Roman"/>
                <w:szCs w:val="24"/>
              </w:rPr>
              <w:t>and</w:t>
            </w:r>
            <w:r w:rsidRPr="00727DFA">
              <w:rPr>
                <w:rFonts w:eastAsia="Times New Roman"/>
                <w:spacing w:val="-8"/>
                <w:szCs w:val="24"/>
              </w:rPr>
              <w:t xml:space="preserve"> </w:t>
            </w:r>
            <w:r w:rsidRPr="00727DFA">
              <w:rPr>
                <w:rFonts w:eastAsia="Times New Roman"/>
                <w:szCs w:val="24"/>
              </w:rPr>
              <w:t>abdominal</w:t>
            </w:r>
            <w:r w:rsidRPr="00727DFA">
              <w:rPr>
                <w:rFonts w:eastAsia="Times New Roman"/>
                <w:spacing w:val="-7"/>
                <w:szCs w:val="24"/>
              </w:rPr>
              <w:t xml:space="preserve"> </w:t>
            </w:r>
            <w:r w:rsidRPr="00727DFA">
              <w:rPr>
                <w:rFonts w:eastAsia="Times New Roman"/>
                <w:szCs w:val="24"/>
              </w:rPr>
              <w:t>infections, cellulites,</w:t>
            </w:r>
            <w:r w:rsidRPr="00727DFA">
              <w:rPr>
                <w:rFonts w:eastAsia="Times New Roman"/>
                <w:spacing w:val="-8"/>
                <w:szCs w:val="24"/>
              </w:rPr>
              <w:t xml:space="preserve"> </w:t>
            </w:r>
            <w:r w:rsidRPr="00727DFA">
              <w:rPr>
                <w:rFonts w:eastAsia="Times New Roman"/>
                <w:szCs w:val="24"/>
              </w:rPr>
              <w:t>animal</w:t>
            </w:r>
            <w:r w:rsidRPr="00727DFA">
              <w:rPr>
                <w:rFonts w:eastAsia="Times New Roman"/>
                <w:spacing w:val="-7"/>
                <w:szCs w:val="24"/>
              </w:rPr>
              <w:t xml:space="preserve"> </w:t>
            </w:r>
            <w:r w:rsidRPr="00727DFA">
              <w:rPr>
                <w:rFonts w:eastAsia="Times New Roman"/>
                <w:szCs w:val="24"/>
              </w:rPr>
              <w:t>bites,</w:t>
            </w:r>
            <w:r w:rsidRPr="00727DFA">
              <w:rPr>
                <w:rFonts w:eastAsia="Times New Roman"/>
                <w:spacing w:val="-8"/>
                <w:szCs w:val="24"/>
              </w:rPr>
              <w:t xml:space="preserve"> </w:t>
            </w:r>
            <w:r w:rsidRPr="00727DFA">
              <w:rPr>
                <w:rFonts w:eastAsia="Times New Roman"/>
                <w:szCs w:val="24"/>
              </w:rPr>
              <w:t>severe</w:t>
            </w:r>
            <w:r w:rsidRPr="00727DFA">
              <w:rPr>
                <w:rFonts w:eastAsia="Times New Roman"/>
                <w:spacing w:val="-6"/>
                <w:szCs w:val="24"/>
              </w:rPr>
              <w:t xml:space="preserve"> </w:t>
            </w:r>
            <w:r w:rsidRPr="00727DFA">
              <w:rPr>
                <w:rFonts w:eastAsia="Times New Roman"/>
                <w:szCs w:val="24"/>
              </w:rPr>
              <w:t>dental</w:t>
            </w:r>
            <w:r w:rsidRPr="00727DFA">
              <w:rPr>
                <w:rFonts w:eastAsia="Times New Roman"/>
                <w:spacing w:val="-6"/>
                <w:szCs w:val="24"/>
              </w:rPr>
              <w:t xml:space="preserve"> </w:t>
            </w:r>
            <w:r w:rsidRPr="00727DFA">
              <w:rPr>
                <w:rFonts w:eastAsia="Times New Roman"/>
                <w:szCs w:val="24"/>
              </w:rPr>
              <w:t>infections,</w:t>
            </w:r>
            <w:r w:rsidRPr="00727DFA">
              <w:rPr>
                <w:rFonts w:eastAsia="Times New Roman"/>
                <w:spacing w:val="-8"/>
                <w:szCs w:val="24"/>
              </w:rPr>
              <w:t xml:space="preserve"> </w:t>
            </w:r>
            <w:r w:rsidRPr="00727DFA">
              <w:rPr>
                <w:rFonts w:eastAsia="Times New Roman"/>
                <w:szCs w:val="24"/>
              </w:rPr>
              <w:t>otitis media, neutropenic fever, bone and joint infections</w:t>
            </w:r>
            <w:r>
              <w:rPr>
                <w:rFonts w:eastAsia="Times New Roman"/>
                <w:szCs w:val="24"/>
              </w:rPr>
              <w:t>,</w:t>
            </w:r>
            <w:r w:rsidRPr="00727DFA">
              <w:rPr>
                <w:rFonts w:eastAsia="Times New Roman"/>
                <w:spacing w:val="-7"/>
                <w:szCs w:val="24"/>
              </w:rPr>
              <w:t xml:space="preserve"> </w:t>
            </w:r>
            <w:r w:rsidRPr="00727DFA">
              <w:rPr>
                <w:rFonts w:eastAsia="Times New Roman"/>
                <w:szCs w:val="24"/>
              </w:rPr>
              <w:t xml:space="preserve">surgical </w:t>
            </w:r>
            <w:r w:rsidRPr="00727DFA">
              <w:rPr>
                <w:rFonts w:eastAsia="Times New Roman"/>
                <w:spacing w:val="-2"/>
                <w:szCs w:val="24"/>
              </w:rPr>
              <w:t>prophylaxis</w:t>
            </w:r>
            <w:r>
              <w:rPr>
                <w:rFonts w:eastAsia="Times New Roman"/>
                <w:spacing w:val="-2"/>
                <w:szCs w:val="24"/>
              </w:rPr>
              <w:t>.</w:t>
            </w:r>
          </w:p>
        </w:tc>
      </w:tr>
      <w:tr w:rsidR="007B485D" w:rsidRPr="00727DFA" w14:paraId="648260A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853CA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Pr>
                <w:rFonts w:eastAsia="Times New Roman"/>
                <w:bCs/>
                <w:szCs w:val="24"/>
              </w:rPr>
              <w:t>a</w:t>
            </w:r>
            <w:r w:rsidRPr="00727DFA">
              <w:rPr>
                <w:rFonts w:eastAsia="Times New Roman"/>
                <w:bCs/>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0B74F305" w14:textId="77777777" w:rsidR="007B485D" w:rsidRPr="00873AF2" w:rsidRDefault="007B485D" w:rsidP="002D6DD7">
            <w:pPr>
              <w:widowControl w:val="0"/>
              <w:autoSpaceDE w:val="0"/>
              <w:autoSpaceDN w:val="0"/>
              <w:jc w:val="both"/>
              <w:rPr>
                <w:rFonts w:eastAsia="Times New Roman"/>
                <w:i/>
                <w:iCs/>
                <w:spacing w:val="-13"/>
                <w:szCs w:val="24"/>
              </w:rPr>
            </w:pPr>
            <w:r w:rsidRPr="00873AF2">
              <w:rPr>
                <w:rFonts w:eastAsia="Times New Roman"/>
                <w:i/>
                <w:iCs/>
                <w:szCs w:val="24"/>
              </w:rPr>
              <w:t>All</w:t>
            </w:r>
            <w:r w:rsidRPr="00873AF2">
              <w:rPr>
                <w:rFonts w:eastAsia="Times New Roman"/>
                <w:i/>
                <w:iCs/>
                <w:spacing w:val="-14"/>
                <w:szCs w:val="24"/>
              </w:rPr>
              <w:t xml:space="preserve"> </w:t>
            </w:r>
            <w:r w:rsidRPr="00873AF2">
              <w:rPr>
                <w:rFonts w:eastAsia="Times New Roman"/>
                <w:i/>
                <w:iCs/>
                <w:szCs w:val="24"/>
              </w:rPr>
              <w:t>doses are</w:t>
            </w:r>
            <w:r w:rsidRPr="00873AF2">
              <w:rPr>
                <w:rFonts w:eastAsia="Times New Roman"/>
                <w:i/>
                <w:iCs/>
                <w:spacing w:val="-14"/>
                <w:szCs w:val="24"/>
              </w:rPr>
              <w:t xml:space="preserve"> </w:t>
            </w:r>
            <w:r w:rsidRPr="00873AF2">
              <w:rPr>
                <w:rFonts w:eastAsia="Times New Roman"/>
                <w:i/>
                <w:iCs/>
                <w:szCs w:val="24"/>
              </w:rPr>
              <w:t>expressed</w:t>
            </w:r>
            <w:r w:rsidRPr="00873AF2">
              <w:rPr>
                <w:rFonts w:eastAsia="Times New Roman"/>
                <w:i/>
                <w:iCs/>
                <w:spacing w:val="-15"/>
                <w:szCs w:val="24"/>
              </w:rPr>
              <w:t xml:space="preserve"> </w:t>
            </w:r>
            <w:r w:rsidRPr="00873AF2">
              <w:rPr>
                <w:rFonts w:eastAsia="Times New Roman"/>
                <w:i/>
                <w:iCs/>
                <w:szCs w:val="24"/>
              </w:rPr>
              <w:t>as</w:t>
            </w:r>
            <w:r w:rsidRPr="00873AF2">
              <w:rPr>
                <w:rFonts w:eastAsia="Times New Roman"/>
                <w:i/>
                <w:iCs/>
                <w:spacing w:val="-14"/>
                <w:szCs w:val="24"/>
              </w:rPr>
              <w:t xml:space="preserve"> </w:t>
            </w:r>
            <w:r w:rsidRPr="00873AF2">
              <w:rPr>
                <w:rFonts w:eastAsia="Times New Roman"/>
                <w:i/>
                <w:iCs/>
                <w:szCs w:val="24"/>
              </w:rPr>
              <w:t>amoxicillin</w:t>
            </w:r>
          </w:p>
          <w:p w14:paraId="209BAF34" w14:textId="77777777" w:rsidR="007B485D" w:rsidRPr="00727DFA" w:rsidRDefault="007B485D" w:rsidP="002D6DD7">
            <w:pPr>
              <w:widowControl w:val="0"/>
              <w:autoSpaceDE w:val="0"/>
              <w:autoSpaceDN w:val="0"/>
              <w:jc w:val="both"/>
              <w:rPr>
                <w:rFonts w:eastAsia="Times New Roman"/>
                <w:spacing w:val="-8"/>
                <w:szCs w:val="24"/>
              </w:rPr>
            </w:pPr>
            <w:r w:rsidRPr="00727DFA">
              <w:rPr>
                <w:rFonts w:eastAsia="Times New Roman"/>
                <w:b/>
                <w:szCs w:val="24"/>
              </w:rPr>
              <w:t>Infections</w:t>
            </w:r>
            <w:r w:rsidRPr="00727DFA">
              <w:rPr>
                <w:rFonts w:eastAsia="Times New Roman"/>
                <w:b/>
                <w:spacing w:val="-17"/>
                <w:szCs w:val="24"/>
              </w:rPr>
              <w:t xml:space="preserve"> </w:t>
            </w:r>
            <w:r w:rsidRPr="00727DFA">
              <w:rPr>
                <w:rFonts w:eastAsia="Times New Roman"/>
                <w:b/>
                <w:szCs w:val="24"/>
              </w:rPr>
              <w:t>due</w:t>
            </w:r>
            <w:r w:rsidRPr="00727DFA">
              <w:rPr>
                <w:rFonts w:eastAsia="Times New Roman"/>
                <w:b/>
                <w:spacing w:val="-16"/>
                <w:szCs w:val="24"/>
              </w:rPr>
              <w:t xml:space="preserve"> </w:t>
            </w:r>
            <w:r w:rsidRPr="00727DFA">
              <w:rPr>
                <w:rFonts w:eastAsia="Times New Roman"/>
                <w:b/>
                <w:szCs w:val="24"/>
              </w:rPr>
              <w:t>to</w:t>
            </w:r>
            <w:r w:rsidRPr="00727DFA">
              <w:rPr>
                <w:rFonts w:eastAsia="Times New Roman"/>
                <w:b/>
                <w:spacing w:val="-19"/>
                <w:szCs w:val="24"/>
              </w:rPr>
              <w:t xml:space="preserve"> </w:t>
            </w:r>
            <w:r w:rsidRPr="00727DFA">
              <w:rPr>
                <w:rFonts w:eastAsia="Times New Roman"/>
                <w:b/>
                <w:szCs w:val="24"/>
              </w:rPr>
              <w:t>susceptible</w:t>
            </w:r>
            <w:r w:rsidRPr="00727DFA">
              <w:rPr>
                <w:rFonts w:eastAsia="Times New Roman"/>
                <w:b/>
                <w:spacing w:val="-17"/>
                <w:szCs w:val="24"/>
              </w:rPr>
              <w:t xml:space="preserve"> </w:t>
            </w:r>
            <w:r>
              <w:rPr>
                <w:rFonts w:eastAsia="Times New Roman"/>
                <w:b/>
                <w:szCs w:val="24"/>
              </w:rPr>
              <w:t>β</w:t>
            </w:r>
            <w:r w:rsidRPr="00727DFA">
              <w:rPr>
                <w:rFonts w:eastAsia="Times New Roman"/>
                <w:b/>
                <w:szCs w:val="24"/>
              </w:rPr>
              <w:t>- lactamase</w:t>
            </w:r>
            <w:r w:rsidRPr="00727DFA">
              <w:rPr>
                <w:rFonts w:eastAsia="Times New Roman"/>
                <w:b/>
                <w:spacing w:val="-7"/>
                <w:szCs w:val="24"/>
              </w:rPr>
              <w:t xml:space="preserve"> </w:t>
            </w:r>
            <w:r w:rsidRPr="00727DFA">
              <w:rPr>
                <w:rFonts w:eastAsia="Times New Roman"/>
                <w:b/>
                <w:szCs w:val="24"/>
              </w:rPr>
              <w:t>producing</w:t>
            </w:r>
            <w:r w:rsidRPr="00727DFA">
              <w:rPr>
                <w:rFonts w:eastAsia="Times New Roman"/>
                <w:b/>
                <w:spacing w:val="-6"/>
                <w:szCs w:val="24"/>
              </w:rPr>
              <w:t xml:space="preserve"> </w:t>
            </w:r>
            <w:r w:rsidRPr="00727DFA">
              <w:rPr>
                <w:rFonts w:eastAsia="Times New Roman"/>
                <w:b/>
                <w:szCs w:val="24"/>
              </w:rPr>
              <w:t xml:space="preserve">organisms and when amoxicillin alone is not </w:t>
            </w:r>
            <w:r>
              <w:rPr>
                <w:rFonts w:eastAsia="Times New Roman"/>
                <w:b/>
                <w:szCs w:val="24"/>
              </w:rPr>
              <w:t>effective</w:t>
            </w:r>
            <w:r w:rsidRPr="00727DFA">
              <w:rPr>
                <w:rFonts w:eastAsia="Times New Roman"/>
                <w:szCs w:val="24"/>
              </w:rPr>
              <w:t>:</w:t>
            </w:r>
            <w:r w:rsidRPr="00727DFA">
              <w:rPr>
                <w:rFonts w:eastAsia="Times New Roman"/>
                <w:spacing w:val="-8"/>
                <w:szCs w:val="24"/>
              </w:rPr>
              <w:t xml:space="preserve"> </w:t>
            </w:r>
          </w:p>
          <w:p w14:paraId="0F9D3410" w14:textId="77777777" w:rsidR="007B485D" w:rsidRDefault="007B485D" w:rsidP="002D6DD7">
            <w:pPr>
              <w:widowControl w:val="0"/>
              <w:autoSpaceDE w:val="0"/>
              <w:autoSpaceDN w:val="0"/>
              <w:jc w:val="both"/>
              <w:rPr>
                <w:rFonts w:eastAsia="Times New Roman"/>
                <w:b/>
                <w:bCs/>
                <w:spacing w:val="-4"/>
                <w:szCs w:val="24"/>
              </w:rPr>
            </w:pPr>
            <w:r w:rsidRPr="00727DFA">
              <w:rPr>
                <w:rFonts w:eastAsia="Times New Roman"/>
                <w:b/>
                <w:bCs/>
                <w:szCs w:val="24"/>
              </w:rPr>
              <w:t>Oral:</w:t>
            </w:r>
            <w:r w:rsidRPr="00727DFA">
              <w:rPr>
                <w:rFonts w:eastAsia="Times New Roman"/>
                <w:b/>
                <w:bCs/>
                <w:spacing w:val="-4"/>
                <w:szCs w:val="24"/>
              </w:rPr>
              <w:t xml:space="preserve"> </w:t>
            </w:r>
          </w:p>
          <w:p w14:paraId="1CE2F8F2" w14:textId="77777777" w:rsidR="007B485D" w:rsidRPr="00873AF2" w:rsidRDefault="007B485D" w:rsidP="002D6DD7">
            <w:pPr>
              <w:widowControl w:val="0"/>
              <w:autoSpaceDE w:val="0"/>
              <w:autoSpaceDN w:val="0"/>
              <w:jc w:val="both"/>
              <w:rPr>
                <w:rFonts w:eastAsia="Times New Roman"/>
                <w:spacing w:val="-4"/>
                <w:szCs w:val="24"/>
              </w:rPr>
            </w:pPr>
            <w:r w:rsidRPr="00727DFA">
              <w:rPr>
                <w:rFonts w:eastAsia="Times New Roman"/>
                <w:b/>
                <w:bCs/>
                <w:szCs w:val="24"/>
              </w:rPr>
              <w:t xml:space="preserve">Child </w:t>
            </w:r>
            <w:r>
              <w:rPr>
                <w:rFonts w:eastAsia="Times New Roman"/>
                <w:b/>
                <w:bCs/>
                <w:szCs w:val="24"/>
              </w:rPr>
              <w:t xml:space="preserve">&lt; 3 months: </w:t>
            </w:r>
            <w:r w:rsidRPr="00873AF2">
              <w:rPr>
                <w:rFonts w:eastAsia="Times New Roman"/>
                <w:szCs w:val="24"/>
              </w:rPr>
              <w:t xml:space="preserve">30mg/kg daily in 2 divided </w:t>
            </w:r>
            <w:r w:rsidRPr="00587263">
              <w:rPr>
                <w:rFonts w:eastAsia="Times New Roman"/>
                <w:szCs w:val="24"/>
              </w:rPr>
              <w:t>doses</w:t>
            </w:r>
          </w:p>
          <w:p w14:paraId="4A75190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Child </w:t>
            </w:r>
            <w:r>
              <w:rPr>
                <w:rFonts w:eastAsia="Times New Roman"/>
                <w:b/>
                <w:bCs/>
                <w:szCs w:val="24"/>
              </w:rPr>
              <w:t>&gt; 3 months and &lt;40kg</w:t>
            </w:r>
            <w:r w:rsidRPr="00727DFA">
              <w:rPr>
                <w:rFonts w:eastAsia="Times New Roman"/>
                <w:b/>
                <w:bCs/>
                <w:szCs w:val="24"/>
              </w:rPr>
              <w:t>:</w:t>
            </w:r>
            <w:r w:rsidRPr="00727DFA">
              <w:rPr>
                <w:rFonts w:eastAsia="Times New Roman"/>
                <w:szCs w:val="24"/>
              </w:rPr>
              <w:t xml:space="preserve"> 2</w:t>
            </w:r>
            <w:r>
              <w:rPr>
                <w:rFonts w:eastAsia="Times New Roman"/>
                <w:szCs w:val="24"/>
              </w:rPr>
              <w:t>5-45</w:t>
            </w:r>
            <w:r w:rsidRPr="00727DFA">
              <w:rPr>
                <w:rFonts w:eastAsia="Times New Roman"/>
                <w:szCs w:val="24"/>
              </w:rPr>
              <w:t xml:space="preserve">mg/kg </w:t>
            </w:r>
            <w:r>
              <w:rPr>
                <w:rFonts w:eastAsia="Times New Roman"/>
                <w:szCs w:val="24"/>
              </w:rPr>
              <w:t>daily in 3 divided doses</w:t>
            </w:r>
          </w:p>
          <w:p w14:paraId="094F1052" w14:textId="77777777" w:rsidR="007B485D" w:rsidRPr="00727DFA" w:rsidRDefault="007B485D" w:rsidP="002D6DD7">
            <w:pPr>
              <w:widowControl w:val="0"/>
              <w:autoSpaceDE w:val="0"/>
              <w:autoSpaceDN w:val="0"/>
              <w:jc w:val="both"/>
              <w:rPr>
                <w:rFonts w:eastAsia="Times New Roman"/>
                <w:szCs w:val="24"/>
              </w:rPr>
            </w:pPr>
            <w:r w:rsidRPr="0063309C">
              <w:rPr>
                <w:rFonts w:eastAsia="Times New Roman"/>
                <w:b/>
                <w:bCs/>
                <w:szCs w:val="24"/>
              </w:rPr>
              <w:t xml:space="preserve">Child&gt; 3 months and </w:t>
            </w:r>
            <m:oMath>
              <m:r>
                <m:rPr>
                  <m:sty m:val="bi"/>
                </m:rPr>
                <w:rPr>
                  <w:rFonts w:ascii="Cambria Math" w:eastAsia="Times New Roman" w:hAnsi="Cambria Math"/>
                  <w:szCs w:val="24"/>
                </w:rPr>
                <m:t>≥</m:t>
              </m:r>
            </m:oMath>
            <w:r w:rsidRPr="0063309C">
              <w:rPr>
                <w:rFonts w:eastAsia="Times New Roman"/>
                <w:b/>
                <w:bCs/>
                <w:szCs w:val="24"/>
              </w:rPr>
              <w:t xml:space="preserve"> 40 kg</w:t>
            </w:r>
            <w:r>
              <w:rPr>
                <w:rFonts w:eastAsia="Times New Roman"/>
                <w:szCs w:val="24"/>
              </w:rPr>
              <w:t>:</w:t>
            </w:r>
            <w:r w:rsidRPr="00727DFA">
              <w:rPr>
                <w:rFonts w:eastAsia="Times New Roman"/>
                <w:szCs w:val="24"/>
              </w:rPr>
              <w:t xml:space="preserve"> </w:t>
            </w:r>
            <w:r>
              <w:rPr>
                <w:rFonts w:eastAsia="Times New Roman"/>
                <w:szCs w:val="24"/>
              </w:rPr>
              <w:t>Use adult dose</w:t>
            </w:r>
          </w:p>
          <w:p w14:paraId="3931D24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 xml:space="preserve"> 250mg every 8 hours, doubled in severe infections; for community acquired pneumonia, 875 mg every 12 hours</w:t>
            </w:r>
          </w:p>
          <w:p w14:paraId="475D12B6"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Slow</w:t>
            </w:r>
            <w:r w:rsidRPr="00727DFA">
              <w:rPr>
                <w:rFonts w:eastAsia="Times New Roman"/>
                <w:b/>
                <w:bCs/>
                <w:spacing w:val="-20"/>
                <w:szCs w:val="24"/>
              </w:rPr>
              <w:t xml:space="preserve"> </w:t>
            </w:r>
            <w:r w:rsidRPr="00727DFA">
              <w:rPr>
                <w:rFonts w:eastAsia="Times New Roman"/>
                <w:b/>
                <w:bCs/>
                <w:szCs w:val="24"/>
              </w:rPr>
              <w:t>IV injection:</w:t>
            </w:r>
          </w:p>
          <w:p w14:paraId="58A3A1F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Neonate </w:t>
            </w:r>
            <w:r w:rsidRPr="00727DFA">
              <w:rPr>
                <w:rFonts w:eastAsia="Times New Roman"/>
                <w:szCs w:val="24"/>
              </w:rPr>
              <w:t xml:space="preserve">and </w:t>
            </w:r>
            <w:r w:rsidRPr="00727DFA">
              <w:rPr>
                <w:rFonts w:eastAsia="Times New Roman"/>
                <w:b/>
                <w:szCs w:val="24"/>
              </w:rPr>
              <w:t xml:space="preserve">premature infant: </w:t>
            </w:r>
            <w:r w:rsidRPr="00727DFA">
              <w:rPr>
                <w:rFonts w:eastAsia="Times New Roman"/>
                <w:szCs w:val="24"/>
              </w:rPr>
              <w:t xml:space="preserve">25mg/kg every 12 hours </w:t>
            </w:r>
          </w:p>
          <w:p w14:paraId="18885B8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Infant up to 3 months:</w:t>
            </w:r>
            <w:r w:rsidRPr="00727DFA">
              <w:rPr>
                <w:rFonts w:eastAsia="Times New Roman"/>
                <w:szCs w:val="24"/>
              </w:rPr>
              <w:t xml:space="preserve"> 25mg/kg every 8 hours </w:t>
            </w:r>
          </w:p>
          <w:p w14:paraId="422B9CF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Child </w:t>
            </w:r>
            <w:r w:rsidRPr="00727DFA">
              <w:rPr>
                <w:rFonts w:eastAsia="Times New Roman"/>
                <w:b/>
                <w:bCs/>
                <w:szCs w:val="24"/>
              </w:rPr>
              <w:t>3 months to 12 years:</w:t>
            </w:r>
            <w:r w:rsidRPr="00727DFA">
              <w:rPr>
                <w:rFonts w:eastAsia="Times New Roman"/>
                <w:szCs w:val="24"/>
              </w:rPr>
              <w:t xml:space="preserve"> 25mg/kg every 8 hours increased to 25 mg/kg every 6 hours in more severe infections</w:t>
            </w:r>
          </w:p>
          <w:p w14:paraId="1E306FB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b/>
                <w:spacing w:val="-7"/>
                <w:szCs w:val="24"/>
              </w:rPr>
              <w:t xml:space="preserve"> </w:t>
            </w:r>
            <w:r w:rsidRPr="00727DFA">
              <w:rPr>
                <w:rFonts w:eastAsia="Times New Roman"/>
                <w:b/>
                <w:szCs w:val="24"/>
              </w:rPr>
              <w:t>and</w:t>
            </w:r>
            <w:r w:rsidRPr="00727DFA">
              <w:rPr>
                <w:rFonts w:eastAsia="Times New Roman"/>
                <w:b/>
                <w:spacing w:val="-8"/>
                <w:szCs w:val="24"/>
              </w:rPr>
              <w:t xml:space="preserve"> </w:t>
            </w:r>
            <w:r w:rsidRPr="00727DFA">
              <w:rPr>
                <w:rFonts w:eastAsia="Times New Roman"/>
                <w:b/>
                <w:szCs w:val="24"/>
              </w:rPr>
              <w:t>Child</w:t>
            </w:r>
            <w:r w:rsidRPr="00727DFA">
              <w:rPr>
                <w:rFonts w:eastAsia="Times New Roman"/>
                <w:b/>
                <w:spacing w:val="-8"/>
                <w:szCs w:val="24"/>
              </w:rPr>
              <w:t xml:space="preserve"> </w:t>
            </w:r>
            <w:r w:rsidRPr="00873AF2">
              <w:rPr>
                <w:rFonts w:eastAsia="Times New Roman"/>
                <w:b/>
                <w:bCs/>
                <w:szCs w:val="24"/>
              </w:rPr>
              <w:t>over</w:t>
            </w:r>
            <w:r w:rsidRPr="00873AF2">
              <w:rPr>
                <w:rFonts w:eastAsia="Times New Roman"/>
                <w:b/>
                <w:bCs/>
                <w:spacing w:val="-8"/>
                <w:szCs w:val="24"/>
              </w:rPr>
              <w:t xml:space="preserve"> </w:t>
            </w:r>
            <w:r w:rsidRPr="00873AF2">
              <w:rPr>
                <w:rFonts w:eastAsia="Times New Roman"/>
                <w:b/>
                <w:bCs/>
                <w:szCs w:val="24"/>
              </w:rPr>
              <w:t>12</w:t>
            </w:r>
            <w:r w:rsidRPr="00873AF2">
              <w:rPr>
                <w:rFonts w:eastAsia="Times New Roman"/>
                <w:b/>
                <w:bCs/>
                <w:spacing w:val="-8"/>
                <w:szCs w:val="24"/>
              </w:rPr>
              <w:t xml:space="preserve"> </w:t>
            </w:r>
            <w:r w:rsidRPr="00873AF2">
              <w:rPr>
                <w:rFonts w:eastAsia="Times New Roman"/>
                <w:b/>
                <w:bCs/>
                <w:szCs w:val="24"/>
              </w:rPr>
              <w:t>years</w:t>
            </w:r>
            <w:r>
              <w:rPr>
                <w:rFonts w:eastAsia="Times New Roman"/>
                <w:szCs w:val="24"/>
              </w:rPr>
              <w:t>:</w:t>
            </w:r>
            <w:r w:rsidRPr="00727DFA">
              <w:rPr>
                <w:rFonts w:eastAsia="Times New Roman"/>
                <w:spacing w:val="-8"/>
                <w:szCs w:val="24"/>
              </w:rPr>
              <w:t xml:space="preserve"> </w:t>
            </w:r>
            <w:r w:rsidRPr="00727DFA">
              <w:rPr>
                <w:rFonts w:eastAsia="Times New Roman"/>
                <w:szCs w:val="24"/>
              </w:rPr>
              <w:t>1g</w:t>
            </w:r>
            <w:r w:rsidRPr="00727DFA">
              <w:rPr>
                <w:rFonts w:eastAsia="Times New Roman"/>
                <w:spacing w:val="-9"/>
                <w:szCs w:val="24"/>
              </w:rPr>
              <w:t xml:space="preserve"> </w:t>
            </w:r>
            <w:r w:rsidRPr="00727DFA">
              <w:rPr>
                <w:rFonts w:eastAsia="Times New Roman"/>
                <w:szCs w:val="24"/>
              </w:rPr>
              <w:t>every</w:t>
            </w:r>
            <w:r w:rsidRPr="00727DFA">
              <w:rPr>
                <w:rFonts w:eastAsia="Times New Roman"/>
                <w:spacing w:val="-8"/>
                <w:szCs w:val="24"/>
              </w:rPr>
              <w:t xml:space="preserve"> </w:t>
            </w:r>
            <w:r w:rsidRPr="00727DFA">
              <w:rPr>
                <w:rFonts w:eastAsia="Times New Roman"/>
                <w:szCs w:val="24"/>
              </w:rPr>
              <w:t>8</w:t>
            </w:r>
            <w:r w:rsidRPr="00727DFA">
              <w:rPr>
                <w:rFonts w:eastAsia="Times New Roman"/>
                <w:spacing w:val="-8"/>
                <w:szCs w:val="24"/>
              </w:rPr>
              <w:t xml:space="preserve"> </w:t>
            </w:r>
            <w:r w:rsidRPr="00727DFA">
              <w:rPr>
                <w:rFonts w:eastAsia="Times New Roman"/>
                <w:szCs w:val="24"/>
              </w:rPr>
              <w:t>hours,</w:t>
            </w:r>
            <w:r w:rsidRPr="00727DFA">
              <w:rPr>
                <w:rFonts w:eastAsia="Times New Roman"/>
                <w:spacing w:val="-9"/>
                <w:szCs w:val="24"/>
              </w:rPr>
              <w:t xml:space="preserve"> </w:t>
            </w:r>
            <w:r w:rsidRPr="00727DFA">
              <w:rPr>
                <w:rFonts w:eastAsia="Times New Roman"/>
                <w:szCs w:val="24"/>
              </w:rPr>
              <w:t xml:space="preserve">increased to 1g every 6 hours in severe infections </w:t>
            </w:r>
          </w:p>
          <w:p w14:paraId="43399E3C"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Surgical</w:t>
            </w:r>
            <w:r w:rsidRPr="00727DFA">
              <w:rPr>
                <w:rFonts w:eastAsia="Times New Roman"/>
                <w:b/>
                <w:spacing w:val="-4"/>
                <w:szCs w:val="24"/>
              </w:rPr>
              <w:t xml:space="preserve"> </w:t>
            </w:r>
            <w:r w:rsidRPr="00727DFA">
              <w:rPr>
                <w:rFonts w:eastAsia="Times New Roman"/>
                <w:b/>
                <w:szCs w:val="24"/>
              </w:rPr>
              <w:t xml:space="preserve">prophylaxis in adults: </w:t>
            </w:r>
          </w:p>
          <w:p w14:paraId="147841D6"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IV</w:t>
            </w:r>
            <w:r w:rsidRPr="00727DFA">
              <w:rPr>
                <w:rFonts w:eastAsia="Times New Roman"/>
                <w:b/>
                <w:bCs/>
                <w:spacing w:val="-5"/>
                <w:szCs w:val="24"/>
              </w:rPr>
              <w:t xml:space="preserve"> </w:t>
            </w:r>
            <w:r w:rsidRPr="00727DFA">
              <w:rPr>
                <w:rFonts w:eastAsia="Times New Roman"/>
                <w:b/>
                <w:bCs/>
                <w:szCs w:val="24"/>
              </w:rPr>
              <w:t xml:space="preserve">injection: </w:t>
            </w:r>
            <w:r w:rsidRPr="00727DFA">
              <w:rPr>
                <w:rFonts w:eastAsia="Times New Roman"/>
                <w:szCs w:val="24"/>
              </w:rPr>
              <w:t>1g</w:t>
            </w:r>
            <w:r w:rsidRPr="00727DFA">
              <w:rPr>
                <w:rFonts w:eastAsia="Times New Roman"/>
                <w:spacing w:val="-3"/>
                <w:szCs w:val="24"/>
              </w:rPr>
              <w:t xml:space="preserve"> </w:t>
            </w:r>
            <w:r w:rsidRPr="00727DFA">
              <w:rPr>
                <w:rFonts w:eastAsia="Times New Roman"/>
                <w:szCs w:val="24"/>
              </w:rPr>
              <w:t>at</w:t>
            </w:r>
            <w:r w:rsidRPr="00727DFA">
              <w:rPr>
                <w:rFonts w:eastAsia="Times New Roman"/>
                <w:spacing w:val="-2"/>
                <w:szCs w:val="24"/>
              </w:rPr>
              <w:t xml:space="preserve"> </w:t>
            </w:r>
            <w:r w:rsidRPr="00727DFA">
              <w:rPr>
                <w:rFonts w:eastAsia="Times New Roman"/>
                <w:szCs w:val="24"/>
              </w:rPr>
              <w:t>induction, with up to 2 to 3 further doses of 1g every 8 hours in high-risk procedures</w:t>
            </w:r>
            <w:r>
              <w:rPr>
                <w:rFonts w:eastAsia="Times New Roman"/>
                <w:szCs w:val="24"/>
              </w:rPr>
              <w:t>.</w:t>
            </w:r>
          </w:p>
        </w:tc>
      </w:tr>
      <w:tr w:rsidR="007B485D" w:rsidRPr="00727DFA" w14:paraId="785A526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C272B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6B8532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w:t>
            </w:r>
            <w:r>
              <w:rPr>
                <w:rFonts w:eastAsia="Times New Roman"/>
                <w:szCs w:val="24"/>
              </w:rPr>
              <w:t xml:space="preserve"> to the drug</w:t>
            </w:r>
            <w:r w:rsidRPr="00727DFA">
              <w:rPr>
                <w:rFonts w:eastAsia="Times New Roman"/>
                <w:szCs w:val="24"/>
              </w:rPr>
              <w:t>, history of amoxicillin + clavulanic acid,</w:t>
            </w:r>
            <w:r w:rsidRPr="00727DFA">
              <w:rPr>
                <w:rFonts w:eastAsia="Times New Roman"/>
                <w:spacing w:val="-8"/>
                <w:szCs w:val="24"/>
              </w:rPr>
              <w:t xml:space="preserve"> </w:t>
            </w:r>
            <w:r w:rsidRPr="00727DFA">
              <w:rPr>
                <w:rFonts w:eastAsia="Times New Roman"/>
                <w:szCs w:val="24"/>
              </w:rPr>
              <w:t>or</w:t>
            </w:r>
            <w:r w:rsidRPr="00727DFA">
              <w:rPr>
                <w:rFonts w:eastAsia="Times New Roman"/>
                <w:spacing w:val="-7"/>
                <w:szCs w:val="24"/>
              </w:rPr>
              <w:t xml:space="preserve"> </w:t>
            </w:r>
            <w:r w:rsidRPr="00727DFA">
              <w:rPr>
                <w:rFonts w:eastAsia="Times New Roman"/>
                <w:szCs w:val="24"/>
              </w:rPr>
              <w:t>penicillin</w:t>
            </w:r>
            <w:r w:rsidRPr="00727DFA">
              <w:rPr>
                <w:rFonts w:eastAsia="Times New Roman"/>
                <w:spacing w:val="-6"/>
                <w:szCs w:val="24"/>
              </w:rPr>
              <w:t xml:space="preserve"> </w:t>
            </w:r>
            <w:r w:rsidRPr="00727DFA">
              <w:rPr>
                <w:rFonts w:eastAsia="Times New Roman"/>
                <w:szCs w:val="24"/>
              </w:rPr>
              <w:t>associated</w:t>
            </w:r>
            <w:r w:rsidRPr="00727DFA">
              <w:rPr>
                <w:rFonts w:eastAsia="Times New Roman"/>
                <w:spacing w:val="-8"/>
                <w:szCs w:val="24"/>
              </w:rPr>
              <w:t xml:space="preserve"> </w:t>
            </w:r>
            <w:r w:rsidRPr="00727DFA">
              <w:rPr>
                <w:rFonts w:eastAsia="Times New Roman"/>
                <w:szCs w:val="24"/>
              </w:rPr>
              <w:t>jaundice</w:t>
            </w:r>
            <w:r w:rsidRPr="00727DFA">
              <w:rPr>
                <w:rFonts w:eastAsia="Times New Roman"/>
                <w:spacing w:val="-6"/>
                <w:szCs w:val="24"/>
              </w:rPr>
              <w:t xml:space="preserve"> </w:t>
            </w:r>
            <w:r w:rsidRPr="00727DFA">
              <w:rPr>
                <w:rFonts w:eastAsia="Times New Roman"/>
                <w:szCs w:val="24"/>
              </w:rPr>
              <w:t>or</w:t>
            </w:r>
            <w:r w:rsidRPr="00727DFA">
              <w:rPr>
                <w:rFonts w:eastAsia="Times New Roman"/>
                <w:spacing w:val="-5"/>
                <w:szCs w:val="24"/>
              </w:rPr>
              <w:t xml:space="preserve"> </w:t>
            </w:r>
            <w:r w:rsidRPr="00727DFA">
              <w:rPr>
                <w:rFonts w:eastAsia="Times New Roman"/>
                <w:szCs w:val="24"/>
              </w:rPr>
              <w:t>hepatic</w:t>
            </w:r>
            <w:r w:rsidRPr="00727DFA">
              <w:rPr>
                <w:rFonts w:eastAsia="Times New Roman"/>
                <w:spacing w:val="-7"/>
                <w:szCs w:val="24"/>
              </w:rPr>
              <w:t xml:space="preserve"> </w:t>
            </w:r>
            <w:r w:rsidRPr="00727DFA">
              <w:rPr>
                <w:rFonts w:eastAsia="Times New Roman"/>
                <w:szCs w:val="24"/>
              </w:rPr>
              <w:t>dysfunction</w:t>
            </w:r>
            <w:r>
              <w:rPr>
                <w:rFonts w:eastAsia="Times New Roman"/>
                <w:szCs w:val="24"/>
              </w:rPr>
              <w:t>.</w:t>
            </w:r>
          </w:p>
        </w:tc>
      </w:tr>
      <w:tr w:rsidR="007B485D" w:rsidRPr="00727DFA" w14:paraId="7AC61C3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195BA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3DE85F7"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 amoxicillin.</w:t>
            </w:r>
          </w:p>
        </w:tc>
      </w:tr>
      <w:tr w:rsidR="007B485D" w:rsidRPr="00727DFA" w14:paraId="22BE52A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35286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B5B905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Diarrhea, nausea, vomiting, abdominal discomfort, anorexia, flatulence,</w:t>
            </w:r>
            <w:r w:rsidRPr="00727DFA">
              <w:rPr>
                <w:rFonts w:eastAsia="Times New Roman"/>
                <w:spacing w:val="-8"/>
                <w:szCs w:val="24"/>
              </w:rPr>
              <w:t xml:space="preserve"> </w:t>
            </w:r>
            <w:r w:rsidRPr="00727DFA">
              <w:rPr>
                <w:rFonts w:eastAsia="Times New Roman"/>
                <w:szCs w:val="24"/>
              </w:rPr>
              <w:t>rash</w:t>
            </w:r>
            <w:r>
              <w:rPr>
                <w:rFonts w:eastAsia="Times New Roman"/>
                <w:spacing w:val="-6"/>
                <w:szCs w:val="24"/>
              </w:rPr>
              <w:t>,</w:t>
            </w:r>
            <w:r w:rsidRPr="00727DFA">
              <w:rPr>
                <w:rFonts w:eastAsia="Times New Roman"/>
                <w:spacing w:val="-7"/>
                <w:szCs w:val="24"/>
              </w:rPr>
              <w:t xml:space="preserve"> </w:t>
            </w:r>
            <w:r w:rsidRPr="00727DFA">
              <w:rPr>
                <w:rFonts w:eastAsia="Times New Roman"/>
                <w:szCs w:val="24"/>
              </w:rPr>
              <w:t xml:space="preserve">urticaria, headache, </w:t>
            </w:r>
            <w:r w:rsidRPr="00727DFA">
              <w:rPr>
                <w:rFonts w:eastAsia="Times New Roman"/>
                <w:spacing w:val="-2"/>
                <w:szCs w:val="24"/>
              </w:rPr>
              <w:t>dizziness, oral thrush (candid</w:t>
            </w:r>
            <w:r>
              <w:rPr>
                <w:rFonts w:eastAsia="Times New Roman"/>
                <w:spacing w:val="-2"/>
                <w:szCs w:val="24"/>
              </w:rPr>
              <w:t>iasis</w:t>
            </w:r>
            <w:r w:rsidRPr="00727DFA">
              <w:rPr>
                <w:rFonts w:eastAsia="Times New Roman"/>
                <w:spacing w:val="-2"/>
                <w:szCs w:val="24"/>
              </w:rPr>
              <w:t>),</w:t>
            </w:r>
            <w:r w:rsidRPr="00727DFA">
              <w:rPr>
                <w:rFonts w:eastAsia="Times New Roman"/>
                <w:szCs w:val="24"/>
              </w:rPr>
              <w:t xml:space="preserve"> Stevens- Johnson syndrome</w:t>
            </w:r>
            <w:r>
              <w:rPr>
                <w:rFonts w:eastAsia="Times New Roman"/>
                <w:szCs w:val="24"/>
              </w:rPr>
              <w:t>.</w:t>
            </w:r>
          </w:p>
        </w:tc>
      </w:tr>
      <w:tr w:rsidR="007B485D" w:rsidRPr="00727DFA" w14:paraId="74A3262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755E6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3B2924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Pregnancy,</w:t>
            </w:r>
            <w:r>
              <w:rPr>
                <w:rFonts w:eastAsia="Times New Roman"/>
                <w:szCs w:val="24"/>
              </w:rPr>
              <w:t xml:space="preserve"> breastfeeding,</w:t>
            </w:r>
            <w:r w:rsidRPr="00727DFA">
              <w:rPr>
                <w:rFonts w:eastAsia="Times New Roman"/>
                <w:spacing w:val="-4"/>
                <w:szCs w:val="24"/>
              </w:rPr>
              <w:t xml:space="preserve"> </w:t>
            </w:r>
            <w:r w:rsidRPr="00727DFA">
              <w:rPr>
                <w:rFonts w:eastAsia="Times New Roman"/>
                <w:szCs w:val="24"/>
              </w:rPr>
              <w:t>hepatic</w:t>
            </w:r>
            <w:r w:rsidRPr="00727DFA">
              <w:rPr>
                <w:rFonts w:eastAsia="Times New Roman"/>
                <w:spacing w:val="-4"/>
                <w:szCs w:val="24"/>
              </w:rPr>
              <w:t xml:space="preserve"> </w:t>
            </w:r>
            <w:r w:rsidRPr="00727DFA">
              <w:rPr>
                <w:rFonts w:eastAsia="Times New Roman"/>
                <w:szCs w:val="24"/>
              </w:rPr>
              <w:t>impairment,</w:t>
            </w:r>
            <w:r w:rsidRPr="00727DFA">
              <w:rPr>
                <w:rFonts w:eastAsia="Times New Roman"/>
                <w:spacing w:val="-5"/>
                <w:szCs w:val="24"/>
              </w:rPr>
              <w:t xml:space="preserve"> </w:t>
            </w:r>
            <w:r w:rsidRPr="00727DFA">
              <w:rPr>
                <w:rFonts w:eastAsia="Times New Roman"/>
                <w:szCs w:val="24"/>
              </w:rPr>
              <w:t>history</w:t>
            </w:r>
            <w:r w:rsidRPr="00727DFA">
              <w:rPr>
                <w:rFonts w:eastAsia="Times New Roman"/>
                <w:spacing w:val="-3"/>
                <w:szCs w:val="24"/>
              </w:rPr>
              <w:t xml:space="preserve"> </w:t>
            </w:r>
            <w:r w:rsidRPr="00727DFA">
              <w:rPr>
                <w:rFonts w:eastAsia="Times New Roman"/>
                <w:spacing w:val="-5"/>
                <w:szCs w:val="24"/>
              </w:rPr>
              <w:t xml:space="preserve">of </w:t>
            </w:r>
            <w:r w:rsidRPr="00727DFA">
              <w:rPr>
                <w:rFonts w:eastAsia="Times New Roman"/>
                <w:szCs w:val="24"/>
              </w:rPr>
              <w:t>allergy,</w:t>
            </w:r>
            <w:r w:rsidRPr="00727DFA">
              <w:rPr>
                <w:rFonts w:eastAsia="Times New Roman"/>
                <w:spacing w:val="-7"/>
                <w:szCs w:val="24"/>
              </w:rPr>
              <w:t xml:space="preserve"> </w:t>
            </w:r>
            <w:r w:rsidRPr="00727DFA">
              <w:rPr>
                <w:rFonts w:eastAsia="Times New Roman"/>
                <w:spacing w:val="-4"/>
                <w:szCs w:val="24"/>
              </w:rPr>
              <w:t>renal</w:t>
            </w:r>
            <w:r w:rsidRPr="00727DFA">
              <w:rPr>
                <w:rFonts w:eastAsia="Times New Roman"/>
                <w:spacing w:val="-3"/>
                <w:szCs w:val="24"/>
              </w:rPr>
              <w:t xml:space="preserve"> </w:t>
            </w:r>
            <w:r w:rsidRPr="00727DFA">
              <w:rPr>
                <w:rFonts w:eastAsia="Times New Roman"/>
                <w:szCs w:val="24"/>
              </w:rPr>
              <w:t>impairment,</w:t>
            </w:r>
            <w:r w:rsidRPr="00727DFA">
              <w:rPr>
                <w:rFonts w:eastAsia="Times New Roman"/>
                <w:spacing w:val="-6"/>
                <w:szCs w:val="24"/>
              </w:rPr>
              <w:t xml:space="preserve"> </w:t>
            </w:r>
            <w:r w:rsidRPr="00727DFA">
              <w:rPr>
                <w:rFonts w:eastAsia="Times New Roman"/>
                <w:szCs w:val="24"/>
              </w:rPr>
              <w:t>erythematous</w:t>
            </w:r>
            <w:r w:rsidRPr="00727DFA">
              <w:rPr>
                <w:rFonts w:eastAsia="Times New Roman"/>
                <w:spacing w:val="-1"/>
                <w:szCs w:val="24"/>
              </w:rPr>
              <w:t xml:space="preserve"> </w:t>
            </w:r>
            <w:r w:rsidRPr="00727DFA">
              <w:rPr>
                <w:rFonts w:eastAsia="Times New Roman"/>
                <w:szCs w:val="24"/>
              </w:rPr>
              <w:t>rashes</w:t>
            </w:r>
            <w:r>
              <w:rPr>
                <w:rFonts w:eastAsia="Times New Roman"/>
                <w:szCs w:val="24"/>
              </w:rPr>
              <w:t>.</w:t>
            </w:r>
          </w:p>
        </w:tc>
      </w:tr>
      <w:tr w:rsidR="007B485D" w:rsidRPr="00727DFA" w14:paraId="58D8348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FC91D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174E5D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Store below 30°C </w:t>
            </w:r>
          </w:p>
          <w:p w14:paraId="3CA31E8F"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 xml:space="preserve">Note: </w:t>
            </w:r>
            <w:r w:rsidRPr="00873AF2">
              <w:rPr>
                <w:rFonts w:eastAsia="Times New Roman"/>
                <w:i/>
                <w:iCs/>
                <w:szCs w:val="24"/>
              </w:rPr>
              <w:t>for oral</w:t>
            </w:r>
            <w:r w:rsidRPr="00873AF2">
              <w:rPr>
                <w:rFonts w:eastAsia="Times New Roman"/>
                <w:i/>
                <w:iCs/>
                <w:spacing w:val="-20"/>
                <w:szCs w:val="24"/>
              </w:rPr>
              <w:t xml:space="preserve"> </w:t>
            </w:r>
            <w:r w:rsidRPr="00873AF2">
              <w:rPr>
                <w:rFonts w:eastAsia="Times New Roman"/>
                <w:i/>
                <w:iCs/>
                <w:szCs w:val="24"/>
              </w:rPr>
              <w:t xml:space="preserve">suspension, once reconstituted it </w:t>
            </w:r>
            <w:r w:rsidRPr="00873AF2">
              <w:rPr>
                <w:rFonts w:eastAsia="Times New Roman"/>
                <w:i/>
                <w:iCs/>
                <w:spacing w:val="-2"/>
                <w:szCs w:val="24"/>
              </w:rPr>
              <w:t>should</w:t>
            </w:r>
            <w:r w:rsidRPr="00873AF2">
              <w:rPr>
                <w:rFonts w:eastAsia="Times New Roman"/>
                <w:i/>
                <w:iCs/>
                <w:spacing w:val="-18"/>
                <w:szCs w:val="24"/>
              </w:rPr>
              <w:t xml:space="preserve"> </w:t>
            </w:r>
            <w:r w:rsidRPr="00873AF2">
              <w:rPr>
                <w:rFonts w:eastAsia="Times New Roman"/>
                <w:i/>
                <w:iCs/>
                <w:spacing w:val="-2"/>
                <w:szCs w:val="24"/>
              </w:rPr>
              <w:t>be</w:t>
            </w:r>
            <w:r w:rsidRPr="00873AF2">
              <w:rPr>
                <w:rFonts w:eastAsia="Times New Roman"/>
                <w:i/>
                <w:iCs/>
                <w:spacing w:val="-17"/>
                <w:szCs w:val="24"/>
              </w:rPr>
              <w:t xml:space="preserve"> </w:t>
            </w:r>
            <w:r w:rsidRPr="00873AF2">
              <w:rPr>
                <w:rFonts w:eastAsia="Times New Roman"/>
                <w:i/>
                <w:iCs/>
                <w:spacing w:val="-2"/>
                <w:szCs w:val="24"/>
              </w:rPr>
              <w:t>stored</w:t>
            </w:r>
            <w:r w:rsidRPr="00873AF2">
              <w:rPr>
                <w:rFonts w:eastAsia="Times New Roman"/>
                <w:i/>
                <w:iCs/>
                <w:spacing w:val="-18"/>
                <w:szCs w:val="24"/>
              </w:rPr>
              <w:t xml:space="preserve"> </w:t>
            </w:r>
            <w:r w:rsidRPr="00873AF2">
              <w:rPr>
                <w:rFonts w:eastAsia="Times New Roman"/>
                <w:i/>
                <w:iCs/>
                <w:spacing w:val="-2"/>
                <w:szCs w:val="24"/>
              </w:rPr>
              <w:t>between</w:t>
            </w:r>
            <w:r w:rsidRPr="00873AF2">
              <w:rPr>
                <w:rFonts w:eastAsia="Times New Roman"/>
                <w:i/>
                <w:iCs/>
                <w:spacing w:val="-17"/>
                <w:szCs w:val="24"/>
              </w:rPr>
              <w:t xml:space="preserve"> </w:t>
            </w:r>
            <w:r w:rsidRPr="00873AF2">
              <w:rPr>
                <w:rFonts w:eastAsia="Times New Roman"/>
                <w:i/>
                <w:iCs/>
                <w:spacing w:val="-2"/>
                <w:szCs w:val="24"/>
              </w:rPr>
              <w:t>2</w:t>
            </w:r>
            <w:r w:rsidRPr="00873AF2">
              <w:rPr>
                <w:rFonts w:eastAsia="Times New Roman"/>
                <w:i/>
                <w:iCs/>
                <w:spacing w:val="-18"/>
                <w:szCs w:val="24"/>
              </w:rPr>
              <w:t xml:space="preserve"> </w:t>
            </w:r>
            <w:r w:rsidRPr="00873AF2">
              <w:rPr>
                <w:rFonts w:eastAsia="Times New Roman"/>
                <w:i/>
                <w:iCs/>
                <w:spacing w:val="-2"/>
                <w:szCs w:val="24"/>
              </w:rPr>
              <w:t>and</w:t>
            </w:r>
            <w:r w:rsidRPr="00873AF2">
              <w:rPr>
                <w:rFonts w:eastAsia="Times New Roman"/>
                <w:i/>
                <w:iCs/>
                <w:spacing w:val="-17"/>
                <w:szCs w:val="24"/>
              </w:rPr>
              <w:t xml:space="preserve"> </w:t>
            </w:r>
            <w:r w:rsidRPr="00873AF2">
              <w:rPr>
                <w:rFonts w:eastAsia="Times New Roman"/>
                <w:i/>
                <w:iCs/>
                <w:spacing w:val="-2"/>
                <w:szCs w:val="24"/>
              </w:rPr>
              <w:t>8</w:t>
            </w:r>
            <w:r w:rsidRPr="00873AF2">
              <w:rPr>
                <w:rFonts w:eastAsia="Times New Roman"/>
                <w:i/>
                <w:iCs/>
                <w:spacing w:val="-18"/>
                <w:szCs w:val="24"/>
              </w:rPr>
              <w:t xml:space="preserve"> </w:t>
            </w:r>
            <w:r w:rsidRPr="00873AF2">
              <w:rPr>
                <w:rFonts w:eastAsia="Times New Roman"/>
                <w:i/>
                <w:iCs/>
                <w:spacing w:val="-2"/>
                <w:szCs w:val="24"/>
                <w:vertAlign w:val="superscript"/>
              </w:rPr>
              <w:t xml:space="preserve">o </w:t>
            </w:r>
            <w:r w:rsidRPr="00873AF2">
              <w:rPr>
                <w:rFonts w:eastAsia="Times New Roman"/>
                <w:i/>
                <w:iCs/>
                <w:spacing w:val="-2"/>
                <w:szCs w:val="24"/>
              </w:rPr>
              <w:t>C,</w:t>
            </w:r>
            <w:r w:rsidRPr="00873AF2">
              <w:rPr>
                <w:rFonts w:eastAsia="Times New Roman"/>
                <w:i/>
                <w:iCs/>
                <w:spacing w:val="-17"/>
                <w:szCs w:val="24"/>
              </w:rPr>
              <w:t xml:space="preserve"> </w:t>
            </w:r>
            <w:r w:rsidRPr="00873AF2">
              <w:rPr>
                <w:rFonts w:eastAsia="Times New Roman"/>
                <w:i/>
                <w:iCs/>
                <w:spacing w:val="-2"/>
                <w:szCs w:val="24"/>
              </w:rPr>
              <w:t>and</w:t>
            </w:r>
            <w:r w:rsidRPr="00873AF2">
              <w:rPr>
                <w:rFonts w:eastAsia="Times New Roman"/>
                <w:i/>
                <w:iCs/>
                <w:spacing w:val="-18"/>
                <w:szCs w:val="24"/>
              </w:rPr>
              <w:t xml:space="preserve"> </w:t>
            </w:r>
            <w:r w:rsidRPr="00873AF2">
              <w:rPr>
                <w:rFonts w:eastAsia="Times New Roman"/>
                <w:i/>
                <w:iCs/>
                <w:szCs w:val="24"/>
              </w:rPr>
              <w:t>discard</w:t>
            </w:r>
            <w:r w:rsidRPr="00873AF2">
              <w:rPr>
                <w:rFonts w:eastAsia="Times New Roman"/>
                <w:i/>
                <w:iCs/>
                <w:spacing w:val="-3"/>
                <w:szCs w:val="24"/>
              </w:rPr>
              <w:t xml:space="preserve"> </w:t>
            </w:r>
            <w:r w:rsidRPr="00873AF2">
              <w:rPr>
                <w:rFonts w:eastAsia="Times New Roman"/>
                <w:i/>
                <w:iCs/>
                <w:szCs w:val="24"/>
              </w:rPr>
              <w:t>after</w:t>
            </w:r>
            <w:r w:rsidRPr="00873AF2">
              <w:rPr>
                <w:rFonts w:eastAsia="Times New Roman"/>
                <w:i/>
                <w:iCs/>
                <w:spacing w:val="-2"/>
                <w:szCs w:val="24"/>
              </w:rPr>
              <w:t xml:space="preserve"> </w:t>
            </w:r>
            <w:r w:rsidRPr="00873AF2">
              <w:rPr>
                <w:rFonts w:eastAsia="Times New Roman"/>
                <w:i/>
                <w:iCs/>
                <w:szCs w:val="24"/>
              </w:rPr>
              <w:t>10</w:t>
            </w:r>
            <w:r w:rsidRPr="00873AF2">
              <w:rPr>
                <w:rFonts w:eastAsia="Times New Roman"/>
                <w:i/>
                <w:iCs/>
                <w:spacing w:val="-1"/>
                <w:szCs w:val="24"/>
              </w:rPr>
              <w:t xml:space="preserve"> </w:t>
            </w:r>
            <w:r w:rsidRPr="00873AF2">
              <w:rPr>
                <w:rFonts w:eastAsia="Times New Roman"/>
                <w:i/>
                <w:iCs/>
                <w:szCs w:val="24"/>
              </w:rPr>
              <w:t>days.</w:t>
            </w:r>
          </w:p>
        </w:tc>
      </w:tr>
      <w:tr w:rsidR="007B485D" w:rsidRPr="00727DFA" w14:paraId="11D5DCA3"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7964246A" w14:textId="77777777" w:rsidR="007B485D" w:rsidRPr="00727DFA" w:rsidRDefault="007B485D" w:rsidP="002D6DD7">
            <w:pPr>
              <w:jc w:val="both"/>
              <w:rPr>
                <w:rFonts w:eastAsia="DengXian"/>
                <w:b/>
                <w:szCs w:val="24"/>
              </w:rPr>
            </w:pPr>
            <w:r w:rsidRPr="00727DFA">
              <w:rPr>
                <w:rFonts w:eastAsia="DengXian"/>
                <w:b/>
                <w:szCs w:val="24"/>
              </w:rPr>
              <w:t xml:space="preserve">Ampicillin </w:t>
            </w:r>
            <w:r w:rsidRPr="00873AF2">
              <w:rPr>
                <w:rFonts w:eastAsia="DengXian"/>
                <w:b/>
                <w:szCs w:val="24"/>
              </w:rPr>
              <w:t>(Access)</w:t>
            </w:r>
          </w:p>
        </w:tc>
      </w:tr>
      <w:tr w:rsidR="007B485D" w:rsidRPr="00727DFA" w14:paraId="2AA4A07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7E22D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60C8DB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Penicillin</w:t>
            </w:r>
          </w:p>
        </w:tc>
      </w:tr>
      <w:tr w:rsidR="007B485D" w:rsidRPr="00727DFA" w14:paraId="6EEB0D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AD7F14"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02F0E76E" w14:textId="77777777" w:rsidR="007B485D" w:rsidRPr="00727DFA" w:rsidRDefault="007B485D" w:rsidP="002D6DD7">
            <w:pPr>
              <w:widowControl w:val="0"/>
              <w:autoSpaceDE w:val="0"/>
              <w:autoSpaceDN w:val="0"/>
              <w:jc w:val="both"/>
              <w:rPr>
                <w:rFonts w:eastAsia="Times New Roman"/>
                <w:spacing w:val="-4"/>
                <w:szCs w:val="24"/>
              </w:rPr>
            </w:pPr>
            <w:r w:rsidRPr="00727DFA">
              <w:rPr>
                <w:rFonts w:eastAsia="Times New Roman"/>
                <w:spacing w:val="-2"/>
                <w:szCs w:val="24"/>
              </w:rPr>
              <w:t xml:space="preserve">Powder for </w:t>
            </w:r>
            <w:r>
              <w:rPr>
                <w:rFonts w:eastAsia="Times New Roman"/>
                <w:spacing w:val="-2"/>
                <w:szCs w:val="24"/>
              </w:rPr>
              <w:t>i</w:t>
            </w:r>
            <w:r w:rsidRPr="00727DFA">
              <w:rPr>
                <w:rFonts w:eastAsia="Times New Roman"/>
                <w:spacing w:val="-2"/>
                <w:szCs w:val="24"/>
              </w:rPr>
              <w:t>njection</w:t>
            </w:r>
            <w:r w:rsidRPr="00873AF2">
              <w:rPr>
                <w:rFonts w:eastAsia="Times New Roman"/>
                <w:spacing w:val="-2"/>
                <w:szCs w:val="24"/>
              </w:rPr>
              <w:t>:</w:t>
            </w:r>
            <w:r w:rsidRPr="00727DFA">
              <w:rPr>
                <w:rFonts w:eastAsia="Times New Roman"/>
                <w:spacing w:val="-2"/>
                <w:szCs w:val="24"/>
              </w:rPr>
              <w:t xml:space="preserve"> 250</w:t>
            </w:r>
            <w:r w:rsidRPr="00727DFA">
              <w:rPr>
                <w:rFonts w:eastAsia="Times New Roman"/>
                <w:spacing w:val="-15"/>
                <w:szCs w:val="24"/>
              </w:rPr>
              <w:t xml:space="preserve"> </w:t>
            </w:r>
            <w:r w:rsidRPr="00727DFA">
              <w:rPr>
                <w:rFonts w:eastAsia="Times New Roman"/>
                <w:spacing w:val="-2"/>
                <w:szCs w:val="24"/>
              </w:rPr>
              <w:t>mg,</w:t>
            </w:r>
            <w:r w:rsidRPr="00727DFA">
              <w:rPr>
                <w:rFonts w:eastAsia="Times New Roman"/>
                <w:spacing w:val="-16"/>
                <w:szCs w:val="24"/>
              </w:rPr>
              <w:t xml:space="preserve"> </w:t>
            </w:r>
            <w:r w:rsidRPr="00727DFA">
              <w:rPr>
                <w:rFonts w:eastAsia="Times New Roman"/>
                <w:spacing w:val="-2"/>
                <w:szCs w:val="24"/>
              </w:rPr>
              <w:t>500</w:t>
            </w:r>
            <w:r w:rsidRPr="00727DFA">
              <w:rPr>
                <w:rFonts w:eastAsia="Times New Roman"/>
                <w:spacing w:val="-15"/>
                <w:szCs w:val="24"/>
              </w:rPr>
              <w:t xml:space="preserve"> </w:t>
            </w:r>
            <w:r w:rsidRPr="00727DFA">
              <w:rPr>
                <w:rFonts w:eastAsia="Times New Roman"/>
                <w:spacing w:val="-2"/>
                <w:szCs w:val="24"/>
              </w:rPr>
              <w:t>mg,</w:t>
            </w:r>
            <w:r w:rsidRPr="00727DFA">
              <w:rPr>
                <w:rFonts w:eastAsia="Times New Roman"/>
                <w:spacing w:val="-17"/>
                <w:szCs w:val="24"/>
              </w:rPr>
              <w:t xml:space="preserve"> </w:t>
            </w:r>
            <w:r w:rsidRPr="00727DFA">
              <w:rPr>
                <w:rFonts w:eastAsia="Times New Roman"/>
                <w:spacing w:val="-2"/>
                <w:szCs w:val="24"/>
              </w:rPr>
              <w:t>1</w:t>
            </w:r>
            <w:r w:rsidRPr="00727DFA">
              <w:rPr>
                <w:rFonts w:eastAsia="Times New Roman"/>
                <w:spacing w:val="-15"/>
                <w:szCs w:val="24"/>
              </w:rPr>
              <w:t xml:space="preserve"> </w:t>
            </w:r>
            <w:r w:rsidRPr="00727DFA">
              <w:rPr>
                <w:rFonts w:eastAsia="Times New Roman"/>
                <w:spacing w:val="-2"/>
                <w:szCs w:val="24"/>
              </w:rPr>
              <w:t>g</w:t>
            </w:r>
            <w:r w:rsidRPr="00727DFA">
              <w:rPr>
                <w:rFonts w:eastAsia="Times New Roman"/>
                <w:spacing w:val="-16"/>
                <w:szCs w:val="24"/>
              </w:rPr>
              <w:t xml:space="preserve"> </w:t>
            </w:r>
            <w:r w:rsidRPr="00727DFA">
              <w:rPr>
                <w:rFonts w:eastAsia="Times New Roman"/>
                <w:spacing w:val="-2"/>
                <w:szCs w:val="24"/>
              </w:rPr>
              <w:t>in</w:t>
            </w:r>
            <w:r w:rsidRPr="00727DFA">
              <w:rPr>
                <w:rFonts w:eastAsia="Times New Roman"/>
                <w:spacing w:val="-15"/>
                <w:szCs w:val="24"/>
              </w:rPr>
              <w:t xml:space="preserve"> </w:t>
            </w:r>
            <w:r w:rsidRPr="00727DFA">
              <w:rPr>
                <w:rFonts w:eastAsia="Times New Roman"/>
                <w:spacing w:val="-4"/>
                <w:szCs w:val="24"/>
              </w:rPr>
              <w:t xml:space="preserve">vial </w:t>
            </w:r>
            <w:r w:rsidRPr="00727DFA">
              <w:rPr>
                <w:rFonts w:eastAsia="Times New Roman"/>
                <w:spacing w:val="-17"/>
                <w:szCs w:val="24"/>
              </w:rPr>
              <w:t>(</w:t>
            </w:r>
            <w:r w:rsidRPr="00727DFA">
              <w:rPr>
                <w:rFonts w:eastAsia="Times New Roman"/>
                <w:spacing w:val="-2"/>
                <w:szCs w:val="24"/>
              </w:rPr>
              <w:t>sodium salt</w:t>
            </w:r>
            <w:r w:rsidRPr="00727DFA">
              <w:rPr>
                <w:rFonts w:eastAsia="Times New Roman"/>
                <w:spacing w:val="-4"/>
                <w:szCs w:val="24"/>
              </w:rPr>
              <w:t>)</w:t>
            </w:r>
          </w:p>
        </w:tc>
      </w:tr>
      <w:tr w:rsidR="007B485D" w:rsidRPr="00727DFA" w14:paraId="736B443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A654341" w14:textId="77777777" w:rsidR="007B485D" w:rsidRPr="00873AF2" w:rsidRDefault="007B485D" w:rsidP="002D6DD7">
            <w:pPr>
              <w:widowControl w:val="0"/>
              <w:autoSpaceDE w:val="0"/>
              <w:autoSpaceDN w:val="0"/>
              <w:jc w:val="both"/>
              <w:rPr>
                <w:rFonts w:eastAsia="Times New Roman"/>
                <w:bCs/>
                <w:szCs w:val="24"/>
              </w:rPr>
            </w:pPr>
            <w:r w:rsidRPr="00873AF2">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9D1DF2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Intrapartum prophylaxis, GI endoscopy (for high-risk patients undergoing high-risk procedures), respiratory tract infections,</w:t>
            </w:r>
            <w:r w:rsidRPr="00727DFA">
              <w:rPr>
                <w:rFonts w:eastAsia="Times New Roman"/>
                <w:spacing w:val="-8"/>
                <w:szCs w:val="24"/>
              </w:rPr>
              <w:t xml:space="preserve"> </w:t>
            </w:r>
            <w:r w:rsidRPr="00727DFA">
              <w:rPr>
                <w:rFonts w:eastAsia="Times New Roman"/>
                <w:szCs w:val="24"/>
              </w:rPr>
              <w:t>cholecystitis</w:t>
            </w:r>
            <w:r w:rsidRPr="00727DFA">
              <w:rPr>
                <w:rFonts w:eastAsia="Times New Roman"/>
                <w:spacing w:val="-8"/>
                <w:szCs w:val="24"/>
              </w:rPr>
              <w:t xml:space="preserve"> </w:t>
            </w:r>
            <w:r w:rsidRPr="00727DFA">
              <w:rPr>
                <w:rFonts w:eastAsia="Times New Roman"/>
                <w:szCs w:val="24"/>
              </w:rPr>
              <w:t>and</w:t>
            </w:r>
            <w:r w:rsidRPr="00727DFA">
              <w:rPr>
                <w:rFonts w:eastAsia="Times New Roman"/>
                <w:spacing w:val="-7"/>
                <w:szCs w:val="24"/>
              </w:rPr>
              <w:t xml:space="preserve"> </w:t>
            </w:r>
            <w:r w:rsidRPr="00727DFA">
              <w:rPr>
                <w:rFonts w:eastAsia="Times New Roman"/>
                <w:szCs w:val="24"/>
              </w:rPr>
              <w:t>gastrointestinal</w:t>
            </w:r>
            <w:r w:rsidRPr="00727DFA">
              <w:rPr>
                <w:rFonts w:eastAsia="Times New Roman"/>
                <w:spacing w:val="-5"/>
                <w:szCs w:val="24"/>
              </w:rPr>
              <w:t xml:space="preserve"> </w:t>
            </w:r>
            <w:r w:rsidRPr="00727DFA">
              <w:rPr>
                <w:rFonts w:eastAsia="Times New Roman"/>
                <w:szCs w:val="24"/>
              </w:rPr>
              <w:t>tract</w:t>
            </w:r>
            <w:r w:rsidRPr="00727DFA">
              <w:rPr>
                <w:rFonts w:eastAsia="Times New Roman"/>
                <w:spacing w:val="-8"/>
                <w:szCs w:val="24"/>
              </w:rPr>
              <w:t xml:space="preserve"> </w:t>
            </w:r>
            <w:r w:rsidRPr="00727DFA">
              <w:rPr>
                <w:rFonts w:eastAsia="Times New Roman"/>
                <w:szCs w:val="24"/>
              </w:rPr>
              <w:t>infections</w:t>
            </w:r>
            <w:r w:rsidRPr="00727DFA">
              <w:rPr>
                <w:rFonts w:eastAsia="Times New Roman"/>
                <w:spacing w:val="-8"/>
                <w:szCs w:val="24"/>
              </w:rPr>
              <w:t xml:space="preserve"> </w:t>
            </w:r>
            <w:r w:rsidRPr="00727DFA">
              <w:rPr>
                <w:rFonts w:eastAsia="Times New Roman"/>
                <w:szCs w:val="24"/>
              </w:rPr>
              <w:t xml:space="preserve">including </w:t>
            </w:r>
            <w:r w:rsidRPr="00727DFA">
              <w:rPr>
                <w:rFonts w:eastAsia="Times New Roman"/>
                <w:spacing w:val="-2"/>
                <w:szCs w:val="24"/>
              </w:rPr>
              <w:t>typhoid</w:t>
            </w:r>
            <w:r>
              <w:rPr>
                <w:rFonts w:eastAsia="Times New Roman"/>
                <w:spacing w:val="-2"/>
                <w:szCs w:val="24"/>
              </w:rPr>
              <w:t>.</w:t>
            </w:r>
          </w:p>
        </w:tc>
      </w:tr>
      <w:tr w:rsidR="007B485D" w:rsidRPr="00727DFA" w14:paraId="768DEBA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240841"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Pr>
                <w:rFonts w:eastAsia="Times New Roman"/>
                <w:bCs/>
                <w:szCs w:val="24"/>
              </w:rPr>
              <w:t>a</w:t>
            </w:r>
            <w:r w:rsidRPr="00727DFA">
              <w:rPr>
                <w:rFonts w:eastAsia="Times New Rom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025D9A95" w14:textId="77777777" w:rsidR="007B485D" w:rsidRPr="00727DFA" w:rsidRDefault="007B485D" w:rsidP="002D6DD7">
            <w:pPr>
              <w:widowControl w:val="0"/>
              <w:tabs>
                <w:tab w:val="left" w:pos="3768"/>
              </w:tabs>
              <w:autoSpaceDE w:val="0"/>
              <w:autoSpaceDN w:val="0"/>
              <w:jc w:val="both"/>
              <w:rPr>
                <w:rFonts w:eastAsia="Times New Roman"/>
                <w:b/>
                <w:bCs/>
                <w:szCs w:val="24"/>
              </w:rPr>
            </w:pPr>
            <w:r w:rsidRPr="00727DFA">
              <w:rPr>
                <w:rFonts w:eastAsia="Times New Roman"/>
                <w:b/>
                <w:szCs w:val="24"/>
              </w:rPr>
              <w:t>Infections</w:t>
            </w:r>
            <w:r w:rsidRPr="00727DFA">
              <w:rPr>
                <w:rFonts w:eastAsia="Times New Roman"/>
                <w:b/>
                <w:spacing w:val="-17"/>
                <w:szCs w:val="24"/>
              </w:rPr>
              <w:t xml:space="preserve"> </w:t>
            </w:r>
            <w:r w:rsidRPr="00727DFA">
              <w:rPr>
                <w:rFonts w:eastAsia="Times New Roman"/>
                <w:b/>
                <w:szCs w:val="24"/>
              </w:rPr>
              <w:t>due</w:t>
            </w:r>
            <w:r w:rsidRPr="00727DFA">
              <w:rPr>
                <w:rFonts w:eastAsia="Times New Roman"/>
                <w:b/>
                <w:spacing w:val="-16"/>
                <w:szCs w:val="24"/>
              </w:rPr>
              <w:t xml:space="preserve"> </w:t>
            </w:r>
            <w:r w:rsidRPr="00727DFA">
              <w:rPr>
                <w:rFonts w:eastAsia="Times New Roman"/>
                <w:b/>
                <w:szCs w:val="24"/>
              </w:rPr>
              <w:t>to</w:t>
            </w:r>
            <w:r w:rsidRPr="00727DFA">
              <w:rPr>
                <w:rFonts w:eastAsia="Times New Roman"/>
                <w:b/>
                <w:spacing w:val="-19"/>
                <w:szCs w:val="24"/>
              </w:rPr>
              <w:t xml:space="preserve"> </w:t>
            </w:r>
            <w:r w:rsidRPr="00727DFA">
              <w:rPr>
                <w:rFonts w:eastAsia="Times New Roman"/>
                <w:b/>
                <w:szCs w:val="24"/>
              </w:rPr>
              <w:t>susceptible</w:t>
            </w:r>
            <w:r w:rsidRPr="00727DFA">
              <w:rPr>
                <w:rFonts w:eastAsia="Times New Roman"/>
                <w:b/>
                <w:spacing w:val="-17"/>
                <w:szCs w:val="24"/>
              </w:rPr>
              <w:t xml:space="preserve"> </w:t>
            </w:r>
            <w:r w:rsidRPr="00727DFA">
              <w:rPr>
                <w:rFonts w:eastAsia="Times New Roman"/>
                <w:b/>
                <w:szCs w:val="24"/>
              </w:rPr>
              <w:t>organisms</w:t>
            </w:r>
            <w:r w:rsidRPr="00727DFA">
              <w:rPr>
                <w:rFonts w:eastAsia="Times New Roman"/>
                <w:b/>
                <w:bCs/>
                <w:szCs w:val="24"/>
              </w:rPr>
              <w:t xml:space="preserve"> </w:t>
            </w:r>
          </w:p>
          <w:p w14:paraId="5BFFE812" w14:textId="77777777" w:rsidR="007B485D" w:rsidRPr="00727DFA" w:rsidRDefault="007B485D" w:rsidP="002D6DD7">
            <w:pPr>
              <w:widowControl w:val="0"/>
              <w:tabs>
                <w:tab w:val="left" w:pos="3768"/>
              </w:tabs>
              <w:autoSpaceDE w:val="0"/>
              <w:autoSpaceDN w:val="0"/>
              <w:jc w:val="both"/>
              <w:rPr>
                <w:rFonts w:eastAsia="Times New Roman"/>
                <w:b/>
                <w:bCs/>
                <w:szCs w:val="24"/>
              </w:rPr>
            </w:pPr>
            <w:r w:rsidRPr="00727DFA">
              <w:rPr>
                <w:rFonts w:eastAsia="Times New Roman"/>
                <w:b/>
                <w:bCs/>
                <w:szCs w:val="24"/>
              </w:rPr>
              <w:t xml:space="preserve">Adult and child </w:t>
            </w:r>
            <m:oMath>
              <m:r>
                <m:rPr>
                  <m:sty m:val="bi"/>
                </m:rPr>
                <w:rPr>
                  <w:rFonts w:ascii="Cambria Math" w:eastAsia="Times New Roman" w:hAnsi="Cambria Math"/>
                  <w:szCs w:val="24"/>
                </w:rPr>
                <m:t>≥</m:t>
              </m:r>
            </m:oMath>
            <w:r w:rsidRPr="00727DFA">
              <w:rPr>
                <w:rFonts w:eastAsia="Times New Roman"/>
                <w:b/>
                <w:bCs/>
                <w:szCs w:val="24"/>
              </w:rPr>
              <w:t xml:space="preserve"> 20 kg</w:t>
            </w:r>
          </w:p>
          <w:p w14:paraId="0376DF40" w14:textId="77777777" w:rsidR="007B485D" w:rsidRPr="00727DFA" w:rsidRDefault="007B485D" w:rsidP="002D6DD7">
            <w:pPr>
              <w:widowControl w:val="0"/>
              <w:tabs>
                <w:tab w:val="left" w:pos="3768"/>
              </w:tabs>
              <w:autoSpaceDE w:val="0"/>
              <w:autoSpaceDN w:val="0"/>
              <w:jc w:val="both"/>
              <w:rPr>
                <w:rFonts w:eastAsia="Times New Roman"/>
                <w:szCs w:val="24"/>
              </w:rPr>
            </w:pPr>
            <w:r w:rsidRPr="00727DFA">
              <w:rPr>
                <w:rFonts w:eastAsia="Times New Roman"/>
                <w:b/>
                <w:bCs/>
                <w:szCs w:val="24"/>
              </w:rPr>
              <w:t>IM:</w:t>
            </w:r>
            <w:r w:rsidRPr="00727DFA">
              <w:rPr>
                <w:rFonts w:eastAsia="Times New Roman"/>
                <w:spacing w:val="-19"/>
                <w:szCs w:val="24"/>
              </w:rPr>
              <w:t xml:space="preserve"> </w:t>
            </w:r>
            <w:r w:rsidRPr="00727DFA">
              <w:rPr>
                <w:rFonts w:eastAsia="Times New Roman"/>
                <w:szCs w:val="24"/>
              </w:rPr>
              <w:t>500mg</w:t>
            </w:r>
            <w:r w:rsidRPr="00727DFA">
              <w:rPr>
                <w:rFonts w:eastAsia="Times New Roman"/>
                <w:spacing w:val="-19"/>
                <w:szCs w:val="24"/>
              </w:rPr>
              <w:t xml:space="preserve"> </w:t>
            </w:r>
            <w:r w:rsidRPr="00727DFA">
              <w:rPr>
                <w:rFonts w:eastAsia="Times New Roman"/>
                <w:szCs w:val="24"/>
              </w:rPr>
              <w:t>6</w:t>
            </w:r>
            <w:r w:rsidRPr="00727DFA">
              <w:rPr>
                <w:rFonts w:eastAsia="Times New Roman"/>
                <w:spacing w:val="-19"/>
                <w:szCs w:val="24"/>
              </w:rPr>
              <w:t xml:space="preserve"> </w:t>
            </w:r>
            <w:r w:rsidRPr="00727DFA">
              <w:rPr>
                <w:rFonts w:eastAsia="Times New Roman"/>
                <w:szCs w:val="24"/>
              </w:rPr>
              <w:t>hourly</w:t>
            </w:r>
          </w:p>
          <w:p w14:paraId="025F432A" w14:textId="77777777" w:rsidR="007B485D" w:rsidRPr="00727DFA" w:rsidRDefault="007B485D" w:rsidP="002D6DD7">
            <w:pPr>
              <w:widowControl w:val="0"/>
              <w:tabs>
                <w:tab w:val="left" w:pos="3768"/>
              </w:tabs>
              <w:autoSpaceDE w:val="0"/>
              <w:autoSpaceDN w:val="0"/>
              <w:jc w:val="both"/>
              <w:rPr>
                <w:rFonts w:eastAsia="Times New Roman"/>
                <w:b/>
                <w:bCs/>
                <w:spacing w:val="-19"/>
                <w:szCs w:val="24"/>
              </w:rPr>
            </w:pPr>
            <w:r w:rsidRPr="00727DFA">
              <w:rPr>
                <w:rFonts w:eastAsia="Times New Roman"/>
                <w:b/>
                <w:bCs/>
                <w:szCs w:val="24"/>
              </w:rPr>
              <w:t>IV (</w:t>
            </w:r>
            <w:r w:rsidRPr="00727DFA">
              <w:rPr>
                <w:rFonts w:eastAsia="Times New Roman"/>
                <w:szCs w:val="24"/>
              </w:rPr>
              <w:t>By slow</w:t>
            </w:r>
            <w:r w:rsidRPr="00727DFA">
              <w:rPr>
                <w:rFonts w:eastAsia="Times New Roman"/>
                <w:spacing w:val="-19"/>
                <w:szCs w:val="24"/>
              </w:rPr>
              <w:t xml:space="preserve"> </w:t>
            </w:r>
            <w:r w:rsidRPr="00727DFA">
              <w:rPr>
                <w:rFonts w:eastAsia="Times New Roman"/>
                <w:szCs w:val="24"/>
              </w:rPr>
              <w:t>injection</w:t>
            </w:r>
            <w:r w:rsidRPr="00727DFA">
              <w:rPr>
                <w:rFonts w:eastAsia="Times New Roman"/>
                <w:spacing w:val="-19"/>
                <w:szCs w:val="24"/>
              </w:rPr>
              <w:t xml:space="preserve"> </w:t>
            </w:r>
            <w:r w:rsidRPr="00727DFA">
              <w:rPr>
                <w:rFonts w:eastAsia="Times New Roman"/>
                <w:szCs w:val="24"/>
              </w:rPr>
              <w:t>or</w:t>
            </w:r>
            <w:r w:rsidRPr="00727DFA">
              <w:rPr>
                <w:rFonts w:eastAsia="Times New Roman"/>
                <w:spacing w:val="-18"/>
                <w:szCs w:val="24"/>
              </w:rPr>
              <w:t xml:space="preserve"> </w:t>
            </w:r>
            <w:r w:rsidRPr="00727DFA">
              <w:rPr>
                <w:rFonts w:eastAsia="Times New Roman"/>
                <w:szCs w:val="24"/>
              </w:rPr>
              <w:t>infusion</w:t>
            </w:r>
            <w:r w:rsidRPr="00727DFA">
              <w:rPr>
                <w:rFonts w:eastAsia="Times New Roman"/>
                <w:spacing w:val="-19"/>
                <w:szCs w:val="24"/>
              </w:rPr>
              <w:t xml:space="preserve"> </w:t>
            </w:r>
            <w:r w:rsidRPr="00727DFA">
              <w:rPr>
                <w:rFonts w:eastAsia="Times New Roman"/>
                <w:szCs w:val="24"/>
              </w:rPr>
              <w:t>over 30-60 minutes</w:t>
            </w:r>
            <w:r w:rsidRPr="00727DFA">
              <w:rPr>
                <w:rFonts w:eastAsia="Times New Roman"/>
                <w:b/>
                <w:bCs/>
                <w:szCs w:val="24"/>
              </w:rPr>
              <w:t>):</w:t>
            </w:r>
            <w:r w:rsidRPr="00727DFA">
              <w:rPr>
                <w:rFonts w:eastAsia="Times New Roman"/>
                <w:b/>
                <w:bCs/>
                <w:spacing w:val="-19"/>
                <w:szCs w:val="24"/>
              </w:rPr>
              <w:t xml:space="preserve"> </w:t>
            </w:r>
            <w:r w:rsidRPr="00727DFA">
              <w:rPr>
                <w:rFonts w:eastAsia="Times New Roman"/>
                <w:szCs w:val="24"/>
              </w:rPr>
              <w:t>500mg 4 or 6 hourly (up to 12g daily for severe infections including meningitis and septicemia), maximum 300</w:t>
            </w:r>
            <w:r w:rsidRPr="00727DFA">
              <w:rPr>
                <w:rFonts w:eastAsia="Times New Roman"/>
                <w:spacing w:val="-15"/>
                <w:szCs w:val="24"/>
              </w:rPr>
              <w:t xml:space="preserve"> </w:t>
            </w:r>
            <w:r w:rsidRPr="00727DFA">
              <w:rPr>
                <w:rFonts w:eastAsia="Times New Roman"/>
                <w:szCs w:val="24"/>
              </w:rPr>
              <w:t>mg/kg/day</w:t>
            </w:r>
          </w:p>
          <w:p w14:paraId="1BA05C7B" w14:textId="77777777" w:rsidR="007B485D" w:rsidRPr="00727DFA" w:rsidRDefault="007B485D" w:rsidP="002D6DD7">
            <w:pPr>
              <w:widowControl w:val="0"/>
              <w:tabs>
                <w:tab w:val="left" w:pos="3768"/>
              </w:tabs>
              <w:autoSpaceDE w:val="0"/>
              <w:autoSpaceDN w:val="0"/>
              <w:jc w:val="both"/>
              <w:rPr>
                <w:rFonts w:eastAsia="Times New Roman"/>
                <w:szCs w:val="24"/>
              </w:rPr>
            </w:pPr>
            <w:r w:rsidRPr="00727DFA">
              <w:rPr>
                <w:rFonts w:eastAsia="Times New Roman"/>
                <w:b/>
                <w:szCs w:val="24"/>
              </w:rPr>
              <w:t>Note</w:t>
            </w:r>
            <w:r w:rsidRPr="00727DFA">
              <w:rPr>
                <w:rFonts w:eastAsia="Times New Roman"/>
                <w:szCs w:val="24"/>
              </w:rPr>
              <w:t>: In patients with renal</w:t>
            </w:r>
            <w:r w:rsidRPr="00727DFA">
              <w:rPr>
                <w:rFonts w:eastAsia="Times New Roman"/>
                <w:spacing w:val="-15"/>
                <w:szCs w:val="24"/>
              </w:rPr>
              <w:t xml:space="preserve"> </w:t>
            </w:r>
            <w:r w:rsidRPr="00727DFA">
              <w:rPr>
                <w:rFonts w:eastAsia="Times New Roman"/>
                <w:szCs w:val="24"/>
              </w:rPr>
              <w:t>impairment:</w:t>
            </w:r>
            <w:r w:rsidRPr="00727DFA">
              <w:rPr>
                <w:rFonts w:eastAsia="Times New Roman"/>
                <w:spacing w:val="-16"/>
                <w:szCs w:val="24"/>
              </w:rPr>
              <w:t xml:space="preserve"> </w:t>
            </w:r>
            <w:r w:rsidRPr="00727DFA">
              <w:rPr>
                <w:rFonts w:eastAsia="Times New Roman"/>
                <w:szCs w:val="24"/>
              </w:rPr>
              <w:t>GFR</w:t>
            </w:r>
            <w:r w:rsidRPr="00727DFA">
              <w:rPr>
                <w:rFonts w:eastAsia="Times New Roman"/>
                <w:spacing w:val="-16"/>
                <w:szCs w:val="24"/>
              </w:rPr>
              <w:t xml:space="preserve"> </w:t>
            </w:r>
            <w:r w:rsidRPr="00727DFA">
              <w:rPr>
                <w:rFonts w:eastAsia="Times New Roman"/>
                <w:szCs w:val="24"/>
              </w:rPr>
              <w:t>10</w:t>
            </w:r>
            <w:r w:rsidRPr="00727DFA">
              <w:rPr>
                <w:rFonts w:eastAsia="Times New Roman"/>
                <w:spacing w:val="-15"/>
                <w:szCs w:val="24"/>
              </w:rPr>
              <w:t xml:space="preserve"> </w:t>
            </w:r>
            <w:r w:rsidRPr="00727DFA">
              <w:rPr>
                <w:rFonts w:eastAsia="Times New Roman"/>
                <w:szCs w:val="24"/>
              </w:rPr>
              <w:t>to 50ml/min,</w:t>
            </w:r>
            <w:r w:rsidRPr="00727DFA">
              <w:rPr>
                <w:rFonts w:eastAsia="Times New Roman"/>
                <w:spacing w:val="-16"/>
                <w:szCs w:val="24"/>
              </w:rPr>
              <w:t xml:space="preserve"> </w:t>
            </w:r>
            <w:r w:rsidRPr="00727DFA">
              <w:rPr>
                <w:rFonts w:eastAsia="Times New Roman"/>
                <w:szCs w:val="24"/>
              </w:rPr>
              <w:t>dose interval</w:t>
            </w:r>
            <w:r w:rsidRPr="00727DFA">
              <w:rPr>
                <w:rFonts w:eastAsia="Times New Roman"/>
                <w:spacing w:val="-6"/>
                <w:szCs w:val="24"/>
              </w:rPr>
              <w:t xml:space="preserve"> </w:t>
            </w:r>
            <w:r w:rsidRPr="00727DFA">
              <w:rPr>
                <w:rFonts w:eastAsia="Times New Roman"/>
                <w:szCs w:val="24"/>
              </w:rPr>
              <w:t>6-12</w:t>
            </w:r>
            <w:r w:rsidRPr="00727DFA">
              <w:rPr>
                <w:rFonts w:eastAsia="Times New Roman"/>
                <w:spacing w:val="-6"/>
                <w:szCs w:val="24"/>
              </w:rPr>
              <w:t xml:space="preserve"> </w:t>
            </w:r>
            <w:r w:rsidRPr="00727DFA">
              <w:rPr>
                <w:rFonts w:eastAsia="Times New Roman"/>
                <w:szCs w:val="24"/>
              </w:rPr>
              <w:t>hours;</w:t>
            </w:r>
            <w:r w:rsidRPr="00727DFA">
              <w:rPr>
                <w:rFonts w:eastAsia="Times New Roman"/>
                <w:spacing w:val="-7"/>
                <w:szCs w:val="24"/>
              </w:rPr>
              <w:t xml:space="preserve"> </w:t>
            </w:r>
            <w:r w:rsidRPr="00727DFA">
              <w:rPr>
                <w:rFonts w:eastAsia="Times New Roman"/>
                <w:szCs w:val="24"/>
              </w:rPr>
              <w:t>GFR</w:t>
            </w:r>
            <w:r w:rsidRPr="00727DFA">
              <w:rPr>
                <w:rFonts w:eastAsia="Times New Roman"/>
                <w:spacing w:val="-7"/>
                <w:szCs w:val="24"/>
              </w:rPr>
              <w:t xml:space="preserve"> </w:t>
            </w:r>
            <w:r w:rsidRPr="00727DFA">
              <w:rPr>
                <w:rFonts w:eastAsia="Times New Roman"/>
                <w:szCs w:val="24"/>
              </w:rPr>
              <w:t>&lt;10ml/min, dose interval</w:t>
            </w:r>
            <w:r w:rsidRPr="00727DFA">
              <w:rPr>
                <w:rFonts w:eastAsia="Times New Roman"/>
                <w:spacing w:val="-7"/>
                <w:szCs w:val="24"/>
              </w:rPr>
              <w:t xml:space="preserve"> </w:t>
            </w:r>
            <w:r w:rsidRPr="00727DFA">
              <w:rPr>
                <w:rFonts w:eastAsia="Times New Roman"/>
                <w:szCs w:val="24"/>
              </w:rPr>
              <w:t>12-24 hours</w:t>
            </w:r>
          </w:p>
          <w:p w14:paraId="72089354" w14:textId="77777777" w:rsidR="007B485D" w:rsidRPr="00727DFA" w:rsidRDefault="007B485D" w:rsidP="002D6DD7">
            <w:pPr>
              <w:widowControl w:val="0"/>
              <w:tabs>
                <w:tab w:val="left" w:pos="3768"/>
              </w:tabs>
              <w:autoSpaceDE w:val="0"/>
              <w:autoSpaceDN w:val="0"/>
              <w:jc w:val="both"/>
              <w:rPr>
                <w:rFonts w:eastAsia="Times New Roman"/>
                <w:b/>
                <w:bCs/>
                <w:szCs w:val="24"/>
              </w:rPr>
            </w:pPr>
            <w:r w:rsidRPr="00727DFA">
              <w:rPr>
                <w:rFonts w:eastAsia="Times New Roman"/>
                <w:b/>
                <w:bCs/>
                <w:szCs w:val="24"/>
              </w:rPr>
              <w:t xml:space="preserve">Child; </w:t>
            </w:r>
            <w:r w:rsidRPr="00727DFA">
              <w:rPr>
                <w:rFonts w:eastAsia="Times New Roman"/>
                <w:b/>
                <w:bCs/>
                <w:spacing w:val="-8"/>
                <w:szCs w:val="24"/>
              </w:rPr>
              <w:t>IM</w:t>
            </w:r>
            <w:r w:rsidRPr="00727DFA">
              <w:rPr>
                <w:rFonts w:eastAsia="Times New Roman"/>
                <w:b/>
                <w:bCs/>
                <w:spacing w:val="-5"/>
                <w:szCs w:val="24"/>
              </w:rPr>
              <w:t xml:space="preserve"> </w:t>
            </w:r>
            <w:r w:rsidRPr="00727DFA">
              <w:rPr>
                <w:rFonts w:eastAsia="Times New Roman"/>
                <w:b/>
                <w:bCs/>
                <w:szCs w:val="24"/>
              </w:rPr>
              <w:t>or IV:</w:t>
            </w:r>
          </w:p>
          <w:p w14:paraId="4E08FAA5" w14:textId="77777777" w:rsidR="007B485D" w:rsidRPr="00727DFA" w:rsidRDefault="007B485D" w:rsidP="002D6DD7">
            <w:pPr>
              <w:widowControl w:val="0"/>
              <w:tabs>
                <w:tab w:val="left" w:pos="3768"/>
              </w:tabs>
              <w:autoSpaceDE w:val="0"/>
              <w:autoSpaceDN w:val="0"/>
              <w:jc w:val="both"/>
              <w:rPr>
                <w:rFonts w:eastAsia="Times New Roman"/>
                <w:szCs w:val="24"/>
              </w:rPr>
            </w:pPr>
            <w:r w:rsidRPr="00873AF2">
              <w:rPr>
                <w:rFonts w:eastAsia="Times New Roman"/>
                <w:b/>
                <w:bCs/>
                <w:spacing w:val="-1"/>
                <w:szCs w:val="24"/>
              </w:rPr>
              <w:t>Child</w:t>
            </w:r>
            <w:r w:rsidRPr="00727DFA">
              <w:rPr>
                <w:rFonts w:eastAsia="Times New Roman"/>
                <w:szCs w:val="24"/>
              </w:rPr>
              <w:t xml:space="preserve">: </w:t>
            </w:r>
            <w:r>
              <w:rPr>
                <w:rFonts w:eastAsia="Times New Roman"/>
                <w:szCs w:val="24"/>
              </w:rPr>
              <w:t>20</w:t>
            </w:r>
            <w:r w:rsidRPr="00727DFA">
              <w:rPr>
                <w:rFonts w:eastAsia="Times New Roman"/>
                <w:szCs w:val="24"/>
              </w:rPr>
              <w:t>-</w:t>
            </w:r>
            <w:r>
              <w:rPr>
                <w:rFonts w:eastAsia="Times New Roman"/>
                <w:szCs w:val="24"/>
              </w:rPr>
              <w:t>50</w:t>
            </w:r>
            <w:r w:rsidRPr="00727DFA">
              <w:rPr>
                <w:rFonts w:eastAsia="Times New Roman"/>
                <w:spacing w:val="-3"/>
                <w:szCs w:val="24"/>
              </w:rPr>
              <w:t xml:space="preserve"> </w:t>
            </w:r>
            <w:r w:rsidRPr="00727DFA">
              <w:rPr>
                <w:rFonts w:eastAsia="Times New Roman"/>
                <w:szCs w:val="24"/>
              </w:rPr>
              <w:t xml:space="preserve">mg/kg/dose </w:t>
            </w:r>
            <w:r>
              <w:rPr>
                <w:rFonts w:eastAsia="Times New Roman"/>
                <w:szCs w:val="24"/>
              </w:rPr>
              <w:t>12</w:t>
            </w:r>
            <w:r w:rsidRPr="00727DFA">
              <w:rPr>
                <w:rFonts w:eastAsia="Times New Roman"/>
                <w:szCs w:val="24"/>
              </w:rPr>
              <w:t xml:space="preserve"> hourly. For meningitis</w:t>
            </w:r>
            <w:r w:rsidRPr="00727DFA">
              <w:rPr>
                <w:rFonts w:eastAsia="Times New Roman"/>
                <w:spacing w:val="-2"/>
                <w:szCs w:val="24"/>
              </w:rPr>
              <w:t xml:space="preserve"> </w:t>
            </w:r>
            <w:r w:rsidRPr="00727DFA">
              <w:rPr>
                <w:rFonts w:eastAsia="Times New Roman"/>
                <w:szCs w:val="24"/>
              </w:rPr>
              <w:t>or</w:t>
            </w:r>
            <w:r w:rsidRPr="00727DFA">
              <w:rPr>
                <w:rFonts w:eastAsia="Times New Roman"/>
                <w:spacing w:val="-4"/>
                <w:szCs w:val="24"/>
              </w:rPr>
              <w:t xml:space="preserve"> </w:t>
            </w:r>
            <w:r w:rsidRPr="00727DFA">
              <w:rPr>
                <w:rFonts w:eastAsia="Times New Roman"/>
                <w:szCs w:val="24"/>
              </w:rPr>
              <w:t xml:space="preserve">severe infections, </w:t>
            </w:r>
            <w:r>
              <w:rPr>
                <w:rFonts w:eastAsia="Times New Roman"/>
                <w:szCs w:val="24"/>
              </w:rPr>
              <w:t>10</w:t>
            </w:r>
            <w:r w:rsidRPr="00727DFA">
              <w:rPr>
                <w:rFonts w:eastAsia="Times New Roman"/>
                <w:szCs w:val="24"/>
              </w:rPr>
              <w:t>0mg/kg</w:t>
            </w:r>
            <w:r w:rsidRPr="00727DFA">
              <w:rPr>
                <w:rFonts w:eastAsia="Times New Roman"/>
                <w:spacing w:val="-4"/>
                <w:szCs w:val="24"/>
              </w:rPr>
              <w:t xml:space="preserve"> </w:t>
            </w:r>
            <w:r w:rsidRPr="00727DFA">
              <w:rPr>
                <w:rFonts w:eastAsia="Times New Roman"/>
                <w:szCs w:val="24"/>
              </w:rPr>
              <w:t>dose</w:t>
            </w:r>
            <w:r w:rsidRPr="00727DFA">
              <w:rPr>
                <w:rFonts w:eastAsia="Times New Roman"/>
                <w:spacing w:val="-3"/>
                <w:szCs w:val="24"/>
              </w:rPr>
              <w:t xml:space="preserve"> </w:t>
            </w:r>
            <w:r>
              <w:rPr>
                <w:rFonts w:eastAsia="Times New Roman"/>
                <w:szCs w:val="24"/>
              </w:rPr>
              <w:t>12</w:t>
            </w:r>
            <w:r w:rsidRPr="00727DFA">
              <w:rPr>
                <w:rFonts w:eastAsia="Times New Roman"/>
                <w:spacing w:val="-3"/>
                <w:szCs w:val="24"/>
              </w:rPr>
              <w:t xml:space="preserve"> </w:t>
            </w:r>
            <w:r w:rsidRPr="00727DFA">
              <w:rPr>
                <w:rFonts w:eastAsia="Times New Roman"/>
                <w:szCs w:val="24"/>
              </w:rPr>
              <w:t>hourly, IV</w:t>
            </w:r>
          </w:p>
          <w:p w14:paraId="498472F8"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Neonates:</w:t>
            </w:r>
          </w:p>
          <w:p w14:paraId="793B649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IM</w:t>
            </w:r>
            <w:r w:rsidRPr="00727DFA">
              <w:rPr>
                <w:rFonts w:eastAsia="Times New Roman"/>
                <w:b/>
                <w:bCs/>
                <w:spacing w:val="-4"/>
                <w:szCs w:val="24"/>
              </w:rPr>
              <w:t xml:space="preserve"> </w:t>
            </w:r>
            <w:r w:rsidRPr="00727DFA">
              <w:rPr>
                <w:rFonts w:eastAsia="Times New Roman"/>
                <w:b/>
                <w:bCs/>
                <w:szCs w:val="24"/>
              </w:rPr>
              <w:t>or</w:t>
            </w:r>
            <w:r w:rsidRPr="00727DFA">
              <w:rPr>
                <w:rFonts w:eastAsia="Times New Roman"/>
                <w:b/>
                <w:bCs/>
                <w:spacing w:val="-2"/>
                <w:szCs w:val="24"/>
              </w:rPr>
              <w:t xml:space="preserve"> </w:t>
            </w:r>
            <w:r w:rsidRPr="00727DFA">
              <w:rPr>
                <w:rFonts w:eastAsia="Times New Roman"/>
                <w:b/>
                <w:bCs/>
                <w:szCs w:val="24"/>
              </w:rPr>
              <w:t>IV:</w:t>
            </w:r>
            <w:r w:rsidRPr="00727DFA">
              <w:rPr>
                <w:rFonts w:eastAsia="Times New Roman"/>
                <w:szCs w:val="24"/>
              </w:rPr>
              <w:t xml:space="preserve"> 50</w:t>
            </w:r>
            <w:r>
              <w:rPr>
                <w:rFonts w:eastAsia="Times New Roman"/>
                <w:szCs w:val="24"/>
              </w:rPr>
              <w:t>-200</w:t>
            </w:r>
            <w:r w:rsidRPr="00727DFA">
              <w:rPr>
                <w:rFonts w:eastAsia="Times New Roman"/>
                <w:szCs w:val="24"/>
              </w:rPr>
              <w:t>mg/kg/</w:t>
            </w:r>
            <w:r>
              <w:rPr>
                <w:rFonts w:eastAsia="Times New Roman"/>
                <w:szCs w:val="24"/>
              </w:rPr>
              <w:t>day</w:t>
            </w:r>
            <w:r>
              <w:rPr>
                <w:rFonts w:eastAsia="Times New Roman"/>
                <w:spacing w:val="-3"/>
                <w:szCs w:val="24"/>
              </w:rPr>
              <w:t xml:space="preserve"> in 2-4 divided doses</w:t>
            </w:r>
          </w:p>
        </w:tc>
      </w:tr>
      <w:tr w:rsidR="007B485D" w:rsidRPr="00727DFA" w14:paraId="5234587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969C45"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5F5CFDE"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pacing w:val="-2"/>
                <w:szCs w:val="24"/>
              </w:rPr>
              <w:t xml:space="preserve"> amoxicillin</w:t>
            </w:r>
            <w:r>
              <w:rPr>
                <w:rFonts w:eastAsia="Times New Roman"/>
                <w:spacing w:val="-2"/>
                <w:szCs w:val="24"/>
              </w:rPr>
              <w:t>.</w:t>
            </w:r>
          </w:p>
        </w:tc>
      </w:tr>
      <w:tr w:rsidR="007B485D" w:rsidRPr="00727DFA" w14:paraId="099C9DE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324E0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DE948D9"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pacing w:val="-2"/>
                <w:szCs w:val="24"/>
              </w:rPr>
              <w:t xml:space="preserve"> amoxicillin</w:t>
            </w:r>
            <w:r>
              <w:rPr>
                <w:rFonts w:eastAsia="Times New Roman"/>
                <w:spacing w:val="-2"/>
                <w:szCs w:val="24"/>
              </w:rPr>
              <w:t>.</w:t>
            </w:r>
          </w:p>
        </w:tc>
      </w:tr>
      <w:tr w:rsidR="007B485D" w:rsidRPr="00727DFA" w14:paraId="5D9F5B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625E1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0BF8007"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pacing w:val="-2"/>
                <w:szCs w:val="24"/>
              </w:rPr>
              <w:t xml:space="preserve"> amoxicillin</w:t>
            </w:r>
            <w:r>
              <w:rPr>
                <w:rFonts w:eastAsia="Times New Roman"/>
                <w:spacing w:val="-2"/>
                <w:szCs w:val="24"/>
              </w:rPr>
              <w:t>.</w:t>
            </w:r>
          </w:p>
        </w:tc>
      </w:tr>
      <w:tr w:rsidR="007B485D" w:rsidRPr="00727DFA" w14:paraId="5C049E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592418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16E7F73D"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pacing w:val="-2"/>
                <w:szCs w:val="24"/>
              </w:rPr>
              <w:t xml:space="preserve"> amoxicillin</w:t>
            </w:r>
            <w:r>
              <w:rPr>
                <w:rFonts w:eastAsia="Times New Roman"/>
                <w:spacing w:val="-2"/>
                <w:szCs w:val="24"/>
              </w:rPr>
              <w:t>.</w:t>
            </w:r>
          </w:p>
        </w:tc>
      </w:tr>
      <w:tr w:rsidR="007B485D" w:rsidRPr="00727DFA" w14:paraId="520FD2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51B3A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Cs/>
                <w:spacing w:val="-2"/>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166DBE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30°C</w:t>
            </w:r>
            <w:r>
              <w:rPr>
                <w:rFonts w:eastAsia="Times New Roman"/>
                <w:szCs w:val="24"/>
              </w:rPr>
              <w:t>.</w:t>
            </w:r>
          </w:p>
        </w:tc>
      </w:tr>
      <w:tr w:rsidR="007B485D" w:rsidRPr="00727DFA" w14:paraId="58944690"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43F9934A" w14:textId="77777777" w:rsidR="007B485D" w:rsidRPr="00727DFA" w:rsidRDefault="007B485D" w:rsidP="002D6DD7">
            <w:pPr>
              <w:jc w:val="both"/>
              <w:rPr>
                <w:rFonts w:eastAsia="DengXian"/>
                <w:b/>
                <w:szCs w:val="24"/>
              </w:rPr>
            </w:pPr>
            <w:r w:rsidRPr="00727DFA">
              <w:rPr>
                <w:rFonts w:eastAsia="DengXian"/>
                <w:b/>
                <w:szCs w:val="24"/>
              </w:rPr>
              <w:t xml:space="preserve">Ampicillin + </w:t>
            </w:r>
            <w:r>
              <w:rPr>
                <w:rFonts w:eastAsia="DengXian"/>
                <w:b/>
                <w:szCs w:val="24"/>
              </w:rPr>
              <w:t>s</w:t>
            </w:r>
            <w:r w:rsidRPr="00587263">
              <w:rPr>
                <w:rFonts w:eastAsia="DengXian"/>
                <w:b/>
                <w:szCs w:val="24"/>
              </w:rPr>
              <w:t xml:space="preserve">ulbactam </w:t>
            </w:r>
            <w:r w:rsidRPr="00873AF2">
              <w:rPr>
                <w:rFonts w:eastAsia="DengXian"/>
                <w:b/>
                <w:szCs w:val="24"/>
              </w:rPr>
              <w:t>(Watch)</w:t>
            </w:r>
          </w:p>
        </w:tc>
      </w:tr>
      <w:tr w:rsidR="007B485D" w:rsidRPr="00727DFA" w14:paraId="7BD2BBC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63E37E"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Cs/>
                <w:spacing w:val="-2"/>
                <w:szCs w:val="24"/>
              </w:rPr>
              <w:t>Pharmacological</w:t>
            </w:r>
            <w:r w:rsidRPr="00727DFA">
              <w:rPr>
                <w:rFonts w:eastAsia="Times New Roman"/>
                <w:b/>
                <w:bCs/>
                <w:spacing w:val="-2"/>
                <w:szCs w:val="24"/>
              </w:rPr>
              <w:t xml:space="preserve"> </w:t>
            </w:r>
            <w:r w:rsidRPr="00727DFA">
              <w:rPr>
                <w:rFonts w:eastAsia="Times New Roman"/>
                <w:bCs/>
                <w:spacing w:val="-2"/>
                <w:szCs w:val="24"/>
              </w:rPr>
              <w:t>class</w:t>
            </w:r>
          </w:p>
        </w:tc>
        <w:tc>
          <w:tcPr>
            <w:tcW w:w="6745" w:type="dxa"/>
            <w:tcBorders>
              <w:top w:val="single" w:sz="4" w:space="0" w:color="auto"/>
              <w:left w:val="single" w:sz="4" w:space="0" w:color="auto"/>
              <w:bottom w:val="single" w:sz="4" w:space="0" w:color="auto"/>
              <w:right w:val="single" w:sz="4" w:space="0" w:color="auto"/>
            </w:tcBorders>
            <w:hideMark/>
          </w:tcPr>
          <w:p w14:paraId="521B492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Penicillin and β-lactamase inhibitor combination</w:t>
            </w:r>
          </w:p>
        </w:tc>
      </w:tr>
      <w:tr w:rsidR="007B485D" w:rsidRPr="00727DFA" w14:paraId="3F28C5A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7AB43B"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24612DDA"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zCs w:val="24"/>
              </w:rPr>
              <w:t>Powder</w:t>
            </w:r>
            <w:r w:rsidRPr="00873AF2">
              <w:rPr>
                <w:rFonts w:eastAsia="Times New Roman"/>
                <w:spacing w:val="-4"/>
                <w:szCs w:val="24"/>
              </w:rPr>
              <w:t xml:space="preserve"> </w:t>
            </w:r>
            <w:r w:rsidRPr="00873AF2">
              <w:rPr>
                <w:rFonts w:eastAsia="Times New Roman"/>
                <w:szCs w:val="24"/>
              </w:rPr>
              <w:t>for</w:t>
            </w:r>
            <w:r w:rsidRPr="00873AF2">
              <w:rPr>
                <w:rFonts w:eastAsia="Times New Roman"/>
                <w:spacing w:val="-3"/>
                <w:szCs w:val="24"/>
              </w:rPr>
              <w:t xml:space="preserve"> </w:t>
            </w:r>
            <w:r w:rsidRPr="00873AF2">
              <w:rPr>
                <w:rFonts w:eastAsia="Times New Roman"/>
                <w:szCs w:val="24"/>
              </w:rPr>
              <w:t>injection</w:t>
            </w:r>
            <w:r w:rsidRPr="00727DFA">
              <w:rPr>
                <w:rFonts w:eastAsia="Times New Roman"/>
                <w:b/>
                <w:bCs/>
                <w:szCs w:val="24"/>
              </w:rPr>
              <w:t>:</w:t>
            </w:r>
            <w:r w:rsidRPr="00727DFA">
              <w:rPr>
                <w:rFonts w:eastAsia="Times New Roman"/>
                <w:spacing w:val="-3"/>
                <w:szCs w:val="24"/>
              </w:rPr>
              <w:t xml:space="preserve"> </w:t>
            </w:r>
            <w:r w:rsidRPr="00727DFA">
              <w:rPr>
                <w:rFonts w:eastAsia="Times New Roman"/>
                <w:szCs w:val="24"/>
              </w:rPr>
              <w:t xml:space="preserve">1000mg </w:t>
            </w:r>
            <w:r>
              <w:rPr>
                <w:rFonts w:eastAsia="Times New Roman"/>
                <w:szCs w:val="24"/>
              </w:rPr>
              <w:t>(</w:t>
            </w:r>
            <w:r w:rsidRPr="00727DFA">
              <w:rPr>
                <w:rFonts w:eastAsia="Times New Roman"/>
                <w:szCs w:val="24"/>
              </w:rPr>
              <w:t>ampicillin</w:t>
            </w:r>
            <w:r>
              <w:rPr>
                <w:rFonts w:eastAsia="Times New Roman"/>
                <w:szCs w:val="24"/>
              </w:rPr>
              <w:t>)</w:t>
            </w:r>
            <w:r w:rsidRPr="00727DFA">
              <w:rPr>
                <w:rFonts w:eastAsia="Times New Roman"/>
                <w:szCs w:val="24"/>
              </w:rPr>
              <w:t xml:space="preserve"> </w:t>
            </w:r>
            <w:r w:rsidRPr="00727DFA">
              <w:rPr>
                <w:rFonts w:eastAsia="Times New Roman"/>
                <w:spacing w:val="-4"/>
                <w:szCs w:val="24"/>
              </w:rPr>
              <w:t>+</w:t>
            </w:r>
            <w:r w:rsidRPr="00727DFA">
              <w:rPr>
                <w:rFonts w:eastAsia="Times New Roman"/>
                <w:spacing w:val="-2"/>
                <w:szCs w:val="24"/>
              </w:rPr>
              <w:t xml:space="preserve"> 500mg </w:t>
            </w:r>
            <w:r>
              <w:rPr>
                <w:rFonts w:eastAsia="Times New Roman"/>
                <w:spacing w:val="-2"/>
                <w:szCs w:val="24"/>
              </w:rPr>
              <w:t>(</w:t>
            </w:r>
            <w:r w:rsidRPr="00727DFA">
              <w:rPr>
                <w:rFonts w:eastAsia="Times New Roman"/>
                <w:spacing w:val="-2"/>
                <w:szCs w:val="24"/>
              </w:rPr>
              <w:t>sulbactam</w:t>
            </w:r>
            <w:r>
              <w:rPr>
                <w:rFonts w:eastAsia="Times New Roman"/>
                <w:spacing w:val="-2"/>
                <w:szCs w:val="24"/>
              </w:rPr>
              <w:t>)</w:t>
            </w:r>
            <w:r w:rsidRPr="00727DFA">
              <w:rPr>
                <w:rFonts w:eastAsia="Times New Roman"/>
                <w:spacing w:val="-2"/>
                <w:szCs w:val="24"/>
              </w:rPr>
              <w:t xml:space="preserve"> </w:t>
            </w:r>
          </w:p>
        </w:tc>
      </w:tr>
      <w:tr w:rsidR="007B485D" w:rsidRPr="00727DFA" w14:paraId="3CF9C7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349AFA" w14:textId="77777777" w:rsidR="007B485D" w:rsidRPr="000D782E" w:rsidRDefault="007B485D" w:rsidP="002D6DD7">
            <w:pPr>
              <w:widowControl w:val="0"/>
              <w:autoSpaceDE w:val="0"/>
              <w:autoSpaceDN w:val="0"/>
              <w:jc w:val="both"/>
              <w:rPr>
                <w:rFonts w:eastAsia="Times New Roman"/>
                <w:bCs/>
                <w:szCs w:val="24"/>
              </w:rPr>
            </w:pPr>
            <w:r w:rsidRPr="000D782E">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F2A187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Infections caused by susceptible microorganisms:  upper and lower respiratory tract infections, urinary tract infections</w:t>
            </w:r>
            <w:r>
              <w:rPr>
                <w:rFonts w:eastAsia="Times New Roman"/>
                <w:szCs w:val="24"/>
              </w:rPr>
              <w:t>,</w:t>
            </w:r>
            <w:r w:rsidRPr="00727DFA">
              <w:rPr>
                <w:rFonts w:eastAsia="Times New Roman"/>
                <w:szCs w:val="24"/>
              </w:rPr>
              <w:t xml:space="preserve"> intra-abdominal infections, cholecystitis, endometritis, bacterial septicemia</w:t>
            </w:r>
            <w:r>
              <w:rPr>
                <w:rFonts w:eastAsia="Times New Roman"/>
                <w:szCs w:val="24"/>
              </w:rPr>
              <w:t>,</w:t>
            </w:r>
            <w:r w:rsidRPr="00727DFA">
              <w:rPr>
                <w:rFonts w:eastAsia="Times New Roman"/>
                <w:szCs w:val="24"/>
              </w:rPr>
              <w:t xml:space="preserve"> skin</w:t>
            </w:r>
            <w:r>
              <w:rPr>
                <w:rFonts w:eastAsia="Times New Roman"/>
                <w:szCs w:val="24"/>
              </w:rPr>
              <w:t xml:space="preserve"> and</w:t>
            </w:r>
            <w:r w:rsidRPr="00727DFA">
              <w:rPr>
                <w:rFonts w:eastAsia="Times New Roman"/>
                <w:szCs w:val="24"/>
              </w:rPr>
              <w:t xml:space="preserve"> soft tissue infections, bone and joint infections, gonococcal infections, pre-or post-operatively in </w:t>
            </w:r>
            <w:r>
              <w:rPr>
                <w:rFonts w:eastAsia="Times New Roman"/>
                <w:szCs w:val="24"/>
              </w:rPr>
              <w:t xml:space="preserve"> </w:t>
            </w:r>
            <w:r w:rsidRPr="00727DFA">
              <w:rPr>
                <w:rFonts w:eastAsia="Times New Roman"/>
                <w:szCs w:val="24"/>
              </w:rPr>
              <w:t xml:space="preserve"> surgeries, and in termination of pregnancy or cesarean section pre-operatively to reduce postoperative sepsis</w:t>
            </w:r>
            <w:r>
              <w:rPr>
                <w:rFonts w:eastAsia="Times New Roman"/>
                <w:szCs w:val="24"/>
              </w:rPr>
              <w:t>.</w:t>
            </w:r>
          </w:p>
        </w:tc>
      </w:tr>
      <w:tr w:rsidR="007B485D" w:rsidRPr="00727DFA" w14:paraId="5B79ACC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75C832"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p>
          <w:p w14:paraId="228E0E9E" w14:textId="77777777" w:rsidR="007B485D" w:rsidRPr="00727DFA" w:rsidRDefault="007B485D" w:rsidP="002D6DD7">
            <w:pPr>
              <w:widowControl w:val="0"/>
              <w:autoSpaceDE w:val="0"/>
              <w:autoSpaceDN w:val="0"/>
              <w:jc w:val="both"/>
              <w:rPr>
                <w:rFonts w:eastAsia="Times New Roman"/>
                <w:bCs/>
                <w:spacing w:val="-2"/>
                <w:szCs w:val="24"/>
              </w:rPr>
            </w:pPr>
            <w:r>
              <w:rPr>
                <w:rFonts w:eastAsia="Times New Roman"/>
                <w:bCs/>
                <w:spacing w:val="-2"/>
                <w:szCs w:val="24"/>
              </w:rPr>
              <w:t>a</w:t>
            </w:r>
            <w:r w:rsidRPr="00727DFA">
              <w:rPr>
                <w:rFonts w:eastAsia="Times New Roman"/>
                <w:bCs/>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3ED37ED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w:t>
            </w:r>
          </w:p>
          <w:p w14:paraId="52B4F35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IM</w:t>
            </w:r>
            <w:r w:rsidRPr="00727DFA">
              <w:rPr>
                <w:rFonts w:eastAsia="Times New Roman"/>
                <w:b/>
                <w:bCs/>
                <w:spacing w:val="-8"/>
                <w:szCs w:val="24"/>
              </w:rPr>
              <w:t xml:space="preserve"> </w:t>
            </w:r>
            <w:r w:rsidRPr="00727DFA">
              <w:rPr>
                <w:rFonts w:eastAsia="Times New Roman"/>
                <w:b/>
                <w:bCs/>
                <w:szCs w:val="24"/>
              </w:rPr>
              <w:t>or</w:t>
            </w:r>
            <w:r w:rsidRPr="00727DFA">
              <w:rPr>
                <w:rFonts w:eastAsia="Times New Roman"/>
                <w:b/>
                <w:bCs/>
                <w:spacing w:val="-9"/>
                <w:szCs w:val="24"/>
              </w:rPr>
              <w:t xml:space="preserve"> </w:t>
            </w:r>
            <w:r w:rsidRPr="00727DFA">
              <w:rPr>
                <w:rFonts w:eastAsia="Times New Roman"/>
                <w:b/>
                <w:bCs/>
                <w:szCs w:val="24"/>
              </w:rPr>
              <w:t>IV:</w:t>
            </w:r>
            <w:r w:rsidRPr="00727DFA">
              <w:rPr>
                <w:rFonts w:eastAsia="Times New Roman"/>
                <w:spacing w:val="-4"/>
                <w:szCs w:val="24"/>
              </w:rPr>
              <w:t xml:space="preserve"> </w:t>
            </w:r>
            <w:r w:rsidRPr="00727DFA">
              <w:rPr>
                <w:rFonts w:eastAsia="Times New Roman"/>
                <w:szCs w:val="24"/>
              </w:rPr>
              <w:t>1.5</w:t>
            </w:r>
            <w:r w:rsidRPr="00727DFA">
              <w:rPr>
                <w:rFonts w:eastAsia="Times New Roman"/>
                <w:spacing w:val="-5"/>
                <w:szCs w:val="24"/>
              </w:rPr>
              <w:t xml:space="preserve"> </w:t>
            </w:r>
            <w:r w:rsidRPr="00727DFA">
              <w:rPr>
                <w:rFonts w:eastAsia="Times New Roman"/>
                <w:szCs w:val="24"/>
              </w:rPr>
              <w:t>to</w:t>
            </w:r>
            <w:r w:rsidRPr="00727DFA">
              <w:rPr>
                <w:rFonts w:eastAsia="Times New Roman"/>
                <w:spacing w:val="-4"/>
                <w:szCs w:val="24"/>
              </w:rPr>
              <w:t xml:space="preserve"> </w:t>
            </w:r>
            <w:r w:rsidRPr="00727DFA">
              <w:rPr>
                <w:rFonts w:eastAsia="Times New Roman"/>
                <w:szCs w:val="24"/>
              </w:rPr>
              <w:t>3</w:t>
            </w:r>
            <w:r w:rsidRPr="00727DFA">
              <w:rPr>
                <w:rFonts w:eastAsia="Times New Roman"/>
                <w:spacing w:val="-5"/>
                <w:szCs w:val="24"/>
              </w:rPr>
              <w:t xml:space="preserve"> </w:t>
            </w:r>
            <w:r w:rsidRPr="00727DFA">
              <w:rPr>
                <w:rFonts w:eastAsia="Times New Roman"/>
                <w:szCs w:val="24"/>
              </w:rPr>
              <w:t>grams</w:t>
            </w:r>
            <w:r w:rsidRPr="00727DFA">
              <w:rPr>
                <w:rFonts w:eastAsia="Times New Roman"/>
                <w:spacing w:val="-5"/>
                <w:szCs w:val="24"/>
              </w:rPr>
              <w:t xml:space="preserve"> </w:t>
            </w:r>
            <w:r w:rsidRPr="00727DFA">
              <w:rPr>
                <w:rFonts w:eastAsia="Times New Roman"/>
                <w:szCs w:val="24"/>
              </w:rPr>
              <w:t>(1</w:t>
            </w:r>
            <w:r w:rsidRPr="00727DFA">
              <w:rPr>
                <w:rFonts w:eastAsia="Times New Roman"/>
                <w:spacing w:val="-5"/>
                <w:szCs w:val="24"/>
              </w:rPr>
              <w:t xml:space="preserve"> </w:t>
            </w:r>
            <w:r w:rsidRPr="00727DFA">
              <w:rPr>
                <w:rFonts w:eastAsia="Times New Roman"/>
                <w:szCs w:val="24"/>
              </w:rPr>
              <w:t>to</w:t>
            </w:r>
            <w:r w:rsidRPr="00727DFA">
              <w:rPr>
                <w:rFonts w:eastAsia="Times New Roman"/>
                <w:spacing w:val="-7"/>
                <w:szCs w:val="24"/>
              </w:rPr>
              <w:t xml:space="preserve"> </w:t>
            </w:r>
            <w:r w:rsidRPr="00727DFA">
              <w:rPr>
                <w:rFonts w:eastAsia="Times New Roman"/>
                <w:szCs w:val="24"/>
              </w:rPr>
              <w:t>2</w:t>
            </w:r>
            <w:r w:rsidRPr="00727DFA">
              <w:rPr>
                <w:rFonts w:eastAsia="Times New Roman"/>
                <w:spacing w:val="-5"/>
                <w:szCs w:val="24"/>
              </w:rPr>
              <w:t xml:space="preserve"> </w:t>
            </w:r>
            <w:r w:rsidRPr="00727DFA">
              <w:rPr>
                <w:rFonts w:eastAsia="Times New Roman"/>
                <w:szCs w:val="24"/>
              </w:rPr>
              <w:t>grams,</w:t>
            </w:r>
            <w:r w:rsidRPr="00727DFA">
              <w:rPr>
                <w:rFonts w:eastAsia="Times New Roman"/>
                <w:spacing w:val="-7"/>
                <w:szCs w:val="24"/>
              </w:rPr>
              <w:t xml:space="preserve"> </w:t>
            </w:r>
            <w:r w:rsidRPr="00727DFA">
              <w:rPr>
                <w:rFonts w:eastAsia="Times New Roman"/>
                <w:szCs w:val="24"/>
              </w:rPr>
              <w:t>Ampicillin</w:t>
            </w:r>
            <w:r w:rsidRPr="00727DFA">
              <w:rPr>
                <w:rFonts w:eastAsia="Times New Roman"/>
                <w:spacing w:val="-5"/>
                <w:szCs w:val="24"/>
              </w:rPr>
              <w:t xml:space="preserve"> </w:t>
            </w:r>
            <w:r w:rsidRPr="00727DFA">
              <w:rPr>
                <w:rFonts w:eastAsia="Times New Roman"/>
                <w:szCs w:val="24"/>
              </w:rPr>
              <w:t>and</w:t>
            </w:r>
            <w:r w:rsidRPr="00727DFA">
              <w:rPr>
                <w:rFonts w:eastAsia="Times New Roman"/>
                <w:spacing w:val="-6"/>
                <w:szCs w:val="24"/>
              </w:rPr>
              <w:t xml:space="preserve"> </w:t>
            </w:r>
            <w:r w:rsidRPr="00727DFA">
              <w:rPr>
                <w:rFonts w:eastAsia="Times New Roman"/>
                <w:szCs w:val="24"/>
              </w:rPr>
              <w:t>500</w:t>
            </w:r>
            <w:r w:rsidRPr="00727DFA">
              <w:rPr>
                <w:rFonts w:eastAsia="Times New Roman"/>
                <w:spacing w:val="-5"/>
                <w:szCs w:val="24"/>
              </w:rPr>
              <w:t xml:space="preserve"> </w:t>
            </w:r>
            <w:r w:rsidRPr="00727DFA">
              <w:rPr>
                <w:rFonts w:eastAsia="Times New Roman"/>
                <w:szCs w:val="24"/>
              </w:rPr>
              <w:t xml:space="preserve">mg to 1 gram, sulbactam) every 6 hours </w:t>
            </w:r>
          </w:p>
          <w:p w14:paraId="02E81B2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Child: </w:t>
            </w:r>
          </w:p>
          <w:p w14:paraId="1D66C37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Child </w:t>
            </w:r>
            <w:r>
              <w:rPr>
                <w:rFonts w:eastAsia="Times New Roman"/>
                <w:b/>
                <w:szCs w:val="24"/>
              </w:rPr>
              <w:t>&gt;1 month- 1 year</w:t>
            </w:r>
            <w:r w:rsidRPr="00727DFA">
              <w:rPr>
                <w:rFonts w:eastAsia="Times New Roman"/>
                <w:szCs w:val="24"/>
              </w:rPr>
              <w:t xml:space="preserve">: </w:t>
            </w:r>
            <w:r>
              <w:rPr>
                <w:rFonts w:eastAsia="Times New Roman"/>
                <w:szCs w:val="24"/>
              </w:rPr>
              <w:t>100-1</w:t>
            </w:r>
            <w:r w:rsidRPr="00727DFA">
              <w:rPr>
                <w:rFonts w:eastAsia="Times New Roman"/>
                <w:szCs w:val="24"/>
              </w:rPr>
              <w:t>50 mg/kg (ampicillin component) IV every 6 hours</w:t>
            </w:r>
            <w:r>
              <w:rPr>
                <w:rFonts w:eastAsia="Times New Roman"/>
                <w:szCs w:val="24"/>
              </w:rPr>
              <w:t>, doubled in severe infections</w:t>
            </w:r>
          </w:p>
          <w:p w14:paraId="0A65A8B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Child</w:t>
            </w:r>
            <w:r w:rsidRPr="00727DFA">
              <w:rPr>
                <w:rFonts w:eastAsia="Times New Roman"/>
                <w:szCs w:val="24"/>
              </w:rPr>
              <w:t xml:space="preserve"> </w:t>
            </w:r>
            <m:oMath>
              <m:r>
                <m:rPr>
                  <m:sty m:val="bi"/>
                </m:rPr>
                <w:rPr>
                  <w:rFonts w:ascii="Cambria Math" w:eastAsia="Times New Roman" w:hAnsi="Cambria Math"/>
                  <w:szCs w:val="24"/>
                </w:rPr>
                <m:t>≥</m:t>
              </m:r>
            </m:oMath>
            <w:r w:rsidRPr="00727DFA">
              <w:rPr>
                <w:rFonts w:eastAsia="Times New Roman"/>
                <w:b/>
                <w:szCs w:val="24"/>
              </w:rPr>
              <w:t xml:space="preserve"> </w:t>
            </w:r>
            <w:r>
              <w:rPr>
                <w:rFonts w:eastAsia="Times New Roman"/>
                <w:b/>
                <w:szCs w:val="24"/>
              </w:rPr>
              <w:t>1 year</w:t>
            </w:r>
            <w:r w:rsidRPr="00727DFA">
              <w:rPr>
                <w:rFonts w:eastAsia="Times New Roman"/>
                <w:szCs w:val="24"/>
              </w:rPr>
              <w:t xml:space="preserve">: </w:t>
            </w:r>
            <w:r>
              <w:rPr>
                <w:rFonts w:eastAsia="Times New Roman"/>
                <w:szCs w:val="24"/>
              </w:rPr>
              <w:t>100-20</w:t>
            </w:r>
            <w:r w:rsidRPr="00727DFA">
              <w:rPr>
                <w:rFonts w:eastAsia="Times New Roman"/>
                <w:szCs w:val="24"/>
              </w:rPr>
              <w:t>0 mg/kg (ampicillin component) IV every 6 hours</w:t>
            </w:r>
            <w:r>
              <w:rPr>
                <w:rFonts w:eastAsia="Times New Roman"/>
                <w:szCs w:val="24"/>
              </w:rPr>
              <w:t>, doubled in severe infections</w:t>
            </w:r>
            <w:r w:rsidRPr="00727DFA" w:rsidDel="00B409A9">
              <w:rPr>
                <w:rFonts w:eastAsia="Times New Roman"/>
                <w:szCs w:val="24"/>
              </w:rPr>
              <w:t xml:space="preserve"> </w:t>
            </w:r>
          </w:p>
          <w:p w14:paraId="79054D76" w14:textId="77777777" w:rsidR="007B485D" w:rsidRPr="00727DFA" w:rsidRDefault="007B485D" w:rsidP="002D6DD7">
            <w:pPr>
              <w:widowControl w:val="0"/>
              <w:autoSpaceDE w:val="0"/>
              <w:autoSpaceDN w:val="0"/>
              <w:jc w:val="both"/>
              <w:rPr>
                <w:rFonts w:eastAsia="Times New Roman"/>
                <w:szCs w:val="24"/>
              </w:rPr>
            </w:pPr>
            <w:r w:rsidRPr="00995CA8">
              <w:rPr>
                <w:rFonts w:eastAsia="Times New Roman"/>
                <w:bCs/>
                <w:i/>
                <w:szCs w:val="24"/>
              </w:rPr>
              <w:t>Note:</w:t>
            </w:r>
            <w:r w:rsidRPr="00727DFA">
              <w:rPr>
                <w:rFonts w:eastAsia="Times New Roman"/>
                <w:b/>
                <w:szCs w:val="24"/>
              </w:rPr>
              <w:t xml:space="preserve"> </w:t>
            </w:r>
            <w:r w:rsidRPr="00873AF2">
              <w:rPr>
                <w:rFonts w:eastAsia="Times New Roman"/>
                <w:i/>
                <w:iCs/>
                <w:szCs w:val="24"/>
              </w:rPr>
              <w:t>Adults</w:t>
            </w:r>
            <w:r w:rsidRPr="00873AF2">
              <w:rPr>
                <w:rFonts w:eastAsia="Times New Roman"/>
                <w:i/>
                <w:iCs/>
                <w:spacing w:val="-15"/>
                <w:szCs w:val="24"/>
              </w:rPr>
              <w:t xml:space="preserve"> </w:t>
            </w:r>
            <w:r w:rsidRPr="00873AF2">
              <w:rPr>
                <w:rFonts w:eastAsia="Times New Roman"/>
                <w:i/>
                <w:iCs/>
                <w:szCs w:val="24"/>
              </w:rPr>
              <w:t>with</w:t>
            </w:r>
            <w:r w:rsidRPr="00873AF2">
              <w:rPr>
                <w:rFonts w:eastAsia="Times New Roman"/>
                <w:i/>
                <w:iCs/>
                <w:spacing w:val="-16"/>
                <w:szCs w:val="24"/>
              </w:rPr>
              <w:t xml:space="preserve"> </w:t>
            </w:r>
            <w:r w:rsidRPr="00873AF2">
              <w:rPr>
                <w:rFonts w:eastAsia="Times New Roman"/>
                <w:i/>
                <w:iCs/>
                <w:szCs w:val="24"/>
              </w:rPr>
              <w:t>impaired</w:t>
            </w:r>
            <w:r w:rsidRPr="00873AF2">
              <w:rPr>
                <w:rFonts w:eastAsia="Times New Roman"/>
                <w:i/>
                <w:iCs/>
                <w:spacing w:val="-17"/>
                <w:szCs w:val="24"/>
              </w:rPr>
              <w:t xml:space="preserve"> </w:t>
            </w:r>
            <w:r w:rsidRPr="00873AF2">
              <w:rPr>
                <w:rFonts w:eastAsia="Times New Roman"/>
                <w:i/>
                <w:iCs/>
                <w:szCs w:val="24"/>
              </w:rPr>
              <w:t>renal</w:t>
            </w:r>
            <w:r w:rsidRPr="00873AF2">
              <w:rPr>
                <w:rFonts w:eastAsia="Times New Roman"/>
                <w:i/>
                <w:iCs/>
                <w:spacing w:val="-15"/>
                <w:szCs w:val="24"/>
              </w:rPr>
              <w:t xml:space="preserve"> </w:t>
            </w:r>
            <w:r w:rsidRPr="00873AF2">
              <w:rPr>
                <w:rFonts w:eastAsia="Times New Roman"/>
                <w:i/>
                <w:iCs/>
                <w:szCs w:val="24"/>
              </w:rPr>
              <w:t>function</w:t>
            </w:r>
            <w:r w:rsidRPr="00873AF2">
              <w:rPr>
                <w:rFonts w:eastAsia="Times New Roman"/>
                <w:i/>
                <w:iCs/>
                <w:spacing w:val="-15"/>
                <w:szCs w:val="24"/>
              </w:rPr>
              <w:t xml:space="preserve"> </w:t>
            </w:r>
            <w:r w:rsidRPr="00873AF2">
              <w:rPr>
                <w:rFonts w:eastAsia="Times New Roman"/>
                <w:i/>
                <w:iCs/>
                <w:szCs w:val="24"/>
              </w:rPr>
              <w:t>may</w:t>
            </w:r>
            <w:r w:rsidRPr="00873AF2">
              <w:rPr>
                <w:rFonts w:eastAsia="Times New Roman"/>
                <w:i/>
                <w:iCs/>
                <w:spacing w:val="-16"/>
                <w:szCs w:val="24"/>
              </w:rPr>
              <w:t xml:space="preserve"> </w:t>
            </w:r>
            <w:r w:rsidRPr="00873AF2">
              <w:rPr>
                <w:rFonts w:eastAsia="Times New Roman"/>
                <w:i/>
                <w:iCs/>
                <w:szCs w:val="24"/>
              </w:rPr>
              <w:t>require</w:t>
            </w:r>
            <w:r w:rsidRPr="00873AF2">
              <w:rPr>
                <w:rFonts w:eastAsia="Times New Roman"/>
                <w:i/>
                <w:iCs/>
                <w:spacing w:val="-15"/>
                <w:szCs w:val="24"/>
              </w:rPr>
              <w:t xml:space="preserve"> </w:t>
            </w:r>
            <w:r w:rsidRPr="00873AF2">
              <w:rPr>
                <w:rFonts w:eastAsia="Times New Roman"/>
                <w:i/>
                <w:iCs/>
                <w:szCs w:val="24"/>
              </w:rPr>
              <w:t>a</w:t>
            </w:r>
            <w:r w:rsidRPr="00873AF2">
              <w:rPr>
                <w:rFonts w:eastAsia="Times New Roman"/>
                <w:i/>
                <w:iCs/>
                <w:spacing w:val="-17"/>
                <w:szCs w:val="24"/>
              </w:rPr>
              <w:t xml:space="preserve"> </w:t>
            </w:r>
            <w:r w:rsidRPr="00873AF2">
              <w:rPr>
                <w:rFonts w:eastAsia="Times New Roman"/>
                <w:i/>
                <w:iCs/>
                <w:szCs w:val="24"/>
              </w:rPr>
              <w:t>reduction</w:t>
            </w:r>
            <w:r w:rsidRPr="00873AF2">
              <w:rPr>
                <w:rFonts w:eastAsia="Times New Roman"/>
                <w:i/>
                <w:iCs/>
                <w:spacing w:val="-15"/>
                <w:szCs w:val="24"/>
              </w:rPr>
              <w:t xml:space="preserve"> </w:t>
            </w:r>
            <w:r w:rsidRPr="00873AF2">
              <w:rPr>
                <w:rFonts w:eastAsia="Times New Roman"/>
                <w:i/>
                <w:iCs/>
                <w:szCs w:val="24"/>
              </w:rPr>
              <w:t>in dose. The total sulbactam dose should not exceed 4 grams daily</w:t>
            </w:r>
            <w:r>
              <w:rPr>
                <w:rFonts w:eastAsia="Times New Roman"/>
                <w:i/>
                <w:iCs/>
                <w:szCs w:val="24"/>
              </w:rPr>
              <w:t>.</w:t>
            </w:r>
          </w:p>
        </w:tc>
      </w:tr>
      <w:tr w:rsidR="007B485D" w:rsidRPr="00727DFA" w14:paraId="3606248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E6A436"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C369BDC"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amoxicillin and clavulanic acid</w:t>
            </w:r>
            <w:r>
              <w:rPr>
                <w:rFonts w:eastAsia="DengXian"/>
                <w:szCs w:val="24"/>
              </w:rPr>
              <w:t>.</w:t>
            </w:r>
          </w:p>
        </w:tc>
      </w:tr>
      <w:tr w:rsidR="007B485D" w:rsidRPr="00727DFA" w14:paraId="7784E1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B3640C"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111EB84"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amoxicillin and clavulanic acid</w:t>
            </w:r>
            <w:r>
              <w:rPr>
                <w:rFonts w:eastAsia="DengXian"/>
                <w:szCs w:val="24"/>
              </w:rPr>
              <w:t>.</w:t>
            </w:r>
          </w:p>
        </w:tc>
      </w:tr>
      <w:tr w:rsidR="007B485D" w:rsidRPr="00727DFA" w14:paraId="606A12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CD9359"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C9A8EEE" w14:textId="77777777" w:rsidR="007B485D" w:rsidRPr="00727DFA" w:rsidRDefault="007B485D" w:rsidP="002D6DD7">
            <w:pPr>
              <w:jc w:val="both"/>
              <w:rPr>
                <w:rFonts w:eastAsia="DengXian"/>
                <w:szCs w:val="24"/>
              </w:rPr>
            </w:pPr>
            <w:r w:rsidRPr="00727DFA">
              <w:rPr>
                <w:rFonts w:eastAsia="DengXian"/>
                <w:szCs w:val="24"/>
              </w:rPr>
              <w:t xml:space="preserve">Allergic reactions including anaphylaxis, serum sickness like reactions (skin rash, joint pain, fever), chest pain, antibiotic associated diarrhea, oral candidiasis, vaginal candidiasis, dysuria, </w:t>
            </w:r>
            <w:r w:rsidRPr="00727DFA">
              <w:rPr>
                <w:rFonts w:eastAsia="DengXian"/>
                <w:szCs w:val="24"/>
              </w:rPr>
              <w:lastRenderedPageBreak/>
              <w:t>edema, hepatic dysfunction, glossitis, leukopenia, platelet dysfunction, pain at injection site, thrombophlebitis, diarrhea, rash</w:t>
            </w:r>
            <w:r>
              <w:rPr>
                <w:rFonts w:eastAsia="DengXian"/>
                <w:szCs w:val="24"/>
              </w:rPr>
              <w:t xml:space="preserve">, </w:t>
            </w:r>
            <w:r w:rsidRPr="00727DFA">
              <w:rPr>
                <w:rFonts w:eastAsia="DengXian"/>
                <w:szCs w:val="24"/>
              </w:rPr>
              <w:t>seizures</w:t>
            </w:r>
            <w:r>
              <w:rPr>
                <w:rFonts w:eastAsia="DengXian"/>
                <w:szCs w:val="24"/>
              </w:rPr>
              <w:t>.</w:t>
            </w:r>
          </w:p>
        </w:tc>
      </w:tr>
      <w:tr w:rsidR="007B485D" w:rsidRPr="00727DFA" w14:paraId="1FBFE30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633A72" w14:textId="77777777" w:rsidR="007B485D" w:rsidRPr="00727DFA" w:rsidRDefault="007B485D" w:rsidP="002D6DD7">
            <w:pPr>
              <w:jc w:val="both"/>
              <w:rPr>
                <w:rFonts w:eastAsia="DengXian"/>
                <w:szCs w:val="24"/>
              </w:rPr>
            </w:pPr>
            <w:r w:rsidRPr="00727DFA">
              <w:rPr>
                <w:rFonts w:eastAsia="DengXian"/>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hideMark/>
          </w:tcPr>
          <w:p w14:paraId="59C61927" w14:textId="77777777" w:rsidR="007B485D" w:rsidRPr="00727DFA" w:rsidRDefault="007B485D" w:rsidP="002D6DD7">
            <w:pPr>
              <w:jc w:val="both"/>
              <w:rPr>
                <w:rFonts w:eastAsia="DengXian"/>
                <w:szCs w:val="24"/>
              </w:rPr>
            </w:pPr>
            <w:r>
              <w:rPr>
                <w:rFonts w:eastAsia="DengXian"/>
                <w:szCs w:val="24"/>
              </w:rPr>
              <w:t>R</w:t>
            </w:r>
            <w:r w:rsidRPr="00727DFA">
              <w:rPr>
                <w:rFonts w:eastAsia="DengXian"/>
                <w:szCs w:val="24"/>
              </w:rPr>
              <w:t>enal impairment, congestive heart failure, gastrointestinal disease</w:t>
            </w:r>
            <w:r>
              <w:rPr>
                <w:rFonts w:eastAsia="DengXian"/>
                <w:szCs w:val="24"/>
              </w:rPr>
              <w:t>, s</w:t>
            </w:r>
            <w:r w:rsidRPr="00727DFA">
              <w:rPr>
                <w:rFonts w:eastAsia="DengXian"/>
                <w:szCs w:val="24"/>
              </w:rPr>
              <w:t>evere skin reactions such as Stevens-Johnson syndrome</w:t>
            </w:r>
            <w:r>
              <w:rPr>
                <w:rFonts w:eastAsia="DengXian"/>
                <w:szCs w:val="24"/>
              </w:rPr>
              <w:t xml:space="preserve">.  </w:t>
            </w:r>
          </w:p>
        </w:tc>
      </w:tr>
      <w:tr w:rsidR="007B485D" w:rsidRPr="00727DFA" w14:paraId="3888DA7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F757908" w14:textId="77777777" w:rsidR="007B485D" w:rsidRPr="00727DFA" w:rsidRDefault="007B485D" w:rsidP="002D6DD7">
            <w:pPr>
              <w:widowControl w:val="0"/>
              <w:autoSpaceDE w:val="0"/>
              <w:autoSpaceDN w:val="0"/>
              <w:jc w:val="both"/>
              <w:rPr>
                <w:rFonts w:eastAsia="Times New Roman"/>
                <w:bCs/>
                <w:spacing w:val="-2"/>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78B0FA8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w:t>
            </w:r>
            <w:r w:rsidRPr="00727DFA">
              <w:rPr>
                <w:rFonts w:eastAsia="Times New Roman"/>
                <w:spacing w:val="-4"/>
                <w:szCs w:val="24"/>
              </w:rPr>
              <w:t xml:space="preserve"> </w:t>
            </w:r>
            <w:r w:rsidRPr="00727DFA">
              <w:rPr>
                <w:rFonts w:eastAsia="Times New Roman"/>
                <w:szCs w:val="24"/>
              </w:rPr>
              <w:t>30</w:t>
            </w:r>
            <w:r w:rsidRPr="00727DFA">
              <w:rPr>
                <w:rFonts w:eastAsia="Times New Roman"/>
                <w:szCs w:val="24"/>
                <w:vertAlign w:val="superscript"/>
              </w:rPr>
              <w:t>o</w:t>
            </w:r>
            <w:r w:rsidRPr="00727DFA">
              <w:rPr>
                <w:rFonts w:eastAsia="Times New Roman"/>
                <w:szCs w:val="24"/>
              </w:rPr>
              <w:t>C</w:t>
            </w:r>
            <w:r>
              <w:rPr>
                <w:rFonts w:eastAsia="Times New Roman"/>
                <w:szCs w:val="24"/>
              </w:rPr>
              <w:t>.</w:t>
            </w:r>
          </w:p>
        </w:tc>
      </w:tr>
      <w:tr w:rsidR="007B485D" w:rsidRPr="00727DFA" w14:paraId="22D4289C"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7532397B" w14:textId="77777777" w:rsidR="007B485D" w:rsidRPr="00727DFA" w:rsidRDefault="007B485D" w:rsidP="002D6DD7">
            <w:pPr>
              <w:jc w:val="both"/>
              <w:rPr>
                <w:rFonts w:eastAsia="DengXian"/>
                <w:b/>
                <w:szCs w:val="24"/>
              </w:rPr>
            </w:pPr>
            <w:r w:rsidRPr="00727DFA">
              <w:rPr>
                <w:rFonts w:eastAsia="DengXian"/>
                <w:b/>
                <w:szCs w:val="24"/>
              </w:rPr>
              <w:t xml:space="preserve">Benzathine benzylpenicillin </w:t>
            </w:r>
            <w:r w:rsidRPr="00873AF2">
              <w:rPr>
                <w:rFonts w:eastAsia="DengXian"/>
                <w:b/>
                <w:szCs w:val="24"/>
              </w:rPr>
              <w:t>(Access)</w:t>
            </w:r>
          </w:p>
        </w:tc>
      </w:tr>
      <w:tr w:rsidR="007B485D" w:rsidRPr="00727DFA" w14:paraId="24C8D7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26A524"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59A1FF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Penicillin </w:t>
            </w:r>
          </w:p>
        </w:tc>
      </w:tr>
      <w:tr w:rsidR="007B485D" w:rsidRPr="00727DFA" w14:paraId="5389C8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0390AD"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4BD20800"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bCs/>
                <w:szCs w:val="24"/>
              </w:rPr>
              <w:t>Powder for injection</w:t>
            </w:r>
            <w:r w:rsidRPr="00727DFA">
              <w:rPr>
                <w:rFonts w:eastAsia="Times New Roman"/>
                <w:szCs w:val="24"/>
              </w:rPr>
              <w:t>:</w:t>
            </w:r>
            <w:r w:rsidRPr="00727DFA">
              <w:rPr>
                <w:rFonts w:eastAsia="Times New Roman"/>
                <w:spacing w:val="-3"/>
                <w:szCs w:val="24"/>
              </w:rPr>
              <w:t xml:space="preserve"> </w:t>
            </w:r>
            <w:r w:rsidRPr="00727DFA">
              <w:rPr>
                <w:rFonts w:eastAsia="Times New Roman"/>
                <w:szCs w:val="24"/>
              </w:rPr>
              <w:t>0.6</w:t>
            </w:r>
            <w:r w:rsidRPr="00727DFA">
              <w:rPr>
                <w:rFonts w:eastAsia="Times New Roman"/>
                <w:spacing w:val="-1"/>
                <w:szCs w:val="24"/>
              </w:rPr>
              <w:t xml:space="preserve"> </w:t>
            </w:r>
            <w:r w:rsidRPr="00727DFA">
              <w:rPr>
                <w:rFonts w:eastAsia="Times New Roman"/>
                <w:szCs w:val="24"/>
              </w:rPr>
              <w:t>MIU,</w:t>
            </w:r>
            <w:r w:rsidRPr="00727DFA">
              <w:rPr>
                <w:rFonts w:eastAsia="Times New Roman"/>
                <w:spacing w:val="-3"/>
                <w:szCs w:val="24"/>
              </w:rPr>
              <w:t xml:space="preserve"> </w:t>
            </w:r>
            <w:r w:rsidRPr="00727DFA">
              <w:rPr>
                <w:rFonts w:eastAsia="Times New Roman"/>
                <w:szCs w:val="24"/>
              </w:rPr>
              <w:t>1.2 MIU,</w:t>
            </w:r>
            <w:r w:rsidRPr="00727DFA">
              <w:rPr>
                <w:rFonts w:eastAsia="Times New Roman"/>
                <w:spacing w:val="-3"/>
                <w:szCs w:val="24"/>
              </w:rPr>
              <w:t xml:space="preserve"> </w:t>
            </w:r>
            <w:r w:rsidRPr="00727DFA">
              <w:rPr>
                <w:rFonts w:eastAsia="Times New Roman"/>
                <w:szCs w:val="24"/>
              </w:rPr>
              <w:t>2.4</w:t>
            </w:r>
            <w:r w:rsidRPr="00727DFA">
              <w:rPr>
                <w:rFonts w:eastAsia="Times New Roman"/>
                <w:spacing w:val="-1"/>
                <w:szCs w:val="24"/>
              </w:rPr>
              <w:t xml:space="preserve"> </w:t>
            </w:r>
            <w:r w:rsidRPr="00727DFA">
              <w:rPr>
                <w:rFonts w:eastAsia="Times New Roman"/>
                <w:spacing w:val="-5"/>
                <w:szCs w:val="24"/>
              </w:rPr>
              <w:t>MIU</w:t>
            </w:r>
            <w:r>
              <w:rPr>
                <w:rFonts w:eastAsia="Times New Roman"/>
                <w:spacing w:val="-5"/>
                <w:szCs w:val="24"/>
              </w:rPr>
              <w:t>; MIU= million international unit</w:t>
            </w:r>
          </w:p>
        </w:tc>
      </w:tr>
      <w:tr w:rsidR="007B485D" w:rsidRPr="00727DFA" w14:paraId="28D4C0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EF3A7D" w14:textId="77777777" w:rsidR="007B485D" w:rsidRPr="001E6A26" w:rsidRDefault="007B485D" w:rsidP="002D6DD7">
            <w:pPr>
              <w:widowControl w:val="0"/>
              <w:autoSpaceDE w:val="0"/>
              <w:autoSpaceDN w:val="0"/>
              <w:jc w:val="both"/>
              <w:rPr>
                <w:rFonts w:eastAsia="Times New Roman"/>
                <w:bCs/>
                <w:szCs w:val="24"/>
              </w:rPr>
            </w:pPr>
            <w:r w:rsidRPr="001E6A26">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FA3C54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Streptococcal</w:t>
            </w:r>
            <w:r w:rsidRPr="00727DFA">
              <w:rPr>
                <w:rFonts w:eastAsia="Times New Roman"/>
                <w:spacing w:val="-7"/>
                <w:szCs w:val="24"/>
              </w:rPr>
              <w:t xml:space="preserve"> </w:t>
            </w:r>
            <w:r w:rsidRPr="00727DFA">
              <w:rPr>
                <w:rFonts w:eastAsia="Times New Roman"/>
                <w:szCs w:val="24"/>
              </w:rPr>
              <w:t>pharyngitis,</w:t>
            </w:r>
            <w:r w:rsidRPr="00727DFA">
              <w:rPr>
                <w:rFonts w:eastAsia="Times New Roman"/>
                <w:spacing w:val="-8"/>
                <w:szCs w:val="24"/>
              </w:rPr>
              <w:t xml:space="preserve"> </w:t>
            </w:r>
            <w:r w:rsidRPr="00727DFA">
              <w:rPr>
                <w:rFonts w:eastAsia="Times New Roman"/>
                <w:szCs w:val="24"/>
              </w:rPr>
              <w:t>diphtheria</w:t>
            </w:r>
            <w:r w:rsidRPr="00727DFA">
              <w:rPr>
                <w:rFonts w:eastAsia="Times New Roman"/>
                <w:spacing w:val="-8"/>
                <w:szCs w:val="24"/>
              </w:rPr>
              <w:t xml:space="preserve"> </w:t>
            </w:r>
            <w:r w:rsidRPr="00727DFA">
              <w:rPr>
                <w:rFonts w:eastAsia="Times New Roman"/>
                <w:szCs w:val="24"/>
              </w:rPr>
              <w:t>carrier</w:t>
            </w:r>
            <w:r w:rsidRPr="00727DFA">
              <w:rPr>
                <w:rFonts w:eastAsia="Times New Roman"/>
                <w:spacing w:val="-8"/>
                <w:szCs w:val="24"/>
              </w:rPr>
              <w:t xml:space="preserve"> </w:t>
            </w:r>
            <w:r w:rsidRPr="00727DFA">
              <w:rPr>
                <w:rFonts w:eastAsia="Times New Roman"/>
                <w:szCs w:val="24"/>
              </w:rPr>
              <w:t>state,</w:t>
            </w:r>
            <w:r w:rsidRPr="00727DFA">
              <w:rPr>
                <w:rFonts w:eastAsia="Times New Roman"/>
                <w:spacing w:val="-6"/>
                <w:szCs w:val="24"/>
              </w:rPr>
              <w:t xml:space="preserve"> </w:t>
            </w:r>
            <w:r w:rsidRPr="00727DFA">
              <w:rPr>
                <w:rFonts w:eastAsia="Times New Roman"/>
                <w:szCs w:val="24"/>
              </w:rPr>
              <w:t xml:space="preserve">syphilis, rheumatic fever </w:t>
            </w:r>
            <w:r w:rsidRPr="00727DFA">
              <w:rPr>
                <w:rFonts w:eastAsia="Times New Roman"/>
                <w:spacing w:val="-2"/>
                <w:szCs w:val="24"/>
              </w:rPr>
              <w:t>prophylaxis</w:t>
            </w:r>
            <w:r>
              <w:rPr>
                <w:rFonts w:eastAsia="Times New Roman"/>
                <w:spacing w:val="-2"/>
                <w:szCs w:val="24"/>
              </w:rPr>
              <w:t>.</w:t>
            </w:r>
          </w:p>
        </w:tc>
      </w:tr>
      <w:tr w:rsidR="007B485D" w:rsidRPr="00727DFA" w14:paraId="6A43C43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D8FC4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sidRPr="00727DFA">
              <w:rPr>
                <w:rFonts w:eastAsia="Times New Roman"/>
                <w:bCs/>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1353212A" w14:textId="77777777" w:rsidR="007B485D" w:rsidRPr="00727DFA" w:rsidRDefault="007B485D" w:rsidP="002D6DD7">
            <w:pPr>
              <w:widowControl w:val="0"/>
              <w:autoSpaceDE w:val="0"/>
              <w:autoSpaceDN w:val="0"/>
              <w:jc w:val="both"/>
              <w:rPr>
                <w:rFonts w:eastAsia="Times New Roman"/>
                <w:b/>
                <w:bCs/>
                <w:spacing w:val="-1"/>
                <w:szCs w:val="24"/>
              </w:rPr>
            </w:pPr>
            <w:r w:rsidRPr="00727DFA">
              <w:rPr>
                <w:rFonts w:eastAsia="Times New Roman"/>
                <w:b/>
                <w:bCs/>
                <w:spacing w:val="-2"/>
                <w:szCs w:val="24"/>
              </w:rPr>
              <w:t>Primary</w:t>
            </w:r>
            <w:r w:rsidRPr="00727DFA">
              <w:rPr>
                <w:rFonts w:eastAsia="Times New Roman"/>
                <w:b/>
                <w:bCs/>
                <w:spacing w:val="-8"/>
                <w:szCs w:val="24"/>
              </w:rPr>
              <w:t xml:space="preserve"> </w:t>
            </w:r>
            <w:r w:rsidRPr="00727DFA">
              <w:rPr>
                <w:rFonts w:eastAsia="Times New Roman"/>
                <w:b/>
                <w:bCs/>
                <w:spacing w:val="-2"/>
                <w:szCs w:val="24"/>
              </w:rPr>
              <w:t>prophylaxis</w:t>
            </w:r>
            <w:r w:rsidRPr="00727DFA">
              <w:rPr>
                <w:rFonts w:eastAsia="Times New Roman"/>
                <w:b/>
                <w:bCs/>
                <w:spacing w:val="-7"/>
                <w:szCs w:val="24"/>
              </w:rPr>
              <w:t xml:space="preserve"> </w:t>
            </w:r>
            <w:r w:rsidRPr="00727DFA">
              <w:rPr>
                <w:rFonts w:eastAsia="Times New Roman"/>
                <w:b/>
                <w:bCs/>
                <w:spacing w:val="-2"/>
                <w:szCs w:val="24"/>
              </w:rPr>
              <w:t xml:space="preserve">of </w:t>
            </w:r>
            <w:r w:rsidRPr="00727DFA">
              <w:rPr>
                <w:rFonts w:eastAsia="Times New Roman"/>
                <w:b/>
                <w:bCs/>
                <w:szCs w:val="24"/>
              </w:rPr>
              <w:t>rheumatic</w:t>
            </w:r>
            <w:r w:rsidRPr="00727DFA">
              <w:rPr>
                <w:rFonts w:eastAsia="Times New Roman"/>
                <w:b/>
                <w:bCs/>
                <w:spacing w:val="-1"/>
                <w:szCs w:val="24"/>
              </w:rPr>
              <w:t xml:space="preserve"> </w:t>
            </w:r>
            <w:r w:rsidRPr="00727DFA">
              <w:rPr>
                <w:rFonts w:eastAsia="Times New Roman"/>
                <w:b/>
                <w:bCs/>
                <w:szCs w:val="24"/>
              </w:rPr>
              <w:t>fever:</w:t>
            </w:r>
          </w:p>
          <w:p w14:paraId="772BF4E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 xml:space="preserve"> and </w:t>
            </w:r>
            <w:r w:rsidRPr="00727DFA">
              <w:rPr>
                <w:rFonts w:eastAsia="Times New Roman"/>
                <w:b/>
                <w:szCs w:val="24"/>
              </w:rPr>
              <w:t>Child</w:t>
            </w:r>
            <w:r w:rsidRPr="00727DFA">
              <w:rPr>
                <w:rFonts w:eastAsia="Times New Roman"/>
                <w:szCs w:val="24"/>
              </w:rPr>
              <w:t xml:space="preserve"> </w:t>
            </w:r>
            <m:oMath>
              <m:r>
                <w:rPr>
                  <w:rFonts w:ascii="Cambria Math" w:eastAsia="Times New Roman" w:hAnsi="Cambria Math"/>
                  <w:szCs w:val="24"/>
                </w:rPr>
                <m:t>≥</m:t>
              </m:r>
            </m:oMath>
            <w:r w:rsidRPr="00727DFA">
              <w:rPr>
                <w:rFonts w:eastAsia="Times New Roman"/>
                <w:szCs w:val="24"/>
              </w:rPr>
              <w:t xml:space="preserve"> 30 Kg body weight: 1.2MIU as a single dose</w:t>
            </w:r>
          </w:p>
          <w:p w14:paraId="6C5F98B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Child</w:t>
            </w:r>
            <w:r w:rsidRPr="00727DFA">
              <w:rPr>
                <w:rFonts w:eastAsia="Times New Roman"/>
                <w:szCs w:val="24"/>
              </w:rPr>
              <w:t xml:space="preserve">   &lt; 30 Kg body weight: 600, 000 IU as a </w:t>
            </w:r>
            <w:r w:rsidRPr="00727DFA">
              <w:rPr>
                <w:rFonts w:eastAsia="Times New Roman"/>
                <w:spacing w:val="-2"/>
                <w:szCs w:val="24"/>
              </w:rPr>
              <w:t>single</w:t>
            </w:r>
            <w:r w:rsidRPr="00727DFA">
              <w:rPr>
                <w:rFonts w:eastAsia="Times New Roman"/>
                <w:spacing w:val="-8"/>
                <w:szCs w:val="24"/>
              </w:rPr>
              <w:t xml:space="preserve"> </w:t>
            </w:r>
            <w:r w:rsidRPr="00727DFA">
              <w:rPr>
                <w:rFonts w:eastAsia="Times New Roman"/>
                <w:spacing w:val="-2"/>
                <w:szCs w:val="24"/>
              </w:rPr>
              <w:t>dose</w:t>
            </w:r>
          </w:p>
          <w:p w14:paraId="2A735B82"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b/>
                <w:bCs/>
                <w:spacing w:val="-2"/>
                <w:szCs w:val="24"/>
              </w:rPr>
              <w:t>Secondary</w:t>
            </w:r>
            <w:r w:rsidRPr="00727DFA">
              <w:rPr>
                <w:rFonts w:eastAsia="Times New Roman"/>
                <w:b/>
                <w:bCs/>
                <w:spacing w:val="-13"/>
                <w:szCs w:val="24"/>
              </w:rPr>
              <w:t xml:space="preserve"> </w:t>
            </w:r>
            <w:r w:rsidRPr="00727DFA">
              <w:rPr>
                <w:rFonts w:eastAsia="Times New Roman"/>
                <w:b/>
                <w:bCs/>
                <w:spacing w:val="-2"/>
                <w:szCs w:val="24"/>
              </w:rPr>
              <w:t>prophylaxis</w:t>
            </w:r>
            <w:r w:rsidRPr="00727DFA">
              <w:rPr>
                <w:rFonts w:eastAsia="Times New Roman"/>
                <w:b/>
                <w:bCs/>
                <w:spacing w:val="-12"/>
                <w:szCs w:val="24"/>
              </w:rPr>
              <w:t xml:space="preserve"> </w:t>
            </w:r>
            <w:r w:rsidRPr="00727DFA">
              <w:rPr>
                <w:rFonts w:eastAsia="Times New Roman"/>
                <w:b/>
                <w:bCs/>
                <w:spacing w:val="-2"/>
                <w:szCs w:val="24"/>
              </w:rPr>
              <w:t>of</w:t>
            </w:r>
            <w:r w:rsidRPr="00727DFA">
              <w:rPr>
                <w:rFonts w:eastAsia="Times New Roman"/>
                <w:b/>
                <w:bCs/>
                <w:spacing w:val="-13"/>
                <w:szCs w:val="24"/>
              </w:rPr>
              <w:t xml:space="preserve"> </w:t>
            </w:r>
            <w:r w:rsidRPr="00727DFA">
              <w:rPr>
                <w:rFonts w:eastAsia="Times New Roman"/>
                <w:b/>
                <w:bCs/>
                <w:spacing w:val="-2"/>
                <w:szCs w:val="24"/>
              </w:rPr>
              <w:t>rheumatic</w:t>
            </w:r>
            <w:r w:rsidRPr="00727DFA">
              <w:rPr>
                <w:rFonts w:eastAsia="Times New Roman"/>
                <w:b/>
                <w:bCs/>
                <w:spacing w:val="-13"/>
                <w:szCs w:val="24"/>
              </w:rPr>
              <w:t xml:space="preserve"> </w:t>
            </w:r>
            <w:r w:rsidRPr="00727DFA">
              <w:rPr>
                <w:rFonts w:eastAsia="Times New Roman"/>
                <w:b/>
                <w:bCs/>
                <w:spacing w:val="-2"/>
                <w:szCs w:val="24"/>
              </w:rPr>
              <w:t xml:space="preserve">fever: </w:t>
            </w:r>
          </w:p>
          <w:p w14:paraId="268A63C5" w14:textId="77777777" w:rsidR="007B485D" w:rsidRPr="00727DFA" w:rsidRDefault="007B485D" w:rsidP="002D6DD7">
            <w:pPr>
              <w:widowControl w:val="0"/>
              <w:autoSpaceDE w:val="0"/>
              <w:autoSpaceDN w:val="0"/>
              <w:jc w:val="both"/>
              <w:rPr>
                <w:rFonts w:eastAsia="Times New Roman"/>
                <w:spacing w:val="-4"/>
                <w:szCs w:val="24"/>
              </w:rPr>
            </w:pPr>
            <w:r w:rsidRPr="00727DFA">
              <w:rPr>
                <w:rFonts w:eastAsia="Times New Roman"/>
                <w:b/>
                <w:spacing w:val="-2"/>
                <w:szCs w:val="24"/>
              </w:rPr>
              <w:t>Adult</w:t>
            </w:r>
            <w:r w:rsidRPr="00727DFA">
              <w:rPr>
                <w:rFonts w:eastAsia="Times New Roman"/>
                <w:spacing w:val="-10"/>
                <w:szCs w:val="24"/>
              </w:rPr>
              <w:t xml:space="preserve"> </w:t>
            </w:r>
            <w:r w:rsidRPr="00727DFA">
              <w:rPr>
                <w:rFonts w:eastAsia="Times New Roman"/>
                <w:spacing w:val="-2"/>
                <w:szCs w:val="24"/>
              </w:rPr>
              <w:t>and</w:t>
            </w:r>
            <w:r w:rsidRPr="00727DFA">
              <w:rPr>
                <w:rFonts w:eastAsia="Times New Roman"/>
                <w:spacing w:val="-10"/>
                <w:szCs w:val="24"/>
              </w:rPr>
              <w:t xml:space="preserve"> </w:t>
            </w:r>
            <w:r w:rsidRPr="00727DFA">
              <w:rPr>
                <w:rFonts w:eastAsia="Times New Roman"/>
                <w:b/>
                <w:spacing w:val="-2"/>
                <w:szCs w:val="24"/>
              </w:rPr>
              <w:t>Child</w:t>
            </w:r>
            <w:r w:rsidRPr="00727DFA">
              <w:rPr>
                <w:rFonts w:eastAsia="Times New Roman"/>
                <w:spacing w:val="-2"/>
                <w:szCs w:val="24"/>
              </w:rPr>
              <w:t xml:space="preserve"> </w:t>
            </w:r>
            <m:oMath>
              <m:r>
                <w:rPr>
                  <w:rFonts w:ascii="Cambria Math" w:eastAsia="Times New Roman" w:hAnsi="Cambria Math"/>
                  <w:szCs w:val="24"/>
                </w:rPr>
                <m:t>≥</m:t>
              </m:r>
            </m:oMath>
            <w:r w:rsidRPr="00727DFA">
              <w:rPr>
                <w:rFonts w:eastAsia="Times New Roman"/>
                <w:szCs w:val="24"/>
              </w:rPr>
              <w:t>30</w:t>
            </w:r>
            <w:r w:rsidRPr="00727DFA">
              <w:rPr>
                <w:rFonts w:eastAsia="Times New Roman"/>
                <w:spacing w:val="-3"/>
                <w:szCs w:val="24"/>
              </w:rPr>
              <w:t xml:space="preserve"> </w:t>
            </w:r>
            <w:r w:rsidRPr="00727DFA">
              <w:rPr>
                <w:rFonts w:eastAsia="Times New Roman"/>
                <w:szCs w:val="24"/>
              </w:rPr>
              <w:t>Kg</w:t>
            </w:r>
            <w:r w:rsidRPr="00727DFA">
              <w:rPr>
                <w:rFonts w:eastAsia="Times New Roman"/>
                <w:spacing w:val="-4"/>
                <w:szCs w:val="24"/>
              </w:rPr>
              <w:t xml:space="preserve"> </w:t>
            </w:r>
            <w:r w:rsidRPr="00727DFA">
              <w:rPr>
                <w:rFonts w:eastAsia="Times New Roman"/>
                <w:szCs w:val="24"/>
              </w:rPr>
              <w:t>body weight,</w:t>
            </w:r>
            <w:r w:rsidRPr="00727DFA">
              <w:rPr>
                <w:rFonts w:eastAsia="Times New Roman"/>
                <w:spacing w:val="-5"/>
                <w:szCs w:val="24"/>
              </w:rPr>
              <w:t xml:space="preserve"> </w:t>
            </w:r>
            <w:r w:rsidRPr="00727DFA">
              <w:rPr>
                <w:rFonts w:eastAsia="Times New Roman"/>
                <w:szCs w:val="24"/>
              </w:rPr>
              <w:t>1.2 MIU</w:t>
            </w:r>
            <w:r w:rsidRPr="00727DFA">
              <w:rPr>
                <w:rFonts w:eastAsia="Times New Roman"/>
                <w:spacing w:val="-3"/>
                <w:szCs w:val="24"/>
              </w:rPr>
              <w:t xml:space="preserve"> </w:t>
            </w:r>
            <w:r w:rsidRPr="00727DFA">
              <w:rPr>
                <w:rFonts w:eastAsia="Times New Roman"/>
                <w:szCs w:val="24"/>
              </w:rPr>
              <w:t>once</w:t>
            </w:r>
            <w:r w:rsidRPr="00727DFA">
              <w:rPr>
                <w:rFonts w:eastAsia="Times New Roman"/>
                <w:spacing w:val="-3"/>
                <w:szCs w:val="24"/>
              </w:rPr>
              <w:t xml:space="preserve"> </w:t>
            </w:r>
            <w:r w:rsidRPr="00727DFA">
              <w:rPr>
                <w:rFonts w:eastAsia="Times New Roman"/>
                <w:szCs w:val="24"/>
              </w:rPr>
              <w:t>every</w:t>
            </w:r>
            <w:r w:rsidRPr="00727DFA">
              <w:rPr>
                <w:rFonts w:eastAsia="Times New Roman"/>
                <w:spacing w:val="-3"/>
                <w:szCs w:val="24"/>
              </w:rPr>
              <w:t xml:space="preserve"> </w:t>
            </w:r>
            <w:r w:rsidRPr="00727DFA">
              <w:rPr>
                <w:rFonts w:eastAsia="Times New Roman"/>
                <w:szCs w:val="24"/>
              </w:rPr>
              <w:t>3</w:t>
            </w:r>
            <w:r w:rsidRPr="00727DFA">
              <w:rPr>
                <w:rFonts w:eastAsia="Times New Roman"/>
                <w:spacing w:val="-1"/>
                <w:szCs w:val="24"/>
              </w:rPr>
              <w:t xml:space="preserve"> </w:t>
            </w:r>
            <w:r w:rsidRPr="00727DFA">
              <w:rPr>
                <w:rFonts w:eastAsia="Times New Roman"/>
                <w:szCs w:val="24"/>
              </w:rPr>
              <w:t>–</w:t>
            </w:r>
            <w:r w:rsidRPr="00727DFA">
              <w:rPr>
                <w:rFonts w:eastAsia="Times New Roman"/>
                <w:spacing w:val="-3"/>
                <w:szCs w:val="24"/>
              </w:rPr>
              <w:t xml:space="preserve"> </w:t>
            </w:r>
            <w:r w:rsidRPr="00727DFA">
              <w:rPr>
                <w:rFonts w:eastAsia="Times New Roman"/>
                <w:szCs w:val="24"/>
              </w:rPr>
              <w:t>4</w:t>
            </w:r>
            <w:r w:rsidRPr="00727DFA">
              <w:rPr>
                <w:rFonts w:eastAsia="Times New Roman"/>
                <w:spacing w:val="-3"/>
                <w:szCs w:val="24"/>
              </w:rPr>
              <w:t xml:space="preserve"> </w:t>
            </w:r>
            <w:r w:rsidRPr="00727DFA">
              <w:rPr>
                <w:rFonts w:eastAsia="Times New Roman"/>
                <w:szCs w:val="24"/>
              </w:rPr>
              <w:t>weeks</w:t>
            </w:r>
            <w:r w:rsidRPr="00727DFA">
              <w:rPr>
                <w:rFonts w:eastAsia="Times New Roman"/>
                <w:spacing w:val="-4"/>
                <w:szCs w:val="24"/>
              </w:rPr>
              <w:t xml:space="preserve"> </w:t>
            </w:r>
          </w:p>
          <w:p w14:paraId="2622325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Child</w:t>
            </w:r>
            <w:r w:rsidRPr="00727DFA">
              <w:rPr>
                <w:rFonts w:eastAsia="Times New Roman"/>
                <w:spacing w:val="-5"/>
                <w:szCs w:val="24"/>
              </w:rPr>
              <w:t xml:space="preserve"> &lt;</w:t>
            </w:r>
            <w:r w:rsidRPr="00727DFA">
              <w:rPr>
                <w:rFonts w:eastAsia="Times New Roman"/>
                <w:szCs w:val="24"/>
              </w:rPr>
              <w:t xml:space="preserve"> 30 Kg body weight: 0.6 MIU (450 mg) once every 3 – 4 weeks. </w:t>
            </w:r>
          </w:p>
          <w:p w14:paraId="08F303AA"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bCs/>
                <w:szCs w:val="24"/>
              </w:rPr>
              <w:t>Primary Syphilis:</w:t>
            </w:r>
            <w:r w:rsidRPr="00727DFA">
              <w:rPr>
                <w:rFonts w:eastAsia="Times New Roman"/>
                <w:szCs w:val="24"/>
              </w:rPr>
              <w:t xml:space="preserve"> </w:t>
            </w:r>
          </w:p>
          <w:p w14:paraId="6DE0371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 xml:space="preserve"> 2.4MIU as a single dose, divided between 2 sites.</w:t>
            </w:r>
          </w:p>
          <w:p w14:paraId="4DAF7A1A"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bCs/>
                <w:szCs w:val="24"/>
              </w:rPr>
              <w:t>Late syphilis:</w:t>
            </w:r>
            <w:r w:rsidRPr="00727DFA">
              <w:rPr>
                <w:rFonts w:eastAsia="Times New Roman"/>
                <w:szCs w:val="24"/>
              </w:rPr>
              <w:t xml:space="preserve"> </w:t>
            </w:r>
          </w:p>
          <w:p w14:paraId="5FEC093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 xml:space="preserve"> 2.4 MIU divided between two sites, once weekly for 3 consecutive weeks.</w:t>
            </w:r>
          </w:p>
          <w:p w14:paraId="7D297D2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Congenital</w:t>
            </w:r>
            <w:r w:rsidRPr="00727DFA">
              <w:rPr>
                <w:rFonts w:eastAsia="Times New Roman"/>
                <w:b/>
                <w:bCs/>
                <w:spacing w:val="-12"/>
                <w:szCs w:val="24"/>
              </w:rPr>
              <w:t xml:space="preserve"> </w:t>
            </w:r>
            <w:r w:rsidRPr="00727DFA">
              <w:rPr>
                <w:rFonts w:eastAsia="Times New Roman"/>
                <w:b/>
                <w:bCs/>
                <w:szCs w:val="24"/>
              </w:rPr>
              <w:t>syphilis</w:t>
            </w:r>
            <w:r w:rsidRPr="00727DFA">
              <w:rPr>
                <w:rFonts w:eastAsia="Times New Roman"/>
                <w:b/>
                <w:bCs/>
                <w:spacing w:val="-11"/>
                <w:szCs w:val="24"/>
              </w:rPr>
              <w:t xml:space="preserve"> </w:t>
            </w:r>
            <w:r w:rsidRPr="00727DFA">
              <w:rPr>
                <w:rFonts w:eastAsia="Times New Roman"/>
                <w:b/>
                <w:bCs/>
                <w:szCs w:val="24"/>
              </w:rPr>
              <w:t>(where</w:t>
            </w:r>
            <w:r w:rsidRPr="00727DFA">
              <w:rPr>
                <w:rFonts w:eastAsia="Times New Roman"/>
                <w:b/>
                <w:bCs/>
                <w:spacing w:val="-12"/>
                <w:szCs w:val="24"/>
              </w:rPr>
              <w:t xml:space="preserve"> </w:t>
            </w:r>
            <w:r w:rsidRPr="00727DFA">
              <w:rPr>
                <w:rFonts w:eastAsia="Times New Roman"/>
                <w:b/>
                <w:bCs/>
                <w:szCs w:val="24"/>
              </w:rPr>
              <w:t>no</w:t>
            </w:r>
            <w:r w:rsidRPr="00727DFA">
              <w:rPr>
                <w:rFonts w:eastAsia="Times New Roman"/>
                <w:b/>
                <w:bCs/>
                <w:spacing w:val="-13"/>
                <w:szCs w:val="24"/>
              </w:rPr>
              <w:t xml:space="preserve"> </w:t>
            </w:r>
            <w:r w:rsidRPr="00727DFA">
              <w:rPr>
                <w:rFonts w:eastAsia="Times New Roman"/>
                <w:b/>
                <w:bCs/>
                <w:szCs w:val="24"/>
              </w:rPr>
              <w:t>evidence</w:t>
            </w:r>
            <w:r w:rsidRPr="00727DFA">
              <w:rPr>
                <w:rFonts w:eastAsia="Times New Roman"/>
                <w:b/>
                <w:bCs/>
                <w:spacing w:val="-14"/>
                <w:szCs w:val="24"/>
              </w:rPr>
              <w:t xml:space="preserve"> </w:t>
            </w:r>
            <w:r w:rsidRPr="00727DFA">
              <w:rPr>
                <w:rFonts w:eastAsia="Times New Roman"/>
                <w:b/>
                <w:bCs/>
                <w:szCs w:val="24"/>
              </w:rPr>
              <w:t>of</w:t>
            </w:r>
            <w:r w:rsidRPr="00727DFA">
              <w:rPr>
                <w:rFonts w:eastAsia="Times New Roman"/>
                <w:b/>
                <w:bCs/>
                <w:spacing w:val="-13"/>
                <w:szCs w:val="24"/>
              </w:rPr>
              <w:t xml:space="preserve"> </w:t>
            </w:r>
            <w:r w:rsidRPr="00727DFA">
              <w:rPr>
                <w:rFonts w:eastAsia="Times New Roman"/>
                <w:b/>
                <w:bCs/>
                <w:szCs w:val="24"/>
              </w:rPr>
              <w:t>CSF involvement):</w:t>
            </w:r>
            <w:r w:rsidRPr="00727DFA">
              <w:rPr>
                <w:rFonts w:eastAsia="Times New Roman"/>
                <w:szCs w:val="24"/>
              </w:rPr>
              <w:t xml:space="preserve"> </w:t>
            </w:r>
            <w:r w:rsidRPr="00873AF2">
              <w:rPr>
                <w:rFonts w:eastAsia="Times New Roman"/>
                <w:b/>
                <w:bCs/>
                <w:szCs w:val="24"/>
              </w:rPr>
              <w:t>Child up to 2 years</w:t>
            </w:r>
            <w:r>
              <w:rPr>
                <w:rFonts w:eastAsia="Times New Roman"/>
                <w:szCs w:val="24"/>
              </w:rPr>
              <w:t>:</w:t>
            </w:r>
            <w:r w:rsidRPr="00727DFA">
              <w:rPr>
                <w:rFonts w:eastAsia="Times New Roman"/>
                <w:szCs w:val="24"/>
              </w:rPr>
              <w:t xml:space="preserve"> 37.5 mg/kg as a single dose.</w:t>
            </w:r>
          </w:p>
          <w:p w14:paraId="3BB35800"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b/>
                <w:bCs/>
                <w:szCs w:val="24"/>
              </w:rPr>
              <w:t>Note:</w:t>
            </w:r>
            <w:r w:rsidRPr="00727DFA">
              <w:rPr>
                <w:rFonts w:eastAsia="Times New Roman"/>
                <w:szCs w:val="24"/>
              </w:rPr>
              <w:t xml:space="preserve"> </w:t>
            </w:r>
            <w:r>
              <w:rPr>
                <w:rFonts w:eastAsia="Times New Roman"/>
                <w:i/>
                <w:iCs/>
                <w:szCs w:val="24"/>
              </w:rPr>
              <w:t>a</w:t>
            </w:r>
            <w:r w:rsidRPr="00873AF2">
              <w:rPr>
                <w:rFonts w:eastAsia="Times New Roman"/>
                <w:i/>
                <w:iCs/>
                <w:szCs w:val="24"/>
              </w:rPr>
              <w:t xml:space="preserve">dminister in </w:t>
            </w:r>
            <w:r w:rsidRPr="00873AF2">
              <w:rPr>
                <w:rFonts w:eastAsia="Times New Roman"/>
                <w:i/>
                <w:iCs/>
                <w:spacing w:val="-2"/>
                <w:szCs w:val="24"/>
              </w:rPr>
              <w:t>Deep</w:t>
            </w:r>
            <w:r w:rsidRPr="00873AF2">
              <w:rPr>
                <w:rFonts w:eastAsia="Times New Roman"/>
                <w:i/>
                <w:iCs/>
                <w:spacing w:val="-9"/>
                <w:szCs w:val="24"/>
              </w:rPr>
              <w:t xml:space="preserve"> </w:t>
            </w:r>
            <w:r w:rsidRPr="00873AF2">
              <w:rPr>
                <w:rFonts w:eastAsia="Times New Roman"/>
                <w:i/>
                <w:iCs/>
                <w:spacing w:val="-2"/>
                <w:szCs w:val="24"/>
              </w:rPr>
              <w:t>IM</w:t>
            </w:r>
            <w:r w:rsidRPr="00873AF2">
              <w:rPr>
                <w:rFonts w:eastAsia="Times New Roman"/>
                <w:i/>
                <w:iCs/>
                <w:spacing w:val="-8"/>
                <w:szCs w:val="24"/>
              </w:rPr>
              <w:t xml:space="preserve"> </w:t>
            </w:r>
            <w:r w:rsidRPr="00873AF2">
              <w:rPr>
                <w:rFonts w:eastAsia="Times New Roman"/>
                <w:i/>
                <w:iCs/>
                <w:spacing w:val="-2"/>
                <w:szCs w:val="24"/>
              </w:rPr>
              <w:t>injection</w:t>
            </w:r>
            <w:r>
              <w:rPr>
                <w:rFonts w:eastAsia="Times New Roman"/>
                <w:i/>
                <w:iCs/>
                <w:spacing w:val="-2"/>
                <w:szCs w:val="24"/>
              </w:rPr>
              <w:t>.</w:t>
            </w:r>
          </w:p>
        </w:tc>
      </w:tr>
      <w:tr w:rsidR="007B485D" w:rsidRPr="00727DFA" w14:paraId="156447E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4CACE51"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3359C19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w:t>
            </w:r>
            <w:r>
              <w:rPr>
                <w:rFonts w:eastAsia="Times New Roman"/>
                <w:szCs w:val="24"/>
              </w:rPr>
              <w:t xml:space="preserve"> to the drug and other pencillins</w:t>
            </w:r>
            <w:r w:rsidRPr="00727DFA">
              <w:rPr>
                <w:rFonts w:eastAsia="Times New Roman"/>
                <w:szCs w:val="24"/>
              </w:rPr>
              <w:t>,</w:t>
            </w:r>
            <w:r w:rsidRPr="00727DFA">
              <w:rPr>
                <w:rFonts w:eastAsia="Times New Roman"/>
                <w:spacing w:val="-5"/>
                <w:szCs w:val="24"/>
              </w:rPr>
              <w:t xml:space="preserve"> </w:t>
            </w:r>
            <w:r w:rsidRPr="00727DFA">
              <w:rPr>
                <w:rFonts w:eastAsia="Times New Roman"/>
                <w:szCs w:val="24"/>
              </w:rPr>
              <w:t>intrathecal</w:t>
            </w:r>
            <w:r w:rsidRPr="00727DFA">
              <w:rPr>
                <w:rFonts w:eastAsia="Times New Roman"/>
                <w:spacing w:val="-4"/>
                <w:szCs w:val="24"/>
              </w:rPr>
              <w:t xml:space="preserve"> </w:t>
            </w:r>
            <w:r w:rsidRPr="00727DFA">
              <w:rPr>
                <w:rFonts w:eastAsia="Times New Roman"/>
                <w:szCs w:val="24"/>
              </w:rPr>
              <w:t>route</w:t>
            </w:r>
            <w:r>
              <w:rPr>
                <w:rFonts w:eastAsia="Times New Roman"/>
                <w:spacing w:val="-3"/>
                <w:szCs w:val="24"/>
              </w:rPr>
              <w:t>.</w:t>
            </w:r>
          </w:p>
        </w:tc>
      </w:tr>
      <w:tr w:rsidR="007B485D" w:rsidRPr="00727DFA" w14:paraId="7EE39A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270311"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w:t>
            </w:r>
            <w:r w:rsidRPr="00727DFA">
              <w:rPr>
                <w:rFonts w:eastAsia="Times New Roman"/>
                <w:bCs/>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4AAD8C13" w14:textId="77777777" w:rsidR="007B485D" w:rsidRPr="00727DFA" w:rsidRDefault="007B485D" w:rsidP="002D6DD7">
            <w:pPr>
              <w:widowControl w:val="0"/>
              <w:autoSpaceDE w:val="0"/>
              <w:autoSpaceDN w:val="0"/>
              <w:jc w:val="both"/>
              <w:rPr>
                <w:rFonts w:eastAsia="Times New Roman"/>
                <w:szCs w:val="24"/>
              </w:rPr>
            </w:pPr>
            <w:r>
              <w:rPr>
                <w:rFonts w:eastAsia="Times New Roman"/>
                <w:spacing w:val="-2"/>
                <w:szCs w:val="24"/>
              </w:rPr>
              <w:t>Refer to</w:t>
            </w:r>
            <w:r w:rsidRPr="00727DFA">
              <w:rPr>
                <w:rFonts w:eastAsia="Times New Roman"/>
                <w:spacing w:val="-2"/>
                <w:szCs w:val="24"/>
              </w:rPr>
              <w:t xml:space="preserve"> amoxicillin</w:t>
            </w:r>
            <w:r>
              <w:rPr>
                <w:rFonts w:eastAsia="Times New Roman"/>
                <w:spacing w:val="-2"/>
                <w:szCs w:val="24"/>
              </w:rPr>
              <w:t>.</w:t>
            </w:r>
            <w:r w:rsidRPr="00727DFA">
              <w:rPr>
                <w:rFonts w:eastAsia="Times New Roman"/>
                <w:spacing w:val="-2"/>
                <w:szCs w:val="24"/>
              </w:rPr>
              <w:t xml:space="preserve">  </w:t>
            </w:r>
          </w:p>
        </w:tc>
      </w:tr>
      <w:tr w:rsidR="007B485D" w:rsidRPr="00727DFA" w14:paraId="1C12D3F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9CCD0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lastRenderedPageBreak/>
              <w:t>Side</w:t>
            </w:r>
            <w:r w:rsidRPr="00727DFA">
              <w:rPr>
                <w:rFonts w:eastAsia="Times New Roman"/>
                <w:bCs/>
                <w:spacing w:val="-4"/>
                <w:szCs w:val="24"/>
              </w:rPr>
              <w:t xml:space="preserve"> </w:t>
            </w:r>
            <w:r w:rsidRPr="00727DFA">
              <w:rPr>
                <w:rFonts w:eastAsia="Times New Roman"/>
                <w:bCs/>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2672C59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 reactions including urticaria, fever, joint pains, rashes, angioedema, anaphylaxis, serum sickness like reactions, hemolytic anemia</w:t>
            </w:r>
            <w:r>
              <w:rPr>
                <w:rFonts w:eastAsia="Times New Roman"/>
                <w:szCs w:val="24"/>
              </w:rPr>
              <w:t xml:space="preserve">, </w:t>
            </w:r>
            <w:r w:rsidRPr="00727DFA">
              <w:rPr>
                <w:rFonts w:eastAsia="Times New Roman"/>
                <w:szCs w:val="24"/>
              </w:rPr>
              <w:t>interstitial nephritis</w:t>
            </w:r>
            <w:r>
              <w:rPr>
                <w:rFonts w:eastAsia="Times New Roman"/>
                <w:szCs w:val="24"/>
              </w:rPr>
              <w:t>,</w:t>
            </w:r>
            <w:r w:rsidRPr="00727DFA">
              <w:rPr>
                <w:rFonts w:eastAsia="Times New Roman"/>
                <w:szCs w:val="24"/>
              </w:rPr>
              <w:t xml:space="preserve"> neutropenia, thrombocytopenia,</w:t>
            </w:r>
            <w:r w:rsidRPr="00727DFA">
              <w:rPr>
                <w:rFonts w:eastAsia="Times New Roman"/>
                <w:spacing w:val="-8"/>
                <w:szCs w:val="24"/>
              </w:rPr>
              <w:t xml:space="preserve"> </w:t>
            </w:r>
            <w:r w:rsidRPr="00727DFA">
              <w:rPr>
                <w:rFonts w:eastAsia="Times New Roman"/>
                <w:szCs w:val="24"/>
              </w:rPr>
              <w:t>coagulation</w:t>
            </w:r>
            <w:r w:rsidRPr="00727DFA">
              <w:rPr>
                <w:rFonts w:eastAsia="Times New Roman"/>
                <w:spacing w:val="-8"/>
                <w:szCs w:val="24"/>
              </w:rPr>
              <w:t xml:space="preserve"> </w:t>
            </w:r>
            <w:r w:rsidRPr="00727DFA">
              <w:rPr>
                <w:rFonts w:eastAsia="Times New Roman"/>
                <w:szCs w:val="24"/>
              </w:rPr>
              <w:t>disorders</w:t>
            </w:r>
            <w:r w:rsidRPr="00727DFA">
              <w:rPr>
                <w:rFonts w:eastAsia="Times New Roman"/>
                <w:spacing w:val="-7"/>
                <w:szCs w:val="24"/>
              </w:rPr>
              <w:t xml:space="preserve"> </w:t>
            </w:r>
            <w:r w:rsidRPr="00727DFA">
              <w:rPr>
                <w:rFonts w:eastAsia="Times New Roman"/>
                <w:szCs w:val="24"/>
              </w:rPr>
              <w:t>and</w:t>
            </w:r>
            <w:r w:rsidRPr="00727DFA">
              <w:rPr>
                <w:rFonts w:eastAsia="Times New Roman"/>
                <w:spacing w:val="-5"/>
                <w:szCs w:val="24"/>
              </w:rPr>
              <w:t xml:space="preserve"> </w:t>
            </w:r>
            <w:r w:rsidRPr="00727DFA">
              <w:rPr>
                <w:rFonts w:eastAsia="Times New Roman"/>
                <w:szCs w:val="24"/>
              </w:rPr>
              <w:t>central</w:t>
            </w:r>
            <w:r w:rsidRPr="00727DFA">
              <w:rPr>
                <w:rFonts w:eastAsia="Times New Roman"/>
                <w:spacing w:val="-8"/>
                <w:szCs w:val="24"/>
              </w:rPr>
              <w:t xml:space="preserve"> </w:t>
            </w:r>
            <w:r w:rsidRPr="00727DFA">
              <w:rPr>
                <w:rFonts w:eastAsia="Times New Roman"/>
                <w:szCs w:val="24"/>
              </w:rPr>
              <w:t>nervous</w:t>
            </w:r>
            <w:r w:rsidRPr="00727DFA">
              <w:rPr>
                <w:rFonts w:eastAsia="Times New Roman"/>
                <w:spacing w:val="-7"/>
                <w:szCs w:val="24"/>
              </w:rPr>
              <w:t xml:space="preserve"> </w:t>
            </w:r>
            <w:r w:rsidRPr="00727DFA">
              <w:rPr>
                <w:rFonts w:eastAsia="Times New Roman"/>
                <w:szCs w:val="24"/>
              </w:rPr>
              <w:t>system toxicity</w:t>
            </w:r>
            <w:r w:rsidRPr="00727DFA">
              <w:rPr>
                <w:rFonts w:eastAsia="Times New Roman"/>
                <w:spacing w:val="-4"/>
                <w:szCs w:val="24"/>
              </w:rPr>
              <w:t xml:space="preserve"> </w:t>
            </w:r>
            <w:r w:rsidRPr="00727DFA">
              <w:rPr>
                <w:rFonts w:eastAsia="Times New Roman"/>
                <w:szCs w:val="24"/>
              </w:rPr>
              <w:t>including</w:t>
            </w:r>
            <w:r w:rsidRPr="00727DFA">
              <w:rPr>
                <w:rFonts w:eastAsia="Times New Roman"/>
                <w:spacing w:val="-6"/>
                <w:szCs w:val="24"/>
              </w:rPr>
              <w:t xml:space="preserve"> </w:t>
            </w:r>
            <w:r w:rsidRPr="00727DFA">
              <w:rPr>
                <w:rFonts w:eastAsia="Times New Roman"/>
                <w:szCs w:val="24"/>
              </w:rPr>
              <w:t>convulsions</w:t>
            </w:r>
            <w:r w:rsidRPr="00727DFA">
              <w:rPr>
                <w:rFonts w:eastAsia="Times New Roman"/>
                <w:spacing w:val="-3"/>
                <w:szCs w:val="24"/>
              </w:rPr>
              <w:t xml:space="preserve"> </w:t>
            </w:r>
            <w:r w:rsidRPr="00727DFA">
              <w:rPr>
                <w:rFonts w:eastAsia="Times New Roman"/>
                <w:szCs w:val="24"/>
              </w:rPr>
              <w:t>(especially</w:t>
            </w:r>
            <w:r w:rsidRPr="00727DFA">
              <w:rPr>
                <w:rFonts w:eastAsia="Times New Roman"/>
                <w:spacing w:val="-4"/>
                <w:szCs w:val="24"/>
              </w:rPr>
              <w:t xml:space="preserve"> </w:t>
            </w:r>
            <w:r w:rsidRPr="00727DFA">
              <w:rPr>
                <w:rFonts w:eastAsia="Times New Roman"/>
                <w:szCs w:val="24"/>
              </w:rPr>
              <w:t>with</w:t>
            </w:r>
            <w:r w:rsidRPr="00727DFA">
              <w:rPr>
                <w:rFonts w:eastAsia="Times New Roman"/>
                <w:spacing w:val="-4"/>
                <w:szCs w:val="24"/>
              </w:rPr>
              <w:t xml:space="preserve"> </w:t>
            </w:r>
            <w:r w:rsidRPr="00727DFA">
              <w:rPr>
                <w:rFonts w:eastAsia="Times New Roman"/>
                <w:szCs w:val="24"/>
              </w:rPr>
              <w:t>high</w:t>
            </w:r>
            <w:r w:rsidRPr="00727DFA">
              <w:rPr>
                <w:rFonts w:eastAsia="Times New Roman"/>
                <w:spacing w:val="-4"/>
                <w:szCs w:val="24"/>
              </w:rPr>
              <w:t xml:space="preserve"> </w:t>
            </w:r>
            <w:r w:rsidRPr="00727DFA">
              <w:rPr>
                <w:rFonts w:eastAsia="Times New Roman"/>
                <w:szCs w:val="24"/>
              </w:rPr>
              <w:t>doses</w:t>
            </w:r>
            <w:r w:rsidRPr="00727DFA">
              <w:rPr>
                <w:rFonts w:eastAsia="Times New Roman"/>
                <w:spacing w:val="-3"/>
                <w:szCs w:val="24"/>
              </w:rPr>
              <w:t xml:space="preserve"> </w:t>
            </w:r>
            <w:r w:rsidRPr="00727DFA">
              <w:rPr>
                <w:rFonts w:eastAsia="Times New Roman"/>
                <w:spacing w:val="-5"/>
                <w:szCs w:val="24"/>
              </w:rPr>
              <w:t xml:space="preserve">or </w:t>
            </w:r>
            <w:r w:rsidRPr="00727DFA">
              <w:rPr>
                <w:rFonts w:eastAsia="Times New Roman"/>
                <w:szCs w:val="24"/>
              </w:rPr>
              <w:t>in</w:t>
            </w:r>
            <w:r w:rsidRPr="00727DFA">
              <w:rPr>
                <w:rFonts w:eastAsia="Times New Roman"/>
                <w:spacing w:val="-6"/>
                <w:szCs w:val="24"/>
              </w:rPr>
              <w:t xml:space="preserve"> </w:t>
            </w:r>
            <w:r w:rsidRPr="00727DFA">
              <w:rPr>
                <w:rFonts w:eastAsia="Times New Roman"/>
                <w:szCs w:val="24"/>
              </w:rPr>
              <w:t>severe</w:t>
            </w:r>
            <w:r w:rsidRPr="00727DFA">
              <w:rPr>
                <w:rFonts w:eastAsia="Times New Roman"/>
                <w:spacing w:val="-6"/>
                <w:szCs w:val="24"/>
              </w:rPr>
              <w:t xml:space="preserve"> </w:t>
            </w:r>
            <w:r w:rsidRPr="00727DFA">
              <w:rPr>
                <w:rFonts w:eastAsia="Times New Roman"/>
                <w:szCs w:val="24"/>
              </w:rPr>
              <w:t>renal</w:t>
            </w:r>
            <w:r w:rsidRPr="00727DFA">
              <w:rPr>
                <w:rFonts w:eastAsia="Times New Roman"/>
                <w:spacing w:val="-6"/>
                <w:szCs w:val="24"/>
              </w:rPr>
              <w:t xml:space="preserve"> </w:t>
            </w:r>
            <w:r w:rsidRPr="00727DFA">
              <w:rPr>
                <w:rFonts w:eastAsia="Times New Roman"/>
                <w:szCs w:val="24"/>
              </w:rPr>
              <w:t>impairment),</w:t>
            </w:r>
            <w:r w:rsidRPr="00727DFA">
              <w:rPr>
                <w:rFonts w:eastAsia="Times New Roman"/>
                <w:spacing w:val="-8"/>
                <w:szCs w:val="24"/>
              </w:rPr>
              <w:t xml:space="preserve"> </w:t>
            </w:r>
            <w:r w:rsidRPr="00727DFA">
              <w:rPr>
                <w:rFonts w:eastAsia="Times New Roman"/>
                <w:szCs w:val="24"/>
              </w:rPr>
              <w:t>paresthesia</w:t>
            </w:r>
            <w:r w:rsidRPr="00727DFA">
              <w:rPr>
                <w:rFonts w:eastAsia="Times New Roman"/>
                <w:spacing w:val="-7"/>
                <w:szCs w:val="24"/>
              </w:rPr>
              <w:t xml:space="preserve"> </w:t>
            </w:r>
            <w:r>
              <w:rPr>
                <w:rFonts w:eastAsia="Times New Roman"/>
                <w:spacing w:val="-7"/>
                <w:szCs w:val="24"/>
              </w:rPr>
              <w:t>(</w:t>
            </w:r>
            <w:r w:rsidRPr="00727DFA">
              <w:rPr>
                <w:rFonts w:eastAsia="Times New Roman"/>
                <w:szCs w:val="24"/>
              </w:rPr>
              <w:t>with</w:t>
            </w:r>
            <w:r w:rsidRPr="00727DFA">
              <w:rPr>
                <w:rFonts w:eastAsia="Times New Roman"/>
                <w:spacing w:val="-7"/>
                <w:szCs w:val="24"/>
              </w:rPr>
              <w:t xml:space="preserve"> </w:t>
            </w:r>
            <w:r w:rsidRPr="00727DFA">
              <w:rPr>
                <w:rFonts w:eastAsia="Times New Roman"/>
                <w:szCs w:val="24"/>
              </w:rPr>
              <w:t>prolonged</w:t>
            </w:r>
            <w:r w:rsidRPr="00727DFA">
              <w:rPr>
                <w:rFonts w:eastAsia="Times New Roman"/>
                <w:spacing w:val="-7"/>
                <w:szCs w:val="24"/>
              </w:rPr>
              <w:t xml:space="preserve"> </w:t>
            </w:r>
            <w:r w:rsidRPr="00727DFA">
              <w:rPr>
                <w:rFonts w:eastAsia="Times New Roman"/>
                <w:szCs w:val="24"/>
              </w:rPr>
              <w:t>use</w:t>
            </w:r>
            <w:r>
              <w:rPr>
                <w:rFonts w:eastAsia="Times New Roman"/>
                <w:szCs w:val="24"/>
              </w:rPr>
              <w:t>),</w:t>
            </w:r>
            <w:r w:rsidRPr="00727DFA">
              <w:rPr>
                <w:rFonts w:eastAsia="Times New Roman"/>
                <w:szCs w:val="24"/>
              </w:rPr>
              <w:t xml:space="preserve"> antibiotic associated diarrhea</w:t>
            </w:r>
            <w:r>
              <w:rPr>
                <w:rFonts w:eastAsia="Times New Roman"/>
                <w:szCs w:val="24"/>
              </w:rPr>
              <w:t>.</w:t>
            </w:r>
          </w:p>
        </w:tc>
      </w:tr>
      <w:tr w:rsidR="007B485D" w:rsidRPr="00727DFA" w14:paraId="299C6F3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59DD8F"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79566F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History</w:t>
            </w:r>
            <w:r w:rsidRPr="00727DFA">
              <w:rPr>
                <w:rFonts w:eastAsia="Times New Roman"/>
                <w:spacing w:val="-5"/>
                <w:szCs w:val="24"/>
              </w:rPr>
              <w:t xml:space="preserve"> </w:t>
            </w:r>
            <w:r w:rsidRPr="00727DFA">
              <w:rPr>
                <w:rFonts w:eastAsia="Times New Roman"/>
                <w:szCs w:val="24"/>
              </w:rPr>
              <w:t>of</w:t>
            </w:r>
            <w:r w:rsidRPr="00727DFA">
              <w:rPr>
                <w:rFonts w:eastAsia="Times New Roman"/>
                <w:spacing w:val="-3"/>
                <w:szCs w:val="24"/>
              </w:rPr>
              <w:t xml:space="preserve"> </w:t>
            </w:r>
            <w:r w:rsidRPr="00727DFA">
              <w:rPr>
                <w:rFonts w:eastAsia="Times New Roman"/>
                <w:szCs w:val="24"/>
              </w:rPr>
              <w:t>allergy,</w:t>
            </w:r>
            <w:r w:rsidRPr="00727DFA">
              <w:rPr>
                <w:rFonts w:eastAsia="Times New Roman"/>
                <w:spacing w:val="69"/>
                <w:szCs w:val="24"/>
              </w:rPr>
              <w:t xml:space="preserve"> </w:t>
            </w:r>
            <w:r w:rsidRPr="00727DFA">
              <w:rPr>
                <w:rFonts w:eastAsia="Times New Roman"/>
                <w:szCs w:val="24"/>
              </w:rPr>
              <w:t>renal</w:t>
            </w:r>
            <w:r w:rsidRPr="00727DFA">
              <w:rPr>
                <w:rFonts w:eastAsia="Times New Roman"/>
                <w:spacing w:val="-3"/>
                <w:szCs w:val="24"/>
              </w:rPr>
              <w:t xml:space="preserve"> </w:t>
            </w:r>
            <w:r w:rsidRPr="00727DFA">
              <w:rPr>
                <w:rFonts w:eastAsia="Times New Roman"/>
                <w:szCs w:val="24"/>
              </w:rPr>
              <w:t>failure,</w:t>
            </w:r>
            <w:r w:rsidRPr="00727DFA">
              <w:rPr>
                <w:rFonts w:eastAsia="Times New Roman"/>
                <w:spacing w:val="68"/>
                <w:szCs w:val="24"/>
              </w:rPr>
              <w:t xml:space="preserve"> </w:t>
            </w:r>
            <w:r w:rsidRPr="00727DFA">
              <w:rPr>
                <w:rFonts w:eastAsia="Times New Roman"/>
                <w:szCs w:val="24"/>
              </w:rPr>
              <w:t>pregnancy</w:t>
            </w:r>
            <w:r>
              <w:rPr>
                <w:rFonts w:eastAsia="Times New Roman"/>
                <w:szCs w:val="24"/>
              </w:rPr>
              <w:t>,</w:t>
            </w:r>
            <w:r w:rsidRPr="00727DFA">
              <w:rPr>
                <w:rFonts w:eastAsia="Times New Roman"/>
                <w:szCs w:val="24"/>
              </w:rPr>
              <w:t xml:space="preserve"> breas</w:t>
            </w:r>
            <w:r w:rsidRPr="00727DFA">
              <w:rPr>
                <w:rFonts w:eastAsia="Times New Roman"/>
                <w:spacing w:val="-2"/>
                <w:szCs w:val="24"/>
              </w:rPr>
              <w:t>tfeeding</w:t>
            </w:r>
            <w:r>
              <w:rPr>
                <w:rFonts w:eastAsia="Times New Roman"/>
                <w:spacing w:val="-2"/>
                <w:szCs w:val="24"/>
              </w:rPr>
              <w:t>.</w:t>
            </w:r>
          </w:p>
        </w:tc>
      </w:tr>
      <w:tr w:rsidR="007B485D" w:rsidRPr="00727DFA" w14:paraId="1A5B59D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1638E7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135E0E68"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spacing w:val="-2"/>
                <w:szCs w:val="24"/>
              </w:rPr>
              <w:t>Store below 30</w:t>
            </w:r>
            <w:r w:rsidRPr="00727DFA">
              <w:rPr>
                <w:rFonts w:eastAsia="Times New Roman"/>
                <w:spacing w:val="-2"/>
                <w:szCs w:val="24"/>
                <w:vertAlign w:val="superscript"/>
              </w:rPr>
              <w:t>o</w:t>
            </w:r>
            <w:r w:rsidRPr="00727DFA">
              <w:rPr>
                <w:rFonts w:eastAsia="Times New Roman"/>
                <w:spacing w:val="-2"/>
                <w:szCs w:val="24"/>
              </w:rPr>
              <w:t>C</w:t>
            </w:r>
            <w:r>
              <w:rPr>
                <w:rFonts w:eastAsia="Times New Roman"/>
                <w:spacing w:val="-2"/>
                <w:szCs w:val="24"/>
              </w:rPr>
              <w:t>.</w:t>
            </w:r>
          </w:p>
        </w:tc>
      </w:tr>
      <w:tr w:rsidR="007B485D" w:rsidRPr="00727DFA" w14:paraId="55564991"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3D9341F6" w14:textId="77777777" w:rsidR="007B485D" w:rsidRPr="00727DFA" w:rsidRDefault="007B485D" w:rsidP="002D6DD7">
            <w:pPr>
              <w:jc w:val="both"/>
              <w:rPr>
                <w:rFonts w:eastAsia="DengXian"/>
                <w:b/>
                <w:szCs w:val="24"/>
              </w:rPr>
            </w:pPr>
            <w:r w:rsidRPr="00727DFA">
              <w:rPr>
                <w:rFonts w:eastAsia="DengXian"/>
                <w:b/>
                <w:szCs w:val="24"/>
              </w:rPr>
              <w:t xml:space="preserve">Benzyl penicillin </w:t>
            </w:r>
            <w:r w:rsidRPr="00873AF2">
              <w:rPr>
                <w:rFonts w:eastAsia="DengXian"/>
                <w:b/>
                <w:szCs w:val="24"/>
              </w:rPr>
              <w:t>(Access)</w:t>
            </w:r>
          </w:p>
        </w:tc>
      </w:tr>
      <w:tr w:rsidR="007B485D" w:rsidRPr="00727DFA" w14:paraId="0200CBD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51194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4440F0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Penicillin </w:t>
            </w:r>
          </w:p>
        </w:tc>
      </w:tr>
      <w:tr w:rsidR="007B485D" w:rsidRPr="00727DFA" w14:paraId="5BB2D2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98EA91"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4C6BB95C" w14:textId="77777777" w:rsidR="007B485D" w:rsidRPr="00727DFA" w:rsidRDefault="007B485D" w:rsidP="002D6DD7">
            <w:pPr>
              <w:widowControl w:val="0"/>
              <w:autoSpaceDE w:val="0"/>
              <w:autoSpaceDN w:val="0"/>
              <w:jc w:val="both"/>
              <w:rPr>
                <w:rFonts w:eastAsia="Times New Roman"/>
                <w:spacing w:val="-4"/>
                <w:szCs w:val="24"/>
              </w:rPr>
            </w:pPr>
            <w:r w:rsidRPr="00873AF2">
              <w:rPr>
                <w:rFonts w:eastAsia="Times New Roman"/>
                <w:szCs w:val="24"/>
              </w:rPr>
              <w:t>Powder</w:t>
            </w:r>
            <w:r w:rsidRPr="00873AF2">
              <w:rPr>
                <w:rFonts w:eastAsia="Times New Roman"/>
                <w:spacing w:val="-5"/>
                <w:szCs w:val="24"/>
              </w:rPr>
              <w:t xml:space="preserve"> </w:t>
            </w:r>
            <w:r w:rsidRPr="00873AF2">
              <w:rPr>
                <w:rFonts w:eastAsia="Times New Roman"/>
                <w:szCs w:val="24"/>
              </w:rPr>
              <w:t>for</w:t>
            </w:r>
            <w:r w:rsidRPr="00873AF2">
              <w:rPr>
                <w:rFonts w:eastAsia="Times New Roman"/>
                <w:spacing w:val="-5"/>
                <w:szCs w:val="24"/>
              </w:rPr>
              <w:t xml:space="preserve"> </w:t>
            </w:r>
            <w:r w:rsidRPr="00873AF2">
              <w:rPr>
                <w:rFonts w:eastAsia="Times New Roman"/>
                <w:szCs w:val="24"/>
              </w:rPr>
              <w:t>injection</w:t>
            </w:r>
            <w:r w:rsidRPr="0063309C">
              <w:rPr>
                <w:rFonts w:eastAsia="Times New Roman"/>
                <w:spacing w:val="-2"/>
                <w:szCs w:val="24"/>
              </w:rPr>
              <w:t xml:space="preserve"> </w:t>
            </w:r>
            <w:r w:rsidRPr="00873AF2">
              <w:rPr>
                <w:rFonts w:eastAsia="Times New Roman"/>
                <w:szCs w:val="24"/>
              </w:rPr>
              <w:t>(sodium or potassium salt):</w:t>
            </w:r>
            <w:r w:rsidRPr="00727DFA">
              <w:rPr>
                <w:rFonts w:eastAsia="Times New Roman"/>
                <w:spacing w:val="-4"/>
                <w:szCs w:val="24"/>
              </w:rPr>
              <w:t xml:space="preserve"> </w:t>
            </w:r>
            <w:r w:rsidRPr="00727DFA">
              <w:rPr>
                <w:rFonts w:eastAsia="Times New Roman"/>
                <w:szCs w:val="24"/>
              </w:rPr>
              <w:t>1</w:t>
            </w:r>
            <w:r w:rsidRPr="00727DFA">
              <w:rPr>
                <w:rFonts w:eastAsia="Times New Roman"/>
                <w:spacing w:val="-4"/>
                <w:szCs w:val="24"/>
              </w:rPr>
              <w:t xml:space="preserve"> </w:t>
            </w:r>
            <w:r w:rsidRPr="00727DFA">
              <w:rPr>
                <w:rFonts w:eastAsia="Times New Roman"/>
                <w:szCs w:val="24"/>
              </w:rPr>
              <w:t>MIU (6oomg),</w:t>
            </w:r>
            <w:r w:rsidRPr="00727DFA">
              <w:rPr>
                <w:rFonts w:eastAsia="Times New Roman"/>
                <w:spacing w:val="-3"/>
                <w:szCs w:val="24"/>
              </w:rPr>
              <w:t xml:space="preserve"> </w:t>
            </w:r>
            <w:r w:rsidRPr="00727DFA">
              <w:rPr>
                <w:rFonts w:eastAsia="Times New Roman"/>
                <w:szCs w:val="24"/>
              </w:rPr>
              <w:t>5MIU (3g),</w:t>
            </w:r>
            <w:r w:rsidRPr="00727DFA">
              <w:rPr>
                <w:rFonts w:eastAsia="Times New Roman"/>
                <w:spacing w:val="-6"/>
                <w:szCs w:val="24"/>
              </w:rPr>
              <w:t xml:space="preserve"> </w:t>
            </w:r>
            <w:r w:rsidRPr="00727DFA">
              <w:rPr>
                <w:rFonts w:eastAsia="Times New Roman"/>
                <w:szCs w:val="24"/>
              </w:rPr>
              <w:t xml:space="preserve">10 </w:t>
            </w:r>
            <w:r w:rsidRPr="00727DFA">
              <w:rPr>
                <w:rFonts w:eastAsia="Times New Roman"/>
                <w:spacing w:val="-4"/>
                <w:szCs w:val="24"/>
              </w:rPr>
              <w:t>MIU (6g)</w:t>
            </w:r>
          </w:p>
        </w:tc>
      </w:tr>
      <w:tr w:rsidR="007B485D" w:rsidRPr="00727DFA" w14:paraId="4230FD9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44DDD6" w14:textId="77777777" w:rsidR="007B485D" w:rsidRPr="00873AF2" w:rsidRDefault="007B485D" w:rsidP="002D6DD7">
            <w:pPr>
              <w:widowControl w:val="0"/>
              <w:autoSpaceDE w:val="0"/>
              <w:autoSpaceDN w:val="0"/>
              <w:jc w:val="both"/>
              <w:rPr>
                <w:rFonts w:eastAsia="Times New Roman"/>
                <w:bCs/>
                <w:szCs w:val="24"/>
              </w:rPr>
            </w:pPr>
            <w:r w:rsidRPr="00873AF2">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AFF60C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Throat</w:t>
            </w:r>
            <w:r w:rsidRPr="00727DFA">
              <w:rPr>
                <w:rFonts w:eastAsia="Times New Roman"/>
                <w:spacing w:val="-7"/>
                <w:szCs w:val="24"/>
              </w:rPr>
              <w:t xml:space="preserve"> </w:t>
            </w:r>
            <w:r w:rsidRPr="00727DFA">
              <w:rPr>
                <w:rFonts w:eastAsia="Times New Roman"/>
                <w:szCs w:val="24"/>
              </w:rPr>
              <w:t>infections,</w:t>
            </w:r>
            <w:r w:rsidRPr="00727DFA">
              <w:rPr>
                <w:rFonts w:eastAsia="Times New Roman"/>
                <w:spacing w:val="-9"/>
                <w:szCs w:val="24"/>
              </w:rPr>
              <w:t xml:space="preserve"> </w:t>
            </w:r>
            <w:r w:rsidRPr="00727DFA">
              <w:rPr>
                <w:rFonts w:eastAsia="Times New Roman"/>
                <w:szCs w:val="24"/>
              </w:rPr>
              <w:t>otitis</w:t>
            </w:r>
            <w:r w:rsidRPr="00727DFA">
              <w:rPr>
                <w:rFonts w:eastAsia="Times New Roman"/>
                <w:spacing w:val="-7"/>
                <w:szCs w:val="24"/>
              </w:rPr>
              <w:t xml:space="preserve"> </w:t>
            </w:r>
            <w:r w:rsidRPr="00727DFA">
              <w:rPr>
                <w:rFonts w:eastAsia="Times New Roman"/>
                <w:szCs w:val="24"/>
              </w:rPr>
              <w:t>media,</w:t>
            </w:r>
            <w:r w:rsidRPr="00727DFA">
              <w:rPr>
                <w:rFonts w:eastAsia="Times New Roman"/>
                <w:spacing w:val="-9"/>
                <w:szCs w:val="24"/>
              </w:rPr>
              <w:t xml:space="preserve"> </w:t>
            </w:r>
            <w:r w:rsidRPr="00727DFA">
              <w:rPr>
                <w:rFonts w:eastAsia="Times New Roman"/>
                <w:szCs w:val="24"/>
              </w:rPr>
              <w:t>endocarditis,</w:t>
            </w:r>
            <w:r w:rsidRPr="00727DFA">
              <w:rPr>
                <w:rFonts w:eastAsia="Times New Roman"/>
                <w:spacing w:val="-7"/>
                <w:szCs w:val="24"/>
              </w:rPr>
              <w:t xml:space="preserve"> </w:t>
            </w:r>
            <w:r w:rsidRPr="00727DFA">
              <w:rPr>
                <w:rFonts w:eastAsia="Times New Roman"/>
                <w:szCs w:val="24"/>
              </w:rPr>
              <w:t>meningococcal</w:t>
            </w:r>
            <w:r w:rsidRPr="00727DFA">
              <w:rPr>
                <w:rFonts w:eastAsia="Times New Roman"/>
                <w:spacing w:val="-7"/>
                <w:szCs w:val="24"/>
              </w:rPr>
              <w:t xml:space="preserve"> </w:t>
            </w:r>
            <w:r w:rsidRPr="00727DFA">
              <w:rPr>
                <w:rFonts w:eastAsia="Times New Roman"/>
                <w:szCs w:val="24"/>
              </w:rPr>
              <w:t>disease, pneumonia, cellulitis</w:t>
            </w:r>
            <w:r>
              <w:rPr>
                <w:rFonts w:eastAsia="Times New Roman"/>
                <w:szCs w:val="24"/>
              </w:rPr>
              <w:t>,</w:t>
            </w:r>
            <w:r w:rsidRPr="00727DFA">
              <w:rPr>
                <w:rFonts w:eastAsia="Times New Roman"/>
                <w:szCs w:val="24"/>
              </w:rPr>
              <w:t xml:space="preserve"> anthrax</w:t>
            </w:r>
            <w:r>
              <w:rPr>
                <w:rFonts w:eastAsia="Times New Roman"/>
                <w:szCs w:val="24"/>
              </w:rPr>
              <w:t>,</w:t>
            </w:r>
            <w:r w:rsidRPr="00727DFA">
              <w:rPr>
                <w:rFonts w:eastAsia="Times New Roman"/>
                <w:szCs w:val="24"/>
              </w:rPr>
              <w:t xml:space="preserve"> prophylaxis in limb amputation and neurosyphilis</w:t>
            </w:r>
            <w:r>
              <w:rPr>
                <w:rFonts w:eastAsia="Times New Roman"/>
                <w:szCs w:val="24"/>
              </w:rPr>
              <w:t>.</w:t>
            </w:r>
          </w:p>
        </w:tc>
      </w:tr>
      <w:tr w:rsidR="007B485D" w:rsidRPr="00727DFA" w14:paraId="1C12DE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7CC23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sidRPr="00727DFA">
              <w:rPr>
                <w:rFonts w:eastAsia="Times New Roman"/>
                <w:bCs/>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0933EC09"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Infections due to sensitive organisms;</w:t>
            </w:r>
            <w:r w:rsidRPr="00727DFA">
              <w:rPr>
                <w:rFonts w:eastAsia="Times New Roman"/>
                <w:szCs w:val="24"/>
              </w:rPr>
              <w:t xml:space="preserve"> </w:t>
            </w:r>
            <w:r>
              <w:rPr>
                <w:rFonts w:eastAsia="Times New Roman"/>
                <w:szCs w:val="24"/>
              </w:rPr>
              <w:t>IM</w:t>
            </w:r>
            <w:r w:rsidRPr="00727DFA">
              <w:rPr>
                <w:rFonts w:eastAsia="Times New Roman"/>
                <w:spacing w:val="-4"/>
                <w:szCs w:val="24"/>
              </w:rPr>
              <w:t xml:space="preserve"> </w:t>
            </w:r>
            <w:r w:rsidRPr="00727DFA">
              <w:rPr>
                <w:rFonts w:eastAsia="Times New Roman"/>
                <w:szCs w:val="24"/>
              </w:rPr>
              <w:t>or</w:t>
            </w:r>
            <w:r w:rsidRPr="00727DFA">
              <w:rPr>
                <w:rFonts w:eastAsia="Times New Roman"/>
                <w:spacing w:val="-4"/>
                <w:szCs w:val="24"/>
              </w:rPr>
              <w:t xml:space="preserve"> </w:t>
            </w:r>
            <w:r w:rsidRPr="00727DFA">
              <w:rPr>
                <w:rFonts w:eastAsia="Times New Roman"/>
                <w:szCs w:val="24"/>
              </w:rPr>
              <w:t>by</w:t>
            </w:r>
            <w:r w:rsidRPr="00727DFA">
              <w:rPr>
                <w:rFonts w:eastAsia="Times New Roman"/>
                <w:spacing w:val="-2"/>
                <w:szCs w:val="24"/>
              </w:rPr>
              <w:t xml:space="preserve"> </w:t>
            </w:r>
            <w:r w:rsidRPr="00727DFA">
              <w:rPr>
                <w:rFonts w:eastAsia="Times New Roman"/>
                <w:szCs w:val="24"/>
              </w:rPr>
              <w:t>slow</w:t>
            </w:r>
            <w:r w:rsidRPr="00727DFA">
              <w:rPr>
                <w:rFonts w:eastAsia="Times New Roman"/>
                <w:spacing w:val="-4"/>
                <w:szCs w:val="24"/>
              </w:rPr>
              <w:t xml:space="preserve"> </w:t>
            </w:r>
            <w:r w:rsidRPr="00727DFA">
              <w:rPr>
                <w:rFonts w:eastAsia="Times New Roman"/>
                <w:szCs w:val="24"/>
              </w:rPr>
              <w:t>IV</w:t>
            </w:r>
            <w:r w:rsidRPr="00727DFA">
              <w:rPr>
                <w:rFonts w:eastAsia="Times New Roman"/>
                <w:spacing w:val="-2"/>
                <w:szCs w:val="24"/>
              </w:rPr>
              <w:t xml:space="preserve"> </w:t>
            </w:r>
            <w:r w:rsidRPr="00727DFA">
              <w:rPr>
                <w:rFonts w:eastAsia="Times New Roman"/>
                <w:szCs w:val="24"/>
              </w:rPr>
              <w:t>injection</w:t>
            </w:r>
            <w:r w:rsidRPr="00727DFA">
              <w:rPr>
                <w:rFonts w:eastAsia="Times New Roman"/>
                <w:spacing w:val="-4"/>
                <w:szCs w:val="24"/>
              </w:rPr>
              <w:t xml:space="preserve"> </w:t>
            </w:r>
            <w:r w:rsidRPr="00727DFA">
              <w:rPr>
                <w:rFonts w:eastAsia="Times New Roman"/>
                <w:szCs w:val="24"/>
              </w:rPr>
              <w:t>or</w:t>
            </w:r>
            <w:r w:rsidRPr="00727DFA">
              <w:rPr>
                <w:rFonts w:eastAsia="Times New Roman"/>
                <w:spacing w:val="-4"/>
                <w:szCs w:val="24"/>
              </w:rPr>
              <w:t xml:space="preserve"> </w:t>
            </w:r>
            <w:r w:rsidRPr="00727DFA">
              <w:rPr>
                <w:rFonts w:eastAsia="Times New Roman"/>
                <w:szCs w:val="24"/>
              </w:rPr>
              <w:t>by</w:t>
            </w:r>
            <w:r w:rsidRPr="00727DFA">
              <w:rPr>
                <w:rFonts w:eastAsia="Times New Roman"/>
                <w:spacing w:val="-1"/>
                <w:szCs w:val="24"/>
              </w:rPr>
              <w:t xml:space="preserve"> </w:t>
            </w:r>
            <w:r w:rsidRPr="00727DFA">
              <w:rPr>
                <w:rFonts w:eastAsia="Times New Roman"/>
                <w:szCs w:val="24"/>
              </w:rPr>
              <w:t>infusion:</w:t>
            </w:r>
          </w:p>
          <w:p w14:paraId="27F2DB5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Adult: </w:t>
            </w:r>
            <w:r w:rsidRPr="00727DFA">
              <w:rPr>
                <w:rFonts w:eastAsia="Times New Roman"/>
                <w:spacing w:val="-4"/>
                <w:szCs w:val="24"/>
              </w:rPr>
              <w:t>2.4-</w:t>
            </w:r>
            <w:r w:rsidRPr="00727DFA">
              <w:rPr>
                <w:rFonts w:eastAsia="Times New Roman"/>
                <w:szCs w:val="24"/>
              </w:rPr>
              <w:t>4.8 g daily in 4 divided doses, increased, if necessary, in serious infections (single doses over</w:t>
            </w:r>
            <w:r w:rsidRPr="00727DFA">
              <w:rPr>
                <w:rFonts w:eastAsia="Times New Roman"/>
                <w:spacing w:val="-1"/>
                <w:szCs w:val="24"/>
              </w:rPr>
              <w:t xml:space="preserve"> </w:t>
            </w:r>
            <w:r w:rsidRPr="00727DFA">
              <w:rPr>
                <w:rFonts w:eastAsia="Times New Roman"/>
                <w:szCs w:val="24"/>
              </w:rPr>
              <w:t>1.2 g</w:t>
            </w:r>
            <w:r w:rsidRPr="00727DFA">
              <w:rPr>
                <w:rFonts w:eastAsia="Times New Roman"/>
                <w:spacing w:val="-2"/>
                <w:szCs w:val="24"/>
              </w:rPr>
              <w:t xml:space="preserve"> </w:t>
            </w:r>
            <w:r w:rsidRPr="00727DFA">
              <w:rPr>
                <w:rFonts w:eastAsia="Times New Roman"/>
                <w:szCs w:val="24"/>
              </w:rPr>
              <w:t>intravenous route only)</w:t>
            </w:r>
          </w:p>
          <w:p w14:paraId="2AD4F8F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Preterm neonate and neonate under 1 week:</w:t>
            </w:r>
            <w:r w:rsidRPr="00727DFA">
              <w:rPr>
                <w:rFonts w:eastAsia="Times New Roman"/>
                <w:szCs w:val="24"/>
              </w:rPr>
              <w:t xml:space="preserve"> 50 mg/kg daily in 2 divided doses; doubled in </w:t>
            </w:r>
            <w:r w:rsidRPr="00727DFA">
              <w:rPr>
                <w:rFonts w:eastAsia="Times New Roman"/>
                <w:bCs/>
                <w:szCs w:val="24"/>
              </w:rPr>
              <w:t>meningococcal disease</w:t>
            </w:r>
          </w:p>
          <w:p w14:paraId="4760C2B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
                <w:bCs/>
                <w:szCs w:val="24"/>
              </w:rPr>
              <w:t>Neonate 1-4 weeks:</w:t>
            </w:r>
            <w:r w:rsidRPr="00727DFA">
              <w:rPr>
                <w:rFonts w:eastAsia="Times New Roman"/>
                <w:szCs w:val="24"/>
              </w:rPr>
              <w:t xml:space="preserve"> 75 mg/kg daily in 3 divided doses; doubled in </w:t>
            </w:r>
            <w:r w:rsidRPr="00727DFA">
              <w:rPr>
                <w:rFonts w:eastAsia="Times New Roman"/>
                <w:bCs/>
                <w:szCs w:val="24"/>
              </w:rPr>
              <w:t>meningococcal disease</w:t>
            </w:r>
          </w:p>
          <w:p w14:paraId="661B119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Child 1 month–12 years:</w:t>
            </w:r>
            <w:r w:rsidRPr="00727DFA">
              <w:rPr>
                <w:rFonts w:eastAsia="Times New Roman"/>
                <w:szCs w:val="24"/>
              </w:rPr>
              <w:t xml:space="preserve"> 100 mg/kg daily in 4 divided doses; doubled in </w:t>
            </w:r>
            <w:r w:rsidRPr="00727DFA">
              <w:rPr>
                <w:rFonts w:eastAsia="Times New Roman"/>
                <w:bCs/>
                <w:szCs w:val="24"/>
              </w:rPr>
              <w:t>meningococcal disease</w:t>
            </w:r>
          </w:p>
          <w:p w14:paraId="377FAF25"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 xml:space="preserve">Endocarditis: </w:t>
            </w:r>
          </w:p>
          <w:p w14:paraId="386EE2A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Adult: </w:t>
            </w:r>
            <w:r w:rsidRPr="00727DFA">
              <w:rPr>
                <w:rFonts w:eastAsia="Times New Roman"/>
                <w:szCs w:val="24"/>
              </w:rPr>
              <w:t>in combination with another antibacterial, if necessary,</w:t>
            </w:r>
            <w:r w:rsidRPr="00727DFA">
              <w:rPr>
                <w:rFonts w:eastAsia="Times New Roman"/>
                <w:spacing w:val="-5"/>
                <w:szCs w:val="24"/>
              </w:rPr>
              <w:t xml:space="preserve"> </w:t>
            </w:r>
            <w:r w:rsidRPr="00727DFA">
              <w:rPr>
                <w:rFonts w:eastAsia="Times New Roman"/>
                <w:szCs w:val="24"/>
              </w:rPr>
              <w:t>7.2</w:t>
            </w:r>
            <w:r w:rsidRPr="00727DFA">
              <w:rPr>
                <w:rFonts w:eastAsia="Times New Roman"/>
                <w:spacing w:val="-4"/>
                <w:szCs w:val="24"/>
              </w:rPr>
              <w:t xml:space="preserve"> </w:t>
            </w:r>
            <w:r w:rsidRPr="00727DFA">
              <w:rPr>
                <w:rFonts w:eastAsia="Times New Roman"/>
                <w:szCs w:val="24"/>
              </w:rPr>
              <w:t>g</w:t>
            </w:r>
            <w:r w:rsidRPr="00727DFA">
              <w:rPr>
                <w:rFonts w:eastAsia="Times New Roman"/>
                <w:spacing w:val="-6"/>
                <w:szCs w:val="24"/>
              </w:rPr>
              <w:t xml:space="preserve"> </w:t>
            </w:r>
            <w:r w:rsidRPr="00727DFA">
              <w:rPr>
                <w:rFonts w:eastAsia="Times New Roman"/>
                <w:szCs w:val="24"/>
              </w:rPr>
              <w:t>daily</w:t>
            </w:r>
            <w:r w:rsidRPr="00727DFA">
              <w:rPr>
                <w:rFonts w:eastAsia="Times New Roman"/>
                <w:spacing w:val="-4"/>
                <w:szCs w:val="24"/>
              </w:rPr>
              <w:t xml:space="preserve"> </w:t>
            </w:r>
            <w:r w:rsidRPr="00727DFA">
              <w:rPr>
                <w:rFonts w:eastAsia="Times New Roman"/>
                <w:szCs w:val="24"/>
              </w:rPr>
              <w:t>in 6 divided doses, increased to 14.4 g if necessary (e.g. in enterococcal endocarditis</w:t>
            </w:r>
            <w:r w:rsidRPr="00727DFA">
              <w:rPr>
                <w:rFonts w:eastAsia="Times New Roman"/>
                <w:spacing w:val="-4"/>
                <w:szCs w:val="24"/>
              </w:rPr>
              <w:t xml:space="preserve"> </w:t>
            </w:r>
            <w:r w:rsidRPr="00727DFA">
              <w:rPr>
                <w:rFonts w:eastAsia="Times New Roman"/>
                <w:szCs w:val="24"/>
              </w:rPr>
              <w:t>or</w:t>
            </w:r>
            <w:r w:rsidRPr="00727DFA">
              <w:rPr>
                <w:rFonts w:eastAsia="Times New Roman"/>
                <w:spacing w:val="-2"/>
                <w:szCs w:val="24"/>
              </w:rPr>
              <w:t xml:space="preserve"> </w:t>
            </w:r>
            <w:r w:rsidRPr="00727DFA">
              <w:rPr>
                <w:rFonts w:eastAsia="Times New Roman"/>
                <w:szCs w:val="24"/>
              </w:rPr>
              <w:t>if</w:t>
            </w:r>
            <w:r w:rsidRPr="00727DFA">
              <w:rPr>
                <w:rFonts w:eastAsia="Times New Roman"/>
                <w:spacing w:val="-4"/>
                <w:szCs w:val="24"/>
              </w:rPr>
              <w:t xml:space="preserve"> </w:t>
            </w:r>
            <w:r w:rsidRPr="00727DFA">
              <w:rPr>
                <w:rFonts w:eastAsia="Times New Roman"/>
                <w:szCs w:val="24"/>
              </w:rPr>
              <w:t>benzyl</w:t>
            </w:r>
            <w:r w:rsidRPr="00727DFA">
              <w:rPr>
                <w:rFonts w:eastAsia="Times New Roman"/>
                <w:spacing w:val="-4"/>
                <w:szCs w:val="24"/>
              </w:rPr>
              <w:t xml:space="preserve"> </w:t>
            </w:r>
            <w:r w:rsidRPr="00727DFA">
              <w:rPr>
                <w:rFonts w:eastAsia="Times New Roman"/>
                <w:szCs w:val="24"/>
              </w:rPr>
              <w:t>penicillin</w:t>
            </w:r>
            <w:r w:rsidRPr="00727DFA">
              <w:rPr>
                <w:rFonts w:eastAsia="Times New Roman"/>
                <w:spacing w:val="-3"/>
                <w:szCs w:val="24"/>
              </w:rPr>
              <w:t xml:space="preserve"> </w:t>
            </w:r>
            <w:r w:rsidRPr="00727DFA">
              <w:rPr>
                <w:rFonts w:eastAsia="Times New Roman"/>
                <w:szCs w:val="24"/>
              </w:rPr>
              <w:t>used</w:t>
            </w:r>
            <w:r w:rsidRPr="00727DFA">
              <w:rPr>
                <w:rFonts w:eastAsia="Times New Roman"/>
                <w:spacing w:val="-6"/>
                <w:szCs w:val="24"/>
              </w:rPr>
              <w:t xml:space="preserve"> </w:t>
            </w:r>
            <w:r w:rsidRPr="00727DFA">
              <w:rPr>
                <w:rFonts w:eastAsia="Times New Roman"/>
                <w:szCs w:val="24"/>
              </w:rPr>
              <w:t>alone)</w:t>
            </w:r>
          </w:p>
          <w:p w14:paraId="10F8F935"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Neurosyphilis:</w:t>
            </w:r>
          </w:p>
          <w:p w14:paraId="3A7D1B0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lastRenderedPageBreak/>
              <w:t>Adult,</w:t>
            </w:r>
            <w:r w:rsidRPr="00727DFA">
              <w:rPr>
                <w:rFonts w:eastAsia="Times New Roman"/>
                <w:szCs w:val="24"/>
              </w:rPr>
              <w:t xml:space="preserve"> by slow IV injection: 1.8–2.4 g every 4 hours for 2 weeks</w:t>
            </w:r>
          </w:p>
          <w:p w14:paraId="6C81CA68"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Anthrax:</w:t>
            </w:r>
          </w:p>
          <w:p w14:paraId="4A3ED7D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 xml:space="preserve">Adult: </w:t>
            </w:r>
            <w:r w:rsidRPr="00727DFA">
              <w:rPr>
                <w:rFonts w:eastAsia="Times New Roman"/>
                <w:szCs w:val="24"/>
              </w:rPr>
              <w:t xml:space="preserve">in combination with other antibacterial, 2.4 g every 4 hours, in adults; and in child 150 mg/kg daily in 4 divided doses </w:t>
            </w:r>
          </w:p>
          <w:p w14:paraId="67EB27D9"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Intrapartum prophylaxis;</w:t>
            </w:r>
            <w:r w:rsidRPr="00727DFA">
              <w:rPr>
                <w:rFonts w:eastAsia="Times New Roman"/>
                <w:szCs w:val="24"/>
              </w:rPr>
              <w:t xml:space="preserve"> against group B streptococcal infection:</w:t>
            </w:r>
            <w:r w:rsidRPr="00727DFA">
              <w:rPr>
                <w:rFonts w:eastAsia="Times New Roman"/>
                <w:b/>
                <w:szCs w:val="24"/>
              </w:rPr>
              <w:t xml:space="preserve"> </w:t>
            </w:r>
          </w:p>
          <w:p w14:paraId="43649A6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 xml:space="preserve"> initially 3 g then 1.5 g every 4 hours until delivery </w:t>
            </w:r>
          </w:p>
          <w:p w14:paraId="05836052" w14:textId="77777777" w:rsidR="007B485D" w:rsidRPr="00727DFA" w:rsidRDefault="007B485D" w:rsidP="002D6DD7">
            <w:pPr>
              <w:widowControl w:val="0"/>
              <w:autoSpaceDE w:val="0"/>
              <w:autoSpaceDN w:val="0"/>
              <w:jc w:val="both"/>
              <w:rPr>
                <w:rFonts w:eastAsia="Times New Roman"/>
                <w:szCs w:val="24"/>
              </w:rPr>
            </w:pPr>
            <w:r w:rsidRPr="00346050">
              <w:rPr>
                <w:rFonts w:eastAsia="Times New Roman"/>
                <w:i/>
                <w:szCs w:val="24"/>
              </w:rPr>
              <w:t>Note:</w:t>
            </w:r>
            <w:r w:rsidRPr="00727DFA">
              <w:rPr>
                <w:rFonts w:eastAsia="Times New Roman"/>
                <w:szCs w:val="24"/>
              </w:rPr>
              <w:t xml:space="preserve"> </w:t>
            </w:r>
            <w:r w:rsidRPr="00873AF2">
              <w:rPr>
                <w:rFonts w:eastAsia="Times New Roman"/>
                <w:i/>
                <w:iCs/>
                <w:szCs w:val="24"/>
              </w:rPr>
              <w:t>IV route is recommended in neonates and infants</w:t>
            </w:r>
          </w:p>
        </w:tc>
      </w:tr>
      <w:tr w:rsidR="007B485D" w:rsidRPr="00727DFA" w14:paraId="6686016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F0292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A68836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Penicillin</w:t>
            </w:r>
            <w:r w:rsidRPr="00727DFA">
              <w:rPr>
                <w:rFonts w:eastAsia="Times New Roman"/>
                <w:spacing w:val="1"/>
                <w:szCs w:val="24"/>
              </w:rPr>
              <w:t xml:space="preserve"> </w:t>
            </w:r>
            <w:r w:rsidRPr="00727DFA">
              <w:rPr>
                <w:rFonts w:eastAsia="Times New Roman"/>
                <w:spacing w:val="-2"/>
                <w:szCs w:val="24"/>
              </w:rPr>
              <w:t>hypersensitivity, intrathecal route</w:t>
            </w:r>
            <w:r>
              <w:rPr>
                <w:rFonts w:eastAsia="Times New Roman"/>
                <w:spacing w:val="-2"/>
                <w:szCs w:val="24"/>
              </w:rPr>
              <w:t>.</w:t>
            </w:r>
          </w:p>
        </w:tc>
      </w:tr>
      <w:tr w:rsidR="007B485D" w:rsidRPr="00727DFA" w14:paraId="0E26A68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EF9C7D"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w:t>
            </w:r>
            <w:r w:rsidRPr="00727DFA">
              <w:rPr>
                <w:rFonts w:eastAsia="Times New Roman"/>
                <w:bCs/>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2C532E5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Allopurinol, methotrexate,</w:t>
            </w:r>
            <w:r w:rsidRPr="00727DFA">
              <w:rPr>
                <w:rFonts w:eastAsia="Times New Roman"/>
                <w:spacing w:val="-10"/>
                <w:szCs w:val="24"/>
              </w:rPr>
              <w:t xml:space="preserve"> </w:t>
            </w:r>
            <w:r w:rsidRPr="00727DFA">
              <w:rPr>
                <w:rFonts w:eastAsia="Times New Roman"/>
                <w:szCs w:val="24"/>
              </w:rPr>
              <w:t>probenecid,</w:t>
            </w:r>
            <w:r w:rsidRPr="00727DFA">
              <w:rPr>
                <w:rFonts w:eastAsia="Times New Roman"/>
                <w:spacing w:val="-10"/>
                <w:szCs w:val="24"/>
              </w:rPr>
              <w:t xml:space="preserve"> oral </w:t>
            </w:r>
            <w:r w:rsidRPr="00727DFA">
              <w:rPr>
                <w:rFonts w:eastAsia="Times New Roman"/>
                <w:szCs w:val="24"/>
              </w:rPr>
              <w:t xml:space="preserve">anticoagulants, </w:t>
            </w:r>
            <w:r>
              <w:rPr>
                <w:rFonts w:eastAsia="Times New Roman"/>
                <w:szCs w:val="24"/>
              </w:rPr>
              <w:t>a</w:t>
            </w:r>
            <w:r w:rsidRPr="00727DFA">
              <w:rPr>
                <w:rFonts w:eastAsia="Times New Roman"/>
                <w:szCs w:val="24"/>
              </w:rPr>
              <w:t>minoglycosides, mycophenolate mofetil</w:t>
            </w:r>
            <w:r w:rsidRPr="00727DFA">
              <w:rPr>
                <w:rFonts w:eastAsia="Times New Roman"/>
                <w:spacing w:val="-10"/>
                <w:szCs w:val="24"/>
              </w:rPr>
              <w:t xml:space="preserve">, </w:t>
            </w:r>
            <w:r w:rsidRPr="00727DFA">
              <w:rPr>
                <w:rFonts w:eastAsia="Times New Roman"/>
                <w:szCs w:val="24"/>
              </w:rPr>
              <w:t>oral contraceptives, bacteriostatic antibacterials (e.g., erythromycin, tetracyclines)</w:t>
            </w:r>
            <w:r>
              <w:rPr>
                <w:rFonts w:eastAsia="Times New Roman"/>
                <w:szCs w:val="24"/>
              </w:rPr>
              <w:t>.</w:t>
            </w:r>
          </w:p>
        </w:tc>
      </w:tr>
      <w:tr w:rsidR="007B485D" w:rsidRPr="00727DFA" w14:paraId="113952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CECBA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Side</w:t>
            </w:r>
            <w:r w:rsidRPr="00727DFA">
              <w:rPr>
                <w:rFonts w:eastAsia="Times New Roman"/>
                <w:bCs/>
                <w:spacing w:val="-4"/>
                <w:szCs w:val="24"/>
              </w:rPr>
              <w:t xml:space="preserve"> </w:t>
            </w:r>
            <w:r w:rsidRPr="00727DFA">
              <w:rPr>
                <w:rFonts w:eastAsia="Times New Roman"/>
                <w:bCs/>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47688EC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 reactions including urticaria, fever, joint pains, rashes,</w:t>
            </w:r>
            <w:r w:rsidRPr="00727DFA">
              <w:rPr>
                <w:rFonts w:eastAsia="Times New Roman"/>
                <w:spacing w:val="-12"/>
                <w:szCs w:val="24"/>
              </w:rPr>
              <w:t xml:space="preserve"> </w:t>
            </w:r>
            <w:r w:rsidRPr="00727DFA">
              <w:rPr>
                <w:rFonts w:eastAsia="Times New Roman"/>
                <w:szCs w:val="24"/>
              </w:rPr>
              <w:t>angioedema,</w:t>
            </w:r>
            <w:r w:rsidRPr="00727DFA">
              <w:rPr>
                <w:rFonts w:eastAsia="Times New Roman"/>
                <w:spacing w:val="-12"/>
                <w:szCs w:val="24"/>
              </w:rPr>
              <w:t xml:space="preserve"> </w:t>
            </w:r>
            <w:r w:rsidRPr="00727DFA">
              <w:rPr>
                <w:rFonts w:eastAsia="Times New Roman"/>
                <w:szCs w:val="24"/>
              </w:rPr>
              <w:t>anaphylaxis,</w:t>
            </w:r>
            <w:r w:rsidRPr="00727DFA">
              <w:rPr>
                <w:rFonts w:eastAsia="Times New Roman"/>
                <w:spacing w:val="-12"/>
                <w:szCs w:val="24"/>
              </w:rPr>
              <w:t xml:space="preserve"> </w:t>
            </w:r>
            <w:r w:rsidRPr="00727DFA">
              <w:rPr>
                <w:rFonts w:eastAsia="Times New Roman"/>
                <w:szCs w:val="24"/>
              </w:rPr>
              <w:t>serum</w:t>
            </w:r>
            <w:r w:rsidRPr="00727DFA">
              <w:rPr>
                <w:rFonts w:eastAsia="Times New Roman"/>
                <w:spacing w:val="-10"/>
                <w:szCs w:val="24"/>
              </w:rPr>
              <w:t xml:space="preserve"> </w:t>
            </w:r>
            <w:r w:rsidRPr="00727DFA">
              <w:rPr>
                <w:rFonts w:eastAsia="Times New Roman"/>
                <w:szCs w:val="24"/>
              </w:rPr>
              <w:t>sickness-like</w:t>
            </w:r>
            <w:r w:rsidRPr="00727DFA">
              <w:rPr>
                <w:rFonts w:eastAsia="Times New Roman"/>
                <w:spacing w:val="-10"/>
                <w:szCs w:val="24"/>
              </w:rPr>
              <w:t xml:space="preserve"> </w:t>
            </w:r>
            <w:r w:rsidRPr="00727DFA">
              <w:rPr>
                <w:rFonts w:eastAsia="Times New Roman"/>
                <w:szCs w:val="24"/>
              </w:rPr>
              <w:t>reaction,</w:t>
            </w:r>
            <w:r w:rsidRPr="00727DFA">
              <w:rPr>
                <w:rFonts w:eastAsia="Times New Roman"/>
                <w:spacing w:val="-11"/>
                <w:szCs w:val="24"/>
              </w:rPr>
              <w:t xml:space="preserve"> </w:t>
            </w:r>
            <w:r w:rsidRPr="00727DFA">
              <w:rPr>
                <w:rFonts w:eastAsia="Times New Roman"/>
                <w:szCs w:val="24"/>
              </w:rPr>
              <w:t>CNS toxicity including convulsions, interstitial nephritis, hemolytic anemia, leucopenia, thrombocytopenia, coagulation disorder, antibiotic-associated diarrhea</w:t>
            </w:r>
            <w:r>
              <w:rPr>
                <w:rFonts w:eastAsia="Times New Roman"/>
                <w:szCs w:val="24"/>
              </w:rPr>
              <w:t>.</w:t>
            </w:r>
          </w:p>
        </w:tc>
      </w:tr>
      <w:tr w:rsidR="007B485D" w:rsidRPr="00727DFA" w14:paraId="2A790F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3080D4"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62CB409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History</w:t>
            </w:r>
            <w:r w:rsidRPr="00727DFA">
              <w:rPr>
                <w:rFonts w:eastAsia="Times New Roman"/>
                <w:spacing w:val="-5"/>
                <w:szCs w:val="24"/>
              </w:rPr>
              <w:t xml:space="preserve"> </w:t>
            </w:r>
            <w:r w:rsidRPr="00727DFA">
              <w:rPr>
                <w:rFonts w:eastAsia="Times New Roman"/>
                <w:szCs w:val="24"/>
              </w:rPr>
              <w:t>of</w:t>
            </w:r>
            <w:r w:rsidRPr="00727DFA">
              <w:rPr>
                <w:rFonts w:eastAsia="Times New Roman"/>
                <w:spacing w:val="-5"/>
                <w:szCs w:val="24"/>
              </w:rPr>
              <w:t xml:space="preserve"> β</w:t>
            </w:r>
            <w:r w:rsidRPr="00727DFA">
              <w:rPr>
                <w:rFonts w:eastAsia="Times New Roman"/>
                <w:szCs w:val="24"/>
              </w:rPr>
              <w:t>-lactam allergy, seizure disorder, renal failure, heart failure, pregnancy</w:t>
            </w:r>
            <w:r>
              <w:rPr>
                <w:rFonts w:eastAsia="Times New Roman"/>
                <w:szCs w:val="24"/>
              </w:rPr>
              <w:t xml:space="preserve">, </w:t>
            </w:r>
            <w:r w:rsidRPr="00727DFA">
              <w:rPr>
                <w:rFonts w:eastAsia="Times New Roman"/>
                <w:szCs w:val="24"/>
              </w:rPr>
              <w:t>breastfeeding, diabet</w:t>
            </w:r>
            <w:r>
              <w:rPr>
                <w:rFonts w:eastAsia="Times New Roman"/>
                <w:szCs w:val="24"/>
              </w:rPr>
              <w:t>es mellitus.</w:t>
            </w:r>
          </w:p>
        </w:tc>
      </w:tr>
      <w:tr w:rsidR="007B485D" w:rsidRPr="00727DFA" w14:paraId="792D308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4298A0"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72E5E91F"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Store below</w:t>
            </w:r>
            <w:r w:rsidRPr="00727DFA">
              <w:rPr>
                <w:rFonts w:eastAsia="Times New Roman"/>
                <w:spacing w:val="-4"/>
                <w:szCs w:val="24"/>
              </w:rPr>
              <w:t xml:space="preserve"> </w:t>
            </w:r>
            <w:r w:rsidRPr="00727DFA">
              <w:rPr>
                <w:rFonts w:eastAsia="Times New Roman"/>
                <w:szCs w:val="24"/>
              </w:rPr>
              <w:t>30</w:t>
            </w:r>
            <w:r w:rsidRPr="00727DFA">
              <w:rPr>
                <w:rFonts w:eastAsia="Times New Roman"/>
                <w:szCs w:val="24"/>
                <w:vertAlign w:val="superscript"/>
              </w:rPr>
              <w:t>o</w:t>
            </w:r>
            <w:r w:rsidRPr="00727DFA">
              <w:rPr>
                <w:rFonts w:eastAsia="Times New Roman"/>
                <w:szCs w:val="24"/>
              </w:rPr>
              <w:t>C</w:t>
            </w:r>
            <w:r>
              <w:rPr>
                <w:rFonts w:eastAsia="Times New Roman"/>
                <w:szCs w:val="24"/>
              </w:rPr>
              <w:t>.</w:t>
            </w:r>
          </w:p>
        </w:tc>
      </w:tr>
      <w:tr w:rsidR="007B485D" w:rsidRPr="00727DFA" w14:paraId="42B94D2B"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55AC0143" w14:textId="77777777" w:rsidR="007B485D" w:rsidRPr="00727DFA" w:rsidRDefault="007B485D" w:rsidP="002D6DD7">
            <w:pPr>
              <w:jc w:val="both"/>
              <w:rPr>
                <w:rFonts w:eastAsia="DengXian"/>
                <w:b/>
                <w:szCs w:val="24"/>
              </w:rPr>
            </w:pPr>
            <w:r w:rsidRPr="00727DFA">
              <w:rPr>
                <w:rFonts w:eastAsia="DengXian"/>
                <w:b/>
                <w:szCs w:val="24"/>
              </w:rPr>
              <w:t xml:space="preserve">Cloxacillin </w:t>
            </w:r>
            <w:r w:rsidRPr="00B15A7C">
              <w:rPr>
                <w:rFonts w:eastAsia="DengXian"/>
                <w:b/>
                <w:szCs w:val="24"/>
              </w:rPr>
              <w:t>(Access)</w:t>
            </w:r>
          </w:p>
        </w:tc>
      </w:tr>
      <w:tr w:rsidR="007B485D" w:rsidRPr="00727DFA" w14:paraId="4F5391F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D23EB0"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1BBDE7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Penicillin </w:t>
            </w:r>
          </w:p>
        </w:tc>
      </w:tr>
      <w:tr w:rsidR="007B485D" w:rsidRPr="00727DFA" w14:paraId="2899320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12A24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69E8E59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Capsule: 250mg,</w:t>
            </w:r>
            <w:r w:rsidRPr="00727DFA">
              <w:rPr>
                <w:rFonts w:eastAsia="Times New Roman"/>
                <w:bCs/>
                <w:spacing w:val="-3"/>
                <w:szCs w:val="24"/>
              </w:rPr>
              <w:t xml:space="preserve"> </w:t>
            </w:r>
            <w:r w:rsidRPr="00727DFA">
              <w:rPr>
                <w:rFonts w:eastAsia="Times New Roman"/>
                <w:bCs/>
                <w:spacing w:val="-4"/>
                <w:szCs w:val="24"/>
              </w:rPr>
              <w:t>500mg, 1gm (as sodium salt)</w:t>
            </w:r>
            <w:r w:rsidRPr="00727DFA">
              <w:rPr>
                <w:rFonts w:eastAsia="Times New Roman"/>
                <w:bCs/>
                <w:szCs w:val="24"/>
              </w:rPr>
              <w:t xml:space="preserve"> </w:t>
            </w:r>
          </w:p>
          <w:p w14:paraId="26BDDE74"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Powder for reconstitution:125mg/5ml,</w:t>
            </w:r>
            <w:r w:rsidRPr="00727DFA">
              <w:rPr>
                <w:rFonts w:eastAsia="Times New Roman"/>
                <w:bCs/>
                <w:spacing w:val="-9"/>
                <w:szCs w:val="24"/>
              </w:rPr>
              <w:t xml:space="preserve"> </w:t>
            </w:r>
            <w:r w:rsidRPr="00727DFA">
              <w:rPr>
                <w:rFonts w:eastAsia="Times New Roman"/>
                <w:bCs/>
                <w:szCs w:val="24"/>
              </w:rPr>
              <w:t>250mg/5ml</w:t>
            </w:r>
            <w:r w:rsidRPr="00727DFA">
              <w:rPr>
                <w:rFonts w:eastAsia="Times New Roman"/>
                <w:bCs/>
                <w:spacing w:val="-9"/>
                <w:szCs w:val="24"/>
              </w:rPr>
              <w:t xml:space="preserve"> </w:t>
            </w:r>
          </w:p>
          <w:p w14:paraId="5D0BCBE0"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9"/>
                <w:szCs w:val="24"/>
              </w:rPr>
              <w:t xml:space="preserve">Powder for </w:t>
            </w:r>
            <w:r w:rsidRPr="00727DFA">
              <w:rPr>
                <w:rFonts w:eastAsia="Times New Roman"/>
                <w:bCs/>
                <w:szCs w:val="24"/>
              </w:rPr>
              <w:t>Injection:  250mg, 500mg in vial</w:t>
            </w:r>
          </w:p>
        </w:tc>
      </w:tr>
      <w:tr w:rsidR="007B485D" w:rsidRPr="00727DFA" w14:paraId="007B9BC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204435" w14:textId="77777777" w:rsidR="007B485D" w:rsidRPr="00873AF2" w:rsidRDefault="007B485D" w:rsidP="002D6DD7">
            <w:pPr>
              <w:widowControl w:val="0"/>
              <w:autoSpaceDE w:val="0"/>
              <w:autoSpaceDN w:val="0"/>
              <w:jc w:val="both"/>
              <w:rPr>
                <w:rFonts w:eastAsia="Times New Roman"/>
                <w:bCs/>
                <w:szCs w:val="24"/>
              </w:rPr>
            </w:pPr>
            <w:r w:rsidRPr="00873AF2">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8E551B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Infections</w:t>
            </w:r>
            <w:r w:rsidRPr="00727DFA">
              <w:rPr>
                <w:rFonts w:eastAsia="Times New Roman"/>
                <w:spacing w:val="-7"/>
                <w:szCs w:val="24"/>
              </w:rPr>
              <w:t xml:space="preserve"> </w:t>
            </w:r>
            <w:r w:rsidRPr="00727DFA">
              <w:rPr>
                <w:rFonts w:eastAsia="Times New Roman"/>
                <w:szCs w:val="24"/>
              </w:rPr>
              <w:t>due</w:t>
            </w:r>
            <w:r w:rsidRPr="00727DFA">
              <w:rPr>
                <w:rFonts w:eastAsia="Times New Roman"/>
                <w:spacing w:val="-6"/>
                <w:szCs w:val="24"/>
              </w:rPr>
              <w:t xml:space="preserve"> </w:t>
            </w:r>
            <w:r w:rsidRPr="00727DFA">
              <w:rPr>
                <w:rFonts w:eastAsia="Times New Roman"/>
                <w:szCs w:val="24"/>
              </w:rPr>
              <w:t>to</w:t>
            </w:r>
            <w:r w:rsidRPr="00727DFA">
              <w:rPr>
                <w:rFonts w:eastAsia="Times New Roman"/>
                <w:spacing w:val="-9"/>
                <w:szCs w:val="24"/>
              </w:rPr>
              <w:t xml:space="preserve"> </w:t>
            </w:r>
            <w:r>
              <w:rPr>
                <w:rFonts w:eastAsia="Times New Roman"/>
                <w:szCs w:val="24"/>
              </w:rPr>
              <w:t>β</w:t>
            </w:r>
            <w:r w:rsidRPr="00727DFA">
              <w:rPr>
                <w:rFonts w:eastAsia="Times New Roman"/>
                <w:szCs w:val="24"/>
              </w:rPr>
              <w:t>-lactamase-producing</w:t>
            </w:r>
            <w:r w:rsidRPr="00727DFA">
              <w:rPr>
                <w:rFonts w:eastAsia="Times New Roman"/>
                <w:spacing w:val="-9"/>
                <w:szCs w:val="24"/>
              </w:rPr>
              <w:t xml:space="preserve"> </w:t>
            </w:r>
            <w:r w:rsidRPr="00727DFA">
              <w:rPr>
                <w:rFonts w:eastAsia="Times New Roman"/>
                <w:szCs w:val="24"/>
              </w:rPr>
              <w:t>staphylococci</w:t>
            </w:r>
            <w:r w:rsidRPr="00727DFA">
              <w:rPr>
                <w:rFonts w:eastAsia="Times New Roman"/>
                <w:spacing w:val="-8"/>
                <w:szCs w:val="24"/>
              </w:rPr>
              <w:t xml:space="preserve"> </w:t>
            </w:r>
            <w:r w:rsidRPr="00727DFA">
              <w:rPr>
                <w:rFonts w:eastAsia="Times New Roman"/>
                <w:szCs w:val="24"/>
              </w:rPr>
              <w:t>including impetigo, cellulitis and other soft-tissue infections</w:t>
            </w:r>
            <w:r>
              <w:rPr>
                <w:rFonts w:eastAsia="Times New Roman"/>
                <w:szCs w:val="24"/>
              </w:rPr>
              <w:t>,</w:t>
            </w:r>
            <w:r w:rsidRPr="00727DFA">
              <w:rPr>
                <w:rFonts w:eastAsia="Times New Roman"/>
                <w:szCs w:val="24"/>
              </w:rPr>
              <w:t xml:space="preserve"> staphylococcal endocarditis, septicemia, pneumonia and osteomyelitis</w:t>
            </w:r>
            <w:r>
              <w:rPr>
                <w:rFonts w:eastAsia="Times New Roman"/>
                <w:szCs w:val="24"/>
              </w:rPr>
              <w:t>.</w:t>
            </w:r>
          </w:p>
        </w:tc>
      </w:tr>
      <w:tr w:rsidR="007B485D" w:rsidRPr="00727DFA" w14:paraId="488766D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1364F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sidRPr="00727DFA">
              <w:rPr>
                <w:rFonts w:eastAsia="Times New Roman"/>
                <w:bCs/>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00159C33"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For infections caused by sensitive organisms:</w:t>
            </w:r>
          </w:p>
          <w:p w14:paraId="5815F32E" w14:textId="77777777" w:rsidR="007B485D" w:rsidRDefault="007B485D" w:rsidP="002D6DD7">
            <w:pPr>
              <w:widowControl w:val="0"/>
              <w:autoSpaceDE w:val="0"/>
              <w:autoSpaceDN w:val="0"/>
              <w:jc w:val="both"/>
              <w:rPr>
                <w:rFonts w:eastAsia="Times New Roman"/>
                <w:spacing w:val="-8"/>
                <w:szCs w:val="24"/>
              </w:rPr>
            </w:pPr>
            <w:r w:rsidRPr="00727DFA">
              <w:rPr>
                <w:rFonts w:eastAsia="Times New Roman"/>
                <w:b/>
                <w:szCs w:val="24"/>
              </w:rPr>
              <w:t>Adult</w:t>
            </w:r>
            <w:r w:rsidRPr="00727DFA">
              <w:rPr>
                <w:rFonts w:eastAsia="Times New Roman"/>
                <w:szCs w:val="24"/>
              </w:rPr>
              <w:t>:</w:t>
            </w:r>
            <w:r w:rsidRPr="00727DFA">
              <w:rPr>
                <w:rFonts w:eastAsia="Times New Roman"/>
                <w:spacing w:val="-8"/>
                <w:szCs w:val="24"/>
              </w:rPr>
              <w:t xml:space="preserve"> </w:t>
            </w:r>
          </w:p>
          <w:p w14:paraId="5D1F1912" w14:textId="77777777" w:rsidR="007B485D" w:rsidRPr="00873AF2" w:rsidRDefault="007B485D" w:rsidP="002D6DD7">
            <w:pPr>
              <w:widowControl w:val="0"/>
              <w:autoSpaceDE w:val="0"/>
              <w:autoSpaceDN w:val="0"/>
              <w:jc w:val="both"/>
              <w:rPr>
                <w:rFonts w:eastAsia="Times New Roman"/>
                <w:b/>
                <w:bCs/>
                <w:spacing w:val="-8"/>
                <w:szCs w:val="24"/>
              </w:rPr>
            </w:pPr>
            <w:r w:rsidRPr="00873AF2">
              <w:rPr>
                <w:rFonts w:eastAsia="Times New Roman"/>
                <w:b/>
                <w:bCs/>
                <w:spacing w:val="-8"/>
                <w:szCs w:val="24"/>
              </w:rPr>
              <w:t>Skin and soft-tissue infections:</w:t>
            </w:r>
          </w:p>
          <w:p w14:paraId="0D119FE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lastRenderedPageBreak/>
              <w:t>Oral:</w:t>
            </w:r>
            <w:r w:rsidRPr="00727DFA">
              <w:rPr>
                <w:rFonts w:eastAsia="Times New Roman"/>
                <w:b/>
                <w:spacing w:val="-8"/>
                <w:szCs w:val="24"/>
              </w:rPr>
              <w:t xml:space="preserve"> </w:t>
            </w:r>
            <w:r w:rsidRPr="00727DFA">
              <w:rPr>
                <w:rFonts w:eastAsia="Times New Roman"/>
                <w:szCs w:val="24"/>
              </w:rPr>
              <w:t>250</w:t>
            </w:r>
            <w:r w:rsidRPr="00727DFA">
              <w:rPr>
                <w:rFonts w:eastAsia="Times New Roman"/>
                <w:spacing w:val="-6"/>
                <w:szCs w:val="24"/>
              </w:rPr>
              <w:t xml:space="preserve"> </w:t>
            </w:r>
            <w:r w:rsidRPr="00727DFA">
              <w:rPr>
                <w:rFonts w:eastAsia="Times New Roman"/>
                <w:szCs w:val="24"/>
              </w:rPr>
              <w:t>to</w:t>
            </w:r>
            <w:r w:rsidRPr="00727DFA">
              <w:rPr>
                <w:rFonts w:eastAsia="Times New Roman"/>
                <w:spacing w:val="-8"/>
                <w:szCs w:val="24"/>
              </w:rPr>
              <w:t xml:space="preserve"> </w:t>
            </w:r>
            <w:r w:rsidRPr="00727DFA">
              <w:rPr>
                <w:rFonts w:eastAsia="Times New Roman"/>
                <w:szCs w:val="24"/>
              </w:rPr>
              <w:t>500mg</w:t>
            </w:r>
            <w:r w:rsidRPr="00727DFA">
              <w:rPr>
                <w:rFonts w:eastAsia="Times New Roman"/>
                <w:spacing w:val="-8"/>
                <w:szCs w:val="24"/>
              </w:rPr>
              <w:t xml:space="preserve"> </w:t>
            </w:r>
            <w:r w:rsidRPr="00727DFA">
              <w:rPr>
                <w:rFonts w:eastAsia="Times New Roman"/>
                <w:szCs w:val="24"/>
              </w:rPr>
              <w:t>(base)</w:t>
            </w:r>
            <w:r w:rsidRPr="00727DFA">
              <w:rPr>
                <w:rFonts w:eastAsia="Times New Roman"/>
                <w:spacing w:val="-8"/>
                <w:szCs w:val="24"/>
              </w:rPr>
              <w:t xml:space="preserve"> </w:t>
            </w:r>
            <w:r w:rsidRPr="00727DFA">
              <w:rPr>
                <w:rFonts w:eastAsia="Times New Roman"/>
                <w:szCs w:val="24"/>
              </w:rPr>
              <w:t>every</w:t>
            </w:r>
            <w:r w:rsidRPr="00727DFA">
              <w:rPr>
                <w:rFonts w:eastAsia="Times New Roman"/>
                <w:spacing w:val="-6"/>
                <w:szCs w:val="24"/>
              </w:rPr>
              <w:t xml:space="preserve"> </w:t>
            </w:r>
            <w:r w:rsidRPr="00727DFA">
              <w:rPr>
                <w:rFonts w:eastAsia="Times New Roman"/>
                <w:szCs w:val="24"/>
              </w:rPr>
              <w:t>6</w:t>
            </w:r>
            <w:r w:rsidRPr="00727DFA">
              <w:rPr>
                <w:rFonts w:eastAsia="Times New Roman"/>
                <w:spacing w:val="-5"/>
                <w:szCs w:val="24"/>
              </w:rPr>
              <w:t xml:space="preserve"> </w:t>
            </w:r>
            <w:r w:rsidRPr="00727DFA">
              <w:rPr>
                <w:rFonts w:eastAsia="Times New Roman"/>
                <w:szCs w:val="24"/>
              </w:rPr>
              <w:t>hours</w:t>
            </w:r>
          </w:p>
          <w:p w14:paraId="782F5A7E" w14:textId="77777777" w:rsidR="007B485D" w:rsidRDefault="007B485D" w:rsidP="002D6DD7">
            <w:pPr>
              <w:widowControl w:val="0"/>
              <w:autoSpaceDE w:val="0"/>
              <w:autoSpaceDN w:val="0"/>
              <w:jc w:val="both"/>
              <w:rPr>
                <w:rFonts w:eastAsia="Times New Roman"/>
                <w:szCs w:val="24"/>
              </w:rPr>
            </w:pPr>
            <w:r w:rsidRPr="00727DFA">
              <w:rPr>
                <w:rFonts w:eastAsia="Times New Roman"/>
                <w:b/>
                <w:szCs w:val="24"/>
              </w:rPr>
              <w:t>IV:</w:t>
            </w:r>
            <w:r w:rsidRPr="00727DFA">
              <w:rPr>
                <w:rFonts w:eastAsia="Times New Roman"/>
                <w:szCs w:val="24"/>
              </w:rPr>
              <w:t xml:space="preserve">  250 to 500mg (base) every 6 hours</w:t>
            </w:r>
          </w:p>
          <w:p w14:paraId="4BAF9938" w14:textId="77777777" w:rsidR="007B485D" w:rsidRPr="00873AF2" w:rsidRDefault="007B485D" w:rsidP="002D6DD7">
            <w:pPr>
              <w:widowControl w:val="0"/>
              <w:autoSpaceDE w:val="0"/>
              <w:autoSpaceDN w:val="0"/>
              <w:jc w:val="both"/>
              <w:rPr>
                <w:rFonts w:eastAsia="Times New Roman"/>
                <w:b/>
                <w:bCs/>
                <w:szCs w:val="24"/>
              </w:rPr>
            </w:pPr>
            <w:r w:rsidRPr="00873AF2">
              <w:rPr>
                <w:rFonts w:eastAsia="Times New Roman"/>
                <w:b/>
                <w:bCs/>
                <w:szCs w:val="24"/>
              </w:rPr>
              <w:t>Osteomyelitis, endocarditis, bloodstream infections</w:t>
            </w:r>
            <w:r>
              <w:rPr>
                <w:rFonts w:eastAsia="Times New Roman"/>
                <w:b/>
                <w:bCs/>
                <w:szCs w:val="24"/>
              </w:rPr>
              <w:t>:</w:t>
            </w:r>
            <w:r w:rsidRPr="00873AF2">
              <w:rPr>
                <w:rFonts w:eastAsia="Times New Roman"/>
                <w:b/>
                <w:bCs/>
                <w:szCs w:val="24"/>
              </w:rPr>
              <w:t xml:space="preserve"> </w:t>
            </w:r>
          </w:p>
          <w:p w14:paraId="2A95E68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IV:</w:t>
            </w:r>
            <w:r w:rsidRPr="00727DFA">
              <w:rPr>
                <w:rFonts w:eastAsia="Times New Roman"/>
                <w:szCs w:val="24"/>
              </w:rPr>
              <w:t xml:space="preserve">  </w:t>
            </w:r>
            <w:r>
              <w:rPr>
                <w:rFonts w:eastAsia="Times New Roman"/>
                <w:szCs w:val="24"/>
              </w:rPr>
              <w:t xml:space="preserve">2g </w:t>
            </w:r>
            <w:r w:rsidRPr="00727DFA">
              <w:rPr>
                <w:rFonts w:eastAsia="Times New Roman"/>
                <w:szCs w:val="24"/>
              </w:rPr>
              <w:t xml:space="preserve">(base) every </w:t>
            </w:r>
            <w:r>
              <w:rPr>
                <w:rFonts w:eastAsia="Times New Roman"/>
                <w:szCs w:val="24"/>
              </w:rPr>
              <w:t xml:space="preserve">4 </w:t>
            </w:r>
            <w:r w:rsidRPr="00727DFA">
              <w:rPr>
                <w:rFonts w:eastAsia="Times New Roman"/>
                <w:szCs w:val="24"/>
              </w:rPr>
              <w:t>hours</w:t>
            </w:r>
          </w:p>
          <w:p w14:paraId="53B92261" w14:textId="77777777" w:rsidR="007B485D" w:rsidRPr="00727DFA" w:rsidRDefault="007B485D" w:rsidP="002D6DD7">
            <w:pPr>
              <w:widowControl w:val="0"/>
              <w:autoSpaceDE w:val="0"/>
              <w:autoSpaceDN w:val="0"/>
              <w:jc w:val="both"/>
              <w:rPr>
                <w:rFonts w:eastAsia="Times New Roman"/>
                <w:b/>
                <w:spacing w:val="-5"/>
                <w:szCs w:val="24"/>
              </w:rPr>
            </w:pPr>
            <w:r w:rsidRPr="00727DFA">
              <w:rPr>
                <w:rFonts w:eastAsia="Times New Roman"/>
                <w:b/>
                <w:szCs w:val="24"/>
              </w:rPr>
              <w:t>Child</w:t>
            </w:r>
            <w:r>
              <w:rPr>
                <w:rFonts w:eastAsia="Times New Roman"/>
                <w:b/>
                <w:szCs w:val="24"/>
              </w:rPr>
              <w:t xml:space="preserve"> &lt; 20kg</w:t>
            </w:r>
            <w:r w:rsidRPr="00727DFA">
              <w:rPr>
                <w:rFonts w:eastAsia="Times New Roman"/>
                <w:b/>
                <w:szCs w:val="24"/>
              </w:rPr>
              <w:t>:</w:t>
            </w:r>
            <w:r w:rsidRPr="00727DFA">
              <w:rPr>
                <w:rFonts w:eastAsia="Times New Roman"/>
                <w:b/>
                <w:spacing w:val="-5"/>
                <w:szCs w:val="24"/>
              </w:rPr>
              <w:t xml:space="preserve"> </w:t>
            </w:r>
          </w:p>
          <w:p w14:paraId="0068C79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xml:space="preserve"> 25 – 50 mg/kg/day (base), in 4 divided doses, maximum 4gm.</w:t>
            </w:r>
          </w:p>
          <w:p w14:paraId="4EBCE7D5" w14:textId="77777777" w:rsidR="007B485D" w:rsidRDefault="007B485D" w:rsidP="002D6DD7">
            <w:pPr>
              <w:widowControl w:val="0"/>
              <w:autoSpaceDE w:val="0"/>
              <w:autoSpaceDN w:val="0"/>
              <w:jc w:val="both"/>
              <w:rPr>
                <w:rFonts w:eastAsia="Times New Roman"/>
                <w:szCs w:val="24"/>
              </w:rPr>
            </w:pPr>
            <w:r w:rsidRPr="00727DFA">
              <w:rPr>
                <w:rFonts w:eastAsia="Times New Roman"/>
                <w:b/>
                <w:szCs w:val="24"/>
              </w:rPr>
              <w:t>IV:</w:t>
            </w:r>
            <w:r w:rsidRPr="00727DFA">
              <w:rPr>
                <w:rFonts w:eastAsia="Times New Roman"/>
                <w:spacing w:val="-3"/>
                <w:szCs w:val="24"/>
              </w:rPr>
              <w:t xml:space="preserve"> 25 – 50 mg/kg/day (base)</w:t>
            </w:r>
            <w:r w:rsidRPr="00727DFA">
              <w:rPr>
                <w:rFonts w:eastAsia="Times New Roman"/>
                <w:szCs w:val="24"/>
              </w:rPr>
              <w:t>, di in 4 divided doses, maximum 4gm</w:t>
            </w:r>
          </w:p>
          <w:p w14:paraId="4016AE46" w14:textId="77777777" w:rsidR="007B485D" w:rsidRPr="00873AF2" w:rsidRDefault="007B485D" w:rsidP="002D6DD7">
            <w:pPr>
              <w:widowControl w:val="0"/>
              <w:autoSpaceDE w:val="0"/>
              <w:autoSpaceDN w:val="0"/>
              <w:jc w:val="both"/>
              <w:rPr>
                <w:rFonts w:eastAsia="Times New Roman"/>
                <w:b/>
                <w:spacing w:val="-5"/>
                <w:szCs w:val="24"/>
              </w:rPr>
            </w:pPr>
            <w:r w:rsidRPr="00727DFA">
              <w:rPr>
                <w:rFonts w:eastAsia="Times New Roman"/>
                <w:b/>
                <w:szCs w:val="24"/>
              </w:rPr>
              <w:t>Child</w:t>
            </w:r>
            <w:r>
              <w:rPr>
                <w:rFonts w:eastAsia="Times New Roman"/>
                <w:b/>
                <w:szCs w:val="24"/>
              </w:rPr>
              <w:t xml:space="preserve"> &gt; 20kg</w:t>
            </w:r>
            <w:r w:rsidRPr="00727DFA">
              <w:rPr>
                <w:rFonts w:eastAsia="Times New Roman"/>
                <w:b/>
                <w:szCs w:val="24"/>
              </w:rPr>
              <w:t>:</w:t>
            </w:r>
            <w:r w:rsidRPr="00727DFA">
              <w:rPr>
                <w:rFonts w:eastAsia="Times New Roman"/>
                <w:b/>
                <w:spacing w:val="-5"/>
                <w:szCs w:val="24"/>
              </w:rPr>
              <w:t xml:space="preserve"> </w:t>
            </w:r>
            <w:r>
              <w:rPr>
                <w:rFonts w:eastAsia="Times New Roman"/>
                <w:b/>
                <w:spacing w:val="-5"/>
                <w:szCs w:val="24"/>
              </w:rPr>
              <w:t xml:space="preserve"> use adult dose</w:t>
            </w:r>
          </w:p>
          <w:p w14:paraId="412877C4" w14:textId="77777777" w:rsidR="007B485D" w:rsidRPr="00727DFA" w:rsidRDefault="007B485D" w:rsidP="002D6DD7">
            <w:pPr>
              <w:widowControl w:val="0"/>
              <w:autoSpaceDE w:val="0"/>
              <w:autoSpaceDN w:val="0"/>
              <w:jc w:val="both"/>
              <w:rPr>
                <w:rFonts w:eastAsia="Times New Roman"/>
                <w:szCs w:val="24"/>
              </w:rPr>
            </w:pPr>
            <w:r w:rsidRPr="00B813B9">
              <w:rPr>
                <w:rFonts w:eastAsia="Times New Roman"/>
                <w:i/>
                <w:spacing w:val="-4"/>
                <w:szCs w:val="24"/>
              </w:rPr>
              <w:t>Note:</w:t>
            </w:r>
            <w:r w:rsidRPr="00727DFA">
              <w:rPr>
                <w:rFonts w:eastAsia="Times New Roman"/>
                <w:spacing w:val="-4"/>
                <w:szCs w:val="24"/>
              </w:rPr>
              <w:t xml:space="preserve"> </w:t>
            </w:r>
            <w:r w:rsidRPr="00873AF2">
              <w:rPr>
                <w:rFonts w:eastAsia="Times New Roman"/>
                <w:i/>
                <w:iCs/>
                <w:spacing w:val="-4"/>
                <w:szCs w:val="24"/>
              </w:rPr>
              <w:t>for oral cloxacillin, take 1 hour before or 2 hours after meals</w:t>
            </w:r>
          </w:p>
        </w:tc>
      </w:tr>
      <w:tr w:rsidR="007B485D" w:rsidRPr="00727DFA" w14:paraId="7814F4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81B26F"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 xml:space="preserve">Contraindications </w:t>
            </w:r>
          </w:p>
        </w:tc>
        <w:tc>
          <w:tcPr>
            <w:tcW w:w="6745" w:type="dxa"/>
            <w:tcBorders>
              <w:top w:val="single" w:sz="4" w:space="0" w:color="auto"/>
              <w:left w:val="single" w:sz="4" w:space="0" w:color="auto"/>
              <w:bottom w:val="single" w:sz="4" w:space="0" w:color="auto"/>
              <w:right w:val="single" w:sz="4" w:space="0" w:color="auto"/>
            </w:tcBorders>
            <w:hideMark/>
          </w:tcPr>
          <w:p w14:paraId="43A6FBC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w:t>
            </w:r>
            <w:r w:rsidRPr="00727DFA">
              <w:rPr>
                <w:rFonts w:eastAsia="Times New Roman"/>
                <w:spacing w:val="-8"/>
                <w:szCs w:val="24"/>
              </w:rPr>
              <w:t xml:space="preserve"> </w:t>
            </w:r>
            <w:r w:rsidRPr="00727DFA">
              <w:rPr>
                <w:rFonts w:eastAsia="Times New Roman"/>
                <w:szCs w:val="24"/>
              </w:rPr>
              <w:t>to</w:t>
            </w:r>
            <w:r>
              <w:rPr>
                <w:rFonts w:eastAsia="Times New Roman"/>
                <w:szCs w:val="24"/>
              </w:rPr>
              <w:t xml:space="preserve"> the drug or any other</w:t>
            </w:r>
            <w:r w:rsidRPr="00727DFA">
              <w:rPr>
                <w:rFonts w:eastAsia="Times New Roman"/>
                <w:spacing w:val="-6"/>
                <w:szCs w:val="24"/>
              </w:rPr>
              <w:t xml:space="preserve"> </w:t>
            </w:r>
            <w:r w:rsidRPr="00727DFA">
              <w:rPr>
                <w:rFonts w:eastAsia="Times New Roman"/>
                <w:spacing w:val="-2"/>
                <w:szCs w:val="24"/>
              </w:rPr>
              <w:t>penicillins</w:t>
            </w:r>
            <w:r>
              <w:rPr>
                <w:rFonts w:eastAsia="Times New Roman"/>
                <w:spacing w:val="-2"/>
                <w:szCs w:val="24"/>
              </w:rPr>
              <w:t>.</w:t>
            </w:r>
          </w:p>
        </w:tc>
      </w:tr>
      <w:tr w:rsidR="007B485D" w:rsidRPr="00727DFA" w14:paraId="3ECC120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E667B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w:t>
            </w:r>
            <w:r w:rsidRPr="00727DFA">
              <w:rPr>
                <w:rFonts w:eastAsia="Times New Roman"/>
                <w:bCs/>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602677BA"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amoxicillin</w:t>
            </w:r>
            <w:r>
              <w:rPr>
                <w:rFonts w:eastAsia="Times New Roman"/>
                <w:szCs w:val="24"/>
              </w:rPr>
              <w:t>.</w:t>
            </w:r>
          </w:p>
        </w:tc>
      </w:tr>
      <w:tr w:rsidR="007B485D" w:rsidRPr="00727DFA" w14:paraId="5C65C9B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DB9EB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Side</w:t>
            </w:r>
            <w:r w:rsidRPr="00727DFA">
              <w:rPr>
                <w:rFonts w:eastAsia="Times New Roman"/>
                <w:bCs/>
                <w:spacing w:val="-4"/>
                <w:szCs w:val="24"/>
              </w:rPr>
              <w:t xml:space="preserve"> </w:t>
            </w:r>
            <w:r w:rsidRPr="00727DFA">
              <w:rPr>
                <w:rFonts w:eastAsia="Times New Roman"/>
                <w:bCs/>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45655B2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Gastrointestinal complaints including nausea, vomiting, diarrhea; hematologic abnormalities including neutropenia, leukopenia and thrombocytopenia</w:t>
            </w:r>
            <w:r>
              <w:rPr>
                <w:rFonts w:eastAsia="Times New Roman"/>
                <w:szCs w:val="24"/>
              </w:rPr>
              <w:t>,</w:t>
            </w:r>
            <w:r w:rsidRPr="00727DFA">
              <w:rPr>
                <w:rFonts w:eastAsia="Times New Roman"/>
                <w:szCs w:val="24"/>
              </w:rPr>
              <w:t xml:space="preserve"> hypersensitivity reactions including urticaria, fever, joint pain, rashes, angioedema</w:t>
            </w:r>
            <w:r>
              <w:rPr>
                <w:rFonts w:eastAsia="Times New Roman"/>
                <w:szCs w:val="24"/>
              </w:rPr>
              <w:t>,</w:t>
            </w:r>
            <w:r w:rsidRPr="00727DFA">
              <w:rPr>
                <w:rFonts w:eastAsia="Times New Roman"/>
                <w:szCs w:val="24"/>
              </w:rPr>
              <w:t xml:space="preserve"> coagulation disorders</w:t>
            </w:r>
            <w:r>
              <w:rPr>
                <w:rFonts w:eastAsia="Times New Roman"/>
                <w:szCs w:val="24"/>
              </w:rPr>
              <w:t>,</w:t>
            </w:r>
            <w:r w:rsidRPr="00727DFA">
              <w:rPr>
                <w:rFonts w:eastAsia="Times New Roman"/>
                <w:szCs w:val="24"/>
              </w:rPr>
              <w:t xml:space="preserve"> antibiotic- associated</w:t>
            </w:r>
            <w:r w:rsidRPr="00727DFA">
              <w:rPr>
                <w:rFonts w:eastAsia="Times New Roman"/>
                <w:spacing w:val="-7"/>
                <w:szCs w:val="24"/>
              </w:rPr>
              <w:t xml:space="preserve"> diarrhea</w:t>
            </w:r>
            <w:r>
              <w:rPr>
                <w:rFonts w:eastAsia="Times New Roman"/>
                <w:szCs w:val="24"/>
              </w:rPr>
              <w:t>,</w:t>
            </w:r>
            <w:r w:rsidRPr="00727DFA">
              <w:rPr>
                <w:rFonts w:eastAsia="Times New Roman"/>
                <w:spacing w:val="-6"/>
                <w:szCs w:val="24"/>
              </w:rPr>
              <w:t xml:space="preserve"> </w:t>
            </w:r>
            <w:r w:rsidRPr="00727DFA">
              <w:rPr>
                <w:rFonts w:eastAsia="Times New Roman"/>
                <w:szCs w:val="24"/>
              </w:rPr>
              <w:t>hepatitis</w:t>
            </w:r>
            <w:r w:rsidRPr="00727DFA">
              <w:rPr>
                <w:rFonts w:eastAsia="Times New Roman"/>
                <w:spacing w:val="-5"/>
                <w:szCs w:val="24"/>
              </w:rPr>
              <w:t xml:space="preserve"> </w:t>
            </w:r>
            <w:r w:rsidRPr="00727DFA">
              <w:rPr>
                <w:rFonts w:eastAsia="Times New Roman"/>
                <w:szCs w:val="24"/>
              </w:rPr>
              <w:t>and</w:t>
            </w:r>
            <w:r w:rsidRPr="00727DFA">
              <w:rPr>
                <w:rFonts w:eastAsia="Times New Roman"/>
                <w:spacing w:val="-6"/>
                <w:szCs w:val="24"/>
              </w:rPr>
              <w:t xml:space="preserve"> </w:t>
            </w:r>
            <w:r w:rsidRPr="00727DFA">
              <w:rPr>
                <w:rFonts w:eastAsia="Times New Roman"/>
                <w:szCs w:val="24"/>
              </w:rPr>
              <w:t>cholestatic</w:t>
            </w:r>
            <w:r>
              <w:rPr>
                <w:rFonts w:eastAsia="Times New Roman"/>
                <w:szCs w:val="24"/>
              </w:rPr>
              <w:t>,</w:t>
            </w:r>
            <w:r w:rsidRPr="00727DFA">
              <w:rPr>
                <w:rFonts w:eastAsia="Times New Roman"/>
                <w:szCs w:val="24"/>
              </w:rPr>
              <w:t xml:space="preserve"> electrolyte disturbances</w:t>
            </w:r>
            <w:r>
              <w:rPr>
                <w:rFonts w:eastAsia="Times New Roman"/>
                <w:szCs w:val="24"/>
              </w:rPr>
              <w:t>,</w:t>
            </w:r>
            <w:r w:rsidRPr="00727DFA">
              <w:rPr>
                <w:rFonts w:eastAsia="Times New Roman"/>
                <w:szCs w:val="24"/>
              </w:rPr>
              <w:t xml:space="preserve"> pain, inflammation, phlebitis or thrombophlebitis</w:t>
            </w:r>
            <w:r w:rsidRPr="00727DFA">
              <w:rPr>
                <w:rFonts w:eastAsia="Times New Roman"/>
                <w:spacing w:val="-4"/>
                <w:szCs w:val="24"/>
              </w:rPr>
              <w:t xml:space="preserve"> </w:t>
            </w:r>
            <w:r w:rsidRPr="00727DFA">
              <w:rPr>
                <w:rFonts w:eastAsia="Times New Roman"/>
                <w:szCs w:val="24"/>
              </w:rPr>
              <w:t>at</w:t>
            </w:r>
            <w:r w:rsidRPr="00727DFA">
              <w:rPr>
                <w:rFonts w:eastAsia="Times New Roman"/>
                <w:spacing w:val="-6"/>
                <w:szCs w:val="24"/>
              </w:rPr>
              <w:t xml:space="preserve"> </w:t>
            </w:r>
            <w:r w:rsidRPr="00727DFA">
              <w:rPr>
                <w:rFonts w:eastAsia="Times New Roman"/>
                <w:szCs w:val="24"/>
              </w:rPr>
              <w:t>injection</w:t>
            </w:r>
            <w:r w:rsidRPr="00727DFA">
              <w:rPr>
                <w:rFonts w:eastAsia="Times New Roman"/>
                <w:spacing w:val="-4"/>
                <w:szCs w:val="24"/>
              </w:rPr>
              <w:t xml:space="preserve"> </w:t>
            </w:r>
            <w:r w:rsidRPr="00727DFA">
              <w:rPr>
                <w:rFonts w:eastAsia="Times New Roman"/>
                <w:spacing w:val="-2"/>
                <w:szCs w:val="24"/>
              </w:rPr>
              <w:t>sites</w:t>
            </w:r>
            <w:r>
              <w:rPr>
                <w:rFonts w:eastAsia="Times New Roman"/>
                <w:spacing w:val="-2"/>
                <w:szCs w:val="24"/>
              </w:rPr>
              <w:t>.</w:t>
            </w:r>
          </w:p>
        </w:tc>
      </w:tr>
      <w:tr w:rsidR="007B485D" w:rsidRPr="00727DFA" w14:paraId="13E4B38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F9662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5D1924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History</w:t>
            </w:r>
            <w:r w:rsidRPr="00727DFA">
              <w:rPr>
                <w:rFonts w:eastAsia="Times New Roman"/>
                <w:spacing w:val="-5"/>
                <w:szCs w:val="24"/>
              </w:rPr>
              <w:t xml:space="preserve"> </w:t>
            </w:r>
            <w:r w:rsidRPr="00727DFA">
              <w:rPr>
                <w:rFonts w:eastAsia="Times New Roman"/>
                <w:szCs w:val="24"/>
              </w:rPr>
              <w:t>of</w:t>
            </w:r>
            <w:r w:rsidRPr="00727DFA">
              <w:rPr>
                <w:rFonts w:eastAsia="Times New Roman"/>
                <w:spacing w:val="-3"/>
                <w:szCs w:val="24"/>
              </w:rPr>
              <w:t xml:space="preserve"> </w:t>
            </w:r>
            <w:r w:rsidRPr="00727DFA">
              <w:rPr>
                <w:rFonts w:eastAsia="Times New Roman"/>
                <w:szCs w:val="24"/>
              </w:rPr>
              <w:t>allergy,</w:t>
            </w:r>
            <w:r w:rsidRPr="00727DFA">
              <w:rPr>
                <w:rFonts w:eastAsia="Times New Roman"/>
                <w:spacing w:val="-4"/>
                <w:szCs w:val="24"/>
              </w:rPr>
              <w:t xml:space="preserve"> </w:t>
            </w:r>
            <w:r w:rsidRPr="00727DFA">
              <w:rPr>
                <w:rFonts w:eastAsia="Times New Roman"/>
                <w:szCs w:val="24"/>
              </w:rPr>
              <w:t>renal</w:t>
            </w:r>
            <w:r w:rsidRPr="00727DFA">
              <w:rPr>
                <w:rFonts w:eastAsia="Times New Roman"/>
                <w:spacing w:val="-3"/>
                <w:szCs w:val="24"/>
              </w:rPr>
              <w:t xml:space="preserve"> </w:t>
            </w:r>
            <w:r w:rsidRPr="00727DFA">
              <w:rPr>
                <w:rFonts w:eastAsia="Times New Roman"/>
                <w:szCs w:val="24"/>
              </w:rPr>
              <w:t>and</w:t>
            </w:r>
            <w:r w:rsidRPr="00727DFA">
              <w:rPr>
                <w:rFonts w:eastAsia="Times New Roman"/>
                <w:spacing w:val="-3"/>
                <w:szCs w:val="24"/>
              </w:rPr>
              <w:t xml:space="preserve"> </w:t>
            </w:r>
            <w:r w:rsidRPr="00727DFA">
              <w:rPr>
                <w:rFonts w:eastAsia="Times New Roman"/>
                <w:szCs w:val="24"/>
              </w:rPr>
              <w:t>hepatic</w:t>
            </w:r>
            <w:r w:rsidRPr="00727DFA">
              <w:rPr>
                <w:rFonts w:eastAsia="Times New Roman"/>
                <w:spacing w:val="-5"/>
                <w:szCs w:val="24"/>
              </w:rPr>
              <w:t xml:space="preserve"> </w:t>
            </w:r>
            <w:r w:rsidRPr="00727DFA">
              <w:rPr>
                <w:rFonts w:eastAsia="Times New Roman"/>
                <w:szCs w:val="24"/>
              </w:rPr>
              <w:t>function</w:t>
            </w:r>
            <w:r w:rsidRPr="00727DFA">
              <w:rPr>
                <w:rFonts w:eastAsia="Times New Roman"/>
                <w:spacing w:val="-3"/>
                <w:szCs w:val="24"/>
              </w:rPr>
              <w:t xml:space="preserve"> </w:t>
            </w:r>
            <w:r w:rsidRPr="00727DFA">
              <w:rPr>
                <w:rFonts w:eastAsia="Times New Roman"/>
                <w:szCs w:val="24"/>
              </w:rPr>
              <w:t>impairment,</w:t>
            </w:r>
            <w:r w:rsidRPr="00727DFA">
              <w:rPr>
                <w:rFonts w:eastAsia="Times New Roman"/>
                <w:spacing w:val="-5"/>
                <w:szCs w:val="24"/>
              </w:rPr>
              <w:t xml:space="preserve"> </w:t>
            </w:r>
            <w:r w:rsidRPr="00727DFA">
              <w:rPr>
                <w:rFonts w:eastAsia="Times New Roman"/>
                <w:szCs w:val="24"/>
              </w:rPr>
              <w:t>antibiotic associated</w:t>
            </w:r>
            <w:r w:rsidRPr="00727DFA">
              <w:rPr>
                <w:rFonts w:eastAsia="Times New Roman"/>
                <w:spacing w:val="-8"/>
                <w:szCs w:val="24"/>
              </w:rPr>
              <w:t xml:space="preserve"> </w:t>
            </w:r>
            <w:r w:rsidRPr="00727DFA">
              <w:rPr>
                <w:rFonts w:eastAsia="Times New Roman"/>
                <w:szCs w:val="24"/>
              </w:rPr>
              <w:t>diarrhea, premature and newborn infants</w:t>
            </w:r>
            <w:r>
              <w:rPr>
                <w:rFonts w:eastAsia="Times New Roman"/>
                <w:szCs w:val="24"/>
              </w:rPr>
              <w:t>, risk of fungal s</w:t>
            </w:r>
            <w:r w:rsidRPr="00727DFA">
              <w:rPr>
                <w:rFonts w:eastAsia="Times New Roman"/>
                <w:szCs w:val="24"/>
              </w:rPr>
              <w:t>uperinfections</w:t>
            </w:r>
            <w:r>
              <w:rPr>
                <w:rFonts w:eastAsia="Times New Roman"/>
                <w:szCs w:val="24"/>
              </w:rPr>
              <w:t>.</w:t>
            </w:r>
          </w:p>
        </w:tc>
      </w:tr>
      <w:tr w:rsidR="007B485D" w:rsidRPr="00727DFA" w14:paraId="753A83B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C771A5"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495FA49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 xml:space="preserve">Store below 30 </w:t>
            </w:r>
            <w:r w:rsidRPr="00727DFA">
              <w:rPr>
                <w:rFonts w:eastAsia="Times New Roman"/>
                <w:spacing w:val="-2"/>
                <w:szCs w:val="24"/>
                <w:vertAlign w:val="superscript"/>
              </w:rPr>
              <w:t>o</w:t>
            </w:r>
            <w:r w:rsidRPr="00727DFA">
              <w:rPr>
                <w:rFonts w:eastAsia="Times New Roman"/>
                <w:spacing w:val="-2"/>
                <w:szCs w:val="24"/>
              </w:rPr>
              <w:t>C</w:t>
            </w:r>
            <w:r>
              <w:rPr>
                <w:rFonts w:eastAsia="Times New Roman"/>
                <w:spacing w:val="-2"/>
                <w:szCs w:val="24"/>
              </w:rPr>
              <w:t>.</w:t>
            </w:r>
            <w:r w:rsidRPr="00727DFA">
              <w:rPr>
                <w:rFonts w:eastAsia="Times New Roman"/>
                <w:szCs w:val="24"/>
              </w:rPr>
              <w:t xml:space="preserve"> </w:t>
            </w:r>
          </w:p>
        </w:tc>
      </w:tr>
      <w:tr w:rsidR="007B485D" w:rsidRPr="00727DFA" w14:paraId="07B399DA"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60DC8A54" w14:textId="77777777" w:rsidR="007B485D" w:rsidRPr="00727DFA" w:rsidRDefault="007B485D" w:rsidP="002D6DD7">
            <w:pPr>
              <w:jc w:val="both"/>
              <w:rPr>
                <w:rFonts w:eastAsia="DengXian"/>
                <w:b/>
                <w:szCs w:val="24"/>
              </w:rPr>
            </w:pPr>
            <w:r w:rsidRPr="00727DFA">
              <w:rPr>
                <w:rFonts w:eastAsia="DengXian"/>
                <w:b/>
                <w:szCs w:val="24"/>
              </w:rPr>
              <w:t xml:space="preserve">Piperacillin + </w:t>
            </w:r>
            <w:r w:rsidRPr="00587263">
              <w:rPr>
                <w:rFonts w:eastAsia="DengXian"/>
                <w:b/>
                <w:szCs w:val="24"/>
              </w:rPr>
              <w:t xml:space="preserve">tazobactam </w:t>
            </w:r>
            <w:r w:rsidRPr="00873AF2">
              <w:rPr>
                <w:rFonts w:eastAsia="DengXian"/>
                <w:b/>
                <w:szCs w:val="24"/>
              </w:rPr>
              <w:t>(watch)</w:t>
            </w:r>
          </w:p>
        </w:tc>
      </w:tr>
      <w:tr w:rsidR="007B485D" w:rsidRPr="00727DFA" w14:paraId="75D683A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021F1CD" w14:textId="77777777" w:rsidR="007B485D" w:rsidRPr="00727DFA" w:rsidRDefault="007B485D" w:rsidP="002D6DD7">
            <w:pPr>
              <w:jc w:val="both"/>
              <w:rPr>
                <w:rFonts w:eastAsia="Times New Roman"/>
                <w:szCs w:val="24"/>
              </w:rPr>
            </w:pPr>
            <w:r w:rsidRPr="00727DFA">
              <w:rPr>
                <w:rFonts w:eastAsia="Times New Rom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1460265" w14:textId="77777777" w:rsidR="007B485D" w:rsidRPr="00727DFA" w:rsidRDefault="007B485D" w:rsidP="002D6DD7">
            <w:pPr>
              <w:jc w:val="both"/>
              <w:rPr>
                <w:rFonts w:eastAsia="Times New Roman"/>
                <w:szCs w:val="24"/>
              </w:rPr>
            </w:pPr>
            <w:r w:rsidRPr="00727DFA">
              <w:rPr>
                <w:rFonts w:eastAsia="Times New Roman"/>
                <w:szCs w:val="24"/>
              </w:rPr>
              <w:t>Penicillin and β-lactamase inhibitor combination</w:t>
            </w:r>
          </w:p>
        </w:tc>
      </w:tr>
      <w:tr w:rsidR="007B485D" w:rsidRPr="00727DFA" w14:paraId="7665DE8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8588E4" w14:textId="77777777" w:rsidR="007B485D" w:rsidRPr="00727DFA" w:rsidRDefault="007B485D" w:rsidP="002D6DD7">
            <w:pPr>
              <w:jc w:val="both"/>
              <w:rPr>
                <w:rFonts w:eastAsia="Times New Roman"/>
                <w:szCs w:val="24"/>
              </w:rPr>
            </w:pPr>
            <w:r w:rsidRPr="00727DFA">
              <w:rPr>
                <w:rFonts w:eastAsia="Times New Rom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AE17582" w14:textId="77777777" w:rsidR="007B485D" w:rsidRPr="00727DFA" w:rsidRDefault="007B485D" w:rsidP="002D6DD7">
            <w:pPr>
              <w:jc w:val="both"/>
              <w:rPr>
                <w:rFonts w:eastAsia="Times New Roman"/>
                <w:szCs w:val="24"/>
              </w:rPr>
            </w:pPr>
            <w:r w:rsidRPr="00727DFA">
              <w:rPr>
                <w:rFonts w:eastAsia="Times New Roman"/>
                <w:bCs/>
                <w:szCs w:val="24"/>
              </w:rPr>
              <w:t>Powder for injection:</w:t>
            </w:r>
            <w:r w:rsidRPr="00727DFA">
              <w:rPr>
                <w:rFonts w:eastAsia="Times New Roman"/>
                <w:szCs w:val="24"/>
              </w:rPr>
              <w:t xml:space="preserve"> </w:t>
            </w:r>
            <w:r>
              <w:rPr>
                <w:rFonts w:eastAsia="Times New Roman"/>
                <w:szCs w:val="24"/>
              </w:rPr>
              <w:t>p</w:t>
            </w:r>
            <w:r w:rsidRPr="00727DFA">
              <w:rPr>
                <w:rFonts w:eastAsia="Times New Roman"/>
                <w:szCs w:val="24"/>
              </w:rPr>
              <w:t xml:space="preserve">iperacillin 2 g (as sodium salt) + tazobactam 250 mg (as sodium salt); </w:t>
            </w:r>
            <w:r>
              <w:rPr>
                <w:rFonts w:eastAsia="Times New Roman"/>
                <w:szCs w:val="24"/>
              </w:rPr>
              <w:t>p</w:t>
            </w:r>
            <w:r w:rsidRPr="00727DFA">
              <w:rPr>
                <w:rFonts w:eastAsia="Times New Roman"/>
                <w:szCs w:val="24"/>
              </w:rPr>
              <w:t>iperacillin 4 g (as sodium salt) + tazobactam 500 mg (as sodium salt) in vial</w:t>
            </w:r>
            <w:r>
              <w:rPr>
                <w:rFonts w:eastAsia="Times New Roman"/>
                <w:szCs w:val="24"/>
              </w:rPr>
              <w:t>.</w:t>
            </w:r>
          </w:p>
        </w:tc>
      </w:tr>
      <w:tr w:rsidR="007B485D" w:rsidRPr="00727DFA" w14:paraId="661CF8B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16ED3C" w14:textId="77777777" w:rsidR="007B485D" w:rsidRPr="00873AF2" w:rsidRDefault="007B485D" w:rsidP="002D6DD7">
            <w:pPr>
              <w:jc w:val="both"/>
              <w:rPr>
                <w:rFonts w:eastAsia="Times New Roman"/>
                <w:szCs w:val="24"/>
              </w:rPr>
            </w:pPr>
            <w:r w:rsidRPr="00873AF2">
              <w:rPr>
                <w:rFonts w:eastAsia="Times New Rom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397EAF1" w14:textId="77777777" w:rsidR="007B485D" w:rsidRPr="00727DFA" w:rsidRDefault="007B485D" w:rsidP="002D6DD7">
            <w:pPr>
              <w:jc w:val="both"/>
              <w:rPr>
                <w:rFonts w:eastAsia="Times New Roman"/>
                <w:szCs w:val="24"/>
              </w:rPr>
            </w:pPr>
            <w:r w:rsidRPr="00727DFA">
              <w:rPr>
                <w:rFonts w:eastAsia="Times New Roman"/>
                <w:szCs w:val="24"/>
              </w:rPr>
              <w:t xml:space="preserve">Intra-abdominal infections, skin and soft tissue infections, female pelvic infections, urinary tract infections, community-acquired pneumonia and </w:t>
            </w:r>
            <w:r>
              <w:rPr>
                <w:rFonts w:eastAsia="Times New Roman"/>
                <w:szCs w:val="24"/>
              </w:rPr>
              <w:t>hospital-acquired</w:t>
            </w:r>
            <w:r w:rsidRPr="00727DFA">
              <w:rPr>
                <w:rFonts w:eastAsia="Times New Roman"/>
                <w:szCs w:val="24"/>
              </w:rPr>
              <w:t xml:space="preserve"> pneumonia</w:t>
            </w:r>
            <w:r>
              <w:rPr>
                <w:rFonts w:eastAsia="Times New Roman"/>
                <w:szCs w:val="24"/>
              </w:rPr>
              <w:t>.</w:t>
            </w:r>
          </w:p>
        </w:tc>
      </w:tr>
      <w:tr w:rsidR="007B485D" w:rsidRPr="00727DFA" w14:paraId="06A10B5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7E642B" w14:textId="77777777" w:rsidR="007B485D" w:rsidRPr="00727DFA" w:rsidRDefault="007B485D" w:rsidP="002D6DD7">
            <w:pPr>
              <w:jc w:val="both"/>
              <w:rPr>
                <w:rFonts w:eastAsia="Times New Roman"/>
                <w:szCs w:val="24"/>
              </w:rPr>
            </w:pPr>
            <w:r w:rsidRPr="00727DFA">
              <w:rPr>
                <w:rFonts w:eastAsia="Times New Roman"/>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BD57761" w14:textId="77777777" w:rsidR="007B485D" w:rsidRDefault="007B485D" w:rsidP="002D6DD7">
            <w:pPr>
              <w:jc w:val="both"/>
              <w:rPr>
                <w:rFonts w:eastAsia="Times New Roman"/>
                <w:b/>
                <w:bCs/>
                <w:szCs w:val="24"/>
              </w:rPr>
            </w:pPr>
            <w:r>
              <w:rPr>
                <w:rFonts w:eastAsia="Times New Roman"/>
                <w:b/>
                <w:bCs/>
                <w:szCs w:val="24"/>
              </w:rPr>
              <w:t>IV;</w:t>
            </w:r>
          </w:p>
          <w:p w14:paraId="175168BB" w14:textId="77777777" w:rsidR="007B485D" w:rsidRDefault="007B485D" w:rsidP="002D6DD7">
            <w:pPr>
              <w:jc w:val="both"/>
              <w:rPr>
                <w:rFonts w:eastAsia="Times New Roman"/>
                <w:szCs w:val="24"/>
              </w:rPr>
            </w:pPr>
            <w:r w:rsidRPr="00727DFA">
              <w:rPr>
                <w:rFonts w:eastAsia="Times New Roman"/>
                <w:b/>
                <w:bCs/>
                <w:szCs w:val="24"/>
              </w:rPr>
              <w:t>Adult:</w:t>
            </w:r>
            <w:r w:rsidRPr="00727DFA">
              <w:rPr>
                <w:rFonts w:eastAsia="Times New Roman"/>
                <w:szCs w:val="24"/>
              </w:rPr>
              <w:t xml:space="preserve"> </w:t>
            </w:r>
            <w:r>
              <w:rPr>
                <w:rFonts w:eastAsia="Times New Roman"/>
                <w:szCs w:val="24"/>
              </w:rPr>
              <w:t>3.375-</w:t>
            </w:r>
            <w:r w:rsidRPr="00727DFA">
              <w:rPr>
                <w:rFonts w:eastAsia="Times New Roman"/>
                <w:szCs w:val="24"/>
              </w:rPr>
              <w:t>4.5g every 6 hours</w:t>
            </w:r>
          </w:p>
          <w:p w14:paraId="292B9E85" w14:textId="77777777" w:rsidR="007B485D" w:rsidRDefault="007B485D" w:rsidP="002D6DD7">
            <w:pPr>
              <w:jc w:val="both"/>
              <w:rPr>
                <w:rFonts w:eastAsia="Times New Roman"/>
                <w:szCs w:val="24"/>
              </w:rPr>
            </w:pPr>
            <w:r w:rsidRPr="00873AF2">
              <w:rPr>
                <w:rFonts w:eastAsia="Times New Roman"/>
                <w:b/>
                <w:bCs/>
                <w:szCs w:val="24"/>
              </w:rPr>
              <w:t>Child &lt; 2 months</w:t>
            </w:r>
            <w:r>
              <w:rPr>
                <w:rFonts w:eastAsia="Times New Roman"/>
                <w:szCs w:val="24"/>
              </w:rPr>
              <w:t>: 60-75mg/kg every 6 hours (maximum daily dose 16g/day)</w:t>
            </w:r>
          </w:p>
          <w:p w14:paraId="096D2894" w14:textId="77777777" w:rsidR="007B485D" w:rsidRDefault="007B485D" w:rsidP="002D6DD7">
            <w:pPr>
              <w:jc w:val="both"/>
              <w:rPr>
                <w:rFonts w:eastAsia="Times New Roman"/>
                <w:szCs w:val="24"/>
              </w:rPr>
            </w:pPr>
            <w:r w:rsidRPr="00873AF2">
              <w:rPr>
                <w:rFonts w:eastAsia="Times New Roman"/>
                <w:b/>
                <w:bCs/>
                <w:szCs w:val="24"/>
              </w:rPr>
              <w:t>Child 2-9 months:</w:t>
            </w:r>
            <w:r>
              <w:rPr>
                <w:rFonts w:eastAsia="Times New Roman"/>
                <w:szCs w:val="24"/>
              </w:rPr>
              <w:t xml:space="preserve"> 90mg/kg every 8 hours</w:t>
            </w:r>
          </w:p>
          <w:p w14:paraId="3BBA5FD7" w14:textId="77777777" w:rsidR="007B485D" w:rsidRDefault="007B485D" w:rsidP="002D6DD7">
            <w:pPr>
              <w:jc w:val="both"/>
              <w:rPr>
                <w:rFonts w:eastAsia="Times New Roman"/>
                <w:szCs w:val="24"/>
              </w:rPr>
            </w:pPr>
            <w:r w:rsidRPr="00873AF2">
              <w:rPr>
                <w:rFonts w:eastAsia="Times New Roman"/>
                <w:b/>
                <w:bCs/>
                <w:szCs w:val="24"/>
              </w:rPr>
              <w:t>Child &gt; 9 months (below 40kg)</w:t>
            </w:r>
            <w:r>
              <w:rPr>
                <w:rFonts w:eastAsia="Times New Roman"/>
                <w:szCs w:val="24"/>
              </w:rPr>
              <w:t>: 112.5 mg/kg every 8hours</w:t>
            </w:r>
          </w:p>
          <w:p w14:paraId="77FB816C" w14:textId="77777777" w:rsidR="007B485D" w:rsidRPr="00727DFA" w:rsidRDefault="007B485D" w:rsidP="002D6DD7">
            <w:pPr>
              <w:jc w:val="both"/>
              <w:rPr>
                <w:rFonts w:eastAsia="Times New Roman"/>
                <w:szCs w:val="24"/>
              </w:rPr>
            </w:pPr>
            <w:r w:rsidRPr="00873AF2">
              <w:rPr>
                <w:rFonts w:eastAsia="Times New Roman"/>
                <w:b/>
                <w:bCs/>
                <w:szCs w:val="24"/>
              </w:rPr>
              <w:t>Child &gt; 9 months</w:t>
            </w:r>
            <w:r>
              <w:rPr>
                <w:rFonts w:eastAsia="Times New Roman"/>
                <w:b/>
                <w:bCs/>
                <w:szCs w:val="24"/>
              </w:rPr>
              <w:t xml:space="preserve"> </w:t>
            </w:r>
            <w:r w:rsidRPr="00873AF2">
              <w:rPr>
                <w:rFonts w:eastAsia="Times New Roman"/>
                <w:b/>
                <w:bCs/>
                <w:szCs w:val="24"/>
              </w:rPr>
              <w:t>(</w:t>
            </w:r>
            <w:r>
              <w:rPr>
                <w:rFonts w:eastAsia="Times New Roman"/>
                <w:b/>
                <w:bCs/>
                <w:szCs w:val="24"/>
              </w:rPr>
              <w:t>above</w:t>
            </w:r>
            <w:r w:rsidRPr="00873AF2">
              <w:rPr>
                <w:rFonts w:eastAsia="Times New Roman"/>
                <w:b/>
                <w:bCs/>
                <w:szCs w:val="24"/>
              </w:rPr>
              <w:t xml:space="preserve"> 40kg)</w:t>
            </w:r>
            <w:r>
              <w:rPr>
                <w:rFonts w:eastAsia="Times New Roman"/>
                <w:szCs w:val="24"/>
              </w:rPr>
              <w:t>: use adult dose</w:t>
            </w:r>
          </w:p>
        </w:tc>
      </w:tr>
      <w:tr w:rsidR="007B485D" w:rsidRPr="00727DFA" w14:paraId="17E146E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3BD84C" w14:textId="77777777" w:rsidR="007B485D" w:rsidRPr="00727DFA" w:rsidRDefault="007B485D" w:rsidP="002D6DD7">
            <w:pPr>
              <w:jc w:val="both"/>
              <w:rPr>
                <w:rFonts w:eastAsia="Times New Roman"/>
                <w:szCs w:val="24"/>
              </w:rPr>
            </w:pPr>
            <w:r w:rsidRPr="00727DFA">
              <w:rPr>
                <w:rFonts w:eastAsia="Times New Rom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1E5CC73" w14:textId="77777777" w:rsidR="007B485D" w:rsidRPr="00727DFA" w:rsidRDefault="007B485D" w:rsidP="002D6DD7">
            <w:pPr>
              <w:jc w:val="both"/>
              <w:rPr>
                <w:rFonts w:eastAsia="Times New Roman"/>
                <w:szCs w:val="24"/>
              </w:rPr>
            </w:pPr>
            <w:r w:rsidRPr="00727DFA">
              <w:rPr>
                <w:rFonts w:eastAsia="Times New Roman"/>
                <w:szCs w:val="24"/>
              </w:rPr>
              <w:t xml:space="preserve">Hypersensitivity to </w:t>
            </w:r>
            <w:r>
              <w:rPr>
                <w:rFonts w:eastAsia="Times New Roman"/>
                <w:szCs w:val="24"/>
              </w:rPr>
              <w:t xml:space="preserve">the drugs or any other </w:t>
            </w:r>
            <w:r w:rsidRPr="00727DFA">
              <w:rPr>
                <w:rFonts w:eastAsia="Times New Roman"/>
                <w:szCs w:val="24"/>
              </w:rPr>
              <w:t>β-lactam antibiotics</w:t>
            </w:r>
            <w:r>
              <w:rPr>
                <w:rFonts w:eastAsia="Times New Roman"/>
                <w:szCs w:val="24"/>
              </w:rPr>
              <w:t>.</w:t>
            </w:r>
          </w:p>
        </w:tc>
      </w:tr>
      <w:tr w:rsidR="007B485D" w:rsidRPr="00727DFA" w14:paraId="2080072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69A76B" w14:textId="77777777" w:rsidR="007B485D" w:rsidRPr="00727DFA" w:rsidRDefault="007B485D" w:rsidP="002D6DD7">
            <w:pPr>
              <w:jc w:val="both"/>
              <w:rPr>
                <w:rFonts w:eastAsia="Times New Roman"/>
                <w:szCs w:val="24"/>
              </w:rPr>
            </w:pPr>
            <w:r w:rsidRPr="00727DFA">
              <w:rPr>
                <w:rFonts w:eastAsia="Times New Rom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84880BF" w14:textId="77777777" w:rsidR="007B485D" w:rsidRPr="00727DFA" w:rsidRDefault="007B485D" w:rsidP="002D6DD7">
            <w:pPr>
              <w:jc w:val="both"/>
              <w:rPr>
                <w:rFonts w:eastAsia="Times New Roman"/>
                <w:szCs w:val="24"/>
              </w:rPr>
            </w:pPr>
            <w:r w:rsidRPr="00727DFA">
              <w:rPr>
                <w:rFonts w:eastAsia="Times New Roman"/>
                <w:szCs w:val="24"/>
              </w:rPr>
              <w:t>Vancomycin, heparin, oral anticoagulants,</w:t>
            </w:r>
            <w:r>
              <w:rPr>
                <w:rFonts w:eastAsia="Times New Roman"/>
                <w:szCs w:val="24"/>
              </w:rPr>
              <w:t xml:space="preserve"> live cholera vaccine,</w:t>
            </w:r>
            <w:r w:rsidRPr="00727DFA">
              <w:rPr>
                <w:rFonts w:eastAsia="Times New Roman"/>
                <w:szCs w:val="24"/>
              </w:rPr>
              <w:t xml:space="preserve"> tobramycin in haemodialysis patients, vecuronium and other non-depolarizing muscle relaxants, aminoglycosides and methotrexate</w:t>
            </w:r>
            <w:r>
              <w:rPr>
                <w:rFonts w:eastAsia="Times New Roman"/>
                <w:szCs w:val="24"/>
              </w:rPr>
              <w:t>.</w:t>
            </w:r>
          </w:p>
        </w:tc>
      </w:tr>
      <w:tr w:rsidR="007B485D" w:rsidRPr="00727DFA" w14:paraId="7BA2AF7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9F9FAF" w14:textId="77777777" w:rsidR="007B485D" w:rsidRPr="00727DFA" w:rsidRDefault="007B485D" w:rsidP="002D6DD7">
            <w:pPr>
              <w:jc w:val="both"/>
              <w:rPr>
                <w:rFonts w:eastAsia="Times New Roman"/>
                <w:szCs w:val="24"/>
              </w:rPr>
            </w:pPr>
            <w:r w:rsidRPr="00727DFA">
              <w:rPr>
                <w:rFonts w:eastAsia="Times New Rom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8BDFD14" w14:textId="77777777" w:rsidR="007B485D" w:rsidRPr="00727DFA" w:rsidRDefault="007B485D" w:rsidP="002D6DD7">
            <w:pPr>
              <w:jc w:val="both"/>
              <w:rPr>
                <w:rFonts w:eastAsia="Times New Roman"/>
                <w:szCs w:val="24"/>
              </w:rPr>
            </w:pPr>
            <w:r w:rsidRPr="00727DFA">
              <w:rPr>
                <w:rFonts w:eastAsia="Times New Roman"/>
                <w:szCs w:val="24"/>
              </w:rPr>
              <w:t>Diarrhea, constipation, nausea,</w:t>
            </w:r>
            <w:r>
              <w:rPr>
                <w:rFonts w:eastAsia="Times New Roman"/>
                <w:szCs w:val="24"/>
              </w:rPr>
              <w:t xml:space="preserve"> dyspepsia,</w:t>
            </w:r>
            <w:r w:rsidRPr="00727DFA">
              <w:rPr>
                <w:rFonts w:eastAsia="Times New Roman"/>
                <w:szCs w:val="24"/>
              </w:rPr>
              <w:t xml:space="preserve"> </w:t>
            </w:r>
            <w:r>
              <w:rPr>
                <w:rFonts w:eastAsia="Times New Roman"/>
                <w:szCs w:val="24"/>
              </w:rPr>
              <w:t xml:space="preserve">oral candidiasis, </w:t>
            </w:r>
            <w:r w:rsidRPr="00727DFA">
              <w:rPr>
                <w:rFonts w:eastAsia="Times New Roman"/>
                <w:szCs w:val="24"/>
              </w:rPr>
              <w:t>headache, insomnia, pseudomembranous colitis, hypersensitivity reactions like rash, fever, exfoliative dermatitis, Steven’s-Johnson syndrome</w:t>
            </w:r>
            <w:r>
              <w:rPr>
                <w:rFonts w:eastAsia="Times New Roman"/>
                <w:szCs w:val="24"/>
              </w:rPr>
              <w:t xml:space="preserve"> (SJS)</w:t>
            </w:r>
            <w:r w:rsidRPr="00727DFA">
              <w:rPr>
                <w:rFonts w:eastAsia="Times New Roman"/>
                <w:szCs w:val="24"/>
              </w:rPr>
              <w:t>, anaphylaxis</w:t>
            </w:r>
            <w:r>
              <w:rPr>
                <w:rFonts w:eastAsia="Times New Roman"/>
                <w:szCs w:val="24"/>
              </w:rPr>
              <w:t>.</w:t>
            </w:r>
          </w:p>
        </w:tc>
      </w:tr>
      <w:tr w:rsidR="007B485D" w:rsidRPr="00727DFA" w14:paraId="7309FB8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B3197AF" w14:textId="77777777" w:rsidR="007B485D" w:rsidRPr="00727DFA" w:rsidRDefault="007B485D" w:rsidP="002D6DD7">
            <w:pPr>
              <w:jc w:val="both"/>
              <w:rPr>
                <w:rFonts w:eastAsia="Times New Roman"/>
                <w:szCs w:val="24"/>
              </w:rPr>
            </w:pPr>
            <w:r w:rsidRPr="00727DFA">
              <w:rPr>
                <w:rFonts w:eastAsia="Times New Roman"/>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894E460" w14:textId="77777777" w:rsidR="007B485D" w:rsidRPr="00727DFA" w:rsidRDefault="007B485D" w:rsidP="002D6DD7">
            <w:pPr>
              <w:jc w:val="both"/>
              <w:rPr>
                <w:rFonts w:eastAsia="Times New Roman"/>
                <w:szCs w:val="24"/>
              </w:rPr>
            </w:pPr>
            <w:r w:rsidRPr="00727DFA">
              <w:rPr>
                <w:rFonts w:eastAsia="Times New Roman"/>
                <w:szCs w:val="24"/>
              </w:rPr>
              <w:t>Renal impairment, prolonged treatment may increase superinfections, sodium accumulation for sodium-restricted patients, and previous history of hypersensitivity</w:t>
            </w:r>
            <w:r>
              <w:rPr>
                <w:rFonts w:eastAsia="Times New Roman"/>
                <w:szCs w:val="24"/>
              </w:rPr>
              <w:t>.</w:t>
            </w:r>
            <w:r w:rsidRPr="00727DFA">
              <w:rPr>
                <w:rFonts w:eastAsia="Times New Roman"/>
                <w:szCs w:val="24"/>
              </w:rPr>
              <w:t xml:space="preserve"> </w:t>
            </w:r>
          </w:p>
        </w:tc>
      </w:tr>
      <w:tr w:rsidR="007B485D" w:rsidRPr="00727DFA" w14:paraId="27E9BDA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0292C0" w14:textId="77777777" w:rsidR="007B485D" w:rsidRPr="00727DFA" w:rsidRDefault="007B485D" w:rsidP="002D6DD7">
            <w:pPr>
              <w:jc w:val="both"/>
              <w:rPr>
                <w:rFonts w:eastAsia="Times New Roman"/>
                <w:szCs w:val="24"/>
              </w:rPr>
            </w:pPr>
            <w:r w:rsidRPr="00727DFA">
              <w:rPr>
                <w:rFonts w:eastAsia="Times New Rom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AC4B893" w14:textId="77777777" w:rsidR="007B485D" w:rsidRPr="00727DFA" w:rsidRDefault="007B485D" w:rsidP="002D6DD7">
            <w:pPr>
              <w:jc w:val="both"/>
              <w:rPr>
                <w:rFonts w:eastAsia="Times New Roman"/>
                <w:szCs w:val="24"/>
              </w:rPr>
            </w:pPr>
            <w:r w:rsidRPr="00727DFA">
              <w:rPr>
                <w:rFonts w:eastAsia="Times New Roman"/>
                <w:szCs w:val="24"/>
              </w:rPr>
              <w:t>Store below 30°C</w:t>
            </w:r>
            <w:r>
              <w:rPr>
                <w:rFonts w:eastAsia="Times New Roman"/>
                <w:szCs w:val="24"/>
              </w:rPr>
              <w:t>.</w:t>
            </w:r>
            <w:r w:rsidRPr="00727DFA">
              <w:rPr>
                <w:rFonts w:eastAsia="Times New Roman"/>
                <w:szCs w:val="24"/>
              </w:rPr>
              <w:t xml:space="preserve"> </w:t>
            </w:r>
            <w:r>
              <w:rPr>
                <w:rFonts w:eastAsia="Times New Roman"/>
                <w:szCs w:val="24"/>
              </w:rPr>
              <w:t xml:space="preserve">Protect </w:t>
            </w:r>
            <w:r w:rsidRPr="00727DFA">
              <w:rPr>
                <w:rFonts w:eastAsia="Times New Roman"/>
                <w:szCs w:val="24"/>
              </w:rPr>
              <w:t>from light and moistur</w:t>
            </w:r>
            <w:r>
              <w:rPr>
                <w:rFonts w:eastAsia="Times New Roman"/>
                <w:szCs w:val="24"/>
              </w:rPr>
              <w:t>e.</w:t>
            </w:r>
          </w:p>
        </w:tc>
      </w:tr>
      <w:tr w:rsidR="007B485D" w:rsidRPr="00727DFA" w14:paraId="0F962C1B" w14:textId="77777777" w:rsidTr="002D6DD7">
        <w:tc>
          <w:tcPr>
            <w:tcW w:w="9350" w:type="dxa"/>
            <w:gridSpan w:val="2"/>
            <w:tcBorders>
              <w:top w:val="single" w:sz="4" w:space="0" w:color="auto"/>
              <w:left w:val="single" w:sz="4" w:space="0" w:color="auto"/>
              <w:bottom w:val="single" w:sz="4" w:space="0" w:color="auto"/>
              <w:right w:val="single" w:sz="4" w:space="0" w:color="auto"/>
            </w:tcBorders>
            <w:hideMark/>
          </w:tcPr>
          <w:p w14:paraId="4D1DE991" w14:textId="77777777" w:rsidR="007B485D" w:rsidRPr="00727DFA" w:rsidRDefault="007B485D" w:rsidP="002D6DD7">
            <w:pPr>
              <w:jc w:val="both"/>
              <w:rPr>
                <w:rFonts w:eastAsia="DengXian"/>
                <w:b/>
                <w:szCs w:val="24"/>
              </w:rPr>
            </w:pPr>
            <w:r w:rsidRPr="00727DFA">
              <w:rPr>
                <w:rFonts w:eastAsia="DengXian"/>
                <w:b/>
                <w:szCs w:val="24"/>
              </w:rPr>
              <w:t xml:space="preserve">Procaine- benzylpenicillin </w:t>
            </w:r>
            <w:r w:rsidRPr="00873AF2">
              <w:rPr>
                <w:rFonts w:eastAsia="DengXian"/>
                <w:b/>
                <w:szCs w:val="24"/>
              </w:rPr>
              <w:t>(Access)</w:t>
            </w:r>
          </w:p>
        </w:tc>
      </w:tr>
      <w:tr w:rsidR="007B485D" w:rsidRPr="00727DFA" w14:paraId="4A7B66E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26C5C7"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D7E1F1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Penicillin </w:t>
            </w:r>
          </w:p>
        </w:tc>
      </w:tr>
      <w:tr w:rsidR="007B485D" w:rsidRPr="00727DFA" w14:paraId="424B8A9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26C86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w:t>
            </w:r>
            <w:r w:rsidRPr="00727DFA">
              <w:rPr>
                <w:rFonts w:eastAsia="Times New Roman"/>
                <w:bCs/>
                <w:spacing w:val="-5"/>
                <w:szCs w:val="24"/>
              </w:rPr>
              <w:t xml:space="preserve"> </w:t>
            </w:r>
            <w:r w:rsidRPr="00727DFA">
              <w:rPr>
                <w:rFonts w:eastAsia="Times New Roman"/>
                <w:bCs/>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19E35BF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Powder</w:t>
            </w:r>
            <w:r w:rsidRPr="00727DFA">
              <w:rPr>
                <w:rFonts w:eastAsia="Times New Roman"/>
                <w:spacing w:val="-4"/>
                <w:szCs w:val="24"/>
              </w:rPr>
              <w:t xml:space="preserve"> </w:t>
            </w:r>
            <w:r w:rsidRPr="00727DFA">
              <w:rPr>
                <w:rFonts w:eastAsia="Times New Roman"/>
                <w:szCs w:val="24"/>
              </w:rPr>
              <w:t>for</w:t>
            </w:r>
            <w:r w:rsidRPr="00727DFA">
              <w:rPr>
                <w:rFonts w:eastAsia="Times New Roman"/>
                <w:spacing w:val="-2"/>
                <w:szCs w:val="24"/>
              </w:rPr>
              <w:t xml:space="preserve"> </w:t>
            </w:r>
            <w:r w:rsidRPr="00727DFA">
              <w:rPr>
                <w:rFonts w:eastAsia="Times New Roman"/>
                <w:szCs w:val="24"/>
              </w:rPr>
              <w:t>injection:</w:t>
            </w:r>
            <w:r w:rsidRPr="00727DFA">
              <w:rPr>
                <w:rFonts w:eastAsia="Times New Roman"/>
                <w:spacing w:val="-2"/>
                <w:szCs w:val="24"/>
              </w:rPr>
              <w:t xml:space="preserve"> </w:t>
            </w:r>
            <w:r w:rsidRPr="00727DFA">
              <w:rPr>
                <w:rFonts w:eastAsia="Times New Roman"/>
                <w:szCs w:val="24"/>
              </w:rPr>
              <w:t>1</w:t>
            </w:r>
            <w:r w:rsidRPr="00727DFA">
              <w:rPr>
                <w:rFonts w:eastAsia="Times New Roman"/>
                <w:spacing w:val="-1"/>
                <w:szCs w:val="24"/>
              </w:rPr>
              <w:t xml:space="preserve"> </w:t>
            </w:r>
            <w:r w:rsidRPr="00727DFA">
              <w:rPr>
                <w:rFonts w:eastAsia="Times New Roman"/>
                <w:szCs w:val="24"/>
              </w:rPr>
              <w:t>g</w:t>
            </w:r>
            <w:r w:rsidRPr="00727DFA">
              <w:rPr>
                <w:rFonts w:eastAsia="Times New Roman"/>
                <w:spacing w:val="-3"/>
                <w:szCs w:val="24"/>
              </w:rPr>
              <w:t xml:space="preserve"> </w:t>
            </w:r>
            <w:r w:rsidRPr="00727DFA">
              <w:rPr>
                <w:rFonts w:eastAsia="Times New Roman"/>
                <w:szCs w:val="24"/>
              </w:rPr>
              <w:t>(≈1 million</w:t>
            </w:r>
            <w:r w:rsidRPr="00727DFA">
              <w:rPr>
                <w:rFonts w:eastAsia="Times New Roman"/>
                <w:spacing w:val="-2"/>
                <w:szCs w:val="24"/>
              </w:rPr>
              <w:t xml:space="preserve"> </w:t>
            </w:r>
            <w:r w:rsidRPr="00727DFA">
              <w:rPr>
                <w:rFonts w:eastAsia="Times New Roman"/>
                <w:szCs w:val="24"/>
              </w:rPr>
              <w:t>IU);</w:t>
            </w:r>
            <w:r w:rsidRPr="00727DFA">
              <w:rPr>
                <w:rFonts w:eastAsia="Times New Roman"/>
                <w:spacing w:val="-3"/>
                <w:szCs w:val="24"/>
              </w:rPr>
              <w:t xml:space="preserve"> </w:t>
            </w:r>
            <w:r w:rsidRPr="00727DFA">
              <w:rPr>
                <w:rFonts w:eastAsia="Times New Roman"/>
                <w:szCs w:val="24"/>
              </w:rPr>
              <w:t>3</w:t>
            </w:r>
            <w:r w:rsidRPr="00727DFA">
              <w:rPr>
                <w:rFonts w:eastAsia="Times New Roman"/>
                <w:spacing w:val="-1"/>
                <w:szCs w:val="24"/>
              </w:rPr>
              <w:t xml:space="preserve"> </w:t>
            </w:r>
            <w:r w:rsidRPr="00727DFA">
              <w:rPr>
                <w:rFonts w:eastAsia="Times New Roman"/>
                <w:szCs w:val="24"/>
              </w:rPr>
              <w:t>g</w:t>
            </w:r>
            <w:r w:rsidRPr="00727DFA">
              <w:rPr>
                <w:rFonts w:eastAsia="Times New Roman"/>
                <w:spacing w:val="1"/>
                <w:szCs w:val="24"/>
              </w:rPr>
              <w:t xml:space="preserve"> </w:t>
            </w:r>
            <w:r w:rsidRPr="00727DFA">
              <w:rPr>
                <w:rFonts w:eastAsia="Times New Roman"/>
                <w:szCs w:val="24"/>
              </w:rPr>
              <w:t>(≈3</w:t>
            </w:r>
            <w:r w:rsidRPr="00727DFA">
              <w:rPr>
                <w:rFonts w:eastAsia="Times New Roman"/>
                <w:spacing w:val="-1"/>
                <w:szCs w:val="24"/>
              </w:rPr>
              <w:t xml:space="preserve"> </w:t>
            </w:r>
            <w:r w:rsidRPr="00727DFA">
              <w:rPr>
                <w:rFonts w:eastAsia="Times New Roman"/>
                <w:szCs w:val="24"/>
              </w:rPr>
              <w:t>million</w:t>
            </w:r>
            <w:r w:rsidRPr="00727DFA">
              <w:rPr>
                <w:rFonts w:eastAsia="Times New Roman"/>
                <w:spacing w:val="-2"/>
                <w:szCs w:val="24"/>
              </w:rPr>
              <w:t xml:space="preserve"> </w:t>
            </w:r>
            <w:r w:rsidRPr="00727DFA">
              <w:rPr>
                <w:rFonts w:eastAsia="Times New Roman"/>
                <w:szCs w:val="24"/>
              </w:rPr>
              <w:t>IU)</w:t>
            </w:r>
            <w:r w:rsidRPr="00727DFA">
              <w:rPr>
                <w:rFonts w:eastAsia="Times New Roman"/>
                <w:spacing w:val="-3"/>
                <w:szCs w:val="24"/>
              </w:rPr>
              <w:t xml:space="preserve"> </w:t>
            </w:r>
            <w:r w:rsidRPr="00727DFA">
              <w:rPr>
                <w:rFonts w:eastAsia="Times New Roman"/>
                <w:szCs w:val="24"/>
              </w:rPr>
              <w:t xml:space="preserve">in </w:t>
            </w:r>
            <w:r w:rsidRPr="00727DFA">
              <w:rPr>
                <w:rFonts w:eastAsia="Times New Roman"/>
                <w:spacing w:val="-2"/>
                <w:szCs w:val="24"/>
              </w:rPr>
              <w:t>vial</w:t>
            </w:r>
          </w:p>
        </w:tc>
      </w:tr>
      <w:tr w:rsidR="007B485D" w:rsidRPr="00727DFA" w14:paraId="6CE7213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0F97DE" w14:textId="77777777" w:rsidR="007B485D" w:rsidRPr="00727DFA" w:rsidRDefault="007B485D" w:rsidP="002D6DD7">
            <w:pPr>
              <w:widowControl w:val="0"/>
              <w:autoSpaceDE w:val="0"/>
              <w:autoSpaceDN w:val="0"/>
              <w:jc w:val="both"/>
              <w:rPr>
                <w:rFonts w:eastAsia="Times New Roman"/>
                <w:b/>
                <w:szCs w:val="24"/>
              </w:rPr>
            </w:pPr>
            <w:r w:rsidRPr="00873AF2">
              <w:rPr>
                <w:rFonts w:eastAsia="Times New Roman"/>
                <w:bCs/>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C420C85" w14:textId="77777777" w:rsidR="007B485D" w:rsidRPr="00727DFA" w:rsidRDefault="007B485D" w:rsidP="002D6DD7">
            <w:pPr>
              <w:jc w:val="both"/>
              <w:rPr>
                <w:rFonts w:eastAsia="DengXian"/>
                <w:szCs w:val="24"/>
              </w:rPr>
            </w:pPr>
            <w:r w:rsidRPr="00727DFA">
              <w:rPr>
                <w:szCs w:val="24"/>
              </w:rPr>
              <w:t>Diphtheria (when</w:t>
            </w:r>
            <w:r w:rsidRPr="00727DFA">
              <w:rPr>
                <w:spacing w:val="-3"/>
                <w:szCs w:val="24"/>
              </w:rPr>
              <w:t xml:space="preserve"> </w:t>
            </w:r>
            <w:r w:rsidRPr="00727DFA">
              <w:rPr>
                <w:szCs w:val="24"/>
              </w:rPr>
              <w:t>oral</w:t>
            </w:r>
            <w:r w:rsidRPr="00727DFA">
              <w:rPr>
                <w:spacing w:val="-3"/>
                <w:szCs w:val="24"/>
              </w:rPr>
              <w:t xml:space="preserve"> </w:t>
            </w:r>
            <w:r w:rsidRPr="00727DFA">
              <w:rPr>
                <w:szCs w:val="24"/>
              </w:rPr>
              <w:t>treatment</w:t>
            </w:r>
            <w:r w:rsidRPr="00727DFA">
              <w:rPr>
                <w:spacing w:val="-4"/>
                <w:szCs w:val="24"/>
              </w:rPr>
              <w:t xml:space="preserve"> </w:t>
            </w:r>
            <w:r w:rsidRPr="00727DFA">
              <w:rPr>
                <w:szCs w:val="24"/>
              </w:rPr>
              <w:t>is</w:t>
            </w:r>
            <w:r w:rsidRPr="00727DFA">
              <w:rPr>
                <w:spacing w:val="-2"/>
                <w:szCs w:val="24"/>
              </w:rPr>
              <w:t xml:space="preserve"> </w:t>
            </w:r>
            <w:r w:rsidRPr="00727DFA">
              <w:rPr>
                <w:szCs w:val="24"/>
              </w:rPr>
              <w:t>not</w:t>
            </w:r>
            <w:r w:rsidRPr="00727DFA">
              <w:rPr>
                <w:spacing w:val="-3"/>
                <w:szCs w:val="24"/>
              </w:rPr>
              <w:t xml:space="preserve"> </w:t>
            </w:r>
            <w:r w:rsidRPr="00727DFA">
              <w:rPr>
                <w:spacing w:val="-2"/>
                <w:szCs w:val="24"/>
              </w:rPr>
              <w:t>possible)</w:t>
            </w:r>
            <w:r w:rsidRPr="00727DFA">
              <w:rPr>
                <w:szCs w:val="24"/>
              </w:rPr>
              <w:t>, congenital syphilis</w:t>
            </w:r>
            <w:r w:rsidRPr="00727DFA">
              <w:rPr>
                <w:spacing w:val="-2"/>
                <w:szCs w:val="24"/>
              </w:rPr>
              <w:t xml:space="preserve">, </w:t>
            </w:r>
            <w:r w:rsidRPr="00727DFA">
              <w:rPr>
                <w:rFonts w:eastAsia="DengXian"/>
                <w:szCs w:val="24"/>
              </w:rPr>
              <w:t>neurosyphilis,</w:t>
            </w:r>
            <w:r w:rsidRPr="00727DFA">
              <w:rPr>
                <w:szCs w:val="24"/>
              </w:rPr>
              <w:t xml:space="preserve"> </w:t>
            </w:r>
            <w:r w:rsidRPr="00727DFA">
              <w:rPr>
                <w:spacing w:val="-2"/>
                <w:szCs w:val="24"/>
              </w:rPr>
              <w:t xml:space="preserve">anthrax, </w:t>
            </w:r>
            <w:r w:rsidRPr="00727DFA">
              <w:rPr>
                <w:rFonts w:eastAsia="DengXian"/>
                <w:szCs w:val="24"/>
              </w:rPr>
              <w:t xml:space="preserve">relapsing fever, </w:t>
            </w:r>
            <w:r w:rsidRPr="00727DFA">
              <w:rPr>
                <w:szCs w:val="24"/>
              </w:rPr>
              <w:t>moderately severe to severe infections of the upper respiratory tract, skin and soft-tissue infections, bacterial endocarditis, and scarlet fever</w:t>
            </w:r>
            <w:r>
              <w:rPr>
                <w:szCs w:val="24"/>
              </w:rPr>
              <w:t>.</w:t>
            </w:r>
            <w:r w:rsidRPr="00727DFA">
              <w:rPr>
                <w:szCs w:val="24"/>
              </w:rPr>
              <w:t xml:space="preserve"> </w:t>
            </w:r>
          </w:p>
        </w:tc>
      </w:tr>
      <w:tr w:rsidR="007B485D" w:rsidRPr="00727DFA" w14:paraId="657EAF0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9F2C93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sidRPr="00727DFA">
              <w:rPr>
                <w:rFonts w:eastAsia="Times New Roman"/>
                <w:bCs/>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721F569E" w14:textId="77777777" w:rsidR="007B485D" w:rsidRPr="00873AF2" w:rsidRDefault="007B485D" w:rsidP="002D6DD7">
            <w:pPr>
              <w:widowControl w:val="0"/>
              <w:autoSpaceDE w:val="0"/>
              <w:autoSpaceDN w:val="0"/>
              <w:jc w:val="both"/>
              <w:rPr>
                <w:rFonts w:eastAsia="Times New Roman"/>
                <w:b/>
                <w:spacing w:val="-2"/>
                <w:szCs w:val="24"/>
              </w:rPr>
            </w:pPr>
            <w:r w:rsidRPr="00727DFA">
              <w:rPr>
                <w:rFonts w:eastAsia="Times New Roman"/>
                <w:b/>
                <w:spacing w:val="-2"/>
                <w:szCs w:val="24"/>
              </w:rPr>
              <w:t xml:space="preserve">Diphtheria: </w:t>
            </w:r>
            <w:r w:rsidRPr="00727DFA">
              <w:rPr>
                <w:rFonts w:eastAsia="Times New Roman"/>
                <w:b/>
                <w:szCs w:val="24"/>
              </w:rPr>
              <w:t>IM</w:t>
            </w:r>
            <w:r>
              <w:rPr>
                <w:rFonts w:eastAsia="Times New Roman"/>
                <w:b/>
                <w:szCs w:val="24"/>
              </w:rPr>
              <w:t>,</w:t>
            </w:r>
          </w:p>
          <w:p w14:paraId="374AD86C"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Child:</w:t>
            </w:r>
            <w:r w:rsidRPr="00727DFA">
              <w:rPr>
                <w:rFonts w:eastAsia="Times New Roman"/>
                <w:spacing w:val="-5"/>
                <w:szCs w:val="24"/>
              </w:rPr>
              <w:t xml:space="preserve"> </w:t>
            </w:r>
            <w:r w:rsidRPr="00727DFA">
              <w:rPr>
                <w:rFonts w:eastAsia="Times New Roman"/>
                <w:szCs w:val="24"/>
              </w:rPr>
              <w:t>50</w:t>
            </w:r>
            <w:r w:rsidRPr="00727DFA">
              <w:rPr>
                <w:rFonts w:eastAsia="Times New Roman"/>
                <w:spacing w:val="-3"/>
                <w:szCs w:val="24"/>
              </w:rPr>
              <w:t xml:space="preserve"> </w:t>
            </w:r>
            <w:r w:rsidRPr="00727DFA">
              <w:rPr>
                <w:rFonts w:eastAsia="Times New Roman"/>
                <w:szCs w:val="24"/>
              </w:rPr>
              <w:t>000</w:t>
            </w:r>
            <w:r w:rsidRPr="00727DFA">
              <w:rPr>
                <w:rFonts w:eastAsia="Times New Roman"/>
                <w:spacing w:val="-4"/>
                <w:szCs w:val="24"/>
              </w:rPr>
              <w:t xml:space="preserve"> </w:t>
            </w:r>
            <w:r w:rsidRPr="00727DFA">
              <w:rPr>
                <w:rFonts w:eastAsia="Times New Roman"/>
                <w:szCs w:val="24"/>
              </w:rPr>
              <w:t>IU/kg</w:t>
            </w:r>
            <w:r w:rsidRPr="00727DFA">
              <w:rPr>
                <w:rFonts w:eastAsia="Times New Roman"/>
                <w:spacing w:val="-5"/>
                <w:szCs w:val="24"/>
              </w:rPr>
              <w:t xml:space="preserve"> </w:t>
            </w:r>
            <w:r w:rsidRPr="00727DFA">
              <w:rPr>
                <w:rFonts w:eastAsia="Times New Roman"/>
                <w:szCs w:val="24"/>
              </w:rPr>
              <w:t>(=</w:t>
            </w:r>
            <w:r w:rsidRPr="00727DFA">
              <w:rPr>
                <w:rFonts w:eastAsia="Times New Roman"/>
                <w:spacing w:val="-6"/>
                <w:szCs w:val="24"/>
              </w:rPr>
              <w:t xml:space="preserve"> </w:t>
            </w:r>
            <w:r w:rsidRPr="00727DFA">
              <w:rPr>
                <w:rFonts w:eastAsia="Times New Roman"/>
                <w:szCs w:val="24"/>
              </w:rPr>
              <w:t>50</w:t>
            </w:r>
            <w:r w:rsidRPr="00727DFA">
              <w:rPr>
                <w:rFonts w:eastAsia="Times New Roman"/>
                <w:spacing w:val="-3"/>
                <w:szCs w:val="24"/>
              </w:rPr>
              <w:t xml:space="preserve"> </w:t>
            </w:r>
            <w:r w:rsidRPr="00727DFA">
              <w:rPr>
                <w:rFonts w:eastAsia="Times New Roman"/>
                <w:szCs w:val="24"/>
              </w:rPr>
              <w:t>mg/kg)</w:t>
            </w:r>
            <w:r w:rsidRPr="00727DFA">
              <w:rPr>
                <w:rFonts w:eastAsia="Times New Roman"/>
                <w:spacing w:val="-4"/>
                <w:szCs w:val="24"/>
              </w:rPr>
              <w:t xml:space="preserve"> </w:t>
            </w:r>
            <w:r w:rsidRPr="00727DFA">
              <w:rPr>
                <w:rFonts w:eastAsia="Times New Roman"/>
                <w:szCs w:val="24"/>
              </w:rPr>
              <w:t>once</w:t>
            </w:r>
            <w:r w:rsidRPr="00727DFA">
              <w:rPr>
                <w:rFonts w:eastAsia="Times New Roman"/>
                <w:spacing w:val="-3"/>
                <w:szCs w:val="24"/>
              </w:rPr>
              <w:t xml:space="preserve"> </w:t>
            </w:r>
            <w:r w:rsidRPr="00727DFA">
              <w:rPr>
                <w:rFonts w:eastAsia="Times New Roman"/>
                <w:szCs w:val="24"/>
              </w:rPr>
              <w:t>daily</w:t>
            </w:r>
            <w:r w:rsidRPr="00727DFA">
              <w:rPr>
                <w:rFonts w:eastAsia="Times New Roman"/>
                <w:spacing w:val="-4"/>
                <w:szCs w:val="24"/>
              </w:rPr>
              <w:t xml:space="preserve"> </w:t>
            </w:r>
            <w:r w:rsidRPr="00727DFA">
              <w:rPr>
                <w:rFonts w:eastAsia="Times New Roman"/>
                <w:szCs w:val="24"/>
              </w:rPr>
              <w:t>(max.</w:t>
            </w:r>
            <w:r w:rsidRPr="00727DFA">
              <w:rPr>
                <w:rFonts w:eastAsia="Times New Roman"/>
                <w:spacing w:val="-5"/>
                <w:szCs w:val="24"/>
              </w:rPr>
              <w:t xml:space="preserve"> </w:t>
            </w:r>
            <w:r w:rsidRPr="00727DFA">
              <w:rPr>
                <w:rFonts w:eastAsia="Times New Roman"/>
                <w:szCs w:val="24"/>
              </w:rPr>
              <w:t>1.2</w:t>
            </w:r>
            <w:r w:rsidRPr="00727DFA">
              <w:rPr>
                <w:rFonts w:eastAsia="Times New Roman"/>
                <w:spacing w:val="-4"/>
                <w:szCs w:val="24"/>
              </w:rPr>
              <w:t xml:space="preserve"> </w:t>
            </w:r>
            <w:r w:rsidRPr="00727DFA">
              <w:rPr>
                <w:rFonts w:eastAsia="Times New Roman"/>
                <w:szCs w:val="24"/>
              </w:rPr>
              <w:t>MIU</w:t>
            </w:r>
            <w:r w:rsidRPr="00727DFA">
              <w:rPr>
                <w:rFonts w:eastAsia="Times New Roman"/>
                <w:spacing w:val="-4"/>
                <w:szCs w:val="24"/>
              </w:rPr>
              <w:t xml:space="preserve"> </w:t>
            </w:r>
            <w:r w:rsidRPr="00727DFA">
              <w:rPr>
                <w:rFonts w:eastAsia="Times New Roman"/>
                <w:szCs w:val="24"/>
              </w:rPr>
              <w:t>= 1.2 g daily)</w:t>
            </w:r>
          </w:p>
          <w:p w14:paraId="4D5D65CD"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Adult:</w:t>
            </w:r>
            <w:r w:rsidRPr="00727DFA">
              <w:rPr>
                <w:rFonts w:eastAsia="Times New Roman"/>
                <w:spacing w:val="-3"/>
                <w:szCs w:val="24"/>
              </w:rPr>
              <w:t xml:space="preserve"> </w:t>
            </w:r>
            <w:r w:rsidRPr="00727DFA">
              <w:rPr>
                <w:rFonts w:eastAsia="Times New Roman"/>
                <w:szCs w:val="24"/>
              </w:rPr>
              <w:t>1.2</w:t>
            </w:r>
            <w:r w:rsidRPr="00727DFA">
              <w:rPr>
                <w:rFonts w:eastAsia="Times New Roman"/>
                <w:spacing w:val="-1"/>
                <w:szCs w:val="24"/>
              </w:rPr>
              <w:t xml:space="preserve"> </w:t>
            </w:r>
            <w:r w:rsidRPr="00727DFA">
              <w:rPr>
                <w:rFonts w:eastAsia="Times New Roman"/>
                <w:szCs w:val="24"/>
              </w:rPr>
              <w:t>MIU</w:t>
            </w:r>
            <w:r w:rsidRPr="00727DFA">
              <w:rPr>
                <w:rFonts w:eastAsia="Times New Roman"/>
                <w:spacing w:val="-2"/>
                <w:szCs w:val="24"/>
              </w:rPr>
              <w:t xml:space="preserve"> </w:t>
            </w:r>
            <w:r w:rsidRPr="00727DFA">
              <w:rPr>
                <w:rFonts w:eastAsia="Times New Roman"/>
                <w:szCs w:val="24"/>
              </w:rPr>
              <w:t>(=</w:t>
            </w:r>
            <w:r w:rsidRPr="00727DFA">
              <w:rPr>
                <w:rFonts w:eastAsia="Times New Roman"/>
                <w:spacing w:val="-1"/>
                <w:szCs w:val="24"/>
              </w:rPr>
              <w:t xml:space="preserve"> </w:t>
            </w:r>
            <w:r w:rsidRPr="00727DFA">
              <w:rPr>
                <w:rFonts w:eastAsia="Times New Roman"/>
                <w:szCs w:val="24"/>
              </w:rPr>
              <w:t>1.2 g)</w:t>
            </w:r>
            <w:r w:rsidRPr="00727DFA">
              <w:rPr>
                <w:rFonts w:eastAsia="Times New Roman"/>
                <w:spacing w:val="-3"/>
                <w:szCs w:val="24"/>
              </w:rPr>
              <w:t xml:space="preserve"> </w:t>
            </w:r>
            <w:r w:rsidRPr="00727DFA">
              <w:rPr>
                <w:rFonts w:eastAsia="Times New Roman"/>
                <w:szCs w:val="24"/>
              </w:rPr>
              <w:t xml:space="preserve">once </w:t>
            </w:r>
            <w:r w:rsidRPr="00727DFA">
              <w:rPr>
                <w:rFonts w:eastAsia="Times New Roman"/>
                <w:spacing w:val="-2"/>
                <w:szCs w:val="24"/>
              </w:rPr>
              <w:t>daily</w:t>
            </w:r>
          </w:p>
          <w:p w14:paraId="131736A7"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lastRenderedPageBreak/>
              <w:t>Pneumonia</w:t>
            </w:r>
            <w:r w:rsidRPr="00727DFA">
              <w:rPr>
                <w:rFonts w:eastAsia="Times New Roman"/>
                <w:szCs w:val="24"/>
              </w:rPr>
              <w:t xml:space="preserve"> (pneumococcal)</w:t>
            </w:r>
            <w:r>
              <w:rPr>
                <w:rFonts w:eastAsia="Times New Roman"/>
                <w:szCs w:val="24"/>
              </w:rPr>
              <w:t>;</w:t>
            </w:r>
            <w:r w:rsidRPr="00727DFA">
              <w:rPr>
                <w:rFonts w:eastAsia="Times New Roman"/>
                <w:szCs w:val="24"/>
              </w:rPr>
              <w:t xml:space="preserve"> moderately severe (uncomplicated):</w:t>
            </w:r>
          </w:p>
          <w:p w14:paraId="7C985B96"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 xml:space="preserve"> 600,000 to 1,000,000 IU daily</w:t>
            </w:r>
          </w:p>
          <w:p w14:paraId="7BFE8F29" w14:textId="77777777" w:rsidR="007B485D" w:rsidRPr="00727DFA" w:rsidRDefault="007B485D" w:rsidP="002D6DD7">
            <w:pPr>
              <w:widowControl w:val="0"/>
              <w:tabs>
                <w:tab w:val="left" w:pos="828"/>
              </w:tabs>
              <w:autoSpaceDE w:val="0"/>
              <w:autoSpaceDN w:val="0"/>
              <w:jc w:val="both"/>
              <w:rPr>
                <w:rFonts w:eastAsia="Times New Roman"/>
                <w:b/>
                <w:bCs/>
                <w:szCs w:val="24"/>
              </w:rPr>
            </w:pPr>
            <w:r w:rsidRPr="00727DFA">
              <w:rPr>
                <w:rFonts w:eastAsia="Times New Roman"/>
                <w:b/>
                <w:bCs/>
                <w:szCs w:val="24"/>
              </w:rPr>
              <w:t xml:space="preserve">Relapsing fever: </w:t>
            </w:r>
          </w:p>
          <w:p w14:paraId="6FC719E4"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IM,</w:t>
            </w:r>
          </w:p>
          <w:p w14:paraId="443945BA" w14:textId="77777777" w:rsidR="007B485D" w:rsidRPr="00727DFA" w:rsidRDefault="007B485D" w:rsidP="002D6DD7">
            <w:pPr>
              <w:widowControl w:val="0"/>
              <w:tabs>
                <w:tab w:val="left" w:pos="828"/>
              </w:tabs>
              <w:autoSpaceDE w:val="0"/>
              <w:autoSpaceDN w:val="0"/>
              <w:jc w:val="both"/>
              <w:rPr>
                <w:rFonts w:eastAsia="DengXian"/>
                <w:szCs w:val="24"/>
              </w:rPr>
            </w:pPr>
            <w:r w:rsidRPr="00727DFA">
              <w:rPr>
                <w:rFonts w:eastAsia="Times New Roman"/>
                <w:b/>
                <w:bCs/>
                <w:szCs w:val="24"/>
              </w:rPr>
              <w:t>Adult:</w:t>
            </w:r>
            <w:r w:rsidRPr="00727DFA">
              <w:rPr>
                <w:rFonts w:eastAsia="Times New Roman"/>
                <w:szCs w:val="24"/>
              </w:rPr>
              <w:t xml:space="preserve"> </w:t>
            </w:r>
            <w:r w:rsidRPr="00727DFA">
              <w:rPr>
                <w:rFonts w:eastAsia="DengXian"/>
                <w:szCs w:val="24"/>
              </w:rPr>
              <w:t xml:space="preserve">400,000-600,000 IU, single dose </w:t>
            </w:r>
          </w:p>
          <w:p w14:paraId="6434BAD3"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DengXian"/>
                <w:b/>
                <w:bCs/>
                <w:szCs w:val="24"/>
              </w:rPr>
              <w:t>Children:</w:t>
            </w:r>
            <w:r w:rsidRPr="00727DFA">
              <w:rPr>
                <w:rFonts w:eastAsia="DengXian"/>
                <w:szCs w:val="24"/>
              </w:rPr>
              <w:t xml:space="preserve"> 200,000-400,000 units, single dose. Use the lower doses to decrease the risk of Jarisch–Herxheimer reaction</w:t>
            </w:r>
          </w:p>
          <w:p w14:paraId="55F00AB7"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Congenital</w:t>
            </w:r>
            <w:r w:rsidRPr="00727DFA">
              <w:rPr>
                <w:rFonts w:eastAsia="Times New Roman"/>
                <w:b/>
                <w:spacing w:val="-3"/>
                <w:szCs w:val="24"/>
              </w:rPr>
              <w:t xml:space="preserve"> </w:t>
            </w:r>
            <w:r w:rsidRPr="00727DFA">
              <w:rPr>
                <w:rFonts w:eastAsia="Times New Roman"/>
                <w:b/>
                <w:spacing w:val="-2"/>
                <w:szCs w:val="24"/>
              </w:rPr>
              <w:t>syphilis</w:t>
            </w:r>
          </w:p>
          <w:p w14:paraId="74D7F50E"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Neonate:</w:t>
            </w:r>
            <w:r w:rsidRPr="00727DFA">
              <w:rPr>
                <w:rFonts w:eastAsia="Times New Roman"/>
                <w:spacing w:val="-3"/>
                <w:szCs w:val="24"/>
              </w:rPr>
              <w:t xml:space="preserve"> </w:t>
            </w:r>
            <w:r w:rsidRPr="00727DFA">
              <w:rPr>
                <w:rFonts w:eastAsia="Times New Roman"/>
                <w:szCs w:val="24"/>
              </w:rPr>
              <w:t>50</w:t>
            </w:r>
            <w:r w:rsidRPr="00727DFA">
              <w:rPr>
                <w:rFonts w:eastAsia="Times New Roman"/>
                <w:spacing w:val="-1"/>
                <w:szCs w:val="24"/>
              </w:rPr>
              <w:t>,</w:t>
            </w:r>
            <w:r w:rsidRPr="00727DFA">
              <w:rPr>
                <w:rFonts w:eastAsia="Times New Roman"/>
                <w:szCs w:val="24"/>
              </w:rPr>
              <w:t>000</w:t>
            </w:r>
            <w:r w:rsidRPr="00727DFA">
              <w:rPr>
                <w:rFonts w:eastAsia="Times New Roman"/>
                <w:spacing w:val="-2"/>
                <w:szCs w:val="24"/>
              </w:rPr>
              <w:t xml:space="preserve"> </w:t>
            </w:r>
            <w:r w:rsidRPr="00727DFA">
              <w:rPr>
                <w:rFonts w:eastAsia="Times New Roman"/>
                <w:szCs w:val="24"/>
              </w:rPr>
              <w:t>IU/kg</w:t>
            </w:r>
            <w:r w:rsidRPr="00727DFA">
              <w:rPr>
                <w:rFonts w:eastAsia="Times New Roman"/>
                <w:spacing w:val="-5"/>
                <w:szCs w:val="24"/>
              </w:rPr>
              <w:t xml:space="preserve"> </w:t>
            </w:r>
            <w:r w:rsidRPr="00727DFA">
              <w:rPr>
                <w:rFonts w:eastAsia="Times New Roman"/>
                <w:szCs w:val="24"/>
              </w:rPr>
              <w:t>(=</w:t>
            </w:r>
            <w:r w:rsidRPr="00727DFA">
              <w:rPr>
                <w:rFonts w:eastAsia="Times New Roman"/>
                <w:spacing w:val="-2"/>
                <w:szCs w:val="24"/>
              </w:rPr>
              <w:t xml:space="preserve"> </w:t>
            </w:r>
            <w:r w:rsidRPr="00727DFA">
              <w:rPr>
                <w:rFonts w:eastAsia="Times New Roman"/>
                <w:szCs w:val="24"/>
              </w:rPr>
              <w:t>50</w:t>
            </w:r>
            <w:r w:rsidRPr="00727DFA">
              <w:rPr>
                <w:rFonts w:eastAsia="Times New Roman"/>
                <w:spacing w:val="-1"/>
                <w:szCs w:val="24"/>
              </w:rPr>
              <w:t xml:space="preserve"> </w:t>
            </w:r>
            <w:r w:rsidRPr="00727DFA">
              <w:rPr>
                <w:rFonts w:eastAsia="Times New Roman"/>
                <w:szCs w:val="24"/>
              </w:rPr>
              <w:t xml:space="preserve">mg/kg) once </w:t>
            </w:r>
            <w:r w:rsidRPr="00727DFA">
              <w:rPr>
                <w:rFonts w:eastAsia="Times New Roman"/>
                <w:spacing w:val="-2"/>
                <w:szCs w:val="24"/>
              </w:rPr>
              <w:t>daily</w:t>
            </w:r>
          </w:p>
          <w:p w14:paraId="1BE10D7A" w14:textId="77777777" w:rsidR="007B485D" w:rsidRPr="00727DFA" w:rsidRDefault="007B485D" w:rsidP="002D6DD7">
            <w:pPr>
              <w:widowControl w:val="0"/>
              <w:tabs>
                <w:tab w:val="left" w:pos="828"/>
              </w:tabs>
              <w:autoSpaceDE w:val="0"/>
              <w:autoSpaceDN w:val="0"/>
              <w:jc w:val="both"/>
              <w:rPr>
                <w:rFonts w:eastAsia="Times New Roman"/>
                <w:b/>
                <w:bCs/>
                <w:szCs w:val="24"/>
              </w:rPr>
            </w:pPr>
            <w:r w:rsidRPr="00727DFA">
              <w:rPr>
                <w:rFonts w:eastAsia="Times New Roman"/>
                <w:b/>
                <w:bCs/>
                <w:szCs w:val="24"/>
              </w:rPr>
              <w:t>Anthrax-cutaneous</w:t>
            </w:r>
          </w:p>
          <w:p w14:paraId="23CED0AC"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 xml:space="preserve"> 600,000 to 1,000,000 units once daily</w:t>
            </w:r>
          </w:p>
          <w:p w14:paraId="502817AC" w14:textId="77777777" w:rsidR="007B485D" w:rsidRPr="00727DFA" w:rsidRDefault="007B485D" w:rsidP="002D6DD7">
            <w:pPr>
              <w:widowControl w:val="0"/>
              <w:tabs>
                <w:tab w:val="left" w:pos="828"/>
              </w:tabs>
              <w:autoSpaceDE w:val="0"/>
              <w:autoSpaceDN w:val="0"/>
              <w:jc w:val="both"/>
              <w:rPr>
                <w:rFonts w:eastAsia="Times New Roman"/>
                <w:szCs w:val="24"/>
              </w:rPr>
            </w:pPr>
            <w:r w:rsidRPr="00727DFA">
              <w:rPr>
                <w:rFonts w:eastAsia="Times New Roman"/>
                <w:b/>
                <w:bCs/>
                <w:szCs w:val="24"/>
              </w:rPr>
              <w:t>Child:</w:t>
            </w:r>
            <w:r w:rsidRPr="00727DFA">
              <w:rPr>
                <w:rFonts w:eastAsia="Times New Roman"/>
                <w:szCs w:val="24"/>
              </w:rPr>
              <w:t xml:space="preserve"> Inhaled (post-exposure): 25,000 units/kg every 12 hours; not to exceed 1.2 million units every 12 hours, then switch to oral treatment (total treatment 60 days)</w:t>
            </w:r>
          </w:p>
          <w:p w14:paraId="2D20FC60" w14:textId="77777777" w:rsidR="007B485D" w:rsidRPr="00727DFA" w:rsidRDefault="007B485D" w:rsidP="002D6DD7">
            <w:pPr>
              <w:widowControl w:val="0"/>
              <w:autoSpaceDE w:val="0"/>
              <w:autoSpaceDN w:val="0"/>
              <w:jc w:val="both"/>
              <w:rPr>
                <w:rFonts w:eastAsia="Times New Roman"/>
                <w:szCs w:val="24"/>
              </w:rPr>
            </w:pPr>
            <w:r w:rsidRPr="00F91200">
              <w:rPr>
                <w:rFonts w:eastAsia="Times New Roman"/>
                <w:i/>
                <w:szCs w:val="24"/>
              </w:rPr>
              <w:t>Note:</w:t>
            </w:r>
            <w:r w:rsidRPr="00727DFA">
              <w:rPr>
                <w:rFonts w:eastAsia="Times New Roman"/>
                <w:szCs w:val="24"/>
              </w:rPr>
              <w:t xml:space="preserve"> </w:t>
            </w:r>
            <w:r w:rsidRPr="00873AF2">
              <w:rPr>
                <w:rFonts w:eastAsia="Times New Roman"/>
                <w:i/>
                <w:iCs/>
                <w:szCs w:val="24"/>
              </w:rPr>
              <w:t>Procaine</w:t>
            </w:r>
            <w:r w:rsidRPr="00873AF2">
              <w:rPr>
                <w:rFonts w:eastAsia="Times New Roman"/>
                <w:i/>
                <w:iCs/>
                <w:spacing w:val="-5"/>
                <w:szCs w:val="24"/>
              </w:rPr>
              <w:t xml:space="preserve"> </w:t>
            </w:r>
            <w:r w:rsidRPr="00873AF2">
              <w:rPr>
                <w:rFonts w:eastAsia="Times New Roman"/>
                <w:i/>
                <w:iCs/>
                <w:szCs w:val="24"/>
              </w:rPr>
              <w:t>benzylpenicillin</w:t>
            </w:r>
            <w:r w:rsidRPr="00873AF2">
              <w:rPr>
                <w:rFonts w:eastAsia="Times New Roman"/>
                <w:i/>
                <w:iCs/>
                <w:spacing w:val="-6"/>
                <w:szCs w:val="24"/>
              </w:rPr>
              <w:t xml:space="preserve"> </w:t>
            </w:r>
            <w:r w:rsidRPr="00873AF2">
              <w:rPr>
                <w:rFonts w:eastAsia="Times New Roman"/>
                <w:i/>
                <w:iCs/>
                <w:szCs w:val="24"/>
              </w:rPr>
              <w:t>is</w:t>
            </w:r>
            <w:r w:rsidRPr="00873AF2">
              <w:rPr>
                <w:rFonts w:eastAsia="Times New Roman"/>
                <w:i/>
                <w:iCs/>
                <w:spacing w:val="-6"/>
                <w:szCs w:val="24"/>
              </w:rPr>
              <w:t xml:space="preserve"> </w:t>
            </w:r>
            <w:r w:rsidRPr="00873AF2">
              <w:rPr>
                <w:rFonts w:eastAsia="Times New Roman"/>
                <w:i/>
                <w:iCs/>
                <w:szCs w:val="24"/>
              </w:rPr>
              <w:t>not</w:t>
            </w:r>
            <w:r w:rsidRPr="00873AF2">
              <w:rPr>
                <w:rFonts w:eastAsia="Times New Roman"/>
                <w:i/>
                <w:iCs/>
                <w:spacing w:val="-7"/>
                <w:szCs w:val="24"/>
              </w:rPr>
              <w:t xml:space="preserve"> </w:t>
            </w:r>
            <w:r w:rsidRPr="00873AF2">
              <w:rPr>
                <w:rFonts w:eastAsia="Times New Roman"/>
                <w:i/>
                <w:iCs/>
                <w:szCs w:val="24"/>
              </w:rPr>
              <w:t>recommended</w:t>
            </w:r>
            <w:r w:rsidRPr="00873AF2">
              <w:rPr>
                <w:rFonts w:eastAsia="Times New Roman"/>
                <w:i/>
                <w:iCs/>
                <w:spacing w:val="-6"/>
                <w:szCs w:val="24"/>
              </w:rPr>
              <w:t xml:space="preserve"> </w:t>
            </w:r>
            <w:r w:rsidRPr="00873AF2">
              <w:rPr>
                <w:rFonts w:eastAsia="Times New Roman"/>
                <w:i/>
                <w:iCs/>
                <w:szCs w:val="24"/>
              </w:rPr>
              <w:t>as</w:t>
            </w:r>
            <w:r w:rsidRPr="00873AF2">
              <w:rPr>
                <w:rFonts w:eastAsia="Times New Roman"/>
                <w:i/>
                <w:iCs/>
                <w:spacing w:val="-6"/>
                <w:szCs w:val="24"/>
              </w:rPr>
              <w:t xml:space="preserve"> </w:t>
            </w:r>
            <w:r w:rsidRPr="00873AF2">
              <w:rPr>
                <w:rFonts w:eastAsia="Times New Roman"/>
                <w:i/>
                <w:iCs/>
                <w:szCs w:val="24"/>
              </w:rPr>
              <w:t>first-line</w:t>
            </w:r>
            <w:r w:rsidRPr="00873AF2">
              <w:rPr>
                <w:rFonts w:eastAsia="Times New Roman"/>
                <w:i/>
                <w:iCs/>
                <w:spacing w:val="-6"/>
                <w:szCs w:val="24"/>
              </w:rPr>
              <w:t xml:space="preserve"> </w:t>
            </w:r>
            <w:r w:rsidRPr="00873AF2">
              <w:rPr>
                <w:rFonts w:eastAsia="Times New Roman"/>
                <w:i/>
                <w:iCs/>
                <w:szCs w:val="24"/>
              </w:rPr>
              <w:t>treatment for neonatal sepsis / sepsis except in settings with high neonatal mortality. There is high risk of abscess and procaine toxicity in neonates</w:t>
            </w:r>
            <w:r>
              <w:rPr>
                <w:rFonts w:eastAsia="Times New Roman"/>
                <w:i/>
                <w:iCs/>
                <w:szCs w:val="24"/>
              </w:rPr>
              <w:t>.</w:t>
            </w:r>
          </w:p>
        </w:tc>
      </w:tr>
      <w:tr w:rsidR="007B485D" w:rsidRPr="00727DFA" w14:paraId="760BA99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0CF283"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33C05F10" w14:textId="77777777" w:rsidR="007B485D" w:rsidRPr="00727DFA" w:rsidRDefault="007B485D" w:rsidP="002D6DD7">
            <w:pPr>
              <w:widowControl w:val="0"/>
              <w:tabs>
                <w:tab w:val="left" w:pos="468"/>
              </w:tabs>
              <w:autoSpaceDE w:val="0"/>
              <w:autoSpaceDN w:val="0"/>
              <w:jc w:val="both"/>
              <w:rPr>
                <w:rFonts w:eastAsia="Times New Roman"/>
                <w:bCs/>
                <w:szCs w:val="24"/>
              </w:rPr>
            </w:pPr>
            <w:r w:rsidRPr="00727DFA">
              <w:rPr>
                <w:rFonts w:eastAsia="Times New Roman"/>
                <w:bCs/>
                <w:szCs w:val="24"/>
              </w:rPr>
              <w:t xml:space="preserve">Hypersensitivity to </w:t>
            </w:r>
            <w:r>
              <w:rPr>
                <w:rFonts w:eastAsia="Times New Roman"/>
                <w:bCs/>
                <w:szCs w:val="24"/>
              </w:rPr>
              <w:t xml:space="preserve">the drug and other </w:t>
            </w:r>
            <w:r w:rsidRPr="00727DFA">
              <w:rPr>
                <w:rFonts w:eastAsia="Times New Roman"/>
                <w:bCs/>
                <w:szCs w:val="24"/>
              </w:rPr>
              <w:t>β-lactam antibiotics</w:t>
            </w:r>
            <w:r>
              <w:rPr>
                <w:rFonts w:eastAsia="Times New Roman"/>
                <w:bCs/>
                <w:szCs w:val="24"/>
              </w:rPr>
              <w:t>.</w:t>
            </w:r>
            <w:r w:rsidRPr="00727DFA">
              <w:rPr>
                <w:rFonts w:eastAsia="Times New Roman"/>
                <w:bCs/>
                <w:szCs w:val="24"/>
              </w:rPr>
              <w:t xml:space="preserve"> </w:t>
            </w:r>
          </w:p>
        </w:tc>
      </w:tr>
      <w:tr w:rsidR="007B485D" w:rsidRPr="00727DFA" w14:paraId="4A8EDD2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773D89"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w:t>
            </w:r>
            <w:r w:rsidRPr="00727DFA">
              <w:rPr>
                <w:rFonts w:eastAsia="Times New Roman"/>
                <w:bCs/>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5180858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 xml:space="preserve">Cholera vaccine, </w:t>
            </w:r>
            <w:r w:rsidRPr="00727DFA">
              <w:rPr>
                <w:rFonts w:eastAsia="Times New Roman"/>
                <w:szCs w:val="24"/>
                <w:shd w:val="clear" w:color="auto" w:fill="FFFFFF"/>
              </w:rPr>
              <w:t>sulfamethoxazole/trimethoprim, dapsone, hydroxyurea, lidocaine, nitroglycerin, nitrofurantoin, phenytoin</w:t>
            </w:r>
            <w:r w:rsidRPr="00727DFA">
              <w:rPr>
                <w:rFonts w:eastAsia="Times New Roman"/>
                <w:szCs w:val="24"/>
              </w:rPr>
              <w:t>, aspirin, warfarin</w:t>
            </w:r>
            <w:r>
              <w:rPr>
                <w:rFonts w:eastAsia="Times New Roman"/>
                <w:szCs w:val="24"/>
              </w:rPr>
              <w:t>.</w:t>
            </w:r>
          </w:p>
        </w:tc>
      </w:tr>
      <w:tr w:rsidR="007B485D" w:rsidRPr="00727DFA" w14:paraId="60D106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C66CCB"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Side</w:t>
            </w:r>
            <w:r w:rsidRPr="00727DFA">
              <w:rPr>
                <w:rFonts w:eastAsia="Times New Roman"/>
                <w:bCs/>
                <w:spacing w:val="-4"/>
                <w:szCs w:val="24"/>
              </w:rPr>
              <w:t xml:space="preserve"> </w:t>
            </w:r>
            <w:r w:rsidRPr="00727DFA">
              <w:rPr>
                <w:rFonts w:eastAsia="Times New Roman"/>
                <w:bCs/>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084882D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Hypersensitivity reaction, Jarisch-Herxheimer reaction, Antibiotics-associated diarrhea, Hoigne's syndrome</w:t>
            </w:r>
            <w:r>
              <w:rPr>
                <w:rFonts w:eastAsia="Times New Roman"/>
                <w:szCs w:val="24"/>
              </w:rPr>
              <w:t>.</w:t>
            </w:r>
          </w:p>
        </w:tc>
      </w:tr>
      <w:tr w:rsidR="007B485D" w:rsidRPr="00727DFA" w14:paraId="0E17C16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0511C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338846FA"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pacing w:val="-2"/>
                <w:szCs w:val="24"/>
              </w:rPr>
              <w:t>Histories of significant allergies and/or asthma</w:t>
            </w:r>
            <w:r>
              <w:rPr>
                <w:rFonts w:eastAsia="Times New Roman"/>
                <w:spacing w:val="-2"/>
                <w:szCs w:val="24"/>
              </w:rPr>
              <w:t>.</w:t>
            </w:r>
          </w:p>
        </w:tc>
      </w:tr>
      <w:tr w:rsidR="007B485D" w:rsidRPr="00727DFA" w14:paraId="34EA94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648648"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w:t>
            </w:r>
            <w:r w:rsidRPr="00727DFA">
              <w:rPr>
                <w:rFonts w:eastAsia="Times New Roman"/>
                <w:bCs/>
                <w:spacing w:val="-7"/>
                <w:szCs w:val="24"/>
              </w:rPr>
              <w:t xml:space="preserve"> </w:t>
            </w:r>
            <w:r w:rsidRPr="00727DFA">
              <w:rPr>
                <w:rFonts w:eastAsia="Times New Roman"/>
                <w:bCs/>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6B80528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w:t>
            </w:r>
            <w:r w:rsidRPr="00727DFA">
              <w:rPr>
                <w:rFonts w:eastAsia="Times New Roman"/>
                <w:spacing w:val="-5"/>
                <w:szCs w:val="24"/>
              </w:rPr>
              <w:t xml:space="preserve"> </w:t>
            </w:r>
            <w:r w:rsidRPr="00727DFA">
              <w:rPr>
                <w:rFonts w:eastAsia="Times New Roman"/>
                <w:szCs w:val="24"/>
              </w:rPr>
              <w:t>below</w:t>
            </w:r>
            <w:r w:rsidRPr="00727DFA">
              <w:rPr>
                <w:rFonts w:eastAsia="Times New Roman"/>
                <w:spacing w:val="-4"/>
                <w:szCs w:val="24"/>
              </w:rPr>
              <w:t xml:space="preserve"> </w:t>
            </w:r>
            <w:r w:rsidRPr="00727DFA">
              <w:rPr>
                <w:rFonts w:eastAsia="Times New Roman"/>
                <w:szCs w:val="24"/>
              </w:rPr>
              <w:t xml:space="preserve">30 </w:t>
            </w:r>
            <w:r w:rsidRPr="00727DFA">
              <w:rPr>
                <w:rFonts w:eastAsia="Times New Roman"/>
                <w:spacing w:val="-5"/>
                <w:szCs w:val="24"/>
              </w:rPr>
              <w:t>°C</w:t>
            </w:r>
            <w:r>
              <w:rPr>
                <w:rFonts w:eastAsia="Times New Roman"/>
                <w:spacing w:val="-5"/>
                <w:szCs w:val="24"/>
              </w:rPr>
              <w:t>.</w:t>
            </w:r>
            <w:r w:rsidRPr="00727DFA">
              <w:rPr>
                <w:rFonts w:eastAsia="Times New Roman"/>
                <w:szCs w:val="24"/>
              </w:rPr>
              <w:t xml:space="preserve"> </w:t>
            </w:r>
          </w:p>
        </w:tc>
      </w:tr>
    </w:tbl>
    <w:p w14:paraId="264C1666" w14:textId="77777777" w:rsidR="007B485D" w:rsidRPr="00BC0421" w:rsidRDefault="007B485D" w:rsidP="00BC0421">
      <w:pPr>
        <w:spacing w:before="240"/>
        <w:rPr>
          <w:rFonts w:eastAsia="DengXian Light"/>
          <w:b/>
        </w:rPr>
      </w:pPr>
      <w:r w:rsidRPr="00BC0421">
        <w:rPr>
          <w:rFonts w:eastAsia="DengXian Light"/>
          <w:b/>
        </w:rPr>
        <w:t xml:space="preserve">Cephalosporins  </w:t>
      </w:r>
    </w:p>
    <w:p w14:paraId="50041EDF"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Cephalosporins are bactericidal β-lactams, act by inhibiting synthesis of the bacterial cell wall.  Cephalosporins are </w:t>
      </w:r>
      <w:r>
        <w:rPr>
          <w:rFonts w:eastAsia="DengXian" w:cs="Times New Roman"/>
          <w:szCs w:val="24"/>
        </w:rPr>
        <w:t xml:space="preserve">commonly </w:t>
      </w:r>
      <w:r w:rsidRPr="00727DFA">
        <w:rPr>
          <w:rFonts w:eastAsia="DengXian" w:cs="Times New Roman"/>
          <w:szCs w:val="24"/>
        </w:rPr>
        <w:t>classified into four generations</w:t>
      </w:r>
      <w:r>
        <w:rPr>
          <w:rFonts w:eastAsia="DengXian" w:cs="Times New Roman"/>
          <w:szCs w:val="24"/>
        </w:rPr>
        <w:t xml:space="preserve"> </w:t>
      </w:r>
      <w:r w:rsidRPr="00BD306D">
        <w:rPr>
          <w:rFonts w:eastAsia="DengXian" w:cs="Times New Roman"/>
          <w:szCs w:val="24"/>
        </w:rPr>
        <w:t>with successive generations becoming broader in spectrum adding anti</w:t>
      </w:r>
      <w:r>
        <w:rPr>
          <w:rFonts w:eastAsia="DengXian" w:cs="Times New Roman"/>
          <w:szCs w:val="24"/>
        </w:rPr>
        <w:t>-</w:t>
      </w:r>
      <w:r w:rsidRPr="00BD306D">
        <w:rPr>
          <w:rFonts w:eastAsia="DengXian" w:cs="Times New Roman"/>
          <w:szCs w:val="24"/>
        </w:rPr>
        <w:t xml:space="preserve">anaerobic activity, antipseudomonal activity, and </w:t>
      </w:r>
      <w:r w:rsidRPr="00BD306D">
        <w:rPr>
          <w:rFonts w:eastAsia="DengXian" w:cs="Times New Roman"/>
          <w:szCs w:val="24"/>
        </w:rPr>
        <w:lastRenderedPageBreak/>
        <w:t>enhanced stability to β-lactamase</w:t>
      </w:r>
      <w:r w:rsidRPr="00727DFA">
        <w:rPr>
          <w:rFonts w:eastAsia="DengXian" w:cs="Times New Roman"/>
          <w:szCs w:val="24"/>
        </w:rPr>
        <w:t>.</w:t>
      </w:r>
      <w:r>
        <w:rPr>
          <w:rFonts w:eastAsia="DengXian" w:cs="Times New Roman"/>
          <w:szCs w:val="24"/>
        </w:rPr>
        <w:t xml:space="preserve"> However, c</w:t>
      </w:r>
      <w:r w:rsidRPr="00BD306D">
        <w:rPr>
          <w:rFonts w:eastAsia="DengXian" w:cs="Times New Roman"/>
          <w:szCs w:val="24"/>
        </w:rPr>
        <w:t xml:space="preserve">urrently there </w:t>
      </w:r>
      <w:r>
        <w:rPr>
          <w:rFonts w:eastAsia="DengXian" w:cs="Times New Roman"/>
          <w:szCs w:val="24"/>
        </w:rPr>
        <w:t>is</w:t>
      </w:r>
      <w:r w:rsidRPr="00BD306D">
        <w:rPr>
          <w:rFonts w:eastAsia="DengXian" w:cs="Times New Roman"/>
          <w:szCs w:val="24"/>
        </w:rPr>
        <w:t xml:space="preserve"> fi</w:t>
      </w:r>
      <w:r>
        <w:rPr>
          <w:rFonts w:eastAsia="DengXian" w:cs="Times New Roman"/>
          <w:szCs w:val="24"/>
        </w:rPr>
        <w:t>fth</w:t>
      </w:r>
      <w:r w:rsidRPr="00BD306D">
        <w:rPr>
          <w:rFonts w:eastAsia="DengXian" w:cs="Times New Roman"/>
          <w:szCs w:val="24"/>
        </w:rPr>
        <w:t xml:space="preserve"> generation of cephalosporins</w:t>
      </w:r>
      <w:r>
        <w:rPr>
          <w:rFonts w:eastAsia="DengXian" w:cs="Times New Roman"/>
          <w:szCs w:val="24"/>
        </w:rPr>
        <w:t xml:space="preserve"> (ceftaroline)</w:t>
      </w:r>
      <w:r w:rsidRPr="00BD306D">
        <w:rPr>
          <w:rFonts w:eastAsia="DengXian" w:cs="Times New Roman"/>
          <w:szCs w:val="24"/>
        </w:rPr>
        <w:t>.</w:t>
      </w:r>
      <w:r w:rsidRPr="00727DFA">
        <w:rPr>
          <w:rFonts w:eastAsia="DengXian" w:cs="Times New Roman"/>
          <w:szCs w:val="24"/>
        </w:rPr>
        <w:t xml:space="preserve"> First generation cephalosporins are active against a wide spectrum of Gram-positive bacteria including penicillinase producing and non-penicillinase producing organisms. Their activity against Gram- negative bacteria is modest. Cefadroxil and cefalexin are available in oral formulations, while cefazolin is administered parenterally and widely used for surgical prophylaxis.</w:t>
      </w:r>
    </w:p>
    <w:p w14:paraId="4921265B"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 xml:space="preserve">Second-generation cephalosporins have similar or slightly less activity than first generations against Gram-positive   bacteria, but greater stability to hydrolysis by beta lactamases produced by Gram-negative bacteria and enhanced activity against many of the Enterobacteriaceae and </w:t>
      </w:r>
      <w:r w:rsidRPr="00727DFA">
        <w:rPr>
          <w:rFonts w:eastAsia="DengXian" w:cs="Times New Roman"/>
          <w:i/>
          <w:iCs/>
          <w:szCs w:val="24"/>
        </w:rPr>
        <w:t>Haemophilus influenzae</w:t>
      </w:r>
      <w:r w:rsidRPr="00727DFA">
        <w:rPr>
          <w:rFonts w:eastAsia="DengXian" w:cs="Times New Roman"/>
          <w:szCs w:val="24"/>
        </w:rPr>
        <w:t>. Cefaclor, Cefprozil and Cefuroxime are second-generation cephalosporins.</w:t>
      </w:r>
    </w:p>
    <w:p w14:paraId="17C946A1" w14:textId="77777777" w:rsidR="007B485D" w:rsidRPr="00727DFA" w:rsidRDefault="007B485D" w:rsidP="00BC0421">
      <w:pPr>
        <w:spacing w:before="240"/>
        <w:jc w:val="both"/>
        <w:rPr>
          <w:rFonts w:eastAsia="DengXian" w:cs="Times New Roman"/>
          <w:szCs w:val="24"/>
        </w:rPr>
      </w:pPr>
      <w:r w:rsidRPr="00727DFA">
        <w:rPr>
          <w:rFonts w:eastAsia="DengXian" w:cs="Times New Roman"/>
          <w:szCs w:val="24"/>
        </w:rPr>
        <w:t xml:space="preserve">Compared to second generations, third generation cephalosporins have expanded gram-negative coverage and some are able to cross the blood-brain barrier. The third generations ceftazidime and cefoperazone are active against </w:t>
      </w:r>
      <w:r w:rsidRPr="00727DFA">
        <w:rPr>
          <w:rFonts w:eastAsia="DengXian" w:cs="Times New Roman"/>
          <w:i/>
          <w:iCs/>
          <w:szCs w:val="24"/>
        </w:rPr>
        <w:t>Pseudomonas aeruginosa</w:t>
      </w:r>
      <w:r w:rsidRPr="00727DFA">
        <w:rPr>
          <w:rFonts w:eastAsia="DengXian" w:cs="Times New Roman"/>
          <w:szCs w:val="24"/>
        </w:rPr>
        <w:t>. Cefepime is the only fourth-generation cephalosporin, which is more resistant to hydrolysis by chromosomal β lactamases. However, like the third-generation compounds, it is hydrolysed by extended spectrum β lactamases.</w:t>
      </w:r>
    </w:p>
    <w:tbl>
      <w:tblPr>
        <w:tblStyle w:val="TableGrid"/>
        <w:tblW w:w="0" w:type="auto"/>
        <w:jc w:val="center"/>
        <w:tblLook w:val="04A0" w:firstRow="1" w:lastRow="0" w:firstColumn="1" w:lastColumn="0" w:noHBand="0" w:noVBand="1"/>
      </w:tblPr>
      <w:tblGrid>
        <w:gridCol w:w="2605"/>
        <w:gridCol w:w="6745"/>
      </w:tblGrid>
      <w:tr w:rsidR="007B485D" w:rsidRPr="00727DFA" w14:paraId="711895B0"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FA7529A" w14:textId="77777777" w:rsidR="007B485D" w:rsidRPr="00727DFA" w:rsidRDefault="007B485D" w:rsidP="002D6DD7">
            <w:pPr>
              <w:jc w:val="both"/>
              <w:rPr>
                <w:rFonts w:eastAsia="DengXian"/>
                <w:b/>
                <w:bCs/>
                <w:szCs w:val="24"/>
              </w:rPr>
            </w:pPr>
            <w:r w:rsidRPr="00727DFA">
              <w:rPr>
                <w:rFonts w:eastAsia="DengXian"/>
                <w:b/>
                <w:bCs/>
                <w:szCs w:val="24"/>
              </w:rPr>
              <w:t>Cefalexin</w:t>
            </w:r>
            <w:r>
              <w:rPr>
                <w:rFonts w:eastAsia="DengXian"/>
                <w:b/>
                <w:bCs/>
                <w:szCs w:val="24"/>
              </w:rPr>
              <w:t>/cephalexin</w:t>
            </w:r>
            <w:r w:rsidRPr="00727DFA">
              <w:rPr>
                <w:rFonts w:eastAsia="DengXian"/>
                <w:b/>
                <w:bCs/>
                <w:szCs w:val="24"/>
              </w:rPr>
              <w:t xml:space="preserve"> </w:t>
            </w:r>
            <w:r w:rsidRPr="00873AF2">
              <w:rPr>
                <w:rFonts w:eastAsia="DengXian"/>
                <w:b/>
                <w:bCs/>
                <w:szCs w:val="24"/>
              </w:rPr>
              <w:t>(Access)</w:t>
            </w:r>
          </w:p>
        </w:tc>
      </w:tr>
      <w:tr w:rsidR="007B485D" w:rsidRPr="00727DFA" w14:paraId="65492E2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7338689"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EBD0A83" w14:textId="77777777" w:rsidR="007B485D" w:rsidRPr="00727DFA" w:rsidRDefault="007B485D" w:rsidP="002D6DD7">
            <w:pPr>
              <w:jc w:val="both"/>
              <w:rPr>
                <w:rFonts w:eastAsia="DengXian"/>
                <w:szCs w:val="24"/>
              </w:rPr>
            </w:pPr>
            <w:r w:rsidRPr="00727DFA">
              <w:rPr>
                <w:rFonts w:eastAsia="DengXian"/>
                <w:szCs w:val="24"/>
              </w:rPr>
              <w:t>First-generation cephalosporin</w:t>
            </w:r>
          </w:p>
        </w:tc>
      </w:tr>
      <w:tr w:rsidR="007B485D" w:rsidRPr="00727DFA" w14:paraId="60C2FE3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37BD9F1"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164DB9B" w14:textId="77777777" w:rsidR="007B485D" w:rsidRPr="00727DFA" w:rsidRDefault="007B485D" w:rsidP="002D6DD7">
            <w:pPr>
              <w:jc w:val="both"/>
              <w:rPr>
                <w:rFonts w:eastAsia="DengXian"/>
                <w:bCs/>
                <w:szCs w:val="24"/>
              </w:rPr>
            </w:pPr>
            <w:r w:rsidRPr="00727DFA">
              <w:rPr>
                <w:rFonts w:eastAsia="DengXian"/>
                <w:bCs/>
                <w:szCs w:val="24"/>
              </w:rPr>
              <w:t>Capsule:</w:t>
            </w:r>
            <w:r w:rsidRPr="00727DFA">
              <w:rPr>
                <w:rFonts w:eastAsia="DengXian"/>
                <w:bCs/>
                <w:spacing w:val="-1"/>
                <w:szCs w:val="24"/>
              </w:rPr>
              <w:t xml:space="preserve"> </w:t>
            </w:r>
            <w:r w:rsidRPr="00727DFA">
              <w:rPr>
                <w:rFonts w:eastAsia="DengXian"/>
                <w:bCs/>
                <w:szCs w:val="24"/>
              </w:rPr>
              <w:t>250</w:t>
            </w:r>
            <w:r w:rsidRPr="00727DFA">
              <w:rPr>
                <w:rFonts w:eastAsia="DengXian"/>
                <w:bCs/>
                <w:spacing w:val="-1"/>
                <w:szCs w:val="24"/>
              </w:rPr>
              <w:t xml:space="preserve"> </w:t>
            </w:r>
            <w:r w:rsidRPr="00727DFA">
              <w:rPr>
                <w:rFonts w:eastAsia="DengXian"/>
                <w:bCs/>
                <w:szCs w:val="24"/>
              </w:rPr>
              <w:t>mg, 500</w:t>
            </w:r>
            <w:r w:rsidRPr="00727DFA">
              <w:rPr>
                <w:rFonts w:eastAsia="DengXian"/>
                <w:bCs/>
                <w:spacing w:val="-1"/>
                <w:szCs w:val="24"/>
              </w:rPr>
              <w:t xml:space="preserve"> </w:t>
            </w:r>
            <w:r w:rsidRPr="00727DFA">
              <w:rPr>
                <w:rFonts w:eastAsia="DengXian"/>
                <w:bCs/>
                <w:szCs w:val="24"/>
              </w:rPr>
              <w:t xml:space="preserve">mg </w:t>
            </w:r>
          </w:p>
          <w:p w14:paraId="15496FC0" w14:textId="77777777" w:rsidR="007B485D" w:rsidRPr="00727DFA" w:rsidRDefault="007B485D" w:rsidP="002D6DD7">
            <w:pPr>
              <w:jc w:val="both"/>
              <w:rPr>
                <w:rFonts w:eastAsia="DengXian"/>
                <w:bCs/>
                <w:szCs w:val="24"/>
              </w:rPr>
            </w:pPr>
            <w:r w:rsidRPr="00727DFA">
              <w:rPr>
                <w:rFonts w:eastAsia="DengXian"/>
                <w:bCs/>
                <w:szCs w:val="24"/>
              </w:rPr>
              <w:t>Syrup:</w:t>
            </w:r>
            <w:r w:rsidRPr="00727DFA">
              <w:rPr>
                <w:rFonts w:eastAsia="DengXian"/>
                <w:bCs/>
                <w:spacing w:val="-1"/>
                <w:szCs w:val="24"/>
              </w:rPr>
              <w:t xml:space="preserve"> </w:t>
            </w:r>
            <w:r w:rsidRPr="00727DFA">
              <w:rPr>
                <w:rFonts w:eastAsia="DengXian"/>
                <w:bCs/>
                <w:szCs w:val="24"/>
              </w:rPr>
              <w:t>125</w:t>
            </w:r>
            <w:r w:rsidRPr="00727DFA">
              <w:rPr>
                <w:rFonts w:eastAsia="DengXian"/>
                <w:bCs/>
                <w:spacing w:val="-1"/>
                <w:szCs w:val="24"/>
              </w:rPr>
              <w:t xml:space="preserve"> </w:t>
            </w:r>
            <w:r w:rsidRPr="00727DFA">
              <w:rPr>
                <w:rFonts w:eastAsia="DengXian"/>
                <w:bCs/>
                <w:szCs w:val="24"/>
              </w:rPr>
              <w:t xml:space="preserve">mg/5ml, </w:t>
            </w:r>
            <w:r w:rsidRPr="00727DFA">
              <w:rPr>
                <w:rFonts w:eastAsia="Times New Roman"/>
                <w:bCs/>
                <w:szCs w:val="24"/>
              </w:rPr>
              <w:t>250mg/5ml (anhydrous)</w:t>
            </w:r>
          </w:p>
          <w:p w14:paraId="3D50D332" w14:textId="77777777" w:rsidR="007B485D" w:rsidRPr="00727DFA" w:rsidRDefault="007B485D" w:rsidP="002D6DD7">
            <w:pPr>
              <w:jc w:val="both"/>
              <w:rPr>
                <w:rFonts w:eastAsia="DengXian"/>
                <w:szCs w:val="24"/>
              </w:rPr>
            </w:pPr>
            <w:r w:rsidRPr="00727DFA">
              <w:rPr>
                <w:rFonts w:eastAsia="Times New Roman"/>
                <w:bCs/>
                <w:szCs w:val="24"/>
              </w:rPr>
              <w:t>Tablet (dispersible):</w:t>
            </w:r>
            <w:r w:rsidRPr="00727DFA">
              <w:rPr>
                <w:rFonts w:eastAsia="Times New Roman"/>
                <w:szCs w:val="24"/>
              </w:rPr>
              <w:t xml:space="preserve"> 125mg, 250mg</w:t>
            </w:r>
          </w:p>
        </w:tc>
      </w:tr>
      <w:tr w:rsidR="007B485D" w:rsidRPr="00727DFA" w14:paraId="1F89E97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39F6C6E" w14:textId="77777777" w:rsidR="007B485D" w:rsidRPr="00873AF2" w:rsidRDefault="007B485D" w:rsidP="002D6DD7">
            <w:pPr>
              <w:jc w:val="both"/>
              <w:rPr>
                <w:rFonts w:eastAsia="DengXian"/>
                <w:b/>
                <w:bCs/>
                <w:szCs w:val="24"/>
              </w:rPr>
            </w:pPr>
            <w:r w:rsidRPr="009D2048">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60F99BF" w14:textId="77777777" w:rsidR="007B485D" w:rsidRPr="00727DFA" w:rsidRDefault="007B485D" w:rsidP="002D6DD7">
            <w:pPr>
              <w:jc w:val="both"/>
              <w:rPr>
                <w:rFonts w:eastAsia="DengXian"/>
                <w:szCs w:val="24"/>
              </w:rPr>
            </w:pPr>
            <w:r w:rsidRPr="00727DFA">
              <w:rPr>
                <w:rFonts w:eastAsia="DengXian"/>
                <w:szCs w:val="24"/>
              </w:rPr>
              <w:t>Treatment</w:t>
            </w:r>
            <w:r w:rsidRPr="00727DFA">
              <w:rPr>
                <w:rFonts w:eastAsia="DengXian"/>
                <w:spacing w:val="1"/>
                <w:szCs w:val="24"/>
              </w:rPr>
              <w:t xml:space="preserve"> </w:t>
            </w:r>
            <w:r w:rsidRPr="00727DFA">
              <w:rPr>
                <w:rFonts w:eastAsia="DengXian"/>
                <w:szCs w:val="24"/>
              </w:rPr>
              <w:t>of</w:t>
            </w:r>
            <w:r w:rsidRPr="00727DFA">
              <w:rPr>
                <w:rFonts w:eastAsia="DengXian"/>
                <w:spacing w:val="1"/>
                <w:szCs w:val="24"/>
              </w:rPr>
              <w:t xml:space="preserve"> </w:t>
            </w:r>
            <w:r w:rsidRPr="00727DFA">
              <w:rPr>
                <w:rFonts w:eastAsia="DengXian"/>
                <w:szCs w:val="24"/>
              </w:rPr>
              <w:t>susceptible</w:t>
            </w:r>
            <w:r w:rsidRPr="00727DFA">
              <w:rPr>
                <w:rFonts w:eastAsia="DengXian"/>
                <w:spacing w:val="1"/>
                <w:szCs w:val="24"/>
              </w:rPr>
              <w:t xml:space="preserve"> </w:t>
            </w:r>
            <w:r w:rsidRPr="00727DFA">
              <w:rPr>
                <w:rFonts w:eastAsia="DengXian"/>
                <w:szCs w:val="24"/>
              </w:rPr>
              <w:t>bacterial</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including respiratory tract infections, otitis media, skin and soft-tissue</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bone</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genitourinary</w:t>
            </w:r>
            <w:r w:rsidRPr="00727DFA">
              <w:rPr>
                <w:rFonts w:eastAsia="DengXian"/>
                <w:spacing w:val="1"/>
                <w:szCs w:val="24"/>
              </w:rPr>
              <w:t xml:space="preserve"> </w:t>
            </w:r>
            <w:r w:rsidRPr="00727DFA">
              <w:rPr>
                <w:rFonts w:eastAsia="DengXian"/>
                <w:szCs w:val="24"/>
              </w:rPr>
              <w:t>tract</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including</w:t>
            </w:r>
            <w:r w:rsidRPr="00727DFA">
              <w:rPr>
                <w:rFonts w:eastAsia="DengXian"/>
                <w:spacing w:val="1"/>
                <w:szCs w:val="24"/>
              </w:rPr>
              <w:t xml:space="preserve"> </w:t>
            </w:r>
            <w:r w:rsidRPr="00727DFA">
              <w:rPr>
                <w:rFonts w:eastAsia="DengXian"/>
                <w:szCs w:val="24"/>
              </w:rPr>
              <w:t>acute</w:t>
            </w:r>
            <w:r w:rsidRPr="00727DFA">
              <w:rPr>
                <w:rFonts w:eastAsia="DengXian"/>
                <w:spacing w:val="1"/>
                <w:szCs w:val="24"/>
              </w:rPr>
              <w:t xml:space="preserve"> </w:t>
            </w:r>
            <w:r w:rsidRPr="00727DFA">
              <w:rPr>
                <w:rFonts w:eastAsia="DengXian"/>
                <w:szCs w:val="24"/>
              </w:rPr>
              <w:t xml:space="preserve">prostatitis and catheter associated </w:t>
            </w:r>
            <w:r>
              <w:rPr>
                <w:rFonts w:eastAsia="DengXian"/>
                <w:szCs w:val="24"/>
              </w:rPr>
              <w:t>urinary tract infection</w:t>
            </w:r>
            <w:r w:rsidRPr="00727DFA">
              <w:rPr>
                <w:rFonts w:eastAsia="DengXian"/>
                <w:szCs w:val="24"/>
              </w:rPr>
              <w:t>,</w:t>
            </w:r>
            <w:r w:rsidRPr="00727DFA">
              <w:rPr>
                <w:rFonts w:eastAsia="DengXian"/>
                <w:spacing w:val="1"/>
                <w:szCs w:val="24"/>
              </w:rPr>
              <w:t xml:space="preserve"> </w:t>
            </w:r>
            <w:r w:rsidRPr="00727DFA">
              <w:rPr>
                <w:rFonts w:eastAsia="DengXian"/>
                <w:szCs w:val="24"/>
              </w:rPr>
              <w:t>alternative</w:t>
            </w:r>
            <w:r w:rsidRPr="00727DFA">
              <w:rPr>
                <w:rFonts w:eastAsia="DengXian"/>
                <w:spacing w:val="1"/>
                <w:szCs w:val="24"/>
              </w:rPr>
              <w:t xml:space="preserve"> </w:t>
            </w:r>
            <w:r w:rsidRPr="00727DFA">
              <w:rPr>
                <w:rFonts w:eastAsia="DengXian"/>
                <w:szCs w:val="24"/>
              </w:rPr>
              <w:t>therapy</w:t>
            </w:r>
            <w:r w:rsidRPr="00727DFA">
              <w:rPr>
                <w:rFonts w:eastAsia="DengXian"/>
                <w:spacing w:val="1"/>
                <w:szCs w:val="24"/>
              </w:rPr>
              <w:t xml:space="preserve"> </w:t>
            </w:r>
            <w:r w:rsidRPr="00727DFA">
              <w:rPr>
                <w:rFonts w:eastAsia="DengXian"/>
                <w:szCs w:val="24"/>
              </w:rPr>
              <w:t>for</w:t>
            </w:r>
            <w:r w:rsidRPr="00727DFA">
              <w:rPr>
                <w:rFonts w:eastAsia="DengXian"/>
                <w:spacing w:val="1"/>
                <w:szCs w:val="24"/>
              </w:rPr>
              <w:t xml:space="preserve"> </w:t>
            </w:r>
            <w:r w:rsidRPr="00727DFA">
              <w:rPr>
                <w:rFonts w:eastAsia="DengXian"/>
                <w:szCs w:val="24"/>
              </w:rPr>
              <w:t>acute</w:t>
            </w:r>
            <w:r w:rsidRPr="00727DFA">
              <w:rPr>
                <w:rFonts w:eastAsia="DengXian"/>
                <w:spacing w:val="-2"/>
                <w:szCs w:val="24"/>
              </w:rPr>
              <w:t xml:space="preserve"> </w:t>
            </w:r>
            <w:r w:rsidRPr="00727DFA">
              <w:rPr>
                <w:rFonts w:eastAsia="DengXian"/>
                <w:szCs w:val="24"/>
              </w:rPr>
              <w:t>bacterial</w:t>
            </w:r>
            <w:r w:rsidRPr="00727DFA">
              <w:rPr>
                <w:rFonts w:eastAsia="DengXian"/>
                <w:spacing w:val="3"/>
                <w:szCs w:val="24"/>
              </w:rPr>
              <w:t xml:space="preserve"> </w:t>
            </w:r>
            <w:r w:rsidRPr="00727DFA">
              <w:rPr>
                <w:rFonts w:eastAsia="DengXian"/>
                <w:szCs w:val="24"/>
              </w:rPr>
              <w:t>endocarditis prophylaxis</w:t>
            </w:r>
            <w:r>
              <w:rPr>
                <w:rFonts w:eastAsia="DengXian"/>
                <w:szCs w:val="24"/>
              </w:rPr>
              <w:t>.</w:t>
            </w:r>
          </w:p>
        </w:tc>
      </w:tr>
      <w:tr w:rsidR="007B485D" w:rsidRPr="00727DFA" w14:paraId="20E0BF5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8CD383F" w14:textId="77777777" w:rsidR="007B485D" w:rsidRPr="00727DFA" w:rsidRDefault="007B485D" w:rsidP="002D6DD7">
            <w:pPr>
              <w:jc w:val="both"/>
              <w:rPr>
                <w:rFonts w:eastAsia="DengXian"/>
                <w:szCs w:val="24"/>
              </w:rPr>
            </w:pPr>
            <w:r w:rsidRPr="00727DFA">
              <w:rPr>
                <w:rFonts w:eastAsia="DengXian"/>
                <w:szCs w:val="24"/>
              </w:rPr>
              <w:t xml:space="preserve">Dose and </w:t>
            </w:r>
            <w:r>
              <w:rPr>
                <w:rFonts w:eastAsia="DengXian"/>
                <w:szCs w:val="24"/>
              </w:rPr>
              <w:t>a</w:t>
            </w:r>
            <w:r w:rsidRPr="00727DFA">
              <w:rPr>
                <w:rFonts w:eastAsia="DengXian"/>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43F37219" w14:textId="77777777" w:rsidR="007B485D" w:rsidRPr="00727DFA" w:rsidRDefault="007B485D" w:rsidP="002D6DD7">
            <w:pPr>
              <w:jc w:val="both"/>
              <w:rPr>
                <w:rFonts w:eastAsia="DengXian"/>
                <w:b/>
                <w:szCs w:val="24"/>
              </w:rPr>
            </w:pPr>
            <w:r w:rsidRPr="00727DFA">
              <w:rPr>
                <w:rFonts w:eastAsia="DengXian"/>
                <w:b/>
                <w:bCs/>
                <w:szCs w:val="24"/>
              </w:rPr>
              <w:t>Susceptible infections due to sensitive Gram-positive and Gram-negative bacteria;</w:t>
            </w:r>
            <w:r w:rsidRPr="00727DFA">
              <w:rPr>
                <w:rFonts w:eastAsia="DengXian"/>
                <w:b/>
                <w:szCs w:val="24"/>
              </w:rPr>
              <w:t xml:space="preserve"> Oral:  </w:t>
            </w:r>
          </w:p>
          <w:p w14:paraId="6D6CFF2C" w14:textId="77777777" w:rsidR="007B485D" w:rsidRPr="00727DFA" w:rsidRDefault="007B485D" w:rsidP="002D6DD7">
            <w:pPr>
              <w:adjustRightInd w:val="0"/>
              <w:jc w:val="both"/>
              <w:rPr>
                <w:rFonts w:eastAsia="DengXian"/>
                <w:szCs w:val="24"/>
              </w:rPr>
            </w:pPr>
            <w:r w:rsidRPr="00727DFA">
              <w:rPr>
                <w:rFonts w:eastAsia="DengXian"/>
                <w:b/>
                <w:szCs w:val="24"/>
              </w:rPr>
              <w:lastRenderedPageBreak/>
              <w:t>Child 1 month–11 years</w:t>
            </w:r>
            <w:r w:rsidRPr="00727DFA">
              <w:rPr>
                <w:rFonts w:eastAsia="DengXian"/>
                <w:szCs w:val="24"/>
              </w:rPr>
              <w:t xml:space="preserve">: 25 mg/kg 2–4 times a day (max. per dose 1 g 4 times a day) </w:t>
            </w:r>
          </w:p>
          <w:p w14:paraId="09862FE0" w14:textId="77777777" w:rsidR="007B485D" w:rsidRPr="00727DFA" w:rsidRDefault="007B485D" w:rsidP="002D6DD7">
            <w:pPr>
              <w:adjustRightInd w:val="0"/>
              <w:jc w:val="both"/>
              <w:rPr>
                <w:rFonts w:eastAsia="DengXian"/>
                <w:szCs w:val="24"/>
              </w:rPr>
            </w:pPr>
            <w:r w:rsidRPr="00727DFA">
              <w:rPr>
                <w:rFonts w:eastAsia="DengXian"/>
                <w:b/>
                <w:szCs w:val="24"/>
              </w:rPr>
              <w:t>Child 12–17 years</w:t>
            </w:r>
            <w:r w:rsidRPr="00727DFA">
              <w:rPr>
                <w:rFonts w:eastAsia="DengXian"/>
                <w:szCs w:val="24"/>
              </w:rPr>
              <w:t>: 1–1.5 g 3–4 times a day</w:t>
            </w:r>
          </w:p>
          <w:p w14:paraId="7BE765A2" w14:textId="77777777" w:rsidR="007B485D" w:rsidRPr="00727DFA" w:rsidRDefault="007B485D" w:rsidP="002D6DD7">
            <w:pPr>
              <w:adjustRightInd w:val="0"/>
              <w:jc w:val="both"/>
              <w:rPr>
                <w:rFonts w:eastAsia="DengXian"/>
                <w:szCs w:val="24"/>
              </w:rPr>
            </w:pPr>
            <w:r w:rsidRPr="00727DFA">
              <w:rPr>
                <w:rFonts w:eastAsia="DengXian"/>
                <w:b/>
                <w:szCs w:val="24"/>
              </w:rPr>
              <w:t>Adult</w:t>
            </w:r>
            <w:r w:rsidRPr="00727DFA">
              <w:rPr>
                <w:rFonts w:eastAsia="DengXian"/>
                <w:szCs w:val="24"/>
              </w:rPr>
              <w:t>: 250 mg every 6 hours, alternatively 500 mg every 8–12 hours; increased to 1–1.5 g every 6–8 hours, increased dose to be used for severe infections</w:t>
            </w:r>
          </w:p>
          <w:p w14:paraId="77330011" w14:textId="77777777" w:rsidR="007B485D" w:rsidRPr="00727DFA" w:rsidRDefault="007B485D" w:rsidP="002D6DD7">
            <w:pPr>
              <w:adjustRightInd w:val="0"/>
              <w:jc w:val="both"/>
              <w:rPr>
                <w:rFonts w:eastAsia="DengXian"/>
                <w:b/>
                <w:szCs w:val="24"/>
              </w:rPr>
            </w:pPr>
            <w:r w:rsidRPr="00727DFA">
              <w:rPr>
                <w:rFonts w:eastAsia="DengXian"/>
                <w:b/>
                <w:bCs/>
                <w:szCs w:val="24"/>
              </w:rPr>
              <w:t xml:space="preserve">Hospital-acquired pneumonia/Acute diverticulitis [in Combination with metronidazole]; </w:t>
            </w:r>
            <w:r w:rsidRPr="00727DFA">
              <w:rPr>
                <w:rFonts w:eastAsia="DengXian"/>
                <w:b/>
                <w:szCs w:val="24"/>
              </w:rPr>
              <w:t>Oral:</w:t>
            </w:r>
          </w:p>
          <w:p w14:paraId="7A969511" w14:textId="77777777" w:rsidR="007B485D" w:rsidRPr="00727DFA" w:rsidRDefault="007B485D" w:rsidP="002D6DD7">
            <w:pPr>
              <w:adjustRightInd w:val="0"/>
              <w:jc w:val="both"/>
              <w:rPr>
                <w:rFonts w:eastAsia="DengXian"/>
                <w:szCs w:val="24"/>
              </w:rPr>
            </w:pPr>
            <w:r w:rsidRPr="00727DFA">
              <w:rPr>
                <w:rFonts w:eastAsia="DengXian"/>
                <w:b/>
                <w:szCs w:val="24"/>
              </w:rPr>
              <w:t>Adult</w:t>
            </w:r>
            <w:r w:rsidRPr="00727DFA">
              <w:rPr>
                <w:rFonts w:eastAsia="DengXian"/>
                <w:szCs w:val="24"/>
              </w:rPr>
              <w:t>: 500 mg 2–3 times a day; use increased dose in severe infection</w:t>
            </w:r>
          </w:p>
          <w:p w14:paraId="7DE1A7FB" w14:textId="77777777" w:rsidR="007B485D" w:rsidRPr="00727DFA" w:rsidRDefault="007B485D" w:rsidP="002D6DD7">
            <w:pPr>
              <w:adjustRightInd w:val="0"/>
              <w:jc w:val="both"/>
              <w:rPr>
                <w:rFonts w:eastAsia="DengXian"/>
                <w:b/>
                <w:szCs w:val="24"/>
              </w:rPr>
            </w:pPr>
            <w:r w:rsidRPr="00727DFA">
              <w:rPr>
                <w:rFonts w:eastAsia="DengXian"/>
                <w:b/>
                <w:bCs/>
                <w:szCs w:val="24"/>
              </w:rPr>
              <w:t xml:space="preserve">Prophylaxis of recurrent urinary-tract infection; </w:t>
            </w:r>
            <w:r w:rsidRPr="00727DFA">
              <w:rPr>
                <w:rFonts w:eastAsia="DengXian"/>
                <w:b/>
                <w:szCs w:val="24"/>
              </w:rPr>
              <w:t xml:space="preserve">Oral: </w:t>
            </w:r>
          </w:p>
          <w:p w14:paraId="54F63D4C" w14:textId="77777777" w:rsidR="007B485D" w:rsidRPr="00727DFA" w:rsidRDefault="007B485D" w:rsidP="002D6DD7">
            <w:pPr>
              <w:adjustRightInd w:val="0"/>
              <w:jc w:val="both"/>
              <w:rPr>
                <w:rFonts w:eastAsia="DengXian"/>
                <w:szCs w:val="24"/>
              </w:rPr>
            </w:pPr>
            <w:r w:rsidRPr="00727DFA">
              <w:rPr>
                <w:rFonts w:eastAsia="DengXian"/>
                <w:b/>
                <w:szCs w:val="24"/>
              </w:rPr>
              <w:t>Child 3 months–15 years</w:t>
            </w:r>
            <w:r w:rsidRPr="00727DFA">
              <w:rPr>
                <w:rFonts w:eastAsia="DengXian"/>
                <w:szCs w:val="24"/>
              </w:rPr>
              <w:t xml:space="preserve">: 12.5 mg/kg once daily (max. per dose 125 mg), dose to be taken at night, Child 16–17 years: 125 mg once daily, dose to be taken at night, alternatively 500 mg for 1 dose, following exposure to a trigger </w:t>
            </w:r>
          </w:p>
          <w:p w14:paraId="059A62DB" w14:textId="77777777" w:rsidR="007B485D" w:rsidRPr="00727DFA" w:rsidRDefault="007B485D" w:rsidP="002D6DD7">
            <w:pPr>
              <w:adjustRightInd w:val="0"/>
              <w:jc w:val="both"/>
              <w:rPr>
                <w:rFonts w:eastAsia="DengXian"/>
                <w:szCs w:val="24"/>
              </w:rPr>
            </w:pPr>
            <w:r w:rsidRPr="00727DFA">
              <w:rPr>
                <w:rFonts w:eastAsia="DengXian"/>
                <w:b/>
                <w:szCs w:val="24"/>
              </w:rPr>
              <w:t>Adult</w:t>
            </w:r>
            <w:r w:rsidRPr="00727DFA">
              <w:rPr>
                <w:rFonts w:eastAsia="DengXian"/>
                <w:szCs w:val="24"/>
              </w:rPr>
              <w:t>: 125 mg once daily, dose to be taken at night, alternatively 500 mg for 1 dose, following exposure to a trigger</w:t>
            </w:r>
          </w:p>
          <w:p w14:paraId="0ECF21A9" w14:textId="77777777" w:rsidR="007B485D" w:rsidRPr="00727DFA" w:rsidRDefault="007B485D" w:rsidP="002D6DD7">
            <w:pPr>
              <w:adjustRightInd w:val="0"/>
              <w:jc w:val="both"/>
              <w:rPr>
                <w:rFonts w:eastAsia="DengXian"/>
                <w:szCs w:val="24"/>
              </w:rPr>
            </w:pPr>
            <w:r w:rsidRPr="00727DFA">
              <w:rPr>
                <w:rFonts w:eastAsia="DengXian"/>
                <w:b/>
                <w:bCs/>
                <w:szCs w:val="24"/>
              </w:rPr>
              <w:t xml:space="preserve">Acute pyelonephritis/Urinary-tract infection (catheter associated); </w:t>
            </w:r>
            <w:r w:rsidRPr="00727DFA">
              <w:rPr>
                <w:rFonts w:eastAsia="DengXian"/>
                <w:b/>
                <w:szCs w:val="24"/>
              </w:rPr>
              <w:t>Oral:</w:t>
            </w:r>
            <w:r w:rsidRPr="00727DFA">
              <w:rPr>
                <w:rFonts w:eastAsia="DengXian"/>
                <w:szCs w:val="24"/>
              </w:rPr>
              <w:t xml:space="preserve"> </w:t>
            </w:r>
          </w:p>
          <w:p w14:paraId="3B4B096A" w14:textId="77777777" w:rsidR="007B485D" w:rsidRPr="00727DFA" w:rsidRDefault="007B485D" w:rsidP="002D6DD7">
            <w:pPr>
              <w:adjustRightInd w:val="0"/>
              <w:jc w:val="both"/>
              <w:rPr>
                <w:rFonts w:eastAsia="DengXian"/>
                <w:szCs w:val="24"/>
              </w:rPr>
            </w:pPr>
            <w:r w:rsidRPr="00727DFA">
              <w:rPr>
                <w:rFonts w:eastAsia="DengXian"/>
                <w:b/>
                <w:bCs/>
                <w:szCs w:val="24"/>
              </w:rPr>
              <w:t>Child 3 months-11 years:</w:t>
            </w:r>
            <w:r w:rsidRPr="00727DFA">
              <w:rPr>
                <w:rFonts w:eastAsia="DengXian"/>
                <w:szCs w:val="24"/>
              </w:rPr>
              <w:t xml:space="preserve"> 12.5 mg/kg twice daily, increased if</w:t>
            </w:r>
            <w:r w:rsidRPr="00727DFA">
              <w:rPr>
                <w:rFonts w:eastAsia="DengXian"/>
                <w:b/>
                <w:szCs w:val="24"/>
              </w:rPr>
              <w:t xml:space="preserve"> </w:t>
            </w:r>
            <w:r w:rsidRPr="00727DFA">
              <w:rPr>
                <w:rFonts w:eastAsia="DengXian"/>
                <w:szCs w:val="24"/>
              </w:rPr>
              <w:t>necessary to 25 mg/kg 2–4 times a day (max. per dose</w:t>
            </w:r>
            <w:r w:rsidRPr="00727DFA">
              <w:rPr>
                <w:rFonts w:eastAsia="DengXian"/>
                <w:b/>
                <w:szCs w:val="24"/>
              </w:rPr>
              <w:t xml:space="preserve"> </w:t>
            </w:r>
            <w:r w:rsidRPr="00727DFA">
              <w:rPr>
                <w:rFonts w:eastAsia="DengXian"/>
                <w:szCs w:val="24"/>
              </w:rPr>
              <w:t>1 g 4 times a day), increased dose used in severe</w:t>
            </w:r>
            <w:r w:rsidRPr="00727DFA">
              <w:rPr>
                <w:rFonts w:eastAsia="DengXian"/>
                <w:b/>
                <w:szCs w:val="24"/>
              </w:rPr>
              <w:t xml:space="preserve"> </w:t>
            </w:r>
            <w:r w:rsidRPr="00727DFA">
              <w:rPr>
                <w:rFonts w:eastAsia="DengXian"/>
                <w:szCs w:val="24"/>
              </w:rPr>
              <w:t>infections</w:t>
            </w:r>
          </w:p>
          <w:p w14:paraId="48B50A1D" w14:textId="77777777" w:rsidR="007B485D" w:rsidRPr="00727DFA" w:rsidRDefault="007B485D" w:rsidP="002D6DD7">
            <w:pPr>
              <w:adjustRightInd w:val="0"/>
              <w:jc w:val="both"/>
              <w:rPr>
                <w:rFonts w:eastAsia="DengXian"/>
                <w:szCs w:val="24"/>
              </w:rPr>
            </w:pPr>
            <w:r w:rsidRPr="00727DFA">
              <w:rPr>
                <w:rFonts w:eastAsia="DengXian"/>
                <w:b/>
                <w:bCs/>
                <w:szCs w:val="24"/>
              </w:rPr>
              <w:t>Child 12–17 years:</w:t>
            </w:r>
            <w:r w:rsidRPr="00727DFA">
              <w:rPr>
                <w:rFonts w:eastAsia="DengXian"/>
                <w:szCs w:val="24"/>
              </w:rPr>
              <w:t xml:space="preserve"> 500 mg 2–3 times a day for 7 to 10 days; increased to 1–1.5 g 3–4 times a day, high dose used in severe infections</w:t>
            </w:r>
          </w:p>
          <w:p w14:paraId="6451D5DF"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500 mg 2–3 times a day, increased dose used in severe infections</w:t>
            </w:r>
          </w:p>
          <w:p w14:paraId="3286B5F6" w14:textId="77777777" w:rsidR="007B485D" w:rsidRPr="00727DFA" w:rsidRDefault="007B485D" w:rsidP="002D6DD7">
            <w:pPr>
              <w:adjustRightInd w:val="0"/>
              <w:jc w:val="both"/>
              <w:rPr>
                <w:rFonts w:eastAsia="DengXian"/>
                <w:szCs w:val="24"/>
              </w:rPr>
            </w:pPr>
            <w:r w:rsidRPr="00727DFA">
              <w:rPr>
                <w:rFonts w:eastAsia="DengXian"/>
                <w:b/>
                <w:bCs/>
                <w:szCs w:val="24"/>
              </w:rPr>
              <w:t xml:space="preserve">Lower urinary-tract infection; </w:t>
            </w:r>
            <w:r w:rsidRPr="00727DFA">
              <w:rPr>
                <w:rFonts w:eastAsia="DengXian"/>
                <w:b/>
                <w:szCs w:val="24"/>
              </w:rPr>
              <w:t>Oral:</w:t>
            </w:r>
            <w:r w:rsidRPr="00727DFA">
              <w:rPr>
                <w:rFonts w:eastAsia="DengXian"/>
                <w:szCs w:val="24"/>
              </w:rPr>
              <w:t xml:space="preserve"> </w:t>
            </w:r>
          </w:p>
          <w:p w14:paraId="74FF720F" w14:textId="77777777" w:rsidR="007B485D" w:rsidRPr="00727DFA" w:rsidRDefault="007B485D" w:rsidP="002D6DD7">
            <w:pPr>
              <w:adjustRightInd w:val="0"/>
              <w:jc w:val="both"/>
              <w:rPr>
                <w:rFonts w:eastAsia="DengXian"/>
                <w:szCs w:val="24"/>
              </w:rPr>
            </w:pPr>
            <w:r w:rsidRPr="00727DFA">
              <w:rPr>
                <w:rFonts w:eastAsia="DengXian"/>
                <w:b/>
                <w:szCs w:val="24"/>
              </w:rPr>
              <w:t>Child 3 months –11 years</w:t>
            </w:r>
            <w:r w:rsidRPr="00727DFA">
              <w:rPr>
                <w:rFonts w:eastAsia="DengXian"/>
                <w:szCs w:val="24"/>
              </w:rPr>
              <w:t xml:space="preserve">: 12.5 mg/kg twice daily, alternatively 125 mg twice daily for 3 days </w:t>
            </w:r>
          </w:p>
          <w:p w14:paraId="06C7A589" w14:textId="77777777" w:rsidR="007B485D" w:rsidRPr="00727DFA" w:rsidRDefault="007B485D" w:rsidP="002D6DD7">
            <w:pPr>
              <w:adjustRightInd w:val="0"/>
              <w:jc w:val="both"/>
              <w:rPr>
                <w:rFonts w:eastAsia="DengXian"/>
                <w:szCs w:val="24"/>
              </w:rPr>
            </w:pPr>
            <w:r w:rsidRPr="00727DFA">
              <w:rPr>
                <w:rFonts w:eastAsia="DengXian"/>
                <w:b/>
                <w:szCs w:val="24"/>
              </w:rPr>
              <w:t>Child 12–15 years</w:t>
            </w:r>
            <w:r w:rsidRPr="00727DFA">
              <w:rPr>
                <w:rFonts w:eastAsia="DengXian"/>
                <w:szCs w:val="24"/>
              </w:rPr>
              <w:t>: 500 mg twice daily for 3 days</w:t>
            </w:r>
          </w:p>
          <w:p w14:paraId="34262474" w14:textId="77777777" w:rsidR="007B485D" w:rsidRPr="00727DFA" w:rsidRDefault="007B485D" w:rsidP="002D6DD7">
            <w:pPr>
              <w:adjustRightInd w:val="0"/>
              <w:jc w:val="both"/>
              <w:rPr>
                <w:rFonts w:eastAsia="DengXian"/>
                <w:b/>
                <w:szCs w:val="24"/>
              </w:rPr>
            </w:pPr>
            <w:r w:rsidRPr="00727DFA">
              <w:rPr>
                <w:rFonts w:eastAsia="DengXian"/>
                <w:b/>
                <w:bCs/>
                <w:szCs w:val="24"/>
              </w:rPr>
              <w:lastRenderedPageBreak/>
              <w:t xml:space="preserve">Pregnant mothers: </w:t>
            </w:r>
            <w:r w:rsidRPr="00727DFA">
              <w:rPr>
                <w:rFonts w:eastAsia="DengXian"/>
                <w:szCs w:val="24"/>
              </w:rPr>
              <w:t>500 mg twice daily for 7 days</w:t>
            </w:r>
          </w:p>
          <w:p w14:paraId="36514C02" w14:textId="77777777" w:rsidR="007B485D" w:rsidRPr="00727DFA" w:rsidRDefault="007B485D" w:rsidP="002D6DD7">
            <w:pPr>
              <w:adjustRightInd w:val="0"/>
              <w:jc w:val="both"/>
              <w:rPr>
                <w:rFonts w:eastAsia="DengXian"/>
                <w:szCs w:val="24"/>
              </w:rPr>
            </w:pPr>
            <w:r w:rsidRPr="00727DFA">
              <w:rPr>
                <w:rFonts w:eastAsia="DengXian"/>
                <w:b/>
                <w:bCs/>
                <w:szCs w:val="24"/>
              </w:rPr>
              <w:t>Uncomplicated cystitis; Oral:</w:t>
            </w:r>
            <w:r w:rsidRPr="00727DFA">
              <w:rPr>
                <w:rFonts w:eastAsia="DengXian"/>
                <w:szCs w:val="24"/>
              </w:rPr>
              <w:t xml:space="preserve"> </w:t>
            </w:r>
          </w:p>
          <w:p w14:paraId="67DDC8B5"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500 mg every 12 hours for 7 - 14 days</w:t>
            </w:r>
          </w:p>
          <w:p w14:paraId="4269BBBE" w14:textId="77777777" w:rsidR="007B485D" w:rsidRPr="00727DFA" w:rsidRDefault="007B485D" w:rsidP="002D6DD7">
            <w:pPr>
              <w:adjustRightInd w:val="0"/>
              <w:jc w:val="both"/>
              <w:rPr>
                <w:rFonts w:eastAsia="DengXian"/>
                <w:szCs w:val="24"/>
              </w:rPr>
            </w:pPr>
            <w:r w:rsidRPr="00727DFA">
              <w:rPr>
                <w:rFonts w:eastAsia="DengXian"/>
                <w:b/>
                <w:bCs/>
                <w:szCs w:val="24"/>
              </w:rPr>
              <w:t>Streptococcal pharyngitis, skin infections; Oral:</w:t>
            </w:r>
            <w:r w:rsidRPr="00727DFA">
              <w:rPr>
                <w:rFonts w:eastAsia="DengXian"/>
                <w:szCs w:val="24"/>
              </w:rPr>
              <w:t xml:space="preserve"> </w:t>
            </w:r>
          </w:p>
          <w:p w14:paraId="6D5448C1"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500 mg every 12 hours</w:t>
            </w:r>
          </w:p>
          <w:p w14:paraId="5578010F" w14:textId="77777777" w:rsidR="007B485D" w:rsidRPr="00727DFA" w:rsidRDefault="007B485D" w:rsidP="002D6DD7">
            <w:pPr>
              <w:adjustRightInd w:val="0"/>
              <w:jc w:val="both"/>
              <w:rPr>
                <w:rFonts w:eastAsia="DengXian"/>
                <w:szCs w:val="24"/>
              </w:rPr>
            </w:pPr>
            <w:r w:rsidRPr="00727DFA">
              <w:rPr>
                <w:rFonts w:eastAsia="DengXian"/>
                <w:b/>
                <w:bCs/>
                <w:szCs w:val="24"/>
              </w:rPr>
              <w:t>Otitis media; Oral:</w:t>
            </w:r>
            <w:r w:rsidRPr="00727DFA">
              <w:rPr>
                <w:rFonts w:eastAsia="DengXian"/>
                <w:szCs w:val="24"/>
              </w:rPr>
              <w:t xml:space="preserve"> </w:t>
            </w:r>
          </w:p>
          <w:p w14:paraId="77CD7A7B" w14:textId="77777777" w:rsidR="007B485D" w:rsidRPr="00727DFA" w:rsidRDefault="007B485D" w:rsidP="002D6DD7">
            <w:pPr>
              <w:adjustRightInd w:val="0"/>
              <w:jc w:val="both"/>
              <w:rPr>
                <w:rFonts w:eastAsia="DengXian"/>
                <w:szCs w:val="24"/>
              </w:rPr>
            </w:pPr>
            <w:r>
              <w:rPr>
                <w:rFonts w:eastAsia="DengXian"/>
                <w:b/>
                <w:bCs/>
                <w:szCs w:val="24"/>
              </w:rPr>
              <w:t xml:space="preserve">Child and </w:t>
            </w:r>
            <w:r w:rsidRPr="00727DFA">
              <w:rPr>
                <w:rFonts w:eastAsia="DengXian"/>
                <w:b/>
                <w:bCs/>
                <w:szCs w:val="24"/>
              </w:rPr>
              <w:t>Adult:</w:t>
            </w:r>
            <w:r w:rsidRPr="00727DFA">
              <w:rPr>
                <w:rFonts w:eastAsia="DengXian"/>
                <w:szCs w:val="24"/>
              </w:rPr>
              <w:t xml:space="preserve"> 75 to 100mg/kg/day in 4 divided doses</w:t>
            </w:r>
          </w:p>
        </w:tc>
      </w:tr>
      <w:tr w:rsidR="007B485D" w:rsidRPr="00727DFA" w14:paraId="47A5978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9183900"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14FA624" w14:textId="77777777" w:rsidR="007B485D" w:rsidRPr="00727DFA" w:rsidRDefault="007B485D" w:rsidP="002D6DD7">
            <w:pPr>
              <w:jc w:val="both"/>
              <w:rPr>
                <w:rFonts w:eastAsia="DengXian"/>
                <w:szCs w:val="24"/>
              </w:rPr>
            </w:pPr>
            <w:r w:rsidRPr="00727DFA">
              <w:rPr>
                <w:rFonts w:eastAsia="DengXian"/>
                <w:szCs w:val="24"/>
              </w:rPr>
              <w:t>Hypersensitivity</w:t>
            </w:r>
            <w:r w:rsidRPr="00727DFA">
              <w:rPr>
                <w:rFonts w:eastAsia="DengXian"/>
                <w:spacing w:val="1"/>
                <w:szCs w:val="24"/>
              </w:rPr>
              <w:t xml:space="preserve"> </w:t>
            </w:r>
            <w:r w:rsidRPr="00727DFA">
              <w:rPr>
                <w:rFonts w:eastAsia="DengXian"/>
                <w:szCs w:val="24"/>
              </w:rPr>
              <w:t>to</w:t>
            </w:r>
            <w:r w:rsidRPr="00727DFA">
              <w:rPr>
                <w:rFonts w:eastAsia="DengXian"/>
                <w:spacing w:val="1"/>
                <w:szCs w:val="24"/>
              </w:rPr>
              <w:t xml:space="preserve"> </w:t>
            </w:r>
            <w:r>
              <w:rPr>
                <w:rFonts w:eastAsia="DengXian"/>
                <w:szCs w:val="24"/>
              </w:rPr>
              <w:t>the drug</w:t>
            </w:r>
            <w:r w:rsidRPr="00727DFA">
              <w:rPr>
                <w:rFonts w:eastAsia="DengXian"/>
                <w:spacing w:val="1"/>
                <w:szCs w:val="24"/>
              </w:rPr>
              <w:t xml:space="preserve"> </w:t>
            </w:r>
            <w:r w:rsidRPr="00727DFA">
              <w:rPr>
                <w:rFonts w:eastAsia="DengXian"/>
                <w:szCs w:val="24"/>
              </w:rPr>
              <w:t>or</w:t>
            </w:r>
            <w:r>
              <w:rPr>
                <w:rFonts w:eastAsia="DengXian"/>
                <w:szCs w:val="24"/>
              </w:rPr>
              <w:t xml:space="preserve"> other</w:t>
            </w:r>
            <w:r w:rsidRPr="00727DFA">
              <w:rPr>
                <w:rFonts w:eastAsia="DengXian"/>
                <w:spacing w:val="1"/>
                <w:szCs w:val="24"/>
              </w:rPr>
              <w:t xml:space="preserve"> </w:t>
            </w:r>
            <w:r w:rsidRPr="00727DFA">
              <w:rPr>
                <w:rFonts w:eastAsia="DengXian"/>
                <w:szCs w:val="24"/>
              </w:rPr>
              <w:t>penicillin</w:t>
            </w:r>
            <w:r>
              <w:rPr>
                <w:rFonts w:eastAsia="DengXian"/>
                <w:szCs w:val="24"/>
              </w:rPr>
              <w:t xml:space="preserve">s or </w:t>
            </w:r>
            <w:r w:rsidRPr="00727DFA">
              <w:rPr>
                <w:rFonts w:eastAsia="DengXian"/>
                <w:szCs w:val="24"/>
              </w:rPr>
              <w:t>cephalosporins, acute porphyria</w:t>
            </w:r>
            <w:r>
              <w:rPr>
                <w:rFonts w:eastAsia="DengXian"/>
                <w:szCs w:val="24"/>
              </w:rPr>
              <w:t>.</w:t>
            </w:r>
          </w:p>
        </w:tc>
      </w:tr>
      <w:tr w:rsidR="007B485D" w:rsidRPr="00727DFA" w14:paraId="108610F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6B412AE"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53D6CDC" w14:textId="77777777" w:rsidR="007B485D" w:rsidRPr="00727DFA" w:rsidRDefault="007B485D" w:rsidP="002D6DD7">
            <w:pPr>
              <w:jc w:val="both"/>
              <w:rPr>
                <w:rFonts w:eastAsia="DengXian"/>
                <w:szCs w:val="24"/>
              </w:rPr>
            </w:pPr>
            <w:r w:rsidRPr="00727DFA">
              <w:rPr>
                <w:rFonts w:eastAsia="DengXian"/>
                <w:szCs w:val="24"/>
              </w:rPr>
              <w:t xml:space="preserve">Probenecid, </w:t>
            </w:r>
            <w:r>
              <w:rPr>
                <w:rFonts w:eastAsia="DengXian"/>
                <w:szCs w:val="24"/>
              </w:rPr>
              <w:t xml:space="preserve">live cholera vaccine, </w:t>
            </w:r>
            <w:r w:rsidRPr="00727DFA">
              <w:rPr>
                <w:rFonts w:eastAsia="DengXian"/>
                <w:szCs w:val="24"/>
              </w:rPr>
              <w:t>aminoglycosides</w:t>
            </w:r>
            <w:r>
              <w:rPr>
                <w:rFonts w:eastAsia="DengXian"/>
                <w:szCs w:val="24"/>
              </w:rPr>
              <w:t>,</w:t>
            </w:r>
            <w:r w:rsidRPr="00727DFA">
              <w:rPr>
                <w:rFonts w:eastAsia="DengXian"/>
                <w:szCs w:val="24"/>
              </w:rPr>
              <w:t xml:space="preserve"> metformin</w:t>
            </w:r>
            <w:r>
              <w:rPr>
                <w:rFonts w:eastAsia="DengXian"/>
                <w:szCs w:val="24"/>
              </w:rPr>
              <w:t>.</w:t>
            </w:r>
          </w:p>
        </w:tc>
      </w:tr>
      <w:tr w:rsidR="007B485D" w:rsidRPr="00727DFA" w14:paraId="6D16512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2465DF4"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08F1B47" w14:textId="77777777" w:rsidR="007B485D" w:rsidRPr="00727DFA" w:rsidRDefault="007B485D" w:rsidP="002D6DD7">
            <w:pPr>
              <w:jc w:val="both"/>
              <w:rPr>
                <w:szCs w:val="24"/>
              </w:rPr>
            </w:pPr>
            <w:r w:rsidRPr="00727DFA">
              <w:rPr>
                <w:szCs w:val="24"/>
              </w:rPr>
              <w:t xml:space="preserve">Nausea, vomiting, diarrhea, dyspepsia, transient hepatitis, cholestatic jaundice, agitation, joint disorders, arthritis, confusion, fungal infection, vaginal discharge, genital pruritus, hypersensitivity, fatigue, hallucination, headache, slight elevation in </w:t>
            </w:r>
            <w:r>
              <w:rPr>
                <w:szCs w:val="24"/>
              </w:rPr>
              <w:t>liver enzymes.</w:t>
            </w:r>
          </w:p>
        </w:tc>
      </w:tr>
      <w:tr w:rsidR="007B485D" w:rsidRPr="00727DFA" w14:paraId="2957F33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C3343C5"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5BB9BE2" w14:textId="77777777" w:rsidR="007B485D" w:rsidRPr="00727DFA" w:rsidRDefault="007B485D" w:rsidP="002D6DD7">
            <w:pPr>
              <w:jc w:val="both"/>
              <w:rPr>
                <w:rFonts w:eastAsia="DengXian"/>
                <w:szCs w:val="24"/>
              </w:rPr>
            </w:pPr>
            <w:r w:rsidRPr="00727DFA">
              <w:rPr>
                <w:rFonts w:eastAsia="DengXian"/>
                <w:szCs w:val="24"/>
              </w:rPr>
              <w:t>Severe</w:t>
            </w:r>
            <w:r w:rsidRPr="00727DFA">
              <w:rPr>
                <w:rFonts w:eastAsia="DengXian"/>
                <w:spacing w:val="-3"/>
                <w:szCs w:val="24"/>
              </w:rPr>
              <w:t xml:space="preserve"> </w:t>
            </w:r>
            <w:r w:rsidRPr="00727DFA">
              <w:rPr>
                <w:rFonts w:eastAsia="DengXian"/>
                <w:szCs w:val="24"/>
              </w:rPr>
              <w:t>renal</w:t>
            </w:r>
            <w:r w:rsidRPr="00727DFA">
              <w:rPr>
                <w:rFonts w:eastAsia="DengXian"/>
                <w:spacing w:val="-2"/>
                <w:szCs w:val="24"/>
              </w:rPr>
              <w:t xml:space="preserve"> </w:t>
            </w:r>
            <w:r w:rsidRPr="00727DFA">
              <w:rPr>
                <w:rFonts w:eastAsia="DengXian"/>
                <w:szCs w:val="24"/>
              </w:rPr>
              <w:t>impairment, penicillin allergy</w:t>
            </w:r>
            <w:r>
              <w:rPr>
                <w:rFonts w:eastAsia="DengXian"/>
                <w:szCs w:val="24"/>
              </w:rPr>
              <w:t xml:space="preserve"> or </w:t>
            </w:r>
            <w:r w:rsidRPr="00727DFA">
              <w:rPr>
                <w:rFonts w:eastAsia="DengXian"/>
                <w:szCs w:val="24"/>
              </w:rPr>
              <w:t xml:space="preserve">sensitivity to β-lactam antibacterials, pregnancy, </w:t>
            </w:r>
            <w:r>
              <w:rPr>
                <w:rFonts w:eastAsia="DengXian"/>
                <w:szCs w:val="24"/>
              </w:rPr>
              <w:t>breastfeeding</w:t>
            </w:r>
            <w:r w:rsidRPr="00727DFA">
              <w:rPr>
                <w:rFonts w:eastAsia="DengXian"/>
                <w:szCs w:val="24"/>
              </w:rPr>
              <w:t>, false positive urinary glucose and false positive Coombs’ test, poor nutritional status</w:t>
            </w:r>
            <w:r>
              <w:rPr>
                <w:rFonts w:eastAsia="DengXian"/>
                <w:szCs w:val="24"/>
              </w:rPr>
              <w:t>.</w:t>
            </w:r>
          </w:p>
        </w:tc>
      </w:tr>
      <w:tr w:rsidR="007B485D" w:rsidRPr="00727DFA" w14:paraId="0B8E40F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E1B1F3D"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18A23D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30⁰C, away from light and moisture</w:t>
            </w:r>
            <w:r>
              <w:rPr>
                <w:rFonts w:eastAsia="Times New Roman"/>
                <w:szCs w:val="24"/>
              </w:rPr>
              <w:t>.</w:t>
            </w:r>
          </w:p>
        </w:tc>
      </w:tr>
      <w:tr w:rsidR="007B485D" w:rsidRPr="00727DFA" w14:paraId="50B2A1B9"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B5FAE67" w14:textId="77777777" w:rsidR="007B485D" w:rsidRPr="00727DFA" w:rsidRDefault="007B485D" w:rsidP="002D6DD7">
            <w:pPr>
              <w:jc w:val="both"/>
              <w:rPr>
                <w:rFonts w:eastAsia="DengXian"/>
                <w:b/>
                <w:szCs w:val="24"/>
              </w:rPr>
            </w:pPr>
            <w:r w:rsidRPr="00727DFA">
              <w:rPr>
                <w:rFonts w:eastAsia="DengXian"/>
                <w:b/>
                <w:szCs w:val="24"/>
              </w:rPr>
              <w:t xml:space="preserve">Cefazolin </w:t>
            </w:r>
            <w:r w:rsidRPr="00873AF2">
              <w:rPr>
                <w:rFonts w:eastAsia="DengXian"/>
                <w:b/>
                <w:szCs w:val="24"/>
              </w:rPr>
              <w:t>(Access)</w:t>
            </w:r>
          </w:p>
        </w:tc>
      </w:tr>
      <w:tr w:rsidR="007B485D" w:rsidRPr="00727DFA" w14:paraId="33E1CF3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FF31D3B"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CB55745" w14:textId="77777777" w:rsidR="007B485D" w:rsidRPr="00727DFA" w:rsidRDefault="007B485D" w:rsidP="002D6DD7">
            <w:pPr>
              <w:jc w:val="both"/>
              <w:rPr>
                <w:rFonts w:eastAsia="DengXian"/>
                <w:szCs w:val="24"/>
              </w:rPr>
            </w:pPr>
            <w:r w:rsidRPr="00727DFA">
              <w:rPr>
                <w:rFonts w:eastAsia="DengXian"/>
                <w:szCs w:val="24"/>
              </w:rPr>
              <w:t xml:space="preserve">First generation cephalosporin </w:t>
            </w:r>
          </w:p>
        </w:tc>
      </w:tr>
      <w:tr w:rsidR="007B485D" w:rsidRPr="00727DFA" w14:paraId="4239402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8D6CF42"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3DA2138" w14:textId="77777777" w:rsidR="007B485D" w:rsidRPr="00727DFA" w:rsidRDefault="007B485D" w:rsidP="002D6DD7">
            <w:pPr>
              <w:jc w:val="both"/>
              <w:rPr>
                <w:rFonts w:eastAsia="DengXian"/>
                <w:szCs w:val="24"/>
              </w:rPr>
            </w:pPr>
            <w:r w:rsidRPr="00727DFA">
              <w:rPr>
                <w:rFonts w:eastAsia="DengXian"/>
                <w:szCs w:val="24"/>
              </w:rPr>
              <w:t>Powder for Injection: 500mg, 1g, 2g</w:t>
            </w:r>
          </w:p>
        </w:tc>
      </w:tr>
      <w:tr w:rsidR="007B485D" w:rsidRPr="00727DFA" w14:paraId="2CF1C8E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95E0336"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16AE0490" w14:textId="77777777" w:rsidR="007B485D" w:rsidRPr="00727DFA" w:rsidRDefault="007B485D" w:rsidP="002D6DD7">
            <w:pPr>
              <w:jc w:val="both"/>
              <w:rPr>
                <w:rFonts w:eastAsia="DengXian"/>
                <w:szCs w:val="24"/>
              </w:rPr>
            </w:pPr>
            <w:r w:rsidRPr="00727DFA">
              <w:rPr>
                <w:rFonts w:eastAsia="DengXian"/>
                <w:szCs w:val="24"/>
              </w:rPr>
              <w:t>Surgical prophylaxis, respiratory tract infections, skin and soft tissue infection, genito-urinary tract infection, biliary tract infection, bone and joint infections, septicaemia</w:t>
            </w:r>
            <w:r>
              <w:rPr>
                <w:rFonts w:eastAsia="DengXian"/>
                <w:szCs w:val="24"/>
              </w:rPr>
              <w:t>.</w:t>
            </w:r>
          </w:p>
        </w:tc>
      </w:tr>
      <w:tr w:rsidR="007B485D" w:rsidRPr="00727DFA" w14:paraId="7313E6C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2B50F6C"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71D8358" w14:textId="77777777" w:rsidR="007B485D" w:rsidRPr="00727DFA" w:rsidRDefault="007B485D" w:rsidP="002D6DD7">
            <w:pPr>
              <w:jc w:val="both"/>
              <w:rPr>
                <w:rFonts w:eastAsia="DengXian"/>
                <w:b/>
                <w:bCs/>
                <w:szCs w:val="24"/>
              </w:rPr>
            </w:pPr>
            <w:r w:rsidRPr="00727DFA">
              <w:rPr>
                <w:rFonts w:eastAsia="DengXian"/>
                <w:b/>
                <w:bCs/>
                <w:szCs w:val="24"/>
              </w:rPr>
              <w:t xml:space="preserve">Surgical prophylaxis; </w:t>
            </w:r>
            <w:r w:rsidRPr="00873AF2">
              <w:rPr>
                <w:rFonts w:eastAsia="DengXian"/>
                <w:szCs w:val="24"/>
              </w:rPr>
              <w:t>IV injection, IV infusion or deep IM:</w:t>
            </w:r>
          </w:p>
          <w:p w14:paraId="12448A08"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1</w:t>
            </w:r>
            <w:r>
              <w:rPr>
                <w:rFonts w:eastAsia="DengXian"/>
                <w:szCs w:val="24"/>
              </w:rPr>
              <w:t>-2</w:t>
            </w:r>
            <w:r w:rsidRPr="00727DFA">
              <w:rPr>
                <w:rFonts w:eastAsia="DengXian"/>
                <w:szCs w:val="24"/>
              </w:rPr>
              <w:t xml:space="preserve"> g as a single dose</w:t>
            </w:r>
            <w:r>
              <w:rPr>
                <w:rFonts w:eastAsia="DengXian"/>
                <w:szCs w:val="24"/>
              </w:rPr>
              <w:t>, 60 minutes before procedure (may be repeated in 2-5 hours intraoperatively)</w:t>
            </w:r>
          </w:p>
          <w:p w14:paraId="6A701E2F"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25 mg/kg (maximum, 1 g) at induction of anesthesia, or after cord clamping in caesarean section, followed by 0.5–1 g </w:t>
            </w:r>
            <w:r w:rsidRPr="00727DFA">
              <w:rPr>
                <w:rFonts w:eastAsia="DengXian"/>
                <w:szCs w:val="24"/>
              </w:rPr>
              <w:lastRenderedPageBreak/>
              <w:t>during surgery for lengthy procedures (repeated if necessary) then 0.5–1 g every 6–8 hours after surgery for 24 hours</w:t>
            </w:r>
          </w:p>
          <w:p w14:paraId="6A42E3A3" w14:textId="77777777" w:rsidR="007B485D" w:rsidRPr="00727DFA" w:rsidRDefault="007B485D" w:rsidP="002D6DD7">
            <w:pPr>
              <w:autoSpaceDE w:val="0"/>
              <w:autoSpaceDN w:val="0"/>
              <w:adjustRightInd w:val="0"/>
              <w:jc w:val="both"/>
              <w:rPr>
                <w:rFonts w:eastAsia="DengXian"/>
                <w:szCs w:val="24"/>
              </w:rPr>
            </w:pPr>
            <w:r w:rsidRPr="00727DFA">
              <w:rPr>
                <w:rFonts w:eastAsia="DengXian"/>
                <w:b/>
                <w:bCs/>
                <w:szCs w:val="24"/>
              </w:rPr>
              <w:t xml:space="preserve">Respiratory tract, skin and soft tissue infections, genital, urinary tract, biliary tract, bone and joint infections, septicemia; </w:t>
            </w:r>
            <w:r w:rsidRPr="00873AF2">
              <w:rPr>
                <w:rFonts w:eastAsia="DengXian"/>
                <w:szCs w:val="24"/>
              </w:rPr>
              <w:t>IV injection, IV infusion or deep IM</w:t>
            </w:r>
            <w:r w:rsidRPr="00727DFA">
              <w:rPr>
                <w:rFonts w:eastAsia="DengXian"/>
                <w:b/>
                <w:bCs/>
                <w:szCs w:val="24"/>
              </w:rPr>
              <w:t>:</w:t>
            </w:r>
          </w:p>
          <w:p w14:paraId="2323DA01" w14:textId="77777777" w:rsidR="007B485D" w:rsidRPr="00727DFA" w:rsidRDefault="007B485D" w:rsidP="002D6DD7">
            <w:pPr>
              <w:autoSpaceDE w:val="0"/>
              <w:autoSpaceDN w:val="0"/>
              <w:adjustRightInd w:val="0"/>
              <w:jc w:val="both"/>
              <w:rPr>
                <w:rFonts w:eastAsia="DengXian"/>
                <w:szCs w:val="24"/>
              </w:rPr>
            </w:pPr>
            <w:r w:rsidRPr="00727DFA">
              <w:rPr>
                <w:rFonts w:eastAsia="DengXian"/>
                <w:b/>
                <w:szCs w:val="24"/>
              </w:rPr>
              <w:t>Adult:</w:t>
            </w:r>
            <w:r w:rsidRPr="00727DFA">
              <w:rPr>
                <w:rFonts w:eastAsia="DengXian"/>
                <w:szCs w:val="24"/>
              </w:rPr>
              <w:t xml:space="preserve"> 250 mg</w:t>
            </w:r>
            <w:r>
              <w:rPr>
                <w:rFonts w:eastAsia="DengXian"/>
                <w:szCs w:val="24"/>
              </w:rPr>
              <w:t>-</w:t>
            </w:r>
            <w:r w:rsidRPr="00727DFA">
              <w:rPr>
                <w:rFonts w:eastAsia="DengXian"/>
                <w:szCs w:val="24"/>
              </w:rPr>
              <w:t>2 g every 6–12 (usually 8) hours, depending on severity of infection, maximum dose</w:t>
            </w:r>
            <w:r>
              <w:rPr>
                <w:rFonts w:eastAsia="DengXian"/>
                <w:szCs w:val="24"/>
              </w:rPr>
              <w:t xml:space="preserve"> is</w:t>
            </w:r>
            <w:r w:rsidRPr="00727DFA">
              <w:rPr>
                <w:rFonts w:eastAsia="DengXian"/>
                <w:szCs w:val="24"/>
              </w:rPr>
              <w:t xml:space="preserve"> 12 g/day</w:t>
            </w:r>
            <w:r>
              <w:rPr>
                <w:rFonts w:eastAsia="DengXian"/>
                <w:szCs w:val="24"/>
              </w:rPr>
              <w:t>.</w:t>
            </w:r>
          </w:p>
          <w:p w14:paraId="316F2085" w14:textId="77777777" w:rsidR="007B485D" w:rsidRDefault="007B485D" w:rsidP="002D6DD7">
            <w:pPr>
              <w:autoSpaceDE w:val="0"/>
              <w:autoSpaceDN w:val="0"/>
              <w:adjustRightInd w:val="0"/>
              <w:jc w:val="both"/>
              <w:rPr>
                <w:rFonts w:eastAsia="DengXian"/>
                <w:szCs w:val="24"/>
              </w:rPr>
            </w:pPr>
            <w:r w:rsidRPr="00727DFA">
              <w:rPr>
                <w:rFonts w:eastAsia="DengXian"/>
                <w:b/>
                <w:szCs w:val="24"/>
              </w:rPr>
              <w:t>Child older than 1 month</w:t>
            </w:r>
            <w:r w:rsidRPr="00727DFA">
              <w:rPr>
                <w:rFonts w:eastAsia="DengXian"/>
                <w:szCs w:val="24"/>
              </w:rPr>
              <w:t xml:space="preserve">: 25–100 mg/kg/day divided every 6–8 hours, maximum: 6 g/day </w:t>
            </w:r>
          </w:p>
          <w:p w14:paraId="0F3F6516" w14:textId="77777777" w:rsidR="007B485D" w:rsidRDefault="007B485D" w:rsidP="002D6DD7">
            <w:pPr>
              <w:autoSpaceDE w:val="0"/>
              <w:autoSpaceDN w:val="0"/>
              <w:adjustRightInd w:val="0"/>
              <w:jc w:val="both"/>
              <w:rPr>
                <w:rFonts w:eastAsia="DengXian"/>
                <w:szCs w:val="24"/>
              </w:rPr>
            </w:pPr>
            <w:r w:rsidRPr="00873AF2">
              <w:rPr>
                <w:rFonts w:eastAsia="DengXian"/>
                <w:b/>
                <w:bCs/>
                <w:szCs w:val="24"/>
              </w:rPr>
              <w:t>Neonates</w:t>
            </w:r>
            <w:r>
              <w:rPr>
                <w:rFonts w:eastAsia="DengXian"/>
                <w:szCs w:val="24"/>
              </w:rPr>
              <w:t xml:space="preserve"> </w:t>
            </w:r>
            <w:r w:rsidRPr="00873AF2">
              <w:rPr>
                <w:rFonts w:eastAsia="DengXian"/>
                <w:b/>
                <w:bCs/>
                <w:szCs w:val="24"/>
              </w:rPr>
              <w:t>&lt; 7 days</w:t>
            </w:r>
            <w:r>
              <w:rPr>
                <w:rFonts w:eastAsia="DengXian"/>
                <w:szCs w:val="24"/>
              </w:rPr>
              <w:t>: 40mg/kg/day every 12 hours</w:t>
            </w:r>
          </w:p>
          <w:p w14:paraId="0E15BD82" w14:textId="77777777" w:rsidR="007B485D" w:rsidRPr="00727DFA" w:rsidRDefault="007B485D" w:rsidP="002D6DD7">
            <w:pPr>
              <w:autoSpaceDE w:val="0"/>
              <w:autoSpaceDN w:val="0"/>
              <w:adjustRightInd w:val="0"/>
              <w:jc w:val="both"/>
              <w:rPr>
                <w:rFonts w:eastAsia="DengXian"/>
                <w:szCs w:val="24"/>
              </w:rPr>
            </w:pPr>
            <w:r w:rsidRPr="00653C73">
              <w:rPr>
                <w:rFonts w:eastAsia="DengXian"/>
                <w:b/>
                <w:bCs/>
                <w:szCs w:val="24"/>
              </w:rPr>
              <w:t>Neonates</w:t>
            </w:r>
            <w:r w:rsidRPr="0063309C">
              <w:rPr>
                <w:rFonts w:eastAsia="DengXian"/>
                <w:b/>
                <w:bCs/>
                <w:szCs w:val="24"/>
              </w:rPr>
              <w:t xml:space="preserve"> </w:t>
            </w:r>
            <w:r w:rsidRPr="00873AF2">
              <w:rPr>
                <w:rFonts w:eastAsia="DengXian"/>
                <w:b/>
                <w:bCs/>
                <w:szCs w:val="24"/>
              </w:rPr>
              <w:t>&gt; 7 days</w:t>
            </w:r>
            <w:r>
              <w:rPr>
                <w:rFonts w:eastAsia="DengXian"/>
                <w:szCs w:val="24"/>
              </w:rPr>
              <w:t>: 40-60mg/kg/day every 8 hours</w:t>
            </w:r>
          </w:p>
        </w:tc>
      </w:tr>
      <w:tr w:rsidR="007B485D" w:rsidRPr="00727DFA" w14:paraId="665EEAB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D88AC11"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F3DF14C" w14:textId="77777777" w:rsidR="007B485D" w:rsidRPr="00727DFA" w:rsidRDefault="007B485D" w:rsidP="002D6DD7">
            <w:pPr>
              <w:jc w:val="both"/>
              <w:rPr>
                <w:rFonts w:eastAsia="DengXian"/>
                <w:szCs w:val="24"/>
              </w:rPr>
            </w:pPr>
            <w:r w:rsidRPr="00727DFA">
              <w:rPr>
                <w:rFonts w:eastAsia="DengXian"/>
                <w:szCs w:val="24"/>
              </w:rPr>
              <w:t>Hypersensitivity</w:t>
            </w:r>
            <w:r w:rsidRPr="00727DFA">
              <w:rPr>
                <w:rFonts w:eastAsia="DengXian"/>
                <w:spacing w:val="31"/>
                <w:szCs w:val="24"/>
              </w:rPr>
              <w:t xml:space="preserve"> </w:t>
            </w:r>
            <w:r w:rsidRPr="00727DFA">
              <w:rPr>
                <w:rFonts w:eastAsia="DengXian"/>
                <w:szCs w:val="24"/>
              </w:rPr>
              <w:t>to</w:t>
            </w:r>
            <w:r>
              <w:rPr>
                <w:rFonts w:eastAsia="DengXian"/>
                <w:szCs w:val="24"/>
              </w:rPr>
              <w:t xml:space="preserve"> the drug and other</w:t>
            </w:r>
            <w:r w:rsidRPr="00727DFA">
              <w:rPr>
                <w:rFonts w:eastAsia="DengXian"/>
                <w:spacing w:val="36"/>
                <w:szCs w:val="24"/>
              </w:rPr>
              <w:t xml:space="preserve"> </w:t>
            </w:r>
            <w:r w:rsidRPr="00727DFA">
              <w:rPr>
                <w:rFonts w:eastAsia="DengXian"/>
                <w:szCs w:val="24"/>
              </w:rPr>
              <w:t>cephalosporins</w:t>
            </w:r>
            <w:r>
              <w:rPr>
                <w:rFonts w:eastAsia="DengXian"/>
                <w:szCs w:val="24"/>
              </w:rPr>
              <w:t>.</w:t>
            </w:r>
          </w:p>
        </w:tc>
      </w:tr>
      <w:tr w:rsidR="007B485D" w:rsidRPr="00727DFA" w14:paraId="32750F3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26057B5"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511AF0B" w14:textId="77777777" w:rsidR="007B485D" w:rsidRPr="00727DFA" w:rsidRDefault="007B485D" w:rsidP="002D6DD7">
            <w:pPr>
              <w:jc w:val="both"/>
              <w:rPr>
                <w:rFonts w:eastAsia="DengXian"/>
                <w:szCs w:val="24"/>
              </w:rPr>
            </w:pPr>
            <w:r w:rsidRPr="00727DFA">
              <w:rPr>
                <w:rFonts w:eastAsia="DengXian"/>
                <w:szCs w:val="24"/>
              </w:rPr>
              <w:t>Rifampin, mycophenolate mofetil, live cholera vaccine, probenecid, aminoglycosides, warfarin</w:t>
            </w:r>
            <w:r>
              <w:rPr>
                <w:rFonts w:eastAsia="DengXian"/>
                <w:szCs w:val="24"/>
              </w:rPr>
              <w:t>, heparin, enoxaparin.</w:t>
            </w:r>
          </w:p>
        </w:tc>
      </w:tr>
      <w:tr w:rsidR="007B485D" w:rsidRPr="00727DFA" w14:paraId="3940C00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FD6739F"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11E7A25" w14:textId="77777777" w:rsidR="007B485D" w:rsidRPr="00727DFA" w:rsidRDefault="007B485D" w:rsidP="002D6DD7">
            <w:pPr>
              <w:jc w:val="both"/>
              <w:rPr>
                <w:rFonts w:eastAsia="DengXian"/>
                <w:szCs w:val="24"/>
              </w:rPr>
            </w:pPr>
            <w:r w:rsidRPr="00727DFA">
              <w:rPr>
                <w:rFonts w:eastAsia="DengXian"/>
                <w:szCs w:val="24"/>
              </w:rPr>
              <w:t>Fever,</w:t>
            </w:r>
            <w:r w:rsidRPr="00727DFA">
              <w:rPr>
                <w:rFonts w:eastAsia="DengXian"/>
                <w:spacing w:val="1"/>
                <w:szCs w:val="24"/>
              </w:rPr>
              <w:t xml:space="preserve"> </w:t>
            </w:r>
            <w:r w:rsidRPr="00727DFA">
              <w:rPr>
                <w:rFonts w:eastAsia="DengXian"/>
                <w:szCs w:val="24"/>
              </w:rPr>
              <w:t>seizure,</w:t>
            </w:r>
            <w:r w:rsidRPr="00727DFA">
              <w:rPr>
                <w:rFonts w:eastAsia="DengXian"/>
                <w:spacing w:val="1"/>
                <w:szCs w:val="24"/>
              </w:rPr>
              <w:t xml:space="preserve"> </w:t>
            </w:r>
            <w:r w:rsidRPr="00727DFA">
              <w:rPr>
                <w:rFonts w:eastAsia="DengXian"/>
                <w:szCs w:val="24"/>
              </w:rPr>
              <w:t>rash,</w:t>
            </w:r>
            <w:r w:rsidRPr="00727DFA">
              <w:rPr>
                <w:rFonts w:eastAsia="DengXian"/>
                <w:spacing w:val="1"/>
                <w:szCs w:val="24"/>
              </w:rPr>
              <w:t xml:space="preserve"> </w:t>
            </w:r>
            <w:r w:rsidRPr="00727DFA">
              <w:rPr>
                <w:rFonts w:eastAsia="DengXian"/>
                <w:szCs w:val="24"/>
              </w:rPr>
              <w:t>pruritus,</w:t>
            </w:r>
            <w:r w:rsidRPr="00727DFA">
              <w:rPr>
                <w:rFonts w:eastAsia="DengXian"/>
                <w:spacing w:val="1"/>
                <w:szCs w:val="24"/>
              </w:rPr>
              <w:t xml:space="preserve"> </w:t>
            </w:r>
            <w:r w:rsidRPr="00727DFA">
              <w:rPr>
                <w:rFonts w:eastAsia="DengXian"/>
                <w:szCs w:val="24"/>
              </w:rPr>
              <w:t>Stevens-Johnson</w:t>
            </w:r>
            <w:r w:rsidRPr="00727DFA">
              <w:rPr>
                <w:rFonts w:eastAsia="DengXian"/>
                <w:spacing w:val="1"/>
                <w:szCs w:val="24"/>
              </w:rPr>
              <w:t xml:space="preserve"> </w:t>
            </w:r>
            <w:r w:rsidRPr="00727DFA">
              <w:rPr>
                <w:rFonts w:eastAsia="DengXian"/>
                <w:szCs w:val="24"/>
              </w:rPr>
              <w:t>syndrome, diarrhea,</w:t>
            </w:r>
            <w:r w:rsidRPr="00727DFA">
              <w:rPr>
                <w:rFonts w:eastAsia="DengXian"/>
                <w:spacing w:val="1"/>
                <w:szCs w:val="24"/>
              </w:rPr>
              <w:t xml:space="preserve"> </w:t>
            </w:r>
            <w:r w:rsidRPr="00727DFA">
              <w:rPr>
                <w:rFonts w:eastAsia="DengXian"/>
                <w:szCs w:val="24"/>
              </w:rPr>
              <w:t>nausea,</w:t>
            </w:r>
            <w:r w:rsidRPr="00727DFA">
              <w:rPr>
                <w:rFonts w:eastAsia="DengXian"/>
                <w:spacing w:val="1"/>
                <w:szCs w:val="24"/>
              </w:rPr>
              <w:t xml:space="preserve"> </w:t>
            </w:r>
            <w:r w:rsidRPr="00727DFA">
              <w:rPr>
                <w:rFonts w:eastAsia="DengXian"/>
                <w:szCs w:val="24"/>
              </w:rPr>
              <w:t>vomiting,</w:t>
            </w:r>
            <w:r w:rsidRPr="00727DFA">
              <w:rPr>
                <w:rFonts w:eastAsia="DengXian"/>
                <w:spacing w:val="1"/>
                <w:szCs w:val="24"/>
              </w:rPr>
              <w:t xml:space="preserve"> </w:t>
            </w:r>
            <w:r w:rsidRPr="00727DFA">
              <w:rPr>
                <w:rFonts w:eastAsia="DengXian"/>
                <w:szCs w:val="24"/>
              </w:rPr>
              <w:t>abdominal</w:t>
            </w:r>
            <w:r w:rsidRPr="00727DFA">
              <w:rPr>
                <w:rFonts w:eastAsia="DengXian"/>
                <w:spacing w:val="1"/>
                <w:szCs w:val="24"/>
              </w:rPr>
              <w:t xml:space="preserve"> </w:t>
            </w:r>
            <w:r w:rsidRPr="00727DFA">
              <w:rPr>
                <w:rFonts w:eastAsia="DengXian"/>
                <w:szCs w:val="24"/>
              </w:rPr>
              <w:t>cramps,</w:t>
            </w:r>
            <w:r w:rsidRPr="00727DFA">
              <w:rPr>
                <w:rFonts w:eastAsia="DengXian"/>
                <w:spacing w:val="1"/>
                <w:szCs w:val="24"/>
              </w:rPr>
              <w:t xml:space="preserve"> </w:t>
            </w:r>
            <w:r w:rsidRPr="00727DFA">
              <w:rPr>
                <w:rFonts w:eastAsia="DengXian"/>
                <w:szCs w:val="24"/>
              </w:rPr>
              <w:t>anorexia, pseudomembranous colitis, oral candidiasis, vaginitis,</w:t>
            </w:r>
            <w:r w:rsidRPr="00727DFA">
              <w:rPr>
                <w:rFonts w:eastAsia="DengXian"/>
                <w:spacing w:val="1"/>
                <w:szCs w:val="24"/>
              </w:rPr>
              <w:t xml:space="preserve"> </w:t>
            </w:r>
            <w:r w:rsidRPr="00727DFA">
              <w:rPr>
                <w:rFonts w:eastAsia="DengXian"/>
                <w:szCs w:val="24"/>
              </w:rPr>
              <w:t>hepatitis,</w:t>
            </w:r>
            <w:r w:rsidRPr="00727DFA">
              <w:rPr>
                <w:rFonts w:eastAsia="DengXian"/>
                <w:spacing w:val="1"/>
                <w:szCs w:val="24"/>
              </w:rPr>
              <w:t xml:space="preserve"> </w:t>
            </w:r>
            <w:r w:rsidRPr="00727DFA">
              <w:rPr>
                <w:rFonts w:eastAsia="DengXian"/>
                <w:szCs w:val="24"/>
              </w:rPr>
              <w:t>eosinophilia,</w:t>
            </w:r>
            <w:r w:rsidRPr="00727DFA">
              <w:rPr>
                <w:rFonts w:eastAsia="DengXian"/>
                <w:spacing w:val="1"/>
                <w:szCs w:val="24"/>
              </w:rPr>
              <w:t xml:space="preserve"> </w:t>
            </w:r>
            <w:r w:rsidRPr="00727DFA">
              <w:rPr>
                <w:rFonts w:eastAsia="DengXian"/>
                <w:szCs w:val="24"/>
              </w:rPr>
              <w:t>neutropenia,</w:t>
            </w:r>
            <w:r w:rsidRPr="00727DFA">
              <w:rPr>
                <w:rFonts w:eastAsia="DengXian"/>
                <w:spacing w:val="1"/>
                <w:szCs w:val="24"/>
              </w:rPr>
              <w:t xml:space="preserve"> </w:t>
            </w:r>
            <w:r w:rsidRPr="00727DFA">
              <w:rPr>
                <w:rFonts w:eastAsia="DengXian"/>
                <w:szCs w:val="24"/>
              </w:rPr>
              <w:t>thrombocytopenia,</w:t>
            </w:r>
            <w:r w:rsidRPr="00727DFA">
              <w:rPr>
                <w:rFonts w:eastAsia="DengXian"/>
                <w:spacing w:val="-57"/>
                <w:szCs w:val="24"/>
              </w:rPr>
              <w:t xml:space="preserve"> </w:t>
            </w:r>
            <w:r w:rsidRPr="00727DFA">
              <w:rPr>
                <w:rFonts w:eastAsia="DengXian"/>
                <w:szCs w:val="24"/>
              </w:rPr>
              <w:t>leukopenia, pain at injection site, phlebitis, renal</w:t>
            </w:r>
            <w:r w:rsidRPr="00727DFA">
              <w:rPr>
                <w:rFonts w:eastAsia="DengXian"/>
                <w:spacing w:val="1"/>
                <w:szCs w:val="24"/>
              </w:rPr>
              <w:t xml:space="preserve"> </w:t>
            </w:r>
            <w:r w:rsidRPr="00727DFA">
              <w:rPr>
                <w:rFonts w:eastAsia="DengXian"/>
                <w:szCs w:val="24"/>
              </w:rPr>
              <w:t>failure</w:t>
            </w:r>
            <w:r>
              <w:rPr>
                <w:rFonts w:eastAsia="DengXian"/>
                <w:spacing w:val="-1"/>
                <w:szCs w:val="24"/>
              </w:rPr>
              <w:t xml:space="preserve">, transient increase in </w:t>
            </w:r>
            <w:r w:rsidRPr="00727DFA">
              <w:rPr>
                <w:rFonts w:eastAsia="DengXian"/>
                <w:szCs w:val="24"/>
              </w:rPr>
              <w:t>BUN,</w:t>
            </w:r>
            <w:r w:rsidRPr="00727DFA">
              <w:rPr>
                <w:rFonts w:eastAsia="DengXian"/>
                <w:spacing w:val="-1"/>
                <w:szCs w:val="24"/>
              </w:rPr>
              <w:t xml:space="preserve"> </w:t>
            </w:r>
            <w:r w:rsidRPr="00727DFA">
              <w:rPr>
                <w:rFonts w:eastAsia="DengXian"/>
                <w:szCs w:val="24"/>
              </w:rPr>
              <w:t>serum creatinine</w:t>
            </w:r>
            <w:r w:rsidRPr="00727DFA">
              <w:rPr>
                <w:rFonts w:eastAsia="DengXian"/>
                <w:spacing w:val="-2"/>
                <w:szCs w:val="24"/>
              </w:rPr>
              <w:t xml:space="preserve"> </w:t>
            </w:r>
            <w:r w:rsidRPr="00727DFA">
              <w:rPr>
                <w:rFonts w:eastAsia="DengXian"/>
                <w:szCs w:val="24"/>
              </w:rPr>
              <w:t>incre</w:t>
            </w:r>
            <w:r>
              <w:rPr>
                <w:rFonts w:eastAsia="DengXian"/>
                <w:szCs w:val="24"/>
              </w:rPr>
              <w:t>ment.</w:t>
            </w:r>
          </w:p>
        </w:tc>
      </w:tr>
      <w:tr w:rsidR="007B485D" w:rsidRPr="00727DFA" w14:paraId="75D9B7B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41467B3"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DDB019D" w14:textId="77777777" w:rsidR="007B485D" w:rsidRPr="00727DFA" w:rsidRDefault="007B485D" w:rsidP="002D6DD7">
            <w:pPr>
              <w:jc w:val="both"/>
              <w:rPr>
                <w:rFonts w:eastAsia="DengXian"/>
                <w:szCs w:val="24"/>
              </w:rPr>
            </w:pPr>
            <w:r w:rsidRPr="00727DFA">
              <w:rPr>
                <w:rFonts w:eastAsia="DengXian"/>
                <w:szCs w:val="24"/>
              </w:rPr>
              <w:t>Moderate to severe</w:t>
            </w:r>
            <w:r w:rsidRPr="00727DFA">
              <w:rPr>
                <w:rFonts w:eastAsia="DengXian"/>
                <w:spacing w:val="-2"/>
                <w:szCs w:val="24"/>
              </w:rPr>
              <w:t xml:space="preserve"> </w:t>
            </w:r>
            <w:r w:rsidRPr="00727DFA">
              <w:rPr>
                <w:rFonts w:eastAsia="DengXian"/>
                <w:szCs w:val="24"/>
              </w:rPr>
              <w:t>renal</w:t>
            </w:r>
            <w:r w:rsidRPr="00727DFA">
              <w:rPr>
                <w:rFonts w:eastAsia="DengXian"/>
                <w:spacing w:val="-2"/>
                <w:szCs w:val="24"/>
              </w:rPr>
              <w:t xml:space="preserve"> </w:t>
            </w:r>
            <w:r w:rsidRPr="00727DFA">
              <w:rPr>
                <w:rFonts w:eastAsia="DengXian"/>
                <w:szCs w:val="24"/>
              </w:rPr>
              <w:t>impairment, history</w:t>
            </w:r>
            <w:r w:rsidRPr="00727DFA">
              <w:rPr>
                <w:rFonts w:eastAsia="DengXian"/>
                <w:spacing w:val="-7"/>
                <w:szCs w:val="24"/>
              </w:rPr>
              <w:t xml:space="preserve"> </w:t>
            </w:r>
            <w:r w:rsidRPr="00727DFA">
              <w:rPr>
                <w:rFonts w:eastAsia="DengXian"/>
                <w:szCs w:val="24"/>
              </w:rPr>
              <w:t>of</w:t>
            </w:r>
            <w:r w:rsidRPr="00727DFA">
              <w:rPr>
                <w:rFonts w:eastAsia="DengXian"/>
                <w:spacing w:val="-2"/>
                <w:szCs w:val="24"/>
              </w:rPr>
              <w:t xml:space="preserve"> </w:t>
            </w:r>
            <w:r w:rsidRPr="00727DFA">
              <w:rPr>
                <w:rFonts w:eastAsia="DengXian"/>
                <w:szCs w:val="24"/>
              </w:rPr>
              <w:t>penicillin</w:t>
            </w:r>
            <w:r w:rsidRPr="00727DFA">
              <w:rPr>
                <w:rFonts w:eastAsia="DengXian"/>
                <w:spacing w:val="-2"/>
                <w:szCs w:val="24"/>
              </w:rPr>
              <w:t xml:space="preserve"> </w:t>
            </w:r>
            <w:r w:rsidRPr="00727DFA">
              <w:rPr>
                <w:rFonts w:eastAsia="DengXian"/>
                <w:szCs w:val="24"/>
              </w:rPr>
              <w:t>allergy, pregnancy, and breast-feeding, use may result in false positive urinary glucose and false positive Coombs’ test</w:t>
            </w:r>
            <w:r>
              <w:rPr>
                <w:rFonts w:eastAsia="DengXian"/>
                <w:szCs w:val="24"/>
              </w:rPr>
              <w:t>.</w:t>
            </w:r>
          </w:p>
        </w:tc>
      </w:tr>
      <w:tr w:rsidR="007B485D" w:rsidRPr="00727DFA" w14:paraId="30F3405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C6A56A7"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68B16B7" w14:textId="77777777" w:rsidR="007B485D" w:rsidRPr="00727DFA" w:rsidRDefault="007B485D" w:rsidP="002D6DD7">
            <w:pPr>
              <w:jc w:val="both"/>
              <w:rPr>
                <w:rFonts w:eastAsia="DengXian"/>
                <w:szCs w:val="24"/>
              </w:rPr>
            </w:pPr>
            <w:r w:rsidRPr="00727DFA">
              <w:rPr>
                <w:rFonts w:eastAsia="DengXian"/>
                <w:szCs w:val="24"/>
              </w:rPr>
              <w:t xml:space="preserve">Store below 30⁰C. </w:t>
            </w:r>
            <w:r>
              <w:rPr>
                <w:rFonts w:eastAsia="DengXian"/>
                <w:szCs w:val="24"/>
              </w:rPr>
              <w:t>Protect</w:t>
            </w:r>
            <w:r w:rsidRPr="00727DFA">
              <w:rPr>
                <w:rFonts w:eastAsia="DengXian"/>
                <w:szCs w:val="24"/>
              </w:rPr>
              <w:t xml:space="preserve"> from light and moisture</w:t>
            </w:r>
            <w:r>
              <w:rPr>
                <w:rFonts w:eastAsia="DengXian"/>
                <w:szCs w:val="24"/>
              </w:rPr>
              <w:t>.</w:t>
            </w:r>
            <w:r w:rsidRPr="00727DFA">
              <w:rPr>
                <w:rFonts w:eastAsia="DengXian"/>
                <w:szCs w:val="24"/>
              </w:rPr>
              <w:t xml:space="preserve"> </w:t>
            </w:r>
          </w:p>
        </w:tc>
      </w:tr>
      <w:tr w:rsidR="007B485D" w:rsidRPr="00727DFA" w14:paraId="1CDFCF0E"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EF87650" w14:textId="77777777" w:rsidR="007B485D" w:rsidRPr="00727DFA" w:rsidRDefault="007B485D" w:rsidP="002D6DD7">
            <w:pPr>
              <w:tabs>
                <w:tab w:val="left" w:pos="2370"/>
              </w:tabs>
              <w:jc w:val="both"/>
              <w:rPr>
                <w:rFonts w:eastAsia="DengXian"/>
                <w:szCs w:val="24"/>
              </w:rPr>
            </w:pPr>
            <w:r w:rsidRPr="00587263">
              <w:rPr>
                <w:rFonts w:eastAsia="DengXian"/>
                <w:b/>
                <w:bCs/>
                <w:szCs w:val="24"/>
              </w:rPr>
              <w:t xml:space="preserve">Cefepime </w:t>
            </w:r>
            <w:r w:rsidRPr="00873AF2">
              <w:rPr>
                <w:rFonts w:eastAsia="DengXian"/>
                <w:b/>
                <w:bCs/>
                <w:szCs w:val="24"/>
              </w:rPr>
              <w:t>(Watch)</w:t>
            </w:r>
            <w:r w:rsidRPr="00727DFA">
              <w:rPr>
                <w:rFonts w:eastAsia="DengXian"/>
                <w:szCs w:val="24"/>
              </w:rPr>
              <w:tab/>
            </w:r>
          </w:p>
        </w:tc>
      </w:tr>
      <w:tr w:rsidR="007B485D" w:rsidRPr="00727DFA" w14:paraId="194E92E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17067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B5F7D15" w14:textId="77777777" w:rsidR="007B485D" w:rsidRPr="00727DFA" w:rsidRDefault="007B485D" w:rsidP="002D6DD7">
            <w:pPr>
              <w:jc w:val="both"/>
              <w:rPr>
                <w:rFonts w:eastAsia="DengXian"/>
                <w:szCs w:val="24"/>
              </w:rPr>
            </w:pPr>
            <w:r w:rsidRPr="00727DFA">
              <w:rPr>
                <w:rFonts w:eastAsia="DengXian"/>
                <w:szCs w:val="24"/>
              </w:rPr>
              <w:t>Fourth generation cephalosporin</w:t>
            </w:r>
          </w:p>
        </w:tc>
      </w:tr>
      <w:tr w:rsidR="007B485D" w:rsidRPr="00727DFA" w14:paraId="0B485BB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6658C2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0BE2914" w14:textId="77777777" w:rsidR="007B485D" w:rsidRDefault="007B485D" w:rsidP="002D6DD7">
            <w:pPr>
              <w:jc w:val="both"/>
              <w:rPr>
                <w:rFonts w:eastAsia="Times New Roman"/>
                <w:szCs w:val="24"/>
              </w:rPr>
            </w:pPr>
            <w:r w:rsidRPr="00727DFA">
              <w:rPr>
                <w:rFonts w:eastAsia="Times New Roman"/>
                <w:szCs w:val="24"/>
              </w:rPr>
              <w:t xml:space="preserve">Powder for injection: 0.5g, 1 g, 2g </w:t>
            </w:r>
          </w:p>
          <w:p w14:paraId="0A3AC29B" w14:textId="77777777" w:rsidR="007B485D" w:rsidRPr="00727DFA" w:rsidRDefault="007B485D" w:rsidP="002D6DD7">
            <w:pPr>
              <w:jc w:val="both"/>
              <w:rPr>
                <w:rFonts w:eastAsia="DengXian"/>
                <w:szCs w:val="24"/>
              </w:rPr>
            </w:pPr>
            <w:r w:rsidRPr="00727DFA">
              <w:rPr>
                <w:rFonts w:eastAsia="Times New Roman"/>
                <w:szCs w:val="24"/>
              </w:rPr>
              <w:t>Infusion solution: 1g/50mL, 2g/100mL</w:t>
            </w:r>
          </w:p>
        </w:tc>
      </w:tr>
      <w:tr w:rsidR="007B485D" w:rsidRPr="00727DFA" w14:paraId="0358D9E2" w14:textId="77777777" w:rsidTr="002D6DD7">
        <w:trPr>
          <w:trHeight w:val="3680"/>
          <w:jc w:val="center"/>
        </w:trPr>
        <w:tc>
          <w:tcPr>
            <w:tcW w:w="2605" w:type="dxa"/>
            <w:tcBorders>
              <w:top w:val="single" w:sz="4" w:space="0" w:color="auto"/>
              <w:left w:val="single" w:sz="4" w:space="0" w:color="auto"/>
              <w:bottom w:val="single" w:sz="4" w:space="0" w:color="auto"/>
              <w:right w:val="single" w:sz="4" w:space="0" w:color="auto"/>
            </w:tcBorders>
            <w:hideMark/>
          </w:tcPr>
          <w:p w14:paraId="71F39083" w14:textId="77777777" w:rsidR="007B485D" w:rsidRPr="00727DFA" w:rsidRDefault="007B485D" w:rsidP="002D6DD7">
            <w:pPr>
              <w:jc w:val="both"/>
              <w:rPr>
                <w:rFonts w:eastAsia="DengXian"/>
                <w:b/>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27FBD64C"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bCs/>
                <w:szCs w:val="24"/>
              </w:rPr>
              <w:t>Lower respiratory tract infections:</w:t>
            </w:r>
            <w:r w:rsidRPr="00727DFA">
              <w:rPr>
                <w:rFonts w:eastAsia="Times New Roman"/>
                <w:szCs w:val="24"/>
              </w:rPr>
              <w:t xml:space="preserve"> Nosocomial and community acquired pneumonia caused by </w:t>
            </w:r>
            <w:r w:rsidRPr="00727DFA">
              <w:rPr>
                <w:rFonts w:eastAsia="Times New Roman"/>
                <w:i/>
                <w:iCs/>
                <w:szCs w:val="24"/>
              </w:rPr>
              <w:t>P. aeruginosa</w:t>
            </w:r>
            <w:r w:rsidRPr="00727DFA">
              <w:rPr>
                <w:rFonts w:eastAsia="Times New Roman"/>
                <w:szCs w:val="24"/>
              </w:rPr>
              <w:t xml:space="preserve">, </w:t>
            </w:r>
            <w:r w:rsidRPr="00727DFA">
              <w:rPr>
                <w:rFonts w:eastAsia="Times New Roman"/>
                <w:i/>
                <w:iCs/>
                <w:szCs w:val="24"/>
              </w:rPr>
              <w:t>S. pneumoniae</w:t>
            </w:r>
            <w:r w:rsidRPr="00727DFA">
              <w:rPr>
                <w:rFonts w:eastAsia="Times New Roman"/>
                <w:szCs w:val="24"/>
              </w:rPr>
              <w:t xml:space="preserve">, </w:t>
            </w:r>
            <w:r w:rsidRPr="00727DFA">
              <w:rPr>
                <w:rFonts w:eastAsia="Times New Roman"/>
                <w:i/>
                <w:iCs/>
                <w:szCs w:val="24"/>
              </w:rPr>
              <w:t>Escherichia coli</w:t>
            </w:r>
            <w:r w:rsidRPr="00727DFA">
              <w:rPr>
                <w:rFonts w:eastAsia="Times New Roman"/>
                <w:szCs w:val="24"/>
              </w:rPr>
              <w:t xml:space="preserve">, and </w:t>
            </w:r>
            <w:r w:rsidRPr="00727DFA">
              <w:rPr>
                <w:rFonts w:eastAsia="Times New Roman"/>
                <w:i/>
                <w:iCs/>
                <w:szCs w:val="24"/>
              </w:rPr>
              <w:t>H. influenzae</w:t>
            </w:r>
            <w:r w:rsidRPr="00873AF2">
              <w:rPr>
                <w:rFonts w:eastAsia="Times New Roman"/>
                <w:szCs w:val="24"/>
              </w:rPr>
              <w:t>;</w:t>
            </w:r>
            <w:r w:rsidRPr="00727DFA">
              <w:rPr>
                <w:rFonts w:eastAsia="Times New Roman"/>
                <w:i/>
                <w:iCs/>
                <w:szCs w:val="24"/>
              </w:rPr>
              <w:t xml:space="preserve"> </w:t>
            </w:r>
            <w:r w:rsidRPr="00873AF2">
              <w:rPr>
                <w:rFonts w:eastAsia="Times New Roman"/>
                <w:bCs/>
                <w:szCs w:val="24"/>
              </w:rPr>
              <w:t>Uncomplicated and complicated urinary tract infections</w:t>
            </w:r>
            <w:r w:rsidRPr="008F5502">
              <w:rPr>
                <w:rFonts w:eastAsia="Times New Roman"/>
                <w:bCs/>
                <w:szCs w:val="24"/>
              </w:rPr>
              <w:t xml:space="preserve">, </w:t>
            </w:r>
            <w:r w:rsidRPr="00727DFA">
              <w:rPr>
                <w:rFonts w:eastAsia="Times New Roman"/>
                <w:szCs w:val="24"/>
              </w:rPr>
              <w:t xml:space="preserve">including pyelonephritis caused by </w:t>
            </w:r>
            <w:r w:rsidRPr="00727DFA">
              <w:rPr>
                <w:rFonts w:eastAsia="Times New Roman"/>
                <w:i/>
                <w:iCs/>
                <w:szCs w:val="24"/>
              </w:rPr>
              <w:t>P. aeruginosa</w:t>
            </w:r>
            <w:r w:rsidRPr="00727DFA">
              <w:rPr>
                <w:rFonts w:eastAsia="Times New Roman"/>
                <w:szCs w:val="24"/>
              </w:rPr>
              <w:t xml:space="preserve">, </w:t>
            </w:r>
            <w:r w:rsidRPr="00727DFA">
              <w:rPr>
                <w:rFonts w:eastAsia="Times New Roman"/>
                <w:i/>
                <w:iCs/>
                <w:szCs w:val="24"/>
              </w:rPr>
              <w:t>E. coli</w:t>
            </w:r>
            <w:r w:rsidRPr="00727DFA">
              <w:rPr>
                <w:rFonts w:eastAsia="Times New Roman"/>
                <w:szCs w:val="24"/>
              </w:rPr>
              <w:t xml:space="preserve">, </w:t>
            </w:r>
            <w:r w:rsidRPr="00727DFA">
              <w:rPr>
                <w:rFonts w:eastAsia="Times New Roman"/>
                <w:i/>
                <w:iCs/>
                <w:szCs w:val="24"/>
              </w:rPr>
              <w:t>K. pneumoniae</w:t>
            </w:r>
            <w:r w:rsidRPr="00727DFA">
              <w:rPr>
                <w:rFonts w:eastAsia="Times New Roman"/>
                <w:szCs w:val="24"/>
              </w:rPr>
              <w:t xml:space="preserve">, and </w:t>
            </w:r>
            <w:r w:rsidRPr="00727DFA">
              <w:rPr>
                <w:rFonts w:eastAsia="Times New Roman"/>
                <w:i/>
                <w:iCs/>
                <w:szCs w:val="24"/>
              </w:rPr>
              <w:t>Proteus mirabills</w:t>
            </w:r>
            <w:r w:rsidRPr="00873AF2">
              <w:rPr>
                <w:rFonts w:eastAsia="Times New Roman"/>
                <w:szCs w:val="24"/>
              </w:rPr>
              <w:t>;</w:t>
            </w:r>
            <w:r w:rsidRPr="00727DFA">
              <w:rPr>
                <w:rFonts w:eastAsia="Times New Roman"/>
                <w:i/>
                <w:iCs/>
                <w:szCs w:val="24"/>
              </w:rPr>
              <w:t xml:space="preserve"> </w:t>
            </w:r>
            <w:r w:rsidRPr="00873AF2">
              <w:rPr>
                <w:rFonts w:eastAsia="Times New Roman"/>
                <w:bCs/>
                <w:szCs w:val="24"/>
              </w:rPr>
              <w:t>Skin and skin structure infections</w:t>
            </w:r>
            <w:r w:rsidRPr="00727DFA">
              <w:rPr>
                <w:rFonts w:eastAsia="Times New Roman"/>
                <w:szCs w:val="24"/>
              </w:rPr>
              <w:t xml:space="preserve"> caused by </w:t>
            </w:r>
            <w:r w:rsidRPr="00727DFA">
              <w:rPr>
                <w:rFonts w:eastAsia="Times New Roman"/>
                <w:i/>
                <w:iCs/>
                <w:szCs w:val="24"/>
              </w:rPr>
              <w:t>Staphylococcus aureus</w:t>
            </w:r>
            <w:r w:rsidRPr="00727DFA">
              <w:rPr>
                <w:rFonts w:eastAsia="Times New Roman"/>
                <w:szCs w:val="24"/>
              </w:rPr>
              <w:t xml:space="preserve"> (methicillin susceptible strains), </w:t>
            </w:r>
            <w:r w:rsidRPr="00727DFA">
              <w:rPr>
                <w:rFonts w:eastAsia="Times New Roman"/>
                <w:i/>
                <w:iCs/>
                <w:szCs w:val="24"/>
              </w:rPr>
              <w:t>Streptococcus pyogenes</w:t>
            </w:r>
            <w:r w:rsidRPr="00727DFA">
              <w:rPr>
                <w:rFonts w:eastAsia="Times New Roman"/>
                <w:szCs w:val="24"/>
              </w:rPr>
              <w:t xml:space="preserve">, and </w:t>
            </w:r>
            <w:r w:rsidRPr="00727DFA">
              <w:rPr>
                <w:rFonts w:eastAsia="Times New Roman"/>
                <w:i/>
                <w:iCs/>
                <w:szCs w:val="24"/>
              </w:rPr>
              <w:t>P. aeruginosa</w:t>
            </w:r>
            <w:r w:rsidRPr="00873AF2">
              <w:rPr>
                <w:rFonts w:eastAsia="Times New Roman"/>
                <w:szCs w:val="24"/>
              </w:rPr>
              <w:t>;</w:t>
            </w:r>
            <w:r w:rsidRPr="00727DFA">
              <w:rPr>
                <w:rFonts w:eastAsia="Times New Roman"/>
                <w:i/>
                <w:iCs/>
                <w:szCs w:val="24"/>
              </w:rPr>
              <w:t xml:space="preserve"> </w:t>
            </w:r>
            <w:r w:rsidRPr="00873AF2">
              <w:rPr>
                <w:rFonts w:eastAsia="Times New Roman"/>
                <w:bCs/>
                <w:szCs w:val="24"/>
              </w:rPr>
              <w:t>Peritonitis</w:t>
            </w:r>
            <w:r w:rsidRPr="00727DFA">
              <w:rPr>
                <w:rFonts w:eastAsia="Times New Roman"/>
                <w:szCs w:val="24"/>
              </w:rPr>
              <w:t xml:space="preserve"> due to gangrenous and perforated appendicitis caused by </w:t>
            </w:r>
            <w:r w:rsidRPr="00727DFA">
              <w:rPr>
                <w:rFonts w:eastAsia="Times New Roman"/>
                <w:i/>
                <w:iCs/>
                <w:szCs w:val="24"/>
              </w:rPr>
              <w:t>E. coli</w:t>
            </w:r>
            <w:r w:rsidRPr="00873AF2">
              <w:rPr>
                <w:rFonts w:eastAsia="Times New Roman"/>
                <w:szCs w:val="24"/>
              </w:rPr>
              <w:t>;</w:t>
            </w:r>
            <w:r w:rsidRPr="00727DFA">
              <w:rPr>
                <w:rFonts w:eastAsia="Times New Roman"/>
                <w:i/>
                <w:iCs/>
                <w:szCs w:val="24"/>
              </w:rPr>
              <w:t xml:space="preserve"> </w:t>
            </w:r>
            <w:r w:rsidRPr="00873AF2">
              <w:rPr>
                <w:rFonts w:eastAsia="Times New Roman"/>
                <w:bCs/>
                <w:szCs w:val="24"/>
              </w:rPr>
              <w:t>Bacterial septicemia</w:t>
            </w:r>
            <w:r w:rsidRPr="00727DFA">
              <w:rPr>
                <w:rFonts w:eastAsia="Times New Roman"/>
                <w:szCs w:val="24"/>
              </w:rPr>
              <w:t xml:space="preserve"> caused by </w:t>
            </w:r>
            <w:r w:rsidRPr="00727DFA">
              <w:rPr>
                <w:rFonts w:eastAsia="Times New Roman"/>
                <w:i/>
                <w:iCs/>
                <w:szCs w:val="24"/>
              </w:rPr>
              <w:t>E. coli</w:t>
            </w:r>
            <w:r w:rsidRPr="00727DFA">
              <w:rPr>
                <w:rFonts w:eastAsia="Times New Roman"/>
                <w:szCs w:val="24"/>
              </w:rPr>
              <w:t xml:space="preserve">, </w:t>
            </w:r>
            <w:r w:rsidRPr="00727DFA">
              <w:rPr>
                <w:rFonts w:eastAsia="Times New Roman"/>
                <w:i/>
                <w:iCs/>
                <w:szCs w:val="24"/>
              </w:rPr>
              <w:t>Streptococcus pneumoniae</w:t>
            </w:r>
            <w:r w:rsidRPr="00727DFA">
              <w:rPr>
                <w:rFonts w:eastAsia="Times New Roman"/>
                <w:szCs w:val="24"/>
              </w:rPr>
              <w:t xml:space="preserve"> and </w:t>
            </w:r>
            <w:r w:rsidRPr="00727DFA">
              <w:rPr>
                <w:rFonts w:eastAsia="Times New Roman"/>
                <w:i/>
                <w:iCs/>
                <w:szCs w:val="24"/>
              </w:rPr>
              <w:t>Klebsiella pneumoniae</w:t>
            </w:r>
            <w:r w:rsidRPr="00873AF2">
              <w:rPr>
                <w:rFonts w:eastAsia="Times New Roman"/>
                <w:szCs w:val="24"/>
              </w:rPr>
              <w:t>;</w:t>
            </w:r>
            <w:r w:rsidRPr="00727DFA">
              <w:rPr>
                <w:rFonts w:eastAsia="Times New Roman"/>
                <w:i/>
                <w:iCs/>
                <w:szCs w:val="24"/>
              </w:rPr>
              <w:t xml:space="preserve"> </w:t>
            </w:r>
            <w:r w:rsidRPr="00873AF2">
              <w:rPr>
                <w:rFonts w:eastAsia="Times New Roman"/>
                <w:bCs/>
                <w:szCs w:val="24"/>
              </w:rPr>
              <w:t>Empiric therapy in febrile neutropenic patients</w:t>
            </w:r>
            <w:r>
              <w:rPr>
                <w:rFonts w:eastAsia="Times New Roman"/>
                <w:bCs/>
                <w:szCs w:val="24"/>
              </w:rPr>
              <w:t>.</w:t>
            </w:r>
          </w:p>
        </w:tc>
      </w:tr>
      <w:tr w:rsidR="007B485D" w:rsidRPr="00727DFA" w14:paraId="0F2A1A8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2AB766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6E99227" w14:textId="77777777" w:rsidR="007B485D" w:rsidRPr="00727DFA" w:rsidRDefault="007B485D" w:rsidP="002D6DD7">
            <w:pPr>
              <w:jc w:val="both"/>
              <w:rPr>
                <w:rFonts w:eastAsia="DengXian"/>
                <w:b/>
                <w:szCs w:val="24"/>
              </w:rPr>
            </w:pPr>
            <w:r w:rsidRPr="00727DFA">
              <w:rPr>
                <w:rFonts w:eastAsia="DengXian"/>
                <w:b/>
                <w:bCs/>
                <w:szCs w:val="24"/>
              </w:rPr>
              <w:t>Usual dose; IV:</w:t>
            </w:r>
            <w:r w:rsidRPr="00727DFA">
              <w:rPr>
                <w:rFonts w:eastAsia="DengXian"/>
                <w:b/>
                <w:szCs w:val="24"/>
              </w:rPr>
              <w:t xml:space="preserve"> </w:t>
            </w:r>
          </w:p>
          <w:p w14:paraId="4998A202" w14:textId="77777777" w:rsidR="007B485D" w:rsidRPr="00727DFA" w:rsidRDefault="007B485D" w:rsidP="002D6DD7">
            <w:pPr>
              <w:jc w:val="both"/>
              <w:rPr>
                <w:rFonts w:eastAsia="DengXian"/>
                <w:szCs w:val="24"/>
              </w:rPr>
            </w:pPr>
            <w:r w:rsidRPr="00727DFA">
              <w:rPr>
                <w:rFonts w:eastAsia="DengXian"/>
                <w:b/>
                <w:szCs w:val="24"/>
              </w:rPr>
              <w:t>Adults</w:t>
            </w:r>
            <w:r w:rsidRPr="00727DFA">
              <w:rPr>
                <w:rFonts w:eastAsia="DengXian"/>
                <w:szCs w:val="24"/>
              </w:rPr>
              <w:t>: 1-2</w:t>
            </w:r>
            <w:r w:rsidRPr="00727DFA">
              <w:rPr>
                <w:rFonts w:eastAsia="DengXian"/>
                <w:spacing w:val="1"/>
                <w:szCs w:val="24"/>
              </w:rPr>
              <w:t xml:space="preserve"> </w:t>
            </w:r>
            <w:r w:rsidRPr="00727DFA">
              <w:rPr>
                <w:rFonts w:eastAsia="DengXian"/>
                <w:szCs w:val="24"/>
              </w:rPr>
              <w:t xml:space="preserve">gm/kg every </w:t>
            </w:r>
            <w:r>
              <w:rPr>
                <w:rFonts w:eastAsia="DengXian"/>
                <w:szCs w:val="24"/>
              </w:rPr>
              <w:t>8</w:t>
            </w:r>
            <w:r w:rsidRPr="00727DFA">
              <w:rPr>
                <w:rFonts w:eastAsia="DengXian"/>
                <w:szCs w:val="24"/>
              </w:rPr>
              <w:t>-12 hours</w:t>
            </w:r>
          </w:p>
          <w:p w14:paraId="7F8C0E44" w14:textId="77777777" w:rsidR="007B485D" w:rsidRPr="00727DFA" w:rsidRDefault="007B485D" w:rsidP="002D6DD7">
            <w:pPr>
              <w:jc w:val="both"/>
              <w:rPr>
                <w:rFonts w:eastAsia="DengXian"/>
                <w:szCs w:val="24"/>
              </w:rPr>
            </w:pPr>
            <w:r w:rsidRPr="00727DFA">
              <w:rPr>
                <w:rFonts w:eastAsia="DengXian"/>
                <w:b/>
                <w:szCs w:val="24"/>
              </w:rPr>
              <w:t xml:space="preserve">Children </w:t>
            </w:r>
            <w:r w:rsidRPr="00727DFA">
              <w:rPr>
                <w:rFonts w:eastAsia="DengXian"/>
                <w:szCs w:val="24"/>
              </w:rPr>
              <w:t>(two</w:t>
            </w:r>
            <w:r w:rsidRPr="00727DFA">
              <w:rPr>
                <w:rFonts w:eastAsia="DengXian"/>
                <w:spacing w:val="1"/>
                <w:szCs w:val="24"/>
              </w:rPr>
              <w:t xml:space="preserve"> </w:t>
            </w:r>
            <w:r w:rsidRPr="00727DFA">
              <w:rPr>
                <w:rFonts w:eastAsia="DengXian"/>
                <w:szCs w:val="24"/>
              </w:rPr>
              <w:t>months</w:t>
            </w:r>
            <w:r w:rsidRPr="00727DFA">
              <w:rPr>
                <w:rFonts w:eastAsia="DengXian"/>
                <w:spacing w:val="1"/>
                <w:szCs w:val="24"/>
              </w:rPr>
              <w:t xml:space="preserve"> </w:t>
            </w:r>
            <w:r w:rsidRPr="00727DFA">
              <w:rPr>
                <w:rFonts w:eastAsia="DengXian"/>
                <w:szCs w:val="24"/>
              </w:rPr>
              <w:t>of</w:t>
            </w:r>
            <w:r w:rsidRPr="00727DFA">
              <w:rPr>
                <w:rFonts w:eastAsia="DengXian"/>
                <w:spacing w:val="1"/>
                <w:szCs w:val="24"/>
              </w:rPr>
              <w:t xml:space="preserve"> </w:t>
            </w:r>
            <w:r w:rsidRPr="00727DFA">
              <w:rPr>
                <w:rFonts w:eastAsia="DengXian"/>
                <w:szCs w:val="24"/>
              </w:rPr>
              <w:t>age</w:t>
            </w:r>
            <w:r w:rsidRPr="00727DFA">
              <w:rPr>
                <w:rFonts w:eastAsia="DengXian"/>
                <w:spacing w:val="1"/>
                <w:szCs w:val="24"/>
              </w:rPr>
              <w:t xml:space="preserve"> </w:t>
            </w:r>
            <w:r w:rsidRPr="00727DFA">
              <w:rPr>
                <w:rFonts w:eastAsia="DengXian"/>
                <w:szCs w:val="24"/>
              </w:rPr>
              <w:t>or</w:t>
            </w:r>
            <w:r w:rsidRPr="00727DFA">
              <w:rPr>
                <w:rFonts w:eastAsia="DengXian"/>
                <w:spacing w:val="1"/>
                <w:szCs w:val="24"/>
              </w:rPr>
              <w:t xml:space="preserve"> </w:t>
            </w:r>
            <w:r w:rsidRPr="00727DFA">
              <w:rPr>
                <w:rFonts w:eastAsia="DengXian"/>
                <w:szCs w:val="24"/>
              </w:rPr>
              <w:t>less</w:t>
            </w:r>
            <w:r w:rsidRPr="00727DFA">
              <w:rPr>
                <w:rFonts w:eastAsia="DengXian"/>
                <w:spacing w:val="1"/>
                <w:szCs w:val="24"/>
              </w:rPr>
              <w:t xml:space="preserve"> </w:t>
            </w:r>
            <w:r w:rsidRPr="00727DFA">
              <w:rPr>
                <w:rFonts w:eastAsia="DengXian"/>
                <w:szCs w:val="24"/>
              </w:rPr>
              <w:t>than</w:t>
            </w:r>
            <w:r w:rsidRPr="00727DFA">
              <w:rPr>
                <w:rFonts w:eastAsia="DengXian"/>
                <w:spacing w:val="1"/>
                <w:szCs w:val="24"/>
              </w:rPr>
              <w:t xml:space="preserve"> </w:t>
            </w:r>
            <w:r w:rsidRPr="00727DFA">
              <w:rPr>
                <w:rFonts w:eastAsia="DengXian"/>
                <w:szCs w:val="24"/>
              </w:rPr>
              <w:t>40</w:t>
            </w:r>
            <w:r w:rsidRPr="00727DFA">
              <w:rPr>
                <w:rFonts w:eastAsia="DengXian"/>
                <w:spacing w:val="1"/>
                <w:szCs w:val="24"/>
              </w:rPr>
              <w:t xml:space="preserve"> </w:t>
            </w:r>
            <w:r w:rsidRPr="00727DFA">
              <w:rPr>
                <w:rFonts w:eastAsia="DengXian"/>
                <w:szCs w:val="24"/>
              </w:rPr>
              <w:t>kg</w:t>
            </w:r>
            <w:r w:rsidRPr="00727DFA">
              <w:rPr>
                <w:rFonts w:eastAsia="DengXian"/>
                <w:spacing w:val="60"/>
                <w:szCs w:val="24"/>
              </w:rPr>
              <w:t xml:space="preserve"> </w:t>
            </w:r>
            <w:r w:rsidRPr="00727DFA">
              <w:rPr>
                <w:rFonts w:eastAsia="DengXian"/>
                <w:szCs w:val="24"/>
              </w:rPr>
              <w:t>body</w:t>
            </w:r>
            <w:r w:rsidRPr="00727DFA">
              <w:rPr>
                <w:rFonts w:eastAsia="DengXian"/>
                <w:spacing w:val="1"/>
                <w:szCs w:val="24"/>
              </w:rPr>
              <w:t xml:space="preserve"> </w:t>
            </w:r>
            <w:r w:rsidRPr="00727DFA">
              <w:rPr>
                <w:rFonts w:eastAsia="DengXian"/>
                <w:szCs w:val="24"/>
              </w:rPr>
              <w:t>weight)</w:t>
            </w:r>
            <w:r w:rsidRPr="00727DFA">
              <w:rPr>
                <w:rFonts w:eastAsia="DengXian"/>
                <w:b/>
                <w:szCs w:val="24"/>
              </w:rPr>
              <w:t xml:space="preserve">: </w:t>
            </w:r>
            <w:r w:rsidRPr="00727DFA">
              <w:rPr>
                <w:rFonts w:eastAsia="DengXian"/>
                <w:szCs w:val="24"/>
              </w:rPr>
              <w:t>50 mg/kg every 8-12</w:t>
            </w:r>
            <w:r w:rsidRPr="00727DFA">
              <w:rPr>
                <w:rFonts w:eastAsia="DengXian"/>
                <w:spacing w:val="1"/>
                <w:szCs w:val="24"/>
              </w:rPr>
              <w:t xml:space="preserve"> </w:t>
            </w:r>
            <w:r w:rsidRPr="00727DFA">
              <w:rPr>
                <w:rFonts w:eastAsia="DengXian"/>
                <w:szCs w:val="24"/>
              </w:rPr>
              <w:t>hours</w:t>
            </w:r>
            <w:r w:rsidRPr="00727DFA">
              <w:rPr>
                <w:rFonts w:eastAsia="DengXian"/>
                <w:spacing w:val="1"/>
                <w:szCs w:val="24"/>
              </w:rPr>
              <w:t xml:space="preserve"> </w:t>
            </w:r>
          </w:p>
          <w:p w14:paraId="3B0C38AB" w14:textId="77777777" w:rsidR="007B485D" w:rsidRPr="00727DFA" w:rsidRDefault="007B485D" w:rsidP="002D6DD7">
            <w:pPr>
              <w:jc w:val="both"/>
              <w:rPr>
                <w:rFonts w:eastAsia="DengXian"/>
                <w:b/>
                <w:bCs/>
                <w:szCs w:val="24"/>
              </w:rPr>
            </w:pPr>
            <w:r w:rsidRPr="00727DFA">
              <w:rPr>
                <w:rFonts w:eastAsia="DengXian"/>
                <w:b/>
                <w:bCs/>
                <w:szCs w:val="24"/>
              </w:rPr>
              <w:t>Mild to moderate urinary tract infections</w:t>
            </w:r>
          </w:p>
          <w:p w14:paraId="5EE6DC99" w14:textId="77777777" w:rsidR="007B485D" w:rsidRPr="00727DFA" w:rsidRDefault="007B485D" w:rsidP="002D6DD7">
            <w:pPr>
              <w:jc w:val="both"/>
              <w:rPr>
                <w:rFonts w:eastAsia="DengXian"/>
                <w:bCs/>
                <w:szCs w:val="24"/>
              </w:rPr>
            </w:pPr>
            <w:r w:rsidRPr="00727DFA">
              <w:rPr>
                <w:rFonts w:eastAsia="DengXian"/>
                <w:b/>
                <w:szCs w:val="24"/>
              </w:rPr>
              <w:t>Adult</w:t>
            </w:r>
            <w:r w:rsidRPr="00727DFA">
              <w:rPr>
                <w:rFonts w:eastAsia="DengXian"/>
                <w:bCs/>
                <w:szCs w:val="24"/>
              </w:rPr>
              <w:t xml:space="preserve"> (body weight 41 kg and above): 0.5–1 g every 12 hours</w:t>
            </w:r>
          </w:p>
          <w:p w14:paraId="59A9C9AC" w14:textId="77777777" w:rsidR="007B485D" w:rsidRPr="00727DFA" w:rsidRDefault="007B485D" w:rsidP="002D6DD7">
            <w:pPr>
              <w:jc w:val="both"/>
              <w:rPr>
                <w:rFonts w:eastAsia="DengXian"/>
                <w:b/>
                <w:bCs/>
                <w:szCs w:val="24"/>
              </w:rPr>
            </w:pPr>
            <w:r w:rsidRPr="00727DFA">
              <w:rPr>
                <w:rFonts w:eastAsia="DengXian"/>
                <w:b/>
                <w:bCs/>
                <w:szCs w:val="24"/>
              </w:rPr>
              <w:t>Mild to moderate infections due to sensitive Gram positive and Gram-negative bacteria</w:t>
            </w:r>
            <w:r>
              <w:rPr>
                <w:rFonts w:eastAsia="DengXian"/>
                <w:b/>
                <w:bCs/>
                <w:szCs w:val="24"/>
              </w:rPr>
              <w:t>:</w:t>
            </w:r>
          </w:p>
          <w:p w14:paraId="61AAC17F" w14:textId="77777777" w:rsidR="007B485D" w:rsidRPr="00727DFA" w:rsidRDefault="007B485D" w:rsidP="002D6DD7">
            <w:pPr>
              <w:jc w:val="both"/>
              <w:rPr>
                <w:rFonts w:eastAsia="DengXian"/>
                <w:bCs/>
                <w:szCs w:val="24"/>
              </w:rPr>
            </w:pPr>
            <w:r w:rsidRPr="00727DFA">
              <w:rPr>
                <w:rFonts w:eastAsia="DengXian"/>
                <w:b/>
                <w:szCs w:val="24"/>
              </w:rPr>
              <w:t>Adult</w:t>
            </w:r>
            <w:r w:rsidRPr="00727DFA">
              <w:rPr>
                <w:rFonts w:eastAsia="DengXian"/>
                <w:bCs/>
                <w:szCs w:val="24"/>
              </w:rPr>
              <w:t xml:space="preserve"> (body weight 41 kg and above): 1 g every 12 hours</w:t>
            </w:r>
          </w:p>
          <w:p w14:paraId="6ECE0232" w14:textId="77777777" w:rsidR="007B485D" w:rsidRPr="00727DFA" w:rsidRDefault="007B485D" w:rsidP="002D6DD7">
            <w:pPr>
              <w:jc w:val="both"/>
              <w:rPr>
                <w:rFonts w:eastAsia="DengXian"/>
                <w:b/>
                <w:bCs/>
                <w:szCs w:val="24"/>
              </w:rPr>
            </w:pPr>
            <w:r w:rsidRPr="00727DFA">
              <w:rPr>
                <w:rFonts w:eastAsia="DengXian"/>
                <w:b/>
                <w:bCs/>
                <w:szCs w:val="24"/>
              </w:rPr>
              <w:t>Severe infections due to sensitive Gram-positive and Gram-negative bacteria</w:t>
            </w:r>
            <w:r>
              <w:rPr>
                <w:rFonts w:eastAsia="DengXian"/>
                <w:b/>
                <w:bCs/>
                <w:szCs w:val="24"/>
              </w:rPr>
              <w:t>:</w:t>
            </w:r>
          </w:p>
          <w:p w14:paraId="703728EE" w14:textId="77777777" w:rsidR="007B485D" w:rsidRPr="00727DFA" w:rsidRDefault="007B485D" w:rsidP="002D6DD7">
            <w:pPr>
              <w:jc w:val="both"/>
              <w:rPr>
                <w:rFonts w:eastAsia="DengXian"/>
                <w:bCs/>
                <w:szCs w:val="24"/>
              </w:rPr>
            </w:pPr>
            <w:r w:rsidRPr="00873AF2">
              <w:rPr>
                <w:rFonts w:eastAsia="DengXian"/>
                <w:b/>
                <w:szCs w:val="24"/>
              </w:rPr>
              <w:t>Adult</w:t>
            </w:r>
            <w:r w:rsidRPr="00727DFA">
              <w:rPr>
                <w:rFonts w:eastAsia="DengXian"/>
                <w:bCs/>
                <w:szCs w:val="24"/>
              </w:rPr>
              <w:t xml:space="preserve"> (body weight 41 kg and above): 2 g every 12 hours, increased if necessary to 2 g every 8 hours, increased dose used for very severe infections</w:t>
            </w:r>
          </w:p>
        </w:tc>
      </w:tr>
      <w:tr w:rsidR="007B485D" w:rsidRPr="00727DFA" w14:paraId="1BFC918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D48DF2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FA5856D"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and other</w:t>
            </w:r>
            <w:r w:rsidRPr="00727DFA">
              <w:rPr>
                <w:rFonts w:eastAsia="DengXian"/>
                <w:szCs w:val="24"/>
              </w:rPr>
              <w:t xml:space="preserve"> cephalosporins</w:t>
            </w:r>
            <w:r>
              <w:rPr>
                <w:rFonts w:eastAsia="DengXian"/>
                <w:szCs w:val="24"/>
              </w:rPr>
              <w:t>.</w:t>
            </w:r>
          </w:p>
        </w:tc>
      </w:tr>
      <w:tr w:rsidR="007B485D" w:rsidRPr="00727DFA" w14:paraId="32BAAC0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3677CE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42E63E1" w14:textId="77777777" w:rsidR="007B485D" w:rsidRPr="00727DFA" w:rsidRDefault="007B485D" w:rsidP="002D6DD7">
            <w:pPr>
              <w:jc w:val="both"/>
              <w:rPr>
                <w:rFonts w:eastAsia="DengXian"/>
                <w:szCs w:val="24"/>
              </w:rPr>
            </w:pPr>
            <w:r w:rsidRPr="00727DFA">
              <w:rPr>
                <w:rFonts w:eastAsia="DengXian"/>
                <w:szCs w:val="24"/>
              </w:rPr>
              <w:t>Probenecid, aminoglycosides, warfarin, live cholera vaccine</w:t>
            </w:r>
            <w:r>
              <w:rPr>
                <w:rFonts w:eastAsia="DengXian"/>
                <w:szCs w:val="24"/>
              </w:rPr>
              <w:t>.</w:t>
            </w:r>
            <w:r w:rsidRPr="00727DFA">
              <w:rPr>
                <w:rFonts w:eastAsia="DengXian"/>
                <w:szCs w:val="24"/>
              </w:rPr>
              <w:t xml:space="preserve"> </w:t>
            </w:r>
          </w:p>
        </w:tc>
      </w:tr>
      <w:tr w:rsidR="007B485D" w:rsidRPr="00727DFA" w14:paraId="2881B66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E660A4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BA4B35C" w14:textId="77777777" w:rsidR="007B485D" w:rsidRPr="00727DFA" w:rsidRDefault="007B485D" w:rsidP="002D6DD7">
            <w:pPr>
              <w:jc w:val="both"/>
              <w:rPr>
                <w:rFonts w:eastAsia="DengXian"/>
                <w:szCs w:val="24"/>
              </w:rPr>
            </w:pPr>
            <w:r w:rsidRPr="00727DFA">
              <w:rPr>
                <w:rFonts w:eastAsia="DengXian"/>
                <w:szCs w:val="24"/>
              </w:rPr>
              <w:t>Anemia, gastrointestinal disorders, increased risk of infection, anaphylactic shock, antibiotic associated colitis, coma, confusion</w:t>
            </w:r>
            <w:r>
              <w:rPr>
                <w:rFonts w:eastAsia="DengXian"/>
                <w:szCs w:val="24"/>
              </w:rPr>
              <w:t>.</w:t>
            </w:r>
          </w:p>
        </w:tc>
      </w:tr>
      <w:tr w:rsidR="007B485D" w:rsidRPr="00727DFA" w14:paraId="6B8411A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33F4924"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DE594A2"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pacing w:val="36"/>
                <w:szCs w:val="24"/>
              </w:rPr>
              <w:t xml:space="preserve">, </w:t>
            </w:r>
            <w:r>
              <w:rPr>
                <w:rFonts w:eastAsia="DengXian"/>
                <w:szCs w:val="24"/>
              </w:rPr>
              <w:t>breastfeeding</w:t>
            </w:r>
            <w:r w:rsidRPr="00727DFA">
              <w:rPr>
                <w:rFonts w:eastAsia="DengXian"/>
                <w:szCs w:val="24"/>
              </w:rPr>
              <w:t>,</w:t>
            </w:r>
            <w:r w:rsidRPr="00727DFA">
              <w:rPr>
                <w:rFonts w:eastAsia="DengXian"/>
                <w:spacing w:val="36"/>
                <w:szCs w:val="24"/>
              </w:rPr>
              <w:t xml:space="preserve"> </w:t>
            </w:r>
            <w:r w:rsidRPr="00727DFA">
              <w:rPr>
                <w:rFonts w:eastAsia="DengXian"/>
                <w:szCs w:val="24"/>
              </w:rPr>
              <w:t>renal</w:t>
            </w:r>
            <w:r w:rsidRPr="00727DFA">
              <w:rPr>
                <w:rFonts w:eastAsia="DengXian"/>
                <w:spacing w:val="36"/>
                <w:szCs w:val="24"/>
              </w:rPr>
              <w:t xml:space="preserve"> </w:t>
            </w:r>
            <w:r w:rsidRPr="00727DFA">
              <w:rPr>
                <w:rFonts w:eastAsia="DengXian"/>
                <w:szCs w:val="24"/>
              </w:rPr>
              <w:t>impairment</w:t>
            </w:r>
            <w:r>
              <w:rPr>
                <w:rFonts w:eastAsia="DengXian"/>
                <w:szCs w:val="24"/>
              </w:rPr>
              <w:t>.</w:t>
            </w:r>
          </w:p>
        </w:tc>
      </w:tr>
      <w:tr w:rsidR="007B485D" w:rsidRPr="00727DFA" w14:paraId="6D733E7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4A5DE74"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A53D731" w14:textId="77777777" w:rsidR="007B485D" w:rsidRPr="00727DFA" w:rsidRDefault="007B485D" w:rsidP="002D6DD7">
            <w:pPr>
              <w:jc w:val="both"/>
              <w:rPr>
                <w:rFonts w:eastAsia="DengXian"/>
                <w:szCs w:val="24"/>
              </w:rPr>
            </w:pPr>
            <w:r w:rsidRPr="00727DFA">
              <w:rPr>
                <w:rFonts w:eastAsia="DengXian"/>
                <w:szCs w:val="24"/>
              </w:rPr>
              <w:t xml:space="preserve"> Store below 30°C in a dry place</w:t>
            </w:r>
            <w:r>
              <w:rPr>
                <w:rFonts w:eastAsia="DengXian"/>
                <w:szCs w:val="24"/>
              </w:rPr>
              <w:t>.</w:t>
            </w:r>
            <w:r w:rsidRPr="00727DFA">
              <w:rPr>
                <w:rFonts w:eastAsia="DengXian"/>
                <w:szCs w:val="24"/>
              </w:rPr>
              <w:t xml:space="preserve"> </w:t>
            </w:r>
            <w:r>
              <w:rPr>
                <w:rFonts w:eastAsia="DengXian"/>
                <w:szCs w:val="24"/>
              </w:rPr>
              <w:t>P</w:t>
            </w:r>
            <w:r w:rsidRPr="00727DFA">
              <w:rPr>
                <w:rFonts w:eastAsia="DengXian"/>
                <w:szCs w:val="24"/>
              </w:rPr>
              <w:t>rotect from light</w:t>
            </w:r>
            <w:r>
              <w:rPr>
                <w:rFonts w:eastAsia="DengXian"/>
                <w:szCs w:val="24"/>
              </w:rPr>
              <w:t>.</w:t>
            </w:r>
          </w:p>
        </w:tc>
      </w:tr>
      <w:tr w:rsidR="007B485D" w:rsidRPr="00727DFA" w14:paraId="5D50A061" w14:textId="77777777" w:rsidTr="002D6DD7">
        <w:trPr>
          <w:trHeight w:val="80"/>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930B9B0" w14:textId="77777777" w:rsidR="007B485D" w:rsidRPr="00727DFA" w:rsidRDefault="007B485D" w:rsidP="002D6DD7">
            <w:pPr>
              <w:jc w:val="both"/>
              <w:rPr>
                <w:rFonts w:eastAsia="DengXian"/>
                <w:szCs w:val="24"/>
              </w:rPr>
            </w:pPr>
            <w:r w:rsidRPr="00727DFA">
              <w:rPr>
                <w:rFonts w:eastAsia="DengXian"/>
                <w:b/>
                <w:bCs/>
                <w:szCs w:val="24"/>
              </w:rPr>
              <w:t xml:space="preserve">Cefixime </w:t>
            </w:r>
            <w:r w:rsidRPr="00873AF2">
              <w:rPr>
                <w:rFonts w:eastAsia="DengXian"/>
                <w:b/>
                <w:bCs/>
                <w:szCs w:val="24"/>
              </w:rPr>
              <w:t>(Watch)</w:t>
            </w:r>
          </w:p>
        </w:tc>
      </w:tr>
      <w:tr w:rsidR="007B485D" w:rsidRPr="00727DFA" w14:paraId="16EDAD9D" w14:textId="77777777" w:rsidTr="002D6DD7">
        <w:trPr>
          <w:trHeight w:val="46"/>
          <w:jc w:val="center"/>
        </w:trPr>
        <w:tc>
          <w:tcPr>
            <w:tcW w:w="2605" w:type="dxa"/>
            <w:tcBorders>
              <w:top w:val="single" w:sz="4" w:space="0" w:color="auto"/>
              <w:left w:val="single" w:sz="4" w:space="0" w:color="auto"/>
              <w:bottom w:val="single" w:sz="4" w:space="0" w:color="auto"/>
              <w:right w:val="single" w:sz="4" w:space="0" w:color="auto"/>
            </w:tcBorders>
            <w:hideMark/>
          </w:tcPr>
          <w:p w14:paraId="7925846C"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F56259C" w14:textId="77777777" w:rsidR="007B485D" w:rsidRPr="00727DFA" w:rsidRDefault="007B485D" w:rsidP="002D6DD7">
            <w:pPr>
              <w:jc w:val="both"/>
              <w:rPr>
                <w:rFonts w:eastAsia="DengXian"/>
                <w:szCs w:val="24"/>
              </w:rPr>
            </w:pPr>
            <w:r w:rsidRPr="00727DFA">
              <w:rPr>
                <w:rFonts w:eastAsia="DengXian"/>
                <w:szCs w:val="24"/>
              </w:rPr>
              <w:t>Third-generation cephalosporin</w:t>
            </w:r>
          </w:p>
        </w:tc>
      </w:tr>
      <w:tr w:rsidR="007B485D" w:rsidRPr="00727DFA" w14:paraId="2BD697F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72A0EA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38082AB" w14:textId="77777777" w:rsidR="007B485D" w:rsidRPr="00727DFA" w:rsidRDefault="007B485D" w:rsidP="002D6DD7">
            <w:pPr>
              <w:jc w:val="both"/>
              <w:rPr>
                <w:rFonts w:eastAsia="Times New Roman"/>
                <w:szCs w:val="24"/>
              </w:rPr>
            </w:pPr>
            <w:r w:rsidRPr="00727DFA">
              <w:rPr>
                <w:rFonts w:eastAsia="Times New Roman"/>
                <w:szCs w:val="24"/>
              </w:rPr>
              <w:t>Tablet: 100mg, 200mg, 400mg (as trihydrate)</w:t>
            </w:r>
          </w:p>
          <w:p w14:paraId="5421B2D6" w14:textId="77777777" w:rsidR="007B485D" w:rsidRPr="00727DFA" w:rsidRDefault="007B485D" w:rsidP="002D6DD7">
            <w:pPr>
              <w:jc w:val="both"/>
              <w:rPr>
                <w:rFonts w:eastAsia="DengXian"/>
                <w:szCs w:val="24"/>
              </w:rPr>
            </w:pPr>
            <w:r w:rsidRPr="00727DFA">
              <w:rPr>
                <w:rFonts w:eastAsia="Times New Roman"/>
                <w:szCs w:val="24"/>
              </w:rPr>
              <w:t xml:space="preserve"> Powder for suspension: 100/5ml, 200mg/5ml, 500mg/5ml</w:t>
            </w:r>
          </w:p>
        </w:tc>
      </w:tr>
      <w:tr w:rsidR="007B485D" w:rsidRPr="00727DFA" w14:paraId="0593960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29142A9"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9B73C5C" w14:textId="77777777" w:rsidR="007B485D" w:rsidRPr="00727DFA" w:rsidRDefault="007B485D" w:rsidP="002D6DD7">
            <w:pPr>
              <w:jc w:val="both"/>
              <w:rPr>
                <w:rFonts w:eastAsia="DengXian"/>
                <w:szCs w:val="24"/>
              </w:rPr>
            </w:pPr>
            <w:r w:rsidRPr="00727DFA">
              <w:rPr>
                <w:rFonts w:eastAsia="DengXian"/>
                <w:szCs w:val="24"/>
              </w:rPr>
              <w:t>Acute exacerbations of chronic bronchitis, acute otitis media, uncomplicated acute cystitis, uncomplicated pyelonephritis, acute bacterial pharyngitis, uncomplicated acute gonorrhea</w:t>
            </w:r>
            <w:r>
              <w:rPr>
                <w:rFonts w:eastAsia="DengXian"/>
                <w:szCs w:val="24"/>
              </w:rPr>
              <w:t>.</w:t>
            </w:r>
            <w:r w:rsidRPr="00727DFA">
              <w:rPr>
                <w:rFonts w:eastAsia="DengXian"/>
                <w:szCs w:val="24"/>
              </w:rPr>
              <w:t xml:space="preserve"> </w:t>
            </w:r>
          </w:p>
        </w:tc>
      </w:tr>
      <w:tr w:rsidR="007B485D" w:rsidRPr="00727DFA" w14:paraId="0130622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9EE4C2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5EC38F4" w14:textId="77777777" w:rsidR="007B485D" w:rsidRPr="00727DFA" w:rsidRDefault="007B485D" w:rsidP="002D6DD7">
            <w:pPr>
              <w:jc w:val="both"/>
              <w:rPr>
                <w:rFonts w:eastAsia="DengXian"/>
                <w:b/>
                <w:szCs w:val="24"/>
              </w:rPr>
            </w:pPr>
            <w:r w:rsidRPr="00727DFA">
              <w:rPr>
                <w:rFonts w:eastAsia="DengXian"/>
                <w:b/>
                <w:szCs w:val="24"/>
              </w:rPr>
              <w:t>Acute infections due to sensitive Gram-positive and Gram-negative bacteria; Oral:</w:t>
            </w:r>
          </w:p>
          <w:p w14:paraId="2251B8BE" w14:textId="77777777" w:rsidR="007B485D" w:rsidRDefault="007B485D" w:rsidP="002D6DD7">
            <w:pPr>
              <w:jc w:val="both"/>
              <w:rPr>
                <w:rFonts w:eastAsia="DengXian"/>
                <w:bCs/>
                <w:szCs w:val="24"/>
              </w:rPr>
            </w:pPr>
            <w:r w:rsidRPr="00727DFA">
              <w:rPr>
                <w:rFonts w:eastAsia="DengXian"/>
                <w:b/>
                <w:szCs w:val="24"/>
              </w:rPr>
              <w:t>Child 6</w:t>
            </w:r>
            <w:r>
              <w:rPr>
                <w:rFonts w:eastAsia="DengXian"/>
                <w:b/>
                <w:szCs w:val="24"/>
              </w:rPr>
              <w:t xml:space="preserve"> months</w:t>
            </w:r>
            <w:r w:rsidRPr="00727DFA">
              <w:rPr>
                <w:rFonts w:eastAsia="DengXian"/>
                <w:b/>
                <w:szCs w:val="24"/>
              </w:rPr>
              <w:t>–1</w:t>
            </w:r>
            <w:r>
              <w:rPr>
                <w:rFonts w:eastAsia="DengXian"/>
                <w:b/>
                <w:szCs w:val="24"/>
              </w:rPr>
              <w:t>2 years; =&lt;45kg:</w:t>
            </w:r>
            <w:r w:rsidRPr="00727DFA">
              <w:rPr>
                <w:rFonts w:eastAsia="DengXian"/>
                <w:b/>
                <w:szCs w:val="24"/>
              </w:rPr>
              <w:t xml:space="preserve"> </w:t>
            </w:r>
            <w:r>
              <w:rPr>
                <w:rFonts w:eastAsia="DengXian"/>
                <w:b/>
                <w:szCs w:val="24"/>
              </w:rPr>
              <w:t>8</w:t>
            </w:r>
            <w:r w:rsidRPr="00727DFA">
              <w:rPr>
                <w:rFonts w:eastAsia="DengXian"/>
                <w:bCs/>
                <w:szCs w:val="24"/>
              </w:rPr>
              <w:t xml:space="preserve"> mg</w:t>
            </w:r>
            <w:r>
              <w:rPr>
                <w:rFonts w:eastAsia="DengXian"/>
                <w:bCs/>
                <w:szCs w:val="24"/>
              </w:rPr>
              <w:t>/kg/day in 1-2 divided doses</w:t>
            </w:r>
          </w:p>
          <w:p w14:paraId="34290B2B" w14:textId="77777777" w:rsidR="007B485D" w:rsidRPr="00727DFA" w:rsidRDefault="007B485D" w:rsidP="002D6DD7">
            <w:pPr>
              <w:jc w:val="both"/>
              <w:rPr>
                <w:rFonts w:eastAsia="DengXian"/>
                <w:b/>
                <w:szCs w:val="24"/>
              </w:rPr>
            </w:pPr>
            <w:r w:rsidRPr="00727DFA">
              <w:rPr>
                <w:rFonts w:eastAsia="DengXian"/>
                <w:b/>
                <w:szCs w:val="24"/>
              </w:rPr>
              <w:t xml:space="preserve">Child </w:t>
            </w:r>
            <w:r>
              <w:rPr>
                <w:rFonts w:eastAsia="DengXian"/>
                <w:b/>
                <w:szCs w:val="24"/>
              </w:rPr>
              <w:t>&gt;</w:t>
            </w:r>
            <w:r w:rsidRPr="00727DFA">
              <w:rPr>
                <w:rFonts w:eastAsia="DengXian"/>
                <w:b/>
                <w:szCs w:val="24"/>
              </w:rPr>
              <w:t>1</w:t>
            </w:r>
            <w:r>
              <w:rPr>
                <w:rFonts w:eastAsia="DengXian"/>
                <w:b/>
                <w:szCs w:val="24"/>
              </w:rPr>
              <w:t xml:space="preserve">2 years and &gt;45kg: </w:t>
            </w:r>
            <w:r>
              <w:rPr>
                <w:rFonts w:eastAsia="DengXian"/>
                <w:bCs/>
                <w:szCs w:val="24"/>
              </w:rPr>
              <w:t>4</w:t>
            </w:r>
            <w:r w:rsidRPr="00727DFA">
              <w:rPr>
                <w:rFonts w:eastAsia="DengXian"/>
                <w:bCs/>
                <w:szCs w:val="24"/>
              </w:rPr>
              <w:t>00 mg</w:t>
            </w:r>
            <w:r>
              <w:rPr>
                <w:rFonts w:eastAsia="DengXian"/>
                <w:bCs/>
                <w:szCs w:val="24"/>
              </w:rPr>
              <w:t>/ day in 1-2 divided doses</w:t>
            </w:r>
            <w:r w:rsidRPr="00727DFA">
              <w:rPr>
                <w:rFonts w:eastAsia="DengXian"/>
                <w:bCs/>
                <w:szCs w:val="24"/>
              </w:rPr>
              <w:t xml:space="preserve"> </w:t>
            </w:r>
          </w:p>
          <w:p w14:paraId="259E48AA" w14:textId="77777777" w:rsidR="007B485D" w:rsidRPr="00727DFA" w:rsidRDefault="007B485D" w:rsidP="002D6DD7">
            <w:pPr>
              <w:jc w:val="both"/>
              <w:rPr>
                <w:rFonts w:eastAsia="DengXian"/>
                <w:b/>
                <w:szCs w:val="24"/>
              </w:rPr>
            </w:pPr>
            <w:r w:rsidRPr="00727DFA">
              <w:rPr>
                <w:rFonts w:eastAsia="DengXian"/>
                <w:b/>
                <w:szCs w:val="24"/>
              </w:rPr>
              <w:t xml:space="preserve">Adult: </w:t>
            </w:r>
            <w:r w:rsidRPr="00727DFA">
              <w:rPr>
                <w:rFonts w:eastAsia="DengXian"/>
                <w:bCs/>
                <w:szCs w:val="24"/>
              </w:rPr>
              <w:t>200–400 mg daily in 1–2 divided doses</w:t>
            </w:r>
          </w:p>
          <w:p w14:paraId="445665A5" w14:textId="77777777" w:rsidR="007B485D" w:rsidRPr="00727DFA" w:rsidRDefault="007B485D" w:rsidP="002D6DD7">
            <w:pPr>
              <w:jc w:val="both"/>
              <w:rPr>
                <w:rFonts w:eastAsia="DengXian"/>
                <w:spacing w:val="1"/>
                <w:szCs w:val="24"/>
              </w:rPr>
            </w:pPr>
            <w:r w:rsidRPr="00727DFA">
              <w:rPr>
                <w:rFonts w:eastAsia="DengXian"/>
                <w:b/>
                <w:bCs/>
                <w:szCs w:val="24"/>
              </w:rPr>
              <w:t>Uncomplicated</w:t>
            </w:r>
            <w:r w:rsidRPr="00727DFA">
              <w:rPr>
                <w:rFonts w:eastAsia="DengXian"/>
                <w:b/>
                <w:bCs/>
                <w:spacing w:val="1"/>
                <w:szCs w:val="24"/>
              </w:rPr>
              <w:t xml:space="preserve"> </w:t>
            </w:r>
            <w:r w:rsidRPr="00727DFA">
              <w:rPr>
                <w:rFonts w:eastAsia="DengXian"/>
                <w:b/>
                <w:bCs/>
                <w:szCs w:val="24"/>
              </w:rPr>
              <w:t>cervical/urethral</w:t>
            </w:r>
            <w:r w:rsidRPr="00727DFA">
              <w:rPr>
                <w:rFonts w:eastAsia="DengXian"/>
                <w:b/>
                <w:bCs/>
                <w:spacing w:val="1"/>
                <w:szCs w:val="24"/>
              </w:rPr>
              <w:t xml:space="preserve"> </w:t>
            </w:r>
            <w:r w:rsidRPr="00727DFA">
              <w:rPr>
                <w:rFonts w:eastAsia="DengXian"/>
                <w:b/>
                <w:bCs/>
                <w:szCs w:val="24"/>
              </w:rPr>
              <w:t>gonorrhea</w:t>
            </w:r>
            <w:r w:rsidRPr="00727DFA">
              <w:rPr>
                <w:rFonts w:eastAsia="DengXian"/>
                <w:b/>
                <w:bCs/>
                <w:spacing w:val="1"/>
                <w:szCs w:val="24"/>
              </w:rPr>
              <w:t xml:space="preserve"> </w:t>
            </w:r>
            <w:r w:rsidRPr="00727DFA">
              <w:rPr>
                <w:rFonts w:eastAsia="DengXian"/>
                <w:b/>
                <w:bCs/>
                <w:szCs w:val="24"/>
              </w:rPr>
              <w:t>due</w:t>
            </w:r>
            <w:r w:rsidRPr="00727DFA">
              <w:rPr>
                <w:rFonts w:eastAsia="DengXian"/>
                <w:b/>
                <w:bCs/>
                <w:spacing w:val="1"/>
                <w:szCs w:val="24"/>
              </w:rPr>
              <w:t xml:space="preserve"> </w:t>
            </w:r>
            <w:r w:rsidRPr="00727DFA">
              <w:rPr>
                <w:rFonts w:eastAsia="DengXian"/>
                <w:b/>
                <w:bCs/>
                <w:szCs w:val="24"/>
              </w:rPr>
              <w:t xml:space="preserve">to </w:t>
            </w:r>
            <w:r w:rsidRPr="00727DFA">
              <w:rPr>
                <w:rFonts w:eastAsia="DengXian"/>
                <w:b/>
                <w:bCs/>
                <w:i/>
                <w:iCs/>
                <w:szCs w:val="24"/>
              </w:rPr>
              <w:t>N.</w:t>
            </w:r>
            <w:r w:rsidRPr="00727DFA">
              <w:rPr>
                <w:rFonts w:eastAsia="DengXian"/>
                <w:b/>
                <w:bCs/>
                <w:i/>
                <w:iCs/>
                <w:spacing w:val="-57"/>
                <w:szCs w:val="24"/>
              </w:rPr>
              <w:t xml:space="preserve">   </w:t>
            </w:r>
            <w:r w:rsidRPr="00727DFA">
              <w:rPr>
                <w:rFonts w:eastAsia="DengXian"/>
                <w:b/>
                <w:bCs/>
                <w:i/>
                <w:iCs/>
                <w:szCs w:val="24"/>
              </w:rPr>
              <w:t>gonorrhoeae</w:t>
            </w:r>
            <w:r w:rsidRPr="00727DFA">
              <w:rPr>
                <w:rFonts w:eastAsia="DengXian"/>
                <w:szCs w:val="24"/>
              </w:rPr>
              <w:t>:</w:t>
            </w:r>
            <w:r w:rsidRPr="00727DFA">
              <w:rPr>
                <w:rFonts w:eastAsia="DengXian"/>
                <w:spacing w:val="1"/>
                <w:szCs w:val="24"/>
              </w:rPr>
              <w:t xml:space="preserve"> </w:t>
            </w:r>
          </w:p>
          <w:p w14:paraId="41863426" w14:textId="77777777" w:rsidR="007B485D" w:rsidRPr="00727DFA" w:rsidRDefault="007B485D" w:rsidP="002D6DD7">
            <w:pPr>
              <w:jc w:val="both"/>
              <w:rPr>
                <w:rFonts w:eastAsia="DengXian"/>
                <w:b/>
                <w:bCs/>
                <w:spacing w:val="1"/>
                <w:szCs w:val="24"/>
              </w:rPr>
            </w:pPr>
            <w:r w:rsidRPr="00727DFA">
              <w:rPr>
                <w:rFonts w:eastAsia="DengXian"/>
                <w:b/>
                <w:bCs/>
                <w:spacing w:val="1"/>
                <w:szCs w:val="24"/>
              </w:rPr>
              <w:t xml:space="preserve">Oral: </w:t>
            </w:r>
          </w:p>
          <w:p w14:paraId="548B5B0A" w14:textId="77777777" w:rsidR="007B485D" w:rsidRPr="00727DFA" w:rsidRDefault="007B485D" w:rsidP="002D6DD7">
            <w:pPr>
              <w:jc w:val="both"/>
              <w:rPr>
                <w:rFonts w:eastAsia="DengXian"/>
                <w:spacing w:val="1"/>
                <w:szCs w:val="24"/>
              </w:rPr>
            </w:pPr>
            <w:r w:rsidRPr="00727DFA">
              <w:rPr>
                <w:rFonts w:eastAsia="DengXian"/>
                <w:b/>
                <w:bCs/>
                <w:spacing w:val="1"/>
                <w:szCs w:val="24"/>
              </w:rPr>
              <w:t>Adult:</w:t>
            </w:r>
            <w:r w:rsidRPr="00727DFA">
              <w:rPr>
                <w:rFonts w:eastAsia="DengXian"/>
                <w:spacing w:val="1"/>
                <w:szCs w:val="24"/>
              </w:rPr>
              <w:t xml:space="preserve"> </w:t>
            </w:r>
            <w:r w:rsidRPr="00727DFA">
              <w:rPr>
                <w:rFonts w:eastAsia="DengXian"/>
                <w:szCs w:val="24"/>
              </w:rPr>
              <w:t>400mg</w:t>
            </w:r>
            <w:r w:rsidRPr="00727DFA">
              <w:rPr>
                <w:rFonts w:eastAsia="DengXian"/>
                <w:spacing w:val="1"/>
                <w:szCs w:val="24"/>
              </w:rPr>
              <w:t xml:space="preserve"> </w:t>
            </w:r>
            <w:r w:rsidRPr="00727DFA">
              <w:rPr>
                <w:rFonts w:eastAsia="DengXian"/>
                <w:szCs w:val="24"/>
              </w:rPr>
              <w:t>as</w:t>
            </w:r>
            <w:r w:rsidRPr="00727DFA">
              <w:rPr>
                <w:rFonts w:eastAsia="DengXian"/>
                <w:spacing w:val="1"/>
                <w:szCs w:val="24"/>
              </w:rPr>
              <w:t xml:space="preserve"> </w:t>
            </w:r>
            <w:r w:rsidRPr="00727DFA">
              <w:rPr>
                <w:rFonts w:eastAsia="DengXian"/>
                <w:szCs w:val="24"/>
              </w:rPr>
              <w:t>a</w:t>
            </w:r>
            <w:r w:rsidRPr="00727DFA">
              <w:rPr>
                <w:rFonts w:eastAsia="DengXian"/>
                <w:spacing w:val="1"/>
                <w:szCs w:val="24"/>
              </w:rPr>
              <w:t xml:space="preserve"> </w:t>
            </w:r>
            <w:r w:rsidRPr="00727DFA">
              <w:rPr>
                <w:rFonts w:eastAsia="DengXian"/>
                <w:szCs w:val="24"/>
              </w:rPr>
              <w:t>single</w:t>
            </w:r>
            <w:r w:rsidRPr="00727DFA">
              <w:rPr>
                <w:rFonts w:eastAsia="DengXian"/>
                <w:spacing w:val="1"/>
                <w:szCs w:val="24"/>
              </w:rPr>
              <w:t xml:space="preserve"> </w:t>
            </w:r>
            <w:r w:rsidRPr="00727DFA">
              <w:rPr>
                <w:rFonts w:eastAsia="DengXian"/>
                <w:szCs w:val="24"/>
              </w:rPr>
              <w:t>dose.</w:t>
            </w:r>
            <w:r w:rsidRPr="00727DFA">
              <w:rPr>
                <w:rFonts w:eastAsia="DengXian"/>
                <w:spacing w:val="1"/>
                <w:szCs w:val="24"/>
              </w:rPr>
              <w:t xml:space="preserve"> </w:t>
            </w:r>
            <w:r w:rsidRPr="00727DFA">
              <w:rPr>
                <w:rFonts w:eastAsia="DengXian"/>
                <w:szCs w:val="24"/>
              </w:rPr>
              <w:t xml:space="preserve"> </w:t>
            </w:r>
          </w:p>
        </w:tc>
      </w:tr>
      <w:tr w:rsidR="007B485D" w:rsidRPr="00727DFA" w14:paraId="606E886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833467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2242A11"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Hypersensitivity to</w:t>
            </w:r>
            <w:r>
              <w:rPr>
                <w:rFonts w:eastAsia="DengXian"/>
                <w:szCs w:val="24"/>
              </w:rPr>
              <w:t xml:space="preserve"> the drug and other</w:t>
            </w:r>
            <w:r w:rsidRPr="00727DFA">
              <w:rPr>
                <w:rFonts w:eastAsia="DengXian"/>
                <w:szCs w:val="24"/>
              </w:rPr>
              <w:t xml:space="preserve"> cephalosporin</w:t>
            </w:r>
            <w:r>
              <w:rPr>
                <w:rFonts w:eastAsia="DengXian"/>
                <w:szCs w:val="24"/>
              </w:rPr>
              <w:t>s</w:t>
            </w:r>
            <w:r w:rsidRPr="00727DFA">
              <w:rPr>
                <w:rFonts w:eastAsia="DengXian"/>
                <w:szCs w:val="24"/>
              </w:rPr>
              <w:t>, previous allergy to carbapenems, penicillin or monobactams</w:t>
            </w:r>
            <w:r>
              <w:rPr>
                <w:rFonts w:eastAsia="DengXian"/>
                <w:szCs w:val="24"/>
              </w:rPr>
              <w:t>.</w:t>
            </w:r>
          </w:p>
        </w:tc>
      </w:tr>
      <w:tr w:rsidR="007B485D" w:rsidRPr="00727DFA" w14:paraId="67196E1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B7369B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5AADE27" w14:textId="77777777" w:rsidR="007B485D" w:rsidRPr="00727DFA" w:rsidRDefault="007B485D" w:rsidP="002D6DD7">
            <w:pPr>
              <w:jc w:val="both"/>
              <w:rPr>
                <w:rFonts w:eastAsia="DengXian"/>
                <w:szCs w:val="24"/>
              </w:rPr>
            </w:pPr>
            <w:r w:rsidRPr="00727DFA">
              <w:rPr>
                <w:rFonts w:eastAsia="DengXian"/>
                <w:szCs w:val="24"/>
              </w:rPr>
              <w:t>Aminoglycosides, ciprofloxacin, furosemide, mycophenolate mofetil, live cholera vaccine, probenecid, estrogen containing contraceptives, warfarin</w:t>
            </w:r>
            <w:r>
              <w:rPr>
                <w:rFonts w:eastAsia="DengXian"/>
                <w:szCs w:val="24"/>
              </w:rPr>
              <w:t>.</w:t>
            </w:r>
          </w:p>
        </w:tc>
      </w:tr>
      <w:tr w:rsidR="007B485D" w:rsidRPr="00727DFA" w14:paraId="1503EF7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5A2103F"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5562631" w14:textId="77777777" w:rsidR="007B485D" w:rsidRPr="00727DFA" w:rsidRDefault="007B485D" w:rsidP="002D6DD7">
            <w:pPr>
              <w:jc w:val="both"/>
              <w:rPr>
                <w:rFonts w:eastAsia="DengXian"/>
                <w:szCs w:val="24"/>
              </w:rPr>
            </w:pPr>
            <w:r w:rsidRPr="00727DFA">
              <w:rPr>
                <w:rFonts w:eastAsia="DengXian"/>
                <w:szCs w:val="24"/>
              </w:rPr>
              <w:t>Diarrhea,</w:t>
            </w:r>
            <w:r w:rsidRPr="00727DFA">
              <w:rPr>
                <w:rFonts w:eastAsia="DengXian"/>
                <w:spacing w:val="1"/>
                <w:szCs w:val="24"/>
              </w:rPr>
              <w:t xml:space="preserve"> </w:t>
            </w:r>
            <w:r w:rsidRPr="00727DFA">
              <w:rPr>
                <w:rFonts w:eastAsia="DengXian"/>
                <w:szCs w:val="24"/>
              </w:rPr>
              <w:t>abdominal</w:t>
            </w:r>
            <w:r w:rsidRPr="00727DFA">
              <w:rPr>
                <w:rFonts w:eastAsia="DengXian"/>
                <w:spacing w:val="1"/>
                <w:szCs w:val="24"/>
              </w:rPr>
              <w:t xml:space="preserve"> </w:t>
            </w:r>
            <w:r w:rsidRPr="00727DFA">
              <w:rPr>
                <w:rFonts w:eastAsia="DengXian"/>
                <w:szCs w:val="24"/>
              </w:rPr>
              <w:t>pain,</w:t>
            </w:r>
            <w:r w:rsidRPr="00727DFA">
              <w:rPr>
                <w:rFonts w:eastAsia="DengXian"/>
                <w:spacing w:val="1"/>
                <w:szCs w:val="24"/>
              </w:rPr>
              <w:t xml:space="preserve"> </w:t>
            </w:r>
            <w:r w:rsidRPr="00727DFA">
              <w:rPr>
                <w:rFonts w:eastAsia="DengXian"/>
                <w:szCs w:val="24"/>
              </w:rPr>
              <w:t>nausea,</w:t>
            </w:r>
            <w:r w:rsidRPr="00727DFA">
              <w:rPr>
                <w:rFonts w:eastAsia="DengXian"/>
                <w:spacing w:val="1"/>
                <w:szCs w:val="24"/>
              </w:rPr>
              <w:t xml:space="preserve"> </w:t>
            </w:r>
            <w:r w:rsidRPr="00727DFA">
              <w:rPr>
                <w:rFonts w:eastAsia="DengXian"/>
                <w:szCs w:val="24"/>
              </w:rPr>
              <w:t>dyspepsia,</w:t>
            </w:r>
            <w:r w:rsidRPr="00727DFA">
              <w:rPr>
                <w:rFonts w:eastAsia="DengXian"/>
                <w:spacing w:val="1"/>
                <w:szCs w:val="24"/>
              </w:rPr>
              <w:t xml:space="preserve"> </w:t>
            </w:r>
            <w:r w:rsidRPr="00727DFA">
              <w:rPr>
                <w:rFonts w:eastAsia="DengXian"/>
                <w:szCs w:val="24"/>
              </w:rPr>
              <w:t>flatulence,</w:t>
            </w:r>
            <w:r w:rsidRPr="00727DFA">
              <w:rPr>
                <w:rFonts w:eastAsia="DengXian"/>
                <w:spacing w:val="1"/>
                <w:szCs w:val="24"/>
              </w:rPr>
              <w:t xml:space="preserve"> </w:t>
            </w:r>
            <w:r w:rsidRPr="00727DFA">
              <w:rPr>
                <w:rFonts w:eastAsia="DengXian"/>
                <w:szCs w:val="24"/>
              </w:rPr>
              <w:t>loose</w:t>
            </w:r>
            <w:r w:rsidRPr="00727DFA">
              <w:rPr>
                <w:rFonts w:eastAsia="DengXian"/>
                <w:spacing w:val="1"/>
                <w:szCs w:val="24"/>
              </w:rPr>
              <w:t xml:space="preserve"> </w:t>
            </w:r>
            <w:r w:rsidRPr="00727DFA">
              <w:rPr>
                <w:rFonts w:eastAsia="DengXian"/>
                <w:szCs w:val="24"/>
              </w:rPr>
              <w:t>stools,</w:t>
            </w:r>
            <w:r w:rsidRPr="00727DFA">
              <w:rPr>
                <w:rFonts w:eastAsia="DengXian"/>
                <w:spacing w:val="1"/>
                <w:szCs w:val="24"/>
              </w:rPr>
              <w:t xml:space="preserve"> </w:t>
            </w:r>
            <w:r w:rsidRPr="00727DFA">
              <w:rPr>
                <w:rFonts w:eastAsia="DengXian"/>
                <w:szCs w:val="24"/>
              </w:rPr>
              <w:t>acute</w:t>
            </w:r>
            <w:r w:rsidRPr="00727DFA">
              <w:rPr>
                <w:rFonts w:eastAsia="DengXian"/>
                <w:spacing w:val="1"/>
                <w:szCs w:val="24"/>
              </w:rPr>
              <w:t xml:space="preserve"> </w:t>
            </w:r>
            <w:r w:rsidRPr="00727DFA">
              <w:rPr>
                <w:rFonts w:eastAsia="DengXian"/>
                <w:szCs w:val="24"/>
              </w:rPr>
              <w:t>renal</w:t>
            </w:r>
            <w:r w:rsidRPr="00727DFA">
              <w:rPr>
                <w:rFonts w:eastAsia="DengXian"/>
                <w:spacing w:val="1"/>
                <w:szCs w:val="24"/>
              </w:rPr>
              <w:t xml:space="preserve"> </w:t>
            </w:r>
            <w:r w:rsidRPr="00727DFA">
              <w:rPr>
                <w:rFonts w:eastAsia="DengXian"/>
                <w:szCs w:val="24"/>
              </w:rPr>
              <w:t>failure,</w:t>
            </w:r>
            <w:r w:rsidRPr="00727DFA">
              <w:rPr>
                <w:rFonts w:eastAsia="DengXian"/>
                <w:spacing w:val="1"/>
                <w:szCs w:val="24"/>
              </w:rPr>
              <w:t xml:space="preserve"> </w:t>
            </w:r>
            <w:r w:rsidRPr="00727DFA">
              <w:rPr>
                <w:rFonts w:eastAsia="DengXian"/>
                <w:szCs w:val="24"/>
              </w:rPr>
              <w:t>anaphylactic</w:t>
            </w:r>
            <w:r w:rsidRPr="00727DFA">
              <w:rPr>
                <w:rFonts w:eastAsia="DengXian"/>
                <w:spacing w:val="1"/>
                <w:szCs w:val="24"/>
              </w:rPr>
              <w:t xml:space="preserve"> </w:t>
            </w:r>
            <w:r w:rsidRPr="00727DFA">
              <w:rPr>
                <w:rFonts w:eastAsia="DengXian"/>
                <w:szCs w:val="24"/>
              </w:rPr>
              <w:t>reactions,</w:t>
            </w:r>
            <w:r w:rsidRPr="00727DFA">
              <w:rPr>
                <w:rFonts w:eastAsia="DengXian"/>
                <w:spacing w:val="1"/>
                <w:szCs w:val="24"/>
              </w:rPr>
              <w:t xml:space="preserve"> </w:t>
            </w:r>
            <w:r w:rsidRPr="00727DFA">
              <w:rPr>
                <w:rFonts w:eastAsia="DengXian"/>
                <w:szCs w:val="24"/>
              </w:rPr>
              <w:t>angioedema,</w:t>
            </w:r>
            <w:r w:rsidRPr="00727DFA">
              <w:rPr>
                <w:rFonts w:eastAsia="DengXian"/>
                <w:spacing w:val="1"/>
                <w:szCs w:val="24"/>
              </w:rPr>
              <w:t xml:space="preserve"> </w:t>
            </w:r>
            <w:r w:rsidRPr="00727DFA">
              <w:rPr>
                <w:rFonts w:eastAsia="DengXian"/>
                <w:szCs w:val="24"/>
              </w:rPr>
              <w:t>dizziness,</w:t>
            </w:r>
            <w:r w:rsidRPr="00727DFA">
              <w:rPr>
                <w:rFonts w:eastAsia="DengXian"/>
                <w:spacing w:val="1"/>
                <w:szCs w:val="24"/>
              </w:rPr>
              <w:t xml:space="preserve"> </w:t>
            </w:r>
            <w:r w:rsidRPr="00727DFA">
              <w:rPr>
                <w:rFonts w:eastAsia="DengXian"/>
                <w:szCs w:val="24"/>
              </w:rPr>
              <w:t>drug</w:t>
            </w:r>
            <w:r w:rsidRPr="00727DFA">
              <w:rPr>
                <w:rFonts w:eastAsia="DengXian"/>
                <w:spacing w:val="1"/>
                <w:szCs w:val="24"/>
              </w:rPr>
              <w:t xml:space="preserve"> </w:t>
            </w:r>
            <w:r w:rsidRPr="00727DFA">
              <w:rPr>
                <w:rFonts w:eastAsia="DengXian"/>
                <w:szCs w:val="24"/>
              </w:rPr>
              <w:t>fever,</w:t>
            </w:r>
            <w:r w:rsidRPr="00727DFA">
              <w:rPr>
                <w:rFonts w:eastAsia="DengXian"/>
                <w:spacing w:val="1"/>
                <w:szCs w:val="24"/>
              </w:rPr>
              <w:t xml:space="preserve"> </w:t>
            </w:r>
            <w:r w:rsidRPr="00727DFA">
              <w:rPr>
                <w:rFonts w:eastAsia="DengXian"/>
                <w:szCs w:val="24"/>
              </w:rPr>
              <w:t>headache,</w:t>
            </w:r>
            <w:r w:rsidRPr="00727DFA">
              <w:rPr>
                <w:rFonts w:eastAsia="DengXian"/>
                <w:spacing w:val="1"/>
                <w:szCs w:val="24"/>
              </w:rPr>
              <w:t xml:space="preserve"> </w:t>
            </w:r>
            <w:r w:rsidRPr="00727DFA">
              <w:rPr>
                <w:rFonts w:eastAsia="DengXian"/>
                <w:szCs w:val="24"/>
              </w:rPr>
              <w:t>rash,</w:t>
            </w:r>
            <w:r w:rsidRPr="00727DFA">
              <w:rPr>
                <w:rFonts w:eastAsia="DengXian"/>
                <w:spacing w:val="-57"/>
                <w:szCs w:val="24"/>
              </w:rPr>
              <w:t xml:space="preserve"> </w:t>
            </w:r>
            <w:r w:rsidRPr="00727DFA">
              <w:rPr>
                <w:rFonts w:eastAsia="DengXian"/>
                <w:szCs w:val="24"/>
              </w:rPr>
              <w:t>seizure,</w:t>
            </w:r>
            <w:r w:rsidRPr="00727DFA">
              <w:rPr>
                <w:rFonts w:eastAsia="DengXian"/>
                <w:spacing w:val="-1"/>
                <w:szCs w:val="24"/>
              </w:rPr>
              <w:t xml:space="preserve"> </w:t>
            </w:r>
            <w:r w:rsidRPr="00727DFA">
              <w:rPr>
                <w:rFonts w:eastAsia="DengXian"/>
                <w:szCs w:val="24"/>
              </w:rPr>
              <w:t>Stevens-Johnson</w:t>
            </w:r>
            <w:r w:rsidRPr="00727DFA">
              <w:rPr>
                <w:rFonts w:eastAsia="DengXian"/>
                <w:spacing w:val="-3"/>
                <w:szCs w:val="24"/>
              </w:rPr>
              <w:t xml:space="preserve"> </w:t>
            </w:r>
            <w:r w:rsidRPr="00727DFA">
              <w:rPr>
                <w:rFonts w:eastAsia="DengXian"/>
                <w:szCs w:val="24"/>
              </w:rPr>
              <w:t xml:space="preserve">syndrome, </w:t>
            </w:r>
            <w:r>
              <w:rPr>
                <w:rFonts w:eastAsia="DengXian"/>
                <w:szCs w:val="24"/>
              </w:rPr>
              <w:t>a</w:t>
            </w:r>
            <w:r w:rsidRPr="00727DFA">
              <w:rPr>
                <w:rFonts w:eastAsia="DengXian"/>
                <w:szCs w:val="24"/>
              </w:rPr>
              <w:t>cute kidney injury, arthralgia, genital pruritus, hypereosinophilia, jaundice, serum sickness like reaction, thrombocytosis</w:t>
            </w:r>
            <w:r>
              <w:rPr>
                <w:rFonts w:eastAsia="DengXian"/>
                <w:szCs w:val="24"/>
              </w:rPr>
              <w:t>.</w:t>
            </w:r>
          </w:p>
        </w:tc>
      </w:tr>
      <w:tr w:rsidR="007B485D" w:rsidRPr="00727DFA" w14:paraId="7AC1AE0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306242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DA70042"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Renal impairment, history of penicillin allergy, pregnancy, breastfeeding (</w:t>
            </w:r>
            <w:r w:rsidRPr="00727DFA">
              <w:rPr>
                <w:rFonts w:eastAsia="DengXian"/>
                <w:szCs w:val="24"/>
              </w:rPr>
              <w:t>avoid unless essential</w:t>
            </w:r>
            <w:r w:rsidRPr="00727DFA">
              <w:rPr>
                <w:rFonts w:eastAsia="Times New Roman"/>
                <w:szCs w:val="24"/>
              </w:rPr>
              <w:t>)</w:t>
            </w:r>
            <w:r>
              <w:rPr>
                <w:rFonts w:eastAsia="Times New Roman"/>
                <w:szCs w:val="24"/>
              </w:rPr>
              <w:t>.</w:t>
            </w:r>
          </w:p>
        </w:tc>
      </w:tr>
      <w:tr w:rsidR="007B485D" w:rsidRPr="00727DFA" w14:paraId="1FA0FDD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33D47E2"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0FB9C1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30°C. Do not refrigerate or freeze</w:t>
            </w:r>
            <w:r>
              <w:rPr>
                <w:rFonts w:eastAsia="Times New Roman"/>
                <w:szCs w:val="24"/>
              </w:rPr>
              <w:t>.</w:t>
            </w:r>
          </w:p>
        </w:tc>
      </w:tr>
      <w:tr w:rsidR="007B485D" w:rsidRPr="00727DFA" w14:paraId="2475C054"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E37243A" w14:textId="77777777" w:rsidR="007B485D" w:rsidRPr="00727DFA" w:rsidRDefault="007B485D" w:rsidP="002D6DD7">
            <w:pPr>
              <w:jc w:val="both"/>
              <w:rPr>
                <w:rFonts w:eastAsia="DengXian"/>
                <w:b/>
                <w:szCs w:val="24"/>
              </w:rPr>
            </w:pPr>
            <w:r w:rsidRPr="00727DFA">
              <w:rPr>
                <w:rFonts w:eastAsia="DengXian"/>
                <w:b/>
                <w:szCs w:val="24"/>
              </w:rPr>
              <w:t xml:space="preserve">Cefotaxime </w:t>
            </w:r>
            <w:r w:rsidRPr="00587263">
              <w:rPr>
                <w:rFonts w:eastAsia="DengXian"/>
                <w:b/>
                <w:szCs w:val="24"/>
              </w:rPr>
              <w:t xml:space="preserve">sodium </w:t>
            </w:r>
            <w:r w:rsidRPr="00873AF2">
              <w:rPr>
                <w:rFonts w:eastAsia="DengXian"/>
                <w:b/>
                <w:szCs w:val="24"/>
              </w:rPr>
              <w:t>(Watch)</w:t>
            </w:r>
          </w:p>
        </w:tc>
      </w:tr>
      <w:tr w:rsidR="007B485D" w:rsidRPr="00727DFA" w14:paraId="03E4827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46028B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806B1ED" w14:textId="77777777" w:rsidR="007B485D" w:rsidRPr="00727DFA" w:rsidRDefault="007B485D" w:rsidP="002D6DD7">
            <w:pPr>
              <w:jc w:val="both"/>
              <w:rPr>
                <w:rFonts w:eastAsia="DengXian"/>
                <w:szCs w:val="24"/>
              </w:rPr>
            </w:pPr>
            <w:r w:rsidRPr="00727DFA">
              <w:rPr>
                <w:rFonts w:eastAsia="DengXian"/>
                <w:szCs w:val="24"/>
              </w:rPr>
              <w:t>Third-generation cephalosporin</w:t>
            </w:r>
          </w:p>
        </w:tc>
      </w:tr>
      <w:tr w:rsidR="007B485D" w:rsidRPr="00727DFA" w14:paraId="3E06E4D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06E50B1"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31A965A" w14:textId="77777777" w:rsidR="007B485D" w:rsidRPr="00727DFA" w:rsidRDefault="007B485D" w:rsidP="002D6DD7">
            <w:pPr>
              <w:jc w:val="both"/>
              <w:rPr>
                <w:rFonts w:eastAsia="DengXian"/>
                <w:szCs w:val="24"/>
              </w:rPr>
            </w:pPr>
            <w:r w:rsidRPr="00727DFA">
              <w:rPr>
                <w:rFonts w:eastAsia="Times New Roman"/>
                <w:szCs w:val="24"/>
              </w:rPr>
              <w:t>Injection: 250mg, 0.5g, 1g, 2g, in vial</w:t>
            </w:r>
          </w:p>
        </w:tc>
      </w:tr>
      <w:tr w:rsidR="007B485D" w:rsidRPr="00727DFA" w14:paraId="4A41B67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9870140"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B47BD9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Susceptible</w:t>
            </w:r>
            <w:r w:rsidRPr="00727DFA">
              <w:rPr>
                <w:rFonts w:eastAsia="Times New Roman"/>
                <w:spacing w:val="1"/>
                <w:szCs w:val="24"/>
              </w:rPr>
              <w:t xml:space="preserve"> </w:t>
            </w:r>
            <w:r w:rsidRPr="00727DFA">
              <w:rPr>
                <w:rFonts w:eastAsia="Times New Roman"/>
                <w:szCs w:val="24"/>
              </w:rPr>
              <w:t>infections</w:t>
            </w:r>
            <w:r w:rsidRPr="00727DFA">
              <w:rPr>
                <w:rFonts w:eastAsia="Times New Roman"/>
                <w:spacing w:val="1"/>
                <w:szCs w:val="24"/>
              </w:rPr>
              <w:t xml:space="preserve"> </w:t>
            </w:r>
            <w:r w:rsidRPr="00727DFA">
              <w:rPr>
                <w:rFonts w:eastAsia="Times New Roman"/>
                <w:szCs w:val="24"/>
              </w:rPr>
              <w:t>in</w:t>
            </w:r>
            <w:r w:rsidRPr="00727DFA">
              <w:rPr>
                <w:rFonts w:eastAsia="Times New Roman"/>
                <w:spacing w:val="1"/>
                <w:szCs w:val="24"/>
              </w:rPr>
              <w:t xml:space="preserve"> </w:t>
            </w:r>
            <w:r w:rsidRPr="00727DFA">
              <w:rPr>
                <w:rFonts w:eastAsia="Times New Roman"/>
                <w:szCs w:val="24"/>
              </w:rPr>
              <w:t>respiratory</w:t>
            </w:r>
            <w:r w:rsidRPr="00727DFA">
              <w:rPr>
                <w:rFonts w:eastAsia="Times New Roman"/>
                <w:spacing w:val="1"/>
                <w:szCs w:val="24"/>
              </w:rPr>
              <w:t xml:space="preserve"> </w:t>
            </w:r>
            <w:r w:rsidRPr="00727DFA">
              <w:rPr>
                <w:rFonts w:eastAsia="Times New Roman"/>
                <w:szCs w:val="24"/>
              </w:rPr>
              <w:t>tract,</w:t>
            </w:r>
            <w:r w:rsidRPr="00727DFA">
              <w:rPr>
                <w:rFonts w:eastAsia="Times New Roman"/>
                <w:spacing w:val="1"/>
                <w:szCs w:val="24"/>
              </w:rPr>
              <w:t xml:space="preserve"> </w:t>
            </w:r>
            <w:r w:rsidRPr="00727DFA">
              <w:rPr>
                <w:rFonts w:eastAsia="Times New Roman"/>
                <w:szCs w:val="24"/>
              </w:rPr>
              <w:t>skin,</w:t>
            </w:r>
            <w:r w:rsidRPr="00727DFA">
              <w:rPr>
                <w:rFonts w:eastAsia="Times New Roman"/>
                <w:spacing w:val="1"/>
                <w:szCs w:val="24"/>
              </w:rPr>
              <w:t xml:space="preserve"> </w:t>
            </w:r>
            <w:r w:rsidRPr="00727DFA">
              <w:rPr>
                <w:rFonts w:eastAsia="Times New Roman"/>
                <w:szCs w:val="24"/>
              </w:rPr>
              <w:t>bone and joint, urinary tract, gynecologic as well as septicemia,</w:t>
            </w:r>
            <w:r w:rsidRPr="00727DFA">
              <w:rPr>
                <w:rFonts w:eastAsia="Times New Roman"/>
                <w:spacing w:val="1"/>
                <w:szCs w:val="24"/>
              </w:rPr>
              <w:t xml:space="preserve"> </w:t>
            </w:r>
            <w:r w:rsidRPr="00727DFA">
              <w:rPr>
                <w:rFonts w:eastAsia="Times New Roman"/>
                <w:szCs w:val="24"/>
              </w:rPr>
              <w:t>and documented or</w:t>
            </w:r>
            <w:r w:rsidRPr="00727DFA">
              <w:rPr>
                <w:rFonts w:eastAsia="Times New Roman"/>
                <w:spacing w:val="1"/>
                <w:szCs w:val="24"/>
              </w:rPr>
              <w:t xml:space="preserve"> </w:t>
            </w:r>
            <w:r w:rsidRPr="00727DFA">
              <w:rPr>
                <w:rFonts w:eastAsia="Times New Roman"/>
                <w:szCs w:val="24"/>
              </w:rPr>
              <w:t>suspected meningitis and</w:t>
            </w:r>
            <w:r w:rsidRPr="00727DFA">
              <w:rPr>
                <w:rFonts w:eastAsia="Times New Roman"/>
                <w:spacing w:val="60"/>
                <w:szCs w:val="24"/>
              </w:rPr>
              <w:t xml:space="preserve"> </w:t>
            </w:r>
            <w:r w:rsidRPr="00727DFA">
              <w:rPr>
                <w:rFonts w:eastAsia="Times New Roman"/>
                <w:szCs w:val="24"/>
              </w:rPr>
              <w:t>other infections</w:t>
            </w:r>
            <w:r w:rsidRPr="00727DFA">
              <w:rPr>
                <w:rFonts w:eastAsia="Times New Roman"/>
                <w:spacing w:val="1"/>
                <w:szCs w:val="24"/>
              </w:rPr>
              <w:t xml:space="preserve"> </w:t>
            </w:r>
            <w:r w:rsidRPr="00727DFA">
              <w:rPr>
                <w:rFonts w:eastAsia="Times New Roman"/>
                <w:szCs w:val="24"/>
              </w:rPr>
              <w:t>due to gram-negative bacilli, gram-positive cocci and penicillin-</w:t>
            </w:r>
            <w:r w:rsidRPr="00727DFA">
              <w:rPr>
                <w:rFonts w:eastAsia="Times New Roman"/>
                <w:spacing w:val="-57"/>
                <w:szCs w:val="24"/>
              </w:rPr>
              <w:t xml:space="preserve"> </w:t>
            </w:r>
            <w:r w:rsidRPr="00727DFA">
              <w:rPr>
                <w:rFonts w:eastAsia="Times New Roman"/>
                <w:szCs w:val="24"/>
              </w:rPr>
              <w:t>resistant</w:t>
            </w:r>
            <w:r w:rsidRPr="00727DFA">
              <w:rPr>
                <w:rFonts w:eastAsia="Times New Roman"/>
                <w:spacing w:val="-1"/>
                <w:szCs w:val="24"/>
              </w:rPr>
              <w:t xml:space="preserve"> </w:t>
            </w:r>
            <w:r w:rsidRPr="00727DFA">
              <w:rPr>
                <w:rFonts w:eastAsia="Times New Roman"/>
                <w:szCs w:val="24"/>
              </w:rPr>
              <w:t>pneumococci, Pseudomonal lung infection in cystic fibrosis, complicated urinary-tract infection, gonorrhea, gonococcal arthritis, gonococcal eye infection, septicemia, febrile neutropenia, meningitis</w:t>
            </w:r>
            <w:r>
              <w:rPr>
                <w:rFonts w:eastAsia="Times New Roman"/>
                <w:szCs w:val="24"/>
              </w:rPr>
              <w:t>,</w:t>
            </w:r>
            <w:r w:rsidRPr="00727DFA">
              <w:rPr>
                <w:rFonts w:eastAsia="Times New Roman"/>
                <w:szCs w:val="24"/>
              </w:rPr>
              <w:t xml:space="preserve"> </w:t>
            </w:r>
            <w:r>
              <w:rPr>
                <w:rFonts w:eastAsia="Times New Roman"/>
                <w:szCs w:val="24"/>
              </w:rPr>
              <w:t>s</w:t>
            </w:r>
            <w:r w:rsidRPr="00727DFA">
              <w:rPr>
                <w:rFonts w:eastAsia="Times New Roman"/>
                <w:szCs w:val="24"/>
              </w:rPr>
              <w:t>urgical prophylaxis</w:t>
            </w:r>
            <w:r>
              <w:rPr>
                <w:rFonts w:eastAsia="Times New Roman"/>
                <w:szCs w:val="24"/>
              </w:rPr>
              <w:t>.</w:t>
            </w:r>
          </w:p>
        </w:tc>
      </w:tr>
      <w:tr w:rsidR="007B485D" w:rsidRPr="00727DFA" w14:paraId="12EE79D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60257FC"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2F64D71" w14:textId="77777777" w:rsidR="007B485D" w:rsidRPr="00727DFA" w:rsidRDefault="007B485D" w:rsidP="002D6DD7">
            <w:pPr>
              <w:jc w:val="both"/>
              <w:rPr>
                <w:rFonts w:eastAsia="DengXian"/>
                <w:b/>
                <w:bCs/>
                <w:szCs w:val="24"/>
              </w:rPr>
            </w:pPr>
            <w:r w:rsidRPr="00727DFA">
              <w:rPr>
                <w:rFonts w:eastAsia="DengXian"/>
                <w:b/>
                <w:bCs/>
                <w:szCs w:val="24"/>
              </w:rPr>
              <w:t xml:space="preserve">Susceptible infections due to sensitive Gram-positive and Gram-negative bacteria; </w:t>
            </w:r>
            <w:r w:rsidRPr="00727DFA">
              <w:rPr>
                <w:rFonts w:eastAsia="DengXian"/>
                <w:szCs w:val="24"/>
              </w:rPr>
              <w:t>By IV Infusion, Deep IM Injection</w:t>
            </w:r>
            <w:r w:rsidRPr="00727DFA">
              <w:rPr>
                <w:rFonts w:eastAsia="DengXian"/>
                <w:b/>
                <w:bCs/>
                <w:szCs w:val="24"/>
              </w:rPr>
              <w:t xml:space="preserve">: </w:t>
            </w:r>
          </w:p>
          <w:p w14:paraId="2E05BB4C" w14:textId="77777777" w:rsidR="007B485D" w:rsidRPr="00727DFA" w:rsidRDefault="007B485D" w:rsidP="002D6DD7">
            <w:pPr>
              <w:tabs>
                <w:tab w:val="left" w:pos="2346"/>
                <w:tab w:val="left" w:pos="3602"/>
                <w:tab w:val="left" w:pos="3995"/>
                <w:tab w:val="left" w:pos="4578"/>
                <w:tab w:val="left" w:pos="4629"/>
                <w:tab w:val="left" w:pos="4915"/>
                <w:tab w:val="left" w:pos="5210"/>
                <w:tab w:val="left" w:pos="5526"/>
                <w:tab w:val="left" w:pos="5884"/>
                <w:tab w:val="left" w:pos="6328"/>
                <w:tab w:val="left" w:pos="6633"/>
              </w:tabs>
              <w:jc w:val="both"/>
              <w:rPr>
                <w:rFonts w:eastAsia="DengXian"/>
                <w:spacing w:val="1"/>
                <w:szCs w:val="24"/>
              </w:rPr>
            </w:pPr>
            <w:r w:rsidRPr="00727DFA">
              <w:rPr>
                <w:rFonts w:eastAsia="DengXian"/>
                <w:b/>
                <w:bCs/>
                <w:szCs w:val="24"/>
              </w:rPr>
              <w:t>Adult</w:t>
            </w:r>
            <w:r w:rsidRPr="00727DFA">
              <w:rPr>
                <w:rFonts w:eastAsia="DengXian"/>
                <w:szCs w:val="24"/>
              </w:rPr>
              <w:t xml:space="preserve">: 1–2 g every 8 hours; </w:t>
            </w:r>
            <w:r w:rsidRPr="00727DFA">
              <w:rPr>
                <w:rFonts w:eastAsia="DengXian"/>
                <w:spacing w:val="1"/>
                <w:szCs w:val="24"/>
              </w:rPr>
              <w:t>for septicemia,</w:t>
            </w:r>
            <w:r w:rsidRPr="00727DFA">
              <w:rPr>
                <w:rFonts w:eastAsia="DengXian"/>
                <w:szCs w:val="24"/>
              </w:rPr>
              <w:t xml:space="preserve"> IV:</w:t>
            </w:r>
            <w:r w:rsidRPr="00727DFA">
              <w:rPr>
                <w:rFonts w:eastAsia="DengXian"/>
                <w:spacing w:val="18"/>
                <w:szCs w:val="24"/>
              </w:rPr>
              <w:t xml:space="preserve"> </w:t>
            </w:r>
            <w:r w:rsidRPr="00727DFA">
              <w:rPr>
                <w:rFonts w:eastAsia="DengXian"/>
                <w:szCs w:val="24"/>
              </w:rPr>
              <w:t>2</w:t>
            </w:r>
            <w:r w:rsidRPr="00727DFA">
              <w:rPr>
                <w:rFonts w:eastAsia="DengXian"/>
                <w:spacing w:val="21"/>
                <w:szCs w:val="24"/>
              </w:rPr>
              <w:t xml:space="preserve"> </w:t>
            </w:r>
            <w:r w:rsidRPr="00727DFA">
              <w:rPr>
                <w:rFonts w:eastAsia="DengXian"/>
                <w:szCs w:val="24"/>
              </w:rPr>
              <w:t>g</w:t>
            </w:r>
            <w:r w:rsidRPr="00727DFA">
              <w:rPr>
                <w:rFonts w:eastAsia="DengXian"/>
                <w:spacing w:val="19"/>
                <w:szCs w:val="24"/>
              </w:rPr>
              <w:t xml:space="preserve"> </w:t>
            </w:r>
            <w:r w:rsidRPr="00727DFA">
              <w:rPr>
                <w:rFonts w:eastAsia="DengXian"/>
                <w:szCs w:val="24"/>
              </w:rPr>
              <w:t>every</w:t>
            </w:r>
            <w:r w:rsidRPr="00727DFA">
              <w:rPr>
                <w:rFonts w:eastAsia="DengXian"/>
                <w:spacing w:val="14"/>
                <w:szCs w:val="24"/>
              </w:rPr>
              <w:t xml:space="preserve"> </w:t>
            </w:r>
            <w:r w:rsidRPr="00727DFA">
              <w:rPr>
                <w:rFonts w:eastAsia="DengXian"/>
                <w:szCs w:val="24"/>
              </w:rPr>
              <w:t>6</w:t>
            </w:r>
            <w:r w:rsidRPr="00727DFA">
              <w:rPr>
                <w:rFonts w:eastAsia="DengXian"/>
                <w:spacing w:val="21"/>
                <w:szCs w:val="24"/>
              </w:rPr>
              <w:t xml:space="preserve"> </w:t>
            </w:r>
            <w:r w:rsidRPr="00727DFA">
              <w:rPr>
                <w:rFonts w:eastAsia="DengXian"/>
                <w:szCs w:val="24"/>
              </w:rPr>
              <w:t>-</w:t>
            </w:r>
            <w:r w:rsidRPr="00727DFA">
              <w:rPr>
                <w:rFonts w:eastAsia="DengXian"/>
                <w:spacing w:val="18"/>
                <w:szCs w:val="24"/>
              </w:rPr>
              <w:t xml:space="preserve"> </w:t>
            </w:r>
            <w:r w:rsidRPr="00727DFA">
              <w:rPr>
                <w:rFonts w:eastAsia="DengXian"/>
                <w:szCs w:val="24"/>
              </w:rPr>
              <w:t>8</w:t>
            </w:r>
            <w:r w:rsidRPr="00727DFA">
              <w:rPr>
                <w:rFonts w:eastAsia="DengXian"/>
                <w:spacing w:val="19"/>
                <w:szCs w:val="24"/>
              </w:rPr>
              <w:t xml:space="preserve"> </w:t>
            </w:r>
            <w:r w:rsidRPr="00727DFA">
              <w:rPr>
                <w:rFonts w:eastAsia="DengXian"/>
                <w:szCs w:val="24"/>
              </w:rPr>
              <w:t>hours.</w:t>
            </w:r>
          </w:p>
          <w:p w14:paraId="2CEF24E2" w14:textId="77777777" w:rsidR="007B485D" w:rsidRPr="00727DFA" w:rsidRDefault="007B485D" w:rsidP="002D6DD7">
            <w:pPr>
              <w:jc w:val="both"/>
              <w:rPr>
                <w:b/>
                <w:bCs/>
                <w:szCs w:val="24"/>
              </w:rPr>
            </w:pPr>
            <w:r w:rsidRPr="00727DFA">
              <w:rPr>
                <w:b/>
                <w:bCs/>
                <w:szCs w:val="24"/>
              </w:rPr>
              <w:t>Gonorrhoeae</w:t>
            </w:r>
            <w:r w:rsidRPr="00727DFA">
              <w:rPr>
                <w:b/>
                <w:bCs/>
                <w:spacing w:val="18"/>
                <w:szCs w:val="24"/>
              </w:rPr>
              <w:t xml:space="preserve"> </w:t>
            </w:r>
            <w:r w:rsidRPr="00727DFA">
              <w:rPr>
                <w:b/>
                <w:bCs/>
                <w:szCs w:val="24"/>
              </w:rPr>
              <w:t>infections:</w:t>
            </w:r>
          </w:p>
          <w:p w14:paraId="6D66B682" w14:textId="77777777" w:rsidR="007B485D" w:rsidRPr="00727DFA" w:rsidRDefault="007B485D" w:rsidP="002D6DD7">
            <w:pPr>
              <w:jc w:val="both"/>
              <w:rPr>
                <w:szCs w:val="24"/>
              </w:rPr>
            </w:pPr>
            <w:r w:rsidRPr="00727DFA">
              <w:rPr>
                <w:b/>
                <w:bCs/>
                <w:szCs w:val="24"/>
              </w:rPr>
              <w:t>Adult:</w:t>
            </w:r>
            <w:r w:rsidRPr="00727DFA">
              <w:rPr>
                <w:szCs w:val="24"/>
              </w:rPr>
              <w:t xml:space="preserve"> 500mg</w:t>
            </w:r>
            <w:r w:rsidRPr="00727DFA">
              <w:rPr>
                <w:spacing w:val="1"/>
                <w:szCs w:val="24"/>
              </w:rPr>
              <w:t xml:space="preserve"> </w:t>
            </w:r>
            <w:r w:rsidRPr="00727DFA">
              <w:rPr>
                <w:szCs w:val="24"/>
              </w:rPr>
              <w:t>IM</w:t>
            </w:r>
            <w:r w:rsidRPr="00727DFA">
              <w:rPr>
                <w:spacing w:val="1"/>
                <w:szCs w:val="24"/>
              </w:rPr>
              <w:t xml:space="preserve"> </w:t>
            </w:r>
            <w:r w:rsidRPr="00727DFA">
              <w:rPr>
                <w:szCs w:val="24"/>
              </w:rPr>
              <w:t>single</w:t>
            </w:r>
            <w:r w:rsidRPr="00727DFA">
              <w:rPr>
                <w:spacing w:val="1"/>
                <w:szCs w:val="24"/>
              </w:rPr>
              <w:t xml:space="preserve"> </w:t>
            </w:r>
            <w:r w:rsidRPr="00727DFA">
              <w:rPr>
                <w:szCs w:val="24"/>
              </w:rPr>
              <w:t xml:space="preserve">dose (for uncomplicated); for disseminated infection, 1 g every 8 hours for 7 days, may be switched 24–48 hours after symptoms improve to a suitable oral antibacterial </w:t>
            </w:r>
          </w:p>
          <w:p w14:paraId="18749336" w14:textId="77777777" w:rsidR="007B485D" w:rsidRPr="00727DFA" w:rsidRDefault="007B485D" w:rsidP="002D6DD7">
            <w:pPr>
              <w:jc w:val="both"/>
              <w:rPr>
                <w:szCs w:val="24"/>
              </w:rPr>
            </w:pPr>
            <w:r w:rsidRPr="00727DFA">
              <w:rPr>
                <w:b/>
                <w:bCs/>
                <w:szCs w:val="24"/>
              </w:rPr>
              <w:t>Emergency treatment of suspected bacterial meningitis or meningococcal disease</w:t>
            </w:r>
            <w:r w:rsidRPr="00727DFA">
              <w:rPr>
                <w:szCs w:val="24"/>
              </w:rPr>
              <w:t xml:space="preserve">: </w:t>
            </w:r>
          </w:p>
          <w:p w14:paraId="4B404D5E" w14:textId="77777777" w:rsidR="007B485D" w:rsidRPr="00727DFA" w:rsidRDefault="007B485D" w:rsidP="002D6DD7">
            <w:pPr>
              <w:jc w:val="both"/>
              <w:rPr>
                <w:szCs w:val="24"/>
              </w:rPr>
            </w:pPr>
            <w:r w:rsidRPr="00727DFA">
              <w:rPr>
                <w:szCs w:val="24"/>
              </w:rPr>
              <w:t xml:space="preserve">Before urgent transfer to hospital, in patients who cannot be given benzylpenicillin (e.g. because of an allergy) </w:t>
            </w:r>
          </w:p>
          <w:p w14:paraId="7CE4E550" w14:textId="77777777" w:rsidR="007B485D" w:rsidRPr="00727DFA" w:rsidRDefault="007B485D" w:rsidP="002D6DD7">
            <w:pPr>
              <w:jc w:val="both"/>
              <w:rPr>
                <w:szCs w:val="24"/>
              </w:rPr>
            </w:pPr>
            <w:r w:rsidRPr="00727DFA">
              <w:rPr>
                <w:b/>
                <w:bCs/>
                <w:szCs w:val="24"/>
              </w:rPr>
              <w:t>Child 1 month–11 years:</w:t>
            </w:r>
            <w:r w:rsidRPr="00727DFA">
              <w:rPr>
                <w:szCs w:val="24"/>
              </w:rPr>
              <w:t xml:space="preserve"> 50 mg/kg for 1 dose </w:t>
            </w:r>
          </w:p>
          <w:p w14:paraId="743E29EB" w14:textId="77777777" w:rsidR="007B485D" w:rsidRPr="00727DFA" w:rsidRDefault="007B485D" w:rsidP="002D6DD7">
            <w:pPr>
              <w:jc w:val="both"/>
              <w:rPr>
                <w:szCs w:val="24"/>
              </w:rPr>
            </w:pPr>
            <w:r w:rsidRPr="00727DFA">
              <w:rPr>
                <w:b/>
                <w:bCs/>
                <w:szCs w:val="24"/>
              </w:rPr>
              <w:t>Child 12–17 years:</w:t>
            </w:r>
            <w:r w:rsidRPr="00727DFA">
              <w:rPr>
                <w:szCs w:val="24"/>
              </w:rPr>
              <w:t xml:space="preserve"> 1 g for 1 dose</w:t>
            </w:r>
          </w:p>
          <w:p w14:paraId="0FDAFFF4" w14:textId="77777777" w:rsidR="007B485D" w:rsidRPr="00727DFA" w:rsidRDefault="007B485D" w:rsidP="002D6DD7">
            <w:pPr>
              <w:jc w:val="both"/>
              <w:rPr>
                <w:szCs w:val="24"/>
              </w:rPr>
            </w:pPr>
            <w:r w:rsidRPr="00727DFA">
              <w:rPr>
                <w:b/>
                <w:bCs/>
                <w:szCs w:val="24"/>
              </w:rPr>
              <w:t>Adult:</w:t>
            </w:r>
            <w:r w:rsidRPr="00727DFA">
              <w:rPr>
                <w:szCs w:val="24"/>
              </w:rPr>
              <w:t xml:space="preserve"> 1 g for 1 dose</w:t>
            </w:r>
          </w:p>
          <w:p w14:paraId="5F99F68D" w14:textId="77777777" w:rsidR="007B485D" w:rsidRPr="00727DFA" w:rsidRDefault="007B485D" w:rsidP="002D6DD7">
            <w:pPr>
              <w:jc w:val="both"/>
              <w:rPr>
                <w:rFonts w:eastAsia="DengXian"/>
                <w:szCs w:val="24"/>
              </w:rPr>
            </w:pPr>
            <w:r w:rsidRPr="00727DFA">
              <w:rPr>
                <w:rFonts w:eastAsia="DengXian"/>
                <w:b/>
                <w:szCs w:val="24"/>
              </w:rPr>
              <w:t xml:space="preserve">Pseudomonal lung infection in cystic fibrosis: </w:t>
            </w:r>
            <w:r w:rsidRPr="00727DFA">
              <w:rPr>
                <w:rFonts w:eastAsia="DengXian"/>
                <w:szCs w:val="24"/>
              </w:rPr>
              <w:t xml:space="preserve"> </w:t>
            </w:r>
          </w:p>
          <w:p w14:paraId="309460EE"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100–150 mg/kg daily in 3 divided doses, IV; maximum 9 g per day</w:t>
            </w:r>
          </w:p>
          <w:p w14:paraId="47575EE8" w14:textId="77777777" w:rsidR="007B485D" w:rsidRPr="00727DFA" w:rsidRDefault="007B485D" w:rsidP="002D6DD7">
            <w:pPr>
              <w:jc w:val="both"/>
              <w:rPr>
                <w:rFonts w:eastAsia="DengXian"/>
                <w:b/>
                <w:szCs w:val="24"/>
              </w:rPr>
            </w:pPr>
            <w:r w:rsidRPr="00727DFA">
              <w:rPr>
                <w:rFonts w:eastAsia="DengXian"/>
                <w:b/>
                <w:szCs w:val="24"/>
              </w:rPr>
              <w:lastRenderedPageBreak/>
              <w:t xml:space="preserve">Complicated urinary-tract infection: </w:t>
            </w:r>
          </w:p>
          <w:p w14:paraId="7DE0B8F4" w14:textId="77777777" w:rsidR="007B485D" w:rsidRDefault="007B485D" w:rsidP="002D6DD7">
            <w:pPr>
              <w:jc w:val="both"/>
              <w:rPr>
                <w:rFonts w:eastAsia="DengXian"/>
                <w:szCs w:val="24"/>
              </w:rPr>
            </w:pPr>
            <w:r w:rsidRPr="00727DFA">
              <w:rPr>
                <w:rFonts w:eastAsia="DengXian"/>
                <w:b/>
                <w:szCs w:val="24"/>
              </w:rPr>
              <w:t>Adult</w:t>
            </w:r>
            <w:r w:rsidRPr="00727DFA">
              <w:rPr>
                <w:rFonts w:eastAsia="DengXian"/>
                <w:szCs w:val="24"/>
              </w:rPr>
              <w:t>: 1–2 g every 8–12 hours</w:t>
            </w:r>
          </w:p>
          <w:p w14:paraId="31245E34" w14:textId="77777777" w:rsidR="007B485D" w:rsidRPr="00873AF2" w:rsidRDefault="007B485D" w:rsidP="002D6DD7">
            <w:pPr>
              <w:jc w:val="both"/>
              <w:rPr>
                <w:rFonts w:eastAsia="DengXian"/>
                <w:b/>
                <w:bCs/>
                <w:szCs w:val="24"/>
              </w:rPr>
            </w:pPr>
            <w:r w:rsidRPr="00873AF2">
              <w:rPr>
                <w:rFonts w:eastAsia="DengXian"/>
                <w:b/>
                <w:bCs/>
                <w:szCs w:val="24"/>
              </w:rPr>
              <w:t>Surgical prophylaxis:</w:t>
            </w:r>
          </w:p>
          <w:p w14:paraId="5B3ECA94" w14:textId="77777777" w:rsidR="007B485D" w:rsidRPr="00727DFA" w:rsidRDefault="007B485D" w:rsidP="002D6DD7">
            <w:pPr>
              <w:jc w:val="both"/>
              <w:rPr>
                <w:rFonts w:eastAsia="DengXian"/>
                <w:szCs w:val="24"/>
              </w:rPr>
            </w:pPr>
            <w:r w:rsidRPr="00873AF2">
              <w:rPr>
                <w:rFonts w:eastAsia="DengXian"/>
                <w:b/>
                <w:bCs/>
                <w:szCs w:val="24"/>
              </w:rPr>
              <w:t>Adult:</w:t>
            </w:r>
            <w:r>
              <w:rPr>
                <w:rFonts w:eastAsia="DengXian"/>
                <w:szCs w:val="24"/>
              </w:rPr>
              <w:t xml:space="preserve"> 1-2g IV 60 minutes before surgical procedure</w:t>
            </w:r>
          </w:p>
        </w:tc>
      </w:tr>
      <w:tr w:rsidR="007B485D" w:rsidRPr="00727DFA" w14:paraId="11C75FA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1C5F4EA"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251A8DA" w14:textId="77777777" w:rsidR="007B485D" w:rsidRPr="00727DFA" w:rsidRDefault="007B485D" w:rsidP="002D6DD7">
            <w:pPr>
              <w:tabs>
                <w:tab w:val="left" w:pos="2346"/>
                <w:tab w:val="left" w:pos="3602"/>
                <w:tab w:val="left" w:pos="3995"/>
                <w:tab w:val="left" w:pos="4578"/>
                <w:tab w:val="left" w:pos="4629"/>
                <w:tab w:val="left" w:pos="4915"/>
                <w:tab w:val="left" w:pos="5210"/>
                <w:tab w:val="left" w:pos="5526"/>
                <w:tab w:val="left" w:pos="5884"/>
                <w:tab w:val="left" w:pos="6328"/>
                <w:tab w:val="left" w:pos="6633"/>
              </w:tabs>
              <w:jc w:val="both"/>
              <w:rPr>
                <w:rFonts w:eastAsia="DengXian"/>
                <w:szCs w:val="24"/>
              </w:rPr>
            </w:pPr>
            <w:r w:rsidRPr="00727DFA">
              <w:rPr>
                <w:rFonts w:eastAsia="DengXian"/>
                <w:szCs w:val="24"/>
              </w:rPr>
              <w:t xml:space="preserve">Hypersensitivity to cefotaxime or other cephalosporins </w:t>
            </w:r>
            <w:r>
              <w:rPr>
                <w:rFonts w:eastAsia="DengXian"/>
                <w:szCs w:val="24"/>
              </w:rPr>
              <w:t xml:space="preserve">or </w:t>
            </w:r>
            <w:r w:rsidRPr="00727DFA">
              <w:rPr>
                <w:rFonts w:eastAsia="DengXian"/>
                <w:szCs w:val="24"/>
              </w:rPr>
              <w:t>penicillin</w:t>
            </w:r>
            <w:r>
              <w:rPr>
                <w:rFonts w:eastAsia="DengXian"/>
                <w:szCs w:val="24"/>
              </w:rPr>
              <w:t>s.</w:t>
            </w:r>
          </w:p>
        </w:tc>
      </w:tr>
      <w:tr w:rsidR="007B485D" w:rsidRPr="00727DFA" w14:paraId="7479A23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8AC725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AAA5B33" w14:textId="77777777" w:rsidR="007B485D" w:rsidRPr="00727DFA" w:rsidRDefault="007B485D" w:rsidP="002D6DD7">
            <w:pPr>
              <w:jc w:val="both"/>
              <w:rPr>
                <w:rFonts w:eastAsia="DengXian"/>
                <w:szCs w:val="24"/>
              </w:rPr>
            </w:pPr>
            <w:r w:rsidRPr="00727DFA">
              <w:rPr>
                <w:rFonts w:eastAsia="DengXian"/>
                <w:szCs w:val="24"/>
              </w:rPr>
              <w:t>Probenecid, furosemide, aminoglycosides, bacteriostatic antibacterials (e.g. tetracycline, erythromycin, chloramphenicol or sulfonamides)</w:t>
            </w:r>
            <w:r>
              <w:rPr>
                <w:rFonts w:eastAsia="DengXian"/>
                <w:szCs w:val="24"/>
              </w:rPr>
              <w:t>.</w:t>
            </w:r>
          </w:p>
        </w:tc>
      </w:tr>
      <w:tr w:rsidR="007B485D" w:rsidRPr="00727DFA" w14:paraId="02A0D0A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9503CF0" w14:textId="77777777" w:rsidR="007B485D" w:rsidRPr="00727DFA" w:rsidRDefault="007B485D" w:rsidP="002D6DD7">
            <w:pPr>
              <w:jc w:val="both"/>
              <w:rPr>
                <w:rFonts w:eastAsia="DengXian"/>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63ECF3B" w14:textId="77777777" w:rsidR="007B485D" w:rsidRPr="00727DFA" w:rsidRDefault="007B485D" w:rsidP="002D6DD7">
            <w:pPr>
              <w:jc w:val="both"/>
              <w:rPr>
                <w:rFonts w:eastAsia="DengXian"/>
                <w:szCs w:val="24"/>
              </w:rPr>
            </w:pPr>
            <w:r w:rsidRPr="00727DFA">
              <w:rPr>
                <w:rFonts w:eastAsia="DengXian"/>
                <w:szCs w:val="24"/>
              </w:rPr>
              <w:t>Hypersensitivity, nausea, vomiting, diarrhea, candidiasis, rashes, fever, Stevens- Johnson syndrome, thrombocytopenia, eosinophilia, leukopenia</w:t>
            </w:r>
            <w:r>
              <w:rPr>
                <w:rFonts w:eastAsia="DengXian"/>
                <w:szCs w:val="24"/>
              </w:rPr>
              <w:t>,</w:t>
            </w:r>
            <w:r w:rsidRPr="00727DFA">
              <w:rPr>
                <w:rFonts w:eastAsia="DengXian"/>
                <w:szCs w:val="24"/>
              </w:rPr>
              <w:t xml:space="preserve"> </w:t>
            </w:r>
            <w:r>
              <w:rPr>
                <w:rFonts w:eastAsia="DengXian"/>
                <w:szCs w:val="24"/>
              </w:rPr>
              <w:t>liver enzyme abnormality</w:t>
            </w:r>
            <w:r w:rsidRPr="00727DFA">
              <w:rPr>
                <w:rFonts w:eastAsia="DengXian"/>
                <w:szCs w:val="24"/>
              </w:rPr>
              <w:t>, transient pain at the site of injection, pseudomembranous colitis</w:t>
            </w:r>
            <w:r>
              <w:rPr>
                <w:rFonts w:eastAsia="DengXian"/>
                <w:szCs w:val="24"/>
              </w:rPr>
              <w:t>,</w:t>
            </w:r>
            <w:r w:rsidRPr="00727DFA">
              <w:rPr>
                <w:rFonts w:eastAsia="DengXian"/>
                <w:szCs w:val="24"/>
              </w:rPr>
              <w:t xml:space="preserve"> superinfection, Jarisch-Herxheimer reaction, hemolytic anemia, haemorrhage, headache</w:t>
            </w:r>
            <w:r>
              <w:rPr>
                <w:rFonts w:eastAsia="DengXian"/>
                <w:szCs w:val="24"/>
              </w:rPr>
              <w:t>.</w:t>
            </w:r>
          </w:p>
        </w:tc>
      </w:tr>
      <w:tr w:rsidR="007B485D" w:rsidRPr="00727DFA" w14:paraId="234062D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E7104FB"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0D9167D"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Severe</w:t>
            </w:r>
            <w:r w:rsidRPr="00727DFA">
              <w:rPr>
                <w:rFonts w:eastAsia="DengXian"/>
                <w:spacing w:val="1"/>
                <w:szCs w:val="24"/>
              </w:rPr>
              <w:t xml:space="preserve"> </w:t>
            </w:r>
            <w:r w:rsidRPr="00727DFA">
              <w:rPr>
                <w:rFonts w:eastAsia="DengXian"/>
                <w:szCs w:val="24"/>
              </w:rPr>
              <w:t>renal</w:t>
            </w:r>
            <w:r w:rsidRPr="00727DFA">
              <w:rPr>
                <w:rFonts w:eastAsia="DengXian"/>
                <w:spacing w:val="1"/>
                <w:szCs w:val="24"/>
              </w:rPr>
              <w:t xml:space="preserve"> </w:t>
            </w:r>
            <w:r w:rsidRPr="00727DFA">
              <w:rPr>
                <w:rFonts w:eastAsia="DengXian"/>
                <w:szCs w:val="24"/>
              </w:rPr>
              <w:t>impairment,</w:t>
            </w:r>
            <w:r w:rsidRPr="00727DFA">
              <w:rPr>
                <w:rFonts w:eastAsia="DengXian"/>
                <w:spacing w:val="1"/>
                <w:szCs w:val="24"/>
              </w:rPr>
              <w:t xml:space="preserve"> </w:t>
            </w:r>
            <w:r w:rsidRPr="00727DFA">
              <w:rPr>
                <w:rFonts w:eastAsia="DengXian"/>
                <w:szCs w:val="24"/>
              </w:rPr>
              <w:t>patients</w:t>
            </w:r>
            <w:r w:rsidRPr="00727DFA">
              <w:rPr>
                <w:rFonts w:eastAsia="DengXian"/>
                <w:spacing w:val="1"/>
                <w:szCs w:val="24"/>
              </w:rPr>
              <w:t xml:space="preserve"> </w:t>
            </w:r>
            <w:r w:rsidRPr="00727DFA">
              <w:rPr>
                <w:rFonts w:eastAsia="DengXian"/>
                <w:szCs w:val="24"/>
              </w:rPr>
              <w:t>with</w:t>
            </w:r>
            <w:r w:rsidRPr="00727DFA">
              <w:rPr>
                <w:rFonts w:eastAsia="DengXian"/>
                <w:spacing w:val="1"/>
                <w:szCs w:val="24"/>
              </w:rPr>
              <w:t xml:space="preserve"> </w:t>
            </w:r>
            <w:r w:rsidRPr="00727DFA">
              <w:rPr>
                <w:rFonts w:eastAsia="DengXian"/>
                <w:szCs w:val="24"/>
              </w:rPr>
              <w:t>colitis,</w:t>
            </w:r>
            <w:r w:rsidRPr="00727DFA">
              <w:rPr>
                <w:rFonts w:eastAsia="DengXian"/>
                <w:spacing w:val="1"/>
                <w:szCs w:val="24"/>
              </w:rPr>
              <w:t xml:space="preserve"> </w:t>
            </w:r>
            <w:r w:rsidRPr="00727DFA">
              <w:rPr>
                <w:rFonts w:eastAsia="DengXian"/>
                <w:szCs w:val="24"/>
              </w:rPr>
              <w:t xml:space="preserve">history of allergy or asthma, serious bullous reactions, </w:t>
            </w:r>
            <w:r w:rsidRPr="00873AF2">
              <w:rPr>
                <w:rFonts w:eastAsia="DengXian"/>
                <w:i/>
                <w:iCs/>
                <w:szCs w:val="24"/>
              </w:rPr>
              <w:t>Clostridioides difficile</w:t>
            </w:r>
            <w:r w:rsidRPr="00727DFA">
              <w:rPr>
                <w:rFonts w:eastAsia="DengXian"/>
                <w:szCs w:val="24"/>
              </w:rPr>
              <w:t xml:space="preserve"> </w:t>
            </w:r>
            <w:r>
              <w:rPr>
                <w:rFonts w:eastAsia="DengXian"/>
                <w:szCs w:val="24"/>
              </w:rPr>
              <w:t>(f</w:t>
            </w:r>
            <w:r w:rsidRPr="00873AF2">
              <w:rPr>
                <w:rFonts w:eastAsia="DengXian"/>
                <w:szCs w:val="24"/>
              </w:rPr>
              <w:t>ormerly known as </w:t>
            </w:r>
            <w:r w:rsidRPr="00873AF2">
              <w:rPr>
                <w:rFonts w:eastAsia="DengXian"/>
                <w:i/>
                <w:iCs/>
                <w:szCs w:val="24"/>
              </w:rPr>
              <w:t>Clostridium difficile</w:t>
            </w:r>
            <w:r>
              <w:rPr>
                <w:rFonts w:eastAsia="DengXian"/>
                <w:szCs w:val="24"/>
              </w:rPr>
              <w:t xml:space="preserve">) </w:t>
            </w:r>
            <w:r w:rsidRPr="00727DFA">
              <w:rPr>
                <w:rFonts w:eastAsia="DengXian"/>
                <w:szCs w:val="24"/>
              </w:rPr>
              <w:t>associated disease</w:t>
            </w:r>
            <w:r>
              <w:rPr>
                <w:rFonts w:eastAsia="DengXian"/>
                <w:szCs w:val="24"/>
              </w:rPr>
              <w:t>.</w:t>
            </w:r>
          </w:p>
        </w:tc>
      </w:tr>
      <w:tr w:rsidR="007B485D" w:rsidRPr="00727DFA" w14:paraId="0660F52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81CE37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74F4043" w14:textId="77777777" w:rsidR="007B485D" w:rsidRPr="00727DFA" w:rsidRDefault="007B485D" w:rsidP="002D6DD7">
            <w:pPr>
              <w:jc w:val="both"/>
              <w:rPr>
                <w:rFonts w:eastAsia="DengXian"/>
                <w:szCs w:val="24"/>
              </w:rPr>
            </w:pPr>
            <w:r w:rsidRPr="00727DFA">
              <w:rPr>
                <w:rFonts w:eastAsia="Times New Roman"/>
                <w:szCs w:val="24"/>
              </w:rPr>
              <w:t xml:space="preserve"> </w:t>
            </w:r>
            <w:r w:rsidRPr="00727DFA">
              <w:rPr>
                <w:rFonts w:eastAsia="DengXian"/>
                <w:szCs w:val="24"/>
              </w:rPr>
              <w:t>Store below 30⁰C</w:t>
            </w:r>
            <w:r>
              <w:rPr>
                <w:rFonts w:eastAsia="DengXian"/>
                <w:szCs w:val="24"/>
              </w:rPr>
              <w:t>.</w:t>
            </w:r>
          </w:p>
        </w:tc>
      </w:tr>
      <w:tr w:rsidR="007B485D" w:rsidRPr="00727DFA" w14:paraId="6F6627A7"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0A89B99" w14:textId="77777777" w:rsidR="007B485D" w:rsidRPr="00727DFA" w:rsidRDefault="007B485D" w:rsidP="002D6DD7">
            <w:pPr>
              <w:jc w:val="both"/>
              <w:rPr>
                <w:rFonts w:eastAsia="Times New Roman"/>
                <w:szCs w:val="24"/>
              </w:rPr>
            </w:pPr>
            <w:r w:rsidRPr="00727DFA">
              <w:rPr>
                <w:rFonts w:eastAsia="DengXian"/>
                <w:b/>
                <w:szCs w:val="24"/>
              </w:rPr>
              <w:t xml:space="preserve">Cefpodoxime </w:t>
            </w:r>
            <w:r w:rsidRPr="00587263">
              <w:rPr>
                <w:rFonts w:eastAsia="DengXian"/>
                <w:b/>
                <w:szCs w:val="24"/>
              </w:rPr>
              <w:t>(</w:t>
            </w:r>
            <w:r w:rsidRPr="00873AF2">
              <w:rPr>
                <w:rFonts w:eastAsia="DengXian"/>
                <w:b/>
                <w:szCs w:val="24"/>
              </w:rPr>
              <w:t>Watch)</w:t>
            </w:r>
          </w:p>
        </w:tc>
      </w:tr>
      <w:tr w:rsidR="007B485D" w:rsidRPr="00727DFA" w14:paraId="46441A5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D0C2129"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5610687" w14:textId="77777777" w:rsidR="007B485D" w:rsidRPr="00727DFA" w:rsidRDefault="007B485D" w:rsidP="002D6DD7">
            <w:pPr>
              <w:jc w:val="both"/>
              <w:rPr>
                <w:rFonts w:eastAsia="Times New Roman"/>
                <w:szCs w:val="24"/>
              </w:rPr>
            </w:pPr>
            <w:r w:rsidRPr="00727DFA">
              <w:rPr>
                <w:rFonts w:eastAsia="Times New Roman"/>
                <w:szCs w:val="24"/>
              </w:rPr>
              <w:t>Third generation cephalosporin</w:t>
            </w:r>
          </w:p>
        </w:tc>
      </w:tr>
      <w:tr w:rsidR="007B485D" w:rsidRPr="00727DFA" w14:paraId="7050B49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DB38FBD"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C9E2379" w14:textId="77777777" w:rsidR="007B485D" w:rsidRDefault="007B485D" w:rsidP="002D6DD7">
            <w:pPr>
              <w:jc w:val="both"/>
              <w:rPr>
                <w:rFonts w:eastAsia="DengXian"/>
                <w:szCs w:val="24"/>
              </w:rPr>
            </w:pPr>
            <w:r w:rsidRPr="00727DFA">
              <w:rPr>
                <w:rFonts w:eastAsia="DengXian"/>
                <w:szCs w:val="24"/>
              </w:rPr>
              <w:t>Tablet</w:t>
            </w:r>
            <w:r>
              <w:rPr>
                <w:rFonts w:eastAsia="DengXian"/>
                <w:szCs w:val="24"/>
              </w:rPr>
              <w:t>:</w:t>
            </w:r>
            <w:r w:rsidRPr="00727DFA">
              <w:rPr>
                <w:rFonts w:eastAsia="DengXian"/>
                <w:spacing w:val="-1"/>
                <w:szCs w:val="24"/>
              </w:rPr>
              <w:t xml:space="preserve"> </w:t>
            </w:r>
            <w:r w:rsidRPr="00727DFA">
              <w:rPr>
                <w:rFonts w:eastAsia="DengXian"/>
                <w:szCs w:val="24"/>
              </w:rPr>
              <w:t>100mg,</w:t>
            </w:r>
            <w:r w:rsidRPr="00727DFA">
              <w:rPr>
                <w:rFonts w:eastAsia="DengXian"/>
                <w:spacing w:val="-1"/>
                <w:szCs w:val="24"/>
              </w:rPr>
              <w:t xml:space="preserve"> </w:t>
            </w:r>
            <w:r w:rsidRPr="00727DFA">
              <w:rPr>
                <w:rFonts w:eastAsia="DengXian"/>
                <w:szCs w:val="24"/>
              </w:rPr>
              <w:t xml:space="preserve">200mg, </w:t>
            </w:r>
          </w:p>
          <w:p w14:paraId="49C39C51" w14:textId="77777777" w:rsidR="007B485D" w:rsidRPr="00727DFA" w:rsidRDefault="007B485D" w:rsidP="002D6DD7">
            <w:pPr>
              <w:jc w:val="both"/>
              <w:rPr>
                <w:rFonts w:eastAsia="Times New Roman"/>
                <w:szCs w:val="24"/>
              </w:rPr>
            </w:pPr>
            <w:r w:rsidRPr="00727DFA">
              <w:rPr>
                <w:rFonts w:eastAsia="DengXian"/>
                <w:szCs w:val="24"/>
              </w:rPr>
              <w:t>Granules for oral suspension</w:t>
            </w:r>
            <w:r>
              <w:rPr>
                <w:rFonts w:eastAsia="DengXian"/>
                <w:szCs w:val="24"/>
              </w:rPr>
              <w:t>:</w:t>
            </w:r>
            <w:r w:rsidRPr="00727DFA">
              <w:rPr>
                <w:rFonts w:eastAsia="DengXian"/>
                <w:szCs w:val="24"/>
              </w:rPr>
              <w:t xml:space="preserve"> 40mg/5ml</w:t>
            </w:r>
          </w:p>
        </w:tc>
      </w:tr>
      <w:tr w:rsidR="007B485D" w:rsidRPr="00727DFA" w14:paraId="310FD86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32C73D8"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B651CD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1"/>
                <w:szCs w:val="24"/>
              </w:rPr>
              <w:t xml:space="preserve">Acute otitis media caused </w:t>
            </w:r>
            <w:r w:rsidRPr="00727DFA">
              <w:rPr>
                <w:rFonts w:eastAsia="Times New Roman"/>
                <w:szCs w:val="24"/>
              </w:rPr>
              <w:t>by</w:t>
            </w:r>
            <w:r w:rsidRPr="00727DFA">
              <w:rPr>
                <w:rFonts w:eastAsia="Times New Roman"/>
                <w:spacing w:val="1"/>
                <w:szCs w:val="24"/>
              </w:rPr>
              <w:t xml:space="preserve"> </w:t>
            </w:r>
            <w:r w:rsidRPr="00727DFA">
              <w:rPr>
                <w:rFonts w:eastAsia="Times New Roman"/>
                <w:i/>
                <w:iCs/>
                <w:szCs w:val="24"/>
              </w:rPr>
              <w:t>S. pneumoniae</w:t>
            </w:r>
            <w:r w:rsidRPr="00727DFA">
              <w:rPr>
                <w:rFonts w:eastAsia="Times New Roman"/>
                <w:szCs w:val="24"/>
              </w:rPr>
              <w:t>,</w:t>
            </w:r>
            <w:r w:rsidRPr="00727DFA">
              <w:rPr>
                <w:rFonts w:eastAsia="Times New Roman"/>
                <w:spacing w:val="1"/>
                <w:szCs w:val="24"/>
              </w:rPr>
              <w:t xml:space="preserve"> </w:t>
            </w:r>
            <w:r w:rsidRPr="00727DFA">
              <w:rPr>
                <w:rFonts w:eastAsia="Times New Roman"/>
                <w:i/>
                <w:iCs/>
                <w:szCs w:val="24"/>
              </w:rPr>
              <w:t>H. influenzae</w:t>
            </w:r>
            <w:r w:rsidRPr="00727DFA">
              <w:rPr>
                <w:rFonts w:eastAsia="Times New Roman"/>
                <w:spacing w:val="1"/>
                <w:szCs w:val="24"/>
              </w:rPr>
              <w:t xml:space="preserve"> </w:t>
            </w:r>
            <w:r w:rsidRPr="00727DFA">
              <w:rPr>
                <w:rFonts w:eastAsia="Times New Roman"/>
                <w:szCs w:val="24"/>
              </w:rPr>
              <w:t>or</w:t>
            </w:r>
            <w:r w:rsidRPr="00727DFA">
              <w:rPr>
                <w:rFonts w:eastAsia="Times New Roman"/>
                <w:spacing w:val="1"/>
                <w:szCs w:val="24"/>
              </w:rPr>
              <w:t xml:space="preserve"> </w:t>
            </w:r>
            <w:r w:rsidRPr="00727DFA">
              <w:rPr>
                <w:rFonts w:eastAsia="Times New Roman"/>
                <w:i/>
                <w:iCs/>
                <w:szCs w:val="24"/>
              </w:rPr>
              <w:t>M. catarrhalis</w:t>
            </w:r>
            <w:r w:rsidRPr="00727DFA">
              <w:rPr>
                <w:rFonts w:eastAsia="Times New Roman"/>
                <w:szCs w:val="24"/>
              </w:rPr>
              <w:t xml:space="preserve">; </w:t>
            </w:r>
            <w:r w:rsidRPr="00727DFA">
              <w:rPr>
                <w:rFonts w:eastAsia="Times New Roman"/>
                <w:spacing w:val="1"/>
                <w:szCs w:val="24"/>
              </w:rPr>
              <w:t xml:space="preserve">pharyngitis and tonsillitis caused by </w:t>
            </w:r>
            <w:r w:rsidRPr="00727DFA">
              <w:rPr>
                <w:rFonts w:eastAsia="Times New Roman"/>
                <w:i/>
                <w:iCs/>
                <w:spacing w:val="1"/>
                <w:szCs w:val="24"/>
              </w:rPr>
              <w:t>S. pyogenes;</w:t>
            </w:r>
            <w:r w:rsidRPr="00727DFA">
              <w:rPr>
                <w:rFonts w:eastAsia="Times New Roman"/>
                <w:spacing w:val="1"/>
                <w:szCs w:val="24"/>
              </w:rPr>
              <w:t xml:space="preserve"> </w:t>
            </w:r>
            <w:r w:rsidRPr="00727DFA">
              <w:rPr>
                <w:rFonts w:eastAsia="Times New Roman"/>
                <w:szCs w:val="24"/>
              </w:rPr>
              <w:t xml:space="preserve">sinusitis, </w:t>
            </w:r>
            <w:r w:rsidRPr="00727DFA">
              <w:rPr>
                <w:rFonts w:eastAsia="Times New Roman"/>
                <w:spacing w:val="1"/>
                <w:szCs w:val="24"/>
              </w:rPr>
              <w:t xml:space="preserve">mild to moderate </w:t>
            </w:r>
            <w:r w:rsidRPr="00727DFA">
              <w:rPr>
                <w:rFonts w:eastAsia="Times New Roman"/>
                <w:szCs w:val="24"/>
              </w:rPr>
              <w:t>community</w:t>
            </w:r>
            <w:r w:rsidRPr="00727DFA">
              <w:rPr>
                <w:rFonts w:eastAsia="Times New Roman"/>
                <w:spacing w:val="1"/>
                <w:szCs w:val="24"/>
              </w:rPr>
              <w:t xml:space="preserve"> </w:t>
            </w:r>
            <w:r w:rsidRPr="00727DFA">
              <w:rPr>
                <w:rFonts w:eastAsia="Times New Roman"/>
                <w:szCs w:val="24"/>
              </w:rPr>
              <w:t>acquired</w:t>
            </w:r>
            <w:r w:rsidRPr="00727DFA">
              <w:rPr>
                <w:rFonts w:eastAsia="Times New Roman"/>
                <w:spacing w:val="1"/>
                <w:szCs w:val="24"/>
              </w:rPr>
              <w:t xml:space="preserve"> </w:t>
            </w:r>
            <w:r w:rsidRPr="00727DFA">
              <w:rPr>
                <w:rFonts w:eastAsia="Times New Roman"/>
                <w:szCs w:val="24"/>
              </w:rPr>
              <w:t>pneumonia caused</w:t>
            </w:r>
            <w:r w:rsidRPr="00727DFA">
              <w:rPr>
                <w:rFonts w:eastAsia="Times New Roman"/>
                <w:spacing w:val="1"/>
                <w:szCs w:val="24"/>
              </w:rPr>
              <w:t xml:space="preserve"> </w:t>
            </w:r>
            <w:r w:rsidRPr="00727DFA">
              <w:rPr>
                <w:rFonts w:eastAsia="Times New Roman"/>
                <w:szCs w:val="24"/>
              </w:rPr>
              <w:t>by</w:t>
            </w:r>
            <w:r w:rsidRPr="00727DFA">
              <w:rPr>
                <w:rFonts w:eastAsia="Times New Roman"/>
                <w:spacing w:val="1"/>
                <w:szCs w:val="24"/>
              </w:rPr>
              <w:t xml:space="preserve"> </w:t>
            </w:r>
            <w:r w:rsidRPr="008F5502">
              <w:rPr>
                <w:rFonts w:eastAsia="Times New Roman"/>
                <w:i/>
                <w:szCs w:val="24"/>
              </w:rPr>
              <w:t>S</w:t>
            </w:r>
            <w:r w:rsidRPr="00873AF2">
              <w:rPr>
                <w:rFonts w:eastAsia="Times New Roman"/>
                <w:i/>
                <w:szCs w:val="24"/>
              </w:rPr>
              <w:t>.</w:t>
            </w:r>
            <w:r w:rsidRPr="00873AF2">
              <w:rPr>
                <w:rFonts w:eastAsia="Times New Roman"/>
                <w:i/>
                <w:spacing w:val="1"/>
                <w:szCs w:val="24"/>
              </w:rPr>
              <w:t xml:space="preserve"> </w:t>
            </w:r>
            <w:r w:rsidRPr="00873AF2">
              <w:rPr>
                <w:rFonts w:eastAsia="Times New Roman"/>
                <w:i/>
                <w:szCs w:val="24"/>
              </w:rPr>
              <w:t xml:space="preserve">pneumoniae </w:t>
            </w:r>
            <w:r w:rsidRPr="00727DFA">
              <w:rPr>
                <w:rFonts w:eastAsia="Times New Roman"/>
                <w:spacing w:val="1"/>
                <w:szCs w:val="24"/>
              </w:rPr>
              <w:t xml:space="preserve">and </w:t>
            </w:r>
            <w:r w:rsidRPr="00727DFA">
              <w:rPr>
                <w:rFonts w:eastAsia="Times New Roman"/>
                <w:i/>
                <w:iCs/>
                <w:spacing w:val="1"/>
                <w:szCs w:val="24"/>
              </w:rPr>
              <w:t>H</w:t>
            </w:r>
            <w:r w:rsidRPr="00727DFA">
              <w:rPr>
                <w:rFonts w:eastAsia="Times New Roman"/>
                <w:i/>
                <w:iCs/>
                <w:szCs w:val="24"/>
              </w:rPr>
              <w:t>. influenzae</w:t>
            </w:r>
            <w:r w:rsidRPr="00727DFA">
              <w:rPr>
                <w:rFonts w:eastAsia="Times New Roman"/>
                <w:szCs w:val="24"/>
              </w:rPr>
              <w:t>; uncomplicated skin and</w:t>
            </w:r>
            <w:r w:rsidRPr="00727DFA">
              <w:rPr>
                <w:rFonts w:eastAsia="Times New Roman"/>
                <w:spacing w:val="1"/>
                <w:szCs w:val="24"/>
              </w:rPr>
              <w:t xml:space="preserve"> </w:t>
            </w:r>
            <w:r w:rsidRPr="00727DFA">
              <w:rPr>
                <w:rFonts w:eastAsia="Times New Roman"/>
                <w:szCs w:val="24"/>
              </w:rPr>
              <w:t>skin</w:t>
            </w:r>
            <w:r w:rsidRPr="00727DFA">
              <w:rPr>
                <w:rFonts w:eastAsia="Times New Roman"/>
                <w:spacing w:val="1"/>
                <w:szCs w:val="24"/>
              </w:rPr>
              <w:t xml:space="preserve"> </w:t>
            </w:r>
            <w:r w:rsidRPr="00727DFA">
              <w:rPr>
                <w:rFonts w:eastAsia="Times New Roman"/>
                <w:szCs w:val="24"/>
              </w:rPr>
              <w:t>structure</w:t>
            </w:r>
            <w:r w:rsidRPr="00727DFA">
              <w:rPr>
                <w:rFonts w:eastAsia="Times New Roman"/>
                <w:spacing w:val="1"/>
                <w:szCs w:val="24"/>
              </w:rPr>
              <w:t xml:space="preserve"> </w:t>
            </w:r>
            <w:r w:rsidRPr="00727DFA">
              <w:rPr>
                <w:rFonts w:eastAsia="Times New Roman"/>
                <w:szCs w:val="24"/>
              </w:rPr>
              <w:t>infections</w:t>
            </w:r>
            <w:r w:rsidRPr="00727DFA">
              <w:rPr>
                <w:rFonts w:eastAsia="Times New Roman"/>
                <w:spacing w:val="1"/>
                <w:szCs w:val="24"/>
              </w:rPr>
              <w:t xml:space="preserve"> </w:t>
            </w:r>
            <w:r w:rsidRPr="00727DFA">
              <w:rPr>
                <w:rFonts w:eastAsia="Times New Roman"/>
                <w:szCs w:val="24"/>
              </w:rPr>
              <w:t>caused</w:t>
            </w:r>
            <w:r w:rsidRPr="00727DFA">
              <w:rPr>
                <w:rFonts w:eastAsia="Times New Roman"/>
                <w:spacing w:val="1"/>
                <w:szCs w:val="24"/>
              </w:rPr>
              <w:t xml:space="preserve"> </w:t>
            </w:r>
            <w:r w:rsidRPr="00727DFA">
              <w:rPr>
                <w:rFonts w:eastAsia="Times New Roman"/>
                <w:szCs w:val="24"/>
              </w:rPr>
              <w:t xml:space="preserve">by </w:t>
            </w:r>
            <w:r w:rsidRPr="00727DFA">
              <w:rPr>
                <w:rFonts w:eastAsia="Times New Roman"/>
                <w:i/>
                <w:iCs/>
                <w:szCs w:val="24"/>
              </w:rPr>
              <w:t>S.</w:t>
            </w:r>
            <w:r w:rsidRPr="00727DFA">
              <w:rPr>
                <w:rFonts w:eastAsia="Times New Roman"/>
                <w:i/>
                <w:iCs/>
                <w:spacing w:val="1"/>
                <w:szCs w:val="24"/>
              </w:rPr>
              <w:t xml:space="preserve"> </w:t>
            </w:r>
            <w:r w:rsidRPr="00727DFA">
              <w:rPr>
                <w:rFonts w:eastAsia="Times New Roman"/>
                <w:i/>
                <w:iCs/>
                <w:szCs w:val="24"/>
              </w:rPr>
              <w:t>aureus</w:t>
            </w:r>
            <w:r w:rsidRPr="00727DFA">
              <w:rPr>
                <w:rFonts w:eastAsia="Times New Roman"/>
                <w:spacing w:val="1"/>
                <w:szCs w:val="24"/>
              </w:rPr>
              <w:t xml:space="preserve"> </w:t>
            </w:r>
            <w:r w:rsidRPr="00727DFA">
              <w:rPr>
                <w:rFonts w:eastAsia="Times New Roman"/>
                <w:szCs w:val="24"/>
              </w:rPr>
              <w:t xml:space="preserve">or </w:t>
            </w:r>
            <w:r w:rsidRPr="00727DFA">
              <w:rPr>
                <w:rFonts w:eastAsia="Times New Roman"/>
                <w:i/>
                <w:iCs/>
                <w:szCs w:val="24"/>
              </w:rPr>
              <w:t>S. pyogenes</w:t>
            </w:r>
            <w:r w:rsidRPr="00727DFA">
              <w:rPr>
                <w:rFonts w:eastAsia="Times New Roman"/>
                <w:szCs w:val="24"/>
              </w:rPr>
              <w:t>, and uncomplicated UTI</w:t>
            </w:r>
            <w:r w:rsidRPr="00727DFA">
              <w:rPr>
                <w:rFonts w:eastAsia="Times New Roman"/>
                <w:spacing w:val="1"/>
                <w:szCs w:val="24"/>
              </w:rPr>
              <w:t xml:space="preserve"> </w:t>
            </w:r>
            <w:r w:rsidRPr="00727DFA">
              <w:rPr>
                <w:rFonts w:eastAsia="Times New Roman"/>
                <w:szCs w:val="24"/>
              </w:rPr>
              <w:t>caused</w:t>
            </w:r>
            <w:r w:rsidRPr="00727DFA">
              <w:rPr>
                <w:rFonts w:eastAsia="Times New Roman"/>
                <w:spacing w:val="-1"/>
                <w:szCs w:val="24"/>
              </w:rPr>
              <w:t xml:space="preserve"> </w:t>
            </w:r>
            <w:r w:rsidRPr="00727DFA">
              <w:rPr>
                <w:rFonts w:eastAsia="Times New Roman"/>
                <w:szCs w:val="24"/>
              </w:rPr>
              <w:t>by</w:t>
            </w:r>
            <w:r w:rsidRPr="00727DFA">
              <w:rPr>
                <w:rFonts w:eastAsia="Times New Roman"/>
                <w:spacing w:val="-5"/>
                <w:szCs w:val="24"/>
              </w:rPr>
              <w:t xml:space="preserve"> </w:t>
            </w:r>
            <w:r w:rsidRPr="00727DFA">
              <w:rPr>
                <w:rFonts w:eastAsia="Times New Roman"/>
                <w:i/>
                <w:iCs/>
                <w:szCs w:val="24"/>
              </w:rPr>
              <w:t>E. coli,</w:t>
            </w:r>
            <w:r w:rsidRPr="00727DFA">
              <w:rPr>
                <w:rFonts w:eastAsia="Times New Roman"/>
                <w:szCs w:val="24"/>
              </w:rPr>
              <w:t xml:space="preserve"> </w:t>
            </w:r>
            <w:r w:rsidRPr="00727DFA">
              <w:rPr>
                <w:rFonts w:eastAsia="Times New Roman"/>
                <w:i/>
                <w:iCs/>
                <w:szCs w:val="24"/>
              </w:rPr>
              <w:t>Klebsiella</w:t>
            </w:r>
            <w:r w:rsidRPr="00727DFA">
              <w:rPr>
                <w:rFonts w:eastAsia="Times New Roman"/>
                <w:szCs w:val="24"/>
              </w:rPr>
              <w:t xml:space="preserve">, and </w:t>
            </w:r>
            <w:r w:rsidRPr="00727DFA">
              <w:rPr>
                <w:rFonts w:eastAsia="Times New Roman"/>
                <w:i/>
                <w:iCs/>
                <w:szCs w:val="24"/>
              </w:rPr>
              <w:t>Proteus</w:t>
            </w:r>
            <w:r w:rsidRPr="00727DFA">
              <w:rPr>
                <w:rFonts w:eastAsia="Times New Roman"/>
                <w:szCs w:val="24"/>
              </w:rPr>
              <w:t xml:space="preserve">. </w:t>
            </w:r>
          </w:p>
        </w:tc>
      </w:tr>
      <w:tr w:rsidR="007B485D" w:rsidRPr="00727DFA" w14:paraId="3D11749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7EE4DD3"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C2C6009" w14:textId="77777777" w:rsidR="007B485D" w:rsidRPr="00727DFA" w:rsidRDefault="007B485D" w:rsidP="002D6DD7">
            <w:pPr>
              <w:jc w:val="both"/>
              <w:rPr>
                <w:rFonts w:eastAsia="DengXian"/>
                <w:b/>
                <w:spacing w:val="1"/>
                <w:szCs w:val="24"/>
              </w:rPr>
            </w:pPr>
            <w:r w:rsidRPr="00727DFA">
              <w:rPr>
                <w:rFonts w:eastAsia="DengXian"/>
                <w:b/>
                <w:bCs/>
                <w:szCs w:val="24"/>
              </w:rPr>
              <w:t>Adult and Child≥ 12 years;</w:t>
            </w:r>
            <w:r w:rsidRPr="00727DFA">
              <w:rPr>
                <w:rFonts w:eastAsia="DengXian"/>
                <w:szCs w:val="24"/>
              </w:rPr>
              <w:t xml:space="preserve"> </w:t>
            </w:r>
            <w:r w:rsidRPr="00727DFA">
              <w:rPr>
                <w:rFonts w:eastAsia="DengXian"/>
                <w:b/>
                <w:bCs/>
                <w:szCs w:val="24"/>
              </w:rPr>
              <w:t>Oral:</w:t>
            </w:r>
            <w:r w:rsidRPr="00727DFA">
              <w:rPr>
                <w:rFonts w:eastAsia="DengXian"/>
                <w:b/>
                <w:spacing w:val="1"/>
                <w:szCs w:val="24"/>
              </w:rPr>
              <w:t xml:space="preserve"> </w:t>
            </w:r>
          </w:p>
          <w:p w14:paraId="6D6CFE93" w14:textId="77777777" w:rsidR="007B485D" w:rsidRPr="00727DFA" w:rsidRDefault="007B485D" w:rsidP="002D6DD7">
            <w:pPr>
              <w:jc w:val="both"/>
              <w:rPr>
                <w:rFonts w:eastAsia="DengXian"/>
                <w:b/>
                <w:szCs w:val="24"/>
              </w:rPr>
            </w:pPr>
            <w:r w:rsidRPr="00727DFA">
              <w:rPr>
                <w:rFonts w:eastAsia="DengXian"/>
                <w:b/>
                <w:szCs w:val="24"/>
              </w:rPr>
              <w:t>Acute</w:t>
            </w:r>
            <w:r w:rsidRPr="00727DFA">
              <w:rPr>
                <w:rFonts w:eastAsia="DengXian"/>
                <w:b/>
                <w:spacing w:val="1"/>
                <w:szCs w:val="24"/>
              </w:rPr>
              <w:t xml:space="preserve"> </w:t>
            </w:r>
            <w:r w:rsidRPr="00727DFA">
              <w:rPr>
                <w:rFonts w:eastAsia="DengXian"/>
                <w:b/>
                <w:szCs w:val="24"/>
              </w:rPr>
              <w:t>community-acquired</w:t>
            </w:r>
            <w:r w:rsidRPr="00727DFA">
              <w:rPr>
                <w:rFonts w:eastAsia="DengXian"/>
                <w:b/>
                <w:spacing w:val="1"/>
                <w:szCs w:val="24"/>
              </w:rPr>
              <w:t xml:space="preserve"> </w:t>
            </w:r>
            <w:r w:rsidRPr="00727DFA">
              <w:rPr>
                <w:rFonts w:eastAsia="DengXian"/>
                <w:b/>
                <w:szCs w:val="24"/>
              </w:rPr>
              <w:t>pneumonia and acute</w:t>
            </w:r>
            <w:r w:rsidRPr="00727DFA">
              <w:rPr>
                <w:rFonts w:eastAsia="DengXian"/>
                <w:b/>
                <w:spacing w:val="1"/>
                <w:szCs w:val="24"/>
              </w:rPr>
              <w:t xml:space="preserve"> </w:t>
            </w:r>
            <w:r w:rsidRPr="00727DFA">
              <w:rPr>
                <w:rFonts w:eastAsia="DengXian"/>
                <w:b/>
                <w:szCs w:val="24"/>
              </w:rPr>
              <w:t>maxillary</w:t>
            </w:r>
            <w:r w:rsidRPr="00727DFA">
              <w:rPr>
                <w:rFonts w:eastAsia="DengXian"/>
                <w:b/>
                <w:spacing w:val="1"/>
                <w:szCs w:val="24"/>
              </w:rPr>
              <w:t xml:space="preserve"> </w:t>
            </w:r>
            <w:r w:rsidRPr="00727DFA">
              <w:rPr>
                <w:rFonts w:eastAsia="DengXian"/>
                <w:b/>
                <w:szCs w:val="24"/>
              </w:rPr>
              <w:t>sinusitis</w:t>
            </w:r>
            <w:r w:rsidRPr="00727DFA">
              <w:rPr>
                <w:rFonts w:eastAsia="DengXian"/>
                <w:bCs/>
                <w:szCs w:val="24"/>
              </w:rPr>
              <w:t xml:space="preserve">: </w:t>
            </w:r>
            <w:r w:rsidRPr="00727DFA">
              <w:rPr>
                <w:rFonts w:eastAsia="DengXian"/>
                <w:szCs w:val="24"/>
              </w:rPr>
              <w:t xml:space="preserve">200 mg every 12 hours </w:t>
            </w:r>
          </w:p>
          <w:p w14:paraId="096F4E48" w14:textId="77777777" w:rsidR="007B485D" w:rsidRPr="00727DFA" w:rsidRDefault="007B485D" w:rsidP="002D6DD7">
            <w:pPr>
              <w:jc w:val="both"/>
              <w:rPr>
                <w:rFonts w:eastAsia="DengXian"/>
                <w:szCs w:val="24"/>
              </w:rPr>
            </w:pPr>
            <w:r w:rsidRPr="00727DFA">
              <w:rPr>
                <w:rFonts w:eastAsia="DengXian"/>
                <w:b/>
                <w:szCs w:val="24"/>
              </w:rPr>
              <w:lastRenderedPageBreak/>
              <w:t>Skin and skin structure:</w:t>
            </w:r>
            <w:r w:rsidRPr="00727DFA">
              <w:rPr>
                <w:rFonts w:eastAsia="DengXian"/>
                <w:szCs w:val="24"/>
              </w:rPr>
              <w:t xml:space="preserve"> 400mg every 12 hours</w:t>
            </w:r>
          </w:p>
          <w:p w14:paraId="0E1AE3D2" w14:textId="77777777" w:rsidR="007B485D" w:rsidRPr="00727DFA" w:rsidRDefault="007B485D" w:rsidP="002D6DD7">
            <w:pPr>
              <w:jc w:val="both"/>
              <w:rPr>
                <w:rFonts w:eastAsia="DengXian"/>
                <w:szCs w:val="24"/>
              </w:rPr>
            </w:pPr>
            <w:r w:rsidRPr="00727DFA">
              <w:rPr>
                <w:rFonts w:eastAsia="DengXian"/>
                <w:b/>
                <w:szCs w:val="24"/>
              </w:rPr>
              <w:t>Uncomplicated gonorrhea (male and female) and rectal</w:t>
            </w:r>
            <w:r w:rsidRPr="00727DFA">
              <w:rPr>
                <w:rFonts w:eastAsia="DengXian"/>
                <w:b/>
                <w:spacing w:val="1"/>
                <w:szCs w:val="24"/>
              </w:rPr>
              <w:t xml:space="preserve"> </w:t>
            </w:r>
            <w:r w:rsidRPr="00727DFA">
              <w:rPr>
                <w:rFonts w:eastAsia="DengXian"/>
                <w:b/>
                <w:szCs w:val="24"/>
              </w:rPr>
              <w:t>gonococcal</w:t>
            </w:r>
            <w:r w:rsidRPr="00727DFA">
              <w:rPr>
                <w:rFonts w:eastAsia="DengXian"/>
                <w:b/>
                <w:spacing w:val="1"/>
                <w:szCs w:val="24"/>
              </w:rPr>
              <w:t xml:space="preserve"> </w:t>
            </w:r>
            <w:r w:rsidRPr="00727DFA">
              <w:rPr>
                <w:rFonts w:eastAsia="DengXian"/>
                <w:b/>
                <w:szCs w:val="24"/>
              </w:rPr>
              <w:t>infections</w:t>
            </w:r>
            <w:r w:rsidRPr="00727DFA">
              <w:rPr>
                <w:rFonts w:eastAsia="DengXian"/>
                <w:b/>
                <w:spacing w:val="1"/>
                <w:szCs w:val="24"/>
              </w:rPr>
              <w:t xml:space="preserve"> </w:t>
            </w:r>
            <w:r w:rsidRPr="00727DFA">
              <w:rPr>
                <w:rFonts w:eastAsia="DengXian"/>
                <w:b/>
                <w:szCs w:val="24"/>
              </w:rPr>
              <w:t>(female):</w:t>
            </w:r>
            <w:r w:rsidRPr="00727DFA">
              <w:rPr>
                <w:rFonts w:eastAsia="DengXian"/>
                <w:spacing w:val="1"/>
                <w:szCs w:val="24"/>
              </w:rPr>
              <w:t xml:space="preserve"> </w:t>
            </w:r>
            <w:r w:rsidRPr="00727DFA">
              <w:rPr>
                <w:rFonts w:eastAsia="DengXian"/>
                <w:szCs w:val="24"/>
              </w:rPr>
              <w:t>200mg</w:t>
            </w:r>
            <w:r w:rsidRPr="00727DFA">
              <w:rPr>
                <w:rFonts w:eastAsia="DengXian"/>
                <w:spacing w:val="1"/>
                <w:szCs w:val="24"/>
              </w:rPr>
              <w:t xml:space="preserve"> </w:t>
            </w:r>
            <w:r w:rsidRPr="00727DFA">
              <w:rPr>
                <w:rFonts w:eastAsia="DengXian"/>
                <w:szCs w:val="24"/>
              </w:rPr>
              <w:t>as</w:t>
            </w:r>
            <w:r w:rsidRPr="00727DFA">
              <w:rPr>
                <w:rFonts w:eastAsia="DengXian"/>
                <w:spacing w:val="1"/>
                <w:szCs w:val="24"/>
              </w:rPr>
              <w:t xml:space="preserve"> </w:t>
            </w:r>
            <w:r w:rsidRPr="00727DFA">
              <w:rPr>
                <w:rFonts w:eastAsia="DengXian"/>
                <w:szCs w:val="24"/>
              </w:rPr>
              <w:t>a</w:t>
            </w:r>
            <w:r w:rsidRPr="00727DFA">
              <w:rPr>
                <w:rFonts w:eastAsia="DengXian"/>
                <w:spacing w:val="1"/>
                <w:szCs w:val="24"/>
              </w:rPr>
              <w:t xml:space="preserve"> </w:t>
            </w:r>
            <w:r w:rsidRPr="00727DFA">
              <w:rPr>
                <w:rFonts w:eastAsia="DengXian"/>
                <w:szCs w:val="24"/>
              </w:rPr>
              <w:t>single</w:t>
            </w:r>
            <w:r w:rsidRPr="00727DFA">
              <w:rPr>
                <w:rFonts w:eastAsia="DengXian"/>
                <w:spacing w:val="1"/>
                <w:szCs w:val="24"/>
              </w:rPr>
              <w:t xml:space="preserve"> </w:t>
            </w:r>
            <w:r w:rsidRPr="00727DFA">
              <w:rPr>
                <w:rFonts w:eastAsia="DengXian"/>
                <w:szCs w:val="24"/>
              </w:rPr>
              <w:t>dose</w:t>
            </w:r>
            <w:r w:rsidRPr="00727DFA">
              <w:rPr>
                <w:rFonts w:eastAsia="DengXian"/>
                <w:spacing w:val="1"/>
                <w:szCs w:val="24"/>
              </w:rPr>
              <w:t xml:space="preserve"> </w:t>
            </w:r>
          </w:p>
          <w:p w14:paraId="38A2A397" w14:textId="77777777" w:rsidR="007B485D" w:rsidRPr="00727DFA" w:rsidRDefault="007B485D" w:rsidP="002D6DD7">
            <w:pPr>
              <w:jc w:val="both"/>
              <w:rPr>
                <w:rFonts w:eastAsia="DengXian"/>
                <w:szCs w:val="24"/>
              </w:rPr>
            </w:pPr>
            <w:r w:rsidRPr="00727DFA">
              <w:rPr>
                <w:rFonts w:eastAsia="DengXian"/>
                <w:b/>
                <w:szCs w:val="24"/>
              </w:rPr>
              <w:t>Pharyngitis/tonsillitis and Uncomplicated</w:t>
            </w:r>
            <w:r w:rsidRPr="00727DFA">
              <w:rPr>
                <w:rFonts w:eastAsia="DengXian"/>
                <w:b/>
                <w:spacing w:val="1"/>
                <w:szCs w:val="24"/>
              </w:rPr>
              <w:t xml:space="preserve"> </w:t>
            </w:r>
            <w:r w:rsidRPr="00727DFA">
              <w:rPr>
                <w:rFonts w:eastAsia="DengXian"/>
                <w:b/>
                <w:szCs w:val="24"/>
              </w:rPr>
              <w:t>urinary</w:t>
            </w:r>
            <w:r w:rsidRPr="00727DFA">
              <w:rPr>
                <w:rFonts w:eastAsia="DengXian"/>
                <w:b/>
                <w:spacing w:val="1"/>
                <w:szCs w:val="24"/>
              </w:rPr>
              <w:t xml:space="preserve"> </w:t>
            </w:r>
            <w:r w:rsidRPr="00727DFA">
              <w:rPr>
                <w:rFonts w:eastAsia="DengXian"/>
                <w:b/>
                <w:szCs w:val="24"/>
              </w:rPr>
              <w:t>tract</w:t>
            </w:r>
            <w:r w:rsidRPr="00727DFA">
              <w:rPr>
                <w:rFonts w:eastAsia="DengXian"/>
                <w:b/>
                <w:spacing w:val="1"/>
                <w:szCs w:val="24"/>
              </w:rPr>
              <w:t xml:space="preserve"> </w:t>
            </w:r>
            <w:r w:rsidRPr="00727DFA">
              <w:rPr>
                <w:rFonts w:eastAsia="DengXian"/>
                <w:b/>
                <w:szCs w:val="24"/>
              </w:rPr>
              <w:t>infection:</w:t>
            </w:r>
            <w:r w:rsidRPr="00727DFA">
              <w:rPr>
                <w:rFonts w:eastAsia="DengXian"/>
                <w:spacing w:val="1"/>
                <w:szCs w:val="24"/>
              </w:rPr>
              <w:t xml:space="preserve"> </w:t>
            </w:r>
            <w:r w:rsidRPr="00727DFA">
              <w:rPr>
                <w:rFonts w:eastAsia="DengXian"/>
                <w:szCs w:val="24"/>
              </w:rPr>
              <w:t>100mg</w:t>
            </w:r>
            <w:r w:rsidRPr="00727DFA">
              <w:rPr>
                <w:rFonts w:eastAsia="DengXian"/>
                <w:spacing w:val="1"/>
                <w:szCs w:val="24"/>
              </w:rPr>
              <w:t xml:space="preserve"> </w:t>
            </w:r>
            <w:r w:rsidRPr="00727DFA">
              <w:rPr>
                <w:rFonts w:eastAsia="DengXian"/>
                <w:szCs w:val="24"/>
              </w:rPr>
              <w:t>every</w:t>
            </w:r>
            <w:r w:rsidRPr="00727DFA">
              <w:rPr>
                <w:rFonts w:eastAsia="DengXian"/>
                <w:spacing w:val="1"/>
                <w:szCs w:val="24"/>
              </w:rPr>
              <w:t xml:space="preserve"> </w:t>
            </w:r>
            <w:r w:rsidRPr="00727DFA">
              <w:rPr>
                <w:rFonts w:eastAsia="DengXian"/>
                <w:szCs w:val="24"/>
              </w:rPr>
              <w:t>12</w:t>
            </w:r>
            <w:r w:rsidRPr="00727DFA">
              <w:rPr>
                <w:rFonts w:eastAsia="DengXian"/>
                <w:spacing w:val="1"/>
                <w:szCs w:val="24"/>
              </w:rPr>
              <w:t xml:space="preserve"> </w:t>
            </w:r>
            <w:r w:rsidRPr="00727DFA">
              <w:rPr>
                <w:rFonts w:eastAsia="DengXian"/>
                <w:szCs w:val="24"/>
              </w:rPr>
              <w:t>hours</w:t>
            </w:r>
            <w:r w:rsidRPr="00727DFA">
              <w:rPr>
                <w:rFonts w:eastAsia="DengXian"/>
                <w:spacing w:val="1"/>
                <w:szCs w:val="24"/>
              </w:rPr>
              <w:t xml:space="preserve"> </w:t>
            </w:r>
          </w:p>
          <w:p w14:paraId="526AA974" w14:textId="77777777" w:rsidR="007B485D" w:rsidRPr="00727DFA" w:rsidRDefault="007B485D" w:rsidP="002D6DD7">
            <w:pPr>
              <w:jc w:val="both"/>
              <w:rPr>
                <w:rFonts w:eastAsia="DengXian"/>
                <w:b/>
                <w:spacing w:val="1"/>
                <w:szCs w:val="24"/>
              </w:rPr>
            </w:pPr>
            <w:r w:rsidRPr="00727DFA">
              <w:rPr>
                <w:rFonts w:eastAsia="DengXian"/>
                <w:b/>
                <w:szCs w:val="24"/>
              </w:rPr>
              <w:t>Child</w:t>
            </w:r>
            <w:r w:rsidRPr="00727DFA">
              <w:rPr>
                <w:rFonts w:eastAsia="DengXian"/>
                <w:b/>
                <w:spacing w:val="1"/>
                <w:szCs w:val="24"/>
              </w:rPr>
              <w:t xml:space="preserve"> </w:t>
            </w:r>
            <w:r w:rsidRPr="00727DFA">
              <w:rPr>
                <w:rFonts w:eastAsia="DengXian"/>
                <w:b/>
                <w:szCs w:val="24"/>
              </w:rPr>
              <w:t>2</w:t>
            </w:r>
            <w:r w:rsidRPr="00727DFA">
              <w:rPr>
                <w:rFonts w:eastAsia="DengXian"/>
                <w:b/>
                <w:spacing w:val="1"/>
                <w:szCs w:val="24"/>
              </w:rPr>
              <w:t xml:space="preserve"> </w:t>
            </w:r>
            <w:r w:rsidRPr="00727DFA">
              <w:rPr>
                <w:rFonts w:eastAsia="DengXian"/>
                <w:b/>
                <w:szCs w:val="24"/>
              </w:rPr>
              <w:t>months</w:t>
            </w:r>
            <w:r w:rsidRPr="00727DFA">
              <w:rPr>
                <w:rFonts w:eastAsia="DengXian"/>
                <w:b/>
                <w:spacing w:val="1"/>
                <w:szCs w:val="24"/>
              </w:rPr>
              <w:t xml:space="preserve"> </w:t>
            </w:r>
            <w:r w:rsidRPr="00727DFA">
              <w:rPr>
                <w:rFonts w:eastAsia="DengXian"/>
                <w:b/>
                <w:szCs w:val="24"/>
              </w:rPr>
              <w:t>to</w:t>
            </w:r>
            <w:r w:rsidRPr="00727DFA">
              <w:rPr>
                <w:rFonts w:eastAsia="DengXian"/>
                <w:b/>
                <w:spacing w:val="1"/>
                <w:szCs w:val="24"/>
              </w:rPr>
              <w:t xml:space="preserve"> </w:t>
            </w:r>
            <w:r w:rsidRPr="00727DFA">
              <w:rPr>
                <w:rFonts w:eastAsia="DengXian"/>
                <w:b/>
                <w:szCs w:val="24"/>
              </w:rPr>
              <w:t>12</w:t>
            </w:r>
            <w:r w:rsidRPr="00727DFA">
              <w:rPr>
                <w:rFonts w:eastAsia="DengXian"/>
                <w:b/>
                <w:spacing w:val="1"/>
                <w:szCs w:val="24"/>
              </w:rPr>
              <w:t xml:space="preserve"> </w:t>
            </w:r>
            <w:r w:rsidRPr="00727DFA">
              <w:rPr>
                <w:rFonts w:eastAsia="DengXian"/>
                <w:b/>
                <w:szCs w:val="24"/>
              </w:rPr>
              <w:t>years; Oral:</w:t>
            </w:r>
            <w:r w:rsidRPr="00727DFA">
              <w:rPr>
                <w:rFonts w:eastAsia="DengXian"/>
                <w:b/>
                <w:spacing w:val="1"/>
                <w:szCs w:val="24"/>
              </w:rPr>
              <w:t xml:space="preserve"> </w:t>
            </w:r>
          </w:p>
          <w:p w14:paraId="60F3998F" w14:textId="77777777" w:rsidR="007B485D" w:rsidRPr="00727DFA" w:rsidRDefault="007B485D" w:rsidP="002D6DD7">
            <w:pPr>
              <w:jc w:val="both"/>
              <w:rPr>
                <w:rFonts w:eastAsia="DengXian"/>
                <w:spacing w:val="1"/>
                <w:szCs w:val="24"/>
              </w:rPr>
            </w:pPr>
            <w:r w:rsidRPr="00727DFA">
              <w:rPr>
                <w:rFonts w:eastAsia="DengXian"/>
                <w:b/>
                <w:szCs w:val="24"/>
              </w:rPr>
              <w:t>Acute</w:t>
            </w:r>
            <w:r w:rsidRPr="00727DFA">
              <w:rPr>
                <w:rFonts w:eastAsia="DengXian"/>
                <w:b/>
                <w:spacing w:val="1"/>
                <w:szCs w:val="24"/>
              </w:rPr>
              <w:t xml:space="preserve"> </w:t>
            </w:r>
            <w:r w:rsidRPr="00727DFA">
              <w:rPr>
                <w:rFonts w:eastAsia="DengXian"/>
                <w:b/>
                <w:szCs w:val="24"/>
              </w:rPr>
              <w:t>otitis</w:t>
            </w:r>
            <w:r w:rsidRPr="00727DFA">
              <w:rPr>
                <w:rFonts w:eastAsia="DengXian"/>
                <w:b/>
                <w:spacing w:val="-57"/>
                <w:szCs w:val="24"/>
              </w:rPr>
              <w:t xml:space="preserve"> </w:t>
            </w:r>
            <w:r w:rsidRPr="00727DFA">
              <w:rPr>
                <w:rFonts w:eastAsia="DengXian"/>
                <w:b/>
                <w:szCs w:val="24"/>
              </w:rPr>
              <w:t>media and acute</w:t>
            </w:r>
            <w:r w:rsidRPr="00727DFA">
              <w:rPr>
                <w:rFonts w:eastAsia="DengXian"/>
                <w:b/>
                <w:spacing w:val="1"/>
                <w:szCs w:val="24"/>
              </w:rPr>
              <w:t xml:space="preserve"> </w:t>
            </w:r>
            <w:r w:rsidRPr="00727DFA">
              <w:rPr>
                <w:rFonts w:eastAsia="DengXian"/>
                <w:b/>
                <w:szCs w:val="24"/>
              </w:rPr>
              <w:t>maxillary</w:t>
            </w:r>
            <w:r w:rsidRPr="00727DFA">
              <w:rPr>
                <w:rFonts w:eastAsia="DengXian"/>
                <w:b/>
                <w:spacing w:val="1"/>
                <w:szCs w:val="24"/>
              </w:rPr>
              <w:t xml:space="preserve"> </w:t>
            </w:r>
            <w:r w:rsidRPr="00727DFA">
              <w:rPr>
                <w:rFonts w:eastAsia="DengXian"/>
                <w:b/>
                <w:szCs w:val="24"/>
              </w:rPr>
              <w:t>sinusitis:</w:t>
            </w:r>
            <w:r w:rsidRPr="00727DFA">
              <w:rPr>
                <w:rFonts w:eastAsia="DengXian"/>
                <w:szCs w:val="24"/>
              </w:rPr>
              <w:t xml:space="preserve"> 10mg/kg/day divided every 12 hours (maximum:</w:t>
            </w:r>
            <w:r w:rsidRPr="00727DFA">
              <w:rPr>
                <w:rFonts w:eastAsia="DengXian"/>
                <w:spacing w:val="1"/>
                <w:szCs w:val="24"/>
              </w:rPr>
              <w:t xml:space="preserve"> </w:t>
            </w:r>
            <w:r w:rsidRPr="00727DFA">
              <w:rPr>
                <w:rFonts w:eastAsia="DengXian"/>
                <w:szCs w:val="24"/>
              </w:rPr>
              <w:t>200mg/dose)</w:t>
            </w:r>
            <w:r w:rsidRPr="00727DFA">
              <w:rPr>
                <w:rFonts w:eastAsia="DengXian"/>
                <w:spacing w:val="1"/>
                <w:szCs w:val="24"/>
              </w:rPr>
              <w:t xml:space="preserve"> </w:t>
            </w:r>
          </w:p>
          <w:p w14:paraId="7C56FBA8" w14:textId="77777777" w:rsidR="007B485D" w:rsidRPr="00727DFA" w:rsidRDefault="007B485D" w:rsidP="002D6DD7">
            <w:pPr>
              <w:jc w:val="both"/>
              <w:rPr>
                <w:rFonts w:eastAsia="DengXian"/>
                <w:spacing w:val="1"/>
                <w:szCs w:val="24"/>
              </w:rPr>
            </w:pPr>
            <w:r w:rsidRPr="00727DFA">
              <w:rPr>
                <w:rFonts w:eastAsia="DengXian"/>
                <w:b/>
                <w:szCs w:val="24"/>
              </w:rPr>
              <w:t>Pharyngitis/tonsillitis:</w:t>
            </w:r>
            <w:r w:rsidRPr="00727DFA">
              <w:rPr>
                <w:rFonts w:eastAsia="DengXian"/>
                <w:bCs/>
                <w:szCs w:val="24"/>
              </w:rPr>
              <w:t xml:space="preserve"> </w:t>
            </w:r>
            <w:r w:rsidRPr="00727DFA">
              <w:rPr>
                <w:rFonts w:eastAsia="DengXian"/>
                <w:szCs w:val="24"/>
              </w:rPr>
              <w:t>5mg/kg/day divided every 12 hours (maximum:</w:t>
            </w:r>
            <w:r w:rsidRPr="00727DFA">
              <w:rPr>
                <w:rFonts w:eastAsia="DengXian"/>
                <w:spacing w:val="1"/>
                <w:szCs w:val="24"/>
              </w:rPr>
              <w:t xml:space="preserve"> </w:t>
            </w:r>
            <w:r w:rsidRPr="00727DFA">
              <w:rPr>
                <w:rFonts w:eastAsia="DengXian"/>
                <w:szCs w:val="24"/>
              </w:rPr>
              <w:t>100mg/dose)</w:t>
            </w:r>
          </w:p>
          <w:p w14:paraId="30014DC6" w14:textId="77777777" w:rsidR="007B485D" w:rsidRPr="00727DFA" w:rsidRDefault="007B485D" w:rsidP="002D6DD7">
            <w:pPr>
              <w:jc w:val="both"/>
              <w:rPr>
                <w:rFonts w:eastAsia="DengXian"/>
                <w:b/>
                <w:szCs w:val="24"/>
              </w:rPr>
            </w:pPr>
            <w:r w:rsidRPr="00566999">
              <w:rPr>
                <w:rFonts w:eastAsia="DengXian"/>
                <w:i/>
                <w:szCs w:val="24"/>
              </w:rPr>
              <w:t>Note:</w:t>
            </w:r>
            <w:r w:rsidRPr="00727DFA">
              <w:rPr>
                <w:rFonts w:eastAsia="DengXian"/>
                <w:szCs w:val="24"/>
              </w:rPr>
              <w:t xml:space="preserve"> </w:t>
            </w:r>
            <w:r w:rsidRPr="00873AF2">
              <w:rPr>
                <w:rFonts w:eastAsia="DengXian"/>
                <w:i/>
                <w:iCs/>
                <w:szCs w:val="24"/>
              </w:rPr>
              <w:t>the duration of treatment differs based on the severity of the disease.</w:t>
            </w:r>
            <w:r w:rsidRPr="00727DFA">
              <w:rPr>
                <w:rFonts w:eastAsia="DengXian"/>
                <w:szCs w:val="24"/>
              </w:rPr>
              <w:t xml:space="preserve"> </w:t>
            </w:r>
          </w:p>
        </w:tc>
      </w:tr>
      <w:tr w:rsidR="007B485D" w:rsidRPr="00727DFA" w14:paraId="2A6301E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1B22ED3"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BBB456C" w14:textId="77777777" w:rsidR="007B485D" w:rsidRPr="00727DFA" w:rsidRDefault="007B485D" w:rsidP="002D6DD7">
            <w:pPr>
              <w:autoSpaceDE w:val="0"/>
              <w:autoSpaceDN w:val="0"/>
              <w:adjustRightInd w:val="0"/>
              <w:jc w:val="both"/>
              <w:rPr>
                <w:rFonts w:eastAsia="DengXian"/>
                <w:szCs w:val="24"/>
              </w:rPr>
            </w:pPr>
            <w:r>
              <w:rPr>
                <w:rFonts w:eastAsia="DengXian"/>
                <w:szCs w:val="24"/>
              </w:rPr>
              <w:t>Refer to</w:t>
            </w:r>
            <w:r w:rsidRPr="00727DFA">
              <w:rPr>
                <w:rFonts w:eastAsia="DengXian"/>
                <w:szCs w:val="24"/>
              </w:rPr>
              <w:t xml:space="preserve"> cefepime</w:t>
            </w:r>
            <w:r>
              <w:rPr>
                <w:rFonts w:eastAsia="DengXian"/>
                <w:szCs w:val="24"/>
              </w:rPr>
              <w:t>.</w:t>
            </w:r>
          </w:p>
        </w:tc>
      </w:tr>
      <w:tr w:rsidR="007B485D" w:rsidRPr="00727DFA" w14:paraId="4EDB647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34BA659"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839721B" w14:textId="77777777" w:rsidR="007B485D" w:rsidRPr="00727DFA" w:rsidRDefault="007B485D" w:rsidP="002D6DD7">
            <w:pPr>
              <w:widowControl w:val="0"/>
              <w:autoSpaceDE w:val="0"/>
              <w:autoSpaceDN w:val="0"/>
              <w:jc w:val="both"/>
              <w:rPr>
                <w:rFonts w:eastAsia="Times New Roman"/>
                <w:szCs w:val="24"/>
              </w:rPr>
            </w:pPr>
            <w:r w:rsidRPr="00727DFA">
              <w:rPr>
                <w:rFonts w:eastAsia="DengXian"/>
                <w:szCs w:val="24"/>
              </w:rPr>
              <w:t>Probenecid, furosemide, aminoglycosides, live cholera vaccine</w:t>
            </w:r>
            <w:r>
              <w:rPr>
                <w:rFonts w:eastAsia="DengXian"/>
                <w:szCs w:val="24"/>
              </w:rPr>
              <w:t>.</w:t>
            </w:r>
            <w:r w:rsidRPr="00727DFA">
              <w:rPr>
                <w:rFonts w:eastAsia="DengXian"/>
                <w:szCs w:val="24"/>
              </w:rPr>
              <w:t xml:space="preserve"> </w:t>
            </w:r>
          </w:p>
        </w:tc>
      </w:tr>
      <w:tr w:rsidR="007B485D" w:rsidRPr="00727DFA" w14:paraId="27A6FC1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AA8119"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52781B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Diarrhea, nausea, vomiting, abdominal pain, loss of appetite, hypersensitivity reactions (rash and urticaria), hematological disorders (reduction in hemoglobin, thrombocytosis, thrombocytopenia, leukopenia and eosinophilia), headache, paresthesia, dizziness and bloody diarrhea (signs of enterocolitis)</w:t>
            </w:r>
            <w:r>
              <w:rPr>
                <w:rFonts w:eastAsia="Times New Roman"/>
                <w:szCs w:val="24"/>
              </w:rPr>
              <w:t>.</w:t>
            </w:r>
            <w:r w:rsidRPr="00727DFA">
              <w:rPr>
                <w:rFonts w:eastAsia="Times New Roman"/>
                <w:szCs w:val="24"/>
              </w:rPr>
              <w:t xml:space="preserve"> </w:t>
            </w:r>
          </w:p>
        </w:tc>
      </w:tr>
      <w:tr w:rsidR="007B485D" w:rsidRPr="00727DFA" w14:paraId="2A219D4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C225001"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B64190B"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Renal</w:t>
            </w:r>
            <w:r w:rsidRPr="00727DFA">
              <w:rPr>
                <w:rFonts w:eastAsia="DengXian"/>
                <w:spacing w:val="1"/>
                <w:szCs w:val="24"/>
              </w:rPr>
              <w:t xml:space="preserve"> </w:t>
            </w:r>
            <w:r w:rsidRPr="00727DFA">
              <w:rPr>
                <w:rFonts w:eastAsia="DengXian"/>
                <w:szCs w:val="24"/>
              </w:rPr>
              <w:t>impairment,</w:t>
            </w:r>
            <w:r w:rsidRPr="00727DFA">
              <w:rPr>
                <w:rFonts w:eastAsia="DengXian"/>
                <w:spacing w:val="1"/>
                <w:szCs w:val="24"/>
              </w:rPr>
              <w:t xml:space="preserve"> </w:t>
            </w:r>
            <w:r w:rsidRPr="00727DFA">
              <w:rPr>
                <w:rFonts w:eastAsia="DengXian"/>
                <w:szCs w:val="24"/>
              </w:rPr>
              <w:t>prolonged</w:t>
            </w:r>
            <w:r w:rsidRPr="00727DFA">
              <w:rPr>
                <w:rFonts w:eastAsia="DengXian"/>
                <w:spacing w:val="1"/>
                <w:szCs w:val="24"/>
              </w:rPr>
              <w:t xml:space="preserve"> </w:t>
            </w:r>
            <w:r w:rsidRPr="00727DFA">
              <w:rPr>
                <w:rFonts w:eastAsia="DengXian"/>
                <w:szCs w:val="24"/>
              </w:rPr>
              <w:t>use</w:t>
            </w:r>
            <w:r>
              <w:rPr>
                <w:rFonts w:eastAsia="DengXian"/>
                <w:szCs w:val="24"/>
              </w:rPr>
              <w:t>,</w:t>
            </w:r>
            <w:r w:rsidRPr="00727DFA">
              <w:rPr>
                <w:rFonts w:eastAsia="DengXian"/>
                <w:spacing w:val="1"/>
                <w:szCs w:val="24"/>
              </w:rPr>
              <w:t xml:space="preserve"> </w:t>
            </w:r>
            <w:r w:rsidRPr="00727DFA">
              <w:rPr>
                <w:rFonts w:eastAsia="DengXian"/>
                <w:szCs w:val="24"/>
              </w:rPr>
              <w:t>history of</w:t>
            </w:r>
            <w:r w:rsidRPr="00727DFA">
              <w:rPr>
                <w:rFonts w:eastAsia="DengXian"/>
                <w:spacing w:val="1"/>
                <w:szCs w:val="24"/>
              </w:rPr>
              <w:t xml:space="preserve"> </w:t>
            </w:r>
            <w:r w:rsidRPr="00727DFA">
              <w:rPr>
                <w:rFonts w:eastAsia="DengXian"/>
                <w:szCs w:val="24"/>
              </w:rPr>
              <w:t>penicillin</w:t>
            </w:r>
            <w:r w:rsidRPr="00727DFA">
              <w:rPr>
                <w:rFonts w:eastAsia="DengXian"/>
                <w:spacing w:val="1"/>
                <w:szCs w:val="24"/>
              </w:rPr>
              <w:t xml:space="preserve"> </w:t>
            </w:r>
            <w:r w:rsidRPr="00727DFA">
              <w:rPr>
                <w:rFonts w:eastAsia="DengXian"/>
                <w:szCs w:val="24"/>
              </w:rPr>
              <w:t xml:space="preserve">allergy, </w:t>
            </w:r>
            <w:r>
              <w:rPr>
                <w:rFonts w:eastAsia="DengXian"/>
                <w:szCs w:val="24"/>
              </w:rPr>
              <w:t>breastfeeding.</w:t>
            </w:r>
          </w:p>
        </w:tc>
      </w:tr>
      <w:tr w:rsidR="007B485D" w:rsidRPr="00727DFA" w14:paraId="0E2DBAB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69C78CC"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BD3248B"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7C576F8C"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B5FFC1C" w14:textId="77777777" w:rsidR="007B485D" w:rsidRPr="00727DFA" w:rsidRDefault="007B485D" w:rsidP="002D6DD7">
            <w:pPr>
              <w:jc w:val="both"/>
              <w:rPr>
                <w:rFonts w:eastAsia="DengXian"/>
                <w:szCs w:val="24"/>
              </w:rPr>
            </w:pPr>
            <w:r w:rsidRPr="00587263">
              <w:rPr>
                <w:rFonts w:eastAsia="DengXian"/>
                <w:b/>
                <w:bCs/>
                <w:szCs w:val="24"/>
              </w:rPr>
              <w:t xml:space="preserve">Ceftazidime </w:t>
            </w:r>
            <w:r w:rsidRPr="00873AF2">
              <w:rPr>
                <w:rFonts w:eastAsia="DengXian"/>
                <w:b/>
                <w:bCs/>
                <w:szCs w:val="24"/>
              </w:rPr>
              <w:t>(Watch)</w:t>
            </w:r>
          </w:p>
        </w:tc>
      </w:tr>
      <w:tr w:rsidR="007B485D" w:rsidRPr="00727DFA" w14:paraId="2C2B1DE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15F4299"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E8AC16B" w14:textId="77777777" w:rsidR="007B485D" w:rsidRPr="00727DFA" w:rsidRDefault="007B485D" w:rsidP="002D6DD7">
            <w:pPr>
              <w:jc w:val="both"/>
              <w:rPr>
                <w:rFonts w:eastAsia="DengXian"/>
                <w:szCs w:val="24"/>
              </w:rPr>
            </w:pPr>
            <w:r w:rsidRPr="00727DFA">
              <w:rPr>
                <w:rFonts w:eastAsia="DengXian"/>
                <w:szCs w:val="24"/>
              </w:rPr>
              <w:t>Third-generation cephalosporin</w:t>
            </w:r>
          </w:p>
        </w:tc>
      </w:tr>
      <w:tr w:rsidR="007B485D" w:rsidRPr="00727DFA" w14:paraId="237B7FA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D2726D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2092274" w14:textId="77777777" w:rsidR="007B485D" w:rsidRPr="00727DFA" w:rsidRDefault="007B485D" w:rsidP="002D6DD7">
            <w:pPr>
              <w:jc w:val="both"/>
              <w:rPr>
                <w:rFonts w:eastAsia="DengXian"/>
                <w:szCs w:val="24"/>
              </w:rPr>
            </w:pPr>
            <w:r w:rsidRPr="00727DFA">
              <w:rPr>
                <w:rFonts w:eastAsia="Times New Roman"/>
                <w:szCs w:val="24"/>
              </w:rPr>
              <w:t>Injection: 250mg, 0.5g, 1g, 2g (as pentahydrate) in vial</w:t>
            </w:r>
          </w:p>
        </w:tc>
      </w:tr>
      <w:tr w:rsidR="007B485D" w:rsidRPr="00727DFA" w14:paraId="1FCEE51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3DCF665"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EE55A87" w14:textId="77777777" w:rsidR="007B485D" w:rsidRPr="00727DFA" w:rsidRDefault="007B485D" w:rsidP="002D6DD7">
            <w:pPr>
              <w:jc w:val="both"/>
              <w:rPr>
                <w:rFonts w:eastAsia="DengXian"/>
                <w:szCs w:val="24"/>
              </w:rPr>
            </w:pPr>
            <w:r w:rsidRPr="00727DFA">
              <w:rPr>
                <w:rFonts w:eastAsia="DengXian"/>
                <w:szCs w:val="24"/>
              </w:rPr>
              <w:t>Infections</w:t>
            </w:r>
            <w:r w:rsidRPr="00727DFA">
              <w:rPr>
                <w:rFonts w:eastAsia="DengXian"/>
                <w:spacing w:val="1"/>
                <w:szCs w:val="24"/>
              </w:rPr>
              <w:t xml:space="preserve"> </w:t>
            </w:r>
            <w:r w:rsidRPr="00727DFA">
              <w:rPr>
                <w:rFonts w:eastAsia="DengXian"/>
                <w:szCs w:val="24"/>
              </w:rPr>
              <w:t>due</w:t>
            </w:r>
            <w:r w:rsidRPr="00727DFA">
              <w:rPr>
                <w:rFonts w:eastAsia="DengXian"/>
                <w:spacing w:val="1"/>
                <w:szCs w:val="24"/>
              </w:rPr>
              <w:t xml:space="preserve"> </w:t>
            </w:r>
            <w:r w:rsidRPr="00727DFA">
              <w:rPr>
                <w:rFonts w:eastAsia="DengXian"/>
                <w:szCs w:val="24"/>
              </w:rPr>
              <w:t>to</w:t>
            </w:r>
            <w:r w:rsidRPr="00727DFA">
              <w:rPr>
                <w:rFonts w:eastAsia="DengXian"/>
                <w:spacing w:val="1"/>
                <w:szCs w:val="24"/>
              </w:rPr>
              <w:t xml:space="preserve"> </w:t>
            </w:r>
            <w:r w:rsidRPr="00727DFA">
              <w:rPr>
                <w:rFonts w:eastAsia="DengXian"/>
                <w:szCs w:val="24"/>
              </w:rPr>
              <w:t>sensitive</w:t>
            </w:r>
            <w:r w:rsidRPr="00727DFA">
              <w:rPr>
                <w:rFonts w:eastAsia="DengXian"/>
                <w:spacing w:val="1"/>
                <w:szCs w:val="24"/>
              </w:rPr>
              <w:t xml:space="preserve"> </w:t>
            </w:r>
            <w:r w:rsidRPr="00727DFA">
              <w:rPr>
                <w:rFonts w:eastAsia="DengXian"/>
                <w:szCs w:val="24"/>
              </w:rPr>
              <w:t>bacteria,</w:t>
            </w:r>
            <w:r w:rsidRPr="00727DFA">
              <w:rPr>
                <w:rFonts w:eastAsia="DengXian"/>
                <w:spacing w:val="60"/>
                <w:szCs w:val="24"/>
              </w:rPr>
              <w:t xml:space="preserve"> </w:t>
            </w:r>
            <w:r w:rsidRPr="00727DFA">
              <w:rPr>
                <w:rFonts w:eastAsia="DengXian"/>
                <w:szCs w:val="24"/>
              </w:rPr>
              <w:t>especially</w:t>
            </w:r>
            <w:r w:rsidRPr="00727DFA">
              <w:rPr>
                <w:rFonts w:eastAsia="DengXian"/>
                <w:spacing w:val="1"/>
                <w:szCs w:val="24"/>
              </w:rPr>
              <w:t xml:space="preserve"> </w:t>
            </w:r>
            <w:r w:rsidRPr="00727DFA">
              <w:rPr>
                <w:rFonts w:eastAsia="DengXian"/>
                <w:szCs w:val="24"/>
              </w:rPr>
              <w:t xml:space="preserve">those due to </w:t>
            </w:r>
            <w:r w:rsidRPr="00873AF2">
              <w:rPr>
                <w:rFonts w:eastAsia="DengXian"/>
                <w:i/>
                <w:iCs/>
                <w:szCs w:val="24"/>
              </w:rPr>
              <w:t>Pseudomonas spp</w:t>
            </w:r>
            <w:r w:rsidRPr="00727DFA">
              <w:rPr>
                <w:rFonts w:eastAsia="DengXian"/>
                <w:szCs w:val="24"/>
              </w:rPr>
              <w:t>. and including those resistant to</w:t>
            </w:r>
            <w:r w:rsidRPr="00727DFA">
              <w:rPr>
                <w:rFonts w:eastAsia="DengXian"/>
                <w:spacing w:val="1"/>
                <w:szCs w:val="24"/>
              </w:rPr>
              <w:t xml:space="preserve"> </w:t>
            </w:r>
            <w:r w:rsidRPr="00727DFA">
              <w:rPr>
                <w:rFonts w:eastAsia="DengXian"/>
                <w:szCs w:val="24"/>
              </w:rPr>
              <w:t xml:space="preserve">aminoglycosides. Pseudomonal lung infection in cystic fibrosis, complicated urinary-tract infection, septicemia (hospital-acquired pneumonia), febrile neutropenia, meningitis, susceptible infections due to sensitive Gram-positive and Gram-negative bacteria, </w:t>
            </w:r>
            <w:r w:rsidRPr="00727DFA">
              <w:rPr>
                <w:rFonts w:eastAsia="DengXian"/>
                <w:szCs w:val="24"/>
              </w:rPr>
              <w:lastRenderedPageBreak/>
              <w:t>prophylaxis for transurethral resection of prostate</w:t>
            </w:r>
            <w:r>
              <w:rPr>
                <w:rFonts w:eastAsia="DengXian"/>
                <w:szCs w:val="24"/>
              </w:rPr>
              <w:t>.</w:t>
            </w:r>
          </w:p>
        </w:tc>
      </w:tr>
      <w:tr w:rsidR="007B485D" w:rsidRPr="00727DFA" w14:paraId="60CFEF0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F3709A7" w14:textId="77777777" w:rsidR="007B485D" w:rsidRPr="00727DFA" w:rsidRDefault="007B485D" w:rsidP="002D6DD7">
            <w:pPr>
              <w:jc w:val="both"/>
              <w:rPr>
                <w:rFonts w:eastAsia="DengXian"/>
                <w:szCs w:val="24"/>
              </w:rPr>
            </w:pPr>
            <w:r w:rsidRPr="00727DFA">
              <w:rPr>
                <w:rFonts w:eastAsia="DengXian"/>
                <w:bCs/>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D7A4041" w14:textId="77777777" w:rsidR="007B485D" w:rsidRPr="00727DFA" w:rsidRDefault="007B485D" w:rsidP="002D6DD7">
            <w:pPr>
              <w:adjustRightInd w:val="0"/>
              <w:jc w:val="both"/>
              <w:rPr>
                <w:rFonts w:eastAsia="DengXian"/>
                <w:szCs w:val="24"/>
              </w:rPr>
            </w:pPr>
            <w:r w:rsidRPr="00727DFA">
              <w:rPr>
                <w:rFonts w:eastAsia="DengXian"/>
                <w:b/>
                <w:szCs w:val="24"/>
              </w:rPr>
              <w:t>Administration:</w:t>
            </w:r>
            <w:r w:rsidRPr="00727DFA">
              <w:rPr>
                <w:rFonts w:eastAsia="DengXian"/>
                <w:szCs w:val="24"/>
              </w:rPr>
              <w:t xml:space="preserve">  IV injection/ infusion, IM:</w:t>
            </w:r>
          </w:p>
          <w:p w14:paraId="35FFEFBB" w14:textId="77777777" w:rsidR="007B485D" w:rsidRPr="00727DFA" w:rsidRDefault="007B485D" w:rsidP="002D6DD7">
            <w:pPr>
              <w:adjustRightInd w:val="0"/>
              <w:jc w:val="both"/>
              <w:rPr>
                <w:rFonts w:eastAsia="DengXian"/>
                <w:szCs w:val="24"/>
              </w:rPr>
            </w:pPr>
            <w:r w:rsidRPr="00727DFA">
              <w:rPr>
                <w:rFonts w:eastAsia="DengXian"/>
                <w:b/>
                <w:szCs w:val="24"/>
              </w:rPr>
              <w:t>Prophylaxis for transurethral resection of prostate:</w:t>
            </w:r>
          </w:p>
          <w:p w14:paraId="369CA4E9"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1 g, single dose to be administered up to 30 minutes before procedure and may be repeated, if necessary, when catheter removed</w:t>
            </w:r>
            <w:r>
              <w:rPr>
                <w:rFonts w:eastAsia="DengXian"/>
                <w:szCs w:val="24"/>
              </w:rPr>
              <w:t>.</w:t>
            </w:r>
          </w:p>
          <w:p w14:paraId="326F5F87" w14:textId="77777777" w:rsidR="007B485D" w:rsidRPr="00727DFA" w:rsidRDefault="007B485D" w:rsidP="002D6DD7">
            <w:pPr>
              <w:jc w:val="both"/>
              <w:rPr>
                <w:rFonts w:eastAsia="DengXian"/>
                <w:b/>
                <w:szCs w:val="24"/>
              </w:rPr>
            </w:pPr>
            <w:r w:rsidRPr="00727DFA">
              <w:rPr>
                <w:rFonts w:eastAsia="DengXian"/>
                <w:b/>
                <w:szCs w:val="24"/>
              </w:rPr>
              <w:t>Complicated urinary-tract infection:</w:t>
            </w:r>
          </w:p>
          <w:p w14:paraId="75B0928F" w14:textId="77777777" w:rsidR="007B485D" w:rsidRPr="00727DFA" w:rsidRDefault="007B485D" w:rsidP="002D6DD7">
            <w:pPr>
              <w:jc w:val="both"/>
              <w:rPr>
                <w:rFonts w:eastAsia="DengXian"/>
                <w:b/>
                <w:szCs w:val="24"/>
              </w:rPr>
            </w:pPr>
            <w:r w:rsidRPr="00727DFA">
              <w:rPr>
                <w:rFonts w:eastAsia="DengXian"/>
                <w:b/>
                <w:bCs/>
                <w:szCs w:val="24"/>
              </w:rPr>
              <w:t>Adult:</w:t>
            </w:r>
            <w:r w:rsidRPr="00727DFA">
              <w:rPr>
                <w:rFonts w:eastAsia="DengXian"/>
                <w:szCs w:val="24"/>
              </w:rPr>
              <w:t xml:space="preserve"> 1–2 g every 8–12 hours</w:t>
            </w:r>
          </w:p>
          <w:p w14:paraId="11F373F5" w14:textId="77777777" w:rsidR="007B485D" w:rsidRPr="00727DFA" w:rsidRDefault="007B485D" w:rsidP="002D6DD7">
            <w:pPr>
              <w:jc w:val="both"/>
              <w:rPr>
                <w:rFonts w:eastAsia="DengXian"/>
                <w:b/>
                <w:szCs w:val="24"/>
              </w:rPr>
            </w:pPr>
            <w:r w:rsidRPr="00727DFA">
              <w:rPr>
                <w:rFonts w:eastAsia="DengXian"/>
                <w:b/>
                <w:szCs w:val="24"/>
              </w:rPr>
              <w:t xml:space="preserve">Pseudomonal lung infection in cystic fibrosis. </w:t>
            </w:r>
          </w:p>
          <w:p w14:paraId="43B44928" w14:textId="77777777" w:rsidR="007B485D" w:rsidRPr="00727DFA" w:rsidRDefault="007B485D" w:rsidP="002D6DD7">
            <w:pPr>
              <w:jc w:val="both"/>
              <w:rPr>
                <w:rFonts w:eastAsia="DengXian"/>
                <w:b/>
                <w:szCs w:val="24"/>
              </w:rPr>
            </w:pPr>
            <w:r w:rsidRPr="00727DFA">
              <w:rPr>
                <w:rFonts w:eastAsia="DengXian"/>
                <w:b/>
                <w:bCs/>
                <w:szCs w:val="24"/>
              </w:rPr>
              <w:t>Adult:</w:t>
            </w:r>
            <w:r w:rsidRPr="00727DFA">
              <w:rPr>
                <w:rFonts w:eastAsia="DengXian"/>
                <w:szCs w:val="24"/>
              </w:rPr>
              <w:t xml:space="preserve"> 100–150 mg/kg daily in 3 divided doses; maximum 9 g per day</w:t>
            </w:r>
            <w:r>
              <w:rPr>
                <w:rFonts w:eastAsia="DengXian"/>
                <w:b/>
                <w:szCs w:val="24"/>
              </w:rPr>
              <w:t>.</w:t>
            </w:r>
          </w:p>
          <w:p w14:paraId="7667647C" w14:textId="77777777" w:rsidR="007B485D" w:rsidRPr="00727DFA" w:rsidRDefault="007B485D" w:rsidP="002D6DD7">
            <w:pPr>
              <w:adjustRightInd w:val="0"/>
              <w:jc w:val="both"/>
              <w:rPr>
                <w:rFonts w:eastAsia="DengXian"/>
                <w:b/>
                <w:szCs w:val="24"/>
              </w:rPr>
            </w:pPr>
            <w:r w:rsidRPr="00727DFA">
              <w:rPr>
                <w:rFonts w:eastAsia="DengXian"/>
                <w:b/>
                <w:szCs w:val="24"/>
              </w:rPr>
              <w:t>Septicemia/Hospital-acquired pneumonia, febrile neutropenia, Meningitis:</w:t>
            </w:r>
          </w:p>
          <w:p w14:paraId="7786EAE5"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2 g every 8 hours</w:t>
            </w:r>
          </w:p>
          <w:p w14:paraId="0DEE4B28" w14:textId="77777777" w:rsidR="007B485D" w:rsidRPr="00727DFA" w:rsidRDefault="007B485D" w:rsidP="002D6DD7">
            <w:pPr>
              <w:adjustRightInd w:val="0"/>
              <w:jc w:val="both"/>
              <w:rPr>
                <w:rFonts w:eastAsia="DengXian"/>
                <w:b/>
                <w:szCs w:val="24"/>
              </w:rPr>
            </w:pPr>
            <w:r w:rsidRPr="00727DFA">
              <w:rPr>
                <w:rFonts w:eastAsia="DengXian"/>
                <w:b/>
                <w:szCs w:val="24"/>
              </w:rPr>
              <w:t>Susceptible infections due to sensitive Gram-positive and</w:t>
            </w:r>
          </w:p>
          <w:p w14:paraId="09C5E9AB" w14:textId="77777777" w:rsidR="007B485D" w:rsidRPr="00727DFA" w:rsidRDefault="007B485D" w:rsidP="002D6DD7">
            <w:pPr>
              <w:adjustRightInd w:val="0"/>
              <w:jc w:val="both"/>
              <w:rPr>
                <w:rFonts w:eastAsia="DengXian"/>
                <w:szCs w:val="24"/>
              </w:rPr>
            </w:pPr>
            <w:r w:rsidRPr="00727DFA">
              <w:rPr>
                <w:rFonts w:eastAsia="DengXian"/>
                <w:b/>
                <w:szCs w:val="24"/>
              </w:rPr>
              <w:t>Gram-negative bacteria</w:t>
            </w:r>
          </w:p>
          <w:p w14:paraId="08A1F813"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1–2 g every 8 hours</w:t>
            </w:r>
          </w:p>
          <w:p w14:paraId="48B6B829" w14:textId="77777777" w:rsidR="007B485D" w:rsidRPr="00727DFA" w:rsidRDefault="007B485D" w:rsidP="002D6DD7">
            <w:pPr>
              <w:jc w:val="both"/>
              <w:rPr>
                <w:rFonts w:eastAsia="DengXian"/>
                <w:szCs w:val="24"/>
              </w:rPr>
            </w:pPr>
            <w:r w:rsidRPr="00727DFA">
              <w:rPr>
                <w:rFonts w:eastAsia="DengXian"/>
                <w:b/>
                <w:szCs w:val="24"/>
              </w:rPr>
              <w:t>Neonates:</w:t>
            </w:r>
            <w:r w:rsidRPr="00727DFA">
              <w:rPr>
                <w:rFonts w:eastAsia="DengXian"/>
                <w:b/>
                <w:spacing w:val="-2"/>
                <w:szCs w:val="24"/>
              </w:rPr>
              <w:t xml:space="preserve"> </w:t>
            </w:r>
            <w:r w:rsidRPr="00727DFA">
              <w:rPr>
                <w:rFonts w:eastAsia="DengXian"/>
                <w:szCs w:val="24"/>
              </w:rPr>
              <w:t>30mg/kg every</w:t>
            </w:r>
            <w:r w:rsidRPr="00727DFA">
              <w:rPr>
                <w:rFonts w:eastAsia="DengXian"/>
                <w:spacing w:val="-5"/>
                <w:szCs w:val="24"/>
              </w:rPr>
              <w:t xml:space="preserve"> </w:t>
            </w:r>
            <w:r w:rsidRPr="00727DFA">
              <w:rPr>
                <w:rFonts w:eastAsia="DengXian"/>
                <w:szCs w:val="24"/>
              </w:rPr>
              <w:t>12 hours</w:t>
            </w:r>
          </w:p>
          <w:p w14:paraId="24C3CCC5" w14:textId="77777777" w:rsidR="007B485D" w:rsidRDefault="007B485D" w:rsidP="002D6DD7">
            <w:pPr>
              <w:jc w:val="both"/>
              <w:rPr>
                <w:rFonts w:eastAsia="DengXian"/>
                <w:szCs w:val="24"/>
              </w:rPr>
            </w:pPr>
            <w:r w:rsidRPr="00727DFA">
              <w:rPr>
                <w:rFonts w:eastAsia="DengXian"/>
                <w:b/>
                <w:szCs w:val="24"/>
              </w:rPr>
              <w:t xml:space="preserve">Infants and Children up to 12 years: </w:t>
            </w:r>
            <w:r w:rsidRPr="00727DFA">
              <w:rPr>
                <w:rFonts w:eastAsia="DengXian"/>
                <w:szCs w:val="24"/>
              </w:rPr>
              <w:t>30-50mg/kg/dose</w:t>
            </w:r>
            <w:r w:rsidRPr="00727DFA">
              <w:rPr>
                <w:rFonts w:eastAsia="DengXian"/>
                <w:spacing w:val="1"/>
                <w:szCs w:val="24"/>
              </w:rPr>
              <w:t xml:space="preserve"> </w:t>
            </w:r>
            <w:r w:rsidRPr="00727DFA">
              <w:rPr>
                <w:rFonts w:eastAsia="DengXian"/>
                <w:szCs w:val="24"/>
              </w:rPr>
              <w:t>every</w:t>
            </w:r>
            <w:r w:rsidRPr="00727DFA">
              <w:rPr>
                <w:rFonts w:eastAsia="DengXian"/>
                <w:spacing w:val="-6"/>
                <w:szCs w:val="24"/>
              </w:rPr>
              <w:t xml:space="preserve"> </w:t>
            </w:r>
            <w:r w:rsidRPr="00727DFA">
              <w:rPr>
                <w:rFonts w:eastAsia="DengXian"/>
                <w:szCs w:val="24"/>
              </w:rPr>
              <w:t>8 hours; maximum dose: 6g/day</w:t>
            </w:r>
          </w:p>
          <w:p w14:paraId="06936D2C" w14:textId="77777777" w:rsidR="007B485D" w:rsidRPr="00727DFA" w:rsidRDefault="007B485D" w:rsidP="002D6DD7">
            <w:pPr>
              <w:jc w:val="both"/>
              <w:rPr>
                <w:rFonts w:eastAsia="DengXian"/>
                <w:szCs w:val="24"/>
              </w:rPr>
            </w:pPr>
            <w:r w:rsidRPr="00873AF2">
              <w:rPr>
                <w:rFonts w:eastAsia="DengXian"/>
                <w:b/>
                <w:bCs/>
                <w:szCs w:val="24"/>
              </w:rPr>
              <w:t>Child&gt;12 years</w:t>
            </w:r>
            <w:r>
              <w:rPr>
                <w:rFonts w:eastAsia="DengXian"/>
                <w:szCs w:val="24"/>
              </w:rPr>
              <w:t>: use adult dose</w:t>
            </w:r>
          </w:p>
        </w:tc>
      </w:tr>
      <w:tr w:rsidR="007B485D" w:rsidRPr="00727DFA" w14:paraId="4B030E7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411A24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38C5E1B"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 xml:space="preserve">Hypersensitivity to </w:t>
            </w:r>
            <w:r>
              <w:rPr>
                <w:rFonts w:eastAsia="DengXian"/>
                <w:szCs w:val="24"/>
              </w:rPr>
              <w:t xml:space="preserve">the drug and other </w:t>
            </w:r>
            <w:r w:rsidRPr="00727DFA">
              <w:rPr>
                <w:rFonts w:eastAsia="DengXian"/>
                <w:szCs w:val="24"/>
              </w:rPr>
              <w:t>cephalosporin, previous allergy to carbapenems, penicillin or monobactams</w:t>
            </w:r>
            <w:r>
              <w:rPr>
                <w:rFonts w:eastAsia="DengXian"/>
                <w:szCs w:val="24"/>
              </w:rPr>
              <w:t>.</w:t>
            </w:r>
          </w:p>
        </w:tc>
      </w:tr>
      <w:tr w:rsidR="007B485D" w:rsidRPr="00727DFA" w14:paraId="0D7C0D8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F4FEC1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81FF80E" w14:textId="77777777" w:rsidR="007B485D" w:rsidRPr="00727DFA" w:rsidRDefault="007B485D" w:rsidP="002D6DD7">
            <w:pPr>
              <w:jc w:val="both"/>
              <w:rPr>
                <w:rFonts w:eastAsia="DengXian"/>
                <w:szCs w:val="24"/>
              </w:rPr>
            </w:pPr>
            <w:r w:rsidRPr="00727DFA">
              <w:rPr>
                <w:rFonts w:eastAsia="DengXian"/>
                <w:szCs w:val="24"/>
              </w:rPr>
              <w:t>Aminoglycosides, ciprofloxacin, furosemide, mycophenolate mofetil, live cholera vaccine, probenecid, estrogen containing contraceptives, warfarin</w:t>
            </w:r>
            <w:r>
              <w:rPr>
                <w:rFonts w:eastAsia="DengXian"/>
                <w:szCs w:val="24"/>
              </w:rPr>
              <w:t>.</w:t>
            </w:r>
          </w:p>
        </w:tc>
      </w:tr>
      <w:tr w:rsidR="007B485D" w:rsidRPr="00727DFA" w14:paraId="12E8915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B20933E" w14:textId="77777777" w:rsidR="007B485D" w:rsidRPr="00727DFA" w:rsidRDefault="007B485D" w:rsidP="002D6DD7">
            <w:pPr>
              <w:jc w:val="both"/>
              <w:rPr>
                <w:rFonts w:eastAsia="DengXian"/>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BBD9421" w14:textId="77777777" w:rsidR="007B485D" w:rsidRPr="00727DFA" w:rsidRDefault="007B485D" w:rsidP="002D6DD7">
            <w:pPr>
              <w:jc w:val="both"/>
              <w:rPr>
                <w:rFonts w:eastAsia="DengXian"/>
                <w:szCs w:val="24"/>
              </w:rPr>
            </w:pPr>
            <w:r w:rsidRPr="00727DFA">
              <w:rPr>
                <w:rFonts w:eastAsia="DengXian"/>
                <w:szCs w:val="24"/>
              </w:rPr>
              <w:t xml:space="preserve">Allergic reactions including rashes, pruritus, urticaria, serum sickness like reaction, fever, arthralgia, anaphylaxis, blood disorders such as thrombocytosis and thrombophlebitis, diarrhea, nausea, vomiting, abdominal discomfort, headache, antibiotic associated colitis (particularly with higher doses), fungal infection, </w:t>
            </w:r>
            <w:r w:rsidRPr="00727DFA">
              <w:rPr>
                <w:rFonts w:eastAsia="DengXian"/>
                <w:szCs w:val="24"/>
              </w:rPr>
              <w:lastRenderedPageBreak/>
              <w:t>liver enzymes</w:t>
            </w:r>
            <w:r>
              <w:rPr>
                <w:rFonts w:eastAsia="DengXian"/>
                <w:szCs w:val="24"/>
              </w:rPr>
              <w:t xml:space="preserve"> abnormalities</w:t>
            </w:r>
            <w:r w:rsidRPr="00727DFA">
              <w:rPr>
                <w:rFonts w:eastAsia="DengXian"/>
                <w:szCs w:val="24"/>
              </w:rPr>
              <w:t>, transient hepatitis</w:t>
            </w:r>
            <w:r>
              <w:rPr>
                <w:rFonts w:eastAsia="DengXian"/>
                <w:szCs w:val="24"/>
              </w:rPr>
              <w:t>.</w:t>
            </w:r>
          </w:p>
        </w:tc>
      </w:tr>
      <w:tr w:rsidR="007B485D" w:rsidRPr="00727DFA" w14:paraId="22C7EEE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F1C0719"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1494423" w14:textId="77777777" w:rsidR="007B485D" w:rsidRPr="00727DFA" w:rsidRDefault="007B485D" w:rsidP="002D6DD7">
            <w:pPr>
              <w:autoSpaceDE w:val="0"/>
              <w:autoSpaceDN w:val="0"/>
              <w:adjustRightInd w:val="0"/>
              <w:jc w:val="both"/>
              <w:rPr>
                <w:rFonts w:eastAsia="DengXian"/>
                <w:szCs w:val="24"/>
              </w:rPr>
            </w:pPr>
            <w:r>
              <w:rPr>
                <w:rFonts w:eastAsia="DengXian"/>
                <w:szCs w:val="24"/>
              </w:rPr>
              <w:t xml:space="preserve"> B</w:t>
            </w:r>
            <w:r w:rsidRPr="00727DFA">
              <w:rPr>
                <w:rFonts w:eastAsia="DengXian"/>
                <w:szCs w:val="24"/>
              </w:rPr>
              <w:t>reastfeeding, concomitant nephrotoxic agent administration, renal impairment</w:t>
            </w:r>
            <w:r>
              <w:rPr>
                <w:rFonts w:eastAsia="DengXian"/>
                <w:szCs w:val="24"/>
              </w:rPr>
              <w:t>.</w:t>
            </w:r>
          </w:p>
        </w:tc>
      </w:tr>
      <w:tr w:rsidR="007B485D" w:rsidRPr="00727DFA" w14:paraId="31BB112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B23BA1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4A75029" w14:textId="77777777" w:rsidR="007B485D" w:rsidRPr="00727DFA" w:rsidRDefault="007B485D" w:rsidP="002D6DD7">
            <w:pPr>
              <w:jc w:val="both"/>
              <w:rPr>
                <w:rFonts w:eastAsia="DengXian"/>
                <w:szCs w:val="24"/>
              </w:rPr>
            </w:pPr>
            <w:r w:rsidRPr="00727DFA">
              <w:rPr>
                <w:rFonts w:eastAsia="DengXian"/>
                <w:szCs w:val="24"/>
              </w:rPr>
              <w:t>Store below 30⁰C</w:t>
            </w:r>
            <w:r>
              <w:rPr>
                <w:rFonts w:eastAsia="DengXian"/>
                <w:szCs w:val="24"/>
              </w:rPr>
              <w:t>.</w:t>
            </w:r>
          </w:p>
        </w:tc>
      </w:tr>
      <w:tr w:rsidR="007B485D" w:rsidRPr="00727DFA" w14:paraId="6EA526FB"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08D0FD4" w14:textId="77777777" w:rsidR="007B485D" w:rsidRPr="00727DFA" w:rsidRDefault="007B485D" w:rsidP="002D6DD7">
            <w:pPr>
              <w:jc w:val="both"/>
              <w:rPr>
                <w:rFonts w:eastAsia="DengXian"/>
                <w:szCs w:val="24"/>
              </w:rPr>
            </w:pPr>
            <w:r w:rsidRPr="00727DFA">
              <w:rPr>
                <w:rFonts w:eastAsia="Times New Roman"/>
                <w:b/>
                <w:bCs/>
                <w:szCs w:val="24"/>
              </w:rPr>
              <w:t xml:space="preserve">Ceftazidime + </w:t>
            </w:r>
            <w:r w:rsidRPr="007022C1">
              <w:rPr>
                <w:rFonts w:eastAsia="Times New Roman"/>
                <w:b/>
                <w:bCs/>
                <w:szCs w:val="24"/>
              </w:rPr>
              <w:t>avibactam (Reserve)</w:t>
            </w:r>
          </w:p>
        </w:tc>
      </w:tr>
      <w:tr w:rsidR="007B485D" w:rsidRPr="00727DFA" w14:paraId="01344FD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0D56BD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696C5F0" w14:textId="77777777" w:rsidR="007B485D" w:rsidRPr="00727DFA" w:rsidRDefault="007B485D" w:rsidP="002D6DD7">
            <w:pPr>
              <w:jc w:val="both"/>
              <w:rPr>
                <w:rFonts w:eastAsia="DengXian"/>
                <w:szCs w:val="24"/>
              </w:rPr>
            </w:pPr>
            <w:r w:rsidRPr="00727DFA">
              <w:rPr>
                <w:rFonts w:eastAsia="Times New Roman"/>
                <w:szCs w:val="24"/>
              </w:rPr>
              <w:t>Third generation cephalosporin</w:t>
            </w:r>
            <w:r>
              <w:rPr>
                <w:rFonts w:eastAsia="Times New Roman"/>
                <w:szCs w:val="24"/>
              </w:rPr>
              <w:t xml:space="preserve"> </w:t>
            </w:r>
            <w:r w:rsidRPr="00727DFA">
              <w:rPr>
                <w:rFonts w:eastAsia="Times New Roman"/>
                <w:szCs w:val="24"/>
              </w:rPr>
              <w:t xml:space="preserve">and </w:t>
            </w:r>
            <w:r>
              <w:rPr>
                <w:rFonts w:eastAsia="Times New Roman"/>
                <w:szCs w:val="24"/>
              </w:rPr>
              <w:t>β</w:t>
            </w:r>
            <w:r w:rsidRPr="00727DFA">
              <w:rPr>
                <w:rFonts w:eastAsia="Times New Roman"/>
                <w:szCs w:val="24"/>
              </w:rPr>
              <w:t>-lactamase inhibitor combination</w:t>
            </w:r>
          </w:p>
        </w:tc>
      </w:tr>
      <w:tr w:rsidR="007B485D" w:rsidRPr="00727DFA" w14:paraId="471D87E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EE6F7A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DB72BF1" w14:textId="77777777" w:rsidR="007B485D" w:rsidRPr="00727DFA" w:rsidRDefault="007B485D" w:rsidP="002D6DD7">
            <w:pPr>
              <w:jc w:val="both"/>
              <w:rPr>
                <w:rFonts w:eastAsia="DengXian"/>
                <w:szCs w:val="24"/>
              </w:rPr>
            </w:pPr>
            <w:r w:rsidRPr="00873AF2">
              <w:rPr>
                <w:rFonts w:eastAsia="Times New Roman"/>
                <w:szCs w:val="24"/>
              </w:rPr>
              <w:t>Powder for injection</w:t>
            </w:r>
            <w:r w:rsidRPr="00727DFA">
              <w:rPr>
                <w:rFonts w:eastAsia="Times New Roman"/>
                <w:szCs w:val="24"/>
              </w:rPr>
              <w:t>: 2g + 0.5g in vial</w:t>
            </w:r>
          </w:p>
        </w:tc>
      </w:tr>
      <w:tr w:rsidR="007B485D" w:rsidRPr="00727DFA" w14:paraId="7F22D46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2F484F6"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99DA07F" w14:textId="77777777" w:rsidR="007B485D" w:rsidRPr="00727DFA" w:rsidRDefault="007B485D" w:rsidP="002D6DD7">
            <w:pPr>
              <w:jc w:val="both"/>
              <w:rPr>
                <w:rFonts w:eastAsia="DengXian"/>
                <w:szCs w:val="24"/>
              </w:rPr>
            </w:pPr>
            <w:r w:rsidRPr="00727DFA">
              <w:rPr>
                <w:rFonts w:eastAsia="Times New Roman"/>
                <w:szCs w:val="24"/>
              </w:rPr>
              <w:t xml:space="preserve">Complicated intra-abdominal infection, complicated urinary tract </w:t>
            </w:r>
            <w:r>
              <w:rPr>
                <w:rFonts w:eastAsia="Times New Roman"/>
                <w:szCs w:val="24"/>
              </w:rPr>
              <w:t>i</w:t>
            </w:r>
            <w:r w:rsidRPr="00727DFA">
              <w:rPr>
                <w:rFonts w:eastAsia="Times New Roman"/>
                <w:szCs w:val="24"/>
              </w:rPr>
              <w:t>nfection including pyelonephritis, hospital-acquired pneumonia, including ventilator associated pneumonia, infections due to aerobic Gram-negative organisms in patients with limited treatment options</w:t>
            </w:r>
            <w:r>
              <w:rPr>
                <w:rFonts w:eastAsia="Times New Roman"/>
                <w:szCs w:val="24"/>
              </w:rPr>
              <w:t>.</w:t>
            </w:r>
          </w:p>
        </w:tc>
      </w:tr>
      <w:tr w:rsidR="007B485D" w:rsidRPr="00727DFA" w14:paraId="1D74240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63BF41F" w14:textId="77777777" w:rsidR="007B485D" w:rsidRPr="00727DFA" w:rsidRDefault="007B485D" w:rsidP="002D6DD7">
            <w:pPr>
              <w:jc w:val="both"/>
              <w:rPr>
                <w:rFonts w:eastAsia="DengXian"/>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5112EC9" w14:textId="77777777" w:rsidR="007B485D" w:rsidRPr="00873AF2" w:rsidRDefault="007B485D" w:rsidP="002D6DD7">
            <w:pPr>
              <w:autoSpaceDE w:val="0"/>
              <w:autoSpaceDN w:val="0"/>
              <w:adjustRightInd w:val="0"/>
              <w:jc w:val="both"/>
              <w:rPr>
                <w:rFonts w:eastAsia="Times New Roman"/>
                <w:b/>
                <w:bCs/>
                <w:i/>
                <w:iCs/>
                <w:szCs w:val="24"/>
              </w:rPr>
            </w:pPr>
            <w:r w:rsidRPr="00873AF2">
              <w:rPr>
                <w:rFonts w:eastAsia="Times New Roman"/>
                <w:i/>
                <w:iCs/>
                <w:szCs w:val="24"/>
              </w:rPr>
              <w:t>Doses are expressed as ceftazidime/avibactam</w:t>
            </w:r>
            <w:r w:rsidRPr="00873AF2">
              <w:rPr>
                <w:rFonts w:eastAsia="Times New Roman"/>
                <w:b/>
                <w:bCs/>
                <w:i/>
                <w:iCs/>
                <w:szCs w:val="24"/>
              </w:rPr>
              <w:t xml:space="preserve"> </w:t>
            </w:r>
          </w:p>
          <w:p w14:paraId="2F3CDA05" w14:textId="77777777" w:rsidR="007B485D" w:rsidRPr="00587263" w:rsidRDefault="007B485D" w:rsidP="002D6DD7">
            <w:pPr>
              <w:autoSpaceDE w:val="0"/>
              <w:autoSpaceDN w:val="0"/>
              <w:adjustRightInd w:val="0"/>
              <w:jc w:val="both"/>
              <w:rPr>
                <w:rFonts w:eastAsia="Times New Roman"/>
                <w:b/>
                <w:bCs/>
                <w:szCs w:val="24"/>
              </w:rPr>
            </w:pPr>
            <w:r w:rsidRPr="00873AF2">
              <w:rPr>
                <w:rFonts w:eastAsia="Times New Roman"/>
                <w:b/>
                <w:bCs/>
                <w:szCs w:val="24"/>
              </w:rPr>
              <w:t xml:space="preserve">IV infusion </w:t>
            </w:r>
          </w:p>
          <w:p w14:paraId="4C84B52D"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Complicated intra-abdominal infection:</w:t>
            </w:r>
          </w:p>
          <w:p w14:paraId="1A276481"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 xml:space="preserve">Adult: 2/0.5 g every 8 hours </w:t>
            </w:r>
          </w:p>
          <w:p w14:paraId="74476494"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Complicated urinary tract infection, including pyelonephritis:</w:t>
            </w:r>
          </w:p>
          <w:p w14:paraId="71EA790C"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 xml:space="preserve">Adult: 2/0.5 g every 8 hours </w:t>
            </w:r>
          </w:p>
          <w:p w14:paraId="4B32C828"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Hospital-acquired pneumonia, including ventilator associated</w:t>
            </w:r>
          </w:p>
          <w:p w14:paraId="763577AD"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pneumonia</w:t>
            </w:r>
            <w:r w:rsidRPr="00727DFA">
              <w:rPr>
                <w:rFonts w:eastAsia="Times New Roman"/>
                <w:szCs w:val="24"/>
              </w:rPr>
              <w:t>:</w:t>
            </w:r>
          </w:p>
          <w:p w14:paraId="7C3D1D2F"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Adult:</w:t>
            </w:r>
            <w:r w:rsidRPr="00727DFA">
              <w:rPr>
                <w:rFonts w:eastAsia="Times New Roman"/>
                <w:szCs w:val="24"/>
              </w:rPr>
              <w:t xml:space="preserve"> 2/0.5 g every 8 hours </w:t>
            </w:r>
          </w:p>
          <w:p w14:paraId="4F957F4C"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Complicated intraabdominal infections:</w:t>
            </w:r>
          </w:p>
          <w:p w14:paraId="35415DC1"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Child 3 to &lt;6months:</w:t>
            </w:r>
            <w:r w:rsidRPr="00727DFA">
              <w:rPr>
                <w:rFonts w:eastAsia="Times New Roman"/>
                <w:szCs w:val="24"/>
              </w:rPr>
              <w:t xml:space="preserve"> 40/10 mg/kg every 8 hours (infusion time 2 hours) </w:t>
            </w:r>
          </w:p>
          <w:p w14:paraId="27B6721B"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Child 6 months–17 years:</w:t>
            </w:r>
            <w:r w:rsidRPr="00727DFA">
              <w:rPr>
                <w:rFonts w:eastAsia="Times New Roman"/>
                <w:szCs w:val="24"/>
              </w:rPr>
              <w:t xml:space="preserve"> 50/12.5mg/kg to maximum of 2/0.5g every 8 hours (infusion time two hours) </w:t>
            </w:r>
          </w:p>
          <w:p w14:paraId="1D444A1B"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Complicated UTI including pyelonephritis:</w:t>
            </w:r>
          </w:p>
          <w:p w14:paraId="5FDBAE8C"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Child 3 to &lt;6months:</w:t>
            </w:r>
            <w:r w:rsidRPr="00727DFA">
              <w:rPr>
                <w:rFonts w:eastAsia="Times New Roman"/>
                <w:szCs w:val="24"/>
              </w:rPr>
              <w:t xml:space="preserve"> 40/10 mg/kg every 8 hours (infusion time 2 hours) </w:t>
            </w:r>
          </w:p>
          <w:p w14:paraId="09C4084E"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Child 6months–17 years:</w:t>
            </w:r>
            <w:r w:rsidRPr="00727DFA">
              <w:rPr>
                <w:rFonts w:eastAsia="Times New Roman"/>
                <w:szCs w:val="24"/>
              </w:rPr>
              <w:t xml:space="preserve"> 50/12.5mg/kg to maximum of 2/0.5g </w:t>
            </w:r>
            <w:r w:rsidRPr="00727DFA">
              <w:rPr>
                <w:rFonts w:eastAsia="Times New Roman"/>
                <w:szCs w:val="24"/>
              </w:rPr>
              <w:lastRenderedPageBreak/>
              <w:t xml:space="preserve">every 8 hours (infusion time 2hours) </w:t>
            </w:r>
          </w:p>
          <w:p w14:paraId="407F4AD7"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Hospital acquired pneumonia including ventilator associated pneumonia:</w:t>
            </w:r>
          </w:p>
          <w:p w14:paraId="6E66DDEA"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Child 3 to &lt;6months:</w:t>
            </w:r>
            <w:r w:rsidRPr="00727DFA">
              <w:rPr>
                <w:rFonts w:eastAsia="Times New Roman"/>
                <w:szCs w:val="24"/>
              </w:rPr>
              <w:t xml:space="preserve"> 40/10 mg/kg every 8 hours (infusion time 2 hours) </w:t>
            </w:r>
          </w:p>
          <w:p w14:paraId="7B5C429B"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 xml:space="preserve">Child 6 months </w:t>
            </w:r>
            <w:r>
              <w:rPr>
                <w:rFonts w:eastAsia="Times New Roman"/>
                <w:b/>
                <w:bCs/>
                <w:szCs w:val="24"/>
              </w:rPr>
              <w:t>-</w:t>
            </w:r>
            <w:r w:rsidRPr="00727DFA">
              <w:rPr>
                <w:rFonts w:eastAsia="Times New Roman"/>
                <w:b/>
                <w:bCs/>
                <w:szCs w:val="24"/>
              </w:rPr>
              <w:t>17 years:</w:t>
            </w:r>
            <w:r w:rsidRPr="00727DFA">
              <w:rPr>
                <w:rFonts w:eastAsia="Times New Roman"/>
                <w:szCs w:val="24"/>
              </w:rPr>
              <w:t xml:space="preserve"> 50/12.5mg/kg to maximum of 2/0.5g every 8 hours (infusion time </w:t>
            </w:r>
            <w:r>
              <w:rPr>
                <w:rFonts w:eastAsia="Times New Roman"/>
                <w:szCs w:val="24"/>
              </w:rPr>
              <w:t xml:space="preserve">over2 </w:t>
            </w:r>
            <w:r w:rsidRPr="00727DFA">
              <w:rPr>
                <w:rFonts w:eastAsia="Times New Roman"/>
                <w:szCs w:val="24"/>
              </w:rPr>
              <w:t xml:space="preserve">hours) </w:t>
            </w:r>
          </w:p>
        </w:tc>
      </w:tr>
      <w:tr w:rsidR="007B485D" w:rsidRPr="00727DFA" w14:paraId="3723177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B96F3CB"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39135EA8"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 xml:space="preserve">Hypersensitivity to </w:t>
            </w:r>
            <w:r>
              <w:rPr>
                <w:rFonts w:eastAsia="Times New Roman"/>
                <w:szCs w:val="24"/>
              </w:rPr>
              <w:t xml:space="preserve">the drugs or other </w:t>
            </w:r>
            <w:r w:rsidRPr="00727DFA">
              <w:rPr>
                <w:rFonts w:eastAsia="Times New Roman"/>
                <w:szCs w:val="24"/>
              </w:rPr>
              <w:t>β-lactam antibacterial agent</w:t>
            </w:r>
            <w:r>
              <w:rPr>
                <w:rFonts w:eastAsia="Times New Roman"/>
                <w:szCs w:val="24"/>
              </w:rPr>
              <w:t>s.</w:t>
            </w:r>
          </w:p>
        </w:tc>
      </w:tr>
      <w:tr w:rsidR="007B485D" w:rsidRPr="00727DFA" w14:paraId="2576B9F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8471DAB"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B4A1E3C"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Probenecid, nephrotoxic agents (e.g. aminoglycosides, vancomycin), furosemide, chloramphenicol</w:t>
            </w:r>
            <w:r>
              <w:rPr>
                <w:rFonts w:eastAsia="Times New Roman"/>
                <w:szCs w:val="24"/>
              </w:rPr>
              <w:t>,</w:t>
            </w:r>
            <w:r w:rsidRPr="00727DFA">
              <w:rPr>
                <w:rFonts w:eastAsia="Times New Roman"/>
                <w:szCs w:val="24"/>
              </w:rPr>
              <w:t xml:space="preserve"> mycophenolate mofetil, cholera vaccine, estrogen-containing contraceptive, warfarin</w:t>
            </w:r>
            <w:r>
              <w:rPr>
                <w:rFonts w:eastAsia="Times New Roman"/>
                <w:szCs w:val="24"/>
              </w:rPr>
              <w:t>.</w:t>
            </w:r>
            <w:r w:rsidRPr="00727DFA">
              <w:rPr>
                <w:rFonts w:eastAsia="Times New Roman"/>
                <w:szCs w:val="24"/>
              </w:rPr>
              <w:t xml:space="preserve"> </w:t>
            </w:r>
          </w:p>
        </w:tc>
      </w:tr>
      <w:tr w:rsidR="007B485D" w:rsidRPr="00727DFA" w14:paraId="2563EDD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6C90E3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A338435"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 xml:space="preserve">Pseudomembranous colitis, nephrotoxicity, candidiasis (vulvovaginal and oral), eosinophilia, thrombocytosis, thrombocytopenia, headache, dizziness, maculo-papular rash, urticaria, pruritus, </w:t>
            </w:r>
            <w:r>
              <w:rPr>
                <w:rFonts w:eastAsia="Times New Roman"/>
                <w:szCs w:val="24"/>
              </w:rPr>
              <w:t>liver enzyme abnormalities</w:t>
            </w:r>
            <w:r w:rsidRPr="00727DFA">
              <w:rPr>
                <w:rFonts w:eastAsia="Times New Roman"/>
                <w:szCs w:val="24"/>
              </w:rPr>
              <w:t>, infusion site thrombosis, infusion site phlebitis, pyrexia</w:t>
            </w:r>
            <w:r>
              <w:rPr>
                <w:rFonts w:eastAsia="Times New Roman"/>
                <w:szCs w:val="24"/>
              </w:rPr>
              <w:t>.</w:t>
            </w:r>
          </w:p>
        </w:tc>
      </w:tr>
      <w:tr w:rsidR="007B485D" w:rsidRPr="00727DFA" w14:paraId="177C9F7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5A87CC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BC74A5D" w14:textId="77777777" w:rsidR="007B485D" w:rsidRPr="00727DFA" w:rsidRDefault="007B485D" w:rsidP="002D6DD7">
            <w:pPr>
              <w:jc w:val="both"/>
              <w:rPr>
                <w:rFonts w:eastAsia="DengXian"/>
                <w:b/>
                <w:bCs/>
                <w:szCs w:val="24"/>
              </w:rPr>
            </w:pPr>
            <w:r w:rsidRPr="00727DFA">
              <w:rPr>
                <w:rFonts w:eastAsia="Times New Roman"/>
                <w:szCs w:val="24"/>
              </w:rPr>
              <w:t>Pregnancy</w:t>
            </w:r>
            <w:r>
              <w:rPr>
                <w:rFonts w:eastAsia="Times New Roman"/>
                <w:szCs w:val="24"/>
              </w:rPr>
              <w:t xml:space="preserve">, </w:t>
            </w:r>
            <w:r w:rsidRPr="00727DFA">
              <w:rPr>
                <w:rFonts w:eastAsia="Times New Roman"/>
                <w:szCs w:val="24"/>
              </w:rPr>
              <w:t xml:space="preserve">breastfeeding, </w:t>
            </w:r>
            <w:r w:rsidRPr="00727DFA">
              <w:rPr>
                <w:rFonts w:eastAsia="DengXian"/>
                <w:szCs w:val="24"/>
              </w:rPr>
              <w:t xml:space="preserve">patients who are on a controlled sodium diet, </w:t>
            </w:r>
            <w:r w:rsidRPr="00727DFA">
              <w:rPr>
                <w:rFonts w:eastAsia="Times New Roman"/>
                <w:szCs w:val="24"/>
              </w:rPr>
              <w:t>renal impairment, machine operation (e.g. d</w:t>
            </w:r>
            <w:r w:rsidRPr="00727DFA">
              <w:rPr>
                <w:rFonts w:eastAsia="DengXian"/>
                <w:bCs/>
                <w:szCs w:val="24"/>
              </w:rPr>
              <w:t>riving and skilled tasks)</w:t>
            </w:r>
            <w:r>
              <w:rPr>
                <w:rFonts w:eastAsia="DengXian"/>
                <w:bCs/>
                <w:szCs w:val="24"/>
              </w:rPr>
              <w:t>.</w:t>
            </w:r>
          </w:p>
        </w:tc>
      </w:tr>
      <w:tr w:rsidR="007B485D" w:rsidRPr="00727DFA" w14:paraId="1046D4E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2FF3FC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53D6B36" w14:textId="77777777" w:rsidR="007B485D" w:rsidRPr="00727DFA" w:rsidRDefault="007B485D" w:rsidP="002D6DD7">
            <w:pPr>
              <w:jc w:val="both"/>
              <w:rPr>
                <w:rFonts w:eastAsia="DengXian"/>
                <w:szCs w:val="24"/>
              </w:rPr>
            </w:pPr>
            <w:r w:rsidRPr="00727DFA">
              <w:rPr>
                <w:rFonts w:eastAsia="Times New Roman"/>
                <w:szCs w:val="24"/>
              </w:rPr>
              <w:t>Store below 30°C</w:t>
            </w:r>
            <w:r>
              <w:rPr>
                <w:rFonts w:eastAsia="Times New Roman"/>
                <w:szCs w:val="24"/>
              </w:rPr>
              <w:t>. Protect from light.</w:t>
            </w:r>
          </w:p>
        </w:tc>
      </w:tr>
      <w:tr w:rsidR="007B485D" w:rsidRPr="00727DFA" w14:paraId="1FDA014A"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861828D" w14:textId="77777777" w:rsidR="007B485D" w:rsidRPr="00727DFA" w:rsidRDefault="007B485D" w:rsidP="002D6DD7">
            <w:pPr>
              <w:jc w:val="both"/>
              <w:rPr>
                <w:rFonts w:eastAsia="Times New Roman"/>
                <w:szCs w:val="24"/>
              </w:rPr>
            </w:pPr>
            <w:r w:rsidRPr="00727DFA">
              <w:rPr>
                <w:rFonts w:eastAsia="DengXian"/>
                <w:b/>
                <w:bCs/>
                <w:szCs w:val="24"/>
              </w:rPr>
              <w:t xml:space="preserve">Ceftriaxone </w:t>
            </w:r>
            <w:r w:rsidRPr="00587263">
              <w:rPr>
                <w:rFonts w:eastAsia="DengXian"/>
                <w:b/>
                <w:bCs/>
                <w:szCs w:val="24"/>
              </w:rPr>
              <w:t>(</w:t>
            </w:r>
            <w:r w:rsidRPr="00873AF2">
              <w:rPr>
                <w:rFonts w:eastAsia="DengXian"/>
                <w:b/>
                <w:bCs/>
                <w:szCs w:val="24"/>
              </w:rPr>
              <w:t>Watch)</w:t>
            </w:r>
          </w:p>
        </w:tc>
      </w:tr>
      <w:tr w:rsidR="007B485D" w:rsidRPr="00727DFA" w14:paraId="041848C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97031D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03533FD" w14:textId="77777777" w:rsidR="007B485D" w:rsidRPr="00727DFA" w:rsidRDefault="007B485D" w:rsidP="002D6DD7">
            <w:pPr>
              <w:jc w:val="both"/>
              <w:rPr>
                <w:rFonts w:eastAsia="DengXian"/>
                <w:szCs w:val="24"/>
              </w:rPr>
            </w:pPr>
            <w:r w:rsidRPr="00727DFA">
              <w:rPr>
                <w:rFonts w:eastAsia="DengXian"/>
                <w:szCs w:val="24"/>
              </w:rPr>
              <w:t>Third-generation cephalosporin</w:t>
            </w:r>
          </w:p>
        </w:tc>
      </w:tr>
      <w:tr w:rsidR="007B485D" w:rsidRPr="00727DFA" w14:paraId="2B8C8C1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2ADBCC9"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E303C77" w14:textId="77777777" w:rsidR="007B485D" w:rsidRPr="00727DFA" w:rsidRDefault="007B485D" w:rsidP="002D6DD7">
            <w:pPr>
              <w:jc w:val="both"/>
              <w:rPr>
                <w:rFonts w:eastAsia="DengXian"/>
                <w:szCs w:val="24"/>
              </w:rPr>
            </w:pPr>
            <w:r w:rsidRPr="00727DFA">
              <w:rPr>
                <w:rFonts w:eastAsia="Times New Roman"/>
                <w:szCs w:val="24"/>
              </w:rPr>
              <w:t>Injection: 0.25g, 0.5g, 1g, 2g (as sodium salt) in vial</w:t>
            </w:r>
          </w:p>
        </w:tc>
      </w:tr>
      <w:tr w:rsidR="007B485D" w:rsidRPr="00727DFA" w14:paraId="2492D0F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9E6B5DB"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2DB5D30" w14:textId="77777777" w:rsidR="007B485D" w:rsidRPr="00727DFA" w:rsidRDefault="007B485D" w:rsidP="002D6DD7">
            <w:pPr>
              <w:jc w:val="both"/>
              <w:rPr>
                <w:rFonts w:eastAsia="DengXian"/>
                <w:szCs w:val="24"/>
              </w:rPr>
            </w:pPr>
            <w:r w:rsidRPr="00727DFA">
              <w:rPr>
                <w:rFonts w:eastAsia="DengXian"/>
                <w:szCs w:val="24"/>
              </w:rPr>
              <w:t>Serious</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due</w:t>
            </w:r>
            <w:r w:rsidRPr="00727DFA">
              <w:rPr>
                <w:rFonts w:eastAsia="DengXian"/>
                <w:spacing w:val="1"/>
                <w:szCs w:val="24"/>
              </w:rPr>
              <w:t xml:space="preserve"> </w:t>
            </w:r>
            <w:r w:rsidRPr="00727DFA">
              <w:rPr>
                <w:rFonts w:eastAsia="DengXian"/>
                <w:szCs w:val="24"/>
              </w:rPr>
              <w:t>to</w:t>
            </w:r>
            <w:r w:rsidRPr="00727DFA">
              <w:rPr>
                <w:rFonts w:eastAsia="DengXian"/>
                <w:spacing w:val="1"/>
                <w:szCs w:val="24"/>
              </w:rPr>
              <w:t xml:space="preserve"> </w:t>
            </w:r>
            <w:r w:rsidRPr="00727DFA">
              <w:rPr>
                <w:rFonts w:eastAsia="DengXian"/>
                <w:szCs w:val="24"/>
              </w:rPr>
              <w:t>sensitive</w:t>
            </w:r>
            <w:r w:rsidRPr="00727DFA">
              <w:rPr>
                <w:rFonts w:eastAsia="DengXian"/>
                <w:spacing w:val="1"/>
                <w:szCs w:val="24"/>
              </w:rPr>
              <w:t xml:space="preserve"> </w:t>
            </w:r>
            <w:r w:rsidRPr="00727DFA">
              <w:rPr>
                <w:rFonts w:eastAsia="DengXian"/>
                <w:szCs w:val="24"/>
              </w:rPr>
              <w:t>bacteria,</w:t>
            </w:r>
            <w:r w:rsidRPr="00727DFA">
              <w:rPr>
                <w:rFonts w:eastAsia="DengXian"/>
                <w:spacing w:val="1"/>
                <w:szCs w:val="24"/>
              </w:rPr>
              <w:t xml:space="preserve"> </w:t>
            </w:r>
            <w:r w:rsidRPr="00727DFA">
              <w:rPr>
                <w:rFonts w:eastAsia="DengXian"/>
                <w:szCs w:val="24"/>
              </w:rPr>
              <w:t>including</w:t>
            </w:r>
            <w:r w:rsidRPr="00727DFA">
              <w:rPr>
                <w:rFonts w:eastAsia="DengXian"/>
                <w:spacing w:val="1"/>
                <w:szCs w:val="24"/>
              </w:rPr>
              <w:t xml:space="preserve"> </w:t>
            </w:r>
            <w:r w:rsidRPr="00727DFA">
              <w:rPr>
                <w:rFonts w:eastAsia="DengXian"/>
                <w:szCs w:val="24"/>
              </w:rPr>
              <w:t>septicemia,</w:t>
            </w:r>
            <w:r w:rsidRPr="00727DFA">
              <w:rPr>
                <w:rFonts w:eastAsia="DengXian"/>
                <w:spacing w:val="1"/>
                <w:szCs w:val="24"/>
              </w:rPr>
              <w:t xml:space="preserve"> </w:t>
            </w:r>
            <w:r w:rsidRPr="00727DFA">
              <w:rPr>
                <w:rFonts w:eastAsia="DengXian"/>
                <w:szCs w:val="24"/>
              </w:rPr>
              <w:t>pneumonia (community-acquired pneumonia and hospital-acquired pneumonia),</w:t>
            </w:r>
            <w:r w:rsidRPr="00727DFA">
              <w:rPr>
                <w:rFonts w:eastAsia="DengXian"/>
                <w:spacing w:val="1"/>
                <w:szCs w:val="24"/>
              </w:rPr>
              <w:t xml:space="preserve"> </w:t>
            </w:r>
            <w:r w:rsidRPr="00727DFA">
              <w:rPr>
                <w:rFonts w:eastAsia="DengXian"/>
                <w:szCs w:val="24"/>
              </w:rPr>
              <w:t>meningitis,</w:t>
            </w:r>
            <w:r w:rsidRPr="00727DFA">
              <w:rPr>
                <w:rFonts w:eastAsia="DengXian"/>
                <w:spacing w:val="1"/>
                <w:szCs w:val="24"/>
              </w:rPr>
              <w:t xml:space="preserve"> </w:t>
            </w:r>
            <w:r w:rsidRPr="00727DFA">
              <w:rPr>
                <w:rFonts w:eastAsia="DengXian"/>
                <w:szCs w:val="24"/>
              </w:rPr>
              <w:t>surgical</w:t>
            </w:r>
            <w:r w:rsidRPr="00727DFA">
              <w:rPr>
                <w:rFonts w:eastAsia="DengXian"/>
                <w:spacing w:val="1"/>
                <w:szCs w:val="24"/>
              </w:rPr>
              <w:t xml:space="preserve"> </w:t>
            </w:r>
            <w:r w:rsidRPr="00727DFA">
              <w:rPr>
                <w:rFonts w:eastAsia="DengXian"/>
                <w:szCs w:val="24"/>
              </w:rPr>
              <w:t>prophylaxis,</w:t>
            </w:r>
            <w:r w:rsidRPr="00727DFA">
              <w:rPr>
                <w:rFonts w:eastAsia="DengXian"/>
                <w:spacing w:val="1"/>
                <w:szCs w:val="24"/>
              </w:rPr>
              <w:t xml:space="preserve"> </w:t>
            </w:r>
            <w:r w:rsidRPr="00727DFA">
              <w:rPr>
                <w:rFonts w:eastAsia="DengXian"/>
                <w:szCs w:val="24"/>
              </w:rPr>
              <w:t>prophylaxis</w:t>
            </w:r>
            <w:r w:rsidRPr="00727DFA">
              <w:rPr>
                <w:rFonts w:eastAsia="DengXian"/>
                <w:spacing w:val="1"/>
                <w:szCs w:val="24"/>
              </w:rPr>
              <w:t xml:space="preserve"> </w:t>
            </w:r>
            <w:r w:rsidRPr="00727DFA">
              <w:rPr>
                <w:rFonts w:eastAsia="DengXian"/>
                <w:szCs w:val="24"/>
              </w:rPr>
              <w:t>of</w:t>
            </w:r>
            <w:r w:rsidRPr="00727DFA">
              <w:rPr>
                <w:rFonts w:eastAsia="DengXian"/>
                <w:spacing w:val="1"/>
                <w:szCs w:val="24"/>
              </w:rPr>
              <w:t xml:space="preserve"> </w:t>
            </w:r>
            <w:r w:rsidRPr="00727DFA">
              <w:rPr>
                <w:rFonts w:eastAsia="DengXian"/>
                <w:szCs w:val="24"/>
              </w:rPr>
              <w:t>meningococcal</w:t>
            </w:r>
            <w:r w:rsidRPr="00727DFA">
              <w:rPr>
                <w:rFonts w:eastAsia="DengXian"/>
                <w:spacing w:val="1"/>
                <w:szCs w:val="24"/>
              </w:rPr>
              <w:t xml:space="preserve"> </w:t>
            </w:r>
            <w:r w:rsidRPr="00727DFA">
              <w:rPr>
                <w:rFonts w:eastAsia="DengXian"/>
                <w:szCs w:val="24"/>
              </w:rPr>
              <w:t>meningitis and</w:t>
            </w:r>
            <w:r w:rsidRPr="00727DFA">
              <w:rPr>
                <w:rFonts w:eastAsia="DengXian"/>
                <w:spacing w:val="1"/>
                <w:szCs w:val="24"/>
              </w:rPr>
              <w:t xml:space="preserve"> </w:t>
            </w:r>
            <w:r w:rsidRPr="00727DFA">
              <w:rPr>
                <w:rFonts w:eastAsia="DengXian"/>
                <w:szCs w:val="24"/>
              </w:rPr>
              <w:t xml:space="preserve">gonorrhea, intra-abdominal infections, complicated urinary-tract infections, acute exacerbations of chronic obstructive pulmonary disease, cellulitis, erysipelas, moderate to severe diabetic foot infection, complicated skin and </w:t>
            </w:r>
            <w:r w:rsidRPr="00727DFA">
              <w:rPr>
                <w:rFonts w:eastAsia="DengXian"/>
                <w:szCs w:val="24"/>
              </w:rPr>
              <w:lastRenderedPageBreak/>
              <w:t>soft tissue infections, infections of bones and joint and suspected bacterial infection in neutropenic patients</w:t>
            </w:r>
            <w:r>
              <w:rPr>
                <w:rFonts w:eastAsia="DengXian"/>
                <w:szCs w:val="24"/>
              </w:rPr>
              <w:t>.</w:t>
            </w:r>
          </w:p>
        </w:tc>
      </w:tr>
      <w:tr w:rsidR="007B485D" w:rsidRPr="00727DFA" w14:paraId="1B71287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F67FF28" w14:textId="77777777" w:rsidR="007B485D" w:rsidRPr="00727DFA" w:rsidRDefault="007B485D" w:rsidP="002D6DD7">
            <w:pPr>
              <w:jc w:val="both"/>
              <w:rPr>
                <w:rFonts w:eastAsia="DengXian"/>
                <w:bCs/>
                <w:szCs w:val="24"/>
              </w:rPr>
            </w:pPr>
            <w:r w:rsidRPr="00727DFA">
              <w:rPr>
                <w:rFonts w:eastAsia="DengXian"/>
                <w:bCs/>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3B4706E" w14:textId="77777777" w:rsidR="007B485D" w:rsidRPr="00727DFA" w:rsidRDefault="007B485D" w:rsidP="002D6DD7">
            <w:pPr>
              <w:jc w:val="both"/>
              <w:rPr>
                <w:rFonts w:eastAsia="DengXian"/>
                <w:bCs/>
                <w:szCs w:val="24"/>
              </w:rPr>
            </w:pPr>
            <w:r w:rsidRPr="008D3B55">
              <w:rPr>
                <w:rFonts w:eastAsia="DengXian"/>
                <w:b/>
                <w:szCs w:val="24"/>
              </w:rPr>
              <w:t>Administration</w:t>
            </w:r>
            <w:r>
              <w:rPr>
                <w:rFonts w:eastAsia="DengXian"/>
                <w:bCs/>
                <w:szCs w:val="24"/>
              </w:rPr>
              <w:t xml:space="preserve">: </w:t>
            </w:r>
            <w:r w:rsidRPr="00727DFA">
              <w:rPr>
                <w:rFonts w:eastAsia="DengXian"/>
                <w:bCs/>
                <w:szCs w:val="24"/>
              </w:rPr>
              <w:t>IV infusion or IV injection or IM injection</w:t>
            </w:r>
          </w:p>
          <w:p w14:paraId="7C4A1010" w14:textId="77777777" w:rsidR="007B485D" w:rsidRPr="00727DFA" w:rsidRDefault="007B485D" w:rsidP="002D6DD7">
            <w:pPr>
              <w:jc w:val="both"/>
              <w:rPr>
                <w:rFonts w:eastAsia="DengXian"/>
                <w:b/>
                <w:szCs w:val="24"/>
              </w:rPr>
            </w:pPr>
            <w:r w:rsidRPr="00727DFA">
              <w:rPr>
                <w:rFonts w:eastAsia="DengXian"/>
                <w:b/>
                <w:szCs w:val="24"/>
              </w:rPr>
              <w:t>Community-acquired pneumonia, hospital-acquired pneumonia, intra-abdominal infections, complicated urinary-tract infections and acute exacerbations of chronic obstructive pulmonary disease:</w:t>
            </w:r>
          </w:p>
          <w:p w14:paraId="4057296D" w14:textId="77777777" w:rsidR="007B485D" w:rsidRPr="00727DFA" w:rsidRDefault="007B485D" w:rsidP="002D6DD7">
            <w:pPr>
              <w:jc w:val="both"/>
              <w:rPr>
                <w:rFonts w:eastAsia="DengXian"/>
                <w:bCs/>
                <w:szCs w:val="24"/>
              </w:rPr>
            </w:pPr>
            <w:r w:rsidRPr="00727DFA">
              <w:rPr>
                <w:rFonts w:eastAsia="DengXian"/>
                <w:b/>
                <w:bCs/>
                <w:szCs w:val="24"/>
              </w:rPr>
              <w:t>Adult</w:t>
            </w:r>
            <w:r w:rsidRPr="00727DFA">
              <w:rPr>
                <w:rFonts w:eastAsia="DengXian"/>
                <w:bCs/>
                <w:szCs w:val="24"/>
              </w:rPr>
              <w:t>: 1–2 g once daily, 2 g dose to be used for hospital-acquired pneumonia and severe cases</w:t>
            </w:r>
          </w:p>
          <w:p w14:paraId="6ADD1EED" w14:textId="77777777" w:rsidR="007B485D" w:rsidRPr="00727DFA" w:rsidRDefault="007B485D" w:rsidP="002D6DD7">
            <w:pPr>
              <w:jc w:val="both"/>
              <w:rPr>
                <w:rFonts w:eastAsia="DengXian"/>
                <w:bCs/>
                <w:szCs w:val="24"/>
              </w:rPr>
            </w:pPr>
            <w:r w:rsidRPr="00727DFA">
              <w:rPr>
                <w:rFonts w:eastAsia="DengXian"/>
                <w:b/>
                <w:bCs/>
                <w:szCs w:val="24"/>
              </w:rPr>
              <w:t>Child</w:t>
            </w:r>
            <w:r w:rsidRPr="00727DFA">
              <w:rPr>
                <w:rFonts w:eastAsia="DengXian"/>
                <w:bCs/>
                <w:szCs w:val="24"/>
              </w:rPr>
              <w:t>: 50 – 80 mg once daily, doses at the higher end of the recommended range used in severe cases and hospital acquired pneumonia, maximum 2g per day</w:t>
            </w:r>
          </w:p>
          <w:p w14:paraId="3FF84C41" w14:textId="77777777" w:rsidR="007B485D" w:rsidRPr="00727DFA" w:rsidRDefault="007B485D" w:rsidP="002D6DD7">
            <w:pPr>
              <w:jc w:val="both"/>
              <w:rPr>
                <w:rFonts w:eastAsia="DengXian"/>
                <w:b/>
                <w:szCs w:val="24"/>
              </w:rPr>
            </w:pPr>
            <w:r w:rsidRPr="00727DFA">
              <w:rPr>
                <w:rFonts w:eastAsia="DengXian"/>
                <w:b/>
                <w:szCs w:val="24"/>
              </w:rPr>
              <w:t>Cellulitis, Erysipelas, Moderate to severe diabetic foot infection, Leg ulcer infection, Complicated skin and soft tissue infections and Infections of bones and joints</w:t>
            </w:r>
            <w:r>
              <w:rPr>
                <w:rFonts w:eastAsia="DengXian"/>
                <w:bCs/>
                <w:szCs w:val="24"/>
              </w:rPr>
              <w:t>:</w:t>
            </w:r>
          </w:p>
          <w:p w14:paraId="339231A8" w14:textId="77777777" w:rsidR="007B485D" w:rsidRPr="00727DFA" w:rsidRDefault="007B485D" w:rsidP="002D6DD7">
            <w:pPr>
              <w:jc w:val="both"/>
              <w:rPr>
                <w:rFonts w:eastAsia="DengXian"/>
                <w:bCs/>
                <w:szCs w:val="24"/>
              </w:rPr>
            </w:pPr>
            <w:r w:rsidRPr="00727DFA">
              <w:rPr>
                <w:rFonts w:eastAsia="DengXian"/>
                <w:b/>
                <w:bCs/>
                <w:szCs w:val="24"/>
              </w:rPr>
              <w:t>Adult:</w:t>
            </w:r>
            <w:r w:rsidRPr="00727DFA">
              <w:rPr>
                <w:rFonts w:eastAsia="DengXian"/>
                <w:bCs/>
                <w:szCs w:val="24"/>
              </w:rPr>
              <w:t xml:space="preserve"> 2 g once daily</w:t>
            </w:r>
          </w:p>
          <w:p w14:paraId="0A87BDEB" w14:textId="77777777" w:rsidR="007B485D" w:rsidRPr="00727DFA" w:rsidRDefault="007B485D" w:rsidP="002D6DD7">
            <w:pPr>
              <w:jc w:val="both"/>
              <w:rPr>
                <w:rFonts w:eastAsia="DengXian"/>
                <w:b/>
                <w:szCs w:val="24"/>
              </w:rPr>
            </w:pPr>
            <w:r w:rsidRPr="00727DFA">
              <w:rPr>
                <w:rFonts w:eastAsia="DengXian"/>
                <w:b/>
                <w:szCs w:val="24"/>
              </w:rPr>
              <w:t>Prophylaxis of infection from animal and human bites [in combination with other drugs)</w:t>
            </w:r>
            <w:r>
              <w:rPr>
                <w:rFonts w:eastAsia="DengXian"/>
                <w:b/>
                <w:szCs w:val="24"/>
              </w:rPr>
              <w:t>:</w:t>
            </w:r>
          </w:p>
          <w:p w14:paraId="148DA994" w14:textId="77777777" w:rsidR="007B485D" w:rsidRPr="00727DFA" w:rsidRDefault="007B485D" w:rsidP="002D6DD7">
            <w:pPr>
              <w:jc w:val="both"/>
              <w:rPr>
                <w:rFonts w:eastAsia="DengXian"/>
                <w:bCs/>
                <w:szCs w:val="24"/>
              </w:rPr>
            </w:pPr>
            <w:r w:rsidRPr="00727DFA">
              <w:rPr>
                <w:rFonts w:eastAsia="DengXian"/>
                <w:b/>
                <w:bCs/>
                <w:szCs w:val="24"/>
              </w:rPr>
              <w:t>Adult:</w:t>
            </w:r>
            <w:r w:rsidRPr="00727DFA">
              <w:rPr>
                <w:rFonts w:eastAsia="DengXian"/>
                <w:bCs/>
                <w:szCs w:val="24"/>
              </w:rPr>
              <w:t xml:space="preserve"> 2 g once daily</w:t>
            </w:r>
          </w:p>
          <w:p w14:paraId="19AF5801" w14:textId="77777777" w:rsidR="007B485D" w:rsidRPr="00727DFA" w:rsidRDefault="007B485D" w:rsidP="002D6DD7">
            <w:pPr>
              <w:jc w:val="both"/>
              <w:rPr>
                <w:rFonts w:eastAsia="DengXian"/>
                <w:b/>
                <w:szCs w:val="24"/>
              </w:rPr>
            </w:pPr>
            <w:r w:rsidRPr="00727DFA">
              <w:rPr>
                <w:rFonts w:eastAsia="DengXian"/>
                <w:b/>
                <w:szCs w:val="24"/>
              </w:rPr>
              <w:t>Suspected bacterial infection in neutropenic patients</w:t>
            </w:r>
            <w:r>
              <w:rPr>
                <w:rFonts w:eastAsia="DengXian"/>
                <w:b/>
                <w:szCs w:val="24"/>
              </w:rPr>
              <w:t>:</w:t>
            </w:r>
            <w:r w:rsidRPr="00727DFA">
              <w:rPr>
                <w:rFonts w:eastAsia="DengXian"/>
                <w:b/>
                <w:szCs w:val="24"/>
              </w:rPr>
              <w:t xml:space="preserve"> </w:t>
            </w:r>
          </w:p>
          <w:p w14:paraId="76CFCB8B" w14:textId="77777777" w:rsidR="007B485D" w:rsidRPr="00727DFA" w:rsidRDefault="007B485D" w:rsidP="002D6DD7">
            <w:pPr>
              <w:ind w:hanging="16"/>
              <w:jc w:val="both"/>
              <w:rPr>
                <w:rFonts w:eastAsia="DengXian"/>
                <w:bCs/>
                <w:szCs w:val="24"/>
              </w:rPr>
            </w:pPr>
            <w:r w:rsidRPr="00727DFA">
              <w:rPr>
                <w:rFonts w:eastAsia="DengXian"/>
                <w:b/>
                <w:bCs/>
                <w:szCs w:val="24"/>
              </w:rPr>
              <w:t>Adult</w:t>
            </w:r>
            <w:r w:rsidRPr="00727DFA">
              <w:rPr>
                <w:rFonts w:eastAsia="DengXian"/>
                <w:bCs/>
                <w:szCs w:val="24"/>
              </w:rPr>
              <w:t>: 2–4 g daily, doses at the higher end of the recommended range used in severe cases</w:t>
            </w:r>
          </w:p>
          <w:p w14:paraId="1CC081A5" w14:textId="77777777" w:rsidR="007B485D" w:rsidRPr="00727DFA" w:rsidRDefault="007B485D" w:rsidP="002D6DD7">
            <w:pPr>
              <w:jc w:val="both"/>
              <w:rPr>
                <w:rFonts w:eastAsia="DengXian"/>
                <w:bCs/>
                <w:szCs w:val="24"/>
              </w:rPr>
            </w:pPr>
            <w:r w:rsidRPr="00727DFA">
              <w:rPr>
                <w:rFonts w:eastAsia="DengXian"/>
                <w:b/>
                <w:bCs/>
                <w:szCs w:val="24"/>
              </w:rPr>
              <w:t>Surgical prophylaxis</w:t>
            </w:r>
            <w:r>
              <w:rPr>
                <w:rFonts w:eastAsia="DengXian"/>
                <w:b/>
                <w:bCs/>
                <w:szCs w:val="24"/>
              </w:rPr>
              <w:t>:</w:t>
            </w:r>
            <w:r w:rsidRPr="00727DFA">
              <w:rPr>
                <w:rFonts w:eastAsia="DengXian"/>
                <w:b/>
                <w:bCs/>
                <w:szCs w:val="24"/>
              </w:rPr>
              <w:t xml:space="preserve"> </w:t>
            </w:r>
          </w:p>
          <w:p w14:paraId="203A4B05" w14:textId="77777777" w:rsidR="007B485D" w:rsidRPr="00727DFA" w:rsidRDefault="007B485D" w:rsidP="002D6DD7">
            <w:pPr>
              <w:jc w:val="both"/>
              <w:rPr>
                <w:rFonts w:eastAsia="DengXian"/>
                <w:bCs/>
                <w:szCs w:val="24"/>
              </w:rPr>
            </w:pPr>
            <w:r w:rsidRPr="00727DFA">
              <w:rPr>
                <w:rFonts w:eastAsia="DengXian"/>
                <w:b/>
                <w:bCs/>
                <w:szCs w:val="24"/>
              </w:rPr>
              <w:t>Adult</w:t>
            </w:r>
            <w:r w:rsidRPr="00727DFA">
              <w:rPr>
                <w:rFonts w:eastAsia="DengXian"/>
                <w:bCs/>
                <w:szCs w:val="24"/>
              </w:rPr>
              <w:t>: 2 g for 1 dose, dose to be administered 30–90 minutes before procedure</w:t>
            </w:r>
          </w:p>
          <w:p w14:paraId="775CBB81" w14:textId="77777777" w:rsidR="007B485D" w:rsidRPr="00727DFA" w:rsidRDefault="007B485D" w:rsidP="002D6DD7">
            <w:pPr>
              <w:jc w:val="both"/>
              <w:rPr>
                <w:rFonts w:eastAsia="DengXian"/>
                <w:b/>
                <w:szCs w:val="24"/>
              </w:rPr>
            </w:pPr>
            <w:r w:rsidRPr="00727DFA">
              <w:rPr>
                <w:rFonts w:eastAsia="DengXian"/>
                <w:b/>
                <w:szCs w:val="24"/>
              </w:rPr>
              <w:t xml:space="preserve">Bacterial meningitis and </w:t>
            </w:r>
            <w:r>
              <w:rPr>
                <w:rFonts w:eastAsia="DengXian"/>
                <w:b/>
                <w:szCs w:val="24"/>
              </w:rPr>
              <w:t>b</w:t>
            </w:r>
            <w:r w:rsidRPr="00727DFA">
              <w:rPr>
                <w:rFonts w:eastAsia="DengXian"/>
                <w:b/>
                <w:szCs w:val="24"/>
              </w:rPr>
              <w:t>acterial endocarditis</w:t>
            </w:r>
            <w:r>
              <w:rPr>
                <w:rFonts w:eastAsia="DengXian"/>
                <w:b/>
                <w:szCs w:val="24"/>
              </w:rPr>
              <w:t>:</w:t>
            </w:r>
          </w:p>
          <w:p w14:paraId="3B924903" w14:textId="77777777" w:rsidR="007B485D" w:rsidRPr="00727DFA" w:rsidRDefault="007B485D" w:rsidP="002D6DD7">
            <w:pPr>
              <w:jc w:val="both"/>
              <w:rPr>
                <w:rFonts w:eastAsia="DengXian"/>
                <w:bCs/>
                <w:szCs w:val="24"/>
              </w:rPr>
            </w:pPr>
            <w:r w:rsidRPr="00727DFA">
              <w:rPr>
                <w:rFonts w:eastAsia="DengXian"/>
                <w:b/>
                <w:bCs/>
                <w:szCs w:val="24"/>
              </w:rPr>
              <w:t>Adult</w:t>
            </w:r>
            <w:r w:rsidRPr="00727DFA">
              <w:rPr>
                <w:rFonts w:eastAsia="DengXian"/>
                <w:bCs/>
                <w:szCs w:val="24"/>
              </w:rPr>
              <w:t xml:space="preserve">: 2–4 g daily, doses at the higher end of the recommended range used in severe cases </w:t>
            </w:r>
          </w:p>
          <w:p w14:paraId="7607C962" w14:textId="77777777" w:rsidR="007B485D" w:rsidRPr="00727DFA" w:rsidRDefault="007B485D" w:rsidP="002D6DD7">
            <w:pPr>
              <w:adjustRightInd w:val="0"/>
              <w:jc w:val="both"/>
              <w:rPr>
                <w:rFonts w:eastAsia="DengXian"/>
                <w:szCs w:val="24"/>
              </w:rPr>
            </w:pPr>
            <w:r w:rsidRPr="00727DFA">
              <w:rPr>
                <w:rFonts w:eastAsia="DengXian"/>
                <w:b/>
                <w:szCs w:val="24"/>
              </w:rPr>
              <w:t>Child 1 month–11 years</w:t>
            </w:r>
            <w:r w:rsidRPr="00727DFA">
              <w:rPr>
                <w:rFonts w:eastAsia="DengXian"/>
                <w:szCs w:val="24"/>
              </w:rPr>
              <w:t xml:space="preserve"> (body weight up to 50 kg): 80–100 mg/kg    once daily, 100 mg/kg once daily dose should be used for bacterial endocarditis; maximum 4 g per day.</w:t>
            </w:r>
          </w:p>
          <w:p w14:paraId="23C5B7E1" w14:textId="77777777" w:rsidR="007B485D" w:rsidRPr="00727DFA" w:rsidRDefault="007B485D" w:rsidP="002D6DD7">
            <w:pPr>
              <w:adjustRightInd w:val="0"/>
              <w:jc w:val="both"/>
              <w:rPr>
                <w:rFonts w:eastAsia="DengXian"/>
                <w:szCs w:val="24"/>
              </w:rPr>
            </w:pPr>
            <w:r w:rsidRPr="00727DFA">
              <w:rPr>
                <w:rFonts w:eastAsia="DengXian"/>
                <w:b/>
                <w:szCs w:val="24"/>
              </w:rPr>
              <w:lastRenderedPageBreak/>
              <w:t>Child 9–11 years (</w:t>
            </w:r>
            <w:r w:rsidRPr="00727DFA">
              <w:rPr>
                <w:rFonts w:eastAsia="DengXian"/>
                <w:szCs w:val="24"/>
              </w:rPr>
              <w:t>body weight 50 kg and above): 2–4 g once daily, doses at the higher end of the recommended range used in severe cases.</w:t>
            </w:r>
          </w:p>
          <w:p w14:paraId="732BEF34" w14:textId="77777777" w:rsidR="007B485D" w:rsidRPr="00727DFA" w:rsidRDefault="007B485D" w:rsidP="002D6DD7">
            <w:pPr>
              <w:adjustRightInd w:val="0"/>
              <w:jc w:val="both"/>
              <w:rPr>
                <w:rFonts w:eastAsia="DengXian"/>
                <w:szCs w:val="24"/>
              </w:rPr>
            </w:pPr>
            <w:r w:rsidRPr="00727DFA">
              <w:rPr>
                <w:rFonts w:eastAsia="DengXian"/>
                <w:b/>
                <w:szCs w:val="24"/>
              </w:rPr>
              <w:t>Child 12–17 years</w:t>
            </w:r>
            <w:r w:rsidRPr="00727DFA">
              <w:rPr>
                <w:rFonts w:eastAsia="DengXian"/>
                <w:szCs w:val="24"/>
              </w:rPr>
              <w:t>: 2–4 g once daily, doses at the higher end of the recommended range used in severe cases</w:t>
            </w:r>
          </w:p>
          <w:p w14:paraId="77848E21" w14:textId="77777777" w:rsidR="007B485D" w:rsidRPr="00727DFA" w:rsidRDefault="007B485D" w:rsidP="002D6DD7">
            <w:pPr>
              <w:adjustRightInd w:val="0"/>
              <w:jc w:val="both"/>
              <w:rPr>
                <w:rFonts w:eastAsia="DengXian"/>
                <w:b/>
                <w:szCs w:val="24"/>
              </w:rPr>
            </w:pPr>
            <w:r w:rsidRPr="00727DFA">
              <w:rPr>
                <w:rFonts w:eastAsia="DengXian"/>
                <w:b/>
                <w:szCs w:val="24"/>
              </w:rPr>
              <w:t>Gonococcal conjunctivitis, uncomplicated gonorrhea [anogenital and pharyngeal infection, when sensitivity unknown]</w:t>
            </w:r>
            <w:r>
              <w:rPr>
                <w:rFonts w:eastAsia="DengXian"/>
                <w:b/>
                <w:szCs w:val="24"/>
              </w:rPr>
              <w:t>:</w:t>
            </w:r>
          </w:p>
          <w:p w14:paraId="334D8C17" w14:textId="77777777" w:rsidR="007B485D" w:rsidRPr="00727DFA" w:rsidRDefault="007B485D" w:rsidP="002D6DD7">
            <w:pPr>
              <w:adjustRightInd w:val="0"/>
              <w:jc w:val="both"/>
              <w:rPr>
                <w:rFonts w:eastAsia="DengXian"/>
                <w:b/>
                <w:szCs w:val="24"/>
              </w:rPr>
            </w:pPr>
            <w:r w:rsidRPr="00727DFA">
              <w:rPr>
                <w:rFonts w:eastAsia="DengXian"/>
                <w:b/>
                <w:bCs/>
                <w:szCs w:val="24"/>
              </w:rPr>
              <w:t>Adult</w:t>
            </w:r>
            <w:r w:rsidRPr="00727DFA">
              <w:rPr>
                <w:rFonts w:eastAsia="DengXian"/>
                <w:szCs w:val="24"/>
              </w:rPr>
              <w:t>: 1 g for 1 dose</w:t>
            </w:r>
          </w:p>
          <w:p w14:paraId="41040AD3" w14:textId="77777777" w:rsidR="007B485D" w:rsidRPr="00727DFA" w:rsidRDefault="007B485D" w:rsidP="002D6DD7">
            <w:pPr>
              <w:adjustRightInd w:val="0"/>
              <w:jc w:val="both"/>
              <w:rPr>
                <w:rFonts w:eastAsia="DengXian"/>
                <w:b/>
                <w:szCs w:val="24"/>
              </w:rPr>
            </w:pPr>
            <w:r w:rsidRPr="00727DFA">
              <w:rPr>
                <w:rFonts w:eastAsia="DengXian"/>
                <w:b/>
                <w:szCs w:val="24"/>
              </w:rPr>
              <w:t>Gonococcal epididymo-orchitis</w:t>
            </w:r>
            <w:r>
              <w:rPr>
                <w:rFonts w:eastAsia="DengXian"/>
                <w:b/>
                <w:szCs w:val="24"/>
              </w:rPr>
              <w:t>:</w:t>
            </w:r>
          </w:p>
          <w:p w14:paraId="53200A88"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1 g for 1 dose, followed an additional antibacterial course </w:t>
            </w:r>
          </w:p>
          <w:p w14:paraId="0F40E0FF" w14:textId="77777777" w:rsidR="007B485D" w:rsidRPr="00727DFA" w:rsidRDefault="007B485D" w:rsidP="002D6DD7">
            <w:pPr>
              <w:adjustRightInd w:val="0"/>
              <w:jc w:val="both"/>
              <w:rPr>
                <w:rFonts w:eastAsia="DengXian"/>
                <w:b/>
                <w:szCs w:val="24"/>
              </w:rPr>
            </w:pPr>
            <w:r w:rsidRPr="00727DFA">
              <w:rPr>
                <w:rFonts w:eastAsia="DengXian"/>
                <w:b/>
                <w:szCs w:val="24"/>
              </w:rPr>
              <w:t>Disseminated gonococcal infection</w:t>
            </w:r>
            <w:r>
              <w:rPr>
                <w:rFonts w:eastAsia="DengXian"/>
                <w:b/>
                <w:szCs w:val="24"/>
              </w:rPr>
              <w:t>:</w:t>
            </w:r>
          </w:p>
          <w:p w14:paraId="47044518"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1 g every 24 hours for 7 days, may be switched 24–48 hours after symptoms improve to a suitable oral antibacterial</w:t>
            </w:r>
          </w:p>
          <w:p w14:paraId="09DB74E0" w14:textId="77777777" w:rsidR="007B485D" w:rsidRPr="00727DFA" w:rsidRDefault="007B485D" w:rsidP="002D6DD7">
            <w:pPr>
              <w:adjustRightInd w:val="0"/>
              <w:jc w:val="both"/>
              <w:rPr>
                <w:rFonts w:eastAsia="DengXian"/>
                <w:b/>
                <w:szCs w:val="24"/>
              </w:rPr>
            </w:pPr>
            <w:r w:rsidRPr="00727DFA">
              <w:rPr>
                <w:rFonts w:eastAsia="DengXian"/>
                <w:b/>
                <w:szCs w:val="24"/>
              </w:rPr>
              <w:t>Syphilis</w:t>
            </w:r>
            <w:r>
              <w:rPr>
                <w:rFonts w:eastAsia="DengXian"/>
                <w:b/>
                <w:szCs w:val="24"/>
              </w:rPr>
              <w:t>:</w:t>
            </w:r>
            <w:r w:rsidRPr="00727DFA">
              <w:rPr>
                <w:rFonts w:eastAsia="DengXian"/>
                <w:szCs w:val="24"/>
              </w:rPr>
              <w:t xml:space="preserve"> </w:t>
            </w:r>
          </w:p>
          <w:p w14:paraId="431F6FF8" w14:textId="77777777" w:rsidR="007B485D" w:rsidRPr="00727DFA" w:rsidRDefault="007B485D" w:rsidP="002D6DD7">
            <w:pPr>
              <w:adjustRightInd w:val="0"/>
              <w:jc w:val="both"/>
              <w:rPr>
                <w:rFonts w:eastAsia="DengXian"/>
                <w:szCs w:val="24"/>
              </w:rPr>
            </w:pPr>
            <w:r w:rsidRPr="00727DFA">
              <w:rPr>
                <w:rFonts w:eastAsia="DengXian"/>
                <w:b/>
                <w:szCs w:val="24"/>
              </w:rPr>
              <w:t>Adult</w:t>
            </w:r>
            <w:r w:rsidRPr="00727DFA">
              <w:rPr>
                <w:rFonts w:eastAsia="DengXian"/>
                <w:szCs w:val="24"/>
              </w:rPr>
              <w:t>: 0.5–1 g once daily for 10–14 days, dose increased to 2 g once daily for neurosyphilis</w:t>
            </w:r>
          </w:p>
          <w:p w14:paraId="28175895" w14:textId="77777777" w:rsidR="007B485D" w:rsidRPr="00727DFA" w:rsidRDefault="007B485D" w:rsidP="002D6DD7">
            <w:pPr>
              <w:adjustRightInd w:val="0"/>
              <w:jc w:val="both"/>
              <w:rPr>
                <w:rFonts w:eastAsia="DengXian"/>
                <w:b/>
                <w:szCs w:val="24"/>
              </w:rPr>
            </w:pPr>
            <w:r w:rsidRPr="00727DFA">
              <w:rPr>
                <w:rFonts w:eastAsia="DengXian"/>
                <w:b/>
                <w:szCs w:val="24"/>
              </w:rPr>
              <w:t>Lyme disease (affecting central nervous system) and Lyme carditis</w:t>
            </w:r>
            <w:r>
              <w:rPr>
                <w:rFonts w:eastAsia="DengXian"/>
                <w:b/>
                <w:szCs w:val="24"/>
              </w:rPr>
              <w:t>:</w:t>
            </w:r>
          </w:p>
          <w:p w14:paraId="22AE1DA7" w14:textId="77777777" w:rsidR="007B485D" w:rsidRPr="00727DFA" w:rsidRDefault="007B485D" w:rsidP="002D6DD7">
            <w:pPr>
              <w:adjustRightInd w:val="0"/>
              <w:jc w:val="both"/>
              <w:rPr>
                <w:rFonts w:eastAsia="DengXian"/>
                <w:b/>
                <w:szCs w:val="24"/>
              </w:rPr>
            </w:pPr>
            <w:r w:rsidRPr="00727DFA">
              <w:rPr>
                <w:rFonts w:eastAsia="DengXian"/>
                <w:b/>
                <w:szCs w:val="24"/>
              </w:rPr>
              <w:t>Adult</w:t>
            </w:r>
            <w:r w:rsidRPr="00727DFA">
              <w:rPr>
                <w:rFonts w:eastAsia="DengXian"/>
                <w:szCs w:val="24"/>
              </w:rPr>
              <w:t>: 2 g twice daily for 21 days, alternatively 4 g once</w:t>
            </w:r>
            <w:r w:rsidRPr="00727DFA">
              <w:rPr>
                <w:rFonts w:eastAsia="DengXian"/>
                <w:b/>
                <w:szCs w:val="24"/>
              </w:rPr>
              <w:t xml:space="preserve"> </w:t>
            </w:r>
            <w:r w:rsidRPr="00727DFA">
              <w:rPr>
                <w:rFonts w:eastAsia="DengXian"/>
                <w:szCs w:val="24"/>
              </w:rPr>
              <w:t xml:space="preserve">daily </w:t>
            </w:r>
          </w:p>
          <w:p w14:paraId="0CB45B20" w14:textId="77777777" w:rsidR="007B485D" w:rsidRPr="00727DFA" w:rsidRDefault="007B485D" w:rsidP="002D6DD7">
            <w:pPr>
              <w:adjustRightInd w:val="0"/>
              <w:jc w:val="both"/>
              <w:rPr>
                <w:rFonts w:eastAsia="DengXian"/>
                <w:szCs w:val="24"/>
              </w:rPr>
            </w:pPr>
            <w:r w:rsidRPr="00727DFA">
              <w:rPr>
                <w:rFonts w:eastAsia="DengXian"/>
                <w:b/>
                <w:szCs w:val="24"/>
              </w:rPr>
              <w:t>Lyme arthritis</w:t>
            </w:r>
            <w:r>
              <w:rPr>
                <w:rFonts w:eastAsia="DengXian"/>
                <w:b/>
                <w:szCs w:val="24"/>
              </w:rPr>
              <w:t>:</w:t>
            </w:r>
          </w:p>
          <w:p w14:paraId="7E188ABA"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2 g once daily for 28 days</w:t>
            </w:r>
          </w:p>
          <w:p w14:paraId="0E8EF2F1" w14:textId="77777777" w:rsidR="007B485D" w:rsidRPr="00727DFA" w:rsidRDefault="007B485D" w:rsidP="002D6DD7">
            <w:pPr>
              <w:adjustRightInd w:val="0"/>
              <w:jc w:val="both"/>
              <w:rPr>
                <w:rFonts w:eastAsia="DengXian"/>
                <w:b/>
                <w:szCs w:val="24"/>
              </w:rPr>
            </w:pPr>
            <w:r w:rsidRPr="00727DFA">
              <w:rPr>
                <w:rFonts w:eastAsia="DengXian"/>
                <w:b/>
                <w:szCs w:val="24"/>
              </w:rPr>
              <w:t>Acute otitis media</w:t>
            </w:r>
            <w:r>
              <w:rPr>
                <w:rFonts w:eastAsia="DengXian"/>
                <w:b/>
                <w:szCs w:val="24"/>
              </w:rPr>
              <w:t>:</w:t>
            </w:r>
          </w:p>
          <w:p w14:paraId="1D0AB449" w14:textId="77777777" w:rsidR="007B485D" w:rsidRPr="00727DFA" w:rsidRDefault="007B485D" w:rsidP="002D6DD7">
            <w:pPr>
              <w:adjustRightInd w:val="0"/>
              <w:jc w:val="both"/>
              <w:rPr>
                <w:rFonts w:eastAsia="DengXian"/>
                <w:szCs w:val="24"/>
              </w:rPr>
            </w:pPr>
            <w:r w:rsidRPr="00727DFA">
              <w:rPr>
                <w:rFonts w:eastAsia="DengXian"/>
                <w:b/>
                <w:bCs/>
                <w:szCs w:val="24"/>
              </w:rPr>
              <w:t>Adult:</w:t>
            </w:r>
            <w:r w:rsidRPr="00727DFA">
              <w:rPr>
                <w:rFonts w:eastAsia="DengXian"/>
                <w:szCs w:val="24"/>
              </w:rPr>
              <w:t xml:space="preserve"> 1–2 g for 1 dose, dose can be given for 3 days if severely ill or previous therapy failed</w:t>
            </w:r>
          </w:p>
          <w:p w14:paraId="3EB318DB" w14:textId="77777777" w:rsidR="007B485D" w:rsidRPr="00727DFA" w:rsidRDefault="007B485D" w:rsidP="002D6DD7">
            <w:pPr>
              <w:jc w:val="both"/>
              <w:rPr>
                <w:rFonts w:eastAsia="DengXian"/>
                <w:b/>
                <w:szCs w:val="24"/>
              </w:rPr>
            </w:pPr>
            <w:r w:rsidRPr="00727DFA">
              <w:rPr>
                <w:rFonts w:eastAsia="DengXian"/>
                <w:b/>
                <w:szCs w:val="24"/>
              </w:rPr>
              <w:t>Acute prostatitis</w:t>
            </w:r>
            <w:r>
              <w:rPr>
                <w:rFonts w:eastAsia="DengXian"/>
                <w:b/>
                <w:szCs w:val="24"/>
              </w:rPr>
              <w:t>:</w:t>
            </w:r>
            <w:r w:rsidRPr="00727DFA">
              <w:rPr>
                <w:rFonts w:eastAsia="DengXian"/>
                <w:szCs w:val="24"/>
              </w:rPr>
              <w:t xml:space="preserve"> </w:t>
            </w:r>
          </w:p>
          <w:p w14:paraId="77CD5635"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2 g once daily.</w:t>
            </w:r>
          </w:p>
        </w:tc>
      </w:tr>
      <w:tr w:rsidR="007B485D" w:rsidRPr="00727DFA" w14:paraId="0FB941D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F2B195A"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37878A6"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 xml:space="preserve">the drug or other </w:t>
            </w:r>
            <w:r w:rsidRPr="00727DFA">
              <w:rPr>
                <w:rFonts w:eastAsia="DengXian"/>
                <w:szCs w:val="24"/>
              </w:rPr>
              <w:t xml:space="preserve">cephalosporins, certain neonates (premature or hyperbilirubinemia), </w:t>
            </w:r>
            <w:r>
              <w:rPr>
                <w:rFonts w:eastAsia="DengXian"/>
                <w:szCs w:val="24"/>
              </w:rPr>
              <w:t>patient</w:t>
            </w:r>
            <w:r w:rsidRPr="00727DFA">
              <w:rPr>
                <w:rFonts w:eastAsia="DengXian"/>
                <w:szCs w:val="24"/>
              </w:rPr>
              <w:t xml:space="preserve"> requiring calcium-containing IV solutions</w:t>
            </w:r>
            <w:r>
              <w:rPr>
                <w:rFonts w:eastAsia="DengXian"/>
                <w:szCs w:val="24"/>
              </w:rPr>
              <w:t>.</w:t>
            </w:r>
          </w:p>
        </w:tc>
      </w:tr>
      <w:tr w:rsidR="007B485D" w:rsidRPr="00727DFA" w14:paraId="0E7B722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1E834E"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AA030C3"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 xml:space="preserve">Calcium containing IV fluids, calcium gluconate, aminoglycosides, </w:t>
            </w:r>
            <w:r w:rsidRPr="00727DFA">
              <w:rPr>
                <w:rFonts w:eastAsia="DengXian"/>
                <w:szCs w:val="24"/>
              </w:rPr>
              <w:lastRenderedPageBreak/>
              <w:t xml:space="preserve">warfarin, </w:t>
            </w:r>
            <w:r>
              <w:rPr>
                <w:rFonts w:eastAsia="DengXian"/>
                <w:szCs w:val="24"/>
              </w:rPr>
              <w:t xml:space="preserve">heparin, enoxaparin, chloramphenicol, probenecid, </w:t>
            </w:r>
            <w:r w:rsidRPr="00727DFA">
              <w:rPr>
                <w:rFonts w:eastAsia="DengXian"/>
                <w:szCs w:val="24"/>
              </w:rPr>
              <w:t>oral contraceptives</w:t>
            </w:r>
            <w:r>
              <w:rPr>
                <w:rFonts w:eastAsia="DengXian"/>
                <w:szCs w:val="24"/>
              </w:rPr>
              <w:t>, live cholera vaccine.</w:t>
            </w:r>
          </w:p>
        </w:tc>
      </w:tr>
      <w:tr w:rsidR="007B485D" w:rsidRPr="00727DFA" w14:paraId="21377C3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0D5DB77"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175133A8" w14:textId="77777777" w:rsidR="007B485D" w:rsidRPr="00727DFA" w:rsidRDefault="007B485D" w:rsidP="002D6DD7">
            <w:pPr>
              <w:jc w:val="both"/>
              <w:rPr>
                <w:rFonts w:eastAsia="DengXian"/>
                <w:szCs w:val="24"/>
              </w:rPr>
            </w:pPr>
            <w:r w:rsidRPr="00727DFA">
              <w:rPr>
                <w:rFonts w:eastAsia="DengXian"/>
                <w:szCs w:val="24"/>
              </w:rPr>
              <w:t>Diarrhea, nausea</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vomiting,</w:t>
            </w:r>
            <w:r w:rsidRPr="00727DFA">
              <w:rPr>
                <w:rFonts w:eastAsia="DengXian"/>
                <w:spacing w:val="1"/>
                <w:szCs w:val="24"/>
              </w:rPr>
              <w:t xml:space="preserve"> </w:t>
            </w:r>
            <w:r w:rsidRPr="00727DFA">
              <w:rPr>
                <w:rFonts w:eastAsia="DengXian"/>
                <w:szCs w:val="24"/>
              </w:rPr>
              <w:t>abdominal</w:t>
            </w:r>
            <w:r w:rsidRPr="00727DFA">
              <w:rPr>
                <w:rFonts w:eastAsia="DengXian"/>
                <w:spacing w:val="1"/>
                <w:szCs w:val="24"/>
              </w:rPr>
              <w:t xml:space="preserve"> </w:t>
            </w:r>
            <w:r w:rsidRPr="00727DFA">
              <w:rPr>
                <w:rFonts w:eastAsia="DengXian"/>
                <w:szCs w:val="24"/>
              </w:rPr>
              <w:t>discomfort,</w:t>
            </w:r>
            <w:r w:rsidRPr="00727DFA">
              <w:rPr>
                <w:rFonts w:eastAsia="DengXian"/>
                <w:spacing w:val="1"/>
                <w:szCs w:val="24"/>
              </w:rPr>
              <w:t xml:space="preserve"> </w:t>
            </w:r>
            <w:r w:rsidRPr="00727DFA">
              <w:rPr>
                <w:rFonts w:eastAsia="DengXian"/>
                <w:szCs w:val="24"/>
              </w:rPr>
              <w:t>headache,</w:t>
            </w:r>
            <w:r w:rsidRPr="00727DFA">
              <w:rPr>
                <w:rFonts w:eastAsia="DengXian"/>
                <w:spacing w:val="1"/>
                <w:szCs w:val="24"/>
              </w:rPr>
              <w:t xml:space="preserve"> </w:t>
            </w:r>
            <w:r w:rsidRPr="00727DFA">
              <w:rPr>
                <w:rFonts w:eastAsia="DengXian"/>
                <w:szCs w:val="24"/>
              </w:rPr>
              <w:t>antibiotic-associated</w:t>
            </w:r>
            <w:r w:rsidRPr="00727DFA">
              <w:rPr>
                <w:rFonts w:eastAsia="DengXian"/>
                <w:spacing w:val="1"/>
                <w:szCs w:val="24"/>
              </w:rPr>
              <w:t xml:space="preserve"> </w:t>
            </w:r>
            <w:r w:rsidRPr="00727DFA">
              <w:rPr>
                <w:rFonts w:eastAsia="DengXian"/>
                <w:szCs w:val="24"/>
              </w:rPr>
              <w:t>colitis,</w:t>
            </w:r>
            <w:r w:rsidRPr="00727DFA">
              <w:rPr>
                <w:rFonts w:eastAsia="DengXian"/>
                <w:spacing w:val="1"/>
                <w:szCs w:val="24"/>
              </w:rPr>
              <w:t xml:space="preserve"> </w:t>
            </w:r>
            <w:r w:rsidRPr="00727DFA">
              <w:rPr>
                <w:rFonts w:eastAsia="DengXian"/>
                <w:szCs w:val="24"/>
              </w:rPr>
              <w:t>allergic</w:t>
            </w:r>
            <w:r w:rsidRPr="00727DFA">
              <w:rPr>
                <w:rFonts w:eastAsia="DengXian"/>
                <w:spacing w:val="1"/>
                <w:szCs w:val="24"/>
              </w:rPr>
              <w:t xml:space="preserve"> </w:t>
            </w:r>
            <w:r w:rsidRPr="00727DFA">
              <w:rPr>
                <w:rFonts w:eastAsia="DengXian"/>
                <w:szCs w:val="24"/>
              </w:rPr>
              <w:t>reactions (rashes, pruritus, urticaria, serum sickness</w:t>
            </w:r>
            <w:r>
              <w:rPr>
                <w:rFonts w:eastAsia="DengXian"/>
                <w:szCs w:val="24"/>
              </w:rPr>
              <w:t xml:space="preserve"> </w:t>
            </w:r>
            <w:r w:rsidRPr="00727DFA">
              <w:rPr>
                <w:rFonts w:eastAsia="DengXian"/>
                <w:szCs w:val="24"/>
              </w:rPr>
              <w:t>like reactions, fever</w:t>
            </w:r>
            <w:r>
              <w:rPr>
                <w:rFonts w:eastAsia="DengXian"/>
                <w:szCs w:val="24"/>
              </w:rPr>
              <w:t xml:space="preserve">, </w:t>
            </w:r>
            <w:r w:rsidRPr="00727DFA">
              <w:rPr>
                <w:rFonts w:eastAsia="DengXian"/>
                <w:szCs w:val="24"/>
              </w:rPr>
              <w:t>arthralgia, and anaphylaxis),</w:t>
            </w:r>
            <w:r w:rsidRPr="00727DFA">
              <w:rPr>
                <w:rFonts w:eastAsia="DengXian"/>
                <w:spacing w:val="7"/>
                <w:szCs w:val="24"/>
              </w:rPr>
              <w:t xml:space="preserve"> </w:t>
            </w:r>
            <w:r>
              <w:rPr>
                <w:rFonts w:eastAsia="DengXian"/>
                <w:szCs w:val="24"/>
              </w:rPr>
              <w:t>abnormality</w:t>
            </w:r>
            <w:r w:rsidRPr="00727DFA">
              <w:rPr>
                <w:rFonts w:eastAsia="DengXian"/>
                <w:spacing w:val="7"/>
                <w:szCs w:val="24"/>
              </w:rPr>
              <w:t xml:space="preserve"> </w:t>
            </w:r>
            <w:r w:rsidRPr="00727DFA">
              <w:rPr>
                <w:rFonts w:eastAsia="DengXian"/>
                <w:szCs w:val="24"/>
              </w:rPr>
              <w:t>in</w:t>
            </w:r>
            <w:r w:rsidRPr="00727DFA">
              <w:rPr>
                <w:rFonts w:eastAsia="DengXian"/>
                <w:spacing w:val="7"/>
                <w:szCs w:val="24"/>
              </w:rPr>
              <w:t xml:space="preserve"> </w:t>
            </w:r>
            <w:r w:rsidRPr="00727DFA">
              <w:rPr>
                <w:rFonts w:eastAsia="DengXian"/>
                <w:szCs w:val="24"/>
              </w:rPr>
              <w:t>liver enzymes,</w:t>
            </w:r>
            <w:r w:rsidRPr="00727DFA">
              <w:rPr>
                <w:rFonts w:eastAsia="DengXian"/>
                <w:spacing w:val="1"/>
                <w:szCs w:val="24"/>
              </w:rPr>
              <w:t xml:space="preserve"> </w:t>
            </w:r>
            <w:r w:rsidRPr="00727DFA">
              <w:rPr>
                <w:rFonts w:eastAsia="DengXian"/>
                <w:szCs w:val="24"/>
              </w:rPr>
              <w:t>transient</w:t>
            </w:r>
            <w:r w:rsidRPr="00727DFA">
              <w:rPr>
                <w:rFonts w:eastAsia="DengXian"/>
                <w:spacing w:val="1"/>
                <w:szCs w:val="24"/>
              </w:rPr>
              <w:t xml:space="preserve"> </w:t>
            </w:r>
            <w:r w:rsidRPr="00727DFA">
              <w:rPr>
                <w:rFonts w:eastAsia="DengXian"/>
                <w:szCs w:val="24"/>
              </w:rPr>
              <w:t>hepatitis</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cholestatic</w:t>
            </w:r>
            <w:r w:rsidRPr="00727DFA">
              <w:rPr>
                <w:rFonts w:eastAsia="DengXian"/>
                <w:spacing w:val="1"/>
                <w:szCs w:val="24"/>
              </w:rPr>
              <w:t xml:space="preserve"> </w:t>
            </w:r>
            <w:r w:rsidRPr="00727DFA">
              <w:rPr>
                <w:rFonts w:eastAsia="DengXian"/>
                <w:szCs w:val="24"/>
              </w:rPr>
              <w:t>jaundice,</w:t>
            </w:r>
            <w:r w:rsidRPr="00727DFA">
              <w:rPr>
                <w:rFonts w:eastAsia="DengXian"/>
                <w:spacing w:val="1"/>
                <w:szCs w:val="24"/>
              </w:rPr>
              <w:t xml:space="preserve"> </w:t>
            </w:r>
            <w:r w:rsidRPr="00727DFA">
              <w:rPr>
                <w:rFonts w:eastAsia="DengXian"/>
                <w:szCs w:val="24"/>
              </w:rPr>
              <w:t>eosinophilia</w:t>
            </w:r>
            <w:r>
              <w:rPr>
                <w:rFonts w:eastAsia="DengXian"/>
                <w:szCs w:val="24"/>
              </w:rPr>
              <w:t xml:space="preserve">, </w:t>
            </w:r>
            <w:r w:rsidRPr="00727DFA">
              <w:rPr>
                <w:rFonts w:eastAsia="DengXian"/>
                <w:szCs w:val="24"/>
              </w:rPr>
              <w:t>blood disorders, reversible interstitial nephritis, nervousness,</w:t>
            </w:r>
            <w:r w:rsidRPr="00727DFA">
              <w:rPr>
                <w:rFonts w:eastAsia="DengXian"/>
                <w:spacing w:val="1"/>
                <w:szCs w:val="24"/>
              </w:rPr>
              <w:t xml:space="preserve"> </w:t>
            </w:r>
            <w:r w:rsidRPr="00727DFA">
              <w:rPr>
                <w:rFonts w:eastAsia="DengXian"/>
                <w:szCs w:val="24"/>
              </w:rPr>
              <w:t>sleep</w:t>
            </w:r>
            <w:r w:rsidRPr="00727DFA">
              <w:rPr>
                <w:rFonts w:eastAsia="DengXian"/>
                <w:spacing w:val="1"/>
                <w:szCs w:val="24"/>
              </w:rPr>
              <w:t xml:space="preserve"> </w:t>
            </w:r>
            <w:r w:rsidRPr="00727DFA">
              <w:rPr>
                <w:rFonts w:eastAsia="DengXian"/>
                <w:szCs w:val="24"/>
              </w:rPr>
              <w:t>disturbances,</w:t>
            </w:r>
            <w:r w:rsidRPr="00727DFA">
              <w:rPr>
                <w:rFonts w:eastAsia="DengXian"/>
                <w:spacing w:val="1"/>
                <w:szCs w:val="24"/>
              </w:rPr>
              <w:t xml:space="preserve"> </w:t>
            </w:r>
            <w:r w:rsidRPr="00727DFA">
              <w:rPr>
                <w:rFonts w:eastAsia="DengXian"/>
                <w:szCs w:val="24"/>
              </w:rPr>
              <w:t>confusion,</w:t>
            </w:r>
            <w:r w:rsidRPr="00727DFA">
              <w:rPr>
                <w:rFonts w:eastAsia="DengXian"/>
                <w:spacing w:val="1"/>
                <w:szCs w:val="24"/>
              </w:rPr>
              <w:t xml:space="preserve"> </w:t>
            </w:r>
            <w:r w:rsidRPr="00727DFA">
              <w:rPr>
                <w:rFonts w:eastAsia="DengXian"/>
                <w:szCs w:val="24"/>
              </w:rPr>
              <w:t>hypertonia</w:t>
            </w:r>
            <w:r>
              <w:rPr>
                <w:rFonts w:eastAsia="DengXian"/>
                <w:spacing w:val="1"/>
                <w:szCs w:val="24"/>
              </w:rPr>
              <w:t>,</w:t>
            </w:r>
            <w:r w:rsidR="00BC0421">
              <w:rPr>
                <w:rFonts w:eastAsia="DengXian"/>
                <w:spacing w:val="1"/>
                <w:szCs w:val="24"/>
              </w:rPr>
              <w:t xml:space="preserve"> </w:t>
            </w:r>
            <w:r w:rsidRPr="00727DFA">
              <w:rPr>
                <w:rFonts w:eastAsia="DengXian"/>
                <w:szCs w:val="24"/>
              </w:rPr>
              <w:t>dizziness, anemia, coagulation disorder, fungal infection</w:t>
            </w:r>
            <w:r>
              <w:rPr>
                <w:rFonts w:eastAsia="DengXian"/>
                <w:szCs w:val="24"/>
              </w:rPr>
              <w:t>.</w:t>
            </w:r>
          </w:p>
        </w:tc>
      </w:tr>
      <w:tr w:rsidR="007B485D" w:rsidRPr="00727DFA" w14:paraId="0FDD4FA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8A41434"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9A7F5C4"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Sensitivity to beta lactam antibacterials, renal impairment, hepatic impairment, concomitant</w:t>
            </w:r>
            <w:r>
              <w:rPr>
                <w:rFonts w:eastAsia="DengXian"/>
                <w:szCs w:val="24"/>
              </w:rPr>
              <w:t xml:space="preserve"> use of</w:t>
            </w:r>
            <w:r w:rsidRPr="00727DFA">
              <w:rPr>
                <w:rFonts w:eastAsia="DengXian"/>
                <w:szCs w:val="24"/>
              </w:rPr>
              <w:t xml:space="preserve"> total parenteral nutrition (TPN), pregnancy</w:t>
            </w:r>
            <w:r>
              <w:rPr>
                <w:rFonts w:eastAsia="DengXian"/>
                <w:szCs w:val="24"/>
              </w:rPr>
              <w:t xml:space="preserve">, </w:t>
            </w:r>
            <w:r w:rsidRPr="00727DFA">
              <w:rPr>
                <w:rFonts w:eastAsia="DengXian"/>
                <w:szCs w:val="24"/>
              </w:rPr>
              <w:t>breastfeeding, GI disease (e.g., colitis), hypercalciuria, impaired vitamin K synthesis or low vitamin K stores</w:t>
            </w:r>
            <w:r>
              <w:rPr>
                <w:rFonts w:eastAsia="DengXian"/>
                <w:szCs w:val="24"/>
              </w:rPr>
              <w:t>.</w:t>
            </w:r>
          </w:p>
          <w:p w14:paraId="3B8C491A" w14:textId="77777777" w:rsidR="007B485D" w:rsidRPr="00727DFA" w:rsidRDefault="007B485D" w:rsidP="002D6DD7">
            <w:pPr>
              <w:autoSpaceDE w:val="0"/>
              <w:autoSpaceDN w:val="0"/>
              <w:adjustRightInd w:val="0"/>
              <w:jc w:val="both"/>
              <w:rPr>
                <w:rFonts w:eastAsia="DengXian"/>
                <w:szCs w:val="24"/>
              </w:rPr>
            </w:pPr>
          </w:p>
        </w:tc>
      </w:tr>
      <w:tr w:rsidR="007B485D" w:rsidRPr="00727DFA" w14:paraId="2C5337D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846628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F3EEE91" w14:textId="77777777" w:rsidR="007B485D" w:rsidRPr="00727DFA" w:rsidRDefault="007B485D" w:rsidP="002D6DD7">
            <w:pPr>
              <w:shd w:val="clear" w:color="auto" w:fill="FFFFFF"/>
              <w:jc w:val="both"/>
              <w:rPr>
                <w:rFonts w:eastAsia="Times New Roman"/>
                <w:szCs w:val="24"/>
                <w:lang w:eastAsia="en-GB"/>
              </w:rPr>
            </w:pPr>
            <w:r w:rsidRPr="00727DFA">
              <w:rPr>
                <w:rFonts w:eastAsia="Times New Roman"/>
                <w:szCs w:val="24"/>
                <w:lang w:eastAsia="en-GB"/>
              </w:rPr>
              <w:t xml:space="preserve">Store below 30°C. </w:t>
            </w:r>
          </w:p>
        </w:tc>
      </w:tr>
      <w:tr w:rsidR="007B485D" w:rsidRPr="00727DFA" w14:paraId="7AAF825D" w14:textId="77777777" w:rsidTr="002D6DD7">
        <w:trPr>
          <w:trHeight w:val="46"/>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F924D63" w14:textId="77777777" w:rsidR="007B485D" w:rsidRPr="00727DFA" w:rsidRDefault="007B485D" w:rsidP="002D6DD7">
            <w:pPr>
              <w:jc w:val="both"/>
              <w:rPr>
                <w:rFonts w:eastAsia="DengXian"/>
                <w:szCs w:val="24"/>
              </w:rPr>
            </w:pPr>
            <w:r w:rsidRPr="00587263">
              <w:rPr>
                <w:rFonts w:eastAsia="DengXian"/>
                <w:b/>
                <w:bCs/>
                <w:szCs w:val="24"/>
              </w:rPr>
              <w:t xml:space="preserve">Cefuroxime </w:t>
            </w:r>
            <w:r w:rsidRPr="00873AF2">
              <w:rPr>
                <w:rFonts w:eastAsia="DengXian"/>
                <w:b/>
                <w:bCs/>
                <w:szCs w:val="24"/>
              </w:rPr>
              <w:t>(Watch)</w:t>
            </w:r>
          </w:p>
        </w:tc>
      </w:tr>
      <w:tr w:rsidR="007B485D" w:rsidRPr="00727DFA" w14:paraId="255C9F7A" w14:textId="77777777" w:rsidTr="002D6DD7">
        <w:trPr>
          <w:trHeight w:val="46"/>
          <w:jc w:val="center"/>
        </w:trPr>
        <w:tc>
          <w:tcPr>
            <w:tcW w:w="2605" w:type="dxa"/>
            <w:tcBorders>
              <w:top w:val="single" w:sz="4" w:space="0" w:color="auto"/>
              <w:left w:val="single" w:sz="4" w:space="0" w:color="auto"/>
              <w:bottom w:val="single" w:sz="4" w:space="0" w:color="auto"/>
              <w:right w:val="single" w:sz="4" w:space="0" w:color="auto"/>
            </w:tcBorders>
            <w:hideMark/>
          </w:tcPr>
          <w:p w14:paraId="3A291AD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5F7FAC8" w14:textId="77777777" w:rsidR="007B485D" w:rsidRPr="00727DFA" w:rsidRDefault="007B485D" w:rsidP="002D6DD7">
            <w:pPr>
              <w:jc w:val="both"/>
              <w:rPr>
                <w:rFonts w:eastAsia="DengXian"/>
                <w:szCs w:val="24"/>
              </w:rPr>
            </w:pPr>
            <w:r w:rsidRPr="00727DFA">
              <w:rPr>
                <w:rFonts w:eastAsia="DengXian"/>
                <w:szCs w:val="24"/>
              </w:rPr>
              <w:t>Second-generation cephalosporin</w:t>
            </w:r>
          </w:p>
        </w:tc>
      </w:tr>
      <w:tr w:rsidR="007B485D" w:rsidRPr="00727DFA" w14:paraId="7408D3A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D5ED679"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A56C0E9" w14:textId="77777777" w:rsidR="007B485D" w:rsidRPr="00727DFA" w:rsidRDefault="007B485D" w:rsidP="002D6DD7">
            <w:pPr>
              <w:jc w:val="both"/>
              <w:rPr>
                <w:rFonts w:eastAsia="DengXian"/>
                <w:szCs w:val="24"/>
              </w:rPr>
            </w:pPr>
            <w:r w:rsidRPr="00727DFA">
              <w:rPr>
                <w:rFonts w:eastAsia="DengXian"/>
                <w:szCs w:val="24"/>
              </w:rPr>
              <w:t>Tablet or capsule:</w:t>
            </w:r>
            <w:r w:rsidRPr="00727DFA">
              <w:rPr>
                <w:rFonts w:eastAsia="DengXian"/>
                <w:spacing w:val="-1"/>
                <w:szCs w:val="24"/>
              </w:rPr>
              <w:t xml:space="preserve"> </w:t>
            </w:r>
            <w:r w:rsidRPr="00727DFA">
              <w:rPr>
                <w:rFonts w:eastAsia="DengXian"/>
                <w:szCs w:val="24"/>
              </w:rPr>
              <w:t>125</w:t>
            </w:r>
            <w:r w:rsidRPr="00727DFA">
              <w:rPr>
                <w:rFonts w:eastAsia="DengXian"/>
                <w:spacing w:val="-1"/>
                <w:szCs w:val="24"/>
              </w:rPr>
              <w:t xml:space="preserve"> </w:t>
            </w:r>
            <w:r w:rsidRPr="00727DFA">
              <w:rPr>
                <w:rFonts w:eastAsia="DengXian"/>
                <w:szCs w:val="24"/>
              </w:rPr>
              <w:t>mg, 250</w:t>
            </w:r>
            <w:r w:rsidRPr="00727DFA">
              <w:rPr>
                <w:rFonts w:eastAsia="DengXian"/>
                <w:spacing w:val="-1"/>
                <w:szCs w:val="24"/>
              </w:rPr>
              <w:t xml:space="preserve"> </w:t>
            </w:r>
            <w:r w:rsidRPr="00727DFA">
              <w:rPr>
                <w:rFonts w:eastAsia="DengXian"/>
                <w:szCs w:val="24"/>
              </w:rPr>
              <w:t>mg, 500mg</w:t>
            </w:r>
          </w:p>
          <w:p w14:paraId="1D33ACA6" w14:textId="77777777" w:rsidR="007B485D" w:rsidRPr="00727DFA" w:rsidRDefault="007B485D" w:rsidP="002D6DD7">
            <w:pPr>
              <w:jc w:val="both"/>
              <w:rPr>
                <w:rFonts w:eastAsia="DengXian"/>
                <w:szCs w:val="24"/>
              </w:rPr>
            </w:pPr>
            <w:r w:rsidRPr="00727DFA">
              <w:rPr>
                <w:rFonts w:eastAsia="DengXian"/>
                <w:szCs w:val="24"/>
              </w:rPr>
              <w:t>Oral</w:t>
            </w:r>
            <w:r w:rsidRPr="00727DFA">
              <w:rPr>
                <w:rFonts w:eastAsia="DengXian"/>
                <w:spacing w:val="1"/>
                <w:szCs w:val="24"/>
              </w:rPr>
              <w:t xml:space="preserve"> </w:t>
            </w:r>
            <w:r w:rsidRPr="00727DFA">
              <w:rPr>
                <w:rFonts w:eastAsia="DengXian"/>
                <w:szCs w:val="24"/>
              </w:rPr>
              <w:t>suspension:125mg/ml, 250mg/ml</w:t>
            </w:r>
          </w:p>
          <w:p w14:paraId="62731566" w14:textId="77777777" w:rsidR="007B485D" w:rsidRPr="00727DFA" w:rsidRDefault="007B485D" w:rsidP="002D6DD7">
            <w:pPr>
              <w:jc w:val="both"/>
              <w:rPr>
                <w:rFonts w:eastAsia="DengXian"/>
                <w:szCs w:val="24"/>
              </w:rPr>
            </w:pPr>
            <w:r w:rsidRPr="00727DFA">
              <w:rPr>
                <w:rFonts w:eastAsia="Times New Roman"/>
                <w:szCs w:val="24"/>
              </w:rPr>
              <w:t>Powder for injection: 250 mg; 750 mg; 1.5 g (as sodium) in vial</w:t>
            </w:r>
          </w:p>
        </w:tc>
      </w:tr>
      <w:tr w:rsidR="007B485D" w:rsidRPr="00727DFA" w14:paraId="59BCC1A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1AB9EB5"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FF449B6" w14:textId="77777777" w:rsidR="007B485D" w:rsidRPr="00727DFA" w:rsidRDefault="007B485D" w:rsidP="002D6DD7">
            <w:pPr>
              <w:jc w:val="both"/>
              <w:rPr>
                <w:rFonts w:eastAsia="DengXian"/>
                <w:szCs w:val="24"/>
              </w:rPr>
            </w:pPr>
            <w:r w:rsidRPr="00727DFA">
              <w:rPr>
                <w:rFonts w:eastAsia="DengXian"/>
                <w:szCs w:val="24"/>
              </w:rPr>
              <w:t>Bone and joint infections; upper and lower respiratory tract</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(sinusitis, pneumonia</w:t>
            </w:r>
            <w:r w:rsidRPr="00727DFA">
              <w:rPr>
                <w:rFonts w:eastAsia="DengXian"/>
                <w:spacing w:val="1"/>
                <w:szCs w:val="24"/>
              </w:rPr>
              <w:t xml:space="preserve"> </w:t>
            </w:r>
            <w:r w:rsidRPr="00727DFA">
              <w:rPr>
                <w:rFonts w:eastAsia="DengXian"/>
                <w:szCs w:val="24"/>
              </w:rPr>
              <w:t>or</w:t>
            </w:r>
            <w:r w:rsidRPr="00727DFA">
              <w:rPr>
                <w:rFonts w:eastAsia="DengXian"/>
                <w:spacing w:val="1"/>
                <w:szCs w:val="24"/>
              </w:rPr>
              <w:t xml:space="preserve"> </w:t>
            </w:r>
            <w:r w:rsidRPr="00727DFA">
              <w:rPr>
                <w:rFonts w:eastAsia="DengXian"/>
                <w:szCs w:val="24"/>
              </w:rPr>
              <w:t>bronchitis),</w:t>
            </w:r>
            <w:r w:rsidRPr="00727DFA">
              <w:rPr>
                <w:rFonts w:eastAsia="DengXian"/>
                <w:spacing w:val="1"/>
                <w:szCs w:val="24"/>
              </w:rPr>
              <w:t xml:space="preserve"> </w:t>
            </w:r>
            <w:r w:rsidRPr="00727DFA">
              <w:rPr>
                <w:rFonts w:eastAsia="DengXian"/>
                <w:szCs w:val="24"/>
              </w:rPr>
              <w:t>skin and soft-tissue infections, cellulitis /erysipelas, Lyme disease, acute prostatitis, acute pyelonephritis, urinary tract infection, surgical and open fracture prophylaxis, animal bite, gonorrhea.</w:t>
            </w:r>
          </w:p>
        </w:tc>
      </w:tr>
      <w:tr w:rsidR="007B485D" w:rsidRPr="00727DFA" w14:paraId="60350A9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95E0B4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7E41E1A"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In most infections including mild to moderate lower</w:t>
            </w:r>
            <w:r w:rsidRPr="00727DFA">
              <w:rPr>
                <w:rFonts w:eastAsia="Times New Roman"/>
                <w:b/>
                <w:bCs/>
                <w:spacing w:val="1"/>
                <w:szCs w:val="24"/>
              </w:rPr>
              <w:t xml:space="preserve"> </w:t>
            </w:r>
            <w:r w:rsidRPr="00727DFA">
              <w:rPr>
                <w:rFonts w:eastAsia="Times New Roman"/>
                <w:b/>
                <w:bCs/>
                <w:szCs w:val="24"/>
              </w:rPr>
              <w:t xml:space="preserve">respiratory tract infections (e.g. bronchitis); Oral: </w:t>
            </w:r>
          </w:p>
          <w:p w14:paraId="3563ADD4" w14:textId="77777777" w:rsidR="007B485D" w:rsidRPr="00727DFA" w:rsidRDefault="007B485D" w:rsidP="002D6DD7">
            <w:pPr>
              <w:widowControl w:val="0"/>
              <w:autoSpaceDE w:val="0"/>
              <w:autoSpaceDN w:val="0"/>
              <w:jc w:val="both"/>
              <w:rPr>
                <w:rFonts w:eastAsia="Times New Roman"/>
                <w:spacing w:val="1"/>
                <w:szCs w:val="24"/>
              </w:rPr>
            </w:pPr>
            <w:r w:rsidRPr="00727DFA">
              <w:rPr>
                <w:rFonts w:eastAsia="Times New Roman"/>
                <w:b/>
                <w:bCs/>
                <w:szCs w:val="24"/>
              </w:rPr>
              <w:t>Adult:</w:t>
            </w:r>
            <w:r w:rsidRPr="00727DFA">
              <w:rPr>
                <w:rFonts w:eastAsia="Times New Roman"/>
                <w:szCs w:val="24"/>
              </w:rPr>
              <w:t xml:space="preserve"> 250 mg</w:t>
            </w:r>
            <w:r w:rsidRPr="00727DFA">
              <w:rPr>
                <w:rFonts w:eastAsia="Times New Roman"/>
                <w:spacing w:val="1"/>
                <w:szCs w:val="24"/>
              </w:rPr>
              <w:t xml:space="preserve"> </w:t>
            </w:r>
            <w:r w:rsidRPr="00727DFA">
              <w:rPr>
                <w:rFonts w:eastAsia="Times New Roman"/>
                <w:szCs w:val="24"/>
              </w:rPr>
              <w:t>twice daily; doubled for more</w:t>
            </w:r>
            <w:r w:rsidRPr="00727DFA">
              <w:rPr>
                <w:rFonts w:eastAsia="Times New Roman"/>
                <w:spacing w:val="1"/>
                <w:szCs w:val="24"/>
              </w:rPr>
              <w:t xml:space="preserve"> </w:t>
            </w:r>
            <w:r w:rsidRPr="00727DFA">
              <w:rPr>
                <w:rFonts w:eastAsia="Times New Roman"/>
                <w:szCs w:val="24"/>
              </w:rPr>
              <w:t>severe</w:t>
            </w:r>
            <w:r w:rsidRPr="00727DFA">
              <w:rPr>
                <w:rFonts w:eastAsia="Times New Roman"/>
                <w:spacing w:val="1"/>
                <w:szCs w:val="24"/>
              </w:rPr>
              <w:t xml:space="preserve"> </w:t>
            </w:r>
            <w:r w:rsidRPr="00727DFA">
              <w:rPr>
                <w:rFonts w:eastAsia="Times New Roman"/>
                <w:szCs w:val="24"/>
              </w:rPr>
              <w:t>lower</w:t>
            </w:r>
            <w:r w:rsidRPr="00727DFA">
              <w:rPr>
                <w:rFonts w:eastAsia="Times New Roman"/>
                <w:spacing w:val="1"/>
                <w:szCs w:val="24"/>
              </w:rPr>
              <w:t xml:space="preserve"> </w:t>
            </w:r>
            <w:r w:rsidRPr="00727DFA">
              <w:rPr>
                <w:rFonts w:eastAsia="Times New Roman"/>
                <w:szCs w:val="24"/>
              </w:rPr>
              <w:t>respiratory-tract</w:t>
            </w:r>
            <w:r w:rsidRPr="00727DFA">
              <w:rPr>
                <w:rFonts w:eastAsia="Times New Roman"/>
                <w:spacing w:val="1"/>
                <w:szCs w:val="24"/>
              </w:rPr>
              <w:t xml:space="preserve"> </w:t>
            </w:r>
            <w:r w:rsidRPr="00727DFA">
              <w:rPr>
                <w:rFonts w:eastAsia="Times New Roman"/>
                <w:szCs w:val="24"/>
              </w:rPr>
              <w:t>infections</w:t>
            </w:r>
            <w:r w:rsidRPr="00727DFA">
              <w:rPr>
                <w:rFonts w:eastAsia="Times New Roman"/>
                <w:spacing w:val="1"/>
                <w:szCs w:val="24"/>
              </w:rPr>
              <w:t xml:space="preserve"> </w:t>
            </w:r>
            <w:r w:rsidRPr="00727DFA">
              <w:rPr>
                <w:rFonts w:eastAsia="Times New Roman"/>
                <w:szCs w:val="24"/>
              </w:rPr>
              <w:t>or</w:t>
            </w:r>
            <w:r w:rsidRPr="00727DFA">
              <w:rPr>
                <w:rFonts w:eastAsia="Times New Roman"/>
                <w:spacing w:val="1"/>
                <w:szCs w:val="24"/>
              </w:rPr>
              <w:t xml:space="preserve"> </w:t>
            </w:r>
            <w:r w:rsidRPr="00727DFA">
              <w:rPr>
                <w:rFonts w:eastAsia="Times New Roman"/>
                <w:szCs w:val="24"/>
              </w:rPr>
              <w:t>if</w:t>
            </w:r>
            <w:r w:rsidRPr="00727DFA">
              <w:rPr>
                <w:rFonts w:eastAsia="Times New Roman"/>
                <w:spacing w:val="1"/>
                <w:szCs w:val="24"/>
              </w:rPr>
              <w:t xml:space="preserve"> </w:t>
            </w:r>
            <w:r w:rsidRPr="00727DFA">
              <w:rPr>
                <w:rFonts w:eastAsia="Times New Roman"/>
                <w:szCs w:val="24"/>
              </w:rPr>
              <w:t>pneumonia</w:t>
            </w:r>
            <w:r w:rsidRPr="00727DFA">
              <w:rPr>
                <w:rFonts w:eastAsia="Times New Roman"/>
                <w:spacing w:val="1"/>
                <w:szCs w:val="24"/>
              </w:rPr>
              <w:t xml:space="preserve"> </w:t>
            </w:r>
            <w:r w:rsidRPr="00727DFA">
              <w:rPr>
                <w:rFonts w:eastAsia="Times New Roman"/>
                <w:szCs w:val="24"/>
              </w:rPr>
              <w:t xml:space="preserve">suspected </w:t>
            </w:r>
          </w:p>
          <w:p w14:paraId="4C10647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Urinary-tract infection</w:t>
            </w:r>
            <w:r w:rsidRPr="00727DFA">
              <w:rPr>
                <w:rFonts w:eastAsia="Times New Roman"/>
                <w:szCs w:val="24"/>
              </w:rPr>
              <w:t xml:space="preserve">; </w:t>
            </w:r>
            <w:r w:rsidRPr="00727DFA">
              <w:rPr>
                <w:rFonts w:eastAsia="Times New Roman"/>
                <w:b/>
                <w:szCs w:val="24"/>
              </w:rPr>
              <w:t>Oral:</w:t>
            </w:r>
          </w:p>
          <w:p w14:paraId="2BEA5FB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lastRenderedPageBreak/>
              <w:t>Adult:</w:t>
            </w:r>
            <w:r w:rsidRPr="00727DFA">
              <w:rPr>
                <w:rFonts w:eastAsia="Times New Roman"/>
                <w:szCs w:val="24"/>
              </w:rPr>
              <w:t xml:space="preserve"> 125</w:t>
            </w:r>
            <w:r>
              <w:rPr>
                <w:rFonts w:eastAsia="Times New Roman"/>
                <w:szCs w:val="24"/>
              </w:rPr>
              <w:t>-250</w:t>
            </w:r>
            <w:r w:rsidRPr="00727DFA">
              <w:rPr>
                <w:rFonts w:eastAsia="Times New Roman"/>
                <w:szCs w:val="24"/>
              </w:rPr>
              <w:t xml:space="preserve"> mg twice daily</w:t>
            </w:r>
          </w:p>
          <w:p w14:paraId="59673524" w14:textId="77777777" w:rsidR="007B485D" w:rsidRPr="00727DFA" w:rsidRDefault="007B485D" w:rsidP="002D6DD7">
            <w:pPr>
              <w:jc w:val="both"/>
              <w:rPr>
                <w:rFonts w:eastAsia="DengXian"/>
                <w:b/>
                <w:bCs/>
                <w:szCs w:val="24"/>
              </w:rPr>
            </w:pPr>
            <w:r w:rsidRPr="00727DFA">
              <w:rPr>
                <w:rFonts w:eastAsia="DengXian"/>
                <w:b/>
                <w:bCs/>
                <w:szCs w:val="24"/>
              </w:rPr>
              <w:t>Gonorrhea; Oral:</w:t>
            </w:r>
          </w:p>
          <w:p w14:paraId="676E865C"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 g as a single dose</w:t>
            </w:r>
          </w:p>
          <w:p w14:paraId="162560EC" w14:textId="77777777" w:rsidR="007B485D" w:rsidRPr="00727DFA" w:rsidRDefault="007B485D" w:rsidP="002D6DD7">
            <w:pPr>
              <w:jc w:val="both"/>
              <w:rPr>
                <w:rFonts w:eastAsia="DengXian"/>
                <w:szCs w:val="24"/>
              </w:rPr>
            </w:pPr>
            <w:r w:rsidRPr="00727DFA">
              <w:rPr>
                <w:rFonts w:eastAsia="DengXian"/>
                <w:b/>
                <w:szCs w:val="24"/>
              </w:rPr>
              <w:t>Child over 3 months:</w:t>
            </w:r>
            <w:r w:rsidRPr="00727DFA">
              <w:rPr>
                <w:rFonts w:eastAsia="DengXian"/>
                <w:szCs w:val="24"/>
              </w:rPr>
              <w:t xml:space="preserve"> 125 mg</w:t>
            </w:r>
            <w:r w:rsidRPr="00727DFA">
              <w:rPr>
                <w:rFonts w:eastAsia="DengXian"/>
                <w:spacing w:val="1"/>
                <w:szCs w:val="24"/>
              </w:rPr>
              <w:t xml:space="preserve"> </w:t>
            </w:r>
            <w:r w:rsidRPr="00727DFA">
              <w:rPr>
                <w:rFonts w:eastAsia="DengXian"/>
                <w:szCs w:val="24"/>
              </w:rPr>
              <w:t>twice daily, if necessary, doubled</w:t>
            </w:r>
          </w:p>
          <w:p w14:paraId="33040DFC" w14:textId="77777777" w:rsidR="007B485D" w:rsidRPr="00727DFA" w:rsidRDefault="007B485D" w:rsidP="002D6DD7">
            <w:pPr>
              <w:jc w:val="both"/>
              <w:rPr>
                <w:rFonts w:eastAsia="DengXian"/>
                <w:szCs w:val="24"/>
              </w:rPr>
            </w:pPr>
            <w:r w:rsidRPr="00727DFA">
              <w:rPr>
                <w:rFonts w:eastAsia="DengXian"/>
                <w:b/>
                <w:bCs/>
                <w:szCs w:val="24"/>
              </w:rPr>
              <w:t>Lyme disease; Oral:</w:t>
            </w:r>
          </w:p>
          <w:p w14:paraId="3D9944A1" w14:textId="77777777" w:rsidR="007B485D" w:rsidRPr="00727DFA" w:rsidRDefault="007B485D" w:rsidP="002D6DD7">
            <w:pPr>
              <w:jc w:val="both"/>
              <w:rPr>
                <w:rFonts w:eastAsia="DengXian"/>
                <w:szCs w:val="24"/>
              </w:rPr>
            </w:pPr>
            <w:r w:rsidRPr="00727DFA">
              <w:rPr>
                <w:rFonts w:eastAsia="DengXian"/>
                <w:b/>
                <w:szCs w:val="24"/>
              </w:rPr>
              <w:t>Adult and child 12–17 years</w:t>
            </w:r>
            <w:r w:rsidRPr="00727DFA">
              <w:rPr>
                <w:rFonts w:eastAsia="DengXian"/>
                <w:szCs w:val="24"/>
              </w:rPr>
              <w:t xml:space="preserve">: 500 mg twice daily for 14–21 days </w:t>
            </w:r>
          </w:p>
          <w:p w14:paraId="3BEAA44A" w14:textId="77777777" w:rsidR="007B485D" w:rsidRPr="00727DFA" w:rsidRDefault="007B485D" w:rsidP="002D6DD7">
            <w:pPr>
              <w:jc w:val="both"/>
              <w:rPr>
                <w:rFonts w:eastAsia="DengXian"/>
                <w:szCs w:val="24"/>
              </w:rPr>
            </w:pPr>
            <w:r w:rsidRPr="00727DFA">
              <w:rPr>
                <w:rFonts w:eastAsia="DengXian"/>
                <w:b/>
                <w:szCs w:val="24"/>
              </w:rPr>
              <w:t>Child 3 months–11 years</w:t>
            </w:r>
            <w:r w:rsidRPr="00727DFA">
              <w:rPr>
                <w:rFonts w:eastAsia="DengXian"/>
                <w:szCs w:val="24"/>
              </w:rPr>
              <w:t xml:space="preserve">: 15 mg/kg twice daily (max. per dose 500 mg) </w:t>
            </w:r>
          </w:p>
          <w:p w14:paraId="33AD6F85" w14:textId="77777777" w:rsidR="007B485D" w:rsidRPr="00727DFA" w:rsidRDefault="007B485D" w:rsidP="002D6DD7">
            <w:pPr>
              <w:jc w:val="both"/>
              <w:rPr>
                <w:rFonts w:eastAsia="DengXian"/>
                <w:b/>
                <w:bCs/>
                <w:szCs w:val="24"/>
              </w:rPr>
            </w:pPr>
            <w:r w:rsidRPr="00727DFA">
              <w:rPr>
                <w:rFonts w:eastAsia="DengXian"/>
                <w:b/>
                <w:bCs/>
                <w:szCs w:val="24"/>
              </w:rPr>
              <w:t>Gonococcal Infection – Disseminated; IM or IV injection or infusion:</w:t>
            </w:r>
            <w:r w:rsidRPr="00727DFA">
              <w:rPr>
                <w:rFonts w:eastAsia="DengXian"/>
                <w:szCs w:val="24"/>
              </w:rPr>
              <w:t xml:space="preserve"> </w:t>
            </w:r>
          </w:p>
          <w:p w14:paraId="1F9C037B" w14:textId="77777777" w:rsidR="007B485D" w:rsidRPr="00727DFA" w:rsidRDefault="007B485D" w:rsidP="002D6DD7">
            <w:pPr>
              <w:jc w:val="both"/>
              <w:rPr>
                <w:rFonts w:eastAsia="DengXian"/>
                <w:spacing w:val="1"/>
                <w:szCs w:val="24"/>
              </w:rPr>
            </w:pPr>
            <w:r w:rsidRPr="00727DFA">
              <w:rPr>
                <w:rFonts w:eastAsia="DengXian"/>
                <w:b/>
                <w:bCs/>
                <w:szCs w:val="24"/>
              </w:rPr>
              <w:t>Adult:</w:t>
            </w:r>
            <w:r w:rsidRPr="00727DFA">
              <w:rPr>
                <w:rFonts w:eastAsia="DengXian"/>
                <w:szCs w:val="24"/>
              </w:rPr>
              <w:t xml:space="preserve"> 750 mg every 6 – 8 hours; 1.5 g</w:t>
            </w:r>
            <w:r w:rsidRPr="00727DFA">
              <w:rPr>
                <w:rFonts w:eastAsia="DengXian"/>
                <w:spacing w:val="1"/>
                <w:szCs w:val="24"/>
              </w:rPr>
              <w:t xml:space="preserve"> </w:t>
            </w:r>
            <w:r w:rsidRPr="00727DFA">
              <w:rPr>
                <w:rFonts w:eastAsia="DengXian"/>
                <w:szCs w:val="24"/>
              </w:rPr>
              <w:t>every 6 – 8 hours in severe infections; single doses over 750 mg</w:t>
            </w:r>
            <w:r w:rsidRPr="00727DFA">
              <w:rPr>
                <w:rFonts w:eastAsia="DengXian"/>
                <w:spacing w:val="1"/>
                <w:szCs w:val="24"/>
              </w:rPr>
              <w:t xml:space="preserve"> </w:t>
            </w:r>
            <w:r w:rsidRPr="00727DFA">
              <w:rPr>
                <w:rFonts w:eastAsia="DengXian"/>
                <w:szCs w:val="24"/>
              </w:rPr>
              <w:t>intravenous route only</w:t>
            </w:r>
            <w:r w:rsidRPr="00727DFA">
              <w:rPr>
                <w:rFonts w:eastAsia="DengXian"/>
                <w:spacing w:val="1"/>
                <w:szCs w:val="24"/>
              </w:rPr>
              <w:t xml:space="preserve"> </w:t>
            </w:r>
          </w:p>
          <w:p w14:paraId="3F3E4812" w14:textId="77777777" w:rsidR="007B485D" w:rsidRPr="00727DFA" w:rsidRDefault="007B485D" w:rsidP="002D6DD7">
            <w:pPr>
              <w:jc w:val="both"/>
              <w:rPr>
                <w:rFonts w:eastAsia="DengXian"/>
                <w:b/>
                <w:bCs/>
                <w:spacing w:val="1"/>
                <w:szCs w:val="24"/>
              </w:rPr>
            </w:pPr>
            <w:r w:rsidRPr="00727DFA">
              <w:rPr>
                <w:rFonts w:eastAsia="DengXian"/>
                <w:b/>
                <w:bCs/>
                <w:spacing w:val="1"/>
                <w:szCs w:val="24"/>
              </w:rPr>
              <w:t xml:space="preserve">Gonococcal </w:t>
            </w:r>
            <w:r>
              <w:rPr>
                <w:rFonts w:eastAsia="DengXian"/>
                <w:b/>
                <w:bCs/>
                <w:spacing w:val="1"/>
                <w:szCs w:val="24"/>
              </w:rPr>
              <w:t>i</w:t>
            </w:r>
            <w:r w:rsidRPr="00727DFA">
              <w:rPr>
                <w:rFonts w:eastAsia="DengXian"/>
                <w:b/>
                <w:bCs/>
                <w:spacing w:val="1"/>
                <w:szCs w:val="24"/>
              </w:rPr>
              <w:t xml:space="preserve">nfection - </w:t>
            </w:r>
            <w:r>
              <w:rPr>
                <w:rFonts w:eastAsia="DengXian"/>
                <w:b/>
                <w:bCs/>
                <w:spacing w:val="1"/>
                <w:szCs w:val="24"/>
              </w:rPr>
              <w:t>u</w:t>
            </w:r>
            <w:r w:rsidRPr="00727DFA">
              <w:rPr>
                <w:rFonts w:eastAsia="DengXian"/>
                <w:b/>
                <w:bCs/>
                <w:spacing w:val="1"/>
                <w:szCs w:val="24"/>
              </w:rPr>
              <w:t>ncomplicated</w:t>
            </w:r>
          </w:p>
          <w:p w14:paraId="535FB1D4" w14:textId="77777777" w:rsidR="007B485D" w:rsidRPr="00727DFA" w:rsidRDefault="007B485D" w:rsidP="002D6DD7">
            <w:pPr>
              <w:jc w:val="both"/>
              <w:rPr>
                <w:rFonts w:eastAsia="DengXian"/>
                <w:spacing w:val="1"/>
                <w:szCs w:val="24"/>
              </w:rPr>
            </w:pPr>
            <w:r w:rsidRPr="00727DFA">
              <w:rPr>
                <w:rFonts w:eastAsia="DengXian"/>
                <w:b/>
                <w:bCs/>
                <w:szCs w:val="24"/>
              </w:rPr>
              <w:t>Adult:</w:t>
            </w:r>
            <w:r w:rsidRPr="00727DFA">
              <w:rPr>
                <w:rFonts w:eastAsia="DengXian"/>
                <w:spacing w:val="1"/>
                <w:szCs w:val="24"/>
              </w:rPr>
              <w:t xml:space="preserve"> </w:t>
            </w:r>
            <w:r w:rsidRPr="00727DFA">
              <w:rPr>
                <w:rFonts w:eastAsia="DengXian"/>
                <w:szCs w:val="24"/>
              </w:rPr>
              <w:t>1.5</w:t>
            </w:r>
            <w:r w:rsidRPr="00727DFA">
              <w:rPr>
                <w:rFonts w:eastAsia="DengXian"/>
                <w:spacing w:val="1"/>
                <w:szCs w:val="24"/>
              </w:rPr>
              <w:t xml:space="preserve"> </w:t>
            </w:r>
            <w:r w:rsidRPr="00727DFA">
              <w:rPr>
                <w:rFonts w:eastAsia="DengXian"/>
                <w:szCs w:val="24"/>
              </w:rPr>
              <w:t>g</w:t>
            </w:r>
            <w:r w:rsidRPr="00727DFA">
              <w:rPr>
                <w:rFonts w:eastAsia="DengXian"/>
                <w:spacing w:val="1"/>
                <w:szCs w:val="24"/>
              </w:rPr>
              <w:t xml:space="preserve"> </w:t>
            </w:r>
            <w:r w:rsidRPr="00727DFA">
              <w:rPr>
                <w:rFonts w:eastAsia="DengXian"/>
                <w:szCs w:val="24"/>
              </w:rPr>
              <w:t>as</w:t>
            </w:r>
            <w:r w:rsidRPr="00727DFA">
              <w:rPr>
                <w:rFonts w:eastAsia="DengXian"/>
                <w:spacing w:val="1"/>
                <w:szCs w:val="24"/>
              </w:rPr>
              <w:t xml:space="preserve"> </w:t>
            </w:r>
            <w:r w:rsidRPr="00727DFA">
              <w:rPr>
                <w:rFonts w:eastAsia="DengXian"/>
                <w:szCs w:val="24"/>
              </w:rPr>
              <w:t>a</w:t>
            </w:r>
            <w:r w:rsidRPr="00727DFA">
              <w:rPr>
                <w:rFonts w:eastAsia="DengXian"/>
                <w:spacing w:val="1"/>
                <w:szCs w:val="24"/>
              </w:rPr>
              <w:t xml:space="preserve"> </w:t>
            </w:r>
            <w:r w:rsidRPr="00727DFA">
              <w:rPr>
                <w:rFonts w:eastAsia="DengXian"/>
                <w:szCs w:val="24"/>
              </w:rPr>
              <w:t>single</w:t>
            </w:r>
            <w:r w:rsidRPr="00727DFA">
              <w:rPr>
                <w:rFonts w:eastAsia="DengXian"/>
                <w:spacing w:val="1"/>
                <w:szCs w:val="24"/>
              </w:rPr>
              <w:t xml:space="preserve"> </w:t>
            </w:r>
            <w:r w:rsidRPr="00727DFA">
              <w:rPr>
                <w:rFonts w:eastAsia="DengXian"/>
                <w:szCs w:val="24"/>
              </w:rPr>
              <w:t>dose</w:t>
            </w:r>
            <w:r w:rsidRPr="00727DFA">
              <w:rPr>
                <w:rFonts w:eastAsia="DengXian"/>
                <w:spacing w:val="61"/>
                <w:szCs w:val="24"/>
              </w:rPr>
              <w:t xml:space="preserve"> </w:t>
            </w:r>
            <w:r w:rsidRPr="00727DFA">
              <w:rPr>
                <w:rFonts w:eastAsia="DengXian"/>
                <w:szCs w:val="24"/>
              </w:rPr>
              <w:t>by</w:t>
            </w:r>
            <w:r w:rsidRPr="00727DFA">
              <w:rPr>
                <w:rFonts w:eastAsia="DengXian"/>
                <w:spacing w:val="1"/>
                <w:szCs w:val="24"/>
              </w:rPr>
              <w:t xml:space="preserve"> </w:t>
            </w:r>
            <w:r w:rsidRPr="00727DFA">
              <w:rPr>
                <w:rFonts w:eastAsia="DengXian"/>
                <w:szCs w:val="24"/>
              </w:rPr>
              <w:t>intramuscular</w:t>
            </w:r>
            <w:r w:rsidRPr="00727DFA">
              <w:rPr>
                <w:rFonts w:eastAsia="DengXian"/>
                <w:spacing w:val="1"/>
                <w:szCs w:val="24"/>
              </w:rPr>
              <w:t xml:space="preserve"> </w:t>
            </w:r>
            <w:r w:rsidRPr="00727DFA">
              <w:rPr>
                <w:rFonts w:eastAsia="DengXian"/>
                <w:szCs w:val="24"/>
              </w:rPr>
              <w:t>injection</w:t>
            </w:r>
            <w:r w:rsidRPr="00727DFA">
              <w:rPr>
                <w:rFonts w:eastAsia="DengXian"/>
                <w:spacing w:val="1"/>
                <w:szCs w:val="24"/>
              </w:rPr>
              <w:t xml:space="preserve"> </w:t>
            </w:r>
            <w:r w:rsidRPr="00727DFA">
              <w:rPr>
                <w:rFonts w:eastAsia="DengXian"/>
                <w:szCs w:val="24"/>
              </w:rPr>
              <w:t>(divided</w:t>
            </w:r>
            <w:r w:rsidRPr="00727DFA">
              <w:rPr>
                <w:rFonts w:eastAsia="DengXian"/>
                <w:spacing w:val="1"/>
                <w:szCs w:val="24"/>
              </w:rPr>
              <w:t xml:space="preserve"> </w:t>
            </w:r>
            <w:r w:rsidRPr="00727DFA">
              <w:rPr>
                <w:rFonts w:eastAsia="DengXian"/>
                <w:szCs w:val="24"/>
              </w:rPr>
              <w:t>between</w:t>
            </w:r>
            <w:r w:rsidRPr="00727DFA">
              <w:rPr>
                <w:rFonts w:eastAsia="DengXian"/>
                <w:spacing w:val="1"/>
                <w:szCs w:val="24"/>
              </w:rPr>
              <w:t xml:space="preserve"> </w:t>
            </w:r>
            <w:r w:rsidRPr="00727DFA">
              <w:rPr>
                <w:rFonts w:eastAsia="DengXian"/>
                <w:szCs w:val="24"/>
              </w:rPr>
              <w:t>2</w:t>
            </w:r>
            <w:r w:rsidRPr="00727DFA">
              <w:rPr>
                <w:rFonts w:eastAsia="DengXian"/>
                <w:spacing w:val="1"/>
                <w:szCs w:val="24"/>
              </w:rPr>
              <w:t xml:space="preserve"> </w:t>
            </w:r>
            <w:r w:rsidRPr="00727DFA">
              <w:rPr>
                <w:rFonts w:eastAsia="DengXian"/>
                <w:szCs w:val="24"/>
              </w:rPr>
              <w:t>sites)</w:t>
            </w:r>
          </w:p>
          <w:p w14:paraId="1936034F" w14:textId="77777777" w:rsidR="007B485D" w:rsidRPr="00727DFA" w:rsidRDefault="007B485D" w:rsidP="002D6DD7">
            <w:pPr>
              <w:jc w:val="both"/>
              <w:rPr>
                <w:rFonts w:eastAsia="DengXian"/>
                <w:b/>
                <w:bCs/>
                <w:szCs w:val="24"/>
              </w:rPr>
            </w:pPr>
            <w:r w:rsidRPr="00727DFA">
              <w:rPr>
                <w:rFonts w:eastAsia="DengXian"/>
                <w:b/>
                <w:bCs/>
                <w:szCs w:val="24"/>
              </w:rPr>
              <w:t>Surgical</w:t>
            </w:r>
            <w:r w:rsidRPr="00727DFA">
              <w:rPr>
                <w:rFonts w:eastAsia="DengXian"/>
                <w:b/>
                <w:bCs/>
                <w:spacing w:val="1"/>
                <w:szCs w:val="24"/>
              </w:rPr>
              <w:t xml:space="preserve"> </w:t>
            </w:r>
            <w:r w:rsidRPr="00727DFA">
              <w:rPr>
                <w:rFonts w:eastAsia="DengXian"/>
                <w:b/>
                <w:bCs/>
                <w:szCs w:val="24"/>
              </w:rPr>
              <w:t>prophylaxis</w:t>
            </w:r>
          </w:p>
          <w:p w14:paraId="4829B9C0" w14:textId="77777777" w:rsidR="007B485D" w:rsidRPr="00727DFA" w:rsidRDefault="007B485D" w:rsidP="002D6DD7">
            <w:pPr>
              <w:jc w:val="both"/>
              <w:rPr>
                <w:rFonts w:eastAsia="DengXian"/>
                <w:b/>
                <w:bCs/>
                <w:szCs w:val="24"/>
              </w:rPr>
            </w:pPr>
            <w:r w:rsidRPr="00727DFA">
              <w:rPr>
                <w:rFonts w:eastAsia="DengXian"/>
                <w:b/>
                <w:bCs/>
                <w:szCs w:val="24"/>
              </w:rPr>
              <w:t>Adult:</w:t>
            </w:r>
            <w:r w:rsidRPr="00727DFA">
              <w:rPr>
                <w:rFonts w:eastAsia="DengXian"/>
                <w:szCs w:val="24"/>
              </w:rPr>
              <w:t xml:space="preserve"> 1.5 g by IV injection at induction; may be</w:t>
            </w:r>
            <w:r w:rsidRPr="00727DFA">
              <w:rPr>
                <w:rFonts w:eastAsia="DengXian"/>
                <w:spacing w:val="1"/>
                <w:szCs w:val="24"/>
              </w:rPr>
              <w:t xml:space="preserve"> </w:t>
            </w:r>
            <w:r w:rsidRPr="00727DFA">
              <w:rPr>
                <w:rFonts w:eastAsia="DengXian"/>
                <w:szCs w:val="24"/>
              </w:rPr>
              <w:t>supplemented with 750mg IM 8 and 16 hours later</w:t>
            </w:r>
            <w:r w:rsidRPr="00727DFA">
              <w:rPr>
                <w:rFonts w:eastAsia="DengXian"/>
                <w:spacing w:val="1"/>
                <w:szCs w:val="24"/>
              </w:rPr>
              <w:t xml:space="preserve"> </w:t>
            </w:r>
            <w:r w:rsidRPr="00727DFA">
              <w:rPr>
                <w:rFonts w:eastAsia="DengXian"/>
                <w:szCs w:val="24"/>
              </w:rPr>
              <w:t>abdominal, pelvic, and orthopedic operations) or followed by</w:t>
            </w:r>
            <w:r w:rsidRPr="00727DFA">
              <w:rPr>
                <w:rFonts w:eastAsia="DengXian"/>
                <w:spacing w:val="1"/>
                <w:szCs w:val="24"/>
              </w:rPr>
              <w:t xml:space="preserve"> </w:t>
            </w:r>
            <w:r w:rsidRPr="00727DFA">
              <w:rPr>
                <w:rFonts w:eastAsia="DengXian"/>
                <w:szCs w:val="24"/>
              </w:rPr>
              <w:t>750 mg IM every 8 hours for further 24-48 hours (cardiac,</w:t>
            </w:r>
            <w:r w:rsidRPr="00727DFA">
              <w:rPr>
                <w:rFonts w:eastAsia="DengXian"/>
                <w:spacing w:val="1"/>
                <w:szCs w:val="24"/>
              </w:rPr>
              <w:t xml:space="preserve"> </w:t>
            </w:r>
            <w:r w:rsidRPr="00727DFA">
              <w:rPr>
                <w:rFonts w:eastAsia="DengXian"/>
                <w:szCs w:val="24"/>
              </w:rPr>
              <w:t>pulmonary,</w:t>
            </w:r>
            <w:r w:rsidRPr="00727DFA">
              <w:rPr>
                <w:rFonts w:eastAsia="DengXian"/>
                <w:spacing w:val="1"/>
                <w:szCs w:val="24"/>
              </w:rPr>
              <w:t xml:space="preserve"> </w:t>
            </w:r>
            <w:r w:rsidRPr="00727DFA">
              <w:rPr>
                <w:rFonts w:eastAsia="DengXian"/>
                <w:szCs w:val="24"/>
              </w:rPr>
              <w:t>esophageal,</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vascular</w:t>
            </w:r>
            <w:r w:rsidRPr="00727DFA">
              <w:rPr>
                <w:rFonts w:eastAsia="DengXian"/>
                <w:spacing w:val="1"/>
                <w:szCs w:val="24"/>
              </w:rPr>
              <w:t xml:space="preserve"> </w:t>
            </w:r>
            <w:r w:rsidRPr="00727DFA">
              <w:rPr>
                <w:rFonts w:eastAsia="DengXian"/>
                <w:szCs w:val="24"/>
              </w:rPr>
              <w:t xml:space="preserve">operations) </w:t>
            </w:r>
          </w:p>
          <w:p w14:paraId="03C7E29B" w14:textId="77777777" w:rsidR="007B485D" w:rsidRPr="00727DFA" w:rsidRDefault="007B485D" w:rsidP="002D6DD7">
            <w:pPr>
              <w:jc w:val="both"/>
              <w:rPr>
                <w:rFonts w:eastAsia="DengXian"/>
                <w:szCs w:val="24"/>
              </w:rPr>
            </w:pPr>
            <w:r w:rsidRPr="00727DFA">
              <w:rPr>
                <w:rFonts w:eastAsia="DengXian"/>
                <w:b/>
                <w:bCs/>
                <w:szCs w:val="24"/>
              </w:rPr>
              <w:t>Meningitis; IV:</w:t>
            </w:r>
          </w:p>
          <w:p w14:paraId="264CFE58"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3 g every 8 hours </w:t>
            </w:r>
          </w:p>
          <w:p w14:paraId="72C64BFC"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b/>
                <w:spacing w:val="1"/>
                <w:szCs w:val="24"/>
              </w:rPr>
              <w:t xml:space="preserve"> </w:t>
            </w:r>
            <w:r w:rsidRPr="00727DFA">
              <w:rPr>
                <w:rFonts w:eastAsia="DengXian"/>
                <w:szCs w:val="24"/>
              </w:rPr>
              <w:t>200 to 240 mg/kg daily (in 3 – 4 divided does) reduced to 100</w:t>
            </w:r>
            <w:r w:rsidRPr="00727DFA">
              <w:rPr>
                <w:rFonts w:eastAsia="DengXian"/>
                <w:spacing w:val="1"/>
                <w:szCs w:val="24"/>
              </w:rPr>
              <w:t xml:space="preserve"> </w:t>
            </w:r>
            <w:r w:rsidRPr="00727DFA">
              <w:rPr>
                <w:rFonts w:eastAsia="DengXian"/>
                <w:szCs w:val="24"/>
              </w:rPr>
              <w:t xml:space="preserve">mg/kg daily after 3 days or on clinical improvement </w:t>
            </w:r>
          </w:p>
          <w:p w14:paraId="3C5DF078" w14:textId="77777777" w:rsidR="007B485D" w:rsidRPr="00727DFA" w:rsidRDefault="007B485D" w:rsidP="002D6DD7">
            <w:pPr>
              <w:jc w:val="both"/>
              <w:rPr>
                <w:rFonts w:eastAsia="DengXian"/>
                <w:szCs w:val="24"/>
              </w:rPr>
            </w:pPr>
            <w:r w:rsidRPr="00727DFA">
              <w:rPr>
                <w:rFonts w:eastAsia="DengXian"/>
                <w:b/>
                <w:bCs/>
                <w:szCs w:val="24"/>
              </w:rPr>
              <w:t>Neonate:</w:t>
            </w:r>
            <w:r w:rsidRPr="00727DFA">
              <w:rPr>
                <w:rFonts w:eastAsia="DengXian"/>
                <w:szCs w:val="24"/>
              </w:rPr>
              <w:t xml:space="preserve"> 100</w:t>
            </w:r>
            <w:r w:rsidRPr="00727DFA">
              <w:rPr>
                <w:rFonts w:eastAsia="DengXian"/>
                <w:spacing w:val="-1"/>
                <w:szCs w:val="24"/>
              </w:rPr>
              <w:t xml:space="preserve"> </w:t>
            </w:r>
            <w:r w:rsidRPr="00727DFA">
              <w:rPr>
                <w:rFonts w:eastAsia="DengXian"/>
                <w:szCs w:val="24"/>
              </w:rPr>
              <w:t>mg/kg</w:t>
            </w:r>
            <w:r w:rsidRPr="00727DFA">
              <w:rPr>
                <w:rFonts w:eastAsia="DengXian"/>
                <w:spacing w:val="-3"/>
                <w:szCs w:val="24"/>
              </w:rPr>
              <w:t xml:space="preserve"> </w:t>
            </w:r>
            <w:r w:rsidRPr="00727DFA">
              <w:rPr>
                <w:rFonts w:eastAsia="DengXian"/>
                <w:szCs w:val="24"/>
              </w:rPr>
              <w:t>daily</w:t>
            </w:r>
            <w:r w:rsidRPr="00727DFA">
              <w:rPr>
                <w:rFonts w:eastAsia="DengXian"/>
                <w:spacing w:val="-5"/>
                <w:szCs w:val="24"/>
              </w:rPr>
              <w:t xml:space="preserve"> </w:t>
            </w:r>
            <w:r w:rsidRPr="00727DFA">
              <w:rPr>
                <w:rFonts w:eastAsia="DengXian"/>
                <w:szCs w:val="24"/>
              </w:rPr>
              <w:t>reduced</w:t>
            </w:r>
            <w:r w:rsidRPr="00727DFA">
              <w:rPr>
                <w:rFonts w:eastAsia="DengXian"/>
                <w:spacing w:val="2"/>
                <w:szCs w:val="24"/>
              </w:rPr>
              <w:t xml:space="preserve"> </w:t>
            </w:r>
            <w:r w:rsidRPr="00727DFA">
              <w:rPr>
                <w:rFonts w:eastAsia="DengXian"/>
                <w:szCs w:val="24"/>
              </w:rPr>
              <w:t>to 50 mg/kg</w:t>
            </w:r>
            <w:r w:rsidRPr="00727DFA">
              <w:rPr>
                <w:rFonts w:eastAsia="DengXian"/>
                <w:spacing w:val="-3"/>
                <w:szCs w:val="24"/>
              </w:rPr>
              <w:t xml:space="preserve"> </w:t>
            </w:r>
            <w:r w:rsidRPr="00727DFA">
              <w:rPr>
                <w:rFonts w:eastAsia="DengXian"/>
                <w:szCs w:val="24"/>
              </w:rPr>
              <w:t>daily</w:t>
            </w:r>
          </w:p>
          <w:p w14:paraId="7ADEF10D" w14:textId="77777777" w:rsidR="007B485D" w:rsidRPr="00727DFA" w:rsidRDefault="007B485D" w:rsidP="002D6DD7">
            <w:pPr>
              <w:jc w:val="both"/>
              <w:rPr>
                <w:rFonts w:eastAsia="DengXian"/>
                <w:szCs w:val="24"/>
              </w:rPr>
            </w:pPr>
            <w:r w:rsidRPr="00727DFA">
              <w:rPr>
                <w:rFonts w:eastAsia="DengXian"/>
                <w:b/>
                <w:bCs/>
                <w:szCs w:val="24"/>
              </w:rPr>
              <w:t>Cellulitis/Erysipelas; IV:</w:t>
            </w:r>
            <w:r w:rsidRPr="00727DFA">
              <w:rPr>
                <w:rFonts w:eastAsia="DengXian"/>
                <w:szCs w:val="24"/>
              </w:rPr>
              <w:t xml:space="preserve"> </w:t>
            </w:r>
          </w:p>
          <w:p w14:paraId="55D2682C" w14:textId="77777777" w:rsidR="007B485D" w:rsidRPr="00727DFA" w:rsidRDefault="007B485D" w:rsidP="002D6DD7">
            <w:pPr>
              <w:jc w:val="both"/>
              <w:rPr>
                <w:rFonts w:eastAsia="DengXian"/>
                <w:szCs w:val="24"/>
              </w:rPr>
            </w:pPr>
            <w:r w:rsidRPr="00873AF2">
              <w:rPr>
                <w:rFonts w:eastAsia="DengXian"/>
                <w:b/>
                <w:bCs/>
                <w:szCs w:val="24"/>
              </w:rPr>
              <w:t>Adult:</w:t>
            </w:r>
            <w:r w:rsidRPr="00727DFA">
              <w:rPr>
                <w:rFonts w:eastAsia="DengXian"/>
                <w:szCs w:val="24"/>
              </w:rPr>
              <w:t xml:space="preserve"> 750 mg every 6–8 hours; increased, if necessary</w:t>
            </w:r>
          </w:p>
          <w:p w14:paraId="03F341EB" w14:textId="77777777" w:rsidR="007B485D" w:rsidRPr="00727DFA" w:rsidRDefault="007B485D" w:rsidP="002D6DD7">
            <w:pPr>
              <w:jc w:val="both"/>
              <w:rPr>
                <w:rFonts w:eastAsia="DengXian"/>
                <w:szCs w:val="24"/>
              </w:rPr>
            </w:pPr>
            <w:r w:rsidRPr="00873AF2">
              <w:rPr>
                <w:rFonts w:eastAsia="DengXian"/>
                <w:b/>
                <w:bCs/>
                <w:szCs w:val="24"/>
              </w:rPr>
              <w:t>Child:</w:t>
            </w:r>
            <w:r w:rsidRPr="00727DFA">
              <w:rPr>
                <w:rFonts w:eastAsia="DengXian"/>
                <w:szCs w:val="24"/>
              </w:rPr>
              <w:t xml:space="preserve"> 20 mg/kg every 8 hours (max. per dose 750 mg); increased if necessary</w:t>
            </w:r>
          </w:p>
          <w:p w14:paraId="2634975C" w14:textId="77777777" w:rsidR="007B485D" w:rsidRPr="00727DFA" w:rsidRDefault="007B485D" w:rsidP="002D6DD7">
            <w:pPr>
              <w:jc w:val="both"/>
              <w:rPr>
                <w:rFonts w:eastAsia="DengXian"/>
                <w:b/>
                <w:bCs/>
                <w:szCs w:val="24"/>
              </w:rPr>
            </w:pPr>
            <w:r w:rsidRPr="00727DFA">
              <w:rPr>
                <w:rFonts w:eastAsia="DengXian"/>
                <w:b/>
                <w:bCs/>
                <w:szCs w:val="24"/>
              </w:rPr>
              <w:t>Acute prostatitis; IV:</w:t>
            </w:r>
          </w:p>
          <w:p w14:paraId="4A9F66BC" w14:textId="77777777" w:rsidR="007B485D" w:rsidRPr="00727DFA" w:rsidRDefault="007B485D" w:rsidP="002D6DD7">
            <w:pPr>
              <w:jc w:val="both"/>
              <w:rPr>
                <w:rFonts w:eastAsia="DengXian"/>
                <w:b/>
                <w:bCs/>
                <w:szCs w:val="24"/>
              </w:rPr>
            </w:pPr>
            <w:r w:rsidRPr="00727DFA">
              <w:rPr>
                <w:rFonts w:eastAsia="DengXian"/>
                <w:b/>
                <w:bCs/>
                <w:szCs w:val="24"/>
              </w:rPr>
              <w:lastRenderedPageBreak/>
              <w:t>Adult:</w:t>
            </w:r>
            <w:r w:rsidRPr="00727DFA">
              <w:rPr>
                <w:rFonts w:eastAsia="DengXian"/>
                <w:szCs w:val="24"/>
              </w:rPr>
              <w:t xml:space="preserve"> 1.5 g every 6–8 hour</w:t>
            </w:r>
          </w:p>
        </w:tc>
      </w:tr>
      <w:tr w:rsidR="007B485D" w:rsidRPr="00727DFA" w14:paraId="48EF2EA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DE544CF"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F8DAB3E"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 xml:space="preserve">Hypersensitivity to </w:t>
            </w:r>
            <w:r>
              <w:rPr>
                <w:rFonts w:eastAsia="DengXian"/>
                <w:szCs w:val="24"/>
              </w:rPr>
              <w:t>the drug or other</w:t>
            </w:r>
            <w:r w:rsidRPr="00727DFA">
              <w:rPr>
                <w:rFonts w:eastAsia="DengXian"/>
                <w:szCs w:val="24"/>
              </w:rPr>
              <w:t xml:space="preserve"> beta-lactam antibiotics</w:t>
            </w:r>
            <w:r>
              <w:rPr>
                <w:rFonts w:eastAsia="DengXian"/>
                <w:szCs w:val="24"/>
              </w:rPr>
              <w:t>.</w:t>
            </w:r>
          </w:p>
        </w:tc>
      </w:tr>
      <w:tr w:rsidR="007B485D" w:rsidRPr="00727DFA" w14:paraId="02DABC7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ADEBC27"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DE4F011" w14:textId="77777777" w:rsidR="007B485D" w:rsidRPr="00727DFA" w:rsidRDefault="007B485D" w:rsidP="002D6DD7">
            <w:pPr>
              <w:autoSpaceDE w:val="0"/>
              <w:autoSpaceDN w:val="0"/>
              <w:adjustRightInd w:val="0"/>
              <w:jc w:val="both"/>
              <w:rPr>
                <w:rFonts w:eastAsia="DengXian"/>
                <w:szCs w:val="24"/>
              </w:rPr>
            </w:pPr>
            <w:r>
              <w:rPr>
                <w:rFonts w:eastAsia="DengXian"/>
                <w:szCs w:val="24"/>
              </w:rPr>
              <w:t>Refer to</w:t>
            </w:r>
            <w:r w:rsidRPr="00727DFA">
              <w:rPr>
                <w:rFonts w:eastAsia="DengXian"/>
                <w:szCs w:val="24"/>
              </w:rPr>
              <w:t xml:space="preserve"> ceftazidime</w:t>
            </w:r>
            <w:r>
              <w:rPr>
                <w:rFonts w:eastAsia="DengXian"/>
                <w:szCs w:val="24"/>
              </w:rPr>
              <w:t>.</w:t>
            </w:r>
          </w:p>
        </w:tc>
      </w:tr>
      <w:tr w:rsidR="007B485D" w:rsidRPr="00727DFA" w14:paraId="1ADE18B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C7C86C9" w14:textId="77777777" w:rsidR="007B485D" w:rsidRPr="00727DFA" w:rsidRDefault="007B485D" w:rsidP="002D6DD7">
            <w:pPr>
              <w:jc w:val="both"/>
              <w:rPr>
                <w:rFonts w:eastAsia="DengXian"/>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04B7BED" w14:textId="77777777" w:rsidR="007B485D" w:rsidRPr="00727DFA" w:rsidRDefault="007B485D" w:rsidP="002D6DD7">
            <w:pPr>
              <w:widowControl w:val="0"/>
              <w:tabs>
                <w:tab w:val="left" w:pos="1898"/>
                <w:tab w:val="left" w:pos="2558"/>
                <w:tab w:val="left" w:pos="2800"/>
                <w:tab w:val="left" w:pos="3366"/>
                <w:tab w:val="left" w:pos="3746"/>
                <w:tab w:val="left" w:pos="4151"/>
                <w:tab w:val="left" w:pos="4996"/>
                <w:tab w:val="left" w:pos="5428"/>
                <w:tab w:val="left" w:pos="5653"/>
                <w:tab w:val="left" w:pos="5797"/>
              </w:tabs>
              <w:autoSpaceDE w:val="0"/>
              <w:autoSpaceDN w:val="0"/>
              <w:jc w:val="both"/>
              <w:rPr>
                <w:rFonts w:eastAsia="Times New Roman"/>
                <w:szCs w:val="24"/>
              </w:rPr>
            </w:pPr>
            <w:r w:rsidRPr="00727DFA">
              <w:rPr>
                <w:rFonts w:eastAsia="DengXian"/>
                <w:szCs w:val="24"/>
              </w:rPr>
              <w:t>Antibiotic associated colitis, nausea and vomiting, abdominal discomfort, headache, allergic reactions, Jarisch- Herxheimer reaction, Candida overgrowth, blood   disorders, eosinophilia, headache, dizziness, transient rise in liver enzymes, sleep disturbances, confusion, dizziness</w:t>
            </w:r>
            <w:r>
              <w:rPr>
                <w:rFonts w:eastAsia="DengXian"/>
                <w:szCs w:val="24"/>
              </w:rPr>
              <w:t>.</w:t>
            </w:r>
            <w:r w:rsidRPr="00727DFA">
              <w:rPr>
                <w:rFonts w:eastAsia="Times New Roman"/>
                <w:szCs w:val="24"/>
              </w:rPr>
              <w:t xml:space="preserve"> </w:t>
            </w:r>
          </w:p>
        </w:tc>
      </w:tr>
      <w:tr w:rsidR="007B485D" w:rsidRPr="00727DFA" w14:paraId="463C2C1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566708E"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5F8D625" w14:textId="77777777" w:rsidR="007B485D" w:rsidRPr="00727DFA" w:rsidRDefault="007B485D" w:rsidP="002D6DD7">
            <w:pPr>
              <w:jc w:val="both"/>
              <w:rPr>
                <w:rFonts w:eastAsia="DengXian"/>
                <w:szCs w:val="24"/>
              </w:rPr>
            </w:pPr>
            <w:r w:rsidRPr="00727DFA">
              <w:rPr>
                <w:rFonts w:eastAsia="DengXian"/>
                <w:szCs w:val="24"/>
              </w:rPr>
              <w:t>Penicillin</w:t>
            </w:r>
            <w:r w:rsidRPr="00727DFA">
              <w:rPr>
                <w:rFonts w:eastAsia="DengXian"/>
                <w:spacing w:val="1"/>
                <w:szCs w:val="24"/>
              </w:rPr>
              <w:t xml:space="preserve"> </w:t>
            </w:r>
            <w:r w:rsidRPr="00727DFA">
              <w:rPr>
                <w:rFonts w:eastAsia="DengXian"/>
                <w:szCs w:val="24"/>
              </w:rPr>
              <w:t>sensitivity,</w:t>
            </w:r>
            <w:r w:rsidRPr="00727DFA">
              <w:rPr>
                <w:rFonts w:eastAsia="DengXian"/>
                <w:spacing w:val="1"/>
                <w:szCs w:val="24"/>
              </w:rPr>
              <w:t xml:space="preserve"> </w:t>
            </w:r>
            <w:r w:rsidRPr="00727DFA">
              <w:rPr>
                <w:rFonts w:eastAsia="DengXian"/>
                <w:szCs w:val="24"/>
              </w:rPr>
              <w:t>renal</w:t>
            </w:r>
            <w:r w:rsidRPr="00727DFA">
              <w:rPr>
                <w:rFonts w:eastAsia="DengXian"/>
                <w:spacing w:val="1"/>
                <w:szCs w:val="24"/>
              </w:rPr>
              <w:t xml:space="preserve"> </w:t>
            </w:r>
            <w:r w:rsidRPr="00727DFA">
              <w:rPr>
                <w:rFonts w:eastAsia="DengXian"/>
                <w:szCs w:val="24"/>
              </w:rPr>
              <w:t>impairment,</w:t>
            </w:r>
            <w:r w:rsidRPr="00727DFA">
              <w:rPr>
                <w:rFonts w:eastAsia="DengXian"/>
                <w:spacing w:val="1"/>
                <w:szCs w:val="24"/>
              </w:rPr>
              <w:t xml:space="preserve"> severe</w:t>
            </w:r>
            <w:r w:rsidRPr="00727DFA">
              <w:rPr>
                <w:rFonts w:eastAsia="DengXian"/>
                <w:szCs w:val="24"/>
              </w:rPr>
              <w:t xml:space="preserve"> cutaneous adverse reactions including Stevens- Johnson syndrome, concurrent use of aminoglycosides and diuretics, infections like colitis and candidiasis, pregnancy </w:t>
            </w:r>
            <w:r w:rsidRPr="00727DFA">
              <w:rPr>
                <w:rFonts w:eastAsia="DengXian"/>
                <w:spacing w:val="-57"/>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breast</w:t>
            </w:r>
            <w:r w:rsidRPr="00727DFA">
              <w:rPr>
                <w:rFonts w:eastAsia="DengXian"/>
                <w:spacing w:val="1"/>
                <w:szCs w:val="24"/>
              </w:rPr>
              <w:t xml:space="preserve"> </w:t>
            </w:r>
            <w:r w:rsidRPr="00727DFA">
              <w:rPr>
                <w:rFonts w:eastAsia="DengXian"/>
                <w:szCs w:val="24"/>
              </w:rPr>
              <w:t>feeding</w:t>
            </w:r>
            <w:r>
              <w:rPr>
                <w:rFonts w:eastAsia="DengXian"/>
                <w:spacing w:val="1"/>
                <w:szCs w:val="24"/>
              </w:rPr>
              <w:t>.</w:t>
            </w:r>
            <w:r w:rsidRPr="00727DFA">
              <w:rPr>
                <w:rFonts w:eastAsia="DengXian"/>
                <w:spacing w:val="1"/>
                <w:szCs w:val="24"/>
              </w:rPr>
              <w:t xml:space="preserve"> </w:t>
            </w:r>
          </w:p>
        </w:tc>
      </w:tr>
      <w:tr w:rsidR="007B485D" w:rsidRPr="00727DFA" w14:paraId="2A6F23E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D75839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0453780" w14:textId="77777777" w:rsidR="007B485D" w:rsidRPr="00727DFA" w:rsidRDefault="007B485D" w:rsidP="002D6DD7">
            <w:pPr>
              <w:jc w:val="both"/>
              <w:rPr>
                <w:rFonts w:eastAsia="DengXian"/>
                <w:szCs w:val="24"/>
              </w:rPr>
            </w:pPr>
            <w:r w:rsidRPr="00727DFA">
              <w:rPr>
                <w:rFonts w:eastAsia="Times New Roman"/>
                <w:szCs w:val="24"/>
              </w:rPr>
              <w:t>Store below 30°C</w:t>
            </w:r>
            <w:r>
              <w:rPr>
                <w:rFonts w:eastAsia="Times New Roman"/>
                <w:szCs w:val="24"/>
              </w:rPr>
              <w:t>. Protect from light.</w:t>
            </w:r>
          </w:p>
        </w:tc>
      </w:tr>
    </w:tbl>
    <w:p w14:paraId="04C25A2D" w14:textId="77777777" w:rsidR="007B485D" w:rsidRPr="00BC0421" w:rsidRDefault="007B485D" w:rsidP="00BC0421">
      <w:pPr>
        <w:spacing w:before="240"/>
        <w:rPr>
          <w:rFonts w:ascii="Calibri Light" w:eastAsia="DengXian Light" w:hAnsi="Calibri Light"/>
          <w:b/>
        </w:rPr>
      </w:pPr>
      <w:r w:rsidRPr="00BC0421">
        <w:rPr>
          <w:rFonts w:eastAsia="DengXian Light"/>
          <w:b/>
        </w:rPr>
        <w:t>Macrolides</w:t>
      </w:r>
    </w:p>
    <w:p w14:paraId="2F0A155D" w14:textId="77777777" w:rsidR="007B485D" w:rsidRPr="00727DFA" w:rsidRDefault="007B485D" w:rsidP="007B485D">
      <w:pPr>
        <w:widowControl w:val="0"/>
        <w:autoSpaceDE w:val="0"/>
        <w:autoSpaceDN w:val="0"/>
        <w:spacing w:after="0"/>
        <w:jc w:val="both"/>
        <w:rPr>
          <w:rFonts w:eastAsia="Times New Roman" w:cs="Times New Roman"/>
          <w:kern w:val="0"/>
          <w:szCs w:val="24"/>
        </w:rPr>
      </w:pPr>
      <w:r w:rsidRPr="00727DFA">
        <w:rPr>
          <w:rFonts w:eastAsia="Times New Roman" w:cs="Times New Roman"/>
          <w:kern w:val="0"/>
          <w:szCs w:val="24"/>
        </w:rPr>
        <w:t>The macrolides are bacteriostatic or bactericidal, depending on</w:t>
      </w:r>
      <w:r w:rsidRPr="00727DFA">
        <w:rPr>
          <w:rFonts w:eastAsia="Times New Roman" w:cs="Times New Roman"/>
          <w:spacing w:val="1"/>
          <w:kern w:val="0"/>
          <w:szCs w:val="24"/>
        </w:rPr>
        <w:t xml:space="preserve"> </w:t>
      </w:r>
      <w:r w:rsidRPr="00727DFA">
        <w:rPr>
          <w:rFonts w:eastAsia="Times New Roman" w:cs="Times New Roman"/>
          <w:kern w:val="0"/>
          <w:szCs w:val="24"/>
        </w:rPr>
        <w:t>the</w:t>
      </w:r>
      <w:r w:rsidRPr="00727DFA">
        <w:rPr>
          <w:rFonts w:eastAsia="Times New Roman" w:cs="Times New Roman"/>
          <w:spacing w:val="23"/>
          <w:kern w:val="0"/>
          <w:szCs w:val="24"/>
        </w:rPr>
        <w:t xml:space="preserve"> </w:t>
      </w:r>
      <w:r w:rsidRPr="00727DFA">
        <w:rPr>
          <w:rFonts w:eastAsia="Times New Roman" w:cs="Times New Roman"/>
          <w:kern w:val="0"/>
          <w:szCs w:val="24"/>
        </w:rPr>
        <w:t>concentration</w:t>
      </w:r>
      <w:r w:rsidRPr="00727DFA">
        <w:rPr>
          <w:rFonts w:eastAsia="Times New Roman" w:cs="Times New Roman"/>
          <w:spacing w:val="25"/>
          <w:kern w:val="0"/>
          <w:szCs w:val="24"/>
        </w:rPr>
        <w:t xml:space="preserve"> </w:t>
      </w:r>
      <w:r w:rsidRPr="00727DFA">
        <w:rPr>
          <w:rFonts w:eastAsia="Times New Roman" w:cs="Times New Roman"/>
          <w:kern w:val="0"/>
          <w:szCs w:val="24"/>
        </w:rPr>
        <w:t>and</w:t>
      </w:r>
      <w:r w:rsidRPr="00727DFA">
        <w:rPr>
          <w:rFonts w:eastAsia="Times New Roman" w:cs="Times New Roman"/>
          <w:spacing w:val="25"/>
          <w:kern w:val="0"/>
          <w:szCs w:val="24"/>
        </w:rPr>
        <w:t xml:space="preserve"> </w:t>
      </w:r>
      <w:r w:rsidRPr="00727DFA">
        <w:rPr>
          <w:rFonts w:eastAsia="Times New Roman" w:cs="Times New Roman"/>
          <w:kern w:val="0"/>
          <w:szCs w:val="24"/>
        </w:rPr>
        <w:t>type</w:t>
      </w:r>
      <w:r w:rsidRPr="00727DFA">
        <w:rPr>
          <w:rFonts w:eastAsia="Times New Roman" w:cs="Times New Roman"/>
          <w:spacing w:val="24"/>
          <w:kern w:val="0"/>
          <w:szCs w:val="24"/>
        </w:rPr>
        <w:t xml:space="preserve"> </w:t>
      </w:r>
      <w:r w:rsidRPr="00727DFA">
        <w:rPr>
          <w:rFonts w:eastAsia="Times New Roman" w:cs="Times New Roman"/>
          <w:kern w:val="0"/>
          <w:szCs w:val="24"/>
        </w:rPr>
        <w:t>of</w:t>
      </w:r>
      <w:r w:rsidRPr="00727DFA">
        <w:rPr>
          <w:rFonts w:eastAsia="Times New Roman" w:cs="Times New Roman"/>
          <w:spacing w:val="24"/>
          <w:kern w:val="0"/>
          <w:szCs w:val="24"/>
        </w:rPr>
        <w:t xml:space="preserve"> </w:t>
      </w:r>
      <w:r w:rsidRPr="00727DFA">
        <w:rPr>
          <w:rFonts w:eastAsia="Times New Roman" w:cs="Times New Roman"/>
          <w:kern w:val="0"/>
          <w:szCs w:val="24"/>
        </w:rPr>
        <w:t>microorganism,</w:t>
      </w:r>
      <w:r w:rsidRPr="00727DFA">
        <w:rPr>
          <w:rFonts w:eastAsia="Times New Roman" w:cs="Times New Roman"/>
          <w:spacing w:val="24"/>
          <w:kern w:val="0"/>
          <w:szCs w:val="24"/>
        </w:rPr>
        <w:t xml:space="preserve"> </w:t>
      </w:r>
      <w:r w:rsidRPr="00727DFA">
        <w:rPr>
          <w:rFonts w:eastAsia="Times New Roman" w:cs="Times New Roman"/>
          <w:kern w:val="0"/>
          <w:szCs w:val="24"/>
        </w:rPr>
        <w:t>and</w:t>
      </w:r>
      <w:r w:rsidRPr="00727DFA">
        <w:rPr>
          <w:rFonts w:eastAsia="Times New Roman" w:cs="Times New Roman"/>
          <w:spacing w:val="25"/>
          <w:kern w:val="0"/>
          <w:szCs w:val="24"/>
        </w:rPr>
        <w:t xml:space="preserve"> </w:t>
      </w:r>
      <w:r w:rsidRPr="00727DFA">
        <w:rPr>
          <w:rFonts w:eastAsia="Times New Roman" w:cs="Times New Roman"/>
          <w:kern w:val="0"/>
          <w:szCs w:val="24"/>
        </w:rPr>
        <w:t>work by interfering bacterial protein synthesis. Their antimicrobial</w:t>
      </w:r>
      <w:r w:rsidRPr="00727DFA">
        <w:rPr>
          <w:rFonts w:eastAsia="Times New Roman" w:cs="Times New Roman"/>
          <w:spacing w:val="1"/>
          <w:kern w:val="0"/>
          <w:szCs w:val="24"/>
        </w:rPr>
        <w:t xml:space="preserve"> </w:t>
      </w:r>
      <w:r w:rsidRPr="00727DFA">
        <w:rPr>
          <w:rFonts w:eastAsia="Times New Roman" w:cs="Times New Roman"/>
          <w:kern w:val="0"/>
          <w:szCs w:val="24"/>
        </w:rPr>
        <w:t xml:space="preserve">property </w:t>
      </w:r>
      <w:r w:rsidR="00BC0421">
        <w:rPr>
          <w:rFonts w:eastAsia="Times New Roman" w:cs="Times New Roman"/>
          <w:kern w:val="0"/>
          <w:szCs w:val="24"/>
        </w:rPr>
        <w:t>includes</w:t>
      </w:r>
      <w:r>
        <w:rPr>
          <w:rFonts w:eastAsia="Times New Roman" w:cs="Times New Roman"/>
          <w:kern w:val="0"/>
          <w:szCs w:val="24"/>
        </w:rPr>
        <w:t xml:space="preserve"> gram positive bacteria</w:t>
      </w:r>
      <w:r w:rsidRPr="00727DFA">
        <w:rPr>
          <w:rFonts w:eastAsia="Times New Roman" w:cs="Times New Roman"/>
          <w:kern w:val="0"/>
          <w:szCs w:val="24"/>
        </w:rPr>
        <w:t xml:space="preserve">, </w:t>
      </w:r>
      <w:r>
        <w:rPr>
          <w:rFonts w:eastAsia="Times New Roman" w:cs="Times New Roman"/>
          <w:kern w:val="0"/>
          <w:szCs w:val="24"/>
        </w:rPr>
        <w:t xml:space="preserve">and </w:t>
      </w:r>
      <w:r w:rsidRPr="00727DFA">
        <w:rPr>
          <w:rFonts w:eastAsia="Times New Roman" w:cs="Times New Roman"/>
          <w:kern w:val="0"/>
          <w:szCs w:val="24"/>
        </w:rPr>
        <w:t>they are also active</w:t>
      </w:r>
      <w:r w:rsidRPr="00727DFA">
        <w:rPr>
          <w:rFonts w:eastAsia="Times New Roman" w:cs="Times New Roman"/>
          <w:spacing w:val="1"/>
          <w:kern w:val="0"/>
          <w:szCs w:val="24"/>
        </w:rPr>
        <w:t xml:space="preserve"> </w:t>
      </w:r>
      <w:r w:rsidRPr="00727DFA">
        <w:rPr>
          <w:rFonts w:eastAsia="Times New Roman" w:cs="Times New Roman"/>
          <w:kern w:val="0"/>
          <w:szCs w:val="24"/>
        </w:rPr>
        <w:t>against</w:t>
      </w:r>
      <w:r w:rsidRPr="00727DFA">
        <w:rPr>
          <w:rFonts w:eastAsia="Times New Roman" w:cs="Times New Roman"/>
          <w:spacing w:val="1"/>
          <w:kern w:val="0"/>
          <w:szCs w:val="24"/>
        </w:rPr>
        <w:t xml:space="preserve"> </w:t>
      </w:r>
      <w:r w:rsidRPr="00727DFA">
        <w:rPr>
          <w:rFonts w:eastAsia="Times New Roman" w:cs="Times New Roman"/>
          <w:kern w:val="0"/>
          <w:szCs w:val="24"/>
        </w:rPr>
        <w:t>organisms</w:t>
      </w:r>
      <w:r w:rsidRPr="00727DFA">
        <w:rPr>
          <w:rFonts w:eastAsia="Times New Roman" w:cs="Times New Roman"/>
          <w:spacing w:val="1"/>
          <w:kern w:val="0"/>
          <w:szCs w:val="24"/>
        </w:rPr>
        <w:t xml:space="preserve"> </w:t>
      </w:r>
      <w:r w:rsidRPr="00727DFA">
        <w:rPr>
          <w:rFonts w:eastAsia="Times New Roman" w:cs="Times New Roman"/>
          <w:kern w:val="0"/>
          <w:szCs w:val="24"/>
        </w:rPr>
        <w:t>such</w:t>
      </w:r>
      <w:r w:rsidRPr="00727DFA">
        <w:rPr>
          <w:rFonts w:eastAsia="Times New Roman" w:cs="Times New Roman"/>
          <w:spacing w:val="1"/>
          <w:kern w:val="0"/>
          <w:szCs w:val="24"/>
        </w:rPr>
        <w:t xml:space="preserve"> </w:t>
      </w:r>
      <w:r w:rsidRPr="00727DFA">
        <w:rPr>
          <w:rFonts w:eastAsia="Times New Roman" w:cs="Times New Roman"/>
          <w:kern w:val="0"/>
          <w:szCs w:val="24"/>
        </w:rPr>
        <w:t>as</w:t>
      </w:r>
      <w:r w:rsidRPr="00727DFA">
        <w:rPr>
          <w:rFonts w:eastAsia="Times New Roman" w:cs="Times New Roman"/>
          <w:spacing w:val="1"/>
          <w:kern w:val="0"/>
          <w:szCs w:val="24"/>
        </w:rPr>
        <w:t xml:space="preserve"> </w:t>
      </w:r>
      <w:r w:rsidRPr="00727DFA">
        <w:rPr>
          <w:rFonts w:eastAsia="Times New Roman" w:cs="Times New Roman"/>
          <w:i/>
          <w:iCs/>
          <w:kern w:val="0"/>
          <w:szCs w:val="24"/>
        </w:rPr>
        <w:t>Legionella</w:t>
      </w:r>
      <w:r w:rsidRPr="00727DFA">
        <w:rPr>
          <w:rFonts w:eastAsia="Times New Roman" w:cs="Times New Roman"/>
          <w:spacing w:val="61"/>
          <w:kern w:val="0"/>
          <w:szCs w:val="24"/>
        </w:rPr>
        <w:t xml:space="preserve"> </w:t>
      </w:r>
      <w:r w:rsidRPr="00727DFA">
        <w:rPr>
          <w:rFonts w:eastAsia="Times New Roman" w:cs="Times New Roman"/>
          <w:i/>
          <w:iCs/>
          <w:kern w:val="0"/>
          <w:szCs w:val="24"/>
        </w:rPr>
        <w:t>pneumophila</w:t>
      </w:r>
      <w:r w:rsidRPr="00727DFA">
        <w:rPr>
          <w:rFonts w:eastAsia="Times New Roman" w:cs="Times New Roman"/>
          <w:kern w:val="0"/>
          <w:szCs w:val="24"/>
        </w:rPr>
        <w:t>,</w:t>
      </w:r>
      <w:r w:rsidRPr="00727DFA">
        <w:rPr>
          <w:rFonts w:eastAsia="Times New Roman" w:cs="Times New Roman"/>
          <w:spacing w:val="1"/>
          <w:kern w:val="0"/>
          <w:szCs w:val="24"/>
        </w:rPr>
        <w:t xml:space="preserve"> </w:t>
      </w:r>
      <w:r w:rsidRPr="00727DFA">
        <w:rPr>
          <w:rFonts w:eastAsia="Times New Roman" w:cs="Times New Roman"/>
          <w:i/>
          <w:iCs/>
          <w:kern w:val="0"/>
          <w:szCs w:val="24"/>
        </w:rPr>
        <w:t>Mycoplasma</w:t>
      </w:r>
      <w:r w:rsidRPr="00727DFA">
        <w:rPr>
          <w:rFonts w:eastAsia="Times New Roman" w:cs="Times New Roman"/>
          <w:i/>
          <w:iCs/>
          <w:spacing w:val="1"/>
          <w:kern w:val="0"/>
          <w:szCs w:val="24"/>
        </w:rPr>
        <w:t xml:space="preserve"> </w:t>
      </w:r>
      <w:r w:rsidRPr="00727DFA">
        <w:rPr>
          <w:rFonts w:eastAsia="Times New Roman" w:cs="Times New Roman"/>
          <w:i/>
          <w:iCs/>
          <w:kern w:val="0"/>
          <w:szCs w:val="24"/>
        </w:rPr>
        <w:t>pneumoniae</w:t>
      </w:r>
      <w:r w:rsidRPr="00727DFA">
        <w:rPr>
          <w:rFonts w:eastAsia="Times New Roman" w:cs="Times New Roman"/>
          <w:kern w:val="0"/>
          <w:szCs w:val="24"/>
        </w:rPr>
        <w:t>,</w:t>
      </w:r>
      <w:r w:rsidRPr="00727DFA">
        <w:rPr>
          <w:rFonts w:eastAsia="Times New Roman" w:cs="Times New Roman"/>
          <w:spacing w:val="1"/>
          <w:kern w:val="0"/>
          <w:szCs w:val="24"/>
        </w:rPr>
        <w:t xml:space="preserve"> </w:t>
      </w:r>
      <w:r w:rsidRPr="00727DFA">
        <w:rPr>
          <w:rFonts w:eastAsia="Times New Roman" w:cs="Times New Roman"/>
          <w:kern w:val="0"/>
          <w:szCs w:val="24"/>
        </w:rPr>
        <w:t>and</w:t>
      </w:r>
      <w:r w:rsidRPr="00727DFA">
        <w:rPr>
          <w:rFonts w:eastAsia="Times New Roman" w:cs="Times New Roman"/>
          <w:spacing w:val="1"/>
          <w:kern w:val="0"/>
          <w:szCs w:val="24"/>
        </w:rPr>
        <w:t xml:space="preserve"> </w:t>
      </w:r>
      <w:r w:rsidRPr="00727DFA">
        <w:rPr>
          <w:rFonts w:eastAsia="Times New Roman" w:cs="Times New Roman"/>
          <w:kern w:val="0"/>
          <w:szCs w:val="24"/>
        </w:rPr>
        <w:t>some</w:t>
      </w:r>
      <w:r w:rsidRPr="00727DFA">
        <w:rPr>
          <w:rFonts w:eastAsia="Times New Roman" w:cs="Times New Roman"/>
          <w:spacing w:val="60"/>
          <w:kern w:val="0"/>
          <w:szCs w:val="24"/>
        </w:rPr>
        <w:t xml:space="preserve"> </w:t>
      </w:r>
      <w:r w:rsidRPr="00727DFA">
        <w:rPr>
          <w:rFonts w:eastAsia="Times New Roman" w:cs="Times New Roman"/>
          <w:kern w:val="0"/>
          <w:szCs w:val="24"/>
        </w:rPr>
        <w:t>rickettsias,</w:t>
      </w:r>
      <w:r w:rsidRPr="00727DFA">
        <w:rPr>
          <w:rFonts w:eastAsia="Times New Roman" w:cs="Times New Roman"/>
          <w:spacing w:val="60"/>
          <w:kern w:val="0"/>
          <w:szCs w:val="24"/>
        </w:rPr>
        <w:t xml:space="preserve"> </w:t>
      </w:r>
      <w:r w:rsidRPr="00727DFA">
        <w:rPr>
          <w:rFonts w:eastAsia="Times New Roman" w:cs="Times New Roman"/>
          <w:kern w:val="0"/>
          <w:szCs w:val="24"/>
        </w:rPr>
        <w:t>chlamydias,</w:t>
      </w:r>
      <w:r w:rsidRPr="00727DFA">
        <w:rPr>
          <w:rFonts w:eastAsia="Times New Roman" w:cs="Times New Roman"/>
          <w:spacing w:val="1"/>
          <w:kern w:val="0"/>
          <w:szCs w:val="24"/>
        </w:rPr>
        <w:t xml:space="preserve"> </w:t>
      </w:r>
      <w:r w:rsidRPr="00727DFA">
        <w:rPr>
          <w:rFonts w:eastAsia="Times New Roman" w:cs="Times New Roman"/>
          <w:kern w:val="0"/>
          <w:szCs w:val="24"/>
        </w:rPr>
        <w:t>and chlamydophilas. Macrolides have post-antibiotic effect: that</w:t>
      </w:r>
      <w:r w:rsidRPr="00727DFA">
        <w:rPr>
          <w:rFonts w:eastAsia="Times New Roman" w:cs="Times New Roman"/>
          <w:spacing w:val="1"/>
          <w:kern w:val="0"/>
          <w:szCs w:val="24"/>
        </w:rPr>
        <w:t xml:space="preserve"> </w:t>
      </w:r>
      <w:r w:rsidRPr="00727DFA">
        <w:rPr>
          <w:rFonts w:eastAsia="Times New Roman" w:cs="Times New Roman"/>
          <w:kern w:val="0"/>
          <w:szCs w:val="24"/>
        </w:rPr>
        <w:t>is,</w:t>
      </w:r>
      <w:r w:rsidRPr="00727DFA">
        <w:rPr>
          <w:rFonts w:eastAsia="Times New Roman" w:cs="Times New Roman"/>
          <w:spacing w:val="1"/>
          <w:kern w:val="0"/>
          <w:szCs w:val="24"/>
        </w:rPr>
        <w:t xml:space="preserve"> </w:t>
      </w:r>
      <w:r w:rsidRPr="00727DFA">
        <w:rPr>
          <w:rFonts w:eastAsia="Times New Roman" w:cs="Times New Roman"/>
          <w:kern w:val="0"/>
          <w:szCs w:val="24"/>
        </w:rPr>
        <w:t>antibacterial</w:t>
      </w:r>
      <w:r w:rsidRPr="00727DFA">
        <w:rPr>
          <w:rFonts w:eastAsia="Times New Roman" w:cs="Times New Roman"/>
          <w:spacing w:val="1"/>
          <w:kern w:val="0"/>
          <w:szCs w:val="24"/>
        </w:rPr>
        <w:t xml:space="preserve"> </w:t>
      </w:r>
      <w:r w:rsidRPr="00727DFA">
        <w:rPr>
          <w:rFonts w:eastAsia="Times New Roman" w:cs="Times New Roman"/>
          <w:kern w:val="0"/>
          <w:szCs w:val="24"/>
        </w:rPr>
        <w:t>activity</w:t>
      </w:r>
      <w:r w:rsidRPr="00727DFA">
        <w:rPr>
          <w:rFonts w:eastAsia="Times New Roman" w:cs="Times New Roman"/>
          <w:spacing w:val="1"/>
          <w:kern w:val="0"/>
          <w:szCs w:val="24"/>
        </w:rPr>
        <w:t xml:space="preserve"> </w:t>
      </w:r>
      <w:r w:rsidRPr="00727DFA">
        <w:rPr>
          <w:rFonts w:eastAsia="Times New Roman" w:cs="Times New Roman"/>
          <w:kern w:val="0"/>
          <w:szCs w:val="24"/>
        </w:rPr>
        <w:t>persists</w:t>
      </w:r>
      <w:r w:rsidRPr="00727DFA">
        <w:rPr>
          <w:rFonts w:eastAsia="Times New Roman" w:cs="Times New Roman"/>
          <w:spacing w:val="1"/>
          <w:kern w:val="0"/>
          <w:szCs w:val="24"/>
        </w:rPr>
        <w:t xml:space="preserve"> </w:t>
      </w:r>
      <w:r w:rsidRPr="00727DFA">
        <w:rPr>
          <w:rFonts w:eastAsia="Times New Roman" w:cs="Times New Roman"/>
          <w:kern w:val="0"/>
          <w:szCs w:val="24"/>
        </w:rPr>
        <w:t>after</w:t>
      </w:r>
      <w:r w:rsidRPr="00727DFA">
        <w:rPr>
          <w:rFonts w:eastAsia="Times New Roman" w:cs="Times New Roman"/>
          <w:spacing w:val="1"/>
          <w:kern w:val="0"/>
          <w:szCs w:val="24"/>
        </w:rPr>
        <w:t xml:space="preserve"> </w:t>
      </w:r>
      <w:r w:rsidRPr="00727DFA">
        <w:rPr>
          <w:rFonts w:eastAsia="Times New Roman" w:cs="Times New Roman"/>
          <w:kern w:val="0"/>
          <w:szCs w:val="24"/>
        </w:rPr>
        <w:t>concentrations</w:t>
      </w:r>
      <w:r w:rsidRPr="00727DFA">
        <w:rPr>
          <w:rFonts w:eastAsia="Times New Roman" w:cs="Times New Roman"/>
          <w:spacing w:val="1"/>
          <w:kern w:val="0"/>
          <w:szCs w:val="24"/>
        </w:rPr>
        <w:t xml:space="preserve"> </w:t>
      </w:r>
      <w:r w:rsidRPr="00727DFA">
        <w:rPr>
          <w:rFonts w:eastAsia="Times New Roman" w:cs="Times New Roman"/>
          <w:kern w:val="0"/>
          <w:szCs w:val="24"/>
        </w:rPr>
        <w:t>have</w:t>
      </w:r>
      <w:r w:rsidRPr="00727DFA">
        <w:rPr>
          <w:rFonts w:eastAsia="Times New Roman" w:cs="Times New Roman"/>
          <w:spacing w:val="1"/>
          <w:kern w:val="0"/>
          <w:szCs w:val="24"/>
        </w:rPr>
        <w:t xml:space="preserve"> </w:t>
      </w:r>
      <w:r w:rsidRPr="00727DFA">
        <w:rPr>
          <w:rFonts w:eastAsia="Times New Roman" w:cs="Times New Roman"/>
          <w:kern w:val="0"/>
          <w:szCs w:val="24"/>
        </w:rPr>
        <w:t>dropped</w:t>
      </w:r>
      <w:r w:rsidRPr="00727DFA">
        <w:rPr>
          <w:rFonts w:eastAsia="Times New Roman" w:cs="Times New Roman"/>
          <w:spacing w:val="-1"/>
          <w:kern w:val="0"/>
          <w:szCs w:val="24"/>
        </w:rPr>
        <w:t xml:space="preserve"> </w:t>
      </w:r>
      <w:r w:rsidRPr="00727DFA">
        <w:rPr>
          <w:rFonts w:eastAsia="Times New Roman" w:cs="Times New Roman"/>
          <w:kern w:val="0"/>
          <w:szCs w:val="24"/>
        </w:rPr>
        <w:t>below</w:t>
      </w:r>
      <w:r w:rsidRPr="00727DFA">
        <w:rPr>
          <w:rFonts w:eastAsia="Times New Roman" w:cs="Times New Roman"/>
          <w:spacing w:val="-1"/>
          <w:kern w:val="0"/>
          <w:szCs w:val="24"/>
        </w:rPr>
        <w:t xml:space="preserve"> </w:t>
      </w:r>
      <w:r w:rsidRPr="00727DFA">
        <w:rPr>
          <w:rFonts w:eastAsia="Times New Roman" w:cs="Times New Roman"/>
          <w:kern w:val="0"/>
          <w:szCs w:val="24"/>
        </w:rPr>
        <w:t>the</w:t>
      </w:r>
      <w:r w:rsidRPr="00727DFA">
        <w:rPr>
          <w:rFonts w:eastAsia="Times New Roman" w:cs="Times New Roman"/>
          <w:spacing w:val="-1"/>
          <w:kern w:val="0"/>
          <w:szCs w:val="24"/>
        </w:rPr>
        <w:t xml:space="preserve"> </w:t>
      </w:r>
      <w:r w:rsidRPr="00727DFA">
        <w:rPr>
          <w:rFonts w:eastAsia="Times New Roman" w:cs="Times New Roman"/>
          <w:kern w:val="0"/>
          <w:szCs w:val="24"/>
        </w:rPr>
        <w:t>minimum inhibitory</w:t>
      </w:r>
      <w:r w:rsidRPr="00727DFA">
        <w:rPr>
          <w:rFonts w:eastAsia="Times New Roman" w:cs="Times New Roman"/>
          <w:spacing w:val="-8"/>
          <w:kern w:val="0"/>
          <w:szCs w:val="24"/>
        </w:rPr>
        <w:t xml:space="preserve"> </w:t>
      </w:r>
      <w:r w:rsidRPr="00727DFA">
        <w:rPr>
          <w:rFonts w:eastAsia="Times New Roman" w:cs="Times New Roman"/>
          <w:kern w:val="0"/>
          <w:szCs w:val="24"/>
        </w:rPr>
        <w:t>concentration.</w:t>
      </w:r>
    </w:p>
    <w:p w14:paraId="30E26049" w14:textId="77777777" w:rsidR="007B485D" w:rsidRPr="00727DFA" w:rsidRDefault="007B485D" w:rsidP="007B485D">
      <w:pPr>
        <w:widowControl w:val="0"/>
        <w:autoSpaceDE w:val="0"/>
        <w:autoSpaceDN w:val="0"/>
        <w:spacing w:before="240" w:after="0"/>
        <w:jc w:val="both"/>
        <w:rPr>
          <w:rFonts w:eastAsia="Times New Roman" w:cs="Times New Roman"/>
          <w:kern w:val="0"/>
          <w:szCs w:val="24"/>
        </w:rPr>
      </w:pPr>
      <w:r w:rsidRPr="00727DFA">
        <w:rPr>
          <w:rFonts w:eastAsia="DengXian" w:cs="Times New Roman"/>
          <w:szCs w:val="24"/>
        </w:rPr>
        <w:t xml:space="preserve">The prototype drug, erythromycin, was discovered in 1952 from </w:t>
      </w:r>
      <w:r w:rsidRPr="00727DFA">
        <w:rPr>
          <w:rFonts w:eastAsia="DengXian" w:cs="Times New Roman"/>
          <w:i/>
          <w:iCs/>
          <w:szCs w:val="24"/>
        </w:rPr>
        <w:t>Streptomyces erythreus</w:t>
      </w:r>
      <w:r w:rsidRPr="00727DFA">
        <w:rPr>
          <w:rFonts w:eastAsia="DengXian" w:cs="Times New Roman"/>
          <w:szCs w:val="24"/>
        </w:rPr>
        <w:t>. Clarithromycin and azithromycin are semisynthetic derivatives of erythromycin.</w:t>
      </w:r>
      <w:r>
        <w:rPr>
          <w:rFonts w:eastAsia="DengXian" w:cs="Times New Roman"/>
          <w:szCs w:val="24"/>
        </w:rPr>
        <w:t xml:space="preserve"> </w:t>
      </w:r>
      <w:r w:rsidRPr="00727DFA">
        <w:rPr>
          <w:rFonts w:eastAsia="Times New Roman" w:cs="Times New Roman"/>
          <w:kern w:val="0"/>
          <w:szCs w:val="24"/>
        </w:rPr>
        <w:t>The macrolides are an alternative for oral infections in penicillin-allergic patients or where a beta-lactamase producing organism is involved. However, many organisms are now resistant to macrolides or rapidly develop resistance; their use should therefore be limited to short courses.</w:t>
      </w:r>
      <w:r w:rsidRPr="00727DFA">
        <w:rPr>
          <w:rFonts w:eastAsia="DengXian Light" w:cs="Times New Roman"/>
          <w:b/>
          <w:bCs/>
          <w:color w:val="2F5496" w:themeColor="accent1" w:themeShade="BF"/>
          <w:kern w:val="0"/>
          <w:sz w:val="28"/>
          <w:szCs w:val="28"/>
        </w:rPr>
        <w:t xml:space="preserve"> </w:t>
      </w:r>
    </w:p>
    <w:p w14:paraId="77949FA4" w14:textId="77777777" w:rsidR="007B485D" w:rsidRPr="00727DFA" w:rsidRDefault="007B485D" w:rsidP="007B485D">
      <w:pPr>
        <w:widowControl w:val="0"/>
        <w:autoSpaceDE w:val="0"/>
        <w:autoSpaceDN w:val="0"/>
        <w:spacing w:after="0"/>
        <w:jc w:val="both"/>
        <w:rPr>
          <w:rFonts w:eastAsia="Times New Roman" w:cs="Times New Roman"/>
          <w:color w:val="000000" w:themeColor="text1"/>
          <w:kern w:val="0"/>
          <w:szCs w:val="24"/>
        </w:rPr>
      </w:pPr>
    </w:p>
    <w:tbl>
      <w:tblPr>
        <w:tblStyle w:val="TableGrid"/>
        <w:tblW w:w="0" w:type="auto"/>
        <w:tblInd w:w="-5" w:type="dxa"/>
        <w:tblLook w:val="04A0" w:firstRow="1" w:lastRow="0" w:firstColumn="1" w:lastColumn="0" w:noHBand="0" w:noVBand="1"/>
      </w:tblPr>
      <w:tblGrid>
        <w:gridCol w:w="2700"/>
        <w:gridCol w:w="6570"/>
      </w:tblGrid>
      <w:tr w:rsidR="007B485D" w:rsidRPr="00727DFA" w14:paraId="48A314D1"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1BBD4F97" w14:textId="77777777" w:rsidR="007B485D" w:rsidRPr="00727DFA" w:rsidRDefault="007B485D" w:rsidP="002D6DD7">
            <w:pPr>
              <w:jc w:val="both"/>
              <w:rPr>
                <w:rFonts w:eastAsia="DengXian"/>
                <w:color w:val="000000" w:themeColor="text1"/>
                <w:szCs w:val="24"/>
              </w:rPr>
            </w:pPr>
            <w:r w:rsidRPr="00727DFA">
              <w:rPr>
                <w:rFonts w:eastAsia="Calibri"/>
                <w:b/>
                <w:bCs/>
                <w:color w:val="000000" w:themeColor="text1"/>
                <w:szCs w:val="24"/>
              </w:rPr>
              <w:t xml:space="preserve">Azithromycin </w:t>
            </w:r>
            <w:r w:rsidRPr="00873AF2">
              <w:rPr>
                <w:rFonts w:eastAsia="Calibri"/>
                <w:b/>
                <w:bCs/>
                <w:color w:val="000000" w:themeColor="text1"/>
                <w:szCs w:val="24"/>
              </w:rPr>
              <w:t>(Access)</w:t>
            </w:r>
          </w:p>
        </w:tc>
      </w:tr>
      <w:tr w:rsidR="007B485D" w:rsidRPr="00727DFA" w14:paraId="77CE2CC1"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33628246"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Pharmacological class</w:t>
            </w:r>
          </w:p>
        </w:tc>
        <w:tc>
          <w:tcPr>
            <w:tcW w:w="6570" w:type="dxa"/>
            <w:tcBorders>
              <w:top w:val="single" w:sz="4" w:space="0" w:color="auto"/>
              <w:left w:val="single" w:sz="4" w:space="0" w:color="auto"/>
              <w:bottom w:val="single" w:sz="4" w:space="0" w:color="auto"/>
              <w:right w:val="single" w:sz="4" w:space="0" w:color="auto"/>
            </w:tcBorders>
            <w:hideMark/>
          </w:tcPr>
          <w:p w14:paraId="652C83EE" w14:textId="77777777" w:rsidR="007B485D" w:rsidRPr="00727DFA" w:rsidRDefault="007B485D" w:rsidP="002D6DD7">
            <w:pPr>
              <w:jc w:val="both"/>
              <w:rPr>
                <w:rFonts w:eastAsia="DengXian"/>
                <w:bCs/>
                <w:color w:val="000000" w:themeColor="text1"/>
                <w:szCs w:val="24"/>
              </w:rPr>
            </w:pPr>
            <w:r w:rsidRPr="00727DFA">
              <w:rPr>
                <w:rFonts w:eastAsia="Times New Roman"/>
                <w:bCs/>
                <w:color w:val="000000" w:themeColor="text1"/>
                <w:szCs w:val="24"/>
              </w:rPr>
              <w:t xml:space="preserve">Macrolide </w:t>
            </w:r>
          </w:p>
        </w:tc>
      </w:tr>
      <w:tr w:rsidR="007B485D" w:rsidRPr="00727DFA" w14:paraId="1B5F026E"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3B97EC83"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Dosage form</w:t>
            </w:r>
          </w:p>
        </w:tc>
        <w:tc>
          <w:tcPr>
            <w:tcW w:w="6570" w:type="dxa"/>
            <w:tcBorders>
              <w:top w:val="single" w:sz="4" w:space="0" w:color="auto"/>
              <w:left w:val="single" w:sz="4" w:space="0" w:color="auto"/>
              <w:bottom w:val="single" w:sz="4" w:space="0" w:color="auto"/>
              <w:right w:val="single" w:sz="4" w:space="0" w:color="auto"/>
            </w:tcBorders>
            <w:hideMark/>
          </w:tcPr>
          <w:p w14:paraId="4E5935EE" w14:textId="77777777" w:rsidR="007B485D" w:rsidRDefault="007B485D" w:rsidP="002D6DD7">
            <w:pPr>
              <w:jc w:val="both"/>
              <w:rPr>
                <w:rFonts w:eastAsia="Times New Roman"/>
                <w:bCs/>
                <w:color w:val="000000" w:themeColor="text1"/>
                <w:szCs w:val="24"/>
              </w:rPr>
            </w:pPr>
            <w:r w:rsidRPr="00727DFA">
              <w:rPr>
                <w:rFonts w:eastAsia="Times New Roman"/>
                <w:bCs/>
                <w:color w:val="000000" w:themeColor="text1"/>
                <w:szCs w:val="24"/>
              </w:rPr>
              <w:t xml:space="preserve">Powder for oral suspension: 200mg/5ml </w:t>
            </w:r>
            <w:r w:rsidRPr="00727DFA">
              <w:rPr>
                <w:rFonts w:eastAsia="DengXian"/>
                <w:bCs/>
                <w:color w:val="000000" w:themeColor="text1"/>
                <w:szCs w:val="24"/>
              </w:rPr>
              <w:t>(</w:t>
            </w:r>
            <w:r w:rsidRPr="00727DFA">
              <w:rPr>
                <w:rFonts w:eastAsia="Times New Roman"/>
                <w:bCs/>
                <w:color w:val="000000" w:themeColor="text1"/>
                <w:szCs w:val="24"/>
              </w:rPr>
              <w:t>anhydrous)</w:t>
            </w:r>
          </w:p>
          <w:p w14:paraId="4F76CB38" w14:textId="77777777" w:rsidR="007B485D" w:rsidRPr="00727DFA" w:rsidRDefault="007B485D" w:rsidP="002D6DD7">
            <w:pPr>
              <w:jc w:val="both"/>
              <w:rPr>
                <w:rFonts w:eastAsia="DengXian"/>
                <w:bCs/>
                <w:color w:val="000000" w:themeColor="text1"/>
                <w:szCs w:val="24"/>
              </w:rPr>
            </w:pPr>
            <w:r w:rsidRPr="00727DFA">
              <w:rPr>
                <w:rFonts w:eastAsia="Times New Roman"/>
                <w:bCs/>
                <w:color w:val="000000" w:themeColor="text1"/>
                <w:szCs w:val="24"/>
              </w:rPr>
              <w:lastRenderedPageBreak/>
              <w:t>Tablet or Capsule: 250mg, 500mg</w:t>
            </w:r>
            <w:r w:rsidRPr="00727DFA">
              <w:rPr>
                <w:rFonts w:eastAsia="DengXian"/>
                <w:bCs/>
                <w:color w:val="000000" w:themeColor="text1"/>
                <w:szCs w:val="24"/>
              </w:rPr>
              <w:t xml:space="preserve"> </w:t>
            </w:r>
            <w:r w:rsidRPr="00727DFA">
              <w:rPr>
                <w:rFonts w:eastAsia="Times New Roman"/>
                <w:bCs/>
                <w:color w:val="000000" w:themeColor="text1"/>
                <w:szCs w:val="24"/>
              </w:rPr>
              <w:t>(anhydrous)</w:t>
            </w:r>
          </w:p>
        </w:tc>
      </w:tr>
      <w:tr w:rsidR="007B485D" w:rsidRPr="00727DFA" w14:paraId="2619CF0D"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26ECFCB2"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Indications</w:t>
            </w:r>
          </w:p>
        </w:tc>
        <w:tc>
          <w:tcPr>
            <w:tcW w:w="6570" w:type="dxa"/>
            <w:tcBorders>
              <w:top w:val="single" w:sz="4" w:space="0" w:color="auto"/>
              <w:left w:val="single" w:sz="4" w:space="0" w:color="auto"/>
              <w:bottom w:val="single" w:sz="4" w:space="0" w:color="auto"/>
              <w:right w:val="single" w:sz="4" w:space="0" w:color="auto"/>
            </w:tcBorders>
            <w:hideMark/>
          </w:tcPr>
          <w:p w14:paraId="6CA6FE1F" w14:textId="77777777" w:rsidR="007B485D" w:rsidRPr="00727DFA" w:rsidRDefault="007B485D" w:rsidP="002D6DD7">
            <w:pPr>
              <w:widowControl w:val="0"/>
              <w:autoSpaceDE w:val="0"/>
              <w:autoSpaceDN w:val="0"/>
              <w:jc w:val="both"/>
              <w:rPr>
                <w:rFonts w:eastAsia="Times New Roman"/>
                <w:bCs/>
                <w:color w:val="000000" w:themeColor="text1"/>
                <w:szCs w:val="24"/>
              </w:rPr>
            </w:pPr>
            <w:r>
              <w:rPr>
                <w:rFonts w:eastAsia="Times New Roman"/>
                <w:bCs/>
                <w:color w:val="000000" w:themeColor="text1"/>
                <w:szCs w:val="24"/>
              </w:rPr>
              <w:t>A</w:t>
            </w:r>
            <w:r w:rsidRPr="00727DFA">
              <w:rPr>
                <w:rFonts w:eastAsia="Times New Roman"/>
                <w:bCs/>
                <w:color w:val="000000" w:themeColor="text1"/>
                <w:szCs w:val="24"/>
              </w:rPr>
              <w:t>cute</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otitis</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media,</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pharyngitis/tonsillitis,</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mild</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to</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moderate</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upper</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and</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lower</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respiratory tract infections, infections of the skin,</w:t>
            </w:r>
            <w:r w:rsidRPr="00727DFA">
              <w:rPr>
                <w:rFonts w:eastAsia="Times New Roman"/>
                <w:bCs/>
                <w:color w:val="000000" w:themeColor="text1"/>
                <w:spacing w:val="25"/>
                <w:szCs w:val="24"/>
              </w:rPr>
              <w:t xml:space="preserve"> </w:t>
            </w:r>
            <w:r w:rsidRPr="00727DFA">
              <w:rPr>
                <w:rFonts w:eastAsia="Times New Roman"/>
                <w:bCs/>
                <w:color w:val="000000" w:themeColor="text1"/>
                <w:szCs w:val="24"/>
              </w:rPr>
              <w:t>pelvic</w:t>
            </w:r>
            <w:r w:rsidRPr="00727DFA">
              <w:rPr>
                <w:rFonts w:eastAsia="Times New Roman"/>
                <w:bCs/>
                <w:color w:val="000000" w:themeColor="text1"/>
                <w:spacing w:val="24"/>
                <w:szCs w:val="24"/>
              </w:rPr>
              <w:t xml:space="preserve"> </w:t>
            </w:r>
            <w:r w:rsidRPr="00727DFA">
              <w:rPr>
                <w:rFonts w:eastAsia="Times New Roman"/>
                <w:bCs/>
                <w:color w:val="000000" w:themeColor="text1"/>
                <w:szCs w:val="24"/>
              </w:rPr>
              <w:t>inflammatory</w:t>
            </w:r>
            <w:r w:rsidRPr="00727DFA">
              <w:rPr>
                <w:rFonts w:eastAsia="Times New Roman"/>
                <w:bCs/>
                <w:color w:val="000000" w:themeColor="text1"/>
                <w:spacing w:val="23"/>
                <w:szCs w:val="24"/>
              </w:rPr>
              <w:t xml:space="preserve"> </w:t>
            </w:r>
            <w:r w:rsidRPr="00727DFA">
              <w:rPr>
                <w:rFonts w:eastAsia="Times New Roman"/>
                <w:bCs/>
                <w:color w:val="000000" w:themeColor="text1"/>
                <w:szCs w:val="24"/>
              </w:rPr>
              <w:t>disease,</w:t>
            </w:r>
            <w:r w:rsidRPr="00727DFA">
              <w:rPr>
                <w:rFonts w:eastAsia="Times New Roman"/>
                <w:bCs/>
                <w:color w:val="000000" w:themeColor="text1"/>
                <w:spacing w:val="25"/>
                <w:szCs w:val="24"/>
              </w:rPr>
              <w:t xml:space="preserve"> </w:t>
            </w:r>
            <w:r w:rsidRPr="00727DFA">
              <w:rPr>
                <w:rFonts w:eastAsia="Times New Roman"/>
                <w:bCs/>
                <w:color w:val="000000" w:themeColor="text1"/>
                <w:szCs w:val="24"/>
              </w:rPr>
              <w:t>sexually transmitted</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diseases</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(urethritis/cervicitis, genital</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ulcer),</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acute</w:t>
            </w:r>
            <w:r w:rsidRPr="00727DFA">
              <w:rPr>
                <w:rFonts w:eastAsia="Times New Roman"/>
                <w:bCs/>
                <w:color w:val="000000" w:themeColor="text1"/>
                <w:spacing w:val="-57"/>
                <w:szCs w:val="24"/>
              </w:rPr>
              <w:t xml:space="preserve"> </w:t>
            </w:r>
            <w:r w:rsidRPr="00727DFA">
              <w:rPr>
                <w:rFonts w:eastAsia="Times New Roman"/>
                <w:bCs/>
                <w:color w:val="000000" w:themeColor="text1"/>
                <w:szCs w:val="24"/>
              </w:rPr>
              <w:t>bacterial</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exacerbations</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of</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chronic</w:t>
            </w:r>
            <w:r w:rsidRPr="00727DFA">
              <w:rPr>
                <w:rFonts w:eastAsia="Times New Roman"/>
                <w:bCs/>
                <w:color w:val="000000" w:themeColor="text1"/>
                <w:spacing w:val="61"/>
                <w:szCs w:val="24"/>
              </w:rPr>
              <w:t xml:space="preserve"> </w:t>
            </w:r>
            <w:r w:rsidRPr="00727DFA">
              <w:rPr>
                <w:rFonts w:eastAsia="Times New Roman"/>
                <w:bCs/>
                <w:color w:val="000000" w:themeColor="text1"/>
                <w:szCs w:val="24"/>
              </w:rPr>
              <w:t>obstructive</w:t>
            </w:r>
            <w:r w:rsidRPr="00727DFA">
              <w:rPr>
                <w:rFonts w:eastAsia="Times New Roman"/>
                <w:bCs/>
                <w:color w:val="000000" w:themeColor="text1"/>
                <w:spacing w:val="61"/>
                <w:szCs w:val="24"/>
              </w:rPr>
              <w:t xml:space="preserve"> </w:t>
            </w:r>
            <w:r w:rsidRPr="00727DFA">
              <w:rPr>
                <w:rFonts w:eastAsia="Times New Roman"/>
                <w:bCs/>
                <w:color w:val="000000" w:themeColor="text1"/>
                <w:szCs w:val="24"/>
              </w:rPr>
              <w:t>pulmonary</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disease</w:t>
            </w:r>
            <w:r w:rsidRPr="00727DFA">
              <w:rPr>
                <w:rFonts w:eastAsia="Times New Roman"/>
                <w:bCs/>
                <w:color w:val="000000" w:themeColor="text1"/>
                <w:spacing w:val="-2"/>
                <w:szCs w:val="24"/>
              </w:rPr>
              <w:t xml:space="preserve"> </w:t>
            </w:r>
            <w:r w:rsidRPr="00727DFA">
              <w:rPr>
                <w:rFonts w:eastAsia="Times New Roman"/>
                <w:bCs/>
                <w:color w:val="000000" w:themeColor="text1"/>
                <w:szCs w:val="24"/>
              </w:rPr>
              <w:t>(COPD),</w:t>
            </w:r>
            <w:r w:rsidRPr="00727DFA">
              <w:rPr>
                <w:rFonts w:eastAsia="Times New Roman"/>
                <w:bCs/>
                <w:color w:val="000000" w:themeColor="text1"/>
                <w:spacing w:val="2"/>
                <w:szCs w:val="24"/>
              </w:rPr>
              <w:t xml:space="preserve"> </w:t>
            </w:r>
            <w:r w:rsidRPr="00727DFA">
              <w:rPr>
                <w:rFonts w:eastAsia="Times New Roman"/>
                <w:bCs/>
                <w:color w:val="000000" w:themeColor="text1"/>
                <w:szCs w:val="24"/>
              </w:rPr>
              <w:t>acute</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bacterial</w:t>
            </w:r>
            <w:r w:rsidRPr="00727DFA">
              <w:rPr>
                <w:rFonts w:eastAsia="Times New Roman"/>
                <w:bCs/>
                <w:color w:val="000000" w:themeColor="text1"/>
                <w:spacing w:val="-1"/>
                <w:szCs w:val="24"/>
              </w:rPr>
              <w:t xml:space="preserve"> </w:t>
            </w:r>
            <w:r w:rsidRPr="00727DFA">
              <w:rPr>
                <w:rFonts w:eastAsia="Times New Roman"/>
                <w:bCs/>
                <w:color w:val="000000" w:themeColor="text1"/>
                <w:szCs w:val="24"/>
              </w:rPr>
              <w:t>sinusitis</w:t>
            </w:r>
            <w:r>
              <w:rPr>
                <w:rFonts w:eastAsia="Times New Roman"/>
                <w:bCs/>
                <w:color w:val="000000" w:themeColor="text1"/>
                <w:szCs w:val="24"/>
              </w:rPr>
              <w:t>,</w:t>
            </w:r>
            <w:r w:rsidRPr="00727DFA">
              <w:rPr>
                <w:rFonts w:eastAsia="Times New Roman"/>
                <w:bCs/>
                <w:color w:val="000000" w:themeColor="text1"/>
                <w:szCs w:val="24"/>
              </w:rPr>
              <w:t xml:space="preserve"> </w:t>
            </w:r>
            <w:r>
              <w:rPr>
                <w:rFonts w:eastAsia="Times New Roman"/>
                <w:bCs/>
                <w:color w:val="000000" w:themeColor="text1"/>
                <w:szCs w:val="24"/>
              </w:rPr>
              <w:t>p</w:t>
            </w:r>
            <w:r w:rsidRPr="00727DFA">
              <w:rPr>
                <w:rFonts w:eastAsia="Times New Roman"/>
                <w:bCs/>
                <w:color w:val="000000" w:themeColor="text1"/>
                <w:szCs w:val="24"/>
              </w:rPr>
              <w:t>revention of secondary case of invasive group A streptococcal infection in patients who are allergic to penicillin</w:t>
            </w:r>
            <w:r>
              <w:rPr>
                <w:rFonts w:eastAsia="Times New Roman"/>
                <w:bCs/>
                <w:color w:val="000000" w:themeColor="text1"/>
                <w:szCs w:val="24"/>
              </w:rPr>
              <w:t>.</w:t>
            </w:r>
          </w:p>
          <w:p w14:paraId="5D6FD3B6" w14:textId="77777777" w:rsidR="007B485D" w:rsidRPr="00727DFA" w:rsidRDefault="007B485D" w:rsidP="002D6DD7">
            <w:pPr>
              <w:widowControl w:val="0"/>
              <w:autoSpaceDE w:val="0"/>
              <w:autoSpaceDN w:val="0"/>
              <w:jc w:val="both"/>
              <w:rPr>
                <w:rFonts w:eastAsia="Times New Roman"/>
                <w:bCs/>
                <w:color w:val="000000" w:themeColor="text1"/>
                <w:szCs w:val="24"/>
              </w:rPr>
            </w:pPr>
          </w:p>
        </w:tc>
      </w:tr>
      <w:tr w:rsidR="007B485D" w:rsidRPr="00727DFA" w14:paraId="318C5166"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4728E8B5"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 xml:space="preserve">Dose and </w:t>
            </w:r>
            <w:r>
              <w:rPr>
                <w:rFonts w:eastAsia="DengXian"/>
                <w:bCs/>
                <w:color w:val="000000" w:themeColor="text1"/>
                <w:szCs w:val="24"/>
              </w:rPr>
              <w:t>a</w:t>
            </w:r>
            <w:r w:rsidRPr="00727DFA">
              <w:rPr>
                <w:rFonts w:eastAsia="DengXian"/>
                <w:bCs/>
                <w:color w:val="000000" w:themeColor="text1"/>
                <w:szCs w:val="24"/>
              </w:rPr>
              <w:t>dministration</w:t>
            </w:r>
          </w:p>
        </w:tc>
        <w:tc>
          <w:tcPr>
            <w:tcW w:w="6570" w:type="dxa"/>
            <w:tcBorders>
              <w:top w:val="single" w:sz="4" w:space="0" w:color="auto"/>
              <w:left w:val="single" w:sz="4" w:space="0" w:color="auto"/>
              <w:bottom w:val="single" w:sz="4" w:space="0" w:color="auto"/>
              <w:right w:val="single" w:sz="4" w:space="0" w:color="auto"/>
            </w:tcBorders>
            <w:hideMark/>
          </w:tcPr>
          <w:p w14:paraId="0774506F" w14:textId="77777777" w:rsidR="007B485D" w:rsidRPr="00727DFA" w:rsidRDefault="007B485D" w:rsidP="002D6DD7">
            <w:pPr>
              <w:jc w:val="both"/>
              <w:rPr>
                <w:rFonts w:eastAsia="DengXian"/>
                <w:b/>
                <w:color w:val="000000" w:themeColor="text1"/>
                <w:szCs w:val="24"/>
              </w:rPr>
            </w:pPr>
            <w:r w:rsidRPr="00727DFA">
              <w:rPr>
                <w:rFonts w:eastAsia="DengXian"/>
                <w:b/>
                <w:color w:val="000000" w:themeColor="text1"/>
                <w:szCs w:val="24"/>
              </w:rPr>
              <w:t xml:space="preserve">Respiratory tract infections (including Community acquired pneumonia), otitis media, skin and soft tissue infections: </w:t>
            </w:r>
          </w:p>
          <w:p w14:paraId="143E5C49" w14:textId="77777777" w:rsidR="007B485D" w:rsidRPr="00727DFA" w:rsidRDefault="007B485D" w:rsidP="002D6DD7">
            <w:pPr>
              <w:ind w:hanging="194"/>
              <w:jc w:val="both"/>
              <w:rPr>
                <w:rFonts w:eastAsia="DengXian"/>
                <w:bCs/>
                <w:color w:val="000000" w:themeColor="text1"/>
                <w:szCs w:val="24"/>
              </w:rPr>
            </w:pPr>
            <w:r w:rsidRPr="00727DFA">
              <w:rPr>
                <w:rFonts w:eastAsia="DengXian"/>
                <w:bCs/>
                <w:color w:val="000000" w:themeColor="text1"/>
                <w:szCs w:val="24"/>
              </w:rPr>
              <w:t xml:space="preserve">    </w:t>
            </w:r>
            <w:r w:rsidRPr="00727DFA">
              <w:rPr>
                <w:rFonts w:eastAsia="DengXian"/>
                <w:b/>
                <w:color w:val="000000" w:themeColor="text1"/>
                <w:szCs w:val="24"/>
              </w:rPr>
              <w:t>Adults</w:t>
            </w:r>
            <w:r w:rsidRPr="00727DFA">
              <w:rPr>
                <w:rFonts w:eastAsia="DengXian"/>
                <w:bCs/>
                <w:color w:val="000000" w:themeColor="text1"/>
                <w:szCs w:val="24"/>
              </w:rPr>
              <w:t xml:space="preserve">: 500 mg once daily for 3 days, alternatively initially 500 mg once daily for 1 day, then 250 mg once   daily for 4 days. </w:t>
            </w:r>
          </w:p>
          <w:p w14:paraId="37672B92" w14:textId="77777777" w:rsidR="007B485D" w:rsidRPr="00727DFA" w:rsidRDefault="007B485D" w:rsidP="002D6DD7">
            <w:pPr>
              <w:ind w:hanging="14"/>
              <w:jc w:val="both"/>
              <w:rPr>
                <w:rFonts w:eastAsia="DengXian"/>
                <w:bCs/>
                <w:color w:val="000000" w:themeColor="text1"/>
                <w:szCs w:val="24"/>
              </w:rPr>
            </w:pPr>
            <w:r w:rsidRPr="00727DFA">
              <w:rPr>
                <w:rFonts w:eastAsia="DengXian"/>
                <w:bCs/>
                <w:color w:val="000000" w:themeColor="text1"/>
                <w:szCs w:val="24"/>
              </w:rPr>
              <w:t xml:space="preserve"> </w:t>
            </w:r>
            <w:r w:rsidRPr="00727DFA">
              <w:rPr>
                <w:rFonts w:eastAsia="DengXian"/>
                <w:b/>
                <w:color w:val="000000" w:themeColor="text1"/>
                <w:szCs w:val="24"/>
              </w:rPr>
              <w:t>Child 6 months–17 years</w:t>
            </w:r>
            <w:r w:rsidRPr="00727DFA">
              <w:rPr>
                <w:rFonts w:eastAsia="DengXian"/>
                <w:bCs/>
                <w:color w:val="000000" w:themeColor="text1"/>
                <w:szCs w:val="24"/>
              </w:rPr>
              <w:t>: 10 mg/kg once daily (max. per dose 500 mg) for 3 days</w:t>
            </w:r>
          </w:p>
          <w:p w14:paraId="0BFF4BB8" w14:textId="77777777" w:rsidR="007B485D" w:rsidRPr="00727DFA" w:rsidRDefault="007B485D" w:rsidP="002D6DD7">
            <w:pPr>
              <w:jc w:val="both"/>
              <w:rPr>
                <w:rFonts w:eastAsia="DengXian"/>
                <w:b/>
                <w:color w:val="000000" w:themeColor="text1"/>
                <w:szCs w:val="24"/>
              </w:rPr>
            </w:pPr>
            <w:r w:rsidRPr="00727DFA">
              <w:rPr>
                <w:rFonts w:eastAsia="DengXian"/>
                <w:b/>
                <w:color w:val="000000" w:themeColor="text1"/>
                <w:szCs w:val="24"/>
              </w:rPr>
              <w:t>Bacterial exacerbation of COPD and Bacterial sinusitis:</w:t>
            </w:r>
          </w:p>
          <w:p w14:paraId="5C0896DA" w14:textId="77777777" w:rsidR="007B485D" w:rsidRPr="00727DFA" w:rsidRDefault="007B485D" w:rsidP="002D6DD7">
            <w:pPr>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500 mg/day for a</w:t>
            </w:r>
            <w:r w:rsidRPr="00727DFA">
              <w:rPr>
                <w:rFonts w:eastAsia="DengXian"/>
                <w:bCs/>
                <w:color w:val="000000" w:themeColor="text1"/>
                <w:spacing w:val="1"/>
                <w:szCs w:val="24"/>
              </w:rPr>
              <w:t xml:space="preserve"> </w:t>
            </w:r>
            <w:r w:rsidRPr="00727DFA">
              <w:rPr>
                <w:rFonts w:eastAsia="DengXian"/>
                <w:bCs/>
                <w:color w:val="000000" w:themeColor="text1"/>
                <w:szCs w:val="24"/>
              </w:rPr>
              <w:t xml:space="preserve">total of 3 days </w:t>
            </w:r>
          </w:p>
          <w:p w14:paraId="50900E33" w14:textId="77777777" w:rsidR="007B485D" w:rsidRPr="00727DFA" w:rsidRDefault="007B485D" w:rsidP="002D6DD7">
            <w:pPr>
              <w:jc w:val="both"/>
              <w:rPr>
                <w:rFonts w:eastAsia="DengXian"/>
                <w:b/>
                <w:color w:val="000000" w:themeColor="text1"/>
                <w:szCs w:val="24"/>
              </w:rPr>
            </w:pPr>
            <w:r w:rsidRPr="00727DFA">
              <w:rPr>
                <w:rFonts w:eastAsia="DengXian"/>
                <w:b/>
                <w:color w:val="000000" w:themeColor="text1"/>
                <w:szCs w:val="24"/>
              </w:rPr>
              <w:t>Urethritis, cervicitis and chancroid:</w:t>
            </w:r>
          </w:p>
          <w:p w14:paraId="417D8EAC" w14:textId="77777777" w:rsidR="007B485D" w:rsidRPr="00727DFA" w:rsidRDefault="007B485D" w:rsidP="002D6DD7">
            <w:pPr>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xml:space="preserve">: </w:t>
            </w:r>
            <w:r w:rsidRPr="00727DFA">
              <w:rPr>
                <w:rFonts w:eastAsia="DengXian"/>
                <w:bCs/>
                <w:color w:val="000000" w:themeColor="text1"/>
                <w:spacing w:val="1"/>
                <w:szCs w:val="24"/>
              </w:rPr>
              <w:t xml:space="preserve"> </w:t>
            </w:r>
            <w:r w:rsidRPr="00727DFA">
              <w:rPr>
                <w:rFonts w:eastAsia="DengXian"/>
                <w:bCs/>
                <w:color w:val="000000" w:themeColor="text1"/>
                <w:szCs w:val="24"/>
              </w:rPr>
              <w:t>1</w:t>
            </w:r>
            <w:r>
              <w:rPr>
                <w:rFonts w:eastAsia="DengXian"/>
                <w:bCs/>
                <w:color w:val="000000" w:themeColor="text1"/>
                <w:szCs w:val="24"/>
              </w:rPr>
              <w:t>-2</w:t>
            </w:r>
            <w:r w:rsidRPr="00727DFA">
              <w:rPr>
                <w:rFonts w:eastAsia="DengXian"/>
                <w:bCs/>
                <w:color w:val="000000" w:themeColor="text1"/>
                <w:spacing w:val="1"/>
                <w:szCs w:val="24"/>
              </w:rPr>
              <w:t xml:space="preserve"> </w:t>
            </w:r>
            <w:r w:rsidRPr="00727DFA">
              <w:rPr>
                <w:rFonts w:eastAsia="DengXian"/>
                <w:bCs/>
                <w:color w:val="000000" w:themeColor="text1"/>
                <w:szCs w:val="24"/>
              </w:rPr>
              <w:t>g</w:t>
            </w:r>
            <w:r w:rsidRPr="00727DFA">
              <w:rPr>
                <w:rFonts w:eastAsia="DengXian"/>
                <w:bCs/>
                <w:color w:val="000000" w:themeColor="text1"/>
                <w:spacing w:val="1"/>
                <w:szCs w:val="24"/>
              </w:rPr>
              <w:t xml:space="preserve"> </w:t>
            </w:r>
            <w:r w:rsidRPr="00727DFA">
              <w:rPr>
                <w:rFonts w:eastAsia="DengXian"/>
                <w:bCs/>
                <w:color w:val="000000" w:themeColor="text1"/>
                <w:szCs w:val="24"/>
              </w:rPr>
              <w:t>as</w:t>
            </w:r>
            <w:r w:rsidRPr="00727DFA">
              <w:rPr>
                <w:rFonts w:eastAsia="DengXian"/>
                <w:bCs/>
                <w:color w:val="000000" w:themeColor="text1"/>
                <w:spacing w:val="1"/>
                <w:szCs w:val="24"/>
              </w:rPr>
              <w:t xml:space="preserve"> </w:t>
            </w:r>
            <w:r w:rsidRPr="00727DFA">
              <w:rPr>
                <w:rFonts w:eastAsia="DengXian"/>
                <w:bCs/>
                <w:color w:val="000000" w:themeColor="text1"/>
                <w:szCs w:val="24"/>
              </w:rPr>
              <w:t>a</w:t>
            </w:r>
            <w:r w:rsidRPr="00727DFA">
              <w:rPr>
                <w:rFonts w:eastAsia="DengXian"/>
                <w:bCs/>
                <w:color w:val="000000" w:themeColor="text1"/>
                <w:spacing w:val="1"/>
                <w:szCs w:val="24"/>
              </w:rPr>
              <w:t xml:space="preserve"> </w:t>
            </w:r>
            <w:r w:rsidRPr="00727DFA">
              <w:rPr>
                <w:rFonts w:eastAsia="DengXian"/>
                <w:bCs/>
                <w:color w:val="000000" w:themeColor="text1"/>
                <w:szCs w:val="24"/>
              </w:rPr>
              <w:t>single</w:t>
            </w:r>
            <w:r w:rsidRPr="00727DFA">
              <w:rPr>
                <w:rFonts w:eastAsia="DengXian"/>
                <w:bCs/>
                <w:color w:val="000000" w:themeColor="text1"/>
                <w:spacing w:val="1"/>
                <w:szCs w:val="24"/>
              </w:rPr>
              <w:t xml:space="preserve"> </w:t>
            </w:r>
            <w:r w:rsidRPr="00727DFA">
              <w:rPr>
                <w:rFonts w:eastAsia="DengXian"/>
                <w:bCs/>
                <w:color w:val="000000" w:themeColor="text1"/>
                <w:szCs w:val="24"/>
              </w:rPr>
              <w:t>dose</w:t>
            </w:r>
          </w:p>
          <w:p w14:paraId="08D735A7" w14:textId="77777777" w:rsidR="007B485D" w:rsidRPr="00727DFA" w:rsidRDefault="007B485D" w:rsidP="002D6DD7">
            <w:pPr>
              <w:jc w:val="both"/>
              <w:rPr>
                <w:rFonts w:eastAsia="DengXian"/>
                <w:b/>
                <w:color w:val="000000" w:themeColor="text1"/>
                <w:szCs w:val="24"/>
              </w:rPr>
            </w:pPr>
            <w:r w:rsidRPr="00727DFA">
              <w:rPr>
                <w:rFonts w:eastAsia="DengXian"/>
                <w:b/>
                <w:color w:val="000000" w:themeColor="text1"/>
                <w:szCs w:val="24"/>
              </w:rPr>
              <w:t>Prevention of secondary case of invasive group A streptococcal infection in patients who are allergic to penicillin:</w:t>
            </w:r>
          </w:p>
          <w:p w14:paraId="433200FD" w14:textId="77777777" w:rsidR="007B485D" w:rsidRPr="00727DFA" w:rsidRDefault="007B485D" w:rsidP="002D6DD7">
            <w:pPr>
              <w:jc w:val="both"/>
              <w:rPr>
                <w:rFonts w:eastAsia="DengXian"/>
                <w:bCs/>
                <w:color w:val="000000" w:themeColor="text1"/>
                <w:szCs w:val="24"/>
              </w:rPr>
            </w:pPr>
            <w:r w:rsidRPr="00727DFA">
              <w:rPr>
                <w:rFonts w:eastAsia="DengXian"/>
                <w:b/>
                <w:color w:val="000000" w:themeColor="text1"/>
                <w:szCs w:val="24"/>
              </w:rPr>
              <w:t xml:space="preserve">Adult and child 12 – 17 years: </w:t>
            </w:r>
            <w:r w:rsidRPr="00727DFA">
              <w:rPr>
                <w:rFonts w:eastAsia="DengXian"/>
                <w:bCs/>
                <w:color w:val="000000" w:themeColor="text1"/>
                <w:szCs w:val="24"/>
              </w:rPr>
              <w:t>500mg once daily for 5 days.</w:t>
            </w:r>
          </w:p>
          <w:p w14:paraId="705CC206" w14:textId="77777777" w:rsidR="007B485D" w:rsidRPr="00727DFA" w:rsidRDefault="007B485D" w:rsidP="002D6DD7">
            <w:pPr>
              <w:jc w:val="both"/>
              <w:rPr>
                <w:rFonts w:eastAsia="DengXian"/>
                <w:bCs/>
                <w:color w:val="000000" w:themeColor="text1"/>
                <w:szCs w:val="24"/>
              </w:rPr>
            </w:pPr>
            <w:r w:rsidRPr="00727DFA">
              <w:rPr>
                <w:rFonts w:eastAsia="DengXian"/>
                <w:b/>
                <w:color w:val="000000" w:themeColor="text1"/>
                <w:szCs w:val="24"/>
              </w:rPr>
              <w:t>Child 6 months–11 years:</w:t>
            </w:r>
            <w:r w:rsidRPr="00727DFA">
              <w:rPr>
                <w:rFonts w:eastAsia="DengXian"/>
                <w:bCs/>
                <w:color w:val="000000" w:themeColor="text1"/>
                <w:szCs w:val="24"/>
              </w:rPr>
              <w:t xml:space="preserve"> 12 mg/kg once daily (max. per dose 500 mg) for 5 days </w:t>
            </w:r>
          </w:p>
        </w:tc>
      </w:tr>
      <w:tr w:rsidR="007B485D" w:rsidRPr="00727DFA" w14:paraId="5CA56F00"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6F1B7B36"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Contraindications</w:t>
            </w:r>
          </w:p>
        </w:tc>
        <w:tc>
          <w:tcPr>
            <w:tcW w:w="6570" w:type="dxa"/>
            <w:tcBorders>
              <w:top w:val="single" w:sz="4" w:space="0" w:color="auto"/>
              <w:left w:val="single" w:sz="4" w:space="0" w:color="auto"/>
              <w:bottom w:val="single" w:sz="4" w:space="0" w:color="auto"/>
              <w:right w:val="single" w:sz="4" w:space="0" w:color="auto"/>
            </w:tcBorders>
            <w:hideMark/>
          </w:tcPr>
          <w:p w14:paraId="0C52B990"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Cs/>
                <w:color w:val="000000" w:themeColor="text1"/>
                <w:szCs w:val="24"/>
              </w:rPr>
              <w:t>Hypersensitivity to</w:t>
            </w:r>
            <w:r>
              <w:rPr>
                <w:rFonts w:eastAsia="DengXian"/>
                <w:bCs/>
                <w:color w:val="000000" w:themeColor="text1"/>
                <w:szCs w:val="24"/>
              </w:rPr>
              <w:t xml:space="preserve"> the drug or other</w:t>
            </w:r>
            <w:r w:rsidRPr="00727DFA">
              <w:rPr>
                <w:rFonts w:eastAsia="DengXian"/>
                <w:bCs/>
                <w:color w:val="000000" w:themeColor="text1"/>
                <w:szCs w:val="24"/>
              </w:rPr>
              <w:t xml:space="preserve"> macrolide antibiotics,</w:t>
            </w:r>
            <w:r w:rsidRPr="00727DFA">
              <w:rPr>
                <w:rFonts w:eastAsia="DengXian"/>
                <w:bCs/>
                <w:szCs w:val="24"/>
              </w:rPr>
              <w:t xml:space="preserve"> </w:t>
            </w:r>
            <w:r w:rsidRPr="00727DFA">
              <w:rPr>
                <w:rFonts w:eastAsia="DengXian"/>
                <w:bCs/>
                <w:color w:val="000000" w:themeColor="text1"/>
                <w:szCs w:val="24"/>
              </w:rPr>
              <w:t>history of cholestatic jaundice</w:t>
            </w:r>
            <w:r>
              <w:rPr>
                <w:rFonts w:eastAsia="DengXian"/>
                <w:bCs/>
                <w:color w:val="000000" w:themeColor="text1"/>
                <w:szCs w:val="24"/>
              </w:rPr>
              <w:t xml:space="preserve">, </w:t>
            </w:r>
            <w:r w:rsidRPr="00727DFA">
              <w:rPr>
                <w:rFonts w:eastAsia="DengXian"/>
                <w:bCs/>
                <w:color w:val="000000" w:themeColor="text1"/>
                <w:szCs w:val="24"/>
              </w:rPr>
              <w:t>hepatic dysfunction associated with prior use of azithromycin</w:t>
            </w:r>
            <w:r>
              <w:rPr>
                <w:rFonts w:eastAsia="DengXian"/>
                <w:bCs/>
                <w:color w:val="000000" w:themeColor="text1"/>
                <w:szCs w:val="24"/>
              </w:rPr>
              <w:t>.</w:t>
            </w:r>
            <w:r w:rsidRPr="00727DFA">
              <w:rPr>
                <w:rFonts w:eastAsia="DengXian"/>
                <w:bCs/>
                <w:color w:val="000000" w:themeColor="text1"/>
                <w:szCs w:val="24"/>
              </w:rPr>
              <w:t xml:space="preserve"> </w:t>
            </w:r>
          </w:p>
        </w:tc>
      </w:tr>
      <w:tr w:rsidR="007B485D" w:rsidRPr="00727DFA" w14:paraId="628AD63C"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51A03ADA"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Drug interactions</w:t>
            </w:r>
          </w:p>
        </w:tc>
        <w:tc>
          <w:tcPr>
            <w:tcW w:w="6570" w:type="dxa"/>
            <w:tcBorders>
              <w:top w:val="single" w:sz="4" w:space="0" w:color="auto"/>
              <w:left w:val="single" w:sz="4" w:space="0" w:color="auto"/>
              <w:bottom w:val="single" w:sz="4" w:space="0" w:color="auto"/>
              <w:right w:val="single" w:sz="4" w:space="0" w:color="auto"/>
            </w:tcBorders>
            <w:hideMark/>
          </w:tcPr>
          <w:p w14:paraId="0AFE8D99"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Quinidine, amiodarone, chloroquine, efavirenz, ergot</w:t>
            </w:r>
            <w:r w:rsidRPr="00727DFA">
              <w:rPr>
                <w:rFonts w:eastAsia="DengXian"/>
                <w:bCs/>
                <w:color w:val="000000" w:themeColor="text1"/>
                <w:spacing w:val="1"/>
                <w:szCs w:val="24"/>
              </w:rPr>
              <w:t xml:space="preserve"> </w:t>
            </w:r>
            <w:r w:rsidRPr="00727DFA">
              <w:rPr>
                <w:rFonts w:eastAsia="DengXian"/>
                <w:bCs/>
                <w:color w:val="000000" w:themeColor="text1"/>
                <w:szCs w:val="24"/>
              </w:rPr>
              <w:t>alkaloids,</w:t>
            </w:r>
            <w:r w:rsidRPr="00727DFA">
              <w:rPr>
                <w:rFonts w:eastAsia="DengXian"/>
                <w:bCs/>
                <w:color w:val="000000" w:themeColor="text1"/>
                <w:spacing w:val="1"/>
                <w:szCs w:val="24"/>
              </w:rPr>
              <w:t xml:space="preserve"> </w:t>
            </w:r>
            <w:r w:rsidRPr="00727DFA">
              <w:rPr>
                <w:rFonts w:eastAsia="DengXian"/>
                <w:bCs/>
                <w:color w:val="000000" w:themeColor="text1"/>
                <w:szCs w:val="24"/>
              </w:rPr>
              <w:t>bromocriptine, carbamazepine, cyclosporine, digoxin, aluminum and magnesium containing antacids, oral contraceptives</w:t>
            </w:r>
            <w:r>
              <w:rPr>
                <w:rFonts w:eastAsia="DengXian"/>
                <w:bCs/>
                <w:color w:val="000000" w:themeColor="text1"/>
                <w:szCs w:val="24"/>
              </w:rPr>
              <w:t>.</w:t>
            </w:r>
            <w:r w:rsidRPr="00727DFA">
              <w:rPr>
                <w:rFonts w:eastAsia="DengXian"/>
                <w:bCs/>
                <w:color w:val="000000" w:themeColor="text1"/>
                <w:szCs w:val="24"/>
              </w:rPr>
              <w:t xml:space="preserve"> </w:t>
            </w:r>
          </w:p>
        </w:tc>
      </w:tr>
      <w:tr w:rsidR="007B485D" w:rsidRPr="00727DFA" w14:paraId="03683B8F"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0349A9B9"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Side effects</w:t>
            </w:r>
          </w:p>
        </w:tc>
        <w:tc>
          <w:tcPr>
            <w:tcW w:w="6570" w:type="dxa"/>
            <w:tcBorders>
              <w:top w:val="single" w:sz="4" w:space="0" w:color="auto"/>
              <w:left w:val="single" w:sz="4" w:space="0" w:color="auto"/>
              <w:bottom w:val="single" w:sz="4" w:space="0" w:color="auto"/>
              <w:right w:val="single" w:sz="4" w:space="0" w:color="auto"/>
            </w:tcBorders>
            <w:hideMark/>
          </w:tcPr>
          <w:p w14:paraId="3C00BD3A"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Cs/>
                <w:color w:val="000000" w:themeColor="text1"/>
                <w:szCs w:val="24"/>
              </w:rPr>
              <w:t>Arthralgia, diarrhea/loose stools, nausea, vomiting, abdominal pain, numbness, edema, photosensitivity, reaction, acute kidney injury, aggression, akathisia, hemolytic anemia, syncope, fulminant hepatitis leading to liver failure, prolonged cardiac repolarization and QT interval, cardiac arrhythmia, torsades de pointes</w:t>
            </w:r>
            <w:r>
              <w:rPr>
                <w:rFonts w:eastAsia="DengXian"/>
                <w:bCs/>
                <w:color w:val="000000" w:themeColor="text1"/>
                <w:szCs w:val="24"/>
              </w:rPr>
              <w:t>.</w:t>
            </w:r>
          </w:p>
        </w:tc>
      </w:tr>
      <w:tr w:rsidR="007B485D" w:rsidRPr="00727DFA" w14:paraId="13A83845"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50C18D21"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 xml:space="preserve">Cautions </w:t>
            </w:r>
          </w:p>
        </w:tc>
        <w:tc>
          <w:tcPr>
            <w:tcW w:w="6570" w:type="dxa"/>
            <w:tcBorders>
              <w:top w:val="single" w:sz="4" w:space="0" w:color="auto"/>
              <w:left w:val="single" w:sz="4" w:space="0" w:color="auto"/>
              <w:bottom w:val="single" w:sz="4" w:space="0" w:color="auto"/>
              <w:right w:val="single" w:sz="4" w:space="0" w:color="auto"/>
            </w:tcBorders>
            <w:hideMark/>
          </w:tcPr>
          <w:p w14:paraId="2C4FFCF6"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Cs/>
                <w:color w:val="000000" w:themeColor="text1"/>
                <w:szCs w:val="24"/>
              </w:rPr>
              <w:t>Hepatic</w:t>
            </w:r>
            <w:r w:rsidRPr="00727DFA">
              <w:rPr>
                <w:rFonts w:eastAsia="DengXian"/>
                <w:bCs/>
                <w:color w:val="000000" w:themeColor="text1"/>
                <w:spacing w:val="1"/>
                <w:szCs w:val="24"/>
              </w:rPr>
              <w:t xml:space="preserve"> </w:t>
            </w:r>
            <w:r w:rsidRPr="00727DFA">
              <w:rPr>
                <w:rFonts w:eastAsia="DengXian"/>
                <w:bCs/>
                <w:color w:val="000000" w:themeColor="text1"/>
                <w:szCs w:val="24"/>
              </w:rPr>
              <w:t>and</w:t>
            </w:r>
            <w:r w:rsidRPr="00727DFA">
              <w:rPr>
                <w:rFonts w:eastAsia="DengXian"/>
                <w:bCs/>
                <w:color w:val="000000" w:themeColor="text1"/>
                <w:spacing w:val="1"/>
                <w:szCs w:val="24"/>
              </w:rPr>
              <w:t xml:space="preserve"> </w:t>
            </w:r>
            <w:r w:rsidRPr="00727DFA">
              <w:rPr>
                <w:rFonts w:eastAsia="DengXian"/>
                <w:bCs/>
                <w:color w:val="000000" w:themeColor="text1"/>
                <w:szCs w:val="24"/>
              </w:rPr>
              <w:t>renal</w:t>
            </w:r>
            <w:r w:rsidRPr="00727DFA">
              <w:rPr>
                <w:rFonts w:eastAsia="DengXian"/>
                <w:bCs/>
                <w:color w:val="000000" w:themeColor="text1"/>
                <w:spacing w:val="1"/>
                <w:szCs w:val="24"/>
              </w:rPr>
              <w:t xml:space="preserve"> </w:t>
            </w:r>
            <w:r w:rsidRPr="00727DFA">
              <w:rPr>
                <w:rFonts w:eastAsia="DengXian"/>
                <w:bCs/>
                <w:color w:val="000000" w:themeColor="text1"/>
                <w:szCs w:val="24"/>
              </w:rPr>
              <w:t>impairment, pregnancy</w:t>
            </w:r>
            <w:r>
              <w:rPr>
                <w:rFonts w:eastAsia="DengXian"/>
                <w:bCs/>
                <w:color w:val="000000" w:themeColor="text1"/>
                <w:szCs w:val="24"/>
              </w:rPr>
              <w:t>,</w:t>
            </w:r>
            <w:r w:rsidRPr="00727DFA">
              <w:rPr>
                <w:rFonts w:eastAsia="DengXian"/>
                <w:bCs/>
                <w:color w:val="000000" w:themeColor="text1"/>
                <w:szCs w:val="24"/>
              </w:rPr>
              <w:t xml:space="preserve"> breastfeeding, myasthenia gravis, electrolyte disturbance</w:t>
            </w:r>
            <w:r>
              <w:rPr>
                <w:rFonts w:eastAsia="DengXian"/>
                <w:bCs/>
                <w:color w:val="000000" w:themeColor="text1"/>
                <w:szCs w:val="24"/>
              </w:rPr>
              <w:t xml:space="preserve"> (</w:t>
            </w:r>
            <w:r w:rsidRPr="00727DFA">
              <w:rPr>
                <w:rFonts w:eastAsia="DengXian"/>
                <w:bCs/>
                <w:color w:val="000000" w:themeColor="text1"/>
                <w:szCs w:val="24"/>
              </w:rPr>
              <w:t>hypokalemia and hypomagnesaemia</w:t>
            </w:r>
            <w:r>
              <w:rPr>
                <w:rFonts w:eastAsia="DengXian"/>
                <w:bCs/>
                <w:color w:val="000000" w:themeColor="text1"/>
                <w:szCs w:val="24"/>
              </w:rPr>
              <w:t>)</w:t>
            </w:r>
            <w:r w:rsidRPr="00727DFA">
              <w:rPr>
                <w:rFonts w:eastAsia="DengXian"/>
                <w:bCs/>
                <w:color w:val="000000" w:themeColor="text1"/>
                <w:szCs w:val="24"/>
              </w:rPr>
              <w:t xml:space="preserve">, </w:t>
            </w:r>
            <w:r>
              <w:rPr>
                <w:rFonts w:eastAsia="DengXian"/>
                <w:bCs/>
                <w:color w:val="000000" w:themeColor="text1"/>
                <w:szCs w:val="24"/>
              </w:rPr>
              <w:t>cardiac disorders</w:t>
            </w:r>
            <w:r w:rsidRPr="00727DFA">
              <w:rPr>
                <w:rFonts w:eastAsia="DengXian"/>
                <w:bCs/>
                <w:color w:val="000000" w:themeColor="text1"/>
                <w:szCs w:val="24"/>
              </w:rPr>
              <w:t>, congenital or documented prolongation of QT interval</w:t>
            </w:r>
            <w:r>
              <w:rPr>
                <w:rFonts w:eastAsia="DengXian"/>
                <w:bCs/>
                <w:color w:val="000000" w:themeColor="text1"/>
                <w:szCs w:val="24"/>
              </w:rPr>
              <w:t>.</w:t>
            </w:r>
          </w:p>
        </w:tc>
      </w:tr>
      <w:tr w:rsidR="007B485D" w:rsidRPr="00727DFA" w14:paraId="2C213608"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37836CCF"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Storage condition</w:t>
            </w:r>
          </w:p>
        </w:tc>
        <w:tc>
          <w:tcPr>
            <w:tcW w:w="6570" w:type="dxa"/>
            <w:tcBorders>
              <w:top w:val="single" w:sz="4" w:space="0" w:color="auto"/>
              <w:left w:val="single" w:sz="4" w:space="0" w:color="auto"/>
              <w:bottom w:val="single" w:sz="4" w:space="0" w:color="auto"/>
              <w:right w:val="single" w:sz="4" w:space="0" w:color="auto"/>
            </w:tcBorders>
            <w:hideMark/>
          </w:tcPr>
          <w:p w14:paraId="47F20E73" w14:textId="77777777" w:rsidR="007B485D" w:rsidRPr="00727DFA" w:rsidRDefault="007B485D" w:rsidP="002D6DD7">
            <w:pPr>
              <w:jc w:val="both"/>
              <w:rPr>
                <w:rFonts w:eastAsia="DengXian"/>
                <w:bCs/>
                <w:color w:val="000000" w:themeColor="text1"/>
                <w:szCs w:val="24"/>
              </w:rPr>
            </w:pPr>
            <w:r w:rsidRPr="00727DFA">
              <w:rPr>
                <w:rFonts w:eastAsia="Times New Roman"/>
                <w:bCs/>
                <w:color w:val="000000" w:themeColor="text1"/>
                <w:szCs w:val="24"/>
              </w:rPr>
              <w:t>Store below 30°C</w:t>
            </w:r>
            <w:r>
              <w:rPr>
                <w:rFonts w:eastAsia="Times New Roman"/>
                <w:bCs/>
                <w:color w:val="000000" w:themeColor="text1"/>
                <w:szCs w:val="24"/>
              </w:rPr>
              <w:t>.</w:t>
            </w:r>
          </w:p>
        </w:tc>
      </w:tr>
      <w:tr w:rsidR="007B485D" w:rsidRPr="00727DFA" w14:paraId="7A30F0BA"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1122AC19" w14:textId="77777777" w:rsidR="007B485D" w:rsidRPr="00727DFA" w:rsidRDefault="007B485D" w:rsidP="002D6DD7">
            <w:pPr>
              <w:jc w:val="both"/>
              <w:rPr>
                <w:rFonts w:eastAsia="DengXian"/>
                <w:b/>
                <w:color w:val="000000" w:themeColor="text1"/>
                <w:szCs w:val="24"/>
              </w:rPr>
            </w:pPr>
            <w:r w:rsidRPr="00587263">
              <w:rPr>
                <w:rFonts w:eastAsia="DengXian"/>
                <w:b/>
                <w:color w:val="000000" w:themeColor="text1"/>
                <w:szCs w:val="24"/>
              </w:rPr>
              <w:t xml:space="preserve">Clarithromycin </w:t>
            </w:r>
            <w:r w:rsidRPr="00873AF2">
              <w:rPr>
                <w:rFonts w:eastAsia="DengXian"/>
                <w:b/>
                <w:color w:val="000000" w:themeColor="text1"/>
                <w:szCs w:val="24"/>
              </w:rPr>
              <w:t>(watch)</w:t>
            </w:r>
          </w:p>
        </w:tc>
      </w:tr>
      <w:tr w:rsidR="007B485D" w:rsidRPr="00727DFA" w14:paraId="27069225"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429011DF"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Pharmacological class</w:t>
            </w:r>
          </w:p>
        </w:tc>
        <w:tc>
          <w:tcPr>
            <w:tcW w:w="6570" w:type="dxa"/>
            <w:tcBorders>
              <w:top w:val="single" w:sz="4" w:space="0" w:color="auto"/>
              <w:left w:val="single" w:sz="4" w:space="0" w:color="auto"/>
              <w:bottom w:val="single" w:sz="4" w:space="0" w:color="auto"/>
              <w:right w:val="single" w:sz="4" w:space="0" w:color="auto"/>
            </w:tcBorders>
            <w:hideMark/>
          </w:tcPr>
          <w:p w14:paraId="2C0A6D0F"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Macrolide</w:t>
            </w:r>
          </w:p>
        </w:tc>
      </w:tr>
      <w:tr w:rsidR="007B485D" w:rsidRPr="00810924" w14:paraId="0E6B3CA7"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42216A09"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Dose and administration</w:t>
            </w:r>
          </w:p>
        </w:tc>
        <w:tc>
          <w:tcPr>
            <w:tcW w:w="6570" w:type="dxa"/>
            <w:tcBorders>
              <w:top w:val="single" w:sz="4" w:space="0" w:color="auto"/>
              <w:left w:val="single" w:sz="4" w:space="0" w:color="auto"/>
              <w:bottom w:val="single" w:sz="4" w:space="0" w:color="auto"/>
              <w:right w:val="single" w:sz="4" w:space="0" w:color="auto"/>
            </w:tcBorders>
            <w:hideMark/>
          </w:tcPr>
          <w:p w14:paraId="16EDB7E2"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Powder for Oral suspension: 125mg/5ml, 250mg/5ml</w:t>
            </w:r>
          </w:p>
          <w:p w14:paraId="38B4200F" w14:textId="77777777" w:rsidR="007B485D" w:rsidRPr="00727DFA" w:rsidRDefault="007B485D" w:rsidP="002D6DD7">
            <w:pPr>
              <w:jc w:val="both"/>
              <w:rPr>
                <w:rFonts w:eastAsia="DengXian"/>
                <w:bCs/>
                <w:color w:val="000000" w:themeColor="text1"/>
                <w:szCs w:val="24"/>
                <w:lang w:val="nb-NO"/>
              </w:rPr>
            </w:pPr>
            <w:r w:rsidRPr="00727DFA">
              <w:rPr>
                <w:rFonts w:eastAsia="DengXian"/>
                <w:bCs/>
                <w:color w:val="000000" w:themeColor="text1"/>
                <w:szCs w:val="24"/>
                <w:lang w:val="nb-NO"/>
              </w:rPr>
              <w:t xml:space="preserve">Tablet: 250mg, 500mg </w:t>
            </w:r>
          </w:p>
          <w:p w14:paraId="713EB9CF" w14:textId="77777777" w:rsidR="007B485D" w:rsidRPr="00727DFA" w:rsidRDefault="007B485D" w:rsidP="002D6DD7">
            <w:pPr>
              <w:jc w:val="both"/>
              <w:rPr>
                <w:rFonts w:eastAsia="DengXian"/>
                <w:bCs/>
                <w:color w:val="000000" w:themeColor="text1"/>
                <w:szCs w:val="24"/>
                <w:lang w:val="nb-NO"/>
              </w:rPr>
            </w:pPr>
            <w:r w:rsidRPr="00727DFA">
              <w:rPr>
                <w:rFonts w:eastAsia="DengXian"/>
                <w:bCs/>
                <w:color w:val="000000" w:themeColor="text1"/>
                <w:szCs w:val="24"/>
                <w:lang w:val="nb-NO"/>
              </w:rPr>
              <w:t>Powder for IV infusion: 500mg/vial</w:t>
            </w:r>
          </w:p>
        </w:tc>
      </w:tr>
      <w:tr w:rsidR="007B485D" w:rsidRPr="00727DFA" w14:paraId="2C02A796"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43028F49" w14:textId="77777777" w:rsidR="007B485D" w:rsidRPr="00727DFA" w:rsidRDefault="007B485D" w:rsidP="002D6DD7">
            <w:pPr>
              <w:jc w:val="both"/>
              <w:rPr>
                <w:rFonts w:eastAsia="DengXian"/>
                <w:bCs/>
                <w:color w:val="000000" w:themeColor="text1"/>
                <w:szCs w:val="24"/>
              </w:rPr>
            </w:pPr>
            <w:r w:rsidRPr="00873AF2">
              <w:rPr>
                <w:rFonts w:eastAsia="DengXian"/>
                <w:bCs/>
                <w:color w:val="000000" w:themeColor="text1"/>
                <w:szCs w:val="24"/>
              </w:rPr>
              <w:t>Indications</w:t>
            </w:r>
          </w:p>
        </w:tc>
        <w:tc>
          <w:tcPr>
            <w:tcW w:w="6570" w:type="dxa"/>
            <w:tcBorders>
              <w:top w:val="single" w:sz="4" w:space="0" w:color="auto"/>
              <w:left w:val="single" w:sz="4" w:space="0" w:color="auto"/>
              <w:bottom w:val="single" w:sz="4" w:space="0" w:color="auto"/>
              <w:right w:val="single" w:sz="4" w:space="0" w:color="auto"/>
            </w:tcBorders>
            <w:hideMark/>
          </w:tcPr>
          <w:p w14:paraId="543FBB56" w14:textId="77777777" w:rsidR="007B485D" w:rsidRPr="00727DFA" w:rsidRDefault="007B485D" w:rsidP="002D6DD7">
            <w:pPr>
              <w:jc w:val="both"/>
              <w:rPr>
                <w:rFonts w:eastAsia="DengXian"/>
                <w:bCs/>
                <w:color w:val="000000" w:themeColor="text1"/>
                <w:szCs w:val="24"/>
              </w:rPr>
            </w:pPr>
            <w:r w:rsidRPr="00727DFA">
              <w:rPr>
                <w:rFonts w:eastAsia="DengXian"/>
                <w:bCs/>
                <w:i/>
                <w:iCs/>
                <w:color w:val="000000" w:themeColor="text1"/>
                <w:szCs w:val="24"/>
              </w:rPr>
              <w:t>H. pylori</w:t>
            </w:r>
            <w:r w:rsidRPr="00727DFA">
              <w:rPr>
                <w:rFonts w:eastAsia="DengXian"/>
                <w:bCs/>
                <w:color w:val="000000" w:themeColor="text1"/>
                <w:szCs w:val="24"/>
              </w:rPr>
              <w:t xml:space="preserve"> eradication (in combination with other medicines), respiratory tract infections/pneumonia, mild to moderate skin and soft tissue infections, mild diabetic foot infection, leg ulcer infection, cellulitis, erysipelas, impetigo</w:t>
            </w:r>
            <w:r>
              <w:rPr>
                <w:rFonts w:eastAsia="DengXian"/>
                <w:bCs/>
                <w:color w:val="000000" w:themeColor="text1"/>
                <w:szCs w:val="24"/>
              </w:rPr>
              <w:t>.</w:t>
            </w:r>
          </w:p>
        </w:tc>
      </w:tr>
      <w:tr w:rsidR="007B485D" w:rsidRPr="00727DFA" w14:paraId="5A6F3D82"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7CE3FB0F"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 xml:space="preserve">Dose and </w:t>
            </w:r>
            <w:r>
              <w:rPr>
                <w:rFonts w:eastAsia="DengXian"/>
                <w:bCs/>
                <w:color w:val="000000" w:themeColor="text1"/>
                <w:szCs w:val="24"/>
              </w:rPr>
              <w:t>a</w:t>
            </w:r>
            <w:r w:rsidRPr="00727DFA">
              <w:rPr>
                <w:rFonts w:eastAsia="DengXian"/>
                <w:bCs/>
                <w:color w:val="000000" w:themeColor="text1"/>
                <w:szCs w:val="24"/>
              </w:rPr>
              <w:t>dministration</w:t>
            </w:r>
          </w:p>
        </w:tc>
        <w:tc>
          <w:tcPr>
            <w:tcW w:w="6570" w:type="dxa"/>
            <w:tcBorders>
              <w:top w:val="single" w:sz="4" w:space="0" w:color="auto"/>
              <w:left w:val="single" w:sz="4" w:space="0" w:color="auto"/>
              <w:bottom w:val="single" w:sz="4" w:space="0" w:color="auto"/>
              <w:right w:val="single" w:sz="4" w:space="0" w:color="auto"/>
            </w:tcBorders>
            <w:hideMark/>
          </w:tcPr>
          <w:p w14:paraId="512358EC" w14:textId="77777777" w:rsidR="007B485D" w:rsidRPr="00727DFA" w:rsidRDefault="007B485D" w:rsidP="002D6DD7">
            <w:pPr>
              <w:autoSpaceDE w:val="0"/>
              <w:autoSpaceDN w:val="0"/>
              <w:adjustRightInd w:val="0"/>
              <w:jc w:val="both"/>
              <w:rPr>
                <w:rFonts w:eastAsia="DengXian"/>
                <w:b/>
                <w:i/>
                <w:iCs/>
                <w:color w:val="000000" w:themeColor="text1"/>
                <w:szCs w:val="24"/>
              </w:rPr>
            </w:pPr>
            <w:r w:rsidRPr="00727DFA">
              <w:rPr>
                <w:rFonts w:eastAsia="DengXian"/>
                <w:b/>
                <w:color w:val="000000" w:themeColor="text1"/>
                <w:szCs w:val="24"/>
              </w:rPr>
              <w:t>Oral:</w:t>
            </w:r>
          </w:p>
          <w:p w14:paraId="541733EB"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i/>
                <w:iCs/>
                <w:color w:val="000000" w:themeColor="text1"/>
                <w:szCs w:val="24"/>
              </w:rPr>
              <w:t>H. pylori</w:t>
            </w:r>
            <w:r w:rsidRPr="00727DFA">
              <w:rPr>
                <w:rFonts w:eastAsia="DengXian"/>
                <w:b/>
                <w:color w:val="000000" w:themeColor="text1"/>
                <w:szCs w:val="24"/>
              </w:rPr>
              <w:t xml:space="preserve"> eradication</w:t>
            </w:r>
            <w:r w:rsidRPr="00727DFA">
              <w:rPr>
                <w:rFonts w:eastAsia="DengXian"/>
                <w:bCs/>
                <w:color w:val="000000" w:themeColor="text1"/>
                <w:szCs w:val="24"/>
              </w:rPr>
              <w:t xml:space="preserve"> (in combination with other medicines):</w:t>
            </w:r>
          </w:p>
          <w:p w14:paraId="192FA493"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500 mg twice daily for 7 – 14 days</w:t>
            </w:r>
            <w:r>
              <w:rPr>
                <w:rFonts w:eastAsia="DengXian"/>
                <w:bCs/>
                <w:color w:val="000000" w:themeColor="text1"/>
                <w:szCs w:val="24"/>
              </w:rPr>
              <w:t>,</w:t>
            </w:r>
            <w:r w:rsidRPr="00727DFA">
              <w:rPr>
                <w:rFonts w:eastAsia="DengXian"/>
                <w:bCs/>
                <w:color w:val="000000" w:themeColor="text1"/>
                <w:szCs w:val="24"/>
              </w:rPr>
              <w:t xml:space="preserve"> eradication therapy</w:t>
            </w:r>
          </w:p>
          <w:p w14:paraId="53C96BF3"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Community-acquired pneumonia:</w:t>
            </w:r>
          </w:p>
          <w:p w14:paraId="713F2D3B"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xml:space="preserve"> 500 mg twice daily</w:t>
            </w:r>
          </w:p>
          <w:p w14:paraId="1FB7161D"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 xml:space="preserve">Child </w:t>
            </w:r>
            <w:r>
              <w:rPr>
                <w:rFonts w:eastAsia="DengXian"/>
                <w:b/>
                <w:color w:val="000000" w:themeColor="text1"/>
                <w:szCs w:val="24"/>
              </w:rPr>
              <w:t>&gt;3 months</w:t>
            </w:r>
            <w:r w:rsidRPr="00727DFA">
              <w:rPr>
                <w:rFonts w:eastAsia="DengXian"/>
                <w:bCs/>
                <w:color w:val="000000" w:themeColor="text1"/>
                <w:szCs w:val="24"/>
              </w:rPr>
              <w:t>:</w:t>
            </w:r>
            <w:r>
              <w:rPr>
                <w:rFonts w:eastAsia="DengXian"/>
                <w:bCs/>
                <w:color w:val="000000" w:themeColor="text1"/>
                <w:szCs w:val="24"/>
              </w:rPr>
              <w:t xml:space="preserve"> 15 mg/kg/day in 2 divided doses</w:t>
            </w:r>
            <w:r w:rsidRPr="00727DFA">
              <w:rPr>
                <w:rFonts w:eastAsia="DengXian"/>
                <w:bCs/>
                <w:color w:val="000000" w:themeColor="text1"/>
                <w:szCs w:val="24"/>
              </w:rPr>
              <w:t xml:space="preserve"> </w:t>
            </w:r>
          </w:p>
          <w:p w14:paraId="4DD81CBE" w14:textId="77777777" w:rsidR="007B485D" w:rsidRDefault="007B485D" w:rsidP="002D6DD7">
            <w:pPr>
              <w:jc w:val="both"/>
              <w:rPr>
                <w:rFonts w:eastAsia="DengXian"/>
                <w:b/>
                <w:color w:val="000000" w:themeColor="text1"/>
                <w:szCs w:val="24"/>
              </w:rPr>
            </w:pPr>
            <w:r w:rsidRPr="00727DFA">
              <w:rPr>
                <w:rFonts w:eastAsia="DengXian"/>
                <w:b/>
                <w:color w:val="000000" w:themeColor="text1"/>
                <w:szCs w:val="24"/>
              </w:rPr>
              <w:t>Hospital-acquired pneumonia:</w:t>
            </w:r>
          </w:p>
          <w:p w14:paraId="76D3866D" w14:textId="77777777" w:rsidR="007B485D" w:rsidRPr="00873AF2" w:rsidRDefault="007B485D" w:rsidP="002D6DD7">
            <w:pPr>
              <w:jc w:val="both"/>
              <w:rPr>
                <w:rFonts w:eastAsia="DengXian"/>
                <w:bCs/>
                <w:color w:val="000000" w:themeColor="text1"/>
                <w:szCs w:val="24"/>
              </w:rPr>
            </w:pPr>
            <w:r w:rsidRPr="00731B4C">
              <w:rPr>
                <w:rFonts w:eastAsia="DengXian"/>
                <w:b/>
                <w:color w:val="000000" w:themeColor="text1"/>
                <w:szCs w:val="24"/>
              </w:rPr>
              <w:t xml:space="preserve">Child 1 month–11 years (body-weight 30–40 kg): </w:t>
            </w:r>
            <w:r w:rsidRPr="00873AF2">
              <w:rPr>
                <w:rFonts w:eastAsia="DengXian"/>
                <w:bCs/>
                <w:color w:val="000000" w:themeColor="text1"/>
                <w:szCs w:val="24"/>
              </w:rPr>
              <w:t>250 mg</w:t>
            </w:r>
            <w:r w:rsidRPr="00873AF2">
              <w:rPr>
                <w:rFonts w:eastAsia="DengXian"/>
                <w:bCs/>
                <w:color w:val="000000" w:themeColor="text1"/>
                <w:szCs w:val="24"/>
              </w:rPr>
              <w:br/>
              <w:t>twice daily for 5 days then review</w:t>
            </w:r>
          </w:p>
          <w:p w14:paraId="2BD908E6" w14:textId="77777777" w:rsidR="007B485D" w:rsidRPr="00727DFA" w:rsidRDefault="007B485D" w:rsidP="002D6DD7">
            <w:pPr>
              <w:jc w:val="both"/>
              <w:rPr>
                <w:rFonts w:eastAsia="DengXian"/>
                <w:bCs/>
                <w:color w:val="000000" w:themeColor="text1"/>
                <w:szCs w:val="24"/>
              </w:rPr>
            </w:pPr>
            <w:r w:rsidRPr="00727DFA">
              <w:rPr>
                <w:rFonts w:eastAsia="DengXian"/>
                <w:b/>
                <w:color w:val="000000" w:themeColor="text1"/>
                <w:szCs w:val="24"/>
              </w:rPr>
              <w:t>Child 12–17 years</w:t>
            </w:r>
            <w:r w:rsidRPr="00727DFA">
              <w:rPr>
                <w:rFonts w:eastAsia="DengXian"/>
                <w:bCs/>
                <w:color w:val="000000" w:themeColor="text1"/>
                <w:szCs w:val="24"/>
              </w:rPr>
              <w:t>: 500 mg twice daily for 5 days then review</w:t>
            </w:r>
          </w:p>
          <w:p w14:paraId="4037186D"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Respiratory-tract infections, mild to moderate skin and soft-</w:t>
            </w:r>
            <w:r w:rsidRPr="00727DFA">
              <w:rPr>
                <w:rFonts w:eastAsia="DengXian"/>
                <w:b/>
                <w:color w:val="000000" w:themeColor="text1"/>
                <w:szCs w:val="24"/>
              </w:rPr>
              <w:lastRenderedPageBreak/>
              <w:t>tissue infections:</w:t>
            </w:r>
          </w:p>
          <w:p w14:paraId="1CB0E245"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 and Child 12–17 years</w:t>
            </w:r>
            <w:r w:rsidRPr="00727DFA">
              <w:rPr>
                <w:rFonts w:eastAsia="DengXian"/>
                <w:bCs/>
                <w:color w:val="000000" w:themeColor="text1"/>
                <w:szCs w:val="24"/>
              </w:rPr>
              <w:t>: 250 mg twice daily increased to 500 mg twice daily (severe cases)</w:t>
            </w:r>
          </w:p>
          <w:p w14:paraId="48E52E48"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Acute exacerbation of COPD and bronchiectasis:</w:t>
            </w:r>
          </w:p>
          <w:p w14:paraId="1B2D695C"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500 mg twice daily</w:t>
            </w:r>
          </w:p>
          <w:p w14:paraId="382FA2CC"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Child 12–17 years</w:t>
            </w:r>
            <w:r w:rsidRPr="00727DFA">
              <w:rPr>
                <w:rFonts w:eastAsia="DengXian"/>
                <w:bCs/>
                <w:color w:val="000000" w:themeColor="text1"/>
                <w:szCs w:val="24"/>
              </w:rPr>
              <w:t>: 250–500 mg twice daily</w:t>
            </w:r>
          </w:p>
          <w:p w14:paraId="168544AD"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Acute cough, acute sore throat and acute otitis media:</w:t>
            </w:r>
          </w:p>
          <w:p w14:paraId="11A86F27"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 and Child 12–17 years</w:t>
            </w:r>
            <w:r w:rsidRPr="00727DFA">
              <w:rPr>
                <w:rFonts w:eastAsia="DengXian"/>
                <w:bCs/>
                <w:color w:val="000000" w:themeColor="text1"/>
                <w:szCs w:val="24"/>
              </w:rPr>
              <w:t>:  250–500 mg twice daily for 5 days</w:t>
            </w:r>
          </w:p>
          <w:p w14:paraId="05BCD788"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Prevention of pertussis:</w:t>
            </w:r>
          </w:p>
          <w:p w14:paraId="38A51DE6"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 and Child 12–17 years</w:t>
            </w:r>
            <w:r w:rsidRPr="00727DFA">
              <w:rPr>
                <w:rFonts w:eastAsia="DengXian"/>
                <w:bCs/>
                <w:color w:val="000000" w:themeColor="text1"/>
                <w:szCs w:val="24"/>
              </w:rPr>
              <w:t>: 500 mg twice daily for 7 days</w:t>
            </w:r>
          </w:p>
          <w:p w14:paraId="3178E1D0"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Mild diabetic foot infection, leg ulcer infection, cellulitis and erysipelas:</w:t>
            </w:r>
          </w:p>
          <w:p w14:paraId="057BB990"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500 mg twice daily</w:t>
            </w:r>
          </w:p>
          <w:p w14:paraId="768A8A59"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Child 12–17 years</w:t>
            </w:r>
            <w:r w:rsidRPr="00727DFA">
              <w:rPr>
                <w:rFonts w:eastAsia="DengXian"/>
                <w:bCs/>
                <w:color w:val="000000" w:themeColor="text1"/>
                <w:szCs w:val="24"/>
              </w:rPr>
              <w:t>: 250–500 mg twice daily</w:t>
            </w:r>
          </w:p>
          <w:p w14:paraId="3BEA6BA6" w14:textId="77777777" w:rsidR="007B485D" w:rsidRPr="00727DFA" w:rsidRDefault="007B485D" w:rsidP="002D6DD7">
            <w:pPr>
              <w:autoSpaceDE w:val="0"/>
              <w:autoSpaceDN w:val="0"/>
              <w:adjustRightInd w:val="0"/>
              <w:jc w:val="both"/>
              <w:rPr>
                <w:rFonts w:eastAsia="DengXian"/>
                <w:bCs/>
                <w:color w:val="000000" w:themeColor="text1"/>
                <w:szCs w:val="24"/>
              </w:rPr>
            </w:pPr>
            <w:r w:rsidRPr="00873AF2">
              <w:rPr>
                <w:rFonts w:eastAsia="DengXian"/>
                <w:b/>
                <w:color w:val="000000" w:themeColor="text1"/>
                <w:szCs w:val="24"/>
              </w:rPr>
              <w:t>I</w:t>
            </w:r>
            <w:r w:rsidRPr="00727DFA">
              <w:rPr>
                <w:rFonts w:eastAsia="DengXian"/>
                <w:b/>
                <w:color w:val="000000" w:themeColor="text1"/>
                <w:szCs w:val="24"/>
              </w:rPr>
              <w:t>mpetigo:</w:t>
            </w:r>
          </w:p>
          <w:p w14:paraId="2B3087C3"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 and Child 12–17 years</w:t>
            </w:r>
            <w:r w:rsidRPr="00727DFA">
              <w:rPr>
                <w:rFonts w:eastAsia="DengXian"/>
                <w:bCs/>
                <w:color w:val="000000" w:themeColor="text1"/>
                <w:szCs w:val="24"/>
              </w:rPr>
              <w:t xml:space="preserve">: 250 – 500 mg twice daily (higher dose for severe cases </w:t>
            </w:r>
          </w:p>
          <w:p w14:paraId="7FD5101D" w14:textId="77777777" w:rsidR="007B485D" w:rsidRPr="00727DFA" w:rsidRDefault="007B485D" w:rsidP="002D6DD7">
            <w:pPr>
              <w:autoSpaceDE w:val="0"/>
              <w:autoSpaceDN w:val="0"/>
              <w:adjustRightInd w:val="0"/>
              <w:jc w:val="both"/>
              <w:rPr>
                <w:rFonts w:eastAsia="DengXian"/>
                <w:b/>
                <w:color w:val="000000" w:themeColor="text1"/>
                <w:szCs w:val="24"/>
              </w:rPr>
            </w:pPr>
            <w:r w:rsidRPr="00727DFA">
              <w:rPr>
                <w:rFonts w:eastAsia="DengXian"/>
                <w:b/>
                <w:color w:val="000000" w:themeColor="text1"/>
                <w:szCs w:val="24"/>
              </w:rPr>
              <w:t>Acute sinusitis:</w:t>
            </w:r>
          </w:p>
          <w:p w14:paraId="2BD8254B"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w:t>
            </w:r>
            <w:r w:rsidRPr="00727DFA">
              <w:rPr>
                <w:rFonts w:eastAsia="DengXian"/>
                <w:bCs/>
                <w:color w:val="000000" w:themeColor="text1"/>
                <w:szCs w:val="24"/>
              </w:rPr>
              <w:t>: 500 mg twice daily for 5 days</w:t>
            </w:r>
          </w:p>
          <w:p w14:paraId="1E1B725C"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Child 12–17 years</w:t>
            </w:r>
            <w:r w:rsidRPr="00727DFA">
              <w:rPr>
                <w:rFonts w:eastAsia="DengXian"/>
                <w:bCs/>
                <w:color w:val="000000" w:themeColor="text1"/>
                <w:szCs w:val="24"/>
              </w:rPr>
              <w:t>: 250</w:t>
            </w:r>
            <w:r>
              <w:rPr>
                <w:rFonts w:eastAsia="DengXian"/>
                <w:bCs/>
                <w:color w:val="000000" w:themeColor="text1"/>
                <w:szCs w:val="24"/>
              </w:rPr>
              <w:t>-500</w:t>
            </w:r>
            <w:r w:rsidRPr="00727DFA">
              <w:rPr>
                <w:rFonts w:eastAsia="DengXian"/>
                <w:bCs/>
                <w:color w:val="000000" w:themeColor="text1"/>
                <w:szCs w:val="24"/>
              </w:rPr>
              <w:t xml:space="preserve"> mg twice daily </w:t>
            </w:r>
          </w:p>
          <w:p w14:paraId="1DFEEB2C"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IV</w:t>
            </w:r>
            <w:r w:rsidRPr="00727DFA">
              <w:rPr>
                <w:rFonts w:eastAsia="DengXian"/>
                <w:bCs/>
                <w:color w:val="000000" w:themeColor="text1"/>
                <w:szCs w:val="24"/>
              </w:rPr>
              <w:t>:</w:t>
            </w:r>
          </w:p>
          <w:p w14:paraId="5790AFDB"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Cs/>
                <w:color w:val="000000" w:themeColor="text1"/>
                <w:szCs w:val="24"/>
              </w:rPr>
              <w:t>I</w:t>
            </w:r>
            <w:r>
              <w:rPr>
                <w:rFonts w:eastAsia="DengXian"/>
                <w:bCs/>
                <w:color w:val="000000" w:themeColor="text1"/>
                <w:szCs w:val="24"/>
              </w:rPr>
              <w:t>V</w:t>
            </w:r>
            <w:r w:rsidRPr="00727DFA">
              <w:rPr>
                <w:rFonts w:eastAsia="DengXian"/>
                <w:bCs/>
                <w:color w:val="000000" w:themeColor="text1"/>
                <w:szCs w:val="24"/>
              </w:rPr>
              <w:t xml:space="preserve"> therapy may be given for 2 to 5 days and should be changed to oral clarithromycin therapy whenever possible.</w:t>
            </w:r>
          </w:p>
          <w:p w14:paraId="64B7393A"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Adults</w:t>
            </w:r>
            <w:r w:rsidRPr="00727DFA">
              <w:rPr>
                <w:rFonts w:eastAsia="DengXian"/>
                <w:bCs/>
                <w:color w:val="000000" w:themeColor="text1"/>
                <w:szCs w:val="24"/>
              </w:rPr>
              <w:t>: 1gram daily, divided into two 500 mg doses</w:t>
            </w:r>
          </w:p>
          <w:p w14:paraId="641B49A6" w14:textId="77777777" w:rsidR="007B485D" w:rsidRPr="00727DFA" w:rsidRDefault="007B485D" w:rsidP="002D6DD7">
            <w:pPr>
              <w:autoSpaceDE w:val="0"/>
              <w:autoSpaceDN w:val="0"/>
              <w:adjustRightInd w:val="0"/>
              <w:jc w:val="both"/>
              <w:rPr>
                <w:rFonts w:eastAsia="DengXian"/>
                <w:b/>
                <w:color w:val="000000" w:themeColor="text1"/>
                <w:szCs w:val="24"/>
              </w:rPr>
            </w:pPr>
            <w:r>
              <w:rPr>
                <w:rFonts w:eastAsia="DengXian"/>
                <w:b/>
                <w:color w:val="000000" w:themeColor="text1"/>
                <w:szCs w:val="24"/>
              </w:rPr>
              <w:t>Child</w:t>
            </w:r>
          </w:p>
          <w:p w14:paraId="05E54E82" w14:textId="77777777" w:rsidR="007B485D" w:rsidRPr="00727DFA" w:rsidRDefault="007B485D" w:rsidP="002D6DD7">
            <w:pPr>
              <w:autoSpaceDE w:val="0"/>
              <w:autoSpaceDN w:val="0"/>
              <w:adjustRightInd w:val="0"/>
              <w:jc w:val="both"/>
              <w:rPr>
                <w:rFonts w:eastAsia="DengXian"/>
                <w:bCs/>
                <w:color w:val="000000" w:themeColor="text1"/>
                <w:szCs w:val="24"/>
              </w:rPr>
            </w:pPr>
            <w:r w:rsidRPr="00873AF2">
              <w:rPr>
                <w:rFonts w:eastAsia="DengXian"/>
                <w:b/>
                <w:color w:val="000000" w:themeColor="text1"/>
                <w:szCs w:val="24"/>
              </w:rPr>
              <w:t>Child</w:t>
            </w:r>
            <w:r>
              <w:rPr>
                <w:rFonts w:eastAsia="DengXian"/>
                <w:b/>
                <w:color w:val="000000" w:themeColor="text1"/>
                <w:szCs w:val="24"/>
              </w:rPr>
              <w:t xml:space="preserve"> </w:t>
            </w:r>
            <w:r w:rsidRPr="00873AF2">
              <w:rPr>
                <w:rFonts w:eastAsia="DengXian"/>
                <w:b/>
                <w:color w:val="000000" w:themeColor="text1"/>
                <w:szCs w:val="24"/>
              </w:rPr>
              <w:t>older than 12 years</w:t>
            </w:r>
            <w:r w:rsidRPr="00727DFA">
              <w:rPr>
                <w:rFonts w:eastAsia="DengXian"/>
                <w:bCs/>
                <w:color w:val="000000" w:themeColor="text1"/>
                <w:szCs w:val="24"/>
              </w:rPr>
              <w:t>: As for adults.</w:t>
            </w:r>
          </w:p>
          <w:p w14:paraId="4901859A"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
                <w:color w:val="000000" w:themeColor="text1"/>
                <w:szCs w:val="24"/>
              </w:rPr>
              <w:t>Note:</w:t>
            </w:r>
            <w:r w:rsidRPr="00727DFA">
              <w:rPr>
                <w:rFonts w:eastAsia="DengXian"/>
                <w:bCs/>
                <w:color w:val="000000" w:themeColor="text1"/>
                <w:szCs w:val="24"/>
              </w:rPr>
              <w:t xml:space="preserve"> Use of clarithromycin IV for children younger than 12 years is not recommended for children younger than 12 years. Use clarithromycin </w:t>
            </w:r>
            <w:r>
              <w:rPr>
                <w:rFonts w:eastAsia="DengXian"/>
                <w:bCs/>
                <w:color w:val="000000" w:themeColor="text1"/>
                <w:szCs w:val="24"/>
              </w:rPr>
              <w:t>p</w:t>
            </w:r>
            <w:r w:rsidRPr="00727DFA">
              <w:rPr>
                <w:rFonts w:eastAsia="DengXian"/>
                <w:bCs/>
                <w:color w:val="000000" w:themeColor="text1"/>
                <w:szCs w:val="24"/>
              </w:rPr>
              <w:t xml:space="preserve">ediatric </w:t>
            </w:r>
            <w:r>
              <w:rPr>
                <w:rFonts w:eastAsia="DengXian"/>
                <w:bCs/>
                <w:color w:val="000000" w:themeColor="text1"/>
                <w:szCs w:val="24"/>
              </w:rPr>
              <w:t>s</w:t>
            </w:r>
            <w:r w:rsidRPr="00727DFA">
              <w:rPr>
                <w:rFonts w:eastAsia="DengXian"/>
                <w:bCs/>
                <w:color w:val="000000" w:themeColor="text1"/>
                <w:szCs w:val="24"/>
              </w:rPr>
              <w:t>uspension.</w:t>
            </w:r>
          </w:p>
        </w:tc>
      </w:tr>
      <w:tr w:rsidR="007B485D" w:rsidRPr="00727DFA" w14:paraId="77002A13"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789798E3"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Contraindications</w:t>
            </w:r>
          </w:p>
        </w:tc>
        <w:tc>
          <w:tcPr>
            <w:tcW w:w="6570" w:type="dxa"/>
            <w:tcBorders>
              <w:top w:val="single" w:sz="4" w:space="0" w:color="auto"/>
              <w:left w:val="single" w:sz="4" w:space="0" w:color="auto"/>
              <w:bottom w:val="single" w:sz="4" w:space="0" w:color="auto"/>
              <w:right w:val="single" w:sz="4" w:space="0" w:color="auto"/>
            </w:tcBorders>
            <w:hideMark/>
          </w:tcPr>
          <w:p w14:paraId="6AD1358C" w14:textId="77777777" w:rsidR="007B485D" w:rsidRPr="00727DFA" w:rsidRDefault="007B485D" w:rsidP="002D6DD7">
            <w:pPr>
              <w:autoSpaceDE w:val="0"/>
              <w:autoSpaceDN w:val="0"/>
              <w:adjustRightInd w:val="0"/>
              <w:jc w:val="both"/>
              <w:rPr>
                <w:rFonts w:eastAsia="DengXian"/>
                <w:bCs/>
                <w:color w:val="000000" w:themeColor="text1"/>
                <w:szCs w:val="24"/>
              </w:rPr>
            </w:pPr>
            <w:r w:rsidRPr="00727DFA">
              <w:rPr>
                <w:rFonts w:eastAsia="DengXian"/>
                <w:bCs/>
                <w:color w:val="000000" w:themeColor="text1"/>
                <w:szCs w:val="24"/>
              </w:rPr>
              <w:t xml:space="preserve">Hypersensitivity to </w:t>
            </w:r>
            <w:r>
              <w:rPr>
                <w:rFonts w:eastAsia="DengXian"/>
                <w:bCs/>
                <w:color w:val="000000" w:themeColor="text1"/>
                <w:szCs w:val="24"/>
              </w:rPr>
              <w:t xml:space="preserve">the drug </w:t>
            </w:r>
            <w:r w:rsidRPr="00727DFA">
              <w:rPr>
                <w:rFonts w:eastAsia="DengXian"/>
                <w:bCs/>
                <w:color w:val="000000" w:themeColor="text1"/>
                <w:szCs w:val="24"/>
              </w:rPr>
              <w:t xml:space="preserve">or </w:t>
            </w:r>
            <w:r>
              <w:rPr>
                <w:rFonts w:eastAsia="DengXian"/>
                <w:bCs/>
                <w:color w:val="000000" w:themeColor="text1"/>
                <w:szCs w:val="24"/>
              </w:rPr>
              <w:t>other</w:t>
            </w:r>
            <w:r w:rsidRPr="00727DFA">
              <w:rPr>
                <w:rFonts w:eastAsia="DengXian"/>
                <w:bCs/>
                <w:color w:val="000000" w:themeColor="text1"/>
                <w:spacing w:val="1"/>
                <w:szCs w:val="24"/>
              </w:rPr>
              <w:t xml:space="preserve"> </w:t>
            </w:r>
            <w:r w:rsidRPr="00727DFA">
              <w:rPr>
                <w:rFonts w:eastAsia="DengXian"/>
                <w:bCs/>
                <w:color w:val="000000" w:themeColor="text1"/>
                <w:szCs w:val="24"/>
              </w:rPr>
              <w:t>macrolide</w:t>
            </w:r>
            <w:r w:rsidRPr="00727DFA">
              <w:rPr>
                <w:rFonts w:eastAsia="DengXian"/>
                <w:bCs/>
                <w:color w:val="000000" w:themeColor="text1"/>
                <w:spacing w:val="1"/>
                <w:szCs w:val="24"/>
              </w:rPr>
              <w:t xml:space="preserve"> </w:t>
            </w:r>
            <w:r w:rsidRPr="00727DFA">
              <w:rPr>
                <w:rFonts w:eastAsia="DengXian"/>
                <w:bCs/>
                <w:color w:val="000000" w:themeColor="text1"/>
                <w:szCs w:val="24"/>
              </w:rPr>
              <w:t xml:space="preserve">antibiotics, </w:t>
            </w:r>
            <w:r w:rsidRPr="00727DFA">
              <w:rPr>
                <w:rFonts w:eastAsia="DengXian"/>
                <w:bCs/>
                <w:color w:val="000000" w:themeColor="text1"/>
                <w:szCs w:val="24"/>
              </w:rPr>
              <w:lastRenderedPageBreak/>
              <w:t xml:space="preserve">previous history of QT prolongation, </w:t>
            </w:r>
            <w:r>
              <w:rPr>
                <w:rFonts w:eastAsia="DengXian"/>
                <w:bCs/>
                <w:color w:val="000000" w:themeColor="text1"/>
                <w:szCs w:val="24"/>
              </w:rPr>
              <w:t>concurrent use of</w:t>
            </w:r>
            <w:r w:rsidRPr="00727DFA">
              <w:rPr>
                <w:rFonts w:eastAsia="DengXian"/>
                <w:bCs/>
                <w:color w:val="000000" w:themeColor="text1"/>
                <w:szCs w:val="24"/>
              </w:rPr>
              <w:t xml:space="preserve"> statins</w:t>
            </w:r>
            <w:r>
              <w:rPr>
                <w:rFonts w:eastAsia="DengXian"/>
                <w:bCs/>
                <w:color w:val="000000" w:themeColor="text1"/>
                <w:szCs w:val="24"/>
              </w:rPr>
              <w:t xml:space="preserve">, </w:t>
            </w:r>
            <w:r w:rsidRPr="00727DFA">
              <w:rPr>
                <w:rFonts w:eastAsia="DengXian"/>
                <w:bCs/>
                <w:color w:val="000000" w:themeColor="text1"/>
                <w:szCs w:val="24"/>
              </w:rPr>
              <w:t>hypomagnesemia</w:t>
            </w:r>
            <w:r>
              <w:rPr>
                <w:rFonts w:eastAsia="DengXian"/>
                <w:bCs/>
                <w:color w:val="000000" w:themeColor="text1"/>
                <w:szCs w:val="24"/>
              </w:rPr>
              <w:t xml:space="preserve">, </w:t>
            </w:r>
            <w:r w:rsidRPr="00727DFA">
              <w:rPr>
                <w:rFonts w:eastAsia="DengXian"/>
                <w:bCs/>
                <w:color w:val="000000" w:themeColor="text1"/>
                <w:szCs w:val="24"/>
              </w:rPr>
              <w:t>hypokalemia</w:t>
            </w:r>
            <w:r>
              <w:rPr>
                <w:rFonts w:eastAsia="DengXian"/>
                <w:bCs/>
                <w:color w:val="000000" w:themeColor="text1"/>
                <w:szCs w:val="24"/>
              </w:rPr>
              <w:t>.</w:t>
            </w:r>
          </w:p>
        </w:tc>
      </w:tr>
      <w:tr w:rsidR="007B485D" w:rsidRPr="00727DFA" w14:paraId="70090102"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5C5B2299"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Drug interactions</w:t>
            </w:r>
          </w:p>
        </w:tc>
        <w:tc>
          <w:tcPr>
            <w:tcW w:w="6570" w:type="dxa"/>
            <w:tcBorders>
              <w:top w:val="single" w:sz="4" w:space="0" w:color="auto"/>
              <w:left w:val="single" w:sz="4" w:space="0" w:color="auto"/>
              <w:bottom w:val="single" w:sz="4" w:space="0" w:color="auto"/>
              <w:right w:val="single" w:sz="4" w:space="0" w:color="auto"/>
            </w:tcBorders>
            <w:hideMark/>
          </w:tcPr>
          <w:p w14:paraId="2F4B1FA0"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Statins, amiodarone, cisapride,</w:t>
            </w:r>
            <w:r w:rsidRPr="00727DFA">
              <w:rPr>
                <w:rFonts w:eastAsia="DengXian"/>
                <w:bCs/>
                <w:color w:val="000000" w:themeColor="text1"/>
                <w:spacing w:val="1"/>
                <w:szCs w:val="24"/>
              </w:rPr>
              <w:t xml:space="preserve"> </w:t>
            </w:r>
            <w:r w:rsidRPr="00727DFA">
              <w:rPr>
                <w:rFonts w:eastAsia="DengXian"/>
                <w:bCs/>
                <w:color w:val="000000" w:themeColor="text1"/>
                <w:szCs w:val="24"/>
              </w:rPr>
              <w:t>pimozide,</w:t>
            </w:r>
            <w:r w:rsidRPr="00727DFA">
              <w:rPr>
                <w:rFonts w:eastAsia="DengXian"/>
                <w:bCs/>
                <w:color w:val="000000" w:themeColor="text1"/>
                <w:spacing w:val="1"/>
                <w:szCs w:val="24"/>
              </w:rPr>
              <w:t xml:space="preserve"> </w:t>
            </w:r>
            <w:r w:rsidRPr="00727DFA">
              <w:rPr>
                <w:rFonts w:eastAsia="DengXian"/>
                <w:bCs/>
                <w:color w:val="000000" w:themeColor="text1"/>
                <w:szCs w:val="24"/>
              </w:rPr>
              <w:t>calcium</w:t>
            </w:r>
            <w:r w:rsidRPr="00727DFA">
              <w:rPr>
                <w:rFonts w:eastAsia="DengXian"/>
                <w:bCs/>
                <w:color w:val="000000" w:themeColor="text1"/>
                <w:spacing w:val="1"/>
                <w:szCs w:val="24"/>
              </w:rPr>
              <w:t xml:space="preserve"> </w:t>
            </w:r>
            <w:r w:rsidRPr="00727DFA">
              <w:rPr>
                <w:rFonts w:eastAsia="DengXian"/>
                <w:bCs/>
                <w:color w:val="000000" w:themeColor="text1"/>
                <w:szCs w:val="24"/>
              </w:rPr>
              <w:t>channel</w:t>
            </w:r>
            <w:r w:rsidRPr="00727DFA">
              <w:rPr>
                <w:rFonts w:eastAsia="DengXian"/>
                <w:bCs/>
                <w:color w:val="000000" w:themeColor="text1"/>
                <w:spacing w:val="1"/>
                <w:szCs w:val="24"/>
              </w:rPr>
              <w:t xml:space="preserve"> </w:t>
            </w:r>
            <w:r w:rsidRPr="00727DFA">
              <w:rPr>
                <w:rFonts w:eastAsia="DengXian"/>
                <w:bCs/>
                <w:color w:val="000000" w:themeColor="text1"/>
                <w:szCs w:val="24"/>
              </w:rPr>
              <w:t>blockers,</w:t>
            </w:r>
            <w:r w:rsidRPr="00727DFA">
              <w:rPr>
                <w:rFonts w:eastAsia="DengXian"/>
                <w:bCs/>
                <w:color w:val="000000" w:themeColor="text1"/>
                <w:spacing w:val="-57"/>
                <w:szCs w:val="24"/>
              </w:rPr>
              <w:t xml:space="preserve"> </w:t>
            </w:r>
            <w:r w:rsidRPr="00727DFA">
              <w:rPr>
                <w:rFonts w:eastAsia="DengXian"/>
                <w:bCs/>
                <w:color w:val="000000" w:themeColor="text1"/>
                <w:szCs w:val="24"/>
              </w:rPr>
              <w:t>cyclosporine,</w:t>
            </w:r>
            <w:r w:rsidRPr="00727DFA">
              <w:rPr>
                <w:rFonts w:eastAsia="DengXian"/>
                <w:bCs/>
                <w:color w:val="000000" w:themeColor="text1"/>
                <w:spacing w:val="1"/>
                <w:szCs w:val="24"/>
              </w:rPr>
              <w:t xml:space="preserve"> </w:t>
            </w:r>
            <w:r w:rsidRPr="00727DFA">
              <w:rPr>
                <w:rFonts w:eastAsia="DengXian"/>
                <w:bCs/>
                <w:color w:val="000000" w:themeColor="text1"/>
                <w:szCs w:val="24"/>
              </w:rPr>
              <w:t>quinidine,</w:t>
            </w:r>
            <w:r w:rsidRPr="00727DFA">
              <w:rPr>
                <w:rFonts w:eastAsia="DengXian"/>
                <w:bCs/>
                <w:color w:val="000000" w:themeColor="text1"/>
                <w:spacing w:val="1"/>
                <w:szCs w:val="24"/>
              </w:rPr>
              <w:t xml:space="preserve"> </w:t>
            </w:r>
            <w:r w:rsidRPr="00727DFA">
              <w:rPr>
                <w:rFonts w:eastAsia="DengXian"/>
                <w:bCs/>
                <w:color w:val="000000" w:themeColor="text1"/>
                <w:szCs w:val="24"/>
              </w:rPr>
              <w:t>sildenafil,</w:t>
            </w:r>
            <w:r w:rsidRPr="00727DFA">
              <w:rPr>
                <w:rFonts w:eastAsia="DengXian"/>
                <w:bCs/>
                <w:color w:val="000000" w:themeColor="text1"/>
                <w:spacing w:val="1"/>
                <w:szCs w:val="24"/>
              </w:rPr>
              <w:t xml:space="preserve"> </w:t>
            </w:r>
            <w:r w:rsidRPr="00727DFA">
              <w:rPr>
                <w:rFonts w:eastAsia="DengXian"/>
                <w:bCs/>
                <w:color w:val="000000" w:themeColor="text1"/>
                <w:szCs w:val="24"/>
              </w:rPr>
              <w:t>midazolam,</w:t>
            </w:r>
            <w:r w:rsidRPr="00727DFA">
              <w:rPr>
                <w:rFonts w:eastAsia="DengXian"/>
                <w:bCs/>
                <w:color w:val="000000" w:themeColor="text1"/>
                <w:spacing w:val="1"/>
                <w:szCs w:val="24"/>
              </w:rPr>
              <w:t xml:space="preserve"> </w:t>
            </w:r>
            <w:r w:rsidRPr="00727DFA">
              <w:rPr>
                <w:rFonts w:eastAsia="DengXian"/>
                <w:bCs/>
                <w:color w:val="000000" w:themeColor="text1"/>
                <w:szCs w:val="24"/>
              </w:rPr>
              <w:t>triazolam,</w:t>
            </w:r>
            <w:r w:rsidRPr="00727DFA">
              <w:rPr>
                <w:rFonts w:eastAsia="DengXian"/>
                <w:bCs/>
                <w:color w:val="000000" w:themeColor="text1"/>
                <w:spacing w:val="1"/>
                <w:szCs w:val="24"/>
              </w:rPr>
              <w:t xml:space="preserve"> </w:t>
            </w:r>
            <w:r w:rsidRPr="00727DFA">
              <w:rPr>
                <w:rFonts w:eastAsia="DengXian"/>
                <w:bCs/>
                <w:color w:val="000000" w:themeColor="text1"/>
                <w:szCs w:val="24"/>
              </w:rPr>
              <w:t>ergot alkaloids, warfarin,</w:t>
            </w:r>
            <w:r w:rsidRPr="00727DFA">
              <w:rPr>
                <w:rFonts w:eastAsia="DengXian"/>
                <w:bCs/>
                <w:color w:val="000000" w:themeColor="text1"/>
                <w:spacing w:val="1"/>
                <w:szCs w:val="24"/>
              </w:rPr>
              <w:t xml:space="preserve"> </w:t>
            </w:r>
            <w:r w:rsidRPr="00727DFA">
              <w:rPr>
                <w:rFonts w:eastAsia="DengXian"/>
                <w:bCs/>
                <w:color w:val="000000" w:themeColor="text1"/>
                <w:szCs w:val="24"/>
              </w:rPr>
              <w:t>azole</w:t>
            </w:r>
            <w:r w:rsidRPr="00727DFA">
              <w:rPr>
                <w:rFonts w:eastAsia="DengXian"/>
                <w:bCs/>
                <w:color w:val="000000" w:themeColor="text1"/>
                <w:spacing w:val="1"/>
                <w:szCs w:val="24"/>
              </w:rPr>
              <w:t xml:space="preserve"> </w:t>
            </w:r>
            <w:r w:rsidRPr="00727DFA">
              <w:rPr>
                <w:rFonts w:eastAsia="DengXian"/>
                <w:bCs/>
                <w:color w:val="000000" w:themeColor="text1"/>
                <w:szCs w:val="24"/>
              </w:rPr>
              <w:t>antifungals,</w:t>
            </w:r>
            <w:r w:rsidRPr="00727DFA">
              <w:rPr>
                <w:rFonts w:eastAsia="DengXian"/>
                <w:bCs/>
                <w:color w:val="000000" w:themeColor="text1"/>
                <w:spacing w:val="1"/>
                <w:szCs w:val="24"/>
              </w:rPr>
              <w:t xml:space="preserve"> </w:t>
            </w:r>
            <w:r w:rsidRPr="00727DFA">
              <w:rPr>
                <w:rFonts w:eastAsia="DengXian"/>
                <w:bCs/>
                <w:color w:val="000000" w:themeColor="text1"/>
                <w:szCs w:val="24"/>
              </w:rPr>
              <w:t>ciprofloxacin,</w:t>
            </w:r>
            <w:r w:rsidRPr="00727DFA">
              <w:rPr>
                <w:rFonts w:eastAsia="DengXian"/>
                <w:bCs/>
                <w:color w:val="000000" w:themeColor="text1"/>
                <w:spacing w:val="-57"/>
                <w:szCs w:val="24"/>
              </w:rPr>
              <w:t xml:space="preserve"> </w:t>
            </w:r>
            <w:r w:rsidRPr="00727DFA">
              <w:rPr>
                <w:rFonts w:eastAsia="DengXian"/>
                <w:bCs/>
                <w:color w:val="000000" w:themeColor="text1"/>
                <w:szCs w:val="24"/>
              </w:rPr>
              <w:t>diclofenac,</w:t>
            </w:r>
            <w:r w:rsidRPr="00727DFA">
              <w:rPr>
                <w:rFonts w:eastAsia="DengXian"/>
                <w:bCs/>
                <w:color w:val="000000" w:themeColor="text1"/>
                <w:spacing w:val="1"/>
                <w:szCs w:val="24"/>
              </w:rPr>
              <w:t xml:space="preserve"> </w:t>
            </w:r>
            <w:r w:rsidRPr="00727DFA">
              <w:rPr>
                <w:rFonts w:eastAsia="DengXian"/>
                <w:bCs/>
                <w:color w:val="000000" w:themeColor="text1"/>
                <w:szCs w:val="24"/>
              </w:rPr>
              <w:t>doxycycline,</w:t>
            </w:r>
            <w:r w:rsidRPr="00727DFA">
              <w:rPr>
                <w:rFonts w:eastAsia="DengXian"/>
                <w:bCs/>
                <w:color w:val="000000" w:themeColor="text1"/>
                <w:spacing w:val="1"/>
                <w:szCs w:val="24"/>
              </w:rPr>
              <w:t xml:space="preserve"> </w:t>
            </w:r>
            <w:r w:rsidRPr="00727DFA">
              <w:rPr>
                <w:rFonts w:eastAsia="DengXian"/>
                <w:bCs/>
                <w:color w:val="000000" w:themeColor="text1"/>
                <w:szCs w:val="24"/>
              </w:rPr>
              <w:t>erythromycin,</w:t>
            </w:r>
            <w:r w:rsidRPr="00727DFA">
              <w:rPr>
                <w:rFonts w:eastAsia="DengXian"/>
                <w:bCs/>
                <w:color w:val="000000" w:themeColor="text1"/>
                <w:spacing w:val="1"/>
                <w:szCs w:val="24"/>
              </w:rPr>
              <w:t xml:space="preserve"> </w:t>
            </w:r>
            <w:r w:rsidRPr="00727DFA">
              <w:rPr>
                <w:rFonts w:eastAsia="DengXian"/>
                <w:bCs/>
                <w:color w:val="000000" w:themeColor="text1"/>
                <w:szCs w:val="24"/>
              </w:rPr>
              <w:t>isoniazid,</w:t>
            </w:r>
            <w:r w:rsidRPr="00727DFA">
              <w:rPr>
                <w:rFonts w:eastAsia="DengXian"/>
                <w:bCs/>
                <w:color w:val="000000" w:themeColor="text1"/>
                <w:spacing w:val="1"/>
                <w:szCs w:val="24"/>
              </w:rPr>
              <w:t xml:space="preserve"> </w:t>
            </w:r>
            <w:r w:rsidRPr="00727DFA">
              <w:rPr>
                <w:rFonts w:eastAsia="DengXian"/>
                <w:bCs/>
                <w:color w:val="000000" w:themeColor="text1"/>
                <w:szCs w:val="24"/>
              </w:rPr>
              <w:t>nefazodone,</w:t>
            </w:r>
            <w:r w:rsidRPr="00727DFA">
              <w:rPr>
                <w:rFonts w:eastAsia="DengXian"/>
                <w:bCs/>
                <w:color w:val="000000" w:themeColor="text1"/>
                <w:spacing w:val="1"/>
                <w:szCs w:val="24"/>
              </w:rPr>
              <w:t xml:space="preserve"> </w:t>
            </w:r>
            <w:r w:rsidRPr="00727DFA">
              <w:rPr>
                <w:rFonts w:eastAsia="DengXian"/>
                <w:bCs/>
                <w:color w:val="000000" w:themeColor="text1"/>
                <w:szCs w:val="24"/>
              </w:rPr>
              <w:t>propofol</w:t>
            </w:r>
            <w:r>
              <w:rPr>
                <w:rFonts w:eastAsia="DengXian"/>
                <w:bCs/>
                <w:color w:val="000000" w:themeColor="text1"/>
                <w:szCs w:val="24"/>
              </w:rPr>
              <w:t>.</w:t>
            </w:r>
          </w:p>
        </w:tc>
      </w:tr>
      <w:tr w:rsidR="007B485D" w:rsidRPr="00727DFA" w14:paraId="5B8BBAE2"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2478994C"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Side effects</w:t>
            </w:r>
          </w:p>
        </w:tc>
        <w:tc>
          <w:tcPr>
            <w:tcW w:w="6570" w:type="dxa"/>
            <w:tcBorders>
              <w:top w:val="single" w:sz="4" w:space="0" w:color="auto"/>
              <w:left w:val="single" w:sz="4" w:space="0" w:color="auto"/>
              <w:bottom w:val="single" w:sz="4" w:space="0" w:color="auto"/>
              <w:right w:val="single" w:sz="4" w:space="0" w:color="auto"/>
            </w:tcBorders>
            <w:hideMark/>
          </w:tcPr>
          <w:p w14:paraId="419DBDEB" w14:textId="77777777" w:rsidR="007B485D" w:rsidRPr="00727DFA" w:rsidRDefault="007B485D" w:rsidP="002D6DD7">
            <w:pPr>
              <w:widowControl w:val="0"/>
              <w:autoSpaceDE w:val="0"/>
              <w:autoSpaceDN w:val="0"/>
              <w:jc w:val="both"/>
              <w:rPr>
                <w:rFonts w:eastAsia="Times New Roman"/>
                <w:bCs/>
                <w:color w:val="000000" w:themeColor="text1"/>
                <w:szCs w:val="24"/>
              </w:rPr>
            </w:pPr>
            <w:r w:rsidRPr="00727DFA">
              <w:rPr>
                <w:rFonts w:eastAsia="Times New Roman"/>
                <w:bCs/>
                <w:color w:val="000000" w:themeColor="text1"/>
                <w:szCs w:val="24"/>
              </w:rPr>
              <w:t>G</w:t>
            </w:r>
            <w:r>
              <w:rPr>
                <w:rFonts w:eastAsia="Times New Roman"/>
                <w:bCs/>
                <w:color w:val="000000" w:themeColor="text1"/>
                <w:szCs w:val="24"/>
              </w:rPr>
              <w:t>astrointestinal</w:t>
            </w:r>
            <w:r w:rsidRPr="00727DFA">
              <w:rPr>
                <w:rFonts w:eastAsia="Times New Roman"/>
                <w:bCs/>
                <w:color w:val="000000" w:themeColor="text1"/>
                <w:szCs w:val="24"/>
              </w:rPr>
              <w:t xml:space="preserve"> </w:t>
            </w:r>
            <w:r>
              <w:rPr>
                <w:rFonts w:eastAsia="Times New Roman"/>
                <w:bCs/>
                <w:color w:val="000000" w:themeColor="text1"/>
                <w:szCs w:val="24"/>
              </w:rPr>
              <w:t>disturbances</w:t>
            </w:r>
            <w:r w:rsidRPr="00727DFA">
              <w:rPr>
                <w:rFonts w:eastAsia="Times New Roman"/>
                <w:bCs/>
                <w:color w:val="000000" w:themeColor="text1"/>
                <w:szCs w:val="24"/>
              </w:rPr>
              <w:t xml:space="preserve"> (diarrhea, nausea, abnormal taste, dyspepsia, abdominal pain)</w:t>
            </w:r>
            <w:r>
              <w:rPr>
                <w:rFonts w:eastAsia="Times New Roman"/>
                <w:bCs/>
                <w:color w:val="000000" w:themeColor="text1"/>
                <w:szCs w:val="24"/>
              </w:rPr>
              <w:t>,</w:t>
            </w:r>
            <w:r w:rsidRPr="00727DFA">
              <w:rPr>
                <w:rFonts w:eastAsia="Times New Roman"/>
                <w:bCs/>
                <w:color w:val="000000" w:themeColor="text1"/>
                <w:szCs w:val="24"/>
              </w:rPr>
              <w:t xml:space="preserve"> headache, burping, dry oral, muscle complaints, oral disorders, thrombocytosis and tremor, abnormal dreams, agranulocytosis, depersonalization, depression, mania, myopathy</w:t>
            </w:r>
            <w:r>
              <w:rPr>
                <w:rFonts w:eastAsia="Times New Roman"/>
                <w:bCs/>
                <w:color w:val="000000" w:themeColor="text1"/>
                <w:szCs w:val="24"/>
              </w:rPr>
              <w:t>, c</w:t>
            </w:r>
            <w:r w:rsidRPr="00727DFA">
              <w:rPr>
                <w:rFonts w:eastAsia="Times New Roman"/>
                <w:bCs/>
                <w:color w:val="000000" w:themeColor="text1"/>
                <w:szCs w:val="24"/>
              </w:rPr>
              <w:t>ardiac arrest, dyskinesia, hemorrhage, loss of consciousness, pulmonary embolism</w:t>
            </w:r>
            <w:r>
              <w:rPr>
                <w:rFonts w:eastAsia="Times New Roman"/>
                <w:bCs/>
                <w:color w:val="000000" w:themeColor="text1"/>
                <w:szCs w:val="24"/>
              </w:rPr>
              <w:t>.</w:t>
            </w:r>
          </w:p>
        </w:tc>
      </w:tr>
      <w:tr w:rsidR="007B485D" w:rsidRPr="00727DFA" w14:paraId="6992E07A"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1A8D5A21"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 xml:space="preserve">Cautions </w:t>
            </w:r>
          </w:p>
        </w:tc>
        <w:tc>
          <w:tcPr>
            <w:tcW w:w="6570" w:type="dxa"/>
            <w:tcBorders>
              <w:top w:val="single" w:sz="4" w:space="0" w:color="auto"/>
              <w:left w:val="single" w:sz="4" w:space="0" w:color="auto"/>
              <w:bottom w:val="single" w:sz="4" w:space="0" w:color="auto"/>
              <w:right w:val="single" w:sz="4" w:space="0" w:color="auto"/>
            </w:tcBorders>
            <w:hideMark/>
          </w:tcPr>
          <w:p w14:paraId="3BC7584A" w14:textId="77777777" w:rsidR="007B485D" w:rsidRPr="00727DFA" w:rsidRDefault="007B485D" w:rsidP="002D6DD7">
            <w:pPr>
              <w:widowControl w:val="0"/>
              <w:autoSpaceDE w:val="0"/>
              <w:autoSpaceDN w:val="0"/>
              <w:jc w:val="both"/>
              <w:rPr>
                <w:rFonts w:eastAsia="Times New Roman"/>
                <w:bCs/>
                <w:color w:val="000000" w:themeColor="text1"/>
                <w:spacing w:val="-2"/>
                <w:szCs w:val="24"/>
              </w:rPr>
            </w:pPr>
            <w:r>
              <w:rPr>
                <w:rFonts w:eastAsia="Times New Roman"/>
                <w:bCs/>
                <w:color w:val="000000" w:themeColor="text1"/>
                <w:szCs w:val="24"/>
              </w:rPr>
              <w:t>Hepatic</w:t>
            </w:r>
            <w:r w:rsidRPr="00727DFA">
              <w:rPr>
                <w:rFonts w:eastAsia="Times New Roman"/>
                <w:bCs/>
                <w:color w:val="000000" w:themeColor="text1"/>
                <w:szCs w:val="24"/>
              </w:rPr>
              <w:t xml:space="preserve"> and renal impairment, p</w:t>
            </w:r>
            <w:r w:rsidRPr="00727DFA">
              <w:rPr>
                <w:rFonts w:eastAsia="Times New Roman"/>
                <w:bCs/>
                <w:color w:val="000000" w:themeColor="text1"/>
                <w:spacing w:val="-2"/>
                <w:szCs w:val="24"/>
              </w:rPr>
              <w:t>regnancy, breastfeeding</w:t>
            </w:r>
            <w:r>
              <w:rPr>
                <w:rFonts w:eastAsia="Times New Roman"/>
                <w:bCs/>
                <w:color w:val="000000" w:themeColor="text1"/>
                <w:spacing w:val="-2"/>
                <w:szCs w:val="24"/>
              </w:rPr>
              <w:t>.</w:t>
            </w:r>
          </w:p>
        </w:tc>
      </w:tr>
      <w:tr w:rsidR="007B485D" w:rsidRPr="00727DFA" w14:paraId="3D8CD8E9"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42BAA11B"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Storage condition</w:t>
            </w:r>
          </w:p>
        </w:tc>
        <w:tc>
          <w:tcPr>
            <w:tcW w:w="6570" w:type="dxa"/>
            <w:tcBorders>
              <w:top w:val="single" w:sz="4" w:space="0" w:color="auto"/>
              <w:left w:val="single" w:sz="4" w:space="0" w:color="auto"/>
              <w:bottom w:val="single" w:sz="4" w:space="0" w:color="auto"/>
              <w:right w:val="single" w:sz="4" w:space="0" w:color="auto"/>
            </w:tcBorders>
            <w:hideMark/>
          </w:tcPr>
          <w:p w14:paraId="0CC35B29" w14:textId="77777777" w:rsidR="007B485D" w:rsidRPr="00727DFA" w:rsidRDefault="007B485D" w:rsidP="002D6DD7">
            <w:pPr>
              <w:jc w:val="both"/>
              <w:rPr>
                <w:rFonts w:eastAsia="DengXian"/>
                <w:bCs/>
                <w:color w:val="000000" w:themeColor="text1"/>
                <w:szCs w:val="24"/>
              </w:rPr>
            </w:pPr>
            <w:r w:rsidRPr="00727DFA">
              <w:rPr>
                <w:rFonts w:eastAsia="Times New Roman"/>
                <w:bCs/>
                <w:color w:val="000000" w:themeColor="text1"/>
                <w:szCs w:val="24"/>
              </w:rPr>
              <w:t>Store below 30°C</w:t>
            </w:r>
            <w:r>
              <w:rPr>
                <w:rFonts w:eastAsia="Times New Roman"/>
                <w:bCs/>
                <w:color w:val="000000" w:themeColor="text1"/>
                <w:szCs w:val="24"/>
              </w:rPr>
              <w:t>.</w:t>
            </w:r>
          </w:p>
        </w:tc>
      </w:tr>
      <w:tr w:rsidR="007B485D" w:rsidRPr="00727DFA" w14:paraId="08128492" w14:textId="77777777" w:rsidTr="002D6DD7">
        <w:trPr>
          <w:trHeight w:val="46"/>
        </w:trPr>
        <w:tc>
          <w:tcPr>
            <w:tcW w:w="9270" w:type="dxa"/>
            <w:gridSpan w:val="2"/>
            <w:tcBorders>
              <w:top w:val="single" w:sz="4" w:space="0" w:color="auto"/>
              <w:left w:val="single" w:sz="4" w:space="0" w:color="auto"/>
              <w:bottom w:val="single" w:sz="4" w:space="0" w:color="auto"/>
              <w:right w:val="single" w:sz="4" w:space="0" w:color="auto"/>
            </w:tcBorders>
            <w:hideMark/>
          </w:tcPr>
          <w:p w14:paraId="5F6A3224" w14:textId="77777777" w:rsidR="007B485D" w:rsidRPr="00727DFA" w:rsidRDefault="007B485D" w:rsidP="002D6DD7">
            <w:pPr>
              <w:widowControl w:val="0"/>
              <w:autoSpaceDE w:val="0"/>
              <w:autoSpaceDN w:val="0"/>
              <w:jc w:val="both"/>
              <w:rPr>
                <w:rFonts w:eastAsia="Times New Roman"/>
                <w:b/>
                <w:color w:val="000000" w:themeColor="text1"/>
                <w:szCs w:val="24"/>
              </w:rPr>
            </w:pPr>
            <w:r w:rsidRPr="00587263">
              <w:rPr>
                <w:rFonts w:eastAsia="Times New Roman"/>
                <w:b/>
                <w:color w:val="000000" w:themeColor="text1"/>
                <w:szCs w:val="24"/>
              </w:rPr>
              <w:t xml:space="preserve">Erythromycin </w:t>
            </w:r>
            <w:r w:rsidRPr="00873AF2">
              <w:rPr>
                <w:rFonts w:eastAsia="Times New Roman"/>
                <w:b/>
                <w:color w:val="000000" w:themeColor="text1"/>
                <w:szCs w:val="24"/>
              </w:rPr>
              <w:t>(Watch)</w:t>
            </w:r>
          </w:p>
        </w:tc>
      </w:tr>
      <w:tr w:rsidR="007B485D" w:rsidRPr="00727DFA" w14:paraId="1F317B03" w14:textId="77777777" w:rsidTr="002D6DD7">
        <w:trPr>
          <w:trHeight w:val="46"/>
        </w:trPr>
        <w:tc>
          <w:tcPr>
            <w:tcW w:w="2700" w:type="dxa"/>
            <w:tcBorders>
              <w:top w:val="single" w:sz="4" w:space="0" w:color="auto"/>
              <w:left w:val="single" w:sz="4" w:space="0" w:color="auto"/>
              <w:bottom w:val="single" w:sz="4" w:space="0" w:color="auto"/>
              <w:right w:val="single" w:sz="4" w:space="0" w:color="auto"/>
            </w:tcBorders>
            <w:hideMark/>
          </w:tcPr>
          <w:p w14:paraId="49748152"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Pharmacological class</w:t>
            </w:r>
          </w:p>
        </w:tc>
        <w:tc>
          <w:tcPr>
            <w:tcW w:w="6570" w:type="dxa"/>
            <w:tcBorders>
              <w:top w:val="single" w:sz="4" w:space="0" w:color="auto"/>
              <w:left w:val="single" w:sz="4" w:space="0" w:color="auto"/>
              <w:bottom w:val="single" w:sz="4" w:space="0" w:color="auto"/>
              <w:right w:val="single" w:sz="4" w:space="0" w:color="auto"/>
            </w:tcBorders>
            <w:hideMark/>
          </w:tcPr>
          <w:p w14:paraId="15920E0B" w14:textId="77777777" w:rsidR="007B485D" w:rsidRPr="00727DFA" w:rsidRDefault="007B485D" w:rsidP="002D6DD7">
            <w:pPr>
              <w:jc w:val="both"/>
              <w:rPr>
                <w:rFonts w:eastAsia="DengXian"/>
                <w:color w:val="000000" w:themeColor="text1"/>
                <w:szCs w:val="24"/>
              </w:rPr>
            </w:pPr>
            <w:r w:rsidRPr="00727DFA">
              <w:rPr>
                <w:rFonts w:eastAsia="Times New Roman"/>
                <w:color w:val="000000" w:themeColor="text1"/>
                <w:szCs w:val="24"/>
              </w:rPr>
              <w:t xml:space="preserve">Macrolide </w:t>
            </w:r>
          </w:p>
        </w:tc>
      </w:tr>
      <w:tr w:rsidR="007B485D" w:rsidRPr="00727DFA" w14:paraId="7BEB8E4E" w14:textId="77777777" w:rsidTr="002D6DD7">
        <w:trPr>
          <w:trHeight w:val="458"/>
        </w:trPr>
        <w:tc>
          <w:tcPr>
            <w:tcW w:w="2700" w:type="dxa"/>
            <w:tcBorders>
              <w:top w:val="single" w:sz="4" w:space="0" w:color="auto"/>
              <w:left w:val="single" w:sz="4" w:space="0" w:color="auto"/>
              <w:bottom w:val="single" w:sz="4" w:space="0" w:color="auto"/>
              <w:right w:val="single" w:sz="4" w:space="0" w:color="auto"/>
            </w:tcBorders>
            <w:hideMark/>
          </w:tcPr>
          <w:p w14:paraId="4848F2B6"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Dose and administration</w:t>
            </w:r>
          </w:p>
        </w:tc>
        <w:tc>
          <w:tcPr>
            <w:tcW w:w="6570" w:type="dxa"/>
            <w:tcBorders>
              <w:top w:val="single" w:sz="4" w:space="0" w:color="auto"/>
              <w:left w:val="single" w:sz="4" w:space="0" w:color="auto"/>
              <w:bottom w:val="single" w:sz="4" w:space="0" w:color="auto"/>
              <w:right w:val="single" w:sz="4" w:space="0" w:color="auto"/>
            </w:tcBorders>
            <w:hideMark/>
          </w:tcPr>
          <w:p w14:paraId="31941B0B" w14:textId="77777777" w:rsidR="007B485D" w:rsidRPr="00727DFA" w:rsidRDefault="007B485D" w:rsidP="002D6DD7">
            <w:pPr>
              <w:jc w:val="both"/>
              <w:rPr>
                <w:rFonts w:eastAsia="DengXian"/>
                <w:color w:val="000000" w:themeColor="text1"/>
                <w:spacing w:val="-57"/>
                <w:szCs w:val="24"/>
                <w:lang w:val="nb-NO"/>
              </w:rPr>
            </w:pPr>
            <w:r w:rsidRPr="00727DFA">
              <w:rPr>
                <w:rFonts w:eastAsia="DengXian"/>
                <w:color w:val="000000" w:themeColor="text1"/>
                <w:szCs w:val="24"/>
                <w:lang w:val="nb-NO"/>
              </w:rPr>
              <w:t>Tablet (stearate): 250mg, 500mg, Capsule,</w:t>
            </w:r>
            <w:r w:rsidRPr="00727DFA">
              <w:rPr>
                <w:rFonts w:eastAsia="DengXian"/>
                <w:color w:val="000000" w:themeColor="text1"/>
                <w:spacing w:val="-1"/>
                <w:szCs w:val="24"/>
                <w:lang w:val="nb-NO"/>
              </w:rPr>
              <w:t xml:space="preserve"> </w:t>
            </w:r>
            <w:r w:rsidRPr="00727DFA">
              <w:rPr>
                <w:rFonts w:eastAsia="DengXian"/>
                <w:color w:val="000000" w:themeColor="text1"/>
                <w:szCs w:val="24"/>
                <w:lang w:val="nb-NO"/>
              </w:rPr>
              <w:t xml:space="preserve">250mg </w:t>
            </w:r>
          </w:p>
          <w:p w14:paraId="19DE3031" w14:textId="77777777" w:rsidR="007B485D" w:rsidRPr="00727DFA" w:rsidRDefault="007B485D" w:rsidP="002D6DD7">
            <w:pPr>
              <w:jc w:val="both"/>
              <w:rPr>
                <w:rFonts w:eastAsia="DengXian"/>
                <w:color w:val="000000" w:themeColor="text1"/>
                <w:spacing w:val="-57"/>
                <w:szCs w:val="24"/>
              </w:rPr>
            </w:pPr>
            <w:r w:rsidRPr="00727DFA">
              <w:rPr>
                <w:rFonts w:eastAsia="DengXian"/>
                <w:color w:val="000000" w:themeColor="text1"/>
                <w:szCs w:val="24"/>
              </w:rPr>
              <w:t>Oral suspension: 125mg/5ml, 250mg/5ml</w:t>
            </w:r>
            <w:r w:rsidRPr="00727DFA">
              <w:rPr>
                <w:rFonts w:eastAsia="DengXian"/>
                <w:color w:val="000000" w:themeColor="text1"/>
                <w:spacing w:val="-57"/>
                <w:szCs w:val="24"/>
              </w:rPr>
              <w:t xml:space="preserve">   .</w:t>
            </w:r>
          </w:p>
        </w:tc>
      </w:tr>
      <w:tr w:rsidR="007B485D" w:rsidRPr="00727DFA" w14:paraId="52233463"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16BF439E" w14:textId="77777777" w:rsidR="007B485D" w:rsidRPr="00873AF2" w:rsidRDefault="007B485D" w:rsidP="002D6DD7">
            <w:pPr>
              <w:jc w:val="both"/>
              <w:rPr>
                <w:rFonts w:eastAsia="DengXian"/>
                <w:b/>
                <w:color w:val="000000" w:themeColor="text1"/>
                <w:szCs w:val="24"/>
              </w:rPr>
            </w:pPr>
            <w:r w:rsidRPr="00DD1255">
              <w:rPr>
                <w:rFonts w:eastAsia="DengXian"/>
                <w:bCs/>
                <w:color w:val="000000" w:themeColor="text1"/>
                <w:szCs w:val="24"/>
              </w:rPr>
              <w:t>Indications</w:t>
            </w:r>
          </w:p>
        </w:tc>
        <w:tc>
          <w:tcPr>
            <w:tcW w:w="6570" w:type="dxa"/>
            <w:tcBorders>
              <w:top w:val="single" w:sz="4" w:space="0" w:color="auto"/>
              <w:left w:val="single" w:sz="4" w:space="0" w:color="auto"/>
              <w:bottom w:val="single" w:sz="4" w:space="0" w:color="auto"/>
              <w:right w:val="single" w:sz="4" w:space="0" w:color="auto"/>
            </w:tcBorders>
            <w:hideMark/>
          </w:tcPr>
          <w:p w14:paraId="4291D2D9"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color w:val="000000" w:themeColor="text1"/>
                <w:szCs w:val="24"/>
              </w:rPr>
              <w:t>Conjunctivitis</w:t>
            </w:r>
            <w:r w:rsidRPr="00727DFA">
              <w:rPr>
                <w:rFonts w:eastAsia="Times New Roman"/>
                <w:color w:val="000000" w:themeColor="text1"/>
                <w:spacing w:val="1"/>
                <w:szCs w:val="24"/>
              </w:rPr>
              <w:t xml:space="preserve"> </w:t>
            </w:r>
            <w:r w:rsidRPr="00727DFA">
              <w:rPr>
                <w:rFonts w:eastAsia="Times New Roman"/>
                <w:color w:val="000000" w:themeColor="text1"/>
                <w:szCs w:val="24"/>
              </w:rPr>
              <w:t>in</w:t>
            </w:r>
            <w:r w:rsidRPr="00727DFA">
              <w:rPr>
                <w:rFonts w:eastAsia="Times New Roman"/>
                <w:color w:val="000000" w:themeColor="text1"/>
                <w:spacing w:val="1"/>
                <w:szCs w:val="24"/>
              </w:rPr>
              <w:t xml:space="preserve"> </w:t>
            </w:r>
            <w:r w:rsidRPr="00727DFA">
              <w:rPr>
                <w:rFonts w:eastAsia="Times New Roman"/>
                <w:color w:val="000000" w:themeColor="text1"/>
                <w:szCs w:val="24"/>
              </w:rPr>
              <w:t>newborns,</w:t>
            </w:r>
            <w:r w:rsidRPr="00727DFA">
              <w:rPr>
                <w:rFonts w:eastAsia="Times New Roman"/>
                <w:color w:val="000000" w:themeColor="text1"/>
                <w:spacing w:val="1"/>
                <w:szCs w:val="24"/>
              </w:rPr>
              <w:t xml:space="preserve"> </w:t>
            </w:r>
            <w:r w:rsidRPr="00727DFA">
              <w:rPr>
                <w:rFonts w:eastAsia="Times New Roman"/>
                <w:color w:val="000000" w:themeColor="text1"/>
                <w:szCs w:val="24"/>
              </w:rPr>
              <w:t>genitourinary</w:t>
            </w:r>
            <w:r w:rsidRPr="00727DFA">
              <w:rPr>
                <w:rFonts w:eastAsia="Times New Roman"/>
                <w:color w:val="000000" w:themeColor="text1"/>
                <w:spacing w:val="1"/>
                <w:szCs w:val="24"/>
              </w:rPr>
              <w:t xml:space="preserve"> </w:t>
            </w:r>
            <w:r w:rsidRPr="00727DFA">
              <w:rPr>
                <w:rFonts w:eastAsia="Times New Roman"/>
                <w:color w:val="000000" w:themeColor="text1"/>
                <w:szCs w:val="24"/>
              </w:rPr>
              <w:t>tract</w:t>
            </w:r>
            <w:r w:rsidRPr="00727DFA">
              <w:rPr>
                <w:rFonts w:eastAsia="Times New Roman"/>
                <w:color w:val="000000" w:themeColor="text1"/>
                <w:spacing w:val="1"/>
                <w:szCs w:val="24"/>
              </w:rPr>
              <w:t xml:space="preserve"> </w:t>
            </w:r>
            <w:r w:rsidRPr="00727DFA">
              <w:rPr>
                <w:rFonts w:eastAsia="Times New Roman"/>
                <w:color w:val="000000" w:themeColor="text1"/>
                <w:szCs w:val="24"/>
              </w:rPr>
              <w:t>infection</w:t>
            </w:r>
            <w:r w:rsidRPr="00727DFA">
              <w:rPr>
                <w:rFonts w:eastAsia="Times New Roman"/>
                <w:color w:val="000000" w:themeColor="text1"/>
                <w:spacing w:val="34"/>
                <w:szCs w:val="24"/>
              </w:rPr>
              <w:t xml:space="preserve"> </w:t>
            </w:r>
            <w:r w:rsidRPr="00727DFA">
              <w:rPr>
                <w:rFonts w:eastAsia="Times New Roman"/>
                <w:color w:val="000000" w:themeColor="text1"/>
                <w:szCs w:val="24"/>
              </w:rPr>
              <w:t>during</w:t>
            </w:r>
            <w:r w:rsidRPr="00727DFA">
              <w:rPr>
                <w:rFonts w:eastAsia="Times New Roman"/>
                <w:color w:val="000000" w:themeColor="text1"/>
                <w:spacing w:val="32"/>
                <w:szCs w:val="24"/>
              </w:rPr>
              <w:t xml:space="preserve"> </w:t>
            </w:r>
            <w:r w:rsidRPr="00727DFA">
              <w:rPr>
                <w:rFonts w:eastAsia="Times New Roman"/>
                <w:color w:val="000000" w:themeColor="text1"/>
                <w:szCs w:val="24"/>
              </w:rPr>
              <w:t>pregnancy,</w:t>
            </w:r>
            <w:r w:rsidRPr="00727DFA">
              <w:rPr>
                <w:rFonts w:eastAsia="Times New Roman"/>
                <w:color w:val="000000" w:themeColor="text1"/>
                <w:spacing w:val="35"/>
                <w:szCs w:val="24"/>
              </w:rPr>
              <w:t xml:space="preserve"> </w:t>
            </w:r>
            <w:r w:rsidRPr="00727DFA">
              <w:rPr>
                <w:rFonts w:eastAsia="Times New Roman"/>
                <w:color w:val="000000" w:themeColor="text1"/>
                <w:szCs w:val="24"/>
              </w:rPr>
              <w:t>pneumonia</w:t>
            </w:r>
            <w:r w:rsidRPr="00727DFA">
              <w:rPr>
                <w:rFonts w:eastAsia="Times New Roman"/>
                <w:color w:val="000000" w:themeColor="text1"/>
                <w:spacing w:val="33"/>
                <w:szCs w:val="24"/>
              </w:rPr>
              <w:t xml:space="preserve"> </w:t>
            </w:r>
            <w:r w:rsidRPr="00727DFA">
              <w:rPr>
                <w:rFonts w:eastAsia="Times New Roman"/>
                <w:color w:val="000000" w:themeColor="text1"/>
                <w:szCs w:val="24"/>
              </w:rPr>
              <w:t>in</w:t>
            </w:r>
            <w:r w:rsidRPr="00727DFA">
              <w:rPr>
                <w:rFonts w:eastAsia="Times New Roman"/>
                <w:color w:val="000000" w:themeColor="text1"/>
                <w:spacing w:val="35"/>
                <w:szCs w:val="24"/>
              </w:rPr>
              <w:t xml:space="preserve"> </w:t>
            </w:r>
            <w:r w:rsidRPr="00727DFA">
              <w:rPr>
                <w:rFonts w:eastAsia="Times New Roman"/>
                <w:color w:val="000000" w:themeColor="text1"/>
                <w:szCs w:val="24"/>
              </w:rPr>
              <w:t>infants,</w:t>
            </w:r>
            <w:r w:rsidRPr="00727DFA">
              <w:rPr>
                <w:rFonts w:eastAsia="Times New Roman"/>
                <w:color w:val="000000" w:themeColor="text1"/>
                <w:spacing w:val="1"/>
                <w:szCs w:val="24"/>
              </w:rPr>
              <w:t xml:space="preserve"> </w:t>
            </w:r>
            <w:r w:rsidRPr="00727DFA">
              <w:rPr>
                <w:rFonts w:eastAsia="Times New Roman"/>
                <w:color w:val="000000" w:themeColor="text1"/>
                <w:szCs w:val="24"/>
              </w:rPr>
              <w:t>legionnaires</w:t>
            </w:r>
            <w:r w:rsidRPr="00727DFA">
              <w:rPr>
                <w:rFonts w:eastAsia="Times New Roman"/>
                <w:color w:val="000000" w:themeColor="text1"/>
                <w:spacing w:val="1"/>
                <w:szCs w:val="24"/>
              </w:rPr>
              <w:t xml:space="preserve"> </w:t>
            </w:r>
            <w:r w:rsidRPr="00727DFA">
              <w:rPr>
                <w:rFonts w:eastAsia="Times New Roman"/>
                <w:color w:val="000000" w:themeColor="text1"/>
                <w:szCs w:val="24"/>
              </w:rPr>
              <w:t>disease,</w:t>
            </w:r>
            <w:r w:rsidRPr="00727DFA">
              <w:rPr>
                <w:rFonts w:eastAsia="Times New Roman"/>
                <w:color w:val="000000" w:themeColor="text1"/>
                <w:spacing w:val="1"/>
                <w:szCs w:val="24"/>
              </w:rPr>
              <w:t xml:space="preserve"> </w:t>
            </w:r>
            <w:r w:rsidRPr="00727DFA">
              <w:rPr>
                <w:rFonts w:eastAsia="Times New Roman"/>
                <w:color w:val="000000" w:themeColor="text1"/>
                <w:szCs w:val="24"/>
              </w:rPr>
              <w:t>pharyngitis, sinusitis, pertussis (whooping cough), gonorrhea, syphilis, urethritis, osteomyelitis, lymphogranuloma venereum, diphtheria, prostatitis, scarlet fever</w:t>
            </w:r>
            <w:r>
              <w:rPr>
                <w:rFonts w:eastAsia="Times New Roman"/>
                <w:color w:val="000000" w:themeColor="text1"/>
                <w:szCs w:val="24"/>
              </w:rPr>
              <w:t>.</w:t>
            </w:r>
          </w:p>
          <w:p w14:paraId="6F52AF7D"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color w:val="000000" w:themeColor="text1"/>
                <w:szCs w:val="24"/>
              </w:rPr>
              <w:t>Skin and soft tissue infections: boils and carbuncles, abscesses, pustular acne, paronychia, impetigo, cellulitis, erysipelas, prophylaxis of bacterial</w:t>
            </w:r>
            <w:r w:rsidRPr="00727DFA">
              <w:rPr>
                <w:rFonts w:eastAsia="Times New Roman"/>
                <w:color w:val="000000" w:themeColor="text1"/>
                <w:spacing w:val="1"/>
                <w:szCs w:val="24"/>
              </w:rPr>
              <w:t xml:space="preserve"> </w:t>
            </w:r>
            <w:r w:rsidRPr="00727DFA">
              <w:rPr>
                <w:rFonts w:eastAsia="Times New Roman"/>
                <w:color w:val="000000" w:themeColor="text1"/>
                <w:szCs w:val="24"/>
              </w:rPr>
              <w:t xml:space="preserve">endocarditis and for long-term prophylaxis of rheumatic </w:t>
            </w:r>
            <w:r w:rsidRPr="00727DFA">
              <w:rPr>
                <w:rFonts w:eastAsia="Times New Roman"/>
                <w:color w:val="000000" w:themeColor="text1"/>
                <w:spacing w:val="-57"/>
                <w:szCs w:val="24"/>
              </w:rPr>
              <w:t xml:space="preserve">f </w:t>
            </w:r>
            <w:r w:rsidRPr="00727DFA">
              <w:rPr>
                <w:rFonts w:eastAsia="Times New Roman"/>
                <w:color w:val="000000" w:themeColor="text1"/>
                <w:szCs w:val="24"/>
              </w:rPr>
              <w:t>ever (alternative to penicillin in hypersensitive patients)</w:t>
            </w:r>
            <w:r>
              <w:rPr>
                <w:rFonts w:eastAsia="Times New Roman"/>
                <w:color w:val="000000" w:themeColor="text1"/>
                <w:szCs w:val="24"/>
              </w:rPr>
              <w:t>.</w:t>
            </w:r>
          </w:p>
        </w:tc>
      </w:tr>
      <w:tr w:rsidR="007B485D" w:rsidRPr="00727DFA" w14:paraId="76E77AA9"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2B9D9C0C"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Dose and administration</w:t>
            </w:r>
          </w:p>
        </w:tc>
        <w:tc>
          <w:tcPr>
            <w:tcW w:w="6570" w:type="dxa"/>
            <w:tcBorders>
              <w:top w:val="single" w:sz="4" w:space="0" w:color="auto"/>
              <w:left w:val="single" w:sz="4" w:space="0" w:color="auto"/>
              <w:bottom w:val="single" w:sz="4" w:space="0" w:color="auto"/>
              <w:right w:val="single" w:sz="4" w:space="0" w:color="auto"/>
            </w:tcBorders>
            <w:hideMark/>
          </w:tcPr>
          <w:p w14:paraId="58784948"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bCs/>
                <w:color w:val="000000" w:themeColor="text1"/>
                <w:szCs w:val="24"/>
              </w:rPr>
              <w:t>Endocarditis</w:t>
            </w:r>
            <w:r w:rsidRPr="00727DFA">
              <w:rPr>
                <w:rFonts w:eastAsia="Times New Roman"/>
                <w:b/>
                <w:bCs/>
                <w:color w:val="000000" w:themeColor="text1"/>
                <w:spacing w:val="1"/>
                <w:szCs w:val="24"/>
              </w:rPr>
              <w:t xml:space="preserve"> </w:t>
            </w:r>
            <w:r w:rsidRPr="00727DFA">
              <w:rPr>
                <w:rFonts w:eastAsia="Times New Roman"/>
                <w:b/>
                <w:bCs/>
                <w:color w:val="000000" w:themeColor="text1"/>
                <w:szCs w:val="24"/>
              </w:rPr>
              <w:t>(prophylaxis); Oral:</w:t>
            </w:r>
            <w:r w:rsidRPr="00727DFA">
              <w:rPr>
                <w:rFonts w:eastAsia="Times New Roman"/>
                <w:color w:val="000000" w:themeColor="text1"/>
                <w:szCs w:val="24"/>
              </w:rPr>
              <w:t xml:space="preserve"> </w:t>
            </w:r>
          </w:p>
          <w:p w14:paraId="19A02F97" w14:textId="77777777" w:rsidR="007B485D" w:rsidRPr="00727DFA" w:rsidRDefault="007B485D" w:rsidP="002D6DD7">
            <w:pPr>
              <w:widowControl w:val="0"/>
              <w:autoSpaceDE w:val="0"/>
              <w:autoSpaceDN w:val="0"/>
              <w:ind w:hanging="165"/>
              <w:jc w:val="both"/>
              <w:rPr>
                <w:rFonts w:eastAsia="Times New Roman"/>
                <w:color w:val="000000" w:themeColor="text1"/>
                <w:szCs w:val="24"/>
              </w:rPr>
            </w:pPr>
            <w:r w:rsidRPr="00727DFA">
              <w:rPr>
                <w:rFonts w:eastAsia="Times New Roman"/>
                <w:color w:val="000000" w:themeColor="text1"/>
                <w:szCs w:val="24"/>
              </w:rPr>
              <w:t xml:space="preserve">   </w:t>
            </w:r>
            <w:r w:rsidRPr="00727DFA">
              <w:rPr>
                <w:rFonts w:eastAsia="Times New Roman"/>
                <w:b/>
                <w:color w:val="000000" w:themeColor="text1"/>
                <w:szCs w:val="24"/>
              </w:rPr>
              <w:t>Adult</w:t>
            </w:r>
            <w:r w:rsidRPr="00727DFA">
              <w:rPr>
                <w:rFonts w:eastAsia="Times New Roman"/>
                <w:color w:val="000000" w:themeColor="text1"/>
                <w:szCs w:val="24"/>
              </w:rPr>
              <w:t>:1gm (base) one hour prior to the procedure, and</w:t>
            </w:r>
            <w:r w:rsidRPr="00727DFA">
              <w:rPr>
                <w:rFonts w:eastAsia="Times New Roman"/>
                <w:color w:val="000000" w:themeColor="text1"/>
                <w:spacing w:val="1"/>
                <w:szCs w:val="24"/>
              </w:rPr>
              <w:t xml:space="preserve"> </w:t>
            </w:r>
            <w:r w:rsidRPr="00727DFA">
              <w:rPr>
                <w:rFonts w:eastAsia="Times New Roman"/>
                <w:color w:val="000000" w:themeColor="text1"/>
                <w:szCs w:val="24"/>
              </w:rPr>
              <w:t>500mg</w:t>
            </w:r>
            <w:r w:rsidRPr="00727DFA">
              <w:rPr>
                <w:rFonts w:eastAsia="Times New Roman"/>
                <w:color w:val="000000" w:themeColor="text1"/>
                <w:spacing w:val="54"/>
                <w:szCs w:val="24"/>
              </w:rPr>
              <w:t xml:space="preserve"> </w:t>
            </w:r>
            <w:r w:rsidRPr="00727DFA">
              <w:rPr>
                <w:rFonts w:eastAsia="Times New Roman"/>
                <w:color w:val="000000" w:themeColor="text1"/>
                <w:szCs w:val="24"/>
              </w:rPr>
              <w:t>6</w:t>
            </w:r>
            <w:r w:rsidRPr="00727DFA">
              <w:rPr>
                <w:rFonts w:eastAsia="Times New Roman"/>
                <w:color w:val="000000" w:themeColor="text1"/>
                <w:spacing w:val="57"/>
                <w:szCs w:val="24"/>
              </w:rPr>
              <w:t xml:space="preserve"> </w:t>
            </w:r>
            <w:r w:rsidRPr="00727DFA">
              <w:rPr>
                <w:rFonts w:eastAsia="Times New Roman"/>
                <w:color w:val="000000" w:themeColor="text1"/>
                <w:szCs w:val="24"/>
              </w:rPr>
              <w:lastRenderedPageBreak/>
              <w:t>hours</w:t>
            </w:r>
            <w:r w:rsidRPr="00727DFA">
              <w:rPr>
                <w:rFonts w:eastAsia="Times New Roman"/>
                <w:color w:val="000000" w:themeColor="text1"/>
                <w:spacing w:val="56"/>
                <w:szCs w:val="24"/>
              </w:rPr>
              <w:t xml:space="preserve"> </w:t>
            </w:r>
            <w:r w:rsidRPr="00727DFA">
              <w:rPr>
                <w:rFonts w:eastAsia="Times New Roman"/>
                <w:color w:val="000000" w:themeColor="text1"/>
                <w:szCs w:val="24"/>
              </w:rPr>
              <w:t>following</w:t>
            </w:r>
            <w:r w:rsidRPr="00727DFA">
              <w:rPr>
                <w:rFonts w:eastAsia="Times New Roman"/>
                <w:color w:val="000000" w:themeColor="text1"/>
                <w:spacing w:val="55"/>
                <w:szCs w:val="24"/>
              </w:rPr>
              <w:t xml:space="preserve"> </w:t>
            </w:r>
            <w:r w:rsidRPr="00727DFA">
              <w:rPr>
                <w:rFonts w:eastAsia="Times New Roman"/>
                <w:color w:val="000000" w:themeColor="text1"/>
                <w:szCs w:val="24"/>
              </w:rPr>
              <w:t>the</w:t>
            </w:r>
            <w:r w:rsidRPr="00727DFA">
              <w:rPr>
                <w:rFonts w:eastAsia="Times New Roman"/>
                <w:color w:val="000000" w:themeColor="text1"/>
                <w:spacing w:val="55"/>
                <w:szCs w:val="24"/>
              </w:rPr>
              <w:t xml:space="preserve"> </w:t>
            </w:r>
            <w:r w:rsidRPr="00727DFA">
              <w:rPr>
                <w:rFonts w:eastAsia="Times New Roman"/>
                <w:color w:val="000000" w:themeColor="text1"/>
                <w:szCs w:val="24"/>
              </w:rPr>
              <w:t>procedure</w:t>
            </w:r>
          </w:p>
          <w:p w14:paraId="314E84EE" w14:textId="77777777" w:rsidR="007B485D" w:rsidRPr="00727DFA" w:rsidRDefault="007B485D" w:rsidP="002D6DD7">
            <w:pPr>
              <w:widowControl w:val="0"/>
              <w:autoSpaceDE w:val="0"/>
              <w:autoSpaceDN w:val="0"/>
              <w:ind w:hanging="165"/>
              <w:jc w:val="both"/>
              <w:rPr>
                <w:rFonts w:eastAsia="Times New Roman"/>
                <w:color w:val="000000" w:themeColor="text1"/>
                <w:spacing w:val="57"/>
                <w:szCs w:val="24"/>
              </w:rPr>
            </w:pPr>
            <w:r w:rsidRPr="00727DFA">
              <w:rPr>
                <w:rFonts w:eastAsia="Times New Roman"/>
                <w:color w:val="000000" w:themeColor="text1"/>
                <w:szCs w:val="24"/>
              </w:rPr>
              <w:t xml:space="preserve">   </w:t>
            </w:r>
            <w:r w:rsidRPr="00727DFA">
              <w:rPr>
                <w:rFonts w:eastAsia="Times New Roman"/>
                <w:b/>
                <w:color w:val="000000" w:themeColor="text1"/>
                <w:szCs w:val="24"/>
              </w:rPr>
              <w:t>Child</w:t>
            </w:r>
            <w:r w:rsidRPr="00727DFA">
              <w:rPr>
                <w:rFonts w:eastAsia="Times New Roman"/>
                <w:color w:val="000000" w:themeColor="text1"/>
                <w:szCs w:val="24"/>
              </w:rPr>
              <w:t>: 20mg</w:t>
            </w:r>
            <w:r w:rsidRPr="00727DFA">
              <w:rPr>
                <w:rFonts w:eastAsia="Times New Roman"/>
                <w:color w:val="000000" w:themeColor="text1"/>
                <w:spacing w:val="39"/>
                <w:szCs w:val="24"/>
              </w:rPr>
              <w:t xml:space="preserve"> </w:t>
            </w:r>
            <w:r w:rsidRPr="00727DFA">
              <w:rPr>
                <w:rFonts w:eastAsia="Times New Roman"/>
                <w:color w:val="000000" w:themeColor="text1"/>
                <w:szCs w:val="24"/>
              </w:rPr>
              <w:t>(base)</w:t>
            </w:r>
            <w:r w:rsidRPr="00727DFA">
              <w:rPr>
                <w:rFonts w:eastAsia="Times New Roman"/>
                <w:color w:val="000000" w:themeColor="text1"/>
                <w:spacing w:val="-57"/>
                <w:szCs w:val="24"/>
              </w:rPr>
              <w:t xml:space="preserve"> </w:t>
            </w:r>
            <w:r w:rsidRPr="00727DFA">
              <w:rPr>
                <w:rFonts w:eastAsia="Times New Roman"/>
                <w:color w:val="000000" w:themeColor="text1"/>
                <w:szCs w:val="24"/>
              </w:rPr>
              <w:t>per</w:t>
            </w:r>
            <w:r w:rsidRPr="00727DFA">
              <w:rPr>
                <w:rFonts w:eastAsia="Times New Roman"/>
                <w:color w:val="000000" w:themeColor="text1"/>
                <w:spacing w:val="51"/>
                <w:szCs w:val="24"/>
              </w:rPr>
              <w:t xml:space="preserve"> </w:t>
            </w:r>
            <w:r w:rsidRPr="00727DFA">
              <w:rPr>
                <w:rFonts w:eastAsia="Times New Roman"/>
                <w:color w:val="000000" w:themeColor="text1"/>
                <w:szCs w:val="24"/>
              </w:rPr>
              <w:t>kg</w:t>
            </w:r>
            <w:r w:rsidRPr="00727DFA">
              <w:rPr>
                <w:rFonts w:eastAsia="Times New Roman"/>
                <w:color w:val="000000" w:themeColor="text1"/>
                <w:spacing w:val="50"/>
                <w:szCs w:val="24"/>
              </w:rPr>
              <w:t xml:space="preserve"> </w:t>
            </w:r>
            <w:r w:rsidRPr="00727DFA">
              <w:rPr>
                <w:rFonts w:eastAsia="Times New Roman"/>
                <w:color w:val="000000" w:themeColor="text1"/>
                <w:szCs w:val="24"/>
              </w:rPr>
              <w:t>of</w:t>
            </w:r>
            <w:r w:rsidRPr="00727DFA">
              <w:rPr>
                <w:rFonts w:eastAsia="Times New Roman"/>
                <w:color w:val="000000" w:themeColor="text1"/>
                <w:spacing w:val="52"/>
                <w:szCs w:val="24"/>
              </w:rPr>
              <w:t xml:space="preserve"> </w:t>
            </w:r>
            <w:r w:rsidRPr="00727DFA">
              <w:rPr>
                <w:rFonts w:eastAsia="Times New Roman"/>
                <w:color w:val="000000" w:themeColor="text1"/>
                <w:szCs w:val="24"/>
              </w:rPr>
              <w:t>body</w:t>
            </w:r>
            <w:r w:rsidRPr="00727DFA">
              <w:rPr>
                <w:rFonts w:eastAsia="Times New Roman"/>
                <w:color w:val="000000" w:themeColor="text1"/>
                <w:spacing w:val="48"/>
                <w:szCs w:val="24"/>
              </w:rPr>
              <w:t xml:space="preserve"> </w:t>
            </w:r>
            <w:r w:rsidRPr="00727DFA">
              <w:rPr>
                <w:rFonts w:eastAsia="Times New Roman"/>
                <w:color w:val="000000" w:themeColor="text1"/>
                <w:szCs w:val="24"/>
              </w:rPr>
              <w:t>weight</w:t>
            </w:r>
            <w:r w:rsidRPr="00727DFA">
              <w:rPr>
                <w:rFonts w:eastAsia="Times New Roman"/>
                <w:color w:val="000000" w:themeColor="text1"/>
                <w:spacing w:val="53"/>
                <w:szCs w:val="24"/>
              </w:rPr>
              <w:t xml:space="preserve"> </w:t>
            </w:r>
            <w:r w:rsidRPr="00727DFA">
              <w:rPr>
                <w:rFonts w:eastAsia="Times New Roman"/>
                <w:color w:val="000000" w:themeColor="text1"/>
                <w:szCs w:val="24"/>
              </w:rPr>
              <w:t>one</w:t>
            </w:r>
            <w:r w:rsidRPr="00727DFA">
              <w:rPr>
                <w:rFonts w:eastAsia="Times New Roman"/>
                <w:color w:val="000000" w:themeColor="text1"/>
                <w:spacing w:val="51"/>
                <w:szCs w:val="24"/>
              </w:rPr>
              <w:t xml:space="preserve"> </w:t>
            </w:r>
            <w:r w:rsidRPr="00727DFA">
              <w:rPr>
                <w:rFonts w:eastAsia="Times New Roman"/>
                <w:color w:val="000000" w:themeColor="text1"/>
                <w:szCs w:val="24"/>
              </w:rPr>
              <w:t>hour</w:t>
            </w:r>
            <w:r w:rsidRPr="00727DFA">
              <w:rPr>
                <w:rFonts w:eastAsia="Times New Roman"/>
                <w:color w:val="000000" w:themeColor="text1"/>
                <w:spacing w:val="52"/>
                <w:szCs w:val="24"/>
              </w:rPr>
              <w:t xml:space="preserve"> </w:t>
            </w:r>
            <w:r w:rsidRPr="00727DFA">
              <w:rPr>
                <w:rFonts w:eastAsia="Times New Roman"/>
                <w:color w:val="000000" w:themeColor="text1"/>
                <w:szCs w:val="24"/>
              </w:rPr>
              <w:t>prior</w:t>
            </w:r>
            <w:r w:rsidRPr="00727DFA">
              <w:rPr>
                <w:rFonts w:eastAsia="Times New Roman"/>
                <w:color w:val="000000" w:themeColor="text1"/>
                <w:spacing w:val="52"/>
                <w:szCs w:val="24"/>
              </w:rPr>
              <w:t xml:space="preserve"> </w:t>
            </w:r>
            <w:r w:rsidRPr="00727DFA">
              <w:rPr>
                <w:rFonts w:eastAsia="Times New Roman"/>
                <w:color w:val="000000" w:themeColor="text1"/>
                <w:szCs w:val="24"/>
              </w:rPr>
              <w:t>to</w:t>
            </w:r>
            <w:r w:rsidRPr="00727DFA">
              <w:rPr>
                <w:rFonts w:eastAsia="Times New Roman"/>
                <w:color w:val="000000" w:themeColor="text1"/>
                <w:spacing w:val="52"/>
                <w:szCs w:val="24"/>
              </w:rPr>
              <w:t xml:space="preserve"> </w:t>
            </w:r>
            <w:r w:rsidRPr="00727DFA">
              <w:rPr>
                <w:rFonts w:eastAsia="Times New Roman"/>
                <w:color w:val="000000" w:themeColor="text1"/>
                <w:szCs w:val="24"/>
              </w:rPr>
              <w:t>the</w:t>
            </w:r>
            <w:r w:rsidRPr="00727DFA">
              <w:rPr>
                <w:rFonts w:eastAsia="Times New Roman"/>
                <w:color w:val="000000" w:themeColor="text1"/>
                <w:spacing w:val="51"/>
                <w:szCs w:val="24"/>
              </w:rPr>
              <w:t xml:space="preserve"> </w:t>
            </w:r>
            <w:r w:rsidRPr="00727DFA">
              <w:rPr>
                <w:rFonts w:eastAsia="Times New Roman"/>
                <w:color w:val="000000" w:themeColor="text1"/>
                <w:szCs w:val="24"/>
              </w:rPr>
              <w:t>procedure,</w:t>
            </w:r>
            <w:r w:rsidRPr="00727DFA">
              <w:rPr>
                <w:rFonts w:eastAsia="Times New Roman"/>
                <w:color w:val="000000" w:themeColor="text1"/>
                <w:spacing w:val="51"/>
                <w:szCs w:val="24"/>
              </w:rPr>
              <w:t xml:space="preserve"> </w:t>
            </w:r>
            <w:r w:rsidRPr="00727DFA">
              <w:rPr>
                <w:rFonts w:eastAsia="Times New Roman"/>
                <w:color w:val="000000" w:themeColor="text1"/>
                <w:szCs w:val="24"/>
              </w:rPr>
              <w:t>and</w:t>
            </w:r>
            <w:r w:rsidRPr="00727DFA">
              <w:rPr>
                <w:rFonts w:eastAsia="Times New Roman"/>
                <w:color w:val="000000" w:themeColor="text1"/>
                <w:spacing w:val="-57"/>
                <w:szCs w:val="24"/>
              </w:rPr>
              <w:t xml:space="preserve"> </w:t>
            </w:r>
            <w:r w:rsidRPr="00727DFA">
              <w:rPr>
                <w:rFonts w:eastAsia="Times New Roman"/>
                <w:color w:val="000000" w:themeColor="text1"/>
                <w:szCs w:val="24"/>
              </w:rPr>
              <w:t>10mg per kg of body weight six hours following the procedure</w:t>
            </w:r>
          </w:p>
          <w:p w14:paraId="2C4E6678"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bCs/>
                <w:color w:val="000000" w:themeColor="text1"/>
                <w:szCs w:val="24"/>
              </w:rPr>
              <w:t>Genitourinary</w:t>
            </w:r>
            <w:r w:rsidRPr="00727DFA">
              <w:rPr>
                <w:rFonts w:eastAsia="Times New Roman"/>
                <w:b/>
                <w:bCs/>
                <w:color w:val="000000" w:themeColor="text1"/>
                <w:spacing w:val="55"/>
                <w:szCs w:val="24"/>
              </w:rPr>
              <w:t xml:space="preserve"> </w:t>
            </w:r>
            <w:r w:rsidRPr="00727DFA">
              <w:rPr>
                <w:rFonts w:eastAsia="Times New Roman"/>
                <w:b/>
                <w:bCs/>
                <w:color w:val="000000" w:themeColor="text1"/>
                <w:szCs w:val="24"/>
              </w:rPr>
              <w:t>tract infection, including chlamydial; Oral:</w:t>
            </w:r>
            <w:r w:rsidRPr="00727DFA">
              <w:rPr>
                <w:rFonts w:eastAsia="Times New Roman"/>
                <w:color w:val="000000" w:themeColor="text1"/>
                <w:szCs w:val="24"/>
              </w:rPr>
              <w:t xml:space="preserve">           </w:t>
            </w:r>
          </w:p>
          <w:p w14:paraId="56BDD26C"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color w:val="000000" w:themeColor="text1"/>
                <w:szCs w:val="24"/>
              </w:rPr>
              <w:t>Adult</w:t>
            </w:r>
            <w:r w:rsidRPr="00727DFA">
              <w:rPr>
                <w:rFonts w:eastAsia="Times New Roman"/>
                <w:color w:val="000000" w:themeColor="text1"/>
                <w:szCs w:val="24"/>
              </w:rPr>
              <w:t>: 500mg (base) every six</w:t>
            </w:r>
            <w:r w:rsidRPr="00727DFA">
              <w:rPr>
                <w:rFonts w:eastAsia="Times New Roman"/>
                <w:color w:val="000000" w:themeColor="text1"/>
                <w:spacing w:val="1"/>
                <w:szCs w:val="24"/>
              </w:rPr>
              <w:t xml:space="preserve"> </w:t>
            </w:r>
            <w:r w:rsidRPr="00727DFA">
              <w:rPr>
                <w:rFonts w:eastAsia="Times New Roman"/>
                <w:color w:val="000000" w:themeColor="text1"/>
                <w:szCs w:val="24"/>
              </w:rPr>
              <w:t>hours</w:t>
            </w:r>
          </w:p>
          <w:p w14:paraId="4B3E685A" w14:textId="77777777" w:rsidR="007B485D" w:rsidRPr="00727DFA" w:rsidRDefault="007B485D" w:rsidP="002D6DD7">
            <w:pPr>
              <w:widowControl w:val="0"/>
              <w:autoSpaceDE w:val="0"/>
              <w:autoSpaceDN w:val="0"/>
              <w:ind w:hanging="165"/>
              <w:jc w:val="both"/>
              <w:rPr>
                <w:rFonts w:eastAsia="Times New Roman"/>
                <w:color w:val="000000" w:themeColor="text1"/>
                <w:szCs w:val="24"/>
              </w:rPr>
            </w:pPr>
            <w:r w:rsidRPr="00727DFA">
              <w:rPr>
                <w:rFonts w:eastAsia="Times New Roman"/>
                <w:b/>
                <w:bCs/>
                <w:color w:val="000000" w:themeColor="text1"/>
                <w:szCs w:val="24"/>
              </w:rPr>
              <w:t xml:space="preserve">   Child</w:t>
            </w:r>
            <w:r w:rsidRPr="00727DFA">
              <w:rPr>
                <w:rFonts w:eastAsia="Times New Roman"/>
                <w:color w:val="000000" w:themeColor="text1"/>
                <w:szCs w:val="24"/>
              </w:rPr>
              <w:t>: 12.5mg (base) per kg of body weight every 6 hours</w:t>
            </w:r>
          </w:p>
          <w:p w14:paraId="34362CD9" w14:textId="77777777" w:rsidR="007B485D" w:rsidRPr="00727DFA" w:rsidRDefault="007B485D" w:rsidP="002D6DD7">
            <w:pPr>
              <w:widowControl w:val="0"/>
              <w:autoSpaceDE w:val="0"/>
              <w:autoSpaceDN w:val="0"/>
              <w:jc w:val="both"/>
              <w:rPr>
                <w:rFonts w:eastAsia="Times New Roman"/>
                <w:color w:val="000000" w:themeColor="text1"/>
                <w:spacing w:val="60"/>
                <w:szCs w:val="24"/>
              </w:rPr>
            </w:pPr>
            <w:r w:rsidRPr="00727DFA">
              <w:rPr>
                <w:rFonts w:eastAsia="Times New Roman"/>
                <w:b/>
                <w:bCs/>
                <w:color w:val="000000" w:themeColor="text1"/>
                <w:szCs w:val="24"/>
              </w:rPr>
              <w:t>Legionnaires’</w:t>
            </w:r>
            <w:r w:rsidRPr="00727DFA">
              <w:rPr>
                <w:rFonts w:eastAsia="Times New Roman"/>
                <w:b/>
                <w:bCs/>
                <w:color w:val="000000" w:themeColor="text1"/>
                <w:spacing w:val="1"/>
                <w:szCs w:val="24"/>
              </w:rPr>
              <w:t xml:space="preserve"> </w:t>
            </w:r>
            <w:r w:rsidRPr="00727DFA">
              <w:rPr>
                <w:rFonts w:eastAsia="Times New Roman"/>
                <w:b/>
                <w:bCs/>
                <w:color w:val="000000" w:themeColor="text1"/>
                <w:szCs w:val="24"/>
              </w:rPr>
              <w:t>disease;</w:t>
            </w:r>
            <w:r w:rsidRPr="00727DFA">
              <w:rPr>
                <w:rFonts w:eastAsia="Times New Roman"/>
                <w:color w:val="000000" w:themeColor="text1"/>
                <w:spacing w:val="1"/>
                <w:szCs w:val="24"/>
              </w:rPr>
              <w:t xml:space="preserve"> </w:t>
            </w:r>
            <w:r w:rsidRPr="00727DFA">
              <w:rPr>
                <w:rFonts w:eastAsia="Times New Roman"/>
                <w:color w:val="000000" w:themeColor="text1"/>
                <w:szCs w:val="24"/>
              </w:rPr>
              <w:t>Oral:</w:t>
            </w:r>
            <w:r w:rsidRPr="00727DFA">
              <w:rPr>
                <w:rFonts w:eastAsia="Times New Roman"/>
                <w:color w:val="000000" w:themeColor="text1"/>
                <w:spacing w:val="60"/>
                <w:szCs w:val="24"/>
              </w:rPr>
              <w:t xml:space="preserve"> </w:t>
            </w:r>
          </w:p>
          <w:p w14:paraId="1D6346BE"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bCs/>
                <w:color w:val="000000" w:themeColor="text1"/>
                <w:szCs w:val="24"/>
              </w:rPr>
              <w:t>Adult</w:t>
            </w:r>
            <w:r w:rsidRPr="00727DFA">
              <w:rPr>
                <w:rFonts w:eastAsia="Times New Roman"/>
                <w:color w:val="000000" w:themeColor="text1"/>
                <w:szCs w:val="24"/>
              </w:rPr>
              <w:t>: 500mg</w:t>
            </w:r>
            <w:r w:rsidRPr="00727DFA">
              <w:rPr>
                <w:rFonts w:eastAsia="Times New Roman"/>
                <w:color w:val="000000" w:themeColor="text1"/>
                <w:spacing w:val="1"/>
                <w:szCs w:val="24"/>
              </w:rPr>
              <w:t xml:space="preserve"> </w:t>
            </w:r>
            <w:r w:rsidRPr="00727DFA">
              <w:rPr>
                <w:rFonts w:eastAsia="Times New Roman"/>
                <w:color w:val="000000" w:themeColor="text1"/>
                <w:szCs w:val="24"/>
              </w:rPr>
              <w:t>(base)</w:t>
            </w:r>
            <w:r w:rsidRPr="00727DFA">
              <w:rPr>
                <w:rFonts w:eastAsia="Times New Roman"/>
                <w:color w:val="000000" w:themeColor="text1"/>
                <w:spacing w:val="6"/>
                <w:szCs w:val="24"/>
              </w:rPr>
              <w:t xml:space="preserve"> </w:t>
            </w:r>
            <w:r w:rsidRPr="00727DFA">
              <w:rPr>
                <w:rFonts w:eastAsia="Times New Roman"/>
                <w:color w:val="000000" w:themeColor="text1"/>
                <w:szCs w:val="24"/>
              </w:rPr>
              <w:t>to</w:t>
            </w:r>
            <w:r w:rsidRPr="00727DFA">
              <w:rPr>
                <w:rFonts w:eastAsia="Times New Roman"/>
                <w:color w:val="000000" w:themeColor="text1"/>
                <w:spacing w:val="5"/>
                <w:szCs w:val="24"/>
              </w:rPr>
              <w:t xml:space="preserve"> </w:t>
            </w:r>
            <w:r w:rsidRPr="00727DFA">
              <w:rPr>
                <w:rFonts w:eastAsia="Times New Roman"/>
                <w:color w:val="000000" w:themeColor="text1"/>
                <w:szCs w:val="24"/>
              </w:rPr>
              <w:t>1gm(base)</w:t>
            </w:r>
            <w:r w:rsidRPr="00727DFA">
              <w:rPr>
                <w:rFonts w:eastAsia="Times New Roman"/>
                <w:color w:val="000000" w:themeColor="text1"/>
                <w:spacing w:val="6"/>
                <w:szCs w:val="24"/>
              </w:rPr>
              <w:t xml:space="preserve"> </w:t>
            </w:r>
            <w:r w:rsidRPr="00727DFA">
              <w:rPr>
                <w:rFonts w:eastAsia="Times New Roman"/>
                <w:color w:val="000000" w:themeColor="text1"/>
                <w:szCs w:val="24"/>
              </w:rPr>
              <w:t>every</w:t>
            </w:r>
            <w:r w:rsidRPr="00727DFA">
              <w:rPr>
                <w:rFonts w:eastAsia="Times New Roman"/>
                <w:color w:val="000000" w:themeColor="text1"/>
                <w:spacing w:val="2"/>
                <w:szCs w:val="24"/>
              </w:rPr>
              <w:t xml:space="preserve"> </w:t>
            </w:r>
            <w:r w:rsidRPr="00727DFA">
              <w:rPr>
                <w:rFonts w:eastAsia="Times New Roman"/>
                <w:color w:val="000000" w:themeColor="text1"/>
                <w:szCs w:val="24"/>
              </w:rPr>
              <w:t>six</w:t>
            </w:r>
            <w:r w:rsidRPr="00727DFA">
              <w:rPr>
                <w:rFonts w:eastAsia="Times New Roman"/>
                <w:color w:val="000000" w:themeColor="text1"/>
                <w:spacing w:val="7"/>
                <w:szCs w:val="24"/>
              </w:rPr>
              <w:t xml:space="preserve"> </w:t>
            </w:r>
            <w:r w:rsidRPr="00727DFA">
              <w:rPr>
                <w:rFonts w:eastAsia="Times New Roman"/>
                <w:color w:val="000000" w:themeColor="text1"/>
                <w:szCs w:val="24"/>
              </w:rPr>
              <w:t>hours</w:t>
            </w:r>
          </w:p>
          <w:p w14:paraId="049DAC90"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bCs/>
                <w:color w:val="000000" w:themeColor="text1"/>
                <w:szCs w:val="24"/>
              </w:rPr>
              <w:t>Long-term prophylaxis of Streptococcal</w:t>
            </w:r>
            <w:r w:rsidRPr="00727DFA">
              <w:rPr>
                <w:rFonts w:eastAsia="Times New Roman"/>
                <w:b/>
                <w:bCs/>
                <w:color w:val="000000" w:themeColor="text1"/>
                <w:spacing w:val="10"/>
                <w:szCs w:val="24"/>
              </w:rPr>
              <w:t xml:space="preserve"> </w:t>
            </w:r>
            <w:r w:rsidRPr="00727DFA">
              <w:rPr>
                <w:rFonts w:eastAsia="Times New Roman"/>
                <w:b/>
                <w:bCs/>
                <w:color w:val="000000" w:themeColor="text1"/>
                <w:szCs w:val="24"/>
              </w:rPr>
              <w:t>infections in patients</w:t>
            </w:r>
            <w:r w:rsidRPr="00727DFA">
              <w:rPr>
                <w:rFonts w:eastAsia="Times New Roman"/>
                <w:b/>
                <w:bCs/>
                <w:color w:val="000000" w:themeColor="text1"/>
                <w:spacing w:val="1"/>
                <w:szCs w:val="24"/>
              </w:rPr>
              <w:t xml:space="preserve"> </w:t>
            </w:r>
            <w:r w:rsidRPr="00727DFA">
              <w:rPr>
                <w:rFonts w:eastAsia="Times New Roman"/>
                <w:b/>
                <w:bCs/>
                <w:color w:val="000000" w:themeColor="text1"/>
                <w:szCs w:val="24"/>
              </w:rPr>
              <w:t>with a history of rheumatic heart disease; Oral</w:t>
            </w:r>
            <w:r w:rsidRPr="00727DFA">
              <w:rPr>
                <w:rFonts w:eastAsia="Times New Roman"/>
                <w:color w:val="000000" w:themeColor="text1"/>
                <w:szCs w:val="24"/>
              </w:rPr>
              <w:t>:</w:t>
            </w:r>
          </w:p>
          <w:p w14:paraId="2FF1B301"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bCs/>
                <w:color w:val="000000" w:themeColor="text1"/>
                <w:szCs w:val="24"/>
              </w:rPr>
              <w:t>Adult</w:t>
            </w:r>
            <w:r w:rsidRPr="00727DFA">
              <w:rPr>
                <w:rFonts w:eastAsia="Times New Roman"/>
                <w:color w:val="000000" w:themeColor="text1"/>
                <w:szCs w:val="24"/>
              </w:rPr>
              <w:t>: 250mg (base)</w:t>
            </w:r>
            <w:r w:rsidRPr="00727DFA">
              <w:rPr>
                <w:rFonts w:eastAsia="Times New Roman"/>
                <w:color w:val="000000" w:themeColor="text1"/>
                <w:spacing w:val="1"/>
                <w:szCs w:val="24"/>
              </w:rPr>
              <w:t xml:space="preserve"> </w:t>
            </w:r>
            <w:r w:rsidRPr="00727DFA">
              <w:rPr>
                <w:rFonts w:eastAsia="Times New Roman"/>
                <w:color w:val="000000" w:themeColor="text1"/>
                <w:szCs w:val="24"/>
              </w:rPr>
              <w:t>every twelve hours</w:t>
            </w:r>
          </w:p>
          <w:p w14:paraId="666D0B06" w14:textId="77777777" w:rsidR="007B485D" w:rsidRPr="00727DFA" w:rsidRDefault="007B485D" w:rsidP="002D6DD7">
            <w:pPr>
              <w:jc w:val="both"/>
              <w:rPr>
                <w:rFonts w:eastAsia="DengXian"/>
                <w:color w:val="000000" w:themeColor="text1"/>
                <w:szCs w:val="24"/>
              </w:rPr>
            </w:pPr>
            <w:r w:rsidRPr="00727DFA">
              <w:rPr>
                <w:rFonts w:eastAsia="DengXian"/>
                <w:b/>
                <w:bCs/>
                <w:color w:val="000000" w:themeColor="text1"/>
                <w:szCs w:val="24"/>
              </w:rPr>
              <w:t>Pertussis:</w:t>
            </w:r>
          </w:p>
          <w:p w14:paraId="004CC0F9" w14:textId="77777777" w:rsidR="007B485D" w:rsidRPr="00727DFA" w:rsidRDefault="007B485D" w:rsidP="002D6DD7">
            <w:pPr>
              <w:jc w:val="both"/>
              <w:rPr>
                <w:rFonts w:eastAsia="DengXian"/>
                <w:color w:val="000000" w:themeColor="text1"/>
                <w:szCs w:val="24"/>
              </w:rPr>
            </w:pPr>
            <w:r w:rsidRPr="00727DFA">
              <w:rPr>
                <w:rFonts w:eastAsia="DengXian"/>
                <w:b/>
                <w:color w:val="000000" w:themeColor="text1"/>
                <w:szCs w:val="24"/>
              </w:rPr>
              <w:t>Adult</w:t>
            </w:r>
            <w:r w:rsidRPr="00727DFA">
              <w:rPr>
                <w:rFonts w:eastAsia="DengXian"/>
                <w:color w:val="000000" w:themeColor="text1"/>
                <w:szCs w:val="24"/>
              </w:rPr>
              <w:t xml:space="preserve">:  250 mg every six hours </w:t>
            </w:r>
          </w:p>
          <w:p w14:paraId="1B93B121" w14:textId="77777777" w:rsidR="007B485D" w:rsidRPr="00727DFA" w:rsidRDefault="007B485D" w:rsidP="002D6DD7">
            <w:pPr>
              <w:jc w:val="both"/>
              <w:rPr>
                <w:rFonts w:eastAsia="DengXian"/>
                <w:color w:val="000000" w:themeColor="text1"/>
                <w:szCs w:val="24"/>
              </w:rPr>
            </w:pPr>
            <w:r w:rsidRPr="00727DFA">
              <w:rPr>
                <w:rFonts w:eastAsia="DengXian"/>
                <w:b/>
                <w:color w:val="000000" w:themeColor="text1"/>
                <w:szCs w:val="24"/>
              </w:rPr>
              <w:t>Child</w:t>
            </w:r>
            <w:r w:rsidRPr="00727DFA">
              <w:rPr>
                <w:rFonts w:eastAsia="DengXian"/>
                <w:color w:val="000000" w:themeColor="text1"/>
                <w:szCs w:val="24"/>
              </w:rPr>
              <w:t>: 10</w:t>
            </w:r>
            <w:r w:rsidRPr="00727DFA">
              <w:rPr>
                <w:rFonts w:eastAsia="DengXian"/>
                <w:color w:val="000000" w:themeColor="text1"/>
                <w:spacing w:val="13"/>
                <w:szCs w:val="24"/>
              </w:rPr>
              <w:t xml:space="preserve"> </w:t>
            </w:r>
            <w:r w:rsidRPr="00727DFA">
              <w:rPr>
                <w:rFonts w:eastAsia="DengXian"/>
                <w:color w:val="000000" w:themeColor="text1"/>
                <w:szCs w:val="24"/>
              </w:rPr>
              <w:t>to</w:t>
            </w:r>
            <w:r w:rsidRPr="00727DFA">
              <w:rPr>
                <w:rFonts w:eastAsia="DengXian"/>
                <w:color w:val="000000" w:themeColor="text1"/>
                <w:spacing w:val="13"/>
                <w:szCs w:val="24"/>
              </w:rPr>
              <w:t xml:space="preserve"> </w:t>
            </w:r>
            <w:r w:rsidRPr="00727DFA">
              <w:rPr>
                <w:rFonts w:eastAsia="DengXian"/>
                <w:color w:val="000000" w:themeColor="text1"/>
                <w:szCs w:val="24"/>
              </w:rPr>
              <w:t>12.5mg</w:t>
            </w:r>
            <w:r w:rsidRPr="00727DFA">
              <w:rPr>
                <w:rFonts w:eastAsia="DengXian"/>
                <w:color w:val="000000" w:themeColor="text1"/>
                <w:spacing w:val="10"/>
                <w:szCs w:val="24"/>
              </w:rPr>
              <w:t xml:space="preserve"> </w:t>
            </w:r>
            <w:r w:rsidRPr="00727DFA">
              <w:rPr>
                <w:rFonts w:eastAsia="DengXian"/>
                <w:color w:val="000000" w:themeColor="text1"/>
                <w:szCs w:val="24"/>
              </w:rPr>
              <w:t>(base)</w:t>
            </w:r>
            <w:r w:rsidRPr="00727DFA">
              <w:rPr>
                <w:rFonts w:eastAsia="DengXian"/>
                <w:color w:val="000000" w:themeColor="text1"/>
                <w:spacing w:val="13"/>
                <w:szCs w:val="24"/>
              </w:rPr>
              <w:t xml:space="preserve"> </w:t>
            </w:r>
            <w:r w:rsidRPr="00727DFA">
              <w:rPr>
                <w:rFonts w:eastAsia="DengXian"/>
                <w:color w:val="000000" w:themeColor="text1"/>
                <w:szCs w:val="24"/>
              </w:rPr>
              <w:t>per</w:t>
            </w:r>
            <w:r w:rsidRPr="00727DFA">
              <w:rPr>
                <w:rFonts w:eastAsia="DengXian"/>
                <w:color w:val="000000" w:themeColor="text1"/>
                <w:spacing w:val="12"/>
                <w:szCs w:val="24"/>
              </w:rPr>
              <w:t xml:space="preserve"> </w:t>
            </w:r>
            <w:r w:rsidRPr="00727DFA">
              <w:rPr>
                <w:rFonts w:eastAsia="DengXian"/>
                <w:color w:val="000000" w:themeColor="text1"/>
                <w:szCs w:val="24"/>
              </w:rPr>
              <w:t xml:space="preserve">kg, every six hours </w:t>
            </w:r>
          </w:p>
          <w:p w14:paraId="0BFEF9F6" w14:textId="77777777" w:rsidR="007B485D" w:rsidRPr="00727DFA" w:rsidRDefault="007B485D" w:rsidP="002D6DD7">
            <w:pPr>
              <w:jc w:val="both"/>
              <w:rPr>
                <w:rFonts w:eastAsia="DengXian"/>
                <w:color w:val="000000" w:themeColor="text1"/>
                <w:szCs w:val="24"/>
              </w:rPr>
            </w:pPr>
            <w:r w:rsidRPr="00727DFA">
              <w:rPr>
                <w:rFonts w:eastAsia="DengXian"/>
                <w:b/>
                <w:bCs/>
                <w:color w:val="000000" w:themeColor="text1"/>
                <w:szCs w:val="24"/>
              </w:rPr>
              <w:t>Pneumonia,</w:t>
            </w:r>
            <w:r w:rsidRPr="00727DFA">
              <w:rPr>
                <w:rFonts w:eastAsia="DengXian"/>
                <w:b/>
                <w:bCs/>
                <w:color w:val="000000" w:themeColor="text1"/>
                <w:spacing w:val="10"/>
                <w:szCs w:val="24"/>
              </w:rPr>
              <w:t xml:space="preserve"> </w:t>
            </w:r>
            <w:r w:rsidRPr="00727DFA">
              <w:rPr>
                <w:rFonts w:eastAsia="DengXian"/>
                <w:b/>
                <w:bCs/>
                <w:color w:val="000000" w:themeColor="text1"/>
                <w:szCs w:val="24"/>
              </w:rPr>
              <w:t>chlamydial; Oral</w:t>
            </w:r>
            <w:r w:rsidRPr="00727DFA">
              <w:rPr>
                <w:rFonts w:eastAsia="DengXian"/>
                <w:color w:val="000000" w:themeColor="text1"/>
                <w:szCs w:val="24"/>
              </w:rPr>
              <w:t>:</w:t>
            </w:r>
          </w:p>
          <w:p w14:paraId="4FC8125B" w14:textId="77777777" w:rsidR="007B485D" w:rsidRPr="00727DFA" w:rsidRDefault="007B485D" w:rsidP="002D6DD7">
            <w:pPr>
              <w:jc w:val="both"/>
              <w:rPr>
                <w:rFonts w:eastAsia="DengXian"/>
                <w:color w:val="000000" w:themeColor="text1"/>
                <w:szCs w:val="24"/>
              </w:rPr>
            </w:pPr>
            <w:r w:rsidRPr="00727DFA">
              <w:rPr>
                <w:rFonts w:eastAsia="DengXian"/>
                <w:b/>
                <w:bCs/>
                <w:color w:val="000000" w:themeColor="text1"/>
                <w:szCs w:val="24"/>
              </w:rPr>
              <w:t>Child</w:t>
            </w:r>
            <w:r w:rsidRPr="00727DFA">
              <w:rPr>
                <w:rFonts w:eastAsia="DengXian"/>
                <w:color w:val="000000" w:themeColor="text1"/>
                <w:szCs w:val="24"/>
              </w:rPr>
              <w:t>:</w:t>
            </w:r>
            <w:r w:rsidRPr="00727DFA">
              <w:rPr>
                <w:rFonts w:eastAsia="DengXian"/>
                <w:color w:val="000000" w:themeColor="text1"/>
                <w:spacing w:val="11"/>
                <w:szCs w:val="24"/>
              </w:rPr>
              <w:t xml:space="preserve"> </w:t>
            </w:r>
            <w:r w:rsidRPr="00727DFA">
              <w:rPr>
                <w:rFonts w:eastAsia="DengXian"/>
                <w:color w:val="000000" w:themeColor="text1"/>
                <w:szCs w:val="24"/>
              </w:rPr>
              <w:t>12.5mg</w:t>
            </w:r>
            <w:r w:rsidRPr="00727DFA">
              <w:rPr>
                <w:rFonts w:eastAsia="DengXian"/>
                <w:color w:val="000000" w:themeColor="text1"/>
                <w:spacing w:val="8"/>
                <w:szCs w:val="24"/>
              </w:rPr>
              <w:t xml:space="preserve"> </w:t>
            </w:r>
            <w:r w:rsidRPr="00727DFA">
              <w:rPr>
                <w:rFonts w:eastAsia="DengXian"/>
                <w:color w:val="000000" w:themeColor="text1"/>
                <w:szCs w:val="24"/>
              </w:rPr>
              <w:t>(base)</w:t>
            </w:r>
            <w:r w:rsidRPr="00727DFA">
              <w:rPr>
                <w:rFonts w:eastAsia="DengXian"/>
                <w:color w:val="000000" w:themeColor="text1"/>
                <w:spacing w:val="9"/>
                <w:szCs w:val="24"/>
              </w:rPr>
              <w:t xml:space="preserve"> </w:t>
            </w:r>
            <w:r w:rsidRPr="00727DFA">
              <w:rPr>
                <w:rFonts w:eastAsia="DengXian"/>
                <w:color w:val="000000" w:themeColor="text1"/>
                <w:szCs w:val="24"/>
              </w:rPr>
              <w:t>per</w:t>
            </w:r>
            <w:r w:rsidRPr="00727DFA">
              <w:rPr>
                <w:rFonts w:eastAsia="DengXian"/>
                <w:color w:val="000000" w:themeColor="text1"/>
                <w:spacing w:val="9"/>
                <w:szCs w:val="24"/>
              </w:rPr>
              <w:t xml:space="preserve"> </w:t>
            </w:r>
            <w:r w:rsidRPr="00727DFA">
              <w:rPr>
                <w:rFonts w:eastAsia="DengXian"/>
                <w:color w:val="000000" w:themeColor="text1"/>
                <w:szCs w:val="24"/>
              </w:rPr>
              <w:t>kg</w:t>
            </w:r>
            <w:r w:rsidRPr="00727DFA">
              <w:rPr>
                <w:rFonts w:eastAsia="DengXian"/>
                <w:color w:val="000000" w:themeColor="text1"/>
                <w:spacing w:val="10"/>
                <w:szCs w:val="24"/>
              </w:rPr>
              <w:t xml:space="preserve"> </w:t>
            </w:r>
            <w:r w:rsidRPr="00727DFA">
              <w:rPr>
                <w:rFonts w:eastAsia="DengXian"/>
                <w:color w:val="000000" w:themeColor="text1"/>
                <w:szCs w:val="24"/>
              </w:rPr>
              <w:t>every</w:t>
            </w:r>
            <w:r w:rsidRPr="00727DFA">
              <w:rPr>
                <w:rFonts w:eastAsia="DengXian"/>
                <w:color w:val="000000" w:themeColor="text1"/>
                <w:spacing w:val="-5"/>
                <w:szCs w:val="24"/>
              </w:rPr>
              <w:t xml:space="preserve"> </w:t>
            </w:r>
            <w:r w:rsidRPr="00727DFA">
              <w:rPr>
                <w:rFonts w:eastAsia="DengXian"/>
                <w:color w:val="000000" w:themeColor="text1"/>
                <w:szCs w:val="24"/>
              </w:rPr>
              <w:t>6 hours for</w:t>
            </w:r>
            <w:r w:rsidRPr="00727DFA">
              <w:rPr>
                <w:rFonts w:eastAsia="DengXian"/>
                <w:color w:val="000000" w:themeColor="text1"/>
                <w:spacing w:val="1"/>
                <w:szCs w:val="24"/>
              </w:rPr>
              <w:t xml:space="preserve"> </w:t>
            </w:r>
            <w:r w:rsidRPr="00727DFA">
              <w:rPr>
                <w:rFonts w:eastAsia="DengXian"/>
                <w:color w:val="000000" w:themeColor="text1"/>
                <w:szCs w:val="24"/>
              </w:rPr>
              <w:t>two weeks</w:t>
            </w:r>
          </w:p>
          <w:p w14:paraId="49750B8B" w14:textId="77777777" w:rsidR="007B485D" w:rsidRPr="00727DFA" w:rsidRDefault="007B485D" w:rsidP="002D6DD7">
            <w:pPr>
              <w:jc w:val="both"/>
              <w:rPr>
                <w:rFonts w:eastAsia="DengXian"/>
                <w:color w:val="000000" w:themeColor="text1"/>
                <w:spacing w:val="1"/>
                <w:szCs w:val="24"/>
              </w:rPr>
            </w:pPr>
            <w:r w:rsidRPr="00727DFA">
              <w:rPr>
                <w:rFonts w:eastAsia="DengXian"/>
                <w:b/>
                <w:bCs/>
                <w:color w:val="000000" w:themeColor="text1"/>
                <w:szCs w:val="24"/>
              </w:rPr>
              <w:t>Streptococcal</w:t>
            </w:r>
            <w:r w:rsidRPr="00727DFA">
              <w:rPr>
                <w:rFonts w:eastAsia="DengXian"/>
                <w:b/>
                <w:bCs/>
                <w:color w:val="000000" w:themeColor="text1"/>
                <w:spacing w:val="2"/>
                <w:szCs w:val="24"/>
              </w:rPr>
              <w:t xml:space="preserve"> </w:t>
            </w:r>
            <w:r w:rsidRPr="00727DFA">
              <w:rPr>
                <w:rFonts w:eastAsia="DengXian"/>
                <w:b/>
                <w:bCs/>
                <w:color w:val="000000" w:themeColor="text1"/>
                <w:szCs w:val="24"/>
              </w:rPr>
              <w:t>pharyngitis; Oral:</w:t>
            </w:r>
            <w:r w:rsidRPr="00727DFA">
              <w:rPr>
                <w:rFonts w:eastAsia="DengXian"/>
                <w:color w:val="000000" w:themeColor="text1"/>
                <w:spacing w:val="1"/>
                <w:szCs w:val="24"/>
              </w:rPr>
              <w:t xml:space="preserve"> </w:t>
            </w:r>
          </w:p>
          <w:p w14:paraId="2A48AF36"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Times New Roman"/>
                <w:b/>
                <w:color w:val="000000" w:themeColor="text1"/>
                <w:szCs w:val="24"/>
              </w:rPr>
              <w:t>Child</w:t>
            </w:r>
            <w:r w:rsidRPr="00727DFA">
              <w:rPr>
                <w:rFonts w:eastAsia="Times New Roman"/>
                <w:color w:val="000000" w:themeColor="text1"/>
                <w:szCs w:val="24"/>
              </w:rPr>
              <w:t>: 5-12.5mg (base)</w:t>
            </w:r>
            <w:r w:rsidRPr="00727DFA">
              <w:rPr>
                <w:rFonts w:eastAsia="Times New Roman"/>
                <w:color w:val="000000" w:themeColor="text1"/>
                <w:spacing w:val="5"/>
                <w:szCs w:val="24"/>
              </w:rPr>
              <w:t xml:space="preserve"> </w:t>
            </w:r>
            <w:r w:rsidRPr="00727DFA">
              <w:rPr>
                <w:rFonts w:eastAsia="Times New Roman"/>
                <w:color w:val="000000" w:themeColor="text1"/>
                <w:szCs w:val="24"/>
              </w:rPr>
              <w:t>per</w:t>
            </w:r>
            <w:r w:rsidRPr="00727DFA">
              <w:rPr>
                <w:rFonts w:eastAsia="Times New Roman"/>
                <w:color w:val="000000" w:themeColor="text1"/>
                <w:spacing w:val="1"/>
                <w:szCs w:val="24"/>
              </w:rPr>
              <w:t xml:space="preserve"> </w:t>
            </w:r>
            <w:r w:rsidRPr="00727DFA">
              <w:rPr>
                <w:rFonts w:eastAsia="Times New Roman"/>
                <w:color w:val="000000" w:themeColor="text1"/>
                <w:szCs w:val="24"/>
              </w:rPr>
              <w:t>kg every</w:t>
            </w:r>
            <w:r w:rsidRPr="00727DFA">
              <w:rPr>
                <w:rFonts w:eastAsia="Times New Roman"/>
                <w:color w:val="000000" w:themeColor="text1"/>
                <w:spacing w:val="-5"/>
                <w:szCs w:val="24"/>
              </w:rPr>
              <w:t xml:space="preserve"> </w:t>
            </w:r>
            <w:r w:rsidRPr="00727DFA">
              <w:rPr>
                <w:rFonts w:eastAsia="Times New Roman"/>
                <w:color w:val="000000" w:themeColor="text1"/>
                <w:szCs w:val="24"/>
              </w:rPr>
              <w:t xml:space="preserve">6 hours </w:t>
            </w:r>
          </w:p>
          <w:p w14:paraId="41766AAE" w14:textId="77777777" w:rsidR="007B485D" w:rsidRPr="00727DFA" w:rsidRDefault="007B485D" w:rsidP="002D6DD7">
            <w:pPr>
              <w:jc w:val="both"/>
              <w:rPr>
                <w:rFonts w:eastAsia="DengXian"/>
                <w:color w:val="000000" w:themeColor="text1"/>
                <w:szCs w:val="24"/>
              </w:rPr>
            </w:pPr>
            <w:r w:rsidRPr="00727DFA">
              <w:rPr>
                <w:rFonts w:eastAsia="DengXian"/>
                <w:b/>
                <w:color w:val="000000" w:themeColor="text1"/>
                <w:szCs w:val="24"/>
              </w:rPr>
              <w:t>Neonates</w:t>
            </w:r>
            <w:r w:rsidRPr="00727DFA">
              <w:rPr>
                <w:rFonts w:eastAsia="DengXian"/>
                <w:color w:val="000000" w:themeColor="text1"/>
                <w:szCs w:val="24"/>
              </w:rPr>
              <w:t>:7.5mg</w:t>
            </w:r>
            <w:r w:rsidRPr="00727DFA">
              <w:rPr>
                <w:rFonts w:eastAsia="DengXian"/>
                <w:color w:val="000000" w:themeColor="text1"/>
                <w:spacing w:val="12"/>
                <w:szCs w:val="24"/>
              </w:rPr>
              <w:t xml:space="preserve"> </w:t>
            </w:r>
            <w:r w:rsidRPr="00727DFA">
              <w:rPr>
                <w:rFonts w:eastAsia="DengXian"/>
                <w:color w:val="000000" w:themeColor="text1"/>
                <w:szCs w:val="24"/>
              </w:rPr>
              <w:t>to</w:t>
            </w:r>
            <w:r w:rsidRPr="00727DFA">
              <w:rPr>
                <w:rFonts w:eastAsia="DengXian"/>
                <w:color w:val="000000" w:themeColor="text1"/>
                <w:spacing w:val="14"/>
                <w:szCs w:val="24"/>
              </w:rPr>
              <w:t xml:space="preserve"> </w:t>
            </w:r>
            <w:r w:rsidRPr="00727DFA">
              <w:rPr>
                <w:rFonts w:eastAsia="DengXian"/>
                <w:color w:val="000000" w:themeColor="text1"/>
                <w:szCs w:val="24"/>
              </w:rPr>
              <w:t>12.5mg</w:t>
            </w:r>
            <w:r w:rsidRPr="00727DFA">
              <w:rPr>
                <w:rFonts w:eastAsia="DengXian"/>
                <w:color w:val="000000" w:themeColor="text1"/>
                <w:spacing w:val="14"/>
                <w:szCs w:val="24"/>
              </w:rPr>
              <w:t xml:space="preserve"> </w:t>
            </w:r>
            <w:r w:rsidRPr="00727DFA">
              <w:rPr>
                <w:rFonts w:eastAsia="DengXian"/>
                <w:color w:val="000000" w:themeColor="text1"/>
                <w:szCs w:val="24"/>
              </w:rPr>
              <w:t>(base)per kg</w:t>
            </w:r>
            <w:r w:rsidRPr="00727DFA">
              <w:rPr>
                <w:rFonts w:eastAsia="DengXian"/>
                <w:color w:val="000000" w:themeColor="text1"/>
                <w:spacing w:val="13"/>
                <w:szCs w:val="24"/>
              </w:rPr>
              <w:t xml:space="preserve"> </w:t>
            </w:r>
            <w:r w:rsidRPr="00727DFA">
              <w:rPr>
                <w:rFonts w:eastAsia="DengXian"/>
                <w:color w:val="000000" w:themeColor="text1"/>
                <w:szCs w:val="24"/>
              </w:rPr>
              <w:t>every</w:t>
            </w:r>
            <w:r w:rsidRPr="00727DFA">
              <w:rPr>
                <w:rFonts w:eastAsia="DengXian"/>
                <w:color w:val="000000" w:themeColor="text1"/>
                <w:spacing w:val="-5"/>
                <w:szCs w:val="24"/>
              </w:rPr>
              <w:t xml:space="preserve"> </w:t>
            </w:r>
            <w:r w:rsidRPr="00727DFA">
              <w:rPr>
                <w:rFonts w:eastAsia="DengXian"/>
                <w:color w:val="000000" w:themeColor="text1"/>
                <w:szCs w:val="24"/>
              </w:rPr>
              <w:t xml:space="preserve">6 hours </w:t>
            </w:r>
          </w:p>
        </w:tc>
      </w:tr>
      <w:tr w:rsidR="007B485D" w:rsidRPr="00727DFA" w14:paraId="62BD0365"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2959A35A"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Contraindications</w:t>
            </w:r>
          </w:p>
        </w:tc>
        <w:tc>
          <w:tcPr>
            <w:tcW w:w="6570" w:type="dxa"/>
            <w:tcBorders>
              <w:top w:val="single" w:sz="4" w:space="0" w:color="auto"/>
              <w:left w:val="single" w:sz="4" w:space="0" w:color="auto"/>
              <w:bottom w:val="single" w:sz="4" w:space="0" w:color="auto"/>
              <w:right w:val="single" w:sz="4" w:space="0" w:color="auto"/>
            </w:tcBorders>
            <w:hideMark/>
          </w:tcPr>
          <w:p w14:paraId="6EDC7435" w14:textId="77777777" w:rsidR="007B485D" w:rsidRPr="00727DFA" w:rsidRDefault="007B485D" w:rsidP="002D6DD7">
            <w:pPr>
              <w:autoSpaceDE w:val="0"/>
              <w:autoSpaceDN w:val="0"/>
              <w:adjustRightInd w:val="0"/>
              <w:jc w:val="both"/>
              <w:rPr>
                <w:rFonts w:eastAsia="DengXian"/>
                <w:color w:val="000000" w:themeColor="text1"/>
                <w:szCs w:val="24"/>
              </w:rPr>
            </w:pPr>
            <w:r w:rsidRPr="00727DFA">
              <w:rPr>
                <w:rFonts w:eastAsia="DengXian"/>
                <w:color w:val="000000" w:themeColor="text1"/>
                <w:szCs w:val="24"/>
              </w:rPr>
              <w:t xml:space="preserve">Hypersensitivity to </w:t>
            </w:r>
            <w:r>
              <w:rPr>
                <w:rFonts w:eastAsia="DengXian"/>
                <w:color w:val="000000" w:themeColor="text1"/>
                <w:szCs w:val="24"/>
              </w:rPr>
              <w:t xml:space="preserve">the drug or other </w:t>
            </w:r>
            <w:r w:rsidRPr="00727DFA">
              <w:rPr>
                <w:rFonts w:eastAsia="DengXian"/>
                <w:color w:val="000000" w:themeColor="text1"/>
                <w:szCs w:val="24"/>
              </w:rPr>
              <w:t>macrolides</w:t>
            </w:r>
            <w:r>
              <w:rPr>
                <w:rFonts w:eastAsia="DengXian"/>
                <w:color w:val="000000" w:themeColor="text1"/>
                <w:szCs w:val="24"/>
              </w:rPr>
              <w:t>,</w:t>
            </w:r>
            <w:r w:rsidRPr="00727DFA">
              <w:rPr>
                <w:rFonts w:eastAsia="DengXian"/>
                <w:color w:val="000000" w:themeColor="text1"/>
                <w:szCs w:val="24"/>
              </w:rPr>
              <w:t xml:space="preserve"> patients with a history of QT prolongation</w:t>
            </w:r>
            <w:r>
              <w:rPr>
                <w:rFonts w:eastAsia="DengXian"/>
                <w:color w:val="000000" w:themeColor="text1"/>
                <w:szCs w:val="24"/>
              </w:rPr>
              <w:t>, concurrent use of</w:t>
            </w:r>
            <w:r w:rsidRPr="00727DFA">
              <w:rPr>
                <w:rFonts w:eastAsia="DengXian"/>
                <w:color w:val="000000" w:themeColor="text1"/>
                <w:szCs w:val="24"/>
              </w:rPr>
              <w:t xml:space="preserve"> simvastatin, tolterodine, mizolastine, amisulpride, astemizole, domperidone, cisapride or pimozide</w:t>
            </w:r>
            <w:r>
              <w:rPr>
                <w:rFonts w:eastAsia="DengXian"/>
                <w:color w:val="000000" w:themeColor="text1"/>
                <w:szCs w:val="24"/>
              </w:rPr>
              <w:t>.</w:t>
            </w:r>
          </w:p>
          <w:p w14:paraId="1A62FE28" w14:textId="77777777" w:rsidR="007B485D" w:rsidRPr="00727DFA" w:rsidRDefault="007B485D" w:rsidP="002D6DD7">
            <w:pPr>
              <w:autoSpaceDE w:val="0"/>
              <w:autoSpaceDN w:val="0"/>
              <w:adjustRightInd w:val="0"/>
              <w:jc w:val="both"/>
              <w:rPr>
                <w:rFonts w:eastAsia="DengXian"/>
                <w:color w:val="000000" w:themeColor="text1"/>
                <w:szCs w:val="24"/>
              </w:rPr>
            </w:pPr>
          </w:p>
        </w:tc>
      </w:tr>
      <w:tr w:rsidR="007B485D" w:rsidRPr="00727DFA" w14:paraId="5C954275"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083822BF"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Drug interactions</w:t>
            </w:r>
          </w:p>
        </w:tc>
        <w:tc>
          <w:tcPr>
            <w:tcW w:w="6570" w:type="dxa"/>
            <w:tcBorders>
              <w:top w:val="single" w:sz="4" w:space="0" w:color="auto"/>
              <w:left w:val="single" w:sz="4" w:space="0" w:color="auto"/>
              <w:bottom w:val="single" w:sz="4" w:space="0" w:color="auto"/>
              <w:right w:val="single" w:sz="4" w:space="0" w:color="auto"/>
            </w:tcBorders>
            <w:hideMark/>
          </w:tcPr>
          <w:p w14:paraId="6C999FD3" w14:textId="77777777" w:rsidR="007B485D" w:rsidRPr="00727DFA" w:rsidRDefault="007B485D" w:rsidP="002D6DD7">
            <w:pPr>
              <w:widowControl w:val="0"/>
              <w:autoSpaceDE w:val="0"/>
              <w:autoSpaceDN w:val="0"/>
              <w:jc w:val="both"/>
              <w:rPr>
                <w:rFonts w:eastAsia="Times New Roman"/>
                <w:color w:val="000000" w:themeColor="text1"/>
                <w:szCs w:val="24"/>
              </w:rPr>
            </w:pPr>
            <w:r w:rsidRPr="00727DFA">
              <w:rPr>
                <w:rFonts w:eastAsia="DengXian"/>
                <w:color w:val="000000" w:themeColor="text1"/>
                <w:szCs w:val="24"/>
              </w:rPr>
              <w:t>Simvastatin, alfentanil, carbamazepine, chloramphenicol,</w:t>
            </w:r>
            <w:r w:rsidRPr="00727DFA">
              <w:rPr>
                <w:rFonts w:eastAsia="DengXian"/>
                <w:color w:val="000000" w:themeColor="text1"/>
                <w:spacing w:val="-57"/>
                <w:szCs w:val="24"/>
              </w:rPr>
              <w:t xml:space="preserve"> </w:t>
            </w:r>
            <w:r w:rsidRPr="00727DFA">
              <w:rPr>
                <w:rFonts w:eastAsia="DengXian"/>
                <w:color w:val="000000" w:themeColor="text1"/>
                <w:szCs w:val="24"/>
              </w:rPr>
              <w:t>itraconazole, ciclosporins, terfenadine, warfarin, xanthines such</w:t>
            </w:r>
            <w:r w:rsidRPr="00727DFA">
              <w:rPr>
                <w:rFonts w:eastAsia="DengXian"/>
                <w:color w:val="000000" w:themeColor="text1"/>
                <w:spacing w:val="1"/>
                <w:szCs w:val="24"/>
              </w:rPr>
              <w:t xml:space="preserve"> </w:t>
            </w:r>
            <w:r w:rsidRPr="00727DFA">
              <w:rPr>
                <w:rFonts w:eastAsia="DengXian"/>
                <w:color w:val="000000" w:themeColor="text1"/>
                <w:szCs w:val="24"/>
              </w:rPr>
              <w:t>as</w:t>
            </w:r>
            <w:r w:rsidRPr="00727DFA">
              <w:rPr>
                <w:rFonts w:eastAsia="DengXian"/>
                <w:color w:val="000000" w:themeColor="text1"/>
                <w:spacing w:val="-1"/>
                <w:szCs w:val="24"/>
              </w:rPr>
              <w:t xml:space="preserve"> </w:t>
            </w:r>
            <w:r w:rsidRPr="00727DFA">
              <w:rPr>
                <w:rFonts w:eastAsia="DengXian"/>
                <w:color w:val="000000" w:themeColor="text1"/>
                <w:szCs w:val="24"/>
              </w:rPr>
              <w:t>aminophylline,</w:t>
            </w:r>
            <w:r w:rsidRPr="00727DFA">
              <w:rPr>
                <w:rFonts w:eastAsia="DengXian"/>
                <w:color w:val="000000" w:themeColor="text1"/>
                <w:spacing w:val="-1"/>
                <w:szCs w:val="24"/>
              </w:rPr>
              <w:t xml:space="preserve"> </w:t>
            </w:r>
            <w:r w:rsidRPr="00727DFA">
              <w:rPr>
                <w:rFonts w:eastAsia="DengXian"/>
                <w:color w:val="000000" w:themeColor="text1"/>
                <w:szCs w:val="24"/>
              </w:rPr>
              <w:t>caffeine,</w:t>
            </w:r>
            <w:r w:rsidRPr="00727DFA">
              <w:rPr>
                <w:rFonts w:eastAsia="DengXian"/>
                <w:color w:val="000000" w:themeColor="text1"/>
                <w:spacing w:val="-1"/>
                <w:szCs w:val="24"/>
              </w:rPr>
              <w:t xml:space="preserve"> </w:t>
            </w:r>
            <w:r w:rsidRPr="00727DFA">
              <w:rPr>
                <w:rFonts w:eastAsia="DengXian"/>
                <w:color w:val="000000" w:themeColor="text1"/>
                <w:szCs w:val="24"/>
              </w:rPr>
              <w:t>oxtriphylline,</w:t>
            </w:r>
            <w:r w:rsidRPr="00727DFA">
              <w:rPr>
                <w:rFonts w:eastAsia="DengXian"/>
                <w:color w:val="000000" w:themeColor="text1"/>
                <w:spacing w:val="-1"/>
                <w:szCs w:val="24"/>
              </w:rPr>
              <w:t xml:space="preserve"> </w:t>
            </w:r>
            <w:r w:rsidRPr="00727DFA">
              <w:rPr>
                <w:rFonts w:eastAsia="DengXian"/>
                <w:color w:val="000000" w:themeColor="text1"/>
                <w:szCs w:val="24"/>
              </w:rPr>
              <w:t>theophylline</w:t>
            </w:r>
            <w:r>
              <w:rPr>
                <w:rFonts w:eastAsia="DengXian"/>
                <w:color w:val="000000" w:themeColor="text1"/>
                <w:szCs w:val="24"/>
              </w:rPr>
              <w:t>.</w:t>
            </w:r>
          </w:p>
        </w:tc>
      </w:tr>
      <w:tr w:rsidR="007B485D" w:rsidRPr="00727DFA" w14:paraId="5F24F7EB"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6523766B"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Side effects</w:t>
            </w:r>
          </w:p>
        </w:tc>
        <w:tc>
          <w:tcPr>
            <w:tcW w:w="6570" w:type="dxa"/>
            <w:tcBorders>
              <w:top w:val="single" w:sz="4" w:space="0" w:color="auto"/>
              <w:left w:val="single" w:sz="4" w:space="0" w:color="auto"/>
              <w:bottom w:val="single" w:sz="4" w:space="0" w:color="auto"/>
              <w:right w:val="single" w:sz="4" w:space="0" w:color="auto"/>
            </w:tcBorders>
            <w:hideMark/>
          </w:tcPr>
          <w:p w14:paraId="1C82C0A3" w14:textId="77777777" w:rsidR="007B485D" w:rsidRPr="00727DFA" w:rsidRDefault="007B485D" w:rsidP="002D6DD7">
            <w:pPr>
              <w:jc w:val="both"/>
              <w:rPr>
                <w:rFonts w:eastAsia="DengXian"/>
                <w:color w:val="000000" w:themeColor="text1"/>
                <w:szCs w:val="24"/>
              </w:rPr>
            </w:pPr>
            <w:r w:rsidRPr="00727DFA">
              <w:rPr>
                <w:rFonts w:eastAsia="DengXian"/>
                <w:color w:val="000000" w:themeColor="text1"/>
                <w:szCs w:val="24"/>
              </w:rPr>
              <w:t>Nausea, vomiting, diarrhea, abdominal, stomach</w:t>
            </w:r>
            <w:r w:rsidRPr="00727DFA">
              <w:rPr>
                <w:rFonts w:eastAsia="DengXian"/>
                <w:color w:val="000000" w:themeColor="text1"/>
                <w:spacing w:val="1"/>
                <w:szCs w:val="24"/>
              </w:rPr>
              <w:t xml:space="preserve"> </w:t>
            </w:r>
            <w:r w:rsidRPr="00727DFA">
              <w:rPr>
                <w:rFonts w:eastAsia="DengXian"/>
                <w:color w:val="000000" w:themeColor="text1"/>
                <w:szCs w:val="24"/>
              </w:rPr>
              <w:t>cramping and discomfort, reversible loss of hearing, recurrent</w:t>
            </w:r>
            <w:r w:rsidRPr="00727DFA">
              <w:rPr>
                <w:rFonts w:eastAsia="DengXian"/>
                <w:color w:val="000000" w:themeColor="text1"/>
                <w:spacing w:val="1"/>
                <w:szCs w:val="24"/>
              </w:rPr>
              <w:t xml:space="preserve"> </w:t>
            </w:r>
            <w:r w:rsidRPr="00727DFA">
              <w:rPr>
                <w:rFonts w:eastAsia="DengXian"/>
                <w:color w:val="000000" w:themeColor="text1"/>
                <w:szCs w:val="24"/>
              </w:rPr>
              <w:t>fainting,</w:t>
            </w:r>
            <w:r w:rsidRPr="00727DFA">
              <w:rPr>
                <w:rFonts w:eastAsia="DengXian"/>
                <w:color w:val="000000" w:themeColor="text1"/>
                <w:spacing w:val="1"/>
                <w:szCs w:val="24"/>
              </w:rPr>
              <w:t xml:space="preserve"> </w:t>
            </w:r>
            <w:r w:rsidRPr="00727DFA">
              <w:rPr>
                <w:rFonts w:eastAsia="DengXian"/>
                <w:color w:val="000000" w:themeColor="text1"/>
                <w:szCs w:val="24"/>
              </w:rPr>
              <w:t>hypersensitivity</w:t>
            </w:r>
            <w:r w:rsidRPr="00727DFA">
              <w:rPr>
                <w:rFonts w:eastAsia="DengXian"/>
                <w:color w:val="000000" w:themeColor="text1"/>
                <w:spacing w:val="1"/>
                <w:szCs w:val="24"/>
              </w:rPr>
              <w:t xml:space="preserve"> </w:t>
            </w:r>
            <w:r w:rsidRPr="00727DFA">
              <w:rPr>
                <w:rFonts w:eastAsia="DengXian"/>
                <w:color w:val="000000" w:themeColor="text1"/>
                <w:szCs w:val="24"/>
              </w:rPr>
              <w:t>(skin</w:t>
            </w:r>
            <w:r w:rsidRPr="00727DFA">
              <w:rPr>
                <w:rFonts w:eastAsia="DengXian"/>
                <w:color w:val="000000" w:themeColor="text1"/>
                <w:spacing w:val="1"/>
                <w:szCs w:val="24"/>
              </w:rPr>
              <w:t xml:space="preserve"> </w:t>
            </w:r>
            <w:r w:rsidRPr="00727DFA">
              <w:rPr>
                <w:rFonts w:eastAsia="DengXian"/>
                <w:color w:val="000000" w:themeColor="text1"/>
                <w:szCs w:val="24"/>
              </w:rPr>
              <w:t>rash,</w:t>
            </w:r>
            <w:r w:rsidRPr="00727DFA">
              <w:rPr>
                <w:rFonts w:eastAsia="DengXian"/>
                <w:color w:val="000000" w:themeColor="text1"/>
                <w:spacing w:val="1"/>
                <w:szCs w:val="24"/>
              </w:rPr>
              <w:t xml:space="preserve"> </w:t>
            </w:r>
            <w:r w:rsidRPr="00727DFA">
              <w:rPr>
                <w:rFonts w:eastAsia="DengXian"/>
                <w:color w:val="000000" w:themeColor="text1"/>
                <w:szCs w:val="24"/>
              </w:rPr>
              <w:t>redness</w:t>
            </w:r>
            <w:r w:rsidRPr="00727DFA">
              <w:rPr>
                <w:rFonts w:eastAsia="DengXian"/>
                <w:color w:val="000000" w:themeColor="text1"/>
                <w:spacing w:val="1"/>
                <w:szCs w:val="24"/>
              </w:rPr>
              <w:t xml:space="preserve"> </w:t>
            </w:r>
            <w:r w:rsidRPr="00727DFA">
              <w:rPr>
                <w:rFonts w:eastAsia="DengXian"/>
                <w:color w:val="000000" w:themeColor="text1"/>
                <w:szCs w:val="24"/>
              </w:rPr>
              <w:t>or</w:t>
            </w:r>
            <w:r w:rsidRPr="00727DFA">
              <w:rPr>
                <w:rFonts w:eastAsia="DengXian"/>
                <w:color w:val="000000" w:themeColor="text1"/>
                <w:spacing w:val="1"/>
                <w:szCs w:val="24"/>
              </w:rPr>
              <w:t xml:space="preserve"> </w:t>
            </w:r>
            <w:r w:rsidRPr="00727DFA">
              <w:rPr>
                <w:rFonts w:eastAsia="DengXian"/>
                <w:color w:val="000000" w:themeColor="text1"/>
                <w:szCs w:val="24"/>
              </w:rPr>
              <w:t>itching),</w:t>
            </w:r>
            <w:r w:rsidRPr="00727DFA">
              <w:rPr>
                <w:rFonts w:eastAsia="DengXian"/>
                <w:color w:val="000000" w:themeColor="text1"/>
                <w:spacing w:val="1"/>
                <w:szCs w:val="24"/>
              </w:rPr>
              <w:t xml:space="preserve"> </w:t>
            </w:r>
            <w:r w:rsidRPr="00727DFA">
              <w:rPr>
                <w:rFonts w:eastAsia="DengXian"/>
                <w:color w:val="000000" w:themeColor="text1"/>
                <w:szCs w:val="24"/>
              </w:rPr>
              <w:t xml:space="preserve">cholestatic </w:t>
            </w:r>
            <w:r w:rsidRPr="00727DFA">
              <w:rPr>
                <w:rFonts w:eastAsia="DengXian"/>
                <w:color w:val="000000" w:themeColor="text1"/>
                <w:szCs w:val="24"/>
              </w:rPr>
              <w:lastRenderedPageBreak/>
              <w:t>jaundice, pancreatitis, liver problems</w:t>
            </w:r>
            <w:r>
              <w:rPr>
                <w:rFonts w:eastAsia="DengXian"/>
                <w:color w:val="000000" w:themeColor="text1"/>
                <w:szCs w:val="24"/>
              </w:rPr>
              <w:t>.</w:t>
            </w:r>
          </w:p>
        </w:tc>
      </w:tr>
      <w:tr w:rsidR="007B485D" w:rsidRPr="00727DFA" w14:paraId="7DBC05E9"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2847CFE2"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lastRenderedPageBreak/>
              <w:t xml:space="preserve">Cautions </w:t>
            </w:r>
          </w:p>
        </w:tc>
        <w:tc>
          <w:tcPr>
            <w:tcW w:w="6570" w:type="dxa"/>
            <w:tcBorders>
              <w:top w:val="single" w:sz="4" w:space="0" w:color="auto"/>
              <w:left w:val="single" w:sz="4" w:space="0" w:color="auto"/>
              <w:bottom w:val="single" w:sz="4" w:space="0" w:color="auto"/>
              <w:right w:val="single" w:sz="4" w:space="0" w:color="auto"/>
            </w:tcBorders>
            <w:hideMark/>
          </w:tcPr>
          <w:p w14:paraId="65FEDEF3" w14:textId="77777777" w:rsidR="007B485D" w:rsidRPr="00727DFA" w:rsidRDefault="007B485D" w:rsidP="002D6DD7">
            <w:pPr>
              <w:autoSpaceDE w:val="0"/>
              <w:autoSpaceDN w:val="0"/>
              <w:adjustRightInd w:val="0"/>
              <w:jc w:val="both"/>
              <w:rPr>
                <w:rFonts w:eastAsia="DengXian"/>
                <w:color w:val="000000" w:themeColor="text1"/>
                <w:szCs w:val="24"/>
              </w:rPr>
            </w:pPr>
            <w:r w:rsidRPr="00727DFA">
              <w:rPr>
                <w:rFonts w:eastAsia="DengXian"/>
                <w:color w:val="000000" w:themeColor="text1"/>
                <w:szCs w:val="24"/>
              </w:rPr>
              <w:t>Pregnancy</w:t>
            </w:r>
            <w:r>
              <w:rPr>
                <w:rFonts w:eastAsia="DengXian"/>
                <w:color w:val="000000" w:themeColor="text1"/>
                <w:szCs w:val="24"/>
              </w:rPr>
              <w:t>,</w:t>
            </w:r>
            <w:r w:rsidRPr="00727DFA">
              <w:rPr>
                <w:rFonts w:eastAsia="DengXian"/>
                <w:color w:val="000000" w:themeColor="text1"/>
                <w:spacing w:val="1"/>
                <w:szCs w:val="24"/>
              </w:rPr>
              <w:t xml:space="preserve"> </w:t>
            </w:r>
            <w:r w:rsidRPr="00727DFA">
              <w:rPr>
                <w:rFonts w:eastAsia="DengXian"/>
                <w:color w:val="000000" w:themeColor="text1"/>
                <w:szCs w:val="24"/>
              </w:rPr>
              <w:t>breastfeeding,</w:t>
            </w:r>
            <w:r w:rsidRPr="00727DFA">
              <w:rPr>
                <w:rFonts w:eastAsia="DengXian"/>
                <w:color w:val="000000" w:themeColor="text1"/>
                <w:spacing w:val="1"/>
                <w:szCs w:val="24"/>
              </w:rPr>
              <w:t xml:space="preserve"> </w:t>
            </w:r>
            <w:r w:rsidRPr="00727DFA">
              <w:rPr>
                <w:rFonts w:eastAsia="DengXian"/>
                <w:color w:val="000000" w:themeColor="text1"/>
                <w:szCs w:val="24"/>
              </w:rPr>
              <w:t>renal</w:t>
            </w:r>
            <w:r w:rsidRPr="00727DFA">
              <w:rPr>
                <w:rFonts w:eastAsia="DengXian"/>
                <w:color w:val="000000" w:themeColor="text1"/>
                <w:spacing w:val="1"/>
                <w:szCs w:val="24"/>
              </w:rPr>
              <w:t xml:space="preserve"> </w:t>
            </w:r>
            <w:r w:rsidRPr="00727DFA">
              <w:rPr>
                <w:rFonts w:eastAsia="DengXian"/>
                <w:color w:val="000000" w:themeColor="text1"/>
                <w:szCs w:val="24"/>
              </w:rPr>
              <w:t>and</w:t>
            </w:r>
            <w:r w:rsidRPr="00727DFA">
              <w:rPr>
                <w:rFonts w:eastAsia="DengXian"/>
                <w:color w:val="000000" w:themeColor="text1"/>
                <w:spacing w:val="1"/>
                <w:szCs w:val="24"/>
              </w:rPr>
              <w:t xml:space="preserve"> </w:t>
            </w:r>
            <w:r w:rsidRPr="00727DFA">
              <w:rPr>
                <w:rFonts w:eastAsia="DengXian"/>
                <w:color w:val="000000" w:themeColor="text1"/>
                <w:szCs w:val="24"/>
              </w:rPr>
              <w:t>hepatic</w:t>
            </w:r>
            <w:r w:rsidRPr="00727DFA">
              <w:rPr>
                <w:rFonts w:eastAsia="DengXian"/>
                <w:color w:val="000000" w:themeColor="text1"/>
                <w:spacing w:val="1"/>
                <w:szCs w:val="24"/>
              </w:rPr>
              <w:t xml:space="preserve"> </w:t>
            </w:r>
            <w:r w:rsidRPr="00727DFA">
              <w:rPr>
                <w:rFonts w:eastAsia="DengXian"/>
                <w:color w:val="000000" w:themeColor="text1"/>
                <w:szCs w:val="24"/>
              </w:rPr>
              <w:t>impairment, myasthenia gravis, cardiac arrhythmias (prolongation of QT</w:t>
            </w:r>
            <w:r w:rsidRPr="00727DFA">
              <w:rPr>
                <w:rFonts w:eastAsia="DengXian"/>
                <w:color w:val="000000" w:themeColor="text1"/>
                <w:spacing w:val="1"/>
                <w:szCs w:val="24"/>
              </w:rPr>
              <w:t xml:space="preserve"> </w:t>
            </w:r>
            <w:r w:rsidRPr="00727DFA">
              <w:rPr>
                <w:rFonts w:eastAsia="DengXian"/>
                <w:color w:val="000000" w:themeColor="text1"/>
                <w:szCs w:val="24"/>
              </w:rPr>
              <w:t xml:space="preserve">interval), porphyria, neonates less than two weeks, </w:t>
            </w:r>
            <w:r>
              <w:rPr>
                <w:rFonts w:eastAsia="DengXian"/>
                <w:color w:val="000000" w:themeColor="text1"/>
                <w:szCs w:val="24"/>
              </w:rPr>
              <w:t>hypokalemia, hypomagnesemia.</w:t>
            </w:r>
          </w:p>
        </w:tc>
      </w:tr>
      <w:tr w:rsidR="007B485D" w:rsidRPr="00727DFA" w14:paraId="40155949" w14:textId="77777777" w:rsidTr="002D6DD7">
        <w:tc>
          <w:tcPr>
            <w:tcW w:w="2700" w:type="dxa"/>
            <w:tcBorders>
              <w:top w:val="single" w:sz="4" w:space="0" w:color="auto"/>
              <w:left w:val="single" w:sz="4" w:space="0" w:color="auto"/>
              <w:bottom w:val="single" w:sz="4" w:space="0" w:color="auto"/>
              <w:right w:val="single" w:sz="4" w:space="0" w:color="auto"/>
            </w:tcBorders>
            <w:hideMark/>
          </w:tcPr>
          <w:p w14:paraId="313BC297" w14:textId="77777777" w:rsidR="007B485D" w:rsidRPr="00727DFA" w:rsidRDefault="007B485D" w:rsidP="002D6DD7">
            <w:pPr>
              <w:jc w:val="both"/>
              <w:rPr>
                <w:rFonts w:eastAsia="DengXian"/>
                <w:bCs/>
                <w:color w:val="000000" w:themeColor="text1"/>
                <w:szCs w:val="24"/>
              </w:rPr>
            </w:pPr>
            <w:r w:rsidRPr="00727DFA">
              <w:rPr>
                <w:rFonts w:eastAsia="DengXian"/>
                <w:bCs/>
                <w:color w:val="000000" w:themeColor="text1"/>
                <w:szCs w:val="24"/>
              </w:rPr>
              <w:t>Storage condition</w:t>
            </w:r>
          </w:p>
        </w:tc>
        <w:tc>
          <w:tcPr>
            <w:tcW w:w="6570" w:type="dxa"/>
            <w:tcBorders>
              <w:top w:val="single" w:sz="4" w:space="0" w:color="auto"/>
              <w:left w:val="single" w:sz="4" w:space="0" w:color="auto"/>
              <w:bottom w:val="single" w:sz="4" w:space="0" w:color="auto"/>
              <w:right w:val="single" w:sz="4" w:space="0" w:color="auto"/>
            </w:tcBorders>
            <w:hideMark/>
          </w:tcPr>
          <w:p w14:paraId="5CA4F9F0" w14:textId="77777777" w:rsidR="007B485D" w:rsidRPr="00727DFA" w:rsidRDefault="007B485D" w:rsidP="002D6DD7">
            <w:pPr>
              <w:jc w:val="both"/>
              <w:rPr>
                <w:rFonts w:eastAsia="DengXian"/>
                <w:color w:val="000000" w:themeColor="text1"/>
                <w:szCs w:val="24"/>
              </w:rPr>
            </w:pPr>
            <w:r w:rsidRPr="00727DFA">
              <w:rPr>
                <w:rFonts w:eastAsia="DengXian"/>
                <w:color w:val="000000" w:themeColor="text1"/>
                <w:spacing w:val="-1"/>
                <w:szCs w:val="24"/>
              </w:rPr>
              <w:t>Store below 30⁰C</w:t>
            </w:r>
            <w:r>
              <w:rPr>
                <w:rFonts w:eastAsia="DengXian"/>
                <w:color w:val="000000" w:themeColor="text1"/>
                <w:spacing w:val="-1"/>
                <w:szCs w:val="24"/>
              </w:rPr>
              <w:t>.</w:t>
            </w:r>
          </w:p>
        </w:tc>
      </w:tr>
    </w:tbl>
    <w:p w14:paraId="0E0F0AFB" w14:textId="77777777" w:rsidR="007B485D" w:rsidRPr="00BC0421" w:rsidRDefault="007B485D" w:rsidP="00BC0421">
      <w:pPr>
        <w:spacing w:before="240"/>
        <w:rPr>
          <w:rFonts w:eastAsia="DengXian Light"/>
          <w:b/>
        </w:rPr>
      </w:pPr>
      <w:r w:rsidRPr="00BC0421">
        <w:rPr>
          <w:rFonts w:eastAsia="DengXian Light"/>
          <w:b/>
        </w:rPr>
        <w:t>Carbapenems/Imipenem</w:t>
      </w:r>
    </w:p>
    <w:p w14:paraId="72250145"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The cell wall synthesis inhibitor carbapenems are </w:t>
      </w:r>
      <w:r>
        <w:rPr>
          <w:rFonts w:eastAsia="DengXian" w:cs="Times New Roman"/>
          <w:szCs w:val="24"/>
        </w:rPr>
        <w:t>β</w:t>
      </w:r>
      <w:r w:rsidRPr="00727DFA">
        <w:rPr>
          <w:rFonts w:eastAsia="DengXian" w:cs="Times New Roman"/>
          <w:szCs w:val="24"/>
        </w:rPr>
        <w:t xml:space="preserve">-lactam antibacterials with a broad-spectrum of activity against many Gram-positive and Gram-negative bacteria, and anaerobes. imipenem (with cilastatin) and meropenem have good activity against </w:t>
      </w:r>
      <w:r w:rsidRPr="00727DFA">
        <w:rPr>
          <w:rFonts w:eastAsia="DengXian" w:cs="Times New Roman"/>
          <w:i/>
          <w:iCs/>
          <w:szCs w:val="24"/>
        </w:rPr>
        <w:t>Pseudomonas aeruginosa</w:t>
      </w:r>
      <w:r w:rsidRPr="00727DFA">
        <w:rPr>
          <w:rFonts w:eastAsia="DengXian" w:cs="Times New Roman"/>
          <w:szCs w:val="24"/>
        </w:rPr>
        <w:t xml:space="preserve">. </w:t>
      </w:r>
      <w:r>
        <w:rPr>
          <w:rFonts w:eastAsia="DengXian" w:cs="Times New Roman"/>
          <w:szCs w:val="24"/>
        </w:rPr>
        <w:t xml:space="preserve">However, </w:t>
      </w:r>
      <w:r w:rsidRPr="00727DFA">
        <w:rPr>
          <w:rFonts w:eastAsia="DengXian" w:cs="Times New Roman"/>
          <w:szCs w:val="24"/>
        </w:rPr>
        <w:t xml:space="preserve">carbapenems are not active against methicillin-resistant </w:t>
      </w:r>
      <w:r w:rsidRPr="00873AF2">
        <w:rPr>
          <w:rFonts w:eastAsia="DengXian" w:cs="Times New Roman"/>
          <w:i/>
          <w:iCs/>
          <w:szCs w:val="24"/>
        </w:rPr>
        <w:t>Staphylococcus aureus</w:t>
      </w:r>
      <w:r w:rsidRPr="00727DFA">
        <w:rPr>
          <w:rFonts w:eastAsia="DengXian" w:cs="Times New Roman"/>
          <w:szCs w:val="24"/>
        </w:rPr>
        <w:t xml:space="preserve"> and </w:t>
      </w:r>
      <w:r w:rsidRPr="00873AF2">
        <w:rPr>
          <w:rFonts w:eastAsia="DengXian" w:cs="Times New Roman"/>
          <w:i/>
          <w:iCs/>
          <w:szCs w:val="24"/>
        </w:rPr>
        <w:t>Enterococcus faecium</w:t>
      </w:r>
      <w:r w:rsidRPr="00727DFA">
        <w:rPr>
          <w:rFonts w:eastAsia="DengXian" w:cs="Times New Roman"/>
          <w:szCs w:val="24"/>
        </w:rPr>
        <w:t>. Imipenem (with cilastatin) and meropenem are used for the treatment of severe hospital-acquired infections and polymicrobial infections including septicemia, hospital-acquired pneumonia, intra-abdominal infections, skin and soft-tissue infections, and complicated urinary tract infections.</w:t>
      </w:r>
    </w:p>
    <w:p w14:paraId="10AE95DA" w14:textId="77777777" w:rsidR="007B485D" w:rsidRPr="00727DFA" w:rsidRDefault="007B485D" w:rsidP="00BC0421">
      <w:pPr>
        <w:spacing w:before="240"/>
        <w:jc w:val="both"/>
        <w:rPr>
          <w:rFonts w:eastAsia="DengXian" w:cs="Times New Roman"/>
          <w:szCs w:val="24"/>
        </w:rPr>
      </w:pPr>
      <w:r w:rsidRPr="00727DFA">
        <w:rPr>
          <w:rFonts w:eastAsia="DengXian" w:cs="Times New Roman"/>
          <w:szCs w:val="24"/>
        </w:rPr>
        <w:t xml:space="preserve">Imipenem is partially inactivated in the kidney by enzymatic activity, and it is therefore administered in combination with cilastatin, a specific enzyme inhibitor, which blocks its renal metabolism. Meropenem and ertapenem are stable to the renal enzyme, which inactivates imipenem and therefore can be given without cilastatin. Side effects of imipenem with cilastatin are like those of other </w:t>
      </w:r>
      <w:r>
        <w:rPr>
          <w:rFonts w:eastAsia="DengXian" w:cs="Times New Roman"/>
          <w:szCs w:val="24"/>
        </w:rPr>
        <w:t>β</w:t>
      </w:r>
      <w:r w:rsidRPr="00727DFA">
        <w:rPr>
          <w:rFonts w:eastAsia="DengXian" w:cs="Times New Roman"/>
          <w:szCs w:val="24"/>
        </w:rPr>
        <w:t>-lactam antibiotics. Meropenem has less seizure-inducing potential and can be used to treat central nervous system infection.</w:t>
      </w:r>
    </w:p>
    <w:tbl>
      <w:tblPr>
        <w:tblStyle w:val="TableGrid"/>
        <w:tblW w:w="0" w:type="auto"/>
        <w:jc w:val="center"/>
        <w:tblLook w:val="04A0" w:firstRow="1" w:lastRow="0" w:firstColumn="1" w:lastColumn="0" w:noHBand="0" w:noVBand="1"/>
      </w:tblPr>
      <w:tblGrid>
        <w:gridCol w:w="2605"/>
        <w:gridCol w:w="6745"/>
      </w:tblGrid>
      <w:tr w:rsidR="007B485D" w:rsidRPr="00727DFA" w14:paraId="5EE8F84F"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4B78153" w14:textId="77777777" w:rsidR="007B485D" w:rsidRPr="00727DFA" w:rsidRDefault="007B485D" w:rsidP="002D6DD7">
            <w:pPr>
              <w:jc w:val="both"/>
              <w:rPr>
                <w:rFonts w:eastAsia="DengXian"/>
                <w:szCs w:val="24"/>
              </w:rPr>
            </w:pPr>
            <w:r w:rsidRPr="00727DFA">
              <w:rPr>
                <w:rFonts w:eastAsia="DengXian"/>
                <w:b/>
                <w:bCs/>
                <w:szCs w:val="24"/>
              </w:rPr>
              <w:t xml:space="preserve">Imipenem + </w:t>
            </w:r>
            <w:r>
              <w:rPr>
                <w:rFonts w:eastAsia="DengXian"/>
                <w:b/>
                <w:bCs/>
                <w:szCs w:val="24"/>
              </w:rPr>
              <w:t>c</w:t>
            </w:r>
            <w:r w:rsidRPr="00727DFA">
              <w:rPr>
                <w:rFonts w:eastAsia="DengXian"/>
                <w:b/>
                <w:bCs/>
                <w:szCs w:val="24"/>
              </w:rPr>
              <w:t xml:space="preserve">ilastatin </w:t>
            </w:r>
            <w:r w:rsidRPr="00873AF2">
              <w:rPr>
                <w:rFonts w:eastAsia="DengXian"/>
                <w:b/>
                <w:bCs/>
                <w:szCs w:val="24"/>
              </w:rPr>
              <w:t>(Reserve)</w:t>
            </w:r>
          </w:p>
        </w:tc>
      </w:tr>
      <w:tr w:rsidR="007B485D" w:rsidRPr="00727DFA" w14:paraId="5BD4403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A8AE084"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CD3FE6C" w14:textId="77777777" w:rsidR="007B485D" w:rsidRPr="00727DFA" w:rsidRDefault="007B485D" w:rsidP="002D6DD7">
            <w:pPr>
              <w:jc w:val="both"/>
              <w:rPr>
                <w:rFonts w:eastAsia="DengXian"/>
                <w:szCs w:val="24"/>
              </w:rPr>
            </w:pPr>
            <w:r w:rsidRPr="00727DFA">
              <w:rPr>
                <w:rFonts w:eastAsia="DengXian"/>
                <w:szCs w:val="24"/>
              </w:rPr>
              <w:t>Carbapenems</w:t>
            </w:r>
          </w:p>
        </w:tc>
      </w:tr>
      <w:tr w:rsidR="007B485D" w:rsidRPr="00727DFA" w14:paraId="02BC96E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8B1372D"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19EC371" w14:textId="77777777" w:rsidR="007B485D" w:rsidRPr="00727DFA" w:rsidRDefault="007B485D" w:rsidP="002D6DD7">
            <w:pPr>
              <w:jc w:val="both"/>
              <w:rPr>
                <w:rFonts w:eastAsia="DengXian"/>
                <w:szCs w:val="24"/>
              </w:rPr>
            </w:pPr>
            <w:r w:rsidRPr="00727DFA">
              <w:rPr>
                <w:rFonts w:eastAsia="DengXian"/>
                <w:szCs w:val="24"/>
              </w:rPr>
              <w:t xml:space="preserve">Powder for infusion: </w:t>
            </w:r>
            <w:r>
              <w:rPr>
                <w:rFonts w:eastAsia="DengXian"/>
                <w:szCs w:val="24"/>
              </w:rPr>
              <w:t>i</w:t>
            </w:r>
            <w:r w:rsidRPr="00727DFA">
              <w:rPr>
                <w:rFonts w:eastAsia="DengXian"/>
                <w:szCs w:val="24"/>
              </w:rPr>
              <w:t>mipenem 250mg + cilastatin 250mg</w:t>
            </w:r>
            <w:r>
              <w:rPr>
                <w:rFonts w:eastAsia="DengXian"/>
                <w:szCs w:val="24"/>
              </w:rPr>
              <w:t>,</w:t>
            </w:r>
            <w:r w:rsidRPr="00727DFA">
              <w:rPr>
                <w:rFonts w:eastAsia="DengXian"/>
                <w:szCs w:val="24"/>
              </w:rPr>
              <w:t xml:space="preserve"> </w:t>
            </w:r>
            <w:r>
              <w:rPr>
                <w:rFonts w:eastAsia="DengXian"/>
                <w:szCs w:val="24"/>
              </w:rPr>
              <w:t>i</w:t>
            </w:r>
            <w:r w:rsidRPr="00727DFA">
              <w:rPr>
                <w:rFonts w:eastAsia="DengXian"/>
                <w:szCs w:val="24"/>
              </w:rPr>
              <w:t>mipenem 500mg + cilastatin 500mg</w:t>
            </w:r>
          </w:p>
        </w:tc>
      </w:tr>
      <w:tr w:rsidR="007B485D" w:rsidRPr="00727DFA" w14:paraId="773517D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7F5CF06"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C13C803" w14:textId="77777777" w:rsidR="007B485D" w:rsidRPr="00727DFA" w:rsidRDefault="007B485D" w:rsidP="002D6DD7">
            <w:pPr>
              <w:jc w:val="both"/>
              <w:rPr>
                <w:rFonts w:eastAsia="DengXian"/>
                <w:szCs w:val="24"/>
              </w:rPr>
            </w:pPr>
            <w:r w:rsidRPr="00727DFA">
              <w:rPr>
                <w:rFonts w:eastAsia="DengXian"/>
                <w:szCs w:val="24"/>
              </w:rPr>
              <w:t>Treatment of respiratory tract, urinary tract, intra-</w:t>
            </w:r>
            <w:r w:rsidRPr="00727DFA">
              <w:rPr>
                <w:rFonts w:eastAsia="DengXian"/>
                <w:spacing w:val="1"/>
                <w:szCs w:val="24"/>
              </w:rPr>
              <w:t xml:space="preserve"> </w:t>
            </w:r>
            <w:r w:rsidRPr="00727DFA">
              <w:rPr>
                <w:rFonts w:eastAsia="DengXian"/>
                <w:szCs w:val="24"/>
              </w:rPr>
              <w:t>abdominal,</w:t>
            </w:r>
            <w:r w:rsidRPr="00727DFA">
              <w:rPr>
                <w:rFonts w:eastAsia="DengXian"/>
                <w:spacing w:val="1"/>
                <w:szCs w:val="24"/>
              </w:rPr>
              <w:t xml:space="preserve"> </w:t>
            </w:r>
            <w:r w:rsidRPr="00727DFA">
              <w:rPr>
                <w:rFonts w:eastAsia="DengXian"/>
                <w:szCs w:val="24"/>
              </w:rPr>
              <w:t>gynecologic,</w:t>
            </w:r>
            <w:r w:rsidRPr="00727DFA">
              <w:rPr>
                <w:rFonts w:eastAsia="DengXian"/>
                <w:spacing w:val="1"/>
                <w:szCs w:val="24"/>
              </w:rPr>
              <w:t xml:space="preserve"> </w:t>
            </w:r>
            <w:r w:rsidRPr="00727DFA">
              <w:rPr>
                <w:rFonts w:eastAsia="DengXian"/>
                <w:szCs w:val="24"/>
              </w:rPr>
              <w:t>bone</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joint,</w:t>
            </w:r>
            <w:r w:rsidRPr="00727DFA">
              <w:rPr>
                <w:rFonts w:eastAsia="DengXian"/>
                <w:spacing w:val="1"/>
                <w:szCs w:val="24"/>
              </w:rPr>
              <w:t xml:space="preserve"> </w:t>
            </w:r>
            <w:r w:rsidRPr="00727DFA">
              <w:rPr>
                <w:rFonts w:eastAsia="DengXian"/>
                <w:szCs w:val="24"/>
              </w:rPr>
              <w:t>skin</w:t>
            </w:r>
            <w:r w:rsidRPr="00727DFA">
              <w:rPr>
                <w:rFonts w:eastAsia="DengXian"/>
                <w:spacing w:val="1"/>
                <w:szCs w:val="24"/>
              </w:rPr>
              <w:t xml:space="preserve"> </w:t>
            </w:r>
            <w:r w:rsidRPr="00727DFA">
              <w:rPr>
                <w:rFonts w:eastAsia="DengXian"/>
                <w:szCs w:val="24"/>
              </w:rPr>
              <w:t>structure</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polymicrobi</w:t>
            </w:r>
            <w:r>
              <w:rPr>
                <w:rFonts w:eastAsia="DengXian"/>
                <w:szCs w:val="24"/>
              </w:rPr>
              <w:t>al</w:t>
            </w:r>
            <w:r w:rsidRPr="00727DFA">
              <w:rPr>
                <w:rFonts w:eastAsia="DengXian"/>
                <w:spacing w:val="17"/>
                <w:szCs w:val="24"/>
              </w:rPr>
              <w:t xml:space="preserve"> </w:t>
            </w:r>
            <w:r w:rsidRPr="00727DFA">
              <w:rPr>
                <w:rFonts w:eastAsia="DengXian"/>
                <w:szCs w:val="24"/>
              </w:rPr>
              <w:t>infections</w:t>
            </w:r>
            <w:r w:rsidRPr="00727DFA">
              <w:rPr>
                <w:rFonts w:eastAsia="DengXian"/>
                <w:spacing w:val="20"/>
                <w:szCs w:val="24"/>
              </w:rPr>
              <w:t xml:space="preserve"> </w:t>
            </w:r>
            <w:r w:rsidRPr="00727DFA">
              <w:rPr>
                <w:rFonts w:eastAsia="DengXian"/>
                <w:szCs w:val="24"/>
              </w:rPr>
              <w:t>as</w:t>
            </w:r>
            <w:r w:rsidRPr="00727DFA">
              <w:rPr>
                <w:rFonts w:eastAsia="DengXian"/>
                <w:spacing w:val="18"/>
                <w:szCs w:val="24"/>
              </w:rPr>
              <w:t xml:space="preserve"> </w:t>
            </w:r>
            <w:r w:rsidRPr="00727DFA">
              <w:rPr>
                <w:rFonts w:eastAsia="DengXian"/>
                <w:szCs w:val="24"/>
              </w:rPr>
              <w:t>well</w:t>
            </w:r>
            <w:r w:rsidRPr="00727DFA">
              <w:rPr>
                <w:rFonts w:eastAsia="DengXian"/>
                <w:spacing w:val="18"/>
                <w:szCs w:val="24"/>
              </w:rPr>
              <w:t xml:space="preserve"> </w:t>
            </w:r>
            <w:r w:rsidRPr="00727DFA">
              <w:rPr>
                <w:rFonts w:eastAsia="DengXian"/>
                <w:szCs w:val="24"/>
              </w:rPr>
              <w:t>as</w:t>
            </w:r>
            <w:r w:rsidRPr="00727DFA">
              <w:rPr>
                <w:rFonts w:eastAsia="DengXian"/>
                <w:spacing w:val="18"/>
                <w:szCs w:val="24"/>
              </w:rPr>
              <w:t xml:space="preserve"> </w:t>
            </w:r>
            <w:r w:rsidRPr="00727DFA">
              <w:rPr>
                <w:rFonts w:eastAsia="DengXian"/>
                <w:szCs w:val="24"/>
              </w:rPr>
              <w:t>bacterial</w:t>
            </w:r>
            <w:r w:rsidRPr="00727DFA">
              <w:rPr>
                <w:rFonts w:eastAsia="DengXian"/>
                <w:spacing w:val="18"/>
                <w:szCs w:val="24"/>
              </w:rPr>
              <w:t xml:space="preserve"> </w:t>
            </w:r>
            <w:r w:rsidRPr="00727DFA">
              <w:rPr>
                <w:rFonts w:eastAsia="DengXian"/>
                <w:szCs w:val="24"/>
              </w:rPr>
              <w:t>septicemia</w:t>
            </w:r>
            <w:r w:rsidRPr="00727DFA">
              <w:rPr>
                <w:rFonts w:eastAsia="DengXian"/>
                <w:spacing w:val="17"/>
                <w:szCs w:val="24"/>
              </w:rPr>
              <w:t xml:space="preserve"> </w:t>
            </w:r>
            <w:r w:rsidRPr="00727DFA">
              <w:rPr>
                <w:rFonts w:eastAsia="DengXian"/>
                <w:szCs w:val="24"/>
              </w:rPr>
              <w:t>and endocarditis</w:t>
            </w:r>
            <w:r w:rsidRPr="00727DFA">
              <w:rPr>
                <w:rFonts w:eastAsia="DengXian"/>
                <w:spacing w:val="1"/>
                <w:szCs w:val="24"/>
              </w:rPr>
              <w:t xml:space="preserve"> </w:t>
            </w:r>
          </w:p>
          <w:p w14:paraId="2DECF9BA" w14:textId="77777777" w:rsidR="007B485D" w:rsidRPr="00727DFA" w:rsidRDefault="007B485D" w:rsidP="002D6DD7">
            <w:pPr>
              <w:jc w:val="both"/>
              <w:rPr>
                <w:rFonts w:eastAsia="DengXian"/>
                <w:szCs w:val="24"/>
              </w:rPr>
            </w:pPr>
            <w:r w:rsidRPr="00727DFA">
              <w:rPr>
                <w:rFonts w:eastAsia="DengXian"/>
                <w:b/>
                <w:bCs/>
                <w:szCs w:val="24"/>
              </w:rPr>
              <w:t>Note</w:t>
            </w:r>
            <w:r w:rsidRPr="00727DFA">
              <w:rPr>
                <w:rFonts w:eastAsia="DengXian"/>
                <w:szCs w:val="24"/>
              </w:rPr>
              <w:t xml:space="preserve">: </w:t>
            </w:r>
            <w:r w:rsidRPr="00873AF2">
              <w:rPr>
                <w:rFonts w:eastAsia="DengXian"/>
                <w:i/>
                <w:iCs/>
                <w:szCs w:val="24"/>
              </w:rPr>
              <w:t>Not indicated</w:t>
            </w:r>
            <w:r w:rsidRPr="00873AF2">
              <w:rPr>
                <w:rFonts w:eastAsia="DengXian"/>
                <w:b/>
                <w:i/>
                <w:iCs/>
                <w:szCs w:val="24"/>
              </w:rPr>
              <w:t xml:space="preserve"> </w:t>
            </w:r>
            <w:r w:rsidRPr="00873AF2">
              <w:rPr>
                <w:rFonts w:eastAsia="DengXian"/>
                <w:i/>
                <w:iCs/>
                <w:szCs w:val="24"/>
              </w:rPr>
              <w:t>for CNS infections</w:t>
            </w:r>
          </w:p>
        </w:tc>
      </w:tr>
      <w:tr w:rsidR="007B485D" w:rsidRPr="00727DFA" w14:paraId="24081C8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AE10ABE" w14:textId="77777777" w:rsidR="007B485D" w:rsidRPr="00727DFA" w:rsidRDefault="007B485D" w:rsidP="002D6DD7">
            <w:pPr>
              <w:jc w:val="both"/>
              <w:rPr>
                <w:rFonts w:eastAsia="DengXian"/>
                <w:szCs w:val="24"/>
              </w:rPr>
            </w:pPr>
            <w:r w:rsidRPr="00727DFA">
              <w:rPr>
                <w:rFonts w:eastAsia="DengXian"/>
                <w:szCs w:val="24"/>
              </w:rPr>
              <w:lastRenderedPageBreak/>
              <w:t xml:space="preserve">Dose and </w:t>
            </w:r>
            <w:r>
              <w:rPr>
                <w:rFonts w:eastAsia="DengXian"/>
                <w:szCs w:val="24"/>
              </w:rPr>
              <w:t>a</w:t>
            </w:r>
            <w:r w:rsidRPr="00727DFA">
              <w:rPr>
                <w:rFonts w:eastAsia="DengXian"/>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3666014D" w14:textId="77777777" w:rsidR="007B485D" w:rsidRPr="00873AF2" w:rsidRDefault="007B485D" w:rsidP="002D6DD7">
            <w:pPr>
              <w:jc w:val="both"/>
              <w:rPr>
                <w:rFonts w:eastAsia="DengXian"/>
                <w:bCs/>
                <w:i/>
                <w:iCs/>
                <w:szCs w:val="24"/>
              </w:rPr>
            </w:pPr>
            <w:r w:rsidRPr="00873AF2">
              <w:rPr>
                <w:rFonts w:eastAsia="DengXian"/>
                <w:bCs/>
                <w:i/>
                <w:iCs/>
                <w:szCs w:val="24"/>
              </w:rPr>
              <w:t>Dose expressed in terms of imipenem.</w:t>
            </w:r>
          </w:p>
          <w:p w14:paraId="024CBE7E" w14:textId="77777777" w:rsidR="007B485D" w:rsidRPr="00727DFA" w:rsidRDefault="007B485D" w:rsidP="002D6DD7">
            <w:pPr>
              <w:jc w:val="both"/>
              <w:rPr>
                <w:rFonts w:eastAsia="DengXian"/>
                <w:b/>
                <w:szCs w:val="24"/>
              </w:rPr>
            </w:pPr>
            <w:r w:rsidRPr="00727DFA">
              <w:rPr>
                <w:rFonts w:eastAsia="DengXian"/>
                <w:b/>
                <w:szCs w:val="24"/>
              </w:rPr>
              <w:t>Aerobic and anaerobic gram-positive and gram-negative</w:t>
            </w:r>
          </w:p>
          <w:p w14:paraId="5534A13E" w14:textId="77777777" w:rsidR="007B485D" w:rsidRPr="00873AF2" w:rsidRDefault="007B485D" w:rsidP="002D6DD7">
            <w:pPr>
              <w:jc w:val="both"/>
              <w:rPr>
                <w:rFonts w:eastAsia="DengXian"/>
                <w:bCs/>
                <w:szCs w:val="24"/>
              </w:rPr>
            </w:pPr>
            <w:r w:rsidRPr="00727DFA">
              <w:rPr>
                <w:rFonts w:eastAsia="DengXian"/>
                <w:b/>
                <w:szCs w:val="24"/>
              </w:rPr>
              <w:t>infection, hospital acquired septicemia; IV:</w:t>
            </w:r>
            <w:r>
              <w:rPr>
                <w:rFonts w:eastAsia="DengXian"/>
                <w:b/>
                <w:szCs w:val="24"/>
              </w:rPr>
              <w:t xml:space="preserve"> </w:t>
            </w:r>
          </w:p>
          <w:p w14:paraId="5F1AAD94" w14:textId="77777777" w:rsidR="007B485D" w:rsidRPr="00727DFA" w:rsidRDefault="007B485D" w:rsidP="002D6DD7">
            <w:pPr>
              <w:jc w:val="both"/>
              <w:rPr>
                <w:rFonts w:eastAsia="DengXian"/>
                <w:szCs w:val="24"/>
              </w:rPr>
            </w:pPr>
            <w:r w:rsidRPr="00727DFA">
              <w:rPr>
                <w:rFonts w:eastAsia="DengXian"/>
                <w:b/>
                <w:szCs w:val="24"/>
              </w:rPr>
              <w:t xml:space="preserve">Adult: </w:t>
            </w:r>
            <w:r w:rsidRPr="00727DFA">
              <w:rPr>
                <w:rFonts w:eastAsia="DengXian"/>
                <w:szCs w:val="24"/>
              </w:rPr>
              <w:t>500 mg every 6 hours, alternatively 1 g every 8 hours</w:t>
            </w:r>
          </w:p>
          <w:p w14:paraId="1D81E062" w14:textId="77777777" w:rsidR="007B485D" w:rsidRPr="00727DFA" w:rsidRDefault="007B485D" w:rsidP="002D6DD7">
            <w:pPr>
              <w:jc w:val="both"/>
              <w:rPr>
                <w:rFonts w:eastAsia="DengXian"/>
                <w:szCs w:val="24"/>
              </w:rPr>
            </w:pPr>
            <w:r w:rsidRPr="00727DFA">
              <w:rPr>
                <w:rFonts w:eastAsia="DengXian"/>
                <w:b/>
                <w:szCs w:val="24"/>
              </w:rPr>
              <w:t xml:space="preserve">Infection caused by </w:t>
            </w:r>
            <w:r w:rsidRPr="00727DFA">
              <w:rPr>
                <w:rFonts w:eastAsia="DengXian"/>
                <w:b/>
                <w:i/>
                <w:szCs w:val="24"/>
              </w:rPr>
              <w:t>Pseudomonas</w:t>
            </w:r>
            <w:r w:rsidRPr="00727DFA">
              <w:rPr>
                <w:rFonts w:eastAsia="DengXian"/>
                <w:b/>
                <w:szCs w:val="24"/>
              </w:rPr>
              <w:t xml:space="preserve"> or other less sensitive organisms</w:t>
            </w:r>
            <w:r w:rsidRPr="00727DFA">
              <w:rPr>
                <w:rFonts w:eastAsia="DengXian"/>
                <w:szCs w:val="24"/>
              </w:rPr>
              <w:t xml:space="preserve">, </w:t>
            </w:r>
            <w:r w:rsidRPr="00727DFA">
              <w:rPr>
                <w:rFonts w:eastAsia="DengXian"/>
                <w:b/>
                <w:szCs w:val="24"/>
              </w:rPr>
              <w:t>empirical treatment of infection in febrile patients with neutropenia and life-threatening infection; IV:</w:t>
            </w:r>
          </w:p>
          <w:p w14:paraId="1A89CC5F" w14:textId="77777777" w:rsidR="007B485D" w:rsidRPr="00727DFA" w:rsidRDefault="007B485D" w:rsidP="002D6DD7">
            <w:pPr>
              <w:jc w:val="both"/>
              <w:rPr>
                <w:rFonts w:eastAsia="DengXian"/>
                <w:b/>
                <w:szCs w:val="24"/>
              </w:rPr>
            </w:pPr>
            <w:r w:rsidRPr="00727DFA">
              <w:rPr>
                <w:rFonts w:eastAsia="DengXian"/>
                <w:b/>
                <w:szCs w:val="24"/>
              </w:rPr>
              <w:t xml:space="preserve">Adult: </w:t>
            </w:r>
            <w:r w:rsidRPr="00873AF2">
              <w:rPr>
                <w:rFonts w:eastAsia="DengXian"/>
                <w:bCs/>
                <w:szCs w:val="24"/>
              </w:rPr>
              <w:t>500mg-</w:t>
            </w:r>
            <w:r w:rsidRPr="00727DFA">
              <w:rPr>
                <w:rFonts w:eastAsia="DengXian"/>
                <w:szCs w:val="24"/>
              </w:rPr>
              <w:t>1 g every 6 hours</w:t>
            </w:r>
          </w:p>
          <w:p w14:paraId="337217E7" w14:textId="77777777" w:rsidR="007B485D" w:rsidRPr="00727DFA" w:rsidRDefault="007B485D" w:rsidP="002D6DD7">
            <w:pPr>
              <w:jc w:val="both"/>
              <w:rPr>
                <w:rFonts w:eastAsia="DengXian"/>
                <w:b/>
                <w:bCs/>
                <w:szCs w:val="24"/>
              </w:rPr>
            </w:pPr>
            <w:r w:rsidRPr="00727DFA">
              <w:rPr>
                <w:rFonts w:eastAsia="DengXian"/>
                <w:b/>
                <w:bCs/>
                <w:szCs w:val="24"/>
              </w:rPr>
              <w:t>General dosage for neonates; IV:</w:t>
            </w:r>
          </w:p>
          <w:p w14:paraId="3B0BC605" w14:textId="77777777" w:rsidR="007B485D" w:rsidRPr="00727DFA" w:rsidRDefault="007B485D" w:rsidP="002D6DD7">
            <w:pPr>
              <w:jc w:val="both"/>
              <w:rPr>
                <w:rFonts w:eastAsia="DengXian"/>
                <w:bCs/>
                <w:szCs w:val="24"/>
              </w:rPr>
            </w:pPr>
            <w:r w:rsidRPr="00727DFA">
              <w:rPr>
                <w:rFonts w:eastAsia="DengXian"/>
                <w:b/>
                <w:szCs w:val="24"/>
              </w:rPr>
              <w:t>Neonates &lt;1 week of age weighing ≥1.5 kg:</w:t>
            </w:r>
            <w:r w:rsidRPr="00727DFA">
              <w:rPr>
                <w:rFonts w:eastAsia="DengXian"/>
                <w:bCs/>
                <w:szCs w:val="24"/>
              </w:rPr>
              <w:t xml:space="preserve"> 25 mg/kg every 12 hours</w:t>
            </w:r>
          </w:p>
          <w:p w14:paraId="4DB88422" w14:textId="77777777" w:rsidR="007B485D" w:rsidRPr="00727DFA" w:rsidRDefault="007B485D" w:rsidP="002D6DD7">
            <w:pPr>
              <w:jc w:val="both"/>
              <w:rPr>
                <w:rFonts w:eastAsia="DengXian"/>
                <w:bCs/>
                <w:szCs w:val="24"/>
              </w:rPr>
            </w:pPr>
            <w:r w:rsidRPr="00727DFA">
              <w:rPr>
                <w:rFonts w:eastAsia="DengXian"/>
                <w:b/>
                <w:szCs w:val="24"/>
              </w:rPr>
              <w:t>Neonates 1–4 weeks of age weighing ≥1.5 kg</w:t>
            </w:r>
            <w:r w:rsidRPr="00727DFA">
              <w:rPr>
                <w:rFonts w:eastAsia="DengXian"/>
                <w:bCs/>
                <w:szCs w:val="24"/>
              </w:rPr>
              <w:t>: 25 mg/kg every 8 hours</w:t>
            </w:r>
          </w:p>
          <w:p w14:paraId="3AB1EFC8" w14:textId="77777777" w:rsidR="007B485D" w:rsidRPr="00727DFA" w:rsidRDefault="007B485D" w:rsidP="002D6DD7">
            <w:pPr>
              <w:jc w:val="both"/>
              <w:rPr>
                <w:rFonts w:eastAsia="DengXian"/>
                <w:b/>
                <w:bCs/>
                <w:szCs w:val="24"/>
              </w:rPr>
            </w:pPr>
            <w:r w:rsidRPr="00727DFA">
              <w:rPr>
                <w:rFonts w:eastAsia="DengXian"/>
                <w:b/>
                <w:bCs/>
                <w:szCs w:val="24"/>
              </w:rPr>
              <w:t>General Dosage for Infants and Children; IV:</w:t>
            </w:r>
          </w:p>
          <w:p w14:paraId="5748A6EB" w14:textId="77777777" w:rsidR="007B485D" w:rsidRPr="00727DFA" w:rsidRDefault="007B485D" w:rsidP="002D6DD7">
            <w:pPr>
              <w:jc w:val="both"/>
              <w:rPr>
                <w:rFonts w:eastAsia="DengXian"/>
                <w:b/>
                <w:bCs/>
                <w:szCs w:val="24"/>
              </w:rPr>
            </w:pPr>
            <w:r w:rsidRPr="00727DFA">
              <w:rPr>
                <w:rFonts w:eastAsia="DengXian"/>
                <w:b/>
                <w:szCs w:val="24"/>
              </w:rPr>
              <w:t>Infants 1–3 months of age weighing ≥1.5 kg</w:t>
            </w:r>
            <w:r w:rsidRPr="00727DFA">
              <w:rPr>
                <w:rFonts w:eastAsia="DengXian"/>
                <w:bCs/>
                <w:szCs w:val="24"/>
              </w:rPr>
              <w:t>: 25 mg every 6 hours.</w:t>
            </w:r>
          </w:p>
          <w:p w14:paraId="1938685B" w14:textId="77777777" w:rsidR="007B485D" w:rsidRPr="00727DFA" w:rsidRDefault="007B485D" w:rsidP="002D6DD7">
            <w:pPr>
              <w:jc w:val="both"/>
              <w:rPr>
                <w:rFonts w:eastAsia="DengXian"/>
                <w:b/>
                <w:bCs/>
                <w:szCs w:val="24"/>
              </w:rPr>
            </w:pPr>
            <w:r w:rsidRPr="00727DFA">
              <w:rPr>
                <w:rFonts w:eastAsia="DengXian"/>
                <w:b/>
                <w:szCs w:val="24"/>
              </w:rPr>
              <w:t>Children ≥3 months of age</w:t>
            </w:r>
            <w:r w:rsidRPr="00727DFA">
              <w:rPr>
                <w:rFonts w:eastAsia="DengXian"/>
                <w:bCs/>
                <w:szCs w:val="24"/>
              </w:rPr>
              <w:t>: 15–25 mg/kg every 6 hours</w:t>
            </w:r>
          </w:p>
        </w:tc>
      </w:tr>
      <w:tr w:rsidR="007B485D" w:rsidRPr="00727DFA" w14:paraId="200F66C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63AA2EE"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2898064"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p>
        </w:tc>
      </w:tr>
      <w:tr w:rsidR="007B485D" w:rsidRPr="00727DFA" w14:paraId="45B0795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9E7A4A9"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6A4A73C" w14:textId="77777777" w:rsidR="007B485D" w:rsidRPr="00727DFA" w:rsidRDefault="007B485D" w:rsidP="002D6DD7">
            <w:pPr>
              <w:jc w:val="both"/>
              <w:rPr>
                <w:rFonts w:eastAsia="DengXian"/>
                <w:szCs w:val="24"/>
              </w:rPr>
            </w:pPr>
            <w:r w:rsidRPr="00727DFA">
              <w:rPr>
                <w:rFonts w:eastAsia="DengXian"/>
                <w:szCs w:val="24"/>
              </w:rPr>
              <w:t xml:space="preserve">Ganciclovir, </w:t>
            </w:r>
            <w:r>
              <w:rPr>
                <w:rFonts w:eastAsia="DengXian"/>
                <w:szCs w:val="24"/>
              </w:rPr>
              <w:t xml:space="preserve">probenecid, </w:t>
            </w:r>
            <w:r w:rsidRPr="00727DFA">
              <w:rPr>
                <w:rFonts w:eastAsia="DengXian"/>
                <w:szCs w:val="24"/>
              </w:rPr>
              <w:t>valproate, typhoid vaccine</w:t>
            </w:r>
            <w:r w:rsidRPr="00727DFA">
              <w:rPr>
                <w:rFonts w:eastAsia="DengXian"/>
                <w:spacing w:val="1"/>
                <w:szCs w:val="24"/>
              </w:rPr>
              <w:t xml:space="preserve"> </w:t>
            </w:r>
            <w:r w:rsidRPr="00727DFA">
              <w:rPr>
                <w:rFonts w:eastAsia="DengXian"/>
                <w:szCs w:val="24"/>
              </w:rPr>
              <w:t>(oral)</w:t>
            </w:r>
            <w:r>
              <w:rPr>
                <w:rFonts w:eastAsia="DengXian"/>
                <w:szCs w:val="24"/>
              </w:rPr>
              <w:t>.</w:t>
            </w:r>
          </w:p>
        </w:tc>
      </w:tr>
      <w:tr w:rsidR="007B485D" w:rsidRPr="00727DFA" w14:paraId="501147A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E2C08ED"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A5F2B6A" w14:textId="77777777" w:rsidR="007B485D" w:rsidRPr="00727DFA" w:rsidRDefault="007B485D" w:rsidP="002D6DD7">
            <w:pPr>
              <w:jc w:val="both"/>
              <w:rPr>
                <w:rFonts w:eastAsia="DengXian"/>
                <w:szCs w:val="24"/>
              </w:rPr>
            </w:pPr>
            <w:r w:rsidRPr="00727DFA">
              <w:rPr>
                <w:rFonts w:eastAsia="DengXian"/>
                <w:szCs w:val="24"/>
              </w:rPr>
              <w:t>Diarrhea, vomiting, nausea, eosinophilia, skin reactions, thrombophlebitis, bone marrow disorders, confusion, dizziness, drowsiness, hallucination, hypotension, leukopenia, movement disorders, psychiatric disorder, seizure, thrombocytopenia, thrombocytosis, agranulocytosis, antibiotic associated colitis</w:t>
            </w:r>
            <w:r>
              <w:rPr>
                <w:rFonts w:eastAsia="DengXian"/>
                <w:szCs w:val="24"/>
              </w:rPr>
              <w:t>.</w:t>
            </w:r>
            <w:r w:rsidRPr="00727DFA">
              <w:rPr>
                <w:rFonts w:eastAsia="DengXian"/>
                <w:szCs w:val="24"/>
              </w:rPr>
              <w:t xml:space="preserve"> </w:t>
            </w:r>
          </w:p>
        </w:tc>
      </w:tr>
      <w:tr w:rsidR="007B485D" w:rsidRPr="00727DFA" w14:paraId="1AA36F5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1F63904"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DF63183" w14:textId="77777777" w:rsidR="007B485D" w:rsidRDefault="007B485D" w:rsidP="002D6DD7">
            <w:pPr>
              <w:jc w:val="both"/>
              <w:rPr>
                <w:rFonts w:eastAsia="DengXian"/>
                <w:szCs w:val="24"/>
              </w:rPr>
            </w:pPr>
            <w:r w:rsidRPr="00727DFA">
              <w:rPr>
                <w:rFonts w:eastAsia="DengXian"/>
                <w:szCs w:val="24"/>
              </w:rPr>
              <w:t>CNS disorders, epilepsy, renal</w:t>
            </w:r>
            <w:r w:rsidRPr="00727DFA">
              <w:rPr>
                <w:rFonts w:eastAsia="DengXian"/>
                <w:spacing w:val="1"/>
                <w:szCs w:val="24"/>
              </w:rPr>
              <w:t xml:space="preserve"> </w:t>
            </w:r>
            <w:r w:rsidRPr="00727DFA">
              <w:rPr>
                <w:rFonts w:eastAsia="DengXian"/>
                <w:szCs w:val="24"/>
              </w:rPr>
              <w:t>impairment,</w:t>
            </w:r>
            <w:r w:rsidRPr="00727DFA">
              <w:rPr>
                <w:rFonts w:eastAsia="DengXian"/>
                <w:spacing w:val="1"/>
                <w:szCs w:val="24"/>
              </w:rPr>
              <w:t xml:space="preserve"> </w:t>
            </w:r>
            <w:r w:rsidRPr="00727DFA">
              <w:rPr>
                <w:rFonts w:eastAsia="DengXian"/>
                <w:szCs w:val="24"/>
              </w:rPr>
              <w:t>pregnancy,</w:t>
            </w:r>
            <w:r w:rsidRPr="00727DFA">
              <w:rPr>
                <w:rFonts w:eastAsia="DengXian"/>
                <w:spacing w:val="1"/>
                <w:szCs w:val="24"/>
              </w:rPr>
              <w:t xml:space="preserve"> </w:t>
            </w:r>
            <w:r w:rsidRPr="00727DFA">
              <w:rPr>
                <w:rFonts w:eastAsia="DengXian"/>
                <w:szCs w:val="24"/>
              </w:rPr>
              <w:t>breastfeeding,</w:t>
            </w:r>
            <w:r w:rsidRPr="00727DFA">
              <w:rPr>
                <w:rFonts w:eastAsia="DengXian"/>
                <w:spacing w:val="1"/>
                <w:szCs w:val="24"/>
              </w:rPr>
              <w:t xml:space="preserve"> </w:t>
            </w:r>
            <w:r w:rsidRPr="00727DFA">
              <w:rPr>
                <w:rFonts w:eastAsia="DengXian"/>
                <w:szCs w:val="24"/>
              </w:rPr>
              <w:t>prolonged use, history of seizures, elderly</w:t>
            </w:r>
            <w:r w:rsidRPr="00727DFA">
              <w:rPr>
                <w:rFonts w:eastAsia="DengXian"/>
                <w:spacing w:val="1"/>
                <w:szCs w:val="24"/>
              </w:rPr>
              <w:t xml:space="preserve"> </w:t>
            </w:r>
            <w:r w:rsidRPr="00727DFA">
              <w:rPr>
                <w:rFonts w:eastAsia="DengXian"/>
                <w:szCs w:val="24"/>
              </w:rPr>
              <w:t>patients</w:t>
            </w:r>
          </w:p>
          <w:p w14:paraId="08D62704" w14:textId="77777777" w:rsidR="007B485D" w:rsidRPr="00727DFA" w:rsidRDefault="007B485D" w:rsidP="002D6DD7">
            <w:pPr>
              <w:jc w:val="both"/>
              <w:rPr>
                <w:rFonts w:eastAsia="DengXian"/>
                <w:szCs w:val="24"/>
              </w:rPr>
            </w:pPr>
            <w:r>
              <w:rPr>
                <w:rFonts w:eastAsia="DengXian"/>
                <w:szCs w:val="24"/>
              </w:rPr>
              <w:t>Note:</w:t>
            </w:r>
            <w:r w:rsidRPr="00727DFA">
              <w:rPr>
                <w:rFonts w:eastAsia="DengXian"/>
                <w:spacing w:val="1"/>
                <w:szCs w:val="24"/>
              </w:rPr>
              <w:t xml:space="preserve"> </w:t>
            </w:r>
            <w:r w:rsidRPr="00873AF2">
              <w:rPr>
                <w:rFonts w:eastAsia="DengXian"/>
                <w:i/>
                <w:iCs/>
                <w:szCs w:val="24"/>
              </w:rPr>
              <w:t>IV</w:t>
            </w:r>
            <w:r w:rsidRPr="00873AF2">
              <w:rPr>
                <w:rFonts w:eastAsia="DengXian"/>
                <w:i/>
                <w:iCs/>
                <w:spacing w:val="1"/>
                <w:szCs w:val="24"/>
              </w:rPr>
              <w:t xml:space="preserve"> </w:t>
            </w:r>
            <w:r w:rsidRPr="00873AF2">
              <w:rPr>
                <w:rFonts w:eastAsia="DengXian"/>
                <w:i/>
                <w:iCs/>
                <w:szCs w:val="24"/>
              </w:rPr>
              <w:t>and</w:t>
            </w:r>
            <w:r w:rsidRPr="00873AF2">
              <w:rPr>
                <w:rFonts w:eastAsia="DengXian"/>
                <w:i/>
                <w:iCs/>
                <w:spacing w:val="1"/>
                <w:szCs w:val="24"/>
              </w:rPr>
              <w:t xml:space="preserve"> </w:t>
            </w:r>
            <w:r w:rsidRPr="00873AF2">
              <w:rPr>
                <w:rFonts w:eastAsia="DengXian"/>
                <w:i/>
                <w:iCs/>
                <w:szCs w:val="24"/>
              </w:rPr>
              <w:t>IM</w:t>
            </w:r>
            <w:r w:rsidRPr="00873AF2">
              <w:rPr>
                <w:rFonts w:eastAsia="DengXian"/>
                <w:i/>
                <w:iCs/>
                <w:spacing w:val="1"/>
                <w:szCs w:val="24"/>
              </w:rPr>
              <w:t xml:space="preserve"> </w:t>
            </w:r>
            <w:r w:rsidRPr="00873AF2">
              <w:rPr>
                <w:rFonts w:eastAsia="DengXian"/>
                <w:i/>
                <w:iCs/>
                <w:szCs w:val="24"/>
              </w:rPr>
              <w:t>preparations</w:t>
            </w:r>
            <w:r w:rsidRPr="00873AF2">
              <w:rPr>
                <w:rFonts w:eastAsia="DengXian"/>
                <w:i/>
                <w:iCs/>
                <w:spacing w:val="1"/>
                <w:szCs w:val="24"/>
              </w:rPr>
              <w:t xml:space="preserve"> </w:t>
            </w:r>
            <w:r w:rsidRPr="00873AF2">
              <w:rPr>
                <w:rFonts w:eastAsia="DengXian"/>
                <w:i/>
                <w:iCs/>
                <w:szCs w:val="24"/>
              </w:rPr>
              <w:t>cannot</w:t>
            </w:r>
            <w:r w:rsidRPr="00873AF2">
              <w:rPr>
                <w:rFonts w:eastAsia="DengXian"/>
                <w:i/>
                <w:iCs/>
                <w:spacing w:val="-1"/>
                <w:szCs w:val="24"/>
              </w:rPr>
              <w:t xml:space="preserve"> </w:t>
            </w:r>
            <w:r w:rsidRPr="00873AF2">
              <w:rPr>
                <w:rFonts w:eastAsia="DengXian"/>
                <w:i/>
                <w:iCs/>
                <w:szCs w:val="24"/>
              </w:rPr>
              <w:t>be</w:t>
            </w:r>
            <w:r w:rsidRPr="00873AF2">
              <w:rPr>
                <w:rFonts w:eastAsia="DengXian"/>
                <w:i/>
                <w:iCs/>
                <w:spacing w:val="-1"/>
                <w:szCs w:val="24"/>
              </w:rPr>
              <w:t xml:space="preserve"> </w:t>
            </w:r>
            <w:r w:rsidRPr="00873AF2">
              <w:rPr>
                <w:rFonts w:eastAsia="DengXian"/>
                <w:i/>
                <w:iCs/>
                <w:szCs w:val="24"/>
              </w:rPr>
              <w:t>interchanged.</w:t>
            </w:r>
          </w:p>
        </w:tc>
      </w:tr>
      <w:tr w:rsidR="007B485D" w:rsidRPr="00727DFA" w14:paraId="16F27BE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AF22602"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6A8DB52"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7E98B619"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F893A91" w14:textId="77777777" w:rsidR="007B485D" w:rsidRPr="00727DFA" w:rsidRDefault="007B485D" w:rsidP="002D6DD7">
            <w:pPr>
              <w:jc w:val="both"/>
              <w:rPr>
                <w:rFonts w:eastAsia="DengXian"/>
                <w:szCs w:val="24"/>
              </w:rPr>
            </w:pPr>
            <w:r w:rsidRPr="00587263">
              <w:rPr>
                <w:rFonts w:eastAsia="Calibri"/>
                <w:b/>
                <w:bCs/>
                <w:szCs w:val="24"/>
              </w:rPr>
              <w:t xml:space="preserve">Meropenem </w:t>
            </w:r>
            <w:r w:rsidRPr="00873AF2">
              <w:rPr>
                <w:rFonts w:eastAsia="Calibri"/>
                <w:b/>
                <w:bCs/>
                <w:szCs w:val="24"/>
              </w:rPr>
              <w:t>(Reserve)</w:t>
            </w:r>
          </w:p>
        </w:tc>
      </w:tr>
      <w:tr w:rsidR="007B485D" w:rsidRPr="00727DFA" w14:paraId="1C56101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38ECCCD"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853A7B8" w14:textId="77777777" w:rsidR="007B485D" w:rsidRPr="00727DFA" w:rsidRDefault="007B485D" w:rsidP="002D6DD7">
            <w:pPr>
              <w:jc w:val="both"/>
              <w:rPr>
                <w:rFonts w:eastAsia="DengXian"/>
                <w:szCs w:val="24"/>
              </w:rPr>
            </w:pPr>
            <w:r w:rsidRPr="00727DFA">
              <w:rPr>
                <w:rFonts w:eastAsia="DengXian"/>
                <w:szCs w:val="24"/>
              </w:rPr>
              <w:t>Carbapenem</w:t>
            </w:r>
          </w:p>
        </w:tc>
      </w:tr>
      <w:tr w:rsidR="007B485D" w:rsidRPr="00727DFA" w14:paraId="127DC58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CB5134F"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9B29152" w14:textId="77777777" w:rsidR="007B485D" w:rsidRPr="00727DFA" w:rsidRDefault="007B485D" w:rsidP="002D6DD7">
            <w:pPr>
              <w:jc w:val="both"/>
              <w:rPr>
                <w:rFonts w:eastAsia="DengXian"/>
                <w:szCs w:val="24"/>
              </w:rPr>
            </w:pPr>
            <w:r w:rsidRPr="00727DFA">
              <w:rPr>
                <w:rFonts w:eastAsia="DengXian"/>
                <w:szCs w:val="24"/>
              </w:rPr>
              <w:t>Powder for injection (as trihydrate): 500mg/vial, 1g/ vial</w:t>
            </w:r>
          </w:p>
        </w:tc>
      </w:tr>
      <w:tr w:rsidR="007B485D" w:rsidRPr="00727DFA" w14:paraId="1634B8D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E10154C" w14:textId="77777777" w:rsidR="007B485D" w:rsidRPr="00727DFA" w:rsidRDefault="007B485D" w:rsidP="002D6DD7">
            <w:pPr>
              <w:jc w:val="both"/>
              <w:rPr>
                <w:rFonts w:eastAsia="DengXian"/>
                <w:b/>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4A0E0077" w14:textId="77777777" w:rsidR="007B485D" w:rsidRPr="00727DFA" w:rsidRDefault="007B485D" w:rsidP="002D6DD7">
            <w:pPr>
              <w:jc w:val="both"/>
              <w:rPr>
                <w:rFonts w:eastAsia="DengXian"/>
                <w:szCs w:val="24"/>
              </w:rPr>
            </w:pPr>
            <w:r w:rsidRPr="00727DFA">
              <w:rPr>
                <w:rFonts w:eastAsia="DengXian"/>
                <w:szCs w:val="24"/>
              </w:rPr>
              <w:t>Treatment</w:t>
            </w:r>
            <w:r w:rsidRPr="00727DFA">
              <w:rPr>
                <w:rFonts w:eastAsia="DengXian"/>
                <w:spacing w:val="1"/>
                <w:szCs w:val="24"/>
              </w:rPr>
              <w:t xml:space="preserve"> </w:t>
            </w:r>
            <w:r w:rsidRPr="00727DFA">
              <w:rPr>
                <w:rFonts w:eastAsia="DengXian"/>
                <w:szCs w:val="24"/>
              </w:rPr>
              <w:t>of</w:t>
            </w:r>
            <w:r w:rsidRPr="00727DFA">
              <w:rPr>
                <w:rFonts w:eastAsia="DengXian"/>
                <w:spacing w:val="1"/>
                <w:szCs w:val="24"/>
              </w:rPr>
              <w:t xml:space="preserve"> </w:t>
            </w:r>
            <w:r w:rsidRPr="00727DFA">
              <w:rPr>
                <w:rFonts w:eastAsia="DengXian"/>
                <w:szCs w:val="24"/>
              </w:rPr>
              <w:t>intra-abdominal</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(complicated</w:t>
            </w:r>
            <w:r w:rsidRPr="00727DFA">
              <w:rPr>
                <w:rFonts w:eastAsia="DengXian"/>
                <w:spacing w:val="36"/>
                <w:szCs w:val="24"/>
              </w:rPr>
              <w:t xml:space="preserve"> </w:t>
            </w:r>
            <w:r w:rsidRPr="00727DFA">
              <w:rPr>
                <w:rFonts w:eastAsia="DengXian"/>
                <w:szCs w:val="24"/>
              </w:rPr>
              <w:t>appendicitis</w:t>
            </w:r>
            <w:r w:rsidRPr="00727DFA">
              <w:rPr>
                <w:rFonts w:eastAsia="DengXian"/>
                <w:spacing w:val="38"/>
                <w:szCs w:val="24"/>
              </w:rPr>
              <w:t xml:space="preserve"> </w:t>
            </w:r>
            <w:r w:rsidRPr="00727DFA">
              <w:rPr>
                <w:rFonts w:eastAsia="DengXian"/>
                <w:szCs w:val="24"/>
              </w:rPr>
              <w:t>and</w:t>
            </w:r>
            <w:r w:rsidRPr="00727DFA">
              <w:rPr>
                <w:rFonts w:eastAsia="DengXian"/>
                <w:spacing w:val="37"/>
                <w:szCs w:val="24"/>
              </w:rPr>
              <w:t xml:space="preserve"> </w:t>
            </w:r>
            <w:r w:rsidRPr="00727DFA">
              <w:rPr>
                <w:rFonts w:eastAsia="DengXian"/>
                <w:szCs w:val="24"/>
              </w:rPr>
              <w:t>peritonitis),</w:t>
            </w:r>
            <w:r w:rsidRPr="00727DFA">
              <w:rPr>
                <w:rFonts w:eastAsia="DengXian"/>
                <w:spacing w:val="37"/>
                <w:szCs w:val="24"/>
              </w:rPr>
              <w:t xml:space="preserve"> </w:t>
            </w:r>
            <w:r w:rsidRPr="00727DFA">
              <w:rPr>
                <w:rFonts w:eastAsia="DengXian"/>
                <w:szCs w:val="24"/>
              </w:rPr>
              <w:t>bacterial</w:t>
            </w:r>
            <w:r w:rsidRPr="00727DFA">
              <w:rPr>
                <w:rFonts w:eastAsia="DengXian"/>
                <w:spacing w:val="37"/>
                <w:szCs w:val="24"/>
              </w:rPr>
              <w:t xml:space="preserve"> </w:t>
            </w:r>
            <w:r w:rsidRPr="00727DFA">
              <w:rPr>
                <w:rFonts w:eastAsia="DengXian"/>
                <w:szCs w:val="24"/>
              </w:rPr>
              <w:t xml:space="preserve">meningitis (pediatric patients, </w:t>
            </w:r>
            <w:r w:rsidRPr="00727DFA">
              <w:rPr>
                <w:rFonts w:eastAsia="DengXian"/>
                <w:szCs w:val="24"/>
                <w:u w:val="single"/>
              </w:rPr>
              <w:t>&gt;</w:t>
            </w:r>
            <w:r w:rsidRPr="00727DFA">
              <w:rPr>
                <w:rFonts w:eastAsia="DengXian"/>
                <w:szCs w:val="24"/>
              </w:rPr>
              <w:t xml:space="preserve">3 months caused by </w:t>
            </w:r>
            <w:r w:rsidRPr="00727DFA">
              <w:rPr>
                <w:rFonts w:eastAsia="DengXian"/>
                <w:i/>
                <w:iCs/>
                <w:szCs w:val="24"/>
              </w:rPr>
              <w:t>S. pneumonia</w:t>
            </w:r>
            <w:r w:rsidRPr="00727DFA">
              <w:rPr>
                <w:rFonts w:eastAsia="DengXian"/>
                <w:szCs w:val="24"/>
              </w:rPr>
              <w:t xml:space="preserve">, </w:t>
            </w:r>
            <w:r w:rsidRPr="00727DFA">
              <w:rPr>
                <w:rFonts w:eastAsia="DengXian"/>
                <w:i/>
                <w:iCs/>
                <w:szCs w:val="24"/>
              </w:rPr>
              <w:t>H.</w:t>
            </w:r>
            <w:r w:rsidRPr="00727DFA">
              <w:rPr>
                <w:rFonts w:eastAsia="DengXian"/>
                <w:i/>
                <w:iCs/>
                <w:spacing w:val="1"/>
                <w:szCs w:val="24"/>
              </w:rPr>
              <w:t xml:space="preserve"> </w:t>
            </w:r>
            <w:r w:rsidRPr="00727DFA">
              <w:rPr>
                <w:rFonts w:eastAsia="DengXian"/>
                <w:i/>
                <w:iCs/>
                <w:szCs w:val="24"/>
              </w:rPr>
              <w:t>influenza</w:t>
            </w:r>
            <w:r w:rsidRPr="00727DFA">
              <w:rPr>
                <w:rFonts w:eastAsia="DengXian"/>
                <w:szCs w:val="24"/>
              </w:rPr>
              <w:t>,</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i/>
                <w:iCs/>
                <w:szCs w:val="24"/>
              </w:rPr>
              <w:t>N.</w:t>
            </w:r>
            <w:r w:rsidRPr="00727DFA">
              <w:rPr>
                <w:rFonts w:eastAsia="DengXian"/>
                <w:i/>
                <w:iCs/>
                <w:spacing w:val="1"/>
                <w:szCs w:val="24"/>
              </w:rPr>
              <w:t xml:space="preserve"> </w:t>
            </w:r>
            <w:r w:rsidRPr="00727DFA">
              <w:rPr>
                <w:rFonts w:eastAsia="DengXian"/>
                <w:i/>
                <w:iCs/>
                <w:szCs w:val="24"/>
              </w:rPr>
              <w:t>meningitides</w:t>
            </w:r>
            <w:r w:rsidRPr="00727DFA">
              <w:rPr>
                <w:rFonts w:eastAsia="DengXian"/>
                <w:szCs w:val="24"/>
              </w:rPr>
              <w:t>),</w:t>
            </w:r>
            <w:r w:rsidRPr="00727DFA">
              <w:rPr>
                <w:rFonts w:eastAsia="DengXian"/>
                <w:spacing w:val="1"/>
                <w:szCs w:val="24"/>
              </w:rPr>
              <w:t xml:space="preserve"> </w:t>
            </w:r>
            <w:r w:rsidRPr="00727DFA">
              <w:rPr>
                <w:rFonts w:eastAsia="DengXian"/>
                <w:szCs w:val="24"/>
              </w:rPr>
              <w:t>complicated</w:t>
            </w:r>
            <w:r w:rsidRPr="00727DFA">
              <w:rPr>
                <w:rFonts w:eastAsia="DengXian"/>
                <w:spacing w:val="1"/>
                <w:szCs w:val="24"/>
              </w:rPr>
              <w:t xml:space="preserve"> </w:t>
            </w:r>
            <w:r w:rsidRPr="00727DFA">
              <w:rPr>
                <w:rFonts w:eastAsia="DengXian"/>
                <w:szCs w:val="24"/>
              </w:rPr>
              <w:t>skin</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soft tissue</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caused by</w:t>
            </w:r>
            <w:r w:rsidRPr="00727DFA">
              <w:rPr>
                <w:rFonts w:eastAsia="DengXian"/>
                <w:spacing w:val="-5"/>
                <w:szCs w:val="24"/>
              </w:rPr>
              <w:t xml:space="preserve"> </w:t>
            </w:r>
            <w:r w:rsidRPr="00727DFA">
              <w:rPr>
                <w:rFonts w:eastAsia="DengXian"/>
                <w:szCs w:val="24"/>
              </w:rPr>
              <w:t>susceptible</w:t>
            </w:r>
            <w:r w:rsidRPr="00727DFA">
              <w:rPr>
                <w:rFonts w:eastAsia="DengXian"/>
                <w:spacing w:val="-1"/>
                <w:szCs w:val="24"/>
              </w:rPr>
              <w:t xml:space="preserve"> </w:t>
            </w:r>
            <w:r w:rsidRPr="00727DFA">
              <w:rPr>
                <w:rFonts w:eastAsia="DengXian"/>
                <w:szCs w:val="24"/>
              </w:rPr>
              <w:t>organism, exacerbations of chronic lower respiratory-tract infection in cystic fibrosis, endocarditis (in combination with other antibacterials)</w:t>
            </w:r>
            <w:r>
              <w:rPr>
                <w:rFonts w:eastAsia="DengXian"/>
                <w:szCs w:val="24"/>
              </w:rPr>
              <w:t>.</w:t>
            </w:r>
          </w:p>
        </w:tc>
      </w:tr>
      <w:tr w:rsidR="007B485D" w:rsidRPr="00727DFA" w14:paraId="1D16353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FA2C66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2A211CC" w14:textId="77777777" w:rsidR="007B485D" w:rsidRPr="00727DFA" w:rsidRDefault="007B485D" w:rsidP="002D6DD7">
            <w:pPr>
              <w:jc w:val="both"/>
              <w:rPr>
                <w:rFonts w:eastAsia="DengXian"/>
                <w:b/>
                <w:spacing w:val="1"/>
                <w:szCs w:val="24"/>
              </w:rPr>
            </w:pPr>
            <w:r w:rsidRPr="00727DFA">
              <w:rPr>
                <w:rFonts w:eastAsia="DengXian"/>
                <w:b/>
                <w:szCs w:val="24"/>
              </w:rPr>
              <w:t>Adult dose;</w:t>
            </w:r>
            <w:r w:rsidRPr="00727DFA">
              <w:rPr>
                <w:rFonts w:eastAsia="DengXian"/>
                <w:b/>
                <w:spacing w:val="1"/>
                <w:szCs w:val="24"/>
              </w:rPr>
              <w:t xml:space="preserve"> </w:t>
            </w:r>
            <w:r w:rsidRPr="00873AF2">
              <w:rPr>
                <w:rFonts w:eastAsia="DengXian"/>
                <w:bCs/>
                <w:spacing w:val="1"/>
                <w:szCs w:val="24"/>
              </w:rPr>
              <w:t>IV:</w:t>
            </w:r>
          </w:p>
          <w:p w14:paraId="3E917163" w14:textId="77777777" w:rsidR="007B485D" w:rsidRPr="00727DFA" w:rsidRDefault="007B485D" w:rsidP="002D6DD7">
            <w:pPr>
              <w:jc w:val="both"/>
              <w:rPr>
                <w:rFonts w:eastAsia="DengXian"/>
                <w:szCs w:val="24"/>
              </w:rPr>
            </w:pPr>
            <w:r w:rsidRPr="00727DFA">
              <w:rPr>
                <w:rFonts w:eastAsia="DengXian"/>
                <w:b/>
                <w:bCs/>
                <w:szCs w:val="24"/>
              </w:rPr>
              <w:t>Intraabdominal</w:t>
            </w:r>
            <w:r w:rsidRPr="00727DFA">
              <w:rPr>
                <w:rFonts w:eastAsia="DengXian"/>
                <w:b/>
                <w:bCs/>
                <w:spacing w:val="1"/>
                <w:szCs w:val="24"/>
              </w:rPr>
              <w:t xml:space="preserve"> </w:t>
            </w:r>
            <w:r>
              <w:rPr>
                <w:rFonts w:eastAsia="DengXian"/>
                <w:b/>
                <w:bCs/>
                <w:szCs w:val="24"/>
              </w:rPr>
              <w:t>i</w:t>
            </w:r>
            <w:r w:rsidRPr="00727DFA">
              <w:rPr>
                <w:rFonts w:eastAsia="DengXian"/>
                <w:b/>
                <w:bCs/>
                <w:szCs w:val="24"/>
              </w:rPr>
              <w:t>nfection:</w:t>
            </w:r>
            <w:r w:rsidRPr="00727DFA">
              <w:rPr>
                <w:rFonts w:eastAsia="DengXian"/>
                <w:szCs w:val="24"/>
              </w:rPr>
              <w:t xml:space="preserve"> 1g every 8 hours</w:t>
            </w:r>
          </w:p>
          <w:p w14:paraId="6CB7B83B" w14:textId="77777777" w:rsidR="007B485D" w:rsidRPr="00727DFA" w:rsidRDefault="007B485D" w:rsidP="002D6DD7">
            <w:pPr>
              <w:jc w:val="both"/>
              <w:rPr>
                <w:rFonts w:eastAsia="DengXian"/>
                <w:szCs w:val="24"/>
              </w:rPr>
            </w:pPr>
            <w:r w:rsidRPr="00727DFA">
              <w:rPr>
                <w:rFonts w:eastAsia="DengXian"/>
                <w:b/>
                <w:bCs/>
                <w:szCs w:val="24"/>
              </w:rPr>
              <w:t>Meningitis:</w:t>
            </w:r>
            <w:r w:rsidRPr="00727DFA">
              <w:rPr>
                <w:rFonts w:eastAsia="DengXian"/>
                <w:szCs w:val="24"/>
              </w:rPr>
              <w:t xml:space="preserve"> 1 to 2g every 8 hours </w:t>
            </w:r>
          </w:p>
          <w:p w14:paraId="5F23A465" w14:textId="77777777" w:rsidR="007B485D" w:rsidRPr="00727DFA" w:rsidRDefault="007B485D" w:rsidP="002D6DD7">
            <w:pPr>
              <w:jc w:val="both"/>
              <w:rPr>
                <w:rFonts w:eastAsia="DengXian"/>
                <w:b/>
                <w:spacing w:val="1"/>
                <w:szCs w:val="24"/>
              </w:rPr>
            </w:pPr>
            <w:r w:rsidRPr="00727DFA">
              <w:rPr>
                <w:rFonts w:eastAsia="DengXian"/>
                <w:b/>
                <w:bCs/>
                <w:szCs w:val="24"/>
              </w:rPr>
              <w:t>Skin</w:t>
            </w:r>
            <w:r w:rsidRPr="00727DFA">
              <w:rPr>
                <w:rFonts w:eastAsia="DengXian"/>
                <w:b/>
                <w:bCs/>
                <w:spacing w:val="1"/>
                <w:szCs w:val="24"/>
              </w:rPr>
              <w:t xml:space="preserve"> </w:t>
            </w:r>
            <w:r w:rsidRPr="00727DFA">
              <w:rPr>
                <w:rFonts w:eastAsia="DengXian"/>
                <w:b/>
                <w:bCs/>
                <w:szCs w:val="24"/>
              </w:rPr>
              <w:t xml:space="preserve">or </w:t>
            </w:r>
            <w:r>
              <w:rPr>
                <w:rFonts w:eastAsia="DengXian"/>
                <w:b/>
                <w:bCs/>
                <w:szCs w:val="24"/>
              </w:rPr>
              <w:t>s</w:t>
            </w:r>
            <w:r w:rsidRPr="00727DFA">
              <w:rPr>
                <w:rFonts w:eastAsia="DengXian"/>
                <w:b/>
                <w:bCs/>
                <w:szCs w:val="24"/>
              </w:rPr>
              <w:t xml:space="preserve">oft </w:t>
            </w:r>
            <w:r>
              <w:rPr>
                <w:rFonts w:eastAsia="DengXian"/>
                <w:b/>
                <w:bCs/>
                <w:szCs w:val="24"/>
              </w:rPr>
              <w:t>t</w:t>
            </w:r>
            <w:r w:rsidRPr="00727DFA">
              <w:rPr>
                <w:rFonts w:eastAsia="DengXian"/>
                <w:b/>
                <w:bCs/>
                <w:szCs w:val="24"/>
              </w:rPr>
              <w:t>issue</w:t>
            </w:r>
            <w:r w:rsidRPr="00727DFA">
              <w:rPr>
                <w:rFonts w:eastAsia="DengXian"/>
                <w:b/>
                <w:bCs/>
                <w:spacing w:val="1"/>
                <w:szCs w:val="24"/>
              </w:rPr>
              <w:t xml:space="preserve"> </w:t>
            </w:r>
            <w:r>
              <w:rPr>
                <w:rFonts w:eastAsia="DengXian"/>
                <w:b/>
                <w:bCs/>
                <w:szCs w:val="24"/>
              </w:rPr>
              <w:t>i</w:t>
            </w:r>
            <w:r w:rsidRPr="00727DFA">
              <w:rPr>
                <w:rFonts w:eastAsia="DengXian"/>
                <w:b/>
                <w:bCs/>
                <w:szCs w:val="24"/>
              </w:rPr>
              <w:t>nfection</w:t>
            </w:r>
            <w:r>
              <w:rPr>
                <w:rFonts w:eastAsia="DengXian"/>
                <w:spacing w:val="1"/>
                <w:szCs w:val="24"/>
              </w:rPr>
              <w:t xml:space="preserve"> (</w:t>
            </w:r>
            <w:r w:rsidRPr="00727DFA">
              <w:rPr>
                <w:rFonts w:eastAsia="DengXian"/>
                <w:szCs w:val="24"/>
              </w:rPr>
              <w:t>Complicated</w:t>
            </w:r>
            <w:r w:rsidRPr="00727DFA">
              <w:rPr>
                <w:rFonts w:eastAsia="DengXian"/>
                <w:spacing w:val="1"/>
                <w:szCs w:val="24"/>
              </w:rPr>
              <w:t xml:space="preserve"> </w:t>
            </w:r>
            <w:r w:rsidRPr="00727DFA">
              <w:rPr>
                <w:rFonts w:eastAsia="DengXian"/>
                <w:szCs w:val="24"/>
              </w:rPr>
              <w:t>infection</w:t>
            </w:r>
            <w:r>
              <w:rPr>
                <w:rFonts w:eastAsia="DengXian"/>
                <w:szCs w:val="24"/>
              </w:rPr>
              <w:t>)</w:t>
            </w:r>
            <w:r w:rsidRPr="00727DFA">
              <w:rPr>
                <w:rFonts w:eastAsia="DengXian"/>
                <w:szCs w:val="24"/>
              </w:rPr>
              <w:t>:</w:t>
            </w:r>
            <w:r w:rsidRPr="00727DFA">
              <w:rPr>
                <w:rFonts w:eastAsia="DengXian"/>
                <w:spacing w:val="1"/>
                <w:szCs w:val="24"/>
              </w:rPr>
              <w:t xml:space="preserve"> </w:t>
            </w:r>
            <w:r w:rsidRPr="00727DFA">
              <w:rPr>
                <w:rFonts w:eastAsia="DengXian"/>
                <w:szCs w:val="24"/>
              </w:rPr>
              <w:t>500</w:t>
            </w:r>
            <w:r w:rsidRPr="00727DFA">
              <w:rPr>
                <w:rFonts w:eastAsia="DengXian"/>
                <w:spacing w:val="1"/>
                <w:szCs w:val="24"/>
              </w:rPr>
              <w:t xml:space="preserve"> </w:t>
            </w:r>
            <w:r w:rsidRPr="00727DFA">
              <w:rPr>
                <w:rFonts w:eastAsia="DengXian"/>
                <w:szCs w:val="24"/>
              </w:rPr>
              <w:t>mg</w:t>
            </w:r>
            <w:r w:rsidRPr="00727DFA">
              <w:rPr>
                <w:rFonts w:eastAsia="DengXian"/>
                <w:spacing w:val="1"/>
                <w:szCs w:val="24"/>
              </w:rPr>
              <w:t xml:space="preserve"> </w:t>
            </w:r>
            <w:r w:rsidRPr="00727DFA">
              <w:rPr>
                <w:rFonts w:eastAsia="DengXian"/>
                <w:szCs w:val="24"/>
              </w:rPr>
              <w:t>every 8</w:t>
            </w:r>
            <w:r w:rsidRPr="00727DFA">
              <w:rPr>
                <w:rFonts w:eastAsia="DengXian"/>
                <w:spacing w:val="1"/>
                <w:szCs w:val="24"/>
              </w:rPr>
              <w:t xml:space="preserve"> </w:t>
            </w:r>
            <w:r w:rsidRPr="00727DFA">
              <w:rPr>
                <w:rFonts w:eastAsia="DengXian"/>
                <w:szCs w:val="24"/>
              </w:rPr>
              <w:t>hours</w:t>
            </w:r>
            <w:r w:rsidRPr="00727DFA">
              <w:rPr>
                <w:rFonts w:eastAsia="DengXian"/>
                <w:spacing w:val="1"/>
                <w:szCs w:val="24"/>
              </w:rPr>
              <w:t xml:space="preserve"> </w:t>
            </w:r>
          </w:p>
          <w:p w14:paraId="7566A55C" w14:textId="77777777" w:rsidR="007B485D" w:rsidRPr="00727DFA" w:rsidRDefault="007B485D" w:rsidP="002D6DD7">
            <w:pPr>
              <w:jc w:val="both"/>
              <w:rPr>
                <w:rFonts w:eastAsia="DengXian"/>
                <w:szCs w:val="24"/>
              </w:rPr>
            </w:pPr>
            <w:r w:rsidRPr="00727DFA">
              <w:rPr>
                <w:rFonts w:eastAsia="DengXian"/>
                <w:b/>
                <w:bCs/>
                <w:szCs w:val="24"/>
              </w:rPr>
              <w:t>Exacerbations of chronic lower respiratory-tract infection in cystic fibrosis</w:t>
            </w:r>
            <w:r w:rsidRPr="00727DFA">
              <w:rPr>
                <w:rFonts w:eastAsia="DengXian"/>
                <w:szCs w:val="24"/>
              </w:rPr>
              <w:t>:  2 g every 8 hours</w:t>
            </w:r>
          </w:p>
          <w:p w14:paraId="7DE29F1F" w14:textId="77777777" w:rsidR="007B485D" w:rsidRPr="00727DFA" w:rsidRDefault="007B485D" w:rsidP="002D6DD7">
            <w:pPr>
              <w:jc w:val="both"/>
              <w:rPr>
                <w:rFonts w:eastAsia="DengXian"/>
                <w:szCs w:val="24"/>
              </w:rPr>
            </w:pPr>
            <w:r w:rsidRPr="00727DFA">
              <w:rPr>
                <w:rFonts w:eastAsia="DengXian"/>
                <w:b/>
                <w:bCs/>
                <w:szCs w:val="24"/>
              </w:rPr>
              <w:t xml:space="preserve">Endocarditis (in combination with another antibacterial): </w:t>
            </w:r>
            <w:r w:rsidRPr="00727DFA">
              <w:rPr>
                <w:rFonts w:eastAsia="DengXian"/>
                <w:szCs w:val="24"/>
              </w:rPr>
              <w:t>2 g every 8 hours</w:t>
            </w:r>
          </w:p>
          <w:p w14:paraId="79FF6D42" w14:textId="77777777" w:rsidR="007B485D" w:rsidRPr="00727DFA" w:rsidRDefault="007B485D" w:rsidP="002D6DD7">
            <w:pPr>
              <w:jc w:val="both"/>
              <w:rPr>
                <w:rFonts w:eastAsia="DengXian"/>
                <w:b/>
                <w:szCs w:val="24"/>
              </w:rPr>
            </w:pPr>
            <w:r w:rsidRPr="00727DFA">
              <w:rPr>
                <w:rFonts w:eastAsia="DengXian"/>
                <w:b/>
                <w:szCs w:val="24"/>
              </w:rPr>
              <w:t>Pediatric dose; IV:</w:t>
            </w:r>
          </w:p>
          <w:p w14:paraId="570F66B3" w14:textId="77777777" w:rsidR="007B485D" w:rsidRPr="00727DFA" w:rsidRDefault="007B485D" w:rsidP="002D6DD7">
            <w:pPr>
              <w:jc w:val="both"/>
              <w:rPr>
                <w:rFonts w:eastAsia="DengXian"/>
                <w:szCs w:val="24"/>
              </w:rPr>
            </w:pPr>
            <w:r w:rsidRPr="00727DFA">
              <w:rPr>
                <w:rFonts w:eastAsia="DengXian"/>
                <w:b/>
                <w:bCs/>
                <w:szCs w:val="24"/>
              </w:rPr>
              <w:t>Intraabdominal</w:t>
            </w:r>
            <w:r w:rsidRPr="00727DFA">
              <w:rPr>
                <w:rFonts w:eastAsia="DengXian"/>
                <w:b/>
                <w:bCs/>
                <w:spacing w:val="1"/>
                <w:szCs w:val="24"/>
              </w:rPr>
              <w:t xml:space="preserve"> </w:t>
            </w:r>
            <w:r w:rsidRPr="00727DFA">
              <w:rPr>
                <w:rFonts w:eastAsia="DengXian"/>
                <w:b/>
                <w:bCs/>
                <w:szCs w:val="24"/>
              </w:rPr>
              <w:t>infection:</w:t>
            </w:r>
          </w:p>
          <w:p w14:paraId="04E3C642" w14:textId="77777777" w:rsidR="007B485D" w:rsidRPr="00727DFA" w:rsidRDefault="007B485D" w:rsidP="002D6DD7">
            <w:pPr>
              <w:jc w:val="both"/>
              <w:rPr>
                <w:rFonts w:eastAsia="DengXian"/>
                <w:szCs w:val="24"/>
              </w:rPr>
            </w:pPr>
            <w:r>
              <w:rPr>
                <w:rFonts w:eastAsia="DengXian"/>
                <w:b/>
                <w:szCs w:val="24"/>
              </w:rPr>
              <w:t xml:space="preserve">Child 3 </w:t>
            </w:r>
            <w:r w:rsidRPr="00727DFA">
              <w:rPr>
                <w:rFonts w:eastAsia="DengXian"/>
                <w:b/>
                <w:szCs w:val="24"/>
              </w:rPr>
              <w:t>months</w:t>
            </w:r>
            <w:r w:rsidRPr="00727DFA">
              <w:rPr>
                <w:rFonts w:eastAsia="DengXian"/>
                <w:b/>
                <w:spacing w:val="1"/>
                <w:szCs w:val="24"/>
              </w:rPr>
              <w:t xml:space="preserve"> </w:t>
            </w:r>
            <w:r w:rsidRPr="00727DFA">
              <w:rPr>
                <w:rFonts w:eastAsia="DengXian"/>
                <w:b/>
                <w:szCs w:val="24"/>
              </w:rPr>
              <w:t>or</w:t>
            </w:r>
            <w:r w:rsidRPr="00727DFA">
              <w:rPr>
                <w:rFonts w:eastAsia="DengXian"/>
                <w:b/>
                <w:spacing w:val="1"/>
                <w:szCs w:val="24"/>
              </w:rPr>
              <w:t xml:space="preserve"> </w:t>
            </w:r>
            <w:r w:rsidRPr="00727DFA">
              <w:rPr>
                <w:rFonts w:eastAsia="DengXian"/>
                <w:b/>
                <w:szCs w:val="24"/>
              </w:rPr>
              <w:t>older</w:t>
            </w:r>
            <w:r w:rsidRPr="00727DFA">
              <w:rPr>
                <w:rFonts w:eastAsia="DengXian"/>
                <w:szCs w:val="24"/>
              </w:rPr>
              <w:t>:</w:t>
            </w:r>
            <w:r w:rsidRPr="00727DFA">
              <w:rPr>
                <w:rFonts w:eastAsia="DengXian"/>
                <w:spacing w:val="1"/>
                <w:szCs w:val="24"/>
              </w:rPr>
              <w:t xml:space="preserve"> </w:t>
            </w:r>
            <w:r w:rsidRPr="00727DFA">
              <w:rPr>
                <w:rFonts w:eastAsia="DengXian"/>
                <w:szCs w:val="24"/>
              </w:rPr>
              <w:t>20</w:t>
            </w:r>
            <w:r w:rsidRPr="00727DFA">
              <w:rPr>
                <w:rFonts w:eastAsia="DengXian"/>
                <w:spacing w:val="1"/>
                <w:szCs w:val="24"/>
              </w:rPr>
              <w:t xml:space="preserve"> </w:t>
            </w:r>
            <w:r w:rsidRPr="00727DFA">
              <w:rPr>
                <w:rFonts w:eastAsia="DengXian"/>
                <w:szCs w:val="24"/>
              </w:rPr>
              <w:t>mg/kg IV every 8 hours; Maximum</w:t>
            </w:r>
            <w:r>
              <w:rPr>
                <w:rFonts w:eastAsia="DengXian"/>
                <w:szCs w:val="24"/>
              </w:rPr>
              <w:t xml:space="preserve"> daily dose is</w:t>
            </w:r>
            <w:r w:rsidRPr="00727DFA">
              <w:rPr>
                <w:rFonts w:eastAsia="DengXian"/>
                <w:szCs w:val="24"/>
              </w:rPr>
              <w:t xml:space="preserve"> 3 g/day </w:t>
            </w:r>
          </w:p>
          <w:p w14:paraId="313994AA" w14:textId="77777777" w:rsidR="007B485D" w:rsidRPr="00727DFA" w:rsidRDefault="007B485D" w:rsidP="002D6DD7">
            <w:pPr>
              <w:jc w:val="both"/>
              <w:rPr>
                <w:rFonts w:eastAsia="DengXian"/>
                <w:spacing w:val="52"/>
                <w:szCs w:val="24"/>
              </w:rPr>
            </w:pPr>
            <w:r>
              <w:rPr>
                <w:rFonts w:eastAsia="DengXian"/>
                <w:b/>
                <w:szCs w:val="24"/>
              </w:rPr>
              <w:t>Child</w:t>
            </w:r>
            <w:r w:rsidRPr="00727DFA">
              <w:rPr>
                <w:rFonts w:eastAsia="DengXian"/>
                <w:b/>
                <w:szCs w:val="24"/>
              </w:rPr>
              <w:t xml:space="preserve"> 50</w:t>
            </w:r>
            <w:r w:rsidRPr="00727DFA">
              <w:rPr>
                <w:rFonts w:eastAsia="DengXian"/>
                <w:b/>
                <w:spacing w:val="1"/>
                <w:szCs w:val="24"/>
              </w:rPr>
              <w:t xml:space="preserve"> </w:t>
            </w:r>
            <w:r w:rsidRPr="00727DFA">
              <w:rPr>
                <w:rFonts w:eastAsia="DengXian"/>
                <w:b/>
                <w:szCs w:val="24"/>
              </w:rPr>
              <w:t>kg</w:t>
            </w:r>
            <w:r w:rsidRPr="00727DFA">
              <w:rPr>
                <w:rFonts w:eastAsia="DengXian"/>
                <w:b/>
                <w:spacing w:val="47"/>
                <w:szCs w:val="24"/>
              </w:rPr>
              <w:t xml:space="preserve"> </w:t>
            </w:r>
            <w:r w:rsidRPr="00727DFA">
              <w:rPr>
                <w:rFonts w:eastAsia="DengXian"/>
                <w:b/>
                <w:szCs w:val="24"/>
              </w:rPr>
              <w:t>or</w:t>
            </w:r>
            <w:r w:rsidRPr="00727DFA">
              <w:rPr>
                <w:rFonts w:eastAsia="DengXian"/>
                <w:b/>
                <w:spacing w:val="52"/>
                <w:szCs w:val="24"/>
              </w:rPr>
              <w:t xml:space="preserve"> </w:t>
            </w:r>
            <w:r w:rsidRPr="00727DFA">
              <w:rPr>
                <w:rFonts w:eastAsia="DengXian"/>
                <w:b/>
                <w:szCs w:val="24"/>
              </w:rPr>
              <w:t>more</w:t>
            </w:r>
            <w:r w:rsidRPr="00727DFA">
              <w:rPr>
                <w:rFonts w:eastAsia="DengXian"/>
                <w:szCs w:val="24"/>
              </w:rPr>
              <w:t>:</w:t>
            </w:r>
            <w:r w:rsidRPr="00727DFA">
              <w:rPr>
                <w:rFonts w:eastAsia="DengXian"/>
                <w:spacing w:val="51"/>
                <w:szCs w:val="24"/>
              </w:rPr>
              <w:t xml:space="preserve"> </w:t>
            </w:r>
            <w:r w:rsidRPr="00727DFA">
              <w:rPr>
                <w:rFonts w:eastAsia="DengXian"/>
                <w:szCs w:val="24"/>
              </w:rPr>
              <w:t>1</w:t>
            </w:r>
            <w:r w:rsidRPr="00727DFA">
              <w:rPr>
                <w:rFonts w:eastAsia="DengXian"/>
                <w:spacing w:val="52"/>
                <w:szCs w:val="24"/>
              </w:rPr>
              <w:t xml:space="preserve"> </w:t>
            </w:r>
            <w:r w:rsidRPr="00727DFA">
              <w:rPr>
                <w:rFonts w:eastAsia="DengXian"/>
                <w:szCs w:val="24"/>
              </w:rPr>
              <w:t>g</w:t>
            </w:r>
            <w:r w:rsidRPr="00727DFA">
              <w:rPr>
                <w:rFonts w:eastAsia="DengXian"/>
                <w:spacing w:val="49"/>
                <w:szCs w:val="24"/>
              </w:rPr>
              <w:t xml:space="preserve"> </w:t>
            </w:r>
            <w:r w:rsidRPr="00727DFA">
              <w:rPr>
                <w:rFonts w:eastAsia="DengXian"/>
                <w:szCs w:val="24"/>
              </w:rPr>
              <w:t>IV</w:t>
            </w:r>
            <w:r w:rsidRPr="00727DFA">
              <w:rPr>
                <w:rFonts w:eastAsia="DengXian"/>
                <w:spacing w:val="52"/>
                <w:szCs w:val="24"/>
              </w:rPr>
              <w:t xml:space="preserve"> </w:t>
            </w:r>
            <w:r w:rsidRPr="00727DFA">
              <w:rPr>
                <w:rFonts w:eastAsia="DengXian"/>
                <w:szCs w:val="24"/>
              </w:rPr>
              <w:t>every</w:t>
            </w:r>
            <w:r w:rsidRPr="00727DFA">
              <w:rPr>
                <w:rFonts w:eastAsia="DengXian"/>
                <w:spacing w:val="45"/>
                <w:szCs w:val="24"/>
              </w:rPr>
              <w:t xml:space="preserve"> </w:t>
            </w:r>
            <w:r w:rsidRPr="00727DFA">
              <w:rPr>
                <w:rFonts w:eastAsia="DengXian"/>
                <w:szCs w:val="24"/>
              </w:rPr>
              <w:t>8</w:t>
            </w:r>
            <w:r w:rsidRPr="00727DFA">
              <w:rPr>
                <w:rFonts w:eastAsia="DengXian"/>
                <w:spacing w:val="49"/>
                <w:szCs w:val="24"/>
              </w:rPr>
              <w:t xml:space="preserve"> </w:t>
            </w:r>
            <w:r w:rsidRPr="00727DFA">
              <w:rPr>
                <w:rFonts w:eastAsia="DengXian"/>
                <w:szCs w:val="24"/>
              </w:rPr>
              <w:t>hours</w:t>
            </w:r>
            <w:r w:rsidRPr="00727DFA">
              <w:rPr>
                <w:rFonts w:eastAsia="DengXian"/>
                <w:spacing w:val="52"/>
                <w:szCs w:val="24"/>
              </w:rPr>
              <w:t xml:space="preserve"> </w:t>
            </w:r>
          </w:p>
          <w:p w14:paraId="09090A90" w14:textId="77777777" w:rsidR="007B485D" w:rsidRPr="00727DFA" w:rsidRDefault="007B485D" w:rsidP="002D6DD7">
            <w:pPr>
              <w:jc w:val="both"/>
              <w:rPr>
                <w:rFonts w:eastAsia="DengXian"/>
                <w:szCs w:val="24"/>
              </w:rPr>
            </w:pPr>
            <w:r w:rsidRPr="00727DFA">
              <w:rPr>
                <w:rFonts w:eastAsia="DengXian"/>
                <w:b/>
                <w:bCs/>
                <w:szCs w:val="24"/>
              </w:rPr>
              <w:t>Meningitis:</w:t>
            </w:r>
          </w:p>
          <w:p w14:paraId="3AE6F0C2" w14:textId="77777777" w:rsidR="007B485D" w:rsidRPr="00727DFA" w:rsidRDefault="007B485D" w:rsidP="002D6DD7">
            <w:pPr>
              <w:jc w:val="both"/>
              <w:rPr>
                <w:rFonts w:eastAsia="DengXian"/>
                <w:spacing w:val="1"/>
                <w:szCs w:val="24"/>
              </w:rPr>
            </w:pPr>
            <w:r>
              <w:rPr>
                <w:rFonts w:eastAsia="DengXian"/>
                <w:b/>
                <w:szCs w:val="24"/>
              </w:rPr>
              <w:t>Child 3</w:t>
            </w:r>
            <w:r w:rsidRPr="00727DFA">
              <w:rPr>
                <w:rFonts w:eastAsia="DengXian"/>
                <w:b/>
                <w:szCs w:val="24"/>
              </w:rPr>
              <w:t xml:space="preserve"> months</w:t>
            </w:r>
            <w:r w:rsidRPr="00727DFA">
              <w:rPr>
                <w:rFonts w:eastAsia="DengXian"/>
                <w:b/>
                <w:spacing w:val="49"/>
                <w:szCs w:val="24"/>
              </w:rPr>
              <w:t xml:space="preserve"> </w:t>
            </w:r>
            <w:r w:rsidRPr="00727DFA">
              <w:rPr>
                <w:rFonts w:eastAsia="DengXian"/>
                <w:b/>
                <w:szCs w:val="24"/>
              </w:rPr>
              <w:t>or</w:t>
            </w:r>
            <w:r>
              <w:rPr>
                <w:rFonts w:eastAsia="DengXian"/>
                <w:b/>
                <w:szCs w:val="24"/>
              </w:rPr>
              <w:t xml:space="preserve"> older: </w:t>
            </w:r>
            <w:r w:rsidRPr="00727DFA">
              <w:rPr>
                <w:rFonts w:eastAsia="DengXian"/>
                <w:szCs w:val="24"/>
              </w:rPr>
              <w:t xml:space="preserve">40 mg/kg IV every 8 hours, Maximum </w:t>
            </w:r>
            <w:r>
              <w:rPr>
                <w:rFonts w:eastAsia="DengXian"/>
                <w:szCs w:val="24"/>
              </w:rPr>
              <w:t xml:space="preserve">daily </w:t>
            </w:r>
            <w:r w:rsidRPr="00727DFA">
              <w:rPr>
                <w:rFonts w:eastAsia="DengXian"/>
                <w:szCs w:val="24"/>
              </w:rPr>
              <w:t>dose</w:t>
            </w:r>
            <w:r>
              <w:rPr>
                <w:rFonts w:eastAsia="DengXian"/>
                <w:szCs w:val="24"/>
              </w:rPr>
              <w:t xml:space="preserve"> is</w:t>
            </w:r>
            <w:r w:rsidRPr="00727DFA">
              <w:rPr>
                <w:rFonts w:eastAsia="DengXian"/>
                <w:szCs w:val="24"/>
              </w:rPr>
              <w:t xml:space="preserve"> 6 g/day</w:t>
            </w:r>
            <w:r w:rsidRPr="00727DFA">
              <w:rPr>
                <w:rFonts w:eastAsia="DengXian"/>
                <w:spacing w:val="1"/>
                <w:szCs w:val="24"/>
              </w:rPr>
              <w:t xml:space="preserve"> </w:t>
            </w:r>
          </w:p>
          <w:p w14:paraId="48AF1007" w14:textId="77777777" w:rsidR="007B485D" w:rsidRPr="00727DFA" w:rsidRDefault="007B485D" w:rsidP="002D6DD7">
            <w:pPr>
              <w:jc w:val="both"/>
              <w:rPr>
                <w:rFonts w:eastAsia="DengXian"/>
                <w:spacing w:val="1"/>
                <w:szCs w:val="24"/>
              </w:rPr>
            </w:pPr>
            <w:r w:rsidRPr="00727DFA">
              <w:rPr>
                <w:rFonts w:eastAsia="DengXian"/>
                <w:b/>
                <w:szCs w:val="24"/>
              </w:rPr>
              <w:t>Child</w:t>
            </w:r>
            <w:r w:rsidRPr="00727DFA">
              <w:rPr>
                <w:rFonts w:eastAsia="DengXian"/>
                <w:b/>
                <w:spacing w:val="1"/>
                <w:szCs w:val="24"/>
              </w:rPr>
              <w:t xml:space="preserve"> </w:t>
            </w:r>
            <w:r w:rsidRPr="00727DFA">
              <w:rPr>
                <w:rFonts w:eastAsia="DengXian"/>
                <w:b/>
                <w:szCs w:val="24"/>
              </w:rPr>
              <w:t>50</w:t>
            </w:r>
            <w:r w:rsidRPr="00727DFA">
              <w:rPr>
                <w:rFonts w:eastAsia="DengXian"/>
                <w:b/>
                <w:spacing w:val="1"/>
                <w:szCs w:val="24"/>
              </w:rPr>
              <w:t xml:space="preserve"> </w:t>
            </w:r>
            <w:r w:rsidRPr="00727DFA">
              <w:rPr>
                <w:rFonts w:eastAsia="DengXian"/>
                <w:b/>
                <w:szCs w:val="24"/>
              </w:rPr>
              <w:t>kg</w:t>
            </w:r>
            <w:r w:rsidRPr="00727DFA">
              <w:rPr>
                <w:rFonts w:eastAsia="DengXian"/>
                <w:b/>
                <w:spacing w:val="1"/>
                <w:szCs w:val="24"/>
              </w:rPr>
              <w:t xml:space="preserve"> </w:t>
            </w:r>
            <w:r w:rsidRPr="00727DFA">
              <w:rPr>
                <w:rFonts w:eastAsia="DengXian"/>
                <w:b/>
                <w:szCs w:val="24"/>
              </w:rPr>
              <w:t>or</w:t>
            </w:r>
            <w:r w:rsidRPr="00727DFA">
              <w:rPr>
                <w:rFonts w:eastAsia="DengXian"/>
                <w:b/>
                <w:spacing w:val="1"/>
                <w:szCs w:val="24"/>
              </w:rPr>
              <w:t xml:space="preserve"> </w:t>
            </w:r>
            <w:r w:rsidRPr="00727DFA">
              <w:rPr>
                <w:rFonts w:eastAsia="DengXian"/>
                <w:b/>
                <w:szCs w:val="24"/>
              </w:rPr>
              <w:t>more</w:t>
            </w:r>
            <w:r w:rsidRPr="00727DFA">
              <w:rPr>
                <w:rFonts w:eastAsia="DengXian"/>
                <w:szCs w:val="24"/>
              </w:rPr>
              <w:t>:</w:t>
            </w:r>
            <w:r w:rsidRPr="00727DFA">
              <w:rPr>
                <w:rFonts w:eastAsia="DengXian"/>
                <w:spacing w:val="1"/>
                <w:szCs w:val="24"/>
              </w:rPr>
              <w:t xml:space="preserve"> </w:t>
            </w:r>
            <w:r w:rsidRPr="00727DFA">
              <w:rPr>
                <w:rFonts w:eastAsia="DengXian"/>
                <w:szCs w:val="24"/>
              </w:rPr>
              <w:t>2</w:t>
            </w:r>
            <w:r w:rsidRPr="00727DFA">
              <w:rPr>
                <w:rFonts w:eastAsia="DengXian"/>
                <w:spacing w:val="1"/>
                <w:szCs w:val="24"/>
              </w:rPr>
              <w:t xml:space="preserve"> </w:t>
            </w:r>
            <w:r w:rsidRPr="00727DFA">
              <w:rPr>
                <w:rFonts w:eastAsia="DengXian"/>
                <w:szCs w:val="24"/>
              </w:rPr>
              <w:t>g</w:t>
            </w:r>
            <w:r w:rsidRPr="00727DFA">
              <w:rPr>
                <w:rFonts w:eastAsia="DengXian"/>
                <w:spacing w:val="1"/>
                <w:szCs w:val="24"/>
              </w:rPr>
              <w:t xml:space="preserve"> </w:t>
            </w:r>
            <w:r w:rsidRPr="00727DFA">
              <w:rPr>
                <w:rFonts w:eastAsia="DengXian"/>
                <w:szCs w:val="24"/>
              </w:rPr>
              <w:t>IV</w:t>
            </w:r>
            <w:r w:rsidRPr="00727DFA">
              <w:rPr>
                <w:rFonts w:eastAsia="DengXian"/>
                <w:spacing w:val="1"/>
                <w:szCs w:val="24"/>
              </w:rPr>
              <w:t xml:space="preserve"> </w:t>
            </w:r>
            <w:r w:rsidRPr="00727DFA">
              <w:rPr>
                <w:rFonts w:eastAsia="DengXian"/>
                <w:szCs w:val="24"/>
              </w:rPr>
              <w:t>every</w:t>
            </w:r>
            <w:r w:rsidRPr="00727DFA">
              <w:rPr>
                <w:rFonts w:eastAsia="DengXian"/>
                <w:spacing w:val="1"/>
                <w:szCs w:val="24"/>
              </w:rPr>
              <w:t xml:space="preserve"> </w:t>
            </w:r>
            <w:r w:rsidRPr="00727DFA">
              <w:rPr>
                <w:rFonts w:eastAsia="DengXian"/>
                <w:szCs w:val="24"/>
              </w:rPr>
              <w:t>8</w:t>
            </w:r>
            <w:r w:rsidRPr="00727DFA">
              <w:rPr>
                <w:rFonts w:eastAsia="DengXian"/>
                <w:spacing w:val="1"/>
                <w:szCs w:val="24"/>
              </w:rPr>
              <w:t xml:space="preserve"> </w:t>
            </w:r>
            <w:r w:rsidRPr="00727DFA">
              <w:rPr>
                <w:rFonts w:eastAsia="DengXian"/>
                <w:szCs w:val="24"/>
              </w:rPr>
              <w:t>hours</w:t>
            </w:r>
          </w:p>
          <w:p w14:paraId="7F06B64E" w14:textId="77777777" w:rsidR="007B485D" w:rsidRPr="00727DFA" w:rsidRDefault="007B485D" w:rsidP="002D6DD7">
            <w:pPr>
              <w:jc w:val="both"/>
              <w:rPr>
                <w:rFonts w:eastAsia="DengXian"/>
                <w:szCs w:val="24"/>
              </w:rPr>
            </w:pPr>
            <w:r w:rsidRPr="00727DFA">
              <w:rPr>
                <w:rFonts w:eastAsia="DengXian"/>
                <w:b/>
                <w:bCs/>
                <w:szCs w:val="24"/>
              </w:rPr>
              <w:t>Skin</w:t>
            </w:r>
            <w:r w:rsidRPr="00727DFA">
              <w:rPr>
                <w:rFonts w:eastAsia="DengXian"/>
                <w:b/>
                <w:bCs/>
                <w:spacing w:val="60"/>
                <w:szCs w:val="24"/>
              </w:rPr>
              <w:t xml:space="preserve"> </w:t>
            </w:r>
            <w:r w:rsidRPr="00727DFA">
              <w:rPr>
                <w:rFonts w:eastAsia="DengXian"/>
                <w:b/>
                <w:bCs/>
                <w:szCs w:val="24"/>
              </w:rPr>
              <w:t>and</w:t>
            </w:r>
            <w:r w:rsidRPr="00727DFA">
              <w:rPr>
                <w:rFonts w:eastAsia="DengXian"/>
                <w:b/>
                <w:bCs/>
                <w:spacing w:val="1"/>
                <w:szCs w:val="24"/>
              </w:rPr>
              <w:t xml:space="preserve"> </w:t>
            </w:r>
            <w:r w:rsidRPr="00727DFA">
              <w:rPr>
                <w:rFonts w:eastAsia="DengXian"/>
                <w:b/>
                <w:bCs/>
                <w:szCs w:val="24"/>
              </w:rPr>
              <w:t>structure infection-complicated</w:t>
            </w:r>
            <w:r w:rsidRPr="00727DFA">
              <w:rPr>
                <w:rFonts w:eastAsia="DengXian"/>
                <w:szCs w:val="24"/>
              </w:rPr>
              <w:t>:</w:t>
            </w:r>
          </w:p>
          <w:p w14:paraId="3F8CBF67" w14:textId="77777777" w:rsidR="007B485D" w:rsidRPr="00727DFA" w:rsidRDefault="007B485D" w:rsidP="002D6DD7">
            <w:pPr>
              <w:jc w:val="both"/>
              <w:rPr>
                <w:rFonts w:eastAsia="DengXian"/>
                <w:spacing w:val="1"/>
                <w:szCs w:val="24"/>
              </w:rPr>
            </w:pPr>
            <w:r>
              <w:rPr>
                <w:rFonts w:eastAsia="DengXian"/>
                <w:b/>
                <w:szCs w:val="24"/>
              </w:rPr>
              <w:t>Child 3</w:t>
            </w:r>
            <w:r w:rsidRPr="00727DFA">
              <w:rPr>
                <w:rFonts w:eastAsia="DengXian"/>
                <w:b/>
                <w:szCs w:val="24"/>
              </w:rPr>
              <w:t xml:space="preserve">months or older: </w:t>
            </w:r>
            <w:r w:rsidRPr="00727DFA">
              <w:rPr>
                <w:rFonts w:eastAsia="DengXian"/>
                <w:szCs w:val="24"/>
              </w:rPr>
              <w:t>10 mg/kg</w:t>
            </w:r>
            <w:r w:rsidRPr="00727DFA">
              <w:rPr>
                <w:rFonts w:eastAsia="DengXian"/>
                <w:spacing w:val="1"/>
                <w:szCs w:val="24"/>
              </w:rPr>
              <w:t xml:space="preserve"> </w:t>
            </w:r>
            <w:r w:rsidRPr="00727DFA">
              <w:rPr>
                <w:rFonts w:eastAsia="DengXian"/>
                <w:szCs w:val="24"/>
              </w:rPr>
              <w:t xml:space="preserve">IV  </w:t>
            </w:r>
            <w:r w:rsidRPr="00727DFA">
              <w:rPr>
                <w:rFonts w:eastAsia="DengXian"/>
                <w:spacing w:val="1"/>
                <w:szCs w:val="24"/>
              </w:rPr>
              <w:t xml:space="preserve"> </w:t>
            </w:r>
            <w:r w:rsidRPr="00727DFA">
              <w:rPr>
                <w:rFonts w:eastAsia="DengXian"/>
                <w:szCs w:val="24"/>
              </w:rPr>
              <w:t xml:space="preserve">every  </w:t>
            </w:r>
            <w:r w:rsidRPr="00727DFA">
              <w:rPr>
                <w:rFonts w:eastAsia="DengXian"/>
                <w:spacing w:val="1"/>
                <w:szCs w:val="24"/>
              </w:rPr>
              <w:t xml:space="preserve"> </w:t>
            </w:r>
            <w:r w:rsidRPr="00727DFA">
              <w:rPr>
                <w:rFonts w:eastAsia="DengXian"/>
                <w:szCs w:val="24"/>
              </w:rPr>
              <w:t xml:space="preserve">8  </w:t>
            </w:r>
            <w:r w:rsidRPr="00727DFA">
              <w:rPr>
                <w:rFonts w:eastAsia="DengXian"/>
                <w:spacing w:val="1"/>
                <w:szCs w:val="24"/>
              </w:rPr>
              <w:t xml:space="preserve"> </w:t>
            </w:r>
            <w:r w:rsidRPr="00727DFA">
              <w:rPr>
                <w:rFonts w:eastAsia="DengXian"/>
                <w:szCs w:val="24"/>
              </w:rPr>
              <w:t xml:space="preserve">hours.  </w:t>
            </w:r>
            <w:r w:rsidRPr="00727DFA">
              <w:rPr>
                <w:rFonts w:eastAsia="DengXian"/>
                <w:spacing w:val="1"/>
                <w:szCs w:val="24"/>
              </w:rPr>
              <w:t xml:space="preserve"> </w:t>
            </w:r>
            <w:r w:rsidRPr="00727DFA">
              <w:rPr>
                <w:rFonts w:eastAsia="DengXian"/>
                <w:szCs w:val="24"/>
              </w:rPr>
              <w:t xml:space="preserve">Maximum </w:t>
            </w:r>
            <w:r>
              <w:rPr>
                <w:rFonts w:eastAsia="DengXian"/>
                <w:szCs w:val="24"/>
              </w:rPr>
              <w:t>daily dose is</w:t>
            </w:r>
            <w:r w:rsidRPr="00727DFA">
              <w:rPr>
                <w:rFonts w:eastAsia="DengXian"/>
                <w:szCs w:val="24"/>
              </w:rPr>
              <w:t xml:space="preserve">  </w:t>
            </w:r>
            <w:r w:rsidRPr="00727DFA">
              <w:rPr>
                <w:rFonts w:eastAsia="DengXian"/>
                <w:spacing w:val="1"/>
                <w:szCs w:val="24"/>
              </w:rPr>
              <w:t xml:space="preserve">  </w:t>
            </w:r>
            <w:r w:rsidRPr="00727DFA">
              <w:rPr>
                <w:rFonts w:eastAsia="DengXian"/>
                <w:szCs w:val="24"/>
              </w:rPr>
              <w:t xml:space="preserve">1.5   </w:t>
            </w:r>
            <w:r w:rsidRPr="00727DFA">
              <w:rPr>
                <w:rFonts w:eastAsia="DengXian"/>
                <w:spacing w:val="1"/>
                <w:szCs w:val="24"/>
              </w:rPr>
              <w:t xml:space="preserve"> </w:t>
            </w:r>
            <w:r w:rsidRPr="00727DFA">
              <w:rPr>
                <w:rFonts w:eastAsia="DengXian"/>
                <w:szCs w:val="24"/>
              </w:rPr>
              <w:t>g/day</w:t>
            </w:r>
            <w:r>
              <w:rPr>
                <w:rFonts w:eastAsia="DengXian"/>
                <w:spacing w:val="1"/>
                <w:szCs w:val="24"/>
              </w:rPr>
              <w:t>.</w:t>
            </w:r>
          </w:p>
          <w:p w14:paraId="1597B002" w14:textId="77777777" w:rsidR="007B485D" w:rsidRPr="00727DFA" w:rsidRDefault="007B485D" w:rsidP="002D6DD7">
            <w:pPr>
              <w:jc w:val="both"/>
              <w:rPr>
                <w:rFonts w:eastAsia="DengXian"/>
                <w:spacing w:val="1"/>
                <w:szCs w:val="24"/>
              </w:rPr>
            </w:pPr>
            <w:r w:rsidRPr="00727DFA">
              <w:rPr>
                <w:rFonts w:eastAsia="DengXian"/>
                <w:b/>
                <w:szCs w:val="24"/>
              </w:rPr>
              <w:t>Children</w:t>
            </w:r>
            <w:r w:rsidRPr="00727DFA">
              <w:rPr>
                <w:rFonts w:eastAsia="DengXian"/>
                <w:b/>
                <w:spacing w:val="-1"/>
                <w:szCs w:val="24"/>
              </w:rPr>
              <w:t xml:space="preserve"> </w:t>
            </w:r>
            <w:r w:rsidRPr="00727DFA">
              <w:rPr>
                <w:rFonts w:eastAsia="DengXian"/>
                <w:szCs w:val="24"/>
              </w:rPr>
              <w:t>50 kg</w:t>
            </w:r>
            <w:r w:rsidRPr="00727DFA">
              <w:rPr>
                <w:rFonts w:eastAsia="DengXian"/>
                <w:spacing w:val="-3"/>
                <w:szCs w:val="24"/>
              </w:rPr>
              <w:t xml:space="preserve"> </w:t>
            </w:r>
            <w:r w:rsidRPr="00727DFA">
              <w:rPr>
                <w:rFonts w:eastAsia="DengXian"/>
                <w:szCs w:val="24"/>
              </w:rPr>
              <w:t>or</w:t>
            </w:r>
            <w:r w:rsidRPr="00727DFA">
              <w:rPr>
                <w:rFonts w:eastAsia="DengXian"/>
                <w:spacing w:val="-1"/>
                <w:szCs w:val="24"/>
              </w:rPr>
              <w:t xml:space="preserve"> </w:t>
            </w:r>
            <w:r w:rsidRPr="00727DFA">
              <w:rPr>
                <w:rFonts w:eastAsia="DengXian"/>
                <w:szCs w:val="24"/>
              </w:rPr>
              <w:t>more:</w:t>
            </w:r>
            <w:r w:rsidRPr="00727DFA">
              <w:rPr>
                <w:rFonts w:eastAsia="DengXian"/>
                <w:spacing w:val="2"/>
                <w:szCs w:val="24"/>
              </w:rPr>
              <w:t xml:space="preserve"> </w:t>
            </w:r>
            <w:r w:rsidRPr="00727DFA">
              <w:rPr>
                <w:rFonts w:eastAsia="DengXian"/>
                <w:szCs w:val="24"/>
              </w:rPr>
              <w:t>500 mg IV every</w:t>
            </w:r>
            <w:r w:rsidRPr="00727DFA">
              <w:rPr>
                <w:rFonts w:eastAsia="DengXian"/>
                <w:spacing w:val="-5"/>
                <w:szCs w:val="24"/>
              </w:rPr>
              <w:t xml:space="preserve"> </w:t>
            </w:r>
            <w:r w:rsidRPr="00727DFA">
              <w:rPr>
                <w:rFonts w:eastAsia="DengXian"/>
                <w:szCs w:val="24"/>
              </w:rPr>
              <w:t>8 hours</w:t>
            </w:r>
          </w:p>
          <w:p w14:paraId="7747EB2E" w14:textId="77777777" w:rsidR="007B485D" w:rsidRPr="00727DFA" w:rsidRDefault="007B485D" w:rsidP="002D6DD7">
            <w:pPr>
              <w:jc w:val="both"/>
              <w:rPr>
                <w:rFonts w:eastAsia="DengXian"/>
                <w:b/>
                <w:bCs/>
                <w:szCs w:val="24"/>
              </w:rPr>
            </w:pPr>
            <w:r w:rsidRPr="00D94C55">
              <w:rPr>
                <w:rFonts w:eastAsia="DengXian"/>
                <w:bCs/>
                <w:i/>
                <w:szCs w:val="24"/>
              </w:rPr>
              <w:t>Note:</w:t>
            </w:r>
            <w:r w:rsidRPr="00727DFA">
              <w:rPr>
                <w:rFonts w:eastAsia="DengXian"/>
                <w:b/>
                <w:bCs/>
                <w:szCs w:val="24"/>
              </w:rPr>
              <w:t xml:space="preserve"> </w:t>
            </w:r>
            <w:r w:rsidRPr="00873AF2">
              <w:rPr>
                <w:rFonts w:eastAsia="DengXian"/>
                <w:bCs/>
                <w:i/>
                <w:iCs/>
                <w:szCs w:val="24"/>
              </w:rPr>
              <w:t>IV (infusion over 15 to 30 minutes;</w:t>
            </w:r>
            <w:r w:rsidRPr="00873AF2">
              <w:rPr>
                <w:rFonts w:eastAsia="DengXian"/>
                <w:bCs/>
                <w:i/>
                <w:iCs/>
                <w:spacing w:val="1"/>
                <w:szCs w:val="24"/>
              </w:rPr>
              <w:t xml:space="preserve"> </w:t>
            </w:r>
            <w:r w:rsidRPr="00873AF2">
              <w:rPr>
                <w:rFonts w:eastAsia="DengXian"/>
                <w:bCs/>
                <w:i/>
                <w:iCs/>
                <w:szCs w:val="24"/>
              </w:rPr>
              <w:t>bolus injection over 3 to 5 minutes</w:t>
            </w:r>
            <w:r w:rsidRPr="00873AF2">
              <w:rPr>
                <w:rFonts w:eastAsia="DengXian"/>
                <w:b/>
                <w:bCs/>
                <w:i/>
                <w:iCs/>
                <w:szCs w:val="24"/>
              </w:rPr>
              <w:t>)</w:t>
            </w:r>
          </w:p>
        </w:tc>
      </w:tr>
      <w:tr w:rsidR="007B485D" w:rsidRPr="00727DFA" w14:paraId="2662617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804D319"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C236EE6" w14:textId="77777777" w:rsidR="007B485D" w:rsidRPr="00727DFA" w:rsidRDefault="007B485D" w:rsidP="002D6DD7">
            <w:pPr>
              <w:jc w:val="both"/>
              <w:rPr>
                <w:rFonts w:eastAsia="DengXian"/>
                <w:szCs w:val="24"/>
              </w:rPr>
            </w:pPr>
            <w:r w:rsidRPr="00727DFA">
              <w:rPr>
                <w:rFonts w:eastAsia="DengXian"/>
                <w:szCs w:val="24"/>
              </w:rPr>
              <w:t xml:space="preserve">Hypersensitivity to meropenem or other carbapenems </w:t>
            </w:r>
            <w:r>
              <w:rPr>
                <w:rFonts w:eastAsia="DengXian"/>
                <w:szCs w:val="24"/>
              </w:rPr>
              <w:t xml:space="preserve">or </w:t>
            </w:r>
            <w:r w:rsidRPr="00727DFA">
              <w:rPr>
                <w:rFonts w:eastAsia="DengXian"/>
                <w:szCs w:val="24"/>
              </w:rPr>
              <w:t xml:space="preserve">other </w:t>
            </w:r>
            <w:r>
              <w:rPr>
                <w:rFonts w:eastAsia="DengXian"/>
                <w:szCs w:val="24"/>
              </w:rPr>
              <w:t>β</w:t>
            </w:r>
            <w:r w:rsidRPr="00727DFA">
              <w:rPr>
                <w:rFonts w:eastAsia="DengXian"/>
                <w:szCs w:val="24"/>
              </w:rPr>
              <w:t>- lactams</w:t>
            </w:r>
            <w:r>
              <w:rPr>
                <w:rFonts w:eastAsia="DengXian"/>
                <w:szCs w:val="24"/>
              </w:rPr>
              <w:t>.</w:t>
            </w:r>
          </w:p>
        </w:tc>
      </w:tr>
      <w:tr w:rsidR="007B485D" w:rsidRPr="00727DFA" w14:paraId="5C21F90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742126F"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CC9FDFF" w14:textId="77777777" w:rsidR="007B485D" w:rsidRPr="00873AF2" w:rsidRDefault="007B485D" w:rsidP="002D6DD7">
            <w:pPr>
              <w:jc w:val="both"/>
              <w:rPr>
                <w:rFonts w:eastAsia="DengXian"/>
                <w:szCs w:val="24"/>
              </w:rPr>
            </w:pPr>
            <w:r w:rsidRPr="00727DFA">
              <w:rPr>
                <w:rFonts w:eastAsia="DengXian"/>
                <w:szCs w:val="24"/>
              </w:rPr>
              <w:t>Probenecid, valproic acid,</w:t>
            </w:r>
            <w:r>
              <w:rPr>
                <w:rFonts w:eastAsia="DengXian"/>
                <w:szCs w:val="24"/>
              </w:rPr>
              <w:t xml:space="preserve"> digoxin, conjugated estrogen,</w:t>
            </w:r>
            <w:r w:rsidRPr="00331EDC">
              <w:rPr>
                <w:rFonts w:ascii="Arial" w:eastAsia="Times New Roman" w:hAnsi="Arial" w:cs="Arial"/>
                <w:color w:val="202227"/>
                <w:sz w:val="26"/>
                <w:szCs w:val="26"/>
              </w:rPr>
              <w:t xml:space="preserve"> </w:t>
            </w:r>
            <w:hyperlink r:id="rId25" w:history="1">
              <w:r w:rsidRPr="00873AF2">
                <w:rPr>
                  <w:szCs w:val="24"/>
                </w:rPr>
                <w:t>mycophenolate mofetil</w:t>
              </w:r>
            </w:hyperlink>
            <w:r w:rsidRPr="00587263">
              <w:rPr>
                <w:rFonts w:eastAsia="DengXian"/>
                <w:szCs w:val="24"/>
              </w:rPr>
              <w:t>,</w:t>
            </w:r>
            <w:r w:rsidRPr="00331EDC">
              <w:rPr>
                <w:rFonts w:eastAsia="DengXian"/>
                <w:szCs w:val="24"/>
              </w:rPr>
              <w:t xml:space="preserve"> tramadol, live cholera vaccine</w:t>
            </w:r>
            <w:r>
              <w:rPr>
                <w:rFonts w:eastAsia="DengXian"/>
                <w:szCs w:val="24"/>
              </w:rPr>
              <w:t>.</w:t>
            </w:r>
          </w:p>
        </w:tc>
      </w:tr>
      <w:tr w:rsidR="007B485D" w:rsidRPr="00727DFA" w14:paraId="718289C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E5B4FC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0100452" w14:textId="77777777" w:rsidR="007B485D" w:rsidRPr="00727DFA" w:rsidRDefault="007B485D" w:rsidP="002D6DD7">
            <w:pPr>
              <w:jc w:val="both"/>
              <w:rPr>
                <w:rFonts w:eastAsia="DengXian"/>
                <w:szCs w:val="24"/>
              </w:rPr>
            </w:pPr>
            <w:r w:rsidRPr="00727DFA">
              <w:rPr>
                <w:rFonts w:eastAsia="DengXian"/>
                <w:szCs w:val="24"/>
              </w:rPr>
              <w:t>Abdominal pain, nausea, vomiting, inflammation, pain, headache, skin reactions, thrombocytosis, injection site</w:t>
            </w:r>
            <w:r w:rsidRPr="00727DFA">
              <w:rPr>
                <w:rFonts w:eastAsia="DengXian"/>
                <w:spacing w:val="1"/>
                <w:szCs w:val="24"/>
              </w:rPr>
              <w:t xml:space="preserve"> </w:t>
            </w:r>
            <w:r w:rsidRPr="00727DFA">
              <w:rPr>
                <w:rFonts w:eastAsia="DengXian"/>
                <w:szCs w:val="24"/>
              </w:rPr>
              <w:t>reaction</w:t>
            </w:r>
            <w:r>
              <w:rPr>
                <w:rFonts w:eastAsia="DengXian"/>
                <w:szCs w:val="24"/>
              </w:rPr>
              <w:t xml:space="preserve">, </w:t>
            </w:r>
            <w:r w:rsidRPr="005E0066">
              <w:rPr>
                <w:rFonts w:eastAsia="DengXian"/>
                <w:i/>
                <w:iCs/>
                <w:szCs w:val="24"/>
              </w:rPr>
              <w:t xml:space="preserve">Clostridioides </w:t>
            </w:r>
            <w:r w:rsidRPr="00873AF2">
              <w:rPr>
                <w:rFonts w:eastAsia="DengXian"/>
                <w:i/>
                <w:iCs/>
                <w:szCs w:val="24"/>
              </w:rPr>
              <w:t>difficile</w:t>
            </w:r>
            <w:r w:rsidRPr="005E0066">
              <w:rPr>
                <w:rFonts w:eastAsia="DengXian"/>
                <w:szCs w:val="24"/>
              </w:rPr>
              <w:t xml:space="preserve"> associated diarrhea</w:t>
            </w:r>
            <w:r>
              <w:rPr>
                <w:rFonts w:eastAsia="DengXian"/>
                <w:szCs w:val="24"/>
              </w:rPr>
              <w:t>, Steven’s Johnson syndrome (SJS).</w:t>
            </w:r>
          </w:p>
        </w:tc>
      </w:tr>
      <w:tr w:rsidR="007B485D" w:rsidRPr="00727DFA" w14:paraId="37BFE41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7EC051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48BF195" w14:textId="77777777" w:rsidR="007B485D" w:rsidRPr="00727DFA" w:rsidRDefault="007B485D" w:rsidP="002D6DD7">
            <w:pPr>
              <w:jc w:val="both"/>
              <w:rPr>
                <w:rFonts w:eastAsia="DengXian"/>
                <w:szCs w:val="24"/>
              </w:rPr>
            </w:pPr>
            <w:r w:rsidRPr="00727DFA">
              <w:rPr>
                <w:rFonts w:eastAsia="DengXian"/>
                <w:szCs w:val="24"/>
              </w:rPr>
              <w:t xml:space="preserve">Pregnancy, breastfeeding, renal impairment, epilepsy </w:t>
            </w:r>
            <w:r>
              <w:rPr>
                <w:rFonts w:eastAsia="DengXian"/>
                <w:szCs w:val="24"/>
              </w:rPr>
              <w:t>(</w:t>
            </w:r>
            <w:r w:rsidRPr="00727DFA">
              <w:rPr>
                <w:rFonts w:eastAsia="DengXian"/>
                <w:szCs w:val="24"/>
              </w:rPr>
              <w:t>history of seizures</w:t>
            </w:r>
            <w:r>
              <w:rPr>
                <w:rFonts w:eastAsia="DengXian"/>
                <w:szCs w:val="24"/>
              </w:rPr>
              <w:t>)</w:t>
            </w:r>
            <w:r w:rsidRPr="00727DFA">
              <w:rPr>
                <w:rFonts w:eastAsia="DengXian"/>
                <w:szCs w:val="24"/>
              </w:rPr>
              <w:t>, children &lt;3 months of age, history of sensitivity to β-lactams</w:t>
            </w:r>
            <w:r>
              <w:rPr>
                <w:rFonts w:eastAsia="DengXian"/>
                <w:szCs w:val="24"/>
              </w:rPr>
              <w:t>.</w:t>
            </w:r>
          </w:p>
        </w:tc>
      </w:tr>
      <w:tr w:rsidR="007B485D" w:rsidRPr="00727DFA" w14:paraId="040DA1C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79EA6C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C708790"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170A881C"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A0398D3" w14:textId="77777777" w:rsidR="007B485D" w:rsidRPr="00727DFA" w:rsidRDefault="007B485D" w:rsidP="002D6DD7">
            <w:pPr>
              <w:jc w:val="both"/>
              <w:rPr>
                <w:rFonts w:eastAsia="DengXian"/>
                <w:szCs w:val="24"/>
              </w:rPr>
            </w:pPr>
            <w:r w:rsidRPr="00727DFA">
              <w:rPr>
                <w:rFonts w:eastAsia="DengXian"/>
                <w:b/>
                <w:bCs/>
                <w:szCs w:val="24"/>
              </w:rPr>
              <w:t xml:space="preserve">Meropenem + </w:t>
            </w:r>
            <w:r>
              <w:rPr>
                <w:rFonts w:eastAsia="DengXian"/>
                <w:b/>
                <w:bCs/>
                <w:szCs w:val="24"/>
              </w:rPr>
              <w:t>v</w:t>
            </w:r>
            <w:r w:rsidRPr="00587263">
              <w:rPr>
                <w:rFonts w:eastAsia="DengXian"/>
                <w:b/>
                <w:bCs/>
                <w:szCs w:val="24"/>
              </w:rPr>
              <w:t xml:space="preserve">aborbactam </w:t>
            </w:r>
            <w:r w:rsidRPr="00873AF2">
              <w:rPr>
                <w:rFonts w:eastAsia="DengXian"/>
                <w:b/>
                <w:bCs/>
                <w:szCs w:val="24"/>
              </w:rPr>
              <w:t>(Reserve)</w:t>
            </w:r>
          </w:p>
        </w:tc>
      </w:tr>
      <w:tr w:rsidR="007B485D" w:rsidRPr="00727DFA" w14:paraId="117240C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A144928"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74732BC" w14:textId="77777777" w:rsidR="007B485D" w:rsidRPr="00727DFA" w:rsidRDefault="007B485D" w:rsidP="002D6DD7">
            <w:pPr>
              <w:jc w:val="both"/>
              <w:rPr>
                <w:rFonts w:eastAsia="DengXian"/>
                <w:szCs w:val="24"/>
              </w:rPr>
            </w:pPr>
            <w:r w:rsidRPr="00727DFA">
              <w:rPr>
                <w:rFonts w:eastAsia="DengXian"/>
                <w:szCs w:val="24"/>
              </w:rPr>
              <w:t xml:space="preserve">Carbapenem and β-lactamase inhibitor combination </w:t>
            </w:r>
          </w:p>
        </w:tc>
      </w:tr>
      <w:tr w:rsidR="007B485D" w:rsidRPr="00727DFA" w14:paraId="100A114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72BA3AD"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0330316" w14:textId="77777777" w:rsidR="007B485D" w:rsidRPr="00727DFA" w:rsidRDefault="007B485D" w:rsidP="002D6DD7">
            <w:pPr>
              <w:jc w:val="both"/>
              <w:rPr>
                <w:rFonts w:eastAsia="DengXian"/>
                <w:szCs w:val="24"/>
              </w:rPr>
            </w:pPr>
            <w:r w:rsidRPr="00727DFA">
              <w:rPr>
                <w:rFonts w:eastAsia="DengXian"/>
                <w:szCs w:val="24"/>
              </w:rPr>
              <w:t>Powder for injection: meropenem 1gm + vaborbactam1gm</w:t>
            </w:r>
          </w:p>
        </w:tc>
      </w:tr>
      <w:tr w:rsidR="007B485D" w:rsidRPr="00727DFA" w14:paraId="4943CDF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D467430"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2E43EA3" w14:textId="77777777" w:rsidR="007B485D" w:rsidRPr="00727DFA" w:rsidRDefault="007B485D" w:rsidP="002D6DD7">
            <w:pPr>
              <w:jc w:val="both"/>
              <w:rPr>
                <w:rFonts w:eastAsia="DengXian"/>
                <w:szCs w:val="24"/>
              </w:rPr>
            </w:pPr>
            <w:r w:rsidRPr="00727DFA">
              <w:rPr>
                <w:rFonts w:eastAsia="DengXian"/>
                <w:szCs w:val="24"/>
              </w:rPr>
              <w:t>Treatment of complicated urinary tract infection (cUTI), complicated intra-abdominal infection (cIAI), hospital-acquired pneumonia (HAP), including ventilator associated pneumonia (VAP) and infections due to aerobic gram-negative organisms in adults with limited treatment options</w:t>
            </w:r>
            <w:r>
              <w:rPr>
                <w:rFonts w:eastAsia="DengXian"/>
                <w:szCs w:val="24"/>
              </w:rPr>
              <w:t>.</w:t>
            </w:r>
          </w:p>
        </w:tc>
      </w:tr>
      <w:tr w:rsidR="007B485D" w:rsidRPr="00727DFA" w14:paraId="20737B6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940E235"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932D98E" w14:textId="77777777" w:rsidR="007B485D" w:rsidRDefault="007B485D" w:rsidP="002D6DD7">
            <w:pPr>
              <w:jc w:val="both"/>
              <w:rPr>
                <w:rFonts w:eastAsia="DengXian Light"/>
                <w:b/>
                <w:szCs w:val="24"/>
              </w:rPr>
            </w:pPr>
            <w:r w:rsidRPr="008F4194">
              <w:rPr>
                <w:rFonts w:eastAsia="DengXian Light"/>
                <w:bCs/>
                <w:i/>
                <w:iCs/>
                <w:szCs w:val="24"/>
              </w:rPr>
              <w:t>Dose</w:t>
            </w:r>
            <w:r>
              <w:rPr>
                <w:rFonts w:eastAsia="DengXian Light"/>
                <w:bCs/>
                <w:i/>
                <w:iCs/>
                <w:szCs w:val="24"/>
              </w:rPr>
              <w:t xml:space="preserve">s are </w:t>
            </w:r>
            <w:r w:rsidRPr="008F4194">
              <w:rPr>
                <w:rFonts w:eastAsia="DengXian Light"/>
                <w:bCs/>
                <w:i/>
                <w:iCs/>
                <w:szCs w:val="24"/>
              </w:rPr>
              <w:t>expressed in terms of meropenem</w:t>
            </w:r>
            <w:r w:rsidRPr="00727DFA">
              <w:rPr>
                <w:rFonts w:eastAsia="DengXian Light"/>
                <w:b/>
                <w:szCs w:val="24"/>
              </w:rPr>
              <w:t xml:space="preserve"> </w:t>
            </w:r>
          </w:p>
          <w:p w14:paraId="0ED0EF4F" w14:textId="77777777" w:rsidR="007B485D" w:rsidRPr="00727DFA" w:rsidRDefault="007B485D" w:rsidP="002D6DD7">
            <w:pPr>
              <w:jc w:val="both"/>
              <w:rPr>
                <w:rFonts w:eastAsia="DengXian Light"/>
                <w:b/>
                <w:szCs w:val="24"/>
              </w:rPr>
            </w:pPr>
            <w:r w:rsidRPr="00727DFA">
              <w:rPr>
                <w:rFonts w:eastAsia="DengXian Light"/>
                <w:b/>
                <w:szCs w:val="24"/>
              </w:rPr>
              <w:t>Complicated urinary-tract infection [including pyelonephritis] and complicated intra-abdominal infection; IV infusion:</w:t>
            </w:r>
            <w:r w:rsidRPr="008F4194">
              <w:rPr>
                <w:rFonts w:eastAsia="DengXian Light"/>
                <w:bCs/>
                <w:i/>
                <w:iCs/>
                <w:szCs w:val="24"/>
              </w:rPr>
              <w:t xml:space="preserve"> </w:t>
            </w:r>
          </w:p>
          <w:p w14:paraId="0079718F" w14:textId="77777777" w:rsidR="007B485D" w:rsidRPr="00727DFA" w:rsidRDefault="007B485D" w:rsidP="002D6DD7">
            <w:pPr>
              <w:jc w:val="both"/>
              <w:rPr>
                <w:rFonts w:eastAsia="DengXian Light"/>
                <w:b/>
                <w:szCs w:val="24"/>
              </w:rPr>
            </w:pPr>
            <w:r w:rsidRPr="00727DFA">
              <w:rPr>
                <w:rFonts w:eastAsia="DengXian Light"/>
                <w:b/>
                <w:bCs/>
                <w:szCs w:val="24"/>
              </w:rPr>
              <w:t xml:space="preserve">Adult: </w:t>
            </w:r>
            <w:r w:rsidRPr="00727DFA">
              <w:rPr>
                <w:rFonts w:eastAsia="DengXian Light"/>
                <w:bCs/>
                <w:szCs w:val="24"/>
              </w:rPr>
              <w:t>2 g every 8 hours for 5–10 days; may be continued for up to 14 days</w:t>
            </w:r>
          </w:p>
          <w:p w14:paraId="4E0635D8" w14:textId="77777777" w:rsidR="007B485D" w:rsidRPr="00727DFA" w:rsidRDefault="007B485D" w:rsidP="002D6DD7">
            <w:pPr>
              <w:jc w:val="both"/>
              <w:rPr>
                <w:rFonts w:eastAsia="DengXian Light"/>
                <w:b/>
                <w:szCs w:val="24"/>
              </w:rPr>
            </w:pPr>
            <w:r w:rsidRPr="00727DFA">
              <w:rPr>
                <w:rFonts w:eastAsia="DengXian Light"/>
                <w:b/>
                <w:szCs w:val="24"/>
              </w:rPr>
              <w:t>Hospital-acquired pneumonia, Ventilator-associated pneumonia:</w:t>
            </w:r>
          </w:p>
          <w:p w14:paraId="5F4C7077" w14:textId="77777777" w:rsidR="007B485D" w:rsidRPr="00727DFA" w:rsidRDefault="007B485D" w:rsidP="002D6DD7">
            <w:pPr>
              <w:jc w:val="both"/>
              <w:rPr>
                <w:rFonts w:eastAsia="DengXian Light"/>
                <w:bCs/>
                <w:szCs w:val="24"/>
              </w:rPr>
            </w:pPr>
            <w:r w:rsidRPr="00727DFA">
              <w:rPr>
                <w:rFonts w:eastAsia="DengXian Light"/>
                <w:b/>
                <w:bCs/>
                <w:szCs w:val="24"/>
              </w:rPr>
              <w:t xml:space="preserve">Adult: </w:t>
            </w:r>
            <w:r w:rsidRPr="00727DFA">
              <w:rPr>
                <w:rFonts w:eastAsia="DengXian Light"/>
                <w:bCs/>
                <w:szCs w:val="24"/>
              </w:rPr>
              <w:t>2 g every 8 hours for 7–14 days</w:t>
            </w:r>
          </w:p>
          <w:p w14:paraId="12837819" w14:textId="77777777" w:rsidR="007B485D" w:rsidRPr="00727DFA" w:rsidRDefault="007B485D" w:rsidP="002D6DD7">
            <w:pPr>
              <w:jc w:val="both"/>
              <w:rPr>
                <w:rFonts w:eastAsia="DengXian Light"/>
                <w:b/>
                <w:bCs/>
                <w:szCs w:val="24"/>
              </w:rPr>
            </w:pPr>
            <w:r w:rsidRPr="00727DFA">
              <w:rPr>
                <w:rFonts w:eastAsia="DengXian Light"/>
                <w:b/>
                <w:szCs w:val="24"/>
              </w:rPr>
              <w:t>Bacteremia with cUTI or cIAIs:</w:t>
            </w:r>
          </w:p>
          <w:p w14:paraId="58A31C04" w14:textId="77777777" w:rsidR="007B485D" w:rsidRPr="00727DFA" w:rsidRDefault="007B485D" w:rsidP="002D6DD7">
            <w:pPr>
              <w:jc w:val="both"/>
              <w:rPr>
                <w:rFonts w:eastAsia="DengXian Light"/>
                <w:bCs/>
                <w:szCs w:val="24"/>
              </w:rPr>
            </w:pPr>
            <w:r w:rsidRPr="00727DFA">
              <w:rPr>
                <w:rFonts w:eastAsia="DengXian Light"/>
                <w:b/>
                <w:bCs/>
                <w:szCs w:val="24"/>
              </w:rPr>
              <w:t xml:space="preserve">Adult: </w:t>
            </w:r>
            <w:r w:rsidRPr="00727DFA">
              <w:rPr>
                <w:rFonts w:eastAsia="DengXian Light"/>
                <w:bCs/>
                <w:szCs w:val="24"/>
              </w:rPr>
              <w:t>2 g every 8 hours</w:t>
            </w:r>
          </w:p>
          <w:p w14:paraId="0476A37E" w14:textId="77777777" w:rsidR="007B485D" w:rsidRPr="00727DFA" w:rsidRDefault="007B485D" w:rsidP="002D6DD7">
            <w:pPr>
              <w:jc w:val="both"/>
              <w:rPr>
                <w:rFonts w:eastAsia="DengXian Light"/>
                <w:b/>
                <w:szCs w:val="24"/>
              </w:rPr>
            </w:pPr>
            <w:r w:rsidRPr="00727DFA">
              <w:rPr>
                <w:rFonts w:eastAsia="DengXian Light"/>
                <w:b/>
                <w:szCs w:val="24"/>
              </w:rPr>
              <w:t xml:space="preserve">Aerobic Gram-negative infections with limited treatment </w:t>
            </w:r>
            <w:r w:rsidRPr="00727DFA">
              <w:rPr>
                <w:rFonts w:eastAsia="DengXian Light"/>
                <w:b/>
                <w:szCs w:val="24"/>
              </w:rPr>
              <w:lastRenderedPageBreak/>
              <w:t>options</w:t>
            </w:r>
          </w:p>
          <w:p w14:paraId="566ACAAD" w14:textId="77777777" w:rsidR="007B485D" w:rsidRPr="00727DFA" w:rsidRDefault="007B485D" w:rsidP="002D6DD7">
            <w:pPr>
              <w:jc w:val="both"/>
              <w:rPr>
                <w:rFonts w:eastAsia="DengXian Light"/>
                <w:szCs w:val="24"/>
              </w:rPr>
            </w:pPr>
            <w:r w:rsidRPr="00727DFA">
              <w:rPr>
                <w:rFonts w:eastAsia="DengXian Light"/>
                <w:b/>
                <w:bCs/>
                <w:szCs w:val="24"/>
              </w:rPr>
              <w:t xml:space="preserve">Adult: </w:t>
            </w:r>
            <w:r w:rsidRPr="00727DFA">
              <w:rPr>
                <w:rFonts w:eastAsia="DengXian Light"/>
                <w:szCs w:val="24"/>
              </w:rPr>
              <w:t xml:space="preserve">2 g every 8 hours </w:t>
            </w:r>
          </w:p>
          <w:p w14:paraId="59EE27A3" w14:textId="77777777" w:rsidR="007B485D" w:rsidRPr="00873AF2" w:rsidRDefault="007B485D" w:rsidP="002D6DD7">
            <w:pPr>
              <w:jc w:val="both"/>
              <w:rPr>
                <w:rFonts w:eastAsia="DengXian"/>
                <w:b/>
                <w:bCs/>
                <w:i/>
                <w:iCs/>
                <w:szCs w:val="24"/>
              </w:rPr>
            </w:pPr>
            <w:r w:rsidRPr="00727DFA">
              <w:rPr>
                <w:rFonts w:eastAsia="DengXian Light"/>
                <w:b/>
                <w:bCs/>
                <w:szCs w:val="24"/>
              </w:rPr>
              <w:t xml:space="preserve">Note: </w:t>
            </w:r>
            <w:r w:rsidRPr="00873AF2">
              <w:rPr>
                <w:rFonts w:eastAsia="DengXian Light"/>
                <w:bCs/>
                <w:i/>
                <w:iCs/>
                <w:szCs w:val="24"/>
              </w:rPr>
              <w:t>No evidence for child dose and administration</w:t>
            </w:r>
            <w:r>
              <w:rPr>
                <w:rFonts w:eastAsia="DengXian Light"/>
                <w:bCs/>
                <w:i/>
                <w:iCs/>
                <w:szCs w:val="24"/>
              </w:rPr>
              <w:t>.</w:t>
            </w:r>
          </w:p>
        </w:tc>
      </w:tr>
      <w:tr w:rsidR="007B485D" w:rsidRPr="00727DFA" w14:paraId="6F568F3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952A499"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2812433" w14:textId="77777777" w:rsidR="007B485D" w:rsidRPr="00727DFA" w:rsidRDefault="007B485D" w:rsidP="002D6DD7">
            <w:pPr>
              <w:jc w:val="both"/>
              <w:rPr>
                <w:rFonts w:eastAsia="DengXian"/>
                <w:szCs w:val="24"/>
              </w:rPr>
            </w:pPr>
            <w:r w:rsidRPr="00727DFA">
              <w:rPr>
                <w:rFonts w:eastAsia="DengXian"/>
                <w:szCs w:val="24"/>
              </w:rPr>
              <w:t xml:space="preserve">Hypersensitivity </w:t>
            </w:r>
            <w:r>
              <w:rPr>
                <w:rFonts w:eastAsia="DengXian"/>
                <w:szCs w:val="24"/>
              </w:rPr>
              <w:t>to the drug or</w:t>
            </w:r>
            <w:r w:rsidRPr="00727DFA">
              <w:rPr>
                <w:rFonts w:eastAsia="DengXian"/>
                <w:szCs w:val="24"/>
              </w:rPr>
              <w:t xml:space="preserve"> other beta-lactam antibacterial agents</w:t>
            </w:r>
            <w:r>
              <w:rPr>
                <w:rFonts w:eastAsia="DengXian"/>
                <w:szCs w:val="24"/>
              </w:rPr>
              <w:t>.</w:t>
            </w:r>
          </w:p>
        </w:tc>
      </w:tr>
      <w:tr w:rsidR="007B485D" w:rsidRPr="00727DFA" w14:paraId="262C5EE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6C13740"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D717F46" w14:textId="77777777" w:rsidR="007B485D" w:rsidRPr="00727DFA" w:rsidRDefault="007B485D" w:rsidP="002D6DD7">
            <w:pPr>
              <w:jc w:val="both"/>
              <w:rPr>
                <w:rFonts w:eastAsia="DengXian"/>
                <w:szCs w:val="24"/>
              </w:rPr>
            </w:pPr>
            <w:r>
              <w:rPr>
                <w:rFonts w:eastAsia="DengXian"/>
                <w:szCs w:val="24"/>
              </w:rPr>
              <w:t>Refer to meropenem.</w:t>
            </w:r>
          </w:p>
        </w:tc>
      </w:tr>
      <w:tr w:rsidR="007B485D" w:rsidRPr="00727DFA" w14:paraId="23A22CF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F4249F2"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D1B83F4" w14:textId="77777777" w:rsidR="007B485D" w:rsidRPr="00727DFA" w:rsidRDefault="007B485D" w:rsidP="002D6DD7">
            <w:pPr>
              <w:jc w:val="both"/>
              <w:rPr>
                <w:rFonts w:eastAsia="DengXian"/>
                <w:szCs w:val="24"/>
              </w:rPr>
            </w:pPr>
            <w:r w:rsidRPr="00727DFA">
              <w:rPr>
                <w:rFonts w:eastAsia="DengXian"/>
                <w:szCs w:val="24"/>
              </w:rPr>
              <w:t>Diarrhea, nausea, vomiting, electrolyte imbalance, headache, hypoglycemia, hypotension, thrombocytosis, hypersensitivity reactions, seizures, hepatic impairment</w:t>
            </w:r>
            <w:r>
              <w:rPr>
                <w:rFonts w:eastAsia="DengXian"/>
                <w:szCs w:val="24"/>
              </w:rPr>
              <w:t xml:space="preserve">. </w:t>
            </w:r>
          </w:p>
        </w:tc>
      </w:tr>
      <w:tr w:rsidR="007B485D" w:rsidRPr="00727DFA" w14:paraId="7D0C7A7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FA2D26C"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46F4DE7" w14:textId="77777777" w:rsidR="007B485D" w:rsidRPr="00727DFA" w:rsidRDefault="007B485D" w:rsidP="002D6DD7">
            <w:pPr>
              <w:jc w:val="both"/>
              <w:rPr>
                <w:rFonts w:eastAsia="DengXian"/>
                <w:szCs w:val="24"/>
              </w:rPr>
            </w:pPr>
            <w:r>
              <w:rPr>
                <w:rFonts w:eastAsia="DengXian"/>
                <w:szCs w:val="24"/>
              </w:rPr>
              <w:t>Refer to meropenem.</w:t>
            </w:r>
          </w:p>
        </w:tc>
      </w:tr>
      <w:tr w:rsidR="007B485D" w:rsidRPr="00727DFA" w14:paraId="3429B9C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2C44356"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E5814FC"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bl>
    <w:p w14:paraId="3FC7C90D" w14:textId="77777777" w:rsidR="007B485D" w:rsidRPr="00BC0421" w:rsidRDefault="007B485D" w:rsidP="00BC0421">
      <w:pPr>
        <w:spacing w:before="240"/>
        <w:rPr>
          <w:rFonts w:eastAsia="DengXian Light"/>
          <w:b/>
        </w:rPr>
      </w:pPr>
      <w:r w:rsidRPr="00BC0421">
        <w:rPr>
          <w:rFonts w:eastAsia="DengXian Light"/>
          <w:b/>
        </w:rPr>
        <w:t>Aminoglycosides</w:t>
      </w:r>
    </w:p>
    <w:p w14:paraId="6E78CA71"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Aminoglycosides are bactericidal inhibitors of protein synthesis that interfere with ribosomal function. These agents are useful mainly against aerobic gram-negative microorganisms such as </w:t>
      </w:r>
      <w:r w:rsidRPr="00727DFA">
        <w:rPr>
          <w:rFonts w:eastAsia="DengXian" w:cs="Times New Roman"/>
          <w:i/>
          <w:iCs/>
          <w:szCs w:val="24"/>
        </w:rPr>
        <w:t>E. coli</w:t>
      </w:r>
      <w:r w:rsidRPr="00727DFA">
        <w:rPr>
          <w:rFonts w:eastAsia="DengXian" w:cs="Times New Roman"/>
          <w:szCs w:val="24"/>
        </w:rPr>
        <w:t xml:space="preserve">. This class of antimicrobials have poor effect against anaerobic bacteria. The aminoglycosides include streptomycin, neomycin, kanamycin, amikacin, gentamicin, tobramycin, sisomicin, netilmicin, and others. Amikacin, gentamicin, and tobramycin are active against </w:t>
      </w:r>
      <w:r w:rsidRPr="00873AF2">
        <w:rPr>
          <w:rFonts w:eastAsia="DengXian" w:cs="Times New Roman"/>
          <w:i/>
          <w:iCs/>
          <w:szCs w:val="24"/>
        </w:rPr>
        <w:t>Pseudomonas aeruginosa</w:t>
      </w:r>
      <w:r>
        <w:rPr>
          <w:rFonts w:eastAsia="DengXian" w:cs="Times New Roman"/>
          <w:szCs w:val="24"/>
        </w:rPr>
        <w:t>.</w:t>
      </w:r>
      <w:r w:rsidRPr="00727DFA">
        <w:rPr>
          <w:rFonts w:eastAsia="DengXian" w:cs="Times New Roman"/>
          <w:szCs w:val="24"/>
        </w:rPr>
        <w:t xml:space="preserve"> </w:t>
      </w:r>
      <w:r>
        <w:rPr>
          <w:rFonts w:eastAsia="DengXian" w:cs="Times New Roman"/>
          <w:szCs w:val="24"/>
        </w:rPr>
        <w:t>S</w:t>
      </w:r>
      <w:r w:rsidRPr="00727DFA">
        <w:rPr>
          <w:rFonts w:eastAsia="DengXian" w:cs="Times New Roman"/>
          <w:szCs w:val="24"/>
        </w:rPr>
        <w:t xml:space="preserve">treptomycin is active against </w:t>
      </w:r>
      <w:r w:rsidRPr="00727DFA">
        <w:rPr>
          <w:rFonts w:eastAsia="DengXian" w:cs="Times New Roman"/>
          <w:i/>
          <w:iCs/>
          <w:szCs w:val="24"/>
        </w:rPr>
        <w:t>Mycobacterium tuberculosis</w:t>
      </w:r>
      <w:r w:rsidRPr="00727DFA">
        <w:rPr>
          <w:rFonts w:eastAsia="DengXian" w:cs="Times New Roman"/>
          <w:szCs w:val="24"/>
        </w:rPr>
        <w:t xml:space="preserve"> and is now almost entirely reserved for tuberculosis.</w:t>
      </w:r>
    </w:p>
    <w:p w14:paraId="2AFB3F46"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These antibacterials have a similar antimicrobial spectrum and most widely</w:t>
      </w:r>
      <w:r>
        <w:rPr>
          <w:rFonts w:eastAsia="DengXian" w:cs="Times New Roman"/>
          <w:szCs w:val="24"/>
        </w:rPr>
        <w:t xml:space="preserve"> used</w:t>
      </w:r>
      <w:r w:rsidRPr="00727DFA">
        <w:rPr>
          <w:rFonts w:eastAsia="DengXian" w:cs="Times New Roman"/>
          <w:szCs w:val="24"/>
        </w:rPr>
        <w:t xml:space="preserve"> in combination with a β-lactam antibiotic in serious infections with gram-negative bacteria, in combination with vancomycin or a β-lactam antibiotic for gram-positive endocarditis, and for treatment of tuberculosis. The aminoglycosides are not absorbed from the gut (although there is a risk of absorption in inflammatory bowel disease and liver failure) and should therefore be given by injection for systemic infections</w:t>
      </w:r>
      <w:r>
        <w:rPr>
          <w:rFonts w:eastAsia="DengXian" w:cs="Times New Roman"/>
          <w:szCs w:val="24"/>
        </w:rPr>
        <w:t>.</w:t>
      </w:r>
    </w:p>
    <w:tbl>
      <w:tblPr>
        <w:tblStyle w:val="TableGrid"/>
        <w:tblW w:w="0" w:type="auto"/>
        <w:tblLook w:val="04A0" w:firstRow="1" w:lastRow="0" w:firstColumn="1" w:lastColumn="0" w:noHBand="0" w:noVBand="1"/>
      </w:tblPr>
      <w:tblGrid>
        <w:gridCol w:w="2605"/>
        <w:gridCol w:w="6745"/>
      </w:tblGrid>
      <w:tr w:rsidR="007B485D" w:rsidRPr="00727DFA" w14:paraId="22A2F00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3B71B67" w14:textId="77777777" w:rsidR="007B485D" w:rsidRPr="00727DFA" w:rsidRDefault="007B485D" w:rsidP="002D6DD7">
            <w:pPr>
              <w:jc w:val="both"/>
              <w:rPr>
                <w:rFonts w:eastAsia="DengXian"/>
                <w:szCs w:val="24"/>
              </w:rPr>
            </w:pPr>
            <w:r w:rsidRPr="00727DFA">
              <w:rPr>
                <w:rFonts w:eastAsia="DengXian"/>
                <w:b/>
                <w:bCs/>
                <w:szCs w:val="24"/>
              </w:rPr>
              <w:t xml:space="preserve">Amikacin </w:t>
            </w:r>
            <w:r w:rsidRPr="00873AF2">
              <w:rPr>
                <w:rFonts w:eastAsia="DengXian"/>
                <w:b/>
                <w:bCs/>
                <w:szCs w:val="24"/>
              </w:rPr>
              <w:t>(Watch)</w:t>
            </w:r>
          </w:p>
        </w:tc>
      </w:tr>
      <w:tr w:rsidR="007B485D" w:rsidRPr="00727DFA" w14:paraId="19A2080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DED318"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255336A" w14:textId="77777777" w:rsidR="007B485D" w:rsidRPr="00727DFA" w:rsidRDefault="007B485D" w:rsidP="002D6DD7">
            <w:pPr>
              <w:jc w:val="both"/>
              <w:rPr>
                <w:rFonts w:eastAsia="DengXian"/>
                <w:szCs w:val="24"/>
              </w:rPr>
            </w:pPr>
            <w:r w:rsidRPr="00727DFA">
              <w:rPr>
                <w:rFonts w:eastAsia="Times New Roman"/>
                <w:szCs w:val="24"/>
              </w:rPr>
              <w:t>Aminoglycoside</w:t>
            </w:r>
          </w:p>
        </w:tc>
      </w:tr>
      <w:tr w:rsidR="007B485D" w:rsidRPr="00727DFA" w14:paraId="18AB6C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19E56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483A05A" w14:textId="77777777" w:rsidR="007B485D" w:rsidRPr="00727DFA" w:rsidRDefault="007B485D" w:rsidP="002D6DD7">
            <w:pPr>
              <w:jc w:val="both"/>
              <w:rPr>
                <w:rFonts w:eastAsia="DengXian"/>
                <w:szCs w:val="24"/>
              </w:rPr>
            </w:pPr>
            <w:r w:rsidRPr="00727DFA">
              <w:rPr>
                <w:rFonts w:eastAsia="Times New Roman"/>
                <w:szCs w:val="24"/>
              </w:rPr>
              <w:t>Injection: 50 mg/mL (as sulfate)</w:t>
            </w:r>
            <w:r>
              <w:rPr>
                <w:rFonts w:eastAsia="Times New Roman"/>
                <w:szCs w:val="24"/>
              </w:rPr>
              <w:t>,</w:t>
            </w:r>
            <w:r w:rsidRPr="00727DFA">
              <w:rPr>
                <w:rFonts w:eastAsia="Times New Roman"/>
                <w:szCs w:val="24"/>
              </w:rPr>
              <w:t xml:space="preserve"> 250 mg/mL (as sulfate) in 2 mL vial</w:t>
            </w:r>
          </w:p>
        </w:tc>
      </w:tr>
      <w:tr w:rsidR="007B485D" w:rsidRPr="00727DFA" w14:paraId="1750B7E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5CC98D" w14:textId="77777777" w:rsidR="007B485D" w:rsidRPr="00727DFA" w:rsidRDefault="007B485D" w:rsidP="002D6DD7">
            <w:pPr>
              <w:jc w:val="both"/>
              <w:rPr>
                <w:rFonts w:eastAsia="DengXian"/>
                <w:b/>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19ACDAC0" w14:textId="77777777" w:rsidR="007B485D" w:rsidRPr="00727DFA" w:rsidRDefault="007B485D" w:rsidP="002D6DD7">
            <w:pPr>
              <w:jc w:val="both"/>
              <w:rPr>
                <w:rFonts w:eastAsia="Times New Roman"/>
                <w:szCs w:val="24"/>
              </w:rPr>
            </w:pPr>
            <w:r w:rsidRPr="00727DFA">
              <w:rPr>
                <w:rFonts w:eastAsia="Times New Roman"/>
                <w:szCs w:val="24"/>
              </w:rPr>
              <w:t>Urinary tract infection, bacterial septicemia, health-care-associated lower respiratory tract infections including severe pneumonia, intraabdominal infections including peritonitis, pelvic inflammatory disease, treatment of bacterial endocarditis</w:t>
            </w:r>
            <w:r>
              <w:rPr>
                <w:rFonts w:eastAsia="Times New Roman"/>
                <w:szCs w:val="24"/>
              </w:rPr>
              <w:t xml:space="preserve">, </w:t>
            </w:r>
            <w:r w:rsidRPr="00727DFA">
              <w:rPr>
                <w:rFonts w:eastAsia="Times New Roman"/>
                <w:szCs w:val="24"/>
              </w:rPr>
              <w:t>MDR-TB in conjunction with at least two other antituberculosis agents</w:t>
            </w:r>
            <w:r>
              <w:rPr>
                <w:rFonts w:eastAsia="Times New Roman"/>
                <w:szCs w:val="24"/>
              </w:rPr>
              <w:t xml:space="preserve"> (see under anti-tuberculosis)</w:t>
            </w:r>
          </w:p>
        </w:tc>
      </w:tr>
      <w:tr w:rsidR="007B485D" w:rsidRPr="00727DFA" w14:paraId="4FC30C6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AB6BE4"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6156B6EF"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 xml:space="preserve">Serious Gram-negative infections resistant to gentamicin, </w:t>
            </w:r>
            <w:r w:rsidRPr="00727DFA">
              <w:rPr>
                <w:rFonts w:eastAsia="Times New Roman"/>
                <w:szCs w:val="24"/>
              </w:rPr>
              <w:t>IV</w:t>
            </w:r>
            <w:r w:rsidRPr="00727DFA">
              <w:rPr>
                <w:rFonts w:eastAsia="Times New Roman"/>
                <w:b/>
                <w:bCs/>
                <w:szCs w:val="24"/>
              </w:rPr>
              <w:t>:</w:t>
            </w:r>
          </w:p>
          <w:p w14:paraId="56B4D600" w14:textId="77777777" w:rsidR="007B485D" w:rsidRPr="00727DFA" w:rsidRDefault="007B485D" w:rsidP="002D6DD7">
            <w:pPr>
              <w:autoSpaceDE w:val="0"/>
              <w:autoSpaceDN w:val="0"/>
              <w:adjustRightInd w:val="0"/>
              <w:jc w:val="both"/>
              <w:rPr>
                <w:rFonts w:eastAsia="Times New Roman"/>
                <w:bCs/>
                <w:szCs w:val="24"/>
              </w:rPr>
            </w:pPr>
            <w:r w:rsidRPr="00727DFA">
              <w:rPr>
                <w:rFonts w:eastAsia="Times New Roman"/>
                <w:b/>
                <w:bCs/>
                <w:szCs w:val="24"/>
              </w:rPr>
              <w:t>Adult</w:t>
            </w:r>
            <w:r w:rsidRPr="00727DFA">
              <w:rPr>
                <w:rFonts w:eastAsia="Times New Roman"/>
                <w:bCs/>
                <w:szCs w:val="24"/>
              </w:rPr>
              <w:t>: 15 mg/kg daily in 2 divided doses, increased to 22.5 mg/kg daily in 3 divided doses for up to 10 days, higher dose to be used in severe infections; maximum 1.5 g per day; maximum 15 g per course</w:t>
            </w:r>
          </w:p>
          <w:p w14:paraId="72829C68" w14:textId="77777777" w:rsidR="007B485D" w:rsidRPr="00727DFA" w:rsidRDefault="007B485D" w:rsidP="002D6DD7">
            <w:pPr>
              <w:autoSpaceDE w:val="0"/>
              <w:autoSpaceDN w:val="0"/>
              <w:adjustRightInd w:val="0"/>
              <w:jc w:val="both"/>
              <w:rPr>
                <w:rFonts w:eastAsia="Times New Roman"/>
                <w:b/>
                <w:bCs/>
                <w:szCs w:val="24"/>
              </w:rPr>
            </w:pPr>
            <w:r w:rsidRPr="00727DFA">
              <w:rPr>
                <w:rFonts w:eastAsia="Times New Roman"/>
                <w:b/>
                <w:bCs/>
                <w:szCs w:val="24"/>
              </w:rPr>
              <w:t xml:space="preserve">Acute prostatitis, Acute pyelonephritis and Urinary tract infection (catheter-associated), </w:t>
            </w:r>
            <w:r w:rsidRPr="00727DFA">
              <w:rPr>
                <w:rFonts w:eastAsia="Times New Roman"/>
                <w:szCs w:val="24"/>
              </w:rPr>
              <w:t>IV</w:t>
            </w:r>
            <w:r w:rsidRPr="00727DFA">
              <w:rPr>
                <w:rFonts w:eastAsia="Times New Roman"/>
                <w:b/>
                <w:bCs/>
                <w:szCs w:val="24"/>
              </w:rPr>
              <w:t>:</w:t>
            </w:r>
          </w:p>
          <w:p w14:paraId="17B73CE4" w14:textId="77777777" w:rsidR="007B485D" w:rsidRPr="00727DFA" w:rsidRDefault="007B485D" w:rsidP="002D6DD7">
            <w:pPr>
              <w:autoSpaceDE w:val="0"/>
              <w:autoSpaceDN w:val="0"/>
              <w:adjustRightInd w:val="0"/>
              <w:ind w:hanging="23"/>
              <w:jc w:val="both"/>
              <w:rPr>
                <w:rFonts w:eastAsia="Times New Roman"/>
                <w:bCs/>
                <w:szCs w:val="24"/>
              </w:rPr>
            </w:pPr>
            <w:r w:rsidRPr="00727DFA">
              <w:rPr>
                <w:rFonts w:eastAsia="Times New Roman"/>
                <w:b/>
                <w:bCs/>
                <w:szCs w:val="24"/>
              </w:rPr>
              <w:t>Adult</w:t>
            </w:r>
            <w:r w:rsidRPr="00727DFA">
              <w:rPr>
                <w:rFonts w:eastAsia="Times New Roman"/>
                <w:bCs/>
                <w:szCs w:val="24"/>
              </w:rPr>
              <w:t>: Initially 15 mg/kg once daily (max. per dose 1.5 g once daily). Maximum 15 g per course</w:t>
            </w:r>
          </w:p>
          <w:p w14:paraId="6BA7BB16"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Treatment of MDR-TB,</w:t>
            </w:r>
            <w:r w:rsidRPr="00727DFA">
              <w:rPr>
                <w:rFonts w:eastAsia="Times New Roman"/>
                <w:szCs w:val="24"/>
              </w:rPr>
              <w:t xml:space="preserve"> </w:t>
            </w:r>
            <w:r w:rsidRPr="00727DFA">
              <w:rPr>
                <w:rFonts w:eastAsia="Times New Roman"/>
                <w:b/>
                <w:szCs w:val="24"/>
              </w:rPr>
              <w:t>in combination with other medicines</w:t>
            </w:r>
            <w:r w:rsidRPr="00727DFA">
              <w:rPr>
                <w:rFonts w:eastAsia="Times New Roman"/>
                <w:szCs w:val="24"/>
              </w:rPr>
              <w:t xml:space="preserve">, IV or IM: </w:t>
            </w:r>
          </w:p>
          <w:p w14:paraId="1CC1270B"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b/>
                <w:bCs/>
                <w:szCs w:val="24"/>
              </w:rPr>
              <w:t>Adult:</w:t>
            </w:r>
            <w:r w:rsidRPr="00727DFA">
              <w:rPr>
                <w:rFonts w:eastAsia="Times New Roman"/>
                <w:szCs w:val="24"/>
              </w:rPr>
              <w:t xml:space="preserve"> 15 mg/kg once daily (maximum 1 g), weight categorization:</w:t>
            </w:r>
          </w:p>
          <w:p w14:paraId="390381C6"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Body weight 33–50 kg: 500–750 mg</w:t>
            </w:r>
          </w:p>
          <w:p w14:paraId="56966C49" w14:textId="77777777" w:rsidR="007B485D" w:rsidRPr="00727DFA" w:rsidRDefault="007B485D" w:rsidP="002D6DD7">
            <w:pPr>
              <w:autoSpaceDE w:val="0"/>
              <w:autoSpaceDN w:val="0"/>
              <w:adjustRightInd w:val="0"/>
              <w:jc w:val="both"/>
              <w:rPr>
                <w:rFonts w:eastAsia="Times New Roman"/>
                <w:szCs w:val="24"/>
              </w:rPr>
            </w:pPr>
            <w:r w:rsidRPr="00727DFA">
              <w:rPr>
                <w:rFonts w:eastAsia="Times New Roman"/>
                <w:szCs w:val="24"/>
              </w:rPr>
              <w:t>Body weight 51–70 kg: 1000 mg</w:t>
            </w:r>
          </w:p>
          <w:p w14:paraId="63C500D0" w14:textId="77777777" w:rsidR="007B485D" w:rsidRDefault="007B485D" w:rsidP="002D6DD7">
            <w:pPr>
              <w:autoSpaceDE w:val="0"/>
              <w:autoSpaceDN w:val="0"/>
              <w:adjustRightInd w:val="0"/>
              <w:jc w:val="both"/>
              <w:rPr>
                <w:rFonts w:eastAsia="Times New Roman"/>
                <w:b/>
                <w:bCs/>
                <w:szCs w:val="24"/>
              </w:rPr>
            </w:pPr>
            <w:r w:rsidRPr="00727DFA">
              <w:rPr>
                <w:rFonts w:eastAsia="Times New Roman"/>
                <w:szCs w:val="24"/>
              </w:rPr>
              <w:t>Body weight &gt;70 kg: 1000 mg</w:t>
            </w:r>
            <w:r w:rsidRPr="00727DFA">
              <w:rPr>
                <w:rFonts w:eastAsia="Times New Roman"/>
                <w:b/>
                <w:bCs/>
                <w:szCs w:val="24"/>
              </w:rPr>
              <w:t xml:space="preserve"> </w:t>
            </w:r>
          </w:p>
          <w:p w14:paraId="17BD12AB" w14:textId="77777777" w:rsidR="007B485D" w:rsidRPr="00727DFA" w:rsidRDefault="007B485D" w:rsidP="002D6DD7">
            <w:pPr>
              <w:autoSpaceDE w:val="0"/>
              <w:autoSpaceDN w:val="0"/>
              <w:adjustRightInd w:val="0"/>
              <w:jc w:val="both"/>
              <w:rPr>
                <w:rFonts w:eastAsia="Times New Roman"/>
                <w:bCs/>
                <w:szCs w:val="24"/>
              </w:rPr>
            </w:pPr>
            <w:r w:rsidRPr="00727DFA">
              <w:rPr>
                <w:rFonts w:eastAsia="Times New Roman"/>
                <w:b/>
                <w:bCs/>
                <w:szCs w:val="24"/>
              </w:rPr>
              <w:t>Note</w:t>
            </w:r>
            <w:r w:rsidRPr="00727DFA">
              <w:rPr>
                <w:rFonts w:eastAsia="Times New Roman"/>
                <w:bCs/>
                <w:szCs w:val="24"/>
              </w:rPr>
              <w:t xml:space="preserve">: </w:t>
            </w:r>
            <w:r w:rsidRPr="00873AF2">
              <w:rPr>
                <w:rFonts w:eastAsia="Times New Roman"/>
                <w:bCs/>
                <w:i/>
                <w:iCs/>
                <w:szCs w:val="24"/>
              </w:rPr>
              <w:t>To avoid excessive dosage in obese patients, use ideal weight for height to calculate dose and monitor serum amikacin concentration closely.</w:t>
            </w:r>
          </w:p>
          <w:p w14:paraId="4B81DB33" w14:textId="77777777" w:rsidR="007B485D" w:rsidRPr="00727DFA" w:rsidRDefault="007B485D" w:rsidP="002D6DD7">
            <w:pPr>
              <w:autoSpaceDE w:val="0"/>
              <w:autoSpaceDN w:val="0"/>
              <w:adjustRightInd w:val="0"/>
              <w:jc w:val="both"/>
              <w:rPr>
                <w:rFonts w:eastAsia="Times New Roman"/>
                <w:szCs w:val="24"/>
              </w:rPr>
            </w:pPr>
          </w:p>
        </w:tc>
      </w:tr>
      <w:tr w:rsidR="007B485D" w:rsidRPr="00727DFA" w14:paraId="0907DB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BF4281"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C67111A"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or other aminoglycosides, myasthenia gravis</w:t>
            </w:r>
            <w:r>
              <w:rPr>
                <w:rFonts w:eastAsia="DengXian"/>
                <w:szCs w:val="24"/>
              </w:rPr>
              <w:t>.</w:t>
            </w:r>
          </w:p>
        </w:tc>
      </w:tr>
      <w:tr w:rsidR="007B485D" w:rsidRPr="00727DFA" w14:paraId="0A83F46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881AA5"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972F73F" w14:textId="77777777" w:rsidR="007B485D" w:rsidRPr="00727DFA" w:rsidRDefault="007B485D" w:rsidP="002D6DD7">
            <w:pPr>
              <w:autoSpaceDE w:val="0"/>
              <w:autoSpaceDN w:val="0"/>
              <w:adjustRightInd w:val="0"/>
              <w:jc w:val="both"/>
              <w:rPr>
                <w:rFonts w:eastAsia="DengXian"/>
                <w:szCs w:val="24"/>
              </w:rPr>
            </w:pPr>
            <w:r w:rsidRPr="00727DFA">
              <w:rPr>
                <w:rFonts w:eastAsia="Times New Roman"/>
                <w:szCs w:val="24"/>
              </w:rPr>
              <w:t>Vancomycin, amphotericin B, bacitracin, cisplatin, ciclosporin, paromomycin, polymyxin B, colistin, tacrolimus, mannitol, capreomycin or other aminoglycosides, anesthetics</w:t>
            </w:r>
            <w:r>
              <w:rPr>
                <w:rFonts w:eastAsia="Times New Roman"/>
                <w:szCs w:val="24"/>
              </w:rPr>
              <w:t>,</w:t>
            </w:r>
            <w:r w:rsidRPr="00727DFA">
              <w:rPr>
                <w:rFonts w:eastAsia="Times New Roman"/>
                <w:szCs w:val="24"/>
              </w:rPr>
              <w:t xml:space="preserve"> neuromuscular blocking agents, indomethacin, pyridostigmine and neostigmine, </w:t>
            </w:r>
            <w:r w:rsidRPr="00727DFA">
              <w:rPr>
                <w:rFonts w:eastAsia="Times New Roman"/>
                <w:szCs w:val="24"/>
              </w:rPr>
              <w:lastRenderedPageBreak/>
              <w:t>furosemide</w:t>
            </w:r>
            <w:r>
              <w:rPr>
                <w:rFonts w:eastAsia="Times New Roman"/>
                <w:szCs w:val="24"/>
              </w:rPr>
              <w:t>,</w:t>
            </w:r>
            <w:r w:rsidRPr="00727DFA">
              <w:rPr>
                <w:rFonts w:eastAsia="Times New Roman"/>
                <w:szCs w:val="24"/>
              </w:rPr>
              <w:t xml:space="preserve"> ethacrynic acid., chlorothiazide, amphotericin erythromycin, heparin, nitrofurantoin, phenytoin, warfarin, </w:t>
            </w:r>
            <w:r>
              <w:rPr>
                <w:rFonts w:eastAsia="Times New Roman"/>
                <w:szCs w:val="24"/>
              </w:rPr>
              <w:t>p</w:t>
            </w:r>
            <w:r w:rsidRPr="00727DFA">
              <w:rPr>
                <w:rFonts w:eastAsia="Times New Roman"/>
                <w:szCs w:val="24"/>
              </w:rPr>
              <w:t>enicillins</w:t>
            </w:r>
            <w:r>
              <w:rPr>
                <w:rFonts w:eastAsia="Times New Roman"/>
                <w:szCs w:val="24"/>
              </w:rPr>
              <w:t xml:space="preserve">, </w:t>
            </w:r>
            <w:r w:rsidRPr="00727DFA">
              <w:rPr>
                <w:rFonts w:eastAsia="Times New Roman"/>
                <w:szCs w:val="24"/>
              </w:rPr>
              <w:t>cephalosporins</w:t>
            </w:r>
            <w:r>
              <w:rPr>
                <w:rFonts w:eastAsia="Times New Roman"/>
                <w:szCs w:val="24"/>
              </w:rPr>
              <w:t>.</w:t>
            </w:r>
          </w:p>
        </w:tc>
      </w:tr>
      <w:tr w:rsidR="007B485D" w:rsidRPr="00727DFA" w14:paraId="25AC496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44801F"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75F3D12B" w14:textId="77777777" w:rsidR="007B485D" w:rsidRPr="00727DFA" w:rsidRDefault="007B485D" w:rsidP="002D6DD7">
            <w:pPr>
              <w:jc w:val="both"/>
              <w:rPr>
                <w:rFonts w:eastAsia="DengXian"/>
                <w:szCs w:val="24"/>
              </w:rPr>
            </w:pPr>
            <w:r w:rsidRPr="00727DFA">
              <w:rPr>
                <w:rFonts w:eastAsia="DengXian"/>
                <w:szCs w:val="24"/>
              </w:rPr>
              <w:t>Neurotoxicity,</w:t>
            </w:r>
            <w:r>
              <w:rPr>
                <w:rFonts w:eastAsia="DengXian"/>
                <w:szCs w:val="24"/>
              </w:rPr>
              <w:t xml:space="preserve"> arthralgia, impaired balance,</w:t>
            </w:r>
            <w:r w:rsidRPr="00727DFA">
              <w:rPr>
                <w:rFonts w:eastAsia="DengXian"/>
                <w:szCs w:val="24"/>
              </w:rPr>
              <w:t xml:space="preserve"> ototoxicity, nephrotoxicity, allergic</w:t>
            </w:r>
            <w:r w:rsidRPr="00727DFA">
              <w:rPr>
                <w:rFonts w:eastAsia="DengXian"/>
                <w:spacing w:val="1"/>
                <w:szCs w:val="24"/>
              </w:rPr>
              <w:t xml:space="preserve"> </w:t>
            </w:r>
            <w:r w:rsidRPr="00727DFA">
              <w:rPr>
                <w:rFonts w:eastAsia="DengXian"/>
                <w:szCs w:val="24"/>
              </w:rPr>
              <w:t>reaction,</w:t>
            </w:r>
            <w:r w:rsidRPr="00727DFA">
              <w:rPr>
                <w:rFonts w:eastAsia="DengXian"/>
                <w:spacing w:val="-1"/>
                <w:szCs w:val="24"/>
              </w:rPr>
              <w:t xml:space="preserve"> </w:t>
            </w:r>
            <w:r w:rsidRPr="00727DFA">
              <w:rPr>
                <w:rFonts w:eastAsia="DengXian"/>
                <w:szCs w:val="24"/>
              </w:rPr>
              <w:t>dyspnea, eosinophilia</w:t>
            </w:r>
            <w:r>
              <w:rPr>
                <w:rFonts w:eastAsia="DengXian"/>
                <w:szCs w:val="24"/>
              </w:rPr>
              <w:t>.</w:t>
            </w:r>
          </w:p>
        </w:tc>
      </w:tr>
      <w:tr w:rsidR="007B485D" w:rsidRPr="00727DFA" w14:paraId="57B8502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889250"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B61F31C" w14:textId="77777777" w:rsidR="007B485D" w:rsidRPr="00727DFA" w:rsidRDefault="007B485D" w:rsidP="002D6DD7">
            <w:pPr>
              <w:autoSpaceDE w:val="0"/>
              <w:autoSpaceDN w:val="0"/>
              <w:adjustRightInd w:val="0"/>
              <w:jc w:val="both"/>
              <w:rPr>
                <w:rFonts w:eastAsia="DengXian"/>
                <w:szCs w:val="24"/>
              </w:rPr>
            </w:pPr>
            <w:r w:rsidRPr="00727DFA">
              <w:rPr>
                <w:rFonts w:eastAsia="DengXian"/>
                <w:szCs w:val="24"/>
              </w:rPr>
              <w:t>Pre-existing vertigo, tinnitus or hearing loss, vestibular damage, neuromuscular disorders (e.g., Parkinson’s disease), hypocalcaemia, concomitant or sequential administration of oral or topical neurotoxic, ototoxic or nephrotoxic drugs, potent diuretics, dehydrated patients, renal impairment, premature infants, neonates, children</w:t>
            </w:r>
            <w:r>
              <w:rPr>
                <w:rFonts w:eastAsia="DengXian"/>
                <w:szCs w:val="24"/>
              </w:rPr>
              <w:t>,</w:t>
            </w:r>
            <w:r w:rsidRPr="00727DFA">
              <w:rPr>
                <w:rFonts w:eastAsia="DengXian"/>
                <w:szCs w:val="24"/>
              </w:rPr>
              <w:t xml:space="preserve"> elderly, pregnancy, breastfeeding</w:t>
            </w:r>
            <w:r>
              <w:rPr>
                <w:rFonts w:eastAsia="DengXian"/>
                <w:szCs w:val="24"/>
              </w:rPr>
              <w:t>.</w:t>
            </w:r>
          </w:p>
        </w:tc>
      </w:tr>
      <w:tr w:rsidR="007B485D" w:rsidRPr="00727DFA" w14:paraId="1FC64A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E830AD"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AA03962" w14:textId="77777777" w:rsidR="007B485D" w:rsidRPr="00727DFA" w:rsidRDefault="007B485D" w:rsidP="002D6DD7">
            <w:pPr>
              <w:jc w:val="both"/>
              <w:rPr>
                <w:rFonts w:eastAsia="DengXian"/>
                <w:szCs w:val="24"/>
              </w:rPr>
            </w:pPr>
            <w:r w:rsidRPr="00727DFA">
              <w:rPr>
                <w:rFonts w:eastAsia="DengXian"/>
                <w:spacing w:val="-1"/>
                <w:szCs w:val="24"/>
              </w:rPr>
              <w:t>Store below 30⁰C</w:t>
            </w:r>
            <w:r>
              <w:rPr>
                <w:rFonts w:eastAsia="DengXian"/>
                <w:spacing w:val="-1"/>
                <w:szCs w:val="24"/>
              </w:rPr>
              <w:t>.</w:t>
            </w:r>
          </w:p>
        </w:tc>
      </w:tr>
      <w:tr w:rsidR="007B485D" w:rsidRPr="00727DFA" w14:paraId="5FD3145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5365121" w14:textId="77777777" w:rsidR="007B485D" w:rsidRPr="00727DFA" w:rsidRDefault="007B485D" w:rsidP="002D6DD7">
            <w:pPr>
              <w:jc w:val="both"/>
              <w:rPr>
                <w:rFonts w:eastAsia="DengXian"/>
                <w:b/>
                <w:bCs/>
                <w:szCs w:val="24"/>
              </w:rPr>
            </w:pPr>
            <w:r w:rsidRPr="00727DFA">
              <w:rPr>
                <w:rFonts w:eastAsia="DengXian"/>
                <w:b/>
                <w:bCs/>
                <w:szCs w:val="24"/>
              </w:rPr>
              <w:t xml:space="preserve">Gentamicin </w:t>
            </w:r>
            <w:r w:rsidRPr="00873AF2">
              <w:rPr>
                <w:rFonts w:eastAsia="DengXian"/>
                <w:b/>
                <w:bCs/>
                <w:szCs w:val="24"/>
              </w:rPr>
              <w:t>(Access)</w:t>
            </w:r>
          </w:p>
        </w:tc>
      </w:tr>
      <w:tr w:rsidR="007B485D" w:rsidRPr="00727DFA" w14:paraId="3A4264FF" w14:textId="77777777" w:rsidTr="002D6DD7">
        <w:trPr>
          <w:trHeight w:val="46"/>
        </w:trPr>
        <w:tc>
          <w:tcPr>
            <w:tcW w:w="2605" w:type="dxa"/>
            <w:tcBorders>
              <w:top w:val="single" w:sz="4" w:space="0" w:color="auto"/>
              <w:left w:val="single" w:sz="4" w:space="0" w:color="auto"/>
              <w:bottom w:val="single" w:sz="4" w:space="0" w:color="auto"/>
              <w:right w:val="single" w:sz="4" w:space="0" w:color="auto"/>
            </w:tcBorders>
            <w:hideMark/>
          </w:tcPr>
          <w:p w14:paraId="3FC00DAB"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5D93E93" w14:textId="77777777" w:rsidR="007B485D" w:rsidRPr="00727DFA" w:rsidRDefault="007B485D" w:rsidP="002D6DD7">
            <w:pPr>
              <w:jc w:val="both"/>
              <w:rPr>
                <w:rFonts w:eastAsia="DengXian"/>
                <w:szCs w:val="24"/>
              </w:rPr>
            </w:pPr>
            <w:r w:rsidRPr="00727DFA">
              <w:rPr>
                <w:rFonts w:eastAsia="DengXian"/>
                <w:szCs w:val="24"/>
              </w:rPr>
              <w:t>Aminoglycoside</w:t>
            </w:r>
          </w:p>
        </w:tc>
      </w:tr>
      <w:tr w:rsidR="007B485D" w:rsidRPr="00727DFA" w14:paraId="774A49B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294B1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B31F9D5" w14:textId="77777777" w:rsidR="007B485D" w:rsidRPr="00727DFA" w:rsidRDefault="007B485D" w:rsidP="002D6DD7">
            <w:pPr>
              <w:jc w:val="both"/>
              <w:rPr>
                <w:rFonts w:eastAsia="DengXian"/>
                <w:szCs w:val="24"/>
              </w:rPr>
            </w:pPr>
            <w:r w:rsidRPr="00727DFA">
              <w:rPr>
                <w:rFonts w:eastAsia="Times New Roman"/>
                <w:szCs w:val="24"/>
              </w:rPr>
              <w:t>Injection: 20mg/2ml, 80mg/2ml (as sulfate) in 2mL vial</w:t>
            </w:r>
          </w:p>
        </w:tc>
      </w:tr>
      <w:tr w:rsidR="007B485D" w:rsidRPr="00727DFA" w14:paraId="4B88AC6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7FB4D64"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ED4FA06" w14:textId="77777777" w:rsidR="007B485D" w:rsidRPr="00727DFA" w:rsidRDefault="007B485D" w:rsidP="002D6DD7">
            <w:pPr>
              <w:jc w:val="both"/>
              <w:rPr>
                <w:rFonts w:eastAsia="DengXian"/>
                <w:b/>
                <w:i/>
                <w:iCs/>
                <w:szCs w:val="24"/>
              </w:rPr>
            </w:pPr>
            <w:r w:rsidRPr="00727DFA">
              <w:rPr>
                <w:rFonts w:eastAsia="DengXian"/>
                <w:szCs w:val="24"/>
              </w:rPr>
              <w:t>Biliary tract</w:t>
            </w:r>
            <w:r w:rsidRPr="00727DFA">
              <w:rPr>
                <w:rFonts w:eastAsia="DengXian"/>
                <w:spacing w:val="1"/>
                <w:szCs w:val="24"/>
              </w:rPr>
              <w:t xml:space="preserve"> </w:t>
            </w:r>
            <w:r w:rsidRPr="00727DFA">
              <w:rPr>
                <w:rFonts w:eastAsia="DengXian"/>
                <w:szCs w:val="24"/>
              </w:rPr>
              <w:t xml:space="preserve">infection, </w:t>
            </w:r>
            <w:r>
              <w:rPr>
                <w:rFonts w:eastAsia="DengXian"/>
                <w:szCs w:val="24"/>
              </w:rPr>
              <w:t>s</w:t>
            </w:r>
            <w:r w:rsidRPr="00727DFA">
              <w:rPr>
                <w:rFonts w:eastAsia="DengXian"/>
                <w:szCs w:val="24"/>
              </w:rPr>
              <w:t>kin and soft tissue infections including severe burns,</w:t>
            </w:r>
            <w:r w:rsidRPr="00727DFA">
              <w:rPr>
                <w:rFonts w:eastAsia="DengXian"/>
                <w:spacing w:val="1"/>
                <w:szCs w:val="24"/>
              </w:rPr>
              <w:t xml:space="preserve"> </w:t>
            </w:r>
            <w:r w:rsidRPr="00727DFA">
              <w:rPr>
                <w:rFonts w:eastAsia="DengXian"/>
                <w:szCs w:val="24"/>
              </w:rPr>
              <w:t>bone</w:t>
            </w:r>
            <w:r w:rsidRPr="00727DFA">
              <w:rPr>
                <w:rFonts w:eastAsia="DengXian"/>
                <w:spacing w:val="1"/>
                <w:szCs w:val="24"/>
              </w:rPr>
              <w:t xml:space="preserve"> </w:t>
            </w:r>
            <w:r w:rsidRPr="00727DFA">
              <w:rPr>
                <w:rFonts w:eastAsia="DengXian"/>
                <w:szCs w:val="24"/>
              </w:rPr>
              <w:t>and</w:t>
            </w:r>
            <w:r w:rsidRPr="00727DFA">
              <w:rPr>
                <w:rFonts w:eastAsia="DengXian"/>
                <w:spacing w:val="1"/>
                <w:szCs w:val="24"/>
              </w:rPr>
              <w:t xml:space="preserve"> </w:t>
            </w:r>
            <w:r w:rsidRPr="00727DFA">
              <w:rPr>
                <w:rFonts w:eastAsia="DengXian"/>
                <w:szCs w:val="24"/>
              </w:rPr>
              <w:t>joint</w:t>
            </w:r>
            <w:r w:rsidRPr="00727DFA">
              <w:rPr>
                <w:rFonts w:eastAsia="DengXian"/>
                <w:spacing w:val="1"/>
                <w:szCs w:val="24"/>
              </w:rPr>
              <w:t xml:space="preserve"> </w:t>
            </w:r>
            <w:r w:rsidRPr="00727DFA">
              <w:rPr>
                <w:rFonts w:eastAsia="DengXian"/>
                <w:szCs w:val="24"/>
              </w:rPr>
              <w:t>infection,</w:t>
            </w:r>
            <w:r w:rsidRPr="00727DFA">
              <w:rPr>
                <w:rFonts w:eastAsia="DengXian"/>
                <w:spacing w:val="1"/>
                <w:szCs w:val="24"/>
              </w:rPr>
              <w:t xml:space="preserve"> </w:t>
            </w:r>
            <w:r w:rsidRPr="00727DFA">
              <w:rPr>
                <w:rFonts w:eastAsia="DengXian"/>
                <w:szCs w:val="24"/>
              </w:rPr>
              <w:t>meningitis and other CNS infection,</w:t>
            </w:r>
            <w:r w:rsidRPr="00727DFA">
              <w:rPr>
                <w:rFonts w:eastAsia="DengXian"/>
                <w:spacing w:val="1"/>
                <w:szCs w:val="24"/>
              </w:rPr>
              <w:t xml:space="preserve"> </w:t>
            </w:r>
            <w:r w:rsidRPr="00727DFA">
              <w:rPr>
                <w:rFonts w:eastAsia="DengXian"/>
                <w:szCs w:val="24"/>
              </w:rPr>
              <w:t>urinary</w:t>
            </w:r>
            <w:r w:rsidRPr="00727DFA">
              <w:rPr>
                <w:rFonts w:eastAsia="DengXian"/>
                <w:spacing w:val="1"/>
                <w:szCs w:val="24"/>
              </w:rPr>
              <w:t xml:space="preserve"> </w:t>
            </w:r>
            <w:r w:rsidRPr="00727DFA">
              <w:rPr>
                <w:rFonts w:eastAsia="DengXian"/>
                <w:szCs w:val="24"/>
              </w:rPr>
              <w:t>tract</w:t>
            </w:r>
            <w:r w:rsidRPr="00727DFA">
              <w:rPr>
                <w:rFonts w:eastAsia="DengXian"/>
                <w:spacing w:val="1"/>
                <w:szCs w:val="24"/>
              </w:rPr>
              <w:t xml:space="preserve"> </w:t>
            </w:r>
            <w:r w:rsidRPr="00727DFA">
              <w:rPr>
                <w:rFonts w:eastAsia="DengXian"/>
                <w:szCs w:val="24"/>
              </w:rPr>
              <w:t>infection,</w:t>
            </w:r>
            <w:r w:rsidRPr="00727DFA">
              <w:rPr>
                <w:rFonts w:eastAsia="DengXian"/>
                <w:spacing w:val="1"/>
                <w:szCs w:val="24"/>
              </w:rPr>
              <w:t xml:space="preserve"> </w:t>
            </w:r>
            <w:r w:rsidRPr="00727DFA">
              <w:rPr>
                <w:rFonts w:eastAsia="DengXian"/>
                <w:szCs w:val="24"/>
              </w:rPr>
              <w:t>bacterial</w:t>
            </w:r>
            <w:r w:rsidRPr="00727DFA">
              <w:rPr>
                <w:rFonts w:eastAsia="DengXian"/>
                <w:spacing w:val="-1"/>
                <w:szCs w:val="24"/>
              </w:rPr>
              <w:t xml:space="preserve"> </w:t>
            </w:r>
            <w:r w:rsidRPr="00727DFA">
              <w:rPr>
                <w:rFonts w:eastAsia="DengXian"/>
                <w:szCs w:val="24"/>
              </w:rPr>
              <w:t xml:space="preserve">septicemia, health-care-associated lower respiratory tract infections </w:t>
            </w:r>
            <w:r>
              <w:rPr>
                <w:rFonts w:eastAsia="DengXian"/>
                <w:szCs w:val="24"/>
              </w:rPr>
              <w:t>(</w:t>
            </w:r>
            <w:r w:rsidRPr="00727DFA">
              <w:rPr>
                <w:rFonts w:eastAsia="DengXian"/>
                <w:szCs w:val="24"/>
              </w:rPr>
              <w:t>severe pneumonia</w:t>
            </w:r>
            <w:r>
              <w:rPr>
                <w:rFonts w:eastAsia="DengXian"/>
                <w:szCs w:val="24"/>
              </w:rPr>
              <w:t>)</w:t>
            </w:r>
            <w:r w:rsidRPr="00727DFA">
              <w:rPr>
                <w:rFonts w:eastAsia="DengXian"/>
                <w:szCs w:val="24"/>
              </w:rPr>
              <w:t xml:space="preserve">, intraabdominal infections </w:t>
            </w:r>
            <w:r>
              <w:rPr>
                <w:rFonts w:eastAsia="DengXian"/>
                <w:szCs w:val="24"/>
              </w:rPr>
              <w:t>(</w:t>
            </w:r>
            <w:r w:rsidRPr="00727DFA">
              <w:rPr>
                <w:rFonts w:eastAsia="DengXian"/>
                <w:szCs w:val="24"/>
              </w:rPr>
              <w:t>peritonitis</w:t>
            </w:r>
            <w:r>
              <w:rPr>
                <w:rFonts w:eastAsia="DengXian"/>
                <w:szCs w:val="24"/>
              </w:rPr>
              <w:t>)</w:t>
            </w:r>
            <w:r w:rsidRPr="00727DFA">
              <w:rPr>
                <w:rFonts w:eastAsia="DengXian"/>
                <w:szCs w:val="24"/>
              </w:rPr>
              <w:t>, pelvic inflammatory disease, treatment of bacterial endocarditis, surgical prophylaxis</w:t>
            </w:r>
            <w:r>
              <w:rPr>
                <w:rFonts w:eastAsia="DengXian"/>
                <w:b/>
                <w:i/>
                <w:iCs/>
                <w:szCs w:val="24"/>
              </w:rPr>
              <w:t>.</w:t>
            </w:r>
          </w:p>
        </w:tc>
      </w:tr>
      <w:tr w:rsidR="007B485D" w:rsidRPr="00727DFA" w14:paraId="1A226FA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4A6E0A"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236C5D30" w14:textId="77777777" w:rsidR="007B485D" w:rsidRPr="00727DFA" w:rsidRDefault="007B485D" w:rsidP="002D6DD7">
            <w:pPr>
              <w:jc w:val="both"/>
              <w:rPr>
                <w:rFonts w:eastAsia="DengXian"/>
                <w:szCs w:val="24"/>
              </w:rPr>
            </w:pPr>
            <w:r w:rsidRPr="00727DFA">
              <w:rPr>
                <w:rFonts w:eastAsia="DengXian"/>
                <w:b/>
                <w:bCs/>
                <w:szCs w:val="24"/>
              </w:rPr>
              <w:t xml:space="preserve">Infections with susceptible organisms; </w:t>
            </w:r>
            <w:r w:rsidRPr="00727DFA">
              <w:rPr>
                <w:rFonts w:eastAsia="DengXian"/>
                <w:szCs w:val="24"/>
              </w:rPr>
              <w:t>IM or slow IV or IV infusion:</w:t>
            </w:r>
          </w:p>
          <w:p w14:paraId="0F3FAEF7" w14:textId="77777777" w:rsidR="007B485D"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3–5 mg/kg daily in divided doses every 8 hours </w:t>
            </w:r>
          </w:p>
          <w:p w14:paraId="1927F9DF" w14:textId="77777777" w:rsidR="007B485D" w:rsidRPr="00727DFA" w:rsidRDefault="007B485D" w:rsidP="002D6DD7">
            <w:pPr>
              <w:jc w:val="both"/>
              <w:rPr>
                <w:rFonts w:eastAsia="DengXian"/>
                <w:b/>
                <w:bCs/>
                <w:szCs w:val="24"/>
              </w:rPr>
            </w:pPr>
            <w:r w:rsidRPr="00727DFA">
              <w:rPr>
                <w:rFonts w:eastAsia="DengXian"/>
                <w:b/>
                <w:bCs/>
                <w:szCs w:val="24"/>
              </w:rPr>
              <w:t xml:space="preserve">Child over 10 years: </w:t>
            </w:r>
            <w:r w:rsidRPr="00727DFA">
              <w:rPr>
                <w:rFonts w:eastAsia="DengXian"/>
                <w:szCs w:val="24"/>
              </w:rPr>
              <w:t>6 mg/kg once daily (maximum dose 240–360 mg)</w:t>
            </w:r>
          </w:p>
          <w:p w14:paraId="2DA9A612" w14:textId="77777777" w:rsidR="007B485D" w:rsidRPr="00727DFA" w:rsidRDefault="007B485D" w:rsidP="002D6DD7">
            <w:pPr>
              <w:jc w:val="both"/>
              <w:rPr>
                <w:rFonts w:eastAsia="DengXian"/>
                <w:b/>
                <w:bCs/>
                <w:szCs w:val="24"/>
              </w:rPr>
            </w:pPr>
            <w:r w:rsidRPr="00727DFA">
              <w:rPr>
                <w:rFonts w:eastAsia="DengXian"/>
                <w:b/>
                <w:bCs/>
                <w:szCs w:val="24"/>
              </w:rPr>
              <w:t xml:space="preserve">Infant or child under 10 years: </w:t>
            </w:r>
            <w:r w:rsidRPr="00727DFA">
              <w:rPr>
                <w:rFonts w:eastAsia="DengXian"/>
                <w:szCs w:val="24"/>
              </w:rPr>
              <w:t>7.5 mg/kg once daily</w:t>
            </w:r>
            <w:r w:rsidRPr="00727DFA">
              <w:rPr>
                <w:rFonts w:eastAsia="DengXian"/>
                <w:b/>
                <w:bCs/>
                <w:szCs w:val="24"/>
              </w:rPr>
              <w:t xml:space="preserve"> </w:t>
            </w:r>
          </w:p>
          <w:p w14:paraId="6054D402" w14:textId="77777777" w:rsidR="007B485D" w:rsidRDefault="007B485D" w:rsidP="002D6DD7">
            <w:pPr>
              <w:jc w:val="both"/>
              <w:rPr>
                <w:rFonts w:eastAsia="DengXian"/>
                <w:b/>
                <w:bCs/>
                <w:szCs w:val="24"/>
              </w:rPr>
            </w:pPr>
            <w:r w:rsidRPr="00727DFA">
              <w:rPr>
                <w:rFonts w:eastAsia="DengXian"/>
                <w:b/>
                <w:bCs/>
                <w:szCs w:val="24"/>
              </w:rPr>
              <w:t xml:space="preserve">Term neonate: </w:t>
            </w:r>
            <w:r w:rsidRPr="00727DFA">
              <w:rPr>
                <w:rFonts w:eastAsia="DengXian"/>
                <w:szCs w:val="24"/>
              </w:rPr>
              <w:t>3.5–5 mg/kg once daily</w:t>
            </w:r>
            <w:r w:rsidRPr="00727DFA">
              <w:rPr>
                <w:rFonts w:eastAsia="DengXian"/>
                <w:b/>
                <w:bCs/>
                <w:szCs w:val="24"/>
              </w:rPr>
              <w:t xml:space="preserve"> </w:t>
            </w:r>
          </w:p>
          <w:p w14:paraId="315637E7" w14:textId="77777777" w:rsidR="007B485D" w:rsidRPr="00727DFA" w:rsidRDefault="007B485D" w:rsidP="002D6DD7">
            <w:pPr>
              <w:jc w:val="both"/>
              <w:rPr>
                <w:rFonts w:eastAsia="DengXian"/>
                <w:szCs w:val="24"/>
              </w:rPr>
            </w:pPr>
            <w:r w:rsidRPr="00727DFA">
              <w:rPr>
                <w:rFonts w:eastAsia="DengXian"/>
                <w:b/>
                <w:bCs/>
                <w:szCs w:val="24"/>
              </w:rPr>
              <w:t>Endocarditis</w:t>
            </w:r>
            <w:r w:rsidRPr="00727DFA">
              <w:rPr>
                <w:rFonts w:eastAsia="DengXian"/>
                <w:szCs w:val="24"/>
              </w:rPr>
              <w:t xml:space="preserve"> (as part of combination therapy): </w:t>
            </w:r>
          </w:p>
          <w:p w14:paraId="53AB7754"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1 mg/kg every </w:t>
            </w:r>
            <w:r>
              <w:rPr>
                <w:rFonts w:eastAsia="DengXian"/>
                <w:szCs w:val="24"/>
              </w:rPr>
              <w:t>8-</w:t>
            </w:r>
            <w:r w:rsidRPr="00727DFA">
              <w:rPr>
                <w:rFonts w:eastAsia="DengXian"/>
                <w:szCs w:val="24"/>
              </w:rPr>
              <w:t>12 hours</w:t>
            </w:r>
          </w:p>
          <w:p w14:paraId="740DA642" w14:textId="77777777" w:rsidR="007B485D" w:rsidRPr="00727DFA" w:rsidRDefault="007B485D" w:rsidP="002D6DD7">
            <w:pPr>
              <w:jc w:val="both"/>
              <w:rPr>
                <w:rFonts w:eastAsia="DengXian"/>
                <w:b/>
                <w:bCs/>
                <w:szCs w:val="24"/>
              </w:rPr>
            </w:pPr>
            <w:r w:rsidRPr="00727DFA">
              <w:rPr>
                <w:rFonts w:eastAsia="DengXian"/>
                <w:b/>
                <w:bCs/>
                <w:szCs w:val="24"/>
              </w:rPr>
              <w:t>Surgical prophylaxis</w:t>
            </w:r>
          </w:p>
          <w:p w14:paraId="4AB01C86" w14:textId="77777777" w:rsidR="007B485D" w:rsidRPr="00727DFA" w:rsidRDefault="007B485D" w:rsidP="002D6DD7">
            <w:pPr>
              <w:jc w:val="both"/>
              <w:rPr>
                <w:rFonts w:eastAsia="DengXian"/>
                <w:b/>
                <w:bCs/>
                <w:szCs w:val="24"/>
              </w:rPr>
            </w:pPr>
            <w:r w:rsidRPr="00727DFA">
              <w:rPr>
                <w:rFonts w:eastAsia="DengXian"/>
                <w:b/>
                <w:szCs w:val="24"/>
              </w:rPr>
              <w:lastRenderedPageBreak/>
              <w:t>Adult</w:t>
            </w:r>
            <w:r w:rsidRPr="00727DFA">
              <w:rPr>
                <w:rFonts w:eastAsia="DengXian"/>
                <w:szCs w:val="24"/>
              </w:rPr>
              <w:t>: 5mg/kg as a single dose at induction</w:t>
            </w:r>
          </w:p>
          <w:p w14:paraId="614325E8" w14:textId="77777777" w:rsidR="007B485D" w:rsidRPr="00873AF2" w:rsidRDefault="007B485D" w:rsidP="002D6DD7">
            <w:pPr>
              <w:jc w:val="both"/>
              <w:rPr>
                <w:rFonts w:eastAsia="DengXian"/>
                <w:i/>
                <w:iCs/>
                <w:szCs w:val="24"/>
              </w:rPr>
            </w:pPr>
            <w:r w:rsidRPr="00727DFA">
              <w:rPr>
                <w:rFonts w:eastAsia="DengXian"/>
                <w:b/>
                <w:szCs w:val="24"/>
              </w:rPr>
              <w:t>Note</w:t>
            </w:r>
            <w:r w:rsidRPr="00727DFA">
              <w:rPr>
                <w:rFonts w:eastAsia="DengXian"/>
                <w:szCs w:val="24"/>
              </w:rPr>
              <w:t xml:space="preserve">: </w:t>
            </w:r>
            <w:r w:rsidRPr="00873AF2">
              <w:rPr>
                <w:rFonts w:eastAsia="DengXian"/>
                <w:i/>
                <w:iCs/>
                <w:szCs w:val="24"/>
              </w:rPr>
              <w:t>Usual adult prescribing limit is up to 7mg (base) per kg of</w:t>
            </w:r>
            <w:r w:rsidRPr="00873AF2">
              <w:rPr>
                <w:rFonts w:eastAsia="DengXian"/>
                <w:i/>
                <w:iCs/>
                <w:spacing w:val="1"/>
                <w:szCs w:val="24"/>
              </w:rPr>
              <w:t xml:space="preserve"> </w:t>
            </w:r>
            <w:r w:rsidRPr="00873AF2">
              <w:rPr>
                <w:rFonts w:eastAsia="DengXian"/>
                <w:i/>
                <w:iCs/>
                <w:szCs w:val="24"/>
              </w:rPr>
              <w:t>body weight daily in severe, life-threatening infections.</w:t>
            </w:r>
          </w:p>
          <w:p w14:paraId="68121E54" w14:textId="77777777" w:rsidR="007B485D" w:rsidRPr="00727DFA" w:rsidRDefault="007B485D" w:rsidP="002D6DD7">
            <w:pPr>
              <w:jc w:val="both"/>
              <w:rPr>
                <w:rFonts w:eastAsia="DengXian"/>
                <w:b/>
                <w:bCs/>
                <w:szCs w:val="24"/>
              </w:rPr>
            </w:pPr>
          </w:p>
        </w:tc>
      </w:tr>
      <w:tr w:rsidR="007B485D" w:rsidRPr="00727DFA" w14:paraId="7812E7E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234705"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268585F" w14:textId="77777777" w:rsidR="007B485D" w:rsidRPr="00727DFA" w:rsidRDefault="007B485D" w:rsidP="002D6DD7">
            <w:pPr>
              <w:jc w:val="both"/>
              <w:rPr>
                <w:rFonts w:eastAsia="Times New Roman"/>
                <w:szCs w:val="24"/>
              </w:rPr>
            </w:pPr>
            <w:r>
              <w:rPr>
                <w:rFonts w:eastAsia="Times New Roman"/>
                <w:szCs w:val="24"/>
              </w:rPr>
              <w:t>Hypersensitivity to the drug or other</w:t>
            </w:r>
            <w:r w:rsidRPr="00727DFA">
              <w:rPr>
                <w:rFonts w:eastAsia="Times New Roman"/>
                <w:szCs w:val="24"/>
              </w:rPr>
              <w:t xml:space="preserve"> aminoglycoside, </w:t>
            </w:r>
            <w:r>
              <w:rPr>
                <w:rFonts w:eastAsia="Times New Roman"/>
                <w:szCs w:val="24"/>
              </w:rPr>
              <w:t>m</w:t>
            </w:r>
            <w:r w:rsidRPr="00727DFA">
              <w:rPr>
                <w:rFonts w:eastAsia="Times New Roman"/>
                <w:szCs w:val="24"/>
              </w:rPr>
              <w:t xml:space="preserve">yasthenia gravis, </w:t>
            </w:r>
            <w:r w:rsidRPr="00727DFA">
              <w:rPr>
                <w:rFonts w:eastAsia="DengXian"/>
                <w:szCs w:val="24"/>
              </w:rPr>
              <w:t>severe cirrhosis of grades B and C</w:t>
            </w:r>
            <w:r>
              <w:rPr>
                <w:rFonts w:eastAsia="DengXian"/>
                <w:szCs w:val="24"/>
              </w:rPr>
              <w:t>.</w:t>
            </w:r>
          </w:p>
        </w:tc>
      </w:tr>
      <w:tr w:rsidR="007B485D" w:rsidRPr="00727DFA" w14:paraId="057693A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57C6B8"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A6F28A2" w14:textId="77777777" w:rsidR="007B485D" w:rsidRPr="00727DFA" w:rsidRDefault="007B485D" w:rsidP="002D6DD7">
            <w:pPr>
              <w:jc w:val="both"/>
              <w:rPr>
                <w:rFonts w:eastAsia="Times New Roman"/>
                <w:szCs w:val="24"/>
              </w:rPr>
            </w:pPr>
            <w:r>
              <w:rPr>
                <w:rFonts w:eastAsia="DengXian"/>
                <w:szCs w:val="24"/>
              </w:rPr>
              <w:t>Refer to</w:t>
            </w:r>
            <w:r w:rsidRPr="00727DFA">
              <w:rPr>
                <w:rFonts w:eastAsia="DengXian"/>
                <w:szCs w:val="24"/>
              </w:rPr>
              <w:t xml:space="preserve"> Amikacin</w:t>
            </w:r>
            <w:r>
              <w:rPr>
                <w:rFonts w:eastAsia="DengXian"/>
                <w:szCs w:val="24"/>
              </w:rPr>
              <w:t>.</w:t>
            </w:r>
          </w:p>
        </w:tc>
      </w:tr>
      <w:tr w:rsidR="007B485D" w:rsidRPr="00727DFA" w14:paraId="5C67C6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0AA45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04E7193" w14:textId="77777777" w:rsidR="007B485D" w:rsidRPr="00727DFA" w:rsidRDefault="007B485D" w:rsidP="002D6DD7">
            <w:pPr>
              <w:jc w:val="both"/>
              <w:rPr>
                <w:rFonts w:eastAsia="DengXian"/>
                <w:szCs w:val="24"/>
              </w:rPr>
            </w:pPr>
            <w:r w:rsidRPr="00727DFA">
              <w:rPr>
                <w:rFonts w:eastAsia="DengXian"/>
                <w:szCs w:val="24"/>
              </w:rPr>
              <w:t>Antibiotic associated colitis, allergic skin rash, blood disorder, depression, encephalopathy, hallucination, hepatic reaction, nephrotoxicity</w:t>
            </w:r>
            <w:r w:rsidRPr="00727DFA">
              <w:rPr>
                <w:rFonts w:eastAsia="Times New Roman"/>
                <w:szCs w:val="24"/>
              </w:rPr>
              <w:t>, increased thirst, loss of appetite, nausea or vomiting, neurotoxicity (muscle twitching, numbness, seizures, tingling), ototoxicity, vestibular damage (dizziness, nausea, vomiting, unsteadiness)</w:t>
            </w:r>
            <w:r>
              <w:rPr>
                <w:rFonts w:eastAsia="Times New Roman"/>
                <w:szCs w:val="24"/>
              </w:rPr>
              <w:t>.</w:t>
            </w:r>
          </w:p>
        </w:tc>
      </w:tr>
      <w:tr w:rsidR="007B485D" w:rsidRPr="00727DFA" w14:paraId="35CF4D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26D78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3126BA8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In premature infants and neonates, elderly, renal function impairment</w:t>
            </w:r>
            <w:r>
              <w:rPr>
                <w:rFonts w:eastAsia="Times New Roman"/>
                <w:szCs w:val="24"/>
              </w:rPr>
              <w:t xml:space="preserve">, </w:t>
            </w:r>
            <w:r w:rsidRPr="00727DFA">
              <w:rPr>
                <w:rFonts w:eastAsia="Times New Roman"/>
                <w:szCs w:val="24"/>
              </w:rPr>
              <w:t>dehydration, eighth-cranial nerve impairment, muscular weakness, obesity, hypocalcemia, hypokalemia, hypomagnesaemia, preexisting vertigo, tinnitus, hearing loss, family history of ototoxicity</w:t>
            </w:r>
            <w:r>
              <w:rPr>
                <w:rFonts w:eastAsia="Times New Roman"/>
                <w:szCs w:val="24"/>
              </w:rPr>
              <w:t>.</w:t>
            </w:r>
          </w:p>
        </w:tc>
      </w:tr>
      <w:tr w:rsidR="007B485D" w:rsidRPr="00727DFA" w14:paraId="16F0E08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D53E8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BCD1D7B" w14:textId="77777777" w:rsidR="007B485D" w:rsidRPr="00727DFA" w:rsidRDefault="007B485D" w:rsidP="002D6DD7">
            <w:pPr>
              <w:jc w:val="both"/>
              <w:rPr>
                <w:rFonts w:eastAsia="DengXian"/>
                <w:szCs w:val="24"/>
              </w:rPr>
            </w:pPr>
            <w:r w:rsidRPr="00727DFA">
              <w:rPr>
                <w:rFonts w:eastAsia="DengXian"/>
                <w:spacing w:val="-1"/>
                <w:szCs w:val="24"/>
              </w:rPr>
              <w:t>Store below 30⁰C</w:t>
            </w:r>
            <w:r>
              <w:rPr>
                <w:rFonts w:eastAsia="DengXian"/>
                <w:spacing w:val="-1"/>
                <w:szCs w:val="24"/>
              </w:rPr>
              <w:t>.</w:t>
            </w:r>
            <w:r w:rsidRPr="00727DFA">
              <w:rPr>
                <w:rFonts w:eastAsia="DengXian"/>
                <w:spacing w:val="-1"/>
                <w:szCs w:val="24"/>
              </w:rPr>
              <w:t xml:space="preserve"> </w:t>
            </w:r>
          </w:p>
        </w:tc>
      </w:tr>
      <w:tr w:rsidR="007B485D" w:rsidRPr="00727DFA" w14:paraId="3B95B73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1E1B97D" w14:textId="77777777" w:rsidR="007B485D" w:rsidRPr="00727DFA" w:rsidRDefault="007B485D" w:rsidP="002D6DD7">
            <w:pPr>
              <w:jc w:val="both"/>
              <w:rPr>
                <w:rFonts w:eastAsia="DengXian"/>
                <w:szCs w:val="24"/>
              </w:rPr>
            </w:pPr>
            <w:r w:rsidRPr="00587263">
              <w:rPr>
                <w:rFonts w:eastAsia="DengXian"/>
                <w:b/>
                <w:bCs/>
                <w:szCs w:val="24"/>
              </w:rPr>
              <w:t xml:space="preserve">Neomycin </w:t>
            </w:r>
            <w:r w:rsidRPr="00873AF2">
              <w:rPr>
                <w:rFonts w:eastAsia="DengXian"/>
                <w:b/>
                <w:bCs/>
                <w:szCs w:val="24"/>
              </w:rPr>
              <w:t>(Reserve)</w:t>
            </w:r>
            <w:r w:rsidRPr="00727DFA">
              <w:rPr>
                <w:rFonts w:eastAsia="DengXian"/>
                <w:b/>
                <w:bCs/>
                <w:szCs w:val="24"/>
              </w:rPr>
              <w:t xml:space="preserve">  </w:t>
            </w:r>
          </w:p>
        </w:tc>
      </w:tr>
      <w:tr w:rsidR="007B485D" w:rsidRPr="00727DFA" w14:paraId="73249B6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9A2ABC4"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0A488E5" w14:textId="77777777" w:rsidR="007B485D" w:rsidRPr="00727DFA" w:rsidRDefault="007B485D" w:rsidP="002D6DD7">
            <w:pPr>
              <w:jc w:val="both"/>
              <w:rPr>
                <w:rFonts w:eastAsia="DengXian"/>
                <w:szCs w:val="24"/>
              </w:rPr>
            </w:pPr>
            <w:r w:rsidRPr="00727DFA">
              <w:rPr>
                <w:rFonts w:eastAsia="DengXian"/>
                <w:spacing w:val="-1"/>
                <w:szCs w:val="24"/>
              </w:rPr>
              <w:t xml:space="preserve">Aminoglycoside </w:t>
            </w:r>
          </w:p>
        </w:tc>
      </w:tr>
      <w:tr w:rsidR="007B485D" w:rsidRPr="00727DFA" w14:paraId="1806BB3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6B5D2B"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7E219DB" w14:textId="77777777" w:rsidR="007B485D" w:rsidRPr="00727DFA" w:rsidRDefault="007B485D" w:rsidP="002D6DD7">
            <w:pPr>
              <w:jc w:val="both"/>
              <w:rPr>
                <w:rFonts w:eastAsia="DengXian"/>
                <w:szCs w:val="24"/>
              </w:rPr>
            </w:pPr>
            <w:r w:rsidRPr="00727DFA">
              <w:rPr>
                <w:rFonts w:eastAsia="Times New Roman"/>
                <w:szCs w:val="24"/>
              </w:rPr>
              <w:t>Tablet: 500mg</w:t>
            </w:r>
          </w:p>
        </w:tc>
      </w:tr>
      <w:tr w:rsidR="007B485D" w:rsidRPr="00727DFA" w14:paraId="0D1F0F9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4983A6"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04C6082" w14:textId="77777777" w:rsidR="007B485D" w:rsidRPr="00727DFA" w:rsidRDefault="007B485D" w:rsidP="002D6DD7">
            <w:pPr>
              <w:jc w:val="both"/>
              <w:rPr>
                <w:rFonts w:eastAsia="DengXian"/>
                <w:szCs w:val="24"/>
              </w:rPr>
            </w:pPr>
            <w:r w:rsidRPr="00727DFA">
              <w:rPr>
                <w:rFonts w:eastAsia="DengXian"/>
                <w:spacing w:val="-1"/>
                <w:szCs w:val="24"/>
              </w:rPr>
              <w:t>Bowel sterilization before surgery,</w:t>
            </w:r>
            <w:r w:rsidRPr="00727DFA">
              <w:rPr>
                <w:rFonts w:eastAsia="DengXian"/>
                <w:szCs w:val="24"/>
              </w:rPr>
              <w:t xml:space="preserve"> hepatic encephalopathy/</w:t>
            </w:r>
            <w:r>
              <w:rPr>
                <w:rFonts w:eastAsia="DengXian"/>
                <w:szCs w:val="24"/>
              </w:rPr>
              <w:t>h</w:t>
            </w:r>
            <w:r w:rsidRPr="00727DFA">
              <w:rPr>
                <w:rFonts w:eastAsia="DengXian"/>
                <w:szCs w:val="24"/>
              </w:rPr>
              <w:t>epatic coma</w:t>
            </w:r>
            <w:r>
              <w:rPr>
                <w:rFonts w:eastAsia="DengXian"/>
                <w:szCs w:val="24"/>
              </w:rPr>
              <w:t>.</w:t>
            </w:r>
          </w:p>
        </w:tc>
      </w:tr>
      <w:tr w:rsidR="007B485D" w:rsidRPr="00727DFA" w14:paraId="3D5718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A65F82" w14:textId="77777777" w:rsidR="007B485D" w:rsidRPr="00727DFA" w:rsidRDefault="007B485D" w:rsidP="002D6DD7">
            <w:pPr>
              <w:jc w:val="both"/>
              <w:rPr>
                <w:rFonts w:eastAsia="DengXian"/>
                <w:szCs w:val="24"/>
              </w:rPr>
            </w:pPr>
            <w:r w:rsidRPr="00727DFA">
              <w:rPr>
                <w:rFonts w:eastAsia="DengXian"/>
                <w:szCs w:val="24"/>
              </w:rPr>
              <w:t xml:space="preserve">Dose and </w:t>
            </w:r>
            <w:r>
              <w:rPr>
                <w:rFonts w:eastAsia="DengXian"/>
                <w:szCs w:val="24"/>
              </w:rPr>
              <w:t>a</w:t>
            </w:r>
            <w:r w:rsidRPr="00727DFA">
              <w:rPr>
                <w:rFonts w:eastAsia="DengXian"/>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38AB0144" w14:textId="77777777" w:rsidR="007B485D" w:rsidRPr="00727DFA" w:rsidRDefault="007B485D" w:rsidP="002D6DD7">
            <w:pPr>
              <w:jc w:val="both"/>
              <w:rPr>
                <w:rFonts w:eastAsia="DengXian"/>
                <w:szCs w:val="24"/>
              </w:rPr>
            </w:pPr>
            <w:r w:rsidRPr="00727DFA">
              <w:rPr>
                <w:rFonts w:eastAsia="DengXian"/>
                <w:b/>
                <w:bCs/>
                <w:szCs w:val="24"/>
              </w:rPr>
              <w:t>Bowel sterilization before surgery /Preoperative</w:t>
            </w:r>
            <w:r w:rsidRPr="00727DFA">
              <w:rPr>
                <w:rFonts w:eastAsia="DengXian"/>
                <w:b/>
                <w:bCs/>
                <w:spacing w:val="1"/>
                <w:szCs w:val="24"/>
              </w:rPr>
              <w:t xml:space="preserve"> </w:t>
            </w:r>
            <w:r w:rsidRPr="00727DFA">
              <w:rPr>
                <w:rFonts w:eastAsia="DengXian"/>
                <w:b/>
                <w:bCs/>
                <w:szCs w:val="24"/>
              </w:rPr>
              <w:t>intestinal</w:t>
            </w:r>
            <w:r w:rsidRPr="00727DFA">
              <w:rPr>
                <w:rFonts w:eastAsia="DengXian"/>
                <w:b/>
                <w:bCs/>
                <w:spacing w:val="-57"/>
                <w:szCs w:val="24"/>
              </w:rPr>
              <w:t xml:space="preserve"> </w:t>
            </w:r>
            <w:r w:rsidRPr="00727DFA">
              <w:rPr>
                <w:rFonts w:eastAsia="DengXian"/>
                <w:b/>
                <w:bCs/>
                <w:szCs w:val="24"/>
              </w:rPr>
              <w:t>antisepsis:</w:t>
            </w:r>
          </w:p>
          <w:p w14:paraId="135C72C9" w14:textId="77777777" w:rsidR="007B485D" w:rsidRPr="00727DFA" w:rsidRDefault="007B485D" w:rsidP="002D6DD7">
            <w:pPr>
              <w:jc w:val="both"/>
              <w:rPr>
                <w:rFonts w:eastAsia="DengXian"/>
                <w:szCs w:val="24"/>
              </w:rPr>
            </w:pPr>
            <w:r w:rsidRPr="00727DFA">
              <w:rPr>
                <w:rFonts w:eastAsia="DengXian"/>
                <w:szCs w:val="24"/>
              </w:rPr>
              <w:t>Oral:</w:t>
            </w:r>
          </w:p>
          <w:p w14:paraId="5CAC3DC5"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b/>
                <w:spacing w:val="28"/>
                <w:szCs w:val="24"/>
              </w:rPr>
              <w:t xml:space="preserve"> </w:t>
            </w:r>
            <w:r w:rsidRPr="00727DFA">
              <w:rPr>
                <w:rFonts w:eastAsia="DengXian"/>
                <w:szCs w:val="24"/>
              </w:rPr>
              <w:t>1 g every 1 hour for 4 hours, then 1 g every 4 hours for 2–3 days</w:t>
            </w:r>
          </w:p>
          <w:p w14:paraId="56CA839C" w14:textId="77777777" w:rsidR="007B485D" w:rsidRPr="00727DFA" w:rsidRDefault="007B485D" w:rsidP="002D6DD7">
            <w:pPr>
              <w:jc w:val="both"/>
              <w:rPr>
                <w:rFonts w:eastAsia="DengXian"/>
                <w:b/>
                <w:bCs/>
                <w:szCs w:val="24"/>
              </w:rPr>
            </w:pPr>
            <w:r w:rsidRPr="00727DFA">
              <w:rPr>
                <w:rFonts w:eastAsia="DengXian"/>
                <w:b/>
                <w:bCs/>
                <w:szCs w:val="24"/>
              </w:rPr>
              <w:t xml:space="preserve">Hepatic </w:t>
            </w:r>
            <w:r>
              <w:rPr>
                <w:rFonts w:eastAsia="DengXian"/>
                <w:b/>
                <w:bCs/>
                <w:szCs w:val="24"/>
              </w:rPr>
              <w:t>encephalopathy</w:t>
            </w:r>
            <w:r w:rsidRPr="00727DFA">
              <w:rPr>
                <w:rFonts w:eastAsia="DengXian"/>
                <w:b/>
                <w:bCs/>
                <w:szCs w:val="24"/>
              </w:rPr>
              <w:t>; Oral:</w:t>
            </w:r>
          </w:p>
          <w:p w14:paraId="3227D7BB"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Up to 4 g daily</w:t>
            </w:r>
            <w:r>
              <w:rPr>
                <w:rFonts w:eastAsia="DengXian"/>
                <w:szCs w:val="24"/>
              </w:rPr>
              <w:t xml:space="preserve"> </w:t>
            </w:r>
            <w:r w:rsidRPr="00727DFA">
              <w:rPr>
                <w:rFonts w:eastAsia="DengXian"/>
                <w:szCs w:val="24"/>
              </w:rPr>
              <w:t>in divided</w:t>
            </w:r>
            <w:r>
              <w:rPr>
                <w:rFonts w:eastAsia="DengXian"/>
                <w:szCs w:val="24"/>
              </w:rPr>
              <w:t xml:space="preserve"> doses for 5-7 days (in chronic </w:t>
            </w:r>
            <w:r>
              <w:rPr>
                <w:rFonts w:eastAsia="DengXian"/>
                <w:szCs w:val="24"/>
              </w:rPr>
              <w:lastRenderedPageBreak/>
              <w:t>cases)</w:t>
            </w:r>
            <w:r w:rsidRPr="00727DFA">
              <w:rPr>
                <w:rFonts w:eastAsia="DengXian"/>
                <w:szCs w:val="24"/>
              </w:rPr>
              <w:t xml:space="preserve"> and</w:t>
            </w:r>
            <w:r>
              <w:rPr>
                <w:rFonts w:eastAsia="DengXian"/>
                <w:szCs w:val="24"/>
              </w:rPr>
              <w:t xml:space="preserve"> 4-12g/day for acute cases</w:t>
            </w:r>
          </w:p>
          <w:p w14:paraId="3D8BF587" w14:textId="77777777" w:rsidR="007B485D" w:rsidRPr="00727DFA" w:rsidRDefault="007B485D" w:rsidP="002D6DD7">
            <w:pPr>
              <w:jc w:val="both"/>
              <w:rPr>
                <w:rFonts w:eastAsia="DengXian"/>
                <w:szCs w:val="24"/>
              </w:rPr>
            </w:pPr>
            <w:r w:rsidRPr="00727DFA">
              <w:rPr>
                <w:rFonts w:eastAsia="DengXian"/>
                <w:b/>
                <w:bCs/>
                <w:szCs w:val="24"/>
              </w:rPr>
              <w:t>Note</w:t>
            </w:r>
            <w:r w:rsidRPr="00727DFA">
              <w:rPr>
                <w:rFonts w:eastAsia="DengXian"/>
                <w:szCs w:val="24"/>
              </w:rPr>
              <w:t xml:space="preserve">: </w:t>
            </w:r>
            <w:r w:rsidRPr="00873AF2">
              <w:rPr>
                <w:rFonts w:eastAsia="DengXian"/>
                <w:i/>
                <w:iCs/>
                <w:szCs w:val="24"/>
              </w:rPr>
              <w:t>Neomycin is poorly absorbed after oral administration</w:t>
            </w:r>
          </w:p>
        </w:tc>
      </w:tr>
      <w:tr w:rsidR="007B485D" w:rsidRPr="00727DFA" w14:paraId="2D46D0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59ABFD"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827E345" w14:textId="77777777" w:rsidR="007B485D" w:rsidRPr="00727DFA" w:rsidRDefault="007B485D" w:rsidP="002D6DD7">
            <w:pPr>
              <w:jc w:val="both"/>
              <w:rPr>
                <w:rFonts w:eastAsia="DengXian"/>
                <w:szCs w:val="24"/>
              </w:rPr>
            </w:pPr>
            <w:r w:rsidRPr="00727DFA">
              <w:rPr>
                <w:rFonts w:eastAsia="DengXian"/>
                <w:szCs w:val="24"/>
              </w:rPr>
              <w:t>Hypersensitivity</w:t>
            </w:r>
            <w:r w:rsidRPr="00727DFA">
              <w:rPr>
                <w:rFonts w:eastAsia="DengXian"/>
                <w:spacing w:val="60"/>
                <w:szCs w:val="24"/>
              </w:rPr>
              <w:t xml:space="preserve"> </w:t>
            </w:r>
            <w:r w:rsidRPr="00727DFA">
              <w:rPr>
                <w:rFonts w:eastAsia="DengXian"/>
                <w:szCs w:val="24"/>
              </w:rPr>
              <w:t>to</w:t>
            </w:r>
            <w:r w:rsidRPr="00727DFA">
              <w:rPr>
                <w:rFonts w:eastAsia="DengXian"/>
                <w:spacing w:val="5"/>
                <w:szCs w:val="24"/>
              </w:rPr>
              <w:t xml:space="preserve"> </w:t>
            </w:r>
            <w:r>
              <w:rPr>
                <w:rFonts w:eastAsia="DengXian"/>
                <w:szCs w:val="24"/>
              </w:rPr>
              <w:t>the drug</w:t>
            </w:r>
            <w:r w:rsidRPr="00727DFA">
              <w:rPr>
                <w:rFonts w:eastAsia="DengXian"/>
                <w:spacing w:val="5"/>
                <w:szCs w:val="24"/>
              </w:rPr>
              <w:t xml:space="preserve"> </w:t>
            </w:r>
            <w:r w:rsidRPr="00727DFA">
              <w:rPr>
                <w:rFonts w:eastAsia="DengXian"/>
                <w:szCs w:val="24"/>
              </w:rPr>
              <w:t>or</w:t>
            </w:r>
            <w:r w:rsidRPr="00727DFA">
              <w:rPr>
                <w:rFonts w:eastAsia="DengXian"/>
                <w:spacing w:val="4"/>
                <w:szCs w:val="24"/>
              </w:rPr>
              <w:t xml:space="preserve"> </w:t>
            </w:r>
            <w:r w:rsidRPr="00727DFA">
              <w:rPr>
                <w:rFonts w:eastAsia="DengXian"/>
                <w:szCs w:val="24"/>
              </w:rPr>
              <w:t>other</w:t>
            </w:r>
            <w:r w:rsidRPr="00727DFA">
              <w:rPr>
                <w:rFonts w:eastAsia="DengXian"/>
                <w:spacing w:val="-57"/>
                <w:szCs w:val="24"/>
              </w:rPr>
              <w:t xml:space="preserve">   </w:t>
            </w:r>
            <w:r>
              <w:rPr>
                <w:rFonts w:eastAsia="DengXian"/>
                <w:spacing w:val="-57"/>
                <w:szCs w:val="24"/>
              </w:rPr>
              <w:t xml:space="preserve"> </w:t>
            </w:r>
            <w:r w:rsidRPr="00727DFA">
              <w:rPr>
                <w:rFonts w:eastAsia="DengXian"/>
                <w:spacing w:val="-57"/>
                <w:szCs w:val="24"/>
              </w:rPr>
              <w:t xml:space="preserve"> </w:t>
            </w:r>
            <w:r w:rsidRPr="00727DFA">
              <w:rPr>
                <w:rFonts w:eastAsia="DengXian"/>
                <w:szCs w:val="24"/>
              </w:rPr>
              <w:t xml:space="preserve">aminoglycosides, </w:t>
            </w:r>
            <w:r>
              <w:rPr>
                <w:rFonts w:eastAsia="DengXian"/>
                <w:szCs w:val="24"/>
              </w:rPr>
              <w:t>i</w:t>
            </w:r>
            <w:r w:rsidRPr="00727DFA">
              <w:rPr>
                <w:rFonts w:eastAsia="DengXian"/>
                <w:szCs w:val="24"/>
              </w:rPr>
              <w:t>ntestinal obstruction, myasthenia gravis</w:t>
            </w:r>
            <w:r>
              <w:rPr>
                <w:rFonts w:eastAsia="DengXian"/>
                <w:szCs w:val="24"/>
              </w:rPr>
              <w:t>.</w:t>
            </w:r>
          </w:p>
        </w:tc>
      </w:tr>
      <w:tr w:rsidR="007B485D" w:rsidRPr="00727DFA" w14:paraId="19CBFAE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0BA3AF0"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5373BAA4" w14:textId="77777777" w:rsidR="007B485D" w:rsidRPr="00727DFA" w:rsidRDefault="007B485D" w:rsidP="002D6DD7">
            <w:pPr>
              <w:jc w:val="both"/>
              <w:rPr>
                <w:rFonts w:eastAsia="DengXian"/>
                <w:szCs w:val="24"/>
              </w:rPr>
            </w:pPr>
            <w:r w:rsidRPr="00727DFA">
              <w:rPr>
                <w:rFonts w:eastAsia="DengXian"/>
                <w:szCs w:val="24"/>
              </w:rPr>
              <w:t>Oral anticoagulants, digoxin, methotrexate, furosemide, muscle relaxants</w:t>
            </w:r>
            <w:r>
              <w:rPr>
                <w:rFonts w:eastAsia="DengXian"/>
                <w:szCs w:val="24"/>
              </w:rPr>
              <w:t>, amphotericin B, amikacin, gentamicin, muscle relaxants, acyclovir.</w:t>
            </w:r>
          </w:p>
        </w:tc>
      </w:tr>
      <w:tr w:rsidR="007B485D" w:rsidRPr="00727DFA" w14:paraId="7A0304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66054D"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1E64573" w14:textId="77777777" w:rsidR="007B485D" w:rsidRPr="00727DFA" w:rsidRDefault="007B485D" w:rsidP="002D6DD7">
            <w:pPr>
              <w:jc w:val="both"/>
              <w:rPr>
                <w:rFonts w:eastAsia="DengXian"/>
                <w:szCs w:val="24"/>
              </w:rPr>
            </w:pPr>
            <w:r w:rsidRPr="00727DFA">
              <w:rPr>
                <w:rFonts w:eastAsia="DengXian"/>
                <w:szCs w:val="24"/>
              </w:rPr>
              <w:t>Diarrhea, nausea, vomiting, irritation or soreness of</w:t>
            </w:r>
            <w:r>
              <w:rPr>
                <w:rFonts w:eastAsia="DengXian"/>
                <w:szCs w:val="24"/>
              </w:rPr>
              <w:t xml:space="preserve"> </w:t>
            </w:r>
            <w:r w:rsidRPr="00727DFA">
              <w:rPr>
                <w:rFonts w:eastAsia="DengXian"/>
                <w:spacing w:val="-57"/>
                <w:szCs w:val="24"/>
              </w:rPr>
              <w:t xml:space="preserve"> </w:t>
            </w:r>
            <w:r>
              <w:rPr>
                <w:rFonts w:eastAsia="DengXian"/>
                <w:spacing w:val="-57"/>
                <w:szCs w:val="24"/>
              </w:rPr>
              <w:t xml:space="preserve">   </w:t>
            </w:r>
            <w:r w:rsidRPr="00727DFA">
              <w:rPr>
                <w:rFonts w:eastAsia="DengXian"/>
                <w:szCs w:val="24"/>
              </w:rPr>
              <w:t>the oral or rectal area, dyspnea, eosinophilia, nephrotoxicity,</w:t>
            </w:r>
            <w:r w:rsidRPr="00727DFA">
              <w:rPr>
                <w:rFonts w:eastAsia="DengXian"/>
                <w:spacing w:val="1"/>
                <w:szCs w:val="24"/>
              </w:rPr>
              <w:t xml:space="preserve"> </w:t>
            </w:r>
            <w:r w:rsidRPr="00727DFA">
              <w:rPr>
                <w:rFonts w:eastAsia="DengXian"/>
                <w:szCs w:val="24"/>
              </w:rPr>
              <w:t>neurotoxicity,</w:t>
            </w:r>
            <w:r w:rsidRPr="00727DFA">
              <w:rPr>
                <w:rFonts w:eastAsia="DengXian"/>
                <w:spacing w:val="-1"/>
                <w:szCs w:val="24"/>
              </w:rPr>
              <w:t xml:space="preserve"> </w:t>
            </w:r>
            <w:r w:rsidRPr="00727DFA">
              <w:rPr>
                <w:rFonts w:eastAsia="DengXian"/>
                <w:szCs w:val="24"/>
              </w:rPr>
              <w:t xml:space="preserve">ototoxicity, </w:t>
            </w:r>
            <w:r>
              <w:rPr>
                <w:rFonts w:eastAsia="DengXian"/>
                <w:szCs w:val="24"/>
              </w:rPr>
              <w:t>b</w:t>
            </w:r>
            <w:r w:rsidRPr="00727DFA">
              <w:rPr>
                <w:rFonts w:eastAsia="DengXian"/>
                <w:szCs w:val="24"/>
              </w:rPr>
              <w:t xml:space="preserve">lood disorder, confusion, drug cross-reactivity, electrolyte imbalance, gastrointestinal disorders, hemolytic anemia, nephrotoxicity, nystagmus, oral disorders, paraesthesia, superinfection. </w:t>
            </w:r>
          </w:p>
        </w:tc>
      </w:tr>
      <w:tr w:rsidR="007B485D" w:rsidRPr="00727DFA" w14:paraId="117258B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D167EA"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C8C67AE" w14:textId="77777777" w:rsidR="007B485D" w:rsidRPr="00727DFA" w:rsidRDefault="007B485D" w:rsidP="002D6DD7">
            <w:pPr>
              <w:jc w:val="both"/>
              <w:rPr>
                <w:rFonts w:eastAsia="DengXian"/>
                <w:szCs w:val="24"/>
              </w:rPr>
            </w:pPr>
            <w:r w:rsidRPr="00727DFA">
              <w:rPr>
                <w:rFonts w:eastAsia="DengXian"/>
                <w:szCs w:val="24"/>
              </w:rPr>
              <w:t>Renal impairment, pre-existing hearing impairment,</w:t>
            </w:r>
            <w:r w:rsidRPr="00727DFA">
              <w:rPr>
                <w:rFonts w:eastAsia="DengXian"/>
                <w:spacing w:val="1"/>
                <w:szCs w:val="24"/>
              </w:rPr>
              <w:t xml:space="preserve"> </w:t>
            </w:r>
            <w:r w:rsidRPr="00727DFA">
              <w:rPr>
                <w:rFonts w:eastAsia="DengXian"/>
                <w:szCs w:val="24"/>
              </w:rPr>
              <w:t>neuromuscular</w:t>
            </w:r>
            <w:r w:rsidRPr="00727DFA">
              <w:rPr>
                <w:rFonts w:eastAsia="DengXian"/>
                <w:spacing w:val="-2"/>
                <w:szCs w:val="24"/>
              </w:rPr>
              <w:t xml:space="preserve"> </w:t>
            </w:r>
            <w:r w:rsidRPr="00727DFA">
              <w:rPr>
                <w:rFonts w:eastAsia="DengXian"/>
                <w:szCs w:val="24"/>
              </w:rPr>
              <w:t xml:space="preserve">disorders. </w:t>
            </w:r>
          </w:p>
        </w:tc>
      </w:tr>
      <w:tr w:rsidR="007B485D" w:rsidRPr="00727DFA" w14:paraId="4E98EDA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C29B3A"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6CA0119" w14:textId="77777777" w:rsidR="007B485D" w:rsidRPr="00727DFA" w:rsidRDefault="007B485D" w:rsidP="002D6DD7">
            <w:pPr>
              <w:jc w:val="both"/>
              <w:rPr>
                <w:rFonts w:eastAsia="DengXian"/>
                <w:szCs w:val="24"/>
              </w:rPr>
            </w:pPr>
            <w:r w:rsidRPr="00727DFA">
              <w:rPr>
                <w:rFonts w:eastAsia="Times New Roman"/>
                <w:szCs w:val="24"/>
              </w:rPr>
              <w:t>Store below 30°C</w:t>
            </w:r>
            <w:r>
              <w:rPr>
                <w:rFonts w:eastAsia="Times New Roman"/>
                <w:szCs w:val="24"/>
              </w:rPr>
              <w:t>.</w:t>
            </w:r>
          </w:p>
        </w:tc>
      </w:tr>
    </w:tbl>
    <w:p w14:paraId="5BE2FEA1" w14:textId="77777777" w:rsidR="007B485D" w:rsidRPr="00BC0421" w:rsidRDefault="007B485D" w:rsidP="00BC0421">
      <w:pPr>
        <w:spacing w:before="240"/>
        <w:rPr>
          <w:rFonts w:eastAsia="DengXian Light"/>
          <w:b/>
        </w:rPr>
      </w:pPr>
      <w:r w:rsidRPr="00BC0421">
        <w:rPr>
          <w:rFonts w:eastAsia="DengXian Light"/>
          <w:b/>
        </w:rPr>
        <w:t>Fluroquinolones</w:t>
      </w:r>
    </w:p>
    <w:p w14:paraId="2E4F5F33"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Fluoroquinolones are a class of broad-spectrum antibiotics that are active against both Gram-negative and Gram-positive </w:t>
      </w:r>
      <w:r>
        <w:rPr>
          <w:rFonts w:eastAsia="DengXian" w:cs="Times New Roman"/>
          <w:szCs w:val="24"/>
        </w:rPr>
        <w:t>bacteria</w:t>
      </w:r>
      <w:r w:rsidRPr="00727DFA">
        <w:rPr>
          <w:rFonts w:eastAsia="DengXian" w:cs="Times New Roman"/>
          <w:szCs w:val="24"/>
        </w:rPr>
        <w:t xml:space="preserve">. </w:t>
      </w:r>
      <w:r>
        <w:rPr>
          <w:rFonts w:eastAsia="DengXian" w:cs="Times New Roman"/>
          <w:szCs w:val="24"/>
        </w:rPr>
        <w:t>They</w:t>
      </w:r>
      <w:r w:rsidRPr="00727DFA">
        <w:rPr>
          <w:rFonts w:eastAsia="DengXian" w:cs="Times New Roman"/>
          <w:szCs w:val="24"/>
        </w:rPr>
        <w:t xml:space="preserve"> are synthetic fluorinated analogues of nalidixic acid</w:t>
      </w:r>
      <w:r>
        <w:rPr>
          <w:rFonts w:eastAsia="DengXian" w:cs="Times New Roman"/>
          <w:szCs w:val="24"/>
        </w:rPr>
        <w:t>, which</w:t>
      </w:r>
      <w:r w:rsidRPr="00727DFA">
        <w:rPr>
          <w:rFonts w:eastAsia="DengXian" w:cs="Times New Roman"/>
          <w:szCs w:val="24"/>
        </w:rPr>
        <w:t xml:space="preserve"> include antibiotics such as ciprofloxacin, levofloxacin, moxifloxacin, norfloxacin</w:t>
      </w:r>
      <w:r>
        <w:rPr>
          <w:rFonts w:eastAsia="DengXian" w:cs="Times New Roman"/>
          <w:szCs w:val="24"/>
        </w:rPr>
        <w:t xml:space="preserve"> and</w:t>
      </w:r>
      <w:r w:rsidRPr="00727DFA">
        <w:rPr>
          <w:rFonts w:eastAsia="DengXian" w:cs="Times New Roman"/>
          <w:szCs w:val="24"/>
        </w:rPr>
        <w:t xml:space="preserve"> ofloxacin. </w:t>
      </w:r>
    </w:p>
    <w:p w14:paraId="3603F2E8" w14:textId="77777777" w:rsidR="007B485D" w:rsidRDefault="007B485D" w:rsidP="007B485D">
      <w:pPr>
        <w:spacing w:before="240" w:after="0"/>
        <w:jc w:val="both"/>
        <w:rPr>
          <w:rFonts w:eastAsia="DengXian" w:cs="Times New Roman"/>
          <w:szCs w:val="24"/>
        </w:rPr>
      </w:pPr>
      <w:r w:rsidRPr="00727DFA">
        <w:rPr>
          <w:rFonts w:eastAsia="DengXian" w:cs="Times New Roman"/>
          <w:szCs w:val="24"/>
        </w:rPr>
        <w:t xml:space="preserve">Nalidixic acid and </w:t>
      </w:r>
      <w:r>
        <w:rPr>
          <w:rFonts w:eastAsia="DengXian" w:cs="Times New Roman"/>
          <w:szCs w:val="24"/>
        </w:rPr>
        <w:t>n</w:t>
      </w:r>
      <w:r w:rsidRPr="00727DFA">
        <w:rPr>
          <w:rFonts w:eastAsia="DengXian" w:cs="Times New Roman"/>
          <w:szCs w:val="24"/>
        </w:rPr>
        <w:t xml:space="preserve">orfloxacin are effective in uncomplicated urinary tract infections. </w:t>
      </w:r>
      <w:r>
        <w:rPr>
          <w:rFonts w:eastAsia="DengXian" w:cs="Times New Roman"/>
          <w:szCs w:val="24"/>
        </w:rPr>
        <w:t>Ciprofloxacin</w:t>
      </w:r>
      <w:r w:rsidRPr="00727DFA">
        <w:rPr>
          <w:rFonts w:eastAsia="DengXian" w:cs="Times New Roman"/>
          <w:szCs w:val="24"/>
        </w:rPr>
        <w:t xml:space="preserve"> is particularly active against Gram-negative bacteria, including </w:t>
      </w:r>
      <w:r w:rsidRPr="00727DFA">
        <w:rPr>
          <w:rFonts w:eastAsia="DengXian" w:cs="Times New Roman"/>
          <w:i/>
          <w:iCs/>
          <w:szCs w:val="24"/>
        </w:rPr>
        <w:t>Salmonella,</w:t>
      </w:r>
      <w:r w:rsidRPr="00727DFA">
        <w:rPr>
          <w:rFonts w:eastAsia="DengXian" w:cs="Times New Roman"/>
          <w:szCs w:val="24"/>
        </w:rPr>
        <w:t xml:space="preserve"> </w:t>
      </w:r>
      <w:r w:rsidRPr="00727DFA">
        <w:rPr>
          <w:rFonts w:eastAsia="DengXian" w:cs="Times New Roman"/>
          <w:i/>
          <w:iCs/>
          <w:szCs w:val="24"/>
        </w:rPr>
        <w:t>Shigella</w:t>
      </w:r>
      <w:r w:rsidRPr="00727DFA">
        <w:rPr>
          <w:rFonts w:eastAsia="DengXian" w:cs="Times New Roman"/>
          <w:szCs w:val="24"/>
        </w:rPr>
        <w:t xml:space="preserve">, </w:t>
      </w:r>
      <w:r w:rsidRPr="00727DFA">
        <w:rPr>
          <w:rFonts w:eastAsia="DengXian" w:cs="Times New Roman"/>
          <w:i/>
          <w:iCs/>
          <w:szCs w:val="24"/>
        </w:rPr>
        <w:t>Campylobacter</w:t>
      </w:r>
      <w:r w:rsidRPr="00727DFA">
        <w:rPr>
          <w:rFonts w:eastAsia="DengXian" w:cs="Times New Roman"/>
          <w:szCs w:val="24"/>
        </w:rPr>
        <w:t xml:space="preserve">, </w:t>
      </w:r>
      <w:r w:rsidRPr="00727DFA">
        <w:rPr>
          <w:rFonts w:eastAsia="DengXian" w:cs="Times New Roman"/>
          <w:i/>
          <w:iCs/>
          <w:szCs w:val="24"/>
        </w:rPr>
        <w:t>Neisseria</w:t>
      </w:r>
      <w:r w:rsidRPr="00727DFA">
        <w:rPr>
          <w:rFonts w:eastAsia="DengXian" w:cs="Times New Roman"/>
          <w:szCs w:val="24"/>
        </w:rPr>
        <w:t xml:space="preserve">, and </w:t>
      </w:r>
      <w:r w:rsidRPr="00727DFA">
        <w:rPr>
          <w:rFonts w:eastAsia="DengXian" w:cs="Times New Roman"/>
          <w:i/>
          <w:iCs/>
          <w:szCs w:val="24"/>
        </w:rPr>
        <w:t>Pseudomonas</w:t>
      </w:r>
      <w:r w:rsidRPr="00727DFA">
        <w:rPr>
          <w:rFonts w:eastAsia="DengXian" w:cs="Times New Roman"/>
          <w:szCs w:val="24"/>
        </w:rPr>
        <w:t xml:space="preserve">. Ciprofloxacin has only moderate activity against Gram-positive bacteria such as </w:t>
      </w:r>
      <w:r w:rsidRPr="00727DFA">
        <w:rPr>
          <w:rFonts w:eastAsia="DengXian" w:cs="Times New Roman"/>
          <w:i/>
          <w:iCs/>
          <w:szCs w:val="24"/>
        </w:rPr>
        <w:t>Streptococcus</w:t>
      </w:r>
      <w:r w:rsidRPr="00727DFA">
        <w:rPr>
          <w:rFonts w:eastAsia="DengXian" w:cs="Times New Roman"/>
          <w:szCs w:val="24"/>
        </w:rPr>
        <w:t xml:space="preserve"> </w:t>
      </w:r>
      <w:r w:rsidRPr="00727DFA">
        <w:rPr>
          <w:rFonts w:eastAsia="DengXian" w:cs="Times New Roman"/>
          <w:i/>
          <w:iCs/>
          <w:szCs w:val="24"/>
        </w:rPr>
        <w:t>pneumoniae</w:t>
      </w:r>
      <w:r w:rsidRPr="00727DFA">
        <w:rPr>
          <w:rFonts w:eastAsia="DengXian" w:cs="Times New Roman"/>
          <w:szCs w:val="24"/>
        </w:rPr>
        <w:t xml:space="preserve"> and </w:t>
      </w:r>
      <w:r w:rsidRPr="00727DFA">
        <w:rPr>
          <w:rFonts w:eastAsia="DengXian" w:cs="Times New Roman"/>
          <w:i/>
          <w:iCs/>
          <w:szCs w:val="24"/>
        </w:rPr>
        <w:t>Enterococcus</w:t>
      </w:r>
      <w:r w:rsidRPr="00727DFA">
        <w:rPr>
          <w:rFonts w:eastAsia="DengXian" w:cs="Times New Roman"/>
          <w:szCs w:val="24"/>
        </w:rPr>
        <w:t xml:space="preserve"> </w:t>
      </w:r>
      <w:r w:rsidRPr="00727DFA">
        <w:rPr>
          <w:rFonts w:eastAsia="DengXian" w:cs="Times New Roman"/>
          <w:i/>
          <w:iCs/>
          <w:szCs w:val="24"/>
        </w:rPr>
        <w:t>faecalis</w:t>
      </w:r>
      <w:r w:rsidRPr="00727DFA">
        <w:rPr>
          <w:rFonts w:eastAsia="DengXian" w:cs="Times New Roman"/>
          <w:szCs w:val="24"/>
        </w:rPr>
        <w:t xml:space="preserve"> and it is not the drug of choice for Pneumococcal pneumonia. It is active against </w:t>
      </w:r>
      <w:r w:rsidRPr="00727DFA">
        <w:rPr>
          <w:rFonts w:eastAsia="DengXian" w:cs="Times New Roman"/>
          <w:i/>
          <w:iCs/>
          <w:szCs w:val="24"/>
        </w:rPr>
        <w:t>Chlamydia</w:t>
      </w:r>
      <w:r w:rsidRPr="00727DFA">
        <w:rPr>
          <w:rFonts w:eastAsia="DengXian" w:cs="Times New Roman"/>
          <w:szCs w:val="24"/>
        </w:rPr>
        <w:t xml:space="preserve"> and some mycobacteria.</w:t>
      </w:r>
    </w:p>
    <w:p w14:paraId="508A7DC8" w14:textId="77777777" w:rsidR="007B485D" w:rsidRDefault="007B485D" w:rsidP="007B485D">
      <w:pPr>
        <w:spacing w:before="240" w:after="0"/>
        <w:jc w:val="both"/>
        <w:rPr>
          <w:rFonts w:eastAsia="DengXian" w:cs="Times New Roman"/>
          <w:szCs w:val="24"/>
        </w:rPr>
      </w:pPr>
      <w:r>
        <w:rPr>
          <w:rFonts w:eastAsia="DengXian" w:cs="Times New Roman"/>
          <w:szCs w:val="24"/>
        </w:rPr>
        <w:t xml:space="preserve"> </w:t>
      </w:r>
    </w:p>
    <w:tbl>
      <w:tblPr>
        <w:tblStyle w:val="TableGrid"/>
        <w:tblW w:w="0" w:type="auto"/>
        <w:tblLook w:val="04A0" w:firstRow="1" w:lastRow="0" w:firstColumn="1" w:lastColumn="0" w:noHBand="0" w:noVBand="1"/>
      </w:tblPr>
      <w:tblGrid>
        <w:gridCol w:w="2605"/>
        <w:gridCol w:w="6745"/>
      </w:tblGrid>
      <w:tr w:rsidR="007B485D" w:rsidRPr="00727DFA" w14:paraId="11443B4E"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C0830C7" w14:textId="77777777" w:rsidR="007B485D" w:rsidRPr="00727DFA" w:rsidRDefault="007B485D" w:rsidP="002D6DD7">
            <w:pPr>
              <w:jc w:val="both"/>
              <w:rPr>
                <w:rFonts w:eastAsia="DengXian"/>
                <w:b/>
                <w:bCs/>
                <w:szCs w:val="24"/>
              </w:rPr>
            </w:pPr>
            <w:r w:rsidRPr="00727DFA">
              <w:rPr>
                <w:rFonts w:eastAsia="DengXian"/>
                <w:b/>
                <w:bCs/>
                <w:szCs w:val="24"/>
              </w:rPr>
              <w:lastRenderedPageBreak/>
              <w:t xml:space="preserve">Ciprofloxacin </w:t>
            </w:r>
            <w:r w:rsidRPr="00873AF2">
              <w:rPr>
                <w:rFonts w:eastAsia="DengXian"/>
                <w:b/>
                <w:bCs/>
                <w:szCs w:val="24"/>
              </w:rPr>
              <w:t>(Watch)</w:t>
            </w:r>
          </w:p>
        </w:tc>
      </w:tr>
      <w:tr w:rsidR="007B485D" w:rsidRPr="00727DFA" w14:paraId="74CB16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A3E04E"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6E0AFF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Fluoroquinolone </w:t>
            </w:r>
          </w:p>
        </w:tc>
      </w:tr>
      <w:tr w:rsidR="007B485D" w:rsidRPr="00727DFA" w14:paraId="448B89D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2B49AA"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DB5C51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Injection: IV Infusion (as hyclate) 2mg/ml </w:t>
            </w:r>
          </w:p>
          <w:p w14:paraId="5157D8E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Tablet (as hydrochloride): 100mg, 250mg, and 500mg</w:t>
            </w:r>
          </w:p>
          <w:p w14:paraId="3228066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For oral suspension (anhydrous): 250mg/5ml</w:t>
            </w:r>
          </w:p>
        </w:tc>
      </w:tr>
      <w:tr w:rsidR="007B485D" w:rsidRPr="00727DFA" w14:paraId="74FB57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34F6AB" w14:textId="77777777" w:rsidR="007B485D" w:rsidRPr="00727DFA" w:rsidRDefault="007B485D" w:rsidP="002D6DD7">
            <w:pPr>
              <w:widowControl w:val="0"/>
              <w:autoSpaceDE w:val="0"/>
              <w:autoSpaceDN w:val="0"/>
              <w:jc w:val="both"/>
              <w:rPr>
                <w:rFonts w:eastAsia="Times New Roman"/>
                <w:b/>
                <w:szCs w:val="24"/>
              </w:rPr>
            </w:pPr>
            <w:r w:rsidRPr="00873AF2">
              <w:rPr>
                <w:rFonts w:eastAsia="Times New Rom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2E7E2F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Gastroenteritis including cholera, shigellosis, travellers’ diarrhoea, campylobacter, salmonella enteritis, typhoid, gonorrhoea, chancroid, legionnaires’ disease, meningitis (including meningococcal meningitis prophylaxis), respiratory-tract infections including pseudomonal infections in cystic fibrosis, urinary tract infections, bone and joint infections, septicemia, anthrax, skin infections, prophylaxis in surgery</w:t>
            </w:r>
            <w:r>
              <w:rPr>
                <w:rFonts w:eastAsia="Times New Roman"/>
                <w:szCs w:val="24"/>
              </w:rPr>
              <w:t>.</w:t>
            </w:r>
          </w:p>
        </w:tc>
      </w:tr>
      <w:tr w:rsidR="007B485D" w:rsidRPr="00727DFA" w14:paraId="3676259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4688F3"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 xml:space="preserve">Dose and </w:t>
            </w:r>
            <w:r>
              <w:rPr>
                <w:rFonts w:eastAsia="Times New Roman"/>
                <w:bCs/>
                <w:szCs w:val="24"/>
              </w:rPr>
              <w:t>a</w:t>
            </w:r>
            <w:r w:rsidRPr="00727DFA">
              <w:rPr>
                <w:rFonts w:eastAsia="Times New Rom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5200B136"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 xml:space="preserve">Adult: </w:t>
            </w:r>
          </w:p>
          <w:p w14:paraId="7F9B43C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Infections due to susceptible organisms</w:t>
            </w:r>
            <w:r w:rsidRPr="00727DFA">
              <w:rPr>
                <w:rFonts w:eastAsia="Times New Roman"/>
                <w:szCs w:val="24"/>
              </w:rPr>
              <w:t>: 250 – 750 mg twice daily</w:t>
            </w:r>
          </w:p>
          <w:p w14:paraId="0283F6F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Severe and/or complicated infections of the urinary tract (including chronic prostatitis), infectious diarrhoea</w:t>
            </w:r>
            <w:r w:rsidRPr="00727DFA">
              <w:rPr>
                <w:rFonts w:eastAsia="Times New Roman"/>
                <w:szCs w:val="24"/>
              </w:rPr>
              <w:t>:</w:t>
            </w:r>
          </w:p>
          <w:p w14:paraId="1BA7560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500 mg two times daily</w:t>
            </w:r>
          </w:p>
          <w:p w14:paraId="7D9CFA2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IV infusion</w:t>
            </w:r>
            <w:r w:rsidRPr="00727DFA">
              <w:rPr>
                <w:rFonts w:eastAsia="Times New Roman"/>
                <w:szCs w:val="24"/>
              </w:rPr>
              <w:t xml:space="preserve">: 400 mg 8 – 12 hours to be given over 60 minutes </w:t>
            </w:r>
          </w:p>
          <w:p w14:paraId="0A359B5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Severe and/or complicated lower respiratory tract infections, cystic fibrosis, severe and/or complicated infections of the skin</w:t>
            </w:r>
            <w:r w:rsidRPr="00727DFA">
              <w:rPr>
                <w:rFonts w:eastAsia="Times New Roman"/>
                <w:szCs w:val="24"/>
              </w:rPr>
              <w:t xml:space="preserve">: </w:t>
            </w:r>
          </w:p>
          <w:p w14:paraId="45940A5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750 mg two times daily</w:t>
            </w:r>
          </w:p>
          <w:p w14:paraId="5B5D102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IV infusion</w:t>
            </w:r>
            <w:r w:rsidRPr="00727DFA">
              <w:rPr>
                <w:rFonts w:eastAsia="Times New Roman"/>
                <w:szCs w:val="24"/>
              </w:rPr>
              <w:t xml:space="preserve">: 400 mg 8 – 12 hours to be given over 60 minutes </w:t>
            </w:r>
          </w:p>
          <w:p w14:paraId="1C42A27C"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 xml:space="preserve">Uncomplicated gonorrhoea (when sensitivity confirmed </w:t>
            </w:r>
            <w:r>
              <w:rPr>
                <w:rFonts w:eastAsia="Times New Roman"/>
                <w:b/>
                <w:bCs/>
                <w:szCs w:val="24"/>
              </w:rPr>
              <w:t>):</w:t>
            </w:r>
          </w:p>
          <w:p w14:paraId="4360267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500 mg, one dose</w:t>
            </w:r>
          </w:p>
          <w:p w14:paraId="5AB1997F"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 xml:space="preserve">Disseminated gonococcal infection </w:t>
            </w:r>
            <w:r>
              <w:rPr>
                <w:rFonts w:eastAsia="Times New Roman"/>
                <w:b/>
                <w:bCs/>
                <w:szCs w:val="24"/>
              </w:rPr>
              <w:t>(</w:t>
            </w:r>
            <w:r w:rsidRPr="00727DFA">
              <w:rPr>
                <w:rFonts w:eastAsia="Times New Roman"/>
                <w:b/>
                <w:bCs/>
                <w:szCs w:val="24"/>
              </w:rPr>
              <w:t>when sensitivity confirmed</w:t>
            </w:r>
            <w:r>
              <w:rPr>
                <w:rFonts w:eastAsia="Times New Roman"/>
                <w:b/>
                <w:bCs/>
                <w:szCs w:val="24"/>
              </w:rPr>
              <w:t>):</w:t>
            </w:r>
          </w:p>
          <w:p w14:paraId="6A5A824A"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szCs w:val="24"/>
              </w:rPr>
              <w:t xml:space="preserve"> </w:t>
            </w:r>
            <w:r w:rsidRPr="00727DFA">
              <w:rPr>
                <w:rFonts w:eastAsia="Times New Roman"/>
                <w:b/>
                <w:szCs w:val="24"/>
              </w:rPr>
              <w:t>Oral</w:t>
            </w:r>
            <w:r w:rsidRPr="00727DFA">
              <w:rPr>
                <w:rFonts w:eastAsia="Times New Roman"/>
                <w:szCs w:val="24"/>
              </w:rPr>
              <w:t xml:space="preserve">:  500 mg two times daily </w:t>
            </w:r>
          </w:p>
          <w:p w14:paraId="2D4532F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Severe and/or complicated bone infections</w:t>
            </w:r>
            <w:r w:rsidRPr="00727DFA">
              <w:rPr>
                <w:rFonts w:eastAsia="Times New Roman"/>
                <w:szCs w:val="24"/>
              </w:rPr>
              <w:t xml:space="preserve">: 750 mg twice daily. </w:t>
            </w:r>
          </w:p>
          <w:p w14:paraId="52C0FEA7"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szCs w:val="24"/>
              </w:rPr>
              <w:t>Oral</w:t>
            </w:r>
            <w:r w:rsidRPr="00727DFA">
              <w:rPr>
                <w:rFonts w:eastAsia="Times New Roman"/>
                <w:szCs w:val="24"/>
              </w:rPr>
              <w:t>:  750 mg two times daily</w:t>
            </w:r>
          </w:p>
          <w:p w14:paraId="50F62D1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Prophylaxis of invasive infections due to </w:t>
            </w:r>
            <w:r w:rsidRPr="00727DFA">
              <w:rPr>
                <w:rFonts w:eastAsia="Times New Roman"/>
                <w:b/>
                <w:bCs/>
                <w:i/>
                <w:iCs/>
                <w:szCs w:val="24"/>
              </w:rPr>
              <w:t>Neisseria meningitides</w:t>
            </w:r>
            <w:r w:rsidRPr="00727DFA">
              <w:rPr>
                <w:rFonts w:eastAsia="Times New Roman"/>
                <w:szCs w:val="24"/>
              </w:rPr>
              <w:t xml:space="preserve">: </w:t>
            </w:r>
          </w:p>
          <w:p w14:paraId="0F2D0F8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lastRenderedPageBreak/>
              <w:t>Oral</w:t>
            </w:r>
            <w:r w:rsidRPr="00727DFA">
              <w:rPr>
                <w:rFonts w:eastAsia="Times New Roman"/>
                <w:szCs w:val="24"/>
              </w:rPr>
              <w:t>: 500mg single dose tablet or oral suspension</w:t>
            </w:r>
          </w:p>
          <w:p w14:paraId="4EB92952"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Surgical prophylaxis</w:t>
            </w:r>
          </w:p>
          <w:p w14:paraId="30731DF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750 mg, to be taken 60 minutes before procedure</w:t>
            </w:r>
          </w:p>
          <w:p w14:paraId="4B52154D"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Anthrax (treatment and post-exposure prophylaxis)</w:t>
            </w:r>
          </w:p>
          <w:p w14:paraId="2708132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500 mg twice daily</w:t>
            </w:r>
          </w:p>
          <w:p w14:paraId="7BD2788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IV</w:t>
            </w:r>
            <w:r w:rsidRPr="00727DFA">
              <w:rPr>
                <w:rFonts w:eastAsia="Times New Roman"/>
                <w:szCs w:val="24"/>
              </w:rPr>
              <w:t xml:space="preserve"> </w:t>
            </w:r>
            <w:r w:rsidRPr="00727DFA">
              <w:rPr>
                <w:rFonts w:eastAsia="Times New Roman"/>
                <w:b/>
                <w:szCs w:val="24"/>
              </w:rPr>
              <w:t>infusion</w:t>
            </w:r>
            <w:r w:rsidRPr="00727DFA">
              <w:rPr>
                <w:rFonts w:eastAsia="Times New Roman"/>
                <w:szCs w:val="24"/>
              </w:rPr>
              <w:t>: 400 mg every 12 hours, to be given over 60 minutes</w:t>
            </w:r>
          </w:p>
          <w:p w14:paraId="5466E54D" w14:textId="77777777" w:rsidR="007B485D" w:rsidRPr="00727DFA" w:rsidRDefault="007B485D" w:rsidP="002D6DD7">
            <w:pPr>
              <w:widowControl w:val="0"/>
              <w:autoSpaceDE w:val="0"/>
              <w:autoSpaceDN w:val="0"/>
              <w:jc w:val="both"/>
              <w:rPr>
                <w:rFonts w:eastAsia="Times New Roman"/>
                <w:b/>
                <w:bCs/>
                <w:szCs w:val="24"/>
              </w:rPr>
            </w:pPr>
            <w:r>
              <w:rPr>
                <w:rFonts w:eastAsia="Times New Roman"/>
                <w:b/>
                <w:bCs/>
                <w:szCs w:val="24"/>
              </w:rPr>
              <w:t>Child:</w:t>
            </w:r>
          </w:p>
          <w:p w14:paraId="0A77AA65"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Complicated urinary tract infection</w:t>
            </w:r>
          </w:p>
          <w:p w14:paraId="2BD09BF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Oral</w:t>
            </w:r>
            <w:r w:rsidRPr="00727DFA">
              <w:rPr>
                <w:rFonts w:eastAsia="Times New Roman"/>
                <w:bCs/>
                <w:szCs w:val="24"/>
              </w:rPr>
              <w:t>:</w:t>
            </w:r>
            <w:r w:rsidRPr="00727DFA">
              <w:rPr>
                <w:rFonts w:eastAsia="Times New Roman"/>
                <w:b/>
                <w:bCs/>
                <w:szCs w:val="24"/>
              </w:rPr>
              <w:t xml:space="preserve"> </w:t>
            </w:r>
            <w:r w:rsidRPr="00727DFA">
              <w:rPr>
                <w:rFonts w:eastAsia="Times New Roman"/>
                <w:szCs w:val="24"/>
              </w:rPr>
              <w:t xml:space="preserve">10 mg/kg twice daily. Dose doubled in severe infections. Maximum dose 750 mg twice daily. </w:t>
            </w:r>
          </w:p>
          <w:p w14:paraId="7CFD14B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IV infusion</w:t>
            </w:r>
            <w:r w:rsidRPr="00727DFA">
              <w:rPr>
                <w:rFonts w:eastAsia="Times New Roman"/>
                <w:szCs w:val="24"/>
              </w:rPr>
              <w:t>:</w:t>
            </w:r>
          </w:p>
          <w:p w14:paraId="140FDE1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Child</w:t>
            </w:r>
            <w:r>
              <w:rPr>
                <w:rFonts w:eastAsia="Times New Roman"/>
                <w:b/>
                <w:szCs w:val="24"/>
              </w:rPr>
              <w:t xml:space="preserve"> &gt; 1 year</w:t>
            </w:r>
            <w:r w:rsidRPr="00727DFA">
              <w:rPr>
                <w:rFonts w:eastAsia="Times New Roman"/>
                <w:szCs w:val="24"/>
              </w:rPr>
              <w:t>: 6 mg/kg every 8 hours; increased to 10 mg/kg every 8 hours (max. per dose 400 mg), in severe infection</w:t>
            </w:r>
          </w:p>
          <w:p w14:paraId="3FC6C6C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Severe respiratory tract infections (including cystic fibrosis), GI infections</w:t>
            </w:r>
          </w:p>
          <w:p w14:paraId="47C4BE9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Oral</w:t>
            </w:r>
            <w:r w:rsidRPr="00727DFA">
              <w:rPr>
                <w:rFonts w:eastAsia="Times New Roman"/>
                <w:szCs w:val="24"/>
              </w:rPr>
              <w:t>: 20 mg/kg twice daily. Maximum dose 750 mg twice daily.</w:t>
            </w:r>
          </w:p>
          <w:p w14:paraId="61D1BD0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IV infusion</w:t>
            </w:r>
            <w:r w:rsidRPr="00727DFA">
              <w:rPr>
                <w:rFonts w:eastAsia="Times New Roman"/>
                <w:szCs w:val="24"/>
              </w:rPr>
              <w:t xml:space="preserve">: </w:t>
            </w:r>
          </w:p>
          <w:p w14:paraId="464E1C5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Child</w:t>
            </w:r>
            <w:r>
              <w:rPr>
                <w:rFonts w:eastAsia="Times New Roman"/>
                <w:b/>
                <w:szCs w:val="24"/>
              </w:rPr>
              <w:t xml:space="preserve"> &gt; 1 year:</w:t>
            </w:r>
            <w:r w:rsidRPr="00727DFA">
              <w:rPr>
                <w:rFonts w:eastAsia="Times New Roman"/>
                <w:szCs w:val="24"/>
              </w:rPr>
              <w:t xml:space="preserve"> 10 mg/kg every 8 hours </w:t>
            </w:r>
          </w:p>
          <w:p w14:paraId="3DA16103"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Treatment and post-exposure prophylaxis of anthrax</w:t>
            </w:r>
          </w:p>
          <w:p w14:paraId="7313872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Oral:</w:t>
            </w:r>
            <w:r w:rsidRPr="00727DFA">
              <w:rPr>
                <w:rFonts w:eastAsia="Times New Roman"/>
                <w:szCs w:val="24"/>
              </w:rPr>
              <w:t xml:space="preserve"> 15 mg/kg twice daily. Maximum 500 mg twice daily</w:t>
            </w:r>
          </w:p>
          <w:p w14:paraId="4F34E5EB" w14:textId="77777777" w:rsidR="007B485D" w:rsidRDefault="007B485D" w:rsidP="002D6DD7">
            <w:pPr>
              <w:widowControl w:val="0"/>
              <w:autoSpaceDE w:val="0"/>
              <w:autoSpaceDN w:val="0"/>
              <w:jc w:val="both"/>
              <w:rPr>
                <w:rFonts w:eastAsia="Times New Roman"/>
                <w:szCs w:val="24"/>
              </w:rPr>
            </w:pPr>
            <w:r w:rsidRPr="00727DFA">
              <w:rPr>
                <w:rFonts w:eastAsia="Times New Roman"/>
                <w:b/>
                <w:bCs/>
                <w:szCs w:val="24"/>
              </w:rPr>
              <w:t xml:space="preserve">IV infusion: </w:t>
            </w:r>
            <w:r w:rsidRPr="00727DFA">
              <w:rPr>
                <w:rFonts w:eastAsia="Times New Roman"/>
                <w:szCs w:val="24"/>
              </w:rPr>
              <w:t>10 mg/kg every 12 hours (max. per dose 400 mg)</w:t>
            </w:r>
          </w:p>
          <w:p w14:paraId="3B6540DD" w14:textId="77777777" w:rsidR="007B485D" w:rsidRPr="00727DFA" w:rsidRDefault="007B485D" w:rsidP="002D6DD7">
            <w:pPr>
              <w:widowControl w:val="0"/>
              <w:autoSpaceDE w:val="0"/>
              <w:autoSpaceDN w:val="0"/>
              <w:jc w:val="both"/>
              <w:rPr>
                <w:rFonts w:eastAsia="Times New Roman"/>
                <w:szCs w:val="24"/>
              </w:rPr>
            </w:pPr>
            <w:r w:rsidRPr="007A4196">
              <w:rPr>
                <w:rFonts w:eastAsia="Times New Roman"/>
                <w:bCs/>
                <w:i/>
                <w:szCs w:val="24"/>
              </w:rPr>
              <w:t>Note:</w:t>
            </w:r>
            <w:r>
              <w:rPr>
                <w:rFonts w:eastAsia="Times New Roman"/>
                <w:szCs w:val="24"/>
              </w:rPr>
              <w:t xml:space="preserve"> </w:t>
            </w:r>
            <w:r w:rsidRPr="00873AF2">
              <w:rPr>
                <w:rFonts w:eastAsia="Times New Roman"/>
                <w:i/>
                <w:iCs/>
                <w:szCs w:val="24"/>
              </w:rPr>
              <w:t>Fluoroquinolones should not be prescribed for treatment of mild to moderate infections (such as in acute exacerbation of chronic bronchitis and chronic obstructive pulmonary disease) unless other antibiotics that are commonly recommended for these infections are considered inappropriate.</w:t>
            </w:r>
          </w:p>
        </w:tc>
      </w:tr>
      <w:tr w:rsidR="007B485D" w:rsidRPr="00727DFA" w14:paraId="5613F24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8DF53D"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A061300"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H</w:t>
            </w:r>
            <w:r w:rsidRPr="00727DFA">
              <w:rPr>
                <w:rFonts w:eastAsia="Times New Roman"/>
                <w:szCs w:val="24"/>
              </w:rPr>
              <w:t xml:space="preserve">ypersensitivity to </w:t>
            </w:r>
            <w:r>
              <w:rPr>
                <w:rFonts w:eastAsia="Times New Roman"/>
                <w:szCs w:val="24"/>
              </w:rPr>
              <w:t>the drug or</w:t>
            </w:r>
            <w:r w:rsidRPr="00727DFA">
              <w:rPr>
                <w:rFonts w:eastAsia="Times New Roman"/>
                <w:szCs w:val="24"/>
              </w:rPr>
              <w:t xml:space="preserve"> any </w:t>
            </w:r>
            <w:r>
              <w:rPr>
                <w:rFonts w:eastAsia="Times New Roman"/>
                <w:szCs w:val="24"/>
              </w:rPr>
              <w:t xml:space="preserve">other </w:t>
            </w:r>
            <w:r w:rsidRPr="00727DFA">
              <w:rPr>
                <w:rFonts w:eastAsia="Times New Roman"/>
                <w:szCs w:val="24"/>
              </w:rPr>
              <w:t>quinolone</w:t>
            </w:r>
            <w:r>
              <w:rPr>
                <w:rFonts w:eastAsia="Times New Roman"/>
                <w:szCs w:val="24"/>
              </w:rPr>
              <w:t>.</w:t>
            </w:r>
          </w:p>
        </w:tc>
      </w:tr>
      <w:tr w:rsidR="007B485D" w:rsidRPr="00727DFA" w14:paraId="6772278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42F47F"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1AA9064"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 xml:space="preserve">Antacids, ondansetron, iron preparations, opioid </w:t>
            </w:r>
            <w:r w:rsidRPr="00727DFA">
              <w:rPr>
                <w:rFonts w:eastAsia="Times New Roman"/>
                <w:szCs w:val="24"/>
              </w:rPr>
              <w:t>analgesics,</w:t>
            </w:r>
            <w:r>
              <w:rPr>
                <w:rFonts w:eastAsia="Times New Roman"/>
                <w:szCs w:val="24"/>
              </w:rPr>
              <w:t xml:space="preserve"> live cholera vaccine, erythromycin,</w:t>
            </w:r>
            <w:r w:rsidRPr="00727DFA">
              <w:rPr>
                <w:rFonts w:eastAsia="Times New Roman"/>
                <w:szCs w:val="24"/>
              </w:rPr>
              <w:t xml:space="preserve"> </w:t>
            </w:r>
            <w:r>
              <w:rPr>
                <w:rFonts w:eastAsia="Times New Roman"/>
                <w:szCs w:val="24"/>
              </w:rPr>
              <w:t xml:space="preserve">oral </w:t>
            </w:r>
            <w:r w:rsidRPr="00727DFA">
              <w:rPr>
                <w:rFonts w:eastAsia="Times New Roman"/>
                <w:szCs w:val="24"/>
              </w:rPr>
              <w:t>anticoagulants,</w:t>
            </w:r>
            <w:r>
              <w:rPr>
                <w:rFonts w:eastAsia="Times New Roman"/>
                <w:szCs w:val="24"/>
              </w:rPr>
              <w:t xml:space="preserve"> </w:t>
            </w:r>
            <w:r w:rsidRPr="00727DFA">
              <w:rPr>
                <w:rFonts w:eastAsia="Times New Roman"/>
                <w:szCs w:val="24"/>
              </w:rPr>
              <w:t>ciclosporin</w:t>
            </w:r>
            <w:r>
              <w:rPr>
                <w:rFonts w:eastAsia="Times New Roman"/>
                <w:szCs w:val="24"/>
              </w:rPr>
              <w:t>,</w:t>
            </w:r>
            <w:r w:rsidRPr="00727DFA">
              <w:rPr>
                <w:rFonts w:eastAsia="Times New Roman"/>
                <w:szCs w:val="24"/>
              </w:rPr>
              <w:t xml:space="preserve"> theophylline</w:t>
            </w:r>
            <w:r>
              <w:rPr>
                <w:rFonts w:eastAsia="Times New Roman"/>
                <w:szCs w:val="24"/>
              </w:rPr>
              <w:t>.</w:t>
            </w:r>
          </w:p>
        </w:tc>
      </w:tr>
      <w:tr w:rsidR="007B485D" w:rsidRPr="00727DFA" w14:paraId="3E0836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62CEF8"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6AAB5A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Rash, itch</w:t>
            </w:r>
            <w:r>
              <w:rPr>
                <w:rFonts w:eastAsia="Times New Roman"/>
                <w:szCs w:val="24"/>
              </w:rPr>
              <w:t>ing</w:t>
            </w:r>
            <w:r w:rsidRPr="00727DFA">
              <w:rPr>
                <w:rFonts w:eastAsia="Times New Roman"/>
                <w:szCs w:val="24"/>
              </w:rPr>
              <w:t xml:space="preserve">, GI intolerance (e.g. nausea, vomiting, dyspepsia, </w:t>
            </w:r>
            <w:r w:rsidRPr="00727DFA">
              <w:rPr>
                <w:rFonts w:eastAsia="Times New Roman"/>
                <w:szCs w:val="24"/>
              </w:rPr>
              <w:lastRenderedPageBreak/>
              <w:t>diarrhoea, abdominal pain), metallic taste, headache, dizziness, insomnia, depression, restlessness, tremors, arthralgia, arthritis, myalgia, tendinitis, raised liver enzymes, erythema, pain or thrombophlebitis at IV infusion site</w:t>
            </w:r>
            <w:r>
              <w:rPr>
                <w:rFonts w:eastAsia="Times New Roman"/>
                <w:szCs w:val="24"/>
              </w:rPr>
              <w:t>.</w:t>
            </w:r>
          </w:p>
        </w:tc>
      </w:tr>
      <w:tr w:rsidR="007B485D" w:rsidRPr="00727DFA" w14:paraId="44C8353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0FE972"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97B932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Pregnancy</w:t>
            </w:r>
            <w:r>
              <w:rPr>
                <w:rFonts w:eastAsia="Times New Roman"/>
                <w:szCs w:val="24"/>
              </w:rPr>
              <w:t>,</w:t>
            </w:r>
            <w:r w:rsidRPr="00727DFA">
              <w:rPr>
                <w:rFonts w:eastAsia="Times New Roman"/>
                <w:szCs w:val="24"/>
              </w:rPr>
              <w:t xml:space="preserve"> </w:t>
            </w:r>
            <w:r>
              <w:rPr>
                <w:rFonts w:eastAsia="Times New Roman"/>
                <w:szCs w:val="24"/>
              </w:rPr>
              <w:t>breastfeeding</w:t>
            </w:r>
            <w:r w:rsidRPr="00727DFA">
              <w:rPr>
                <w:rFonts w:eastAsia="Times New Roman"/>
                <w:szCs w:val="24"/>
              </w:rPr>
              <w:t xml:space="preserve">, history of tender disorder, acute myocardial infarction, history of epilepsy or conditions that predispose to seizures, myasthenia gravis, exposure to excessive sunlight, hepatic </w:t>
            </w:r>
            <w:r>
              <w:rPr>
                <w:rFonts w:eastAsia="Times New Roman"/>
                <w:szCs w:val="24"/>
              </w:rPr>
              <w:t>and</w:t>
            </w:r>
            <w:r w:rsidRPr="00727DFA">
              <w:rPr>
                <w:rFonts w:eastAsia="Times New Roman"/>
                <w:szCs w:val="24"/>
              </w:rPr>
              <w:t xml:space="preserve"> renal impairment</w:t>
            </w:r>
            <w:r>
              <w:rPr>
                <w:rFonts w:eastAsia="Times New Roman"/>
                <w:szCs w:val="24"/>
              </w:rPr>
              <w:t>.</w:t>
            </w:r>
          </w:p>
        </w:tc>
      </w:tr>
      <w:tr w:rsidR="007B485D" w:rsidRPr="00727DFA" w14:paraId="5411E03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AEBC8C" w14:textId="77777777" w:rsidR="007B485D" w:rsidRPr="00727DFA" w:rsidRDefault="007B485D" w:rsidP="002D6DD7">
            <w:pPr>
              <w:widowControl w:val="0"/>
              <w:autoSpaceDE w:val="0"/>
              <w:autoSpaceDN w:val="0"/>
              <w:jc w:val="both"/>
              <w:rPr>
                <w:rFonts w:eastAsia="Times New Roman"/>
                <w:bCs/>
                <w:szCs w:val="24"/>
              </w:rPr>
            </w:pPr>
            <w:r w:rsidRPr="00727DFA">
              <w:rPr>
                <w:rFonts w:eastAsia="Times New Rom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D8435D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 Store below 30°C</w:t>
            </w:r>
            <w:r>
              <w:rPr>
                <w:rFonts w:eastAsia="Times New Roman"/>
                <w:szCs w:val="24"/>
              </w:rPr>
              <w:t>.</w:t>
            </w:r>
          </w:p>
        </w:tc>
      </w:tr>
      <w:tr w:rsidR="007B485D" w:rsidRPr="00727DFA" w14:paraId="7CE7104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CD40595" w14:textId="77777777" w:rsidR="007B485D" w:rsidRPr="00727DFA" w:rsidRDefault="007B485D" w:rsidP="002D6DD7">
            <w:pPr>
              <w:jc w:val="both"/>
              <w:rPr>
                <w:rFonts w:eastAsia="DengXian"/>
                <w:szCs w:val="24"/>
              </w:rPr>
            </w:pPr>
            <w:r w:rsidRPr="00727DFA">
              <w:rPr>
                <w:rFonts w:eastAsia="DengXian"/>
                <w:b/>
                <w:bCs/>
                <w:szCs w:val="24"/>
              </w:rPr>
              <w:t xml:space="preserve">Norfloxacin </w:t>
            </w:r>
            <w:r w:rsidRPr="00873AF2">
              <w:rPr>
                <w:rFonts w:eastAsia="DengXian"/>
                <w:b/>
                <w:bCs/>
                <w:szCs w:val="24"/>
              </w:rPr>
              <w:t>(Watch)</w:t>
            </w:r>
          </w:p>
        </w:tc>
      </w:tr>
      <w:tr w:rsidR="007B485D" w:rsidRPr="00727DFA" w14:paraId="7E29352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6843E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601626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Fluoroquinolone</w:t>
            </w:r>
          </w:p>
        </w:tc>
      </w:tr>
      <w:tr w:rsidR="007B485D" w:rsidRPr="00727DFA" w14:paraId="3AC0896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E8FF4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E96D04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Tablet: 400 mg</w:t>
            </w:r>
          </w:p>
        </w:tc>
      </w:tr>
      <w:tr w:rsidR="007B485D" w:rsidRPr="00727DFA" w14:paraId="65FA19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6355CA" w14:textId="77777777" w:rsidR="007B485D" w:rsidRPr="00727DFA" w:rsidRDefault="007B485D" w:rsidP="002D6DD7">
            <w:pPr>
              <w:widowControl w:val="0"/>
              <w:autoSpaceDE w:val="0"/>
              <w:autoSpaceDN w:val="0"/>
              <w:jc w:val="both"/>
              <w:rPr>
                <w:rFonts w:eastAsia="Times New Roman"/>
                <w:b/>
                <w:bCs/>
                <w:szCs w:val="24"/>
              </w:rPr>
            </w:pPr>
            <w:r w:rsidRPr="00873AF2">
              <w:rPr>
                <w:rFonts w:eastAsia="Times New Rom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8DECA0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Uncomplicated urinary tract infections and cystitis caused by susceptible gram-negative and gram-positive bacteria</w:t>
            </w:r>
            <w:r>
              <w:rPr>
                <w:rFonts w:eastAsia="Times New Roman"/>
                <w:szCs w:val="24"/>
              </w:rPr>
              <w:t>,</w:t>
            </w:r>
            <w:r w:rsidRPr="00727DFA">
              <w:rPr>
                <w:rFonts w:eastAsia="Times New Roman"/>
                <w:szCs w:val="24"/>
              </w:rPr>
              <w:t xml:space="preserve"> sexually transmitted disease (e.g., uncomplicated urethral and cervical gonorrhea) caused by </w:t>
            </w:r>
            <w:r w:rsidRPr="00727DFA">
              <w:rPr>
                <w:rFonts w:eastAsia="Times New Roman"/>
                <w:i/>
                <w:iCs/>
                <w:szCs w:val="24"/>
              </w:rPr>
              <w:t>N. gonorrhoeae</w:t>
            </w:r>
            <w:r w:rsidRPr="00727DFA">
              <w:rPr>
                <w:rFonts w:eastAsia="Times New Roman"/>
                <w:szCs w:val="24"/>
              </w:rPr>
              <w:t xml:space="preserve">, prostatitis caused by </w:t>
            </w:r>
            <w:r w:rsidRPr="00727DFA">
              <w:rPr>
                <w:rFonts w:eastAsia="Times New Roman"/>
                <w:i/>
                <w:iCs/>
                <w:szCs w:val="24"/>
              </w:rPr>
              <w:t>E. coli</w:t>
            </w:r>
          </w:p>
        </w:tc>
      </w:tr>
      <w:tr w:rsidR="007B485D" w:rsidRPr="00727DFA" w14:paraId="56F3C02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6BFBFA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529421D"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Adult</w:t>
            </w:r>
          </w:p>
          <w:p w14:paraId="5ADA2C73"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Urinary-tract infections:</w:t>
            </w:r>
            <w:r w:rsidRPr="00727DFA">
              <w:rPr>
                <w:rFonts w:eastAsia="Times New Roman"/>
                <w:b/>
                <w:szCs w:val="24"/>
              </w:rPr>
              <w:t xml:space="preserve"> </w:t>
            </w:r>
            <w:r w:rsidRPr="00727DFA">
              <w:rPr>
                <w:rFonts w:eastAsia="Times New Roman"/>
                <w:szCs w:val="24"/>
              </w:rPr>
              <w:t xml:space="preserve">400 mg twice daily for 7 – 10 days (for 3 days in uncomplicated lower urinary tract infections) </w:t>
            </w:r>
          </w:p>
          <w:p w14:paraId="7EE8106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Chronic relapsing urinary tract infections:</w:t>
            </w:r>
            <w:r w:rsidRPr="00727DFA">
              <w:rPr>
                <w:rFonts w:eastAsia="Times New Roman"/>
                <w:szCs w:val="24"/>
              </w:rPr>
              <w:t xml:space="preserve"> 400 mg twice daily for up to 12 weeks; may be reduced to 400 mg once daily if adequate suppression within first 4 weeks </w:t>
            </w:r>
          </w:p>
          <w:p w14:paraId="27CAAE2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Uncomplicated gonorrhea:</w:t>
            </w:r>
            <w:r w:rsidRPr="00727DFA">
              <w:rPr>
                <w:rFonts w:eastAsia="Times New Roman"/>
                <w:szCs w:val="24"/>
              </w:rPr>
              <w:t xml:space="preserve"> 800 mg in a single dose oral</w:t>
            </w:r>
          </w:p>
          <w:p w14:paraId="258769D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Chronic prostatitis:</w:t>
            </w:r>
            <w:r w:rsidRPr="00727DFA">
              <w:rPr>
                <w:rFonts w:eastAsia="Times New Roman"/>
                <w:szCs w:val="24"/>
              </w:rPr>
              <w:t xml:space="preserve"> 400 mg twice daily for 28 days </w:t>
            </w:r>
          </w:p>
        </w:tc>
      </w:tr>
      <w:tr w:rsidR="007B485D" w:rsidRPr="00727DFA" w14:paraId="09D8CCF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20A09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EBCBE2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Hypersensitivity to </w:t>
            </w:r>
            <w:r>
              <w:rPr>
                <w:rFonts w:eastAsia="Times New Roman"/>
                <w:szCs w:val="24"/>
              </w:rPr>
              <w:t xml:space="preserve">the drug or </w:t>
            </w:r>
            <w:r w:rsidRPr="00727DFA">
              <w:rPr>
                <w:rFonts w:eastAsia="Times New Roman"/>
                <w:szCs w:val="24"/>
              </w:rPr>
              <w:t>any</w:t>
            </w:r>
            <w:r>
              <w:rPr>
                <w:rFonts w:eastAsia="Times New Roman"/>
                <w:szCs w:val="24"/>
              </w:rPr>
              <w:t xml:space="preserve"> other</w:t>
            </w:r>
            <w:r w:rsidRPr="00727DFA">
              <w:rPr>
                <w:rFonts w:eastAsia="Times New Roman"/>
                <w:szCs w:val="24"/>
              </w:rPr>
              <w:t xml:space="preserve"> quinolone</w:t>
            </w:r>
            <w:r>
              <w:rPr>
                <w:rFonts w:eastAsia="Times New Roman"/>
                <w:szCs w:val="24"/>
              </w:rPr>
              <w:t>.</w:t>
            </w:r>
          </w:p>
        </w:tc>
      </w:tr>
      <w:tr w:rsidR="007B485D" w:rsidRPr="00727DFA" w14:paraId="6E9151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3B186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F244C56"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 ciprofloxacin.</w:t>
            </w:r>
          </w:p>
        </w:tc>
      </w:tr>
      <w:tr w:rsidR="007B485D" w:rsidRPr="00727DFA" w14:paraId="1408BB3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7DFBA2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CF4BD2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Rash, itch</w:t>
            </w:r>
            <w:r>
              <w:rPr>
                <w:rFonts w:eastAsia="Times New Roman"/>
                <w:szCs w:val="24"/>
              </w:rPr>
              <w:t>ing</w:t>
            </w:r>
            <w:r w:rsidRPr="00727DFA">
              <w:rPr>
                <w:rFonts w:eastAsia="Times New Roman"/>
                <w:szCs w:val="24"/>
              </w:rPr>
              <w:t>, GI intolerance, metallic taste, headache, dizziness, insomnia, depression, restlessness, tremors, arthralgia, arthritis, myalgia, tendinitis, raised liver enzymes, erythema, pain or thrombophlebitis at IV infusion site, euphoria, anxiety, tinnitus, polyneuropathy, exfoliative dermatitis, pancreatitis, vasculitis</w:t>
            </w:r>
            <w:r>
              <w:rPr>
                <w:rFonts w:eastAsia="Times New Roman"/>
                <w:szCs w:val="24"/>
              </w:rPr>
              <w:t>.</w:t>
            </w:r>
          </w:p>
        </w:tc>
      </w:tr>
      <w:tr w:rsidR="007B485D" w:rsidRPr="00727DFA" w14:paraId="2943522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01E14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92B32AA"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ciprofloxacin</w:t>
            </w:r>
            <w:r>
              <w:rPr>
                <w:rFonts w:eastAsia="Times New Roman"/>
                <w:szCs w:val="24"/>
              </w:rPr>
              <w:t>.</w:t>
            </w:r>
            <w:r w:rsidRPr="00727DFA">
              <w:rPr>
                <w:rFonts w:eastAsia="Times New Roman"/>
                <w:szCs w:val="24"/>
              </w:rPr>
              <w:t xml:space="preserve"> </w:t>
            </w:r>
          </w:p>
        </w:tc>
      </w:tr>
      <w:tr w:rsidR="007B485D" w:rsidRPr="00727DFA" w14:paraId="16D381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B2F34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A2B366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 °C</w:t>
            </w:r>
            <w:r>
              <w:rPr>
                <w:rFonts w:eastAsia="Times New Roman"/>
                <w:szCs w:val="24"/>
              </w:rPr>
              <w:t>.</w:t>
            </w:r>
          </w:p>
        </w:tc>
      </w:tr>
    </w:tbl>
    <w:p w14:paraId="4B2E7597" w14:textId="77777777" w:rsidR="007B485D" w:rsidRPr="00BC0421" w:rsidRDefault="007B485D" w:rsidP="00BC0421">
      <w:pPr>
        <w:spacing w:before="240"/>
        <w:rPr>
          <w:rFonts w:ascii="Calibri Light" w:eastAsia="DengXian Light" w:hAnsi="Calibri Light"/>
          <w:b/>
        </w:rPr>
      </w:pPr>
      <w:r w:rsidRPr="00BC0421">
        <w:rPr>
          <w:rFonts w:eastAsia="DengXian Light"/>
          <w:b/>
        </w:rPr>
        <w:t>Tetracycline</w:t>
      </w:r>
    </w:p>
    <w:p w14:paraId="506201EA" w14:textId="77777777" w:rsidR="007B485D" w:rsidRPr="00727DFA" w:rsidRDefault="007B485D" w:rsidP="007B485D">
      <w:pPr>
        <w:widowControl w:val="0"/>
        <w:autoSpaceDE w:val="0"/>
        <w:autoSpaceDN w:val="0"/>
        <w:spacing w:after="0"/>
        <w:jc w:val="both"/>
        <w:rPr>
          <w:rFonts w:eastAsia="Times New Roman" w:cs="Times New Roman"/>
          <w:kern w:val="0"/>
          <w:szCs w:val="24"/>
        </w:rPr>
      </w:pPr>
      <w:r w:rsidRPr="00727DFA">
        <w:rPr>
          <w:rFonts w:eastAsia="DengXian" w:cs="Times New Roman"/>
          <w:szCs w:val="24"/>
        </w:rPr>
        <w:t xml:space="preserve">Tetracyclines are broad-spectrum bacteriostatic antibiotics that inhibit protein synthesis. </w:t>
      </w:r>
      <w:r w:rsidRPr="00727DFA">
        <w:rPr>
          <w:rFonts w:eastAsia="Times New Roman" w:cs="Times New Roman"/>
          <w:kern w:val="0"/>
          <w:szCs w:val="24"/>
        </w:rPr>
        <w:t>Their</w:t>
      </w:r>
      <w:r w:rsidRPr="00727DFA">
        <w:rPr>
          <w:rFonts w:eastAsia="Times New Roman" w:cs="Times New Roman"/>
          <w:spacing w:val="1"/>
          <w:kern w:val="0"/>
          <w:szCs w:val="24"/>
        </w:rPr>
        <w:t xml:space="preserve"> </w:t>
      </w:r>
      <w:r w:rsidRPr="00727DFA">
        <w:rPr>
          <w:rFonts w:eastAsia="Times New Roman" w:cs="Times New Roman"/>
          <w:kern w:val="0"/>
          <w:szCs w:val="24"/>
        </w:rPr>
        <w:t>activity</w:t>
      </w:r>
      <w:r w:rsidRPr="00727DFA">
        <w:rPr>
          <w:rFonts w:eastAsia="Times New Roman" w:cs="Times New Roman"/>
          <w:spacing w:val="1"/>
          <w:kern w:val="0"/>
          <w:szCs w:val="24"/>
        </w:rPr>
        <w:t xml:space="preserve"> </w:t>
      </w:r>
      <w:r w:rsidRPr="00727DFA">
        <w:rPr>
          <w:rFonts w:eastAsia="Times New Roman" w:cs="Times New Roman"/>
          <w:kern w:val="0"/>
          <w:szCs w:val="24"/>
        </w:rPr>
        <w:t xml:space="preserve">spectrum includes Gram-positive and Gram-negative bacteria. </w:t>
      </w:r>
      <w:r>
        <w:rPr>
          <w:rFonts w:eastAsia="Times New Roman" w:cs="Times New Roman"/>
          <w:kern w:val="0"/>
          <w:szCs w:val="24"/>
        </w:rPr>
        <w:t xml:space="preserve">Despite </w:t>
      </w:r>
      <w:r w:rsidRPr="00727DFA">
        <w:rPr>
          <w:rFonts w:eastAsia="Times New Roman" w:cs="Times New Roman"/>
          <w:kern w:val="0"/>
          <w:szCs w:val="24"/>
        </w:rPr>
        <w:t>increasing bacterial resistance (especially by oral streptococci)</w:t>
      </w:r>
      <w:r>
        <w:rPr>
          <w:rFonts w:eastAsia="Times New Roman" w:cs="Times New Roman"/>
          <w:kern w:val="0"/>
          <w:szCs w:val="24"/>
        </w:rPr>
        <w:t>, they</w:t>
      </w:r>
      <w:r w:rsidRPr="00727DFA">
        <w:rPr>
          <w:rFonts w:eastAsia="Times New Roman" w:cs="Times New Roman"/>
          <w:kern w:val="0"/>
          <w:szCs w:val="24"/>
        </w:rPr>
        <w:t xml:space="preserve"> remain</w:t>
      </w:r>
      <w:r>
        <w:rPr>
          <w:rFonts w:eastAsia="Times New Roman" w:cs="Times New Roman"/>
          <w:kern w:val="0"/>
          <w:szCs w:val="24"/>
        </w:rPr>
        <w:t xml:space="preserve"> </w:t>
      </w:r>
      <w:r w:rsidRPr="00727DFA">
        <w:rPr>
          <w:rFonts w:eastAsia="Times New Roman" w:cs="Times New Roman"/>
          <w:kern w:val="0"/>
          <w:szCs w:val="24"/>
        </w:rPr>
        <w:t xml:space="preserve">the treatment of choice for infections caused by chlamydia (trachoma, psittacosis, salpingitis, urethritis, and lymphogranuloma venereum), rickettsia (including Q-fever). They are often used in combination with other antibiotics. </w:t>
      </w:r>
    </w:p>
    <w:p w14:paraId="5AF0429A" w14:textId="77777777" w:rsidR="007B485D" w:rsidRPr="00727DFA" w:rsidRDefault="007B485D" w:rsidP="00BC0421">
      <w:pPr>
        <w:widowControl w:val="0"/>
        <w:autoSpaceDE w:val="0"/>
        <w:autoSpaceDN w:val="0"/>
        <w:spacing w:before="240"/>
        <w:jc w:val="both"/>
        <w:rPr>
          <w:rFonts w:eastAsia="Times New Roman" w:cs="Times New Roman"/>
          <w:kern w:val="0"/>
          <w:szCs w:val="24"/>
        </w:rPr>
      </w:pPr>
      <w:r w:rsidRPr="00727DFA">
        <w:rPr>
          <w:rFonts w:eastAsia="Times New Roman" w:cs="Times New Roman"/>
          <w:kern w:val="0"/>
          <w:szCs w:val="24"/>
        </w:rPr>
        <w:t>Doxycycline is a second-generation tetracycline and is a broad- spectrum antibiotic</w:t>
      </w:r>
      <w:r w:rsidRPr="00727DFA">
        <w:rPr>
          <w:rFonts w:eastAsia="Times New Roman" w:cs="Times New Roman"/>
          <w:spacing w:val="-57"/>
          <w:kern w:val="0"/>
          <w:szCs w:val="24"/>
        </w:rPr>
        <w:t xml:space="preserve">          </w:t>
      </w:r>
      <w:r w:rsidRPr="00727DFA">
        <w:rPr>
          <w:rFonts w:eastAsia="Times New Roman" w:cs="Times New Roman"/>
          <w:kern w:val="0"/>
          <w:szCs w:val="24"/>
        </w:rPr>
        <w:t>effective</w:t>
      </w:r>
      <w:r w:rsidRPr="00727DFA">
        <w:rPr>
          <w:rFonts w:eastAsia="Times New Roman" w:cs="Times New Roman"/>
          <w:spacing w:val="1"/>
          <w:kern w:val="0"/>
          <w:szCs w:val="24"/>
        </w:rPr>
        <w:t xml:space="preserve"> </w:t>
      </w:r>
      <w:r w:rsidRPr="00727DFA">
        <w:rPr>
          <w:rFonts w:eastAsia="Times New Roman" w:cs="Times New Roman"/>
          <w:kern w:val="0"/>
          <w:szCs w:val="24"/>
        </w:rPr>
        <w:t>for</w:t>
      </w:r>
      <w:r w:rsidRPr="00727DFA">
        <w:rPr>
          <w:rFonts w:eastAsia="Times New Roman" w:cs="Times New Roman"/>
          <w:spacing w:val="1"/>
          <w:kern w:val="0"/>
          <w:szCs w:val="24"/>
        </w:rPr>
        <w:t xml:space="preserve"> </w:t>
      </w:r>
      <w:r w:rsidRPr="00727DFA">
        <w:rPr>
          <w:rFonts w:eastAsia="Times New Roman" w:cs="Times New Roman"/>
          <w:kern w:val="0"/>
          <w:szCs w:val="24"/>
        </w:rPr>
        <w:t>conditions</w:t>
      </w:r>
      <w:r w:rsidRPr="00727DFA">
        <w:rPr>
          <w:rFonts w:eastAsia="Times New Roman" w:cs="Times New Roman"/>
          <w:spacing w:val="1"/>
          <w:kern w:val="0"/>
          <w:szCs w:val="24"/>
        </w:rPr>
        <w:t xml:space="preserve"> </w:t>
      </w:r>
      <w:r w:rsidRPr="00727DFA">
        <w:rPr>
          <w:rFonts w:eastAsia="Times New Roman" w:cs="Times New Roman"/>
          <w:kern w:val="0"/>
          <w:szCs w:val="24"/>
        </w:rPr>
        <w:t>caused</w:t>
      </w:r>
      <w:r w:rsidRPr="00727DFA">
        <w:rPr>
          <w:rFonts w:eastAsia="Times New Roman" w:cs="Times New Roman"/>
          <w:spacing w:val="1"/>
          <w:kern w:val="0"/>
          <w:szCs w:val="24"/>
        </w:rPr>
        <w:t xml:space="preserve"> </w:t>
      </w:r>
      <w:r w:rsidRPr="00727DFA">
        <w:rPr>
          <w:rFonts w:eastAsia="Times New Roman" w:cs="Times New Roman"/>
          <w:kern w:val="0"/>
          <w:szCs w:val="24"/>
        </w:rPr>
        <w:t>by</w:t>
      </w:r>
      <w:r w:rsidRPr="00727DFA">
        <w:rPr>
          <w:rFonts w:eastAsia="Times New Roman" w:cs="Times New Roman"/>
          <w:spacing w:val="1"/>
          <w:kern w:val="0"/>
          <w:szCs w:val="24"/>
        </w:rPr>
        <w:t xml:space="preserve"> </w:t>
      </w:r>
      <w:r w:rsidRPr="00727DFA">
        <w:rPr>
          <w:rFonts w:eastAsia="Times New Roman" w:cs="Times New Roman"/>
          <w:kern w:val="0"/>
          <w:szCs w:val="24"/>
        </w:rPr>
        <w:t>chlamydia,</w:t>
      </w:r>
      <w:r w:rsidRPr="00727DFA">
        <w:rPr>
          <w:rFonts w:eastAsia="Times New Roman" w:cs="Times New Roman"/>
          <w:spacing w:val="61"/>
          <w:kern w:val="0"/>
          <w:szCs w:val="24"/>
        </w:rPr>
        <w:t xml:space="preserve"> </w:t>
      </w:r>
      <w:r w:rsidRPr="00727DFA">
        <w:rPr>
          <w:rFonts w:eastAsia="Times New Roman" w:cs="Times New Roman"/>
          <w:kern w:val="0"/>
          <w:szCs w:val="24"/>
        </w:rPr>
        <w:t>rickettsia,</w:t>
      </w:r>
      <w:r w:rsidRPr="00727DFA">
        <w:rPr>
          <w:rFonts w:eastAsia="Times New Roman" w:cs="Times New Roman"/>
          <w:spacing w:val="1"/>
          <w:kern w:val="0"/>
          <w:szCs w:val="24"/>
        </w:rPr>
        <w:t xml:space="preserve"> </w:t>
      </w:r>
      <w:r w:rsidRPr="00727DFA">
        <w:rPr>
          <w:rFonts w:eastAsia="Times New Roman" w:cs="Times New Roman"/>
          <w:kern w:val="0"/>
          <w:szCs w:val="24"/>
        </w:rPr>
        <w:t xml:space="preserve">brucella and spirochaete, </w:t>
      </w:r>
      <w:r w:rsidRPr="00727DFA">
        <w:rPr>
          <w:rFonts w:eastAsia="Times New Roman" w:cs="Times New Roman"/>
          <w:i/>
          <w:iCs/>
          <w:kern w:val="0"/>
          <w:szCs w:val="24"/>
        </w:rPr>
        <w:t>Borrelia burgdorferi</w:t>
      </w:r>
      <w:r w:rsidRPr="00727DFA">
        <w:rPr>
          <w:rFonts w:eastAsia="Times New Roman" w:cs="Times New Roman"/>
          <w:kern w:val="0"/>
          <w:szCs w:val="24"/>
        </w:rPr>
        <w:t xml:space="preserve"> (Lyme disease). It </w:t>
      </w:r>
      <w:r w:rsidRPr="00727DFA">
        <w:rPr>
          <w:rFonts w:eastAsia="Times New Roman" w:cs="Times New Roman"/>
          <w:spacing w:val="-57"/>
          <w:kern w:val="0"/>
          <w:szCs w:val="24"/>
        </w:rPr>
        <w:t>is</w:t>
      </w:r>
      <w:r w:rsidRPr="00727DFA">
        <w:rPr>
          <w:rFonts w:eastAsia="Times New Roman" w:cs="Times New Roman"/>
          <w:spacing w:val="1"/>
          <w:kern w:val="0"/>
          <w:szCs w:val="24"/>
        </w:rPr>
        <w:t xml:space="preserve"> </w:t>
      </w:r>
      <w:r w:rsidRPr="00727DFA">
        <w:rPr>
          <w:rFonts w:eastAsia="Times New Roman" w:cs="Times New Roman"/>
          <w:kern w:val="0"/>
          <w:szCs w:val="24"/>
        </w:rPr>
        <w:t>a</w:t>
      </w:r>
      <w:r w:rsidRPr="00727DFA">
        <w:rPr>
          <w:rFonts w:eastAsia="Times New Roman" w:cs="Times New Roman"/>
          <w:spacing w:val="1"/>
          <w:kern w:val="0"/>
          <w:szCs w:val="24"/>
        </w:rPr>
        <w:t xml:space="preserve"> </w:t>
      </w:r>
      <w:r w:rsidRPr="00727DFA">
        <w:rPr>
          <w:rFonts w:eastAsia="Times New Roman" w:cs="Times New Roman"/>
          <w:kern w:val="0"/>
          <w:szCs w:val="24"/>
        </w:rPr>
        <w:t>preferred</w:t>
      </w:r>
      <w:r w:rsidRPr="00727DFA">
        <w:rPr>
          <w:rFonts w:eastAsia="Times New Roman" w:cs="Times New Roman"/>
          <w:spacing w:val="1"/>
          <w:kern w:val="0"/>
          <w:szCs w:val="24"/>
        </w:rPr>
        <w:t xml:space="preserve"> </w:t>
      </w:r>
      <w:r w:rsidRPr="00727DFA">
        <w:rPr>
          <w:rFonts w:eastAsia="Times New Roman" w:cs="Times New Roman"/>
          <w:kern w:val="0"/>
          <w:szCs w:val="24"/>
        </w:rPr>
        <w:t>tetracycline</w:t>
      </w:r>
      <w:r w:rsidRPr="00727DFA">
        <w:rPr>
          <w:rFonts w:eastAsia="Times New Roman" w:cs="Times New Roman"/>
          <w:spacing w:val="1"/>
          <w:kern w:val="0"/>
          <w:szCs w:val="24"/>
        </w:rPr>
        <w:t xml:space="preserve"> </w:t>
      </w:r>
      <w:r w:rsidRPr="00727DFA">
        <w:rPr>
          <w:rFonts w:eastAsia="Times New Roman" w:cs="Times New Roman"/>
          <w:kern w:val="0"/>
          <w:szCs w:val="24"/>
        </w:rPr>
        <w:t>since</w:t>
      </w:r>
      <w:r w:rsidRPr="00727DFA">
        <w:rPr>
          <w:rFonts w:eastAsia="Times New Roman" w:cs="Times New Roman"/>
          <w:spacing w:val="1"/>
          <w:kern w:val="0"/>
          <w:szCs w:val="24"/>
        </w:rPr>
        <w:t xml:space="preserve"> </w:t>
      </w:r>
      <w:r w:rsidRPr="00727DFA">
        <w:rPr>
          <w:rFonts w:eastAsia="Times New Roman" w:cs="Times New Roman"/>
          <w:kern w:val="0"/>
          <w:szCs w:val="24"/>
        </w:rPr>
        <w:t>it</w:t>
      </w:r>
      <w:r w:rsidRPr="00727DFA">
        <w:rPr>
          <w:rFonts w:eastAsia="Times New Roman" w:cs="Times New Roman"/>
          <w:spacing w:val="1"/>
          <w:kern w:val="0"/>
          <w:szCs w:val="24"/>
        </w:rPr>
        <w:t xml:space="preserve"> </w:t>
      </w:r>
      <w:r w:rsidRPr="00727DFA">
        <w:rPr>
          <w:rFonts w:eastAsia="Times New Roman" w:cs="Times New Roman"/>
          <w:kern w:val="0"/>
          <w:szCs w:val="24"/>
        </w:rPr>
        <w:t>has</w:t>
      </w:r>
      <w:r w:rsidRPr="00727DFA">
        <w:rPr>
          <w:rFonts w:eastAsia="Times New Roman" w:cs="Times New Roman"/>
          <w:spacing w:val="1"/>
          <w:kern w:val="0"/>
          <w:szCs w:val="24"/>
        </w:rPr>
        <w:t xml:space="preserve"> </w:t>
      </w:r>
      <w:r w:rsidRPr="00727DFA">
        <w:rPr>
          <w:rFonts w:eastAsia="Times New Roman" w:cs="Times New Roman"/>
          <w:kern w:val="0"/>
          <w:szCs w:val="24"/>
        </w:rPr>
        <w:t>a</w:t>
      </w:r>
      <w:r w:rsidRPr="00727DFA">
        <w:rPr>
          <w:rFonts w:eastAsia="Times New Roman" w:cs="Times New Roman"/>
          <w:spacing w:val="1"/>
          <w:kern w:val="0"/>
          <w:szCs w:val="24"/>
        </w:rPr>
        <w:t xml:space="preserve"> </w:t>
      </w:r>
      <w:r w:rsidRPr="00727DFA">
        <w:rPr>
          <w:rFonts w:eastAsia="Times New Roman" w:cs="Times New Roman"/>
          <w:kern w:val="0"/>
          <w:szCs w:val="24"/>
        </w:rPr>
        <w:t>more</w:t>
      </w:r>
      <w:r w:rsidRPr="00727DFA">
        <w:rPr>
          <w:rFonts w:eastAsia="Times New Roman" w:cs="Times New Roman"/>
          <w:spacing w:val="1"/>
          <w:kern w:val="0"/>
          <w:szCs w:val="24"/>
        </w:rPr>
        <w:t xml:space="preserve"> </w:t>
      </w:r>
      <w:r w:rsidRPr="00727DFA">
        <w:rPr>
          <w:rFonts w:eastAsia="Times New Roman" w:cs="Times New Roman"/>
          <w:kern w:val="0"/>
          <w:szCs w:val="24"/>
        </w:rPr>
        <w:t>favorable</w:t>
      </w:r>
      <w:r w:rsidRPr="00727DFA">
        <w:rPr>
          <w:rFonts w:eastAsia="Times New Roman" w:cs="Times New Roman"/>
          <w:spacing w:val="1"/>
          <w:kern w:val="0"/>
          <w:szCs w:val="24"/>
        </w:rPr>
        <w:t xml:space="preserve"> </w:t>
      </w:r>
      <w:r w:rsidRPr="00727DFA">
        <w:rPr>
          <w:rFonts w:eastAsia="Times New Roman" w:cs="Times New Roman"/>
          <w:kern w:val="0"/>
          <w:szCs w:val="24"/>
        </w:rPr>
        <w:t>pharmacokinetic</w:t>
      </w:r>
      <w:r w:rsidRPr="00727DFA">
        <w:rPr>
          <w:rFonts w:eastAsia="Times New Roman" w:cs="Times New Roman"/>
          <w:spacing w:val="-2"/>
          <w:kern w:val="0"/>
          <w:szCs w:val="24"/>
        </w:rPr>
        <w:t xml:space="preserve"> </w:t>
      </w:r>
      <w:r w:rsidRPr="00727DFA">
        <w:rPr>
          <w:rFonts w:eastAsia="Times New Roman" w:cs="Times New Roman"/>
          <w:kern w:val="0"/>
          <w:szCs w:val="24"/>
        </w:rPr>
        <w:t>profile</w:t>
      </w:r>
      <w:r w:rsidRPr="00727DFA">
        <w:rPr>
          <w:rFonts w:eastAsia="Times New Roman" w:cs="Times New Roman"/>
          <w:spacing w:val="-1"/>
          <w:kern w:val="0"/>
          <w:szCs w:val="24"/>
        </w:rPr>
        <w:t xml:space="preserve"> </w:t>
      </w:r>
      <w:r w:rsidRPr="00727DFA">
        <w:rPr>
          <w:rFonts w:eastAsia="Times New Roman" w:cs="Times New Roman"/>
          <w:kern w:val="0"/>
          <w:szCs w:val="24"/>
        </w:rPr>
        <w:t>than tetracycline.</w:t>
      </w:r>
    </w:p>
    <w:tbl>
      <w:tblPr>
        <w:tblStyle w:val="TableGrid"/>
        <w:tblW w:w="0" w:type="auto"/>
        <w:tblLook w:val="04A0" w:firstRow="1" w:lastRow="0" w:firstColumn="1" w:lastColumn="0" w:noHBand="0" w:noVBand="1"/>
      </w:tblPr>
      <w:tblGrid>
        <w:gridCol w:w="2605"/>
        <w:gridCol w:w="6745"/>
      </w:tblGrid>
      <w:tr w:rsidR="007B485D" w:rsidRPr="00727DFA" w14:paraId="522E36E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E37EA8E" w14:textId="77777777" w:rsidR="007B485D" w:rsidRPr="00727DFA" w:rsidRDefault="007B485D" w:rsidP="002D6DD7">
            <w:pPr>
              <w:jc w:val="both"/>
              <w:rPr>
                <w:rFonts w:eastAsia="DengXian"/>
                <w:szCs w:val="24"/>
              </w:rPr>
            </w:pPr>
            <w:r w:rsidRPr="00727DFA">
              <w:rPr>
                <w:rFonts w:eastAsia="Times New Roman"/>
                <w:b/>
                <w:szCs w:val="24"/>
              </w:rPr>
              <w:t>Doxycycline</w:t>
            </w:r>
            <w:r>
              <w:rPr>
                <w:rFonts w:eastAsia="Times New Roman"/>
                <w:b/>
                <w:szCs w:val="24"/>
              </w:rPr>
              <w:t xml:space="preserve"> </w:t>
            </w:r>
            <w:r w:rsidRPr="00873AF2">
              <w:rPr>
                <w:rFonts w:eastAsia="Times New Roman"/>
                <w:b/>
                <w:szCs w:val="24"/>
              </w:rPr>
              <w:t>(Access</w:t>
            </w:r>
            <w:r w:rsidRPr="00873AF2">
              <w:rPr>
                <w:rFonts w:eastAsia="Times New Roman"/>
                <w:b/>
                <w:spacing w:val="1"/>
                <w:szCs w:val="24"/>
              </w:rPr>
              <w:t>)</w:t>
            </w:r>
          </w:p>
        </w:tc>
      </w:tr>
      <w:tr w:rsidR="007B485D" w:rsidRPr="00727DFA" w14:paraId="2519897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FD3CA5"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B0C6206" w14:textId="77777777" w:rsidR="007B485D" w:rsidRPr="00727DFA" w:rsidRDefault="007B485D" w:rsidP="002D6DD7">
            <w:pPr>
              <w:jc w:val="both"/>
              <w:rPr>
                <w:rFonts w:eastAsia="DengXian"/>
                <w:szCs w:val="24"/>
              </w:rPr>
            </w:pPr>
            <w:r w:rsidRPr="00727DFA">
              <w:rPr>
                <w:rFonts w:eastAsia="DengXian"/>
                <w:szCs w:val="24"/>
              </w:rPr>
              <w:t>Second generation tetracycline</w:t>
            </w:r>
          </w:p>
        </w:tc>
      </w:tr>
      <w:tr w:rsidR="007B485D" w:rsidRPr="00727DFA" w14:paraId="7B5904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BAD1A0"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D08C098" w14:textId="77777777" w:rsidR="007B485D" w:rsidRPr="00727DFA" w:rsidRDefault="007B485D" w:rsidP="002D6DD7">
            <w:pPr>
              <w:jc w:val="both"/>
              <w:rPr>
                <w:rFonts w:eastAsia="Times New Roman"/>
                <w:szCs w:val="24"/>
              </w:rPr>
            </w:pPr>
            <w:r w:rsidRPr="00727DFA">
              <w:rPr>
                <w:rFonts w:eastAsia="Times New Roman"/>
                <w:szCs w:val="24"/>
              </w:rPr>
              <w:t>Tablet/Capsule: 100mg</w:t>
            </w:r>
          </w:p>
          <w:p w14:paraId="73D1360C" w14:textId="77777777" w:rsidR="007B485D" w:rsidRPr="00727DFA" w:rsidRDefault="007B485D" w:rsidP="002D6DD7">
            <w:pPr>
              <w:jc w:val="both"/>
              <w:rPr>
                <w:rFonts w:eastAsia="Times New Roman"/>
                <w:szCs w:val="24"/>
              </w:rPr>
            </w:pPr>
            <w:r w:rsidRPr="00727DFA">
              <w:rPr>
                <w:rFonts w:eastAsia="Times New Roman"/>
                <w:szCs w:val="24"/>
              </w:rPr>
              <w:t>Powder for oral liquid: 25 mg/5 mL (monohydrate)</w:t>
            </w:r>
          </w:p>
          <w:p w14:paraId="3C13585B" w14:textId="77777777" w:rsidR="007B485D" w:rsidRPr="00727DFA" w:rsidRDefault="007B485D" w:rsidP="002D6DD7">
            <w:pPr>
              <w:jc w:val="both"/>
              <w:rPr>
                <w:rFonts w:eastAsia="Times New Roman"/>
                <w:szCs w:val="24"/>
              </w:rPr>
            </w:pPr>
            <w:r w:rsidRPr="00727DFA">
              <w:rPr>
                <w:rFonts w:eastAsia="Times New Roman"/>
                <w:szCs w:val="24"/>
              </w:rPr>
              <w:t>Oral liquid: 50 mg/5 mL (calcium)</w:t>
            </w:r>
          </w:p>
          <w:p w14:paraId="4D316769" w14:textId="77777777" w:rsidR="007B485D" w:rsidRPr="00727DFA" w:rsidRDefault="007B485D" w:rsidP="002D6DD7">
            <w:pPr>
              <w:jc w:val="both"/>
              <w:rPr>
                <w:rFonts w:eastAsia="Times New Roman"/>
                <w:szCs w:val="24"/>
              </w:rPr>
            </w:pPr>
            <w:r w:rsidRPr="00727DFA">
              <w:rPr>
                <w:rFonts w:eastAsia="Times New Roman"/>
                <w:szCs w:val="24"/>
              </w:rPr>
              <w:t>Powder for injection: 100mg in vial</w:t>
            </w:r>
          </w:p>
        </w:tc>
      </w:tr>
      <w:tr w:rsidR="007B485D" w:rsidRPr="00727DFA" w14:paraId="0268B9E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0EAF25"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B61CFA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Respiratory tract infections,</w:t>
            </w:r>
            <w:r w:rsidRPr="00727DFA">
              <w:rPr>
                <w:rFonts w:eastAsia="Times New Roman"/>
                <w:spacing w:val="1"/>
                <w:szCs w:val="24"/>
              </w:rPr>
              <w:t xml:space="preserve"> </w:t>
            </w:r>
            <w:r>
              <w:rPr>
                <w:rFonts w:eastAsia="Times New Roman"/>
                <w:szCs w:val="24"/>
              </w:rPr>
              <w:t>g</w:t>
            </w:r>
            <w:r w:rsidRPr="00727DFA">
              <w:rPr>
                <w:rFonts w:eastAsia="Times New Roman"/>
                <w:szCs w:val="24"/>
              </w:rPr>
              <w:t>enito-urinary tract infections,</w:t>
            </w:r>
            <w:r w:rsidRPr="00727DFA">
              <w:rPr>
                <w:rFonts w:eastAsia="Times New Roman"/>
                <w:spacing w:val="1"/>
                <w:szCs w:val="24"/>
              </w:rPr>
              <w:t xml:space="preserve"> sexual transmitted diseases, </w:t>
            </w:r>
            <w:r w:rsidRPr="00727DFA">
              <w:rPr>
                <w:rFonts w:eastAsia="Times New Roman"/>
                <w:szCs w:val="24"/>
              </w:rPr>
              <w:t>Lyme</w:t>
            </w:r>
            <w:r w:rsidRPr="00727DFA">
              <w:rPr>
                <w:rFonts w:eastAsia="Times New Roman"/>
                <w:spacing w:val="1"/>
                <w:szCs w:val="24"/>
              </w:rPr>
              <w:t xml:space="preserve"> </w:t>
            </w:r>
            <w:r w:rsidRPr="00727DFA">
              <w:rPr>
                <w:rFonts w:eastAsia="Times New Roman"/>
                <w:szCs w:val="24"/>
              </w:rPr>
              <w:t>disease</w:t>
            </w:r>
            <w:r>
              <w:rPr>
                <w:rFonts w:eastAsia="Times New Roman"/>
                <w:szCs w:val="24"/>
              </w:rPr>
              <w:t>,</w:t>
            </w:r>
            <w:r w:rsidRPr="00727DFA">
              <w:rPr>
                <w:rFonts w:eastAsia="Times New Roman"/>
                <w:spacing w:val="1"/>
                <w:szCs w:val="24"/>
              </w:rPr>
              <w:t xml:space="preserve"> </w:t>
            </w:r>
            <w:r w:rsidRPr="00727DFA">
              <w:rPr>
                <w:rFonts w:eastAsia="Times New Roman"/>
                <w:szCs w:val="24"/>
              </w:rPr>
              <w:t>brucellosis</w:t>
            </w:r>
            <w:r w:rsidRPr="00727DFA">
              <w:rPr>
                <w:rFonts w:eastAsia="Times New Roman"/>
                <w:spacing w:val="1"/>
                <w:szCs w:val="24"/>
              </w:rPr>
              <w:t xml:space="preserve"> </w:t>
            </w:r>
            <w:r w:rsidRPr="00727DFA">
              <w:rPr>
                <w:rFonts w:eastAsia="Times New Roman"/>
                <w:szCs w:val="24"/>
              </w:rPr>
              <w:t>(with</w:t>
            </w:r>
            <w:r w:rsidRPr="00727DFA">
              <w:rPr>
                <w:rFonts w:eastAsia="Times New Roman"/>
                <w:spacing w:val="1"/>
                <w:szCs w:val="24"/>
              </w:rPr>
              <w:t xml:space="preserve"> </w:t>
            </w:r>
            <w:r w:rsidRPr="00727DFA">
              <w:rPr>
                <w:rFonts w:eastAsia="Times New Roman"/>
                <w:szCs w:val="24"/>
              </w:rPr>
              <w:t>rifampicin),</w:t>
            </w:r>
            <w:r w:rsidRPr="00727DFA">
              <w:rPr>
                <w:rFonts w:eastAsia="Times New Roman"/>
                <w:spacing w:val="1"/>
                <w:szCs w:val="24"/>
              </w:rPr>
              <w:t xml:space="preserve"> </w:t>
            </w:r>
            <w:r w:rsidRPr="00727DFA">
              <w:rPr>
                <w:rFonts w:eastAsia="Times New Roman"/>
                <w:szCs w:val="24"/>
              </w:rPr>
              <w:t>leptospirosis, scrub typhus, travellers’ diarrhea, psittacosis,</w:t>
            </w:r>
            <w:r w:rsidRPr="00727DFA">
              <w:rPr>
                <w:rFonts w:eastAsia="Times New Roman"/>
                <w:spacing w:val="1"/>
                <w:szCs w:val="24"/>
              </w:rPr>
              <w:t xml:space="preserve"> </w:t>
            </w:r>
            <w:r w:rsidRPr="00727DFA">
              <w:rPr>
                <w:rFonts w:eastAsia="Times New Roman"/>
                <w:szCs w:val="24"/>
              </w:rPr>
              <w:t>cholera,</w:t>
            </w:r>
            <w:r w:rsidRPr="00727DFA">
              <w:rPr>
                <w:rFonts w:eastAsia="Times New Roman"/>
                <w:spacing w:val="-1"/>
                <w:szCs w:val="24"/>
              </w:rPr>
              <w:t xml:space="preserve"> </w:t>
            </w:r>
            <w:r w:rsidRPr="00727DFA">
              <w:rPr>
                <w:rFonts w:eastAsia="Times New Roman"/>
                <w:szCs w:val="24"/>
              </w:rPr>
              <w:t>melioidosis, plague,</w:t>
            </w:r>
            <w:r w:rsidRPr="00727DFA">
              <w:rPr>
                <w:rFonts w:eastAsia="Times New Roman"/>
                <w:spacing w:val="2"/>
                <w:szCs w:val="24"/>
              </w:rPr>
              <w:t xml:space="preserve"> </w:t>
            </w:r>
            <w:r w:rsidRPr="00727DFA">
              <w:rPr>
                <w:rFonts w:eastAsia="Times New Roman"/>
                <w:szCs w:val="24"/>
              </w:rPr>
              <w:t>anthrax,</w:t>
            </w:r>
            <w:r w:rsidRPr="00727DFA">
              <w:rPr>
                <w:rFonts w:eastAsia="Times New Roman"/>
                <w:spacing w:val="-1"/>
                <w:szCs w:val="24"/>
              </w:rPr>
              <w:t xml:space="preserve"> </w:t>
            </w:r>
            <w:r w:rsidRPr="00727DFA">
              <w:rPr>
                <w:rFonts w:eastAsia="Times New Roman"/>
                <w:szCs w:val="24"/>
              </w:rPr>
              <w:t>Q</w:t>
            </w:r>
            <w:r w:rsidRPr="00727DFA">
              <w:rPr>
                <w:rFonts w:eastAsia="Times New Roman"/>
                <w:spacing w:val="-1"/>
                <w:szCs w:val="24"/>
              </w:rPr>
              <w:t xml:space="preserve"> </w:t>
            </w:r>
            <w:r w:rsidRPr="00727DFA">
              <w:rPr>
                <w:rFonts w:eastAsia="Times New Roman"/>
                <w:szCs w:val="24"/>
              </w:rPr>
              <w:t>fever, acne vulgaris</w:t>
            </w:r>
            <w:r>
              <w:rPr>
                <w:rFonts w:eastAsia="Times New Roman"/>
                <w:szCs w:val="24"/>
              </w:rPr>
              <w:t xml:space="preserve">, </w:t>
            </w:r>
            <w:r w:rsidRPr="00727DFA">
              <w:rPr>
                <w:rFonts w:eastAsia="Times New Roman"/>
                <w:szCs w:val="24"/>
              </w:rPr>
              <w:t>acne conglobata, malaria treatment and prophylaxis</w:t>
            </w:r>
            <w:r>
              <w:rPr>
                <w:rFonts w:eastAsia="Times New Roman"/>
                <w:szCs w:val="24"/>
              </w:rPr>
              <w:t>.</w:t>
            </w:r>
          </w:p>
        </w:tc>
      </w:tr>
      <w:tr w:rsidR="007B485D" w:rsidRPr="00727DFA" w14:paraId="03B64E0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B174AB"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60D5871C" w14:textId="77777777" w:rsidR="007B485D" w:rsidRPr="00727DFA" w:rsidRDefault="007B485D" w:rsidP="002D6DD7">
            <w:pPr>
              <w:jc w:val="both"/>
              <w:rPr>
                <w:rFonts w:eastAsia="DengXian"/>
                <w:szCs w:val="24"/>
              </w:rPr>
            </w:pPr>
            <w:r w:rsidRPr="00727DFA">
              <w:rPr>
                <w:rFonts w:eastAsia="DengXian"/>
                <w:b/>
                <w:bCs/>
                <w:szCs w:val="24"/>
              </w:rPr>
              <w:t>Infections</w:t>
            </w:r>
            <w:r w:rsidRPr="00727DFA">
              <w:rPr>
                <w:rFonts w:eastAsia="DengXian"/>
                <w:b/>
                <w:bCs/>
                <w:spacing w:val="1"/>
                <w:szCs w:val="24"/>
              </w:rPr>
              <w:t xml:space="preserve"> </w:t>
            </w:r>
            <w:r w:rsidRPr="00727DFA">
              <w:rPr>
                <w:rFonts w:eastAsia="DengXian"/>
                <w:b/>
                <w:bCs/>
                <w:szCs w:val="24"/>
              </w:rPr>
              <w:t>due</w:t>
            </w:r>
            <w:r w:rsidRPr="00727DFA">
              <w:rPr>
                <w:rFonts w:eastAsia="DengXian"/>
                <w:b/>
                <w:bCs/>
                <w:spacing w:val="1"/>
                <w:szCs w:val="24"/>
              </w:rPr>
              <w:t xml:space="preserve"> </w:t>
            </w:r>
            <w:r w:rsidRPr="00727DFA">
              <w:rPr>
                <w:rFonts w:eastAsia="DengXian"/>
                <w:b/>
                <w:bCs/>
                <w:szCs w:val="24"/>
              </w:rPr>
              <w:t>to</w:t>
            </w:r>
            <w:r w:rsidRPr="00727DFA">
              <w:rPr>
                <w:rFonts w:eastAsia="DengXian"/>
                <w:b/>
                <w:bCs/>
                <w:spacing w:val="1"/>
                <w:szCs w:val="24"/>
              </w:rPr>
              <w:t xml:space="preserve"> </w:t>
            </w:r>
            <w:r w:rsidRPr="00727DFA">
              <w:rPr>
                <w:rFonts w:eastAsia="DengXian"/>
                <w:b/>
                <w:bCs/>
                <w:szCs w:val="24"/>
              </w:rPr>
              <w:t>susceptible</w:t>
            </w:r>
            <w:r w:rsidRPr="00727DFA">
              <w:rPr>
                <w:rFonts w:eastAsia="DengXian"/>
                <w:b/>
                <w:bCs/>
                <w:spacing w:val="1"/>
                <w:szCs w:val="24"/>
              </w:rPr>
              <w:t xml:space="preserve"> </w:t>
            </w:r>
            <w:r w:rsidRPr="00727DFA">
              <w:rPr>
                <w:rFonts w:eastAsia="DengXian"/>
                <w:b/>
                <w:bCs/>
                <w:szCs w:val="24"/>
              </w:rPr>
              <w:t>organisms:</w:t>
            </w:r>
          </w:p>
          <w:p w14:paraId="7AAD1679" w14:textId="77777777" w:rsidR="007B485D" w:rsidRPr="00727DFA" w:rsidRDefault="007B485D" w:rsidP="002D6DD7">
            <w:pPr>
              <w:jc w:val="both"/>
              <w:rPr>
                <w:rFonts w:eastAsia="DengXian"/>
                <w:szCs w:val="24"/>
              </w:rPr>
            </w:pPr>
            <w:r w:rsidRPr="00727DFA">
              <w:rPr>
                <w:rFonts w:eastAsia="DengXian"/>
                <w:b/>
                <w:bCs/>
                <w:szCs w:val="24"/>
              </w:rPr>
              <w:t>Adult and Child over 8 years</w:t>
            </w:r>
            <w:r w:rsidRPr="00727DFA">
              <w:rPr>
                <w:rFonts w:eastAsia="DengXian"/>
                <w:szCs w:val="24"/>
              </w:rPr>
              <w:t>: 200 mg on first</w:t>
            </w:r>
            <w:r w:rsidRPr="00727DFA">
              <w:rPr>
                <w:rFonts w:eastAsia="DengXian"/>
                <w:spacing w:val="1"/>
                <w:szCs w:val="24"/>
              </w:rPr>
              <w:t xml:space="preserve"> </w:t>
            </w:r>
            <w:r w:rsidRPr="00727DFA">
              <w:rPr>
                <w:rFonts w:eastAsia="DengXian"/>
                <w:szCs w:val="24"/>
              </w:rPr>
              <w:t>day</w:t>
            </w:r>
            <w:r w:rsidRPr="00727DFA">
              <w:rPr>
                <w:rFonts w:eastAsia="DengXian"/>
                <w:spacing w:val="1"/>
                <w:szCs w:val="24"/>
              </w:rPr>
              <w:t xml:space="preserve"> </w:t>
            </w:r>
            <w:r w:rsidRPr="00727DFA">
              <w:rPr>
                <w:rFonts w:eastAsia="DengXian"/>
                <w:szCs w:val="24"/>
              </w:rPr>
              <w:t>then</w:t>
            </w:r>
            <w:r w:rsidRPr="00727DFA">
              <w:rPr>
                <w:rFonts w:eastAsia="DengXian"/>
                <w:spacing w:val="1"/>
                <w:szCs w:val="24"/>
              </w:rPr>
              <w:t xml:space="preserve"> </w:t>
            </w:r>
            <w:r w:rsidRPr="00727DFA">
              <w:rPr>
                <w:rFonts w:eastAsia="DengXian"/>
                <w:szCs w:val="24"/>
              </w:rPr>
              <w:t>100</w:t>
            </w:r>
            <w:r w:rsidRPr="00727DFA">
              <w:rPr>
                <w:rFonts w:eastAsia="DengXian"/>
                <w:spacing w:val="1"/>
                <w:szCs w:val="24"/>
              </w:rPr>
              <w:t xml:space="preserve"> </w:t>
            </w:r>
            <w:r w:rsidRPr="00727DFA">
              <w:rPr>
                <w:rFonts w:eastAsia="DengXian"/>
                <w:szCs w:val="24"/>
              </w:rPr>
              <w:t>mg</w:t>
            </w:r>
            <w:r w:rsidRPr="00727DFA">
              <w:rPr>
                <w:rFonts w:eastAsia="DengXian"/>
                <w:spacing w:val="1"/>
                <w:szCs w:val="24"/>
              </w:rPr>
              <w:t xml:space="preserve"> </w:t>
            </w:r>
            <w:r w:rsidRPr="00727DFA">
              <w:rPr>
                <w:rFonts w:eastAsia="DengXian"/>
                <w:szCs w:val="24"/>
              </w:rPr>
              <w:t>daily;</w:t>
            </w:r>
            <w:r w:rsidRPr="00727DFA">
              <w:rPr>
                <w:rFonts w:eastAsia="DengXian"/>
                <w:spacing w:val="1"/>
                <w:szCs w:val="24"/>
              </w:rPr>
              <w:t xml:space="preserve"> </w:t>
            </w:r>
            <w:r w:rsidRPr="00727DFA">
              <w:rPr>
                <w:rFonts w:eastAsia="DengXian"/>
                <w:szCs w:val="24"/>
              </w:rPr>
              <w:t>in</w:t>
            </w:r>
            <w:r w:rsidRPr="00727DFA">
              <w:rPr>
                <w:rFonts w:eastAsia="DengXian"/>
                <w:spacing w:val="1"/>
                <w:szCs w:val="24"/>
              </w:rPr>
              <w:t xml:space="preserve"> </w:t>
            </w:r>
            <w:r w:rsidRPr="00727DFA">
              <w:rPr>
                <w:rFonts w:eastAsia="DengXian"/>
                <w:szCs w:val="24"/>
              </w:rPr>
              <w:t>severe</w:t>
            </w:r>
            <w:r w:rsidRPr="00727DFA">
              <w:rPr>
                <w:rFonts w:eastAsia="DengXian"/>
                <w:spacing w:val="1"/>
                <w:szCs w:val="24"/>
              </w:rPr>
              <w:t xml:space="preserve"> </w:t>
            </w:r>
            <w:r w:rsidRPr="00727DFA">
              <w:rPr>
                <w:rFonts w:eastAsia="DengXian"/>
                <w:szCs w:val="24"/>
              </w:rPr>
              <w:t>infections,</w:t>
            </w:r>
            <w:r w:rsidRPr="00727DFA">
              <w:rPr>
                <w:rFonts w:eastAsia="DengXian"/>
                <w:spacing w:val="1"/>
                <w:szCs w:val="24"/>
              </w:rPr>
              <w:t xml:space="preserve"> </w:t>
            </w:r>
            <w:r w:rsidRPr="00727DFA">
              <w:rPr>
                <w:rFonts w:eastAsia="DengXian"/>
                <w:szCs w:val="24"/>
              </w:rPr>
              <w:t>200</w:t>
            </w:r>
            <w:r w:rsidRPr="00727DFA">
              <w:rPr>
                <w:rFonts w:eastAsia="DengXian"/>
                <w:spacing w:val="1"/>
                <w:szCs w:val="24"/>
              </w:rPr>
              <w:t xml:space="preserve"> </w:t>
            </w:r>
            <w:r w:rsidRPr="00727DFA">
              <w:rPr>
                <w:rFonts w:eastAsia="DengXian"/>
                <w:szCs w:val="24"/>
              </w:rPr>
              <w:t>mg</w:t>
            </w:r>
            <w:r w:rsidRPr="00727DFA">
              <w:rPr>
                <w:rFonts w:eastAsia="DengXian"/>
                <w:spacing w:val="1"/>
                <w:szCs w:val="24"/>
              </w:rPr>
              <w:t xml:space="preserve"> </w:t>
            </w:r>
            <w:r w:rsidRPr="00727DFA">
              <w:rPr>
                <w:rFonts w:eastAsia="DengXian"/>
                <w:szCs w:val="24"/>
              </w:rPr>
              <w:t xml:space="preserve">daily </w:t>
            </w:r>
          </w:p>
          <w:p w14:paraId="5D4424A7" w14:textId="77777777" w:rsidR="007B485D" w:rsidRPr="00727DFA" w:rsidRDefault="007B485D" w:rsidP="002D6DD7">
            <w:pPr>
              <w:jc w:val="both"/>
              <w:rPr>
                <w:rFonts w:eastAsia="DengXian"/>
                <w:szCs w:val="24"/>
              </w:rPr>
            </w:pPr>
            <w:r w:rsidRPr="00727DFA">
              <w:rPr>
                <w:rFonts w:eastAsia="DengXian"/>
                <w:b/>
                <w:bCs/>
                <w:szCs w:val="24"/>
              </w:rPr>
              <w:t>Syphilis</w:t>
            </w:r>
            <w:r w:rsidRPr="00727DFA">
              <w:rPr>
                <w:rFonts w:eastAsia="DengXian"/>
                <w:szCs w:val="24"/>
              </w:rPr>
              <w:t>:</w:t>
            </w:r>
          </w:p>
          <w:p w14:paraId="1A3F0EE2" w14:textId="77777777" w:rsidR="007B485D" w:rsidRPr="00727DFA" w:rsidRDefault="007B485D" w:rsidP="002D6DD7">
            <w:pPr>
              <w:jc w:val="both"/>
              <w:rPr>
                <w:rFonts w:eastAsia="DengXian"/>
                <w:spacing w:val="1"/>
                <w:szCs w:val="24"/>
              </w:rPr>
            </w:pPr>
            <w:r w:rsidRPr="00727DFA">
              <w:rPr>
                <w:rFonts w:eastAsia="DengXian"/>
                <w:b/>
                <w:bCs/>
                <w:szCs w:val="24"/>
              </w:rPr>
              <w:t>Adult</w:t>
            </w:r>
            <w:r w:rsidRPr="00727DFA">
              <w:rPr>
                <w:rFonts w:eastAsia="DengXian"/>
                <w:szCs w:val="24"/>
              </w:rPr>
              <w:t>: 200–300</w:t>
            </w:r>
            <w:r w:rsidRPr="00727DFA">
              <w:rPr>
                <w:rFonts w:eastAsia="DengXian"/>
                <w:spacing w:val="1"/>
                <w:szCs w:val="24"/>
              </w:rPr>
              <w:t xml:space="preserve"> </w:t>
            </w:r>
            <w:r w:rsidRPr="00727DFA">
              <w:rPr>
                <w:rFonts w:eastAsia="DengXian"/>
                <w:szCs w:val="24"/>
              </w:rPr>
              <w:t>mg daily in</w:t>
            </w:r>
            <w:r w:rsidRPr="00727DFA">
              <w:rPr>
                <w:rFonts w:eastAsia="DengXian"/>
                <w:spacing w:val="1"/>
                <w:szCs w:val="24"/>
              </w:rPr>
              <w:t xml:space="preserve"> </w:t>
            </w:r>
            <w:r w:rsidRPr="00727DFA">
              <w:rPr>
                <w:rFonts w:eastAsia="DengXian"/>
                <w:szCs w:val="24"/>
              </w:rPr>
              <w:t>1–2</w:t>
            </w:r>
            <w:r w:rsidRPr="00727DFA">
              <w:rPr>
                <w:rFonts w:eastAsia="DengXian"/>
                <w:spacing w:val="1"/>
                <w:szCs w:val="24"/>
              </w:rPr>
              <w:t xml:space="preserve"> </w:t>
            </w:r>
            <w:r w:rsidRPr="00727DFA">
              <w:rPr>
                <w:rFonts w:eastAsia="DengXian"/>
                <w:szCs w:val="24"/>
              </w:rPr>
              <w:t>divided</w:t>
            </w:r>
            <w:r w:rsidRPr="00727DFA">
              <w:rPr>
                <w:rFonts w:eastAsia="DengXian"/>
                <w:spacing w:val="1"/>
                <w:szCs w:val="24"/>
              </w:rPr>
              <w:t xml:space="preserve"> </w:t>
            </w:r>
            <w:r w:rsidRPr="00727DFA">
              <w:rPr>
                <w:rFonts w:eastAsia="DengXian"/>
                <w:szCs w:val="24"/>
              </w:rPr>
              <w:t>doses</w:t>
            </w:r>
          </w:p>
          <w:p w14:paraId="002AC361" w14:textId="77777777" w:rsidR="007B485D" w:rsidRPr="00727DFA" w:rsidRDefault="007B485D" w:rsidP="002D6DD7">
            <w:pPr>
              <w:jc w:val="both"/>
              <w:rPr>
                <w:rFonts w:eastAsia="DengXian"/>
                <w:szCs w:val="24"/>
              </w:rPr>
            </w:pPr>
            <w:r w:rsidRPr="00727DFA">
              <w:rPr>
                <w:rFonts w:eastAsia="DengXian"/>
                <w:b/>
                <w:bCs/>
                <w:szCs w:val="24"/>
              </w:rPr>
              <w:lastRenderedPageBreak/>
              <w:t>Uncomplicated</w:t>
            </w:r>
            <w:r w:rsidRPr="00727DFA">
              <w:rPr>
                <w:rFonts w:eastAsia="DengXian"/>
                <w:b/>
                <w:bCs/>
                <w:spacing w:val="1"/>
                <w:szCs w:val="24"/>
              </w:rPr>
              <w:t xml:space="preserve"> </w:t>
            </w:r>
            <w:r w:rsidRPr="00727DFA">
              <w:rPr>
                <w:rFonts w:eastAsia="DengXian"/>
                <w:b/>
                <w:bCs/>
                <w:szCs w:val="24"/>
              </w:rPr>
              <w:t>genital</w:t>
            </w:r>
            <w:r w:rsidRPr="00727DFA">
              <w:rPr>
                <w:rFonts w:eastAsia="DengXian"/>
                <w:b/>
                <w:bCs/>
                <w:spacing w:val="1"/>
                <w:szCs w:val="24"/>
              </w:rPr>
              <w:t xml:space="preserve"> </w:t>
            </w:r>
            <w:r w:rsidRPr="00727DFA">
              <w:rPr>
                <w:rFonts w:eastAsia="DengXian"/>
                <w:b/>
                <w:bCs/>
                <w:szCs w:val="24"/>
              </w:rPr>
              <w:t>chlamydia,</w:t>
            </w:r>
            <w:r w:rsidRPr="00727DFA">
              <w:rPr>
                <w:rFonts w:eastAsia="DengXian"/>
                <w:b/>
                <w:bCs/>
                <w:spacing w:val="1"/>
                <w:szCs w:val="24"/>
              </w:rPr>
              <w:t xml:space="preserve"> </w:t>
            </w:r>
            <w:r w:rsidRPr="00727DFA">
              <w:rPr>
                <w:rFonts w:eastAsia="DengXian"/>
                <w:b/>
                <w:bCs/>
                <w:szCs w:val="24"/>
              </w:rPr>
              <w:t>non-gonococcal</w:t>
            </w:r>
            <w:r w:rsidRPr="00727DFA">
              <w:rPr>
                <w:rFonts w:eastAsia="DengXian"/>
                <w:b/>
                <w:bCs/>
                <w:spacing w:val="-57"/>
                <w:szCs w:val="24"/>
              </w:rPr>
              <w:t xml:space="preserve"> </w:t>
            </w:r>
            <w:r w:rsidRPr="00727DFA">
              <w:rPr>
                <w:rFonts w:eastAsia="DengXian"/>
                <w:b/>
                <w:bCs/>
                <w:szCs w:val="24"/>
              </w:rPr>
              <w:t>urethritis</w:t>
            </w:r>
            <w:r w:rsidRPr="00727DFA">
              <w:rPr>
                <w:rFonts w:eastAsia="DengXian"/>
                <w:szCs w:val="24"/>
              </w:rPr>
              <w:t xml:space="preserve">: </w:t>
            </w:r>
          </w:p>
          <w:p w14:paraId="03961A76"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100 mg</w:t>
            </w:r>
            <w:r w:rsidRPr="00727DFA">
              <w:rPr>
                <w:rFonts w:eastAsia="DengXian"/>
                <w:spacing w:val="-3"/>
                <w:szCs w:val="24"/>
              </w:rPr>
              <w:t xml:space="preserve"> </w:t>
            </w:r>
            <w:r w:rsidRPr="00727DFA">
              <w:rPr>
                <w:rFonts w:eastAsia="DengXian"/>
                <w:szCs w:val="24"/>
              </w:rPr>
              <w:t>twice</w:t>
            </w:r>
            <w:r w:rsidRPr="00727DFA">
              <w:rPr>
                <w:rFonts w:eastAsia="DengXian"/>
                <w:spacing w:val="-1"/>
                <w:szCs w:val="24"/>
              </w:rPr>
              <w:t xml:space="preserve"> </w:t>
            </w:r>
            <w:r w:rsidRPr="00727DFA">
              <w:rPr>
                <w:rFonts w:eastAsia="DengXian"/>
                <w:szCs w:val="24"/>
              </w:rPr>
              <w:t>daily</w:t>
            </w:r>
          </w:p>
          <w:p w14:paraId="3081D984" w14:textId="77777777" w:rsidR="007B485D" w:rsidRPr="00727DFA" w:rsidRDefault="007B485D" w:rsidP="002D6DD7">
            <w:pPr>
              <w:jc w:val="both"/>
              <w:rPr>
                <w:rFonts w:eastAsia="DengXian"/>
                <w:szCs w:val="24"/>
              </w:rPr>
            </w:pPr>
            <w:r w:rsidRPr="00727DFA">
              <w:rPr>
                <w:rFonts w:eastAsia="DengXian"/>
                <w:b/>
                <w:bCs/>
                <w:szCs w:val="24"/>
              </w:rPr>
              <w:t>Louse and tick-borne relapsing fevers, epidemic typhus, cholera:</w:t>
            </w:r>
            <w:r w:rsidRPr="00727DFA">
              <w:rPr>
                <w:rFonts w:eastAsia="DengXian"/>
                <w:szCs w:val="24"/>
              </w:rPr>
              <w:t xml:space="preserve"> </w:t>
            </w:r>
          </w:p>
          <w:p w14:paraId="00826B18" w14:textId="77777777" w:rsidR="007B485D" w:rsidRPr="00727DFA" w:rsidRDefault="007B485D" w:rsidP="002D6DD7">
            <w:pPr>
              <w:jc w:val="both"/>
              <w:rPr>
                <w:rFonts w:eastAsia="DengXian"/>
                <w:szCs w:val="24"/>
              </w:rPr>
            </w:pPr>
            <w:r w:rsidRPr="00727DFA">
              <w:rPr>
                <w:rFonts w:eastAsia="DengXian"/>
                <w:szCs w:val="24"/>
              </w:rPr>
              <w:t>Adult: 100 mg or 200 mg (300 mg in cholera)</w:t>
            </w:r>
            <w:r w:rsidRPr="00727DFA">
              <w:rPr>
                <w:rFonts w:eastAsia="DengXian"/>
                <w:spacing w:val="1"/>
                <w:szCs w:val="24"/>
              </w:rPr>
              <w:t xml:space="preserve"> </w:t>
            </w:r>
            <w:r w:rsidRPr="00727DFA">
              <w:rPr>
                <w:rFonts w:eastAsia="DengXian"/>
                <w:szCs w:val="24"/>
              </w:rPr>
              <w:t xml:space="preserve">as a single dose </w:t>
            </w:r>
          </w:p>
          <w:p w14:paraId="2653259D" w14:textId="77777777" w:rsidR="007B485D" w:rsidRPr="00727DFA" w:rsidRDefault="007B485D" w:rsidP="002D6DD7">
            <w:pPr>
              <w:jc w:val="both"/>
              <w:rPr>
                <w:rFonts w:eastAsia="DengXian"/>
                <w:szCs w:val="24"/>
              </w:rPr>
            </w:pPr>
            <w:r w:rsidRPr="00727DFA">
              <w:rPr>
                <w:rFonts w:eastAsia="DengXian"/>
                <w:b/>
                <w:bCs/>
                <w:szCs w:val="24"/>
              </w:rPr>
              <w:t>Child over</w:t>
            </w:r>
            <w:r w:rsidRPr="00727DFA">
              <w:rPr>
                <w:rFonts w:eastAsia="DengXian"/>
                <w:b/>
                <w:bCs/>
                <w:spacing w:val="-1"/>
                <w:szCs w:val="24"/>
              </w:rPr>
              <w:t xml:space="preserve"> </w:t>
            </w:r>
            <w:r w:rsidRPr="00727DFA">
              <w:rPr>
                <w:rFonts w:eastAsia="DengXian"/>
                <w:b/>
                <w:bCs/>
                <w:szCs w:val="24"/>
              </w:rPr>
              <w:t>8</w:t>
            </w:r>
            <w:r w:rsidRPr="00727DFA">
              <w:rPr>
                <w:rFonts w:eastAsia="DengXian"/>
                <w:b/>
                <w:bCs/>
                <w:spacing w:val="2"/>
                <w:szCs w:val="24"/>
              </w:rPr>
              <w:t xml:space="preserve"> </w:t>
            </w:r>
            <w:r w:rsidRPr="00727DFA">
              <w:rPr>
                <w:rFonts w:eastAsia="DengXian"/>
                <w:b/>
                <w:bCs/>
                <w:szCs w:val="24"/>
              </w:rPr>
              <w:t>years</w:t>
            </w:r>
            <w:r w:rsidRPr="00727DFA">
              <w:rPr>
                <w:rFonts w:eastAsia="DengXian"/>
                <w:szCs w:val="24"/>
              </w:rPr>
              <w:t>: 4.4 mg/kg (maximum 100mg) as single dose</w:t>
            </w:r>
          </w:p>
          <w:p w14:paraId="5ED6C878" w14:textId="77777777" w:rsidR="007B485D" w:rsidRPr="00727DFA" w:rsidRDefault="007B485D" w:rsidP="002D6DD7">
            <w:pPr>
              <w:jc w:val="both"/>
              <w:rPr>
                <w:rFonts w:eastAsia="DengXian"/>
                <w:szCs w:val="24"/>
              </w:rPr>
            </w:pPr>
            <w:r w:rsidRPr="00727DFA">
              <w:rPr>
                <w:rFonts w:eastAsia="DengXian"/>
                <w:b/>
                <w:bCs/>
                <w:szCs w:val="24"/>
              </w:rPr>
              <w:t>Acute pelvis affection, Lymphogranuloma venereum</w:t>
            </w:r>
            <w:r w:rsidRPr="00727DFA">
              <w:rPr>
                <w:rFonts w:eastAsia="DengXian"/>
                <w:szCs w:val="24"/>
              </w:rPr>
              <w:t xml:space="preserve">: </w:t>
            </w:r>
          </w:p>
          <w:p w14:paraId="70D59BC7"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100 mg twice daily </w:t>
            </w:r>
          </w:p>
          <w:p w14:paraId="4DC6089E" w14:textId="77777777" w:rsidR="007B485D" w:rsidRPr="00727DFA" w:rsidRDefault="007B485D" w:rsidP="002D6DD7">
            <w:pPr>
              <w:jc w:val="both"/>
              <w:rPr>
                <w:rFonts w:eastAsia="DengXian"/>
                <w:szCs w:val="24"/>
              </w:rPr>
            </w:pPr>
            <w:r w:rsidRPr="00727DFA">
              <w:rPr>
                <w:rFonts w:eastAsia="DengXian"/>
                <w:b/>
                <w:bCs/>
                <w:szCs w:val="24"/>
              </w:rPr>
              <w:t>Child under 45 kg:</w:t>
            </w:r>
            <w:r w:rsidRPr="00727DFA">
              <w:rPr>
                <w:rFonts w:eastAsia="DengXian"/>
                <w:szCs w:val="24"/>
              </w:rPr>
              <w:t xml:space="preserve"> 2 to 2.2 mg/kg (max. 100 mg) 2 times daily</w:t>
            </w:r>
          </w:p>
          <w:p w14:paraId="414581D2" w14:textId="77777777" w:rsidR="007B485D" w:rsidRPr="00727DFA" w:rsidRDefault="007B485D" w:rsidP="002D6DD7">
            <w:pPr>
              <w:jc w:val="both"/>
              <w:rPr>
                <w:rFonts w:eastAsia="DengXian"/>
                <w:szCs w:val="24"/>
              </w:rPr>
            </w:pPr>
            <w:r w:rsidRPr="00727DFA">
              <w:rPr>
                <w:rFonts w:eastAsia="DengXian"/>
                <w:b/>
                <w:bCs/>
                <w:szCs w:val="24"/>
              </w:rPr>
              <w:t>Acne</w:t>
            </w:r>
            <w:r w:rsidRPr="00727DFA">
              <w:rPr>
                <w:rFonts w:eastAsia="DengXian"/>
                <w:szCs w:val="24"/>
              </w:rPr>
              <w:t xml:space="preserve">: </w:t>
            </w:r>
          </w:p>
          <w:p w14:paraId="229228C3"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 mg daily </w:t>
            </w:r>
          </w:p>
          <w:p w14:paraId="5C3281A7" w14:textId="77777777" w:rsidR="007B485D" w:rsidRPr="00727DFA" w:rsidRDefault="007B485D" w:rsidP="002D6DD7">
            <w:pPr>
              <w:jc w:val="both"/>
              <w:rPr>
                <w:rFonts w:eastAsia="DengXian"/>
                <w:szCs w:val="24"/>
              </w:rPr>
            </w:pPr>
            <w:r w:rsidRPr="00727DFA">
              <w:rPr>
                <w:rFonts w:eastAsia="DengXian"/>
                <w:b/>
                <w:bCs/>
                <w:szCs w:val="24"/>
              </w:rPr>
              <w:t>Malaria prevention:</w:t>
            </w:r>
          </w:p>
          <w:p w14:paraId="18A4C215" w14:textId="77777777" w:rsidR="007B485D" w:rsidRPr="00727DFA" w:rsidRDefault="007B485D" w:rsidP="002D6DD7">
            <w:pPr>
              <w:jc w:val="both"/>
              <w:rPr>
                <w:rFonts w:eastAsia="DengXian"/>
                <w:szCs w:val="24"/>
              </w:rPr>
            </w:pPr>
            <w:r w:rsidRPr="00727DFA">
              <w:rPr>
                <w:rFonts w:eastAsia="DengXian"/>
                <w:b/>
                <w:bCs/>
                <w:szCs w:val="24"/>
              </w:rPr>
              <w:t>Adult and child 12 – 17 years</w:t>
            </w:r>
            <w:r w:rsidRPr="00727DFA">
              <w:rPr>
                <w:rFonts w:eastAsia="DengXian"/>
                <w:szCs w:val="24"/>
              </w:rPr>
              <w:t>: 100 mg daily</w:t>
            </w:r>
          </w:p>
        </w:tc>
      </w:tr>
      <w:tr w:rsidR="007B485D" w:rsidRPr="00727DFA" w14:paraId="3CA5A55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DB8D47"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8C79B83" w14:textId="77777777" w:rsidR="007B485D" w:rsidRPr="00727DFA" w:rsidRDefault="007B485D" w:rsidP="002D6DD7">
            <w:pPr>
              <w:autoSpaceDE w:val="0"/>
              <w:autoSpaceDN w:val="0"/>
              <w:adjustRightInd w:val="0"/>
              <w:jc w:val="both"/>
              <w:rPr>
                <w:rFonts w:eastAsia="DengXian"/>
                <w:szCs w:val="24"/>
              </w:rPr>
            </w:pPr>
            <w:r>
              <w:rPr>
                <w:rFonts w:eastAsia="DengXian"/>
                <w:szCs w:val="24"/>
              </w:rPr>
              <w:t>H</w:t>
            </w:r>
            <w:r w:rsidRPr="00727DFA">
              <w:rPr>
                <w:rFonts w:eastAsia="DengXian"/>
                <w:szCs w:val="24"/>
              </w:rPr>
              <w:t xml:space="preserve">ypersensitivity to </w:t>
            </w:r>
            <w:r>
              <w:rPr>
                <w:rFonts w:eastAsia="DengXian"/>
                <w:szCs w:val="24"/>
              </w:rPr>
              <w:t>the drug</w:t>
            </w:r>
            <w:r w:rsidRPr="00727DFA">
              <w:rPr>
                <w:rFonts w:eastAsia="DengXian"/>
                <w:szCs w:val="24"/>
              </w:rPr>
              <w:t xml:space="preserve"> or other tetracyclines.</w:t>
            </w:r>
          </w:p>
        </w:tc>
      </w:tr>
      <w:tr w:rsidR="007B485D" w:rsidRPr="00727DFA" w14:paraId="2BAB0B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C4CFA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E5EF35D" w14:textId="77777777" w:rsidR="007B485D" w:rsidRPr="00727DFA" w:rsidRDefault="007B485D" w:rsidP="002D6DD7">
            <w:pPr>
              <w:jc w:val="both"/>
              <w:rPr>
                <w:rFonts w:eastAsia="DengXian"/>
                <w:szCs w:val="24"/>
              </w:rPr>
            </w:pPr>
            <w:r w:rsidRPr="00727DFA">
              <w:rPr>
                <w:rFonts w:eastAsia="DengXian"/>
                <w:szCs w:val="24"/>
              </w:rPr>
              <w:t>Antacids,</w:t>
            </w:r>
            <w:r>
              <w:rPr>
                <w:rFonts w:eastAsia="DengXian"/>
                <w:szCs w:val="24"/>
              </w:rPr>
              <w:t xml:space="preserve"> amoxicillin, ampicillin,</w:t>
            </w:r>
            <w:r w:rsidRPr="00727DFA">
              <w:rPr>
                <w:rFonts w:eastAsia="DengXian"/>
                <w:szCs w:val="24"/>
              </w:rPr>
              <w:t xml:space="preserve"> carbamazepine, ciclosporin, oral</w:t>
            </w:r>
            <w:r w:rsidRPr="00727DFA">
              <w:rPr>
                <w:rFonts w:eastAsia="DengXian"/>
                <w:spacing w:val="1"/>
                <w:szCs w:val="24"/>
              </w:rPr>
              <w:t xml:space="preserve"> </w:t>
            </w:r>
            <w:r w:rsidRPr="00727DFA">
              <w:rPr>
                <w:rFonts w:eastAsia="DengXian"/>
                <w:szCs w:val="24"/>
              </w:rPr>
              <w:t>contraceptives,</w:t>
            </w:r>
            <w:r w:rsidRPr="00727DFA">
              <w:rPr>
                <w:rFonts w:eastAsia="DengXian"/>
                <w:spacing w:val="1"/>
                <w:szCs w:val="24"/>
              </w:rPr>
              <w:t xml:space="preserve"> </w:t>
            </w:r>
            <w:r w:rsidRPr="00727DFA">
              <w:rPr>
                <w:rFonts w:eastAsia="DengXian"/>
                <w:szCs w:val="24"/>
              </w:rPr>
              <w:t>ergotamine,</w:t>
            </w:r>
            <w:r w:rsidRPr="00727DFA">
              <w:rPr>
                <w:rFonts w:eastAsia="DengXian"/>
                <w:spacing w:val="1"/>
                <w:szCs w:val="24"/>
              </w:rPr>
              <w:t xml:space="preserve"> </w:t>
            </w:r>
            <w:r w:rsidRPr="00727DFA">
              <w:rPr>
                <w:rFonts w:eastAsia="DengXian"/>
                <w:szCs w:val="24"/>
              </w:rPr>
              <w:t>ferrous</w:t>
            </w:r>
            <w:r w:rsidRPr="00727DFA">
              <w:rPr>
                <w:rFonts w:eastAsia="DengXian"/>
                <w:spacing w:val="1"/>
                <w:szCs w:val="24"/>
              </w:rPr>
              <w:t xml:space="preserve"> </w:t>
            </w:r>
            <w:r w:rsidRPr="00727DFA">
              <w:rPr>
                <w:rFonts w:eastAsia="DengXian"/>
                <w:szCs w:val="24"/>
              </w:rPr>
              <w:t>salts,</w:t>
            </w:r>
            <w:r w:rsidRPr="00727DFA">
              <w:rPr>
                <w:rFonts w:eastAsia="DengXian"/>
                <w:spacing w:val="1"/>
                <w:szCs w:val="24"/>
              </w:rPr>
              <w:t xml:space="preserve"> </w:t>
            </w:r>
            <w:r w:rsidRPr="00727DFA">
              <w:rPr>
                <w:rFonts w:eastAsia="DengXian"/>
                <w:szCs w:val="24"/>
              </w:rPr>
              <w:t>phenobarbital,</w:t>
            </w:r>
            <w:r w:rsidRPr="00727DFA">
              <w:rPr>
                <w:rFonts w:eastAsia="DengXian"/>
                <w:spacing w:val="1"/>
                <w:szCs w:val="24"/>
              </w:rPr>
              <w:t xml:space="preserve"> </w:t>
            </w:r>
            <w:r w:rsidRPr="00727DFA">
              <w:rPr>
                <w:rFonts w:eastAsia="DengXian"/>
                <w:szCs w:val="24"/>
              </w:rPr>
              <w:t>phenytoin,</w:t>
            </w:r>
            <w:r w:rsidRPr="00727DFA">
              <w:rPr>
                <w:rFonts w:eastAsia="DengXian"/>
                <w:spacing w:val="-1"/>
                <w:szCs w:val="24"/>
              </w:rPr>
              <w:t xml:space="preserve"> </w:t>
            </w:r>
            <w:r w:rsidRPr="00727DFA">
              <w:rPr>
                <w:rFonts w:eastAsia="DengXian"/>
                <w:szCs w:val="24"/>
              </w:rPr>
              <w:t>rifampicin and warfarin</w:t>
            </w:r>
            <w:r>
              <w:rPr>
                <w:rFonts w:eastAsia="DengXian"/>
                <w:szCs w:val="24"/>
              </w:rPr>
              <w:t>.</w:t>
            </w:r>
          </w:p>
        </w:tc>
      </w:tr>
      <w:tr w:rsidR="007B485D" w:rsidRPr="00727DFA" w14:paraId="2283A08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E064D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A89C627" w14:textId="77777777" w:rsidR="007B485D" w:rsidRPr="00727DFA" w:rsidRDefault="007B485D" w:rsidP="002D6DD7">
            <w:pPr>
              <w:jc w:val="both"/>
              <w:rPr>
                <w:rFonts w:eastAsia="DengXian"/>
                <w:szCs w:val="24"/>
              </w:rPr>
            </w:pPr>
            <w:r w:rsidRPr="00727DFA">
              <w:rPr>
                <w:rFonts w:eastAsia="DengXian"/>
                <w:szCs w:val="24"/>
              </w:rPr>
              <w:t>Dyspnea, hypotension, peripheral edema, tachycardia, gastrointestinal discomfort (nausea, vomiting), antibiotic associated colitis, anxiety, arthralgia, flushing, myalgia, skin hyperpigmentation (</w:t>
            </w:r>
            <w:r>
              <w:rPr>
                <w:rFonts w:eastAsia="DengXian"/>
                <w:szCs w:val="24"/>
              </w:rPr>
              <w:t xml:space="preserve">with </w:t>
            </w:r>
            <w:r w:rsidRPr="00727DFA">
              <w:rPr>
                <w:rFonts w:eastAsia="DengXian"/>
                <w:szCs w:val="24"/>
              </w:rPr>
              <w:t>long-term use), stomatitis, tinnitus, vision disorders, photosensitivity</w:t>
            </w:r>
            <w:r>
              <w:rPr>
                <w:rFonts w:eastAsia="DengXian"/>
                <w:szCs w:val="24"/>
              </w:rPr>
              <w:t>.</w:t>
            </w:r>
          </w:p>
        </w:tc>
      </w:tr>
      <w:tr w:rsidR="007B485D" w:rsidRPr="00727DFA" w14:paraId="687D1D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B25D7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BB98DAF" w14:textId="77777777" w:rsidR="007B485D" w:rsidRPr="00727DFA" w:rsidRDefault="007B485D" w:rsidP="002D6DD7">
            <w:pPr>
              <w:jc w:val="both"/>
              <w:rPr>
                <w:rFonts w:eastAsia="DengXian"/>
                <w:szCs w:val="24"/>
              </w:rPr>
            </w:pPr>
            <w:r w:rsidRPr="00727DFA">
              <w:rPr>
                <w:rFonts w:eastAsia="DengXian"/>
                <w:szCs w:val="24"/>
              </w:rPr>
              <w:t xml:space="preserve">Pregnancy, </w:t>
            </w:r>
            <w:r>
              <w:rPr>
                <w:rFonts w:eastAsia="DengXian"/>
                <w:szCs w:val="24"/>
              </w:rPr>
              <w:t>breastfeeding,</w:t>
            </w:r>
            <w:r w:rsidRPr="00727DFA">
              <w:rPr>
                <w:rFonts w:eastAsia="DengXian"/>
                <w:szCs w:val="24"/>
              </w:rPr>
              <w:t xml:space="preserve"> alcohol dependence, children under 8 years, known esophageal reflux disorders, renal impairment, hepatic impairment, concomitant </w:t>
            </w:r>
            <w:r>
              <w:rPr>
                <w:rFonts w:eastAsia="DengXian"/>
                <w:szCs w:val="24"/>
              </w:rPr>
              <w:t xml:space="preserve">use of </w:t>
            </w:r>
            <w:r w:rsidRPr="00727DFA">
              <w:rPr>
                <w:rFonts w:eastAsia="DengXian"/>
                <w:szCs w:val="24"/>
              </w:rPr>
              <w:t>hepatotoxic drugs, myasthenia gravis</w:t>
            </w:r>
            <w:r>
              <w:rPr>
                <w:rFonts w:eastAsia="DengXian"/>
                <w:szCs w:val="24"/>
              </w:rPr>
              <w:t xml:space="preserve">, </w:t>
            </w:r>
            <w:r w:rsidRPr="00727DFA">
              <w:rPr>
                <w:rFonts w:eastAsia="DengXian"/>
                <w:szCs w:val="24"/>
              </w:rPr>
              <w:t>exposure to sunlight or sunlamps</w:t>
            </w:r>
            <w:r>
              <w:rPr>
                <w:rFonts w:eastAsia="DengXian"/>
                <w:szCs w:val="24"/>
              </w:rPr>
              <w:t>.</w:t>
            </w:r>
            <w:r w:rsidRPr="00727DFA">
              <w:rPr>
                <w:rFonts w:eastAsia="DengXian"/>
                <w:szCs w:val="24"/>
              </w:rPr>
              <w:t xml:space="preserve"> </w:t>
            </w:r>
          </w:p>
        </w:tc>
      </w:tr>
      <w:tr w:rsidR="007B485D" w:rsidRPr="00727DFA" w14:paraId="134A89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2D0A1E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8E06334"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bl>
    <w:p w14:paraId="2D8AA608" w14:textId="77777777" w:rsidR="007B485D" w:rsidRPr="00BC0421" w:rsidRDefault="007B485D" w:rsidP="00BC0421">
      <w:pPr>
        <w:spacing w:before="240"/>
        <w:rPr>
          <w:rFonts w:eastAsia="DengXian Light"/>
          <w:b/>
        </w:rPr>
      </w:pPr>
      <w:r w:rsidRPr="00BC0421">
        <w:rPr>
          <w:rFonts w:eastAsia="DengXian Light"/>
          <w:b/>
        </w:rPr>
        <w:t xml:space="preserve">Miscellaneous </w:t>
      </w:r>
      <w:r w:rsidR="00BC0421" w:rsidRPr="00BC0421">
        <w:rPr>
          <w:rFonts w:eastAsia="DengXian Light"/>
          <w:b/>
        </w:rPr>
        <w:t>a</w:t>
      </w:r>
      <w:r w:rsidRPr="00BC0421">
        <w:rPr>
          <w:rFonts w:eastAsia="DengXian Light"/>
          <w:b/>
        </w:rPr>
        <w:t xml:space="preserve">ntibacterials </w:t>
      </w:r>
    </w:p>
    <w:tbl>
      <w:tblPr>
        <w:tblStyle w:val="TableGrid"/>
        <w:tblW w:w="0" w:type="auto"/>
        <w:jc w:val="center"/>
        <w:tblLook w:val="04A0" w:firstRow="1" w:lastRow="0" w:firstColumn="1" w:lastColumn="0" w:noHBand="0" w:noVBand="1"/>
      </w:tblPr>
      <w:tblGrid>
        <w:gridCol w:w="2605"/>
        <w:gridCol w:w="6745"/>
      </w:tblGrid>
      <w:tr w:rsidR="007B485D" w:rsidRPr="00727DFA" w14:paraId="7DFD3CFA"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B105E44" w14:textId="77777777" w:rsidR="007B485D" w:rsidRPr="00727DFA" w:rsidRDefault="007B485D" w:rsidP="002D6DD7">
            <w:pPr>
              <w:jc w:val="both"/>
              <w:rPr>
                <w:rFonts w:eastAsia="DengXian"/>
                <w:szCs w:val="24"/>
              </w:rPr>
            </w:pPr>
            <w:r w:rsidRPr="00727DFA">
              <w:rPr>
                <w:rFonts w:eastAsia="DengXian"/>
                <w:b/>
                <w:bCs/>
                <w:szCs w:val="24"/>
              </w:rPr>
              <w:t xml:space="preserve">Clindamycin </w:t>
            </w:r>
            <w:r w:rsidRPr="00873AF2">
              <w:rPr>
                <w:rFonts w:eastAsia="DengXian"/>
                <w:b/>
                <w:bCs/>
                <w:szCs w:val="24"/>
              </w:rPr>
              <w:t>(Watch)</w:t>
            </w:r>
          </w:p>
        </w:tc>
      </w:tr>
      <w:tr w:rsidR="007B485D" w:rsidRPr="00727DFA" w14:paraId="4418C80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71940B2"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ED3F2DD" w14:textId="77777777" w:rsidR="007B485D" w:rsidRPr="00727DFA" w:rsidRDefault="007B485D" w:rsidP="002D6DD7">
            <w:pPr>
              <w:jc w:val="both"/>
              <w:rPr>
                <w:rFonts w:eastAsia="DengXian"/>
                <w:szCs w:val="24"/>
              </w:rPr>
            </w:pPr>
            <w:r w:rsidRPr="00727DFA">
              <w:rPr>
                <w:rFonts w:eastAsia="DengXian"/>
                <w:szCs w:val="24"/>
              </w:rPr>
              <w:t xml:space="preserve">Lincosamide </w:t>
            </w:r>
          </w:p>
        </w:tc>
      </w:tr>
      <w:tr w:rsidR="007B485D" w:rsidRPr="00727DFA" w14:paraId="1531D94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5BF644E" w14:textId="77777777" w:rsidR="007B485D" w:rsidRPr="00727DFA" w:rsidRDefault="007B485D" w:rsidP="002D6DD7">
            <w:pPr>
              <w:jc w:val="both"/>
              <w:rPr>
                <w:rFonts w:eastAsia="DengXian"/>
                <w:bCs/>
                <w:szCs w:val="24"/>
              </w:rPr>
            </w:pPr>
            <w:r w:rsidRPr="00727DFA">
              <w:rPr>
                <w:rFonts w:eastAsia="DengXian"/>
                <w:bCs/>
                <w:szCs w:val="24"/>
              </w:rPr>
              <w:lastRenderedPageBreak/>
              <w:t>Dosage form</w:t>
            </w:r>
          </w:p>
        </w:tc>
        <w:tc>
          <w:tcPr>
            <w:tcW w:w="6745" w:type="dxa"/>
            <w:tcBorders>
              <w:top w:val="single" w:sz="4" w:space="0" w:color="auto"/>
              <w:left w:val="single" w:sz="4" w:space="0" w:color="auto"/>
              <w:bottom w:val="single" w:sz="4" w:space="0" w:color="auto"/>
              <w:right w:val="single" w:sz="4" w:space="0" w:color="auto"/>
            </w:tcBorders>
            <w:hideMark/>
          </w:tcPr>
          <w:p w14:paraId="1A77C60D" w14:textId="77777777" w:rsidR="007B485D" w:rsidRPr="00727DFA" w:rsidRDefault="007B485D" w:rsidP="002D6DD7">
            <w:pPr>
              <w:jc w:val="both"/>
              <w:rPr>
                <w:rFonts w:eastAsia="DengXian"/>
                <w:szCs w:val="24"/>
              </w:rPr>
            </w:pPr>
            <w:r w:rsidRPr="00727DFA">
              <w:rPr>
                <w:rFonts w:eastAsia="DengXian"/>
                <w:szCs w:val="24"/>
              </w:rPr>
              <w:t>Capsule: 75mg, 150mg (as hydrochloride)</w:t>
            </w:r>
          </w:p>
          <w:p w14:paraId="7FF59FA9" w14:textId="77777777" w:rsidR="007B485D" w:rsidRPr="00727DFA" w:rsidRDefault="007B485D" w:rsidP="002D6DD7">
            <w:pPr>
              <w:jc w:val="both"/>
              <w:rPr>
                <w:rFonts w:eastAsia="DengXian"/>
                <w:szCs w:val="24"/>
              </w:rPr>
            </w:pPr>
            <w:r w:rsidRPr="00727DFA">
              <w:rPr>
                <w:rFonts w:eastAsia="DengXian"/>
                <w:szCs w:val="24"/>
              </w:rPr>
              <w:t>Injection: 150mg/ml (as phosphate) in ampoule</w:t>
            </w:r>
          </w:p>
          <w:p w14:paraId="0CFB066A" w14:textId="77777777" w:rsidR="007B485D" w:rsidRPr="00727DFA" w:rsidRDefault="007B485D" w:rsidP="002D6DD7">
            <w:pPr>
              <w:jc w:val="both"/>
              <w:rPr>
                <w:rFonts w:eastAsia="DengXian"/>
                <w:szCs w:val="24"/>
              </w:rPr>
            </w:pPr>
            <w:r w:rsidRPr="00727DFA">
              <w:rPr>
                <w:rFonts w:eastAsia="DengXian"/>
                <w:szCs w:val="24"/>
              </w:rPr>
              <w:t>Oral solution: 75mg/5ml (as palmitate hydrochloride)</w:t>
            </w:r>
          </w:p>
        </w:tc>
      </w:tr>
      <w:tr w:rsidR="007B485D" w:rsidRPr="00727DFA" w14:paraId="229FE91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468C77E"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2B9F2AF" w14:textId="77777777" w:rsidR="007B485D" w:rsidRPr="00727DFA" w:rsidRDefault="007B485D" w:rsidP="002D6DD7">
            <w:pPr>
              <w:jc w:val="both"/>
              <w:rPr>
                <w:rFonts w:eastAsia="DengXian"/>
                <w:szCs w:val="24"/>
              </w:rPr>
            </w:pPr>
            <w:r>
              <w:rPr>
                <w:rFonts w:eastAsia="DengXian"/>
                <w:szCs w:val="24"/>
              </w:rPr>
              <w:t>I</w:t>
            </w:r>
            <w:r w:rsidRPr="00727DFA">
              <w:rPr>
                <w:rFonts w:eastAsia="DengXian"/>
                <w:szCs w:val="24"/>
              </w:rPr>
              <w:t xml:space="preserve">nfections with susceptible anaerobic and aerobic </w:t>
            </w:r>
            <w:r>
              <w:rPr>
                <w:rFonts w:eastAsia="DengXian"/>
                <w:szCs w:val="24"/>
              </w:rPr>
              <w:t xml:space="preserve">(Gram positive cocci) </w:t>
            </w:r>
            <w:r w:rsidRPr="00727DFA">
              <w:rPr>
                <w:rFonts w:eastAsia="DengXian"/>
                <w:szCs w:val="24"/>
              </w:rPr>
              <w:t>organisms</w:t>
            </w:r>
            <w:r>
              <w:rPr>
                <w:rFonts w:eastAsia="DengXian"/>
                <w:szCs w:val="24"/>
              </w:rPr>
              <w:t xml:space="preserve"> </w:t>
            </w:r>
            <w:r w:rsidRPr="00727DFA">
              <w:rPr>
                <w:rFonts w:eastAsia="DengXian"/>
                <w:szCs w:val="24"/>
              </w:rPr>
              <w:t>where there is allergy to penicillin and resistance to first-line drugs, including staphylococcal bone and joint infections,</w:t>
            </w:r>
            <w:r>
              <w:rPr>
                <w:rFonts w:eastAsia="DengXian"/>
                <w:szCs w:val="24"/>
              </w:rPr>
              <w:t xml:space="preserve"> bacterial vaginosis, pelvic inflammatory disease, orofacial/parapharyngeal space infections,</w:t>
            </w:r>
            <w:r w:rsidRPr="00727DFA">
              <w:rPr>
                <w:rFonts w:eastAsia="DengXian"/>
                <w:szCs w:val="24"/>
              </w:rPr>
              <w:t xml:space="preserve"> peritonitis,</w:t>
            </w:r>
            <w:r>
              <w:rPr>
                <w:rFonts w:eastAsia="DengXian"/>
                <w:szCs w:val="24"/>
              </w:rPr>
              <w:t xml:space="preserve"> pyomyocistis, bite wound</w:t>
            </w:r>
            <w:r w:rsidRPr="00727DFA">
              <w:rPr>
                <w:rFonts w:eastAsia="DengXian"/>
                <w:szCs w:val="24"/>
              </w:rPr>
              <w:t xml:space="preserve"> and pneumonia, moderate to severe diabetic foot infection, endocarditis</w:t>
            </w:r>
            <w:r>
              <w:rPr>
                <w:rFonts w:eastAsia="DengXian"/>
                <w:szCs w:val="24"/>
              </w:rPr>
              <w:t xml:space="preserve"> and surgical</w:t>
            </w:r>
            <w:r w:rsidRPr="00727DFA">
              <w:rPr>
                <w:rFonts w:eastAsia="DengXian"/>
                <w:szCs w:val="24"/>
              </w:rPr>
              <w:t xml:space="preserve"> prophylaxis</w:t>
            </w:r>
          </w:p>
        </w:tc>
      </w:tr>
      <w:tr w:rsidR="007B485D" w:rsidRPr="00727DFA" w14:paraId="4181FA7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BBEA03A"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0B15AEBC" w14:textId="77777777" w:rsidR="007B485D" w:rsidRPr="00727DFA" w:rsidRDefault="007B485D" w:rsidP="002D6DD7">
            <w:pPr>
              <w:jc w:val="both"/>
              <w:rPr>
                <w:rFonts w:eastAsia="DengXian"/>
                <w:b/>
                <w:bCs/>
                <w:szCs w:val="24"/>
              </w:rPr>
            </w:pPr>
            <w:r w:rsidRPr="00727DFA">
              <w:rPr>
                <w:rFonts w:eastAsia="DengXian"/>
                <w:b/>
                <w:bCs/>
                <w:szCs w:val="24"/>
              </w:rPr>
              <w:t>Staphylococcal bone and joint infections:</w:t>
            </w:r>
          </w:p>
          <w:p w14:paraId="59DD17DF" w14:textId="77777777" w:rsidR="007B485D" w:rsidRPr="009C4DF8" w:rsidRDefault="007B485D" w:rsidP="002D6DD7">
            <w:pPr>
              <w:jc w:val="both"/>
              <w:rPr>
                <w:rFonts w:eastAsia="DengXian"/>
                <w:b/>
                <w:szCs w:val="24"/>
              </w:rPr>
            </w:pPr>
            <w:r w:rsidRPr="00873AF2">
              <w:rPr>
                <w:rFonts w:eastAsia="DengXian"/>
                <w:b/>
                <w:szCs w:val="24"/>
              </w:rPr>
              <w:t>Oral:</w:t>
            </w:r>
          </w:p>
          <w:p w14:paraId="11E99AFC" w14:textId="77777777" w:rsidR="007B485D" w:rsidRPr="00727DFA" w:rsidRDefault="007B485D" w:rsidP="002D6DD7">
            <w:pPr>
              <w:jc w:val="both"/>
              <w:rPr>
                <w:rFonts w:eastAsia="DengXian"/>
                <w:szCs w:val="24"/>
              </w:rPr>
            </w:pPr>
            <w:r w:rsidRPr="00727DFA">
              <w:rPr>
                <w:rFonts w:eastAsia="DengXian"/>
                <w:b/>
                <w:szCs w:val="24"/>
              </w:rPr>
              <w:t xml:space="preserve">Adult: </w:t>
            </w:r>
            <w:r w:rsidRPr="00727DFA">
              <w:rPr>
                <w:rFonts w:eastAsia="DengXian"/>
                <w:szCs w:val="24"/>
              </w:rPr>
              <w:t>150 - 300 mg every 6 hours; up to 450 mg every 6 hours in severe infections.</w:t>
            </w:r>
          </w:p>
          <w:p w14:paraId="49EB6846"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w:t>
            </w:r>
            <w:r w:rsidRPr="00386C59">
              <w:rPr>
                <w:rFonts w:eastAsia="DengXian"/>
                <w:szCs w:val="24"/>
              </w:rPr>
              <w:t>8-25 mg/kg/day in 3 or 4 equal</w:t>
            </w:r>
            <w:r>
              <w:rPr>
                <w:rFonts w:eastAsia="DengXian"/>
                <w:szCs w:val="24"/>
              </w:rPr>
              <w:t xml:space="preserve"> divided</w:t>
            </w:r>
            <w:r w:rsidRPr="00386C59">
              <w:rPr>
                <w:rFonts w:eastAsia="DengXian"/>
                <w:szCs w:val="24"/>
              </w:rPr>
              <w:t xml:space="preserve"> doses</w:t>
            </w:r>
          </w:p>
          <w:p w14:paraId="670C1E25" w14:textId="77777777" w:rsidR="007B485D" w:rsidRPr="00873AF2" w:rsidRDefault="007B485D" w:rsidP="002D6DD7">
            <w:pPr>
              <w:jc w:val="both"/>
              <w:rPr>
                <w:rFonts w:eastAsia="DengXian"/>
                <w:b/>
                <w:bCs/>
                <w:szCs w:val="24"/>
              </w:rPr>
            </w:pPr>
            <w:r w:rsidRPr="00873AF2">
              <w:rPr>
                <w:rFonts w:eastAsia="DengXian"/>
                <w:b/>
                <w:bCs/>
                <w:szCs w:val="24"/>
              </w:rPr>
              <w:t>IM   or IV infusion:</w:t>
            </w:r>
          </w:p>
          <w:p w14:paraId="56ED4DAD"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w:t>
            </w:r>
            <w:r>
              <w:rPr>
                <w:rFonts w:eastAsia="DengXian"/>
                <w:szCs w:val="24"/>
              </w:rPr>
              <w:t>600</w:t>
            </w:r>
            <w:r w:rsidRPr="00727DFA">
              <w:rPr>
                <w:rFonts w:eastAsia="DengXian"/>
                <w:szCs w:val="24"/>
              </w:rPr>
              <w:t xml:space="preserve"> - 27</w:t>
            </w:r>
            <w:r>
              <w:rPr>
                <w:rFonts w:eastAsia="DengXian"/>
                <w:szCs w:val="24"/>
              </w:rPr>
              <w:t>00</w:t>
            </w:r>
            <w:r w:rsidRPr="00727DFA">
              <w:rPr>
                <w:rFonts w:eastAsia="DengXian"/>
                <w:szCs w:val="24"/>
              </w:rPr>
              <w:t xml:space="preserve"> </w:t>
            </w:r>
            <w:r>
              <w:rPr>
                <w:rFonts w:eastAsia="DengXian"/>
                <w:szCs w:val="24"/>
              </w:rPr>
              <w:t>m</w:t>
            </w:r>
            <w:r w:rsidRPr="00727DFA">
              <w:rPr>
                <w:rFonts w:eastAsia="DengXian"/>
                <w:szCs w:val="24"/>
              </w:rPr>
              <w:t xml:space="preserve">g daily in 2 - 4 divided doses, increased up to 4.8 g daily in life-threatening infections </w:t>
            </w:r>
            <w:r w:rsidRPr="00727DFA">
              <w:rPr>
                <w:rFonts w:eastAsia="DengXian"/>
                <w:b/>
                <w:szCs w:val="24"/>
              </w:rPr>
              <w:t xml:space="preserve">Neonates: </w:t>
            </w:r>
            <w:r w:rsidRPr="00727DFA">
              <w:rPr>
                <w:rFonts w:eastAsia="DengXian"/>
                <w:szCs w:val="24"/>
              </w:rPr>
              <w:t>15 - 20 mg/kg   daily</w:t>
            </w:r>
          </w:p>
          <w:p w14:paraId="68C9D6B0" w14:textId="77777777" w:rsidR="007B485D" w:rsidRPr="00727DFA" w:rsidRDefault="007B485D" w:rsidP="002D6DD7">
            <w:pPr>
              <w:jc w:val="both"/>
              <w:rPr>
                <w:rFonts w:eastAsia="DengXian"/>
                <w:szCs w:val="24"/>
              </w:rPr>
            </w:pPr>
            <w:r w:rsidRPr="00727DFA">
              <w:rPr>
                <w:rFonts w:eastAsia="DengXian"/>
                <w:b/>
                <w:szCs w:val="24"/>
              </w:rPr>
              <w:t xml:space="preserve">Child </w:t>
            </w:r>
            <w:r w:rsidRPr="00727DFA">
              <w:rPr>
                <w:rFonts w:eastAsia="DengXian"/>
                <w:szCs w:val="24"/>
              </w:rPr>
              <w:t>over 1 month: 15 - 40 mg/kg daily in 3 - 4 divided doses; severe infections, at least 300 mg daily, regardless of weight</w:t>
            </w:r>
          </w:p>
          <w:p w14:paraId="223E0CE9" w14:textId="77777777" w:rsidR="007B485D" w:rsidRPr="00727DFA" w:rsidRDefault="007B485D" w:rsidP="002D6DD7">
            <w:pPr>
              <w:jc w:val="both"/>
              <w:rPr>
                <w:rFonts w:eastAsia="DengXian"/>
                <w:szCs w:val="24"/>
              </w:rPr>
            </w:pPr>
            <w:r w:rsidRPr="007A4196">
              <w:rPr>
                <w:rFonts w:eastAsia="DengXian"/>
                <w:bCs/>
                <w:i/>
                <w:szCs w:val="24"/>
              </w:rPr>
              <w:t>Note</w:t>
            </w:r>
            <w:r w:rsidRPr="007A4196">
              <w:rPr>
                <w:rFonts w:eastAsia="DengXian"/>
                <w:i/>
                <w:szCs w:val="24"/>
              </w:rPr>
              <w:t>:</w:t>
            </w:r>
            <w:r>
              <w:rPr>
                <w:rFonts w:eastAsia="DengXian"/>
                <w:szCs w:val="24"/>
              </w:rPr>
              <w:t xml:space="preserve"> </w:t>
            </w:r>
            <w:r w:rsidRPr="00873AF2">
              <w:rPr>
                <w:rFonts w:eastAsia="DengXian"/>
                <w:i/>
                <w:iCs/>
                <w:szCs w:val="24"/>
              </w:rPr>
              <w:t>Single IM injection dose should not exceed 600mg and IV infusion should be administered over 60 minutes</w:t>
            </w:r>
          </w:p>
        </w:tc>
      </w:tr>
      <w:tr w:rsidR="007B485D" w:rsidRPr="00727DFA" w14:paraId="5529E738" w14:textId="77777777" w:rsidTr="002D6DD7">
        <w:trPr>
          <w:trHeight w:hRule="exact" w:val="910"/>
          <w:jc w:val="center"/>
        </w:trPr>
        <w:tc>
          <w:tcPr>
            <w:tcW w:w="2605" w:type="dxa"/>
            <w:tcBorders>
              <w:top w:val="single" w:sz="4" w:space="0" w:color="auto"/>
              <w:left w:val="single" w:sz="4" w:space="0" w:color="auto"/>
              <w:bottom w:val="single" w:sz="4" w:space="0" w:color="auto"/>
              <w:right w:val="single" w:sz="4" w:space="0" w:color="auto"/>
            </w:tcBorders>
            <w:hideMark/>
          </w:tcPr>
          <w:p w14:paraId="3273A84A"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A0BE3AB"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or</w:t>
            </w:r>
            <w:r w:rsidRPr="00727DFA">
              <w:rPr>
                <w:rFonts w:eastAsia="DengXian"/>
                <w:szCs w:val="24"/>
              </w:rPr>
              <w:t xml:space="preserve"> lincomycin, </w:t>
            </w:r>
            <w:r>
              <w:rPr>
                <w:rFonts w:eastAsia="DengXian"/>
                <w:szCs w:val="24"/>
              </w:rPr>
              <w:t>e</w:t>
            </w:r>
            <w:r w:rsidRPr="00727DFA">
              <w:rPr>
                <w:rFonts w:eastAsia="DengXian"/>
                <w:szCs w:val="24"/>
              </w:rPr>
              <w:t>xisting diarrhea, injections containing benzyl alcohol, porphyria</w:t>
            </w:r>
            <w:r>
              <w:rPr>
                <w:rFonts w:eastAsia="DengXian"/>
                <w:szCs w:val="24"/>
              </w:rPr>
              <w:t>.</w:t>
            </w:r>
          </w:p>
        </w:tc>
      </w:tr>
      <w:tr w:rsidR="007B485D" w:rsidRPr="00727DFA" w14:paraId="3A40660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3982FDA"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070963D" w14:textId="77777777" w:rsidR="007B485D" w:rsidRPr="00727DFA" w:rsidRDefault="007B485D" w:rsidP="002D6DD7">
            <w:pPr>
              <w:jc w:val="both"/>
              <w:rPr>
                <w:rFonts w:eastAsia="DengXian"/>
                <w:szCs w:val="24"/>
              </w:rPr>
            </w:pPr>
            <w:r w:rsidRPr="00727DFA">
              <w:rPr>
                <w:rFonts w:eastAsia="DengXian"/>
                <w:szCs w:val="24"/>
              </w:rPr>
              <w:t>Suxamethonium, vecuronium, neostigmine</w:t>
            </w:r>
            <w:r>
              <w:rPr>
                <w:rFonts w:eastAsia="DengXian"/>
                <w:szCs w:val="24"/>
              </w:rPr>
              <w:t xml:space="preserve">, </w:t>
            </w:r>
            <w:r w:rsidRPr="00727DFA">
              <w:rPr>
                <w:rFonts w:eastAsia="DengXian"/>
                <w:szCs w:val="24"/>
              </w:rPr>
              <w:t>pyridostigmine, erythromycin, oral typhoid vaccine,</w:t>
            </w:r>
            <w:r>
              <w:rPr>
                <w:rFonts w:eastAsia="DengXian"/>
                <w:szCs w:val="24"/>
              </w:rPr>
              <w:t xml:space="preserve"> live cholera vaccine,</w:t>
            </w:r>
            <w:r w:rsidRPr="00727DFA">
              <w:rPr>
                <w:rFonts w:eastAsia="DengXian"/>
                <w:szCs w:val="24"/>
              </w:rPr>
              <w:t xml:space="preserve"> warfarin</w:t>
            </w:r>
            <w:r>
              <w:rPr>
                <w:rFonts w:eastAsia="DengXian"/>
                <w:szCs w:val="24"/>
              </w:rPr>
              <w:t>.</w:t>
            </w:r>
          </w:p>
        </w:tc>
      </w:tr>
      <w:tr w:rsidR="007B485D" w:rsidRPr="00727DFA" w14:paraId="47F7DC3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397A39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B6AB6E8" w14:textId="77777777" w:rsidR="007B485D" w:rsidRPr="00727DFA" w:rsidRDefault="007B485D" w:rsidP="002D6DD7">
            <w:pPr>
              <w:jc w:val="both"/>
              <w:rPr>
                <w:rFonts w:eastAsia="DengXian"/>
                <w:szCs w:val="24"/>
              </w:rPr>
            </w:pPr>
            <w:r w:rsidRPr="00727DFA">
              <w:rPr>
                <w:rFonts w:eastAsia="DengXian"/>
                <w:szCs w:val="24"/>
              </w:rPr>
              <w:t xml:space="preserve">Skin reactions, urticaria, angioedema, anaphylaxis, diarrhea, nausea, vomiting, abdominal discomfort, antibiotic associated colitis, jaundice, neutropenia, eosinophilia, agranulocytosis, and </w:t>
            </w:r>
            <w:r w:rsidRPr="00727DFA">
              <w:rPr>
                <w:rFonts w:eastAsia="DengXian"/>
                <w:szCs w:val="24"/>
              </w:rPr>
              <w:lastRenderedPageBreak/>
              <w:t>thrombocytopenia, abscess after IM injection</w:t>
            </w:r>
            <w:r>
              <w:rPr>
                <w:rFonts w:eastAsia="DengXian"/>
                <w:szCs w:val="24"/>
              </w:rPr>
              <w:t xml:space="preserve">, </w:t>
            </w:r>
            <w:r w:rsidRPr="00727DFA">
              <w:rPr>
                <w:rFonts w:eastAsia="DengXian"/>
                <w:szCs w:val="24"/>
              </w:rPr>
              <w:t>thrombophlebitis after IV injection</w:t>
            </w:r>
            <w:r>
              <w:rPr>
                <w:rFonts w:eastAsia="DengXian"/>
                <w:szCs w:val="24"/>
              </w:rPr>
              <w:t>,</w:t>
            </w:r>
            <w:r w:rsidRPr="00727DFA">
              <w:rPr>
                <w:rFonts w:eastAsia="DengXian"/>
                <w:szCs w:val="24"/>
              </w:rPr>
              <w:t xml:space="preserve"> Stevens-Johnson syndrome</w:t>
            </w:r>
            <w:r>
              <w:rPr>
                <w:rFonts w:eastAsia="DengXian"/>
                <w:szCs w:val="24"/>
              </w:rPr>
              <w:t>.</w:t>
            </w:r>
          </w:p>
        </w:tc>
      </w:tr>
      <w:tr w:rsidR="007B485D" w:rsidRPr="00727DFA" w14:paraId="3C65A0E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AC70BA9"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1170D4B" w14:textId="77777777" w:rsidR="007B485D" w:rsidRPr="00727DFA" w:rsidRDefault="007B485D" w:rsidP="002D6DD7">
            <w:pPr>
              <w:jc w:val="both"/>
              <w:rPr>
                <w:rFonts w:eastAsia="DengXian"/>
                <w:szCs w:val="24"/>
              </w:rPr>
            </w:pPr>
            <w:r w:rsidRPr="00727DFA">
              <w:rPr>
                <w:rFonts w:eastAsia="DengXian"/>
                <w:szCs w:val="24"/>
              </w:rPr>
              <w:t>Pregnancy, breastfeeding, renal impairment, hepatic impairment, atopic individuals, history of gastro-intestinal disease (colitis).</w:t>
            </w:r>
          </w:p>
        </w:tc>
      </w:tr>
      <w:tr w:rsidR="007B485D" w:rsidRPr="00727DFA" w14:paraId="7B101C4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1D9BF2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9869508"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65B91A63"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41A0831" w14:textId="77777777" w:rsidR="007B485D" w:rsidRPr="00727DFA" w:rsidRDefault="007B485D" w:rsidP="002D6DD7">
            <w:pPr>
              <w:jc w:val="both"/>
              <w:rPr>
                <w:rFonts w:eastAsia="DengXian"/>
                <w:szCs w:val="24"/>
              </w:rPr>
            </w:pPr>
            <w:r w:rsidRPr="00727DFA">
              <w:rPr>
                <w:rFonts w:eastAsia="DengXian"/>
                <w:b/>
                <w:bCs/>
                <w:szCs w:val="24"/>
              </w:rPr>
              <w:t xml:space="preserve">Colistin </w:t>
            </w:r>
            <w:r w:rsidRPr="00873AF2">
              <w:rPr>
                <w:rFonts w:eastAsia="DengXian"/>
                <w:b/>
                <w:bCs/>
                <w:szCs w:val="24"/>
              </w:rPr>
              <w:t>(Reserve)</w:t>
            </w:r>
          </w:p>
        </w:tc>
      </w:tr>
      <w:tr w:rsidR="007B485D" w:rsidRPr="00727DFA" w14:paraId="61F9FDD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93638F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033E58D" w14:textId="77777777" w:rsidR="007B485D" w:rsidRPr="00727DFA" w:rsidRDefault="007B485D" w:rsidP="002D6DD7">
            <w:pPr>
              <w:jc w:val="both"/>
              <w:rPr>
                <w:rFonts w:eastAsia="DengXian"/>
                <w:szCs w:val="24"/>
              </w:rPr>
            </w:pPr>
            <w:r w:rsidRPr="00727DFA">
              <w:rPr>
                <w:rFonts w:eastAsia="DengXian"/>
                <w:szCs w:val="24"/>
              </w:rPr>
              <w:t>Polymyxin</w:t>
            </w:r>
            <w:r>
              <w:rPr>
                <w:rFonts w:eastAsia="DengXian"/>
                <w:szCs w:val="24"/>
              </w:rPr>
              <w:t xml:space="preserve"> E</w:t>
            </w:r>
            <w:r w:rsidRPr="00727DFA">
              <w:rPr>
                <w:rFonts w:eastAsia="DengXian"/>
                <w:szCs w:val="24"/>
              </w:rPr>
              <w:t xml:space="preserve"> </w:t>
            </w:r>
          </w:p>
        </w:tc>
      </w:tr>
      <w:tr w:rsidR="007B485D" w:rsidRPr="00727DFA" w14:paraId="52E731F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E8BA34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E03CD48" w14:textId="77777777" w:rsidR="007B485D" w:rsidRPr="00727DFA" w:rsidRDefault="007B485D" w:rsidP="002D6DD7">
            <w:pPr>
              <w:jc w:val="both"/>
              <w:rPr>
                <w:rFonts w:eastAsia="DengXian"/>
                <w:szCs w:val="24"/>
              </w:rPr>
            </w:pPr>
            <w:r w:rsidRPr="00727DFA">
              <w:rPr>
                <w:rFonts w:eastAsia="DengXian"/>
                <w:szCs w:val="24"/>
              </w:rPr>
              <w:t>Powder for Injection: 1 million IU (as colistemethate sodium)</w:t>
            </w:r>
          </w:p>
        </w:tc>
      </w:tr>
      <w:tr w:rsidR="007B485D" w:rsidRPr="00727DFA" w14:paraId="78FCBD5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A75101A"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7F76579" w14:textId="77777777" w:rsidR="007B485D" w:rsidRPr="00727DFA" w:rsidRDefault="007B485D" w:rsidP="002D6DD7">
            <w:pPr>
              <w:jc w:val="both"/>
              <w:rPr>
                <w:rFonts w:eastAsia="DengXian"/>
                <w:szCs w:val="24"/>
              </w:rPr>
            </w:pPr>
            <w:r w:rsidRPr="00727DFA">
              <w:rPr>
                <w:rFonts w:eastAsia="DengXian"/>
                <w:szCs w:val="24"/>
              </w:rPr>
              <w:t xml:space="preserve">Serious infections due to selected aerobic Gram-negative bacteria in patients with limited treatment options. It is particularly indicated when the infection is caused by sensitive strains of </w:t>
            </w:r>
            <w:r w:rsidRPr="00727DFA">
              <w:rPr>
                <w:rFonts w:eastAsia="DengXian"/>
                <w:i/>
                <w:szCs w:val="24"/>
              </w:rPr>
              <w:t>Pseudomonas aeruginosa</w:t>
            </w:r>
            <w:r w:rsidRPr="00727DFA">
              <w:rPr>
                <w:rFonts w:eastAsia="DengXian"/>
                <w:szCs w:val="24"/>
              </w:rPr>
              <w:t>.</w:t>
            </w:r>
          </w:p>
        </w:tc>
      </w:tr>
      <w:tr w:rsidR="007B485D" w:rsidRPr="00727DFA" w14:paraId="42FC155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2F9233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AC83EF4" w14:textId="77777777" w:rsidR="007B485D" w:rsidRPr="00727DFA" w:rsidRDefault="007B485D" w:rsidP="002D6DD7">
            <w:pPr>
              <w:jc w:val="both"/>
              <w:rPr>
                <w:rFonts w:eastAsia="DengXian"/>
                <w:szCs w:val="24"/>
              </w:rPr>
            </w:pPr>
            <w:r w:rsidRPr="00727DFA">
              <w:rPr>
                <w:rFonts w:eastAsia="DengXian"/>
                <w:b/>
                <w:bCs/>
                <w:szCs w:val="24"/>
              </w:rPr>
              <w:t xml:space="preserve">Serious infections due to selected aerobic Gram-negative bacteria in patients with limited treatment options; </w:t>
            </w:r>
            <w:r w:rsidRPr="00727DFA">
              <w:rPr>
                <w:rFonts w:eastAsia="DengXian"/>
                <w:szCs w:val="24"/>
              </w:rPr>
              <w:t>IV infusion</w:t>
            </w:r>
            <w:r w:rsidRPr="00727DFA">
              <w:rPr>
                <w:rFonts w:eastAsia="DengXian"/>
                <w:b/>
                <w:bCs/>
                <w:szCs w:val="24"/>
              </w:rPr>
              <w:t>:</w:t>
            </w:r>
            <w:r w:rsidRPr="00727DFA">
              <w:rPr>
                <w:rFonts w:eastAsia="DengXian"/>
                <w:szCs w:val="24"/>
              </w:rPr>
              <w:t xml:space="preserve"> </w:t>
            </w:r>
          </w:p>
          <w:p w14:paraId="6F241844"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9 million units daily in 2–3 divided doses, an initial loading dose of 9 million units should be used in those who are critically ill</w:t>
            </w:r>
          </w:p>
          <w:p w14:paraId="56C3CBD5" w14:textId="77777777" w:rsidR="007B485D" w:rsidRPr="00727DFA" w:rsidRDefault="007B485D" w:rsidP="002D6DD7">
            <w:pPr>
              <w:jc w:val="both"/>
              <w:rPr>
                <w:rFonts w:eastAsia="DengXian"/>
                <w:szCs w:val="24"/>
              </w:rPr>
            </w:pPr>
            <w:r w:rsidRPr="00727DFA">
              <w:rPr>
                <w:rFonts w:eastAsia="DengXian"/>
                <w:b/>
                <w:bCs/>
                <w:szCs w:val="24"/>
              </w:rPr>
              <w:t>Child (body weight up to 41 kg):</w:t>
            </w:r>
            <w:r w:rsidRPr="00727DFA">
              <w:rPr>
                <w:rFonts w:eastAsia="DengXian"/>
                <w:szCs w:val="24"/>
              </w:rPr>
              <w:t xml:space="preserve"> 75 000–150 000 units/kg daily in 3 divided doses</w:t>
            </w:r>
          </w:p>
          <w:p w14:paraId="306F9035" w14:textId="77777777" w:rsidR="007B485D" w:rsidRPr="00727DFA" w:rsidRDefault="007B485D" w:rsidP="002D6DD7">
            <w:pPr>
              <w:jc w:val="both"/>
              <w:rPr>
                <w:rFonts w:eastAsia="DengXian"/>
                <w:szCs w:val="24"/>
              </w:rPr>
            </w:pPr>
            <w:r w:rsidRPr="00727DFA">
              <w:rPr>
                <w:rFonts w:eastAsia="DengXian"/>
                <w:b/>
                <w:bCs/>
                <w:szCs w:val="24"/>
              </w:rPr>
              <w:t>Child (body weight 41 kg and above):</w:t>
            </w:r>
            <w:r w:rsidRPr="00727DFA">
              <w:rPr>
                <w:rFonts w:eastAsia="DengXian"/>
                <w:szCs w:val="24"/>
              </w:rPr>
              <w:t xml:space="preserve"> 9 million units daily in 2–3 divided doses</w:t>
            </w:r>
          </w:p>
        </w:tc>
      </w:tr>
      <w:tr w:rsidR="007B485D" w:rsidRPr="00727DFA" w14:paraId="1118637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BCAE35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180B124" w14:textId="77777777" w:rsidR="007B485D" w:rsidRPr="00727DFA" w:rsidRDefault="007B485D" w:rsidP="002D6DD7">
            <w:pPr>
              <w:jc w:val="both"/>
              <w:rPr>
                <w:rFonts w:eastAsia="DengXian"/>
                <w:szCs w:val="24"/>
              </w:rPr>
            </w:pPr>
            <w:r>
              <w:rPr>
                <w:rFonts w:eastAsia="DengXian"/>
                <w:szCs w:val="24"/>
              </w:rPr>
              <w:t>Hyper</w:t>
            </w:r>
            <w:r w:rsidRPr="00727DFA">
              <w:rPr>
                <w:rFonts w:eastAsia="DengXian"/>
                <w:szCs w:val="24"/>
              </w:rPr>
              <w:t>sensitivity to the drug</w:t>
            </w:r>
            <w:r>
              <w:rPr>
                <w:rFonts w:eastAsia="DengXian"/>
                <w:szCs w:val="24"/>
              </w:rPr>
              <w:t>,</w:t>
            </w:r>
            <w:r w:rsidRPr="00727DFA">
              <w:rPr>
                <w:rFonts w:eastAsia="DengXian"/>
                <w:szCs w:val="24"/>
              </w:rPr>
              <w:t xml:space="preserve"> </w:t>
            </w:r>
            <w:r>
              <w:rPr>
                <w:rFonts w:eastAsia="DengXian"/>
                <w:szCs w:val="24"/>
              </w:rPr>
              <w:t>m</w:t>
            </w:r>
            <w:r w:rsidRPr="00727DFA">
              <w:rPr>
                <w:rFonts w:eastAsia="DengXian"/>
                <w:szCs w:val="24"/>
              </w:rPr>
              <w:t>yasthenia gravis</w:t>
            </w:r>
            <w:r>
              <w:rPr>
                <w:rFonts w:eastAsia="DengXian"/>
                <w:szCs w:val="24"/>
              </w:rPr>
              <w:t>.</w:t>
            </w:r>
            <w:r w:rsidRPr="00727DFA">
              <w:rPr>
                <w:rFonts w:eastAsia="DengXian"/>
                <w:szCs w:val="24"/>
              </w:rPr>
              <w:t xml:space="preserve"> </w:t>
            </w:r>
          </w:p>
        </w:tc>
      </w:tr>
      <w:tr w:rsidR="007B485D" w:rsidRPr="00727DFA" w14:paraId="3AAF61C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FAC4DE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0348A6E" w14:textId="77777777" w:rsidR="007B485D" w:rsidRPr="00727DFA" w:rsidRDefault="007B485D" w:rsidP="002D6DD7">
            <w:pPr>
              <w:jc w:val="both"/>
              <w:rPr>
                <w:rFonts w:eastAsia="DengXian"/>
                <w:bCs/>
                <w:szCs w:val="24"/>
              </w:rPr>
            </w:pPr>
            <w:r w:rsidRPr="00727DFA">
              <w:rPr>
                <w:rFonts w:eastAsia="DengXian"/>
                <w:bCs/>
                <w:szCs w:val="24"/>
              </w:rPr>
              <w:t>Aminoglycosides,</w:t>
            </w:r>
            <w:r>
              <w:rPr>
                <w:rFonts w:eastAsia="DengXian"/>
                <w:bCs/>
                <w:szCs w:val="24"/>
              </w:rPr>
              <w:t xml:space="preserve"> amphotericin B,</w:t>
            </w:r>
            <w:r w:rsidRPr="00727DFA">
              <w:rPr>
                <w:rFonts w:eastAsia="DengXian"/>
                <w:bCs/>
                <w:szCs w:val="24"/>
              </w:rPr>
              <w:t xml:space="preserve"> polymyxin, tubocurarine, succinylcholine, gallamine,</w:t>
            </w:r>
            <w:r>
              <w:rPr>
                <w:rFonts w:eastAsia="DengXian"/>
                <w:bCs/>
                <w:szCs w:val="24"/>
              </w:rPr>
              <w:t xml:space="preserve"> live cholera vaccine,</w:t>
            </w:r>
            <w:r w:rsidRPr="00727DFA">
              <w:rPr>
                <w:rFonts w:eastAsia="DengXian"/>
                <w:bCs/>
                <w:szCs w:val="24"/>
              </w:rPr>
              <w:t xml:space="preserve"> decamethonium</w:t>
            </w:r>
            <w:r>
              <w:rPr>
                <w:rFonts w:eastAsia="DengXian"/>
                <w:bCs/>
                <w:szCs w:val="24"/>
              </w:rPr>
              <w:t xml:space="preserve">, </w:t>
            </w:r>
            <w:r w:rsidRPr="00727DFA">
              <w:rPr>
                <w:rFonts w:eastAsia="DengXian"/>
                <w:bCs/>
                <w:szCs w:val="24"/>
              </w:rPr>
              <w:t>sodium citrate, sodium cephalothin, mycophenolate mofetil</w:t>
            </w:r>
          </w:p>
        </w:tc>
      </w:tr>
      <w:tr w:rsidR="007B485D" w:rsidRPr="00727DFA" w14:paraId="21859F1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546AB2A"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32159FA" w14:textId="77777777" w:rsidR="007B485D" w:rsidRPr="00727DFA" w:rsidRDefault="007B485D" w:rsidP="002D6DD7">
            <w:pPr>
              <w:jc w:val="both"/>
              <w:rPr>
                <w:rFonts w:eastAsia="DengXian"/>
                <w:szCs w:val="24"/>
              </w:rPr>
            </w:pPr>
            <w:r w:rsidRPr="00727DFA">
              <w:rPr>
                <w:rFonts w:eastAsia="DengXian"/>
                <w:szCs w:val="24"/>
              </w:rPr>
              <w:t>Confusion, nephrotoxicity, presyncope, psychosis,</w:t>
            </w:r>
            <w:r>
              <w:rPr>
                <w:rFonts w:eastAsia="DengXian"/>
                <w:szCs w:val="24"/>
              </w:rPr>
              <w:t xml:space="preserve"> respiratory disorder, paresthesia,</w:t>
            </w:r>
            <w:r w:rsidRPr="00727DFA">
              <w:rPr>
                <w:rFonts w:eastAsia="DengXian"/>
                <w:szCs w:val="24"/>
              </w:rPr>
              <w:t xml:space="preserve"> slurred</w:t>
            </w:r>
            <w:r>
              <w:rPr>
                <w:rFonts w:eastAsia="DengXian"/>
                <w:szCs w:val="24"/>
              </w:rPr>
              <w:t xml:space="preserve"> </w:t>
            </w:r>
            <w:r w:rsidRPr="00727DFA">
              <w:rPr>
                <w:rFonts w:eastAsia="DengXian"/>
                <w:szCs w:val="24"/>
              </w:rPr>
              <w:t>speech</w:t>
            </w:r>
            <w:r>
              <w:rPr>
                <w:rFonts w:eastAsia="DengXian"/>
                <w:szCs w:val="24"/>
              </w:rPr>
              <w:t>,</w:t>
            </w:r>
            <w:r w:rsidRPr="00727DFA">
              <w:rPr>
                <w:rFonts w:eastAsia="DengXian"/>
                <w:szCs w:val="24"/>
              </w:rPr>
              <w:t xml:space="preserve"> visual impairment</w:t>
            </w:r>
            <w:r>
              <w:rPr>
                <w:rFonts w:eastAsia="DengXian"/>
                <w:szCs w:val="24"/>
              </w:rPr>
              <w:t>.</w:t>
            </w:r>
          </w:p>
        </w:tc>
      </w:tr>
      <w:tr w:rsidR="007B485D" w:rsidRPr="00727DFA" w14:paraId="3B44EE0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E342173"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0F3FD30"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 xml:space="preserve">breastfeeding, hepatic impairment, renal impairment, children </w:t>
            </w:r>
            <w:r>
              <w:rPr>
                <w:rFonts w:eastAsia="DengXian"/>
                <w:szCs w:val="24"/>
              </w:rPr>
              <w:t>below</w:t>
            </w:r>
            <w:r w:rsidRPr="00727DFA">
              <w:rPr>
                <w:rFonts w:eastAsia="DengXian"/>
                <w:szCs w:val="24"/>
              </w:rPr>
              <w:t xml:space="preserve"> 1 year of age</w:t>
            </w:r>
            <w:r>
              <w:rPr>
                <w:rFonts w:eastAsia="DengXian"/>
                <w:szCs w:val="24"/>
              </w:rPr>
              <w:t>.</w:t>
            </w:r>
          </w:p>
        </w:tc>
      </w:tr>
      <w:tr w:rsidR="007B485D" w:rsidRPr="00727DFA" w14:paraId="7624782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E6D8433"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A756EB2"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75B08D7F" w14:textId="77777777" w:rsidTr="002D6DD7">
        <w:trPr>
          <w:trHeight w:val="460"/>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0227A09" w14:textId="77777777" w:rsidR="007B485D" w:rsidRPr="00727DFA" w:rsidRDefault="007B485D" w:rsidP="002D6DD7">
            <w:pPr>
              <w:jc w:val="both"/>
              <w:rPr>
                <w:rFonts w:eastAsia="DengXian"/>
                <w:szCs w:val="24"/>
              </w:rPr>
            </w:pPr>
            <w:r w:rsidRPr="00587263">
              <w:rPr>
                <w:rFonts w:eastAsia="DengXian"/>
                <w:b/>
                <w:bCs/>
                <w:szCs w:val="24"/>
              </w:rPr>
              <w:t xml:space="preserve">Linezolid </w:t>
            </w:r>
            <w:r w:rsidRPr="00873AF2">
              <w:rPr>
                <w:rFonts w:eastAsia="DengXian"/>
                <w:b/>
                <w:bCs/>
                <w:szCs w:val="24"/>
              </w:rPr>
              <w:t>(Reserved)</w:t>
            </w:r>
          </w:p>
        </w:tc>
      </w:tr>
      <w:tr w:rsidR="007B485D" w:rsidRPr="00727DFA" w14:paraId="705E159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1314670" w14:textId="77777777" w:rsidR="007B485D" w:rsidRPr="00727DFA" w:rsidRDefault="007B485D" w:rsidP="002D6DD7">
            <w:pPr>
              <w:jc w:val="both"/>
              <w:rPr>
                <w:rFonts w:eastAsia="DengXian"/>
                <w:szCs w:val="24"/>
              </w:rPr>
            </w:pPr>
            <w:r w:rsidRPr="00727DFA">
              <w:rPr>
                <w:rFonts w:eastAsia="DengXian"/>
                <w:szCs w:val="24"/>
              </w:rPr>
              <w:lastRenderedPageBreak/>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A67EF8F" w14:textId="77777777" w:rsidR="007B485D" w:rsidRPr="00727DFA" w:rsidRDefault="007B485D" w:rsidP="002D6DD7">
            <w:pPr>
              <w:jc w:val="both"/>
              <w:rPr>
                <w:rFonts w:eastAsia="DengXian"/>
                <w:szCs w:val="24"/>
              </w:rPr>
            </w:pPr>
            <w:r w:rsidRPr="00727DFA">
              <w:rPr>
                <w:rFonts w:eastAsia="DengXian"/>
                <w:szCs w:val="24"/>
              </w:rPr>
              <w:t xml:space="preserve">Oxazolidinone </w:t>
            </w:r>
          </w:p>
        </w:tc>
      </w:tr>
      <w:tr w:rsidR="007B485D" w:rsidRPr="00810924" w14:paraId="7F2F61A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47031FA"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F3A2D18" w14:textId="77777777" w:rsidR="007B485D" w:rsidRPr="00727DFA" w:rsidRDefault="007B485D" w:rsidP="002D6DD7">
            <w:pPr>
              <w:jc w:val="both"/>
              <w:rPr>
                <w:rFonts w:eastAsia="DengXian"/>
                <w:szCs w:val="24"/>
              </w:rPr>
            </w:pPr>
            <w:r w:rsidRPr="00727DFA">
              <w:rPr>
                <w:rFonts w:eastAsia="DengXian"/>
                <w:szCs w:val="24"/>
              </w:rPr>
              <w:t>Injection for intravenous administration: 2 mg/mL in 300 mL bag</w:t>
            </w:r>
          </w:p>
          <w:p w14:paraId="35E0D36D" w14:textId="77777777" w:rsidR="007B485D" w:rsidRPr="00727DFA" w:rsidRDefault="007B485D" w:rsidP="002D6DD7">
            <w:pPr>
              <w:jc w:val="both"/>
              <w:rPr>
                <w:rFonts w:eastAsia="DengXian"/>
                <w:szCs w:val="24"/>
                <w:lang w:val="nb-NO"/>
              </w:rPr>
            </w:pPr>
            <w:r w:rsidRPr="00727DFA">
              <w:rPr>
                <w:rFonts w:eastAsia="DengXian"/>
                <w:szCs w:val="24"/>
                <w:lang w:val="nb-NO"/>
              </w:rPr>
              <w:t>Powder for oral liquid: 100 mg/5 mL</w:t>
            </w:r>
          </w:p>
          <w:p w14:paraId="0D1BD10C"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150 mg, 600mg </w:t>
            </w:r>
          </w:p>
        </w:tc>
      </w:tr>
      <w:tr w:rsidR="007B485D" w:rsidRPr="00727DFA" w14:paraId="301BBD7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7C2D2AF"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8195D43" w14:textId="77777777" w:rsidR="007B485D" w:rsidRPr="00727DFA" w:rsidRDefault="007B485D" w:rsidP="002D6DD7">
            <w:pPr>
              <w:jc w:val="both"/>
              <w:rPr>
                <w:rFonts w:eastAsia="DengXian"/>
                <w:szCs w:val="24"/>
              </w:rPr>
            </w:pPr>
            <w:r w:rsidRPr="00727DFA">
              <w:rPr>
                <w:rFonts w:eastAsia="DengXian"/>
                <w:szCs w:val="24"/>
              </w:rPr>
              <w:t>Drug-resistant TB as a primary regimen drug for the intensive phase of treatment (6 months) in an appropriate combination, pneumonia and complicated skin and soft-tissue infections when other antibacterials cannot be used, severe diabetic foot infection</w:t>
            </w:r>
            <w:r>
              <w:rPr>
                <w:rFonts w:eastAsia="DengXian"/>
                <w:szCs w:val="24"/>
              </w:rPr>
              <w:t>.</w:t>
            </w:r>
          </w:p>
        </w:tc>
      </w:tr>
      <w:tr w:rsidR="007B485D" w:rsidRPr="00727DFA" w14:paraId="6BF028A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33F5352"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F6C3E44" w14:textId="77777777" w:rsidR="007B485D" w:rsidRPr="00727DFA" w:rsidRDefault="007B485D" w:rsidP="002D6DD7">
            <w:pPr>
              <w:jc w:val="both"/>
              <w:rPr>
                <w:rFonts w:eastAsia="DengXian"/>
                <w:b/>
                <w:bCs/>
                <w:szCs w:val="24"/>
              </w:rPr>
            </w:pPr>
            <w:r w:rsidRPr="00727DFA">
              <w:rPr>
                <w:rFonts w:eastAsia="DengXian"/>
                <w:b/>
                <w:bCs/>
                <w:szCs w:val="24"/>
              </w:rPr>
              <w:t>Adult</w:t>
            </w:r>
            <w:r>
              <w:rPr>
                <w:rFonts w:eastAsia="DengXian"/>
                <w:b/>
                <w:bCs/>
                <w:szCs w:val="24"/>
              </w:rPr>
              <w:t>;</w:t>
            </w:r>
            <w:r w:rsidRPr="00727DFA">
              <w:rPr>
                <w:rFonts w:eastAsia="DengXian"/>
                <w:b/>
                <w:bCs/>
                <w:szCs w:val="24"/>
              </w:rPr>
              <w:t xml:space="preserve"> </w:t>
            </w:r>
            <w:r w:rsidRPr="00727DFA">
              <w:rPr>
                <w:rFonts w:eastAsia="DengXian"/>
                <w:szCs w:val="24"/>
              </w:rPr>
              <w:t>Oral or IV infusion</w:t>
            </w:r>
            <w:r w:rsidRPr="00727DFA">
              <w:rPr>
                <w:rFonts w:eastAsia="DengXian"/>
                <w:b/>
                <w:bCs/>
                <w:szCs w:val="24"/>
              </w:rPr>
              <w:t xml:space="preserve">: </w:t>
            </w:r>
            <w:r w:rsidRPr="00727DFA">
              <w:rPr>
                <w:rFonts w:eastAsia="DengXian"/>
                <w:szCs w:val="24"/>
              </w:rPr>
              <w:t xml:space="preserve">600 mg every 12 hours </w:t>
            </w:r>
          </w:p>
          <w:p w14:paraId="169D8980" w14:textId="77777777" w:rsidR="007B485D" w:rsidRPr="00727DFA" w:rsidRDefault="007B485D" w:rsidP="002D6DD7">
            <w:pPr>
              <w:jc w:val="both"/>
              <w:rPr>
                <w:rFonts w:eastAsia="DengXian"/>
                <w:b/>
                <w:bCs/>
                <w:szCs w:val="24"/>
              </w:rPr>
            </w:pPr>
            <w:r w:rsidRPr="00727DFA">
              <w:rPr>
                <w:rFonts w:eastAsia="DengXian"/>
                <w:b/>
                <w:bCs/>
                <w:szCs w:val="24"/>
              </w:rPr>
              <w:t>Child</w:t>
            </w:r>
            <w:r>
              <w:rPr>
                <w:rFonts w:eastAsia="DengXian"/>
                <w:b/>
                <w:bCs/>
                <w:szCs w:val="24"/>
              </w:rPr>
              <w:t>:</w:t>
            </w:r>
            <w:r w:rsidRPr="00727DFA">
              <w:rPr>
                <w:rFonts w:eastAsia="DengXian"/>
                <w:b/>
                <w:bCs/>
                <w:szCs w:val="24"/>
              </w:rPr>
              <w:t xml:space="preserve"> </w:t>
            </w:r>
            <w:r w:rsidRPr="00873AF2">
              <w:rPr>
                <w:rFonts w:eastAsia="DengXian"/>
                <w:szCs w:val="24"/>
              </w:rPr>
              <w:t>Oral:</w:t>
            </w:r>
            <w:r w:rsidRPr="00727DFA">
              <w:rPr>
                <w:rFonts w:eastAsia="DengXian"/>
                <w:b/>
                <w:bCs/>
                <w:szCs w:val="24"/>
              </w:rPr>
              <w:t xml:space="preserve"> </w:t>
            </w:r>
          </w:p>
          <w:p w14:paraId="34B0C253" w14:textId="77777777" w:rsidR="007B485D" w:rsidRDefault="007B485D" w:rsidP="002D6DD7">
            <w:pPr>
              <w:jc w:val="both"/>
              <w:rPr>
                <w:rFonts w:eastAsia="DengXian"/>
                <w:b/>
                <w:bCs/>
                <w:szCs w:val="24"/>
              </w:rPr>
            </w:pPr>
            <w:r w:rsidRPr="00EA736A">
              <w:rPr>
                <w:rFonts w:eastAsia="DengXian"/>
                <w:b/>
                <w:bCs/>
                <w:szCs w:val="24"/>
              </w:rPr>
              <w:t>Child</w:t>
            </w:r>
            <w:r w:rsidRPr="00911558">
              <w:rPr>
                <w:rFonts w:eastAsia="DengXian"/>
                <w:b/>
                <w:bCs/>
                <w:szCs w:val="24"/>
              </w:rPr>
              <w:t xml:space="preserve"> less than 12 years</w:t>
            </w:r>
            <w:r w:rsidRPr="00727DFA">
              <w:rPr>
                <w:rFonts w:eastAsia="DengXian"/>
                <w:szCs w:val="24"/>
              </w:rPr>
              <w:t>: 10 mg/kg every 12 hours</w:t>
            </w:r>
            <w:r w:rsidRPr="00727DFA">
              <w:rPr>
                <w:rFonts w:eastAsia="DengXian"/>
                <w:b/>
                <w:bCs/>
                <w:szCs w:val="24"/>
              </w:rPr>
              <w:t xml:space="preserve"> </w:t>
            </w:r>
          </w:p>
          <w:p w14:paraId="7C1BC749" w14:textId="77777777" w:rsidR="007B485D" w:rsidRPr="00727DFA" w:rsidRDefault="007B485D" w:rsidP="002D6DD7">
            <w:pPr>
              <w:jc w:val="both"/>
              <w:rPr>
                <w:rFonts w:eastAsia="DengXian"/>
                <w:szCs w:val="24"/>
              </w:rPr>
            </w:pPr>
            <w:r w:rsidRPr="00727DFA">
              <w:rPr>
                <w:rFonts w:eastAsia="DengXian"/>
                <w:b/>
                <w:bCs/>
                <w:szCs w:val="24"/>
              </w:rPr>
              <w:t xml:space="preserve">Child </w:t>
            </w:r>
            <w:r w:rsidRPr="00873AF2">
              <w:rPr>
                <w:rFonts w:eastAsia="DengXian"/>
                <w:b/>
                <w:bCs/>
                <w:szCs w:val="24"/>
              </w:rPr>
              <w:t>12 to 18 years</w:t>
            </w:r>
            <w:r w:rsidRPr="00727DFA">
              <w:rPr>
                <w:rFonts w:eastAsia="DengXian"/>
                <w:szCs w:val="24"/>
              </w:rPr>
              <w:t>: Usual adult doses</w:t>
            </w:r>
          </w:p>
          <w:p w14:paraId="50B93341" w14:textId="77777777" w:rsidR="007B485D" w:rsidRPr="00727DFA" w:rsidRDefault="007B485D" w:rsidP="002D6DD7">
            <w:pPr>
              <w:jc w:val="both"/>
              <w:rPr>
                <w:rFonts w:eastAsia="DengXian"/>
                <w:szCs w:val="24"/>
              </w:rPr>
            </w:pPr>
          </w:p>
        </w:tc>
      </w:tr>
      <w:tr w:rsidR="007B485D" w:rsidRPr="00727DFA" w14:paraId="53D4CF42" w14:textId="77777777" w:rsidTr="002D6DD7">
        <w:trPr>
          <w:trHeight w:hRule="exact" w:val="847"/>
          <w:jc w:val="center"/>
        </w:trPr>
        <w:tc>
          <w:tcPr>
            <w:tcW w:w="2605" w:type="dxa"/>
            <w:tcBorders>
              <w:top w:val="single" w:sz="4" w:space="0" w:color="auto"/>
              <w:left w:val="single" w:sz="4" w:space="0" w:color="auto"/>
              <w:bottom w:val="single" w:sz="4" w:space="0" w:color="auto"/>
              <w:right w:val="single" w:sz="4" w:space="0" w:color="auto"/>
            </w:tcBorders>
            <w:hideMark/>
          </w:tcPr>
          <w:p w14:paraId="77540839"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DCC5B3B" w14:textId="77777777" w:rsidR="007B485D" w:rsidRPr="00727DFA" w:rsidRDefault="007B485D" w:rsidP="002D6DD7">
            <w:pPr>
              <w:jc w:val="both"/>
              <w:rPr>
                <w:rFonts w:eastAsia="DengXian"/>
                <w:szCs w:val="24"/>
              </w:rPr>
            </w:pPr>
            <w:r w:rsidRPr="00727DFA">
              <w:rPr>
                <w:rFonts w:eastAsia="DengXian"/>
                <w:szCs w:val="24"/>
              </w:rPr>
              <w:t xml:space="preserve">Hypersensitivity to the </w:t>
            </w:r>
            <w:r>
              <w:rPr>
                <w:rFonts w:eastAsia="DengXian"/>
                <w:szCs w:val="24"/>
              </w:rPr>
              <w:t>drug</w:t>
            </w:r>
            <w:r w:rsidRPr="00727DFA">
              <w:rPr>
                <w:rFonts w:eastAsia="DengXian"/>
                <w:szCs w:val="24"/>
              </w:rPr>
              <w:t xml:space="preserve">, concomitant use or within 2 weeks of discontinuing monoamine oxidases </w:t>
            </w:r>
            <w:r>
              <w:rPr>
                <w:rFonts w:eastAsia="DengXian"/>
                <w:szCs w:val="24"/>
              </w:rPr>
              <w:t>inhibitors.</w:t>
            </w:r>
            <w:r w:rsidRPr="00727DFA">
              <w:rPr>
                <w:rFonts w:eastAsia="DengXian"/>
                <w:szCs w:val="24"/>
              </w:rPr>
              <w:t xml:space="preserve"> </w:t>
            </w:r>
          </w:p>
        </w:tc>
      </w:tr>
      <w:tr w:rsidR="007B485D" w:rsidRPr="00727DFA" w14:paraId="7322BF6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61FF550"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312CBD7" w14:textId="77777777" w:rsidR="007B485D" w:rsidRPr="00727DFA" w:rsidRDefault="007B485D" w:rsidP="002D6DD7">
            <w:pPr>
              <w:jc w:val="both"/>
              <w:rPr>
                <w:rFonts w:eastAsia="DengXian"/>
                <w:szCs w:val="24"/>
              </w:rPr>
            </w:pPr>
            <w:r w:rsidRPr="00727DFA">
              <w:rPr>
                <w:rFonts w:eastAsia="DengXian"/>
                <w:szCs w:val="24"/>
              </w:rPr>
              <w:t>Rifampicin, phenytoin, insulin or oral antidiabetics, tramadol</w:t>
            </w:r>
            <w:r>
              <w:rPr>
                <w:rFonts w:eastAsia="DengXian"/>
                <w:szCs w:val="24"/>
              </w:rPr>
              <w:t>,</w:t>
            </w:r>
            <w:r w:rsidRPr="00727DFA">
              <w:rPr>
                <w:rFonts w:eastAsia="DengXian"/>
                <w:szCs w:val="24"/>
              </w:rPr>
              <w:t xml:space="preserve"> serotonergic drugs (e.g., bupropion,</w:t>
            </w:r>
            <w:r>
              <w:rPr>
                <w:rFonts w:eastAsia="DengXian"/>
                <w:szCs w:val="24"/>
              </w:rPr>
              <w:t xml:space="preserve"> fluoxetine</w:t>
            </w:r>
            <w:r w:rsidRPr="00727DFA">
              <w:rPr>
                <w:rFonts w:eastAsia="DengXian"/>
                <w:szCs w:val="24"/>
              </w:rPr>
              <w:t>, mirtazapine, amoxapine, buspirone, maprotiline, meperidine, trazodone, nefazodone),</w:t>
            </w:r>
            <w:r>
              <w:rPr>
                <w:rFonts w:eastAsia="DengXian"/>
                <w:szCs w:val="24"/>
              </w:rPr>
              <w:t xml:space="preserve"> sumatriptan, carbamazepine, cyproheptadine,</w:t>
            </w:r>
            <w:r w:rsidRPr="00727DFA">
              <w:rPr>
                <w:rFonts w:eastAsia="DengXian"/>
                <w:szCs w:val="24"/>
              </w:rPr>
              <w:t xml:space="preserve"> vasopressive agents (e.g., epinephrine, norepinephrine), sympathomimetic agents (e.g., pseudoephedrine</w:t>
            </w:r>
            <w:r>
              <w:rPr>
                <w:rFonts w:eastAsia="DengXian"/>
                <w:szCs w:val="24"/>
              </w:rPr>
              <w:t>, salbutamol</w:t>
            </w:r>
            <w:r w:rsidRPr="00727DFA">
              <w:rPr>
                <w:rFonts w:eastAsia="DengXian"/>
                <w:szCs w:val="24"/>
              </w:rPr>
              <w:t>)</w:t>
            </w:r>
            <w:r>
              <w:rPr>
                <w:rFonts w:eastAsia="DengXian"/>
                <w:szCs w:val="24"/>
              </w:rPr>
              <w:t>,</w:t>
            </w:r>
            <w:r w:rsidRPr="00727DFA">
              <w:rPr>
                <w:rFonts w:eastAsia="DengXian"/>
                <w:szCs w:val="24"/>
              </w:rPr>
              <w:t xml:space="preserve"> dopaminergic agents (e.g., dopamine, dobutamine), warfarin</w:t>
            </w:r>
            <w:r>
              <w:rPr>
                <w:rFonts w:eastAsia="DengXian"/>
                <w:szCs w:val="24"/>
              </w:rPr>
              <w:t>,</w:t>
            </w:r>
            <w:r w:rsidRPr="00727DFA">
              <w:rPr>
                <w:rFonts w:eastAsia="DengXian"/>
                <w:szCs w:val="24"/>
              </w:rPr>
              <w:t xml:space="preserve"> tyramine-rich foods</w:t>
            </w:r>
            <w:r>
              <w:rPr>
                <w:rFonts w:eastAsia="DengXian"/>
                <w:szCs w:val="24"/>
              </w:rPr>
              <w:t>.</w:t>
            </w:r>
          </w:p>
        </w:tc>
      </w:tr>
      <w:tr w:rsidR="007B485D" w:rsidRPr="00727DFA" w14:paraId="54CD10E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71603DA"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29E7A77" w14:textId="77777777" w:rsidR="007B485D" w:rsidRPr="00727DFA" w:rsidRDefault="007B485D" w:rsidP="002D6DD7">
            <w:pPr>
              <w:jc w:val="both"/>
              <w:rPr>
                <w:rFonts w:eastAsia="DengXian"/>
                <w:szCs w:val="24"/>
              </w:rPr>
            </w:pPr>
            <w:r w:rsidRPr="00727DFA">
              <w:rPr>
                <w:rFonts w:eastAsia="DengXian"/>
                <w:szCs w:val="24"/>
              </w:rPr>
              <w:t>Anemia, GI discomfort, constipation, diarrhea, taste altered, nausea, vomiting, thirst, tongue discoloration, dizziness, insomnia, seizure, headache, hypertension, increased risk of infection, localized pain, skin reactions, arrhythmia, transient ischemic attack, thrombocytopenia, thrombophlebitis, tinnitus, vision disorders, antibiotic associated colitis, bone marrow disorders</w:t>
            </w:r>
            <w:r>
              <w:rPr>
                <w:rFonts w:eastAsia="DengXian"/>
                <w:szCs w:val="24"/>
              </w:rPr>
              <w:t xml:space="preserve">. </w:t>
            </w:r>
          </w:p>
        </w:tc>
      </w:tr>
      <w:tr w:rsidR="007B485D" w:rsidRPr="00727DFA" w14:paraId="18C06BB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A0D65EC"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F0BF4F0" w14:textId="77777777" w:rsidR="007B485D" w:rsidRPr="00727DFA" w:rsidRDefault="007B485D" w:rsidP="002D6DD7">
            <w:pPr>
              <w:jc w:val="both"/>
              <w:rPr>
                <w:rFonts w:eastAsia="DengXian"/>
                <w:szCs w:val="24"/>
              </w:rPr>
            </w:pPr>
            <w:r w:rsidRPr="00727DFA">
              <w:rPr>
                <w:rFonts w:eastAsia="DengXian"/>
                <w:szCs w:val="24"/>
              </w:rPr>
              <w:t xml:space="preserve">Pre-existing myelosuppression, history of seizure, diabetes mellitus, phenylketonuria, severe renal impairment, hepatic </w:t>
            </w:r>
            <w:r w:rsidRPr="00727DFA">
              <w:rPr>
                <w:rFonts w:eastAsia="DengXian"/>
                <w:szCs w:val="24"/>
              </w:rPr>
              <w:lastRenderedPageBreak/>
              <w:t>impairment, acute confusional states, bipolar depression, schizophrenia, carcinoid tumour, elderly, thyrotoxicosis, uncontrolled hypertension, pregnancy</w:t>
            </w:r>
            <w:r>
              <w:rPr>
                <w:rFonts w:eastAsia="DengXian"/>
                <w:szCs w:val="24"/>
              </w:rPr>
              <w:t>,</w:t>
            </w:r>
            <w:r w:rsidRPr="00727DFA">
              <w:rPr>
                <w:rFonts w:eastAsia="DengXian"/>
                <w:szCs w:val="24"/>
              </w:rPr>
              <w:t xml:space="preserve"> breastfeeding</w:t>
            </w:r>
            <w:r>
              <w:rPr>
                <w:rFonts w:eastAsia="DengXian"/>
                <w:szCs w:val="24"/>
              </w:rPr>
              <w:t>.</w:t>
            </w:r>
          </w:p>
        </w:tc>
      </w:tr>
      <w:tr w:rsidR="007B485D" w:rsidRPr="00727DFA" w14:paraId="5D2B239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8F1EF41" w14:textId="77777777" w:rsidR="007B485D" w:rsidRPr="00727DFA" w:rsidRDefault="007B485D" w:rsidP="002D6DD7">
            <w:pPr>
              <w:jc w:val="both"/>
              <w:rPr>
                <w:rFonts w:eastAsia="DengXian"/>
                <w:szCs w:val="24"/>
              </w:rPr>
            </w:pPr>
            <w:r w:rsidRPr="00727DFA">
              <w:rPr>
                <w:rFonts w:eastAsia="DengXian"/>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4744FED"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5DB30816"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B0158A8" w14:textId="77777777" w:rsidR="007B485D" w:rsidRPr="00727DFA" w:rsidRDefault="007B485D" w:rsidP="002D6DD7">
            <w:pPr>
              <w:jc w:val="both"/>
              <w:rPr>
                <w:rFonts w:eastAsia="DengXian"/>
                <w:szCs w:val="24"/>
              </w:rPr>
            </w:pPr>
            <w:r w:rsidRPr="00727DFA">
              <w:rPr>
                <w:rFonts w:eastAsia="DengXian"/>
                <w:b/>
                <w:bCs/>
                <w:szCs w:val="24"/>
              </w:rPr>
              <w:t xml:space="preserve">Metronidazole </w:t>
            </w:r>
            <w:r w:rsidRPr="00873AF2">
              <w:rPr>
                <w:rFonts w:eastAsia="DengXian"/>
                <w:b/>
                <w:bCs/>
                <w:szCs w:val="24"/>
              </w:rPr>
              <w:t>(Access)</w:t>
            </w:r>
          </w:p>
        </w:tc>
      </w:tr>
      <w:tr w:rsidR="007B485D" w:rsidRPr="00727DFA" w14:paraId="1D41F6E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84A12C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CBF2D85" w14:textId="77777777" w:rsidR="007B485D" w:rsidRPr="00727DFA" w:rsidRDefault="007B485D" w:rsidP="002D6DD7">
            <w:pPr>
              <w:jc w:val="both"/>
              <w:rPr>
                <w:rFonts w:eastAsia="DengXian"/>
                <w:szCs w:val="24"/>
              </w:rPr>
            </w:pPr>
            <w:r w:rsidRPr="00727DFA">
              <w:rPr>
                <w:rFonts w:eastAsia="DengXian"/>
                <w:szCs w:val="24"/>
              </w:rPr>
              <w:t>Nitroimidazole</w:t>
            </w:r>
          </w:p>
        </w:tc>
      </w:tr>
      <w:tr w:rsidR="007B485D" w:rsidRPr="00727DFA" w14:paraId="3249851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6A9962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2F1D2F2" w14:textId="77777777" w:rsidR="007B485D" w:rsidRPr="00727DFA" w:rsidRDefault="007B485D" w:rsidP="002D6DD7">
            <w:pPr>
              <w:jc w:val="both"/>
              <w:rPr>
                <w:rFonts w:eastAsia="DengXian"/>
                <w:szCs w:val="24"/>
              </w:rPr>
            </w:pPr>
            <w:r w:rsidRPr="00727DFA">
              <w:rPr>
                <w:rFonts w:eastAsia="DengXian"/>
                <w:szCs w:val="24"/>
              </w:rPr>
              <w:t>Intravenous infusion: 5mg/ml in 100ml</w:t>
            </w:r>
          </w:p>
          <w:p w14:paraId="02366F06" w14:textId="77777777" w:rsidR="007B485D" w:rsidRPr="00727DFA" w:rsidRDefault="007B485D" w:rsidP="002D6DD7">
            <w:pPr>
              <w:jc w:val="both"/>
              <w:rPr>
                <w:rFonts w:eastAsia="DengXian"/>
                <w:szCs w:val="24"/>
              </w:rPr>
            </w:pPr>
            <w:r w:rsidRPr="00727DFA">
              <w:rPr>
                <w:rFonts w:eastAsia="DengXian"/>
                <w:szCs w:val="24"/>
              </w:rPr>
              <w:t>Tablet/Capsule: 250mg, 500mg</w:t>
            </w:r>
          </w:p>
          <w:p w14:paraId="7D4DFC3D" w14:textId="77777777" w:rsidR="007B485D" w:rsidRPr="00727DFA" w:rsidRDefault="007B485D" w:rsidP="002D6DD7">
            <w:pPr>
              <w:jc w:val="both"/>
              <w:rPr>
                <w:rFonts w:eastAsia="DengXian"/>
                <w:szCs w:val="24"/>
              </w:rPr>
            </w:pPr>
            <w:r w:rsidRPr="00727DFA">
              <w:rPr>
                <w:rFonts w:eastAsia="DengXian"/>
                <w:szCs w:val="24"/>
              </w:rPr>
              <w:t>Oral liquid: 125mg (benzoate)/5ml</w:t>
            </w:r>
          </w:p>
          <w:p w14:paraId="33D29FCF" w14:textId="77777777" w:rsidR="007B485D" w:rsidRPr="00727DFA" w:rsidRDefault="007B485D" w:rsidP="002D6DD7">
            <w:pPr>
              <w:jc w:val="both"/>
              <w:rPr>
                <w:rFonts w:eastAsia="DengXian"/>
                <w:szCs w:val="24"/>
              </w:rPr>
            </w:pPr>
            <w:r w:rsidRPr="00727DFA">
              <w:rPr>
                <w:rFonts w:eastAsia="DengXian"/>
                <w:szCs w:val="24"/>
              </w:rPr>
              <w:t>Suppository: 500mg, 1gm</w:t>
            </w:r>
          </w:p>
        </w:tc>
      </w:tr>
      <w:tr w:rsidR="007B485D" w:rsidRPr="00727DFA" w14:paraId="6562478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9849D39"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F907EED" w14:textId="77777777" w:rsidR="007B485D" w:rsidRPr="00727DFA" w:rsidRDefault="007B485D" w:rsidP="002D6DD7">
            <w:pPr>
              <w:jc w:val="both"/>
              <w:rPr>
                <w:rFonts w:eastAsia="DengXian"/>
                <w:szCs w:val="24"/>
              </w:rPr>
            </w:pPr>
            <w:r w:rsidRPr="00727DFA">
              <w:rPr>
                <w:rFonts w:eastAsia="DengXian"/>
                <w:szCs w:val="24"/>
              </w:rPr>
              <w:t xml:space="preserve">Anaerobic infections </w:t>
            </w:r>
            <w:r>
              <w:rPr>
                <w:rFonts w:eastAsia="DengXian"/>
                <w:szCs w:val="24"/>
              </w:rPr>
              <w:t>(</w:t>
            </w:r>
            <w:r w:rsidRPr="00727DFA">
              <w:rPr>
                <w:rFonts w:eastAsia="DengXian"/>
                <w:szCs w:val="24"/>
              </w:rPr>
              <w:t>caused by species of bacteroides, anaerobic streptococci, fusobacteria, clostridia</w:t>
            </w:r>
            <w:r>
              <w:rPr>
                <w:rFonts w:eastAsia="DengXian"/>
                <w:szCs w:val="24"/>
              </w:rPr>
              <w:t>),</w:t>
            </w:r>
            <w:r w:rsidRPr="00727DFA">
              <w:rPr>
                <w:rFonts w:eastAsia="DengXian"/>
                <w:szCs w:val="24"/>
              </w:rPr>
              <w:t xml:space="preserve"> bone and joint infection, meningitis, bacterial endocarditis, prophylaxis of perioperative infection during colorectal surgery, lower respiratory tract infection including pneumonia, empyema and lung abscess</w:t>
            </w:r>
            <w:r>
              <w:rPr>
                <w:rFonts w:eastAsia="DengXian"/>
                <w:szCs w:val="24"/>
              </w:rPr>
              <w:t>,</w:t>
            </w:r>
            <w:r w:rsidRPr="00727DFA">
              <w:rPr>
                <w:rFonts w:eastAsia="DengXian"/>
                <w:szCs w:val="24"/>
              </w:rPr>
              <w:t xml:space="preserve">  bacterial septicemia, skin and soft tissue infection, inflammatory bowel disease, antibiotic associated colitis, </w:t>
            </w:r>
            <w:r w:rsidRPr="00727DFA">
              <w:rPr>
                <w:rFonts w:eastAsia="DengXian"/>
                <w:i/>
                <w:iCs/>
                <w:szCs w:val="24"/>
              </w:rPr>
              <w:t>Helicobacter pylori</w:t>
            </w:r>
            <w:r w:rsidRPr="00727DFA">
              <w:rPr>
                <w:rFonts w:eastAsia="DengXian"/>
                <w:szCs w:val="24"/>
              </w:rPr>
              <w:t xml:space="preserve"> associated duodenal ulcer, acute ulcerative gingivitis, urogenital trichomoniasis, acute dental infections, non-specific vaginitis</w:t>
            </w:r>
            <w:r>
              <w:rPr>
                <w:rFonts w:eastAsia="DengXian"/>
                <w:szCs w:val="24"/>
              </w:rPr>
              <w:t>.</w:t>
            </w:r>
          </w:p>
        </w:tc>
      </w:tr>
      <w:tr w:rsidR="007B485D" w:rsidRPr="00727DFA" w14:paraId="079A9A8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65EE29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1272E1F" w14:textId="77777777" w:rsidR="007B485D" w:rsidRPr="00727DFA" w:rsidRDefault="007B485D" w:rsidP="002D6DD7">
            <w:pPr>
              <w:jc w:val="both"/>
              <w:rPr>
                <w:rFonts w:eastAsia="DengXian"/>
                <w:szCs w:val="24"/>
              </w:rPr>
            </w:pPr>
            <w:r w:rsidRPr="00727DFA">
              <w:rPr>
                <w:rFonts w:eastAsia="DengXian"/>
                <w:b/>
                <w:bCs/>
                <w:szCs w:val="24"/>
              </w:rPr>
              <w:t>Anaerobic infections(systemic):</w:t>
            </w:r>
            <w:r w:rsidRPr="00727DFA">
              <w:rPr>
                <w:rFonts w:eastAsia="DengXian"/>
                <w:szCs w:val="24"/>
              </w:rPr>
              <w:t xml:space="preserve"> </w:t>
            </w:r>
          </w:p>
          <w:p w14:paraId="57211362"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w:t>
            </w:r>
          </w:p>
          <w:p w14:paraId="2AF17251"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400 mg every 8 hours, alternatively 500 mg every 8 hours) or 7.5mg (base) per kg of body weight up to a maximum of 1 gm, every 6 hours </w:t>
            </w:r>
          </w:p>
          <w:p w14:paraId="0BBB58F5" w14:textId="77777777" w:rsidR="007B485D" w:rsidRPr="00727DFA" w:rsidRDefault="007B485D" w:rsidP="002D6DD7">
            <w:pPr>
              <w:jc w:val="both"/>
              <w:rPr>
                <w:rFonts w:eastAsia="DengXian"/>
                <w:szCs w:val="24"/>
              </w:rPr>
            </w:pPr>
            <w:r w:rsidRPr="00727DFA">
              <w:rPr>
                <w:rFonts w:eastAsia="DengXian"/>
                <w:b/>
                <w:szCs w:val="24"/>
              </w:rPr>
              <w:t>IV Infusion</w:t>
            </w:r>
            <w:r w:rsidRPr="00727DFA">
              <w:rPr>
                <w:rFonts w:eastAsia="DengXian"/>
                <w:szCs w:val="24"/>
              </w:rPr>
              <w:t xml:space="preserve">: </w:t>
            </w:r>
          </w:p>
          <w:p w14:paraId="2D506614"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500 mg every 8 hours to be given over 20 minutes or IV-infusion, 15mg (base) per kg of body weight initially, then 7.5mg per kg of body weight up to a maximum of 1gm, every 6 hours for seven days or longer </w:t>
            </w:r>
          </w:p>
          <w:p w14:paraId="0068D427" w14:textId="77777777" w:rsidR="007B485D" w:rsidRPr="00727DFA" w:rsidRDefault="007B485D" w:rsidP="002D6DD7">
            <w:pPr>
              <w:jc w:val="both"/>
              <w:rPr>
                <w:rFonts w:eastAsia="DengXian"/>
                <w:szCs w:val="24"/>
              </w:rPr>
            </w:pPr>
            <w:r w:rsidRPr="00727DFA">
              <w:rPr>
                <w:rFonts w:eastAsia="DengXian"/>
                <w:b/>
                <w:bCs/>
                <w:szCs w:val="24"/>
              </w:rPr>
              <w:t>Acute ulcerative gingivitis and acute oral infections;</w:t>
            </w:r>
            <w:r w:rsidRPr="00727DFA">
              <w:rPr>
                <w:rFonts w:eastAsia="DengXian"/>
                <w:szCs w:val="24"/>
              </w:rPr>
              <w:t xml:space="preserve"> Oral: </w:t>
            </w:r>
          </w:p>
          <w:p w14:paraId="509F8933"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w:t>
            </w:r>
            <w:r>
              <w:rPr>
                <w:rFonts w:eastAsia="DengXian"/>
                <w:szCs w:val="24"/>
              </w:rPr>
              <w:t>5</w:t>
            </w:r>
            <w:r w:rsidRPr="00727DFA">
              <w:rPr>
                <w:rFonts w:eastAsia="DengXian"/>
                <w:szCs w:val="24"/>
              </w:rPr>
              <w:t xml:space="preserve">00 mg </w:t>
            </w:r>
            <w:r>
              <w:rPr>
                <w:rFonts w:eastAsia="DengXian"/>
                <w:szCs w:val="24"/>
              </w:rPr>
              <w:t>2-3 times</w:t>
            </w:r>
            <w:r w:rsidRPr="00727DFA">
              <w:rPr>
                <w:rFonts w:eastAsia="DengXian"/>
                <w:szCs w:val="24"/>
              </w:rPr>
              <w:t xml:space="preserve"> daily </w:t>
            </w:r>
          </w:p>
          <w:p w14:paraId="135F49BD" w14:textId="77777777" w:rsidR="007B485D" w:rsidRPr="00727DFA" w:rsidRDefault="007B485D" w:rsidP="002D6DD7">
            <w:pPr>
              <w:jc w:val="both"/>
              <w:rPr>
                <w:rFonts w:eastAsia="DengXian"/>
                <w:szCs w:val="24"/>
              </w:rPr>
            </w:pPr>
            <w:r w:rsidRPr="00727DFA">
              <w:rPr>
                <w:rFonts w:eastAsia="DengXian"/>
                <w:b/>
                <w:bCs/>
                <w:szCs w:val="24"/>
              </w:rPr>
              <w:lastRenderedPageBreak/>
              <w:t>Antibiotic associated colitis</w:t>
            </w:r>
            <w:r w:rsidRPr="00727DFA">
              <w:rPr>
                <w:rFonts w:eastAsia="DengXian"/>
                <w:szCs w:val="24"/>
              </w:rPr>
              <w:t>: Oral:</w:t>
            </w:r>
          </w:p>
          <w:p w14:paraId="499CA237"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500mg (base) </w:t>
            </w:r>
            <w:r>
              <w:rPr>
                <w:rFonts w:eastAsia="DengXian"/>
                <w:szCs w:val="24"/>
              </w:rPr>
              <w:t>3</w:t>
            </w:r>
            <w:r w:rsidRPr="00727DFA">
              <w:rPr>
                <w:rFonts w:eastAsia="DengXian"/>
                <w:szCs w:val="24"/>
              </w:rPr>
              <w:t xml:space="preserve"> or </w:t>
            </w:r>
            <w:r>
              <w:rPr>
                <w:rFonts w:eastAsia="DengXian"/>
                <w:szCs w:val="24"/>
              </w:rPr>
              <w:t>4</w:t>
            </w:r>
            <w:r w:rsidRPr="00727DFA">
              <w:rPr>
                <w:rFonts w:eastAsia="DengXian"/>
                <w:szCs w:val="24"/>
              </w:rPr>
              <w:t xml:space="preserve"> times a day</w:t>
            </w:r>
          </w:p>
          <w:p w14:paraId="1907E78F" w14:textId="77777777" w:rsidR="007B485D" w:rsidRPr="00727DFA" w:rsidRDefault="007B485D" w:rsidP="002D6DD7">
            <w:pPr>
              <w:jc w:val="both"/>
              <w:rPr>
                <w:rFonts w:eastAsia="DengXian"/>
                <w:szCs w:val="24"/>
              </w:rPr>
            </w:pPr>
            <w:r w:rsidRPr="00727DFA">
              <w:rPr>
                <w:rFonts w:eastAsia="DengXian"/>
                <w:b/>
                <w:bCs/>
                <w:i/>
                <w:iCs/>
                <w:szCs w:val="24"/>
              </w:rPr>
              <w:t>Helicobacter pylori</w:t>
            </w:r>
            <w:r w:rsidRPr="00727DFA">
              <w:rPr>
                <w:rFonts w:eastAsia="DengXian"/>
                <w:b/>
                <w:bCs/>
                <w:szCs w:val="24"/>
              </w:rPr>
              <w:t xml:space="preserve"> associated gastritis or duodenal ulcer;</w:t>
            </w:r>
            <w:r w:rsidRPr="00727DFA">
              <w:rPr>
                <w:rFonts w:eastAsia="DengXian"/>
                <w:szCs w:val="24"/>
              </w:rPr>
              <w:t xml:space="preserve"> Oral: </w:t>
            </w:r>
          </w:p>
          <w:p w14:paraId="5F4B08AD"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500mg (base) </w:t>
            </w:r>
            <w:r>
              <w:rPr>
                <w:rFonts w:eastAsia="DengXian"/>
                <w:szCs w:val="24"/>
              </w:rPr>
              <w:t>2</w:t>
            </w:r>
            <w:r w:rsidRPr="00727DFA">
              <w:rPr>
                <w:rFonts w:eastAsia="DengXian"/>
                <w:szCs w:val="24"/>
              </w:rPr>
              <w:t xml:space="preserve"> times </w:t>
            </w:r>
            <w:r>
              <w:rPr>
                <w:rFonts w:eastAsia="DengXian"/>
                <w:szCs w:val="24"/>
              </w:rPr>
              <w:t>daily</w:t>
            </w:r>
            <w:r w:rsidRPr="00727DFA">
              <w:rPr>
                <w:rFonts w:eastAsia="DengXian"/>
                <w:szCs w:val="24"/>
              </w:rPr>
              <w:t xml:space="preserve"> in combination with another antibacterial and PPI</w:t>
            </w:r>
          </w:p>
          <w:p w14:paraId="5C98C9BC" w14:textId="77777777" w:rsidR="007B485D" w:rsidRPr="00727DFA" w:rsidRDefault="007B485D" w:rsidP="002D6DD7">
            <w:pPr>
              <w:jc w:val="both"/>
              <w:rPr>
                <w:rFonts w:eastAsia="DengXian"/>
                <w:szCs w:val="24"/>
              </w:rPr>
            </w:pPr>
            <w:r w:rsidRPr="00727DFA">
              <w:rPr>
                <w:rFonts w:eastAsia="DengXian"/>
                <w:b/>
                <w:bCs/>
                <w:szCs w:val="24"/>
              </w:rPr>
              <w:t>Perioperative infections, colonic (prophylaxis</w:t>
            </w:r>
            <w:r w:rsidRPr="00727DFA">
              <w:rPr>
                <w:rFonts w:eastAsia="DengXian"/>
                <w:szCs w:val="24"/>
              </w:rPr>
              <w:t>); IV infusion:</w:t>
            </w:r>
          </w:p>
          <w:p w14:paraId="6C8018EC"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15mg (base) per kg of body weight one hour prior to start of surgery and 7.5mg per kg of body weight six and twelve hours after the initial dose</w:t>
            </w:r>
          </w:p>
          <w:p w14:paraId="0948F798" w14:textId="77777777" w:rsidR="007B485D" w:rsidRPr="00727DFA" w:rsidRDefault="007B485D" w:rsidP="002D6DD7">
            <w:pPr>
              <w:jc w:val="both"/>
              <w:rPr>
                <w:rFonts w:eastAsia="DengXian"/>
                <w:szCs w:val="24"/>
              </w:rPr>
            </w:pPr>
            <w:r w:rsidRPr="00727DFA">
              <w:rPr>
                <w:rFonts w:eastAsia="DengXian"/>
                <w:b/>
                <w:bCs/>
                <w:szCs w:val="24"/>
              </w:rPr>
              <w:t xml:space="preserve">Bacterial Vaginitis (notably Gardnerella vaginalis infection); </w:t>
            </w:r>
            <w:r w:rsidRPr="00727DFA">
              <w:rPr>
                <w:rFonts w:eastAsia="DengXian"/>
                <w:szCs w:val="24"/>
              </w:rPr>
              <w:t>Oral:</w:t>
            </w:r>
          </w:p>
          <w:p w14:paraId="4F4F3E63"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500 mg twice daily, alternatively 2 g for 1 dose.</w:t>
            </w:r>
          </w:p>
          <w:p w14:paraId="2E193056" w14:textId="77777777" w:rsidR="007B485D" w:rsidRPr="00727DFA" w:rsidRDefault="007B485D" w:rsidP="002D6DD7">
            <w:pPr>
              <w:jc w:val="both"/>
              <w:rPr>
                <w:rFonts w:eastAsia="DengXian"/>
                <w:szCs w:val="24"/>
              </w:rPr>
            </w:pPr>
            <w:r>
              <w:rPr>
                <w:rFonts w:eastAsia="DengXian"/>
                <w:b/>
                <w:bCs/>
                <w:szCs w:val="24"/>
              </w:rPr>
              <w:t>Child</w:t>
            </w:r>
            <w:r w:rsidRPr="00727DFA">
              <w:rPr>
                <w:rFonts w:eastAsia="DengXian"/>
                <w:b/>
                <w:bCs/>
                <w:szCs w:val="24"/>
              </w:rPr>
              <w:t>:</w:t>
            </w:r>
            <w:r w:rsidRPr="00727DFA">
              <w:rPr>
                <w:rFonts w:eastAsia="DengXian"/>
                <w:szCs w:val="24"/>
              </w:rPr>
              <w:t xml:space="preserve"> </w:t>
            </w:r>
          </w:p>
          <w:p w14:paraId="17601AF4" w14:textId="77777777" w:rsidR="007B485D" w:rsidRPr="00727DFA" w:rsidRDefault="007B485D" w:rsidP="002D6DD7">
            <w:pPr>
              <w:jc w:val="both"/>
              <w:rPr>
                <w:rFonts w:eastAsia="DengXian"/>
                <w:szCs w:val="24"/>
              </w:rPr>
            </w:pPr>
            <w:r w:rsidRPr="00727DFA">
              <w:rPr>
                <w:rFonts w:eastAsia="DengXian"/>
                <w:b/>
                <w:bCs/>
                <w:szCs w:val="24"/>
              </w:rPr>
              <w:t>Anaerobic infection</w:t>
            </w:r>
            <w:r w:rsidRPr="00727DFA">
              <w:rPr>
                <w:rFonts w:eastAsia="DengXian"/>
                <w:szCs w:val="24"/>
              </w:rPr>
              <w:t>: Oral:</w:t>
            </w:r>
          </w:p>
          <w:p w14:paraId="5CF6AF99" w14:textId="77777777" w:rsidR="007B485D" w:rsidRPr="00727DFA" w:rsidRDefault="007B485D" w:rsidP="002D6DD7">
            <w:pPr>
              <w:jc w:val="both"/>
              <w:rPr>
                <w:rFonts w:eastAsia="DengXian"/>
                <w:szCs w:val="24"/>
              </w:rPr>
            </w:pPr>
            <w:r w:rsidRPr="00727DFA">
              <w:rPr>
                <w:rFonts w:eastAsia="DengXian"/>
                <w:b/>
                <w:bCs/>
                <w:szCs w:val="24"/>
              </w:rPr>
              <w:t xml:space="preserve">Child </w:t>
            </w:r>
            <w:r>
              <w:rPr>
                <w:rFonts w:eastAsia="DengXian"/>
                <w:b/>
                <w:bCs/>
                <w:szCs w:val="24"/>
              </w:rPr>
              <w:t>1</w:t>
            </w:r>
            <w:r w:rsidRPr="00727DFA">
              <w:rPr>
                <w:rFonts w:eastAsia="DengXian"/>
                <w:b/>
                <w:bCs/>
                <w:szCs w:val="24"/>
              </w:rPr>
              <w:t xml:space="preserve"> month–11 years:</w:t>
            </w:r>
            <w:r w:rsidRPr="00727DFA">
              <w:rPr>
                <w:rFonts w:eastAsia="DengXian"/>
                <w:szCs w:val="24"/>
              </w:rPr>
              <w:t xml:space="preserve"> 7.5 mg/kg</w:t>
            </w:r>
            <w:r>
              <w:rPr>
                <w:rFonts w:eastAsia="DengXian"/>
                <w:szCs w:val="24"/>
              </w:rPr>
              <w:t>/dose</w:t>
            </w:r>
            <w:r w:rsidRPr="00727DFA">
              <w:rPr>
                <w:rFonts w:eastAsia="DengXian"/>
                <w:szCs w:val="24"/>
              </w:rPr>
              <w:t xml:space="preserve"> every 8</w:t>
            </w:r>
            <w:r>
              <w:rPr>
                <w:rFonts w:eastAsia="DengXian"/>
                <w:szCs w:val="24"/>
              </w:rPr>
              <w:t>-12</w:t>
            </w:r>
            <w:r w:rsidRPr="00727DFA">
              <w:rPr>
                <w:rFonts w:eastAsia="DengXian"/>
                <w:szCs w:val="24"/>
              </w:rPr>
              <w:t xml:space="preserve"> hours (max. per dose 400 mg) </w:t>
            </w:r>
          </w:p>
          <w:p w14:paraId="7EBB59D1" w14:textId="77777777" w:rsidR="007B485D" w:rsidRPr="00727DFA" w:rsidRDefault="007B485D" w:rsidP="002D6DD7">
            <w:pPr>
              <w:jc w:val="both"/>
              <w:rPr>
                <w:rFonts w:eastAsia="DengXian"/>
                <w:szCs w:val="24"/>
              </w:rPr>
            </w:pPr>
            <w:r w:rsidRPr="00727DFA">
              <w:rPr>
                <w:rFonts w:eastAsia="DengXian"/>
                <w:b/>
                <w:bCs/>
                <w:szCs w:val="24"/>
              </w:rPr>
              <w:t>Child 12–17 years:</w:t>
            </w:r>
            <w:r w:rsidRPr="00727DFA">
              <w:rPr>
                <w:rFonts w:eastAsia="DengXian"/>
                <w:szCs w:val="24"/>
              </w:rPr>
              <w:t xml:space="preserve"> </w:t>
            </w:r>
            <w:r>
              <w:rPr>
                <w:rFonts w:eastAsia="DengXian"/>
                <w:szCs w:val="24"/>
              </w:rPr>
              <w:t>5</w:t>
            </w:r>
            <w:r w:rsidRPr="00727DFA">
              <w:rPr>
                <w:rFonts w:eastAsia="DengXian"/>
                <w:szCs w:val="24"/>
              </w:rPr>
              <w:t xml:space="preserve">00 mg every 8 hours </w:t>
            </w:r>
          </w:p>
          <w:p w14:paraId="7471B3F0" w14:textId="77777777" w:rsidR="007B485D" w:rsidRPr="00727DFA" w:rsidRDefault="007B485D" w:rsidP="002D6DD7">
            <w:pPr>
              <w:jc w:val="both"/>
              <w:rPr>
                <w:rFonts w:eastAsia="DengXian"/>
                <w:szCs w:val="24"/>
              </w:rPr>
            </w:pPr>
            <w:r w:rsidRPr="00727DFA">
              <w:rPr>
                <w:rFonts w:eastAsia="DengXian"/>
                <w:b/>
                <w:bCs/>
                <w:szCs w:val="24"/>
              </w:rPr>
              <w:t xml:space="preserve">Acute ulcerative gingivitis and oral infection: </w:t>
            </w:r>
            <w:r w:rsidRPr="00727DFA">
              <w:rPr>
                <w:rFonts w:eastAsia="DengXian"/>
                <w:szCs w:val="24"/>
              </w:rPr>
              <w:t>Oral:</w:t>
            </w:r>
          </w:p>
          <w:p w14:paraId="4910F8B2" w14:textId="77777777" w:rsidR="007B485D" w:rsidRPr="00727DFA" w:rsidRDefault="007B485D" w:rsidP="002D6DD7">
            <w:pPr>
              <w:jc w:val="both"/>
              <w:rPr>
                <w:rFonts w:eastAsia="DengXian"/>
                <w:szCs w:val="24"/>
              </w:rPr>
            </w:pPr>
            <w:r w:rsidRPr="00727DFA">
              <w:rPr>
                <w:rFonts w:eastAsia="DengXian"/>
                <w:b/>
                <w:bCs/>
                <w:szCs w:val="24"/>
              </w:rPr>
              <w:t>Child 1–2 years:</w:t>
            </w:r>
            <w:r w:rsidRPr="00727DFA">
              <w:rPr>
                <w:rFonts w:eastAsia="DengXian"/>
                <w:szCs w:val="24"/>
              </w:rPr>
              <w:t xml:space="preserve"> 50 mg every 8 hours for 3 days </w:t>
            </w:r>
          </w:p>
          <w:p w14:paraId="2B219DE8" w14:textId="77777777" w:rsidR="007B485D" w:rsidRPr="00727DFA" w:rsidRDefault="007B485D" w:rsidP="002D6DD7">
            <w:pPr>
              <w:jc w:val="both"/>
              <w:rPr>
                <w:rFonts w:eastAsia="DengXian"/>
                <w:szCs w:val="24"/>
              </w:rPr>
            </w:pPr>
            <w:r w:rsidRPr="00727DFA">
              <w:rPr>
                <w:rFonts w:eastAsia="DengXian"/>
                <w:b/>
                <w:bCs/>
                <w:szCs w:val="24"/>
              </w:rPr>
              <w:t>Child 3–6 years:</w:t>
            </w:r>
            <w:r w:rsidRPr="00727DFA">
              <w:rPr>
                <w:rFonts w:eastAsia="DengXian"/>
                <w:szCs w:val="24"/>
              </w:rPr>
              <w:t xml:space="preserve"> 100 mg every 12 hours for 3 days </w:t>
            </w:r>
          </w:p>
          <w:p w14:paraId="43B38D92" w14:textId="77777777" w:rsidR="007B485D" w:rsidRPr="00727DFA" w:rsidRDefault="007B485D" w:rsidP="002D6DD7">
            <w:pPr>
              <w:jc w:val="both"/>
              <w:rPr>
                <w:rFonts w:eastAsia="DengXian"/>
                <w:szCs w:val="24"/>
              </w:rPr>
            </w:pPr>
            <w:r w:rsidRPr="00727DFA">
              <w:rPr>
                <w:rFonts w:eastAsia="DengXian"/>
                <w:b/>
                <w:bCs/>
                <w:szCs w:val="24"/>
              </w:rPr>
              <w:t>Child 7–9 years:</w:t>
            </w:r>
            <w:r w:rsidRPr="00727DFA">
              <w:rPr>
                <w:rFonts w:eastAsia="DengXian"/>
                <w:szCs w:val="24"/>
              </w:rPr>
              <w:t xml:space="preserve"> 100 mg every 8 hours for 3 days </w:t>
            </w:r>
          </w:p>
          <w:p w14:paraId="5A4AEE08" w14:textId="77777777" w:rsidR="007B485D" w:rsidRPr="00727DFA" w:rsidRDefault="007B485D" w:rsidP="002D6DD7">
            <w:pPr>
              <w:jc w:val="both"/>
              <w:rPr>
                <w:rFonts w:eastAsia="DengXian"/>
                <w:szCs w:val="24"/>
              </w:rPr>
            </w:pPr>
            <w:r w:rsidRPr="00727DFA">
              <w:rPr>
                <w:rFonts w:eastAsia="DengXian"/>
                <w:b/>
                <w:bCs/>
                <w:szCs w:val="24"/>
              </w:rPr>
              <w:t>Child 10–17 years:</w:t>
            </w:r>
            <w:r w:rsidRPr="00727DFA">
              <w:rPr>
                <w:rFonts w:eastAsia="DengXian"/>
                <w:szCs w:val="24"/>
              </w:rPr>
              <w:t xml:space="preserve"> 200–250 mg every 8 hours for 3 </w:t>
            </w:r>
          </w:p>
        </w:tc>
      </w:tr>
      <w:tr w:rsidR="007B485D" w:rsidRPr="00727DFA" w14:paraId="7F43519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25E210"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355E572E"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w:t>
            </w:r>
            <w:r>
              <w:rPr>
                <w:rFonts w:eastAsia="DengXian"/>
                <w:szCs w:val="24"/>
              </w:rPr>
              <w:t>or</w:t>
            </w:r>
            <w:r w:rsidRPr="00727DFA">
              <w:rPr>
                <w:rFonts w:eastAsia="DengXian"/>
                <w:szCs w:val="24"/>
              </w:rPr>
              <w:t xml:space="preserve"> other nitroimidazoles</w:t>
            </w:r>
            <w:r>
              <w:rPr>
                <w:rFonts w:eastAsia="DengXian"/>
                <w:szCs w:val="24"/>
              </w:rPr>
              <w:t>, c</w:t>
            </w:r>
            <w:r w:rsidRPr="00727DFA">
              <w:rPr>
                <w:rFonts w:eastAsia="DengXian"/>
                <w:szCs w:val="24"/>
              </w:rPr>
              <w:t>o-administration with alcohol or propylene glycol containing products during or 3 days after therapy discontinuation</w:t>
            </w:r>
            <w:r>
              <w:rPr>
                <w:rFonts w:eastAsia="DengXian"/>
                <w:szCs w:val="24"/>
              </w:rPr>
              <w:t>.</w:t>
            </w:r>
          </w:p>
        </w:tc>
      </w:tr>
      <w:tr w:rsidR="007B485D" w:rsidRPr="00727DFA" w14:paraId="7E11EDD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49E959A"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2DE1D2B" w14:textId="77777777" w:rsidR="007B485D" w:rsidRPr="00727DFA" w:rsidRDefault="007B485D" w:rsidP="002D6DD7">
            <w:pPr>
              <w:jc w:val="both"/>
              <w:rPr>
                <w:rFonts w:eastAsia="DengXian"/>
                <w:szCs w:val="24"/>
              </w:rPr>
            </w:pPr>
            <w:r w:rsidRPr="00727DFA">
              <w:rPr>
                <w:rFonts w:eastAsia="DengXian"/>
                <w:szCs w:val="24"/>
              </w:rPr>
              <w:t>Phenytoin, warfarin, disulfiram, alcohol, cimetidine, fluorouracil,</w:t>
            </w:r>
            <w:r>
              <w:rPr>
                <w:rFonts w:eastAsia="DengXian"/>
                <w:szCs w:val="24"/>
              </w:rPr>
              <w:t xml:space="preserve"> erythromycin, fentanyl, mebendazole, simvastatin,</w:t>
            </w:r>
            <w:r w:rsidRPr="00727DFA">
              <w:rPr>
                <w:rFonts w:eastAsia="DengXian"/>
                <w:szCs w:val="24"/>
              </w:rPr>
              <w:t xml:space="preserve"> lithium, phenobarbitone, oral contraceptives, lopinavir</w:t>
            </w:r>
            <w:r>
              <w:rPr>
                <w:rFonts w:eastAsia="DengXian"/>
                <w:szCs w:val="24"/>
              </w:rPr>
              <w:t>.</w:t>
            </w:r>
          </w:p>
        </w:tc>
      </w:tr>
      <w:tr w:rsidR="007B485D" w:rsidRPr="00727DFA" w14:paraId="3DD5A684"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0DEF8B3"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4F7B488" w14:textId="77777777" w:rsidR="007B485D" w:rsidRPr="00727DFA" w:rsidRDefault="007B485D" w:rsidP="002D6DD7">
            <w:pPr>
              <w:jc w:val="both"/>
              <w:rPr>
                <w:rFonts w:eastAsia="DengXian"/>
                <w:szCs w:val="24"/>
              </w:rPr>
            </w:pPr>
            <w:r w:rsidRPr="00727DFA">
              <w:rPr>
                <w:rFonts w:eastAsia="DengXian"/>
                <w:szCs w:val="24"/>
              </w:rPr>
              <w:t xml:space="preserve">GI intolerance (nausea, dry oral, abdominal pain, vomiting, diarrhoea), anorexia, metallic taste, myalgia, CNS effects (e.g., dizziness, headache), thrombophlebitis, furry tongue, glossitis, </w:t>
            </w:r>
            <w:r w:rsidRPr="00727DFA">
              <w:rPr>
                <w:rFonts w:eastAsia="DengXian"/>
                <w:szCs w:val="24"/>
              </w:rPr>
              <w:lastRenderedPageBreak/>
              <w:t>stomatitis, paraesthesia, peripheral neuropathy, epileptiform seizures</w:t>
            </w:r>
            <w:r>
              <w:rPr>
                <w:rFonts w:eastAsia="DengXian"/>
                <w:szCs w:val="24"/>
              </w:rPr>
              <w:t xml:space="preserve">, </w:t>
            </w:r>
            <w:r w:rsidRPr="00EA736A">
              <w:rPr>
                <w:rFonts w:eastAsia="DengXian"/>
                <w:szCs w:val="24"/>
              </w:rPr>
              <w:t>Stevens Johnson syndrom</w:t>
            </w:r>
            <w:r>
              <w:rPr>
                <w:rFonts w:eastAsia="DengXian"/>
                <w:szCs w:val="24"/>
              </w:rPr>
              <w:t xml:space="preserve">e, </w:t>
            </w:r>
            <w:r w:rsidRPr="00EA736A">
              <w:rPr>
                <w:rFonts w:eastAsia="DengXian"/>
                <w:szCs w:val="24"/>
              </w:rPr>
              <w:t>toxic epidermal necrolysis</w:t>
            </w:r>
            <w:r>
              <w:rPr>
                <w:rFonts w:eastAsia="DengXian"/>
                <w:szCs w:val="24"/>
              </w:rPr>
              <w:t>.</w:t>
            </w:r>
          </w:p>
        </w:tc>
      </w:tr>
      <w:tr w:rsidR="007B485D" w:rsidRPr="00727DFA" w14:paraId="6499F37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861D904"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CCF37BB" w14:textId="77777777" w:rsidR="007B485D" w:rsidRPr="00727DFA" w:rsidRDefault="007B485D" w:rsidP="002D6DD7">
            <w:pPr>
              <w:jc w:val="both"/>
              <w:rPr>
                <w:rFonts w:eastAsia="DengXian"/>
                <w:szCs w:val="24"/>
              </w:rPr>
            </w:pPr>
            <w:r w:rsidRPr="00727DFA">
              <w:rPr>
                <w:rFonts w:eastAsia="DengXian"/>
                <w:szCs w:val="24"/>
              </w:rPr>
              <w:t>Hepatic impairment</w:t>
            </w:r>
            <w:r>
              <w:rPr>
                <w:rFonts w:eastAsia="DengXian"/>
                <w:szCs w:val="24"/>
              </w:rPr>
              <w:t xml:space="preserve">/ </w:t>
            </w:r>
            <w:r w:rsidRPr="00727DFA">
              <w:rPr>
                <w:rFonts w:eastAsia="DengXian"/>
                <w:szCs w:val="24"/>
              </w:rPr>
              <w:t>encephalopathy, pregnancy, breastfeeding, active or chronic severe peripheral and central nervous system diseases</w:t>
            </w:r>
            <w:r>
              <w:rPr>
                <w:rFonts w:eastAsia="DengXian"/>
                <w:szCs w:val="24"/>
              </w:rPr>
              <w:t>.</w:t>
            </w:r>
          </w:p>
        </w:tc>
      </w:tr>
      <w:tr w:rsidR="007B485D" w:rsidRPr="00727DFA" w14:paraId="47F0FE4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11F450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7A6E020" w14:textId="77777777" w:rsidR="007B485D" w:rsidRPr="00727DFA" w:rsidRDefault="007B485D" w:rsidP="002D6DD7">
            <w:pPr>
              <w:jc w:val="both"/>
              <w:rPr>
                <w:rFonts w:eastAsia="DengXian"/>
                <w:szCs w:val="24"/>
              </w:rPr>
            </w:pPr>
            <w:r w:rsidRPr="00727DFA">
              <w:rPr>
                <w:rFonts w:eastAsia="DengXian"/>
                <w:b/>
                <w:szCs w:val="24"/>
              </w:rPr>
              <w:t xml:space="preserve"> </w:t>
            </w: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r w:rsidRPr="00727DFA">
              <w:rPr>
                <w:rFonts w:eastAsia="DengXian"/>
                <w:szCs w:val="24"/>
              </w:rPr>
              <w:t xml:space="preserve"> </w:t>
            </w:r>
          </w:p>
        </w:tc>
      </w:tr>
      <w:tr w:rsidR="007B485D" w:rsidRPr="00727DFA" w14:paraId="513538EA"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3578FD3" w14:textId="77777777" w:rsidR="007B485D" w:rsidRPr="00727DFA" w:rsidRDefault="007B485D" w:rsidP="002D6DD7">
            <w:pPr>
              <w:jc w:val="both"/>
              <w:rPr>
                <w:rFonts w:eastAsia="DengXian"/>
                <w:szCs w:val="24"/>
              </w:rPr>
            </w:pPr>
            <w:r w:rsidRPr="00727DFA">
              <w:rPr>
                <w:rFonts w:eastAsia="DengXian"/>
                <w:b/>
                <w:bCs/>
                <w:szCs w:val="24"/>
              </w:rPr>
              <w:t xml:space="preserve">Nitrofurantoin </w:t>
            </w:r>
            <w:r w:rsidRPr="00873AF2">
              <w:rPr>
                <w:rFonts w:eastAsia="DengXian"/>
                <w:b/>
                <w:bCs/>
                <w:szCs w:val="24"/>
              </w:rPr>
              <w:t>(Access)</w:t>
            </w:r>
          </w:p>
        </w:tc>
      </w:tr>
      <w:tr w:rsidR="007B485D" w:rsidRPr="00727DFA" w14:paraId="76D54C3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1D549B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E7AC49A" w14:textId="77777777" w:rsidR="007B485D" w:rsidRPr="00727DFA" w:rsidRDefault="007B485D" w:rsidP="002D6DD7">
            <w:pPr>
              <w:jc w:val="both"/>
              <w:rPr>
                <w:rFonts w:eastAsia="DengXian"/>
                <w:szCs w:val="24"/>
              </w:rPr>
            </w:pPr>
            <w:r w:rsidRPr="00727DFA">
              <w:rPr>
                <w:rFonts w:eastAsia="DengXian"/>
                <w:szCs w:val="24"/>
              </w:rPr>
              <w:t>Nitrofuran</w:t>
            </w:r>
          </w:p>
        </w:tc>
      </w:tr>
      <w:tr w:rsidR="007B485D" w:rsidRPr="00810924" w14:paraId="64F665B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FD8FB7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2350F2D"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50mg, 100mg </w:t>
            </w:r>
          </w:p>
          <w:p w14:paraId="78941BAB" w14:textId="77777777" w:rsidR="007B485D" w:rsidRPr="00727DFA" w:rsidRDefault="007B485D" w:rsidP="002D6DD7">
            <w:pPr>
              <w:jc w:val="both"/>
              <w:rPr>
                <w:rFonts w:eastAsia="DengXian"/>
                <w:szCs w:val="24"/>
                <w:lang w:val="nb-NO"/>
              </w:rPr>
            </w:pPr>
            <w:r w:rsidRPr="00727DFA">
              <w:rPr>
                <w:rFonts w:eastAsia="DengXian"/>
                <w:szCs w:val="24"/>
                <w:lang w:val="nb-NO"/>
              </w:rPr>
              <w:t>Oral liquid: 25mg/5mL</w:t>
            </w:r>
          </w:p>
        </w:tc>
      </w:tr>
      <w:tr w:rsidR="007B485D" w:rsidRPr="00727DFA" w14:paraId="437D902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BA9A574"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163D29E9" w14:textId="77777777" w:rsidR="007B485D" w:rsidRPr="00727DFA" w:rsidRDefault="007B485D" w:rsidP="002D6DD7">
            <w:pPr>
              <w:jc w:val="both"/>
              <w:rPr>
                <w:rFonts w:eastAsia="DengXian"/>
                <w:szCs w:val="24"/>
              </w:rPr>
            </w:pPr>
            <w:r w:rsidRPr="00727DFA">
              <w:rPr>
                <w:rFonts w:eastAsia="DengXian"/>
                <w:szCs w:val="24"/>
              </w:rPr>
              <w:t>Prophylaxis and treatment of</w:t>
            </w:r>
            <w:r w:rsidRPr="00727DFA">
              <w:rPr>
                <w:rFonts w:eastAsia="DengXian"/>
                <w:szCs w:val="24"/>
              </w:rPr>
              <w:tab/>
              <w:t xml:space="preserve">urinary tract infection against acute or recurrent, uncomplicated lower urinary tract infections or pyelitis either spontaneous or following surgical procedures. Treatment of infections due to susceptible strains of </w:t>
            </w:r>
            <w:r w:rsidRPr="00727DFA">
              <w:rPr>
                <w:rFonts w:eastAsia="DengXian"/>
                <w:i/>
                <w:iCs/>
                <w:szCs w:val="24"/>
              </w:rPr>
              <w:t>Escherichia coli</w:t>
            </w:r>
            <w:r w:rsidRPr="00727DFA">
              <w:rPr>
                <w:rFonts w:eastAsia="DengXian"/>
                <w:szCs w:val="24"/>
              </w:rPr>
              <w:t xml:space="preserve">, </w:t>
            </w:r>
            <w:r w:rsidRPr="00873AF2">
              <w:rPr>
                <w:rFonts w:eastAsia="DengXian"/>
                <w:i/>
                <w:iCs/>
                <w:szCs w:val="24"/>
              </w:rPr>
              <w:t>Enterococci</w:t>
            </w:r>
            <w:r w:rsidRPr="00727DFA">
              <w:rPr>
                <w:rFonts w:eastAsia="DengXian"/>
                <w:szCs w:val="24"/>
              </w:rPr>
              <w:t xml:space="preserve">, </w:t>
            </w:r>
            <w:r w:rsidRPr="00873AF2">
              <w:rPr>
                <w:rFonts w:eastAsia="DengXian"/>
                <w:i/>
                <w:iCs/>
                <w:szCs w:val="24"/>
              </w:rPr>
              <w:t>Staphylococci</w:t>
            </w:r>
            <w:r w:rsidRPr="00727DFA">
              <w:rPr>
                <w:rFonts w:eastAsia="DengXian"/>
                <w:szCs w:val="24"/>
              </w:rPr>
              <w:t xml:space="preserve">, </w:t>
            </w:r>
            <w:r w:rsidRPr="00873AF2">
              <w:rPr>
                <w:rFonts w:eastAsia="DengXian"/>
                <w:i/>
                <w:iCs/>
                <w:szCs w:val="24"/>
              </w:rPr>
              <w:t>Citrobacter</w:t>
            </w:r>
            <w:r w:rsidRPr="00727DFA">
              <w:rPr>
                <w:rFonts w:eastAsia="DengXian"/>
                <w:szCs w:val="24"/>
              </w:rPr>
              <w:t xml:space="preserve">, </w:t>
            </w:r>
            <w:r w:rsidRPr="00873AF2">
              <w:rPr>
                <w:rFonts w:eastAsia="DengXian"/>
                <w:i/>
                <w:iCs/>
                <w:szCs w:val="24"/>
              </w:rPr>
              <w:t>Klebsiella</w:t>
            </w:r>
            <w:r w:rsidRPr="00727DFA">
              <w:rPr>
                <w:rFonts w:eastAsia="DengXian"/>
                <w:szCs w:val="24"/>
              </w:rPr>
              <w:t xml:space="preserve"> and </w:t>
            </w:r>
            <w:r w:rsidRPr="00873AF2">
              <w:rPr>
                <w:rFonts w:eastAsia="DengXian"/>
                <w:i/>
                <w:iCs/>
                <w:szCs w:val="24"/>
              </w:rPr>
              <w:t>Enterobacter</w:t>
            </w:r>
            <w:r>
              <w:rPr>
                <w:rFonts w:eastAsia="DengXian"/>
                <w:szCs w:val="24"/>
              </w:rPr>
              <w:t>.</w:t>
            </w:r>
          </w:p>
        </w:tc>
      </w:tr>
      <w:tr w:rsidR="007B485D" w:rsidRPr="00727DFA" w14:paraId="42A8F66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310376E"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02B5C30" w14:textId="77777777" w:rsidR="007B485D" w:rsidRDefault="007B485D" w:rsidP="002D6DD7">
            <w:pPr>
              <w:jc w:val="both"/>
              <w:rPr>
                <w:rFonts w:eastAsia="DengXian"/>
                <w:bCs/>
                <w:szCs w:val="24"/>
              </w:rPr>
            </w:pPr>
            <w:r w:rsidRPr="008E7892">
              <w:rPr>
                <w:rFonts w:eastAsia="DengXian"/>
                <w:bCs/>
                <w:szCs w:val="24"/>
              </w:rPr>
              <w:t>Oral</w:t>
            </w:r>
            <w:r>
              <w:rPr>
                <w:rFonts w:eastAsia="DengXian"/>
                <w:bCs/>
                <w:szCs w:val="24"/>
              </w:rPr>
              <w:t>;</w:t>
            </w:r>
          </w:p>
          <w:p w14:paraId="7A7C867C" w14:textId="77777777" w:rsidR="007B485D" w:rsidRPr="00727DFA" w:rsidRDefault="007B485D" w:rsidP="002D6DD7">
            <w:pPr>
              <w:jc w:val="both"/>
              <w:rPr>
                <w:rFonts w:eastAsia="DengXian"/>
                <w:szCs w:val="24"/>
              </w:rPr>
            </w:pPr>
            <w:r w:rsidRPr="00727DFA">
              <w:rPr>
                <w:rFonts w:eastAsia="DengXian"/>
                <w:b/>
                <w:bCs/>
                <w:szCs w:val="24"/>
              </w:rPr>
              <w:t>Adult</w:t>
            </w:r>
            <w:r>
              <w:rPr>
                <w:rFonts w:eastAsia="DengXian"/>
                <w:b/>
                <w:bCs/>
                <w:szCs w:val="24"/>
              </w:rPr>
              <w:t>:</w:t>
            </w:r>
            <w:r w:rsidRPr="00727DFA">
              <w:rPr>
                <w:rFonts w:eastAsia="DengXian"/>
                <w:b/>
                <w:bCs/>
                <w:szCs w:val="24"/>
              </w:rPr>
              <w:t xml:space="preserve"> </w:t>
            </w:r>
          </w:p>
          <w:p w14:paraId="16403637" w14:textId="77777777" w:rsidR="007B485D" w:rsidRPr="00727DFA" w:rsidRDefault="007B485D" w:rsidP="002D6DD7">
            <w:pPr>
              <w:jc w:val="both"/>
              <w:rPr>
                <w:rFonts w:eastAsia="DengXian"/>
                <w:szCs w:val="24"/>
              </w:rPr>
            </w:pPr>
            <w:r w:rsidRPr="00727DFA">
              <w:rPr>
                <w:rFonts w:eastAsia="DengXian"/>
                <w:b/>
                <w:bCs/>
                <w:szCs w:val="24"/>
              </w:rPr>
              <w:t>Acute uncomplicated urinary tract infections:</w:t>
            </w:r>
            <w:r w:rsidRPr="00727DFA">
              <w:rPr>
                <w:rFonts w:eastAsia="DengXian"/>
                <w:szCs w:val="24"/>
              </w:rPr>
              <w:t xml:space="preserve"> 100 mg every 12 hours or 50 mg every 6 hours, with food </w:t>
            </w:r>
            <w:r>
              <w:rPr>
                <w:rFonts w:eastAsia="DengXian"/>
                <w:szCs w:val="24"/>
              </w:rPr>
              <w:t>\</w:t>
            </w:r>
          </w:p>
          <w:p w14:paraId="386C9680" w14:textId="77777777" w:rsidR="007B485D" w:rsidRPr="00727DFA" w:rsidRDefault="007B485D" w:rsidP="002D6DD7">
            <w:pPr>
              <w:jc w:val="both"/>
              <w:rPr>
                <w:rFonts w:eastAsia="DengXian"/>
                <w:szCs w:val="24"/>
              </w:rPr>
            </w:pPr>
            <w:r w:rsidRPr="00727DFA">
              <w:rPr>
                <w:rFonts w:eastAsia="DengXian"/>
                <w:b/>
                <w:bCs/>
                <w:szCs w:val="24"/>
              </w:rPr>
              <w:t>Severe recurrent urinary tract infection</w:t>
            </w:r>
            <w:r w:rsidRPr="00727DFA">
              <w:rPr>
                <w:rFonts w:eastAsia="DengXian"/>
                <w:szCs w:val="24"/>
              </w:rPr>
              <w:t xml:space="preserve">: 100 mg every 6 hours with food </w:t>
            </w:r>
            <w:r>
              <w:rPr>
                <w:rFonts w:eastAsia="DengXian"/>
                <w:szCs w:val="24"/>
              </w:rPr>
              <w:t>\</w:t>
            </w:r>
            <w:r w:rsidRPr="00727DFA">
              <w:rPr>
                <w:rFonts w:eastAsia="DengXian"/>
                <w:szCs w:val="24"/>
              </w:rPr>
              <w:t xml:space="preserve"> (reduced to 200 mg daily in divided doses if severe nausea).</w:t>
            </w:r>
          </w:p>
          <w:p w14:paraId="38D68105" w14:textId="77777777" w:rsidR="007B485D" w:rsidRPr="00727DFA" w:rsidRDefault="007B485D" w:rsidP="002D6DD7">
            <w:pPr>
              <w:jc w:val="both"/>
              <w:rPr>
                <w:rFonts w:eastAsia="DengXian"/>
                <w:szCs w:val="24"/>
              </w:rPr>
            </w:pPr>
            <w:r w:rsidRPr="00727DFA">
              <w:rPr>
                <w:rFonts w:eastAsia="DengXian"/>
                <w:b/>
                <w:bCs/>
                <w:szCs w:val="24"/>
              </w:rPr>
              <w:t>Prophylaxis of chronic urinary tract infections</w:t>
            </w:r>
            <w:r w:rsidRPr="00727DFA">
              <w:rPr>
                <w:rFonts w:eastAsia="DengXian"/>
                <w:szCs w:val="24"/>
              </w:rPr>
              <w:t>: 50–100 mg at night</w:t>
            </w:r>
          </w:p>
          <w:p w14:paraId="18207276" w14:textId="77777777" w:rsidR="007B485D" w:rsidRPr="00727DFA" w:rsidRDefault="007B485D" w:rsidP="002D6DD7">
            <w:pPr>
              <w:jc w:val="both"/>
              <w:rPr>
                <w:rFonts w:eastAsia="DengXian"/>
                <w:szCs w:val="24"/>
              </w:rPr>
            </w:pPr>
            <w:r w:rsidRPr="00727DFA">
              <w:rPr>
                <w:rFonts w:eastAsia="DengXian"/>
                <w:b/>
                <w:bCs/>
                <w:szCs w:val="24"/>
              </w:rPr>
              <w:t>Prophylaxis of surgical infections</w:t>
            </w:r>
            <w:r w:rsidRPr="00727DFA">
              <w:rPr>
                <w:rFonts w:eastAsia="DengXian"/>
                <w:szCs w:val="24"/>
              </w:rPr>
              <w:t>:  50–100 mg once daily</w:t>
            </w:r>
            <w:r>
              <w:rPr>
                <w:rFonts w:eastAsia="DengXian"/>
                <w:szCs w:val="24"/>
              </w:rPr>
              <w:t>;</w:t>
            </w:r>
            <w:r w:rsidRPr="00727DFA">
              <w:rPr>
                <w:rFonts w:eastAsia="DengXian"/>
                <w:szCs w:val="24"/>
              </w:rPr>
              <w:t xml:space="preserve"> alternatively, 50 mg 4 times daily</w:t>
            </w:r>
          </w:p>
          <w:p w14:paraId="2FD3E3F2" w14:textId="77777777" w:rsidR="007B485D" w:rsidRPr="00727DFA" w:rsidRDefault="007B485D" w:rsidP="002D6DD7">
            <w:pPr>
              <w:jc w:val="both"/>
              <w:rPr>
                <w:rFonts w:eastAsia="DengXian"/>
                <w:szCs w:val="24"/>
              </w:rPr>
            </w:pPr>
            <w:r>
              <w:rPr>
                <w:rFonts w:eastAsia="DengXian"/>
                <w:b/>
                <w:bCs/>
                <w:szCs w:val="24"/>
              </w:rPr>
              <w:t>Child:</w:t>
            </w:r>
          </w:p>
          <w:p w14:paraId="6EDC94E7" w14:textId="77777777" w:rsidR="007B485D" w:rsidRPr="00727DFA" w:rsidRDefault="007B485D" w:rsidP="002D6DD7">
            <w:pPr>
              <w:jc w:val="both"/>
              <w:rPr>
                <w:rFonts w:eastAsia="DengXian"/>
                <w:szCs w:val="24"/>
              </w:rPr>
            </w:pPr>
            <w:r w:rsidRPr="00727DFA">
              <w:rPr>
                <w:rFonts w:eastAsia="DengXian"/>
                <w:b/>
                <w:bCs/>
                <w:szCs w:val="24"/>
              </w:rPr>
              <w:t>Treatment of acute uncomplicated urinary tract infection</w:t>
            </w:r>
          </w:p>
          <w:p w14:paraId="1F494187" w14:textId="77777777" w:rsidR="007B485D" w:rsidRPr="00727DFA" w:rsidRDefault="007B485D" w:rsidP="002D6DD7">
            <w:pPr>
              <w:jc w:val="both"/>
              <w:rPr>
                <w:rFonts w:eastAsia="DengXian"/>
                <w:szCs w:val="24"/>
              </w:rPr>
            </w:pPr>
            <w:r w:rsidRPr="00727DFA">
              <w:rPr>
                <w:rFonts w:eastAsia="DengXian"/>
                <w:b/>
                <w:bCs/>
                <w:szCs w:val="24"/>
              </w:rPr>
              <w:t>Infant or child over 3 months:</w:t>
            </w:r>
            <w:r w:rsidRPr="00727DFA">
              <w:rPr>
                <w:rFonts w:eastAsia="DengXian"/>
                <w:szCs w:val="24"/>
              </w:rPr>
              <w:t xml:space="preserve"> 750 micrograms/kg four times daily for 3–7 days. Maximum dose 100 mg.</w:t>
            </w:r>
          </w:p>
          <w:p w14:paraId="5863A930" w14:textId="77777777" w:rsidR="007B485D" w:rsidRPr="00727DFA" w:rsidRDefault="007B485D" w:rsidP="002D6DD7">
            <w:pPr>
              <w:jc w:val="both"/>
              <w:rPr>
                <w:rFonts w:eastAsia="DengXian"/>
                <w:szCs w:val="24"/>
              </w:rPr>
            </w:pPr>
            <w:r w:rsidRPr="00727DFA">
              <w:rPr>
                <w:rFonts w:eastAsia="DengXian"/>
                <w:b/>
                <w:bCs/>
                <w:szCs w:val="24"/>
              </w:rPr>
              <w:lastRenderedPageBreak/>
              <w:t>Prophylaxis of urinary tract infection</w:t>
            </w:r>
          </w:p>
          <w:p w14:paraId="025E8BC7" w14:textId="77777777" w:rsidR="007B485D" w:rsidRPr="00727DFA" w:rsidRDefault="007B485D" w:rsidP="002D6DD7">
            <w:pPr>
              <w:jc w:val="both"/>
              <w:rPr>
                <w:rFonts w:eastAsia="DengXian"/>
                <w:szCs w:val="24"/>
              </w:rPr>
            </w:pPr>
            <w:r w:rsidRPr="00727DFA">
              <w:rPr>
                <w:rFonts w:eastAsia="DengXian"/>
                <w:b/>
                <w:bCs/>
                <w:szCs w:val="24"/>
              </w:rPr>
              <w:t>Infant or child over 3 months</w:t>
            </w:r>
            <w:r w:rsidRPr="00727DFA">
              <w:rPr>
                <w:rFonts w:eastAsia="DengXian"/>
                <w:szCs w:val="24"/>
              </w:rPr>
              <w:t>: 1 mg/kg at night. Maximum dose 100 mg.</w:t>
            </w:r>
          </w:p>
          <w:p w14:paraId="00251602" w14:textId="77777777" w:rsidR="007B485D" w:rsidRPr="00727DFA" w:rsidRDefault="007B485D" w:rsidP="002D6DD7">
            <w:pPr>
              <w:jc w:val="both"/>
              <w:rPr>
                <w:rFonts w:eastAsia="DengXian"/>
                <w:szCs w:val="24"/>
              </w:rPr>
            </w:pPr>
            <w:r w:rsidRPr="00727DFA">
              <w:rPr>
                <w:rFonts w:eastAsia="DengXian"/>
                <w:b/>
                <w:bCs/>
                <w:szCs w:val="24"/>
              </w:rPr>
              <w:t>Prophylaxis of surgical infections</w:t>
            </w:r>
          </w:p>
          <w:p w14:paraId="29C9ED7F" w14:textId="77777777" w:rsidR="007B485D" w:rsidRPr="00727DFA" w:rsidRDefault="007B485D" w:rsidP="002D6DD7">
            <w:pPr>
              <w:jc w:val="both"/>
              <w:rPr>
                <w:rFonts w:eastAsia="DengXian"/>
                <w:szCs w:val="24"/>
              </w:rPr>
            </w:pPr>
            <w:r w:rsidRPr="00727DFA">
              <w:rPr>
                <w:rFonts w:eastAsia="DengXian"/>
                <w:b/>
                <w:bCs/>
                <w:szCs w:val="24"/>
              </w:rPr>
              <w:t>Child &gt;3 months:</w:t>
            </w:r>
            <w:r w:rsidRPr="00727DFA">
              <w:rPr>
                <w:rFonts w:eastAsia="DengXian"/>
                <w:szCs w:val="24"/>
              </w:rPr>
              <w:t xml:space="preserve"> 1 mg/kg at bedtime</w:t>
            </w:r>
          </w:p>
        </w:tc>
      </w:tr>
      <w:tr w:rsidR="007B485D" w:rsidRPr="00727DFA" w14:paraId="6BE8CBD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7018BC2"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15B701C" w14:textId="77777777" w:rsidR="007B485D" w:rsidRPr="00727DFA" w:rsidRDefault="007B485D" w:rsidP="002D6DD7">
            <w:pPr>
              <w:jc w:val="both"/>
              <w:rPr>
                <w:rFonts w:eastAsia="DengXian"/>
                <w:szCs w:val="24"/>
              </w:rPr>
            </w:pPr>
            <w:r w:rsidRPr="00727DFA">
              <w:rPr>
                <w:rFonts w:eastAsia="DengXian"/>
                <w:szCs w:val="24"/>
              </w:rPr>
              <w:t xml:space="preserve">Hypersensitivity to the </w:t>
            </w:r>
            <w:r>
              <w:rPr>
                <w:rFonts w:eastAsia="DengXian"/>
                <w:szCs w:val="24"/>
              </w:rPr>
              <w:t>drug</w:t>
            </w:r>
            <w:r w:rsidRPr="00727DFA">
              <w:rPr>
                <w:rFonts w:eastAsia="DengXian"/>
                <w:szCs w:val="24"/>
              </w:rPr>
              <w:t>, infants less than 3 months, pregnancy, breastfeeding, glucose 6 phosphate dehydrogenase (G6PD) deficiency, porphyria</w:t>
            </w:r>
            <w:r>
              <w:rPr>
                <w:rFonts w:eastAsia="DengXian"/>
                <w:szCs w:val="24"/>
              </w:rPr>
              <w:t>.</w:t>
            </w:r>
          </w:p>
        </w:tc>
      </w:tr>
      <w:tr w:rsidR="007B485D" w:rsidRPr="00727DFA" w14:paraId="16FD3A5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CE0157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BA4A93D" w14:textId="77777777" w:rsidR="007B485D" w:rsidRPr="00727DFA" w:rsidRDefault="007B485D" w:rsidP="002D6DD7">
            <w:pPr>
              <w:jc w:val="both"/>
              <w:rPr>
                <w:rFonts w:eastAsia="DengXian"/>
                <w:szCs w:val="24"/>
              </w:rPr>
            </w:pPr>
            <w:r w:rsidRPr="00727DFA">
              <w:rPr>
                <w:rFonts w:eastAsia="DengXian"/>
                <w:szCs w:val="24"/>
              </w:rPr>
              <w:t xml:space="preserve">Probenecid, magnesium trisilicate, fluconazole, fluroquinolones </w:t>
            </w:r>
            <w:r>
              <w:rPr>
                <w:rFonts w:eastAsia="DengXian"/>
                <w:szCs w:val="24"/>
              </w:rPr>
              <w:t>(</w:t>
            </w:r>
            <w:r w:rsidRPr="00727DFA">
              <w:rPr>
                <w:rFonts w:eastAsia="DengXian"/>
                <w:szCs w:val="24"/>
              </w:rPr>
              <w:t>norfloxacin</w:t>
            </w:r>
            <w:r>
              <w:rPr>
                <w:rFonts w:eastAsia="DengXian"/>
                <w:szCs w:val="24"/>
              </w:rPr>
              <w:t>)</w:t>
            </w:r>
            <w:r w:rsidRPr="00727DFA">
              <w:rPr>
                <w:rFonts w:eastAsia="DengXian"/>
                <w:szCs w:val="24"/>
              </w:rPr>
              <w:t xml:space="preserve">, folic acid, typhoid </w:t>
            </w:r>
            <w:r>
              <w:rPr>
                <w:rFonts w:eastAsia="DengXian"/>
                <w:szCs w:val="24"/>
              </w:rPr>
              <w:t>v</w:t>
            </w:r>
            <w:r w:rsidRPr="00727DFA">
              <w:rPr>
                <w:rFonts w:eastAsia="DengXian"/>
                <w:szCs w:val="24"/>
              </w:rPr>
              <w:t>accine</w:t>
            </w:r>
            <w:r>
              <w:rPr>
                <w:rFonts w:eastAsia="DengXian"/>
                <w:szCs w:val="24"/>
              </w:rPr>
              <w:t>, live cholera vaccine,</w:t>
            </w:r>
            <w:r w:rsidRPr="00727DFA">
              <w:rPr>
                <w:rFonts w:eastAsia="DengXian"/>
                <w:szCs w:val="24"/>
              </w:rPr>
              <w:t xml:space="preserve"> hemolytic</w:t>
            </w:r>
            <w:r>
              <w:rPr>
                <w:rFonts w:eastAsia="DengXian"/>
                <w:szCs w:val="24"/>
              </w:rPr>
              <w:t xml:space="preserve"> agents</w:t>
            </w:r>
            <w:r w:rsidRPr="00727DFA">
              <w:rPr>
                <w:rFonts w:eastAsia="DengXian"/>
                <w:szCs w:val="24"/>
              </w:rPr>
              <w:t>, neurotoxic medication</w:t>
            </w:r>
            <w:r>
              <w:rPr>
                <w:rFonts w:eastAsia="DengXian"/>
                <w:szCs w:val="24"/>
              </w:rPr>
              <w:t>s.</w:t>
            </w:r>
          </w:p>
        </w:tc>
      </w:tr>
      <w:tr w:rsidR="007B485D" w:rsidRPr="00727DFA" w14:paraId="589A0C7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BB2EEE6"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A83AD3E" w14:textId="77777777" w:rsidR="007B485D" w:rsidRPr="00727DFA" w:rsidRDefault="007B485D" w:rsidP="002D6DD7">
            <w:pPr>
              <w:jc w:val="both"/>
              <w:rPr>
                <w:rFonts w:eastAsia="DengXian"/>
                <w:szCs w:val="24"/>
              </w:rPr>
            </w:pPr>
            <w:r w:rsidRPr="00727DFA">
              <w:rPr>
                <w:rFonts w:eastAsia="DengXian"/>
                <w:szCs w:val="24"/>
              </w:rPr>
              <w:t>Dose related GI disorders (including nausea and vomiting, anorexia, diarrhea and abdominal pain), hypersensitivity reactions (including urticaria, rash, sialadenitis, pruritus, angioedema), headache, drowsiness, vertigo, dizziness, skin reactions including erythema multiforme, Stevens-Johnson Syndrome, exfoliative dermatitis, lupus-like syndrome, anaphylaxis, drug fever, hepatitis, eosinophilia, arthralgia, pancreatitis, benign intracranial hypertension</w:t>
            </w:r>
            <w:r>
              <w:rPr>
                <w:rFonts w:eastAsia="DengXian"/>
                <w:szCs w:val="24"/>
              </w:rPr>
              <w:t>.</w:t>
            </w:r>
          </w:p>
        </w:tc>
      </w:tr>
      <w:tr w:rsidR="007B485D" w:rsidRPr="00727DFA" w14:paraId="28FE1F6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8DE505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3BCB1CE" w14:textId="77777777" w:rsidR="007B485D" w:rsidRPr="00727DFA" w:rsidRDefault="007B485D" w:rsidP="002D6DD7">
            <w:pPr>
              <w:jc w:val="both"/>
              <w:rPr>
                <w:rFonts w:eastAsia="DengXian"/>
                <w:szCs w:val="24"/>
              </w:rPr>
            </w:pPr>
            <w:r w:rsidRPr="00727DFA">
              <w:rPr>
                <w:rFonts w:eastAsia="DengXian"/>
                <w:szCs w:val="24"/>
              </w:rPr>
              <w:t>Renal</w:t>
            </w:r>
            <w:r>
              <w:rPr>
                <w:rFonts w:eastAsia="DengXian"/>
                <w:szCs w:val="24"/>
              </w:rPr>
              <w:t xml:space="preserve"> and hepatic</w:t>
            </w:r>
            <w:r w:rsidRPr="00727DFA">
              <w:rPr>
                <w:rFonts w:eastAsia="DengXian"/>
                <w:szCs w:val="24"/>
              </w:rPr>
              <w:t xml:space="preserve"> impairment, pulmonary disease, neurological disorders, allergic diathesis, anemia, diabetes mellitus, electrolyte imbalance, vitamin B and folate deficiency, pulmonary disease, peripheral neuropathy</w:t>
            </w:r>
            <w:r>
              <w:rPr>
                <w:rFonts w:eastAsia="DengXian"/>
                <w:szCs w:val="24"/>
              </w:rPr>
              <w:t>.</w:t>
            </w:r>
          </w:p>
        </w:tc>
      </w:tr>
      <w:tr w:rsidR="007B485D" w:rsidRPr="00727DFA" w14:paraId="28F5C95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806835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CE85AF1"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339075AF"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838BBFB" w14:textId="77777777" w:rsidR="007B485D" w:rsidRPr="00727DFA" w:rsidRDefault="007B485D" w:rsidP="002D6DD7">
            <w:pPr>
              <w:jc w:val="both"/>
              <w:rPr>
                <w:rFonts w:eastAsia="DengXian"/>
                <w:szCs w:val="24"/>
              </w:rPr>
            </w:pPr>
            <w:r w:rsidRPr="00727DFA">
              <w:rPr>
                <w:rFonts w:eastAsia="DengXian"/>
                <w:b/>
                <w:bCs/>
                <w:szCs w:val="24"/>
              </w:rPr>
              <w:t xml:space="preserve">Polymyxin </w:t>
            </w:r>
            <w:r w:rsidRPr="00587263">
              <w:rPr>
                <w:rFonts w:eastAsia="DengXian"/>
                <w:b/>
                <w:bCs/>
                <w:szCs w:val="24"/>
              </w:rPr>
              <w:t xml:space="preserve">B </w:t>
            </w:r>
            <w:r w:rsidRPr="00873AF2">
              <w:rPr>
                <w:rFonts w:eastAsia="DengXian"/>
                <w:b/>
                <w:bCs/>
                <w:szCs w:val="24"/>
              </w:rPr>
              <w:t>(Reserve)</w:t>
            </w:r>
          </w:p>
        </w:tc>
      </w:tr>
      <w:tr w:rsidR="007B485D" w:rsidRPr="00727DFA" w14:paraId="37F3641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7FF8AD2"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17D88BC" w14:textId="77777777" w:rsidR="007B485D" w:rsidRPr="00727DFA" w:rsidRDefault="007B485D" w:rsidP="002D6DD7">
            <w:pPr>
              <w:jc w:val="both"/>
              <w:rPr>
                <w:rFonts w:eastAsia="DengXian"/>
                <w:szCs w:val="24"/>
              </w:rPr>
            </w:pPr>
            <w:r w:rsidRPr="00727DFA">
              <w:rPr>
                <w:rFonts w:eastAsia="DengXian"/>
                <w:szCs w:val="24"/>
              </w:rPr>
              <w:t xml:space="preserve">Polymyxin </w:t>
            </w:r>
          </w:p>
        </w:tc>
      </w:tr>
      <w:tr w:rsidR="007B485D" w:rsidRPr="00727DFA" w14:paraId="4CE0BF1D" w14:textId="77777777" w:rsidTr="002D6DD7">
        <w:trPr>
          <w:trHeight w:hRule="exact" w:val="865"/>
          <w:jc w:val="center"/>
        </w:trPr>
        <w:tc>
          <w:tcPr>
            <w:tcW w:w="2605" w:type="dxa"/>
            <w:tcBorders>
              <w:top w:val="single" w:sz="4" w:space="0" w:color="auto"/>
              <w:left w:val="single" w:sz="4" w:space="0" w:color="auto"/>
              <w:bottom w:val="single" w:sz="4" w:space="0" w:color="auto"/>
              <w:right w:val="single" w:sz="4" w:space="0" w:color="auto"/>
            </w:tcBorders>
            <w:hideMark/>
          </w:tcPr>
          <w:p w14:paraId="0F53D7B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E877002" w14:textId="77777777" w:rsidR="007B485D" w:rsidRPr="00727DFA" w:rsidRDefault="007B485D" w:rsidP="002D6DD7">
            <w:pPr>
              <w:jc w:val="both"/>
              <w:rPr>
                <w:rFonts w:eastAsia="DengXian"/>
                <w:szCs w:val="24"/>
              </w:rPr>
            </w:pPr>
            <w:r w:rsidRPr="00727DFA">
              <w:rPr>
                <w:rFonts w:eastAsia="DengXian"/>
                <w:szCs w:val="24"/>
              </w:rPr>
              <w:t>Powder for injection: 500,000 IU (equivalent to 50 mg polymyxin B base) in vial</w:t>
            </w:r>
            <w:r>
              <w:rPr>
                <w:rFonts w:eastAsia="DengXian"/>
                <w:szCs w:val="24"/>
              </w:rPr>
              <w:t>.</w:t>
            </w:r>
          </w:p>
        </w:tc>
      </w:tr>
      <w:tr w:rsidR="007B485D" w:rsidRPr="00727DFA" w14:paraId="1B67A4F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51092D3"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7DD99F2" w14:textId="77777777" w:rsidR="007B485D" w:rsidRPr="00727DFA" w:rsidRDefault="007B485D" w:rsidP="002D6DD7">
            <w:pPr>
              <w:jc w:val="both"/>
              <w:rPr>
                <w:rFonts w:eastAsia="DengXian"/>
                <w:szCs w:val="24"/>
              </w:rPr>
            </w:pPr>
            <w:r w:rsidRPr="00727DFA">
              <w:rPr>
                <w:rFonts w:eastAsia="DengXian"/>
                <w:szCs w:val="24"/>
              </w:rPr>
              <w:t xml:space="preserve">Acute infections caused by susceptible strains of </w:t>
            </w:r>
            <w:r w:rsidRPr="00727DFA">
              <w:rPr>
                <w:rFonts w:eastAsia="DengXian"/>
                <w:i/>
                <w:iCs/>
                <w:szCs w:val="24"/>
              </w:rPr>
              <w:t>Pseudomonas aeruginosa</w:t>
            </w:r>
            <w:r w:rsidRPr="00727DFA">
              <w:rPr>
                <w:rFonts w:eastAsia="DengXian"/>
                <w:szCs w:val="24"/>
              </w:rPr>
              <w:t xml:space="preserve">, serious infections caused by susceptible strains of </w:t>
            </w:r>
            <w:r w:rsidRPr="00727DFA">
              <w:rPr>
                <w:rFonts w:eastAsia="DengXian"/>
                <w:i/>
                <w:iCs/>
                <w:szCs w:val="24"/>
              </w:rPr>
              <w:lastRenderedPageBreak/>
              <w:t>Haemophilus influenzae</w:t>
            </w:r>
            <w:r>
              <w:rPr>
                <w:rFonts w:eastAsia="DengXian"/>
                <w:i/>
                <w:iCs/>
                <w:szCs w:val="24"/>
              </w:rPr>
              <w:t xml:space="preserve"> </w:t>
            </w:r>
            <w:r>
              <w:rPr>
                <w:rFonts w:eastAsia="DengXian"/>
                <w:szCs w:val="24"/>
              </w:rPr>
              <w:t>(</w:t>
            </w:r>
            <w:r w:rsidRPr="00727DFA">
              <w:rPr>
                <w:rFonts w:eastAsia="DengXian"/>
                <w:szCs w:val="24"/>
              </w:rPr>
              <w:t>meningeal infections</w:t>
            </w:r>
            <w:r>
              <w:rPr>
                <w:rFonts w:eastAsia="DengXian"/>
                <w:szCs w:val="24"/>
              </w:rPr>
              <w:t>),</w:t>
            </w:r>
            <w:r w:rsidRPr="00727DFA">
              <w:rPr>
                <w:rFonts w:eastAsia="DengXian"/>
                <w:szCs w:val="24"/>
              </w:rPr>
              <w:t xml:space="preserve"> </w:t>
            </w:r>
            <w:r w:rsidRPr="00727DFA">
              <w:rPr>
                <w:rFonts w:eastAsia="DengXian"/>
                <w:i/>
                <w:iCs/>
                <w:szCs w:val="24"/>
              </w:rPr>
              <w:t>Escherichia coli</w:t>
            </w:r>
            <w:r w:rsidRPr="00727DFA">
              <w:rPr>
                <w:rFonts w:eastAsia="DengXian"/>
                <w:szCs w:val="24"/>
              </w:rPr>
              <w:t xml:space="preserve"> </w:t>
            </w:r>
            <w:r>
              <w:rPr>
                <w:rFonts w:eastAsia="DengXian"/>
                <w:szCs w:val="24"/>
              </w:rPr>
              <w:t>(</w:t>
            </w:r>
            <w:r w:rsidRPr="00727DFA">
              <w:rPr>
                <w:rFonts w:eastAsia="DengXian"/>
                <w:szCs w:val="24"/>
              </w:rPr>
              <w:t>urinary tract infections</w:t>
            </w:r>
            <w:r>
              <w:rPr>
                <w:rFonts w:eastAsia="DengXian"/>
                <w:szCs w:val="24"/>
              </w:rPr>
              <w:t>),</w:t>
            </w:r>
            <w:r w:rsidRPr="00727DFA">
              <w:rPr>
                <w:rFonts w:eastAsia="DengXian"/>
                <w:szCs w:val="24"/>
              </w:rPr>
              <w:t xml:space="preserve"> </w:t>
            </w:r>
            <w:r w:rsidRPr="00727DFA">
              <w:rPr>
                <w:rFonts w:eastAsia="DengXian"/>
                <w:i/>
                <w:iCs/>
                <w:szCs w:val="24"/>
              </w:rPr>
              <w:t>Aerobacter aerogenes</w:t>
            </w:r>
            <w:r w:rsidR="00BC0421">
              <w:rPr>
                <w:rFonts w:eastAsia="DengXian"/>
                <w:i/>
                <w:iCs/>
                <w:szCs w:val="24"/>
              </w:rPr>
              <w:t xml:space="preserve"> </w:t>
            </w:r>
            <w:r>
              <w:rPr>
                <w:rFonts w:eastAsia="DengXian"/>
                <w:szCs w:val="24"/>
              </w:rPr>
              <w:t>(</w:t>
            </w:r>
            <w:r w:rsidRPr="00727DFA">
              <w:rPr>
                <w:rFonts w:eastAsia="DengXian"/>
                <w:szCs w:val="24"/>
              </w:rPr>
              <w:t>bacteremia</w:t>
            </w:r>
            <w:r>
              <w:rPr>
                <w:rFonts w:eastAsia="DengXian"/>
                <w:szCs w:val="24"/>
              </w:rPr>
              <w:t>),</w:t>
            </w:r>
            <w:r w:rsidRPr="00727DFA">
              <w:rPr>
                <w:rFonts w:eastAsia="DengXian"/>
                <w:szCs w:val="24"/>
              </w:rPr>
              <w:t xml:space="preserve"> </w:t>
            </w:r>
            <w:r w:rsidRPr="00727DFA">
              <w:rPr>
                <w:rFonts w:eastAsia="DengXian"/>
                <w:i/>
                <w:iCs/>
                <w:szCs w:val="24"/>
              </w:rPr>
              <w:t>Klebsiella pneumoniae</w:t>
            </w:r>
            <w:r w:rsidRPr="00727DFA">
              <w:rPr>
                <w:rFonts w:eastAsia="DengXian"/>
                <w:szCs w:val="24"/>
              </w:rPr>
              <w:t xml:space="preserve"> </w:t>
            </w:r>
            <w:r>
              <w:rPr>
                <w:rFonts w:eastAsia="DengXian"/>
                <w:szCs w:val="24"/>
              </w:rPr>
              <w:t>(</w:t>
            </w:r>
            <w:r w:rsidRPr="00727DFA">
              <w:rPr>
                <w:rFonts w:eastAsia="DengXian"/>
                <w:szCs w:val="24"/>
              </w:rPr>
              <w:t>bacteremia</w:t>
            </w:r>
            <w:r>
              <w:rPr>
                <w:rFonts w:eastAsia="DengXian"/>
                <w:szCs w:val="24"/>
              </w:rPr>
              <w:t>)</w:t>
            </w:r>
            <w:r w:rsidR="00BC0421">
              <w:rPr>
                <w:rFonts w:eastAsia="DengXian"/>
                <w:szCs w:val="24"/>
              </w:rPr>
              <w:t>.</w:t>
            </w:r>
          </w:p>
        </w:tc>
      </w:tr>
      <w:tr w:rsidR="007B485D" w:rsidRPr="00727DFA" w14:paraId="2ECFB1E0"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2307F94" w14:textId="77777777" w:rsidR="007B485D" w:rsidRPr="00727DFA" w:rsidRDefault="007B485D" w:rsidP="002D6DD7">
            <w:pPr>
              <w:jc w:val="both"/>
              <w:rPr>
                <w:rFonts w:eastAsia="DengXian"/>
                <w:bCs/>
                <w:szCs w:val="24"/>
              </w:rPr>
            </w:pPr>
            <w:r w:rsidRPr="00727DFA">
              <w:rPr>
                <w:rFonts w:eastAsia="DengXian"/>
                <w:bCs/>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99B4787" w14:textId="77777777" w:rsidR="007B485D" w:rsidRPr="00727DFA" w:rsidRDefault="007B485D" w:rsidP="002D6DD7">
            <w:pPr>
              <w:jc w:val="both"/>
              <w:rPr>
                <w:rFonts w:eastAsia="DengXian"/>
                <w:b/>
                <w:bCs/>
                <w:szCs w:val="24"/>
              </w:rPr>
            </w:pPr>
            <w:r w:rsidRPr="00727DFA">
              <w:rPr>
                <w:rFonts w:eastAsia="DengXian"/>
                <w:b/>
                <w:bCs/>
                <w:szCs w:val="24"/>
              </w:rPr>
              <w:t>Usual dose</w:t>
            </w:r>
          </w:p>
          <w:p w14:paraId="6513DC22" w14:textId="77777777" w:rsidR="007B485D" w:rsidRPr="00727DFA" w:rsidRDefault="007B485D" w:rsidP="002D6DD7">
            <w:pPr>
              <w:jc w:val="both"/>
              <w:rPr>
                <w:rFonts w:eastAsia="DengXian"/>
                <w:b/>
                <w:bCs/>
                <w:szCs w:val="24"/>
              </w:rPr>
            </w:pPr>
            <w:r w:rsidRPr="00727DFA">
              <w:rPr>
                <w:rFonts w:eastAsia="DengXian"/>
                <w:b/>
                <w:bCs/>
                <w:szCs w:val="24"/>
              </w:rPr>
              <w:t>Adult:</w:t>
            </w:r>
          </w:p>
          <w:p w14:paraId="45F0F93D" w14:textId="77777777" w:rsidR="007B485D" w:rsidRPr="00727DFA" w:rsidRDefault="007B485D" w:rsidP="002D6DD7">
            <w:pPr>
              <w:jc w:val="both"/>
              <w:rPr>
                <w:rFonts w:eastAsia="DengXian"/>
                <w:szCs w:val="24"/>
              </w:rPr>
            </w:pPr>
            <w:r w:rsidRPr="00727DFA">
              <w:rPr>
                <w:rFonts w:eastAsia="DengXian"/>
                <w:b/>
                <w:bCs/>
                <w:szCs w:val="24"/>
              </w:rPr>
              <w:t>IV:</w:t>
            </w:r>
            <w:r w:rsidRPr="00727DFA">
              <w:rPr>
                <w:rFonts w:eastAsia="DengXian"/>
                <w:szCs w:val="24"/>
              </w:rPr>
              <w:t xml:space="preserve"> 15,000</w:t>
            </w:r>
            <w:r>
              <w:rPr>
                <w:rFonts w:eastAsia="DengXian"/>
                <w:szCs w:val="24"/>
              </w:rPr>
              <w:t>-</w:t>
            </w:r>
            <w:r w:rsidRPr="00727DFA">
              <w:rPr>
                <w:rFonts w:eastAsia="DengXian"/>
                <w:szCs w:val="24"/>
              </w:rPr>
              <w:t xml:space="preserve"> 25,000 units/kg /day. Infusions may be given every 12 hours. </w:t>
            </w:r>
            <w:r w:rsidRPr="00873AF2">
              <w:rPr>
                <w:rFonts w:eastAsia="DengXian"/>
                <w:i/>
                <w:iCs/>
                <w:szCs w:val="24"/>
              </w:rPr>
              <w:t>Dose reduced in renal impairment.</w:t>
            </w:r>
          </w:p>
          <w:p w14:paraId="489680C9" w14:textId="77777777" w:rsidR="007B485D" w:rsidRPr="00727DFA" w:rsidRDefault="007B485D" w:rsidP="002D6DD7">
            <w:pPr>
              <w:jc w:val="both"/>
              <w:rPr>
                <w:rFonts w:eastAsia="DengXian"/>
                <w:b/>
                <w:bCs/>
                <w:szCs w:val="24"/>
              </w:rPr>
            </w:pPr>
            <w:r w:rsidRPr="00727DFA">
              <w:rPr>
                <w:rFonts w:eastAsia="DengXian"/>
                <w:b/>
                <w:bCs/>
                <w:szCs w:val="24"/>
              </w:rPr>
              <w:t xml:space="preserve">IM (not recommended routinely because of severe pain at injection sites, particularly in infants and children): </w:t>
            </w:r>
            <w:r w:rsidRPr="00727DFA">
              <w:rPr>
                <w:rFonts w:eastAsia="DengXian"/>
                <w:szCs w:val="24"/>
              </w:rPr>
              <w:t xml:space="preserve">25,000 </w:t>
            </w:r>
            <w:r>
              <w:rPr>
                <w:rFonts w:eastAsia="DengXian"/>
                <w:szCs w:val="24"/>
              </w:rPr>
              <w:t>-</w:t>
            </w:r>
            <w:r w:rsidRPr="00727DFA">
              <w:rPr>
                <w:rFonts w:eastAsia="DengXian"/>
                <w:szCs w:val="24"/>
              </w:rPr>
              <w:t xml:space="preserve"> 30,000 units/kg/day in 4- or 6-hour intervals. </w:t>
            </w:r>
          </w:p>
          <w:p w14:paraId="50D780E0" w14:textId="77777777" w:rsidR="007B485D" w:rsidRPr="00727DFA" w:rsidRDefault="007B485D" w:rsidP="002D6DD7">
            <w:pPr>
              <w:jc w:val="both"/>
              <w:rPr>
                <w:rFonts w:eastAsia="DengXian"/>
                <w:b/>
                <w:bCs/>
                <w:szCs w:val="24"/>
              </w:rPr>
            </w:pPr>
            <w:r>
              <w:rPr>
                <w:rFonts w:eastAsia="DengXian"/>
                <w:b/>
                <w:bCs/>
                <w:szCs w:val="24"/>
              </w:rPr>
              <w:t>Child:</w:t>
            </w:r>
          </w:p>
          <w:p w14:paraId="7677F3C1" w14:textId="77777777" w:rsidR="007B485D" w:rsidRPr="00727DFA" w:rsidRDefault="007B485D" w:rsidP="002D6DD7">
            <w:pPr>
              <w:jc w:val="both"/>
              <w:rPr>
                <w:rFonts w:eastAsia="DengXian"/>
                <w:b/>
                <w:bCs/>
                <w:szCs w:val="24"/>
              </w:rPr>
            </w:pPr>
            <w:r w:rsidRPr="00727DFA">
              <w:rPr>
                <w:rFonts w:eastAsia="DengXian"/>
                <w:b/>
                <w:bCs/>
                <w:szCs w:val="24"/>
              </w:rPr>
              <w:t>IV:</w:t>
            </w:r>
          </w:p>
          <w:p w14:paraId="72CF1FE8" w14:textId="77777777" w:rsidR="007B485D" w:rsidRPr="00727DFA" w:rsidRDefault="007B485D" w:rsidP="002D6DD7">
            <w:pPr>
              <w:jc w:val="both"/>
              <w:rPr>
                <w:rFonts w:eastAsia="DengXian"/>
                <w:szCs w:val="24"/>
              </w:rPr>
            </w:pPr>
            <w:r w:rsidRPr="00727DFA">
              <w:rPr>
                <w:rFonts w:eastAsia="DengXian"/>
                <w:b/>
                <w:bCs/>
                <w:szCs w:val="24"/>
              </w:rPr>
              <w:t>Infant:</w:t>
            </w:r>
            <w:r w:rsidRPr="00727DFA">
              <w:rPr>
                <w:rFonts w:eastAsia="DengXian"/>
                <w:szCs w:val="24"/>
              </w:rPr>
              <w:t xml:space="preserve"> Infants with normal kidney function may receive up to 40,000 units/kg/day without adverse effects.</w:t>
            </w:r>
          </w:p>
          <w:p w14:paraId="0F07FD99"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xml:space="preserve"> 15,000 to 25,000 units/kg body weight/day in individuals with normal kidney function. </w:t>
            </w:r>
          </w:p>
          <w:p w14:paraId="409882DD" w14:textId="77777777" w:rsidR="007B485D" w:rsidRPr="00727DFA" w:rsidRDefault="007B485D" w:rsidP="002D6DD7">
            <w:pPr>
              <w:jc w:val="both"/>
              <w:rPr>
                <w:rFonts w:eastAsia="DengXian"/>
                <w:b/>
                <w:bCs/>
                <w:szCs w:val="24"/>
              </w:rPr>
            </w:pPr>
            <w:r w:rsidRPr="00727DFA">
              <w:rPr>
                <w:rFonts w:eastAsia="DengXian"/>
                <w:b/>
                <w:bCs/>
                <w:szCs w:val="24"/>
              </w:rPr>
              <w:t xml:space="preserve">IM: </w:t>
            </w:r>
          </w:p>
          <w:p w14:paraId="35E13F8A" w14:textId="77777777" w:rsidR="007B485D" w:rsidRPr="00727DFA" w:rsidRDefault="007B485D" w:rsidP="002D6DD7">
            <w:pPr>
              <w:jc w:val="both"/>
              <w:rPr>
                <w:rFonts w:eastAsia="DengXian"/>
                <w:szCs w:val="24"/>
              </w:rPr>
            </w:pPr>
            <w:r w:rsidRPr="00727DFA">
              <w:rPr>
                <w:rFonts w:eastAsia="DengXian"/>
                <w:szCs w:val="24"/>
              </w:rPr>
              <w:t xml:space="preserve">Infants with normal kidney function may receive up to 40,000 units/kg/day (commonly 25,000 to 30,000 units/kg/day) in 4 or 6 divided doses without adverse effects </w:t>
            </w:r>
          </w:p>
          <w:p w14:paraId="1D4F5026" w14:textId="77777777" w:rsidR="007B485D" w:rsidRPr="00727DFA" w:rsidRDefault="007B485D" w:rsidP="002D6DD7">
            <w:pPr>
              <w:jc w:val="both"/>
              <w:rPr>
                <w:rFonts w:eastAsia="DengXian"/>
                <w:szCs w:val="24"/>
              </w:rPr>
            </w:pPr>
            <w:r w:rsidRPr="00727DFA">
              <w:rPr>
                <w:rFonts w:eastAsia="DengXian"/>
                <w:b/>
                <w:bCs/>
                <w:i/>
                <w:iCs/>
                <w:szCs w:val="24"/>
              </w:rPr>
              <w:t>P. aeruginosa</w:t>
            </w:r>
            <w:r w:rsidRPr="00727DFA">
              <w:rPr>
                <w:rFonts w:eastAsia="DengXian"/>
                <w:b/>
                <w:bCs/>
                <w:szCs w:val="24"/>
              </w:rPr>
              <w:t xml:space="preserve"> meningitis,</w:t>
            </w:r>
            <w:r w:rsidRPr="00727DFA">
              <w:rPr>
                <w:rFonts w:eastAsia="DengXian"/>
                <w:szCs w:val="24"/>
              </w:rPr>
              <w:t xml:space="preserve"> </w:t>
            </w:r>
            <w:r>
              <w:rPr>
                <w:rFonts w:eastAsia="DengXian"/>
                <w:b/>
                <w:bCs/>
                <w:szCs w:val="24"/>
              </w:rPr>
              <w:t>i</w:t>
            </w:r>
            <w:r w:rsidRPr="00727DFA">
              <w:rPr>
                <w:rFonts w:eastAsia="DengXian"/>
                <w:b/>
                <w:bCs/>
                <w:szCs w:val="24"/>
              </w:rPr>
              <w:t>ntrathecal</w:t>
            </w:r>
          </w:p>
          <w:p w14:paraId="06C2926E" w14:textId="77777777" w:rsidR="007B485D" w:rsidRPr="00727DFA" w:rsidRDefault="007B485D" w:rsidP="002D6DD7">
            <w:pPr>
              <w:jc w:val="both"/>
              <w:rPr>
                <w:rFonts w:eastAsia="DengXian"/>
                <w:szCs w:val="24"/>
              </w:rPr>
            </w:pPr>
            <w:r w:rsidRPr="00727DFA">
              <w:rPr>
                <w:rFonts w:eastAsia="DengXian"/>
                <w:b/>
                <w:bCs/>
                <w:szCs w:val="24"/>
              </w:rPr>
              <w:t xml:space="preserve">Child </w:t>
            </w:r>
            <w:r>
              <w:rPr>
                <w:rFonts w:eastAsia="DengXian"/>
                <w:b/>
                <w:bCs/>
                <w:szCs w:val="24"/>
              </w:rPr>
              <w:t>&gt;</w:t>
            </w:r>
            <w:r w:rsidRPr="00727DFA">
              <w:rPr>
                <w:rFonts w:eastAsia="DengXian"/>
                <w:b/>
                <w:bCs/>
                <w:szCs w:val="24"/>
              </w:rPr>
              <w:t xml:space="preserve"> 2years</w:t>
            </w:r>
            <w:r w:rsidRPr="00727DFA">
              <w:rPr>
                <w:rFonts w:eastAsia="DengXian"/>
                <w:szCs w:val="24"/>
              </w:rPr>
              <w:t xml:space="preserve">: 50,000 units once daily intrathecally for 3 to 4 days, then 50,000 units once every other day </w:t>
            </w:r>
          </w:p>
          <w:p w14:paraId="71784A85" w14:textId="77777777" w:rsidR="007B485D" w:rsidRPr="00727DFA" w:rsidRDefault="007B485D" w:rsidP="002D6DD7">
            <w:pPr>
              <w:jc w:val="both"/>
              <w:rPr>
                <w:rFonts w:eastAsia="DengXian"/>
                <w:szCs w:val="24"/>
              </w:rPr>
            </w:pPr>
            <w:r>
              <w:rPr>
                <w:rFonts w:eastAsia="DengXian"/>
                <w:b/>
                <w:bCs/>
                <w:szCs w:val="24"/>
              </w:rPr>
              <w:t>Infants</w:t>
            </w:r>
            <w:r w:rsidRPr="00727DFA">
              <w:rPr>
                <w:rFonts w:eastAsia="DengXian"/>
                <w:b/>
                <w:bCs/>
                <w:szCs w:val="24"/>
              </w:rPr>
              <w:t>:</w:t>
            </w:r>
            <w:r w:rsidRPr="00727DFA">
              <w:rPr>
                <w:rFonts w:eastAsia="DengXian"/>
                <w:szCs w:val="24"/>
              </w:rPr>
              <w:t xml:space="preserve"> 20,000 units once daily, intrathecally for 3 to 4 days or 25,000 units once every other day </w:t>
            </w:r>
          </w:p>
        </w:tc>
      </w:tr>
      <w:tr w:rsidR="007B485D" w:rsidRPr="00727DFA" w14:paraId="4C63E732" w14:textId="77777777" w:rsidTr="002D6DD7">
        <w:trPr>
          <w:trHeight w:hRule="exact" w:val="568"/>
          <w:jc w:val="center"/>
        </w:trPr>
        <w:tc>
          <w:tcPr>
            <w:tcW w:w="2605" w:type="dxa"/>
            <w:tcBorders>
              <w:top w:val="single" w:sz="4" w:space="0" w:color="auto"/>
              <w:left w:val="single" w:sz="4" w:space="0" w:color="auto"/>
              <w:bottom w:val="single" w:sz="4" w:space="0" w:color="auto"/>
              <w:right w:val="single" w:sz="4" w:space="0" w:color="auto"/>
            </w:tcBorders>
            <w:hideMark/>
          </w:tcPr>
          <w:p w14:paraId="70E7A508"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1B308C4" w14:textId="77777777" w:rsidR="007B485D" w:rsidRPr="00727DFA" w:rsidRDefault="007B485D" w:rsidP="002D6DD7">
            <w:pPr>
              <w:jc w:val="both"/>
              <w:rPr>
                <w:rFonts w:eastAsia="DengXian"/>
                <w:szCs w:val="24"/>
              </w:rPr>
            </w:pPr>
            <w:r w:rsidRPr="00727DFA">
              <w:rPr>
                <w:rFonts w:eastAsia="DengXian"/>
                <w:szCs w:val="24"/>
              </w:rPr>
              <w:t>Hypersensitivity to polymyxins</w:t>
            </w:r>
            <w:r>
              <w:rPr>
                <w:rFonts w:eastAsia="DengXian"/>
                <w:szCs w:val="24"/>
              </w:rPr>
              <w:t>, m</w:t>
            </w:r>
            <w:r w:rsidRPr="00727DFA">
              <w:rPr>
                <w:rFonts w:eastAsia="DengXian"/>
                <w:szCs w:val="24"/>
              </w:rPr>
              <w:t>yasthenia gravis</w:t>
            </w:r>
            <w:r>
              <w:rPr>
                <w:rFonts w:eastAsia="DengXian"/>
                <w:szCs w:val="24"/>
              </w:rPr>
              <w:t>.</w:t>
            </w:r>
            <w:r w:rsidRPr="00727DFA">
              <w:rPr>
                <w:rFonts w:eastAsia="DengXian"/>
                <w:szCs w:val="24"/>
              </w:rPr>
              <w:t xml:space="preserve"> </w:t>
            </w:r>
          </w:p>
        </w:tc>
      </w:tr>
      <w:tr w:rsidR="007B485D" w:rsidRPr="00727DFA" w14:paraId="5F541493" w14:textId="77777777" w:rsidTr="002D6DD7">
        <w:trPr>
          <w:trHeight w:hRule="exact" w:val="1765"/>
          <w:jc w:val="center"/>
        </w:trPr>
        <w:tc>
          <w:tcPr>
            <w:tcW w:w="2605" w:type="dxa"/>
            <w:tcBorders>
              <w:top w:val="single" w:sz="4" w:space="0" w:color="auto"/>
              <w:left w:val="single" w:sz="4" w:space="0" w:color="auto"/>
              <w:bottom w:val="single" w:sz="4" w:space="0" w:color="auto"/>
              <w:right w:val="single" w:sz="4" w:space="0" w:color="auto"/>
            </w:tcBorders>
            <w:hideMark/>
          </w:tcPr>
          <w:p w14:paraId="2FA9588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EB560ED" w14:textId="77777777" w:rsidR="007B485D" w:rsidRPr="00727DFA" w:rsidRDefault="007B485D" w:rsidP="002D6DD7">
            <w:pPr>
              <w:jc w:val="both"/>
              <w:rPr>
                <w:rFonts w:eastAsia="DengXian"/>
                <w:szCs w:val="24"/>
              </w:rPr>
            </w:pPr>
            <w:r w:rsidRPr="00727DFA">
              <w:rPr>
                <w:rFonts w:eastAsia="DengXian"/>
                <w:szCs w:val="24"/>
              </w:rPr>
              <w:t>Curariform muscle relaxant</w:t>
            </w:r>
            <w:r>
              <w:rPr>
                <w:rFonts w:eastAsia="DengXian"/>
                <w:szCs w:val="24"/>
              </w:rPr>
              <w:t>/</w:t>
            </w:r>
            <w:r w:rsidRPr="00727DFA">
              <w:rPr>
                <w:rFonts w:eastAsia="DengXian"/>
                <w:szCs w:val="24"/>
              </w:rPr>
              <w:t>neurotoxic drugs (ether, tubocurarine, succinylcholine, gallamine, decamethonium and sodium citrate), aminoglycosides</w:t>
            </w:r>
            <w:r>
              <w:rPr>
                <w:rFonts w:eastAsia="DengXian"/>
                <w:szCs w:val="24"/>
              </w:rPr>
              <w:t>, amphotericin B, live cholera vaccine, neomycin.</w:t>
            </w:r>
          </w:p>
        </w:tc>
      </w:tr>
      <w:tr w:rsidR="007B485D" w:rsidRPr="00727DFA" w14:paraId="3379015D" w14:textId="77777777" w:rsidTr="002D6DD7">
        <w:trPr>
          <w:trHeight w:hRule="exact" w:val="757"/>
          <w:jc w:val="center"/>
        </w:trPr>
        <w:tc>
          <w:tcPr>
            <w:tcW w:w="2605" w:type="dxa"/>
            <w:tcBorders>
              <w:top w:val="single" w:sz="4" w:space="0" w:color="auto"/>
              <w:left w:val="single" w:sz="4" w:space="0" w:color="auto"/>
              <w:bottom w:val="single" w:sz="4" w:space="0" w:color="auto"/>
              <w:right w:val="single" w:sz="4" w:space="0" w:color="auto"/>
            </w:tcBorders>
            <w:hideMark/>
          </w:tcPr>
          <w:p w14:paraId="37A63940"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7EEF0AA9" w14:textId="77777777" w:rsidR="007B485D" w:rsidRPr="00727DFA" w:rsidRDefault="007B485D" w:rsidP="002D6DD7">
            <w:pPr>
              <w:jc w:val="both"/>
              <w:rPr>
                <w:rFonts w:eastAsia="DengXian"/>
                <w:szCs w:val="24"/>
              </w:rPr>
            </w:pPr>
            <w:r w:rsidRPr="00727DFA">
              <w:rPr>
                <w:rFonts w:eastAsia="DengXian"/>
                <w:szCs w:val="24"/>
              </w:rPr>
              <w:t>Neurotoxicity, nephrotoxicity,</w:t>
            </w:r>
            <w:r>
              <w:rPr>
                <w:rFonts w:eastAsia="DengXian"/>
                <w:szCs w:val="24"/>
              </w:rPr>
              <w:t xml:space="preserve"> paresthesia, skin hyperpigmentation,</w:t>
            </w:r>
            <w:r w:rsidRPr="00727DFA">
              <w:rPr>
                <w:rFonts w:eastAsia="DengXian"/>
                <w:szCs w:val="24"/>
              </w:rPr>
              <w:t xml:space="preserve"> </w:t>
            </w:r>
            <w:r w:rsidRPr="00873AF2">
              <w:rPr>
                <w:rFonts w:eastAsia="DengXian"/>
                <w:i/>
                <w:iCs/>
                <w:szCs w:val="24"/>
              </w:rPr>
              <w:t>Clostridioides difficile</w:t>
            </w:r>
            <w:r w:rsidRPr="00727DFA">
              <w:rPr>
                <w:rFonts w:eastAsia="DengXian"/>
                <w:szCs w:val="24"/>
              </w:rPr>
              <w:t xml:space="preserve"> associated diarrhea</w:t>
            </w:r>
            <w:r>
              <w:rPr>
                <w:rFonts w:eastAsia="DengXian"/>
                <w:szCs w:val="24"/>
              </w:rPr>
              <w:t>.</w:t>
            </w:r>
          </w:p>
        </w:tc>
      </w:tr>
      <w:tr w:rsidR="007B485D" w:rsidRPr="00727DFA" w14:paraId="7651BF6B" w14:textId="77777777" w:rsidTr="002D6DD7">
        <w:trPr>
          <w:trHeight w:hRule="exact" w:val="910"/>
          <w:jc w:val="center"/>
        </w:trPr>
        <w:tc>
          <w:tcPr>
            <w:tcW w:w="2605" w:type="dxa"/>
            <w:tcBorders>
              <w:top w:val="single" w:sz="4" w:space="0" w:color="auto"/>
              <w:left w:val="single" w:sz="4" w:space="0" w:color="auto"/>
              <w:bottom w:val="single" w:sz="4" w:space="0" w:color="auto"/>
              <w:right w:val="single" w:sz="4" w:space="0" w:color="auto"/>
            </w:tcBorders>
            <w:hideMark/>
          </w:tcPr>
          <w:p w14:paraId="44360BF3"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87547D6" w14:textId="77777777" w:rsidR="007B485D" w:rsidRPr="00727DFA" w:rsidRDefault="007B485D" w:rsidP="002D6DD7">
            <w:pPr>
              <w:jc w:val="both"/>
              <w:rPr>
                <w:rFonts w:eastAsia="DengXian"/>
                <w:szCs w:val="24"/>
              </w:rPr>
            </w:pPr>
            <w:r w:rsidRPr="00727DFA">
              <w:rPr>
                <w:rFonts w:eastAsia="DengXian"/>
                <w:szCs w:val="24"/>
              </w:rPr>
              <w:t>Intramuscular and intrathecal administration, pregnancy and breastfeeding</w:t>
            </w:r>
            <w:r>
              <w:rPr>
                <w:rFonts w:eastAsia="DengXian"/>
                <w:szCs w:val="24"/>
              </w:rPr>
              <w:t>.</w:t>
            </w:r>
          </w:p>
        </w:tc>
      </w:tr>
      <w:tr w:rsidR="007B485D" w:rsidRPr="00727DFA" w14:paraId="7A662C6F" w14:textId="77777777" w:rsidTr="002D6DD7">
        <w:trPr>
          <w:trHeight w:hRule="exact" w:val="532"/>
          <w:jc w:val="center"/>
        </w:trPr>
        <w:tc>
          <w:tcPr>
            <w:tcW w:w="2605" w:type="dxa"/>
            <w:tcBorders>
              <w:top w:val="single" w:sz="4" w:space="0" w:color="auto"/>
              <w:left w:val="single" w:sz="4" w:space="0" w:color="auto"/>
              <w:bottom w:val="single" w:sz="4" w:space="0" w:color="auto"/>
              <w:right w:val="single" w:sz="4" w:space="0" w:color="auto"/>
            </w:tcBorders>
            <w:hideMark/>
          </w:tcPr>
          <w:p w14:paraId="3929748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668B7F7"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36803FFB"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CC396E2" w14:textId="77777777" w:rsidR="007B485D" w:rsidRPr="00727DFA" w:rsidRDefault="007B485D" w:rsidP="002D6DD7">
            <w:pPr>
              <w:jc w:val="both"/>
              <w:rPr>
                <w:rFonts w:eastAsia="DengXian"/>
                <w:szCs w:val="24"/>
              </w:rPr>
            </w:pPr>
            <w:r w:rsidRPr="00727DFA">
              <w:rPr>
                <w:rFonts w:eastAsia="DengXian"/>
                <w:b/>
                <w:bCs/>
                <w:szCs w:val="24"/>
              </w:rPr>
              <w:t xml:space="preserve">Sulfamethoxazole + Trimethoprim </w:t>
            </w:r>
            <w:r w:rsidRPr="00873AF2">
              <w:rPr>
                <w:rFonts w:eastAsia="DengXian"/>
                <w:b/>
                <w:bCs/>
                <w:szCs w:val="24"/>
              </w:rPr>
              <w:t>(Access</w:t>
            </w:r>
            <w:r w:rsidRPr="00873AF2">
              <w:rPr>
                <w:rFonts w:eastAsia="DengXian"/>
                <w:szCs w:val="24"/>
              </w:rPr>
              <w:t>)</w:t>
            </w:r>
          </w:p>
        </w:tc>
      </w:tr>
      <w:tr w:rsidR="007B485D" w:rsidRPr="00727DFA" w14:paraId="0C678C8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1235EE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4FC4171" w14:textId="77777777" w:rsidR="007B485D" w:rsidRPr="00727DFA" w:rsidRDefault="007B485D" w:rsidP="002D6DD7">
            <w:pPr>
              <w:jc w:val="both"/>
              <w:rPr>
                <w:rFonts w:eastAsia="DengXian"/>
                <w:szCs w:val="24"/>
              </w:rPr>
            </w:pPr>
            <w:r w:rsidRPr="00727DFA">
              <w:rPr>
                <w:rFonts w:eastAsia="DengXian"/>
                <w:szCs w:val="24"/>
              </w:rPr>
              <w:t>Sulfonamides</w:t>
            </w:r>
          </w:p>
        </w:tc>
      </w:tr>
      <w:tr w:rsidR="007B485D" w:rsidRPr="00727DFA" w14:paraId="68FB6E85"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B87EAD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8493058" w14:textId="77777777" w:rsidR="007B485D" w:rsidRPr="00727DFA" w:rsidRDefault="007B485D" w:rsidP="002D6DD7">
            <w:pPr>
              <w:jc w:val="both"/>
              <w:rPr>
                <w:rFonts w:eastAsia="DengXian"/>
                <w:szCs w:val="24"/>
                <w:lang w:val="nb-NO"/>
              </w:rPr>
            </w:pPr>
            <w:r w:rsidRPr="00727DFA">
              <w:rPr>
                <w:rFonts w:eastAsia="DengXian"/>
                <w:szCs w:val="24"/>
                <w:lang w:val="nb-NO"/>
              </w:rPr>
              <w:t>Suspension</w:t>
            </w:r>
            <w:r>
              <w:rPr>
                <w:rFonts w:eastAsia="DengXian"/>
                <w:szCs w:val="24"/>
                <w:lang w:val="nb-NO"/>
              </w:rPr>
              <w:t>:</w:t>
            </w:r>
            <w:r w:rsidRPr="00727DFA">
              <w:rPr>
                <w:rFonts w:eastAsia="DengXian"/>
                <w:szCs w:val="24"/>
                <w:lang w:val="nb-NO"/>
              </w:rPr>
              <w:t xml:space="preserve"> 240mg/5ml</w:t>
            </w:r>
          </w:p>
          <w:p w14:paraId="1AD06BB9" w14:textId="77777777" w:rsidR="007B485D" w:rsidRPr="00727DFA" w:rsidRDefault="007B485D" w:rsidP="002D6DD7">
            <w:pPr>
              <w:jc w:val="both"/>
              <w:rPr>
                <w:rFonts w:eastAsia="DengXian"/>
                <w:szCs w:val="24"/>
                <w:lang w:val="nb-NO"/>
              </w:rPr>
            </w:pPr>
            <w:r w:rsidRPr="00727DFA">
              <w:rPr>
                <w:rFonts w:eastAsia="DengXian"/>
                <w:szCs w:val="24"/>
                <w:lang w:val="nb-NO"/>
              </w:rPr>
              <w:t>Dispersible tablet:100mg + 20mg</w:t>
            </w:r>
          </w:p>
          <w:p w14:paraId="48C1642F" w14:textId="77777777" w:rsidR="007B485D" w:rsidRPr="00727DFA" w:rsidRDefault="007B485D" w:rsidP="002D6DD7">
            <w:pPr>
              <w:jc w:val="both"/>
              <w:rPr>
                <w:rFonts w:eastAsia="DengXian"/>
                <w:szCs w:val="24"/>
                <w:lang w:val="nb-NO"/>
              </w:rPr>
            </w:pPr>
            <w:r w:rsidRPr="00727DFA">
              <w:rPr>
                <w:rFonts w:eastAsia="DengXian"/>
                <w:szCs w:val="24"/>
                <w:lang w:val="nb-NO"/>
              </w:rPr>
              <w:t>Tablet: 400mg + 80mg; 800mg +160mg</w:t>
            </w:r>
          </w:p>
          <w:p w14:paraId="3E2D3FF5" w14:textId="77777777" w:rsidR="007B485D" w:rsidRPr="00727DFA" w:rsidRDefault="007B485D" w:rsidP="002D6DD7">
            <w:pPr>
              <w:jc w:val="both"/>
              <w:rPr>
                <w:rFonts w:eastAsia="DengXian"/>
                <w:szCs w:val="24"/>
              </w:rPr>
            </w:pPr>
            <w:r w:rsidRPr="00727DFA">
              <w:rPr>
                <w:rFonts w:eastAsia="DengXian"/>
                <w:szCs w:val="24"/>
              </w:rPr>
              <w:t>Injection</w:t>
            </w:r>
            <w:r>
              <w:rPr>
                <w:rFonts w:eastAsia="DengXian"/>
                <w:szCs w:val="24"/>
              </w:rPr>
              <w:t>:</w:t>
            </w:r>
            <w:r w:rsidRPr="00727DFA">
              <w:rPr>
                <w:rFonts w:eastAsia="DengXian"/>
                <w:szCs w:val="24"/>
              </w:rPr>
              <w:t xml:space="preserve"> 80mg + 16mg/ml (5ml, 10ml, 30ml)</w:t>
            </w:r>
          </w:p>
        </w:tc>
      </w:tr>
      <w:tr w:rsidR="007B485D" w:rsidRPr="00727DFA" w14:paraId="0675006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0CBE053"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8699B3A" w14:textId="77777777" w:rsidR="007B485D" w:rsidRPr="00727DFA" w:rsidRDefault="007B485D" w:rsidP="002D6DD7">
            <w:pPr>
              <w:jc w:val="both"/>
              <w:rPr>
                <w:rFonts w:eastAsia="DengXian"/>
                <w:szCs w:val="24"/>
              </w:rPr>
            </w:pPr>
            <w:r w:rsidRPr="00727DFA">
              <w:rPr>
                <w:rFonts w:eastAsia="DengXian"/>
                <w:szCs w:val="24"/>
              </w:rPr>
              <w:t>Urinary tract, respiratory tract, typhoid/paratyphoid fevers and prostatic infections caused by susceptible organisms</w:t>
            </w:r>
            <w:r>
              <w:rPr>
                <w:rFonts w:eastAsia="DengXian"/>
                <w:szCs w:val="24"/>
              </w:rPr>
              <w:t>,</w:t>
            </w:r>
            <w:r w:rsidRPr="00727DFA">
              <w:rPr>
                <w:rFonts w:eastAsia="DengXian"/>
                <w:szCs w:val="24"/>
              </w:rPr>
              <w:t xml:space="preserve"> </w:t>
            </w:r>
            <w:r>
              <w:rPr>
                <w:rFonts w:eastAsia="DengXian"/>
                <w:szCs w:val="24"/>
              </w:rPr>
              <w:t>p</w:t>
            </w:r>
            <w:r w:rsidRPr="00727DFA">
              <w:rPr>
                <w:rFonts w:eastAsia="DengXian"/>
                <w:szCs w:val="24"/>
              </w:rPr>
              <w:t>rophylaxis and treatment of Pneumocystis Jirovecii pneumonia, toxoplasmosis</w:t>
            </w:r>
            <w:r>
              <w:rPr>
                <w:rFonts w:eastAsia="DengXian"/>
                <w:szCs w:val="24"/>
              </w:rPr>
              <w:t xml:space="preserve">, </w:t>
            </w:r>
            <w:r w:rsidRPr="00727DFA">
              <w:rPr>
                <w:rFonts w:eastAsia="DengXian"/>
                <w:szCs w:val="24"/>
              </w:rPr>
              <w:t>cystoisoporiasis (</w:t>
            </w:r>
            <w:r>
              <w:rPr>
                <w:rFonts w:eastAsia="DengXian"/>
                <w:szCs w:val="24"/>
              </w:rPr>
              <w:t xml:space="preserve">previously called </w:t>
            </w:r>
            <w:r w:rsidRPr="00873AF2">
              <w:rPr>
                <w:rFonts w:eastAsia="DengXian"/>
                <w:i/>
                <w:iCs/>
                <w:szCs w:val="24"/>
              </w:rPr>
              <w:t>Isospora belli</w:t>
            </w:r>
            <w:r w:rsidRPr="00727DFA">
              <w:rPr>
                <w:rFonts w:eastAsia="DengXian"/>
                <w:szCs w:val="24"/>
              </w:rPr>
              <w:t xml:space="preserve"> diarrhea)</w:t>
            </w:r>
            <w:r>
              <w:rPr>
                <w:rFonts w:eastAsia="DengXian"/>
                <w:szCs w:val="24"/>
              </w:rPr>
              <w:t>,</w:t>
            </w:r>
            <w:r w:rsidRPr="00727DFA">
              <w:rPr>
                <w:rFonts w:eastAsia="DengXian"/>
                <w:szCs w:val="24"/>
              </w:rPr>
              <w:t xml:space="preserve"> nocardiosis</w:t>
            </w:r>
            <w:r>
              <w:rPr>
                <w:rFonts w:eastAsia="DengXian"/>
                <w:szCs w:val="24"/>
              </w:rPr>
              <w:t>.</w:t>
            </w:r>
          </w:p>
        </w:tc>
      </w:tr>
      <w:tr w:rsidR="007B485D" w:rsidRPr="00727DFA" w14:paraId="3DA0810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9E0EE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7AF257D" w14:textId="77777777" w:rsidR="007B485D" w:rsidRPr="00727DFA" w:rsidRDefault="007B485D" w:rsidP="002D6DD7">
            <w:pPr>
              <w:jc w:val="both"/>
              <w:rPr>
                <w:rFonts w:eastAsia="DengXian"/>
                <w:b/>
                <w:szCs w:val="24"/>
              </w:rPr>
            </w:pPr>
            <w:r>
              <w:rPr>
                <w:rFonts w:eastAsia="DengXian"/>
                <w:b/>
                <w:szCs w:val="24"/>
              </w:rPr>
              <w:t xml:space="preserve">Infection due to susceptible organisms: </w:t>
            </w:r>
            <w:r w:rsidRPr="00727DFA">
              <w:rPr>
                <w:rFonts w:eastAsia="DengXian"/>
                <w:b/>
                <w:szCs w:val="24"/>
              </w:rPr>
              <w:t>Adult</w:t>
            </w:r>
            <w:r>
              <w:rPr>
                <w:rFonts w:eastAsia="DengXian"/>
                <w:b/>
                <w:szCs w:val="24"/>
              </w:rPr>
              <w:t>;</w:t>
            </w:r>
          </w:p>
          <w:p w14:paraId="553DF743"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160mg of trimethoprim and 800mg of sulfamethoxazole every 12 hours; may be increased to 320/1600 mg 12 hourly in severe infections.</w:t>
            </w:r>
          </w:p>
          <w:p w14:paraId="4543B0C9" w14:textId="77777777" w:rsidR="007B485D" w:rsidRPr="00727DFA" w:rsidRDefault="007B485D" w:rsidP="002D6DD7">
            <w:pPr>
              <w:jc w:val="both"/>
              <w:rPr>
                <w:rFonts w:eastAsia="DengXian"/>
                <w:szCs w:val="24"/>
              </w:rPr>
            </w:pPr>
            <w:r w:rsidRPr="00727DFA">
              <w:rPr>
                <w:rFonts w:eastAsia="DengXian"/>
                <w:b/>
                <w:szCs w:val="24"/>
              </w:rPr>
              <w:t>IV infusion</w:t>
            </w:r>
            <w:r w:rsidRPr="00727DFA">
              <w:rPr>
                <w:rFonts w:eastAsia="DengXian"/>
                <w:szCs w:val="24"/>
              </w:rPr>
              <w:t xml:space="preserve">: 160/800 mg 12 hourly </w:t>
            </w:r>
          </w:p>
          <w:p w14:paraId="50E1FAFE" w14:textId="77777777" w:rsidR="007B485D" w:rsidRPr="00727DFA" w:rsidRDefault="007B485D" w:rsidP="002D6DD7">
            <w:pPr>
              <w:jc w:val="both"/>
              <w:rPr>
                <w:rFonts w:eastAsia="DengXian"/>
                <w:b/>
                <w:szCs w:val="24"/>
              </w:rPr>
            </w:pPr>
            <w:r w:rsidRPr="00727DFA">
              <w:rPr>
                <w:rFonts w:eastAsia="DengXian"/>
                <w:b/>
                <w:szCs w:val="24"/>
              </w:rPr>
              <w:t>Child, Oral:</w:t>
            </w:r>
          </w:p>
          <w:p w14:paraId="0866B24D"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w:t>
            </w:r>
            <w:r w:rsidRPr="00727DFA">
              <w:rPr>
                <w:rFonts w:eastAsia="DengXian"/>
                <w:b/>
                <w:szCs w:val="24"/>
              </w:rPr>
              <w:t xml:space="preserve">2 months to 5 months: </w:t>
            </w:r>
            <w:r>
              <w:rPr>
                <w:rFonts w:eastAsia="DengXian"/>
                <w:b/>
                <w:szCs w:val="24"/>
              </w:rPr>
              <w:t>2</w:t>
            </w:r>
            <w:r w:rsidRPr="00727DFA">
              <w:rPr>
                <w:rFonts w:eastAsia="DengXian"/>
                <w:szCs w:val="24"/>
              </w:rPr>
              <w:t>0/100 mg, 12 hourly</w:t>
            </w:r>
          </w:p>
          <w:p w14:paraId="66D2E726"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w:t>
            </w:r>
            <w:r w:rsidRPr="00727DFA">
              <w:rPr>
                <w:rFonts w:eastAsia="DengXian"/>
                <w:b/>
                <w:szCs w:val="24"/>
              </w:rPr>
              <w:t xml:space="preserve">6 months to 5 years: </w:t>
            </w:r>
            <w:r w:rsidRPr="00727DFA">
              <w:rPr>
                <w:rFonts w:eastAsia="DengXian"/>
                <w:szCs w:val="24"/>
              </w:rPr>
              <w:t xml:space="preserve"> 40/200 mg, 12 hourly</w:t>
            </w:r>
          </w:p>
          <w:p w14:paraId="43FA78F7"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w:t>
            </w:r>
            <w:r w:rsidRPr="00727DFA">
              <w:rPr>
                <w:rFonts w:eastAsia="DengXian"/>
                <w:b/>
                <w:szCs w:val="24"/>
              </w:rPr>
              <w:t xml:space="preserve">6 years to 12 years: </w:t>
            </w:r>
            <w:r w:rsidRPr="00727DFA">
              <w:rPr>
                <w:rFonts w:eastAsia="DengXian"/>
                <w:szCs w:val="24"/>
              </w:rPr>
              <w:t xml:space="preserve"> 80/400mg, 12 hourly</w:t>
            </w:r>
          </w:p>
          <w:p w14:paraId="7AFF859A" w14:textId="77777777" w:rsidR="007B485D" w:rsidRPr="00727DFA" w:rsidRDefault="007B485D" w:rsidP="002D6DD7">
            <w:pPr>
              <w:jc w:val="both"/>
              <w:rPr>
                <w:rFonts w:eastAsia="DengXian"/>
                <w:szCs w:val="24"/>
              </w:rPr>
            </w:pPr>
            <w:r>
              <w:rPr>
                <w:rFonts w:eastAsia="DengXian"/>
                <w:b/>
                <w:szCs w:val="24"/>
              </w:rPr>
              <w:t xml:space="preserve">Child; </w:t>
            </w:r>
            <w:r w:rsidRPr="00727DFA">
              <w:rPr>
                <w:rFonts w:eastAsia="DengXian"/>
                <w:b/>
                <w:szCs w:val="24"/>
              </w:rPr>
              <w:t>IV infusion:</w:t>
            </w:r>
            <w:r w:rsidRPr="00727DFA">
              <w:rPr>
                <w:rFonts w:eastAsia="DengXian"/>
                <w:szCs w:val="24"/>
              </w:rPr>
              <w:t xml:space="preserve"> 6/30 mg/kg/day in 2 divided doses, increased to 9/45 mg/kg/day in severe infections.</w:t>
            </w:r>
          </w:p>
          <w:p w14:paraId="37B55809" w14:textId="77777777" w:rsidR="007B485D" w:rsidRPr="0063309C" w:rsidRDefault="007B485D" w:rsidP="002D6DD7">
            <w:pPr>
              <w:jc w:val="both"/>
              <w:rPr>
                <w:rFonts w:eastAsia="DengXian"/>
                <w:b/>
                <w:szCs w:val="24"/>
              </w:rPr>
            </w:pPr>
            <w:r w:rsidRPr="0063309C">
              <w:rPr>
                <w:rFonts w:eastAsia="DengXian"/>
                <w:b/>
                <w:szCs w:val="24"/>
              </w:rPr>
              <w:t>Pneumocystis jirovecii pneumonia</w:t>
            </w:r>
            <w:r>
              <w:rPr>
                <w:rFonts w:eastAsia="DengXian"/>
                <w:b/>
                <w:szCs w:val="24"/>
              </w:rPr>
              <w:t>; Oral:</w:t>
            </w:r>
          </w:p>
          <w:p w14:paraId="42FF2B1C" w14:textId="77777777" w:rsidR="007B485D" w:rsidRPr="0063309C" w:rsidRDefault="007B485D" w:rsidP="002D6DD7">
            <w:pPr>
              <w:jc w:val="both"/>
              <w:rPr>
                <w:rFonts w:eastAsia="DengXian"/>
                <w:b/>
                <w:szCs w:val="24"/>
              </w:rPr>
            </w:pPr>
            <w:r w:rsidRPr="0063309C">
              <w:rPr>
                <w:rFonts w:eastAsia="DengXian"/>
                <w:b/>
                <w:bCs/>
                <w:szCs w:val="24"/>
              </w:rPr>
              <w:t>Adult and Child:</w:t>
            </w:r>
            <w:r w:rsidRPr="0063309C">
              <w:rPr>
                <w:rFonts w:eastAsia="DengXian"/>
                <w:szCs w:val="24"/>
              </w:rPr>
              <w:t xml:space="preserve"> sulfamethoxazole up to 100mg/kg daily with trimethoprim up to 20mg/kg daily in 2-4 divided doses for 14-21 </w:t>
            </w:r>
            <w:r w:rsidRPr="0063309C">
              <w:rPr>
                <w:rFonts w:eastAsia="DengXian"/>
                <w:szCs w:val="24"/>
              </w:rPr>
              <w:lastRenderedPageBreak/>
              <w:t>days.</w:t>
            </w:r>
          </w:p>
          <w:p w14:paraId="5225A2D8" w14:textId="77777777" w:rsidR="007B485D" w:rsidRPr="0063309C" w:rsidRDefault="007B485D" w:rsidP="002D6DD7">
            <w:pPr>
              <w:jc w:val="both"/>
              <w:rPr>
                <w:rFonts w:eastAsia="DengXian"/>
                <w:szCs w:val="24"/>
              </w:rPr>
            </w:pPr>
            <w:r w:rsidRPr="0063309C">
              <w:rPr>
                <w:rFonts w:eastAsia="DengXian"/>
                <w:b/>
                <w:bCs/>
                <w:szCs w:val="24"/>
              </w:rPr>
              <w:t>CNS toxoplasmosis</w:t>
            </w:r>
            <w:r>
              <w:rPr>
                <w:rFonts w:eastAsia="DengXian"/>
                <w:b/>
                <w:bCs/>
                <w:szCs w:val="24"/>
              </w:rPr>
              <w:t>; oral</w:t>
            </w:r>
            <w:r w:rsidRPr="0063309C">
              <w:rPr>
                <w:rFonts w:eastAsia="DengXian"/>
                <w:b/>
                <w:bCs/>
                <w:szCs w:val="24"/>
              </w:rPr>
              <w:t>:</w:t>
            </w:r>
            <w:r w:rsidRPr="0063309C">
              <w:rPr>
                <w:rFonts w:eastAsia="DengXian"/>
                <w:szCs w:val="24"/>
              </w:rPr>
              <w:t xml:space="preserve"> </w:t>
            </w:r>
          </w:p>
          <w:p w14:paraId="08E511DD" w14:textId="77777777" w:rsidR="007B485D" w:rsidRPr="0063309C" w:rsidRDefault="007B485D" w:rsidP="002D6DD7">
            <w:pPr>
              <w:jc w:val="both"/>
              <w:rPr>
                <w:rFonts w:eastAsia="DengXian"/>
                <w:szCs w:val="24"/>
              </w:rPr>
            </w:pPr>
            <w:r w:rsidRPr="0063309C">
              <w:rPr>
                <w:rFonts w:eastAsia="DengXian"/>
                <w:b/>
                <w:szCs w:val="24"/>
              </w:rPr>
              <w:t>Adult</w:t>
            </w:r>
            <w:r w:rsidRPr="0063309C">
              <w:rPr>
                <w:rFonts w:eastAsia="DengXian"/>
                <w:szCs w:val="24"/>
              </w:rPr>
              <w:t>: 320/1600mg twice daily for 4 weeks, then 160/800 mg twice daily for 3 months.</w:t>
            </w:r>
          </w:p>
          <w:p w14:paraId="56EAF325" w14:textId="77777777" w:rsidR="007B485D" w:rsidRDefault="007B485D" w:rsidP="002D6DD7">
            <w:pPr>
              <w:jc w:val="both"/>
              <w:rPr>
                <w:rFonts w:eastAsia="DengXian"/>
                <w:szCs w:val="24"/>
              </w:rPr>
            </w:pPr>
            <w:r w:rsidRPr="0063309C">
              <w:rPr>
                <w:rFonts w:eastAsia="DengXian"/>
                <w:b/>
                <w:bCs/>
                <w:szCs w:val="24"/>
              </w:rPr>
              <w:t>Cystoisoporiasis,</w:t>
            </w:r>
            <w:r>
              <w:rPr>
                <w:rFonts w:eastAsia="DengXian"/>
                <w:b/>
                <w:bCs/>
                <w:szCs w:val="24"/>
              </w:rPr>
              <w:t xml:space="preserve"> </w:t>
            </w:r>
            <w:r w:rsidRPr="007E330E">
              <w:rPr>
                <w:rFonts w:eastAsia="DengXian"/>
                <w:b/>
                <w:bCs/>
                <w:szCs w:val="24"/>
              </w:rPr>
              <w:t>Cryptosporidiosis</w:t>
            </w:r>
            <w:r>
              <w:rPr>
                <w:rFonts w:eastAsia="DengXian"/>
                <w:b/>
                <w:bCs/>
                <w:szCs w:val="24"/>
              </w:rPr>
              <w:t>; oral</w:t>
            </w:r>
            <w:r w:rsidRPr="00727DFA">
              <w:rPr>
                <w:rFonts w:eastAsia="DengXian"/>
                <w:b/>
                <w:bCs/>
                <w:szCs w:val="24"/>
              </w:rPr>
              <w:t>:</w:t>
            </w:r>
            <w:r w:rsidRPr="00727DFA">
              <w:rPr>
                <w:rFonts w:eastAsia="DengXian"/>
                <w:szCs w:val="24"/>
              </w:rPr>
              <w:t xml:space="preserve"> </w:t>
            </w:r>
          </w:p>
          <w:p w14:paraId="0E7EC48F" w14:textId="77777777" w:rsidR="007B485D" w:rsidRPr="00727DFA" w:rsidRDefault="007B485D" w:rsidP="002D6DD7">
            <w:pPr>
              <w:jc w:val="both"/>
              <w:rPr>
                <w:rFonts w:eastAsia="DengXian"/>
                <w:szCs w:val="24"/>
              </w:rPr>
            </w:pPr>
            <w:r w:rsidRPr="0063309C">
              <w:rPr>
                <w:rFonts w:eastAsia="DengXian"/>
                <w:b/>
                <w:szCs w:val="24"/>
              </w:rPr>
              <w:t>Adult</w:t>
            </w:r>
            <w:r w:rsidRPr="0063309C">
              <w:rPr>
                <w:rFonts w:eastAsia="DengXian"/>
                <w:szCs w:val="24"/>
              </w:rPr>
              <w:t xml:space="preserve">: </w:t>
            </w:r>
            <w:r w:rsidRPr="00727DFA">
              <w:rPr>
                <w:rFonts w:eastAsia="DengXian"/>
                <w:szCs w:val="24"/>
              </w:rPr>
              <w:t xml:space="preserve">160/800 mg </w:t>
            </w:r>
            <w:r>
              <w:rPr>
                <w:rFonts w:eastAsia="DengXian"/>
                <w:szCs w:val="24"/>
              </w:rPr>
              <w:t>12</w:t>
            </w:r>
            <w:r w:rsidRPr="00727DFA">
              <w:rPr>
                <w:rFonts w:eastAsia="DengXian"/>
                <w:szCs w:val="24"/>
              </w:rPr>
              <w:t xml:space="preserve"> hourly </w:t>
            </w:r>
          </w:p>
          <w:p w14:paraId="30476DEE" w14:textId="77777777" w:rsidR="007B485D" w:rsidRPr="00727DFA" w:rsidRDefault="007B485D" w:rsidP="002D6DD7">
            <w:pPr>
              <w:jc w:val="both"/>
              <w:rPr>
                <w:rFonts w:eastAsia="DengXian"/>
                <w:szCs w:val="24"/>
              </w:rPr>
            </w:pPr>
            <w:r w:rsidRPr="00727DFA">
              <w:rPr>
                <w:rFonts w:eastAsia="DengXian"/>
                <w:b/>
                <w:bCs/>
                <w:szCs w:val="24"/>
              </w:rPr>
              <w:t>Primary prophylaxis in HIV-infection</w:t>
            </w:r>
            <w:r>
              <w:rPr>
                <w:rFonts w:eastAsia="DengXian"/>
                <w:b/>
                <w:bCs/>
                <w:szCs w:val="24"/>
              </w:rPr>
              <w:t xml:space="preserve"> associated opportunistic infections</w:t>
            </w:r>
            <w:r w:rsidRPr="00727DFA">
              <w:rPr>
                <w:rFonts w:eastAsia="DengXian"/>
                <w:szCs w:val="24"/>
              </w:rPr>
              <w:t>: oral:</w:t>
            </w:r>
          </w:p>
          <w:p w14:paraId="3F50FDFB"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160/800 mg daily </w:t>
            </w:r>
          </w:p>
          <w:p w14:paraId="212C5AB4" w14:textId="77777777" w:rsidR="007B485D" w:rsidRPr="00727DFA" w:rsidRDefault="007B485D" w:rsidP="002D6DD7">
            <w:pPr>
              <w:jc w:val="both"/>
              <w:rPr>
                <w:rFonts w:eastAsia="DengXian"/>
                <w:szCs w:val="24"/>
              </w:rPr>
            </w:pPr>
            <w:r w:rsidRPr="00727DFA">
              <w:rPr>
                <w:rFonts w:eastAsia="DengXian"/>
                <w:b/>
                <w:szCs w:val="24"/>
              </w:rPr>
              <w:t>Note</w:t>
            </w:r>
            <w:r w:rsidRPr="00727DFA">
              <w:rPr>
                <w:rFonts w:eastAsia="DengXian"/>
                <w:szCs w:val="24"/>
              </w:rPr>
              <w:t xml:space="preserve">: </w:t>
            </w:r>
            <w:r w:rsidRPr="00873AF2">
              <w:rPr>
                <w:rFonts w:eastAsia="DengXian"/>
                <w:bCs/>
                <w:i/>
                <w:iCs/>
                <w:szCs w:val="24"/>
              </w:rPr>
              <w:t>Avoid IM administration</w:t>
            </w:r>
          </w:p>
        </w:tc>
      </w:tr>
      <w:tr w:rsidR="007B485D" w:rsidRPr="00727DFA" w14:paraId="4D55626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1830159"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9D78D53" w14:textId="77777777" w:rsidR="007B485D" w:rsidRPr="00727DFA" w:rsidRDefault="007B485D" w:rsidP="002D6DD7">
            <w:pPr>
              <w:jc w:val="both"/>
              <w:rPr>
                <w:rFonts w:eastAsia="DengXian"/>
                <w:szCs w:val="24"/>
              </w:rPr>
            </w:pPr>
            <w:r>
              <w:rPr>
                <w:rFonts w:eastAsia="DengXian"/>
                <w:szCs w:val="24"/>
              </w:rPr>
              <w:t>H</w:t>
            </w:r>
            <w:r w:rsidRPr="00727DFA">
              <w:rPr>
                <w:rFonts w:eastAsia="DengXian"/>
                <w:szCs w:val="24"/>
              </w:rPr>
              <w:t>ypersensitivity to sulfonamides or trimethoprim, children &lt;2 months of age, pregnan</w:t>
            </w:r>
            <w:r>
              <w:rPr>
                <w:rFonts w:eastAsia="DengXian"/>
                <w:szCs w:val="24"/>
              </w:rPr>
              <w:t xml:space="preserve">cy, breastfeeding. </w:t>
            </w:r>
          </w:p>
        </w:tc>
      </w:tr>
      <w:tr w:rsidR="007B485D" w:rsidRPr="00727DFA" w14:paraId="6BDCF25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FACB43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F89FDDD" w14:textId="77777777" w:rsidR="007B485D" w:rsidRPr="00727DFA" w:rsidRDefault="007B485D" w:rsidP="002D6DD7">
            <w:pPr>
              <w:jc w:val="both"/>
              <w:rPr>
                <w:rFonts w:eastAsia="DengXian"/>
                <w:szCs w:val="24"/>
              </w:rPr>
            </w:pPr>
            <w:r w:rsidRPr="00727DFA">
              <w:rPr>
                <w:rFonts w:eastAsia="DengXian"/>
                <w:szCs w:val="24"/>
              </w:rPr>
              <w:t>Warfarin,</w:t>
            </w:r>
            <w:r>
              <w:rPr>
                <w:rFonts w:eastAsia="DengXian"/>
                <w:szCs w:val="24"/>
              </w:rPr>
              <w:t xml:space="preserve"> amiodarone, procainamide, heparin, indapamide, leucovorin, pentamidine,</w:t>
            </w:r>
            <w:r w:rsidRPr="00727DFA">
              <w:rPr>
                <w:rFonts w:eastAsia="DengXian"/>
                <w:szCs w:val="24"/>
              </w:rPr>
              <w:t xml:space="preserve"> oral hypoglycemics, hemolytic, hepatotoxic medication, methenamine, methotrexate, folate antagonists</w:t>
            </w:r>
          </w:p>
        </w:tc>
      </w:tr>
      <w:tr w:rsidR="007B485D" w:rsidRPr="00727DFA" w14:paraId="7397F99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64A7CA1"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29BF1CC" w14:textId="77777777" w:rsidR="007B485D" w:rsidRPr="00727DFA" w:rsidRDefault="007B485D" w:rsidP="002D6DD7">
            <w:pPr>
              <w:jc w:val="both"/>
              <w:rPr>
                <w:rFonts w:eastAsia="DengXian"/>
                <w:szCs w:val="24"/>
              </w:rPr>
            </w:pPr>
            <w:r w:rsidRPr="00727DFA">
              <w:rPr>
                <w:rFonts w:eastAsia="DengXian"/>
                <w:szCs w:val="24"/>
              </w:rPr>
              <w:t>Hypersensitivity, photosensitivity, blood disorders unusual bleeding or bruising, unusual tiredness or weakness, hepatitis, Steven Johnson syndrome, aching joints and muscles, redness, blistering, peeling, or loosening of the skin, unusual tiredness or weakness, toxic epidermal necrosis, dizziness, headache, GIT disturbance, loss of appetite</w:t>
            </w:r>
            <w:r>
              <w:rPr>
                <w:rFonts w:eastAsia="DengXian"/>
                <w:szCs w:val="24"/>
              </w:rPr>
              <w:t>.</w:t>
            </w:r>
          </w:p>
        </w:tc>
      </w:tr>
      <w:tr w:rsidR="007B485D" w:rsidRPr="00727DFA" w14:paraId="049DA20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85032C9"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7B923C2" w14:textId="77777777" w:rsidR="007B485D" w:rsidRPr="00727DFA" w:rsidRDefault="007B485D" w:rsidP="002D6DD7">
            <w:pPr>
              <w:jc w:val="both"/>
              <w:rPr>
                <w:rFonts w:eastAsia="DengXian"/>
                <w:szCs w:val="24"/>
              </w:rPr>
            </w:pPr>
            <w:r w:rsidRPr="00727DFA">
              <w:rPr>
                <w:rFonts w:eastAsia="DengXian"/>
                <w:szCs w:val="24"/>
              </w:rPr>
              <w:t>Renal and hepatic function impairment, glucose-6-phosphate dehydrogenase (G6PD) deficiency, elderly, asthmatic patients, pregnancy and lactation</w:t>
            </w:r>
          </w:p>
        </w:tc>
      </w:tr>
      <w:tr w:rsidR="007B485D" w:rsidRPr="00727DFA" w14:paraId="448A60B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E5E4E4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2EE8C54"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2A821175"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BADEDA2" w14:textId="77777777" w:rsidR="007B485D" w:rsidRPr="00727DFA" w:rsidRDefault="007B485D" w:rsidP="002D6DD7">
            <w:pPr>
              <w:jc w:val="both"/>
              <w:rPr>
                <w:rFonts w:eastAsia="DengXian"/>
                <w:b/>
                <w:bCs/>
                <w:szCs w:val="24"/>
              </w:rPr>
            </w:pPr>
            <w:r w:rsidRPr="00587263">
              <w:rPr>
                <w:rFonts w:eastAsia="DengXian"/>
                <w:b/>
                <w:bCs/>
                <w:szCs w:val="24"/>
              </w:rPr>
              <w:t xml:space="preserve">Tedizolid </w:t>
            </w:r>
            <w:r w:rsidRPr="00873AF2">
              <w:rPr>
                <w:rFonts w:eastAsia="DengXian"/>
                <w:b/>
                <w:bCs/>
                <w:szCs w:val="24"/>
              </w:rPr>
              <w:t>(Reserved)</w:t>
            </w:r>
          </w:p>
        </w:tc>
      </w:tr>
      <w:tr w:rsidR="007B485D" w:rsidRPr="00727DFA" w14:paraId="5599672C"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AE4726B"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9066690" w14:textId="77777777" w:rsidR="007B485D" w:rsidRPr="00727DFA" w:rsidRDefault="007B485D" w:rsidP="002D6DD7">
            <w:pPr>
              <w:jc w:val="both"/>
              <w:rPr>
                <w:rFonts w:eastAsia="DengXian"/>
                <w:szCs w:val="24"/>
              </w:rPr>
            </w:pPr>
            <w:r w:rsidRPr="00727DFA">
              <w:rPr>
                <w:rFonts w:eastAsia="DengXian"/>
                <w:szCs w:val="24"/>
              </w:rPr>
              <w:t>Oxazolidinone</w:t>
            </w:r>
          </w:p>
        </w:tc>
      </w:tr>
      <w:tr w:rsidR="007B485D" w:rsidRPr="00727DFA" w14:paraId="5B8FC532"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917DA0C"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315011D" w14:textId="77777777" w:rsidR="007B485D" w:rsidRPr="00810924" w:rsidRDefault="007B485D" w:rsidP="002D6DD7">
            <w:pPr>
              <w:jc w:val="both"/>
              <w:rPr>
                <w:rFonts w:eastAsia="DengXian"/>
                <w:szCs w:val="24"/>
              </w:rPr>
            </w:pPr>
            <w:r w:rsidRPr="00810924">
              <w:rPr>
                <w:rFonts w:eastAsia="DengXian"/>
                <w:szCs w:val="24"/>
              </w:rPr>
              <w:t>Tablet: 200 mg, 400mg, 600mg, 600 mg</w:t>
            </w:r>
          </w:p>
          <w:p w14:paraId="77D867A9" w14:textId="77777777" w:rsidR="007B485D" w:rsidRPr="00727DFA" w:rsidRDefault="007B485D" w:rsidP="002D6DD7">
            <w:pPr>
              <w:jc w:val="both"/>
              <w:rPr>
                <w:rFonts w:eastAsia="DengXian"/>
                <w:szCs w:val="24"/>
              </w:rPr>
            </w:pPr>
            <w:r w:rsidRPr="00727DFA">
              <w:rPr>
                <w:rFonts w:eastAsia="DengXian"/>
                <w:szCs w:val="24"/>
              </w:rPr>
              <w:t xml:space="preserve">Oral suspension: 2 mg/ml </w:t>
            </w:r>
          </w:p>
          <w:p w14:paraId="440DAC17" w14:textId="77777777" w:rsidR="007B485D" w:rsidRPr="00727DFA" w:rsidRDefault="007B485D" w:rsidP="002D6DD7">
            <w:pPr>
              <w:jc w:val="both"/>
              <w:rPr>
                <w:rFonts w:eastAsia="DengXian"/>
                <w:szCs w:val="24"/>
              </w:rPr>
            </w:pPr>
            <w:r w:rsidRPr="00727DFA">
              <w:rPr>
                <w:rFonts w:eastAsia="DengXian"/>
                <w:szCs w:val="24"/>
              </w:rPr>
              <w:t xml:space="preserve">Solution for infusion: 600mg </w:t>
            </w:r>
          </w:p>
        </w:tc>
      </w:tr>
      <w:tr w:rsidR="007B485D" w:rsidRPr="00727DFA" w14:paraId="49ACAC7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58CFD03" w14:textId="77777777" w:rsidR="007B485D" w:rsidRPr="00727DFA" w:rsidRDefault="007B485D" w:rsidP="002D6DD7">
            <w:pPr>
              <w:jc w:val="both"/>
              <w:rPr>
                <w:rFonts w:eastAsia="DengXian"/>
                <w:b/>
                <w:bCs/>
                <w:szCs w:val="24"/>
              </w:rPr>
            </w:pPr>
            <w:r w:rsidRPr="00873AF2">
              <w:rPr>
                <w:rFonts w:eastAsia="DengXian"/>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7CD31A80" w14:textId="77777777" w:rsidR="007B485D" w:rsidRPr="00727DFA" w:rsidRDefault="007B485D" w:rsidP="002D6DD7">
            <w:pPr>
              <w:jc w:val="both"/>
              <w:rPr>
                <w:rFonts w:eastAsia="DengXian"/>
                <w:szCs w:val="24"/>
              </w:rPr>
            </w:pPr>
            <w:r w:rsidRPr="00727DFA">
              <w:rPr>
                <w:rFonts w:eastAsia="DengXian"/>
                <w:szCs w:val="24"/>
              </w:rPr>
              <w:t>Treatment of acute bacterial skin and skin structure infections</w:t>
            </w:r>
            <w:r>
              <w:rPr>
                <w:rFonts w:eastAsia="DengXian"/>
                <w:szCs w:val="24"/>
              </w:rPr>
              <w:t>.</w:t>
            </w:r>
          </w:p>
        </w:tc>
      </w:tr>
      <w:tr w:rsidR="007B485D" w:rsidRPr="00727DFA" w14:paraId="2F67DB2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06136C3"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C7E8F0A" w14:textId="77777777" w:rsidR="007B485D" w:rsidRPr="00727DFA" w:rsidRDefault="007B485D" w:rsidP="002D6DD7">
            <w:pPr>
              <w:jc w:val="both"/>
              <w:rPr>
                <w:rFonts w:eastAsia="DengXian"/>
                <w:b/>
                <w:bCs/>
                <w:szCs w:val="24"/>
              </w:rPr>
            </w:pPr>
            <w:r w:rsidRPr="00727DFA">
              <w:rPr>
                <w:rFonts w:eastAsia="DengXian"/>
                <w:b/>
                <w:bCs/>
                <w:szCs w:val="24"/>
              </w:rPr>
              <w:t xml:space="preserve">Acute bacterial skin and skin structure Infections; </w:t>
            </w:r>
            <w:r w:rsidRPr="00727DFA">
              <w:rPr>
                <w:rFonts w:eastAsia="DengXian"/>
                <w:szCs w:val="24"/>
              </w:rPr>
              <w:t>IV or oral:</w:t>
            </w:r>
          </w:p>
          <w:p w14:paraId="0E422EF4" w14:textId="77777777" w:rsidR="007B485D" w:rsidRDefault="007B485D" w:rsidP="002D6DD7">
            <w:pPr>
              <w:jc w:val="both"/>
              <w:rPr>
                <w:rFonts w:eastAsia="DengXian"/>
                <w:szCs w:val="24"/>
              </w:rPr>
            </w:pPr>
            <w:r w:rsidRPr="00727DFA">
              <w:rPr>
                <w:rFonts w:eastAsia="DengXian"/>
                <w:b/>
                <w:bCs/>
                <w:szCs w:val="24"/>
              </w:rPr>
              <w:t>Adult</w:t>
            </w:r>
            <w:r>
              <w:rPr>
                <w:rFonts w:eastAsia="DengXian"/>
                <w:b/>
                <w:bCs/>
                <w:szCs w:val="24"/>
              </w:rPr>
              <w:t xml:space="preserve"> and child&gt;12 years</w:t>
            </w:r>
            <w:r w:rsidRPr="00727DFA">
              <w:rPr>
                <w:rFonts w:eastAsia="DengXian"/>
                <w:b/>
                <w:bCs/>
                <w:szCs w:val="24"/>
              </w:rPr>
              <w:t>:</w:t>
            </w:r>
            <w:r w:rsidRPr="00727DFA">
              <w:rPr>
                <w:rFonts w:eastAsia="DengXian"/>
                <w:szCs w:val="24"/>
              </w:rPr>
              <w:t xml:space="preserve"> 200 mg once daily for 6 days</w:t>
            </w:r>
          </w:p>
          <w:p w14:paraId="1C1010F9" w14:textId="77777777" w:rsidR="007B485D" w:rsidRPr="00727DFA" w:rsidRDefault="007B485D" w:rsidP="002D6DD7">
            <w:pPr>
              <w:jc w:val="both"/>
              <w:rPr>
                <w:rFonts w:eastAsia="DengXian"/>
                <w:szCs w:val="24"/>
              </w:rPr>
            </w:pPr>
            <w:r>
              <w:rPr>
                <w:rFonts w:eastAsia="DengXian"/>
                <w:szCs w:val="24"/>
              </w:rPr>
              <w:t xml:space="preserve">Note: </w:t>
            </w:r>
            <w:r w:rsidRPr="00873AF2">
              <w:rPr>
                <w:rFonts w:eastAsia="DengXian"/>
                <w:i/>
                <w:iCs/>
                <w:szCs w:val="24"/>
              </w:rPr>
              <w:t>for child &lt;12 years, safety and efficacy are not established</w:t>
            </w:r>
          </w:p>
        </w:tc>
      </w:tr>
      <w:tr w:rsidR="007B485D" w:rsidRPr="00727DFA" w14:paraId="7F622AB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E4E3D15"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A8A1C07"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or</w:t>
            </w:r>
            <w:r w:rsidRPr="00727DFA">
              <w:rPr>
                <w:rFonts w:eastAsia="DengXian"/>
                <w:szCs w:val="24"/>
              </w:rPr>
              <w:t xml:space="preserve"> oxazolidinone class of medicines</w:t>
            </w:r>
            <w:r>
              <w:rPr>
                <w:rFonts w:eastAsia="DengXian"/>
                <w:szCs w:val="24"/>
              </w:rPr>
              <w:t>.</w:t>
            </w:r>
            <w:r w:rsidRPr="00727DFA">
              <w:rPr>
                <w:rFonts w:eastAsia="DengXian"/>
                <w:szCs w:val="24"/>
              </w:rPr>
              <w:t xml:space="preserve"> </w:t>
            </w:r>
          </w:p>
        </w:tc>
      </w:tr>
      <w:tr w:rsidR="007B485D" w:rsidRPr="00727DFA" w14:paraId="601ED95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40E413D"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1E9C45C" w14:textId="77777777" w:rsidR="007B485D" w:rsidRPr="00727DFA" w:rsidRDefault="007B485D" w:rsidP="002D6DD7">
            <w:pPr>
              <w:jc w:val="both"/>
              <w:rPr>
                <w:rFonts w:eastAsia="DengXian"/>
                <w:szCs w:val="24"/>
              </w:rPr>
            </w:pPr>
            <w:r>
              <w:rPr>
                <w:rFonts w:eastAsia="DengXian"/>
                <w:szCs w:val="24"/>
              </w:rPr>
              <w:t>Cyproheptadine, amitriptyline, amoxapine,</w:t>
            </w:r>
            <w:r w:rsidRPr="00727DFA">
              <w:rPr>
                <w:rFonts w:eastAsia="DengXian"/>
                <w:szCs w:val="24"/>
              </w:rPr>
              <w:t xml:space="preserve"> </w:t>
            </w:r>
            <w:r>
              <w:rPr>
                <w:rFonts w:eastAsia="DengXian"/>
                <w:szCs w:val="24"/>
              </w:rPr>
              <w:t>fentanyl, live cholera vaccine, fluoxetine, meperidine, metformin, tramadol, sumatriptan.</w:t>
            </w:r>
          </w:p>
        </w:tc>
      </w:tr>
      <w:tr w:rsidR="007B485D" w:rsidRPr="00727DFA" w14:paraId="3B858D9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A857365"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CA89C6C" w14:textId="77777777" w:rsidR="007B485D" w:rsidRPr="00727DFA" w:rsidRDefault="007B485D" w:rsidP="002D6DD7">
            <w:pPr>
              <w:jc w:val="both"/>
              <w:rPr>
                <w:rFonts w:eastAsia="DengXian"/>
                <w:szCs w:val="24"/>
              </w:rPr>
            </w:pPr>
            <w:r w:rsidRPr="00727DFA">
              <w:rPr>
                <w:rFonts w:eastAsia="DengXian"/>
                <w:szCs w:val="24"/>
              </w:rPr>
              <w:t>Diarrhea, nausea, vomiting, altered taste, constipation, antibiotic associated colitis, dizziness, anxiety, fatigue, headache, skin reactions, arthralgia, bradycardia, chills, cough, sleep disorders, vasodilation, vision blurred.</w:t>
            </w:r>
          </w:p>
        </w:tc>
      </w:tr>
      <w:tr w:rsidR="007B485D" w:rsidRPr="00727DFA" w14:paraId="4DD0821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D958FBB"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3DB7C36A"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w:t>
            </w:r>
            <w:r w:rsidRPr="00727DFA">
              <w:rPr>
                <w:rFonts w:eastAsia="DengXian"/>
                <w:szCs w:val="24"/>
              </w:rPr>
              <w:t xml:space="preserve"> breastfeeding, history of bleeding, concomitant use of antidepressant, </w:t>
            </w:r>
            <w:r>
              <w:rPr>
                <w:rFonts w:eastAsia="DengXian"/>
                <w:szCs w:val="24"/>
              </w:rPr>
              <w:t>renal impairment.</w:t>
            </w:r>
          </w:p>
        </w:tc>
      </w:tr>
      <w:tr w:rsidR="007B485D" w:rsidRPr="00727DFA" w14:paraId="762895B3"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531C6CBF"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484CFE7"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47479DFE" w14:textId="77777777" w:rsidTr="002D6DD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E03EA7E" w14:textId="77777777" w:rsidR="007B485D" w:rsidRPr="00727DFA" w:rsidRDefault="007B485D" w:rsidP="002D6DD7">
            <w:pPr>
              <w:jc w:val="both"/>
              <w:rPr>
                <w:rFonts w:eastAsia="DengXian"/>
                <w:szCs w:val="24"/>
              </w:rPr>
            </w:pPr>
            <w:r w:rsidRPr="00727DFA">
              <w:rPr>
                <w:rFonts w:eastAsia="DengXian"/>
                <w:b/>
                <w:bCs/>
                <w:szCs w:val="24"/>
              </w:rPr>
              <w:t xml:space="preserve">Vancomycin </w:t>
            </w:r>
            <w:r w:rsidRPr="00873AF2">
              <w:rPr>
                <w:rFonts w:eastAsia="DengXian"/>
                <w:b/>
                <w:bCs/>
                <w:szCs w:val="24"/>
              </w:rPr>
              <w:t>(Watch)</w:t>
            </w:r>
          </w:p>
        </w:tc>
      </w:tr>
      <w:tr w:rsidR="007B485D" w:rsidRPr="00727DFA" w14:paraId="7B51621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2184F849"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535C84A" w14:textId="77777777" w:rsidR="007B485D" w:rsidRPr="00727DFA" w:rsidRDefault="007B485D" w:rsidP="002D6DD7">
            <w:pPr>
              <w:jc w:val="both"/>
              <w:rPr>
                <w:rFonts w:eastAsia="DengXian"/>
                <w:szCs w:val="24"/>
              </w:rPr>
            </w:pPr>
            <w:r w:rsidRPr="00727DFA">
              <w:rPr>
                <w:rFonts w:eastAsia="DengXian"/>
                <w:szCs w:val="24"/>
              </w:rPr>
              <w:t xml:space="preserve">Glycopeptide </w:t>
            </w:r>
            <w:r>
              <w:rPr>
                <w:rFonts w:eastAsia="DengXian"/>
                <w:szCs w:val="24"/>
              </w:rPr>
              <w:t xml:space="preserve"> </w:t>
            </w:r>
          </w:p>
        </w:tc>
      </w:tr>
      <w:tr w:rsidR="007B485D" w:rsidRPr="00727DFA" w14:paraId="7C486A9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C2D4127" w14:textId="77777777" w:rsidR="007B485D" w:rsidRPr="00727DFA" w:rsidRDefault="007B485D" w:rsidP="002D6DD7">
            <w:pPr>
              <w:jc w:val="both"/>
              <w:rPr>
                <w:rFonts w:eastAsia="DengXian"/>
                <w:szCs w:val="24"/>
              </w:rPr>
            </w:pPr>
            <w:r w:rsidRPr="00727DFA">
              <w:rPr>
                <w:rFonts w:eastAsia="DengXian"/>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F2980E8" w14:textId="77777777" w:rsidR="007B485D" w:rsidRPr="00727DFA" w:rsidRDefault="007B485D" w:rsidP="002D6DD7">
            <w:pPr>
              <w:jc w:val="both"/>
              <w:rPr>
                <w:rFonts w:eastAsia="DengXian"/>
                <w:szCs w:val="24"/>
              </w:rPr>
            </w:pPr>
            <w:r w:rsidRPr="00727DFA">
              <w:rPr>
                <w:rFonts w:eastAsia="DengXian"/>
                <w:szCs w:val="24"/>
              </w:rPr>
              <w:t>Capsule: 125mg, 250mg, 500mg</w:t>
            </w:r>
          </w:p>
          <w:p w14:paraId="26433B58" w14:textId="77777777" w:rsidR="007B485D" w:rsidRPr="00727DFA" w:rsidRDefault="007B485D" w:rsidP="002D6DD7">
            <w:pPr>
              <w:jc w:val="both"/>
              <w:rPr>
                <w:rFonts w:eastAsia="DengXian"/>
                <w:szCs w:val="24"/>
              </w:rPr>
            </w:pPr>
            <w:r w:rsidRPr="00727DFA">
              <w:rPr>
                <w:rFonts w:eastAsia="DengXian"/>
                <w:szCs w:val="24"/>
              </w:rPr>
              <w:t>Injection: 500mg, 1000mg (as hydrochloride) in vial</w:t>
            </w:r>
          </w:p>
        </w:tc>
      </w:tr>
      <w:tr w:rsidR="007B485D" w:rsidRPr="00727DFA" w14:paraId="35F2C91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12D4772"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11AA32D" w14:textId="77777777" w:rsidR="007B485D" w:rsidRPr="00727DFA" w:rsidRDefault="007B485D" w:rsidP="002D6DD7">
            <w:pPr>
              <w:jc w:val="both"/>
              <w:rPr>
                <w:rFonts w:eastAsia="DengXian"/>
                <w:szCs w:val="24"/>
              </w:rPr>
            </w:pPr>
            <w:r w:rsidRPr="00727DFA">
              <w:rPr>
                <w:rFonts w:eastAsia="DengXian"/>
                <w:szCs w:val="24"/>
              </w:rPr>
              <w:t xml:space="preserve">Infections with susceptible organisms, including methicillin-resistant staphylococcal pneumonia, staphylococcal meningitis, </w:t>
            </w:r>
            <w:r w:rsidRPr="00FF04BC">
              <w:rPr>
                <w:rFonts w:eastAsia="DengXian"/>
                <w:i/>
                <w:iCs/>
                <w:szCs w:val="24"/>
              </w:rPr>
              <w:t>Clostridioides</w:t>
            </w:r>
            <w:r w:rsidRPr="00873AF2">
              <w:rPr>
                <w:rFonts w:eastAsia="DengXian"/>
                <w:i/>
                <w:iCs/>
                <w:szCs w:val="24"/>
              </w:rPr>
              <w:t xml:space="preserve"> difficile</w:t>
            </w:r>
            <w:r w:rsidRPr="00DF0B7B">
              <w:rPr>
                <w:rFonts w:eastAsia="DengXian"/>
                <w:szCs w:val="24"/>
              </w:rPr>
              <w:t xml:space="preserve"> infection</w:t>
            </w:r>
            <w:r w:rsidRPr="00DF0B7B" w:rsidDel="00DF0B7B">
              <w:rPr>
                <w:rFonts w:eastAsia="DengXian"/>
                <w:szCs w:val="24"/>
              </w:rPr>
              <w:t xml:space="preserve"> </w:t>
            </w:r>
            <w:r w:rsidRPr="00727DFA">
              <w:rPr>
                <w:rFonts w:eastAsia="DengXian"/>
                <w:szCs w:val="24"/>
              </w:rPr>
              <w:t xml:space="preserve">and </w:t>
            </w:r>
            <w:r>
              <w:rPr>
                <w:rFonts w:eastAsia="DengXian"/>
                <w:szCs w:val="24"/>
              </w:rPr>
              <w:t xml:space="preserve">infective </w:t>
            </w:r>
            <w:r w:rsidRPr="00727DFA">
              <w:rPr>
                <w:rFonts w:eastAsia="DengXian"/>
                <w:szCs w:val="24"/>
              </w:rPr>
              <w:t xml:space="preserve">endocarditis </w:t>
            </w:r>
          </w:p>
        </w:tc>
      </w:tr>
      <w:tr w:rsidR="007B485D" w:rsidRPr="00727DFA" w14:paraId="2E1D89EE"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E1A6C0D"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6AFF4A2" w14:textId="77777777" w:rsidR="007B485D" w:rsidRPr="00727DFA" w:rsidRDefault="007B485D" w:rsidP="002D6DD7">
            <w:pPr>
              <w:jc w:val="both"/>
              <w:rPr>
                <w:rFonts w:eastAsia="DengXian"/>
                <w:b/>
                <w:bCs/>
                <w:szCs w:val="24"/>
              </w:rPr>
            </w:pPr>
            <w:r w:rsidRPr="00873AF2">
              <w:rPr>
                <w:rFonts w:eastAsia="DengXian"/>
                <w:b/>
                <w:bCs/>
                <w:szCs w:val="24"/>
              </w:rPr>
              <w:t>Treatment of infections with susceptible organisms:</w:t>
            </w:r>
            <w:r>
              <w:rPr>
                <w:rFonts w:eastAsia="DengXian"/>
                <w:szCs w:val="24"/>
              </w:rPr>
              <w:t xml:space="preserve"> </w:t>
            </w:r>
            <w:r w:rsidRPr="00727DFA">
              <w:rPr>
                <w:rFonts w:eastAsia="DengXian"/>
                <w:b/>
                <w:bCs/>
                <w:szCs w:val="24"/>
              </w:rPr>
              <w:t>IV infusion</w:t>
            </w:r>
            <w:r>
              <w:rPr>
                <w:rFonts w:eastAsia="DengXian"/>
                <w:b/>
                <w:bCs/>
                <w:szCs w:val="24"/>
              </w:rPr>
              <w:t>;</w:t>
            </w:r>
          </w:p>
          <w:p w14:paraId="7748B062"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500 mg over at least 1 hour, 500 mg 6 hourly or 1 g 12 hourly.</w:t>
            </w:r>
          </w:p>
          <w:p w14:paraId="3AA38F05"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10 mg/kg over at least 1 hour, 10 mg/kg 6 hourly or 20 mg/kg 12 hourly.</w:t>
            </w:r>
          </w:p>
          <w:p w14:paraId="2FB2908E" w14:textId="77777777" w:rsidR="007B485D" w:rsidRDefault="007B485D" w:rsidP="002D6DD7">
            <w:pPr>
              <w:jc w:val="both"/>
              <w:rPr>
                <w:rFonts w:eastAsia="DengXian"/>
                <w:szCs w:val="24"/>
              </w:rPr>
            </w:pPr>
            <w:r w:rsidRPr="00727DFA">
              <w:rPr>
                <w:rFonts w:eastAsia="DengXian"/>
                <w:b/>
                <w:szCs w:val="24"/>
              </w:rPr>
              <w:t>Neonates</w:t>
            </w:r>
            <w:r>
              <w:rPr>
                <w:rFonts w:eastAsia="DengXian"/>
                <w:szCs w:val="24"/>
              </w:rPr>
              <w:t xml:space="preserve"> </w:t>
            </w:r>
            <w:r w:rsidRPr="00727DFA">
              <w:rPr>
                <w:rFonts w:eastAsia="DengXian"/>
                <w:szCs w:val="24"/>
              </w:rPr>
              <w:t>(under 1 week old</w:t>
            </w:r>
            <w:r>
              <w:rPr>
                <w:rFonts w:eastAsia="DengXian"/>
                <w:szCs w:val="24"/>
              </w:rPr>
              <w:t>):</w:t>
            </w:r>
            <w:r w:rsidRPr="00727DFA">
              <w:rPr>
                <w:rFonts w:eastAsia="DengXian"/>
                <w:szCs w:val="24"/>
              </w:rPr>
              <w:t xml:space="preserve"> initially</w:t>
            </w:r>
            <w:r>
              <w:rPr>
                <w:rFonts w:eastAsia="DengXian"/>
                <w:szCs w:val="24"/>
              </w:rPr>
              <w:t>,</w:t>
            </w:r>
            <w:r w:rsidRPr="00727DFA">
              <w:rPr>
                <w:rFonts w:eastAsia="DengXian"/>
                <w:szCs w:val="24"/>
              </w:rPr>
              <w:t xml:space="preserve"> 15 mg/kg followed by 10mg/kg 12 hourly</w:t>
            </w:r>
            <w:r>
              <w:rPr>
                <w:rFonts w:eastAsia="DengXian"/>
                <w:szCs w:val="24"/>
              </w:rPr>
              <w:t>.</w:t>
            </w:r>
            <w:r w:rsidRPr="00727DFA">
              <w:rPr>
                <w:rFonts w:eastAsia="DengXian"/>
                <w:szCs w:val="24"/>
              </w:rPr>
              <w:t xml:space="preserve"> </w:t>
            </w:r>
          </w:p>
          <w:p w14:paraId="706053FA" w14:textId="77777777" w:rsidR="007B485D" w:rsidRPr="00727DFA" w:rsidRDefault="007B485D" w:rsidP="002D6DD7">
            <w:pPr>
              <w:jc w:val="both"/>
              <w:rPr>
                <w:rFonts w:eastAsia="DengXian"/>
                <w:szCs w:val="24"/>
              </w:rPr>
            </w:pPr>
            <w:r w:rsidRPr="00727DFA">
              <w:rPr>
                <w:rFonts w:eastAsia="DengXian"/>
                <w:b/>
                <w:szCs w:val="24"/>
              </w:rPr>
              <w:t>Neonates</w:t>
            </w:r>
            <w:r>
              <w:rPr>
                <w:rFonts w:eastAsia="DengXian"/>
                <w:b/>
                <w:szCs w:val="24"/>
              </w:rPr>
              <w:t xml:space="preserve"> (</w:t>
            </w:r>
            <w:r w:rsidRPr="00727DFA">
              <w:rPr>
                <w:rFonts w:eastAsia="DengXian"/>
                <w:szCs w:val="24"/>
              </w:rPr>
              <w:t>1 week - 1 month old</w:t>
            </w:r>
            <w:r>
              <w:rPr>
                <w:rFonts w:eastAsia="DengXian"/>
                <w:szCs w:val="24"/>
              </w:rPr>
              <w:t>)</w:t>
            </w:r>
            <w:r w:rsidRPr="00727DFA">
              <w:rPr>
                <w:rFonts w:eastAsia="DengXian"/>
                <w:szCs w:val="24"/>
              </w:rPr>
              <w:t>, initially</w:t>
            </w:r>
            <w:r>
              <w:rPr>
                <w:rFonts w:eastAsia="DengXian"/>
                <w:szCs w:val="24"/>
              </w:rPr>
              <w:t>,</w:t>
            </w:r>
            <w:r w:rsidRPr="00727DFA">
              <w:rPr>
                <w:rFonts w:eastAsia="DengXian"/>
                <w:szCs w:val="24"/>
              </w:rPr>
              <w:t xml:space="preserve"> 15 mg/kg followed by </w:t>
            </w:r>
            <w:r w:rsidRPr="00727DFA">
              <w:rPr>
                <w:rFonts w:eastAsia="DengXian"/>
                <w:szCs w:val="24"/>
              </w:rPr>
              <w:lastRenderedPageBreak/>
              <w:t>10 mg/kg 8 hourly</w:t>
            </w:r>
            <w:r>
              <w:rPr>
                <w:rFonts w:eastAsia="DengXian"/>
                <w:szCs w:val="24"/>
              </w:rPr>
              <w:t>.</w:t>
            </w:r>
          </w:p>
          <w:p w14:paraId="3A828718" w14:textId="77777777" w:rsidR="007B485D" w:rsidRPr="00727DFA" w:rsidRDefault="007B485D" w:rsidP="002D6DD7">
            <w:pPr>
              <w:jc w:val="both"/>
              <w:rPr>
                <w:rFonts w:eastAsia="DengXian"/>
                <w:szCs w:val="24"/>
              </w:rPr>
            </w:pPr>
            <w:r w:rsidRPr="00727DFA">
              <w:rPr>
                <w:rFonts w:eastAsia="DengXian"/>
                <w:b/>
                <w:bCs/>
                <w:szCs w:val="24"/>
              </w:rPr>
              <w:t>Elderly</w:t>
            </w:r>
            <w:r w:rsidRPr="00727DFA">
              <w:rPr>
                <w:rFonts w:eastAsia="DengXian"/>
                <w:szCs w:val="24"/>
              </w:rPr>
              <w:t xml:space="preserve"> (over 65 years): 500 mg every 12 hours or 1 g once daily </w:t>
            </w:r>
          </w:p>
          <w:p w14:paraId="3C858580" w14:textId="77777777" w:rsidR="007B485D" w:rsidRPr="00145B86" w:rsidRDefault="007B485D" w:rsidP="002D6DD7">
            <w:pPr>
              <w:jc w:val="both"/>
              <w:rPr>
                <w:rFonts w:eastAsia="DengXian"/>
                <w:szCs w:val="24"/>
              </w:rPr>
            </w:pPr>
            <w:r w:rsidRPr="00145B86">
              <w:rPr>
                <w:rFonts w:eastAsia="DengXian"/>
                <w:b/>
                <w:bCs/>
                <w:szCs w:val="24"/>
              </w:rPr>
              <w:t>Endocarditis prophylaxis</w:t>
            </w:r>
            <w:r w:rsidRPr="00145B86">
              <w:rPr>
                <w:rFonts w:eastAsia="DengXian"/>
                <w:szCs w:val="24"/>
              </w:rPr>
              <w:t xml:space="preserve"> (for procedures under general anesthetic)</w:t>
            </w:r>
            <w:r>
              <w:rPr>
                <w:rFonts w:eastAsia="DengXian"/>
                <w:szCs w:val="24"/>
              </w:rPr>
              <w:t>;</w:t>
            </w:r>
            <w:r w:rsidRPr="00145B86">
              <w:rPr>
                <w:rFonts w:eastAsia="DengXian"/>
                <w:szCs w:val="24"/>
              </w:rPr>
              <w:t xml:space="preserve"> by IV infusion:</w:t>
            </w:r>
          </w:p>
          <w:p w14:paraId="695F5AE9" w14:textId="77777777" w:rsidR="007B485D" w:rsidRPr="00145B86" w:rsidRDefault="007B485D" w:rsidP="002D6DD7">
            <w:pPr>
              <w:jc w:val="both"/>
              <w:rPr>
                <w:rFonts w:eastAsia="DengXian"/>
                <w:szCs w:val="24"/>
              </w:rPr>
            </w:pPr>
            <w:r w:rsidRPr="00145B86">
              <w:rPr>
                <w:rFonts w:eastAsia="DengXian"/>
                <w:b/>
                <w:bCs/>
                <w:szCs w:val="24"/>
              </w:rPr>
              <w:t>Adult</w:t>
            </w:r>
            <w:r>
              <w:rPr>
                <w:rFonts w:eastAsia="DengXian"/>
                <w:b/>
                <w:bCs/>
                <w:szCs w:val="24"/>
              </w:rPr>
              <w:t>;</w:t>
            </w:r>
            <w:r w:rsidRPr="00145B86">
              <w:rPr>
                <w:rFonts w:eastAsia="DengXian"/>
                <w:b/>
                <w:bCs/>
                <w:szCs w:val="24"/>
              </w:rPr>
              <w:t xml:space="preserve"> </w:t>
            </w:r>
            <w:r w:rsidRPr="00145B86">
              <w:rPr>
                <w:rFonts w:eastAsia="DengXian"/>
                <w:szCs w:val="24"/>
              </w:rPr>
              <w:t>1 g over at least 100 minutes, then gentamicin</w:t>
            </w:r>
            <w:r>
              <w:rPr>
                <w:rFonts w:eastAsia="DengXian"/>
                <w:szCs w:val="24"/>
              </w:rPr>
              <w:t xml:space="preserve"> </w:t>
            </w:r>
            <w:r w:rsidRPr="00145B86">
              <w:rPr>
                <w:rFonts w:eastAsia="DengXian"/>
                <w:szCs w:val="24"/>
              </w:rPr>
              <w:t>120 mg at induction or 15 minutes before procedure</w:t>
            </w:r>
          </w:p>
          <w:p w14:paraId="0A2F8D91" w14:textId="77777777" w:rsidR="007B485D" w:rsidRPr="00873AF2" w:rsidRDefault="007B485D" w:rsidP="002D6DD7">
            <w:pPr>
              <w:jc w:val="both"/>
              <w:rPr>
                <w:rFonts w:eastAsia="DengXian"/>
                <w:szCs w:val="24"/>
              </w:rPr>
            </w:pPr>
            <w:r w:rsidRPr="00873AF2">
              <w:rPr>
                <w:rFonts w:eastAsia="DengXian"/>
                <w:b/>
                <w:bCs/>
                <w:szCs w:val="24"/>
              </w:rPr>
              <w:t>Infective endocarditis</w:t>
            </w:r>
            <w:r>
              <w:rPr>
                <w:rFonts w:eastAsia="DengXian"/>
                <w:b/>
                <w:bCs/>
                <w:szCs w:val="24"/>
              </w:rPr>
              <w:t xml:space="preserve"> treatment</w:t>
            </w:r>
            <w:r w:rsidRPr="00145B86">
              <w:rPr>
                <w:rFonts w:eastAsia="DengXian"/>
                <w:b/>
                <w:bCs/>
                <w:szCs w:val="24"/>
              </w:rPr>
              <w:t>,</w:t>
            </w:r>
            <w:r w:rsidRPr="00873AF2">
              <w:rPr>
                <w:rFonts w:eastAsia="DengXian"/>
                <w:b/>
                <w:bCs/>
                <w:szCs w:val="24"/>
              </w:rPr>
              <w:t xml:space="preserve"> septicemia</w:t>
            </w:r>
            <w:r>
              <w:rPr>
                <w:rFonts w:eastAsia="DengXian"/>
                <w:b/>
                <w:bCs/>
                <w:szCs w:val="24"/>
              </w:rPr>
              <w:t>;</w:t>
            </w:r>
            <w:r w:rsidRPr="00873AF2">
              <w:rPr>
                <w:rFonts w:eastAsia="DengXian"/>
                <w:szCs w:val="24"/>
              </w:rPr>
              <w:t xml:space="preserve"> </w:t>
            </w:r>
            <w:r w:rsidRPr="00BB00D5">
              <w:rPr>
                <w:rFonts w:eastAsia="DengXian"/>
                <w:szCs w:val="24"/>
              </w:rPr>
              <w:t>by IV infusion:</w:t>
            </w:r>
          </w:p>
          <w:p w14:paraId="5D569CE3" w14:textId="77777777" w:rsidR="007B485D" w:rsidRDefault="007B485D" w:rsidP="002D6DD7">
            <w:pPr>
              <w:jc w:val="both"/>
              <w:rPr>
                <w:rFonts w:eastAsia="DengXian"/>
                <w:szCs w:val="24"/>
              </w:rPr>
            </w:pPr>
            <w:r w:rsidRPr="00873AF2">
              <w:rPr>
                <w:rFonts w:eastAsia="DengXian"/>
                <w:b/>
                <w:bCs/>
                <w:szCs w:val="24"/>
              </w:rPr>
              <w:t xml:space="preserve">Adult: </w:t>
            </w:r>
            <w:r w:rsidRPr="00873AF2">
              <w:rPr>
                <w:rFonts w:eastAsia="DengXian"/>
                <w:szCs w:val="24"/>
              </w:rPr>
              <w:t xml:space="preserve">2 g </w:t>
            </w:r>
            <w:r w:rsidRPr="00145B86">
              <w:rPr>
                <w:rFonts w:eastAsia="DengXian"/>
                <w:szCs w:val="24"/>
              </w:rPr>
              <w:t>in</w:t>
            </w:r>
            <w:r>
              <w:rPr>
                <w:rFonts w:eastAsia="DengXian"/>
                <w:szCs w:val="24"/>
              </w:rPr>
              <w:t xml:space="preserve"> 2 or 4 divided doses</w:t>
            </w:r>
          </w:p>
          <w:p w14:paraId="5ECD868E" w14:textId="77777777" w:rsidR="007B485D" w:rsidRPr="00727DFA" w:rsidRDefault="007B485D" w:rsidP="002D6DD7">
            <w:pPr>
              <w:jc w:val="both"/>
              <w:rPr>
                <w:rFonts w:eastAsia="DengXian"/>
                <w:szCs w:val="24"/>
              </w:rPr>
            </w:pPr>
            <w:r w:rsidRPr="00873AF2">
              <w:rPr>
                <w:rFonts w:eastAsia="DengXian"/>
                <w:b/>
                <w:bCs/>
                <w:szCs w:val="24"/>
              </w:rPr>
              <w:t>Child</w:t>
            </w:r>
            <m:oMath>
              <m:r>
                <m:rPr>
                  <m:sty m:val="bi"/>
                </m:rPr>
                <w:rPr>
                  <w:rFonts w:ascii="Cambria Math" w:eastAsia="DengXian" w:hAnsi="Cambria Math"/>
                  <w:szCs w:val="24"/>
                </w:rPr>
                <m:t>≥1</m:t>
              </m:r>
            </m:oMath>
            <w:r w:rsidRPr="00873AF2">
              <w:rPr>
                <w:rFonts w:eastAsia="DengXian"/>
                <w:b/>
                <w:bCs/>
                <w:szCs w:val="24"/>
              </w:rPr>
              <w:t>month</w:t>
            </w:r>
            <w:r>
              <w:rPr>
                <w:rFonts w:eastAsia="DengXian"/>
                <w:szCs w:val="24"/>
              </w:rPr>
              <w:t>: 10mg/kg/dose 4 times a day (recommended only for high-risk patients)</w:t>
            </w:r>
          </w:p>
          <w:p w14:paraId="0DAFEA7A" w14:textId="77777777" w:rsidR="007B485D" w:rsidRPr="00727DFA" w:rsidRDefault="007B485D" w:rsidP="002D6DD7">
            <w:pPr>
              <w:jc w:val="both"/>
              <w:rPr>
                <w:rFonts w:eastAsia="DengXian"/>
                <w:szCs w:val="24"/>
              </w:rPr>
            </w:pPr>
            <w:r w:rsidRPr="00FF04BC">
              <w:rPr>
                <w:rFonts w:eastAsia="DengXian"/>
                <w:b/>
                <w:bCs/>
                <w:i/>
                <w:iCs/>
                <w:szCs w:val="24"/>
              </w:rPr>
              <w:t xml:space="preserve"> Clostridioides difficile</w:t>
            </w:r>
            <w:r w:rsidRPr="00FF04BC">
              <w:rPr>
                <w:rFonts w:eastAsia="DengXian"/>
                <w:b/>
                <w:bCs/>
                <w:szCs w:val="24"/>
              </w:rPr>
              <w:t xml:space="preserve"> infection</w:t>
            </w:r>
            <w:r w:rsidRPr="00DF0B7B" w:rsidDel="00DF0B7B">
              <w:rPr>
                <w:rFonts w:eastAsia="DengXian"/>
                <w:szCs w:val="24"/>
              </w:rPr>
              <w:t>:</w:t>
            </w:r>
            <w:r w:rsidRPr="00727DFA">
              <w:rPr>
                <w:rFonts w:eastAsia="DengXian"/>
                <w:szCs w:val="24"/>
              </w:rPr>
              <w:t xml:space="preserve">  </w:t>
            </w:r>
          </w:p>
          <w:p w14:paraId="30C30B96" w14:textId="77777777" w:rsidR="007B485D"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125–500 mg every 6 hours, orally </w:t>
            </w:r>
          </w:p>
          <w:p w14:paraId="45A034FC" w14:textId="77777777" w:rsidR="007B485D" w:rsidRPr="00727DFA" w:rsidRDefault="007B485D" w:rsidP="002D6DD7">
            <w:pPr>
              <w:jc w:val="both"/>
              <w:rPr>
                <w:rFonts w:eastAsia="DengXian"/>
                <w:szCs w:val="24"/>
              </w:rPr>
            </w:pPr>
            <w:r>
              <w:rPr>
                <w:rFonts w:eastAsia="DengXian"/>
                <w:b/>
                <w:szCs w:val="24"/>
              </w:rPr>
              <w:t>Child</w:t>
            </w:r>
            <w:r w:rsidRPr="00727DFA">
              <w:rPr>
                <w:rFonts w:eastAsia="DengXian"/>
                <w:szCs w:val="24"/>
              </w:rPr>
              <w:t>: 125mg every 6 hours, orally</w:t>
            </w:r>
          </w:p>
        </w:tc>
      </w:tr>
      <w:tr w:rsidR="007B485D" w:rsidRPr="00727DFA" w14:paraId="0A6AD1A7"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E4135E5"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6BD6223"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previous hearing loss.</w:t>
            </w:r>
          </w:p>
        </w:tc>
      </w:tr>
      <w:tr w:rsidR="007B485D" w:rsidRPr="00727DFA" w14:paraId="1181AC8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EF9AD97"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B853CFF" w14:textId="77777777" w:rsidR="007B485D" w:rsidRPr="00727DFA" w:rsidRDefault="007B485D" w:rsidP="002D6DD7">
            <w:pPr>
              <w:jc w:val="both"/>
              <w:rPr>
                <w:rFonts w:eastAsia="DengXian"/>
                <w:szCs w:val="24"/>
              </w:rPr>
            </w:pPr>
            <w:r w:rsidRPr="00727DFA">
              <w:rPr>
                <w:rFonts w:eastAsia="DengXian"/>
                <w:szCs w:val="24"/>
              </w:rPr>
              <w:t xml:space="preserve">Aminoglycosides, amphotericin </w:t>
            </w:r>
            <w:r>
              <w:rPr>
                <w:rFonts w:eastAsia="DengXian"/>
                <w:szCs w:val="24"/>
              </w:rPr>
              <w:t>B</w:t>
            </w:r>
            <w:r w:rsidRPr="00727DFA">
              <w:rPr>
                <w:rFonts w:eastAsia="DengXian"/>
                <w:szCs w:val="24"/>
              </w:rPr>
              <w:t>, ciclosporin,</w:t>
            </w:r>
            <w:r>
              <w:rPr>
                <w:rFonts w:eastAsia="DengXian"/>
                <w:szCs w:val="24"/>
              </w:rPr>
              <w:t xml:space="preserve"> live cholera vaccine,</w:t>
            </w:r>
            <w:r w:rsidRPr="00727DFA">
              <w:rPr>
                <w:rFonts w:eastAsia="DengXian"/>
                <w:szCs w:val="24"/>
              </w:rPr>
              <w:t xml:space="preserve"> furosemide, halothane, ketamine, nitrous oxide, suxamethonium, thiopental</w:t>
            </w:r>
            <w:r>
              <w:rPr>
                <w:rFonts w:eastAsia="DengXian"/>
                <w:szCs w:val="24"/>
              </w:rPr>
              <w:t>.</w:t>
            </w:r>
          </w:p>
        </w:tc>
      </w:tr>
      <w:tr w:rsidR="007B485D" w:rsidRPr="00727DFA" w14:paraId="53BB5836" w14:textId="77777777" w:rsidTr="002D6DD7">
        <w:trPr>
          <w:trHeight w:val="2555"/>
          <w:jc w:val="center"/>
        </w:trPr>
        <w:tc>
          <w:tcPr>
            <w:tcW w:w="2605" w:type="dxa"/>
            <w:tcBorders>
              <w:top w:val="single" w:sz="4" w:space="0" w:color="auto"/>
              <w:left w:val="single" w:sz="4" w:space="0" w:color="auto"/>
              <w:bottom w:val="single" w:sz="4" w:space="0" w:color="auto"/>
              <w:right w:val="single" w:sz="4" w:space="0" w:color="auto"/>
            </w:tcBorders>
            <w:hideMark/>
          </w:tcPr>
          <w:p w14:paraId="36C458C3" w14:textId="77777777" w:rsidR="007B485D" w:rsidRPr="00727DFA" w:rsidRDefault="007B485D" w:rsidP="002D6DD7">
            <w:pPr>
              <w:jc w:val="both"/>
              <w:rPr>
                <w:rFonts w:eastAsia="DengXian"/>
                <w:szCs w:val="24"/>
              </w:rPr>
            </w:pPr>
            <w:r w:rsidRPr="00727DFA">
              <w:rPr>
                <w:rFonts w:eastAsia="DengXi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58E00A4" w14:textId="77777777" w:rsidR="007B485D" w:rsidRPr="00727DFA" w:rsidRDefault="007B485D" w:rsidP="002D6DD7">
            <w:pPr>
              <w:jc w:val="both"/>
              <w:rPr>
                <w:rFonts w:eastAsia="DengXian"/>
                <w:szCs w:val="24"/>
              </w:rPr>
            </w:pPr>
            <w:r w:rsidRPr="00727DFA">
              <w:rPr>
                <w:rFonts w:eastAsia="DengXian"/>
                <w:szCs w:val="24"/>
              </w:rPr>
              <w:t>Nephrotoxicity, ototoxicity, nausea, vomiting, diarrhea</w:t>
            </w:r>
            <w:r>
              <w:rPr>
                <w:rFonts w:eastAsia="DengXian"/>
                <w:szCs w:val="24"/>
              </w:rPr>
              <w:t xml:space="preserve">, </w:t>
            </w:r>
            <w:r w:rsidRPr="00727DFA">
              <w:rPr>
                <w:rFonts w:eastAsia="DengXian"/>
                <w:szCs w:val="24"/>
              </w:rPr>
              <w:t>chills</w:t>
            </w:r>
            <w:r>
              <w:rPr>
                <w:rFonts w:eastAsia="DengXian"/>
                <w:szCs w:val="24"/>
              </w:rPr>
              <w:t>.</w:t>
            </w:r>
            <w:r w:rsidRPr="00727DFA">
              <w:rPr>
                <w:rFonts w:eastAsia="DengXian"/>
                <w:szCs w:val="24"/>
              </w:rPr>
              <w:t xml:space="preserve"> dizziness, vertigo and tinnitus, thrombocytopenia, neutropenia, leukopenia, agranulocytosis, flushing of the upper body (“red man” syndrome, anaphylaxis, severe hypotension (with shock, cardiac arrest), superinfection</w:t>
            </w:r>
            <w:r>
              <w:rPr>
                <w:rFonts w:eastAsia="DengXian"/>
                <w:szCs w:val="24"/>
              </w:rPr>
              <w:t>, and</w:t>
            </w:r>
            <w:r w:rsidRPr="00727DFA">
              <w:rPr>
                <w:rFonts w:eastAsia="DengXian"/>
                <w:szCs w:val="24"/>
              </w:rPr>
              <w:t xml:space="preserve"> local pain</w:t>
            </w:r>
            <w:r>
              <w:rPr>
                <w:rFonts w:eastAsia="DengXian"/>
                <w:szCs w:val="24"/>
              </w:rPr>
              <w:t xml:space="preserve"> and</w:t>
            </w:r>
            <w:r w:rsidRPr="00727DFA">
              <w:rPr>
                <w:rFonts w:eastAsia="DengXian"/>
                <w:szCs w:val="24"/>
              </w:rPr>
              <w:t xml:space="preserve"> thrombophlebitis</w:t>
            </w:r>
            <w:r>
              <w:rPr>
                <w:rFonts w:eastAsia="DengXian"/>
                <w:szCs w:val="24"/>
              </w:rPr>
              <w:t xml:space="preserve"> (in </w:t>
            </w:r>
            <w:r w:rsidRPr="00727DFA">
              <w:rPr>
                <w:rFonts w:eastAsia="DengXian"/>
                <w:szCs w:val="24"/>
              </w:rPr>
              <w:t>IV infusion</w:t>
            </w:r>
            <w:r>
              <w:rPr>
                <w:rFonts w:eastAsia="DengXian"/>
                <w:szCs w:val="24"/>
              </w:rPr>
              <w:t>).</w:t>
            </w:r>
          </w:p>
        </w:tc>
      </w:tr>
      <w:tr w:rsidR="007B485D" w:rsidRPr="00727DFA" w14:paraId="74264D4E" w14:textId="77777777" w:rsidTr="002D6DD7">
        <w:trPr>
          <w:trHeight w:val="1250"/>
          <w:jc w:val="center"/>
        </w:trPr>
        <w:tc>
          <w:tcPr>
            <w:tcW w:w="2605" w:type="dxa"/>
            <w:tcBorders>
              <w:top w:val="single" w:sz="4" w:space="0" w:color="auto"/>
              <w:left w:val="single" w:sz="4" w:space="0" w:color="auto"/>
              <w:bottom w:val="single" w:sz="4" w:space="0" w:color="auto"/>
              <w:right w:val="single" w:sz="4" w:space="0" w:color="auto"/>
            </w:tcBorders>
            <w:hideMark/>
          </w:tcPr>
          <w:p w14:paraId="5533F824"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5C365D4" w14:textId="77777777" w:rsidR="007B485D" w:rsidRPr="00727DFA" w:rsidRDefault="007B485D" w:rsidP="002D6DD7">
            <w:pPr>
              <w:jc w:val="both"/>
              <w:rPr>
                <w:rFonts w:eastAsia="DengXian"/>
                <w:szCs w:val="24"/>
              </w:rPr>
            </w:pPr>
            <w:r w:rsidRPr="00727DFA">
              <w:rPr>
                <w:rFonts w:eastAsia="DengXian"/>
                <w:szCs w:val="24"/>
              </w:rPr>
              <w:t xml:space="preserve">Renal impairment, pregnancy, </w:t>
            </w:r>
            <w:r>
              <w:rPr>
                <w:rFonts w:eastAsia="DengXian"/>
                <w:szCs w:val="24"/>
              </w:rPr>
              <w:t>breastfeeding,</w:t>
            </w:r>
            <w:r w:rsidRPr="00727DFA">
              <w:rPr>
                <w:rFonts w:eastAsia="DengXian"/>
                <w:szCs w:val="24"/>
              </w:rPr>
              <w:t xml:space="preserve"> inflammatory disorders of the intestinal mucosa</w:t>
            </w:r>
            <w:r>
              <w:rPr>
                <w:rFonts w:eastAsia="DengXian"/>
                <w:szCs w:val="24"/>
              </w:rPr>
              <w:t>,</w:t>
            </w:r>
            <w:r w:rsidRPr="00727DFA">
              <w:rPr>
                <w:rFonts w:eastAsia="DengXian"/>
                <w:szCs w:val="24"/>
              </w:rPr>
              <w:t xml:space="preserve"> </w:t>
            </w:r>
            <w:r w:rsidRPr="00587263">
              <w:rPr>
                <w:rFonts w:eastAsia="DengXian"/>
                <w:i/>
                <w:iCs/>
                <w:szCs w:val="24"/>
              </w:rPr>
              <w:t>Clostridioides</w:t>
            </w:r>
            <w:r w:rsidRPr="00727DFA">
              <w:rPr>
                <w:rFonts w:eastAsia="DengXian"/>
                <w:szCs w:val="24"/>
              </w:rPr>
              <w:t xml:space="preserve"> </w:t>
            </w:r>
            <w:r w:rsidRPr="00873AF2">
              <w:rPr>
                <w:rFonts w:eastAsia="DengXian"/>
                <w:i/>
                <w:iCs/>
                <w:szCs w:val="24"/>
              </w:rPr>
              <w:t>difficile</w:t>
            </w:r>
            <w:r w:rsidRPr="00727DFA">
              <w:rPr>
                <w:rFonts w:eastAsia="DengXian"/>
                <w:szCs w:val="24"/>
              </w:rPr>
              <w:t>-induced pseudomembranous colitis</w:t>
            </w:r>
            <w:r>
              <w:rPr>
                <w:rFonts w:eastAsia="DengXian"/>
                <w:szCs w:val="24"/>
              </w:rPr>
              <w:t>.</w:t>
            </w:r>
          </w:p>
        </w:tc>
      </w:tr>
      <w:tr w:rsidR="007B485D" w:rsidRPr="00727DFA" w14:paraId="2EAE3C0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C709AA0"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6E8DE8B"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bl>
    <w:p w14:paraId="6D42E2D0" w14:textId="77777777" w:rsidR="007B485D" w:rsidRDefault="007B485D" w:rsidP="007B485D">
      <w:pPr>
        <w:spacing w:after="0"/>
        <w:jc w:val="both"/>
        <w:rPr>
          <w:rFonts w:eastAsia="DengXian" w:cs="Times New Roman"/>
          <w:szCs w:val="24"/>
        </w:rPr>
      </w:pPr>
    </w:p>
    <w:p w14:paraId="3A043DD3" w14:textId="77777777" w:rsidR="007B485D" w:rsidRDefault="007B485D" w:rsidP="007B485D">
      <w:pPr>
        <w:rPr>
          <w:rFonts w:eastAsia="DengXian" w:cs="Times New Roman"/>
          <w:szCs w:val="24"/>
        </w:rPr>
      </w:pPr>
      <w:r>
        <w:rPr>
          <w:rFonts w:eastAsia="DengXian" w:cs="Times New Roman"/>
          <w:szCs w:val="24"/>
        </w:rPr>
        <w:br w:type="page"/>
      </w:r>
    </w:p>
    <w:p w14:paraId="4FC48FA8" w14:textId="77777777" w:rsidR="007B485D" w:rsidRPr="004A23D0" w:rsidRDefault="007B485D" w:rsidP="004A23D0">
      <w:pPr>
        <w:spacing w:before="240"/>
        <w:rPr>
          <w:rFonts w:eastAsia="DengXian Light"/>
          <w:b/>
        </w:rPr>
      </w:pPr>
      <w:r w:rsidRPr="004A23D0">
        <w:rPr>
          <w:rFonts w:eastAsia="DengXian Light"/>
          <w:b/>
        </w:rPr>
        <w:lastRenderedPageBreak/>
        <w:t>Anti-</w:t>
      </w:r>
      <w:r w:rsidR="004A23D0" w:rsidRPr="004A23D0">
        <w:rPr>
          <w:rFonts w:eastAsia="DengXian Light"/>
          <w:b/>
        </w:rPr>
        <w:t>t</w:t>
      </w:r>
      <w:r w:rsidRPr="004A23D0">
        <w:rPr>
          <w:rFonts w:eastAsia="DengXian Light"/>
          <w:b/>
        </w:rPr>
        <w:t xml:space="preserve">uberculosis (TB) </w:t>
      </w:r>
      <w:r w:rsidR="004A23D0" w:rsidRPr="004A23D0">
        <w:rPr>
          <w:rFonts w:eastAsia="DengXian Light"/>
          <w:b/>
        </w:rPr>
        <w:t>m</w:t>
      </w:r>
      <w:r w:rsidRPr="004A23D0">
        <w:rPr>
          <w:rFonts w:eastAsia="DengXian Light"/>
          <w:b/>
        </w:rPr>
        <w:t>edicines</w:t>
      </w:r>
    </w:p>
    <w:p w14:paraId="42C80F3A" w14:textId="77777777" w:rsidR="007B485D" w:rsidRPr="00727DFA" w:rsidRDefault="007B485D" w:rsidP="007B485D">
      <w:pPr>
        <w:spacing w:before="240" w:after="0"/>
        <w:jc w:val="both"/>
        <w:rPr>
          <w:rFonts w:eastAsia="DengXian" w:cs="Times New Roman"/>
          <w:szCs w:val="24"/>
        </w:rPr>
      </w:pPr>
      <w:r w:rsidRPr="00873AF2">
        <w:rPr>
          <w:rFonts w:eastAsia="DengXian" w:cs="Times New Roman"/>
          <w:szCs w:val="24"/>
        </w:rPr>
        <w:t xml:space="preserve">Antitubercular agents work by stopping the growth of the bacteria that causes </w:t>
      </w:r>
      <w:r>
        <w:rPr>
          <w:rFonts w:eastAsia="DengXian" w:cs="Times New Roman"/>
          <w:szCs w:val="24"/>
        </w:rPr>
        <w:t>t</w:t>
      </w:r>
      <w:r w:rsidRPr="00727DFA">
        <w:rPr>
          <w:rFonts w:eastAsia="DengXian" w:cs="Times New Roman"/>
          <w:szCs w:val="24"/>
        </w:rPr>
        <w:t xml:space="preserve">uberculosis </w:t>
      </w:r>
      <w:r w:rsidRPr="0037216C">
        <w:rPr>
          <w:rFonts w:eastAsia="DengXian" w:cs="Times New Roman"/>
          <w:szCs w:val="24"/>
        </w:rPr>
        <w:t>(</w:t>
      </w:r>
      <w:r w:rsidRPr="00873AF2">
        <w:rPr>
          <w:rFonts w:eastAsia="DengXian" w:cs="Times New Roman"/>
          <w:i/>
          <w:iCs/>
          <w:szCs w:val="24"/>
        </w:rPr>
        <w:t>Mycobacterium tuberculosis</w:t>
      </w:r>
      <w:r w:rsidRPr="0037216C">
        <w:rPr>
          <w:rFonts w:eastAsia="DengXian" w:cs="Times New Roman"/>
          <w:szCs w:val="24"/>
        </w:rPr>
        <w:t xml:space="preserve">).  </w:t>
      </w:r>
      <w:r w:rsidRPr="00727DFA">
        <w:rPr>
          <w:rFonts w:eastAsia="DengXian" w:cs="Times New Roman"/>
          <w:szCs w:val="24"/>
        </w:rPr>
        <w:t>Tuberculosis (TB) is an airborne infectious disease</w:t>
      </w:r>
      <w:r>
        <w:rPr>
          <w:rFonts w:eastAsia="DengXian" w:cs="Times New Roman"/>
          <w:szCs w:val="24"/>
        </w:rPr>
        <w:t>, which</w:t>
      </w:r>
      <w:r w:rsidRPr="00727DFA">
        <w:rPr>
          <w:rFonts w:eastAsia="DengXian" w:cs="Times New Roman"/>
          <w:szCs w:val="24"/>
        </w:rPr>
        <w:t xml:space="preserve"> is spread by breathing in infected respiratory droplets from a person with infectious tuberculosis.</w:t>
      </w:r>
      <w:r w:rsidRPr="0063309C">
        <w:rPr>
          <w:rFonts w:eastAsia="DengXian" w:cs="Times New Roman"/>
          <w:szCs w:val="24"/>
        </w:rPr>
        <w:t xml:space="preserve"> </w:t>
      </w:r>
      <w:r w:rsidRPr="00727DFA">
        <w:rPr>
          <w:rFonts w:eastAsia="DengXian" w:cs="Times New Roman"/>
          <w:szCs w:val="24"/>
        </w:rPr>
        <w:t>The most common form of tuberculosis infection is in the lungs (pulmonary or PTB) but infection can also spread and develop in other parts of the body (extrapulmonary or EPTB). The infection can be active or latent, with approximately 10% of latent infections progressing to active status.</w:t>
      </w:r>
    </w:p>
    <w:p w14:paraId="0FFCECD4"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Antitubercular medications are a group of drugs used to treat tuberculosis. Isoniazid (INH), rifampin (or other rifamycin), pyrazinamide, ethambutol, and streptomycin are the five first-line agents for treatment of tuberculosis.</w:t>
      </w:r>
    </w:p>
    <w:p w14:paraId="751642CD"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The standard treatment of active tuberculosis is completed in two phases; an initial phase using four drugs and a continuation phase using two drugs, in fully sensitive cases. The initial phase aims to render the patient non-infectious by rapidly reducing the bacillary load in the sputum and brings clinical improvement in most patients receiving effective treatment. The continuation phase aims to sterilize the remaining semi-dormant bacilli and is important to ensure cure/ completion of treatment and prevent relapse after completion of treatment. In all phases of treatment for tuberculosis, fixed-dose combination tablets should be used, and a daily dosing schedule should be offered in active pulmonary tuberculosis and considered as first choice in active extrapulmonary tuberculosis.</w:t>
      </w:r>
    </w:p>
    <w:p w14:paraId="720D9EBE" w14:textId="77777777" w:rsidR="007B485D" w:rsidRPr="00727DFA" w:rsidRDefault="007B485D" w:rsidP="007B485D">
      <w:pPr>
        <w:spacing w:before="240" w:after="0"/>
        <w:jc w:val="both"/>
        <w:rPr>
          <w:rFonts w:eastAsia="DengXian" w:cs="Times New Roman"/>
          <w:szCs w:val="24"/>
        </w:rPr>
      </w:pPr>
    </w:p>
    <w:tbl>
      <w:tblPr>
        <w:tblStyle w:val="TableGrid"/>
        <w:tblW w:w="0" w:type="auto"/>
        <w:tblLook w:val="04A0" w:firstRow="1" w:lastRow="0" w:firstColumn="1" w:lastColumn="0" w:noHBand="0" w:noVBand="1"/>
      </w:tblPr>
      <w:tblGrid>
        <w:gridCol w:w="2605"/>
        <w:gridCol w:w="6745"/>
      </w:tblGrid>
      <w:tr w:rsidR="007B485D" w:rsidRPr="00727DFA" w14:paraId="1A6B68B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F8FCB00" w14:textId="77777777" w:rsidR="007B485D" w:rsidRPr="00727DFA" w:rsidRDefault="007B485D" w:rsidP="002D6DD7">
            <w:pPr>
              <w:jc w:val="both"/>
              <w:rPr>
                <w:rFonts w:eastAsia="DengXian"/>
                <w:b/>
                <w:bCs/>
                <w:szCs w:val="24"/>
              </w:rPr>
            </w:pPr>
            <w:r w:rsidRPr="00727DFA">
              <w:rPr>
                <w:rFonts w:eastAsia="DengXian"/>
                <w:b/>
                <w:bCs/>
                <w:szCs w:val="24"/>
              </w:rPr>
              <w:t xml:space="preserve">Amikacin </w:t>
            </w:r>
            <w:r w:rsidRPr="00873AF2">
              <w:rPr>
                <w:rFonts w:eastAsia="DengXian"/>
                <w:b/>
                <w:bCs/>
                <w:szCs w:val="24"/>
              </w:rPr>
              <w:t>(Access)</w:t>
            </w:r>
          </w:p>
        </w:tc>
      </w:tr>
      <w:tr w:rsidR="007B485D" w:rsidRPr="00727DFA" w14:paraId="31830DA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59DD4CE"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2F9BAE1" w14:textId="77777777" w:rsidR="007B485D" w:rsidRPr="00727DFA" w:rsidRDefault="007B485D" w:rsidP="002D6DD7">
            <w:pPr>
              <w:jc w:val="both"/>
              <w:rPr>
                <w:rFonts w:eastAsia="DengXian"/>
                <w:szCs w:val="24"/>
              </w:rPr>
            </w:pPr>
            <w:r w:rsidRPr="00727DFA">
              <w:rPr>
                <w:rFonts w:eastAsia="DengXian"/>
                <w:szCs w:val="24"/>
              </w:rPr>
              <w:t>Aminoglycoside</w:t>
            </w:r>
          </w:p>
        </w:tc>
      </w:tr>
      <w:tr w:rsidR="007B485D" w:rsidRPr="00727DFA" w14:paraId="3E2CC21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AE7C5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FE48E1D" w14:textId="77777777" w:rsidR="007B485D" w:rsidRPr="00727DFA" w:rsidRDefault="007B485D" w:rsidP="002D6DD7">
            <w:pPr>
              <w:jc w:val="both"/>
              <w:rPr>
                <w:rFonts w:eastAsia="DengXian"/>
                <w:szCs w:val="24"/>
              </w:rPr>
            </w:pPr>
            <w:r w:rsidRPr="00727DFA">
              <w:rPr>
                <w:rFonts w:eastAsia="DengXian"/>
                <w:szCs w:val="24"/>
              </w:rPr>
              <w:t>Injection: 250 mg/mL (as sulfate) in 2 mL vial</w:t>
            </w:r>
          </w:p>
        </w:tc>
      </w:tr>
      <w:tr w:rsidR="007B485D" w:rsidRPr="00727DFA" w14:paraId="1BADD47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1E6769"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772016E" w14:textId="77777777" w:rsidR="007B485D" w:rsidRPr="00727DFA" w:rsidRDefault="007B485D" w:rsidP="002D6DD7">
            <w:pPr>
              <w:jc w:val="both"/>
              <w:rPr>
                <w:rFonts w:eastAsia="DengXian"/>
                <w:szCs w:val="24"/>
              </w:rPr>
            </w:pPr>
            <w:r w:rsidRPr="00727DFA">
              <w:rPr>
                <w:rFonts w:eastAsia="DengXian"/>
                <w:szCs w:val="24"/>
              </w:rPr>
              <w:t xml:space="preserve">Treatment of MDR-TB in conjunction with at least two other antituberculosis agent. </w:t>
            </w:r>
          </w:p>
        </w:tc>
      </w:tr>
      <w:tr w:rsidR="007B485D" w:rsidRPr="00727DFA" w14:paraId="78B7358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BBDA13"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1FAA01BE" w14:textId="77777777" w:rsidR="007B485D" w:rsidRPr="00727DFA" w:rsidRDefault="007B485D" w:rsidP="002D6DD7">
            <w:pPr>
              <w:jc w:val="both"/>
              <w:rPr>
                <w:rFonts w:eastAsia="DengXian"/>
                <w:b/>
                <w:bCs/>
                <w:szCs w:val="24"/>
              </w:rPr>
            </w:pPr>
            <w:r w:rsidRPr="00727DFA">
              <w:rPr>
                <w:rFonts w:eastAsia="DengXian"/>
                <w:b/>
                <w:bCs/>
                <w:szCs w:val="24"/>
              </w:rPr>
              <w:t>IV:</w:t>
            </w:r>
          </w:p>
          <w:p w14:paraId="58118CCB" w14:textId="77777777" w:rsidR="007B485D" w:rsidRPr="00727DFA" w:rsidRDefault="007B485D" w:rsidP="002D6DD7">
            <w:pPr>
              <w:jc w:val="both"/>
              <w:rPr>
                <w:rFonts w:eastAsia="DengXian"/>
                <w:szCs w:val="24"/>
              </w:rPr>
            </w:pPr>
            <w:r w:rsidRPr="00873AF2">
              <w:rPr>
                <w:rFonts w:eastAsia="DengXian"/>
                <w:b/>
                <w:bCs/>
                <w:szCs w:val="24"/>
              </w:rPr>
              <w:t>Adult &gt;15 years</w:t>
            </w:r>
            <w:r w:rsidRPr="00727DFA">
              <w:rPr>
                <w:rFonts w:eastAsia="DengXian"/>
                <w:szCs w:val="24"/>
              </w:rPr>
              <w:t xml:space="preserve">: 15-20mg/kg, maximum 1g daily </w:t>
            </w:r>
          </w:p>
          <w:p w14:paraId="34533F7C" w14:textId="77777777" w:rsidR="007B485D" w:rsidRPr="00727DFA" w:rsidRDefault="007B485D" w:rsidP="002D6DD7">
            <w:pPr>
              <w:jc w:val="both"/>
              <w:rPr>
                <w:rFonts w:eastAsia="DengXian"/>
                <w:szCs w:val="24"/>
              </w:rPr>
            </w:pPr>
            <w:r w:rsidRPr="00873AF2">
              <w:rPr>
                <w:rFonts w:eastAsia="DengXian"/>
                <w:b/>
                <w:bCs/>
                <w:szCs w:val="24"/>
              </w:rPr>
              <w:lastRenderedPageBreak/>
              <w:t>Child &lt;15 years</w:t>
            </w:r>
            <w:r w:rsidRPr="00727DFA">
              <w:rPr>
                <w:rFonts w:eastAsia="DengXian"/>
                <w:szCs w:val="24"/>
              </w:rPr>
              <w:t>: 15-20mg/kg, maximum 1g daily</w:t>
            </w:r>
          </w:p>
        </w:tc>
      </w:tr>
      <w:tr w:rsidR="007B485D" w:rsidRPr="00727DFA" w14:paraId="2D25C06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8EB406"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89D146F" w14:textId="77777777" w:rsidR="007B485D" w:rsidRPr="00727DFA" w:rsidRDefault="007B485D" w:rsidP="002D6DD7">
            <w:pPr>
              <w:jc w:val="both"/>
              <w:rPr>
                <w:rFonts w:eastAsia="DengXian"/>
                <w:szCs w:val="24"/>
              </w:rPr>
            </w:pPr>
            <w:r>
              <w:rPr>
                <w:rFonts w:eastAsia="DengXian"/>
                <w:szCs w:val="24"/>
              </w:rPr>
              <w:t>Refer to amikacin (antibacterials).</w:t>
            </w:r>
          </w:p>
        </w:tc>
      </w:tr>
      <w:tr w:rsidR="007B485D" w:rsidRPr="00727DFA" w14:paraId="1A8DBD0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527C8B"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380AD86" w14:textId="77777777" w:rsidR="007B485D" w:rsidRPr="00727DFA" w:rsidRDefault="007B485D" w:rsidP="002D6DD7">
            <w:pPr>
              <w:jc w:val="both"/>
              <w:rPr>
                <w:rFonts w:eastAsia="DengXian"/>
                <w:szCs w:val="24"/>
              </w:rPr>
            </w:pPr>
            <w:r>
              <w:rPr>
                <w:rFonts w:eastAsia="DengXian"/>
                <w:szCs w:val="24"/>
              </w:rPr>
              <w:t>Refer to amikacin (antibacterials).</w:t>
            </w:r>
          </w:p>
        </w:tc>
      </w:tr>
      <w:tr w:rsidR="007B485D" w:rsidRPr="00727DFA" w14:paraId="7FB52CC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A999D1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22C7C9C" w14:textId="77777777" w:rsidR="007B485D" w:rsidRPr="00727DFA" w:rsidRDefault="007B485D" w:rsidP="002D6DD7">
            <w:pPr>
              <w:jc w:val="both"/>
              <w:rPr>
                <w:rFonts w:eastAsia="DengXian"/>
                <w:szCs w:val="24"/>
              </w:rPr>
            </w:pPr>
            <w:r>
              <w:rPr>
                <w:rFonts w:eastAsia="DengXian"/>
                <w:szCs w:val="24"/>
              </w:rPr>
              <w:t>Refer to amikacin (antibacterials).</w:t>
            </w:r>
          </w:p>
        </w:tc>
      </w:tr>
      <w:tr w:rsidR="007B485D" w:rsidRPr="00727DFA" w14:paraId="4DF9F6E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484ED9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A9CD73C" w14:textId="77777777" w:rsidR="007B485D" w:rsidRPr="00727DFA" w:rsidRDefault="007B485D" w:rsidP="002D6DD7">
            <w:pPr>
              <w:jc w:val="both"/>
              <w:rPr>
                <w:rFonts w:eastAsia="DengXian"/>
                <w:szCs w:val="24"/>
              </w:rPr>
            </w:pPr>
            <w:r>
              <w:rPr>
                <w:rFonts w:eastAsia="DengXian"/>
                <w:szCs w:val="24"/>
              </w:rPr>
              <w:t>Refer to amikacin (antibacterials).</w:t>
            </w:r>
          </w:p>
        </w:tc>
      </w:tr>
      <w:tr w:rsidR="007B485D" w:rsidRPr="00727DFA" w14:paraId="41B2EE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820185"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B80F99F" w14:textId="77777777" w:rsidR="007B485D" w:rsidRDefault="007B485D" w:rsidP="002D6DD7">
            <w:pPr>
              <w:jc w:val="both"/>
              <w:rPr>
                <w:rFonts w:eastAsia="DengXian"/>
                <w:szCs w:val="24"/>
              </w:rPr>
            </w:pPr>
            <w:r w:rsidRPr="00727DFA">
              <w:rPr>
                <w:rFonts w:eastAsia="DengXian"/>
                <w:szCs w:val="24"/>
              </w:rPr>
              <w:t>S</w:t>
            </w:r>
            <w:r>
              <w:rPr>
                <w:rFonts w:eastAsia="DengXian"/>
                <w:szCs w:val="24"/>
              </w:rPr>
              <w:t>tore below 30</w:t>
            </w:r>
            <w:r w:rsidRPr="00873AF2">
              <w:rPr>
                <w:rFonts w:eastAsia="DengXian"/>
                <w:szCs w:val="24"/>
                <w:vertAlign w:val="superscript"/>
              </w:rPr>
              <w:t>o</w:t>
            </w:r>
            <w:r>
              <w:rPr>
                <w:rFonts w:eastAsia="DengXian"/>
                <w:szCs w:val="24"/>
              </w:rPr>
              <w:t>C.</w:t>
            </w:r>
          </w:p>
          <w:p w14:paraId="7DF52C57" w14:textId="77777777" w:rsidR="007B485D" w:rsidRPr="00727DFA" w:rsidRDefault="007B485D" w:rsidP="002D6DD7">
            <w:pPr>
              <w:jc w:val="both"/>
              <w:rPr>
                <w:rFonts w:eastAsia="DengXian"/>
                <w:szCs w:val="24"/>
              </w:rPr>
            </w:pPr>
            <w:r>
              <w:rPr>
                <w:rFonts w:eastAsia="DengXian"/>
                <w:szCs w:val="24"/>
              </w:rPr>
              <w:t xml:space="preserve">Note: </w:t>
            </w:r>
            <w:r w:rsidRPr="00873AF2">
              <w:rPr>
                <w:rFonts w:eastAsia="DengXian"/>
                <w:i/>
                <w:iCs/>
                <w:szCs w:val="24"/>
              </w:rPr>
              <w:t>following dilution in 0.9% sodium chloride and 5% glucose solutions chemical and physical in-use stability has been demonstrated for 24 hours at temperature not above 25° C.</w:t>
            </w:r>
            <w:r w:rsidRPr="00C354B0" w:rsidDel="00C354B0">
              <w:rPr>
                <w:rFonts w:eastAsia="DengXian"/>
                <w:szCs w:val="24"/>
              </w:rPr>
              <w:t xml:space="preserve"> </w:t>
            </w:r>
          </w:p>
        </w:tc>
      </w:tr>
      <w:tr w:rsidR="007B485D" w:rsidRPr="00727DFA" w14:paraId="38ADF2F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8802F94" w14:textId="77777777" w:rsidR="007B485D" w:rsidRPr="00727DFA" w:rsidRDefault="007B485D" w:rsidP="002D6DD7">
            <w:pPr>
              <w:jc w:val="both"/>
              <w:rPr>
                <w:rFonts w:eastAsia="DengXian"/>
                <w:szCs w:val="24"/>
              </w:rPr>
            </w:pPr>
            <w:r w:rsidRPr="00727DFA">
              <w:rPr>
                <w:rFonts w:eastAsia="DengXian"/>
                <w:b/>
                <w:bCs/>
                <w:szCs w:val="24"/>
              </w:rPr>
              <w:t>Bedaquiline</w:t>
            </w:r>
          </w:p>
        </w:tc>
      </w:tr>
      <w:tr w:rsidR="007B485D" w:rsidRPr="00727DFA" w14:paraId="576C1D5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4EE26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1500F69" w14:textId="77777777" w:rsidR="007B485D" w:rsidRPr="00727DFA" w:rsidRDefault="007B485D" w:rsidP="002D6DD7">
            <w:pPr>
              <w:jc w:val="both"/>
              <w:rPr>
                <w:rFonts w:eastAsia="DengXian"/>
                <w:szCs w:val="24"/>
              </w:rPr>
            </w:pPr>
            <w:r w:rsidRPr="00727DFA">
              <w:rPr>
                <w:rFonts w:eastAsia="DengXian"/>
                <w:szCs w:val="24"/>
              </w:rPr>
              <w:t xml:space="preserve">Diarylquinoline </w:t>
            </w:r>
          </w:p>
        </w:tc>
      </w:tr>
      <w:tr w:rsidR="007B485D" w:rsidRPr="00727DFA" w14:paraId="2B177F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AF5A0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71E28FF" w14:textId="77777777" w:rsidR="007B485D" w:rsidRPr="00727DFA" w:rsidRDefault="007B485D" w:rsidP="002D6DD7">
            <w:pPr>
              <w:jc w:val="both"/>
              <w:rPr>
                <w:rFonts w:eastAsia="DengXian"/>
                <w:szCs w:val="24"/>
              </w:rPr>
            </w:pPr>
            <w:r w:rsidRPr="00727DFA">
              <w:rPr>
                <w:rFonts w:eastAsia="DengXian"/>
                <w:szCs w:val="24"/>
              </w:rPr>
              <w:t xml:space="preserve">Tablet: 20mg, 100mg </w:t>
            </w:r>
          </w:p>
        </w:tc>
      </w:tr>
      <w:tr w:rsidR="007B485D" w:rsidRPr="00727DFA" w14:paraId="3DA4D2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89DCCD"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6E86CDB" w14:textId="77777777" w:rsidR="007B485D" w:rsidRPr="00727DFA" w:rsidRDefault="007B485D" w:rsidP="002D6DD7">
            <w:pPr>
              <w:jc w:val="both"/>
              <w:rPr>
                <w:rFonts w:eastAsia="DengXian"/>
                <w:szCs w:val="24"/>
              </w:rPr>
            </w:pPr>
            <w:r w:rsidRPr="00727DFA">
              <w:rPr>
                <w:rFonts w:eastAsia="DengXian"/>
                <w:szCs w:val="24"/>
              </w:rPr>
              <w:t>MDR-TB, in combination with other antituberculosis agents</w:t>
            </w:r>
          </w:p>
        </w:tc>
      </w:tr>
      <w:tr w:rsidR="007B485D" w:rsidRPr="00727DFA" w14:paraId="7EC0A7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73A692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6E133EC" w14:textId="77777777" w:rsidR="007B485D" w:rsidRPr="00727DFA" w:rsidRDefault="007B485D" w:rsidP="002D6DD7">
            <w:pPr>
              <w:jc w:val="both"/>
              <w:rPr>
                <w:rFonts w:eastAsia="DengXian"/>
                <w:b/>
                <w:szCs w:val="24"/>
              </w:rPr>
            </w:pPr>
            <w:r w:rsidRPr="00727DFA">
              <w:rPr>
                <w:rFonts w:eastAsia="DengXian"/>
                <w:b/>
                <w:szCs w:val="24"/>
              </w:rPr>
              <w:t>Adult; Oral:</w:t>
            </w:r>
          </w:p>
          <w:p w14:paraId="5891991C" w14:textId="77777777" w:rsidR="007B485D" w:rsidRPr="00727DFA" w:rsidRDefault="007B485D" w:rsidP="002D6DD7">
            <w:pPr>
              <w:jc w:val="both"/>
              <w:rPr>
                <w:rFonts w:eastAsia="DengXian"/>
                <w:szCs w:val="24"/>
              </w:rPr>
            </w:pPr>
            <w:r w:rsidRPr="00727DFA">
              <w:rPr>
                <w:rFonts w:eastAsia="DengXian"/>
                <w:szCs w:val="24"/>
              </w:rPr>
              <w:t>Week 1 and 2: 400 mg once daily</w:t>
            </w:r>
          </w:p>
          <w:p w14:paraId="64AB9FBC" w14:textId="77777777" w:rsidR="007B485D" w:rsidRPr="00727DFA" w:rsidRDefault="007B485D" w:rsidP="002D6DD7">
            <w:pPr>
              <w:jc w:val="both"/>
              <w:rPr>
                <w:rFonts w:eastAsia="DengXian"/>
                <w:szCs w:val="24"/>
              </w:rPr>
            </w:pPr>
            <w:r w:rsidRPr="00727DFA">
              <w:rPr>
                <w:rFonts w:eastAsia="DengXian"/>
                <w:szCs w:val="24"/>
              </w:rPr>
              <w:t>Week 3 – 24:  200 mg 3 times a week (intervals of at least 48 hours between each dose)</w:t>
            </w:r>
          </w:p>
          <w:p w14:paraId="271BE3F6" w14:textId="77777777" w:rsidR="007B485D" w:rsidRPr="00727DFA" w:rsidRDefault="007B485D" w:rsidP="002D6DD7">
            <w:pPr>
              <w:jc w:val="both"/>
              <w:rPr>
                <w:rFonts w:eastAsia="DengXian"/>
                <w:szCs w:val="24"/>
              </w:rPr>
            </w:pPr>
            <w:r>
              <w:rPr>
                <w:rFonts w:eastAsia="DengXian"/>
                <w:b/>
                <w:szCs w:val="24"/>
              </w:rPr>
              <w:t>Child</w:t>
            </w:r>
            <w:r w:rsidRPr="00727DFA">
              <w:rPr>
                <w:rFonts w:eastAsia="DengXian"/>
                <w:szCs w:val="24"/>
              </w:rPr>
              <w:t xml:space="preserve"> </w:t>
            </w:r>
            <w:r w:rsidRPr="00727DFA">
              <w:rPr>
                <w:rFonts w:eastAsia="DengXian"/>
                <w:b/>
                <w:szCs w:val="24"/>
              </w:rPr>
              <w:t>(5 years – 18 years)</w:t>
            </w:r>
          </w:p>
          <w:p w14:paraId="74052716" w14:textId="77777777" w:rsidR="007B485D" w:rsidRPr="00727DFA" w:rsidRDefault="007B485D" w:rsidP="002D6DD7">
            <w:pPr>
              <w:jc w:val="both"/>
              <w:rPr>
                <w:rFonts w:eastAsia="DengXian"/>
                <w:szCs w:val="24"/>
              </w:rPr>
            </w:pPr>
            <w:r w:rsidRPr="00727DFA">
              <w:rPr>
                <w:rFonts w:eastAsia="DengXian"/>
                <w:b/>
                <w:szCs w:val="24"/>
              </w:rPr>
              <w:t>Weight 15-29 kg</w:t>
            </w:r>
            <w:r w:rsidRPr="00727DFA">
              <w:rPr>
                <w:rFonts w:eastAsia="DengXian"/>
                <w:szCs w:val="24"/>
              </w:rPr>
              <w:t>: 200 mg once daily for week 1 and 2; then, 100 mg three times weekly for week 3 – 24</w:t>
            </w:r>
          </w:p>
          <w:p w14:paraId="04B96537" w14:textId="77777777" w:rsidR="007B485D" w:rsidRPr="00727DFA" w:rsidRDefault="007B485D" w:rsidP="002D6DD7">
            <w:pPr>
              <w:jc w:val="both"/>
              <w:rPr>
                <w:rFonts w:eastAsia="DengXian"/>
                <w:szCs w:val="24"/>
              </w:rPr>
            </w:pPr>
            <w:r w:rsidRPr="00727DFA">
              <w:rPr>
                <w:rFonts w:eastAsia="DengXian"/>
                <w:b/>
                <w:szCs w:val="24"/>
              </w:rPr>
              <w:t>Weight ≥ 30</w:t>
            </w:r>
            <w:r w:rsidRPr="00727DFA">
              <w:rPr>
                <w:rFonts w:eastAsia="DengXian"/>
                <w:szCs w:val="24"/>
              </w:rPr>
              <w:t>:  400 mg once daily for week 1 and 2; then, 200 mg three times weekly for week 3 – 24</w:t>
            </w:r>
          </w:p>
          <w:p w14:paraId="576CA9F3" w14:textId="77777777" w:rsidR="007B485D" w:rsidRPr="00727DFA" w:rsidRDefault="007B485D" w:rsidP="002D6DD7">
            <w:pPr>
              <w:jc w:val="both"/>
              <w:rPr>
                <w:rFonts w:eastAsia="DengXian"/>
                <w:szCs w:val="24"/>
              </w:rPr>
            </w:pPr>
            <w:r w:rsidRPr="00727DFA">
              <w:rPr>
                <w:rFonts w:eastAsia="DengXian"/>
                <w:b/>
                <w:bCs/>
                <w:szCs w:val="24"/>
              </w:rPr>
              <w:t>Note:</w:t>
            </w:r>
            <w:r w:rsidRPr="00727DFA">
              <w:rPr>
                <w:rFonts w:eastAsia="DengXian"/>
                <w:szCs w:val="24"/>
              </w:rPr>
              <w:t xml:space="preserve"> </w:t>
            </w:r>
            <w:r w:rsidRPr="00873AF2">
              <w:rPr>
                <w:rFonts w:eastAsia="DengXian"/>
                <w:i/>
                <w:iCs/>
                <w:szCs w:val="24"/>
              </w:rPr>
              <w:t>Not indicated for use in child less than 5 years</w:t>
            </w:r>
            <w:r w:rsidRPr="00727DFA">
              <w:rPr>
                <w:rFonts w:eastAsia="DengXian"/>
                <w:szCs w:val="24"/>
              </w:rPr>
              <w:t xml:space="preserve"> </w:t>
            </w:r>
          </w:p>
        </w:tc>
      </w:tr>
      <w:tr w:rsidR="007B485D" w:rsidRPr="00727DFA" w14:paraId="4D5903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DCD8C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676243D" w14:textId="77777777" w:rsidR="007B485D" w:rsidRPr="00727DFA" w:rsidRDefault="007B485D" w:rsidP="002D6DD7">
            <w:pPr>
              <w:jc w:val="both"/>
              <w:rPr>
                <w:rFonts w:eastAsia="DengXian"/>
                <w:szCs w:val="24"/>
              </w:rPr>
            </w:pPr>
            <w:r w:rsidRPr="00727DFA">
              <w:rPr>
                <w:rFonts w:eastAsia="DengXian"/>
                <w:szCs w:val="24"/>
              </w:rPr>
              <w:t xml:space="preserve">Hypersensitivity to the </w:t>
            </w:r>
            <w:r>
              <w:rPr>
                <w:rFonts w:eastAsia="DengXian"/>
                <w:szCs w:val="24"/>
              </w:rPr>
              <w:t>drug</w:t>
            </w:r>
            <w:r w:rsidRPr="00727DFA">
              <w:rPr>
                <w:rFonts w:eastAsia="DengXian"/>
                <w:szCs w:val="24"/>
              </w:rPr>
              <w:t xml:space="preserve">, QTc </w:t>
            </w:r>
            <w:r>
              <w:rPr>
                <w:rFonts w:eastAsia="DengXian"/>
                <w:szCs w:val="24"/>
              </w:rPr>
              <w:t>prolongation</w:t>
            </w:r>
            <w:r w:rsidRPr="00727DFA">
              <w:rPr>
                <w:rFonts w:eastAsia="DengXian"/>
                <w:szCs w:val="24"/>
              </w:rPr>
              <w:t>, ventricular arrhythmia</w:t>
            </w:r>
            <w:r>
              <w:rPr>
                <w:rFonts w:eastAsia="DengXian"/>
                <w:szCs w:val="24"/>
              </w:rPr>
              <w:t>.</w:t>
            </w:r>
          </w:p>
        </w:tc>
      </w:tr>
      <w:tr w:rsidR="007B485D" w:rsidRPr="00727DFA" w14:paraId="5C3BFF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FAD3DA"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39E5552" w14:textId="77777777" w:rsidR="007B485D" w:rsidRPr="00727DFA" w:rsidRDefault="007B485D" w:rsidP="002D6DD7">
            <w:pPr>
              <w:jc w:val="both"/>
              <w:rPr>
                <w:rFonts w:eastAsia="DengXian"/>
                <w:szCs w:val="24"/>
              </w:rPr>
            </w:pPr>
            <w:r w:rsidRPr="0063309C">
              <w:rPr>
                <w:rFonts w:eastAsia="DengXian"/>
                <w:szCs w:val="24"/>
              </w:rPr>
              <w:t xml:space="preserve"> CYP 3A4 inducers (rifampicin, phenytoin,</w:t>
            </w:r>
            <w:r w:rsidRPr="00873AF2">
              <w:rPr>
                <w:rFonts w:eastAsia="DengXian"/>
                <w:szCs w:val="24"/>
              </w:rPr>
              <w:t xml:space="preserve"> carbamazepine</w:t>
            </w:r>
            <w:r w:rsidRPr="00727DFA">
              <w:rPr>
                <w:rFonts w:eastAsia="DengXian"/>
                <w:szCs w:val="24"/>
              </w:rPr>
              <w:t>) and inhibitors (azole antifungals, protease inhibitors)</w:t>
            </w:r>
            <w:r>
              <w:rPr>
                <w:rFonts w:eastAsia="DengXian"/>
                <w:szCs w:val="24"/>
              </w:rPr>
              <w:t xml:space="preserve">, </w:t>
            </w:r>
            <w:r w:rsidRPr="00727DFA">
              <w:rPr>
                <w:rFonts w:eastAsia="DengXian"/>
                <w:szCs w:val="24"/>
              </w:rPr>
              <w:t>clofazimine, fluoroquinolones, delamanid</w:t>
            </w:r>
            <w:r>
              <w:rPr>
                <w:rFonts w:eastAsia="DengXian"/>
                <w:szCs w:val="24"/>
              </w:rPr>
              <w:t xml:space="preserve">, </w:t>
            </w:r>
            <w:r w:rsidRPr="00873AF2">
              <w:rPr>
                <w:rFonts w:eastAsia="DengXian"/>
                <w:szCs w:val="24"/>
              </w:rPr>
              <w:t xml:space="preserve">artemether, atazanavir, </w:t>
            </w:r>
            <w:r w:rsidRPr="006940F8">
              <w:rPr>
                <w:rFonts w:eastAsia="DengXian"/>
                <w:szCs w:val="24"/>
              </w:rPr>
              <w:t>chloramphenicol</w:t>
            </w:r>
            <w:r w:rsidRPr="00873AF2">
              <w:rPr>
                <w:rFonts w:eastAsia="DengXian"/>
                <w:szCs w:val="24"/>
              </w:rPr>
              <w:t>,</w:t>
            </w:r>
            <w:r>
              <w:rPr>
                <w:rFonts w:eastAsia="DengXian"/>
                <w:szCs w:val="24"/>
              </w:rPr>
              <w:t xml:space="preserve"> </w:t>
            </w:r>
            <w:r w:rsidRPr="00873AF2">
              <w:rPr>
                <w:rFonts w:eastAsia="DengXian"/>
                <w:szCs w:val="24"/>
              </w:rPr>
              <w:t>clarithromycin, dexamethasone, efavirenz, hydroxychloroquine</w:t>
            </w:r>
            <w:r>
              <w:rPr>
                <w:rFonts w:eastAsia="DengXian"/>
                <w:szCs w:val="24"/>
              </w:rPr>
              <w:t>.</w:t>
            </w:r>
          </w:p>
        </w:tc>
      </w:tr>
      <w:tr w:rsidR="007B485D" w:rsidRPr="00727DFA" w14:paraId="10960DC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D26E71"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17E39349" w14:textId="77777777" w:rsidR="007B485D" w:rsidRPr="00727DFA" w:rsidRDefault="007B485D" w:rsidP="002D6DD7">
            <w:pPr>
              <w:jc w:val="both"/>
              <w:rPr>
                <w:rFonts w:eastAsia="DengXian"/>
                <w:szCs w:val="24"/>
              </w:rPr>
            </w:pPr>
            <w:r w:rsidRPr="00727DFA">
              <w:rPr>
                <w:rFonts w:eastAsia="DengXian"/>
                <w:szCs w:val="24"/>
              </w:rPr>
              <w:t xml:space="preserve">Arthralgia, diarrhea, dizziness, headache, abnormal hepatic function, myalgia, nausea, QT interval prolongation, vomiting, hemoptysis, rash. </w:t>
            </w:r>
          </w:p>
        </w:tc>
      </w:tr>
      <w:tr w:rsidR="007B485D" w:rsidRPr="00727DFA" w14:paraId="5FE7421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9B058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12FC00B" w14:textId="77777777" w:rsidR="007B485D" w:rsidRPr="00727DFA" w:rsidRDefault="007B485D" w:rsidP="002D6DD7">
            <w:pPr>
              <w:jc w:val="both"/>
              <w:rPr>
                <w:rFonts w:eastAsia="DengXian"/>
                <w:szCs w:val="24"/>
              </w:rPr>
            </w:pPr>
            <w:r w:rsidRPr="00727DFA">
              <w:rPr>
                <w:rFonts w:eastAsia="DengXian"/>
                <w:szCs w:val="24"/>
              </w:rPr>
              <w:t>Hypothyroidism, risk factors for QT interval prolongation, hepatic impairment, renal impairment, pregnancy</w:t>
            </w:r>
            <w:r>
              <w:rPr>
                <w:rFonts w:eastAsia="DengXian"/>
                <w:szCs w:val="24"/>
              </w:rPr>
              <w:t>,</w:t>
            </w:r>
            <w:r w:rsidRPr="00727DFA">
              <w:rPr>
                <w:rFonts w:eastAsia="DengXian"/>
                <w:szCs w:val="24"/>
              </w:rPr>
              <w:t xml:space="preserve"> breastfeeding.</w:t>
            </w:r>
          </w:p>
        </w:tc>
      </w:tr>
      <w:tr w:rsidR="007B485D" w:rsidRPr="00727DFA" w14:paraId="67E410D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5DF028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771129F"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2EC30D51"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367C37B" w14:textId="77777777" w:rsidR="007B485D" w:rsidRPr="00727DFA" w:rsidRDefault="007B485D" w:rsidP="002D6DD7">
            <w:pPr>
              <w:jc w:val="both"/>
              <w:rPr>
                <w:rFonts w:eastAsia="DengXian"/>
                <w:szCs w:val="24"/>
              </w:rPr>
            </w:pPr>
            <w:r w:rsidRPr="00727DFA">
              <w:rPr>
                <w:rFonts w:eastAsia="DengXian"/>
                <w:b/>
                <w:bCs/>
                <w:szCs w:val="24"/>
              </w:rPr>
              <w:t>Clofazimine</w:t>
            </w:r>
          </w:p>
        </w:tc>
      </w:tr>
      <w:tr w:rsidR="007B485D" w:rsidRPr="00727DFA" w14:paraId="529F67F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E2A8C8"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171B7A8" w14:textId="77777777" w:rsidR="007B485D" w:rsidRPr="00727DFA" w:rsidRDefault="007B485D" w:rsidP="002D6DD7">
            <w:pPr>
              <w:jc w:val="both"/>
              <w:rPr>
                <w:rFonts w:eastAsia="DengXian"/>
                <w:szCs w:val="24"/>
              </w:rPr>
            </w:pPr>
            <w:r w:rsidRPr="00727DFA">
              <w:rPr>
                <w:rFonts w:eastAsia="DengXian"/>
                <w:szCs w:val="24"/>
              </w:rPr>
              <w:t>Phenazine dye, antimycobacterial</w:t>
            </w:r>
          </w:p>
        </w:tc>
      </w:tr>
      <w:tr w:rsidR="007B485D" w:rsidRPr="00727DFA" w14:paraId="1A6996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63866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D2909CC" w14:textId="77777777" w:rsidR="007B485D" w:rsidRPr="00727DFA" w:rsidRDefault="007B485D" w:rsidP="002D6DD7">
            <w:pPr>
              <w:jc w:val="both"/>
              <w:rPr>
                <w:rFonts w:eastAsia="DengXian"/>
                <w:szCs w:val="24"/>
              </w:rPr>
            </w:pPr>
            <w:r w:rsidRPr="0063309C">
              <w:rPr>
                <w:rFonts w:eastAsia="DengXian"/>
                <w:szCs w:val="24"/>
              </w:rPr>
              <w:t>Capsule</w:t>
            </w:r>
            <w:r w:rsidRPr="00727DFA">
              <w:rPr>
                <w:rFonts w:eastAsia="DengXian"/>
                <w:szCs w:val="24"/>
              </w:rPr>
              <w:t xml:space="preserve">: 50mg,100mg </w:t>
            </w:r>
          </w:p>
        </w:tc>
      </w:tr>
      <w:tr w:rsidR="007B485D" w:rsidRPr="00727DFA" w14:paraId="29BB319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CAF915"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8C286D4" w14:textId="77777777" w:rsidR="007B485D" w:rsidRPr="00727DFA" w:rsidRDefault="007B485D" w:rsidP="002D6DD7">
            <w:pPr>
              <w:jc w:val="both"/>
              <w:rPr>
                <w:rFonts w:eastAsia="DengXian"/>
                <w:szCs w:val="24"/>
              </w:rPr>
            </w:pPr>
            <w:r w:rsidRPr="00727DFA">
              <w:rPr>
                <w:rFonts w:eastAsia="DengXian"/>
                <w:szCs w:val="24"/>
              </w:rPr>
              <w:t>MDR-TB and XDR-TB treatment</w:t>
            </w:r>
          </w:p>
        </w:tc>
      </w:tr>
      <w:tr w:rsidR="007B485D" w:rsidRPr="00727DFA" w14:paraId="72A5CD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69EE4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3E8039F" w14:textId="77777777" w:rsidR="007B485D" w:rsidRDefault="007B485D" w:rsidP="002D6DD7">
            <w:pPr>
              <w:jc w:val="both"/>
              <w:rPr>
                <w:rFonts w:eastAsia="DengXian"/>
                <w:b/>
                <w:bCs/>
                <w:szCs w:val="24"/>
              </w:rPr>
            </w:pPr>
            <w:r>
              <w:rPr>
                <w:rFonts w:eastAsia="DengXian"/>
                <w:b/>
                <w:bCs/>
                <w:szCs w:val="24"/>
              </w:rPr>
              <w:t>Oral;</w:t>
            </w:r>
          </w:p>
          <w:p w14:paraId="66DFCA12" w14:textId="77777777" w:rsidR="007B485D" w:rsidRPr="00727DFA" w:rsidRDefault="007B485D" w:rsidP="002D6DD7">
            <w:pPr>
              <w:jc w:val="both"/>
              <w:rPr>
                <w:rFonts w:eastAsia="DengXian"/>
                <w:szCs w:val="24"/>
              </w:rPr>
            </w:pPr>
            <w:r w:rsidRPr="00727DFA">
              <w:rPr>
                <w:rFonts w:eastAsia="DengXian"/>
                <w:b/>
                <w:bCs/>
                <w:szCs w:val="24"/>
              </w:rPr>
              <w:t>Adults:</w:t>
            </w:r>
            <w:r w:rsidRPr="00727DFA">
              <w:rPr>
                <w:rFonts w:eastAsia="DengXian"/>
                <w:szCs w:val="24"/>
              </w:rPr>
              <w:t xml:space="preserve"> 100mg daily  </w:t>
            </w:r>
          </w:p>
          <w:p w14:paraId="3257F02D" w14:textId="77777777" w:rsidR="007B485D" w:rsidRPr="00727DFA" w:rsidRDefault="007B485D" w:rsidP="002D6DD7">
            <w:pPr>
              <w:jc w:val="both"/>
              <w:rPr>
                <w:rFonts w:eastAsia="DengXian"/>
                <w:szCs w:val="24"/>
              </w:rPr>
            </w:pPr>
            <w:r w:rsidRPr="00727DFA">
              <w:rPr>
                <w:rFonts w:eastAsia="DengXian"/>
                <w:b/>
                <w:bCs/>
                <w:szCs w:val="24"/>
              </w:rPr>
              <w:t>Children:</w:t>
            </w:r>
            <w:r w:rsidRPr="00727DFA">
              <w:rPr>
                <w:rFonts w:eastAsia="DengXian"/>
                <w:szCs w:val="24"/>
              </w:rPr>
              <w:t xml:space="preserve"> 2-5 mg/kg once daily</w:t>
            </w:r>
          </w:p>
        </w:tc>
      </w:tr>
      <w:tr w:rsidR="007B485D" w:rsidRPr="00727DFA" w14:paraId="4EBE039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D5416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93B306F"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p>
        </w:tc>
      </w:tr>
      <w:tr w:rsidR="007B485D" w:rsidRPr="00727DFA" w14:paraId="674FB7E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9D907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9BB73A1" w14:textId="77777777" w:rsidR="007B485D" w:rsidRPr="00727DFA" w:rsidRDefault="007B485D" w:rsidP="002D6DD7">
            <w:pPr>
              <w:jc w:val="both"/>
              <w:rPr>
                <w:rFonts w:eastAsia="DengXian"/>
                <w:szCs w:val="24"/>
              </w:rPr>
            </w:pPr>
            <w:r w:rsidRPr="00727DFA">
              <w:rPr>
                <w:rFonts w:eastAsia="DengXian"/>
                <w:szCs w:val="24"/>
              </w:rPr>
              <w:t xml:space="preserve">Rifampicin, </w:t>
            </w:r>
            <w:r>
              <w:rPr>
                <w:rFonts w:eastAsia="DengXian"/>
                <w:szCs w:val="24"/>
              </w:rPr>
              <w:t>c</w:t>
            </w:r>
            <w:r w:rsidRPr="00873AF2">
              <w:rPr>
                <w:rFonts w:eastAsia="DengXian"/>
                <w:szCs w:val="24"/>
              </w:rPr>
              <w:t>larithromycin,</w:t>
            </w:r>
            <w:r>
              <w:rPr>
                <w:rFonts w:eastAsia="DengXian"/>
                <w:szCs w:val="24"/>
              </w:rPr>
              <w:t xml:space="preserve"> azithromycin, fexinidazole,</w:t>
            </w:r>
            <w:r w:rsidRPr="00873AF2">
              <w:rPr>
                <w:rFonts w:eastAsia="DengXian"/>
                <w:szCs w:val="24"/>
              </w:rPr>
              <w:t xml:space="preserve"> hydroxychloroquine,</w:t>
            </w:r>
            <w:r>
              <w:rPr>
                <w:rFonts w:eastAsia="DengXian"/>
                <w:szCs w:val="24"/>
              </w:rPr>
              <w:t xml:space="preserve"> </w:t>
            </w:r>
            <w:r w:rsidRPr="00727DFA">
              <w:rPr>
                <w:rFonts w:eastAsia="DengXian"/>
                <w:szCs w:val="24"/>
              </w:rPr>
              <w:t>isoniazid, fluoroquinolones, delamanid</w:t>
            </w:r>
            <w:r>
              <w:rPr>
                <w:rFonts w:eastAsia="DengXian"/>
                <w:szCs w:val="24"/>
              </w:rPr>
              <w:t>,</w:t>
            </w:r>
            <w:r w:rsidRPr="00727DFA">
              <w:rPr>
                <w:rFonts w:eastAsia="DengXian"/>
                <w:szCs w:val="24"/>
              </w:rPr>
              <w:t xml:space="preserve"> bed</w:t>
            </w:r>
            <w:r>
              <w:rPr>
                <w:rFonts w:eastAsia="DengXian"/>
                <w:szCs w:val="24"/>
              </w:rPr>
              <w:t>a</w:t>
            </w:r>
            <w:r w:rsidRPr="00727DFA">
              <w:rPr>
                <w:rFonts w:eastAsia="DengXian"/>
                <w:szCs w:val="24"/>
              </w:rPr>
              <w:t>quiline.</w:t>
            </w:r>
          </w:p>
        </w:tc>
      </w:tr>
      <w:tr w:rsidR="007B485D" w:rsidRPr="00727DFA" w14:paraId="527228C4" w14:textId="77777777" w:rsidTr="002D6DD7">
        <w:trPr>
          <w:trHeight w:hRule="exact" w:val="3277"/>
        </w:trPr>
        <w:tc>
          <w:tcPr>
            <w:tcW w:w="2605" w:type="dxa"/>
            <w:tcBorders>
              <w:top w:val="single" w:sz="4" w:space="0" w:color="auto"/>
              <w:left w:val="single" w:sz="4" w:space="0" w:color="auto"/>
              <w:bottom w:val="single" w:sz="4" w:space="0" w:color="auto"/>
              <w:right w:val="single" w:sz="4" w:space="0" w:color="auto"/>
            </w:tcBorders>
            <w:hideMark/>
          </w:tcPr>
          <w:p w14:paraId="784E557B"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0323D9A" w14:textId="77777777" w:rsidR="007B485D" w:rsidRPr="00727DFA" w:rsidRDefault="007B485D" w:rsidP="002D6DD7">
            <w:pPr>
              <w:jc w:val="both"/>
              <w:rPr>
                <w:rFonts w:eastAsia="DengXian"/>
                <w:szCs w:val="24"/>
              </w:rPr>
            </w:pPr>
            <w:r w:rsidRPr="00727DFA">
              <w:rPr>
                <w:rFonts w:eastAsia="DengXian"/>
                <w:szCs w:val="24"/>
              </w:rPr>
              <w:t xml:space="preserve">Pink to brownish-black skin discoloration, </w:t>
            </w:r>
            <w:r>
              <w:rPr>
                <w:rFonts w:eastAsia="DengXian"/>
                <w:szCs w:val="24"/>
              </w:rPr>
              <w:t>i</w:t>
            </w:r>
            <w:r w:rsidRPr="00727DFA">
              <w:rPr>
                <w:rFonts w:eastAsia="DengXian"/>
                <w:szCs w:val="24"/>
              </w:rPr>
              <w:t>chthyosis, dry skin, melanosis, pruritis, rash, photosensitivity reactions, abdominal pain, nausea, vomiting, diarrhea, weight loss, bowel obstruction, GI haemorrhage</w:t>
            </w:r>
            <w:r>
              <w:rPr>
                <w:rFonts w:eastAsia="DengXian"/>
                <w:szCs w:val="24"/>
              </w:rPr>
              <w:t>,</w:t>
            </w:r>
            <w:r w:rsidRPr="00727DFA">
              <w:rPr>
                <w:rFonts w:eastAsia="DengXian"/>
                <w:szCs w:val="24"/>
              </w:rPr>
              <w:t xml:space="preserve"> conjunctival pigmentation, subjective dimness of vision, dry eyes, burning, and other ocular irritation, </w:t>
            </w:r>
            <w:r>
              <w:rPr>
                <w:rFonts w:eastAsia="DengXian"/>
                <w:szCs w:val="24"/>
              </w:rPr>
              <w:t xml:space="preserve">risk of </w:t>
            </w:r>
            <w:r w:rsidRPr="00727DFA">
              <w:rPr>
                <w:rFonts w:eastAsia="DengXian"/>
                <w:szCs w:val="24"/>
              </w:rPr>
              <w:t>reactive depression due to skin discoloration, discoloration of body fluids, QT prolongation</w:t>
            </w:r>
            <w:r>
              <w:rPr>
                <w:rFonts w:eastAsia="DengXian"/>
                <w:szCs w:val="24"/>
              </w:rPr>
              <w:t xml:space="preserve">, </w:t>
            </w:r>
            <w:r w:rsidRPr="00727DFA">
              <w:rPr>
                <w:rFonts w:eastAsia="DengXian"/>
                <w:szCs w:val="24"/>
              </w:rPr>
              <w:t>ventricular tachyarrhythmias</w:t>
            </w:r>
            <w:r w:rsidRPr="0063309C">
              <w:rPr>
                <w:rFonts w:eastAsia="DengXian"/>
                <w:szCs w:val="24"/>
              </w:rPr>
              <w:t>,</w:t>
            </w:r>
            <w:r w:rsidRPr="00873AF2">
              <w:rPr>
                <w:rFonts w:eastAsia="DengXian"/>
                <w:szCs w:val="24"/>
              </w:rPr>
              <w:t xml:space="preserve"> increased blood glucose level.</w:t>
            </w:r>
          </w:p>
        </w:tc>
      </w:tr>
      <w:tr w:rsidR="007B485D" w:rsidRPr="00727DFA" w14:paraId="265A0C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92CFBB"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B37FB53" w14:textId="77777777" w:rsidR="007B485D" w:rsidRPr="00727DFA" w:rsidRDefault="007B485D" w:rsidP="002D6DD7">
            <w:pPr>
              <w:jc w:val="both"/>
              <w:rPr>
                <w:rFonts w:eastAsia="DengXian"/>
                <w:szCs w:val="24"/>
              </w:rPr>
            </w:pPr>
            <w:r w:rsidRPr="00727DFA">
              <w:rPr>
                <w:rFonts w:eastAsia="DengXian"/>
                <w:szCs w:val="24"/>
              </w:rPr>
              <w:t xml:space="preserve">Pregnancy, breastfeeding, renal impairment, </w:t>
            </w:r>
            <w:r>
              <w:rPr>
                <w:rFonts w:eastAsia="DengXian"/>
                <w:szCs w:val="24"/>
              </w:rPr>
              <w:t>hepatic</w:t>
            </w:r>
            <w:r w:rsidRPr="00727DFA">
              <w:rPr>
                <w:rFonts w:eastAsia="DengXian"/>
                <w:szCs w:val="24"/>
              </w:rPr>
              <w:t xml:space="preserve"> impairment.</w:t>
            </w:r>
          </w:p>
          <w:p w14:paraId="4DB15015" w14:textId="77777777" w:rsidR="007B485D" w:rsidRPr="00727DFA" w:rsidRDefault="007B485D" w:rsidP="002D6DD7">
            <w:pPr>
              <w:jc w:val="both"/>
              <w:rPr>
                <w:rFonts w:eastAsia="DengXian"/>
                <w:szCs w:val="24"/>
              </w:rPr>
            </w:pPr>
            <w:r w:rsidRPr="00873AF2">
              <w:rPr>
                <w:rFonts w:eastAsia="DengXian"/>
                <w:b/>
                <w:bCs/>
                <w:szCs w:val="24"/>
              </w:rPr>
              <w:t>Note:</w:t>
            </w:r>
            <w:r>
              <w:rPr>
                <w:rFonts w:eastAsia="DengXian"/>
                <w:szCs w:val="24"/>
              </w:rPr>
              <w:t xml:space="preserve"> </w:t>
            </w:r>
            <w:r w:rsidRPr="00873AF2">
              <w:rPr>
                <w:rFonts w:eastAsia="DengXian"/>
                <w:i/>
                <w:iCs/>
                <w:szCs w:val="24"/>
              </w:rPr>
              <w:t>Avoid if there is persistent abdominal pain and diarrhea.</w:t>
            </w:r>
            <w:r w:rsidRPr="00727DFA">
              <w:rPr>
                <w:rFonts w:eastAsia="DengXian"/>
                <w:szCs w:val="24"/>
              </w:rPr>
              <w:t xml:space="preserve"> </w:t>
            </w:r>
          </w:p>
        </w:tc>
      </w:tr>
      <w:tr w:rsidR="007B485D" w:rsidRPr="00727DFA" w14:paraId="44B9D2C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8D761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8F90822" w14:textId="77777777" w:rsidR="007B485D" w:rsidRPr="00727DFA" w:rsidRDefault="007B485D" w:rsidP="002D6DD7">
            <w:pPr>
              <w:jc w:val="both"/>
              <w:rPr>
                <w:rFonts w:eastAsia="DengXian"/>
                <w:szCs w:val="24"/>
              </w:rPr>
            </w:pPr>
            <w:r w:rsidRPr="00727DFA">
              <w:rPr>
                <w:rFonts w:eastAsia="DengXian"/>
                <w:szCs w:val="24"/>
              </w:rPr>
              <w:t>Store below 30 ºC</w:t>
            </w:r>
            <w:r>
              <w:rPr>
                <w:rFonts w:eastAsia="DengXian"/>
                <w:szCs w:val="24"/>
              </w:rPr>
              <w:t>.</w:t>
            </w:r>
          </w:p>
        </w:tc>
      </w:tr>
      <w:tr w:rsidR="007B485D" w:rsidRPr="00727DFA" w14:paraId="1C2B172C"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7D7C847" w14:textId="77777777" w:rsidR="007B485D" w:rsidRPr="00727DFA" w:rsidRDefault="007B485D" w:rsidP="002D6DD7">
            <w:pPr>
              <w:jc w:val="both"/>
              <w:rPr>
                <w:rFonts w:eastAsia="DengXian"/>
                <w:szCs w:val="24"/>
              </w:rPr>
            </w:pPr>
            <w:r w:rsidRPr="00727DFA">
              <w:rPr>
                <w:rFonts w:eastAsia="DengXian"/>
                <w:b/>
                <w:bCs/>
                <w:szCs w:val="24"/>
              </w:rPr>
              <w:t>Cycloserine</w:t>
            </w:r>
          </w:p>
        </w:tc>
      </w:tr>
      <w:tr w:rsidR="007B485D" w:rsidRPr="00727DFA" w14:paraId="386910A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24C27C"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945DE2B" w14:textId="77777777" w:rsidR="007B485D" w:rsidRPr="00727DFA" w:rsidRDefault="007B485D" w:rsidP="002D6DD7">
            <w:pPr>
              <w:jc w:val="both"/>
              <w:rPr>
                <w:rFonts w:eastAsia="DengXian"/>
                <w:szCs w:val="24"/>
              </w:rPr>
            </w:pPr>
            <w:r w:rsidRPr="00727DFA">
              <w:rPr>
                <w:rFonts w:eastAsia="DengXian"/>
                <w:szCs w:val="24"/>
              </w:rPr>
              <w:t xml:space="preserve">Isoxazolines, antitubercular </w:t>
            </w:r>
          </w:p>
        </w:tc>
      </w:tr>
      <w:tr w:rsidR="007B485D" w:rsidRPr="00727DFA" w14:paraId="5522774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AFD7B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1F4530A" w14:textId="77777777" w:rsidR="007B485D" w:rsidRPr="00727DFA" w:rsidRDefault="007B485D" w:rsidP="002D6DD7">
            <w:pPr>
              <w:jc w:val="both"/>
              <w:rPr>
                <w:rFonts w:eastAsia="DengXian"/>
                <w:szCs w:val="24"/>
              </w:rPr>
            </w:pPr>
            <w:r w:rsidRPr="00727DFA">
              <w:rPr>
                <w:rFonts w:eastAsia="DengXian"/>
                <w:szCs w:val="24"/>
              </w:rPr>
              <w:t>Oral solid dosage form: 125mg, 250mg</w:t>
            </w:r>
          </w:p>
        </w:tc>
      </w:tr>
      <w:tr w:rsidR="007B485D" w:rsidRPr="00727DFA" w14:paraId="6E48BD0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45E38A" w14:textId="77777777" w:rsidR="007B485D" w:rsidRPr="00727DFA" w:rsidRDefault="007B485D" w:rsidP="002D6DD7">
            <w:pPr>
              <w:jc w:val="both"/>
              <w:rPr>
                <w:rFonts w:eastAsia="DengXian"/>
                <w:b/>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6236E053" w14:textId="77777777" w:rsidR="007B485D" w:rsidRPr="00727DFA" w:rsidRDefault="007B485D" w:rsidP="002D6DD7">
            <w:pPr>
              <w:jc w:val="both"/>
              <w:rPr>
                <w:rFonts w:eastAsia="DengXian"/>
                <w:szCs w:val="24"/>
              </w:rPr>
            </w:pPr>
            <w:r w:rsidRPr="00727DFA">
              <w:rPr>
                <w:rFonts w:eastAsia="DengXian"/>
                <w:szCs w:val="24"/>
              </w:rPr>
              <w:t>Treatment of tuberculosis resistant to first- line agents, in combination with other second- line drugs.</w:t>
            </w:r>
          </w:p>
        </w:tc>
      </w:tr>
      <w:tr w:rsidR="007B485D" w:rsidRPr="00727DFA" w14:paraId="1FD8A94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7886618"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6C19B88" w14:textId="77777777" w:rsidR="007B485D" w:rsidRPr="00727DFA" w:rsidRDefault="007B485D" w:rsidP="002D6DD7">
            <w:pPr>
              <w:jc w:val="both"/>
              <w:rPr>
                <w:rFonts w:eastAsia="DengXian"/>
                <w:b/>
                <w:bCs/>
                <w:szCs w:val="24"/>
              </w:rPr>
            </w:pPr>
            <w:r w:rsidRPr="00727DFA">
              <w:rPr>
                <w:rFonts w:eastAsia="DengXian"/>
                <w:b/>
                <w:bCs/>
                <w:szCs w:val="24"/>
              </w:rPr>
              <w:t>Oral:</w:t>
            </w:r>
          </w:p>
          <w:p w14:paraId="0C789124" w14:textId="77777777" w:rsidR="007B485D" w:rsidRPr="00727DFA" w:rsidRDefault="007B485D" w:rsidP="002D6DD7">
            <w:pPr>
              <w:jc w:val="both"/>
              <w:rPr>
                <w:rFonts w:eastAsia="DengXian"/>
                <w:szCs w:val="24"/>
              </w:rPr>
            </w:pPr>
            <w:r w:rsidRPr="00727DFA">
              <w:rPr>
                <w:rFonts w:eastAsia="DengXian"/>
                <w:b/>
                <w:bCs/>
                <w:szCs w:val="24"/>
              </w:rPr>
              <w:t>Adult and children &gt; 14 years</w:t>
            </w:r>
            <w:r w:rsidRPr="00727DFA">
              <w:rPr>
                <w:rFonts w:eastAsia="DengXian"/>
                <w:szCs w:val="24"/>
              </w:rPr>
              <w:t xml:space="preserve">: 250 mg every 12 hours for 14 days, then administer 500 mg to 1g/day in 2 divided doses for 18 - 24 months (maximum daily dose: 1 g). </w:t>
            </w:r>
          </w:p>
          <w:p w14:paraId="0864D8AA"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10 - 20 mg/kg/day in 2 divided doses up to 1000 mg/day for 18 - 24 months</w:t>
            </w:r>
          </w:p>
        </w:tc>
      </w:tr>
      <w:tr w:rsidR="007B485D" w:rsidRPr="00727DFA" w14:paraId="690C40B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E2F97C"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F89EB13"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severe renal insufficiency</w:t>
            </w:r>
            <w:r>
              <w:rPr>
                <w:rFonts w:eastAsia="DengXian"/>
                <w:szCs w:val="24"/>
              </w:rPr>
              <w:t>.</w:t>
            </w:r>
          </w:p>
        </w:tc>
      </w:tr>
      <w:tr w:rsidR="007B485D" w:rsidRPr="00727DFA" w14:paraId="4955473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1BC6C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2A4DA3E" w14:textId="77777777" w:rsidR="007B485D" w:rsidRPr="00727DFA" w:rsidRDefault="007B485D" w:rsidP="002D6DD7">
            <w:pPr>
              <w:jc w:val="both"/>
              <w:rPr>
                <w:rFonts w:eastAsia="DengXian"/>
                <w:szCs w:val="24"/>
              </w:rPr>
            </w:pPr>
            <w:r w:rsidRPr="00727DFA">
              <w:rPr>
                <w:rFonts w:eastAsia="DengXian"/>
                <w:szCs w:val="24"/>
              </w:rPr>
              <w:t>Alcohol, isoniazid, ethionamide</w:t>
            </w:r>
            <w:r>
              <w:rPr>
                <w:rFonts w:eastAsia="DengXian"/>
                <w:szCs w:val="24"/>
              </w:rPr>
              <w:t>,</w:t>
            </w:r>
            <w:r w:rsidRPr="00727DFA">
              <w:rPr>
                <w:rFonts w:eastAsia="DengXian"/>
                <w:szCs w:val="24"/>
              </w:rPr>
              <w:t xml:space="preserve"> phenytoin.</w:t>
            </w:r>
          </w:p>
        </w:tc>
      </w:tr>
      <w:tr w:rsidR="007B485D" w:rsidRPr="00727DFA" w14:paraId="60C04A7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9A599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76B76FB" w14:textId="77777777" w:rsidR="007B485D" w:rsidRPr="00727DFA" w:rsidRDefault="007B485D" w:rsidP="002D6DD7">
            <w:pPr>
              <w:jc w:val="both"/>
              <w:rPr>
                <w:rFonts w:eastAsia="DengXian"/>
                <w:szCs w:val="24"/>
              </w:rPr>
            </w:pPr>
            <w:r w:rsidRPr="00727DFA">
              <w:rPr>
                <w:rFonts w:eastAsia="DengXian"/>
                <w:szCs w:val="24"/>
              </w:rPr>
              <w:t>Cardiac arrhythmia, drowsiness, headache, dizziness, vertigo, seizure, confusion, psychosis, hyperirritability, paresthesia, dysarthria paresis, coma, rash, vitamin B</w:t>
            </w:r>
            <w:r w:rsidRPr="00727DFA">
              <w:rPr>
                <w:rFonts w:eastAsia="DengXian"/>
                <w:szCs w:val="24"/>
                <w:vertAlign w:val="subscript"/>
              </w:rPr>
              <w:t>12</w:t>
            </w:r>
            <w:r w:rsidRPr="00727DFA">
              <w:rPr>
                <w:rFonts w:eastAsia="DengXian"/>
                <w:szCs w:val="24"/>
              </w:rPr>
              <w:t xml:space="preserve"> deficiency, folate deficiency, liver enzymes increased, tremor</w:t>
            </w:r>
            <w:r>
              <w:rPr>
                <w:rFonts w:eastAsia="DengXian"/>
                <w:szCs w:val="24"/>
              </w:rPr>
              <w:t>.</w:t>
            </w:r>
          </w:p>
        </w:tc>
      </w:tr>
      <w:tr w:rsidR="007B485D" w:rsidRPr="00727DFA" w14:paraId="0745682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F54B1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C4E6A01" w14:textId="77777777" w:rsidR="007B485D" w:rsidRPr="00727DFA" w:rsidRDefault="007B485D" w:rsidP="002D6DD7">
            <w:pPr>
              <w:jc w:val="both"/>
              <w:rPr>
                <w:rFonts w:eastAsia="DengXian"/>
                <w:szCs w:val="24"/>
              </w:rPr>
            </w:pPr>
            <w:r w:rsidRPr="00727DFA">
              <w:rPr>
                <w:rFonts w:eastAsia="DengXian"/>
                <w:szCs w:val="24"/>
              </w:rPr>
              <w:t>Pregnancy, breastfeeding, epilepsy, depression, severe anxiety, psychosis, renal insufficiency, chronic alcoholism</w:t>
            </w:r>
            <w:r>
              <w:rPr>
                <w:rFonts w:eastAsia="DengXian"/>
                <w:szCs w:val="24"/>
              </w:rPr>
              <w:t>.</w:t>
            </w:r>
            <w:r w:rsidRPr="00727DFA">
              <w:rPr>
                <w:rFonts w:eastAsia="DengXian"/>
                <w:szCs w:val="24"/>
              </w:rPr>
              <w:t xml:space="preserve"> </w:t>
            </w:r>
          </w:p>
        </w:tc>
      </w:tr>
      <w:tr w:rsidR="007B485D" w:rsidRPr="00727DFA" w14:paraId="0D6060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B8839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D9C39C1" w14:textId="77777777" w:rsidR="007B485D" w:rsidRPr="00727DFA" w:rsidRDefault="007B485D" w:rsidP="002D6DD7">
            <w:pPr>
              <w:jc w:val="both"/>
              <w:rPr>
                <w:rFonts w:eastAsia="DengXian"/>
                <w:szCs w:val="24"/>
              </w:rPr>
            </w:pPr>
            <w:r w:rsidRPr="00727DFA">
              <w:rPr>
                <w:rFonts w:eastAsia="DengXian"/>
                <w:szCs w:val="24"/>
              </w:rPr>
              <w:t>Store below 30 ºC</w:t>
            </w:r>
            <w:r>
              <w:rPr>
                <w:rFonts w:eastAsia="DengXian"/>
                <w:szCs w:val="24"/>
              </w:rPr>
              <w:t>.</w:t>
            </w:r>
          </w:p>
        </w:tc>
      </w:tr>
      <w:tr w:rsidR="007B485D" w:rsidRPr="00727DFA" w14:paraId="6CA8BBB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551C2BE" w14:textId="77777777" w:rsidR="007B485D" w:rsidRPr="00727DFA" w:rsidRDefault="007B485D" w:rsidP="002D6DD7">
            <w:pPr>
              <w:jc w:val="both"/>
              <w:rPr>
                <w:rFonts w:eastAsia="DengXian"/>
                <w:b/>
                <w:bCs/>
                <w:szCs w:val="24"/>
              </w:rPr>
            </w:pPr>
            <w:r w:rsidRPr="00727DFA">
              <w:rPr>
                <w:rFonts w:eastAsia="DengXian"/>
                <w:b/>
                <w:bCs/>
                <w:szCs w:val="24"/>
              </w:rPr>
              <w:t>Delamanid</w:t>
            </w:r>
          </w:p>
        </w:tc>
      </w:tr>
      <w:tr w:rsidR="007B485D" w:rsidRPr="00727DFA" w14:paraId="186C055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35C993"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A82D682" w14:textId="77777777" w:rsidR="007B485D" w:rsidRPr="00727DFA" w:rsidRDefault="007B485D" w:rsidP="002D6DD7">
            <w:pPr>
              <w:jc w:val="both"/>
              <w:rPr>
                <w:rFonts w:eastAsia="DengXian"/>
                <w:szCs w:val="24"/>
              </w:rPr>
            </w:pPr>
            <w:r w:rsidRPr="00727DFA">
              <w:rPr>
                <w:rFonts w:eastAsia="DengXian"/>
                <w:szCs w:val="24"/>
              </w:rPr>
              <w:t>Imidazooxazole derivative, antitubercular</w:t>
            </w:r>
          </w:p>
        </w:tc>
      </w:tr>
      <w:tr w:rsidR="007B485D" w:rsidRPr="00810924" w14:paraId="51E1D9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163C8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71C603C"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50 mg tablet </w:t>
            </w:r>
          </w:p>
          <w:p w14:paraId="66A48DD4" w14:textId="77777777" w:rsidR="007B485D" w:rsidRPr="00727DFA" w:rsidRDefault="007B485D" w:rsidP="002D6DD7">
            <w:pPr>
              <w:jc w:val="both"/>
              <w:rPr>
                <w:rFonts w:eastAsia="DengXian"/>
                <w:szCs w:val="24"/>
                <w:lang w:val="nb-NO"/>
              </w:rPr>
            </w:pPr>
            <w:r w:rsidRPr="00727DFA">
              <w:rPr>
                <w:rFonts w:eastAsia="DengXian"/>
                <w:szCs w:val="24"/>
                <w:lang w:val="nb-NO"/>
              </w:rPr>
              <w:t>Tablet (dispersible): 25 mg</w:t>
            </w:r>
          </w:p>
        </w:tc>
      </w:tr>
      <w:tr w:rsidR="007B485D" w:rsidRPr="00727DFA" w14:paraId="48BB9C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506026"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68573E4" w14:textId="77777777" w:rsidR="007B485D" w:rsidRPr="00727DFA" w:rsidRDefault="007B485D" w:rsidP="002D6DD7">
            <w:pPr>
              <w:jc w:val="both"/>
              <w:rPr>
                <w:rFonts w:eastAsia="DengXian"/>
                <w:szCs w:val="24"/>
              </w:rPr>
            </w:pPr>
            <w:r w:rsidRPr="00727DFA">
              <w:rPr>
                <w:rFonts w:eastAsia="DengXian"/>
                <w:szCs w:val="24"/>
              </w:rPr>
              <w:t>MDR-TB resistant to fluoroquinolones, in combination with other medicines.</w:t>
            </w:r>
          </w:p>
        </w:tc>
      </w:tr>
      <w:tr w:rsidR="007B485D" w:rsidRPr="00727DFA" w14:paraId="39CD1DF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6B626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2AAB421" w14:textId="77777777" w:rsidR="007B485D" w:rsidRPr="00727DFA" w:rsidRDefault="007B485D" w:rsidP="002D6DD7">
            <w:pPr>
              <w:jc w:val="both"/>
              <w:rPr>
                <w:rFonts w:eastAsia="DengXian"/>
                <w:szCs w:val="24"/>
              </w:rPr>
            </w:pPr>
            <w:r w:rsidRPr="00727DFA">
              <w:rPr>
                <w:rFonts w:eastAsia="DengXian"/>
                <w:b/>
                <w:szCs w:val="24"/>
              </w:rPr>
              <w:t>Adult; Oral:</w:t>
            </w:r>
            <w:r w:rsidRPr="00727DFA">
              <w:rPr>
                <w:rFonts w:eastAsia="DengXian"/>
                <w:szCs w:val="24"/>
              </w:rPr>
              <w:t xml:space="preserve"> 100 mg twice daily for 24 weeks, continue appropriate combination therapy after delamanid </w:t>
            </w:r>
          </w:p>
        </w:tc>
      </w:tr>
      <w:tr w:rsidR="007B485D" w:rsidRPr="00727DFA" w14:paraId="0F563A7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048878"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1F42C5A" w14:textId="77777777" w:rsidR="007B485D" w:rsidRPr="00727DFA" w:rsidRDefault="007B485D" w:rsidP="002D6DD7">
            <w:pPr>
              <w:jc w:val="both"/>
              <w:rPr>
                <w:rFonts w:eastAsia="DengXian"/>
                <w:szCs w:val="24"/>
              </w:rPr>
            </w:pPr>
            <w:r w:rsidRPr="00727DFA">
              <w:rPr>
                <w:rFonts w:eastAsia="DengXian"/>
                <w:szCs w:val="24"/>
              </w:rPr>
              <w:t xml:space="preserve">Hypersensitivity to delamanid, QTc interval </w:t>
            </w:r>
            <w:r>
              <w:rPr>
                <w:rFonts w:eastAsia="DengXian"/>
                <w:szCs w:val="24"/>
              </w:rPr>
              <w:t>prolongation</w:t>
            </w:r>
            <w:r w:rsidRPr="00727DFA">
              <w:rPr>
                <w:rFonts w:eastAsia="DengXian"/>
                <w:szCs w:val="24"/>
              </w:rPr>
              <w:t>, Serum albumin less than 28 g/L</w:t>
            </w:r>
            <w:r>
              <w:rPr>
                <w:rFonts w:eastAsia="DengXian"/>
                <w:szCs w:val="24"/>
              </w:rPr>
              <w:t>.</w:t>
            </w:r>
          </w:p>
        </w:tc>
      </w:tr>
      <w:tr w:rsidR="007B485D" w:rsidRPr="00727DFA" w14:paraId="6704C78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0E6CF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676CF8B" w14:textId="77777777" w:rsidR="007B485D" w:rsidRPr="00727DFA" w:rsidRDefault="007B485D" w:rsidP="002D6DD7">
            <w:pPr>
              <w:jc w:val="both"/>
              <w:rPr>
                <w:rFonts w:eastAsia="DengXian"/>
                <w:szCs w:val="24"/>
              </w:rPr>
            </w:pPr>
            <w:r w:rsidRPr="00727DFA">
              <w:rPr>
                <w:rFonts w:eastAsia="DengXian"/>
                <w:szCs w:val="24"/>
              </w:rPr>
              <w:t>Clofazimine, fluoroquinolones, bedaquiline</w:t>
            </w:r>
            <w:r>
              <w:rPr>
                <w:rFonts w:eastAsia="DengXian"/>
                <w:szCs w:val="24"/>
              </w:rPr>
              <w:t>,</w:t>
            </w:r>
            <w:r w:rsidRPr="00727DFA">
              <w:rPr>
                <w:rFonts w:eastAsia="DengXian"/>
                <w:szCs w:val="24"/>
              </w:rPr>
              <w:t xml:space="preserve"> CYP </w:t>
            </w:r>
            <w:r w:rsidRPr="00873AF2">
              <w:rPr>
                <w:rFonts w:eastAsia="DengXian"/>
                <w:szCs w:val="24"/>
                <w:vertAlign w:val="subscript"/>
              </w:rPr>
              <w:t>3A4</w:t>
            </w:r>
            <w:r w:rsidRPr="00727DFA">
              <w:rPr>
                <w:rFonts w:eastAsia="DengXian"/>
                <w:szCs w:val="24"/>
              </w:rPr>
              <w:t xml:space="preserve"> inducers (rifampicin, phenytoin) and inhibitors (azole antifungals, protease inhibitors).  </w:t>
            </w:r>
          </w:p>
        </w:tc>
      </w:tr>
      <w:tr w:rsidR="007B485D" w:rsidRPr="00727DFA" w14:paraId="7CA70C86" w14:textId="77777777" w:rsidTr="002D6DD7">
        <w:trPr>
          <w:trHeight w:hRule="exact" w:val="1765"/>
        </w:trPr>
        <w:tc>
          <w:tcPr>
            <w:tcW w:w="2605" w:type="dxa"/>
            <w:tcBorders>
              <w:top w:val="single" w:sz="4" w:space="0" w:color="auto"/>
              <w:left w:val="single" w:sz="4" w:space="0" w:color="auto"/>
              <w:bottom w:val="single" w:sz="4" w:space="0" w:color="auto"/>
              <w:right w:val="single" w:sz="4" w:space="0" w:color="auto"/>
            </w:tcBorders>
            <w:hideMark/>
          </w:tcPr>
          <w:p w14:paraId="3D689E67"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7191AD02" w14:textId="77777777" w:rsidR="007B485D" w:rsidRPr="00727DFA" w:rsidRDefault="007B485D" w:rsidP="002D6DD7">
            <w:pPr>
              <w:jc w:val="both"/>
              <w:rPr>
                <w:rFonts w:eastAsia="DengXian"/>
                <w:szCs w:val="24"/>
              </w:rPr>
            </w:pPr>
            <w:r w:rsidRPr="00727DFA">
              <w:rPr>
                <w:rFonts w:eastAsia="DengXian"/>
                <w:szCs w:val="24"/>
              </w:rPr>
              <w:t>Nausea, vomiting, headache, insomnia, dizziness, tinnitus, hypokalemia, gastritis, decreased appetite</w:t>
            </w:r>
            <w:r>
              <w:rPr>
                <w:rFonts w:eastAsia="DengXian"/>
                <w:szCs w:val="24"/>
              </w:rPr>
              <w:t xml:space="preserve">, </w:t>
            </w:r>
            <w:r w:rsidRPr="00727DFA">
              <w:rPr>
                <w:rFonts w:eastAsia="DengXian"/>
                <w:szCs w:val="24"/>
              </w:rPr>
              <w:t>weakness, QT interval prolongation, reticulocytosis, sensation abnormal, skin reactions, sleep disorders, throat irritation, dyslipidemia, dyspnea</w:t>
            </w:r>
            <w:r>
              <w:rPr>
                <w:rFonts w:eastAsia="DengXian"/>
                <w:szCs w:val="24"/>
              </w:rPr>
              <w:t>.</w:t>
            </w:r>
          </w:p>
        </w:tc>
      </w:tr>
      <w:tr w:rsidR="007B485D" w:rsidRPr="00727DFA" w14:paraId="683194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9878FA"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765D1E3"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breastfeeding</w:t>
            </w:r>
            <w:r>
              <w:rPr>
                <w:rFonts w:eastAsia="DengXian"/>
                <w:szCs w:val="24"/>
              </w:rPr>
              <w:t>, h</w:t>
            </w:r>
            <w:r w:rsidRPr="00727DFA">
              <w:rPr>
                <w:rFonts w:eastAsia="DengXian"/>
                <w:szCs w:val="24"/>
              </w:rPr>
              <w:t>ypothyroidism, risk factors for QT interval prolongation</w:t>
            </w:r>
            <w:r>
              <w:rPr>
                <w:rFonts w:eastAsia="DengXian"/>
                <w:szCs w:val="24"/>
              </w:rPr>
              <w:t xml:space="preserve">, </w:t>
            </w:r>
            <w:r w:rsidRPr="00727DFA">
              <w:rPr>
                <w:rFonts w:eastAsia="DengXian"/>
                <w:szCs w:val="24"/>
              </w:rPr>
              <w:t>hepatic impairment, renal impairment</w:t>
            </w:r>
            <w:r>
              <w:rPr>
                <w:rFonts w:eastAsia="DengXian"/>
                <w:szCs w:val="24"/>
              </w:rPr>
              <w:t>.</w:t>
            </w:r>
            <w:r w:rsidRPr="00727DFA">
              <w:rPr>
                <w:rFonts w:eastAsia="DengXian"/>
                <w:szCs w:val="24"/>
              </w:rPr>
              <w:t xml:space="preserve"> </w:t>
            </w:r>
          </w:p>
        </w:tc>
      </w:tr>
      <w:tr w:rsidR="007B485D" w:rsidRPr="00727DFA" w14:paraId="0DC37F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163FCE"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D9A9142" w14:textId="77777777" w:rsidR="007B485D" w:rsidRPr="00727DFA" w:rsidRDefault="007B485D" w:rsidP="002D6DD7">
            <w:pPr>
              <w:jc w:val="both"/>
              <w:rPr>
                <w:rFonts w:eastAsia="DengXian"/>
                <w:szCs w:val="24"/>
              </w:rPr>
            </w:pPr>
            <w:r w:rsidRPr="00727DFA">
              <w:rPr>
                <w:rFonts w:eastAsia="DengXian"/>
                <w:szCs w:val="24"/>
              </w:rPr>
              <w:t>Store below 30 ºC</w:t>
            </w:r>
            <w:r>
              <w:rPr>
                <w:rFonts w:eastAsia="DengXian"/>
                <w:szCs w:val="24"/>
              </w:rPr>
              <w:t>.</w:t>
            </w:r>
          </w:p>
        </w:tc>
      </w:tr>
      <w:tr w:rsidR="007B485D" w:rsidRPr="00727DFA" w14:paraId="14F8E1CC"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FFF01E8" w14:textId="77777777" w:rsidR="007B485D" w:rsidRPr="00727DFA" w:rsidRDefault="007B485D" w:rsidP="002D6DD7">
            <w:pPr>
              <w:jc w:val="both"/>
              <w:rPr>
                <w:rFonts w:eastAsia="DengXian"/>
                <w:szCs w:val="24"/>
              </w:rPr>
            </w:pPr>
            <w:r w:rsidRPr="00727DFA">
              <w:rPr>
                <w:rFonts w:eastAsia="DengXian"/>
                <w:b/>
                <w:bCs/>
                <w:szCs w:val="24"/>
              </w:rPr>
              <w:t>Ethambutol</w:t>
            </w:r>
          </w:p>
        </w:tc>
      </w:tr>
      <w:tr w:rsidR="007B485D" w:rsidRPr="00727DFA" w14:paraId="570576A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FB11A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CE0CC2B" w14:textId="77777777" w:rsidR="007B485D" w:rsidRPr="00727DFA" w:rsidRDefault="007B485D" w:rsidP="002D6DD7">
            <w:pPr>
              <w:jc w:val="both"/>
              <w:rPr>
                <w:rFonts w:eastAsia="DengXian"/>
                <w:szCs w:val="24"/>
              </w:rPr>
            </w:pPr>
            <w:r w:rsidRPr="00727DFA">
              <w:rPr>
                <w:rFonts w:eastAsia="DengXian"/>
                <w:szCs w:val="24"/>
              </w:rPr>
              <w:t> Ethylenediamine, antitubercular</w:t>
            </w:r>
          </w:p>
        </w:tc>
      </w:tr>
      <w:tr w:rsidR="007B485D" w:rsidRPr="00810924" w14:paraId="5A41A85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A67171"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75A9E12" w14:textId="77777777" w:rsidR="007B485D" w:rsidRPr="00727DFA" w:rsidRDefault="007B485D" w:rsidP="002D6DD7">
            <w:pPr>
              <w:jc w:val="both"/>
              <w:rPr>
                <w:rFonts w:eastAsia="DengXian"/>
                <w:szCs w:val="24"/>
                <w:lang w:val="nb-NO"/>
              </w:rPr>
            </w:pPr>
            <w:r w:rsidRPr="00727DFA">
              <w:rPr>
                <w:rFonts w:eastAsia="DengXian"/>
                <w:szCs w:val="24"/>
                <w:lang w:val="nb-NO"/>
              </w:rPr>
              <w:t>Tablet: 100mg, 400mg (hydrochloride)</w:t>
            </w:r>
          </w:p>
          <w:p w14:paraId="0A6EDDDA" w14:textId="77777777" w:rsidR="007B485D" w:rsidRPr="00727DFA" w:rsidRDefault="007B485D" w:rsidP="002D6DD7">
            <w:pPr>
              <w:jc w:val="both"/>
              <w:rPr>
                <w:rFonts w:eastAsia="DengXian"/>
                <w:szCs w:val="24"/>
                <w:lang w:val="nb-NO"/>
              </w:rPr>
            </w:pPr>
            <w:r w:rsidRPr="00727DFA">
              <w:rPr>
                <w:rFonts w:eastAsia="DengXian"/>
                <w:szCs w:val="24"/>
                <w:lang w:val="nb-NO"/>
              </w:rPr>
              <w:t>Tablet (dispersible): 100 mg</w:t>
            </w:r>
          </w:p>
        </w:tc>
      </w:tr>
      <w:tr w:rsidR="007B485D" w:rsidRPr="00727DFA" w14:paraId="44E6B3C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E421FF"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1F8E7F1" w14:textId="77777777" w:rsidR="007B485D" w:rsidRPr="00727DFA" w:rsidRDefault="007B485D" w:rsidP="002D6DD7">
            <w:pPr>
              <w:jc w:val="both"/>
              <w:rPr>
                <w:rFonts w:eastAsia="DengXian"/>
                <w:szCs w:val="24"/>
              </w:rPr>
            </w:pPr>
            <w:r w:rsidRPr="00727DFA">
              <w:rPr>
                <w:rFonts w:eastAsia="DengXian"/>
                <w:szCs w:val="24"/>
              </w:rPr>
              <w:t>Tuberculosis, in combination with other drugs</w:t>
            </w:r>
            <w:r>
              <w:rPr>
                <w:rFonts w:eastAsia="DengXian"/>
                <w:szCs w:val="24"/>
              </w:rPr>
              <w:t>.</w:t>
            </w:r>
          </w:p>
        </w:tc>
      </w:tr>
      <w:tr w:rsidR="007B485D" w:rsidRPr="00727DFA" w14:paraId="32BBCA3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8BF871"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1C6F066" w14:textId="77777777" w:rsidR="007B485D" w:rsidRPr="00727DFA" w:rsidRDefault="007B485D" w:rsidP="002D6DD7">
            <w:pPr>
              <w:jc w:val="both"/>
              <w:rPr>
                <w:rFonts w:eastAsia="DengXian"/>
                <w:b/>
                <w:bCs/>
                <w:szCs w:val="24"/>
              </w:rPr>
            </w:pPr>
            <w:r w:rsidRPr="00727DFA">
              <w:rPr>
                <w:rFonts w:eastAsia="DengXian"/>
                <w:b/>
                <w:bCs/>
                <w:szCs w:val="24"/>
              </w:rPr>
              <w:t>Initial phase of combination therapy</w:t>
            </w:r>
          </w:p>
          <w:p w14:paraId="580161BA" w14:textId="77777777" w:rsidR="007B485D" w:rsidRDefault="007B485D" w:rsidP="002D6DD7">
            <w:pPr>
              <w:jc w:val="both"/>
              <w:rPr>
                <w:rFonts w:eastAsia="DengXian"/>
                <w:szCs w:val="24"/>
              </w:rPr>
            </w:pPr>
            <w:r w:rsidRPr="00727DFA">
              <w:rPr>
                <w:rFonts w:eastAsia="DengXian"/>
                <w:szCs w:val="24"/>
              </w:rPr>
              <w:t>Oral: 15mg/kg (15-20 mg/kg) daily, maximum 1600mg</w:t>
            </w:r>
          </w:p>
          <w:p w14:paraId="480F1342" w14:textId="77777777" w:rsidR="007B485D" w:rsidRDefault="007B485D" w:rsidP="002D6DD7">
            <w:pPr>
              <w:jc w:val="both"/>
              <w:rPr>
                <w:rFonts w:eastAsia="DengXian"/>
                <w:szCs w:val="24"/>
              </w:rPr>
            </w:pPr>
            <w:r>
              <w:rPr>
                <w:rFonts w:eastAsia="DengXian"/>
                <w:szCs w:val="24"/>
              </w:rPr>
              <w:t>Child</w:t>
            </w:r>
            <w:r w:rsidRPr="00727DFA">
              <w:rPr>
                <w:rFonts w:eastAsia="DengXian"/>
                <w:szCs w:val="24"/>
              </w:rPr>
              <w:t xml:space="preserve"> </w:t>
            </w:r>
            <w:r>
              <w:rPr>
                <w:rFonts w:eastAsia="DengXian"/>
                <w:szCs w:val="24"/>
              </w:rPr>
              <w:t>20</w:t>
            </w:r>
            <w:r w:rsidRPr="00727DFA">
              <w:rPr>
                <w:rFonts w:eastAsia="DengXian"/>
                <w:szCs w:val="24"/>
              </w:rPr>
              <w:t>mg/kg (15-2</w:t>
            </w:r>
            <w:r>
              <w:rPr>
                <w:rFonts w:eastAsia="DengXian"/>
                <w:szCs w:val="24"/>
              </w:rPr>
              <w:t>5</w:t>
            </w:r>
            <w:r w:rsidRPr="00727DFA">
              <w:rPr>
                <w:rFonts w:eastAsia="DengXian"/>
                <w:szCs w:val="24"/>
              </w:rPr>
              <w:t xml:space="preserve"> mg/kg) daily</w:t>
            </w:r>
          </w:p>
          <w:p w14:paraId="05629A08" w14:textId="77777777" w:rsidR="007B485D" w:rsidRPr="00EA736A" w:rsidRDefault="007B485D" w:rsidP="002D6DD7">
            <w:pPr>
              <w:jc w:val="both"/>
              <w:rPr>
                <w:rFonts w:eastAsia="DengXian"/>
                <w:szCs w:val="24"/>
              </w:rPr>
            </w:pPr>
            <w:r w:rsidRPr="00873AF2">
              <w:rPr>
                <w:rFonts w:eastAsia="DengXian"/>
                <w:b/>
                <w:bCs/>
                <w:szCs w:val="24"/>
              </w:rPr>
              <w:t>Note</w:t>
            </w:r>
            <w:r w:rsidRPr="00EA736A">
              <w:rPr>
                <w:rFonts w:eastAsia="DengXian"/>
                <w:szCs w:val="24"/>
              </w:rPr>
              <w:t>:</w:t>
            </w:r>
            <w:r>
              <w:rPr>
                <w:rFonts w:eastAsia="DengXian"/>
                <w:szCs w:val="24"/>
              </w:rPr>
              <w:t xml:space="preserve"> </w:t>
            </w:r>
            <w:r w:rsidRPr="00873AF2">
              <w:rPr>
                <w:rFonts w:eastAsia="DengXian"/>
                <w:i/>
                <w:iCs/>
                <w:szCs w:val="24"/>
              </w:rPr>
              <w:t xml:space="preserve">in child </w:t>
            </w:r>
            <w:r w:rsidRPr="00873AF2">
              <w:rPr>
                <w:i/>
                <w:iCs/>
                <w:color w:val="2A2A2A"/>
                <w:szCs w:val="24"/>
              </w:rPr>
              <w:t>&lt;13 years, data are limited</w:t>
            </w:r>
            <w:r>
              <w:rPr>
                <w:color w:val="2A2A2A"/>
                <w:szCs w:val="24"/>
              </w:rPr>
              <w:t xml:space="preserve"> </w:t>
            </w:r>
          </w:p>
        </w:tc>
      </w:tr>
      <w:tr w:rsidR="007B485D" w:rsidRPr="00727DFA" w14:paraId="1653CF3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49B1B7"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B339E7C" w14:textId="77777777" w:rsidR="007B485D" w:rsidRPr="00727DFA" w:rsidRDefault="007B485D" w:rsidP="002D6DD7">
            <w:pPr>
              <w:jc w:val="both"/>
              <w:rPr>
                <w:rFonts w:eastAsia="DengXian"/>
                <w:szCs w:val="24"/>
              </w:rPr>
            </w:pPr>
            <w:r w:rsidRPr="00727DFA">
              <w:rPr>
                <w:rFonts w:eastAsia="DengXian"/>
                <w:szCs w:val="24"/>
              </w:rPr>
              <w:t xml:space="preserve">Hypersensitive to </w:t>
            </w:r>
            <w:r>
              <w:rPr>
                <w:rFonts w:eastAsia="DengXian"/>
                <w:szCs w:val="24"/>
              </w:rPr>
              <w:t>the drug</w:t>
            </w:r>
            <w:r w:rsidRPr="00727DFA">
              <w:rPr>
                <w:rFonts w:eastAsia="DengXian"/>
                <w:szCs w:val="24"/>
              </w:rPr>
              <w:t>, optic neuritis, poor vision</w:t>
            </w:r>
            <w:r>
              <w:rPr>
                <w:rFonts w:eastAsia="DengXian"/>
                <w:szCs w:val="24"/>
              </w:rPr>
              <w:t>.</w:t>
            </w:r>
          </w:p>
        </w:tc>
      </w:tr>
      <w:tr w:rsidR="007B485D" w:rsidRPr="00727DFA" w14:paraId="6492EC9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84063F8"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947DA6A" w14:textId="77777777" w:rsidR="007B485D" w:rsidRPr="00727DFA" w:rsidRDefault="007B485D" w:rsidP="002D6DD7">
            <w:pPr>
              <w:jc w:val="both"/>
              <w:rPr>
                <w:rFonts w:eastAsia="DengXian"/>
                <w:szCs w:val="24"/>
              </w:rPr>
            </w:pPr>
            <w:r w:rsidRPr="00727DFA">
              <w:rPr>
                <w:rFonts w:eastAsia="DengXian"/>
                <w:szCs w:val="24"/>
              </w:rPr>
              <w:t xml:space="preserve">Aluminium </w:t>
            </w:r>
            <w:r w:rsidRPr="0063309C">
              <w:rPr>
                <w:rFonts w:eastAsia="DengXian"/>
                <w:szCs w:val="24"/>
              </w:rPr>
              <w:t>hydroxide</w:t>
            </w:r>
            <w:r>
              <w:rPr>
                <w:rFonts w:eastAsia="DengXian"/>
                <w:szCs w:val="24"/>
              </w:rPr>
              <w:t xml:space="preserve">, </w:t>
            </w:r>
            <w:r w:rsidRPr="00873AF2">
              <w:rPr>
                <w:rFonts w:eastAsia="DengXian"/>
                <w:szCs w:val="24"/>
              </w:rPr>
              <w:t>magnesium</w:t>
            </w:r>
            <w:r>
              <w:rPr>
                <w:rFonts w:eastAsia="DengXian"/>
                <w:szCs w:val="24"/>
              </w:rPr>
              <w:t xml:space="preserve"> hydroxide, </w:t>
            </w:r>
            <w:r w:rsidRPr="00873AF2">
              <w:rPr>
                <w:rFonts w:eastAsia="DengXian"/>
                <w:szCs w:val="24"/>
              </w:rPr>
              <w:t>allopurinol, probenecid</w:t>
            </w:r>
            <w:r>
              <w:rPr>
                <w:rFonts w:eastAsia="DengXian"/>
                <w:szCs w:val="24"/>
              </w:rPr>
              <w:t>.</w:t>
            </w:r>
          </w:p>
        </w:tc>
      </w:tr>
      <w:tr w:rsidR="007B485D" w:rsidRPr="00727DFA" w14:paraId="6AC136D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8C80FA"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03CE244" w14:textId="77777777" w:rsidR="007B485D" w:rsidRPr="00727DFA" w:rsidRDefault="007B485D" w:rsidP="002D6DD7">
            <w:pPr>
              <w:jc w:val="both"/>
              <w:rPr>
                <w:rFonts w:eastAsia="DengXian"/>
                <w:szCs w:val="24"/>
              </w:rPr>
            </w:pPr>
            <w:r w:rsidRPr="00727DFA">
              <w:rPr>
                <w:rFonts w:eastAsia="DengXian"/>
                <w:szCs w:val="24"/>
              </w:rPr>
              <w:t xml:space="preserve">Optic neuritis, red/green color blindness, peripheral neuritis, nerve disorders nausea, vomiting, rarely rash, pruritus, urticaria, </w:t>
            </w:r>
            <w:r>
              <w:rPr>
                <w:rFonts w:eastAsia="DengXian"/>
                <w:szCs w:val="24"/>
              </w:rPr>
              <w:t>h</w:t>
            </w:r>
            <w:r w:rsidRPr="00727DFA">
              <w:rPr>
                <w:rFonts w:eastAsia="DengXian"/>
                <w:szCs w:val="24"/>
              </w:rPr>
              <w:t>yperuricemia</w:t>
            </w:r>
            <w:r>
              <w:rPr>
                <w:rFonts w:eastAsia="DengXian"/>
                <w:szCs w:val="24"/>
              </w:rPr>
              <w:t>,</w:t>
            </w:r>
            <w:r w:rsidRPr="00727DFA">
              <w:rPr>
                <w:rFonts w:eastAsia="DengXian"/>
                <w:szCs w:val="24"/>
              </w:rPr>
              <w:t xml:space="preserve"> thrombocytopenia </w:t>
            </w:r>
          </w:p>
        </w:tc>
      </w:tr>
      <w:tr w:rsidR="007B485D" w:rsidRPr="00727DFA" w14:paraId="061365A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611AB1"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549AA34" w14:textId="77777777" w:rsidR="007B485D" w:rsidRPr="00727DFA" w:rsidRDefault="007B485D" w:rsidP="002D6DD7">
            <w:pPr>
              <w:jc w:val="both"/>
              <w:rPr>
                <w:rFonts w:eastAsia="DengXian"/>
                <w:szCs w:val="24"/>
              </w:rPr>
            </w:pPr>
            <w:r w:rsidRPr="00727DFA">
              <w:rPr>
                <w:rFonts w:eastAsia="DengXian"/>
                <w:szCs w:val="24"/>
              </w:rPr>
              <w:t xml:space="preserve">Pregnancy, </w:t>
            </w:r>
            <w:r>
              <w:rPr>
                <w:rFonts w:eastAsia="DengXian"/>
                <w:szCs w:val="24"/>
              </w:rPr>
              <w:t>breastfeeding</w:t>
            </w:r>
            <w:r w:rsidRPr="00727DFA">
              <w:rPr>
                <w:rFonts w:eastAsia="DengXian"/>
                <w:szCs w:val="24"/>
              </w:rPr>
              <w:t>, visual disturbances, elderly, renal impairment, hepatic impairment</w:t>
            </w:r>
            <w:r>
              <w:rPr>
                <w:rFonts w:eastAsia="DengXian"/>
                <w:szCs w:val="24"/>
              </w:rPr>
              <w:t>,</w:t>
            </w:r>
            <w:r w:rsidRPr="00727DFA">
              <w:rPr>
                <w:rFonts w:eastAsia="DengXian"/>
                <w:szCs w:val="24"/>
              </w:rPr>
              <w:t xml:space="preserve"> </w:t>
            </w:r>
            <w:r w:rsidRPr="00873AF2">
              <w:rPr>
                <w:rFonts w:eastAsia="DengXian"/>
                <w:szCs w:val="24"/>
              </w:rPr>
              <w:t>and patients unable to appreciate and report visual side effects or change in vision</w:t>
            </w:r>
            <w:r>
              <w:rPr>
                <w:rFonts w:eastAsia="DengXian"/>
                <w:szCs w:val="24"/>
              </w:rPr>
              <w:t xml:space="preserve"> </w:t>
            </w:r>
            <w:r w:rsidRPr="00873AF2">
              <w:rPr>
                <w:rFonts w:eastAsia="DengXian"/>
                <w:szCs w:val="24"/>
              </w:rPr>
              <w:t>(age less than 5 years, unconscious patients)</w:t>
            </w:r>
            <w:r>
              <w:rPr>
                <w:rFonts w:eastAsia="DengXian"/>
                <w:szCs w:val="24"/>
              </w:rPr>
              <w:t>.</w:t>
            </w:r>
          </w:p>
        </w:tc>
      </w:tr>
      <w:tr w:rsidR="007B485D" w:rsidRPr="00727DFA" w14:paraId="5EC4F26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30A76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2937A3B"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1545BB70"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494A333" w14:textId="77777777" w:rsidR="007B485D" w:rsidRPr="00727DFA" w:rsidRDefault="007B485D" w:rsidP="002D6DD7">
            <w:pPr>
              <w:jc w:val="both"/>
              <w:rPr>
                <w:rFonts w:eastAsia="DengXian"/>
                <w:szCs w:val="24"/>
              </w:rPr>
            </w:pPr>
            <w:r w:rsidRPr="00727DFA">
              <w:rPr>
                <w:rFonts w:eastAsia="DengXian"/>
                <w:b/>
                <w:bCs/>
                <w:szCs w:val="24"/>
              </w:rPr>
              <w:t>Ethambutol + isoniazid + pyrazinamide + rifampicin</w:t>
            </w:r>
          </w:p>
        </w:tc>
      </w:tr>
      <w:tr w:rsidR="007B485D" w:rsidRPr="00727DFA" w14:paraId="25DA96D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347E59"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BDFDAD3" w14:textId="77777777" w:rsidR="007B485D" w:rsidRPr="00727DFA" w:rsidRDefault="007B485D" w:rsidP="002D6DD7">
            <w:pPr>
              <w:jc w:val="both"/>
              <w:rPr>
                <w:rFonts w:eastAsia="DengXian"/>
                <w:szCs w:val="24"/>
              </w:rPr>
            </w:pPr>
            <w:r w:rsidRPr="00727DFA">
              <w:rPr>
                <w:rFonts w:eastAsia="DengXian"/>
                <w:szCs w:val="24"/>
              </w:rPr>
              <w:t xml:space="preserve">Antitubercular combination </w:t>
            </w:r>
          </w:p>
        </w:tc>
      </w:tr>
      <w:tr w:rsidR="007B485D" w:rsidRPr="00810924" w14:paraId="1895C6E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DA575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C551073" w14:textId="77777777" w:rsidR="007B485D" w:rsidRPr="00727DFA" w:rsidRDefault="007B485D" w:rsidP="002D6DD7">
            <w:pPr>
              <w:jc w:val="both"/>
              <w:rPr>
                <w:rFonts w:eastAsia="DengXian"/>
                <w:szCs w:val="24"/>
                <w:lang w:val="nb-NO"/>
              </w:rPr>
            </w:pPr>
            <w:r w:rsidRPr="00727DFA">
              <w:rPr>
                <w:rFonts w:eastAsia="DengXian"/>
                <w:szCs w:val="24"/>
                <w:lang w:val="nb-NO"/>
              </w:rPr>
              <w:t>Tablet: 275mg + 75mg + 400 mg + 150mg</w:t>
            </w:r>
          </w:p>
          <w:p w14:paraId="7664EAEF" w14:textId="77777777" w:rsidR="007B485D" w:rsidRPr="00727DFA" w:rsidRDefault="007B485D" w:rsidP="002D6DD7">
            <w:pPr>
              <w:jc w:val="both"/>
              <w:rPr>
                <w:rFonts w:eastAsia="DengXian"/>
                <w:szCs w:val="24"/>
                <w:lang w:val="nb-NO"/>
              </w:rPr>
            </w:pPr>
            <w:r w:rsidRPr="00727DFA">
              <w:rPr>
                <w:rFonts w:eastAsia="DengXian"/>
                <w:szCs w:val="24"/>
                <w:lang w:val="nb-NO"/>
              </w:rPr>
              <w:lastRenderedPageBreak/>
              <w:t>Tablet: 75 mg (R) + 50 mg(H) + 150 mg(Z)  and single 100 mg (E)</w:t>
            </w:r>
          </w:p>
        </w:tc>
      </w:tr>
      <w:tr w:rsidR="007B485D" w:rsidRPr="00727DFA" w14:paraId="78B87BC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4FBDA3E" w14:textId="77777777" w:rsidR="007B485D" w:rsidRPr="00727DFA" w:rsidRDefault="007B485D" w:rsidP="002D6DD7">
            <w:pPr>
              <w:jc w:val="both"/>
              <w:rPr>
                <w:rFonts w:eastAsia="DengXian"/>
                <w:b/>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0CF045F5" w14:textId="77777777" w:rsidR="007B485D" w:rsidRPr="00727DFA" w:rsidRDefault="007B485D" w:rsidP="002D6DD7">
            <w:pPr>
              <w:jc w:val="both"/>
              <w:rPr>
                <w:rFonts w:eastAsia="DengXian"/>
                <w:szCs w:val="24"/>
              </w:rPr>
            </w:pPr>
            <w:r w:rsidRPr="00727DFA">
              <w:rPr>
                <w:rFonts w:eastAsia="DengXian"/>
                <w:szCs w:val="24"/>
              </w:rPr>
              <w:t xml:space="preserve">Treatment regimen in the intensive phase for newly diagnosed TB. </w:t>
            </w:r>
          </w:p>
        </w:tc>
      </w:tr>
      <w:tr w:rsidR="007B485D" w:rsidRPr="00727DFA" w14:paraId="2759B1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716ED6"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2B5F72A" w14:textId="77777777" w:rsidR="007B485D" w:rsidRPr="00727DFA" w:rsidRDefault="007B485D" w:rsidP="002D6DD7">
            <w:pPr>
              <w:jc w:val="both"/>
              <w:rPr>
                <w:rFonts w:eastAsia="DengXian"/>
                <w:b/>
                <w:bCs/>
                <w:szCs w:val="24"/>
              </w:rPr>
            </w:pPr>
            <w:r w:rsidRPr="00727DFA">
              <w:rPr>
                <w:rFonts w:eastAsia="DengXian"/>
                <w:b/>
                <w:bCs/>
                <w:szCs w:val="24"/>
              </w:rPr>
              <w:t>Intensive phase (2 months); Oral:</w:t>
            </w:r>
          </w:p>
          <w:p w14:paraId="69D7BD8D" w14:textId="77777777" w:rsidR="007B485D" w:rsidRPr="00727DFA" w:rsidRDefault="007B485D" w:rsidP="002D6DD7">
            <w:pPr>
              <w:jc w:val="both"/>
              <w:rPr>
                <w:rFonts w:eastAsia="DengXian"/>
                <w:b/>
                <w:szCs w:val="24"/>
              </w:rPr>
            </w:pPr>
            <w:r w:rsidRPr="00727DFA">
              <w:rPr>
                <w:rFonts w:eastAsia="DengXian"/>
                <w:b/>
                <w:szCs w:val="24"/>
              </w:rPr>
              <w:t>Adult</w:t>
            </w:r>
            <w:r>
              <w:rPr>
                <w:rFonts w:eastAsia="DengXian"/>
                <w:b/>
                <w:szCs w:val="24"/>
              </w:rPr>
              <w:t>:</w:t>
            </w:r>
          </w:p>
          <w:p w14:paraId="148FCC60" w14:textId="77777777" w:rsidR="007B485D" w:rsidRPr="00727DFA" w:rsidRDefault="007B485D" w:rsidP="002D6DD7">
            <w:pPr>
              <w:jc w:val="both"/>
              <w:rPr>
                <w:rFonts w:eastAsia="DengXian"/>
                <w:szCs w:val="24"/>
              </w:rPr>
            </w:pPr>
            <w:r w:rsidRPr="00727DFA">
              <w:rPr>
                <w:rFonts w:eastAsia="DengXian"/>
                <w:szCs w:val="24"/>
              </w:rPr>
              <w:t>Body weight 20–29 kg:  1</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daily for 2 months</w:t>
            </w:r>
          </w:p>
          <w:p w14:paraId="6BA045E8" w14:textId="77777777" w:rsidR="007B485D" w:rsidRPr="00727DFA" w:rsidRDefault="007B485D" w:rsidP="002D6DD7">
            <w:pPr>
              <w:jc w:val="both"/>
              <w:rPr>
                <w:rFonts w:eastAsia="DengXian"/>
                <w:szCs w:val="24"/>
              </w:rPr>
            </w:pPr>
            <w:r w:rsidRPr="00727DFA">
              <w:rPr>
                <w:rFonts w:eastAsia="DengXian"/>
                <w:szCs w:val="24"/>
              </w:rPr>
              <w:t>Body weight 30–39 kg:  2 tablets daily for 2 months</w:t>
            </w:r>
          </w:p>
          <w:p w14:paraId="7EA6B69C" w14:textId="77777777" w:rsidR="007B485D" w:rsidRPr="00727DFA" w:rsidRDefault="007B485D" w:rsidP="002D6DD7">
            <w:pPr>
              <w:jc w:val="both"/>
              <w:rPr>
                <w:rFonts w:eastAsia="DengXian"/>
                <w:szCs w:val="24"/>
              </w:rPr>
            </w:pPr>
            <w:r w:rsidRPr="00727DFA">
              <w:rPr>
                <w:rFonts w:eastAsia="DengXian"/>
                <w:szCs w:val="24"/>
              </w:rPr>
              <w:t>Body weight 40–54 kg: 3 tablets daily for 2 months</w:t>
            </w:r>
          </w:p>
          <w:p w14:paraId="5CB87D13" w14:textId="77777777" w:rsidR="007B485D" w:rsidRPr="00727DFA" w:rsidRDefault="007B485D" w:rsidP="002D6DD7">
            <w:pPr>
              <w:jc w:val="both"/>
              <w:rPr>
                <w:rFonts w:eastAsia="DengXian"/>
                <w:szCs w:val="24"/>
              </w:rPr>
            </w:pPr>
            <w:r w:rsidRPr="00727DFA">
              <w:rPr>
                <w:rFonts w:eastAsia="DengXian"/>
                <w:szCs w:val="24"/>
              </w:rPr>
              <w:t xml:space="preserve">Body weight </w:t>
            </w:r>
            <m:oMath>
              <m:r>
                <w:rPr>
                  <w:rFonts w:ascii="Cambria Math" w:eastAsia="DengXian" w:hAnsi="Cambria Math"/>
                  <w:szCs w:val="24"/>
                </w:rPr>
                <m:t>≥</m:t>
              </m:r>
            </m:oMath>
            <w:r w:rsidRPr="00727DFA">
              <w:rPr>
                <w:rFonts w:eastAsia="DengXian"/>
                <w:szCs w:val="24"/>
              </w:rPr>
              <w:t xml:space="preserve"> 55 kg:   4 tablets daily for 2 months</w:t>
            </w:r>
          </w:p>
          <w:p w14:paraId="2CA32C3A" w14:textId="77777777" w:rsidR="007B485D" w:rsidRPr="00873AF2" w:rsidRDefault="007B485D" w:rsidP="002D6DD7">
            <w:pPr>
              <w:jc w:val="both"/>
              <w:rPr>
                <w:rFonts w:eastAsia="DengXian"/>
                <w:szCs w:val="24"/>
              </w:rPr>
            </w:pPr>
            <w:r>
              <w:rPr>
                <w:rFonts w:eastAsia="DengXian"/>
                <w:b/>
                <w:bCs/>
                <w:szCs w:val="24"/>
              </w:rPr>
              <w:t>Child:</w:t>
            </w:r>
            <w:r>
              <w:t xml:space="preserve"> </w:t>
            </w:r>
            <w:r w:rsidRPr="00873AF2">
              <w:rPr>
                <w:rFonts w:eastAsia="DengXian"/>
                <w:szCs w:val="24"/>
              </w:rPr>
              <w:t>RHZ 75/50/150 tabs +E 100mg</w:t>
            </w:r>
          </w:p>
          <w:p w14:paraId="0AE47D3F" w14:textId="77777777" w:rsidR="007B485D" w:rsidRPr="00873AF2" w:rsidRDefault="007B485D" w:rsidP="002D6DD7">
            <w:pPr>
              <w:jc w:val="both"/>
              <w:rPr>
                <w:rFonts w:eastAsia="DengXian"/>
                <w:szCs w:val="24"/>
              </w:rPr>
            </w:pPr>
            <w:r w:rsidRPr="00873AF2">
              <w:rPr>
                <w:rFonts w:eastAsia="DengXian"/>
                <w:szCs w:val="24"/>
              </w:rPr>
              <w:t>tabs</w:t>
            </w:r>
          </w:p>
          <w:p w14:paraId="7AA59AFF" w14:textId="77777777" w:rsidR="007B485D" w:rsidRPr="00727DFA" w:rsidRDefault="007B485D" w:rsidP="002D6DD7">
            <w:pPr>
              <w:jc w:val="both"/>
              <w:rPr>
                <w:rFonts w:eastAsia="DengXian"/>
                <w:szCs w:val="24"/>
              </w:rPr>
            </w:pPr>
            <w:r w:rsidRPr="00727DFA">
              <w:rPr>
                <w:rFonts w:eastAsia="DengXian"/>
                <w:szCs w:val="24"/>
              </w:rPr>
              <w:t>Body weight 4–7 kg:   1 tablet RHZ + 1 tablet ethambutol</w:t>
            </w:r>
          </w:p>
          <w:p w14:paraId="3E3822EC" w14:textId="77777777" w:rsidR="007B485D" w:rsidRPr="00727DFA" w:rsidRDefault="007B485D" w:rsidP="002D6DD7">
            <w:pPr>
              <w:jc w:val="both"/>
              <w:rPr>
                <w:rFonts w:eastAsia="DengXian"/>
                <w:szCs w:val="24"/>
              </w:rPr>
            </w:pPr>
            <w:r w:rsidRPr="00727DFA">
              <w:rPr>
                <w:rFonts w:eastAsia="DengXian"/>
                <w:szCs w:val="24"/>
              </w:rPr>
              <w:t>Body weight 8–11 kg:  2 tablet RHZ + 2 tablet ethambutol</w:t>
            </w:r>
          </w:p>
          <w:p w14:paraId="0AA07BFF" w14:textId="77777777" w:rsidR="007B485D" w:rsidRPr="00727DFA" w:rsidRDefault="007B485D" w:rsidP="002D6DD7">
            <w:pPr>
              <w:jc w:val="both"/>
              <w:rPr>
                <w:rFonts w:eastAsia="DengXian"/>
                <w:szCs w:val="24"/>
              </w:rPr>
            </w:pPr>
            <w:r w:rsidRPr="00727DFA">
              <w:rPr>
                <w:rFonts w:eastAsia="DengXian"/>
                <w:szCs w:val="24"/>
              </w:rPr>
              <w:t>Body weight 12–15 kg: 3 tablet RHZ + 3 tablet ethambutol</w:t>
            </w:r>
          </w:p>
          <w:p w14:paraId="49C1AB52" w14:textId="77777777" w:rsidR="007B485D" w:rsidRPr="00727DFA" w:rsidRDefault="007B485D" w:rsidP="002D6DD7">
            <w:pPr>
              <w:jc w:val="both"/>
              <w:rPr>
                <w:rFonts w:eastAsia="DengXian"/>
                <w:szCs w:val="24"/>
              </w:rPr>
            </w:pPr>
            <w:r w:rsidRPr="00727DFA">
              <w:rPr>
                <w:rFonts w:eastAsia="DengXian"/>
                <w:szCs w:val="24"/>
              </w:rPr>
              <w:t>Body weight 16– 24kg: 4 tablet RHZ + 4 tablet ethambutol</w:t>
            </w:r>
          </w:p>
          <w:p w14:paraId="25D63FC8" w14:textId="77777777" w:rsidR="007B485D" w:rsidRPr="00727DFA" w:rsidRDefault="007B485D" w:rsidP="002D6DD7">
            <w:pPr>
              <w:jc w:val="both"/>
              <w:rPr>
                <w:rFonts w:eastAsia="DengXian"/>
                <w:szCs w:val="24"/>
              </w:rPr>
            </w:pPr>
            <w:r w:rsidRPr="00727DFA">
              <w:rPr>
                <w:rFonts w:eastAsia="DengXian"/>
                <w:szCs w:val="24"/>
              </w:rPr>
              <w:t xml:space="preserve">Body weight </w:t>
            </w:r>
            <m:oMath>
              <m:r>
                <w:rPr>
                  <w:rFonts w:ascii="Cambria Math" w:eastAsia="DengXian" w:hAnsi="Cambria Math"/>
                  <w:szCs w:val="24"/>
                </w:rPr>
                <m:t>≥</m:t>
              </m:r>
            </m:oMath>
            <w:r w:rsidRPr="00727DFA">
              <w:rPr>
                <w:rFonts w:eastAsia="DengXian"/>
                <w:szCs w:val="24"/>
              </w:rPr>
              <w:t xml:space="preserve"> 55 kg:   adult dose recommended </w:t>
            </w:r>
          </w:p>
        </w:tc>
      </w:tr>
      <w:tr w:rsidR="007B485D" w:rsidRPr="00727DFA" w14:paraId="79CF831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EB0271"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0C96909"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7688F24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8E5F1B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875B40C"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66C635D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EC42173"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54442DF"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330F2D8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0D1263"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9873528"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75C838F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526065"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B48E00D" w14:textId="77777777" w:rsidR="007B485D" w:rsidRPr="00727DFA" w:rsidRDefault="007B485D" w:rsidP="002D6DD7">
            <w:pPr>
              <w:jc w:val="both"/>
              <w:rPr>
                <w:rFonts w:eastAsia="DengXian"/>
                <w:szCs w:val="24"/>
              </w:rPr>
            </w:pPr>
            <w:r w:rsidRPr="00727DFA">
              <w:rPr>
                <w:rFonts w:eastAsia="DengXian"/>
                <w:szCs w:val="24"/>
              </w:rPr>
              <w:t>Store below 30</w:t>
            </w:r>
            <w:r w:rsidRPr="00873AF2">
              <w:rPr>
                <w:rFonts w:eastAsia="DengXian"/>
                <w:szCs w:val="24"/>
                <w:vertAlign w:val="superscript"/>
              </w:rPr>
              <w:t>o</w:t>
            </w:r>
            <w:r>
              <w:rPr>
                <w:rFonts w:eastAsia="DengXian"/>
                <w:szCs w:val="24"/>
              </w:rPr>
              <w:t>C</w:t>
            </w:r>
          </w:p>
        </w:tc>
      </w:tr>
      <w:tr w:rsidR="007B485D" w:rsidRPr="00727DFA" w14:paraId="29FE83CA"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D3F8C85" w14:textId="77777777" w:rsidR="007B485D" w:rsidRPr="00727DFA" w:rsidRDefault="007B485D" w:rsidP="002D6DD7">
            <w:pPr>
              <w:jc w:val="both"/>
              <w:rPr>
                <w:rFonts w:eastAsia="DengXian"/>
                <w:szCs w:val="24"/>
              </w:rPr>
            </w:pPr>
            <w:r w:rsidRPr="00727DFA">
              <w:rPr>
                <w:rFonts w:eastAsia="DengXian"/>
                <w:b/>
                <w:bCs/>
                <w:szCs w:val="24"/>
              </w:rPr>
              <w:t xml:space="preserve">Ethambutol + isoniazid + rifampicin </w:t>
            </w:r>
          </w:p>
        </w:tc>
      </w:tr>
      <w:tr w:rsidR="007B485D" w:rsidRPr="00727DFA" w14:paraId="349658C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129C13"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8FA4783" w14:textId="77777777" w:rsidR="007B485D" w:rsidRPr="00727DFA" w:rsidRDefault="007B485D" w:rsidP="002D6DD7">
            <w:pPr>
              <w:jc w:val="both"/>
              <w:rPr>
                <w:rFonts w:eastAsia="DengXian"/>
                <w:szCs w:val="24"/>
              </w:rPr>
            </w:pPr>
            <w:r w:rsidRPr="00727DFA">
              <w:rPr>
                <w:rFonts w:eastAsia="DengXian"/>
                <w:szCs w:val="24"/>
              </w:rPr>
              <w:t>Antitubercular combination</w:t>
            </w:r>
          </w:p>
        </w:tc>
      </w:tr>
      <w:tr w:rsidR="007B485D" w:rsidRPr="00727DFA" w14:paraId="20D54D6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D8FBF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D466674" w14:textId="77777777" w:rsidR="007B485D" w:rsidRPr="00727DFA" w:rsidRDefault="007B485D" w:rsidP="002D6DD7">
            <w:pPr>
              <w:jc w:val="both"/>
              <w:rPr>
                <w:rFonts w:eastAsia="DengXian"/>
                <w:szCs w:val="24"/>
              </w:rPr>
            </w:pPr>
            <w:r w:rsidRPr="00727DFA">
              <w:rPr>
                <w:rFonts w:eastAsia="DengXian"/>
                <w:szCs w:val="24"/>
              </w:rPr>
              <w:t>Tablet: 275mg + 75mg + 150mg</w:t>
            </w:r>
          </w:p>
        </w:tc>
      </w:tr>
      <w:tr w:rsidR="007B485D" w:rsidRPr="00727DFA" w14:paraId="71BB2ED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082DE8"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ED5F8EA" w14:textId="77777777" w:rsidR="007B485D" w:rsidRPr="00727DFA" w:rsidRDefault="007B485D" w:rsidP="002D6DD7">
            <w:pPr>
              <w:jc w:val="both"/>
              <w:rPr>
                <w:rFonts w:eastAsia="DengXian"/>
                <w:szCs w:val="24"/>
              </w:rPr>
            </w:pPr>
            <w:r w:rsidRPr="00727DFA">
              <w:rPr>
                <w:rFonts w:eastAsia="DengXian"/>
                <w:szCs w:val="24"/>
              </w:rPr>
              <w:t xml:space="preserve">For the initial (intensive phase) treatment of tuberculosis due to </w:t>
            </w:r>
            <w:r w:rsidRPr="00727DFA">
              <w:rPr>
                <w:rFonts w:eastAsia="DengXian"/>
                <w:i/>
                <w:iCs/>
                <w:szCs w:val="24"/>
              </w:rPr>
              <w:t>M. tuberculosis</w:t>
            </w:r>
            <w:r w:rsidRPr="00727DFA">
              <w:rPr>
                <w:rFonts w:eastAsia="DengXian"/>
                <w:szCs w:val="24"/>
              </w:rPr>
              <w:t xml:space="preserve"> </w:t>
            </w:r>
          </w:p>
        </w:tc>
      </w:tr>
      <w:tr w:rsidR="007B485D" w:rsidRPr="00727DFA" w14:paraId="5B852EB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0064BE"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B258BE3" w14:textId="77777777" w:rsidR="007B485D" w:rsidRPr="00727DFA" w:rsidRDefault="007B485D" w:rsidP="002D6DD7">
            <w:pPr>
              <w:jc w:val="both"/>
              <w:rPr>
                <w:rFonts w:eastAsia="DengXian"/>
                <w:szCs w:val="24"/>
              </w:rPr>
            </w:pPr>
            <w:r w:rsidRPr="00727DFA">
              <w:rPr>
                <w:rFonts w:eastAsia="DengXian"/>
                <w:b/>
                <w:bCs/>
                <w:szCs w:val="24"/>
              </w:rPr>
              <w:t>Typical recommended doses of RHE for initial (intensive phase) treatment in adults and children weighing more than 25 kg</w:t>
            </w:r>
            <w:r w:rsidRPr="00727DFA">
              <w:rPr>
                <w:rFonts w:eastAsia="DengXian"/>
                <w:szCs w:val="24"/>
              </w:rPr>
              <w:t>; Oral:</w:t>
            </w:r>
          </w:p>
          <w:p w14:paraId="1A746C84" w14:textId="77777777" w:rsidR="007B485D" w:rsidRPr="00727DFA" w:rsidRDefault="007B485D" w:rsidP="002D6DD7">
            <w:pPr>
              <w:jc w:val="both"/>
              <w:rPr>
                <w:rFonts w:eastAsia="DengXian"/>
                <w:szCs w:val="24"/>
              </w:rPr>
            </w:pPr>
            <w:r w:rsidRPr="00727DFA">
              <w:rPr>
                <w:rFonts w:eastAsia="DengXian"/>
                <w:b/>
                <w:szCs w:val="24"/>
              </w:rPr>
              <w:t>Body weight 25 -29.9 Kg:</w:t>
            </w:r>
            <w:r w:rsidRPr="00727DFA">
              <w:rPr>
                <w:rFonts w:eastAsia="DengXian"/>
                <w:szCs w:val="24"/>
              </w:rPr>
              <w:t xml:space="preserve">       2 tablets once daily</w:t>
            </w:r>
          </w:p>
          <w:p w14:paraId="7F73D0E7" w14:textId="77777777" w:rsidR="007B485D" w:rsidRPr="00727DFA" w:rsidRDefault="007B485D" w:rsidP="002D6DD7">
            <w:pPr>
              <w:jc w:val="both"/>
              <w:rPr>
                <w:rFonts w:eastAsia="DengXian"/>
                <w:szCs w:val="24"/>
              </w:rPr>
            </w:pPr>
            <w:r w:rsidRPr="00727DFA">
              <w:rPr>
                <w:rFonts w:eastAsia="DengXian"/>
                <w:b/>
                <w:szCs w:val="24"/>
              </w:rPr>
              <w:t>Body weight 30-34.9 Kg:</w:t>
            </w:r>
            <w:r w:rsidRPr="00727DFA">
              <w:rPr>
                <w:rFonts w:eastAsia="DengXian"/>
                <w:szCs w:val="24"/>
              </w:rPr>
              <w:t xml:space="preserve">        3 tablets once daily</w:t>
            </w:r>
          </w:p>
          <w:p w14:paraId="19221CAA" w14:textId="77777777" w:rsidR="007B485D" w:rsidRPr="00727DFA" w:rsidRDefault="007B485D" w:rsidP="002D6DD7">
            <w:pPr>
              <w:jc w:val="both"/>
              <w:rPr>
                <w:rFonts w:eastAsia="DengXian"/>
                <w:szCs w:val="24"/>
              </w:rPr>
            </w:pPr>
            <w:r w:rsidRPr="00727DFA">
              <w:rPr>
                <w:rFonts w:eastAsia="DengXian"/>
                <w:b/>
                <w:szCs w:val="24"/>
              </w:rPr>
              <w:lastRenderedPageBreak/>
              <w:t>Body weight 35-64.9 Kg:</w:t>
            </w:r>
            <w:r w:rsidRPr="00727DFA">
              <w:rPr>
                <w:rFonts w:eastAsia="DengXian"/>
                <w:szCs w:val="24"/>
              </w:rPr>
              <w:t xml:space="preserve">        4 tablets once daily</w:t>
            </w:r>
          </w:p>
          <w:p w14:paraId="4CB26B37" w14:textId="77777777" w:rsidR="007B485D" w:rsidRPr="00727DFA" w:rsidRDefault="007B485D" w:rsidP="002D6DD7">
            <w:pPr>
              <w:jc w:val="both"/>
              <w:rPr>
                <w:rFonts w:eastAsia="DengXian"/>
                <w:szCs w:val="24"/>
              </w:rPr>
            </w:pPr>
            <w:r w:rsidRPr="00727DFA">
              <w:rPr>
                <w:rFonts w:eastAsia="DengXian"/>
                <w:b/>
                <w:szCs w:val="24"/>
              </w:rPr>
              <w:t>Body weight &gt;65 Kg:</w:t>
            </w:r>
            <w:r w:rsidRPr="00727DFA">
              <w:rPr>
                <w:rFonts w:eastAsia="DengXian"/>
                <w:szCs w:val="24"/>
              </w:rPr>
              <w:t xml:space="preserve">              5 tablets once daily</w:t>
            </w:r>
          </w:p>
          <w:p w14:paraId="73C8056D" w14:textId="77777777" w:rsidR="007B485D" w:rsidRPr="00727DFA" w:rsidRDefault="007B485D" w:rsidP="002D6DD7">
            <w:pPr>
              <w:jc w:val="both"/>
              <w:rPr>
                <w:rFonts w:eastAsia="DengXian"/>
                <w:szCs w:val="24"/>
              </w:rPr>
            </w:pPr>
            <w:r w:rsidRPr="00727DFA">
              <w:rPr>
                <w:rFonts w:eastAsia="DengXian"/>
                <w:b/>
                <w:szCs w:val="24"/>
              </w:rPr>
              <w:t>Note</w:t>
            </w:r>
            <w:r w:rsidRPr="00727DFA">
              <w:rPr>
                <w:rFonts w:eastAsia="DengXian"/>
                <w:szCs w:val="24"/>
              </w:rPr>
              <w:t>: The efficacy of the combination has not been established in children, and this product should not be used in children under 13 years of age since safe conditions for use have not been established.</w:t>
            </w:r>
          </w:p>
        </w:tc>
      </w:tr>
      <w:tr w:rsidR="007B485D" w:rsidRPr="00727DFA" w14:paraId="08EDC4F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F5F0A83"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C23151D"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monograph</w:t>
            </w:r>
            <w:r>
              <w:rPr>
                <w:rFonts w:eastAsia="DengXian"/>
                <w:szCs w:val="24"/>
              </w:rPr>
              <w:t>.</w:t>
            </w:r>
          </w:p>
        </w:tc>
      </w:tr>
      <w:tr w:rsidR="007B485D" w:rsidRPr="00727DFA" w14:paraId="0ED9358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AAF46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D6DF83E"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to</w:t>
            </w:r>
            <w:r w:rsidRPr="00727DFA">
              <w:rPr>
                <w:rFonts w:eastAsia="DengXian"/>
                <w:szCs w:val="24"/>
              </w:rPr>
              <w:t xml:space="preserve"> individual monograph</w:t>
            </w:r>
            <w:r>
              <w:rPr>
                <w:rFonts w:eastAsia="DengXian"/>
                <w:szCs w:val="24"/>
              </w:rPr>
              <w:t>.</w:t>
            </w:r>
          </w:p>
        </w:tc>
      </w:tr>
      <w:tr w:rsidR="007B485D" w:rsidRPr="00727DFA" w14:paraId="481A8E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E7F93A"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750F6D9"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p>
        </w:tc>
      </w:tr>
      <w:tr w:rsidR="007B485D" w:rsidRPr="00727DFA" w14:paraId="58062F4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EB730C"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CA95A9F"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3DA556D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505C0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5E78350"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36A4E31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B00BED0" w14:textId="77777777" w:rsidR="007B485D" w:rsidRPr="00727DFA" w:rsidRDefault="007B485D" w:rsidP="002D6DD7">
            <w:pPr>
              <w:jc w:val="both"/>
              <w:rPr>
                <w:rFonts w:eastAsia="DengXian"/>
                <w:szCs w:val="24"/>
              </w:rPr>
            </w:pPr>
            <w:r w:rsidRPr="00727DFA">
              <w:rPr>
                <w:rFonts w:eastAsia="DengXian"/>
                <w:b/>
                <w:bCs/>
                <w:szCs w:val="24"/>
              </w:rPr>
              <w:t>Ethionamide</w:t>
            </w:r>
          </w:p>
        </w:tc>
      </w:tr>
      <w:tr w:rsidR="007B485D" w:rsidRPr="00727DFA" w14:paraId="23D35F9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A8C5A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BB40291" w14:textId="77777777" w:rsidR="007B485D" w:rsidRPr="00727DFA" w:rsidRDefault="007B485D" w:rsidP="002D6DD7">
            <w:pPr>
              <w:jc w:val="both"/>
              <w:rPr>
                <w:rFonts w:eastAsia="DengXian"/>
                <w:szCs w:val="24"/>
              </w:rPr>
            </w:pPr>
            <w:r w:rsidRPr="00727DFA">
              <w:rPr>
                <w:rFonts w:eastAsia="DengXian"/>
                <w:szCs w:val="24"/>
              </w:rPr>
              <w:t>Pyridine derivative, second line antitubercular</w:t>
            </w:r>
          </w:p>
        </w:tc>
      </w:tr>
      <w:tr w:rsidR="007B485D" w:rsidRPr="00810924" w14:paraId="3E31347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F07522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6E6F596" w14:textId="77777777" w:rsidR="007B485D" w:rsidRPr="00727DFA" w:rsidRDefault="007B485D" w:rsidP="002D6DD7">
            <w:pPr>
              <w:jc w:val="both"/>
              <w:rPr>
                <w:rFonts w:eastAsia="DengXian"/>
                <w:szCs w:val="24"/>
                <w:lang w:val="nb-NO"/>
              </w:rPr>
            </w:pPr>
            <w:r w:rsidRPr="00727DFA">
              <w:rPr>
                <w:rFonts w:eastAsia="DengXian"/>
                <w:szCs w:val="24"/>
                <w:lang w:val="nb-NO"/>
              </w:rPr>
              <w:t>Tablet: 125mg, 250mg</w:t>
            </w:r>
          </w:p>
          <w:p w14:paraId="7568527B"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125mg </w:t>
            </w:r>
          </w:p>
        </w:tc>
      </w:tr>
      <w:tr w:rsidR="007B485D" w:rsidRPr="00727DFA" w14:paraId="4617341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B695C5"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79C668D" w14:textId="77777777" w:rsidR="007B485D" w:rsidRPr="00727DFA" w:rsidRDefault="007B485D" w:rsidP="002D6DD7">
            <w:pPr>
              <w:jc w:val="both"/>
              <w:rPr>
                <w:rFonts w:eastAsia="DengXian"/>
                <w:szCs w:val="24"/>
              </w:rPr>
            </w:pPr>
            <w:r w:rsidRPr="00727DFA">
              <w:rPr>
                <w:rFonts w:eastAsia="DengXian"/>
                <w:szCs w:val="24"/>
              </w:rPr>
              <w:t>In combination with at least 2, preferably 3 (new drugs known to be active against the resistant strain) other antituberculotic agents for the treatment of all forms of resistant tuberculosis.</w:t>
            </w:r>
          </w:p>
        </w:tc>
      </w:tr>
      <w:tr w:rsidR="007B485D" w:rsidRPr="00727DFA" w14:paraId="4055FB9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357DD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62A73A2"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w:t>
            </w:r>
          </w:p>
          <w:p w14:paraId="15A2DA5C"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15 - 20 mg/kg/day as a single dose; Maximum 1 g/day. </w:t>
            </w:r>
          </w:p>
          <w:p w14:paraId="239FB0FF"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xml:space="preserve"> 10 -20 mg/kg/day in 2 – 3 divided doses after meals or 15mg/kg once daily. </w:t>
            </w:r>
          </w:p>
        </w:tc>
      </w:tr>
      <w:tr w:rsidR="007B485D" w:rsidRPr="00727DFA" w14:paraId="0E6830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A24266"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4DA1BC6" w14:textId="77777777" w:rsidR="007B485D" w:rsidRPr="00727DFA" w:rsidRDefault="007B485D" w:rsidP="002D6DD7">
            <w:pPr>
              <w:jc w:val="both"/>
              <w:rPr>
                <w:rFonts w:eastAsia="DengXian"/>
                <w:szCs w:val="24"/>
              </w:rPr>
            </w:pPr>
            <w:r w:rsidRPr="00727DFA">
              <w:rPr>
                <w:rFonts w:eastAsia="DengXian"/>
                <w:szCs w:val="24"/>
              </w:rPr>
              <w:t>Hypersensitivity</w:t>
            </w:r>
            <w:r>
              <w:rPr>
                <w:rFonts w:eastAsia="DengXian"/>
                <w:szCs w:val="24"/>
              </w:rPr>
              <w:t xml:space="preserve"> to the drugs</w:t>
            </w:r>
            <w:r w:rsidRPr="00727DFA">
              <w:rPr>
                <w:rFonts w:eastAsia="DengXian"/>
                <w:szCs w:val="24"/>
              </w:rPr>
              <w:t>, severe hepatic disease</w:t>
            </w:r>
            <w:r>
              <w:rPr>
                <w:rFonts w:eastAsia="DengXian"/>
                <w:szCs w:val="24"/>
              </w:rPr>
              <w:t>.</w:t>
            </w:r>
          </w:p>
        </w:tc>
      </w:tr>
      <w:tr w:rsidR="007B485D" w:rsidRPr="00727DFA" w14:paraId="0BB96A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25195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0490109" w14:textId="77777777" w:rsidR="007B485D" w:rsidRPr="00727DFA" w:rsidRDefault="007B485D" w:rsidP="002D6DD7">
            <w:pPr>
              <w:jc w:val="both"/>
              <w:rPr>
                <w:rFonts w:eastAsia="DengXian"/>
                <w:szCs w:val="24"/>
              </w:rPr>
            </w:pPr>
            <w:r w:rsidRPr="00727DFA">
              <w:rPr>
                <w:rFonts w:eastAsia="DengXian"/>
                <w:szCs w:val="24"/>
              </w:rPr>
              <w:t>Isoniazid, rifampcin, cycloserine</w:t>
            </w:r>
            <w:r>
              <w:rPr>
                <w:rFonts w:eastAsia="DengXian"/>
                <w:szCs w:val="24"/>
              </w:rPr>
              <w:t>,</w:t>
            </w:r>
            <w:r w:rsidRPr="00727DFA">
              <w:rPr>
                <w:rFonts w:eastAsia="DengXian"/>
                <w:szCs w:val="24"/>
              </w:rPr>
              <w:t xml:space="preserve"> terizidone.</w:t>
            </w:r>
          </w:p>
        </w:tc>
      </w:tr>
      <w:tr w:rsidR="007B485D" w:rsidRPr="00727DFA" w14:paraId="1A7BA0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28F56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55BB6AB" w14:textId="77777777" w:rsidR="007B485D" w:rsidRPr="00727DFA" w:rsidRDefault="007B485D" w:rsidP="002D6DD7">
            <w:pPr>
              <w:jc w:val="both"/>
              <w:rPr>
                <w:rFonts w:eastAsia="DengXian"/>
                <w:szCs w:val="24"/>
              </w:rPr>
            </w:pPr>
            <w:r w:rsidRPr="00727DFA">
              <w:rPr>
                <w:rFonts w:eastAsia="DengXian"/>
                <w:szCs w:val="24"/>
              </w:rPr>
              <w:t xml:space="preserve">Nausea, vomiting, diarrhea and weight loss, anorexia, metallic taste, abdominal discomfort, hypoglycemia, headache, dizziness, drowsiness, asthenia, paresthesia, seizure, pellagra-like encephalopathy, acute psychosis, anxiety and depression, optic neuritis, peripheral neuropathy responsive to pyridoxine, </w:t>
            </w:r>
            <w:r>
              <w:rPr>
                <w:rFonts w:eastAsia="DengXian"/>
                <w:szCs w:val="24"/>
              </w:rPr>
              <w:t>liver enzyme abnormality</w:t>
            </w:r>
            <w:r w:rsidRPr="00727DFA">
              <w:rPr>
                <w:rFonts w:eastAsia="DengXian"/>
                <w:szCs w:val="24"/>
              </w:rPr>
              <w:t>, hepatotoxicity</w:t>
            </w:r>
            <w:r>
              <w:rPr>
                <w:rFonts w:eastAsia="DengXian"/>
                <w:szCs w:val="24"/>
              </w:rPr>
              <w:t>.</w:t>
            </w:r>
          </w:p>
        </w:tc>
      </w:tr>
      <w:tr w:rsidR="007B485D" w:rsidRPr="00727DFA" w14:paraId="290D1A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C93B4D"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9F4A28F" w14:textId="77777777" w:rsidR="007B485D" w:rsidRPr="00727DFA" w:rsidRDefault="007B485D" w:rsidP="002D6DD7">
            <w:pPr>
              <w:jc w:val="both"/>
              <w:rPr>
                <w:rFonts w:eastAsia="DengXian"/>
                <w:szCs w:val="24"/>
              </w:rPr>
            </w:pPr>
            <w:r w:rsidRPr="00727DFA">
              <w:rPr>
                <w:rFonts w:eastAsia="DengXian"/>
                <w:szCs w:val="24"/>
              </w:rPr>
              <w:t xml:space="preserve">Depression, psychiatric illness, chronic alcoholism, epilepsy, </w:t>
            </w:r>
            <w:r w:rsidRPr="00727DFA">
              <w:rPr>
                <w:rFonts w:eastAsia="DengXian"/>
                <w:szCs w:val="24"/>
              </w:rPr>
              <w:lastRenderedPageBreak/>
              <w:t>hypothyroidism, diabetes</w:t>
            </w:r>
            <w:r>
              <w:rPr>
                <w:rFonts w:eastAsia="DengXian"/>
                <w:szCs w:val="24"/>
              </w:rPr>
              <w:t xml:space="preserve"> mellitus.</w:t>
            </w:r>
          </w:p>
        </w:tc>
      </w:tr>
      <w:tr w:rsidR="007B485D" w:rsidRPr="00727DFA" w14:paraId="776850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BF4099"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21E1715"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55E13B3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7F38FD1" w14:textId="77777777" w:rsidR="007B485D" w:rsidRPr="00727DFA" w:rsidRDefault="007B485D" w:rsidP="002D6DD7">
            <w:pPr>
              <w:jc w:val="both"/>
              <w:rPr>
                <w:rFonts w:eastAsia="DengXian"/>
                <w:szCs w:val="24"/>
              </w:rPr>
            </w:pPr>
            <w:r w:rsidRPr="00727DFA">
              <w:rPr>
                <w:rFonts w:eastAsia="DengXian"/>
                <w:b/>
                <w:bCs/>
                <w:szCs w:val="24"/>
              </w:rPr>
              <w:t>Imipenem</w:t>
            </w:r>
            <w:r>
              <w:rPr>
                <w:rFonts w:eastAsia="DengXian"/>
                <w:b/>
                <w:bCs/>
                <w:szCs w:val="24"/>
              </w:rPr>
              <w:t xml:space="preserve"> + </w:t>
            </w:r>
            <w:r w:rsidRPr="00727DFA">
              <w:rPr>
                <w:rFonts w:eastAsia="DengXian"/>
                <w:b/>
                <w:bCs/>
                <w:szCs w:val="24"/>
              </w:rPr>
              <w:t>cilastatin</w:t>
            </w:r>
          </w:p>
        </w:tc>
      </w:tr>
      <w:tr w:rsidR="007B485D" w:rsidRPr="00727DFA" w14:paraId="42B56C5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AA65CE"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0107716" w14:textId="77777777" w:rsidR="007B485D" w:rsidRPr="00727DFA" w:rsidRDefault="007B485D" w:rsidP="002D6DD7">
            <w:pPr>
              <w:jc w:val="both"/>
              <w:rPr>
                <w:rFonts w:eastAsia="DengXian"/>
                <w:szCs w:val="24"/>
              </w:rPr>
            </w:pPr>
            <w:r w:rsidRPr="00727DFA">
              <w:rPr>
                <w:rFonts w:eastAsia="DengXian"/>
                <w:szCs w:val="24"/>
              </w:rPr>
              <w:t>Carbapenem</w:t>
            </w:r>
            <w:r>
              <w:rPr>
                <w:rFonts w:eastAsia="DengXian"/>
                <w:szCs w:val="24"/>
              </w:rPr>
              <w:t xml:space="preserve"> +</w:t>
            </w:r>
            <w:r w:rsidRPr="00727DFA">
              <w:rPr>
                <w:rFonts w:eastAsia="DengXian"/>
                <w:szCs w:val="24"/>
              </w:rPr>
              <w:t xml:space="preserve"> dehydropeptidase inhibitor </w:t>
            </w:r>
          </w:p>
        </w:tc>
      </w:tr>
      <w:tr w:rsidR="007B485D" w:rsidRPr="00727DFA" w14:paraId="0D1C30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50B493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D046825" w14:textId="77777777" w:rsidR="007B485D" w:rsidRPr="00727DFA" w:rsidRDefault="007B485D" w:rsidP="002D6DD7">
            <w:pPr>
              <w:jc w:val="both"/>
              <w:rPr>
                <w:rFonts w:eastAsia="DengXian"/>
                <w:szCs w:val="24"/>
              </w:rPr>
            </w:pPr>
            <w:r w:rsidRPr="00727DFA">
              <w:rPr>
                <w:rFonts w:eastAsia="DengXian"/>
                <w:szCs w:val="24"/>
              </w:rPr>
              <w:t>Powder for injection: 500 mg</w:t>
            </w:r>
            <w:r>
              <w:rPr>
                <w:rFonts w:eastAsia="DengXian"/>
                <w:szCs w:val="24"/>
              </w:rPr>
              <w:t>+</w:t>
            </w:r>
            <w:r w:rsidRPr="00727DFA">
              <w:rPr>
                <w:rFonts w:eastAsia="DengXian"/>
                <w:szCs w:val="24"/>
              </w:rPr>
              <w:t xml:space="preserve">500 mg </w:t>
            </w:r>
          </w:p>
        </w:tc>
      </w:tr>
      <w:tr w:rsidR="007B485D" w:rsidRPr="00727DFA" w14:paraId="6BC167B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8BEEA0"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C4E1D28" w14:textId="77777777" w:rsidR="007B485D" w:rsidRPr="00727DFA" w:rsidRDefault="007B485D" w:rsidP="002D6DD7">
            <w:pPr>
              <w:jc w:val="both"/>
              <w:rPr>
                <w:rFonts w:eastAsia="DengXian"/>
                <w:szCs w:val="24"/>
              </w:rPr>
            </w:pPr>
            <w:r w:rsidRPr="00727DFA">
              <w:rPr>
                <w:rFonts w:eastAsia="DengXian"/>
                <w:szCs w:val="24"/>
              </w:rPr>
              <w:t>In MDR-TB when an effective regimen with combination of other second line drugs is not possible</w:t>
            </w:r>
            <w:r>
              <w:rPr>
                <w:rFonts w:eastAsia="DengXian"/>
                <w:szCs w:val="24"/>
              </w:rPr>
              <w:t>.</w:t>
            </w:r>
          </w:p>
        </w:tc>
      </w:tr>
      <w:tr w:rsidR="007B485D" w:rsidRPr="00727DFA" w14:paraId="4C72D26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B5A030"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3CF4C3E" w14:textId="77777777" w:rsidR="007B485D" w:rsidRPr="00727DFA" w:rsidRDefault="007B485D" w:rsidP="002D6DD7">
            <w:pPr>
              <w:jc w:val="both"/>
              <w:rPr>
                <w:rFonts w:eastAsia="DengXian"/>
                <w:szCs w:val="24"/>
              </w:rPr>
            </w:pPr>
            <w:r w:rsidRPr="00727DFA">
              <w:rPr>
                <w:rFonts w:eastAsia="DengXian"/>
                <w:b/>
                <w:bCs/>
                <w:szCs w:val="24"/>
              </w:rPr>
              <w:t>For children and adults &gt;15 years</w:t>
            </w:r>
            <w:r w:rsidR="00BA374B">
              <w:rPr>
                <w:rFonts w:eastAsia="DengXian"/>
                <w:b/>
                <w:bCs/>
                <w:szCs w:val="24"/>
              </w:rPr>
              <w:t xml:space="preserve">, </w:t>
            </w:r>
            <w:r w:rsidR="00BA374B" w:rsidRPr="00442EF0">
              <w:rPr>
                <w:rFonts w:eastAsia="DengXian"/>
                <w:bCs/>
                <w:szCs w:val="24"/>
              </w:rPr>
              <w:t>IV</w:t>
            </w:r>
            <w:r w:rsidRPr="00442EF0">
              <w:rPr>
                <w:rFonts w:eastAsia="DengXian"/>
                <w:bCs/>
                <w:szCs w:val="24"/>
              </w:rPr>
              <w:t>:</w:t>
            </w:r>
            <w:r w:rsidRPr="00442EF0">
              <w:rPr>
                <w:rFonts w:eastAsia="DengXian"/>
                <w:szCs w:val="24"/>
              </w:rPr>
              <w:t xml:space="preserve"> </w:t>
            </w:r>
            <w:r w:rsidRPr="00727DFA">
              <w:rPr>
                <w:rFonts w:eastAsia="DengXian"/>
                <w:szCs w:val="24"/>
              </w:rPr>
              <w:t>(1 g + 1 g) daily (to be used with clavulanic acid)</w:t>
            </w:r>
          </w:p>
          <w:p w14:paraId="52ACDBA3" w14:textId="77777777" w:rsidR="007B485D" w:rsidRPr="00C578D9" w:rsidRDefault="007B485D" w:rsidP="002D6DD7">
            <w:pPr>
              <w:jc w:val="both"/>
              <w:rPr>
                <w:rFonts w:eastAsia="DengXian"/>
                <w:i/>
                <w:szCs w:val="24"/>
              </w:rPr>
            </w:pPr>
            <w:r w:rsidRPr="00C578D9">
              <w:rPr>
                <w:rFonts w:eastAsia="DengXian"/>
                <w:i/>
                <w:szCs w:val="24"/>
              </w:rPr>
              <w:t>Note: Not used in patients &lt; 15 years (use meropenem)</w:t>
            </w:r>
          </w:p>
        </w:tc>
      </w:tr>
      <w:tr w:rsidR="007B485D" w:rsidRPr="00727DFA" w14:paraId="7F94FF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FDCF18"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2FEAF3A"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Imipenem-cilastatin (antibacterials)</w:t>
            </w:r>
            <w:r>
              <w:rPr>
                <w:rFonts w:eastAsia="DengXian"/>
                <w:szCs w:val="24"/>
              </w:rPr>
              <w:t>.</w:t>
            </w:r>
          </w:p>
        </w:tc>
      </w:tr>
      <w:tr w:rsidR="007B485D" w:rsidRPr="00727DFA" w14:paraId="42B7E0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2B790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8CFB0A1"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Imipenem-cilastatin (antibacterials)</w:t>
            </w:r>
            <w:r>
              <w:rPr>
                <w:rFonts w:eastAsia="DengXian"/>
                <w:szCs w:val="24"/>
              </w:rPr>
              <w:t>.</w:t>
            </w:r>
          </w:p>
        </w:tc>
      </w:tr>
      <w:tr w:rsidR="007B485D" w:rsidRPr="00727DFA" w14:paraId="28D423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215BA6"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1C5B596"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Imipenem-cilastatin (antibacterials)</w:t>
            </w:r>
            <w:r>
              <w:rPr>
                <w:rFonts w:eastAsia="DengXian"/>
                <w:szCs w:val="24"/>
              </w:rPr>
              <w:t>.</w:t>
            </w:r>
          </w:p>
        </w:tc>
      </w:tr>
      <w:tr w:rsidR="007B485D" w:rsidRPr="00727DFA" w14:paraId="63DFD5A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70D67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CE04C67"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Imipenem-cilastatin (antibacterials)</w:t>
            </w:r>
            <w:r>
              <w:rPr>
                <w:rFonts w:eastAsia="DengXian"/>
                <w:szCs w:val="24"/>
              </w:rPr>
              <w:t>.</w:t>
            </w:r>
          </w:p>
        </w:tc>
      </w:tr>
      <w:tr w:rsidR="007B485D" w:rsidRPr="00727DFA" w14:paraId="140D1BB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15018D"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9E93E70"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01C54E92"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55ED0AD4" w14:textId="77777777" w:rsidR="007B485D" w:rsidRPr="00727DFA" w:rsidRDefault="007B485D" w:rsidP="002D6DD7">
            <w:pPr>
              <w:jc w:val="both"/>
              <w:rPr>
                <w:rFonts w:eastAsia="DengXian"/>
                <w:szCs w:val="24"/>
              </w:rPr>
            </w:pPr>
            <w:r w:rsidRPr="00727DFA">
              <w:rPr>
                <w:rFonts w:eastAsia="DengXian"/>
                <w:b/>
                <w:bCs/>
                <w:szCs w:val="24"/>
              </w:rPr>
              <w:t>Isoniazid</w:t>
            </w:r>
          </w:p>
        </w:tc>
      </w:tr>
      <w:tr w:rsidR="007B485D" w:rsidRPr="00727DFA" w14:paraId="0DC103F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63EB9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950D9D1" w14:textId="77777777" w:rsidR="007B485D" w:rsidRPr="00727DFA" w:rsidRDefault="007B485D" w:rsidP="002D6DD7">
            <w:pPr>
              <w:jc w:val="both"/>
              <w:rPr>
                <w:rFonts w:eastAsia="DengXian"/>
                <w:szCs w:val="24"/>
              </w:rPr>
            </w:pPr>
            <w:r w:rsidRPr="00727DFA">
              <w:rPr>
                <w:rFonts w:eastAsia="DengXian"/>
                <w:szCs w:val="24"/>
              </w:rPr>
              <w:t>Carbohydrazide, antitubercular</w:t>
            </w:r>
          </w:p>
        </w:tc>
      </w:tr>
      <w:tr w:rsidR="007B485D" w:rsidRPr="00810924" w14:paraId="27A83EA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C26F4D"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E34C2DF" w14:textId="77777777" w:rsidR="007B485D" w:rsidRPr="00727DFA" w:rsidRDefault="007B485D" w:rsidP="002D6DD7">
            <w:pPr>
              <w:jc w:val="both"/>
              <w:rPr>
                <w:rFonts w:eastAsia="DengXian"/>
                <w:szCs w:val="24"/>
                <w:lang w:val="nb-NO"/>
              </w:rPr>
            </w:pPr>
            <w:r w:rsidRPr="00727DFA">
              <w:rPr>
                <w:rFonts w:eastAsia="DengXian"/>
                <w:szCs w:val="24"/>
                <w:lang w:val="nb-NO"/>
              </w:rPr>
              <w:t>Tablet: 100 mg, 300 mg</w:t>
            </w:r>
          </w:p>
          <w:p w14:paraId="4924E66A" w14:textId="77777777" w:rsidR="007B485D" w:rsidRPr="00727DFA" w:rsidRDefault="007B485D" w:rsidP="002D6DD7">
            <w:pPr>
              <w:jc w:val="both"/>
              <w:rPr>
                <w:rFonts w:eastAsia="DengXian"/>
                <w:szCs w:val="24"/>
                <w:lang w:val="nb-NO"/>
              </w:rPr>
            </w:pPr>
            <w:r w:rsidRPr="00727DFA">
              <w:rPr>
                <w:rFonts w:eastAsia="DengXian"/>
                <w:szCs w:val="24"/>
                <w:lang w:val="nb-NO"/>
              </w:rPr>
              <w:t>Tablet (dispersible): 100 mg</w:t>
            </w:r>
          </w:p>
        </w:tc>
      </w:tr>
      <w:tr w:rsidR="007B485D" w:rsidRPr="00727DFA" w14:paraId="076657C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789E2D"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A591ACF" w14:textId="77777777" w:rsidR="007B485D" w:rsidRPr="00727DFA" w:rsidRDefault="007B485D" w:rsidP="002D6DD7">
            <w:pPr>
              <w:jc w:val="both"/>
              <w:rPr>
                <w:rFonts w:eastAsia="DengXian"/>
                <w:szCs w:val="24"/>
              </w:rPr>
            </w:pPr>
            <w:r w:rsidRPr="00727DFA">
              <w:rPr>
                <w:rFonts w:eastAsia="DengXian"/>
                <w:szCs w:val="24"/>
              </w:rPr>
              <w:t>Tuberculosis treatment (in combination with other drugs), tuberculosis prophylaxis</w:t>
            </w:r>
            <w:r>
              <w:rPr>
                <w:rFonts w:eastAsia="DengXian"/>
                <w:szCs w:val="24"/>
              </w:rPr>
              <w:t>.</w:t>
            </w:r>
          </w:p>
        </w:tc>
      </w:tr>
      <w:tr w:rsidR="007B485D" w:rsidRPr="00727DFA" w14:paraId="1E7A79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4272A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C35C9E3" w14:textId="77777777" w:rsidR="007B485D" w:rsidRPr="00727DFA" w:rsidRDefault="007B485D" w:rsidP="002D6DD7">
            <w:pPr>
              <w:jc w:val="both"/>
              <w:rPr>
                <w:rFonts w:eastAsia="DengXian"/>
                <w:szCs w:val="24"/>
              </w:rPr>
            </w:pPr>
            <w:r w:rsidRPr="00727DFA">
              <w:rPr>
                <w:rFonts w:eastAsia="DengXian"/>
                <w:b/>
                <w:bCs/>
                <w:szCs w:val="24"/>
              </w:rPr>
              <w:t xml:space="preserve">Tuberculosis, treatment (combination therapy); </w:t>
            </w:r>
            <w:r w:rsidRPr="00727DFA">
              <w:rPr>
                <w:rFonts w:eastAsia="DengXian"/>
                <w:szCs w:val="24"/>
              </w:rPr>
              <w:t xml:space="preserve">Oral: </w:t>
            </w:r>
          </w:p>
          <w:p w14:paraId="568ED31E"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5mg/kg (4-6 mg/kg) daily (maximum, 300 mg daily)</w:t>
            </w:r>
          </w:p>
          <w:p w14:paraId="404614F1"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7 - 15 mg/kg daily (maximum, 300 mg daily)</w:t>
            </w:r>
          </w:p>
          <w:p w14:paraId="5B9E42BB" w14:textId="77777777" w:rsidR="007B485D" w:rsidRPr="00727DFA" w:rsidRDefault="007B485D" w:rsidP="002D6DD7">
            <w:pPr>
              <w:jc w:val="both"/>
              <w:rPr>
                <w:rFonts w:eastAsia="DengXian"/>
                <w:b/>
                <w:bCs/>
                <w:szCs w:val="24"/>
              </w:rPr>
            </w:pPr>
            <w:r w:rsidRPr="00727DFA">
              <w:rPr>
                <w:rFonts w:eastAsia="DengXian"/>
                <w:b/>
                <w:bCs/>
                <w:szCs w:val="24"/>
              </w:rPr>
              <w:t xml:space="preserve">Tuberculosis, prophylaxis; </w:t>
            </w:r>
            <w:r w:rsidRPr="00727DFA">
              <w:rPr>
                <w:rFonts w:eastAsia="DengXian"/>
                <w:szCs w:val="24"/>
              </w:rPr>
              <w:t>Oral:</w:t>
            </w:r>
          </w:p>
          <w:p w14:paraId="6172F053"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300mg daily for at least 6 months: </w:t>
            </w:r>
          </w:p>
          <w:p w14:paraId="117A8BAD" w14:textId="77777777" w:rsidR="007B485D" w:rsidRPr="00727DFA" w:rsidRDefault="007B485D" w:rsidP="002D6DD7">
            <w:pPr>
              <w:jc w:val="both"/>
              <w:rPr>
                <w:rFonts w:eastAsia="DengXian"/>
                <w:szCs w:val="24"/>
              </w:rPr>
            </w:pPr>
            <w:r w:rsidRPr="00727DFA">
              <w:rPr>
                <w:rFonts w:eastAsia="DengXian"/>
                <w:b/>
                <w:bCs/>
                <w:szCs w:val="24"/>
              </w:rPr>
              <w:t>Child 1 month-11 years: 10</w:t>
            </w:r>
            <w:r w:rsidRPr="00727DFA">
              <w:rPr>
                <w:rFonts w:eastAsia="DengXian"/>
                <w:szCs w:val="24"/>
              </w:rPr>
              <w:t xml:space="preserve"> mg/kg daily (maximum, 300 mg daily) for 6 months</w:t>
            </w:r>
          </w:p>
          <w:p w14:paraId="254D386D" w14:textId="77777777" w:rsidR="007B485D" w:rsidRPr="00727DFA" w:rsidRDefault="007B485D" w:rsidP="002D6DD7">
            <w:pPr>
              <w:jc w:val="both"/>
              <w:rPr>
                <w:rFonts w:eastAsia="DengXian"/>
                <w:szCs w:val="24"/>
              </w:rPr>
            </w:pPr>
            <w:r w:rsidRPr="00727DFA">
              <w:rPr>
                <w:rFonts w:eastAsia="DengXian"/>
                <w:b/>
                <w:bCs/>
                <w:szCs w:val="24"/>
              </w:rPr>
              <w:t>Child 12-17 years:</w:t>
            </w:r>
            <w:r w:rsidRPr="00727DFA">
              <w:rPr>
                <w:rFonts w:eastAsia="DengXian"/>
                <w:szCs w:val="24"/>
              </w:rPr>
              <w:t xml:space="preserve"> 300 mg daily for 6 months</w:t>
            </w:r>
          </w:p>
        </w:tc>
      </w:tr>
      <w:tr w:rsidR="007B485D" w:rsidRPr="00727DFA" w14:paraId="243F1B1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93FD6A"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76DA426" w14:textId="77777777" w:rsidR="007B485D" w:rsidRPr="00727DFA" w:rsidRDefault="007B485D" w:rsidP="002D6DD7">
            <w:pPr>
              <w:jc w:val="both"/>
              <w:rPr>
                <w:rFonts w:eastAsia="DengXian"/>
                <w:szCs w:val="24"/>
              </w:rPr>
            </w:pPr>
            <w:r w:rsidRPr="00727DFA">
              <w:rPr>
                <w:rFonts w:eastAsia="DengXian"/>
                <w:szCs w:val="24"/>
              </w:rPr>
              <w:t xml:space="preserve">Hypersensitive to </w:t>
            </w:r>
            <w:r>
              <w:rPr>
                <w:rFonts w:eastAsia="DengXian"/>
                <w:szCs w:val="24"/>
              </w:rPr>
              <w:t xml:space="preserve">the drug, </w:t>
            </w:r>
            <w:r w:rsidRPr="00727DFA">
              <w:rPr>
                <w:rFonts w:eastAsia="DengXian"/>
                <w:szCs w:val="24"/>
              </w:rPr>
              <w:t>drug-induced liver disease</w:t>
            </w:r>
            <w:r>
              <w:rPr>
                <w:rFonts w:eastAsia="DengXian"/>
                <w:szCs w:val="24"/>
              </w:rPr>
              <w:t>.</w:t>
            </w:r>
          </w:p>
        </w:tc>
      </w:tr>
      <w:tr w:rsidR="007B485D" w:rsidRPr="00727DFA" w14:paraId="63F1A57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FE7681"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414FB17" w14:textId="77777777" w:rsidR="007B485D" w:rsidRPr="00727DFA" w:rsidRDefault="007B485D" w:rsidP="002D6DD7">
            <w:pPr>
              <w:jc w:val="both"/>
              <w:rPr>
                <w:rFonts w:eastAsia="DengXian"/>
                <w:szCs w:val="24"/>
              </w:rPr>
            </w:pPr>
            <w:r w:rsidRPr="00727DFA">
              <w:rPr>
                <w:rFonts w:eastAsia="DengXian"/>
                <w:szCs w:val="24"/>
              </w:rPr>
              <w:t>Carbamazepine,</w:t>
            </w:r>
            <w:r>
              <w:rPr>
                <w:rFonts w:eastAsia="DengXian"/>
                <w:szCs w:val="24"/>
              </w:rPr>
              <w:t xml:space="preserve"> rifampin,</w:t>
            </w:r>
            <w:r w:rsidRPr="00727DFA">
              <w:rPr>
                <w:rFonts w:eastAsia="DengXian"/>
                <w:szCs w:val="24"/>
              </w:rPr>
              <w:t xml:space="preserve"> ethosuximide, warfarin, aluminium hydroxide, phenytoin, serotonergic agents, ketoconazole, </w:t>
            </w:r>
            <w:r w:rsidRPr="00873AF2">
              <w:rPr>
                <w:rFonts w:eastAsia="DengXian"/>
                <w:szCs w:val="24"/>
              </w:rPr>
              <w:t>alfuzosin</w:t>
            </w:r>
            <w:r w:rsidRPr="0063309C">
              <w:rPr>
                <w:rFonts w:eastAsia="DengXian"/>
                <w:szCs w:val="24"/>
              </w:rPr>
              <w:t>,</w:t>
            </w:r>
            <w:r>
              <w:rPr>
                <w:rFonts w:eastAsia="DengXian"/>
                <w:szCs w:val="24"/>
              </w:rPr>
              <w:t xml:space="preserve"> </w:t>
            </w:r>
            <w:r w:rsidRPr="00873AF2">
              <w:rPr>
                <w:rFonts w:eastAsia="DengXian"/>
                <w:szCs w:val="24"/>
              </w:rPr>
              <w:t>bedaquiline,</w:t>
            </w:r>
            <w:r w:rsidRPr="0063309C">
              <w:rPr>
                <w:rFonts w:eastAsia="DengXian"/>
                <w:szCs w:val="24"/>
              </w:rPr>
              <w:t xml:space="preserve"> </w:t>
            </w:r>
            <w:r w:rsidRPr="00873AF2">
              <w:rPr>
                <w:rFonts w:eastAsia="DengXian"/>
                <w:szCs w:val="24"/>
              </w:rPr>
              <w:t>clopidogrel, erythromycin,</w:t>
            </w:r>
            <w:r>
              <w:rPr>
                <w:rFonts w:eastAsia="DengXian"/>
                <w:szCs w:val="24"/>
              </w:rPr>
              <w:t xml:space="preserve"> </w:t>
            </w:r>
            <w:r w:rsidRPr="00873AF2">
              <w:rPr>
                <w:rFonts w:eastAsia="DengXian"/>
                <w:szCs w:val="24"/>
              </w:rPr>
              <w:t>esomeprazole/omeprazole, fentanyl</w:t>
            </w:r>
            <w:r w:rsidRPr="0063309C">
              <w:rPr>
                <w:rFonts w:eastAsia="DengXian"/>
                <w:szCs w:val="24"/>
              </w:rPr>
              <w:t xml:space="preserve">, </w:t>
            </w:r>
            <w:r w:rsidRPr="00873AF2">
              <w:rPr>
                <w:rFonts w:eastAsia="DengXian"/>
                <w:szCs w:val="24"/>
              </w:rPr>
              <w:t>fluticasone,</w:t>
            </w:r>
            <w:r w:rsidRPr="0063309C">
              <w:rPr>
                <w:rFonts w:eastAsia="DengXian"/>
                <w:szCs w:val="24"/>
              </w:rPr>
              <w:t xml:space="preserve"> </w:t>
            </w:r>
            <w:r w:rsidRPr="00873AF2">
              <w:rPr>
                <w:rFonts w:eastAsia="DengXian"/>
                <w:szCs w:val="24"/>
              </w:rPr>
              <w:t>linezolid,</w:t>
            </w:r>
            <w:r>
              <w:rPr>
                <w:rFonts w:eastAsia="DengXian"/>
                <w:szCs w:val="24"/>
              </w:rPr>
              <w:t xml:space="preserve"> </w:t>
            </w:r>
            <w:r w:rsidRPr="00727DFA">
              <w:rPr>
                <w:rFonts w:eastAsia="DengXian"/>
                <w:szCs w:val="24"/>
              </w:rPr>
              <w:t>valproate, inhibitor of monoamine oxidase (MAO), benzodiazepine, food containing tyramine and histamine</w:t>
            </w:r>
            <w:r>
              <w:rPr>
                <w:rFonts w:eastAsia="DengXian"/>
                <w:szCs w:val="24"/>
              </w:rPr>
              <w:t>.</w:t>
            </w:r>
          </w:p>
        </w:tc>
      </w:tr>
      <w:tr w:rsidR="007B485D" w:rsidRPr="00727DFA" w14:paraId="06C0CF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6535F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DD45B55" w14:textId="77777777" w:rsidR="007B485D" w:rsidRPr="00727DFA" w:rsidRDefault="007B485D" w:rsidP="002D6DD7">
            <w:pPr>
              <w:jc w:val="both"/>
              <w:rPr>
                <w:rFonts w:eastAsia="DengXian"/>
                <w:szCs w:val="24"/>
              </w:rPr>
            </w:pPr>
            <w:r w:rsidRPr="00727DFA">
              <w:rPr>
                <w:rFonts w:eastAsia="DengXian"/>
                <w:szCs w:val="24"/>
              </w:rPr>
              <w:t>Hypersensitivity reactions including fever, skin rash, sleepiness and lethargy, peripheral neuropathy (paresthesia, numbness and limb pain), hepatitis, convulsions, pellagra, arthralgia, hypoglycemia, blood disorders including agranulocytosis, agranulocytosis, aplastic anemia, hemolytic anemia, gynaecomastia, convulsion</w:t>
            </w:r>
            <w:r>
              <w:rPr>
                <w:rFonts w:eastAsia="DengXian"/>
                <w:szCs w:val="24"/>
              </w:rPr>
              <w:t>.</w:t>
            </w:r>
          </w:p>
        </w:tc>
      </w:tr>
      <w:tr w:rsidR="007B485D" w:rsidRPr="00727DFA" w14:paraId="5BDEB4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F1CCE9"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304ED8C4" w14:textId="77777777" w:rsidR="007B485D" w:rsidRPr="00727DFA" w:rsidRDefault="007B485D" w:rsidP="002D6DD7">
            <w:pPr>
              <w:jc w:val="both"/>
              <w:rPr>
                <w:rFonts w:eastAsia="DengXian"/>
                <w:szCs w:val="24"/>
              </w:rPr>
            </w:pPr>
            <w:r w:rsidRPr="00727DFA">
              <w:rPr>
                <w:rFonts w:eastAsia="DengXian"/>
                <w:szCs w:val="24"/>
              </w:rPr>
              <w:t>Acute porphyrias, alcohol dependence, diabetes mellitus, epilepsy, history of psychosis, HIV infection, malnutrition, slow acetylator status, pregnancy, breastfeeding, renal impairment, hepatic impairment</w:t>
            </w:r>
            <w:r>
              <w:rPr>
                <w:rFonts w:eastAsia="DengXian"/>
                <w:szCs w:val="24"/>
              </w:rPr>
              <w:t>.</w:t>
            </w:r>
          </w:p>
        </w:tc>
      </w:tr>
      <w:tr w:rsidR="007B485D" w:rsidRPr="00727DFA" w14:paraId="0FD4D0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ADBF8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9983923"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 xml:space="preserve">C. </w:t>
            </w:r>
          </w:p>
        </w:tc>
      </w:tr>
      <w:tr w:rsidR="007B485D" w:rsidRPr="00727DFA" w14:paraId="64FE6472"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25FEC6F" w14:textId="77777777" w:rsidR="007B485D" w:rsidRPr="00727DFA" w:rsidRDefault="007B485D" w:rsidP="002D6DD7">
            <w:pPr>
              <w:jc w:val="both"/>
              <w:rPr>
                <w:rFonts w:eastAsia="DengXian"/>
                <w:szCs w:val="24"/>
              </w:rPr>
            </w:pPr>
            <w:r w:rsidRPr="00727DFA">
              <w:rPr>
                <w:rFonts w:eastAsia="DengXian"/>
                <w:b/>
                <w:bCs/>
                <w:szCs w:val="24"/>
              </w:rPr>
              <w:t xml:space="preserve">Isoniazid + </w:t>
            </w:r>
            <w:r>
              <w:rPr>
                <w:rFonts w:eastAsia="DengXian"/>
                <w:b/>
                <w:bCs/>
                <w:szCs w:val="24"/>
              </w:rPr>
              <w:t>p</w:t>
            </w:r>
            <w:r w:rsidRPr="00727DFA">
              <w:rPr>
                <w:rFonts w:eastAsia="DengXian"/>
                <w:b/>
                <w:bCs/>
                <w:szCs w:val="24"/>
              </w:rPr>
              <w:t xml:space="preserve">yrazinamide + </w:t>
            </w:r>
            <w:r>
              <w:rPr>
                <w:rFonts w:eastAsia="DengXian"/>
                <w:b/>
                <w:bCs/>
                <w:szCs w:val="24"/>
              </w:rPr>
              <w:t>r</w:t>
            </w:r>
            <w:r w:rsidRPr="00727DFA">
              <w:rPr>
                <w:rFonts w:eastAsia="DengXian"/>
                <w:b/>
                <w:bCs/>
                <w:szCs w:val="24"/>
              </w:rPr>
              <w:t>ifampicin</w:t>
            </w:r>
          </w:p>
        </w:tc>
      </w:tr>
      <w:tr w:rsidR="007B485D" w:rsidRPr="00727DFA" w14:paraId="275D20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6048A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ECFDCFA" w14:textId="77777777" w:rsidR="007B485D" w:rsidRPr="00727DFA" w:rsidRDefault="007B485D" w:rsidP="002D6DD7">
            <w:pPr>
              <w:jc w:val="both"/>
              <w:rPr>
                <w:rFonts w:eastAsia="DengXian"/>
                <w:szCs w:val="24"/>
              </w:rPr>
            </w:pPr>
            <w:r w:rsidRPr="00727DFA">
              <w:rPr>
                <w:rFonts w:eastAsia="DengXian"/>
                <w:szCs w:val="24"/>
              </w:rPr>
              <w:t>Antitubercular combination</w:t>
            </w:r>
          </w:p>
        </w:tc>
      </w:tr>
      <w:tr w:rsidR="007B485D" w:rsidRPr="00810924" w14:paraId="247974B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A2E27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5D6F056" w14:textId="77777777" w:rsidR="007B485D" w:rsidRPr="00727DFA" w:rsidRDefault="007B485D" w:rsidP="002D6DD7">
            <w:pPr>
              <w:jc w:val="both"/>
              <w:rPr>
                <w:rFonts w:eastAsia="DengXian"/>
                <w:szCs w:val="24"/>
                <w:lang w:val="nb-NO"/>
              </w:rPr>
            </w:pPr>
            <w:r w:rsidRPr="00727DFA">
              <w:rPr>
                <w:rFonts w:eastAsia="DengXian"/>
                <w:szCs w:val="24"/>
                <w:lang w:val="nb-NO"/>
              </w:rPr>
              <w:t>Tablet: 75 mg + 400 mg + 150 mg.</w:t>
            </w:r>
          </w:p>
          <w:p w14:paraId="71CEC571" w14:textId="77777777" w:rsidR="007B485D" w:rsidRPr="00727DFA" w:rsidRDefault="007B485D" w:rsidP="002D6DD7">
            <w:pPr>
              <w:jc w:val="both"/>
              <w:rPr>
                <w:rFonts w:eastAsia="DengXian"/>
                <w:szCs w:val="24"/>
                <w:lang w:val="nb-NO"/>
              </w:rPr>
            </w:pPr>
            <w:r w:rsidRPr="00727DFA">
              <w:rPr>
                <w:rFonts w:eastAsia="DengXian"/>
                <w:szCs w:val="24"/>
                <w:lang w:val="nb-NO"/>
              </w:rPr>
              <w:t>Tablet (dispersible): 50 mg + 150 mg + 75 mg.</w:t>
            </w:r>
          </w:p>
        </w:tc>
      </w:tr>
      <w:tr w:rsidR="007B485D" w:rsidRPr="00727DFA" w14:paraId="2CB0AF8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7F6346"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C10699E" w14:textId="77777777" w:rsidR="007B485D" w:rsidRPr="00727DFA" w:rsidRDefault="007B485D" w:rsidP="002D6DD7">
            <w:pPr>
              <w:jc w:val="both"/>
              <w:rPr>
                <w:rFonts w:eastAsia="DengXian"/>
                <w:szCs w:val="24"/>
              </w:rPr>
            </w:pPr>
            <w:r w:rsidRPr="00727DFA">
              <w:rPr>
                <w:rFonts w:eastAsia="DengXian"/>
                <w:szCs w:val="24"/>
              </w:rPr>
              <w:t>For the initial intensive phase of the short-course treatment of pulmonary TB (in combination with ethambutol)</w:t>
            </w:r>
            <w:r>
              <w:rPr>
                <w:rFonts w:eastAsia="DengXian"/>
                <w:szCs w:val="24"/>
              </w:rPr>
              <w:t>.</w:t>
            </w:r>
          </w:p>
        </w:tc>
      </w:tr>
      <w:tr w:rsidR="007B485D" w:rsidRPr="00727DFA" w14:paraId="767D793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4AEC2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25204F6" w14:textId="77777777" w:rsidR="007B485D" w:rsidRPr="00727DFA" w:rsidRDefault="007B485D" w:rsidP="002D6DD7">
            <w:pPr>
              <w:jc w:val="both"/>
              <w:rPr>
                <w:rFonts w:eastAsia="DengXian"/>
                <w:b/>
                <w:bCs/>
                <w:szCs w:val="24"/>
              </w:rPr>
            </w:pPr>
            <w:r w:rsidRPr="00727DFA">
              <w:rPr>
                <w:rFonts w:eastAsia="DengXian"/>
                <w:b/>
                <w:bCs/>
                <w:szCs w:val="24"/>
              </w:rPr>
              <w:t xml:space="preserve">Adult </w:t>
            </w:r>
          </w:p>
          <w:p w14:paraId="1F9509B7" w14:textId="77777777" w:rsidR="007B485D" w:rsidRPr="00727DFA" w:rsidRDefault="007B485D" w:rsidP="002D6DD7">
            <w:pPr>
              <w:jc w:val="both"/>
              <w:rPr>
                <w:rFonts w:eastAsia="DengXian"/>
                <w:szCs w:val="24"/>
              </w:rPr>
            </w:pPr>
            <w:r w:rsidRPr="005B4B83">
              <w:rPr>
                <w:rFonts w:eastAsia="DengXian"/>
                <w:b/>
                <w:szCs w:val="24"/>
              </w:rPr>
              <w:t>Body weight 20–29 kg</w:t>
            </w:r>
            <w:r w:rsidRPr="00727DFA">
              <w:rPr>
                <w:rFonts w:eastAsia="DengXian"/>
                <w:szCs w:val="24"/>
              </w:rPr>
              <w:t>:  1 1/2 tablets daily</w:t>
            </w:r>
          </w:p>
          <w:p w14:paraId="33A27BBD" w14:textId="77777777" w:rsidR="007B485D" w:rsidRPr="00727DFA" w:rsidRDefault="007B485D" w:rsidP="002D6DD7">
            <w:pPr>
              <w:jc w:val="both"/>
              <w:rPr>
                <w:rFonts w:eastAsia="DengXian"/>
                <w:szCs w:val="24"/>
              </w:rPr>
            </w:pPr>
            <w:r w:rsidRPr="005B4B83">
              <w:rPr>
                <w:rFonts w:eastAsia="DengXian"/>
                <w:b/>
                <w:szCs w:val="24"/>
              </w:rPr>
              <w:t>Body weight 30–39 kg</w:t>
            </w:r>
            <w:r w:rsidRPr="00727DFA">
              <w:rPr>
                <w:rFonts w:eastAsia="DengXian"/>
                <w:szCs w:val="24"/>
              </w:rPr>
              <w:t xml:space="preserve">:  2 tablets daily </w:t>
            </w:r>
          </w:p>
          <w:p w14:paraId="7B71CC5C" w14:textId="77777777" w:rsidR="007B485D" w:rsidRPr="00727DFA" w:rsidRDefault="007B485D" w:rsidP="002D6DD7">
            <w:pPr>
              <w:jc w:val="both"/>
              <w:rPr>
                <w:rFonts w:eastAsia="DengXian"/>
                <w:szCs w:val="24"/>
              </w:rPr>
            </w:pPr>
            <w:r w:rsidRPr="005B4B83">
              <w:rPr>
                <w:rFonts w:eastAsia="DengXian"/>
                <w:b/>
                <w:szCs w:val="24"/>
              </w:rPr>
              <w:t>Body weight 40–54 kg</w:t>
            </w:r>
            <w:r w:rsidRPr="00727DFA">
              <w:rPr>
                <w:rFonts w:eastAsia="DengXian"/>
                <w:szCs w:val="24"/>
              </w:rPr>
              <w:t>: 3 tablets daily</w:t>
            </w:r>
          </w:p>
          <w:p w14:paraId="57B9E94B" w14:textId="77777777" w:rsidR="007B485D" w:rsidRPr="00727DFA" w:rsidRDefault="007B485D" w:rsidP="002D6DD7">
            <w:pPr>
              <w:jc w:val="both"/>
              <w:rPr>
                <w:rFonts w:eastAsia="DengXian"/>
                <w:szCs w:val="24"/>
              </w:rPr>
            </w:pPr>
            <w:r w:rsidRPr="005B4B83">
              <w:rPr>
                <w:rFonts w:eastAsia="DengXian"/>
                <w:b/>
                <w:szCs w:val="24"/>
              </w:rPr>
              <w:t>Body weight ≥ 55 kg</w:t>
            </w:r>
            <w:r w:rsidRPr="00727DFA">
              <w:rPr>
                <w:rFonts w:eastAsia="DengXian"/>
                <w:szCs w:val="24"/>
              </w:rPr>
              <w:t>:     4 tablets daily</w:t>
            </w:r>
          </w:p>
          <w:p w14:paraId="1237D677" w14:textId="77777777" w:rsidR="007B485D" w:rsidRPr="00727DFA" w:rsidRDefault="007B485D" w:rsidP="002D6DD7">
            <w:pPr>
              <w:jc w:val="both"/>
              <w:rPr>
                <w:rFonts w:eastAsia="DengXian"/>
                <w:b/>
                <w:bCs/>
                <w:szCs w:val="24"/>
              </w:rPr>
            </w:pPr>
            <w:r>
              <w:rPr>
                <w:rFonts w:eastAsia="DengXian"/>
                <w:b/>
                <w:bCs/>
                <w:szCs w:val="24"/>
              </w:rPr>
              <w:t>Child</w:t>
            </w:r>
          </w:p>
          <w:p w14:paraId="032B3C25" w14:textId="77777777" w:rsidR="007B485D" w:rsidRPr="00727DFA" w:rsidRDefault="007B485D" w:rsidP="002D6DD7">
            <w:pPr>
              <w:jc w:val="both"/>
              <w:rPr>
                <w:rFonts w:eastAsia="DengXian"/>
                <w:szCs w:val="24"/>
              </w:rPr>
            </w:pPr>
            <w:r w:rsidRPr="00672519">
              <w:rPr>
                <w:rFonts w:eastAsia="DengXian"/>
                <w:b/>
                <w:szCs w:val="24"/>
              </w:rPr>
              <w:t xml:space="preserve">Body weight 4–7 kg:  </w:t>
            </w:r>
            <w:r w:rsidRPr="00727DFA">
              <w:rPr>
                <w:rFonts w:eastAsia="DengXian"/>
                <w:szCs w:val="24"/>
              </w:rPr>
              <w:t xml:space="preserve">  1 tablet RHZ </w:t>
            </w:r>
          </w:p>
          <w:p w14:paraId="2CAF11AA" w14:textId="77777777" w:rsidR="007B485D" w:rsidRPr="00727DFA" w:rsidRDefault="007B485D" w:rsidP="002D6DD7">
            <w:pPr>
              <w:jc w:val="both"/>
              <w:rPr>
                <w:rFonts w:eastAsia="DengXian"/>
                <w:szCs w:val="24"/>
              </w:rPr>
            </w:pPr>
            <w:r w:rsidRPr="00672519">
              <w:rPr>
                <w:rFonts w:eastAsia="DengXian"/>
                <w:b/>
                <w:szCs w:val="24"/>
              </w:rPr>
              <w:t>Body weight 8–11 kg:</w:t>
            </w:r>
            <w:r w:rsidRPr="00727DFA">
              <w:rPr>
                <w:rFonts w:eastAsia="DengXian"/>
                <w:szCs w:val="24"/>
              </w:rPr>
              <w:t xml:space="preserve">  2 tablet RHZ </w:t>
            </w:r>
          </w:p>
          <w:p w14:paraId="53455F68" w14:textId="77777777" w:rsidR="007B485D" w:rsidRPr="00727DFA" w:rsidRDefault="007B485D" w:rsidP="002D6DD7">
            <w:pPr>
              <w:jc w:val="both"/>
              <w:rPr>
                <w:rFonts w:eastAsia="DengXian"/>
                <w:szCs w:val="24"/>
              </w:rPr>
            </w:pPr>
            <w:r w:rsidRPr="00672519">
              <w:rPr>
                <w:rFonts w:eastAsia="DengXian"/>
                <w:b/>
                <w:szCs w:val="24"/>
              </w:rPr>
              <w:t>Body weight 12–15 kg:</w:t>
            </w:r>
            <w:r w:rsidRPr="00727DFA">
              <w:rPr>
                <w:rFonts w:eastAsia="DengXian"/>
                <w:szCs w:val="24"/>
              </w:rPr>
              <w:t xml:space="preserve"> 3 tablet RHZ </w:t>
            </w:r>
          </w:p>
          <w:p w14:paraId="2769EF8D" w14:textId="77777777" w:rsidR="007B485D" w:rsidRPr="00727DFA" w:rsidRDefault="007B485D" w:rsidP="002D6DD7">
            <w:pPr>
              <w:jc w:val="both"/>
              <w:rPr>
                <w:rFonts w:eastAsia="DengXian"/>
                <w:szCs w:val="24"/>
              </w:rPr>
            </w:pPr>
            <w:r w:rsidRPr="00EE2696">
              <w:rPr>
                <w:rFonts w:eastAsia="DengXian"/>
                <w:b/>
                <w:szCs w:val="24"/>
              </w:rPr>
              <w:lastRenderedPageBreak/>
              <w:t>Body weight 16– 24kg</w:t>
            </w:r>
            <w:r w:rsidRPr="00727DFA">
              <w:rPr>
                <w:rFonts w:eastAsia="DengXian"/>
                <w:szCs w:val="24"/>
              </w:rPr>
              <w:t>: 4 tablet RHZ</w:t>
            </w:r>
          </w:p>
          <w:p w14:paraId="2617B4BD" w14:textId="77777777" w:rsidR="007B485D" w:rsidRPr="00727DFA" w:rsidRDefault="007B485D" w:rsidP="002D6DD7">
            <w:pPr>
              <w:jc w:val="both"/>
              <w:rPr>
                <w:rFonts w:eastAsia="DengXian"/>
                <w:szCs w:val="24"/>
              </w:rPr>
            </w:pPr>
            <w:r w:rsidRPr="00EE2696">
              <w:rPr>
                <w:rFonts w:eastAsia="DengXian"/>
                <w:b/>
                <w:szCs w:val="24"/>
              </w:rPr>
              <w:t>Body weight ≥ 55 kg</w:t>
            </w:r>
            <w:r w:rsidRPr="00727DFA">
              <w:rPr>
                <w:rFonts w:eastAsia="DengXian"/>
                <w:szCs w:val="24"/>
              </w:rPr>
              <w:t>:   adult dose recommended</w:t>
            </w:r>
          </w:p>
        </w:tc>
      </w:tr>
      <w:tr w:rsidR="007B485D" w:rsidRPr="00727DFA" w14:paraId="57527EE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69F5864"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A0EDD73"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to</w:t>
            </w:r>
            <w:r w:rsidRPr="00727DFA">
              <w:rPr>
                <w:rFonts w:eastAsia="DengXian"/>
                <w:szCs w:val="24"/>
              </w:rPr>
              <w:t xml:space="preserve"> individual monograph</w:t>
            </w:r>
            <w:r>
              <w:rPr>
                <w:rFonts w:eastAsia="DengXian"/>
                <w:szCs w:val="24"/>
              </w:rPr>
              <w:t>.</w:t>
            </w:r>
          </w:p>
        </w:tc>
      </w:tr>
      <w:tr w:rsidR="007B485D" w:rsidRPr="00727DFA" w14:paraId="56698C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DB8D55"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BC9C3CF"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monograph</w:t>
            </w:r>
            <w:r>
              <w:rPr>
                <w:rFonts w:eastAsia="DengXian"/>
                <w:szCs w:val="24"/>
              </w:rPr>
              <w:t>.</w:t>
            </w:r>
          </w:p>
        </w:tc>
      </w:tr>
      <w:tr w:rsidR="007B485D" w:rsidRPr="00727DFA" w14:paraId="67C428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2FB7BB"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3A839F5"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monograph</w:t>
            </w:r>
            <w:r>
              <w:rPr>
                <w:rFonts w:eastAsia="DengXian"/>
                <w:szCs w:val="24"/>
              </w:rPr>
              <w:t>.</w:t>
            </w:r>
          </w:p>
        </w:tc>
      </w:tr>
      <w:tr w:rsidR="007B485D" w:rsidRPr="00727DFA" w14:paraId="4DDB98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48D439"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40278A7"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monograph</w:t>
            </w:r>
            <w:r>
              <w:rPr>
                <w:rFonts w:eastAsia="DengXian"/>
                <w:szCs w:val="24"/>
              </w:rPr>
              <w:t>.</w:t>
            </w:r>
          </w:p>
        </w:tc>
      </w:tr>
      <w:tr w:rsidR="007B485D" w:rsidRPr="00727DFA" w14:paraId="4D897DC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84AD0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8EED5B7" w14:textId="77777777" w:rsidR="007B485D" w:rsidRPr="00727DFA" w:rsidRDefault="007B485D" w:rsidP="002D6DD7">
            <w:pPr>
              <w:jc w:val="both"/>
              <w:rPr>
                <w:rFonts w:eastAsia="DengXian"/>
                <w:szCs w:val="24"/>
              </w:rPr>
            </w:pPr>
            <w:r w:rsidRPr="00727DFA">
              <w:rPr>
                <w:rFonts w:eastAsia="DengXian"/>
                <w:szCs w:val="24"/>
              </w:rPr>
              <w:t xml:space="preserve">Store below </w:t>
            </w:r>
            <w:r>
              <w:rPr>
                <w:rFonts w:eastAsia="DengXian"/>
                <w:szCs w:val="24"/>
              </w:rPr>
              <w:t>30</w:t>
            </w:r>
            <w:r w:rsidRPr="00727DFA">
              <w:rPr>
                <w:rFonts w:eastAsia="DengXian"/>
                <w:szCs w:val="24"/>
              </w:rPr>
              <w:t>° C.</w:t>
            </w:r>
          </w:p>
        </w:tc>
      </w:tr>
      <w:tr w:rsidR="007B485D" w:rsidRPr="00727DFA" w14:paraId="233D4ED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EAC4E1C" w14:textId="77777777" w:rsidR="007B485D" w:rsidRPr="00727DFA" w:rsidRDefault="007B485D" w:rsidP="002D6DD7">
            <w:pPr>
              <w:jc w:val="both"/>
              <w:rPr>
                <w:rFonts w:eastAsia="DengXian"/>
                <w:b/>
                <w:bCs/>
                <w:szCs w:val="24"/>
              </w:rPr>
            </w:pPr>
            <w:r w:rsidRPr="00727DFA">
              <w:rPr>
                <w:rFonts w:eastAsia="DengXian"/>
                <w:b/>
                <w:bCs/>
                <w:szCs w:val="24"/>
              </w:rPr>
              <w:t>Isoniazid + Rifampicin</w:t>
            </w:r>
          </w:p>
        </w:tc>
      </w:tr>
      <w:tr w:rsidR="007B485D" w:rsidRPr="00727DFA" w14:paraId="1B1B49C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05FFE0"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B35D438" w14:textId="77777777" w:rsidR="007B485D" w:rsidRPr="00727DFA" w:rsidRDefault="007B485D" w:rsidP="002D6DD7">
            <w:pPr>
              <w:jc w:val="both"/>
              <w:rPr>
                <w:rFonts w:eastAsia="DengXian"/>
                <w:szCs w:val="24"/>
              </w:rPr>
            </w:pPr>
            <w:r w:rsidRPr="00727DFA">
              <w:rPr>
                <w:rFonts w:eastAsia="DengXian"/>
                <w:szCs w:val="24"/>
              </w:rPr>
              <w:t xml:space="preserve">Antitubercular combination  </w:t>
            </w:r>
          </w:p>
        </w:tc>
      </w:tr>
      <w:tr w:rsidR="007B485D" w:rsidRPr="00727DFA" w14:paraId="108F72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E940B1"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F637609"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75 mg + 150 mg; 150 mg + 300 mg. </w:t>
            </w:r>
          </w:p>
          <w:p w14:paraId="75B3DF6E" w14:textId="77777777" w:rsidR="007B485D" w:rsidRPr="00727DFA" w:rsidRDefault="007B485D" w:rsidP="002D6DD7">
            <w:pPr>
              <w:jc w:val="both"/>
              <w:rPr>
                <w:rFonts w:eastAsia="DengXian"/>
                <w:szCs w:val="24"/>
              </w:rPr>
            </w:pPr>
            <w:r w:rsidRPr="00727DFA">
              <w:rPr>
                <w:rFonts w:eastAsia="DengXian"/>
                <w:szCs w:val="24"/>
              </w:rPr>
              <w:t>Tablet (dispersible): 50 mg + 75 mg</w:t>
            </w:r>
          </w:p>
        </w:tc>
      </w:tr>
      <w:tr w:rsidR="007B485D" w:rsidRPr="00727DFA" w14:paraId="31D67A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18A69B"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EBC88BC" w14:textId="77777777" w:rsidR="007B485D" w:rsidRPr="00727DFA" w:rsidRDefault="007B485D" w:rsidP="002D6DD7">
            <w:pPr>
              <w:jc w:val="both"/>
              <w:rPr>
                <w:rFonts w:eastAsia="DengXian"/>
                <w:szCs w:val="24"/>
              </w:rPr>
            </w:pPr>
            <w:r w:rsidRPr="00727DFA">
              <w:rPr>
                <w:rFonts w:eastAsia="DengXian"/>
                <w:szCs w:val="24"/>
              </w:rPr>
              <w:t>Treatment of tuberculosis (Continuation phase) for 4 months</w:t>
            </w:r>
          </w:p>
        </w:tc>
      </w:tr>
      <w:tr w:rsidR="007B485D" w:rsidRPr="00727DFA" w14:paraId="562B15F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34B068"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C602EC4"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w:t>
            </w:r>
          </w:p>
          <w:p w14:paraId="70EEFCC0" w14:textId="77777777" w:rsidR="007B485D" w:rsidRPr="00727DFA" w:rsidRDefault="007B485D" w:rsidP="002D6DD7">
            <w:pPr>
              <w:jc w:val="both"/>
              <w:rPr>
                <w:rFonts w:eastAsia="DengXian"/>
                <w:szCs w:val="24"/>
              </w:rPr>
            </w:pPr>
            <w:r w:rsidRPr="00727DFA">
              <w:rPr>
                <w:rFonts w:eastAsia="DengXian"/>
                <w:szCs w:val="24"/>
              </w:rPr>
              <w:t>For continuation phase, 150mg /300mg tablet:</w:t>
            </w:r>
          </w:p>
          <w:p w14:paraId="1B635301" w14:textId="77777777" w:rsidR="007B485D" w:rsidRPr="00727DFA" w:rsidRDefault="007B485D" w:rsidP="002D6DD7">
            <w:pPr>
              <w:jc w:val="both"/>
              <w:rPr>
                <w:rFonts w:eastAsia="DengXian"/>
                <w:szCs w:val="24"/>
              </w:rPr>
            </w:pPr>
            <w:r w:rsidRPr="00727DFA">
              <w:rPr>
                <w:rFonts w:eastAsia="DengXian"/>
                <w:szCs w:val="24"/>
              </w:rPr>
              <w:t>Body weight 20-29 kg: 1</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 administered as a single dose, daily</w:t>
            </w:r>
          </w:p>
          <w:p w14:paraId="4C740D94" w14:textId="77777777" w:rsidR="007B485D" w:rsidRPr="00727DFA" w:rsidRDefault="007B485D" w:rsidP="002D6DD7">
            <w:pPr>
              <w:jc w:val="both"/>
              <w:rPr>
                <w:rFonts w:eastAsia="DengXian"/>
                <w:szCs w:val="24"/>
              </w:rPr>
            </w:pPr>
            <w:r w:rsidRPr="00727DFA">
              <w:rPr>
                <w:rFonts w:eastAsia="DengXian"/>
                <w:szCs w:val="24"/>
              </w:rPr>
              <w:t xml:space="preserve">Body weight 30-39kg: 2 tablets administered as a single dose, daily </w:t>
            </w:r>
          </w:p>
          <w:p w14:paraId="1B39B3CB" w14:textId="77777777" w:rsidR="007B485D" w:rsidRPr="00727DFA" w:rsidRDefault="007B485D" w:rsidP="002D6DD7">
            <w:pPr>
              <w:jc w:val="both"/>
              <w:rPr>
                <w:rFonts w:eastAsia="DengXian"/>
                <w:szCs w:val="24"/>
              </w:rPr>
            </w:pPr>
            <w:r w:rsidRPr="00727DFA">
              <w:rPr>
                <w:rFonts w:eastAsia="DengXian"/>
                <w:szCs w:val="24"/>
              </w:rPr>
              <w:t xml:space="preserve">Body weight 40-54kg: 3 tablets administered as a single dose, daily </w:t>
            </w:r>
          </w:p>
          <w:p w14:paraId="0FB34219" w14:textId="77777777" w:rsidR="007B485D" w:rsidRPr="00727DFA" w:rsidRDefault="007B485D" w:rsidP="002D6DD7">
            <w:pPr>
              <w:jc w:val="both"/>
              <w:rPr>
                <w:rFonts w:eastAsia="DengXian"/>
                <w:szCs w:val="24"/>
              </w:rPr>
            </w:pPr>
            <w:r w:rsidRPr="00727DFA">
              <w:rPr>
                <w:rFonts w:eastAsia="DengXian"/>
                <w:szCs w:val="24"/>
              </w:rPr>
              <w:t>Body weight &gt; 55 kg: 3 tablets administered as a single dose, daily</w:t>
            </w:r>
          </w:p>
          <w:p w14:paraId="6AFB7A44"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w:t>
            </w:r>
          </w:p>
          <w:p w14:paraId="4C8E83F4" w14:textId="77777777" w:rsidR="007B485D" w:rsidRPr="00727DFA" w:rsidRDefault="007B485D" w:rsidP="002D6DD7">
            <w:pPr>
              <w:jc w:val="both"/>
              <w:rPr>
                <w:rFonts w:eastAsia="DengXian"/>
                <w:szCs w:val="24"/>
              </w:rPr>
            </w:pPr>
            <w:r w:rsidRPr="00727DFA">
              <w:rPr>
                <w:rFonts w:eastAsia="DengXian"/>
                <w:szCs w:val="24"/>
              </w:rPr>
              <w:t>For continuation phase, 50mg /75 mg tablet:</w:t>
            </w:r>
          </w:p>
          <w:p w14:paraId="12690E38" w14:textId="77777777" w:rsidR="007B485D" w:rsidRPr="0063309C" w:rsidRDefault="007B485D" w:rsidP="002D6DD7">
            <w:pPr>
              <w:jc w:val="both"/>
              <w:rPr>
                <w:rFonts w:eastAsia="DengXian"/>
                <w:szCs w:val="24"/>
              </w:rPr>
            </w:pPr>
            <w:r w:rsidRPr="00873AF2">
              <w:rPr>
                <w:rFonts w:eastAsia="DengXian"/>
                <w:szCs w:val="24"/>
              </w:rPr>
              <w:t>Body weight 4-7kg</w:t>
            </w:r>
            <w:r w:rsidRPr="0063309C">
              <w:rPr>
                <w:rFonts w:eastAsia="DengXian"/>
                <w:szCs w:val="24"/>
              </w:rPr>
              <w:t>: 1 tablet administered as a single dose, daily.</w:t>
            </w:r>
          </w:p>
          <w:p w14:paraId="6353475E" w14:textId="77777777" w:rsidR="007B485D" w:rsidRPr="0063309C" w:rsidRDefault="007B485D" w:rsidP="002D6DD7">
            <w:pPr>
              <w:jc w:val="both"/>
              <w:rPr>
                <w:rFonts w:eastAsia="DengXian"/>
                <w:szCs w:val="24"/>
              </w:rPr>
            </w:pPr>
            <w:r w:rsidRPr="00873AF2">
              <w:rPr>
                <w:rFonts w:eastAsia="DengXian"/>
                <w:szCs w:val="24"/>
              </w:rPr>
              <w:t>Body weight 8-11kg:</w:t>
            </w:r>
            <w:r w:rsidRPr="0063309C">
              <w:rPr>
                <w:rFonts w:eastAsia="DengXian"/>
                <w:szCs w:val="24"/>
              </w:rPr>
              <w:t xml:space="preserve"> 2 tablets administered as a single dose, daily.</w:t>
            </w:r>
          </w:p>
          <w:p w14:paraId="0CE5D6DD" w14:textId="77777777" w:rsidR="007B485D" w:rsidRPr="0063309C" w:rsidRDefault="007B485D" w:rsidP="002D6DD7">
            <w:pPr>
              <w:jc w:val="both"/>
              <w:rPr>
                <w:rFonts w:eastAsia="DengXian"/>
                <w:szCs w:val="24"/>
              </w:rPr>
            </w:pPr>
            <w:r w:rsidRPr="00873AF2">
              <w:rPr>
                <w:rFonts w:eastAsia="DengXian"/>
                <w:szCs w:val="24"/>
              </w:rPr>
              <w:t>Body weight 12-15kg:</w:t>
            </w:r>
            <w:r w:rsidRPr="0063309C">
              <w:rPr>
                <w:rFonts w:eastAsia="DengXian"/>
                <w:szCs w:val="24"/>
              </w:rPr>
              <w:t xml:space="preserve"> 3 tablets administered as a single dose, daily.</w:t>
            </w:r>
          </w:p>
          <w:p w14:paraId="68709D78" w14:textId="77777777" w:rsidR="007B485D" w:rsidRPr="0063309C" w:rsidRDefault="007B485D" w:rsidP="002D6DD7">
            <w:pPr>
              <w:jc w:val="both"/>
              <w:rPr>
                <w:rFonts w:eastAsia="DengXian"/>
                <w:szCs w:val="24"/>
              </w:rPr>
            </w:pPr>
            <w:r w:rsidRPr="00873AF2">
              <w:rPr>
                <w:rFonts w:eastAsia="DengXian"/>
                <w:szCs w:val="24"/>
              </w:rPr>
              <w:t>Body weight 16-24kg</w:t>
            </w:r>
            <w:r w:rsidRPr="0063309C">
              <w:rPr>
                <w:rFonts w:eastAsia="DengXian"/>
                <w:szCs w:val="24"/>
              </w:rPr>
              <w:t>: 4 tablets administered as a single dose, daily.</w:t>
            </w:r>
          </w:p>
          <w:p w14:paraId="435605D8" w14:textId="77777777" w:rsidR="007B485D" w:rsidRPr="00727DFA" w:rsidRDefault="007B485D" w:rsidP="002D6DD7">
            <w:pPr>
              <w:jc w:val="both"/>
              <w:rPr>
                <w:rFonts w:eastAsia="DengXian"/>
                <w:szCs w:val="24"/>
              </w:rPr>
            </w:pPr>
            <w:r w:rsidRPr="00873AF2">
              <w:rPr>
                <w:rFonts w:eastAsia="DengXian"/>
                <w:szCs w:val="24"/>
              </w:rPr>
              <w:t>Body weight 25+kg</w:t>
            </w:r>
            <w:r w:rsidRPr="0063309C">
              <w:rPr>
                <w:rFonts w:eastAsia="DengXian"/>
                <w:szCs w:val="24"/>
              </w:rPr>
              <w:t>:</w:t>
            </w:r>
            <w:r w:rsidRPr="00727DFA">
              <w:rPr>
                <w:rFonts w:eastAsia="DengXian"/>
                <w:szCs w:val="24"/>
              </w:rPr>
              <w:t xml:space="preserve"> use adult dose</w:t>
            </w:r>
          </w:p>
        </w:tc>
      </w:tr>
      <w:tr w:rsidR="007B485D" w:rsidRPr="00727DFA" w14:paraId="31C81469" w14:textId="77777777" w:rsidTr="002D6DD7">
        <w:trPr>
          <w:trHeight w:hRule="exact" w:val="523"/>
        </w:trPr>
        <w:tc>
          <w:tcPr>
            <w:tcW w:w="2605" w:type="dxa"/>
            <w:tcBorders>
              <w:top w:val="single" w:sz="4" w:space="0" w:color="auto"/>
              <w:left w:val="single" w:sz="4" w:space="0" w:color="auto"/>
              <w:bottom w:val="single" w:sz="4" w:space="0" w:color="auto"/>
              <w:right w:val="single" w:sz="4" w:space="0" w:color="auto"/>
            </w:tcBorders>
            <w:hideMark/>
          </w:tcPr>
          <w:p w14:paraId="4DF6B784"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CEB166D"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1854FB11" w14:textId="77777777" w:rsidTr="002D6DD7">
        <w:trPr>
          <w:trHeight w:hRule="exact" w:val="532"/>
        </w:trPr>
        <w:tc>
          <w:tcPr>
            <w:tcW w:w="2605" w:type="dxa"/>
            <w:tcBorders>
              <w:top w:val="single" w:sz="4" w:space="0" w:color="auto"/>
              <w:left w:val="single" w:sz="4" w:space="0" w:color="auto"/>
              <w:bottom w:val="single" w:sz="4" w:space="0" w:color="auto"/>
              <w:right w:val="single" w:sz="4" w:space="0" w:color="auto"/>
            </w:tcBorders>
            <w:hideMark/>
          </w:tcPr>
          <w:p w14:paraId="63C3DE8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C3DC254"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4FF49860" w14:textId="77777777" w:rsidTr="002D6DD7">
        <w:trPr>
          <w:trHeight w:hRule="exact" w:val="460"/>
        </w:trPr>
        <w:tc>
          <w:tcPr>
            <w:tcW w:w="2605" w:type="dxa"/>
            <w:tcBorders>
              <w:top w:val="single" w:sz="4" w:space="0" w:color="auto"/>
              <w:left w:val="single" w:sz="4" w:space="0" w:color="auto"/>
              <w:bottom w:val="single" w:sz="4" w:space="0" w:color="auto"/>
              <w:right w:val="single" w:sz="4" w:space="0" w:color="auto"/>
            </w:tcBorders>
            <w:hideMark/>
          </w:tcPr>
          <w:p w14:paraId="0F307A0B"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51C6BAAE"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17AEC378" w14:textId="77777777" w:rsidTr="002D6DD7">
        <w:trPr>
          <w:trHeight w:hRule="exact" w:val="442"/>
        </w:trPr>
        <w:tc>
          <w:tcPr>
            <w:tcW w:w="2605" w:type="dxa"/>
            <w:tcBorders>
              <w:top w:val="single" w:sz="4" w:space="0" w:color="auto"/>
              <w:left w:val="single" w:sz="4" w:space="0" w:color="auto"/>
              <w:bottom w:val="single" w:sz="4" w:space="0" w:color="auto"/>
              <w:right w:val="single" w:sz="4" w:space="0" w:color="auto"/>
            </w:tcBorders>
            <w:hideMark/>
          </w:tcPr>
          <w:p w14:paraId="75867BAE"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343B620"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046104EE" w14:textId="77777777" w:rsidTr="002D6DD7">
        <w:trPr>
          <w:trHeight w:hRule="exact" w:val="460"/>
        </w:trPr>
        <w:tc>
          <w:tcPr>
            <w:tcW w:w="2605" w:type="dxa"/>
            <w:tcBorders>
              <w:top w:val="single" w:sz="4" w:space="0" w:color="auto"/>
              <w:left w:val="single" w:sz="4" w:space="0" w:color="auto"/>
              <w:bottom w:val="single" w:sz="4" w:space="0" w:color="auto"/>
              <w:right w:val="single" w:sz="4" w:space="0" w:color="auto"/>
            </w:tcBorders>
            <w:hideMark/>
          </w:tcPr>
          <w:p w14:paraId="268D7DE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D23E04F" w14:textId="77777777" w:rsidR="007B485D" w:rsidRPr="00727DFA" w:rsidRDefault="007B485D" w:rsidP="002D6DD7">
            <w:pPr>
              <w:jc w:val="both"/>
              <w:rPr>
                <w:rFonts w:eastAsia="DengXian"/>
                <w:szCs w:val="24"/>
              </w:rPr>
            </w:pPr>
            <w:r w:rsidRPr="00727DFA">
              <w:rPr>
                <w:rFonts w:eastAsia="DengXian"/>
                <w:szCs w:val="24"/>
              </w:rPr>
              <w:t>Store under 30° C</w:t>
            </w:r>
            <w:r>
              <w:rPr>
                <w:rFonts w:eastAsia="DengXian"/>
                <w:szCs w:val="24"/>
              </w:rPr>
              <w:t>.</w:t>
            </w:r>
          </w:p>
        </w:tc>
      </w:tr>
      <w:tr w:rsidR="007B485D" w:rsidRPr="00727DFA" w14:paraId="33944E2C"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906C3DA" w14:textId="77777777" w:rsidR="007B485D" w:rsidRPr="00727DFA" w:rsidRDefault="007B485D" w:rsidP="002D6DD7">
            <w:pPr>
              <w:jc w:val="both"/>
              <w:rPr>
                <w:rFonts w:eastAsia="DengXian"/>
                <w:szCs w:val="24"/>
              </w:rPr>
            </w:pPr>
            <w:r w:rsidRPr="00727DFA">
              <w:rPr>
                <w:rFonts w:eastAsia="DengXian"/>
                <w:b/>
                <w:bCs/>
                <w:szCs w:val="24"/>
              </w:rPr>
              <w:t xml:space="preserve">Isoniazid + </w:t>
            </w:r>
            <w:r>
              <w:rPr>
                <w:rFonts w:eastAsia="DengXian"/>
                <w:b/>
                <w:bCs/>
                <w:szCs w:val="24"/>
              </w:rPr>
              <w:t>r</w:t>
            </w:r>
            <w:r w:rsidRPr="00727DFA">
              <w:rPr>
                <w:rFonts w:eastAsia="DengXian"/>
                <w:b/>
                <w:bCs/>
                <w:szCs w:val="24"/>
              </w:rPr>
              <w:t>ifapentine</w:t>
            </w:r>
          </w:p>
        </w:tc>
      </w:tr>
      <w:tr w:rsidR="007B485D" w:rsidRPr="00727DFA" w14:paraId="253F1A44" w14:textId="77777777" w:rsidTr="002D6DD7">
        <w:trPr>
          <w:trHeight w:hRule="exact" w:val="388"/>
        </w:trPr>
        <w:tc>
          <w:tcPr>
            <w:tcW w:w="2605" w:type="dxa"/>
            <w:tcBorders>
              <w:top w:val="single" w:sz="4" w:space="0" w:color="auto"/>
              <w:left w:val="single" w:sz="4" w:space="0" w:color="auto"/>
              <w:bottom w:val="single" w:sz="4" w:space="0" w:color="auto"/>
              <w:right w:val="single" w:sz="4" w:space="0" w:color="auto"/>
            </w:tcBorders>
            <w:hideMark/>
          </w:tcPr>
          <w:p w14:paraId="5B87CEDE"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417EF2C" w14:textId="77777777" w:rsidR="007B485D" w:rsidRPr="00727DFA" w:rsidRDefault="007B485D" w:rsidP="002D6DD7">
            <w:pPr>
              <w:jc w:val="both"/>
              <w:rPr>
                <w:rFonts w:eastAsia="DengXian"/>
                <w:szCs w:val="24"/>
              </w:rPr>
            </w:pPr>
            <w:r w:rsidRPr="00727DFA">
              <w:rPr>
                <w:rFonts w:eastAsia="DengXian"/>
                <w:szCs w:val="24"/>
              </w:rPr>
              <w:t xml:space="preserve">Antitubercular combination </w:t>
            </w:r>
          </w:p>
        </w:tc>
      </w:tr>
      <w:tr w:rsidR="007B485D" w:rsidRPr="00727DFA" w14:paraId="4AC5788D" w14:textId="77777777" w:rsidTr="002D6DD7">
        <w:trPr>
          <w:trHeight w:hRule="exact" w:val="451"/>
        </w:trPr>
        <w:tc>
          <w:tcPr>
            <w:tcW w:w="2605" w:type="dxa"/>
            <w:tcBorders>
              <w:top w:val="single" w:sz="4" w:space="0" w:color="auto"/>
              <w:left w:val="single" w:sz="4" w:space="0" w:color="auto"/>
              <w:bottom w:val="single" w:sz="4" w:space="0" w:color="auto"/>
              <w:right w:val="single" w:sz="4" w:space="0" w:color="auto"/>
            </w:tcBorders>
            <w:hideMark/>
          </w:tcPr>
          <w:p w14:paraId="00DF6DC9"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6836BA6" w14:textId="77777777" w:rsidR="007B485D" w:rsidRPr="00727DFA" w:rsidRDefault="007B485D" w:rsidP="002D6DD7">
            <w:pPr>
              <w:jc w:val="both"/>
              <w:rPr>
                <w:rFonts w:eastAsia="DengXian"/>
                <w:szCs w:val="24"/>
              </w:rPr>
            </w:pPr>
            <w:r w:rsidRPr="00727DFA">
              <w:rPr>
                <w:rFonts w:eastAsia="DengXian"/>
                <w:szCs w:val="24"/>
              </w:rPr>
              <w:t>Tablet: 300 mg + 300 mg</w:t>
            </w:r>
          </w:p>
        </w:tc>
      </w:tr>
      <w:tr w:rsidR="007B485D" w:rsidRPr="00727DFA" w14:paraId="25BAC746" w14:textId="77777777" w:rsidTr="002D6DD7">
        <w:trPr>
          <w:trHeight w:hRule="exact" w:val="532"/>
        </w:trPr>
        <w:tc>
          <w:tcPr>
            <w:tcW w:w="2605" w:type="dxa"/>
            <w:tcBorders>
              <w:top w:val="single" w:sz="4" w:space="0" w:color="auto"/>
              <w:left w:val="single" w:sz="4" w:space="0" w:color="auto"/>
              <w:bottom w:val="single" w:sz="4" w:space="0" w:color="auto"/>
              <w:right w:val="single" w:sz="4" w:space="0" w:color="auto"/>
            </w:tcBorders>
            <w:hideMark/>
          </w:tcPr>
          <w:p w14:paraId="14AE95E0"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8B869AD" w14:textId="77777777" w:rsidR="007B485D" w:rsidRPr="00727DFA" w:rsidRDefault="007B485D" w:rsidP="002D6DD7">
            <w:pPr>
              <w:jc w:val="both"/>
              <w:rPr>
                <w:rFonts w:eastAsia="DengXian"/>
                <w:szCs w:val="24"/>
              </w:rPr>
            </w:pPr>
            <w:r w:rsidRPr="00727DFA">
              <w:rPr>
                <w:rFonts w:eastAsia="DengXian"/>
                <w:szCs w:val="24"/>
              </w:rPr>
              <w:t>Tuberculosis prophylaxis</w:t>
            </w:r>
            <w:r>
              <w:rPr>
                <w:rFonts w:eastAsia="DengXian"/>
                <w:szCs w:val="24"/>
              </w:rPr>
              <w:t>.</w:t>
            </w:r>
          </w:p>
        </w:tc>
      </w:tr>
      <w:tr w:rsidR="007B485D" w:rsidRPr="00727DFA" w14:paraId="05E4247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7B8F7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43B8332" w14:textId="77777777" w:rsidR="007B485D" w:rsidRPr="00727DFA" w:rsidRDefault="007B485D" w:rsidP="002D6DD7">
            <w:pPr>
              <w:jc w:val="both"/>
              <w:rPr>
                <w:rFonts w:eastAsia="DengXian"/>
                <w:b/>
                <w:bCs/>
                <w:szCs w:val="24"/>
              </w:rPr>
            </w:pPr>
            <w:r w:rsidRPr="00727DFA">
              <w:rPr>
                <w:rFonts w:eastAsia="DengXian"/>
                <w:b/>
                <w:bCs/>
                <w:szCs w:val="24"/>
              </w:rPr>
              <w:t>Oral:</w:t>
            </w:r>
          </w:p>
          <w:p w14:paraId="5A25137E" w14:textId="77777777" w:rsidR="007B485D" w:rsidRPr="00727DFA" w:rsidRDefault="007B485D" w:rsidP="002D6DD7">
            <w:pPr>
              <w:jc w:val="both"/>
              <w:rPr>
                <w:rFonts w:eastAsia="DengXian"/>
                <w:szCs w:val="24"/>
              </w:rPr>
            </w:pPr>
            <w:r w:rsidRPr="00727DFA">
              <w:rPr>
                <w:rFonts w:eastAsia="DengXian"/>
                <w:b/>
                <w:bCs/>
                <w:szCs w:val="24"/>
              </w:rPr>
              <w:t xml:space="preserve">Adult </w:t>
            </w:r>
            <w:r w:rsidRPr="00727DFA">
              <w:rPr>
                <w:rFonts w:eastAsia="DengXian"/>
                <w:b/>
                <w:szCs w:val="24"/>
              </w:rPr>
              <w:t>and</w:t>
            </w:r>
            <w:r w:rsidRPr="00727DFA">
              <w:rPr>
                <w:rFonts w:eastAsia="DengXian"/>
                <w:szCs w:val="24"/>
              </w:rPr>
              <w:t xml:space="preserve"> </w:t>
            </w:r>
            <w:r>
              <w:rPr>
                <w:rFonts w:eastAsia="DengXian"/>
                <w:b/>
                <w:bCs/>
                <w:szCs w:val="24"/>
              </w:rPr>
              <w:t>child</w:t>
            </w:r>
            <w:r w:rsidRPr="00727DFA">
              <w:rPr>
                <w:rFonts w:eastAsia="DengXian"/>
                <w:szCs w:val="24"/>
              </w:rPr>
              <w:t xml:space="preserve"> </w:t>
            </w:r>
            <m:oMath>
              <m:r>
                <w:rPr>
                  <w:rFonts w:ascii="Cambria Math" w:eastAsia="DengXian" w:hAnsi="Cambria Math"/>
                  <w:szCs w:val="24"/>
                </w:rPr>
                <m:t>≥</m:t>
              </m:r>
            </m:oMath>
            <w:r w:rsidRPr="00727DFA">
              <w:rPr>
                <w:rFonts w:eastAsia="DengXian"/>
                <w:szCs w:val="24"/>
              </w:rPr>
              <w:t>15 years:  3 tablets once weekly for a period of 3 months</w:t>
            </w:r>
          </w:p>
          <w:p w14:paraId="5B69AC0D" w14:textId="77777777" w:rsidR="007B485D" w:rsidRPr="00727DFA" w:rsidRDefault="007B485D" w:rsidP="002D6DD7">
            <w:pPr>
              <w:jc w:val="both"/>
              <w:rPr>
                <w:rFonts w:eastAsia="DengXian"/>
                <w:b/>
                <w:szCs w:val="24"/>
              </w:rPr>
            </w:pPr>
            <w:r>
              <w:rPr>
                <w:rFonts w:eastAsia="DengXian"/>
                <w:b/>
                <w:szCs w:val="24"/>
              </w:rPr>
              <w:t xml:space="preserve">Child </w:t>
            </w:r>
            <w:r w:rsidRPr="00727DFA">
              <w:rPr>
                <w:rFonts w:eastAsia="DengXian"/>
                <w:b/>
                <w:szCs w:val="24"/>
              </w:rPr>
              <w:t>2-14 years:</w:t>
            </w:r>
          </w:p>
          <w:p w14:paraId="7FFA6269" w14:textId="77777777" w:rsidR="007B485D" w:rsidRPr="0063309C" w:rsidRDefault="007B485D" w:rsidP="002D6DD7">
            <w:pPr>
              <w:jc w:val="both"/>
              <w:rPr>
                <w:rFonts w:eastAsia="DengXian"/>
                <w:szCs w:val="24"/>
              </w:rPr>
            </w:pPr>
            <w:r w:rsidRPr="00873AF2">
              <w:rPr>
                <w:rFonts w:eastAsia="DengXian"/>
                <w:szCs w:val="24"/>
              </w:rPr>
              <w:t>Body weight 10-15 kg:</w:t>
            </w:r>
            <w:r w:rsidRPr="0063309C">
              <w:rPr>
                <w:rFonts w:eastAsia="DengXian"/>
                <w:szCs w:val="24"/>
              </w:rPr>
              <w:t xml:space="preserve">  1 tablet once weekly </w:t>
            </w:r>
          </w:p>
          <w:p w14:paraId="439E415E" w14:textId="77777777" w:rsidR="007B485D" w:rsidRPr="0063309C" w:rsidRDefault="007B485D" w:rsidP="002D6DD7">
            <w:pPr>
              <w:jc w:val="both"/>
              <w:rPr>
                <w:rFonts w:eastAsia="DengXian"/>
                <w:szCs w:val="24"/>
              </w:rPr>
            </w:pPr>
            <w:r w:rsidRPr="00873AF2">
              <w:rPr>
                <w:rFonts w:eastAsia="DengXian"/>
                <w:szCs w:val="24"/>
              </w:rPr>
              <w:t>Body weight 16-23 kg:</w:t>
            </w:r>
            <w:r w:rsidRPr="0063309C">
              <w:rPr>
                <w:rFonts w:eastAsia="DengXian"/>
                <w:szCs w:val="24"/>
              </w:rPr>
              <w:t xml:space="preserve"> 1</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r>
                <w:rPr>
                  <w:rFonts w:ascii="Cambria Math" w:eastAsia="DengXian" w:hAnsi="Cambria Math"/>
                  <w:szCs w:val="24"/>
                </w:rPr>
                <m:t xml:space="preserve"> </m:t>
              </m:r>
            </m:oMath>
            <w:r w:rsidRPr="0063309C">
              <w:rPr>
                <w:rFonts w:eastAsia="DengXian"/>
                <w:szCs w:val="24"/>
              </w:rPr>
              <w:t xml:space="preserve">tablets once weekly </w:t>
            </w:r>
          </w:p>
          <w:p w14:paraId="293E8A4B" w14:textId="77777777" w:rsidR="007B485D" w:rsidRPr="0063309C" w:rsidRDefault="007B485D" w:rsidP="002D6DD7">
            <w:pPr>
              <w:jc w:val="both"/>
              <w:rPr>
                <w:rFonts w:eastAsia="DengXian"/>
                <w:szCs w:val="24"/>
              </w:rPr>
            </w:pPr>
            <w:r w:rsidRPr="00873AF2">
              <w:rPr>
                <w:rFonts w:eastAsia="DengXian"/>
                <w:szCs w:val="24"/>
              </w:rPr>
              <w:t>Body weight 24-30 kg:</w:t>
            </w:r>
            <w:r w:rsidRPr="0063309C">
              <w:rPr>
                <w:rFonts w:eastAsia="DengXian"/>
                <w:szCs w:val="24"/>
              </w:rPr>
              <w:t xml:space="preserve"> 2 tablets once weekly </w:t>
            </w:r>
          </w:p>
          <w:p w14:paraId="5F4C1C3C" w14:textId="77777777" w:rsidR="007B485D" w:rsidRPr="00727DFA" w:rsidRDefault="007B485D" w:rsidP="002D6DD7">
            <w:pPr>
              <w:jc w:val="both"/>
              <w:rPr>
                <w:rFonts w:eastAsia="DengXian"/>
                <w:szCs w:val="24"/>
              </w:rPr>
            </w:pPr>
            <w:r w:rsidRPr="00873AF2">
              <w:rPr>
                <w:rFonts w:eastAsia="DengXian"/>
                <w:szCs w:val="24"/>
              </w:rPr>
              <w:t>Body weight &gt; 30 kg:</w:t>
            </w:r>
            <w:r w:rsidRPr="0063309C">
              <w:rPr>
                <w:rFonts w:eastAsia="DengXian"/>
                <w:szCs w:val="24"/>
              </w:rPr>
              <w:t xml:space="preserve"> 2</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r>
                <w:rPr>
                  <w:rFonts w:ascii="Cambria Math" w:eastAsia="DengXian" w:hAnsi="Cambria Math"/>
                  <w:szCs w:val="24"/>
                </w:rPr>
                <m:t xml:space="preserve"> </m:t>
              </m:r>
            </m:oMath>
            <w:r w:rsidRPr="0063309C">
              <w:rPr>
                <w:rFonts w:eastAsia="DengXian"/>
                <w:szCs w:val="24"/>
              </w:rPr>
              <w:t xml:space="preserve"> tablets once weekly</w:t>
            </w:r>
            <w:r w:rsidRPr="00727DFA">
              <w:rPr>
                <w:rFonts w:eastAsia="DengXian"/>
                <w:szCs w:val="24"/>
              </w:rPr>
              <w:t xml:space="preserve"> </w:t>
            </w:r>
          </w:p>
        </w:tc>
      </w:tr>
      <w:tr w:rsidR="007B485D" w:rsidRPr="00727DFA" w14:paraId="5E62DE9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575D3F"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EA0EAF7"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5F3B96D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025765"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EDF7FED"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6634256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15A32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521A142"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3A270FC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98B1A9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887BB3D"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individual monograph</w:t>
            </w:r>
            <w:r>
              <w:rPr>
                <w:rFonts w:eastAsia="DengXian"/>
                <w:szCs w:val="24"/>
              </w:rPr>
              <w:t>.</w:t>
            </w:r>
            <w:r w:rsidRPr="00727DFA">
              <w:rPr>
                <w:rFonts w:eastAsia="DengXian"/>
                <w:szCs w:val="24"/>
              </w:rPr>
              <w:t xml:space="preserve"> </w:t>
            </w:r>
          </w:p>
        </w:tc>
      </w:tr>
      <w:tr w:rsidR="007B485D" w:rsidRPr="00727DFA" w14:paraId="33693AA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94AEA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DFD8F24"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18CAA299" w14:textId="77777777" w:rsidTr="002D6DD7">
        <w:trPr>
          <w:trHeight w:val="314"/>
        </w:trPr>
        <w:tc>
          <w:tcPr>
            <w:tcW w:w="0" w:type="auto"/>
            <w:gridSpan w:val="2"/>
            <w:tcBorders>
              <w:top w:val="single" w:sz="4" w:space="0" w:color="auto"/>
              <w:left w:val="single" w:sz="4" w:space="0" w:color="auto"/>
              <w:bottom w:val="single" w:sz="4" w:space="0" w:color="auto"/>
              <w:right w:val="single" w:sz="4" w:space="0" w:color="auto"/>
            </w:tcBorders>
            <w:hideMark/>
          </w:tcPr>
          <w:p w14:paraId="66FD26E9" w14:textId="77777777" w:rsidR="007B485D" w:rsidRPr="00727DFA" w:rsidRDefault="007B485D" w:rsidP="002D6DD7">
            <w:pPr>
              <w:jc w:val="both"/>
              <w:rPr>
                <w:rFonts w:eastAsia="DengXian"/>
                <w:szCs w:val="24"/>
              </w:rPr>
            </w:pPr>
            <w:r w:rsidRPr="00727DFA">
              <w:rPr>
                <w:rFonts w:eastAsia="DengXian"/>
                <w:b/>
                <w:bCs/>
                <w:szCs w:val="24"/>
              </w:rPr>
              <w:t>Levofloxacin</w:t>
            </w:r>
          </w:p>
        </w:tc>
      </w:tr>
      <w:tr w:rsidR="007B485D" w:rsidRPr="00727DFA" w14:paraId="65DE539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0CC74E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EAE0ABA" w14:textId="77777777" w:rsidR="007B485D" w:rsidRPr="00727DFA" w:rsidRDefault="007B485D" w:rsidP="002D6DD7">
            <w:pPr>
              <w:jc w:val="both"/>
              <w:rPr>
                <w:rFonts w:eastAsia="DengXian"/>
                <w:szCs w:val="24"/>
              </w:rPr>
            </w:pPr>
            <w:r w:rsidRPr="00727DFA">
              <w:rPr>
                <w:rFonts w:eastAsia="DengXian"/>
                <w:szCs w:val="24"/>
              </w:rPr>
              <w:t>Fluoroquinolone</w:t>
            </w:r>
          </w:p>
        </w:tc>
      </w:tr>
      <w:tr w:rsidR="007B485D" w:rsidRPr="00810924" w14:paraId="09ECB0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3AAA4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EA2D2AF" w14:textId="77777777" w:rsidR="007B485D" w:rsidRPr="00727DFA" w:rsidRDefault="007B485D" w:rsidP="002D6DD7">
            <w:pPr>
              <w:jc w:val="both"/>
              <w:rPr>
                <w:rFonts w:eastAsia="DengXian"/>
                <w:szCs w:val="24"/>
                <w:lang w:val="nb-NO"/>
              </w:rPr>
            </w:pPr>
            <w:r w:rsidRPr="00727DFA">
              <w:rPr>
                <w:rFonts w:eastAsia="DengXian"/>
                <w:szCs w:val="24"/>
                <w:lang w:val="nb-NO"/>
              </w:rPr>
              <w:t>Tablet: 250mg, 500mg, 750mg</w:t>
            </w:r>
          </w:p>
          <w:p w14:paraId="7779778F"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100mg </w:t>
            </w:r>
          </w:p>
        </w:tc>
      </w:tr>
      <w:tr w:rsidR="007B485D" w:rsidRPr="00727DFA" w14:paraId="48CB3DE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2A8304"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1F1154E" w14:textId="77777777" w:rsidR="007B485D" w:rsidRPr="00727DFA" w:rsidRDefault="007B485D" w:rsidP="002D6DD7">
            <w:pPr>
              <w:jc w:val="both"/>
              <w:rPr>
                <w:rFonts w:eastAsia="DengXian"/>
                <w:szCs w:val="24"/>
              </w:rPr>
            </w:pPr>
            <w:r w:rsidRPr="00727DFA">
              <w:rPr>
                <w:rFonts w:eastAsia="DengXian"/>
                <w:szCs w:val="24"/>
              </w:rPr>
              <w:t>In combination with other second line drugs for treating tuberculosis, resistant to first line agents.</w:t>
            </w:r>
          </w:p>
        </w:tc>
      </w:tr>
      <w:tr w:rsidR="007B485D" w:rsidRPr="00727DFA" w14:paraId="1FC9B9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12CEC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492F4BE" w14:textId="77777777" w:rsidR="007B485D" w:rsidRPr="00727DFA" w:rsidRDefault="007B485D" w:rsidP="002D6DD7">
            <w:pPr>
              <w:jc w:val="both"/>
              <w:rPr>
                <w:rFonts w:eastAsia="DengXian"/>
                <w:szCs w:val="24"/>
              </w:rPr>
            </w:pPr>
            <w:r w:rsidRPr="00727DFA">
              <w:rPr>
                <w:rFonts w:eastAsia="DengXian"/>
                <w:b/>
                <w:bCs/>
                <w:szCs w:val="24"/>
              </w:rPr>
              <w:t>For treatment of TB disease</w:t>
            </w:r>
            <w:r w:rsidRPr="00727DFA">
              <w:rPr>
                <w:rFonts w:eastAsia="DengXian"/>
                <w:szCs w:val="24"/>
              </w:rPr>
              <w:t xml:space="preserve"> (standardized or individually adjusted based on result of sensitivity test)</w:t>
            </w:r>
          </w:p>
          <w:p w14:paraId="54C3F80F"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10–15 mg/kg once daily</w:t>
            </w:r>
          </w:p>
          <w:p w14:paraId="7D104BE2" w14:textId="77777777" w:rsidR="007B485D" w:rsidRPr="00727DFA" w:rsidRDefault="007B485D" w:rsidP="002D6DD7">
            <w:pPr>
              <w:jc w:val="both"/>
              <w:rPr>
                <w:rFonts w:eastAsia="DengXian"/>
                <w:szCs w:val="24"/>
              </w:rPr>
            </w:pPr>
            <w:r w:rsidRPr="00873AF2">
              <w:rPr>
                <w:rFonts w:eastAsia="DengXian"/>
                <w:bCs/>
                <w:szCs w:val="24"/>
              </w:rPr>
              <w:lastRenderedPageBreak/>
              <w:t>Child</w:t>
            </w:r>
            <w:r w:rsidRPr="0063309C">
              <w:rPr>
                <w:rFonts w:eastAsia="DengXian"/>
                <w:bCs/>
                <w:szCs w:val="24"/>
              </w:rPr>
              <w:t>&lt; 5 years:</w:t>
            </w:r>
            <w:r w:rsidRPr="00727DFA">
              <w:rPr>
                <w:rFonts w:eastAsia="DengXian"/>
                <w:szCs w:val="24"/>
              </w:rPr>
              <w:t xml:space="preserve">5-10 mg/kg twice daily </w:t>
            </w:r>
          </w:p>
          <w:p w14:paraId="753C27A4"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xml:space="preserve"> </w:t>
            </w:r>
            <w:r w:rsidRPr="00873AF2">
              <w:rPr>
                <w:rFonts w:eastAsia="DengXian"/>
                <w:b/>
                <w:bCs/>
                <w:szCs w:val="24"/>
              </w:rPr>
              <w:t>&gt; 5 years:</w:t>
            </w:r>
            <w:r w:rsidRPr="00727DFA">
              <w:rPr>
                <w:rFonts w:eastAsia="DengXian"/>
                <w:szCs w:val="24"/>
              </w:rPr>
              <w:t xml:space="preserve">10 mg/kg twice daily </w:t>
            </w:r>
          </w:p>
        </w:tc>
      </w:tr>
      <w:tr w:rsidR="007B485D" w:rsidRPr="00727DFA" w14:paraId="2B39706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D419FA"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BF543DF"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or other quinolones, pregnancy, breastfeeding, history of tendon disorders related to fluroquinolones, epilepsy, prolonged QTc</w:t>
            </w:r>
            <w:r>
              <w:rPr>
                <w:rFonts w:eastAsia="DengXian"/>
                <w:szCs w:val="24"/>
              </w:rPr>
              <w:t>.</w:t>
            </w:r>
          </w:p>
        </w:tc>
      </w:tr>
      <w:tr w:rsidR="007B485D" w:rsidRPr="00727DFA" w14:paraId="63D7E14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9996E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03DF475" w14:textId="77777777" w:rsidR="007B485D" w:rsidRPr="00727DFA" w:rsidRDefault="007B485D" w:rsidP="002D6DD7">
            <w:pPr>
              <w:jc w:val="both"/>
              <w:rPr>
                <w:rFonts w:eastAsia="DengXian"/>
                <w:szCs w:val="24"/>
              </w:rPr>
            </w:pPr>
            <w:r w:rsidRPr="00727DFA">
              <w:rPr>
                <w:rFonts w:eastAsia="DengXian"/>
                <w:szCs w:val="24"/>
              </w:rPr>
              <w:t>Warfarin, class IA and class III antiarrhythmics, erythromycin, antacids, oral electrolyte supplements, sucralfate, cimetidine, corticosteroids, digoxin, antidepressants</w:t>
            </w:r>
            <w:r>
              <w:rPr>
                <w:rFonts w:eastAsia="DengXian"/>
                <w:szCs w:val="24"/>
              </w:rPr>
              <w:t>,</w:t>
            </w:r>
            <w:r w:rsidRPr="00727DFA">
              <w:rPr>
                <w:rFonts w:eastAsia="DengXian"/>
                <w:szCs w:val="24"/>
              </w:rPr>
              <w:t xml:space="preserve"> antidiabetic agents, NSAIDs, probenecid</w:t>
            </w:r>
            <w:r>
              <w:rPr>
                <w:rFonts w:eastAsia="DengXian"/>
                <w:szCs w:val="24"/>
              </w:rPr>
              <w:t xml:space="preserve">, </w:t>
            </w:r>
            <w:r w:rsidRPr="0063309C">
              <w:rPr>
                <w:rFonts w:eastAsia="DengXian"/>
                <w:szCs w:val="24"/>
              </w:rPr>
              <w:t>artemether</w:t>
            </w:r>
            <w:r w:rsidRPr="00873AF2">
              <w:rPr>
                <w:rFonts w:eastAsia="DengXian"/>
                <w:szCs w:val="24"/>
              </w:rPr>
              <w:t>, cholera vaccine,</w:t>
            </w:r>
            <w:r>
              <w:rPr>
                <w:rFonts w:eastAsia="DengXian"/>
                <w:szCs w:val="24"/>
              </w:rPr>
              <w:t xml:space="preserve"> </w:t>
            </w:r>
            <w:r w:rsidRPr="00873AF2">
              <w:rPr>
                <w:rFonts w:eastAsia="DengXian"/>
                <w:szCs w:val="24"/>
              </w:rPr>
              <w:t>ferrous preparation</w:t>
            </w:r>
            <w:r w:rsidRPr="0063309C">
              <w:rPr>
                <w:rFonts w:eastAsia="DengXian"/>
                <w:szCs w:val="24"/>
              </w:rPr>
              <w:t>,</w:t>
            </w:r>
            <w:r>
              <w:rPr>
                <w:rFonts w:eastAsia="DengXian"/>
                <w:szCs w:val="24"/>
              </w:rPr>
              <w:t xml:space="preserve"> </w:t>
            </w:r>
            <w:r w:rsidRPr="00873AF2">
              <w:rPr>
                <w:rFonts w:eastAsia="DengXian"/>
                <w:szCs w:val="24"/>
              </w:rPr>
              <w:t>hydroxyl chloroquine sulphate,</w:t>
            </w:r>
            <w:r>
              <w:rPr>
                <w:rFonts w:eastAsia="DengXian"/>
                <w:szCs w:val="24"/>
              </w:rPr>
              <w:t xml:space="preserve"> </w:t>
            </w:r>
            <w:r w:rsidRPr="00873AF2">
              <w:rPr>
                <w:rFonts w:eastAsia="DengXian"/>
                <w:szCs w:val="24"/>
              </w:rPr>
              <w:t>indapamide,</w:t>
            </w:r>
            <w:r>
              <w:rPr>
                <w:rFonts w:eastAsia="DengXian"/>
                <w:szCs w:val="24"/>
              </w:rPr>
              <w:t xml:space="preserve"> </w:t>
            </w:r>
            <w:r w:rsidRPr="00873AF2">
              <w:rPr>
                <w:rFonts w:eastAsia="DengXian"/>
                <w:szCs w:val="24"/>
              </w:rPr>
              <w:t>parentral iron preparation,</w:t>
            </w:r>
            <w:r>
              <w:rPr>
                <w:rFonts w:eastAsia="DengXian"/>
                <w:szCs w:val="24"/>
              </w:rPr>
              <w:t xml:space="preserve"> </w:t>
            </w:r>
            <w:r w:rsidRPr="00873AF2">
              <w:rPr>
                <w:rFonts w:eastAsia="DengXian"/>
                <w:szCs w:val="24"/>
              </w:rPr>
              <w:t>ondansetron,</w:t>
            </w:r>
            <w:r>
              <w:rPr>
                <w:rFonts w:eastAsia="DengXian"/>
                <w:szCs w:val="24"/>
              </w:rPr>
              <w:t xml:space="preserve"> </w:t>
            </w:r>
            <w:r w:rsidRPr="00873AF2">
              <w:rPr>
                <w:rFonts w:eastAsia="DengXian"/>
                <w:szCs w:val="24"/>
              </w:rPr>
              <w:t>pentamidine,</w:t>
            </w:r>
            <w:r>
              <w:rPr>
                <w:rFonts w:eastAsia="DengXian"/>
                <w:szCs w:val="24"/>
              </w:rPr>
              <w:t xml:space="preserve"> </w:t>
            </w:r>
            <w:r w:rsidRPr="00873AF2">
              <w:rPr>
                <w:rFonts w:eastAsia="DengXian"/>
                <w:szCs w:val="24"/>
              </w:rPr>
              <w:t>sodium bicarbonate</w:t>
            </w:r>
            <w:r>
              <w:rPr>
                <w:rFonts w:eastAsia="DengXian"/>
                <w:szCs w:val="24"/>
              </w:rPr>
              <w:t>.</w:t>
            </w:r>
          </w:p>
        </w:tc>
      </w:tr>
      <w:tr w:rsidR="007B485D" w:rsidRPr="00727DFA" w14:paraId="0A7AEE4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E94FA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0A1CE79" w14:textId="77777777" w:rsidR="007B485D" w:rsidRPr="00727DFA" w:rsidRDefault="007B485D" w:rsidP="002D6DD7">
            <w:pPr>
              <w:jc w:val="both"/>
              <w:rPr>
                <w:rFonts w:eastAsia="DengXian"/>
                <w:szCs w:val="24"/>
              </w:rPr>
            </w:pPr>
            <w:r w:rsidRPr="00727DFA">
              <w:rPr>
                <w:rFonts w:eastAsia="DengXian"/>
                <w:szCs w:val="24"/>
              </w:rPr>
              <w:t>Dizziness, fever, headache, insomnia, anxiety, confusional state, nervousness. headache, dizziness, vertigo, abdominal pain, dyspepsia, nausea, vomiting, diarrhea, constipation, appetite loss, decreased vision, pharyngitis, dyspnea, fungal infection including candida infection, hepatic enzyme increased tendon disorders, Stevens-Johnson syndrome (rare)</w:t>
            </w:r>
            <w:r>
              <w:rPr>
                <w:rFonts w:eastAsia="DengXian"/>
                <w:szCs w:val="24"/>
              </w:rPr>
              <w:t>.</w:t>
            </w:r>
          </w:p>
        </w:tc>
      </w:tr>
      <w:tr w:rsidR="007B485D" w:rsidRPr="00727DFA" w14:paraId="4D2C2B8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139FB7"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0E2F05E" w14:textId="77777777" w:rsidR="007B485D" w:rsidRPr="00727DFA" w:rsidRDefault="007B485D" w:rsidP="002D6DD7">
            <w:pPr>
              <w:jc w:val="both"/>
              <w:rPr>
                <w:rFonts w:eastAsia="DengXian"/>
                <w:szCs w:val="24"/>
              </w:rPr>
            </w:pPr>
            <w:r w:rsidRPr="00727DFA">
              <w:rPr>
                <w:rFonts w:eastAsia="DengXian"/>
                <w:szCs w:val="24"/>
              </w:rPr>
              <w:t>Children &lt; 18 years of age, CNS disorders or renal dysfunction, history of prolonged QT interval, peripheral neuropathy, patients with G-6-phosphate dehydrogenase deficiency, diabetes</w:t>
            </w:r>
            <w:r>
              <w:rPr>
                <w:rFonts w:eastAsia="DengXian"/>
                <w:szCs w:val="24"/>
              </w:rPr>
              <w:t xml:space="preserve"> mellitus, </w:t>
            </w:r>
            <w:r w:rsidRPr="00873AF2">
              <w:rPr>
                <w:rFonts w:eastAsia="DengXian"/>
                <w:szCs w:val="24"/>
              </w:rPr>
              <w:t>hepatotoxicity, hematologic toxicity, tendinitis</w:t>
            </w:r>
            <w:r>
              <w:rPr>
                <w:rFonts w:eastAsia="DengXian"/>
                <w:szCs w:val="24"/>
              </w:rPr>
              <w:t>,</w:t>
            </w:r>
            <w:r w:rsidRPr="00873AF2">
              <w:rPr>
                <w:rFonts w:eastAsia="DengXian"/>
                <w:szCs w:val="24"/>
              </w:rPr>
              <w:t xml:space="preserve"> tendon rupture</w:t>
            </w:r>
            <w:r>
              <w:rPr>
                <w:rFonts w:eastAsia="DengXian"/>
                <w:szCs w:val="24"/>
              </w:rPr>
              <w:t>.</w:t>
            </w:r>
          </w:p>
        </w:tc>
      </w:tr>
      <w:tr w:rsidR="007B485D" w:rsidRPr="00727DFA" w14:paraId="74BD2C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8EAABE"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639068E"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r w:rsidRPr="00727DFA">
              <w:rPr>
                <w:rFonts w:eastAsia="DengXian"/>
                <w:szCs w:val="24"/>
              </w:rPr>
              <w:t xml:space="preserve"> </w:t>
            </w:r>
          </w:p>
        </w:tc>
      </w:tr>
      <w:tr w:rsidR="007B485D" w:rsidRPr="00727DFA" w14:paraId="45CE755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8671648" w14:textId="77777777" w:rsidR="007B485D" w:rsidRPr="00727DFA" w:rsidRDefault="007B485D" w:rsidP="002D6DD7">
            <w:pPr>
              <w:jc w:val="both"/>
              <w:rPr>
                <w:rFonts w:eastAsia="DengXian"/>
                <w:szCs w:val="24"/>
              </w:rPr>
            </w:pPr>
            <w:r w:rsidRPr="00727DFA">
              <w:rPr>
                <w:rFonts w:eastAsia="DengXian"/>
                <w:b/>
                <w:bCs/>
                <w:szCs w:val="24"/>
              </w:rPr>
              <w:t>Linezolid</w:t>
            </w:r>
          </w:p>
        </w:tc>
      </w:tr>
      <w:tr w:rsidR="007B485D" w:rsidRPr="00727DFA" w14:paraId="6D47E4B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78526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EFD7A41" w14:textId="77777777" w:rsidR="007B485D" w:rsidRPr="00727DFA" w:rsidRDefault="007B485D" w:rsidP="002D6DD7">
            <w:pPr>
              <w:jc w:val="both"/>
              <w:rPr>
                <w:rFonts w:eastAsia="DengXian"/>
                <w:szCs w:val="24"/>
              </w:rPr>
            </w:pPr>
            <w:r w:rsidRPr="00727DFA">
              <w:rPr>
                <w:rFonts w:eastAsia="DengXian"/>
                <w:szCs w:val="24"/>
              </w:rPr>
              <w:t>Oxazolidinone, antibacterials (antitubercular)</w:t>
            </w:r>
          </w:p>
        </w:tc>
      </w:tr>
      <w:tr w:rsidR="007B485D" w:rsidRPr="00810924" w14:paraId="5C2BDBE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1EC0F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8DD6DEB" w14:textId="77777777" w:rsidR="007B485D" w:rsidRPr="00727DFA" w:rsidRDefault="007B485D" w:rsidP="002D6DD7">
            <w:pPr>
              <w:jc w:val="both"/>
              <w:rPr>
                <w:rFonts w:eastAsia="DengXian"/>
                <w:szCs w:val="24"/>
                <w:lang w:val="nb-NO"/>
              </w:rPr>
            </w:pPr>
            <w:r w:rsidRPr="00727DFA">
              <w:rPr>
                <w:rFonts w:eastAsia="DengXian"/>
                <w:szCs w:val="24"/>
                <w:lang w:val="nb-NO"/>
              </w:rPr>
              <w:t>Tablet: 600mg</w:t>
            </w:r>
          </w:p>
          <w:p w14:paraId="31CE8E0A"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150 mg </w:t>
            </w:r>
          </w:p>
        </w:tc>
      </w:tr>
      <w:tr w:rsidR="007B485D" w:rsidRPr="00727DFA" w14:paraId="260CAC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A08863"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E9CF26A" w14:textId="77777777" w:rsidR="007B485D" w:rsidRPr="00727DFA" w:rsidRDefault="007B485D" w:rsidP="002D6DD7">
            <w:pPr>
              <w:jc w:val="both"/>
              <w:rPr>
                <w:rFonts w:eastAsia="DengXian"/>
                <w:szCs w:val="24"/>
              </w:rPr>
            </w:pPr>
            <w:r w:rsidRPr="00727DFA">
              <w:rPr>
                <w:rFonts w:eastAsia="DengXian"/>
                <w:szCs w:val="24"/>
              </w:rPr>
              <w:t>For MDR-TB as a primary regimen drug for the intensive phase of treatment (6 months) in an appropriate combination</w:t>
            </w:r>
            <w:r>
              <w:rPr>
                <w:rFonts w:eastAsia="DengXian"/>
                <w:szCs w:val="24"/>
              </w:rPr>
              <w:t>.</w:t>
            </w:r>
          </w:p>
        </w:tc>
      </w:tr>
      <w:tr w:rsidR="007B485D" w:rsidRPr="00727DFA" w14:paraId="16769F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30EC2D"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2E14D72"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w:t>
            </w:r>
          </w:p>
          <w:p w14:paraId="3864D2C0"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w:t>
            </w:r>
            <w:r w:rsidRPr="00727DFA">
              <w:rPr>
                <w:rFonts w:eastAsia="DengXian"/>
                <w:b/>
                <w:szCs w:val="24"/>
              </w:rPr>
              <w:t>&gt;30 kg</w:t>
            </w:r>
            <w:r w:rsidRPr="00727DFA">
              <w:rPr>
                <w:rFonts w:eastAsia="DengXian"/>
                <w:szCs w:val="24"/>
              </w:rPr>
              <w:t>: 600 mg daily (if there is a severe adverse drug reaction, reduce to 300 mg)</w:t>
            </w:r>
          </w:p>
          <w:p w14:paraId="0EF5DC68" w14:textId="77777777" w:rsidR="007B485D" w:rsidRPr="00727DFA" w:rsidRDefault="007B485D" w:rsidP="002D6DD7">
            <w:pPr>
              <w:jc w:val="both"/>
              <w:rPr>
                <w:rFonts w:eastAsia="DengXian"/>
                <w:szCs w:val="24"/>
              </w:rPr>
            </w:pPr>
            <w:r w:rsidRPr="00727DFA">
              <w:rPr>
                <w:rFonts w:eastAsia="DengXian"/>
                <w:b/>
                <w:szCs w:val="24"/>
              </w:rPr>
              <w:lastRenderedPageBreak/>
              <w:t>Neonates up to 7 days old</w:t>
            </w:r>
            <w:r w:rsidRPr="00727DFA">
              <w:rPr>
                <w:rFonts w:eastAsia="DengXian"/>
                <w:szCs w:val="24"/>
              </w:rPr>
              <w:t xml:space="preserve">: 10 mg/kg every 12 hours, increasing to every 8 hours if response is poor </w:t>
            </w:r>
          </w:p>
          <w:p w14:paraId="09152E4B" w14:textId="77777777" w:rsidR="007B485D" w:rsidRPr="00727DFA" w:rsidRDefault="007B485D" w:rsidP="002D6DD7">
            <w:pPr>
              <w:jc w:val="both"/>
              <w:rPr>
                <w:rFonts w:eastAsia="DengXian"/>
                <w:szCs w:val="24"/>
              </w:rPr>
            </w:pPr>
            <w:r w:rsidRPr="00727DFA">
              <w:rPr>
                <w:rFonts w:eastAsia="DengXian"/>
                <w:b/>
                <w:szCs w:val="24"/>
              </w:rPr>
              <w:t>Neonate and child 7 days to 12 years</w:t>
            </w:r>
            <w:r w:rsidRPr="00727DFA">
              <w:rPr>
                <w:rFonts w:eastAsia="DengXian"/>
                <w:szCs w:val="24"/>
              </w:rPr>
              <w:t>: 10 mg/kg (to a maximum of 600 mg) every 8 hours</w:t>
            </w:r>
          </w:p>
          <w:p w14:paraId="0C9DA2AE" w14:textId="77777777" w:rsidR="007B485D" w:rsidRPr="00727DFA" w:rsidRDefault="007B485D" w:rsidP="002D6DD7">
            <w:pPr>
              <w:jc w:val="both"/>
              <w:rPr>
                <w:rFonts w:eastAsia="DengXian"/>
                <w:szCs w:val="24"/>
              </w:rPr>
            </w:pPr>
            <w:r w:rsidRPr="00727DFA">
              <w:rPr>
                <w:rFonts w:eastAsia="DengXian"/>
                <w:b/>
                <w:szCs w:val="24"/>
              </w:rPr>
              <w:t>Child 12 to 18 years</w:t>
            </w:r>
            <w:r w:rsidRPr="00727DFA">
              <w:rPr>
                <w:rFonts w:eastAsia="DengXian"/>
                <w:szCs w:val="24"/>
              </w:rPr>
              <w:t>: Usual adult doses</w:t>
            </w:r>
          </w:p>
        </w:tc>
      </w:tr>
      <w:tr w:rsidR="007B485D" w:rsidRPr="00727DFA" w14:paraId="00D06CD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DFB308"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3E41A44"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linezolid (antibacterials)</w:t>
            </w:r>
            <w:r>
              <w:rPr>
                <w:rFonts w:eastAsia="DengXian"/>
                <w:szCs w:val="24"/>
              </w:rPr>
              <w:t>.</w:t>
            </w:r>
          </w:p>
        </w:tc>
      </w:tr>
      <w:tr w:rsidR="007B485D" w:rsidRPr="00727DFA" w14:paraId="3183833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EB0D5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26B17FA"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linezolid (antibacterials)</w:t>
            </w:r>
            <w:r>
              <w:rPr>
                <w:rFonts w:eastAsia="DengXian"/>
                <w:szCs w:val="24"/>
              </w:rPr>
              <w:t>.</w:t>
            </w:r>
          </w:p>
        </w:tc>
      </w:tr>
      <w:tr w:rsidR="007B485D" w:rsidRPr="00727DFA" w14:paraId="1F2D706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4D09E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F81BC9C"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linezolid (antibacterials)</w:t>
            </w:r>
            <w:r>
              <w:rPr>
                <w:rFonts w:eastAsia="DengXian"/>
                <w:szCs w:val="24"/>
              </w:rPr>
              <w:t>.</w:t>
            </w:r>
          </w:p>
        </w:tc>
      </w:tr>
      <w:tr w:rsidR="007B485D" w:rsidRPr="00727DFA" w14:paraId="382FC85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3E276A"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447ADAFC"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linezolid (antibacterials)</w:t>
            </w:r>
            <w:r>
              <w:rPr>
                <w:rFonts w:eastAsia="DengXian"/>
                <w:szCs w:val="24"/>
              </w:rPr>
              <w:t>.</w:t>
            </w:r>
          </w:p>
        </w:tc>
      </w:tr>
      <w:tr w:rsidR="007B485D" w:rsidRPr="00727DFA" w14:paraId="25B52D7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25A6C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B7C96E1"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00AED632"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29E5EFD" w14:textId="77777777" w:rsidR="007B485D" w:rsidRPr="00727DFA" w:rsidRDefault="007B485D" w:rsidP="002D6DD7">
            <w:pPr>
              <w:jc w:val="both"/>
              <w:rPr>
                <w:rFonts w:eastAsia="DengXian"/>
                <w:szCs w:val="24"/>
              </w:rPr>
            </w:pPr>
            <w:r w:rsidRPr="00727DFA">
              <w:rPr>
                <w:rFonts w:eastAsia="DengXian"/>
                <w:b/>
                <w:bCs/>
                <w:szCs w:val="24"/>
              </w:rPr>
              <w:t>Meropenem</w:t>
            </w:r>
          </w:p>
        </w:tc>
      </w:tr>
      <w:tr w:rsidR="007B485D" w:rsidRPr="00727DFA" w14:paraId="4CA812E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5BFE2D"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A32DF2A" w14:textId="77777777" w:rsidR="007B485D" w:rsidRPr="00727DFA" w:rsidRDefault="007B485D" w:rsidP="002D6DD7">
            <w:pPr>
              <w:jc w:val="both"/>
              <w:rPr>
                <w:rFonts w:eastAsia="DengXian"/>
                <w:szCs w:val="24"/>
              </w:rPr>
            </w:pPr>
            <w:r w:rsidRPr="00727DFA">
              <w:rPr>
                <w:rFonts w:eastAsia="DengXian"/>
                <w:szCs w:val="24"/>
              </w:rPr>
              <w:t>Carbapenem</w:t>
            </w:r>
          </w:p>
        </w:tc>
      </w:tr>
      <w:tr w:rsidR="007B485D" w:rsidRPr="00727DFA" w14:paraId="4807E2B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6E99D5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B466E72" w14:textId="77777777" w:rsidR="007B485D" w:rsidRPr="00727DFA" w:rsidRDefault="007B485D" w:rsidP="002D6DD7">
            <w:pPr>
              <w:jc w:val="both"/>
              <w:rPr>
                <w:rFonts w:eastAsia="DengXian"/>
                <w:szCs w:val="24"/>
              </w:rPr>
            </w:pPr>
            <w:r w:rsidRPr="00727DFA">
              <w:rPr>
                <w:rFonts w:eastAsia="DengXian"/>
                <w:szCs w:val="24"/>
              </w:rPr>
              <w:t xml:space="preserve">Powder for injection (as trihydrate): 500mg, 1g in vial </w:t>
            </w:r>
          </w:p>
        </w:tc>
      </w:tr>
      <w:tr w:rsidR="007B485D" w:rsidRPr="00727DFA" w14:paraId="79DFD7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19104AE"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36D79A0" w14:textId="77777777" w:rsidR="007B485D" w:rsidRPr="00727DFA" w:rsidRDefault="007B485D" w:rsidP="002D6DD7">
            <w:pPr>
              <w:jc w:val="both"/>
              <w:rPr>
                <w:rFonts w:eastAsia="DengXian"/>
                <w:szCs w:val="24"/>
              </w:rPr>
            </w:pPr>
            <w:r w:rsidRPr="00727DFA">
              <w:rPr>
                <w:rFonts w:eastAsia="DengXian"/>
                <w:szCs w:val="24"/>
              </w:rPr>
              <w:t>MDR-TB with at least 5 effective drugs (i.e. primarily 4 core second line medicines plus pyrazinamide).</w:t>
            </w:r>
          </w:p>
        </w:tc>
      </w:tr>
      <w:tr w:rsidR="007B485D" w:rsidRPr="00727DFA" w14:paraId="09B7E83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B49E51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CE67566" w14:textId="77777777" w:rsidR="007B485D" w:rsidRPr="00727DFA" w:rsidRDefault="007B485D" w:rsidP="002D6DD7">
            <w:pPr>
              <w:jc w:val="both"/>
              <w:rPr>
                <w:rFonts w:eastAsia="DengXian"/>
                <w:b/>
                <w:bCs/>
                <w:szCs w:val="24"/>
              </w:rPr>
            </w:pPr>
            <w:r w:rsidRPr="00727DFA">
              <w:rPr>
                <w:rFonts w:eastAsia="DengXian"/>
                <w:b/>
                <w:bCs/>
                <w:szCs w:val="24"/>
              </w:rPr>
              <w:t>IV:</w:t>
            </w:r>
          </w:p>
          <w:p w14:paraId="3032C649" w14:textId="77777777" w:rsidR="007B485D" w:rsidRPr="00727DFA" w:rsidRDefault="007B485D" w:rsidP="002D6DD7">
            <w:pPr>
              <w:jc w:val="both"/>
              <w:rPr>
                <w:rFonts w:eastAsia="DengXian"/>
                <w:szCs w:val="24"/>
              </w:rPr>
            </w:pPr>
            <w:r w:rsidRPr="00727DFA">
              <w:rPr>
                <w:rFonts w:eastAsia="DengXian"/>
                <w:b/>
                <w:bCs/>
                <w:szCs w:val="24"/>
              </w:rPr>
              <w:t>For children and adults &gt;15 years:</w:t>
            </w:r>
            <w:r w:rsidRPr="00727DFA">
              <w:rPr>
                <w:rFonts w:eastAsia="DengXian"/>
                <w:szCs w:val="24"/>
              </w:rPr>
              <w:t xml:space="preserve"> 1g 3 times per day or 2g twice per day</w:t>
            </w:r>
          </w:p>
          <w:p w14:paraId="26EDBEA8" w14:textId="77777777" w:rsidR="007B485D" w:rsidRPr="00727DFA" w:rsidRDefault="007B485D" w:rsidP="002D6DD7">
            <w:pPr>
              <w:jc w:val="both"/>
              <w:rPr>
                <w:rFonts w:eastAsia="DengXian"/>
                <w:szCs w:val="24"/>
              </w:rPr>
            </w:pPr>
            <w:r w:rsidRPr="00727DFA">
              <w:rPr>
                <w:rFonts w:eastAsia="DengXian"/>
                <w:b/>
                <w:bCs/>
                <w:szCs w:val="24"/>
              </w:rPr>
              <w:t>Children &lt; 15 years:</w:t>
            </w:r>
            <w:r w:rsidRPr="00727DFA">
              <w:rPr>
                <w:rFonts w:eastAsia="DengXian"/>
                <w:szCs w:val="24"/>
              </w:rPr>
              <w:t xml:space="preserve"> 20–40 mg/ kg IV every 8 hours (to be used with clavulanic acid)</w:t>
            </w:r>
          </w:p>
        </w:tc>
      </w:tr>
      <w:tr w:rsidR="007B485D" w:rsidRPr="00727DFA" w14:paraId="13DB80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54F7EC"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9B8066E"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meropenem (antibacterials)</w:t>
            </w:r>
            <w:r>
              <w:rPr>
                <w:rFonts w:eastAsia="DengXian"/>
                <w:szCs w:val="24"/>
              </w:rPr>
              <w:t>.</w:t>
            </w:r>
          </w:p>
        </w:tc>
      </w:tr>
      <w:tr w:rsidR="007B485D" w:rsidRPr="00727DFA" w14:paraId="72796E7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6E9265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96FD635"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meropenem (antibacterials)</w:t>
            </w:r>
            <w:r>
              <w:rPr>
                <w:rFonts w:eastAsia="DengXian"/>
                <w:szCs w:val="24"/>
              </w:rPr>
              <w:t>.</w:t>
            </w:r>
          </w:p>
        </w:tc>
      </w:tr>
      <w:tr w:rsidR="007B485D" w:rsidRPr="00727DFA" w14:paraId="119F50F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790BD4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6BB119B"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meropenem (antibacterials)</w:t>
            </w:r>
            <w:r>
              <w:rPr>
                <w:rFonts w:eastAsia="DengXian"/>
                <w:szCs w:val="24"/>
              </w:rPr>
              <w:t>.</w:t>
            </w:r>
          </w:p>
        </w:tc>
      </w:tr>
      <w:tr w:rsidR="007B485D" w:rsidRPr="00727DFA" w14:paraId="4B674C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F1A531"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C5B08A3"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meropenem (antibacterials)</w:t>
            </w:r>
            <w:r>
              <w:rPr>
                <w:rFonts w:eastAsia="DengXian"/>
                <w:szCs w:val="24"/>
              </w:rPr>
              <w:t>.</w:t>
            </w:r>
          </w:p>
        </w:tc>
      </w:tr>
      <w:tr w:rsidR="007B485D" w:rsidRPr="00727DFA" w14:paraId="4A6E0F7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E04BA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BC33251"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3D930C09"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B53167F" w14:textId="77777777" w:rsidR="007B485D" w:rsidRPr="00727DFA" w:rsidRDefault="007B485D" w:rsidP="002D6DD7">
            <w:pPr>
              <w:jc w:val="both"/>
              <w:rPr>
                <w:rFonts w:eastAsia="DengXian"/>
                <w:szCs w:val="24"/>
              </w:rPr>
            </w:pPr>
            <w:r w:rsidRPr="00727DFA">
              <w:rPr>
                <w:rFonts w:eastAsia="DengXian"/>
                <w:b/>
                <w:bCs/>
                <w:szCs w:val="24"/>
              </w:rPr>
              <w:t>Moxifloxacin</w:t>
            </w:r>
          </w:p>
        </w:tc>
      </w:tr>
      <w:tr w:rsidR="007B485D" w:rsidRPr="00727DFA" w14:paraId="1DA38C9A" w14:textId="77777777" w:rsidTr="002D6DD7">
        <w:trPr>
          <w:trHeight w:val="305"/>
        </w:trPr>
        <w:tc>
          <w:tcPr>
            <w:tcW w:w="2605" w:type="dxa"/>
            <w:tcBorders>
              <w:top w:val="single" w:sz="4" w:space="0" w:color="auto"/>
              <w:left w:val="single" w:sz="4" w:space="0" w:color="auto"/>
              <w:bottom w:val="single" w:sz="4" w:space="0" w:color="auto"/>
              <w:right w:val="single" w:sz="4" w:space="0" w:color="auto"/>
            </w:tcBorders>
            <w:hideMark/>
          </w:tcPr>
          <w:p w14:paraId="4D417F8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4C611BE" w14:textId="77777777" w:rsidR="007B485D" w:rsidRPr="00727DFA" w:rsidRDefault="007B485D" w:rsidP="002D6DD7">
            <w:pPr>
              <w:jc w:val="both"/>
              <w:rPr>
                <w:rFonts w:eastAsia="DengXian"/>
                <w:szCs w:val="24"/>
              </w:rPr>
            </w:pPr>
            <w:r w:rsidRPr="00727DFA">
              <w:rPr>
                <w:rFonts w:eastAsia="DengXian"/>
                <w:szCs w:val="24"/>
              </w:rPr>
              <w:t>Fluoroquinolone</w:t>
            </w:r>
          </w:p>
        </w:tc>
      </w:tr>
      <w:tr w:rsidR="007B485D" w:rsidRPr="00810924" w14:paraId="2430A1D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55BCF9"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23F6BCE" w14:textId="77777777" w:rsidR="007B485D" w:rsidRPr="00727DFA" w:rsidRDefault="007B485D" w:rsidP="002D6DD7">
            <w:pPr>
              <w:jc w:val="both"/>
              <w:rPr>
                <w:rFonts w:eastAsia="DengXian"/>
                <w:szCs w:val="24"/>
                <w:lang w:val="nb-NO"/>
              </w:rPr>
            </w:pPr>
            <w:r w:rsidRPr="00727DFA">
              <w:rPr>
                <w:rFonts w:eastAsia="DengXian"/>
                <w:szCs w:val="24"/>
                <w:lang w:val="nb-NO"/>
              </w:rPr>
              <w:t>Tablet: 400mg</w:t>
            </w:r>
          </w:p>
          <w:p w14:paraId="1617A564"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100mg </w:t>
            </w:r>
          </w:p>
        </w:tc>
      </w:tr>
      <w:tr w:rsidR="007B485D" w:rsidRPr="00727DFA" w14:paraId="68B7B28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BE0EB2"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E46AF16" w14:textId="77777777" w:rsidR="007B485D" w:rsidRPr="00727DFA" w:rsidRDefault="007B485D" w:rsidP="002D6DD7">
            <w:pPr>
              <w:jc w:val="both"/>
              <w:rPr>
                <w:rFonts w:eastAsia="DengXian"/>
                <w:szCs w:val="24"/>
              </w:rPr>
            </w:pPr>
            <w:r w:rsidRPr="00727DFA">
              <w:rPr>
                <w:rFonts w:eastAsia="DengXian"/>
                <w:szCs w:val="24"/>
              </w:rPr>
              <w:t xml:space="preserve">Treatment of MDR- TB in combination with other second line </w:t>
            </w:r>
            <w:r w:rsidRPr="00727DFA">
              <w:rPr>
                <w:rFonts w:eastAsia="DengXian"/>
                <w:szCs w:val="24"/>
              </w:rPr>
              <w:lastRenderedPageBreak/>
              <w:t>drugs.</w:t>
            </w:r>
          </w:p>
        </w:tc>
      </w:tr>
      <w:tr w:rsidR="007B485D" w:rsidRPr="00727DFA" w14:paraId="2F668A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491FE9" w14:textId="77777777" w:rsidR="007B485D" w:rsidRPr="00727DFA" w:rsidRDefault="007B485D" w:rsidP="002D6DD7">
            <w:pPr>
              <w:jc w:val="both"/>
              <w:rPr>
                <w:rFonts w:eastAsia="DengXian"/>
                <w:bCs/>
                <w:szCs w:val="24"/>
              </w:rPr>
            </w:pPr>
            <w:r w:rsidRPr="00727DFA">
              <w:rPr>
                <w:rFonts w:eastAsia="DengXian"/>
                <w:bCs/>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25A2E4D" w14:textId="77777777" w:rsidR="007B485D" w:rsidRPr="00727DFA" w:rsidRDefault="007B485D" w:rsidP="002D6DD7">
            <w:pPr>
              <w:jc w:val="both"/>
              <w:rPr>
                <w:rFonts w:eastAsia="DengXian"/>
                <w:szCs w:val="24"/>
              </w:rPr>
            </w:pPr>
            <w:r w:rsidRPr="00727DFA">
              <w:rPr>
                <w:rFonts w:eastAsia="DengXian"/>
                <w:szCs w:val="24"/>
              </w:rPr>
              <w:t>Oral:</w:t>
            </w:r>
          </w:p>
          <w:p w14:paraId="28AEEEBB" w14:textId="77777777" w:rsidR="007B485D" w:rsidRPr="00727DFA" w:rsidRDefault="007B485D" w:rsidP="002D6DD7">
            <w:pPr>
              <w:jc w:val="both"/>
              <w:rPr>
                <w:rFonts w:eastAsia="DengXian"/>
                <w:szCs w:val="24"/>
              </w:rPr>
            </w:pPr>
            <w:r w:rsidRPr="00727DFA">
              <w:rPr>
                <w:rFonts w:eastAsia="DengXian"/>
                <w:b/>
                <w:bCs/>
                <w:szCs w:val="24"/>
              </w:rPr>
              <w:t>Adult and children</w:t>
            </w:r>
            <w:r w:rsidRPr="00727DFA">
              <w:rPr>
                <w:rFonts w:eastAsia="DengXian"/>
                <w:szCs w:val="24"/>
              </w:rPr>
              <w:t xml:space="preserve"> </w:t>
            </w:r>
            <m:oMath>
              <m:r>
                <w:rPr>
                  <w:rFonts w:ascii="Cambria Math" w:eastAsia="DengXian" w:hAnsi="Cambria Math"/>
                  <w:szCs w:val="24"/>
                </w:rPr>
                <m:t>≥</m:t>
              </m:r>
            </m:oMath>
            <w:r w:rsidRPr="00727DFA">
              <w:rPr>
                <w:rFonts w:eastAsia="DengXian"/>
                <w:szCs w:val="24"/>
              </w:rPr>
              <w:t>15 years of age: Standard dose: 400 mg once daily; High dose: 800 mg once daily</w:t>
            </w:r>
          </w:p>
          <w:p w14:paraId="5A093C98" w14:textId="77777777" w:rsidR="007B485D" w:rsidRPr="00727DFA" w:rsidRDefault="007B485D" w:rsidP="002D6DD7">
            <w:pPr>
              <w:jc w:val="both"/>
              <w:rPr>
                <w:rFonts w:eastAsia="DengXian"/>
                <w:szCs w:val="24"/>
              </w:rPr>
            </w:pPr>
            <w:r w:rsidRPr="00727DFA">
              <w:rPr>
                <w:rFonts w:eastAsia="DengXian"/>
                <w:b/>
                <w:bCs/>
                <w:szCs w:val="24"/>
              </w:rPr>
              <w:t>Children &lt; 15 years of age</w:t>
            </w:r>
            <w:r w:rsidRPr="00727DFA">
              <w:rPr>
                <w:rFonts w:eastAsia="DengXian"/>
                <w:szCs w:val="24"/>
              </w:rPr>
              <w:t xml:space="preserve">:10 – 15 mg/kg  </w:t>
            </w:r>
          </w:p>
        </w:tc>
      </w:tr>
      <w:tr w:rsidR="007B485D" w:rsidRPr="00727DFA" w14:paraId="5C1B535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CB1813"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9675457"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or other quinolones</w:t>
            </w:r>
            <w:r>
              <w:rPr>
                <w:rFonts w:eastAsia="DengXian"/>
                <w:szCs w:val="24"/>
              </w:rPr>
              <w:t>.</w:t>
            </w:r>
            <w:r w:rsidRPr="00727DFA">
              <w:rPr>
                <w:rFonts w:eastAsia="DengXian"/>
                <w:szCs w:val="24"/>
              </w:rPr>
              <w:t xml:space="preserve">  </w:t>
            </w:r>
          </w:p>
        </w:tc>
      </w:tr>
      <w:tr w:rsidR="007B485D" w:rsidRPr="00727DFA" w14:paraId="32995A7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F59F4BF"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590F14AF" w14:textId="77777777" w:rsidR="007B485D" w:rsidRPr="00727DFA" w:rsidRDefault="007B485D" w:rsidP="002D6DD7">
            <w:pPr>
              <w:jc w:val="both"/>
              <w:rPr>
                <w:rFonts w:eastAsia="DengXian"/>
                <w:szCs w:val="24"/>
              </w:rPr>
            </w:pPr>
            <w:r w:rsidRPr="00727DFA">
              <w:rPr>
                <w:rFonts w:eastAsia="DengXian"/>
                <w:szCs w:val="24"/>
              </w:rPr>
              <w:t>Class IA and class III antiarrhythmics, tricyclic antidepressants, cisapride cimetidine, corticosteroids</w:t>
            </w:r>
            <w:r w:rsidRPr="0063309C">
              <w:rPr>
                <w:rFonts w:eastAsia="DengXian"/>
                <w:szCs w:val="24"/>
              </w:rPr>
              <w:t>,</w:t>
            </w:r>
            <w:r w:rsidRPr="00873AF2">
              <w:rPr>
                <w:rFonts w:eastAsia="DengXian"/>
                <w:szCs w:val="24"/>
              </w:rPr>
              <w:t xml:space="preserve"> alfuzosin,</w:t>
            </w:r>
            <w:r w:rsidRPr="0063309C">
              <w:rPr>
                <w:rFonts w:eastAsia="DengXian"/>
                <w:szCs w:val="24"/>
              </w:rPr>
              <w:t xml:space="preserve"> arteme</w:t>
            </w:r>
            <w:r>
              <w:rPr>
                <w:rFonts w:eastAsia="DengXian"/>
                <w:szCs w:val="24"/>
              </w:rPr>
              <w:t>the</w:t>
            </w:r>
            <w:r w:rsidRPr="0063309C">
              <w:rPr>
                <w:rFonts w:eastAsia="DengXian"/>
                <w:szCs w:val="24"/>
              </w:rPr>
              <w:t xml:space="preserve">r, </w:t>
            </w:r>
            <w:r w:rsidRPr="00881367">
              <w:rPr>
                <w:rFonts w:eastAsia="DengXian"/>
                <w:szCs w:val="24"/>
              </w:rPr>
              <w:t>chlorpromazine</w:t>
            </w:r>
            <w:r w:rsidRPr="00873AF2">
              <w:rPr>
                <w:rFonts w:eastAsia="DengXian"/>
                <w:szCs w:val="24"/>
              </w:rPr>
              <w:t>,</w:t>
            </w:r>
            <w:r>
              <w:rPr>
                <w:rFonts w:eastAsia="DengXian"/>
                <w:szCs w:val="24"/>
              </w:rPr>
              <w:t xml:space="preserve"> </w:t>
            </w:r>
            <w:r w:rsidRPr="00873AF2">
              <w:rPr>
                <w:rFonts w:eastAsia="DengXian"/>
                <w:szCs w:val="24"/>
              </w:rPr>
              <w:t>cholera vaccine, clarithromycin, efavirenz, epinephrine, erythromycin, fluconazole, ketoconazole, ondansetron, haloperidol</w:t>
            </w:r>
            <w:r w:rsidRPr="0063309C">
              <w:rPr>
                <w:rFonts w:eastAsia="DengXian"/>
                <w:szCs w:val="24"/>
              </w:rPr>
              <w:t>,</w:t>
            </w:r>
            <w:r>
              <w:rPr>
                <w:rFonts w:eastAsia="DengXian"/>
                <w:szCs w:val="24"/>
              </w:rPr>
              <w:t xml:space="preserve"> </w:t>
            </w:r>
            <w:r w:rsidRPr="00727DFA">
              <w:rPr>
                <w:rFonts w:eastAsia="DengXian"/>
                <w:szCs w:val="24"/>
              </w:rPr>
              <w:t xml:space="preserve">antacids, iron, multivitamins, mineral supplements, loop and thiazide diuretics. </w:t>
            </w:r>
          </w:p>
        </w:tc>
      </w:tr>
      <w:tr w:rsidR="007B485D" w:rsidRPr="00727DFA" w14:paraId="2B0D98F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3129E1"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920669E" w14:textId="77777777" w:rsidR="007B485D" w:rsidRPr="00727DFA" w:rsidRDefault="007B485D" w:rsidP="002D6DD7">
            <w:pPr>
              <w:jc w:val="both"/>
              <w:rPr>
                <w:rFonts w:eastAsia="DengXian"/>
                <w:szCs w:val="24"/>
              </w:rPr>
            </w:pPr>
            <w:r w:rsidRPr="00727DFA">
              <w:rPr>
                <w:rFonts w:eastAsia="DengXian"/>
                <w:szCs w:val="24"/>
              </w:rPr>
              <w:t>GI intolerance (nausea, vomiting, dyspepsia, diarrhea, abdominal pain</w:t>
            </w:r>
            <w:r w:rsidRPr="0063309C">
              <w:rPr>
                <w:rFonts w:eastAsia="DengXian"/>
                <w:szCs w:val="24"/>
              </w:rPr>
              <w:t>),</w:t>
            </w:r>
            <w:r w:rsidRPr="00625FD4">
              <w:rPr>
                <w:rFonts w:eastAsia="DengXian"/>
                <w:szCs w:val="24"/>
              </w:rPr>
              <w:t xml:space="preserve"> </w:t>
            </w:r>
            <w:r w:rsidRPr="00727DFA">
              <w:rPr>
                <w:rFonts w:eastAsia="DengXian"/>
                <w:szCs w:val="24"/>
              </w:rPr>
              <w:t xml:space="preserve">QT prolongation, dizziness, seizure, confusion, tremor, hallucination, </w:t>
            </w:r>
            <w:r>
              <w:rPr>
                <w:rFonts w:eastAsia="DengXian"/>
                <w:i/>
                <w:iCs/>
                <w:szCs w:val="24"/>
              </w:rPr>
              <w:t>Clostridioides</w:t>
            </w:r>
            <w:r w:rsidRPr="00727DFA">
              <w:rPr>
                <w:rFonts w:eastAsia="DengXian"/>
                <w:i/>
                <w:iCs/>
                <w:szCs w:val="24"/>
              </w:rPr>
              <w:t xml:space="preserve"> diffcile</w:t>
            </w:r>
            <w:r w:rsidRPr="00727DFA">
              <w:rPr>
                <w:rFonts w:eastAsia="DengXian"/>
                <w:szCs w:val="24"/>
              </w:rPr>
              <w:t xml:space="preserve"> associated diarrhea, rash, itch, </w:t>
            </w:r>
            <w:r w:rsidRPr="00873AF2">
              <w:rPr>
                <w:rFonts w:eastAsia="DengXian"/>
                <w:szCs w:val="24"/>
              </w:rPr>
              <w:t xml:space="preserve">decreased serum glucose, increase serum chloride, increase serum ionized </w:t>
            </w:r>
            <w:r w:rsidRPr="00CB59F5">
              <w:rPr>
                <w:rFonts w:eastAsia="DengXian"/>
                <w:szCs w:val="24"/>
              </w:rPr>
              <w:t>calcium</w:t>
            </w:r>
            <w:r w:rsidRPr="0063309C">
              <w:rPr>
                <w:rFonts w:eastAsia="DengXian"/>
                <w:szCs w:val="24"/>
              </w:rPr>
              <w:t>,</w:t>
            </w:r>
            <w:r>
              <w:rPr>
                <w:rFonts w:eastAsia="DengXian"/>
                <w:szCs w:val="24"/>
              </w:rPr>
              <w:t xml:space="preserve"> </w:t>
            </w:r>
            <w:r w:rsidRPr="00727DFA">
              <w:rPr>
                <w:rFonts w:eastAsia="DengXian"/>
                <w:szCs w:val="24"/>
              </w:rPr>
              <w:t>headache, insomnia, tendinopathy and tendon rapture.</w:t>
            </w:r>
          </w:p>
        </w:tc>
      </w:tr>
      <w:tr w:rsidR="007B485D" w:rsidRPr="00727DFA" w14:paraId="4C3777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B2D05E"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3DF0714D" w14:textId="77777777" w:rsidR="007B485D" w:rsidRPr="00727DFA" w:rsidRDefault="007B485D" w:rsidP="002D6DD7">
            <w:pPr>
              <w:jc w:val="both"/>
              <w:rPr>
                <w:rFonts w:eastAsia="DengXian"/>
                <w:szCs w:val="24"/>
              </w:rPr>
            </w:pPr>
            <w:r w:rsidRPr="00727DFA">
              <w:rPr>
                <w:rFonts w:eastAsia="DengXian"/>
                <w:szCs w:val="24"/>
              </w:rPr>
              <w:t xml:space="preserve">Children or adolescents younger than 18 years of age, </w:t>
            </w:r>
            <w:r>
              <w:rPr>
                <w:rFonts w:eastAsia="DengXian"/>
                <w:szCs w:val="24"/>
              </w:rPr>
              <w:t>pregnancy</w:t>
            </w:r>
            <w:r w:rsidRPr="00727DFA">
              <w:rPr>
                <w:rFonts w:eastAsia="DengXian"/>
                <w:szCs w:val="24"/>
              </w:rPr>
              <w:t xml:space="preserve"> </w:t>
            </w:r>
            <w:r>
              <w:rPr>
                <w:rFonts w:eastAsia="DengXian"/>
                <w:szCs w:val="24"/>
              </w:rPr>
              <w:t>breastfeeding</w:t>
            </w:r>
            <w:r w:rsidRPr="00727DFA">
              <w:rPr>
                <w:rFonts w:eastAsia="DengXian"/>
                <w:szCs w:val="24"/>
              </w:rPr>
              <w:t>, CNS disorders, prolongation of QT interval, peripheral neuropathy.</w:t>
            </w:r>
          </w:p>
        </w:tc>
      </w:tr>
      <w:tr w:rsidR="007B485D" w:rsidRPr="00727DFA" w14:paraId="1826B2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00C0F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2F6FBCD" w14:textId="77777777" w:rsidR="007B485D" w:rsidRPr="00727DFA" w:rsidRDefault="007B485D" w:rsidP="002D6DD7">
            <w:pPr>
              <w:jc w:val="both"/>
              <w:rPr>
                <w:rFonts w:eastAsia="DengXian"/>
                <w:szCs w:val="24"/>
              </w:rPr>
            </w:pPr>
            <w:r w:rsidRPr="00727DFA">
              <w:rPr>
                <w:rFonts w:eastAsia="DengXian"/>
                <w:szCs w:val="24"/>
              </w:rPr>
              <w:t>Store below 30 °C</w:t>
            </w:r>
            <w:r>
              <w:rPr>
                <w:rFonts w:eastAsia="DengXian"/>
                <w:szCs w:val="24"/>
              </w:rPr>
              <w:t>.</w:t>
            </w:r>
          </w:p>
        </w:tc>
      </w:tr>
      <w:tr w:rsidR="007B485D" w:rsidRPr="00727DFA" w14:paraId="7EDAF9A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FAB0491" w14:textId="77777777" w:rsidR="007B485D" w:rsidRPr="00727DFA" w:rsidRDefault="007B485D" w:rsidP="002D6DD7">
            <w:pPr>
              <w:jc w:val="both"/>
              <w:rPr>
                <w:rFonts w:eastAsia="DengXian"/>
                <w:szCs w:val="24"/>
              </w:rPr>
            </w:pPr>
            <w:r w:rsidRPr="00727DFA">
              <w:rPr>
                <w:rFonts w:eastAsia="DengXian"/>
                <w:b/>
                <w:bCs/>
                <w:szCs w:val="24"/>
              </w:rPr>
              <w:t>P-aminosalicylate sodium</w:t>
            </w:r>
          </w:p>
        </w:tc>
      </w:tr>
      <w:tr w:rsidR="007B485D" w:rsidRPr="00727DFA" w14:paraId="16E17E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A95B3C"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91DCA2A" w14:textId="77777777" w:rsidR="007B485D" w:rsidRPr="00727DFA" w:rsidRDefault="007B485D" w:rsidP="002D6DD7">
            <w:pPr>
              <w:jc w:val="both"/>
              <w:rPr>
                <w:rFonts w:eastAsia="DengXian"/>
                <w:szCs w:val="24"/>
              </w:rPr>
            </w:pPr>
            <w:r w:rsidRPr="00727DFA">
              <w:rPr>
                <w:rFonts w:eastAsia="DengXian"/>
                <w:szCs w:val="24"/>
              </w:rPr>
              <w:t>Aminobenzoic acid, antitubercular</w:t>
            </w:r>
          </w:p>
        </w:tc>
      </w:tr>
      <w:tr w:rsidR="007B485D" w:rsidRPr="00727DFA" w14:paraId="70A97E8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ACCB67" w14:textId="77777777" w:rsidR="007B485D" w:rsidRPr="0063309C" w:rsidRDefault="007B485D" w:rsidP="002D6DD7">
            <w:pPr>
              <w:jc w:val="both"/>
              <w:rPr>
                <w:rFonts w:eastAsia="DengXian"/>
                <w:bCs/>
                <w:szCs w:val="24"/>
              </w:rPr>
            </w:pPr>
            <w:r w:rsidRPr="0063309C">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70407BB" w14:textId="77777777" w:rsidR="007B485D" w:rsidRPr="0063309C" w:rsidRDefault="007B485D" w:rsidP="002D6DD7">
            <w:pPr>
              <w:jc w:val="both"/>
              <w:rPr>
                <w:rFonts w:eastAsia="DengXian"/>
                <w:szCs w:val="24"/>
              </w:rPr>
            </w:pPr>
            <w:r w:rsidRPr="00873AF2">
              <w:rPr>
                <w:rFonts w:eastAsia="DengXian"/>
                <w:szCs w:val="24"/>
              </w:rPr>
              <w:t>Sachet: 5.52 g in sachet (equivalent to 4 g p-aminosalicylic acid)</w:t>
            </w:r>
            <w:r w:rsidRPr="0063309C">
              <w:rPr>
                <w:rFonts w:eastAsia="DengXian"/>
                <w:szCs w:val="24"/>
              </w:rPr>
              <w:t xml:space="preserve"> </w:t>
            </w:r>
          </w:p>
        </w:tc>
      </w:tr>
      <w:tr w:rsidR="007B485D" w:rsidRPr="00727DFA" w14:paraId="031500C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68DD89"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1F07A36B" w14:textId="77777777" w:rsidR="007B485D" w:rsidRPr="00727DFA" w:rsidRDefault="007B485D" w:rsidP="002D6DD7">
            <w:pPr>
              <w:jc w:val="both"/>
              <w:rPr>
                <w:rFonts w:eastAsia="DengXian"/>
                <w:szCs w:val="24"/>
              </w:rPr>
            </w:pPr>
            <w:r w:rsidRPr="00727DFA">
              <w:rPr>
                <w:rFonts w:eastAsia="DengXian"/>
                <w:szCs w:val="24"/>
              </w:rPr>
              <w:t>Treatment of MDR- TB (second-line agent)</w:t>
            </w:r>
          </w:p>
        </w:tc>
      </w:tr>
      <w:tr w:rsidR="007B485D" w:rsidRPr="00727DFA" w14:paraId="77E65F1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7CAF7D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0935D30" w14:textId="77777777" w:rsidR="007B485D" w:rsidRPr="00727DFA" w:rsidRDefault="007B485D" w:rsidP="002D6DD7">
            <w:pPr>
              <w:jc w:val="both"/>
              <w:rPr>
                <w:rFonts w:eastAsia="DengXian"/>
                <w:b/>
                <w:szCs w:val="24"/>
              </w:rPr>
            </w:pPr>
            <w:r w:rsidRPr="00727DFA">
              <w:rPr>
                <w:rFonts w:eastAsia="DengXian"/>
                <w:b/>
                <w:szCs w:val="24"/>
              </w:rPr>
              <w:t>Oral:</w:t>
            </w:r>
          </w:p>
          <w:p w14:paraId="506AAFA3" w14:textId="77777777" w:rsidR="007B485D" w:rsidRPr="00727DFA" w:rsidRDefault="007B485D" w:rsidP="002D6DD7">
            <w:pPr>
              <w:jc w:val="both"/>
              <w:rPr>
                <w:rFonts w:eastAsia="DengXian"/>
                <w:szCs w:val="24"/>
              </w:rPr>
            </w:pPr>
            <w:r w:rsidRPr="00727DFA">
              <w:rPr>
                <w:rFonts w:eastAsia="DengXian"/>
                <w:b/>
                <w:szCs w:val="24"/>
              </w:rPr>
              <w:t xml:space="preserve">Adult and children </w:t>
            </w:r>
            <m:oMath>
              <m:r>
                <m:rPr>
                  <m:sty m:val="bi"/>
                </m:rPr>
                <w:rPr>
                  <w:rFonts w:ascii="Cambria Math" w:eastAsia="DengXian" w:hAnsi="Cambria Math"/>
                  <w:szCs w:val="24"/>
                </w:rPr>
                <m:t>≥</m:t>
              </m:r>
            </m:oMath>
            <w:r w:rsidRPr="00727DFA">
              <w:rPr>
                <w:rFonts w:eastAsia="DengXian"/>
                <w:b/>
                <w:szCs w:val="24"/>
              </w:rPr>
              <w:t>15 years of age</w:t>
            </w:r>
            <w:r w:rsidRPr="00727DFA">
              <w:rPr>
                <w:rFonts w:eastAsia="DengXian"/>
                <w:szCs w:val="24"/>
              </w:rPr>
              <w:t>: 10 -12 g daily in 2-3 divided doses</w:t>
            </w:r>
          </w:p>
          <w:p w14:paraId="27E0D8B5" w14:textId="77777777" w:rsidR="007B485D" w:rsidRPr="00727DFA" w:rsidRDefault="007B485D" w:rsidP="002D6DD7">
            <w:pPr>
              <w:jc w:val="both"/>
              <w:rPr>
                <w:rFonts w:eastAsia="DengXian"/>
                <w:szCs w:val="24"/>
              </w:rPr>
            </w:pPr>
            <w:r w:rsidRPr="00727DFA">
              <w:rPr>
                <w:rFonts w:eastAsia="DengXian"/>
                <w:b/>
                <w:szCs w:val="24"/>
              </w:rPr>
              <w:t>Children &lt; 15 years of age</w:t>
            </w:r>
            <w:r w:rsidRPr="00727DFA">
              <w:rPr>
                <w:rFonts w:eastAsia="DengXian"/>
                <w:szCs w:val="24"/>
              </w:rPr>
              <w:t>: 200–300 mg/kg in 2 divided doses</w:t>
            </w:r>
          </w:p>
        </w:tc>
      </w:tr>
      <w:tr w:rsidR="007B485D" w:rsidRPr="00727DFA" w14:paraId="4815B15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DAA5D5"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E18CA4C" w14:textId="77777777" w:rsidR="007B485D" w:rsidRPr="00727DFA" w:rsidRDefault="007B485D" w:rsidP="002D6DD7">
            <w:pPr>
              <w:jc w:val="both"/>
              <w:rPr>
                <w:rFonts w:eastAsia="DengXian"/>
                <w:szCs w:val="24"/>
              </w:rPr>
            </w:pPr>
            <w:r w:rsidRPr="00727DFA">
              <w:rPr>
                <w:rFonts w:eastAsia="DengXian"/>
                <w:szCs w:val="24"/>
              </w:rPr>
              <w:t xml:space="preserve">Hypersensitivity to the </w:t>
            </w:r>
            <w:r>
              <w:rPr>
                <w:rFonts w:eastAsia="DengXian"/>
                <w:szCs w:val="24"/>
              </w:rPr>
              <w:t>drug</w:t>
            </w:r>
            <w:r w:rsidRPr="00727DFA">
              <w:rPr>
                <w:rFonts w:eastAsia="DengXian"/>
                <w:szCs w:val="24"/>
              </w:rPr>
              <w:t>, severe renal disease</w:t>
            </w:r>
            <w:r>
              <w:rPr>
                <w:rFonts w:eastAsia="DengXian"/>
                <w:szCs w:val="24"/>
              </w:rPr>
              <w:t>.</w:t>
            </w:r>
          </w:p>
        </w:tc>
      </w:tr>
      <w:tr w:rsidR="007B485D" w:rsidRPr="00727DFA" w14:paraId="63BFE5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41D1B2"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F1640C8" w14:textId="77777777" w:rsidR="007B485D" w:rsidRPr="00727DFA" w:rsidRDefault="007B485D" w:rsidP="002D6DD7">
            <w:pPr>
              <w:jc w:val="both"/>
              <w:rPr>
                <w:rFonts w:eastAsia="DengXian"/>
                <w:szCs w:val="24"/>
              </w:rPr>
            </w:pPr>
            <w:r w:rsidRPr="00727DFA">
              <w:rPr>
                <w:rFonts w:eastAsia="DengXian"/>
                <w:szCs w:val="24"/>
              </w:rPr>
              <w:t>Vitamin B</w:t>
            </w:r>
            <w:r w:rsidRPr="00727DFA">
              <w:rPr>
                <w:rFonts w:eastAsia="DengXian"/>
                <w:szCs w:val="24"/>
                <w:vertAlign w:val="subscript"/>
              </w:rPr>
              <w:t>12</w:t>
            </w:r>
            <w:r w:rsidRPr="00727DFA">
              <w:rPr>
                <w:rFonts w:eastAsia="DengXian"/>
                <w:szCs w:val="24"/>
              </w:rPr>
              <w:t>, digoxin, ethionamide, diphenylhydramine</w:t>
            </w:r>
            <w:r>
              <w:rPr>
                <w:rFonts w:eastAsia="DengXian"/>
                <w:szCs w:val="24"/>
              </w:rPr>
              <w:t>.</w:t>
            </w:r>
          </w:p>
        </w:tc>
      </w:tr>
      <w:tr w:rsidR="007B485D" w:rsidRPr="00727DFA" w14:paraId="79D8F1A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C4892F"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5CFA425" w14:textId="77777777" w:rsidR="007B485D" w:rsidRPr="00727DFA" w:rsidRDefault="007B485D" w:rsidP="002D6DD7">
            <w:pPr>
              <w:jc w:val="both"/>
              <w:rPr>
                <w:rFonts w:eastAsia="DengXian"/>
                <w:szCs w:val="24"/>
              </w:rPr>
            </w:pPr>
            <w:r w:rsidRPr="00727DFA">
              <w:rPr>
                <w:rFonts w:eastAsia="DengXian"/>
                <w:szCs w:val="24"/>
              </w:rPr>
              <w:t>Anorexia, diarrhea,</w:t>
            </w:r>
            <w:r>
              <w:rPr>
                <w:rFonts w:eastAsia="DengXian"/>
                <w:szCs w:val="24"/>
              </w:rPr>
              <w:t xml:space="preserve"> </w:t>
            </w:r>
            <w:r w:rsidRPr="00727DFA">
              <w:rPr>
                <w:rFonts w:eastAsia="DengXian"/>
                <w:szCs w:val="24"/>
              </w:rPr>
              <w:t xml:space="preserve">nausea, epigastric pain, abdominal distress, </w:t>
            </w:r>
            <w:r>
              <w:rPr>
                <w:rFonts w:eastAsia="DengXian"/>
                <w:szCs w:val="24"/>
              </w:rPr>
              <w:t>high</w:t>
            </w:r>
            <w:r w:rsidRPr="00727DFA">
              <w:rPr>
                <w:rFonts w:eastAsia="DengXian"/>
                <w:szCs w:val="24"/>
              </w:rPr>
              <w:t xml:space="preserve"> fever, joint pain, malaise, sore throat, haematological abnormalities</w:t>
            </w:r>
            <w:r>
              <w:rPr>
                <w:rFonts w:eastAsia="DengXian"/>
                <w:szCs w:val="24"/>
              </w:rPr>
              <w:t>.</w:t>
            </w:r>
          </w:p>
        </w:tc>
      </w:tr>
      <w:tr w:rsidR="007B485D" w:rsidRPr="00727DFA" w14:paraId="401A655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BADE0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5E43D8F"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 xml:space="preserve">breastfeeding, mild to moderate renal impairment, gastric ulcer, hepatic impairment, Glucose-6-phosphate dehydrogenase (G6PD) deficiency, congestive heart failure. </w:t>
            </w:r>
          </w:p>
        </w:tc>
      </w:tr>
      <w:tr w:rsidR="007B485D" w:rsidRPr="00727DFA" w14:paraId="34B150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ADFAD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07CF434" w14:textId="77777777" w:rsidR="007B485D" w:rsidRPr="00727DFA" w:rsidRDefault="007B485D" w:rsidP="002D6DD7">
            <w:pPr>
              <w:jc w:val="both"/>
              <w:rPr>
                <w:rFonts w:eastAsia="DengXian"/>
                <w:szCs w:val="24"/>
              </w:rPr>
            </w:pPr>
            <w:r w:rsidRPr="00727DFA">
              <w:rPr>
                <w:rFonts w:eastAsia="DengXian"/>
                <w:szCs w:val="24"/>
              </w:rPr>
              <w:t>Store below 30 °C</w:t>
            </w:r>
            <w:r>
              <w:rPr>
                <w:rFonts w:eastAsia="DengXian"/>
                <w:szCs w:val="24"/>
              </w:rPr>
              <w:t>.</w:t>
            </w:r>
          </w:p>
        </w:tc>
      </w:tr>
      <w:tr w:rsidR="007B485D" w:rsidRPr="00727DFA" w14:paraId="4ED8BB5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16AF229" w14:textId="77777777" w:rsidR="007B485D" w:rsidRPr="00727DFA" w:rsidRDefault="007B485D" w:rsidP="002D6DD7">
            <w:pPr>
              <w:jc w:val="both"/>
              <w:rPr>
                <w:rFonts w:eastAsia="DengXian"/>
                <w:szCs w:val="24"/>
              </w:rPr>
            </w:pPr>
            <w:r w:rsidRPr="00727DFA">
              <w:rPr>
                <w:rFonts w:eastAsia="DengXian"/>
                <w:b/>
                <w:bCs/>
                <w:szCs w:val="24"/>
              </w:rPr>
              <w:t>Pretomanid</w:t>
            </w:r>
          </w:p>
        </w:tc>
      </w:tr>
      <w:tr w:rsidR="007B485D" w:rsidRPr="00727DFA" w14:paraId="2A8ACC7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97545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78B6ABE" w14:textId="77777777" w:rsidR="007B485D" w:rsidRPr="00727DFA" w:rsidRDefault="007B485D" w:rsidP="002D6DD7">
            <w:pPr>
              <w:jc w:val="both"/>
              <w:rPr>
                <w:rFonts w:eastAsia="DengXian"/>
                <w:szCs w:val="24"/>
              </w:rPr>
            </w:pPr>
            <w:r w:rsidRPr="00727DFA">
              <w:rPr>
                <w:rFonts w:eastAsia="DengXian"/>
                <w:szCs w:val="24"/>
              </w:rPr>
              <w:t>Nitroimidazole, antitubercular</w:t>
            </w:r>
          </w:p>
        </w:tc>
      </w:tr>
      <w:tr w:rsidR="007B485D" w:rsidRPr="00727DFA" w14:paraId="7DF3F53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D30271"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F1183A4" w14:textId="77777777" w:rsidR="007B485D" w:rsidRPr="00727DFA" w:rsidRDefault="007B485D" w:rsidP="002D6DD7">
            <w:pPr>
              <w:jc w:val="both"/>
              <w:rPr>
                <w:rFonts w:eastAsia="DengXian"/>
                <w:szCs w:val="24"/>
              </w:rPr>
            </w:pPr>
            <w:r w:rsidRPr="00727DFA">
              <w:rPr>
                <w:rFonts w:eastAsia="DengXian"/>
                <w:szCs w:val="24"/>
              </w:rPr>
              <w:t xml:space="preserve">Tablet: 200mg </w:t>
            </w:r>
          </w:p>
        </w:tc>
      </w:tr>
      <w:tr w:rsidR="007B485D" w:rsidRPr="00727DFA" w14:paraId="7A15306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12C8CD"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2AE0C28" w14:textId="77777777" w:rsidR="007B485D" w:rsidRPr="00727DFA" w:rsidRDefault="007B485D" w:rsidP="002D6DD7">
            <w:pPr>
              <w:jc w:val="both"/>
              <w:rPr>
                <w:rFonts w:eastAsia="DengXian"/>
                <w:szCs w:val="24"/>
              </w:rPr>
            </w:pPr>
            <w:r w:rsidRPr="00727DFA">
              <w:rPr>
                <w:rFonts w:eastAsia="DengXian"/>
                <w:szCs w:val="24"/>
              </w:rPr>
              <w:t>In combination with bedaquiline, linezolid and moxifoxacin (BPaLM) for the treatment of pulmonary XDR or intolerant MDR-TB</w:t>
            </w:r>
            <w:r>
              <w:rPr>
                <w:rFonts w:eastAsia="DengXian"/>
                <w:szCs w:val="24"/>
              </w:rPr>
              <w:t>.</w:t>
            </w:r>
          </w:p>
        </w:tc>
      </w:tr>
      <w:tr w:rsidR="007B485D" w:rsidRPr="00727DFA" w14:paraId="3325AB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EE990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171E255" w14:textId="77777777" w:rsidR="007B485D" w:rsidRPr="00727DFA" w:rsidRDefault="007B485D" w:rsidP="002D6DD7">
            <w:pPr>
              <w:jc w:val="both"/>
              <w:rPr>
                <w:rFonts w:eastAsia="DengXian"/>
                <w:b/>
                <w:bCs/>
                <w:szCs w:val="24"/>
              </w:rPr>
            </w:pPr>
            <w:r w:rsidRPr="00727DFA">
              <w:rPr>
                <w:rFonts w:eastAsia="DengXian"/>
                <w:b/>
                <w:bCs/>
                <w:szCs w:val="24"/>
              </w:rPr>
              <w:t>Oral:</w:t>
            </w:r>
          </w:p>
          <w:p w14:paraId="3904BE95"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200mg once daily for 26 weeks; longer duration therapy may be considered in patients who have not responded to therapy at 26 weeks on a case-to-case basis. </w:t>
            </w:r>
          </w:p>
          <w:p w14:paraId="06101C98" w14:textId="77777777" w:rsidR="007B485D" w:rsidRPr="00727DFA" w:rsidRDefault="007B485D" w:rsidP="002D6DD7">
            <w:pPr>
              <w:jc w:val="both"/>
              <w:rPr>
                <w:rFonts w:eastAsia="DengXian"/>
                <w:szCs w:val="24"/>
              </w:rPr>
            </w:pPr>
            <w:r w:rsidRPr="00727DFA">
              <w:rPr>
                <w:rFonts w:eastAsia="DengXian"/>
                <w:b/>
                <w:bCs/>
                <w:szCs w:val="24"/>
              </w:rPr>
              <w:t>Note:</w:t>
            </w:r>
            <w:r w:rsidRPr="00727DFA">
              <w:rPr>
                <w:rFonts w:eastAsia="DengXian"/>
                <w:szCs w:val="24"/>
              </w:rPr>
              <w:t xml:space="preserve"> </w:t>
            </w:r>
            <w:r w:rsidRPr="00873AF2">
              <w:rPr>
                <w:rFonts w:eastAsia="DengXian"/>
                <w:i/>
                <w:iCs/>
                <w:szCs w:val="24"/>
              </w:rPr>
              <w:t>Safety and effectiveness of pretomanid in pediatric patients have not been established</w:t>
            </w:r>
          </w:p>
        </w:tc>
      </w:tr>
      <w:tr w:rsidR="007B485D" w:rsidRPr="00727DFA" w14:paraId="3F7109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2264B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D7E402F" w14:textId="77777777" w:rsidR="007B485D" w:rsidRPr="00727DFA" w:rsidRDefault="007B485D" w:rsidP="002D6DD7">
            <w:pPr>
              <w:jc w:val="both"/>
              <w:rPr>
                <w:rFonts w:eastAsia="DengXian"/>
                <w:szCs w:val="24"/>
              </w:rPr>
            </w:pPr>
            <w:r w:rsidRPr="00727DFA">
              <w:rPr>
                <w:rFonts w:eastAsia="DengXian"/>
                <w:szCs w:val="24"/>
              </w:rPr>
              <w:t>Hypersensitivity to pretomanid or other nitroimidazoles</w:t>
            </w:r>
          </w:p>
        </w:tc>
      </w:tr>
      <w:tr w:rsidR="007B485D" w:rsidRPr="00727DFA" w14:paraId="123338D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74A6C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C2F6B47" w14:textId="77777777" w:rsidR="007B485D" w:rsidRPr="00727DFA" w:rsidRDefault="007B485D" w:rsidP="002D6DD7">
            <w:pPr>
              <w:jc w:val="both"/>
              <w:rPr>
                <w:rFonts w:eastAsia="DengXian"/>
                <w:szCs w:val="24"/>
              </w:rPr>
            </w:pPr>
            <w:r w:rsidRPr="00727DFA">
              <w:rPr>
                <w:rFonts w:eastAsia="DengXian"/>
                <w:szCs w:val="24"/>
              </w:rPr>
              <w:t>Methotrexate, lopinavir, efavirenz, rifampin, digoxin, CYP3A4 inhibitors</w:t>
            </w:r>
            <w:r>
              <w:rPr>
                <w:rFonts w:eastAsia="DengXian"/>
                <w:szCs w:val="24"/>
              </w:rPr>
              <w:t xml:space="preserve">, </w:t>
            </w:r>
            <w:r w:rsidRPr="00727DFA">
              <w:rPr>
                <w:rFonts w:eastAsia="DengXian"/>
                <w:szCs w:val="24"/>
              </w:rPr>
              <w:t>inducers</w:t>
            </w:r>
            <w:r>
              <w:rPr>
                <w:rFonts w:eastAsia="DengXian"/>
                <w:szCs w:val="24"/>
              </w:rPr>
              <w:t>.</w:t>
            </w:r>
          </w:p>
        </w:tc>
      </w:tr>
      <w:tr w:rsidR="007B485D" w:rsidRPr="00727DFA" w14:paraId="1A94D9D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178257"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AF02A54" w14:textId="77777777" w:rsidR="007B485D" w:rsidRPr="00727DFA" w:rsidRDefault="007B485D" w:rsidP="002D6DD7">
            <w:pPr>
              <w:jc w:val="both"/>
              <w:rPr>
                <w:rFonts w:eastAsia="DengXian"/>
                <w:szCs w:val="24"/>
              </w:rPr>
            </w:pPr>
            <w:r w:rsidRPr="00727DFA">
              <w:rPr>
                <w:rFonts w:eastAsia="DengXian"/>
                <w:szCs w:val="24"/>
              </w:rPr>
              <w:t>Hepatotoxicity, QT prolongation, anemia, decreased appetite, hypoglycemia, lactic acidosis, insomnia, anxiety, depression, peripheral neuropathy, headache, dizziness</w:t>
            </w:r>
          </w:p>
        </w:tc>
      </w:tr>
      <w:tr w:rsidR="007B485D" w:rsidRPr="00727DFA" w14:paraId="7212BE0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75FAB9"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8208171" w14:textId="77777777" w:rsidR="007B485D" w:rsidRPr="00727DFA" w:rsidRDefault="007B485D" w:rsidP="002D6DD7">
            <w:pPr>
              <w:jc w:val="both"/>
              <w:rPr>
                <w:rFonts w:eastAsia="DengXian"/>
                <w:szCs w:val="24"/>
              </w:rPr>
            </w:pPr>
            <w:r w:rsidRPr="00727DFA">
              <w:rPr>
                <w:rFonts w:eastAsia="DengXian"/>
                <w:szCs w:val="24"/>
              </w:rPr>
              <w:t>hepatic impairment, renal impairment, pregnancy, breastfeeding, visual impairment, hypotension, hematemesis, dyspepsia, musculoskeletal pain, QT prolongation, alcohol</w:t>
            </w:r>
            <w:r>
              <w:rPr>
                <w:rFonts w:eastAsia="DengXian"/>
                <w:szCs w:val="24"/>
              </w:rPr>
              <w:t xml:space="preserve"> use.</w:t>
            </w:r>
          </w:p>
        </w:tc>
      </w:tr>
      <w:tr w:rsidR="007B485D" w:rsidRPr="00727DFA" w14:paraId="330D7A5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1083DB"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89F51B0"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600B20F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71B5EA8" w14:textId="77777777" w:rsidR="007B485D" w:rsidRPr="00727DFA" w:rsidRDefault="007B485D" w:rsidP="002D6DD7">
            <w:pPr>
              <w:jc w:val="both"/>
              <w:rPr>
                <w:rFonts w:eastAsia="DengXian"/>
                <w:szCs w:val="24"/>
              </w:rPr>
            </w:pPr>
            <w:r w:rsidRPr="00727DFA">
              <w:rPr>
                <w:rFonts w:eastAsia="DengXian"/>
                <w:b/>
                <w:bCs/>
                <w:szCs w:val="24"/>
              </w:rPr>
              <w:t>Prothionamide</w:t>
            </w:r>
          </w:p>
        </w:tc>
      </w:tr>
      <w:tr w:rsidR="007B485D" w:rsidRPr="00727DFA" w14:paraId="54DA83B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5FC2D40"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660A659" w14:textId="77777777" w:rsidR="007B485D" w:rsidRPr="00727DFA" w:rsidRDefault="007B485D" w:rsidP="002D6DD7">
            <w:pPr>
              <w:jc w:val="both"/>
              <w:rPr>
                <w:rFonts w:eastAsia="DengXian"/>
                <w:szCs w:val="24"/>
              </w:rPr>
            </w:pPr>
            <w:r w:rsidRPr="00727DFA">
              <w:rPr>
                <w:rFonts w:eastAsia="DengXian"/>
                <w:szCs w:val="24"/>
              </w:rPr>
              <w:t>Thioamides / pyridines and derivatives, antitubercular</w:t>
            </w:r>
          </w:p>
        </w:tc>
      </w:tr>
      <w:tr w:rsidR="007B485D" w:rsidRPr="00727DFA" w14:paraId="3357417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FBE61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3B6B555" w14:textId="77777777" w:rsidR="007B485D" w:rsidRPr="00727DFA" w:rsidRDefault="007B485D" w:rsidP="002D6DD7">
            <w:pPr>
              <w:jc w:val="both"/>
              <w:rPr>
                <w:rFonts w:eastAsia="DengXian"/>
                <w:szCs w:val="24"/>
              </w:rPr>
            </w:pPr>
            <w:r w:rsidRPr="00727DFA">
              <w:rPr>
                <w:rFonts w:eastAsia="DengXian"/>
                <w:szCs w:val="24"/>
              </w:rPr>
              <w:t>Tablet: 250 mg</w:t>
            </w:r>
          </w:p>
        </w:tc>
      </w:tr>
      <w:tr w:rsidR="007B485D" w:rsidRPr="00727DFA" w14:paraId="2C88A5F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7745ED"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BC26AD1" w14:textId="77777777" w:rsidR="007B485D" w:rsidRPr="00727DFA" w:rsidRDefault="007B485D" w:rsidP="002D6DD7">
            <w:pPr>
              <w:jc w:val="both"/>
              <w:rPr>
                <w:rFonts w:eastAsia="DengXian"/>
                <w:szCs w:val="24"/>
              </w:rPr>
            </w:pPr>
            <w:r w:rsidRPr="00727DFA">
              <w:rPr>
                <w:rFonts w:eastAsia="DengXian"/>
                <w:szCs w:val="24"/>
              </w:rPr>
              <w:t xml:space="preserve">Drug resistant tuberculosis in conjunction with at least 2, preferably 3 (new drugs known to be active against the resistant strain) other antituberculosis agents. </w:t>
            </w:r>
          </w:p>
        </w:tc>
      </w:tr>
      <w:tr w:rsidR="007B485D" w:rsidRPr="00727DFA" w14:paraId="6D2D952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54175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20FAB22"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w:t>
            </w:r>
          </w:p>
          <w:p w14:paraId="0E252B58"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15 - 20 mg/kg/day as a single dose; Maximum 1 g/day. </w:t>
            </w:r>
          </w:p>
          <w:p w14:paraId="42FC8957"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10 -20 mg/kg/day in 2 – 3 divided doses after meals or 15mg/kg once daily. </w:t>
            </w:r>
          </w:p>
        </w:tc>
      </w:tr>
      <w:tr w:rsidR="007B485D" w:rsidRPr="00727DFA" w14:paraId="0206F1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C13054"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667AA8E" w14:textId="77777777" w:rsidR="007B485D" w:rsidRPr="00727DFA" w:rsidRDefault="007B485D" w:rsidP="002D6DD7">
            <w:pPr>
              <w:jc w:val="both"/>
              <w:rPr>
                <w:rFonts w:eastAsia="DengXian"/>
                <w:szCs w:val="24"/>
              </w:rPr>
            </w:pPr>
            <w:r w:rsidRPr="00727DFA">
              <w:rPr>
                <w:rFonts w:eastAsia="DengXian"/>
                <w:szCs w:val="24"/>
              </w:rPr>
              <w:t>Hypersensitivity</w:t>
            </w:r>
            <w:r>
              <w:rPr>
                <w:rFonts w:eastAsia="DengXian"/>
                <w:szCs w:val="24"/>
              </w:rPr>
              <w:t xml:space="preserve"> to the drug</w:t>
            </w:r>
            <w:r w:rsidRPr="00727DFA">
              <w:rPr>
                <w:rFonts w:eastAsia="DengXian"/>
                <w:szCs w:val="24"/>
              </w:rPr>
              <w:t>, severe hepatic disease</w:t>
            </w:r>
            <w:r>
              <w:rPr>
                <w:rFonts w:eastAsia="DengXian"/>
                <w:szCs w:val="24"/>
              </w:rPr>
              <w:t>,</w:t>
            </w:r>
            <w:r w:rsidRPr="00727DFA">
              <w:rPr>
                <w:rFonts w:eastAsia="DengXian"/>
                <w:szCs w:val="24"/>
              </w:rPr>
              <w:t xml:space="preserve"> cerebral seizure disorder</w:t>
            </w:r>
            <w:r>
              <w:rPr>
                <w:rFonts w:eastAsia="DengXian"/>
                <w:szCs w:val="24"/>
              </w:rPr>
              <w:t xml:space="preserve">, </w:t>
            </w:r>
            <w:r w:rsidRPr="00727DFA">
              <w:rPr>
                <w:rFonts w:eastAsia="DengXian"/>
                <w:szCs w:val="24"/>
              </w:rPr>
              <w:t>pregnancy</w:t>
            </w:r>
            <w:r>
              <w:rPr>
                <w:rFonts w:eastAsia="DengXian"/>
                <w:szCs w:val="24"/>
              </w:rPr>
              <w:t xml:space="preserve">, </w:t>
            </w:r>
            <w:r w:rsidRPr="00727DFA">
              <w:rPr>
                <w:rFonts w:eastAsia="DengXian"/>
                <w:szCs w:val="24"/>
              </w:rPr>
              <w:t>breastfeeding</w:t>
            </w:r>
            <w:r>
              <w:rPr>
                <w:rFonts w:eastAsia="DengXian"/>
                <w:szCs w:val="24"/>
              </w:rPr>
              <w:t>.</w:t>
            </w:r>
          </w:p>
        </w:tc>
      </w:tr>
      <w:tr w:rsidR="007B485D" w:rsidRPr="00727DFA" w14:paraId="402B22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6EE5D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C73C3CB" w14:textId="77777777" w:rsidR="007B485D" w:rsidRPr="00727DFA" w:rsidRDefault="007B485D" w:rsidP="002D6DD7">
            <w:pPr>
              <w:jc w:val="both"/>
              <w:rPr>
                <w:rFonts w:eastAsia="DengXian"/>
                <w:szCs w:val="24"/>
              </w:rPr>
            </w:pPr>
            <w:r w:rsidRPr="00727DFA">
              <w:rPr>
                <w:rFonts w:eastAsia="DengXian"/>
                <w:szCs w:val="24"/>
              </w:rPr>
              <w:t>Hormonal contraceptives, concomitant use of alcohol, barbiturates</w:t>
            </w:r>
            <w:r>
              <w:rPr>
                <w:rFonts w:eastAsia="DengXian"/>
                <w:szCs w:val="24"/>
              </w:rPr>
              <w:t xml:space="preserve">, </w:t>
            </w:r>
            <w:r w:rsidRPr="00727DFA">
              <w:rPr>
                <w:rFonts w:eastAsia="DengXian"/>
                <w:szCs w:val="24"/>
              </w:rPr>
              <w:t>isoniazid, cycloserine and terizidone.</w:t>
            </w:r>
          </w:p>
        </w:tc>
      </w:tr>
      <w:tr w:rsidR="007B485D" w:rsidRPr="00727DFA" w14:paraId="4DBED95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C64EB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FC6EEAA" w14:textId="77777777" w:rsidR="007B485D" w:rsidRPr="00727DFA" w:rsidRDefault="007B485D" w:rsidP="002D6DD7">
            <w:pPr>
              <w:jc w:val="both"/>
              <w:rPr>
                <w:rFonts w:eastAsia="DengXian"/>
                <w:szCs w:val="24"/>
              </w:rPr>
            </w:pPr>
            <w:r w:rsidRPr="00727DFA">
              <w:rPr>
                <w:rFonts w:eastAsia="DengXian"/>
                <w:szCs w:val="24"/>
              </w:rPr>
              <w:t>Nausea, vomiting, dry oral, but also increased salivation, loss of appetite, metallic taste, abdominal discomfort, diarrhea and weight loss, seizures, pellagra-like encephalopathy responsive to niacin, anemia, methemoglobinemia, acute psychosis, confusion, anxiety and depression, Dizziness, headaches, optic neuritis, and peripheral neuropathy pyridoxine responsive to, hepatotoxicity.</w:t>
            </w:r>
          </w:p>
        </w:tc>
      </w:tr>
      <w:tr w:rsidR="007B485D" w:rsidRPr="00727DFA" w14:paraId="721B7E2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A46919"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760A80B" w14:textId="77777777" w:rsidR="007B485D" w:rsidRPr="00727DFA" w:rsidRDefault="007B485D" w:rsidP="002D6DD7">
            <w:pPr>
              <w:jc w:val="both"/>
              <w:rPr>
                <w:rFonts w:eastAsia="DengXian"/>
                <w:szCs w:val="24"/>
              </w:rPr>
            </w:pPr>
            <w:r w:rsidRPr="00727DFA">
              <w:rPr>
                <w:rFonts w:eastAsia="DengXian"/>
                <w:szCs w:val="24"/>
              </w:rPr>
              <w:t>Depression, psychiatric illness, chronic alcoholism, epilepsy, hypothyroidism, diabetes</w:t>
            </w:r>
            <w:r>
              <w:rPr>
                <w:rFonts w:eastAsia="DengXian"/>
                <w:szCs w:val="24"/>
              </w:rPr>
              <w:t xml:space="preserve"> mellitus.</w:t>
            </w:r>
            <w:r w:rsidRPr="00727DFA">
              <w:rPr>
                <w:rFonts w:eastAsia="DengXian"/>
                <w:szCs w:val="24"/>
              </w:rPr>
              <w:t xml:space="preserve"> </w:t>
            </w:r>
          </w:p>
        </w:tc>
      </w:tr>
      <w:tr w:rsidR="007B485D" w:rsidRPr="00727DFA" w14:paraId="66C6887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C41F1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5E9D614"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69D2776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96F31B2" w14:textId="77777777" w:rsidR="007B485D" w:rsidRPr="00727DFA" w:rsidRDefault="007B485D" w:rsidP="002D6DD7">
            <w:pPr>
              <w:jc w:val="both"/>
              <w:rPr>
                <w:rFonts w:eastAsia="DengXian"/>
                <w:b/>
                <w:bCs/>
                <w:szCs w:val="24"/>
              </w:rPr>
            </w:pPr>
            <w:r w:rsidRPr="00727DFA">
              <w:rPr>
                <w:rFonts w:eastAsia="DengXian"/>
                <w:b/>
                <w:bCs/>
                <w:szCs w:val="24"/>
              </w:rPr>
              <w:t>Pyrazinamide</w:t>
            </w:r>
          </w:p>
        </w:tc>
      </w:tr>
      <w:tr w:rsidR="007B485D" w:rsidRPr="00727DFA" w14:paraId="43A2B6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A3B2F9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B9D7BC9" w14:textId="77777777" w:rsidR="007B485D" w:rsidRPr="00727DFA" w:rsidRDefault="007B485D" w:rsidP="002D6DD7">
            <w:pPr>
              <w:jc w:val="both"/>
              <w:rPr>
                <w:rFonts w:eastAsia="DengXian"/>
                <w:szCs w:val="24"/>
              </w:rPr>
            </w:pPr>
            <w:r w:rsidRPr="00727DFA">
              <w:rPr>
                <w:rFonts w:eastAsia="DengXian"/>
                <w:szCs w:val="24"/>
              </w:rPr>
              <w:t>Antitubercular</w:t>
            </w:r>
          </w:p>
        </w:tc>
      </w:tr>
      <w:tr w:rsidR="007B485D" w:rsidRPr="00810924" w14:paraId="4BCA642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365BC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46B2F9E" w14:textId="77777777" w:rsidR="007B485D" w:rsidRPr="00727DFA" w:rsidRDefault="007B485D" w:rsidP="002D6DD7">
            <w:pPr>
              <w:jc w:val="both"/>
              <w:rPr>
                <w:rFonts w:eastAsia="DengXian"/>
                <w:szCs w:val="24"/>
                <w:lang w:val="nb-NO"/>
              </w:rPr>
            </w:pPr>
            <w:r w:rsidRPr="00727DFA">
              <w:rPr>
                <w:rFonts w:eastAsia="DengXian"/>
                <w:szCs w:val="24"/>
                <w:lang w:val="nb-NO"/>
              </w:rPr>
              <w:t>Tablet: 400 mg, 500mg</w:t>
            </w:r>
            <w:r w:rsidRPr="00727DFA">
              <w:rPr>
                <w:rFonts w:eastAsia="DengXian"/>
                <w:szCs w:val="24"/>
                <w:lang w:val="nb-NO"/>
              </w:rPr>
              <w:tab/>
            </w:r>
          </w:p>
          <w:p w14:paraId="5F0E89D4"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150 mg. </w:t>
            </w:r>
          </w:p>
        </w:tc>
      </w:tr>
      <w:tr w:rsidR="007B485D" w:rsidRPr="00727DFA" w14:paraId="0DD687B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7119B7"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3F44A63" w14:textId="77777777" w:rsidR="007B485D" w:rsidRPr="00727DFA" w:rsidRDefault="007B485D" w:rsidP="002D6DD7">
            <w:pPr>
              <w:jc w:val="both"/>
              <w:rPr>
                <w:rFonts w:eastAsia="DengXian"/>
                <w:szCs w:val="24"/>
              </w:rPr>
            </w:pPr>
            <w:r w:rsidRPr="00727DFA">
              <w:rPr>
                <w:rFonts w:eastAsia="DengXian"/>
                <w:szCs w:val="24"/>
              </w:rPr>
              <w:t>Tuberculosis, in combination with other drugs.</w:t>
            </w:r>
          </w:p>
        </w:tc>
      </w:tr>
      <w:tr w:rsidR="007B485D" w:rsidRPr="00727DFA" w14:paraId="62EBF0E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204EF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4824660" w14:textId="77777777" w:rsidR="007B485D" w:rsidRPr="00727DFA" w:rsidRDefault="007B485D" w:rsidP="002D6DD7">
            <w:pPr>
              <w:jc w:val="both"/>
              <w:rPr>
                <w:rFonts w:eastAsia="DengXian"/>
                <w:szCs w:val="24"/>
              </w:rPr>
            </w:pPr>
            <w:r w:rsidRPr="00727DFA">
              <w:rPr>
                <w:rFonts w:eastAsia="DengXian"/>
                <w:b/>
                <w:bCs/>
                <w:szCs w:val="24"/>
              </w:rPr>
              <w:t xml:space="preserve">Tuberculosis (initial phase of combination therapy); </w:t>
            </w:r>
            <w:r w:rsidRPr="00727DFA">
              <w:rPr>
                <w:rFonts w:eastAsia="DengXian"/>
                <w:szCs w:val="24"/>
              </w:rPr>
              <w:t>Oral:</w:t>
            </w:r>
          </w:p>
          <w:p w14:paraId="54D2B966" w14:textId="77777777" w:rsidR="007B485D" w:rsidRPr="00727DFA" w:rsidRDefault="007B485D" w:rsidP="002D6DD7">
            <w:pPr>
              <w:jc w:val="both"/>
              <w:rPr>
                <w:rFonts w:eastAsia="DengXian"/>
                <w:szCs w:val="24"/>
              </w:rPr>
            </w:pPr>
            <w:r w:rsidRPr="00727DFA">
              <w:rPr>
                <w:rFonts w:eastAsia="DengXian"/>
                <w:b/>
                <w:szCs w:val="24"/>
              </w:rPr>
              <w:lastRenderedPageBreak/>
              <w:t>Adult</w:t>
            </w:r>
            <w:r w:rsidRPr="00727DFA">
              <w:rPr>
                <w:rFonts w:eastAsia="DengXian"/>
                <w:szCs w:val="24"/>
              </w:rPr>
              <w:t>: 25-mg/kg (20-30mg/kg) daily, maximum 2000mg per day</w:t>
            </w:r>
          </w:p>
          <w:p w14:paraId="331F66CE" w14:textId="77777777" w:rsidR="007B485D" w:rsidRPr="00727DFA" w:rsidRDefault="007B485D" w:rsidP="002D6DD7">
            <w:pPr>
              <w:jc w:val="both"/>
              <w:rPr>
                <w:rFonts w:eastAsia="DengXian"/>
                <w:szCs w:val="24"/>
              </w:rPr>
            </w:pPr>
            <w:r w:rsidRPr="00727DFA">
              <w:rPr>
                <w:rFonts w:eastAsia="DengXian"/>
                <w:b/>
                <w:bCs/>
                <w:szCs w:val="24"/>
              </w:rPr>
              <w:t>Child body weight up to 50 kg</w:t>
            </w:r>
            <w:r w:rsidRPr="00727DFA">
              <w:rPr>
                <w:rFonts w:eastAsia="DengXian"/>
                <w:szCs w:val="24"/>
              </w:rPr>
              <w:t xml:space="preserve">: 35 mg/kg once daily for 2 months (initial phase); maximum 1.5 g per day </w:t>
            </w:r>
          </w:p>
          <w:p w14:paraId="56B7C420" w14:textId="77777777" w:rsidR="007B485D" w:rsidRPr="00727DFA" w:rsidRDefault="007B485D" w:rsidP="002D6DD7">
            <w:pPr>
              <w:jc w:val="both"/>
              <w:rPr>
                <w:rFonts w:eastAsia="DengXian"/>
                <w:szCs w:val="24"/>
              </w:rPr>
            </w:pPr>
            <w:r w:rsidRPr="00727DFA">
              <w:rPr>
                <w:rFonts w:eastAsia="DengXian"/>
                <w:b/>
                <w:bCs/>
                <w:szCs w:val="24"/>
              </w:rPr>
              <w:t>Child body weight 50 kg and above</w:t>
            </w:r>
            <w:r w:rsidRPr="00727DFA">
              <w:rPr>
                <w:rFonts w:eastAsia="DengXian"/>
                <w:szCs w:val="24"/>
              </w:rPr>
              <w:t xml:space="preserve">: 35 mg/kg once daily for 2 months (initial phase); maximum 2.5g per day </w:t>
            </w:r>
          </w:p>
        </w:tc>
      </w:tr>
      <w:tr w:rsidR="007B485D" w:rsidRPr="00727DFA" w14:paraId="601082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086336D"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76F9E17"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w:t>
            </w:r>
            <w:r>
              <w:rPr>
                <w:rFonts w:eastAsia="DengXian"/>
                <w:szCs w:val="24"/>
              </w:rPr>
              <w:t>s</w:t>
            </w:r>
            <w:r w:rsidRPr="00727DFA">
              <w:rPr>
                <w:rFonts w:eastAsia="DengXian"/>
                <w:szCs w:val="24"/>
              </w:rPr>
              <w:t>evere hepatic impairment, porphyria, acute attack of gout</w:t>
            </w:r>
            <w:r>
              <w:rPr>
                <w:rFonts w:eastAsia="DengXian"/>
                <w:szCs w:val="24"/>
              </w:rPr>
              <w:t>.</w:t>
            </w:r>
          </w:p>
        </w:tc>
      </w:tr>
      <w:tr w:rsidR="007B485D" w:rsidRPr="00727DFA" w14:paraId="40BDE54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4670C58"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05179E4" w14:textId="77777777" w:rsidR="007B485D" w:rsidRPr="00727DFA" w:rsidRDefault="007B485D" w:rsidP="002D6DD7">
            <w:pPr>
              <w:jc w:val="both"/>
              <w:rPr>
                <w:rFonts w:eastAsia="DengXian"/>
                <w:szCs w:val="24"/>
              </w:rPr>
            </w:pPr>
            <w:r w:rsidRPr="00727DFA">
              <w:rPr>
                <w:rFonts w:eastAsia="DengXian"/>
                <w:szCs w:val="24"/>
              </w:rPr>
              <w:t>Uricosurics (probenecid, sulfinpyrazone), allopurinol,</w:t>
            </w:r>
            <w:r>
              <w:rPr>
                <w:rFonts w:eastAsia="DengXian"/>
                <w:szCs w:val="24"/>
              </w:rPr>
              <w:t xml:space="preserve"> </w:t>
            </w:r>
            <w:r w:rsidRPr="00873AF2">
              <w:rPr>
                <w:rFonts w:eastAsia="DengXian"/>
                <w:szCs w:val="24"/>
              </w:rPr>
              <w:t>cyclosporine</w:t>
            </w:r>
            <w:r w:rsidRPr="0063309C">
              <w:rPr>
                <w:rFonts w:eastAsia="DengXian"/>
                <w:szCs w:val="24"/>
              </w:rPr>
              <w:t>,</w:t>
            </w:r>
            <w:r w:rsidRPr="00727DFA">
              <w:rPr>
                <w:rFonts w:eastAsia="DengXian"/>
                <w:szCs w:val="24"/>
              </w:rPr>
              <w:t xml:space="preserve"> </w:t>
            </w:r>
            <w:r>
              <w:rPr>
                <w:rFonts w:eastAsia="DengXian"/>
                <w:szCs w:val="24"/>
              </w:rPr>
              <w:t>c</w:t>
            </w:r>
            <w:r w:rsidRPr="00727DFA">
              <w:rPr>
                <w:rFonts w:eastAsia="DengXian"/>
                <w:szCs w:val="24"/>
              </w:rPr>
              <w:t>o-treatment with hepatotoxic drugs, Ofloxacin and levofloxacin</w:t>
            </w:r>
            <w:r>
              <w:rPr>
                <w:rFonts w:eastAsia="DengXian"/>
                <w:szCs w:val="24"/>
              </w:rPr>
              <w:t>.</w:t>
            </w:r>
          </w:p>
        </w:tc>
      </w:tr>
      <w:tr w:rsidR="007B485D" w:rsidRPr="00727DFA" w14:paraId="4FCC7CC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1209F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F1550E0" w14:textId="77777777" w:rsidR="007B485D" w:rsidRPr="00727DFA" w:rsidRDefault="007B485D" w:rsidP="002D6DD7">
            <w:pPr>
              <w:jc w:val="both"/>
              <w:rPr>
                <w:rFonts w:eastAsia="DengXian"/>
                <w:szCs w:val="24"/>
              </w:rPr>
            </w:pPr>
            <w:r w:rsidRPr="00727DFA">
              <w:rPr>
                <w:rFonts w:eastAsia="DengXian"/>
                <w:szCs w:val="24"/>
              </w:rPr>
              <w:t>Hepatotoxicity including fever, anorexia, hepatomegaly, jaundice, liver failure, nausea, vomiting, arthralgia, hyperuricemia, gout, pellagra, thrombocytopenia, sideroblastic anemia, urticaria, skin flushing</w:t>
            </w:r>
            <w:r>
              <w:rPr>
                <w:rFonts w:eastAsia="DengXian"/>
                <w:szCs w:val="24"/>
              </w:rPr>
              <w:t>.</w:t>
            </w:r>
          </w:p>
        </w:tc>
      </w:tr>
      <w:tr w:rsidR="007B485D" w:rsidRPr="00727DFA" w14:paraId="0D06301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DC1BE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12895C4" w14:textId="77777777" w:rsidR="007B485D" w:rsidRPr="00727DFA" w:rsidRDefault="007B485D" w:rsidP="002D6DD7">
            <w:pPr>
              <w:jc w:val="both"/>
              <w:rPr>
                <w:rFonts w:eastAsia="DengXian"/>
                <w:i/>
                <w:iCs/>
                <w:szCs w:val="24"/>
              </w:rPr>
            </w:pPr>
            <w:r w:rsidRPr="00727DFA">
              <w:rPr>
                <w:rFonts w:eastAsia="DengXian"/>
                <w:szCs w:val="24"/>
              </w:rPr>
              <w:t>Pregnancy, breastfeeding, diabetes</w:t>
            </w:r>
            <w:r>
              <w:rPr>
                <w:rFonts w:eastAsia="DengXian"/>
                <w:szCs w:val="24"/>
              </w:rPr>
              <w:t xml:space="preserve"> mellitus</w:t>
            </w:r>
            <w:r w:rsidRPr="00727DFA">
              <w:rPr>
                <w:rFonts w:eastAsia="DengXian"/>
                <w:szCs w:val="24"/>
              </w:rPr>
              <w:t>, gout, hepatic impairment, renal impairment, patients hypersensitive to ethionamide, isoniazid, niacin</w:t>
            </w:r>
            <w:r>
              <w:rPr>
                <w:rFonts w:eastAsia="DengXian"/>
                <w:szCs w:val="24"/>
              </w:rPr>
              <w:t>.</w:t>
            </w:r>
          </w:p>
        </w:tc>
      </w:tr>
      <w:tr w:rsidR="007B485D" w:rsidRPr="00727DFA" w14:paraId="1380607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6F7218"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B78C73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68A55A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F010E31" w14:textId="77777777" w:rsidR="007B485D" w:rsidRPr="00727DFA" w:rsidRDefault="007B485D" w:rsidP="002D6DD7">
            <w:pPr>
              <w:jc w:val="both"/>
              <w:rPr>
                <w:rFonts w:eastAsia="DengXian"/>
                <w:b/>
                <w:bCs/>
                <w:szCs w:val="24"/>
              </w:rPr>
            </w:pPr>
            <w:r w:rsidRPr="00727DFA">
              <w:rPr>
                <w:rFonts w:eastAsia="DengXian"/>
                <w:b/>
                <w:bCs/>
                <w:szCs w:val="24"/>
              </w:rPr>
              <w:t>Rifabutin</w:t>
            </w:r>
          </w:p>
        </w:tc>
      </w:tr>
      <w:tr w:rsidR="007B485D" w:rsidRPr="00727DFA" w14:paraId="43C357B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04B81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4163A31" w14:textId="77777777" w:rsidR="007B485D" w:rsidRPr="00727DFA" w:rsidRDefault="007B485D" w:rsidP="002D6DD7">
            <w:pPr>
              <w:jc w:val="both"/>
              <w:rPr>
                <w:rFonts w:eastAsia="DengXian"/>
                <w:szCs w:val="24"/>
              </w:rPr>
            </w:pPr>
            <w:r w:rsidRPr="00727DFA">
              <w:rPr>
                <w:rFonts w:eastAsia="DengXian"/>
                <w:szCs w:val="24"/>
              </w:rPr>
              <w:t xml:space="preserve">Rifamycin, antitubercular </w:t>
            </w:r>
          </w:p>
        </w:tc>
      </w:tr>
      <w:tr w:rsidR="007B485D" w:rsidRPr="00727DFA" w14:paraId="19E5A42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09199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0279756" w14:textId="77777777" w:rsidR="007B485D" w:rsidRPr="00727DFA" w:rsidRDefault="007B485D" w:rsidP="002D6DD7">
            <w:pPr>
              <w:jc w:val="both"/>
              <w:rPr>
                <w:rFonts w:eastAsia="DengXian"/>
                <w:szCs w:val="24"/>
              </w:rPr>
            </w:pPr>
            <w:r w:rsidRPr="00727DFA">
              <w:rPr>
                <w:rFonts w:eastAsia="DengXian"/>
                <w:szCs w:val="24"/>
              </w:rPr>
              <w:t>Solid oral dosage form: 150 mg</w:t>
            </w:r>
          </w:p>
        </w:tc>
      </w:tr>
      <w:tr w:rsidR="007B485D" w:rsidRPr="00727DFA" w14:paraId="1EC70C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D6FA7B"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7540EC2" w14:textId="77777777" w:rsidR="007B485D" w:rsidRPr="00727DFA" w:rsidRDefault="007B485D" w:rsidP="002D6DD7">
            <w:pPr>
              <w:jc w:val="both"/>
              <w:rPr>
                <w:rFonts w:eastAsia="DengXian"/>
                <w:szCs w:val="24"/>
              </w:rPr>
            </w:pPr>
            <w:r w:rsidRPr="00727DFA">
              <w:rPr>
                <w:rFonts w:eastAsia="DengXian"/>
                <w:szCs w:val="24"/>
              </w:rPr>
              <w:t xml:space="preserve">Treatment of pulmonary tuberculosis in combination with other agents, for the prevention of disseminated </w:t>
            </w:r>
            <w:r w:rsidRPr="00727DFA">
              <w:rPr>
                <w:rFonts w:eastAsia="DengXian"/>
                <w:i/>
                <w:iCs/>
                <w:szCs w:val="24"/>
              </w:rPr>
              <w:t>Mycobacterium avium</w:t>
            </w:r>
            <w:r w:rsidRPr="00727DFA">
              <w:rPr>
                <w:rFonts w:eastAsia="DengXian"/>
                <w:szCs w:val="24"/>
              </w:rPr>
              <w:t xml:space="preserve"> complex (MAC) disease in patients with advanced HIV infection, treatment of non-tuberculous mycobacteria</w:t>
            </w:r>
            <w:r>
              <w:rPr>
                <w:rFonts w:eastAsia="DengXian"/>
                <w:szCs w:val="24"/>
              </w:rPr>
              <w:t>.</w:t>
            </w:r>
          </w:p>
        </w:tc>
      </w:tr>
      <w:tr w:rsidR="007B485D" w:rsidRPr="00727DFA" w14:paraId="61ED947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3D5D40"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E2F4062" w14:textId="77777777" w:rsidR="007B485D" w:rsidRPr="00727DFA" w:rsidRDefault="007B485D" w:rsidP="002D6DD7">
            <w:pPr>
              <w:jc w:val="both"/>
              <w:rPr>
                <w:rFonts w:eastAsia="DengXian"/>
                <w:szCs w:val="24"/>
              </w:rPr>
            </w:pPr>
            <w:r w:rsidRPr="00727DFA">
              <w:rPr>
                <w:rFonts w:eastAsia="DengXian"/>
                <w:b/>
                <w:bCs/>
                <w:szCs w:val="24"/>
              </w:rPr>
              <w:t>Tuberculosis, in combination with other antituberculosis agent</w:t>
            </w:r>
            <w:r w:rsidRPr="00727DFA">
              <w:rPr>
                <w:rFonts w:eastAsia="DengXian"/>
                <w:szCs w:val="24"/>
              </w:rPr>
              <w:t xml:space="preserve">; </w:t>
            </w:r>
          </w:p>
          <w:p w14:paraId="65C5CB29" w14:textId="77777777" w:rsidR="007B485D" w:rsidRPr="00727DFA" w:rsidRDefault="007B485D" w:rsidP="002D6DD7">
            <w:pPr>
              <w:jc w:val="both"/>
              <w:rPr>
                <w:rFonts w:eastAsia="DengXian"/>
                <w:szCs w:val="24"/>
              </w:rPr>
            </w:pPr>
            <w:r w:rsidRPr="00727DFA">
              <w:rPr>
                <w:rFonts w:eastAsia="DengXian"/>
                <w:b/>
                <w:szCs w:val="24"/>
              </w:rPr>
              <w:t>Adult 15 years of age or older</w:t>
            </w:r>
            <w:r w:rsidR="00527EB2">
              <w:rPr>
                <w:rFonts w:eastAsia="DengXian"/>
                <w:b/>
                <w:szCs w:val="24"/>
              </w:rPr>
              <w:t xml:space="preserve">, </w:t>
            </w:r>
            <w:r w:rsidR="00527EB2">
              <w:rPr>
                <w:rFonts w:eastAsia="DengXian"/>
                <w:szCs w:val="24"/>
              </w:rPr>
              <w:t>o</w:t>
            </w:r>
            <w:r w:rsidR="00527EB2" w:rsidRPr="00727DFA">
              <w:rPr>
                <w:rFonts w:eastAsia="DengXian"/>
                <w:szCs w:val="24"/>
              </w:rPr>
              <w:t>ral:</w:t>
            </w:r>
            <w:r w:rsidRPr="00727DFA">
              <w:rPr>
                <w:rFonts w:eastAsia="DengXian"/>
                <w:szCs w:val="24"/>
              </w:rPr>
              <w:t xml:space="preserve"> 5mg/kg (up to 300mg) given once daily or 5mg/kg 2 or 3 times weekly daily</w:t>
            </w:r>
          </w:p>
          <w:p w14:paraId="700FE2BF" w14:textId="77777777" w:rsidR="007B485D" w:rsidRPr="00727DFA" w:rsidRDefault="007B485D" w:rsidP="002D6DD7">
            <w:pPr>
              <w:jc w:val="both"/>
              <w:rPr>
                <w:rFonts w:eastAsia="DengXian"/>
                <w:szCs w:val="24"/>
              </w:rPr>
            </w:pPr>
            <w:r w:rsidRPr="00727DFA">
              <w:rPr>
                <w:rFonts w:eastAsia="DengXian"/>
                <w:b/>
                <w:szCs w:val="24"/>
              </w:rPr>
              <w:t>Pediatrics</w:t>
            </w:r>
            <w:r w:rsidRPr="00727DFA">
              <w:rPr>
                <w:rFonts w:eastAsia="DengXian"/>
                <w:szCs w:val="24"/>
              </w:rPr>
              <w:t xml:space="preserve">: 10-20mg/kg (up to 300mg) can be given daily or twice weekly. </w:t>
            </w:r>
          </w:p>
          <w:p w14:paraId="2C7AA715" w14:textId="77777777" w:rsidR="007B485D" w:rsidRPr="00727DFA" w:rsidRDefault="007B485D" w:rsidP="002D6DD7">
            <w:pPr>
              <w:jc w:val="both"/>
              <w:rPr>
                <w:rFonts w:eastAsia="DengXian"/>
                <w:szCs w:val="24"/>
              </w:rPr>
            </w:pPr>
            <w:r w:rsidRPr="00727DFA">
              <w:rPr>
                <w:rFonts w:eastAsia="DengXian"/>
                <w:b/>
                <w:szCs w:val="24"/>
              </w:rPr>
              <w:t>Non- tuberculous mycobacteria treatment</w:t>
            </w:r>
            <w:r w:rsidRPr="00727DFA">
              <w:rPr>
                <w:rFonts w:eastAsia="DengXian"/>
                <w:szCs w:val="24"/>
              </w:rPr>
              <w:t>: 450 - 600 mg daily</w:t>
            </w:r>
          </w:p>
          <w:p w14:paraId="7868A778" w14:textId="77777777" w:rsidR="007B485D" w:rsidRPr="00727DFA" w:rsidRDefault="007B485D" w:rsidP="002D6DD7">
            <w:pPr>
              <w:jc w:val="both"/>
              <w:rPr>
                <w:rFonts w:eastAsia="DengXian"/>
                <w:szCs w:val="24"/>
              </w:rPr>
            </w:pPr>
            <w:r w:rsidRPr="00727DFA">
              <w:rPr>
                <w:rFonts w:eastAsia="DengXian"/>
                <w:b/>
                <w:szCs w:val="24"/>
              </w:rPr>
              <w:t xml:space="preserve">Non-tuberculous mycobacteria prophylaxis: </w:t>
            </w:r>
            <w:r w:rsidRPr="00727DFA">
              <w:rPr>
                <w:rFonts w:eastAsia="DengXian"/>
                <w:szCs w:val="24"/>
              </w:rPr>
              <w:t>300 mg daily</w:t>
            </w:r>
          </w:p>
        </w:tc>
      </w:tr>
      <w:tr w:rsidR="007B485D" w:rsidRPr="00727DFA" w14:paraId="28C8EFD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64719D"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2678794" w14:textId="77777777" w:rsidR="007B485D" w:rsidRPr="00727DFA" w:rsidRDefault="007B485D" w:rsidP="002D6DD7">
            <w:pPr>
              <w:jc w:val="both"/>
              <w:rPr>
                <w:rFonts w:eastAsia="DengXian"/>
                <w:szCs w:val="24"/>
              </w:rPr>
            </w:pPr>
            <w:r w:rsidRPr="00727DFA">
              <w:rPr>
                <w:rFonts w:eastAsia="DengXian"/>
                <w:szCs w:val="24"/>
              </w:rPr>
              <w:t>Hypersensitivity to rifamycins, neutropenia or other hematologic effects (e.g. thrombocytopenia).</w:t>
            </w:r>
          </w:p>
        </w:tc>
      </w:tr>
      <w:tr w:rsidR="007B485D" w:rsidRPr="00727DFA" w14:paraId="581352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A5D1F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5775AA4E" w14:textId="77777777" w:rsidR="007B485D" w:rsidRPr="00727DFA" w:rsidRDefault="007B485D" w:rsidP="002D6DD7">
            <w:pPr>
              <w:jc w:val="both"/>
              <w:rPr>
                <w:rFonts w:eastAsia="DengXian"/>
                <w:szCs w:val="24"/>
              </w:rPr>
            </w:pPr>
            <w:r w:rsidRPr="00727DFA">
              <w:rPr>
                <w:rFonts w:eastAsia="DengXian"/>
                <w:szCs w:val="24"/>
              </w:rPr>
              <w:t xml:space="preserve">Clarithromycin, azithromycin, ciprofloxacin, </w:t>
            </w:r>
            <w:r w:rsidRPr="00873AF2">
              <w:rPr>
                <w:rFonts w:eastAsia="DengXian"/>
                <w:szCs w:val="24"/>
              </w:rPr>
              <w:t>azole antifungals</w:t>
            </w:r>
            <w:r w:rsidRPr="00727DFA">
              <w:rPr>
                <w:rFonts w:eastAsia="DengXian"/>
                <w:szCs w:val="24"/>
              </w:rPr>
              <w:t>, isoniazid, protease inhibitors (PIs), non-nucleoside reverse transcriptase inhibitors (NNRTIs)</w:t>
            </w:r>
            <w:r>
              <w:rPr>
                <w:rFonts w:eastAsia="DengXian"/>
                <w:szCs w:val="24"/>
              </w:rPr>
              <w:t>,</w:t>
            </w:r>
            <w:r w:rsidRPr="00727DFA">
              <w:rPr>
                <w:rFonts w:eastAsia="DengXian"/>
                <w:szCs w:val="24"/>
              </w:rPr>
              <w:t xml:space="preserve"> </w:t>
            </w:r>
            <w:r w:rsidRPr="00873AF2">
              <w:rPr>
                <w:rFonts w:eastAsia="DengXian"/>
                <w:szCs w:val="24"/>
              </w:rPr>
              <w:t>artemether/lumefantrine, amiodarone, atorvastatin, carbamazepine, clopidogrel, dexamethasone, phenytoin, praziqu</w:t>
            </w:r>
            <w:r>
              <w:rPr>
                <w:rFonts w:eastAsia="DengXian"/>
                <w:szCs w:val="24"/>
              </w:rPr>
              <w:t>a</w:t>
            </w:r>
            <w:r w:rsidRPr="00873AF2">
              <w:rPr>
                <w:rFonts w:eastAsia="DengXian"/>
                <w:szCs w:val="24"/>
              </w:rPr>
              <w:t>nt</w:t>
            </w:r>
            <w:r>
              <w:rPr>
                <w:rFonts w:eastAsia="DengXian"/>
                <w:szCs w:val="24"/>
              </w:rPr>
              <w:t>e</w:t>
            </w:r>
            <w:r w:rsidRPr="00873AF2">
              <w:rPr>
                <w:rFonts w:eastAsia="DengXian"/>
                <w:szCs w:val="24"/>
              </w:rPr>
              <w:t>l, prednisolone</w:t>
            </w:r>
            <w:r>
              <w:rPr>
                <w:rFonts w:eastAsia="DengXian"/>
                <w:szCs w:val="24"/>
              </w:rPr>
              <w:t>.</w:t>
            </w:r>
          </w:p>
        </w:tc>
      </w:tr>
      <w:tr w:rsidR="007B485D" w:rsidRPr="00727DFA" w14:paraId="1F7E81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528106"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02CBDEA" w14:textId="77777777" w:rsidR="007B485D" w:rsidRPr="00727DFA" w:rsidRDefault="007B485D" w:rsidP="002D6DD7">
            <w:pPr>
              <w:jc w:val="both"/>
              <w:rPr>
                <w:rFonts w:eastAsia="DengXian"/>
                <w:szCs w:val="24"/>
              </w:rPr>
            </w:pPr>
            <w:r w:rsidRPr="00727DFA">
              <w:rPr>
                <w:rFonts w:eastAsia="DengXian"/>
                <w:szCs w:val="24"/>
              </w:rPr>
              <w:t>Rash, gastrointestinal intolerance (nausea, vomiting, anorexia, abdominal pain and diarrhea), headache, insomnia, seizure, paresthesia, aphasia, confusion, and haematological effects (leukopenia, neutropenia, thrombocytopenia and anemia), hepatotoxicity</w:t>
            </w:r>
            <w:r>
              <w:rPr>
                <w:rFonts w:eastAsia="DengXian"/>
                <w:szCs w:val="24"/>
              </w:rPr>
              <w:t>,</w:t>
            </w:r>
            <w:r w:rsidRPr="00727DFA">
              <w:rPr>
                <w:rFonts w:eastAsia="DengXian"/>
                <w:szCs w:val="24"/>
              </w:rPr>
              <w:t xml:space="preserve"> </w:t>
            </w:r>
            <w:r>
              <w:rPr>
                <w:rFonts w:eastAsia="DengXian"/>
                <w:szCs w:val="24"/>
              </w:rPr>
              <w:t>h</w:t>
            </w:r>
            <w:r w:rsidRPr="00727DFA">
              <w:rPr>
                <w:rFonts w:eastAsia="DengXian"/>
                <w:szCs w:val="24"/>
              </w:rPr>
              <w:t>ypersensitivity reactions (flu-like syndrome, chest pain, eosinophilia, bronchospasm, shock) are reported rarely, urine discoloration, inflammation inside eye (may be unilateral or bilateral).</w:t>
            </w:r>
          </w:p>
        </w:tc>
      </w:tr>
      <w:tr w:rsidR="007B485D" w:rsidRPr="00727DFA" w14:paraId="4777762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48DC8B"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D41917F" w14:textId="77777777" w:rsidR="007B485D" w:rsidRPr="00727DFA" w:rsidRDefault="007B485D" w:rsidP="002D6DD7">
            <w:pPr>
              <w:jc w:val="both"/>
              <w:rPr>
                <w:rFonts w:eastAsia="DengXian"/>
                <w:szCs w:val="24"/>
              </w:rPr>
            </w:pPr>
            <w:r w:rsidRPr="00727DFA">
              <w:rPr>
                <w:rFonts w:eastAsia="DengXian"/>
                <w:szCs w:val="24"/>
              </w:rPr>
              <w:t xml:space="preserve">Pregnancy, </w:t>
            </w:r>
            <w:r w:rsidRPr="0063309C">
              <w:rPr>
                <w:rFonts w:eastAsia="DengXian"/>
                <w:szCs w:val="24"/>
              </w:rPr>
              <w:t xml:space="preserve">breastfeeding, </w:t>
            </w:r>
            <w:r w:rsidRPr="00873AF2">
              <w:rPr>
                <w:rFonts w:eastAsia="DengXian"/>
                <w:szCs w:val="24"/>
              </w:rPr>
              <w:t>joint stiffness, uveitis, swelling</w:t>
            </w:r>
            <w:r w:rsidRPr="0063309C">
              <w:rPr>
                <w:rFonts w:eastAsia="DengXian"/>
                <w:szCs w:val="24"/>
              </w:rPr>
              <w:t>, hepatic or renal dysfunction, acute porphyria, prevention of MAC infection in patients with active TB</w:t>
            </w:r>
            <w:r>
              <w:rPr>
                <w:rFonts w:eastAsia="DengXian"/>
                <w:szCs w:val="24"/>
              </w:rPr>
              <w:t>.</w:t>
            </w:r>
            <w:r w:rsidRPr="00727DFA">
              <w:rPr>
                <w:rFonts w:eastAsia="DengXian"/>
                <w:szCs w:val="24"/>
              </w:rPr>
              <w:t> </w:t>
            </w:r>
          </w:p>
        </w:tc>
      </w:tr>
      <w:tr w:rsidR="007B485D" w:rsidRPr="00727DFA" w14:paraId="6F98A35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FD694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0BD775B"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5FBE686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DC027A9" w14:textId="77777777" w:rsidR="007B485D" w:rsidRPr="00727DFA" w:rsidRDefault="007B485D" w:rsidP="002D6DD7">
            <w:pPr>
              <w:jc w:val="both"/>
              <w:rPr>
                <w:rFonts w:eastAsia="DengXian"/>
                <w:szCs w:val="24"/>
              </w:rPr>
            </w:pPr>
            <w:r w:rsidRPr="00727DFA">
              <w:rPr>
                <w:rFonts w:eastAsia="DengXian"/>
                <w:b/>
                <w:bCs/>
                <w:szCs w:val="24"/>
              </w:rPr>
              <w:t>Rifampicin</w:t>
            </w:r>
          </w:p>
        </w:tc>
      </w:tr>
      <w:tr w:rsidR="007B485D" w:rsidRPr="00727DFA" w14:paraId="3BAB809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B8AB89"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599785F" w14:textId="77777777" w:rsidR="007B485D" w:rsidRPr="00727DFA" w:rsidRDefault="007B485D" w:rsidP="002D6DD7">
            <w:pPr>
              <w:jc w:val="both"/>
              <w:rPr>
                <w:rFonts w:eastAsia="DengXian"/>
                <w:szCs w:val="24"/>
              </w:rPr>
            </w:pPr>
            <w:r w:rsidRPr="00727DFA">
              <w:rPr>
                <w:rFonts w:eastAsia="DengXian"/>
                <w:szCs w:val="24"/>
              </w:rPr>
              <w:t xml:space="preserve">Rifamycin, antitubercular </w:t>
            </w:r>
          </w:p>
        </w:tc>
      </w:tr>
      <w:tr w:rsidR="007B485D" w:rsidRPr="00727DFA" w14:paraId="0101D5B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70336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4702858" w14:textId="77777777" w:rsidR="007B485D" w:rsidRPr="00727DFA" w:rsidRDefault="007B485D" w:rsidP="002D6DD7">
            <w:pPr>
              <w:jc w:val="both"/>
              <w:rPr>
                <w:rFonts w:eastAsia="DengXian"/>
                <w:szCs w:val="24"/>
              </w:rPr>
            </w:pPr>
            <w:r w:rsidRPr="00727DFA">
              <w:rPr>
                <w:rFonts w:eastAsia="DengXian"/>
                <w:szCs w:val="24"/>
              </w:rPr>
              <w:t>Oral liquid: 20 mg/ ml.</w:t>
            </w:r>
          </w:p>
          <w:p w14:paraId="2DC88778" w14:textId="77777777" w:rsidR="007B485D" w:rsidRPr="00727DFA" w:rsidRDefault="007B485D" w:rsidP="002D6DD7">
            <w:pPr>
              <w:jc w:val="both"/>
              <w:rPr>
                <w:rFonts w:eastAsia="DengXian"/>
                <w:szCs w:val="24"/>
              </w:rPr>
            </w:pPr>
            <w:r w:rsidRPr="00727DFA">
              <w:rPr>
                <w:rFonts w:eastAsia="DengXian"/>
                <w:szCs w:val="24"/>
              </w:rPr>
              <w:t>Solid oral dosage form: 150 mg; 300 mg</w:t>
            </w:r>
          </w:p>
        </w:tc>
      </w:tr>
      <w:tr w:rsidR="007B485D" w:rsidRPr="00727DFA" w14:paraId="2A6994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70C67D"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77B90AB" w14:textId="77777777" w:rsidR="007B485D" w:rsidRPr="00727DFA" w:rsidRDefault="007B485D" w:rsidP="002D6DD7">
            <w:pPr>
              <w:jc w:val="both"/>
              <w:rPr>
                <w:rFonts w:eastAsia="DengXian"/>
                <w:szCs w:val="24"/>
              </w:rPr>
            </w:pPr>
            <w:r w:rsidRPr="00727DFA">
              <w:rPr>
                <w:rFonts w:eastAsia="DengXian"/>
                <w:szCs w:val="24"/>
              </w:rPr>
              <w:t>Tuberculosis (in combination with other drugs), leprosy</w:t>
            </w:r>
          </w:p>
        </w:tc>
      </w:tr>
      <w:tr w:rsidR="007B485D" w:rsidRPr="00727DFA" w14:paraId="7FEF72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68B0C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E52296A" w14:textId="77777777" w:rsidR="007B485D" w:rsidRPr="00727DFA" w:rsidRDefault="007B485D" w:rsidP="002D6DD7">
            <w:pPr>
              <w:jc w:val="both"/>
              <w:rPr>
                <w:rFonts w:eastAsia="DengXian"/>
                <w:b/>
                <w:bCs/>
                <w:szCs w:val="24"/>
              </w:rPr>
            </w:pPr>
            <w:r w:rsidRPr="00727DFA">
              <w:rPr>
                <w:rFonts w:eastAsia="DengXian"/>
                <w:b/>
                <w:bCs/>
                <w:szCs w:val="24"/>
              </w:rPr>
              <w:t>Tuberculosis (combination therapy)</w:t>
            </w:r>
          </w:p>
          <w:p w14:paraId="110BBC06"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w:t>
            </w:r>
          </w:p>
          <w:p w14:paraId="0A38F6F8" w14:textId="77777777" w:rsidR="007B485D" w:rsidRPr="00727DFA" w:rsidRDefault="007B485D" w:rsidP="002D6DD7">
            <w:pPr>
              <w:jc w:val="both"/>
              <w:rPr>
                <w:rFonts w:eastAsia="DengXian"/>
                <w:szCs w:val="24"/>
              </w:rPr>
            </w:pPr>
            <w:r w:rsidRPr="00727DFA">
              <w:rPr>
                <w:rFonts w:eastAsia="DengXian"/>
                <w:b/>
                <w:bCs/>
                <w:szCs w:val="24"/>
              </w:rPr>
              <w:t>Adult and children 15 years of age or older</w:t>
            </w:r>
            <w:r w:rsidRPr="00727DFA">
              <w:rPr>
                <w:rFonts w:eastAsia="DengXian"/>
                <w:szCs w:val="24"/>
              </w:rPr>
              <w:t xml:space="preserve">:10mg/kg (8 to 12mg/kg) daily (maximum dose, 600mg daily). </w:t>
            </w:r>
          </w:p>
          <w:p w14:paraId="466731D4" w14:textId="77777777" w:rsidR="007B485D" w:rsidRPr="00727DFA" w:rsidRDefault="007B485D" w:rsidP="002D6DD7">
            <w:pPr>
              <w:jc w:val="both"/>
              <w:rPr>
                <w:rFonts w:eastAsia="DengXian"/>
                <w:szCs w:val="24"/>
              </w:rPr>
            </w:pPr>
            <w:r>
              <w:rPr>
                <w:rFonts w:eastAsia="DengXian"/>
                <w:b/>
                <w:bCs/>
                <w:szCs w:val="24"/>
              </w:rPr>
              <w:t>Children &lt;15 years</w:t>
            </w:r>
            <w:r w:rsidRPr="00727DFA">
              <w:rPr>
                <w:rFonts w:eastAsia="DengXian"/>
                <w:b/>
                <w:bCs/>
                <w:szCs w:val="24"/>
              </w:rPr>
              <w:t>:</w:t>
            </w:r>
            <w:r w:rsidRPr="00727DFA">
              <w:rPr>
                <w:rFonts w:eastAsia="DengXian"/>
                <w:szCs w:val="24"/>
              </w:rPr>
              <w:t xml:space="preserve"> 10 to 20mg/kg (up to 600mg) daily</w:t>
            </w:r>
          </w:p>
        </w:tc>
      </w:tr>
      <w:tr w:rsidR="007B485D" w:rsidRPr="00727DFA" w14:paraId="312930C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0956B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150BB2B"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and other</w:t>
            </w:r>
            <w:r w:rsidRPr="00727DFA">
              <w:rPr>
                <w:rFonts w:eastAsia="DengXian"/>
                <w:szCs w:val="24"/>
              </w:rPr>
              <w:t xml:space="preserve"> rifamycins, jaundice, acute porphyrias, concurrent use with the combination of saquinavir/ </w:t>
            </w:r>
            <w:r w:rsidRPr="00727DFA">
              <w:rPr>
                <w:rFonts w:eastAsia="DengXian"/>
                <w:szCs w:val="24"/>
              </w:rPr>
              <w:lastRenderedPageBreak/>
              <w:t>ritonavir</w:t>
            </w:r>
            <w:r>
              <w:rPr>
                <w:rFonts w:eastAsia="DengXian"/>
                <w:szCs w:val="24"/>
              </w:rPr>
              <w:t>.</w:t>
            </w:r>
          </w:p>
        </w:tc>
      </w:tr>
      <w:tr w:rsidR="007B485D" w:rsidRPr="00727DFA" w14:paraId="0F7525C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41C33A"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9EB35A1" w14:textId="77777777" w:rsidR="007B485D" w:rsidRPr="00727DFA" w:rsidRDefault="007B485D" w:rsidP="002D6DD7">
            <w:pPr>
              <w:jc w:val="both"/>
              <w:rPr>
                <w:rFonts w:eastAsia="DengXian"/>
                <w:szCs w:val="24"/>
              </w:rPr>
            </w:pPr>
            <w:r w:rsidRPr="00727DFA">
              <w:rPr>
                <w:rFonts w:eastAsia="DengXian"/>
                <w:szCs w:val="24"/>
              </w:rPr>
              <w:t>Clarithromycin, cefazolin, ciprofloxacin, chloramphenicol, atovaquone, clofazimine, PIs, NNRTIs, anticonvulsants, antifungals, fluconazole, antiarrhythmics, azathioprine, ciclosporin, contraceptives, dexamethasone, fludrocortisone, glibenclamide, haloperidol, levonorgestrel, medroxyprogesterone, nelfinavir, calcium channel blocker, norethisterone, phenytoin, prednisolone, guanidine, warfarin</w:t>
            </w:r>
            <w:r>
              <w:rPr>
                <w:rFonts w:eastAsia="DengXian"/>
                <w:szCs w:val="24"/>
              </w:rPr>
              <w:t>.</w:t>
            </w:r>
          </w:p>
        </w:tc>
      </w:tr>
      <w:tr w:rsidR="007B485D" w:rsidRPr="00727DFA" w14:paraId="5A32C9D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35FC7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E220550" w14:textId="77777777" w:rsidR="007B485D" w:rsidRPr="00727DFA" w:rsidRDefault="007B485D" w:rsidP="002D6DD7">
            <w:pPr>
              <w:jc w:val="both"/>
              <w:rPr>
                <w:rFonts w:eastAsia="DengXian"/>
                <w:szCs w:val="24"/>
              </w:rPr>
            </w:pPr>
            <w:r w:rsidRPr="00727DFA">
              <w:rPr>
                <w:rFonts w:eastAsia="DengXian"/>
                <w:szCs w:val="24"/>
              </w:rPr>
              <w:t>Severe gastrointestinal disturbances including anorexia, nausea, vomiting, diarrhea, rashes, fever, influenza-like syndrome, hemolytic anemia, leucopoenia, acute renal failure, and thrombocytopenic purpura, headache, dizziness, alterations of liver function jaundice and potentially fatal hepatitis, stains body fluid, Severe cutaneous adverse reactions including Steven-Johnson syndrome, adrenocortical insufficiency.</w:t>
            </w:r>
          </w:p>
        </w:tc>
      </w:tr>
      <w:tr w:rsidR="007B485D" w:rsidRPr="00727DFA" w14:paraId="39C5E6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764001"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8824CB6" w14:textId="77777777" w:rsidR="007B485D" w:rsidRPr="00727DFA" w:rsidRDefault="007B485D" w:rsidP="002D6DD7">
            <w:pPr>
              <w:jc w:val="both"/>
              <w:rPr>
                <w:rFonts w:eastAsia="DengXian"/>
                <w:szCs w:val="24"/>
              </w:rPr>
            </w:pPr>
            <w:r w:rsidRPr="00727DFA">
              <w:rPr>
                <w:rFonts w:eastAsia="DengXian"/>
                <w:szCs w:val="24"/>
              </w:rPr>
              <w:t xml:space="preserve">Hepatic impairment, renal impairment, elderly, pregnancy, breastfeeding, porphyria, </w:t>
            </w:r>
            <w:r>
              <w:rPr>
                <w:rFonts w:eastAsia="DengXian"/>
                <w:szCs w:val="24"/>
              </w:rPr>
              <w:t xml:space="preserve">risk of </w:t>
            </w:r>
            <w:r w:rsidRPr="00727DFA">
              <w:rPr>
                <w:rFonts w:eastAsia="DengXian"/>
                <w:szCs w:val="24"/>
              </w:rPr>
              <w:t>discolor</w:t>
            </w:r>
            <w:r>
              <w:rPr>
                <w:rFonts w:eastAsia="DengXian"/>
                <w:szCs w:val="24"/>
              </w:rPr>
              <w:t>ation</w:t>
            </w:r>
            <w:r w:rsidRPr="00727DFA">
              <w:rPr>
                <w:rFonts w:eastAsia="DengXian"/>
                <w:szCs w:val="24"/>
              </w:rPr>
              <w:t xml:space="preserve"> soft contact lenses.</w:t>
            </w:r>
          </w:p>
        </w:tc>
      </w:tr>
      <w:tr w:rsidR="007B485D" w:rsidRPr="00727DFA" w14:paraId="2C328DA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3A6D8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4884E58" w14:textId="77777777" w:rsidR="007B485D" w:rsidRPr="00727DFA" w:rsidRDefault="007B485D" w:rsidP="002D6DD7">
            <w:pPr>
              <w:jc w:val="both"/>
              <w:rPr>
                <w:rFonts w:eastAsia="DengXian"/>
                <w:szCs w:val="24"/>
              </w:rPr>
            </w:pPr>
            <w:r w:rsidRPr="00727DFA">
              <w:rPr>
                <w:rFonts w:eastAsia="DengXian"/>
                <w:szCs w:val="24"/>
              </w:rPr>
              <w:t>Store below of 30ºC</w:t>
            </w:r>
            <w:r>
              <w:rPr>
                <w:rFonts w:eastAsia="DengXian"/>
                <w:szCs w:val="24"/>
              </w:rPr>
              <w:t>.</w:t>
            </w:r>
          </w:p>
        </w:tc>
      </w:tr>
      <w:tr w:rsidR="007B485D" w:rsidRPr="00727DFA" w14:paraId="60E69E5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A718ACD" w14:textId="77777777" w:rsidR="007B485D" w:rsidRPr="00727DFA" w:rsidRDefault="007B485D" w:rsidP="002D6DD7">
            <w:pPr>
              <w:jc w:val="both"/>
              <w:rPr>
                <w:rFonts w:eastAsia="DengXian"/>
                <w:szCs w:val="24"/>
              </w:rPr>
            </w:pPr>
            <w:r w:rsidRPr="00727DFA">
              <w:rPr>
                <w:rFonts w:eastAsia="DengXian"/>
                <w:b/>
                <w:bCs/>
                <w:szCs w:val="24"/>
              </w:rPr>
              <w:t>Rifapentine</w:t>
            </w:r>
          </w:p>
        </w:tc>
      </w:tr>
      <w:tr w:rsidR="007B485D" w:rsidRPr="00727DFA" w14:paraId="0F2575C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55F8A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F2FFDB9" w14:textId="77777777" w:rsidR="007B485D" w:rsidRPr="00727DFA" w:rsidRDefault="007B485D" w:rsidP="002D6DD7">
            <w:pPr>
              <w:jc w:val="both"/>
              <w:rPr>
                <w:rFonts w:eastAsia="DengXian"/>
                <w:szCs w:val="24"/>
              </w:rPr>
            </w:pPr>
            <w:r w:rsidRPr="00727DFA">
              <w:rPr>
                <w:rFonts w:eastAsia="DengXian"/>
                <w:szCs w:val="24"/>
              </w:rPr>
              <w:t xml:space="preserve">Rifamycin, antitubercular </w:t>
            </w:r>
          </w:p>
        </w:tc>
      </w:tr>
      <w:tr w:rsidR="007B485D" w:rsidRPr="00727DFA" w14:paraId="23ABB6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B2334E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0B10F7C" w14:textId="77777777" w:rsidR="007B485D" w:rsidRPr="00727DFA" w:rsidRDefault="007B485D" w:rsidP="002D6DD7">
            <w:pPr>
              <w:jc w:val="both"/>
              <w:rPr>
                <w:rFonts w:eastAsia="DengXian"/>
                <w:szCs w:val="24"/>
              </w:rPr>
            </w:pPr>
            <w:r w:rsidRPr="00727DFA">
              <w:rPr>
                <w:rFonts w:eastAsia="DengXian"/>
                <w:szCs w:val="24"/>
              </w:rPr>
              <w:t>Tablet (dispersible): 150 mg, 300 mg</w:t>
            </w:r>
          </w:p>
        </w:tc>
      </w:tr>
      <w:tr w:rsidR="007B485D" w:rsidRPr="00727DFA" w14:paraId="3C6C149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90BD81"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4C2B37A" w14:textId="77777777" w:rsidR="007B485D" w:rsidRPr="00727DFA" w:rsidRDefault="007B485D" w:rsidP="002D6DD7">
            <w:pPr>
              <w:jc w:val="both"/>
              <w:rPr>
                <w:rFonts w:eastAsia="DengXian"/>
                <w:szCs w:val="24"/>
              </w:rPr>
            </w:pPr>
            <w:r w:rsidRPr="00727DFA">
              <w:rPr>
                <w:rFonts w:eastAsia="DengXian"/>
                <w:szCs w:val="24"/>
              </w:rPr>
              <w:t>Active pulmonary tuberculosis and latent tuberculosis</w:t>
            </w:r>
            <w:r>
              <w:rPr>
                <w:rFonts w:eastAsia="DengXian"/>
                <w:szCs w:val="24"/>
              </w:rPr>
              <w:t>.</w:t>
            </w:r>
          </w:p>
        </w:tc>
      </w:tr>
      <w:tr w:rsidR="007B485D" w:rsidRPr="00727DFA" w14:paraId="39AF547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5ECF12"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53A980A" w14:textId="77777777" w:rsidR="007B485D" w:rsidRPr="00727DFA" w:rsidRDefault="007B485D" w:rsidP="002D6DD7">
            <w:pPr>
              <w:jc w:val="both"/>
              <w:rPr>
                <w:rFonts w:eastAsia="DengXian"/>
                <w:b/>
                <w:bCs/>
                <w:szCs w:val="24"/>
              </w:rPr>
            </w:pPr>
            <w:r w:rsidRPr="00727DFA">
              <w:rPr>
                <w:rFonts w:eastAsia="DengXian"/>
                <w:b/>
                <w:bCs/>
                <w:szCs w:val="24"/>
              </w:rPr>
              <w:t xml:space="preserve">Active pulmonary tuberculosis </w:t>
            </w:r>
          </w:p>
          <w:p w14:paraId="13E7A1CF" w14:textId="77777777" w:rsidR="007B485D" w:rsidRPr="00727DFA" w:rsidRDefault="007B485D" w:rsidP="002D6DD7">
            <w:pPr>
              <w:jc w:val="both"/>
              <w:rPr>
                <w:rFonts w:eastAsia="DengXian"/>
                <w:szCs w:val="24"/>
              </w:rPr>
            </w:pPr>
            <w:r w:rsidRPr="00727DFA">
              <w:rPr>
                <w:rFonts w:eastAsia="DengXian"/>
                <w:b/>
                <w:bCs/>
                <w:szCs w:val="24"/>
              </w:rPr>
              <w:t>Initial</w:t>
            </w:r>
            <w:r w:rsidRPr="00727DFA">
              <w:rPr>
                <w:rFonts w:eastAsia="DengXian"/>
                <w:szCs w:val="24"/>
              </w:rPr>
              <w:t xml:space="preserve"> phase (2 Months): 600 mg twice weekly for two months in combination with other antituberculosis drugs as part of an appropriate regimen which includes daily companion drugs such as isoniazid (INH), ethambutol (EMB) and pyrazinamide (PZA).</w:t>
            </w:r>
          </w:p>
          <w:p w14:paraId="38374470" w14:textId="77777777" w:rsidR="007B485D" w:rsidRPr="00727DFA" w:rsidRDefault="007B485D" w:rsidP="002D6DD7">
            <w:pPr>
              <w:jc w:val="both"/>
              <w:rPr>
                <w:rFonts w:eastAsia="DengXian"/>
                <w:szCs w:val="24"/>
              </w:rPr>
            </w:pPr>
            <w:r w:rsidRPr="00727DFA">
              <w:rPr>
                <w:rFonts w:eastAsia="DengXian"/>
                <w:b/>
                <w:bCs/>
                <w:szCs w:val="24"/>
              </w:rPr>
              <w:t>Continuation</w:t>
            </w:r>
            <w:r w:rsidRPr="00727DFA">
              <w:rPr>
                <w:rFonts w:eastAsia="DengXian"/>
                <w:szCs w:val="24"/>
              </w:rPr>
              <w:t xml:space="preserve"> phase (4 Months): Rifapentine 600 mg once weekly for 4 months in combination with isoniazid or another appropriate antituberculosis agent </w:t>
            </w:r>
          </w:p>
          <w:p w14:paraId="3B49460B" w14:textId="77777777" w:rsidR="007B485D" w:rsidRPr="00727DFA" w:rsidRDefault="007B485D" w:rsidP="002D6DD7">
            <w:pPr>
              <w:jc w:val="both"/>
              <w:rPr>
                <w:rFonts w:eastAsia="DengXian"/>
                <w:b/>
                <w:bCs/>
                <w:szCs w:val="24"/>
              </w:rPr>
            </w:pPr>
            <w:r w:rsidRPr="00727DFA">
              <w:rPr>
                <w:rFonts w:eastAsia="DengXian"/>
                <w:b/>
                <w:bCs/>
                <w:szCs w:val="24"/>
              </w:rPr>
              <w:t xml:space="preserve">Latent </w:t>
            </w:r>
            <w:r>
              <w:rPr>
                <w:rFonts w:eastAsia="DengXian"/>
                <w:b/>
                <w:bCs/>
                <w:szCs w:val="24"/>
              </w:rPr>
              <w:t>t</w:t>
            </w:r>
            <w:r w:rsidRPr="00727DFA">
              <w:rPr>
                <w:rFonts w:eastAsia="DengXian"/>
                <w:b/>
                <w:bCs/>
                <w:szCs w:val="24"/>
              </w:rPr>
              <w:t xml:space="preserve">uberculosis </w:t>
            </w:r>
            <w:r>
              <w:rPr>
                <w:rFonts w:eastAsia="DengXian"/>
                <w:b/>
                <w:bCs/>
                <w:szCs w:val="24"/>
              </w:rPr>
              <w:t>i</w:t>
            </w:r>
            <w:r w:rsidRPr="00727DFA">
              <w:rPr>
                <w:rFonts w:eastAsia="DengXian"/>
                <w:b/>
                <w:bCs/>
                <w:szCs w:val="24"/>
              </w:rPr>
              <w:t>nfection</w:t>
            </w:r>
          </w:p>
          <w:p w14:paraId="0510E72C" w14:textId="77777777" w:rsidR="007B485D" w:rsidRPr="00727DFA" w:rsidRDefault="007B485D" w:rsidP="002D6DD7">
            <w:pPr>
              <w:jc w:val="both"/>
              <w:rPr>
                <w:rFonts w:eastAsia="DengXian"/>
                <w:szCs w:val="24"/>
              </w:rPr>
            </w:pPr>
            <w:r w:rsidRPr="00727DFA">
              <w:rPr>
                <w:rFonts w:eastAsia="DengXian"/>
                <w:szCs w:val="24"/>
              </w:rPr>
              <w:lastRenderedPageBreak/>
              <w:t xml:space="preserve">Rifapentine once weekly in combination with isoniazid for 12 weeks </w:t>
            </w:r>
          </w:p>
          <w:p w14:paraId="748127EC" w14:textId="77777777" w:rsidR="007B485D" w:rsidRPr="0063309C" w:rsidRDefault="007B485D" w:rsidP="002D6DD7">
            <w:pPr>
              <w:jc w:val="both"/>
              <w:rPr>
                <w:rFonts w:eastAsia="DengXian"/>
                <w:bCs/>
                <w:szCs w:val="24"/>
              </w:rPr>
            </w:pPr>
            <w:r w:rsidRPr="00873AF2">
              <w:rPr>
                <w:rFonts w:eastAsia="DengXian"/>
                <w:bCs/>
                <w:szCs w:val="24"/>
              </w:rPr>
              <w:t>Body</w:t>
            </w:r>
            <w:r w:rsidRPr="0063309C">
              <w:rPr>
                <w:rFonts w:eastAsia="DengXian"/>
                <w:bCs/>
                <w:szCs w:val="24"/>
              </w:rPr>
              <w:t xml:space="preserve"> </w:t>
            </w:r>
            <w:r w:rsidRPr="00873AF2">
              <w:rPr>
                <w:rFonts w:eastAsia="DengXian"/>
                <w:bCs/>
                <w:szCs w:val="24"/>
              </w:rPr>
              <w:t>weight</w:t>
            </w:r>
            <w:r w:rsidRPr="0063309C">
              <w:rPr>
                <w:rFonts w:eastAsia="DengXian"/>
                <w:bCs/>
                <w:szCs w:val="24"/>
              </w:rPr>
              <w:t xml:space="preserve"> 10.0-14.0kg; 300mg</w:t>
            </w:r>
          </w:p>
          <w:p w14:paraId="19E577A2" w14:textId="77777777" w:rsidR="007B485D" w:rsidRPr="0063309C" w:rsidRDefault="007B485D" w:rsidP="002D6DD7">
            <w:pPr>
              <w:jc w:val="both"/>
              <w:rPr>
                <w:rFonts w:eastAsia="DengXian"/>
                <w:bCs/>
                <w:szCs w:val="24"/>
              </w:rPr>
            </w:pPr>
            <w:r w:rsidRPr="00873AF2">
              <w:rPr>
                <w:rFonts w:eastAsia="DengXian"/>
                <w:bCs/>
                <w:szCs w:val="24"/>
              </w:rPr>
              <w:t>Body weight</w:t>
            </w:r>
            <w:r w:rsidRPr="0063309C">
              <w:rPr>
                <w:rFonts w:eastAsia="DengXian"/>
                <w:bCs/>
                <w:szCs w:val="24"/>
              </w:rPr>
              <w:t xml:space="preserve"> 14.1-25.0kg: 450mg</w:t>
            </w:r>
          </w:p>
          <w:p w14:paraId="132B2EBD" w14:textId="77777777" w:rsidR="007B485D" w:rsidRPr="0063309C" w:rsidRDefault="007B485D" w:rsidP="002D6DD7">
            <w:pPr>
              <w:jc w:val="both"/>
              <w:rPr>
                <w:rFonts w:eastAsia="DengXian"/>
                <w:bCs/>
                <w:szCs w:val="24"/>
              </w:rPr>
            </w:pPr>
            <w:r w:rsidRPr="00873AF2">
              <w:rPr>
                <w:rFonts w:eastAsia="DengXian"/>
                <w:bCs/>
                <w:szCs w:val="24"/>
              </w:rPr>
              <w:t>Body weight</w:t>
            </w:r>
            <w:r w:rsidRPr="0063309C">
              <w:rPr>
                <w:rFonts w:eastAsia="DengXian"/>
                <w:bCs/>
                <w:szCs w:val="24"/>
              </w:rPr>
              <w:t xml:space="preserve"> 25.1-32.0kg: 600mg</w:t>
            </w:r>
          </w:p>
          <w:p w14:paraId="7AACB491" w14:textId="77777777" w:rsidR="007B485D" w:rsidRPr="0063309C" w:rsidRDefault="007B485D" w:rsidP="002D6DD7">
            <w:pPr>
              <w:jc w:val="both"/>
              <w:rPr>
                <w:rFonts w:eastAsia="DengXian"/>
                <w:bCs/>
                <w:szCs w:val="24"/>
              </w:rPr>
            </w:pPr>
            <w:r w:rsidRPr="00873AF2">
              <w:rPr>
                <w:rFonts w:eastAsia="DengXian"/>
                <w:bCs/>
                <w:szCs w:val="24"/>
              </w:rPr>
              <w:t>Body weight</w:t>
            </w:r>
            <w:r w:rsidRPr="0063309C">
              <w:rPr>
                <w:rFonts w:eastAsia="DengXian"/>
                <w:bCs/>
                <w:szCs w:val="24"/>
              </w:rPr>
              <w:t xml:space="preserve"> 32.1-50.0kg: 750mg</w:t>
            </w:r>
          </w:p>
          <w:p w14:paraId="4E980973" w14:textId="77777777" w:rsidR="007B485D" w:rsidRPr="00727DFA" w:rsidRDefault="007B485D" w:rsidP="002D6DD7">
            <w:pPr>
              <w:jc w:val="both"/>
              <w:rPr>
                <w:rFonts w:eastAsia="DengXian"/>
                <w:szCs w:val="24"/>
              </w:rPr>
            </w:pPr>
            <w:r w:rsidRPr="00873AF2">
              <w:rPr>
                <w:rFonts w:eastAsia="DengXian"/>
                <w:bCs/>
                <w:szCs w:val="24"/>
              </w:rPr>
              <w:t>Body weight</w:t>
            </w:r>
            <w:r w:rsidRPr="00727DFA">
              <w:rPr>
                <w:rFonts w:eastAsia="DengXian"/>
                <w:szCs w:val="24"/>
              </w:rPr>
              <w:t xml:space="preserve"> &gt;50kg: 900mg</w:t>
            </w:r>
          </w:p>
        </w:tc>
      </w:tr>
      <w:tr w:rsidR="007B485D" w:rsidRPr="00727DFA" w14:paraId="7F2DC0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487BAE"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5BD6DE4"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or other</w:t>
            </w:r>
            <w:r w:rsidRPr="00727DFA">
              <w:rPr>
                <w:rFonts w:eastAsia="DengXian"/>
                <w:szCs w:val="24"/>
              </w:rPr>
              <w:t xml:space="preserve"> rifamycins</w:t>
            </w:r>
            <w:r>
              <w:rPr>
                <w:rFonts w:eastAsia="DengXian"/>
                <w:szCs w:val="24"/>
              </w:rPr>
              <w:t>.</w:t>
            </w:r>
          </w:p>
        </w:tc>
      </w:tr>
      <w:tr w:rsidR="007B485D" w:rsidRPr="00727DFA" w14:paraId="339368A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2DDF9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FE732C5" w14:textId="77777777" w:rsidR="007B485D" w:rsidRPr="00727DFA" w:rsidRDefault="007B485D" w:rsidP="002D6DD7">
            <w:pPr>
              <w:jc w:val="both"/>
              <w:rPr>
                <w:rFonts w:eastAsia="DengXian"/>
                <w:szCs w:val="24"/>
              </w:rPr>
            </w:pPr>
            <w:r w:rsidRPr="00727DFA">
              <w:rPr>
                <w:rFonts w:eastAsia="DengXian"/>
                <w:szCs w:val="24"/>
              </w:rPr>
              <w:t xml:space="preserve">Protease inhibitors, reverse transcriptase inhibitors, hormonal contraceptives. </w:t>
            </w:r>
          </w:p>
        </w:tc>
      </w:tr>
      <w:tr w:rsidR="007B485D" w:rsidRPr="00727DFA" w14:paraId="1ADB42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2304F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F827550"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rifampicin</w:t>
            </w:r>
            <w:r>
              <w:rPr>
                <w:rFonts w:eastAsia="DengXian"/>
                <w:szCs w:val="24"/>
              </w:rPr>
              <w:t>.</w:t>
            </w:r>
            <w:r w:rsidRPr="00727DFA">
              <w:rPr>
                <w:rFonts w:eastAsia="DengXian"/>
                <w:szCs w:val="24"/>
              </w:rPr>
              <w:t xml:space="preserve">  </w:t>
            </w:r>
          </w:p>
        </w:tc>
      </w:tr>
      <w:tr w:rsidR="007B485D" w:rsidRPr="00727DFA" w14:paraId="3D7BEFE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80B05A"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BFA542C"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rifampicin</w:t>
            </w:r>
            <w:r>
              <w:rPr>
                <w:rFonts w:eastAsia="DengXian"/>
                <w:szCs w:val="24"/>
              </w:rPr>
              <w:t>.</w:t>
            </w:r>
          </w:p>
        </w:tc>
      </w:tr>
      <w:tr w:rsidR="007B485D" w:rsidRPr="00727DFA" w14:paraId="5E0220B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AF5B8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057A92F"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280D7B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2AD6ED0" w14:textId="77777777" w:rsidR="007B485D" w:rsidRPr="00727DFA" w:rsidRDefault="007B485D" w:rsidP="002D6DD7">
            <w:pPr>
              <w:jc w:val="both"/>
              <w:rPr>
                <w:rFonts w:eastAsia="DengXian"/>
                <w:szCs w:val="24"/>
              </w:rPr>
            </w:pPr>
            <w:r w:rsidRPr="00727DFA">
              <w:rPr>
                <w:rFonts w:eastAsia="DengXian"/>
                <w:b/>
                <w:bCs/>
                <w:szCs w:val="24"/>
              </w:rPr>
              <w:t>Streptomycin</w:t>
            </w:r>
          </w:p>
        </w:tc>
      </w:tr>
      <w:tr w:rsidR="007B485D" w:rsidRPr="00727DFA" w14:paraId="2F1A7C1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E12DA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0A117CA" w14:textId="77777777" w:rsidR="007B485D" w:rsidRPr="00727DFA" w:rsidRDefault="007B485D" w:rsidP="002D6DD7">
            <w:pPr>
              <w:jc w:val="both"/>
              <w:rPr>
                <w:rFonts w:eastAsia="DengXian"/>
                <w:szCs w:val="24"/>
              </w:rPr>
            </w:pPr>
            <w:r w:rsidRPr="00727DFA">
              <w:rPr>
                <w:rFonts w:eastAsia="DengXian"/>
                <w:szCs w:val="24"/>
              </w:rPr>
              <w:t>Aminoglycoside, antibacterial (first line antitubercular)</w:t>
            </w:r>
          </w:p>
        </w:tc>
      </w:tr>
      <w:tr w:rsidR="007B485D" w:rsidRPr="00727DFA" w14:paraId="2C9CFBC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178B2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041EFE4" w14:textId="77777777" w:rsidR="007B485D" w:rsidRPr="00727DFA" w:rsidRDefault="007B485D" w:rsidP="002D6DD7">
            <w:pPr>
              <w:jc w:val="both"/>
              <w:rPr>
                <w:rFonts w:eastAsia="DengXian"/>
                <w:szCs w:val="24"/>
              </w:rPr>
            </w:pPr>
            <w:r w:rsidRPr="00727DFA">
              <w:rPr>
                <w:rFonts w:eastAsia="DengXian"/>
                <w:szCs w:val="24"/>
              </w:rPr>
              <w:t xml:space="preserve">Powder for injection: 1gm, 5gm base </w:t>
            </w:r>
          </w:p>
        </w:tc>
      </w:tr>
      <w:tr w:rsidR="007B485D" w:rsidRPr="00727DFA" w14:paraId="27A175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740E89"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85E604F" w14:textId="77777777" w:rsidR="007B485D" w:rsidRPr="00727DFA" w:rsidRDefault="007B485D" w:rsidP="002D6DD7">
            <w:pPr>
              <w:jc w:val="both"/>
              <w:rPr>
                <w:rFonts w:eastAsia="DengXian"/>
                <w:szCs w:val="24"/>
              </w:rPr>
            </w:pPr>
            <w:r w:rsidRPr="00727DFA">
              <w:rPr>
                <w:rFonts w:eastAsia="DengXian"/>
                <w:szCs w:val="24"/>
              </w:rPr>
              <w:t>Tuberculosis, in combination with other drugs</w:t>
            </w:r>
          </w:p>
        </w:tc>
      </w:tr>
      <w:tr w:rsidR="007B485D" w:rsidRPr="00727DFA" w14:paraId="1A58705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27FE5C"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1560296" w14:textId="77777777" w:rsidR="007B485D" w:rsidRPr="00727DFA" w:rsidRDefault="007B485D" w:rsidP="002D6DD7">
            <w:pPr>
              <w:jc w:val="both"/>
              <w:rPr>
                <w:rFonts w:eastAsia="DengXian"/>
                <w:szCs w:val="24"/>
              </w:rPr>
            </w:pPr>
            <w:r w:rsidRPr="00727DFA">
              <w:rPr>
                <w:rFonts w:eastAsia="DengXian"/>
                <w:b/>
                <w:bCs/>
                <w:szCs w:val="24"/>
              </w:rPr>
              <w:t>Tuberculosis (initial phase of combination therapy);</w:t>
            </w:r>
            <w:r w:rsidRPr="00727DFA">
              <w:rPr>
                <w:rFonts w:eastAsia="DengXian"/>
                <w:szCs w:val="24"/>
              </w:rPr>
              <w:t xml:space="preserve"> deep IM injection or IV: </w:t>
            </w:r>
          </w:p>
          <w:p w14:paraId="4BAE1560" w14:textId="77777777" w:rsidR="007B485D" w:rsidRPr="00727DFA" w:rsidRDefault="007B485D" w:rsidP="002D6DD7">
            <w:pPr>
              <w:jc w:val="both"/>
              <w:rPr>
                <w:rFonts w:eastAsia="DengXian"/>
                <w:szCs w:val="24"/>
              </w:rPr>
            </w:pPr>
            <w:r w:rsidRPr="00727DFA">
              <w:rPr>
                <w:rFonts w:eastAsia="DengXian"/>
                <w:b/>
                <w:bCs/>
                <w:szCs w:val="24"/>
              </w:rPr>
              <w:t>For children and adults &gt;15 years</w:t>
            </w:r>
            <w:r w:rsidRPr="00727DFA">
              <w:rPr>
                <w:rFonts w:eastAsia="DengXian"/>
                <w:szCs w:val="24"/>
              </w:rPr>
              <w:t>: 15mg/kg (12-18mg/kg) daily as a single dose, maximum 1000mg (patients over 60 years may not tolerate doses above 500 to 750mg daily)</w:t>
            </w:r>
          </w:p>
          <w:p w14:paraId="7076D864" w14:textId="77777777" w:rsidR="007B485D" w:rsidRPr="00727DFA" w:rsidRDefault="007B485D" w:rsidP="002D6DD7">
            <w:pPr>
              <w:jc w:val="both"/>
              <w:rPr>
                <w:rFonts w:eastAsia="DengXian"/>
                <w:szCs w:val="24"/>
              </w:rPr>
            </w:pPr>
            <w:r w:rsidRPr="00727DFA">
              <w:rPr>
                <w:rFonts w:eastAsia="DengXian"/>
                <w:b/>
                <w:bCs/>
                <w:szCs w:val="24"/>
              </w:rPr>
              <w:t>Child &lt; 15 years or weighing 40kg or less</w:t>
            </w:r>
            <w:r w:rsidRPr="00727DFA">
              <w:rPr>
                <w:rFonts w:eastAsia="DengXian"/>
                <w:szCs w:val="24"/>
              </w:rPr>
              <w:t>: 20-40mg/kg daily (up to 1g)</w:t>
            </w:r>
          </w:p>
        </w:tc>
      </w:tr>
      <w:tr w:rsidR="007B485D" w:rsidRPr="00727DFA" w14:paraId="169EA0C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DA5E6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D6429A6"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 or other minoglycosides</w:t>
            </w:r>
            <w:r w:rsidRPr="00727DFA">
              <w:rPr>
                <w:rFonts w:eastAsia="DengXian"/>
                <w:szCs w:val="24"/>
              </w:rPr>
              <w:t>, myasthenia gravis, severe haemoptysis, vestibular disorder, hearing disorders</w:t>
            </w:r>
            <w:r>
              <w:rPr>
                <w:rFonts w:eastAsia="DengXian"/>
                <w:szCs w:val="24"/>
              </w:rPr>
              <w:t>.</w:t>
            </w:r>
          </w:p>
        </w:tc>
      </w:tr>
      <w:tr w:rsidR="007B485D" w:rsidRPr="00727DFA" w14:paraId="63A923C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8B5D4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385EB85" w14:textId="77777777" w:rsidR="007B485D" w:rsidRPr="00727DFA" w:rsidRDefault="007B485D" w:rsidP="002D6DD7">
            <w:pPr>
              <w:jc w:val="both"/>
              <w:rPr>
                <w:rFonts w:eastAsia="DengXian"/>
                <w:szCs w:val="24"/>
              </w:rPr>
            </w:pPr>
            <w:r w:rsidRPr="00727DFA">
              <w:rPr>
                <w:rFonts w:eastAsia="DengXian"/>
                <w:szCs w:val="24"/>
              </w:rPr>
              <w:t>Alcuronium, ciclosporin, cisplatin, furosemide, neostigmine, pyridostigmine, suxamethonium, vecuronium</w:t>
            </w:r>
            <w:r>
              <w:rPr>
                <w:rFonts w:eastAsia="DengXian"/>
                <w:szCs w:val="24"/>
              </w:rPr>
              <w:t>,</w:t>
            </w:r>
            <w:r w:rsidRPr="00727DFA">
              <w:rPr>
                <w:rFonts w:eastAsia="DengXian"/>
                <w:szCs w:val="24"/>
              </w:rPr>
              <w:t xml:space="preserve"> nephrotoxic and ototoxic agents</w:t>
            </w:r>
            <w:r>
              <w:rPr>
                <w:rFonts w:eastAsia="DengXian"/>
                <w:szCs w:val="24"/>
              </w:rPr>
              <w:t>.</w:t>
            </w:r>
          </w:p>
        </w:tc>
      </w:tr>
      <w:tr w:rsidR="007B485D" w:rsidRPr="00727DFA" w14:paraId="00A0264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CEA10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4043634" w14:textId="77777777" w:rsidR="007B485D" w:rsidRPr="00727DFA" w:rsidRDefault="007B485D" w:rsidP="002D6DD7">
            <w:pPr>
              <w:jc w:val="both"/>
              <w:rPr>
                <w:rFonts w:eastAsia="DengXian"/>
                <w:szCs w:val="24"/>
              </w:rPr>
            </w:pPr>
            <w:r w:rsidRPr="00727DFA">
              <w:rPr>
                <w:rFonts w:eastAsia="DengXian"/>
                <w:szCs w:val="24"/>
              </w:rPr>
              <w:t xml:space="preserve">Ototoxicity, nephrotoxicity, nausea, vomiting, hypersensitivity </w:t>
            </w:r>
            <w:r w:rsidRPr="00727DFA">
              <w:rPr>
                <w:rFonts w:eastAsia="DengXian"/>
                <w:szCs w:val="24"/>
              </w:rPr>
              <w:lastRenderedPageBreak/>
              <w:t>reactions withdraw treatment, rash, hypomagnesaemia on prolonged therapy, antibiotic associated colitis, hemolytic anemia, aplastic anemia, agranulocytosis, thrombocytopenia, pain and abscess at injection site</w:t>
            </w:r>
            <w:r>
              <w:rPr>
                <w:rFonts w:eastAsia="DengXian"/>
                <w:szCs w:val="24"/>
              </w:rPr>
              <w:t>.</w:t>
            </w:r>
          </w:p>
        </w:tc>
      </w:tr>
      <w:tr w:rsidR="007B485D" w:rsidRPr="00727DFA" w14:paraId="6C4A9FB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E882C0"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64ECD23F" w14:textId="77777777" w:rsidR="007B485D" w:rsidRPr="00727DFA" w:rsidRDefault="007B485D" w:rsidP="002D6DD7">
            <w:pPr>
              <w:jc w:val="both"/>
              <w:rPr>
                <w:rFonts w:eastAsia="DengXian"/>
                <w:szCs w:val="24"/>
              </w:rPr>
            </w:pPr>
            <w:r w:rsidRPr="00727DFA">
              <w:rPr>
                <w:rFonts w:eastAsia="DengXian"/>
                <w:szCs w:val="24"/>
              </w:rPr>
              <w:t>Renal impairment, hearing problem, elderly, excessive dosage in pediatrics, breastfeeding, pregnancy</w:t>
            </w:r>
            <w:r>
              <w:rPr>
                <w:rFonts w:eastAsia="DengXian"/>
                <w:szCs w:val="24"/>
              </w:rPr>
              <w:t>.</w:t>
            </w:r>
          </w:p>
        </w:tc>
      </w:tr>
      <w:tr w:rsidR="007B485D" w:rsidRPr="00727DFA" w14:paraId="712FE3B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5DD9243"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040CE1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5D9BBC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55407BC9" w14:textId="77777777" w:rsidR="007B485D" w:rsidRPr="00727DFA" w:rsidRDefault="007B485D" w:rsidP="002D6DD7">
            <w:pPr>
              <w:jc w:val="both"/>
              <w:rPr>
                <w:rFonts w:eastAsia="DengXian"/>
                <w:b/>
                <w:bCs/>
                <w:szCs w:val="24"/>
              </w:rPr>
            </w:pPr>
            <w:r w:rsidRPr="00727DFA">
              <w:rPr>
                <w:rFonts w:eastAsia="DengXian"/>
                <w:b/>
                <w:bCs/>
                <w:szCs w:val="24"/>
              </w:rPr>
              <w:t>Terizidone</w:t>
            </w:r>
          </w:p>
        </w:tc>
      </w:tr>
      <w:tr w:rsidR="007B485D" w:rsidRPr="00727DFA" w14:paraId="3630B8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061232"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CF4CB86" w14:textId="77777777" w:rsidR="007B485D" w:rsidRPr="00727DFA" w:rsidRDefault="007B485D" w:rsidP="002D6DD7">
            <w:pPr>
              <w:jc w:val="both"/>
              <w:rPr>
                <w:rFonts w:eastAsia="DengXian"/>
                <w:szCs w:val="24"/>
              </w:rPr>
            </w:pPr>
            <w:r w:rsidRPr="00727DFA">
              <w:rPr>
                <w:rFonts w:eastAsia="DengXian"/>
                <w:szCs w:val="24"/>
              </w:rPr>
              <w:t>Cycloserine derivative, second-line antitubercular</w:t>
            </w:r>
          </w:p>
        </w:tc>
      </w:tr>
      <w:tr w:rsidR="007B485D" w:rsidRPr="00727DFA" w14:paraId="1F52D5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2FA57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CEB70CA" w14:textId="77777777" w:rsidR="007B485D" w:rsidRPr="00727DFA" w:rsidRDefault="007B485D" w:rsidP="002D6DD7">
            <w:pPr>
              <w:jc w:val="both"/>
              <w:rPr>
                <w:rFonts w:eastAsia="DengXian"/>
                <w:szCs w:val="24"/>
              </w:rPr>
            </w:pPr>
            <w:r w:rsidRPr="00727DFA">
              <w:rPr>
                <w:rFonts w:eastAsia="DengXian"/>
                <w:szCs w:val="24"/>
              </w:rPr>
              <w:t>Tablet: 300 mg</w:t>
            </w:r>
          </w:p>
        </w:tc>
      </w:tr>
      <w:tr w:rsidR="007B485D" w:rsidRPr="00727DFA" w14:paraId="2D2CCB7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E18413"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1949BE1" w14:textId="77777777" w:rsidR="007B485D" w:rsidRPr="00727DFA" w:rsidRDefault="007B485D" w:rsidP="002D6DD7">
            <w:pPr>
              <w:jc w:val="both"/>
              <w:rPr>
                <w:rFonts w:eastAsia="DengXian"/>
                <w:szCs w:val="24"/>
              </w:rPr>
            </w:pPr>
            <w:r w:rsidRPr="00727DFA">
              <w:rPr>
                <w:rFonts w:eastAsia="DengXian"/>
                <w:szCs w:val="24"/>
              </w:rPr>
              <w:t>Second-line agent for MDR-TB</w:t>
            </w:r>
          </w:p>
        </w:tc>
      </w:tr>
      <w:tr w:rsidR="007B485D" w:rsidRPr="00727DFA" w14:paraId="6B9C9E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85C3E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8B97FE8" w14:textId="77777777" w:rsidR="007B485D" w:rsidRPr="00727DFA" w:rsidRDefault="007B485D" w:rsidP="002D6DD7">
            <w:pPr>
              <w:jc w:val="both"/>
              <w:rPr>
                <w:rFonts w:eastAsia="DengXian"/>
                <w:b/>
                <w:bCs/>
                <w:szCs w:val="24"/>
              </w:rPr>
            </w:pPr>
            <w:r w:rsidRPr="00727DFA">
              <w:rPr>
                <w:rFonts w:eastAsia="DengXian"/>
                <w:b/>
                <w:bCs/>
                <w:szCs w:val="24"/>
              </w:rPr>
              <w:t xml:space="preserve">MDR-TB; Oral: </w:t>
            </w:r>
          </w:p>
          <w:p w14:paraId="2F6CE550" w14:textId="77777777" w:rsidR="007B485D" w:rsidRPr="00727DFA" w:rsidRDefault="007B485D" w:rsidP="002D6DD7">
            <w:pPr>
              <w:jc w:val="both"/>
              <w:rPr>
                <w:rFonts w:eastAsia="DengXian"/>
                <w:b/>
                <w:bCs/>
                <w:szCs w:val="24"/>
              </w:rPr>
            </w:pPr>
            <w:r w:rsidRPr="00727DFA">
              <w:rPr>
                <w:rFonts w:eastAsia="DengXian"/>
                <w:b/>
                <w:bCs/>
                <w:szCs w:val="24"/>
              </w:rPr>
              <w:t xml:space="preserve">Adult: </w:t>
            </w:r>
            <w:r w:rsidRPr="00727DFA">
              <w:rPr>
                <w:rFonts w:eastAsia="DengXian"/>
                <w:szCs w:val="24"/>
              </w:rPr>
              <w:t xml:space="preserve">The usual target dose is 15–20 mg/kg/day; maximum1 g per day. </w:t>
            </w:r>
          </w:p>
          <w:p w14:paraId="7FA5F577" w14:textId="77777777" w:rsidR="007B485D" w:rsidRPr="00727DFA" w:rsidRDefault="007B485D" w:rsidP="002D6DD7">
            <w:pPr>
              <w:jc w:val="both"/>
              <w:rPr>
                <w:rFonts w:eastAsia="DengXian"/>
                <w:szCs w:val="24"/>
              </w:rPr>
            </w:pPr>
            <w:r w:rsidRPr="00727DFA">
              <w:rPr>
                <w:rFonts w:eastAsia="DengXian"/>
                <w:szCs w:val="24"/>
              </w:rPr>
              <w:t>Body weight 33–50 kg: 500 mg daily</w:t>
            </w:r>
          </w:p>
          <w:p w14:paraId="1CC6DA68" w14:textId="77777777" w:rsidR="007B485D" w:rsidRPr="00727DFA" w:rsidRDefault="007B485D" w:rsidP="002D6DD7">
            <w:pPr>
              <w:jc w:val="both"/>
              <w:rPr>
                <w:rFonts w:eastAsia="DengXian"/>
                <w:szCs w:val="24"/>
              </w:rPr>
            </w:pPr>
            <w:r w:rsidRPr="00727DFA">
              <w:rPr>
                <w:rFonts w:eastAsia="DengXian"/>
                <w:szCs w:val="24"/>
              </w:rPr>
              <w:t>Body weight 51–70 kg: 750 mg daily</w:t>
            </w:r>
          </w:p>
          <w:p w14:paraId="13B58B25" w14:textId="77777777" w:rsidR="007B485D" w:rsidRPr="00727DFA" w:rsidRDefault="007B485D" w:rsidP="002D6DD7">
            <w:pPr>
              <w:jc w:val="both"/>
              <w:rPr>
                <w:rFonts w:eastAsia="DengXian"/>
                <w:szCs w:val="24"/>
              </w:rPr>
            </w:pPr>
            <w:r w:rsidRPr="00727DFA">
              <w:rPr>
                <w:rFonts w:eastAsia="DengXian"/>
                <w:szCs w:val="24"/>
              </w:rPr>
              <w:t>Body weight &gt;70 kg: 750–1000 mg daily</w:t>
            </w:r>
          </w:p>
          <w:p w14:paraId="36A7C93B" w14:textId="77777777" w:rsidR="007B485D" w:rsidRPr="00727DFA" w:rsidRDefault="007B485D" w:rsidP="002D6DD7">
            <w:pPr>
              <w:jc w:val="both"/>
              <w:rPr>
                <w:rFonts w:eastAsia="DengXian"/>
                <w:b/>
                <w:bCs/>
                <w:szCs w:val="24"/>
              </w:rPr>
            </w:pPr>
            <w:r w:rsidRPr="00727DFA">
              <w:rPr>
                <w:rFonts w:eastAsia="DengXian"/>
                <w:b/>
                <w:bCs/>
                <w:szCs w:val="24"/>
              </w:rPr>
              <w:t>Child:</w:t>
            </w:r>
            <w:r w:rsidRPr="00727DFA">
              <w:rPr>
                <w:rFonts w:eastAsia="DengXian"/>
                <w:szCs w:val="24"/>
              </w:rPr>
              <w:t xml:space="preserve"> Target dose is 10–20 mg/kg/day, given in two divided doses; maximum 1 g per day. </w:t>
            </w:r>
          </w:p>
          <w:p w14:paraId="5DDFBE83" w14:textId="77777777" w:rsidR="007B485D" w:rsidRPr="00727DFA" w:rsidRDefault="007B485D" w:rsidP="002D6DD7">
            <w:pPr>
              <w:jc w:val="both"/>
              <w:rPr>
                <w:rFonts w:eastAsia="DengXian"/>
                <w:szCs w:val="24"/>
              </w:rPr>
            </w:pPr>
            <w:r w:rsidRPr="00727DFA">
              <w:rPr>
                <w:rFonts w:eastAsia="DengXian"/>
                <w:b/>
                <w:szCs w:val="24"/>
              </w:rPr>
              <w:t>Note</w:t>
            </w:r>
            <w:r w:rsidRPr="00727DFA">
              <w:rPr>
                <w:rFonts w:eastAsia="DengXian"/>
                <w:szCs w:val="24"/>
              </w:rPr>
              <w:t xml:space="preserve">: </w:t>
            </w:r>
            <w:r w:rsidRPr="00873AF2">
              <w:rPr>
                <w:rFonts w:eastAsia="DengXian"/>
                <w:i/>
                <w:iCs/>
                <w:szCs w:val="24"/>
              </w:rPr>
              <w:t>All patients should receive pyridoxine (vitamin B</w:t>
            </w:r>
            <w:r w:rsidRPr="00873AF2">
              <w:rPr>
                <w:rFonts w:eastAsia="DengXian"/>
                <w:i/>
                <w:iCs/>
                <w:szCs w:val="24"/>
                <w:vertAlign w:val="subscript"/>
              </w:rPr>
              <w:t>6</w:t>
            </w:r>
            <w:r w:rsidRPr="00873AF2">
              <w:rPr>
                <w:rFonts w:eastAsia="DengXian"/>
                <w:i/>
                <w:iCs/>
                <w:szCs w:val="24"/>
              </w:rPr>
              <w:t xml:space="preserve">) while taking terizidone. </w:t>
            </w:r>
            <w:r w:rsidRPr="00873AF2">
              <w:rPr>
                <w:rFonts w:eastAsia="DengXian"/>
                <w:bCs/>
                <w:i/>
                <w:iCs/>
                <w:szCs w:val="24"/>
              </w:rPr>
              <w:t>Avoid</w:t>
            </w:r>
            <w:r w:rsidRPr="00873AF2">
              <w:rPr>
                <w:rFonts w:eastAsia="DengXian"/>
                <w:b/>
                <w:bCs/>
                <w:i/>
                <w:iCs/>
                <w:szCs w:val="24"/>
              </w:rPr>
              <w:t xml:space="preserve"> </w:t>
            </w:r>
            <w:r w:rsidRPr="00873AF2">
              <w:rPr>
                <w:rFonts w:eastAsia="DengXian"/>
                <w:bCs/>
                <w:i/>
                <w:iCs/>
                <w:szCs w:val="24"/>
              </w:rPr>
              <w:t>high-fat meals at the time of taking terizidone</w:t>
            </w:r>
            <w:r w:rsidRPr="00727DFA">
              <w:rPr>
                <w:rFonts w:eastAsia="DengXian"/>
                <w:bCs/>
                <w:szCs w:val="24"/>
              </w:rPr>
              <w:t>.</w:t>
            </w:r>
          </w:p>
        </w:tc>
      </w:tr>
      <w:tr w:rsidR="007B485D" w:rsidRPr="00727DFA" w14:paraId="1B2DB262" w14:textId="77777777" w:rsidTr="002D6DD7">
        <w:trPr>
          <w:trHeight w:hRule="exact" w:val="955"/>
        </w:trPr>
        <w:tc>
          <w:tcPr>
            <w:tcW w:w="2605" w:type="dxa"/>
            <w:tcBorders>
              <w:top w:val="single" w:sz="4" w:space="0" w:color="auto"/>
              <w:left w:val="single" w:sz="4" w:space="0" w:color="auto"/>
              <w:bottom w:val="single" w:sz="4" w:space="0" w:color="auto"/>
              <w:right w:val="single" w:sz="4" w:space="0" w:color="auto"/>
            </w:tcBorders>
            <w:hideMark/>
          </w:tcPr>
          <w:p w14:paraId="7287D7C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06EF158"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 or</w:t>
            </w:r>
            <w:r w:rsidRPr="00727DFA">
              <w:rPr>
                <w:rFonts w:eastAsia="DengXian"/>
                <w:szCs w:val="24"/>
              </w:rPr>
              <w:t xml:space="preserve"> cycloserine, epilepsy, depression, severe anxiety, psychotic states, concurrent use </w:t>
            </w:r>
            <w:r>
              <w:rPr>
                <w:rFonts w:eastAsia="DengXian"/>
                <w:szCs w:val="24"/>
              </w:rPr>
              <w:t xml:space="preserve">of </w:t>
            </w:r>
            <w:r w:rsidRPr="00727DFA">
              <w:rPr>
                <w:rFonts w:eastAsia="DengXian"/>
                <w:szCs w:val="24"/>
              </w:rPr>
              <w:t>alcohol</w:t>
            </w:r>
            <w:r>
              <w:rPr>
                <w:rFonts w:eastAsia="DengXian"/>
                <w:szCs w:val="24"/>
              </w:rPr>
              <w:t>.</w:t>
            </w:r>
          </w:p>
        </w:tc>
      </w:tr>
      <w:tr w:rsidR="007B485D" w:rsidRPr="00727DFA" w14:paraId="3A33304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212547"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9A0002A" w14:textId="77777777" w:rsidR="007B485D" w:rsidRPr="00727DFA" w:rsidRDefault="007B485D" w:rsidP="002D6DD7">
            <w:pPr>
              <w:jc w:val="both"/>
              <w:rPr>
                <w:rFonts w:eastAsia="DengXian"/>
                <w:szCs w:val="24"/>
              </w:rPr>
            </w:pPr>
            <w:r w:rsidRPr="00727DFA">
              <w:rPr>
                <w:rFonts w:eastAsia="DengXian"/>
                <w:szCs w:val="24"/>
              </w:rPr>
              <w:t xml:space="preserve">Alcohol, isoniazid, ethionamide, </w:t>
            </w:r>
            <w:r>
              <w:rPr>
                <w:rFonts w:eastAsia="DengXian"/>
                <w:szCs w:val="24"/>
              </w:rPr>
              <w:t>s</w:t>
            </w:r>
            <w:r w:rsidRPr="00727DFA">
              <w:rPr>
                <w:rFonts w:eastAsia="DengXian"/>
                <w:szCs w:val="24"/>
              </w:rPr>
              <w:t>tavudine, didanosine, high fat meal</w:t>
            </w:r>
            <w:r>
              <w:rPr>
                <w:rFonts w:eastAsia="DengXian"/>
                <w:szCs w:val="24"/>
              </w:rPr>
              <w:t>.</w:t>
            </w:r>
          </w:p>
        </w:tc>
      </w:tr>
      <w:tr w:rsidR="007B485D" w:rsidRPr="00727DFA" w14:paraId="192E2B4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CF4E7C"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402C437" w14:textId="77777777" w:rsidR="007B485D" w:rsidRPr="00727DFA" w:rsidRDefault="007B485D" w:rsidP="002D6DD7">
            <w:pPr>
              <w:jc w:val="both"/>
              <w:rPr>
                <w:rFonts w:eastAsia="DengXian"/>
                <w:szCs w:val="24"/>
              </w:rPr>
            </w:pPr>
            <w:r w:rsidRPr="00727DFA">
              <w:rPr>
                <w:rFonts w:eastAsia="DengXian"/>
                <w:szCs w:val="24"/>
              </w:rPr>
              <w:t xml:space="preserve">Cardiac arrhythmias, and sudden development of congestive heart failure, headache, tremor, dysarthria, vertigo, paresthesia, peripheral neuropathy, depression, confusion, seizure, anxiety, nervousness, drowsiness, dizziness, somnolence, lethargy, Vitamin </w:t>
            </w:r>
            <w:r w:rsidRPr="00727DFA">
              <w:rPr>
                <w:rFonts w:eastAsia="DengXian"/>
                <w:szCs w:val="24"/>
              </w:rPr>
              <w:lastRenderedPageBreak/>
              <w:t>B</w:t>
            </w:r>
            <w:r w:rsidRPr="00727DFA">
              <w:rPr>
                <w:rFonts w:eastAsia="DengXian"/>
                <w:szCs w:val="24"/>
                <w:vertAlign w:val="subscript"/>
              </w:rPr>
              <w:t xml:space="preserve">12 </w:t>
            </w:r>
            <w:r w:rsidRPr="00727DFA">
              <w:rPr>
                <w:rFonts w:eastAsia="DengXian"/>
                <w:szCs w:val="24"/>
              </w:rPr>
              <w:t>and/or folic acid deficiency, megaloblastic anemia or sideroblastic anemia, rash and photosensitivity, Stevens-Johnson syndrome</w:t>
            </w:r>
            <w:r>
              <w:rPr>
                <w:rFonts w:eastAsia="DengXian"/>
                <w:szCs w:val="24"/>
              </w:rPr>
              <w:t>.</w:t>
            </w:r>
          </w:p>
        </w:tc>
      </w:tr>
      <w:tr w:rsidR="007B485D" w:rsidRPr="00727DFA" w14:paraId="3E06CEB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B400117"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1769A37" w14:textId="77777777" w:rsidR="007B485D" w:rsidRPr="00727DFA" w:rsidRDefault="007B485D" w:rsidP="002D6DD7">
            <w:pPr>
              <w:jc w:val="both"/>
              <w:rPr>
                <w:rFonts w:eastAsia="DengXian"/>
                <w:szCs w:val="24"/>
              </w:rPr>
            </w:pPr>
            <w:r w:rsidRPr="00727DFA">
              <w:rPr>
                <w:rFonts w:eastAsia="DengXian"/>
                <w:szCs w:val="24"/>
              </w:rPr>
              <w:t>Pregnancy, breastfeeding, renal impairment, personality change</w:t>
            </w:r>
            <w:r>
              <w:rPr>
                <w:rFonts w:eastAsia="DengXian"/>
                <w:szCs w:val="24"/>
              </w:rPr>
              <w:t>.</w:t>
            </w:r>
          </w:p>
        </w:tc>
      </w:tr>
      <w:tr w:rsidR="007B485D" w:rsidRPr="00727DFA" w14:paraId="539718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34950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A44FC7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r w:rsidRPr="00727DFA">
              <w:rPr>
                <w:rFonts w:eastAsia="DengXian"/>
                <w:szCs w:val="24"/>
              </w:rPr>
              <w:t xml:space="preserve"> </w:t>
            </w:r>
          </w:p>
        </w:tc>
      </w:tr>
    </w:tbl>
    <w:p w14:paraId="66A45446" w14:textId="77777777" w:rsidR="007B485D" w:rsidRPr="004A23D0" w:rsidRDefault="007B485D" w:rsidP="004A23D0">
      <w:pPr>
        <w:spacing w:before="240"/>
        <w:rPr>
          <w:rFonts w:eastAsia="DengXian Light"/>
          <w:b/>
          <w:lang w:val="fr-FR"/>
        </w:rPr>
      </w:pPr>
      <w:r w:rsidRPr="004A23D0">
        <w:rPr>
          <w:rFonts w:eastAsia="DengXian Light"/>
          <w:b/>
        </w:rPr>
        <w:t>Antileprotic</w:t>
      </w:r>
      <w:r w:rsidRPr="004A23D0">
        <w:rPr>
          <w:rFonts w:eastAsia="DengXian Light"/>
          <w:b/>
          <w:lang w:val="fr-FR"/>
        </w:rPr>
        <w:t xml:space="preserve"> medicines </w:t>
      </w:r>
    </w:p>
    <w:p w14:paraId="4941FE43" w14:textId="77777777" w:rsidR="007B485D" w:rsidRPr="00A857D5" w:rsidRDefault="007B485D" w:rsidP="007B485D">
      <w:pPr>
        <w:pStyle w:val="BodyText"/>
        <w:spacing w:line="360" w:lineRule="auto"/>
      </w:pPr>
      <w:r w:rsidRPr="00A857D5">
        <w:t>Leprosy</w:t>
      </w:r>
      <w:r w:rsidRPr="00A857D5">
        <w:rPr>
          <w:spacing w:val="1"/>
        </w:rPr>
        <w:t xml:space="preserve"> </w:t>
      </w:r>
      <w:r w:rsidRPr="00A857D5">
        <w:t>(Hansen's</w:t>
      </w:r>
      <w:r w:rsidRPr="00A857D5">
        <w:rPr>
          <w:spacing w:val="1"/>
        </w:rPr>
        <w:t xml:space="preserve"> </w:t>
      </w:r>
      <w:r w:rsidRPr="00A857D5">
        <w:t>disease)</w:t>
      </w:r>
      <w:r w:rsidRPr="00A857D5">
        <w:rPr>
          <w:spacing w:val="1"/>
        </w:rPr>
        <w:t xml:space="preserve"> </w:t>
      </w:r>
      <w:r w:rsidRPr="00A857D5">
        <w:t>is</w:t>
      </w:r>
      <w:r w:rsidRPr="00A857D5">
        <w:rPr>
          <w:spacing w:val="1"/>
        </w:rPr>
        <w:t xml:space="preserve"> </w:t>
      </w:r>
      <w:r w:rsidRPr="00A857D5">
        <w:t>a</w:t>
      </w:r>
      <w:r w:rsidRPr="00A857D5">
        <w:rPr>
          <w:spacing w:val="1"/>
        </w:rPr>
        <w:t xml:space="preserve"> </w:t>
      </w:r>
      <w:r w:rsidRPr="00A857D5">
        <w:t>chronic</w:t>
      </w:r>
      <w:r w:rsidRPr="00A857D5">
        <w:rPr>
          <w:spacing w:val="1"/>
        </w:rPr>
        <w:t xml:space="preserve"> </w:t>
      </w:r>
      <w:r w:rsidRPr="00A857D5">
        <w:t>disease</w:t>
      </w:r>
      <w:r w:rsidRPr="00A857D5">
        <w:rPr>
          <w:spacing w:val="1"/>
        </w:rPr>
        <w:t xml:space="preserve"> </w:t>
      </w:r>
      <w:r w:rsidRPr="00A857D5">
        <w:t>caused</w:t>
      </w:r>
      <w:r w:rsidRPr="00A857D5">
        <w:rPr>
          <w:spacing w:val="1"/>
        </w:rPr>
        <w:t xml:space="preserve"> </w:t>
      </w:r>
      <w:r w:rsidRPr="00A857D5">
        <w:t>by</w:t>
      </w:r>
      <w:r w:rsidRPr="00A857D5">
        <w:rPr>
          <w:spacing w:val="1"/>
        </w:rPr>
        <w:t xml:space="preserve"> </w:t>
      </w:r>
      <w:r w:rsidRPr="00A857D5">
        <w:rPr>
          <w:i/>
        </w:rPr>
        <w:t>Mycobacterium leprae</w:t>
      </w:r>
      <w:r w:rsidRPr="00A857D5">
        <w:t>; it affects the peripheral nervous system,</w:t>
      </w:r>
      <w:r w:rsidRPr="00A857D5">
        <w:rPr>
          <w:spacing w:val="1"/>
        </w:rPr>
        <w:t xml:space="preserve"> </w:t>
      </w:r>
      <w:r w:rsidRPr="00A857D5">
        <w:t>the skin, and some other tissues.</w:t>
      </w:r>
      <w:r w:rsidRPr="00A857D5">
        <w:rPr>
          <w:spacing w:val="1"/>
        </w:rPr>
        <w:t xml:space="preserve"> </w:t>
      </w:r>
      <w:r w:rsidRPr="00A857D5">
        <w:t>It is transmitted from person to</w:t>
      </w:r>
      <w:r w:rsidRPr="00A857D5">
        <w:rPr>
          <w:spacing w:val="-57"/>
        </w:rPr>
        <w:t xml:space="preserve"> </w:t>
      </w:r>
      <w:r w:rsidRPr="00A857D5">
        <w:t>person when bacilli are shed from the nose and skin lesions of</w:t>
      </w:r>
      <w:r w:rsidRPr="00A857D5">
        <w:rPr>
          <w:spacing w:val="1"/>
        </w:rPr>
        <w:t xml:space="preserve"> </w:t>
      </w:r>
      <w:r w:rsidRPr="00A857D5">
        <w:t>infected</w:t>
      </w:r>
      <w:r w:rsidRPr="00A857D5">
        <w:rPr>
          <w:spacing w:val="1"/>
        </w:rPr>
        <w:t xml:space="preserve"> </w:t>
      </w:r>
      <w:r w:rsidRPr="00A857D5">
        <w:t>patients,</w:t>
      </w:r>
      <w:r w:rsidRPr="00A857D5">
        <w:rPr>
          <w:spacing w:val="1"/>
        </w:rPr>
        <w:t xml:space="preserve"> </w:t>
      </w:r>
      <w:r w:rsidRPr="00A857D5">
        <w:t>but</w:t>
      </w:r>
      <w:r w:rsidRPr="00A857D5">
        <w:rPr>
          <w:spacing w:val="1"/>
        </w:rPr>
        <w:t xml:space="preserve"> </w:t>
      </w:r>
      <w:r w:rsidRPr="00A857D5">
        <w:t>most</w:t>
      </w:r>
      <w:r w:rsidRPr="00A857D5">
        <w:rPr>
          <w:spacing w:val="1"/>
        </w:rPr>
        <w:t xml:space="preserve"> </w:t>
      </w:r>
      <w:r w:rsidRPr="00A857D5">
        <w:t>individuals</w:t>
      </w:r>
      <w:r w:rsidRPr="00A857D5">
        <w:rPr>
          <w:spacing w:val="1"/>
        </w:rPr>
        <w:t xml:space="preserve"> </w:t>
      </w:r>
      <w:r w:rsidRPr="00A857D5">
        <w:t>are</w:t>
      </w:r>
      <w:r w:rsidRPr="00A857D5">
        <w:rPr>
          <w:spacing w:val="60"/>
        </w:rPr>
        <w:t xml:space="preserve"> </w:t>
      </w:r>
      <w:r w:rsidRPr="00A857D5">
        <w:t>naturally immune,</w:t>
      </w:r>
      <w:r w:rsidRPr="00A857D5">
        <w:rPr>
          <w:spacing w:val="-57"/>
        </w:rPr>
        <w:t xml:space="preserve"> </w:t>
      </w:r>
      <w:r w:rsidRPr="00A857D5">
        <w:t>and symptoms are suppressed. For treatment purposes patients</w:t>
      </w:r>
      <w:r w:rsidRPr="00A857D5">
        <w:rPr>
          <w:spacing w:val="1"/>
        </w:rPr>
        <w:t xml:space="preserve"> </w:t>
      </w:r>
      <w:r w:rsidRPr="00A857D5">
        <w:t>may</w:t>
      </w:r>
      <w:r w:rsidRPr="00A857D5">
        <w:rPr>
          <w:spacing w:val="1"/>
        </w:rPr>
        <w:t xml:space="preserve"> </w:t>
      </w:r>
      <w:r w:rsidRPr="00A857D5">
        <w:t>be</w:t>
      </w:r>
      <w:r w:rsidRPr="00A857D5">
        <w:rPr>
          <w:spacing w:val="1"/>
        </w:rPr>
        <w:t xml:space="preserve"> </w:t>
      </w:r>
      <w:r w:rsidRPr="00A857D5">
        <w:t>classified</w:t>
      </w:r>
      <w:r w:rsidRPr="00A857D5">
        <w:rPr>
          <w:spacing w:val="1"/>
        </w:rPr>
        <w:t xml:space="preserve"> </w:t>
      </w:r>
      <w:r w:rsidRPr="00A857D5">
        <w:t>as</w:t>
      </w:r>
      <w:r w:rsidRPr="00A857D5">
        <w:rPr>
          <w:spacing w:val="1"/>
        </w:rPr>
        <w:t xml:space="preserve"> </w:t>
      </w:r>
      <w:r w:rsidRPr="00A857D5">
        <w:t>having</w:t>
      </w:r>
      <w:r w:rsidRPr="00A857D5">
        <w:rPr>
          <w:spacing w:val="1"/>
        </w:rPr>
        <w:t xml:space="preserve"> </w:t>
      </w:r>
      <w:r w:rsidRPr="00A857D5">
        <w:t>paucibacillary</w:t>
      </w:r>
      <w:r w:rsidRPr="00A857D5">
        <w:rPr>
          <w:spacing w:val="1"/>
        </w:rPr>
        <w:t xml:space="preserve"> </w:t>
      </w:r>
      <w:r w:rsidRPr="00A857D5">
        <w:t>(PB)</w:t>
      </w:r>
      <w:r w:rsidRPr="00A857D5">
        <w:rPr>
          <w:spacing w:val="61"/>
        </w:rPr>
        <w:t xml:space="preserve"> </w:t>
      </w:r>
      <w:r w:rsidRPr="00A857D5">
        <w:t>or</w:t>
      </w:r>
      <w:r w:rsidRPr="00A857D5">
        <w:rPr>
          <w:spacing w:val="1"/>
        </w:rPr>
        <w:t xml:space="preserve"> </w:t>
      </w:r>
      <w:r w:rsidRPr="00A857D5">
        <w:t>multibacillary (MB) leprosy.</w:t>
      </w:r>
      <w:r w:rsidRPr="00A857D5">
        <w:rPr>
          <w:spacing w:val="1"/>
        </w:rPr>
        <w:t xml:space="preserve"> </w:t>
      </w:r>
      <w:r w:rsidRPr="00A857D5">
        <w:t>The 2 forms may be distinguished</w:t>
      </w:r>
      <w:r w:rsidRPr="00A857D5">
        <w:rPr>
          <w:spacing w:val="1"/>
        </w:rPr>
        <w:t xml:space="preserve"> </w:t>
      </w:r>
      <w:r w:rsidRPr="00A857D5">
        <w:t>by skin smears, but facilities are not always available to process</w:t>
      </w:r>
      <w:r w:rsidRPr="00A857D5">
        <w:rPr>
          <w:spacing w:val="1"/>
        </w:rPr>
        <w:t xml:space="preserve"> </w:t>
      </w:r>
      <w:r w:rsidRPr="00A857D5">
        <w:t>them</w:t>
      </w:r>
      <w:r w:rsidRPr="00A857D5">
        <w:rPr>
          <w:spacing w:val="-1"/>
        </w:rPr>
        <w:t xml:space="preserve"> </w:t>
      </w:r>
      <w:r w:rsidRPr="00A857D5">
        <w:t>and their</w:t>
      </w:r>
      <w:r w:rsidRPr="00A857D5">
        <w:rPr>
          <w:spacing w:val="-1"/>
        </w:rPr>
        <w:t xml:space="preserve"> </w:t>
      </w:r>
      <w:r w:rsidRPr="00A857D5">
        <w:t>reliability</w:t>
      </w:r>
      <w:r w:rsidRPr="00A857D5">
        <w:rPr>
          <w:spacing w:val="-3"/>
        </w:rPr>
        <w:t xml:space="preserve"> </w:t>
      </w:r>
      <w:r w:rsidRPr="00A857D5">
        <w:t>is often doubtful.</w:t>
      </w:r>
    </w:p>
    <w:p w14:paraId="03C41B59" w14:textId="77777777" w:rsidR="007B485D" w:rsidRPr="00A857D5" w:rsidRDefault="007B485D" w:rsidP="007B485D">
      <w:pPr>
        <w:pStyle w:val="BodyText"/>
        <w:tabs>
          <w:tab w:val="left" w:pos="6594"/>
        </w:tabs>
        <w:spacing w:line="360" w:lineRule="auto"/>
      </w:pPr>
      <w:r w:rsidRPr="00A857D5">
        <w:t>Drugs</w:t>
      </w:r>
      <w:r w:rsidRPr="00A857D5">
        <w:rPr>
          <w:spacing w:val="11"/>
        </w:rPr>
        <w:t xml:space="preserve"> </w:t>
      </w:r>
      <w:r w:rsidRPr="00A857D5">
        <w:t>recommended</w:t>
      </w:r>
      <w:r>
        <w:t xml:space="preserve"> for leprosy treatment</w:t>
      </w:r>
      <w:r w:rsidRPr="00A857D5">
        <w:rPr>
          <w:spacing w:val="11"/>
        </w:rPr>
        <w:t xml:space="preserve"> </w:t>
      </w:r>
      <w:r w:rsidRPr="00A857D5">
        <w:t>are</w:t>
      </w:r>
      <w:r w:rsidRPr="00A857D5">
        <w:rPr>
          <w:spacing w:val="12"/>
        </w:rPr>
        <w:t xml:space="preserve"> </w:t>
      </w:r>
      <w:r w:rsidRPr="00A857D5">
        <w:t>dapsone,</w:t>
      </w:r>
      <w:r w:rsidRPr="00A857D5">
        <w:rPr>
          <w:spacing w:val="11"/>
        </w:rPr>
        <w:t xml:space="preserve"> </w:t>
      </w:r>
      <w:r w:rsidRPr="00A857D5">
        <w:t>rifampicin</w:t>
      </w:r>
      <w:r w:rsidRPr="00A857D5">
        <w:rPr>
          <w:spacing w:val="14"/>
        </w:rPr>
        <w:t xml:space="preserve"> </w:t>
      </w:r>
      <w:r w:rsidRPr="00A857D5">
        <w:t>and</w:t>
      </w:r>
      <w:r w:rsidRPr="00A857D5">
        <w:rPr>
          <w:spacing w:val="13"/>
        </w:rPr>
        <w:t xml:space="preserve"> </w:t>
      </w:r>
      <w:r w:rsidRPr="00A857D5">
        <w:t>clofazimine.</w:t>
      </w:r>
      <w:r w:rsidRPr="00A857D5">
        <w:rPr>
          <w:spacing w:val="1"/>
        </w:rPr>
        <w:t xml:space="preserve"> </w:t>
      </w:r>
      <w:r w:rsidRPr="00A857D5">
        <w:t>A three-drug regimen is recommended for multibacillary leprosy</w:t>
      </w:r>
      <w:r w:rsidRPr="00A857D5">
        <w:rPr>
          <w:spacing w:val="-57"/>
        </w:rPr>
        <w:t xml:space="preserve"> </w:t>
      </w:r>
      <w:r w:rsidRPr="00A857D5">
        <w:t>and</w:t>
      </w:r>
      <w:r w:rsidRPr="00A857D5">
        <w:rPr>
          <w:spacing w:val="18"/>
        </w:rPr>
        <w:t xml:space="preserve"> </w:t>
      </w:r>
      <w:r w:rsidRPr="00A857D5">
        <w:t>a</w:t>
      </w:r>
      <w:r w:rsidRPr="00A857D5">
        <w:rPr>
          <w:spacing w:val="17"/>
        </w:rPr>
        <w:t xml:space="preserve"> </w:t>
      </w:r>
      <w:r w:rsidRPr="00A857D5">
        <w:t>two</w:t>
      </w:r>
      <w:r w:rsidRPr="00A857D5">
        <w:rPr>
          <w:spacing w:val="18"/>
        </w:rPr>
        <w:t>-drug</w:t>
      </w:r>
      <w:r w:rsidRPr="00A857D5">
        <w:rPr>
          <w:spacing w:val="15"/>
        </w:rPr>
        <w:t xml:space="preserve"> </w:t>
      </w:r>
      <w:r w:rsidRPr="00A857D5">
        <w:t>regimen</w:t>
      </w:r>
      <w:r w:rsidRPr="00A857D5">
        <w:rPr>
          <w:spacing w:val="21"/>
        </w:rPr>
        <w:t xml:space="preserve"> </w:t>
      </w:r>
      <w:r w:rsidRPr="00A857D5">
        <w:t>for</w:t>
      </w:r>
      <w:r w:rsidRPr="00A857D5">
        <w:rPr>
          <w:spacing w:val="17"/>
        </w:rPr>
        <w:t xml:space="preserve"> </w:t>
      </w:r>
      <w:r w:rsidRPr="00A857D5">
        <w:t>paucibacillary</w:t>
      </w:r>
      <w:r w:rsidRPr="00A857D5">
        <w:rPr>
          <w:spacing w:val="11"/>
        </w:rPr>
        <w:t xml:space="preserve"> </w:t>
      </w:r>
      <w:r w:rsidRPr="00A857D5">
        <w:t>leprosy.</w:t>
      </w:r>
      <w:r w:rsidRPr="00A857D5">
        <w:rPr>
          <w:spacing w:val="20"/>
        </w:rPr>
        <w:t xml:space="preserve"> </w:t>
      </w:r>
      <w:r w:rsidRPr="00A857D5">
        <w:t>Any</w:t>
      </w:r>
      <w:r w:rsidRPr="00A857D5">
        <w:rPr>
          <w:spacing w:val="12"/>
        </w:rPr>
        <w:t xml:space="preserve"> </w:t>
      </w:r>
      <w:r w:rsidRPr="00A857D5">
        <w:t>patient</w:t>
      </w:r>
      <w:r w:rsidRPr="00A857D5">
        <w:rPr>
          <w:spacing w:val="-57"/>
        </w:rPr>
        <w:t xml:space="preserve"> </w:t>
      </w:r>
      <w:r w:rsidRPr="00A857D5">
        <w:t>with</w:t>
      </w:r>
      <w:r w:rsidRPr="00A857D5">
        <w:rPr>
          <w:spacing w:val="14"/>
        </w:rPr>
        <w:t xml:space="preserve"> </w:t>
      </w:r>
      <w:r w:rsidRPr="00A857D5">
        <w:t>a</w:t>
      </w:r>
      <w:r w:rsidRPr="00A857D5">
        <w:rPr>
          <w:spacing w:val="14"/>
        </w:rPr>
        <w:t xml:space="preserve"> </w:t>
      </w:r>
      <w:r w:rsidRPr="00A857D5">
        <w:t>positive</w:t>
      </w:r>
      <w:r w:rsidRPr="00A857D5">
        <w:rPr>
          <w:spacing w:val="14"/>
        </w:rPr>
        <w:t xml:space="preserve"> </w:t>
      </w:r>
      <w:r w:rsidRPr="00A857D5">
        <w:t>skin</w:t>
      </w:r>
      <w:r w:rsidRPr="00A857D5">
        <w:rPr>
          <w:spacing w:val="15"/>
        </w:rPr>
        <w:t xml:space="preserve"> </w:t>
      </w:r>
      <w:r w:rsidRPr="00A857D5">
        <w:t>smear</w:t>
      </w:r>
      <w:r w:rsidRPr="00A857D5">
        <w:rPr>
          <w:spacing w:val="15"/>
        </w:rPr>
        <w:t xml:space="preserve"> </w:t>
      </w:r>
      <w:r w:rsidRPr="00A857D5">
        <w:t>should</w:t>
      </w:r>
      <w:r w:rsidRPr="00A857D5">
        <w:rPr>
          <w:spacing w:val="14"/>
        </w:rPr>
        <w:t xml:space="preserve"> </w:t>
      </w:r>
      <w:r w:rsidRPr="00A857D5">
        <w:t>be</w:t>
      </w:r>
      <w:r w:rsidRPr="00A857D5">
        <w:rPr>
          <w:spacing w:val="14"/>
        </w:rPr>
        <w:t xml:space="preserve"> </w:t>
      </w:r>
      <w:r w:rsidRPr="00A857D5">
        <w:t>treated</w:t>
      </w:r>
      <w:r w:rsidRPr="00A857D5">
        <w:rPr>
          <w:spacing w:val="15"/>
        </w:rPr>
        <w:t xml:space="preserve"> </w:t>
      </w:r>
      <w:r w:rsidRPr="00A857D5">
        <w:t>with</w:t>
      </w:r>
      <w:r w:rsidRPr="00A857D5">
        <w:rPr>
          <w:spacing w:val="18"/>
        </w:rPr>
        <w:t xml:space="preserve"> </w:t>
      </w:r>
      <w:r w:rsidRPr="00A857D5">
        <w:t>the</w:t>
      </w:r>
      <w:r w:rsidRPr="00A857D5">
        <w:rPr>
          <w:spacing w:val="14"/>
        </w:rPr>
        <w:t xml:space="preserve"> </w:t>
      </w:r>
      <w:r w:rsidRPr="00A857D5">
        <w:t>multidrug</w:t>
      </w:r>
      <w:r w:rsidRPr="00A857D5">
        <w:rPr>
          <w:spacing w:val="-57"/>
        </w:rPr>
        <w:t xml:space="preserve"> </w:t>
      </w:r>
      <w:r w:rsidRPr="00A857D5">
        <w:t>therapy</w:t>
      </w:r>
      <w:r w:rsidRPr="00A857D5">
        <w:rPr>
          <w:spacing w:val="20"/>
        </w:rPr>
        <w:t xml:space="preserve"> </w:t>
      </w:r>
      <w:r w:rsidRPr="00A857D5">
        <w:t>regimen</w:t>
      </w:r>
      <w:r w:rsidRPr="00A857D5">
        <w:rPr>
          <w:spacing w:val="26"/>
        </w:rPr>
        <w:t xml:space="preserve"> </w:t>
      </w:r>
      <w:r w:rsidRPr="00A857D5">
        <w:t>for</w:t>
      </w:r>
      <w:r w:rsidRPr="00A857D5">
        <w:rPr>
          <w:spacing w:val="23"/>
        </w:rPr>
        <w:t xml:space="preserve"> </w:t>
      </w:r>
      <w:r w:rsidRPr="00A857D5">
        <w:t>MB</w:t>
      </w:r>
      <w:r w:rsidRPr="00A857D5">
        <w:rPr>
          <w:spacing w:val="23"/>
        </w:rPr>
        <w:t xml:space="preserve"> </w:t>
      </w:r>
      <w:r w:rsidRPr="00A857D5">
        <w:t>leprosy.</w:t>
      </w:r>
      <w:r w:rsidRPr="00A857D5">
        <w:rPr>
          <w:spacing w:val="50"/>
        </w:rPr>
        <w:t xml:space="preserve"> </w:t>
      </w:r>
      <w:r w:rsidRPr="00A857D5">
        <w:t>The</w:t>
      </w:r>
      <w:r w:rsidRPr="00A857D5">
        <w:rPr>
          <w:spacing w:val="25"/>
        </w:rPr>
        <w:t xml:space="preserve"> </w:t>
      </w:r>
      <w:r w:rsidRPr="00A857D5">
        <w:t>regimen</w:t>
      </w:r>
      <w:r w:rsidRPr="00A857D5">
        <w:rPr>
          <w:spacing w:val="26"/>
        </w:rPr>
        <w:t xml:space="preserve"> </w:t>
      </w:r>
      <w:r w:rsidRPr="00A857D5">
        <w:t>for</w:t>
      </w:r>
      <w:r w:rsidRPr="00A857D5">
        <w:rPr>
          <w:spacing w:val="22"/>
        </w:rPr>
        <w:t xml:space="preserve"> </w:t>
      </w:r>
      <w:r w:rsidRPr="00A857D5">
        <w:t>PB</w:t>
      </w:r>
      <w:r w:rsidRPr="00A857D5">
        <w:rPr>
          <w:spacing w:val="22"/>
        </w:rPr>
        <w:t xml:space="preserve"> </w:t>
      </w:r>
      <w:r w:rsidRPr="00A857D5">
        <w:t>leprosy</w:t>
      </w:r>
      <w:r>
        <w:t xml:space="preserve"> </w:t>
      </w:r>
      <w:r w:rsidRPr="00A857D5">
        <w:rPr>
          <w:spacing w:val="-57"/>
        </w:rPr>
        <w:t>should</w:t>
      </w:r>
      <w:r w:rsidRPr="00A857D5">
        <w:rPr>
          <w:spacing w:val="84"/>
        </w:rPr>
        <w:t xml:space="preserve"> </w:t>
      </w:r>
      <w:r w:rsidRPr="00A857D5">
        <w:t>never</w:t>
      </w:r>
      <w:r w:rsidRPr="00A857D5">
        <w:rPr>
          <w:spacing w:val="84"/>
        </w:rPr>
        <w:t xml:space="preserve"> </w:t>
      </w:r>
      <w:r w:rsidRPr="00A857D5">
        <w:t>be</w:t>
      </w:r>
      <w:r w:rsidRPr="00A857D5">
        <w:rPr>
          <w:spacing w:val="86"/>
        </w:rPr>
        <w:t xml:space="preserve"> </w:t>
      </w:r>
      <w:r w:rsidRPr="00A857D5">
        <w:t>given</w:t>
      </w:r>
      <w:r w:rsidRPr="00A857D5">
        <w:rPr>
          <w:spacing w:val="87"/>
        </w:rPr>
        <w:t xml:space="preserve"> </w:t>
      </w:r>
      <w:r w:rsidRPr="00A857D5">
        <w:t>to</w:t>
      </w:r>
      <w:r w:rsidRPr="00A857D5">
        <w:rPr>
          <w:spacing w:val="85"/>
        </w:rPr>
        <w:t xml:space="preserve"> </w:t>
      </w:r>
      <w:r w:rsidRPr="00A857D5">
        <w:t>a</w:t>
      </w:r>
      <w:r w:rsidRPr="00A857D5">
        <w:rPr>
          <w:spacing w:val="84"/>
        </w:rPr>
        <w:t xml:space="preserve"> </w:t>
      </w:r>
      <w:r w:rsidRPr="00A857D5">
        <w:t>patient</w:t>
      </w:r>
      <w:r w:rsidRPr="00A857D5">
        <w:rPr>
          <w:spacing w:val="85"/>
        </w:rPr>
        <w:t xml:space="preserve"> </w:t>
      </w:r>
      <w:r w:rsidRPr="00A857D5">
        <w:t>with</w:t>
      </w:r>
      <w:r w:rsidRPr="00A857D5">
        <w:rPr>
          <w:spacing w:val="85"/>
        </w:rPr>
        <w:t xml:space="preserve"> </w:t>
      </w:r>
      <w:r w:rsidRPr="00A857D5">
        <w:t>MB</w:t>
      </w:r>
      <w:r w:rsidRPr="00A857D5">
        <w:rPr>
          <w:spacing w:val="82"/>
        </w:rPr>
        <w:t xml:space="preserve"> </w:t>
      </w:r>
      <w:r w:rsidRPr="00A857D5">
        <w:t>leprosy. If</w:t>
      </w:r>
      <w:r w:rsidRPr="00A857D5">
        <w:rPr>
          <w:spacing w:val="-57"/>
        </w:rPr>
        <w:t xml:space="preserve"> </w:t>
      </w:r>
      <w:r>
        <w:rPr>
          <w:spacing w:val="-57"/>
        </w:rPr>
        <w:t xml:space="preserve">  </w:t>
      </w:r>
      <w:r w:rsidRPr="00A857D5">
        <w:t>diagnosis</w:t>
      </w:r>
      <w:r w:rsidRPr="00A857D5">
        <w:rPr>
          <w:spacing w:val="34"/>
        </w:rPr>
        <w:t xml:space="preserve"> </w:t>
      </w:r>
      <w:r w:rsidRPr="00A857D5">
        <w:t>in</w:t>
      </w:r>
      <w:r w:rsidRPr="00A857D5">
        <w:rPr>
          <w:spacing w:val="34"/>
        </w:rPr>
        <w:t xml:space="preserve"> </w:t>
      </w:r>
      <w:r w:rsidRPr="00A857D5">
        <w:t>a</w:t>
      </w:r>
      <w:r w:rsidRPr="00A857D5">
        <w:rPr>
          <w:spacing w:val="33"/>
        </w:rPr>
        <w:t xml:space="preserve"> </w:t>
      </w:r>
      <w:r w:rsidRPr="00A857D5">
        <w:t>particular</w:t>
      </w:r>
      <w:r w:rsidRPr="00A857D5">
        <w:rPr>
          <w:spacing w:val="35"/>
        </w:rPr>
        <w:t xml:space="preserve"> </w:t>
      </w:r>
      <w:r w:rsidRPr="00A857D5">
        <w:t>patient</w:t>
      </w:r>
      <w:r w:rsidRPr="00A857D5">
        <w:rPr>
          <w:spacing w:val="34"/>
        </w:rPr>
        <w:t xml:space="preserve"> </w:t>
      </w:r>
      <w:r w:rsidRPr="00A857D5">
        <w:t>is</w:t>
      </w:r>
      <w:r w:rsidRPr="00A857D5">
        <w:rPr>
          <w:spacing w:val="34"/>
        </w:rPr>
        <w:t xml:space="preserve"> </w:t>
      </w:r>
      <w:r w:rsidRPr="00A857D5">
        <w:t>not</w:t>
      </w:r>
      <w:r w:rsidRPr="00A857D5">
        <w:rPr>
          <w:spacing w:val="34"/>
        </w:rPr>
        <w:t xml:space="preserve"> </w:t>
      </w:r>
      <w:r w:rsidRPr="00A857D5">
        <w:t>possible</w:t>
      </w:r>
      <w:r w:rsidRPr="00A857D5">
        <w:rPr>
          <w:spacing w:val="34"/>
        </w:rPr>
        <w:t xml:space="preserve"> </w:t>
      </w:r>
      <w:r w:rsidRPr="00A857D5">
        <w:t>the</w:t>
      </w:r>
      <w:r w:rsidRPr="00A857D5">
        <w:rPr>
          <w:spacing w:val="33"/>
        </w:rPr>
        <w:t xml:space="preserve"> </w:t>
      </w:r>
      <w:r w:rsidRPr="00A857D5">
        <w:t>multi</w:t>
      </w:r>
      <w:r w:rsidRPr="00A857D5">
        <w:rPr>
          <w:spacing w:val="34"/>
        </w:rPr>
        <w:t xml:space="preserve"> </w:t>
      </w:r>
      <w:r w:rsidRPr="00A857D5">
        <w:t>drug</w:t>
      </w:r>
      <w:r w:rsidRPr="00A857D5">
        <w:rPr>
          <w:spacing w:val="-57"/>
        </w:rPr>
        <w:t xml:space="preserve"> </w:t>
      </w:r>
      <w:r w:rsidRPr="00A857D5">
        <w:t>therapy</w:t>
      </w:r>
      <w:r w:rsidRPr="00A857D5">
        <w:rPr>
          <w:spacing w:val="-5"/>
        </w:rPr>
        <w:t xml:space="preserve"> </w:t>
      </w:r>
      <w:r w:rsidRPr="00A857D5">
        <w:t>regimen for</w:t>
      </w:r>
      <w:r w:rsidRPr="00A857D5">
        <w:rPr>
          <w:spacing w:val="-1"/>
        </w:rPr>
        <w:t xml:space="preserve"> </w:t>
      </w:r>
      <w:r w:rsidRPr="00A857D5">
        <w:t>MB leprosy</w:t>
      </w:r>
      <w:r w:rsidRPr="00A857D5">
        <w:rPr>
          <w:spacing w:val="-5"/>
        </w:rPr>
        <w:t xml:space="preserve"> </w:t>
      </w:r>
      <w:r w:rsidRPr="00A857D5">
        <w:t>must be</w:t>
      </w:r>
      <w:r w:rsidRPr="00A857D5">
        <w:rPr>
          <w:spacing w:val="-1"/>
        </w:rPr>
        <w:t xml:space="preserve"> </w:t>
      </w:r>
      <w:r w:rsidRPr="00A857D5">
        <w:t>used.</w:t>
      </w:r>
    </w:p>
    <w:tbl>
      <w:tblPr>
        <w:tblStyle w:val="TableGrid"/>
        <w:tblpPr w:leftFromText="180" w:rightFromText="180" w:horzAnchor="margin" w:tblpY="1305"/>
        <w:tblW w:w="9355" w:type="dxa"/>
        <w:tblLook w:val="04A0" w:firstRow="1" w:lastRow="0" w:firstColumn="1" w:lastColumn="0" w:noHBand="0" w:noVBand="1"/>
      </w:tblPr>
      <w:tblGrid>
        <w:gridCol w:w="2610"/>
        <w:gridCol w:w="6745"/>
      </w:tblGrid>
      <w:tr w:rsidR="007B485D" w:rsidRPr="00A857D5" w14:paraId="31D9BAA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559D1FE" w14:textId="77777777" w:rsidR="007B485D" w:rsidRPr="00727DFA" w:rsidRDefault="007B485D" w:rsidP="002D6DD7">
            <w:pPr>
              <w:jc w:val="both"/>
              <w:rPr>
                <w:rFonts w:eastAsia="DengXian"/>
                <w:szCs w:val="24"/>
              </w:rPr>
            </w:pPr>
            <w:r w:rsidRPr="00727DFA">
              <w:rPr>
                <w:rFonts w:eastAsia="DengXian"/>
                <w:b/>
                <w:bCs/>
                <w:szCs w:val="24"/>
              </w:rPr>
              <w:t>Clofazimine</w:t>
            </w:r>
          </w:p>
        </w:tc>
      </w:tr>
      <w:tr w:rsidR="007B485D" w:rsidRPr="00A857D5" w14:paraId="431D0A1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8D9F65B" w14:textId="77777777" w:rsidR="007B485D" w:rsidRPr="00727DFA" w:rsidRDefault="007B485D" w:rsidP="002D6DD7">
            <w:pPr>
              <w:jc w:val="both"/>
              <w:rPr>
                <w:rFonts w:eastAsia="DengXian"/>
                <w:bCs/>
                <w:szCs w:val="24"/>
              </w:rPr>
            </w:pPr>
            <w:r w:rsidRPr="00727DFA">
              <w:rPr>
                <w:rFonts w:eastAsia="DengXian"/>
                <w:bCs/>
                <w:szCs w:val="24"/>
              </w:rPr>
              <w:lastRenderedPageBreak/>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CCCAD31" w14:textId="77777777" w:rsidR="007B485D" w:rsidRPr="00727DFA" w:rsidRDefault="007B485D" w:rsidP="002D6DD7">
            <w:pPr>
              <w:jc w:val="both"/>
              <w:rPr>
                <w:rFonts w:eastAsia="DengXian"/>
                <w:szCs w:val="24"/>
              </w:rPr>
            </w:pPr>
            <w:r w:rsidRPr="00727DFA">
              <w:rPr>
                <w:rFonts w:eastAsia="DengXian"/>
                <w:szCs w:val="24"/>
              </w:rPr>
              <w:t>Phenazine dye</w:t>
            </w:r>
          </w:p>
        </w:tc>
      </w:tr>
      <w:tr w:rsidR="007B485D" w:rsidRPr="00A857D5" w14:paraId="34245F6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C19E82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8EC1668" w14:textId="77777777" w:rsidR="007B485D" w:rsidRPr="00727DFA" w:rsidRDefault="007B485D" w:rsidP="002D6DD7">
            <w:pPr>
              <w:jc w:val="both"/>
              <w:rPr>
                <w:rFonts w:eastAsia="DengXian"/>
                <w:szCs w:val="24"/>
              </w:rPr>
            </w:pPr>
            <w:r w:rsidRPr="00A857D5">
              <w:rPr>
                <w:rFonts w:eastAsia="DengXian"/>
                <w:szCs w:val="24"/>
              </w:rPr>
              <w:t>Capsule</w:t>
            </w:r>
            <w:r w:rsidRPr="00727DFA">
              <w:rPr>
                <w:rFonts w:eastAsia="DengXian"/>
                <w:szCs w:val="24"/>
              </w:rPr>
              <w:t xml:space="preserve">: 50mg,100mg </w:t>
            </w:r>
          </w:p>
        </w:tc>
      </w:tr>
      <w:tr w:rsidR="007B485D" w:rsidRPr="00A857D5" w14:paraId="2BF1114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26C1701"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7BB6A7D" w14:textId="77777777" w:rsidR="007B485D" w:rsidRPr="00727DFA" w:rsidRDefault="007B485D" w:rsidP="002D6DD7">
            <w:pPr>
              <w:jc w:val="both"/>
              <w:rPr>
                <w:rFonts w:eastAsia="DengXian"/>
                <w:szCs w:val="24"/>
              </w:rPr>
            </w:pPr>
            <w:r w:rsidRPr="00A857D5">
              <w:rPr>
                <w:rFonts w:eastAsia="DengXian"/>
                <w:szCs w:val="24"/>
              </w:rPr>
              <w:t xml:space="preserve">Multibacillary and paucibacillary leprosy in combination with rifampicin and dapsone (3-drug regimen), </w:t>
            </w:r>
            <w:r w:rsidRPr="00A857D5">
              <w:rPr>
                <w:rStyle w:val="fontstyle01"/>
                <w:rFonts w:ascii="Times New Roman" w:hAnsi="Times New Roman"/>
                <w:sz w:val="24"/>
                <w:szCs w:val="24"/>
              </w:rPr>
              <w:t>lepromatous lepra reactions, severe type II (erythema nodosum leprosum) reactions</w:t>
            </w:r>
            <w:r>
              <w:rPr>
                <w:rStyle w:val="fontstyle01"/>
                <w:rFonts w:ascii="Times New Roman" w:hAnsi="Times New Roman"/>
                <w:sz w:val="24"/>
                <w:szCs w:val="24"/>
              </w:rPr>
              <w:t>.</w:t>
            </w:r>
          </w:p>
        </w:tc>
      </w:tr>
      <w:tr w:rsidR="007B485D" w:rsidRPr="00A857D5" w14:paraId="735A461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A2FCE4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708F6DE" w14:textId="77777777" w:rsidR="007B485D" w:rsidRPr="00A857D5" w:rsidRDefault="007B485D" w:rsidP="002D6DD7">
            <w:pPr>
              <w:jc w:val="both"/>
              <w:rPr>
                <w:rFonts w:eastAsia="DengXian"/>
                <w:b/>
                <w:bCs/>
                <w:szCs w:val="24"/>
              </w:rPr>
            </w:pPr>
            <w:r w:rsidRPr="00A857D5">
              <w:rPr>
                <w:rFonts w:eastAsia="DengXian"/>
                <w:b/>
                <w:bCs/>
                <w:szCs w:val="24"/>
              </w:rPr>
              <w:t xml:space="preserve">Multibacillary leprosy (for 12 months) and Paucibacillary leprosy (for 6 months) in combination with rifampicin and </w:t>
            </w:r>
          </w:p>
          <w:p w14:paraId="2DF39FA1" w14:textId="77777777" w:rsidR="007B485D" w:rsidRPr="00A857D5" w:rsidRDefault="007B485D" w:rsidP="002D6DD7">
            <w:pPr>
              <w:jc w:val="both"/>
              <w:rPr>
                <w:rStyle w:val="fontstyle41"/>
                <w:rFonts w:ascii="Times New Roman" w:eastAsia="DengXian" w:hAnsi="Times New Roman"/>
                <w:b/>
                <w:bCs/>
                <w:sz w:val="24"/>
                <w:szCs w:val="24"/>
              </w:rPr>
            </w:pPr>
            <w:r w:rsidRPr="00A857D5">
              <w:rPr>
                <w:rFonts w:eastAsia="DengXian"/>
                <w:b/>
                <w:bCs/>
                <w:szCs w:val="24"/>
              </w:rPr>
              <w:t>Dapsone; oral</w:t>
            </w:r>
            <w:r>
              <w:rPr>
                <w:rFonts w:eastAsia="DengXian"/>
                <w:b/>
                <w:bCs/>
                <w:szCs w:val="24"/>
              </w:rPr>
              <w:t>:</w:t>
            </w:r>
          </w:p>
          <w:p w14:paraId="763FBC6D"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Adult:</w:t>
            </w:r>
            <w:r w:rsidRPr="00A857D5">
              <w:rPr>
                <w:rStyle w:val="fontstyle61"/>
                <w:rFonts w:ascii="Times New Roman" w:hAnsi="Times New Roman"/>
                <w:sz w:val="24"/>
                <w:szCs w:val="24"/>
              </w:rPr>
              <w:t xml:space="preserve"> 300 mg once a month, to be administered under</w:t>
            </w:r>
            <w:r w:rsidRPr="00A857D5">
              <w:rPr>
                <w:rStyle w:val="fontstyle61"/>
                <w:rFonts w:ascii="Times New Roman" w:hAnsi="Times New Roman"/>
                <w:sz w:val="24"/>
                <w:szCs w:val="24"/>
              </w:rPr>
              <w:br/>
              <w:t>supervision and 50 mg daily, to be self-administered</w:t>
            </w:r>
          </w:p>
          <w:p w14:paraId="062C92BE"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(10– 14 years):</w:t>
            </w:r>
            <w:r w:rsidRPr="00A857D5">
              <w:rPr>
                <w:rStyle w:val="fontstyle61"/>
                <w:rFonts w:ascii="Times New Roman" w:hAnsi="Times New Roman"/>
                <w:sz w:val="24"/>
                <w:szCs w:val="24"/>
              </w:rPr>
              <w:t xml:space="preserve"> 150 mg once a month, 50 mg on alternate days</w:t>
            </w:r>
          </w:p>
          <w:p w14:paraId="77064149" w14:textId="77777777" w:rsidR="007B485D" w:rsidRPr="00A857D5" w:rsidRDefault="007B485D" w:rsidP="002D6DD7">
            <w:pPr>
              <w:jc w:val="both"/>
              <w:rPr>
                <w:rStyle w:val="fontstyle61"/>
                <w:rFonts w:ascii="Times New Roman" w:hAnsi="Times New Roman"/>
                <w:sz w:val="24"/>
                <w:szCs w:val="24"/>
              </w:rPr>
            </w:pPr>
          </w:p>
          <w:p w14:paraId="46038B8D"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&lt; 10 years or &lt;40kg:</w:t>
            </w:r>
            <w:r w:rsidRPr="00A857D5">
              <w:rPr>
                <w:rStyle w:val="fontstyle61"/>
                <w:rFonts w:ascii="Times New Roman" w:hAnsi="Times New Roman"/>
                <w:sz w:val="24"/>
                <w:szCs w:val="24"/>
              </w:rPr>
              <w:t xml:space="preserve"> 100 mg once a month, 50 mg on alternate days</w:t>
            </w:r>
          </w:p>
          <w:p w14:paraId="110D67C8" w14:textId="77777777" w:rsidR="007B485D" w:rsidRPr="00A857D5" w:rsidRDefault="007B485D" w:rsidP="002D6DD7">
            <w:pPr>
              <w:jc w:val="both"/>
              <w:rPr>
                <w:szCs w:val="24"/>
              </w:rPr>
            </w:pPr>
          </w:p>
          <w:p w14:paraId="4A53290A" w14:textId="77777777" w:rsidR="007B485D" w:rsidRPr="00727DFA" w:rsidRDefault="007B485D" w:rsidP="002D6DD7">
            <w:pPr>
              <w:jc w:val="both"/>
              <w:rPr>
                <w:rFonts w:eastAsia="DengXian"/>
                <w:szCs w:val="24"/>
              </w:rPr>
            </w:pPr>
          </w:p>
        </w:tc>
      </w:tr>
      <w:tr w:rsidR="007B485D" w:rsidRPr="00A857D5" w14:paraId="11E1F0A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940AC6F"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1241FB9"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clofazimine (anti-</w:t>
            </w:r>
            <w:r>
              <w:rPr>
                <w:rFonts w:eastAsia="DengXian"/>
                <w:szCs w:val="24"/>
              </w:rPr>
              <w:t>tuberculosis</w:t>
            </w:r>
            <w:r w:rsidRPr="00A857D5">
              <w:rPr>
                <w:rFonts w:eastAsia="DengXian"/>
                <w:szCs w:val="24"/>
              </w:rPr>
              <w:t>)</w:t>
            </w:r>
            <w:r>
              <w:rPr>
                <w:rFonts w:eastAsia="DengXian"/>
                <w:szCs w:val="24"/>
              </w:rPr>
              <w:t>.</w:t>
            </w:r>
          </w:p>
        </w:tc>
      </w:tr>
      <w:tr w:rsidR="007B485D" w:rsidRPr="00A857D5" w14:paraId="0A13D59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3D9CE4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5CB0F38"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clofazimine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59E015F4" w14:textId="77777777" w:rsidTr="002D6DD7">
        <w:trPr>
          <w:trHeight w:hRule="exact" w:val="478"/>
        </w:trPr>
        <w:tc>
          <w:tcPr>
            <w:tcW w:w="2610" w:type="dxa"/>
            <w:tcBorders>
              <w:top w:val="single" w:sz="4" w:space="0" w:color="auto"/>
              <w:left w:val="single" w:sz="4" w:space="0" w:color="auto"/>
              <w:bottom w:val="single" w:sz="4" w:space="0" w:color="auto"/>
              <w:right w:val="single" w:sz="4" w:space="0" w:color="auto"/>
            </w:tcBorders>
            <w:hideMark/>
          </w:tcPr>
          <w:p w14:paraId="35F62AF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FDB4482"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clofazimine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1AEB93D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4B70C9C"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D6B5D6A"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clofazimine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6DD7D57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A92400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7AFC9A7" w14:textId="77777777" w:rsidR="007B485D" w:rsidRPr="00727DFA" w:rsidRDefault="007B485D" w:rsidP="002D6DD7">
            <w:pPr>
              <w:jc w:val="both"/>
              <w:rPr>
                <w:rFonts w:eastAsia="DengXian"/>
                <w:szCs w:val="24"/>
              </w:rPr>
            </w:pPr>
            <w:r w:rsidRPr="00727DFA">
              <w:rPr>
                <w:rFonts w:eastAsia="DengXian"/>
                <w:szCs w:val="24"/>
              </w:rPr>
              <w:t>Store below 30 ºC</w:t>
            </w:r>
            <w:r>
              <w:rPr>
                <w:rFonts w:eastAsia="DengXian"/>
                <w:szCs w:val="24"/>
              </w:rPr>
              <w:t>.</w:t>
            </w:r>
          </w:p>
        </w:tc>
      </w:tr>
      <w:tr w:rsidR="007B485D" w:rsidRPr="00A857D5" w14:paraId="0FEA3558" w14:textId="77777777" w:rsidTr="002D6DD7">
        <w:tc>
          <w:tcPr>
            <w:tcW w:w="9355" w:type="dxa"/>
            <w:gridSpan w:val="2"/>
            <w:tcBorders>
              <w:top w:val="single" w:sz="4" w:space="0" w:color="auto"/>
              <w:left w:val="single" w:sz="4" w:space="0" w:color="auto"/>
              <w:bottom w:val="single" w:sz="4" w:space="0" w:color="auto"/>
              <w:right w:val="single" w:sz="4" w:space="0" w:color="auto"/>
            </w:tcBorders>
          </w:tcPr>
          <w:p w14:paraId="0C255994" w14:textId="77777777" w:rsidR="007B485D" w:rsidRPr="00A857D5" w:rsidRDefault="007B485D" w:rsidP="002D6DD7">
            <w:pPr>
              <w:jc w:val="both"/>
              <w:rPr>
                <w:rFonts w:eastAsia="DengXian"/>
                <w:szCs w:val="24"/>
              </w:rPr>
            </w:pPr>
            <w:r w:rsidRPr="00A857D5">
              <w:rPr>
                <w:rFonts w:eastAsia="DengXian"/>
                <w:b/>
                <w:bCs/>
                <w:szCs w:val="24"/>
              </w:rPr>
              <w:t>Dapsone</w:t>
            </w:r>
          </w:p>
        </w:tc>
      </w:tr>
      <w:tr w:rsidR="007B485D" w:rsidRPr="00A857D5" w14:paraId="15A6F861" w14:textId="77777777" w:rsidTr="002D6DD7">
        <w:tc>
          <w:tcPr>
            <w:tcW w:w="2610" w:type="dxa"/>
            <w:tcBorders>
              <w:top w:val="single" w:sz="4" w:space="0" w:color="auto"/>
              <w:left w:val="single" w:sz="4" w:space="0" w:color="auto"/>
              <w:bottom w:val="single" w:sz="4" w:space="0" w:color="auto"/>
              <w:right w:val="single" w:sz="4" w:space="0" w:color="auto"/>
            </w:tcBorders>
          </w:tcPr>
          <w:p w14:paraId="270D3BC0" w14:textId="77777777" w:rsidR="007B485D" w:rsidRPr="00A857D5" w:rsidRDefault="007B485D" w:rsidP="002D6DD7">
            <w:pPr>
              <w:jc w:val="both"/>
              <w:rPr>
                <w:rFonts w:eastAsia="DengXian"/>
                <w:bCs/>
                <w:szCs w:val="24"/>
              </w:rPr>
            </w:pPr>
            <w:r w:rsidRPr="00A857D5">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tcPr>
          <w:p w14:paraId="41B9F2DE" w14:textId="77777777" w:rsidR="007B485D" w:rsidRPr="00A857D5" w:rsidRDefault="007B485D" w:rsidP="002D6DD7">
            <w:pPr>
              <w:jc w:val="both"/>
              <w:rPr>
                <w:rFonts w:eastAsia="DengXian"/>
                <w:szCs w:val="24"/>
              </w:rPr>
            </w:pPr>
            <w:r w:rsidRPr="00A857D5">
              <w:rPr>
                <w:rFonts w:eastAsia="DengXian"/>
                <w:szCs w:val="24"/>
              </w:rPr>
              <w:t>Aniline derivative</w:t>
            </w:r>
          </w:p>
        </w:tc>
      </w:tr>
      <w:tr w:rsidR="007B485D" w:rsidRPr="00A857D5" w14:paraId="5701B272" w14:textId="77777777" w:rsidTr="002D6DD7">
        <w:tc>
          <w:tcPr>
            <w:tcW w:w="2610" w:type="dxa"/>
            <w:tcBorders>
              <w:top w:val="single" w:sz="4" w:space="0" w:color="auto"/>
              <w:left w:val="single" w:sz="4" w:space="0" w:color="auto"/>
              <w:bottom w:val="single" w:sz="4" w:space="0" w:color="auto"/>
              <w:right w:val="single" w:sz="4" w:space="0" w:color="auto"/>
            </w:tcBorders>
          </w:tcPr>
          <w:p w14:paraId="419370E3" w14:textId="77777777" w:rsidR="007B485D" w:rsidRPr="00A857D5"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tcPr>
          <w:p w14:paraId="505E9186" w14:textId="77777777" w:rsidR="007B485D" w:rsidRPr="00A857D5" w:rsidRDefault="007B485D" w:rsidP="002D6DD7">
            <w:pPr>
              <w:jc w:val="both"/>
              <w:rPr>
                <w:rFonts w:eastAsia="DengXian"/>
                <w:szCs w:val="24"/>
              </w:rPr>
            </w:pPr>
            <w:r w:rsidRPr="00A857D5">
              <w:rPr>
                <w:rFonts w:eastAsia="Times New Roman"/>
                <w:color w:val="000000"/>
                <w:szCs w:val="24"/>
                <w:lang w:val="fr-FR"/>
              </w:rPr>
              <w:t>Tablet : 25mg, 50mg, 100mg</w:t>
            </w:r>
          </w:p>
        </w:tc>
      </w:tr>
      <w:tr w:rsidR="007B485D" w:rsidRPr="00A857D5" w14:paraId="268C0B52" w14:textId="77777777" w:rsidTr="002D6DD7">
        <w:tc>
          <w:tcPr>
            <w:tcW w:w="2610" w:type="dxa"/>
            <w:tcBorders>
              <w:top w:val="single" w:sz="4" w:space="0" w:color="auto"/>
              <w:left w:val="single" w:sz="4" w:space="0" w:color="auto"/>
              <w:bottom w:val="single" w:sz="4" w:space="0" w:color="auto"/>
              <w:right w:val="single" w:sz="4" w:space="0" w:color="auto"/>
            </w:tcBorders>
          </w:tcPr>
          <w:p w14:paraId="7727A769" w14:textId="77777777" w:rsidR="007B485D" w:rsidRPr="00A857D5"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tcPr>
          <w:p w14:paraId="474E6BD8" w14:textId="77777777" w:rsidR="007B485D" w:rsidRPr="00A857D5" w:rsidRDefault="007B485D" w:rsidP="002D6DD7">
            <w:pPr>
              <w:jc w:val="both"/>
              <w:rPr>
                <w:rFonts w:eastAsia="Times New Roman"/>
                <w:color w:val="000000"/>
                <w:szCs w:val="24"/>
                <w:lang w:val="fr-FR"/>
              </w:rPr>
            </w:pPr>
            <w:r w:rsidRPr="00A857D5">
              <w:rPr>
                <w:rFonts w:eastAsia="DengXian"/>
                <w:szCs w:val="24"/>
              </w:rPr>
              <w:t xml:space="preserve">Multibacillary and paucibacillary leprosy in combination with rifampicin and dapsone (3-drug regimen), </w:t>
            </w:r>
            <w:r>
              <w:rPr>
                <w:rFonts w:eastAsia="DengXian"/>
                <w:szCs w:val="24"/>
              </w:rPr>
              <w:t>d</w:t>
            </w:r>
            <w:r w:rsidRPr="00A857D5">
              <w:rPr>
                <w:rFonts w:eastAsia="Times New Roman"/>
                <w:color w:val="000000"/>
                <w:szCs w:val="24"/>
                <w:lang w:val="fr-FR"/>
              </w:rPr>
              <w:t>ermatitis herpetiformis,</w:t>
            </w:r>
          </w:p>
        </w:tc>
      </w:tr>
      <w:tr w:rsidR="007B485D" w:rsidRPr="00A857D5" w14:paraId="57A1D22F" w14:textId="77777777" w:rsidTr="002D6DD7">
        <w:tc>
          <w:tcPr>
            <w:tcW w:w="2610" w:type="dxa"/>
            <w:tcBorders>
              <w:top w:val="single" w:sz="4" w:space="0" w:color="auto"/>
              <w:left w:val="single" w:sz="4" w:space="0" w:color="auto"/>
              <w:bottom w:val="single" w:sz="4" w:space="0" w:color="auto"/>
              <w:right w:val="single" w:sz="4" w:space="0" w:color="auto"/>
            </w:tcBorders>
          </w:tcPr>
          <w:p w14:paraId="659B1810" w14:textId="77777777" w:rsidR="007B485D" w:rsidRPr="00A857D5" w:rsidRDefault="007B485D" w:rsidP="002D6DD7">
            <w:pPr>
              <w:jc w:val="both"/>
              <w:rPr>
                <w:rFonts w:eastAsia="DengXian"/>
                <w:bCs/>
                <w:szCs w:val="24"/>
              </w:rPr>
            </w:pPr>
            <w:r w:rsidRPr="00A857D5">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tcPr>
          <w:p w14:paraId="09F6FE66" w14:textId="77777777" w:rsidR="007B485D" w:rsidRPr="00A857D5" w:rsidRDefault="007B485D" w:rsidP="002D6DD7">
            <w:pPr>
              <w:jc w:val="both"/>
              <w:rPr>
                <w:rFonts w:eastAsia="DengXian"/>
                <w:b/>
                <w:bCs/>
                <w:szCs w:val="24"/>
              </w:rPr>
            </w:pPr>
            <w:r w:rsidRPr="00A857D5">
              <w:rPr>
                <w:rFonts w:eastAsia="DengXian"/>
                <w:b/>
                <w:bCs/>
                <w:szCs w:val="24"/>
              </w:rPr>
              <w:t xml:space="preserve">Multibacillary leprosy (for 12 months) and Paucibacillary leprosy (for 6 months) in combination with rifampicin and </w:t>
            </w:r>
          </w:p>
          <w:p w14:paraId="638A47B3" w14:textId="77777777" w:rsidR="007B485D" w:rsidRPr="00A857D5" w:rsidRDefault="007B485D" w:rsidP="002D6DD7">
            <w:pPr>
              <w:jc w:val="both"/>
              <w:rPr>
                <w:rFonts w:eastAsia="DengXian"/>
                <w:b/>
                <w:bCs/>
                <w:szCs w:val="24"/>
              </w:rPr>
            </w:pPr>
            <w:r w:rsidRPr="00A857D5">
              <w:rPr>
                <w:rFonts w:eastAsia="DengXian"/>
                <w:b/>
                <w:bCs/>
                <w:szCs w:val="24"/>
              </w:rPr>
              <w:t xml:space="preserve">clofazimine, Oral: </w:t>
            </w:r>
          </w:p>
          <w:p w14:paraId="4AED8427"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lastRenderedPageBreak/>
              <w:t>Adult:</w:t>
            </w:r>
            <w:r w:rsidRPr="00A857D5">
              <w:rPr>
                <w:rStyle w:val="fontstyle61"/>
                <w:rFonts w:ascii="Times New Roman" w:hAnsi="Times New Roman"/>
                <w:sz w:val="24"/>
                <w:szCs w:val="24"/>
              </w:rPr>
              <w:t xml:space="preserve"> 100 mg daily, to be self-administered</w:t>
            </w:r>
          </w:p>
          <w:p w14:paraId="14F3BC1D"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(10– 14 years):</w:t>
            </w:r>
            <w:r w:rsidRPr="00A857D5">
              <w:rPr>
                <w:rStyle w:val="fontstyle61"/>
                <w:rFonts w:ascii="Times New Roman" w:hAnsi="Times New Roman"/>
                <w:sz w:val="24"/>
                <w:szCs w:val="24"/>
              </w:rPr>
              <w:t xml:space="preserve"> 50 mg daily</w:t>
            </w:r>
          </w:p>
          <w:p w14:paraId="6584663F" w14:textId="77777777" w:rsidR="007B485D" w:rsidRPr="00A857D5" w:rsidRDefault="007B485D" w:rsidP="002D6DD7">
            <w:pPr>
              <w:jc w:val="both"/>
              <w:rPr>
                <w:rStyle w:val="fontstyle61"/>
                <w:rFonts w:ascii="Times New Roman" w:hAnsi="Times New Roman"/>
                <w:sz w:val="24"/>
                <w:szCs w:val="24"/>
              </w:rPr>
            </w:pPr>
          </w:p>
          <w:p w14:paraId="23536431"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&lt; 10 years or &lt;40kg:</w:t>
            </w:r>
            <w:r w:rsidRPr="00A857D5">
              <w:rPr>
                <w:rStyle w:val="fontstyle61"/>
                <w:rFonts w:ascii="Times New Roman" w:hAnsi="Times New Roman"/>
                <w:sz w:val="24"/>
                <w:szCs w:val="24"/>
              </w:rPr>
              <w:t xml:space="preserve"> 2mg/kg daily</w:t>
            </w:r>
          </w:p>
          <w:p w14:paraId="51377574" w14:textId="77777777" w:rsidR="007B485D" w:rsidRPr="00A857D5" w:rsidRDefault="007B485D" w:rsidP="002D6DD7">
            <w:pPr>
              <w:jc w:val="both"/>
              <w:rPr>
                <w:rFonts w:eastAsia="Times New Roman"/>
                <w:color w:val="000000"/>
                <w:szCs w:val="24"/>
              </w:rPr>
            </w:pPr>
            <w:r w:rsidRPr="004A23D0">
              <w:rPr>
                <w:bCs/>
                <w:i/>
                <w:color w:val="231F20"/>
                <w:szCs w:val="24"/>
              </w:rPr>
              <w:t>Note:</w:t>
            </w:r>
            <w:r w:rsidRPr="00A857D5">
              <w:rPr>
                <w:color w:val="231F20"/>
                <w:szCs w:val="24"/>
              </w:rPr>
              <w:t xml:space="preserve"> </w:t>
            </w:r>
            <w:r w:rsidRPr="00873AF2">
              <w:rPr>
                <w:i/>
                <w:iCs/>
                <w:color w:val="231F20"/>
                <w:szCs w:val="24"/>
              </w:rPr>
              <w:t>Folic acid (higher dose) should be given to mother throughout pregnancy</w:t>
            </w:r>
          </w:p>
        </w:tc>
      </w:tr>
      <w:tr w:rsidR="007B485D" w:rsidRPr="00A857D5" w14:paraId="1437ADE3" w14:textId="77777777" w:rsidTr="002D6DD7">
        <w:tc>
          <w:tcPr>
            <w:tcW w:w="2610" w:type="dxa"/>
            <w:tcBorders>
              <w:top w:val="single" w:sz="4" w:space="0" w:color="auto"/>
              <w:left w:val="single" w:sz="4" w:space="0" w:color="auto"/>
              <w:bottom w:val="single" w:sz="4" w:space="0" w:color="auto"/>
              <w:right w:val="single" w:sz="4" w:space="0" w:color="auto"/>
            </w:tcBorders>
          </w:tcPr>
          <w:p w14:paraId="76093641" w14:textId="77777777" w:rsidR="007B485D" w:rsidRPr="00A857D5"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tcPr>
          <w:p w14:paraId="5A734C01" w14:textId="77777777" w:rsidR="007B485D" w:rsidRPr="00A857D5" w:rsidRDefault="007B485D" w:rsidP="002D6DD7">
            <w:pPr>
              <w:pStyle w:val="BodyText"/>
              <w:spacing w:line="360" w:lineRule="auto"/>
              <w:ind w:right="294"/>
              <w:rPr>
                <w:rFonts w:eastAsia="DengXian"/>
                <w:lang w:val="en-GB" w:eastAsia="ko-KR"/>
              </w:rPr>
            </w:pPr>
            <w:r w:rsidRPr="00A857D5">
              <w:rPr>
                <w:rFonts w:eastAsia="DengXian"/>
                <w:lang w:val="en-GB" w:eastAsia="ko-KR"/>
              </w:rPr>
              <w:t>Hypersensitivity to</w:t>
            </w:r>
            <w:r>
              <w:rPr>
                <w:rFonts w:eastAsia="DengXian"/>
                <w:lang w:val="en-GB" w:eastAsia="ko-KR"/>
              </w:rPr>
              <w:t xml:space="preserve"> dapsone or other</w:t>
            </w:r>
            <w:r w:rsidRPr="00A857D5">
              <w:rPr>
                <w:rFonts w:eastAsia="DengXian"/>
                <w:lang w:val="en-GB" w:eastAsia="ko-KR"/>
              </w:rPr>
              <w:t xml:space="preserve"> sulfones, severe anaemia, porphyria, G6PD deficiency</w:t>
            </w:r>
          </w:p>
        </w:tc>
      </w:tr>
      <w:tr w:rsidR="007B485D" w:rsidRPr="00A857D5" w14:paraId="6681D877" w14:textId="77777777" w:rsidTr="002D6DD7">
        <w:tc>
          <w:tcPr>
            <w:tcW w:w="2610" w:type="dxa"/>
            <w:tcBorders>
              <w:top w:val="single" w:sz="4" w:space="0" w:color="auto"/>
              <w:left w:val="single" w:sz="4" w:space="0" w:color="auto"/>
              <w:bottom w:val="single" w:sz="4" w:space="0" w:color="auto"/>
              <w:right w:val="single" w:sz="4" w:space="0" w:color="auto"/>
            </w:tcBorders>
          </w:tcPr>
          <w:p w14:paraId="3716AA0B" w14:textId="77777777" w:rsidR="007B485D" w:rsidRPr="00A857D5"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tcPr>
          <w:p w14:paraId="7B8633E5" w14:textId="77777777" w:rsidR="007B485D" w:rsidRPr="00A857D5" w:rsidRDefault="007B485D" w:rsidP="002D6DD7">
            <w:pPr>
              <w:jc w:val="both"/>
              <w:rPr>
                <w:rFonts w:eastAsia="DengXian"/>
                <w:szCs w:val="24"/>
              </w:rPr>
            </w:pPr>
            <w:r w:rsidRPr="00A857D5">
              <w:rPr>
                <w:rFonts w:eastAsia="DengXian"/>
                <w:szCs w:val="24"/>
              </w:rPr>
              <w:t>Aluminium hydroxide, calcium carbonate, famotidine, lansoproazole, sodium bicarbonate</w:t>
            </w:r>
            <w:r w:rsidRPr="00A857D5">
              <w:rPr>
                <w:rFonts w:eastAsia="DengXian"/>
                <w:b/>
                <w:bCs/>
                <w:szCs w:val="24"/>
              </w:rPr>
              <w:t xml:space="preserve">, </w:t>
            </w:r>
            <w:r w:rsidRPr="00873AF2">
              <w:rPr>
                <w:rFonts w:eastAsia="DengXian"/>
                <w:szCs w:val="24"/>
              </w:rPr>
              <w:t>rifampicin, probenecid</w:t>
            </w:r>
            <w:r>
              <w:rPr>
                <w:rFonts w:eastAsia="DengXian"/>
                <w:szCs w:val="24"/>
              </w:rPr>
              <w:t>.</w:t>
            </w:r>
          </w:p>
        </w:tc>
      </w:tr>
      <w:tr w:rsidR="007B485D" w:rsidRPr="00A857D5" w14:paraId="6250ADC6" w14:textId="77777777" w:rsidTr="002D6DD7">
        <w:tc>
          <w:tcPr>
            <w:tcW w:w="2610" w:type="dxa"/>
            <w:tcBorders>
              <w:top w:val="single" w:sz="4" w:space="0" w:color="auto"/>
              <w:left w:val="single" w:sz="4" w:space="0" w:color="auto"/>
              <w:bottom w:val="single" w:sz="4" w:space="0" w:color="auto"/>
              <w:right w:val="single" w:sz="4" w:space="0" w:color="auto"/>
            </w:tcBorders>
          </w:tcPr>
          <w:p w14:paraId="1E5A4C3C" w14:textId="77777777" w:rsidR="007B485D" w:rsidRPr="00A857D5" w:rsidRDefault="007B485D" w:rsidP="002D6DD7">
            <w:pPr>
              <w:jc w:val="both"/>
              <w:rPr>
                <w:rFonts w:eastAsia="DengXian"/>
                <w:bCs/>
                <w:szCs w:val="24"/>
              </w:rPr>
            </w:pPr>
            <w:r w:rsidRPr="00A857D5">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tcPr>
          <w:p w14:paraId="092B6F12" w14:textId="77777777" w:rsidR="007B485D" w:rsidRPr="00A857D5" w:rsidRDefault="007B485D" w:rsidP="002D6DD7">
            <w:pPr>
              <w:jc w:val="both"/>
              <w:rPr>
                <w:rFonts w:eastAsiaTheme="minorHAnsi"/>
                <w:color w:val="231F20"/>
                <w:szCs w:val="24"/>
                <w14:ligatures w14:val="standardContextual"/>
              </w:rPr>
            </w:pPr>
            <w:r w:rsidRPr="00A857D5">
              <w:rPr>
                <w:rFonts w:eastAsiaTheme="minorHAnsi"/>
                <w:color w:val="231F20"/>
                <w:szCs w:val="24"/>
                <w14:ligatures w14:val="standardContextual"/>
              </w:rPr>
              <w:t>Dapsone syndrome (rash with fever and eosinophilia may progress</w:t>
            </w:r>
            <w:r w:rsidRPr="00A857D5">
              <w:rPr>
                <w:rFonts w:eastAsiaTheme="minorHAnsi"/>
                <w:color w:val="231F20"/>
                <w:szCs w:val="24"/>
                <w14:ligatures w14:val="standardContextual"/>
              </w:rPr>
              <w:br/>
              <w:t xml:space="preserve">to exfoliative dermatitis, hepatitis, hypoalbuminaemia, psychosis and death), </w:t>
            </w:r>
            <w:r w:rsidRPr="00A857D5">
              <w:rPr>
                <w:rFonts w:eastAsiaTheme="minorHAnsi"/>
                <w:color w:val="242021"/>
                <w:szCs w:val="24"/>
                <w14:ligatures w14:val="standardContextual"/>
              </w:rPr>
              <w:t xml:space="preserve">GI irritation, photosensitivity, </w:t>
            </w:r>
            <w:r w:rsidRPr="00A857D5">
              <w:rPr>
                <w:rFonts w:eastAsiaTheme="minorHAnsi"/>
                <w:color w:val="242021"/>
                <w:szCs w:val="24"/>
              </w:rPr>
              <w:t>h</w:t>
            </w:r>
            <w:r w:rsidRPr="00A857D5">
              <w:rPr>
                <w:rFonts w:eastAsiaTheme="minorHAnsi"/>
                <w:color w:val="231F20"/>
                <w:szCs w:val="24"/>
              </w:rPr>
              <w:t>emolysis, methemoglobinemia, insomnia, headache</w:t>
            </w:r>
            <w:r>
              <w:rPr>
                <w:rFonts w:eastAsiaTheme="minorHAnsi"/>
                <w:color w:val="231F20"/>
                <w:szCs w:val="24"/>
              </w:rPr>
              <w:t>.</w:t>
            </w:r>
          </w:p>
        </w:tc>
      </w:tr>
      <w:tr w:rsidR="007B485D" w:rsidRPr="00A857D5" w14:paraId="11E0FA44" w14:textId="77777777" w:rsidTr="002D6DD7">
        <w:tc>
          <w:tcPr>
            <w:tcW w:w="2610" w:type="dxa"/>
            <w:tcBorders>
              <w:top w:val="single" w:sz="4" w:space="0" w:color="auto"/>
              <w:left w:val="single" w:sz="4" w:space="0" w:color="auto"/>
              <w:bottom w:val="single" w:sz="4" w:space="0" w:color="auto"/>
              <w:right w:val="single" w:sz="4" w:space="0" w:color="auto"/>
            </w:tcBorders>
          </w:tcPr>
          <w:p w14:paraId="4C277386" w14:textId="77777777" w:rsidR="007B485D" w:rsidRPr="00A857D5" w:rsidRDefault="007B485D" w:rsidP="002D6DD7">
            <w:pPr>
              <w:jc w:val="both"/>
              <w:rPr>
                <w:rFonts w:eastAsia="DengXian"/>
                <w:bCs/>
                <w:szCs w:val="24"/>
              </w:rPr>
            </w:pPr>
            <w:r w:rsidRPr="00A857D5">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tcPr>
          <w:p w14:paraId="2087B96B" w14:textId="77777777" w:rsidR="007B485D" w:rsidRPr="00A857D5" w:rsidRDefault="007B485D" w:rsidP="002D6DD7">
            <w:pPr>
              <w:jc w:val="both"/>
              <w:rPr>
                <w:color w:val="231F20"/>
                <w:szCs w:val="24"/>
              </w:rPr>
            </w:pPr>
            <w:r w:rsidRPr="00A857D5">
              <w:rPr>
                <w:color w:val="231F20"/>
                <w:szCs w:val="24"/>
              </w:rPr>
              <w:t xml:space="preserve">Hepatic impairment, pregnancy, breastfeeding, blood disorder, peripheral neuropathy, </w:t>
            </w:r>
            <w:r>
              <w:rPr>
                <w:color w:val="231F20"/>
                <w:szCs w:val="24"/>
              </w:rPr>
              <w:t xml:space="preserve">risk of </w:t>
            </w:r>
            <w:r w:rsidRPr="00A857D5">
              <w:rPr>
                <w:color w:val="231F20"/>
                <w:szCs w:val="24"/>
              </w:rPr>
              <w:t xml:space="preserve">superinfection, </w:t>
            </w:r>
            <w:r>
              <w:rPr>
                <w:szCs w:val="24"/>
              </w:rPr>
              <w:t xml:space="preserve">performing </w:t>
            </w:r>
            <w:r w:rsidRPr="00A857D5">
              <w:rPr>
                <w:color w:val="231F20"/>
                <w:szCs w:val="24"/>
              </w:rPr>
              <w:t>tasks requiring attention or</w:t>
            </w:r>
            <w:r>
              <w:rPr>
                <w:color w:val="231F20"/>
                <w:szCs w:val="24"/>
              </w:rPr>
              <w:t xml:space="preserve"> </w:t>
            </w:r>
            <w:r w:rsidRPr="00A857D5">
              <w:rPr>
                <w:color w:val="231F20"/>
                <w:szCs w:val="24"/>
              </w:rPr>
              <w:t>coordination</w:t>
            </w:r>
            <w:r>
              <w:rPr>
                <w:color w:val="231F20"/>
                <w:szCs w:val="24"/>
              </w:rPr>
              <w:t>.</w:t>
            </w:r>
          </w:p>
        </w:tc>
      </w:tr>
      <w:tr w:rsidR="007B485D" w:rsidRPr="00A857D5" w14:paraId="0CF3C279" w14:textId="77777777" w:rsidTr="002D6DD7">
        <w:tc>
          <w:tcPr>
            <w:tcW w:w="2610" w:type="dxa"/>
            <w:tcBorders>
              <w:top w:val="single" w:sz="4" w:space="0" w:color="auto"/>
              <w:left w:val="single" w:sz="4" w:space="0" w:color="auto"/>
              <w:bottom w:val="single" w:sz="4" w:space="0" w:color="auto"/>
              <w:right w:val="single" w:sz="4" w:space="0" w:color="auto"/>
            </w:tcBorders>
          </w:tcPr>
          <w:p w14:paraId="7EEDC59C" w14:textId="77777777" w:rsidR="007B485D" w:rsidRPr="00A857D5" w:rsidRDefault="007B485D" w:rsidP="002D6DD7">
            <w:pPr>
              <w:jc w:val="both"/>
              <w:rPr>
                <w:rFonts w:eastAsia="DengXian"/>
                <w:bCs/>
                <w:szCs w:val="24"/>
              </w:rPr>
            </w:pPr>
            <w:r w:rsidRPr="00A857D5">
              <w:rPr>
                <w:rFonts w:eastAsia="DengXian"/>
                <w:bCs/>
                <w:szCs w:val="24"/>
              </w:rPr>
              <w:t>Storage conditions</w:t>
            </w:r>
          </w:p>
        </w:tc>
        <w:tc>
          <w:tcPr>
            <w:tcW w:w="6745" w:type="dxa"/>
            <w:tcBorders>
              <w:top w:val="single" w:sz="4" w:space="0" w:color="auto"/>
              <w:left w:val="single" w:sz="4" w:space="0" w:color="auto"/>
              <w:bottom w:val="single" w:sz="4" w:space="0" w:color="auto"/>
              <w:right w:val="single" w:sz="4" w:space="0" w:color="auto"/>
            </w:tcBorders>
          </w:tcPr>
          <w:p w14:paraId="02C2F9BF" w14:textId="77777777" w:rsidR="007B485D" w:rsidRPr="00A857D5" w:rsidRDefault="007B485D" w:rsidP="002D6DD7">
            <w:pPr>
              <w:jc w:val="both"/>
              <w:rPr>
                <w:rFonts w:eastAsia="DengXian"/>
                <w:szCs w:val="24"/>
              </w:rPr>
            </w:pPr>
            <w:r w:rsidRPr="00A857D5">
              <w:rPr>
                <w:rFonts w:eastAsia="DengXian"/>
                <w:szCs w:val="24"/>
              </w:rPr>
              <w:t>Store below 30</w:t>
            </w:r>
            <w:r w:rsidRPr="00A857D5">
              <w:rPr>
                <w:rFonts w:eastAsia="DengXian"/>
                <w:szCs w:val="24"/>
                <w:vertAlign w:val="superscript"/>
              </w:rPr>
              <w:t>o</w:t>
            </w:r>
            <w:r w:rsidRPr="00A857D5">
              <w:rPr>
                <w:rFonts w:eastAsia="DengXian"/>
                <w:szCs w:val="24"/>
              </w:rPr>
              <w:t>C</w:t>
            </w:r>
            <w:r>
              <w:rPr>
                <w:rFonts w:eastAsia="DengXian"/>
                <w:szCs w:val="24"/>
              </w:rPr>
              <w:t>.</w:t>
            </w:r>
          </w:p>
        </w:tc>
      </w:tr>
      <w:tr w:rsidR="007B485D" w:rsidRPr="00A857D5" w14:paraId="66DFF142" w14:textId="77777777" w:rsidTr="002D6DD7">
        <w:trPr>
          <w:trHeight w:val="557"/>
        </w:trPr>
        <w:tc>
          <w:tcPr>
            <w:tcW w:w="9355" w:type="dxa"/>
            <w:gridSpan w:val="2"/>
            <w:tcBorders>
              <w:top w:val="single" w:sz="4" w:space="0" w:color="auto"/>
              <w:left w:val="single" w:sz="4" w:space="0" w:color="auto"/>
              <w:right w:val="single" w:sz="4" w:space="0" w:color="auto"/>
            </w:tcBorders>
            <w:hideMark/>
          </w:tcPr>
          <w:p w14:paraId="7E784444" w14:textId="77777777" w:rsidR="007B485D" w:rsidRPr="00727DFA" w:rsidRDefault="007B485D" w:rsidP="002D6DD7">
            <w:pPr>
              <w:jc w:val="both"/>
              <w:rPr>
                <w:rFonts w:eastAsia="DengXian"/>
                <w:szCs w:val="24"/>
              </w:rPr>
            </w:pPr>
            <w:r w:rsidRPr="00727DFA">
              <w:rPr>
                <w:rFonts w:eastAsia="DengXian"/>
                <w:b/>
                <w:bCs/>
                <w:szCs w:val="24"/>
              </w:rPr>
              <w:t>Rifampicin</w:t>
            </w:r>
          </w:p>
        </w:tc>
      </w:tr>
      <w:tr w:rsidR="007B485D" w:rsidRPr="00A857D5" w14:paraId="519287A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83758C1" w14:textId="77777777" w:rsidR="007B485D" w:rsidRPr="009E522A" w:rsidRDefault="007B485D" w:rsidP="002D6DD7">
            <w:pPr>
              <w:jc w:val="both"/>
              <w:rPr>
                <w:rFonts w:eastAsia="DengXian"/>
                <w:bCs/>
                <w:szCs w:val="24"/>
              </w:rPr>
            </w:pPr>
            <w:r w:rsidRPr="009E522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E54AD8B" w14:textId="77777777" w:rsidR="007B485D" w:rsidRPr="009E522A" w:rsidRDefault="007B485D" w:rsidP="002D6DD7">
            <w:pPr>
              <w:jc w:val="both"/>
              <w:rPr>
                <w:rFonts w:eastAsia="DengXian"/>
                <w:szCs w:val="24"/>
              </w:rPr>
            </w:pPr>
            <w:r w:rsidRPr="009E522A">
              <w:rPr>
                <w:rFonts w:eastAsia="DengXian"/>
                <w:szCs w:val="24"/>
              </w:rPr>
              <w:t>Rifamycin</w:t>
            </w:r>
          </w:p>
        </w:tc>
      </w:tr>
      <w:tr w:rsidR="007B485D" w:rsidRPr="00A857D5" w14:paraId="6DAEA35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D6A3F6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00EF4F5" w14:textId="77777777" w:rsidR="007B485D" w:rsidRPr="00727DFA" w:rsidRDefault="007B485D" w:rsidP="002D6DD7">
            <w:pPr>
              <w:jc w:val="both"/>
              <w:rPr>
                <w:rFonts w:eastAsia="DengXian"/>
                <w:szCs w:val="24"/>
              </w:rPr>
            </w:pPr>
            <w:r w:rsidRPr="00727DFA">
              <w:rPr>
                <w:rFonts w:eastAsia="DengXian"/>
                <w:szCs w:val="24"/>
              </w:rPr>
              <w:t>Oral liquid: 20 mg/ ml.</w:t>
            </w:r>
          </w:p>
          <w:p w14:paraId="08D8512B" w14:textId="77777777" w:rsidR="007B485D" w:rsidRPr="00727DFA" w:rsidRDefault="007B485D" w:rsidP="002D6DD7">
            <w:pPr>
              <w:jc w:val="both"/>
              <w:rPr>
                <w:rFonts w:eastAsia="DengXian"/>
                <w:szCs w:val="24"/>
              </w:rPr>
            </w:pPr>
            <w:r w:rsidRPr="00727DFA">
              <w:rPr>
                <w:rFonts w:eastAsia="DengXian"/>
                <w:szCs w:val="24"/>
              </w:rPr>
              <w:t>Solid oral dosage form: 150 mg; 300 mg</w:t>
            </w:r>
          </w:p>
        </w:tc>
      </w:tr>
      <w:tr w:rsidR="007B485D" w:rsidRPr="00A857D5" w14:paraId="69E4ACB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FBCBD02"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6ABDA5A" w14:textId="77777777" w:rsidR="007B485D" w:rsidRPr="00727DFA" w:rsidRDefault="007B485D" w:rsidP="002D6DD7">
            <w:pPr>
              <w:jc w:val="both"/>
              <w:rPr>
                <w:rFonts w:eastAsia="DengXian"/>
                <w:szCs w:val="24"/>
              </w:rPr>
            </w:pPr>
            <w:r w:rsidRPr="00A857D5">
              <w:rPr>
                <w:rFonts w:eastAsia="DengXian"/>
                <w:szCs w:val="24"/>
              </w:rPr>
              <w:t>Multibacillary and paucibacillary leprosy in combination with rifampicin and dapsone (3-drug regimen)</w:t>
            </w:r>
            <w:r>
              <w:rPr>
                <w:rFonts w:eastAsia="DengXian"/>
                <w:szCs w:val="24"/>
              </w:rPr>
              <w:t>.</w:t>
            </w:r>
          </w:p>
        </w:tc>
      </w:tr>
      <w:tr w:rsidR="007B485D" w:rsidRPr="00A857D5" w14:paraId="5FDECAE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4C322F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D21AEA1" w14:textId="77777777" w:rsidR="007B485D" w:rsidRPr="00A857D5" w:rsidRDefault="007B485D" w:rsidP="002D6DD7">
            <w:pPr>
              <w:jc w:val="both"/>
              <w:rPr>
                <w:rFonts w:eastAsia="DengXian"/>
                <w:b/>
                <w:bCs/>
                <w:szCs w:val="24"/>
              </w:rPr>
            </w:pPr>
            <w:r w:rsidRPr="00A857D5">
              <w:rPr>
                <w:rFonts w:eastAsia="DengXian"/>
                <w:b/>
                <w:bCs/>
                <w:szCs w:val="24"/>
              </w:rPr>
              <w:t xml:space="preserve">Multibacillary leprosy (for 12 months) and Paucibacillary leprosy (for 6 months) in combination with dapsone and </w:t>
            </w:r>
          </w:p>
          <w:p w14:paraId="20354037" w14:textId="77777777" w:rsidR="007B485D" w:rsidRPr="00A857D5" w:rsidRDefault="007B485D" w:rsidP="002D6DD7">
            <w:pPr>
              <w:jc w:val="both"/>
              <w:rPr>
                <w:rFonts w:eastAsia="DengXian"/>
                <w:b/>
                <w:bCs/>
                <w:szCs w:val="24"/>
              </w:rPr>
            </w:pPr>
            <w:r w:rsidRPr="00A857D5">
              <w:rPr>
                <w:rFonts w:eastAsia="DengXian"/>
                <w:b/>
                <w:bCs/>
                <w:szCs w:val="24"/>
              </w:rPr>
              <w:t xml:space="preserve">clofazimine, Oral: </w:t>
            </w:r>
          </w:p>
          <w:p w14:paraId="35ED3CC5" w14:textId="77777777" w:rsidR="007B485D" w:rsidRPr="00A857D5" w:rsidRDefault="007B485D" w:rsidP="002D6DD7">
            <w:pPr>
              <w:jc w:val="both"/>
              <w:rPr>
                <w:color w:val="231F20"/>
                <w:szCs w:val="24"/>
              </w:rPr>
            </w:pPr>
            <w:r w:rsidRPr="00A857D5">
              <w:rPr>
                <w:rStyle w:val="fontstyle61"/>
                <w:rFonts w:ascii="Times New Roman" w:hAnsi="Times New Roman"/>
                <w:b/>
                <w:bCs/>
                <w:sz w:val="24"/>
                <w:szCs w:val="24"/>
              </w:rPr>
              <w:t>Adult:</w:t>
            </w:r>
            <w:r w:rsidRPr="00A857D5">
              <w:rPr>
                <w:rStyle w:val="fontstyle61"/>
                <w:rFonts w:ascii="Times New Roman" w:hAnsi="Times New Roman"/>
                <w:sz w:val="24"/>
                <w:szCs w:val="24"/>
              </w:rPr>
              <w:t xml:space="preserve"> </w:t>
            </w:r>
            <w:r w:rsidRPr="00A857D5">
              <w:rPr>
                <w:rStyle w:val="fontstyle01"/>
                <w:rFonts w:ascii="Times New Roman" w:hAnsi="Times New Roman"/>
                <w:sz w:val="24"/>
                <w:szCs w:val="24"/>
              </w:rPr>
              <w:t>600 mg once a month</w:t>
            </w:r>
          </w:p>
          <w:p w14:paraId="694133A5"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(10– 14 years):</w:t>
            </w:r>
            <w:r w:rsidRPr="00A857D5">
              <w:rPr>
                <w:rStyle w:val="fontstyle61"/>
                <w:rFonts w:ascii="Times New Roman" w:hAnsi="Times New Roman"/>
                <w:sz w:val="24"/>
                <w:szCs w:val="24"/>
              </w:rPr>
              <w:t xml:space="preserve"> 450 mg once a month</w:t>
            </w:r>
          </w:p>
          <w:p w14:paraId="0567383B" w14:textId="77777777" w:rsidR="007B485D" w:rsidRPr="00A857D5" w:rsidRDefault="007B485D" w:rsidP="002D6DD7">
            <w:pPr>
              <w:jc w:val="both"/>
              <w:rPr>
                <w:rStyle w:val="fontstyle61"/>
                <w:rFonts w:ascii="Times New Roman" w:hAnsi="Times New Roman"/>
                <w:sz w:val="24"/>
                <w:szCs w:val="24"/>
              </w:rPr>
            </w:pPr>
            <w:r w:rsidRPr="00A857D5">
              <w:rPr>
                <w:rStyle w:val="fontstyle61"/>
                <w:rFonts w:ascii="Times New Roman" w:hAnsi="Times New Roman"/>
                <w:b/>
                <w:bCs/>
                <w:sz w:val="24"/>
                <w:szCs w:val="24"/>
              </w:rPr>
              <w:t>Children &lt; 10 years or &lt;40kg:</w:t>
            </w:r>
            <w:r w:rsidRPr="00A857D5">
              <w:rPr>
                <w:rStyle w:val="fontstyle61"/>
                <w:rFonts w:ascii="Times New Roman" w:hAnsi="Times New Roman"/>
                <w:sz w:val="24"/>
                <w:szCs w:val="24"/>
              </w:rPr>
              <w:t xml:space="preserve"> 10mg/kg once a month</w:t>
            </w:r>
          </w:p>
          <w:p w14:paraId="63E4E980" w14:textId="77777777" w:rsidR="007B485D" w:rsidRPr="00727DFA" w:rsidRDefault="007B485D" w:rsidP="002D6DD7">
            <w:pPr>
              <w:jc w:val="both"/>
              <w:rPr>
                <w:rFonts w:eastAsia="DengXian"/>
                <w:szCs w:val="24"/>
              </w:rPr>
            </w:pPr>
          </w:p>
        </w:tc>
      </w:tr>
      <w:tr w:rsidR="007B485D" w:rsidRPr="00A857D5" w14:paraId="3667566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1C2133"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F3243FF"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rifampicin,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5FD7310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56A2DFB"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572CAB4"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rifampicin</w:t>
            </w:r>
            <w:r>
              <w:rPr>
                <w:rFonts w:eastAsia="DengXian"/>
                <w:szCs w:val="24"/>
              </w:rPr>
              <w:t xml:space="preserve"> </w:t>
            </w:r>
            <w:r w:rsidRPr="00A857D5">
              <w:rPr>
                <w:rFonts w:eastAsia="DengXian"/>
                <w:szCs w:val="24"/>
              </w:rPr>
              <w:t>(anti-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41E6D26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D80F15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6B7BD52"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rifampicin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2234225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F226434"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56AEDDD" w14:textId="77777777" w:rsidR="007B485D" w:rsidRPr="00727DFA" w:rsidRDefault="007B485D" w:rsidP="002D6DD7">
            <w:pPr>
              <w:jc w:val="both"/>
              <w:rPr>
                <w:rFonts w:eastAsia="DengXian"/>
                <w:szCs w:val="24"/>
              </w:rPr>
            </w:pPr>
            <w:r>
              <w:rPr>
                <w:rFonts w:eastAsia="DengXian"/>
                <w:szCs w:val="24"/>
              </w:rPr>
              <w:t>Refer to</w:t>
            </w:r>
            <w:r w:rsidRPr="00A857D5">
              <w:rPr>
                <w:rFonts w:eastAsia="DengXian"/>
                <w:szCs w:val="24"/>
              </w:rPr>
              <w:t xml:space="preserve"> rifampicin (anti-</w:t>
            </w:r>
            <w:r>
              <w:rPr>
                <w:rFonts w:eastAsia="DengXian"/>
                <w:szCs w:val="24"/>
              </w:rPr>
              <w:t xml:space="preserve"> tuberculosis</w:t>
            </w:r>
            <w:r w:rsidRPr="00A857D5">
              <w:rPr>
                <w:rFonts w:eastAsia="DengXian"/>
                <w:szCs w:val="24"/>
              </w:rPr>
              <w:t>)</w:t>
            </w:r>
            <w:r>
              <w:rPr>
                <w:rFonts w:eastAsia="DengXian"/>
                <w:szCs w:val="24"/>
              </w:rPr>
              <w:t>.</w:t>
            </w:r>
          </w:p>
        </w:tc>
      </w:tr>
      <w:tr w:rsidR="007B485D" w:rsidRPr="00A857D5" w14:paraId="30C909C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516ECA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B80A1B9" w14:textId="77777777" w:rsidR="007B485D" w:rsidRPr="00727DFA" w:rsidRDefault="007B485D" w:rsidP="002D6DD7">
            <w:pPr>
              <w:jc w:val="both"/>
              <w:rPr>
                <w:rFonts w:eastAsia="DengXian"/>
                <w:szCs w:val="24"/>
              </w:rPr>
            </w:pPr>
            <w:r w:rsidRPr="00727DFA">
              <w:rPr>
                <w:rFonts w:eastAsia="DengXian"/>
                <w:szCs w:val="24"/>
              </w:rPr>
              <w:t>Store below 30ºC</w:t>
            </w:r>
            <w:r>
              <w:rPr>
                <w:rFonts w:eastAsia="DengXian"/>
                <w:szCs w:val="24"/>
              </w:rPr>
              <w:t>.</w:t>
            </w:r>
          </w:p>
        </w:tc>
      </w:tr>
    </w:tbl>
    <w:p w14:paraId="2B87F8E5" w14:textId="77777777" w:rsidR="007B485D" w:rsidRPr="006D4696" w:rsidRDefault="007B485D" w:rsidP="007B485D">
      <w:pPr>
        <w:pStyle w:val="ListParagraph"/>
        <w:ind w:left="720" w:firstLine="0"/>
        <w:rPr>
          <w:szCs w:val="24"/>
          <w:lang w:val="en-GB"/>
        </w:rPr>
      </w:pPr>
    </w:p>
    <w:p w14:paraId="1A64437C" w14:textId="77777777" w:rsidR="007B485D" w:rsidRDefault="007B485D" w:rsidP="007B485D">
      <w:pPr>
        <w:rPr>
          <w:rFonts w:eastAsia="DengXian Light" w:cs="Times New Roman"/>
          <w:b/>
          <w:bCs/>
          <w:kern w:val="0"/>
          <w:szCs w:val="24"/>
          <w:highlight w:val="yellow"/>
          <w:lang w:val="fr-FR"/>
        </w:rPr>
      </w:pPr>
      <w:r>
        <w:rPr>
          <w:rFonts w:eastAsia="DengXian Light" w:cs="Times New Roman"/>
          <w:b/>
          <w:bCs/>
          <w:kern w:val="0"/>
          <w:szCs w:val="24"/>
          <w:highlight w:val="yellow"/>
          <w:lang w:val="fr-FR"/>
        </w:rPr>
        <w:br w:type="page"/>
      </w:r>
    </w:p>
    <w:p w14:paraId="137D9ACE" w14:textId="77777777" w:rsidR="007B485D" w:rsidRPr="004A23D0" w:rsidRDefault="007B485D" w:rsidP="004A23D0">
      <w:pPr>
        <w:pStyle w:val="Heading2"/>
        <w:spacing w:before="240" w:after="240"/>
      </w:pPr>
      <w:bookmarkStart w:id="61" w:name="_Toc179490330"/>
      <w:r w:rsidRPr="004A23D0">
        <w:lastRenderedPageBreak/>
        <w:t>Antifungals</w:t>
      </w:r>
      <w:bookmarkEnd w:id="61"/>
    </w:p>
    <w:p w14:paraId="54A89180"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Antifungal medicines are used to treat fungal infections, which most commonly affect skin, hair and nails.</w:t>
      </w:r>
      <w:r>
        <w:rPr>
          <w:rFonts w:eastAsia="DengXian" w:cs="Times New Roman"/>
          <w:szCs w:val="24"/>
        </w:rPr>
        <w:t xml:space="preserve"> These agents work by either killing fungal cells or inhibiting their growth.</w:t>
      </w:r>
      <w:r w:rsidRPr="00727DFA">
        <w:rPr>
          <w:rFonts w:eastAsia="DengXian" w:cs="Times New Roman"/>
          <w:szCs w:val="24"/>
        </w:rPr>
        <w:t>  Human fungal infections have increased dramatically in incidence owing mainly to advances in surgery, cancer treatment, treatment of patients with solid organ and bone marrow transplantation, the HIV epidemic, and increasing use of broad-spectrum antimicrobial therapy in critically ill patients. These changes have resulted in increased numbers of patients at risk for fungal infections: There are different classes of antifungal agents:</w:t>
      </w:r>
    </w:p>
    <w:p w14:paraId="61E2ABF9" w14:textId="77777777" w:rsidR="007B485D" w:rsidRPr="00727DFA" w:rsidRDefault="007B485D" w:rsidP="007B485D">
      <w:pPr>
        <w:spacing w:after="0"/>
        <w:jc w:val="both"/>
        <w:rPr>
          <w:rFonts w:eastAsia="DengXian" w:cs="Times New Roman"/>
          <w:b/>
          <w:bCs/>
          <w:szCs w:val="24"/>
        </w:rPr>
      </w:pPr>
      <w:r w:rsidRPr="00727DFA">
        <w:rPr>
          <w:rFonts w:eastAsia="DengXian" w:cs="Times New Roman"/>
          <w:b/>
          <w:bCs/>
          <w:szCs w:val="24"/>
        </w:rPr>
        <w:t>Triazole antifungals:</w:t>
      </w:r>
      <w:r w:rsidRPr="00727DFA">
        <w:rPr>
          <w:rFonts w:eastAsia="DengXian" w:cs="Times New Roman"/>
          <w:szCs w:val="24"/>
        </w:rPr>
        <w:t xml:space="preserve"> Triazole antifungal drugs have a role in the prevention and systemic treatment of fungal infections. For example, fluconazole and itraconazole.</w:t>
      </w:r>
    </w:p>
    <w:p w14:paraId="4FEC4C71" w14:textId="77777777" w:rsidR="007B485D" w:rsidRPr="00727DFA" w:rsidRDefault="007B485D" w:rsidP="007B485D">
      <w:pPr>
        <w:spacing w:after="0"/>
        <w:jc w:val="both"/>
        <w:rPr>
          <w:rFonts w:eastAsia="DengXian" w:cs="Times New Roman"/>
          <w:b/>
          <w:bCs/>
          <w:szCs w:val="24"/>
        </w:rPr>
      </w:pPr>
      <w:r w:rsidRPr="00727DFA">
        <w:rPr>
          <w:rFonts w:eastAsia="DengXian" w:cs="Times New Roman"/>
          <w:b/>
          <w:bCs/>
          <w:szCs w:val="24"/>
        </w:rPr>
        <w:t xml:space="preserve">Imidazole antifungals: </w:t>
      </w:r>
      <w:r w:rsidRPr="00727DFA">
        <w:rPr>
          <w:rFonts w:eastAsia="DengXian" w:cs="Times New Roman"/>
          <w:szCs w:val="24"/>
        </w:rPr>
        <w:t xml:space="preserve">The imidazole antifungals include clotrimazole, econazole nitrate, ketoconazole, and tioconazole. </w:t>
      </w:r>
    </w:p>
    <w:p w14:paraId="373D74DA" w14:textId="77777777" w:rsidR="007B485D" w:rsidRPr="00727DFA" w:rsidRDefault="007B485D" w:rsidP="007B485D">
      <w:pPr>
        <w:spacing w:after="0"/>
        <w:jc w:val="both"/>
        <w:rPr>
          <w:rFonts w:eastAsia="DengXian" w:cs="Times New Roman"/>
          <w:szCs w:val="24"/>
        </w:rPr>
      </w:pPr>
      <w:r w:rsidRPr="00727DFA">
        <w:rPr>
          <w:rFonts w:eastAsia="DengXian" w:cs="Times New Roman"/>
          <w:b/>
          <w:bCs/>
          <w:szCs w:val="24"/>
        </w:rPr>
        <w:t xml:space="preserve">Polyene antifungals: </w:t>
      </w:r>
      <w:r w:rsidRPr="00727DFA">
        <w:rPr>
          <w:rFonts w:eastAsia="DengXian" w:cs="Times New Roman"/>
          <w:szCs w:val="24"/>
        </w:rPr>
        <w:t xml:space="preserve">The polyene antifungals include amphotericin B and nystatin; neither drug is absorbed when given by oral. Nystatin is used for oral, oropharyngeal, and perioral infections by local application in the oral. </w:t>
      </w:r>
    </w:p>
    <w:p w14:paraId="4BB894F4" w14:textId="77777777" w:rsidR="007B485D" w:rsidRPr="00727DFA" w:rsidRDefault="007B485D" w:rsidP="007B485D">
      <w:pPr>
        <w:spacing w:after="0"/>
        <w:jc w:val="both"/>
        <w:rPr>
          <w:rFonts w:eastAsia="DengXian" w:cs="Times New Roman"/>
          <w:szCs w:val="24"/>
        </w:rPr>
      </w:pPr>
      <w:r w:rsidRPr="00727DFA">
        <w:rPr>
          <w:rFonts w:eastAsia="DengXian" w:cs="Times New Roman"/>
          <w:b/>
          <w:bCs/>
          <w:szCs w:val="24"/>
        </w:rPr>
        <w:t>Echinocandin antifungals</w:t>
      </w:r>
      <w:r w:rsidRPr="00727DFA">
        <w:rPr>
          <w:rFonts w:eastAsia="DengXian" w:cs="Times New Roman"/>
          <w:szCs w:val="24"/>
        </w:rPr>
        <w:t>: The echinocandin antifungals include anidulafungin, caspofungin and micafungin. They are only active against Aspergillus spp. and Candida spp.; however, anidulafungin and micafungin are not used for the treatment of aspergillosis. Echinocandins are not effective against fungal infections of the CNS.</w:t>
      </w:r>
    </w:p>
    <w:p w14:paraId="0337329B" w14:textId="77777777" w:rsidR="007B485D" w:rsidRPr="00727DFA" w:rsidRDefault="007B485D" w:rsidP="003114B5">
      <w:pPr>
        <w:jc w:val="both"/>
        <w:rPr>
          <w:rFonts w:eastAsia="DengXian" w:cs="Times New Roman"/>
          <w:szCs w:val="24"/>
        </w:rPr>
      </w:pPr>
      <w:r w:rsidRPr="00727DFA">
        <w:rPr>
          <w:rFonts w:eastAsia="DengXian" w:cs="Times New Roman"/>
          <w:b/>
          <w:bCs/>
          <w:szCs w:val="24"/>
        </w:rPr>
        <w:t xml:space="preserve">Other antifungals: </w:t>
      </w:r>
      <w:r w:rsidRPr="00727DFA">
        <w:rPr>
          <w:rFonts w:eastAsia="DengXian" w:cs="Times New Roman"/>
          <w:szCs w:val="24"/>
        </w:rPr>
        <w:t>as an example,</w:t>
      </w:r>
      <w:r w:rsidRPr="00727DFA">
        <w:rPr>
          <w:rFonts w:eastAsia="DengXian" w:cs="Times New Roman"/>
          <w:b/>
          <w:bCs/>
          <w:szCs w:val="24"/>
        </w:rPr>
        <w:t xml:space="preserve"> </w:t>
      </w:r>
      <w:r w:rsidRPr="00727DFA">
        <w:rPr>
          <w:rFonts w:eastAsia="DengXian" w:cs="Times New Roman"/>
          <w:szCs w:val="24"/>
        </w:rPr>
        <w:t>flucytosine is used with amphotericin B in a</w:t>
      </w:r>
      <w:r w:rsidRPr="00727DFA">
        <w:rPr>
          <w:rFonts w:eastAsia="DengXian" w:cs="Times New Roman"/>
          <w:b/>
          <w:bCs/>
          <w:szCs w:val="24"/>
        </w:rPr>
        <w:t xml:space="preserve"> </w:t>
      </w:r>
      <w:r w:rsidRPr="00727DFA">
        <w:rPr>
          <w:rFonts w:eastAsia="DengXian" w:cs="Times New Roman"/>
          <w:szCs w:val="24"/>
        </w:rPr>
        <w:t>synergistic combination. Bone marrow depression can occur</w:t>
      </w:r>
      <w:r w:rsidRPr="00727DFA">
        <w:rPr>
          <w:rFonts w:eastAsia="DengXian" w:cs="Times New Roman"/>
          <w:b/>
          <w:bCs/>
          <w:szCs w:val="24"/>
        </w:rPr>
        <w:t xml:space="preserve"> </w:t>
      </w:r>
      <w:r w:rsidRPr="00727DFA">
        <w:rPr>
          <w:rFonts w:eastAsia="DengXian" w:cs="Times New Roman"/>
          <w:szCs w:val="24"/>
        </w:rPr>
        <w:t>which limits its use, particularly in HIV-positive patients;</w:t>
      </w:r>
      <w:r w:rsidRPr="00727DFA">
        <w:rPr>
          <w:rFonts w:eastAsia="DengXian" w:cs="Times New Roman"/>
          <w:b/>
          <w:bCs/>
          <w:szCs w:val="24"/>
        </w:rPr>
        <w:t xml:space="preserve"> </w:t>
      </w:r>
      <w:r w:rsidRPr="00727DFA">
        <w:rPr>
          <w:rFonts w:eastAsia="DengXian" w:cs="Times New Roman"/>
          <w:szCs w:val="24"/>
        </w:rPr>
        <w:t>weekly blood counts are necessary during prolonged therapy.</w:t>
      </w:r>
    </w:p>
    <w:tbl>
      <w:tblPr>
        <w:tblStyle w:val="TableGrid"/>
        <w:tblW w:w="0" w:type="auto"/>
        <w:tblLook w:val="04A0" w:firstRow="1" w:lastRow="0" w:firstColumn="1" w:lastColumn="0" w:noHBand="0" w:noVBand="1"/>
      </w:tblPr>
      <w:tblGrid>
        <w:gridCol w:w="2605"/>
        <w:gridCol w:w="6745"/>
      </w:tblGrid>
      <w:tr w:rsidR="007B485D" w:rsidRPr="00727DFA" w14:paraId="5F5E9A6F"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79D0F3D" w14:textId="77777777" w:rsidR="007B485D" w:rsidRPr="00727DFA" w:rsidRDefault="007B485D" w:rsidP="002D6DD7">
            <w:pPr>
              <w:jc w:val="both"/>
              <w:rPr>
                <w:rFonts w:eastAsia="DengXian"/>
                <w:b/>
                <w:bCs/>
                <w:szCs w:val="24"/>
              </w:rPr>
            </w:pPr>
            <w:r w:rsidRPr="00727DFA">
              <w:rPr>
                <w:rFonts w:eastAsia="DengXian"/>
                <w:b/>
                <w:bCs/>
                <w:szCs w:val="24"/>
              </w:rPr>
              <w:t>Amphotericin B</w:t>
            </w:r>
          </w:p>
        </w:tc>
      </w:tr>
      <w:tr w:rsidR="007B485D" w:rsidRPr="00727DFA" w14:paraId="6ADE170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578E3B"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8F85B93" w14:textId="77777777" w:rsidR="007B485D" w:rsidRPr="00727DFA" w:rsidRDefault="007B485D" w:rsidP="002D6DD7">
            <w:pPr>
              <w:jc w:val="both"/>
              <w:rPr>
                <w:rFonts w:eastAsia="DengXian"/>
                <w:szCs w:val="24"/>
              </w:rPr>
            </w:pPr>
            <w:r w:rsidRPr="00727DFA">
              <w:rPr>
                <w:rFonts w:eastAsia="DengXian"/>
                <w:szCs w:val="24"/>
              </w:rPr>
              <w:t>Polyene</w:t>
            </w:r>
            <w:r>
              <w:rPr>
                <w:rFonts w:eastAsia="DengXian"/>
                <w:szCs w:val="24"/>
              </w:rPr>
              <w:t xml:space="preserve"> antifungal</w:t>
            </w:r>
          </w:p>
        </w:tc>
      </w:tr>
      <w:tr w:rsidR="007B485D" w:rsidRPr="00727DFA" w14:paraId="5600EF9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27494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F3316DD" w14:textId="77777777" w:rsidR="007B485D" w:rsidRPr="00727DFA" w:rsidRDefault="007B485D" w:rsidP="002D6DD7">
            <w:pPr>
              <w:jc w:val="both"/>
              <w:rPr>
                <w:rFonts w:eastAsia="DengXian"/>
                <w:szCs w:val="24"/>
              </w:rPr>
            </w:pPr>
            <w:r w:rsidRPr="00727DFA">
              <w:rPr>
                <w:rFonts w:eastAsia="DengXian"/>
                <w:szCs w:val="24"/>
              </w:rPr>
              <w:t>Powder for injection:    liposomal 50mg/vial</w:t>
            </w:r>
          </w:p>
        </w:tc>
      </w:tr>
      <w:tr w:rsidR="007B485D" w:rsidRPr="00727DFA" w14:paraId="4D80AD7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F4E68B" w14:textId="77777777" w:rsidR="007B485D" w:rsidRPr="00873AF2" w:rsidRDefault="007B485D" w:rsidP="002D6DD7">
            <w:pPr>
              <w:jc w:val="both"/>
              <w:rPr>
                <w:rFonts w:eastAsia="DengXian"/>
                <w:b/>
                <w:szCs w:val="24"/>
              </w:rPr>
            </w:pPr>
            <w:r w:rsidRPr="001447B5">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A3D6F83" w14:textId="77777777" w:rsidR="007B485D" w:rsidRPr="00727DFA" w:rsidRDefault="007B485D" w:rsidP="002D6DD7">
            <w:pPr>
              <w:jc w:val="both"/>
              <w:rPr>
                <w:rFonts w:eastAsia="DengXian"/>
                <w:szCs w:val="24"/>
              </w:rPr>
            </w:pPr>
            <w:r w:rsidRPr="00727DFA">
              <w:rPr>
                <w:rFonts w:eastAsia="DengXian"/>
                <w:szCs w:val="24"/>
              </w:rPr>
              <w:t>Life-threatening fungal infections including histoplasmosis, coccidioidomycosis, paracoccidioidomycosis, blastomycosis, aspergillosis, chronic mycetoma, cryptococcosis, mucormycosis,</w:t>
            </w:r>
          </w:p>
          <w:p w14:paraId="01EBC8BD" w14:textId="77777777" w:rsidR="007B485D" w:rsidRPr="00727DFA" w:rsidRDefault="007B485D" w:rsidP="002D6DD7">
            <w:pPr>
              <w:jc w:val="both"/>
              <w:rPr>
                <w:rFonts w:eastAsia="DengXian"/>
                <w:szCs w:val="24"/>
              </w:rPr>
            </w:pPr>
            <w:r w:rsidRPr="00727DFA">
              <w:rPr>
                <w:rFonts w:eastAsia="DengXian"/>
                <w:szCs w:val="24"/>
              </w:rPr>
              <w:t>sporotrichosis, candidiasis and visceral leishmaniasis.</w:t>
            </w:r>
          </w:p>
        </w:tc>
      </w:tr>
      <w:tr w:rsidR="007B485D" w:rsidRPr="00727DFA" w14:paraId="22C6B2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8B678D"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6B107B57" w14:textId="77777777" w:rsidR="007B485D" w:rsidRPr="00727DFA" w:rsidRDefault="007B485D" w:rsidP="002D6DD7">
            <w:pPr>
              <w:jc w:val="both"/>
              <w:rPr>
                <w:rFonts w:eastAsia="DengXian"/>
                <w:szCs w:val="24"/>
              </w:rPr>
            </w:pPr>
            <w:r w:rsidRPr="00727DFA">
              <w:rPr>
                <w:rFonts w:eastAsia="DengXian"/>
                <w:b/>
                <w:bCs/>
                <w:szCs w:val="24"/>
              </w:rPr>
              <w:t>Extrapulmonary cryptococcosis,</w:t>
            </w:r>
            <w:r w:rsidRPr="00727DFA">
              <w:rPr>
                <w:rFonts w:eastAsia="DengXian"/>
                <w:szCs w:val="24"/>
              </w:rPr>
              <w:t xml:space="preserve"> </w:t>
            </w:r>
            <w:r w:rsidRPr="00727DFA">
              <w:rPr>
                <w:rFonts w:eastAsia="DengXian"/>
                <w:b/>
                <w:bCs/>
                <w:szCs w:val="24"/>
              </w:rPr>
              <w:t xml:space="preserve">candidemia (in patients </w:t>
            </w:r>
            <w:r w:rsidRPr="00727DFA">
              <w:rPr>
                <w:rFonts w:eastAsia="DengXian"/>
                <w:b/>
                <w:bCs/>
                <w:szCs w:val="24"/>
              </w:rPr>
              <w:lastRenderedPageBreak/>
              <w:t>without neutropenia), mucormycosis or invasive aspergillosis</w:t>
            </w:r>
            <w:r w:rsidR="003114B5">
              <w:rPr>
                <w:rFonts w:eastAsia="DengXian"/>
                <w:b/>
                <w:bCs/>
                <w:szCs w:val="24"/>
              </w:rPr>
              <w:t>,</w:t>
            </w:r>
          </w:p>
          <w:p w14:paraId="7258A0C1" w14:textId="77777777" w:rsidR="007B485D" w:rsidRDefault="007B485D" w:rsidP="002D6DD7">
            <w:pPr>
              <w:jc w:val="both"/>
              <w:rPr>
                <w:rFonts w:eastAsia="DengXian"/>
                <w:szCs w:val="24"/>
              </w:rPr>
            </w:pPr>
            <w:r w:rsidRPr="00727DFA">
              <w:rPr>
                <w:rFonts w:eastAsia="DengXian"/>
                <w:szCs w:val="24"/>
              </w:rPr>
              <w:t xml:space="preserve"> </w:t>
            </w:r>
            <w:r w:rsidRPr="003114B5">
              <w:rPr>
                <w:rFonts w:eastAsia="DengXian"/>
                <w:szCs w:val="24"/>
              </w:rPr>
              <w:t>IV infusion</w:t>
            </w:r>
            <w:r w:rsidRPr="00727DFA">
              <w:rPr>
                <w:rFonts w:eastAsia="DengXian"/>
                <w:szCs w:val="24"/>
              </w:rPr>
              <w:t xml:space="preserve">: </w:t>
            </w:r>
            <w:r>
              <w:rPr>
                <w:rFonts w:eastAsia="DengXian"/>
                <w:szCs w:val="24"/>
              </w:rPr>
              <w:t xml:space="preserve"> </w:t>
            </w:r>
          </w:p>
          <w:p w14:paraId="4D1BF889" w14:textId="77777777" w:rsidR="007B485D" w:rsidRPr="00727DFA" w:rsidRDefault="007B485D" w:rsidP="002D6DD7">
            <w:pPr>
              <w:jc w:val="both"/>
              <w:rPr>
                <w:rFonts w:eastAsia="DengXian"/>
                <w:szCs w:val="24"/>
              </w:rPr>
            </w:pPr>
            <w:r>
              <w:rPr>
                <w:rFonts w:eastAsia="DengXian"/>
                <w:szCs w:val="24"/>
              </w:rPr>
              <w:t>Child and Adult:</w:t>
            </w:r>
            <w:r w:rsidRPr="00727DFA">
              <w:rPr>
                <w:rFonts w:eastAsia="DengXian"/>
                <w:szCs w:val="24"/>
              </w:rPr>
              <w:t xml:space="preserve">  3 </w:t>
            </w:r>
            <w:r>
              <w:rPr>
                <w:rFonts w:eastAsia="DengXian"/>
                <w:szCs w:val="24"/>
              </w:rPr>
              <w:t>-</w:t>
            </w:r>
            <w:r w:rsidRPr="00727DFA">
              <w:rPr>
                <w:rFonts w:eastAsia="DengXian"/>
                <w:szCs w:val="24"/>
              </w:rPr>
              <w:t xml:space="preserve">5 mg/kg/day </w:t>
            </w:r>
          </w:p>
          <w:p w14:paraId="451A7351" w14:textId="77777777" w:rsidR="007B485D" w:rsidRPr="00727DFA" w:rsidRDefault="007B485D" w:rsidP="002D6DD7">
            <w:pPr>
              <w:jc w:val="both"/>
              <w:rPr>
                <w:rFonts w:eastAsia="DengXian"/>
                <w:szCs w:val="24"/>
              </w:rPr>
            </w:pPr>
            <w:r w:rsidRPr="00727DFA">
              <w:rPr>
                <w:rFonts w:eastAsia="DengXian"/>
                <w:b/>
                <w:szCs w:val="24"/>
              </w:rPr>
              <w:t xml:space="preserve"> </w:t>
            </w:r>
            <w:r w:rsidRPr="003114B5">
              <w:rPr>
                <w:rFonts w:eastAsia="DengXian"/>
                <w:i/>
                <w:szCs w:val="24"/>
              </w:rPr>
              <w:t>Note:</w:t>
            </w:r>
            <w:r w:rsidRPr="00727DFA">
              <w:rPr>
                <w:rFonts w:eastAsia="DengXian"/>
                <w:szCs w:val="24"/>
              </w:rPr>
              <w:t xml:space="preserve"> </w:t>
            </w:r>
            <w:r w:rsidRPr="00873AF2">
              <w:rPr>
                <w:rFonts w:eastAsia="DengXian"/>
                <w:i/>
                <w:iCs/>
                <w:szCs w:val="24"/>
              </w:rPr>
              <w:t>A test dose (1 mg) should be infused slowly for up to 10 minutes and the patient carefully observed for 30 minutes afterwards.</w:t>
            </w:r>
          </w:p>
        </w:tc>
      </w:tr>
      <w:tr w:rsidR="007B485D" w:rsidRPr="00727DFA" w14:paraId="2698B0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AF758B"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53D2A9D" w14:textId="77777777" w:rsidR="007B485D" w:rsidRPr="00727DFA" w:rsidRDefault="007B485D" w:rsidP="002D6DD7">
            <w:pPr>
              <w:jc w:val="both"/>
              <w:rPr>
                <w:rFonts w:eastAsia="DengXian"/>
                <w:szCs w:val="24"/>
              </w:rPr>
            </w:pPr>
            <w:r w:rsidRPr="00727DFA">
              <w:rPr>
                <w:rFonts w:eastAsia="DengXian"/>
                <w:szCs w:val="24"/>
              </w:rPr>
              <w:t>Hypersensitivity to amphotericin</w:t>
            </w:r>
            <w:r>
              <w:rPr>
                <w:rFonts w:eastAsia="DengXian"/>
                <w:szCs w:val="24"/>
              </w:rPr>
              <w:t>.</w:t>
            </w:r>
          </w:p>
        </w:tc>
      </w:tr>
      <w:tr w:rsidR="007B485D" w:rsidRPr="00727DFA" w14:paraId="597E8DA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AA7264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9749B82" w14:textId="77777777" w:rsidR="007B485D" w:rsidRPr="00727DFA" w:rsidRDefault="007B485D" w:rsidP="002D6DD7">
            <w:pPr>
              <w:jc w:val="both"/>
              <w:rPr>
                <w:rFonts w:eastAsia="DengXian"/>
                <w:szCs w:val="24"/>
              </w:rPr>
            </w:pPr>
            <w:r w:rsidRPr="00727DFA">
              <w:rPr>
                <w:rFonts w:eastAsia="DengXian"/>
                <w:szCs w:val="24"/>
              </w:rPr>
              <w:t>Cardiac glycosides, ciclosporin, corticosteroids, tacrolimus</w:t>
            </w:r>
            <w:r>
              <w:rPr>
                <w:rFonts w:eastAsia="DengXian"/>
                <w:szCs w:val="24"/>
              </w:rPr>
              <w:t>.</w:t>
            </w:r>
          </w:p>
        </w:tc>
      </w:tr>
      <w:tr w:rsidR="007B485D" w:rsidRPr="00727DFA" w14:paraId="31B50B4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0D788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AD53DEB" w14:textId="77777777" w:rsidR="007B485D" w:rsidRPr="00727DFA" w:rsidRDefault="007B485D" w:rsidP="002D6DD7">
            <w:pPr>
              <w:jc w:val="both"/>
              <w:rPr>
                <w:rFonts w:eastAsia="DengXian"/>
                <w:szCs w:val="24"/>
              </w:rPr>
            </w:pPr>
            <w:r>
              <w:rPr>
                <w:rFonts w:eastAsia="DengXian"/>
                <w:szCs w:val="24"/>
              </w:rPr>
              <w:t>Nausea, vomiting, diarrhea, n</w:t>
            </w:r>
            <w:r w:rsidRPr="00727DFA">
              <w:rPr>
                <w:rFonts w:eastAsia="DengXian"/>
                <w:szCs w:val="24"/>
              </w:rPr>
              <w:t>ephrotoxicity,</w:t>
            </w:r>
            <w:r>
              <w:rPr>
                <w:rFonts w:eastAsia="DengXian"/>
                <w:szCs w:val="24"/>
              </w:rPr>
              <w:t xml:space="preserve"> hypokalmeia, hypomagnesemia,</w:t>
            </w:r>
            <w:r w:rsidRPr="00727DFA">
              <w:rPr>
                <w:rFonts w:eastAsia="DengXian"/>
                <w:szCs w:val="24"/>
              </w:rPr>
              <w:t xml:space="preserve"> liver toxicity, chills, fever, irregular heartbeat, muscle cramps or pain, unusual tiredness or weakness, blood disorders, neurological disorders (including hearing loss, diplopic, convulsions, peripheral neuropathy), rash, anaphylactoid reactions</w:t>
            </w:r>
            <w:r>
              <w:rPr>
                <w:rFonts w:eastAsia="DengXian"/>
                <w:szCs w:val="24"/>
              </w:rPr>
              <w:t>,</w:t>
            </w:r>
            <w:r w:rsidRPr="00727DFA">
              <w:rPr>
                <w:rFonts w:eastAsia="DengXian"/>
                <w:szCs w:val="24"/>
              </w:rPr>
              <w:t xml:space="preserve"> pain and thrombophlebitis at injection site</w:t>
            </w:r>
            <w:r>
              <w:rPr>
                <w:rFonts w:eastAsia="DengXian"/>
                <w:szCs w:val="24"/>
              </w:rPr>
              <w:t>.</w:t>
            </w:r>
          </w:p>
        </w:tc>
      </w:tr>
      <w:tr w:rsidR="007B485D" w:rsidRPr="00727DFA" w14:paraId="56176FB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97F8C40"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D342FB7" w14:textId="77777777" w:rsidR="007B485D" w:rsidRPr="00727DFA" w:rsidRDefault="007B485D" w:rsidP="002D6DD7">
            <w:pPr>
              <w:jc w:val="both"/>
              <w:rPr>
                <w:rFonts w:eastAsia="DengXian"/>
                <w:szCs w:val="24"/>
              </w:rPr>
            </w:pPr>
            <w:r w:rsidRPr="00727DFA">
              <w:rPr>
                <w:rFonts w:eastAsia="DengXian"/>
                <w:szCs w:val="24"/>
              </w:rPr>
              <w:t>Renal impairment, risk of arrhythmias)</w:t>
            </w:r>
            <w:r>
              <w:rPr>
                <w:rFonts w:eastAsia="DengXian"/>
                <w:szCs w:val="24"/>
              </w:rPr>
              <w:t>, risk of electrolyte imbalance.</w:t>
            </w:r>
          </w:p>
        </w:tc>
      </w:tr>
      <w:tr w:rsidR="007B485D" w:rsidRPr="00727DFA" w14:paraId="6FAE8A9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25E9F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58CA54F" w14:textId="77777777" w:rsidR="007B485D" w:rsidRPr="00727DFA" w:rsidRDefault="007B485D" w:rsidP="002D6DD7">
            <w:pPr>
              <w:jc w:val="both"/>
              <w:rPr>
                <w:rFonts w:eastAsia="DengXian"/>
                <w:szCs w:val="24"/>
              </w:rPr>
            </w:pPr>
            <w:r w:rsidRPr="00727DFA">
              <w:rPr>
                <w:rFonts w:eastAsia="DengXian"/>
                <w:szCs w:val="24"/>
              </w:rPr>
              <w:t>Store below 30° C</w:t>
            </w:r>
            <w:r>
              <w:rPr>
                <w:rFonts w:eastAsia="DengXian"/>
                <w:szCs w:val="24"/>
              </w:rPr>
              <w:t>.</w:t>
            </w:r>
            <w:r w:rsidRPr="00727DFA">
              <w:rPr>
                <w:rFonts w:eastAsia="DengXian"/>
                <w:szCs w:val="24"/>
              </w:rPr>
              <w:t xml:space="preserve"> </w:t>
            </w:r>
          </w:p>
        </w:tc>
      </w:tr>
      <w:tr w:rsidR="007B485D" w:rsidRPr="00727DFA" w14:paraId="5AFFB1AE"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6086462" w14:textId="77777777" w:rsidR="007B485D" w:rsidRPr="00727DFA" w:rsidRDefault="007B485D" w:rsidP="002D6DD7">
            <w:pPr>
              <w:jc w:val="both"/>
              <w:rPr>
                <w:rFonts w:eastAsia="DengXian"/>
                <w:b/>
                <w:bCs/>
                <w:szCs w:val="24"/>
              </w:rPr>
            </w:pPr>
            <w:r w:rsidRPr="00727DFA">
              <w:rPr>
                <w:rFonts w:eastAsia="DengXian"/>
                <w:b/>
                <w:bCs/>
                <w:szCs w:val="24"/>
              </w:rPr>
              <w:t>Caspofungin</w:t>
            </w:r>
          </w:p>
        </w:tc>
      </w:tr>
      <w:tr w:rsidR="007B485D" w:rsidRPr="00727DFA" w14:paraId="4C38E06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E505540"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AE34774" w14:textId="77777777" w:rsidR="007B485D" w:rsidRPr="00727DFA" w:rsidRDefault="007B485D" w:rsidP="002D6DD7">
            <w:pPr>
              <w:jc w:val="both"/>
              <w:rPr>
                <w:rFonts w:eastAsia="DengXian"/>
                <w:szCs w:val="24"/>
              </w:rPr>
            </w:pPr>
            <w:r w:rsidRPr="00727DFA">
              <w:rPr>
                <w:rFonts w:eastAsia="DengXian"/>
                <w:szCs w:val="24"/>
              </w:rPr>
              <w:t>Echinocandins</w:t>
            </w:r>
          </w:p>
        </w:tc>
      </w:tr>
      <w:tr w:rsidR="007B485D" w:rsidRPr="00727DFA" w14:paraId="431A1E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053F7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D605143" w14:textId="77777777" w:rsidR="007B485D" w:rsidRPr="00727DFA" w:rsidRDefault="007B485D" w:rsidP="002D6DD7">
            <w:pPr>
              <w:jc w:val="both"/>
              <w:rPr>
                <w:rFonts w:eastAsia="DengXian"/>
                <w:szCs w:val="24"/>
              </w:rPr>
            </w:pPr>
            <w:r w:rsidRPr="00727DFA">
              <w:rPr>
                <w:rFonts w:eastAsia="DengXian"/>
                <w:szCs w:val="24"/>
              </w:rPr>
              <w:t>Powder for injection: 50 mg</w:t>
            </w:r>
            <w:r>
              <w:rPr>
                <w:rFonts w:eastAsia="DengXian"/>
                <w:szCs w:val="24"/>
              </w:rPr>
              <w:t>/vial</w:t>
            </w:r>
            <w:r w:rsidRPr="00727DFA">
              <w:rPr>
                <w:rFonts w:eastAsia="DengXian"/>
                <w:szCs w:val="24"/>
              </w:rPr>
              <w:t>, 70 mg</w:t>
            </w:r>
            <w:r>
              <w:rPr>
                <w:rFonts w:eastAsia="DengXian"/>
                <w:szCs w:val="24"/>
              </w:rPr>
              <w:t>/vial</w:t>
            </w:r>
          </w:p>
        </w:tc>
      </w:tr>
      <w:tr w:rsidR="007B485D" w:rsidRPr="00727DFA" w14:paraId="7CB9173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00BB95" w14:textId="77777777" w:rsidR="007B485D" w:rsidRPr="00727DFA" w:rsidRDefault="007B485D" w:rsidP="002D6DD7">
            <w:pPr>
              <w:jc w:val="both"/>
              <w:rPr>
                <w:rFonts w:eastAsia="DengXian"/>
                <w:bCs/>
                <w:szCs w:val="24"/>
              </w:rPr>
            </w:pPr>
            <w:r w:rsidRPr="00A970E4">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3292690" w14:textId="77777777" w:rsidR="007B485D" w:rsidRPr="00727DFA" w:rsidRDefault="007B485D" w:rsidP="002D6DD7">
            <w:pPr>
              <w:jc w:val="both"/>
              <w:rPr>
                <w:rFonts w:eastAsia="DengXian"/>
                <w:szCs w:val="24"/>
              </w:rPr>
            </w:pPr>
            <w:r w:rsidRPr="00727DFA">
              <w:rPr>
                <w:rFonts w:eastAsia="DengXian"/>
                <w:szCs w:val="24"/>
              </w:rPr>
              <w:t>Invasive aspergillosis, invasive candidiasis, empirical treatment of systemic fungal infections in patients with neutropenia</w:t>
            </w:r>
            <w:r>
              <w:rPr>
                <w:rFonts w:eastAsia="DengXian"/>
                <w:szCs w:val="24"/>
              </w:rPr>
              <w:t>.</w:t>
            </w:r>
          </w:p>
        </w:tc>
      </w:tr>
      <w:tr w:rsidR="007B485D" w:rsidRPr="00727DFA" w14:paraId="3CE4C07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BC5598"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B2CA679" w14:textId="77777777" w:rsidR="007B485D" w:rsidRPr="00727DFA" w:rsidRDefault="007B485D" w:rsidP="002D6DD7">
            <w:pPr>
              <w:jc w:val="both"/>
              <w:rPr>
                <w:rFonts w:eastAsia="DengXian"/>
                <w:b/>
                <w:bCs/>
                <w:szCs w:val="24"/>
              </w:rPr>
            </w:pPr>
            <w:r w:rsidRPr="00727DFA">
              <w:rPr>
                <w:rFonts w:eastAsia="DengXian"/>
                <w:b/>
                <w:szCs w:val="24"/>
              </w:rPr>
              <w:t>Adult:</w:t>
            </w:r>
            <w:r w:rsidRPr="00727DFA">
              <w:rPr>
                <w:rFonts w:eastAsia="DengXian"/>
                <w:szCs w:val="24"/>
              </w:rPr>
              <w:t xml:space="preserve"> 70 mg once daily </w:t>
            </w:r>
            <w:r>
              <w:rPr>
                <w:rFonts w:eastAsia="DengXian"/>
                <w:szCs w:val="24"/>
              </w:rPr>
              <w:t>as loading dose</w:t>
            </w:r>
            <w:r w:rsidRPr="00727DFA">
              <w:rPr>
                <w:rFonts w:eastAsia="DengXian"/>
                <w:szCs w:val="24"/>
              </w:rPr>
              <w:t>, then 50 mg once daily</w:t>
            </w:r>
            <w:r>
              <w:rPr>
                <w:rFonts w:eastAsia="DengXian"/>
                <w:szCs w:val="24"/>
              </w:rPr>
              <w:t xml:space="preserve"> maintenance dose</w:t>
            </w:r>
          </w:p>
          <w:p w14:paraId="0AFB4C46" w14:textId="77777777" w:rsidR="007B485D" w:rsidRPr="00727DFA" w:rsidRDefault="007B485D" w:rsidP="002D6DD7">
            <w:pPr>
              <w:jc w:val="both"/>
              <w:rPr>
                <w:rFonts w:eastAsia="DengXian"/>
                <w:szCs w:val="24"/>
              </w:rPr>
            </w:pPr>
            <w:r>
              <w:rPr>
                <w:rFonts w:eastAsia="DengXian"/>
                <w:b/>
                <w:szCs w:val="24"/>
              </w:rPr>
              <w:t xml:space="preserve">Child </w:t>
            </w:r>
            <w:r w:rsidRPr="00727DFA">
              <w:rPr>
                <w:rFonts w:eastAsia="DengXian"/>
                <w:b/>
                <w:szCs w:val="24"/>
              </w:rPr>
              <w:t>(3 months – 17 years):</w:t>
            </w:r>
            <w:r w:rsidRPr="00727DFA">
              <w:rPr>
                <w:rFonts w:eastAsia="DengXian"/>
                <w:szCs w:val="24"/>
              </w:rPr>
              <w:t xml:space="preserve"> 70 mg /m</w:t>
            </w:r>
            <w:r w:rsidRPr="00727DFA">
              <w:rPr>
                <w:rFonts w:eastAsia="DengXian"/>
                <w:szCs w:val="24"/>
                <w:vertAlign w:val="superscript"/>
              </w:rPr>
              <w:t>2</w:t>
            </w:r>
            <w:r w:rsidRPr="00727DFA">
              <w:rPr>
                <w:rFonts w:eastAsia="DengXian"/>
                <w:szCs w:val="24"/>
              </w:rPr>
              <w:t xml:space="preserve"> (up to 70 mg) for 1 day, then 50 mg/m</w:t>
            </w:r>
            <w:r w:rsidRPr="00727DFA">
              <w:rPr>
                <w:rFonts w:eastAsia="DengXian"/>
                <w:szCs w:val="24"/>
                <w:vertAlign w:val="superscript"/>
              </w:rPr>
              <w:t>2</w:t>
            </w:r>
            <w:r w:rsidRPr="00727DFA">
              <w:rPr>
                <w:rFonts w:eastAsia="DengXian"/>
                <w:szCs w:val="24"/>
              </w:rPr>
              <w:t xml:space="preserve"> (up to 50 mg) once daily </w:t>
            </w:r>
          </w:p>
          <w:p w14:paraId="65A9C483" w14:textId="77777777" w:rsidR="007B485D" w:rsidRPr="00727DFA" w:rsidRDefault="007B485D" w:rsidP="002D6DD7">
            <w:pPr>
              <w:jc w:val="both"/>
              <w:rPr>
                <w:rFonts w:eastAsia="DengXian"/>
                <w:szCs w:val="24"/>
              </w:rPr>
            </w:pPr>
            <w:r w:rsidRPr="00727DFA">
              <w:rPr>
                <w:rFonts w:eastAsia="DengXian"/>
                <w:b/>
                <w:szCs w:val="24"/>
              </w:rPr>
              <w:t>Note</w:t>
            </w:r>
            <w:r w:rsidRPr="00727DFA">
              <w:rPr>
                <w:rFonts w:eastAsia="DengXian"/>
                <w:szCs w:val="24"/>
              </w:rPr>
              <w:t xml:space="preserve">: </w:t>
            </w:r>
            <w:r w:rsidRPr="00873AF2">
              <w:rPr>
                <w:rFonts w:eastAsia="DengXian"/>
                <w:i/>
                <w:iCs/>
                <w:szCs w:val="24"/>
              </w:rPr>
              <w:t>Administer by slow IV infusion</w:t>
            </w:r>
            <w:r>
              <w:rPr>
                <w:rFonts w:eastAsia="DengXian"/>
                <w:i/>
                <w:iCs/>
                <w:szCs w:val="24"/>
              </w:rPr>
              <w:t>.</w:t>
            </w:r>
          </w:p>
        </w:tc>
      </w:tr>
      <w:tr w:rsidR="007B485D" w:rsidRPr="00727DFA" w14:paraId="5C07B6C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B76347"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C68656C"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p>
        </w:tc>
      </w:tr>
      <w:tr w:rsidR="007B485D" w:rsidRPr="00727DFA" w14:paraId="5C3DED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FBC24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B58799B" w14:textId="77777777" w:rsidR="007B485D" w:rsidRPr="00727DFA" w:rsidRDefault="007B485D" w:rsidP="002D6DD7">
            <w:pPr>
              <w:jc w:val="both"/>
              <w:rPr>
                <w:rFonts w:eastAsia="DengXian"/>
                <w:szCs w:val="24"/>
              </w:rPr>
            </w:pPr>
            <w:r w:rsidRPr="00727DFA">
              <w:rPr>
                <w:rFonts w:eastAsia="DengXian"/>
                <w:szCs w:val="24"/>
              </w:rPr>
              <w:t>CYP</w:t>
            </w:r>
            <w:r w:rsidRPr="00FC79DC">
              <w:rPr>
                <w:rFonts w:eastAsia="DengXian"/>
                <w:szCs w:val="24"/>
                <w:vertAlign w:val="subscript"/>
              </w:rPr>
              <w:t xml:space="preserve">3A4 </w:t>
            </w:r>
            <w:r w:rsidRPr="00727DFA">
              <w:rPr>
                <w:rFonts w:eastAsia="DengXian"/>
                <w:szCs w:val="24"/>
              </w:rPr>
              <w:t>inducers</w:t>
            </w:r>
            <w:r>
              <w:rPr>
                <w:rFonts w:eastAsia="DengXian"/>
                <w:szCs w:val="24"/>
              </w:rPr>
              <w:t>,</w:t>
            </w:r>
            <w:r w:rsidRPr="00727DFA">
              <w:rPr>
                <w:rFonts w:eastAsia="DengXian"/>
                <w:szCs w:val="24"/>
              </w:rPr>
              <w:t xml:space="preserve"> antiepileptics (carbamazepine, fosphenytoin, phenytoin), rifampicin</w:t>
            </w:r>
            <w:r>
              <w:rPr>
                <w:rFonts w:eastAsia="DengXian"/>
                <w:szCs w:val="24"/>
              </w:rPr>
              <w:t xml:space="preserve">, ciclosporin. </w:t>
            </w:r>
          </w:p>
        </w:tc>
      </w:tr>
      <w:tr w:rsidR="007B485D" w:rsidRPr="00727DFA" w14:paraId="18119D4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BBD8F9"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177FACB7" w14:textId="77777777" w:rsidR="007B485D" w:rsidRPr="00727DFA" w:rsidRDefault="007B485D" w:rsidP="002D6DD7">
            <w:pPr>
              <w:jc w:val="both"/>
              <w:rPr>
                <w:rFonts w:eastAsia="DengXian"/>
                <w:szCs w:val="24"/>
              </w:rPr>
            </w:pPr>
            <w:r w:rsidRPr="00727DFA">
              <w:rPr>
                <w:rFonts w:eastAsia="DengXian"/>
                <w:szCs w:val="24"/>
              </w:rPr>
              <w:t xml:space="preserve">Pyrexia, diarrhea, chills, decreased potassium, increased alkaline phosphatase, decreased haemoglobin, hypotension, respiratory failure, </w:t>
            </w:r>
            <w:r>
              <w:rPr>
                <w:rFonts w:eastAsia="DengXian"/>
                <w:szCs w:val="24"/>
              </w:rPr>
              <w:t>liver enzyme abnormalities,</w:t>
            </w:r>
            <w:r w:rsidRPr="00727DFA">
              <w:rPr>
                <w:rFonts w:eastAsia="DengXian"/>
                <w:szCs w:val="24"/>
              </w:rPr>
              <w:t xml:space="preserve"> fever, decreased haematocrit, phlebitis, vomiting, rash, nausea, headache, increased bilirubin, septic shock, decreased WBC, peripheral edema, cough, pneumonia, increased creatinine, anemia, abdominal pain, dyspnea, increased blood urea, pleural effusion, increased conjugated bilirubin, decreased albumin, tachycardia, decreased magnesium</w:t>
            </w:r>
            <w:r>
              <w:rPr>
                <w:rFonts w:eastAsia="DengXian"/>
                <w:szCs w:val="24"/>
              </w:rPr>
              <w:t>.</w:t>
            </w:r>
          </w:p>
        </w:tc>
      </w:tr>
      <w:tr w:rsidR="007B485D" w:rsidRPr="00727DFA" w14:paraId="52A9531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CC955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18A5345" w14:textId="77777777" w:rsidR="007B485D" w:rsidRPr="00727DFA" w:rsidRDefault="007B485D" w:rsidP="002D6DD7">
            <w:pPr>
              <w:jc w:val="both"/>
              <w:rPr>
                <w:rFonts w:eastAsia="DengXian"/>
                <w:szCs w:val="24"/>
              </w:rPr>
            </w:pPr>
            <w:r w:rsidRPr="00727DFA">
              <w:rPr>
                <w:rFonts w:eastAsia="DengXian"/>
                <w:szCs w:val="24"/>
              </w:rPr>
              <w:t xml:space="preserve">Pregnancy, breastfeeding, </w:t>
            </w:r>
            <w:r>
              <w:rPr>
                <w:rFonts w:eastAsia="DengXian"/>
                <w:szCs w:val="24"/>
              </w:rPr>
              <w:t>hypersensitivity, hepatic</w:t>
            </w:r>
            <w:r w:rsidRPr="00727DFA">
              <w:rPr>
                <w:rFonts w:eastAsia="DengXian"/>
                <w:szCs w:val="24"/>
              </w:rPr>
              <w:t xml:space="preserve"> and renal impairment. </w:t>
            </w:r>
          </w:p>
        </w:tc>
      </w:tr>
      <w:tr w:rsidR="007B485D" w:rsidRPr="00727DFA" w14:paraId="414D262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4E6393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F2E6107" w14:textId="77777777" w:rsidR="007B485D" w:rsidRPr="00727DFA" w:rsidRDefault="007B485D" w:rsidP="002D6DD7">
            <w:pPr>
              <w:jc w:val="both"/>
              <w:rPr>
                <w:rFonts w:eastAsia="DengXian"/>
                <w:szCs w:val="24"/>
              </w:rPr>
            </w:pPr>
            <w:r w:rsidRPr="00727DFA">
              <w:rPr>
                <w:rFonts w:eastAsia="DengXian"/>
                <w:szCs w:val="24"/>
              </w:rPr>
              <w:t xml:space="preserve">Store </w:t>
            </w:r>
            <w:r>
              <w:rPr>
                <w:rFonts w:eastAsia="DengXian"/>
                <w:szCs w:val="24"/>
              </w:rPr>
              <w:t>between</w:t>
            </w:r>
            <w:r w:rsidRPr="00727DFA">
              <w:rPr>
                <w:rFonts w:eastAsia="DengXian"/>
                <w:szCs w:val="24"/>
              </w:rPr>
              <w:t xml:space="preserve"> 2°C - 8°C</w:t>
            </w:r>
            <w:r>
              <w:rPr>
                <w:rFonts w:eastAsia="DengXian"/>
                <w:szCs w:val="24"/>
              </w:rPr>
              <w:t>.</w:t>
            </w:r>
          </w:p>
        </w:tc>
      </w:tr>
      <w:tr w:rsidR="007B485D" w:rsidRPr="00727DFA" w14:paraId="4ECFFCC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7BD937D" w14:textId="77777777" w:rsidR="007B485D" w:rsidRPr="00727DFA" w:rsidRDefault="007B485D" w:rsidP="002D6DD7">
            <w:pPr>
              <w:jc w:val="both"/>
              <w:rPr>
                <w:rFonts w:eastAsia="DengXian"/>
                <w:b/>
                <w:bCs/>
                <w:szCs w:val="24"/>
              </w:rPr>
            </w:pPr>
            <w:r w:rsidRPr="00727DFA">
              <w:rPr>
                <w:rFonts w:eastAsia="DengXian"/>
                <w:b/>
                <w:bCs/>
                <w:szCs w:val="24"/>
              </w:rPr>
              <w:t xml:space="preserve">Clotrimazole </w:t>
            </w:r>
          </w:p>
        </w:tc>
      </w:tr>
      <w:tr w:rsidR="007B485D" w:rsidRPr="00727DFA" w14:paraId="5D255A4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211405"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C09C05C" w14:textId="77777777" w:rsidR="007B485D" w:rsidRPr="00727DFA" w:rsidRDefault="007B485D" w:rsidP="002D6DD7">
            <w:pPr>
              <w:jc w:val="both"/>
              <w:rPr>
                <w:rFonts w:eastAsia="DengXian"/>
                <w:szCs w:val="24"/>
              </w:rPr>
            </w:pPr>
            <w:r w:rsidRPr="00727DFA">
              <w:rPr>
                <w:rFonts w:eastAsia="DengXian"/>
                <w:szCs w:val="24"/>
              </w:rPr>
              <w:t xml:space="preserve">Imidazole antifungal </w:t>
            </w:r>
          </w:p>
        </w:tc>
      </w:tr>
      <w:tr w:rsidR="007B485D" w:rsidRPr="00810924" w14:paraId="45E7EBA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04E28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F73509A"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(vaginal): 100mg, </w:t>
            </w:r>
            <w:r w:rsidRPr="00727DFA">
              <w:rPr>
                <w:rFonts w:eastAsia="DengXian"/>
                <w:szCs w:val="24"/>
                <w:lang w:val="sv-SE"/>
              </w:rPr>
              <w:t xml:space="preserve">200mg, </w:t>
            </w:r>
            <w:r w:rsidRPr="00727DFA">
              <w:rPr>
                <w:rFonts w:eastAsia="DengXian"/>
                <w:szCs w:val="24"/>
                <w:lang w:val="nb-NO"/>
              </w:rPr>
              <w:t>500mg</w:t>
            </w:r>
          </w:p>
        </w:tc>
      </w:tr>
      <w:tr w:rsidR="007B485D" w:rsidRPr="00727DFA" w14:paraId="6C81678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4838FC"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6BF1B27" w14:textId="77777777" w:rsidR="007B485D" w:rsidRPr="00727DFA" w:rsidRDefault="007B485D" w:rsidP="002D6DD7">
            <w:pPr>
              <w:jc w:val="both"/>
              <w:rPr>
                <w:rFonts w:eastAsia="DengXian"/>
                <w:szCs w:val="24"/>
              </w:rPr>
            </w:pPr>
            <w:r w:rsidRPr="00727DFA">
              <w:rPr>
                <w:rFonts w:eastAsia="DengXian"/>
                <w:szCs w:val="24"/>
              </w:rPr>
              <w:t>Vaginal candidiasis</w:t>
            </w:r>
            <w:r>
              <w:rPr>
                <w:rFonts w:eastAsia="DengXian"/>
                <w:szCs w:val="24"/>
              </w:rPr>
              <w:t>.</w:t>
            </w:r>
          </w:p>
        </w:tc>
      </w:tr>
      <w:tr w:rsidR="007B485D" w:rsidRPr="00727DFA" w14:paraId="7C275FC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6DA75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8BAAEC4" w14:textId="77777777" w:rsidR="007B485D" w:rsidRPr="00727DFA" w:rsidRDefault="007B485D" w:rsidP="002D6DD7">
            <w:pPr>
              <w:jc w:val="both"/>
              <w:rPr>
                <w:rFonts w:eastAsia="DengXian"/>
                <w:b/>
                <w:bCs/>
                <w:szCs w:val="24"/>
              </w:rPr>
            </w:pPr>
            <w:r w:rsidRPr="00727DFA">
              <w:rPr>
                <w:rFonts w:eastAsia="DengXian"/>
                <w:b/>
                <w:bCs/>
                <w:szCs w:val="24"/>
              </w:rPr>
              <w:t xml:space="preserve">Vaginal candidiasis:  </w:t>
            </w:r>
            <w:r w:rsidRPr="00727DFA">
              <w:rPr>
                <w:rFonts w:eastAsia="DengXian"/>
                <w:szCs w:val="24"/>
              </w:rPr>
              <w:t>vaginal administration (pessary)</w:t>
            </w:r>
            <w:r>
              <w:rPr>
                <w:rFonts w:eastAsia="DengXian"/>
                <w:szCs w:val="24"/>
              </w:rPr>
              <w:t>,</w:t>
            </w:r>
          </w:p>
          <w:p w14:paraId="2CCF8B71"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500 mg at night as a single dose; or 200 mg at night for 3 days; or 100 mg at night for </w:t>
            </w:r>
            <w:r>
              <w:rPr>
                <w:rFonts w:eastAsia="DengXian"/>
                <w:szCs w:val="24"/>
              </w:rPr>
              <w:t>7</w:t>
            </w:r>
            <w:r w:rsidRPr="00727DFA">
              <w:rPr>
                <w:rFonts w:eastAsia="DengXian"/>
                <w:szCs w:val="24"/>
              </w:rPr>
              <w:t xml:space="preserve"> days, preferably at night  </w:t>
            </w:r>
          </w:p>
          <w:p w14:paraId="312539CE" w14:textId="77777777" w:rsidR="007B485D" w:rsidRPr="00727DFA" w:rsidRDefault="007B485D" w:rsidP="002D6DD7">
            <w:pPr>
              <w:jc w:val="both"/>
              <w:rPr>
                <w:rFonts w:eastAsia="DengXian"/>
                <w:b/>
                <w:bCs/>
                <w:szCs w:val="24"/>
              </w:rPr>
            </w:pPr>
            <w:r w:rsidRPr="00727DFA">
              <w:rPr>
                <w:rFonts w:eastAsia="DengXian"/>
                <w:b/>
                <w:bCs/>
                <w:szCs w:val="24"/>
              </w:rPr>
              <w:t xml:space="preserve">Note: </w:t>
            </w:r>
            <w:r w:rsidRPr="00727DFA">
              <w:rPr>
                <w:rFonts w:eastAsia="DengXian"/>
                <w:szCs w:val="24"/>
              </w:rPr>
              <w:t>not recommended for pediatrics</w:t>
            </w:r>
          </w:p>
        </w:tc>
      </w:tr>
      <w:tr w:rsidR="007B485D" w:rsidRPr="00727DFA" w14:paraId="3015725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938F73"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0F2DD01" w14:textId="77777777" w:rsidR="007B485D" w:rsidRPr="00727DFA" w:rsidRDefault="007B485D" w:rsidP="002D6DD7">
            <w:pPr>
              <w:jc w:val="both"/>
              <w:rPr>
                <w:rFonts w:eastAsia="DengXian"/>
                <w:szCs w:val="24"/>
              </w:rPr>
            </w:pPr>
            <w:r>
              <w:rPr>
                <w:rFonts w:eastAsia="DengXian"/>
                <w:szCs w:val="24"/>
              </w:rPr>
              <w:t>Hypersensitivity to the drug or other aozle antifungals, i</w:t>
            </w:r>
            <w:r w:rsidRPr="00727DFA">
              <w:rPr>
                <w:rFonts w:eastAsia="DengXian"/>
                <w:szCs w:val="24"/>
              </w:rPr>
              <w:t>rregular or abnormal vaginal bleeding, vaginal ulcers, foul smelling discharge</w:t>
            </w:r>
            <w:r>
              <w:rPr>
                <w:rFonts w:eastAsia="DengXian"/>
                <w:szCs w:val="24"/>
              </w:rPr>
              <w:t>.</w:t>
            </w:r>
          </w:p>
        </w:tc>
      </w:tr>
      <w:tr w:rsidR="007B485D" w:rsidRPr="00727DFA" w14:paraId="404C48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D03A9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C6380AC" w14:textId="77777777" w:rsidR="007B485D" w:rsidRPr="00727DFA" w:rsidRDefault="007B485D" w:rsidP="002D6DD7">
            <w:pPr>
              <w:jc w:val="both"/>
              <w:rPr>
                <w:rFonts w:eastAsia="DengXian"/>
                <w:szCs w:val="24"/>
              </w:rPr>
            </w:pPr>
            <w:r>
              <w:rPr>
                <w:rFonts w:eastAsia="DengXian"/>
                <w:szCs w:val="24"/>
              </w:rPr>
              <w:t>Tacrolimus, latex contraceptives,</w:t>
            </w:r>
            <w:r w:rsidRPr="00727DFA">
              <w:rPr>
                <w:rFonts w:eastAsia="DengXian"/>
                <w:szCs w:val="24"/>
              </w:rPr>
              <w:t xml:space="preserve"> other antifungals</w:t>
            </w:r>
            <w:r>
              <w:rPr>
                <w:rFonts w:eastAsia="DengXian"/>
                <w:szCs w:val="24"/>
              </w:rPr>
              <w:t>.</w:t>
            </w:r>
          </w:p>
        </w:tc>
      </w:tr>
      <w:tr w:rsidR="007B485D" w:rsidRPr="00727DFA" w14:paraId="032BED0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96DBCE"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B7B45A7" w14:textId="77777777" w:rsidR="007B485D" w:rsidRPr="00727DFA" w:rsidRDefault="007B485D" w:rsidP="002D6DD7">
            <w:pPr>
              <w:jc w:val="both"/>
              <w:rPr>
                <w:rFonts w:eastAsia="DengXian"/>
                <w:szCs w:val="24"/>
              </w:rPr>
            </w:pPr>
            <w:r>
              <w:rPr>
                <w:rFonts w:eastAsia="DengXian"/>
                <w:szCs w:val="24"/>
              </w:rPr>
              <w:t xml:space="preserve">Nausea, vomiting, </w:t>
            </w:r>
            <w:r w:rsidRPr="00727DFA">
              <w:rPr>
                <w:rFonts w:eastAsia="DengXian"/>
                <w:szCs w:val="24"/>
              </w:rPr>
              <w:t>itching, cramping, pain, bleeding</w:t>
            </w:r>
            <w:r>
              <w:rPr>
                <w:rFonts w:eastAsia="DengXian"/>
                <w:szCs w:val="24"/>
              </w:rPr>
              <w:t>, v</w:t>
            </w:r>
            <w:r w:rsidRPr="00727DFA">
              <w:rPr>
                <w:rFonts w:eastAsia="DengXian"/>
                <w:szCs w:val="24"/>
              </w:rPr>
              <w:t>ulvar lesions</w:t>
            </w:r>
            <w:r>
              <w:rPr>
                <w:rFonts w:eastAsia="DengXian"/>
                <w:szCs w:val="24"/>
              </w:rPr>
              <w:t>,</w:t>
            </w:r>
            <w:r w:rsidRPr="00727DFA">
              <w:rPr>
                <w:rFonts w:eastAsia="DengXian"/>
                <w:szCs w:val="24"/>
              </w:rPr>
              <w:t xml:space="preserve"> rash</w:t>
            </w:r>
            <w:r>
              <w:rPr>
                <w:rFonts w:eastAsia="DengXian"/>
                <w:szCs w:val="24"/>
              </w:rPr>
              <w:t>.</w:t>
            </w:r>
          </w:p>
        </w:tc>
      </w:tr>
      <w:tr w:rsidR="007B485D" w:rsidRPr="00727DFA" w14:paraId="1AF9CDF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3061A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261F5482"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breastfeeding, sexually transmitted diseases</w:t>
            </w:r>
            <w:r>
              <w:rPr>
                <w:rFonts w:eastAsia="DengXian"/>
                <w:szCs w:val="24"/>
              </w:rPr>
              <w:t>.</w:t>
            </w:r>
          </w:p>
        </w:tc>
      </w:tr>
      <w:tr w:rsidR="007B485D" w:rsidRPr="00727DFA" w14:paraId="5B8862F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5FC5F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13B5068" w14:textId="77777777" w:rsidR="007B485D" w:rsidRPr="00727DFA" w:rsidRDefault="007B485D" w:rsidP="002D6DD7">
            <w:pPr>
              <w:jc w:val="both"/>
              <w:rPr>
                <w:rFonts w:eastAsia="DengXian"/>
                <w:szCs w:val="24"/>
              </w:rPr>
            </w:pPr>
            <w:r w:rsidRPr="00727DFA">
              <w:rPr>
                <w:rFonts w:eastAsia="DengXian"/>
                <w:szCs w:val="24"/>
              </w:rPr>
              <w:t xml:space="preserve">Store below 30°C. </w:t>
            </w:r>
          </w:p>
        </w:tc>
      </w:tr>
      <w:tr w:rsidR="007B485D" w:rsidRPr="00727DFA" w14:paraId="3FC82CF2"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A4AB9D7" w14:textId="77777777" w:rsidR="007B485D" w:rsidRPr="00727DFA" w:rsidRDefault="007B485D" w:rsidP="002D6DD7">
            <w:pPr>
              <w:jc w:val="both"/>
              <w:rPr>
                <w:rFonts w:eastAsia="DengXian"/>
                <w:b/>
                <w:bCs/>
                <w:szCs w:val="24"/>
              </w:rPr>
            </w:pPr>
            <w:r w:rsidRPr="00727DFA">
              <w:rPr>
                <w:rFonts w:eastAsia="DengXian"/>
                <w:b/>
                <w:bCs/>
                <w:szCs w:val="24"/>
              </w:rPr>
              <w:t>Fluconazole</w:t>
            </w:r>
          </w:p>
        </w:tc>
      </w:tr>
      <w:tr w:rsidR="007B485D" w:rsidRPr="00727DFA" w14:paraId="6588F81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711075" w14:textId="77777777" w:rsidR="007B485D" w:rsidRPr="00727DFA" w:rsidRDefault="007B485D" w:rsidP="002D6DD7">
            <w:pPr>
              <w:jc w:val="both"/>
              <w:rPr>
                <w:rFonts w:eastAsia="DengXian"/>
                <w:bCs/>
                <w:szCs w:val="24"/>
                <w:lang w:val="fr-FR"/>
              </w:rPr>
            </w:pPr>
            <w:r w:rsidRPr="00727DFA">
              <w:rPr>
                <w:rFonts w:eastAsia="DengXian"/>
                <w:bCs/>
                <w:szCs w:val="24"/>
                <w:lang w:val="fr-FR"/>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59162D2" w14:textId="77777777" w:rsidR="007B485D" w:rsidRPr="00727DFA" w:rsidRDefault="007B485D" w:rsidP="002D6DD7">
            <w:pPr>
              <w:jc w:val="both"/>
              <w:rPr>
                <w:rFonts w:eastAsia="DengXian"/>
                <w:szCs w:val="24"/>
                <w:lang w:val="fr-FR"/>
              </w:rPr>
            </w:pPr>
            <w:r w:rsidRPr="00727DFA">
              <w:rPr>
                <w:rFonts w:eastAsia="DengXian"/>
                <w:szCs w:val="24"/>
                <w:lang w:val="fr-FR"/>
              </w:rPr>
              <w:t xml:space="preserve"> Triazole antifungal </w:t>
            </w:r>
          </w:p>
        </w:tc>
      </w:tr>
      <w:tr w:rsidR="007B485D" w:rsidRPr="00727DFA" w14:paraId="107F73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A36B0B"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24E5E29" w14:textId="77777777" w:rsidR="007B485D" w:rsidRPr="00727DFA" w:rsidRDefault="007B485D" w:rsidP="002D6DD7">
            <w:pPr>
              <w:jc w:val="both"/>
              <w:rPr>
                <w:rFonts w:eastAsia="DengXian"/>
                <w:szCs w:val="24"/>
                <w:lang w:val="nb-NO"/>
              </w:rPr>
            </w:pPr>
            <w:r w:rsidRPr="00727DFA">
              <w:rPr>
                <w:rFonts w:eastAsia="DengXian"/>
                <w:szCs w:val="24"/>
                <w:lang w:val="fr-FR"/>
              </w:rPr>
              <w:t>Capsule/</w:t>
            </w:r>
            <w:r>
              <w:rPr>
                <w:rFonts w:eastAsia="DengXian"/>
                <w:szCs w:val="24"/>
                <w:lang w:val="fr-FR"/>
              </w:rPr>
              <w:t>t</w:t>
            </w:r>
            <w:r w:rsidRPr="00727DFA">
              <w:rPr>
                <w:rFonts w:eastAsia="DengXian"/>
                <w:szCs w:val="24"/>
                <w:lang w:val="fr-FR"/>
              </w:rPr>
              <w:t>ablet : 50mg, 100mg, 200mg</w:t>
            </w:r>
          </w:p>
          <w:p w14:paraId="737F2A93" w14:textId="77777777" w:rsidR="007B485D" w:rsidRPr="00727DFA" w:rsidRDefault="007B485D" w:rsidP="002D6DD7">
            <w:pPr>
              <w:jc w:val="both"/>
              <w:rPr>
                <w:rFonts w:eastAsia="DengXian"/>
                <w:szCs w:val="24"/>
                <w:lang w:val="fr-FR"/>
              </w:rPr>
            </w:pPr>
            <w:r w:rsidRPr="00727DFA">
              <w:rPr>
                <w:rFonts w:eastAsia="DengXian"/>
                <w:szCs w:val="24"/>
                <w:lang w:val="fr-FR"/>
              </w:rPr>
              <w:t>Oral liquid : 50mg/5ml, 200mg/5ml</w:t>
            </w:r>
          </w:p>
          <w:p w14:paraId="709147E1" w14:textId="77777777" w:rsidR="007B485D" w:rsidRPr="00727DFA" w:rsidRDefault="007B485D" w:rsidP="002D6DD7">
            <w:pPr>
              <w:jc w:val="both"/>
              <w:rPr>
                <w:rFonts w:eastAsia="DengXian"/>
                <w:szCs w:val="24"/>
              </w:rPr>
            </w:pPr>
            <w:r w:rsidRPr="00727DFA">
              <w:rPr>
                <w:rFonts w:eastAsia="DengXian"/>
                <w:szCs w:val="24"/>
              </w:rPr>
              <w:lastRenderedPageBreak/>
              <w:t>Injection: 2 mg/ mL in vial</w:t>
            </w:r>
          </w:p>
        </w:tc>
      </w:tr>
      <w:tr w:rsidR="007B485D" w:rsidRPr="00727DFA" w14:paraId="5A41D3A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90432B" w14:textId="77777777" w:rsidR="007B485D" w:rsidRPr="00727DFA" w:rsidRDefault="007B485D" w:rsidP="002D6DD7">
            <w:pPr>
              <w:jc w:val="both"/>
              <w:rPr>
                <w:rFonts w:eastAsia="DengXian"/>
                <w:bCs/>
                <w:szCs w:val="24"/>
              </w:rPr>
            </w:pPr>
            <w:r w:rsidRPr="003A345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2D6D6ED6" w14:textId="77777777" w:rsidR="007B485D" w:rsidRPr="00727DFA" w:rsidRDefault="007B485D" w:rsidP="002D6DD7">
            <w:pPr>
              <w:jc w:val="both"/>
              <w:rPr>
                <w:rFonts w:eastAsia="DengXian"/>
                <w:szCs w:val="24"/>
              </w:rPr>
            </w:pPr>
            <w:r w:rsidRPr="00727DFA">
              <w:rPr>
                <w:rFonts w:eastAsia="DengXian"/>
                <w:szCs w:val="24"/>
              </w:rPr>
              <w:t>Vaginal and</w:t>
            </w:r>
            <w:r>
              <w:rPr>
                <w:rFonts w:eastAsia="DengXian"/>
                <w:szCs w:val="24"/>
              </w:rPr>
              <w:t xml:space="preserve"> </w:t>
            </w:r>
            <w:r w:rsidRPr="00727DFA">
              <w:rPr>
                <w:rFonts w:eastAsia="DengXian"/>
                <w:szCs w:val="24"/>
              </w:rPr>
              <w:t>oropharyngeal</w:t>
            </w:r>
            <w:r>
              <w:rPr>
                <w:rFonts w:eastAsia="DengXian"/>
                <w:szCs w:val="24"/>
              </w:rPr>
              <w:t xml:space="preserve"> </w:t>
            </w:r>
            <w:r w:rsidRPr="00727DFA">
              <w:rPr>
                <w:rFonts w:eastAsia="DengXian"/>
                <w:szCs w:val="24"/>
              </w:rPr>
              <w:t>candidiasis, esophageal and systemic candidiasis, tinea pedis, corporis, cruris, pityriasis versicolor, cryptococcal meningitis and maintenance therapy to prevent relapse of cryptococcal disease in patients with AIDS</w:t>
            </w:r>
          </w:p>
        </w:tc>
      </w:tr>
      <w:tr w:rsidR="007B485D" w:rsidRPr="00727DFA" w14:paraId="132693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613AD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F1BBC32"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w:t>
            </w:r>
          </w:p>
          <w:p w14:paraId="160FC5CC" w14:textId="77777777" w:rsidR="007B485D" w:rsidRPr="00727DFA" w:rsidRDefault="007B485D" w:rsidP="002D6DD7">
            <w:pPr>
              <w:jc w:val="both"/>
              <w:rPr>
                <w:rFonts w:eastAsia="DengXian"/>
                <w:szCs w:val="24"/>
              </w:rPr>
            </w:pPr>
            <w:r w:rsidRPr="00727DFA">
              <w:rPr>
                <w:rFonts w:eastAsia="DengXian"/>
                <w:b/>
                <w:bCs/>
                <w:szCs w:val="24"/>
              </w:rPr>
              <w:t>Vulvovaginal candidiasis:</w:t>
            </w:r>
            <w:r w:rsidRPr="00727DFA">
              <w:rPr>
                <w:rFonts w:eastAsia="DengXian"/>
                <w:szCs w:val="24"/>
              </w:rPr>
              <w:t xml:space="preserve"> Oral: 150mg as a single dose. </w:t>
            </w:r>
          </w:p>
          <w:p w14:paraId="7623F1DB" w14:textId="77777777" w:rsidR="007B485D" w:rsidRPr="00727DFA" w:rsidRDefault="007B485D" w:rsidP="002D6DD7">
            <w:pPr>
              <w:jc w:val="both"/>
              <w:rPr>
                <w:rFonts w:eastAsia="DengXian"/>
                <w:szCs w:val="24"/>
              </w:rPr>
            </w:pPr>
            <w:r w:rsidRPr="00727DFA">
              <w:rPr>
                <w:rFonts w:eastAsia="DengXian"/>
                <w:b/>
                <w:bCs/>
                <w:szCs w:val="24"/>
              </w:rPr>
              <w:t>Oropharyngeal candidiasis</w:t>
            </w:r>
            <w:r w:rsidRPr="00727DFA">
              <w:rPr>
                <w:rFonts w:eastAsia="DengXian"/>
                <w:szCs w:val="24"/>
              </w:rPr>
              <w:t>: Oral: 100- 200mg daily for 7-14 days</w:t>
            </w:r>
            <w:r>
              <w:rPr>
                <w:rFonts w:eastAsia="DengXian"/>
                <w:szCs w:val="24"/>
              </w:rPr>
              <w:t>: 200mg PO on day 1, then 100 mg daily</w:t>
            </w:r>
            <w:r w:rsidRPr="00727DFA">
              <w:rPr>
                <w:rFonts w:eastAsia="DengXian"/>
                <w:szCs w:val="24"/>
              </w:rPr>
              <w:t xml:space="preserve"> </w:t>
            </w:r>
          </w:p>
          <w:p w14:paraId="5C025B17" w14:textId="77777777" w:rsidR="007B485D" w:rsidRPr="00727DFA" w:rsidRDefault="007B485D" w:rsidP="002D6DD7">
            <w:pPr>
              <w:jc w:val="both"/>
              <w:rPr>
                <w:rFonts w:eastAsia="DengXian"/>
                <w:szCs w:val="24"/>
              </w:rPr>
            </w:pPr>
            <w:r w:rsidRPr="00727DFA">
              <w:rPr>
                <w:rFonts w:eastAsia="DengXian"/>
                <w:b/>
                <w:bCs/>
                <w:szCs w:val="24"/>
              </w:rPr>
              <w:t>Esophageal candidiasis:</w:t>
            </w:r>
            <w:r w:rsidRPr="00727DFA">
              <w:rPr>
                <w:rFonts w:eastAsia="DengXian"/>
                <w:szCs w:val="24"/>
              </w:rPr>
              <w:t xml:space="preserve"> Oral: 100-400mg daily</w:t>
            </w:r>
            <w:r>
              <w:rPr>
                <w:rFonts w:eastAsia="DengXian"/>
                <w:szCs w:val="24"/>
              </w:rPr>
              <w:t>; 200mg PO on day 1, then 100 mg daily, dose can increase up to 400mg/day based on response</w:t>
            </w:r>
          </w:p>
          <w:p w14:paraId="616D56FF" w14:textId="77777777" w:rsidR="007B485D" w:rsidRPr="00727DFA" w:rsidRDefault="007B485D" w:rsidP="002D6DD7">
            <w:pPr>
              <w:jc w:val="both"/>
              <w:rPr>
                <w:rFonts w:eastAsia="DengXian"/>
                <w:szCs w:val="24"/>
              </w:rPr>
            </w:pPr>
            <w:r w:rsidRPr="00727DFA">
              <w:rPr>
                <w:rFonts w:eastAsia="DengXian"/>
                <w:b/>
                <w:bCs/>
                <w:szCs w:val="24"/>
              </w:rPr>
              <w:t>Systemic candidiasis</w:t>
            </w:r>
            <w:r w:rsidRPr="00727DFA">
              <w:rPr>
                <w:rFonts w:eastAsia="DengXian"/>
                <w:szCs w:val="24"/>
              </w:rPr>
              <w:t>: Oral or IV: 400mg daily.</w:t>
            </w:r>
          </w:p>
          <w:p w14:paraId="3AAF6614" w14:textId="77777777" w:rsidR="007B485D" w:rsidRPr="00727DFA" w:rsidRDefault="007B485D" w:rsidP="002D6DD7">
            <w:pPr>
              <w:jc w:val="both"/>
              <w:rPr>
                <w:rFonts w:eastAsia="DengXian"/>
                <w:szCs w:val="24"/>
              </w:rPr>
            </w:pPr>
            <w:r w:rsidRPr="00727DFA">
              <w:rPr>
                <w:rFonts w:eastAsia="DengXian"/>
                <w:b/>
                <w:bCs/>
                <w:szCs w:val="24"/>
              </w:rPr>
              <w:t>Cryptococcal meningitis</w:t>
            </w:r>
            <w:r w:rsidRPr="00727DFA">
              <w:rPr>
                <w:rFonts w:eastAsia="DengXian"/>
                <w:szCs w:val="24"/>
              </w:rPr>
              <w:t xml:space="preserve">: </w:t>
            </w:r>
          </w:p>
          <w:p w14:paraId="75EBE740" w14:textId="77777777" w:rsidR="007B485D" w:rsidRPr="00727DFA" w:rsidRDefault="007B485D" w:rsidP="002D6DD7">
            <w:pPr>
              <w:jc w:val="both"/>
              <w:rPr>
                <w:rFonts w:eastAsia="DengXian"/>
                <w:szCs w:val="24"/>
              </w:rPr>
            </w:pPr>
            <w:r w:rsidRPr="00873AF2">
              <w:rPr>
                <w:rFonts w:eastAsia="DengXian"/>
                <w:b/>
                <w:bCs/>
                <w:szCs w:val="24"/>
              </w:rPr>
              <w:t>Oral or IV</w:t>
            </w:r>
            <w:r w:rsidRPr="00727DFA">
              <w:rPr>
                <w:rFonts w:eastAsia="DengXian"/>
                <w:szCs w:val="24"/>
              </w:rPr>
              <w:t>: 400mg</w:t>
            </w:r>
            <w:r>
              <w:rPr>
                <w:rFonts w:eastAsia="DengXian"/>
                <w:szCs w:val="24"/>
              </w:rPr>
              <w:t xml:space="preserve"> on day 1 then 200mg</w:t>
            </w:r>
            <w:r w:rsidRPr="00727DFA">
              <w:rPr>
                <w:rFonts w:eastAsia="DengXian"/>
                <w:szCs w:val="24"/>
              </w:rPr>
              <w:t xml:space="preserve"> daily, prevention of relapse in patients with AIDS, 200mg   daily. </w:t>
            </w:r>
            <w:r>
              <w:rPr>
                <w:rFonts w:eastAsia="DengXian"/>
                <w:szCs w:val="24"/>
              </w:rPr>
              <w:t>dose can increase up to 400mg/day based on response</w:t>
            </w:r>
          </w:p>
          <w:p w14:paraId="76138838" w14:textId="77777777" w:rsidR="007B485D" w:rsidRPr="00727DFA" w:rsidRDefault="007B485D" w:rsidP="002D6DD7">
            <w:pPr>
              <w:jc w:val="both"/>
              <w:rPr>
                <w:rFonts w:eastAsia="DengXian"/>
                <w:szCs w:val="24"/>
              </w:rPr>
            </w:pPr>
            <w:r w:rsidRPr="00727DFA">
              <w:rPr>
                <w:rFonts w:eastAsia="DengXian"/>
                <w:b/>
                <w:bCs/>
                <w:szCs w:val="24"/>
              </w:rPr>
              <w:t>Treatment of cryptococcal disease for adults and adolescents</w:t>
            </w:r>
            <w:r w:rsidRPr="00727DFA">
              <w:rPr>
                <w:rFonts w:eastAsia="DengXian"/>
                <w:b/>
                <w:bCs/>
                <w:szCs w:val="24"/>
              </w:rPr>
              <w:br/>
              <w:t xml:space="preserve">living with HIV: </w:t>
            </w:r>
            <w:r w:rsidRPr="00727DFA">
              <w:rPr>
                <w:rFonts w:eastAsia="DengXian"/>
                <w:szCs w:val="24"/>
              </w:rPr>
              <w:t>Oral: 600 mg BID</w:t>
            </w:r>
          </w:p>
          <w:p w14:paraId="665DC3DA" w14:textId="77777777" w:rsidR="007B485D" w:rsidRPr="00727DFA" w:rsidRDefault="007B485D" w:rsidP="002D6DD7">
            <w:pPr>
              <w:jc w:val="both"/>
              <w:rPr>
                <w:rFonts w:eastAsia="DengXian"/>
                <w:szCs w:val="24"/>
              </w:rPr>
            </w:pPr>
            <w:r w:rsidRPr="00727DFA">
              <w:rPr>
                <w:rFonts w:eastAsia="DengXian"/>
                <w:b/>
                <w:bCs/>
                <w:szCs w:val="24"/>
              </w:rPr>
              <w:t xml:space="preserve">Tinea pedis: </w:t>
            </w:r>
            <w:r w:rsidRPr="00727DFA">
              <w:rPr>
                <w:rFonts w:eastAsia="DengXian"/>
                <w:szCs w:val="24"/>
              </w:rPr>
              <w:t>Oral: 50 to 200mg once weekly</w:t>
            </w:r>
          </w:p>
          <w:p w14:paraId="362F779C" w14:textId="77777777" w:rsidR="007B485D" w:rsidRPr="00727DFA" w:rsidRDefault="007B485D" w:rsidP="002D6DD7">
            <w:pPr>
              <w:jc w:val="both"/>
              <w:rPr>
                <w:rFonts w:eastAsia="DengXian"/>
                <w:szCs w:val="24"/>
              </w:rPr>
            </w:pPr>
            <w:r w:rsidRPr="00727DFA">
              <w:rPr>
                <w:rFonts w:eastAsia="DengXian"/>
                <w:b/>
                <w:bCs/>
                <w:szCs w:val="24"/>
              </w:rPr>
              <w:t>Child</w:t>
            </w:r>
            <w:r w:rsidRPr="00727DFA">
              <w:rPr>
                <w:rFonts w:eastAsia="DengXian"/>
                <w:szCs w:val="24"/>
              </w:rPr>
              <w:t xml:space="preserve"> (Oral or IV): </w:t>
            </w:r>
          </w:p>
          <w:p w14:paraId="560C6759" w14:textId="77777777" w:rsidR="007B485D" w:rsidRPr="00727DFA" w:rsidRDefault="007B485D" w:rsidP="002D6DD7">
            <w:pPr>
              <w:jc w:val="both"/>
              <w:rPr>
                <w:rFonts w:eastAsia="DengXian"/>
                <w:szCs w:val="24"/>
              </w:rPr>
            </w:pPr>
            <w:r w:rsidRPr="00727DFA">
              <w:rPr>
                <w:rFonts w:eastAsia="DengXian"/>
                <w:b/>
                <w:bCs/>
                <w:szCs w:val="24"/>
              </w:rPr>
              <w:t>Oropharyngeal</w:t>
            </w:r>
            <w:r>
              <w:rPr>
                <w:rFonts w:eastAsia="DengXian"/>
                <w:b/>
                <w:bCs/>
                <w:szCs w:val="24"/>
              </w:rPr>
              <w:t xml:space="preserve"> and esophageal</w:t>
            </w:r>
            <w:r w:rsidRPr="00727DFA">
              <w:rPr>
                <w:rFonts w:eastAsia="DengXian"/>
                <w:b/>
                <w:bCs/>
                <w:szCs w:val="24"/>
              </w:rPr>
              <w:t xml:space="preserve"> candidiasis:</w:t>
            </w:r>
            <w:r w:rsidRPr="00727DFA">
              <w:rPr>
                <w:rFonts w:eastAsia="DengXian"/>
                <w:szCs w:val="24"/>
              </w:rPr>
              <w:t xml:space="preserve"> </w:t>
            </w:r>
          </w:p>
          <w:p w14:paraId="34E5ACB5" w14:textId="77777777" w:rsidR="007B485D" w:rsidRPr="00727DFA" w:rsidRDefault="007B485D" w:rsidP="002D6DD7">
            <w:pPr>
              <w:jc w:val="both"/>
              <w:rPr>
                <w:rFonts w:eastAsia="DengXian"/>
                <w:szCs w:val="24"/>
              </w:rPr>
            </w:pPr>
            <w:r w:rsidRPr="00727DFA">
              <w:rPr>
                <w:rFonts w:eastAsia="DengXian"/>
                <w:b/>
                <w:bCs/>
                <w:szCs w:val="24"/>
              </w:rPr>
              <w:t xml:space="preserve">Child </w:t>
            </w:r>
            <w:r>
              <w:rPr>
                <w:rFonts w:eastAsia="DengXian"/>
                <w:b/>
                <w:bCs/>
                <w:szCs w:val="24"/>
              </w:rPr>
              <w:t xml:space="preserve">&gt; </w:t>
            </w:r>
            <w:r w:rsidRPr="00727DFA">
              <w:rPr>
                <w:rFonts w:eastAsia="DengXian"/>
                <w:b/>
                <w:bCs/>
                <w:szCs w:val="24"/>
              </w:rPr>
              <w:t>1 month:</w:t>
            </w:r>
            <w:r w:rsidRPr="00727DFA">
              <w:rPr>
                <w:rFonts w:eastAsia="DengXian"/>
                <w:szCs w:val="24"/>
              </w:rPr>
              <w:t xml:space="preserve"> 6 mg/kg    on the first day, then 3 mg/k</w:t>
            </w:r>
            <w:r>
              <w:rPr>
                <w:rFonts w:eastAsia="DengXian"/>
                <w:szCs w:val="24"/>
              </w:rPr>
              <w:t>g daily; not to exceed 600mg per day (for esophageal candidiasis dose up to 12mg/kg/day can be used)</w:t>
            </w:r>
          </w:p>
          <w:p w14:paraId="6A1F5A64" w14:textId="77777777" w:rsidR="007B485D" w:rsidRPr="00727DFA" w:rsidRDefault="007B485D" w:rsidP="002D6DD7">
            <w:pPr>
              <w:jc w:val="both"/>
              <w:rPr>
                <w:rFonts w:eastAsia="DengXian"/>
                <w:szCs w:val="24"/>
              </w:rPr>
            </w:pPr>
            <w:r w:rsidRPr="00727DFA">
              <w:rPr>
                <w:rFonts w:eastAsia="DengXian"/>
                <w:b/>
                <w:bCs/>
                <w:szCs w:val="24"/>
              </w:rPr>
              <w:t>Systemic candidiasis, cryptococcal</w:t>
            </w:r>
            <w:r w:rsidRPr="00727DFA">
              <w:rPr>
                <w:rFonts w:eastAsia="DengXian"/>
                <w:b/>
                <w:bCs/>
                <w:szCs w:val="24"/>
              </w:rPr>
              <w:tab/>
              <w:t>meningitis:</w:t>
            </w:r>
            <w:r w:rsidRPr="00727DFA">
              <w:rPr>
                <w:rFonts w:eastAsia="DengXian"/>
                <w:szCs w:val="24"/>
              </w:rPr>
              <w:t xml:space="preserve"> </w:t>
            </w:r>
          </w:p>
          <w:p w14:paraId="4FDBA8D6" w14:textId="77777777" w:rsidR="007B485D" w:rsidRPr="00727DFA" w:rsidRDefault="007B485D" w:rsidP="002D6DD7">
            <w:pPr>
              <w:jc w:val="both"/>
              <w:rPr>
                <w:rFonts w:eastAsia="DengXian"/>
                <w:szCs w:val="24"/>
              </w:rPr>
            </w:pPr>
            <w:r w:rsidRPr="00727DFA">
              <w:rPr>
                <w:rFonts w:eastAsia="DengXian"/>
                <w:szCs w:val="24"/>
              </w:rPr>
              <w:t xml:space="preserve">Child: </w:t>
            </w:r>
            <w:r>
              <w:rPr>
                <w:rFonts w:eastAsia="DengXian"/>
                <w:szCs w:val="24"/>
              </w:rPr>
              <w:t xml:space="preserve">12 </w:t>
            </w:r>
            <w:r w:rsidRPr="00727DFA">
              <w:rPr>
                <w:rFonts w:eastAsia="DengXian"/>
                <w:szCs w:val="24"/>
              </w:rPr>
              <w:t xml:space="preserve">mg/kg    on the first day, then </w:t>
            </w:r>
            <w:r>
              <w:rPr>
                <w:rFonts w:eastAsia="DengXian"/>
                <w:szCs w:val="24"/>
              </w:rPr>
              <w:t>6</w:t>
            </w:r>
            <w:r w:rsidRPr="00727DFA">
              <w:rPr>
                <w:rFonts w:eastAsia="DengXian"/>
                <w:szCs w:val="24"/>
              </w:rPr>
              <w:t xml:space="preserve"> mg/k</w:t>
            </w:r>
            <w:r>
              <w:rPr>
                <w:rFonts w:eastAsia="DengXian"/>
                <w:szCs w:val="24"/>
              </w:rPr>
              <w:t>g daily;</w:t>
            </w:r>
          </w:p>
          <w:p w14:paraId="38E8F2E8" w14:textId="77777777" w:rsidR="007B485D" w:rsidRPr="00727DFA" w:rsidRDefault="007B485D" w:rsidP="002D6DD7">
            <w:pPr>
              <w:jc w:val="both"/>
              <w:rPr>
                <w:rFonts w:eastAsia="DengXian"/>
                <w:b/>
                <w:bCs/>
                <w:szCs w:val="24"/>
              </w:rPr>
            </w:pPr>
            <w:r w:rsidRPr="00727DFA">
              <w:rPr>
                <w:rFonts w:eastAsia="DengXian"/>
                <w:b/>
                <w:bCs/>
                <w:szCs w:val="24"/>
              </w:rPr>
              <w:t>Prevention of fungal infections in immunocompromised patients following cytotoxic chemotherapy or radiotherapy</w:t>
            </w:r>
          </w:p>
          <w:p w14:paraId="5BBB8DF7" w14:textId="77777777" w:rsidR="007B485D" w:rsidRDefault="007B485D" w:rsidP="002D6DD7">
            <w:pPr>
              <w:jc w:val="both"/>
              <w:rPr>
                <w:rFonts w:eastAsia="DengXian"/>
                <w:szCs w:val="24"/>
              </w:rPr>
            </w:pPr>
            <w:r w:rsidRPr="00727DFA">
              <w:rPr>
                <w:rFonts w:eastAsia="DengXian"/>
                <w:b/>
                <w:bCs/>
                <w:szCs w:val="24"/>
              </w:rPr>
              <w:t>Child:</w:t>
            </w:r>
            <w:r w:rsidRPr="00727DFA">
              <w:rPr>
                <w:rFonts w:eastAsia="DengXian"/>
                <w:szCs w:val="24"/>
              </w:rPr>
              <w:t xml:space="preserve"> 3 to 12 mg/kg/day, depending on extent and duration of neutropenia</w:t>
            </w:r>
          </w:p>
          <w:p w14:paraId="454214D9" w14:textId="77777777" w:rsidR="007B485D" w:rsidRPr="00727DFA" w:rsidRDefault="007B485D" w:rsidP="002D6DD7">
            <w:pPr>
              <w:jc w:val="both"/>
              <w:rPr>
                <w:rFonts w:eastAsia="DengXian"/>
                <w:szCs w:val="24"/>
              </w:rPr>
            </w:pPr>
            <w:r w:rsidRPr="00873AF2">
              <w:rPr>
                <w:rFonts w:eastAsia="DengXian"/>
                <w:b/>
                <w:bCs/>
                <w:szCs w:val="24"/>
              </w:rPr>
              <w:lastRenderedPageBreak/>
              <w:t>Adult:</w:t>
            </w:r>
            <w:r>
              <w:rPr>
                <w:rFonts w:eastAsia="DengXian"/>
                <w:szCs w:val="24"/>
              </w:rPr>
              <w:t xml:space="preserve"> 400mg PO daily</w:t>
            </w:r>
          </w:p>
        </w:tc>
      </w:tr>
      <w:tr w:rsidR="007B485D" w:rsidRPr="00727DFA" w14:paraId="752A20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FC8C05"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89487C9"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 xml:space="preserve">the drug or </w:t>
            </w:r>
            <w:r w:rsidRPr="00727DFA">
              <w:rPr>
                <w:rFonts w:eastAsia="DengXian"/>
                <w:szCs w:val="24"/>
              </w:rPr>
              <w:t>other azole antifungals, acute porphyrias</w:t>
            </w:r>
            <w:r>
              <w:rPr>
                <w:rFonts w:eastAsia="DengXian"/>
                <w:szCs w:val="24"/>
              </w:rPr>
              <w:t>.</w:t>
            </w:r>
          </w:p>
        </w:tc>
      </w:tr>
      <w:tr w:rsidR="007B485D" w:rsidRPr="00727DFA" w14:paraId="59ED6C1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2A0F5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49A9907" w14:textId="77777777" w:rsidR="007B485D" w:rsidRPr="00727DFA" w:rsidRDefault="007B485D" w:rsidP="002D6DD7">
            <w:pPr>
              <w:jc w:val="both"/>
              <w:rPr>
                <w:rFonts w:eastAsia="DengXian"/>
                <w:szCs w:val="24"/>
              </w:rPr>
            </w:pPr>
            <w:r w:rsidRPr="00727DFA">
              <w:rPr>
                <w:rFonts w:eastAsia="DengXian"/>
                <w:szCs w:val="24"/>
              </w:rPr>
              <w:t xml:space="preserve">Enzyme-inducing agents (e.g. rifampicin), hydrochlorthiazide, phenytoin, sulphonylureas, hypoglycaemic agents, cyclosporin, nortriptyline, zidovudine, terfenadine, </w:t>
            </w:r>
            <w:r>
              <w:rPr>
                <w:rFonts w:eastAsia="DengXian"/>
                <w:szCs w:val="24"/>
              </w:rPr>
              <w:t>q</w:t>
            </w:r>
            <w:r w:rsidRPr="00727DFA">
              <w:rPr>
                <w:rFonts w:eastAsia="DengXian"/>
                <w:szCs w:val="24"/>
              </w:rPr>
              <w:t>uinidine, pimozide, amiodarone,</w:t>
            </w:r>
            <w:r w:rsidRPr="00727DFA">
              <w:rPr>
                <w:rFonts w:eastAsia="DengXian"/>
                <w:b/>
                <w:bCs/>
                <w:szCs w:val="24"/>
              </w:rPr>
              <w:t xml:space="preserve"> </w:t>
            </w:r>
            <w:r w:rsidRPr="00727DFA">
              <w:rPr>
                <w:rFonts w:eastAsia="DengXian"/>
                <w:szCs w:val="24"/>
              </w:rPr>
              <w:t>oral anticoagulants</w:t>
            </w:r>
            <w:r>
              <w:rPr>
                <w:rFonts w:eastAsia="DengXian"/>
                <w:szCs w:val="24"/>
              </w:rPr>
              <w:t>,</w:t>
            </w:r>
            <w:r w:rsidRPr="00727DFA">
              <w:rPr>
                <w:rFonts w:eastAsia="DengXian"/>
                <w:szCs w:val="24"/>
              </w:rPr>
              <w:t xml:space="preserve"> theophylline.</w:t>
            </w:r>
          </w:p>
        </w:tc>
      </w:tr>
      <w:tr w:rsidR="007B485D" w:rsidRPr="00727DFA" w14:paraId="492B4B2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58CAA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D63651F" w14:textId="77777777" w:rsidR="007B485D" w:rsidRPr="00727DFA" w:rsidRDefault="007B485D" w:rsidP="002D6DD7">
            <w:pPr>
              <w:jc w:val="both"/>
              <w:rPr>
                <w:rFonts w:eastAsia="DengXian"/>
                <w:szCs w:val="24"/>
              </w:rPr>
            </w:pPr>
            <w:r w:rsidRPr="00727DFA">
              <w:rPr>
                <w:rFonts w:eastAsia="DengXian"/>
                <w:szCs w:val="24"/>
              </w:rPr>
              <w:t>Exfoliative skin disorders</w:t>
            </w:r>
            <w:r>
              <w:rPr>
                <w:rFonts w:eastAsia="DengXian"/>
                <w:szCs w:val="24"/>
              </w:rPr>
              <w:t xml:space="preserve"> including </w:t>
            </w:r>
            <w:r w:rsidRPr="00727DFA">
              <w:rPr>
                <w:rFonts w:eastAsia="DengXian"/>
                <w:szCs w:val="24"/>
              </w:rPr>
              <w:t>Stevens-Johnson syndrome, agranulocytosis, thrombocytopenia, diarrhea, nausea, vomiting, gastrointestinal discomfort, flatulence, headache, hepatic disorders, seizure, taste altered, alopecia, dyslipidaemia, hypokalaemia, leukopenia, neutropenia, QT interval prolongation</w:t>
            </w:r>
            <w:r>
              <w:rPr>
                <w:rFonts w:eastAsia="DengXian"/>
                <w:szCs w:val="24"/>
              </w:rPr>
              <w:t>.</w:t>
            </w:r>
          </w:p>
        </w:tc>
      </w:tr>
      <w:tr w:rsidR="007B485D" w:rsidRPr="00727DFA" w14:paraId="05A4954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EED86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11F1D5D2" w14:textId="77777777" w:rsidR="007B485D" w:rsidRPr="00727DFA" w:rsidRDefault="007B485D" w:rsidP="002D6DD7">
            <w:pPr>
              <w:jc w:val="both"/>
              <w:rPr>
                <w:rFonts w:eastAsia="DengXian"/>
                <w:szCs w:val="24"/>
              </w:rPr>
            </w:pPr>
            <w:r w:rsidRPr="00727DFA">
              <w:rPr>
                <w:rFonts w:eastAsia="DengXian"/>
                <w:szCs w:val="24"/>
              </w:rPr>
              <w:t xml:space="preserve">Renal </w:t>
            </w:r>
            <w:r>
              <w:rPr>
                <w:rFonts w:eastAsia="DengXian"/>
                <w:szCs w:val="24"/>
              </w:rPr>
              <w:t>or</w:t>
            </w:r>
            <w:r w:rsidRPr="00727DFA">
              <w:rPr>
                <w:rFonts w:eastAsia="DengXian"/>
                <w:szCs w:val="24"/>
              </w:rPr>
              <w:t xml:space="preserve"> hepatic impairment, breastfeeding, pregnancy</w:t>
            </w:r>
            <w:r>
              <w:rPr>
                <w:rFonts w:eastAsia="DengXian"/>
                <w:szCs w:val="24"/>
              </w:rPr>
              <w:t>.</w:t>
            </w:r>
          </w:p>
        </w:tc>
      </w:tr>
      <w:tr w:rsidR="007B485D" w:rsidRPr="00727DFA" w14:paraId="2DE4D28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00BE2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58AEE4D" w14:textId="77777777" w:rsidR="007B485D" w:rsidRPr="00727DFA" w:rsidRDefault="007B485D" w:rsidP="002D6DD7">
            <w:pPr>
              <w:jc w:val="both"/>
              <w:rPr>
                <w:rFonts w:eastAsia="DengXian"/>
                <w:szCs w:val="24"/>
              </w:rPr>
            </w:pPr>
            <w:r w:rsidRPr="00727DFA">
              <w:rPr>
                <w:rFonts w:eastAsia="DengXian"/>
                <w:szCs w:val="24"/>
              </w:rPr>
              <w:t xml:space="preserve">Store below 30°C. </w:t>
            </w:r>
          </w:p>
        </w:tc>
      </w:tr>
      <w:tr w:rsidR="007B485D" w:rsidRPr="00727DFA" w14:paraId="1CD401C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E6DFEC8" w14:textId="77777777" w:rsidR="007B485D" w:rsidRPr="00727DFA" w:rsidRDefault="007B485D" w:rsidP="002D6DD7">
            <w:pPr>
              <w:jc w:val="both"/>
              <w:rPr>
                <w:rFonts w:eastAsia="DengXian"/>
                <w:b/>
                <w:bCs/>
                <w:szCs w:val="24"/>
              </w:rPr>
            </w:pPr>
            <w:r w:rsidRPr="00727DFA">
              <w:rPr>
                <w:rFonts w:eastAsia="DengXian"/>
                <w:b/>
                <w:bCs/>
                <w:szCs w:val="24"/>
              </w:rPr>
              <w:t>Flucytosine</w:t>
            </w:r>
          </w:p>
        </w:tc>
      </w:tr>
      <w:tr w:rsidR="007B485D" w:rsidRPr="00727DFA" w14:paraId="56CF00A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5598F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ADB36B8" w14:textId="77777777" w:rsidR="007B485D" w:rsidRPr="00727DFA" w:rsidRDefault="007B485D" w:rsidP="002D6DD7">
            <w:pPr>
              <w:jc w:val="both"/>
              <w:rPr>
                <w:rFonts w:eastAsia="DengXian"/>
                <w:szCs w:val="24"/>
              </w:rPr>
            </w:pPr>
            <w:r w:rsidRPr="00727DFA">
              <w:rPr>
                <w:rFonts w:eastAsia="DengXian"/>
                <w:szCs w:val="24"/>
              </w:rPr>
              <w:t>Fluorinated pyrimidine analogue, antifungal</w:t>
            </w:r>
          </w:p>
        </w:tc>
      </w:tr>
      <w:tr w:rsidR="007B485D" w:rsidRPr="00727DFA" w14:paraId="69D7B51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587E9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3FCB5EE" w14:textId="77777777" w:rsidR="007B485D" w:rsidRPr="00727DFA" w:rsidRDefault="007B485D" w:rsidP="002D6DD7">
            <w:pPr>
              <w:jc w:val="both"/>
              <w:rPr>
                <w:rFonts w:eastAsia="DengXian"/>
                <w:szCs w:val="24"/>
              </w:rPr>
            </w:pPr>
            <w:r w:rsidRPr="00727DFA">
              <w:rPr>
                <w:rFonts w:eastAsia="DengXian"/>
                <w:szCs w:val="24"/>
              </w:rPr>
              <w:t>Capsule, 250mg, 500mg</w:t>
            </w:r>
          </w:p>
          <w:p w14:paraId="10DC2DDA" w14:textId="77777777" w:rsidR="007B485D" w:rsidRPr="00727DFA" w:rsidRDefault="007B485D" w:rsidP="002D6DD7">
            <w:pPr>
              <w:jc w:val="both"/>
              <w:rPr>
                <w:rFonts w:eastAsia="DengXian"/>
                <w:szCs w:val="24"/>
              </w:rPr>
            </w:pPr>
            <w:r w:rsidRPr="00727DFA">
              <w:rPr>
                <w:rFonts w:eastAsia="DengXian"/>
                <w:szCs w:val="24"/>
              </w:rPr>
              <w:t>IV Infusion: 10mg/ml, 2.5 g per 250 mL infusion</w:t>
            </w:r>
          </w:p>
        </w:tc>
      </w:tr>
      <w:tr w:rsidR="007B485D" w:rsidRPr="00727DFA" w14:paraId="71838B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4C578E" w14:textId="77777777" w:rsidR="007B485D" w:rsidRPr="00727DFA" w:rsidRDefault="007B485D" w:rsidP="002D6DD7">
            <w:pPr>
              <w:jc w:val="both"/>
              <w:rPr>
                <w:rFonts w:eastAsia="DengXian"/>
                <w:bCs/>
                <w:szCs w:val="24"/>
              </w:rPr>
            </w:pPr>
            <w:r w:rsidRPr="00E651D4">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2C7AEA3" w14:textId="77777777" w:rsidR="007B485D" w:rsidRPr="00727DFA" w:rsidRDefault="007B485D" w:rsidP="002D6DD7">
            <w:pPr>
              <w:jc w:val="both"/>
              <w:rPr>
                <w:rFonts w:eastAsia="DengXian"/>
                <w:szCs w:val="24"/>
              </w:rPr>
            </w:pPr>
            <w:r w:rsidRPr="00727DFA">
              <w:rPr>
                <w:rFonts w:eastAsia="DengXian"/>
                <w:szCs w:val="24"/>
              </w:rPr>
              <w:t xml:space="preserve">Adjunct to amphotericin B (or fluconazole) in cryptococcal meningitis and in systemic candidiasis. </w:t>
            </w:r>
          </w:p>
        </w:tc>
      </w:tr>
      <w:tr w:rsidR="007B485D" w:rsidRPr="00727DFA" w14:paraId="1553D56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7ADBB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A4C2C3D" w14:textId="77777777" w:rsidR="007B485D" w:rsidRPr="00727DFA" w:rsidRDefault="007B485D" w:rsidP="002D6DD7">
            <w:pPr>
              <w:jc w:val="both"/>
              <w:rPr>
                <w:rFonts w:eastAsia="DengXian"/>
                <w:b/>
                <w:bCs/>
                <w:szCs w:val="24"/>
              </w:rPr>
            </w:pPr>
            <w:r w:rsidRPr="00727DFA">
              <w:rPr>
                <w:rFonts w:eastAsia="DengXian"/>
                <w:b/>
                <w:bCs/>
                <w:szCs w:val="24"/>
              </w:rPr>
              <w:t>Systemic candidiasis and cryptococcosis:</w:t>
            </w:r>
          </w:p>
          <w:p w14:paraId="4749E671" w14:textId="77777777" w:rsidR="007B485D" w:rsidRDefault="007B485D" w:rsidP="002D6DD7">
            <w:pPr>
              <w:jc w:val="both"/>
              <w:rPr>
                <w:rFonts w:eastAsia="DengXian"/>
                <w:szCs w:val="24"/>
              </w:rPr>
            </w:pPr>
            <w:r w:rsidRPr="009539BE">
              <w:rPr>
                <w:rFonts w:eastAsia="DengXian"/>
                <w:b/>
                <w:bCs/>
                <w:szCs w:val="24"/>
              </w:rPr>
              <w:t>Child and adult</w:t>
            </w:r>
            <w:r>
              <w:rPr>
                <w:rFonts w:eastAsia="DengXian"/>
                <w:szCs w:val="24"/>
              </w:rPr>
              <w:t xml:space="preserve">: </w:t>
            </w:r>
          </w:p>
          <w:p w14:paraId="791A656C" w14:textId="77777777" w:rsidR="007B485D" w:rsidRPr="00727DFA" w:rsidRDefault="007B485D" w:rsidP="002D6DD7">
            <w:pPr>
              <w:jc w:val="both"/>
              <w:rPr>
                <w:rFonts w:eastAsia="DengXian"/>
                <w:b/>
                <w:bCs/>
                <w:szCs w:val="24"/>
              </w:rPr>
            </w:pPr>
            <w:r w:rsidRPr="00727DFA">
              <w:rPr>
                <w:rFonts w:eastAsia="DengXian"/>
                <w:b/>
                <w:szCs w:val="24"/>
              </w:rPr>
              <w:t>IV infusion</w:t>
            </w:r>
            <w:r w:rsidRPr="00727DFA">
              <w:rPr>
                <w:rFonts w:eastAsia="DengXian"/>
                <w:szCs w:val="24"/>
              </w:rPr>
              <w:t>:</w:t>
            </w:r>
            <w:r>
              <w:rPr>
                <w:rFonts w:eastAsia="DengXian"/>
                <w:szCs w:val="24"/>
              </w:rPr>
              <w:t xml:space="preserve"> </w:t>
            </w:r>
            <w:r w:rsidRPr="00727DFA">
              <w:rPr>
                <w:rFonts w:eastAsia="DengXian"/>
                <w:szCs w:val="24"/>
              </w:rPr>
              <w:t>1</w:t>
            </w:r>
            <w:r>
              <w:rPr>
                <w:rFonts w:eastAsia="DengXian"/>
                <w:szCs w:val="24"/>
              </w:rPr>
              <w:t>5</w:t>
            </w:r>
            <w:r w:rsidRPr="00727DFA">
              <w:rPr>
                <w:rFonts w:eastAsia="DengXian"/>
                <w:szCs w:val="24"/>
              </w:rPr>
              <w:t>0 mg/kg daily in 4 divided doses</w:t>
            </w:r>
          </w:p>
          <w:p w14:paraId="04B1E16A" w14:textId="77777777" w:rsidR="007B485D"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100 mg/kg daily in 4 divided doses, dose increased to 150 mg/kg/day for severe cases    </w:t>
            </w:r>
          </w:p>
          <w:p w14:paraId="372158AE" w14:textId="77777777" w:rsidR="007B485D" w:rsidRPr="00873AF2" w:rsidRDefault="007B485D" w:rsidP="002D6DD7">
            <w:pPr>
              <w:jc w:val="both"/>
              <w:rPr>
                <w:rFonts w:eastAsia="DengXian"/>
                <w:szCs w:val="24"/>
              </w:rPr>
            </w:pPr>
            <w:r w:rsidRPr="00873AF2">
              <w:rPr>
                <w:rFonts w:eastAsia="DengXian"/>
                <w:b/>
                <w:bCs/>
                <w:szCs w:val="24"/>
              </w:rPr>
              <w:t>Neonates:</w:t>
            </w:r>
            <w:r>
              <w:rPr>
                <w:rFonts w:eastAsia="DengXian"/>
                <w:szCs w:val="24"/>
              </w:rPr>
              <w:t xml:space="preserve"> 80-160mg/kg/day in 4 divided doses</w:t>
            </w:r>
          </w:p>
        </w:tc>
      </w:tr>
      <w:tr w:rsidR="007B485D" w:rsidRPr="00727DFA" w14:paraId="002C627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2E306C"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30489EF"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 xml:space="preserve">the drug, </w:t>
            </w:r>
            <w:r w:rsidRPr="00873AF2">
              <w:rPr>
                <w:color w:val="231F20"/>
                <w:szCs w:val="24"/>
              </w:rPr>
              <w:t>dihydropyrimidine</w:t>
            </w:r>
            <w:r w:rsidRPr="00873AF2">
              <w:rPr>
                <w:color w:val="231F20"/>
                <w:szCs w:val="24"/>
              </w:rPr>
              <w:br/>
              <w:t>dehydrogenase deficiency</w:t>
            </w:r>
            <w:r>
              <w:rPr>
                <w:color w:val="231F20"/>
                <w:szCs w:val="24"/>
              </w:rPr>
              <w:t>.</w:t>
            </w:r>
          </w:p>
        </w:tc>
      </w:tr>
      <w:tr w:rsidR="007B485D" w:rsidRPr="00727DFA" w14:paraId="4AEF249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CAB53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895EE99" w14:textId="77777777" w:rsidR="007B485D" w:rsidRPr="00727DFA" w:rsidRDefault="007B485D" w:rsidP="002D6DD7">
            <w:pPr>
              <w:jc w:val="both"/>
              <w:rPr>
                <w:rFonts w:eastAsia="DengXian"/>
                <w:szCs w:val="24"/>
              </w:rPr>
            </w:pPr>
            <w:r w:rsidRPr="00727DFA">
              <w:rPr>
                <w:rFonts w:eastAsia="DengXian"/>
                <w:szCs w:val="24"/>
              </w:rPr>
              <w:t xml:space="preserve">Amphotericin B, </w:t>
            </w:r>
            <w:r>
              <w:rPr>
                <w:rFonts w:eastAsia="DengXian"/>
                <w:szCs w:val="24"/>
              </w:rPr>
              <w:t xml:space="preserve">bacitracin, </w:t>
            </w:r>
            <w:r w:rsidRPr="00727DFA">
              <w:rPr>
                <w:rFonts w:eastAsia="DengXian"/>
                <w:szCs w:val="24"/>
              </w:rPr>
              <w:t>mylosuppresant drugs, nephrotoxic drugs, cytarabine, zidovudine</w:t>
            </w:r>
            <w:r>
              <w:rPr>
                <w:rFonts w:eastAsia="DengXian"/>
                <w:szCs w:val="24"/>
              </w:rPr>
              <w:t>.</w:t>
            </w:r>
          </w:p>
        </w:tc>
      </w:tr>
      <w:tr w:rsidR="007B485D" w:rsidRPr="00727DFA" w14:paraId="212E1B9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5CB4B6"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268D98DD" w14:textId="77777777" w:rsidR="007B485D" w:rsidRPr="00727DFA" w:rsidRDefault="007B485D" w:rsidP="002D6DD7">
            <w:pPr>
              <w:jc w:val="both"/>
              <w:rPr>
                <w:rFonts w:eastAsia="DengXian"/>
                <w:szCs w:val="24"/>
              </w:rPr>
            </w:pPr>
            <w:r w:rsidRPr="00727DFA">
              <w:rPr>
                <w:rFonts w:eastAsia="DengXian"/>
                <w:szCs w:val="24"/>
              </w:rPr>
              <w:t>Bone marrow suppression</w:t>
            </w:r>
            <w:r>
              <w:rPr>
                <w:rFonts w:eastAsia="DengXian"/>
                <w:szCs w:val="24"/>
              </w:rPr>
              <w:t>,</w:t>
            </w:r>
            <w:r w:rsidRPr="00727DFA">
              <w:rPr>
                <w:rFonts w:eastAsia="DengXian"/>
                <w:szCs w:val="24"/>
              </w:rPr>
              <w:t xml:space="preserve"> GI effects (anorexia, abdominal bloating or pain, diarrhea, dry oral, duodenal ulcer, GI hemorrhage, nausea, vomiting, ulcerative colitis, enterocolitis); hepatic effects; renal effects; CNS effects (confusion, hallucinations, psychosis)</w:t>
            </w:r>
            <w:r>
              <w:rPr>
                <w:rFonts w:eastAsia="DengXian"/>
                <w:szCs w:val="24"/>
              </w:rPr>
              <w:t>.</w:t>
            </w:r>
          </w:p>
        </w:tc>
      </w:tr>
      <w:tr w:rsidR="007B485D" w:rsidRPr="00727DFA" w14:paraId="345F54A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E570BC"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D229FF4" w14:textId="77777777" w:rsidR="007B485D" w:rsidRPr="00727DFA" w:rsidRDefault="007B485D" w:rsidP="002D6DD7">
            <w:pPr>
              <w:jc w:val="both"/>
              <w:rPr>
                <w:rFonts w:eastAsia="DengXian"/>
                <w:szCs w:val="24"/>
              </w:rPr>
            </w:pPr>
            <w:r w:rsidRPr="00727DFA">
              <w:rPr>
                <w:rFonts w:eastAsia="DengXian"/>
                <w:bCs/>
                <w:szCs w:val="24"/>
              </w:rPr>
              <w:t>Impaired renal function,</w:t>
            </w:r>
            <w:r w:rsidRPr="00727DFA">
              <w:rPr>
                <w:rFonts w:eastAsia="DengXian"/>
                <w:szCs w:val="24"/>
              </w:rPr>
              <w:t xml:space="preserve"> pregnancy, </w:t>
            </w:r>
            <w:r>
              <w:rPr>
                <w:rFonts w:eastAsia="DengXian"/>
                <w:szCs w:val="24"/>
              </w:rPr>
              <w:t>breastfeeding</w:t>
            </w:r>
            <w:r w:rsidRPr="00727DFA">
              <w:rPr>
                <w:rFonts w:eastAsia="DengXian"/>
                <w:szCs w:val="24"/>
              </w:rPr>
              <w:t>, hypokalemia, hematologic abnormality</w:t>
            </w:r>
            <w:r>
              <w:rPr>
                <w:rFonts w:eastAsia="DengXian"/>
                <w:szCs w:val="24"/>
              </w:rPr>
              <w:t>.</w:t>
            </w:r>
          </w:p>
        </w:tc>
      </w:tr>
      <w:tr w:rsidR="007B485D" w:rsidRPr="00727DFA" w14:paraId="0B35C43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40014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A7D1259"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4925A2C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8B52A54" w14:textId="77777777" w:rsidR="007B485D" w:rsidRPr="00727DFA" w:rsidRDefault="007B485D" w:rsidP="002D6DD7">
            <w:pPr>
              <w:jc w:val="both"/>
              <w:rPr>
                <w:rFonts w:eastAsia="DengXian"/>
                <w:b/>
                <w:bCs/>
                <w:szCs w:val="24"/>
                <w:lang w:val="fr-FR"/>
              </w:rPr>
            </w:pPr>
            <w:r w:rsidRPr="00727DFA">
              <w:rPr>
                <w:rFonts w:eastAsia="DengXian"/>
                <w:b/>
                <w:bCs/>
                <w:szCs w:val="24"/>
                <w:lang w:val="fr-FR"/>
              </w:rPr>
              <w:t>Griseofulvin</w:t>
            </w:r>
          </w:p>
        </w:tc>
      </w:tr>
      <w:tr w:rsidR="007B485D" w:rsidRPr="00727DFA" w14:paraId="4E40A53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E239A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8C9BC10" w14:textId="77777777" w:rsidR="007B485D" w:rsidRPr="00727DFA" w:rsidRDefault="007B485D" w:rsidP="002D6DD7">
            <w:pPr>
              <w:jc w:val="both"/>
              <w:rPr>
                <w:rFonts w:eastAsia="DengXian"/>
                <w:szCs w:val="24"/>
              </w:rPr>
            </w:pPr>
            <w:r w:rsidRPr="00727DFA">
              <w:rPr>
                <w:rFonts w:eastAsia="DengXian"/>
                <w:szCs w:val="24"/>
              </w:rPr>
              <w:t xml:space="preserve">Benzofuran antifungal </w:t>
            </w:r>
          </w:p>
        </w:tc>
      </w:tr>
      <w:tr w:rsidR="007B485D" w:rsidRPr="00727DFA" w14:paraId="3FD563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0E8B3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6008AB6" w14:textId="77777777" w:rsidR="007B485D" w:rsidRPr="00727DFA" w:rsidRDefault="007B485D" w:rsidP="002D6DD7">
            <w:pPr>
              <w:jc w:val="both"/>
              <w:rPr>
                <w:rFonts w:eastAsia="DengXian"/>
                <w:szCs w:val="24"/>
              </w:rPr>
            </w:pPr>
            <w:r w:rsidRPr="00727DFA">
              <w:rPr>
                <w:rFonts w:eastAsia="DengXian"/>
                <w:szCs w:val="24"/>
                <w:lang w:val="fr-FR"/>
              </w:rPr>
              <w:t>Tablet : 125mg, 250mg</w:t>
            </w:r>
          </w:p>
          <w:p w14:paraId="1DD64302" w14:textId="77777777" w:rsidR="007B485D" w:rsidRPr="00727DFA" w:rsidRDefault="007B485D" w:rsidP="002D6DD7">
            <w:pPr>
              <w:jc w:val="both"/>
              <w:rPr>
                <w:rFonts w:eastAsia="DengXian"/>
                <w:szCs w:val="24"/>
              </w:rPr>
            </w:pPr>
            <w:r w:rsidRPr="00727DFA">
              <w:rPr>
                <w:rFonts w:eastAsia="DengXian"/>
                <w:szCs w:val="24"/>
                <w:lang w:val="fr-FR"/>
              </w:rPr>
              <w:t>Oral suspension : 125mg/5ml</w:t>
            </w:r>
          </w:p>
        </w:tc>
      </w:tr>
      <w:tr w:rsidR="007B485D" w:rsidRPr="00727DFA" w14:paraId="3EB582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6501B4" w14:textId="77777777" w:rsidR="007B485D" w:rsidRPr="00727DFA" w:rsidRDefault="007B485D" w:rsidP="002D6DD7">
            <w:pPr>
              <w:jc w:val="both"/>
              <w:rPr>
                <w:rFonts w:eastAsia="DengXian"/>
                <w:bCs/>
                <w:szCs w:val="24"/>
              </w:rPr>
            </w:pPr>
            <w:r w:rsidRPr="00E651D4">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5FF5039" w14:textId="77777777" w:rsidR="007B485D" w:rsidRPr="00727DFA" w:rsidRDefault="007B485D" w:rsidP="002D6DD7">
            <w:pPr>
              <w:jc w:val="both"/>
              <w:rPr>
                <w:rFonts w:eastAsia="DengXian"/>
                <w:szCs w:val="24"/>
              </w:rPr>
            </w:pPr>
            <w:r w:rsidRPr="00727DFA">
              <w:rPr>
                <w:rFonts w:eastAsia="DengXian"/>
                <w:szCs w:val="24"/>
              </w:rPr>
              <w:t xml:space="preserve">Superficial fungal infections:  dermatophyte infections of the skin, scalp, hair and nail where topical therapy has failed or is inappropriate and tinea capitis caused by </w:t>
            </w:r>
            <w:r w:rsidRPr="00727DFA">
              <w:rPr>
                <w:rFonts w:eastAsia="DengXian"/>
                <w:i/>
                <w:iCs/>
                <w:szCs w:val="24"/>
              </w:rPr>
              <w:t>Trichophyton tonsurans</w:t>
            </w:r>
            <w:r>
              <w:rPr>
                <w:rFonts w:eastAsia="DengXian"/>
                <w:i/>
                <w:iCs/>
                <w:szCs w:val="24"/>
              </w:rPr>
              <w:t>.</w:t>
            </w:r>
          </w:p>
        </w:tc>
      </w:tr>
      <w:tr w:rsidR="007B485D" w:rsidRPr="00727DFA" w14:paraId="74F4376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4A5940"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34EDF1D" w14:textId="77777777" w:rsidR="007B485D" w:rsidRPr="00727DFA" w:rsidRDefault="007B485D" w:rsidP="002D6DD7">
            <w:pPr>
              <w:jc w:val="both"/>
              <w:rPr>
                <w:rFonts w:eastAsia="DengXian"/>
                <w:szCs w:val="24"/>
              </w:rPr>
            </w:pPr>
            <w:r w:rsidRPr="00727DFA">
              <w:rPr>
                <w:rFonts w:eastAsia="DengXian"/>
                <w:b/>
                <w:bCs/>
                <w:szCs w:val="24"/>
              </w:rPr>
              <w:t xml:space="preserve">Superficial fungal infections; </w:t>
            </w:r>
            <w:r w:rsidRPr="00727DFA">
              <w:rPr>
                <w:rFonts w:eastAsia="DengXian"/>
                <w:b/>
                <w:szCs w:val="24"/>
              </w:rPr>
              <w:t>Oral</w:t>
            </w:r>
            <w:r w:rsidRPr="00727DFA">
              <w:rPr>
                <w:rFonts w:eastAsia="DengXian"/>
                <w:szCs w:val="24"/>
              </w:rPr>
              <w:t xml:space="preserve">: </w:t>
            </w:r>
          </w:p>
          <w:p w14:paraId="43D246D5" w14:textId="77777777" w:rsidR="007B485D" w:rsidRPr="00727DFA" w:rsidRDefault="007B485D" w:rsidP="002D6DD7">
            <w:pPr>
              <w:jc w:val="both"/>
              <w:rPr>
                <w:rFonts w:eastAsia="DengXian"/>
                <w:b/>
                <w:bCs/>
                <w:szCs w:val="24"/>
              </w:rPr>
            </w:pPr>
            <w:r w:rsidRPr="00727DFA">
              <w:rPr>
                <w:rFonts w:eastAsia="DengXian"/>
                <w:b/>
                <w:bCs/>
                <w:szCs w:val="24"/>
              </w:rPr>
              <w:t>Adult and child</w:t>
            </w:r>
            <w:r w:rsidRPr="00727DFA">
              <w:rPr>
                <w:rFonts w:eastAsia="DengXian"/>
                <w:szCs w:val="24"/>
              </w:rPr>
              <w:t>: 20 to 25mg/kg /day for 6 to 8 weeks; don’t exceed maximum dose of 1000mg and 500mg for adult and child, respectively</w:t>
            </w:r>
          </w:p>
        </w:tc>
      </w:tr>
      <w:tr w:rsidR="007B485D" w:rsidRPr="00727DFA" w14:paraId="76D546C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7FEB5C6"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19045DE"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w:t>
            </w:r>
            <w:r>
              <w:rPr>
                <w:rFonts w:eastAsia="DengXian"/>
                <w:szCs w:val="24"/>
              </w:rPr>
              <w:t>p</w:t>
            </w:r>
            <w:r w:rsidRPr="00727DFA">
              <w:rPr>
                <w:rFonts w:eastAsia="DengXian"/>
                <w:szCs w:val="24"/>
              </w:rPr>
              <w:t xml:space="preserve">regnancy, </w:t>
            </w:r>
            <w:r>
              <w:rPr>
                <w:rFonts w:eastAsia="DengXian"/>
                <w:szCs w:val="24"/>
              </w:rPr>
              <w:t>breastfeeding</w:t>
            </w:r>
            <w:r w:rsidRPr="00727DFA">
              <w:rPr>
                <w:rFonts w:eastAsia="DengXian"/>
                <w:szCs w:val="24"/>
              </w:rPr>
              <w:t>, severe liver disease, acute porphyria, systemic lupus erythematosus</w:t>
            </w:r>
            <w:r>
              <w:rPr>
                <w:rFonts w:eastAsia="DengXian"/>
                <w:szCs w:val="24"/>
              </w:rPr>
              <w:t>.</w:t>
            </w:r>
          </w:p>
        </w:tc>
      </w:tr>
      <w:tr w:rsidR="007B485D" w:rsidRPr="00727DFA" w14:paraId="373020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0997D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5E13C317" w14:textId="77777777" w:rsidR="007B485D" w:rsidRPr="00727DFA" w:rsidRDefault="007B485D" w:rsidP="002D6DD7">
            <w:pPr>
              <w:jc w:val="both"/>
              <w:rPr>
                <w:rFonts w:eastAsia="DengXian"/>
                <w:szCs w:val="24"/>
              </w:rPr>
            </w:pPr>
            <w:r w:rsidRPr="00727DFA">
              <w:rPr>
                <w:rFonts w:eastAsia="DengXian"/>
                <w:szCs w:val="24"/>
              </w:rPr>
              <w:t xml:space="preserve">Phenobarbitone, primidone, coumarin anticoagulants, oral contraceptives, aspirin, ethanol, ethinyl estradiol, medroxyprogesterone. </w:t>
            </w:r>
          </w:p>
        </w:tc>
      </w:tr>
      <w:tr w:rsidR="007B485D" w:rsidRPr="00727DFA" w14:paraId="554DD30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4A4C4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95CB9B9" w14:textId="77777777" w:rsidR="007B485D" w:rsidRPr="00727DFA" w:rsidRDefault="007B485D" w:rsidP="002D6DD7">
            <w:pPr>
              <w:jc w:val="both"/>
              <w:rPr>
                <w:rFonts w:eastAsia="DengXian"/>
                <w:szCs w:val="24"/>
              </w:rPr>
            </w:pPr>
            <w:r w:rsidRPr="00727DFA">
              <w:rPr>
                <w:rFonts w:eastAsia="DengXian"/>
                <w:szCs w:val="24"/>
              </w:rPr>
              <w:t xml:space="preserve">Diarrhea, nausea, vomiting, epigastric discomfort, headache, anorexia, confusion, dizziness, drowsiness, insomnia, irritability, peripheral neuropathy, photosensitivity reaction, skin reactions, taste altered, toxic epidermal necrolysis. </w:t>
            </w:r>
          </w:p>
        </w:tc>
      </w:tr>
      <w:tr w:rsidR="007B485D" w:rsidRPr="00727DFA" w14:paraId="062D1FB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5A6D306"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0BFA483A" w14:textId="77777777" w:rsidR="007B485D" w:rsidRPr="00727DFA" w:rsidRDefault="007B485D" w:rsidP="002D6DD7">
            <w:pPr>
              <w:jc w:val="both"/>
              <w:rPr>
                <w:rFonts w:eastAsia="DengXian"/>
                <w:szCs w:val="24"/>
              </w:rPr>
            </w:pPr>
            <w:r w:rsidRPr="00727DFA">
              <w:rPr>
                <w:rFonts w:eastAsia="DengXian"/>
                <w:szCs w:val="24"/>
              </w:rPr>
              <w:t>Hepatic impairment, renal impairment, penicillin hypersensitivity, blood disorders, may impair performance of skilled tasks.</w:t>
            </w:r>
          </w:p>
          <w:p w14:paraId="1BB191A5" w14:textId="77777777" w:rsidR="007B485D" w:rsidRPr="00727DFA" w:rsidRDefault="007B485D" w:rsidP="002D6DD7">
            <w:pPr>
              <w:jc w:val="both"/>
              <w:rPr>
                <w:rFonts w:eastAsia="DengXian"/>
                <w:szCs w:val="24"/>
              </w:rPr>
            </w:pPr>
            <w:r>
              <w:rPr>
                <w:rFonts w:eastAsia="DengXian"/>
                <w:b/>
                <w:bCs/>
                <w:szCs w:val="24"/>
              </w:rPr>
              <w:t xml:space="preserve">Note: </w:t>
            </w:r>
            <w:r w:rsidRPr="00873AF2">
              <w:rPr>
                <w:rFonts w:eastAsia="DengXian"/>
                <w:i/>
                <w:iCs/>
                <w:szCs w:val="24"/>
              </w:rPr>
              <w:t xml:space="preserve">effective contraception required during and for at least 1 </w:t>
            </w:r>
            <w:r w:rsidRPr="00873AF2">
              <w:rPr>
                <w:rFonts w:eastAsia="DengXian"/>
                <w:i/>
                <w:iCs/>
                <w:szCs w:val="24"/>
              </w:rPr>
              <w:lastRenderedPageBreak/>
              <w:t>month after administration to women.</w:t>
            </w:r>
          </w:p>
        </w:tc>
      </w:tr>
      <w:tr w:rsidR="007B485D" w:rsidRPr="00727DFA" w14:paraId="660D961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27635D"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E1BA81F"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689A8C6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243A841" w14:textId="77777777" w:rsidR="007B485D" w:rsidRPr="00727DFA" w:rsidRDefault="007B485D" w:rsidP="002D6DD7">
            <w:pPr>
              <w:jc w:val="both"/>
              <w:rPr>
                <w:rFonts w:eastAsia="DengXian"/>
                <w:b/>
                <w:bCs/>
                <w:szCs w:val="24"/>
                <w:lang w:val="fr-FR"/>
              </w:rPr>
            </w:pPr>
            <w:r w:rsidRPr="00727DFA">
              <w:rPr>
                <w:rFonts w:eastAsia="DengXian"/>
                <w:b/>
                <w:bCs/>
                <w:szCs w:val="24"/>
                <w:lang w:val="fr-FR"/>
              </w:rPr>
              <w:t>Itraconazole</w:t>
            </w:r>
          </w:p>
        </w:tc>
      </w:tr>
      <w:tr w:rsidR="007B485D" w:rsidRPr="00727DFA" w14:paraId="44A9655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09D7A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0A352B9" w14:textId="77777777" w:rsidR="007B485D" w:rsidRPr="00727DFA" w:rsidRDefault="007B485D" w:rsidP="002D6DD7">
            <w:pPr>
              <w:jc w:val="both"/>
              <w:rPr>
                <w:rFonts w:eastAsia="DengXian"/>
                <w:szCs w:val="24"/>
              </w:rPr>
            </w:pPr>
            <w:r w:rsidRPr="00727DFA">
              <w:rPr>
                <w:rFonts w:eastAsia="DengXian"/>
                <w:szCs w:val="24"/>
              </w:rPr>
              <w:t xml:space="preserve">Triazole </w:t>
            </w:r>
          </w:p>
        </w:tc>
      </w:tr>
      <w:tr w:rsidR="007B485D" w:rsidRPr="00727DFA" w14:paraId="00DF1BD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A278D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10220E7" w14:textId="77777777" w:rsidR="007B485D" w:rsidRPr="00727DFA" w:rsidRDefault="007B485D" w:rsidP="002D6DD7">
            <w:pPr>
              <w:jc w:val="both"/>
              <w:rPr>
                <w:rFonts w:eastAsia="DengXian"/>
                <w:szCs w:val="24"/>
              </w:rPr>
            </w:pPr>
            <w:r w:rsidRPr="00727DFA">
              <w:rPr>
                <w:rFonts w:eastAsia="DengXian"/>
                <w:szCs w:val="24"/>
              </w:rPr>
              <w:t>Capsule: 100mg, 200mg</w:t>
            </w:r>
          </w:p>
          <w:p w14:paraId="09B50720" w14:textId="77777777" w:rsidR="007B485D" w:rsidRPr="00727DFA" w:rsidRDefault="007B485D" w:rsidP="002D6DD7">
            <w:pPr>
              <w:jc w:val="both"/>
              <w:rPr>
                <w:rFonts w:eastAsia="DengXian"/>
                <w:szCs w:val="24"/>
              </w:rPr>
            </w:pPr>
            <w:r w:rsidRPr="00727DFA">
              <w:rPr>
                <w:rFonts w:eastAsia="DengXian"/>
                <w:szCs w:val="24"/>
              </w:rPr>
              <w:t>Oral solution: 10mg/ml</w:t>
            </w:r>
          </w:p>
        </w:tc>
      </w:tr>
      <w:tr w:rsidR="007B485D" w:rsidRPr="00727DFA" w14:paraId="338109A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3C9A78"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1FEB560" w14:textId="77777777" w:rsidR="007B485D" w:rsidRPr="00727DFA" w:rsidRDefault="007B485D" w:rsidP="002D6DD7">
            <w:pPr>
              <w:jc w:val="both"/>
              <w:rPr>
                <w:rFonts w:eastAsia="DengXian"/>
                <w:szCs w:val="24"/>
              </w:rPr>
            </w:pPr>
            <w:r w:rsidRPr="00727DFA">
              <w:rPr>
                <w:rFonts w:eastAsia="DengXian"/>
                <w:szCs w:val="24"/>
              </w:rPr>
              <w:t>Oropharyngeal candidiasis, vulvovaginal candidiasis, pityriasis versicolor, dermatophytosis, nail infections, cryptococcal meningitis, tinea pedis,</w:t>
            </w:r>
            <w:r w:rsidRPr="00727DFA">
              <w:rPr>
                <w:rFonts w:eastAsia="DengXian"/>
                <w:b/>
                <w:bCs/>
                <w:szCs w:val="24"/>
              </w:rPr>
              <w:t xml:space="preserve"> </w:t>
            </w:r>
            <w:r w:rsidRPr="00727DFA">
              <w:rPr>
                <w:rFonts w:eastAsia="DengXian"/>
                <w:szCs w:val="24"/>
              </w:rPr>
              <w:t>tinea corporis,</w:t>
            </w:r>
            <w:r w:rsidRPr="00727DFA">
              <w:rPr>
                <w:rFonts w:eastAsia="DengXian"/>
                <w:b/>
                <w:bCs/>
                <w:szCs w:val="24"/>
              </w:rPr>
              <w:t xml:space="preserve"> </w:t>
            </w:r>
            <w:r w:rsidRPr="00727DFA">
              <w:rPr>
                <w:rFonts w:eastAsia="DengXian"/>
                <w:szCs w:val="24"/>
              </w:rPr>
              <w:t>candidal paronychia, aspergillosis, prophylaxis of deep fungal infections</w:t>
            </w:r>
          </w:p>
        </w:tc>
      </w:tr>
      <w:tr w:rsidR="007B485D" w:rsidRPr="00727DFA" w14:paraId="505D134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5CA28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4D5460E" w14:textId="77777777" w:rsidR="007B485D" w:rsidRPr="00727DFA" w:rsidRDefault="007B485D" w:rsidP="002D6DD7">
            <w:pPr>
              <w:jc w:val="both"/>
              <w:rPr>
                <w:rFonts w:eastAsia="DengXian"/>
                <w:b/>
                <w:bCs/>
                <w:szCs w:val="24"/>
              </w:rPr>
            </w:pPr>
            <w:r w:rsidRPr="00727DFA">
              <w:rPr>
                <w:rFonts w:eastAsia="DengXian"/>
                <w:b/>
                <w:bCs/>
                <w:szCs w:val="24"/>
              </w:rPr>
              <w:t xml:space="preserve">Adult; oral: </w:t>
            </w:r>
          </w:p>
          <w:p w14:paraId="54ED5589" w14:textId="77777777" w:rsidR="007B485D" w:rsidRPr="00727DFA" w:rsidRDefault="007B485D" w:rsidP="002D6DD7">
            <w:pPr>
              <w:jc w:val="both"/>
              <w:rPr>
                <w:rFonts w:eastAsia="DengXian"/>
                <w:b/>
                <w:bCs/>
                <w:szCs w:val="24"/>
              </w:rPr>
            </w:pPr>
            <w:r w:rsidRPr="00727DFA">
              <w:rPr>
                <w:rFonts w:eastAsia="DengXian"/>
                <w:b/>
                <w:bCs/>
                <w:szCs w:val="24"/>
              </w:rPr>
              <w:t xml:space="preserve">Oropharyngeal candidiasis: </w:t>
            </w:r>
            <w:r w:rsidRPr="00727DFA">
              <w:rPr>
                <w:rFonts w:eastAsia="DengXian"/>
                <w:szCs w:val="24"/>
              </w:rPr>
              <w:t>100 mg (or 200 mg in patients with aids or neutropenia) daily for 15 days</w:t>
            </w:r>
          </w:p>
          <w:p w14:paraId="2FF7496E" w14:textId="77777777" w:rsidR="007B485D" w:rsidRPr="00727DFA" w:rsidRDefault="007B485D" w:rsidP="002D6DD7">
            <w:pPr>
              <w:jc w:val="both"/>
              <w:rPr>
                <w:rFonts w:eastAsia="DengXian"/>
                <w:szCs w:val="24"/>
              </w:rPr>
            </w:pPr>
            <w:r w:rsidRPr="00727DFA">
              <w:rPr>
                <w:rFonts w:eastAsia="DengXian"/>
                <w:b/>
                <w:bCs/>
                <w:szCs w:val="24"/>
              </w:rPr>
              <w:t>Vulvovaginal candidiasis</w:t>
            </w:r>
            <w:r w:rsidRPr="00727DFA">
              <w:rPr>
                <w:rFonts w:eastAsia="DengXian"/>
                <w:szCs w:val="24"/>
              </w:rPr>
              <w:t>: 200 mg twice daily for 1 day.</w:t>
            </w:r>
          </w:p>
          <w:p w14:paraId="3CC8C093" w14:textId="77777777" w:rsidR="007B485D" w:rsidRPr="00727DFA" w:rsidRDefault="007B485D" w:rsidP="002D6DD7">
            <w:pPr>
              <w:jc w:val="both"/>
              <w:rPr>
                <w:rFonts w:eastAsia="DengXian"/>
                <w:szCs w:val="24"/>
              </w:rPr>
            </w:pPr>
            <w:r w:rsidRPr="00727DFA">
              <w:rPr>
                <w:rFonts w:eastAsia="DengXian"/>
                <w:b/>
                <w:bCs/>
                <w:szCs w:val="24"/>
              </w:rPr>
              <w:t>Pityriasis versicolor</w:t>
            </w:r>
            <w:r w:rsidRPr="00727DFA">
              <w:rPr>
                <w:rFonts w:eastAsia="DengXian"/>
                <w:szCs w:val="24"/>
              </w:rPr>
              <w:t>: 200 mg daily for 7 days.</w:t>
            </w:r>
          </w:p>
          <w:p w14:paraId="7C90A968" w14:textId="77777777" w:rsidR="007B485D" w:rsidRPr="00727DFA" w:rsidRDefault="007B485D" w:rsidP="002D6DD7">
            <w:pPr>
              <w:jc w:val="both"/>
              <w:rPr>
                <w:rFonts w:eastAsia="DengXian"/>
                <w:szCs w:val="24"/>
              </w:rPr>
            </w:pPr>
            <w:r w:rsidRPr="00727DFA">
              <w:rPr>
                <w:rFonts w:eastAsia="DengXian"/>
                <w:b/>
                <w:bCs/>
                <w:szCs w:val="24"/>
              </w:rPr>
              <w:t>Dermatophytosis</w:t>
            </w:r>
            <w:r w:rsidRPr="00727DFA">
              <w:rPr>
                <w:rFonts w:eastAsia="DengXian"/>
                <w:szCs w:val="24"/>
              </w:rPr>
              <w:t>: 100 mg daily for 15 days or 200mg daily for 7 days in tinea corporis or tinea cruris</w:t>
            </w:r>
          </w:p>
          <w:p w14:paraId="54BFEB19" w14:textId="77777777" w:rsidR="007B485D" w:rsidRPr="00727DFA" w:rsidRDefault="007B485D" w:rsidP="002D6DD7">
            <w:pPr>
              <w:jc w:val="both"/>
              <w:rPr>
                <w:rFonts w:eastAsia="DengXian"/>
                <w:szCs w:val="24"/>
              </w:rPr>
            </w:pPr>
            <w:r w:rsidRPr="00727DFA">
              <w:rPr>
                <w:rFonts w:eastAsia="DengXian"/>
                <w:b/>
                <w:bCs/>
                <w:szCs w:val="24"/>
              </w:rPr>
              <w:t>Nail infections</w:t>
            </w:r>
            <w:r w:rsidRPr="00727DFA">
              <w:rPr>
                <w:rFonts w:eastAsia="DengXian"/>
                <w:szCs w:val="24"/>
              </w:rPr>
              <w:t>: 200 mg daily for 3 months or pulse therapy with 200 mg twice daily for 7 days repeated once (for fingernails) or twice (for toenails) after drug free intervals of 21 days.</w:t>
            </w:r>
          </w:p>
          <w:p w14:paraId="61AB02B6" w14:textId="77777777" w:rsidR="007B485D" w:rsidRPr="00727DFA" w:rsidRDefault="007B485D" w:rsidP="002D6DD7">
            <w:pPr>
              <w:jc w:val="both"/>
              <w:rPr>
                <w:rFonts w:eastAsia="DengXian"/>
                <w:szCs w:val="24"/>
              </w:rPr>
            </w:pPr>
            <w:r w:rsidRPr="00727DFA">
              <w:rPr>
                <w:rFonts w:eastAsia="DengXian"/>
                <w:b/>
                <w:bCs/>
                <w:szCs w:val="24"/>
              </w:rPr>
              <w:t>Systemic infections:</w:t>
            </w:r>
            <w:r w:rsidRPr="00727DFA">
              <w:rPr>
                <w:rFonts w:eastAsia="DengXian"/>
                <w:szCs w:val="24"/>
              </w:rPr>
              <w:t xml:space="preserve"> Given in usual doses of 100 to 200 mg once daily, increased to 200 mg twice daily for invasive or disseminated infections, including cryptococcal meningitis</w:t>
            </w:r>
          </w:p>
          <w:p w14:paraId="7893D7C8" w14:textId="77777777" w:rsidR="007B485D" w:rsidRPr="00727DFA" w:rsidRDefault="007B485D" w:rsidP="002D6DD7">
            <w:pPr>
              <w:jc w:val="both"/>
              <w:rPr>
                <w:rFonts w:eastAsia="DengXian"/>
                <w:szCs w:val="24"/>
              </w:rPr>
            </w:pPr>
            <w:r w:rsidRPr="00727DFA">
              <w:rPr>
                <w:rFonts w:eastAsia="DengXian"/>
                <w:b/>
                <w:bCs/>
                <w:szCs w:val="24"/>
              </w:rPr>
              <w:t>Prophylaxis of deep fungal infections:</w:t>
            </w:r>
            <w:r w:rsidRPr="00727DFA">
              <w:rPr>
                <w:rFonts w:eastAsia="DengXian"/>
                <w:szCs w:val="24"/>
              </w:rPr>
              <w:t xml:space="preserve"> 200 mg daily </w:t>
            </w:r>
          </w:p>
          <w:p w14:paraId="5ACA016D" w14:textId="77777777" w:rsidR="007B485D" w:rsidRPr="00727DFA" w:rsidRDefault="007B485D" w:rsidP="002D6DD7">
            <w:pPr>
              <w:jc w:val="both"/>
              <w:rPr>
                <w:rFonts w:eastAsia="DengXian"/>
                <w:b/>
                <w:bCs/>
                <w:szCs w:val="24"/>
              </w:rPr>
            </w:pPr>
            <w:r w:rsidRPr="00727DFA">
              <w:rPr>
                <w:rFonts w:eastAsia="DengXian"/>
                <w:b/>
                <w:bCs/>
                <w:szCs w:val="24"/>
              </w:rPr>
              <w:t>Pediatric (oral):</w:t>
            </w:r>
          </w:p>
          <w:p w14:paraId="12A5907C" w14:textId="77777777" w:rsidR="007B485D" w:rsidRPr="00727DFA" w:rsidRDefault="007B485D" w:rsidP="002D6DD7">
            <w:pPr>
              <w:jc w:val="both"/>
              <w:rPr>
                <w:rFonts w:eastAsia="DengXian"/>
                <w:szCs w:val="24"/>
              </w:rPr>
            </w:pPr>
            <w:r w:rsidRPr="00727DFA">
              <w:rPr>
                <w:rFonts w:eastAsia="DengXian"/>
                <w:b/>
                <w:bCs/>
                <w:szCs w:val="24"/>
              </w:rPr>
              <w:t>Oropharyngeal candidiasis:</w:t>
            </w:r>
          </w:p>
          <w:p w14:paraId="74A4AF5F" w14:textId="77777777" w:rsidR="007B485D" w:rsidRPr="00727DFA" w:rsidRDefault="007B485D" w:rsidP="002D6DD7">
            <w:pPr>
              <w:jc w:val="both"/>
              <w:rPr>
                <w:rFonts w:eastAsia="DengXian"/>
                <w:szCs w:val="24"/>
              </w:rPr>
            </w:pPr>
            <w:r w:rsidRPr="00727DFA">
              <w:rPr>
                <w:rFonts w:eastAsia="DengXian"/>
                <w:b/>
                <w:bCs/>
                <w:szCs w:val="24"/>
              </w:rPr>
              <w:t>Child up to 11 years:</w:t>
            </w:r>
            <w:r w:rsidRPr="00727DFA">
              <w:rPr>
                <w:rFonts w:eastAsia="DengXian"/>
                <w:szCs w:val="24"/>
              </w:rPr>
              <w:t xml:space="preserve"> 3-5 mg/kg once daily, maximum 100 mg per day.</w:t>
            </w:r>
          </w:p>
          <w:p w14:paraId="6CE8D6E8" w14:textId="77777777" w:rsidR="007B485D" w:rsidRPr="00727DFA" w:rsidRDefault="007B485D" w:rsidP="002D6DD7">
            <w:pPr>
              <w:jc w:val="both"/>
              <w:rPr>
                <w:rFonts w:eastAsia="DengXian"/>
                <w:szCs w:val="24"/>
              </w:rPr>
            </w:pPr>
            <w:r w:rsidRPr="00727DFA">
              <w:rPr>
                <w:rFonts w:eastAsia="DengXian"/>
                <w:b/>
                <w:bCs/>
                <w:szCs w:val="24"/>
              </w:rPr>
              <w:t xml:space="preserve">Child 12-17 years: </w:t>
            </w:r>
            <w:r w:rsidRPr="00727DFA">
              <w:rPr>
                <w:rFonts w:eastAsia="DengXian"/>
                <w:szCs w:val="24"/>
              </w:rPr>
              <w:t xml:space="preserve">100 mg once daily </w:t>
            </w:r>
          </w:p>
          <w:p w14:paraId="3B8964D0" w14:textId="77777777" w:rsidR="007B485D" w:rsidRPr="00727DFA" w:rsidRDefault="007B485D" w:rsidP="002D6DD7">
            <w:pPr>
              <w:jc w:val="both"/>
              <w:rPr>
                <w:rFonts w:eastAsia="DengXian"/>
                <w:szCs w:val="24"/>
              </w:rPr>
            </w:pPr>
            <w:r w:rsidRPr="00727DFA">
              <w:rPr>
                <w:rFonts w:eastAsia="DengXian"/>
                <w:b/>
                <w:bCs/>
                <w:szCs w:val="24"/>
              </w:rPr>
              <w:t>Systemic candidiasis when other antifungal drugs inappropriate or ineffective:</w:t>
            </w:r>
          </w:p>
          <w:p w14:paraId="20ED5402" w14:textId="77777777" w:rsidR="007B485D" w:rsidRPr="00727DFA" w:rsidRDefault="007B485D" w:rsidP="002D6DD7">
            <w:pPr>
              <w:jc w:val="both"/>
              <w:rPr>
                <w:rFonts w:eastAsia="DengXian"/>
                <w:szCs w:val="24"/>
              </w:rPr>
            </w:pPr>
            <w:r w:rsidRPr="00727DFA">
              <w:rPr>
                <w:rFonts w:eastAsia="DengXian"/>
                <w:b/>
                <w:szCs w:val="24"/>
              </w:rPr>
              <w:lastRenderedPageBreak/>
              <w:t>Child 1 month-11 years</w:t>
            </w:r>
            <w:r w:rsidRPr="00727DFA">
              <w:rPr>
                <w:rFonts w:eastAsia="DengXian"/>
                <w:szCs w:val="24"/>
              </w:rPr>
              <w:t>: 3–5 mg/kg once daily (max. per dose 200 mg) for 7 days.</w:t>
            </w:r>
          </w:p>
          <w:p w14:paraId="4BBC9F67" w14:textId="77777777" w:rsidR="007B485D" w:rsidRPr="00727DFA" w:rsidRDefault="007B485D" w:rsidP="002D6DD7">
            <w:pPr>
              <w:jc w:val="both"/>
              <w:rPr>
                <w:rFonts w:eastAsia="DengXian"/>
                <w:szCs w:val="24"/>
              </w:rPr>
            </w:pPr>
            <w:r w:rsidRPr="00727DFA">
              <w:rPr>
                <w:rFonts w:eastAsia="DengXian"/>
                <w:b/>
                <w:bCs/>
                <w:szCs w:val="24"/>
              </w:rPr>
              <w:t>Tinea pedis, tinea manuum,</w:t>
            </w:r>
            <w:r w:rsidRPr="00727DFA">
              <w:rPr>
                <w:rFonts w:eastAsia="DengXian"/>
                <w:szCs w:val="24"/>
              </w:rPr>
              <w:t xml:space="preserve"> </w:t>
            </w:r>
            <w:r w:rsidRPr="00727DFA">
              <w:rPr>
                <w:rFonts w:eastAsia="DengXian"/>
                <w:b/>
                <w:bCs/>
                <w:szCs w:val="24"/>
              </w:rPr>
              <w:t>tinea corporis, tinea cruris, tinea capitis:</w:t>
            </w:r>
          </w:p>
          <w:p w14:paraId="1E3C019F" w14:textId="77777777" w:rsidR="007B485D" w:rsidRPr="00727DFA" w:rsidRDefault="007B485D" w:rsidP="002D6DD7">
            <w:pPr>
              <w:jc w:val="both"/>
              <w:rPr>
                <w:rFonts w:eastAsia="DengXian"/>
                <w:szCs w:val="24"/>
              </w:rPr>
            </w:pPr>
            <w:r w:rsidRPr="00727DFA">
              <w:rPr>
                <w:rFonts w:eastAsia="DengXian"/>
                <w:b/>
                <w:szCs w:val="24"/>
              </w:rPr>
              <w:t>Child 1 month–11 years</w:t>
            </w:r>
            <w:r w:rsidRPr="00727DFA">
              <w:rPr>
                <w:rFonts w:eastAsia="DengXian"/>
                <w:szCs w:val="24"/>
              </w:rPr>
              <w:t xml:space="preserve">: 3–5 mg/kg once daily (max. per dose 100 mg) </w:t>
            </w:r>
          </w:p>
          <w:p w14:paraId="7F16E402" w14:textId="77777777" w:rsidR="007B485D" w:rsidRPr="00727DFA" w:rsidRDefault="007B485D" w:rsidP="002D6DD7">
            <w:pPr>
              <w:jc w:val="both"/>
              <w:rPr>
                <w:rFonts w:eastAsia="DengXian"/>
                <w:b/>
                <w:bCs/>
                <w:szCs w:val="24"/>
              </w:rPr>
            </w:pPr>
            <w:r w:rsidRPr="00727DFA">
              <w:rPr>
                <w:rFonts w:eastAsia="DengXian"/>
                <w:b/>
                <w:bCs/>
                <w:szCs w:val="24"/>
              </w:rPr>
              <w:t>Onychomycosis:</w:t>
            </w:r>
          </w:p>
          <w:p w14:paraId="2C362A39" w14:textId="77777777" w:rsidR="007B485D" w:rsidRPr="00727DFA" w:rsidRDefault="007B485D" w:rsidP="002D6DD7">
            <w:pPr>
              <w:jc w:val="both"/>
              <w:rPr>
                <w:rFonts w:eastAsia="DengXian"/>
                <w:szCs w:val="24"/>
              </w:rPr>
            </w:pPr>
            <w:r w:rsidRPr="00727DFA">
              <w:rPr>
                <w:rFonts w:eastAsia="DengXian"/>
                <w:b/>
                <w:szCs w:val="24"/>
              </w:rPr>
              <w:t>Child 1–11 years</w:t>
            </w:r>
            <w:r w:rsidRPr="00727DFA">
              <w:rPr>
                <w:rFonts w:eastAsia="DengXian"/>
                <w:szCs w:val="24"/>
              </w:rPr>
              <w:t xml:space="preserve">: 5 mg/kg daily (max. per dose 200mg) </w:t>
            </w:r>
          </w:p>
          <w:p w14:paraId="34FE8C2C" w14:textId="77777777" w:rsidR="007B485D" w:rsidRPr="00727DFA" w:rsidRDefault="007B485D" w:rsidP="002D6DD7">
            <w:pPr>
              <w:jc w:val="both"/>
              <w:rPr>
                <w:rFonts w:eastAsia="DengXian"/>
                <w:szCs w:val="24"/>
              </w:rPr>
            </w:pPr>
            <w:r w:rsidRPr="00727DFA">
              <w:rPr>
                <w:rFonts w:eastAsia="DengXian"/>
                <w:b/>
                <w:bCs/>
                <w:szCs w:val="24"/>
              </w:rPr>
              <w:t>Prophylaxis of deep fungal infections</w:t>
            </w:r>
            <w:r w:rsidRPr="00727DFA">
              <w:rPr>
                <w:rFonts w:eastAsia="DengXian"/>
                <w:szCs w:val="24"/>
              </w:rPr>
              <w:t xml:space="preserve"> (when standard therapy inappropriate) in patients with hematological malignancy or undergoing bone marrow transplantation at risk of neutropenia:</w:t>
            </w:r>
          </w:p>
          <w:p w14:paraId="2454480E"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2.5 mg/kg twice daily</w:t>
            </w:r>
          </w:p>
        </w:tc>
      </w:tr>
      <w:tr w:rsidR="007B485D" w:rsidRPr="00727DFA" w14:paraId="21F6F58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B994F7"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394791B" w14:textId="77777777" w:rsidR="007B485D" w:rsidRPr="00727DFA" w:rsidRDefault="007B485D" w:rsidP="002D6DD7">
            <w:pPr>
              <w:jc w:val="both"/>
              <w:rPr>
                <w:rFonts w:eastAsia="DengXian"/>
                <w:szCs w:val="24"/>
              </w:rPr>
            </w:pPr>
            <w:r w:rsidRPr="00727DFA">
              <w:rPr>
                <w:rFonts w:eastAsia="DengXian"/>
                <w:szCs w:val="24"/>
              </w:rPr>
              <w:t>Known hypersensitivity to the drug, acute porphyria</w:t>
            </w:r>
          </w:p>
        </w:tc>
      </w:tr>
      <w:tr w:rsidR="007B485D" w:rsidRPr="00727DFA" w14:paraId="56347D6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36D5B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4B105B3" w14:textId="77777777" w:rsidR="007B485D" w:rsidRPr="00727DFA" w:rsidRDefault="007B485D" w:rsidP="002D6DD7">
            <w:pPr>
              <w:jc w:val="both"/>
              <w:rPr>
                <w:rFonts w:eastAsia="DengXian"/>
                <w:szCs w:val="24"/>
              </w:rPr>
            </w:pPr>
            <w:r w:rsidRPr="00727DFA">
              <w:rPr>
                <w:rFonts w:eastAsia="DengXian"/>
                <w:szCs w:val="24"/>
              </w:rPr>
              <w:t>Clarithromycin, erythromycin, indinavir</w:t>
            </w:r>
            <w:r>
              <w:rPr>
                <w:rFonts w:eastAsia="DengXian"/>
                <w:szCs w:val="24"/>
              </w:rPr>
              <w:t xml:space="preserve">, </w:t>
            </w:r>
            <w:r w:rsidRPr="00727DFA">
              <w:rPr>
                <w:rFonts w:eastAsia="DengXian"/>
                <w:szCs w:val="24"/>
              </w:rPr>
              <w:t>ritonavir, calcium channel blockers, antacids, PPIs, H-2 histamine antagonists, oral anticoagulants, medicinal products known to prolong QTc interval</w:t>
            </w:r>
            <w:r>
              <w:rPr>
                <w:rFonts w:eastAsia="DengXian"/>
                <w:szCs w:val="24"/>
              </w:rPr>
              <w:t>.</w:t>
            </w:r>
          </w:p>
        </w:tc>
      </w:tr>
      <w:tr w:rsidR="007B485D" w:rsidRPr="00727DFA" w14:paraId="19B93FB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BC401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EF3CAD5" w14:textId="77777777" w:rsidR="007B485D" w:rsidRPr="00727DFA" w:rsidRDefault="007B485D" w:rsidP="002D6DD7">
            <w:pPr>
              <w:jc w:val="both"/>
              <w:rPr>
                <w:rFonts w:eastAsia="DengXian"/>
                <w:szCs w:val="24"/>
              </w:rPr>
            </w:pPr>
            <w:r w:rsidRPr="00727DFA">
              <w:rPr>
                <w:rFonts w:eastAsia="DengXian"/>
                <w:szCs w:val="24"/>
              </w:rPr>
              <w:t>Alopecia, constipation, diarrhea, dyspnea, gastrointestinal discomfort, headache, heart failure, hepatic disorders, hyperbilirubinemia, nausea, edema, pulmonary oedema, skin reactions, vision disorders, hepatitis</w:t>
            </w:r>
            <w:r>
              <w:rPr>
                <w:rFonts w:eastAsia="DengXian"/>
                <w:szCs w:val="24"/>
              </w:rPr>
              <w:t xml:space="preserve">, </w:t>
            </w:r>
            <w:r w:rsidRPr="00727DFA">
              <w:rPr>
                <w:rFonts w:eastAsia="DengXian"/>
                <w:szCs w:val="24"/>
              </w:rPr>
              <w:t>cholestatic jaundice</w:t>
            </w:r>
            <w:r>
              <w:rPr>
                <w:rFonts w:eastAsia="DengXian"/>
                <w:szCs w:val="24"/>
              </w:rPr>
              <w:t>.</w:t>
            </w:r>
          </w:p>
        </w:tc>
      </w:tr>
      <w:tr w:rsidR="007B485D" w:rsidRPr="00727DFA" w14:paraId="605655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CE56E0"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0E7B1D4" w14:textId="77777777" w:rsidR="007B485D" w:rsidRPr="00727DFA" w:rsidRDefault="007B485D" w:rsidP="002D6DD7">
            <w:pPr>
              <w:jc w:val="both"/>
              <w:rPr>
                <w:rFonts w:eastAsia="DengXian"/>
                <w:szCs w:val="24"/>
              </w:rPr>
            </w:pPr>
            <w:r w:rsidRPr="00727DFA">
              <w:rPr>
                <w:rFonts w:eastAsia="DengXian"/>
                <w:szCs w:val="24"/>
              </w:rPr>
              <w:t>Breastfeeding, pregnancy, susceptibility to congestive heart failure, active liver disease, history of hepatotoxicity with other drugs, elderly, hepatic impairment, renal impairment</w:t>
            </w:r>
          </w:p>
          <w:p w14:paraId="039E05EF" w14:textId="77777777" w:rsidR="007B485D" w:rsidRPr="00727DFA" w:rsidRDefault="007B485D" w:rsidP="002D6DD7">
            <w:pPr>
              <w:jc w:val="both"/>
              <w:rPr>
                <w:rFonts w:eastAsia="DengXian"/>
                <w:szCs w:val="24"/>
              </w:rPr>
            </w:pPr>
            <w:r>
              <w:rPr>
                <w:rFonts w:eastAsia="DengXian"/>
                <w:b/>
                <w:bCs/>
                <w:szCs w:val="24"/>
              </w:rPr>
              <w:t>Note</w:t>
            </w:r>
            <w:r w:rsidRPr="00727DFA">
              <w:rPr>
                <w:rFonts w:eastAsia="DengXian"/>
                <w:b/>
                <w:bCs/>
                <w:szCs w:val="24"/>
              </w:rPr>
              <w:t>:</w:t>
            </w:r>
            <w:r w:rsidRPr="00727DFA">
              <w:rPr>
                <w:rFonts w:eastAsia="DengXian"/>
                <w:szCs w:val="24"/>
              </w:rPr>
              <w:t xml:space="preserve"> </w:t>
            </w:r>
            <w:r w:rsidRPr="00873AF2">
              <w:rPr>
                <w:rFonts w:eastAsia="DengXian"/>
                <w:i/>
                <w:iCs/>
                <w:szCs w:val="24"/>
              </w:rPr>
              <w:t>ensure effective contraception during treatment and until the next menstrual period following end of treatment.</w:t>
            </w:r>
          </w:p>
        </w:tc>
      </w:tr>
      <w:tr w:rsidR="007B485D" w:rsidRPr="00727DFA" w14:paraId="14F80E2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133CA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C0A5F54" w14:textId="77777777" w:rsidR="007B485D" w:rsidRPr="00727DFA" w:rsidRDefault="007B485D" w:rsidP="002D6DD7">
            <w:pPr>
              <w:jc w:val="both"/>
              <w:rPr>
                <w:rFonts w:eastAsia="DengXian"/>
                <w:szCs w:val="24"/>
              </w:rPr>
            </w:pPr>
            <w:r w:rsidRPr="00727DFA">
              <w:rPr>
                <w:rFonts w:eastAsia="DengXian"/>
                <w:szCs w:val="24"/>
              </w:rPr>
              <w:t xml:space="preserve">Store below 30°C. </w:t>
            </w:r>
          </w:p>
        </w:tc>
      </w:tr>
      <w:tr w:rsidR="007B485D" w:rsidRPr="00727DFA" w14:paraId="6989E32E"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B44CD6F" w14:textId="77777777" w:rsidR="007B485D" w:rsidRPr="00727DFA" w:rsidRDefault="007B485D" w:rsidP="002D6DD7">
            <w:pPr>
              <w:jc w:val="both"/>
              <w:rPr>
                <w:rFonts w:eastAsia="DengXian"/>
                <w:b/>
                <w:bCs/>
                <w:szCs w:val="24"/>
              </w:rPr>
            </w:pPr>
            <w:r w:rsidRPr="00727DFA">
              <w:rPr>
                <w:rFonts w:eastAsia="DengXian"/>
                <w:b/>
                <w:bCs/>
                <w:szCs w:val="24"/>
              </w:rPr>
              <w:t>Micafungin</w:t>
            </w:r>
          </w:p>
        </w:tc>
      </w:tr>
      <w:tr w:rsidR="007B485D" w:rsidRPr="00727DFA" w14:paraId="1F7AA4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DD3CF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778C717" w14:textId="77777777" w:rsidR="007B485D" w:rsidRPr="00727DFA" w:rsidRDefault="007B485D" w:rsidP="002D6DD7">
            <w:pPr>
              <w:jc w:val="both"/>
              <w:rPr>
                <w:rFonts w:eastAsia="DengXian"/>
                <w:szCs w:val="24"/>
              </w:rPr>
            </w:pPr>
            <w:r w:rsidRPr="00727DFA">
              <w:rPr>
                <w:rFonts w:eastAsia="DengXian"/>
                <w:szCs w:val="24"/>
              </w:rPr>
              <w:t xml:space="preserve">Echinocandins </w:t>
            </w:r>
          </w:p>
        </w:tc>
      </w:tr>
      <w:tr w:rsidR="007B485D" w:rsidRPr="00727DFA" w14:paraId="04DBF44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0F736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4ECC0B57" w14:textId="77777777" w:rsidR="007B485D" w:rsidRPr="00727DFA" w:rsidRDefault="007B485D" w:rsidP="002D6DD7">
            <w:pPr>
              <w:jc w:val="both"/>
              <w:rPr>
                <w:rFonts w:eastAsia="DengXian"/>
                <w:szCs w:val="24"/>
              </w:rPr>
            </w:pPr>
            <w:r w:rsidRPr="00727DFA">
              <w:rPr>
                <w:rFonts w:eastAsia="DengXian"/>
                <w:szCs w:val="24"/>
              </w:rPr>
              <w:t>Powder for injection: 50 mg, 100 mg</w:t>
            </w:r>
          </w:p>
        </w:tc>
      </w:tr>
      <w:tr w:rsidR="007B485D" w:rsidRPr="00727DFA" w14:paraId="444A481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537224F"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F2BF45C" w14:textId="77777777" w:rsidR="007B485D" w:rsidRPr="00727DFA" w:rsidRDefault="007B485D" w:rsidP="002D6DD7">
            <w:pPr>
              <w:jc w:val="both"/>
              <w:rPr>
                <w:rFonts w:eastAsia="DengXian"/>
                <w:szCs w:val="24"/>
              </w:rPr>
            </w:pPr>
            <w:r w:rsidRPr="00727DFA">
              <w:rPr>
                <w:rFonts w:eastAsia="DengXian"/>
                <w:szCs w:val="24"/>
              </w:rPr>
              <w:t xml:space="preserve">Treatment of invasive candidiasis, esophageal candidiasis, prophylaxis of Candida infection in patients undergoing allogeneic </w:t>
            </w:r>
            <w:r w:rsidRPr="00727DFA">
              <w:rPr>
                <w:rFonts w:eastAsia="DengXian"/>
                <w:szCs w:val="24"/>
              </w:rPr>
              <w:lastRenderedPageBreak/>
              <w:t xml:space="preserve">hematopoietic stem cell transplantation </w:t>
            </w:r>
          </w:p>
        </w:tc>
      </w:tr>
      <w:tr w:rsidR="007B485D" w:rsidRPr="00727DFA" w14:paraId="3389A5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BC4596" w14:textId="77777777" w:rsidR="007B485D" w:rsidRPr="00727DFA" w:rsidRDefault="007B485D" w:rsidP="002D6DD7">
            <w:pPr>
              <w:jc w:val="both"/>
              <w:rPr>
                <w:rFonts w:eastAsia="DengXian"/>
                <w:bCs/>
                <w:szCs w:val="24"/>
              </w:rPr>
            </w:pPr>
            <w:r w:rsidRPr="00727DFA">
              <w:rPr>
                <w:rFonts w:eastAsia="DengXian"/>
                <w:bCs/>
                <w:szCs w:val="24"/>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1C68448" w14:textId="77777777" w:rsidR="007B485D" w:rsidRPr="00727DFA" w:rsidRDefault="007B485D" w:rsidP="002D6DD7">
            <w:pPr>
              <w:jc w:val="both"/>
              <w:rPr>
                <w:rFonts w:eastAsia="DengXian"/>
                <w:szCs w:val="24"/>
              </w:rPr>
            </w:pPr>
            <w:r w:rsidRPr="00727DFA">
              <w:rPr>
                <w:rFonts w:eastAsia="DengXian"/>
                <w:b/>
                <w:bCs/>
                <w:szCs w:val="24"/>
              </w:rPr>
              <w:t>Invasive candidiasis,</w:t>
            </w:r>
            <w:r w:rsidRPr="00727DFA">
              <w:rPr>
                <w:rFonts w:eastAsia="DengXian"/>
                <w:szCs w:val="24"/>
              </w:rPr>
              <w:t xml:space="preserve"> by IV Infusion:</w:t>
            </w:r>
          </w:p>
          <w:p w14:paraId="37CD6A24"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(body weight up to 40 kg): 2 mg/kg- 4mg/kg once </w:t>
            </w:r>
          </w:p>
          <w:p w14:paraId="5E6DB275"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(body weight 40 kg and above): 100 – 200 mg once daily</w:t>
            </w:r>
          </w:p>
          <w:p w14:paraId="31641902" w14:textId="77777777" w:rsidR="007B485D" w:rsidRPr="00727DFA" w:rsidRDefault="007B485D" w:rsidP="002D6DD7">
            <w:pPr>
              <w:jc w:val="both"/>
              <w:rPr>
                <w:rFonts w:eastAsia="DengXian"/>
                <w:szCs w:val="24"/>
              </w:rPr>
            </w:pPr>
            <w:r w:rsidRPr="00727DFA">
              <w:rPr>
                <w:rFonts w:eastAsia="DengXian"/>
                <w:b/>
                <w:szCs w:val="24"/>
              </w:rPr>
              <w:t xml:space="preserve">Child </w:t>
            </w:r>
            <w:r w:rsidRPr="00727DFA">
              <w:rPr>
                <w:rFonts w:eastAsia="DengXian"/>
                <w:szCs w:val="24"/>
              </w:rPr>
              <w:t xml:space="preserve">(4 months – 16 years): 2 mg/kg once daily (&lt;40 kg) </w:t>
            </w:r>
          </w:p>
          <w:p w14:paraId="682027C8" w14:textId="77777777" w:rsidR="007B485D" w:rsidRPr="00727DFA" w:rsidRDefault="007B485D" w:rsidP="002D6DD7">
            <w:pPr>
              <w:jc w:val="both"/>
              <w:rPr>
                <w:rFonts w:eastAsia="DengXian"/>
                <w:szCs w:val="24"/>
              </w:rPr>
            </w:pPr>
            <w:r w:rsidRPr="00727DFA">
              <w:rPr>
                <w:rFonts w:eastAsia="DengXian"/>
                <w:b/>
                <w:szCs w:val="24"/>
              </w:rPr>
              <w:t xml:space="preserve">Child </w:t>
            </w:r>
            <w:r w:rsidRPr="00727DFA">
              <w:rPr>
                <w:rFonts w:eastAsia="DengXian"/>
                <w:szCs w:val="24"/>
              </w:rPr>
              <w:t xml:space="preserve">(4 months – 16 years) :100 mg once daily (&gt;40 kg) </w:t>
            </w:r>
          </w:p>
          <w:p w14:paraId="34A31D7E" w14:textId="77777777" w:rsidR="007B485D" w:rsidRPr="00727DFA" w:rsidRDefault="007B485D" w:rsidP="002D6DD7">
            <w:pPr>
              <w:jc w:val="both"/>
              <w:rPr>
                <w:rFonts w:eastAsia="DengXian"/>
                <w:szCs w:val="24"/>
              </w:rPr>
            </w:pPr>
            <w:r w:rsidRPr="00727DFA">
              <w:rPr>
                <w:rFonts w:eastAsia="DengXian"/>
                <w:b/>
                <w:szCs w:val="24"/>
              </w:rPr>
              <w:t xml:space="preserve">Newborn </w:t>
            </w:r>
            <w:r w:rsidRPr="00727DFA">
              <w:rPr>
                <w:rFonts w:eastAsia="DengXian"/>
                <w:szCs w:val="24"/>
              </w:rPr>
              <w:t xml:space="preserve">– 4 months:  4- 10 mg per day   </w:t>
            </w:r>
          </w:p>
          <w:p w14:paraId="70AF2B95" w14:textId="77777777" w:rsidR="007B485D" w:rsidRPr="00727DFA" w:rsidRDefault="007B485D" w:rsidP="002D6DD7">
            <w:pPr>
              <w:jc w:val="both"/>
              <w:rPr>
                <w:rFonts w:eastAsia="DengXian"/>
                <w:szCs w:val="24"/>
              </w:rPr>
            </w:pPr>
            <w:r w:rsidRPr="00727DFA">
              <w:rPr>
                <w:rFonts w:eastAsia="DengXian"/>
                <w:b/>
                <w:bCs/>
                <w:szCs w:val="24"/>
              </w:rPr>
              <w:t>Esophageal candidiasis</w:t>
            </w:r>
            <w:r w:rsidRPr="00727DFA">
              <w:rPr>
                <w:rFonts w:eastAsia="DengXian"/>
                <w:szCs w:val="24"/>
              </w:rPr>
              <w:t>, by IV infusion:</w:t>
            </w:r>
          </w:p>
          <w:p w14:paraId="0B27F7E8"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(body weight up to 40 kg): 3 mg/kg once daily.</w:t>
            </w:r>
          </w:p>
          <w:p w14:paraId="175E2DAA"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(body weight 40 kg and above): 150 mg once daily.</w:t>
            </w:r>
          </w:p>
          <w:p w14:paraId="130A96F2" w14:textId="77777777" w:rsidR="007B485D" w:rsidRPr="00727DFA" w:rsidRDefault="007B485D" w:rsidP="002D6DD7">
            <w:pPr>
              <w:jc w:val="both"/>
              <w:rPr>
                <w:rFonts w:eastAsia="DengXian"/>
                <w:szCs w:val="24"/>
              </w:rPr>
            </w:pPr>
            <w:r w:rsidRPr="00727DFA">
              <w:rPr>
                <w:rFonts w:eastAsia="DengXian"/>
                <w:b/>
                <w:szCs w:val="24"/>
              </w:rPr>
              <w:t>Prophylaxis of Candida infections:</w:t>
            </w:r>
            <w:r w:rsidRPr="00727DFA">
              <w:rPr>
                <w:rFonts w:eastAsia="DengXian"/>
                <w:szCs w:val="24"/>
              </w:rPr>
              <w:t xml:space="preserve"> administered for at least one week after neutrophil recovery; IV:</w:t>
            </w:r>
          </w:p>
          <w:p w14:paraId="184D80A2" w14:textId="77777777" w:rsidR="007B485D" w:rsidRPr="00727DFA" w:rsidRDefault="007B485D" w:rsidP="002D6DD7">
            <w:pPr>
              <w:jc w:val="both"/>
              <w:rPr>
                <w:rFonts w:eastAsia="DengXian"/>
                <w:szCs w:val="24"/>
              </w:rPr>
            </w:pPr>
            <w:r w:rsidRPr="00727DFA">
              <w:rPr>
                <w:rFonts w:eastAsia="DengXian"/>
                <w:b/>
                <w:szCs w:val="24"/>
              </w:rPr>
              <w:t xml:space="preserve">Body weight  </w:t>
            </w:r>
            <m:oMath>
              <m:r>
                <m:rPr>
                  <m:sty m:val="b"/>
                </m:rPr>
                <w:rPr>
                  <w:rFonts w:ascii="Cambria Math" w:eastAsia="DengXian" w:hAnsi="Cambria Math"/>
                  <w:szCs w:val="24"/>
                </w:rPr>
                <m:t>≥</m:t>
              </m:r>
            </m:oMath>
            <w:r w:rsidRPr="00727DFA">
              <w:rPr>
                <w:rFonts w:eastAsia="DengXian"/>
                <w:b/>
                <w:szCs w:val="24"/>
              </w:rPr>
              <w:t>40 kg</w:t>
            </w:r>
            <w:r w:rsidRPr="00727DFA">
              <w:rPr>
                <w:rFonts w:eastAsia="DengXian"/>
                <w:szCs w:val="24"/>
              </w:rPr>
              <w:t>: 50 mg once daily</w:t>
            </w:r>
          </w:p>
          <w:p w14:paraId="704C7B99" w14:textId="77777777" w:rsidR="007B485D" w:rsidRPr="00727DFA" w:rsidRDefault="007B485D" w:rsidP="002D6DD7">
            <w:pPr>
              <w:jc w:val="both"/>
              <w:rPr>
                <w:rFonts w:eastAsia="DengXian"/>
                <w:szCs w:val="24"/>
              </w:rPr>
            </w:pPr>
            <w:r w:rsidRPr="00727DFA">
              <w:rPr>
                <w:rFonts w:eastAsia="DengXian"/>
                <w:b/>
                <w:szCs w:val="24"/>
              </w:rPr>
              <w:t>Body weight &lt; 40 kg</w:t>
            </w:r>
            <w:r w:rsidRPr="00727DFA">
              <w:rPr>
                <w:rFonts w:eastAsia="DengXian"/>
                <w:szCs w:val="24"/>
              </w:rPr>
              <w:t>: 1 mg/kg once daily</w:t>
            </w:r>
          </w:p>
          <w:p w14:paraId="412E97FD" w14:textId="77777777" w:rsidR="007B485D" w:rsidRPr="00727DFA" w:rsidRDefault="007B485D" w:rsidP="002D6DD7">
            <w:pPr>
              <w:jc w:val="both"/>
              <w:rPr>
                <w:rFonts w:eastAsia="DengXian"/>
                <w:szCs w:val="24"/>
              </w:rPr>
            </w:pPr>
            <w:r w:rsidRPr="00727DFA">
              <w:rPr>
                <w:rFonts w:eastAsia="DengXian"/>
                <w:b/>
                <w:szCs w:val="24"/>
              </w:rPr>
              <w:t>Newborn – 4 months</w:t>
            </w:r>
            <w:r w:rsidRPr="00727DFA">
              <w:rPr>
                <w:rFonts w:eastAsia="DengXian"/>
                <w:szCs w:val="24"/>
              </w:rPr>
              <w:t>:  2 mg/kg per day</w:t>
            </w:r>
          </w:p>
        </w:tc>
      </w:tr>
      <w:tr w:rsidR="007B485D" w:rsidRPr="00727DFA" w14:paraId="492DA66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28D728F"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770B070"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 or</w:t>
            </w:r>
            <w:r w:rsidRPr="00727DFA">
              <w:rPr>
                <w:rFonts w:eastAsia="DengXian"/>
                <w:szCs w:val="24"/>
              </w:rPr>
              <w:t xml:space="preserve"> other echinocandins</w:t>
            </w:r>
            <w:r>
              <w:rPr>
                <w:rFonts w:eastAsia="DengXian"/>
                <w:szCs w:val="24"/>
              </w:rPr>
              <w:t>.</w:t>
            </w:r>
          </w:p>
        </w:tc>
      </w:tr>
      <w:tr w:rsidR="007B485D" w:rsidRPr="00727DFA" w14:paraId="61CE96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754D47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C66E0E6" w14:textId="77777777" w:rsidR="007B485D" w:rsidRPr="00727DFA" w:rsidRDefault="007B485D" w:rsidP="002D6DD7">
            <w:pPr>
              <w:jc w:val="both"/>
              <w:rPr>
                <w:rFonts w:eastAsia="DengXian"/>
                <w:szCs w:val="24"/>
              </w:rPr>
            </w:pPr>
            <w:r w:rsidRPr="00727DFA">
              <w:rPr>
                <w:rFonts w:eastAsia="DengXian"/>
                <w:szCs w:val="24"/>
              </w:rPr>
              <w:t>Mycophenolate mofetil, ciclosporin, tacrolimus, sirolimus, nifedipine, fluconazole, ritonavir, rifampicin, itraconazole, voriconazole</w:t>
            </w:r>
            <w:r>
              <w:rPr>
                <w:rFonts w:eastAsia="DengXian"/>
                <w:szCs w:val="24"/>
              </w:rPr>
              <w:t xml:space="preserve">, </w:t>
            </w:r>
            <w:r w:rsidRPr="00727DFA">
              <w:rPr>
                <w:rFonts w:eastAsia="DengXian"/>
                <w:szCs w:val="24"/>
              </w:rPr>
              <w:t>amphotericin B.</w:t>
            </w:r>
          </w:p>
        </w:tc>
      </w:tr>
      <w:tr w:rsidR="007B485D" w:rsidRPr="00727DFA" w14:paraId="7B8A90C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61F07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151D5F9" w14:textId="77777777" w:rsidR="007B485D" w:rsidRPr="00727DFA" w:rsidRDefault="007B485D" w:rsidP="002D6DD7">
            <w:pPr>
              <w:jc w:val="both"/>
              <w:rPr>
                <w:rFonts w:eastAsia="DengXian"/>
                <w:szCs w:val="24"/>
              </w:rPr>
            </w:pPr>
            <w:r w:rsidRPr="00727DFA">
              <w:rPr>
                <w:rFonts w:eastAsia="DengXian"/>
                <w:szCs w:val="24"/>
              </w:rPr>
              <w:t xml:space="preserve">GI effects (diarrhea, nausea, vomiting, abdominal pain, abdominal distention), pyrexia, infusion-related reactions, hypoglycemia, hypomagnesemia, hypernatremia, hyperkalemia, epistaxis, hematologic effects (thrombocytopenia, neutropenia, anemia, febrile neutropenia), </w:t>
            </w:r>
            <w:r>
              <w:rPr>
                <w:rFonts w:eastAsia="DengXian"/>
                <w:szCs w:val="24"/>
              </w:rPr>
              <w:t>liver enzyme abnormality</w:t>
            </w:r>
            <w:r w:rsidRPr="00727DFA">
              <w:rPr>
                <w:rFonts w:eastAsia="DengXian"/>
                <w:szCs w:val="24"/>
              </w:rPr>
              <w:t>, rash, pruritus, urticaria, headache, insomnia, anxiety, decreased urine output, hematuria, atrial fibrillation, tachycardia, injection site reactions (inflammation, phlebitis, thrombophlebitis).</w:t>
            </w:r>
          </w:p>
        </w:tc>
      </w:tr>
      <w:tr w:rsidR="007B485D" w:rsidRPr="00727DFA" w14:paraId="4D1F12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E08AD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A3B39A3" w14:textId="77777777" w:rsidR="007B485D" w:rsidRPr="00727DFA" w:rsidRDefault="007B485D" w:rsidP="002D6DD7">
            <w:pPr>
              <w:jc w:val="both"/>
              <w:rPr>
                <w:rFonts w:eastAsia="DengXian"/>
                <w:szCs w:val="24"/>
              </w:rPr>
            </w:pPr>
            <w:r w:rsidRPr="00727DFA">
              <w:rPr>
                <w:rFonts w:eastAsia="DengXian"/>
                <w:szCs w:val="24"/>
              </w:rPr>
              <w:t xml:space="preserve">Pregnancy, breast feeding, </w:t>
            </w:r>
            <w:r>
              <w:rPr>
                <w:rFonts w:eastAsia="DengXian"/>
                <w:szCs w:val="24"/>
              </w:rPr>
              <w:t>hepatic</w:t>
            </w:r>
            <w:r w:rsidRPr="00727DFA">
              <w:rPr>
                <w:rFonts w:eastAsia="DengXian"/>
                <w:szCs w:val="24"/>
              </w:rPr>
              <w:t xml:space="preserve"> and renal impairment, neonates and infants less than 4 months</w:t>
            </w:r>
            <w:r>
              <w:rPr>
                <w:rFonts w:eastAsia="DengXian"/>
                <w:szCs w:val="24"/>
              </w:rPr>
              <w:t>.</w:t>
            </w:r>
          </w:p>
        </w:tc>
      </w:tr>
      <w:tr w:rsidR="007B485D" w:rsidRPr="00727DFA" w14:paraId="381CD91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1F6FB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D0DDE7B"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21F4755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5C14157" w14:textId="77777777" w:rsidR="007B485D" w:rsidRPr="00727DFA" w:rsidRDefault="007B485D" w:rsidP="002D6DD7">
            <w:pPr>
              <w:jc w:val="both"/>
              <w:rPr>
                <w:rFonts w:eastAsia="DengXian"/>
                <w:b/>
                <w:bCs/>
                <w:szCs w:val="24"/>
                <w:lang w:val="fr-FR"/>
              </w:rPr>
            </w:pPr>
            <w:r w:rsidRPr="00727DFA">
              <w:rPr>
                <w:rFonts w:eastAsia="DengXian"/>
                <w:b/>
                <w:bCs/>
                <w:szCs w:val="24"/>
                <w:lang w:val="fr-FR"/>
              </w:rPr>
              <w:t>Miconazole</w:t>
            </w:r>
          </w:p>
        </w:tc>
      </w:tr>
      <w:tr w:rsidR="007B485D" w:rsidRPr="00727DFA" w14:paraId="52246F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46FA3A" w14:textId="77777777" w:rsidR="007B485D" w:rsidRPr="00727DFA" w:rsidRDefault="007B485D" w:rsidP="002D6DD7">
            <w:pPr>
              <w:jc w:val="both"/>
              <w:rPr>
                <w:rFonts w:eastAsia="DengXian"/>
                <w:bCs/>
                <w:szCs w:val="24"/>
              </w:rPr>
            </w:pPr>
            <w:r w:rsidRPr="00727DFA">
              <w:rPr>
                <w:rFonts w:eastAsia="DengXian"/>
                <w:bCs/>
                <w:szCs w:val="24"/>
              </w:rPr>
              <w:lastRenderedPageBreak/>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FFA5890" w14:textId="77777777" w:rsidR="007B485D" w:rsidRPr="00727DFA" w:rsidRDefault="007B485D" w:rsidP="002D6DD7">
            <w:pPr>
              <w:jc w:val="both"/>
              <w:rPr>
                <w:rFonts w:eastAsia="DengXian"/>
                <w:szCs w:val="24"/>
              </w:rPr>
            </w:pPr>
            <w:r w:rsidRPr="00727DFA">
              <w:rPr>
                <w:rFonts w:eastAsia="DengXian"/>
                <w:szCs w:val="24"/>
              </w:rPr>
              <w:t>Imidazole</w:t>
            </w:r>
            <w:r>
              <w:rPr>
                <w:rFonts w:eastAsia="DengXian"/>
                <w:szCs w:val="24"/>
              </w:rPr>
              <w:t xml:space="preserve"> </w:t>
            </w:r>
          </w:p>
        </w:tc>
      </w:tr>
      <w:tr w:rsidR="007B485D" w:rsidRPr="00727DFA" w14:paraId="751CE2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AE2872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F67E864" w14:textId="77777777" w:rsidR="007B485D" w:rsidRPr="00727DFA" w:rsidRDefault="007B485D" w:rsidP="002D6DD7">
            <w:pPr>
              <w:jc w:val="both"/>
              <w:rPr>
                <w:rFonts w:eastAsia="DengXian"/>
                <w:szCs w:val="24"/>
                <w:lang w:val="it-IT"/>
              </w:rPr>
            </w:pPr>
            <w:r w:rsidRPr="00727DFA">
              <w:rPr>
                <w:rFonts w:eastAsia="DengXian"/>
                <w:szCs w:val="24"/>
                <w:lang w:val="it-IT"/>
              </w:rPr>
              <w:t>Tablet (vaginal): 100mg, 200mg, 400mg</w:t>
            </w:r>
          </w:p>
          <w:p w14:paraId="104B1C86" w14:textId="77777777" w:rsidR="007B485D" w:rsidRDefault="007B485D" w:rsidP="002D6DD7">
            <w:pPr>
              <w:jc w:val="both"/>
              <w:rPr>
                <w:rFonts w:eastAsia="DengXian"/>
                <w:szCs w:val="24"/>
              </w:rPr>
            </w:pPr>
            <w:r w:rsidRPr="00727DFA">
              <w:rPr>
                <w:rFonts w:eastAsia="DengXian"/>
                <w:szCs w:val="24"/>
              </w:rPr>
              <w:t xml:space="preserve">Topical: Cream 2% </w:t>
            </w:r>
          </w:p>
          <w:p w14:paraId="2C91EC24" w14:textId="77777777" w:rsidR="007B485D" w:rsidRPr="00727DFA" w:rsidRDefault="007B485D" w:rsidP="002D6DD7">
            <w:pPr>
              <w:jc w:val="both"/>
              <w:rPr>
                <w:rFonts w:eastAsia="DengXian"/>
                <w:szCs w:val="24"/>
              </w:rPr>
            </w:pPr>
            <w:r w:rsidRPr="00727DFA">
              <w:rPr>
                <w:rFonts w:eastAsia="DengXian"/>
                <w:szCs w:val="24"/>
              </w:rPr>
              <w:t>Ointment 2%</w:t>
            </w:r>
          </w:p>
        </w:tc>
      </w:tr>
      <w:tr w:rsidR="007B485D" w:rsidRPr="00727DFA" w14:paraId="508476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1885FA"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7D8BAD5" w14:textId="77777777" w:rsidR="007B485D" w:rsidRPr="00727DFA" w:rsidRDefault="007B485D" w:rsidP="002D6DD7">
            <w:pPr>
              <w:jc w:val="both"/>
              <w:rPr>
                <w:rFonts w:eastAsia="DengXian"/>
                <w:szCs w:val="24"/>
              </w:rPr>
            </w:pPr>
            <w:r w:rsidRPr="00727DFA">
              <w:rPr>
                <w:rFonts w:eastAsia="DengXian"/>
                <w:szCs w:val="24"/>
              </w:rPr>
              <w:t>Vulvovaginal candidiasis</w:t>
            </w:r>
            <w:r>
              <w:rPr>
                <w:rFonts w:eastAsia="DengXian"/>
                <w:szCs w:val="24"/>
              </w:rPr>
              <w:t>.</w:t>
            </w:r>
          </w:p>
        </w:tc>
      </w:tr>
      <w:tr w:rsidR="007B485D" w:rsidRPr="00727DFA" w14:paraId="3626907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CA1AC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871F9CA" w14:textId="77777777" w:rsidR="007B485D" w:rsidRPr="007914B1" w:rsidRDefault="007B485D" w:rsidP="002D6DD7">
            <w:pPr>
              <w:jc w:val="both"/>
              <w:rPr>
                <w:rFonts w:eastAsia="DengXian"/>
                <w:b/>
                <w:bCs/>
                <w:i/>
                <w:iCs/>
                <w:szCs w:val="24"/>
              </w:rPr>
            </w:pPr>
            <w:r w:rsidRPr="007914B1">
              <w:rPr>
                <w:rFonts w:eastAsia="DengXian"/>
                <w:b/>
                <w:bCs/>
                <w:i/>
                <w:iCs/>
                <w:szCs w:val="24"/>
              </w:rPr>
              <w:t>Vaginal tablets:</w:t>
            </w:r>
          </w:p>
          <w:p w14:paraId="2788AEC0" w14:textId="77777777" w:rsidR="007B485D" w:rsidRPr="00727DFA" w:rsidRDefault="007B485D" w:rsidP="002D6DD7">
            <w:pPr>
              <w:jc w:val="both"/>
              <w:rPr>
                <w:rFonts w:eastAsia="DengXian"/>
                <w:szCs w:val="24"/>
              </w:rPr>
            </w:pPr>
            <w:r w:rsidRPr="00727DFA">
              <w:rPr>
                <w:rFonts w:eastAsia="DengXian"/>
                <w:b/>
                <w:szCs w:val="24"/>
              </w:rPr>
              <w:t>Intravaginal</w:t>
            </w:r>
            <w:r w:rsidRPr="00727DFA">
              <w:rPr>
                <w:rFonts w:eastAsia="DengXian"/>
                <w:szCs w:val="24"/>
              </w:rPr>
              <w:t xml:space="preserve">, 100mg once a day at bedtime for seven days. if needed or 200mg or 400mg </w:t>
            </w:r>
          </w:p>
          <w:p w14:paraId="41A4B299" w14:textId="77777777" w:rsidR="007B485D" w:rsidRPr="007914B1" w:rsidRDefault="007B485D" w:rsidP="002D6DD7">
            <w:pPr>
              <w:jc w:val="both"/>
              <w:rPr>
                <w:rFonts w:eastAsia="DengXian"/>
                <w:b/>
                <w:bCs/>
                <w:i/>
                <w:iCs/>
                <w:szCs w:val="24"/>
              </w:rPr>
            </w:pPr>
            <w:r w:rsidRPr="007914B1">
              <w:rPr>
                <w:rFonts w:eastAsia="DengXian"/>
                <w:b/>
                <w:bCs/>
                <w:i/>
                <w:iCs/>
                <w:szCs w:val="24"/>
              </w:rPr>
              <w:t xml:space="preserve">Vaginal cream: </w:t>
            </w:r>
          </w:p>
          <w:p w14:paraId="66646FEC" w14:textId="77777777" w:rsidR="007B485D" w:rsidRPr="00727DFA" w:rsidRDefault="007B485D" w:rsidP="002D6DD7">
            <w:pPr>
              <w:jc w:val="both"/>
              <w:rPr>
                <w:rFonts w:eastAsia="DengXian"/>
                <w:szCs w:val="24"/>
              </w:rPr>
            </w:pPr>
            <w:r w:rsidRPr="00727DFA">
              <w:rPr>
                <w:rFonts w:eastAsia="DengXian"/>
                <w:b/>
                <w:szCs w:val="24"/>
              </w:rPr>
              <w:t>Intravaginal</w:t>
            </w:r>
            <w:r w:rsidRPr="00727DFA">
              <w:rPr>
                <w:rFonts w:eastAsia="DengXian"/>
                <w:szCs w:val="24"/>
              </w:rPr>
              <w:t xml:space="preserve">, one applicatorful once a day at bedtime </w:t>
            </w:r>
          </w:p>
        </w:tc>
      </w:tr>
      <w:tr w:rsidR="007B485D" w:rsidRPr="00727DFA" w14:paraId="20E6887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8210DD"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8CD8EA8"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 p</w:t>
            </w:r>
            <w:r w:rsidRPr="00727DFA">
              <w:rPr>
                <w:rFonts w:eastAsia="DengXian"/>
                <w:szCs w:val="24"/>
              </w:rPr>
              <w:t xml:space="preserve">orphyria, hepatic impairment, </w:t>
            </w:r>
            <w:r>
              <w:rPr>
                <w:rFonts w:eastAsia="DengXian"/>
                <w:szCs w:val="24"/>
              </w:rPr>
              <w:t>milk protein allergy.</w:t>
            </w:r>
          </w:p>
        </w:tc>
      </w:tr>
      <w:tr w:rsidR="007B485D" w:rsidRPr="00727DFA" w14:paraId="032CCB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0F175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90014DA" w14:textId="77777777" w:rsidR="007B485D" w:rsidRPr="00727DFA" w:rsidRDefault="007B485D" w:rsidP="002D6DD7">
            <w:pPr>
              <w:jc w:val="both"/>
              <w:rPr>
                <w:rFonts w:eastAsia="DengXian"/>
                <w:szCs w:val="24"/>
              </w:rPr>
            </w:pPr>
            <w:r w:rsidRPr="00727DFA">
              <w:rPr>
                <w:rFonts w:eastAsia="DengXian"/>
                <w:szCs w:val="24"/>
              </w:rPr>
              <w:t xml:space="preserve">Oral anticoagulants, sulfonylurea </w:t>
            </w:r>
            <w:r>
              <w:rPr>
                <w:rFonts w:eastAsia="DengXian"/>
                <w:szCs w:val="24"/>
              </w:rPr>
              <w:t xml:space="preserve">and other </w:t>
            </w:r>
            <w:r w:rsidRPr="00727DFA">
              <w:rPr>
                <w:rFonts w:eastAsia="DengXian"/>
                <w:szCs w:val="24"/>
              </w:rPr>
              <w:t>hypoglycemic drugs, phenytoin, amphotericin, terfenadine, tadalafil</w:t>
            </w:r>
            <w:r>
              <w:rPr>
                <w:rFonts w:eastAsia="DengXian"/>
                <w:szCs w:val="24"/>
              </w:rPr>
              <w:t>.</w:t>
            </w:r>
          </w:p>
        </w:tc>
      </w:tr>
      <w:tr w:rsidR="007B485D" w:rsidRPr="00727DFA" w14:paraId="5A93BD4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76CC73"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308E34FE" w14:textId="77777777" w:rsidR="007B485D" w:rsidRPr="00727DFA" w:rsidRDefault="007B485D" w:rsidP="002D6DD7">
            <w:pPr>
              <w:jc w:val="both"/>
              <w:rPr>
                <w:rFonts w:eastAsia="DengXian"/>
                <w:szCs w:val="24"/>
              </w:rPr>
            </w:pPr>
            <w:r w:rsidRPr="00727DFA">
              <w:rPr>
                <w:rFonts w:eastAsia="DengXian"/>
                <w:szCs w:val="24"/>
              </w:rPr>
              <w:t>Local irritation (around or inside the vagina), discomfort, itching or burning sensation of the treated area, headache, urinary tract infections, pain when passing urine, painful periods, vaginal discharge, nausea,</w:t>
            </w:r>
            <w:r>
              <w:rPr>
                <w:rFonts w:eastAsia="DengXian"/>
                <w:szCs w:val="24"/>
              </w:rPr>
              <w:t xml:space="preserve"> diarrhea,</w:t>
            </w:r>
            <w:r w:rsidRPr="00727DFA">
              <w:rPr>
                <w:rFonts w:eastAsia="DengXian"/>
                <w:szCs w:val="24"/>
              </w:rPr>
              <w:t xml:space="preserve"> skin rash, angioedema </w:t>
            </w:r>
          </w:p>
        </w:tc>
      </w:tr>
      <w:tr w:rsidR="007B485D" w:rsidRPr="00727DFA" w14:paraId="6BEB6C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D03D4D"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FCCB93E"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breastfeeding</w:t>
            </w:r>
            <w:r>
              <w:rPr>
                <w:rFonts w:eastAsia="DengXian"/>
                <w:szCs w:val="24"/>
              </w:rPr>
              <w:t>.</w:t>
            </w:r>
          </w:p>
        </w:tc>
      </w:tr>
      <w:tr w:rsidR="007B485D" w:rsidRPr="00727DFA" w14:paraId="0DD720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AFF56D"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66723DA"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66440BB9"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0F6C72F" w14:textId="77777777" w:rsidR="007B485D" w:rsidRPr="00727DFA" w:rsidRDefault="007B485D" w:rsidP="002D6DD7">
            <w:pPr>
              <w:jc w:val="both"/>
              <w:rPr>
                <w:rFonts w:eastAsia="DengXian"/>
                <w:b/>
                <w:bCs/>
                <w:szCs w:val="24"/>
              </w:rPr>
            </w:pPr>
            <w:r w:rsidRPr="00727DFA">
              <w:rPr>
                <w:rFonts w:eastAsia="DengXian"/>
                <w:b/>
                <w:bCs/>
                <w:szCs w:val="24"/>
              </w:rPr>
              <w:t>Nystatin</w:t>
            </w:r>
          </w:p>
        </w:tc>
      </w:tr>
      <w:tr w:rsidR="007B485D" w:rsidRPr="00727DFA" w14:paraId="57D3A93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829425"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B7A2469" w14:textId="77777777" w:rsidR="007B485D" w:rsidRPr="00727DFA" w:rsidRDefault="007B485D" w:rsidP="002D6DD7">
            <w:pPr>
              <w:jc w:val="both"/>
              <w:rPr>
                <w:rFonts w:eastAsia="DengXian"/>
                <w:szCs w:val="24"/>
              </w:rPr>
            </w:pPr>
            <w:r w:rsidRPr="00727DFA">
              <w:rPr>
                <w:rFonts w:eastAsia="DengXian"/>
                <w:szCs w:val="24"/>
              </w:rPr>
              <w:t xml:space="preserve">Polyene macrolide </w:t>
            </w:r>
          </w:p>
        </w:tc>
      </w:tr>
      <w:tr w:rsidR="007B485D" w:rsidRPr="00727DFA" w14:paraId="3CB8100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103B82"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FC7ECD3" w14:textId="77777777" w:rsidR="007B485D" w:rsidRPr="00727DFA" w:rsidRDefault="007B485D" w:rsidP="002D6DD7">
            <w:pPr>
              <w:jc w:val="both"/>
              <w:rPr>
                <w:rFonts w:eastAsia="DengXian"/>
                <w:szCs w:val="24"/>
              </w:rPr>
            </w:pPr>
            <w:r w:rsidRPr="00727DFA">
              <w:rPr>
                <w:rFonts w:eastAsia="DengXian"/>
                <w:szCs w:val="24"/>
                <w:lang w:val="fr-FR"/>
              </w:rPr>
              <w:t>Oral suspension : 100,000</w:t>
            </w:r>
            <w:r>
              <w:rPr>
                <w:rFonts w:eastAsia="DengXian"/>
                <w:szCs w:val="24"/>
                <w:lang w:val="fr-FR"/>
              </w:rPr>
              <w:t xml:space="preserve"> IU</w:t>
            </w:r>
            <w:r w:rsidRPr="00727DFA">
              <w:rPr>
                <w:rFonts w:eastAsia="DengXian"/>
                <w:szCs w:val="24"/>
                <w:lang w:val="fr-FR"/>
              </w:rPr>
              <w:t xml:space="preserve">/ml,   </w:t>
            </w:r>
          </w:p>
          <w:p w14:paraId="33D54B92" w14:textId="77777777" w:rsidR="007B485D" w:rsidRPr="00727DFA" w:rsidRDefault="003114B5" w:rsidP="002D6DD7">
            <w:pPr>
              <w:jc w:val="both"/>
              <w:rPr>
                <w:rFonts w:eastAsia="DengXian"/>
                <w:szCs w:val="24"/>
                <w:lang w:val="fr-FR"/>
              </w:rPr>
            </w:pPr>
            <w:r w:rsidRPr="00727DFA">
              <w:rPr>
                <w:rFonts w:eastAsia="DengXian"/>
                <w:szCs w:val="24"/>
                <w:lang w:val="fr-FR"/>
              </w:rPr>
              <w:t>Pessary :</w:t>
            </w:r>
            <w:r w:rsidR="007B485D" w:rsidRPr="00727DFA">
              <w:rPr>
                <w:rFonts w:eastAsia="DengXian"/>
                <w:szCs w:val="24"/>
                <w:lang w:val="fr-FR"/>
              </w:rPr>
              <w:t xml:space="preserve"> 100000 IU</w:t>
            </w:r>
          </w:p>
          <w:p w14:paraId="18C0EFB1" w14:textId="77777777" w:rsidR="007B485D" w:rsidRPr="00727DFA" w:rsidRDefault="007B485D" w:rsidP="002D6DD7">
            <w:pPr>
              <w:jc w:val="both"/>
              <w:rPr>
                <w:rFonts w:eastAsia="DengXian"/>
                <w:szCs w:val="24"/>
              </w:rPr>
            </w:pPr>
            <w:r w:rsidRPr="00727DFA">
              <w:rPr>
                <w:rFonts w:eastAsia="DengXian"/>
                <w:szCs w:val="24"/>
              </w:rPr>
              <w:t>L</w:t>
            </w:r>
            <w:r w:rsidRPr="00727DFA">
              <w:rPr>
                <w:rFonts w:eastAsia="DengXian"/>
                <w:szCs w:val="24"/>
                <w:lang w:val="fr-FR"/>
              </w:rPr>
              <w:t>ozenge: 100000 IU</w:t>
            </w:r>
          </w:p>
        </w:tc>
      </w:tr>
      <w:tr w:rsidR="007B485D" w:rsidRPr="00727DFA" w14:paraId="39976C3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4A9A67"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512496B" w14:textId="77777777" w:rsidR="007B485D" w:rsidRPr="00727DFA" w:rsidRDefault="007B485D" w:rsidP="002D6DD7">
            <w:pPr>
              <w:jc w:val="both"/>
              <w:rPr>
                <w:rFonts w:eastAsia="DengXian"/>
                <w:szCs w:val="24"/>
              </w:rPr>
            </w:pPr>
            <w:r w:rsidRPr="00727DFA">
              <w:rPr>
                <w:rFonts w:eastAsia="DengXian"/>
                <w:szCs w:val="24"/>
              </w:rPr>
              <w:t>Oral candidiasis,</w:t>
            </w:r>
            <w:r w:rsidRPr="00727DFA">
              <w:rPr>
                <w:rFonts w:eastAsia="DengXian"/>
                <w:b/>
                <w:bCs/>
                <w:szCs w:val="24"/>
              </w:rPr>
              <w:t xml:space="preserve"> </w:t>
            </w:r>
            <w:r w:rsidRPr="00727DFA">
              <w:rPr>
                <w:rFonts w:eastAsia="DengXian"/>
                <w:szCs w:val="24"/>
              </w:rPr>
              <w:t>vulvo-vaginal candidiasis, intestinal and esophageal candidiasis, prophylaxis and treatment of candidiasis of skin and mucous membranes</w:t>
            </w:r>
          </w:p>
        </w:tc>
      </w:tr>
      <w:tr w:rsidR="007B485D" w:rsidRPr="00727DFA" w14:paraId="3C45D02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1EFB0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C912A37" w14:textId="77777777" w:rsidR="007B485D" w:rsidRPr="00727DFA" w:rsidRDefault="007B485D" w:rsidP="002D6DD7">
            <w:pPr>
              <w:jc w:val="both"/>
              <w:rPr>
                <w:rFonts w:eastAsia="DengXian"/>
                <w:szCs w:val="24"/>
              </w:rPr>
            </w:pPr>
            <w:r w:rsidRPr="00727DFA">
              <w:rPr>
                <w:rFonts w:eastAsia="DengXian"/>
                <w:b/>
                <w:bCs/>
                <w:szCs w:val="24"/>
              </w:rPr>
              <w:t>Oral candidiasis</w:t>
            </w:r>
            <w:r w:rsidR="003114B5">
              <w:rPr>
                <w:rFonts w:eastAsia="DengXian"/>
                <w:b/>
                <w:bCs/>
                <w:szCs w:val="24"/>
              </w:rPr>
              <w:t xml:space="preserve">, </w:t>
            </w:r>
            <w:r w:rsidR="003114B5" w:rsidRPr="003114B5">
              <w:rPr>
                <w:rFonts w:eastAsia="DengXian"/>
                <w:bCs/>
                <w:szCs w:val="24"/>
              </w:rPr>
              <w:t>o</w:t>
            </w:r>
            <w:r w:rsidRPr="003114B5">
              <w:rPr>
                <w:rFonts w:eastAsia="DengXian"/>
                <w:szCs w:val="24"/>
              </w:rPr>
              <w:t>ral:</w:t>
            </w:r>
          </w:p>
          <w:p w14:paraId="080D3E53" w14:textId="77777777" w:rsidR="007B485D" w:rsidRPr="00727DFA" w:rsidRDefault="007B485D" w:rsidP="002D6DD7">
            <w:pPr>
              <w:jc w:val="both"/>
              <w:rPr>
                <w:rFonts w:eastAsia="DengXian"/>
                <w:b/>
                <w:bCs/>
                <w:szCs w:val="24"/>
              </w:rPr>
            </w:pPr>
            <w:r w:rsidRPr="00727DFA">
              <w:rPr>
                <w:rFonts w:eastAsia="DengXian"/>
                <w:b/>
                <w:bCs/>
                <w:szCs w:val="24"/>
              </w:rPr>
              <w:t>Adult:</w:t>
            </w:r>
            <w:r>
              <w:rPr>
                <w:rFonts w:eastAsia="DengXian"/>
                <w:szCs w:val="24"/>
              </w:rPr>
              <w:t>4</w:t>
            </w:r>
            <w:r w:rsidRPr="00727DFA">
              <w:rPr>
                <w:rFonts w:eastAsia="DengXian"/>
                <w:szCs w:val="24"/>
              </w:rPr>
              <w:t>00,000</w:t>
            </w:r>
            <w:r>
              <w:rPr>
                <w:rFonts w:eastAsia="DengXian"/>
                <w:szCs w:val="24"/>
              </w:rPr>
              <w:t>-600,000</w:t>
            </w:r>
            <w:r w:rsidRPr="00727DFA">
              <w:rPr>
                <w:rFonts w:eastAsia="DengXian"/>
                <w:szCs w:val="24"/>
              </w:rPr>
              <w:t xml:space="preserve"> units 4 times daily</w:t>
            </w:r>
            <w:r>
              <w:rPr>
                <w:rFonts w:eastAsia="DengXian"/>
                <w:szCs w:val="24"/>
              </w:rPr>
              <w:t>,</w:t>
            </w:r>
            <w:r w:rsidRPr="00727DFA">
              <w:rPr>
                <w:rFonts w:eastAsia="DengXian"/>
                <w:szCs w:val="24"/>
              </w:rPr>
              <w:t xml:space="preserve"> after food</w:t>
            </w:r>
            <w:r>
              <w:rPr>
                <w:rFonts w:eastAsia="DengXian"/>
                <w:szCs w:val="24"/>
              </w:rPr>
              <w:t xml:space="preserve">; swish in </w:t>
            </w:r>
            <w:r>
              <w:rPr>
                <w:rFonts w:eastAsia="DengXian"/>
                <w:szCs w:val="24"/>
              </w:rPr>
              <w:lastRenderedPageBreak/>
              <w:t>mouth several minutes and then swallow</w:t>
            </w:r>
          </w:p>
          <w:p w14:paraId="7F1CB9EC" w14:textId="77777777" w:rsidR="007B485D" w:rsidRPr="00727DFA" w:rsidRDefault="007B485D" w:rsidP="002D6DD7">
            <w:pPr>
              <w:jc w:val="both"/>
              <w:rPr>
                <w:rFonts w:eastAsia="DengXian"/>
                <w:szCs w:val="24"/>
              </w:rPr>
            </w:pPr>
            <w:r w:rsidRPr="00727DFA">
              <w:rPr>
                <w:rFonts w:eastAsia="DengXian"/>
                <w:b/>
                <w:bCs/>
                <w:szCs w:val="24"/>
              </w:rPr>
              <w:t>Intestinal and esophageal candidiasis,</w:t>
            </w:r>
            <w:r w:rsidRPr="00727DFA">
              <w:rPr>
                <w:rFonts w:eastAsia="DengXian"/>
                <w:szCs w:val="24"/>
              </w:rPr>
              <w:t xml:space="preserve"> </w:t>
            </w:r>
            <w:r w:rsidR="003114B5" w:rsidRPr="003114B5">
              <w:rPr>
                <w:rFonts w:eastAsia="DengXian"/>
                <w:b/>
                <w:szCs w:val="24"/>
              </w:rPr>
              <w:t>o</w:t>
            </w:r>
            <w:r w:rsidRPr="003114B5">
              <w:rPr>
                <w:rFonts w:eastAsia="DengXian"/>
                <w:b/>
                <w:szCs w:val="24"/>
              </w:rPr>
              <w:t xml:space="preserve">ral: </w:t>
            </w:r>
          </w:p>
          <w:p w14:paraId="0C158B09"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500,000 units 4 times daily</w:t>
            </w:r>
          </w:p>
          <w:p w14:paraId="3183908B" w14:textId="77777777" w:rsidR="007B485D" w:rsidRPr="00727DFA" w:rsidRDefault="007B485D" w:rsidP="002D6DD7">
            <w:pPr>
              <w:jc w:val="both"/>
              <w:rPr>
                <w:rFonts w:eastAsia="DengXian"/>
                <w:b/>
                <w:bCs/>
                <w:szCs w:val="24"/>
              </w:rPr>
            </w:pPr>
            <w:r w:rsidRPr="00727DFA">
              <w:rPr>
                <w:rFonts w:eastAsia="DengXian"/>
                <w:b/>
                <w:bCs/>
                <w:szCs w:val="24"/>
              </w:rPr>
              <w:t>Vulvo-vaginal candidiasis</w:t>
            </w:r>
            <w:r w:rsidR="003114B5">
              <w:rPr>
                <w:rFonts w:eastAsia="DengXian"/>
                <w:b/>
                <w:bCs/>
                <w:szCs w:val="24"/>
              </w:rPr>
              <w:t>,</w:t>
            </w:r>
            <w:r w:rsidRPr="00727DFA">
              <w:rPr>
                <w:rFonts w:eastAsia="DengXian"/>
                <w:b/>
                <w:szCs w:val="24"/>
              </w:rPr>
              <w:t xml:space="preserve"> </w:t>
            </w:r>
            <w:r w:rsidR="003114B5" w:rsidRPr="003114B5">
              <w:rPr>
                <w:rFonts w:eastAsia="DengXian"/>
                <w:szCs w:val="24"/>
              </w:rPr>
              <w:t>p</w:t>
            </w:r>
            <w:r w:rsidRPr="003114B5">
              <w:rPr>
                <w:rFonts w:eastAsia="DengXian"/>
                <w:szCs w:val="24"/>
              </w:rPr>
              <w:t>er vaginum:</w:t>
            </w:r>
          </w:p>
          <w:p w14:paraId="1F4CE7C9"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100,000 IU daily</w:t>
            </w:r>
          </w:p>
          <w:p w14:paraId="6464C1D7" w14:textId="77777777" w:rsidR="007B485D" w:rsidRPr="00727DFA" w:rsidRDefault="007B485D" w:rsidP="002D6DD7">
            <w:pPr>
              <w:jc w:val="both"/>
              <w:rPr>
                <w:rFonts w:eastAsia="DengXian"/>
                <w:b/>
                <w:bCs/>
                <w:szCs w:val="24"/>
              </w:rPr>
            </w:pPr>
            <w:r w:rsidRPr="00727DFA">
              <w:rPr>
                <w:rFonts w:eastAsia="DengXian"/>
                <w:b/>
                <w:bCs/>
                <w:szCs w:val="24"/>
              </w:rPr>
              <w:t>Pediatric</w:t>
            </w:r>
            <w:r w:rsidRPr="00727DFA">
              <w:rPr>
                <w:rFonts w:eastAsia="DengXian"/>
                <w:szCs w:val="24"/>
              </w:rPr>
              <w:t xml:space="preserve"> </w:t>
            </w:r>
          </w:p>
          <w:p w14:paraId="086D3B50" w14:textId="77777777" w:rsidR="007B485D" w:rsidRPr="00727DFA" w:rsidRDefault="007B485D" w:rsidP="002D6DD7">
            <w:pPr>
              <w:jc w:val="both"/>
              <w:rPr>
                <w:rFonts w:eastAsia="DengXian"/>
                <w:b/>
                <w:bCs/>
                <w:szCs w:val="24"/>
              </w:rPr>
            </w:pPr>
            <w:r w:rsidRPr="00727DFA">
              <w:rPr>
                <w:rFonts w:eastAsia="DengXian"/>
                <w:b/>
                <w:bCs/>
                <w:szCs w:val="24"/>
              </w:rPr>
              <w:t>Oral candidiasis</w:t>
            </w:r>
            <w:r w:rsidR="003114B5">
              <w:rPr>
                <w:rFonts w:eastAsia="DengXian"/>
                <w:b/>
                <w:bCs/>
                <w:szCs w:val="24"/>
              </w:rPr>
              <w:t xml:space="preserve">, </w:t>
            </w:r>
            <w:r w:rsidR="003114B5" w:rsidRPr="003114B5">
              <w:rPr>
                <w:rFonts w:eastAsia="DengXian"/>
                <w:bCs/>
                <w:szCs w:val="24"/>
              </w:rPr>
              <w:t>o</w:t>
            </w:r>
            <w:r w:rsidRPr="00727DFA">
              <w:rPr>
                <w:rFonts w:eastAsia="DengXian"/>
                <w:szCs w:val="24"/>
              </w:rPr>
              <w:t>ral</w:t>
            </w:r>
            <w:r w:rsidRPr="00727DFA">
              <w:rPr>
                <w:rFonts w:eastAsia="DengXian"/>
                <w:b/>
                <w:bCs/>
                <w:szCs w:val="24"/>
              </w:rPr>
              <w:t>:</w:t>
            </w:r>
          </w:p>
          <w:p w14:paraId="6189163F" w14:textId="77777777" w:rsidR="007B485D" w:rsidRPr="00727DFA" w:rsidRDefault="007B485D" w:rsidP="002D6DD7">
            <w:pPr>
              <w:jc w:val="both"/>
              <w:rPr>
                <w:rFonts w:eastAsia="DengXian"/>
                <w:b/>
                <w:bCs/>
                <w:szCs w:val="24"/>
              </w:rPr>
            </w:pPr>
            <w:r w:rsidRPr="00727DFA">
              <w:rPr>
                <w:rFonts w:eastAsia="DengXian"/>
                <w:b/>
                <w:szCs w:val="24"/>
              </w:rPr>
              <w:t>Child over 1 month:</w:t>
            </w:r>
            <w:r w:rsidRPr="00727DFA">
              <w:rPr>
                <w:rFonts w:eastAsia="DengXian"/>
                <w:szCs w:val="24"/>
              </w:rPr>
              <w:t xml:space="preserve"> 100,000 units 4 times daily after feeds. </w:t>
            </w:r>
          </w:p>
          <w:p w14:paraId="632752D7" w14:textId="77777777" w:rsidR="007B485D" w:rsidRPr="00727DFA" w:rsidRDefault="007B485D" w:rsidP="002D6DD7">
            <w:pPr>
              <w:jc w:val="both"/>
              <w:rPr>
                <w:rFonts w:eastAsia="DengXian"/>
                <w:szCs w:val="24"/>
              </w:rPr>
            </w:pPr>
            <w:r w:rsidRPr="00727DFA">
              <w:rPr>
                <w:rFonts w:eastAsia="DengXian"/>
                <w:b/>
                <w:bCs/>
                <w:szCs w:val="24"/>
              </w:rPr>
              <w:t>Intestinal and esophageal candidiasis</w:t>
            </w:r>
            <w:r w:rsidRPr="00727DFA">
              <w:rPr>
                <w:rFonts w:eastAsia="DengXian"/>
                <w:szCs w:val="24"/>
              </w:rPr>
              <w:t xml:space="preserve">, </w:t>
            </w:r>
          </w:p>
          <w:p w14:paraId="76A1E7C8" w14:textId="77777777" w:rsidR="007B485D" w:rsidRPr="00727DFA" w:rsidRDefault="007B485D" w:rsidP="002D6DD7">
            <w:pPr>
              <w:jc w:val="both"/>
              <w:rPr>
                <w:rFonts w:eastAsia="DengXian"/>
                <w:szCs w:val="24"/>
              </w:rPr>
            </w:pPr>
            <w:r w:rsidRPr="00727DFA">
              <w:rPr>
                <w:rFonts w:eastAsia="DengXian"/>
                <w:b/>
                <w:szCs w:val="24"/>
              </w:rPr>
              <w:t>Child over 1 month</w:t>
            </w:r>
            <w:r w:rsidRPr="00727DFA">
              <w:rPr>
                <w:rFonts w:eastAsia="DengXian"/>
                <w:szCs w:val="24"/>
              </w:rPr>
              <w:t>: 100,000 units 4 times daily after feeds; immunocompromised children may require 500,000 units four times daily</w:t>
            </w:r>
          </w:p>
        </w:tc>
      </w:tr>
      <w:tr w:rsidR="007B485D" w:rsidRPr="00727DFA" w14:paraId="587C29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4F429B"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4BB175D" w14:textId="77777777" w:rsidR="007B485D" w:rsidRPr="00727DFA" w:rsidRDefault="007B485D" w:rsidP="002D6DD7">
            <w:pPr>
              <w:jc w:val="both"/>
              <w:rPr>
                <w:rFonts w:eastAsia="DengXian"/>
                <w:szCs w:val="24"/>
              </w:rPr>
            </w:pPr>
            <w:r w:rsidRPr="00727DFA">
              <w:rPr>
                <w:rFonts w:eastAsia="DengXian"/>
                <w:szCs w:val="24"/>
              </w:rPr>
              <w:t>Hypersensitivity to</w:t>
            </w:r>
            <w:r>
              <w:rPr>
                <w:rFonts w:eastAsia="DengXian"/>
                <w:szCs w:val="24"/>
              </w:rPr>
              <w:t xml:space="preserve"> the drug.</w:t>
            </w:r>
          </w:p>
        </w:tc>
      </w:tr>
      <w:tr w:rsidR="007B485D" w:rsidRPr="00727DFA" w14:paraId="16C3A01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53974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57DEBB48" w14:textId="77777777" w:rsidR="007B485D" w:rsidRPr="00727DFA" w:rsidRDefault="007B485D" w:rsidP="002D6DD7">
            <w:pPr>
              <w:jc w:val="both"/>
              <w:rPr>
                <w:rFonts w:eastAsia="DengXian"/>
                <w:szCs w:val="24"/>
              </w:rPr>
            </w:pPr>
            <w:r w:rsidRPr="00727DFA">
              <w:rPr>
                <w:rFonts w:eastAsia="DengXian"/>
                <w:szCs w:val="24"/>
              </w:rPr>
              <w:t>There are no known</w:t>
            </w:r>
            <w:r>
              <w:rPr>
                <w:rFonts w:eastAsia="DengXian"/>
                <w:szCs w:val="24"/>
              </w:rPr>
              <w:t xml:space="preserve"> significant</w:t>
            </w:r>
            <w:r w:rsidRPr="00727DFA">
              <w:rPr>
                <w:rFonts w:eastAsia="DengXian"/>
                <w:szCs w:val="24"/>
              </w:rPr>
              <w:t xml:space="preserve"> interactions</w:t>
            </w:r>
            <w:r>
              <w:rPr>
                <w:rFonts w:eastAsia="DengXian"/>
                <w:szCs w:val="24"/>
              </w:rPr>
              <w:t>.</w:t>
            </w:r>
          </w:p>
        </w:tc>
      </w:tr>
      <w:tr w:rsidR="007B485D" w:rsidRPr="00727DFA" w14:paraId="702E26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E21BA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24C9CF5" w14:textId="77777777" w:rsidR="007B485D" w:rsidRPr="00727DFA" w:rsidRDefault="007B485D" w:rsidP="002D6DD7">
            <w:pPr>
              <w:jc w:val="both"/>
              <w:rPr>
                <w:rFonts w:eastAsia="DengXian"/>
                <w:szCs w:val="24"/>
              </w:rPr>
            </w:pPr>
            <w:r w:rsidRPr="00727DFA">
              <w:rPr>
                <w:rFonts w:eastAsia="DengXian"/>
                <w:szCs w:val="24"/>
              </w:rPr>
              <w:t xml:space="preserve">Abdominal distress, angioedema, diarrhea, vomiting, face edema, nausea, skin reactions, Stevens-Johnson syndrome </w:t>
            </w:r>
          </w:p>
        </w:tc>
      </w:tr>
      <w:tr w:rsidR="007B485D" w:rsidRPr="00727DFA" w14:paraId="020BAD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77237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36980BDB" w14:textId="77777777" w:rsidR="007B485D" w:rsidRPr="001F4454" w:rsidRDefault="007B485D" w:rsidP="002D6DD7">
            <w:pPr>
              <w:jc w:val="both"/>
              <w:rPr>
                <w:rFonts w:eastAsia="DengXian"/>
                <w:szCs w:val="24"/>
              </w:rPr>
            </w:pPr>
            <w:r w:rsidRPr="001F4454">
              <w:rPr>
                <w:rFonts w:eastAsia="DengXian"/>
                <w:szCs w:val="24"/>
              </w:rPr>
              <w:t>Renal impairment, hepatic impairment, pregnancy, breastfeeding,</w:t>
            </w:r>
            <w:r w:rsidRPr="00873AF2">
              <w:rPr>
                <w:szCs w:val="24"/>
              </w:rPr>
              <w:t xml:space="preserve"> fructose intolerance, glucose-galactose malabsorption</w:t>
            </w:r>
            <w:r>
              <w:rPr>
                <w:szCs w:val="24"/>
              </w:rPr>
              <w:t>.</w:t>
            </w:r>
          </w:p>
        </w:tc>
      </w:tr>
      <w:tr w:rsidR="007B485D" w:rsidRPr="00727DFA" w14:paraId="529C10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51BF6A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CD215D2"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13DCA23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82378C3" w14:textId="77777777" w:rsidR="007B485D" w:rsidRPr="00727DFA" w:rsidRDefault="007B485D" w:rsidP="002D6DD7">
            <w:pPr>
              <w:jc w:val="both"/>
              <w:rPr>
                <w:rFonts w:eastAsia="DengXian"/>
                <w:b/>
                <w:bCs/>
                <w:szCs w:val="24"/>
                <w:lang w:val="fr-FR"/>
              </w:rPr>
            </w:pPr>
            <w:r w:rsidRPr="00727DFA">
              <w:rPr>
                <w:rFonts w:eastAsia="DengXian"/>
                <w:b/>
                <w:bCs/>
                <w:szCs w:val="24"/>
                <w:lang w:val="fr-FR"/>
              </w:rPr>
              <w:t>Terbinafine hydrochloride</w:t>
            </w:r>
          </w:p>
        </w:tc>
      </w:tr>
      <w:tr w:rsidR="007B485D" w:rsidRPr="00727DFA" w14:paraId="7F8F1A1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47D580"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8D647D8" w14:textId="77777777" w:rsidR="007B485D" w:rsidRPr="00727DFA" w:rsidRDefault="007B485D" w:rsidP="002D6DD7">
            <w:pPr>
              <w:jc w:val="both"/>
              <w:rPr>
                <w:rFonts w:eastAsia="DengXian"/>
                <w:szCs w:val="24"/>
              </w:rPr>
            </w:pPr>
            <w:r w:rsidRPr="00727DFA">
              <w:rPr>
                <w:rFonts w:eastAsia="DengXian"/>
                <w:szCs w:val="24"/>
              </w:rPr>
              <w:t>Allylamine</w:t>
            </w:r>
            <w:r>
              <w:rPr>
                <w:rFonts w:eastAsia="DengXian"/>
                <w:szCs w:val="24"/>
              </w:rPr>
              <w:t xml:space="preserve"> </w:t>
            </w:r>
            <w:r w:rsidRPr="00727DFA">
              <w:rPr>
                <w:rFonts w:eastAsia="DengXian"/>
                <w:szCs w:val="24"/>
              </w:rPr>
              <w:t> </w:t>
            </w:r>
          </w:p>
        </w:tc>
      </w:tr>
      <w:tr w:rsidR="007B485D" w:rsidRPr="00727DFA" w14:paraId="675001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E8980F"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91E37D1" w14:textId="77777777" w:rsidR="007B485D" w:rsidRPr="00727DFA" w:rsidRDefault="007B485D" w:rsidP="002D6DD7">
            <w:pPr>
              <w:jc w:val="both"/>
              <w:rPr>
                <w:rFonts w:eastAsia="DengXian"/>
                <w:szCs w:val="24"/>
              </w:rPr>
            </w:pPr>
            <w:r w:rsidRPr="00727DFA">
              <w:rPr>
                <w:rFonts w:eastAsia="DengXian"/>
                <w:szCs w:val="24"/>
                <w:lang w:val="fr-FR"/>
              </w:rPr>
              <w:t>Tablet : 125mg, 250mg</w:t>
            </w:r>
          </w:p>
        </w:tc>
      </w:tr>
      <w:tr w:rsidR="007B485D" w:rsidRPr="00727DFA" w14:paraId="356B68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575F27"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9EA1D1B" w14:textId="77777777" w:rsidR="007B485D" w:rsidRPr="00727DFA" w:rsidRDefault="007B485D" w:rsidP="002D6DD7">
            <w:pPr>
              <w:jc w:val="both"/>
              <w:rPr>
                <w:rFonts w:eastAsia="DengXian"/>
                <w:szCs w:val="24"/>
              </w:rPr>
            </w:pPr>
            <w:r w:rsidRPr="00727DFA">
              <w:rPr>
                <w:rFonts w:eastAsia="DengXian"/>
                <w:szCs w:val="24"/>
              </w:rPr>
              <w:t xml:space="preserve">Dermatophyte infections of the nails, onychomycosis, ringworm infections (including tinea pedis, cruris, and corporis) </w:t>
            </w:r>
          </w:p>
        </w:tc>
      </w:tr>
      <w:tr w:rsidR="007B485D" w:rsidRPr="00727DFA" w14:paraId="603BAD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49AB252"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DB7E3F4" w14:textId="77777777" w:rsidR="007B485D" w:rsidRPr="00727DFA" w:rsidRDefault="007B485D" w:rsidP="002D6DD7">
            <w:pPr>
              <w:jc w:val="both"/>
              <w:rPr>
                <w:rFonts w:eastAsia="DengXian"/>
                <w:b/>
                <w:bCs/>
                <w:szCs w:val="24"/>
              </w:rPr>
            </w:pPr>
            <w:r w:rsidRPr="00727DFA">
              <w:rPr>
                <w:rFonts w:eastAsia="DengXian"/>
                <w:szCs w:val="24"/>
              </w:rPr>
              <w:t xml:space="preserve">Oral: </w:t>
            </w:r>
          </w:p>
          <w:p w14:paraId="42B104B2"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250 mg daily usually for 2–6 weeks in tinea pedis, 2–4 weeks in tinea cruris, 4 weeks in tinea corporis, 6 weeks–3 months in nail infections (occasionally longer in toenail infections)</w:t>
            </w:r>
          </w:p>
          <w:p w14:paraId="1C0E00A6" w14:textId="77777777" w:rsidR="007B485D" w:rsidRPr="00873AF2" w:rsidRDefault="007B485D" w:rsidP="002D6DD7">
            <w:pPr>
              <w:jc w:val="both"/>
              <w:rPr>
                <w:rFonts w:eastAsia="DengXian"/>
                <w:b/>
                <w:bCs/>
                <w:szCs w:val="24"/>
              </w:rPr>
            </w:pPr>
            <w:r w:rsidRPr="00727DFA">
              <w:rPr>
                <w:rFonts w:eastAsia="DengXian"/>
                <w:b/>
                <w:bCs/>
                <w:szCs w:val="24"/>
              </w:rPr>
              <w:t xml:space="preserve"> Child: </w:t>
            </w:r>
            <w:r w:rsidRPr="00727DFA">
              <w:rPr>
                <w:rFonts w:eastAsia="DengXian"/>
                <w:szCs w:val="24"/>
              </w:rPr>
              <w:t>usually for 4 weeks, tinea capitis, over 1 year, body weight 10–20 kg</w:t>
            </w:r>
            <w:r>
              <w:rPr>
                <w:rFonts w:eastAsia="DengXian"/>
                <w:szCs w:val="24"/>
              </w:rPr>
              <w:t>:</w:t>
            </w:r>
            <w:r w:rsidRPr="00727DFA">
              <w:rPr>
                <w:rFonts w:eastAsia="DengXian"/>
                <w:szCs w:val="24"/>
              </w:rPr>
              <w:t xml:space="preserve"> 62.5 mg once daily; body weight 20–40 kg</w:t>
            </w:r>
            <w:r>
              <w:rPr>
                <w:rFonts w:eastAsia="DengXian"/>
                <w:szCs w:val="24"/>
              </w:rPr>
              <w:t>:</w:t>
            </w:r>
            <w:r w:rsidRPr="00727DFA">
              <w:rPr>
                <w:rFonts w:eastAsia="DengXian"/>
                <w:szCs w:val="24"/>
              </w:rPr>
              <w:t xml:space="preserve"> 125 mg once daily; body weight over 40 kg</w:t>
            </w:r>
            <w:r>
              <w:rPr>
                <w:rFonts w:eastAsia="DengXian"/>
                <w:szCs w:val="24"/>
              </w:rPr>
              <w:t>:</w:t>
            </w:r>
            <w:r w:rsidRPr="00727DFA">
              <w:rPr>
                <w:rFonts w:eastAsia="DengXian"/>
                <w:szCs w:val="24"/>
              </w:rPr>
              <w:t xml:space="preserve"> 250 mg once daily</w:t>
            </w:r>
          </w:p>
        </w:tc>
      </w:tr>
      <w:tr w:rsidR="007B485D" w:rsidRPr="00727DFA" w14:paraId="6FACB56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8C6431"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0EC98BF" w14:textId="77777777" w:rsidR="007B485D" w:rsidRPr="00727DFA" w:rsidRDefault="007B485D" w:rsidP="002D6DD7">
            <w:pPr>
              <w:jc w:val="both"/>
              <w:rPr>
                <w:rFonts w:eastAsia="DengXian"/>
                <w:szCs w:val="24"/>
              </w:rPr>
            </w:pPr>
            <w:r>
              <w:rPr>
                <w:rFonts w:eastAsia="DengXian"/>
                <w:szCs w:val="24"/>
              </w:rPr>
              <w:t>Chronic or active liver disease.</w:t>
            </w:r>
            <w:r w:rsidRPr="00727DFA">
              <w:rPr>
                <w:rFonts w:eastAsia="DengXian"/>
                <w:szCs w:val="24"/>
              </w:rPr>
              <w:t xml:space="preserve"> </w:t>
            </w:r>
          </w:p>
        </w:tc>
      </w:tr>
      <w:tr w:rsidR="007B485D" w:rsidRPr="00727DFA" w14:paraId="72874CD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B8C88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EF0AF70" w14:textId="77777777" w:rsidR="007B485D" w:rsidRPr="00727DFA" w:rsidRDefault="007B485D" w:rsidP="002D6DD7">
            <w:pPr>
              <w:jc w:val="both"/>
              <w:rPr>
                <w:rFonts w:eastAsia="DengXian"/>
                <w:szCs w:val="24"/>
              </w:rPr>
            </w:pPr>
            <w:r w:rsidRPr="00727DFA">
              <w:rPr>
                <w:rFonts w:eastAsia="DengXian"/>
                <w:szCs w:val="24"/>
              </w:rPr>
              <w:t>Tricyclic antidepressants (TCAs), beta-blockers, selective serotonin reuptake inhibitors (SSRIs), antiarrhythmics (including class 1A, 1B and 1C) and monoamine oxidase inhibitors (MAO-Is) Type B</w:t>
            </w:r>
          </w:p>
        </w:tc>
      </w:tr>
      <w:tr w:rsidR="007B485D" w:rsidRPr="00727DFA" w14:paraId="052CE1F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9B45A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ECBA2AF" w14:textId="77777777" w:rsidR="007B485D" w:rsidRPr="00727DFA" w:rsidRDefault="007B485D" w:rsidP="002D6DD7">
            <w:pPr>
              <w:jc w:val="both"/>
              <w:rPr>
                <w:rFonts w:eastAsia="DengXian"/>
                <w:szCs w:val="24"/>
              </w:rPr>
            </w:pPr>
            <w:r w:rsidRPr="00727DFA">
              <w:rPr>
                <w:rFonts w:eastAsia="DengXian"/>
                <w:szCs w:val="24"/>
              </w:rPr>
              <w:t>Depression, rash, urticaria, anxiety, headache,</w:t>
            </w:r>
            <w:r>
              <w:rPr>
                <w:rFonts w:eastAsia="DengXian"/>
                <w:szCs w:val="24"/>
              </w:rPr>
              <w:t xml:space="preserve"> nausea, diarrhea,</w:t>
            </w:r>
            <w:r w:rsidRPr="00727DFA">
              <w:rPr>
                <w:rFonts w:eastAsia="DengXian"/>
                <w:szCs w:val="24"/>
              </w:rPr>
              <w:t xml:space="preserve"> malaise, paresthesia, altered tase perception, appetite decreased, visual impairment, photosensitivity</w:t>
            </w:r>
            <w:r>
              <w:rPr>
                <w:rFonts w:eastAsia="DengXian"/>
                <w:szCs w:val="24"/>
              </w:rPr>
              <w:t>,</w:t>
            </w:r>
            <w:r w:rsidRPr="00727DFA">
              <w:rPr>
                <w:rFonts w:eastAsia="DengXian"/>
                <w:szCs w:val="24"/>
              </w:rPr>
              <w:t xml:space="preserve"> Stevens-Johnson syndrome, pyrexia, fatigue</w:t>
            </w:r>
            <w:r>
              <w:rPr>
                <w:rFonts w:eastAsia="DengXian"/>
                <w:szCs w:val="24"/>
              </w:rPr>
              <w:t>, elevated liver enzymes</w:t>
            </w:r>
          </w:p>
        </w:tc>
      </w:tr>
      <w:tr w:rsidR="007B485D" w:rsidRPr="00727DFA" w14:paraId="49A710C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5E500F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5D62EDD4" w14:textId="77777777" w:rsidR="007B485D" w:rsidRDefault="007B485D" w:rsidP="002D6DD7">
            <w:pPr>
              <w:jc w:val="both"/>
              <w:rPr>
                <w:rFonts w:ascii="Arial" w:hAnsi="Arial" w:cs="Arial"/>
                <w:color w:val="2A2A2A"/>
                <w:sz w:val="27"/>
                <w:szCs w:val="27"/>
              </w:rPr>
            </w:pPr>
            <w:r w:rsidRPr="00727DFA">
              <w:rPr>
                <w:rFonts w:eastAsia="DengXian"/>
                <w:szCs w:val="24"/>
              </w:rPr>
              <w:t>Pregnancy,</w:t>
            </w:r>
            <w:r>
              <w:rPr>
                <w:rFonts w:eastAsia="DengXian"/>
                <w:szCs w:val="24"/>
              </w:rPr>
              <w:t xml:space="preserve"> breastfeeding,</w:t>
            </w:r>
            <w:r w:rsidRPr="00727DFA">
              <w:rPr>
                <w:rFonts w:eastAsia="DengXian"/>
                <w:szCs w:val="24"/>
              </w:rPr>
              <w:tab/>
              <w:t>psoriasis, autoimmune disease, hepatic impairment, renal impairment</w:t>
            </w:r>
            <w:r>
              <w:rPr>
                <w:rFonts w:eastAsia="DengXian"/>
                <w:szCs w:val="24"/>
              </w:rPr>
              <w:t>,</w:t>
            </w:r>
            <w:r>
              <w:rPr>
                <w:rFonts w:ascii="Arial" w:hAnsi="Arial" w:cs="Arial"/>
                <w:color w:val="2A2A2A"/>
                <w:sz w:val="27"/>
                <w:szCs w:val="27"/>
              </w:rPr>
              <w:t xml:space="preserve"> </w:t>
            </w:r>
          </w:p>
          <w:p w14:paraId="374ABFA6" w14:textId="77777777" w:rsidR="007B485D" w:rsidRPr="00727DFA" w:rsidRDefault="007B485D" w:rsidP="002D6DD7">
            <w:pPr>
              <w:jc w:val="both"/>
              <w:rPr>
                <w:rFonts w:eastAsia="DengXian"/>
                <w:szCs w:val="24"/>
              </w:rPr>
            </w:pPr>
            <w:r w:rsidRPr="00873AF2">
              <w:rPr>
                <w:rFonts w:cs="Arial"/>
                <w:b/>
                <w:bCs/>
                <w:color w:val="2A2A2A"/>
                <w:szCs w:val="24"/>
              </w:rPr>
              <w:t>Note:</w:t>
            </w:r>
            <w:r>
              <w:rPr>
                <w:rFonts w:cs="Arial"/>
                <w:color w:val="2A2A2A"/>
                <w:szCs w:val="24"/>
              </w:rPr>
              <w:t xml:space="preserve"> </w:t>
            </w:r>
            <w:r w:rsidRPr="00873AF2">
              <w:rPr>
                <w:i/>
                <w:iCs/>
                <w:color w:val="2A2A2A"/>
                <w:szCs w:val="24"/>
              </w:rPr>
              <w:t>periodic monitoring of liver function tests is recommended</w:t>
            </w:r>
          </w:p>
        </w:tc>
      </w:tr>
      <w:tr w:rsidR="007B485D" w:rsidRPr="00727DFA" w14:paraId="768503D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3B9B7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EC77FF6"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50B8DCA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7F22D18" w14:textId="77777777" w:rsidR="007B485D" w:rsidRPr="00727DFA" w:rsidRDefault="007B485D" w:rsidP="002D6DD7">
            <w:pPr>
              <w:jc w:val="both"/>
              <w:rPr>
                <w:rFonts w:eastAsia="DengXian"/>
                <w:b/>
                <w:bCs/>
                <w:szCs w:val="24"/>
              </w:rPr>
            </w:pPr>
            <w:r w:rsidRPr="00727DFA">
              <w:rPr>
                <w:rFonts w:eastAsia="DengXian"/>
                <w:b/>
                <w:bCs/>
                <w:szCs w:val="24"/>
              </w:rPr>
              <w:t>Voriconazole</w:t>
            </w:r>
          </w:p>
        </w:tc>
      </w:tr>
      <w:tr w:rsidR="007B485D" w:rsidRPr="00727DFA" w14:paraId="33A55BA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F56122"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69C423A" w14:textId="77777777" w:rsidR="007B485D" w:rsidRPr="00727DFA" w:rsidRDefault="007B485D" w:rsidP="002D6DD7">
            <w:pPr>
              <w:jc w:val="both"/>
              <w:rPr>
                <w:rFonts w:eastAsia="DengXian"/>
                <w:szCs w:val="24"/>
              </w:rPr>
            </w:pPr>
            <w:r w:rsidRPr="00727DFA">
              <w:rPr>
                <w:rFonts w:eastAsia="DengXian"/>
                <w:szCs w:val="24"/>
              </w:rPr>
              <w:t>Azole antifungal</w:t>
            </w:r>
          </w:p>
        </w:tc>
      </w:tr>
      <w:tr w:rsidR="007B485D" w:rsidRPr="00727DFA" w14:paraId="6679FB2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B8D79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333030F" w14:textId="77777777" w:rsidR="007B485D" w:rsidRPr="00727DFA" w:rsidRDefault="007B485D" w:rsidP="002D6DD7">
            <w:pPr>
              <w:jc w:val="both"/>
              <w:rPr>
                <w:rFonts w:eastAsia="DengXian"/>
                <w:szCs w:val="24"/>
              </w:rPr>
            </w:pPr>
            <w:r w:rsidRPr="00727DFA">
              <w:rPr>
                <w:rFonts w:eastAsia="DengXian"/>
                <w:szCs w:val="24"/>
              </w:rPr>
              <w:t>Tablet: 50mg</w:t>
            </w:r>
            <w:r>
              <w:rPr>
                <w:rFonts w:eastAsia="DengXian"/>
                <w:szCs w:val="24"/>
              </w:rPr>
              <w:t>,</w:t>
            </w:r>
            <w:r w:rsidRPr="00727DFA">
              <w:rPr>
                <w:rFonts w:eastAsia="DengXian"/>
                <w:szCs w:val="24"/>
              </w:rPr>
              <w:t xml:space="preserve"> 200mg</w:t>
            </w:r>
          </w:p>
          <w:p w14:paraId="07093C6E" w14:textId="77777777" w:rsidR="007B485D" w:rsidRPr="00727DFA" w:rsidRDefault="007B485D" w:rsidP="002D6DD7">
            <w:pPr>
              <w:jc w:val="both"/>
              <w:rPr>
                <w:rFonts w:eastAsia="DengXian"/>
                <w:szCs w:val="24"/>
              </w:rPr>
            </w:pPr>
            <w:r w:rsidRPr="00727DFA">
              <w:rPr>
                <w:rFonts w:eastAsia="DengXian"/>
                <w:szCs w:val="24"/>
              </w:rPr>
              <w:t xml:space="preserve">Powder for injection:  200mg in vial  </w:t>
            </w:r>
          </w:p>
          <w:p w14:paraId="086003AF" w14:textId="77777777" w:rsidR="007B485D" w:rsidRPr="00727DFA" w:rsidRDefault="007B485D" w:rsidP="002D6DD7">
            <w:pPr>
              <w:jc w:val="both"/>
              <w:rPr>
                <w:rFonts w:eastAsia="DengXian"/>
                <w:szCs w:val="24"/>
              </w:rPr>
            </w:pPr>
            <w:r w:rsidRPr="00727DFA">
              <w:rPr>
                <w:rFonts w:eastAsia="DengXian"/>
                <w:szCs w:val="24"/>
              </w:rPr>
              <w:t>Powder for oral liquid: 40mg/ml</w:t>
            </w:r>
          </w:p>
        </w:tc>
      </w:tr>
      <w:tr w:rsidR="007B485D" w:rsidRPr="00727DFA" w14:paraId="13F72F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A427C8"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4971B17" w14:textId="77777777" w:rsidR="007B485D" w:rsidRPr="00727DFA" w:rsidRDefault="007B485D" w:rsidP="002D6DD7">
            <w:pPr>
              <w:jc w:val="both"/>
              <w:rPr>
                <w:rFonts w:eastAsia="DengXian"/>
                <w:szCs w:val="24"/>
              </w:rPr>
            </w:pPr>
            <w:r w:rsidRPr="00727DFA">
              <w:rPr>
                <w:rFonts w:eastAsia="DengXian"/>
                <w:szCs w:val="24"/>
              </w:rPr>
              <w:t xml:space="preserve">Invasive aspergillosis, </w:t>
            </w:r>
            <w:r>
              <w:rPr>
                <w:rFonts w:eastAsia="DengXian"/>
                <w:szCs w:val="24"/>
              </w:rPr>
              <w:t>s</w:t>
            </w:r>
            <w:r w:rsidRPr="00727DFA">
              <w:rPr>
                <w:rFonts w:eastAsia="DengXian"/>
                <w:szCs w:val="24"/>
              </w:rPr>
              <w:t xml:space="preserve">erious infections caused by </w:t>
            </w:r>
            <w:r w:rsidRPr="00873AF2">
              <w:rPr>
                <w:rFonts w:eastAsia="DengXian"/>
                <w:i/>
                <w:iCs/>
                <w:szCs w:val="24"/>
              </w:rPr>
              <w:t xml:space="preserve">Scedosporium </w:t>
            </w:r>
            <w:r w:rsidRPr="00727DFA">
              <w:rPr>
                <w:rFonts w:eastAsia="DengXian"/>
                <w:szCs w:val="24"/>
              </w:rPr>
              <w:t xml:space="preserve">spp., Fusarium spp., or invasive fluconazole-resistant Candida spp. (including </w:t>
            </w:r>
            <w:r w:rsidRPr="00727DFA">
              <w:rPr>
                <w:rFonts w:eastAsia="DengXian"/>
                <w:i/>
                <w:iCs/>
                <w:szCs w:val="24"/>
              </w:rPr>
              <w:t>C. krusei</w:t>
            </w:r>
            <w:r w:rsidRPr="00727DFA">
              <w:rPr>
                <w:rFonts w:eastAsia="DengXian"/>
                <w:szCs w:val="24"/>
              </w:rPr>
              <w:t xml:space="preserve">) </w:t>
            </w:r>
          </w:p>
        </w:tc>
      </w:tr>
      <w:tr w:rsidR="007B485D" w:rsidRPr="00727DFA" w14:paraId="655188B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F47B2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1A24FAF5" w14:textId="77777777" w:rsidR="007B485D" w:rsidRPr="00727DFA" w:rsidRDefault="007B485D" w:rsidP="002D6DD7">
            <w:pPr>
              <w:jc w:val="both"/>
              <w:rPr>
                <w:rFonts w:eastAsia="DengXian"/>
                <w:b/>
                <w:bCs/>
                <w:szCs w:val="24"/>
              </w:rPr>
            </w:pPr>
            <w:r w:rsidRPr="00727DFA">
              <w:rPr>
                <w:rFonts w:eastAsia="DengXian"/>
                <w:b/>
                <w:bCs/>
                <w:szCs w:val="24"/>
              </w:rPr>
              <w:t>Oral:</w:t>
            </w:r>
          </w:p>
          <w:p w14:paraId="17BC4B8B" w14:textId="77777777" w:rsidR="007B485D" w:rsidRPr="00727DFA" w:rsidRDefault="007B485D" w:rsidP="002D6DD7">
            <w:pPr>
              <w:jc w:val="both"/>
              <w:rPr>
                <w:rFonts w:eastAsia="DengXian"/>
                <w:b/>
                <w:bCs/>
                <w:szCs w:val="24"/>
              </w:rPr>
            </w:pPr>
            <w:r w:rsidRPr="00727DFA">
              <w:rPr>
                <w:rFonts w:eastAsia="DengXian"/>
                <w:b/>
                <w:szCs w:val="24"/>
              </w:rPr>
              <w:t>Adult (body weight up to 40 kg), children &gt; 12 years:</w:t>
            </w:r>
            <w:r w:rsidRPr="00727DFA">
              <w:rPr>
                <w:rFonts w:eastAsia="DengXian"/>
                <w:szCs w:val="24"/>
              </w:rPr>
              <w:t xml:space="preserve"> Initially 200 mg every 12 hours for 2 doses, then 100 mg every 12 hours, increased if necessary to 150 mg every 12 hours</w:t>
            </w:r>
          </w:p>
          <w:p w14:paraId="2DAAD25D" w14:textId="77777777" w:rsidR="007B485D" w:rsidRPr="00727DFA" w:rsidRDefault="007B485D" w:rsidP="002D6DD7">
            <w:pPr>
              <w:jc w:val="both"/>
              <w:rPr>
                <w:rFonts w:eastAsia="DengXian"/>
                <w:szCs w:val="24"/>
              </w:rPr>
            </w:pPr>
            <w:r w:rsidRPr="00727DFA">
              <w:rPr>
                <w:rFonts w:eastAsia="DengXian"/>
                <w:b/>
                <w:szCs w:val="24"/>
              </w:rPr>
              <w:t>Adult (body weight 40 kg and above), children &gt; 12 years:</w:t>
            </w:r>
            <w:r w:rsidRPr="00727DFA">
              <w:rPr>
                <w:rFonts w:eastAsia="DengXian"/>
                <w:szCs w:val="24"/>
              </w:rPr>
              <w:t xml:space="preserve"> Initially 400 mg every 12 hours for 2 doses, then 200 mg every 12 hours, increased if necessary to 300 mg every 12 hours.</w:t>
            </w:r>
          </w:p>
          <w:p w14:paraId="0D54FC7A" w14:textId="77777777" w:rsidR="007B485D" w:rsidRPr="00727DFA" w:rsidRDefault="007B485D" w:rsidP="002D6DD7">
            <w:pPr>
              <w:jc w:val="both"/>
              <w:rPr>
                <w:rFonts w:eastAsia="DengXian"/>
                <w:b/>
                <w:bCs/>
                <w:szCs w:val="24"/>
              </w:rPr>
            </w:pPr>
            <w:r w:rsidRPr="00727DFA">
              <w:rPr>
                <w:rFonts w:eastAsia="DengXian"/>
                <w:b/>
                <w:bCs/>
                <w:szCs w:val="24"/>
              </w:rPr>
              <w:t>I</w:t>
            </w:r>
            <w:r>
              <w:rPr>
                <w:rFonts w:eastAsia="DengXian"/>
                <w:b/>
                <w:bCs/>
                <w:szCs w:val="24"/>
              </w:rPr>
              <w:t>V</w:t>
            </w:r>
            <w:r w:rsidRPr="00727DFA">
              <w:rPr>
                <w:rFonts w:eastAsia="DengXian"/>
                <w:b/>
                <w:bCs/>
                <w:szCs w:val="24"/>
              </w:rPr>
              <w:t xml:space="preserve"> Infusion</w:t>
            </w:r>
          </w:p>
          <w:p w14:paraId="10667AC3" w14:textId="77777777" w:rsidR="007B485D" w:rsidRPr="00727DFA" w:rsidRDefault="007B485D" w:rsidP="002D6DD7">
            <w:pPr>
              <w:jc w:val="both"/>
              <w:rPr>
                <w:rFonts w:eastAsia="DengXian"/>
                <w:szCs w:val="24"/>
              </w:rPr>
            </w:pPr>
            <w:r w:rsidRPr="00727DFA">
              <w:rPr>
                <w:rFonts w:eastAsia="DengXian"/>
                <w:b/>
                <w:szCs w:val="24"/>
              </w:rPr>
              <w:t>Adult, children &gt; 12 years</w:t>
            </w:r>
            <w:r w:rsidRPr="00727DFA">
              <w:rPr>
                <w:rFonts w:eastAsia="DengXian"/>
                <w:szCs w:val="24"/>
              </w:rPr>
              <w:t>: Initially 6 mg/kg every 12 hours for 2 doses, then 4 mg/kg every 12 hours; reduced if not tolerated to 3 mg/kg every 12 hours</w:t>
            </w:r>
          </w:p>
          <w:p w14:paraId="46804549" w14:textId="77777777" w:rsidR="007B485D" w:rsidRPr="00727DFA" w:rsidRDefault="007B485D" w:rsidP="002D6DD7">
            <w:pPr>
              <w:jc w:val="both"/>
              <w:rPr>
                <w:rFonts w:eastAsia="DengXian"/>
                <w:bCs/>
                <w:szCs w:val="24"/>
              </w:rPr>
            </w:pPr>
            <w:r w:rsidRPr="00727DFA">
              <w:rPr>
                <w:rFonts w:eastAsia="DengXian"/>
                <w:b/>
                <w:bCs/>
                <w:szCs w:val="24"/>
              </w:rPr>
              <w:lastRenderedPageBreak/>
              <w:t>Children aged 2 to &lt; 12 years</w:t>
            </w:r>
            <w:r w:rsidRPr="00727DFA">
              <w:rPr>
                <w:rFonts w:eastAsia="DengXian"/>
                <w:bCs/>
                <w:szCs w:val="24"/>
              </w:rPr>
              <w:t xml:space="preserve">: </w:t>
            </w:r>
          </w:p>
          <w:p w14:paraId="41EECF12" w14:textId="77777777" w:rsidR="007B485D" w:rsidRPr="00727DFA" w:rsidRDefault="007B485D" w:rsidP="002D6DD7">
            <w:pPr>
              <w:jc w:val="both"/>
              <w:rPr>
                <w:rFonts w:eastAsia="DengXian"/>
                <w:szCs w:val="24"/>
              </w:rPr>
            </w:pPr>
            <w:r w:rsidRPr="00727DFA">
              <w:rPr>
                <w:rFonts w:eastAsia="DengXian"/>
                <w:b/>
                <w:bCs/>
                <w:szCs w:val="24"/>
              </w:rPr>
              <w:t>Loading dose</w:t>
            </w:r>
            <w:r w:rsidRPr="00727DFA">
              <w:rPr>
                <w:rFonts w:eastAsia="DengXian"/>
                <w:bCs/>
                <w:szCs w:val="24"/>
              </w:rPr>
              <w:t>: 9</w:t>
            </w:r>
            <w:r w:rsidRPr="00727DFA">
              <w:rPr>
                <w:rFonts w:eastAsia="DengXian"/>
                <w:szCs w:val="24"/>
              </w:rPr>
              <w:t>mg/kg every 12 hours for 2 doses (IV)</w:t>
            </w:r>
          </w:p>
          <w:p w14:paraId="018ABF4F" w14:textId="77777777" w:rsidR="007B485D" w:rsidRPr="00727DFA" w:rsidRDefault="007B485D" w:rsidP="002D6DD7">
            <w:pPr>
              <w:jc w:val="both"/>
              <w:rPr>
                <w:rFonts w:eastAsia="DengXian"/>
                <w:b/>
                <w:szCs w:val="24"/>
              </w:rPr>
            </w:pPr>
            <w:r w:rsidRPr="00727DFA">
              <w:rPr>
                <w:rFonts w:eastAsia="DengXian"/>
                <w:b/>
                <w:szCs w:val="24"/>
              </w:rPr>
              <w:t>Maintenance dose:</w:t>
            </w:r>
          </w:p>
          <w:p w14:paraId="42D9DE0A" w14:textId="77777777" w:rsidR="007B485D" w:rsidRPr="00727DFA" w:rsidRDefault="007B485D" w:rsidP="002D6DD7">
            <w:pPr>
              <w:jc w:val="both"/>
              <w:rPr>
                <w:rFonts w:eastAsia="DengXian"/>
                <w:szCs w:val="24"/>
              </w:rPr>
            </w:pPr>
            <w:r w:rsidRPr="00727DFA">
              <w:rPr>
                <w:rFonts w:eastAsia="DengXian"/>
                <w:b/>
                <w:szCs w:val="24"/>
              </w:rPr>
              <w:t>IV infusion</w:t>
            </w:r>
            <w:r w:rsidRPr="00727DFA">
              <w:rPr>
                <w:rFonts w:eastAsia="DengXian"/>
                <w:szCs w:val="24"/>
              </w:rPr>
              <w:t>:  8 mg/kg every 12 hours</w:t>
            </w:r>
          </w:p>
          <w:p w14:paraId="3B280325" w14:textId="77777777" w:rsidR="007B485D"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9mg /kg (maximum 350 mg) every 12 hours  </w:t>
            </w:r>
          </w:p>
          <w:p w14:paraId="090D7BC2" w14:textId="77777777" w:rsidR="007B485D" w:rsidRPr="003114B5" w:rsidRDefault="007B485D" w:rsidP="002D6DD7">
            <w:pPr>
              <w:jc w:val="both"/>
              <w:rPr>
                <w:rFonts w:eastAsia="DengXian"/>
                <w:i/>
                <w:szCs w:val="24"/>
              </w:rPr>
            </w:pPr>
            <w:r w:rsidRPr="003114B5">
              <w:rPr>
                <w:rFonts w:eastAsia="DengXian"/>
                <w:bCs/>
                <w:i/>
                <w:szCs w:val="24"/>
              </w:rPr>
              <w:t>Note</w:t>
            </w:r>
            <w:r w:rsidRPr="003114B5">
              <w:rPr>
                <w:rFonts w:eastAsia="DengXian"/>
                <w:i/>
                <w:szCs w:val="24"/>
              </w:rPr>
              <w:t>: do not give IV bolus</w:t>
            </w:r>
            <w:r w:rsidR="003114B5">
              <w:rPr>
                <w:rFonts w:eastAsia="DengXian"/>
                <w:i/>
                <w:szCs w:val="24"/>
              </w:rPr>
              <w:t>.</w:t>
            </w:r>
          </w:p>
        </w:tc>
      </w:tr>
      <w:tr w:rsidR="007B485D" w:rsidRPr="00727DFA" w14:paraId="2FF1D9E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F7642D"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4CAB796"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xml:space="preserve"> or </w:t>
            </w:r>
            <w:r>
              <w:rPr>
                <w:rFonts w:eastAsia="DengXian"/>
                <w:szCs w:val="24"/>
              </w:rPr>
              <w:t>other azoles</w:t>
            </w:r>
            <w:r w:rsidRPr="00727DFA">
              <w:rPr>
                <w:rFonts w:eastAsia="DengXian"/>
                <w:szCs w:val="24"/>
              </w:rPr>
              <w:t>,</w:t>
            </w:r>
            <w:r>
              <w:rPr>
                <w:rFonts w:eastAsia="DengXian"/>
                <w:szCs w:val="24"/>
              </w:rPr>
              <w:t xml:space="preserve"> acute porphyria,</w:t>
            </w:r>
            <w:r w:rsidRPr="00727DFA">
              <w:rPr>
                <w:rFonts w:eastAsia="DengXian"/>
                <w:szCs w:val="24"/>
              </w:rPr>
              <w:t xml:space="preserve"> co-administration with carbamazepine, cisaprid, sirolimus</w:t>
            </w:r>
            <w:r>
              <w:rPr>
                <w:rFonts w:eastAsia="DengXian"/>
                <w:szCs w:val="24"/>
              </w:rPr>
              <w:t>, galactose intolerance</w:t>
            </w:r>
          </w:p>
        </w:tc>
      </w:tr>
      <w:tr w:rsidR="007B485D" w:rsidRPr="00727DFA" w14:paraId="5FF7DD0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410F5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6F56A33" w14:textId="77777777" w:rsidR="007B485D" w:rsidRPr="00727DFA" w:rsidRDefault="007B485D" w:rsidP="002D6DD7">
            <w:pPr>
              <w:jc w:val="both"/>
              <w:rPr>
                <w:rFonts w:eastAsia="DengXian"/>
                <w:szCs w:val="24"/>
              </w:rPr>
            </w:pPr>
            <w:r w:rsidRPr="00727DFA">
              <w:rPr>
                <w:rFonts w:eastAsia="DengXian"/>
                <w:szCs w:val="24"/>
              </w:rPr>
              <w:t>Rifampicin, ritonavir, carbamazepine and phenobarbital, cimetidine, ranitidine, macrolide antibiotics, benzodiazepines, statins, vinca alkaloids, prednisolone, digoxin, mycophenolic acid, phenytoin, omeprazole, indinavir, efavirenz</w:t>
            </w:r>
          </w:p>
        </w:tc>
      </w:tr>
      <w:tr w:rsidR="007B485D" w:rsidRPr="00727DFA" w14:paraId="1714CDB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2E624D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221004A" w14:textId="77777777" w:rsidR="007B485D" w:rsidRPr="00727DFA" w:rsidRDefault="007B485D" w:rsidP="002D6DD7">
            <w:pPr>
              <w:jc w:val="both"/>
              <w:rPr>
                <w:rFonts w:eastAsia="DengXian"/>
                <w:szCs w:val="24"/>
              </w:rPr>
            </w:pPr>
            <w:r w:rsidRPr="00727DFA">
              <w:rPr>
                <w:rFonts w:eastAsia="DengXian"/>
                <w:szCs w:val="24"/>
              </w:rPr>
              <w:t>Visual impairment,</w:t>
            </w:r>
            <w:r>
              <w:rPr>
                <w:rFonts w:eastAsia="DengXian"/>
                <w:szCs w:val="24"/>
              </w:rPr>
              <w:t xml:space="preserve"> hypokalemia,</w:t>
            </w:r>
            <w:r w:rsidRPr="00727DFA">
              <w:rPr>
                <w:rFonts w:eastAsia="DengXian"/>
                <w:szCs w:val="24"/>
              </w:rPr>
              <w:t xml:space="preserve"> pyrexia, rash,</w:t>
            </w:r>
            <w:r>
              <w:rPr>
                <w:rFonts w:eastAsia="DengXian"/>
                <w:szCs w:val="24"/>
              </w:rPr>
              <w:t xml:space="preserve"> pruritus,</w:t>
            </w:r>
            <w:r w:rsidRPr="00727DFA">
              <w:rPr>
                <w:rFonts w:eastAsia="DengXian"/>
                <w:szCs w:val="24"/>
              </w:rPr>
              <w:t xml:space="preserve"> vomiting, nausea, diarrhea, headache,</w:t>
            </w:r>
            <w:r>
              <w:rPr>
                <w:rFonts w:eastAsia="DengXian"/>
                <w:szCs w:val="24"/>
              </w:rPr>
              <w:t xml:space="preserve"> hallucination,</w:t>
            </w:r>
            <w:r w:rsidRPr="00727DFA">
              <w:rPr>
                <w:rFonts w:eastAsia="DengXian"/>
                <w:szCs w:val="24"/>
              </w:rPr>
              <w:t xml:space="preserve"> peripheral oedema, liver function test abnormal, respiratory distress and abdominal pain.</w:t>
            </w:r>
          </w:p>
        </w:tc>
      </w:tr>
      <w:tr w:rsidR="007B485D" w:rsidRPr="00727DFA" w14:paraId="197E637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255747"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6745" w:type="dxa"/>
            <w:tcBorders>
              <w:top w:val="single" w:sz="4" w:space="0" w:color="auto"/>
              <w:left w:val="single" w:sz="4" w:space="0" w:color="auto"/>
              <w:bottom w:val="single" w:sz="4" w:space="0" w:color="auto"/>
              <w:right w:val="single" w:sz="4" w:space="0" w:color="auto"/>
            </w:tcBorders>
            <w:hideMark/>
          </w:tcPr>
          <w:p w14:paraId="7791F82F" w14:textId="77777777" w:rsidR="007B485D" w:rsidRDefault="007B485D" w:rsidP="002D6DD7">
            <w:pPr>
              <w:jc w:val="both"/>
              <w:rPr>
                <w:rFonts w:eastAsia="DengXian"/>
                <w:szCs w:val="24"/>
              </w:rPr>
            </w:pPr>
            <w:r w:rsidRPr="00727DFA">
              <w:rPr>
                <w:rFonts w:eastAsia="DengXian"/>
                <w:szCs w:val="24"/>
              </w:rPr>
              <w:t>Co-administration with enzyme inhibitors and inducers, pregnancy</w:t>
            </w:r>
            <w:r>
              <w:rPr>
                <w:rFonts w:eastAsia="DengXian"/>
                <w:szCs w:val="24"/>
              </w:rPr>
              <w:t xml:space="preserve">, </w:t>
            </w:r>
            <w:r w:rsidRPr="00727DFA">
              <w:rPr>
                <w:rFonts w:eastAsia="DengXian"/>
                <w:szCs w:val="24"/>
              </w:rPr>
              <w:t xml:space="preserve">breastfeeding, hepatic impairment, renal impairment, proarrhythmic conditions (e.g. congenital or acquired QTc prolongation, cardiomyopathy) </w:t>
            </w:r>
          </w:p>
          <w:p w14:paraId="35EB2886" w14:textId="77777777" w:rsidR="007B485D" w:rsidRPr="00727DFA" w:rsidRDefault="007B485D" w:rsidP="002D6DD7">
            <w:pPr>
              <w:jc w:val="both"/>
              <w:rPr>
                <w:rFonts w:eastAsia="DengXian"/>
                <w:szCs w:val="24"/>
              </w:rPr>
            </w:pPr>
          </w:p>
        </w:tc>
      </w:tr>
      <w:tr w:rsidR="007B485D" w:rsidRPr="00727DFA" w14:paraId="4824E0B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BB7ED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3FDBC12" w14:textId="77777777" w:rsidR="007B485D" w:rsidRPr="00727DFA" w:rsidRDefault="007B485D" w:rsidP="002D6DD7">
            <w:pPr>
              <w:jc w:val="both"/>
              <w:rPr>
                <w:rFonts w:eastAsia="DengXian"/>
                <w:szCs w:val="24"/>
              </w:rPr>
            </w:pPr>
            <w:r w:rsidRPr="00727DFA">
              <w:rPr>
                <w:rFonts w:eastAsia="DengXian"/>
                <w:szCs w:val="24"/>
              </w:rPr>
              <w:t xml:space="preserve">Store below 30°C. </w:t>
            </w:r>
          </w:p>
        </w:tc>
      </w:tr>
    </w:tbl>
    <w:p w14:paraId="49CCE48E" w14:textId="77777777" w:rsidR="007B485D" w:rsidRDefault="007B485D" w:rsidP="007B485D">
      <w:pPr>
        <w:spacing w:after="0"/>
        <w:jc w:val="both"/>
        <w:rPr>
          <w:rFonts w:eastAsia="DengXian" w:cs="Times New Roman"/>
          <w:b/>
          <w:bCs/>
          <w:szCs w:val="24"/>
        </w:rPr>
      </w:pPr>
    </w:p>
    <w:p w14:paraId="5468F7E6" w14:textId="77777777" w:rsidR="007B485D" w:rsidRDefault="007B485D" w:rsidP="007B485D">
      <w:pPr>
        <w:rPr>
          <w:rFonts w:eastAsia="DengXian" w:cs="Times New Roman"/>
          <w:b/>
          <w:bCs/>
          <w:szCs w:val="24"/>
        </w:rPr>
      </w:pPr>
      <w:r>
        <w:rPr>
          <w:rFonts w:eastAsia="DengXian" w:cs="Times New Roman"/>
          <w:b/>
          <w:bCs/>
          <w:szCs w:val="24"/>
        </w:rPr>
        <w:br w:type="page"/>
      </w:r>
    </w:p>
    <w:p w14:paraId="59FB0400" w14:textId="77777777" w:rsidR="007B485D" w:rsidRPr="00727DFA" w:rsidRDefault="007B485D" w:rsidP="003114B5">
      <w:pPr>
        <w:pStyle w:val="Heading2"/>
        <w:spacing w:before="240" w:after="240"/>
      </w:pPr>
      <w:bookmarkStart w:id="62" w:name="_Toc179490331"/>
      <w:r w:rsidRPr="00727DFA">
        <w:lastRenderedPageBreak/>
        <w:t>Antivirals</w:t>
      </w:r>
      <w:bookmarkEnd w:id="62"/>
    </w:p>
    <w:p w14:paraId="0DD55EDA"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Antiviral drugs are a class of medicines particularly used for the treatment of viral infections. Viruses are among the major pathogenic agents that cause number of serious diseases in humans. They are obligate intracellular parasites; their replication depends primarily on synthetic processes of the host cell. Therefore, to be effective, antiviral agents must either block viral entry into or exit from the cell or be active inside the host cell. </w:t>
      </w:r>
    </w:p>
    <w:p w14:paraId="4DA4856B"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Antiviral drugs that directly target the viruses include the inhibitors of virus attachment, inhibitors of virus entry, uncoating inhibitors, polymerase inhibitors, protease inhibitors, inhibitors of nucleoside and nucleotide reverse transcriptase and the inhibitors of integrase. The inhibitors of protease (ritonavir, atazanavir and darunavir), viral DNA polymerase (acyclovir, tenofovir, valganciclovir and valacyclovir) and of integrase (raltegravir) are listed among the top prescribed medications.</w:t>
      </w:r>
    </w:p>
    <w:p w14:paraId="3B9F4ADD" w14:textId="77777777" w:rsidR="007B485D" w:rsidRPr="003114B5" w:rsidRDefault="007B485D" w:rsidP="003114B5">
      <w:pPr>
        <w:spacing w:before="240"/>
        <w:rPr>
          <w:rFonts w:eastAsia="DengXian Light"/>
          <w:b/>
        </w:rPr>
      </w:pPr>
      <w:r w:rsidRPr="003114B5">
        <w:rPr>
          <w:rFonts w:eastAsia="DengXian Light"/>
          <w:b/>
        </w:rPr>
        <w:t xml:space="preserve">Antiretrovirals </w:t>
      </w:r>
    </w:p>
    <w:p w14:paraId="6907D6D3"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The HIV is a retrovirus that causes immunodeficiency by infecting and destroying cells of the immune system, particularly the CD</w:t>
      </w:r>
      <w:r w:rsidRPr="00727DFA">
        <w:rPr>
          <w:rFonts w:eastAsia="DengXian" w:cs="Times New Roman"/>
          <w:szCs w:val="24"/>
          <w:vertAlign w:val="subscript"/>
        </w:rPr>
        <w:t xml:space="preserve">4 </w:t>
      </w:r>
      <w:r w:rsidRPr="00727DFA">
        <w:rPr>
          <w:rFonts w:eastAsia="DengXian" w:cs="Times New Roman"/>
          <w:szCs w:val="24"/>
        </w:rPr>
        <w:t>cells. AIDS occurs when the number of CD</w:t>
      </w:r>
      <w:r w:rsidRPr="00727DFA">
        <w:rPr>
          <w:rFonts w:eastAsia="DengXian" w:cs="Times New Roman"/>
          <w:szCs w:val="24"/>
          <w:vertAlign w:val="subscript"/>
        </w:rPr>
        <w:t>4</w:t>
      </w:r>
      <w:r w:rsidRPr="00727DFA">
        <w:rPr>
          <w:rFonts w:eastAsia="DengXian" w:cs="Times New Roman"/>
          <w:szCs w:val="24"/>
        </w:rPr>
        <w:t xml:space="preserve"> cells fall to below 200 cells/microlitre; opportunistic infections and malignancies (AIDS-defining illnesses) can develop. The prognosis of HIV and AIDS has greatly improved due to more effective and better-tolerated ART. The aims of treatment are to achieve an undetectable viral load, to preserve immune function, to reduce the mortality and morbidity associated with chronic HIV infection, and to reduce onward transmission of HIV, whilst minimizing drug toxicity. Treatment with a combination of ART (HAART) aims to improve the physical and psychological well-being of infected people; it is measured virologically and immunologically. Currently there are six categories of ARVs. Namely, nucleoside analogue reverse transcriptase inhibitors (NRTIs), non-nucleoside analogue reverse transcriptase inhibitors (NNRTIs), protease inhibitors (PIs), integrase inhibitors (IIs), chemokine receptor 5 (CCR5) inhibitors and fusion inhibitors (FIs).</w:t>
      </w:r>
    </w:p>
    <w:p w14:paraId="6CC954FC" w14:textId="77777777" w:rsidR="007B485D" w:rsidRDefault="007B485D" w:rsidP="007B485D">
      <w:pPr>
        <w:spacing w:before="240" w:after="0"/>
        <w:jc w:val="both"/>
        <w:rPr>
          <w:rFonts w:eastAsia="DengXian" w:cs="Times New Roman"/>
          <w:szCs w:val="24"/>
        </w:rPr>
      </w:pPr>
      <w:r w:rsidRPr="00727DFA">
        <w:rPr>
          <w:rFonts w:eastAsia="DengXian" w:cs="Times New Roman"/>
          <w:szCs w:val="24"/>
        </w:rPr>
        <w:t>The current Ethiopian national ARV guideline (2022) suggests that treatment should be initiated for all patients diagnosed as being HIV positive, irrespective of CD</w:t>
      </w:r>
      <w:r w:rsidRPr="00B640B6">
        <w:rPr>
          <w:rFonts w:eastAsia="DengXian" w:cs="Times New Roman"/>
          <w:szCs w:val="24"/>
          <w:vertAlign w:val="subscript"/>
        </w:rPr>
        <w:t>4</w:t>
      </w:r>
      <w:r w:rsidRPr="00727DFA">
        <w:rPr>
          <w:rFonts w:eastAsia="DengXian" w:cs="Times New Roman"/>
          <w:szCs w:val="24"/>
        </w:rPr>
        <w:t xml:space="preserve"> cell counts. The regimens are classified as first line (preferred and alternative) and second line regimens.</w:t>
      </w:r>
    </w:p>
    <w:p w14:paraId="02CE3CD0" w14:textId="77777777" w:rsidR="007B485D" w:rsidRPr="00727DFA" w:rsidRDefault="007B485D" w:rsidP="007B485D">
      <w:pPr>
        <w:spacing w:before="240" w:after="0"/>
        <w:jc w:val="both"/>
        <w:rPr>
          <w:rFonts w:eastAsia="DengXian" w:cs="Times New Roman"/>
          <w:szCs w:val="24"/>
        </w:rPr>
      </w:pPr>
    </w:p>
    <w:p w14:paraId="3CFFB561" w14:textId="77777777" w:rsidR="007B485D" w:rsidRPr="00727DFA" w:rsidRDefault="007B485D" w:rsidP="007B485D">
      <w:pPr>
        <w:spacing w:after="0"/>
        <w:jc w:val="both"/>
        <w:rPr>
          <w:rFonts w:eastAsia="DengXian" w:cs="Times New Roman"/>
          <w:szCs w:val="24"/>
        </w:rPr>
      </w:pPr>
    </w:p>
    <w:tbl>
      <w:tblPr>
        <w:tblStyle w:val="TableGrid"/>
        <w:tblW w:w="9594" w:type="dxa"/>
        <w:tblLayout w:type="fixed"/>
        <w:tblLook w:val="04A0" w:firstRow="1" w:lastRow="0" w:firstColumn="1" w:lastColumn="0" w:noHBand="0" w:noVBand="1"/>
      </w:tblPr>
      <w:tblGrid>
        <w:gridCol w:w="2301"/>
        <w:gridCol w:w="7285"/>
        <w:gridCol w:w="8"/>
      </w:tblGrid>
      <w:tr w:rsidR="007B485D" w:rsidRPr="00727DFA" w14:paraId="3C4365A4"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38DE1E76" w14:textId="77777777" w:rsidR="007B485D" w:rsidRPr="00727DFA" w:rsidRDefault="007B485D" w:rsidP="002D6DD7">
            <w:pPr>
              <w:jc w:val="both"/>
              <w:rPr>
                <w:rFonts w:eastAsia="DengXian"/>
                <w:szCs w:val="24"/>
              </w:rPr>
            </w:pPr>
            <w:r w:rsidRPr="00727DFA">
              <w:rPr>
                <w:rFonts w:eastAsia="DengXian"/>
                <w:b/>
                <w:bCs/>
                <w:szCs w:val="24"/>
              </w:rPr>
              <w:t>Abacavir</w:t>
            </w:r>
          </w:p>
        </w:tc>
      </w:tr>
      <w:tr w:rsidR="007B485D" w:rsidRPr="00727DFA" w14:paraId="5E18E49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09F171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72450D37" w14:textId="77777777" w:rsidR="007B485D" w:rsidRPr="00727DFA" w:rsidRDefault="007B485D" w:rsidP="002D6DD7">
            <w:pPr>
              <w:jc w:val="both"/>
              <w:rPr>
                <w:rFonts w:eastAsia="DengXian"/>
                <w:szCs w:val="24"/>
              </w:rPr>
            </w:pPr>
            <w:r w:rsidRPr="00727DFA">
              <w:rPr>
                <w:rFonts w:eastAsia="DengXian"/>
                <w:szCs w:val="24"/>
              </w:rPr>
              <w:t xml:space="preserve">Nucleoside reverse transcriptase inhibitor, antiretroviral </w:t>
            </w:r>
          </w:p>
        </w:tc>
      </w:tr>
      <w:tr w:rsidR="007B485D" w:rsidRPr="00727DFA" w14:paraId="3038324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C06C36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2A844AD9" w14:textId="77777777" w:rsidR="007B485D" w:rsidRPr="00727DFA" w:rsidRDefault="007B485D" w:rsidP="002D6DD7">
            <w:pPr>
              <w:jc w:val="both"/>
              <w:rPr>
                <w:rFonts w:eastAsia="DengXian"/>
                <w:szCs w:val="24"/>
              </w:rPr>
            </w:pPr>
            <w:r w:rsidRPr="00727DFA">
              <w:rPr>
                <w:rFonts w:eastAsia="DengXian"/>
                <w:szCs w:val="24"/>
              </w:rPr>
              <w:t>Tablets, 60mg, 300mg (as sulfate)</w:t>
            </w:r>
          </w:p>
        </w:tc>
      </w:tr>
      <w:tr w:rsidR="007B485D" w:rsidRPr="00727DFA" w14:paraId="1E54B81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6EDF0FC"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2142E4EA" w14:textId="77777777" w:rsidR="007B485D" w:rsidRPr="00727DFA" w:rsidRDefault="007B485D" w:rsidP="002D6DD7">
            <w:pPr>
              <w:jc w:val="both"/>
              <w:rPr>
                <w:rFonts w:eastAsia="DengXian"/>
                <w:szCs w:val="24"/>
              </w:rPr>
            </w:pPr>
            <w:r w:rsidRPr="00727DFA">
              <w:rPr>
                <w:rFonts w:eastAsia="DengXian"/>
                <w:szCs w:val="24"/>
              </w:rPr>
              <w:t>Treatment of HIV infection, in combination with other antiretrovirals.</w:t>
            </w:r>
          </w:p>
        </w:tc>
      </w:tr>
      <w:tr w:rsidR="007B485D" w:rsidRPr="00727DFA" w14:paraId="4761B5A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327A825"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7285" w:type="dxa"/>
            <w:tcBorders>
              <w:top w:val="single" w:sz="4" w:space="0" w:color="auto"/>
              <w:left w:val="single" w:sz="4" w:space="0" w:color="auto"/>
              <w:bottom w:val="single" w:sz="4" w:space="0" w:color="auto"/>
              <w:right w:val="single" w:sz="4" w:space="0" w:color="auto"/>
            </w:tcBorders>
            <w:hideMark/>
          </w:tcPr>
          <w:p w14:paraId="136A6019" w14:textId="77777777" w:rsidR="007B485D" w:rsidRPr="00727DFA" w:rsidRDefault="007B485D" w:rsidP="002D6DD7">
            <w:pPr>
              <w:jc w:val="both"/>
              <w:rPr>
                <w:rFonts w:eastAsia="DengXian"/>
                <w:szCs w:val="24"/>
              </w:rPr>
            </w:pPr>
            <w:r w:rsidRPr="00727DFA">
              <w:rPr>
                <w:rFonts w:eastAsia="DengXian"/>
                <w:b/>
                <w:szCs w:val="24"/>
              </w:rPr>
              <w:t>Adul</w:t>
            </w:r>
            <w:r w:rsidRPr="00727DFA">
              <w:rPr>
                <w:rFonts w:eastAsia="DengXian"/>
                <w:szCs w:val="24"/>
              </w:rPr>
              <w:t>t: 300mg 12 hourly</w:t>
            </w:r>
          </w:p>
          <w:p w14:paraId="72F54B96"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3 months - 16 years, 8mg/kg twice daily</w:t>
            </w:r>
          </w:p>
        </w:tc>
      </w:tr>
      <w:tr w:rsidR="007B485D" w:rsidRPr="00727DFA" w14:paraId="360C6B0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A827A66"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4A9E4D68" w14:textId="77777777" w:rsidR="007B485D" w:rsidRPr="00727DFA" w:rsidRDefault="007B485D" w:rsidP="002D6DD7">
            <w:pPr>
              <w:jc w:val="both"/>
              <w:rPr>
                <w:rFonts w:eastAsia="DengXian"/>
                <w:szCs w:val="24"/>
              </w:rPr>
            </w:pPr>
            <w:r w:rsidRPr="00727DFA">
              <w:rPr>
                <w:rFonts w:eastAsia="DengXian"/>
                <w:szCs w:val="24"/>
              </w:rPr>
              <w:t>Hypersensitivity to abacavir,</w:t>
            </w:r>
            <w:r>
              <w:rPr>
                <w:rFonts w:eastAsia="DengXian"/>
                <w:szCs w:val="24"/>
              </w:rPr>
              <w:t xml:space="preserve"> </w:t>
            </w:r>
            <w:r w:rsidRPr="00873AF2">
              <w:rPr>
                <w:rFonts w:eastAsia="DengXian"/>
                <w:szCs w:val="24"/>
              </w:rPr>
              <w:t>severe hepatic impairment, presence of HLA-B*5701 allele</w:t>
            </w:r>
          </w:p>
        </w:tc>
      </w:tr>
      <w:tr w:rsidR="007B485D" w:rsidRPr="00727DFA" w14:paraId="2EBE853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572694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613E5137" w14:textId="77777777" w:rsidR="007B485D" w:rsidRPr="00873AF2" w:rsidRDefault="007B485D" w:rsidP="002D6DD7">
            <w:pPr>
              <w:jc w:val="both"/>
            </w:pPr>
            <w:r w:rsidRPr="0063309C">
              <w:rPr>
                <w:rFonts w:eastAsia="DengXian"/>
                <w:szCs w:val="24"/>
              </w:rPr>
              <w:t>Methadone, rifampin, alcohol,</w:t>
            </w:r>
            <w:r w:rsidRPr="00873AF2">
              <w:rPr>
                <w:rFonts w:eastAsia="DengXian"/>
                <w:szCs w:val="24"/>
              </w:rPr>
              <w:t xml:space="preserve"> ganciclovir,</w:t>
            </w:r>
            <w:r w:rsidR="003114B5">
              <w:rPr>
                <w:rFonts w:eastAsia="DengXian"/>
                <w:szCs w:val="24"/>
              </w:rPr>
              <w:t xml:space="preserve"> </w:t>
            </w:r>
            <w:r w:rsidRPr="00873AF2">
              <w:rPr>
                <w:rFonts w:eastAsia="DengXian"/>
                <w:szCs w:val="24"/>
              </w:rPr>
              <w:t>valganciclovir</w:t>
            </w:r>
          </w:p>
        </w:tc>
      </w:tr>
      <w:tr w:rsidR="007B485D" w:rsidRPr="00727DFA" w14:paraId="793D74B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E089D5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0B87F137" w14:textId="77777777" w:rsidR="007B485D" w:rsidRPr="0063309C" w:rsidRDefault="007B485D" w:rsidP="002D6DD7">
            <w:pPr>
              <w:jc w:val="both"/>
              <w:rPr>
                <w:rFonts w:eastAsia="DengXian"/>
                <w:szCs w:val="24"/>
              </w:rPr>
            </w:pPr>
            <w:r w:rsidRPr="0063309C">
              <w:rPr>
                <w:rFonts w:eastAsia="DengXian"/>
                <w:szCs w:val="24"/>
              </w:rPr>
              <w:t xml:space="preserve">Hypersensitivity reactions, nausea, vomiting, diarrhea, anorexia, lethargy, fatigue, fever, headache, pancreatitis, lactic acidosis, </w:t>
            </w:r>
            <w:r w:rsidRPr="00873AF2">
              <w:rPr>
                <w:rFonts w:eastAsia="DengXian"/>
                <w:szCs w:val="24"/>
              </w:rPr>
              <w:t>hypertriglyceridemia, musculoskeletal pain, anxiety depression</w:t>
            </w:r>
          </w:p>
        </w:tc>
      </w:tr>
      <w:tr w:rsidR="007B485D" w:rsidRPr="00727DFA" w14:paraId="48DA618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5B370FD"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100271F4" w14:textId="77777777" w:rsidR="007B485D" w:rsidRPr="00727DFA" w:rsidRDefault="007B485D" w:rsidP="002D6DD7">
            <w:pPr>
              <w:jc w:val="both"/>
              <w:rPr>
                <w:rFonts w:eastAsia="DengXian"/>
                <w:szCs w:val="24"/>
              </w:rPr>
            </w:pPr>
            <w:r w:rsidRPr="00727DFA">
              <w:rPr>
                <w:rFonts w:eastAsia="DengXian"/>
                <w:szCs w:val="24"/>
              </w:rPr>
              <w:t xml:space="preserve">Hepatic and renal impairment, pregnancy, breastfeeding, </w:t>
            </w:r>
          </w:p>
        </w:tc>
      </w:tr>
      <w:tr w:rsidR="007B485D" w:rsidRPr="00727DFA" w14:paraId="67D2DD9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CDC413F"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28BFF97C"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52EA524A"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1F8BD801" w14:textId="77777777" w:rsidR="007B485D" w:rsidRPr="00727DFA" w:rsidRDefault="007B485D" w:rsidP="002D6DD7">
            <w:pPr>
              <w:jc w:val="both"/>
              <w:rPr>
                <w:rFonts w:eastAsia="DengXian"/>
                <w:b/>
                <w:bCs/>
                <w:szCs w:val="24"/>
              </w:rPr>
            </w:pPr>
            <w:r w:rsidRPr="00727DFA">
              <w:rPr>
                <w:rFonts w:eastAsia="DengXian"/>
                <w:b/>
                <w:bCs/>
                <w:szCs w:val="24"/>
              </w:rPr>
              <w:t xml:space="preserve">Abacavir + </w:t>
            </w:r>
            <w:r>
              <w:rPr>
                <w:rFonts w:eastAsia="DengXian"/>
                <w:b/>
                <w:bCs/>
                <w:szCs w:val="24"/>
              </w:rPr>
              <w:t>l</w:t>
            </w:r>
            <w:r w:rsidRPr="00727DFA">
              <w:rPr>
                <w:rFonts w:eastAsia="DengXian"/>
                <w:b/>
                <w:bCs/>
                <w:szCs w:val="24"/>
              </w:rPr>
              <w:t>amivudine</w:t>
            </w:r>
          </w:p>
        </w:tc>
      </w:tr>
      <w:tr w:rsidR="007B485D" w:rsidRPr="00727DFA" w14:paraId="20AFAE0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263B60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464A0507" w14:textId="77777777" w:rsidR="007B485D" w:rsidRPr="00727DFA" w:rsidRDefault="007B485D" w:rsidP="002D6DD7">
            <w:pPr>
              <w:jc w:val="both"/>
              <w:rPr>
                <w:rFonts w:eastAsia="DengXian"/>
                <w:szCs w:val="24"/>
              </w:rPr>
            </w:pPr>
            <w:r w:rsidRPr="00727DFA">
              <w:rPr>
                <w:rFonts w:eastAsia="DengXian"/>
                <w:szCs w:val="24"/>
              </w:rPr>
              <w:t xml:space="preserve">Nucleoside reverse transcriptase inhibitors (NRTIs) </w:t>
            </w:r>
          </w:p>
        </w:tc>
      </w:tr>
      <w:tr w:rsidR="007B485D" w:rsidRPr="00727DFA" w14:paraId="20D4339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EB3C372"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215DA6C9" w14:textId="77777777" w:rsidR="007B485D" w:rsidRPr="00727DFA" w:rsidRDefault="007B485D" w:rsidP="002D6DD7">
            <w:pPr>
              <w:jc w:val="both"/>
              <w:rPr>
                <w:rFonts w:eastAsia="DengXian"/>
                <w:szCs w:val="24"/>
                <w:lang w:val="nb-NO"/>
              </w:rPr>
            </w:pPr>
            <w:r w:rsidRPr="00727DFA">
              <w:rPr>
                <w:rFonts w:eastAsia="DengXian"/>
                <w:szCs w:val="24"/>
                <w:lang w:val="nb-NO"/>
              </w:rPr>
              <w:t>Tablet (dispersible):</w:t>
            </w:r>
            <w:r>
              <w:rPr>
                <w:rFonts w:eastAsia="DengXian"/>
                <w:szCs w:val="24"/>
                <w:lang w:val="nb-NO"/>
              </w:rPr>
              <w:t xml:space="preserve"> abacavir/lamivudine;</w:t>
            </w:r>
            <w:r w:rsidRPr="00727DFA">
              <w:rPr>
                <w:rFonts w:eastAsia="DengXian"/>
                <w:szCs w:val="24"/>
                <w:lang w:val="nb-NO"/>
              </w:rPr>
              <w:t xml:space="preserve"> 60</w:t>
            </w:r>
            <w:r>
              <w:rPr>
                <w:rFonts w:eastAsia="DengXian"/>
                <w:szCs w:val="24"/>
                <w:lang w:val="nb-NO"/>
              </w:rPr>
              <w:t>0</w:t>
            </w:r>
            <w:r w:rsidRPr="00727DFA">
              <w:rPr>
                <w:rFonts w:eastAsia="DengXian"/>
                <w:szCs w:val="24"/>
                <w:lang w:val="nb-NO"/>
              </w:rPr>
              <w:t>mg+30</w:t>
            </w:r>
            <w:r>
              <w:rPr>
                <w:rFonts w:eastAsia="DengXian"/>
                <w:szCs w:val="24"/>
                <w:lang w:val="nb-NO"/>
              </w:rPr>
              <w:t>0</w:t>
            </w:r>
            <w:r w:rsidRPr="00727DFA">
              <w:rPr>
                <w:rFonts w:eastAsia="DengXian"/>
                <w:szCs w:val="24"/>
                <w:lang w:val="nb-NO"/>
              </w:rPr>
              <w:t xml:space="preserve"> mg, 120mg+60mg </w:t>
            </w:r>
          </w:p>
        </w:tc>
      </w:tr>
      <w:tr w:rsidR="007B485D" w:rsidRPr="00727DFA" w14:paraId="3965F9C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7CC78D6"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4A444DB5" w14:textId="77777777" w:rsidR="007B485D" w:rsidRPr="00727DFA" w:rsidRDefault="007B485D" w:rsidP="002D6DD7">
            <w:pPr>
              <w:jc w:val="both"/>
              <w:rPr>
                <w:rFonts w:eastAsia="DengXian"/>
                <w:szCs w:val="24"/>
              </w:rPr>
            </w:pPr>
            <w:r w:rsidRPr="00727DFA">
              <w:rPr>
                <w:rFonts w:eastAsia="DengXian"/>
                <w:szCs w:val="24"/>
              </w:rPr>
              <w:t>Treatment of HIV infection, in combination with other antiretrovirals</w:t>
            </w:r>
          </w:p>
        </w:tc>
      </w:tr>
      <w:tr w:rsidR="007B485D" w:rsidRPr="00727DFA" w14:paraId="679F629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82C767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7CC9F3B8" w14:textId="77777777" w:rsidR="007B485D" w:rsidRPr="00727DFA" w:rsidRDefault="007B485D" w:rsidP="002D6DD7">
            <w:pPr>
              <w:jc w:val="both"/>
              <w:rPr>
                <w:rFonts w:eastAsia="DengXian"/>
                <w:szCs w:val="24"/>
              </w:rPr>
            </w:pPr>
            <w:r w:rsidRPr="00727DFA">
              <w:rPr>
                <w:rFonts w:eastAsia="DengXian"/>
                <w:b/>
                <w:szCs w:val="24"/>
              </w:rPr>
              <w:t xml:space="preserve">Adult and </w:t>
            </w:r>
            <w:r>
              <w:rPr>
                <w:rFonts w:eastAsia="DengXian"/>
                <w:b/>
                <w:szCs w:val="24"/>
              </w:rPr>
              <w:t xml:space="preserve">child </w:t>
            </w:r>
            <w:r w:rsidRPr="00727DFA">
              <w:rPr>
                <w:rFonts w:eastAsia="DengXian"/>
                <w:b/>
                <w:szCs w:val="24"/>
              </w:rPr>
              <w:t>body weight</w:t>
            </w:r>
            <w:r w:rsidRPr="00727DFA">
              <w:rPr>
                <w:rFonts w:eastAsia="DengXian"/>
                <w:szCs w:val="24"/>
              </w:rPr>
              <w:t xml:space="preserve">  </w:t>
            </w:r>
            <m:oMath>
              <m:r>
                <w:rPr>
                  <w:rFonts w:ascii="Cambria Math" w:eastAsia="DengXian" w:hAnsi="Cambria Math"/>
                  <w:szCs w:val="24"/>
                </w:rPr>
                <m:t>≥</m:t>
              </m:r>
            </m:oMath>
            <w:r w:rsidRPr="00727DFA">
              <w:rPr>
                <w:rFonts w:eastAsia="DengXian"/>
                <w:szCs w:val="24"/>
              </w:rPr>
              <w:t>25: 600mg/300mg once daily</w:t>
            </w:r>
          </w:p>
          <w:p w14:paraId="6A97CC08" w14:textId="77777777" w:rsidR="007B485D" w:rsidRPr="00727DFA" w:rsidRDefault="007B485D" w:rsidP="002D6DD7">
            <w:pPr>
              <w:jc w:val="both"/>
              <w:rPr>
                <w:rFonts w:eastAsia="DengXian"/>
                <w:szCs w:val="24"/>
              </w:rPr>
            </w:pPr>
            <w:r>
              <w:rPr>
                <w:rFonts w:eastAsia="DengXian"/>
                <w:b/>
                <w:szCs w:val="24"/>
              </w:rPr>
              <w:t>Child</w:t>
            </w:r>
            <w:r w:rsidRPr="00727DFA">
              <w:rPr>
                <w:rFonts w:eastAsia="DengXian"/>
                <w:szCs w:val="24"/>
              </w:rPr>
              <w:t xml:space="preserve">:  </w:t>
            </w:r>
            <w:r w:rsidRPr="00727DFA">
              <w:rPr>
                <w:rFonts w:eastAsia="DengXian"/>
                <w:b/>
                <w:szCs w:val="24"/>
              </w:rPr>
              <w:t>Abacavir 120 + lamivudine 60</w:t>
            </w:r>
          </w:p>
          <w:p w14:paraId="5C7B4837" w14:textId="77777777" w:rsidR="007B485D" w:rsidRPr="00727DFA" w:rsidRDefault="007B485D" w:rsidP="002D6DD7">
            <w:pPr>
              <w:jc w:val="both"/>
              <w:rPr>
                <w:rFonts w:eastAsia="DengXian"/>
                <w:szCs w:val="24"/>
              </w:rPr>
            </w:pPr>
            <w:r w:rsidRPr="00727DFA">
              <w:rPr>
                <w:rFonts w:eastAsia="DengXian"/>
                <w:szCs w:val="24"/>
              </w:rPr>
              <w:t xml:space="preserve">Body weight 3 – 5.9: 1 tablet  </w:t>
            </w:r>
          </w:p>
          <w:p w14:paraId="008E42BF" w14:textId="77777777" w:rsidR="007B485D" w:rsidRPr="00727DFA" w:rsidRDefault="007B485D" w:rsidP="002D6DD7">
            <w:pPr>
              <w:jc w:val="both"/>
              <w:rPr>
                <w:rFonts w:eastAsia="DengXian"/>
                <w:szCs w:val="24"/>
              </w:rPr>
            </w:pPr>
            <w:r w:rsidRPr="00727DFA">
              <w:rPr>
                <w:rFonts w:eastAsia="DengXian"/>
                <w:szCs w:val="24"/>
              </w:rPr>
              <w:t>Body weight 6 – 9.9:  1</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w:t>
            </w:r>
          </w:p>
          <w:p w14:paraId="6CA347EA" w14:textId="77777777" w:rsidR="007B485D" w:rsidRPr="00727DFA" w:rsidRDefault="007B485D" w:rsidP="002D6DD7">
            <w:pPr>
              <w:jc w:val="both"/>
              <w:rPr>
                <w:rFonts w:eastAsia="DengXian"/>
                <w:szCs w:val="24"/>
              </w:rPr>
            </w:pPr>
            <w:r w:rsidRPr="00727DFA">
              <w:rPr>
                <w:rFonts w:eastAsia="DengXian"/>
                <w:szCs w:val="24"/>
              </w:rPr>
              <w:t xml:space="preserve">Body weight 10 – 13.9: 2 tablets </w:t>
            </w:r>
          </w:p>
          <w:p w14:paraId="4F0AD47E" w14:textId="77777777" w:rsidR="007B485D" w:rsidRPr="00727DFA" w:rsidRDefault="007B485D" w:rsidP="002D6DD7">
            <w:pPr>
              <w:jc w:val="both"/>
              <w:rPr>
                <w:rFonts w:eastAsia="DengXian"/>
                <w:szCs w:val="24"/>
              </w:rPr>
            </w:pPr>
            <w:r w:rsidRPr="00727DFA">
              <w:rPr>
                <w:rFonts w:eastAsia="DengXian"/>
                <w:szCs w:val="24"/>
              </w:rPr>
              <w:t xml:space="preserve">Body weight 14 – 19.9:  2 </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w:t>
            </w:r>
          </w:p>
          <w:p w14:paraId="6D86CE25" w14:textId="77777777" w:rsidR="007B485D" w:rsidRPr="00727DFA" w:rsidRDefault="007B485D" w:rsidP="002D6DD7">
            <w:pPr>
              <w:jc w:val="both"/>
              <w:rPr>
                <w:rFonts w:eastAsia="DengXian"/>
                <w:szCs w:val="24"/>
              </w:rPr>
            </w:pPr>
            <w:r w:rsidRPr="00727DFA">
              <w:rPr>
                <w:rFonts w:eastAsia="DengXian"/>
                <w:szCs w:val="24"/>
              </w:rPr>
              <w:t xml:space="preserve">Body weight 20 – 24.9:  3 tablets </w:t>
            </w:r>
          </w:p>
        </w:tc>
      </w:tr>
      <w:tr w:rsidR="007B485D" w:rsidRPr="00727DFA" w14:paraId="42721E7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89726E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09BD6902" w14:textId="77777777" w:rsidR="007B485D" w:rsidRPr="00727DFA" w:rsidRDefault="007B485D" w:rsidP="002D6DD7">
            <w:pPr>
              <w:jc w:val="both"/>
              <w:rPr>
                <w:rFonts w:eastAsia="DengXian"/>
                <w:szCs w:val="24"/>
              </w:rPr>
            </w:pPr>
            <w:r>
              <w:rPr>
                <w:rFonts w:eastAsia="DengXian"/>
                <w:szCs w:val="24"/>
              </w:rPr>
              <w:t>H</w:t>
            </w:r>
            <w:r w:rsidRPr="0063309C">
              <w:rPr>
                <w:rFonts w:eastAsia="DengXian"/>
                <w:szCs w:val="24"/>
              </w:rPr>
              <w:t>ypersensitivity to abacavir or lamivudine</w:t>
            </w:r>
            <w:r>
              <w:rPr>
                <w:rFonts w:eastAsia="DengXian"/>
                <w:szCs w:val="24"/>
              </w:rPr>
              <w:t>.</w:t>
            </w:r>
          </w:p>
        </w:tc>
      </w:tr>
      <w:tr w:rsidR="007B485D" w:rsidRPr="00727DFA" w14:paraId="4080635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F075934"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47F5EC8B"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drug monograph</w:t>
            </w:r>
            <w:r>
              <w:rPr>
                <w:rFonts w:eastAsia="DengXian"/>
                <w:szCs w:val="24"/>
              </w:rPr>
              <w:t>.</w:t>
            </w:r>
          </w:p>
        </w:tc>
      </w:tr>
      <w:tr w:rsidR="007B485D" w:rsidRPr="00727DFA" w14:paraId="65EB5C6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870E2F2"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3DBF1091"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drug monograph</w:t>
            </w:r>
            <w:r>
              <w:rPr>
                <w:rFonts w:eastAsia="DengXian"/>
                <w:szCs w:val="24"/>
              </w:rPr>
              <w:t>.</w:t>
            </w:r>
          </w:p>
        </w:tc>
      </w:tr>
      <w:tr w:rsidR="007B485D" w:rsidRPr="00727DFA" w14:paraId="5EE77C4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1457B9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31A34053"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drug monograph</w:t>
            </w:r>
            <w:r>
              <w:rPr>
                <w:rFonts w:eastAsia="DengXian"/>
                <w:szCs w:val="24"/>
              </w:rPr>
              <w:t>.</w:t>
            </w:r>
          </w:p>
        </w:tc>
      </w:tr>
      <w:tr w:rsidR="007B485D" w:rsidRPr="00727DFA" w14:paraId="5D4E089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1979E9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60ACB94F"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7243D0F"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15ACF448" w14:textId="77777777" w:rsidR="007B485D" w:rsidRPr="00727DFA" w:rsidRDefault="007B485D" w:rsidP="002D6DD7">
            <w:pPr>
              <w:jc w:val="both"/>
              <w:rPr>
                <w:rFonts w:eastAsia="DengXian"/>
                <w:b/>
                <w:bCs/>
                <w:szCs w:val="24"/>
              </w:rPr>
            </w:pPr>
            <w:r w:rsidRPr="00727DFA">
              <w:rPr>
                <w:rFonts w:eastAsia="DengXian"/>
                <w:b/>
                <w:bCs/>
                <w:szCs w:val="24"/>
              </w:rPr>
              <w:t>Abacavir + lamivudine + dolutegravir</w:t>
            </w:r>
          </w:p>
        </w:tc>
      </w:tr>
      <w:tr w:rsidR="007B485D" w:rsidRPr="00727DFA" w14:paraId="5BC91DF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447263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2890F30E" w14:textId="77777777" w:rsidR="007B485D" w:rsidRPr="00727DFA" w:rsidRDefault="007B485D" w:rsidP="002D6DD7">
            <w:pPr>
              <w:jc w:val="both"/>
              <w:rPr>
                <w:rFonts w:eastAsia="DengXian"/>
                <w:szCs w:val="24"/>
              </w:rPr>
            </w:pPr>
            <w:r w:rsidRPr="00727DFA">
              <w:rPr>
                <w:rFonts w:eastAsia="DengXian"/>
                <w:szCs w:val="24"/>
              </w:rPr>
              <w:t xml:space="preserve">Combination of antiretrovirals </w:t>
            </w:r>
          </w:p>
        </w:tc>
      </w:tr>
      <w:tr w:rsidR="007B485D" w:rsidRPr="00810924" w14:paraId="6282A998"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D8FDB02"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22D1B7BE"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60mg +30mg +5mg </w:t>
            </w:r>
          </w:p>
        </w:tc>
      </w:tr>
      <w:tr w:rsidR="007B485D" w:rsidRPr="00727DFA" w14:paraId="406F46C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9B1278D"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2C472550" w14:textId="77777777" w:rsidR="007B485D" w:rsidRPr="00727DFA" w:rsidRDefault="007B485D" w:rsidP="002D6DD7">
            <w:pPr>
              <w:jc w:val="both"/>
              <w:rPr>
                <w:rFonts w:eastAsia="DengXian"/>
                <w:szCs w:val="24"/>
              </w:rPr>
            </w:pPr>
            <w:r w:rsidRPr="00727DFA">
              <w:rPr>
                <w:rFonts w:eastAsia="DengXian"/>
                <w:szCs w:val="24"/>
              </w:rPr>
              <w:t>Treatment of HIV infected adults, adolescents</w:t>
            </w:r>
          </w:p>
        </w:tc>
      </w:tr>
      <w:tr w:rsidR="007B485D" w:rsidRPr="00727DFA" w14:paraId="10719D5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7FB1C8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478257E3" w14:textId="77777777" w:rsidR="007B485D" w:rsidRPr="00727DFA" w:rsidRDefault="007B485D" w:rsidP="002D6DD7">
            <w:pPr>
              <w:jc w:val="both"/>
              <w:rPr>
                <w:rFonts w:eastAsia="DengXian"/>
                <w:szCs w:val="24"/>
              </w:rPr>
            </w:pPr>
            <w:r w:rsidRPr="00727DFA">
              <w:rPr>
                <w:rFonts w:eastAsia="DengXian"/>
                <w:b/>
                <w:szCs w:val="24"/>
              </w:rPr>
              <w:t xml:space="preserve">Adult and </w:t>
            </w:r>
            <w:r>
              <w:rPr>
                <w:rFonts w:eastAsia="DengXian"/>
                <w:b/>
                <w:szCs w:val="24"/>
              </w:rPr>
              <w:t>child</w:t>
            </w:r>
            <w:r w:rsidRPr="00727DFA">
              <w:rPr>
                <w:rFonts w:eastAsia="DengXian"/>
                <w:b/>
                <w:szCs w:val="24"/>
              </w:rPr>
              <w:t xml:space="preserve"> body weight  </w:t>
            </w:r>
            <m:oMath>
              <m:r>
                <m:rPr>
                  <m:sty m:val="bi"/>
                </m:rPr>
                <w:rPr>
                  <w:rFonts w:ascii="Cambria Math" w:eastAsia="DengXian" w:hAnsi="Cambria Math"/>
                  <w:szCs w:val="24"/>
                </w:rPr>
                <m:t>≥</m:t>
              </m:r>
            </m:oMath>
            <w:r w:rsidRPr="00727DFA">
              <w:rPr>
                <w:rFonts w:eastAsia="DengXian"/>
                <w:b/>
                <w:szCs w:val="24"/>
              </w:rPr>
              <w:t>25</w:t>
            </w:r>
            <w:r w:rsidRPr="00727DFA">
              <w:rPr>
                <w:rFonts w:eastAsia="DengXian"/>
                <w:szCs w:val="24"/>
              </w:rPr>
              <w:t>: 600mg/300mg/50 mg once daily</w:t>
            </w:r>
          </w:p>
          <w:p w14:paraId="6E726811" w14:textId="77777777" w:rsidR="007B485D" w:rsidRPr="00727DFA" w:rsidRDefault="007B485D" w:rsidP="002D6DD7">
            <w:pPr>
              <w:jc w:val="both"/>
              <w:rPr>
                <w:rFonts w:eastAsia="DengXian"/>
                <w:b/>
                <w:szCs w:val="24"/>
              </w:rPr>
            </w:pPr>
            <w:r>
              <w:rPr>
                <w:rFonts w:eastAsia="DengXian"/>
                <w:b/>
                <w:szCs w:val="24"/>
              </w:rPr>
              <w:t>child</w:t>
            </w:r>
            <w:r w:rsidRPr="00727DFA">
              <w:rPr>
                <w:rFonts w:eastAsia="DengXian"/>
                <w:b/>
                <w:szCs w:val="24"/>
              </w:rPr>
              <w:t>:</w:t>
            </w:r>
          </w:p>
          <w:p w14:paraId="360F54C1" w14:textId="77777777" w:rsidR="007B485D" w:rsidRPr="00727DFA" w:rsidRDefault="007B485D" w:rsidP="002D6DD7">
            <w:pPr>
              <w:jc w:val="both"/>
              <w:rPr>
                <w:rFonts w:eastAsia="DengXian"/>
                <w:szCs w:val="24"/>
              </w:rPr>
            </w:pPr>
            <w:r w:rsidRPr="00727DFA">
              <w:rPr>
                <w:rFonts w:eastAsia="DengXian"/>
                <w:szCs w:val="24"/>
              </w:rPr>
              <w:t xml:space="preserve">Body weight 3 – 5.9 kg: 2 tablets  </w:t>
            </w:r>
          </w:p>
          <w:p w14:paraId="05333E44" w14:textId="77777777" w:rsidR="007B485D" w:rsidRPr="00727DFA" w:rsidRDefault="007B485D" w:rsidP="002D6DD7">
            <w:pPr>
              <w:jc w:val="both"/>
              <w:rPr>
                <w:rFonts w:eastAsia="DengXian"/>
                <w:szCs w:val="24"/>
              </w:rPr>
            </w:pPr>
            <w:r w:rsidRPr="00727DFA">
              <w:rPr>
                <w:rFonts w:eastAsia="DengXian"/>
                <w:szCs w:val="24"/>
              </w:rPr>
              <w:t xml:space="preserve">Body weight 6 – 9.9 kg: 3 tablets </w:t>
            </w:r>
          </w:p>
          <w:p w14:paraId="19E87B7D" w14:textId="77777777" w:rsidR="007B485D" w:rsidRPr="00727DFA" w:rsidRDefault="007B485D" w:rsidP="002D6DD7">
            <w:pPr>
              <w:jc w:val="both"/>
              <w:rPr>
                <w:rFonts w:eastAsia="DengXian"/>
                <w:szCs w:val="24"/>
              </w:rPr>
            </w:pPr>
            <w:r w:rsidRPr="00727DFA">
              <w:rPr>
                <w:rFonts w:eastAsia="DengXian"/>
                <w:szCs w:val="24"/>
              </w:rPr>
              <w:t xml:space="preserve">Body weight 10 – 13.9 kg: 4 tablets </w:t>
            </w:r>
          </w:p>
          <w:p w14:paraId="06D63A83" w14:textId="77777777" w:rsidR="007B485D" w:rsidRPr="00727DFA" w:rsidRDefault="007B485D" w:rsidP="002D6DD7">
            <w:pPr>
              <w:jc w:val="both"/>
              <w:rPr>
                <w:rFonts w:eastAsia="DengXian"/>
                <w:szCs w:val="24"/>
              </w:rPr>
            </w:pPr>
            <w:r w:rsidRPr="00727DFA">
              <w:rPr>
                <w:rFonts w:eastAsia="DengXian"/>
                <w:szCs w:val="24"/>
              </w:rPr>
              <w:t xml:space="preserve">Body weight 14 – 19.9 kg: 5 tablets </w:t>
            </w:r>
          </w:p>
          <w:p w14:paraId="638F6DBB" w14:textId="77777777" w:rsidR="007B485D" w:rsidRPr="00727DFA" w:rsidRDefault="007B485D" w:rsidP="002D6DD7">
            <w:pPr>
              <w:jc w:val="both"/>
              <w:rPr>
                <w:rFonts w:eastAsia="DengXian"/>
                <w:szCs w:val="24"/>
              </w:rPr>
            </w:pPr>
            <w:r w:rsidRPr="00727DFA">
              <w:rPr>
                <w:rFonts w:eastAsia="DengXian"/>
                <w:szCs w:val="24"/>
              </w:rPr>
              <w:t>Body weight 20 – 24.9 kg: 6 tablets</w:t>
            </w:r>
          </w:p>
        </w:tc>
      </w:tr>
      <w:tr w:rsidR="007B485D" w:rsidRPr="00727DFA" w14:paraId="6B6A2A7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1ADD67D"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350A68FB" w14:textId="77777777" w:rsidR="007B485D" w:rsidRPr="00727DFA" w:rsidRDefault="007B485D" w:rsidP="002D6DD7">
            <w:pPr>
              <w:jc w:val="both"/>
              <w:rPr>
                <w:rFonts w:eastAsia="DengXian"/>
                <w:szCs w:val="24"/>
              </w:rPr>
            </w:pPr>
            <w:r w:rsidRPr="00727DFA">
              <w:rPr>
                <w:rFonts w:eastAsia="DengXian"/>
                <w:szCs w:val="24"/>
              </w:rPr>
              <w:t>Refer</w:t>
            </w:r>
            <w:r>
              <w:rPr>
                <w:rFonts w:eastAsia="DengXian"/>
                <w:szCs w:val="24"/>
              </w:rPr>
              <w:t xml:space="preserve"> to</w:t>
            </w:r>
            <w:r w:rsidRPr="00727DFA">
              <w:rPr>
                <w:rFonts w:eastAsia="DengXian"/>
                <w:szCs w:val="24"/>
              </w:rPr>
              <w:t xml:space="preserve"> individual drug monograph</w:t>
            </w:r>
            <w:r>
              <w:rPr>
                <w:rFonts w:eastAsia="DengXian"/>
                <w:szCs w:val="24"/>
              </w:rPr>
              <w:t>.</w:t>
            </w:r>
          </w:p>
        </w:tc>
      </w:tr>
      <w:tr w:rsidR="007B485D" w:rsidRPr="00727DFA" w14:paraId="22C14F2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2ECFE4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38E4208B" w14:textId="77777777" w:rsidR="007B485D" w:rsidRPr="00727DFA" w:rsidRDefault="007B485D" w:rsidP="002D6DD7">
            <w:pPr>
              <w:jc w:val="both"/>
              <w:rPr>
                <w:rFonts w:eastAsia="DengXian"/>
                <w:szCs w:val="24"/>
              </w:rPr>
            </w:pPr>
            <w:r w:rsidRPr="00727DFA">
              <w:rPr>
                <w:rFonts w:eastAsia="DengXian"/>
                <w:szCs w:val="24"/>
              </w:rPr>
              <w:t>Refer</w:t>
            </w:r>
            <w:r>
              <w:rPr>
                <w:rFonts w:eastAsia="DengXian"/>
                <w:szCs w:val="24"/>
              </w:rPr>
              <w:t xml:space="preserve"> to</w:t>
            </w:r>
            <w:r w:rsidRPr="00727DFA">
              <w:rPr>
                <w:rFonts w:eastAsia="DengXian"/>
                <w:szCs w:val="24"/>
              </w:rPr>
              <w:t xml:space="preserve"> individual drug monograph</w:t>
            </w:r>
            <w:r>
              <w:rPr>
                <w:rFonts w:eastAsia="DengXian"/>
                <w:szCs w:val="24"/>
              </w:rPr>
              <w:t>.</w:t>
            </w:r>
          </w:p>
        </w:tc>
      </w:tr>
      <w:tr w:rsidR="007B485D" w:rsidRPr="00727DFA" w14:paraId="4650658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D06A97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33A11932" w14:textId="77777777" w:rsidR="007B485D" w:rsidRPr="00727DFA" w:rsidRDefault="007B485D" w:rsidP="002D6DD7">
            <w:pPr>
              <w:jc w:val="both"/>
              <w:rPr>
                <w:rFonts w:eastAsia="DengXian"/>
                <w:szCs w:val="24"/>
              </w:rPr>
            </w:pPr>
            <w:r w:rsidRPr="00727DFA">
              <w:rPr>
                <w:rFonts w:eastAsia="DengXian"/>
                <w:szCs w:val="24"/>
              </w:rPr>
              <w:t>Refer</w:t>
            </w:r>
            <w:r>
              <w:rPr>
                <w:rFonts w:eastAsia="DengXian"/>
                <w:szCs w:val="24"/>
              </w:rPr>
              <w:t xml:space="preserve"> to</w:t>
            </w:r>
            <w:r w:rsidRPr="00727DFA">
              <w:rPr>
                <w:rFonts w:eastAsia="DengXian"/>
                <w:szCs w:val="24"/>
              </w:rPr>
              <w:t xml:space="preserve"> individual drug monograph</w:t>
            </w:r>
            <w:r>
              <w:rPr>
                <w:rFonts w:eastAsia="DengXian"/>
                <w:szCs w:val="24"/>
              </w:rPr>
              <w:t>.</w:t>
            </w:r>
          </w:p>
        </w:tc>
      </w:tr>
      <w:tr w:rsidR="007B485D" w:rsidRPr="00727DFA" w14:paraId="24EBD058"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5531DF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30B18298" w14:textId="77777777" w:rsidR="007B485D" w:rsidRPr="00727DFA" w:rsidRDefault="007B485D" w:rsidP="002D6DD7">
            <w:pPr>
              <w:jc w:val="both"/>
              <w:rPr>
                <w:rFonts w:eastAsia="DengXian"/>
                <w:szCs w:val="24"/>
              </w:rPr>
            </w:pPr>
            <w:r w:rsidRPr="00727DFA">
              <w:rPr>
                <w:rFonts w:eastAsia="DengXian"/>
                <w:szCs w:val="24"/>
              </w:rPr>
              <w:t xml:space="preserve">Refer </w:t>
            </w:r>
            <w:r>
              <w:rPr>
                <w:rFonts w:eastAsia="DengXian"/>
                <w:szCs w:val="24"/>
              </w:rPr>
              <w:t xml:space="preserve">to </w:t>
            </w:r>
            <w:r w:rsidRPr="00727DFA">
              <w:rPr>
                <w:rFonts w:eastAsia="DengXian"/>
                <w:szCs w:val="24"/>
              </w:rPr>
              <w:t>individual drug monograph</w:t>
            </w:r>
            <w:r>
              <w:rPr>
                <w:rFonts w:eastAsia="DengXian"/>
                <w:szCs w:val="24"/>
              </w:rPr>
              <w:t>.</w:t>
            </w:r>
          </w:p>
        </w:tc>
      </w:tr>
      <w:tr w:rsidR="007B485D" w:rsidRPr="00727DFA" w14:paraId="3BA86DE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5A4929E"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1599784A"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02A76646"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478CE12D" w14:textId="77777777" w:rsidR="007B485D" w:rsidRPr="00727DFA" w:rsidRDefault="007B485D" w:rsidP="002D6DD7">
            <w:pPr>
              <w:jc w:val="both"/>
              <w:rPr>
                <w:rFonts w:eastAsia="DengXian"/>
                <w:b/>
                <w:bCs/>
                <w:szCs w:val="24"/>
              </w:rPr>
            </w:pPr>
            <w:r w:rsidRPr="00727DFA">
              <w:rPr>
                <w:rFonts w:eastAsia="DengXian"/>
                <w:b/>
                <w:bCs/>
                <w:szCs w:val="24"/>
              </w:rPr>
              <w:t xml:space="preserve">Atazanavir + </w:t>
            </w:r>
            <w:r>
              <w:rPr>
                <w:rFonts w:eastAsia="DengXian"/>
                <w:b/>
                <w:bCs/>
                <w:szCs w:val="24"/>
              </w:rPr>
              <w:t>r</w:t>
            </w:r>
            <w:r w:rsidRPr="00727DFA">
              <w:rPr>
                <w:rFonts w:eastAsia="DengXian"/>
                <w:b/>
                <w:bCs/>
                <w:szCs w:val="24"/>
              </w:rPr>
              <w:t>itonavir</w:t>
            </w:r>
          </w:p>
        </w:tc>
      </w:tr>
      <w:tr w:rsidR="007B485D" w:rsidRPr="00727DFA" w14:paraId="0486EAC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B0B469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2AA12EA3" w14:textId="77777777" w:rsidR="007B485D" w:rsidRPr="00727DFA" w:rsidRDefault="007B485D" w:rsidP="002D6DD7">
            <w:pPr>
              <w:jc w:val="both"/>
              <w:rPr>
                <w:rFonts w:eastAsia="DengXian"/>
                <w:szCs w:val="24"/>
              </w:rPr>
            </w:pPr>
            <w:r w:rsidRPr="00727DFA">
              <w:rPr>
                <w:rFonts w:eastAsia="DengXian"/>
                <w:szCs w:val="24"/>
              </w:rPr>
              <w:t xml:space="preserve">Combination of protease inhibitors </w:t>
            </w:r>
          </w:p>
        </w:tc>
      </w:tr>
      <w:tr w:rsidR="007B485D" w:rsidRPr="00727DFA" w14:paraId="7850AB6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6E97350"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04F9A58C" w14:textId="77777777" w:rsidR="007B485D" w:rsidRPr="00727DFA" w:rsidRDefault="007B485D" w:rsidP="002D6DD7">
            <w:pPr>
              <w:jc w:val="both"/>
              <w:rPr>
                <w:rFonts w:eastAsia="DengXian"/>
                <w:szCs w:val="24"/>
              </w:rPr>
            </w:pPr>
            <w:r w:rsidRPr="00727DFA">
              <w:rPr>
                <w:rFonts w:eastAsia="DengXian"/>
                <w:szCs w:val="24"/>
              </w:rPr>
              <w:t xml:space="preserve">Tablet: 300mg + 100mg </w:t>
            </w:r>
          </w:p>
        </w:tc>
      </w:tr>
      <w:tr w:rsidR="007B485D" w:rsidRPr="00727DFA" w14:paraId="1B1ED8C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9CC4318"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3C36BDDF" w14:textId="77777777" w:rsidR="007B485D" w:rsidRPr="00727DFA" w:rsidRDefault="007B485D" w:rsidP="002D6DD7">
            <w:pPr>
              <w:jc w:val="both"/>
              <w:rPr>
                <w:rFonts w:eastAsia="DengXian"/>
                <w:szCs w:val="24"/>
              </w:rPr>
            </w:pPr>
            <w:r w:rsidRPr="00727DFA">
              <w:rPr>
                <w:rFonts w:eastAsia="DengXian"/>
                <w:szCs w:val="24"/>
              </w:rPr>
              <w:t>Treatment of HIV in adults and children weighing at least 30 kg, in combination with other antiretrovirals</w:t>
            </w:r>
            <w:r>
              <w:rPr>
                <w:rFonts w:eastAsia="DengXian"/>
                <w:szCs w:val="24"/>
              </w:rPr>
              <w:t>.</w:t>
            </w:r>
          </w:p>
        </w:tc>
      </w:tr>
      <w:tr w:rsidR="007B485D" w:rsidRPr="00727DFA" w14:paraId="2B8427E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96FDA36"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231303C3" w14:textId="77777777" w:rsidR="007B485D" w:rsidRPr="00727DFA" w:rsidRDefault="007B485D" w:rsidP="002D6DD7">
            <w:pPr>
              <w:jc w:val="both"/>
              <w:rPr>
                <w:rFonts w:eastAsia="DengXian"/>
                <w:szCs w:val="24"/>
              </w:rPr>
            </w:pPr>
            <w:r w:rsidRPr="00873AF2">
              <w:rPr>
                <w:rFonts w:eastAsia="DengXian"/>
                <w:b/>
                <w:bCs/>
                <w:szCs w:val="24"/>
              </w:rPr>
              <w:t>Adult and child body weight</w:t>
            </w:r>
            <w:r w:rsidRPr="00727DFA">
              <w:rPr>
                <w:rFonts w:eastAsia="DengXian"/>
                <w:szCs w:val="24"/>
              </w:rPr>
              <w:t xml:space="preserve"> </w:t>
            </w:r>
            <m:oMath>
              <m:r>
                <w:rPr>
                  <w:rFonts w:ascii="Cambria Math" w:eastAsia="DengXian" w:hAnsi="Cambria Math"/>
                  <w:szCs w:val="24"/>
                </w:rPr>
                <m:t>≥</m:t>
              </m:r>
            </m:oMath>
            <w:r w:rsidRPr="00727DFA">
              <w:rPr>
                <w:rFonts w:eastAsia="DengXian"/>
                <w:szCs w:val="24"/>
              </w:rPr>
              <w:t xml:space="preserve"> 30 kg: one tablet once daily </w:t>
            </w:r>
          </w:p>
        </w:tc>
      </w:tr>
      <w:tr w:rsidR="007B485D" w:rsidRPr="00727DFA" w14:paraId="11AB26E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7FACCF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3B96CF1E"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r w:rsidRPr="00727DFA">
              <w:rPr>
                <w:rFonts w:eastAsia="DengXian"/>
                <w:szCs w:val="24"/>
              </w:rPr>
              <w:t>, severe hepatic impairment</w:t>
            </w:r>
            <w:r>
              <w:rPr>
                <w:rFonts w:eastAsia="DengXian"/>
                <w:szCs w:val="24"/>
              </w:rPr>
              <w:t>.</w:t>
            </w:r>
          </w:p>
          <w:p w14:paraId="23947722" w14:textId="77777777" w:rsidR="007B485D" w:rsidRPr="00727DFA" w:rsidRDefault="007B485D" w:rsidP="002D6DD7">
            <w:pPr>
              <w:jc w:val="both"/>
              <w:rPr>
                <w:rFonts w:eastAsia="DengXian"/>
                <w:szCs w:val="24"/>
              </w:rPr>
            </w:pPr>
            <w:r w:rsidRPr="00727DFA">
              <w:rPr>
                <w:rFonts w:eastAsia="DengXian"/>
                <w:szCs w:val="24"/>
              </w:rPr>
              <w:lastRenderedPageBreak/>
              <w:t>Coadministration with alfuzosin, triazolam, orally administered midazolam, ergot derivatives, rifampin, irinotecan, lovastatin, simvastatin, indinavir, cisapride, pimozide</w:t>
            </w:r>
            <w:r>
              <w:rPr>
                <w:rFonts w:eastAsia="DengXian"/>
                <w:szCs w:val="24"/>
              </w:rPr>
              <w:t xml:space="preserve">, </w:t>
            </w:r>
            <w:r w:rsidRPr="00727DFA">
              <w:rPr>
                <w:rFonts w:eastAsia="DengXian"/>
                <w:szCs w:val="24"/>
              </w:rPr>
              <w:t>St. John’s wort</w:t>
            </w:r>
            <w:r>
              <w:rPr>
                <w:rFonts w:eastAsia="DengXian"/>
                <w:szCs w:val="24"/>
              </w:rPr>
              <w:t>.</w:t>
            </w:r>
          </w:p>
        </w:tc>
      </w:tr>
      <w:tr w:rsidR="007B485D" w:rsidRPr="00727DFA" w14:paraId="602C149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E000D55"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130C7689" w14:textId="77777777" w:rsidR="007B485D" w:rsidRPr="00727DFA" w:rsidRDefault="007B485D" w:rsidP="002D6DD7">
            <w:pPr>
              <w:jc w:val="both"/>
              <w:rPr>
                <w:rFonts w:eastAsia="DengXian"/>
                <w:szCs w:val="24"/>
              </w:rPr>
            </w:pPr>
            <w:r w:rsidRPr="00727DFA">
              <w:rPr>
                <w:rFonts w:eastAsia="DengXian"/>
                <w:szCs w:val="24"/>
              </w:rPr>
              <w:t>Atazanavir/ritonavir combination interacts with substrates, CYP</w:t>
            </w:r>
            <w:r w:rsidRPr="00727DFA">
              <w:rPr>
                <w:rFonts w:eastAsia="DengXian"/>
                <w:szCs w:val="24"/>
                <w:vertAlign w:val="subscript"/>
              </w:rPr>
              <w:t>3A4</w:t>
            </w:r>
            <w:r>
              <w:rPr>
                <w:rFonts w:eastAsia="DengXian"/>
                <w:szCs w:val="24"/>
                <w:vertAlign w:val="subscript"/>
              </w:rPr>
              <w:t xml:space="preserve"> </w:t>
            </w:r>
            <w:r w:rsidRPr="00727DFA">
              <w:rPr>
                <w:rFonts w:eastAsia="DengXian"/>
                <w:szCs w:val="24"/>
              </w:rPr>
              <w:t>inducers and inhibitors</w:t>
            </w:r>
            <w:r>
              <w:rPr>
                <w:rFonts w:eastAsia="DengXian"/>
                <w:szCs w:val="24"/>
              </w:rPr>
              <w:t>.</w:t>
            </w:r>
          </w:p>
        </w:tc>
      </w:tr>
      <w:tr w:rsidR="007B485D" w:rsidRPr="00727DFA" w14:paraId="2134854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61F1F9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430B3D1E" w14:textId="77777777" w:rsidR="007B485D" w:rsidRPr="00727DFA" w:rsidRDefault="007B485D" w:rsidP="002D6DD7">
            <w:pPr>
              <w:jc w:val="both"/>
              <w:rPr>
                <w:rFonts w:eastAsia="DengXian"/>
                <w:szCs w:val="24"/>
              </w:rPr>
            </w:pPr>
            <w:r w:rsidRPr="00727DFA">
              <w:rPr>
                <w:rFonts w:eastAsia="DengXian"/>
                <w:szCs w:val="24"/>
              </w:rPr>
              <w:t>Nausea, diarrhea, vomiting, anorexia, abdominal pain, taste disturbances, headache, muscle weakness, fever, light-headedness, insomnia,</w:t>
            </w:r>
            <w:r>
              <w:rPr>
                <w:rFonts w:eastAsia="DengXian"/>
                <w:szCs w:val="24"/>
              </w:rPr>
              <w:t xml:space="preserve"> </w:t>
            </w:r>
            <w:r w:rsidRPr="00727DFA">
              <w:rPr>
                <w:rFonts w:eastAsia="DengXian"/>
                <w:szCs w:val="24"/>
              </w:rPr>
              <w:t>sweating, abnormal sensations in the hands</w:t>
            </w:r>
            <w:r>
              <w:rPr>
                <w:rFonts w:eastAsia="DengXian"/>
                <w:szCs w:val="24"/>
              </w:rPr>
              <w:t>/</w:t>
            </w:r>
            <w:r w:rsidRPr="00727DFA">
              <w:rPr>
                <w:rFonts w:eastAsia="DengXian"/>
                <w:szCs w:val="24"/>
              </w:rPr>
              <w:t xml:space="preserve">feet </w:t>
            </w:r>
            <w:r>
              <w:rPr>
                <w:rFonts w:eastAsia="DengXian"/>
                <w:szCs w:val="24"/>
              </w:rPr>
              <w:t>/mouth</w:t>
            </w:r>
            <w:r w:rsidRPr="00727DFA">
              <w:rPr>
                <w:rFonts w:eastAsia="DengXian"/>
                <w:szCs w:val="24"/>
              </w:rPr>
              <w:t xml:space="preserve">. </w:t>
            </w:r>
          </w:p>
        </w:tc>
      </w:tr>
      <w:tr w:rsidR="007B485D" w:rsidRPr="00727DFA" w14:paraId="675925D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6E91B40"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67C76421" w14:textId="77777777" w:rsidR="007B485D" w:rsidRPr="00727DFA" w:rsidRDefault="007B485D" w:rsidP="002D6DD7">
            <w:pPr>
              <w:jc w:val="both"/>
              <w:rPr>
                <w:rFonts w:eastAsia="DengXian"/>
                <w:szCs w:val="24"/>
              </w:rPr>
            </w:pPr>
            <w:r w:rsidRPr="00727DFA">
              <w:rPr>
                <w:rFonts w:eastAsia="DengXian"/>
                <w:szCs w:val="24"/>
              </w:rPr>
              <w:t xml:space="preserve">Cardiac conduction disorders, electrolyte disturbances, predisposition to QT interval prolongation, allergic reactions, hyperbilirubinemia, mild </w:t>
            </w:r>
            <w:r>
              <w:rPr>
                <w:rFonts w:eastAsia="DengXian"/>
                <w:szCs w:val="24"/>
              </w:rPr>
              <w:t>to</w:t>
            </w:r>
            <w:r w:rsidRPr="00727DFA">
              <w:rPr>
                <w:rFonts w:eastAsia="DengXian"/>
                <w:szCs w:val="24"/>
              </w:rPr>
              <w:t xml:space="preserve"> moderate hepatic impairment, nephrolithiasis, diabetes mellitus</w:t>
            </w:r>
            <w:r>
              <w:rPr>
                <w:rFonts w:eastAsia="DengXian"/>
                <w:szCs w:val="24"/>
              </w:rPr>
              <w:t>.</w:t>
            </w:r>
            <w:r w:rsidRPr="00727DFA">
              <w:rPr>
                <w:rFonts w:eastAsia="DengXian"/>
                <w:szCs w:val="24"/>
              </w:rPr>
              <w:t xml:space="preserve"> </w:t>
            </w:r>
          </w:p>
        </w:tc>
      </w:tr>
      <w:tr w:rsidR="007B485D" w:rsidRPr="00727DFA" w14:paraId="2F5D8AF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20CCF5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207B2595"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r w:rsidRPr="00727DFA">
              <w:rPr>
                <w:rFonts w:eastAsia="DengXian"/>
                <w:szCs w:val="24"/>
              </w:rPr>
              <w:t xml:space="preserve"> </w:t>
            </w:r>
          </w:p>
        </w:tc>
      </w:tr>
      <w:tr w:rsidR="007B485D" w:rsidRPr="00727DFA" w14:paraId="144B04CA"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32A8E44C" w14:textId="77777777" w:rsidR="007B485D" w:rsidRPr="00727DFA" w:rsidRDefault="007B485D" w:rsidP="002D6DD7">
            <w:pPr>
              <w:jc w:val="both"/>
              <w:rPr>
                <w:rFonts w:eastAsia="DengXian"/>
                <w:b/>
                <w:bCs/>
                <w:szCs w:val="24"/>
              </w:rPr>
            </w:pPr>
            <w:r w:rsidRPr="00727DFA">
              <w:rPr>
                <w:rFonts w:eastAsia="DengXian"/>
                <w:b/>
                <w:bCs/>
                <w:szCs w:val="24"/>
              </w:rPr>
              <w:t>Darunavir</w:t>
            </w:r>
          </w:p>
        </w:tc>
      </w:tr>
      <w:tr w:rsidR="007B485D" w:rsidRPr="00727DFA" w14:paraId="79AE789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D03704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27F83FA6" w14:textId="77777777" w:rsidR="007B485D" w:rsidRPr="00727DFA" w:rsidRDefault="007B485D" w:rsidP="002D6DD7">
            <w:pPr>
              <w:jc w:val="both"/>
              <w:rPr>
                <w:rFonts w:eastAsia="DengXian"/>
                <w:szCs w:val="24"/>
              </w:rPr>
            </w:pPr>
            <w:r w:rsidRPr="00727DFA">
              <w:rPr>
                <w:rFonts w:eastAsia="DengXian"/>
                <w:szCs w:val="24"/>
              </w:rPr>
              <w:t>Protease inhibitor, antiretroviral</w:t>
            </w:r>
          </w:p>
        </w:tc>
      </w:tr>
      <w:tr w:rsidR="007B485D" w:rsidRPr="00727DFA" w14:paraId="222EC49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554A53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0B53656F" w14:textId="77777777" w:rsidR="007B485D" w:rsidRPr="00727DFA" w:rsidRDefault="007B485D" w:rsidP="002D6DD7">
            <w:pPr>
              <w:jc w:val="both"/>
              <w:rPr>
                <w:rFonts w:eastAsia="DengXian"/>
                <w:szCs w:val="24"/>
                <w:lang w:val="it-IT"/>
              </w:rPr>
            </w:pPr>
            <w:r w:rsidRPr="00727DFA">
              <w:rPr>
                <w:rFonts w:eastAsia="DengXian"/>
                <w:szCs w:val="24"/>
                <w:lang w:val="it-IT"/>
              </w:rPr>
              <w:t>Tablet: 75mg, 50mg, 400mg, 600mg, 800mg</w:t>
            </w:r>
          </w:p>
          <w:p w14:paraId="1967121E" w14:textId="77777777" w:rsidR="007B485D" w:rsidRPr="00727DFA" w:rsidRDefault="007B485D" w:rsidP="002D6DD7">
            <w:pPr>
              <w:jc w:val="both"/>
              <w:rPr>
                <w:rFonts w:eastAsia="DengXian"/>
                <w:szCs w:val="24"/>
              </w:rPr>
            </w:pPr>
            <w:r w:rsidRPr="00727DFA">
              <w:rPr>
                <w:rFonts w:eastAsia="DengXian"/>
                <w:szCs w:val="24"/>
                <w:lang w:val="it-IT"/>
              </w:rPr>
              <w:t xml:space="preserve">Suspension: </w:t>
            </w:r>
            <w:r w:rsidRPr="00727DFA">
              <w:rPr>
                <w:rFonts w:eastAsia="DengXian"/>
                <w:szCs w:val="24"/>
              </w:rPr>
              <w:t>100mg/ml</w:t>
            </w:r>
          </w:p>
        </w:tc>
      </w:tr>
      <w:tr w:rsidR="007B485D" w:rsidRPr="00727DFA" w14:paraId="322C5FD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739B251"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7B7AD438" w14:textId="77777777" w:rsidR="007B485D" w:rsidRPr="00727DFA" w:rsidRDefault="007B485D" w:rsidP="002D6DD7">
            <w:pPr>
              <w:jc w:val="both"/>
              <w:rPr>
                <w:rFonts w:eastAsia="DengXian"/>
                <w:szCs w:val="24"/>
              </w:rPr>
            </w:pPr>
            <w:r w:rsidRPr="00727DFA">
              <w:rPr>
                <w:rFonts w:eastAsia="DengXian"/>
                <w:szCs w:val="24"/>
              </w:rPr>
              <w:t>Treatment of HIV infection</w:t>
            </w:r>
            <w:r>
              <w:rPr>
                <w:rFonts w:eastAsia="DengXian"/>
                <w:szCs w:val="24"/>
              </w:rPr>
              <w:t>.</w:t>
            </w:r>
          </w:p>
        </w:tc>
      </w:tr>
      <w:tr w:rsidR="007B485D" w:rsidRPr="00727DFA" w14:paraId="6316E89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B66239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4870E359"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600 mg twice daily</w:t>
            </w:r>
          </w:p>
          <w:p w14:paraId="2DCEB8DB" w14:textId="77777777" w:rsidR="007B485D" w:rsidRPr="00727DFA" w:rsidRDefault="007B485D" w:rsidP="002D6DD7">
            <w:pPr>
              <w:jc w:val="both"/>
              <w:rPr>
                <w:rFonts w:eastAsia="DengXian"/>
                <w:b/>
                <w:szCs w:val="24"/>
              </w:rPr>
            </w:pPr>
            <w:r>
              <w:rPr>
                <w:rFonts w:eastAsia="DengXian"/>
                <w:b/>
                <w:szCs w:val="24"/>
              </w:rPr>
              <w:t xml:space="preserve">Child </w:t>
            </w:r>
            <w:r w:rsidRPr="00727DFA">
              <w:rPr>
                <w:rFonts w:eastAsia="DengXian"/>
                <w:b/>
                <w:szCs w:val="24"/>
              </w:rPr>
              <w:t xml:space="preserve">over 6 years: </w:t>
            </w:r>
          </w:p>
          <w:p w14:paraId="6E967622" w14:textId="77777777" w:rsidR="007B485D" w:rsidRPr="00727DFA" w:rsidRDefault="007B485D" w:rsidP="002D6DD7">
            <w:pPr>
              <w:jc w:val="both"/>
              <w:rPr>
                <w:rFonts w:eastAsia="DengXian"/>
                <w:szCs w:val="24"/>
              </w:rPr>
            </w:pPr>
            <w:r w:rsidRPr="00727DFA">
              <w:rPr>
                <w:rFonts w:eastAsia="DengXian"/>
                <w:szCs w:val="24"/>
              </w:rPr>
              <w:t>Body weight over 40 kg:  600 mg twice daily</w:t>
            </w:r>
          </w:p>
          <w:p w14:paraId="1D3EE89F" w14:textId="77777777" w:rsidR="007B485D" w:rsidRPr="00727DFA" w:rsidRDefault="007B485D" w:rsidP="002D6DD7">
            <w:pPr>
              <w:jc w:val="both"/>
              <w:rPr>
                <w:rFonts w:eastAsia="DengXian"/>
                <w:szCs w:val="24"/>
              </w:rPr>
            </w:pPr>
            <w:r w:rsidRPr="00727DFA">
              <w:rPr>
                <w:rFonts w:eastAsia="DengXian"/>
                <w:szCs w:val="24"/>
              </w:rPr>
              <w:t>Body weight 20–30 kg:     375 mg twice daily</w:t>
            </w:r>
          </w:p>
          <w:p w14:paraId="116ECF64" w14:textId="77777777" w:rsidR="007B485D" w:rsidRPr="00727DFA" w:rsidRDefault="007B485D" w:rsidP="002D6DD7">
            <w:pPr>
              <w:jc w:val="both"/>
              <w:rPr>
                <w:rFonts w:eastAsia="DengXian"/>
                <w:szCs w:val="24"/>
              </w:rPr>
            </w:pPr>
            <w:r w:rsidRPr="00727DFA">
              <w:rPr>
                <w:rFonts w:eastAsia="DengXian"/>
                <w:szCs w:val="24"/>
              </w:rPr>
              <w:t>Body weight 30–40 kg:     450 mg twice daily</w:t>
            </w:r>
          </w:p>
        </w:tc>
      </w:tr>
      <w:tr w:rsidR="007B485D" w:rsidRPr="00727DFA" w14:paraId="3C8EB93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0E5208E"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711E9032" w14:textId="77777777" w:rsidR="007B485D" w:rsidRPr="00727DFA" w:rsidRDefault="007B485D" w:rsidP="002D6DD7">
            <w:pPr>
              <w:jc w:val="both"/>
              <w:rPr>
                <w:rFonts w:eastAsia="DengXian"/>
                <w:szCs w:val="24"/>
              </w:rPr>
            </w:pPr>
            <w:r w:rsidRPr="00727DFA">
              <w:rPr>
                <w:rFonts w:eastAsia="DengXian"/>
                <w:szCs w:val="24"/>
              </w:rPr>
              <w:t>Hypersensitivity to darunavir, sulphonamides or any of the components of this product, severe hepatic impairment</w:t>
            </w:r>
            <w:r>
              <w:rPr>
                <w:rFonts w:eastAsia="DengXian"/>
                <w:szCs w:val="24"/>
              </w:rPr>
              <w:t xml:space="preserve">, </w:t>
            </w:r>
            <w:r w:rsidRPr="00727DFA">
              <w:rPr>
                <w:rFonts w:eastAsia="DengXian"/>
                <w:szCs w:val="24"/>
              </w:rPr>
              <w:t>Co-administration with alfuzosin, triazolam, orally administered midazolam, ergot derivatives, rifampin, irinotecan, lovastatin, simvastatin, indinavir, cisapride, pimozide</w:t>
            </w:r>
            <w:r>
              <w:rPr>
                <w:rFonts w:eastAsia="DengXian"/>
                <w:szCs w:val="24"/>
              </w:rPr>
              <w:t xml:space="preserve">, </w:t>
            </w:r>
            <w:r w:rsidRPr="00727DFA">
              <w:rPr>
                <w:rFonts w:eastAsia="DengXian"/>
                <w:szCs w:val="24"/>
              </w:rPr>
              <w:t>St. John’s wort.</w:t>
            </w:r>
          </w:p>
        </w:tc>
      </w:tr>
      <w:tr w:rsidR="007B485D" w:rsidRPr="00727DFA" w14:paraId="383C774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A652DE7"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269EE178" w14:textId="77777777" w:rsidR="007B485D" w:rsidRPr="00727DFA" w:rsidRDefault="007B485D" w:rsidP="002D6DD7">
            <w:pPr>
              <w:jc w:val="both"/>
              <w:rPr>
                <w:rFonts w:eastAsia="DengXian"/>
                <w:szCs w:val="24"/>
              </w:rPr>
            </w:pPr>
            <w:r w:rsidRPr="00727DFA">
              <w:rPr>
                <w:rFonts w:eastAsia="DengXian"/>
                <w:szCs w:val="24"/>
              </w:rPr>
              <w:t>Darunavir/ritonavir combination interacts with substrates, inducers and inhibitors of CYP 3A4</w:t>
            </w:r>
            <w:r>
              <w:rPr>
                <w:rFonts w:eastAsia="DengXian"/>
                <w:szCs w:val="24"/>
              </w:rPr>
              <w:t>,</w:t>
            </w:r>
            <w:r w:rsidRPr="00727DFA">
              <w:rPr>
                <w:rFonts w:eastAsia="DengXian"/>
                <w:szCs w:val="24"/>
              </w:rPr>
              <w:t xml:space="preserve"> </w:t>
            </w:r>
            <w:r w:rsidRPr="00873AF2">
              <w:rPr>
                <w:rFonts w:eastAsia="DengXian"/>
                <w:szCs w:val="24"/>
              </w:rPr>
              <w:t xml:space="preserve">alfusozin, erythromycin, phenobarbital, </w:t>
            </w:r>
            <w:r w:rsidRPr="00873AF2">
              <w:rPr>
                <w:rFonts w:eastAsia="DengXian"/>
                <w:szCs w:val="24"/>
              </w:rPr>
              <w:lastRenderedPageBreak/>
              <w:t>simvastatin,</w:t>
            </w:r>
            <w:r>
              <w:rPr>
                <w:rFonts w:eastAsia="DengXian"/>
                <w:szCs w:val="24"/>
              </w:rPr>
              <w:t xml:space="preserve"> </w:t>
            </w:r>
            <w:r w:rsidRPr="00873AF2">
              <w:rPr>
                <w:rFonts w:eastAsia="DengXian"/>
                <w:szCs w:val="24"/>
              </w:rPr>
              <w:t>apixaban,</w:t>
            </w:r>
            <w:r>
              <w:rPr>
                <w:rFonts w:eastAsia="DengXian"/>
                <w:szCs w:val="24"/>
              </w:rPr>
              <w:t xml:space="preserve"> </w:t>
            </w:r>
            <w:r w:rsidRPr="00873AF2">
              <w:rPr>
                <w:rFonts w:eastAsia="DengXian"/>
                <w:szCs w:val="24"/>
              </w:rPr>
              <w:t>bromocriptine,</w:t>
            </w:r>
            <w:r>
              <w:rPr>
                <w:rFonts w:eastAsia="DengXian"/>
                <w:szCs w:val="24"/>
              </w:rPr>
              <w:t xml:space="preserve"> </w:t>
            </w:r>
            <w:r w:rsidRPr="00873AF2">
              <w:rPr>
                <w:rFonts w:eastAsia="DengXian"/>
                <w:szCs w:val="24"/>
              </w:rPr>
              <w:t>chloramphenicol,</w:t>
            </w:r>
            <w:r>
              <w:rPr>
                <w:rFonts w:eastAsia="DengXian"/>
                <w:szCs w:val="24"/>
              </w:rPr>
              <w:t xml:space="preserve"> </w:t>
            </w:r>
            <w:r w:rsidRPr="00873AF2">
              <w:rPr>
                <w:rFonts w:eastAsia="DengXian"/>
                <w:szCs w:val="24"/>
              </w:rPr>
              <w:t>colchicine,</w:t>
            </w:r>
            <w:r>
              <w:rPr>
                <w:rFonts w:eastAsia="DengXian"/>
                <w:szCs w:val="24"/>
              </w:rPr>
              <w:t xml:space="preserve"> </w:t>
            </w:r>
            <w:r w:rsidRPr="00873AF2">
              <w:rPr>
                <w:rFonts w:eastAsia="DengXian"/>
                <w:szCs w:val="24"/>
              </w:rPr>
              <w:t>conjugated estrogen,</w:t>
            </w:r>
            <w:r>
              <w:rPr>
                <w:rFonts w:eastAsia="DengXian"/>
                <w:szCs w:val="24"/>
                <w14:ligatures w14:val="standardContextual"/>
              </w:rPr>
              <w:t xml:space="preserve"> </w:t>
            </w:r>
            <w:r w:rsidRPr="00873AF2">
              <w:rPr>
                <w:rFonts w:eastAsia="DengXian"/>
                <w:szCs w:val="24"/>
              </w:rPr>
              <w:t>diazepam,</w:t>
            </w:r>
            <w:r>
              <w:rPr>
                <w:rFonts w:eastAsia="DengXian"/>
                <w:szCs w:val="24"/>
                <w14:ligatures w14:val="standardContextual"/>
              </w:rPr>
              <w:t xml:space="preserve"> </w:t>
            </w:r>
            <w:r w:rsidRPr="00873AF2">
              <w:rPr>
                <w:rFonts w:eastAsia="DengXian"/>
                <w:szCs w:val="24"/>
              </w:rPr>
              <w:t>efavirenz,</w:t>
            </w:r>
            <w:r>
              <w:rPr>
                <w:rFonts w:eastAsia="DengXian"/>
                <w:szCs w:val="24"/>
                <w14:ligatures w14:val="standardContextual"/>
              </w:rPr>
              <w:t xml:space="preserve"> </w:t>
            </w:r>
            <w:r w:rsidRPr="00873AF2">
              <w:rPr>
                <w:rFonts w:eastAsia="DengXian"/>
                <w:szCs w:val="24"/>
              </w:rPr>
              <w:t>fluticasone,</w:t>
            </w:r>
            <w:r>
              <w:rPr>
                <w:rFonts w:eastAsia="DengXian"/>
                <w:szCs w:val="24"/>
                <w14:ligatures w14:val="standardContextual"/>
              </w:rPr>
              <w:t xml:space="preserve"> </w:t>
            </w:r>
            <w:r w:rsidRPr="00873AF2">
              <w:rPr>
                <w:rFonts w:eastAsia="DengXian"/>
                <w:szCs w:val="24"/>
              </w:rPr>
              <w:t>medroxy progesterone, tamoxifen, tadalafil</w:t>
            </w:r>
            <w:r>
              <w:rPr>
                <w:rFonts w:eastAsia="DengXian"/>
                <w:szCs w:val="24"/>
              </w:rPr>
              <w:t>.</w:t>
            </w:r>
          </w:p>
        </w:tc>
      </w:tr>
      <w:tr w:rsidR="007B485D" w:rsidRPr="00727DFA" w14:paraId="7D56665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2B9ECD1"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7285" w:type="dxa"/>
            <w:tcBorders>
              <w:top w:val="single" w:sz="4" w:space="0" w:color="auto"/>
              <w:left w:val="single" w:sz="4" w:space="0" w:color="auto"/>
              <w:bottom w:val="single" w:sz="4" w:space="0" w:color="auto"/>
              <w:right w:val="single" w:sz="4" w:space="0" w:color="auto"/>
            </w:tcBorders>
            <w:hideMark/>
          </w:tcPr>
          <w:p w14:paraId="31BEBC9B" w14:textId="77777777" w:rsidR="007B485D" w:rsidRPr="00727DFA" w:rsidRDefault="007B485D" w:rsidP="002D6DD7">
            <w:pPr>
              <w:jc w:val="both"/>
              <w:rPr>
                <w:rFonts w:eastAsia="DengXian"/>
                <w:szCs w:val="24"/>
              </w:rPr>
            </w:pPr>
            <w:r w:rsidRPr="00727DFA">
              <w:rPr>
                <w:rFonts w:eastAsia="DengXian"/>
                <w:szCs w:val="24"/>
              </w:rPr>
              <w:t>Dark-coloured urine, jaundice, pale-coloured bowel movements, diabetes, nausea, vomiting, pain or tenderness, loss of appetite, tiredness, hypersensitivity reactions with fever, tiredness, muscle or joint pain, blisters or skin lesions, oral sores or ulcers, and conjunctivitis (redness or swelling of the eyes</w:t>
            </w:r>
          </w:p>
        </w:tc>
      </w:tr>
      <w:tr w:rsidR="007B485D" w:rsidRPr="00727DFA" w14:paraId="1B7BC9A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6A20FBE"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4242E5EF" w14:textId="77777777" w:rsidR="007B485D" w:rsidRPr="0063309C" w:rsidRDefault="007B485D" w:rsidP="002D6DD7">
            <w:pPr>
              <w:jc w:val="both"/>
              <w:rPr>
                <w:rFonts w:eastAsia="DengXian"/>
                <w:szCs w:val="24"/>
              </w:rPr>
            </w:pPr>
            <w:r w:rsidRPr="0063309C">
              <w:rPr>
                <w:rFonts w:eastAsia="DengXian"/>
                <w:szCs w:val="24"/>
              </w:rPr>
              <w:t>Hepatic impairment, nephrolithiasis, diabetes mellitus, pregnancy, breastfeeding</w:t>
            </w:r>
            <w:r>
              <w:rPr>
                <w:rFonts w:eastAsia="DengXian"/>
                <w:szCs w:val="24"/>
              </w:rPr>
              <w:t>.</w:t>
            </w:r>
          </w:p>
        </w:tc>
      </w:tr>
      <w:tr w:rsidR="007B485D" w:rsidRPr="00727DFA" w14:paraId="10C8255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6F4F97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2F134198"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4A4AD9BB"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694D01CC" w14:textId="77777777" w:rsidR="007B485D" w:rsidRPr="00727DFA" w:rsidRDefault="007B485D" w:rsidP="002D6DD7">
            <w:pPr>
              <w:jc w:val="both"/>
              <w:rPr>
                <w:rFonts w:eastAsia="DengXian"/>
                <w:szCs w:val="24"/>
              </w:rPr>
            </w:pPr>
            <w:r w:rsidRPr="00727DFA">
              <w:rPr>
                <w:rFonts w:eastAsia="DengXian"/>
                <w:b/>
                <w:bCs/>
                <w:szCs w:val="24"/>
              </w:rPr>
              <w:t>Dolutegravir</w:t>
            </w:r>
          </w:p>
        </w:tc>
      </w:tr>
      <w:tr w:rsidR="007B485D" w:rsidRPr="00727DFA" w14:paraId="1DB02DC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48FC6FB"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0AD1622E" w14:textId="77777777" w:rsidR="007B485D" w:rsidRPr="00727DFA" w:rsidRDefault="007B485D" w:rsidP="002D6DD7">
            <w:pPr>
              <w:jc w:val="both"/>
              <w:rPr>
                <w:rFonts w:eastAsia="DengXian"/>
                <w:szCs w:val="24"/>
              </w:rPr>
            </w:pPr>
            <w:r w:rsidRPr="00727DFA">
              <w:rPr>
                <w:rFonts w:eastAsia="DengXian"/>
                <w:szCs w:val="24"/>
              </w:rPr>
              <w:t xml:space="preserve">Integrase strand inhibitor, antiretroviral  </w:t>
            </w:r>
          </w:p>
        </w:tc>
      </w:tr>
      <w:tr w:rsidR="007B485D" w:rsidRPr="00727DFA" w14:paraId="184CF51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AD894B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31CEFD03" w14:textId="77777777" w:rsidR="007B485D" w:rsidRPr="00727DFA" w:rsidRDefault="007B485D" w:rsidP="002D6DD7">
            <w:pPr>
              <w:jc w:val="both"/>
              <w:rPr>
                <w:rFonts w:eastAsia="DengXian"/>
                <w:szCs w:val="24"/>
              </w:rPr>
            </w:pPr>
            <w:r w:rsidRPr="00727DFA">
              <w:rPr>
                <w:rFonts w:eastAsia="DengXian"/>
                <w:szCs w:val="24"/>
              </w:rPr>
              <w:t>Tablet: 50mg</w:t>
            </w:r>
          </w:p>
          <w:p w14:paraId="6CCD3A92" w14:textId="77777777" w:rsidR="007B485D" w:rsidRPr="00727DFA" w:rsidRDefault="007B485D" w:rsidP="002D6DD7">
            <w:pPr>
              <w:jc w:val="both"/>
              <w:rPr>
                <w:rFonts w:eastAsia="DengXian"/>
                <w:szCs w:val="24"/>
              </w:rPr>
            </w:pPr>
            <w:r w:rsidRPr="00727DFA">
              <w:rPr>
                <w:rFonts w:eastAsia="DengXian"/>
                <w:szCs w:val="24"/>
              </w:rPr>
              <w:t xml:space="preserve">Dispersible tablets: 10mg and 25 mg </w:t>
            </w:r>
          </w:p>
        </w:tc>
      </w:tr>
      <w:tr w:rsidR="007B485D" w:rsidRPr="00727DFA" w14:paraId="244440E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B643FF6" w14:textId="77777777" w:rsidR="007B485D" w:rsidRPr="00727DFA" w:rsidRDefault="007B485D" w:rsidP="002D6DD7">
            <w:pPr>
              <w:jc w:val="both"/>
              <w:rPr>
                <w:rFonts w:eastAsia="DengXian"/>
                <w:bCs/>
                <w:szCs w:val="24"/>
              </w:rPr>
            </w:pPr>
            <w:r w:rsidRPr="00B853DA">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2FF6A5D2" w14:textId="77777777" w:rsidR="007B485D" w:rsidRPr="00727DFA" w:rsidRDefault="007B485D" w:rsidP="002D6DD7">
            <w:pPr>
              <w:jc w:val="both"/>
              <w:rPr>
                <w:rFonts w:eastAsia="DengXian"/>
                <w:szCs w:val="24"/>
              </w:rPr>
            </w:pPr>
            <w:r w:rsidRPr="00727DFA">
              <w:rPr>
                <w:rFonts w:eastAsia="DengXian"/>
                <w:szCs w:val="24"/>
              </w:rPr>
              <w:t>Treatment of HIV infection, in combination with other antiretrovirals.</w:t>
            </w:r>
          </w:p>
        </w:tc>
      </w:tr>
      <w:tr w:rsidR="007B485D" w:rsidRPr="00727DFA" w14:paraId="3F7E6BD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979DE8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035B3611" w14:textId="77777777" w:rsidR="007B485D" w:rsidRPr="00727DFA" w:rsidRDefault="007B485D" w:rsidP="002D6DD7">
            <w:pPr>
              <w:jc w:val="both"/>
              <w:rPr>
                <w:rFonts w:eastAsia="DengXian"/>
                <w:szCs w:val="24"/>
              </w:rPr>
            </w:pPr>
            <w:r w:rsidRPr="00727DFA">
              <w:rPr>
                <w:rFonts w:eastAsia="DengXian"/>
                <w:b/>
                <w:szCs w:val="24"/>
              </w:rPr>
              <w:t>Adult and Child 12–17 years:</w:t>
            </w:r>
            <w:r w:rsidRPr="00727DFA">
              <w:rPr>
                <w:rFonts w:eastAsia="DengXian"/>
                <w:szCs w:val="24"/>
              </w:rPr>
              <w:t xml:space="preserve"> </w:t>
            </w:r>
          </w:p>
          <w:p w14:paraId="5D35ED29" w14:textId="77777777" w:rsidR="007B485D" w:rsidRPr="00727DFA" w:rsidRDefault="007B485D" w:rsidP="002D6DD7">
            <w:pPr>
              <w:jc w:val="both"/>
              <w:rPr>
                <w:rFonts w:eastAsia="DengXian"/>
                <w:szCs w:val="24"/>
              </w:rPr>
            </w:pPr>
            <w:r w:rsidRPr="00727DFA">
              <w:rPr>
                <w:rFonts w:eastAsia="DengXian"/>
                <w:szCs w:val="24"/>
              </w:rPr>
              <w:t>50 mg tablet once daily</w:t>
            </w:r>
          </w:p>
          <w:p w14:paraId="78D82691" w14:textId="77777777" w:rsidR="007B485D" w:rsidRPr="00727DFA" w:rsidRDefault="007B485D" w:rsidP="002D6DD7">
            <w:pPr>
              <w:jc w:val="both"/>
              <w:rPr>
                <w:rFonts w:eastAsia="DengXian"/>
                <w:b/>
                <w:szCs w:val="24"/>
              </w:rPr>
            </w:pPr>
            <w:r w:rsidRPr="00873AF2">
              <w:rPr>
                <w:rFonts w:eastAsia="DengXian"/>
                <w:b/>
                <w:bCs/>
                <w:szCs w:val="24"/>
              </w:rPr>
              <w:t>Child &gt;4weeks</w:t>
            </w:r>
            <w:r w:rsidRPr="00727DFA">
              <w:rPr>
                <w:rFonts w:eastAsia="DengXian"/>
                <w:b/>
                <w:szCs w:val="24"/>
              </w:rPr>
              <w:t>:</w:t>
            </w:r>
          </w:p>
          <w:p w14:paraId="174C7F5D" w14:textId="77777777" w:rsidR="007B485D" w:rsidRPr="00727DFA" w:rsidRDefault="007B485D" w:rsidP="002D6DD7">
            <w:pPr>
              <w:jc w:val="both"/>
              <w:rPr>
                <w:rFonts w:eastAsia="DengXian"/>
                <w:szCs w:val="24"/>
              </w:rPr>
            </w:pPr>
            <w:r w:rsidRPr="00727DFA">
              <w:rPr>
                <w:rFonts w:eastAsia="DengXian"/>
                <w:szCs w:val="24"/>
              </w:rPr>
              <w:t>Body weight 3-5.9kg: 5mg once daily</w:t>
            </w:r>
          </w:p>
          <w:p w14:paraId="6CBEE1D5" w14:textId="77777777" w:rsidR="007B485D" w:rsidRPr="00727DFA" w:rsidRDefault="007B485D" w:rsidP="002D6DD7">
            <w:pPr>
              <w:jc w:val="both"/>
              <w:rPr>
                <w:rFonts w:eastAsia="DengXian"/>
                <w:szCs w:val="24"/>
              </w:rPr>
            </w:pPr>
            <w:r w:rsidRPr="00727DFA">
              <w:rPr>
                <w:rFonts w:eastAsia="DengXian"/>
                <w:szCs w:val="24"/>
              </w:rPr>
              <w:t>Body weight 6-9.9kg: 15mg once daily</w:t>
            </w:r>
          </w:p>
          <w:p w14:paraId="71EA9A6B" w14:textId="77777777" w:rsidR="007B485D" w:rsidRPr="00727DFA" w:rsidRDefault="007B485D" w:rsidP="002D6DD7">
            <w:pPr>
              <w:jc w:val="both"/>
              <w:rPr>
                <w:rFonts w:eastAsia="DengXian"/>
                <w:szCs w:val="24"/>
              </w:rPr>
            </w:pPr>
            <w:r w:rsidRPr="00727DFA">
              <w:rPr>
                <w:rFonts w:eastAsia="DengXian"/>
                <w:szCs w:val="24"/>
              </w:rPr>
              <w:t>Body weight 10-13.9kg: 20mg once daily</w:t>
            </w:r>
          </w:p>
          <w:p w14:paraId="5032E664" w14:textId="77777777" w:rsidR="007B485D" w:rsidRPr="00727DFA" w:rsidRDefault="007B485D" w:rsidP="002D6DD7">
            <w:pPr>
              <w:jc w:val="both"/>
              <w:rPr>
                <w:rFonts w:eastAsia="DengXian"/>
                <w:szCs w:val="24"/>
              </w:rPr>
            </w:pPr>
            <w:r w:rsidRPr="00727DFA">
              <w:rPr>
                <w:rFonts w:eastAsia="DengXian"/>
                <w:szCs w:val="24"/>
              </w:rPr>
              <w:t>Body weight 14-19.9kg: 25mg once daily</w:t>
            </w:r>
          </w:p>
          <w:p w14:paraId="4BBD7D58" w14:textId="77777777" w:rsidR="007B485D" w:rsidRPr="00727DFA" w:rsidRDefault="007B485D" w:rsidP="002D6DD7">
            <w:pPr>
              <w:jc w:val="both"/>
              <w:rPr>
                <w:rFonts w:eastAsia="DengXian"/>
                <w:szCs w:val="24"/>
              </w:rPr>
            </w:pPr>
            <w:r w:rsidRPr="00727DFA">
              <w:rPr>
                <w:rFonts w:eastAsia="DengXian"/>
                <w:szCs w:val="24"/>
              </w:rPr>
              <w:t>Body weight &gt;20kg: 50mg once daily</w:t>
            </w:r>
          </w:p>
        </w:tc>
      </w:tr>
      <w:tr w:rsidR="007B485D" w:rsidRPr="00727DFA" w14:paraId="7F3B0EC8"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FFBECE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2EBC0C92" w14:textId="77777777" w:rsidR="007B485D" w:rsidRPr="00727DFA" w:rsidRDefault="007B485D" w:rsidP="002D6DD7">
            <w:pPr>
              <w:jc w:val="both"/>
              <w:rPr>
                <w:rFonts w:eastAsia="DengXian"/>
                <w:szCs w:val="24"/>
              </w:rPr>
            </w:pPr>
            <w:r w:rsidRPr="00727DFA">
              <w:rPr>
                <w:rFonts w:eastAsia="DengXian"/>
                <w:szCs w:val="24"/>
              </w:rPr>
              <w:t>Concomitant use with carbamazepine, efavirenz, etravirine, fosphenytoin, phenobarbital, phenytoin, primidone, nevirapine, oxcarbazepine, St John’s wort, rifampicin, tipranavir</w:t>
            </w:r>
            <w:r>
              <w:rPr>
                <w:rFonts w:eastAsia="DengXian"/>
                <w:szCs w:val="24"/>
              </w:rPr>
              <w:t>.</w:t>
            </w:r>
          </w:p>
        </w:tc>
      </w:tr>
      <w:tr w:rsidR="007B485D" w:rsidRPr="00727DFA" w14:paraId="7F7B5FD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7B31561"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4C47F47E" w14:textId="77777777" w:rsidR="007B485D" w:rsidRPr="00727DFA" w:rsidRDefault="007B485D" w:rsidP="002D6DD7">
            <w:pPr>
              <w:jc w:val="both"/>
              <w:rPr>
                <w:rFonts w:eastAsia="DengXian"/>
                <w:szCs w:val="24"/>
              </w:rPr>
            </w:pPr>
            <w:r w:rsidRPr="00727DFA">
              <w:rPr>
                <w:rFonts w:eastAsia="DengXian"/>
                <w:szCs w:val="24"/>
              </w:rPr>
              <w:t>Magnesium/aluminium-containing antacid, iron and calcium supplements, multivitamin,</w:t>
            </w:r>
            <w:r>
              <w:rPr>
                <w:rFonts w:eastAsia="DengXian"/>
                <w:szCs w:val="24"/>
              </w:rPr>
              <w:t xml:space="preserve"> </w:t>
            </w:r>
            <w:r w:rsidRPr="0063309C">
              <w:rPr>
                <w:rFonts w:eastAsia="DengXian"/>
                <w:szCs w:val="24"/>
              </w:rPr>
              <w:t>e</w:t>
            </w:r>
            <w:r w:rsidRPr="00873AF2">
              <w:rPr>
                <w:rFonts w:eastAsia="DengXian"/>
                <w:szCs w:val="24"/>
              </w:rPr>
              <w:t>favirenz,</w:t>
            </w:r>
            <w:r w:rsidRPr="00727DFA">
              <w:rPr>
                <w:rFonts w:eastAsia="DengXian"/>
                <w:szCs w:val="24"/>
              </w:rPr>
              <w:t xml:space="preserve"> CYP</w:t>
            </w:r>
            <w:r w:rsidRPr="00727DFA">
              <w:rPr>
                <w:rFonts w:eastAsia="DengXian"/>
                <w:szCs w:val="24"/>
                <w:vertAlign w:val="subscript"/>
              </w:rPr>
              <w:t>3A4</w:t>
            </w:r>
            <w:r w:rsidRPr="00727DFA">
              <w:rPr>
                <w:rFonts w:eastAsia="DengXian"/>
                <w:szCs w:val="24"/>
              </w:rPr>
              <w:t xml:space="preserve"> inducers (e.g. rifampicin, carbamazepine)</w:t>
            </w:r>
            <w:r>
              <w:rPr>
                <w:rFonts w:eastAsia="DengXian"/>
                <w:szCs w:val="24"/>
              </w:rPr>
              <w:t>.</w:t>
            </w:r>
            <w:r w:rsidRPr="00727DFA">
              <w:rPr>
                <w:rFonts w:eastAsia="DengXian"/>
                <w:szCs w:val="24"/>
              </w:rPr>
              <w:t xml:space="preserve"> </w:t>
            </w:r>
          </w:p>
        </w:tc>
      </w:tr>
      <w:tr w:rsidR="007B485D" w:rsidRPr="00727DFA" w14:paraId="6A97922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B187B52"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7285" w:type="dxa"/>
            <w:tcBorders>
              <w:top w:val="single" w:sz="4" w:space="0" w:color="auto"/>
              <w:left w:val="single" w:sz="4" w:space="0" w:color="auto"/>
              <w:bottom w:val="single" w:sz="4" w:space="0" w:color="auto"/>
              <w:right w:val="single" w:sz="4" w:space="0" w:color="auto"/>
            </w:tcBorders>
            <w:hideMark/>
          </w:tcPr>
          <w:p w14:paraId="353FC5E4" w14:textId="77777777" w:rsidR="007B485D" w:rsidRPr="00727DFA" w:rsidRDefault="007B485D" w:rsidP="002D6DD7">
            <w:pPr>
              <w:jc w:val="both"/>
              <w:rPr>
                <w:rFonts w:eastAsia="DengXian"/>
                <w:szCs w:val="24"/>
              </w:rPr>
            </w:pPr>
            <w:r w:rsidRPr="00727DFA">
              <w:rPr>
                <w:rFonts w:eastAsia="DengXian"/>
                <w:szCs w:val="24"/>
              </w:rPr>
              <w:t>Depression, diarrhea, dizziness, fatigue, flatulence, GI discomfort, headache, nausea, skin reactions, sleep disorders, vomiting, arthralgia, hepatitis, hypersensitivity reactions, immune reconstitution inflammatory syndrome, myalgia, suicidal tendencies</w:t>
            </w:r>
            <w:r>
              <w:rPr>
                <w:rFonts w:eastAsia="DengXian"/>
                <w:szCs w:val="24"/>
              </w:rPr>
              <w:t xml:space="preserve">, </w:t>
            </w:r>
            <w:r w:rsidRPr="00873AF2">
              <w:rPr>
                <w:rFonts w:eastAsia="DengXian"/>
                <w:szCs w:val="24"/>
              </w:rPr>
              <w:t>hyperglycemia, increased cholesterol</w:t>
            </w:r>
            <w:r>
              <w:rPr>
                <w:rFonts w:eastAsia="DengXian"/>
                <w:szCs w:val="24"/>
              </w:rPr>
              <w:t xml:space="preserve">, </w:t>
            </w:r>
            <w:r w:rsidRPr="00873AF2">
              <w:rPr>
                <w:rFonts w:eastAsia="DengXian"/>
                <w:szCs w:val="24"/>
              </w:rPr>
              <w:t>triglycerides</w:t>
            </w:r>
            <w:r>
              <w:rPr>
                <w:rFonts w:eastAsia="DengXian"/>
                <w:szCs w:val="24"/>
              </w:rPr>
              <w:t>.</w:t>
            </w:r>
          </w:p>
        </w:tc>
      </w:tr>
      <w:tr w:rsidR="007B485D" w:rsidRPr="00727DFA" w14:paraId="1CFF066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3CE78D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32FFDE47" w14:textId="77777777" w:rsidR="007B485D" w:rsidRPr="00727DFA" w:rsidRDefault="007B485D" w:rsidP="002D6DD7">
            <w:pPr>
              <w:jc w:val="both"/>
              <w:rPr>
                <w:rFonts w:eastAsia="DengXian"/>
                <w:szCs w:val="24"/>
              </w:rPr>
            </w:pPr>
            <w:r w:rsidRPr="00727DFA">
              <w:rPr>
                <w:rFonts w:eastAsia="DengXian"/>
                <w:szCs w:val="24"/>
              </w:rPr>
              <w:t>Hepatic impairment, pregnancy</w:t>
            </w:r>
            <w:r>
              <w:rPr>
                <w:rFonts w:eastAsia="DengXian"/>
                <w:szCs w:val="24"/>
              </w:rPr>
              <w:t xml:space="preserve">, </w:t>
            </w:r>
            <w:r w:rsidRPr="00727DFA">
              <w:rPr>
                <w:rFonts w:eastAsia="DengXian"/>
                <w:szCs w:val="24"/>
              </w:rPr>
              <w:t>breast feeding</w:t>
            </w:r>
            <w:r>
              <w:rPr>
                <w:rFonts w:eastAsia="DengXian"/>
                <w:szCs w:val="24"/>
              </w:rPr>
              <w:t>.</w:t>
            </w:r>
          </w:p>
        </w:tc>
      </w:tr>
      <w:tr w:rsidR="007B485D" w:rsidRPr="00727DFA" w14:paraId="2B434EC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EA5C1F5"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380ECFB6" w14:textId="77777777" w:rsidR="007B485D" w:rsidRPr="00727DFA" w:rsidRDefault="007B485D" w:rsidP="002D6DD7">
            <w:pPr>
              <w:jc w:val="both"/>
              <w:rPr>
                <w:rFonts w:eastAsia="DengXian"/>
                <w:szCs w:val="24"/>
              </w:rPr>
            </w:pPr>
            <w:r w:rsidRPr="00727DFA">
              <w:rPr>
                <w:rFonts w:eastAsia="DengXian"/>
                <w:szCs w:val="24"/>
              </w:rPr>
              <w:t>Store below 30°C</w:t>
            </w:r>
          </w:p>
        </w:tc>
      </w:tr>
      <w:tr w:rsidR="007B485D" w:rsidRPr="00727DFA" w14:paraId="1053665D"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503159EB" w14:textId="77777777" w:rsidR="007B485D" w:rsidRPr="00727DFA" w:rsidRDefault="007B485D" w:rsidP="002D6DD7">
            <w:pPr>
              <w:jc w:val="both"/>
              <w:rPr>
                <w:rFonts w:eastAsia="DengXian"/>
                <w:b/>
                <w:bCs/>
                <w:szCs w:val="24"/>
              </w:rPr>
            </w:pPr>
            <w:r w:rsidRPr="00727DFA">
              <w:rPr>
                <w:rFonts w:eastAsia="DengXian"/>
                <w:b/>
                <w:bCs/>
                <w:szCs w:val="24"/>
              </w:rPr>
              <w:t xml:space="preserve">Dolutegravir + </w:t>
            </w:r>
            <w:r>
              <w:rPr>
                <w:rFonts w:eastAsia="DengXian"/>
                <w:b/>
                <w:bCs/>
                <w:szCs w:val="24"/>
              </w:rPr>
              <w:t>l</w:t>
            </w:r>
            <w:r w:rsidRPr="00727DFA">
              <w:rPr>
                <w:rFonts w:eastAsia="DengXian"/>
                <w:b/>
                <w:bCs/>
                <w:szCs w:val="24"/>
              </w:rPr>
              <w:t xml:space="preserve">amivudine + </w:t>
            </w:r>
            <w:r>
              <w:rPr>
                <w:rFonts w:eastAsia="DengXian"/>
                <w:b/>
                <w:bCs/>
                <w:szCs w:val="24"/>
              </w:rPr>
              <w:t>t</w:t>
            </w:r>
            <w:r w:rsidRPr="00727DFA">
              <w:rPr>
                <w:rFonts w:eastAsia="DengXian"/>
                <w:b/>
                <w:bCs/>
                <w:szCs w:val="24"/>
              </w:rPr>
              <w:t>enofovir</w:t>
            </w:r>
          </w:p>
        </w:tc>
      </w:tr>
      <w:tr w:rsidR="007B485D" w:rsidRPr="00727DFA" w14:paraId="1CC30B1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A8AB70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669C7F0D" w14:textId="77777777" w:rsidR="007B485D" w:rsidRPr="00727DFA" w:rsidRDefault="007B485D" w:rsidP="002D6DD7">
            <w:pPr>
              <w:jc w:val="both"/>
              <w:rPr>
                <w:rFonts w:eastAsia="DengXian"/>
                <w:szCs w:val="24"/>
              </w:rPr>
            </w:pPr>
            <w:r w:rsidRPr="00727DFA">
              <w:rPr>
                <w:rFonts w:eastAsia="DengXian"/>
                <w:szCs w:val="24"/>
              </w:rPr>
              <w:t xml:space="preserve">Antiretroviral drug combinations </w:t>
            </w:r>
          </w:p>
        </w:tc>
      </w:tr>
      <w:tr w:rsidR="007B485D" w:rsidRPr="00727DFA" w14:paraId="1F3B63D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18C298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7921C2CE" w14:textId="77777777" w:rsidR="007B485D" w:rsidRPr="00727DFA" w:rsidRDefault="007B485D" w:rsidP="002D6DD7">
            <w:pPr>
              <w:jc w:val="both"/>
              <w:rPr>
                <w:rFonts w:eastAsia="DengXian"/>
                <w:szCs w:val="24"/>
              </w:rPr>
            </w:pPr>
            <w:r w:rsidRPr="00727DFA">
              <w:rPr>
                <w:rFonts w:eastAsia="DengXian"/>
                <w:szCs w:val="24"/>
              </w:rPr>
              <w:t>Tablets, 50mg + 300mg + 300mg</w:t>
            </w:r>
          </w:p>
        </w:tc>
      </w:tr>
      <w:tr w:rsidR="007B485D" w:rsidRPr="00727DFA" w14:paraId="4AB3030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4719F4C" w14:textId="77777777" w:rsidR="007B485D" w:rsidRPr="00727DFA" w:rsidRDefault="007B485D" w:rsidP="002D6DD7">
            <w:pPr>
              <w:jc w:val="both"/>
              <w:rPr>
                <w:rFonts w:eastAsia="DengXian"/>
                <w:bCs/>
                <w:szCs w:val="24"/>
              </w:rPr>
            </w:pPr>
            <w:r w:rsidRPr="00727DFA">
              <w:rPr>
                <w:rFonts w:eastAsia="DengXian"/>
                <w:b/>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55F8F3EF" w14:textId="77777777" w:rsidR="007B485D" w:rsidRPr="00727DFA" w:rsidRDefault="007B485D" w:rsidP="002D6DD7">
            <w:pPr>
              <w:jc w:val="both"/>
              <w:rPr>
                <w:rFonts w:eastAsia="DengXian"/>
                <w:szCs w:val="24"/>
              </w:rPr>
            </w:pPr>
            <w:r w:rsidRPr="00727DFA">
              <w:rPr>
                <w:rFonts w:eastAsia="DengXian"/>
                <w:szCs w:val="24"/>
              </w:rPr>
              <w:t>Treatment of HIV-1 infection</w:t>
            </w:r>
          </w:p>
        </w:tc>
      </w:tr>
      <w:tr w:rsidR="007B485D" w:rsidRPr="00727DFA" w14:paraId="3CBF72F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088BA6D"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2864C3FC" w14:textId="77777777" w:rsidR="007B485D" w:rsidRPr="00727DFA" w:rsidRDefault="007B485D" w:rsidP="002D6DD7">
            <w:pPr>
              <w:jc w:val="both"/>
              <w:rPr>
                <w:rFonts w:eastAsia="DengXian"/>
                <w:szCs w:val="24"/>
              </w:rPr>
            </w:pPr>
            <w:r w:rsidRPr="00727DFA">
              <w:rPr>
                <w:rFonts w:eastAsia="DengXian"/>
                <w:szCs w:val="24"/>
              </w:rPr>
              <w:t xml:space="preserve"> Adult and children </w:t>
            </w:r>
            <m:oMath>
              <m:r>
                <w:rPr>
                  <w:rFonts w:ascii="Cambria Math" w:eastAsia="DengXian" w:hAnsi="Cambria Math"/>
                  <w:szCs w:val="24"/>
                </w:rPr>
                <m:t>≥</m:t>
              </m:r>
            </m:oMath>
            <w:r w:rsidRPr="00727DFA">
              <w:rPr>
                <w:rFonts w:eastAsia="DengXian"/>
                <w:szCs w:val="24"/>
              </w:rPr>
              <w:t xml:space="preserve"> 30Kg: One tablet daily</w:t>
            </w:r>
          </w:p>
        </w:tc>
      </w:tr>
      <w:tr w:rsidR="007B485D" w:rsidRPr="00727DFA" w14:paraId="6BC6E5A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7AA2E1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76B729AE"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5043DCB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8662C9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12C95162"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7FECDE4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6782B1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5B199819"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6699744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D176863"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460C72B5"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42BCCAC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80F930D"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788934D5"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58E7F0BB"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5FBC6127" w14:textId="77777777" w:rsidR="007B485D" w:rsidRPr="00727DFA" w:rsidRDefault="007B485D" w:rsidP="002D6DD7">
            <w:pPr>
              <w:jc w:val="both"/>
              <w:rPr>
                <w:rFonts w:eastAsia="DengXian"/>
                <w:b/>
                <w:bCs/>
                <w:szCs w:val="24"/>
              </w:rPr>
            </w:pPr>
            <w:r w:rsidRPr="00727DFA">
              <w:rPr>
                <w:rFonts w:eastAsia="DengXian"/>
                <w:b/>
                <w:bCs/>
                <w:szCs w:val="24"/>
              </w:rPr>
              <w:t>Efavirenz</w:t>
            </w:r>
          </w:p>
        </w:tc>
      </w:tr>
      <w:tr w:rsidR="007B485D" w:rsidRPr="00727DFA" w14:paraId="27EFAB4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50B0E6C"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243532EE" w14:textId="77777777" w:rsidR="007B485D" w:rsidRPr="00727DFA" w:rsidRDefault="007B485D" w:rsidP="002D6DD7">
            <w:pPr>
              <w:jc w:val="both"/>
              <w:rPr>
                <w:rFonts w:eastAsia="DengXian"/>
                <w:szCs w:val="24"/>
              </w:rPr>
            </w:pPr>
            <w:r w:rsidRPr="00727DFA">
              <w:rPr>
                <w:rFonts w:eastAsia="DengXian"/>
                <w:szCs w:val="24"/>
              </w:rPr>
              <w:t xml:space="preserve">Non-Nucleoside reverse transcriptase inhibitor, antiretroviral </w:t>
            </w:r>
          </w:p>
        </w:tc>
      </w:tr>
      <w:tr w:rsidR="007B485D" w:rsidRPr="00810924" w14:paraId="4920EFC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08B96D2"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7625B4B4" w14:textId="77777777" w:rsidR="007B485D" w:rsidRPr="00727DFA" w:rsidRDefault="007B485D" w:rsidP="002D6DD7">
            <w:pPr>
              <w:jc w:val="both"/>
              <w:rPr>
                <w:rFonts w:eastAsia="DengXian"/>
                <w:szCs w:val="24"/>
                <w:lang w:val="nb-NO"/>
              </w:rPr>
            </w:pPr>
            <w:r w:rsidRPr="00727DFA">
              <w:rPr>
                <w:rFonts w:eastAsia="DengXian"/>
                <w:szCs w:val="24"/>
                <w:lang w:val="nb-NO"/>
              </w:rPr>
              <w:t>Capsule</w:t>
            </w:r>
            <w:r>
              <w:rPr>
                <w:rFonts w:eastAsia="DengXian"/>
                <w:szCs w:val="24"/>
                <w:lang w:val="nb-NO"/>
              </w:rPr>
              <w:t xml:space="preserve">: </w:t>
            </w:r>
            <w:r w:rsidRPr="00727DFA">
              <w:rPr>
                <w:rFonts w:eastAsia="DengXian"/>
                <w:szCs w:val="24"/>
                <w:lang w:val="nb-NO"/>
              </w:rPr>
              <w:t>50mg, 100mg or 200mg</w:t>
            </w:r>
          </w:p>
          <w:p w14:paraId="1F9242FF" w14:textId="77777777" w:rsidR="007B485D" w:rsidRPr="00727DFA" w:rsidRDefault="007B485D" w:rsidP="002D6DD7">
            <w:pPr>
              <w:jc w:val="both"/>
              <w:rPr>
                <w:rFonts w:eastAsia="DengXian"/>
                <w:szCs w:val="24"/>
                <w:lang w:val="nb-NO"/>
              </w:rPr>
            </w:pPr>
            <w:r w:rsidRPr="00727DFA">
              <w:rPr>
                <w:rFonts w:eastAsia="DengXian"/>
                <w:szCs w:val="24"/>
                <w:lang w:val="nb-NO"/>
              </w:rPr>
              <w:t>Tablet: 200mg (dispersible), 600mg</w:t>
            </w:r>
          </w:p>
        </w:tc>
      </w:tr>
      <w:tr w:rsidR="007B485D" w:rsidRPr="00727DFA" w14:paraId="587037C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F9C6A09" w14:textId="77777777" w:rsidR="007B485D" w:rsidRPr="00727DFA" w:rsidRDefault="007B485D" w:rsidP="002D6DD7">
            <w:pPr>
              <w:jc w:val="both"/>
              <w:rPr>
                <w:rFonts w:eastAsia="DengXian"/>
                <w:b/>
                <w:szCs w:val="24"/>
              </w:rPr>
            </w:pPr>
            <w:r w:rsidRPr="00727DFA">
              <w:rPr>
                <w:rFonts w:eastAsia="DengXian"/>
                <w:b/>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7E9C9795" w14:textId="77777777" w:rsidR="007B485D" w:rsidRPr="00727DFA" w:rsidRDefault="007B485D" w:rsidP="002D6DD7">
            <w:pPr>
              <w:jc w:val="both"/>
              <w:rPr>
                <w:rFonts w:eastAsia="DengXian"/>
                <w:szCs w:val="24"/>
              </w:rPr>
            </w:pPr>
            <w:r w:rsidRPr="00727DFA">
              <w:rPr>
                <w:rFonts w:eastAsia="DengXian"/>
                <w:szCs w:val="24"/>
              </w:rPr>
              <w:t>Treatment of HIV infection, in combination with other antiretrovirals.</w:t>
            </w:r>
          </w:p>
        </w:tc>
      </w:tr>
      <w:tr w:rsidR="007B485D" w:rsidRPr="00727DFA" w14:paraId="235D19E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41972E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3F5B3542" w14:textId="77777777" w:rsidR="007B485D" w:rsidRPr="00727DFA" w:rsidRDefault="007B485D" w:rsidP="002D6DD7">
            <w:pPr>
              <w:jc w:val="both"/>
              <w:rPr>
                <w:rFonts w:eastAsia="DengXian"/>
                <w:szCs w:val="24"/>
              </w:rPr>
            </w:pPr>
            <w:r w:rsidRPr="00727DFA">
              <w:rPr>
                <w:rFonts w:eastAsia="DengXian"/>
                <w:b/>
                <w:szCs w:val="24"/>
              </w:rPr>
              <w:t xml:space="preserve">Adult and Child  </w:t>
            </w:r>
            <m:oMath>
              <m:r>
                <m:rPr>
                  <m:sty m:val="bi"/>
                </m:rPr>
                <w:rPr>
                  <w:rFonts w:ascii="Cambria Math" w:eastAsia="DengXian" w:hAnsi="Cambria Math"/>
                  <w:szCs w:val="24"/>
                </w:rPr>
                <m:t>≥</m:t>
              </m:r>
            </m:oMath>
            <w:r w:rsidRPr="00727DFA">
              <w:rPr>
                <w:rFonts w:eastAsia="DengXian"/>
                <w:b/>
                <w:szCs w:val="24"/>
              </w:rPr>
              <w:t xml:space="preserve"> 35 kg</w:t>
            </w:r>
            <w:r w:rsidRPr="00727DFA">
              <w:rPr>
                <w:rFonts w:eastAsia="DengXian"/>
                <w:szCs w:val="24"/>
              </w:rPr>
              <w:t>: 600 mg once daily</w:t>
            </w:r>
          </w:p>
          <w:p w14:paraId="2916F72D" w14:textId="77777777" w:rsidR="007B485D" w:rsidRPr="00727DFA" w:rsidRDefault="007B485D" w:rsidP="002D6DD7">
            <w:pPr>
              <w:jc w:val="both"/>
              <w:rPr>
                <w:rFonts w:eastAsia="DengXian"/>
                <w:b/>
                <w:szCs w:val="24"/>
              </w:rPr>
            </w:pPr>
            <w:r w:rsidRPr="00727DFA">
              <w:rPr>
                <w:rFonts w:eastAsia="DengXian"/>
                <w:b/>
                <w:szCs w:val="24"/>
              </w:rPr>
              <w:t xml:space="preserve">Pediatrics </w:t>
            </w:r>
          </w:p>
          <w:p w14:paraId="711536C9" w14:textId="77777777" w:rsidR="007B485D" w:rsidRPr="00727DFA" w:rsidRDefault="007B485D" w:rsidP="002D6DD7">
            <w:pPr>
              <w:jc w:val="both"/>
              <w:rPr>
                <w:rFonts w:eastAsia="DengXian"/>
                <w:szCs w:val="24"/>
              </w:rPr>
            </w:pPr>
            <w:r w:rsidRPr="00727DFA">
              <w:rPr>
                <w:rFonts w:eastAsia="DengXian"/>
                <w:szCs w:val="24"/>
              </w:rPr>
              <w:t xml:space="preserve">Body weight (10 – 13.9 kg):  200 mg once daily </w:t>
            </w:r>
          </w:p>
          <w:p w14:paraId="55E3BB1F" w14:textId="77777777" w:rsidR="007B485D" w:rsidRPr="00727DFA" w:rsidRDefault="007B485D" w:rsidP="002D6DD7">
            <w:pPr>
              <w:jc w:val="both"/>
              <w:rPr>
                <w:rFonts w:eastAsia="DengXian"/>
                <w:szCs w:val="24"/>
              </w:rPr>
            </w:pPr>
            <w:r w:rsidRPr="00727DFA">
              <w:rPr>
                <w:rFonts w:eastAsia="DengXian"/>
                <w:szCs w:val="24"/>
              </w:rPr>
              <w:t xml:space="preserve">Body weight (14 – 24.9 kg): 300mg once daily </w:t>
            </w:r>
          </w:p>
          <w:p w14:paraId="1C8E8914" w14:textId="77777777" w:rsidR="007B485D" w:rsidRPr="00727DFA" w:rsidRDefault="007B485D" w:rsidP="002D6DD7">
            <w:pPr>
              <w:jc w:val="both"/>
              <w:rPr>
                <w:rFonts w:eastAsia="DengXian"/>
                <w:szCs w:val="24"/>
              </w:rPr>
            </w:pPr>
            <w:r w:rsidRPr="00727DFA">
              <w:rPr>
                <w:rFonts w:eastAsia="DengXian"/>
                <w:szCs w:val="24"/>
              </w:rPr>
              <w:t>Body weight (25 – 34.9 kg): 400 mg once daily</w:t>
            </w:r>
          </w:p>
          <w:p w14:paraId="232D7E90" w14:textId="77777777" w:rsidR="007B485D" w:rsidRPr="00727DFA" w:rsidRDefault="007B485D" w:rsidP="002D6DD7">
            <w:pPr>
              <w:jc w:val="both"/>
              <w:rPr>
                <w:rFonts w:eastAsia="DengXian"/>
                <w:szCs w:val="24"/>
              </w:rPr>
            </w:pPr>
            <w:r w:rsidRPr="00727DFA">
              <w:rPr>
                <w:rFonts w:eastAsia="DengXian"/>
                <w:b/>
                <w:szCs w:val="24"/>
              </w:rPr>
              <w:lastRenderedPageBreak/>
              <w:t>Note:</w:t>
            </w:r>
            <w:r w:rsidRPr="00727DFA">
              <w:rPr>
                <w:rFonts w:eastAsia="DengXian"/>
                <w:szCs w:val="24"/>
              </w:rPr>
              <w:t xml:space="preserve"> </w:t>
            </w:r>
            <w:r w:rsidRPr="00873AF2">
              <w:rPr>
                <w:rFonts w:eastAsia="DengXian"/>
                <w:i/>
                <w:iCs/>
                <w:szCs w:val="24"/>
              </w:rPr>
              <w:t>Efavirenz is not recommended for children under 3 years or under 13kg.</w:t>
            </w:r>
          </w:p>
        </w:tc>
      </w:tr>
      <w:tr w:rsidR="007B485D" w:rsidRPr="00727DFA" w14:paraId="258D116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5B87B1B"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515784C3" w14:textId="77777777" w:rsidR="007B485D" w:rsidRPr="00727DFA" w:rsidRDefault="007B485D" w:rsidP="002D6DD7">
            <w:pPr>
              <w:jc w:val="both"/>
              <w:rPr>
                <w:rFonts w:eastAsia="DengXian"/>
                <w:szCs w:val="24"/>
              </w:rPr>
            </w:pPr>
            <w:r w:rsidRPr="00727DFA">
              <w:rPr>
                <w:rFonts w:eastAsia="DengXian"/>
                <w:szCs w:val="24"/>
              </w:rPr>
              <w:t>Hypersensitivity to efavirenz</w:t>
            </w:r>
            <w:r>
              <w:rPr>
                <w:rFonts w:eastAsia="DengXian"/>
                <w:szCs w:val="24"/>
              </w:rPr>
              <w:t>.</w:t>
            </w:r>
            <w:r w:rsidRPr="00727DFA">
              <w:rPr>
                <w:rFonts w:eastAsia="DengXian"/>
                <w:szCs w:val="24"/>
              </w:rPr>
              <w:t xml:space="preserve"> </w:t>
            </w:r>
          </w:p>
        </w:tc>
      </w:tr>
      <w:tr w:rsidR="007B485D" w:rsidRPr="00727DFA" w14:paraId="36BF128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FE1206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6AA467DB" w14:textId="77777777" w:rsidR="007B485D" w:rsidRDefault="007B485D" w:rsidP="002D6DD7">
            <w:pPr>
              <w:jc w:val="both"/>
              <w:rPr>
                <w:rFonts w:eastAsia="DengXian"/>
                <w:szCs w:val="24"/>
              </w:rPr>
            </w:pPr>
            <w:r w:rsidRPr="00727DFA">
              <w:rPr>
                <w:rFonts w:eastAsia="DengXian"/>
                <w:szCs w:val="24"/>
              </w:rPr>
              <w:t>Cisapride, midazolam, triazolam, ergot alkaloids, terfenadine, rifampicin, phenytoin, carbamazepine, phenobarbital, warfarin, protease inhibitors, oral contraceptives</w:t>
            </w:r>
            <w:r w:rsidRPr="0063309C">
              <w:rPr>
                <w:rFonts w:eastAsia="DengXian"/>
                <w:szCs w:val="24"/>
              </w:rPr>
              <w:t>,</w:t>
            </w:r>
            <w:r w:rsidRPr="00873AF2">
              <w:rPr>
                <w:rFonts w:eastAsia="DengXian"/>
                <w:szCs w:val="24"/>
              </w:rPr>
              <w:t xml:space="preserve"> artemether, artemether/lumefantrine, atazanavir, azithromycin, bedaquiline, bromocriptine, carvidelol, chloroquine, clopidogrel, doltugravir, itraconazole, ondansetron, </w:t>
            </w:r>
            <w:r w:rsidRPr="00570CEE">
              <w:rPr>
                <w:rFonts w:eastAsia="DengXian"/>
                <w:szCs w:val="24"/>
              </w:rPr>
              <w:t>pentamidine, praziquentil</w:t>
            </w:r>
            <w:r w:rsidRPr="00873AF2">
              <w:rPr>
                <w:rFonts w:eastAsia="DengXian"/>
                <w:szCs w:val="24"/>
              </w:rPr>
              <w:t>, risperidone, sofosbuvir/velpatasvir</w:t>
            </w:r>
          </w:p>
          <w:p w14:paraId="403119FF" w14:textId="77777777" w:rsidR="007B485D" w:rsidRPr="00727DFA" w:rsidRDefault="007B485D" w:rsidP="002D6DD7">
            <w:pPr>
              <w:jc w:val="both"/>
              <w:rPr>
                <w:rFonts w:eastAsia="DengXian"/>
                <w:szCs w:val="24"/>
              </w:rPr>
            </w:pPr>
            <w:r w:rsidRPr="00873AF2">
              <w:rPr>
                <w:rFonts w:eastAsia="DengXian"/>
                <w:b/>
                <w:bCs/>
                <w:szCs w:val="24"/>
              </w:rPr>
              <w:t>Note:</w:t>
            </w:r>
            <w:r>
              <w:rPr>
                <w:rFonts w:eastAsia="DengXian"/>
                <w:szCs w:val="24"/>
              </w:rPr>
              <w:t xml:space="preserve"> </w:t>
            </w:r>
            <w:r w:rsidRPr="00873AF2">
              <w:rPr>
                <w:rFonts w:eastAsia="DengXian"/>
                <w:i/>
                <w:iCs/>
                <w:szCs w:val="24"/>
              </w:rPr>
              <w:t>Efavirenz may either induce or inhibit metabolism of other hepatically metabolized drugs.</w:t>
            </w:r>
          </w:p>
        </w:tc>
      </w:tr>
      <w:tr w:rsidR="007B485D" w:rsidRPr="00727DFA" w14:paraId="165303B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B364BB6"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4D036553" w14:textId="77777777" w:rsidR="007B485D" w:rsidRPr="00727DFA" w:rsidRDefault="007B485D" w:rsidP="002D6DD7">
            <w:pPr>
              <w:jc w:val="both"/>
              <w:rPr>
                <w:rFonts w:eastAsia="DengXian"/>
                <w:szCs w:val="24"/>
              </w:rPr>
            </w:pPr>
            <w:r w:rsidRPr="00727DFA">
              <w:rPr>
                <w:rFonts w:eastAsia="DengXian"/>
                <w:szCs w:val="24"/>
              </w:rPr>
              <w:t>CNS side effects</w:t>
            </w:r>
            <w:r>
              <w:rPr>
                <w:rFonts w:eastAsia="DengXian"/>
                <w:szCs w:val="24"/>
              </w:rPr>
              <w:t xml:space="preserve"> (</w:t>
            </w:r>
            <w:r w:rsidRPr="00727DFA">
              <w:rPr>
                <w:rFonts w:eastAsia="DengXian"/>
                <w:szCs w:val="24"/>
              </w:rPr>
              <w:t>dizziness, impaired concentration, dysphoria, vivid or disturbing dreams, and insomnia</w:t>
            </w:r>
            <w:r>
              <w:rPr>
                <w:rFonts w:eastAsia="DengXian"/>
                <w:szCs w:val="24"/>
              </w:rPr>
              <w:t>), p</w:t>
            </w:r>
            <w:r w:rsidRPr="00727DFA">
              <w:rPr>
                <w:rFonts w:eastAsia="DengXian"/>
                <w:szCs w:val="24"/>
              </w:rPr>
              <w:t>sychiatric side effects</w:t>
            </w:r>
            <w:r>
              <w:rPr>
                <w:rFonts w:eastAsia="DengXian"/>
                <w:szCs w:val="24"/>
              </w:rPr>
              <w:t xml:space="preserve"> (anxiety, </w:t>
            </w:r>
            <w:r w:rsidRPr="00727DFA">
              <w:rPr>
                <w:rFonts w:eastAsia="DengXian"/>
                <w:szCs w:val="24"/>
              </w:rPr>
              <w:t>depression, hallucinations, and/or mania</w:t>
            </w:r>
            <w:r>
              <w:rPr>
                <w:rFonts w:eastAsia="DengXian"/>
                <w:szCs w:val="24"/>
              </w:rPr>
              <w:t>), r</w:t>
            </w:r>
            <w:r w:rsidRPr="00727DFA">
              <w:rPr>
                <w:rFonts w:eastAsia="DengXian"/>
                <w:szCs w:val="24"/>
              </w:rPr>
              <w:t xml:space="preserve">ash and </w:t>
            </w:r>
            <w:r w:rsidRPr="0063309C">
              <w:rPr>
                <w:rFonts w:eastAsia="DengXian"/>
                <w:szCs w:val="24"/>
              </w:rPr>
              <w:t xml:space="preserve">hepatotoxicity, </w:t>
            </w:r>
            <w:r w:rsidRPr="00873AF2">
              <w:rPr>
                <w:rFonts w:eastAsia="DengXian"/>
                <w:szCs w:val="24"/>
              </w:rPr>
              <w:t>cough</w:t>
            </w:r>
            <w:r>
              <w:rPr>
                <w:rFonts w:eastAsia="DengXian"/>
                <w:szCs w:val="24"/>
              </w:rPr>
              <w:t xml:space="preserve"> </w:t>
            </w:r>
            <w:r w:rsidRPr="00873AF2">
              <w:rPr>
                <w:rFonts w:eastAsia="DengXian"/>
                <w:szCs w:val="24"/>
              </w:rPr>
              <w:t>(children), increased total cholesterol</w:t>
            </w:r>
            <w:r>
              <w:rPr>
                <w:rFonts w:eastAsia="DengXian"/>
                <w:szCs w:val="24"/>
              </w:rPr>
              <w:t xml:space="preserve">, </w:t>
            </w:r>
            <w:r w:rsidRPr="00873AF2">
              <w:rPr>
                <w:rFonts w:eastAsia="DengXian"/>
                <w:szCs w:val="24"/>
              </w:rPr>
              <w:t xml:space="preserve">HDL, </w:t>
            </w:r>
            <w:r>
              <w:rPr>
                <w:rFonts w:eastAsia="DengXian"/>
                <w:szCs w:val="24"/>
              </w:rPr>
              <w:t xml:space="preserve">and </w:t>
            </w:r>
            <w:r w:rsidRPr="00873AF2">
              <w:rPr>
                <w:rFonts w:eastAsia="DengXian"/>
                <w:szCs w:val="24"/>
              </w:rPr>
              <w:t>glucose.</w:t>
            </w:r>
          </w:p>
        </w:tc>
      </w:tr>
      <w:tr w:rsidR="007B485D" w:rsidRPr="00727DFA" w14:paraId="5FD0EA1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9C124F2"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51B31F9F" w14:textId="77777777" w:rsidR="007B485D" w:rsidRPr="00727DFA" w:rsidRDefault="007B485D" w:rsidP="002D6DD7">
            <w:pPr>
              <w:jc w:val="both"/>
              <w:rPr>
                <w:rFonts w:eastAsia="DengXian"/>
                <w:szCs w:val="24"/>
              </w:rPr>
            </w:pPr>
            <w:r w:rsidRPr="00727DFA">
              <w:rPr>
                <w:rFonts w:eastAsia="DengXian"/>
                <w:szCs w:val="24"/>
              </w:rPr>
              <w:t>Hepatic and renal impairment, breastfeeding, elderly</w:t>
            </w:r>
            <w:r>
              <w:rPr>
                <w:rFonts w:eastAsia="DengXian"/>
                <w:szCs w:val="24"/>
              </w:rPr>
              <w:t>,</w:t>
            </w:r>
            <w:r w:rsidRPr="00727DFA">
              <w:rPr>
                <w:rFonts w:eastAsia="DengXian"/>
                <w:szCs w:val="24"/>
              </w:rPr>
              <w:t xml:space="preserve"> history of mental illness or substance abuse.</w:t>
            </w:r>
          </w:p>
        </w:tc>
      </w:tr>
      <w:tr w:rsidR="007B485D" w:rsidRPr="00727DFA" w14:paraId="5938FD1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CB100DE"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5D7B2B4C"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66F3E27E"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7A53410F" w14:textId="77777777" w:rsidR="007B485D" w:rsidRPr="00727DFA" w:rsidRDefault="007B485D" w:rsidP="002D6DD7">
            <w:pPr>
              <w:jc w:val="both"/>
              <w:rPr>
                <w:rFonts w:eastAsia="DengXian"/>
                <w:b/>
                <w:bCs/>
                <w:szCs w:val="24"/>
              </w:rPr>
            </w:pPr>
            <w:r w:rsidRPr="00727DFA">
              <w:rPr>
                <w:rFonts w:eastAsia="DengXian"/>
                <w:b/>
                <w:bCs/>
                <w:szCs w:val="24"/>
              </w:rPr>
              <w:t xml:space="preserve">Efavirenz + </w:t>
            </w:r>
            <w:r>
              <w:rPr>
                <w:rFonts w:eastAsia="DengXian"/>
                <w:b/>
                <w:bCs/>
                <w:szCs w:val="24"/>
              </w:rPr>
              <w:t>l</w:t>
            </w:r>
            <w:r w:rsidRPr="00727DFA">
              <w:rPr>
                <w:rFonts w:eastAsia="DengXian"/>
                <w:b/>
                <w:bCs/>
                <w:szCs w:val="24"/>
              </w:rPr>
              <w:t xml:space="preserve">amivudine + </w:t>
            </w:r>
            <w:r>
              <w:rPr>
                <w:rFonts w:eastAsia="DengXian"/>
                <w:b/>
                <w:bCs/>
                <w:szCs w:val="24"/>
              </w:rPr>
              <w:t>t</w:t>
            </w:r>
            <w:r w:rsidRPr="00727DFA">
              <w:rPr>
                <w:rFonts w:eastAsia="DengXian"/>
                <w:b/>
                <w:bCs/>
                <w:szCs w:val="24"/>
              </w:rPr>
              <w:t>enofovir</w:t>
            </w:r>
          </w:p>
        </w:tc>
      </w:tr>
      <w:tr w:rsidR="007B485D" w:rsidRPr="00727DFA" w14:paraId="7E7EDC9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544FA5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32443A57" w14:textId="77777777" w:rsidR="007B485D" w:rsidRPr="00727DFA" w:rsidRDefault="007B485D" w:rsidP="002D6DD7">
            <w:pPr>
              <w:jc w:val="both"/>
              <w:rPr>
                <w:rFonts w:eastAsia="DengXian"/>
                <w:szCs w:val="24"/>
              </w:rPr>
            </w:pPr>
            <w:r w:rsidRPr="00727DFA">
              <w:rPr>
                <w:rFonts w:eastAsia="DengXian"/>
                <w:szCs w:val="24"/>
              </w:rPr>
              <w:t>Combination of antiretrovirals</w:t>
            </w:r>
          </w:p>
        </w:tc>
      </w:tr>
      <w:tr w:rsidR="007B485D" w:rsidRPr="00727DFA" w14:paraId="5C6CD34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3E0930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397519D5" w14:textId="77777777" w:rsidR="007B485D" w:rsidRPr="00727DFA" w:rsidRDefault="007B485D" w:rsidP="002D6DD7">
            <w:pPr>
              <w:jc w:val="both"/>
              <w:rPr>
                <w:rFonts w:eastAsia="DengXian"/>
                <w:szCs w:val="24"/>
              </w:rPr>
            </w:pPr>
            <w:r w:rsidRPr="00727DFA">
              <w:rPr>
                <w:rFonts w:eastAsia="DengXian"/>
                <w:szCs w:val="24"/>
              </w:rPr>
              <w:t xml:space="preserve">Tablet: 400mg + 300mg + 300mg </w:t>
            </w:r>
          </w:p>
        </w:tc>
      </w:tr>
      <w:tr w:rsidR="007B485D" w:rsidRPr="00727DFA" w14:paraId="1B90C11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5F1140B" w14:textId="77777777" w:rsidR="007B485D" w:rsidRPr="00727DFA" w:rsidRDefault="007B485D" w:rsidP="002D6DD7">
            <w:pPr>
              <w:jc w:val="both"/>
              <w:rPr>
                <w:rFonts w:eastAsia="DengXian"/>
                <w:bCs/>
                <w:szCs w:val="24"/>
              </w:rPr>
            </w:pPr>
            <w:r w:rsidRPr="00727DFA">
              <w:rPr>
                <w:rFonts w:eastAsia="DengXian"/>
                <w:b/>
                <w:szCs w:val="24"/>
              </w:rPr>
              <w:t>Indications</w:t>
            </w:r>
          </w:p>
        </w:tc>
        <w:tc>
          <w:tcPr>
            <w:tcW w:w="7285" w:type="dxa"/>
            <w:tcBorders>
              <w:top w:val="single" w:sz="4" w:space="0" w:color="auto"/>
              <w:left w:val="single" w:sz="4" w:space="0" w:color="auto"/>
              <w:bottom w:val="single" w:sz="4" w:space="0" w:color="auto"/>
              <w:right w:val="single" w:sz="4" w:space="0" w:color="auto"/>
            </w:tcBorders>
          </w:tcPr>
          <w:p w14:paraId="1C9AC303" w14:textId="77777777" w:rsidR="007B485D" w:rsidRPr="00727DFA" w:rsidRDefault="007B485D" w:rsidP="002D6DD7">
            <w:pPr>
              <w:jc w:val="both"/>
              <w:rPr>
                <w:rFonts w:eastAsia="DengXian"/>
                <w:szCs w:val="24"/>
              </w:rPr>
            </w:pPr>
            <w:r w:rsidRPr="00727DFA">
              <w:rPr>
                <w:rFonts w:eastAsia="DengXian"/>
                <w:szCs w:val="24"/>
              </w:rPr>
              <w:t xml:space="preserve">Treatment of HIV-1 infection </w:t>
            </w:r>
          </w:p>
          <w:p w14:paraId="78381BD5" w14:textId="77777777" w:rsidR="007B485D" w:rsidRPr="00727DFA" w:rsidRDefault="007B485D" w:rsidP="002D6DD7">
            <w:pPr>
              <w:jc w:val="both"/>
              <w:rPr>
                <w:rFonts w:eastAsia="DengXian"/>
                <w:szCs w:val="24"/>
              </w:rPr>
            </w:pPr>
          </w:p>
        </w:tc>
      </w:tr>
      <w:tr w:rsidR="007B485D" w:rsidRPr="00727DFA" w14:paraId="32105DE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B4CCCB4"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6C55C917" w14:textId="77777777" w:rsidR="007B485D" w:rsidRPr="00727DFA" w:rsidRDefault="007B485D" w:rsidP="002D6DD7">
            <w:pPr>
              <w:jc w:val="both"/>
              <w:rPr>
                <w:rFonts w:eastAsia="DengXian"/>
                <w:szCs w:val="24"/>
              </w:rPr>
            </w:pPr>
            <w:r w:rsidRPr="00727DFA">
              <w:rPr>
                <w:rFonts w:eastAsia="DengXian"/>
                <w:b/>
                <w:szCs w:val="24"/>
              </w:rPr>
              <w:t xml:space="preserve">Adult and Child  </w:t>
            </w:r>
            <m:oMath>
              <m:r>
                <m:rPr>
                  <m:sty m:val="bi"/>
                </m:rPr>
                <w:rPr>
                  <w:rFonts w:ascii="Cambria Math" w:eastAsia="DengXian" w:hAnsi="Cambria Math"/>
                  <w:szCs w:val="24"/>
                </w:rPr>
                <m:t>≥</m:t>
              </m:r>
            </m:oMath>
            <w:r w:rsidRPr="00727DFA">
              <w:rPr>
                <w:rFonts w:eastAsia="DengXian"/>
                <w:b/>
                <w:szCs w:val="24"/>
              </w:rPr>
              <w:t xml:space="preserve"> 35 kg</w:t>
            </w:r>
            <w:r w:rsidRPr="00727DFA">
              <w:rPr>
                <w:rFonts w:eastAsia="DengXian"/>
                <w:szCs w:val="24"/>
              </w:rPr>
              <w:t>: One tablet once daily</w:t>
            </w:r>
          </w:p>
        </w:tc>
      </w:tr>
      <w:tr w:rsidR="007B485D" w:rsidRPr="00727DFA" w14:paraId="73178DE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8F066ED"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79A96869"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4AD4BD0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9AD0B8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2E9FFDB4"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0C4B72F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E6593AE"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79DF72FE"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5A5B0598"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586F900"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660B4B77"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406251B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0F2919A" w14:textId="77777777" w:rsidR="007B485D" w:rsidRPr="00727DFA" w:rsidRDefault="007B485D" w:rsidP="002D6DD7">
            <w:pPr>
              <w:jc w:val="both"/>
              <w:rPr>
                <w:rFonts w:eastAsia="DengXian"/>
                <w:bCs/>
                <w:szCs w:val="24"/>
              </w:rPr>
            </w:pPr>
            <w:r w:rsidRPr="00727DFA">
              <w:rPr>
                <w:rFonts w:eastAsia="DengXian"/>
                <w:bCs/>
                <w:szCs w:val="24"/>
              </w:rPr>
              <w:lastRenderedPageBreak/>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24C8A4AD" w14:textId="77777777" w:rsidR="007B485D" w:rsidRPr="00727DFA" w:rsidRDefault="007B485D" w:rsidP="002D6DD7">
            <w:pPr>
              <w:jc w:val="both"/>
              <w:rPr>
                <w:rFonts w:eastAsia="DengXian"/>
                <w:szCs w:val="24"/>
              </w:rPr>
            </w:pPr>
            <w:r w:rsidRPr="00727DFA">
              <w:rPr>
                <w:rFonts w:eastAsia="DengXian"/>
                <w:szCs w:val="24"/>
              </w:rPr>
              <w:t>Store below 30ºC</w:t>
            </w:r>
            <w:r>
              <w:rPr>
                <w:rFonts w:eastAsia="DengXian"/>
                <w:szCs w:val="24"/>
              </w:rPr>
              <w:t>.</w:t>
            </w:r>
          </w:p>
        </w:tc>
      </w:tr>
      <w:tr w:rsidR="007B485D" w:rsidRPr="00727DFA" w14:paraId="68500E2E"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16E4F322" w14:textId="77777777" w:rsidR="007B485D" w:rsidRPr="00727DFA" w:rsidRDefault="007B485D" w:rsidP="002D6DD7">
            <w:pPr>
              <w:jc w:val="both"/>
              <w:rPr>
                <w:rFonts w:eastAsia="DengXian"/>
                <w:b/>
                <w:bCs/>
                <w:szCs w:val="24"/>
              </w:rPr>
            </w:pPr>
            <w:r w:rsidRPr="00727DFA">
              <w:rPr>
                <w:rFonts w:eastAsia="DengXian"/>
                <w:b/>
                <w:bCs/>
                <w:szCs w:val="24"/>
              </w:rPr>
              <w:t>Lamivudine</w:t>
            </w:r>
          </w:p>
        </w:tc>
      </w:tr>
      <w:tr w:rsidR="007B485D" w:rsidRPr="00727DFA" w14:paraId="16B3CD2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23CE8B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55B8341B" w14:textId="77777777" w:rsidR="007B485D" w:rsidRPr="00727DFA" w:rsidRDefault="007B485D" w:rsidP="002D6DD7">
            <w:pPr>
              <w:jc w:val="both"/>
              <w:rPr>
                <w:rFonts w:eastAsia="DengXian"/>
                <w:szCs w:val="24"/>
              </w:rPr>
            </w:pPr>
            <w:r w:rsidRPr="00727DFA">
              <w:rPr>
                <w:rFonts w:eastAsia="DengXian"/>
                <w:szCs w:val="24"/>
              </w:rPr>
              <w:t xml:space="preserve">Nucleoside reverse transcriptase inhibitors (NRTIs), antiretroviral </w:t>
            </w:r>
          </w:p>
        </w:tc>
      </w:tr>
      <w:tr w:rsidR="007B485D" w:rsidRPr="00727DFA" w14:paraId="4E85439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AD2D0E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54A4DF12" w14:textId="77777777" w:rsidR="007B485D" w:rsidRPr="00727DFA" w:rsidRDefault="007B485D" w:rsidP="002D6DD7">
            <w:pPr>
              <w:jc w:val="both"/>
              <w:rPr>
                <w:rFonts w:eastAsia="DengXian"/>
                <w:szCs w:val="24"/>
              </w:rPr>
            </w:pPr>
            <w:r w:rsidRPr="00727DFA">
              <w:rPr>
                <w:rFonts w:eastAsia="DengXian"/>
                <w:szCs w:val="24"/>
              </w:rPr>
              <w:t xml:space="preserve">Tablets: 150mg </w:t>
            </w:r>
          </w:p>
          <w:p w14:paraId="540E955F" w14:textId="77777777" w:rsidR="007B485D" w:rsidRPr="00727DFA" w:rsidRDefault="007B485D" w:rsidP="002D6DD7">
            <w:pPr>
              <w:jc w:val="both"/>
              <w:rPr>
                <w:rFonts w:eastAsia="DengXian"/>
                <w:szCs w:val="24"/>
              </w:rPr>
            </w:pPr>
            <w:r w:rsidRPr="00727DFA">
              <w:rPr>
                <w:rFonts w:eastAsia="DengXian"/>
                <w:szCs w:val="24"/>
              </w:rPr>
              <w:t>Oral Solution: 10mg/ml</w:t>
            </w:r>
          </w:p>
        </w:tc>
      </w:tr>
      <w:tr w:rsidR="007B485D" w:rsidRPr="00727DFA" w14:paraId="62CAB168"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97DD449" w14:textId="77777777" w:rsidR="007B485D" w:rsidRPr="00727DFA" w:rsidRDefault="007B485D" w:rsidP="002D6DD7">
            <w:pPr>
              <w:jc w:val="both"/>
              <w:rPr>
                <w:rFonts w:eastAsia="DengXian"/>
                <w:bCs/>
                <w:szCs w:val="24"/>
              </w:rPr>
            </w:pPr>
            <w:r w:rsidRPr="004F398B">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1B45E0B8" w14:textId="77777777" w:rsidR="007B485D" w:rsidRPr="00727DFA" w:rsidRDefault="007B485D" w:rsidP="002D6DD7">
            <w:pPr>
              <w:jc w:val="both"/>
              <w:rPr>
                <w:rFonts w:eastAsia="DengXian"/>
                <w:szCs w:val="24"/>
              </w:rPr>
            </w:pPr>
            <w:r w:rsidRPr="00727DFA">
              <w:rPr>
                <w:rFonts w:eastAsia="DengXian"/>
                <w:szCs w:val="24"/>
              </w:rPr>
              <w:t xml:space="preserve">Treatment of HIV infection, pre and post exposure prophylaxis (only in combination with other antiretrovirals) </w:t>
            </w:r>
          </w:p>
        </w:tc>
      </w:tr>
      <w:tr w:rsidR="007B485D" w:rsidRPr="00727DFA" w14:paraId="48ED984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504D653"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759EE512" w14:textId="77777777" w:rsidR="007B485D" w:rsidRPr="00727DFA" w:rsidRDefault="007B485D" w:rsidP="002D6DD7">
            <w:pPr>
              <w:jc w:val="both"/>
              <w:rPr>
                <w:rFonts w:eastAsia="DengXian"/>
                <w:b/>
                <w:bCs/>
                <w:szCs w:val="24"/>
              </w:rPr>
            </w:pPr>
            <w:r w:rsidRPr="00727DFA">
              <w:rPr>
                <w:rFonts w:eastAsia="DengXian"/>
                <w:b/>
                <w:bCs/>
                <w:szCs w:val="24"/>
              </w:rPr>
              <w:t xml:space="preserve">Oral: </w:t>
            </w:r>
          </w:p>
          <w:p w14:paraId="6BC6E935"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150 mg twice daily or 300 mg once daily</w:t>
            </w:r>
          </w:p>
        </w:tc>
      </w:tr>
      <w:tr w:rsidR="007B485D" w:rsidRPr="00727DFA" w14:paraId="1C3982A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DF6D52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615BDCFB" w14:textId="77777777" w:rsidR="007B485D" w:rsidRPr="00727DFA" w:rsidRDefault="007B485D" w:rsidP="002D6DD7">
            <w:pPr>
              <w:jc w:val="both"/>
              <w:rPr>
                <w:rFonts w:eastAsia="DengXian"/>
                <w:szCs w:val="24"/>
              </w:rPr>
            </w:pPr>
            <w:r w:rsidRPr="00727DFA">
              <w:rPr>
                <w:rFonts w:eastAsia="DengXian"/>
                <w:szCs w:val="24"/>
              </w:rPr>
              <w:t>Hypersensitivity to lamivudine</w:t>
            </w:r>
            <w:r>
              <w:rPr>
                <w:rFonts w:eastAsia="DengXian"/>
                <w:szCs w:val="24"/>
              </w:rPr>
              <w:t>.</w:t>
            </w:r>
          </w:p>
        </w:tc>
      </w:tr>
      <w:tr w:rsidR="007B485D" w:rsidRPr="00727DFA" w14:paraId="0E67104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555B846"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248B4872" w14:textId="77777777" w:rsidR="007B485D" w:rsidRPr="00727DFA" w:rsidRDefault="007B485D" w:rsidP="002D6DD7">
            <w:pPr>
              <w:jc w:val="both"/>
              <w:rPr>
                <w:rFonts w:eastAsia="DengXian"/>
                <w:szCs w:val="24"/>
              </w:rPr>
            </w:pPr>
            <w:r w:rsidRPr="00727DFA">
              <w:rPr>
                <w:rFonts w:eastAsia="DengXian"/>
                <w:szCs w:val="24"/>
              </w:rPr>
              <w:t>Chloramphenicol, trimethoprim/sulfamethoxazole, cladribine, sorbitol solution</w:t>
            </w:r>
            <w:r>
              <w:rPr>
                <w:rFonts w:eastAsia="DengXian"/>
                <w:szCs w:val="24"/>
              </w:rPr>
              <w:t>.</w:t>
            </w:r>
          </w:p>
        </w:tc>
      </w:tr>
      <w:tr w:rsidR="007B485D" w:rsidRPr="00727DFA" w14:paraId="2C35550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2E89651"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4FDB5414" w14:textId="77777777" w:rsidR="007B485D" w:rsidRPr="00727DFA" w:rsidRDefault="007B485D" w:rsidP="002D6DD7">
            <w:pPr>
              <w:jc w:val="both"/>
              <w:rPr>
                <w:rFonts w:eastAsia="DengXian"/>
                <w:szCs w:val="24"/>
              </w:rPr>
            </w:pPr>
            <w:r w:rsidRPr="00727DFA">
              <w:rPr>
                <w:rFonts w:eastAsia="DengXian"/>
                <w:szCs w:val="24"/>
              </w:rPr>
              <w:t>Nausea, vomiting, diarrhea, abdominal pain, cough</w:t>
            </w:r>
            <w:r>
              <w:rPr>
                <w:rFonts w:eastAsia="DengXian"/>
                <w:szCs w:val="24"/>
              </w:rPr>
              <w:t>,</w:t>
            </w:r>
            <w:r w:rsidRPr="00727DFA">
              <w:rPr>
                <w:rFonts w:eastAsia="DengXian"/>
                <w:szCs w:val="24"/>
              </w:rPr>
              <w:t xml:space="preserve"> headache, insomnia, malaise, fever, rash, alopecia, muscle disorders, nasal symptoms; peripheral neuropathy</w:t>
            </w:r>
            <w:r>
              <w:rPr>
                <w:rFonts w:eastAsia="DengXian"/>
                <w:szCs w:val="24"/>
              </w:rPr>
              <w:t>,</w:t>
            </w:r>
            <w:r w:rsidRPr="00727DFA">
              <w:rPr>
                <w:rFonts w:eastAsia="DengXian"/>
                <w:szCs w:val="24"/>
              </w:rPr>
              <w:t xml:space="preserve"> rarely pancreatitis (discontinue)</w:t>
            </w:r>
            <w:r>
              <w:rPr>
                <w:rFonts w:eastAsia="DengXian"/>
                <w:szCs w:val="24"/>
              </w:rPr>
              <w:t>,</w:t>
            </w:r>
            <w:r w:rsidRPr="00727DFA">
              <w:rPr>
                <w:rFonts w:eastAsia="DengXian"/>
                <w:szCs w:val="24"/>
              </w:rPr>
              <w:t xml:space="preserve"> neutropenia, anemia and thrombocytopenia</w:t>
            </w:r>
            <w:r>
              <w:rPr>
                <w:rFonts w:eastAsia="DengXian"/>
                <w:szCs w:val="24"/>
              </w:rPr>
              <w:t xml:space="preserve">, </w:t>
            </w:r>
            <w:r w:rsidRPr="00727DFA">
              <w:rPr>
                <w:rFonts w:eastAsia="DengXian"/>
                <w:szCs w:val="24"/>
              </w:rPr>
              <w:t>lactic acidosis; raised liver enzymes</w:t>
            </w:r>
            <w:r>
              <w:rPr>
                <w:rFonts w:eastAsia="DengXian"/>
                <w:szCs w:val="24"/>
              </w:rPr>
              <w:t>.</w:t>
            </w:r>
          </w:p>
        </w:tc>
      </w:tr>
      <w:tr w:rsidR="007B485D" w:rsidRPr="00727DFA" w14:paraId="01044F3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50B3473"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69E7E9E1" w14:textId="77777777" w:rsidR="007B485D" w:rsidRPr="00727DFA" w:rsidRDefault="007B485D" w:rsidP="002D6DD7">
            <w:pPr>
              <w:jc w:val="both"/>
              <w:rPr>
                <w:rFonts w:eastAsia="DengXian"/>
                <w:szCs w:val="24"/>
              </w:rPr>
            </w:pPr>
            <w:r w:rsidRPr="00727DFA">
              <w:rPr>
                <w:rFonts w:eastAsia="DengXian"/>
                <w:szCs w:val="24"/>
              </w:rPr>
              <w:t xml:space="preserve">Renal impairment, </w:t>
            </w:r>
            <w:r w:rsidRPr="00873AF2">
              <w:rPr>
                <w:rFonts w:eastAsia="DengXian"/>
                <w:szCs w:val="24"/>
              </w:rPr>
              <w:t>lactic acidosis,</w:t>
            </w:r>
            <w:r w:rsidRPr="0063309C">
              <w:rPr>
                <w:rFonts w:eastAsia="DengXian"/>
                <w:szCs w:val="24"/>
              </w:rPr>
              <w:t xml:space="preserve"> </w:t>
            </w:r>
            <w:r w:rsidRPr="00873AF2">
              <w:rPr>
                <w:rFonts w:eastAsia="DengXian"/>
                <w:szCs w:val="24"/>
              </w:rPr>
              <w:t>history of pancreatitis</w:t>
            </w:r>
            <w:r w:rsidRPr="0063309C">
              <w:rPr>
                <w:rFonts w:eastAsia="DengXian"/>
                <w:szCs w:val="24"/>
              </w:rPr>
              <w:t>,</w:t>
            </w:r>
            <w:r>
              <w:rPr>
                <w:rFonts w:eastAsia="DengXian"/>
                <w:szCs w:val="24"/>
              </w:rPr>
              <w:t xml:space="preserve"> </w:t>
            </w:r>
            <w:r w:rsidRPr="00727DFA">
              <w:rPr>
                <w:rFonts w:eastAsia="DengXian"/>
                <w:szCs w:val="24"/>
              </w:rPr>
              <w:t>hepatic disease, pregnancy</w:t>
            </w:r>
            <w:r>
              <w:rPr>
                <w:rFonts w:eastAsia="DengXian"/>
                <w:szCs w:val="24"/>
              </w:rPr>
              <w:t>,</w:t>
            </w:r>
            <w:r w:rsidRPr="00727DFA">
              <w:rPr>
                <w:rFonts w:eastAsia="DengXian"/>
                <w:szCs w:val="24"/>
              </w:rPr>
              <w:t xml:space="preserve"> breastfeeding.</w:t>
            </w:r>
          </w:p>
        </w:tc>
      </w:tr>
      <w:tr w:rsidR="007B485D" w:rsidRPr="00727DFA" w14:paraId="4EF50AB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D6052E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1358C11C" w14:textId="77777777" w:rsidR="007B485D" w:rsidRPr="00727DFA" w:rsidRDefault="007B485D" w:rsidP="002D6DD7">
            <w:pPr>
              <w:jc w:val="both"/>
              <w:rPr>
                <w:rFonts w:eastAsia="DengXian"/>
                <w:szCs w:val="24"/>
                <w:lang w:val="nb-NO"/>
              </w:rPr>
            </w:pPr>
            <w:r w:rsidRPr="00727DFA">
              <w:rPr>
                <w:rFonts w:eastAsia="DengXian"/>
                <w:szCs w:val="24"/>
                <w:lang w:val="nb-NO"/>
              </w:rPr>
              <w:t>Store below 30</w:t>
            </w:r>
            <w:r w:rsidRPr="00727DFA">
              <w:rPr>
                <w:rFonts w:eastAsia="DengXian"/>
                <w:szCs w:val="24"/>
                <w:vertAlign w:val="superscript"/>
                <w:lang w:val="nb-NO"/>
              </w:rPr>
              <w:t>o</w:t>
            </w:r>
            <w:r w:rsidRPr="00727DFA">
              <w:rPr>
                <w:rFonts w:eastAsia="DengXian"/>
                <w:szCs w:val="24"/>
                <w:lang w:val="nb-NO"/>
              </w:rPr>
              <w:t>C</w:t>
            </w:r>
            <w:r>
              <w:rPr>
                <w:rFonts w:eastAsia="DengXian"/>
                <w:szCs w:val="24"/>
                <w:lang w:val="nb-NO"/>
              </w:rPr>
              <w:t>.</w:t>
            </w:r>
          </w:p>
        </w:tc>
      </w:tr>
      <w:tr w:rsidR="007B485D" w:rsidRPr="00727DFA" w14:paraId="3D93A66B"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29A86E13" w14:textId="77777777" w:rsidR="007B485D" w:rsidRPr="00727DFA" w:rsidRDefault="007B485D" w:rsidP="002D6DD7">
            <w:pPr>
              <w:jc w:val="both"/>
              <w:rPr>
                <w:rFonts w:eastAsia="DengXian"/>
                <w:b/>
                <w:bCs/>
                <w:szCs w:val="24"/>
              </w:rPr>
            </w:pPr>
            <w:r w:rsidRPr="00727DFA">
              <w:rPr>
                <w:rFonts w:eastAsia="DengXian"/>
                <w:b/>
                <w:bCs/>
                <w:szCs w:val="24"/>
              </w:rPr>
              <w:t xml:space="preserve">Lamivudine + </w:t>
            </w:r>
            <w:r>
              <w:rPr>
                <w:rFonts w:eastAsia="DengXian"/>
                <w:b/>
                <w:bCs/>
                <w:szCs w:val="24"/>
              </w:rPr>
              <w:t>t</w:t>
            </w:r>
            <w:r w:rsidRPr="00727DFA">
              <w:rPr>
                <w:rFonts w:eastAsia="DengXian"/>
                <w:b/>
                <w:bCs/>
                <w:szCs w:val="24"/>
              </w:rPr>
              <w:t>enofovir</w:t>
            </w:r>
          </w:p>
        </w:tc>
      </w:tr>
      <w:tr w:rsidR="007B485D" w:rsidRPr="00727DFA" w14:paraId="7C40410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46436B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73937D71" w14:textId="77777777" w:rsidR="007B485D" w:rsidRPr="00727DFA" w:rsidRDefault="007B485D" w:rsidP="002D6DD7">
            <w:pPr>
              <w:jc w:val="both"/>
              <w:rPr>
                <w:rFonts w:eastAsia="DengXian"/>
                <w:szCs w:val="24"/>
              </w:rPr>
            </w:pPr>
            <w:r w:rsidRPr="00727DFA">
              <w:rPr>
                <w:rFonts w:eastAsia="DengXian"/>
                <w:szCs w:val="24"/>
              </w:rPr>
              <w:t>Combination of antiretrovirals</w:t>
            </w:r>
          </w:p>
        </w:tc>
      </w:tr>
      <w:tr w:rsidR="007B485D" w:rsidRPr="00727DFA" w14:paraId="41D4E7C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80B6F7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79BF7ABF" w14:textId="77777777" w:rsidR="007B485D" w:rsidRPr="00727DFA" w:rsidRDefault="007B485D" w:rsidP="002D6DD7">
            <w:pPr>
              <w:jc w:val="both"/>
              <w:rPr>
                <w:rFonts w:eastAsia="DengXian"/>
                <w:szCs w:val="24"/>
              </w:rPr>
            </w:pPr>
            <w:r w:rsidRPr="00727DFA">
              <w:rPr>
                <w:rFonts w:eastAsia="DengXian"/>
                <w:szCs w:val="24"/>
              </w:rPr>
              <w:t xml:space="preserve">Tablet: 300mg + 300mg </w:t>
            </w:r>
          </w:p>
        </w:tc>
      </w:tr>
      <w:tr w:rsidR="007B485D" w:rsidRPr="00727DFA" w14:paraId="7F7BE0F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FCC7079"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010387C2" w14:textId="77777777" w:rsidR="007B485D" w:rsidRPr="00727DFA" w:rsidRDefault="007B485D" w:rsidP="002D6DD7">
            <w:pPr>
              <w:jc w:val="both"/>
              <w:rPr>
                <w:rFonts w:eastAsia="DengXian"/>
                <w:szCs w:val="24"/>
              </w:rPr>
            </w:pPr>
            <w:r w:rsidRPr="00727DFA">
              <w:rPr>
                <w:rFonts w:eastAsia="DengXian"/>
                <w:szCs w:val="24"/>
              </w:rPr>
              <w:t xml:space="preserve">Treatment of HIV-1 infection, in combination with other antiretrovirals </w:t>
            </w:r>
          </w:p>
        </w:tc>
      </w:tr>
      <w:tr w:rsidR="007B485D" w:rsidRPr="00727DFA" w14:paraId="7B78A7D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E7316A3"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30385098" w14:textId="77777777" w:rsidR="007B485D" w:rsidRPr="00727DFA" w:rsidRDefault="007B485D" w:rsidP="002D6DD7">
            <w:pPr>
              <w:jc w:val="both"/>
              <w:rPr>
                <w:rFonts w:eastAsia="DengXian"/>
                <w:szCs w:val="24"/>
              </w:rPr>
            </w:pPr>
            <w:r w:rsidRPr="00727DFA">
              <w:rPr>
                <w:rFonts w:eastAsia="DengXian"/>
                <w:b/>
                <w:szCs w:val="24"/>
              </w:rPr>
              <w:t xml:space="preserve">Adult and Child  </w:t>
            </w:r>
            <m:oMath>
              <m:r>
                <m:rPr>
                  <m:sty m:val="bi"/>
                </m:rPr>
                <w:rPr>
                  <w:rFonts w:ascii="Cambria Math" w:eastAsia="DengXian" w:hAnsi="Cambria Math"/>
                  <w:szCs w:val="24"/>
                </w:rPr>
                <m:t>≥</m:t>
              </m:r>
            </m:oMath>
            <w:r w:rsidRPr="00727DFA">
              <w:rPr>
                <w:rFonts w:eastAsia="DengXian"/>
                <w:b/>
                <w:szCs w:val="24"/>
              </w:rPr>
              <w:t xml:space="preserve"> 35 kg</w:t>
            </w:r>
            <w:r w:rsidRPr="00727DFA">
              <w:rPr>
                <w:rFonts w:eastAsia="DengXian"/>
                <w:szCs w:val="24"/>
              </w:rPr>
              <w:t>: One tablet once daily</w:t>
            </w:r>
          </w:p>
        </w:tc>
      </w:tr>
      <w:tr w:rsidR="007B485D" w:rsidRPr="00727DFA" w14:paraId="1791BFD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ECBCE07"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4BABC42D"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r w:rsidRPr="00727DFA">
              <w:rPr>
                <w:rFonts w:eastAsia="DengXian"/>
                <w:szCs w:val="24"/>
              </w:rPr>
              <w:t xml:space="preserve"> </w:t>
            </w:r>
          </w:p>
        </w:tc>
      </w:tr>
      <w:tr w:rsidR="007B485D" w:rsidRPr="00727DFA" w14:paraId="1EEC071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D78D473"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2F7B0E9A"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6F871F7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FD88200"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10001DE2"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r w:rsidRPr="00727DFA">
              <w:rPr>
                <w:rFonts w:eastAsia="DengXian"/>
                <w:szCs w:val="24"/>
              </w:rPr>
              <w:t xml:space="preserve"> </w:t>
            </w:r>
          </w:p>
        </w:tc>
      </w:tr>
      <w:tr w:rsidR="007B485D" w:rsidRPr="00727DFA" w14:paraId="3EF39D8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DCE4908" w14:textId="77777777" w:rsidR="007B485D" w:rsidRPr="00727DFA" w:rsidRDefault="007B485D" w:rsidP="002D6DD7">
            <w:pPr>
              <w:jc w:val="both"/>
              <w:rPr>
                <w:rFonts w:eastAsia="DengXian"/>
                <w:bCs/>
                <w:szCs w:val="24"/>
              </w:rPr>
            </w:pPr>
            <w:r w:rsidRPr="00727DFA">
              <w:rPr>
                <w:rFonts w:eastAsia="DengXian"/>
                <w:bCs/>
                <w:szCs w:val="24"/>
              </w:rPr>
              <w:lastRenderedPageBreak/>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5DD4920B" w14:textId="77777777" w:rsidR="007B485D" w:rsidRPr="00727DFA" w:rsidRDefault="007B485D" w:rsidP="002D6DD7">
            <w:pPr>
              <w:jc w:val="both"/>
              <w:rPr>
                <w:rFonts w:eastAsia="DengXian"/>
                <w:szCs w:val="24"/>
              </w:rPr>
            </w:pPr>
            <w:r w:rsidRPr="00727DFA">
              <w:rPr>
                <w:rFonts w:eastAsia="DengXian"/>
                <w:szCs w:val="24"/>
              </w:rPr>
              <w:t>Refer to individual monograph</w:t>
            </w:r>
            <w:r>
              <w:rPr>
                <w:rFonts w:eastAsia="DengXian"/>
                <w:szCs w:val="24"/>
              </w:rPr>
              <w:t>.</w:t>
            </w:r>
          </w:p>
        </w:tc>
      </w:tr>
      <w:tr w:rsidR="007B485D" w:rsidRPr="00727DFA" w14:paraId="5B66821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2EFA667"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5ECF8D24" w14:textId="77777777" w:rsidR="007B485D" w:rsidRPr="00727DFA" w:rsidRDefault="007B485D" w:rsidP="002D6DD7">
            <w:pPr>
              <w:jc w:val="both"/>
              <w:rPr>
                <w:rFonts w:eastAsia="DengXian"/>
                <w:szCs w:val="24"/>
              </w:rPr>
            </w:pPr>
            <w:r w:rsidRPr="00727DFA">
              <w:rPr>
                <w:rFonts w:eastAsia="DengXian"/>
                <w:szCs w:val="24"/>
              </w:rPr>
              <w:t>Store below 30ºC</w:t>
            </w:r>
            <w:r>
              <w:rPr>
                <w:rFonts w:eastAsia="DengXian"/>
                <w:szCs w:val="24"/>
              </w:rPr>
              <w:t>.</w:t>
            </w:r>
          </w:p>
        </w:tc>
      </w:tr>
      <w:tr w:rsidR="007B485D" w:rsidRPr="00727DFA" w14:paraId="648E7484"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069A3275" w14:textId="77777777" w:rsidR="007B485D" w:rsidRPr="00727DFA" w:rsidRDefault="007B485D" w:rsidP="002D6DD7">
            <w:pPr>
              <w:jc w:val="both"/>
              <w:rPr>
                <w:rFonts w:eastAsia="DengXian"/>
                <w:b/>
                <w:bCs/>
                <w:szCs w:val="24"/>
              </w:rPr>
            </w:pPr>
            <w:r w:rsidRPr="00727DFA">
              <w:rPr>
                <w:rFonts w:eastAsia="DengXian"/>
                <w:b/>
                <w:bCs/>
                <w:szCs w:val="24"/>
              </w:rPr>
              <w:t>Lamivudine + Zidovudine</w:t>
            </w:r>
          </w:p>
        </w:tc>
      </w:tr>
      <w:tr w:rsidR="007B485D" w:rsidRPr="00727DFA" w14:paraId="5E5718D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818C6C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798E2CBC" w14:textId="77777777" w:rsidR="007B485D" w:rsidRPr="00727DFA" w:rsidRDefault="007B485D" w:rsidP="002D6DD7">
            <w:pPr>
              <w:jc w:val="both"/>
              <w:rPr>
                <w:rFonts w:eastAsia="DengXian"/>
                <w:szCs w:val="24"/>
              </w:rPr>
            </w:pPr>
            <w:r w:rsidRPr="00727DFA">
              <w:rPr>
                <w:rFonts w:eastAsia="DengXian"/>
                <w:szCs w:val="24"/>
              </w:rPr>
              <w:t xml:space="preserve">Combination of antiretrovirals </w:t>
            </w:r>
          </w:p>
        </w:tc>
      </w:tr>
      <w:tr w:rsidR="007B485D" w:rsidRPr="00810924" w14:paraId="52445F8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E60C35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713325F7"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150mg + 300mg, 30mg + 60mg </w:t>
            </w:r>
          </w:p>
        </w:tc>
      </w:tr>
      <w:tr w:rsidR="007B485D" w:rsidRPr="00727DFA" w14:paraId="40E00C2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410AB8F" w14:textId="77777777" w:rsidR="007B485D" w:rsidRPr="00727DFA" w:rsidRDefault="007B485D" w:rsidP="002D6DD7">
            <w:pPr>
              <w:jc w:val="both"/>
              <w:rPr>
                <w:rFonts w:eastAsia="DengXian"/>
                <w:bCs/>
                <w:szCs w:val="24"/>
              </w:rPr>
            </w:pPr>
            <w:r w:rsidRPr="00727DFA">
              <w:rPr>
                <w:rFonts w:eastAsia="DengXian"/>
                <w:b/>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2E9262AB" w14:textId="77777777" w:rsidR="007B485D" w:rsidRPr="00727DFA" w:rsidRDefault="007B485D" w:rsidP="002D6DD7">
            <w:pPr>
              <w:jc w:val="both"/>
              <w:rPr>
                <w:rFonts w:eastAsia="DengXian"/>
                <w:szCs w:val="24"/>
              </w:rPr>
            </w:pPr>
            <w:r w:rsidRPr="00727DFA">
              <w:rPr>
                <w:rFonts w:eastAsia="DengXian"/>
                <w:szCs w:val="24"/>
              </w:rPr>
              <w:t>Treatment and post-exposure prophylaxis of HIV-1 infection, in combination with other antiretrovirals</w:t>
            </w:r>
          </w:p>
        </w:tc>
      </w:tr>
      <w:tr w:rsidR="007B485D" w:rsidRPr="00727DFA" w14:paraId="6B40B26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E3FA37D"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1A6FD265" w14:textId="77777777" w:rsidR="007B485D" w:rsidRPr="00727DFA" w:rsidRDefault="007B485D" w:rsidP="002D6DD7">
            <w:pPr>
              <w:jc w:val="both"/>
              <w:rPr>
                <w:rFonts w:eastAsia="DengXian"/>
                <w:szCs w:val="24"/>
              </w:rPr>
            </w:pPr>
            <w:r w:rsidRPr="00727DFA">
              <w:rPr>
                <w:rFonts w:eastAsia="DengXian"/>
                <w:b/>
                <w:szCs w:val="24"/>
              </w:rPr>
              <w:t xml:space="preserve">Adult and Child  </w:t>
            </w:r>
            <m:oMath>
              <m:r>
                <m:rPr>
                  <m:sty m:val="bi"/>
                </m:rPr>
                <w:rPr>
                  <w:rFonts w:ascii="Cambria Math" w:eastAsia="DengXian" w:hAnsi="Cambria Math"/>
                  <w:szCs w:val="24"/>
                </w:rPr>
                <m:t>≥</m:t>
              </m:r>
            </m:oMath>
            <w:r w:rsidRPr="00727DFA">
              <w:rPr>
                <w:rFonts w:eastAsia="DengXian"/>
                <w:b/>
                <w:szCs w:val="24"/>
              </w:rPr>
              <w:t xml:space="preserve"> 25 kg: </w:t>
            </w:r>
            <w:r w:rsidRPr="00727DFA">
              <w:rPr>
                <w:rFonts w:eastAsia="DengXian"/>
                <w:szCs w:val="24"/>
              </w:rPr>
              <w:t xml:space="preserve"> one tablet two times daily (150mg + 300mg)</w:t>
            </w:r>
          </w:p>
          <w:p w14:paraId="4EE73A64" w14:textId="77777777" w:rsidR="007B485D" w:rsidRPr="00727DFA" w:rsidRDefault="007B485D" w:rsidP="002D6DD7">
            <w:pPr>
              <w:jc w:val="both"/>
              <w:rPr>
                <w:rFonts w:eastAsia="DengXian"/>
                <w:b/>
                <w:szCs w:val="24"/>
              </w:rPr>
            </w:pPr>
            <w:r w:rsidRPr="00727DFA">
              <w:rPr>
                <w:rFonts w:eastAsia="DengXian"/>
                <w:b/>
                <w:szCs w:val="24"/>
              </w:rPr>
              <w:t>Lamivudine 30 mg + zidovudine 60 mg</w:t>
            </w:r>
          </w:p>
          <w:p w14:paraId="17B7F608" w14:textId="77777777" w:rsidR="007B485D" w:rsidRPr="00727DFA" w:rsidRDefault="007B485D" w:rsidP="002D6DD7">
            <w:pPr>
              <w:jc w:val="both"/>
              <w:rPr>
                <w:rFonts w:eastAsia="DengXian"/>
                <w:szCs w:val="24"/>
              </w:rPr>
            </w:pPr>
            <w:r w:rsidRPr="00727DFA">
              <w:rPr>
                <w:rFonts w:eastAsia="DengXian"/>
                <w:szCs w:val="24"/>
              </w:rPr>
              <w:t xml:space="preserve">Child &gt;4weeks (3-5.9kg): 1 tablet two times daily </w:t>
            </w:r>
          </w:p>
          <w:p w14:paraId="0766535F" w14:textId="77777777" w:rsidR="007B485D" w:rsidRPr="00727DFA" w:rsidRDefault="007B485D" w:rsidP="002D6DD7">
            <w:pPr>
              <w:jc w:val="both"/>
              <w:rPr>
                <w:rFonts w:eastAsia="DengXian"/>
                <w:szCs w:val="24"/>
              </w:rPr>
            </w:pPr>
            <w:r w:rsidRPr="00727DFA">
              <w:rPr>
                <w:rFonts w:eastAsia="DengXian"/>
                <w:szCs w:val="24"/>
              </w:rPr>
              <w:t xml:space="preserve">Child &gt;4weeks (6-9.9kg):  1 </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tablets two times daily</w:t>
            </w:r>
          </w:p>
          <w:p w14:paraId="7B991B68" w14:textId="77777777" w:rsidR="007B485D" w:rsidRPr="00727DFA" w:rsidRDefault="007B485D" w:rsidP="002D6DD7">
            <w:pPr>
              <w:jc w:val="both"/>
              <w:rPr>
                <w:rFonts w:eastAsia="DengXian"/>
                <w:szCs w:val="24"/>
              </w:rPr>
            </w:pPr>
            <w:r w:rsidRPr="00727DFA">
              <w:rPr>
                <w:rFonts w:eastAsia="DengXian"/>
                <w:szCs w:val="24"/>
              </w:rPr>
              <w:t>Child &gt;4weeks (10-13.9kg): 2 tablets two times daily</w:t>
            </w:r>
          </w:p>
          <w:p w14:paraId="3BBD51F4" w14:textId="77777777" w:rsidR="007B485D" w:rsidRPr="00727DFA" w:rsidRDefault="007B485D" w:rsidP="002D6DD7">
            <w:pPr>
              <w:jc w:val="both"/>
              <w:rPr>
                <w:rFonts w:eastAsia="DengXian"/>
                <w:szCs w:val="24"/>
              </w:rPr>
            </w:pPr>
            <w:r w:rsidRPr="00727DFA">
              <w:rPr>
                <w:rFonts w:eastAsia="DengXian"/>
                <w:szCs w:val="24"/>
              </w:rPr>
              <w:t>Child &gt;4weeks (14-19.9kg): 2</w:t>
            </w:r>
            <m:oMath>
              <m:f>
                <m:fPr>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two times daily</w:t>
            </w:r>
          </w:p>
          <w:p w14:paraId="68FDCA24" w14:textId="77777777" w:rsidR="007B485D" w:rsidRPr="00727DFA" w:rsidRDefault="007B485D" w:rsidP="002D6DD7">
            <w:pPr>
              <w:jc w:val="both"/>
              <w:rPr>
                <w:rFonts w:eastAsia="DengXian"/>
                <w:szCs w:val="24"/>
              </w:rPr>
            </w:pPr>
            <w:r w:rsidRPr="00727DFA">
              <w:rPr>
                <w:rFonts w:eastAsia="DengXian"/>
                <w:szCs w:val="24"/>
              </w:rPr>
              <w:t xml:space="preserve">Child &gt;4weeks (20 – 24.9 kg): 3 tablets two times daily </w:t>
            </w:r>
          </w:p>
        </w:tc>
      </w:tr>
      <w:tr w:rsidR="007B485D" w:rsidRPr="00727DFA" w14:paraId="1250D74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C07EAE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46CBC4FC" w14:textId="77777777" w:rsidR="007B485D" w:rsidRPr="00727DFA" w:rsidRDefault="007B485D" w:rsidP="002D6DD7">
            <w:pPr>
              <w:jc w:val="both"/>
              <w:rPr>
                <w:rFonts w:eastAsia="DengXian"/>
                <w:szCs w:val="24"/>
              </w:rPr>
            </w:pPr>
            <w:r w:rsidRPr="00727DFA">
              <w:rPr>
                <w:rFonts w:eastAsia="DengXian"/>
                <w:szCs w:val="24"/>
              </w:rPr>
              <w:t>Refer to individual drug monograph</w:t>
            </w:r>
            <w:r>
              <w:rPr>
                <w:rFonts w:eastAsia="DengXian"/>
                <w:szCs w:val="24"/>
              </w:rPr>
              <w:t>.</w:t>
            </w:r>
          </w:p>
        </w:tc>
      </w:tr>
      <w:tr w:rsidR="007B485D" w:rsidRPr="00727DFA" w14:paraId="127C6A8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260AA6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1176B7F8" w14:textId="77777777" w:rsidR="007B485D" w:rsidRPr="00727DFA" w:rsidRDefault="007B485D" w:rsidP="002D6DD7">
            <w:pPr>
              <w:jc w:val="both"/>
              <w:rPr>
                <w:rFonts w:eastAsia="DengXian"/>
                <w:szCs w:val="24"/>
              </w:rPr>
            </w:pPr>
            <w:r w:rsidRPr="00727DFA">
              <w:rPr>
                <w:rFonts w:eastAsia="DengXian"/>
                <w:szCs w:val="24"/>
              </w:rPr>
              <w:t>Refer to individual drug monograph</w:t>
            </w:r>
            <w:r>
              <w:rPr>
                <w:rFonts w:eastAsia="DengXian"/>
                <w:szCs w:val="24"/>
              </w:rPr>
              <w:t>.</w:t>
            </w:r>
          </w:p>
        </w:tc>
      </w:tr>
      <w:tr w:rsidR="007B485D" w:rsidRPr="00727DFA" w14:paraId="47AE371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A108BAC"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77CB2743" w14:textId="77777777" w:rsidR="007B485D" w:rsidRPr="00727DFA" w:rsidRDefault="007B485D" w:rsidP="002D6DD7">
            <w:pPr>
              <w:jc w:val="both"/>
              <w:rPr>
                <w:rFonts w:eastAsia="DengXian"/>
                <w:szCs w:val="24"/>
              </w:rPr>
            </w:pPr>
            <w:r w:rsidRPr="00727DFA">
              <w:rPr>
                <w:rFonts w:eastAsia="DengXian"/>
                <w:szCs w:val="24"/>
              </w:rPr>
              <w:t>Refer to individual drug monograph</w:t>
            </w:r>
            <w:r>
              <w:rPr>
                <w:rFonts w:eastAsia="DengXian"/>
                <w:szCs w:val="24"/>
              </w:rPr>
              <w:t>.</w:t>
            </w:r>
          </w:p>
        </w:tc>
      </w:tr>
      <w:tr w:rsidR="007B485D" w:rsidRPr="00727DFA" w14:paraId="413C739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1854475"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709FE5B6" w14:textId="77777777" w:rsidR="007B485D" w:rsidRPr="00727DFA" w:rsidRDefault="007B485D" w:rsidP="002D6DD7">
            <w:pPr>
              <w:jc w:val="both"/>
              <w:rPr>
                <w:rFonts w:eastAsia="DengXian"/>
                <w:szCs w:val="24"/>
              </w:rPr>
            </w:pPr>
            <w:r w:rsidRPr="00727DFA">
              <w:rPr>
                <w:rFonts w:eastAsia="DengXian"/>
                <w:szCs w:val="24"/>
              </w:rPr>
              <w:t>Refer to individual drug monograph</w:t>
            </w:r>
            <w:r>
              <w:rPr>
                <w:rFonts w:eastAsia="DengXian"/>
                <w:szCs w:val="24"/>
              </w:rPr>
              <w:t>.</w:t>
            </w:r>
          </w:p>
        </w:tc>
      </w:tr>
      <w:tr w:rsidR="007B485D" w:rsidRPr="00727DFA" w14:paraId="29E4131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72AA88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4A90A3AD" w14:textId="77777777" w:rsidR="007B485D" w:rsidRPr="00727DFA" w:rsidRDefault="007B485D" w:rsidP="002D6DD7">
            <w:pPr>
              <w:jc w:val="both"/>
              <w:rPr>
                <w:rFonts w:eastAsia="DengXian"/>
                <w:szCs w:val="24"/>
              </w:rPr>
            </w:pPr>
            <w:r w:rsidRPr="00727DFA">
              <w:rPr>
                <w:rFonts w:eastAsia="DengXian"/>
                <w:szCs w:val="24"/>
              </w:rPr>
              <w:t>Store below 30ºC</w:t>
            </w:r>
            <w:r>
              <w:rPr>
                <w:rFonts w:eastAsia="DengXian"/>
                <w:szCs w:val="24"/>
              </w:rPr>
              <w:t>.</w:t>
            </w:r>
          </w:p>
        </w:tc>
      </w:tr>
      <w:tr w:rsidR="007B485D" w:rsidRPr="00727DFA" w14:paraId="751BF8CA"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2DBE35A0" w14:textId="77777777" w:rsidR="007B485D" w:rsidRPr="00727DFA" w:rsidRDefault="007B485D" w:rsidP="002D6DD7">
            <w:pPr>
              <w:jc w:val="both"/>
              <w:rPr>
                <w:rFonts w:eastAsia="DengXian"/>
                <w:b/>
                <w:bCs/>
                <w:szCs w:val="24"/>
              </w:rPr>
            </w:pPr>
            <w:r w:rsidRPr="00727DFA">
              <w:rPr>
                <w:rFonts w:eastAsia="DengXian"/>
                <w:b/>
                <w:bCs/>
                <w:szCs w:val="24"/>
              </w:rPr>
              <w:t xml:space="preserve">Lopinavir + </w:t>
            </w:r>
            <w:r>
              <w:rPr>
                <w:rFonts w:eastAsia="DengXian"/>
                <w:b/>
                <w:bCs/>
                <w:szCs w:val="24"/>
              </w:rPr>
              <w:t>r</w:t>
            </w:r>
            <w:r w:rsidRPr="00727DFA">
              <w:rPr>
                <w:rFonts w:eastAsia="DengXian"/>
                <w:b/>
                <w:bCs/>
                <w:szCs w:val="24"/>
              </w:rPr>
              <w:t>itonavir</w:t>
            </w:r>
          </w:p>
        </w:tc>
      </w:tr>
      <w:tr w:rsidR="007B485D" w:rsidRPr="00727DFA" w14:paraId="139F8FE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D244A0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0438D712" w14:textId="77777777" w:rsidR="007B485D" w:rsidRPr="00727DFA" w:rsidRDefault="007B485D" w:rsidP="002D6DD7">
            <w:pPr>
              <w:jc w:val="both"/>
              <w:rPr>
                <w:rFonts w:eastAsia="DengXian"/>
                <w:szCs w:val="24"/>
              </w:rPr>
            </w:pPr>
            <w:r w:rsidRPr="00727DFA">
              <w:rPr>
                <w:rFonts w:eastAsia="DengXian"/>
                <w:szCs w:val="24"/>
              </w:rPr>
              <w:t xml:space="preserve">Combination of antiretrovirals </w:t>
            </w:r>
          </w:p>
        </w:tc>
      </w:tr>
      <w:tr w:rsidR="007B485D" w:rsidRPr="00810924" w14:paraId="7BFCA96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B614E6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0F091D42" w14:textId="77777777" w:rsidR="007B485D" w:rsidRPr="00727DFA" w:rsidRDefault="007B485D" w:rsidP="002D6DD7">
            <w:pPr>
              <w:jc w:val="both"/>
              <w:rPr>
                <w:rFonts w:eastAsia="DengXian"/>
                <w:szCs w:val="24"/>
                <w:lang w:val="nb-NO"/>
              </w:rPr>
            </w:pPr>
            <w:r w:rsidRPr="00727DFA">
              <w:rPr>
                <w:rFonts w:eastAsia="DengXian"/>
                <w:szCs w:val="24"/>
                <w:lang w:val="nb-NO"/>
              </w:rPr>
              <w:t>Oral suspension: 80mg + 20mg/ml</w:t>
            </w:r>
          </w:p>
          <w:p w14:paraId="6BB43907" w14:textId="77777777" w:rsidR="007B485D" w:rsidRPr="00727DFA" w:rsidRDefault="007B485D" w:rsidP="002D6DD7">
            <w:pPr>
              <w:jc w:val="both"/>
              <w:rPr>
                <w:rFonts w:eastAsia="DengXian"/>
                <w:szCs w:val="24"/>
                <w:lang w:val="nb-NO"/>
              </w:rPr>
            </w:pPr>
            <w:r w:rsidRPr="00727DFA">
              <w:rPr>
                <w:rFonts w:eastAsia="DengXian"/>
                <w:szCs w:val="24"/>
                <w:lang w:val="nb-NO"/>
              </w:rPr>
              <w:t>Tablet: 40mg + 10 mg, 200mg + 50mg, 100mg + 25mg</w:t>
            </w:r>
          </w:p>
        </w:tc>
      </w:tr>
      <w:tr w:rsidR="007B485D" w:rsidRPr="00727DFA" w14:paraId="0A951E1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6FB583E"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13750031" w14:textId="77777777" w:rsidR="007B485D" w:rsidRPr="00727DFA" w:rsidRDefault="007B485D" w:rsidP="002D6DD7">
            <w:pPr>
              <w:jc w:val="both"/>
              <w:rPr>
                <w:rFonts w:eastAsia="DengXian"/>
                <w:szCs w:val="24"/>
              </w:rPr>
            </w:pPr>
            <w:r w:rsidRPr="00727DFA">
              <w:rPr>
                <w:rFonts w:eastAsia="DengXian"/>
                <w:szCs w:val="24"/>
              </w:rPr>
              <w:t>Treatment of HIV-1 infection, in combination with other antiretroviral agents.</w:t>
            </w:r>
          </w:p>
        </w:tc>
      </w:tr>
      <w:tr w:rsidR="007B485D" w:rsidRPr="00727DFA" w14:paraId="3D29072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5AFF402"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1A30A52E" w14:textId="77777777" w:rsidR="007B485D" w:rsidRPr="00727DFA" w:rsidRDefault="007B485D" w:rsidP="002D6DD7">
            <w:pPr>
              <w:jc w:val="both"/>
              <w:rPr>
                <w:rFonts w:eastAsia="DengXian"/>
                <w:szCs w:val="24"/>
              </w:rPr>
            </w:pPr>
            <w:r w:rsidRPr="00100DEB">
              <w:rPr>
                <w:rFonts w:eastAsia="DengXian"/>
                <w:b/>
                <w:bCs/>
                <w:szCs w:val="24"/>
              </w:rPr>
              <w:t>Adult</w:t>
            </w:r>
            <w:r w:rsidRPr="00727DFA">
              <w:rPr>
                <w:rFonts w:eastAsia="DengXian"/>
                <w:szCs w:val="24"/>
              </w:rPr>
              <w:t>: two 200/50 mg tablets twice daily</w:t>
            </w:r>
          </w:p>
          <w:p w14:paraId="573D8EE1" w14:textId="77777777" w:rsidR="007B485D" w:rsidRPr="00727DFA" w:rsidRDefault="007B485D" w:rsidP="002D6DD7">
            <w:pPr>
              <w:jc w:val="both"/>
              <w:rPr>
                <w:rFonts w:eastAsia="DengXian"/>
                <w:b/>
                <w:szCs w:val="24"/>
              </w:rPr>
            </w:pPr>
            <w:r>
              <w:rPr>
                <w:rFonts w:eastAsia="DengXian"/>
                <w:b/>
                <w:szCs w:val="24"/>
              </w:rPr>
              <w:t xml:space="preserve">Child; </w:t>
            </w:r>
            <w:r w:rsidRPr="00100DEB">
              <w:rPr>
                <w:rFonts w:eastAsia="DengXian"/>
                <w:b/>
                <w:szCs w:val="24"/>
              </w:rPr>
              <w:t>Lopinavir 40 mg + ritonavir 10 mg</w:t>
            </w:r>
          </w:p>
          <w:p w14:paraId="6F9F3E47" w14:textId="77777777" w:rsidR="007B485D" w:rsidRPr="00727DFA" w:rsidRDefault="007B485D" w:rsidP="002D6DD7">
            <w:pPr>
              <w:jc w:val="both"/>
              <w:rPr>
                <w:rFonts w:eastAsia="DengXian"/>
                <w:szCs w:val="24"/>
              </w:rPr>
            </w:pPr>
            <w:r w:rsidRPr="00727DFA">
              <w:rPr>
                <w:rFonts w:eastAsia="DengXian"/>
                <w:szCs w:val="24"/>
              </w:rPr>
              <w:t xml:space="preserve">Child &gt;4weeks (3-5.9kg): 2 tablets twice daily </w:t>
            </w:r>
          </w:p>
          <w:p w14:paraId="4B252340" w14:textId="77777777" w:rsidR="007B485D" w:rsidRPr="00727DFA" w:rsidRDefault="007B485D" w:rsidP="002D6DD7">
            <w:pPr>
              <w:jc w:val="both"/>
              <w:rPr>
                <w:rFonts w:eastAsia="DengXian"/>
                <w:szCs w:val="24"/>
              </w:rPr>
            </w:pPr>
            <w:r w:rsidRPr="00727DFA">
              <w:rPr>
                <w:rFonts w:eastAsia="DengXian"/>
                <w:szCs w:val="24"/>
              </w:rPr>
              <w:lastRenderedPageBreak/>
              <w:t>Child &gt;4weeks (6-9.9kg): 3 tablets twice daily</w:t>
            </w:r>
          </w:p>
          <w:p w14:paraId="6AC63905" w14:textId="77777777" w:rsidR="007B485D" w:rsidRPr="00727DFA" w:rsidRDefault="007B485D" w:rsidP="002D6DD7">
            <w:pPr>
              <w:jc w:val="both"/>
              <w:rPr>
                <w:rFonts w:eastAsia="DengXian"/>
                <w:szCs w:val="24"/>
              </w:rPr>
            </w:pPr>
            <w:r w:rsidRPr="00727DFA">
              <w:rPr>
                <w:rFonts w:eastAsia="DengXian"/>
                <w:szCs w:val="24"/>
              </w:rPr>
              <w:t>Child &gt;4weeks (10-13.9kg): 4 tablets twice daily</w:t>
            </w:r>
          </w:p>
          <w:p w14:paraId="51866ECD" w14:textId="77777777" w:rsidR="007B485D" w:rsidRPr="00727DFA" w:rsidRDefault="007B485D" w:rsidP="002D6DD7">
            <w:pPr>
              <w:jc w:val="both"/>
              <w:rPr>
                <w:rFonts w:eastAsia="DengXian"/>
                <w:szCs w:val="24"/>
              </w:rPr>
            </w:pPr>
            <w:r w:rsidRPr="00727DFA">
              <w:rPr>
                <w:rFonts w:eastAsia="DengXian"/>
                <w:szCs w:val="24"/>
              </w:rPr>
              <w:t>Child &gt;4weeks (14-19.9kg): 5 tablets twice daily</w:t>
            </w:r>
          </w:p>
          <w:p w14:paraId="2D557D39" w14:textId="77777777" w:rsidR="007B485D" w:rsidRPr="00727DFA" w:rsidRDefault="007B485D" w:rsidP="002D6DD7">
            <w:pPr>
              <w:jc w:val="both"/>
              <w:rPr>
                <w:rFonts w:eastAsia="DengXian"/>
                <w:szCs w:val="24"/>
              </w:rPr>
            </w:pPr>
            <w:r w:rsidRPr="00727DFA">
              <w:rPr>
                <w:rFonts w:eastAsia="DengXian"/>
                <w:szCs w:val="24"/>
              </w:rPr>
              <w:t>Child &gt;4weeks (20 – 24.9 kg): 6 tablets twice daily</w:t>
            </w:r>
          </w:p>
          <w:p w14:paraId="43B1C9E0" w14:textId="77777777" w:rsidR="007B485D" w:rsidRPr="00727DFA" w:rsidRDefault="007B485D" w:rsidP="002D6DD7">
            <w:pPr>
              <w:jc w:val="both"/>
              <w:rPr>
                <w:rFonts w:eastAsia="DengXian"/>
                <w:b/>
                <w:szCs w:val="24"/>
              </w:rPr>
            </w:pPr>
            <w:r w:rsidRPr="00727DFA">
              <w:rPr>
                <w:rFonts w:eastAsia="DengXian"/>
                <w:b/>
                <w:szCs w:val="24"/>
              </w:rPr>
              <w:t>Lopinavir 200 mg + ritonavir 50 mg</w:t>
            </w:r>
          </w:p>
          <w:p w14:paraId="169A6BDF" w14:textId="77777777" w:rsidR="007B485D" w:rsidRPr="00727DFA" w:rsidRDefault="007B485D" w:rsidP="002D6DD7">
            <w:pPr>
              <w:jc w:val="both"/>
              <w:rPr>
                <w:rFonts w:eastAsia="DengXian"/>
                <w:szCs w:val="24"/>
              </w:rPr>
            </w:pPr>
            <w:r w:rsidRPr="00727DFA">
              <w:rPr>
                <w:rFonts w:eastAsia="DengXian"/>
                <w:szCs w:val="24"/>
              </w:rPr>
              <w:t xml:space="preserve">Child &gt;4weeks (25 – 35 kg):   2 tablets in the morning, 1 tablet at night </w:t>
            </w:r>
          </w:p>
        </w:tc>
      </w:tr>
      <w:tr w:rsidR="007B485D" w:rsidRPr="00727DFA" w14:paraId="017F413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A044566"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40E738EA"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drugs</w:t>
            </w:r>
            <w:r w:rsidRPr="00727DFA">
              <w:rPr>
                <w:rFonts w:eastAsia="DengXian"/>
                <w:szCs w:val="24"/>
              </w:rPr>
              <w:t>, severe hepatic impairment, severe renal impairment, co administration of amiodarone, cisapride, calcium channel blockers</w:t>
            </w:r>
            <w:r>
              <w:rPr>
                <w:rFonts w:eastAsia="DengXian"/>
                <w:szCs w:val="24"/>
              </w:rPr>
              <w:t>.</w:t>
            </w:r>
          </w:p>
        </w:tc>
      </w:tr>
      <w:tr w:rsidR="007B485D" w:rsidRPr="00727DFA" w14:paraId="462F38E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9F5135A"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19F424A9" w14:textId="77777777" w:rsidR="007B485D" w:rsidRPr="00727DFA" w:rsidRDefault="007B485D" w:rsidP="002D6DD7">
            <w:pPr>
              <w:jc w:val="both"/>
              <w:rPr>
                <w:rFonts w:eastAsia="DengXian"/>
                <w:szCs w:val="24"/>
              </w:rPr>
            </w:pPr>
            <w:r w:rsidRPr="00727DFA">
              <w:rPr>
                <w:rFonts w:eastAsia="DengXian"/>
                <w:szCs w:val="24"/>
              </w:rPr>
              <w:t xml:space="preserve">Lopinavir/ritonavir combination interacts with substrates, inducers and inhibitors of CYP </w:t>
            </w:r>
            <w:r w:rsidRPr="00727DFA">
              <w:rPr>
                <w:rFonts w:eastAsia="DengXian"/>
                <w:szCs w:val="24"/>
                <w:vertAlign w:val="subscript"/>
              </w:rPr>
              <w:t>3A4</w:t>
            </w:r>
            <w:r w:rsidRPr="00727DFA">
              <w:rPr>
                <w:rFonts w:eastAsia="DengXian"/>
                <w:szCs w:val="24"/>
              </w:rPr>
              <w:t>, consider drug-drug interaction potential to reduce risk of serious or life-threatening adverse reactions</w:t>
            </w:r>
            <w:r>
              <w:rPr>
                <w:rFonts w:eastAsia="DengXian"/>
                <w:szCs w:val="24"/>
              </w:rPr>
              <w:t>.</w:t>
            </w:r>
          </w:p>
        </w:tc>
      </w:tr>
      <w:tr w:rsidR="007B485D" w:rsidRPr="00727DFA" w14:paraId="04C8E31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CA5EAE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2430F237" w14:textId="77777777" w:rsidR="007B485D" w:rsidRPr="00727DFA" w:rsidRDefault="007B485D" w:rsidP="002D6DD7">
            <w:pPr>
              <w:jc w:val="both"/>
              <w:rPr>
                <w:rFonts w:eastAsia="DengXian"/>
                <w:szCs w:val="24"/>
              </w:rPr>
            </w:pPr>
            <w:r w:rsidRPr="00727DFA">
              <w:rPr>
                <w:rFonts w:eastAsia="DengXian"/>
                <w:szCs w:val="24"/>
              </w:rPr>
              <w:t>Diarrhea, vomiting, nausea, abdominal pain, dyspepsia, rash, hypercholesterolemia, triglyceride increase, hyperglycemia, hyperuricemia, fat redistribution, liver impairment, QT and PR interval prolongation</w:t>
            </w:r>
            <w:r>
              <w:rPr>
                <w:rFonts w:eastAsia="DengXian"/>
                <w:szCs w:val="24"/>
              </w:rPr>
              <w:t>.</w:t>
            </w:r>
          </w:p>
        </w:tc>
      </w:tr>
      <w:tr w:rsidR="007B485D" w:rsidRPr="00727DFA" w14:paraId="1DD15BD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9BD1BFC"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56E76D95" w14:textId="77777777" w:rsidR="007B485D" w:rsidRPr="00727DFA" w:rsidRDefault="007B485D" w:rsidP="002D6DD7">
            <w:pPr>
              <w:jc w:val="both"/>
              <w:rPr>
                <w:rFonts w:eastAsia="DengXian"/>
                <w:szCs w:val="24"/>
              </w:rPr>
            </w:pPr>
            <w:r w:rsidRPr="00727DFA">
              <w:rPr>
                <w:rFonts w:eastAsia="DengXian"/>
                <w:szCs w:val="24"/>
              </w:rPr>
              <w:t>Cardiac conduction disorders, electrolyte disturbances, predisposition to QT interval prolongation</w:t>
            </w:r>
            <w:r>
              <w:rPr>
                <w:rFonts w:eastAsia="DengXian"/>
                <w:szCs w:val="24"/>
              </w:rPr>
              <w:t xml:space="preserve">, </w:t>
            </w:r>
            <w:r w:rsidRPr="00727DFA">
              <w:rPr>
                <w:rFonts w:eastAsia="DengXian"/>
                <w:szCs w:val="24"/>
              </w:rPr>
              <w:t xml:space="preserve">mild </w:t>
            </w:r>
            <w:r>
              <w:rPr>
                <w:rFonts w:eastAsia="DengXian"/>
                <w:szCs w:val="24"/>
              </w:rPr>
              <w:t>to</w:t>
            </w:r>
            <w:r w:rsidRPr="00727DFA">
              <w:rPr>
                <w:rFonts w:eastAsia="DengXian"/>
                <w:szCs w:val="24"/>
              </w:rPr>
              <w:t xml:space="preserve"> moderate hepatic impairment, nephrolithiasis, diabetes mellitus</w:t>
            </w:r>
            <w:r>
              <w:rPr>
                <w:rFonts w:eastAsia="DengXian"/>
                <w:szCs w:val="24"/>
              </w:rPr>
              <w:t>.</w:t>
            </w:r>
          </w:p>
          <w:p w14:paraId="0763E192" w14:textId="77777777" w:rsidR="007B485D" w:rsidRPr="00727DFA" w:rsidRDefault="007B485D" w:rsidP="002D6DD7">
            <w:pPr>
              <w:jc w:val="both"/>
              <w:rPr>
                <w:rFonts w:eastAsia="DengXian"/>
                <w:szCs w:val="24"/>
              </w:rPr>
            </w:pPr>
          </w:p>
        </w:tc>
      </w:tr>
      <w:tr w:rsidR="007B485D" w:rsidRPr="00727DFA" w14:paraId="1538106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3BDB4C8"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1FCD166E" w14:textId="77777777" w:rsidR="007B485D" w:rsidRPr="00727DFA" w:rsidRDefault="007B485D" w:rsidP="002D6DD7">
            <w:pPr>
              <w:jc w:val="both"/>
              <w:rPr>
                <w:rFonts w:eastAsia="DengXian"/>
                <w:szCs w:val="24"/>
              </w:rPr>
            </w:pPr>
            <w:r w:rsidRPr="00727DFA">
              <w:rPr>
                <w:rFonts w:eastAsia="DengXian"/>
                <w:szCs w:val="24"/>
              </w:rPr>
              <w:t>Tablets: store below 30°C</w:t>
            </w:r>
            <w:r>
              <w:rPr>
                <w:rFonts w:eastAsia="DengXian"/>
                <w:szCs w:val="24"/>
              </w:rPr>
              <w:t>.</w:t>
            </w:r>
          </w:p>
          <w:p w14:paraId="19E22F2A" w14:textId="77777777" w:rsidR="007B485D" w:rsidRPr="00727DFA" w:rsidRDefault="007B485D" w:rsidP="002D6DD7">
            <w:pPr>
              <w:jc w:val="both"/>
              <w:rPr>
                <w:rFonts w:eastAsia="DengXian"/>
                <w:szCs w:val="24"/>
              </w:rPr>
            </w:pPr>
            <w:r w:rsidRPr="00727DFA">
              <w:rPr>
                <w:rFonts w:eastAsia="DengXian"/>
                <w:szCs w:val="24"/>
              </w:rPr>
              <w:t>Oral solution: store between 2°C - 8°C</w:t>
            </w:r>
            <w:r>
              <w:rPr>
                <w:rFonts w:eastAsia="DengXian"/>
                <w:szCs w:val="24"/>
              </w:rPr>
              <w:t>.</w:t>
            </w:r>
          </w:p>
        </w:tc>
      </w:tr>
      <w:tr w:rsidR="007B485D" w:rsidRPr="00727DFA" w14:paraId="0A42D374"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22D96D4C" w14:textId="77777777" w:rsidR="007B485D" w:rsidRPr="00727DFA" w:rsidRDefault="007B485D" w:rsidP="002D6DD7">
            <w:pPr>
              <w:jc w:val="both"/>
              <w:rPr>
                <w:rFonts w:eastAsia="DengXian"/>
                <w:b/>
                <w:bCs/>
                <w:szCs w:val="24"/>
              </w:rPr>
            </w:pPr>
            <w:r w:rsidRPr="00727DFA">
              <w:rPr>
                <w:rFonts w:eastAsia="DengXian"/>
                <w:b/>
                <w:bCs/>
                <w:szCs w:val="24"/>
              </w:rPr>
              <w:t>Nevirapine</w:t>
            </w:r>
          </w:p>
        </w:tc>
      </w:tr>
      <w:tr w:rsidR="007B485D" w:rsidRPr="00727DFA" w14:paraId="61E1BBB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0B6D09F"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406E488A" w14:textId="77777777" w:rsidR="007B485D" w:rsidRPr="00727DFA" w:rsidRDefault="007B485D" w:rsidP="002D6DD7">
            <w:pPr>
              <w:jc w:val="both"/>
              <w:rPr>
                <w:rFonts w:eastAsia="DengXian"/>
                <w:szCs w:val="24"/>
              </w:rPr>
            </w:pPr>
            <w:r w:rsidRPr="00727DFA">
              <w:rPr>
                <w:rFonts w:eastAsia="DengXian"/>
                <w:szCs w:val="24"/>
              </w:rPr>
              <w:t xml:space="preserve">Non-Nucleoside reverse transcriptase inhibitors (NNRTIs), Antiretroviral </w:t>
            </w:r>
          </w:p>
        </w:tc>
      </w:tr>
      <w:tr w:rsidR="007B485D" w:rsidRPr="00727DFA" w14:paraId="4D18634C"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BEC00D4" w14:textId="77777777" w:rsidR="007B485D" w:rsidRPr="00727DFA" w:rsidRDefault="007B485D" w:rsidP="002D6DD7">
            <w:pPr>
              <w:jc w:val="both"/>
              <w:rPr>
                <w:rFonts w:eastAsia="DengXian"/>
                <w:szCs w:val="24"/>
              </w:rPr>
            </w:pPr>
            <w:r w:rsidRPr="00727DFA">
              <w:rPr>
                <w:rFonts w:eastAsia="DengXian"/>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17E87D37" w14:textId="77777777" w:rsidR="007B485D" w:rsidRPr="00727DFA" w:rsidRDefault="007B485D" w:rsidP="002D6DD7">
            <w:pPr>
              <w:jc w:val="both"/>
              <w:rPr>
                <w:rFonts w:eastAsia="DengXian"/>
                <w:szCs w:val="24"/>
              </w:rPr>
            </w:pPr>
            <w:r w:rsidRPr="00727DFA">
              <w:rPr>
                <w:rFonts w:eastAsia="DengXian"/>
                <w:szCs w:val="24"/>
              </w:rPr>
              <w:t xml:space="preserve">Syrup: 10mg/ml </w:t>
            </w:r>
          </w:p>
        </w:tc>
      </w:tr>
      <w:tr w:rsidR="007B485D" w:rsidRPr="00727DFA" w14:paraId="6DEE5FC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BA63CEA" w14:textId="77777777" w:rsidR="007B485D" w:rsidRPr="00727DFA" w:rsidRDefault="007B485D" w:rsidP="002D6DD7">
            <w:pPr>
              <w:jc w:val="both"/>
              <w:rPr>
                <w:rFonts w:eastAsia="DengXian"/>
                <w:szCs w:val="24"/>
              </w:rPr>
            </w:pPr>
            <w:r w:rsidRPr="00100DEB">
              <w:rPr>
                <w:rFonts w:eastAsia="DengXian"/>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737BC2D5" w14:textId="77777777" w:rsidR="007B485D" w:rsidRPr="00727DFA" w:rsidRDefault="007B485D" w:rsidP="002D6DD7">
            <w:pPr>
              <w:jc w:val="both"/>
              <w:rPr>
                <w:rFonts w:eastAsia="DengXian"/>
                <w:szCs w:val="24"/>
              </w:rPr>
            </w:pPr>
            <w:r w:rsidRPr="00727DFA">
              <w:rPr>
                <w:rFonts w:eastAsia="DengXian"/>
                <w:szCs w:val="24"/>
              </w:rPr>
              <w:t xml:space="preserve">Prevention of mother to child transmission </w:t>
            </w:r>
          </w:p>
        </w:tc>
      </w:tr>
      <w:tr w:rsidR="007B485D" w:rsidRPr="00727DFA" w14:paraId="48D1152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CDE80E8"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2F043619" w14:textId="77777777" w:rsidR="007B485D" w:rsidRPr="00727DFA" w:rsidRDefault="007B485D" w:rsidP="002D6DD7">
            <w:pPr>
              <w:jc w:val="both"/>
              <w:rPr>
                <w:rFonts w:eastAsia="DengXian"/>
                <w:szCs w:val="24"/>
              </w:rPr>
            </w:pPr>
            <w:r w:rsidRPr="00727DFA">
              <w:rPr>
                <w:rFonts w:eastAsia="DengXian"/>
                <w:b/>
                <w:szCs w:val="24"/>
              </w:rPr>
              <w:t>Children &gt; 4 weeks of age (liquid formulation 10mg/ml</w:t>
            </w:r>
            <w:r w:rsidRPr="00727DFA">
              <w:rPr>
                <w:rFonts w:eastAsia="DengXian"/>
                <w:szCs w:val="24"/>
              </w:rPr>
              <w:t>):</w:t>
            </w:r>
            <w:r>
              <w:rPr>
                <w:rFonts w:eastAsia="DengXian"/>
                <w:szCs w:val="24"/>
              </w:rPr>
              <w:t xml:space="preserve"> </w:t>
            </w:r>
            <w:r w:rsidRPr="00727DFA">
              <w:rPr>
                <w:rFonts w:eastAsia="DengXian"/>
                <w:b/>
                <w:szCs w:val="24"/>
              </w:rPr>
              <w:t>Oral;</w:t>
            </w:r>
          </w:p>
          <w:p w14:paraId="4F9C33A0" w14:textId="77777777" w:rsidR="007B485D" w:rsidRPr="00727DFA" w:rsidRDefault="007B485D" w:rsidP="002D6DD7">
            <w:pPr>
              <w:jc w:val="both"/>
              <w:rPr>
                <w:rFonts w:eastAsia="DengXian"/>
                <w:szCs w:val="24"/>
              </w:rPr>
            </w:pPr>
            <w:r w:rsidRPr="00727DFA">
              <w:rPr>
                <w:rFonts w:eastAsia="DengXian"/>
                <w:szCs w:val="24"/>
              </w:rPr>
              <w:t>Body weight 3-5.9kg: 5 ml twice daily</w:t>
            </w:r>
          </w:p>
          <w:p w14:paraId="36755319" w14:textId="77777777" w:rsidR="007B485D" w:rsidRPr="00727DFA" w:rsidRDefault="007B485D" w:rsidP="002D6DD7">
            <w:pPr>
              <w:jc w:val="both"/>
              <w:rPr>
                <w:rFonts w:eastAsia="DengXian"/>
                <w:szCs w:val="24"/>
              </w:rPr>
            </w:pPr>
            <w:r w:rsidRPr="00727DFA">
              <w:rPr>
                <w:rFonts w:eastAsia="DengXian"/>
                <w:szCs w:val="24"/>
              </w:rPr>
              <w:t>Body weight 6-9.9 kg: 8ml twice daily</w:t>
            </w:r>
          </w:p>
          <w:p w14:paraId="4E01B4FB" w14:textId="77777777" w:rsidR="007B485D" w:rsidRPr="00727DFA" w:rsidRDefault="007B485D" w:rsidP="002D6DD7">
            <w:pPr>
              <w:jc w:val="both"/>
              <w:rPr>
                <w:rFonts w:eastAsia="DengXian"/>
                <w:szCs w:val="24"/>
              </w:rPr>
            </w:pPr>
            <w:r w:rsidRPr="00727DFA">
              <w:rPr>
                <w:rFonts w:eastAsia="DengXian"/>
                <w:szCs w:val="24"/>
              </w:rPr>
              <w:t>Body weight 10.13.9 kg: 10 ml twice daily</w:t>
            </w:r>
          </w:p>
          <w:p w14:paraId="3288E54A" w14:textId="77777777" w:rsidR="007B485D" w:rsidRPr="00727DFA" w:rsidRDefault="007B485D" w:rsidP="002D6DD7">
            <w:pPr>
              <w:jc w:val="both"/>
              <w:rPr>
                <w:rFonts w:eastAsia="DengXian"/>
                <w:szCs w:val="24"/>
              </w:rPr>
            </w:pPr>
            <w:r w:rsidRPr="00727DFA">
              <w:rPr>
                <w:rFonts w:eastAsia="DengXian"/>
                <w:szCs w:val="24"/>
              </w:rPr>
              <w:lastRenderedPageBreak/>
              <w:t>Body weight &gt;14 kg: recommended to use adult dose</w:t>
            </w:r>
          </w:p>
        </w:tc>
      </w:tr>
      <w:tr w:rsidR="007B485D" w:rsidRPr="00727DFA" w14:paraId="7201CA2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8249D9C"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4FBF1E7F" w14:textId="77777777" w:rsidR="007B485D" w:rsidRPr="00727DFA" w:rsidRDefault="007B485D" w:rsidP="002D6DD7">
            <w:pPr>
              <w:jc w:val="both"/>
              <w:rPr>
                <w:rFonts w:eastAsia="DengXian"/>
                <w:szCs w:val="24"/>
              </w:rPr>
            </w:pPr>
            <w:r w:rsidRPr="00727DFA">
              <w:rPr>
                <w:rFonts w:eastAsia="DengXian"/>
                <w:szCs w:val="24"/>
              </w:rPr>
              <w:t>Hypersensitivity to nevirapine</w:t>
            </w:r>
            <w:r>
              <w:rPr>
                <w:rFonts w:eastAsia="DengXian"/>
                <w:szCs w:val="24"/>
              </w:rPr>
              <w:t>.</w:t>
            </w:r>
          </w:p>
        </w:tc>
      </w:tr>
      <w:tr w:rsidR="007B485D" w:rsidRPr="00727DFA" w14:paraId="5F27693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9B4EFBE"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3D5E2111" w14:textId="77777777" w:rsidR="007B485D" w:rsidRPr="00727DFA" w:rsidRDefault="007B485D" w:rsidP="002D6DD7">
            <w:pPr>
              <w:jc w:val="both"/>
              <w:rPr>
                <w:rFonts w:eastAsia="DengXian"/>
                <w:szCs w:val="24"/>
              </w:rPr>
            </w:pPr>
            <w:r w:rsidRPr="00727DFA">
              <w:rPr>
                <w:rFonts w:eastAsia="DengXian"/>
                <w:szCs w:val="24"/>
              </w:rPr>
              <w:t>Clarithromycin, fluconazole, calcium channel blockers, warfarin</w:t>
            </w:r>
            <w:r>
              <w:rPr>
                <w:rFonts w:eastAsia="DengXian"/>
                <w:szCs w:val="24"/>
              </w:rPr>
              <w:t xml:space="preserve">, </w:t>
            </w:r>
            <w:r w:rsidRPr="00873AF2">
              <w:rPr>
                <w:rFonts w:eastAsia="DengXian"/>
                <w:szCs w:val="24"/>
              </w:rPr>
              <w:t>arethemeter/lumefantrine, atazanavir, carbamazepine, efivarenz, erythromycin, ketoconazole, bedaquiline, darunavir, simvastatin, lopinavir</w:t>
            </w:r>
          </w:p>
        </w:tc>
      </w:tr>
      <w:tr w:rsidR="007B485D" w:rsidRPr="00727DFA" w14:paraId="55574B8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5FCF76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54AB93F0" w14:textId="77777777" w:rsidR="007B485D" w:rsidRPr="00727DFA" w:rsidRDefault="007B485D" w:rsidP="002D6DD7">
            <w:pPr>
              <w:jc w:val="both"/>
              <w:rPr>
                <w:rFonts w:eastAsia="DengXian"/>
                <w:szCs w:val="24"/>
              </w:rPr>
            </w:pPr>
            <w:r w:rsidRPr="00727DFA">
              <w:rPr>
                <w:rFonts w:eastAsia="DengXian"/>
                <w:szCs w:val="24"/>
              </w:rPr>
              <w:t xml:space="preserve">Rash, Stevens-Johnson syndrome, toxic epidermal necrolysis, hepatitis or jaundice, nausea, vomiting, abdominal pain, diarrhea, headache, drowsiness, fatigue, </w:t>
            </w:r>
            <w:r w:rsidRPr="0063309C">
              <w:rPr>
                <w:rFonts w:eastAsia="DengXian"/>
                <w:szCs w:val="24"/>
              </w:rPr>
              <w:t>fever, hypersensitivity reactions, anaphylaxis, angioedema, urticaria,</w:t>
            </w:r>
            <w:r w:rsidRPr="00873AF2">
              <w:rPr>
                <w:rFonts w:eastAsia="DengXian"/>
                <w:szCs w:val="24"/>
              </w:rPr>
              <w:t xml:space="preserve"> neutropenia,</w:t>
            </w:r>
            <w:r>
              <w:rPr>
                <w:rFonts w:eastAsia="DengXian"/>
                <w:szCs w:val="24"/>
              </w:rPr>
              <w:t xml:space="preserve"> </w:t>
            </w:r>
            <w:r w:rsidRPr="00873AF2">
              <w:rPr>
                <w:rFonts w:eastAsia="DengXian"/>
                <w:szCs w:val="24"/>
              </w:rPr>
              <w:t>ulcerative stomatitis,</w:t>
            </w:r>
            <w:r>
              <w:rPr>
                <w:rFonts w:eastAsia="DengXian"/>
                <w:szCs w:val="24"/>
              </w:rPr>
              <w:t xml:space="preserve"> </w:t>
            </w:r>
            <w:r w:rsidRPr="00873AF2">
              <w:rPr>
                <w:rFonts w:eastAsia="DengXian"/>
                <w:szCs w:val="24"/>
              </w:rPr>
              <w:t>peripheral neuropathy</w:t>
            </w:r>
            <w:r>
              <w:rPr>
                <w:rFonts w:eastAsia="DengXian"/>
                <w:szCs w:val="24"/>
              </w:rPr>
              <w:t>.</w:t>
            </w:r>
          </w:p>
        </w:tc>
      </w:tr>
      <w:tr w:rsidR="007B485D" w:rsidRPr="00727DFA" w14:paraId="7FED407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0F8949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2B6940F2" w14:textId="77777777" w:rsidR="007B485D" w:rsidRPr="00727DFA" w:rsidRDefault="007B485D" w:rsidP="002D6DD7">
            <w:pPr>
              <w:jc w:val="both"/>
              <w:rPr>
                <w:rFonts w:eastAsia="DengXian"/>
                <w:szCs w:val="24"/>
              </w:rPr>
            </w:pPr>
            <w:r w:rsidRPr="00727DFA">
              <w:rPr>
                <w:rFonts w:eastAsia="DengXian"/>
                <w:szCs w:val="24"/>
              </w:rPr>
              <w:t>Hepatic and renal impairment</w:t>
            </w:r>
            <w:r>
              <w:rPr>
                <w:rFonts w:eastAsia="DengXian"/>
                <w:szCs w:val="24"/>
              </w:rPr>
              <w:t>.</w:t>
            </w:r>
          </w:p>
        </w:tc>
      </w:tr>
      <w:tr w:rsidR="007B485D" w:rsidRPr="00727DFA" w14:paraId="0F9638F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BCE995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4FDDEB3C"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463F9C77"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1113F8E1" w14:textId="77777777" w:rsidR="007B485D" w:rsidRPr="00727DFA" w:rsidRDefault="007B485D" w:rsidP="002D6DD7">
            <w:pPr>
              <w:jc w:val="both"/>
              <w:rPr>
                <w:rFonts w:eastAsia="DengXian"/>
                <w:b/>
                <w:bCs/>
                <w:szCs w:val="24"/>
                <w:lang w:val="fr-FR"/>
              </w:rPr>
            </w:pPr>
            <w:r w:rsidRPr="00727DFA">
              <w:rPr>
                <w:rFonts w:eastAsia="DengXian"/>
                <w:b/>
                <w:bCs/>
                <w:szCs w:val="24"/>
              </w:rPr>
              <w:t>Raltegravir</w:t>
            </w:r>
          </w:p>
        </w:tc>
      </w:tr>
      <w:tr w:rsidR="007B485D" w:rsidRPr="00727DFA" w14:paraId="65B8580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1625B13"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054C9337" w14:textId="77777777" w:rsidR="007B485D" w:rsidRPr="00727DFA" w:rsidRDefault="007B485D" w:rsidP="002D6DD7">
            <w:pPr>
              <w:jc w:val="both"/>
              <w:rPr>
                <w:rFonts w:eastAsia="DengXian"/>
                <w:szCs w:val="24"/>
              </w:rPr>
            </w:pPr>
            <w:r w:rsidRPr="00727DFA">
              <w:rPr>
                <w:rFonts w:eastAsia="DengXian"/>
                <w:szCs w:val="24"/>
              </w:rPr>
              <w:t xml:space="preserve">Integrase inhibitor, </w:t>
            </w:r>
            <w:r>
              <w:rPr>
                <w:rFonts w:eastAsia="DengXian"/>
                <w:szCs w:val="24"/>
              </w:rPr>
              <w:t>a</w:t>
            </w:r>
            <w:r w:rsidRPr="00727DFA">
              <w:rPr>
                <w:rFonts w:eastAsia="DengXian"/>
                <w:szCs w:val="24"/>
              </w:rPr>
              <w:t>ntiretroviral</w:t>
            </w:r>
          </w:p>
        </w:tc>
      </w:tr>
      <w:tr w:rsidR="007B485D" w:rsidRPr="00727DFA" w14:paraId="7A657DA4"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C1512F3"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7F84E664" w14:textId="77777777" w:rsidR="007B485D" w:rsidRPr="00727DFA" w:rsidRDefault="007B485D" w:rsidP="002D6DD7">
            <w:pPr>
              <w:jc w:val="both"/>
              <w:rPr>
                <w:rFonts w:eastAsia="DengXian"/>
                <w:szCs w:val="24"/>
                <w:lang w:val="nb-NO"/>
              </w:rPr>
            </w:pPr>
            <w:r w:rsidRPr="00727DFA">
              <w:rPr>
                <w:rFonts w:eastAsia="DengXian"/>
                <w:szCs w:val="24"/>
                <w:lang w:val="nb-NO"/>
              </w:rPr>
              <w:t>Tablet (chewable): 25mg, 100mg</w:t>
            </w:r>
          </w:p>
          <w:p w14:paraId="28877CBF"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400mg </w:t>
            </w:r>
          </w:p>
          <w:p w14:paraId="70C96CF2" w14:textId="77777777" w:rsidR="007B485D" w:rsidRPr="00727DFA" w:rsidRDefault="007B485D" w:rsidP="002D6DD7">
            <w:pPr>
              <w:jc w:val="both"/>
              <w:rPr>
                <w:rFonts w:eastAsia="DengXian"/>
                <w:szCs w:val="24"/>
              </w:rPr>
            </w:pPr>
            <w:r w:rsidRPr="00727DFA">
              <w:rPr>
                <w:rFonts w:eastAsia="DengXian"/>
                <w:szCs w:val="24"/>
              </w:rPr>
              <w:t>Granules for oral suspension: 100mg /sachet</w:t>
            </w:r>
          </w:p>
        </w:tc>
      </w:tr>
      <w:tr w:rsidR="007B485D" w:rsidRPr="00727DFA" w14:paraId="76B3892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291F4FD"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547063DA" w14:textId="77777777" w:rsidR="007B485D" w:rsidRPr="00727DFA" w:rsidRDefault="007B485D" w:rsidP="002D6DD7">
            <w:pPr>
              <w:jc w:val="both"/>
              <w:rPr>
                <w:rFonts w:eastAsia="DengXian"/>
                <w:szCs w:val="24"/>
              </w:rPr>
            </w:pPr>
            <w:r w:rsidRPr="00727DFA">
              <w:rPr>
                <w:rFonts w:eastAsia="DengXian"/>
                <w:szCs w:val="24"/>
              </w:rPr>
              <w:t>In combination with other antiretroviral drugs for HIV infection resistant to multiple antiretrovirals</w:t>
            </w:r>
            <w:r>
              <w:rPr>
                <w:rFonts w:eastAsia="DengXian"/>
                <w:szCs w:val="24"/>
              </w:rPr>
              <w:t>.</w:t>
            </w:r>
          </w:p>
        </w:tc>
      </w:tr>
      <w:tr w:rsidR="007B485D" w:rsidRPr="00727DFA" w14:paraId="3573FEA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0A1404F"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252CF7E2"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w:t>
            </w:r>
          </w:p>
          <w:p w14:paraId="492E6321" w14:textId="77777777" w:rsidR="007B485D" w:rsidRPr="00727DFA" w:rsidRDefault="007B485D" w:rsidP="002D6DD7">
            <w:pPr>
              <w:jc w:val="both"/>
              <w:rPr>
                <w:rFonts w:eastAsia="DengXian"/>
                <w:szCs w:val="24"/>
              </w:rPr>
            </w:pPr>
            <w:r w:rsidRPr="00727DFA">
              <w:rPr>
                <w:rFonts w:eastAsia="DengXian"/>
                <w:b/>
                <w:szCs w:val="24"/>
              </w:rPr>
              <w:t>Adult and child over 16 years</w:t>
            </w:r>
            <w:r w:rsidRPr="00727DFA">
              <w:rPr>
                <w:rFonts w:eastAsia="DengXian"/>
                <w:szCs w:val="24"/>
              </w:rPr>
              <w:t>: 400 mg twice daily</w:t>
            </w:r>
          </w:p>
          <w:p w14:paraId="139DD483" w14:textId="77777777" w:rsidR="007B485D" w:rsidRPr="00727DFA" w:rsidRDefault="007B485D" w:rsidP="002D6DD7">
            <w:pPr>
              <w:jc w:val="both"/>
              <w:rPr>
                <w:rFonts w:eastAsia="DengXian"/>
                <w:b/>
                <w:szCs w:val="24"/>
              </w:rPr>
            </w:pPr>
            <w:r w:rsidRPr="00727DFA">
              <w:rPr>
                <w:rFonts w:eastAsia="DengXian"/>
                <w:b/>
                <w:szCs w:val="24"/>
              </w:rPr>
              <w:t>Children &gt; 4 weeks of age (chewable tablet):</w:t>
            </w:r>
          </w:p>
          <w:p w14:paraId="28EE722B" w14:textId="77777777" w:rsidR="007B485D" w:rsidRPr="00727DFA" w:rsidRDefault="007B485D" w:rsidP="002D6DD7">
            <w:pPr>
              <w:jc w:val="both"/>
              <w:rPr>
                <w:rFonts w:eastAsia="DengXian"/>
                <w:szCs w:val="24"/>
              </w:rPr>
            </w:pPr>
            <w:r w:rsidRPr="00727DFA">
              <w:rPr>
                <w:rFonts w:eastAsia="DengXian"/>
                <w:szCs w:val="24"/>
              </w:rPr>
              <w:t>Body weight 3-5.9kg: 25 mg twice daily</w:t>
            </w:r>
          </w:p>
          <w:p w14:paraId="5E9EA786" w14:textId="77777777" w:rsidR="007B485D" w:rsidRPr="00727DFA" w:rsidRDefault="007B485D" w:rsidP="002D6DD7">
            <w:pPr>
              <w:jc w:val="both"/>
              <w:rPr>
                <w:rFonts w:eastAsia="DengXian"/>
                <w:szCs w:val="24"/>
              </w:rPr>
            </w:pPr>
            <w:r w:rsidRPr="00727DFA">
              <w:rPr>
                <w:rFonts w:eastAsia="DengXian"/>
                <w:szCs w:val="24"/>
              </w:rPr>
              <w:t>Body weight 6-9.9 kg: 50 mg twice daily</w:t>
            </w:r>
          </w:p>
          <w:p w14:paraId="078D9999" w14:textId="77777777" w:rsidR="007B485D" w:rsidRPr="00727DFA" w:rsidRDefault="007B485D" w:rsidP="002D6DD7">
            <w:pPr>
              <w:jc w:val="both"/>
              <w:rPr>
                <w:rFonts w:eastAsia="DengXian"/>
                <w:szCs w:val="24"/>
              </w:rPr>
            </w:pPr>
            <w:r w:rsidRPr="00727DFA">
              <w:rPr>
                <w:rFonts w:eastAsia="DengXian"/>
                <w:szCs w:val="24"/>
              </w:rPr>
              <w:t>Body weight 10.13.9 kg: 75 mg twice daily</w:t>
            </w:r>
          </w:p>
          <w:p w14:paraId="5E4A34DB" w14:textId="77777777" w:rsidR="007B485D" w:rsidRPr="00727DFA" w:rsidRDefault="007B485D" w:rsidP="002D6DD7">
            <w:pPr>
              <w:jc w:val="both"/>
              <w:rPr>
                <w:rFonts w:eastAsia="DengXian"/>
                <w:szCs w:val="24"/>
              </w:rPr>
            </w:pPr>
            <w:r w:rsidRPr="00727DFA">
              <w:rPr>
                <w:rFonts w:eastAsia="DengXian"/>
                <w:szCs w:val="24"/>
              </w:rPr>
              <w:t>Body weight 14-19.9 kg: 100 mg twice daily</w:t>
            </w:r>
          </w:p>
          <w:p w14:paraId="5FDAB130" w14:textId="77777777" w:rsidR="007B485D" w:rsidRPr="00727DFA" w:rsidRDefault="007B485D" w:rsidP="002D6DD7">
            <w:pPr>
              <w:jc w:val="both"/>
              <w:rPr>
                <w:rFonts w:eastAsia="DengXian"/>
                <w:szCs w:val="24"/>
              </w:rPr>
            </w:pPr>
            <w:r w:rsidRPr="00727DFA">
              <w:rPr>
                <w:rFonts w:eastAsia="DengXian"/>
                <w:szCs w:val="24"/>
              </w:rPr>
              <w:t>Body weight 20-24.9 kg: 150 mg twice daily</w:t>
            </w:r>
          </w:p>
          <w:p w14:paraId="63CC7366" w14:textId="77777777" w:rsidR="007B485D" w:rsidRPr="00727DFA" w:rsidRDefault="007B485D" w:rsidP="002D6DD7">
            <w:pPr>
              <w:jc w:val="both"/>
              <w:rPr>
                <w:rFonts w:eastAsia="DengXian"/>
                <w:szCs w:val="24"/>
              </w:rPr>
            </w:pPr>
            <w:r w:rsidRPr="00727DFA">
              <w:rPr>
                <w:rFonts w:eastAsia="DengXian"/>
                <w:szCs w:val="24"/>
              </w:rPr>
              <w:t>Body weight 25-34.9 kg: 400 mg twice daily</w:t>
            </w:r>
          </w:p>
        </w:tc>
      </w:tr>
      <w:tr w:rsidR="007B485D" w:rsidRPr="00727DFA" w14:paraId="057D7D3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DFD040A"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2E90D664" w14:textId="77777777" w:rsidR="007B485D" w:rsidRPr="00727DFA" w:rsidRDefault="007B485D" w:rsidP="002D6DD7">
            <w:pPr>
              <w:jc w:val="both"/>
              <w:rPr>
                <w:rFonts w:eastAsia="DengXian"/>
                <w:szCs w:val="24"/>
              </w:rPr>
            </w:pPr>
            <w:r w:rsidRPr="00727DFA">
              <w:rPr>
                <w:rFonts w:eastAsia="DengXian"/>
                <w:szCs w:val="24"/>
              </w:rPr>
              <w:t>Hypersensitivity to raltegravi</w:t>
            </w:r>
            <w:r>
              <w:rPr>
                <w:rFonts w:eastAsia="DengXian"/>
                <w:szCs w:val="24"/>
              </w:rPr>
              <w:t>r.</w:t>
            </w:r>
          </w:p>
        </w:tc>
      </w:tr>
      <w:tr w:rsidR="007B485D" w:rsidRPr="00727DFA" w14:paraId="3F9BDA6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3A3A6EDE"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6EBC0F17" w14:textId="77777777" w:rsidR="007B485D" w:rsidRPr="00727DFA" w:rsidRDefault="007B485D" w:rsidP="002D6DD7">
            <w:pPr>
              <w:jc w:val="both"/>
              <w:rPr>
                <w:rFonts w:eastAsia="DengXian"/>
                <w:szCs w:val="24"/>
              </w:rPr>
            </w:pPr>
            <w:r w:rsidRPr="00727DFA">
              <w:rPr>
                <w:rFonts w:eastAsia="DengXian"/>
                <w:szCs w:val="24"/>
              </w:rPr>
              <w:t>Rifampicin, iron salts, aluminium and magnesium hydroxide antacid</w:t>
            </w:r>
          </w:p>
        </w:tc>
      </w:tr>
      <w:tr w:rsidR="007B485D" w:rsidRPr="00727DFA" w14:paraId="398F94F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916240A"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41717B2F" w14:textId="77777777" w:rsidR="007B485D" w:rsidRPr="00727DFA" w:rsidRDefault="007B485D" w:rsidP="002D6DD7">
            <w:pPr>
              <w:jc w:val="both"/>
              <w:rPr>
                <w:rFonts w:eastAsia="DengXian"/>
                <w:szCs w:val="24"/>
              </w:rPr>
            </w:pPr>
            <w:r w:rsidRPr="00727DFA">
              <w:rPr>
                <w:rFonts w:eastAsia="DengXian"/>
                <w:szCs w:val="24"/>
              </w:rPr>
              <w:t>Diarrhoea, flatulence, nausea, vomiting, dyspepsia,</w:t>
            </w:r>
            <w:r>
              <w:rPr>
                <w:rFonts w:eastAsia="DengXian"/>
                <w:szCs w:val="24"/>
              </w:rPr>
              <w:t xml:space="preserve"> C</w:t>
            </w:r>
            <w:r w:rsidRPr="00873AF2">
              <w:rPr>
                <w:rFonts w:eastAsia="DengXian"/>
                <w:szCs w:val="24"/>
              </w:rPr>
              <w:t>ough,</w:t>
            </w:r>
            <w:r>
              <w:rPr>
                <w:rFonts w:eastAsia="DengXian"/>
                <w:szCs w:val="24"/>
              </w:rPr>
              <w:t xml:space="preserve"> </w:t>
            </w:r>
            <w:r w:rsidRPr="00873AF2">
              <w:rPr>
                <w:rFonts w:eastAsia="DengXian"/>
                <w:szCs w:val="24"/>
              </w:rPr>
              <w:t>peripheral neuropathy, muscloskeletal pain, nasophargitis</w:t>
            </w:r>
            <w:r w:rsidRPr="0063309C">
              <w:rPr>
                <w:rFonts w:eastAsia="DengXian"/>
                <w:szCs w:val="24"/>
              </w:rPr>
              <w:t xml:space="preserve">  lipodystrophy, dyslipidemia, hypercholesterolemia, hyperglycemia, Infections, anemia, iron deficiency anemia</w:t>
            </w:r>
            <w:r w:rsidRPr="00727DFA">
              <w:rPr>
                <w:rFonts w:eastAsia="DengXian"/>
                <w:szCs w:val="24"/>
              </w:rPr>
              <w:t xml:space="preserve">, lymph node pain, lymphadenopathy, neutropenia, thrombocytopenia, decreased appetite, abnormal dreams, insomnia, nightmare, abnormal behaviour, depression, dizziness, headache, psychomotor hyperactivity, vertigo, abdominal distention, abdominal pain, rash, </w:t>
            </w:r>
            <w:r>
              <w:rPr>
                <w:rFonts w:eastAsia="DengXian"/>
                <w:szCs w:val="24"/>
              </w:rPr>
              <w:t>liver enzyme abnormality.</w:t>
            </w:r>
          </w:p>
        </w:tc>
      </w:tr>
      <w:tr w:rsidR="007B485D" w:rsidRPr="00727DFA" w14:paraId="3194520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45287DE"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7D333C11"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w:t>
            </w:r>
            <w:r w:rsidRPr="00727DFA">
              <w:rPr>
                <w:rFonts w:eastAsia="DengXian"/>
                <w:szCs w:val="24"/>
              </w:rPr>
              <w:t xml:space="preserve"> breastfeeding, risk </w:t>
            </w:r>
            <w:r>
              <w:rPr>
                <w:rFonts w:eastAsia="DengXian"/>
                <w:szCs w:val="24"/>
              </w:rPr>
              <w:t>of</w:t>
            </w:r>
            <w:r w:rsidRPr="00727DFA">
              <w:rPr>
                <w:rFonts w:eastAsia="DengXian"/>
                <w:szCs w:val="24"/>
              </w:rPr>
              <w:t xml:space="preserve"> myopathy or rhabdomyolysis, chronic hepatitis B or C, hepatic impairment, depression, previous psychiatric illness</w:t>
            </w:r>
            <w:r>
              <w:rPr>
                <w:rFonts w:eastAsia="DengXian"/>
                <w:szCs w:val="24"/>
              </w:rPr>
              <w:t>.</w:t>
            </w:r>
          </w:p>
        </w:tc>
      </w:tr>
      <w:tr w:rsidR="007B485D" w:rsidRPr="00727DFA" w14:paraId="5B47F00A"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21AFE0E"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00912513"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6AD485F5"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71D09AEE" w14:textId="77777777" w:rsidR="007B485D" w:rsidRPr="00727DFA" w:rsidRDefault="007B485D" w:rsidP="002D6DD7">
            <w:pPr>
              <w:jc w:val="both"/>
              <w:rPr>
                <w:rFonts w:eastAsia="DengXian"/>
                <w:b/>
                <w:bCs/>
                <w:szCs w:val="24"/>
              </w:rPr>
            </w:pPr>
            <w:r w:rsidRPr="00727DFA">
              <w:rPr>
                <w:rFonts w:eastAsia="DengXian"/>
                <w:b/>
                <w:bCs/>
                <w:szCs w:val="24"/>
              </w:rPr>
              <w:t>Ritonavir</w:t>
            </w:r>
          </w:p>
        </w:tc>
      </w:tr>
      <w:tr w:rsidR="007B485D" w:rsidRPr="00727DFA" w14:paraId="37870D6E"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623FE9D"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5DEBBB8E" w14:textId="77777777" w:rsidR="007B485D" w:rsidRPr="00727DFA" w:rsidRDefault="007B485D" w:rsidP="002D6DD7">
            <w:pPr>
              <w:jc w:val="both"/>
              <w:rPr>
                <w:rFonts w:eastAsia="DengXian"/>
                <w:szCs w:val="24"/>
              </w:rPr>
            </w:pPr>
            <w:r w:rsidRPr="00727DFA">
              <w:rPr>
                <w:rFonts w:eastAsia="DengXian"/>
                <w:szCs w:val="24"/>
              </w:rPr>
              <w:t>Protease inhibitor, Antiretroviral</w:t>
            </w:r>
          </w:p>
        </w:tc>
      </w:tr>
      <w:tr w:rsidR="007B485D" w:rsidRPr="00727DFA" w14:paraId="12902D9F"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31AFC71"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4D535FD4" w14:textId="77777777" w:rsidR="007B485D" w:rsidRPr="00727DFA" w:rsidRDefault="007B485D" w:rsidP="002D6DD7">
            <w:pPr>
              <w:jc w:val="both"/>
              <w:rPr>
                <w:rFonts w:eastAsia="DengXian"/>
                <w:szCs w:val="24"/>
              </w:rPr>
            </w:pPr>
            <w:r w:rsidRPr="00727DFA">
              <w:rPr>
                <w:rFonts w:eastAsia="DengXian"/>
                <w:szCs w:val="24"/>
              </w:rPr>
              <w:t>Tablets (heat stable): 25 mg, 100 mg</w:t>
            </w:r>
          </w:p>
        </w:tc>
      </w:tr>
      <w:tr w:rsidR="007B485D" w:rsidRPr="00727DFA" w14:paraId="7EBF2CB5"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032EBED"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7C91C1A7" w14:textId="77777777" w:rsidR="007B485D" w:rsidRPr="00727DFA" w:rsidRDefault="007B485D" w:rsidP="002D6DD7">
            <w:pPr>
              <w:jc w:val="both"/>
              <w:rPr>
                <w:rFonts w:eastAsia="DengXian"/>
                <w:szCs w:val="24"/>
              </w:rPr>
            </w:pPr>
            <w:r w:rsidRPr="00727DFA">
              <w:rPr>
                <w:rFonts w:eastAsia="DengXian"/>
                <w:szCs w:val="24"/>
              </w:rPr>
              <w:t>Treatment of HIV infection; as a booster to increase effect of indinavir, lopinavir or saquinavir and in combination with two other antiretroviral drugs.</w:t>
            </w:r>
          </w:p>
        </w:tc>
      </w:tr>
      <w:tr w:rsidR="007B485D" w:rsidRPr="00727DFA" w14:paraId="3EE4A7C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7232480"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6A3C0901" w14:textId="77777777" w:rsidR="007B485D" w:rsidRPr="00727DFA" w:rsidRDefault="007B485D" w:rsidP="002D6DD7">
            <w:pPr>
              <w:jc w:val="both"/>
              <w:rPr>
                <w:rFonts w:eastAsia="DengXian"/>
                <w:szCs w:val="24"/>
              </w:rPr>
            </w:pPr>
            <w:r w:rsidRPr="00727DFA">
              <w:rPr>
                <w:rFonts w:eastAsia="DengXian"/>
                <w:szCs w:val="24"/>
              </w:rPr>
              <w:t xml:space="preserve"> </w:t>
            </w:r>
            <w:r w:rsidRPr="00727DFA">
              <w:rPr>
                <w:rFonts w:eastAsia="DengXian"/>
                <w:b/>
                <w:szCs w:val="24"/>
              </w:rPr>
              <w:t>HIV infection (as a booster with other antiretroviral medicines); oral:</w:t>
            </w:r>
          </w:p>
          <w:p w14:paraId="1C3268A5"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100 mg twice daily</w:t>
            </w:r>
          </w:p>
          <w:p w14:paraId="54E55064"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w:t>
            </w:r>
          </w:p>
          <w:p w14:paraId="7C49ECFB" w14:textId="77777777" w:rsidR="007B485D" w:rsidRPr="00727DFA" w:rsidRDefault="007B485D" w:rsidP="002D6DD7">
            <w:pPr>
              <w:jc w:val="both"/>
              <w:rPr>
                <w:rFonts w:eastAsia="DengXian"/>
                <w:szCs w:val="24"/>
              </w:rPr>
            </w:pPr>
            <w:r w:rsidRPr="00727DFA">
              <w:rPr>
                <w:rFonts w:eastAsia="DengXian"/>
                <w:szCs w:val="24"/>
              </w:rPr>
              <w:t xml:space="preserve">Weight 7–14.9 kg: 3 mg/kg twice daily </w:t>
            </w:r>
          </w:p>
          <w:p w14:paraId="3B156586" w14:textId="77777777" w:rsidR="007B485D" w:rsidRPr="00727DFA" w:rsidRDefault="007B485D" w:rsidP="002D6DD7">
            <w:pPr>
              <w:jc w:val="both"/>
              <w:rPr>
                <w:rFonts w:eastAsia="DengXian"/>
                <w:szCs w:val="24"/>
              </w:rPr>
            </w:pPr>
            <w:r w:rsidRPr="00727DFA">
              <w:rPr>
                <w:rFonts w:eastAsia="DengXian"/>
                <w:szCs w:val="24"/>
              </w:rPr>
              <w:t>Weight 15–40 kg: 2.5 mg/kg twice daily (maximum 100 mg twice daily)</w:t>
            </w:r>
          </w:p>
        </w:tc>
      </w:tr>
      <w:tr w:rsidR="007B485D" w:rsidRPr="00727DFA" w14:paraId="4EADB780"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504B4C3"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00977D47" w14:textId="77777777" w:rsidR="007B485D" w:rsidRPr="00727DFA" w:rsidRDefault="007B485D" w:rsidP="002D6DD7">
            <w:pPr>
              <w:jc w:val="both"/>
              <w:rPr>
                <w:rFonts w:eastAsia="DengXian"/>
                <w:szCs w:val="24"/>
              </w:rPr>
            </w:pPr>
            <w:r w:rsidRPr="00727DFA">
              <w:rPr>
                <w:rFonts w:eastAsia="DengXian"/>
                <w:szCs w:val="24"/>
              </w:rPr>
              <w:t>Hypersensitivity to ritonavir, patients with severe hepatic impairment.</w:t>
            </w:r>
          </w:p>
        </w:tc>
      </w:tr>
      <w:tr w:rsidR="007B485D" w:rsidRPr="00727DFA" w14:paraId="527E098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96597DE"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49801A4E" w14:textId="77777777" w:rsidR="007B485D" w:rsidRPr="00727DFA" w:rsidRDefault="007B485D" w:rsidP="002D6DD7">
            <w:pPr>
              <w:jc w:val="both"/>
              <w:rPr>
                <w:rFonts w:eastAsia="DengXian"/>
                <w:szCs w:val="24"/>
              </w:rPr>
            </w:pPr>
            <w:r w:rsidRPr="00727DFA">
              <w:rPr>
                <w:rFonts w:eastAsia="DengXian"/>
                <w:szCs w:val="24"/>
              </w:rPr>
              <w:t xml:space="preserve">Amiodarone, cisapride, clozapine, pethidine, pimozide, quinidine and terfenadine, ergot alkaloids and derivatives, sedatives and hypnotics, </w:t>
            </w:r>
            <w:r w:rsidRPr="00727DFA">
              <w:rPr>
                <w:rFonts w:eastAsia="DengXian"/>
                <w:szCs w:val="24"/>
              </w:rPr>
              <w:lastRenderedPageBreak/>
              <w:t>HMG CoA reductase inhibitors, rifabutin, anticonvulsants, ketoconazole, macrolides, oral contraceptives, protease inhibitors and other drugs metabolized by CYP3A</w:t>
            </w:r>
            <w:r>
              <w:rPr>
                <w:rFonts w:eastAsia="DengXian"/>
                <w:szCs w:val="24"/>
              </w:rPr>
              <w:t>.</w:t>
            </w:r>
          </w:p>
        </w:tc>
      </w:tr>
      <w:tr w:rsidR="007B485D" w:rsidRPr="00727DFA" w14:paraId="1FCD149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83FC500"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7285" w:type="dxa"/>
            <w:tcBorders>
              <w:top w:val="single" w:sz="4" w:space="0" w:color="auto"/>
              <w:left w:val="single" w:sz="4" w:space="0" w:color="auto"/>
              <w:bottom w:val="single" w:sz="4" w:space="0" w:color="auto"/>
              <w:right w:val="single" w:sz="4" w:space="0" w:color="auto"/>
            </w:tcBorders>
            <w:hideMark/>
          </w:tcPr>
          <w:p w14:paraId="517565BE" w14:textId="77777777" w:rsidR="007B485D" w:rsidRPr="00727DFA" w:rsidRDefault="007B485D" w:rsidP="002D6DD7">
            <w:pPr>
              <w:jc w:val="both"/>
              <w:rPr>
                <w:rFonts w:eastAsia="DengXian"/>
                <w:szCs w:val="24"/>
              </w:rPr>
            </w:pPr>
            <w:r w:rsidRPr="00727DFA">
              <w:rPr>
                <w:rFonts w:eastAsia="DengXian"/>
                <w:szCs w:val="24"/>
              </w:rPr>
              <w:t>Nausea, vomiting, diarrhea, taste disturbances, dyspepsia, anorexia, peripheral paresthesia, dizziness, sleep disturbances, fatigue, rash, hypersensitivity reactions, sweating, pruritus, electrolyte disturbances, anemia, neutropenia, pancreatitis, lipodystrophy and metabolic syndrome, vasodilatation, hypotension, syncope, dizziness, dehydration, renal insufficiency</w:t>
            </w:r>
            <w:r>
              <w:rPr>
                <w:rFonts w:eastAsia="DengXian"/>
                <w:szCs w:val="24"/>
              </w:rPr>
              <w:t>.</w:t>
            </w:r>
          </w:p>
        </w:tc>
      </w:tr>
      <w:tr w:rsidR="007B485D" w:rsidRPr="00727DFA" w14:paraId="0AD3D42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99B0A1F"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6BDFFC02" w14:textId="77777777" w:rsidR="007B485D" w:rsidRPr="00727DFA" w:rsidRDefault="007B485D" w:rsidP="002D6DD7">
            <w:pPr>
              <w:jc w:val="both"/>
              <w:rPr>
                <w:rFonts w:eastAsia="DengXian"/>
                <w:szCs w:val="24"/>
              </w:rPr>
            </w:pPr>
            <w:r w:rsidRPr="00727DFA">
              <w:rPr>
                <w:rFonts w:eastAsia="DengXian"/>
                <w:szCs w:val="24"/>
              </w:rPr>
              <w:t>Hepatic impairment, diabetes mellitus, haemophilia, pancreatitis, cardiac conduction disorders, structural heart disease</w:t>
            </w:r>
            <w:r>
              <w:rPr>
                <w:rFonts w:eastAsia="DengXian"/>
                <w:szCs w:val="24"/>
              </w:rPr>
              <w:t>.</w:t>
            </w:r>
          </w:p>
        </w:tc>
      </w:tr>
      <w:tr w:rsidR="007B485D" w:rsidRPr="00727DFA" w14:paraId="1D26C55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7B7DFC7B"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2B4BFC9C"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 xml:space="preserve">C </w:t>
            </w:r>
          </w:p>
        </w:tc>
      </w:tr>
      <w:tr w:rsidR="007B485D" w:rsidRPr="00727DFA" w14:paraId="202B827B" w14:textId="77777777" w:rsidTr="002D6DD7">
        <w:tc>
          <w:tcPr>
            <w:tcW w:w="9594" w:type="dxa"/>
            <w:gridSpan w:val="3"/>
            <w:tcBorders>
              <w:top w:val="single" w:sz="4" w:space="0" w:color="auto"/>
              <w:left w:val="single" w:sz="4" w:space="0" w:color="auto"/>
              <w:bottom w:val="single" w:sz="4" w:space="0" w:color="auto"/>
              <w:right w:val="single" w:sz="4" w:space="0" w:color="auto"/>
            </w:tcBorders>
            <w:hideMark/>
          </w:tcPr>
          <w:p w14:paraId="736C6354" w14:textId="77777777" w:rsidR="007B485D" w:rsidRPr="00727DFA" w:rsidRDefault="007B485D" w:rsidP="002D6DD7">
            <w:pPr>
              <w:jc w:val="both"/>
              <w:rPr>
                <w:rFonts w:eastAsia="DengXian"/>
                <w:szCs w:val="24"/>
              </w:rPr>
            </w:pPr>
            <w:r w:rsidRPr="00727DFA">
              <w:rPr>
                <w:rFonts w:eastAsia="DengXian"/>
                <w:b/>
                <w:bCs/>
                <w:szCs w:val="24"/>
              </w:rPr>
              <w:t>Zidovudine</w:t>
            </w:r>
          </w:p>
        </w:tc>
      </w:tr>
      <w:tr w:rsidR="007B485D" w:rsidRPr="00727DFA" w14:paraId="6BF62BAB"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403970FD"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285" w:type="dxa"/>
            <w:tcBorders>
              <w:top w:val="single" w:sz="4" w:space="0" w:color="auto"/>
              <w:left w:val="single" w:sz="4" w:space="0" w:color="auto"/>
              <w:bottom w:val="single" w:sz="4" w:space="0" w:color="auto"/>
              <w:right w:val="single" w:sz="4" w:space="0" w:color="auto"/>
            </w:tcBorders>
            <w:hideMark/>
          </w:tcPr>
          <w:p w14:paraId="76B07E9C" w14:textId="77777777" w:rsidR="007B485D" w:rsidRPr="00727DFA" w:rsidRDefault="007B485D" w:rsidP="002D6DD7">
            <w:pPr>
              <w:jc w:val="both"/>
              <w:rPr>
                <w:rFonts w:eastAsia="DengXian"/>
                <w:szCs w:val="24"/>
              </w:rPr>
            </w:pPr>
            <w:r w:rsidRPr="00727DFA">
              <w:rPr>
                <w:rFonts w:eastAsia="DengXian"/>
                <w:szCs w:val="24"/>
              </w:rPr>
              <w:t xml:space="preserve">Nucleoside reverse transcriptase inhibitors (NRTIs), </w:t>
            </w:r>
            <w:r>
              <w:rPr>
                <w:rFonts w:eastAsia="DengXian"/>
                <w:szCs w:val="24"/>
              </w:rPr>
              <w:t>a</w:t>
            </w:r>
            <w:r w:rsidRPr="00727DFA">
              <w:rPr>
                <w:rFonts w:eastAsia="DengXian"/>
                <w:szCs w:val="24"/>
              </w:rPr>
              <w:t>ntiretroviral</w:t>
            </w:r>
          </w:p>
        </w:tc>
      </w:tr>
      <w:tr w:rsidR="007B485D" w:rsidRPr="00727DFA" w14:paraId="7D09F847"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DF628D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285" w:type="dxa"/>
            <w:tcBorders>
              <w:top w:val="single" w:sz="4" w:space="0" w:color="auto"/>
              <w:left w:val="single" w:sz="4" w:space="0" w:color="auto"/>
              <w:bottom w:val="single" w:sz="4" w:space="0" w:color="auto"/>
              <w:right w:val="single" w:sz="4" w:space="0" w:color="auto"/>
            </w:tcBorders>
            <w:hideMark/>
          </w:tcPr>
          <w:p w14:paraId="4789CBB2" w14:textId="77777777" w:rsidR="007B485D" w:rsidRPr="00727DFA" w:rsidRDefault="007B485D" w:rsidP="002D6DD7">
            <w:pPr>
              <w:jc w:val="both"/>
              <w:rPr>
                <w:rFonts w:eastAsia="DengXian"/>
                <w:szCs w:val="24"/>
              </w:rPr>
            </w:pPr>
            <w:r w:rsidRPr="00727DFA">
              <w:rPr>
                <w:rFonts w:eastAsia="DengXian"/>
                <w:szCs w:val="24"/>
              </w:rPr>
              <w:t>Capsule: 100mg, 250mg</w:t>
            </w:r>
          </w:p>
          <w:p w14:paraId="0C5854B8" w14:textId="77777777" w:rsidR="007B485D" w:rsidRPr="00727DFA" w:rsidRDefault="007B485D" w:rsidP="002D6DD7">
            <w:pPr>
              <w:jc w:val="both"/>
              <w:rPr>
                <w:rFonts w:eastAsia="DengXian"/>
                <w:szCs w:val="24"/>
              </w:rPr>
            </w:pPr>
            <w:r w:rsidRPr="00727DFA">
              <w:rPr>
                <w:rFonts w:eastAsia="DengXian"/>
                <w:szCs w:val="24"/>
              </w:rPr>
              <w:t>Tablet: 300mg</w:t>
            </w:r>
          </w:p>
          <w:p w14:paraId="33B6BD48" w14:textId="77777777" w:rsidR="007B485D" w:rsidRPr="00727DFA" w:rsidRDefault="007B485D" w:rsidP="002D6DD7">
            <w:pPr>
              <w:jc w:val="both"/>
              <w:rPr>
                <w:rFonts w:eastAsia="DengXian"/>
                <w:szCs w:val="24"/>
              </w:rPr>
            </w:pPr>
            <w:r w:rsidRPr="00727DFA">
              <w:rPr>
                <w:rFonts w:eastAsia="DengXian"/>
                <w:szCs w:val="24"/>
              </w:rPr>
              <w:t>Injection: IV Infusion, 10mg/ml</w:t>
            </w:r>
          </w:p>
          <w:p w14:paraId="048853F8" w14:textId="77777777" w:rsidR="007B485D" w:rsidRPr="00727DFA" w:rsidRDefault="007B485D" w:rsidP="002D6DD7">
            <w:pPr>
              <w:jc w:val="both"/>
              <w:rPr>
                <w:rFonts w:eastAsia="DengXian"/>
                <w:szCs w:val="24"/>
              </w:rPr>
            </w:pPr>
            <w:r w:rsidRPr="00727DFA">
              <w:rPr>
                <w:rFonts w:eastAsia="DengXian"/>
                <w:szCs w:val="24"/>
              </w:rPr>
              <w:t>Oral liquid: 50mg/5ml</w:t>
            </w:r>
          </w:p>
        </w:tc>
      </w:tr>
      <w:tr w:rsidR="007B485D" w:rsidRPr="00727DFA" w14:paraId="1A69C0F2"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0286BBED"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285" w:type="dxa"/>
            <w:tcBorders>
              <w:top w:val="single" w:sz="4" w:space="0" w:color="auto"/>
              <w:left w:val="single" w:sz="4" w:space="0" w:color="auto"/>
              <w:bottom w:val="single" w:sz="4" w:space="0" w:color="auto"/>
              <w:right w:val="single" w:sz="4" w:space="0" w:color="auto"/>
            </w:tcBorders>
            <w:hideMark/>
          </w:tcPr>
          <w:p w14:paraId="05E41797" w14:textId="77777777" w:rsidR="007B485D" w:rsidRPr="00727DFA" w:rsidRDefault="007B485D" w:rsidP="002D6DD7">
            <w:pPr>
              <w:jc w:val="both"/>
              <w:rPr>
                <w:rFonts w:eastAsia="DengXian"/>
                <w:szCs w:val="24"/>
              </w:rPr>
            </w:pPr>
            <w:r w:rsidRPr="00727DFA">
              <w:rPr>
                <w:rFonts w:eastAsia="DengXian"/>
                <w:szCs w:val="24"/>
              </w:rPr>
              <w:t>Treatment of HIV infection, reduction of perinatal transmission of HIV and for post-exposure prophylaxis (Usually in combination with other antiretrovirals)</w:t>
            </w:r>
            <w:r>
              <w:rPr>
                <w:rFonts w:eastAsia="DengXian"/>
                <w:szCs w:val="24"/>
              </w:rPr>
              <w:t>.</w:t>
            </w:r>
          </w:p>
        </w:tc>
      </w:tr>
      <w:tr w:rsidR="007B485D" w:rsidRPr="00727DFA" w14:paraId="5A47E79D"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61BBA27"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285" w:type="dxa"/>
            <w:tcBorders>
              <w:top w:val="single" w:sz="4" w:space="0" w:color="auto"/>
              <w:left w:val="single" w:sz="4" w:space="0" w:color="auto"/>
              <w:bottom w:val="single" w:sz="4" w:space="0" w:color="auto"/>
              <w:right w:val="single" w:sz="4" w:space="0" w:color="auto"/>
            </w:tcBorders>
            <w:hideMark/>
          </w:tcPr>
          <w:p w14:paraId="50C1483D" w14:textId="77777777" w:rsidR="007B485D" w:rsidRPr="00727DFA" w:rsidRDefault="007B485D" w:rsidP="002D6DD7">
            <w:pPr>
              <w:jc w:val="both"/>
              <w:rPr>
                <w:rFonts w:eastAsia="DengXian"/>
                <w:b/>
                <w:bCs/>
                <w:szCs w:val="24"/>
              </w:rPr>
            </w:pPr>
            <w:r w:rsidRPr="00727DFA">
              <w:rPr>
                <w:rFonts w:eastAsia="DengXian"/>
                <w:b/>
                <w:bCs/>
                <w:szCs w:val="24"/>
              </w:rPr>
              <w:t xml:space="preserve">HIV infection </w:t>
            </w:r>
          </w:p>
          <w:p w14:paraId="21FD3B0E" w14:textId="77777777" w:rsidR="007B485D" w:rsidRPr="00727DFA" w:rsidRDefault="007B485D" w:rsidP="002D6DD7">
            <w:pPr>
              <w:jc w:val="both"/>
              <w:rPr>
                <w:rFonts w:eastAsia="DengXian"/>
                <w:szCs w:val="24"/>
              </w:rPr>
            </w:pPr>
            <w:r w:rsidRPr="00727DFA">
              <w:rPr>
                <w:rFonts w:eastAsia="DengXian"/>
                <w:b/>
                <w:szCs w:val="24"/>
              </w:rPr>
              <w:t>Adult and adolescents</w:t>
            </w:r>
            <w:r w:rsidRPr="00727DFA">
              <w:rPr>
                <w:rFonts w:eastAsia="DengXian"/>
                <w:szCs w:val="24"/>
              </w:rPr>
              <w:t>: 250-300 mg twice daily, oral tablet</w:t>
            </w:r>
          </w:p>
          <w:p w14:paraId="0ACF5B56" w14:textId="77777777" w:rsidR="007B485D" w:rsidRPr="00727DFA" w:rsidRDefault="007B485D" w:rsidP="002D6DD7">
            <w:pPr>
              <w:jc w:val="both"/>
              <w:rPr>
                <w:rFonts w:eastAsia="DengXian"/>
                <w:b/>
                <w:szCs w:val="24"/>
              </w:rPr>
            </w:pPr>
            <w:r w:rsidRPr="00727DFA">
              <w:rPr>
                <w:rFonts w:eastAsia="DengXian"/>
                <w:b/>
                <w:szCs w:val="24"/>
              </w:rPr>
              <w:t>Children &gt; 4 weeks of age (10mg/ml liquid formulation):</w:t>
            </w:r>
          </w:p>
          <w:p w14:paraId="4FEF9E26" w14:textId="77777777" w:rsidR="007B485D" w:rsidRPr="00727DFA" w:rsidRDefault="007B485D" w:rsidP="002D6DD7">
            <w:pPr>
              <w:jc w:val="both"/>
              <w:rPr>
                <w:rFonts w:eastAsia="DengXian"/>
                <w:szCs w:val="24"/>
              </w:rPr>
            </w:pPr>
            <w:r w:rsidRPr="00727DFA">
              <w:rPr>
                <w:rFonts w:eastAsia="DengXian"/>
                <w:szCs w:val="24"/>
              </w:rPr>
              <w:t>Body weight 3-5.9kg: 6ml twice daily</w:t>
            </w:r>
          </w:p>
          <w:p w14:paraId="36930294" w14:textId="77777777" w:rsidR="007B485D" w:rsidRPr="00727DFA" w:rsidRDefault="007B485D" w:rsidP="002D6DD7">
            <w:pPr>
              <w:jc w:val="both"/>
              <w:rPr>
                <w:rFonts w:eastAsia="DengXian"/>
                <w:szCs w:val="24"/>
              </w:rPr>
            </w:pPr>
            <w:r w:rsidRPr="00727DFA">
              <w:rPr>
                <w:rFonts w:eastAsia="DengXian"/>
                <w:szCs w:val="24"/>
              </w:rPr>
              <w:t>Body weight 6-9.9 kg: 9ml twice daily</w:t>
            </w:r>
          </w:p>
          <w:p w14:paraId="40D6BB63" w14:textId="77777777" w:rsidR="007B485D" w:rsidRPr="00727DFA" w:rsidRDefault="007B485D" w:rsidP="002D6DD7">
            <w:pPr>
              <w:jc w:val="both"/>
              <w:rPr>
                <w:rFonts w:eastAsia="DengXian"/>
                <w:szCs w:val="24"/>
              </w:rPr>
            </w:pPr>
            <w:r w:rsidRPr="00727DFA">
              <w:rPr>
                <w:rFonts w:eastAsia="DengXian"/>
                <w:szCs w:val="24"/>
              </w:rPr>
              <w:t>Body weight 10.13.9 kg: 12ml twice daily</w:t>
            </w:r>
          </w:p>
          <w:p w14:paraId="08DF93B8" w14:textId="77777777" w:rsidR="007B485D" w:rsidRPr="00727DFA" w:rsidRDefault="007B485D" w:rsidP="002D6DD7">
            <w:pPr>
              <w:jc w:val="both"/>
              <w:rPr>
                <w:rFonts w:eastAsia="DengXian"/>
                <w:szCs w:val="24"/>
              </w:rPr>
            </w:pPr>
            <w:r w:rsidRPr="00727DFA">
              <w:rPr>
                <w:rFonts w:eastAsia="DengXian"/>
                <w:szCs w:val="24"/>
              </w:rPr>
              <w:t xml:space="preserve">Body weight &gt;14-19.9 kg: adult dose recommended </w:t>
            </w:r>
          </w:p>
          <w:p w14:paraId="0432A9A7" w14:textId="77777777" w:rsidR="007B485D" w:rsidRPr="00727DFA" w:rsidRDefault="007B485D" w:rsidP="002D6DD7">
            <w:pPr>
              <w:jc w:val="both"/>
              <w:rPr>
                <w:rFonts w:eastAsia="DengXian"/>
                <w:b/>
                <w:bCs/>
                <w:szCs w:val="24"/>
              </w:rPr>
            </w:pPr>
            <w:r w:rsidRPr="00727DFA">
              <w:rPr>
                <w:rFonts w:eastAsia="DengXian"/>
                <w:b/>
                <w:bCs/>
                <w:szCs w:val="24"/>
              </w:rPr>
              <w:t>PMTCT:</w:t>
            </w:r>
          </w:p>
          <w:p w14:paraId="26A31ACD" w14:textId="77777777" w:rsidR="007B485D" w:rsidRPr="00727DFA" w:rsidRDefault="007B485D" w:rsidP="002D6DD7">
            <w:pPr>
              <w:jc w:val="both"/>
              <w:rPr>
                <w:rFonts w:eastAsia="DengXian"/>
                <w:szCs w:val="24"/>
              </w:rPr>
            </w:pPr>
            <w:r w:rsidRPr="00727DFA">
              <w:rPr>
                <w:rFonts w:eastAsia="DengXian"/>
                <w:b/>
                <w:bCs/>
                <w:szCs w:val="24"/>
              </w:rPr>
              <w:t>Newborn:</w:t>
            </w:r>
            <w:r w:rsidRPr="00727DFA">
              <w:rPr>
                <w:rFonts w:eastAsia="DengXian"/>
                <w:szCs w:val="24"/>
              </w:rPr>
              <w:t xml:space="preserve">  2mg/kg orally every 6 hours starting within 12 hours after </w:t>
            </w:r>
            <w:r w:rsidRPr="00727DFA">
              <w:rPr>
                <w:rFonts w:eastAsia="DengXian"/>
                <w:szCs w:val="24"/>
              </w:rPr>
              <w:lastRenderedPageBreak/>
              <w:t>delivery and up to 6 weeks</w:t>
            </w:r>
          </w:p>
        </w:tc>
      </w:tr>
      <w:tr w:rsidR="007B485D" w:rsidRPr="00727DFA" w14:paraId="3BB7D38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38D5445"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7285" w:type="dxa"/>
            <w:tcBorders>
              <w:top w:val="single" w:sz="4" w:space="0" w:color="auto"/>
              <w:left w:val="single" w:sz="4" w:space="0" w:color="auto"/>
              <w:bottom w:val="single" w:sz="4" w:space="0" w:color="auto"/>
              <w:right w:val="single" w:sz="4" w:space="0" w:color="auto"/>
            </w:tcBorders>
            <w:hideMark/>
          </w:tcPr>
          <w:p w14:paraId="2FE69390" w14:textId="77777777" w:rsidR="007B485D" w:rsidRPr="00727DFA" w:rsidRDefault="007B485D" w:rsidP="002D6DD7">
            <w:pPr>
              <w:jc w:val="both"/>
              <w:rPr>
                <w:rFonts w:eastAsia="DengXian"/>
                <w:szCs w:val="24"/>
              </w:rPr>
            </w:pPr>
            <w:r w:rsidRPr="00727DFA">
              <w:rPr>
                <w:rFonts w:eastAsia="DengXian"/>
                <w:szCs w:val="24"/>
              </w:rPr>
              <w:t>Abnormally low neutrophile counts or haemoglobin, neonates with hyperbilirubinemia or raised transaminase</w:t>
            </w:r>
          </w:p>
        </w:tc>
      </w:tr>
      <w:tr w:rsidR="007B485D" w:rsidRPr="00727DFA" w14:paraId="59E0F8E6"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1639CDB0"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285" w:type="dxa"/>
            <w:tcBorders>
              <w:top w:val="single" w:sz="4" w:space="0" w:color="auto"/>
              <w:left w:val="single" w:sz="4" w:space="0" w:color="auto"/>
              <w:bottom w:val="single" w:sz="4" w:space="0" w:color="auto"/>
              <w:right w:val="single" w:sz="4" w:space="0" w:color="auto"/>
            </w:tcBorders>
            <w:hideMark/>
          </w:tcPr>
          <w:p w14:paraId="429499E7" w14:textId="77777777" w:rsidR="007B485D" w:rsidRPr="00727DFA" w:rsidRDefault="007B485D" w:rsidP="002D6DD7">
            <w:pPr>
              <w:jc w:val="both"/>
              <w:rPr>
                <w:rFonts w:eastAsia="DengXian"/>
                <w:szCs w:val="24"/>
              </w:rPr>
            </w:pPr>
            <w:r w:rsidRPr="00727DFA">
              <w:rPr>
                <w:rFonts w:eastAsia="DengXian"/>
                <w:szCs w:val="24"/>
              </w:rPr>
              <w:t>Ganciclovir, fluconazole, myelosuppressive agents, probenecid, pyrimethamine, phenytoin, rifampicin, stavudine</w:t>
            </w:r>
            <w:r>
              <w:rPr>
                <w:rFonts w:eastAsia="DengXian"/>
                <w:szCs w:val="24"/>
              </w:rPr>
              <w:t>.</w:t>
            </w:r>
          </w:p>
        </w:tc>
      </w:tr>
      <w:tr w:rsidR="007B485D" w:rsidRPr="00727DFA" w14:paraId="1B7105A9"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26B9826C"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285" w:type="dxa"/>
            <w:tcBorders>
              <w:top w:val="single" w:sz="4" w:space="0" w:color="auto"/>
              <w:left w:val="single" w:sz="4" w:space="0" w:color="auto"/>
              <w:bottom w:val="single" w:sz="4" w:space="0" w:color="auto"/>
              <w:right w:val="single" w:sz="4" w:space="0" w:color="auto"/>
            </w:tcBorders>
            <w:hideMark/>
          </w:tcPr>
          <w:p w14:paraId="35CD2E2B" w14:textId="77777777" w:rsidR="007B485D" w:rsidRPr="00727DFA" w:rsidRDefault="007B485D" w:rsidP="002D6DD7">
            <w:pPr>
              <w:jc w:val="both"/>
              <w:rPr>
                <w:rFonts w:eastAsia="DengXian"/>
                <w:szCs w:val="24"/>
              </w:rPr>
            </w:pPr>
            <w:r w:rsidRPr="00727DFA">
              <w:rPr>
                <w:rFonts w:eastAsia="DengXian"/>
                <w:szCs w:val="24"/>
              </w:rPr>
              <w:t>Hematological abnormalities (anemia, thrombocytopenia and leucopoenia or neutropenia), bone marrow disorders, dyspnea, nausea, vomiting, diarrhea, abdominal pain, headache, myalgia, insomnia, myopathy, metabolic syndrome, lactic acidosis, seizures, confusion, mania, and hepatotoxicity</w:t>
            </w:r>
            <w:r>
              <w:rPr>
                <w:rFonts w:eastAsia="DengXian"/>
                <w:szCs w:val="24"/>
              </w:rPr>
              <w:t>.</w:t>
            </w:r>
          </w:p>
        </w:tc>
      </w:tr>
      <w:tr w:rsidR="007B485D" w:rsidRPr="00727DFA" w14:paraId="1D79FE43"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59F2D64C"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285" w:type="dxa"/>
            <w:tcBorders>
              <w:top w:val="single" w:sz="4" w:space="0" w:color="auto"/>
              <w:left w:val="single" w:sz="4" w:space="0" w:color="auto"/>
              <w:bottom w:val="single" w:sz="4" w:space="0" w:color="auto"/>
              <w:right w:val="single" w:sz="4" w:space="0" w:color="auto"/>
            </w:tcBorders>
            <w:hideMark/>
          </w:tcPr>
          <w:p w14:paraId="5413FA66" w14:textId="77777777" w:rsidR="007B485D" w:rsidRPr="00727DFA" w:rsidRDefault="007B485D" w:rsidP="002D6DD7">
            <w:pPr>
              <w:jc w:val="both"/>
              <w:rPr>
                <w:rFonts w:eastAsia="DengXian"/>
                <w:szCs w:val="24"/>
              </w:rPr>
            </w:pPr>
            <w:r w:rsidRPr="00727DFA">
              <w:rPr>
                <w:rFonts w:eastAsia="DengXian"/>
                <w:szCs w:val="24"/>
              </w:rPr>
              <w:t>Vitamin B</w:t>
            </w:r>
            <w:r w:rsidRPr="00727DFA">
              <w:rPr>
                <w:rFonts w:eastAsia="DengXian"/>
                <w:szCs w:val="24"/>
                <w:vertAlign w:val="subscript"/>
              </w:rPr>
              <w:t>12</w:t>
            </w:r>
            <w:r w:rsidRPr="00727DFA">
              <w:rPr>
                <w:rFonts w:eastAsia="DengXian"/>
                <w:szCs w:val="24"/>
              </w:rPr>
              <w:t xml:space="preserve"> deficiency, anemia, myelosuppression, renal impairment; hepatic impairment, risk of lactic acidosis, diabetes</w:t>
            </w:r>
            <w:r>
              <w:rPr>
                <w:rFonts w:eastAsia="DengXian"/>
                <w:szCs w:val="24"/>
              </w:rPr>
              <w:t xml:space="preserve"> mellitus.</w:t>
            </w:r>
          </w:p>
        </w:tc>
      </w:tr>
      <w:tr w:rsidR="007B485D" w:rsidRPr="00727DFA" w14:paraId="61E41591" w14:textId="77777777" w:rsidTr="002D6DD7">
        <w:trPr>
          <w:gridAfter w:val="1"/>
          <w:wAfter w:w="8" w:type="dxa"/>
        </w:trPr>
        <w:tc>
          <w:tcPr>
            <w:tcW w:w="2301" w:type="dxa"/>
            <w:tcBorders>
              <w:top w:val="single" w:sz="4" w:space="0" w:color="auto"/>
              <w:left w:val="single" w:sz="4" w:space="0" w:color="auto"/>
              <w:bottom w:val="single" w:sz="4" w:space="0" w:color="auto"/>
              <w:right w:val="single" w:sz="4" w:space="0" w:color="auto"/>
            </w:tcBorders>
            <w:hideMark/>
          </w:tcPr>
          <w:p w14:paraId="6C1C16B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7285" w:type="dxa"/>
            <w:tcBorders>
              <w:top w:val="single" w:sz="4" w:space="0" w:color="auto"/>
              <w:left w:val="single" w:sz="4" w:space="0" w:color="auto"/>
              <w:bottom w:val="single" w:sz="4" w:space="0" w:color="auto"/>
              <w:right w:val="single" w:sz="4" w:space="0" w:color="auto"/>
            </w:tcBorders>
            <w:hideMark/>
          </w:tcPr>
          <w:p w14:paraId="0C9F9A03"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bl>
    <w:p w14:paraId="061C4986" w14:textId="77777777" w:rsidR="007B485D" w:rsidRPr="00727DFA" w:rsidRDefault="007B485D" w:rsidP="007B485D">
      <w:pPr>
        <w:spacing w:after="0"/>
        <w:jc w:val="both"/>
        <w:rPr>
          <w:rFonts w:eastAsia="DengXian" w:cs="Times New Roman"/>
          <w:szCs w:val="24"/>
        </w:rPr>
      </w:pPr>
    </w:p>
    <w:p w14:paraId="063D5819" w14:textId="77777777" w:rsidR="007B485D" w:rsidRPr="003114B5" w:rsidRDefault="007B485D" w:rsidP="003114B5">
      <w:pPr>
        <w:rPr>
          <w:rFonts w:eastAsia="DengXian Light"/>
          <w:b/>
        </w:rPr>
      </w:pPr>
      <w:r w:rsidRPr="003114B5">
        <w:rPr>
          <w:rFonts w:eastAsia="DengXian Light"/>
          <w:b/>
        </w:rPr>
        <w:t xml:space="preserve">Antihepatitis </w:t>
      </w:r>
      <w:r w:rsidR="009959EE" w:rsidRPr="003114B5">
        <w:rPr>
          <w:rFonts w:eastAsia="DengXian Light"/>
          <w:b/>
        </w:rPr>
        <w:t>m</w:t>
      </w:r>
      <w:r w:rsidRPr="003114B5">
        <w:rPr>
          <w:rFonts w:eastAsia="DengXian Light"/>
          <w:b/>
        </w:rPr>
        <w:t xml:space="preserve">edicines </w:t>
      </w:r>
    </w:p>
    <w:p w14:paraId="7A697651" w14:textId="77777777" w:rsidR="007B485D" w:rsidRPr="003114B5" w:rsidRDefault="007B485D" w:rsidP="003114B5">
      <w:pPr>
        <w:spacing w:before="240"/>
        <w:rPr>
          <w:rFonts w:eastAsia="DengXian Light"/>
          <w:b/>
        </w:rPr>
      </w:pPr>
      <w:r w:rsidRPr="003114B5">
        <w:rPr>
          <w:rFonts w:eastAsia="DengXian Light"/>
          <w:b/>
        </w:rPr>
        <w:t xml:space="preserve">Medicines for </w:t>
      </w:r>
      <w:r w:rsidR="00454A61" w:rsidRPr="003114B5">
        <w:rPr>
          <w:rFonts w:eastAsia="DengXian Light"/>
          <w:b/>
        </w:rPr>
        <w:t>h</w:t>
      </w:r>
      <w:r w:rsidRPr="003114B5">
        <w:rPr>
          <w:rFonts w:eastAsia="DengXian Light"/>
          <w:b/>
        </w:rPr>
        <w:t>epatitis B</w:t>
      </w:r>
    </w:p>
    <w:tbl>
      <w:tblPr>
        <w:tblStyle w:val="TableGrid"/>
        <w:tblW w:w="9625" w:type="dxa"/>
        <w:tblLook w:val="04A0" w:firstRow="1" w:lastRow="0" w:firstColumn="1" w:lastColumn="0" w:noHBand="0" w:noVBand="1"/>
      </w:tblPr>
      <w:tblGrid>
        <w:gridCol w:w="2605"/>
        <w:gridCol w:w="7020"/>
      </w:tblGrid>
      <w:tr w:rsidR="007B485D" w:rsidRPr="00727DFA" w14:paraId="3324BB10" w14:textId="77777777" w:rsidTr="002D6DD7">
        <w:tc>
          <w:tcPr>
            <w:tcW w:w="9625" w:type="dxa"/>
            <w:gridSpan w:val="2"/>
            <w:tcBorders>
              <w:top w:val="single" w:sz="4" w:space="0" w:color="auto"/>
              <w:left w:val="single" w:sz="4" w:space="0" w:color="auto"/>
              <w:bottom w:val="single" w:sz="4" w:space="0" w:color="auto"/>
              <w:right w:val="single" w:sz="4" w:space="0" w:color="auto"/>
            </w:tcBorders>
            <w:hideMark/>
          </w:tcPr>
          <w:p w14:paraId="3AED0D51" w14:textId="77777777" w:rsidR="007B485D" w:rsidRPr="00727DFA" w:rsidRDefault="007B485D" w:rsidP="002D6DD7">
            <w:pPr>
              <w:jc w:val="both"/>
              <w:rPr>
                <w:rFonts w:eastAsia="DengXian"/>
                <w:b/>
                <w:szCs w:val="24"/>
              </w:rPr>
            </w:pPr>
            <w:bookmarkStart w:id="63" w:name="_Hlk169545464"/>
            <w:r w:rsidRPr="00727DFA">
              <w:rPr>
                <w:rFonts w:eastAsia="DengXian"/>
                <w:b/>
                <w:szCs w:val="24"/>
              </w:rPr>
              <w:t>Entecavir</w:t>
            </w:r>
          </w:p>
        </w:tc>
      </w:tr>
      <w:tr w:rsidR="007B485D" w:rsidRPr="00727DFA" w14:paraId="4169F7E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29181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020" w:type="dxa"/>
            <w:tcBorders>
              <w:top w:val="single" w:sz="4" w:space="0" w:color="auto"/>
              <w:left w:val="single" w:sz="4" w:space="0" w:color="auto"/>
              <w:bottom w:val="single" w:sz="4" w:space="0" w:color="auto"/>
              <w:right w:val="single" w:sz="4" w:space="0" w:color="auto"/>
            </w:tcBorders>
            <w:hideMark/>
          </w:tcPr>
          <w:p w14:paraId="7A8E5543" w14:textId="77777777" w:rsidR="007B485D" w:rsidRPr="00727DFA" w:rsidRDefault="007B485D" w:rsidP="002D6DD7">
            <w:pPr>
              <w:jc w:val="both"/>
              <w:rPr>
                <w:rFonts w:eastAsia="DengXian"/>
                <w:szCs w:val="24"/>
              </w:rPr>
            </w:pPr>
            <w:r w:rsidRPr="00727DFA">
              <w:rPr>
                <w:rFonts w:eastAsia="DengXian"/>
                <w:szCs w:val="24"/>
              </w:rPr>
              <w:t xml:space="preserve"> Purine analog, antiviral</w:t>
            </w:r>
          </w:p>
        </w:tc>
      </w:tr>
      <w:tr w:rsidR="007B485D" w:rsidRPr="00727DFA" w14:paraId="2A1D582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584FD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020" w:type="dxa"/>
            <w:tcBorders>
              <w:top w:val="single" w:sz="4" w:space="0" w:color="auto"/>
              <w:left w:val="single" w:sz="4" w:space="0" w:color="auto"/>
              <w:bottom w:val="single" w:sz="4" w:space="0" w:color="auto"/>
              <w:right w:val="single" w:sz="4" w:space="0" w:color="auto"/>
            </w:tcBorders>
            <w:hideMark/>
          </w:tcPr>
          <w:p w14:paraId="6BFB5BF8" w14:textId="77777777" w:rsidR="007B485D" w:rsidRPr="00727DFA" w:rsidRDefault="007B485D" w:rsidP="002D6DD7">
            <w:pPr>
              <w:jc w:val="both"/>
              <w:rPr>
                <w:rFonts w:eastAsia="DengXian"/>
                <w:szCs w:val="24"/>
              </w:rPr>
            </w:pPr>
            <w:r w:rsidRPr="00727DFA">
              <w:rPr>
                <w:rFonts w:eastAsia="DengXian"/>
                <w:szCs w:val="24"/>
              </w:rPr>
              <w:t>Tablet: 0.5mg, 1mg</w:t>
            </w:r>
          </w:p>
          <w:p w14:paraId="25041EC6" w14:textId="77777777" w:rsidR="007B485D" w:rsidRPr="00727DFA" w:rsidRDefault="007B485D" w:rsidP="002D6DD7">
            <w:pPr>
              <w:jc w:val="both"/>
              <w:rPr>
                <w:rFonts w:eastAsia="DengXian"/>
                <w:szCs w:val="24"/>
              </w:rPr>
            </w:pPr>
            <w:r w:rsidRPr="00727DFA">
              <w:rPr>
                <w:rFonts w:eastAsia="DengXian"/>
                <w:szCs w:val="24"/>
              </w:rPr>
              <w:t>Oral solution: 0.05mg/ml</w:t>
            </w:r>
          </w:p>
        </w:tc>
      </w:tr>
      <w:tr w:rsidR="007B485D" w:rsidRPr="00727DFA" w14:paraId="5437295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2CB181F"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020" w:type="dxa"/>
            <w:tcBorders>
              <w:top w:val="single" w:sz="4" w:space="0" w:color="auto"/>
              <w:left w:val="single" w:sz="4" w:space="0" w:color="auto"/>
              <w:bottom w:val="single" w:sz="4" w:space="0" w:color="auto"/>
              <w:right w:val="single" w:sz="4" w:space="0" w:color="auto"/>
            </w:tcBorders>
            <w:hideMark/>
          </w:tcPr>
          <w:p w14:paraId="04693C33" w14:textId="77777777" w:rsidR="007B485D" w:rsidRPr="00727DFA" w:rsidRDefault="007B485D" w:rsidP="002D6DD7">
            <w:pPr>
              <w:jc w:val="both"/>
              <w:rPr>
                <w:rFonts w:eastAsia="DengXian"/>
                <w:szCs w:val="24"/>
              </w:rPr>
            </w:pPr>
            <w:r w:rsidRPr="00727DFA">
              <w:rPr>
                <w:rFonts w:eastAsia="DengXian"/>
                <w:szCs w:val="24"/>
              </w:rPr>
              <w:t>Chronic hepatitis B in patients with compensated liver disease with evidence of viral replication and histologically documented active liver inflammation or fibrosis and patients with decompensated liver disease.</w:t>
            </w:r>
          </w:p>
        </w:tc>
      </w:tr>
      <w:tr w:rsidR="007B485D" w:rsidRPr="00727DFA" w14:paraId="55BCA74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3922D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020" w:type="dxa"/>
            <w:tcBorders>
              <w:top w:val="single" w:sz="4" w:space="0" w:color="auto"/>
              <w:left w:val="single" w:sz="4" w:space="0" w:color="auto"/>
              <w:bottom w:val="single" w:sz="4" w:space="0" w:color="auto"/>
              <w:right w:val="single" w:sz="4" w:space="0" w:color="auto"/>
            </w:tcBorders>
            <w:hideMark/>
          </w:tcPr>
          <w:p w14:paraId="21FAECE6" w14:textId="77777777" w:rsidR="007B485D" w:rsidRPr="00727DFA" w:rsidRDefault="007B485D" w:rsidP="002D6DD7">
            <w:pPr>
              <w:jc w:val="both"/>
              <w:rPr>
                <w:rFonts w:eastAsia="DengXian"/>
                <w:b/>
                <w:szCs w:val="24"/>
              </w:rPr>
            </w:pPr>
            <w:r w:rsidRPr="00727DFA">
              <w:rPr>
                <w:rFonts w:eastAsia="DengXian"/>
                <w:b/>
                <w:szCs w:val="24"/>
              </w:rPr>
              <w:t>Adult and adolescents ≥ 16 years</w:t>
            </w:r>
          </w:p>
          <w:p w14:paraId="325EF604" w14:textId="77777777" w:rsidR="007B485D" w:rsidRPr="00727DFA" w:rsidRDefault="007B485D" w:rsidP="002D6DD7">
            <w:pPr>
              <w:jc w:val="both"/>
              <w:rPr>
                <w:rFonts w:eastAsia="DengXian"/>
                <w:szCs w:val="24"/>
              </w:rPr>
            </w:pPr>
            <w:r w:rsidRPr="00727DFA">
              <w:rPr>
                <w:rFonts w:eastAsia="DengXian"/>
                <w:szCs w:val="24"/>
              </w:rPr>
              <w:t>Compensated liver disease:  500 micrograms once daily</w:t>
            </w:r>
          </w:p>
          <w:p w14:paraId="0010D5B8" w14:textId="77777777" w:rsidR="007B485D" w:rsidRPr="00727DFA" w:rsidRDefault="007B485D" w:rsidP="002D6DD7">
            <w:pPr>
              <w:jc w:val="both"/>
              <w:rPr>
                <w:rFonts w:eastAsia="DengXian"/>
                <w:szCs w:val="24"/>
              </w:rPr>
            </w:pPr>
            <w:r w:rsidRPr="00727DFA">
              <w:rPr>
                <w:rFonts w:eastAsia="DengXian"/>
                <w:szCs w:val="24"/>
              </w:rPr>
              <w:t xml:space="preserve">Lamivudine resistance and decompensated liver disease: 1 mg once daily </w:t>
            </w:r>
          </w:p>
          <w:p w14:paraId="20E3944A" w14:textId="77777777" w:rsidR="007B485D" w:rsidRPr="00727DFA" w:rsidRDefault="007B485D" w:rsidP="002D6DD7">
            <w:pPr>
              <w:jc w:val="both"/>
              <w:rPr>
                <w:rFonts w:eastAsia="DengXian"/>
                <w:b/>
                <w:szCs w:val="24"/>
              </w:rPr>
            </w:pPr>
            <w:r w:rsidRPr="00727DFA">
              <w:rPr>
                <w:rFonts w:eastAsia="DengXian"/>
                <w:b/>
                <w:szCs w:val="24"/>
              </w:rPr>
              <w:t xml:space="preserve">Note: </w:t>
            </w:r>
            <w:r w:rsidRPr="00873AF2">
              <w:rPr>
                <w:rFonts w:eastAsia="DengXian"/>
                <w:i/>
                <w:iCs/>
                <w:szCs w:val="24"/>
              </w:rPr>
              <w:t>safety and efficacy not established in pediatrics &lt; 2 years.</w:t>
            </w:r>
          </w:p>
        </w:tc>
      </w:tr>
      <w:tr w:rsidR="007B485D" w:rsidRPr="00727DFA" w14:paraId="283B7F0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6B73AA"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020" w:type="dxa"/>
            <w:tcBorders>
              <w:top w:val="single" w:sz="4" w:space="0" w:color="auto"/>
              <w:left w:val="single" w:sz="4" w:space="0" w:color="auto"/>
              <w:bottom w:val="single" w:sz="4" w:space="0" w:color="auto"/>
              <w:right w:val="single" w:sz="4" w:space="0" w:color="auto"/>
            </w:tcBorders>
            <w:hideMark/>
          </w:tcPr>
          <w:p w14:paraId="52412529" w14:textId="77777777" w:rsidR="007B485D" w:rsidRPr="00727DFA" w:rsidRDefault="007B485D" w:rsidP="002D6DD7">
            <w:pPr>
              <w:jc w:val="both"/>
              <w:rPr>
                <w:rFonts w:eastAsia="DengXian"/>
                <w:szCs w:val="24"/>
              </w:rPr>
            </w:pPr>
            <w:r w:rsidRPr="00727DFA">
              <w:rPr>
                <w:rFonts w:eastAsia="DengXian"/>
                <w:szCs w:val="24"/>
              </w:rPr>
              <w:t xml:space="preserve"> Hypersensitivity to </w:t>
            </w:r>
            <w:r>
              <w:rPr>
                <w:rFonts w:eastAsia="DengXian"/>
                <w:szCs w:val="24"/>
              </w:rPr>
              <w:t>the drug.</w:t>
            </w:r>
          </w:p>
        </w:tc>
      </w:tr>
      <w:tr w:rsidR="007B485D" w:rsidRPr="00727DFA" w14:paraId="176533A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84B697"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7020" w:type="dxa"/>
            <w:tcBorders>
              <w:top w:val="single" w:sz="4" w:space="0" w:color="auto"/>
              <w:left w:val="single" w:sz="4" w:space="0" w:color="auto"/>
              <w:bottom w:val="single" w:sz="4" w:space="0" w:color="auto"/>
              <w:right w:val="single" w:sz="4" w:space="0" w:color="auto"/>
            </w:tcBorders>
            <w:hideMark/>
          </w:tcPr>
          <w:p w14:paraId="375D752E" w14:textId="77777777" w:rsidR="007B485D" w:rsidRPr="00727DFA" w:rsidRDefault="007B485D" w:rsidP="002D6DD7">
            <w:pPr>
              <w:jc w:val="both"/>
              <w:rPr>
                <w:rFonts w:eastAsia="DengXian"/>
                <w:szCs w:val="24"/>
              </w:rPr>
            </w:pPr>
            <w:r w:rsidRPr="00727DFA">
              <w:rPr>
                <w:rFonts w:eastAsia="DengXian"/>
                <w:szCs w:val="24"/>
              </w:rPr>
              <w:t xml:space="preserve">aminoglycosides, amphotericin B, cyclosporine, tacrolimus, </w:t>
            </w:r>
            <w:r w:rsidRPr="0063309C">
              <w:rPr>
                <w:rFonts w:eastAsia="DengXian"/>
                <w:szCs w:val="24"/>
              </w:rPr>
              <w:t>acyclovir,</w:t>
            </w:r>
            <w:r w:rsidRPr="00873AF2">
              <w:rPr>
                <w:rFonts w:eastAsia="DengXian"/>
                <w:szCs w:val="24"/>
              </w:rPr>
              <w:t xml:space="preserve"> metformin, tenofovir, cycloserine, ganciclovir, mannitol, </w:t>
            </w:r>
            <w:r>
              <w:rPr>
                <w:rFonts w:eastAsia="DengXian"/>
                <w:szCs w:val="24"/>
              </w:rPr>
              <w:t>polymyxin and c</w:t>
            </w:r>
            <w:r w:rsidRPr="00727DFA">
              <w:rPr>
                <w:rFonts w:eastAsia="DengXian"/>
                <w:szCs w:val="24"/>
              </w:rPr>
              <w:t>o-administration of</w:t>
            </w:r>
            <w:r>
              <w:rPr>
                <w:rFonts w:eastAsia="DengXian"/>
                <w:szCs w:val="24"/>
              </w:rPr>
              <w:t xml:space="preserve"> other</w:t>
            </w:r>
            <w:r w:rsidRPr="00727DFA">
              <w:rPr>
                <w:rFonts w:eastAsia="DengXian"/>
                <w:szCs w:val="24"/>
              </w:rPr>
              <w:t xml:space="preserve"> nephrotoxic drugs:</w:t>
            </w:r>
          </w:p>
        </w:tc>
      </w:tr>
      <w:tr w:rsidR="007B485D" w:rsidRPr="00727DFA" w14:paraId="559ED11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7ACA76"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7020" w:type="dxa"/>
            <w:tcBorders>
              <w:top w:val="single" w:sz="4" w:space="0" w:color="auto"/>
              <w:left w:val="single" w:sz="4" w:space="0" w:color="auto"/>
              <w:bottom w:val="single" w:sz="4" w:space="0" w:color="auto"/>
              <w:right w:val="single" w:sz="4" w:space="0" w:color="auto"/>
            </w:tcBorders>
            <w:hideMark/>
          </w:tcPr>
          <w:p w14:paraId="21B5C6F8" w14:textId="77777777" w:rsidR="007B485D" w:rsidRPr="00727DFA" w:rsidRDefault="007B485D" w:rsidP="002D6DD7">
            <w:pPr>
              <w:jc w:val="both"/>
              <w:rPr>
                <w:rFonts w:eastAsia="DengXian"/>
                <w:szCs w:val="24"/>
              </w:rPr>
            </w:pPr>
            <w:r w:rsidRPr="00727DFA">
              <w:rPr>
                <w:rFonts w:eastAsia="DengXian"/>
                <w:szCs w:val="24"/>
              </w:rPr>
              <w:t xml:space="preserve">Diarrhea, dizziness, drowsiness, dyspepsia, fatigue, headache, insomnia, nausea, vomiting, alopecia, rash, lactic acidosis. </w:t>
            </w:r>
          </w:p>
        </w:tc>
      </w:tr>
      <w:tr w:rsidR="007B485D" w:rsidRPr="00727DFA" w14:paraId="26B6747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C92824"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020" w:type="dxa"/>
            <w:tcBorders>
              <w:top w:val="single" w:sz="4" w:space="0" w:color="auto"/>
              <w:left w:val="single" w:sz="4" w:space="0" w:color="auto"/>
              <w:bottom w:val="single" w:sz="4" w:space="0" w:color="auto"/>
              <w:right w:val="single" w:sz="4" w:space="0" w:color="auto"/>
            </w:tcBorders>
            <w:hideMark/>
          </w:tcPr>
          <w:p w14:paraId="6815C86A" w14:textId="77777777" w:rsidR="007B485D" w:rsidRPr="00727DFA" w:rsidRDefault="007B485D" w:rsidP="002D6DD7">
            <w:pPr>
              <w:jc w:val="both"/>
              <w:rPr>
                <w:rFonts w:eastAsia="DengXian"/>
                <w:szCs w:val="24"/>
              </w:rPr>
            </w:pPr>
            <w:r w:rsidRPr="00727DFA">
              <w:rPr>
                <w:rFonts w:eastAsia="DengXian"/>
                <w:szCs w:val="24"/>
              </w:rPr>
              <w:t>lamivudine-resistant chronic hepatitis B, liver impairment, renal impairment</w:t>
            </w:r>
            <w:r>
              <w:rPr>
                <w:rFonts w:eastAsia="DengXian"/>
                <w:szCs w:val="24"/>
              </w:rPr>
              <w:t>.</w:t>
            </w:r>
          </w:p>
        </w:tc>
      </w:tr>
      <w:tr w:rsidR="007B485D" w:rsidRPr="00727DFA" w14:paraId="3C9514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9E8033" w14:textId="77777777" w:rsidR="007B485D" w:rsidRPr="00727DFA" w:rsidRDefault="007B485D" w:rsidP="002D6DD7">
            <w:pPr>
              <w:jc w:val="both"/>
              <w:rPr>
                <w:rFonts w:eastAsia="DengXian"/>
                <w:bCs/>
                <w:szCs w:val="24"/>
              </w:rPr>
            </w:pPr>
            <w:r w:rsidRPr="00727DFA">
              <w:rPr>
                <w:rFonts w:eastAsia="DengXian"/>
                <w:bCs/>
                <w:szCs w:val="24"/>
              </w:rPr>
              <w:t xml:space="preserve">Storage </w:t>
            </w:r>
          </w:p>
        </w:tc>
        <w:tc>
          <w:tcPr>
            <w:tcW w:w="7020" w:type="dxa"/>
            <w:tcBorders>
              <w:top w:val="single" w:sz="4" w:space="0" w:color="auto"/>
              <w:left w:val="single" w:sz="4" w:space="0" w:color="auto"/>
              <w:bottom w:val="single" w:sz="4" w:space="0" w:color="auto"/>
              <w:right w:val="single" w:sz="4" w:space="0" w:color="auto"/>
            </w:tcBorders>
            <w:hideMark/>
          </w:tcPr>
          <w:p w14:paraId="1BA8FA3F"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41486849" w14:textId="77777777" w:rsidTr="002D6DD7">
        <w:tc>
          <w:tcPr>
            <w:tcW w:w="9625" w:type="dxa"/>
            <w:gridSpan w:val="2"/>
            <w:tcBorders>
              <w:top w:val="single" w:sz="4" w:space="0" w:color="auto"/>
              <w:left w:val="single" w:sz="4" w:space="0" w:color="auto"/>
              <w:bottom w:val="single" w:sz="4" w:space="0" w:color="auto"/>
              <w:right w:val="single" w:sz="4" w:space="0" w:color="auto"/>
            </w:tcBorders>
            <w:hideMark/>
          </w:tcPr>
          <w:p w14:paraId="3E50EAB1" w14:textId="77777777" w:rsidR="007B485D" w:rsidRPr="00727DFA" w:rsidRDefault="007B485D" w:rsidP="002D6DD7">
            <w:pPr>
              <w:jc w:val="both"/>
              <w:rPr>
                <w:rFonts w:eastAsia="DengXian"/>
                <w:b/>
                <w:szCs w:val="24"/>
              </w:rPr>
            </w:pPr>
            <w:r w:rsidRPr="00727DFA">
              <w:rPr>
                <w:rFonts w:eastAsia="DengXian"/>
                <w:b/>
                <w:szCs w:val="24"/>
              </w:rPr>
              <w:t>Tenofovir disoproxil fumarate</w:t>
            </w:r>
          </w:p>
        </w:tc>
      </w:tr>
      <w:tr w:rsidR="007B485D" w:rsidRPr="00727DFA" w14:paraId="4B60F6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D5862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7020" w:type="dxa"/>
            <w:tcBorders>
              <w:top w:val="single" w:sz="4" w:space="0" w:color="auto"/>
              <w:left w:val="single" w:sz="4" w:space="0" w:color="auto"/>
              <w:bottom w:val="single" w:sz="4" w:space="0" w:color="auto"/>
              <w:right w:val="single" w:sz="4" w:space="0" w:color="auto"/>
            </w:tcBorders>
            <w:hideMark/>
          </w:tcPr>
          <w:p w14:paraId="47881A2C" w14:textId="77777777" w:rsidR="007B485D" w:rsidRPr="00727DFA" w:rsidRDefault="007B485D" w:rsidP="002D6DD7">
            <w:pPr>
              <w:jc w:val="both"/>
              <w:rPr>
                <w:rFonts w:eastAsia="DengXian"/>
                <w:szCs w:val="24"/>
              </w:rPr>
            </w:pPr>
            <w:r w:rsidRPr="00727DFA">
              <w:rPr>
                <w:rFonts w:eastAsia="DengXian"/>
                <w:szCs w:val="24"/>
              </w:rPr>
              <w:t xml:space="preserve"> Nucleotide reverse transcriptase inhibitor, antiretroviral </w:t>
            </w:r>
          </w:p>
        </w:tc>
      </w:tr>
      <w:tr w:rsidR="007B485D" w:rsidRPr="00727DFA" w14:paraId="74FB6A6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EDE65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7020" w:type="dxa"/>
            <w:tcBorders>
              <w:top w:val="single" w:sz="4" w:space="0" w:color="auto"/>
              <w:left w:val="single" w:sz="4" w:space="0" w:color="auto"/>
              <w:bottom w:val="single" w:sz="4" w:space="0" w:color="auto"/>
              <w:right w:val="single" w:sz="4" w:space="0" w:color="auto"/>
            </w:tcBorders>
            <w:hideMark/>
          </w:tcPr>
          <w:p w14:paraId="7EAAAEA8" w14:textId="77777777" w:rsidR="007B485D" w:rsidRPr="00727DFA" w:rsidRDefault="007B485D" w:rsidP="002D6DD7">
            <w:pPr>
              <w:jc w:val="both"/>
              <w:rPr>
                <w:rFonts w:eastAsia="DengXian"/>
                <w:szCs w:val="24"/>
              </w:rPr>
            </w:pPr>
            <w:r w:rsidRPr="00727DFA">
              <w:rPr>
                <w:rFonts w:eastAsia="DengXian"/>
                <w:szCs w:val="24"/>
              </w:rPr>
              <w:t>Tablet: 300 mg</w:t>
            </w:r>
          </w:p>
        </w:tc>
      </w:tr>
      <w:tr w:rsidR="007B485D" w:rsidRPr="00727DFA" w14:paraId="59E3D41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2EBA20"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7020" w:type="dxa"/>
            <w:tcBorders>
              <w:top w:val="single" w:sz="4" w:space="0" w:color="auto"/>
              <w:left w:val="single" w:sz="4" w:space="0" w:color="auto"/>
              <w:bottom w:val="single" w:sz="4" w:space="0" w:color="auto"/>
              <w:right w:val="single" w:sz="4" w:space="0" w:color="auto"/>
            </w:tcBorders>
            <w:hideMark/>
          </w:tcPr>
          <w:p w14:paraId="57A7586E" w14:textId="77777777" w:rsidR="007B485D" w:rsidRPr="00727DFA" w:rsidRDefault="007B485D" w:rsidP="002D6DD7">
            <w:pPr>
              <w:jc w:val="both"/>
              <w:rPr>
                <w:rFonts w:eastAsia="DengXian"/>
                <w:szCs w:val="24"/>
              </w:rPr>
            </w:pPr>
            <w:r w:rsidRPr="00727DFA">
              <w:rPr>
                <w:rFonts w:eastAsia="DengXian"/>
                <w:szCs w:val="24"/>
              </w:rPr>
              <w:t>Chronic hepatitis B infection with compensated liver disease with evidence of viral replication and histologically documented active liver inflammation or fibrosis.</w:t>
            </w:r>
          </w:p>
          <w:p w14:paraId="49F86913" w14:textId="77777777" w:rsidR="007B485D" w:rsidRPr="00727DFA" w:rsidRDefault="007B485D" w:rsidP="002D6DD7">
            <w:pPr>
              <w:jc w:val="both"/>
              <w:rPr>
                <w:rFonts w:eastAsia="DengXian"/>
                <w:szCs w:val="24"/>
              </w:rPr>
            </w:pPr>
            <w:r w:rsidRPr="00727DFA">
              <w:rPr>
                <w:rFonts w:eastAsia="DengXian"/>
                <w:szCs w:val="24"/>
              </w:rPr>
              <w:t xml:space="preserve">Treatment, pre and post exposure prophylaxis of HIV-1, in combination with other antiretroviral drugs. </w:t>
            </w:r>
          </w:p>
        </w:tc>
      </w:tr>
      <w:tr w:rsidR="007B485D" w:rsidRPr="00727DFA" w14:paraId="111BA9B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4B8C0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7020" w:type="dxa"/>
            <w:tcBorders>
              <w:top w:val="single" w:sz="4" w:space="0" w:color="auto"/>
              <w:left w:val="single" w:sz="4" w:space="0" w:color="auto"/>
              <w:bottom w:val="single" w:sz="4" w:space="0" w:color="auto"/>
              <w:right w:val="single" w:sz="4" w:space="0" w:color="auto"/>
            </w:tcBorders>
            <w:hideMark/>
          </w:tcPr>
          <w:p w14:paraId="3147F26A" w14:textId="77777777" w:rsidR="007B485D" w:rsidRPr="00727DFA" w:rsidRDefault="007B485D" w:rsidP="002D6DD7">
            <w:pPr>
              <w:jc w:val="both"/>
              <w:rPr>
                <w:rFonts w:eastAsia="DengXian"/>
                <w:szCs w:val="24"/>
              </w:rPr>
            </w:pPr>
            <w:r w:rsidRPr="00727DFA">
              <w:rPr>
                <w:rFonts w:eastAsia="DengXian"/>
                <w:b/>
                <w:szCs w:val="24"/>
              </w:rPr>
              <w:t>Chronic hepatitis B</w:t>
            </w:r>
            <w:r w:rsidRPr="00727DFA">
              <w:rPr>
                <w:rFonts w:eastAsia="DengXian"/>
                <w:szCs w:val="24"/>
              </w:rPr>
              <w:t xml:space="preserve">:  </w:t>
            </w:r>
          </w:p>
          <w:p w14:paraId="302B8860" w14:textId="77777777" w:rsidR="007B485D" w:rsidRPr="00727DFA" w:rsidRDefault="007B485D" w:rsidP="002D6DD7">
            <w:pPr>
              <w:jc w:val="both"/>
              <w:rPr>
                <w:rFonts w:eastAsia="DengXian"/>
                <w:szCs w:val="24"/>
              </w:rPr>
            </w:pPr>
            <w:r>
              <w:rPr>
                <w:rFonts w:eastAsia="DengXian"/>
                <w:b/>
                <w:szCs w:val="24"/>
              </w:rPr>
              <w:t xml:space="preserve">Child </w:t>
            </w:r>
            <w:r w:rsidRPr="00727DFA">
              <w:rPr>
                <w:rFonts w:eastAsia="DengXian"/>
                <w:szCs w:val="24"/>
              </w:rPr>
              <w:t>(</w:t>
            </w:r>
            <w:r w:rsidRPr="00727DFA">
              <w:rPr>
                <w:rFonts w:eastAsia="DengXian"/>
                <w:b/>
                <w:szCs w:val="24"/>
              </w:rPr>
              <w:t xml:space="preserve">body weight </w:t>
            </w:r>
            <m:oMath>
              <m:r>
                <m:rPr>
                  <m:sty m:val="bi"/>
                </m:rPr>
                <w:rPr>
                  <w:rFonts w:ascii="Cambria Math" w:eastAsia="DengXian" w:hAnsi="Cambria Math"/>
                  <w:szCs w:val="24"/>
                </w:rPr>
                <m:t>≥</m:t>
              </m:r>
            </m:oMath>
            <w:r w:rsidRPr="00727DFA">
              <w:rPr>
                <w:rFonts w:eastAsia="DengXian"/>
                <w:b/>
                <w:szCs w:val="24"/>
              </w:rPr>
              <w:t>35 kg) and adult</w:t>
            </w:r>
            <w:r w:rsidRPr="00727DFA">
              <w:rPr>
                <w:rFonts w:eastAsia="DengXian"/>
                <w:szCs w:val="24"/>
              </w:rPr>
              <w:t>: 300 mg once daily.</w:t>
            </w:r>
          </w:p>
        </w:tc>
      </w:tr>
      <w:tr w:rsidR="007B485D" w:rsidRPr="00727DFA" w14:paraId="783468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4B697C"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7020" w:type="dxa"/>
            <w:tcBorders>
              <w:top w:val="single" w:sz="4" w:space="0" w:color="auto"/>
              <w:left w:val="single" w:sz="4" w:space="0" w:color="auto"/>
              <w:bottom w:val="single" w:sz="4" w:space="0" w:color="auto"/>
              <w:right w:val="single" w:sz="4" w:space="0" w:color="auto"/>
            </w:tcBorders>
            <w:hideMark/>
          </w:tcPr>
          <w:p w14:paraId="011AB23C"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w:t>
            </w:r>
          </w:p>
        </w:tc>
      </w:tr>
      <w:tr w:rsidR="007B485D" w:rsidRPr="00727DFA" w14:paraId="6C96C48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A3C6D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7020" w:type="dxa"/>
            <w:tcBorders>
              <w:top w:val="single" w:sz="4" w:space="0" w:color="auto"/>
              <w:left w:val="single" w:sz="4" w:space="0" w:color="auto"/>
              <w:bottom w:val="single" w:sz="4" w:space="0" w:color="auto"/>
              <w:right w:val="single" w:sz="4" w:space="0" w:color="auto"/>
            </w:tcBorders>
            <w:hideMark/>
          </w:tcPr>
          <w:p w14:paraId="5F0F64B1" w14:textId="77777777" w:rsidR="007B485D" w:rsidRPr="00727DFA" w:rsidRDefault="007B485D" w:rsidP="002D6DD7">
            <w:pPr>
              <w:jc w:val="both"/>
              <w:rPr>
                <w:rFonts w:eastAsia="DengXian"/>
                <w:szCs w:val="24"/>
              </w:rPr>
            </w:pPr>
            <w:r w:rsidRPr="00727DFA">
              <w:rPr>
                <w:rFonts w:eastAsia="DengXian"/>
                <w:szCs w:val="24"/>
              </w:rPr>
              <w:t xml:space="preserve">Didanosine, drugs that reduce renal function or compete for active tubular secretion (acyclovir, valaciclovir, ganciclovir), lopinavir- ritonavir, nephrotoxic agents (aminoglycosides). </w:t>
            </w:r>
          </w:p>
        </w:tc>
      </w:tr>
      <w:tr w:rsidR="007B485D" w:rsidRPr="00727DFA" w14:paraId="2DD25C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FF1E6D" w14:textId="77777777" w:rsidR="007B485D" w:rsidRPr="00727DFA" w:rsidRDefault="007B485D" w:rsidP="002D6DD7">
            <w:pPr>
              <w:jc w:val="both"/>
              <w:rPr>
                <w:rFonts w:eastAsia="DengXian"/>
                <w:bCs/>
                <w:szCs w:val="24"/>
              </w:rPr>
            </w:pPr>
            <w:r w:rsidRPr="00727DFA">
              <w:rPr>
                <w:rFonts w:eastAsia="DengXian"/>
                <w:bCs/>
                <w:szCs w:val="24"/>
              </w:rPr>
              <w:t xml:space="preserve">Side </w:t>
            </w:r>
            <w:r>
              <w:rPr>
                <w:rFonts w:eastAsia="DengXian"/>
                <w:bCs/>
                <w:szCs w:val="24"/>
              </w:rPr>
              <w:t>e</w:t>
            </w:r>
            <w:r w:rsidRPr="00727DFA">
              <w:rPr>
                <w:rFonts w:eastAsia="DengXian"/>
                <w:bCs/>
                <w:szCs w:val="24"/>
              </w:rPr>
              <w:t xml:space="preserve">ffects </w:t>
            </w:r>
          </w:p>
        </w:tc>
        <w:tc>
          <w:tcPr>
            <w:tcW w:w="7020" w:type="dxa"/>
            <w:tcBorders>
              <w:top w:val="single" w:sz="4" w:space="0" w:color="auto"/>
              <w:left w:val="single" w:sz="4" w:space="0" w:color="auto"/>
              <w:bottom w:val="single" w:sz="4" w:space="0" w:color="auto"/>
              <w:right w:val="single" w:sz="4" w:space="0" w:color="auto"/>
            </w:tcBorders>
            <w:hideMark/>
          </w:tcPr>
          <w:p w14:paraId="4C3F2745" w14:textId="77777777" w:rsidR="007B485D" w:rsidRPr="00727DFA" w:rsidRDefault="007B485D" w:rsidP="002D6DD7">
            <w:pPr>
              <w:jc w:val="both"/>
              <w:rPr>
                <w:rFonts w:eastAsia="DengXian"/>
                <w:szCs w:val="24"/>
              </w:rPr>
            </w:pPr>
            <w:r w:rsidRPr="00727DFA">
              <w:rPr>
                <w:rFonts w:eastAsia="DengXian"/>
                <w:szCs w:val="24"/>
              </w:rPr>
              <w:t>Headache, renal impairment (Fanconi syndrome, acute tubular necrosis, nephritis), decrease in bone mineral density, lactic acidosis, severe hepatomegaly with steatosis, abdominal pain, nausea, vomiting, pruritus, insomnia, dizziness, pyrexia</w:t>
            </w:r>
            <w:r w:rsidRPr="0063309C">
              <w:rPr>
                <w:rFonts w:eastAsia="DengXian"/>
                <w:szCs w:val="24"/>
              </w:rPr>
              <w:t xml:space="preserve">, </w:t>
            </w:r>
            <w:r w:rsidRPr="00873AF2">
              <w:rPr>
                <w:rFonts w:eastAsia="DengXian"/>
                <w:szCs w:val="24"/>
              </w:rPr>
              <w:t>asthenia, diarrhea, peripheral neuropathy</w:t>
            </w:r>
            <w:r>
              <w:rPr>
                <w:rFonts w:eastAsia="DengXian"/>
                <w:szCs w:val="24"/>
              </w:rPr>
              <w:t>.</w:t>
            </w:r>
          </w:p>
        </w:tc>
      </w:tr>
      <w:tr w:rsidR="007B485D" w:rsidRPr="00727DFA" w14:paraId="5449693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3963A8" w14:textId="77777777" w:rsidR="007B485D" w:rsidRPr="00727DFA" w:rsidRDefault="007B485D" w:rsidP="002D6DD7">
            <w:pPr>
              <w:jc w:val="both"/>
              <w:rPr>
                <w:rFonts w:eastAsia="DengXian"/>
                <w:bCs/>
                <w:szCs w:val="24"/>
              </w:rPr>
            </w:pPr>
            <w:r w:rsidRPr="00727DFA">
              <w:rPr>
                <w:rFonts w:eastAsia="DengXian"/>
                <w:bCs/>
                <w:szCs w:val="24"/>
              </w:rPr>
              <w:t xml:space="preserve">Cautions </w:t>
            </w:r>
          </w:p>
        </w:tc>
        <w:tc>
          <w:tcPr>
            <w:tcW w:w="7020" w:type="dxa"/>
            <w:tcBorders>
              <w:top w:val="single" w:sz="4" w:space="0" w:color="auto"/>
              <w:left w:val="single" w:sz="4" w:space="0" w:color="auto"/>
              <w:bottom w:val="single" w:sz="4" w:space="0" w:color="auto"/>
              <w:right w:val="single" w:sz="4" w:space="0" w:color="auto"/>
            </w:tcBorders>
            <w:hideMark/>
          </w:tcPr>
          <w:p w14:paraId="06B120F1" w14:textId="77777777" w:rsidR="007B485D" w:rsidRPr="00727DFA" w:rsidRDefault="007B485D" w:rsidP="002D6DD7">
            <w:pPr>
              <w:jc w:val="both"/>
              <w:rPr>
                <w:rFonts w:eastAsia="DengXian"/>
                <w:szCs w:val="24"/>
              </w:rPr>
            </w:pPr>
            <w:r w:rsidRPr="00727DFA">
              <w:rPr>
                <w:rFonts w:eastAsia="DengXian"/>
                <w:szCs w:val="24"/>
              </w:rPr>
              <w:t xml:space="preserve">Renal impairment, </w:t>
            </w:r>
            <w:r w:rsidRPr="00873AF2">
              <w:rPr>
                <w:rFonts w:eastAsia="DengXian"/>
                <w:szCs w:val="24"/>
              </w:rPr>
              <w:t>hepatic impairment, lactic acidosis,</w:t>
            </w:r>
            <w:r w:rsidRPr="00727DFA">
              <w:rPr>
                <w:rFonts w:eastAsia="DengXian"/>
                <w:szCs w:val="24"/>
              </w:rPr>
              <w:t xml:space="preserve"> co-administration with nephrotoxic drugs, breastfeeding</w:t>
            </w:r>
            <w:r>
              <w:rPr>
                <w:rFonts w:eastAsia="DengXian"/>
                <w:szCs w:val="24"/>
              </w:rPr>
              <w:t>.</w:t>
            </w:r>
          </w:p>
        </w:tc>
      </w:tr>
      <w:tr w:rsidR="007B485D" w:rsidRPr="00727DFA" w14:paraId="01AE53A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F56F8AB" w14:textId="77777777" w:rsidR="007B485D" w:rsidRPr="00727DFA" w:rsidRDefault="007B485D" w:rsidP="002D6DD7">
            <w:pPr>
              <w:jc w:val="both"/>
              <w:rPr>
                <w:rFonts w:eastAsia="DengXian"/>
                <w:bCs/>
                <w:szCs w:val="24"/>
              </w:rPr>
            </w:pPr>
            <w:r w:rsidRPr="00727DFA">
              <w:rPr>
                <w:rFonts w:eastAsia="DengXian"/>
                <w:bCs/>
                <w:szCs w:val="24"/>
              </w:rPr>
              <w:t xml:space="preserve">Storage </w:t>
            </w:r>
          </w:p>
        </w:tc>
        <w:tc>
          <w:tcPr>
            <w:tcW w:w="7020" w:type="dxa"/>
            <w:tcBorders>
              <w:top w:val="single" w:sz="4" w:space="0" w:color="auto"/>
              <w:left w:val="single" w:sz="4" w:space="0" w:color="auto"/>
              <w:bottom w:val="single" w:sz="4" w:space="0" w:color="auto"/>
              <w:right w:val="single" w:sz="4" w:space="0" w:color="auto"/>
            </w:tcBorders>
            <w:hideMark/>
          </w:tcPr>
          <w:p w14:paraId="668E71BD"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bookmarkEnd w:id="63"/>
    </w:tbl>
    <w:p w14:paraId="17CBE80A" w14:textId="77777777" w:rsidR="007B485D" w:rsidRDefault="007B485D" w:rsidP="007B485D">
      <w:pPr>
        <w:spacing w:after="0"/>
        <w:jc w:val="both"/>
        <w:rPr>
          <w:rFonts w:eastAsia="DengXian" w:cs="Times New Roman"/>
          <w:b/>
          <w:szCs w:val="24"/>
        </w:rPr>
      </w:pPr>
    </w:p>
    <w:p w14:paraId="04918E39" w14:textId="77777777" w:rsidR="007B485D" w:rsidRPr="00727DFA" w:rsidRDefault="007B485D" w:rsidP="007B485D">
      <w:pPr>
        <w:spacing w:after="0"/>
        <w:jc w:val="both"/>
        <w:rPr>
          <w:rFonts w:eastAsia="DengXian" w:cs="Times New Roman"/>
          <w:b/>
          <w:szCs w:val="24"/>
        </w:rPr>
      </w:pPr>
    </w:p>
    <w:p w14:paraId="5F09C8DE" w14:textId="77777777" w:rsidR="007B485D" w:rsidRPr="003114B5" w:rsidRDefault="007B485D" w:rsidP="003114B5">
      <w:pPr>
        <w:rPr>
          <w:rFonts w:eastAsia="DengXian Light"/>
          <w:b/>
        </w:rPr>
      </w:pPr>
      <w:r w:rsidRPr="003114B5">
        <w:rPr>
          <w:rFonts w:eastAsia="DengXian Light"/>
          <w:b/>
        </w:rPr>
        <w:t xml:space="preserve">Medicines for </w:t>
      </w:r>
      <w:r w:rsidR="0048016E" w:rsidRPr="003114B5">
        <w:rPr>
          <w:rFonts w:eastAsia="DengXian Light"/>
          <w:b/>
        </w:rPr>
        <w:t>h</w:t>
      </w:r>
      <w:r w:rsidRPr="003114B5">
        <w:rPr>
          <w:rFonts w:eastAsia="DengXian Light"/>
          <w:b/>
        </w:rPr>
        <w:t>epatitis C</w:t>
      </w:r>
    </w:p>
    <w:tbl>
      <w:tblPr>
        <w:tblStyle w:val="TableGrid"/>
        <w:tblW w:w="0" w:type="auto"/>
        <w:tblLook w:val="04A0" w:firstRow="1" w:lastRow="0" w:firstColumn="1" w:lastColumn="0" w:noHBand="0" w:noVBand="1"/>
      </w:tblPr>
      <w:tblGrid>
        <w:gridCol w:w="2605"/>
        <w:gridCol w:w="6745"/>
      </w:tblGrid>
      <w:tr w:rsidR="007B485D" w:rsidRPr="00727DFA" w14:paraId="64BB6349"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56BD447" w14:textId="77777777" w:rsidR="007B485D" w:rsidRPr="00727DFA" w:rsidRDefault="007B485D" w:rsidP="002D6DD7">
            <w:pPr>
              <w:jc w:val="both"/>
              <w:rPr>
                <w:rFonts w:eastAsia="DengXian"/>
                <w:b/>
                <w:szCs w:val="24"/>
              </w:rPr>
            </w:pPr>
            <w:r w:rsidRPr="00727DFA">
              <w:rPr>
                <w:rFonts w:eastAsia="DengXian"/>
                <w:b/>
                <w:szCs w:val="24"/>
              </w:rPr>
              <w:t xml:space="preserve">Glecaprevir + </w:t>
            </w:r>
            <w:r>
              <w:rPr>
                <w:rFonts w:eastAsia="DengXian"/>
                <w:b/>
                <w:szCs w:val="24"/>
              </w:rPr>
              <w:t>p</w:t>
            </w:r>
            <w:r w:rsidRPr="00727DFA">
              <w:rPr>
                <w:rFonts w:eastAsia="DengXian"/>
                <w:b/>
                <w:szCs w:val="24"/>
              </w:rPr>
              <w:t>ibrentasvir</w:t>
            </w:r>
          </w:p>
        </w:tc>
      </w:tr>
      <w:tr w:rsidR="007B485D" w:rsidRPr="00727DFA" w14:paraId="03E871A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DCC9E8"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83A695A" w14:textId="77777777" w:rsidR="007B485D" w:rsidRPr="00727DFA" w:rsidRDefault="007B485D" w:rsidP="002D6DD7">
            <w:pPr>
              <w:jc w:val="both"/>
              <w:rPr>
                <w:rFonts w:eastAsia="DengXian"/>
                <w:szCs w:val="24"/>
              </w:rPr>
            </w:pPr>
            <w:r w:rsidRPr="00727DFA">
              <w:rPr>
                <w:rFonts w:eastAsia="DengXian"/>
                <w:szCs w:val="24"/>
              </w:rPr>
              <w:t xml:space="preserve"> Pangenotypic direct acting antiviral combination</w:t>
            </w:r>
          </w:p>
        </w:tc>
      </w:tr>
      <w:tr w:rsidR="007B485D" w:rsidRPr="00727DFA" w14:paraId="14CC528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5C9984"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67A16E0" w14:textId="77777777" w:rsidR="007B485D" w:rsidRPr="00727DFA" w:rsidRDefault="007B485D" w:rsidP="002D6DD7">
            <w:pPr>
              <w:jc w:val="both"/>
              <w:rPr>
                <w:rFonts w:eastAsia="DengXian"/>
                <w:szCs w:val="24"/>
              </w:rPr>
            </w:pPr>
            <w:r w:rsidRPr="00727DFA">
              <w:rPr>
                <w:rFonts w:eastAsia="DengXian"/>
                <w:szCs w:val="24"/>
              </w:rPr>
              <w:t>Tablet: 100 mg + 40 mg</w:t>
            </w:r>
          </w:p>
        </w:tc>
      </w:tr>
      <w:tr w:rsidR="007B485D" w:rsidRPr="00727DFA" w14:paraId="556054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863BD6"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1B26F30" w14:textId="77777777" w:rsidR="007B485D" w:rsidRPr="00727DFA" w:rsidRDefault="007B485D" w:rsidP="002D6DD7">
            <w:pPr>
              <w:jc w:val="both"/>
              <w:rPr>
                <w:rFonts w:eastAsia="DengXian"/>
                <w:b/>
                <w:szCs w:val="24"/>
              </w:rPr>
            </w:pPr>
            <w:r w:rsidRPr="00727DFA">
              <w:rPr>
                <w:rFonts w:eastAsia="DengXian"/>
                <w:szCs w:val="24"/>
              </w:rPr>
              <w:t xml:space="preserve">Chronic hepatitis C virus (HCV) infection </w:t>
            </w:r>
          </w:p>
        </w:tc>
      </w:tr>
      <w:tr w:rsidR="007B485D" w:rsidRPr="00727DFA" w14:paraId="4363AAD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922C89"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61C3640D" w14:textId="77777777" w:rsidR="007B485D" w:rsidRPr="00727DFA" w:rsidRDefault="007B485D" w:rsidP="002D6DD7">
            <w:pPr>
              <w:jc w:val="both"/>
              <w:rPr>
                <w:rFonts w:eastAsia="DengXian"/>
                <w:szCs w:val="24"/>
              </w:rPr>
            </w:pPr>
            <w:r w:rsidRPr="00727DFA">
              <w:rPr>
                <w:rFonts w:eastAsia="DengXian"/>
                <w:szCs w:val="24"/>
              </w:rPr>
              <w:t>Oral:</w:t>
            </w:r>
          </w:p>
          <w:p w14:paraId="1FE2304D" w14:textId="77777777" w:rsidR="007B485D" w:rsidRPr="00727DFA" w:rsidRDefault="007B485D" w:rsidP="002D6DD7">
            <w:pPr>
              <w:jc w:val="both"/>
              <w:rPr>
                <w:rFonts w:eastAsia="DengXian"/>
                <w:szCs w:val="24"/>
              </w:rPr>
            </w:pPr>
            <w:r w:rsidRPr="00727DFA">
              <w:rPr>
                <w:rFonts w:eastAsia="DengXian"/>
                <w:b/>
                <w:bCs/>
                <w:szCs w:val="24"/>
              </w:rPr>
              <w:t>Adults, adolescents aged 12 years and older, or children weighing at least 45 kg:</w:t>
            </w:r>
            <w:r w:rsidRPr="00727DFA">
              <w:rPr>
                <w:rFonts w:eastAsia="DengXian"/>
                <w:szCs w:val="24"/>
              </w:rPr>
              <w:t xml:space="preserve"> 300 mg/120 mg (three 100 mg/40 mg tablets), taken orally, once daily at the same time with food for 8 weeks</w:t>
            </w:r>
          </w:p>
        </w:tc>
      </w:tr>
      <w:tr w:rsidR="007B485D" w:rsidRPr="00727DFA" w14:paraId="6CFB7FB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9D4AF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A5228FE" w14:textId="77777777" w:rsidR="007B485D" w:rsidRPr="00727DFA" w:rsidRDefault="007B485D" w:rsidP="002D6DD7">
            <w:pPr>
              <w:jc w:val="both"/>
              <w:rPr>
                <w:rFonts w:eastAsia="DengXian"/>
                <w:szCs w:val="24"/>
              </w:rPr>
            </w:pPr>
            <w:r w:rsidRPr="00727DFA">
              <w:rPr>
                <w:rFonts w:eastAsia="DengXian"/>
                <w:szCs w:val="24"/>
              </w:rPr>
              <w:t>Hypersensitivity to the active substances, moderate or severe hepatic impairment (Child-Pugh B or C)</w:t>
            </w:r>
            <w:r>
              <w:rPr>
                <w:rFonts w:eastAsia="DengXian"/>
                <w:szCs w:val="24"/>
              </w:rPr>
              <w:t>.</w:t>
            </w:r>
            <w:r w:rsidRPr="00727DFA">
              <w:rPr>
                <w:rFonts w:eastAsia="DengXian"/>
                <w:szCs w:val="24"/>
              </w:rPr>
              <w:t xml:space="preserve"> </w:t>
            </w:r>
          </w:p>
        </w:tc>
      </w:tr>
      <w:tr w:rsidR="007B485D" w:rsidRPr="00727DFA" w14:paraId="2A65231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60BCA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532D6BF" w14:textId="77777777" w:rsidR="007B485D" w:rsidRPr="00727DFA" w:rsidRDefault="007B485D" w:rsidP="002D6DD7">
            <w:pPr>
              <w:jc w:val="both"/>
              <w:rPr>
                <w:rFonts w:eastAsia="DengXian"/>
                <w:szCs w:val="24"/>
              </w:rPr>
            </w:pPr>
            <w:r w:rsidRPr="00727DFA">
              <w:rPr>
                <w:rFonts w:eastAsia="DengXian"/>
                <w:szCs w:val="24"/>
              </w:rPr>
              <w:t>Carbamazepine, Atazanavir, darunavir, efavirenz, statins, ciclosporin, oral anticoagulants, St. John’s wort</w:t>
            </w:r>
            <w:r>
              <w:rPr>
                <w:rFonts w:eastAsia="DengXian"/>
                <w:szCs w:val="24"/>
              </w:rPr>
              <w:t>.</w:t>
            </w:r>
          </w:p>
        </w:tc>
      </w:tr>
      <w:tr w:rsidR="007B485D" w:rsidRPr="00727DFA" w14:paraId="02EA593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FF408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F5B76D3" w14:textId="77777777" w:rsidR="007B485D" w:rsidRPr="00727DFA" w:rsidRDefault="007B485D" w:rsidP="002D6DD7">
            <w:pPr>
              <w:jc w:val="both"/>
              <w:rPr>
                <w:rFonts w:eastAsia="DengXian"/>
                <w:szCs w:val="24"/>
              </w:rPr>
            </w:pPr>
            <w:r w:rsidRPr="00727DFA">
              <w:rPr>
                <w:rFonts w:eastAsia="DengXian"/>
                <w:szCs w:val="24"/>
              </w:rPr>
              <w:t>Headache, fatigue, diarrhea, nausea, elevation in total bilirubin</w:t>
            </w:r>
          </w:p>
        </w:tc>
      </w:tr>
      <w:tr w:rsidR="007B485D" w:rsidRPr="00727DFA" w14:paraId="20E8BA5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6C6CC9"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1965FDF" w14:textId="77777777" w:rsidR="007B485D" w:rsidRPr="00727DFA" w:rsidRDefault="007B485D" w:rsidP="002D6DD7">
            <w:pPr>
              <w:jc w:val="both"/>
              <w:rPr>
                <w:rFonts w:eastAsia="DengXian"/>
                <w:szCs w:val="24"/>
              </w:rPr>
            </w:pPr>
            <w:r w:rsidRPr="00727DFA">
              <w:rPr>
                <w:rFonts w:eastAsia="DengXian"/>
                <w:szCs w:val="24"/>
              </w:rPr>
              <w:t>Patients co-infected with HCV and HBV, hepatic impairment, co-administration of interacting drugs</w:t>
            </w:r>
            <w:r>
              <w:rPr>
                <w:rFonts w:eastAsia="DengXian"/>
                <w:szCs w:val="24"/>
              </w:rPr>
              <w:t>.</w:t>
            </w:r>
          </w:p>
        </w:tc>
      </w:tr>
      <w:tr w:rsidR="007B485D" w:rsidRPr="00727DFA" w14:paraId="75E10E5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B425F26"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C48F4B8"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0FE606BE"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55F0BF41" w14:textId="77777777" w:rsidR="007B485D" w:rsidRPr="00727DFA" w:rsidRDefault="007B485D" w:rsidP="002D6DD7">
            <w:pPr>
              <w:jc w:val="both"/>
              <w:rPr>
                <w:rFonts w:eastAsia="DengXian"/>
                <w:b/>
                <w:szCs w:val="24"/>
              </w:rPr>
            </w:pPr>
            <w:r w:rsidRPr="00727DFA">
              <w:rPr>
                <w:rFonts w:eastAsia="DengXian"/>
                <w:b/>
                <w:szCs w:val="24"/>
              </w:rPr>
              <w:t xml:space="preserve">Sofosbuvir + </w:t>
            </w:r>
            <w:r>
              <w:rPr>
                <w:rFonts w:eastAsia="DengXian"/>
                <w:b/>
                <w:szCs w:val="24"/>
              </w:rPr>
              <w:t>d</w:t>
            </w:r>
            <w:r w:rsidRPr="00727DFA">
              <w:rPr>
                <w:rFonts w:eastAsia="DengXian"/>
                <w:b/>
                <w:szCs w:val="24"/>
              </w:rPr>
              <w:t>aclatasvir</w:t>
            </w:r>
          </w:p>
        </w:tc>
      </w:tr>
      <w:tr w:rsidR="007B485D" w:rsidRPr="00727DFA" w14:paraId="4BD521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9D709B"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0F5AC05" w14:textId="77777777" w:rsidR="007B485D" w:rsidRPr="00727DFA" w:rsidRDefault="007B485D" w:rsidP="002D6DD7">
            <w:pPr>
              <w:jc w:val="both"/>
              <w:rPr>
                <w:rFonts w:eastAsia="DengXian"/>
                <w:szCs w:val="24"/>
              </w:rPr>
            </w:pPr>
            <w:r w:rsidRPr="00727DFA">
              <w:rPr>
                <w:rFonts w:eastAsia="DengXian"/>
                <w:szCs w:val="24"/>
              </w:rPr>
              <w:t xml:space="preserve"> Pangenotypic, direct acting antivirals combination</w:t>
            </w:r>
          </w:p>
        </w:tc>
      </w:tr>
      <w:tr w:rsidR="007B485D" w:rsidRPr="00727DFA" w14:paraId="7C55D6E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A646BE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098CDF0E" w14:textId="77777777" w:rsidR="007B485D" w:rsidRPr="00727DFA" w:rsidRDefault="007B485D" w:rsidP="002D6DD7">
            <w:pPr>
              <w:jc w:val="both"/>
              <w:rPr>
                <w:rFonts w:eastAsia="DengXian"/>
                <w:szCs w:val="24"/>
              </w:rPr>
            </w:pPr>
            <w:r w:rsidRPr="00727DFA">
              <w:rPr>
                <w:rFonts w:eastAsia="DengXian"/>
                <w:szCs w:val="24"/>
              </w:rPr>
              <w:t>Tablet: 400 mg sofosbuvir/60 mg daclatasvir co-formulated tablet</w:t>
            </w:r>
          </w:p>
        </w:tc>
      </w:tr>
      <w:tr w:rsidR="007B485D" w:rsidRPr="00727DFA" w14:paraId="64E97D4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224C50"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2D65E39" w14:textId="77777777" w:rsidR="007B485D" w:rsidRPr="00727DFA" w:rsidRDefault="007B485D" w:rsidP="002D6DD7">
            <w:pPr>
              <w:jc w:val="both"/>
              <w:rPr>
                <w:rFonts w:eastAsia="DengXian"/>
                <w:szCs w:val="24"/>
              </w:rPr>
            </w:pPr>
            <w:r w:rsidRPr="00727DFA">
              <w:rPr>
                <w:rFonts w:eastAsia="DengXian"/>
                <w:szCs w:val="24"/>
              </w:rPr>
              <w:t>Chronic hepatitis C infection</w:t>
            </w:r>
            <w:r>
              <w:rPr>
                <w:rFonts w:eastAsia="DengXian"/>
                <w:szCs w:val="24"/>
              </w:rPr>
              <w:t>.</w:t>
            </w:r>
          </w:p>
        </w:tc>
      </w:tr>
      <w:tr w:rsidR="007B485D" w:rsidRPr="00727DFA" w14:paraId="73C3C6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78256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8407A26" w14:textId="77777777" w:rsidR="007B485D" w:rsidRPr="00727DFA" w:rsidRDefault="007B485D" w:rsidP="002D6DD7">
            <w:pPr>
              <w:jc w:val="both"/>
              <w:rPr>
                <w:rFonts w:eastAsia="DengXian"/>
                <w:b/>
                <w:bCs/>
                <w:szCs w:val="24"/>
              </w:rPr>
            </w:pPr>
            <w:r w:rsidRPr="00727DFA">
              <w:rPr>
                <w:rFonts w:eastAsia="DengXian"/>
                <w:b/>
                <w:bCs/>
                <w:szCs w:val="24"/>
              </w:rPr>
              <w:t>Adult: Oral:</w:t>
            </w:r>
          </w:p>
          <w:p w14:paraId="3C9ADC72" w14:textId="77777777" w:rsidR="007B485D" w:rsidRPr="00727DFA" w:rsidRDefault="007B485D" w:rsidP="002D6DD7">
            <w:pPr>
              <w:jc w:val="both"/>
              <w:rPr>
                <w:rFonts w:eastAsia="DengXian"/>
                <w:b/>
                <w:szCs w:val="24"/>
              </w:rPr>
            </w:pPr>
            <w:r w:rsidRPr="00727DFA">
              <w:rPr>
                <w:rFonts w:eastAsia="DengXian"/>
                <w:b/>
                <w:szCs w:val="24"/>
              </w:rPr>
              <w:t xml:space="preserve">Genotypes 1, 2, 4, 5, 6 without cirrhosis or with compensated cirrhosis and genotype 3 without cirrhosis: </w:t>
            </w:r>
            <w:r w:rsidRPr="00727DFA">
              <w:rPr>
                <w:rFonts w:eastAsia="DengXian"/>
                <w:szCs w:val="24"/>
              </w:rPr>
              <w:t>400 mg/60 mg tablet once daily for 12 weeks</w:t>
            </w:r>
          </w:p>
          <w:p w14:paraId="1C07D6AF" w14:textId="77777777" w:rsidR="007B485D" w:rsidRPr="00727DFA" w:rsidRDefault="007B485D" w:rsidP="002D6DD7">
            <w:pPr>
              <w:jc w:val="both"/>
              <w:rPr>
                <w:rFonts w:eastAsia="DengXian"/>
                <w:szCs w:val="24"/>
              </w:rPr>
            </w:pPr>
            <w:r w:rsidRPr="00727DFA">
              <w:rPr>
                <w:rFonts w:eastAsia="DengXian"/>
                <w:b/>
                <w:szCs w:val="24"/>
              </w:rPr>
              <w:t>Genotype 3 with compensated cirrhosis or genotypes 1, 2, 3, 4, 5, 6 with decompensated cirrhosis:</w:t>
            </w:r>
            <w:r w:rsidRPr="00727DFA">
              <w:rPr>
                <w:rFonts w:eastAsia="DengXian"/>
                <w:szCs w:val="24"/>
              </w:rPr>
              <w:t xml:space="preserve"> 400 mg/60 mg tablet once daily for 24 weeks</w:t>
            </w:r>
          </w:p>
        </w:tc>
      </w:tr>
      <w:tr w:rsidR="007B485D" w:rsidRPr="00727DFA" w14:paraId="3842244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967494"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F032F7F" w14:textId="77777777" w:rsidR="007B485D" w:rsidRPr="00727DFA" w:rsidRDefault="007B485D" w:rsidP="002D6DD7">
            <w:pPr>
              <w:jc w:val="both"/>
              <w:rPr>
                <w:rFonts w:eastAsia="DengXian"/>
                <w:szCs w:val="24"/>
              </w:rPr>
            </w:pPr>
            <w:r w:rsidRPr="00727DFA">
              <w:rPr>
                <w:rFonts w:eastAsia="DengXian"/>
                <w:szCs w:val="24"/>
              </w:rPr>
              <w:t>Hypersensitivity to sofosbuvir or daclatasvir, pregnancy</w:t>
            </w:r>
            <w:r>
              <w:rPr>
                <w:rFonts w:eastAsia="DengXian"/>
                <w:szCs w:val="24"/>
              </w:rPr>
              <w:t>,</w:t>
            </w:r>
            <w:r w:rsidRPr="00727DFA">
              <w:rPr>
                <w:rFonts w:eastAsia="DengXian"/>
                <w:szCs w:val="24"/>
              </w:rPr>
              <w:t xml:space="preserve"> breastfeeding </w:t>
            </w:r>
          </w:p>
        </w:tc>
      </w:tr>
      <w:tr w:rsidR="007B485D" w:rsidRPr="00727DFA" w14:paraId="168ED8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75BB0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B9537EA" w14:textId="77777777" w:rsidR="007B485D" w:rsidRPr="00727DFA" w:rsidRDefault="007B485D" w:rsidP="002D6DD7">
            <w:pPr>
              <w:jc w:val="both"/>
              <w:rPr>
                <w:rFonts w:eastAsia="DengXian"/>
                <w:szCs w:val="24"/>
              </w:rPr>
            </w:pPr>
            <w:r w:rsidRPr="00727DFA">
              <w:rPr>
                <w:rFonts w:eastAsia="DengXian"/>
                <w:szCs w:val="24"/>
              </w:rPr>
              <w:t>Carbamazepine, phenobarbital, phenytoin, rifampicin, rifabutin, rifapentine, dexamethasone, amiodarone.</w:t>
            </w:r>
          </w:p>
        </w:tc>
      </w:tr>
      <w:tr w:rsidR="007B485D" w:rsidRPr="00727DFA" w14:paraId="30233BF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095F0C"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F8FF127" w14:textId="77777777" w:rsidR="007B485D" w:rsidRPr="00727DFA" w:rsidRDefault="007B485D" w:rsidP="002D6DD7">
            <w:pPr>
              <w:jc w:val="both"/>
              <w:rPr>
                <w:rFonts w:eastAsia="DengXian"/>
                <w:szCs w:val="24"/>
              </w:rPr>
            </w:pPr>
            <w:r w:rsidRPr="00727DFA">
              <w:rPr>
                <w:rFonts w:eastAsia="DengXian"/>
                <w:szCs w:val="24"/>
              </w:rPr>
              <w:t>Fatigue, nausea, headache, insomnia, dizziness, gastrointestinal disturbances, arthralgia, decreased appetite, dyspnea, nasal congestion, rash</w:t>
            </w:r>
            <w:r>
              <w:rPr>
                <w:rFonts w:eastAsia="DengXian"/>
                <w:szCs w:val="24"/>
              </w:rPr>
              <w:t>.</w:t>
            </w:r>
          </w:p>
        </w:tc>
      </w:tr>
      <w:tr w:rsidR="007B485D" w:rsidRPr="00727DFA" w14:paraId="3799779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BF322A"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BF45625" w14:textId="77777777" w:rsidR="007B485D" w:rsidRPr="00727DFA" w:rsidRDefault="007B485D" w:rsidP="002D6DD7">
            <w:pPr>
              <w:jc w:val="both"/>
              <w:rPr>
                <w:rFonts w:eastAsia="DengXian"/>
                <w:szCs w:val="24"/>
              </w:rPr>
            </w:pPr>
            <w:r w:rsidRPr="00727DFA">
              <w:rPr>
                <w:rFonts w:eastAsia="DengXian"/>
                <w:szCs w:val="24"/>
              </w:rPr>
              <w:t>Patients co-infected with hepatitis B virus, diabetes, concurrent use of interacting drugs, Severe bradycardia</w:t>
            </w:r>
            <w:r>
              <w:rPr>
                <w:rFonts w:eastAsia="DengXian"/>
                <w:szCs w:val="24"/>
              </w:rPr>
              <w:t>.</w:t>
            </w:r>
          </w:p>
        </w:tc>
      </w:tr>
      <w:tr w:rsidR="007B485D" w:rsidRPr="00727DFA" w14:paraId="654B05C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58DFE3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035EC227" w14:textId="77777777" w:rsidR="007B485D" w:rsidRPr="00727DFA" w:rsidRDefault="007B485D" w:rsidP="002D6DD7">
            <w:pPr>
              <w:jc w:val="both"/>
              <w:rPr>
                <w:rFonts w:eastAsia="DengXian"/>
                <w:szCs w:val="24"/>
              </w:rPr>
            </w:pPr>
            <w:r w:rsidRPr="00727DFA">
              <w:rPr>
                <w:rFonts w:eastAsia="DengXian"/>
                <w:szCs w:val="24"/>
              </w:rPr>
              <w:t>Store below 30 °C</w:t>
            </w:r>
            <w:r>
              <w:rPr>
                <w:rFonts w:eastAsia="DengXian"/>
                <w:szCs w:val="24"/>
              </w:rPr>
              <w:t>.</w:t>
            </w:r>
          </w:p>
        </w:tc>
      </w:tr>
      <w:tr w:rsidR="007B485D" w:rsidRPr="00727DFA" w14:paraId="0C8EA03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A2A1C5C" w14:textId="77777777" w:rsidR="007B485D" w:rsidRPr="00727DFA" w:rsidRDefault="007B485D" w:rsidP="002D6DD7">
            <w:pPr>
              <w:jc w:val="both"/>
              <w:rPr>
                <w:rFonts w:eastAsia="DengXian"/>
                <w:b/>
                <w:szCs w:val="24"/>
              </w:rPr>
            </w:pPr>
            <w:r w:rsidRPr="00727DFA">
              <w:rPr>
                <w:rFonts w:eastAsia="DengXian"/>
                <w:b/>
                <w:szCs w:val="24"/>
              </w:rPr>
              <w:t xml:space="preserve">Sofosbuvir + </w:t>
            </w:r>
            <w:r>
              <w:rPr>
                <w:rFonts w:eastAsia="DengXian"/>
                <w:b/>
                <w:szCs w:val="24"/>
              </w:rPr>
              <w:t>l</w:t>
            </w:r>
            <w:r w:rsidRPr="00727DFA">
              <w:rPr>
                <w:rFonts w:eastAsia="DengXian"/>
                <w:b/>
                <w:szCs w:val="24"/>
              </w:rPr>
              <w:t>edipasvir</w:t>
            </w:r>
          </w:p>
        </w:tc>
      </w:tr>
      <w:tr w:rsidR="007B485D" w:rsidRPr="00727DFA" w14:paraId="07E7E09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A4E03A"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E3AFC25" w14:textId="77777777" w:rsidR="007B485D" w:rsidRPr="00727DFA" w:rsidRDefault="007B485D" w:rsidP="002D6DD7">
            <w:pPr>
              <w:jc w:val="both"/>
              <w:rPr>
                <w:rFonts w:eastAsia="DengXian"/>
                <w:szCs w:val="24"/>
              </w:rPr>
            </w:pPr>
            <w:r w:rsidRPr="00727DFA">
              <w:rPr>
                <w:rFonts w:eastAsia="DengXian"/>
                <w:szCs w:val="24"/>
              </w:rPr>
              <w:t xml:space="preserve"> Pangenotypic, direct acting antivirals combination </w:t>
            </w:r>
          </w:p>
        </w:tc>
      </w:tr>
      <w:tr w:rsidR="007B485D" w:rsidRPr="00727DFA" w14:paraId="111354C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9F25A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574E8CA" w14:textId="77777777" w:rsidR="007B485D" w:rsidRPr="00727DFA" w:rsidRDefault="007B485D" w:rsidP="002D6DD7">
            <w:pPr>
              <w:jc w:val="both"/>
              <w:rPr>
                <w:rFonts w:eastAsia="DengXian"/>
                <w:szCs w:val="24"/>
              </w:rPr>
            </w:pPr>
            <w:r w:rsidRPr="00727DFA">
              <w:rPr>
                <w:rFonts w:eastAsia="DengXian"/>
                <w:szCs w:val="24"/>
              </w:rPr>
              <w:t>Tablet: 400 mg+ 90 mg.</w:t>
            </w:r>
          </w:p>
        </w:tc>
      </w:tr>
      <w:tr w:rsidR="007B485D" w:rsidRPr="00727DFA" w14:paraId="68D8B5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A8A732"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A22EC86" w14:textId="77777777" w:rsidR="007B485D" w:rsidRPr="00727DFA" w:rsidRDefault="007B485D" w:rsidP="002D6DD7">
            <w:pPr>
              <w:jc w:val="both"/>
              <w:rPr>
                <w:rFonts w:eastAsia="DengXian"/>
                <w:szCs w:val="24"/>
              </w:rPr>
            </w:pPr>
            <w:r w:rsidRPr="00727DFA">
              <w:rPr>
                <w:rFonts w:eastAsia="DengXian"/>
                <w:szCs w:val="24"/>
              </w:rPr>
              <w:t>Indicated for the treatment of patients with chronic hepatitis C genotypes 1, 4, 5, and 6, with or without ribavirin</w:t>
            </w:r>
            <w:r>
              <w:rPr>
                <w:rFonts w:eastAsia="DengXian"/>
                <w:szCs w:val="24"/>
              </w:rPr>
              <w:t>.</w:t>
            </w:r>
          </w:p>
        </w:tc>
      </w:tr>
      <w:tr w:rsidR="007B485D" w:rsidRPr="00727DFA" w14:paraId="59D2111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C48E7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B9A15C9" w14:textId="77777777" w:rsidR="007B485D" w:rsidRPr="00727DFA" w:rsidRDefault="007B485D" w:rsidP="002D6DD7">
            <w:pPr>
              <w:jc w:val="both"/>
              <w:rPr>
                <w:rFonts w:eastAsia="DengXian"/>
                <w:b/>
                <w:szCs w:val="24"/>
              </w:rPr>
            </w:pPr>
            <w:r w:rsidRPr="00727DFA">
              <w:rPr>
                <w:rFonts w:eastAsia="DengXian"/>
                <w:b/>
                <w:szCs w:val="24"/>
              </w:rPr>
              <w:t>Oral</w:t>
            </w:r>
          </w:p>
          <w:p w14:paraId="6142C6D0"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sofosbuvir 400mg oral once daily + Ledipasvir 90mg oral once daily for 12 weeks.</w:t>
            </w:r>
          </w:p>
        </w:tc>
      </w:tr>
      <w:tr w:rsidR="007B485D" w:rsidRPr="00727DFA" w14:paraId="296084F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E5D4E0"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E248073" w14:textId="77777777" w:rsidR="007B485D" w:rsidRPr="00727DFA" w:rsidRDefault="007B485D" w:rsidP="002D6DD7">
            <w:pPr>
              <w:jc w:val="both"/>
              <w:rPr>
                <w:rFonts w:eastAsia="DengXian"/>
                <w:szCs w:val="24"/>
              </w:rPr>
            </w:pPr>
            <w:r w:rsidRPr="00727DFA">
              <w:rPr>
                <w:rFonts w:eastAsia="DengXian"/>
                <w:szCs w:val="24"/>
              </w:rPr>
              <w:t xml:space="preserve"> Hypersensitivity to ledipasvir or sofosbuvir</w:t>
            </w:r>
            <w:r>
              <w:rPr>
                <w:rFonts w:eastAsia="DengXian"/>
                <w:szCs w:val="24"/>
              </w:rPr>
              <w:t>.</w:t>
            </w:r>
          </w:p>
        </w:tc>
      </w:tr>
      <w:tr w:rsidR="007B485D" w:rsidRPr="00727DFA" w14:paraId="77000AB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DA7CC7"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6F1D834" w14:textId="77777777" w:rsidR="007B485D" w:rsidRPr="00727DFA" w:rsidRDefault="007B485D" w:rsidP="002D6DD7">
            <w:pPr>
              <w:jc w:val="both"/>
              <w:rPr>
                <w:rFonts w:eastAsia="DengXian"/>
                <w:szCs w:val="24"/>
              </w:rPr>
            </w:pPr>
            <w:r w:rsidRPr="00727DFA">
              <w:rPr>
                <w:rFonts w:eastAsia="DengXian"/>
                <w:szCs w:val="24"/>
              </w:rPr>
              <w:t>Acid reducing agents, carbamazepine, antiarrhythmic (amiodarone and digoxin), rifamycins, tenofovir, rosuvastatin, atorvastatin, St. John's wort</w:t>
            </w:r>
            <w:r>
              <w:rPr>
                <w:rFonts w:eastAsia="DengXian"/>
                <w:szCs w:val="24"/>
              </w:rPr>
              <w:t>.</w:t>
            </w:r>
            <w:r w:rsidRPr="00727DFA">
              <w:rPr>
                <w:rFonts w:eastAsia="DengXian"/>
                <w:szCs w:val="24"/>
              </w:rPr>
              <w:t xml:space="preserve"> </w:t>
            </w:r>
          </w:p>
        </w:tc>
      </w:tr>
      <w:tr w:rsidR="007B485D" w:rsidRPr="00727DFA" w14:paraId="1A3B725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7A922A4"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EA2E518" w14:textId="77777777" w:rsidR="007B485D" w:rsidRPr="00727DFA" w:rsidRDefault="007B485D" w:rsidP="002D6DD7">
            <w:pPr>
              <w:jc w:val="both"/>
              <w:rPr>
                <w:rFonts w:eastAsia="DengXian"/>
                <w:szCs w:val="24"/>
              </w:rPr>
            </w:pPr>
            <w:r w:rsidRPr="00727DFA">
              <w:rPr>
                <w:rFonts w:eastAsia="DengXian"/>
                <w:szCs w:val="24"/>
              </w:rPr>
              <w:t>Rash, fatigue, cough, headache</w:t>
            </w:r>
            <w:r>
              <w:rPr>
                <w:rFonts w:eastAsia="DengXian"/>
                <w:szCs w:val="24"/>
              </w:rPr>
              <w:t xml:space="preserve">, </w:t>
            </w:r>
            <w:r w:rsidRPr="00727DFA">
              <w:rPr>
                <w:rFonts w:eastAsia="DengXian"/>
                <w:szCs w:val="24"/>
              </w:rPr>
              <w:t>Stevens-Johnson syndrome</w:t>
            </w:r>
            <w:r>
              <w:rPr>
                <w:rFonts w:eastAsia="DengXian"/>
                <w:szCs w:val="24"/>
              </w:rPr>
              <w:t>.</w:t>
            </w:r>
          </w:p>
        </w:tc>
      </w:tr>
      <w:tr w:rsidR="007B485D" w:rsidRPr="00727DFA" w14:paraId="7D2250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9DEB96"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663C8FC" w14:textId="77777777" w:rsidR="007B485D" w:rsidRPr="00727DFA" w:rsidRDefault="007B485D" w:rsidP="002D6DD7">
            <w:pPr>
              <w:jc w:val="both"/>
              <w:rPr>
                <w:rFonts w:eastAsia="DengXian"/>
                <w:szCs w:val="24"/>
              </w:rPr>
            </w:pPr>
            <w:r w:rsidRPr="00727DFA">
              <w:rPr>
                <w:rFonts w:eastAsia="DengXian"/>
                <w:szCs w:val="24"/>
              </w:rPr>
              <w:t xml:space="preserve"> Patients co-infected with HCV and HBV, bradycardia, pregnancy and breastfeeding, co-administration of statins, concomitant use with carbamazepine, efavirenz containing regimens</w:t>
            </w:r>
            <w:r>
              <w:rPr>
                <w:rFonts w:eastAsia="DengXian"/>
                <w:szCs w:val="24"/>
              </w:rPr>
              <w:t>.</w:t>
            </w:r>
          </w:p>
        </w:tc>
      </w:tr>
      <w:tr w:rsidR="007B485D" w:rsidRPr="00727DFA" w14:paraId="3D99CB7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86AA604"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E6FAF03"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6D73289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501FC270" w14:textId="77777777" w:rsidR="007B485D" w:rsidRPr="00727DFA" w:rsidRDefault="007B485D" w:rsidP="002D6DD7">
            <w:pPr>
              <w:jc w:val="both"/>
              <w:rPr>
                <w:rFonts w:eastAsia="DengXian"/>
                <w:b/>
                <w:szCs w:val="24"/>
              </w:rPr>
            </w:pPr>
            <w:r w:rsidRPr="00727DFA">
              <w:rPr>
                <w:rFonts w:eastAsia="DengXian"/>
                <w:b/>
                <w:szCs w:val="24"/>
              </w:rPr>
              <w:t xml:space="preserve">Sofosbuvir + </w:t>
            </w:r>
            <w:r>
              <w:rPr>
                <w:rFonts w:eastAsia="DengXian"/>
                <w:b/>
                <w:szCs w:val="24"/>
              </w:rPr>
              <w:t>v</w:t>
            </w:r>
            <w:r w:rsidRPr="00727DFA">
              <w:rPr>
                <w:rFonts w:eastAsia="DengXian"/>
                <w:b/>
                <w:szCs w:val="24"/>
              </w:rPr>
              <w:t>elpatasvir</w:t>
            </w:r>
          </w:p>
        </w:tc>
      </w:tr>
      <w:tr w:rsidR="007B485D" w:rsidRPr="00727DFA" w14:paraId="51FC92D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E903E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7473658" w14:textId="77777777" w:rsidR="007B485D" w:rsidRPr="00727DFA" w:rsidRDefault="007B485D" w:rsidP="002D6DD7">
            <w:pPr>
              <w:jc w:val="both"/>
              <w:rPr>
                <w:rFonts w:eastAsia="DengXian"/>
                <w:szCs w:val="24"/>
              </w:rPr>
            </w:pPr>
            <w:r w:rsidRPr="00727DFA">
              <w:rPr>
                <w:rFonts w:eastAsia="DengXian"/>
                <w:szCs w:val="24"/>
              </w:rPr>
              <w:t xml:space="preserve"> Pangenotypic, antivirals combination </w:t>
            </w:r>
          </w:p>
        </w:tc>
      </w:tr>
      <w:tr w:rsidR="007B485D" w:rsidRPr="00810924" w14:paraId="3B5B81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99A615"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E855004" w14:textId="77777777" w:rsidR="007B485D" w:rsidRPr="00727DFA" w:rsidRDefault="007B485D" w:rsidP="002D6DD7">
            <w:pPr>
              <w:jc w:val="both"/>
              <w:rPr>
                <w:rFonts w:eastAsia="DengXian"/>
                <w:szCs w:val="24"/>
                <w:lang w:val="nb-NO"/>
              </w:rPr>
            </w:pPr>
            <w:r w:rsidRPr="00727DFA">
              <w:rPr>
                <w:rFonts w:eastAsia="DengXian"/>
                <w:szCs w:val="24"/>
                <w:lang w:val="nb-NO"/>
              </w:rPr>
              <w:t>Tablet: 400 mg + 100 mg, 200 mg + 50 mg</w:t>
            </w:r>
          </w:p>
        </w:tc>
      </w:tr>
      <w:tr w:rsidR="007B485D" w:rsidRPr="00727DFA" w14:paraId="79B070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920860" w14:textId="77777777" w:rsidR="007B485D" w:rsidRPr="00727DFA" w:rsidRDefault="007B485D" w:rsidP="002D6DD7">
            <w:pPr>
              <w:jc w:val="both"/>
              <w:rPr>
                <w:rFonts w:eastAsia="DengXian"/>
                <w:bCs/>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3D5825D7" w14:textId="77777777" w:rsidR="007B485D" w:rsidRPr="00727DFA" w:rsidRDefault="007B485D" w:rsidP="002D6DD7">
            <w:pPr>
              <w:jc w:val="both"/>
              <w:rPr>
                <w:rFonts w:eastAsia="DengXian"/>
                <w:szCs w:val="24"/>
              </w:rPr>
            </w:pPr>
            <w:r w:rsidRPr="00727DFA">
              <w:rPr>
                <w:rFonts w:eastAsia="DengXian"/>
                <w:szCs w:val="24"/>
              </w:rPr>
              <w:t xml:space="preserve">For the treatment of chronic hepatitis C genotypes 1 to 6 infection </w:t>
            </w:r>
          </w:p>
        </w:tc>
      </w:tr>
      <w:tr w:rsidR="007B485D" w:rsidRPr="00727DFA" w14:paraId="0C4C4D9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CDAFEC"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DE29E37" w14:textId="77777777" w:rsidR="007B485D" w:rsidRPr="00727DFA" w:rsidRDefault="007B485D" w:rsidP="002D6DD7">
            <w:pPr>
              <w:jc w:val="both"/>
              <w:rPr>
                <w:rFonts w:eastAsia="DengXian"/>
                <w:b/>
                <w:szCs w:val="24"/>
              </w:rPr>
            </w:pPr>
            <w:r w:rsidRPr="00727DFA">
              <w:rPr>
                <w:rFonts w:eastAsia="DengXian"/>
                <w:b/>
                <w:szCs w:val="24"/>
              </w:rPr>
              <w:t>Oral</w:t>
            </w:r>
          </w:p>
          <w:p w14:paraId="29DC87A3"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400 mg of sofosbuvir and 100 mg of velpatasvir, one tablet once daily for 12 weeks. </w:t>
            </w:r>
          </w:p>
        </w:tc>
      </w:tr>
      <w:tr w:rsidR="007B485D" w:rsidRPr="00727DFA" w14:paraId="376CF9B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6483C84"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C467E6C"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s</w:t>
            </w:r>
            <w:r w:rsidRPr="00727DFA">
              <w:rPr>
                <w:rFonts w:eastAsia="DengXian"/>
                <w:szCs w:val="24"/>
              </w:rPr>
              <w:t xml:space="preserve">ofosbuvir or </w:t>
            </w:r>
            <w:r>
              <w:rPr>
                <w:rFonts w:eastAsia="DengXian"/>
                <w:szCs w:val="24"/>
              </w:rPr>
              <w:t>v</w:t>
            </w:r>
            <w:r w:rsidRPr="00727DFA">
              <w:rPr>
                <w:rFonts w:eastAsia="DengXian"/>
                <w:szCs w:val="24"/>
              </w:rPr>
              <w:t>elpatasvir</w:t>
            </w:r>
            <w:r>
              <w:rPr>
                <w:rFonts w:eastAsia="DengXian"/>
                <w:szCs w:val="24"/>
              </w:rPr>
              <w:t>.</w:t>
            </w:r>
          </w:p>
        </w:tc>
      </w:tr>
      <w:tr w:rsidR="007B485D" w:rsidRPr="00727DFA" w14:paraId="525B625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B473F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7D28595" w14:textId="77777777" w:rsidR="007B485D" w:rsidRPr="00727DFA" w:rsidRDefault="007B485D" w:rsidP="002D6DD7">
            <w:pPr>
              <w:jc w:val="both"/>
              <w:rPr>
                <w:rFonts w:eastAsia="DengXian"/>
                <w:szCs w:val="24"/>
              </w:rPr>
            </w:pPr>
            <w:r w:rsidRPr="00727DFA">
              <w:rPr>
                <w:rFonts w:eastAsia="DengXian"/>
                <w:szCs w:val="24"/>
              </w:rPr>
              <w:t>Antacids (e.g., aluminum and magnesium hydroxide), Proton-pump inhibitors (e.g., omeprazole), amiodarone, digoxin, topotecan, carbamazepine, phenytoin, phenobarbital, rifabutin, rifampin, and rifapentine, efavirenz, regimens containing tenofovir, tipranavir/ritonavir, herbal Supplements (St. John's wort), statins</w:t>
            </w:r>
          </w:p>
        </w:tc>
      </w:tr>
      <w:tr w:rsidR="007B485D" w:rsidRPr="00727DFA" w14:paraId="47B0C8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D8B32C"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25E535D" w14:textId="77777777" w:rsidR="007B485D" w:rsidRPr="00727DFA" w:rsidRDefault="007B485D" w:rsidP="002D6DD7">
            <w:pPr>
              <w:jc w:val="both"/>
              <w:rPr>
                <w:rFonts w:eastAsia="DengXian"/>
                <w:szCs w:val="24"/>
              </w:rPr>
            </w:pPr>
            <w:r w:rsidRPr="00727DFA">
              <w:rPr>
                <w:rFonts w:eastAsia="DengXian"/>
                <w:szCs w:val="24"/>
              </w:rPr>
              <w:t>Headache, fatigue, nausea, vomiting, asthenia, insomnia, loss of appetite, jaundice, angioedema</w:t>
            </w:r>
            <w:r>
              <w:rPr>
                <w:rFonts w:eastAsia="DengXian"/>
                <w:szCs w:val="24"/>
              </w:rPr>
              <w:t>.</w:t>
            </w:r>
          </w:p>
        </w:tc>
      </w:tr>
      <w:tr w:rsidR="007B485D" w:rsidRPr="00727DFA" w14:paraId="7BCD337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41B6035"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946CA57" w14:textId="77777777" w:rsidR="007B485D" w:rsidRPr="00727DFA" w:rsidRDefault="007B485D" w:rsidP="002D6DD7">
            <w:pPr>
              <w:jc w:val="both"/>
              <w:rPr>
                <w:rFonts w:eastAsia="DengXian"/>
                <w:szCs w:val="24"/>
              </w:rPr>
            </w:pPr>
            <w:r w:rsidRPr="00727DFA">
              <w:rPr>
                <w:rFonts w:eastAsia="DengXian"/>
                <w:szCs w:val="24"/>
              </w:rPr>
              <w:t xml:space="preserve">Liver transplant patients, diabetes, renal impairment, HCV/HBV co-infection, severe bradycardia and heart block, </w:t>
            </w:r>
            <w:r>
              <w:rPr>
                <w:rFonts w:eastAsia="DengXian"/>
                <w:szCs w:val="24"/>
              </w:rPr>
              <w:t>p</w:t>
            </w:r>
            <w:r w:rsidRPr="00727DFA">
              <w:rPr>
                <w:rFonts w:eastAsia="DengXian"/>
                <w:szCs w:val="24"/>
              </w:rPr>
              <w:t>atients treated with vitamin K antagonists, pregnancy, breastfeeding</w:t>
            </w:r>
            <w:r>
              <w:rPr>
                <w:rFonts w:eastAsia="DengXian"/>
                <w:szCs w:val="24"/>
              </w:rPr>
              <w:t>.</w:t>
            </w:r>
          </w:p>
        </w:tc>
      </w:tr>
      <w:tr w:rsidR="007B485D" w:rsidRPr="00727DFA" w14:paraId="1CE135E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3C172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E4FF7C6" w14:textId="77777777" w:rsidR="007B485D" w:rsidRPr="00727DFA" w:rsidRDefault="007B485D" w:rsidP="002D6DD7">
            <w:pPr>
              <w:jc w:val="both"/>
              <w:rPr>
                <w:rFonts w:eastAsia="DengXian"/>
                <w:szCs w:val="24"/>
              </w:rPr>
            </w:pPr>
            <w:r w:rsidRPr="00727DFA">
              <w:rPr>
                <w:rFonts w:eastAsia="DengXian"/>
                <w:szCs w:val="24"/>
              </w:rPr>
              <w:t>Store below 30°C</w:t>
            </w:r>
          </w:p>
        </w:tc>
      </w:tr>
    </w:tbl>
    <w:p w14:paraId="06DDC9FF" w14:textId="77777777" w:rsidR="007B485D" w:rsidRPr="00727DFA" w:rsidRDefault="007B485D" w:rsidP="007B485D">
      <w:pPr>
        <w:spacing w:after="0"/>
        <w:jc w:val="both"/>
        <w:rPr>
          <w:rFonts w:eastAsia="DengXian" w:cs="Times New Roman"/>
          <w:b/>
          <w:szCs w:val="24"/>
        </w:rPr>
      </w:pPr>
    </w:p>
    <w:p w14:paraId="059ADE68" w14:textId="77777777" w:rsidR="007B485D" w:rsidRPr="003114B5" w:rsidRDefault="007B485D" w:rsidP="003114B5">
      <w:pPr>
        <w:spacing w:before="240"/>
        <w:rPr>
          <w:rFonts w:eastAsia="DengXian Light"/>
          <w:b/>
        </w:rPr>
      </w:pPr>
      <w:r w:rsidRPr="003114B5">
        <w:rPr>
          <w:rFonts w:eastAsia="DengXian Light"/>
          <w:b/>
        </w:rPr>
        <w:t xml:space="preserve">Other antivirals </w:t>
      </w:r>
    </w:p>
    <w:tbl>
      <w:tblPr>
        <w:tblStyle w:val="TableGrid"/>
        <w:tblW w:w="0" w:type="auto"/>
        <w:tblLook w:val="04A0" w:firstRow="1" w:lastRow="0" w:firstColumn="1" w:lastColumn="0" w:noHBand="0" w:noVBand="1"/>
      </w:tblPr>
      <w:tblGrid>
        <w:gridCol w:w="2605"/>
        <w:gridCol w:w="6745"/>
      </w:tblGrid>
      <w:tr w:rsidR="007B485D" w:rsidRPr="00727DFA" w14:paraId="074F7607" w14:textId="77777777" w:rsidTr="002D6DD7">
        <w:trPr>
          <w:trHeight w:val="46"/>
        </w:trPr>
        <w:tc>
          <w:tcPr>
            <w:tcW w:w="0" w:type="auto"/>
            <w:gridSpan w:val="2"/>
            <w:tcBorders>
              <w:top w:val="single" w:sz="4" w:space="0" w:color="auto"/>
              <w:left w:val="single" w:sz="4" w:space="0" w:color="auto"/>
              <w:bottom w:val="single" w:sz="4" w:space="0" w:color="auto"/>
              <w:right w:val="single" w:sz="4" w:space="0" w:color="auto"/>
            </w:tcBorders>
            <w:hideMark/>
          </w:tcPr>
          <w:p w14:paraId="2152FA0D" w14:textId="77777777" w:rsidR="007B485D" w:rsidRPr="00727DFA" w:rsidRDefault="007B485D" w:rsidP="002D6DD7">
            <w:pPr>
              <w:jc w:val="both"/>
              <w:rPr>
                <w:rFonts w:eastAsia="DengXian"/>
                <w:b/>
                <w:szCs w:val="24"/>
              </w:rPr>
            </w:pPr>
            <w:r w:rsidRPr="00727DFA">
              <w:rPr>
                <w:rFonts w:eastAsia="DengXian"/>
                <w:b/>
                <w:szCs w:val="24"/>
              </w:rPr>
              <w:t>Aciclovir</w:t>
            </w:r>
          </w:p>
        </w:tc>
      </w:tr>
      <w:tr w:rsidR="007B485D" w:rsidRPr="00727DFA" w14:paraId="270656B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6FB1F4"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E0A9516" w14:textId="77777777" w:rsidR="007B485D" w:rsidRPr="00727DFA" w:rsidRDefault="007B485D" w:rsidP="002D6DD7">
            <w:pPr>
              <w:jc w:val="both"/>
              <w:rPr>
                <w:rFonts w:eastAsia="DengXian"/>
                <w:szCs w:val="24"/>
              </w:rPr>
            </w:pPr>
            <w:r w:rsidRPr="00727DFA">
              <w:rPr>
                <w:rFonts w:eastAsia="DengXian"/>
                <w:szCs w:val="24"/>
              </w:rPr>
              <w:t> Synthetic nucleoside (purine) analog, antiviral</w:t>
            </w:r>
          </w:p>
        </w:tc>
      </w:tr>
      <w:tr w:rsidR="007B485D" w:rsidRPr="00727DFA" w14:paraId="4092801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398FB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04AFBCD" w14:textId="77777777" w:rsidR="007B485D" w:rsidRPr="00727DFA" w:rsidRDefault="007B485D" w:rsidP="002D6DD7">
            <w:pPr>
              <w:jc w:val="both"/>
              <w:rPr>
                <w:rFonts w:eastAsia="DengXian"/>
                <w:szCs w:val="24"/>
                <w:lang w:val="nb-NO"/>
              </w:rPr>
            </w:pPr>
            <w:r w:rsidRPr="00727DFA">
              <w:rPr>
                <w:rFonts w:eastAsia="DengXian"/>
                <w:szCs w:val="24"/>
                <w:lang w:val="nb-NO"/>
              </w:rPr>
              <w:t>Capsule/Tablet: 200mg, 400mg Oral liquid: 200mg/5ml</w:t>
            </w:r>
          </w:p>
          <w:p w14:paraId="07AADAA4" w14:textId="77777777" w:rsidR="007B485D" w:rsidRPr="00727DFA" w:rsidRDefault="007B485D" w:rsidP="002D6DD7">
            <w:pPr>
              <w:jc w:val="both"/>
              <w:rPr>
                <w:rFonts w:eastAsia="DengXian"/>
                <w:szCs w:val="24"/>
              </w:rPr>
            </w:pPr>
            <w:r w:rsidRPr="00727DFA">
              <w:rPr>
                <w:rFonts w:eastAsia="DengXian"/>
                <w:szCs w:val="24"/>
              </w:rPr>
              <w:t>Powder for Injection (as sodium salt): 250mg, 500mg</w:t>
            </w:r>
          </w:p>
        </w:tc>
      </w:tr>
      <w:tr w:rsidR="007B485D" w:rsidRPr="00727DFA" w14:paraId="2C2BFB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49139A" w14:textId="77777777" w:rsidR="007B485D" w:rsidRPr="00727DFA" w:rsidRDefault="007B485D" w:rsidP="002D6DD7">
            <w:pPr>
              <w:jc w:val="both"/>
              <w:rPr>
                <w:rFonts w:eastAsia="DengXian"/>
                <w:bCs/>
                <w:szCs w:val="24"/>
              </w:rPr>
            </w:pPr>
            <w:r w:rsidRPr="002B38BB">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181D097" w14:textId="77777777" w:rsidR="007B485D" w:rsidRPr="00727DFA" w:rsidRDefault="007B485D" w:rsidP="002D6DD7">
            <w:pPr>
              <w:jc w:val="both"/>
              <w:rPr>
                <w:rFonts w:eastAsia="DengXian"/>
                <w:szCs w:val="24"/>
              </w:rPr>
            </w:pPr>
            <w:r w:rsidRPr="00727DFA">
              <w:rPr>
                <w:rFonts w:eastAsia="DengXian"/>
                <w:szCs w:val="24"/>
              </w:rPr>
              <w:t>Treatment of primary genital herpes (herpes simplex infection); disseminated varicella-zoster (chickenpox)</w:t>
            </w:r>
            <w:r>
              <w:rPr>
                <w:rFonts w:eastAsia="DengXian"/>
                <w:szCs w:val="24"/>
              </w:rPr>
              <w:t>, p</w:t>
            </w:r>
            <w:r w:rsidRPr="00727DFA">
              <w:rPr>
                <w:rFonts w:eastAsia="DengXian"/>
                <w:szCs w:val="24"/>
              </w:rPr>
              <w:t>rophylaxis of herpes simplex infections in immunocompromised patients, herpes simplex encephalitis and herpes zoster.</w:t>
            </w:r>
          </w:p>
        </w:tc>
      </w:tr>
      <w:tr w:rsidR="007B485D" w:rsidRPr="00727DFA" w14:paraId="0F4062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6CD9D1"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20ECE02C" w14:textId="77777777" w:rsidR="007B485D" w:rsidRPr="00727DFA" w:rsidRDefault="007B485D" w:rsidP="002D6DD7">
            <w:pPr>
              <w:jc w:val="both"/>
              <w:rPr>
                <w:rFonts w:eastAsia="DengXian"/>
                <w:b/>
                <w:bCs/>
                <w:szCs w:val="24"/>
              </w:rPr>
            </w:pPr>
            <w:r w:rsidRPr="00727DFA">
              <w:rPr>
                <w:rFonts w:eastAsia="DengXian"/>
                <w:b/>
                <w:bCs/>
                <w:szCs w:val="24"/>
              </w:rPr>
              <w:t>Adult:</w:t>
            </w:r>
          </w:p>
          <w:p w14:paraId="3A60C922" w14:textId="77777777" w:rsidR="007B485D" w:rsidRPr="00727DFA" w:rsidRDefault="007B485D" w:rsidP="002D6DD7">
            <w:pPr>
              <w:jc w:val="both"/>
              <w:rPr>
                <w:rFonts w:eastAsia="DengXian"/>
                <w:b/>
                <w:bCs/>
                <w:szCs w:val="24"/>
              </w:rPr>
            </w:pPr>
            <w:r w:rsidRPr="00727DFA">
              <w:rPr>
                <w:rFonts w:eastAsia="DengXian"/>
                <w:b/>
                <w:bCs/>
                <w:szCs w:val="24"/>
              </w:rPr>
              <w:t>Treatment of primary genital herpes:</w:t>
            </w:r>
          </w:p>
          <w:p w14:paraId="2E10EC54"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200mg 5 times daily for 7-10 days or 400 mg 3 times daily for 7-10 days.</w:t>
            </w:r>
          </w:p>
          <w:p w14:paraId="5A471739" w14:textId="77777777" w:rsidR="007B485D" w:rsidRPr="00727DFA" w:rsidRDefault="007B485D" w:rsidP="002D6DD7">
            <w:pPr>
              <w:jc w:val="both"/>
              <w:rPr>
                <w:rFonts w:eastAsia="DengXian"/>
                <w:b/>
                <w:bCs/>
                <w:szCs w:val="24"/>
              </w:rPr>
            </w:pPr>
            <w:r w:rsidRPr="00727DFA">
              <w:rPr>
                <w:rFonts w:eastAsia="DengXian"/>
                <w:b/>
                <w:bCs/>
                <w:szCs w:val="24"/>
              </w:rPr>
              <w:lastRenderedPageBreak/>
              <w:t xml:space="preserve">Prevention of recurrence of genital herpes: </w:t>
            </w:r>
          </w:p>
          <w:p w14:paraId="7452D533"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400 mg twice daily. </w:t>
            </w:r>
          </w:p>
          <w:p w14:paraId="28C9EA28" w14:textId="77777777" w:rsidR="007B485D" w:rsidRPr="00727DFA" w:rsidRDefault="007B485D" w:rsidP="002D6DD7">
            <w:pPr>
              <w:jc w:val="both"/>
              <w:rPr>
                <w:rFonts w:eastAsia="DengXian"/>
                <w:b/>
                <w:bCs/>
                <w:szCs w:val="24"/>
              </w:rPr>
            </w:pPr>
            <w:r w:rsidRPr="00727DFA">
              <w:rPr>
                <w:rFonts w:eastAsia="DengXian"/>
                <w:b/>
                <w:bCs/>
                <w:szCs w:val="24"/>
              </w:rPr>
              <w:t xml:space="preserve">Disseminated varicella-zoster (chickenpox) in immunocompromised patients: </w:t>
            </w:r>
          </w:p>
          <w:p w14:paraId="6528D845" w14:textId="77777777" w:rsidR="007B485D" w:rsidRPr="00727DFA" w:rsidRDefault="007B485D" w:rsidP="002D6DD7">
            <w:pPr>
              <w:jc w:val="both"/>
              <w:rPr>
                <w:rFonts w:eastAsia="DengXian"/>
                <w:szCs w:val="24"/>
              </w:rPr>
            </w:pPr>
            <w:r w:rsidRPr="00727DFA">
              <w:rPr>
                <w:rFonts w:eastAsia="DengXian"/>
                <w:b/>
                <w:szCs w:val="24"/>
              </w:rPr>
              <w:t>IV infusion</w:t>
            </w:r>
            <w:r w:rsidRPr="00727DFA">
              <w:rPr>
                <w:rFonts w:eastAsia="DengXian"/>
                <w:szCs w:val="24"/>
              </w:rPr>
              <w:t xml:space="preserve">: 10 mg/kg 3 times daily for 7 days. </w:t>
            </w:r>
          </w:p>
          <w:p w14:paraId="6AFDC3CD" w14:textId="77777777" w:rsidR="007B485D" w:rsidRPr="00727DFA" w:rsidRDefault="007B485D" w:rsidP="002D6DD7">
            <w:pPr>
              <w:jc w:val="both"/>
              <w:rPr>
                <w:rFonts w:eastAsia="DengXian"/>
                <w:b/>
                <w:bCs/>
                <w:szCs w:val="24"/>
              </w:rPr>
            </w:pPr>
            <w:r w:rsidRPr="00727DFA">
              <w:rPr>
                <w:rFonts w:eastAsia="DengXian"/>
                <w:b/>
                <w:bCs/>
                <w:szCs w:val="24"/>
              </w:rPr>
              <w:t xml:space="preserve">Herpes simplex encephalitis: </w:t>
            </w:r>
          </w:p>
          <w:p w14:paraId="244D8F87" w14:textId="77777777" w:rsidR="007B485D" w:rsidRPr="00727DFA" w:rsidRDefault="007B485D" w:rsidP="002D6DD7">
            <w:pPr>
              <w:jc w:val="both"/>
              <w:rPr>
                <w:rFonts w:eastAsia="DengXian"/>
                <w:szCs w:val="24"/>
              </w:rPr>
            </w:pPr>
            <w:r w:rsidRPr="00727DFA">
              <w:rPr>
                <w:rFonts w:eastAsia="DengXian"/>
                <w:b/>
                <w:szCs w:val="24"/>
              </w:rPr>
              <w:t>IV infusion</w:t>
            </w:r>
            <w:r w:rsidRPr="00727DFA">
              <w:rPr>
                <w:rFonts w:eastAsia="DengXian"/>
                <w:szCs w:val="24"/>
              </w:rPr>
              <w:t xml:space="preserve">: 10 mg/kg 3 times daily for 10 days. </w:t>
            </w:r>
          </w:p>
          <w:p w14:paraId="4E87F1DA" w14:textId="77777777" w:rsidR="007B485D" w:rsidRPr="00727DFA" w:rsidRDefault="007B485D" w:rsidP="002D6DD7">
            <w:pPr>
              <w:jc w:val="both"/>
              <w:rPr>
                <w:rFonts w:eastAsia="DengXian"/>
                <w:b/>
                <w:bCs/>
                <w:szCs w:val="24"/>
              </w:rPr>
            </w:pPr>
            <w:r w:rsidRPr="00727DFA">
              <w:rPr>
                <w:rFonts w:eastAsia="DengXian"/>
                <w:b/>
                <w:bCs/>
                <w:szCs w:val="24"/>
              </w:rPr>
              <w:t xml:space="preserve">Herpes zoster: </w:t>
            </w:r>
          </w:p>
          <w:p w14:paraId="505620CB"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 xml:space="preserve">: 800mg every 4 hours (5 times/day) for 7-10 days. </w:t>
            </w:r>
          </w:p>
          <w:p w14:paraId="1334FB78" w14:textId="77777777" w:rsidR="007B485D" w:rsidRPr="00727DFA" w:rsidRDefault="007B485D" w:rsidP="002D6DD7">
            <w:pPr>
              <w:jc w:val="both"/>
              <w:rPr>
                <w:rFonts w:eastAsia="DengXian"/>
                <w:b/>
                <w:bCs/>
                <w:szCs w:val="24"/>
              </w:rPr>
            </w:pPr>
            <w:r w:rsidRPr="00727DFA">
              <w:rPr>
                <w:rFonts w:eastAsia="DengXian"/>
                <w:b/>
                <w:bCs/>
                <w:szCs w:val="24"/>
              </w:rPr>
              <w:t>Child:</w:t>
            </w:r>
          </w:p>
          <w:p w14:paraId="729FD766" w14:textId="77777777" w:rsidR="007B485D" w:rsidRPr="00727DFA" w:rsidRDefault="007B485D" w:rsidP="002D6DD7">
            <w:pPr>
              <w:jc w:val="both"/>
              <w:rPr>
                <w:rFonts w:eastAsia="DengXian"/>
                <w:b/>
                <w:bCs/>
                <w:szCs w:val="24"/>
              </w:rPr>
            </w:pPr>
            <w:r w:rsidRPr="00727DFA">
              <w:rPr>
                <w:rFonts w:eastAsia="DengXian"/>
                <w:b/>
                <w:bCs/>
                <w:szCs w:val="24"/>
              </w:rPr>
              <w:t>Herpes simplex in the Immunocompromised patients</w:t>
            </w:r>
          </w:p>
          <w:p w14:paraId="791755B8" w14:textId="77777777" w:rsidR="007B485D" w:rsidRPr="00727DFA" w:rsidRDefault="007B485D" w:rsidP="002D6DD7">
            <w:pPr>
              <w:jc w:val="both"/>
              <w:rPr>
                <w:rFonts w:eastAsia="DengXian"/>
                <w:szCs w:val="24"/>
              </w:rPr>
            </w:pPr>
            <w:r w:rsidRPr="00727DFA">
              <w:rPr>
                <w:rFonts w:eastAsia="DengXian"/>
                <w:szCs w:val="24"/>
              </w:rPr>
              <w:t xml:space="preserve"> For up to 12 years: IV infusion (over at least 1 hour), 250 mg/m2 8 hourly for 5-7 days. This may be doubled in herpes encephalitis and in varicella zoster in immunocompromised patients. </w:t>
            </w:r>
          </w:p>
        </w:tc>
      </w:tr>
      <w:tr w:rsidR="007B485D" w:rsidRPr="00727DFA" w14:paraId="2AB33B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41B9FDA"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2D04351" w14:textId="77777777" w:rsidR="007B485D" w:rsidRPr="00727DFA" w:rsidRDefault="007B485D" w:rsidP="002D6DD7">
            <w:pPr>
              <w:jc w:val="both"/>
              <w:rPr>
                <w:rFonts w:eastAsia="DengXian"/>
                <w:szCs w:val="24"/>
              </w:rPr>
            </w:pPr>
            <w:r w:rsidRPr="00727DFA">
              <w:rPr>
                <w:rFonts w:eastAsia="DengXian"/>
                <w:szCs w:val="24"/>
              </w:rPr>
              <w:t>Hypersensitivity to acyclovir or valaciclovir</w:t>
            </w:r>
            <w:r>
              <w:rPr>
                <w:rFonts w:eastAsia="DengXian"/>
                <w:szCs w:val="24"/>
              </w:rPr>
              <w:t>.</w:t>
            </w:r>
          </w:p>
        </w:tc>
      </w:tr>
      <w:tr w:rsidR="007B485D" w:rsidRPr="00727DFA" w14:paraId="1565BC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EEB1D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3828EF01" w14:textId="77777777" w:rsidR="007B485D" w:rsidRPr="00727DFA" w:rsidRDefault="007B485D" w:rsidP="002D6DD7">
            <w:pPr>
              <w:jc w:val="both"/>
              <w:rPr>
                <w:rFonts w:eastAsia="DengXian"/>
                <w:szCs w:val="24"/>
              </w:rPr>
            </w:pPr>
            <w:r w:rsidRPr="00727DFA">
              <w:rPr>
                <w:rFonts w:eastAsia="DengXian"/>
                <w:szCs w:val="24"/>
              </w:rPr>
              <w:t>Mycophenolate mofetil, probenecid, any nephrotoxic drugs</w:t>
            </w:r>
            <w:r>
              <w:rPr>
                <w:rFonts w:eastAsia="DengXian"/>
                <w:szCs w:val="24"/>
              </w:rPr>
              <w:t xml:space="preserve">, </w:t>
            </w:r>
            <w:r w:rsidRPr="00873AF2">
              <w:rPr>
                <w:rFonts w:eastAsia="DengXian"/>
                <w:szCs w:val="24"/>
              </w:rPr>
              <w:t xml:space="preserve">amphotericin B, </w:t>
            </w:r>
            <w:r w:rsidRPr="0063309C">
              <w:rPr>
                <w:rFonts w:eastAsia="DengXian"/>
                <w:szCs w:val="24"/>
              </w:rPr>
              <w:t>aminoglycoside, amoxicillin</w:t>
            </w:r>
            <w:r w:rsidRPr="00873AF2">
              <w:rPr>
                <w:rFonts w:eastAsia="DengXian"/>
                <w:szCs w:val="24"/>
              </w:rPr>
              <w:t>, carboplatin, cisplatin</w:t>
            </w:r>
            <w:r w:rsidRPr="0063309C">
              <w:rPr>
                <w:rFonts w:eastAsia="DengXian"/>
                <w:szCs w:val="24"/>
              </w:rPr>
              <w:t xml:space="preserve">, </w:t>
            </w:r>
            <w:r w:rsidRPr="00873AF2">
              <w:rPr>
                <w:rFonts w:eastAsia="DengXian"/>
                <w:szCs w:val="24"/>
              </w:rPr>
              <w:t xml:space="preserve">cyclosporine, contrast media(iodinated), </w:t>
            </w:r>
            <w:r w:rsidRPr="0063309C">
              <w:rPr>
                <w:rFonts w:eastAsia="DengXian"/>
                <w:szCs w:val="24"/>
              </w:rPr>
              <w:t>colistin</w:t>
            </w:r>
            <w:r w:rsidRPr="00873AF2">
              <w:rPr>
                <w:rFonts w:eastAsia="DengXian"/>
                <w:szCs w:val="24"/>
              </w:rPr>
              <w:t xml:space="preserve">, polymixin B, </w:t>
            </w:r>
            <w:r w:rsidRPr="0063309C">
              <w:rPr>
                <w:rFonts w:eastAsia="DengXian"/>
                <w:szCs w:val="24"/>
              </w:rPr>
              <w:t>tenofovir</w:t>
            </w:r>
            <w:r>
              <w:rPr>
                <w:rFonts w:eastAsia="DengXian"/>
                <w:szCs w:val="24"/>
              </w:rPr>
              <w:t>.</w:t>
            </w:r>
          </w:p>
        </w:tc>
      </w:tr>
      <w:tr w:rsidR="007B485D" w:rsidRPr="00727DFA" w14:paraId="77E54F2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08CA3A"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B431765" w14:textId="77777777" w:rsidR="007B485D" w:rsidRPr="00727DFA" w:rsidRDefault="007B485D" w:rsidP="002D6DD7">
            <w:pPr>
              <w:jc w:val="both"/>
              <w:rPr>
                <w:rFonts w:eastAsia="DengXian"/>
                <w:szCs w:val="24"/>
              </w:rPr>
            </w:pPr>
            <w:r w:rsidRPr="00727DFA">
              <w:rPr>
                <w:rFonts w:eastAsia="DengXian"/>
                <w:szCs w:val="24"/>
              </w:rPr>
              <w:t>Nausea, vomiting, abdominal pain, diarrhea, headache, fatigue, rash, urticaria, pruritus, photosensitivity, jaundice, dyspnea, angioedema, anaphylaxis, neurological reactions, acute renal failure, decreases in hematological indices, fever, tremors, psychosis and convulsions.</w:t>
            </w:r>
          </w:p>
        </w:tc>
      </w:tr>
      <w:tr w:rsidR="007B485D" w:rsidRPr="00727DFA" w14:paraId="6DC4DA4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319DC90"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22F5B0E" w14:textId="77777777" w:rsidR="007B485D" w:rsidRPr="00727DFA" w:rsidRDefault="007B485D" w:rsidP="002D6DD7">
            <w:pPr>
              <w:jc w:val="both"/>
              <w:rPr>
                <w:rFonts w:eastAsia="DengXian"/>
                <w:szCs w:val="24"/>
              </w:rPr>
            </w:pPr>
            <w:r w:rsidRPr="00727DFA">
              <w:rPr>
                <w:rFonts w:eastAsia="DengXian"/>
                <w:szCs w:val="24"/>
              </w:rPr>
              <w:t>Renal impairment, elderly, poor hydration status, pregnancy</w:t>
            </w:r>
            <w:r>
              <w:rPr>
                <w:rFonts w:eastAsia="DengXian"/>
                <w:szCs w:val="24"/>
              </w:rPr>
              <w:t>,</w:t>
            </w:r>
            <w:r w:rsidRPr="00727DFA">
              <w:rPr>
                <w:rFonts w:eastAsia="DengXian"/>
                <w:szCs w:val="24"/>
              </w:rPr>
              <w:t xml:space="preserve"> breastfeeding</w:t>
            </w:r>
            <w:r>
              <w:rPr>
                <w:rFonts w:eastAsia="DengXian"/>
                <w:szCs w:val="24"/>
              </w:rPr>
              <w:t>.</w:t>
            </w:r>
          </w:p>
        </w:tc>
      </w:tr>
      <w:tr w:rsidR="007B485D" w:rsidRPr="00727DFA" w14:paraId="499F2A4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3F7173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29414FCD" w14:textId="77777777" w:rsidR="007B485D" w:rsidRPr="00727DFA" w:rsidRDefault="007B485D" w:rsidP="002D6DD7">
            <w:pPr>
              <w:jc w:val="both"/>
              <w:rPr>
                <w:rFonts w:eastAsia="DengXian"/>
                <w:szCs w:val="24"/>
              </w:rPr>
            </w:pPr>
            <w:r w:rsidRPr="00727DFA">
              <w:rPr>
                <w:rFonts w:eastAsia="DengXian"/>
                <w:szCs w:val="24"/>
              </w:rPr>
              <w:t>Store at controlled room temperature.</w:t>
            </w:r>
          </w:p>
        </w:tc>
      </w:tr>
      <w:tr w:rsidR="007B485D" w:rsidRPr="00727DFA" w14:paraId="7F72B62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A252E6B" w14:textId="77777777" w:rsidR="007B485D" w:rsidRPr="00727DFA" w:rsidRDefault="007B485D" w:rsidP="002D6DD7">
            <w:pPr>
              <w:jc w:val="both"/>
              <w:rPr>
                <w:rFonts w:eastAsia="DengXian"/>
                <w:b/>
                <w:szCs w:val="24"/>
              </w:rPr>
            </w:pPr>
            <w:r w:rsidRPr="00727DFA">
              <w:rPr>
                <w:rFonts w:eastAsia="DengXian"/>
                <w:b/>
                <w:szCs w:val="24"/>
              </w:rPr>
              <w:t>Ganciclovir</w:t>
            </w:r>
          </w:p>
        </w:tc>
      </w:tr>
      <w:tr w:rsidR="007B485D" w:rsidRPr="00727DFA" w14:paraId="50E466C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C2FCF6"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96F60E1" w14:textId="77777777" w:rsidR="007B485D" w:rsidRPr="00727DFA" w:rsidRDefault="007B485D" w:rsidP="002D6DD7">
            <w:pPr>
              <w:jc w:val="both"/>
              <w:rPr>
                <w:rFonts w:eastAsia="DengXian"/>
                <w:szCs w:val="24"/>
              </w:rPr>
            </w:pPr>
            <w:r w:rsidRPr="00727DFA">
              <w:rPr>
                <w:rFonts w:eastAsia="DengXian"/>
                <w:szCs w:val="24"/>
              </w:rPr>
              <w:t>Nucleoside analog of guanine, antiviral</w:t>
            </w:r>
          </w:p>
        </w:tc>
      </w:tr>
      <w:tr w:rsidR="007B485D" w:rsidRPr="00727DFA" w14:paraId="368E6F6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481F0F"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ADC6DD3" w14:textId="77777777" w:rsidR="007B485D" w:rsidRPr="00727DFA" w:rsidRDefault="007B485D" w:rsidP="002D6DD7">
            <w:pPr>
              <w:jc w:val="both"/>
              <w:rPr>
                <w:rFonts w:eastAsia="DengXian"/>
                <w:szCs w:val="24"/>
              </w:rPr>
            </w:pPr>
            <w:r w:rsidRPr="00727DFA">
              <w:rPr>
                <w:rFonts w:eastAsia="DengXian"/>
                <w:szCs w:val="24"/>
              </w:rPr>
              <w:t>Powder for injection: 500mg/Vial</w:t>
            </w:r>
          </w:p>
          <w:p w14:paraId="156DF64C" w14:textId="77777777" w:rsidR="007B485D" w:rsidRPr="00727DFA" w:rsidRDefault="007B485D" w:rsidP="002D6DD7">
            <w:pPr>
              <w:jc w:val="both"/>
              <w:rPr>
                <w:rFonts w:eastAsia="DengXian"/>
                <w:szCs w:val="24"/>
              </w:rPr>
            </w:pPr>
            <w:r w:rsidRPr="00727DFA">
              <w:rPr>
                <w:rFonts w:eastAsia="DengXian"/>
                <w:szCs w:val="24"/>
              </w:rPr>
              <w:t>Capsule: 250mg, 500mg</w:t>
            </w:r>
          </w:p>
        </w:tc>
      </w:tr>
      <w:tr w:rsidR="007B485D" w:rsidRPr="00727DFA" w14:paraId="40E8E59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54287F" w14:textId="77777777" w:rsidR="007B485D" w:rsidRPr="00727DFA" w:rsidRDefault="007B485D" w:rsidP="002D6DD7">
            <w:pPr>
              <w:jc w:val="both"/>
              <w:rPr>
                <w:rFonts w:eastAsia="DengXian"/>
                <w:bCs/>
                <w:szCs w:val="24"/>
              </w:rPr>
            </w:pPr>
            <w:r w:rsidRPr="00873AF2">
              <w:rPr>
                <w:rFonts w:eastAsia="DengXian"/>
                <w:bCs/>
                <w:szCs w:val="24"/>
              </w:rPr>
              <w:lastRenderedPageBreak/>
              <w:t>Indications</w:t>
            </w:r>
          </w:p>
        </w:tc>
        <w:tc>
          <w:tcPr>
            <w:tcW w:w="6745" w:type="dxa"/>
            <w:tcBorders>
              <w:top w:val="single" w:sz="4" w:space="0" w:color="auto"/>
              <w:left w:val="single" w:sz="4" w:space="0" w:color="auto"/>
              <w:bottom w:val="single" w:sz="4" w:space="0" w:color="auto"/>
              <w:right w:val="single" w:sz="4" w:space="0" w:color="auto"/>
            </w:tcBorders>
            <w:hideMark/>
          </w:tcPr>
          <w:p w14:paraId="64A24974" w14:textId="77777777" w:rsidR="007B485D" w:rsidRPr="00727DFA" w:rsidRDefault="007B485D" w:rsidP="002D6DD7">
            <w:pPr>
              <w:jc w:val="both"/>
              <w:rPr>
                <w:rFonts w:eastAsia="DengXian"/>
                <w:szCs w:val="24"/>
              </w:rPr>
            </w:pPr>
            <w:r w:rsidRPr="00727DFA">
              <w:rPr>
                <w:rFonts w:eastAsia="DengXian"/>
                <w:szCs w:val="24"/>
              </w:rPr>
              <w:t>Treatment cytomegalovirus (CMV) infections in immuno-compromised patients, and for the prevention of CMV infection in transplant recipients.</w:t>
            </w:r>
          </w:p>
        </w:tc>
      </w:tr>
      <w:tr w:rsidR="007B485D" w:rsidRPr="00727DFA" w14:paraId="7B3C3A1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BDCF9E" w14:textId="77777777" w:rsidR="007B485D" w:rsidRPr="00727DFA" w:rsidRDefault="007B485D" w:rsidP="002D6DD7">
            <w:pPr>
              <w:jc w:val="both"/>
              <w:rPr>
                <w:rFonts w:eastAsia="DengXian"/>
                <w:bCs/>
                <w:szCs w:val="24"/>
              </w:rPr>
            </w:pPr>
            <w:r w:rsidRPr="00727DFA">
              <w:rPr>
                <w:rFonts w:eastAsia="DengXian"/>
                <w:bCs/>
                <w:szCs w:val="24"/>
              </w:rPr>
              <w:t xml:space="preserve">Dose and </w:t>
            </w:r>
            <w:r>
              <w:rPr>
                <w:rFonts w:eastAsia="DengXian"/>
                <w:bCs/>
                <w:szCs w:val="24"/>
              </w:rPr>
              <w:t>a</w:t>
            </w:r>
            <w:r w:rsidRPr="00727DFA">
              <w:rPr>
                <w:rFonts w:eastAsia="DengXian"/>
                <w:bCs/>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29D2A57C" w14:textId="77777777" w:rsidR="007B485D" w:rsidRPr="00727DFA" w:rsidRDefault="007B485D" w:rsidP="002D6DD7">
            <w:pPr>
              <w:jc w:val="both"/>
              <w:rPr>
                <w:rFonts w:eastAsia="DengXian"/>
                <w:b/>
                <w:bCs/>
                <w:szCs w:val="24"/>
              </w:rPr>
            </w:pPr>
            <w:r w:rsidRPr="00727DFA">
              <w:rPr>
                <w:rFonts w:eastAsia="DengXian"/>
                <w:b/>
                <w:bCs/>
                <w:szCs w:val="24"/>
              </w:rPr>
              <w:t xml:space="preserve">Adult and adolescent &gt;12 years: </w:t>
            </w:r>
          </w:p>
          <w:p w14:paraId="11234BA9" w14:textId="77777777" w:rsidR="007B485D" w:rsidRPr="00727DFA" w:rsidRDefault="007B485D" w:rsidP="002D6DD7">
            <w:pPr>
              <w:jc w:val="both"/>
              <w:rPr>
                <w:rFonts w:eastAsia="DengXian"/>
                <w:b/>
                <w:bCs/>
                <w:szCs w:val="24"/>
              </w:rPr>
            </w:pPr>
            <w:r w:rsidRPr="00727DFA">
              <w:rPr>
                <w:rFonts w:eastAsia="DengXian"/>
                <w:b/>
                <w:bCs/>
                <w:szCs w:val="24"/>
              </w:rPr>
              <w:t>CMV retinitis:</w:t>
            </w:r>
          </w:p>
          <w:p w14:paraId="121A3C0F" w14:textId="77777777" w:rsidR="007B485D" w:rsidRPr="00727DFA" w:rsidRDefault="007B485D" w:rsidP="002D6DD7">
            <w:pPr>
              <w:jc w:val="both"/>
              <w:rPr>
                <w:rFonts w:eastAsia="DengXian"/>
                <w:szCs w:val="24"/>
              </w:rPr>
            </w:pPr>
            <w:r w:rsidRPr="00727DFA">
              <w:rPr>
                <w:rFonts w:eastAsia="DengXian"/>
                <w:b/>
                <w:szCs w:val="24"/>
              </w:rPr>
              <w:t>IV infusion:</w:t>
            </w:r>
          </w:p>
          <w:p w14:paraId="137EBEA1" w14:textId="77777777" w:rsidR="007B485D" w:rsidRPr="00727DFA" w:rsidRDefault="007B485D" w:rsidP="002D6DD7">
            <w:pPr>
              <w:jc w:val="both"/>
              <w:rPr>
                <w:rFonts w:eastAsia="DengXian"/>
                <w:szCs w:val="24"/>
              </w:rPr>
            </w:pPr>
            <w:r w:rsidRPr="00727DFA">
              <w:rPr>
                <w:rFonts w:eastAsia="DengXian"/>
                <w:b/>
                <w:szCs w:val="24"/>
              </w:rPr>
              <w:t>Initially</w:t>
            </w:r>
            <w:r w:rsidRPr="00727DFA">
              <w:rPr>
                <w:rFonts w:eastAsia="DengXian"/>
                <w:szCs w:val="24"/>
              </w:rPr>
              <w:t xml:space="preserve"> 5mg/kg 12 hourly infused at a constant rate over 1 hour (10mg/kg/day) for 14 - 21 days. </w:t>
            </w:r>
          </w:p>
          <w:p w14:paraId="0063DC4A" w14:textId="77777777" w:rsidR="007B485D" w:rsidRPr="00727DFA" w:rsidRDefault="007B485D" w:rsidP="002D6DD7">
            <w:pPr>
              <w:jc w:val="both"/>
              <w:rPr>
                <w:rFonts w:eastAsia="DengXian"/>
                <w:szCs w:val="24"/>
              </w:rPr>
            </w:pPr>
            <w:r w:rsidRPr="00727DFA">
              <w:rPr>
                <w:rFonts w:eastAsia="DengXian"/>
                <w:b/>
                <w:szCs w:val="24"/>
              </w:rPr>
              <w:t>Maintenance</w:t>
            </w:r>
            <w:r w:rsidRPr="00727DFA">
              <w:rPr>
                <w:rFonts w:eastAsia="DengXian"/>
                <w:szCs w:val="24"/>
              </w:rPr>
              <w:t>: 6mg/kg/day for 5 days /week; or 5mg/kg/day for 7 days/week.</w:t>
            </w:r>
          </w:p>
          <w:p w14:paraId="1206C665" w14:textId="77777777" w:rsidR="007B485D" w:rsidRPr="00727DFA" w:rsidRDefault="007B485D" w:rsidP="002D6DD7">
            <w:pPr>
              <w:jc w:val="both"/>
              <w:rPr>
                <w:rFonts w:eastAsia="DengXian"/>
                <w:szCs w:val="24"/>
              </w:rPr>
            </w:pPr>
            <w:r w:rsidRPr="00727DFA">
              <w:rPr>
                <w:rFonts w:eastAsia="DengXian"/>
                <w:b/>
                <w:szCs w:val="24"/>
              </w:rPr>
              <w:t>Oral</w:t>
            </w:r>
            <w:r w:rsidRPr="00727DFA">
              <w:rPr>
                <w:rFonts w:eastAsia="DengXian"/>
                <w:szCs w:val="24"/>
              </w:rPr>
              <w:t>:</w:t>
            </w:r>
          </w:p>
          <w:p w14:paraId="28F5DD6C" w14:textId="77777777" w:rsidR="007B485D" w:rsidRPr="00727DFA" w:rsidRDefault="007B485D" w:rsidP="002D6DD7">
            <w:pPr>
              <w:jc w:val="both"/>
              <w:rPr>
                <w:rFonts w:eastAsia="DengXian"/>
                <w:szCs w:val="24"/>
              </w:rPr>
            </w:pPr>
            <w:r w:rsidRPr="00727DFA">
              <w:rPr>
                <w:rFonts w:eastAsia="DengXian"/>
                <w:b/>
                <w:szCs w:val="24"/>
              </w:rPr>
              <w:t>Maintenance therapy</w:t>
            </w:r>
            <w:r w:rsidRPr="00727DFA">
              <w:rPr>
                <w:rFonts w:eastAsia="DengXian"/>
                <w:szCs w:val="24"/>
              </w:rPr>
              <w:t xml:space="preserve"> (in HIV – infected patients, when retinitis is stable): 1g 3 times daily or 500mg 6 times daily, with food.</w:t>
            </w:r>
          </w:p>
        </w:tc>
      </w:tr>
      <w:tr w:rsidR="007B485D" w:rsidRPr="00727DFA" w14:paraId="437FD3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8CE602"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860C559" w14:textId="77777777" w:rsidR="007B485D" w:rsidRPr="00727DFA" w:rsidRDefault="007B485D" w:rsidP="002D6DD7">
            <w:pPr>
              <w:jc w:val="both"/>
              <w:rPr>
                <w:rFonts w:eastAsia="DengXian"/>
                <w:szCs w:val="24"/>
              </w:rPr>
            </w:pPr>
            <w:r w:rsidRPr="00727DFA">
              <w:rPr>
                <w:rFonts w:eastAsia="DengXian"/>
                <w:szCs w:val="24"/>
              </w:rPr>
              <w:t>Hypersensitivity to ganciclovir, abnormally low hemoglobin count, abnormally low neutrophil count, abnormally low platelet count</w:t>
            </w:r>
          </w:p>
        </w:tc>
      </w:tr>
      <w:tr w:rsidR="007B485D" w:rsidRPr="00727DFA" w14:paraId="5F4A82B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DD073C"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F6B37DA" w14:textId="77777777" w:rsidR="007B485D" w:rsidRPr="00727DFA" w:rsidRDefault="007B485D" w:rsidP="002D6DD7">
            <w:pPr>
              <w:jc w:val="both"/>
              <w:rPr>
                <w:rFonts w:eastAsia="DengXian"/>
                <w:szCs w:val="24"/>
              </w:rPr>
            </w:pPr>
            <w:r w:rsidRPr="00727DFA">
              <w:rPr>
                <w:rFonts w:eastAsia="DengXian"/>
                <w:szCs w:val="24"/>
              </w:rPr>
              <w:t>Abacavir, bacitracin, and imipenem/cilastatin, probenecid, myelosuppressive agents</w:t>
            </w:r>
            <w:r w:rsidRPr="0063309C">
              <w:rPr>
                <w:rFonts w:eastAsia="DengXian"/>
                <w:szCs w:val="24"/>
              </w:rPr>
              <w:t xml:space="preserve">, </w:t>
            </w:r>
            <w:r w:rsidRPr="00873AF2">
              <w:rPr>
                <w:rFonts w:eastAsia="DengXian"/>
                <w:szCs w:val="24"/>
              </w:rPr>
              <w:t>zidovudine</w:t>
            </w:r>
          </w:p>
        </w:tc>
      </w:tr>
      <w:tr w:rsidR="007B485D" w:rsidRPr="00727DFA" w14:paraId="50CF0B1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86264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D779D01" w14:textId="77777777" w:rsidR="007B485D" w:rsidRPr="00727DFA" w:rsidRDefault="007B485D" w:rsidP="002D6DD7">
            <w:pPr>
              <w:jc w:val="both"/>
              <w:rPr>
                <w:rFonts w:eastAsia="DengXian"/>
                <w:szCs w:val="24"/>
              </w:rPr>
            </w:pPr>
            <w:r w:rsidRPr="00727DFA">
              <w:rPr>
                <w:rFonts w:eastAsia="DengXian"/>
                <w:szCs w:val="24"/>
              </w:rPr>
              <w:t>Hypersensitivity, myelosuppression, neutropenia, anemia, thrombocytopenia, fever, skin rash, GI disturbances; liver function abnormalities, phlebitis, candida infections including oral candidiasis, upper respiratory infection, depression, confusion, headache, insomnia, visual impairment, cough, dyspnea, fever, decreased sperm count</w:t>
            </w:r>
            <w:r>
              <w:rPr>
                <w:rFonts w:eastAsia="DengXian"/>
                <w:szCs w:val="24"/>
              </w:rPr>
              <w:t>.</w:t>
            </w:r>
          </w:p>
        </w:tc>
      </w:tr>
      <w:tr w:rsidR="007B485D" w:rsidRPr="00727DFA" w14:paraId="01B8DE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E8BE55"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8DA81F8" w14:textId="77777777" w:rsidR="007B485D" w:rsidRPr="00727DFA" w:rsidRDefault="007B485D" w:rsidP="002D6DD7">
            <w:pPr>
              <w:jc w:val="both"/>
              <w:rPr>
                <w:rFonts w:eastAsia="DengXian"/>
                <w:szCs w:val="24"/>
              </w:rPr>
            </w:pPr>
            <w:r w:rsidRPr="00727DFA">
              <w:rPr>
                <w:rFonts w:eastAsia="DengXian"/>
                <w:szCs w:val="24"/>
              </w:rPr>
              <w:t>Pregnancy, breastfeeding, renal impairment, cross-hypersensitivity, pre-existing hematological cytopenia, concurrent myelosuppressive use</w:t>
            </w:r>
            <w:r>
              <w:rPr>
                <w:rFonts w:eastAsia="DengXian"/>
                <w:szCs w:val="24"/>
              </w:rPr>
              <w:t>.</w:t>
            </w:r>
          </w:p>
        </w:tc>
      </w:tr>
      <w:tr w:rsidR="007B485D" w:rsidRPr="00727DFA" w14:paraId="0490093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43C66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F1E32CF"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 xml:space="preserve">C. </w:t>
            </w:r>
          </w:p>
        </w:tc>
      </w:tr>
    </w:tbl>
    <w:p w14:paraId="24BD560C" w14:textId="77777777" w:rsidR="007B485D" w:rsidRDefault="007B485D" w:rsidP="007B485D">
      <w:pPr>
        <w:spacing w:after="0"/>
        <w:jc w:val="both"/>
        <w:rPr>
          <w:rFonts w:eastAsia="DengXian" w:cs="Times New Roman"/>
          <w:b/>
          <w:szCs w:val="24"/>
        </w:rPr>
      </w:pPr>
    </w:p>
    <w:p w14:paraId="0E9ADB83" w14:textId="77777777" w:rsidR="007B485D" w:rsidRDefault="007B485D" w:rsidP="007B485D">
      <w:pPr>
        <w:spacing w:after="0"/>
        <w:jc w:val="both"/>
        <w:rPr>
          <w:rFonts w:eastAsia="DengXian" w:cs="Times New Roman"/>
          <w:b/>
          <w:szCs w:val="24"/>
        </w:rPr>
      </w:pPr>
    </w:p>
    <w:p w14:paraId="65E3D933" w14:textId="77777777" w:rsidR="007B485D" w:rsidRDefault="007B485D" w:rsidP="007B485D">
      <w:pPr>
        <w:spacing w:after="0"/>
        <w:jc w:val="both"/>
        <w:rPr>
          <w:rFonts w:eastAsia="DengXian" w:cs="Times New Roman"/>
          <w:b/>
          <w:szCs w:val="24"/>
        </w:rPr>
      </w:pPr>
    </w:p>
    <w:p w14:paraId="71106499" w14:textId="77777777" w:rsidR="007B485D" w:rsidRPr="00727DFA" w:rsidRDefault="007B485D" w:rsidP="007B485D">
      <w:pPr>
        <w:spacing w:after="0"/>
        <w:jc w:val="both"/>
        <w:rPr>
          <w:rFonts w:eastAsia="DengXian" w:cs="Times New Roman"/>
          <w:b/>
          <w:szCs w:val="24"/>
        </w:rPr>
      </w:pPr>
    </w:p>
    <w:p w14:paraId="1CF03114" w14:textId="77777777" w:rsidR="005F60F6" w:rsidRDefault="005F60F6" w:rsidP="007B485D">
      <w:pPr>
        <w:widowControl w:val="0"/>
        <w:autoSpaceDE w:val="0"/>
        <w:autoSpaceDN w:val="0"/>
        <w:spacing w:after="0"/>
        <w:ind w:left="360"/>
        <w:jc w:val="both"/>
        <w:outlineLvl w:val="1"/>
        <w:rPr>
          <w:rFonts w:eastAsia="Times New Roman" w:cs="Times New Roman"/>
          <w:b/>
          <w:bCs/>
          <w:kern w:val="0"/>
          <w:szCs w:val="24"/>
        </w:rPr>
      </w:pPr>
    </w:p>
    <w:p w14:paraId="45978A88" w14:textId="77777777" w:rsidR="005F60F6" w:rsidRDefault="005F60F6" w:rsidP="007B485D">
      <w:pPr>
        <w:widowControl w:val="0"/>
        <w:autoSpaceDE w:val="0"/>
        <w:autoSpaceDN w:val="0"/>
        <w:spacing w:after="0"/>
        <w:ind w:left="360"/>
        <w:jc w:val="both"/>
        <w:outlineLvl w:val="1"/>
        <w:rPr>
          <w:rFonts w:eastAsia="Times New Roman" w:cs="Times New Roman"/>
          <w:b/>
          <w:bCs/>
          <w:kern w:val="0"/>
          <w:szCs w:val="24"/>
        </w:rPr>
      </w:pPr>
    </w:p>
    <w:p w14:paraId="61AA5B12" w14:textId="77777777" w:rsidR="005F60F6" w:rsidRDefault="005F60F6" w:rsidP="007B485D">
      <w:pPr>
        <w:widowControl w:val="0"/>
        <w:autoSpaceDE w:val="0"/>
        <w:autoSpaceDN w:val="0"/>
        <w:spacing w:after="0"/>
        <w:ind w:left="360"/>
        <w:jc w:val="both"/>
        <w:outlineLvl w:val="1"/>
        <w:rPr>
          <w:rFonts w:eastAsia="Times New Roman" w:cs="Times New Roman"/>
          <w:b/>
          <w:bCs/>
          <w:kern w:val="0"/>
          <w:szCs w:val="24"/>
        </w:rPr>
      </w:pPr>
    </w:p>
    <w:p w14:paraId="5F74AF4F" w14:textId="77777777" w:rsidR="007B485D" w:rsidRPr="00727DFA" w:rsidRDefault="007B485D" w:rsidP="003114B5">
      <w:pPr>
        <w:pStyle w:val="Heading2"/>
        <w:spacing w:before="240" w:after="240"/>
      </w:pPr>
      <w:bookmarkStart w:id="64" w:name="_Toc179490332"/>
      <w:r w:rsidRPr="00727DFA">
        <w:t>Antiprotozoals</w:t>
      </w:r>
      <w:bookmarkEnd w:id="64"/>
    </w:p>
    <w:p w14:paraId="1A764783" w14:textId="77777777" w:rsidR="007B485D" w:rsidRPr="003114B5" w:rsidRDefault="007B485D" w:rsidP="003114B5">
      <w:pPr>
        <w:spacing w:before="240"/>
        <w:rPr>
          <w:rFonts w:eastAsia="DengXian Light"/>
          <w:b/>
        </w:rPr>
      </w:pPr>
      <w:r w:rsidRPr="003114B5">
        <w:rPr>
          <w:rFonts w:eastAsia="DengXian Light"/>
          <w:b/>
        </w:rPr>
        <w:t xml:space="preserve">Anti-malarial </w:t>
      </w:r>
      <w:r w:rsidR="005F60F6" w:rsidRPr="003114B5">
        <w:rPr>
          <w:rFonts w:eastAsia="DengXian Light"/>
          <w:b/>
        </w:rPr>
        <w:t>m</w:t>
      </w:r>
      <w:r w:rsidRPr="003114B5">
        <w:rPr>
          <w:rFonts w:eastAsia="DengXian Light"/>
          <w:b/>
        </w:rPr>
        <w:t>edicines</w:t>
      </w:r>
    </w:p>
    <w:p w14:paraId="46A22FF3"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 xml:space="preserve">Malaria is the most important parasitic disease of humans and causes hundreds of millions of illnesses per year. Four species of plasmodium typically cause human malaria: </w:t>
      </w:r>
      <w:r w:rsidRPr="00727DFA">
        <w:rPr>
          <w:rFonts w:eastAsia="DengXian" w:cs="Times New Roman"/>
          <w:i/>
          <w:iCs/>
          <w:szCs w:val="24"/>
        </w:rPr>
        <w:t>Plasmodium falciparum</w:t>
      </w:r>
      <w:r w:rsidRPr="00727DFA">
        <w:rPr>
          <w:rFonts w:eastAsia="DengXian" w:cs="Times New Roman"/>
          <w:szCs w:val="24"/>
        </w:rPr>
        <w:t xml:space="preserve">, </w:t>
      </w:r>
      <w:r w:rsidRPr="00727DFA">
        <w:rPr>
          <w:rFonts w:eastAsia="DengXian" w:cs="Times New Roman"/>
          <w:i/>
          <w:iCs/>
          <w:szCs w:val="24"/>
        </w:rPr>
        <w:t>P. vivax</w:t>
      </w:r>
      <w:r w:rsidRPr="00727DFA">
        <w:rPr>
          <w:rFonts w:eastAsia="DengXian" w:cs="Times New Roman"/>
          <w:szCs w:val="24"/>
        </w:rPr>
        <w:t xml:space="preserve">, </w:t>
      </w:r>
      <w:r w:rsidRPr="00727DFA">
        <w:rPr>
          <w:rFonts w:eastAsia="DengXian" w:cs="Times New Roman"/>
          <w:i/>
          <w:iCs/>
          <w:szCs w:val="24"/>
        </w:rPr>
        <w:t>P. malariae</w:t>
      </w:r>
      <w:r w:rsidRPr="00727DFA">
        <w:rPr>
          <w:rFonts w:eastAsia="DengXian" w:cs="Times New Roman"/>
          <w:szCs w:val="24"/>
        </w:rPr>
        <w:t xml:space="preserve">, and </w:t>
      </w:r>
      <w:r w:rsidRPr="00727DFA">
        <w:rPr>
          <w:rFonts w:eastAsia="DengXian" w:cs="Times New Roman"/>
          <w:i/>
          <w:iCs/>
          <w:szCs w:val="24"/>
        </w:rPr>
        <w:t>P. ovale</w:t>
      </w:r>
      <w:r w:rsidRPr="00727DFA">
        <w:rPr>
          <w:rFonts w:eastAsia="DengXian" w:cs="Times New Roman"/>
          <w:szCs w:val="24"/>
        </w:rPr>
        <w:t xml:space="preserve">. A fifth species, </w:t>
      </w:r>
      <w:r w:rsidRPr="00727DFA">
        <w:rPr>
          <w:rFonts w:eastAsia="DengXian" w:cs="Times New Roman"/>
          <w:i/>
          <w:iCs/>
          <w:szCs w:val="24"/>
        </w:rPr>
        <w:t>P. knowlesi</w:t>
      </w:r>
      <w:r w:rsidRPr="00727DFA">
        <w:rPr>
          <w:rFonts w:eastAsia="DengXian" w:cs="Times New Roman"/>
          <w:szCs w:val="24"/>
        </w:rPr>
        <w:t xml:space="preserve"> but has recently been recognized to cause illness in humans. Malaria is transmitted by anopheles’ mosquitoes and rarely by congenital transmission, transfusion of infected blood or use of contaminated syringes among drug addicts.  Although all the latter species may cause significant illness, </w:t>
      </w:r>
      <w:r w:rsidRPr="00727DFA">
        <w:rPr>
          <w:rFonts w:eastAsia="DengXian" w:cs="Times New Roman"/>
          <w:i/>
          <w:iCs/>
          <w:szCs w:val="24"/>
        </w:rPr>
        <w:t>P. falciparum</w:t>
      </w:r>
      <w:r w:rsidRPr="00727DFA">
        <w:rPr>
          <w:rFonts w:eastAsia="DengXian" w:cs="Times New Roman"/>
          <w:szCs w:val="24"/>
        </w:rPr>
        <w:t xml:space="preserve"> is responsible for the majority of serious complications and deaths. Drug resistance is an important therapeutic problem, most notably with </w:t>
      </w:r>
      <w:r w:rsidRPr="00727DFA">
        <w:rPr>
          <w:rFonts w:eastAsia="DengXian" w:cs="Times New Roman"/>
          <w:i/>
          <w:iCs/>
          <w:szCs w:val="24"/>
        </w:rPr>
        <w:t>P. falciparum</w:t>
      </w:r>
      <w:r w:rsidRPr="00727DFA">
        <w:rPr>
          <w:rFonts w:eastAsia="DengXian" w:cs="Times New Roman"/>
          <w:szCs w:val="24"/>
        </w:rPr>
        <w:t>.</w:t>
      </w:r>
    </w:p>
    <w:p w14:paraId="5716626E"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The various stage of malarial parasite life cycle that occur in humans differ from one another in their morphology, metabolism and drugs sensitivity. Thus, antimalarial drugs can be classified based on their activities during this life cycle as well as by their intended use for either chemoprophylaxis or treatment. Some antimalarial are related to chemoprophylaxis;</w:t>
      </w:r>
      <w:r>
        <w:rPr>
          <w:rFonts w:eastAsia="DengXian" w:cs="Times New Roman"/>
          <w:szCs w:val="24"/>
        </w:rPr>
        <w:t xml:space="preserve"> However,</w:t>
      </w:r>
      <w:r w:rsidRPr="00727DFA">
        <w:rPr>
          <w:rFonts w:eastAsia="DengXian" w:cs="Times New Roman"/>
          <w:szCs w:val="24"/>
        </w:rPr>
        <w:t xml:space="preserve"> because no antimalarial kills sporozoites, it is not truly possible to prevent infection. Drugs can only prevent the development of symptomatic malaria caused by asexual erythrocytic forms. Others are related to the treatment of established infection; no single antimalarial is effective against all liver and intra-erythrocytic stages of the life cycle that may co-exist in the same patient. Complete elimination of the parasite infection, therefore, may require more than one drug.</w:t>
      </w:r>
    </w:p>
    <w:p w14:paraId="10CAF80C"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t xml:space="preserve">Artemether and lumefantrine is the recommended first line drug for treatment of uncomplicated </w:t>
      </w:r>
      <w:r w:rsidRPr="00727DFA">
        <w:rPr>
          <w:rFonts w:eastAsia="DengXian" w:cs="Times New Roman"/>
          <w:i/>
          <w:iCs/>
          <w:szCs w:val="24"/>
        </w:rPr>
        <w:t>P. falciparum</w:t>
      </w:r>
      <w:r w:rsidRPr="00727DFA">
        <w:rPr>
          <w:rFonts w:eastAsia="DengXian" w:cs="Times New Roman"/>
          <w:szCs w:val="24"/>
        </w:rPr>
        <w:t xml:space="preserve"> malaria, while artesunate is the drug of choice for complicated </w:t>
      </w:r>
      <w:r w:rsidRPr="00727DFA">
        <w:rPr>
          <w:rFonts w:eastAsia="DengXian" w:cs="Times New Roman"/>
          <w:i/>
          <w:iCs/>
          <w:szCs w:val="24"/>
        </w:rPr>
        <w:t>P. falciparum</w:t>
      </w:r>
      <w:r w:rsidRPr="00727DFA">
        <w:rPr>
          <w:rFonts w:eastAsia="DengXian" w:cs="Times New Roman"/>
          <w:szCs w:val="24"/>
        </w:rPr>
        <w:t xml:space="preserve">.   Chloroquine is the recommended treatment for </w:t>
      </w:r>
      <w:r w:rsidRPr="00727DFA">
        <w:rPr>
          <w:rFonts w:eastAsia="DengXian" w:cs="Times New Roman"/>
          <w:i/>
          <w:iCs/>
          <w:szCs w:val="24"/>
        </w:rPr>
        <w:t>P. vivax</w:t>
      </w:r>
      <w:r w:rsidRPr="00727DFA">
        <w:rPr>
          <w:rFonts w:eastAsia="DengXian" w:cs="Times New Roman"/>
          <w:szCs w:val="24"/>
        </w:rPr>
        <w:t>, artemether and lumefantrine used when chloroquine is unavailable.</w:t>
      </w:r>
      <w:r w:rsidRPr="0063309C">
        <w:rPr>
          <w:rFonts w:eastAsia="DengXian" w:cs="Times New Roman"/>
          <w:szCs w:val="24"/>
        </w:rPr>
        <w:t xml:space="preserve"> </w:t>
      </w:r>
      <w:r w:rsidRPr="00727DFA">
        <w:rPr>
          <w:rFonts w:eastAsia="DengXian" w:cs="Times New Roman"/>
          <w:szCs w:val="24"/>
        </w:rPr>
        <w:t>Blood Schizontocides</w:t>
      </w:r>
      <w:r>
        <w:rPr>
          <w:rFonts w:eastAsia="DengXian" w:cs="Times New Roman"/>
          <w:szCs w:val="24"/>
        </w:rPr>
        <w:t xml:space="preserve"> such as </w:t>
      </w:r>
      <w:r w:rsidRPr="00727DFA">
        <w:rPr>
          <w:rFonts w:eastAsia="DengXian" w:cs="Times New Roman"/>
          <w:szCs w:val="24"/>
        </w:rPr>
        <w:t>4- aminoquinolines (chloroquine), are the mainstay of the treatment of acute malaria, and some are used for prophylaxis.</w:t>
      </w:r>
    </w:p>
    <w:p w14:paraId="559A8EEB" w14:textId="77777777" w:rsidR="007B485D" w:rsidRDefault="007B485D" w:rsidP="007B485D">
      <w:pPr>
        <w:spacing w:before="240" w:after="0"/>
        <w:jc w:val="both"/>
        <w:rPr>
          <w:rFonts w:eastAsia="DengXian" w:cs="Times New Roman"/>
          <w:szCs w:val="24"/>
        </w:rPr>
      </w:pPr>
      <w:r w:rsidRPr="00727DFA">
        <w:rPr>
          <w:rFonts w:eastAsia="DengXian" w:cs="Times New Roman"/>
          <w:szCs w:val="24"/>
        </w:rPr>
        <w:lastRenderedPageBreak/>
        <w:t xml:space="preserve">Artemether and lumefantrine is the recommended first line drug for treatment of uncomplicated </w:t>
      </w:r>
      <w:r w:rsidRPr="00727DFA">
        <w:rPr>
          <w:rFonts w:eastAsia="DengXian" w:cs="Times New Roman"/>
          <w:i/>
          <w:iCs/>
          <w:szCs w:val="24"/>
        </w:rPr>
        <w:t>P. falciparum</w:t>
      </w:r>
      <w:r w:rsidRPr="00727DFA">
        <w:rPr>
          <w:rFonts w:eastAsia="DengXian" w:cs="Times New Roman"/>
          <w:szCs w:val="24"/>
        </w:rPr>
        <w:t xml:space="preserve"> malaria, while artesunate is the drug of choice for complicated </w:t>
      </w:r>
      <w:r w:rsidRPr="00727DFA">
        <w:rPr>
          <w:rFonts w:eastAsia="DengXian" w:cs="Times New Roman"/>
          <w:i/>
          <w:iCs/>
          <w:szCs w:val="24"/>
        </w:rPr>
        <w:t>P. falciparum</w:t>
      </w:r>
      <w:r w:rsidRPr="00727DFA">
        <w:rPr>
          <w:rFonts w:eastAsia="DengXian" w:cs="Times New Roman"/>
          <w:szCs w:val="24"/>
        </w:rPr>
        <w:t xml:space="preserve">.   Chloroquine is the recommended treatment for </w:t>
      </w:r>
      <w:r w:rsidRPr="00727DFA">
        <w:rPr>
          <w:rFonts w:eastAsia="DengXian" w:cs="Times New Roman"/>
          <w:i/>
          <w:iCs/>
          <w:szCs w:val="24"/>
        </w:rPr>
        <w:t>P. vivax</w:t>
      </w:r>
      <w:r w:rsidRPr="00727DFA">
        <w:rPr>
          <w:rFonts w:eastAsia="DengXian" w:cs="Times New Roman"/>
          <w:szCs w:val="24"/>
        </w:rPr>
        <w:t>, artemether and lumefantrine used when chloroquine is unavailable.</w:t>
      </w:r>
    </w:p>
    <w:p w14:paraId="2569ADCE" w14:textId="77777777" w:rsidR="007B485D" w:rsidRPr="00727DFA" w:rsidRDefault="007B485D" w:rsidP="007B485D">
      <w:pPr>
        <w:spacing w:before="240" w:after="0"/>
        <w:jc w:val="both"/>
        <w:rPr>
          <w:rFonts w:eastAsia="DengXian" w:cs="Times New Roman"/>
          <w:szCs w:val="24"/>
        </w:rPr>
      </w:pPr>
    </w:p>
    <w:tbl>
      <w:tblPr>
        <w:tblStyle w:val="TableGrid"/>
        <w:tblW w:w="0" w:type="auto"/>
        <w:tblLook w:val="04A0" w:firstRow="1" w:lastRow="0" w:firstColumn="1" w:lastColumn="0" w:noHBand="0" w:noVBand="1"/>
      </w:tblPr>
      <w:tblGrid>
        <w:gridCol w:w="2605"/>
        <w:gridCol w:w="6745"/>
      </w:tblGrid>
      <w:tr w:rsidR="007B485D" w:rsidRPr="00727DFA" w14:paraId="6DBA1AA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23D88E8" w14:textId="77777777" w:rsidR="007B485D" w:rsidRPr="00727DFA" w:rsidRDefault="007B485D" w:rsidP="002D6DD7">
            <w:pPr>
              <w:jc w:val="both"/>
              <w:rPr>
                <w:rFonts w:eastAsia="DengXian"/>
                <w:b/>
                <w:szCs w:val="24"/>
              </w:rPr>
            </w:pPr>
            <w:r w:rsidRPr="00727DFA">
              <w:rPr>
                <w:rFonts w:eastAsia="DengXian"/>
                <w:b/>
                <w:szCs w:val="24"/>
              </w:rPr>
              <w:t>Artemether</w:t>
            </w:r>
          </w:p>
        </w:tc>
      </w:tr>
      <w:tr w:rsidR="007B485D" w:rsidRPr="00727DFA" w14:paraId="56D269C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79D4180"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6E69442" w14:textId="77777777" w:rsidR="007B485D" w:rsidRPr="00727DFA" w:rsidRDefault="007B485D" w:rsidP="002D6DD7">
            <w:pPr>
              <w:jc w:val="both"/>
              <w:rPr>
                <w:rFonts w:eastAsia="DengXian"/>
                <w:bCs/>
                <w:szCs w:val="24"/>
              </w:rPr>
            </w:pPr>
            <w:r w:rsidRPr="00727DFA">
              <w:rPr>
                <w:rFonts w:eastAsia="DengXian"/>
                <w:bCs/>
                <w:szCs w:val="24"/>
              </w:rPr>
              <w:t>Artemisinin derivative</w:t>
            </w:r>
          </w:p>
        </w:tc>
      </w:tr>
      <w:tr w:rsidR="007B485D" w:rsidRPr="00727DFA" w14:paraId="26477B9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304A1C"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4980012" w14:textId="77777777" w:rsidR="007B485D" w:rsidRPr="00727DFA" w:rsidRDefault="007B485D" w:rsidP="002D6DD7">
            <w:pPr>
              <w:jc w:val="both"/>
              <w:rPr>
                <w:rFonts w:eastAsia="DengXian"/>
                <w:szCs w:val="24"/>
              </w:rPr>
            </w:pPr>
            <w:r w:rsidRPr="00727DFA">
              <w:rPr>
                <w:rFonts w:eastAsia="DengXian"/>
                <w:szCs w:val="24"/>
              </w:rPr>
              <w:t>Injection: 20mg/ml, 40mg/ml, 80mg/ml</w:t>
            </w:r>
          </w:p>
        </w:tc>
      </w:tr>
      <w:tr w:rsidR="007B485D" w:rsidRPr="00727DFA" w14:paraId="586B941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F5D53E2" w14:textId="77777777" w:rsidR="007B485D" w:rsidRPr="00727DFA" w:rsidRDefault="007B485D" w:rsidP="002D6DD7">
            <w:pPr>
              <w:jc w:val="both"/>
              <w:rPr>
                <w:rFonts w:eastAsia="DengXian"/>
                <w:b/>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A67BA86" w14:textId="77777777" w:rsidR="007B485D" w:rsidRPr="00727DFA" w:rsidRDefault="007B485D" w:rsidP="002D6DD7">
            <w:pPr>
              <w:jc w:val="both"/>
              <w:rPr>
                <w:rFonts w:eastAsia="DengXian"/>
                <w:i/>
                <w:szCs w:val="24"/>
              </w:rPr>
            </w:pPr>
            <w:r w:rsidRPr="00727DFA">
              <w:rPr>
                <w:rFonts w:eastAsia="DengXian"/>
                <w:szCs w:val="24"/>
              </w:rPr>
              <w:t xml:space="preserve">Treatment of malaria caused by </w:t>
            </w:r>
            <w:r w:rsidRPr="00727DFA">
              <w:rPr>
                <w:rFonts w:eastAsia="DengXian"/>
                <w:i/>
                <w:szCs w:val="24"/>
              </w:rPr>
              <w:t>Plasmodium vivax</w:t>
            </w:r>
            <w:r w:rsidRPr="00727DFA">
              <w:rPr>
                <w:rFonts w:eastAsia="DengXian"/>
                <w:szCs w:val="24"/>
              </w:rPr>
              <w:t xml:space="preserve"> and </w:t>
            </w:r>
            <w:r w:rsidRPr="00727DFA">
              <w:rPr>
                <w:rFonts w:eastAsia="DengXian"/>
                <w:i/>
                <w:szCs w:val="24"/>
              </w:rPr>
              <w:t>P. falciparum</w:t>
            </w:r>
          </w:p>
        </w:tc>
      </w:tr>
      <w:tr w:rsidR="007B485D" w:rsidRPr="00727DFA" w14:paraId="1DE951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1C7E3C"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A239BC4" w14:textId="77777777" w:rsidR="007B485D" w:rsidRPr="00727DFA" w:rsidRDefault="007B485D" w:rsidP="002D6DD7">
            <w:pPr>
              <w:jc w:val="both"/>
              <w:rPr>
                <w:rFonts w:eastAsia="DengXian"/>
                <w:szCs w:val="24"/>
              </w:rPr>
            </w:pPr>
            <w:r w:rsidRPr="00727DFA">
              <w:rPr>
                <w:rFonts w:eastAsia="DengXian"/>
                <w:b/>
                <w:bCs/>
                <w:szCs w:val="24"/>
              </w:rPr>
              <w:t>Malaria</w:t>
            </w:r>
            <w:r w:rsidRPr="00873AF2">
              <w:rPr>
                <w:rFonts w:eastAsia="DengXian"/>
                <w:szCs w:val="24"/>
              </w:rPr>
              <w:t>; IM:</w:t>
            </w:r>
          </w:p>
          <w:p w14:paraId="131B6B1F" w14:textId="77777777" w:rsidR="007B485D" w:rsidRPr="00727DFA" w:rsidRDefault="007B485D" w:rsidP="002D6DD7">
            <w:pPr>
              <w:jc w:val="both"/>
              <w:rPr>
                <w:rFonts w:eastAsia="DengXian"/>
                <w:szCs w:val="24"/>
              </w:rPr>
            </w:pPr>
            <w:r w:rsidRPr="00727DFA">
              <w:rPr>
                <w:rFonts w:eastAsia="DengXian"/>
                <w:b/>
                <w:bCs/>
                <w:szCs w:val="24"/>
              </w:rPr>
              <w:t>Adult and Child over 6 months:</w:t>
            </w:r>
            <w:r w:rsidRPr="00727DFA">
              <w:rPr>
                <w:rFonts w:eastAsia="DengXian"/>
                <w:szCs w:val="24"/>
              </w:rPr>
              <w:t xml:space="preserve"> 3.2 mg/kg once daily on first day, 1.6 mg/kg once daily until patient can tolerate oral medication (maximum 7 days)</w:t>
            </w:r>
          </w:p>
        </w:tc>
      </w:tr>
      <w:tr w:rsidR="007B485D" w:rsidRPr="00727DFA" w14:paraId="5DE610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EBD2B8"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3FF8D8C" w14:textId="77777777" w:rsidR="007B485D" w:rsidRPr="00727DFA" w:rsidRDefault="007B485D" w:rsidP="002D6DD7">
            <w:pPr>
              <w:jc w:val="both"/>
              <w:rPr>
                <w:rFonts w:eastAsia="DengXian"/>
                <w:szCs w:val="24"/>
              </w:rPr>
            </w:pPr>
            <w:r w:rsidRPr="00727DFA">
              <w:rPr>
                <w:rFonts w:eastAsia="DengXian"/>
                <w:szCs w:val="24"/>
              </w:rPr>
              <w:t xml:space="preserve">Hypersensitivity to artemether </w:t>
            </w:r>
            <w:r>
              <w:rPr>
                <w:rFonts w:eastAsia="DengXian"/>
                <w:szCs w:val="24"/>
              </w:rPr>
              <w:t>or</w:t>
            </w:r>
            <w:r w:rsidRPr="00727DFA">
              <w:rPr>
                <w:rFonts w:eastAsia="DengXian"/>
                <w:szCs w:val="24"/>
              </w:rPr>
              <w:t xml:space="preserve"> peanut oil</w:t>
            </w:r>
            <w:r>
              <w:rPr>
                <w:rFonts w:eastAsia="DengXian"/>
                <w:szCs w:val="24"/>
              </w:rPr>
              <w:t>.</w:t>
            </w:r>
          </w:p>
        </w:tc>
      </w:tr>
      <w:tr w:rsidR="007B485D" w:rsidRPr="00727DFA" w14:paraId="050AFEF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0A194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447985B3" w14:textId="77777777" w:rsidR="007B485D" w:rsidRPr="00727DFA" w:rsidRDefault="007B485D" w:rsidP="002D6DD7">
            <w:pPr>
              <w:jc w:val="both"/>
              <w:rPr>
                <w:rFonts w:eastAsia="DengXian"/>
                <w:szCs w:val="24"/>
              </w:rPr>
            </w:pPr>
            <w:r w:rsidRPr="00727DFA">
              <w:rPr>
                <w:rFonts w:eastAsia="DengXian"/>
                <w:szCs w:val="24"/>
              </w:rPr>
              <w:t>Carbamazepine, phenytoin, rifampin, St. John's wort.</w:t>
            </w:r>
          </w:p>
        </w:tc>
      </w:tr>
      <w:tr w:rsidR="007B485D" w:rsidRPr="00727DFA" w14:paraId="5D2C53F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E51D62"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1DA4FA8A" w14:textId="77777777" w:rsidR="007B485D" w:rsidRPr="00727DFA" w:rsidRDefault="007B485D" w:rsidP="002D6DD7">
            <w:pPr>
              <w:jc w:val="both"/>
              <w:rPr>
                <w:rFonts w:eastAsia="DengXian"/>
                <w:szCs w:val="24"/>
              </w:rPr>
            </w:pPr>
            <w:r w:rsidRPr="00727DFA">
              <w:rPr>
                <w:rFonts w:eastAsia="DengXian"/>
                <w:szCs w:val="24"/>
              </w:rPr>
              <w:t>Transient increase in serum transaminase, headache, nausea, vomiting, abdominal pain, diarrhea</w:t>
            </w:r>
            <w:r>
              <w:rPr>
                <w:rFonts w:eastAsia="DengXian"/>
                <w:szCs w:val="24"/>
              </w:rPr>
              <w:t xml:space="preserve">, </w:t>
            </w:r>
            <w:r w:rsidRPr="00727DFA">
              <w:rPr>
                <w:rFonts w:eastAsia="DengXian"/>
                <w:szCs w:val="24"/>
              </w:rPr>
              <w:t>dizziness, tinnitus, neutropenia, reduction in nucleoside and reticulocyte count</w:t>
            </w:r>
            <w:r>
              <w:rPr>
                <w:rFonts w:eastAsia="DengXian"/>
                <w:szCs w:val="24"/>
              </w:rPr>
              <w:t>.</w:t>
            </w:r>
          </w:p>
        </w:tc>
      </w:tr>
      <w:tr w:rsidR="007B485D" w:rsidRPr="00727DFA" w14:paraId="1AB775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9E817B"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3D9EF20" w14:textId="77777777" w:rsidR="007B485D" w:rsidRPr="00727DFA" w:rsidRDefault="007B485D" w:rsidP="002D6DD7">
            <w:pPr>
              <w:jc w:val="both"/>
              <w:rPr>
                <w:rFonts w:eastAsia="DengXian"/>
                <w:szCs w:val="24"/>
              </w:rPr>
            </w:pPr>
            <w:r w:rsidRPr="00727DFA">
              <w:rPr>
                <w:rFonts w:eastAsia="DengXian"/>
                <w:szCs w:val="24"/>
              </w:rPr>
              <w:t xml:space="preserve">Pregnancy, breast feeding, geriatric </w:t>
            </w:r>
            <m:oMath>
              <m:r>
                <w:rPr>
                  <w:rFonts w:ascii="Cambria Math" w:eastAsia="DengXian" w:hAnsi="Cambria Math"/>
                  <w:szCs w:val="24"/>
                </w:rPr>
                <m:t>≥</m:t>
              </m:r>
            </m:oMath>
            <w:r w:rsidRPr="00727DFA">
              <w:rPr>
                <w:rFonts w:eastAsia="DengXian"/>
                <w:szCs w:val="24"/>
              </w:rPr>
              <w:t xml:space="preserve"> 65 years of age, hepatic impairment, renal impairment</w:t>
            </w:r>
            <w:r>
              <w:rPr>
                <w:rFonts w:eastAsia="DengXian"/>
                <w:szCs w:val="24"/>
              </w:rPr>
              <w:t>.</w:t>
            </w:r>
          </w:p>
        </w:tc>
      </w:tr>
      <w:tr w:rsidR="007B485D" w:rsidRPr="00727DFA" w14:paraId="022315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19A478"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71C73402" w14:textId="77777777" w:rsidR="007B485D" w:rsidRPr="00727DFA" w:rsidRDefault="007B485D" w:rsidP="002D6DD7">
            <w:pPr>
              <w:jc w:val="both"/>
              <w:rPr>
                <w:rFonts w:eastAsia="DengXian"/>
                <w:szCs w:val="24"/>
              </w:rPr>
            </w:pPr>
            <w:r w:rsidRPr="00727DFA">
              <w:rPr>
                <w:rFonts w:eastAsia="DengXian"/>
                <w:szCs w:val="24"/>
              </w:rPr>
              <w:t>Store below 30℃ and protected from light.</w:t>
            </w:r>
          </w:p>
        </w:tc>
      </w:tr>
      <w:tr w:rsidR="007B485D" w:rsidRPr="00727DFA" w14:paraId="44658212"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6F15C10" w14:textId="77777777" w:rsidR="007B485D" w:rsidRPr="00727DFA" w:rsidRDefault="007B485D" w:rsidP="002D6DD7">
            <w:pPr>
              <w:jc w:val="both"/>
              <w:rPr>
                <w:rFonts w:eastAsia="DengXian"/>
                <w:b/>
                <w:szCs w:val="24"/>
              </w:rPr>
            </w:pPr>
            <w:r w:rsidRPr="00727DFA">
              <w:rPr>
                <w:rFonts w:eastAsia="DengXian"/>
                <w:b/>
                <w:szCs w:val="24"/>
              </w:rPr>
              <w:t xml:space="preserve">Artemether + </w:t>
            </w:r>
            <w:r>
              <w:rPr>
                <w:rFonts w:eastAsia="DengXian"/>
                <w:b/>
                <w:szCs w:val="24"/>
              </w:rPr>
              <w:t>l</w:t>
            </w:r>
            <w:r w:rsidRPr="00727DFA">
              <w:rPr>
                <w:rFonts w:eastAsia="DengXian"/>
                <w:b/>
                <w:szCs w:val="24"/>
              </w:rPr>
              <w:t>umefantrine (AL)</w:t>
            </w:r>
          </w:p>
        </w:tc>
      </w:tr>
      <w:tr w:rsidR="007B485D" w:rsidRPr="00727DFA" w14:paraId="00E829C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53BB61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EC684F9" w14:textId="77777777" w:rsidR="007B485D" w:rsidRPr="00727DFA" w:rsidRDefault="007B485D" w:rsidP="002D6DD7">
            <w:pPr>
              <w:jc w:val="both"/>
              <w:rPr>
                <w:rFonts w:eastAsia="DengXian"/>
                <w:szCs w:val="24"/>
              </w:rPr>
            </w:pPr>
            <w:r w:rsidRPr="00727DFA">
              <w:rPr>
                <w:rFonts w:eastAsia="DengXian"/>
                <w:szCs w:val="24"/>
              </w:rPr>
              <w:t xml:space="preserve">Combination of antimalarials </w:t>
            </w:r>
          </w:p>
        </w:tc>
      </w:tr>
      <w:tr w:rsidR="007B485D" w:rsidRPr="00727DFA" w14:paraId="495E226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96E77E"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93BBBD1"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(dispersible): 20mg + 120mg </w:t>
            </w:r>
          </w:p>
          <w:p w14:paraId="33A12D93" w14:textId="77777777" w:rsidR="007B485D" w:rsidRPr="00727DFA" w:rsidRDefault="007B485D" w:rsidP="002D6DD7">
            <w:pPr>
              <w:jc w:val="both"/>
              <w:rPr>
                <w:rFonts w:eastAsia="DengXian"/>
                <w:szCs w:val="24"/>
                <w:lang w:val="nb-NO"/>
              </w:rPr>
            </w:pPr>
          </w:p>
        </w:tc>
      </w:tr>
      <w:tr w:rsidR="007B485D" w:rsidRPr="00727DFA" w14:paraId="32D32E5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5B1752"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09A8453" w14:textId="77777777" w:rsidR="007B485D" w:rsidRPr="00727DFA" w:rsidRDefault="007B485D" w:rsidP="002D6DD7">
            <w:pPr>
              <w:jc w:val="both"/>
              <w:rPr>
                <w:rFonts w:eastAsia="DengXian"/>
                <w:szCs w:val="24"/>
              </w:rPr>
            </w:pPr>
            <w:r w:rsidRPr="00727DFA">
              <w:rPr>
                <w:rFonts w:eastAsia="DengXian"/>
                <w:szCs w:val="24"/>
              </w:rPr>
              <w:t xml:space="preserve">Treatment of uncomplicated malaria due to </w:t>
            </w:r>
            <w:r w:rsidRPr="00727DFA">
              <w:rPr>
                <w:rFonts w:eastAsia="DengXian"/>
                <w:i/>
                <w:szCs w:val="24"/>
              </w:rPr>
              <w:t>P. falciparum</w:t>
            </w:r>
            <w:r w:rsidRPr="00727DFA">
              <w:rPr>
                <w:rFonts w:eastAsia="DengXian"/>
                <w:szCs w:val="24"/>
              </w:rPr>
              <w:t xml:space="preserve">, </w:t>
            </w:r>
            <w:r w:rsidRPr="00727DFA">
              <w:rPr>
                <w:rFonts w:eastAsia="DengXian"/>
                <w:i/>
                <w:szCs w:val="24"/>
              </w:rPr>
              <w:t>P. vivax</w:t>
            </w:r>
            <w:r w:rsidRPr="00727DFA">
              <w:rPr>
                <w:rFonts w:eastAsia="DengXian"/>
                <w:szCs w:val="24"/>
              </w:rPr>
              <w:t xml:space="preserve"> and mixed infections</w:t>
            </w:r>
          </w:p>
        </w:tc>
      </w:tr>
      <w:tr w:rsidR="007B485D" w:rsidRPr="00727DFA" w14:paraId="4F751FC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A545F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17A4C27" w14:textId="77777777" w:rsidR="007B485D" w:rsidRPr="00727DFA" w:rsidRDefault="007B485D" w:rsidP="002D6DD7">
            <w:pPr>
              <w:jc w:val="both"/>
              <w:rPr>
                <w:rFonts w:eastAsia="DengXian"/>
                <w:b/>
                <w:szCs w:val="24"/>
              </w:rPr>
            </w:pPr>
            <w:r w:rsidRPr="00727DFA">
              <w:rPr>
                <w:rFonts w:eastAsia="DengXian"/>
                <w:b/>
                <w:szCs w:val="24"/>
              </w:rPr>
              <w:t>Adult</w:t>
            </w:r>
            <w:r w:rsidRPr="00727DFA">
              <w:rPr>
                <w:rFonts w:eastAsia="DengXian"/>
                <w:szCs w:val="24"/>
              </w:rPr>
              <w:t xml:space="preserve"> </w:t>
            </w:r>
            <w:r w:rsidRPr="00727DFA">
              <w:rPr>
                <w:rFonts w:eastAsia="DengXian"/>
                <w:b/>
                <w:szCs w:val="24"/>
              </w:rPr>
              <w:t xml:space="preserve">and </w:t>
            </w:r>
            <w:r>
              <w:rPr>
                <w:rFonts w:eastAsia="DengXian"/>
                <w:b/>
                <w:szCs w:val="24"/>
              </w:rPr>
              <w:t>child*; oral:</w:t>
            </w:r>
          </w:p>
          <w:p w14:paraId="2BC8672F" w14:textId="77777777" w:rsidR="007B485D" w:rsidRPr="00727DFA" w:rsidRDefault="007B485D" w:rsidP="002D6DD7">
            <w:pPr>
              <w:jc w:val="both"/>
              <w:rPr>
                <w:rFonts w:eastAsia="DengXian"/>
                <w:szCs w:val="24"/>
              </w:rPr>
            </w:pPr>
            <w:r w:rsidRPr="00727DFA">
              <w:rPr>
                <w:rFonts w:eastAsia="DengXian"/>
                <w:szCs w:val="24"/>
              </w:rPr>
              <w:t xml:space="preserve">Body weight </w:t>
            </w:r>
            <w:r>
              <w:rPr>
                <w:rFonts w:eastAsia="DengXian"/>
                <w:szCs w:val="24"/>
              </w:rPr>
              <w:t>5-</w:t>
            </w:r>
            <w:r w:rsidRPr="00727DFA">
              <w:rPr>
                <w:rFonts w:eastAsia="DengXian"/>
                <w:szCs w:val="24"/>
              </w:rPr>
              <w:t xml:space="preserve"> 14 kg:        1 tablet</w:t>
            </w:r>
          </w:p>
          <w:p w14:paraId="422B48F2" w14:textId="77777777" w:rsidR="007B485D" w:rsidRPr="00727DFA" w:rsidRDefault="007B485D" w:rsidP="002D6DD7">
            <w:pPr>
              <w:jc w:val="both"/>
              <w:rPr>
                <w:rFonts w:eastAsia="DengXian"/>
                <w:szCs w:val="24"/>
              </w:rPr>
            </w:pPr>
            <w:r w:rsidRPr="00727DFA">
              <w:rPr>
                <w:rFonts w:eastAsia="DengXian"/>
                <w:szCs w:val="24"/>
              </w:rPr>
              <w:lastRenderedPageBreak/>
              <w:t xml:space="preserve">Body weight 15 – 24 kg:    2 tablets </w:t>
            </w:r>
          </w:p>
          <w:p w14:paraId="119A41B6" w14:textId="77777777" w:rsidR="007B485D" w:rsidRPr="00727DFA" w:rsidRDefault="007B485D" w:rsidP="002D6DD7">
            <w:pPr>
              <w:jc w:val="both"/>
              <w:rPr>
                <w:rFonts w:eastAsia="DengXian"/>
                <w:szCs w:val="24"/>
              </w:rPr>
            </w:pPr>
            <w:r w:rsidRPr="00727DFA">
              <w:rPr>
                <w:rFonts w:eastAsia="DengXian"/>
                <w:szCs w:val="24"/>
              </w:rPr>
              <w:t xml:space="preserve">Body weight 25 – 34 kg:    3 tablets </w:t>
            </w:r>
          </w:p>
          <w:p w14:paraId="65D795C4" w14:textId="77777777" w:rsidR="007B485D" w:rsidRPr="00727DFA" w:rsidRDefault="007B485D" w:rsidP="002D6DD7">
            <w:pPr>
              <w:jc w:val="both"/>
              <w:rPr>
                <w:rFonts w:eastAsia="DengXian"/>
                <w:szCs w:val="24"/>
              </w:rPr>
            </w:pPr>
            <w:r w:rsidRPr="00727DFA">
              <w:rPr>
                <w:rFonts w:eastAsia="DengXian"/>
                <w:szCs w:val="24"/>
              </w:rPr>
              <w:t xml:space="preserve">Body weight &gt; 35 kg:         4 tablets </w:t>
            </w:r>
          </w:p>
          <w:p w14:paraId="1A997851" w14:textId="77777777" w:rsidR="007B485D" w:rsidRPr="00727DFA" w:rsidRDefault="007B485D" w:rsidP="002D6DD7">
            <w:pPr>
              <w:jc w:val="both"/>
              <w:rPr>
                <w:rFonts w:eastAsia="DengXian"/>
                <w:szCs w:val="24"/>
              </w:rPr>
            </w:pPr>
            <w:r w:rsidRPr="00727DFA">
              <w:rPr>
                <w:rFonts w:eastAsia="DengXian"/>
                <w:szCs w:val="24"/>
              </w:rPr>
              <w:t xml:space="preserve"> </w:t>
            </w:r>
            <w:r w:rsidRPr="00727DFA">
              <w:rPr>
                <w:rFonts w:eastAsia="DengXian"/>
                <w:b/>
                <w:szCs w:val="24"/>
              </w:rPr>
              <w:t>Note:</w:t>
            </w:r>
            <w:r w:rsidRPr="00727DFA">
              <w:rPr>
                <w:rFonts w:eastAsia="DengXian"/>
                <w:szCs w:val="24"/>
              </w:rPr>
              <w:t xml:space="preserve">  On day one, the</w:t>
            </w:r>
            <w:r>
              <w:rPr>
                <w:rFonts w:eastAsia="DengXian"/>
                <w:szCs w:val="24"/>
              </w:rPr>
              <w:t xml:space="preserve"> initial</w:t>
            </w:r>
            <w:r w:rsidRPr="00727DFA">
              <w:rPr>
                <w:rFonts w:eastAsia="DengXian"/>
                <w:szCs w:val="24"/>
              </w:rPr>
              <w:t xml:space="preserve"> dose</w:t>
            </w:r>
            <w:r>
              <w:rPr>
                <w:rFonts w:eastAsia="DengXian"/>
                <w:szCs w:val="24"/>
              </w:rPr>
              <w:t xml:space="preserve"> will be</w:t>
            </w:r>
            <w:r w:rsidRPr="00727DFA">
              <w:rPr>
                <w:rFonts w:eastAsia="DengXian"/>
                <w:szCs w:val="24"/>
              </w:rPr>
              <w:t xml:space="preserve"> repeated after 8 hours</w:t>
            </w:r>
          </w:p>
          <w:p w14:paraId="0CA9756C" w14:textId="77777777" w:rsidR="007B485D" w:rsidRDefault="007B485D" w:rsidP="002D6DD7">
            <w:pPr>
              <w:jc w:val="both"/>
              <w:rPr>
                <w:rFonts w:eastAsia="DengXian"/>
                <w:szCs w:val="24"/>
              </w:rPr>
            </w:pPr>
            <w:r w:rsidRPr="00727DFA">
              <w:rPr>
                <w:rFonts w:eastAsia="DengXian"/>
                <w:b/>
                <w:szCs w:val="24"/>
              </w:rPr>
              <w:t xml:space="preserve">            </w:t>
            </w:r>
            <w:r w:rsidRPr="00727DFA">
              <w:rPr>
                <w:rFonts w:eastAsia="DengXian"/>
                <w:szCs w:val="24"/>
              </w:rPr>
              <w:t>On day 2 and 3</w:t>
            </w:r>
            <w:r w:rsidRPr="00727DFA">
              <w:rPr>
                <w:rFonts w:eastAsia="DengXian"/>
                <w:b/>
                <w:szCs w:val="24"/>
              </w:rPr>
              <w:t>:</w:t>
            </w:r>
            <w:r w:rsidRPr="00727DFA">
              <w:rPr>
                <w:rFonts w:eastAsia="DengXian"/>
                <w:szCs w:val="24"/>
              </w:rPr>
              <w:t xml:space="preserve"> two times daily (3-day course of 6 doses)</w:t>
            </w:r>
          </w:p>
          <w:p w14:paraId="5C0A7A56" w14:textId="77777777" w:rsidR="007B485D" w:rsidRPr="00873AF2" w:rsidRDefault="007B485D" w:rsidP="002D6DD7">
            <w:pPr>
              <w:pStyle w:val="Heading4"/>
              <w:spacing w:before="0"/>
              <w:outlineLvl w:val="3"/>
              <w:rPr>
                <w:rFonts w:ascii="Times New Roman" w:hAnsi="Times New Roman"/>
                <w:color w:val="auto"/>
                <w:szCs w:val="24"/>
              </w:rPr>
            </w:pPr>
            <w:r w:rsidRPr="00873AF2">
              <w:rPr>
                <w:rFonts w:ascii="Times New Roman" w:eastAsia="DengXian" w:hAnsi="Times New Roman"/>
                <w:color w:val="auto"/>
                <w:szCs w:val="24"/>
                <w:lang w:val="en-GB" w:eastAsia="ko-KR"/>
              </w:rPr>
              <w:t>*</w:t>
            </w:r>
            <w:r w:rsidRPr="00873AF2">
              <w:rPr>
                <w:rFonts w:ascii="Arial" w:hAnsi="Arial" w:cs="Arial"/>
                <w:b w:val="0"/>
                <w:bCs w:val="0"/>
                <w:color w:val="auto"/>
              </w:rPr>
              <w:t xml:space="preserve"> </w:t>
            </w:r>
            <w:r w:rsidRPr="00873AF2">
              <w:rPr>
                <w:rFonts w:ascii="Times New Roman" w:hAnsi="Times New Roman"/>
                <w:b w:val="0"/>
                <w:bCs w:val="0"/>
                <w:color w:val="auto"/>
                <w:szCs w:val="24"/>
              </w:rPr>
              <w:t xml:space="preserve">Child &lt;2 years or &lt;5 kg: </w:t>
            </w:r>
            <w:r>
              <w:rPr>
                <w:rFonts w:ascii="Times New Roman" w:hAnsi="Times New Roman"/>
                <w:b w:val="0"/>
                <w:bCs w:val="0"/>
                <w:color w:val="auto"/>
                <w:szCs w:val="24"/>
              </w:rPr>
              <w:t>s</w:t>
            </w:r>
            <w:r w:rsidRPr="00873AF2">
              <w:rPr>
                <w:rFonts w:ascii="Times New Roman" w:hAnsi="Times New Roman"/>
                <w:b w:val="0"/>
                <w:bCs w:val="0"/>
                <w:color w:val="auto"/>
                <w:szCs w:val="24"/>
              </w:rPr>
              <w:t>afety and efficacy not established</w:t>
            </w:r>
            <w:r>
              <w:rPr>
                <w:rFonts w:ascii="Times New Roman" w:hAnsi="Times New Roman"/>
                <w:b w:val="0"/>
                <w:bCs w:val="0"/>
                <w:color w:val="auto"/>
                <w:szCs w:val="24"/>
              </w:rPr>
              <w:t>.</w:t>
            </w:r>
          </w:p>
          <w:p w14:paraId="190427BC" w14:textId="77777777" w:rsidR="007B485D" w:rsidRPr="00727DFA" w:rsidRDefault="007B485D" w:rsidP="002D6DD7">
            <w:pPr>
              <w:jc w:val="both"/>
              <w:rPr>
                <w:rFonts w:eastAsia="DengXian"/>
                <w:szCs w:val="24"/>
              </w:rPr>
            </w:pPr>
          </w:p>
        </w:tc>
      </w:tr>
      <w:tr w:rsidR="007B485D" w:rsidRPr="00727DFA" w14:paraId="188ADA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4FFB64"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66C01B9" w14:textId="77777777" w:rsidR="007B485D" w:rsidRPr="00727DFA" w:rsidRDefault="007B485D" w:rsidP="002D6DD7">
            <w:pPr>
              <w:jc w:val="both"/>
              <w:rPr>
                <w:rFonts w:eastAsia="DengXian"/>
                <w:szCs w:val="24"/>
              </w:rPr>
            </w:pPr>
            <w:r w:rsidRPr="00727DFA">
              <w:rPr>
                <w:rFonts w:eastAsia="DengXian"/>
                <w:szCs w:val="24"/>
              </w:rPr>
              <w:t>Family history of congenital QT interval prolongation, family history of sudden death, history of arrhythmias, history of clinically relevant, bradycardia, history of congestive heart failure accompanied by reduced left ventricular ejection fraction</w:t>
            </w:r>
          </w:p>
        </w:tc>
      </w:tr>
      <w:tr w:rsidR="007B485D" w:rsidRPr="00727DFA" w14:paraId="2F024C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E353AB"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290D841D" w14:textId="77777777" w:rsidR="007B485D" w:rsidRPr="00727DFA" w:rsidRDefault="007B485D" w:rsidP="002D6DD7">
            <w:pPr>
              <w:jc w:val="both"/>
              <w:rPr>
                <w:rFonts w:eastAsia="DengXian"/>
                <w:szCs w:val="24"/>
              </w:rPr>
            </w:pPr>
            <w:r w:rsidRPr="00727DFA">
              <w:rPr>
                <w:rFonts w:eastAsia="DengXian"/>
                <w:szCs w:val="24"/>
              </w:rPr>
              <w:t>Drugs known to prolong QT: class IA or III antiarrhythmics, tricyclic antidepressants, macrolides, fluoroquinolones, quinine, quinidine</w:t>
            </w:r>
          </w:p>
          <w:p w14:paraId="069220D5" w14:textId="77777777" w:rsidR="007B485D" w:rsidRPr="00727DFA" w:rsidRDefault="007B485D" w:rsidP="002D6DD7">
            <w:pPr>
              <w:jc w:val="both"/>
              <w:rPr>
                <w:rFonts w:eastAsia="DengXian"/>
                <w:szCs w:val="24"/>
              </w:rPr>
            </w:pPr>
            <w:r w:rsidRPr="00727DFA">
              <w:rPr>
                <w:rFonts w:eastAsia="DengXian"/>
                <w:szCs w:val="24"/>
              </w:rPr>
              <w:t xml:space="preserve">Strong CYP </w:t>
            </w:r>
            <w:r w:rsidRPr="00727DFA">
              <w:rPr>
                <w:rFonts w:eastAsia="DengXian"/>
                <w:szCs w:val="24"/>
                <w:vertAlign w:val="subscript"/>
              </w:rPr>
              <w:t>3A4</w:t>
            </w:r>
            <w:r w:rsidRPr="00727DFA">
              <w:rPr>
                <w:rFonts w:eastAsia="DengXian"/>
                <w:szCs w:val="24"/>
              </w:rPr>
              <w:t xml:space="preserve"> inducers:  rifampin, carbamazepine, phenytoin  </w:t>
            </w:r>
          </w:p>
        </w:tc>
      </w:tr>
      <w:tr w:rsidR="007B485D" w:rsidRPr="00727DFA" w14:paraId="5C9801C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2EF258"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5213CC78" w14:textId="77777777" w:rsidR="007B485D" w:rsidRPr="00727DFA" w:rsidRDefault="007B485D" w:rsidP="002D6DD7">
            <w:pPr>
              <w:jc w:val="both"/>
              <w:rPr>
                <w:rFonts w:eastAsia="DengXian"/>
                <w:szCs w:val="24"/>
              </w:rPr>
            </w:pPr>
            <w:r w:rsidRPr="00727DFA">
              <w:rPr>
                <w:rFonts w:eastAsia="DengXian"/>
                <w:szCs w:val="24"/>
              </w:rPr>
              <w:t>Abdominal pain, anorexia, diarrhea, nausea and vomiting, headache, dizziness, sleep disorders, palpitations, arthralgia, myalgia, cough, asthenia, fatigue, pruritus, rash.</w:t>
            </w:r>
          </w:p>
        </w:tc>
      </w:tr>
      <w:tr w:rsidR="007B485D" w:rsidRPr="00727DFA" w14:paraId="5B3CF6F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88A4CD"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6B273C30" w14:textId="77777777" w:rsidR="007B485D" w:rsidRPr="00727DFA" w:rsidRDefault="007B485D" w:rsidP="002D6DD7">
            <w:pPr>
              <w:jc w:val="both"/>
              <w:rPr>
                <w:rFonts w:eastAsia="DengXian"/>
                <w:szCs w:val="24"/>
              </w:rPr>
            </w:pPr>
            <w:r w:rsidRPr="00727DFA">
              <w:rPr>
                <w:rFonts w:eastAsia="DengXian"/>
                <w:szCs w:val="24"/>
              </w:rPr>
              <w:t>Electrolyte disturbances (hypokalemia), concomitant administration of drugs that prolong QT interval, renal or hepatic impairment, pregnancy</w:t>
            </w:r>
            <w:r>
              <w:rPr>
                <w:rFonts w:eastAsia="DengXian"/>
                <w:szCs w:val="24"/>
              </w:rPr>
              <w:t>,</w:t>
            </w:r>
            <w:r w:rsidRPr="00727DFA">
              <w:rPr>
                <w:rFonts w:eastAsia="DengXian"/>
                <w:szCs w:val="24"/>
              </w:rPr>
              <w:t xml:space="preserve"> breastfeeding.</w:t>
            </w:r>
          </w:p>
        </w:tc>
      </w:tr>
      <w:tr w:rsidR="007B485D" w:rsidRPr="00727DFA" w14:paraId="39B7418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DB79E9"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1AE0B61D" w14:textId="77777777" w:rsidR="007B485D" w:rsidRPr="00727DFA" w:rsidRDefault="007B485D" w:rsidP="002D6DD7">
            <w:pPr>
              <w:jc w:val="both"/>
              <w:rPr>
                <w:rFonts w:eastAsia="DengXian"/>
                <w:szCs w:val="24"/>
              </w:rPr>
            </w:pPr>
            <w:r w:rsidRPr="00727DFA">
              <w:rPr>
                <w:rFonts w:eastAsia="DengXian"/>
                <w:szCs w:val="24"/>
              </w:rPr>
              <w:t>Store below 30℃</w:t>
            </w:r>
            <w:r>
              <w:rPr>
                <w:rFonts w:eastAsia="DengXian"/>
                <w:szCs w:val="24"/>
              </w:rPr>
              <w:t>.</w:t>
            </w:r>
          </w:p>
        </w:tc>
      </w:tr>
      <w:tr w:rsidR="007B485D" w:rsidRPr="00727DFA" w14:paraId="0A43A1E7"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65A1E27" w14:textId="77777777" w:rsidR="007B485D" w:rsidRPr="00727DFA" w:rsidRDefault="007B485D" w:rsidP="002D6DD7">
            <w:pPr>
              <w:jc w:val="both"/>
              <w:rPr>
                <w:rFonts w:eastAsia="DengXian"/>
                <w:b/>
                <w:szCs w:val="24"/>
              </w:rPr>
            </w:pPr>
            <w:r w:rsidRPr="00727DFA">
              <w:rPr>
                <w:rFonts w:eastAsia="DengXian"/>
                <w:b/>
                <w:bCs/>
                <w:szCs w:val="24"/>
              </w:rPr>
              <w:t>Artesunate</w:t>
            </w:r>
          </w:p>
        </w:tc>
      </w:tr>
      <w:tr w:rsidR="007B485D" w:rsidRPr="00727DFA" w14:paraId="6D401E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A6C553"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BECFA04" w14:textId="77777777" w:rsidR="007B485D" w:rsidRPr="00727DFA" w:rsidRDefault="007B485D" w:rsidP="002D6DD7">
            <w:pPr>
              <w:jc w:val="both"/>
              <w:rPr>
                <w:rFonts w:eastAsia="DengXian"/>
                <w:szCs w:val="24"/>
              </w:rPr>
            </w:pPr>
            <w:r w:rsidRPr="00727DFA">
              <w:rPr>
                <w:rFonts w:eastAsia="DengXian"/>
                <w:b/>
                <w:szCs w:val="24"/>
              </w:rPr>
              <w:t xml:space="preserve"> </w:t>
            </w:r>
            <w:r w:rsidRPr="00727DFA">
              <w:rPr>
                <w:rFonts w:eastAsia="DengXian"/>
                <w:szCs w:val="24"/>
              </w:rPr>
              <w:t xml:space="preserve">Artemisinin derivates, antimalarial </w:t>
            </w:r>
          </w:p>
        </w:tc>
      </w:tr>
      <w:tr w:rsidR="007B485D" w:rsidRPr="00727DFA" w14:paraId="02BFD75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DB430A"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29A7A695" w14:textId="77777777" w:rsidR="007B485D" w:rsidRPr="00727DFA" w:rsidRDefault="007B485D" w:rsidP="002D6DD7">
            <w:pPr>
              <w:jc w:val="both"/>
              <w:rPr>
                <w:rFonts w:eastAsia="DengXian"/>
                <w:szCs w:val="24"/>
              </w:rPr>
            </w:pPr>
            <w:r w:rsidRPr="00727DFA">
              <w:rPr>
                <w:rFonts w:eastAsia="DengXian"/>
                <w:szCs w:val="24"/>
              </w:rPr>
              <w:t>Injection: 60mg/ml</w:t>
            </w:r>
          </w:p>
          <w:p w14:paraId="1FAE74B4" w14:textId="77777777" w:rsidR="007B485D" w:rsidRPr="00727DFA" w:rsidRDefault="007B485D" w:rsidP="002D6DD7">
            <w:pPr>
              <w:jc w:val="both"/>
              <w:rPr>
                <w:rFonts w:eastAsia="DengXian"/>
                <w:szCs w:val="24"/>
              </w:rPr>
            </w:pPr>
            <w:r w:rsidRPr="00727DFA">
              <w:rPr>
                <w:rFonts w:eastAsia="DengXian"/>
                <w:szCs w:val="24"/>
              </w:rPr>
              <w:t>Rectal (capsule): 50 mg; 200 mg; 100 mg</w:t>
            </w:r>
          </w:p>
        </w:tc>
      </w:tr>
      <w:tr w:rsidR="007B485D" w:rsidRPr="00727DFA" w14:paraId="69B6C86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B3DB34"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52ED03C7" w14:textId="77777777" w:rsidR="007B485D" w:rsidRPr="00727DFA" w:rsidRDefault="007B485D" w:rsidP="002D6DD7">
            <w:pPr>
              <w:jc w:val="both"/>
              <w:rPr>
                <w:rFonts w:eastAsia="DengXian"/>
                <w:szCs w:val="24"/>
              </w:rPr>
            </w:pPr>
            <w:r w:rsidRPr="00727DFA">
              <w:rPr>
                <w:rFonts w:eastAsia="DengXian"/>
                <w:szCs w:val="24"/>
              </w:rPr>
              <w:t xml:space="preserve">Treatment of severe malaria caused by </w:t>
            </w:r>
            <w:r w:rsidRPr="00727DFA">
              <w:rPr>
                <w:rFonts w:eastAsia="DengXian"/>
                <w:i/>
                <w:iCs/>
                <w:szCs w:val="24"/>
              </w:rPr>
              <w:t>P. falciparum</w:t>
            </w:r>
          </w:p>
        </w:tc>
      </w:tr>
      <w:tr w:rsidR="007B485D" w:rsidRPr="00727DFA" w14:paraId="78E44DF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31F7F9"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2C02D0EB" w14:textId="77777777" w:rsidR="007B485D" w:rsidRPr="00727DFA" w:rsidRDefault="007B485D" w:rsidP="002D6DD7">
            <w:pPr>
              <w:jc w:val="both"/>
              <w:rPr>
                <w:rFonts w:eastAsia="DengXian"/>
                <w:b/>
                <w:bCs/>
                <w:szCs w:val="24"/>
              </w:rPr>
            </w:pPr>
            <w:r w:rsidRPr="00727DFA">
              <w:rPr>
                <w:rFonts w:eastAsia="DengXian"/>
                <w:b/>
                <w:bCs/>
                <w:szCs w:val="24"/>
              </w:rPr>
              <w:t>Severe malaria</w:t>
            </w:r>
          </w:p>
          <w:p w14:paraId="03158976" w14:textId="77777777" w:rsidR="007B485D" w:rsidRPr="00727DFA" w:rsidRDefault="007B485D" w:rsidP="002D6DD7">
            <w:pPr>
              <w:jc w:val="both"/>
              <w:rPr>
                <w:rFonts w:eastAsia="DengXian"/>
                <w:b/>
                <w:bCs/>
                <w:szCs w:val="24"/>
              </w:rPr>
            </w:pPr>
            <w:r w:rsidRPr="00727DFA">
              <w:rPr>
                <w:rFonts w:eastAsia="DengXian"/>
                <w:b/>
                <w:bCs/>
                <w:szCs w:val="24"/>
              </w:rPr>
              <w:t>IV:</w:t>
            </w:r>
          </w:p>
          <w:p w14:paraId="6C472F48" w14:textId="77777777" w:rsidR="007B485D" w:rsidRPr="00727DFA" w:rsidRDefault="007B485D" w:rsidP="002D6DD7">
            <w:pPr>
              <w:jc w:val="both"/>
              <w:rPr>
                <w:rFonts w:eastAsia="DengXian"/>
                <w:szCs w:val="24"/>
              </w:rPr>
            </w:pPr>
            <w:r w:rsidRPr="00727DFA">
              <w:rPr>
                <w:rFonts w:eastAsia="DengXian"/>
                <w:b/>
                <w:bCs/>
                <w:szCs w:val="24"/>
              </w:rPr>
              <w:t>Adults and children weighing &gt; 20 kg</w:t>
            </w:r>
            <w:r w:rsidRPr="00727DFA">
              <w:rPr>
                <w:rFonts w:eastAsia="DengXian"/>
                <w:szCs w:val="24"/>
              </w:rPr>
              <w:t>: Initially 2.4 mg/kg, then repeat at 12-hour intervals for 2 further doses, then once daily</w:t>
            </w:r>
          </w:p>
          <w:p w14:paraId="01EDDEF0" w14:textId="77777777" w:rsidR="007B485D" w:rsidRPr="00727DFA" w:rsidRDefault="007B485D" w:rsidP="002D6DD7">
            <w:pPr>
              <w:jc w:val="both"/>
              <w:rPr>
                <w:rFonts w:eastAsia="DengXian"/>
                <w:szCs w:val="24"/>
              </w:rPr>
            </w:pPr>
            <w:r w:rsidRPr="00727DFA">
              <w:rPr>
                <w:rFonts w:eastAsia="DengXian"/>
                <w:b/>
                <w:bCs/>
                <w:szCs w:val="24"/>
              </w:rPr>
              <w:lastRenderedPageBreak/>
              <w:t>Children weighing &lt; 20 kg</w:t>
            </w:r>
            <w:r w:rsidRPr="00727DFA">
              <w:rPr>
                <w:rFonts w:eastAsia="DengXian"/>
                <w:szCs w:val="24"/>
              </w:rPr>
              <w:t>: Initially 3 mg/kg, then repeat at 12-hour intervals for 2 further doses, then once daily</w:t>
            </w:r>
          </w:p>
          <w:p w14:paraId="1D8E5875" w14:textId="77777777" w:rsidR="007B485D" w:rsidRPr="00727DFA" w:rsidRDefault="007B485D" w:rsidP="002D6DD7">
            <w:pPr>
              <w:jc w:val="both"/>
              <w:rPr>
                <w:rFonts w:eastAsia="DengXian"/>
                <w:szCs w:val="24"/>
              </w:rPr>
            </w:pPr>
            <w:r w:rsidRPr="00727DFA">
              <w:rPr>
                <w:rFonts w:eastAsia="DengXian"/>
                <w:b/>
                <w:bCs/>
                <w:szCs w:val="24"/>
              </w:rPr>
              <w:t>Rectal:</w:t>
            </w:r>
            <w:r w:rsidRPr="00727DFA">
              <w:rPr>
                <w:rFonts w:eastAsia="DengXian"/>
                <w:szCs w:val="24"/>
              </w:rPr>
              <w:t>10mg/kg body weight</w:t>
            </w:r>
          </w:p>
        </w:tc>
      </w:tr>
      <w:tr w:rsidR="007B485D" w:rsidRPr="00727DFA" w14:paraId="4E010A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907FFB"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78AAC4E" w14:textId="77777777" w:rsidR="007B485D" w:rsidRPr="00727DFA" w:rsidRDefault="007B485D" w:rsidP="002D6DD7">
            <w:pPr>
              <w:jc w:val="both"/>
              <w:rPr>
                <w:rFonts w:eastAsia="DengXian"/>
                <w:szCs w:val="24"/>
              </w:rPr>
            </w:pPr>
            <w:r w:rsidRPr="00727DFA">
              <w:rPr>
                <w:rFonts w:eastAsia="DengXian"/>
                <w:szCs w:val="24"/>
              </w:rPr>
              <w:t>Hypersensitivity to artesunate or other artemisinins</w:t>
            </w:r>
            <w:r>
              <w:rPr>
                <w:rFonts w:eastAsia="DengXian"/>
                <w:szCs w:val="24"/>
              </w:rPr>
              <w:t>.</w:t>
            </w:r>
          </w:p>
        </w:tc>
      </w:tr>
      <w:tr w:rsidR="007B485D" w:rsidRPr="00727DFA" w14:paraId="1181BDA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F4D6E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3E55F32" w14:textId="77777777" w:rsidR="007B485D" w:rsidRPr="00727DFA" w:rsidRDefault="007B485D" w:rsidP="002D6DD7">
            <w:pPr>
              <w:jc w:val="both"/>
              <w:rPr>
                <w:rFonts w:eastAsia="DengXian"/>
                <w:szCs w:val="24"/>
              </w:rPr>
            </w:pPr>
            <w:r>
              <w:rPr>
                <w:rFonts w:eastAsia="DengXian"/>
                <w:szCs w:val="24"/>
              </w:rPr>
              <w:t>Dapsone, nevirapine, phenobarbital, carbamazepine, phenytoin, imatinib, rifampin.</w:t>
            </w:r>
          </w:p>
        </w:tc>
      </w:tr>
      <w:tr w:rsidR="007B485D" w:rsidRPr="00727DFA" w14:paraId="21C77B2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54B9BB"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02661886" w14:textId="77777777" w:rsidR="007B485D" w:rsidRPr="00727DFA" w:rsidRDefault="007B485D" w:rsidP="002D6DD7">
            <w:pPr>
              <w:jc w:val="both"/>
              <w:rPr>
                <w:rFonts w:eastAsia="DengXian"/>
                <w:szCs w:val="24"/>
              </w:rPr>
            </w:pPr>
            <w:r w:rsidRPr="00727DFA">
              <w:rPr>
                <w:rFonts w:eastAsia="DengXian"/>
                <w:szCs w:val="24"/>
              </w:rPr>
              <w:t>Headache, nausea, vomiting, convulsions, abdominal pain, diarrhea, dizziness, tinnitus, neutropenia, elevated liver enzyme values, ECG abnormalities, including prolongation of QT interval, temporary suppression of reticulocyte response and induction of blackwater fever reported, neurotoxicity in animal studies</w:t>
            </w:r>
            <w:r>
              <w:rPr>
                <w:rFonts w:eastAsia="DengXian"/>
                <w:szCs w:val="24"/>
              </w:rPr>
              <w:t>.</w:t>
            </w:r>
          </w:p>
        </w:tc>
      </w:tr>
      <w:tr w:rsidR="007B485D" w:rsidRPr="00727DFA" w14:paraId="02A377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CBB8DE"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E80149C" w14:textId="77777777" w:rsidR="007B485D" w:rsidRPr="00727DFA" w:rsidRDefault="007B485D" w:rsidP="002D6DD7">
            <w:pPr>
              <w:jc w:val="both"/>
              <w:rPr>
                <w:rFonts w:eastAsia="DengXian"/>
                <w:szCs w:val="24"/>
              </w:rPr>
            </w:pPr>
            <w:r w:rsidRPr="00727DFA">
              <w:rPr>
                <w:rFonts w:eastAsia="DengXian"/>
                <w:szCs w:val="24"/>
              </w:rPr>
              <w:t>Pregnancy</w:t>
            </w:r>
            <w:r>
              <w:rPr>
                <w:rFonts w:eastAsia="DengXian"/>
                <w:szCs w:val="24"/>
              </w:rPr>
              <w:t>,</w:t>
            </w:r>
            <w:r w:rsidRPr="00727DFA">
              <w:rPr>
                <w:rFonts w:eastAsia="DengXian"/>
                <w:szCs w:val="24"/>
              </w:rPr>
              <w:t xml:space="preserve"> </w:t>
            </w:r>
            <w:r>
              <w:rPr>
                <w:rFonts w:eastAsia="DengXian"/>
                <w:szCs w:val="24"/>
              </w:rPr>
              <w:t>performing tasks such as</w:t>
            </w:r>
            <w:r w:rsidRPr="00727DFA">
              <w:rPr>
                <w:rFonts w:eastAsia="DengXian"/>
                <w:szCs w:val="24"/>
              </w:rPr>
              <w:t xml:space="preserve"> riding a bike or operating machinery</w:t>
            </w:r>
            <w:r>
              <w:rPr>
                <w:rFonts w:eastAsia="DengXian"/>
                <w:szCs w:val="24"/>
              </w:rPr>
              <w:t xml:space="preserve"> within</w:t>
            </w:r>
            <w:r w:rsidRPr="00727DFA">
              <w:rPr>
                <w:rFonts w:eastAsia="DengXian"/>
                <w:szCs w:val="24"/>
              </w:rPr>
              <w:t xml:space="preserve"> 24 hours</w:t>
            </w:r>
            <w:r>
              <w:rPr>
                <w:rFonts w:eastAsia="DengXian"/>
                <w:szCs w:val="24"/>
              </w:rPr>
              <w:t>.</w:t>
            </w:r>
          </w:p>
        </w:tc>
      </w:tr>
      <w:tr w:rsidR="007B485D" w:rsidRPr="00727DFA" w14:paraId="44F76F4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1F85EF"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8620F72"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6F5A7E3"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37552C8" w14:textId="77777777" w:rsidR="007B485D" w:rsidRPr="00727DFA" w:rsidRDefault="007B485D" w:rsidP="002D6DD7">
            <w:pPr>
              <w:jc w:val="both"/>
              <w:rPr>
                <w:rFonts w:eastAsia="DengXian"/>
                <w:b/>
                <w:szCs w:val="24"/>
              </w:rPr>
            </w:pPr>
            <w:r w:rsidRPr="00727DFA">
              <w:rPr>
                <w:rFonts w:eastAsia="DengXian"/>
                <w:b/>
                <w:szCs w:val="24"/>
              </w:rPr>
              <w:t>Atovaquone + proguanil</w:t>
            </w:r>
          </w:p>
        </w:tc>
      </w:tr>
      <w:tr w:rsidR="007B485D" w:rsidRPr="00727DFA" w14:paraId="613920E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367227"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8C60EF7" w14:textId="77777777" w:rsidR="007B485D" w:rsidRPr="00727DFA" w:rsidRDefault="007B485D" w:rsidP="002D6DD7">
            <w:pPr>
              <w:jc w:val="both"/>
              <w:rPr>
                <w:rFonts w:eastAsia="DengXian"/>
                <w:szCs w:val="24"/>
              </w:rPr>
            </w:pPr>
            <w:r w:rsidRPr="00727DFA">
              <w:rPr>
                <w:rFonts w:eastAsia="DengXian"/>
                <w:b/>
                <w:szCs w:val="24"/>
              </w:rPr>
              <w:t xml:space="preserve"> </w:t>
            </w:r>
            <w:r w:rsidRPr="00727DFA">
              <w:rPr>
                <w:rFonts w:eastAsia="DengXian"/>
                <w:szCs w:val="24"/>
              </w:rPr>
              <w:t xml:space="preserve">Combination of antimalarials </w:t>
            </w:r>
          </w:p>
        </w:tc>
      </w:tr>
      <w:tr w:rsidR="007B485D" w:rsidRPr="00727DFA" w14:paraId="1F43982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B00B77"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67B4D45B" w14:textId="77777777" w:rsidR="007B485D" w:rsidRPr="00727DFA" w:rsidRDefault="007B485D" w:rsidP="002D6DD7">
            <w:pPr>
              <w:jc w:val="both"/>
              <w:rPr>
                <w:rFonts w:eastAsia="DengXian"/>
                <w:szCs w:val="24"/>
              </w:rPr>
            </w:pPr>
            <w:r w:rsidRPr="00727DFA">
              <w:rPr>
                <w:rFonts w:eastAsia="DengXian"/>
                <w:szCs w:val="24"/>
                <w:lang w:val="it-IT"/>
              </w:rPr>
              <w:t>Tablet:250mg+100mg</w:t>
            </w:r>
          </w:p>
        </w:tc>
      </w:tr>
      <w:tr w:rsidR="007B485D" w:rsidRPr="00727DFA" w14:paraId="332D8F0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F2FE122"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ADCC990" w14:textId="77777777" w:rsidR="007B485D" w:rsidRPr="00727DFA" w:rsidRDefault="007B485D" w:rsidP="002D6DD7">
            <w:pPr>
              <w:jc w:val="both"/>
              <w:rPr>
                <w:rFonts w:eastAsia="DengXian"/>
                <w:szCs w:val="24"/>
              </w:rPr>
            </w:pPr>
            <w:r w:rsidRPr="00727DFA">
              <w:rPr>
                <w:rFonts w:eastAsia="DengXian"/>
                <w:szCs w:val="24"/>
              </w:rPr>
              <w:t xml:space="preserve">Prophylaxis of </w:t>
            </w:r>
            <w:r w:rsidRPr="00873AF2">
              <w:rPr>
                <w:rFonts w:eastAsia="DengXian"/>
                <w:i/>
                <w:iCs/>
                <w:szCs w:val="24"/>
              </w:rPr>
              <w:t>falciparum</w:t>
            </w:r>
            <w:r w:rsidRPr="00727DFA">
              <w:rPr>
                <w:rFonts w:eastAsia="DengXian"/>
                <w:szCs w:val="24"/>
              </w:rPr>
              <w:t xml:space="preserve"> malaria</w:t>
            </w:r>
          </w:p>
        </w:tc>
      </w:tr>
      <w:tr w:rsidR="007B485D" w:rsidRPr="00727DFA" w14:paraId="77AC765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D4C0CD"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7DF580B0" w14:textId="77777777" w:rsidR="007B485D" w:rsidRPr="00570CEE" w:rsidRDefault="007B485D" w:rsidP="002D6DD7">
            <w:pPr>
              <w:jc w:val="both"/>
              <w:rPr>
                <w:rFonts w:eastAsia="DengXian"/>
                <w:b/>
                <w:bCs/>
                <w:szCs w:val="24"/>
              </w:rPr>
            </w:pPr>
            <w:r w:rsidRPr="00873AF2">
              <w:rPr>
                <w:rFonts w:eastAsia="DengXian"/>
                <w:b/>
                <w:bCs/>
                <w:szCs w:val="24"/>
              </w:rPr>
              <w:t xml:space="preserve">Prophylaxis of </w:t>
            </w:r>
            <w:r w:rsidRPr="00873AF2">
              <w:rPr>
                <w:rFonts w:eastAsia="DengXian"/>
                <w:b/>
                <w:bCs/>
                <w:i/>
                <w:iCs/>
                <w:szCs w:val="24"/>
              </w:rPr>
              <w:t>falciparum</w:t>
            </w:r>
            <w:r w:rsidRPr="00873AF2">
              <w:rPr>
                <w:rFonts w:eastAsia="DengXian"/>
                <w:b/>
                <w:bCs/>
                <w:szCs w:val="24"/>
              </w:rPr>
              <w:t xml:space="preserve"> malaria</w:t>
            </w:r>
            <w:r>
              <w:rPr>
                <w:rFonts w:eastAsia="DengXian"/>
                <w:b/>
                <w:bCs/>
                <w:szCs w:val="24"/>
              </w:rPr>
              <w:t>:</w:t>
            </w:r>
          </w:p>
          <w:p w14:paraId="4E56E8D5" w14:textId="77777777" w:rsidR="007B485D" w:rsidRPr="00727DFA" w:rsidRDefault="007B485D" w:rsidP="002D6DD7">
            <w:pPr>
              <w:jc w:val="both"/>
              <w:rPr>
                <w:rFonts w:eastAsia="DengXian"/>
                <w:szCs w:val="24"/>
              </w:rPr>
            </w:pPr>
            <w:r w:rsidRPr="00727DFA">
              <w:rPr>
                <w:rFonts w:eastAsia="DengXian"/>
                <w:b/>
                <w:szCs w:val="24"/>
              </w:rPr>
              <w:t>Adult and child body weight 40 kg and above:</w:t>
            </w:r>
            <w:r w:rsidRPr="00727DFA">
              <w:rPr>
                <w:rFonts w:eastAsia="DengXian"/>
                <w:szCs w:val="24"/>
              </w:rPr>
              <w:t xml:space="preserve"> 1 tablet once daily, to be started 1–2 days before entering endemic area and continued for 1 week after leaving</w:t>
            </w:r>
          </w:p>
          <w:p w14:paraId="772F07D2" w14:textId="77777777" w:rsidR="007B485D" w:rsidRPr="00727DFA" w:rsidRDefault="007B485D" w:rsidP="002D6DD7">
            <w:pPr>
              <w:jc w:val="both"/>
              <w:rPr>
                <w:rFonts w:eastAsia="DengXian"/>
                <w:b/>
                <w:bCs/>
                <w:szCs w:val="24"/>
              </w:rPr>
            </w:pPr>
            <w:r w:rsidRPr="00727DFA">
              <w:rPr>
                <w:rFonts w:eastAsia="DengXian"/>
                <w:b/>
                <w:bCs/>
                <w:szCs w:val="24"/>
              </w:rPr>
              <w:t>Child:</w:t>
            </w:r>
          </w:p>
          <w:p w14:paraId="624BF853" w14:textId="77777777" w:rsidR="007B485D" w:rsidRPr="00727DFA" w:rsidRDefault="007B485D" w:rsidP="002D6DD7">
            <w:pPr>
              <w:jc w:val="both"/>
              <w:rPr>
                <w:rFonts w:eastAsia="DengXian"/>
                <w:szCs w:val="24"/>
              </w:rPr>
            </w:pPr>
            <w:r w:rsidRPr="00727DFA">
              <w:rPr>
                <w:rFonts w:eastAsia="DengXian"/>
                <w:szCs w:val="24"/>
              </w:rPr>
              <w:t>Body weight 11-20: 62.5mg/25mg daily</w:t>
            </w:r>
          </w:p>
          <w:p w14:paraId="17827DDE" w14:textId="77777777" w:rsidR="007B485D" w:rsidRPr="00727DFA" w:rsidRDefault="007B485D" w:rsidP="002D6DD7">
            <w:pPr>
              <w:jc w:val="both"/>
              <w:rPr>
                <w:rFonts w:eastAsia="DengXian"/>
                <w:szCs w:val="24"/>
              </w:rPr>
            </w:pPr>
            <w:r w:rsidRPr="00727DFA">
              <w:rPr>
                <w:rFonts w:eastAsia="DengXian"/>
                <w:szCs w:val="24"/>
              </w:rPr>
              <w:t>Body weight 21-30: 125mg/50mg as a single dose daily</w:t>
            </w:r>
          </w:p>
          <w:p w14:paraId="04236ED7" w14:textId="77777777" w:rsidR="007B485D" w:rsidRPr="00727DFA" w:rsidRDefault="007B485D" w:rsidP="002D6DD7">
            <w:pPr>
              <w:jc w:val="both"/>
              <w:rPr>
                <w:rFonts w:eastAsia="DengXian"/>
                <w:szCs w:val="24"/>
              </w:rPr>
            </w:pPr>
            <w:r w:rsidRPr="00727DFA">
              <w:rPr>
                <w:rFonts w:eastAsia="DengXian"/>
                <w:szCs w:val="24"/>
              </w:rPr>
              <w:t>Body weight 31-40: 187.5mg/75mg as a single dose daily</w:t>
            </w:r>
          </w:p>
          <w:p w14:paraId="5E5FE2A1" w14:textId="77777777" w:rsidR="007B485D" w:rsidRPr="00727DFA" w:rsidRDefault="007B485D" w:rsidP="002D6DD7">
            <w:pPr>
              <w:jc w:val="both"/>
              <w:rPr>
                <w:rFonts w:eastAsia="DengXian"/>
                <w:b/>
                <w:bCs/>
                <w:szCs w:val="24"/>
              </w:rPr>
            </w:pPr>
            <w:r w:rsidRPr="00727DFA">
              <w:rPr>
                <w:rFonts w:eastAsia="DengXian"/>
                <w:b/>
                <w:bCs/>
                <w:szCs w:val="24"/>
              </w:rPr>
              <w:t>Treatment of acute uncomplicated falciparum malaria</w:t>
            </w:r>
          </w:p>
          <w:p w14:paraId="1F8620FE"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4 tablets once daily for 3 days</w:t>
            </w:r>
          </w:p>
        </w:tc>
      </w:tr>
      <w:tr w:rsidR="007B485D" w:rsidRPr="00727DFA" w14:paraId="43ACA0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446E5A"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24A33A9" w14:textId="77777777" w:rsidR="007B485D" w:rsidRPr="00727DFA" w:rsidRDefault="007B485D" w:rsidP="002D6DD7">
            <w:pPr>
              <w:jc w:val="both"/>
              <w:rPr>
                <w:rFonts w:eastAsia="DengXian"/>
                <w:szCs w:val="24"/>
              </w:rPr>
            </w:pPr>
            <w:r w:rsidRPr="00727DFA">
              <w:rPr>
                <w:rFonts w:eastAsia="DengXian"/>
                <w:szCs w:val="24"/>
              </w:rPr>
              <w:t xml:space="preserve">Hypersensitivity to </w:t>
            </w:r>
            <w:r>
              <w:rPr>
                <w:rFonts w:eastAsia="DengXian"/>
                <w:szCs w:val="24"/>
              </w:rPr>
              <w:t>the drugs</w:t>
            </w:r>
            <w:r w:rsidRPr="00727DFA">
              <w:rPr>
                <w:rFonts w:eastAsia="DengXian"/>
                <w:szCs w:val="24"/>
              </w:rPr>
              <w:t>, severe renal impairment (creatinine clearance &lt; 30 mL/min)</w:t>
            </w:r>
            <w:r>
              <w:rPr>
                <w:rFonts w:eastAsia="DengXian"/>
                <w:szCs w:val="24"/>
              </w:rPr>
              <w:t>.</w:t>
            </w:r>
            <w:r w:rsidRPr="00727DFA">
              <w:rPr>
                <w:rFonts w:eastAsia="DengXian"/>
                <w:szCs w:val="24"/>
              </w:rPr>
              <w:t> </w:t>
            </w:r>
          </w:p>
        </w:tc>
      </w:tr>
      <w:tr w:rsidR="007B485D" w:rsidRPr="00727DFA" w14:paraId="08D09B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9175BD" w14:textId="77777777" w:rsidR="007B485D" w:rsidRPr="00727DFA" w:rsidRDefault="007B485D" w:rsidP="002D6DD7">
            <w:pPr>
              <w:jc w:val="both"/>
              <w:rPr>
                <w:rFonts w:eastAsia="DengXian"/>
                <w:bCs/>
                <w:szCs w:val="24"/>
              </w:rPr>
            </w:pPr>
            <w:r w:rsidRPr="00727DFA">
              <w:rPr>
                <w:rFonts w:eastAsia="DengXian"/>
                <w:bCs/>
                <w:szCs w:val="24"/>
              </w:rPr>
              <w:lastRenderedPageBreak/>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75EBEF4" w14:textId="77777777" w:rsidR="007B485D" w:rsidRPr="00727DFA" w:rsidRDefault="007B485D" w:rsidP="002D6DD7">
            <w:pPr>
              <w:jc w:val="both"/>
              <w:rPr>
                <w:rFonts w:eastAsia="DengXian"/>
                <w:szCs w:val="24"/>
              </w:rPr>
            </w:pPr>
            <w:r w:rsidRPr="00727DFA">
              <w:rPr>
                <w:rFonts w:eastAsia="DengXian"/>
                <w:szCs w:val="24"/>
              </w:rPr>
              <w:t>Rifampicin, rifabutin</w:t>
            </w:r>
            <w:r>
              <w:rPr>
                <w:rFonts w:eastAsia="DengXian"/>
                <w:szCs w:val="24"/>
              </w:rPr>
              <w:t>, efavirenz, dapsone (topical).</w:t>
            </w:r>
          </w:p>
        </w:tc>
      </w:tr>
      <w:tr w:rsidR="007B485D" w:rsidRPr="00727DFA" w14:paraId="1318E31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5D8A6F9"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38A7E38" w14:textId="77777777" w:rsidR="007B485D" w:rsidRPr="00727DFA" w:rsidRDefault="007B485D" w:rsidP="002D6DD7">
            <w:pPr>
              <w:jc w:val="both"/>
              <w:rPr>
                <w:rFonts w:eastAsia="DengXian"/>
                <w:szCs w:val="24"/>
              </w:rPr>
            </w:pPr>
            <w:r w:rsidRPr="00727DFA">
              <w:rPr>
                <w:rFonts w:eastAsia="DengXian"/>
                <w:szCs w:val="24"/>
              </w:rPr>
              <w:t>Abdominal pain, appetite Decreased, cough, depression, diarrhea, dizziness, fever, headache, nausea, skin reactions, sleep disorders, vomiting, anxiety, blood disorder, hyponatraemia, oral disorders, palpitations. photosensitivity reaction, seizure, Stevens-Johnson syndrome, tachycardia, vasculitis.</w:t>
            </w:r>
          </w:p>
        </w:tc>
      </w:tr>
      <w:tr w:rsidR="007B485D" w:rsidRPr="00727DFA" w14:paraId="35E98EE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CBC9E9"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710DB51A" w14:textId="77777777" w:rsidR="007B485D" w:rsidRPr="00727DFA" w:rsidRDefault="007B485D" w:rsidP="002D6DD7">
            <w:pPr>
              <w:jc w:val="both"/>
              <w:rPr>
                <w:rFonts w:eastAsia="DengXian"/>
                <w:szCs w:val="24"/>
              </w:rPr>
            </w:pPr>
            <w:r w:rsidRPr="00727DFA">
              <w:rPr>
                <w:rFonts w:eastAsia="DengXian"/>
                <w:szCs w:val="24"/>
              </w:rPr>
              <w:t>Pregnancy, breastfeeding, renal impairment, diarrhea or vomiting, elderly</w:t>
            </w:r>
            <w:r>
              <w:rPr>
                <w:rFonts w:eastAsia="DengXian"/>
                <w:szCs w:val="24"/>
              </w:rPr>
              <w:t>.</w:t>
            </w:r>
          </w:p>
        </w:tc>
      </w:tr>
      <w:tr w:rsidR="007B485D" w:rsidRPr="00727DFA" w14:paraId="57CEB05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1BC91F"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0FF939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E81FA1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F5016A8" w14:textId="77777777" w:rsidR="007B485D" w:rsidRPr="00727DFA" w:rsidRDefault="007B485D" w:rsidP="002D6DD7">
            <w:pPr>
              <w:jc w:val="both"/>
              <w:rPr>
                <w:rFonts w:eastAsia="DengXian"/>
                <w:b/>
                <w:szCs w:val="24"/>
              </w:rPr>
            </w:pPr>
            <w:r w:rsidRPr="00727DFA">
              <w:rPr>
                <w:rFonts w:eastAsia="DengXian"/>
                <w:b/>
                <w:szCs w:val="24"/>
              </w:rPr>
              <w:t>Chloroquine phosphate</w:t>
            </w:r>
          </w:p>
        </w:tc>
      </w:tr>
      <w:tr w:rsidR="007B485D" w:rsidRPr="00727DFA" w14:paraId="6F656EC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63C34E"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D4872B5" w14:textId="77777777" w:rsidR="007B485D" w:rsidRPr="00727DFA" w:rsidRDefault="007B485D" w:rsidP="002D6DD7">
            <w:pPr>
              <w:jc w:val="both"/>
              <w:rPr>
                <w:rFonts w:eastAsia="DengXian"/>
                <w:szCs w:val="24"/>
              </w:rPr>
            </w:pPr>
            <w:r w:rsidRPr="00727DFA">
              <w:rPr>
                <w:rFonts w:eastAsia="DengXian"/>
                <w:szCs w:val="24"/>
              </w:rPr>
              <w:t xml:space="preserve"> 4-aminoquinoline, anti-malarial</w:t>
            </w:r>
          </w:p>
        </w:tc>
      </w:tr>
      <w:tr w:rsidR="007B485D" w:rsidRPr="00727DFA" w14:paraId="261089A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56DCA0"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C5A9901" w14:textId="77777777" w:rsidR="007B485D" w:rsidRPr="00727DFA" w:rsidRDefault="007B485D" w:rsidP="002D6DD7">
            <w:pPr>
              <w:jc w:val="both"/>
              <w:rPr>
                <w:rFonts w:eastAsia="DengXian"/>
                <w:szCs w:val="24"/>
              </w:rPr>
            </w:pPr>
            <w:r w:rsidRPr="00727DFA">
              <w:rPr>
                <w:rFonts w:eastAsia="DengXian"/>
                <w:szCs w:val="24"/>
              </w:rPr>
              <w:t>Tablets: 250mg, 500mg (equivalent to 150mg, 300mg chloroquine base)</w:t>
            </w:r>
          </w:p>
          <w:p w14:paraId="5AAC7BA7" w14:textId="77777777" w:rsidR="007B485D" w:rsidRPr="00727DFA" w:rsidRDefault="007B485D" w:rsidP="002D6DD7">
            <w:pPr>
              <w:jc w:val="both"/>
              <w:rPr>
                <w:rFonts w:eastAsia="DengXian"/>
                <w:szCs w:val="24"/>
              </w:rPr>
            </w:pPr>
            <w:r w:rsidRPr="00727DFA">
              <w:rPr>
                <w:rFonts w:eastAsia="DengXian"/>
                <w:szCs w:val="24"/>
              </w:rPr>
              <w:t>Syrup: 50mg/5ml</w:t>
            </w:r>
          </w:p>
        </w:tc>
      </w:tr>
      <w:tr w:rsidR="007B485D" w:rsidRPr="00727DFA" w14:paraId="6383295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7E09FC" w14:textId="77777777" w:rsidR="007B485D" w:rsidRPr="00727DFA" w:rsidRDefault="007B485D" w:rsidP="002D6DD7">
            <w:pPr>
              <w:jc w:val="both"/>
              <w:rPr>
                <w:rFonts w:eastAsia="DengXian"/>
                <w:bCs/>
                <w:szCs w:val="24"/>
              </w:rPr>
            </w:pPr>
            <w:r w:rsidRPr="00727DFA">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551F078" w14:textId="77777777" w:rsidR="007B485D" w:rsidRPr="00727DFA" w:rsidRDefault="007B485D" w:rsidP="002D6DD7">
            <w:pPr>
              <w:jc w:val="both"/>
              <w:rPr>
                <w:rFonts w:eastAsia="DengXian"/>
                <w:szCs w:val="24"/>
              </w:rPr>
            </w:pPr>
            <w:r w:rsidRPr="00727DFA">
              <w:rPr>
                <w:rFonts w:eastAsia="DengXian"/>
                <w:szCs w:val="24"/>
              </w:rPr>
              <w:t xml:space="preserve">Treatment and prevention of </w:t>
            </w:r>
            <w:r w:rsidRPr="00727DFA">
              <w:rPr>
                <w:rFonts w:eastAsia="DengXian"/>
                <w:i/>
                <w:iCs/>
                <w:szCs w:val="24"/>
              </w:rPr>
              <w:t xml:space="preserve">P. vivax </w:t>
            </w:r>
            <w:r w:rsidRPr="00727DFA">
              <w:rPr>
                <w:rFonts w:eastAsia="DengXian"/>
                <w:szCs w:val="24"/>
              </w:rPr>
              <w:t>malaria, inflammatory diseases</w:t>
            </w:r>
            <w:r>
              <w:rPr>
                <w:rFonts w:eastAsia="DengXian"/>
                <w:szCs w:val="24"/>
              </w:rPr>
              <w:t>, amebiasis (extraintestinal).</w:t>
            </w:r>
          </w:p>
        </w:tc>
      </w:tr>
      <w:tr w:rsidR="007B485D" w:rsidRPr="00727DFA" w14:paraId="2D826F2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D52733"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414DA565" w14:textId="77777777" w:rsidR="007B485D" w:rsidRPr="00727DFA" w:rsidRDefault="007B485D" w:rsidP="002D6DD7">
            <w:pPr>
              <w:jc w:val="both"/>
              <w:rPr>
                <w:rFonts w:eastAsia="DengXian"/>
                <w:b/>
                <w:bCs/>
                <w:szCs w:val="24"/>
              </w:rPr>
            </w:pPr>
            <w:r w:rsidRPr="00727DFA">
              <w:rPr>
                <w:rFonts w:eastAsia="DengXian"/>
                <w:b/>
                <w:bCs/>
                <w:szCs w:val="24"/>
              </w:rPr>
              <w:t xml:space="preserve">Treatment of malaria; </w:t>
            </w:r>
            <w:r w:rsidRPr="00727DFA">
              <w:rPr>
                <w:rFonts w:eastAsia="DengXian"/>
                <w:szCs w:val="24"/>
              </w:rPr>
              <w:t>Oral treatment of cases with chloroquine dose tablet for 150mg base/tablet or 50mg base/5ml syrup:</w:t>
            </w:r>
          </w:p>
          <w:p w14:paraId="5ACEF3AC" w14:textId="77777777" w:rsidR="007B485D" w:rsidRPr="00727DFA" w:rsidRDefault="007B485D" w:rsidP="002D6DD7">
            <w:pPr>
              <w:jc w:val="both"/>
              <w:rPr>
                <w:rFonts w:eastAsia="DengXian"/>
                <w:szCs w:val="24"/>
              </w:rPr>
            </w:pPr>
            <w:r w:rsidRPr="00727DFA">
              <w:rPr>
                <w:rFonts w:eastAsia="DengXian"/>
                <w:b/>
                <w:bCs/>
                <w:szCs w:val="24"/>
              </w:rPr>
              <w:t>Under 1 year:</w:t>
            </w:r>
            <w:r w:rsidRPr="00727DFA">
              <w:rPr>
                <w:rFonts w:eastAsia="DengXian"/>
                <w:szCs w:val="24"/>
              </w:rPr>
              <w:t xml:space="preserve"> (75mg [½ tablet], stat) then 40 mg [¼ tablet] (6 hours); 75 mg [1/2 tablet] (2nd day); and 75 mg [1/2 tablet] (3nd day)</w:t>
            </w:r>
          </w:p>
          <w:p w14:paraId="50670179" w14:textId="77777777" w:rsidR="007B485D" w:rsidRPr="00727DFA" w:rsidRDefault="007B485D" w:rsidP="002D6DD7">
            <w:pPr>
              <w:jc w:val="both"/>
              <w:rPr>
                <w:rFonts w:eastAsia="DengXian"/>
                <w:szCs w:val="24"/>
              </w:rPr>
            </w:pPr>
            <w:r w:rsidRPr="00727DFA">
              <w:rPr>
                <w:rFonts w:eastAsia="DengXian"/>
                <w:b/>
                <w:bCs/>
                <w:szCs w:val="24"/>
              </w:rPr>
              <w:t>1-5 year:</w:t>
            </w:r>
            <w:r w:rsidRPr="00727DFA">
              <w:rPr>
                <w:rFonts w:eastAsia="DengXian"/>
                <w:szCs w:val="24"/>
              </w:rPr>
              <w:t xml:space="preserve"> (150 mg [1 tab], stat), then 75 mg [1/2 tab] (6 hours later); 75 mg [1/2 tab] (2nd day); and 75 mg [1/2 tab] (3rd day)</w:t>
            </w:r>
          </w:p>
          <w:p w14:paraId="1AB05FB1" w14:textId="77777777" w:rsidR="007B485D" w:rsidRPr="00727DFA" w:rsidRDefault="007B485D" w:rsidP="002D6DD7">
            <w:pPr>
              <w:jc w:val="both"/>
              <w:rPr>
                <w:rFonts w:eastAsia="DengXian"/>
                <w:szCs w:val="24"/>
              </w:rPr>
            </w:pPr>
            <w:r w:rsidRPr="00727DFA">
              <w:rPr>
                <w:rFonts w:eastAsia="DengXian"/>
                <w:b/>
                <w:bCs/>
                <w:szCs w:val="24"/>
              </w:rPr>
              <w:t>6-9 years:</w:t>
            </w:r>
            <w:r w:rsidRPr="00727DFA">
              <w:rPr>
                <w:rFonts w:eastAsia="DengXian"/>
                <w:szCs w:val="24"/>
              </w:rPr>
              <w:t xml:space="preserve"> (300 mg [2 tablets], stat), then 150 mg [1 tablet] (6 hours later); 150 mg, [1 tablet] (2nd day); and 150 mg; [1 tablet] (3rd day)</w:t>
            </w:r>
          </w:p>
          <w:p w14:paraId="7B53CFE1" w14:textId="77777777" w:rsidR="007B485D" w:rsidRPr="00727DFA" w:rsidRDefault="007B485D" w:rsidP="002D6DD7">
            <w:pPr>
              <w:jc w:val="both"/>
              <w:rPr>
                <w:rFonts w:eastAsia="DengXian"/>
                <w:szCs w:val="24"/>
              </w:rPr>
            </w:pPr>
            <w:r w:rsidRPr="00727DFA">
              <w:rPr>
                <w:rFonts w:eastAsia="DengXian"/>
                <w:b/>
                <w:bCs/>
                <w:szCs w:val="24"/>
              </w:rPr>
              <w:t>10-15 years:</w:t>
            </w:r>
            <w:r w:rsidRPr="00727DFA">
              <w:rPr>
                <w:rFonts w:eastAsia="DengXian"/>
                <w:szCs w:val="24"/>
              </w:rPr>
              <w:t xml:space="preserve"> (450 mg [3 tablets], stat), then 225 mg [1 and 1/2 tablets] (6 hours later); 225 mg, [1 and 1/2 tablets] (2nd day); and 225 mg [1 and 1/2 tablets] (3rd day)</w:t>
            </w:r>
          </w:p>
          <w:p w14:paraId="595AEEFC" w14:textId="77777777" w:rsidR="007B485D" w:rsidRPr="00727DFA" w:rsidRDefault="007B485D" w:rsidP="002D6DD7">
            <w:pPr>
              <w:jc w:val="both"/>
              <w:rPr>
                <w:rFonts w:eastAsia="DengXian"/>
                <w:szCs w:val="24"/>
              </w:rPr>
            </w:pPr>
            <w:r w:rsidRPr="00727DFA">
              <w:rPr>
                <w:rFonts w:eastAsia="DengXian"/>
                <w:b/>
                <w:bCs/>
                <w:szCs w:val="24"/>
              </w:rPr>
              <w:t>Adults (16 years and above):</w:t>
            </w:r>
            <w:r w:rsidRPr="00727DFA">
              <w:rPr>
                <w:rFonts w:eastAsia="DengXian"/>
                <w:szCs w:val="24"/>
              </w:rPr>
              <w:t xml:space="preserve"> (600 mg [4 tablets], stat), then 300 mg, [2 tablets] (6 hours later); 300 mg [2 tablets] (2nd day); and </w:t>
            </w:r>
            <w:r w:rsidRPr="00727DFA">
              <w:rPr>
                <w:rFonts w:eastAsia="DengXian"/>
                <w:szCs w:val="24"/>
              </w:rPr>
              <w:lastRenderedPageBreak/>
              <w:t>300 mg [2 tablets] (3rd day)</w:t>
            </w:r>
          </w:p>
          <w:p w14:paraId="108F2A51" w14:textId="77777777" w:rsidR="007B485D" w:rsidRPr="00727DFA" w:rsidRDefault="007B485D" w:rsidP="002D6DD7">
            <w:pPr>
              <w:jc w:val="both"/>
              <w:rPr>
                <w:rFonts w:eastAsia="DengXian"/>
                <w:b/>
                <w:bCs/>
                <w:szCs w:val="24"/>
              </w:rPr>
            </w:pPr>
            <w:r w:rsidRPr="00727DFA">
              <w:rPr>
                <w:rFonts w:eastAsia="DengXian"/>
                <w:b/>
                <w:bCs/>
                <w:szCs w:val="24"/>
              </w:rPr>
              <w:t>For prophylaxis of chloroquine sensitive malaria:</w:t>
            </w:r>
          </w:p>
          <w:p w14:paraId="5F572710"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xml:space="preserve"> :500 mg (300mg base) two weeks before, during, and up to 8 weeks after exposure to an endemic area, taken as a weekly dose. </w:t>
            </w:r>
          </w:p>
        </w:tc>
      </w:tr>
      <w:tr w:rsidR="007B485D" w:rsidRPr="00727DFA" w14:paraId="1E93951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FEED294"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8116670" w14:textId="77777777" w:rsidR="007B485D" w:rsidRPr="00727DFA" w:rsidRDefault="007B485D" w:rsidP="002D6DD7">
            <w:pPr>
              <w:jc w:val="both"/>
              <w:rPr>
                <w:rFonts w:eastAsia="DengXian"/>
                <w:szCs w:val="24"/>
              </w:rPr>
            </w:pPr>
            <w:r w:rsidRPr="00727DFA">
              <w:rPr>
                <w:rFonts w:eastAsia="DengXian"/>
                <w:szCs w:val="24"/>
              </w:rPr>
              <w:t>Hypersensitivity to chloroquine or any 4-aminoquinoline compound, retinal or visual field changes of any etiology</w:t>
            </w:r>
            <w:r>
              <w:rPr>
                <w:rFonts w:eastAsia="DengXian"/>
                <w:szCs w:val="24"/>
              </w:rPr>
              <w:t xml:space="preserve">, poryphyria </w:t>
            </w:r>
          </w:p>
        </w:tc>
      </w:tr>
      <w:tr w:rsidR="007B485D" w:rsidRPr="00727DFA" w14:paraId="6D237C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ECBEC0D"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02B6DE4" w14:textId="77777777" w:rsidR="007B485D" w:rsidRPr="00727DFA" w:rsidRDefault="007B485D" w:rsidP="002D6DD7">
            <w:pPr>
              <w:jc w:val="both"/>
              <w:rPr>
                <w:rFonts w:eastAsia="DengXian"/>
                <w:szCs w:val="24"/>
              </w:rPr>
            </w:pPr>
            <w:r w:rsidRPr="00727DFA">
              <w:rPr>
                <w:rFonts w:eastAsia="DengXian"/>
                <w:szCs w:val="24"/>
              </w:rPr>
              <w:t xml:space="preserve"> Aspirin, epinephrine, </w:t>
            </w:r>
            <w:r>
              <w:rPr>
                <w:rFonts w:eastAsia="DengXian"/>
                <w:szCs w:val="24"/>
              </w:rPr>
              <w:t xml:space="preserve">clarithromycin, artemether, </w:t>
            </w:r>
            <w:r w:rsidRPr="00727DFA">
              <w:rPr>
                <w:rFonts w:eastAsia="DengXian"/>
                <w:szCs w:val="24"/>
              </w:rPr>
              <w:t>azithromycin, ciprofloxacin,</w:t>
            </w:r>
            <w:r>
              <w:rPr>
                <w:rFonts w:eastAsia="DengXian"/>
                <w:szCs w:val="24"/>
              </w:rPr>
              <w:t xml:space="preserve"> saquinavir,</w:t>
            </w:r>
            <w:r w:rsidRPr="00727DFA">
              <w:rPr>
                <w:rFonts w:eastAsia="DengXian"/>
                <w:szCs w:val="24"/>
              </w:rPr>
              <w:t xml:space="preserve"> metoprolol, paracetamol,</w:t>
            </w:r>
            <w:r>
              <w:rPr>
                <w:rFonts w:eastAsia="DengXian"/>
                <w:szCs w:val="24"/>
              </w:rPr>
              <w:t xml:space="preserve"> cimetidine,</w:t>
            </w:r>
            <w:r w:rsidRPr="00727DFA">
              <w:rPr>
                <w:rFonts w:eastAsia="DengXian"/>
                <w:szCs w:val="24"/>
              </w:rPr>
              <w:t xml:space="preserve"> alprazolam. Antacids and kaolin may reduce chloroquine absorption</w:t>
            </w:r>
          </w:p>
        </w:tc>
      </w:tr>
      <w:tr w:rsidR="007B485D" w:rsidRPr="00727DFA" w14:paraId="7A281CC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559D4DD"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6247DE4D" w14:textId="77777777" w:rsidR="007B485D" w:rsidRPr="00727DFA" w:rsidRDefault="007B485D" w:rsidP="002D6DD7">
            <w:pPr>
              <w:jc w:val="both"/>
              <w:rPr>
                <w:rFonts w:eastAsia="DengXian"/>
                <w:szCs w:val="24"/>
              </w:rPr>
            </w:pPr>
            <w:r w:rsidRPr="00727DFA">
              <w:rPr>
                <w:rFonts w:eastAsia="DengXian"/>
                <w:szCs w:val="24"/>
              </w:rPr>
              <w:t>Gastrointestinal disturbances (nausea, vomiting, diarrhea, abdominal pain), headache, visual disturbances (blurred vision, difficulty focusing), skin reactions (rashes, pruritus), convulsions, depigmentation or loss of hair, bone-marrow suppression, hearing loss, tinnitus, retinal damage, cardiomyopathy, myopathy</w:t>
            </w:r>
          </w:p>
        </w:tc>
      </w:tr>
      <w:tr w:rsidR="007B485D" w:rsidRPr="00727DFA" w14:paraId="197E0FE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E48183"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C49779A" w14:textId="77777777" w:rsidR="007B485D" w:rsidRPr="00727DFA" w:rsidRDefault="007B485D" w:rsidP="002D6DD7">
            <w:pPr>
              <w:jc w:val="both"/>
              <w:rPr>
                <w:rFonts w:eastAsia="DengXian"/>
                <w:szCs w:val="24"/>
              </w:rPr>
            </w:pPr>
            <w:r w:rsidRPr="00727DFA">
              <w:rPr>
                <w:rFonts w:eastAsia="DengXian"/>
                <w:szCs w:val="24"/>
              </w:rPr>
              <w:t>Metabolic and blood disorders, G6PD deficiency, risk of retinopathy and cardiomyopathy, history of epilepsy, severe gastrointestinal disorders, risk of hypoglycemia, psoriasis</w:t>
            </w:r>
            <w:r>
              <w:rPr>
                <w:rFonts w:eastAsia="DengXian"/>
                <w:szCs w:val="24"/>
              </w:rPr>
              <w:t>.</w:t>
            </w:r>
          </w:p>
        </w:tc>
      </w:tr>
      <w:tr w:rsidR="007B485D" w:rsidRPr="00727DFA" w14:paraId="28340C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3523A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5A4A3F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7A1A8E2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FC52B49" w14:textId="77777777" w:rsidR="007B485D" w:rsidRPr="00727DFA" w:rsidRDefault="007B485D" w:rsidP="002D6DD7">
            <w:pPr>
              <w:jc w:val="both"/>
              <w:rPr>
                <w:rFonts w:eastAsia="DengXian"/>
                <w:b/>
                <w:szCs w:val="24"/>
              </w:rPr>
            </w:pPr>
            <w:r w:rsidRPr="00727DFA">
              <w:rPr>
                <w:rFonts w:eastAsia="DengXian"/>
                <w:b/>
                <w:szCs w:val="24"/>
              </w:rPr>
              <w:t xml:space="preserve">Dihydroartemisinin + </w:t>
            </w:r>
            <w:r>
              <w:rPr>
                <w:rFonts w:eastAsia="DengXian"/>
                <w:b/>
                <w:szCs w:val="24"/>
              </w:rPr>
              <w:t>p</w:t>
            </w:r>
            <w:r w:rsidRPr="00727DFA">
              <w:rPr>
                <w:rFonts w:eastAsia="DengXian"/>
                <w:b/>
                <w:szCs w:val="24"/>
              </w:rPr>
              <w:t>iperaquine phosphate (DP)</w:t>
            </w:r>
          </w:p>
        </w:tc>
      </w:tr>
      <w:tr w:rsidR="007B485D" w:rsidRPr="00727DFA" w14:paraId="31C2B19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CC20BE"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D110A3E" w14:textId="77777777" w:rsidR="007B485D" w:rsidRPr="00727DFA" w:rsidRDefault="007B485D" w:rsidP="002D6DD7">
            <w:pPr>
              <w:jc w:val="both"/>
              <w:rPr>
                <w:rFonts w:eastAsia="DengXian"/>
                <w:szCs w:val="24"/>
              </w:rPr>
            </w:pPr>
            <w:r w:rsidRPr="00727DFA">
              <w:rPr>
                <w:rFonts w:eastAsia="DengXian"/>
                <w:szCs w:val="24"/>
              </w:rPr>
              <w:t xml:space="preserve"> Combination of antimalarials</w:t>
            </w:r>
          </w:p>
        </w:tc>
      </w:tr>
      <w:tr w:rsidR="007B485D" w:rsidRPr="00810924" w14:paraId="4307FB4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524734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3267612E" w14:textId="77777777" w:rsidR="007B485D" w:rsidRPr="00727DFA" w:rsidRDefault="007B485D" w:rsidP="002D6DD7">
            <w:pPr>
              <w:jc w:val="both"/>
              <w:rPr>
                <w:rFonts w:eastAsia="DengXian"/>
                <w:szCs w:val="24"/>
                <w:lang w:val="nb-NO"/>
              </w:rPr>
            </w:pPr>
            <w:r w:rsidRPr="00727DFA">
              <w:rPr>
                <w:rFonts w:eastAsia="DengXian"/>
                <w:szCs w:val="24"/>
                <w:lang w:val="nb-NO"/>
              </w:rPr>
              <w:t xml:space="preserve">Tablet: 40 mg + 320 mg, 20 mg + 160 mg </w:t>
            </w:r>
          </w:p>
        </w:tc>
      </w:tr>
      <w:tr w:rsidR="007B485D" w:rsidRPr="00727DFA" w14:paraId="45E10C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3EA26A" w14:textId="77777777" w:rsidR="007B485D" w:rsidRPr="00727DFA" w:rsidRDefault="007B485D" w:rsidP="002D6DD7">
            <w:pPr>
              <w:jc w:val="both"/>
              <w:rPr>
                <w:rFonts w:eastAsia="DengXian"/>
                <w:bCs/>
                <w:szCs w:val="24"/>
              </w:rPr>
            </w:pPr>
            <w:r w:rsidRPr="00727DFA">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11E98005" w14:textId="77777777" w:rsidR="007B485D" w:rsidRPr="00727DFA" w:rsidRDefault="007B485D" w:rsidP="002D6DD7">
            <w:pPr>
              <w:jc w:val="both"/>
              <w:rPr>
                <w:rFonts w:eastAsia="DengXian"/>
                <w:szCs w:val="24"/>
              </w:rPr>
            </w:pPr>
            <w:r w:rsidRPr="00727DFA">
              <w:rPr>
                <w:rFonts w:eastAsia="DengXian"/>
                <w:szCs w:val="24"/>
              </w:rPr>
              <w:t>Treatment of uncomplicated falciparum malaria</w:t>
            </w:r>
          </w:p>
        </w:tc>
      </w:tr>
      <w:tr w:rsidR="007B485D" w:rsidRPr="00727DFA" w14:paraId="7BC086C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AB0A55"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6DB856E9" w14:textId="77777777" w:rsidR="007B485D" w:rsidRPr="00727DFA" w:rsidRDefault="007B485D" w:rsidP="002D6DD7">
            <w:pPr>
              <w:jc w:val="both"/>
              <w:rPr>
                <w:rFonts w:eastAsia="DengXian"/>
                <w:szCs w:val="24"/>
              </w:rPr>
            </w:pPr>
            <w:r>
              <w:rPr>
                <w:rFonts w:eastAsia="DengXian"/>
                <w:b/>
                <w:bCs/>
                <w:szCs w:val="24"/>
              </w:rPr>
              <w:t>Child</w:t>
            </w:r>
            <w:r w:rsidRPr="00727DFA">
              <w:rPr>
                <w:rFonts w:eastAsia="DengXian"/>
                <w:b/>
                <w:bCs/>
                <w:szCs w:val="24"/>
              </w:rPr>
              <w:t xml:space="preserve"> and adults &gt; 11 kg body weight (</w:t>
            </w:r>
            <w:r w:rsidRPr="00727DFA">
              <w:rPr>
                <w:rFonts w:eastAsia="DengXian"/>
                <w:szCs w:val="24"/>
              </w:rPr>
              <w:t>40 mg + 320 mg tablet); Oral:</w:t>
            </w:r>
          </w:p>
          <w:p w14:paraId="53EB2865" w14:textId="77777777" w:rsidR="007B485D" w:rsidRPr="00727DFA" w:rsidRDefault="007B485D" w:rsidP="002D6DD7">
            <w:pPr>
              <w:jc w:val="both"/>
              <w:rPr>
                <w:rFonts w:eastAsia="DengXian"/>
                <w:szCs w:val="24"/>
              </w:rPr>
            </w:pPr>
            <w:r w:rsidRPr="00727DFA">
              <w:rPr>
                <w:rFonts w:eastAsia="DengXian"/>
                <w:szCs w:val="24"/>
              </w:rPr>
              <w:t>Body weight 11 - 17 kg: 1 tablet</w:t>
            </w:r>
          </w:p>
          <w:p w14:paraId="7F799F5A" w14:textId="77777777" w:rsidR="007B485D" w:rsidRPr="00727DFA" w:rsidRDefault="007B485D" w:rsidP="002D6DD7">
            <w:pPr>
              <w:jc w:val="both"/>
              <w:rPr>
                <w:rFonts w:eastAsia="DengXian"/>
                <w:szCs w:val="24"/>
              </w:rPr>
            </w:pPr>
            <w:r w:rsidRPr="00727DFA">
              <w:rPr>
                <w:rFonts w:eastAsia="DengXian"/>
                <w:szCs w:val="24"/>
              </w:rPr>
              <w:t>Body weight 17 - 25 kg: 1</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w:t>
            </w:r>
          </w:p>
          <w:p w14:paraId="77E338C7" w14:textId="77777777" w:rsidR="007B485D" w:rsidRPr="00727DFA" w:rsidRDefault="007B485D" w:rsidP="002D6DD7">
            <w:pPr>
              <w:jc w:val="both"/>
              <w:rPr>
                <w:rFonts w:eastAsia="DengXian"/>
                <w:szCs w:val="24"/>
              </w:rPr>
            </w:pPr>
            <w:r w:rsidRPr="00727DFA">
              <w:rPr>
                <w:rFonts w:eastAsia="DengXian"/>
                <w:szCs w:val="24"/>
              </w:rPr>
              <w:t xml:space="preserve">Body weight 25 -36 kg: 2 tablets </w:t>
            </w:r>
          </w:p>
          <w:p w14:paraId="63061883" w14:textId="77777777" w:rsidR="007B485D" w:rsidRPr="00727DFA" w:rsidRDefault="007B485D" w:rsidP="002D6DD7">
            <w:pPr>
              <w:jc w:val="both"/>
              <w:rPr>
                <w:rFonts w:eastAsia="DengXian"/>
                <w:szCs w:val="24"/>
              </w:rPr>
            </w:pPr>
            <w:r w:rsidRPr="00727DFA">
              <w:rPr>
                <w:rFonts w:eastAsia="DengXian"/>
                <w:szCs w:val="24"/>
              </w:rPr>
              <w:t xml:space="preserve">Body weight 36 - 60 kg: 3 tablets </w:t>
            </w:r>
          </w:p>
          <w:p w14:paraId="7BE73AEB" w14:textId="77777777" w:rsidR="007B485D" w:rsidRPr="00727DFA" w:rsidRDefault="007B485D" w:rsidP="002D6DD7">
            <w:pPr>
              <w:jc w:val="both"/>
              <w:rPr>
                <w:rFonts w:eastAsia="DengXian"/>
                <w:szCs w:val="24"/>
              </w:rPr>
            </w:pPr>
            <w:r w:rsidRPr="00727DFA">
              <w:rPr>
                <w:rFonts w:eastAsia="DengXian"/>
                <w:szCs w:val="24"/>
              </w:rPr>
              <w:lastRenderedPageBreak/>
              <w:t xml:space="preserve">Body weight 60 - 80 kg: 4 tablets </w:t>
            </w:r>
          </w:p>
          <w:p w14:paraId="70CC47B3" w14:textId="77777777" w:rsidR="007B485D" w:rsidRPr="00727DFA" w:rsidRDefault="007B485D" w:rsidP="002D6DD7">
            <w:pPr>
              <w:jc w:val="both"/>
              <w:rPr>
                <w:rFonts w:eastAsia="DengXian"/>
                <w:szCs w:val="24"/>
              </w:rPr>
            </w:pPr>
            <w:r w:rsidRPr="00727DFA">
              <w:rPr>
                <w:rFonts w:eastAsia="DengXian"/>
                <w:szCs w:val="24"/>
              </w:rPr>
              <w:t xml:space="preserve">Body weight </w:t>
            </w:r>
            <m:oMath>
              <m:r>
                <w:rPr>
                  <w:rFonts w:ascii="Cambria Math" w:eastAsia="DengXian" w:hAnsi="Cambria Math"/>
                  <w:szCs w:val="24"/>
                </w:rPr>
                <m:t>≥</m:t>
              </m:r>
            </m:oMath>
            <w:r w:rsidRPr="00727DFA">
              <w:rPr>
                <w:rFonts w:eastAsia="DengXian"/>
                <w:szCs w:val="24"/>
              </w:rPr>
              <w:t xml:space="preserve"> 80 kg:  5 tablets </w:t>
            </w:r>
          </w:p>
          <w:p w14:paraId="67E78175" w14:textId="77777777" w:rsidR="007B485D" w:rsidRPr="00727DFA" w:rsidRDefault="007B485D" w:rsidP="002D6DD7">
            <w:pPr>
              <w:jc w:val="both"/>
              <w:rPr>
                <w:rFonts w:eastAsia="DengXian"/>
                <w:szCs w:val="24"/>
              </w:rPr>
            </w:pPr>
            <w:r>
              <w:rPr>
                <w:rFonts w:eastAsia="DengXian"/>
                <w:b/>
                <w:szCs w:val="24"/>
              </w:rPr>
              <w:t>Child</w:t>
            </w:r>
            <w:r w:rsidRPr="00727DFA">
              <w:rPr>
                <w:rFonts w:eastAsia="DengXian"/>
                <w:b/>
                <w:szCs w:val="24"/>
              </w:rPr>
              <w:t xml:space="preserve"> 5 to &lt; 11 kg body weight</w:t>
            </w:r>
            <w:r w:rsidRPr="00727DFA">
              <w:rPr>
                <w:rFonts w:eastAsia="DengXian"/>
                <w:szCs w:val="24"/>
              </w:rPr>
              <w:t xml:space="preserve"> (20 mg + 160 mg tablet) </w:t>
            </w:r>
          </w:p>
          <w:p w14:paraId="375E40D8" w14:textId="77777777" w:rsidR="007B485D" w:rsidRPr="00727DFA" w:rsidRDefault="007B485D" w:rsidP="002D6DD7">
            <w:pPr>
              <w:jc w:val="both"/>
              <w:rPr>
                <w:rFonts w:eastAsia="DengXian"/>
                <w:szCs w:val="24"/>
              </w:rPr>
            </w:pPr>
            <w:r w:rsidRPr="00727DFA">
              <w:rPr>
                <w:rFonts w:eastAsia="DengXian"/>
                <w:szCs w:val="24"/>
              </w:rPr>
              <w:t xml:space="preserve">Body weight 5 - 8 kg:        1 tablet </w:t>
            </w:r>
          </w:p>
          <w:p w14:paraId="35EA620E" w14:textId="77777777" w:rsidR="007B485D" w:rsidRPr="00727DFA" w:rsidRDefault="007B485D" w:rsidP="002D6DD7">
            <w:pPr>
              <w:jc w:val="both"/>
              <w:rPr>
                <w:rFonts w:eastAsia="DengXian"/>
                <w:szCs w:val="24"/>
              </w:rPr>
            </w:pPr>
            <w:r w:rsidRPr="00727DFA">
              <w:rPr>
                <w:rFonts w:eastAsia="DengXian"/>
                <w:szCs w:val="24"/>
              </w:rPr>
              <w:t>Body weight 8 - 11 kg:    1</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2</m:t>
                  </m:r>
                </m:den>
              </m:f>
            </m:oMath>
            <w:r w:rsidRPr="00727DFA">
              <w:rPr>
                <w:rFonts w:eastAsia="DengXian"/>
                <w:szCs w:val="24"/>
              </w:rPr>
              <w:t xml:space="preserve"> tablets </w:t>
            </w:r>
          </w:p>
        </w:tc>
      </w:tr>
      <w:tr w:rsidR="007B485D" w:rsidRPr="00727DFA" w14:paraId="63EE739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FF7C60" w14:textId="77777777" w:rsidR="007B485D" w:rsidRPr="00727DFA" w:rsidRDefault="007B485D" w:rsidP="002D6DD7">
            <w:pPr>
              <w:jc w:val="both"/>
              <w:rPr>
                <w:rFonts w:eastAsia="DengXian"/>
                <w:bCs/>
                <w:szCs w:val="24"/>
              </w:rPr>
            </w:pPr>
            <w:r w:rsidRPr="00727DFA">
              <w:rPr>
                <w:rFonts w:eastAsia="DengXian"/>
                <w:bCs/>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B5340ED" w14:textId="77777777" w:rsidR="007B485D" w:rsidRPr="00727DFA" w:rsidRDefault="007B485D" w:rsidP="002D6DD7">
            <w:pPr>
              <w:jc w:val="both"/>
              <w:rPr>
                <w:rFonts w:eastAsia="DengXian"/>
                <w:szCs w:val="24"/>
              </w:rPr>
            </w:pPr>
            <w:r w:rsidRPr="00727DFA">
              <w:rPr>
                <w:rFonts w:eastAsia="DengXian"/>
                <w:szCs w:val="24"/>
              </w:rPr>
              <w:t xml:space="preserve">Acute myocardial infarction, bradycardia, congenital long QT syndrome, electrolyte disturbances, family history of sudden death, heart failure with reduced left ventricular ejection fraction, history of symptomatic arrhythmias, left ventricular hypertrophy, risk factors for QT interval prolongation, severe hypertension. </w:t>
            </w:r>
          </w:p>
        </w:tc>
      </w:tr>
      <w:tr w:rsidR="007B485D" w:rsidRPr="00727DFA" w14:paraId="4CB37C2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D5BAEE"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B710A17" w14:textId="77777777" w:rsidR="007B485D" w:rsidRPr="00570CEE" w:rsidRDefault="007B485D" w:rsidP="002D6DD7">
            <w:pPr>
              <w:jc w:val="both"/>
              <w:rPr>
                <w:rFonts w:eastAsia="DengXian"/>
                <w:bCs/>
                <w:szCs w:val="24"/>
              </w:rPr>
            </w:pPr>
            <w:r w:rsidRPr="00873AF2">
              <w:rPr>
                <w:rFonts w:eastAsia="DengXian"/>
                <w:bCs/>
                <w:szCs w:val="24"/>
              </w:rPr>
              <w:t>Drugs known to prolong QT:</w:t>
            </w:r>
            <w:r w:rsidRPr="00570CEE">
              <w:rPr>
                <w:rFonts w:eastAsia="DengXian"/>
                <w:bCs/>
                <w:szCs w:val="24"/>
              </w:rPr>
              <w:t xml:space="preserve"> Class IA or III antiarrhythmics, tricyclic antidepressants, antipsychotics, ondansetron, macrolides, fluoroquinolones, quinine, quinidine</w:t>
            </w:r>
            <w:r>
              <w:rPr>
                <w:rFonts w:eastAsia="DengXian"/>
                <w:bCs/>
                <w:szCs w:val="24"/>
              </w:rPr>
              <w:t>.</w:t>
            </w:r>
          </w:p>
          <w:p w14:paraId="5A9CCEB9" w14:textId="77777777" w:rsidR="007B485D" w:rsidRPr="00570CEE" w:rsidRDefault="007B485D" w:rsidP="002D6DD7">
            <w:pPr>
              <w:jc w:val="both"/>
              <w:rPr>
                <w:rFonts w:eastAsia="DengXian"/>
                <w:bCs/>
                <w:szCs w:val="24"/>
              </w:rPr>
            </w:pPr>
            <w:r w:rsidRPr="00873AF2">
              <w:rPr>
                <w:rFonts w:eastAsia="DengXian"/>
                <w:bCs/>
                <w:szCs w:val="24"/>
              </w:rPr>
              <w:t>Strong CYP</w:t>
            </w:r>
            <w:r w:rsidRPr="00873AF2">
              <w:rPr>
                <w:rFonts w:eastAsia="DengXian"/>
                <w:bCs/>
                <w:szCs w:val="24"/>
                <w:vertAlign w:val="subscript"/>
              </w:rPr>
              <w:t xml:space="preserve"> 3A4</w:t>
            </w:r>
            <w:r w:rsidRPr="00873AF2">
              <w:rPr>
                <w:rFonts w:eastAsia="DengXian"/>
                <w:bCs/>
                <w:szCs w:val="24"/>
              </w:rPr>
              <w:t xml:space="preserve"> inducers:</w:t>
            </w:r>
            <w:r w:rsidRPr="00570CEE">
              <w:rPr>
                <w:rFonts w:eastAsia="DengXian"/>
                <w:bCs/>
                <w:szCs w:val="24"/>
              </w:rPr>
              <w:t xml:space="preserve">  rifampin, carbamazepine, phenytoin</w:t>
            </w:r>
            <w:r>
              <w:rPr>
                <w:rFonts w:eastAsia="DengXian"/>
                <w:bCs/>
                <w:szCs w:val="24"/>
              </w:rPr>
              <w:t>.</w:t>
            </w:r>
            <w:r w:rsidRPr="00570CEE">
              <w:rPr>
                <w:rFonts w:eastAsia="DengXian"/>
                <w:bCs/>
                <w:szCs w:val="24"/>
              </w:rPr>
              <w:t xml:space="preserve"> </w:t>
            </w:r>
          </w:p>
        </w:tc>
      </w:tr>
      <w:tr w:rsidR="007B485D" w:rsidRPr="00727DFA" w14:paraId="6DA78C8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AEC20E"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7575D69" w14:textId="77777777" w:rsidR="007B485D" w:rsidRPr="00727DFA" w:rsidRDefault="007B485D" w:rsidP="002D6DD7">
            <w:pPr>
              <w:jc w:val="both"/>
              <w:rPr>
                <w:rFonts w:eastAsia="DengXian"/>
                <w:szCs w:val="24"/>
              </w:rPr>
            </w:pPr>
            <w:r w:rsidRPr="00727DFA">
              <w:rPr>
                <w:rFonts w:eastAsia="DengXian"/>
                <w:szCs w:val="24"/>
              </w:rPr>
              <w:t>Cardiac disorders, rarely, gastrointestinal disturbances, pruritus, hepatic disorders, joint and muscle pain</w:t>
            </w:r>
            <w:r>
              <w:rPr>
                <w:rFonts w:eastAsia="DengXian"/>
                <w:szCs w:val="24"/>
              </w:rPr>
              <w:t>.</w:t>
            </w:r>
          </w:p>
        </w:tc>
      </w:tr>
      <w:tr w:rsidR="007B485D" w:rsidRPr="00727DFA" w14:paraId="19E2BB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C76CAA"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30A08A34" w14:textId="77777777" w:rsidR="007B485D" w:rsidRPr="00727DFA" w:rsidRDefault="007B485D" w:rsidP="002D6DD7">
            <w:pPr>
              <w:jc w:val="both"/>
              <w:rPr>
                <w:rFonts w:eastAsia="DengXian"/>
                <w:szCs w:val="24"/>
              </w:rPr>
            </w:pPr>
            <w:r w:rsidRPr="00727DFA">
              <w:rPr>
                <w:rFonts w:eastAsia="DengXian"/>
                <w:szCs w:val="24"/>
              </w:rPr>
              <w:t>Concomitant administration of drugs that prolong QT interval, cardiac disorders, severe renal or hepatic impairment, pregnancy and breast-feeding, age &gt; 60 years.</w:t>
            </w:r>
          </w:p>
        </w:tc>
      </w:tr>
      <w:tr w:rsidR="007B485D" w:rsidRPr="00727DFA" w14:paraId="279387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4278E0"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532402FD" w14:textId="77777777" w:rsidR="007B485D" w:rsidRPr="00727DFA" w:rsidRDefault="007B485D" w:rsidP="002D6DD7">
            <w:pPr>
              <w:jc w:val="both"/>
              <w:rPr>
                <w:rFonts w:eastAsia="DengXian"/>
                <w:szCs w:val="24"/>
              </w:rPr>
            </w:pPr>
            <w:r w:rsidRPr="00727DFA">
              <w:rPr>
                <w:rFonts w:eastAsia="DengXian"/>
                <w:szCs w:val="24"/>
              </w:rPr>
              <w:t>Store below 30 °C</w:t>
            </w:r>
            <w:r>
              <w:rPr>
                <w:rFonts w:eastAsia="DengXian"/>
                <w:szCs w:val="24"/>
              </w:rPr>
              <w:t>.</w:t>
            </w:r>
            <w:r w:rsidRPr="00727DFA">
              <w:rPr>
                <w:rFonts w:eastAsia="DengXian"/>
                <w:szCs w:val="24"/>
              </w:rPr>
              <w:t> </w:t>
            </w:r>
          </w:p>
        </w:tc>
      </w:tr>
      <w:tr w:rsidR="007B485D" w:rsidRPr="00727DFA" w14:paraId="48D45311"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1B07062" w14:textId="77777777" w:rsidR="007B485D" w:rsidRPr="00727DFA" w:rsidRDefault="007B485D" w:rsidP="002D6DD7">
            <w:pPr>
              <w:jc w:val="both"/>
              <w:rPr>
                <w:rFonts w:eastAsia="DengXian"/>
                <w:b/>
                <w:szCs w:val="24"/>
              </w:rPr>
            </w:pPr>
            <w:r w:rsidRPr="00727DFA">
              <w:rPr>
                <w:rFonts w:eastAsia="DengXian"/>
                <w:b/>
                <w:szCs w:val="24"/>
              </w:rPr>
              <w:t>Doxycycline</w:t>
            </w:r>
          </w:p>
        </w:tc>
      </w:tr>
      <w:tr w:rsidR="007B485D" w:rsidRPr="00727DFA" w14:paraId="1B48C82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83897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53E8A35" w14:textId="77777777" w:rsidR="007B485D" w:rsidRPr="00727DFA" w:rsidRDefault="007B485D" w:rsidP="002D6DD7">
            <w:pPr>
              <w:jc w:val="both"/>
              <w:rPr>
                <w:rFonts w:eastAsia="DengXian"/>
                <w:szCs w:val="24"/>
              </w:rPr>
            </w:pPr>
            <w:r w:rsidRPr="00727DFA">
              <w:rPr>
                <w:rFonts w:eastAsia="DengXian"/>
                <w:szCs w:val="24"/>
              </w:rPr>
              <w:t>Tetracycline, antibacterial</w:t>
            </w:r>
            <w:r w:rsidRPr="00727DFA">
              <w:rPr>
                <w:rFonts w:eastAsia="DengXian"/>
                <w:b/>
                <w:szCs w:val="24"/>
              </w:rPr>
              <w:t xml:space="preserve"> (</w:t>
            </w:r>
            <w:r w:rsidRPr="00727DFA">
              <w:rPr>
                <w:rFonts w:eastAsia="DengXian"/>
                <w:szCs w:val="24"/>
              </w:rPr>
              <w:t>Antiprotozoal)</w:t>
            </w:r>
          </w:p>
        </w:tc>
      </w:tr>
      <w:tr w:rsidR="007B485D" w:rsidRPr="00727DFA" w14:paraId="08A6291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33632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186F80A0" w14:textId="77777777" w:rsidR="007B485D" w:rsidRPr="00727DFA" w:rsidRDefault="007B485D" w:rsidP="002D6DD7">
            <w:pPr>
              <w:jc w:val="both"/>
              <w:rPr>
                <w:rFonts w:eastAsia="DengXian"/>
                <w:szCs w:val="24"/>
              </w:rPr>
            </w:pPr>
            <w:r w:rsidRPr="00727DFA">
              <w:rPr>
                <w:rFonts w:eastAsia="DengXian"/>
                <w:szCs w:val="24"/>
              </w:rPr>
              <w:t>Tablet: 100mg</w:t>
            </w:r>
          </w:p>
        </w:tc>
      </w:tr>
      <w:tr w:rsidR="007B485D" w:rsidRPr="00727DFA" w14:paraId="5D17A37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83C660"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F5E3B58" w14:textId="77777777" w:rsidR="007B485D" w:rsidRPr="00727DFA" w:rsidRDefault="007B485D" w:rsidP="002D6DD7">
            <w:pPr>
              <w:jc w:val="both"/>
              <w:rPr>
                <w:rFonts w:eastAsia="DengXian"/>
                <w:szCs w:val="24"/>
              </w:rPr>
            </w:pPr>
            <w:r w:rsidRPr="00727DFA">
              <w:rPr>
                <w:rFonts w:eastAsia="DengXian"/>
                <w:szCs w:val="24"/>
              </w:rPr>
              <w:t>Malaria prophylaxis</w:t>
            </w:r>
          </w:p>
        </w:tc>
      </w:tr>
      <w:tr w:rsidR="007B485D" w:rsidRPr="00727DFA" w14:paraId="193F932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E60548"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09659631" w14:textId="77777777" w:rsidR="007B485D" w:rsidRPr="00727DFA" w:rsidRDefault="007B485D" w:rsidP="002D6DD7">
            <w:pPr>
              <w:jc w:val="both"/>
              <w:rPr>
                <w:rFonts w:eastAsia="DengXian"/>
                <w:szCs w:val="24"/>
              </w:rPr>
            </w:pPr>
            <w:r w:rsidRPr="00727DFA">
              <w:rPr>
                <w:rFonts w:eastAsia="DengXian"/>
                <w:b/>
                <w:bCs/>
                <w:szCs w:val="24"/>
              </w:rPr>
              <w:t>Adult; Oral:</w:t>
            </w:r>
            <w:r w:rsidRPr="00727DFA">
              <w:rPr>
                <w:rFonts w:eastAsia="DengXian"/>
                <w:szCs w:val="24"/>
              </w:rPr>
              <w:t xml:space="preserve"> 100mg daily, start one to two days prior to travel to</w:t>
            </w:r>
            <w:r w:rsidRPr="00727DFA">
              <w:rPr>
                <w:rFonts w:eastAsia="DengXian"/>
                <w:szCs w:val="24"/>
              </w:rPr>
              <w:br/>
              <w:t>the endemic area, take daily during the stay, and continue it daily for four weeks following return</w:t>
            </w:r>
          </w:p>
        </w:tc>
      </w:tr>
      <w:tr w:rsidR="007B485D" w:rsidRPr="00727DFA" w14:paraId="2488BCC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FDA96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3C585A30"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doxycycline (antibacterials)</w:t>
            </w:r>
            <w:r>
              <w:rPr>
                <w:rFonts w:eastAsia="DengXian"/>
                <w:szCs w:val="24"/>
              </w:rPr>
              <w:t>.</w:t>
            </w:r>
          </w:p>
        </w:tc>
      </w:tr>
      <w:tr w:rsidR="007B485D" w:rsidRPr="00727DFA" w14:paraId="1F27349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BDFF5F"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FFAAF63"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doxycycline(antibacterials)</w:t>
            </w:r>
            <w:r>
              <w:rPr>
                <w:rFonts w:eastAsia="DengXian"/>
                <w:szCs w:val="24"/>
              </w:rPr>
              <w:t>.</w:t>
            </w:r>
          </w:p>
        </w:tc>
      </w:tr>
      <w:tr w:rsidR="007B485D" w:rsidRPr="00727DFA" w14:paraId="6348F31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188315"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4D697F64"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doxycycline(antibacterials)</w:t>
            </w:r>
            <w:r>
              <w:rPr>
                <w:rFonts w:eastAsia="DengXian"/>
                <w:szCs w:val="24"/>
              </w:rPr>
              <w:t>.</w:t>
            </w:r>
          </w:p>
        </w:tc>
      </w:tr>
      <w:tr w:rsidR="007B485D" w:rsidRPr="00727DFA" w14:paraId="208F510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A2E2C6" w14:textId="77777777" w:rsidR="007B485D" w:rsidRPr="00727DFA" w:rsidRDefault="007B485D" w:rsidP="002D6DD7">
            <w:pPr>
              <w:jc w:val="both"/>
              <w:rPr>
                <w:rFonts w:eastAsia="DengXian"/>
                <w:bCs/>
                <w:szCs w:val="24"/>
              </w:rPr>
            </w:pPr>
            <w:r w:rsidRPr="00727DFA">
              <w:rPr>
                <w:rFonts w:eastAsia="DengXian"/>
                <w:bCs/>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hideMark/>
          </w:tcPr>
          <w:p w14:paraId="03E26D7F"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doxycycline. (antibacterials)</w:t>
            </w:r>
            <w:r>
              <w:rPr>
                <w:rFonts w:eastAsia="DengXian"/>
                <w:szCs w:val="24"/>
              </w:rPr>
              <w:t>.</w:t>
            </w:r>
          </w:p>
        </w:tc>
      </w:tr>
      <w:tr w:rsidR="007B485D" w:rsidRPr="00727DFA" w14:paraId="06800E8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23EE6A"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E7E1889"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2121618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9BB4A61" w14:textId="77777777" w:rsidR="007B485D" w:rsidRPr="00727DFA" w:rsidRDefault="007B485D" w:rsidP="002D6DD7">
            <w:pPr>
              <w:jc w:val="both"/>
              <w:rPr>
                <w:rFonts w:eastAsia="DengXian"/>
                <w:b/>
                <w:szCs w:val="24"/>
              </w:rPr>
            </w:pPr>
            <w:r w:rsidRPr="00727DFA">
              <w:rPr>
                <w:rFonts w:eastAsia="DengXian"/>
                <w:b/>
                <w:szCs w:val="24"/>
              </w:rPr>
              <w:t>Mefloquine hydrochloride</w:t>
            </w:r>
          </w:p>
        </w:tc>
      </w:tr>
      <w:tr w:rsidR="007B485D" w:rsidRPr="00727DFA" w14:paraId="2CD4AB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A830DF"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07679BE7" w14:textId="77777777" w:rsidR="007B485D" w:rsidRPr="00727DFA" w:rsidRDefault="007B485D" w:rsidP="002D6DD7">
            <w:pPr>
              <w:jc w:val="both"/>
              <w:rPr>
                <w:rFonts w:eastAsia="DengXian"/>
                <w:szCs w:val="24"/>
              </w:rPr>
            </w:pPr>
            <w:r w:rsidRPr="00727DFA">
              <w:rPr>
                <w:rFonts w:eastAsia="DengXian"/>
                <w:szCs w:val="24"/>
              </w:rPr>
              <w:t>Arylaminoalcohols, antimalarial</w:t>
            </w:r>
          </w:p>
        </w:tc>
      </w:tr>
      <w:tr w:rsidR="007B485D" w:rsidRPr="00727DFA" w14:paraId="3ECA84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D4C072"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DE7C055" w14:textId="77777777" w:rsidR="007B485D" w:rsidRPr="00727DFA" w:rsidRDefault="007B485D" w:rsidP="002D6DD7">
            <w:pPr>
              <w:jc w:val="both"/>
              <w:rPr>
                <w:rFonts w:eastAsia="DengXian"/>
                <w:szCs w:val="24"/>
              </w:rPr>
            </w:pPr>
            <w:r w:rsidRPr="00727DFA">
              <w:rPr>
                <w:rFonts w:eastAsia="DengXian"/>
                <w:szCs w:val="24"/>
              </w:rPr>
              <w:t>Tablet: 250mg</w:t>
            </w:r>
          </w:p>
        </w:tc>
      </w:tr>
      <w:tr w:rsidR="007B485D" w:rsidRPr="00727DFA" w14:paraId="1B70142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5852EC"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97227DD" w14:textId="77777777" w:rsidR="007B485D" w:rsidRPr="00727DFA" w:rsidRDefault="007B485D" w:rsidP="002D6DD7">
            <w:pPr>
              <w:jc w:val="both"/>
              <w:rPr>
                <w:rFonts w:eastAsia="DengXian"/>
                <w:szCs w:val="24"/>
              </w:rPr>
            </w:pPr>
            <w:r w:rsidRPr="00727DFA">
              <w:rPr>
                <w:rFonts w:eastAsia="DengXian"/>
                <w:szCs w:val="24"/>
              </w:rPr>
              <w:t>Prophylaxis of malaria for travellers to areas where high risk of malaria</w:t>
            </w:r>
          </w:p>
        </w:tc>
      </w:tr>
      <w:tr w:rsidR="007B485D" w:rsidRPr="00727DFA" w14:paraId="25FB5CA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C16E2A"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58AC06DD" w14:textId="77777777" w:rsidR="007B485D" w:rsidRPr="00727DFA" w:rsidRDefault="007B485D" w:rsidP="002D6DD7">
            <w:pPr>
              <w:jc w:val="both"/>
              <w:rPr>
                <w:rFonts w:eastAsia="DengXian"/>
                <w:szCs w:val="24"/>
              </w:rPr>
            </w:pPr>
            <w:r w:rsidRPr="00727DFA">
              <w:rPr>
                <w:rFonts w:eastAsia="DengXian"/>
                <w:szCs w:val="24"/>
              </w:rPr>
              <w:t>Prophylaxis should start 1-3 weeks departure and continue for 4 weeks after last exposure, 5 mg /kg mefloquine salt once weekly.</w:t>
            </w:r>
          </w:p>
          <w:p w14:paraId="5A9042AC" w14:textId="77777777" w:rsidR="007B485D" w:rsidRPr="00727DFA" w:rsidRDefault="007B485D" w:rsidP="002D6DD7">
            <w:pPr>
              <w:jc w:val="both"/>
              <w:rPr>
                <w:rFonts w:eastAsia="DengXian"/>
                <w:szCs w:val="24"/>
              </w:rPr>
            </w:pPr>
            <w:r w:rsidRPr="00727DFA">
              <w:rPr>
                <w:rFonts w:eastAsia="DengXian"/>
                <w:b/>
                <w:bCs/>
                <w:szCs w:val="24"/>
              </w:rPr>
              <w:t>Adults and children of more than 45 kg bodyweight</w:t>
            </w:r>
            <w:r w:rsidRPr="00727DFA">
              <w:rPr>
                <w:rFonts w:eastAsia="DengXian"/>
                <w:szCs w:val="24"/>
              </w:rPr>
              <w:t>: number of tablets per week, 1 tablet</w:t>
            </w:r>
          </w:p>
          <w:p w14:paraId="6B5A9A05" w14:textId="77777777" w:rsidR="007B485D" w:rsidRPr="00727DFA" w:rsidRDefault="007B485D" w:rsidP="002D6DD7">
            <w:pPr>
              <w:jc w:val="both"/>
              <w:rPr>
                <w:rFonts w:eastAsia="DengXian"/>
                <w:b/>
                <w:bCs/>
                <w:szCs w:val="24"/>
              </w:rPr>
            </w:pPr>
            <w:r w:rsidRPr="00727DFA">
              <w:rPr>
                <w:rFonts w:eastAsia="DengXian"/>
                <w:b/>
                <w:bCs/>
                <w:szCs w:val="24"/>
              </w:rPr>
              <w:t>Children and adults weighing less than 45 kg;</w:t>
            </w:r>
            <w:r w:rsidRPr="00727DFA">
              <w:rPr>
                <w:rFonts w:eastAsia="DengXian"/>
                <w:szCs w:val="24"/>
              </w:rPr>
              <w:t xml:space="preserve"> number of tablets per week</w:t>
            </w:r>
          </w:p>
          <w:p w14:paraId="0DD3B458" w14:textId="77777777" w:rsidR="007B485D" w:rsidRPr="00727DFA" w:rsidRDefault="007B485D" w:rsidP="002D6DD7">
            <w:pPr>
              <w:jc w:val="both"/>
              <w:rPr>
                <w:rFonts w:eastAsia="DengXian"/>
                <w:szCs w:val="24"/>
              </w:rPr>
            </w:pPr>
            <w:r w:rsidRPr="00727DFA">
              <w:rPr>
                <w:rFonts w:eastAsia="DengXian"/>
                <w:szCs w:val="24"/>
              </w:rPr>
              <w:t xml:space="preserve">5-19 kg (Age: &lt; 3-23 months): 1/2 tablet </w:t>
            </w:r>
          </w:p>
          <w:p w14:paraId="0DBA57A2" w14:textId="77777777" w:rsidR="007B485D" w:rsidRPr="00727DFA" w:rsidRDefault="007B485D" w:rsidP="002D6DD7">
            <w:pPr>
              <w:jc w:val="both"/>
              <w:rPr>
                <w:rFonts w:eastAsia="DengXian"/>
                <w:szCs w:val="24"/>
              </w:rPr>
            </w:pPr>
            <w:r w:rsidRPr="00727DFA">
              <w:rPr>
                <w:rFonts w:eastAsia="DengXian"/>
                <w:szCs w:val="24"/>
              </w:rPr>
              <w:t xml:space="preserve">20-30 kg (Age: 2-7 years): 1/2 tablet </w:t>
            </w:r>
          </w:p>
          <w:p w14:paraId="40C09627" w14:textId="77777777" w:rsidR="007B485D" w:rsidRPr="00727DFA" w:rsidRDefault="007B485D" w:rsidP="002D6DD7">
            <w:pPr>
              <w:jc w:val="both"/>
              <w:rPr>
                <w:rFonts w:eastAsia="DengXian"/>
                <w:szCs w:val="24"/>
              </w:rPr>
            </w:pPr>
            <w:r w:rsidRPr="00727DFA">
              <w:rPr>
                <w:rFonts w:eastAsia="DengXian"/>
                <w:szCs w:val="24"/>
              </w:rPr>
              <w:t xml:space="preserve">31-45 kg (Age: 8-10 years): 3/4 tablet </w:t>
            </w:r>
          </w:p>
          <w:p w14:paraId="374D27C4" w14:textId="77777777" w:rsidR="007B485D" w:rsidRPr="00727DFA" w:rsidRDefault="007B485D" w:rsidP="002D6DD7">
            <w:pPr>
              <w:jc w:val="both"/>
              <w:rPr>
                <w:rFonts w:eastAsia="DengXian"/>
                <w:szCs w:val="24"/>
              </w:rPr>
            </w:pPr>
            <w:r w:rsidRPr="00727DFA">
              <w:rPr>
                <w:rFonts w:eastAsia="DengXian"/>
                <w:b/>
                <w:bCs/>
                <w:szCs w:val="24"/>
              </w:rPr>
              <w:t>Note:</w:t>
            </w:r>
            <w:r w:rsidRPr="00727DFA">
              <w:rPr>
                <w:rFonts w:eastAsia="DengXian"/>
                <w:szCs w:val="24"/>
              </w:rPr>
              <w:t xml:space="preserve"> </w:t>
            </w:r>
            <w:r w:rsidRPr="00873AF2">
              <w:rPr>
                <w:rFonts w:eastAsia="DengXian"/>
                <w:i/>
                <w:iCs/>
                <w:szCs w:val="24"/>
              </w:rPr>
              <w:t>not recommended for children below 9 kg and &lt; 3 months</w:t>
            </w:r>
            <w:r w:rsidRPr="00727DFA">
              <w:rPr>
                <w:rFonts w:eastAsia="DengXian"/>
                <w:szCs w:val="24"/>
              </w:rPr>
              <w:t xml:space="preserve"> </w:t>
            </w:r>
          </w:p>
        </w:tc>
      </w:tr>
      <w:tr w:rsidR="007B485D" w:rsidRPr="00727DFA" w14:paraId="2CCCC3B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71D3879"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770C4555" w14:textId="77777777" w:rsidR="007B485D" w:rsidRPr="00727DFA" w:rsidRDefault="007B485D" w:rsidP="002D6DD7">
            <w:pPr>
              <w:jc w:val="both"/>
              <w:rPr>
                <w:rFonts w:eastAsia="DengXian"/>
                <w:szCs w:val="24"/>
              </w:rPr>
            </w:pPr>
            <w:r w:rsidRPr="00727DFA">
              <w:rPr>
                <w:rFonts w:eastAsia="DengXian"/>
                <w:szCs w:val="24"/>
              </w:rPr>
              <w:t>Hypersensitivity to quinine, neuropsychiatric disorders including depression or convulsions</w:t>
            </w:r>
            <w:r>
              <w:rPr>
                <w:rFonts w:eastAsia="DengXian"/>
                <w:szCs w:val="24"/>
              </w:rPr>
              <w:t>.</w:t>
            </w:r>
          </w:p>
        </w:tc>
      </w:tr>
      <w:tr w:rsidR="007B485D" w:rsidRPr="00727DFA" w14:paraId="359FD7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67E1F39"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6F80A752" w14:textId="77777777" w:rsidR="007B485D" w:rsidRPr="00727DFA" w:rsidRDefault="007B485D" w:rsidP="002D6DD7">
            <w:pPr>
              <w:jc w:val="both"/>
              <w:rPr>
                <w:rFonts w:eastAsia="DengXian"/>
                <w:szCs w:val="24"/>
              </w:rPr>
            </w:pPr>
            <w:r w:rsidRPr="00727DFA">
              <w:rPr>
                <w:rFonts w:eastAsia="DengXian"/>
                <w:szCs w:val="24"/>
              </w:rPr>
              <w:t>Artemether + lumefantrine, atenolol, carbamazepine, chloroquine, digoxin, ethosuximide, nifedipine, phenytoin, propranolol, quinidine, quinine, timolol, valproic acid, verapamil, live typhoid vaccines,</w:t>
            </w:r>
            <w:r>
              <w:rPr>
                <w:rFonts w:eastAsia="DengXian"/>
                <w:szCs w:val="24"/>
              </w:rPr>
              <w:t xml:space="preserve"> clarithromycin, ciprofloxacin, amitriptyline, fluoxetine.</w:t>
            </w:r>
          </w:p>
        </w:tc>
      </w:tr>
      <w:tr w:rsidR="007B485D" w:rsidRPr="00727DFA" w14:paraId="1DAA4FC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2B3833"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517D099" w14:textId="77777777" w:rsidR="007B485D" w:rsidRPr="00727DFA" w:rsidRDefault="007B485D" w:rsidP="002D6DD7">
            <w:pPr>
              <w:jc w:val="both"/>
              <w:rPr>
                <w:rFonts w:eastAsia="DengXian"/>
                <w:szCs w:val="24"/>
              </w:rPr>
            </w:pPr>
            <w:r w:rsidRPr="00727DFA">
              <w:rPr>
                <w:rFonts w:eastAsia="DengXian"/>
                <w:szCs w:val="24"/>
              </w:rPr>
              <w:t xml:space="preserve">Nausea, vomiting, diarrhea, abdominal pain, anorexia, headache, dizziness, loss of balance, insomnia and abnormal dreams, neurological and psychiatric disturbances, convulsions, anxiety, depression, confusion, hallucinations, panic attacks, emotional instability, aggression, agitation and psychoses, cardiac conduction disorders, myalgia, arthralgia,  rash, urticaria, pruritus, alopecia,  disturbances in liver function tests, leukopenia, leucocytosis, thrombocytopenia, Stevens-Johnson syndrome, atrioventricular </w:t>
            </w:r>
            <w:r w:rsidRPr="00727DFA">
              <w:rPr>
                <w:rFonts w:eastAsia="DengXian"/>
                <w:szCs w:val="24"/>
              </w:rPr>
              <w:lastRenderedPageBreak/>
              <w:t>block and encephalopathy</w:t>
            </w:r>
            <w:r>
              <w:rPr>
                <w:rFonts w:eastAsia="DengXian"/>
                <w:szCs w:val="24"/>
              </w:rPr>
              <w:t>.</w:t>
            </w:r>
          </w:p>
        </w:tc>
      </w:tr>
      <w:tr w:rsidR="007B485D" w:rsidRPr="00727DFA" w14:paraId="4C695C0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C36919" w14:textId="77777777" w:rsidR="007B485D" w:rsidRPr="00727DFA" w:rsidRDefault="007B485D" w:rsidP="002D6DD7">
            <w:pPr>
              <w:jc w:val="both"/>
              <w:rPr>
                <w:rFonts w:eastAsia="DengXian"/>
                <w:bCs/>
                <w:szCs w:val="24"/>
              </w:rPr>
            </w:pPr>
            <w:r w:rsidRPr="00727DFA">
              <w:rPr>
                <w:rFonts w:eastAsia="DengXian"/>
                <w:bCs/>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hideMark/>
          </w:tcPr>
          <w:p w14:paraId="48A3BBD3" w14:textId="77777777" w:rsidR="007B485D" w:rsidRPr="00727DFA" w:rsidRDefault="007B485D" w:rsidP="002D6DD7">
            <w:pPr>
              <w:jc w:val="both"/>
              <w:rPr>
                <w:rFonts w:eastAsia="DengXian"/>
                <w:szCs w:val="24"/>
              </w:rPr>
            </w:pPr>
            <w:r w:rsidRPr="00727DFA">
              <w:rPr>
                <w:rFonts w:eastAsia="DengXian"/>
                <w:szCs w:val="24"/>
              </w:rPr>
              <w:t>Pregnancy, cardiac conduction disorders</w:t>
            </w:r>
            <w:r>
              <w:rPr>
                <w:rFonts w:eastAsia="DengXian"/>
                <w:szCs w:val="24"/>
              </w:rPr>
              <w:t>,</w:t>
            </w:r>
            <w:r w:rsidRPr="00727DFA">
              <w:rPr>
                <w:rFonts w:eastAsia="DengXian"/>
                <w:szCs w:val="24"/>
              </w:rPr>
              <w:t xml:space="preserve"> hepatic impairment</w:t>
            </w:r>
            <w:r>
              <w:rPr>
                <w:rFonts w:eastAsia="DengXian"/>
                <w:szCs w:val="24"/>
              </w:rPr>
              <w:t>,</w:t>
            </w:r>
            <w:r w:rsidRPr="00727DFA">
              <w:rPr>
                <w:rFonts w:eastAsia="DengXian"/>
                <w:szCs w:val="24"/>
              </w:rPr>
              <w:t xml:space="preserve"> epilepsy; breastfeeding, infants under 3 months.</w:t>
            </w:r>
          </w:p>
        </w:tc>
      </w:tr>
      <w:tr w:rsidR="007B485D" w:rsidRPr="00727DFA" w14:paraId="6954C2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FC523C"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AEB8B88"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1534DBED"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3A4D2B8" w14:textId="77777777" w:rsidR="007B485D" w:rsidRPr="00727DFA" w:rsidRDefault="007B485D" w:rsidP="002D6DD7">
            <w:pPr>
              <w:jc w:val="both"/>
              <w:rPr>
                <w:rFonts w:eastAsia="DengXian"/>
                <w:b/>
                <w:szCs w:val="24"/>
              </w:rPr>
            </w:pPr>
            <w:r w:rsidRPr="00727DFA">
              <w:rPr>
                <w:rFonts w:eastAsia="DengXian"/>
                <w:b/>
                <w:szCs w:val="24"/>
              </w:rPr>
              <w:t>Primaquine phosphate</w:t>
            </w:r>
          </w:p>
        </w:tc>
      </w:tr>
      <w:tr w:rsidR="007B485D" w:rsidRPr="00727DFA" w14:paraId="1C5239C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E5C8F9"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55BC2F0" w14:textId="77777777" w:rsidR="007B485D" w:rsidRPr="00727DFA" w:rsidRDefault="007B485D" w:rsidP="002D6DD7">
            <w:pPr>
              <w:jc w:val="both"/>
              <w:rPr>
                <w:rFonts w:eastAsia="DengXian"/>
                <w:szCs w:val="24"/>
              </w:rPr>
            </w:pPr>
            <w:r w:rsidRPr="00727DFA">
              <w:rPr>
                <w:rFonts w:eastAsia="DengXian"/>
                <w:b/>
                <w:szCs w:val="24"/>
              </w:rPr>
              <w:t xml:space="preserve"> </w:t>
            </w:r>
            <w:r w:rsidRPr="00727DFA">
              <w:rPr>
                <w:rFonts w:eastAsia="DengXian"/>
                <w:szCs w:val="24"/>
              </w:rPr>
              <w:t xml:space="preserve">8-aminoquinolone, antimalarial </w:t>
            </w:r>
          </w:p>
        </w:tc>
      </w:tr>
      <w:tr w:rsidR="007B485D" w:rsidRPr="00727DFA" w14:paraId="629B1C1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97FFAF6"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5DCB7D84" w14:textId="77777777" w:rsidR="007B485D" w:rsidRPr="00727DFA" w:rsidRDefault="007B485D" w:rsidP="002D6DD7">
            <w:pPr>
              <w:jc w:val="both"/>
              <w:rPr>
                <w:rFonts w:eastAsia="DengXian"/>
                <w:szCs w:val="24"/>
              </w:rPr>
            </w:pPr>
            <w:r w:rsidRPr="00727DFA">
              <w:rPr>
                <w:rFonts w:eastAsia="DengXian"/>
                <w:szCs w:val="24"/>
              </w:rPr>
              <w:t>Tablet: 7.5 mg, 15mg</w:t>
            </w:r>
          </w:p>
        </w:tc>
      </w:tr>
      <w:tr w:rsidR="007B485D" w:rsidRPr="00727DFA" w14:paraId="46D068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91E18A"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E867201" w14:textId="77777777" w:rsidR="007B485D" w:rsidRPr="00727DFA" w:rsidRDefault="007B485D" w:rsidP="002D6DD7">
            <w:pPr>
              <w:jc w:val="both"/>
              <w:rPr>
                <w:rFonts w:eastAsia="DengXian"/>
                <w:i/>
                <w:szCs w:val="24"/>
              </w:rPr>
            </w:pPr>
            <w:r w:rsidRPr="00727DFA">
              <w:rPr>
                <w:rFonts w:eastAsia="DengXian"/>
                <w:szCs w:val="24"/>
              </w:rPr>
              <w:t xml:space="preserve">For the prevention of relapses (radical cure) of malaria caused by </w:t>
            </w:r>
            <w:r w:rsidRPr="00727DFA">
              <w:rPr>
                <w:rFonts w:eastAsia="DengXian"/>
                <w:i/>
                <w:szCs w:val="24"/>
              </w:rPr>
              <w:t>P. vivax</w:t>
            </w:r>
            <w:r w:rsidRPr="00727DFA">
              <w:rPr>
                <w:rFonts w:eastAsia="DengXian"/>
                <w:szCs w:val="24"/>
              </w:rPr>
              <w:t xml:space="preserve"> and </w:t>
            </w:r>
            <w:r w:rsidRPr="00727DFA">
              <w:rPr>
                <w:rFonts w:eastAsia="DengXian"/>
                <w:i/>
                <w:szCs w:val="24"/>
              </w:rPr>
              <w:t xml:space="preserve">P. ovale., </w:t>
            </w:r>
            <w:r w:rsidRPr="00727DFA">
              <w:rPr>
                <w:rFonts w:eastAsia="DengXian"/>
                <w:szCs w:val="24"/>
              </w:rPr>
              <w:t xml:space="preserve">to decrease transmission of </w:t>
            </w:r>
            <w:r w:rsidRPr="00727DFA">
              <w:rPr>
                <w:rFonts w:eastAsia="DengXian"/>
                <w:i/>
                <w:szCs w:val="24"/>
              </w:rPr>
              <w:t>P. falciparum</w:t>
            </w:r>
            <w:r w:rsidRPr="00727DFA">
              <w:rPr>
                <w:rFonts w:eastAsia="DengXian"/>
                <w:szCs w:val="24"/>
              </w:rPr>
              <w:t xml:space="preserve"> </w:t>
            </w:r>
            <w:r w:rsidRPr="00727DFA">
              <w:rPr>
                <w:rFonts w:eastAsia="DengXian"/>
                <w:i/>
                <w:szCs w:val="24"/>
              </w:rPr>
              <w:t xml:space="preserve"> </w:t>
            </w:r>
          </w:p>
        </w:tc>
      </w:tr>
      <w:tr w:rsidR="007B485D" w:rsidRPr="00727DFA" w14:paraId="7096A95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44221AB" w14:textId="77777777" w:rsidR="007B485D" w:rsidRPr="00727DFA" w:rsidRDefault="007B485D" w:rsidP="002D6DD7">
            <w:pPr>
              <w:jc w:val="both"/>
              <w:rPr>
                <w:rFonts w:eastAsia="DengXian"/>
                <w:bCs/>
                <w:szCs w:val="24"/>
              </w:rPr>
            </w:pPr>
            <w:r w:rsidRPr="00727DFA">
              <w:rPr>
                <w:rFonts w:eastAsia="DengXian"/>
                <w:bCs/>
                <w:szCs w:val="24"/>
              </w:rPr>
              <w:t>Dose and administration</w:t>
            </w:r>
          </w:p>
        </w:tc>
        <w:tc>
          <w:tcPr>
            <w:tcW w:w="6745" w:type="dxa"/>
            <w:tcBorders>
              <w:top w:val="single" w:sz="4" w:space="0" w:color="auto"/>
              <w:left w:val="single" w:sz="4" w:space="0" w:color="auto"/>
              <w:bottom w:val="single" w:sz="4" w:space="0" w:color="auto"/>
              <w:right w:val="single" w:sz="4" w:space="0" w:color="auto"/>
            </w:tcBorders>
            <w:hideMark/>
          </w:tcPr>
          <w:p w14:paraId="38126654" w14:textId="77777777" w:rsidR="007B485D" w:rsidRPr="00727DFA" w:rsidRDefault="007B485D" w:rsidP="002D6DD7">
            <w:pPr>
              <w:jc w:val="both"/>
              <w:rPr>
                <w:rFonts w:eastAsia="DengXian"/>
                <w:szCs w:val="24"/>
              </w:rPr>
            </w:pPr>
            <w:r w:rsidRPr="00727DFA">
              <w:rPr>
                <w:rFonts w:eastAsia="DengXian"/>
                <w:b/>
                <w:bCs/>
                <w:szCs w:val="24"/>
              </w:rPr>
              <w:t>Radical cure of P.</w:t>
            </w:r>
            <w:r w:rsidRPr="00727DFA">
              <w:rPr>
                <w:rFonts w:eastAsia="DengXian"/>
                <w:b/>
                <w:bCs/>
                <w:i/>
                <w:szCs w:val="24"/>
              </w:rPr>
              <w:t xml:space="preserve"> vivax</w:t>
            </w:r>
            <w:r w:rsidRPr="00727DFA">
              <w:rPr>
                <w:rFonts w:eastAsia="DengXian"/>
                <w:b/>
                <w:bCs/>
                <w:szCs w:val="24"/>
              </w:rPr>
              <w:t xml:space="preserve"> and </w:t>
            </w:r>
            <w:r w:rsidRPr="00727DFA">
              <w:rPr>
                <w:rFonts w:eastAsia="DengXian"/>
                <w:b/>
                <w:bCs/>
                <w:i/>
                <w:szCs w:val="24"/>
              </w:rPr>
              <w:t>P. ovale.</w:t>
            </w:r>
            <w:r w:rsidRPr="00727DFA">
              <w:rPr>
                <w:rFonts w:eastAsia="DengXian"/>
                <w:b/>
                <w:bCs/>
                <w:szCs w:val="24"/>
              </w:rPr>
              <w:t xml:space="preserve"> (14 days)</w:t>
            </w:r>
            <w:r w:rsidRPr="00727DFA">
              <w:rPr>
                <w:rFonts w:eastAsia="DengXian"/>
                <w:szCs w:val="24"/>
              </w:rPr>
              <w:t xml:space="preserve">; </w:t>
            </w:r>
            <w:r w:rsidRPr="00873AF2">
              <w:rPr>
                <w:rFonts w:eastAsia="DengXian"/>
                <w:b/>
                <w:bCs/>
                <w:szCs w:val="24"/>
              </w:rPr>
              <w:t>Oral:</w:t>
            </w:r>
          </w:p>
          <w:p w14:paraId="34EC69C0" w14:textId="77777777" w:rsidR="007B485D" w:rsidRPr="00084BCB" w:rsidRDefault="007B485D" w:rsidP="002D6DD7">
            <w:pPr>
              <w:jc w:val="both"/>
              <w:rPr>
                <w:rFonts w:eastAsia="DengXian"/>
                <w:szCs w:val="24"/>
              </w:rPr>
            </w:pPr>
            <w:r w:rsidRPr="00084BCB">
              <w:rPr>
                <w:rFonts w:eastAsia="DengXian"/>
                <w:szCs w:val="24"/>
              </w:rPr>
              <w:t xml:space="preserve">Body weight 8 – 18 kg:   </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 xml:space="preserve">2 </m:t>
                  </m:r>
                </m:den>
              </m:f>
            </m:oMath>
            <w:r w:rsidRPr="00084BCB">
              <w:rPr>
                <w:rFonts w:eastAsia="DengXian"/>
                <w:szCs w:val="24"/>
              </w:rPr>
              <w:t>tablet of 7.5 mg</w:t>
            </w:r>
          </w:p>
          <w:p w14:paraId="6CA1BE4B" w14:textId="77777777" w:rsidR="007B485D" w:rsidRPr="00084BCB" w:rsidRDefault="007B485D" w:rsidP="002D6DD7">
            <w:pPr>
              <w:jc w:val="both"/>
              <w:rPr>
                <w:rFonts w:eastAsia="DengXian"/>
                <w:szCs w:val="24"/>
              </w:rPr>
            </w:pPr>
            <w:r w:rsidRPr="00084BCB">
              <w:rPr>
                <w:rFonts w:eastAsia="DengXian"/>
                <w:szCs w:val="24"/>
              </w:rPr>
              <w:t xml:space="preserve">Body weight 19 – 24 kg:   </w:t>
            </w:r>
            <m:oMath>
              <m:f>
                <m:fPr>
                  <m:type m:val="skw"/>
                  <m:ctrlPr>
                    <w:rPr>
                      <w:rFonts w:ascii="Cambria Math" w:eastAsia="DengXian" w:hAnsi="Cambria Math"/>
                      <w:i/>
                      <w:szCs w:val="24"/>
                    </w:rPr>
                  </m:ctrlPr>
                </m:fPr>
                <m:num>
                  <m:r>
                    <w:rPr>
                      <w:rFonts w:ascii="Cambria Math" w:eastAsia="DengXian" w:hAnsi="Cambria Math"/>
                      <w:szCs w:val="24"/>
                    </w:rPr>
                    <m:t>3</m:t>
                  </m:r>
                </m:num>
                <m:den>
                  <m:r>
                    <w:rPr>
                      <w:rFonts w:ascii="Cambria Math" w:eastAsia="DengXian" w:hAnsi="Cambria Math"/>
                      <w:szCs w:val="24"/>
                    </w:rPr>
                    <m:t>4</m:t>
                  </m:r>
                </m:den>
              </m:f>
            </m:oMath>
            <w:r w:rsidRPr="00084BCB">
              <w:rPr>
                <w:rFonts w:eastAsia="DengXian"/>
                <w:szCs w:val="24"/>
              </w:rPr>
              <w:t xml:space="preserve"> tablet of 7.5 mg</w:t>
            </w:r>
          </w:p>
          <w:p w14:paraId="140E3165" w14:textId="77777777" w:rsidR="007B485D" w:rsidRPr="00084BCB" w:rsidRDefault="007B485D" w:rsidP="002D6DD7">
            <w:pPr>
              <w:jc w:val="both"/>
              <w:rPr>
                <w:rFonts w:eastAsia="DengXian"/>
                <w:szCs w:val="24"/>
              </w:rPr>
            </w:pPr>
            <w:r w:rsidRPr="00084BCB">
              <w:rPr>
                <w:rFonts w:eastAsia="DengXian"/>
                <w:szCs w:val="24"/>
              </w:rPr>
              <w:t xml:space="preserve">Body weight 25 – 35:  </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 xml:space="preserve">2 </m:t>
                  </m:r>
                </m:den>
              </m:f>
            </m:oMath>
            <w:r w:rsidRPr="00084BCB">
              <w:rPr>
                <w:rFonts w:eastAsia="DengXian"/>
                <w:szCs w:val="24"/>
              </w:rPr>
              <w:t>tablet of 15 mg</w:t>
            </w:r>
          </w:p>
          <w:p w14:paraId="7F89A3C3" w14:textId="77777777" w:rsidR="007B485D" w:rsidRPr="00084BCB" w:rsidRDefault="007B485D" w:rsidP="002D6DD7">
            <w:pPr>
              <w:jc w:val="both"/>
              <w:rPr>
                <w:rFonts w:eastAsia="DengXian"/>
                <w:szCs w:val="24"/>
              </w:rPr>
            </w:pPr>
            <w:r w:rsidRPr="00084BCB">
              <w:rPr>
                <w:rFonts w:eastAsia="DengXian"/>
                <w:szCs w:val="24"/>
              </w:rPr>
              <w:t xml:space="preserve">Body weight 36 – 50:  1 tablet of 15 mg </w:t>
            </w:r>
          </w:p>
          <w:p w14:paraId="5E5C7942" w14:textId="77777777" w:rsidR="007B485D" w:rsidRPr="00084BCB" w:rsidRDefault="007B485D" w:rsidP="002D6DD7">
            <w:pPr>
              <w:jc w:val="both"/>
              <w:rPr>
                <w:rFonts w:eastAsia="DengXian"/>
                <w:szCs w:val="24"/>
              </w:rPr>
            </w:pPr>
            <w:r w:rsidRPr="00084BCB">
              <w:rPr>
                <w:rFonts w:eastAsia="DengXian"/>
                <w:szCs w:val="24"/>
              </w:rPr>
              <w:t xml:space="preserve">Body weight </w:t>
            </w:r>
            <m:oMath>
              <m:r>
                <w:rPr>
                  <w:rFonts w:ascii="Cambria Math" w:eastAsia="DengXian" w:hAnsi="Cambria Math"/>
                  <w:szCs w:val="24"/>
                </w:rPr>
                <m:t>≥</m:t>
              </m:r>
            </m:oMath>
            <w:r w:rsidRPr="00084BCB">
              <w:rPr>
                <w:rFonts w:eastAsia="DengXian"/>
                <w:szCs w:val="24"/>
              </w:rPr>
              <w:t xml:space="preserve"> 50:   1 </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 xml:space="preserve">2 </m:t>
                  </m:r>
                </m:den>
              </m:f>
            </m:oMath>
            <w:r w:rsidRPr="00084BCB">
              <w:rPr>
                <w:rFonts w:eastAsia="DengXian"/>
                <w:szCs w:val="24"/>
              </w:rPr>
              <w:t xml:space="preserve">tablet of 15 mg  </w:t>
            </w:r>
          </w:p>
          <w:p w14:paraId="1CA4B7EA" w14:textId="77777777" w:rsidR="007B485D" w:rsidRPr="00873AF2" w:rsidRDefault="007B485D" w:rsidP="002D6DD7">
            <w:pPr>
              <w:jc w:val="both"/>
              <w:rPr>
                <w:rFonts w:eastAsia="DengXian"/>
                <w:b/>
                <w:bCs/>
                <w:szCs w:val="24"/>
              </w:rPr>
            </w:pPr>
            <w:r w:rsidRPr="00873AF2">
              <w:rPr>
                <w:rFonts w:eastAsia="DengXian"/>
                <w:b/>
                <w:bCs/>
                <w:szCs w:val="24"/>
              </w:rPr>
              <w:t xml:space="preserve">Transmission of </w:t>
            </w:r>
            <w:r w:rsidRPr="00873AF2">
              <w:rPr>
                <w:rFonts w:eastAsia="DengXian"/>
                <w:b/>
                <w:bCs/>
                <w:i/>
                <w:szCs w:val="24"/>
              </w:rPr>
              <w:t>P. falciparum</w:t>
            </w:r>
            <w:r w:rsidRPr="00873AF2">
              <w:rPr>
                <w:rFonts w:eastAsia="DengXian"/>
                <w:b/>
                <w:bCs/>
                <w:szCs w:val="24"/>
              </w:rPr>
              <w:t xml:space="preserve"> (single dose)</w:t>
            </w:r>
            <w:r>
              <w:rPr>
                <w:rFonts w:eastAsia="DengXian"/>
                <w:b/>
                <w:bCs/>
                <w:szCs w:val="24"/>
              </w:rPr>
              <w:t>; Oral:</w:t>
            </w:r>
          </w:p>
          <w:p w14:paraId="763044CD" w14:textId="77777777" w:rsidR="007B485D" w:rsidRPr="00084BCB" w:rsidRDefault="007B485D" w:rsidP="002D6DD7">
            <w:pPr>
              <w:jc w:val="both"/>
              <w:rPr>
                <w:rFonts w:eastAsia="DengXian"/>
                <w:szCs w:val="24"/>
              </w:rPr>
            </w:pPr>
            <w:r w:rsidRPr="00084BCB">
              <w:rPr>
                <w:rFonts w:eastAsia="DengXian"/>
                <w:szCs w:val="24"/>
              </w:rPr>
              <w:t xml:space="preserve">Body weight 8 – 18 kg:   </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 xml:space="preserve">2 </m:t>
                  </m:r>
                </m:den>
              </m:f>
            </m:oMath>
            <w:r w:rsidRPr="00084BCB">
              <w:rPr>
                <w:rFonts w:eastAsia="DengXian"/>
                <w:szCs w:val="24"/>
              </w:rPr>
              <w:t>tablet of 15 mg</w:t>
            </w:r>
          </w:p>
          <w:p w14:paraId="34CC608A" w14:textId="77777777" w:rsidR="007B485D" w:rsidRPr="00084BCB" w:rsidRDefault="007B485D" w:rsidP="002D6DD7">
            <w:pPr>
              <w:jc w:val="both"/>
              <w:rPr>
                <w:rFonts w:eastAsia="DengXian"/>
                <w:szCs w:val="24"/>
              </w:rPr>
            </w:pPr>
            <w:r w:rsidRPr="00084BCB">
              <w:rPr>
                <w:rFonts w:eastAsia="DengXian"/>
                <w:szCs w:val="24"/>
              </w:rPr>
              <w:t xml:space="preserve">Body weight 19 – 24 kg:   </w:t>
            </w:r>
            <m:oMath>
              <m:f>
                <m:fPr>
                  <m:type m:val="skw"/>
                  <m:ctrlPr>
                    <w:rPr>
                      <w:rFonts w:ascii="Cambria Math" w:eastAsia="DengXian" w:hAnsi="Cambria Math"/>
                      <w:i/>
                      <w:szCs w:val="24"/>
                    </w:rPr>
                  </m:ctrlPr>
                </m:fPr>
                <m:num>
                  <m:r>
                    <w:rPr>
                      <w:rFonts w:ascii="Cambria Math" w:eastAsia="DengXian" w:hAnsi="Cambria Math"/>
                      <w:szCs w:val="24"/>
                    </w:rPr>
                    <m:t>3</m:t>
                  </m:r>
                </m:num>
                <m:den>
                  <m:r>
                    <w:rPr>
                      <w:rFonts w:ascii="Cambria Math" w:eastAsia="DengXian" w:hAnsi="Cambria Math"/>
                      <w:szCs w:val="24"/>
                    </w:rPr>
                    <m:t>4</m:t>
                  </m:r>
                </m:den>
              </m:f>
            </m:oMath>
            <w:r w:rsidRPr="00084BCB">
              <w:rPr>
                <w:rFonts w:eastAsia="DengXian"/>
                <w:szCs w:val="24"/>
              </w:rPr>
              <w:t xml:space="preserve"> tablet of 15 mg</w:t>
            </w:r>
          </w:p>
          <w:p w14:paraId="1FA04F8C" w14:textId="77777777" w:rsidR="007B485D" w:rsidRPr="00084BCB" w:rsidRDefault="007B485D" w:rsidP="002D6DD7">
            <w:pPr>
              <w:jc w:val="both"/>
              <w:rPr>
                <w:rFonts w:eastAsia="DengXian"/>
                <w:szCs w:val="24"/>
              </w:rPr>
            </w:pPr>
            <w:r w:rsidRPr="00084BCB">
              <w:rPr>
                <w:rFonts w:eastAsia="DengXian"/>
                <w:szCs w:val="24"/>
              </w:rPr>
              <w:t>Body weight 25 – 35:    1 tablet of 15 mg</w:t>
            </w:r>
          </w:p>
          <w:p w14:paraId="6418774A" w14:textId="77777777" w:rsidR="007B485D" w:rsidRPr="00084BCB" w:rsidRDefault="007B485D" w:rsidP="002D6DD7">
            <w:pPr>
              <w:jc w:val="both"/>
              <w:rPr>
                <w:rFonts w:eastAsia="DengXian"/>
                <w:szCs w:val="24"/>
              </w:rPr>
            </w:pPr>
            <w:r w:rsidRPr="00084BCB">
              <w:rPr>
                <w:rFonts w:eastAsia="DengXian"/>
                <w:szCs w:val="24"/>
              </w:rPr>
              <w:t xml:space="preserve">Body weight 36 – 50:    1 </w:t>
            </w:r>
            <m:oMath>
              <m:f>
                <m:fPr>
                  <m:type m:val="skw"/>
                  <m:ctrlPr>
                    <w:rPr>
                      <w:rFonts w:ascii="Cambria Math" w:eastAsia="DengXian" w:hAnsi="Cambria Math"/>
                      <w:i/>
                      <w:szCs w:val="24"/>
                    </w:rPr>
                  </m:ctrlPr>
                </m:fPr>
                <m:num>
                  <m:r>
                    <w:rPr>
                      <w:rFonts w:ascii="Cambria Math" w:eastAsia="DengXian" w:hAnsi="Cambria Math"/>
                      <w:szCs w:val="24"/>
                    </w:rPr>
                    <m:t>1</m:t>
                  </m:r>
                </m:num>
                <m:den>
                  <m:r>
                    <w:rPr>
                      <w:rFonts w:ascii="Cambria Math" w:eastAsia="DengXian" w:hAnsi="Cambria Math"/>
                      <w:szCs w:val="24"/>
                    </w:rPr>
                    <m:t xml:space="preserve">2 </m:t>
                  </m:r>
                </m:den>
              </m:f>
            </m:oMath>
            <w:r w:rsidRPr="00084BCB">
              <w:rPr>
                <w:rFonts w:eastAsia="DengXian"/>
                <w:szCs w:val="24"/>
              </w:rPr>
              <w:t xml:space="preserve"> tablet of 15 mg </w:t>
            </w:r>
          </w:p>
          <w:p w14:paraId="19A52C06" w14:textId="77777777" w:rsidR="007B485D" w:rsidRPr="00727DFA" w:rsidRDefault="007B485D" w:rsidP="002D6DD7">
            <w:pPr>
              <w:jc w:val="both"/>
              <w:rPr>
                <w:rFonts w:eastAsia="DengXian"/>
                <w:szCs w:val="24"/>
              </w:rPr>
            </w:pPr>
            <w:r w:rsidRPr="00084BCB">
              <w:rPr>
                <w:rFonts w:eastAsia="DengXian"/>
                <w:szCs w:val="24"/>
              </w:rPr>
              <w:t xml:space="preserve">Body weight </w:t>
            </w:r>
            <m:oMath>
              <m:r>
                <w:rPr>
                  <w:rFonts w:ascii="Cambria Math" w:eastAsia="DengXian" w:hAnsi="Cambria Math"/>
                  <w:szCs w:val="24"/>
                </w:rPr>
                <m:t>≥</m:t>
              </m:r>
            </m:oMath>
            <w:r w:rsidRPr="00084BCB">
              <w:rPr>
                <w:rFonts w:eastAsia="DengXian"/>
                <w:szCs w:val="24"/>
              </w:rPr>
              <w:t xml:space="preserve"> 50:    2 tablet</w:t>
            </w:r>
            <w:r w:rsidR="003114B5">
              <w:rPr>
                <w:rFonts w:eastAsia="DengXian"/>
                <w:szCs w:val="24"/>
              </w:rPr>
              <w:t>s</w:t>
            </w:r>
            <w:r w:rsidRPr="00084BCB">
              <w:rPr>
                <w:rFonts w:eastAsia="DengXian"/>
                <w:szCs w:val="24"/>
              </w:rPr>
              <w:t xml:space="preserve"> of 15 mg</w:t>
            </w:r>
            <w:r w:rsidRPr="00727DFA">
              <w:rPr>
                <w:rFonts w:eastAsia="DengXian"/>
                <w:szCs w:val="24"/>
              </w:rPr>
              <w:t xml:space="preserve">  </w:t>
            </w:r>
          </w:p>
        </w:tc>
      </w:tr>
      <w:tr w:rsidR="007B485D" w:rsidRPr="00727DFA" w14:paraId="4AEAAD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EC1DB0"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233BDF1A" w14:textId="77777777" w:rsidR="007B485D" w:rsidRPr="00727DFA" w:rsidRDefault="007B485D" w:rsidP="002D6DD7">
            <w:pPr>
              <w:jc w:val="both"/>
              <w:rPr>
                <w:rFonts w:eastAsia="DengXian"/>
                <w:szCs w:val="24"/>
              </w:rPr>
            </w:pPr>
            <w:r w:rsidRPr="00727DFA">
              <w:rPr>
                <w:rFonts w:eastAsia="DengXian"/>
                <w:szCs w:val="24"/>
              </w:rPr>
              <w:t>Hypersensitivity</w:t>
            </w:r>
            <w:r>
              <w:rPr>
                <w:rFonts w:eastAsia="DengXian"/>
                <w:szCs w:val="24"/>
              </w:rPr>
              <w:t xml:space="preserve"> to the drug</w:t>
            </w:r>
            <w:r w:rsidRPr="00727DFA">
              <w:rPr>
                <w:rFonts w:eastAsia="DengXian"/>
                <w:szCs w:val="24"/>
              </w:rPr>
              <w:t>, severe G6PD deficiency, pregnancy, breast</w:t>
            </w:r>
            <w:r>
              <w:rPr>
                <w:rFonts w:eastAsia="DengXian"/>
                <w:szCs w:val="24"/>
              </w:rPr>
              <w:t>f</w:t>
            </w:r>
            <w:r w:rsidRPr="00727DFA">
              <w:rPr>
                <w:rFonts w:eastAsia="DengXian"/>
                <w:szCs w:val="24"/>
              </w:rPr>
              <w:t>eeding</w:t>
            </w:r>
            <w:r>
              <w:rPr>
                <w:rFonts w:eastAsia="DengXian"/>
                <w:szCs w:val="24"/>
              </w:rPr>
              <w:t xml:space="preserve">, </w:t>
            </w:r>
            <w:r w:rsidRPr="00727DFA">
              <w:rPr>
                <w:rFonts w:eastAsia="DengXian"/>
                <w:szCs w:val="24"/>
              </w:rPr>
              <w:t xml:space="preserve">infants under six months, moderate to severe anemia.  </w:t>
            </w:r>
          </w:p>
        </w:tc>
      </w:tr>
      <w:tr w:rsidR="007B485D" w:rsidRPr="00727DFA" w14:paraId="1D5A65A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FEC0CB"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7336EE21" w14:textId="77777777" w:rsidR="007B485D" w:rsidRPr="00727DFA" w:rsidRDefault="007B485D" w:rsidP="002D6DD7">
            <w:pPr>
              <w:jc w:val="both"/>
              <w:rPr>
                <w:rFonts w:eastAsia="DengXian"/>
                <w:szCs w:val="24"/>
              </w:rPr>
            </w:pPr>
            <w:r w:rsidRPr="00727DFA">
              <w:rPr>
                <w:rFonts w:eastAsia="DengXian"/>
                <w:szCs w:val="24"/>
              </w:rPr>
              <w:t xml:space="preserve">Class IA or III antiarrhythmics, tricyclic antidepressants, macrolides, fluoroquinolones, quinine, quinidine, </w:t>
            </w:r>
            <w:r>
              <w:rPr>
                <w:rFonts w:eastAsia="DengXian"/>
                <w:szCs w:val="24"/>
              </w:rPr>
              <w:t xml:space="preserve">thioridazine, </w:t>
            </w:r>
            <w:r w:rsidRPr="00727DFA">
              <w:rPr>
                <w:rFonts w:eastAsia="DengXian"/>
                <w:szCs w:val="24"/>
              </w:rPr>
              <w:t>bone marrow suppressants and drugs that cause haemolysis (e.g. dapsone)</w:t>
            </w:r>
          </w:p>
        </w:tc>
      </w:tr>
      <w:tr w:rsidR="007B485D" w:rsidRPr="00727DFA" w14:paraId="34DE4F8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FA35F2" w14:textId="77777777" w:rsidR="007B485D" w:rsidRPr="00727DFA" w:rsidRDefault="007B485D" w:rsidP="002D6DD7">
            <w:pPr>
              <w:jc w:val="both"/>
              <w:rPr>
                <w:rFonts w:eastAsia="DengXian"/>
                <w:bCs/>
                <w:szCs w:val="24"/>
              </w:rPr>
            </w:pPr>
            <w:r w:rsidRPr="00727DFA">
              <w:rPr>
                <w:rFonts w:eastAsia="DengXian"/>
                <w:bCs/>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2CF457F0" w14:textId="77777777" w:rsidR="007B485D" w:rsidRPr="00727DFA" w:rsidRDefault="007B485D" w:rsidP="002D6DD7">
            <w:pPr>
              <w:jc w:val="both"/>
              <w:rPr>
                <w:rFonts w:eastAsia="DengXian"/>
                <w:szCs w:val="24"/>
              </w:rPr>
            </w:pPr>
            <w:r w:rsidRPr="00727DFA">
              <w:rPr>
                <w:rFonts w:eastAsia="DengXian"/>
                <w:szCs w:val="24"/>
              </w:rPr>
              <w:t xml:space="preserve">Hemolytic anemia especially in G6PD deficiency, leucopoenia, abdominal pain or cramps, nausea, vomiting, methemoglobinemia </w:t>
            </w:r>
            <w:r w:rsidRPr="00727DFA">
              <w:rPr>
                <w:rFonts w:eastAsia="DengXian"/>
                <w:szCs w:val="24"/>
              </w:rPr>
              <w:lastRenderedPageBreak/>
              <w:t>(cyanosis - bluish fingernails, lips, or skin), dizziness or light-headedness, difficult breathing, unusual tiredness or weakness).</w:t>
            </w:r>
          </w:p>
        </w:tc>
      </w:tr>
      <w:tr w:rsidR="007B485D" w:rsidRPr="00727DFA" w14:paraId="1B68C2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9ECB5C" w14:textId="77777777" w:rsidR="007B485D" w:rsidRPr="00727DFA" w:rsidRDefault="007B485D" w:rsidP="002D6DD7">
            <w:pPr>
              <w:jc w:val="both"/>
              <w:rPr>
                <w:rFonts w:eastAsia="DengXian"/>
                <w:bCs/>
                <w:szCs w:val="24"/>
              </w:rPr>
            </w:pPr>
            <w:r w:rsidRPr="00727DFA">
              <w:rPr>
                <w:rFonts w:eastAsia="DengXian"/>
                <w:bCs/>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hideMark/>
          </w:tcPr>
          <w:p w14:paraId="19EC5AEC" w14:textId="77777777" w:rsidR="007B485D" w:rsidRPr="00727DFA" w:rsidRDefault="007B485D" w:rsidP="002D6DD7">
            <w:pPr>
              <w:jc w:val="both"/>
              <w:rPr>
                <w:rFonts w:eastAsia="DengXian"/>
                <w:szCs w:val="24"/>
              </w:rPr>
            </w:pPr>
            <w:r w:rsidRPr="00727DFA">
              <w:rPr>
                <w:rFonts w:eastAsia="DengXian"/>
                <w:szCs w:val="24"/>
              </w:rPr>
              <w:t>Mild to moderate G6PD deficiency, history of acute hemolytic anemia, systemic disease associated with agranulocytopenia (e.g. rheumatoid arthritis), ventricular arrhythmias, hypokalemia, hypomagnesemia</w:t>
            </w:r>
            <w:r>
              <w:rPr>
                <w:rFonts w:eastAsia="DengXian"/>
                <w:szCs w:val="24"/>
              </w:rPr>
              <w:t>.</w:t>
            </w:r>
          </w:p>
        </w:tc>
      </w:tr>
      <w:tr w:rsidR="007B485D" w:rsidRPr="00727DFA" w14:paraId="0E270A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01A132"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291CB09" w14:textId="77777777" w:rsidR="007B485D" w:rsidRPr="00727DFA" w:rsidRDefault="007B485D" w:rsidP="002D6DD7">
            <w:pPr>
              <w:jc w:val="both"/>
              <w:rPr>
                <w:rFonts w:eastAsia="DengXian"/>
                <w:szCs w:val="24"/>
              </w:rPr>
            </w:pPr>
            <w:r w:rsidRPr="00727DFA">
              <w:rPr>
                <w:rFonts w:eastAsia="DengXian"/>
                <w:szCs w:val="24"/>
              </w:rPr>
              <w:t>Store below 30°C</w:t>
            </w:r>
            <w:r>
              <w:rPr>
                <w:rFonts w:eastAsia="DengXian"/>
                <w:szCs w:val="24"/>
              </w:rPr>
              <w:t>.</w:t>
            </w:r>
          </w:p>
        </w:tc>
      </w:tr>
      <w:tr w:rsidR="007B485D" w:rsidRPr="00727DFA" w14:paraId="169C81A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AC08434" w14:textId="77777777" w:rsidR="007B485D" w:rsidRPr="00727DFA" w:rsidRDefault="007B485D" w:rsidP="002D6DD7">
            <w:pPr>
              <w:jc w:val="both"/>
              <w:rPr>
                <w:rFonts w:eastAsia="DengXian"/>
                <w:b/>
                <w:szCs w:val="24"/>
              </w:rPr>
            </w:pPr>
            <w:r w:rsidRPr="00727DFA">
              <w:rPr>
                <w:rFonts w:eastAsia="DengXian"/>
                <w:b/>
                <w:szCs w:val="24"/>
              </w:rPr>
              <w:t>Quinine hydrochloride</w:t>
            </w:r>
          </w:p>
        </w:tc>
      </w:tr>
      <w:tr w:rsidR="007B485D" w:rsidRPr="00727DFA" w14:paraId="4CDED0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26B771" w14:textId="77777777" w:rsidR="007B485D" w:rsidRPr="00727DFA" w:rsidRDefault="007B485D" w:rsidP="002D6DD7">
            <w:pPr>
              <w:jc w:val="both"/>
              <w:rPr>
                <w:rFonts w:eastAsia="DengXian"/>
                <w:bCs/>
                <w:szCs w:val="24"/>
              </w:rPr>
            </w:pPr>
            <w:r w:rsidRPr="00727DFA">
              <w:rPr>
                <w:rFonts w:eastAsia="DengXian"/>
                <w:bCs/>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1582060" w14:textId="77777777" w:rsidR="007B485D" w:rsidRPr="00727DFA" w:rsidRDefault="007B485D" w:rsidP="002D6DD7">
            <w:pPr>
              <w:jc w:val="both"/>
              <w:rPr>
                <w:rFonts w:eastAsia="DengXian"/>
                <w:szCs w:val="24"/>
              </w:rPr>
            </w:pPr>
            <w:r w:rsidRPr="00727DFA">
              <w:rPr>
                <w:rFonts w:eastAsia="DengXian"/>
                <w:b/>
                <w:szCs w:val="24"/>
              </w:rPr>
              <w:t xml:space="preserve"> </w:t>
            </w:r>
            <w:r w:rsidRPr="00727DFA">
              <w:rPr>
                <w:rFonts w:eastAsia="DengXian"/>
                <w:szCs w:val="24"/>
              </w:rPr>
              <w:t>Arylaminoalcohol</w:t>
            </w:r>
            <w:r>
              <w:rPr>
                <w:rFonts w:eastAsia="DengXian"/>
                <w:szCs w:val="24"/>
              </w:rPr>
              <w:t>,</w:t>
            </w:r>
            <w:r w:rsidRPr="00727DFA">
              <w:rPr>
                <w:rFonts w:eastAsia="DengXian"/>
                <w:szCs w:val="24"/>
              </w:rPr>
              <w:t xml:space="preserve"> antimalarial </w:t>
            </w:r>
          </w:p>
        </w:tc>
      </w:tr>
      <w:tr w:rsidR="007B485D" w:rsidRPr="00727DFA" w14:paraId="098E5D8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FD1EB8" w14:textId="77777777" w:rsidR="007B485D" w:rsidRPr="00727DFA" w:rsidRDefault="007B485D" w:rsidP="002D6DD7">
            <w:pPr>
              <w:jc w:val="both"/>
              <w:rPr>
                <w:rFonts w:eastAsia="DengXian"/>
                <w:bCs/>
                <w:szCs w:val="24"/>
              </w:rPr>
            </w:pPr>
            <w:r w:rsidRPr="00727DFA">
              <w:rPr>
                <w:rFonts w:eastAsia="DengXian"/>
                <w:bCs/>
                <w:szCs w:val="24"/>
              </w:rPr>
              <w:t>Dosage form</w:t>
            </w:r>
          </w:p>
        </w:tc>
        <w:tc>
          <w:tcPr>
            <w:tcW w:w="6745" w:type="dxa"/>
            <w:tcBorders>
              <w:top w:val="single" w:sz="4" w:space="0" w:color="auto"/>
              <w:left w:val="single" w:sz="4" w:space="0" w:color="auto"/>
              <w:bottom w:val="single" w:sz="4" w:space="0" w:color="auto"/>
              <w:right w:val="single" w:sz="4" w:space="0" w:color="auto"/>
            </w:tcBorders>
            <w:hideMark/>
          </w:tcPr>
          <w:p w14:paraId="7B902EF0" w14:textId="77777777" w:rsidR="007B485D" w:rsidRPr="00727DFA" w:rsidRDefault="007B485D" w:rsidP="002D6DD7">
            <w:pPr>
              <w:jc w:val="both"/>
              <w:rPr>
                <w:rFonts w:eastAsia="DengXian"/>
                <w:szCs w:val="24"/>
              </w:rPr>
            </w:pPr>
            <w:r w:rsidRPr="00727DFA">
              <w:rPr>
                <w:rFonts w:eastAsia="DengXian"/>
                <w:szCs w:val="24"/>
              </w:rPr>
              <w:t>Injection: 300mg/ml in 2ml ampoule</w:t>
            </w:r>
          </w:p>
          <w:p w14:paraId="6565B2EF" w14:textId="77777777" w:rsidR="007B485D" w:rsidRPr="00727DFA" w:rsidRDefault="007B485D" w:rsidP="002D6DD7">
            <w:pPr>
              <w:jc w:val="both"/>
              <w:rPr>
                <w:rFonts w:eastAsia="DengXian"/>
                <w:szCs w:val="24"/>
              </w:rPr>
            </w:pPr>
            <w:r w:rsidRPr="00727DFA">
              <w:rPr>
                <w:rFonts w:eastAsia="DengXian"/>
                <w:szCs w:val="24"/>
              </w:rPr>
              <w:t>Tablet (Dihydrochloride or sulphate): 300mg</w:t>
            </w:r>
          </w:p>
        </w:tc>
      </w:tr>
      <w:tr w:rsidR="007B485D" w:rsidRPr="00727DFA" w14:paraId="7D64AAD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A6002C" w14:textId="77777777" w:rsidR="007B485D" w:rsidRPr="00727DFA" w:rsidRDefault="007B485D" w:rsidP="002D6DD7">
            <w:pPr>
              <w:jc w:val="both"/>
              <w:rPr>
                <w:rFonts w:eastAsia="DengXian"/>
                <w:bCs/>
                <w:szCs w:val="24"/>
              </w:rPr>
            </w:pPr>
            <w:r w:rsidRPr="00873AF2">
              <w:rPr>
                <w:rFonts w:eastAsia="DengXian"/>
                <w:bCs/>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3C615773" w14:textId="77777777" w:rsidR="007B485D" w:rsidRPr="00727DFA" w:rsidRDefault="007B485D" w:rsidP="002D6DD7">
            <w:pPr>
              <w:jc w:val="both"/>
              <w:rPr>
                <w:rFonts w:eastAsia="DengXian"/>
                <w:szCs w:val="24"/>
              </w:rPr>
            </w:pPr>
            <w:r w:rsidRPr="00727DFA">
              <w:rPr>
                <w:rFonts w:eastAsia="DengXian"/>
                <w:szCs w:val="24"/>
              </w:rPr>
              <w:t>An alternate drug for the treatment of severe and complicated malaria and treatment of uncomplicated p. falciparum malaria for pregnant women during the first trimester and for children of less than 5 kg.</w:t>
            </w:r>
          </w:p>
        </w:tc>
      </w:tr>
      <w:tr w:rsidR="007B485D" w:rsidRPr="00727DFA" w14:paraId="44B718F3" w14:textId="77777777" w:rsidTr="002D6DD7">
        <w:tc>
          <w:tcPr>
            <w:tcW w:w="2605" w:type="dxa"/>
            <w:tcBorders>
              <w:top w:val="single" w:sz="4" w:space="0" w:color="auto"/>
              <w:left w:val="single" w:sz="4" w:space="0" w:color="auto"/>
              <w:bottom w:val="single" w:sz="4" w:space="0" w:color="auto"/>
              <w:right w:val="single" w:sz="4" w:space="0" w:color="auto"/>
            </w:tcBorders>
          </w:tcPr>
          <w:p w14:paraId="19FB1908" w14:textId="77777777" w:rsidR="007B485D" w:rsidRPr="00727DFA" w:rsidRDefault="007B485D" w:rsidP="002D6DD7">
            <w:pPr>
              <w:jc w:val="both"/>
              <w:rPr>
                <w:rFonts w:eastAsia="DengXian"/>
                <w:bCs/>
                <w:szCs w:val="24"/>
              </w:rPr>
            </w:pPr>
            <w:r w:rsidRPr="00727DFA">
              <w:rPr>
                <w:rFonts w:eastAsia="DengXian"/>
                <w:bCs/>
                <w:szCs w:val="24"/>
              </w:rPr>
              <w:t>Dose and administration</w:t>
            </w:r>
          </w:p>
          <w:p w14:paraId="50FC056C" w14:textId="77777777" w:rsidR="007B485D" w:rsidRPr="00727DFA" w:rsidRDefault="007B485D" w:rsidP="002D6DD7">
            <w:pPr>
              <w:jc w:val="both"/>
              <w:rPr>
                <w:rFonts w:eastAsia="DengXian"/>
                <w:bCs/>
                <w:szCs w:val="24"/>
              </w:rPr>
            </w:pPr>
          </w:p>
        </w:tc>
        <w:tc>
          <w:tcPr>
            <w:tcW w:w="6745" w:type="dxa"/>
            <w:tcBorders>
              <w:top w:val="single" w:sz="4" w:space="0" w:color="auto"/>
              <w:left w:val="single" w:sz="4" w:space="0" w:color="auto"/>
              <w:bottom w:val="single" w:sz="4" w:space="0" w:color="auto"/>
              <w:right w:val="single" w:sz="4" w:space="0" w:color="auto"/>
            </w:tcBorders>
            <w:hideMark/>
          </w:tcPr>
          <w:p w14:paraId="6F68DEF1" w14:textId="77777777" w:rsidR="007B485D" w:rsidRPr="00727DFA" w:rsidRDefault="007B485D" w:rsidP="002D6DD7">
            <w:pPr>
              <w:jc w:val="both"/>
              <w:rPr>
                <w:rFonts w:eastAsia="DengXian"/>
                <w:b/>
                <w:bCs/>
                <w:szCs w:val="24"/>
              </w:rPr>
            </w:pPr>
            <w:r w:rsidRPr="00727DFA">
              <w:rPr>
                <w:rFonts w:eastAsia="DengXian"/>
                <w:b/>
                <w:bCs/>
                <w:i/>
                <w:iCs/>
                <w:szCs w:val="24"/>
              </w:rPr>
              <w:t xml:space="preserve">Falciparum </w:t>
            </w:r>
            <w:r w:rsidRPr="00727DFA">
              <w:rPr>
                <w:rFonts w:eastAsia="DengXian"/>
                <w:b/>
                <w:bCs/>
                <w:szCs w:val="24"/>
              </w:rPr>
              <w:t xml:space="preserve">malaria; </w:t>
            </w:r>
            <w:r w:rsidRPr="00727DFA">
              <w:rPr>
                <w:rFonts w:eastAsia="DengXian"/>
                <w:b/>
                <w:szCs w:val="24"/>
              </w:rPr>
              <w:t xml:space="preserve">Oral: </w:t>
            </w:r>
          </w:p>
          <w:p w14:paraId="253DB42C"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10mg quinine sulphate salt/Kg 3 times daily for seven days (the max adult dose is 600 mg TID)</w:t>
            </w:r>
          </w:p>
          <w:p w14:paraId="4B35AFC2"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10 mg/kg (quinine sulfate) every 8 hours </w:t>
            </w:r>
          </w:p>
          <w:p w14:paraId="65A49305" w14:textId="77777777" w:rsidR="007B485D" w:rsidRPr="00727DFA" w:rsidRDefault="007B485D" w:rsidP="002D6DD7">
            <w:pPr>
              <w:jc w:val="both"/>
              <w:rPr>
                <w:rFonts w:eastAsia="DengXian"/>
                <w:b/>
                <w:bCs/>
                <w:szCs w:val="24"/>
              </w:rPr>
            </w:pPr>
            <w:r w:rsidRPr="00727DFA">
              <w:rPr>
                <w:rFonts w:eastAsia="DengXian"/>
                <w:b/>
                <w:bCs/>
                <w:szCs w:val="24"/>
              </w:rPr>
              <w:t xml:space="preserve">Treatment of severe and complicated Plasmodium falciparum malaria: </w:t>
            </w:r>
          </w:p>
          <w:p w14:paraId="75A91615" w14:textId="77777777" w:rsidR="007B485D" w:rsidRPr="00727DFA" w:rsidRDefault="007B485D" w:rsidP="002D6DD7">
            <w:pPr>
              <w:jc w:val="both"/>
              <w:rPr>
                <w:rFonts w:eastAsia="DengXian"/>
                <w:b/>
                <w:szCs w:val="24"/>
              </w:rPr>
            </w:pPr>
            <w:r w:rsidRPr="00727DFA">
              <w:rPr>
                <w:rFonts w:eastAsia="DengXian"/>
                <w:b/>
                <w:szCs w:val="24"/>
              </w:rPr>
              <w:t>Slow IV infusion (over 4 hours):</w:t>
            </w:r>
          </w:p>
          <w:p w14:paraId="72C119B7" w14:textId="77777777" w:rsidR="007B485D" w:rsidRPr="00727DFA" w:rsidRDefault="007B485D" w:rsidP="002D6DD7">
            <w:pPr>
              <w:jc w:val="both"/>
              <w:rPr>
                <w:rFonts w:eastAsia="DengXian"/>
                <w:szCs w:val="24"/>
              </w:rPr>
            </w:pPr>
            <w:r w:rsidRPr="00727DFA">
              <w:rPr>
                <w:rFonts w:eastAsia="DengXian"/>
                <w:b/>
                <w:szCs w:val="24"/>
              </w:rPr>
              <w:t>Adult</w:t>
            </w:r>
            <w:r w:rsidRPr="00727DFA">
              <w:rPr>
                <w:rFonts w:eastAsia="DengXian"/>
                <w:szCs w:val="24"/>
              </w:rPr>
              <w:t>: 20 mg/kg (quinine dihydrochloride) loading dose followed by 10 mg/kg (quinine dihydrochloride) every 8 hours.</w:t>
            </w:r>
          </w:p>
          <w:p w14:paraId="75046582" w14:textId="77777777" w:rsidR="007B485D" w:rsidRPr="00727DFA"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20 mg/kg (quinine dihydrochloride) followed by 10 mg/kg (quinine dihydrochloride) every 12 hours. </w:t>
            </w:r>
          </w:p>
        </w:tc>
      </w:tr>
      <w:tr w:rsidR="007B485D" w:rsidRPr="00727DFA" w14:paraId="23E5FE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44EB55" w14:textId="77777777" w:rsidR="007B485D" w:rsidRPr="00727DFA" w:rsidRDefault="007B485D" w:rsidP="002D6DD7">
            <w:pPr>
              <w:jc w:val="both"/>
              <w:rPr>
                <w:rFonts w:eastAsia="DengXian"/>
                <w:bCs/>
                <w:szCs w:val="24"/>
              </w:rPr>
            </w:pPr>
            <w:r w:rsidRPr="00727DFA">
              <w:rPr>
                <w:rFonts w:eastAsia="DengXian"/>
                <w:bCs/>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204F98A" w14:textId="77777777" w:rsidR="007B485D" w:rsidRPr="00727DFA" w:rsidRDefault="007B485D" w:rsidP="002D6DD7">
            <w:pPr>
              <w:jc w:val="both"/>
              <w:rPr>
                <w:rFonts w:eastAsia="DengXian"/>
                <w:szCs w:val="24"/>
              </w:rPr>
            </w:pPr>
            <w:r w:rsidRPr="00727DFA">
              <w:rPr>
                <w:rFonts w:eastAsia="DengXian"/>
                <w:szCs w:val="24"/>
              </w:rPr>
              <w:t xml:space="preserve">Hypersensitivity to quinine or quinidine, glucose-6-phosphate dehydrogenase deficiency (G-6-PD), myasthenia gravis, optic neuritis, </w:t>
            </w:r>
            <w:r>
              <w:rPr>
                <w:rFonts w:eastAsia="DengXian"/>
                <w:szCs w:val="24"/>
              </w:rPr>
              <w:t>h</w:t>
            </w:r>
            <w:r w:rsidRPr="00727DFA">
              <w:rPr>
                <w:rFonts w:eastAsia="DengXian"/>
                <w:szCs w:val="24"/>
              </w:rPr>
              <w:t>aemoglobinuria, tinnitus</w:t>
            </w:r>
            <w:r>
              <w:rPr>
                <w:rFonts w:eastAsia="DengXian"/>
                <w:szCs w:val="24"/>
              </w:rPr>
              <w:t>.</w:t>
            </w:r>
          </w:p>
        </w:tc>
      </w:tr>
      <w:tr w:rsidR="007B485D" w:rsidRPr="00727DFA" w14:paraId="3A48D9B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716AC4" w14:textId="77777777" w:rsidR="007B485D" w:rsidRPr="00727DFA" w:rsidRDefault="007B485D" w:rsidP="002D6DD7">
            <w:pPr>
              <w:jc w:val="both"/>
              <w:rPr>
                <w:rFonts w:eastAsia="DengXian"/>
                <w:bCs/>
                <w:szCs w:val="24"/>
              </w:rPr>
            </w:pPr>
            <w:r w:rsidRPr="00727DFA">
              <w:rPr>
                <w:rFonts w:eastAsia="DengXian"/>
                <w:bCs/>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1F19C28A" w14:textId="77777777" w:rsidR="007B485D" w:rsidRPr="00727DFA" w:rsidRDefault="007B485D" w:rsidP="002D6DD7">
            <w:pPr>
              <w:jc w:val="both"/>
              <w:rPr>
                <w:rFonts w:eastAsia="DengXian"/>
                <w:szCs w:val="24"/>
              </w:rPr>
            </w:pPr>
            <w:r w:rsidRPr="00727DFA">
              <w:rPr>
                <w:rFonts w:eastAsia="DengXian"/>
                <w:szCs w:val="24"/>
              </w:rPr>
              <w:t>Mefloquine, quinidine, cimetidine, halofantrine, digoxin, antacids, other hemolytic</w:t>
            </w:r>
            <w:r>
              <w:rPr>
                <w:rFonts w:eastAsia="DengXian"/>
                <w:szCs w:val="24"/>
              </w:rPr>
              <w:t xml:space="preserve"> drugs such as dapsone</w:t>
            </w:r>
            <w:r w:rsidRPr="00727DFA">
              <w:rPr>
                <w:rFonts w:eastAsia="DengXian"/>
                <w:szCs w:val="24"/>
              </w:rPr>
              <w:t xml:space="preserve">, amiodarone, fexinidazole, </w:t>
            </w:r>
            <w:r w:rsidRPr="00727DFA">
              <w:rPr>
                <w:rFonts w:eastAsia="DengXian"/>
                <w:szCs w:val="24"/>
              </w:rPr>
              <w:lastRenderedPageBreak/>
              <w:t>erythromycin</w:t>
            </w:r>
            <w:r>
              <w:rPr>
                <w:rFonts w:eastAsia="DengXian"/>
                <w:szCs w:val="24"/>
              </w:rPr>
              <w:t>, thioridazine, artemether, lopinvir, mifeprestone</w:t>
            </w:r>
          </w:p>
        </w:tc>
      </w:tr>
      <w:tr w:rsidR="007B485D" w:rsidRPr="00727DFA" w14:paraId="644B909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7D5E494" w14:textId="77777777" w:rsidR="007B485D" w:rsidRPr="00727DFA" w:rsidRDefault="007B485D" w:rsidP="002D6DD7">
            <w:pPr>
              <w:jc w:val="both"/>
              <w:rPr>
                <w:rFonts w:eastAsia="DengXian"/>
                <w:bCs/>
                <w:szCs w:val="24"/>
              </w:rPr>
            </w:pPr>
            <w:r w:rsidRPr="00727DFA">
              <w:rPr>
                <w:rFonts w:eastAsia="DengXian"/>
                <w:bCs/>
                <w:szCs w:val="24"/>
              </w:rPr>
              <w:lastRenderedPageBreak/>
              <w:t>Side effects</w:t>
            </w:r>
          </w:p>
        </w:tc>
        <w:tc>
          <w:tcPr>
            <w:tcW w:w="6745" w:type="dxa"/>
            <w:tcBorders>
              <w:top w:val="single" w:sz="4" w:space="0" w:color="auto"/>
              <w:left w:val="single" w:sz="4" w:space="0" w:color="auto"/>
              <w:bottom w:val="single" w:sz="4" w:space="0" w:color="auto"/>
              <w:right w:val="single" w:sz="4" w:space="0" w:color="auto"/>
            </w:tcBorders>
            <w:hideMark/>
          </w:tcPr>
          <w:p w14:paraId="03AECF18" w14:textId="77777777" w:rsidR="007B485D" w:rsidRPr="00727DFA" w:rsidRDefault="007B485D" w:rsidP="002D6DD7">
            <w:pPr>
              <w:jc w:val="both"/>
              <w:rPr>
                <w:rFonts w:eastAsia="DengXian"/>
                <w:szCs w:val="24"/>
              </w:rPr>
            </w:pPr>
            <w:r w:rsidRPr="00727DFA">
              <w:rPr>
                <w:rFonts w:eastAsia="DengXian"/>
                <w:szCs w:val="24"/>
              </w:rPr>
              <w:t>Cinchonism, GIT disturbances (abdominal or stomach cramps or pain, nausea, vomiting, diarrhea), confusion, hypersensitivity reaction (fever, angioedema, blood disorder including thrombocytopenia and intravascular coagulation), acute renal failure, hypoglycemia</w:t>
            </w:r>
          </w:p>
        </w:tc>
      </w:tr>
      <w:tr w:rsidR="007B485D" w:rsidRPr="00727DFA" w14:paraId="7264769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F654D5" w14:textId="77777777" w:rsidR="007B485D" w:rsidRPr="00727DFA" w:rsidRDefault="007B485D" w:rsidP="002D6DD7">
            <w:pPr>
              <w:jc w:val="both"/>
              <w:rPr>
                <w:rFonts w:eastAsia="DengXian"/>
                <w:bCs/>
                <w:szCs w:val="24"/>
              </w:rPr>
            </w:pPr>
            <w:r w:rsidRPr="00727DFA">
              <w:rPr>
                <w:rFonts w:eastAsia="DengXian"/>
                <w:bCs/>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2214BC5" w14:textId="77777777" w:rsidR="007B485D" w:rsidRPr="00727DFA" w:rsidRDefault="007B485D" w:rsidP="002D6DD7">
            <w:pPr>
              <w:jc w:val="both"/>
              <w:rPr>
                <w:rFonts w:eastAsia="DengXian"/>
                <w:szCs w:val="24"/>
              </w:rPr>
            </w:pPr>
            <w:r w:rsidRPr="00727DFA">
              <w:rPr>
                <w:rFonts w:eastAsia="DengXian"/>
                <w:szCs w:val="24"/>
              </w:rPr>
              <w:t>Atrial fibrillation, conduction defects, heart block, hepatic impairment, renal impairment</w:t>
            </w:r>
            <w:r>
              <w:rPr>
                <w:rFonts w:eastAsia="DengXian"/>
                <w:szCs w:val="24"/>
              </w:rPr>
              <w:t>.</w:t>
            </w:r>
          </w:p>
        </w:tc>
      </w:tr>
      <w:tr w:rsidR="007B485D" w:rsidRPr="00727DFA" w14:paraId="465617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277221" w14:textId="77777777" w:rsidR="007B485D" w:rsidRPr="00727DFA" w:rsidRDefault="007B485D" w:rsidP="002D6DD7">
            <w:pPr>
              <w:jc w:val="both"/>
              <w:rPr>
                <w:rFonts w:eastAsia="DengXian"/>
                <w:bCs/>
                <w:szCs w:val="24"/>
              </w:rPr>
            </w:pPr>
            <w:r w:rsidRPr="00727DFA">
              <w:rPr>
                <w:rFonts w:eastAsia="DengXian"/>
                <w:bCs/>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6B5210A9"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bl>
    <w:p w14:paraId="6FDD2AB5" w14:textId="77777777" w:rsidR="007B485D" w:rsidRDefault="007B485D" w:rsidP="007B485D">
      <w:pPr>
        <w:rPr>
          <w:rFonts w:eastAsia="DengXian Light" w:cs="Times New Roman"/>
          <w:kern w:val="0"/>
          <w:szCs w:val="24"/>
        </w:rPr>
      </w:pPr>
    </w:p>
    <w:p w14:paraId="12BC43EA" w14:textId="77777777" w:rsidR="007B485D" w:rsidRDefault="007B485D" w:rsidP="007B485D">
      <w:pPr>
        <w:rPr>
          <w:rFonts w:eastAsia="DengXian Light" w:cs="Times New Roman"/>
          <w:kern w:val="0"/>
          <w:szCs w:val="24"/>
        </w:rPr>
      </w:pPr>
    </w:p>
    <w:p w14:paraId="5B8619AF" w14:textId="77777777" w:rsidR="007B485D" w:rsidRPr="00727DFA" w:rsidRDefault="007B485D" w:rsidP="007B485D">
      <w:pPr>
        <w:rPr>
          <w:rFonts w:eastAsia="DengXian Light" w:cs="Times New Roman"/>
          <w:kern w:val="0"/>
          <w:szCs w:val="24"/>
        </w:rPr>
      </w:pPr>
    </w:p>
    <w:p w14:paraId="429438D3" w14:textId="77777777" w:rsidR="007B485D" w:rsidRPr="003114B5" w:rsidRDefault="007B485D" w:rsidP="003114B5">
      <w:pPr>
        <w:spacing w:before="240"/>
        <w:rPr>
          <w:rFonts w:eastAsia="DengXian Light"/>
          <w:b/>
        </w:rPr>
      </w:pPr>
      <w:r w:rsidRPr="003114B5">
        <w:rPr>
          <w:rFonts w:eastAsia="DengXian Light"/>
          <w:b/>
        </w:rPr>
        <w:t xml:space="preserve">Medicines </w:t>
      </w:r>
      <w:r w:rsidR="005F60F6" w:rsidRPr="003114B5">
        <w:rPr>
          <w:rFonts w:eastAsia="DengXian Light"/>
          <w:b/>
        </w:rPr>
        <w:t>u</w:t>
      </w:r>
      <w:r w:rsidRPr="003114B5">
        <w:rPr>
          <w:rFonts w:eastAsia="DengXian Light"/>
          <w:b/>
        </w:rPr>
        <w:t>sed for</w:t>
      </w:r>
      <w:r w:rsidRPr="003114B5">
        <w:rPr>
          <w:rFonts w:eastAsia="DengXian Light"/>
          <w:b/>
          <w:spacing w:val="-4"/>
        </w:rPr>
        <w:t xml:space="preserve"> </w:t>
      </w:r>
      <w:r w:rsidR="005F60F6" w:rsidRPr="003114B5">
        <w:rPr>
          <w:rFonts w:eastAsia="DengXian Light"/>
          <w:b/>
        </w:rPr>
        <w:t>a</w:t>
      </w:r>
      <w:r w:rsidRPr="003114B5">
        <w:rPr>
          <w:rFonts w:eastAsia="DengXian Light"/>
          <w:b/>
        </w:rPr>
        <w:t>moebiasis</w:t>
      </w:r>
    </w:p>
    <w:p w14:paraId="4B54BFDB" w14:textId="77777777" w:rsidR="007B485D" w:rsidRPr="00727DFA" w:rsidRDefault="007B485D" w:rsidP="007B485D">
      <w:pPr>
        <w:widowControl w:val="0"/>
        <w:autoSpaceDE w:val="0"/>
        <w:autoSpaceDN w:val="0"/>
        <w:spacing w:after="0"/>
        <w:jc w:val="both"/>
        <w:rPr>
          <w:rFonts w:eastAsia="Times New Roman" w:cs="Times New Roman"/>
          <w:kern w:val="0"/>
          <w:szCs w:val="24"/>
        </w:rPr>
      </w:pPr>
      <w:r w:rsidRPr="00727DFA">
        <w:rPr>
          <w:rFonts w:eastAsia="Times New Roman" w:cs="Times New Roman"/>
          <w:kern w:val="0"/>
          <w:szCs w:val="24"/>
        </w:rPr>
        <w:t xml:space="preserve">Treatment of amoebiasis involves a strategic combination of medications that target different forms and locations of the </w:t>
      </w:r>
      <w:r w:rsidRPr="00727DFA">
        <w:rPr>
          <w:rFonts w:eastAsia="Times New Roman" w:cs="Times New Roman"/>
          <w:i/>
          <w:iCs/>
          <w:kern w:val="0"/>
          <w:szCs w:val="24"/>
        </w:rPr>
        <w:t>Entamoeba histolytica</w:t>
      </w:r>
      <w:r w:rsidRPr="00727DFA">
        <w:rPr>
          <w:rFonts w:eastAsia="Times New Roman" w:cs="Times New Roman"/>
          <w:kern w:val="0"/>
          <w:szCs w:val="24"/>
        </w:rPr>
        <w:t xml:space="preserve"> parasite. This comprehensive approach is essential to ensure the complete eradication of the parasite from the body, addressing both the active infections and the dormant cyst forms. Effective management typically requires the use of both tissue and luminal amebicides to target the parasite in various stages and locations within the host.</w:t>
      </w:r>
    </w:p>
    <w:p w14:paraId="0D512029" w14:textId="77777777" w:rsidR="007B485D" w:rsidRPr="00727DFA" w:rsidRDefault="007B485D" w:rsidP="007B485D">
      <w:pPr>
        <w:widowControl w:val="0"/>
        <w:autoSpaceDE w:val="0"/>
        <w:autoSpaceDN w:val="0"/>
        <w:spacing w:before="240" w:after="0"/>
        <w:jc w:val="both"/>
        <w:rPr>
          <w:rFonts w:eastAsia="Times New Roman" w:cs="Times New Roman"/>
          <w:kern w:val="0"/>
          <w:szCs w:val="24"/>
        </w:rPr>
      </w:pPr>
      <w:r w:rsidRPr="00727DFA">
        <w:rPr>
          <w:rFonts w:eastAsia="Times New Roman" w:cs="Times New Roman"/>
          <w:kern w:val="0"/>
          <w:szCs w:val="24"/>
        </w:rPr>
        <w:t>Tissue amoebicides are crucial for eliminating the invasive forms of the parasite that have spread beyond the intestines, such as in cases of hepatic amoebiasis. Examples of tissue amoebicides include metronidazole and tinidazole. These medications penetrate tissues where the parasite has invaded, helping to clear the infection from organs and preventing systemic complications.</w:t>
      </w:r>
    </w:p>
    <w:p w14:paraId="7C4B7213" w14:textId="77777777" w:rsidR="007B485D" w:rsidRPr="00727DFA" w:rsidRDefault="007B485D" w:rsidP="007B485D">
      <w:pPr>
        <w:widowControl w:val="0"/>
        <w:autoSpaceDE w:val="0"/>
        <w:autoSpaceDN w:val="0"/>
        <w:spacing w:before="240" w:after="0"/>
        <w:jc w:val="both"/>
        <w:rPr>
          <w:rFonts w:eastAsia="Times New Roman" w:cs="Times New Roman"/>
          <w:kern w:val="0"/>
          <w:szCs w:val="24"/>
        </w:rPr>
      </w:pPr>
      <w:r w:rsidRPr="00727DFA">
        <w:rPr>
          <w:rFonts w:eastAsia="Times New Roman" w:cs="Times New Roman"/>
          <w:kern w:val="0"/>
          <w:szCs w:val="24"/>
        </w:rPr>
        <w:t xml:space="preserve">Luminal amoebicides, on the other hand, are designed to target the parasites residing in the intestinal lumen. These drugs are essential for treating amoebic dysentery, where the parasites are localized in the gut. Examples of luminal amoebicides include diloxanide furoate and paromomycin. Paromomycin, an aminoglycoside antibiotic, is particularly effective in clearing the intestinal lumen of parasites and is often used when there is a need to ensure thorough </w:t>
      </w:r>
      <w:r w:rsidRPr="00727DFA">
        <w:rPr>
          <w:rFonts w:eastAsia="Times New Roman" w:cs="Times New Roman"/>
          <w:kern w:val="0"/>
          <w:szCs w:val="24"/>
        </w:rPr>
        <w:lastRenderedPageBreak/>
        <w:t>eradication of luminal cysts.</w:t>
      </w:r>
    </w:p>
    <w:p w14:paraId="7564310B" w14:textId="77777777" w:rsidR="007B485D" w:rsidRPr="00727DFA" w:rsidRDefault="007B485D" w:rsidP="007B485D">
      <w:pPr>
        <w:widowControl w:val="0"/>
        <w:autoSpaceDE w:val="0"/>
        <w:autoSpaceDN w:val="0"/>
        <w:spacing w:before="240" w:after="0"/>
        <w:jc w:val="both"/>
        <w:rPr>
          <w:rFonts w:eastAsia="Times New Roman" w:cs="Times New Roman"/>
          <w:kern w:val="0"/>
          <w:szCs w:val="24"/>
        </w:rPr>
      </w:pPr>
      <w:r w:rsidRPr="00727DFA">
        <w:rPr>
          <w:rFonts w:eastAsia="Times New Roman" w:cs="Times New Roman"/>
          <w:kern w:val="0"/>
          <w:szCs w:val="24"/>
        </w:rPr>
        <w:t>By combining tissue and luminal amoebicides, treatment regimens can effectively address the full spectrum of amoebiasis manifestations. The selection of appropriate medications and their combinations depends on the severity and location of the infection, the patient’s overall health, and any potential contraindications. This targeted approach not only enhances treatment efficacy but also minimizes the risk of recurrence, ensuring a higher likelihood of complete recovery and preventing further transmission of the disease.</w:t>
      </w:r>
    </w:p>
    <w:p w14:paraId="1FBA73CD" w14:textId="77777777" w:rsidR="007B485D" w:rsidRPr="00727DFA" w:rsidRDefault="007B485D" w:rsidP="007B485D">
      <w:pPr>
        <w:widowControl w:val="0"/>
        <w:autoSpaceDE w:val="0"/>
        <w:autoSpaceDN w:val="0"/>
        <w:spacing w:after="0"/>
        <w:jc w:val="both"/>
        <w:rPr>
          <w:rFonts w:eastAsia="Times New Roman" w:cs="Times New Roman"/>
          <w:kern w:val="0"/>
          <w:szCs w:val="24"/>
        </w:rPr>
      </w:pPr>
    </w:p>
    <w:tbl>
      <w:tblPr>
        <w:tblStyle w:val="TableGrid1"/>
        <w:tblW w:w="9355" w:type="dxa"/>
        <w:tblLook w:val="04A0" w:firstRow="1" w:lastRow="0" w:firstColumn="1" w:lastColumn="0" w:noHBand="0" w:noVBand="1"/>
      </w:tblPr>
      <w:tblGrid>
        <w:gridCol w:w="2605"/>
        <w:gridCol w:w="6750"/>
      </w:tblGrid>
      <w:tr w:rsidR="007B485D" w:rsidRPr="00727DFA" w14:paraId="4A88D5EA" w14:textId="77777777" w:rsidTr="002D6DD7">
        <w:trPr>
          <w:trHeight w:val="42"/>
        </w:trPr>
        <w:tc>
          <w:tcPr>
            <w:tcW w:w="9355" w:type="dxa"/>
            <w:gridSpan w:val="2"/>
            <w:tcBorders>
              <w:top w:val="single" w:sz="4" w:space="0" w:color="auto"/>
              <w:left w:val="single" w:sz="4" w:space="0" w:color="auto"/>
              <w:bottom w:val="single" w:sz="4" w:space="0" w:color="auto"/>
              <w:right w:val="single" w:sz="4" w:space="0" w:color="auto"/>
            </w:tcBorders>
            <w:hideMark/>
          </w:tcPr>
          <w:p w14:paraId="4EF93C3D" w14:textId="77777777" w:rsidR="007B485D" w:rsidRPr="00727DFA" w:rsidRDefault="007B485D" w:rsidP="002D6DD7">
            <w:pPr>
              <w:jc w:val="both"/>
              <w:rPr>
                <w:rFonts w:eastAsia="DengXian"/>
                <w:b/>
                <w:szCs w:val="24"/>
              </w:rPr>
            </w:pPr>
            <w:r w:rsidRPr="00727DFA">
              <w:rPr>
                <w:rFonts w:eastAsia="DengXian"/>
                <w:b/>
                <w:szCs w:val="24"/>
              </w:rPr>
              <w:t>Diloxanide furoate</w:t>
            </w:r>
          </w:p>
        </w:tc>
      </w:tr>
      <w:tr w:rsidR="007B485D" w:rsidRPr="00727DFA" w14:paraId="330EFDD7"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7E833F1B"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750" w:type="dxa"/>
            <w:tcBorders>
              <w:top w:val="single" w:sz="4" w:space="0" w:color="auto"/>
              <w:left w:val="single" w:sz="4" w:space="0" w:color="auto"/>
              <w:bottom w:val="single" w:sz="4" w:space="0" w:color="auto"/>
              <w:right w:val="single" w:sz="4" w:space="0" w:color="auto"/>
            </w:tcBorders>
            <w:hideMark/>
          </w:tcPr>
          <w:p w14:paraId="0C18EB7E" w14:textId="77777777" w:rsidR="007B485D" w:rsidRPr="00727DFA" w:rsidRDefault="007B485D" w:rsidP="002D6DD7">
            <w:pPr>
              <w:ind w:left="52" w:right="71"/>
              <w:jc w:val="both"/>
              <w:rPr>
                <w:rFonts w:eastAsia="DengXian"/>
                <w:szCs w:val="24"/>
              </w:rPr>
            </w:pPr>
            <w:r w:rsidRPr="00727DFA">
              <w:rPr>
                <w:rFonts w:eastAsia="DengXian"/>
                <w:szCs w:val="24"/>
              </w:rPr>
              <w:t>Dichloroacetamide derivative, luminal amebicide</w:t>
            </w:r>
          </w:p>
        </w:tc>
      </w:tr>
      <w:tr w:rsidR="007B485D" w:rsidRPr="00727DFA" w14:paraId="7B321ACD"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612CFC5E"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15DA8522" w14:textId="77777777" w:rsidR="007B485D" w:rsidRPr="00727DFA" w:rsidRDefault="007B485D" w:rsidP="002D6DD7">
            <w:pPr>
              <w:ind w:left="52" w:right="71"/>
              <w:jc w:val="both"/>
              <w:rPr>
                <w:rFonts w:eastAsia="DengXian"/>
                <w:szCs w:val="24"/>
              </w:rPr>
            </w:pPr>
            <w:r w:rsidRPr="00727DFA">
              <w:rPr>
                <w:rFonts w:eastAsia="DengXian"/>
                <w:szCs w:val="24"/>
              </w:rPr>
              <w:t>Tablet: 500mg</w:t>
            </w:r>
          </w:p>
        </w:tc>
      </w:tr>
      <w:tr w:rsidR="007B485D" w:rsidRPr="00727DFA" w14:paraId="3E5FD623" w14:textId="77777777" w:rsidTr="002D6DD7">
        <w:trPr>
          <w:trHeight w:val="413"/>
        </w:trPr>
        <w:tc>
          <w:tcPr>
            <w:tcW w:w="2605" w:type="dxa"/>
            <w:tcBorders>
              <w:top w:val="single" w:sz="4" w:space="0" w:color="auto"/>
              <w:left w:val="single" w:sz="4" w:space="0" w:color="auto"/>
              <w:bottom w:val="single" w:sz="4" w:space="0" w:color="auto"/>
              <w:right w:val="single" w:sz="4" w:space="0" w:color="auto"/>
            </w:tcBorders>
            <w:hideMark/>
          </w:tcPr>
          <w:p w14:paraId="4C3B262E"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1434885B" w14:textId="77777777" w:rsidR="007B485D" w:rsidRPr="00727DFA" w:rsidRDefault="007B485D" w:rsidP="002D6DD7">
            <w:pPr>
              <w:ind w:left="52" w:right="71"/>
              <w:jc w:val="both"/>
              <w:rPr>
                <w:rFonts w:eastAsia="DengXian"/>
                <w:szCs w:val="24"/>
              </w:rPr>
            </w:pPr>
            <w:r w:rsidRPr="00727DFA">
              <w:rPr>
                <w:rFonts w:eastAsia="DengXian"/>
                <w:szCs w:val="24"/>
              </w:rPr>
              <w:t xml:space="preserve">Treatment of asymptomatic cyst carriers of </w:t>
            </w:r>
            <w:r w:rsidRPr="00727DFA">
              <w:rPr>
                <w:rFonts w:eastAsia="DengXian"/>
                <w:i/>
                <w:iCs/>
                <w:szCs w:val="24"/>
              </w:rPr>
              <w:t>E. histolytica, a</w:t>
            </w:r>
            <w:r w:rsidRPr="00727DFA">
              <w:rPr>
                <w:rFonts w:eastAsia="DengXian"/>
                <w:szCs w:val="24"/>
              </w:rPr>
              <w:t>djunct treatment for amoebic dysentery and extra-intestinal amoebiasis</w:t>
            </w:r>
          </w:p>
        </w:tc>
      </w:tr>
      <w:tr w:rsidR="007B485D" w:rsidRPr="00727DFA" w14:paraId="4BDE495D"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7DA6D6B3" w14:textId="77777777" w:rsidR="007B485D" w:rsidRPr="00727DFA" w:rsidRDefault="007B485D" w:rsidP="002D6DD7">
            <w:pPr>
              <w:jc w:val="both"/>
              <w:rPr>
                <w:rFonts w:eastAsia="DengXian"/>
                <w:szCs w:val="24"/>
              </w:rPr>
            </w:pPr>
            <w:r w:rsidRPr="00727DFA">
              <w:rPr>
                <w:rFonts w:eastAsia="Times New Roman"/>
                <w:szCs w:val="24"/>
              </w:rPr>
              <w:t xml:space="preserve">Dose and </w:t>
            </w:r>
            <w:r>
              <w:rPr>
                <w:rFonts w:eastAsia="Times New Roman"/>
                <w:szCs w:val="24"/>
              </w:rPr>
              <w:t>a</w:t>
            </w:r>
            <w:r w:rsidRPr="00727DFA">
              <w:rPr>
                <w:rFonts w:eastAsia="Times New Rom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04879701" w14:textId="77777777" w:rsidR="007B485D" w:rsidRPr="00727DFA" w:rsidRDefault="007B485D" w:rsidP="002D6DD7">
            <w:pPr>
              <w:ind w:left="52" w:right="71"/>
              <w:jc w:val="both"/>
              <w:rPr>
                <w:rFonts w:eastAsia="DengXian"/>
                <w:b/>
                <w:bCs/>
                <w:szCs w:val="24"/>
              </w:rPr>
            </w:pPr>
            <w:r w:rsidRPr="00727DFA">
              <w:rPr>
                <w:rFonts w:eastAsia="DengXian"/>
                <w:b/>
                <w:bCs/>
                <w:szCs w:val="24"/>
              </w:rPr>
              <w:t>Oral:</w:t>
            </w:r>
          </w:p>
          <w:p w14:paraId="60B8AC25" w14:textId="77777777" w:rsidR="007B485D" w:rsidRPr="00727DFA" w:rsidRDefault="007B485D" w:rsidP="002D6DD7">
            <w:pPr>
              <w:ind w:left="52" w:right="71"/>
              <w:jc w:val="both"/>
              <w:rPr>
                <w:rFonts w:eastAsia="DengXian"/>
                <w:szCs w:val="24"/>
              </w:rPr>
            </w:pPr>
            <w:r w:rsidRPr="00727DFA">
              <w:rPr>
                <w:rFonts w:eastAsia="DengXian"/>
                <w:b/>
                <w:bCs/>
                <w:szCs w:val="24"/>
              </w:rPr>
              <w:t>Adult:</w:t>
            </w:r>
            <w:r w:rsidRPr="00727DFA">
              <w:rPr>
                <w:rFonts w:eastAsia="DengXian"/>
                <w:szCs w:val="24"/>
              </w:rPr>
              <w:t xml:space="preserve"> 500 mg orally three times daily for 10 days.</w:t>
            </w:r>
          </w:p>
          <w:p w14:paraId="27B0FCC8" w14:textId="77777777" w:rsidR="007B485D" w:rsidRPr="00727DFA" w:rsidRDefault="007B485D" w:rsidP="002D6DD7">
            <w:pPr>
              <w:ind w:left="52" w:right="71"/>
              <w:jc w:val="both"/>
              <w:rPr>
                <w:rFonts w:eastAsia="DengXian"/>
                <w:szCs w:val="24"/>
              </w:rPr>
            </w:pPr>
            <w:r w:rsidRPr="00727DFA">
              <w:rPr>
                <w:rFonts w:eastAsia="DengXian"/>
                <w:b/>
                <w:bCs/>
                <w:szCs w:val="24"/>
              </w:rPr>
              <w:t>Child over 25kg</w:t>
            </w:r>
            <w:r w:rsidRPr="00727DFA">
              <w:rPr>
                <w:rFonts w:eastAsia="DengXian"/>
                <w:szCs w:val="24"/>
              </w:rPr>
              <w:t>: 20 mg/kg body weight daily in 3 divided doses for 5-10 days.</w:t>
            </w:r>
          </w:p>
        </w:tc>
      </w:tr>
      <w:tr w:rsidR="007B485D" w:rsidRPr="00727DFA" w14:paraId="3FF4F2E7"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29B16448" w14:textId="77777777" w:rsidR="007B485D" w:rsidRPr="00727DFA" w:rsidRDefault="007B485D" w:rsidP="002D6DD7">
            <w:pPr>
              <w:jc w:val="both"/>
              <w:rPr>
                <w:rFonts w:eastAsia="Times New Rom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1560DC6D" w14:textId="77777777" w:rsidR="007B485D" w:rsidRPr="00727DFA" w:rsidRDefault="007B485D" w:rsidP="002D6DD7">
            <w:pPr>
              <w:widowControl w:val="0"/>
              <w:autoSpaceDE w:val="0"/>
              <w:autoSpaceDN w:val="0"/>
              <w:ind w:left="52" w:right="71"/>
              <w:jc w:val="both"/>
              <w:rPr>
                <w:rFonts w:eastAsia="Times New Roman"/>
                <w:szCs w:val="24"/>
              </w:rPr>
            </w:pPr>
            <w:r w:rsidRPr="00727DFA">
              <w:rPr>
                <w:rFonts w:eastAsia="Times New Roman"/>
                <w:szCs w:val="24"/>
              </w:rPr>
              <w:t>Hypersensitivity to diloxanide furoate</w:t>
            </w:r>
            <w:r>
              <w:rPr>
                <w:rFonts w:eastAsia="Times New Roman"/>
                <w:szCs w:val="24"/>
              </w:rPr>
              <w:t>.</w:t>
            </w:r>
          </w:p>
        </w:tc>
      </w:tr>
      <w:tr w:rsidR="007B485D" w:rsidRPr="00727DFA" w14:paraId="7870C716"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33174F53"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204B00F7" w14:textId="77777777" w:rsidR="007B485D" w:rsidRPr="00727DFA" w:rsidRDefault="007B485D" w:rsidP="002D6DD7">
            <w:pPr>
              <w:ind w:left="52" w:right="71"/>
              <w:jc w:val="both"/>
              <w:rPr>
                <w:rFonts w:eastAsia="DengXian"/>
                <w:szCs w:val="24"/>
              </w:rPr>
            </w:pPr>
            <w:r w:rsidRPr="00727DFA">
              <w:rPr>
                <w:rFonts w:eastAsia="DengXian"/>
                <w:szCs w:val="24"/>
              </w:rPr>
              <w:t>No clinically significant drug interactions known in amoebiasis treatment</w:t>
            </w:r>
            <w:r>
              <w:rPr>
                <w:rFonts w:eastAsia="DengXian"/>
                <w:szCs w:val="24"/>
              </w:rPr>
              <w:t>.</w:t>
            </w:r>
          </w:p>
        </w:tc>
      </w:tr>
      <w:tr w:rsidR="007B485D" w:rsidRPr="00727DFA" w14:paraId="7769625C"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1992A283" w14:textId="77777777" w:rsidR="007B485D" w:rsidRPr="00727DFA" w:rsidRDefault="007B485D" w:rsidP="002D6DD7">
            <w:pPr>
              <w:jc w:val="both"/>
              <w:rPr>
                <w:rFonts w:eastAsia="DengXian"/>
                <w:szCs w:val="24"/>
              </w:rPr>
            </w:pPr>
            <w:r w:rsidRPr="00727DFA">
              <w:rPr>
                <w:rFonts w:eastAsia="DengXi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29713776" w14:textId="77777777" w:rsidR="007B485D" w:rsidRPr="00727DFA" w:rsidRDefault="007B485D" w:rsidP="002D6DD7">
            <w:pPr>
              <w:ind w:left="52" w:right="71"/>
              <w:jc w:val="both"/>
              <w:rPr>
                <w:rFonts w:eastAsia="DengXian"/>
                <w:szCs w:val="24"/>
              </w:rPr>
            </w:pPr>
            <w:r w:rsidRPr="00727DFA">
              <w:rPr>
                <w:rFonts w:eastAsia="DengXian"/>
                <w:szCs w:val="24"/>
              </w:rPr>
              <w:t>Flatulence, abdominal cramps. Nausea, vomiting, pruritus, urticaria</w:t>
            </w:r>
            <w:r>
              <w:rPr>
                <w:rFonts w:eastAsia="DengXian"/>
                <w:szCs w:val="24"/>
              </w:rPr>
              <w:t>.</w:t>
            </w:r>
          </w:p>
        </w:tc>
      </w:tr>
      <w:tr w:rsidR="007B485D" w:rsidRPr="00727DFA" w14:paraId="68ACABC6"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20EF61FA"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1A8E85B8" w14:textId="77777777" w:rsidR="007B485D" w:rsidRPr="00727DFA" w:rsidRDefault="007B485D" w:rsidP="002D6DD7">
            <w:pPr>
              <w:ind w:left="52" w:right="71"/>
              <w:jc w:val="both"/>
              <w:rPr>
                <w:rFonts w:eastAsia="DengXian"/>
                <w:szCs w:val="24"/>
              </w:rPr>
            </w:pPr>
            <w:r w:rsidRPr="00727DFA">
              <w:rPr>
                <w:rFonts w:eastAsia="DengXian"/>
                <w:szCs w:val="24"/>
              </w:rPr>
              <w:t>Pregnancy</w:t>
            </w:r>
            <w:r>
              <w:rPr>
                <w:rFonts w:eastAsia="DengXian"/>
                <w:szCs w:val="24"/>
              </w:rPr>
              <w:t xml:space="preserve">, </w:t>
            </w:r>
            <w:r w:rsidRPr="00727DFA">
              <w:rPr>
                <w:rFonts w:eastAsia="DengXian"/>
                <w:szCs w:val="24"/>
              </w:rPr>
              <w:t xml:space="preserve">breastfeeding, gastrointestinal </w:t>
            </w:r>
            <w:r>
              <w:rPr>
                <w:rFonts w:eastAsia="DengXian"/>
                <w:szCs w:val="24"/>
              </w:rPr>
              <w:t>problems.</w:t>
            </w:r>
          </w:p>
        </w:tc>
      </w:tr>
      <w:tr w:rsidR="007B485D" w:rsidRPr="00727DFA" w14:paraId="4CBBC78E"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346B328"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0A53D269" w14:textId="77777777" w:rsidR="007B485D" w:rsidRPr="00727DFA" w:rsidRDefault="007B485D" w:rsidP="002D6DD7">
            <w:pPr>
              <w:ind w:left="52" w:right="71"/>
              <w:jc w:val="both"/>
              <w:rPr>
                <w:rFonts w:eastAsia="DengXian"/>
                <w:szCs w:val="24"/>
                <w:shd w:val="clear" w:color="auto" w:fill="FFFFFF"/>
              </w:rPr>
            </w:pPr>
            <w:r w:rsidRPr="00727DFA">
              <w:rPr>
                <w:rFonts w:eastAsia="DengXian"/>
                <w:szCs w:val="24"/>
                <w:shd w:val="clear" w:color="auto" w:fill="FFFFFF"/>
              </w:rPr>
              <w:t>Store below 30°C</w:t>
            </w:r>
            <w:r>
              <w:rPr>
                <w:rFonts w:eastAsia="DengXian"/>
                <w:szCs w:val="24"/>
                <w:shd w:val="clear" w:color="auto" w:fill="FFFFFF"/>
              </w:rPr>
              <w:t>.</w:t>
            </w:r>
          </w:p>
        </w:tc>
      </w:tr>
      <w:tr w:rsidR="007B485D" w:rsidRPr="00727DFA" w14:paraId="650D9D60" w14:textId="77777777" w:rsidTr="002D6DD7">
        <w:trPr>
          <w:trHeight w:val="42"/>
        </w:trPr>
        <w:tc>
          <w:tcPr>
            <w:tcW w:w="9355" w:type="dxa"/>
            <w:gridSpan w:val="2"/>
            <w:tcBorders>
              <w:top w:val="single" w:sz="4" w:space="0" w:color="auto"/>
              <w:left w:val="single" w:sz="4" w:space="0" w:color="auto"/>
              <w:bottom w:val="single" w:sz="4" w:space="0" w:color="auto"/>
              <w:right w:val="single" w:sz="4" w:space="0" w:color="auto"/>
            </w:tcBorders>
            <w:hideMark/>
          </w:tcPr>
          <w:p w14:paraId="5AE38261" w14:textId="77777777" w:rsidR="007B485D" w:rsidRPr="00727DFA" w:rsidRDefault="007B485D" w:rsidP="002D6DD7">
            <w:pPr>
              <w:jc w:val="both"/>
              <w:rPr>
                <w:rFonts w:eastAsia="DengXian"/>
                <w:b/>
                <w:szCs w:val="24"/>
              </w:rPr>
            </w:pPr>
            <w:r w:rsidRPr="00727DFA">
              <w:rPr>
                <w:rFonts w:eastAsia="DengXian"/>
                <w:b/>
                <w:szCs w:val="24"/>
              </w:rPr>
              <w:t>Metronidazole</w:t>
            </w:r>
          </w:p>
        </w:tc>
      </w:tr>
      <w:tr w:rsidR="007B485D" w:rsidRPr="00727DFA" w14:paraId="66D62DCD"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565B596B"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750" w:type="dxa"/>
            <w:tcBorders>
              <w:top w:val="single" w:sz="4" w:space="0" w:color="auto"/>
              <w:left w:val="single" w:sz="4" w:space="0" w:color="auto"/>
              <w:bottom w:val="single" w:sz="4" w:space="0" w:color="auto"/>
              <w:right w:val="single" w:sz="4" w:space="0" w:color="auto"/>
            </w:tcBorders>
            <w:hideMark/>
          </w:tcPr>
          <w:p w14:paraId="09824D25" w14:textId="77777777" w:rsidR="007B485D" w:rsidRPr="00727DFA" w:rsidRDefault="007B485D" w:rsidP="002D6DD7">
            <w:pPr>
              <w:ind w:left="52" w:right="117"/>
              <w:jc w:val="both"/>
              <w:rPr>
                <w:rFonts w:eastAsia="DengXian"/>
                <w:szCs w:val="24"/>
              </w:rPr>
            </w:pPr>
            <w:r w:rsidRPr="00727DFA">
              <w:rPr>
                <w:rFonts w:eastAsia="DengXian"/>
                <w:szCs w:val="24"/>
              </w:rPr>
              <w:t>Nitroimidazole, antibacterial (antiprotozoal)</w:t>
            </w:r>
          </w:p>
        </w:tc>
      </w:tr>
      <w:tr w:rsidR="007B485D" w:rsidRPr="00727DFA" w14:paraId="618B0531"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1A7F581"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63821C25" w14:textId="77777777" w:rsidR="007B485D" w:rsidRPr="00727DFA" w:rsidRDefault="007B485D" w:rsidP="002D6DD7">
            <w:pPr>
              <w:ind w:left="52" w:right="117"/>
              <w:jc w:val="both"/>
              <w:rPr>
                <w:rFonts w:eastAsia="DengXian"/>
                <w:szCs w:val="24"/>
              </w:rPr>
            </w:pPr>
            <w:r w:rsidRPr="00727DFA">
              <w:rPr>
                <w:rFonts w:eastAsia="DengXian"/>
                <w:szCs w:val="24"/>
              </w:rPr>
              <w:t>Oral suspension: 125mg/5ml, 200mg/5ml (as benzoate)</w:t>
            </w:r>
          </w:p>
          <w:p w14:paraId="117E9FD2" w14:textId="77777777" w:rsidR="007B485D" w:rsidRPr="00727DFA" w:rsidRDefault="007B485D" w:rsidP="002D6DD7">
            <w:pPr>
              <w:ind w:left="52" w:right="117"/>
              <w:jc w:val="both"/>
              <w:rPr>
                <w:rFonts w:eastAsia="DengXian"/>
                <w:szCs w:val="24"/>
              </w:rPr>
            </w:pPr>
            <w:r w:rsidRPr="00727DFA">
              <w:rPr>
                <w:rFonts w:eastAsia="DengXian"/>
                <w:szCs w:val="24"/>
              </w:rPr>
              <w:t>Capsule/Tablet: 250mg, 500mg</w:t>
            </w:r>
          </w:p>
          <w:p w14:paraId="41C5EFBD" w14:textId="77777777" w:rsidR="007B485D" w:rsidRPr="00727DFA" w:rsidRDefault="007B485D" w:rsidP="002D6DD7">
            <w:pPr>
              <w:ind w:left="52" w:right="117"/>
              <w:jc w:val="both"/>
              <w:rPr>
                <w:rFonts w:eastAsia="DengXian"/>
                <w:szCs w:val="24"/>
              </w:rPr>
            </w:pPr>
            <w:r w:rsidRPr="00727DFA">
              <w:rPr>
                <w:rFonts w:eastAsia="DengXian"/>
                <w:szCs w:val="24"/>
              </w:rPr>
              <w:t>Injection: 500mg in 100ml vial</w:t>
            </w:r>
          </w:p>
        </w:tc>
      </w:tr>
      <w:tr w:rsidR="007B485D" w:rsidRPr="00727DFA" w14:paraId="66A80882"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2D531958"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68001810" w14:textId="77777777" w:rsidR="007B485D" w:rsidRPr="00727DFA" w:rsidRDefault="007B485D" w:rsidP="002D6DD7">
            <w:pPr>
              <w:ind w:left="52" w:right="117"/>
              <w:jc w:val="both"/>
              <w:rPr>
                <w:rFonts w:eastAsia="DengXian"/>
                <w:szCs w:val="24"/>
              </w:rPr>
            </w:pPr>
            <w:r w:rsidRPr="00727DFA">
              <w:rPr>
                <w:rFonts w:eastAsia="DengXian"/>
                <w:szCs w:val="24"/>
              </w:rPr>
              <w:t xml:space="preserve">Treatment of amoebic dysentery, extra-intestinal amoebiasis </w:t>
            </w:r>
            <w:r w:rsidRPr="00727DFA">
              <w:rPr>
                <w:rFonts w:eastAsia="DengXian"/>
                <w:szCs w:val="24"/>
              </w:rPr>
              <w:lastRenderedPageBreak/>
              <w:t>including hepatic amoebiasis</w:t>
            </w:r>
            <w:r>
              <w:rPr>
                <w:rFonts w:eastAsia="DengXian"/>
                <w:szCs w:val="24"/>
              </w:rPr>
              <w:t>.</w:t>
            </w:r>
          </w:p>
        </w:tc>
      </w:tr>
      <w:tr w:rsidR="007B485D" w:rsidRPr="00727DFA" w14:paraId="266B02CE"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575B563E" w14:textId="77777777" w:rsidR="007B485D" w:rsidRPr="00727DFA" w:rsidRDefault="007B485D" w:rsidP="002D6DD7">
            <w:pPr>
              <w:jc w:val="both"/>
              <w:rPr>
                <w:rFonts w:eastAsia="DengXian"/>
                <w:szCs w:val="24"/>
              </w:rPr>
            </w:pPr>
            <w:r w:rsidRPr="00727DFA">
              <w:rPr>
                <w:rFonts w:eastAsia="Times New Roman"/>
                <w:szCs w:val="24"/>
              </w:rPr>
              <w:lastRenderedPageBreak/>
              <w:t xml:space="preserve">Dose and </w:t>
            </w:r>
            <w:r>
              <w:rPr>
                <w:rFonts w:eastAsia="Times New Roman"/>
                <w:szCs w:val="24"/>
              </w:rPr>
              <w:t>a</w:t>
            </w:r>
            <w:r w:rsidRPr="00727DFA">
              <w:rPr>
                <w:rFonts w:eastAsia="Times New Rom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66085B64" w14:textId="77777777" w:rsidR="007B485D" w:rsidRPr="00727DFA" w:rsidRDefault="007B485D" w:rsidP="002D6DD7">
            <w:pPr>
              <w:ind w:right="117"/>
              <w:jc w:val="both"/>
              <w:rPr>
                <w:rFonts w:eastAsia="DengXian"/>
                <w:b/>
                <w:bCs/>
                <w:szCs w:val="24"/>
              </w:rPr>
            </w:pPr>
            <w:r w:rsidRPr="00727DFA">
              <w:rPr>
                <w:rFonts w:eastAsia="DengXian"/>
                <w:b/>
                <w:bCs/>
                <w:szCs w:val="24"/>
              </w:rPr>
              <w:t>Invasive amoebiasis; Oral:</w:t>
            </w:r>
          </w:p>
          <w:p w14:paraId="69A7077B" w14:textId="77777777" w:rsidR="007B485D" w:rsidRPr="00727DFA" w:rsidRDefault="007B485D" w:rsidP="002D6DD7">
            <w:pPr>
              <w:ind w:right="117"/>
              <w:jc w:val="both"/>
              <w:rPr>
                <w:rFonts w:eastAsia="DengXian"/>
                <w:szCs w:val="24"/>
              </w:rPr>
            </w:pPr>
            <w:r w:rsidRPr="00727DFA">
              <w:rPr>
                <w:rFonts w:eastAsia="DengXian"/>
                <w:b/>
                <w:bCs/>
                <w:szCs w:val="24"/>
              </w:rPr>
              <w:t>Adult and Child</w:t>
            </w:r>
            <w:r w:rsidRPr="00727DFA">
              <w:rPr>
                <w:rFonts w:eastAsia="DengXian"/>
                <w:szCs w:val="24"/>
              </w:rPr>
              <w:t>: 30mg/kg daily in 3 divided doses for 8-10 days, followed by a course of a luminal amoebicide.</w:t>
            </w:r>
          </w:p>
          <w:p w14:paraId="47D6F910" w14:textId="77777777" w:rsidR="007B485D" w:rsidRPr="00727DFA" w:rsidRDefault="007B485D" w:rsidP="002D6DD7">
            <w:pPr>
              <w:ind w:right="117"/>
              <w:jc w:val="both"/>
              <w:rPr>
                <w:rFonts w:eastAsia="DengXian"/>
                <w:szCs w:val="24"/>
              </w:rPr>
            </w:pPr>
            <w:r w:rsidRPr="00727DFA">
              <w:rPr>
                <w:rFonts w:eastAsia="DengXian"/>
                <w:b/>
                <w:bCs/>
                <w:szCs w:val="24"/>
              </w:rPr>
              <w:t xml:space="preserve">Invasive amoebiasis </w:t>
            </w:r>
            <w:r w:rsidRPr="00727DFA">
              <w:rPr>
                <w:rFonts w:eastAsia="DengXian"/>
                <w:szCs w:val="24"/>
              </w:rPr>
              <w:t>(IV infusion if oral administration not possible):</w:t>
            </w:r>
          </w:p>
          <w:p w14:paraId="1D1DAC90" w14:textId="77777777" w:rsidR="007B485D" w:rsidRPr="00727DFA" w:rsidRDefault="007B485D" w:rsidP="002D6DD7">
            <w:pPr>
              <w:ind w:right="117"/>
              <w:jc w:val="both"/>
              <w:rPr>
                <w:rFonts w:eastAsia="DengXian"/>
                <w:szCs w:val="24"/>
              </w:rPr>
            </w:pPr>
            <w:r w:rsidRPr="00727DFA">
              <w:rPr>
                <w:rFonts w:eastAsia="DengXian"/>
                <w:b/>
                <w:bCs/>
                <w:szCs w:val="24"/>
              </w:rPr>
              <w:t>Adult and Child:</w:t>
            </w:r>
            <w:r w:rsidRPr="00727DFA">
              <w:rPr>
                <w:rFonts w:eastAsia="DengXian"/>
                <w:szCs w:val="24"/>
              </w:rPr>
              <w:t xml:space="preserve"> 30 mg/kg daily in 3 divided doses (until patient can complete course with oral drugs), followed by a course of a luminal amoebicide.</w:t>
            </w:r>
          </w:p>
          <w:p w14:paraId="1671CA4F" w14:textId="77777777" w:rsidR="007B485D" w:rsidRPr="00727DFA" w:rsidRDefault="007B485D" w:rsidP="002D6DD7">
            <w:pPr>
              <w:ind w:right="117"/>
              <w:jc w:val="both"/>
              <w:rPr>
                <w:rFonts w:eastAsia="DengXian"/>
                <w:szCs w:val="24"/>
              </w:rPr>
            </w:pPr>
            <w:r w:rsidRPr="00727DFA">
              <w:rPr>
                <w:rFonts w:eastAsia="DengXian"/>
                <w:b/>
                <w:bCs/>
                <w:szCs w:val="24"/>
              </w:rPr>
              <w:t>Patient Advice:</w:t>
            </w:r>
            <w:r w:rsidRPr="00727DFA">
              <w:rPr>
                <w:rFonts w:eastAsia="DengXian"/>
                <w:szCs w:val="24"/>
              </w:rPr>
              <w:t xml:space="preserve"> Tablets should be swallowed whole with water during or after a meal; suspension should be taken one hour before a meal</w:t>
            </w:r>
          </w:p>
        </w:tc>
      </w:tr>
      <w:tr w:rsidR="007B485D" w:rsidRPr="00727DFA" w14:paraId="47E49DCA"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725764F6" w14:textId="77777777" w:rsidR="007B485D" w:rsidRPr="00727DFA" w:rsidRDefault="007B485D" w:rsidP="002D6DD7">
            <w:pPr>
              <w:jc w:val="both"/>
              <w:rPr>
                <w:rFonts w:eastAsia="Times New Rom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1DC92030" w14:textId="77777777" w:rsidR="007B485D" w:rsidRPr="00727DFA" w:rsidRDefault="007B485D" w:rsidP="002D6DD7">
            <w:pPr>
              <w:widowControl w:val="0"/>
              <w:autoSpaceDE w:val="0"/>
              <w:autoSpaceDN w:val="0"/>
              <w:ind w:left="52" w:right="117"/>
              <w:jc w:val="both"/>
              <w:rPr>
                <w:rFonts w:eastAsia="Times New Roman"/>
                <w:szCs w:val="24"/>
              </w:rPr>
            </w:pPr>
            <w:r>
              <w:rPr>
                <w:rFonts w:eastAsia="Times New Roman"/>
                <w:szCs w:val="24"/>
              </w:rPr>
              <w:t>Refer to</w:t>
            </w:r>
            <w:r w:rsidRPr="00727DFA">
              <w:rPr>
                <w:rFonts w:eastAsia="Times New Roman"/>
                <w:szCs w:val="24"/>
              </w:rPr>
              <w:t xml:space="preserve"> metronidazole (antibacterials)</w:t>
            </w:r>
            <w:r>
              <w:rPr>
                <w:rFonts w:eastAsia="Times New Roman"/>
                <w:szCs w:val="24"/>
              </w:rPr>
              <w:t>.</w:t>
            </w:r>
          </w:p>
        </w:tc>
      </w:tr>
      <w:tr w:rsidR="007B485D" w:rsidRPr="00727DFA" w14:paraId="1150A77E"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28862BBF"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3E48FE4D" w14:textId="77777777" w:rsidR="007B485D" w:rsidRPr="00727DFA" w:rsidRDefault="007B485D" w:rsidP="002D6DD7">
            <w:pPr>
              <w:ind w:left="52" w:right="117"/>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019D5662"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5E36463E" w14:textId="77777777" w:rsidR="007B485D" w:rsidRPr="00727DFA" w:rsidRDefault="007B485D" w:rsidP="002D6DD7">
            <w:pPr>
              <w:jc w:val="both"/>
              <w:rPr>
                <w:rFonts w:eastAsia="DengXian"/>
                <w:szCs w:val="24"/>
              </w:rPr>
            </w:pPr>
            <w:r w:rsidRPr="00727DFA">
              <w:rPr>
                <w:rFonts w:eastAsia="DengXi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63319E93" w14:textId="77777777" w:rsidR="007B485D" w:rsidRPr="00727DFA" w:rsidRDefault="007B485D" w:rsidP="002D6DD7">
            <w:pPr>
              <w:ind w:left="52" w:right="117"/>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78396445"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0C078D13"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18BBD079" w14:textId="77777777" w:rsidR="007B485D" w:rsidRPr="00727DFA" w:rsidRDefault="007B485D" w:rsidP="002D6DD7">
            <w:pPr>
              <w:ind w:left="52" w:right="117"/>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61ED636E"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CC89700"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4655BAD5" w14:textId="77777777" w:rsidR="007B485D" w:rsidRPr="00727DFA" w:rsidRDefault="007B485D" w:rsidP="002D6DD7">
            <w:pPr>
              <w:ind w:left="52" w:right="117"/>
              <w:jc w:val="both"/>
              <w:rPr>
                <w:rFonts w:eastAsia="DengXian"/>
                <w:szCs w:val="24"/>
                <w:shd w:val="clear" w:color="auto" w:fill="FFFFFF"/>
              </w:rPr>
            </w:pPr>
            <w:r w:rsidRPr="00727DFA">
              <w:rPr>
                <w:rFonts w:eastAsia="DengXian"/>
                <w:szCs w:val="24"/>
                <w:shd w:val="clear" w:color="auto" w:fill="FFFFFF"/>
              </w:rPr>
              <w:t>Store below 30</w:t>
            </w:r>
            <w:r w:rsidRPr="00727DFA">
              <w:rPr>
                <w:rFonts w:eastAsia="DengXian"/>
                <w:szCs w:val="24"/>
                <w:shd w:val="clear" w:color="auto" w:fill="FFFFFF"/>
                <w:vertAlign w:val="superscript"/>
              </w:rPr>
              <w:t>o</w:t>
            </w:r>
            <w:r w:rsidRPr="00727DFA">
              <w:rPr>
                <w:rFonts w:eastAsia="DengXian"/>
                <w:szCs w:val="24"/>
                <w:shd w:val="clear" w:color="auto" w:fill="FFFFFF"/>
              </w:rPr>
              <w:t>C, in light-resistant container.</w:t>
            </w:r>
          </w:p>
        </w:tc>
      </w:tr>
      <w:tr w:rsidR="007B485D" w:rsidRPr="00727DFA" w14:paraId="542FCC05" w14:textId="77777777" w:rsidTr="002D6DD7">
        <w:trPr>
          <w:trHeight w:val="42"/>
        </w:trPr>
        <w:tc>
          <w:tcPr>
            <w:tcW w:w="9355" w:type="dxa"/>
            <w:gridSpan w:val="2"/>
            <w:tcBorders>
              <w:top w:val="single" w:sz="4" w:space="0" w:color="auto"/>
              <w:left w:val="single" w:sz="4" w:space="0" w:color="auto"/>
              <w:bottom w:val="single" w:sz="4" w:space="0" w:color="auto"/>
              <w:right w:val="single" w:sz="4" w:space="0" w:color="auto"/>
            </w:tcBorders>
            <w:hideMark/>
          </w:tcPr>
          <w:p w14:paraId="6B0C5BEF" w14:textId="77777777" w:rsidR="007B485D" w:rsidRPr="00727DFA" w:rsidRDefault="007B485D" w:rsidP="002D6DD7">
            <w:pPr>
              <w:jc w:val="both"/>
              <w:rPr>
                <w:rFonts w:eastAsia="DengXian"/>
                <w:b/>
                <w:szCs w:val="24"/>
              </w:rPr>
            </w:pPr>
            <w:r w:rsidRPr="00727DFA">
              <w:rPr>
                <w:rFonts w:eastAsia="DengXian"/>
                <w:b/>
                <w:szCs w:val="24"/>
              </w:rPr>
              <w:t>Paromomycin</w:t>
            </w:r>
          </w:p>
        </w:tc>
      </w:tr>
      <w:tr w:rsidR="007B485D" w:rsidRPr="00727DFA" w14:paraId="6B4F6D99"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8B2C0BF"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750" w:type="dxa"/>
            <w:tcBorders>
              <w:top w:val="single" w:sz="4" w:space="0" w:color="auto"/>
              <w:left w:val="single" w:sz="4" w:space="0" w:color="auto"/>
              <w:bottom w:val="single" w:sz="4" w:space="0" w:color="auto"/>
              <w:right w:val="single" w:sz="4" w:space="0" w:color="auto"/>
            </w:tcBorders>
            <w:hideMark/>
          </w:tcPr>
          <w:p w14:paraId="0C992C91" w14:textId="77777777" w:rsidR="007B485D" w:rsidRPr="00727DFA" w:rsidRDefault="007B485D" w:rsidP="002D6DD7">
            <w:pPr>
              <w:ind w:left="52" w:right="117"/>
              <w:jc w:val="both"/>
              <w:rPr>
                <w:rFonts w:eastAsia="DengXian"/>
                <w:szCs w:val="24"/>
              </w:rPr>
            </w:pPr>
            <w:r w:rsidRPr="00727DFA">
              <w:rPr>
                <w:rFonts w:eastAsia="DengXian"/>
                <w:szCs w:val="24"/>
              </w:rPr>
              <w:t>Aminoglycoside</w:t>
            </w:r>
          </w:p>
        </w:tc>
      </w:tr>
      <w:tr w:rsidR="007B485D" w:rsidRPr="00727DFA" w14:paraId="63842FB0"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612C65E4"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7F4DB776" w14:textId="77777777" w:rsidR="007B485D" w:rsidRPr="00727DFA" w:rsidRDefault="007B485D" w:rsidP="002D6DD7">
            <w:pPr>
              <w:ind w:left="52" w:right="117"/>
              <w:jc w:val="both"/>
              <w:rPr>
                <w:rFonts w:eastAsia="DengXian"/>
                <w:szCs w:val="24"/>
              </w:rPr>
            </w:pPr>
            <w:r w:rsidRPr="00727DFA">
              <w:rPr>
                <w:rFonts w:eastAsia="DengXian"/>
                <w:szCs w:val="24"/>
              </w:rPr>
              <w:t>Tablet/capsule: 500mg</w:t>
            </w:r>
          </w:p>
        </w:tc>
      </w:tr>
      <w:tr w:rsidR="007B485D" w:rsidRPr="00727DFA" w14:paraId="615E70F0"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61265CA9"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17BDA48D" w14:textId="77777777" w:rsidR="007B485D" w:rsidRPr="00727DFA" w:rsidRDefault="007B485D" w:rsidP="002D6DD7">
            <w:pPr>
              <w:ind w:left="52" w:right="117"/>
              <w:jc w:val="both"/>
              <w:rPr>
                <w:rFonts w:eastAsia="DengXian"/>
                <w:szCs w:val="24"/>
              </w:rPr>
            </w:pPr>
            <w:r w:rsidRPr="00727DFA">
              <w:rPr>
                <w:rFonts w:eastAsia="DengXian"/>
                <w:szCs w:val="24"/>
              </w:rPr>
              <w:t>Treatment of intestinal amoebiasis, adjunct treatment for amoebic dysentery</w:t>
            </w:r>
          </w:p>
        </w:tc>
      </w:tr>
      <w:tr w:rsidR="007B485D" w:rsidRPr="00727DFA" w14:paraId="2B87385F"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7F1F9E78" w14:textId="77777777" w:rsidR="007B485D" w:rsidRPr="00727DFA" w:rsidRDefault="007B485D" w:rsidP="002D6DD7">
            <w:pPr>
              <w:jc w:val="both"/>
              <w:rPr>
                <w:rFonts w:eastAsia="DengXian"/>
                <w:szCs w:val="24"/>
              </w:rPr>
            </w:pPr>
            <w:r w:rsidRPr="00727DFA">
              <w:rPr>
                <w:rFonts w:eastAsia="Times New Rom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7B0F6863" w14:textId="77777777" w:rsidR="007B485D" w:rsidRPr="00727DFA" w:rsidRDefault="007B485D" w:rsidP="002D6DD7">
            <w:pPr>
              <w:ind w:left="52" w:right="117"/>
              <w:jc w:val="both"/>
              <w:rPr>
                <w:rFonts w:eastAsia="DengXian"/>
                <w:szCs w:val="24"/>
              </w:rPr>
            </w:pPr>
            <w:r w:rsidRPr="00727DFA">
              <w:rPr>
                <w:rFonts w:eastAsia="DengXian"/>
                <w:b/>
                <w:bCs/>
                <w:szCs w:val="24"/>
              </w:rPr>
              <w:t>Adults:</w:t>
            </w:r>
            <w:r w:rsidRPr="00727DFA">
              <w:rPr>
                <w:rFonts w:eastAsia="DengXian"/>
                <w:szCs w:val="24"/>
              </w:rPr>
              <w:t xml:space="preserve"> 25-35 mg/kg/day orally in</w:t>
            </w:r>
            <w:r>
              <w:rPr>
                <w:rFonts w:eastAsia="DengXian"/>
                <w:szCs w:val="24"/>
              </w:rPr>
              <w:t>4</w:t>
            </w:r>
            <w:r w:rsidRPr="00727DFA">
              <w:rPr>
                <w:rFonts w:eastAsia="DengXian"/>
                <w:szCs w:val="24"/>
              </w:rPr>
              <w:t xml:space="preserve"> divided doses </w:t>
            </w:r>
          </w:p>
          <w:p w14:paraId="1924957A" w14:textId="77777777" w:rsidR="007B485D" w:rsidRPr="00727DFA" w:rsidRDefault="007B485D" w:rsidP="002D6DD7">
            <w:pPr>
              <w:ind w:left="52" w:right="117"/>
              <w:jc w:val="both"/>
              <w:rPr>
                <w:rFonts w:eastAsia="DengXian"/>
                <w:szCs w:val="24"/>
              </w:rPr>
            </w:pPr>
            <w:r w:rsidRPr="00727DFA">
              <w:rPr>
                <w:rFonts w:eastAsia="DengXian"/>
                <w:b/>
                <w:bCs/>
                <w:szCs w:val="24"/>
              </w:rPr>
              <w:t>Children:</w:t>
            </w:r>
            <w:r w:rsidRPr="00727DFA">
              <w:rPr>
                <w:rFonts w:eastAsia="DengXian"/>
                <w:szCs w:val="24"/>
              </w:rPr>
              <w:t xml:space="preserve"> 25-35 mg/kg/day orally in </w:t>
            </w:r>
            <w:r>
              <w:rPr>
                <w:rFonts w:eastAsia="DengXian"/>
                <w:szCs w:val="24"/>
              </w:rPr>
              <w:t>3</w:t>
            </w:r>
            <w:r w:rsidRPr="00727DFA">
              <w:rPr>
                <w:rFonts w:eastAsia="DengXian"/>
                <w:szCs w:val="24"/>
              </w:rPr>
              <w:t xml:space="preserve">divided doses </w:t>
            </w:r>
          </w:p>
        </w:tc>
      </w:tr>
      <w:tr w:rsidR="007B485D" w:rsidRPr="00727DFA" w14:paraId="48277647" w14:textId="77777777" w:rsidTr="002D6DD7">
        <w:trPr>
          <w:trHeight w:val="332"/>
        </w:trPr>
        <w:tc>
          <w:tcPr>
            <w:tcW w:w="2605" w:type="dxa"/>
            <w:tcBorders>
              <w:top w:val="single" w:sz="4" w:space="0" w:color="auto"/>
              <w:left w:val="single" w:sz="4" w:space="0" w:color="auto"/>
              <w:bottom w:val="single" w:sz="4" w:space="0" w:color="auto"/>
              <w:right w:val="single" w:sz="4" w:space="0" w:color="auto"/>
            </w:tcBorders>
            <w:hideMark/>
          </w:tcPr>
          <w:p w14:paraId="7D8A6030" w14:textId="77777777" w:rsidR="007B485D" w:rsidRPr="00727DFA" w:rsidRDefault="007B485D" w:rsidP="002D6DD7">
            <w:pPr>
              <w:jc w:val="both"/>
              <w:rPr>
                <w:rFonts w:eastAsia="Times New Rom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4098FCCF" w14:textId="77777777" w:rsidR="007B485D" w:rsidRPr="00727DFA" w:rsidRDefault="007B485D" w:rsidP="002D6DD7">
            <w:pPr>
              <w:widowControl w:val="0"/>
              <w:autoSpaceDE w:val="0"/>
              <w:autoSpaceDN w:val="0"/>
              <w:ind w:left="52" w:right="117"/>
              <w:jc w:val="both"/>
              <w:rPr>
                <w:rFonts w:eastAsia="Times New Roman"/>
                <w:szCs w:val="24"/>
              </w:rPr>
            </w:pPr>
            <w:r w:rsidRPr="00727DFA">
              <w:rPr>
                <w:rFonts w:eastAsia="Times New Roman"/>
                <w:szCs w:val="24"/>
              </w:rPr>
              <w:t>Hypersensitivity to paromomycin or other aminoglycosides</w:t>
            </w:r>
            <w:r>
              <w:rPr>
                <w:rFonts w:eastAsia="Times New Roman"/>
                <w:szCs w:val="24"/>
              </w:rPr>
              <w:t>.</w:t>
            </w:r>
          </w:p>
        </w:tc>
      </w:tr>
      <w:tr w:rsidR="007B485D" w:rsidRPr="00727DFA" w14:paraId="2A872136"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2CF15CE8"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42860553" w14:textId="77777777" w:rsidR="007B485D" w:rsidRPr="00727DFA" w:rsidRDefault="007B485D" w:rsidP="002D6DD7">
            <w:pPr>
              <w:ind w:left="52" w:right="117"/>
              <w:jc w:val="both"/>
              <w:rPr>
                <w:rFonts w:eastAsia="DengXian"/>
                <w:szCs w:val="24"/>
              </w:rPr>
            </w:pPr>
            <w:r w:rsidRPr="00727DFA">
              <w:rPr>
                <w:rFonts w:eastAsia="DengXian"/>
                <w:szCs w:val="24"/>
              </w:rPr>
              <w:t>Concurrent use with other nephrotoxic or ototoxic drugs (increased risk of toxicity)</w:t>
            </w:r>
            <w:r>
              <w:rPr>
                <w:rFonts w:eastAsia="DengXian"/>
                <w:szCs w:val="24"/>
              </w:rPr>
              <w:t>, quinidine, muscle relaxants.</w:t>
            </w:r>
          </w:p>
        </w:tc>
      </w:tr>
      <w:tr w:rsidR="007B485D" w:rsidRPr="00727DFA" w14:paraId="70FF3363"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1D11E937" w14:textId="77777777" w:rsidR="007B485D" w:rsidRPr="00727DFA" w:rsidRDefault="007B485D" w:rsidP="002D6DD7">
            <w:pPr>
              <w:jc w:val="both"/>
              <w:rPr>
                <w:rFonts w:eastAsia="DengXian"/>
                <w:szCs w:val="24"/>
              </w:rPr>
            </w:pPr>
            <w:r w:rsidRPr="00727DFA">
              <w:rPr>
                <w:rFonts w:eastAsia="DengXi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532C993A" w14:textId="77777777" w:rsidR="007B485D" w:rsidRPr="00727DFA" w:rsidRDefault="007B485D" w:rsidP="002D6DD7">
            <w:pPr>
              <w:ind w:left="52" w:right="117"/>
              <w:jc w:val="both"/>
              <w:rPr>
                <w:rFonts w:eastAsia="DengXian"/>
                <w:szCs w:val="24"/>
              </w:rPr>
            </w:pPr>
            <w:r w:rsidRPr="00727DFA">
              <w:rPr>
                <w:rFonts w:eastAsia="DengXian"/>
                <w:szCs w:val="24"/>
              </w:rPr>
              <w:t>Nausea, vomiting, abdominal cramps, ototoxicity, nephrotoxicity (rare with oral administration)</w:t>
            </w:r>
            <w:r>
              <w:rPr>
                <w:rFonts w:eastAsia="DengXian"/>
                <w:szCs w:val="24"/>
              </w:rPr>
              <w:t>.</w:t>
            </w:r>
          </w:p>
        </w:tc>
      </w:tr>
      <w:tr w:rsidR="007B485D" w:rsidRPr="00727DFA" w14:paraId="6EA9179C"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09635DB2"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440E2B8A" w14:textId="77777777" w:rsidR="007B485D" w:rsidRPr="00727DFA" w:rsidRDefault="007B485D" w:rsidP="002D6DD7">
            <w:pPr>
              <w:ind w:left="52" w:right="117"/>
              <w:jc w:val="both"/>
              <w:rPr>
                <w:rFonts w:eastAsia="DengXian"/>
                <w:szCs w:val="24"/>
              </w:rPr>
            </w:pPr>
            <w:r w:rsidRPr="00727DFA">
              <w:rPr>
                <w:rFonts w:eastAsia="DengXian"/>
                <w:szCs w:val="24"/>
              </w:rPr>
              <w:t>Renal impairment, intestinal obstruction</w:t>
            </w:r>
            <w:r>
              <w:rPr>
                <w:rFonts w:eastAsia="DengXian"/>
                <w:szCs w:val="24"/>
              </w:rPr>
              <w:t xml:space="preserve">, prolonged treatment </w:t>
            </w:r>
            <w:r>
              <w:rPr>
                <w:rFonts w:eastAsia="DengXian"/>
                <w:szCs w:val="24"/>
              </w:rPr>
              <w:lastRenderedPageBreak/>
              <w:t>may cause superinfection.</w:t>
            </w:r>
          </w:p>
        </w:tc>
      </w:tr>
      <w:tr w:rsidR="007B485D" w:rsidRPr="00727DFA" w14:paraId="4D0F2CC4"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67FBAAA3" w14:textId="77777777" w:rsidR="007B485D" w:rsidRPr="00727DFA" w:rsidRDefault="007B485D" w:rsidP="002D6DD7">
            <w:pPr>
              <w:jc w:val="both"/>
              <w:rPr>
                <w:rFonts w:eastAsia="DengXian"/>
                <w:szCs w:val="24"/>
              </w:rPr>
            </w:pPr>
            <w:r w:rsidRPr="00727DFA">
              <w:rPr>
                <w:rFonts w:eastAsia="DengXian"/>
                <w:szCs w:val="24"/>
              </w:rPr>
              <w:lastRenderedPageBreak/>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3CCE2FDE" w14:textId="77777777" w:rsidR="007B485D" w:rsidRPr="00727DFA" w:rsidRDefault="007B485D" w:rsidP="002D6DD7">
            <w:pPr>
              <w:ind w:left="52" w:right="117"/>
              <w:jc w:val="both"/>
              <w:rPr>
                <w:rFonts w:eastAsia="DengXian"/>
                <w:szCs w:val="24"/>
                <w:shd w:val="clear" w:color="auto" w:fill="FFFFFF"/>
              </w:rPr>
            </w:pPr>
            <w:r w:rsidRPr="00727DFA">
              <w:rPr>
                <w:rFonts w:eastAsia="DengXian"/>
                <w:szCs w:val="24"/>
                <w:shd w:val="clear" w:color="auto" w:fill="FFFFFF"/>
              </w:rPr>
              <w:t>Store below 30</w:t>
            </w:r>
            <w:r w:rsidRPr="00727DFA">
              <w:rPr>
                <w:rFonts w:eastAsia="DengXian"/>
                <w:szCs w:val="24"/>
                <w:shd w:val="clear" w:color="auto" w:fill="FFFFFF"/>
                <w:vertAlign w:val="superscript"/>
              </w:rPr>
              <w:t>o</w:t>
            </w:r>
            <w:r w:rsidRPr="00727DFA">
              <w:rPr>
                <w:rFonts w:eastAsia="DengXian"/>
                <w:szCs w:val="24"/>
                <w:shd w:val="clear" w:color="auto" w:fill="FFFFFF"/>
              </w:rPr>
              <w:t>C</w:t>
            </w:r>
            <w:r>
              <w:rPr>
                <w:rFonts w:eastAsia="DengXian"/>
                <w:szCs w:val="24"/>
                <w:shd w:val="clear" w:color="auto" w:fill="FFFFFF"/>
              </w:rPr>
              <w:t>.</w:t>
            </w:r>
          </w:p>
        </w:tc>
      </w:tr>
      <w:tr w:rsidR="007B485D" w:rsidRPr="00727DFA" w14:paraId="483AA1E8" w14:textId="77777777" w:rsidTr="002D6DD7">
        <w:trPr>
          <w:trHeight w:val="42"/>
        </w:trPr>
        <w:tc>
          <w:tcPr>
            <w:tcW w:w="9355" w:type="dxa"/>
            <w:gridSpan w:val="2"/>
            <w:tcBorders>
              <w:top w:val="single" w:sz="4" w:space="0" w:color="auto"/>
              <w:left w:val="single" w:sz="4" w:space="0" w:color="auto"/>
              <w:bottom w:val="single" w:sz="4" w:space="0" w:color="auto"/>
              <w:right w:val="single" w:sz="4" w:space="0" w:color="auto"/>
            </w:tcBorders>
            <w:hideMark/>
          </w:tcPr>
          <w:p w14:paraId="5A35423A" w14:textId="77777777" w:rsidR="007B485D" w:rsidRPr="00727DFA" w:rsidRDefault="007B485D" w:rsidP="002D6DD7">
            <w:pPr>
              <w:jc w:val="both"/>
              <w:rPr>
                <w:rFonts w:eastAsia="DengXian"/>
                <w:b/>
                <w:szCs w:val="24"/>
              </w:rPr>
            </w:pPr>
            <w:r w:rsidRPr="00727DFA">
              <w:rPr>
                <w:rFonts w:eastAsia="DengXian"/>
                <w:b/>
                <w:szCs w:val="24"/>
              </w:rPr>
              <w:t>Tinidazole</w:t>
            </w:r>
          </w:p>
        </w:tc>
      </w:tr>
      <w:tr w:rsidR="007B485D" w:rsidRPr="00727DFA" w14:paraId="6B901A9F"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0C621E45"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750" w:type="dxa"/>
            <w:tcBorders>
              <w:top w:val="single" w:sz="4" w:space="0" w:color="auto"/>
              <w:left w:val="single" w:sz="4" w:space="0" w:color="auto"/>
              <w:bottom w:val="single" w:sz="4" w:space="0" w:color="auto"/>
              <w:right w:val="single" w:sz="4" w:space="0" w:color="auto"/>
            </w:tcBorders>
            <w:hideMark/>
          </w:tcPr>
          <w:p w14:paraId="2B300081" w14:textId="77777777" w:rsidR="007B485D" w:rsidRPr="00727DFA" w:rsidRDefault="007B485D" w:rsidP="002D6DD7">
            <w:pPr>
              <w:ind w:left="52" w:right="117"/>
              <w:jc w:val="both"/>
              <w:rPr>
                <w:rFonts w:eastAsia="DengXian"/>
                <w:szCs w:val="24"/>
              </w:rPr>
            </w:pPr>
            <w:r w:rsidRPr="00727DFA">
              <w:rPr>
                <w:rFonts w:eastAsia="DengXian"/>
                <w:szCs w:val="24"/>
              </w:rPr>
              <w:t>Nitroimidazole</w:t>
            </w:r>
          </w:p>
        </w:tc>
      </w:tr>
      <w:tr w:rsidR="007B485D" w:rsidRPr="00727DFA" w14:paraId="0EF88E85"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125A23BA"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271941A8" w14:textId="77777777" w:rsidR="007B485D" w:rsidRPr="00727DFA" w:rsidRDefault="007B485D" w:rsidP="002D6DD7">
            <w:pPr>
              <w:ind w:left="52" w:right="117"/>
              <w:jc w:val="both"/>
              <w:rPr>
                <w:rFonts w:eastAsia="DengXian"/>
                <w:szCs w:val="24"/>
              </w:rPr>
            </w:pPr>
            <w:r w:rsidRPr="00727DFA">
              <w:rPr>
                <w:rFonts w:eastAsia="DengXian"/>
                <w:szCs w:val="24"/>
              </w:rPr>
              <w:t>Tablet: 500mg</w:t>
            </w:r>
          </w:p>
        </w:tc>
      </w:tr>
      <w:tr w:rsidR="007B485D" w:rsidRPr="00727DFA" w14:paraId="39E65D2B"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7080388A"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0205F721" w14:textId="77777777" w:rsidR="007B485D" w:rsidRPr="00727DFA" w:rsidRDefault="007B485D" w:rsidP="002D6DD7">
            <w:pPr>
              <w:ind w:left="52" w:right="117"/>
              <w:jc w:val="both"/>
              <w:rPr>
                <w:rFonts w:eastAsia="DengXian"/>
                <w:szCs w:val="24"/>
              </w:rPr>
            </w:pPr>
            <w:r w:rsidRPr="00727DFA">
              <w:rPr>
                <w:rFonts w:eastAsia="DengXian"/>
                <w:szCs w:val="24"/>
              </w:rPr>
              <w:t>Treatment of amoebic dysentery, extra-intestinal amoebiasis, including hepatic amoebiasis</w:t>
            </w:r>
            <w:r>
              <w:rPr>
                <w:rFonts w:eastAsia="DengXian"/>
                <w:szCs w:val="24"/>
              </w:rPr>
              <w:t>.</w:t>
            </w:r>
          </w:p>
        </w:tc>
      </w:tr>
      <w:tr w:rsidR="007B485D" w:rsidRPr="00727DFA" w14:paraId="7E12D3C6"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55910C98" w14:textId="77777777" w:rsidR="007B485D" w:rsidRPr="00727DFA" w:rsidRDefault="007B485D" w:rsidP="002D6DD7">
            <w:pPr>
              <w:jc w:val="both"/>
              <w:rPr>
                <w:rFonts w:eastAsia="DengXian"/>
                <w:szCs w:val="24"/>
              </w:rPr>
            </w:pPr>
            <w:r w:rsidRPr="00727DFA">
              <w:rPr>
                <w:rFonts w:eastAsia="Times New Roman"/>
                <w:szCs w:val="24"/>
              </w:rPr>
              <w:t xml:space="preserve">Dose and </w:t>
            </w:r>
            <w:r>
              <w:rPr>
                <w:rFonts w:eastAsia="Times New Roman"/>
                <w:szCs w:val="24"/>
              </w:rPr>
              <w:t>a</w:t>
            </w:r>
            <w:r w:rsidRPr="00727DFA">
              <w:rPr>
                <w:rFonts w:eastAsia="Times New Rom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389D091F" w14:textId="77777777" w:rsidR="007B485D" w:rsidRPr="00727DFA" w:rsidRDefault="007B485D" w:rsidP="002D6DD7">
            <w:pPr>
              <w:ind w:left="52" w:right="117"/>
              <w:jc w:val="both"/>
              <w:rPr>
                <w:rFonts w:eastAsia="DengXian"/>
                <w:b/>
                <w:bCs/>
                <w:szCs w:val="24"/>
              </w:rPr>
            </w:pPr>
            <w:r w:rsidRPr="00727DFA">
              <w:rPr>
                <w:rFonts w:eastAsia="DengXian"/>
                <w:b/>
                <w:bCs/>
                <w:szCs w:val="24"/>
              </w:rPr>
              <w:t xml:space="preserve">Intestinal amoebiasis: </w:t>
            </w:r>
          </w:p>
          <w:p w14:paraId="7B73C54C" w14:textId="77777777" w:rsidR="007B485D" w:rsidRPr="00727DFA" w:rsidRDefault="007B485D" w:rsidP="002D6DD7">
            <w:pPr>
              <w:ind w:right="117"/>
              <w:jc w:val="both"/>
              <w:rPr>
                <w:rFonts w:eastAsia="DengXian"/>
                <w:szCs w:val="24"/>
              </w:rPr>
            </w:pPr>
            <w:r w:rsidRPr="00727DFA">
              <w:rPr>
                <w:rFonts w:eastAsia="DengXian"/>
                <w:szCs w:val="24"/>
              </w:rPr>
              <w:t>Adult: 2g daily for 2-3 days</w:t>
            </w:r>
          </w:p>
          <w:p w14:paraId="2364E90D" w14:textId="77777777" w:rsidR="007B485D" w:rsidRPr="00727DFA" w:rsidRDefault="007B485D" w:rsidP="002D6DD7">
            <w:pPr>
              <w:ind w:right="117"/>
              <w:jc w:val="both"/>
              <w:rPr>
                <w:rFonts w:eastAsia="DengXian"/>
                <w:szCs w:val="24"/>
              </w:rPr>
            </w:pPr>
            <w:r w:rsidRPr="00727DFA">
              <w:rPr>
                <w:rFonts w:eastAsia="DengXian"/>
                <w:szCs w:val="24"/>
              </w:rPr>
              <w:t>Child</w:t>
            </w:r>
            <w:r>
              <w:rPr>
                <w:rFonts w:eastAsia="DengXian"/>
                <w:szCs w:val="24"/>
              </w:rPr>
              <w:t>&gt;3 years</w:t>
            </w:r>
            <w:r w:rsidRPr="00727DFA">
              <w:rPr>
                <w:rFonts w:eastAsia="DengXian"/>
                <w:szCs w:val="24"/>
              </w:rPr>
              <w:t>: 50-60 mg/kg daily for 3 days.</w:t>
            </w:r>
          </w:p>
          <w:p w14:paraId="714D55B0" w14:textId="77777777" w:rsidR="007B485D" w:rsidRPr="00727DFA" w:rsidRDefault="007B485D" w:rsidP="002D6DD7">
            <w:pPr>
              <w:ind w:right="117"/>
              <w:jc w:val="both"/>
              <w:rPr>
                <w:rFonts w:eastAsia="DengXian"/>
                <w:b/>
                <w:bCs/>
                <w:szCs w:val="24"/>
              </w:rPr>
            </w:pPr>
            <w:r w:rsidRPr="00727DFA">
              <w:rPr>
                <w:rFonts w:eastAsia="DengXian"/>
                <w:b/>
                <w:bCs/>
                <w:szCs w:val="24"/>
              </w:rPr>
              <w:t xml:space="preserve">Amoebic liver abscess: </w:t>
            </w:r>
          </w:p>
          <w:p w14:paraId="3EDD2318" w14:textId="77777777" w:rsidR="007B485D" w:rsidRPr="00727DFA" w:rsidRDefault="007B485D" w:rsidP="002D6DD7">
            <w:pPr>
              <w:ind w:right="117"/>
              <w:jc w:val="both"/>
              <w:rPr>
                <w:rFonts w:eastAsia="DengXian"/>
                <w:szCs w:val="24"/>
              </w:rPr>
            </w:pPr>
            <w:r w:rsidRPr="00727DFA">
              <w:rPr>
                <w:rFonts w:eastAsia="DengXian"/>
                <w:szCs w:val="24"/>
              </w:rPr>
              <w:t>Adult: 1.5-2g daily for 3-6 days</w:t>
            </w:r>
          </w:p>
          <w:p w14:paraId="449827C2" w14:textId="77777777" w:rsidR="007B485D" w:rsidRDefault="007B485D" w:rsidP="002D6DD7">
            <w:pPr>
              <w:ind w:right="117"/>
              <w:jc w:val="both"/>
              <w:rPr>
                <w:rFonts w:eastAsia="DengXian"/>
                <w:szCs w:val="24"/>
              </w:rPr>
            </w:pPr>
            <w:r w:rsidRPr="00727DFA">
              <w:rPr>
                <w:rFonts w:eastAsia="DengXian"/>
                <w:szCs w:val="24"/>
              </w:rPr>
              <w:t>Child</w:t>
            </w:r>
            <w:r>
              <w:rPr>
                <w:rFonts w:eastAsia="DengXian"/>
                <w:szCs w:val="24"/>
              </w:rPr>
              <w:t>&gt; years</w:t>
            </w:r>
            <w:r w:rsidRPr="00727DFA">
              <w:rPr>
                <w:rFonts w:eastAsia="DengXian"/>
                <w:szCs w:val="24"/>
              </w:rPr>
              <w:t>: 50-60 mg/kg daily for 5 days</w:t>
            </w:r>
          </w:p>
          <w:p w14:paraId="1C3A27BA" w14:textId="77777777" w:rsidR="007B485D" w:rsidRPr="00727DFA" w:rsidRDefault="007B485D" w:rsidP="002D6DD7">
            <w:pPr>
              <w:ind w:right="117"/>
              <w:jc w:val="both"/>
              <w:rPr>
                <w:rFonts w:eastAsia="DengXian"/>
                <w:szCs w:val="24"/>
              </w:rPr>
            </w:pPr>
            <w:r w:rsidRPr="00873AF2">
              <w:rPr>
                <w:rFonts w:eastAsia="DengXian"/>
                <w:b/>
                <w:bCs/>
                <w:szCs w:val="24"/>
              </w:rPr>
              <w:t>Note</w:t>
            </w:r>
            <w:r>
              <w:rPr>
                <w:rFonts w:eastAsia="DengXian"/>
                <w:szCs w:val="24"/>
              </w:rPr>
              <w:t xml:space="preserve">: </w:t>
            </w:r>
            <w:r w:rsidRPr="00873AF2">
              <w:rPr>
                <w:rFonts w:eastAsia="DengXian"/>
                <w:i/>
                <w:iCs/>
                <w:szCs w:val="24"/>
              </w:rPr>
              <w:t>for child below 3 years safety data is not well established</w:t>
            </w:r>
            <w:r>
              <w:rPr>
                <w:rFonts w:eastAsia="DengXian"/>
                <w:szCs w:val="24"/>
              </w:rPr>
              <w:t>.</w:t>
            </w:r>
          </w:p>
        </w:tc>
      </w:tr>
      <w:tr w:rsidR="007B485D" w:rsidRPr="00727DFA" w14:paraId="615B2CA3" w14:textId="77777777" w:rsidTr="002D6DD7">
        <w:trPr>
          <w:trHeight w:val="368"/>
        </w:trPr>
        <w:tc>
          <w:tcPr>
            <w:tcW w:w="2605" w:type="dxa"/>
            <w:tcBorders>
              <w:top w:val="single" w:sz="4" w:space="0" w:color="auto"/>
              <w:left w:val="single" w:sz="4" w:space="0" w:color="auto"/>
              <w:bottom w:val="single" w:sz="4" w:space="0" w:color="auto"/>
              <w:right w:val="single" w:sz="4" w:space="0" w:color="auto"/>
            </w:tcBorders>
            <w:hideMark/>
          </w:tcPr>
          <w:p w14:paraId="33533E87" w14:textId="77777777" w:rsidR="007B485D" w:rsidRPr="00727DFA" w:rsidRDefault="007B485D" w:rsidP="002D6DD7">
            <w:pPr>
              <w:jc w:val="both"/>
              <w:rPr>
                <w:rFonts w:eastAsia="Times New Rom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1B929497" w14:textId="77777777" w:rsidR="007B485D" w:rsidRPr="00727DFA" w:rsidRDefault="007B485D" w:rsidP="002D6DD7">
            <w:pPr>
              <w:widowControl w:val="0"/>
              <w:autoSpaceDE w:val="0"/>
              <w:autoSpaceDN w:val="0"/>
              <w:ind w:left="52" w:right="117"/>
              <w:jc w:val="both"/>
              <w:rPr>
                <w:rFonts w:eastAsia="Times New Roman"/>
                <w:szCs w:val="24"/>
              </w:rPr>
            </w:pPr>
            <w:r w:rsidRPr="00727DFA">
              <w:rPr>
                <w:rFonts w:eastAsia="Times New Roman"/>
                <w:szCs w:val="24"/>
              </w:rPr>
              <w:t>Hypersensitivity to tinidazole or other nitroimidazole derivatives</w:t>
            </w:r>
            <w:r>
              <w:rPr>
                <w:rFonts w:eastAsia="Times New Roman"/>
                <w:szCs w:val="24"/>
              </w:rPr>
              <w:t>.</w:t>
            </w:r>
          </w:p>
        </w:tc>
      </w:tr>
      <w:tr w:rsidR="007B485D" w:rsidRPr="00727DFA" w14:paraId="6FCF0436"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01CC4382"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144680FC" w14:textId="77777777" w:rsidR="007B485D" w:rsidRPr="00727DFA" w:rsidRDefault="007B485D" w:rsidP="002D6DD7">
            <w:pPr>
              <w:ind w:left="52" w:right="117"/>
              <w:jc w:val="both"/>
              <w:rPr>
                <w:rFonts w:eastAsia="DengXian"/>
                <w:szCs w:val="24"/>
              </w:rPr>
            </w:pPr>
            <w:r w:rsidRPr="00727DFA">
              <w:rPr>
                <w:rFonts w:eastAsia="DengXian"/>
                <w:szCs w:val="24"/>
              </w:rPr>
              <w:t>Alcohol (disulfiram-like reaction), warfarin (increased anticoagulant effect), phenytoin and phenobarbital (increased metabolism of tinidazole)</w:t>
            </w:r>
            <w:r>
              <w:rPr>
                <w:rFonts w:eastAsia="DengXian"/>
                <w:szCs w:val="24"/>
              </w:rPr>
              <w:t>, fluorouracil, lopinavir, ritonavir.</w:t>
            </w:r>
          </w:p>
        </w:tc>
      </w:tr>
      <w:tr w:rsidR="007B485D" w:rsidRPr="00727DFA" w14:paraId="1B11BEC9"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73E17317" w14:textId="77777777" w:rsidR="007B485D" w:rsidRPr="00727DFA" w:rsidRDefault="007B485D" w:rsidP="002D6DD7">
            <w:pPr>
              <w:jc w:val="both"/>
              <w:rPr>
                <w:rFonts w:eastAsia="DengXian"/>
                <w:szCs w:val="24"/>
              </w:rPr>
            </w:pPr>
            <w:r w:rsidRPr="00727DFA">
              <w:rPr>
                <w:rFonts w:eastAsia="DengXi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2B0933B7" w14:textId="77777777" w:rsidR="007B485D" w:rsidRPr="00727DFA" w:rsidRDefault="007B485D" w:rsidP="002D6DD7">
            <w:pPr>
              <w:ind w:left="52" w:right="117"/>
              <w:jc w:val="both"/>
              <w:rPr>
                <w:rFonts w:eastAsia="DengXian"/>
                <w:szCs w:val="24"/>
              </w:rPr>
            </w:pPr>
            <w:r w:rsidRPr="00727DFA">
              <w:rPr>
                <w:rFonts w:eastAsia="DengXian"/>
                <w:szCs w:val="24"/>
              </w:rPr>
              <w:t>Abdominal pain, decreased appetite, diarrhea, headache, nausea, skin reactions, vertigo, vomiting. angioedema, ataxia, dizziness, fatigue, flushing, leukopenia, oral disorders, peripheral neuropathy.</w:t>
            </w:r>
          </w:p>
        </w:tc>
      </w:tr>
      <w:tr w:rsidR="007B485D" w:rsidRPr="00727DFA" w14:paraId="58AF86DD" w14:textId="77777777" w:rsidTr="002D6DD7">
        <w:trPr>
          <w:trHeight w:val="377"/>
        </w:trPr>
        <w:tc>
          <w:tcPr>
            <w:tcW w:w="2605" w:type="dxa"/>
            <w:tcBorders>
              <w:top w:val="single" w:sz="4" w:space="0" w:color="auto"/>
              <w:left w:val="single" w:sz="4" w:space="0" w:color="auto"/>
              <w:bottom w:val="single" w:sz="4" w:space="0" w:color="auto"/>
              <w:right w:val="single" w:sz="4" w:space="0" w:color="auto"/>
            </w:tcBorders>
            <w:hideMark/>
          </w:tcPr>
          <w:p w14:paraId="12D0ED8E"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74360D77" w14:textId="77777777" w:rsidR="007B485D" w:rsidRPr="00727DFA" w:rsidRDefault="007B485D" w:rsidP="002D6DD7">
            <w:pPr>
              <w:ind w:left="52" w:right="117"/>
              <w:jc w:val="both"/>
              <w:rPr>
                <w:rFonts w:eastAsia="DengXian"/>
                <w:szCs w:val="24"/>
              </w:rPr>
            </w:pPr>
            <w:r w:rsidRPr="00727DFA">
              <w:rPr>
                <w:rFonts w:eastAsia="DengXian"/>
                <w:szCs w:val="24"/>
              </w:rPr>
              <w:t>Pregnancy, breastfeeding, severe hepatic impairment</w:t>
            </w:r>
            <w:r>
              <w:rPr>
                <w:rFonts w:eastAsia="DengXian"/>
                <w:szCs w:val="24"/>
              </w:rPr>
              <w:t>.</w:t>
            </w:r>
          </w:p>
        </w:tc>
      </w:tr>
      <w:tr w:rsidR="007B485D" w:rsidRPr="00727DFA" w14:paraId="61CFEB11" w14:textId="77777777" w:rsidTr="002D6DD7">
        <w:trPr>
          <w:trHeight w:val="368"/>
        </w:trPr>
        <w:tc>
          <w:tcPr>
            <w:tcW w:w="2605" w:type="dxa"/>
            <w:tcBorders>
              <w:top w:val="single" w:sz="4" w:space="0" w:color="auto"/>
              <w:left w:val="single" w:sz="4" w:space="0" w:color="auto"/>
              <w:bottom w:val="single" w:sz="4" w:space="0" w:color="auto"/>
              <w:right w:val="single" w:sz="4" w:space="0" w:color="auto"/>
            </w:tcBorders>
            <w:hideMark/>
          </w:tcPr>
          <w:p w14:paraId="60D5B735"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01E24DD1" w14:textId="77777777" w:rsidR="007B485D" w:rsidRPr="00727DFA" w:rsidRDefault="007B485D" w:rsidP="002D6DD7">
            <w:pPr>
              <w:ind w:left="52" w:right="117"/>
              <w:jc w:val="both"/>
              <w:rPr>
                <w:rFonts w:eastAsia="DengXian"/>
                <w:szCs w:val="24"/>
                <w:shd w:val="clear" w:color="auto" w:fill="FFFFFF"/>
              </w:rPr>
            </w:pPr>
            <w:r w:rsidRPr="00727DFA">
              <w:rPr>
                <w:rFonts w:eastAsia="DengXian"/>
                <w:szCs w:val="24"/>
                <w:shd w:val="clear" w:color="auto" w:fill="FFFFFF"/>
              </w:rPr>
              <w:t>Store below 30</w:t>
            </w:r>
            <w:r w:rsidRPr="00727DFA">
              <w:rPr>
                <w:rFonts w:eastAsia="DengXian"/>
                <w:szCs w:val="24"/>
                <w:shd w:val="clear" w:color="auto" w:fill="FFFFFF"/>
                <w:vertAlign w:val="superscript"/>
              </w:rPr>
              <w:t>o</w:t>
            </w:r>
            <w:r w:rsidRPr="00727DFA">
              <w:rPr>
                <w:rFonts w:eastAsia="DengXian"/>
                <w:szCs w:val="24"/>
                <w:shd w:val="clear" w:color="auto" w:fill="FFFFFF"/>
              </w:rPr>
              <w:t>C</w:t>
            </w:r>
            <w:r>
              <w:rPr>
                <w:rFonts w:eastAsia="DengXian"/>
                <w:szCs w:val="24"/>
                <w:shd w:val="clear" w:color="auto" w:fill="FFFFFF"/>
              </w:rPr>
              <w:t>.</w:t>
            </w:r>
          </w:p>
        </w:tc>
      </w:tr>
    </w:tbl>
    <w:p w14:paraId="0079E876" w14:textId="77777777" w:rsidR="007B485D" w:rsidRPr="00727DFA" w:rsidRDefault="007B485D" w:rsidP="007B485D">
      <w:pPr>
        <w:widowControl w:val="0"/>
        <w:autoSpaceDE w:val="0"/>
        <w:autoSpaceDN w:val="0"/>
        <w:spacing w:after="0"/>
        <w:jc w:val="both"/>
        <w:rPr>
          <w:rFonts w:eastAsia="Times New Roman" w:cs="Times New Roman"/>
          <w:kern w:val="0"/>
          <w:szCs w:val="24"/>
        </w:rPr>
      </w:pPr>
    </w:p>
    <w:p w14:paraId="5FD7B5F5" w14:textId="77777777" w:rsidR="007B485D" w:rsidRPr="003114B5" w:rsidRDefault="007B485D" w:rsidP="003114B5">
      <w:pPr>
        <w:spacing w:before="240"/>
        <w:rPr>
          <w:rFonts w:eastAsia="DengXian Light"/>
          <w:b/>
        </w:rPr>
      </w:pPr>
      <w:r w:rsidRPr="003114B5">
        <w:rPr>
          <w:rFonts w:eastAsia="DengXian Light"/>
          <w:b/>
        </w:rPr>
        <w:t xml:space="preserve">Medicines </w:t>
      </w:r>
      <w:r w:rsidR="00160A66" w:rsidRPr="003114B5">
        <w:rPr>
          <w:rFonts w:eastAsia="DengXian Light"/>
          <w:b/>
        </w:rPr>
        <w:t>u</w:t>
      </w:r>
      <w:r w:rsidRPr="003114B5">
        <w:rPr>
          <w:rFonts w:eastAsia="DengXian Light"/>
          <w:b/>
        </w:rPr>
        <w:t xml:space="preserve">sed for </w:t>
      </w:r>
      <w:r w:rsidR="00160A66" w:rsidRPr="003114B5">
        <w:rPr>
          <w:rFonts w:eastAsia="DengXian Light"/>
          <w:b/>
        </w:rPr>
        <w:t>g</w:t>
      </w:r>
      <w:r w:rsidRPr="003114B5">
        <w:rPr>
          <w:rFonts w:eastAsia="DengXian Light"/>
          <w:b/>
        </w:rPr>
        <w:t xml:space="preserve">iardiasis </w:t>
      </w:r>
    </w:p>
    <w:p w14:paraId="716C4F98" w14:textId="77777777" w:rsidR="007B485D" w:rsidRPr="00727DFA" w:rsidRDefault="007B485D" w:rsidP="007B485D">
      <w:pPr>
        <w:widowControl w:val="0"/>
        <w:autoSpaceDE w:val="0"/>
        <w:autoSpaceDN w:val="0"/>
        <w:spacing w:after="0"/>
        <w:jc w:val="both"/>
        <w:rPr>
          <w:rFonts w:eastAsia="Times New Roman" w:cs="Times New Roman"/>
          <w:kern w:val="0"/>
          <w:szCs w:val="24"/>
        </w:rPr>
      </w:pPr>
      <w:r w:rsidRPr="00727DFA">
        <w:rPr>
          <w:rFonts w:eastAsia="Times New Roman" w:cs="Times New Roman"/>
          <w:kern w:val="0"/>
          <w:szCs w:val="24"/>
        </w:rPr>
        <w:t>Treatment of giardiasis involves the use of specific antiparasitic medications aimed at eradicating Giardia lamblia, the causative protozoan parasite. The goal of treatment is to eliminate the parasite from the intestines and resolve the symptoms associated with the infection, such as diarrhea, abdominal cramps, and nausea.</w:t>
      </w:r>
    </w:p>
    <w:p w14:paraId="63366C7C" w14:textId="77777777" w:rsidR="007B485D" w:rsidRPr="00727DFA" w:rsidRDefault="007B485D" w:rsidP="007B485D">
      <w:pPr>
        <w:widowControl w:val="0"/>
        <w:autoSpaceDE w:val="0"/>
        <w:autoSpaceDN w:val="0"/>
        <w:spacing w:before="240" w:after="0"/>
        <w:jc w:val="both"/>
        <w:rPr>
          <w:rFonts w:eastAsia="Times New Roman" w:cs="Times New Roman"/>
          <w:kern w:val="0"/>
          <w:szCs w:val="24"/>
        </w:rPr>
      </w:pPr>
      <w:r w:rsidRPr="00727DFA">
        <w:rPr>
          <w:rFonts w:eastAsia="Times New Roman" w:cs="Times New Roman"/>
          <w:kern w:val="0"/>
          <w:szCs w:val="24"/>
        </w:rPr>
        <w:lastRenderedPageBreak/>
        <w:t>Metronidazole and Tinidazole are nitroimidazole derivatives commonly used for the treatment of giardiasis. These medications are highly effective in eliminating the parasite from the intestines. Metronidazole is typically administered in multiple doses over several days, while Tinidazole offers the advantage of a single-dose regimen, providing convenient and effective treatment options.</w:t>
      </w:r>
    </w:p>
    <w:p w14:paraId="39ECAB09" w14:textId="77777777" w:rsidR="007B485D" w:rsidRPr="00727DFA" w:rsidRDefault="007B485D" w:rsidP="003114B5">
      <w:pPr>
        <w:widowControl w:val="0"/>
        <w:autoSpaceDE w:val="0"/>
        <w:autoSpaceDN w:val="0"/>
        <w:spacing w:before="240"/>
        <w:jc w:val="both"/>
        <w:rPr>
          <w:rFonts w:eastAsia="Times New Roman" w:cs="Times New Roman"/>
          <w:kern w:val="0"/>
          <w:szCs w:val="24"/>
        </w:rPr>
      </w:pPr>
      <w:r w:rsidRPr="00727DFA">
        <w:rPr>
          <w:rFonts w:eastAsia="Times New Roman" w:cs="Times New Roman"/>
          <w:kern w:val="0"/>
          <w:szCs w:val="24"/>
        </w:rPr>
        <w:t xml:space="preserve">These medications target the </w:t>
      </w:r>
      <w:r w:rsidRPr="00727DFA">
        <w:rPr>
          <w:rFonts w:eastAsia="Times New Roman" w:cs="Times New Roman"/>
          <w:i/>
          <w:iCs/>
          <w:kern w:val="0"/>
          <w:szCs w:val="24"/>
        </w:rPr>
        <w:t>Giardia lamblia</w:t>
      </w:r>
      <w:r w:rsidRPr="00727DFA">
        <w:rPr>
          <w:rFonts w:eastAsia="Times New Roman" w:cs="Times New Roman"/>
          <w:kern w:val="0"/>
          <w:szCs w:val="24"/>
        </w:rPr>
        <w:t xml:space="preserve"> parasite, helping to clear the infection from the intestines and alleviate symptoms. The selection of the appropriate medication and regimen depends on various factors, including the patient's age, tolerance, and any potential contraindications.</w:t>
      </w:r>
    </w:p>
    <w:tbl>
      <w:tblPr>
        <w:tblStyle w:val="TableGrid1"/>
        <w:tblW w:w="9493" w:type="dxa"/>
        <w:tblLook w:val="04A0" w:firstRow="1" w:lastRow="0" w:firstColumn="1" w:lastColumn="0" w:noHBand="0" w:noVBand="1"/>
      </w:tblPr>
      <w:tblGrid>
        <w:gridCol w:w="2605"/>
        <w:gridCol w:w="6888"/>
      </w:tblGrid>
      <w:tr w:rsidR="007B485D" w:rsidRPr="00727DFA" w14:paraId="55BA23E2" w14:textId="77777777" w:rsidTr="002D6DD7">
        <w:trPr>
          <w:trHeight w:val="42"/>
        </w:trPr>
        <w:tc>
          <w:tcPr>
            <w:tcW w:w="9493" w:type="dxa"/>
            <w:gridSpan w:val="2"/>
            <w:tcBorders>
              <w:top w:val="single" w:sz="4" w:space="0" w:color="auto"/>
              <w:left w:val="single" w:sz="4" w:space="0" w:color="auto"/>
              <w:bottom w:val="single" w:sz="4" w:space="0" w:color="auto"/>
              <w:right w:val="single" w:sz="4" w:space="0" w:color="auto"/>
            </w:tcBorders>
            <w:hideMark/>
          </w:tcPr>
          <w:p w14:paraId="476A57E1" w14:textId="77777777" w:rsidR="007B485D" w:rsidRPr="00727DFA" w:rsidRDefault="007B485D" w:rsidP="002D6DD7">
            <w:pPr>
              <w:jc w:val="both"/>
              <w:rPr>
                <w:rFonts w:eastAsia="DengXian"/>
                <w:b/>
                <w:szCs w:val="24"/>
              </w:rPr>
            </w:pPr>
            <w:r w:rsidRPr="00727DFA">
              <w:rPr>
                <w:rFonts w:eastAsia="DengXian"/>
                <w:b/>
                <w:szCs w:val="24"/>
              </w:rPr>
              <w:t>Metronidazole</w:t>
            </w:r>
          </w:p>
        </w:tc>
      </w:tr>
      <w:tr w:rsidR="007B485D" w:rsidRPr="00727DFA" w14:paraId="250B62F9"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60FF8A70"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888" w:type="dxa"/>
            <w:tcBorders>
              <w:top w:val="single" w:sz="4" w:space="0" w:color="auto"/>
              <w:left w:val="single" w:sz="4" w:space="0" w:color="auto"/>
              <w:bottom w:val="single" w:sz="4" w:space="0" w:color="auto"/>
              <w:right w:val="single" w:sz="4" w:space="0" w:color="auto"/>
            </w:tcBorders>
            <w:hideMark/>
          </w:tcPr>
          <w:p w14:paraId="466ED5C3" w14:textId="77777777" w:rsidR="007B485D" w:rsidRPr="00727DFA" w:rsidRDefault="007B485D" w:rsidP="002D6DD7">
            <w:pPr>
              <w:jc w:val="both"/>
              <w:rPr>
                <w:rFonts w:eastAsia="DengXian"/>
                <w:szCs w:val="24"/>
              </w:rPr>
            </w:pPr>
            <w:r w:rsidRPr="00727DFA">
              <w:rPr>
                <w:rFonts w:eastAsia="DengXian"/>
                <w:szCs w:val="24"/>
              </w:rPr>
              <w:t xml:space="preserve">Nitroimidazole, antibacterial </w:t>
            </w:r>
          </w:p>
        </w:tc>
      </w:tr>
      <w:tr w:rsidR="007B485D" w:rsidRPr="00727DFA" w14:paraId="50DD2677"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0E0A8B9" w14:textId="77777777" w:rsidR="007B485D" w:rsidRPr="00727DFA" w:rsidRDefault="007B485D" w:rsidP="002D6DD7">
            <w:pPr>
              <w:jc w:val="both"/>
              <w:rPr>
                <w:rFonts w:eastAsia="DengXian"/>
                <w:szCs w:val="24"/>
              </w:rPr>
            </w:pPr>
            <w:r w:rsidRPr="00727DFA">
              <w:rPr>
                <w:rFonts w:eastAsia="DengXian"/>
                <w:szCs w:val="24"/>
              </w:rPr>
              <w:t>Dosage form</w:t>
            </w:r>
          </w:p>
        </w:tc>
        <w:tc>
          <w:tcPr>
            <w:tcW w:w="6888" w:type="dxa"/>
            <w:tcBorders>
              <w:top w:val="single" w:sz="4" w:space="0" w:color="auto"/>
              <w:left w:val="single" w:sz="4" w:space="0" w:color="auto"/>
              <w:bottom w:val="single" w:sz="4" w:space="0" w:color="auto"/>
              <w:right w:val="single" w:sz="4" w:space="0" w:color="auto"/>
            </w:tcBorders>
            <w:hideMark/>
          </w:tcPr>
          <w:p w14:paraId="05B598E1" w14:textId="77777777" w:rsidR="007B485D" w:rsidRPr="00727DFA" w:rsidRDefault="007B485D" w:rsidP="002D6DD7">
            <w:pPr>
              <w:jc w:val="both"/>
              <w:rPr>
                <w:rFonts w:eastAsia="DengXian"/>
                <w:szCs w:val="24"/>
              </w:rPr>
            </w:pPr>
            <w:r w:rsidRPr="00727DFA">
              <w:rPr>
                <w:rFonts w:eastAsia="DengXian"/>
                <w:szCs w:val="24"/>
              </w:rPr>
              <w:t>Oral suspension: 125mg/5ml, 200mg per 5 mL</w:t>
            </w:r>
          </w:p>
          <w:p w14:paraId="22B690C9" w14:textId="77777777" w:rsidR="007B485D" w:rsidRPr="00727DFA" w:rsidRDefault="007B485D" w:rsidP="002D6DD7">
            <w:pPr>
              <w:jc w:val="both"/>
              <w:rPr>
                <w:rFonts w:eastAsia="DengXian"/>
                <w:szCs w:val="24"/>
              </w:rPr>
            </w:pPr>
            <w:r w:rsidRPr="00727DFA">
              <w:rPr>
                <w:rFonts w:eastAsia="DengXian"/>
                <w:szCs w:val="24"/>
              </w:rPr>
              <w:t>Capsule/Tablet: 250mg, 500mg</w:t>
            </w:r>
          </w:p>
        </w:tc>
      </w:tr>
      <w:tr w:rsidR="007B485D" w:rsidRPr="00727DFA" w14:paraId="3EEBBAD4"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4F198CF4" w14:textId="77777777" w:rsidR="007B485D" w:rsidRPr="00727DFA" w:rsidRDefault="007B485D" w:rsidP="002D6DD7">
            <w:pPr>
              <w:jc w:val="both"/>
              <w:rPr>
                <w:rFonts w:eastAsia="DengXian"/>
                <w:szCs w:val="24"/>
              </w:rPr>
            </w:pPr>
            <w:r w:rsidRPr="00873AF2">
              <w:rPr>
                <w:rFonts w:eastAsia="DengXian"/>
                <w:szCs w:val="24"/>
              </w:rPr>
              <w:t>Indications</w:t>
            </w:r>
          </w:p>
        </w:tc>
        <w:tc>
          <w:tcPr>
            <w:tcW w:w="6888" w:type="dxa"/>
            <w:tcBorders>
              <w:top w:val="single" w:sz="4" w:space="0" w:color="auto"/>
              <w:left w:val="single" w:sz="4" w:space="0" w:color="auto"/>
              <w:bottom w:val="single" w:sz="4" w:space="0" w:color="auto"/>
              <w:right w:val="single" w:sz="4" w:space="0" w:color="auto"/>
            </w:tcBorders>
            <w:hideMark/>
          </w:tcPr>
          <w:p w14:paraId="224151CC" w14:textId="77777777" w:rsidR="007B485D" w:rsidRPr="00727DFA" w:rsidRDefault="007B485D" w:rsidP="002D6DD7">
            <w:pPr>
              <w:jc w:val="both"/>
              <w:rPr>
                <w:rFonts w:eastAsia="DengXian"/>
                <w:szCs w:val="24"/>
              </w:rPr>
            </w:pPr>
            <w:r w:rsidRPr="00727DFA">
              <w:rPr>
                <w:rFonts w:eastAsia="DengXian"/>
                <w:szCs w:val="24"/>
              </w:rPr>
              <w:t xml:space="preserve"> Invasive giardiasis</w:t>
            </w:r>
          </w:p>
        </w:tc>
      </w:tr>
      <w:tr w:rsidR="007B485D" w:rsidRPr="00727DFA" w14:paraId="5A7ADF9E"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746B27EF" w14:textId="77777777" w:rsidR="007B485D" w:rsidRPr="00727DFA" w:rsidRDefault="007B485D" w:rsidP="002D6DD7">
            <w:pPr>
              <w:jc w:val="both"/>
              <w:rPr>
                <w:rFonts w:eastAsia="DengXian"/>
                <w:szCs w:val="24"/>
              </w:rPr>
            </w:pPr>
            <w:r w:rsidRPr="00727DFA">
              <w:rPr>
                <w:rFonts w:eastAsia="Times New Roman"/>
                <w:szCs w:val="24"/>
              </w:rPr>
              <w:t>Dose and Administration</w:t>
            </w:r>
          </w:p>
        </w:tc>
        <w:tc>
          <w:tcPr>
            <w:tcW w:w="6888" w:type="dxa"/>
            <w:tcBorders>
              <w:top w:val="single" w:sz="4" w:space="0" w:color="auto"/>
              <w:left w:val="single" w:sz="4" w:space="0" w:color="auto"/>
              <w:bottom w:val="single" w:sz="4" w:space="0" w:color="auto"/>
              <w:right w:val="single" w:sz="4" w:space="0" w:color="auto"/>
            </w:tcBorders>
            <w:hideMark/>
          </w:tcPr>
          <w:p w14:paraId="4DE8029F" w14:textId="77777777" w:rsidR="007B485D" w:rsidRPr="00727DFA" w:rsidRDefault="007B485D" w:rsidP="002D6DD7">
            <w:pPr>
              <w:jc w:val="both"/>
              <w:rPr>
                <w:rFonts w:eastAsia="DengXian"/>
                <w:szCs w:val="24"/>
              </w:rPr>
            </w:pPr>
            <w:r w:rsidRPr="00727DFA">
              <w:rPr>
                <w:rFonts w:eastAsia="DengXian"/>
                <w:b/>
                <w:bCs/>
                <w:szCs w:val="24"/>
              </w:rPr>
              <w:t>Adults</w:t>
            </w:r>
            <w:r w:rsidRPr="00727DFA">
              <w:rPr>
                <w:rFonts w:eastAsia="DengXian"/>
                <w:szCs w:val="24"/>
              </w:rPr>
              <w:t>: 250-500 mg orally three times daily for 5-7 days or 2g once daily for 3 days</w:t>
            </w:r>
          </w:p>
          <w:p w14:paraId="58B95EE8" w14:textId="77777777" w:rsidR="007B485D" w:rsidRPr="00727DFA" w:rsidRDefault="007B485D" w:rsidP="002D6DD7">
            <w:pPr>
              <w:jc w:val="both"/>
              <w:rPr>
                <w:rFonts w:eastAsia="DengXian"/>
                <w:szCs w:val="24"/>
              </w:rPr>
            </w:pPr>
            <w:r w:rsidRPr="00873AF2">
              <w:rPr>
                <w:rFonts w:eastAsia="DengXian"/>
                <w:b/>
                <w:bCs/>
                <w:szCs w:val="24"/>
              </w:rPr>
              <w:t>Children:</w:t>
            </w:r>
            <w:r w:rsidRPr="00727DFA">
              <w:rPr>
                <w:rFonts w:eastAsia="DengXian"/>
                <w:szCs w:val="24"/>
              </w:rPr>
              <w:t xml:space="preserve"> 15 mg/kg/day in divided doses for 5-7 days.</w:t>
            </w:r>
          </w:p>
        </w:tc>
      </w:tr>
      <w:tr w:rsidR="007B485D" w:rsidRPr="00727DFA" w14:paraId="57BF429F"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36E19B79" w14:textId="77777777" w:rsidR="007B485D" w:rsidRPr="00727DFA" w:rsidRDefault="007B485D" w:rsidP="002D6DD7">
            <w:pPr>
              <w:jc w:val="both"/>
              <w:rPr>
                <w:rFonts w:eastAsia="Times New Roman"/>
                <w:szCs w:val="24"/>
              </w:rPr>
            </w:pPr>
            <w:r w:rsidRPr="00727DFA">
              <w:rPr>
                <w:rFonts w:eastAsia="DengXian"/>
                <w:szCs w:val="24"/>
              </w:rPr>
              <w:t>Contraindications</w:t>
            </w:r>
          </w:p>
        </w:tc>
        <w:tc>
          <w:tcPr>
            <w:tcW w:w="6888" w:type="dxa"/>
            <w:tcBorders>
              <w:top w:val="single" w:sz="4" w:space="0" w:color="auto"/>
              <w:left w:val="single" w:sz="4" w:space="0" w:color="auto"/>
              <w:bottom w:val="single" w:sz="4" w:space="0" w:color="auto"/>
              <w:right w:val="single" w:sz="4" w:space="0" w:color="auto"/>
            </w:tcBorders>
            <w:hideMark/>
          </w:tcPr>
          <w:p w14:paraId="08163A17"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metronidazole (antibacterials)</w:t>
            </w:r>
            <w:r>
              <w:rPr>
                <w:rFonts w:eastAsia="Times New Roman"/>
                <w:szCs w:val="24"/>
              </w:rPr>
              <w:t>.</w:t>
            </w:r>
          </w:p>
        </w:tc>
      </w:tr>
      <w:tr w:rsidR="007B485D" w:rsidRPr="00727DFA" w14:paraId="4C03D7F5"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5F6BA56D" w14:textId="77777777" w:rsidR="007B485D" w:rsidRPr="00727DFA" w:rsidRDefault="007B485D" w:rsidP="002D6DD7">
            <w:pPr>
              <w:jc w:val="both"/>
              <w:rPr>
                <w:rFonts w:eastAsia="DengXian"/>
                <w:szCs w:val="24"/>
              </w:rPr>
            </w:pPr>
            <w:r w:rsidRPr="00727DFA">
              <w:rPr>
                <w:rFonts w:eastAsia="DengXian"/>
                <w:szCs w:val="24"/>
              </w:rPr>
              <w:t>Drug interactions</w:t>
            </w:r>
          </w:p>
        </w:tc>
        <w:tc>
          <w:tcPr>
            <w:tcW w:w="6888" w:type="dxa"/>
            <w:tcBorders>
              <w:top w:val="single" w:sz="4" w:space="0" w:color="auto"/>
              <w:left w:val="single" w:sz="4" w:space="0" w:color="auto"/>
              <w:bottom w:val="single" w:sz="4" w:space="0" w:color="auto"/>
              <w:right w:val="single" w:sz="4" w:space="0" w:color="auto"/>
            </w:tcBorders>
            <w:hideMark/>
          </w:tcPr>
          <w:p w14:paraId="3FB6345E"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1431A24B"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A80BBBA" w14:textId="77777777" w:rsidR="007B485D" w:rsidRPr="00727DFA" w:rsidRDefault="007B485D" w:rsidP="002D6DD7">
            <w:pPr>
              <w:jc w:val="both"/>
              <w:rPr>
                <w:rFonts w:eastAsia="DengXian"/>
                <w:szCs w:val="24"/>
              </w:rPr>
            </w:pPr>
            <w:r w:rsidRPr="00727DFA">
              <w:rPr>
                <w:rFonts w:eastAsia="DengXian"/>
                <w:szCs w:val="24"/>
              </w:rPr>
              <w:t>Side effects</w:t>
            </w:r>
          </w:p>
        </w:tc>
        <w:tc>
          <w:tcPr>
            <w:tcW w:w="6888" w:type="dxa"/>
            <w:tcBorders>
              <w:top w:val="single" w:sz="4" w:space="0" w:color="auto"/>
              <w:left w:val="single" w:sz="4" w:space="0" w:color="auto"/>
              <w:bottom w:val="single" w:sz="4" w:space="0" w:color="auto"/>
              <w:right w:val="single" w:sz="4" w:space="0" w:color="auto"/>
            </w:tcBorders>
            <w:hideMark/>
          </w:tcPr>
          <w:p w14:paraId="47AEB3B9"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6E2D1423"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F2BC1CE"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888" w:type="dxa"/>
            <w:tcBorders>
              <w:top w:val="single" w:sz="4" w:space="0" w:color="auto"/>
              <w:left w:val="single" w:sz="4" w:space="0" w:color="auto"/>
              <w:bottom w:val="single" w:sz="4" w:space="0" w:color="auto"/>
              <w:right w:val="single" w:sz="4" w:space="0" w:color="auto"/>
            </w:tcBorders>
            <w:hideMark/>
          </w:tcPr>
          <w:p w14:paraId="5CB6DC44"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metronidazole (antibacterials)</w:t>
            </w:r>
            <w:r>
              <w:rPr>
                <w:rFonts w:eastAsia="DengXian"/>
                <w:szCs w:val="24"/>
              </w:rPr>
              <w:t>.</w:t>
            </w:r>
          </w:p>
        </w:tc>
      </w:tr>
      <w:tr w:rsidR="007B485D" w:rsidRPr="00727DFA" w14:paraId="6CFE4447"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526A7115" w14:textId="77777777" w:rsidR="007B485D" w:rsidRPr="00727DFA" w:rsidRDefault="007B485D" w:rsidP="002D6DD7">
            <w:pPr>
              <w:jc w:val="both"/>
              <w:rPr>
                <w:rFonts w:eastAsia="DengXian"/>
                <w:szCs w:val="24"/>
              </w:rPr>
            </w:pPr>
            <w:r w:rsidRPr="00727DFA">
              <w:rPr>
                <w:rFonts w:eastAsia="DengXian"/>
                <w:szCs w:val="24"/>
              </w:rPr>
              <w:t>Storage condition</w:t>
            </w:r>
          </w:p>
        </w:tc>
        <w:tc>
          <w:tcPr>
            <w:tcW w:w="6888" w:type="dxa"/>
            <w:tcBorders>
              <w:top w:val="single" w:sz="4" w:space="0" w:color="auto"/>
              <w:left w:val="single" w:sz="4" w:space="0" w:color="auto"/>
              <w:bottom w:val="single" w:sz="4" w:space="0" w:color="auto"/>
              <w:right w:val="single" w:sz="4" w:space="0" w:color="auto"/>
            </w:tcBorders>
            <w:hideMark/>
          </w:tcPr>
          <w:p w14:paraId="588121E5" w14:textId="77777777" w:rsidR="007B485D" w:rsidRPr="00727DFA" w:rsidRDefault="007B485D" w:rsidP="002D6DD7">
            <w:pPr>
              <w:jc w:val="both"/>
              <w:rPr>
                <w:rFonts w:eastAsia="DengXian"/>
                <w:szCs w:val="24"/>
                <w:shd w:val="clear" w:color="auto" w:fill="FFFFFF"/>
              </w:rPr>
            </w:pPr>
            <w:r w:rsidRPr="00727DFA">
              <w:rPr>
                <w:rFonts w:eastAsia="DengXian"/>
                <w:szCs w:val="24"/>
                <w:shd w:val="clear" w:color="auto" w:fill="FFFFFF"/>
              </w:rPr>
              <w:t>Store below 30</w:t>
            </w:r>
            <w:r w:rsidRPr="00727DFA">
              <w:rPr>
                <w:rFonts w:eastAsia="DengXian"/>
                <w:szCs w:val="24"/>
                <w:shd w:val="clear" w:color="auto" w:fill="FFFFFF"/>
                <w:vertAlign w:val="superscript"/>
              </w:rPr>
              <w:t>o</w:t>
            </w:r>
            <w:r w:rsidRPr="00727DFA">
              <w:rPr>
                <w:rFonts w:eastAsia="DengXian"/>
                <w:szCs w:val="24"/>
                <w:shd w:val="clear" w:color="auto" w:fill="FFFFFF"/>
              </w:rPr>
              <w:t>C</w:t>
            </w:r>
            <w:r>
              <w:rPr>
                <w:rFonts w:eastAsia="DengXian"/>
                <w:szCs w:val="24"/>
                <w:shd w:val="clear" w:color="auto" w:fill="FFFFFF"/>
              </w:rPr>
              <w:t>.</w:t>
            </w:r>
          </w:p>
        </w:tc>
      </w:tr>
      <w:tr w:rsidR="007B485D" w:rsidRPr="00727DFA" w14:paraId="7899D402" w14:textId="77777777" w:rsidTr="002D6DD7">
        <w:trPr>
          <w:trHeight w:val="42"/>
        </w:trPr>
        <w:tc>
          <w:tcPr>
            <w:tcW w:w="9493" w:type="dxa"/>
            <w:gridSpan w:val="2"/>
            <w:tcBorders>
              <w:top w:val="single" w:sz="4" w:space="0" w:color="auto"/>
              <w:left w:val="single" w:sz="4" w:space="0" w:color="auto"/>
              <w:bottom w:val="single" w:sz="4" w:space="0" w:color="auto"/>
              <w:right w:val="single" w:sz="4" w:space="0" w:color="auto"/>
            </w:tcBorders>
            <w:hideMark/>
          </w:tcPr>
          <w:p w14:paraId="718E3BD2" w14:textId="77777777" w:rsidR="007B485D" w:rsidRPr="00727DFA" w:rsidRDefault="007B485D" w:rsidP="002D6DD7">
            <w:pPr>
              <w:jc w:val="both"/>
              <w:rPr>
                <w:rFonts w:eastAsia="DengXian"/>
                <w:szCs w:val="24"/>
              </w:rPr>
            </w:pPr>
            <w:r w:rsidRPr="00727DFA">
              <w:rPr>
                <w:rFonts w:eastAsia="DengXian"/>
                <w:b/>
                <w:bCs/>
                <w:szCs w:val="24"/>
              </w:rPr>
              <w:t>Tinidazole</w:t>
            </w:r>
          </w:p>
        </w:tc>
      </w:tr>
      <w:tr w:rsidR="007B485D" w:rsidRPr="00727DFA" w14:paraId="37AB061B"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40674025" w14:textId="77777777" w:rsidR="007B485D" w:rsidRPr="00727DFA" w:rsidRDefault="007B485D" w:rsidP="002D6DD7">
            <w:pPr>
              <w:jc w:val="both"/>
              <w:rPr>
                <w:rFonts w:eastAsia="DengXian"/>
                <w:szCs w:val="24"/>
              </w:rPr>
            </w:pPr>
            <w:r w:rsidRPr="00727DFA">
              <w:rPr>
                <w:rFonts w:eastAsia="DengXian"/>
                <w:szCs w:val="24"/>
              </w:rPr>
              <w:t>Pharmacologic class</w:t>
            </w:r>
          </w:p>
        </w:tc>
        <w:tc>
          <w:tcPr>
            <w:tcW w:w="6888" w:type="dxa"/>
            <w:tcBorders>
              <w:top w:val="single" w:sz="4" w:space="0" w:color="auto"/>
              <w:left w:val="single" w:sz="4" w:space="0" w:color="auto"/>
              <w:bottom w:val="single" w:sz="4" w:space="0" w:color="auto"/>
              <w:right w:val="single" w:sz="4" w:space="0" w:color="auto"/>
            </w:tcBorders>
            <w:hideMark/>
          </w:tcPr>
          <w:p w14:paraId="5414A92D" w14:textId="77777777" w:rsidR="007B485D" w:rsidRPr="00727DFA" w:rsidRDefault="007B485D" w:rsidP="002D6DD7">
            <w:pPr>
              <w:jc w:val="both"/>
              <w:rPr>
                <w:rFonts w:eastAsia="DengXian"/>
                <w:szCs w:val="24"/>
              </w:rPr>
            </w:pPr>
            <w:r w:rsidRPr="00727DFA">
              <w:rPr>
                <w:rFonts w:eastAsia="DengXian"/>
                <w:szCs w:val="24"/>
              </w:rPr>
              <w:t>Nitroimidazole, antimicrobial</w:t>
            </w:r>
          </w:p>
        </w:tc>
      </w:tr>
      <w:tr w:rsidR="007B485D" w:rsidRPr="00727DFA" w14:paraId="795AF5AA"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3715FCB8" w14:textId="77777777" w:rsidR="007B485D" w:rsidRPr="00727DFA" w:rsidRDefault="007B485D" w:rsidP="002D6DD7">
            <w:pPr>
              <w:jc w:val="both"/>
              <w:rPr>
                <w:rFonts w:eastAsia="DengXian"/>
                <w:szCs w:val="24"/>
              </w:rPr>
            </w:pPr>
            <w:r w:rsidRPr="00727DFA">
              <w:rPr>
                <w:rFonts w:eastAsia="DengXian"/>
                <w:szCs w:val="24"/>
              </w:rPr>
              <w:t>Dosage form</w:t>
            </w:r>
          </w:p>
        </w:tc>
        <w:tc>
          <w:tcPr>
            <w:tcW w:w="6888" w:type="dxa"/>
            <w:tcBorders>
              <w:top w:val="single" w:sz="4" w:space="0" w:color="auto"/>
              <w:left w:val="single" w:sz="4" w:space="0" w:color="auto"/>
              <w:bottom w:val="single" w:sz="4" w:space="0" w:color="auto"/>
              <w:right w:val="single" w:sz="4" w:space="0" w:color="auto"/>
            </w:tcBorders>
            <w:hideMark/>
          </w:tcPr>
          <w:p w14:paraId="618D008C" w14:textId="77777777" w:rsidR="007B485D" w:rsidRPr="00727DFA" w:rsidRDefault="007B485D" w:rsidP="002D6DD7">
            <w:pPr>
              <w:jc w:val="both"/>
              <w:rPr>
                <w:rFonts w:eastAsia="DengXian"/>
                <w:szCs w:val="24"/>
              </w:rPr>
            </w:pPr>
            <w:r w:rsidRPr="00727DFA">
              <w:rPr>
                <w:rFonts w:eastAsia="DengXian"/>
                <w:szCs w:val="24"/>
              </w:rPr>
              <w:t>Tablet: 500mg, 2g</w:t>
            </w:r>
          </w:p>
        </w:tc>
      </w:tr>
      <w:tr w:rsidR="007B485D" w:rsidRPr="00727DFA" w14:paraId="09D7D40F"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318F6FCC" w14:textId="77777777" w:rsidR="007B485D" w:rsidRPr="00727DFA" w:rsidRDefault="007B485D" w:rsidP="002D6DD7">
            <w:pPr>
              <w:jc w:val="both"/>
              <w:rPr>
                <w:rFonts w:eastAsia="DengXian"/>
                <w:szCs w:val="24"/>
              </w:rPr>
            </w:pPr>
            <w:r w:rsidRPr="00873AF2">
              <w:rPr>
                <w:rFonts w:eastAsia="DengXian"/>
                <w:szCs w:val="24"/>
              </w:rPr>
              <w:t>Indications</w:t>
            </w:r>
          </w:p>
        </w:tc>
        <w:tc>
          <w:tcPr>
            <w:tcW w:w="6888" w:type="dxa"/>
            <w:tcBorders>
              <w:top w:val="single" w:sz="4" w:space="0" w:color="auto"/>
              <w:left w:val="single" w:sz="4" w:space="0" w:color="auto"/>
              <w:bottom w:val="single" w:sz="4" w:space="0" w:color="auto"/>
              <w:right w:val="single" w:sz="4" w:space="0" w:color="auto"/>
            </w:tcBorders>
            <w:hideMark/>
          </w:tcPr>
          <w:p w14:paraId="66C0B475" w14:textId="77777777" w:rsidR="007B485D" w:rsidRPr="00727DFA" w:rsidRDefault="007B485D" w:rsidP="002D6DD7">
            <w:pPr>
              <w:jc w:val="both"/>
              <w:rPr>
                <w:rFonts w:eastAsia="DengXian"/>
                <w:szCs w:val="24"/>
              </w:rPr>
            </w:pPr>
            <w:r w:rsidRPr="00727DFA">
              <w:rPr>
                <w:rFonts w:eastAsia="DengXian"/>
                <w:szCs w:val="24"/>
              </w:rPr>
              <w:t xml:space="preserve">Treatment of giardiasis caused by </w:t>
            </w:r>
            <w:r w:rsidRPr="00727DFA">
              <w:rPr>
                <w:rFonts w:eastAsia="DengXian"/>
                <w:i/>
                <w:iCs/>
                <w:szCs w:val="24"/>
              </w:rPr>
              <w:t>Giardia lamblia</w:t>
            </w:r>
          </w:p>
        </w:tc>
      </w:tr>
      <w:tr w:rsidR="007B485D" w:rsidRPr="00727DFA" w14:paraId="1A9A432F" w14:textId="77777777" w:rsidTr="002D6DD7">
        <w:trPr>
          <w:trHeight w:val="269"/>
        </w:trPr>
        <w:tc>
          <w:tcPr>
            <w:tcW w:w="2605" w:type="dxa"/>
            <w:tcBorders>
              <w:top w:val="single" w:sz="4" w:space="0" w:color="auto"/>
              <w:left w:val="single" w:sz="4" w:space="0" w:color="auto"/>
              <w:bottom w:val="single" w:sz="4" w:space="0" w:color="auto"/>
              <w:right w:val="single" w:sz="4" w:space="0" w:color="auto"/>
            </w:tcBorders>
            <w:hideMark/>
          </w:tcPr>
          <w:p w14:paraId="37EEF7FA" w14:textId="77777777" w:rsidR="007B485D" w:rsidRPr="00727DFA" w:rsidRDefault="007B485D" w:rsidP="002D6DD7">
            <w:pPr>
              <w:jc w:val="both"/>
              <w:rPr>
                <w:rFonts w:eastAsia="DengXian"/>
                <w:szCs w:val="24"/>
              </w:rPr>
            </w:pPr>
            <w:r w:rsidRPr="00727DFA">
              <w:rPr>
                <w:rFonts w:eastAsia="Times New Roman"/>
                <w:szCs w:val="24"/>
              </w:rPr>
              <w:t>Dose and Administration</w:t>
            </w:r>
          </w:p>
        </w:tc>
        <w:tc>
          <w:tcPr>
            <w:tcW w:w="6888" w:type="dxa"/>
            <w:tcBorders>
              <w:top w:val="single" w:sz="4" w:space="0" w:color="auto"/>
              <w:left w:val="single" w:sz="4" w:space="0" w:color="auto"/>
              <w:bottom w:val="single" w:sz="4" w:space="0" w:color="auto"/>
              <w:right w:val="single" w:sz="4" w:space="0" w:color="auto"/>
            </w:tcBorders>
            <w:hideMark/>
          </w:tcPr>
          <w:p w14:paraId="65ABF1F5" w14:textId="77777777" w:rsidR="007B485D" w:rsidRPr="00727DFA" w:rsidRDefault="007B485D" w:rsidP="002D6DD7">
            <w:pPr>
              <w:jc w:val="both"/>
              <w:rPr>
                <w:rFonts w:eastAsia="DengXian"/>
                <w:b/>
                <w:bCs/>
                <w:szCs w:val="24"/>
              </w:rPr>
            </w:pPr>
            <w:r w:rsidRPr="00727DFA">
              <w:rPr>
                <w:rFonts w:eastAsia="DengXian"/>
                <w:b/>
                <w:bCs/>
                <w:szCs w:val="24"/>
              </w:rPr>
              <w:t>Oral:</w:t>
            </w:r>
          </w:p>
          <w:p w14:paraId="106E306E" w14:textId="77777777" w:rsidR="007B485D" w:rsidRPr="00727DFA" w:rsidRDefault="007B485D" w:rsidP="002D6DD7">
            <w:pPr>
              <w:jc w:val="both"/>
              <w:rPr>
                <w:rFonts w:eastAsia="DengXian"/>
                <w:szCs w:val="24"/>
              </w:rPr>
            </w:pPr>
            <w:r w:rsidRPr="00727DFA">
              <w:rPr>
                <w:rFonts w:eastAsia="DengXian"/>
                <w:b/>
                <w:bCs/>
                <w:szCs w:val="24"/>
              </w:rPr>
              <w:t>Adults:</w:t>
            </w:r>
            <w:r w:rsidRPr="00727DFA">
              <w:rPr>
                <w:rFonts w:eastAsia="DengXian"/>
                <w:szCs w:val="24"/>
              </w:rPr>
              <w:t xml:space="preserve"> 2 g orally as a single dose (repeat once if necessary)</w:t>
            </w:r>
          </w:p>
          <w:p w14:paraId="6E449911" w14:textId="77777777" w:rsidR="007B485D" w:rsidRDefault="007B485D" w:rsidP="002D6DD7">
            <w:pPr>
              <w:jc w:val="both"/>
              <w:rPr>
                <w:rFonts w:eastAsia="DengXian"/>
                <w:szCs w:val="24"/>
              </w:rPr>
            </w:pPr>
            <w:r w:rsidRPr="00727DFA">
              <w:rPr>
                <w:rFonts w:eastAsia="DengXian"/>
                <w:b/>
                <w:bCs/>
                <w:szCs w:val="24"/>
              </w:rPr>
              <w:t>Children:</w:t>
            </w:r>
            <w:r w:rsidRPr="00727DFA">
              <w:rPr>
                <w:rFonts w:eastAsia="DengXian"/>
                <w:szCs w:val="24"/>
              </w:rPr>
              <w:t xml:space="preserve"> 50 mg/kg (up to 2 g) as a single dose</w:t>
            </w:r>
          </w:p>
          <w:p w14:paraId="58B1085A" w14:textId="77777777" w:rsidR="007B485D" w:rsidRPr="00727DFA" w:rsidRDefault="007B485D" w:rsidP="002D6DD7">
            <w:pPr>
              <w:jc w:val="both"/>
              <w:rPr>
                <w:rFonts w:eastAsia="DengXian"/>
                <w:szCs w:val="24"/>
              </w:rPr>
            </w:pPr>
            <w:r w:rsidRPr="00873AF2">
              <w:rPr>
                <w:rFonts w:eastAsia="DengXian"/>
                <w:b/>
                <w:bCs/>
                <w:szCs w:val="24"/>
              </w:rPr>
              <w:lastRenderedPageBreak/>
              <w:t>Note</w:t>
            </w:r>
            <w:r>
              <w:rPr>
                <w:rFonts w:eastAsia="DengXian"/>
                <w:szCs w:val="24"/>
              </w:rPr>
              <w:t>: for child below 3 years safety data is not well established</w:t>
            </w:r>
          </w:p>
        </w:tc>
      </w:tr>
      <w:tr w:rsidR="007B485D" w:rsidRPr="00727DFA" w14:paraId="1F71E8DA" w14:textId="77777777" w:rsidTr="002D6DD7">
        <w:trPr>
          <w:trHeight w:val="42"/>
        </w:trPr>
        <w:tc>
          <w:tcPr>
            <w:tcW w:w="2605" w:type="dxa"/>
            <w:tcBorders>
              <w:top w:val="single" w:sz="4" w:space="0" w:color="auto"/>
              <w:left w:val="single" w:sz="4" w:space="0" w:color="auto"/>
              <w:bottom w:val="single" w:sz="4" w:space="0" w:color="auto"/>
              <w:right w:val="single" w:sz="4" w:space="0" w:color="auto"/>
            </w:tcBorders>
            <w:hideMark/>
          </w:tcPr>
          <w:p w14:paraId="2B10176D" w14:textId="77777777" w:rsidR="007B485D" w:rsidRPr="00727DFA" w:rsidRDefault="007B485D" w:rsidP="002D6DD7">
            <w:pPr>
              <w:jc w:val="both"/>
              <w:rPr>
                <w:rFonts w:eastAsia="Times New Roman"/>
                <w:szCs w:val="24"/>
              </w:rPr>
            </w:pPr>
            <w:r w:rsidRPr="00727DFA">
              <w:rPr>
                <w:rFonts w:eastAsia="DengXian"/>
                <w:szCs w:val="24"/>
              </w:rPr>
              <w:lastRenderedPageBreak/>
              <w:t>Contraindications</w:t>
            </w:r>
          </w:p>
        </w:tc>
        <w:tc>
          <w:tcPr>
            <w:tcW w:w="6888" w:type="dxa"/>
            <w:tcBorders>
              <w:top w:val="single" w:sz="4" w:space="0" w:color="auto"/>
              <w:left w:val="single" w:sz="4" w:space="0" w:color="auto"/>
              <w:bottom w:val="single" w:sz="4" w:space="0" w:color="auto"/>
              <w:right w:val="single" w:sz="4" w:space="0" w:color="auto"/>
            </w:tcBorders>
            <w:hideMark/>
          </w:tcPr>
          <w:p w14:paraId="235F70AA" w14:textId="77777777" w:rsidR="007B485D" w:rsidRPr="00727DFA" w:rsidRDefault="007B485D" w:rsidP="002D6DD7">
            <w:pPr>
              <w:widowControl w:val="0"/>
              <w:autoSpaceDE w:val="0"/>
              <w:autoSpaceDN w:val="0"/>
              <w:ind w:hanging="360"/>
              <w:jc w:val="both"/>
              <w:rPr>
                <w:rFonts w:eastAsia="Times New Roman"/>
                <w:szCs w:val="24"/>
              </w:rPr>
            </w:pPr>
            <w:r w:rsidRPr="00727DFA">
              <w:rPr>
                <w:rFonts w:eastAsia="Times New Roman"/>
                <w:szCs w:val="24"/>
              </w:rPr>
              <w:t xml:space="preserve">      </w:t>
            </w:r>
            <w:r>
              <w:rPr>
                <w:rFonts w:eastAsia="Times New Roman"/>
                <w:szCs w:val="24"/>
              </w:rPr>
              <w:t>Refer to</w:t>
            </w:r>
            <w:r w:rsidRPr="00727DFA">
              <w:rPr>
                <w:rFonts w:eastAsia="Times New Roman"/>
                <w:szCs w:val="24"/>
              </w:rPr>
              <w:t xml:space="preserve"> tinidazole (medicine for amoebiasis)</w:t>
            </w:r>
            <w:r>
              <w:rPr>
                <w:rFonts w:eastAsia="Times New Roman"/>
                <w:szCs w:val="24"/>
              </w:rPr>
              <w:t>.</w:t>
            </w:r>
          </w:p>
        </w:tc>
      </w:tr>
      <w:tr w:rsidR="007B485D" w:rsidRPr="00727DFA" w14:paraId="0FE5FD34"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6FFEA46C" w14:textId="77777777" w:rsidR="007B485D" w:rsidRPr="00727DFA" w:rsidRDefault="007B485D" w:rsidP="002D6DD7">
            <w:pPr>
              <w:jc w:val="both"/>
              <w:rPr>
                <w:rFonts w:eastAsia="DengXian"/>
                <w:szCs w:val="24"/>
              </w:rPr>
            </w:pPr>
            <w:r w:rsidRPr="00727DFA">
              <w:rPr>
                <w:rFonts w:eastAsia="DengXian"/>
                <w:szCs w:val="24"/>
              </w:rPr>
              <w:t>Drug interactions</w:t>
            </w:r>
          </w:p>
        </w:tc>
        <w:tc>
          <w:tcPr>
            <w:tcW w:w="6888" w:type="dxa"/>
            <w:tcBorders>
              <w:top w:val="single" w:sz="4" w:space="0" w:color="auto"/>
              <w:left w:val="single" w:sz="4" w:space="0" w:color="auto"/>
              <w:bottom w:val="single" w:sz="4" w:space="0" w:color="auto"/>
              <w:right w:val="single" w:sz="4" w:space="0" w:color="auto"/>
            </w:tcBorders>
            <w:hideMark/>
          </w:tcPr>
          <w:p w14:paraId="16F6AA0A"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tinidazole (medicine for amoebiasis)</w:t>
            </w:r>
            <w:r>
              <w:rPr>
                <w:rFonts w:eastAsia="DengXian"/>
                <w:szCs w:val="24"/>
              </w:rPr>
              <w:t>.</w:t>
            </w:r>
          </w:p>
        </w:tc>
      </w:tr>
      <w:tr w:rsidR="007B485D" w:rsidRPr="00727DFA" w14:paraId="076EBB0D"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052F76E1" w14:textId="77777777" w:rsidR="007B485D" w:rsidRPr="00727DFA" w:rsidRDefault="007B485D" w:rsidP="002D6DD7">
            <w:pPr>
              <w:jc w:val="both"/>
              <w:rPr>
                <w:rFonts w:eastAsia="DengXian"/>
                <w:szCs w:val="24"/>
              </w:rPr>
            </w:pPr>
            <w:r w:rsidRPr="00727DFA">
              <w:rPr>
                <w:rFonts w:eastAsia="DengXian"/>
                <w:szCs w:val="24"/>
              </w:rPr>
              <w:t>Side effects</w:t>
            </w:r>
          </w:p>
        </w:tc>
        <w:tc>
          <w:tcPr>
            <w:tcW w:w="6888" w:type="dxa"/>
            <w:tcBorders>
              <w:top w:val="single" w:sz="4" w:space="0" w:color="auto"/>
              <w:left w:val="single" w:sz="4" w:space="0" w:color="auto"/>
              <w:bottom w:val="single" w:sz="4" w:space="0" w:color="auto"/>
              <w:right w:val="single" w:sz="4" w:space="0" w:color="auto"/>
            </w:tcBorders>
            <w:hideMark/>
          </w:tcPr>
          <w:p w14:paraId="08F0580E"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tinidazole (medicine for amoebiasis)</w:t>
            </w:r>
            <w:r>
              <w:rPr>
                <w:rFonts w:eastAsia="DengXian"/>
                <w:szCs w:val="24"/>
              </w:rPr>
              <w:t>.</w:t>
            </w:r>
          </w:p>
        </w:tc>
      </w:tr>
      <w:tr w:rsidR="007B485D" w:rsidRPr="00727DFA" w14:paraId="24BBC8AA"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3E0A8A69" w14:textId="77777777" w:rsidR="007B485D" w:rsidRPr="00727DFA" w:rsidRDefault="007B485D" w:rsidP="002D6DD7">
            <w:pPr>
              <w:jc w:val="both"/>
              <w:rPr>
                <w:rFonts w:eastAsia="DengXian"/>
                <w:szCs w:val="24"/>
              </w:rPr>
            </w:pPr>
            <w:r w:rsidRPr="00727DFA">
              <w:rPr>
                <w:rFonts w:eastAsia="DengXian"/>
                <w:szCs w:val="24"/>
              </w:rPr>
              <w:t xml:space="preserve">Cautions </w:t>
            </w:r>
          </w:p>
        </w:tc>
        <w:tc>
          <w:tcPr>
            <w:tcW w:w="6888" w:type="dxa"/>
            <w:tcBorders>
              <w:top w:val="single" w:sz="4" w:space="0" w:color="auto"/>
              <w:left w:val="single" w:sz="4" w:space="0" w:color="auto"/>
              <w:bottom w:val="single" w:sz="4" w:space="0" w:color="auto"/>
              <w:right w:val="single" w:sz="4" w:space="0" w:color="auto"/>
            </w:tcBorders>
            <w:hideMark/>
          </w:tcPr>
          <w:p w14:paraId="356CA9D3"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tinidazole (medicine for amoebiasis)</w:t>
            </w:r>
            <w:r>
              <w:rPr>
                <w:rFonts w:eastAsia="DengXian"/>
                <w:szCs w:val="24"/>
              </w:rPr>
              <w:t>.</w:t>
            </w:r>
          </w:p>
        </w:tc>
      </w:tr>
      <w:tr w:rsidR="007B485D" w:rsidRPr="00727DFA" w14:paraId="34DDE6B1" w14:textId="77777777" w:rsidTr="002D6DD7">
        <w:trPr>
          <w:trHeight w:val="37"/>
        </w:trPr>
        <w:tc>
          <w:tcPr>
            <w:tcW w:w="2605" w:type="dxa"/>
            <w:tcBorders>
              <w:top w:val="single" w:sz="4" w:space="0" w:color="auto"/>
              <w:left w:val="single" w:sz="4" w:space="0" w:color="auto"/>
              <w:bottom w:val="single" w:sz="4" w:space="0" w:color="auto"/>
              <w:right w:val="single" w:sz="4" w:space="0" w:color="auto"/>
            </w:tcBorders>
            <w:hideMark/>
          </w:tcPr>
          <w:p w14:paraId="530DE066" w14:textId="77777777" w:rsidR="007B485D" w:rsidRPr="00727DFA" w:rsidRDefault="007B485D" w:rsidP="002D6DD7">
            <w:pPr>
              <w:jc w:val="both"/>
              <w:rPr>
                <w:rFonts w:eastAsia="DengXian"/>
                <w:szCs w:val="24"/>
              </w:rPr>
            </w:pPr>
            <w:r w:rsidRPr="00727DFA">
              <w:rPr>
                <w:rFonts w:eastAsia="DengXian"/>
                <w:szCs w:val="24"/>
              </w:rPr>
              <w:t>Storage condition</w:t>
            </w:r>
          </w:p>
        </w:tc>
        <w:tc>
          <w:tcPr>
            <w:tcW w:w="6888" w:type="dxa"/>
            <w:tcBorders>
              <w:top w:val="single" w:sz="4" w:space="0" w:color="auto"/>
              <w:left w:val="single" w:sz="4" w:space="0" w:color="auto"/>
              <w:bottom w:val="single" w:sz="4" w:space="0" w:color="auto"/>
              <w:right w:val="single" w:sz="4" w:space="0" w:color="auto"/>
            </w:tcBorders>
            <w:hideMark/>
          </w:tcPr>
          <w:p w14:paraId="56667D33" w14:textId="77777777" w:rsidR="007B485D" w:rsidRPr="00727DFA" w:rsidRDefault="007B485D" w:rsidP="002D6DD7">
            <w:pPr>
              <w:jc w:val="both"/>
              <w:rPr>
                <w:rFonts w:eastAsia="DengXian"/>
                <w:szCs w:val="24"/>
                <w:shd w:val="clear" w:color="auto" w:fill="FFFFFF"/>
              </w:rPr>
            </w:pPr>
            <w:r w:rsidRPr="00727DFA">
              <w:rPr>
                <w:rFonts w:eastAsia="DengXian"/>
                <w:szCs w:val="24"/>
                <w:shd w:val="clear" w:color="auto" w:fill="FFFFFF"/>
              </w:rPr>
              <w:t>Store below 30</w:t>
            </w:r>
            <w:r w:rsidRPr="00727DFA">
              <w:rPr>
                <w:rFonts w:eastAsia="DengXian"/>
                <w:szCs w:val="24"/>
                <w:shd w:val="clear" w:color="auto" w:fill="FFFFFF"/>
                <w:vertAlign w:val="superscript"/>
              </w:rPr>
              <w:t>o</w:t>
            </w:r>
            <w:r w:rsidRPr="00727DFA">
              <w:rPr>
                <w:rFonts w:eastAsia="DengXian"/>
                <w:szCs w:val="24"/>
                <w:shd w:val="clear" w:color="auto" w:fill="FFFFFF"/>
              </w:rPr>
              <w:t>C</w:t>
            </w:r>
            <w:r>
              <w:rPr>
                <w:rFonts w:eastAsia="DengXian"/>
                <w:szCs w:val="24"/>
                <w:shd w:val="clear" w:color="auto" w:fill="FFFFFF"/>
              </w:rPr>
              <w:t>.</w:t>
            </w:r>
          </w:p>
        </w:tc>
      </w:tr>
    </w:tbl>
    <w:p w14:paraId="3FE7F3FC" w14:textId="77777777" w:rsidR="007B485D" w:rsidRPr="00727DFA" w:rsidRDefault="007B485D" w:rsidP="007B485D">
      <w:pPr>
        <w:widowControl w:val="0"/>
        <w:autoSpaceDE w:val="0"/>
        <w:autoSpaceDN w:val="0"/>
        <w:spacing w:after="0"/>
        <w:jc w:val="both"/>
        <w:rPr>
          <w:rFonts w:eastAsia="Times New Roman" w:cs="Times New Roman"/>
          <w:kern w:val="0"/>
          <w:szCs w:val="24"/>
        </w:rPr>
      </w:pPr>
    </w:p>
    <w:p w14:paraId="4087E2AA" w14:textId="77777777" w:rsidR="007B485D" w:rsidRPr="00727DFA" w:rsidRDefault="007B485D" w:rsidP="007B485D">
      <w:pPr>
        <w:widowControl w:val="0"/>
        <w:autoSpaceDE w:val="0"/>
        <w:autoSpaceDN w:val="0"/>
        <w:spacing w:after="0"/>
        <w:jc w:val="both"/>
        <w:rPr>
          <w:rFonts w:eastAsia="Times New Roman" w:cs="Times New Roman"/>
          <w:kern w:val="0"/>
          <w:szCs w:val="24"/>
        </w:rPr>
      </w:pPr>
    </w:p>
    <w:p w14:paraId="380F5E9D" w14:textId="77777777" w:rsidR="007B485D" w:rsidRPr="00727DFA" w:rsidRDefault="007B485D" w:rsidP="007B485D">
      <w:pPr>
        <w:widowControl w:val="0"/>
        <w:autoSpaceDE w:val="0"/>
        <w:autoSpaceDN w:val="0"/>
        <w:spacing w:after="0"/>
        <w:jc w:val="both"/>
        <w:rPr>
          <w:rFonts w:eastAsia="Times New Roman" w:cs="Times New Roman"/>
          <w:kern w:val="0"/>
          <w:szCs w:val="24"/>
        </w:rPr>
      </w:pPr>
    </w:p>
    <w:p w14:paraId="40AD721F" w14:textId="77777777" w:rsidR="007B485D" w:rsidRPr="00727DFA" w:rsidRDefault="007B485D" w:rsidP="007B485D">
      <w:pPr>
        <w:widowControl w:val="0"/>
        <w:autoSpaceDE w:val="0"/>
        <w:autoSpaceDN w:val="0"/>
        <w:spacing w:after="0"/>
        <w:jc w:val="both"/>
        <w:rPr>
          <w:rFonts w:eastAsia="Times New Roman" w:cs="Times New Roman"/>
          <w:kern w:val="0"/>
          <w:szCs w:val="24"/>
        </w:rPr>
      </w:pPr>
    </w:p>
    <w:p w14:paraId="58FFD4DE" w14:textId="77777777" w:rsidR="007B485D" w:rsidRPr="00727DFA" w:rsidRDefault="007B485D" w:rsidP="007B485D">
      <w:pPr>
        <w:widowControl w:val="0"/>
        <w:autoSpaceDE w:val="0"/>
        <w:autoSpaceDN w:val="0"/>
        <w:spacing w:after="0"/>
        <w:jc w:val="both"/>
        <w:rPr>
          <w:rFonts w:eastAsia="Times New Roman" w:cs="Times New Roman"/>
          <w:b/>
          <w:kern w:val="0"/>
          <w:szCs w:val="24"/>
        </w:rPr>
      </w:pPr>
      <w:r w:rsidRPr="00727DFA">
        <w:rPr>
          <w:rFonts w:eastAsia="Batang" w:cs="Times New Roman"/>
          <w:kern w:val="0"/>
          <w:szCs w:val="24"/>
        </w:rPr>
        <w:br w:type="page"/>
      </w:r>
    </w:p>
    <w:p w14:paraId="69963F08" w14:textId="77777777" w:rsidR="007B485D" w:rsidRPr="003114B5" w:rsidRDefault="007B485D" w:rsidP="003114B5">
      <w:pPr>
        <w:rPr>
          <w:rFonts w:eastAsia="DengXian Light"/>
          <w:b/>
        </w:rPr>
      </w:pPr>
      <w:r w:rsidRPr="003114B5">
        <w:rPr>
          <w:rFonts w:eastAsia="DengXian Light"/>
          <w:b/>
        </w:rPr>
        <w:lastRenderedPageBreak/>
        <w:t>Antileishmanials</w:t>
      </w:r>
    </w:p>
    <w:p w14:paraId="43FD15CF"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Leishmaniasis is a complex tropical/sub-tropical disease caused by more than 50 species of protozoa parasites of the genus Leishmania, 20 of which being pathogenic for humans. The parasites are transmitted between mammalian hosts by more than 90 female phlebotomine sandfly species. There are several different forms of the disease: Visceral leishmaniasis (VL), also known as kala-azar, is the most serious form of the disease and it is fatal if untreated, Post-kala-azar dermal leishmaniasis (PKDL), which usually appears six months to one year after apparent cure of VL, Cutaneous leishmaniasis (CL), the most common, causes skin lesions, mainly ulcers on exposed parts of the body, leaving lifelong scars, and Mucocutaneous leishmaniasis (MCL), which leads to partial or total destruction of mucous membranes of the nose, oral, and throat.</w:t>
      </w:r>
    </w:p>
    <w:p w14:paraId="5F3A825C" w14:textId="77777777" w:rsidR="007B485D" w:rsidRPr="00727DFA" w:rsidRDefault="007B485D" w:rsidP="003114B5">
      <w:pPr>
        <w:spacing w:before="240"/>
        <w:jc w:val="both"/>
        <w:rPr>
          <w:rFonts w:eastAsia="DengXian" w:cs="Times New Roman"/>
          <w:szCs w:val="24"/>
          <w:shd w:val="clear" w:color="auto" w:fill="FFFFFF"/>
        </w:rPr>
      </w:pPr>
      <w:r w:rsidRPr="00727DFA">
        <w:rPr>
          <w:rFonts w:eastAsia="DengXian" w:cs="Times New Roman"/>
          <w:szCs w:val="24"/>
          <w:shd w:val="clear" w:color="auto" w:fill="FFFFFF"/>
        </w:rPr>
        <w:t xml:space="preserve">Currently, the drugs used for leishmaniasis include older drugs such as pentavalent antimony, pentamidine, amphotericin B, and newer drugs such as the imidazoles, miltefosine, paromomycin, and liposomal amphotericin B. </w:t>
      </w:r>
      <w:r w:rsidRPr="00727DFA">
        <w:rPr>
          <w:rFonts w:eastAsia="Times New Roman" w:cs="Times New Roman"/>
          <w:bCs/>
          <w:szCs w:val="24"/>
          <w:lang w:val="it-IT"/>
        </w:rPr>
        <w:t xml:space="preserve">Sodium Stibogluconate, an organic pentavalent antimony compound, is the primary treatment for visceral leishmaniasis. Miltefosine has been employed in antimony-resistant visceral leishmaniasis. </w:t>
      </w:r>
    </w:p>
    <w:tbl>
      <w:tblPr>
        <w:tblStyle w:val="TableGrid"/>
        <w:tblW w:w="9355" w:type="dxa"/>
        <w:tblLook w:val="04A0" w:firstRow="1" w:lastRow="0" w:firstColumn="1" w:lastColumn="0" w:noHBand="0" w:noVBand="1"/>
      </w:tblPr>
      <w:tblGrid>
        <w:gridCol w:w="2605"/>
        <w:gridCol w:w="6750"/>
      </w:tblGrid>
      <w:tr w:rsidR="007B485D" w:rsidRPr="00727DFA" w14:paraId="5F474956"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62A7ED4B" w14:textId="77777777" w:rsidR="007B485D" w:rsidRPr="00727DFA" w:rsidRDefault="007B485D" w:rsidP="002D6DD7">
            <w:pPr>
              <w:jc w:val="both"/>
              <w:rPr>
                <w:rFonts w:eastAsia="DengXian"/>
                <w:b/>
                <w:szCs w:val="24"/>
              </w:rPr>
            </w:pPr>
            <w:r w:rsidRPr="00727DFA">
              <w:rPr>
                <w:rFonts w:eastAsia="DengXian"/>
                <w:b/>
                <w:szCs w:val="24"/>
              </w:rPr>
              <w:t>Amphotericin B</w:t>
            </w:r>
          </w:p>
        </w:tc>
      </w:tr>
      <w:tr w:rsidR="007B485D" w:rsidRPr="00727DFA" w14:paraId="51B9F05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D54215"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2C54F14D" w14:textId="77777777" w:rsidR="007B485D" w:rsidRPr="00727DFA" w:rsidRDefault="007B485D" w:rsidP="002D6DD7">
            <w:pPr>
              <w:jc w:val="both"/>
              <w:rPr>
                <w:rFonts w:eastAsia="DengXian"/>
                <w:szCs w:val="24"/>
              </w:rPr>
            </w:pPr>
            <w:r w:rsidRPr="00727DFA">
              <w:rPr>
                <w:rFonts w:eastAsia="Times New Roman"/>
                <w:szCs w:val="24"/>
              </w:rPr>
              <w:t>Polyene a</w:t>
            </w:r>
            <w:r w:rsidRPr="00727DFA">
              <w:rPr>
                <w:rFonts w:eastAsia="DengXian"/>
                <w:szCs w:val="24"/>
              </w:rPr>
              <w:t>ntifungal</w:t>
            </w:r>
          </w:p>
        </w:tc>
      </w:tr>
      <w:tr w:rsidR="007B485D" w:rsidRPr="00727DFA" w14:paraId="5A978E7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46EE02"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6D25B4D7" w14:textId="77777777" w:rsidR="007B485D" w:rsidRPr="00727DFA" w:rsidRDefault="007B485D" w:rsidP="002D6DD7">
            <w:pPr>
              <w:jc w:val="both"/>
              <w:rPr>
                <w:rFonts w:eastAsia="DengXian"/>
                <w:szCs w:val="24"/>
              </w:rPr>
            </w:pPr>
            <w:r w:rsidRPr="00727DFA">
              <w:rPr>
                <w:rFonts w:eastAsia="DengXian"/>
                <w:szCs w:val="24"/>
              </w:rPr>
              <w:t>Powder for Injection (Liposomal Complex): 50 mg/vial</w:t>
            </w:r>
          </w:p>
        </w:tc>
      </w:tr>
      <w:tr w:rsidR="007B485D" w:rsidRPr="00727DFA" w14:paraId="10C4DF6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408C73"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5E58D3DE" w14:textId="77777777" w:rsidR="007B485D" w:rsidRPr="00727DFA" w:rsidRDefault="007B485D" w:rsidP="002D6DD7">
            <w:pPr>
              <w:jc w:val="both"/>
              <w:rPr>
                <w:rFonts w:eastAsia="DengXian"/>
                <w:szCs w:val="24"/>
              </w:rPr>
            </w:pPr>
            <w:r w:rsidRPr="00727DFA">
              <w:rPr>
                <w:rFonts w:eastAsia="DengXian"/>
                <w:szCs w:val="24"/>
              </w:rPr>
              <w:t>Treatment of visceral leishmaniasis</w:t>
            </w:r>
            <w:r>
              <w:rPr>
                <w:rFonts w:eastAsia="DengXian"/>
                <w:szCs w:val="24"/>
              </w:rPr>
              <w:t>.</w:t>
            </w:r>
          </w:p>
        </w:tc>
      </w:tr>
      <w:tr w:rsidR="007B485D" w:rsidRPr="00727DFA" w14:paraId="062A1D6C" w14:textId="77777777" w:rsidTr="002D6DD7">
        <w:trPr>
          <w:trHeight w:val="908"/>
        </w:trPr>
        <w:tc>
          <w:tcPr>
            <w:tcW w:w="2605" w:type="dxa"/>
            <w:tcBorders>
              <w:top w:val="single" w:sz="4" w:space="0" w:color="auto"/>
              <w:left w:val="single" w:sz="4" w:space="0" w:color="auto"/>
              <w:bottom w:val="single" w:sz="4" w:space="0" w:color="auto"/>
              <w:right w:val="single" w:sz="4" w:space="0" w:color="auto"/>
            </w:tcBorders>
            <w:hideMark/>
          </w:tcPr>
          <w:p w14:paraId="6BBBC856"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1E017B7D" w14:textId="77777777" w:rsidR="007B485D" w:rsidRPr="00727DFA" w:rsidRDefault="007B485D" w:rsidP="002D6DD7">
            <w:pPr>
              <w:jc w:val="both"/>
              <w:rPr>
                <w:rFonts w:eastAsia="DengXian"/>
                <w:szCs w:val="24"/>
              </w:rPr>
            </w:pPr>
            <w:r w:rsidRPr="00727DFA">
              <w:rPr>
                <w:rFonts w:eastAsia="DengXian"/>
                <w:szCs w:val="24"/>
              </w:rPr>
              <w:t xml:space="preserve">IV Infusion: </w:t>
            </w:r>
          </w:p>
          <w:p w14:paraId="39EB21C8"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w:t>
            </w:r>
            <w:r w:rsidRPr="00727DFA">
              <w:rPr>
                <w:rFonts w:eastAsia="DengXian"/>
                <w:color w:val="000000"/>
                <w:szCs w:val="24"/>
              </w:rPr>
              <w:t>2-3mg/kg/day (for a total of 20-40mg/ kg)</w:t>
            </w:r>
          </w:p>
          <w:p w14:paraId="0C7BD86A" w14:textId="77777777" w:rsidR="007B485D" w:rsidRPr="00727DFA" w:rsidRDefault="007B485D" w:rsidP="002D6DD7">
            <w:pPr>
              <w:jc w:val="both"/>
              <w:rPr>
                <w:rFonts w:eastAsia="DengXian"/>
                <w:szCs w:val="24"/>
              </w:rPr>
            </w:pPr>
            <w:r w:rsidRPr="00727DFA">
              <w:rPr>
                <w:rFonts w:eastAsia="DengXian"/>
                <w:b/>
                <w:bCs/>
                <w:szCs w:val="24"/>
              </w:rPr>
              <w:t>Immunocompromised patients</w:t>
            </w:r>
            <w:r w:rsidRPr="00727DFA">
              <w:rPr>
                <w:rFonts w:eastAsia="DengXian"/>
                <w:szCs w:val="24"/>
              </w:rPr>
              <w:t xml:space="preserve">: 4 mg/kg/day </w:t>
            </w:r>
          </w:p>
        </w:tc>
      </w:tr>
      <w:tr w:rsidR="007B485D" w:rsidRPr="00727DFA" w14:paraId="4E08EB4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B77395"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50D9C936"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amphotericin (antifungals)</w:t>
            </w:r>
            <w:r>
              <w:rPr>
                <w:rFonts w:eastAsia="DengXian"/>
                <w:szCs w:val="24"/>
              </w:rPr>
              <w:t>.</w:t>
            </w:r>
          </w:p>
        </w:tc>
      </w:tr>
      <w:tr w:rsidR="007B485D" w:rsidRPr="00727DFA" w14:paraId="0FE9C5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376B72" w14:textId="77777777" w:rsidR="007B485D" w:rsidRPr="00727DFA" w:rsidRDefault="007B485D" w:rsidP="002D6DD7">
            <w:pPr>
              <w:jc w:val="both"/>
              <w:rPr>
                <w:rFonts w:eastAsia="DengXian"/>
                <w:szCs w:val="24"/>
              </w:rPr>
            </w:pPr>
            <w:r w:rsidRPr="00727DFA">
              <w:rPr>
                <w:rFonts w:eastAsia="DengXi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3421CE08"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amphotericin (antifungals)</w:t>
            </w:r>
            <w:r>
              <w:rPr>
                <w:rFonts w:eastAsia="DengXian"/>
                <w:szCs w:val="24"/>
              </w:rPr>
              <w:t>.</w:t>
            </w:r>
          </w:p>
        </w:tc>
      </w:tr>
      <w:tr w:rsidR="007B485D" w:rsidRPr="00727DFA" w14:paraId="36A752A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513D3D" w14:textId="77777777" w:rsidR="007B485D" w:rsidRPr="00727DFA" w:rsidRDefault="007B485D" w:rsidP="002D6DD7">
            <w:pPr>
              <w:jc w:val="both"/>
              <w:rPr>
                <w:rFonts w:eastAsia="DengXian"/>
                <w:szCs w:val="24"/>
              </w:rPr>
            </w:pPr>
            <w:r w:rsidRPr="00727DFA">
              <w:rPr>
                <w:rFonts w:eastAsia="DengXi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45A71A43"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amphotericin (antifungals)</w:t>
            </w:r>
            <w:r>
              <w:rPr>
                <w:rFonts w:eastAsia="DengXian"/>
                <w:szCs w:val="24"/>
              </w:rPr>
              <w:t>.</w:t>
            </w:r>
          </w:p>
        </w:tc>
      </w:tr>
      <w:tr w:rsidR="007B485D" w:rsidRPr="00727DFA" w14:paraId="37AD20F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1ADA76" w14:textId="77777777" w:rsidR="007B485D" w:rsidRPr="00727DFA" w:rsidRDefault="007B485D" w:rsidP="002D6DD7">
            <w:pPr>
              <w:jc w:val="both"/>
              <w:rPr>
                <w:rFonts w:eastAsia="DengXian"/>
                <w:szCs w:val="24"/>
              </w:rPr>
            </w:pPr>
            <w:r w:rsidRPr="00727DFA">
              <w:rPr>
                <w:rFonts w:eastAsia="DengXian"/>
                <w:szCs w:val="24"/>
              </w:rPr>
              <w:t>Cautions</w:t>
            </w:r>
          </w:p>
        </w:tc>
        <w:tc>
          <w:tcPr>
            <w:tcW w:w="6750" w:type="dxa"/>
            <w:tcBorders>
              <w:top w:val="single" w:sz="4" w:space="0" w:color="auto"/>
              <w:left w:val="single" w:sz="4" w:space="0" w:color="auto"/>
              <w:bottom w:val="single" w:sz="4" w:space="0" w:color="auto"/>
              <w:right w:val="single" w:sz="4" w:space="0" w:color="auto"/>
            </w:tcBorders>
            <w:hideMark/>
          </w:tcPr>
          <w:p w14:paraId="3D3BBC21"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amphotericin (antifungals)</w:t>
            </w:r>
            <w:r>
              <w:rPr>
                <w:rFonts w:eastAsia="DengXian"/>
                <w:szCs w:val="24"/>
              </w:rPr>
              <w:t>.</w:t>
            </w:r>
          </w:p>
        </w:tc>
      </w:tr>
      <w:tr w:rsidR="007B485D" w:rsidRPr="00727DFA" w14:paraId="4D468B7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D6A1EA" w14:textId="77777777" w:rsidR="007B485D" w:rsidRPr="00727DFA" w:rsidRDefault="007B485D" w:rsidP="002D6DD7">
            <w:pPr>
              <w:jc w:val="both"/>
              <w:rPr>
                <w:rFonts w:eastAsia="DengXian"/>
                <w:szCs w:val="24"/>
              </w:rPr>
            </w:pPr>
            <w:r w:rsidRPr="00727DFA">
              <w:rPr>
                <w:rFonts w:eastAsia="DengXi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500E3CF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0CEE96DC"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2661B1CC" w14:textId="77777777" w:rsidR="007B485D" w:rsidRPr="00727DFA" w:rsidRDefault="007B485D" w:rsidP="002D6DD7">
            <w:pPr>
              <w:jc w:val="both"/>
              <w:rPr>
                <w:rFonts w:eastAsia="DengXian"/>
                <w:b/>
                <w:bCs/>
                <w:szCs w:val="24"/>
              </w:rPr>
            </w:pPr>
            <w:r w:rsidRPr="00727DFA">
              <w:rPr>
                <w:rFonts w:eastAsia="DengXian"/>
                <w:b/>
                <w:szCs w:val="24"/>
              </w:rPr>
              <w:t>Miltefosine</w:t>
            </w:r>
          </w:p>
        </w:tc>
      </w:tr>
      <w:tr w:rsidR="007B485D" w:rsidRPr="00727DFA" w14:paraId="0EFB24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1E2ECB" w14:textId="77777777" w:rsidR="007B485D" w:rsidRPr="00727DFA" w:rsidRDefault="007B485D" w:rsidP="002D6DD7">
            <w:pPr>
              <w:jc w:val="both"/>
              <w:rPr>
                <w:rFonts w:eastAsia="DengXian"/>
                <w:szCs w:val="24"/>
              </w:rPr>
            </w:pPr>
            <w:r w:rsidRPr="00727DFA">
              <w:rPr>
                <w:rFonts w:eastAsia="DengXian"/>
                <w:szCs w:val="24"/>
              </w:rPr>
              <w:lastRenderedPageBreak/>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78F5F669" w14:textId="77777777" w:rsidR="007B485D" w:rsidRPr="00727DFA" w:rsidRDefault="007B485D" w:rsidP="002D6DD7">
            <w:pPr>
              <w:jc w:val="both"/>
              <w:rPr>
                <w:rFonts w:eastAsia="DengXian"/>
                <w:szCs w:val="24"/>
              </w:rPr>
            </w:pPr>
            <w:r w:rsidRPr="00727DFA">
              <w:rPr>
                <w:rFonts w:eastAsia="DengXian"/>
                <w:szCs w:val="24"/>
              </w:rPr>
              <w:t>Phosphocholines antiprotozoal</w:t>
            </w:r>
          </w:p>
        </w:tc>
      </w:tr>
      <w:tr w:rsidR="007B485D" w:rsidRPr="00727DFA" w14:paraId="4C0C6B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A44944"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609B9768" w14:textId="77777777" w:rsidR="007B485D" w:rsidRPr="00727DFA" w:rsidRDefault="007B485D" w:rsidP="002D6DD7">
            <w:pPr>
              <w:jc w:val="both"/>
              <w:rPr>
                <w:rFonts w:eastAsia="DengXian"/>
                <w:szCs w:val="24"/>
              </w:rPr>
            </w:pPr>
            <w:r w:rsidRPr="00727DFA">
              <w:rPr>
                <w:rFonts w:eastAsia="DengXian"/>
                <w:szCs w:val="24"/>
              </w:rPr>
              <w:t>Solid oral dosage form: 10 mg, 50 mg</w:t>
            </w:r>
          </w:p>
        </w:tc>
      </w:tr>
      <w:tr w:rsidR="007B485D" w:rsidRPr="00727DFA" w14:paraId="0CEDC1E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884E89" w14:textId="77777777" w:rsidR="007B485D" w:rsidRPr="00727DFA" w:rsidRDefault="007B485D" w:rsidP="002D6DD7">
            <w:pPr>
              <w:jc w:val="both"/>
              <w:rPr>
                <w:rFonts w:eastAsia="DengXian"/>
                <w:b/>
                <w:bCs/>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6F39869A" w14:textId="77777777" w:rsidR="007B485D" w:rsidRPr="00727DFA" w:rsidRDefault="007B485D" w:rsidP="002D6DD7">
            <w:pPr>
              <w:jc w:val="both"/>
              <w:rPr>
                <w:rFonts w:eastAsia="DengXian"/>
                <w:szCs w:val="24"/>
              </w:rPr>
            </w:pPr>
            <w:r w:rsidRPr="00727DFA">
              <w:rPr>
                <w:rFonts w:eastAsia="DengXian"/>
                <w:szCs w:val="24"/>
              </w:rPr>
              <w:t>Treatment of visceral and cutaneous leishmaniasis</w:t>
            </w:r>
          </w:p>
        </w:tc>
      </w:tr>
      <w:tr w:rsidR="007B485D" w:rsidRPr="00727DFA" w14:paraId="32ADD17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355DDE" w14:textId="77777777" w:rsidR="007B485D" w:rsidRPr="00727DFA" w:rsidRDefault="007B485D" w:rsidP="002D6DD7">
            <w:pPr>
              <w:jc w:val="both"/>
              <w:rPr>
                <w:rFonts w:eastAsia="DengXian"/>
                <w:szCs w:val="24"/>
              </w:rPr>
            </w:pPr>
            <w:r w:rsidRPr="00727DFA">
              <w:rPr>
                <w:rFonts w:eastAsia="DengXi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525ECD09" w14:textId="77777777" w:rsidR="007B485D" w:rsidRPr="00727DFA" w:rsidRDefault="007B485D" w:rsidP="002D6DD7">
            <w:pPr>
              <w:jc w:val="both"/>
              <w:rPr>
                <w:rFonts w:eastAsia="DengXian"/>
                <w:b/>
                <w:bCs/>
                <w:szCs w:val="24"/>
              </w:rPr>
            </w:pPr>
            <w:r w:rsidRPr="00727DFA">
              <w:rPr>
                <w:rFonts w:eastAsia="DengXian"/>
                <w:b/>
                <w:bCs/>
                <w:szCs w:val="24"/>
              </w:rPr>
              <w:t>Oral:</w:t>
            </w:r>
          </w:p>
          <w:p w14:paraId="19ECC5BD"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50 mg </w:t>
            </w:r>
            <w:r>
              <w:rPr>
                <w:rFonts w:eastAsia="DengXian"/>
                <w:szCs w:val="24"/>
              </w:rPr>
              <w:t xml:space="preserve">2-3 times </w:t>
            </w:r>
            <w:r w:rsidRPr="00727DFA">
              <w:rPr>
                <w:rFonts w:eastAsia="DengXian"/>
                <w:szCs w:val="24"/>
              </w:rPr>
              <w:t xml:space="preserve">daily for 28 days. </w:t>
            </w:r>
          </w:p>
          <w:p w14:paraId="2B6A939E" w14:textId="77777777" w:rsidR="007B485D" w:rsidRPr="00727DFA" w:rsidRDefault="007B485D" w:rsidP="002D6DD7">
            <w:pPr>
              <w:jc w:val="both"/>
              <w:rPr>
                <w:rFonts w:eastAsia="DengXian"/>
                <w:szCs w:val="24"/>
              </w:rPr>
            </w:pPr>
            <w:r w:rsidRPr="00727DFA">
              <w:rPr>
                <w:rFonts w:eastAsia="DengXian"/>
                <w:b/>
                <w:bCs/>
                <w:szCs w:val="24"/>
              </w:rPr>
              <w:t>Pediatric:</w:t>
            </w:r>
            <w:r w:rsidRPr="00727DFA">
              <w:rPr>
                <w:rFonts w:eastAsia="DengXian"/>
                <w:szCs w:val="24"/>
              </w:rPr>
              <w:t xml:space="preserve"> 2.5 mg/kg/day orally, divided into two doses (maximum dose 50 mg twice daily).</w:t>
            </w:r>
          </w:p>
        </w:tc>
      </w:tr>
      <w:tr w:rsidR="007B485D" w:rsidRPr="00727DFA" w14:paraId="7B813CE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499D7E"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102BCDC2" w14:textId="77777777" w:rsidR="007B485D" w:rsidRPr="00727DFA" w:rsidRDefault="007B485D" w:rsidP="002D6DD7">
            <w:pPr>
              <w:jc w:val="both"/>
              <w:rPr>
                <w:rFonts w:eastAsia="DengXian"/>
                <w:szCs w:val="24"/>
              </w:rPr>
            </w:pPr>
            <w:r w:rsidRPr="00727DFA">
              <w:rPr>
                <w:rFonts w:eastAsia="DengXian"/>
                <w:szCs w:val="24"/>
              </w:rPr>
              <w:t xml:space="preserve">Hypersensitivity to miltefosine, pregnancy. </w:t>
            </w:r>
          </w:p>
        </w:tc>
      </w:tr>
      <w:tr w:rsidR="007B485D" w:rsidRPr="00727DFA" w14:paraId="32F480C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80B4BCE" w14:textId="77777777" w:rsidR="007B485D" w:rsidRPr="00727DFA" w:rsidRDefault="007B485D" w:rsidP="002D6DD7">
            <w:pPr>
              <w:jc w:val="both"/>
              <w:rPr>
                <w:rFonts w:eastAsia="DengXian"/>
                <w:szCs w:val="24"/>
              </w:rPr>
            </w:pPr>
            <w:r w:rsidRPr="00727DFA">
              <w:rPr>
                <w:rFonts w:eastAsia="DengXian"/>
                <w:szCs w:val="24"/>
              </w:rPr>
              <w:t xml:space="preserve">Drug </w:t>
            </w:r>
            <w:r>
              <w:rPr>
                <w:rFonts w:eastAsia="DengXian"/>
                <w:szCs w:val="24"/>
              </w:rPr>
              <w:t>i</w:t>
            </w:r>
            <w:r w:rsidRPr="00727DFA">
              <w:rPr>
                <w:rFonts w:eastAsia="DengXian"/>
                <w:szCs w:val="24"/>
              </w:rPr>
              <w:t>nteractions</w:t>
            </w:r>
          </w:p>
        </w:tc>
        <w:tc>
          <w:tcPr>
            <w:tcW w:w="6750" w:type="dxa"/>
            <w:tcBorders>
              <w:top w:val="single" w:sz="4" w:space="0" w:color="auto"/>
              <w:left w:val="single" w:sz="4" w:space="0" w:color="auto"/>
              <w:bottom w:val="single" w:sz="4" w:space="0" w:color="auto"/>
              <w:right w:val="single" w:sz="4" w:space="0" w:color="auto"/>
            </w:tcBorders>
            <w:hideMark/>
          </w:tcPr>
          <w:p w14:paraId="5467F37A" w14:textId="77777777" w:rsidR="007B485D" w:rsidRPr="00727DFA" w:rsidRDefault="007B485D" w:rsidP="002D6DD7">
            <w:pPr>
              <w:jc w:val="both"/>
              <w:rPr>
                <w:rFonts w:eastAsia="DengXian"/>
                <w:szCs w:val="24"/>
              </w:rPr>
            </w:pPr>
            <w:r w:rsidRPr="00727DFA">
              <w:rPr>
                <w:rFonts w:eastAsia="DengXian"/>
                <w:szCs w:val="24"/>
              </w:rPr>
              <w:t>Concomitant use with nephrotoxic drugs (e.g., aminoglycosides, amphotericin B), antiretroviral drugs, hepatotoxic medications.</w:t>
            </w:r>
          </w:p>
        </w:tc>
      </w:tr>
      <w:tr w:rsidR="007B485D" w:rsidRPr="00727DFA" w14:paraId="6ECD014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FC92D4" w14:textId="77777777" w:rsidR="007B485D" w:rsidRPr="00727DFA" w:rsidRDefault="007B485D" w:rsidP="002D6DD7">
            <w:pPr>
              <w:jc w:val="both"/>
              <w:rPr>
                <w:rFonts w:eastAsia="DengXian"/>
                <w:szCs w:val="24"/>
              </w:rPr>
            </w:pPr>
            <w:r w:rsidRPr="00727DFA">
              <w:rPr>
                <w:rFonts w:eastAsia="DengXian"/>
                <w:szCs w:val="24"/>
              </w:rPr>
              <w:t xml:space="preserve">Side </w:t>
            </w:r>
            <w:r>
              <w:rPr>
                <w:rFonts w:eastAsia="DengXian"/>
                <w:szCs w:val="24"/>
              </w:rPr>
              <w:t>e</w:t>
            </w:r>
            <w:r w:rsidRPr="00727DFA">
              <w:rPr>
                <w:rFonts w:eastAsia="DengXian"/>
                <w:szCs w:val="24"/>
              </w:rPr>
              <w:t>ffects</w:t>
            </w:r>
          </w:p>
        </w:tc>
        <w:tc>
          <w:tcPr>
            <w:tcW w:w="6750" w:type="dxa"/>
            <w:tcBorders>
              <w:top w:val="single" w:sz="4" w:space="0" w:color="auto"/>
              <w:left w:val="single" w:sz="4" w:space="0" w:color="auto"/>
              <w:bottom w:val="single" w:sz="4" w:space="0" w:color="auto"/>
              <w:right w:val="single" w:sz="4" w:space="0" w:color="auto"/>
            </w:tcBorders>
            <w:hideMark/>
          </w:tcPr>
          <w:p w14:paraId="3C99AEA0" w14:textId="77777777" w:rsidR="007B485D" w:rsidRPr="00727DFA" w:rsidRDefault="007B485D" w:rsidP="002D6DD7">
            <w:pPr>
              <w:jc w:val="both"/>
              <w:rPr>
                <w:rFonts w:eastAsia="DengXian"/>
                <w:szCs w:val="24"/>
              </w:rPr>
            </w:pPr>
            <w:r w:rsidRPr="00727DFA">
              <w:rPr>
                <w:rFonts w:eastAsia="DengXian"/>
                <w:szCs w:val="24"/>
              </w:rPr>
              <w:t>Nausea, vomiting, diarrhea, abdominal pain, headache, dizziness. elevated liver enzymes, renal impairment, thrombocytopenia, neutropenia, rash.</w:t>
            </w:r>
          </w:p>
        </w:tc>
      </w:tr>
      <w:tr w:rsidR="007B485D" w:rsidRPr="00727DFA" w14:paraId="39A9A1BF" w14:textId="77777777" w:rsidTr="002D6DD7">
        <w:trPr>
          <w:trHeight w:hRule="exact" w:val="1252"/>
        </w:trPr>
        <w:tc>
          <w:tcPr>
            <w:tcW w:w="2605" w:type="dxa"/>
            <w:tcBorders>
              <w:top w:val="single" w:sz="4" w:space="0" w:color="auto"/>
              <w:left w:val="single" w:sz="4" w:space="0" w:color="auto"/>
              <w:bottom w:val="single" w:sz="4" w:space="0" w:color="auto"/>
              <w:right w:val="single" w:sz="4" w:space="0" w:color="auto"/>
            </w:tcBorders>
            <w:hideMark/>
          </w:tcPr>
          <w:p w14:paraId="49B6A967" w14:textId="77777777" w:rsidR="007B485D" w:rsidRPr="00727DFA" w:rsidRDefault="007B485D" w:rsidP="002D6DD7">
            <w:pPr>
              <w:jc w:val="both"/>
              <w:rPr>
                <w:rFonts w:eastAsia="DengXian"/>
                <w:szCs w:val="24"/>
              </w:rPr>
            </w:pPr>
            <w:r w:rsidRPr="00727DFA">
              <w:rPr>
                <w:rFonts w:eastAsia="DengXian"/>
                <w:szCs w:val="24"/>
              </w:rPr>
              <w:t>Cautions</w:t>
            </w:r>
          </w:p>
        </w:tc>
        <w:tc>
          <w:tcPr>
            <w:tcW w:w="6750" w:type="dxa"/>
            <w:tcBorders>
              <w:top w:val="single" w:sz="4" w:space="0" w:color="auto"/>
              <w:left w:val="single" w:sz="4" w:space="0" w:color="auto"/>
              <w:bottom w:val="single" w:sz="4" w:space="0" w:color="auto"/>
              <w:right w:val="single" w:sz="4" w:space="0" w:color="auto"/>
            </w:tcBorders>
          </w:tcPr>
          <w:p w14:paraId="7F8DBFA3" w14:textId="77777777" w:rsidR="007B485D" w:rsidRDefault="007B485D" w:rsidP="002D6DD7">
            <w:pPr>
              <w:jc w:val="both"/>
              <w:rPr>
                <w:rFonts w:eastAsia="DengXian"/>
                <w:szCs w:val="24"/>
              </w:rPr>
            </w:pPr>
            <w:r w:rsidRPr="00727DFA">
              <w:rPr>
                <w:rFonts w:eastAsia="DengXian"/>
                <w:szCs w:val="24"/>
              </w:rPr>
              <w:t xml:space="preserve">Renal or hepatic impairment, breastfeeding. </w:t>
            </w:r>
          </w:p>
          <w:p w14:paraId="7BFDCDA4" w14:textId="77777777" w:rsidR="007B485D" w:rsidRPr="00727DFA" w:rsidRDefault="007B485D" w:rsidP="002D6DD7">
            <w:pPr>
              <w:jc w:val="both"/>
              <w:rPr>
                <w:rFonts w:eastAsia="DengXian"/>
                <w:szCs w:val="24"/>
              </w:rPr>
            </w:pPr>
            <w:r w:rsidRPr="00873AF2">
              <w:rPr>
                <w:rFonts w:eastAsia="DengXian"/>
                <w:b/>
                <w:bCs/>
                <w:szCs w:val="24"/>
              </w:rPr>
              <w:t>Note</w:t>
            </w:r>
            <w:r>
              <w:rPr>
                <w:rFonts w:eastAsia="DengXian"/>
                <w:szCs w:val="24"/>
              </w:rPr>
              <w:t xml:space="preserve">: </w:t>
            </w:r>
            <w:r w:rsidRPr="00873AF2">
              <w:rPr>
                <w:rFonts w:eastAsia="DengXian"/>
                <w:i/>
                <w:iCs/>
                <w:szCs w:val="24"/>
              </w:rPr>
              <w:t>effective contraception should be used during and for at least 5 months after treatment.</w:t>
            </w:r>
            <w:r w:rsidRPr="00727DFA">
              <w:rPr>
                <w:rFonts w:eastAsia="DengXian"/>
                <w:szCs w:val="24"/>
              </w:rPr>
              <w:t xml:space="preserve"> </w:t>
            </w:r>
          </w:p>
          <w:p w14:paraId="52C70F7A" w14:textId="77777777" w:rsidR="007B485D" w:rsidRPr="00727DFA" w:rsidRDefault="007B485D" w:rsidP="002D6DD7">
            <w:pPr>
              <w:jc w:val="both"/>
              <w:rPr>
                <w:rFonts w:eastAsia="DengXian"/>
                <w:szCs w:val="24"/>
              </w:rPr>
            </w:pPr>
          </w:p>
        </w:tc>
      </w:tr>
      <w:tr w:rsidR="007B485D" w:rsidRPr="00727DFA" w14:paraId="79E4CF7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AF01D7" w14:textId="77777777" w:rsidR="007B485D" w:rsidRPr="00727DFA" w:rsidRDefault="007B485D" w:rsidP="002D6DD7">
            <w:pPr>
              <w:jc w:val="both"/>
              <w:rPr>
                <w:rFonts w:eastAsia="DengXian"/>
                <w:szCs w:val="24"/>
              </w:rPr>
            </w:pPr>
            <w:r w:rsidRPr="00727DFA">
              <w:rPr>
                <w:rFonts w:eastAsia="DengXian"/>
                <w:szCs w:val="24"/>
              </w:rPr>
              <w:t xml:space="preserve">Storage </w:t>
            </w:r>
            <w:r>
              <w:rPr>
                <w:rFonts w:eastAsia="DengXian"/>
                <w:szCs w:val="24"/>
              </w:rPr>
              <w:t>c</w:t>
            </w:r>
            <w:r w:rsidRPr="00727DFA">
              <w:rPr>
                <w:rFonts w:eastAsia="DengXian"/>
                <w:szCs w:val="24"/>
              </w:rPr>
              <w:t>ondition</w:t>
            </w:r>
          </w:p>
        </w:tc>
        <w:tc>
          <w:tcPr>
            <w:tcW w:w="6750" w:type="dxa"/>
            <w:tcBorders>
              <w:top w:val="single" w:sz="4" w:space="0" w:color="auto"/>
              <w:left w:val="single" w:sz="4" w:space="0" w:color="auto"/>
              <w:bottom w:val="single" w:sz="4" w:space="0" w:color="auto"/>
              <w:right w:val="single" w:sz="4" w:space="0" w:color="auto"/>
            </w:tcBorders>
            <w:hideMark/>
          </w:tcPr>
          <w:p w14:paraId="43E66CB2"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16DF1052"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59F7EA29" w14:textId="77777777" w:rsidR="007B485D" w:rsidRPr="00727DFA" w:rsidRDefault="007B485D" w:rsidP="002D6DD7">
            <w:pPr>
              <w:jc w:val="both"/>
              <w:rPr>
                <w:rFonts w:eastAsia="DengXian"/>
                <w:b/>
                <w:szCs w:val="24"/>
              </w:rPr>
            </w:pPr>
            <w:r w:rsidRPr="00727DFA">
              <w:rPr>
                <w:rFonts w:eastAsia="DengXian"/>
                <w:b/>
                <w:szCs w:val="24"/>
              </w:rPr>
              <w:t>Paromomycin</w:t>
            </w:r>
          </w:p>
        </w:tc>
      </w:tr>
      <w:tr w:rsidR="007B485D" w:rsidRPr="00727DFA" w14:paraId="1A10497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81E313" w14:textId="77777777" w:rsidR="007B485D" w:rsidRPr="00727DFA" w:rsidRDefault="007B485D" w:rsidP="002D6DD7">
            <w:pPr>
              <w:jc w:val="both"/>
              <w:rPr>
                <w:rFonts w:eastAsia="DengXian"/>
                <w:szCs w:val="24"/>
              </w:rPr>
            </w:pPr>
            <w:r w:rsidRPr="00727DFA">
              <w:rPr>
                <w:rFonts w:eastAsia="DengXi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3FF0F5BE" w14:textId="77777777" w:rsidR="007B485D" w:rsidRPr="00727DFA" w:rsidRDefault="007B485D" w:rsidP="002D6DD7">
            <w:pPr>
              <w:jc w:val="both"/>
              <w:rPr>
                <w:rFonts w:eastAsia="DengXian"/>
                <w:szCs w:val="24"/>
              </w:rPr>
            </w:pPr>
            <w:r w:rsidRPr="00727DFA">
              <w:rPr>
                <w:rFonts w:eastAsia="DengXian"/>
                <w:szCs w:val="24"/>
              </w:rPr>
              <w:t>Aminoglycoside</w:t>
            </w:r>
            <w:r>
              <w:rPr>
                <w:rFonts w:eastAsia="DengXian"/>
                <w:szCs w:val="24"/>
              </w:rPr>
              <w:t xml:space="preserve"> </w:t>
            </w:r>
          </w:p>
        </w:tc>
      </w:tr>
      <w:tr w:rsidR="007B485D" w:rsidRPr="00727DFA" w14:paraId="0237809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DE88EE" w14:textId="77777777" w:rsidR="007B485D" w:rsidRPr="00727DFA" w:rsidRDefault="007B485D" w:rsidP="002D6DD7">
            <w:pPr>
              <w:jc w:val="both"/>
              <w:rPr>
                <w:rFonts w:eastAsia="DengXian"/>
                <w:szCs w:val="24"/>
              </w:rPr>
            </w:pPr>
            <w:r w:rsidRPr="00727DFA">
              <w:rPr>
                <w:rFonts w:eastAsia="DengXi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5D380F97" w14:textId="77777777" w:rsidR="007B485D" w:rsidRPr="00727DFA" w:rsidRDefault="007B485D" w:rsidP="002D6DD7">
            <w:pPr>
              <w:jc w:val="both"/>
              <w:rPr>
                <w:rFonts w:eastAsia="DengXian"/>
                <w:szCs w:val="24"/>
              </w:rPr>
            </w:pPr>
            <w:r w:rsidRPr="00727DFA">
              <w:rPr>
                <w:rFonts w:eastAsia="DengXian"/>
                <w:szCs w:val="24"/>
              </w:rPr>
              <w:t>Capsule: 250 mg,</w:t>
            </w:r>
          </w:p>
          <w:p w14:paraId="4ABAFAE2" w14:textId="77777777" w:rsidR="007B485D" w:rsidRPr="00727DFA" w:rsidRDefault="007B485D" w:rsidP="002D6DD7">
            <w:pPr>
              <w:jc w:val="both"/>
              <w:rPr>
                <w:rFonts w:eastAsia="DengXian"/>
                <w:szCs w:val="24"/>
              </w:rPr>
            </w:pPr>
            <w:r w:rsidRPr="00727DFA">
              <w:rPr>
                <w:rFonts w:eastAsia="DengXian"/>
                <w:szCs w:val="24"/>
              </w:rPr>
              <w:t>Injection: 375 mg/ml (Sulfate) 2 ml/ampoule, 750 mg base (as sulfate)</w:t>
            </w:r>
          </w:p>
        </w:tc>
      </w:tr>
      <w:tr w:rsidR="007B485D" w:rsidRPr="00727DFA" w14:paraId="266722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4C6464"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5BB413C4" w14:textId="77777777" w:rsidR="007B485D" w:rsidRPr="00727DFA" w:rsidRDefault="007B485D" w:rsidP="002D6DD7">
            <w:pPr>
              <w:jc w:val="both"/>
              <w:rPr>
                <w:rFonts w:eastAsia="DengXian"/>
                <w:szCs w:val="24"/>
              </w:rPr>
            </w:pPr>
            <w:r w:rsidRPr="00727DFA">
              <w:rPr>
                <w:rFonts w:eastAsia="DengXian"/>
                <w:szCs w:val="24"/>
              </w:rPr>
              <w:t xml:space="preserve">Treatment of visceral leishmaniasis, amebiasis </w:t>
            </w:r>
          </w:p>
        </w:tc>
      </w:tr>
      <w:tr w:rsidR="007B485D" w:rsidRPr="00727DFA" w14:paraId="7BB4A89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B5329F" w14:textId="77777777" w:rsidR="007B485D" w:rsidRPr="00727DFA" w:rsidRDefault="007B485D" w:rsidP="002D6DD7">
            <w:pPr>
              <w:jc w:val="both"/>
              <w:rPr>
                <w:rFonts w:eastAsia="DengXian"/>
                <w:szCs w:val="24"/>
              </w:rPr>
            </w:pPr>
            <w:r w:rsidRPr="00727DFA">
              <w:rPr>
                <w:rFonts w:eastAsia="DengXian"/>
                <w:szCs w:val="24"/>
              </w:rPr>
              <w:t xml:space="preserve">Dose and </w:t>
            </w:r>
            <w:r>
              <w:rPr>
                <w:rFonts w:eastAsia="DengXian"/>
                <w:szCs w:val="24"/>
              </w:rPr>
              <w:t>a</w:t>
            </w:r>
            <w:r w:rsidRPr="00727DFA">
              <w:rPr>
                <w:rFonts w:eastAsia="DengXi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0B63F640" w14:textId="77777777" w:rsidR="007B485D" w:rsidRPr="00727DFA" w:rsidRDefault="007B485D" w:rsidP="002D6DD7">
            <w:pPr>
              <w:jc w:val="both"/>
              <w:rPr>
                <w:rFonts w:eastAsia="DengXian"/>
                <w:b/>
                <w:bCs/>
                <w:szCs w:val="24"/>
              </w:rPr>
            </w:pPr>
            <w:r w:rsidRPr="00727DFA">
              <w:rPr>
                <w:rFonts w:eastAsia="DengXian"/>
                <w:b/>
                <w:bCs/>
                <w:szCs w:val="24"/>
              </w:rPr>
              <w:t xml:space="preserve">Visceral leishmaniasis; </w:t>
            </w:r>
            <w:r w:rsidRPr="00727DFA">
              <w:rPr>
                <w:rFonts w:eastAsia="DengXian"/>
                <w:szCs w:val="24"/>
              </w:rPr>
              <w:t>Oral:</w:t>
            </w:r>
          </w:p>
          <w:p w14:paraId="14EAABBA" w14:textId="77777777" w:rsidR="007B485D" w:rsidRPr="00727DFA" w:rsidRDefault="007B485D" w:rsidP="002D6DD7">
            <w:pPr>
              <w:jc w:val="both"/>
              <w:rPr>
                <w:rFonts w:eastAsia="DengXian"/>
                <w:szCs w:val="24"/>
              </w:rPr>
            </w:pPr>
            <w:r w:rsidRPr="00727DFA">
              <w:rPr>
                <w:rFonts w:eastAsia="DengXian"/>
                <w:b/>
                <w:bCs/>
                <w:szCs w:val="24"/>
              </w:rPr>
              <w:t>Adult and Pediatric:</w:t>
            </w:r>
            <w:r w:rsidRPr="00727DFA">
              <w:rPr>
                <w:rFonts w:eastAsia="DengXian"/>
                <w:szCs w:val="24"/>
              </w:rPr>
              <w:t xml:space="preserve"> 15 mg/kg/day orally in three divided doses </w:t>
            </w:r>
          </w:p>
          <w:p w14:paraId="09CAB413" w14:textId="77777777" w:rsidR="007B485D" w:rsidRPr="00727DFA" w:rsidRDefault="007B485D" w:rsidP="002D6DD7">
            <w:pPr>
              <w:jc w:val="both"/>
              <w:rPr>
                <w:rFonts w:eastAsia="DengXian"/>
                <w:szCs w:val="24"/>
              </w:rPr>
            </w:pPr>
            <w:r w:rsidRPr="00727DFA">
              <w:rPr>
                <w:rFonts w:eastAsia="DengXian"/>
                <w:szCs w:val="24"/>
              </w:rPr>
              <w:t xml:space="preserve">Injection (IM): </w:t>
            </w:r>
          </w:p>
          <w:p w14:paraId="406AE48A" w14:textId="77777777" w:rsidR="007B485D" w:rsidRPr="00727DFA" w:rsidRDefault="007B485D" w:rsidP="002D6DD7">
            <w:pPr>
              <w:jc w:val="both"/>
              <w:rPr>
                <w:rFonts w:eastAsia="DengXian"/>
                <w:szCs w:val="24"/>
              </w:rPr>
            </w:pPr>
            <w:r w:rsidRPr="00727DFA">
              <w:rPr>
                <w:rFonts w:eastAsia="DengXian"/>
                <w:b/>
                <w:bCs/>
                <w:szCs w:val="24"/>
              </w:rPr>
              <w:t>Adult:</w:t>
            </w:r>
            <w:r w:rsidRPr="00727DFA">
              <w:rPr>
                <w:rFonts w:eastAsia="DengXian"/>
                <w:szCs w:val="24"/>
              </w:rPr>
              <w:t xml:space="preserve"> 15 mg/kg/day intramuscularly for 21 days.</w:t>
            </w:r>
          </w:p>
          <w:p w14:paraId="5FCE5F58" w14:textId="77777777" w:rsidR="007B485D" w:rsidRPr="00727DFA" w:rsidRDefault="007B485D" w:rsidP="002D6DD7">
            <w:pPr>
              <w:jc w:val="both"/>
              <w:rPr>
                <w:rFonts w:eastAsia="DengXian"/>
                <w:szCs w:val="24"/>
              </w:rPr>
            </w:pPr>
            <w:r w:rsidRPr="00727DFA">
              <w:rPr>
                <w:rFonts w:eastAsia="DengXian"/>
                <w:b/>
                <w:bCs/>
                <w:szCs w:val="24"/>
              </w:rPr>
              <w:t>Child over 5 kg:</w:t>
            </w:r>
            <w:r w:rsidRPr="00727DFA">
              <w:rPr>
                <w:rFonts w:eastAsia="DengXian"/>
                <w:szCs w:val="24"/>
              </w:rPr>
              <w:t xml:space="preserve"> 11 mg/kg daily for 17 days (in combination with pentavalent antimonial)</w:t>
            </w:r>
          </w:p>
          <w:p w14:paraId="0B2C8B50" w14:textId="77777777" w:rsidR="007B485D" w:rsidRPr="00727DFA" w:rsidRDefault="007B485D" w:rsidP="002D6DD7">
            <w:pPr>
              <w:jc w:val="both"/>
              <w:rPr>
                <w:rFonts w:eastAsia="DengXian"/>
                <w:b/>
                <w:bCs/>
                <w:szCs w:val="24"/>
              </w:rPr>
            </w:pPr>
            <w:r w:rsidRPr="00727DFA">
              <w:rPr>
                <w:rFonts w:eastAsia="DengXian"/>
                <w:b/>
                <w:bCs/>
                <w:szCs w:val="24"/>
              </w:rPr>
              <w:t>Amebiasis (eradication cyst); Oral:</w:t>
            </w:r>
          </w:p>
          <w:p w14:paraId="46E93575" w14:textId="77777777" w:rsidR="007B485D" w:rsidRPr="00727DFA" w:rsidRDefault="007B485D" w:rsidP="002D6DD7">
            <w:pPr>
              <w:jc w:val="both"/>
              <w:rPr>
                <w:rFonts w:eastAsia="DengXian"/>
                <w:szCs w:val="24"/>
              </w:rPr>
            </w:pPr>
            <w:r w:rsidRPr="00727DFA">
              <w:rPr>
                <w:rFonts w:eastAsia="DengXian"/>
                <w:b/>
                <w:bCs/>
                <w:color w:val="000000"/>
                <w:szCs w:val="24"/>
              </w:rPr>
              <w:lastRenderedPageBreak/>
              <w:t>Adult:</w:t>
            </w:r>
            <w:r w:rsidRPr="00727DFA">
              <w:rPr>
                <w:rFonts w:eastAsia="DengXian"/>
                <w:color w:val="000000"/>
                <w:szCs w:val="24"/>
              </w:rPr>
              <w:t xml:space="preserve"> 25–35mg/kg/day, divided in 3 daily doses </w:t>
            </w:r>
          </w:p>
        </w:tc>
      </w:tr>
      <w:tr w:rsidR="007B485D" w:rsidRPr="00727DFA" w14:paraId="08B71A8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B46F96" w14:textId="77777777" w:rsidR="007B485D" w:rsidRPr="00727DFA" w:rsidRDefault="007B485D" w:rsidP="002D6DD7">
            <w:pPr>
              <w:jc w:val="both"/>
              <w:rPr>
                <w:rFonts w:eastAsia="DengXian"/>
                <w:szCs w:val="24"/>
              </w:rPr>
            </w:pPr>
            <w:r w:rsidRPr="00727DFA">
              <w:rPr>
                <w:rFonts w:eastAsia="DengXian"/>
                <w:szCs w:val="24"/>
              </w:rPr>
              <w:lastRenderedPageBreak/>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1129B951" w14:textId="77777777" w:rsidR="007B485D" w:rsidRPr="00727DFA" w:rsidRDefault="007B485D" w:rsidP="002D6DD7">
            <w:pPr>
              <w:jc w:val="both"/>
              <w:rPr>
                <w:rFonts w:eastAsia="DengXian"/>
                <w:bCs/>
                <w:szCs w:val="24"/>
              </w:rPr>
            </w:pPr>
            <w:r w:rsidRPr="00727DFA">
              <w:rPr>
                <w:rFonts w:eastAsia="DengXian"/>
                <w:szCs w:val="24"/>
              </w:rPr>
              <w:t>Refer to paromomycin (Medicines for amoebiasis)</w:t>
            </w:r>
            <w:r>
              <w:rPr>
                <w:rFonts w:eastAsia="DengXian"/>
                <w:szCs w:val="24"/>
              </w:rPr>
              <w:t>.</w:t>
            </w:r>
          </w:p>
        </w:tc>
      </w:tr>
      <w:tr w:rsidR="007B485D" w:rsidRPr="00727DFA" w14:paraId="299306A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80F55E" w14:textId="77777777" w:rsidR="007B485D" w:rsidRPr="00727DFA" w:rsidRDefault="007B485D" w:rsidP="002D6DD7">
            <w:pPr>
              <w:jc w:val="both"/>
              <w:rPr>
                <w:rFonts w:eastAsia="DengXian"/>
                <w:szCs w:val="24"/>
              </w:rPr>
            </w:pPr>
            <w:r w:rsidRPr="00727DFA">
              <w:rPr>
                <w:rFonts w:eastAsia="DengXian"/>
                <w:szCs w:val="24"/>
              </w:rPr>
              <w:t xml:space="preserve">Drug </w:t>
            </w:r>
            <w:r>
              <w:rPr>
                <w:rFonts w:eastAsia="DengXian"/>
                <w:szCs w:val="24"/>
              </w:rPr>
              <w:t>i</w:t>
            </w:r>
            <w:r w:rsidRPr="00727DFA">
              <w:rPr>
                <w:rFonts w:eastAsia="DengXian"/>
                <w:szCs w:val="24"/>
              </w:rPr>
              <w:t>nteractions</w:t>
            </w:r>
          </w:p>
        </w:tc>
        <w:tc>
          <w:tcPr>
            <w:tcW w:w="6750" w:type="dxa"/>
            <w:tcBorders>
              <w:top w:val="single" w:sz="4" w:space="0" w:color="auto"/>
              <w:left w:val="single" w:sz="4" w:space="0" w:color="auto"/>
              <w:bottom w:val="single" w:sz="4" w:space="0" w:color="auto"/>
              <w:right w:val="single" w:sz="4" w:space="0" w:color="auto"/>
            </w:tcBorders>
            <w:hideMark/>
          </w:tcPr>
          <w:p w14:paraId="355218ED" w14:textId="77777777" w:rsidR="007B485D" w:rsidRPr="00727DFA" w:rsidRDefault="007B485D" w:rsidP="002D6DD7">
            <w:pPr>
              <w:jc w:val="both"/>
              <w:rPr>
                <w:rFonts w:eastAsia="DengXian"/>
                <w:szCs w:val="24"/>
              </w:rPr>
            </w:pPr>
            <w:r w:rsidRPr="00727DFA">
              <w:rPr>
                <w:rFonts w:eastAsia="DengXian"/>
                <w:szCs w:val="24"/>
              </w:rPr>
              <w:t>Refer to paromomycin (Medicines for amoebiasis)</w:t>
            </w:r>
            <w:r>
              <w:rPr>
                <w:rFonts w:eastAsia="DengXian"/>
                <w:szCs w:val="24"/>
              </w:rPr>
              <w:t>.</w:t>
            </w:r>
          </w:p>
        </w:tc>
      </w:tr>
      <w:tr w:rsidR="007B485D" w:rsidRPr="00727DFA" w14:paraId="43303F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73043F" w14:textId="77777777" w:rsidR="007B485D" w:rsidRPr="00727DFA" w:rsidRDefault="007B485D" w:rsidP="002D6DD7">
            <w:pPr>
              <w:jc w:val="both"/>
              <w:rPr>
                <w:rFonts w:eastAsia="DengXian"/>
                <w:szCs w:val="24"/>
              </w:rPr>
            </w:pPr>
            <w:r w:rsidRPr="00727DFA">
              <w:rPr>
                <w:rFonts w:eastAsia="DengXian"/>
                <w:szCs w:val="24"/>
              </w:rPr>
              <w:t xml:space="preserve">Side </w:t>
            </w:r>
            <w:r>
              <w:rPr>
                <w:rFonts w:eastAsia="DengXian"/>
                <w:szCs w:val="24"/>
              </w:rPr>
              <w:t>e</w:t>
            </w:r>
            <w:r w:rsidRPr="00727DFA">
              <w:rPr>
                <w:rFonts w:eastAsia="DengXian"/>
                <w:szCs w:val="24"/>
              </w:rPr>
              <w:t>ffects</w:t>
            </w:r>
          </w:p>
        </w:tc>
        <w:tc>
          <w:tcPr>
            <w:tcW w:w="6750" w:type="dxa"/>
            <w:tcBorders>
              <w:top w:val="single" w:sz="4" w:space="0" w:color="auto"/>
              <w:left w:val="single" w:sz="4" w:space="0" w:color="auto"/>
              <w:bottom w:val="single" w:sz="4" w:space="0" w:color="auto"/>
              <w:right w:val="single" w:sz="4" w:space="0" w:color="auto"/>
            </w:tcBorders>
            <w:hideMark/>
          </w:tcPr>
          <w:p w14:paraId="3F76949E" w14:textId="77777777" w:rsidR="007B485D" w:rsidRPr="00727DFA" w:rsidRDefault="007B485D" w:rsidP="002D6DD7">
            <w:pPr>
              <w:jc w:val="both"/>
              <w:rPr>
                <w:rFonts w:eastAsia="DengXian"/>
                <w:szCs w:val="24"/>
              </w:rPr>
            </w:pPr>
            <w:r w:rsidRPr="00727DFA">
              <w:rPr>
                <w:rFonts w:eastAsia="DengXian"/>
                <w:szCs w:val="24"/>
              </w:rPr>
              <w:t>Refer to paromomycin (Medicines for amoebiasis)</w:t>
            </w:r>
            <w:r>
              <w:rPr>
                <w:rFonts w:eastAsia="DengXian"/>
                <w:szCs w:val="24"/>
              </w:rPr>
              <w:t>.</w:t>
            </w:r>
          </w:p>
        </w:tc>
      </w:tr>
      <w:tr w:rsidR="007B485D" w:rsidRPr="00727DFA" w14:paraId="4E2A0D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11285D" w14:textId="77777777" w:rsidR="007B485D" w:rsidRPr="00727DFA" w:rsidRDefault="007B485D" w:rsidP="002D6DD7">
            <w:pPr>
              <w:jc w:val="both"/>
              <w:rPr>
                <w:rFonts w:eastAsia="DengXian"/>
                <w:szCs w:val="24"/>
              </w:rPr>
            </w:pPr>
            <w:r w:rsidRPr="00727DFA">
              <w:rPr>
                <w:rFonts w:eastAsia="DengXian"/>
                <w:szCs w:val="24"/>
              </w:rPr>
              <w:t>Cautions</w:t>
            </w:r>
          </w:p>
        </w:tc>
        <w:tc>
          <w:tcPr>
            <w:tcW w:w="6750" w:type="dxa"/>
            <w:tcBorders>
              <w:top w:val="single" w:sz="4" w:space="0" w:color="auto"/>
              <w:left w:val="single" w:sz="4" w:space="0" w:color="auto"/>
              <w:bottom w:val="single" w:sz="4" w:space="0" w:color="auto"/>
              <w:right w:val="single" w:sz="4" w:space="0" w:color="auto"/>
            </w:tcBorders>
            <w:hideMark/>
          </w:tcPr>
          <w:p w14:paraId="06463348" w14:textId="77777777" w:rsidR="007B485D" w:rsidRPr="00727DFA" w:rsidRDefault="007B485D" w:rsidP="002D6DD7">
            <w:pPr>
              <w:jc w:val="both"/>
              <w:rPr>
                <w:rFonts w:eastAsia="DengXian"/>
                <w:szCs w:val="24"/>
              </w:rPr>
            </w:pPr>
            <w:r w:rsidRPr="00727DFA">
              <w:rPr>
                <w:rFonts w:eastAsia="DengXian"/>
                <w:szCs w:val="24"/>
              </w:rPr>
              <w:t>Refer to paromomycin (Medicines for amoebiasis)</w:t>
            </w:r>
            <w:r>
              <w:rPr>
                <w:rFonts w:eastAsia="DengXian"/>
                <w:szCs w:val="24"/>
              </w:rPr>
              <w:t>.</w:t>
            </w:r>
          </w:p>
        </w:tc>
      </w:tr>
      <w:tr w:rsidR="007B485D" w:rsidRPr="00727DFA" w14:paraId="121F99E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483DC8" w14:textId="77777777" w:rsidR="007B485D" w:rsidRPr="00727DFA" w:rsidRDefault="007B485D" w:rsidP="002D6DD7">
            <w:pPr>
              <w:jc w:val="both"/>
              <w:rPr>
                <w:rFonts w:eastAsia="DengXian"/>
                <w:szCs w:val="24"/>
              </w:rPr>
            </w:pPr>
            <w:r w:rsidRPr="00727DFA">
              <w:rPr>
                <w:rFonts w:eastAsia="DengXian"/>
                <w:szCs w:val="24"/>
              </w:rPr>
              <w:t xml:space="preserve">Storage </w:t>
            </w:r>
            <w:r>
              <w:rPr>
                <w:rFonts w:eastAsia="DengXian"/>
                <w:szCs w:val="24"/>
              </w:rPr>
              <w:t>c</w:t>
            </w:r>
            <w:r w:rsidRPr="00727DFA">
              <w:rPr>
                <w:rFonts w:eastAsia="DengXian"/>
                <w:szCs w:val="24"/>
              </w:rPr>
              <w:t>ondition</w:t>
            </w:r>
          </w:p>
        </w:tc>
        <w:tc>
          <w:tcPr>
            <w:tcW w:w="6750" w:type="dxa"/>
            <w:tcBorders>
              <w:top w:val="single" w:sz="4" w:space="0" w:color="auto"/>
              <w:left w:val="single" w:sz="4" w:space="0" w:color="auto"/>
              <w:bottom w:val="single" w:sz="4" w:space="0" w:color="auto"/>
              <w:right w:val="single" w:sz="4" w:space="0" w:color="auto"/>
            </w:tcBorders>
            <w:hideMark/>
          </w:tcPr>
          <w:p w14:paraId="7476F19A"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1B54C20F"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615F2D2B" w14:textId="77777777" w:rsidR="007B485D" w:rsidRPr="00727DFA" w:rsidRDefault="007B485D" w:rsidP="002D6DD7">
            <w:pPr>
              <w:jc w:val="both"/>
              <w:rPr>
                <w:rFonts w:eastAsia="DengXian"/>
                <w:b/>
                <w:bCs/>
                <w:szCs w:val="24"/>
              </w:rPr>
            </w:pPr>
            <w:r w:rsidRPr="00727DFA">
              <w:rPr>
                <w:rFonts w:eastAsia="DengXian"/>
                <w:b/>
                <w:szCs w:val="24"/>
              </w:rPr>
              <w:t xml:space="preserve">Sodium </w:t>
            </w:r>
            <w:r>
              <w:rPr>
                <w:rFonts w:eastAsia="DengXian"/>
                <w:b/>
                <w:szCs w:val="24"/>
              </w:rPr>
              <w:t>s</w:t>
            </w:r>
            <w:r w:rsidRPr="00727DFA">
              <w:rPr>
                <w:rFonts w:eastAsia="DengXian"/>
                <w:b/>
                <w:szCs w:val="24"/>
              </w:rPr>
              <w:t>tibogluconate</w:t>
            </w:r>
          </w:p>
        </w:tc>
      </w:tr>
      <w:tr w:rsidR="007B485D" w:rsidRPr="00727DFA" w14:paraId="2B52620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A58175" w14:textId="77777777" w:rsidR="007B485D" w:rsidRPr="00727DFA" w:rsidRDefault="007B485D" w:rsidP="002D6DD7">
            <w:pPr>
              <w:jc w:val="both"/>
              <w:rPr>
                <w:rFonts w:eastAsia="DengXian"/>
                <w:szCs w:val="24"/>
              </w:rPr>
            </w:pPr>
            <w:r w:rsidRPr="00727DFA">
              <w:rPr>
                <w:rFonts w:eastAsia="DengXian"/>
                <w:szCs w:val="24"/>
              </w:rPr>
              <w:t xml:space="preserve">Pharmacological </w:t>
            </w:r>
            <w:r>
              <w:rPr>
                <w:rFonts w:eastAsia="DengXian"/>
                <w:szCs w:val="24"/>
              </w:rPr>
              <w:t>c</w:t>
            </w:r>
            <w:r w:rsidRPr="00727DFA">
              <w:rPr>
                <w:rFonts w:eastAsia="DengXian"/>
                <w:szCs w:val="24"/>
              </w:rPr>
              <w:t>lass</w:t>
            </w:r>
          </w:p>
        </w:tc>
        <w:tc>
          <w:tcPr>
            <w:tcW w:w="6750" w:type="dxa"/>
            <w:tcBorders>
              <w:top w:val="single" w:sz="4" w:space="0" w:color="auto"/>
              <w:left w:val="single" w:sz="4" w:space="0" w:color="auto"/>
              <w:bottom w:val="single" w:sz="4" w:space="0" w:color="auto"/>
              <w:right w:val="single" w:sz="4" w:space="0" w:color="auto"/>
            </w:tcBorders>
            <w:hideMark/>
          </w:tcPr>
          <w:p w14:paraId="71642E55" w14:textId="77777777" w:rsidR="007B485D" w:rsidRPr="00727DFA" w:rsidRDefault="007B485D" w:rsidP="002D6DD7">
            <w:pPr>
              <w:jc w:val="both"/>
              <w:rPr>
                <w:rFonts w:eastAsia="DengXian"/>
                <w:szCs w:val="24"/>
              </w:rPr>
            </w:pPr>
            <w:r w:rsidRPr="00727DFA">
              <w:rPr>
                <w:rFonts w:eastAsia="DengXian"/>
                <w:szCs w:val="24"/>
              </w:rPr>
              <w:t>Pentavalent antimonial, antiprotozoal</w:t>
            </w:r>
          </w:p>
        </w:tc>
      </w:tr>
      <w:tr w:rsidR="007B485D" w:rsidRPr="00727DFA" w14:paraId="6D4FDEA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865BDD" w14:textId="77777777" w:rsidR="007B485D" w:rsidRPr="00727DFA" w:rsidRDefault="007B485D" w:rsidP="002D6DD7">
            <w:pPr>
              <w:jc w:val="both"/>
              <w:rPr>
                <w:rFonts w:eastAsia="DengXian"/>
                <w:szCs w:val="24"/>
              </w:rPr>
            </w:pPr>
            <w:r w:rsidRPr="00727DFA">
              <w:rPr>
                <w:rFonts w:eastAsia="DengXian"/>
                <w:szCs w:val="24"/>
              </w:rPr>
              <w:t xml:space="preserve">Dosage </w:t>
            </w:r>
            <w:r>
              <w:rPr>
                <w:rFonts w:eastAsia="DengXian"/>
                <w:szCs w:val="24"/>
              </w:rPr>
              <w:t>f</w:t>
            </w:r>
            <w:r w:rsidRPr="00727DFA">
              <w:rPr>
                <w:rFonts w:eastAsia="DengXian"/>
                <w:szCs w:val="24"/>
              </w:rPr>
              <w:t>orm</w:t>
            </w:r>
          </w:p>
        </w:tc>
        <w:tc>
          <w:tcPr>
            <w:tcW w:w="6750" w:type="dxa"/>
            <w:tcBorders>
              <w:top w:val="single" w:sz="4" w:space="0" w:color="auto"/>
              <w:left w:val="single" w:sz="4" w:space="0" w:color="auto"/>
              <w:bottom w:val="single" w:sz="4" w:space="0" w:color="auto"/>
              <w:right w:val="single" w:sz="4" w:space="0" w:color="auto"/>
            </w:tcBorders>
            <w:hideMark/>
          </w:tcPr>
          <w:p w14:paraId="477EFA29" w14:textId="77777777" w:rsidR="007B485D" w:rsidRPr="00727DFA" w:rsidRDefault="007B485D" w:rsidP="002D6DD7">
            <w:pPr>
              <w:jc w:val="both"/>
              <w:rPr>
                <w:rFonts w:eastAsia="DengXian"/>
                <w:szCs w:val="24"/>
              </w:rPr>
            </w:pPr>
            <w:r w:rsidRPr="00727DFA">
              <w:rPr>
                <w:rFonts w:eastAsia="DengXian"/>
                <w:szCs w:val="24"/>
              </w:rPr>
              <w:t>Injection: 100 mg/ml in 30 mL vial</w:t>
            </w:r>
          </w:p>
        </w:tc>
      </w:tr>
      <w:tr w:rsidR="007B485D" w:rsidRPr="00727DFA" w14:paraId="143574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1E35EA" w14:textId="77777777" w:rsidR="007B485D" w:rsidRPr="00727DFA" w:rsidRDefault="007B485D" w:rsidP="002D6DD7">
            <w:pPr>
              <w:jc w:val="both"/>
              <w:rPr>
                <w:rFonts w:eastAsia="DengXian"/>
                <w:szCs w:val="24"/>
              </w:rPr>
            </w:pPr>
            <w:r w:rsidRPr="00873AF2">
              <w:rPr>
                <w:rFonts w:eastAsia="DengXi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1E072C26" w14:textId="77777777" w:rsidR="007B485D" w:rsidRPr="00727DFA" w:rsidRDefault="007B485D" w:rsidP="002D6DD7">
            <w:pPr>
              <w:jc w:val="both"/>
              <w:rPr>
                <w:rFonts w:eastAsia="DengXian"/>
                <w:szCs w:val="24"/>
              </w:rPr>
            </w:pPr>
            <w:r w:rsidRPr="00727DFA">
              <w:rPr>
                <w:rFonts w:eastAsia="DengXian"/>
                <w:szCs w:val="24"/>
              </w:rPr>
              <w:t>Treatment of cutaneous, mucocutaneous, and visceral leishmaniasis</w:t>
            </w:r>
            <w:r>
              <w:rPr>
                <w:rFonts w:eastAsia="DengXian"/>
                <w:szCs w:val="24"/>
              </w:rPr>
              <w:t>.</w:t>
            </w:r>
          </w:p>
        </w:tc>
      </w:tr>
      <w:tr w:rsidR="007B485D" w:rsidRPr="00727DFA" w14:paraId="7649F4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D5D6D0" w14:textId="77777777" w:rsidR="007B485D" w:rsidRPr="00727DFA" w:rsidRDefault="007B485D" w:rsidP="002D6DD7">
            <w:pPr>
              <w:jc w:val="both"/>
              <w:rPr>
                <w:rFonts w:eastAsia="DengXian"/>
                <w:szCs w:val="24"/>
              </w:rPr>
            </w:pPr>
            <w:r w:rsidRPr="00727DFA">
              <w:rPr>
                <w:rFonts w:eastAsia="DengXian"/>
                <w:szCs w:val="24"/>
              </w:rPr>
              <w:t xml:space="preserve">Dose and </w:t>
            </w:r>
            <w:r>
              <w:rPr>
                <w:rFonts w:eastAsia="DengXian"/>
                <w:szCs w:val="24"/>
              </w:rPr>
              <w:t>a</w:t>
            </w:r>
            <w:r w:rsidRPr="00727DFA">
              <w:rPr>
                <w:rFonts w:eastAsia="DengXi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639EDFA6" w14:textId="77777777" w:rsidR="007B485D" w:rsidRPr="00727DFA" w:rsidRDefault="007B485D" w:rsidP="002D6DD7">
            <w:pPr>
              <w:jc w:val="both"/>
              <w:rPr>
                <w:rFonts w:eastAsia="DengXian"/>
                <w:b/>
                <w:bCs/>
                <w:szCs w:val="24"/>
              </w:rPr>
            </w:pPr>
            <w:r w:rsidRPr="00727DFA">
              <w:rPr>
                <w:rFonts w:eastAsia="DengXian"/>
                <w:b/>
                <w:bCs/>
                <w:szCs w:val="24"/>
              </w:rPr>
              <w:t>IM/IV:</w:t>
            </w:r>
          </w:p>
          <w:p w14:paraId="60F6C755" w14:textId="77777777" w:rsidR="007B485D" w:rsidRPr="00727DFA" w:rsidRDefault="007B485D" w:rsidP="002D6DD7">
            <w:pPr>
              <w:jc w:val="both"/>
              <w:rPr>
                <w:rFonts w:eastAsia="DengXian"/>
                <w:szCs w:val="24"/>
              </w:rPr>
            </w:pPr>
            <w:r w:rsidRPr="00727DFA">
              <w:rPr>
                <w:rFonts w:eastAsia="DengXian"/>
                <w:b/>
                <w:bCs/>
                <w:szCs w:val="24"/>
              </w:rPr>
              <w:t xml:space="preserve">Adult and </w:t>
            </w:r>
            <w:r>
              <w:rPr>
                <w:rFonts w:eastAsia="DengXian"/>
                <w:b/>
                <w:bCs/>
                <w:szCs w:val="24"/>
              </w:rPr>
              <w:t>child</w:t>
            </w:r>
            <w:r w:rsidRPr="00727DFA">
              <w:rPr>
                <w:rFonts w:eastAsia="DengXian"/>
                <w:szCs w:val="24"/>
              </w:rPr>
              <w:t xml:space="preserve">: 20 mg/kg/day (maximum 850 mg) </w:t>
            </w:r>
          </w:p>
        </w:tc>
      </w:tr>
      <w:tr w:rsidR="007B485D" w:rsidRPr="00727DFA" w14:paraId="4473E6F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36A10F" w14:textId="77777777" w:rsidR="007B485D" w:rsidRPr="00727DFA" w:rsidRDefault="007B485D" w:rsidP="002D6DD7">
            <w:pPr>
              <w:jc w:val="both"/>
              <w:rPr>
                <w:rFonts w:eastAsia="DengXian"/>
                <w:szCs w:val="24"/>
              </w:rPr>
            </w:pPr>
            <w:r w:rsidRPr="00727DFA">
              <w:rPr>
                <w:rFonts w:eastAsia="DengXi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60CD70F9" w14:textId="77777777" w:rsidR="007B485D" w:rsidRPr="00727DFA" w:rsidRDefault="007B485D" w:rsidP="002D6DD7">
            <w:pPr>
              <w:jc w:val="both"/>
              <w:rPr>
                <w:rFonts w:eastAsia="DengXian"/>
                <w:szCs w:val="24"/>
              </w:rPr>
            </w:pPr>
            <w:r w:rsidRPr="00727DFA">
              <w:rPr>
                <w:rFonts w:eastAsia="DengXian"/>
                <w:szCs w:val="24"/>
              </w:rPr>
              <w:t>Hypersensitivity to sodium stibogluconate, pre-existing severe cardiac, liver, renal, pancreas or hematological morbidities</w:t>
            </w:r>
          </w:p>
        </w:tc>
      </w:tr>
      <w:tr w:rsidR="007B485D" w:rsidRPr="00727DFA" w14:paraId="5900D15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70316D" w14:textId="77777777" w:rsidR="007B485D" w:rsidRPr="00727DFA" w:rsidRDefault="007B485D" w:rsidP="002D6DD7">
            <w:pPr>
              <w:jc w:val="both"/>
              <w:rPr>
                <w:rFonts w:eastAsia="DengXian"/>
                <w:szCs w:val="24"/>
              </w:rPr>
            </w:pPr>
            <w:r w:rsidRPr="00727DFA">
              <w:rPr>
                <w:rFonts w:eastAsia="DengXian"/>
                <w:szCs w:val="24"/>
              </w:rPr>
              <w:t xml:space="preserve">Drug </w:t>
            </w:r>
            <w:r>
              <w:rPr>
                <w:rFonts w:eastAsia="DengXian"/>
                <w:szCs w:val="24"/>
              </w:rPr>
              <w:t>i</w:t>
            </w:r>
            <w:r w:rsidRPr="00727DFA">
              <w:rPr>
                <w:rFonts w:eastAsia="DengXian"/>
                <w:szCs w:val="24"/>
              </w:rPr>
              <w:t>nteractions</w:t>
            </w:r>
          </w:p>
        </w:tc>
        <w:tc>
          <w:tcPr>
            <w:tcW w:w="6750" w:type="dxa"/>
            <w:tcBorders>
              <w:top w:val="single" w:sz="4" w:space="0" w:color="auto"/>
              <w:left w:val="single" w:sz="4" w:space="0" w:color="auto"/>
              <w:bottom w:val="single" w:sz="4" w:space="0" w:color="auto"/>
              <w:right w:val="single" w:sz="4" w:space="0" w:color="auto"/>
            </w:tcBorders>
            <w:hideMark/>
          </w:tcPr>
          <w:p w14:paraId="4424F611" w14:textId="77777777" w:rsidR="007B485D" w:rsidRPr="00727DFA" w:rsidRDefault="007B485D" w:rsidP="002D6DD7">
            <w:pPr>
              <w:jc w:val="both"/>
              <w:rPr>
                <w:rFonts w:eastAsia="DengXian"/>
                <w:szCs w:val="24"/>
              </w:rPr>
            </w:pPr>
            <w:r w:rsidRPr="00727DFA">
              <w:rPr>
                <w:rFonts w:eastAsia="DengXian"/>
                <w:szCs w:val="24"/>
              </w:rPr>
              <w:t xml:space="preserve">Nephrotoxic drugs, hepatotoxic drugs, drugs prolonging QT interval (e.g., certain antiarrhythmics, macrolides), antiretroviral drugs, </w:t>
            </w:r>
          </w:p>
        </w:tc>
      </w:tr>
      <w:tr w:rsidR="007B485D" w:rsidRPr="00727DFA" w14:paraId="36AFF3C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6C481C" w14:textId="77777777" w:rsidR="007B485D" w:rsidRPr="00727DFA" w:rsidRDefault="007B485D" w:rsidP="002D6DD7">
            <w:pPr>
              <w:jc w:val="both"/>
              <w:rPr>
                <w:rFonts w:eastAsia="DengXian"/>
                <w:szCs w:val="24"/>
              </w:rPr>
            </w:pPr>
            <w:r w:rsidRPr="00727DFA">
              <w:rPr>
                <w:rFonts w:eastAsia="DengXian"/>
                <w:szCs w:val="24"/>
              </w:rPr>
              <w:t xml:space="preserve">Side </w:t>
            </w:r>
            <w:r>
              <w:rPr>
                <w:rFonts w:eastAsia="DengXian"/>
                <w:szCs w:val="24"/>
              </w:rPr>
              <w:t>e</w:t>
            </w:r>
            <w:r w:rsidRPr="00727DFA">
              <w:rPr>
                <w:rFonts w:eastAsia="DengXian"/>
                <w:szCs w:val="24"/>
              </w:rPr>
              <w:t>ffects</w:t>
            </w:r>
          </w:p>
        </w:tc>
        <w:tc>
          <w:tcPr>
            <w:tcW w:w="6750" w:type="dxa"/>
            <w:tcBorders>
              <w:top w:val="single" w:sz="4" w:space="0" w:color="auto"/>
              <w:left w:val="single" w:sz="4" w:space="0" w:color="auto"/>
              <w:bottom w:val="single" w:sz="4" w:space="0" w:color="auto"/>
              <w:right w:val="single" w:sz="4" w:space="0" w:color="auto"/>
            </w:tcBorders>
            <w:hideMark/>
          </w:tcPr>
          <w:p w14:paraId="4817088D" w14:textId="77777777" w:rsidR="007B485D" w:rsidRPr="00727DFA" w:rsidRDefault="007B485D" w:rsidP="002D6DD7">
            <w:pPr>
              <w:jc w:val="both"/>
              <w:rPr>
                <w:rFonts w:eastAsia="DengXian"/>
                <w:szCs w:val="24"/>
              </w:rPr>
            </w:pPr>
            <w:r w:rsidRPr="00727DFA">
              <w:rPr>
                <w:rFonts w:eastAsia="DengXian"/>
                <w:szCs w:val="24"/>
              </w:rPr>
              <w:t>Anorexia, nausea, vomiting, abdominal pain, headache, fatigue, myalgia, arthralgia, cardiotoxicity (QT prolongation, arrhythmias), hepatotoxicity, nephrotoxicity, pancreatitis</w:t>
            </w:r>
          </w:p>
        </w:tc>
      </w:tr>
      <w:tr w:rsidR="007B485D" w:rsidRPr="00727DFA" w14:paraId="16AB082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727B1A6" w14:textId="77777777" w:rsidR="007B485D" w:rsidRPr="00727DFA" w:rsidRDefault="007B485D" w:rsidP="002D6DD7">
            <w:pPr>
              <w:jc w:val="both"/>
              <w:rPr>
                <w:rFonts w:eastAsia="DengXian"/>
                <w:szCs w:val="24"/>
              </w:rPr>
            </w:pPr>
            <w:r w:rsidRPr="00727DFA">
              <w:rPr>
                <w:rFonts w:eastAsia="DengXian"/>
                <w:szCs w:val="24"/>
              </w:rPr>
              <w:t>Cautions</w:t>
            </w:r>
          </w:p>
        </w:tc>
        <w:tc>
          <w:tcPr>
            <w:tcW w:w="6750" w:type="dxa"/>
            <w:tcBorders>
              <w:top w:val="single" w:sz="4" w:space="0" w:color="auto"/>
              <w:left w:val="single" w:sz="4" w:space="0" w:color="auto"/>
              <w:bottom w:val="single" w:sz="4" w:space="0" w:color="auto"/>
              <w:right w:val="single" w:sz="4" w:space="0" w:color="auto"/>
            </w:tcBorders>
            <w:hideMark/>
          </w:tcPr>
          <w:p w14:paraId="68D6E20D" w14:textId="77777777" w:rsidR="007B485D" w:rsidRPr="00727DFA" w:rsidRDefault="007B485D" w:rsidP="002D6DD7">
            <w:pPr>
              <w:jc w:val="both"/>
              <w:rPr>
                <w:rFonts w:eastAsia="DengXian"/>
                <w:szCs w:val="24"/>
              </w:rPr>
            </w:pPr>
            <w:r w:rsidRPr="00727DFA">
              <w:rPr>
                <w:rFonts w:eastAsia="DengXian"/>
                <w:szCs w:val="24"/>
              </w:rPr>
              <w:t>Renal impairment, hepatic impairment, altered cardiac conduction, pregnancy, breastfeeding</w:t>
            </w:r>
          </w:p>
        </w:tc>
      </w:tr>
      <w:tr w:rsidR="007B485D" w:rsidRPr="00727DFA" w14:paraId="59E0974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63BA0C" w14:textId="77777777" w:rsidR="007B485D" w:rsidRPr="00727DFA" w:rsidRDefault="007B485D" w:rsidP="002D6DD7">
            <w:pPr>
              <w:jc w:val="both"/>
              <w:rPr>
                <w:rFonts w:eastAsia="DengXian"/>
                <w:szCs w:val="24"/>
              </w:rPr>
            </w:pPr>
            <w:r w:rsidRPr="00727DFA">
              <w:rPr>
                <w:rFonts w:eastAsia="DengXian"/>
                <w:szCs w:val="24"/>
              </w:rPr>
              <w:t xml:space="preserve">Storage </w:t>
            </w:r>
            <w:r>
              <w:rPr>
                <w:rFonts w:eastAsia="DengXian"/>
                <w:szCs w:val="24"/>
              </w:rPr>
              <w:t>c</w:t>
            </w:r>
            <w:r w:rsidRPr="00727DFA">
              <w:rPr>
                <w:rFonts w:eastAsia="DengXian"/>
                <w:szCs w:val="24"/>
              </w:rPr>
              <w:t>ondition</w:t>
            </w:r>
          </w:p>
        </w:tc>
        <w:tc>
          <w:tcPr>
            <w:tcW w:w="6750" w:type="dxa"/>
            <w:tcBorders>
              <w:top w:val="single" w:sz="4" w:space="0" w:color="auto"/>
              <w:left w:val="single" w:sz="4" w:space="0" w:color="auto"/>
              <w:bottom w:val="single" w:sz="4" w:space="0" w:color="auto"/>
              <w:right w:val="single" w:sz="4" w:space="0" w:color="auto"/>
            </w:tcBorders>
            <w:hideMark/>
          </w:tcPr>
          <w:p w14:paraId="1EE532F5"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bl>
    <w:p w14:paraId="18175F93" w14:textId="77777777" w:rsidR="007B485D" w:rsidRPr="00D76F62" w:rsidRDefault="007B485D" w:rsidP="00D76F62">
      <w:pPr>
        <w:spacing w:before="240"/>
        <w:rPr>
          <w:rFonts w:eastAsia="DengXian Light"/>
          <w:b/>
        </w:rPr>
      </w:pPr>
      <w:r w:rsidRPr="00D76F62">
        <w:rPr>
          <w:rFonts w:eastAsia="DengXian Light"/>
          <w:b/>
        </w:rPr>
        <w:t>Trypanocides</w:t>
      </w:r>
    </w:p>
    <w:p w14:paraId="53BA3E67" w14:textId="77777777" w:rsidR="007B485D" w:rsidRPr="00727DFA" w:rsidRDefault="007B485D" w:rsidP="007B485D">
      <w:pPr>
        <w:spacing w:after="0"/>
        <w:jc w:val="both"/>
        <w:rPr>
          <w:rFonts w:eastAsia="DengXian" w:cs="Times New Roman"/>
          <w:szCs w:val="24"/>
        </w:rPr>
      </w:pPr>
      <w:r w:rsidRPr="00727DFA">
        <w:rPr>
          <w:rFonts w:eastAsia="DengXian" w:cs="Times New Roman"/>
          <w:szCs w:val="24"/>
        </w:rPr>
        <w:t>African</w:t>
      </w:r>
      <w:r w:rsidRPr="00727DFA">
        <w:rPr>
          <w:rFonts w:eastAsia="DengXian" w:cs="Times New Roman"/>
          <w:spacing w:val="-15"/>
          <w:szCs w:val="24"/>
        </w:rPr>
        <w:t xml:space="preserve"> </w:t>
      </w:r>
      <w:r w:rsidRPr="00727DFA">
        <w:rPr>
          <w:rFonts w:eastAsia="DengXian" w:cs="Times New Roman"/>
          <w:szCs w:val="24"/>
        </w:rPr>
        <w:t>trypanosomiasis,</w:t>
      </w:r>
      <w:r w:rsidRPr="00727DFA">
        <w:rPr>
          <w:rFonts w:eastAsia="DengXian" w:cs="Times New Roman"/>
          <w:spacing w:val="-11"/>
          <w:szCs w:val="24"/>
        </w:rPr>
        <w:t xml:space="preserve"> </w:t>
      </w:r>
      <w:r w:rsidRPr="00727DFA">
        <w:rPr>
          <w:rFonts w:eastAsia="DengXian" w:cs="Times New Roman"/>
          <w:szCs w:val="24"/>
        </w:rPr>
        <w:t>or</w:t>
      </w:r>
      <w:r w:rsidRPr="00727DFA">
        <w:rPr>
          <w:rFonts w:eastAsia="DengXian" w:cs="Times New Roman"/>
          <w:spacing w:val="-12"/>
          <w:szCs w:val="24"/>
        </w:rPr>
        <w:t xml:space="preserve"> </w:t>
      </w:r>
      <w:r w:rsidRPr="00727DFA">
        <w:rPr>
          <w:rFonts w:eastAsia="DengXian" w:cs="Times New Roman"/>
          <w:szCs w:val="24"/>
        </w:rPr>
        <w:t>sleeping</w:t>
      </w:r>
      <w:r w:rsidRPr="00727DFA">
        <w:rPr>
          <w:rFonts w:eastAsia="DengXian" w:cs="Times New Roman"/>
          <w:spacing w:val="-11"/>
          <w:szCs w:val="24"/>
        </w:rPr>
        <w:t xml:space="preserve"> </w:t>
      </w:r>
      <w:r w:rsidRPr="00727DFA">
        <w:rPr>
          <w:rFonts w:eastAsia="DengXian" w:cs="Times New Roman"/>
          <w:szCs w:val="24"/>
        </w:rPr>
        <w:t>sickness,</w:t>
      </w:r>
      <w:r w:rsidRPr="00727DFA">
        <w:rPr>
          <w:rFonts w:eastAsia="DengXian" w:cs="Times New Roman"/>
          <w:spacing w:val="-11"/>
          <w:szCs w:val="24"/>
        </w:rPr>
        <w:t xml:space="preserve"> </w:t>
      </w:r>
      <w:r w:rsidRPr="00727DFA">
        <w:rPr>
          <w:rFonts w:eastAsia="DengXian" w:cs="Times New Roman"/>
          <w:szCs w:val="24"/>
        </w:rPr>
        <w:t>is</w:t>
      </w:r>
      <w:r w:rsidRPr="00727DFA">
        <w:rPr>
          <w:rFonts w:eastAsia="DengXian" w:cs="Times New Roman"/>
          <w:spacing w:val="-12"/>
          <w:szCs w:val="24"/>
        </w:rPr>
        <w:t xml:space="preserve"> </w:t>
      </w:r>
      <w:r w:rsidRPr="00727DFA">
        <w:rPr>
          <w:rFonts w:eastAsia="DengXian" w:cs="Times New Roman"/>
          <w:szCs w:val="24"/>
        </w:rPr>
        <w:t>a</w:t>
      </w:r>
      <w:r w:rsidRPr="00727DFA">
        <w:rPr>
          <w:rFonts w:eastAsia="DengXian" w:cs="Times New Roman"/>
          <w:spacing w:val="-12"/>
          <w:szCs w:val="24"/>
        </w:rPr>
        <w:t xml:space="preserve"> </w:t>
      </w:r>
      <w:r w:rsidRPr="00727DFA">
        <w:rPr>
          <w:rFonts w:eastAsia="DengXian" w:cs="Times New Roman"/>
          <w:szCs w:val="24"/>
        </w:rPr>
        <w:t>protozoan</w:t>
      </w:r>
      <w:r w:rsidRPr="00727DFA">
        <w:rPr>
          <w:rFonts w:eastAsia="DengXian" w:cs="Times New Roman"/>
          <w:spacing w:val="-13"/>
          <w:szCs w:val="24"/>
        </w:rPr>
        <w:t xml:space="preserve"> </w:t>
      </w:r>
      <w:r w:rsidRPr="00727DFA">
        <w:rPr>
          <w:rFonts w:eastAsia="DengXian" w:cs="Times New Roman"/>
          <w:szCs w:val="24"/>
        </w:rPr>
        <w:t>infection</w:t>
      </w:r>
      <w:r w:rsidRPr="00727DFA">
        <w:rPr>
          <w:rFonts w:eastAsia="DengXian" w:cs="Times New Roman"/>
          <w:spacing w:val="-12"/>
          <w:szCs w:val="24"/>
        </w:rPr>
        <w:t xml:space="preserve"> </w:t>
      </w:r>
      <w:r w:rsidRPr="00727DFA">
        <w:rPr>
          <w:rFonts w:eastAsia="DengXian" w:cs="Times New Roman"/>
          <w:szCs w:val="24"/>
        </w:rPr>
        <w:t>transmitted</w:t>
      </w:r>
      <w:r w:rsidRPr="00727DFA">
        <w:rPr>
          <w:rFonts w:eastAsia="DengXian" w:cs="Times New Roman"/>
          <w:spacing w:val="-11"/>
          <w:szCs w:val="24"/>
        </w:rPr>
        <w:t xml:space="preserve"> </w:t>
      </w:r>
      <w:r w:rsidRPr="00727DFA">
        <w:rPr>
          <w:rFonts w:eastAsia="DengXian" w:cs="Times New Roman"/>
          <w:szCs w:val="24"/>
        </w:rPr>
        <w:t>by</w:t>
      </w:r>
      <w:r w:rsidRPr="00727DFA">
        <w:rPr>
          <w:rFonts w:eastAsia="DengXian" w:cs="Times New Roman"/>
          <w:spacing w:val="-7"/>
          <w:szCs w:val="24"/>
        </w:rPr>
        <w:t xml:space="preserve"> </w:t>
      </w:r>
      <w:r w:rsidRPr="00727DFA">
        <w:rPr>
          <w:rFonts w:eastAsia="DengXian" w:cs="Times New Roman"/>
          <w:i/>
          <w:iCs/>
          <w:szCs w:val="24"/>
        </w:rPr>
        <w:t>Glossina</w:t>
      </w:r>
      <w:r w:rsidRPr="00727DFA">
        <w:rPr>
          <w:rFonts w:eastAsia="DengXian" w:cs="Times New Roman"/>
          <w:szCs w:val="24"/>
        </w:rPr>
        <w:t xml:space="preserve"> Spp. (tsetse flies). Two subspecies of </w:t>
      </w:r>
      <w:r w:rsidRPr="00727DFA">
        <w:rPr>
          <w:rFonts w:eastAsia="DengXian" w:cs="Times New Roman"/>
          <w:i/>
          <w:szCs w:val="24"/>
        </w:rPr>
        <w:t>Trypanosoma brucei</w:t>
      </w:r>
      <w:r w:rsidRPr="00727DFA">
        <w:rPr>
          <w:rFonts w:eastAsia="DengXian" w:cs="Times New Roman"/>
          <w:szCs w:val="24"/>
        </w:rPr>
        <w:t xml:space="preserve">, </w:t>
      </w:r>
      <w:r w:rsidRPr="00727DFA">
        <w:rPr>
          <w:rFonts w:eastAsia="DengXian" w:cs="Times New Roman"/>
          <w:i/>
          <w:szCs w:val="24"/>
        </w:rPr>
        <w:t>T. brucei gambiense</w:t>
      </w:r>
      <w:r w:rsidRPr="00727DFA">
        <w:rPr>
          <w:rFonts w:eastAsia="DengXian" w:cs="Times New Roman"/>
          <w:szCs w:val="24"/>
        </w:rPr>
        <w:t xml:space="preserve"> and </w:t>
      </w:r>
      <w:r w:rsidRPr="00727DFA">
        <w:rPr>
          <w:rFonts w:eastAsia="DengXian" w:cs="Times New Roman"/>
          <w:i/>
          <w:szCs w:val="24"/>
        </w:rPr>
        <w:t>T. brucei rhodesiense,</w:t>
      </w:r>
      <w:r w:rsidRPr="00727DFA">
        <w:rPr>
          <w:rFonts w:eastAsia="DengXian" w:cs="Times New Roman"/>
          <w:szCs w:val="24"/>
        </w:rPr>
        <w:t xml:space="preserve"> produce distinctive clinical forms of the diseases. The early stage of </w:t>
      </w:r>
      <w:r w:rsidRPr="00727DFA">
        <w:rPr>
          <w:rFonts w:eastAsia="DengXian" w:cs="Times New Roman"/>
          <w:iCs/>
          <w:szCs w:val="24"/>
        </w:rPr>
        <w:t>African</w:t>
      </w:r>
      <w:r w:rsidRPr="00727DFA">
        <w:rPr>
          <w:rFonts w:eastAsia="DengXian" w:cs="Times New Roman"/>
          <w:iCs/>
          <w:spacing w:val="-18"/>
          <w:szCs w:val="24"/>
        </w:rPr>
        <w:t xml:space="preserve"> </w:t>
      </w:r>
      <w:r w:rsidRPr="00727DFA">
        <w:rPr>
          <w:rFonts w:eastAsia="DengXian" w:cs="Times New Roman"/>
          <w:iCs/>
          <w:szCs w:val="24"/>
        </w:rPr>
        <w:t>Trypanosomiasis</w:t>
      </w:r>
      <w:r w:rsidRPr="00727DFA">
        <w:rPr>
          <w:rFonts w:eastAsia="DengXian" w:cs="Times New Roman"/>
          <w:spacing w:val="-18"/>
          <w:szCs w:val="24"/>
        </w:rPr>
        <w:t xml:space="preserve"> resulted </w:t>
      </w:r>
      <w:r w:rsidRPr="00727DFA">
        <w:rPr>
          <w:rFonts w:eastAsia="DengXian" w:cs="Times New Roman"/>
          <w:szCs w:val="24"/>
        </w:rPr>
        <w:t>from</w:t>
      </w:r>
      <w:r w:rsidRPr="00727DFA">
        <w:rPr>
          <w:rFonts w:eastAsia="DengXian" w:cs="Times New Roman"/>
          <w:spacing w:val="-17"/>
          <w:szCs w:val="24"/>
        </w:rPr>
        <w:t xml:space="preserve"> </w:t>
      </w:r>
      <w:r w:rsidRPr="00727DFA">
        <w:rPr>
          <w:rFonts w:eastAsia="DengXian" w:cs="Times New Roman"/>
          <w:szCs w:val="24"/>
        </w:rPr>
        <w:t>infection</w:t>
      </w:r>
      <w:r w:rsidRPr="00727DFA">
        <w:rPr>
          <w:rFonts w:eastAsia="DengXian" w:cs="Times New Roman"/>
          <w:spacing w:val="-17"/>
          <w:szCs w:val="24"/>
        </w:rPr>
        <w:t xml:space="preserve"> </w:t>
      </w:r>
      <w:r w:rsidRPr="00727DFA">
        <w:rPr>
          <w:rFonts w:eastAsia="DengXian" w:cs="Times New Roman"/>
          <w:szCs w:val="24"/>
        </w:rPr>
        <w:t>of</w:t>
      </w:r>
      <w:r w:rsidRPr="00727DFA">
        <w:rPr>
          <w:rFonts w:eastAsia="DengXian" w:cs="Times New Roman"/>
          <w:spacing w:val="-17"/>
          <w:szCs w:val="24"/>
        </w:rPr>
        <w:t xml:space="preserve"> </w:t>
      </w:r>
      <w:r w:rsidRPr="00727DFA">
        <w:rPr>
          <w:rFonts w:eastAsia="DengXian" w:cs="Times New Roman"/>
          <w:szCs w:val="24"/>
        </w:rPr>
        <w:t>the</w:t>
      </w:r>
      <w:r w:rsidRPr="00727DFA">
        <w:rPr>
          <w:rFonts w:eastAsia="DengXian" w:cs="Times New Roman"/>
          <w:spacing w:val="-17"/>
          <w:szCs w:val="24"/>
        </w:rPr>
        <w:t xml:space="preserve"> </w:t>
      </w:r>
      <w:r w:rsidRPr="00727DFA">
        <w:rPr>
          <w:rFonts w:eastAsia="DengXian" w:cs="Times New Roman"/>
          <w:szCs w:val="24"/>
        </w:rPr>
        <w:t>blood</w:t>
      </w:r>
      <w:r w:rsidRPr="00727DFA">
        <w:rPr>
          <w:rFonts w:eastAsia="DengXian" w:cs="Times New Roman"/>
          <w:spacing w:val="-18"/>
          <w:szCs w:val="24"/>
        </w:rPr>
        <w:t xml:space="preserve"> </w:t>
      </w:r>
      <w:r w:rsidRPr="00727DFA">
        <w:rPr>
          <w:rFonts w:eastAsia="DengXian" w:cs="Times New Roman"/>
          <w:szCs w:val="24"/>
        </w:rPr>
        <w:t>stream</w:t>
      </w:r>
      <w:r w:rsidRPr="00727DFA">
        <w:rPr>
          <w:rFonts w:eastAsia="DengXian" w:cs="Times New Roman"/>
          <w:spacing w:val="-17"/>
          <w:szCs w:val="24"/>
        </w:rPr>
        <w:t xml:space="preserve"> </w:t>
      </w:r>
      <w:r w:rsidRPr="00727DFA">
        <w:rPr>
          <w:rFonts w:eastAsia="DengXian" w:cs="Times New Roman"/>
          <w:szCs w:val="24"/>
        </w:rPr>
        <w:t>and</w:t>
      </w:r>
      <w:r w:rsidRPr="00727DFA">
        <w:rPr>
          <w:rFonts w:eastAsia="DengXian" w:cs="Times New Roman"/>
          <w:spacing w:val="-16"/>
          <w:szCs w:val="24"/>
        </w:rPr>
        <w:t xml:space="preserve"> </w:t>
      </w:r>
      <w:r w:rsidRPr="00727DFA">
        <w:rPr>
          <w:rFonts w:eastAsia="DengXian" w:cs="Times New Roman"/>
          <w:szCs w:val="24"/>
        </w:rPr>
        <w:t>lymph</w:t>
      </w:r>
      <w:r w:rsidRPr="00727DFA">
        <w:rPr>
          <w:rFonts w:eastAsia="DengXian" w:cs="Times New Roman"/>
          <w:spacing w:val="-17"/>
          <w:szCs w:val="24"/>
        </w:rPr>
        <w:t xml:space="preserve"> </w:t>
      </w:r>
      <w:r w:rsidRPr="00727DFA">
        <w:rPr>
          <w:rFonts w:eastAsia="DengXian" w:cs="Times New Roman"/>
          <w:szCs w:val="24"/>
        </w:rPr>
        <w:t>nodes.</w:t>
      </w:r>
      <w:r w:rsidRPr="00727DFA">
        <w:rPr>
          <w:rFonts w:eastAsia="DengXian" w:cs="Times New Roman"/>
          <w:spacing w:val="-16"/>
          <w:szCs w:val="24"/>
        </w:rPr>
        <w:t xml:space="preserve"> </w:t>
      </w:r>
      <w:r w:rsidRPr="00727DFA">
        <w:rPr>
          <w:rFonts w:eastAsia="DengXian" w:cs="Times New Roman"/>
          <w:szCs w:val="24"/>
        </w:rPr>
        <w:t>The</w:t>
      </w:r>
      <w:r w:rsidRPr="00727DFA">
        <w:rPr>
          <w:rFonts w:eastAsia="DengXian" w:cs="Times New Roman"/>
          <w:spacing w:val="-17"/>
          <w:szCs w:val="24"/>
        </w:rPr>
        <w:t xml:space="preserve"> </w:t>
      </w:r>
      <w:r w:rsidRPr="00727DFA">
        <w:rPr>
          <w:rFonts w:eastAsia="DengXian" w:cs="Times New Roman"/>
          <w:szCs w:val="24"/>
        </w:rPr>
        <w:t xml:space="preserve">late meningoencephalitis stage is associated with infection of the central nervous system. </w:t>
      </w:r>
    </w:p>
    <w:p w14:paraId="2AF8D182" w14:textId="77777777" w:rsidR="007B485D" w:rsidRPr="00727DFA" w:rsidRDefault="007B485D" w:rsidP="007B485D">
      <w:pPr>
        <w:spacing w:before="240" w:after="0"/>
        <w:jc w:val="both"/>
        <w:rPr>
          <w:rFonts w:eastAsia="DengXian" w:cs="Times New Roman"/>
          <w:szCs w:val="24"/>
        </w:rPr>
      </w:pPr>
      <w:r w:rsidRPr="00727DFA">
        <w:rPr>
          <w:rFonts w:eastAsia="DengXian" w:cs="Times New Roman"/>
          <w:szCs w:val="24"/>
        </w:rPr>
        <w:lastRenderedPageBreak/>
        <w:t>The</w:t>
      </w:r>
      <w:r w:rsidRPr="00727DFA">
        <w:rPr>
          <w:rFonts w:eastAsia="DengXian" w:cs="Times New Roman"/>
          <w:spacing w:val="-8"/>
          <w:szCs w:val="24"/>
        </w:rPr>
        <w:t xml:space="preserve"> </w:t>
      </w:r>
      <w:r w:rsidRPr="00727DFA">
        <w:rPr>
          <w:rFonts w:eastAsia="DengXian" w:cs="Times New Roman"/>
          <w:szCs w:val="24"/>
        </w:rPr>
        <w:t>drugs</w:t>
      </w:r>
      <w:r w:rsidRPr="00727DFA">
        <w:rPr>
          <w:rFonts w:eastAsia="DengXian" w:cs="Times New Roman"/>
          <w:spacing w:val="-6"/>
          <w:szCs w:val="24"/>
        </w:rPr>
        <w:t xml:space="preserve"> </w:t>
      </w:r>
      <w:r w:rsidRPr="00727DFA">
        <w:rPr>
          <w:rFonts w:eastAsia="DengXian" w:cs="Times New Roman"/>
          <w:szCs w:val="24"/>
        </w:rPr>
        <w:t>used</w:t>
      </w:r>
      <w:r w:rsidRPr="00727DFA">
        <w:rPr>
          <w:rFonts w:eastAsia="DengXian" w:cs="Times New Roman"/>
          <w:spacing w:val="-6"/>
          <w:szCs w:val="24"/>
        </w:rPr>
        <w:t xml:space="preserve"> </w:t>
      </w:r>
      <w:r w:rsidRPr="00727DFA">
        <w:rPr>
          <w:rFonts w:eastAsia="DengXian" w:cs="Times New Roman"/>
          <w:szCs w:val="24"/>
        </w:rPr>
        <w:t>for</w:t>
      </w:r>
      <w:r w:rsidRPr="00727DFA">
        <w:rPr>
          <w:rFonts w:eastAsia="DengXian" w:cs="Times New Roman"/>
          <w:spacing w:val="-8"/>
          <w:szCs w:val="24"/>
        </w:rPr>
        <w:t xml:space="preserve"> </w:t>
      </w:r>
      <w:r w:rsidRPr="00727DFA">
        <w:rPr>
          <w:rFonts w:eastAsia="DengXian" w:cs="Times New Roman"/>
          <w:szCs w:val="24"/>
        </w:rPr>
        <w:t>treatment</w:t>
      </w:r>
      <w:r w:rsidRPr="00727DFA">
        <w:rPr>
          <w:rFonts w:eastAsia="DengXian" w:cs="Times New Roman"/>
          <w:spacing w:val="-6"/>
          <w:szCs w:val="24"/>
        </w:rPr>
        <w:t xml:space="preserve"> of trypanosomiasis </w:t>
      </w:r>
      <w:r w:rsidRPr="00727DFA">
        <w:rPr>
          <w:rFonts w:eastAsia="DengXian" w:cs="Times New Roman"/>
          <w:szCs w:val="24"/>
        </w:rPr>
        <w:t>are</w:t>
      </w:r>
      <w:r w:rsidRPr="00727DFA">
        <w:rPr>
          <w:rFonts w:eastAsia="DengXian" w:cs="Times New Roman"/>
          <w:spacing w:val="-8"/>
          <w:szCs w:val="24"/>
        </w:rPr>
        <w:t xml:space="preserve"> </w:t>
      </w:r>
      <w:r w:rsidRPr="00727DFA">
        <w:rPr>
          <w:rFonts w:eastAsia="DengXian" w:cs="Times New Roman"/>
          <w:szCs w:val="24"/>
        </w:rPr>
        <w:t>pentamidine,</w:t>
      </w:r>
      <w:r w:rsidRPr="00727DFA">
        <w:rPr>
          <w:rFonts w:eastAsia="DengXian" w:cs="Times New Roman"/>
          <w:spacing w:val="-6"/>
          <w:szCs w:val="24"/>
        </w:rPr>
        <w:t xml:space="preserve"> </w:t>
      </w:r>
      <w:r w:rsidRPr="00727DFA">
        <w:rPr>
          <w:rFonts w:eastAsia="DengXian" w:cs="Times New Roman"/>
          <w:szCs w:val="24"/>
        </w:rPr>
        <w:t>suramin</w:t>
      </w:r>
      <w:r w:rsidRPr="00727DFA">
        <w:rPr>
          <w:rFonts w:eastAsia="DengXian" w:cs="Times New Roman"/>
          <w:spacing w:val="-7"/>
          <w:szCs w:val="24"/>
        </w:rPr>
        <w:t xml:space="preserve"> </w:t>
      </w:r>
      <w:r w:rsidRPr="00727DFA">
        <w:rPr>
          <w:rFonts w:eastAsia="DengXian" w:cs="Times New Roman"/>
          <w:szCs w:val="24"/>
        </w:rPr>
        <w:t>and</w:t>
      </w:r>
      <w:r w:rsidRPr="00727DFA">
        <w:rPr>
          <w:rFonts w:eastAsia="DengXian" w:cs="Times New Roman"/>
          <w:spacing w:val="-6"/>
          <w:szCs w:val="24"/>
        </w:rPr>
        <w:t xml:space="preserve"> </w:t>
      </w:r>
      <w:r w:rsidRPr="00727DFA">
        <w:rPr>
          <w:rFonts w:eastAsia="DengXian" w:cs="Times New Roman"/>
          <w:szCs w:val="24"/>
        </w:rPr>
        <w:t>melarsoprol.</w:t>
      </w:r>
      <w:r w:rsidRPr="00727DFA">
        <w:rPr>
          <w:rFonts w:eastAsia="DengXian" w:cs="Times New Roman"/>
          <w:spacing w:val="-6"/>
          <w:szCs w:val="24"/>
        </w:rPr>
        <w:t xml:space="preserve"> </w:t>
      </w:r>
      <w:r w:rsidRPr="00727DFA">
        <w:rPr>
          <w:rFonts w:eastAsia="DengXian" w:cs="Times New Roman"/>
          <w:szCs w:val="24"/>
        </w:rPr>
        <w:t>Treatment</w:t>
      </w:r>
      <w:r w:rsidRPr="00727DFA">
        <w:rPr>
          <w:rFonts w:eastAsia="DengXian" w:cs="Times New Roman"/>
          <w:spacing w:val="-6"/>
          <w:szCs w:val="24"/>
        </w:rPr>
        <w:t xml:space="preserve"> </w:t>
      </w:r>
      <w:r w:rsidRPr="00727DFA">
        <w:rPr>
          <w:rFonts w:eastAsia="DengXian" w:cs="Times New Roman"/>
          <w:szCs w:val="24"/>
        </w:rPr>
        <w:t>of</w:t>
      </w:r>
      <w:r w:rsidRPr="00727DFA">
        <w:rPr>
          <w:rFonts w:eastAsia="DengXian" w:cs="Times New Roman"/>
          <w:spacing w:val="-7"/>
          <w:szCs w:val="24"/>
        </w:rPr>
        <w:t xml:space="preserve"> </w:t>
      </w:r>
      <w:r w:rsidRPr="00727DFA">
        <w:rPr>
          <w:rFonts w:eastAsia="DengXian" w:cs="Times New Roman"/>
          <w:szCs w:val="24"/>
        </w:rPr>
        <w:t xml:space="preserve">early- </w:t>
      </w:r>
      <w:r w:rsidRPr="00727DFA">
        <w:rPr>
          <w:rFonts w:eastAsia="DengXian" w:cs="Times New Roman"/>
          <w:spacing w:val="-2"/>
          <w:szCs w:val="24"/>
        </w:rPr>
        <w:t>stage</w:t>
      </w:r>
      <w:r w:rsidRPr="00727DFA">
        <w:rPr>
          <w:rFonts w:eastAsia="DengXian" w:cs="Times New Roman"/>
          <w:spacing w:val="-16"/>
          <w:szCs w:val="24"/>
        </w:rPr>
        <w:t xml:space="preserve"> </w:t>
      </w:r>
      <w:r w:rsidRPr="00727DFA">
        <w:rPr>
          <w:rFonts w:eastAsia="DengXian" w:cs="Times New Roman"/>
          <w:spacing w:val="-2"/>
          <w:szCs w:val="24"/>
        </w:rPr>
        <w:t>infections</w:t>
      </w:r>
      <w:r w:rsidRPr="00727DFA">
        <w:rPr>
          <w:rFonts w:eastAsia="DengXian" w:cs="Times New Roman"/>
          <w:spacing w:val="-15"/>
          <w:szCs w:val="24"/>
        </w:rPr>
        <w:t xml:space="preserve"> </w:t>
      </w:r>
      <w:r w:rsidRPr="00727DFA">
        <w:rPr>
          <w:rFonts w:eastAsia="DengXian" w:cs="Times New Roman"/>
          <w:spacing w:val="-2"/>
          <w:szCs w:val="24"/>
        </w:rPr>
        <w:t>of</w:t>
      </w:r>
      <w:r w:rsidRPr="00727DFA">
        <w:rPr>
          <w:rFonts w:eastAsia="DengXian" w:cs="Times New Roman"/>
          <w:spacing w:val="-15"/>
          <w:szCs w:val="24"/>
        </w:rPr>
        <w:t xml:space="preserve"> </w:t>
      </w:r>
      <w:r w:rsidRPr="00727DFA">
        <w:rPr>
          <w:rFonts w:eastAsia="DengXian" w:cs="Times New Roman"/>
          <w:i/>
          <w:spacing w:val="-2"/>
          <w:szCs w:val="24"/>
        </w:rPr>
        <w:t>T. b. rhodesiense</w:t>
      </w:r>
      <w:r w:rsidRPr="00727DFA">
        <w:rPr>
          <w:rFonts w:eastAsia="DengXian" w:cs="Times New Roman"/>
          <w:spacing w:val="-16"/>
          <w:szCs w:val="24"/>
        </w:rPr>
        <w:t xml:space="preserve"> </w:t>
      </w:r>
      <w:r w:rsidRPr="00727DFA">
        <w:rPr>
          <w:rFonts w:eastAsia="DengXian" w:cs="Times New Roman"/>
          <w:spacing w:val="-2"/>
          <w:szCs w:val="24"/>
        </w:rPr>
        <w:t>with</w:t>
      </w:r>
      <w:r w:rsidRPr="00727DFA">
        <w:rPr>
          <w:rFonts w:eastAsia="DengXian" w:cs="Times New Roman"/>
          <w:spacing w:val="-15"/>
          <w:szCs w:val="24"/>
        </w:rPr>
        <w:t xml:space="preserve"> </w:t>
      </w:r>
      <w:r w:rsidRPr="00727DFA">
        <w:rPr>
          <w:rFonts w:eastAsia="DengXian" w:cs="Times New Roman"/>
          <w:spacing w:val="-2"/>
          <w:szCs w:val="24"/>
        </w:rPr>
        <w:t>suramin</w:t>
      </w:r>
      <w:r w:rsidRPr="00727DFA">
        <w:rPr>
          <w:rFonts w:eastAsia="DengXian" w:cs="Times New Roman"/>
          <w:spacing w:val="-15"/>
          <w:szCs w:val="24"/>
        </w:rPr>
        <w:t xml:space="preserve"> </w:t>
      </w:r>
      <w:r w:rsidRPr="00727DFA">
        <w:rPr>
          <w:rFonts w:eastAsia="DengXian" w:cs="Times New Roman"/>
          <w:spacing w:val="-2"/>
          <w:szCs w:val="24"/>
        </w:rPr>
        <w:t>sodium</w:t>
      </w:r>
      <w:r w:rsidRPr="00727DFA">
        <w:rPr>
          <w:rFonts w:eastAsia="DengXian" w:cs="Times New Roman"/>
          <w:spacing w:val="-16"/>
          <w:szCs w:val="24"/>
        </w:rPr>
        <w:t xml:space="preserve"> </w:t>
      </w:r>
      <w:r w:rsidRPr="00727DFA">
        <w:rPr>
          <w:rFonts w:eastAsia="DengXian" w:cs="Times New Roman"/>
          <w:spacing w:val="-2"/>
          <w:szCs w:val="24"/>
        </w:rPr>
        <w:t>and</w:t>
      </w:r>
      <w:r w:rsidRPr="00727DFA">
        <w:rPr>
          <w:rFonts w:eastAsia="DengXian" w:cs="Times New Roman"/>
          <w:spacing w:val="-15"/>
          <w:szCs w:val="24"/>
        </w:rPr>
        <w:t xml:space="preserve"> </w:t>
      </w:r>
      <w:r w:rsidRPr="00727DFA">
        <w:rPr>
          <w:rFonts w:eastAsia="DengXian" w:cs="Times New Roman"/>
          <w:i/>
          <w:spacing w:val="-2"/>
          <w:szCs w:val="24"/>
        </w:rPr>
        <w:t>T. b.</w:t>
      </w:r>
      <w:r w:rsidRPr="00727DFA">
        <w:rPr>
          <w:rFonts w:eastAsia="DengXian" w:cs="Times New Roman"/>
          <w:i/>
          <w:spacing w:val="-16"/>
          <w:szCs w:val="24"/>
        </w:rPr>
        <w:t xml:space="preserve"> </w:t>
      </w:r>
      <w:r w:rsidRPr="00727DFA">
        <w:rPr>
          <w:rFonts w:eastAsia="DengXian" w:cs="Times New Roman"/>
          <w:i/>
          <w:spacing w:val="-2"/>
          <w:szCs w:val="24"/>
        </w:rPr>
        <w:t>gambiense</w:t>
      </w:r>
      <w:r w:rsidRPr="00727DFA">
        <w:rPr>
          <w:rFonts w:eastAsia="DengXian" w:cs="Times New Roman"/>
          <w:spacing w:val="-16"/>
          <w:szCs w:val="24"/>
        </w:rPr>
        <w:t xml:space="preserve"> </w:t>
      </w:r>
      <w:r w:rsidRPr="00727DFA">
        <w:rPr>
          <w:rFonts w:eastAsia="DengXian" w:cs="Times New Roman"/>
          <w:spacing w:val="-2"/>
          <w:szCs w:val="24"/>
        </w:rPr>
        <w:t>with</w:t>
      </w:r>
      <w:r w:rsidRPr="00727DFA">
        <w:rPr>
          <w:rFonts w:eastAsia="DengXian" w:cs="Times New Roman"/>
          <w:spacing w:val="-15"/>
          <w:szCs w:val="24"/>
        </w:rPr>
        <w:t xml:space="preserve"> </w:t>
      </w:r>
      <w:r w:rsidRPr="00727DFA">
        <w:rPr>
          <w:rFonts w:eastAsia="DengXian" w:cs="Times New Roman"/>
          <w:spacing w:val="-2"/>
          <w:szCs w:val="24"/>
        </w:rPr>
        <w:t xml:space="preserve">pentamidine </w:t>
      </w:r>
      <w:r w:rsidRPr="00727DFA">
        <w:rPr>
          <w:rFonts w:eastAsia="DengXian" w:cs="Times New Roman"/>
          <w:szCs w:val="24"/>
        </w:rPr>
        <w:t>isethionate</w:t>
      </w:r>
      <w:r w:rsidRPr="00727DFA">
        <w:rPr>
          <w:rFonts w:eastAsia="DengXian" w:cs="Times New Roman"/>
          <w:spacing w:val="-10"/>
          <w:szCs w:val="24"/>
        </w:rPr>
        <w:t xml:space="preserve"> </w:t>
      </w:r>
      <w:r w:rsidRPr="00727DFA">
        <w:rPr>
          <w:rFonts w:eastAsia="DengXian" w:cs="Times New Roman"/>
          <w:szCs w:val="24"/>
        </w:rPr>
        <w:t>can</w:t>
      </w:r>
      <w:r w:rsidRPr="00727DFA">
        <w:rPr>
          <w:rFonts w:eastAsia="DengXian" w:cs="Times New Roman"/>
          <w:spacing w:val="-11"/>
          <w:szCs w:val="24"/>
        </w:rPr>
        <w:t xml:space="preserve"> </w:t>
      </w:r>
      <w:r w:rsidRPr="00727DFA">
        <w:rPr>
          <w:rFonts w:eastAsia="DengXian" w:cs="Times New Roman"/>
          <w:szCs w:val="24"/>
        </w:rPr>
        <w:t>be</w:t>
      </w:r>
      <w:r w:rsidRPr="00727DFA">
        <w:rPr>
          <w:rFonts w:eastAsia="DengXian" w:cs="Times New Roman"/>
          <w:spacing w:val="-10"/>
          <w:szCs w:val="24"/>
        </w:rPr>
        <w:t xml:space="preserve"> </w:t>
      </w:r>
      <w:r w:rsidRPr="00727DFA">
        <w:rPr>
          <w:rFonts w:eastAsia="DengXian" w:cs="Times New Roman"/>
          <w:szCs w:val="24"/>
        </w:rPr>
        <w:t>curative</w:t>
      </w:r>
      <w:r w:rsidRPr="00727DFA">
        <w:rPr>
          <w:rFonts w:eastAsia="DengXian" w:cs="Times New Roman"/>
          <w:spacing w:val="-10"/>
          <w:szCs w:val="24"/>
        </w:rPr>
        <w:t xml:space="preserve"> </w:t>
      </w:r>
      <w:r w:rsidRPr="00727DFA">
        <w:rPr>
          <w:rFonts w:eastAsia="DengXian" w:cs="Times New Roman"/>
          <w:szCs w:val="24"/>
        </w:rPr>
        <w:t>if</w:t>
      </w:r>
      <w:r w:rsidRPr="00727DFA">
        <w:rPr>
          <w:rFonts w:eastAsia="DengXian" w:cs="Times New Roman"/>
          <w:spacing w:val="-11"/>
          <w:szCs w:val="24"/>
        </w:rPr>
        <w:t xml:space="preserve"> </w:t>
      </w:r>
      <w:r w:rsidRPr="00727DFA">
        <w:rPr>
          <w:rFonts w:eastAsia="DengXian" w:cs="Times New Roman"/>
          <w:szCs w:val="24"/>
        </w:rPr>
        <w:t>started</w:t>
      </w:r>
      <w:r w:rsidRPr="00727DFA">
        <w:rPr>
          <w:rFonts w:eastAsia="DengXian" w:cs="Times New Roman"/>
          <w:spacing w:val="-13"/>
          <w:szCs w:val="24"/>
        </w:rPr>
        <w:t xml:space="preserve"> </w:t>
      </w:r>
      <w:r w:rsidRPr="00727DFA">
        <w:rPr>
          <w:rFonts w:eastAsia="DengXian" w:cs="Times New Roman"/>
          <w:szCs w:val="24"/>
        </w:rPr>
        <w:t>before</w:t>
      </w:r>
      <w:r w:rsidRPr="00727DFA">
        <w:rPr>
          <w:rFonts w:eastAsia="DengXian" w:cs="Times New Roman"/>
          <w:spacing w:val="-11"/>
          <w:szCs w:val="24"/>
        </w:rPr>
        <w:t xml:space="preserve"> </w:t>
      </w:r>
      <w:r w:rsidRPr="00727DFA">
        <w:rPr>
          <w:rFonts w:eastAsia="DengXian" w:cs="Times New Roman"/>
          <w:szCs w:val="24"/>
        </w:rPr>
        <w:t>the</w:t>
      </w:r>
      <w:r w:rsidRPr="00727DFA">
        <w:rPr>
          <w:rFonts w:eastAsia="DengXian" w:cs="Times New Roman"/>
          <w:spacing w:val="-13"/>
          <w:szCs w:val="24"/>
        </w:rPr>
        <w:t xml:space="preserve"> </w:t>
      </w:r>
      <w:r w:rsidRPr="00727DFA">
        <w:rPr>
          <w:rFonts w:eastAsia="DengXian" w:cs="Times New Roman"/>
          <w:szCs w:val="24"/>
        </w:rPr>
        <w:t>central</w:t>
      </w:r>
      <w:r w:rsidRPr="00727DFA">
        <w:rPr>
          <w:rFonts w:eastAsia="DengXian" w:cs="Times New Roman"/>
          <w:spacing w:val="-10"/>
          <w:szCs w:val="24"/>
        </w:rPr>
        <w:t xml:space="preserve"> </w:t>
      </w:r>
      <w:r w:rsidRPr="00727DFA">
        <w:rPr>
          <w:rFonts w:eastAsia="DengXian" w:cs="Times New Roman"/>
          <w:szCs w:val="24"/>
        </w:rPr>
        <w:t>nervous</w:t>
      </w:r>
      <w:r w:rsidRPr="00727DFA">
        <w:rPr>
          <w:rFonts w:eastAsia="DengXian" w:cs="Times New Roman"/>
          <w:spacing w:val="-10"/>
          <w:szCs w:val="24"/>
        </w:rPr>
        <w:t xml:space="preserve"> </w:t>
      </w:r>
      <w:r w:rsidRPr="00727DFA">
        <w:rPr>
          <w:rFonts w:eastAsia="DengXian" w:cs="Times New Roman"/>
          <w:szCs w:val="24"/>
        </w:rPr>
        <w:t>system</w:t>
      </w:r>
      <w:r w:rsidRPr="00727DFA">
        <w:rPr>
          <w:rFonts w:eastAsia="DengXian" w:cs="Times New Roman"/>
          <w:spacing w:val="-10"/>
          <w:szCs w:val="24"/>
        </w:rPr>
        <w:t xml:space="preserve"> </w:t>
      </w:r>
      <w:r w:rsidRPr="00727DFA">
        <w:rPr>
          <w:rFonts w:eastAsia="DengXian" w:cs="Times New Roman"/>
          <w:szCs w:val="24"/>
        </w:rPr>
        <w:t>has</w:t>
      </w:r>
      <w:r w:rsidRPr="00727DFA">
        <w:rPr>
          <w:rFonts w:eastAsia="DengXian" w:cs="Times New Roman"/>
          <w:spacing w:val="-10"/>
          <w:szCs w:val="24"/>
        </w:rPr>
        <w:t xml:space="preserve"> </w:t>
      </w:r>
      <w:r w:rsidRPr="00727DFA">
        <w:rPr>
          <w:rFonts w:eastAsia="DengXian" w:cs="Times New Roman"/>
          <w:szCs w:val="24"/>
        </w:rPr>
        <w:t>become</w:t>
      </w:r>
      <w:r w:rsidRPr="00727DFA">
        <w:rPr>
          <w:rFonts w:eastAsia="DengXian" w:cs="Times New Roman"/>
          <w:spacing w:val="-11"/>
          <w:szCs w:val="24"/>
        </w:rPr>
        <w:t xml:space="preserve"> </w:t>
      </w:r>
      <w:r w:rsidRPr="00727DFA">
        <w:rPr>
          <w:rFonts w:eastAsia="DengXian" w:cs="Times New Roman"/>
          <w:szCs w:val="24"/>
        </w:rPr>
        <w:t xml:space="preserve">involved. In areas where pentamidine resistance occurs, suramin sodium may be used for </w:t>
      </w:r>
      <w:r w:rsidRPr="00727DFA">
        <w:rPr>
          <w:rFonts w:eastAsia="DengXian" w:cs="Times New Roman"/>
          <w:i/>
          <w:szCs w:val="24"/>
        </w:rPr>
        <w:t>T. b. gambiense</w:t>
      </w:r>
      <w:r w:rsidRPr="00727DFA">
        <w:rPr>
          <w:rFonts w:eastAsia="DengXian" w:cs="Times New Roman"/>
          <w:spacing w:val="-18"/>
          <w:szCs w:val="24"/>
        </w:rPr>
        <w:t xml:space="preserve"> </w:t>
      </w:r>
      <w:r w:rsidRPr="00727DFA">
        <w:rPr>
          <w:rFonts w:eastAsia="DengXian" w:cs="Times New Roman"/>
          <w:szCs w:val="24"/>
        </w:rPr>
        <w:t>infection.</w:t>
      </w:r>
      <w:r w:rsidRPr="00727DFA">
        <w:rPr>
          <w:rFonts w:eastAsia="DengXian" w:cs="Times New Roman"/>
          <w:spacing w:val="-18"/>
          <w:szCs w:val="24"/>
        </w:rPr>
        <w:t xml:space="preserve"> </w:t>
      </w:r>
      <w:r w:rsidRPr="00727DFA">
        <w:rPr>
          <w:rFonts w:eastAsia="DengXian" w:cs="Times New Roman"/>
          <w:szCs w:val="24"/>
        </w:rPr>
        <w:t>Melarsoprol</w:t>
      </w:r>
      <w:r w:rsidRPr="00727DFA">
        <w:rPr>
          <w:rFonts w:eastAsia="DengXian" w:cs="Times New Roman"/>
          <w:spacing w:val="-17"/>
          <w:szCs w:val="24"/>
        </w:rPr>
        <w:t xml:space="preserve"> </w:t>
      </w:r>
      <w:r w:rsidRPr="00727DFA">
        <w:rPr>
          <w:rFonts w:eastAsia="DengXian" w:cs="Times New Roman"/>
          <w:szCs w:val="24"/>
        </w:rPr>
        <w:t>is</w:t>
      </w:r>
      <w:r w:rsidRPr="00727DFA">
        <w:rPr>
          <w:rFonts w:eastAsia="DengXian" w:cs="Times New Roman"/>
          <w:spacing w:val="-17"/>
          <w:szCs w:val="24"/>
        </w:rPr>
        <w:t xml:space="preserve"> </w:t>
      </w:r>
      <w:r w:rsidRPr="00727DFA">
        <w:rPr>
          <w:rFonts w:eastAsia="DengXian" w:cs="Times New Roman"/>
          <w:szCs w:val="24"/>
        </w:rPr>
        <w:t>used</w:t>
      </w:r>
      <w:r w:rsidRPr="00727DFA">
        <w:rPr>
          <w:rFonts w:eastAsia="DengXian" w:cs="Times New Roman"/>
          <w:spacing w:val="-17"/>
          <w:szCs w:val="24"/>
        </w:rPr>
        <w:t xml:space="preserve"> </w:t>
      </w:r>
      <w:r w:rsidRPr="00727DFA">
        <w:rPr>
          <w:rFonts w:eastAsia="DengXian" w:cs="Times New Roman"/>
          <w:szCs w:val="24"/>
        </w:rPr>
        <w:t>for</w:t>
      </w:r>
      <w:r w:rsidRPr="00727DFA">
        <w:rPr>
          <w:rFonts w:eastAsia="DengXian" w:cs="Times New Roman"/>
          <w:spacing w:val="-17"/>
          <w:szCs w:val="24"/>
        </w:rPr>
        <w:t xml:space="preserve"> </w:t>
      </w:r>
      <w:r w:rsidRPr="00727DFA">
        <w:rPr>
          <w:rFonts w:eastAsia="DengXian" w:cs="Times New Roman"/>
          <w:szCs w:val="24"/>
        </w:rPr>
        <w:t>confirmed</w:t>
      </w:r>
      <w:r w:rsidRPr="00727DFA">
        <w:rPr>
          <w:rFonts w:eastAsia="DengXian" w:cs="Times New Roman"/>
          <w:spacing w:val="-18"/>
          <w:szCs w:val="24"/>
        </w:rPr>
        <w:t xml:space="preserve"> </w:t>
      </w:r>
      <w:r w:rsidRPr="00727DFA">
        <w:rPr>
          <w:rFonts w:eastAsia="DengXian" w:cs="Times New Roman"/>
          <w:szCs w:val="24"/>
        </w:rPr>
        <w:t>cases</w:t>
      </w:r>
      <w:r w:rsidRPr="00727DFA">
        <w:rPr>
          <w:rFonts w:eastAsia="DengXian" w:cs="Times New Roman"/>
          <w:spacing w:val="-17"/>
          <w:szCs w:val="24"/>
        </w:rPr>
        <w:t xml:space="preserve"> </w:t>
      </w:r>
      <w:r w:rsidRPr="00727DFA">
        <w:rPr>
          <w:rFonts w:eastAsia="DengXian" w:cs="Times New Roman"/>
          <w:szCs w:val="24"/>
        </w:rPr>
        <w:t>of</w:t>
      </w:r>
      <w:r w:rsidRPr="00727DFA">
        <w:rPr>
          <w:rFonts w:eastAsia="DengXian" w:cs="Times New Roman"/>
          <w:spacing w:val="-17"/>
          <w:szCs w:val="24"/>
        </w:rPr>
        <w:t xml:space="preserve"> </w:t>
      </w:r>
      <w:r w:rsidRPr="00727DFA">
        <w:rPr>
          <w:rFonts w:eastAsia="DengXian" w:cs="Times New Roman"/>
          <w:i/>
          <w:szCs w:val="24"/>
        </w:rPr>
        <w:t>T. b. rhodesiense</w:t>
      </w:r>
      <w:r w:rsidRPr="00727DFA">
        <w:rPr>
          <w:rFonts w:eastAsia="DengXian" w:cs="Times New Roman"/>
          <w:spacing w:val="-18"/>
          <w:szCs w:val="24"/>
        </w:rPr>
        <w:t xml:space="preserve"> </w:t>
      </w:r>
      <w:r w:rsidRPr="00727DFA">
        <w:rPr>
          <w:rFonts w:eastAsia="DengXian" w:cs="Times New Roman"/>
          <w:szCs w:val="24"/>
        </w:rPr>
        <w:t>and</w:t>
      </w:r>
      <w:r w:rsidRPr="00727DFA">
        <w:rPr>
          <w:rFonts w:eastAsia="DengXian" w:cs="Times New Roman"/>
          <w:spacing w:val="-17"/>
          <w:szCs w:val="24"/>
        </w:rPr>
        <w:t xml:space="preserve"> </w:t>
      </w:r>
      <w:r w:rsidRPr="00727DFA">
        <w:rPr>
          <w:rFonts w:eastAsia="DengXian" w:cs="Times New Roman"/>
          <w:i/>
          <w:szCs w:val="24"/>
        </w:rPr>
        <w:t xml:space="preserve">T.b. gambiense </w:t>
      </w:r>
      <w:r w:rsidRPr="00727DFA">
        <w:rPr>
          <w:rFonts w:eastAsia="DengXian" w:cs="Times New Roman"/>
          <w:szCs w:val="24"/>
        </w:rPr>
        <w:t>with meningo-encephalitic involvement.</w:t>
      </w:r>
    </w:p>
    <w:p w14:paraId="268A24C5" w14:textId="77777777" w:rsidR="007B485D" w:rsidRPr="00727DFA" w:rsidRDefault="007B485D" w:rsidP="007B485D">
      <w:pPr>
        <w:spacing w:after="0"/>
        <w:jc w:val="both"/>
        <w:rPr>
          <w:rFonts w:eastAsia="DengXian" w:cs="Times New Roman"/>
          <w:szCs w:val="24"/>
        </w:rPr>
      </w:pPr>
    </w:p>
    <w:tbl>
      <w:tblPr>
        <w:tblStyle w:val="TableGrid3"/>
        <w:tblW w:w="0" w:type="auto"/>
        <w:tblLook w:val="04A0" w:firstRow="1" w:lastRow="0" w:firstColumn="1" w:lastColumn="0" w:noHBand="0" w:noVBand="1"/>
      </w:tblPr>
      <w:tblGrid>
        <w:gridCol w:w="2605"/>
        <w:gridCol w:w="6745"/>
      </w:tblGrid>
      <w:tr w:rsidR="007B485D" w:rsidRPr="00727DFA" w14:paraId="5D4C3DF9"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CB16A6B" w14:textId="77777777" w:rsidR="007B485D" w:rsidRPr="00727DFA" w:rsidRDefault="007B485D" w:rsidP="002D6DD7">
            <w:pPr>
              <w:jc w:val="both"/>
              <w:rPr>
                <w:rFonts w:eastAsia="DengXian"/>
                <w:b/>
                <w:szCs w:val="24"/>
              </w:rPr>
            </w:pPr>
            <w:r w:rsidRPr="00727DFA">
              <w:rPr>
                <w:rFonts w:eastAsia="DengXian"/>
                <w:b/>
                <w:spacing w:val="-2"/>
                <w:szCs w:val="24"/>
              </w:rPr>
              <w:t>Fexinidazole</w:t>
            </w:r>
          </w:p>
        </w:tc>
      </w:tr>
      <w:tr w:rsidR="007B485D" w:rsidRPr="00727DFA" w14:paraId="383D6A53"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50F24EA6" w14:textId="77777777" w:rsidR="007B485D" w:rsidRPr="00727DFA" w:rsidRDefault="007B485D" w:rsidP="002D6DD7">
            <w:pPr>
              <w:jc w:val="both"/>
              <w:rPr>
                <w:rFonts w:eastAsia="DengXian"/>
                <w:bCs/>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7AC0244C" w14:textId="77777777" w:rsidR="007B485D" w:rsidRPr="00727DFA" w:rsidRDefault="007B485D" w:rsidP="002D6DD7">
            <w:pPr>
              <w:jc w:val="both"/>
              <w:rPr>
                <w:rFonts w:eastAsia="DengXian"/>
                <w:szCs w:val="24"/>
              </w:rPr>
            </w:pPr>
            <w:r w:rsidRPr="00727DFA">
              <w:rPr>
                <w:rFonts w:eastAsia="DengXian"/>
                <w:szCs w:val="24"/>
              </w:rPr>
              <w:t>Nitroimidazole, antiprotozoal (Trypanocide)</w:t>
            </w:r>
          </w:p>
        </w:tc>
      </w:tr>
      <w:tr w:rsidR="007B485D" w:rsidRPr="00727DFA" w14:paraId="1209180F"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2724CF97" w14:textId="77777777" w:rsidR="007B485D" w:rsidRPr="00727DFA" w:rsidRDefault="007B485D" w:rsidP="002D6DD7">
            <w:pPr>
              <w:jc w:val="both"/>
              <w:rPr>
                <w:rFonts w:eastAsia="DengXian"/>
                <w:bCs/>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A3C9ABD" w14:textId="77777777" w:rsidR="007B485D" w:rsidRPr="00727DFA" w:rsidRDefault="007B485D" w:rsidP="002D6DD7">
            <w:pPr>
              <w:jc w:val="both"/>
              <w:rPr>
                <w:rFonts w:eastAsia="DengXian"/>
                <w:szCs w:val="24"/>
              </w:rPr>
            </w:pPr>
            <w:r w:rsidRPr="00727DFA">
              <w:rPr>
                <w:rFonts w:eastAsia="DengXian"/>
                <w:szCs w:val="24"/>
              </w:rPr>
              <w:t>Tablet: 600 mg</w:t>
            </w:r>
          </w:p>
        </w:tc>
      </w:tr>
      <w:tr w:rsidR="007B485D" w:rsidRPr="00727DFA" w14:paraId="580BE2A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ECB14C" w14:textId="77777777" w:rsidR="007B485D" w:rsidRPr="006B6C48"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705A6CC6" w14:textId="77777777" w:rsidR="007B485D" w:rsidRPr="00727DFA" w:rsidRDefault="007B485D" w:rsidP="002D6DD7">
            <w:pPr>
              <w:jc w:val="both"/>
              <w:rPr>
                <w:rFonts w:eastAsia="DengXian"/>
                <w:szCs w:val="24"/>
              </w:rPr>
            </w:pPr>
            <w:r w:rsidRPr="00727DFA">
              <w:rPr>
                <w:rFonts w:eastAsia="DengXian"/>
                <w:szCs w:val="24"/>
              </w:rPr>
              <w:t xml:space="preserve">Indicated for the treatment of both first-stage (hemolymphatic) and second-stage (meningoencephalitis) Human African trypanosomiasis (HAT) due to </w:t>
            </w:r>
            <w:r w:rsidRPr="00727DFA">
              <w:rPr>
                <w:rFonts w:eastAsia="DengXian"/>
                <w:i/>
                <w:iCs/>
                <w:szCs w:val="24"/>
              </w:rPr>
              <w:t>T. brucei gambiense</w:t>
            </w:r>
            <w:r w:rsidRPr="00727DFA">
              <w:rPr>
                <w:rFonts w:eastAsia="DengXian"/>
                <w:szCs w:val="24"/>
              </w:rPr>
              <w:t xml:space="preserve"> in patients 6 years of age and older and weighing at least 20 kg weighing at least 20 kg</w:t>
            </w:r>
          </w:p>
        </w:tc>
      </w:tr>
      <w:tr w:rsidR="007B485D" w:rsidRPr="00727DFA" w14:paraId="78D0087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03728A" w14:textId="77777777" w:rsidR="007B485D" w:rsidRPr="00727DFA" w:rsidRDefault="007B485D" w:rsidP="002D6DD7">
            <w:pPr>
              <w:jc w:val="both"/>
              <w:rPr>
                <w:rFonts w:eastAsia="DengXian"/>
                <w:bCs/>
                <w:szCs w:val="24"/>
              </w:rPr>
            </w:pPr>
            <w:r w:rsidRPr="00E8648C">
              <w:rPr>
                <w:rFonts w:eastAsia="DengXian"/>
                <w:spacing w:val="-2"/>
                <w:szCs w:val="24"/>
              </w:rPr>
              <w:t>Dose and a</w:t>
            </w:r>
            <w:r w:rsidRPr="00727DFA">
              <w:rPr>
                <w:rFonts w:eastAsia="DengXian"/>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E4E0FB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For patients 6 years of age and older and weighing at least 20 kg</w:t>
            </w:r>
            <w:r>
              <w:rPr>
                <w:rFonts w:eastAsia="Times New Roman"/>
                <w:b/>
                <w:bCs/>
                <w:szCs w:val="24"/>
              </w:rPr>
              <w:t>;</w:t>
            </w:r>
            <w:r w:rsidRPr="00727DFA">
              <w:rPr>
                <w:rFonts w:eastAsia="Times New Roman"/>
                <w:szCs w:val="24"/>
              </w:rPr>
              <w:t xml:space="preserve"> 10 days regimen</w:t>
            </w:r>
            <w:r>
              <w:rPr>
                <w:rFonts w:eastAsia="Times New Roman"/>
                <w:szCs w:val="24"/>
              </w:rPr>
              <w:t>:</w:t>
            </w:r>
          </w:p>
          <w:p w14:paraId="03BDDBCA"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b/>
                <w:bCs/>
                <w:szCs w:val="24"/>
              </w:rPr>
              <w:t>20-35kg</w:t>
            </w:r>
            <w:r w:rsidRPr="00727DFA">
              <w:rPr>
                <w:rFonts w:eastAsia="Times New Roman"/>
                <w:szCs w:val="24"/>
              </w:rPr>
              <w:t>Days 1-4: 1</w:t>
            </w:r>
            <w:r>
              <w:rPr>
                <w:rFonts w:eastAsia="Times New Roman"/>
                <w:szCs w:val="24"/>
              </w:rPr>
              <w:t>2</w:t>
            </w:r>
            <w:r w:rsidRPr="00727DFA">
              <w:rPr>
                <w:rFonts w:eastAsia="Times New Roman"/>
                <w:szCs w:val="24"/>
              </w:rPr>
              <w:t>00 mg (</w:t>
            </w:r>
            <w:r>
              <w:rPr>
                <w:rFonts w:eastAsia="Times New Roman"/>
                <w:szCs w:val="24"/>
              </w:rPr>
              <w:t>2</w:t>
            </w:r>
            <w:r w:rsidRPr="00727DFA">
              <w:rPr>
                <w:rFonts w:eastAsia="Times New Roman"/>
                <w:szCs w:val="24"/>
              </w:rPr>
              <w:t>tablets) daily, THEN</w:t>
            </w:r>
          </w:p>
          <w:p w14:paraId="25A594F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Days 5-10: </w:t>
            </w:r>
            <w:r>
              <w:rPr>
                <w:rFonts w:eastAsia="Times New Roman"/>
                <w:szCs w:val="24"/>
              </w:rPr>
              <w:t xml:space="preserve">600 </w:t>
            </w:r>
            <w:r w:rsidRPr="00727DFA">
              <w:rPr>
                <w:rFonts w:eastAsia="Times New Roman"/>
                <w:szCs w:val="24"/>
              </w:rPr>
              <w:t>mg (</w:t>
            </w:r>
            <w:r>
              <w:rPr>
                <w:rFonts w:eastAsia="Times New Roman"/>
                <w:szCs w:val="24"/>
              </w:rPr>
              <w:t>1</w:t>
            </w:r>
            <w:r w:rsidRPr="00727DFA">
              <w:rPr>
                <w:rFonts w:eastAsia="Times New Roman"/>
                <w:szCs w:val="24"/>
              </w:rPr>
              <w:t xml:space="preserve"> tablet) daily</w:t>
            </w:r>
          </w:p>
          <w:p w14:paraId="5C50DDF6" w14:textId="77777777" w:rsidR="007B485D" w:rsidRPr="00873AF2" w:rsidRDefault="007B485D" w:rsidP="002D6DD7">
            <w:pPr>
              <w:widowControl w:val="0"/>
              <w:autoSpaceDE w:val="0"/>
              <w:autoSpaceDN w:val="0"/>
              <w:jc w:val="both"/>
              <w:rPr>
                <w:rFonts w:eastAsia="Times New Roman"/>
                <w:b/>
                <w:bCs/>
                <w:szCs w:val="24"/>
              </w:rPr>
            </w:pPr>
            <m:oMath>
              <m:r>
                <m:rPr>
                  <m:sty m:val="bi"/>
                </m:rPr>
                <w:rPr>
                  <w:rFonts w:ascii="Cambria Math" w:eastAsia="Times New Roman" w:hAnsi="Cambria Math"/>
                  <w:szCs w:val="24"/>
                </w:rPr>
                <m:t>≥</m:t>
              </m:r>
            </m:oMath>
            <w:r w:rsidRPr="00873AF2">
              <w:rPr>
                <w:rFonts w:eastAsia="Times New Roman"/>
                <w:b/>
                <w:bCs/>
                <w:szCs w:val="24"/>
              </w:rPr>
              <w:t>35kg</w:t>
            </w:r>
          </w:p>
          <w:p w14:paraId="2560077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Days 1-4: 1800 mg (3 tablets) daily, THEN</w:t>
            </w:r>
          </w:p>
          <w:p w14:paraId="700B966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Days 5-10: 1200 mg (2 tablets) daily</w:t>
            </w:r>
          </w:p>
          <w:p w14:paraId="0794F6E3" w14:textId="77777777" w:rsidR="007B485D" w:rsidRPr="00727DFA" w:rsidRDefault="007B485D" w:rsidP="002D6DD7">
            <w:pPr>
              <w:jc w:val="both"/>
              <w:rPr>
                <w:rFonts w:eastAsia="DengXian"/>
                <w:b/>
                <w:szCs w:val="24"/>
              </w:rPr>
            </w:pPr>
          </w:p>
        </w:tc>
      </w:tr>
      <w:tr w:rsidR="007B485D" w:rsidRPr="00727DFA" w14:paraId="53624C8D"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5FE12780" w14:textId="77777777" w:rsidR="007B485D" w:rsidRPr="00727DFA" w:rsidRDefault="007B485D" w:rsidP="002D6DD7">
            <w:pPr>
              <w:jc w:val="both"/>
              <w:rPr>
                <w:rFonts w:eastAsia="DengXian"/>
                <w:bCs/>
                <w:szCs w:val="24"/>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BB53FED" w14:textId="77777777" w:rsidR="007B485D" w:rsidRPr="00727DFA" w:rsidRDefault="007B485D" w:rsidP="002D6DD7">
            <w:pPr>
              <w:jc w:val="both"/>
              <w:rPr>
                <w:rFonts w:eastAsia="DengXian"/>
                <w:szCs w:val="24"/>
              </w:rPr>
            </w:pPr>
            <w:r w:rsidRPr="00727DFA">
              <w:rPr>
                <w:rFonts w:eastAsia="DengXian"/>
                <w:szCs w:val="24"/>
              </w:rPr>
              <w:t>Hypersensitivity to fexinidazole, and/or nitroimidazole drugs, patients with hepatic impairment</w:t>
            </w:r>
          </w:p>
        </w:tc>
      </w:tr>
      <w:tr w:rsidR="007B485D" w:rsidRPr="00727DFA" w14:paraId="7ED88FB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1F94CF" w14:textId="77777777" w:rsidR="007B485D" w:rsidRPr="00727DFA" w:rsidRDefault="007B485D" w:rsidP="002D6DD7">
            <w:pPr>
              <w:jc w:val="both"/>
              <w:rPr>
                <w:rFonts w:eastAsia="DengXian"/>
                <w:bCs/>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3F9CD65D" w14:textId="77777777" w:rsidR="007B485D" w:rsidRPr="00727DFA" w:rsidRDefault="007B485D" w:rsidP="002D6DD7">
            <w:pPr>
              <w:jc w:val="both"/>
              <w:rPr>
                <w:rFonts w:eastAsia="DengXian"/>
                <w:szCs w:val="24"/>
              </w:rPr>
            </w:pPr>
            <w:r w:rsidRPr="00727DFA">
              <w:rPr>
                <w:rFonts w:eastAsia="DengXian"/>
                <w:szCs w:val="24"/>
              </w:rPr>
              <w:t>Rifampin, phenytoin, St. John’s wort, carbamazepine, clarithromycin, itraconazole, voriconazole, erythromycin, fluconazole</w:t>
            </w:r>
            <w:r>
              <w:rPr>
                <w:rFonts w:eastAsia="DengXian"/>
                <w:szCs w:val="24"/>
              </w:rPr>
              <w:t>, albuterol, alfuzosin, amiodarone, atazanavir, atenolol, bisoprolol, bupropion, carbamazepine, ciprofloxacin, chloroquine, clofazimine, chloramphenicol.</w:t>
            </w:r>
          </w:p>
        </w:tc>
      </w:tr>
      <w:tr w:rsidR="007B485D" w:rsidRPr="00727DFA" w14:paraId="2774775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0E48D4" w14:textId="77777777" w:rsidR="007B485D" w:rsidRPr="00727DFA" w:rsidRDefault="007B485D" w:rsidP="002D6DD7">
            <w:pPr>
              <w:jc w:val="both"/>
              <w:rPr>
                <w:rFonts w:eastAsia="DengXian"/>
                <w:bCs/>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00CD5D8" w14:textId="77777777" w:rsidR="007B485D" w:rsidRPr="00727DFA" w:rsidRDefault="007B485D" w:rsidP="002D6DD7">
            <w:pPr>
              <w:jc w:val="both"/>
              <w:rPr>
                <w:rFonts w:eastAsia="DengXian"/>
                <w:szCs w:val="24"/>
              </w:rPr>
            </w:pPr>
            <w:r w:rsidRPr="00727DFA">
              <w:rPr>
                <w:rFonts w:eastAsia="DengXian"/>
                <w:szCs w:val="24"/>
              </w:rPr>
              <w:t xml:space="preserve">Headache, vomiting, insomnia, nausea, asthenia, tremor, decreased </w:t>
            </w:r>
            <w:r w:rsidRPr="00727DFA">
              <w:rPr>
                <w:rFonts w:eastAsia="DengXian"/>
                <w:szCs w:val="24"/>
              </w:rPr>
              <w:lastRenderedPageBreak/>
              <w:t>appetite, dizziness, hypocalcaemia, dyspepsia, back pain, upper abdominal pain, hyperkalemia, QT interval prolongation, neuropsychiatric adverse reactions, neutropenia, hepatotoxicity</w:t>
            </w:r>
            <w:r>
              <w:rPr>
                <w:rFonts w:eastAsia="DengXian"/>
                <w:szCs w:val="24"/>
              </w:rPr>
              <w:t>.</w:t>
            </w:r>
          </w:p>
        </w:tc>
      </w:tr>
      <w:tr w:rsidR="007B485D" w:rsidRPr="00727DFA" w14:paraId="6D4D064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1417F5" w14:textId="77777777" w:rsidR="007B485D" w:rsidRPr="00727DFA" w:rsidRDefault="007B485D" w:rsidP="002D6DD7">
            <w:pPr>
              <w:jc w:val="both"/>
              <w:rPr>
                <w:rFonts w:eastAsia="DengXian"/>
                <w:bCs/>
                <w:szCs w:val="24"/>
              </w:rPr>
            </w:pPr>
            <w:r w:rsidRPr="00727DFA">
              <w:rPr>
                <w:rFonts w:eastAsia="DengXian"/>
                <w:spacing w:val="-2"/>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FE7DE6F" w14:textId="77777777" w:rsidR="007B485D" w:rsidRPr="00727DFA" w:rsidRDefault="007B485D" w:rsidP="002D6DD7">
            <w:pPr>
              <w:jc w:val="both"/>
              <w:rPr>
                <w:rFonts w:eastAsia="DengXian"/>
                <w:szCs w:val="24"/>
              </w:rPr>
            </w:pPr>
            <w:r w:rsidRPr="00727DFA">
              <w:rPr>
                <w:rFonts w:eastAsia="DengXian"/>
                <w:szCs w:val="24"/>
              </w:rPr>
              <w:t>Patients at risk of QT interval prolongation, uncorrected electrolyte abnormalities, history of blood dyscrasia, elderly patient, pediatrics, renal impairment</w:t>
            </w:r>
            <w:r>
              <w:rPr>
                <w:rFonts w:eastAsia="DengXian"/>
                <w:szCs w:val="24"/>
              </w:rPr>
              <w:t>.</w:t>
            </w:r>
          </w:p>
        </w:tc>
      </w:tr>
      <w:tr w:rsidR="007B485D" w:rsidRPr="00727DFA" w14:paraId="111EEABC"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EF7270A" w14:textId="77777777" w:rsidR="007B485D" w:rsidRPr="00727DFA" w:rsidRDefault="007B485D" w:rsidP="002D6DD7">
            <w:pPr>
              <w:jc w:val="both"/>
              <w:rPr>
                <w:rFonts w:eastAsia="DengXian"/>
                <w:bCs/>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AA182AD"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 away from heat, moisture, and direct light.</w:t>
            </w:r>
          </w:p>
        </w:tc>
      </w:tr>
      <w:tr w:rsidR="007B485D" w:rsidRPr="00727DFA" w14:paraId="6766D51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A1FF780" w14:textId="77777777" w:rsidR="007B485D" w:rsidRPr="00727DFA" w:rsidRDefault="007B485D" w:rsidP="002D6DD7">
            <w:pPr>
              <w:jc w:val="both"/>
              <w:rPr>
                <w:rFonts w:eastAsia="DengXian"/>
                <w:szCs w:val="24"/>
              </w:rPr>
            </w:pPr>
            <w:r w:rsidRPr="00727DFA">
              <w:rPr>
                <w:rFonts w:eastAsia="DengXian"/>
                <w:b/>
                <w:spacing w:val="-2"/>
                <w:szCs w:val="24"/>
              </w:rPr>
              <w:t>Melarsoprol</w:t>
            </w:r>
          </w:p>
        </w:tc>
      </w:tr>
      <w:tr w:rsidR="007B485D" w:rsidRPr="00727DFA" w14:paraId="46264481"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6F09F3A0"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6BD42F44" w14:textId="77777777" w:rsidR="007B485D" w:rsidRPr="00727DFA" w:rsidRDefault="007B485D" w:rsidP="002D6DD7">
            <w:pPr>
              <w:jc w:val="both"/>
              <w:rPr>
                <w:rFonts w:eastAsia="DengXian"/>
                <w:szCs w:val="24"/>
              </w:rPr>
            </w:pPr>
            <w:r w:rsidRPr="00727DFA">
              <w:rPr>
                <w:rFonts w:eastAsia="DengXian"/>
                <w:szCs w:val="24"/>
              </w:rPr>
              <w:t>Trivalent arsenical, antiprotozoal (trypanocide)</w:t>
            </w:r>
          </w:p>
        </w:tc>
      </w:tr>
      <w:tr w:rsidR="007B485D" w:rsidRPr="00727DFA" w14:paraId="7ADABAA4"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451EEBFE"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E505507" w14:textId="77777777" w:rsidR="007B485D" w:rsidRPr="00727DFA" w:rsidRDefault="007B485D" w:rsidP="002D6DD7">
            <w:pPr>
              <w:jc w:val="both"/>
              <w:rPr>
                <w:rFonts w:eastAsia="DengXian"/>
                <w:szCs w:val="24"/>
              </w:rPr>
            </w:pPr>
            <w:r w:rsidRPr="00727DFA">
              <w:rPr>
                <w:rFonts w:eastAsia="DengXian"/>
                <w:szCs w:val="24"/>
              </w:rPr>
              <w:t>Injection: 180 mg/5mL in 5mL ampoule (3.6% solution)</w:t>
            </w:r>
          </w:p>
        </w:tc>
      </w:tr>
      <w:tr w:rsidR="007B485D" w:rsidRPr="00727DFA" w14:paraId="65506E0B"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4372243" w14:textId="77777777" w:rsidR="007B485D" w:rsidRPr="00727DFA" w:rsidRDefault="007B485D" w:rsidP="002D6DD7">
            <w:pPr>
              <w:jc w:val="both"/>
              <w:rPr>
                <w:rFonts w:eastAsia="DengXian"/>
                <w:spacing w:val="-2"/>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22A216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Treatment of meningo-encephalitic stage of </w:t>
            </w:r>
            <w:r w:rsidRPr="00727DFA">
              <w:rPr>
                <w:rFonts w:eastAsia="Times New Roman"/>
                <w:i/>
                <w:iCs/>
                <w:szCs w:val="24"/>
              </w:rPr>
              <w:t>T. b. gambiense</w:t>
            </w:r>
            <w:r w:rsidRPr="00727DFA">
              <w:rPr>
                <w:rFonts w:eastAsia="Times New Roman"/>
                <w:szCs w:val="24"/>
              </w:rPr>
              <w:t xml:space="preserve"> or </w:t>
            </w:r>
            <w:r w:rsidRPr="00727DFA">
              <w:rPr>
                <w:rFonts w:eastAsia="Times New Roman"/>
                <w:i/>
                <w:iCs/>
                <w:szCs w:val="24"/>
              </w:rPr>
              <w:t>T. b. rhodesiense</w:t>
            </w:r>
            <w:r w:rsidRPr="00727DFA">
              <w:rPr>
                <w:rFonts w:eastAsia="Times New Roman"/>
                <w:szCs w:val="24"/>
              </w:rPr>
              <w:t xml:space="preserve"> infections</w:t>
            </w:r>
            <w:r>
              <w:rPr>
                <w:rFonts w:eastAsia="Times New Roman"/>
                <w:szCs w:val="24"/>
              </w:rPr>
              <w:t>.</w:t>
            </w:r>
          </w:p>
        </w:tc>
      </w:tr>
      <w:tr w:rsidR="007B485D" w:rsidRPr="00727DFA" w14:paraId="4B3E3F6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9A7EFA"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170614A4" w14:textId="77777777" w:rsidR="007B485D" w:rsidRDefault="007B485D" w:rsidP="002D6DD7">
            <w:pPr>
              <w:widowControl w:val="0"/>
              <w:autoSpaceDE w:val="0"/>
              <w:autoSpaceDN w:val="0"/>
              <w:jc w:val="both"/>
              <w:rPr>
                <w:rFonts w:eastAsia="Times New Roman"/>
                <w:szCs w:val="24"/>
              </w:rPr>
            </w:pPr>
            <w:r w:rsidRPr="00727DFA">
              <w:rPr>
                <w:rFonts w:eastAsia="Times New Roman"/>
                <w:i/>
                <w:iCs/>
                <w:szCs w:val="24"/>
              </w:rPr>
              <w:t>T. brucei rhodesiense</w:t>
            </w:r>
            <w:r w:rsidRPr="00727DFA">
              <w:rPr>
                <w:rFonts w:eastAsia="Times New Roman"/>
                <w:szCs w:val="24"/>
              </w:rPr>
              <w:t xml:space="preserve"> and </w:t>
            </w:r>
            <w:r w:rsidRPr="00727DFA">
              <w:rPr>
                <w:rFonts w:eastAsia="Times New Roman"/>
                <w:i/>
                <w:iCs/>
                <w:szCs w:val="24"/>
              </w:rPr>
              <w:t xml:space="preserve">T. brucei gambiense </w:t>
            </w:r>
            <w:r w:rsidRPr="00727DFA">
              <w:rPr>
                <w:rFonts w:eastAsia="Times New Roman"/>
                <w:szCs w:val="24"/>
              </w:rPr>
              <w:t xml:space="preserve">with meningo-encephalitic involvement, slow IV injection: </w:t>
            </w:r>
          </w:p>
          <w:p w14:paraId="5F52868E" w14:textId="77777777" w:rsidR="007B485D" w:rsidRDefault="007B485D" w:rsidP="002D6DD7">
            <w:pPr>
              <w:widowControl w:val="0"/>
              <w:autoSpaceDE w:val="0"/>
              <w:autoSpaceDN w:val="0"/>
              <w:jc w:val="both"/>
              <w:rPr>
                <w:rFonts w:eastAsia="Times New Roman"/>
                <w:szCs w:val="24"/>
              </w:rPr>
            </w:pPr>
            <w:r w:rsidRPr="00727DFA">
              <w:rPr>
                <w:rFonts w:eastAsia="Times New Roman"/>
                <w:b/>
                <w:bCs/>
                <w:szCs w:val="24"/>
              </w:rPr>
              <w:t>Adul</w:t>
            </w:r>
            <w:r>
              <w:rPr>
                <w:rFonts w:eastAsia="Times New Roman"/>
                <w:b/>
                <w:bCs/>
                <w:szCs w:val="24"/>
              </w:rPr>
              <w:t xml:space="preserve"> and child</w:t>
            </w:r>
            <w:r w:rsidRPr="00727DFA">
              <w:rPr>
                <w:rFonts w:eastAsia="Times New Roman"/>
                <w:szCs w:val="24"/>
              </w:rPr>
              <w:t>: 2.2 mg/kg per day (maximum: 5 mL) once daily for 10 days</w:t>
            </w:r>
          </w:p>
          <w:p w14:paraId="7C00F184" w14:textId="77777777" w:rsidR="007B485D" w:rsidRPr="003114B5" w:rsidRDefault="007B485D" w:rsidP="002D6DD7">
            <w:pPr>
              <w:widowControl w:val="0"/>
              <w:autoSpaceDE w:val="0"/>
              <w:autoSpaceDN w:val="0"/>
              <w:jc w:val="both"/>
              <w:rPr>
                <w:rFonts w:eastAsia="Times New Roman"/>
                <w:i/>
                <w:szCs w:val="24"/>
              </w:rPr>
            </w:pPr>
            <w:r w:rsidRPr="003114B5">
              <w:rPr>
                <w:rFonts w:eastAsia="Times New Roman"/>
                <w:bCs/>
                <w:i/>
                <w:szCs w:val="24"/>
              </w:rPr>
              <w:t>Note:</w:t>
            </w:r>
            <w:r w:rsidRPr="003114B5">
              <w:rPr>
                <w:rFonts w:eastAsia="Times New Roman"/>
                <w:i/>
                <w:szCs w:val="24"/>
              </w:rPr>
              <w:t xml:space="preserve"> Corticosteroid pretreatment should be considered as it can reduce the risk of encephalopathic reaction to melarsoprol</w:t>
            </w:r>
            <w:r w:rsidR="003114B5">
              <w:rPr>
                <w:rFonts w:eastAsia="Times New Roman"/>
                <w:i/>
                <w:szCs w:val="24"/>
              </w:rPr>
              <w:t>.</w:t>
            </w:r>
          </w:p>
        </w:tc>
      </w:tr>
      <w:tr w:rsidR="007B485D" w:rsidRPr="00727DFA" w14:paraId="42B7B47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E1416C9" w14:textId="77777777" w:rsidR="007B485D" w:rsidRPr="00727DFA" w:rsidRDefault="007B485D" w:rsidP="002D6DD7">
            <w:pPr>
              <w:jc w:val="both"/>
              <w:rPr>
                <w:rFonts w:eastAsia="DengXian"/>
                <w:szCs w:val="24"/>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3BADCDC" w14:textId="77777777" w:rsidR="007B485D" w:rsidRPr="00727DFA" w:rsidRDefault="007B485D" w:rsidP="002D6DD7">
            <w:pPr>
              <w:widowControl w:val="0"/>
              <w:autoSpaceDE w:val="0"/>
              <w:autoSpaceDN w:val="0"/>
              <w:jc w:val="both"/>
              <w:rPr>
                <w:rFonts w:eastAsia="Times New Roman"/>
                <w:b/>
                <w:spacing w:val="-4"/>
                <w:szCs w:val="24"/>
              </w:rPr>
            </w:pPr>
            <w:r w:rsidRPr="00727DFA">
              <w:rPr>
                <w:rFonts w:eastAsia="Times New Roman"/>
                <w:szCs w:val="24"/>
              </w:rPr>
              <w:t>Hypersensitivity</w:t>
            </w:r>
            <w:r>
              <w:rPr>
                <w:rFonts w:eastAsia="Times New Roman"/>
                <w:szCs w:val="24"/>
              </w:rPr>
              <w:t xml:space="preserve"> to the drug</w:t>
            </w:r>
            <w:r w:rsidRPr="00727DFA">
              <w:rPr>
                <w:rFonts w:eastAsia="Times New Roman"/>
                <w:szCs w:val="24"/>
              </w:rPr>
              <w:t>, pregnancy, glucose-6-phosphoate dehydrogenase deficiency (G6PD), ingestion of alcohol during treatment, influenza epidemics</w:t>
            </w:r>
            <w:r>
              <w:rPr>
                <w:rFonts w:eastAsia="Times New Roman"/>
                <w:szCs w:val="24"/>
              </w:rPr>
              <w:t>.</w:t>
            </w:r>
          </w:p>
        </w:tc>
      </w:tr>
      <w:tr w:rsidR="007B485D" w:rsidRPr="00727DFA" w14:paraId="22C66F45"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1C93438D"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893378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Alcohol</w:t>
            </w:r>
            <w:r>
              <w:rPr>
                <w:rFonts w:eastAsia="Times New Roman"/>
                <w:szCs w:val="24"/>
              </w:rPr>
              <w:t>.</w:t>
            </w:r>
          </w:p>
        </w:tc>
      </w:tr>
      <w:tr w:rsidR="007B485D" w:rsidRPr="00727DFA" w14:paraId="5634ED23"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1A75E25"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7CD36E2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Fatal reactive encephalopathy characterized by headache, tremor, slurred speech, convulsions and ultimately coma, myocardial damage, albuminuria, hypertension, hypersensitivity reactions, agranulocytosis, dose-related renal and hepatic impairment, hyperthermia, urticaria, headache, diarrhea and vomiting - in late stage of treatment.</w:t>
            </w:r>
          </w:p>
        </w:tc>
      </w:tr>
      <w:tr w:rsidR="007B485D" w:rsidRPr="00727DFA" w14:paraId="3A556C4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7A2903"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34843500" w14:textId="77777777" w:rsidR="007B485D" w:rsidRPr="006B6C48" w:rsidRDefault="007B485D" w:rsidP="002D6DD7">
            <w:pPr>
              <w:widowControl w:val="0"/>
              <w:autoSpaceDE w:val="0"/>
              <w:autoSpaceDN w:val="0"/>
              <w:jc w:val="both"/>
              <w:rPr>
                <w:rFonts w:eastAsia="Times New Roman"/>
                <w:szCs w:val="24"/>
              </w:rPr>
            </w:pPr>
            <w:r w:rsidRPr="006B6C48">
              <w:rPr>
                <w:rFonts w:eastAsia="Times New Roman"/>
                <w:szCs w:val="24"/>
              </w:rPr>
              <w:t xml:space="preserve">Malnutrition, leprosy </w:t>
            </w:r>
          </w:p>
          <w:p w14:paraId="4EF223D4" w14:textId="77777777" w:rsidR="007B485D" w:rsidRPr="00873AF2" w:rsidRDefault="007B485D" w:rsidP="002D6DD7">
            <w:pPr>
              <w:widowControl w:val="0"/>
              <w:autoSpaceDE w:val="0"/>
              <w:autoSpaceDN w:val="0"/>
              <w:jc w:val="both"/>
              <w:rPr>
                <w:rFonts w:eastAsia="Times New Roman"/>
                <w:i/>
                <w:iCs/>
                <w:szCs w:val="24"/>
              </w:rPr>
            </w:pPr>
            <w:r w:rsidRPr="00ED22AD">
              <w:rPr>
                <w:rFonts w:eastAsia="Times New Roman"/>
                <w:bCs/>
                <w:i/>
                <w:iCs/>
                <w:szCs w:val="24"/>
              </w:rPr>
              <w:t>Note:</w:t>
            </w:r>
            <w:r w:rsidRPr="00ED22AD">
              <w:rPr>
                <w:rFonts w:eastAsia="Times New Roman"/>
                <w:i/>
                <w:iCs/>
                <w:szCs w:val="24"/>
              </w:rPr>
              <w:t xml:space="preserve"> treat</w:t>
            </w:r>
            <w:r w:rsidRPr="00873AF2">
              <w:rPr>
                <w:rFonts w:eastAsia="Times New Roman"/>
                <w:i/>
                <w:iCs/>
                <w:szCs w:val="24"/>
              </w:rPr>
              <w:t xml:space="preserve"> intercurrent infections such as pneumonia and malaria </w:t>
            </w:r>
            <w:r w:rsidRPr="00873AF2">
              <w:rPr>
                <w:rFonts w:eastAsia="Times New Roman"/>
                <w:i/>
                <w:iCs/>
                <w:szCs w:val="24"/>
              </w:rPr>
              <w:lastRenderedPageBreak/>
              <w:t>before melarsoprol administration</w:t>
            </w:r>
            <w:r w:rsidR="00ED22AD">
              <w:rPr>
                <w:rFonts w:eastAsia="Times New Roman"/>
                <w:i/>
                <w:iCs/>
                <w:szCs w:val="24"/>
              </w:rPr>
              <w:t>.</w:t>
            </w:r>
          </w:p>
        </w:tc>
      </w:tr>
      <w:tr w:rsidR="007B485D" w:rsidRPr="00727DFA" w14:paraId="068DAD82"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7A26FD8F" w14:textId="77777777" w:rsidR="007B485D" w:rsidRPr="00727DFA" w:rsidRDefault="007B485D" w:rsidP="002D6DD7">
            <w:pPr>
              <w:jc w:val="both"/>
              <w:rPr>
                <w:rFonts w:eastAsia="DengXian"/>
                <w:spacing w:val="-2"/>
                <w:szCs w:val="24"/>
              </w:rPr>
            </w:pPr>
            <w:r w:rsidRPr="00727DFA">
              <w:rPr>
                <w:rFonts w:eastAsia="DengXian"/>
                <w:szCs w:val="24"/>
              </w:rPr>
              <w:lastRenderedPageBreak/>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4DA522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o</w:t>
            </w:r>
            <w:r w:rsidRPr="00727DFA">
              <w:rPr>
                <w:rFonts w:eastAsia="Times New Roman"/>
                <w:szCs w:val="24"/>
              </w:rPr>
              <w:t>C.</w:t>
            </w:r>
            <w:r w:rsidRPr="00727DFA">
              <w:rPr>
                <w:rFonts w:eastAsia="Arial"/>
                <w:szCs w:val="24"/>
                <w:shd w:val="clear" w:color="auto" w:fill="FFFFFF"/>
              </w:rPr>
              <w:t xml:space="preserve"> Protect from sunlight. </w:t>
            </w:r>
          </w:p>
        </w:tc>
      </w:tr>
      <w:tr w:rsidR="007B485D" w:rsidRPr="00727DFA" w14:paraId="0EB369C8" w14:textId="77777777" w:rsidTr="002D6DD7">
        <w:trPr>
          <w:trHeight w:val="278"/>
        </w:trPr>
        <w:tc>
          <w:tcPr>
            <w:tcW w:w="0" w:type="auto"/>
            <w:gridSpan w:val="2"/>
            <w:tcBorders>
              <w:top w:val="single" w:sz="4" w:space="0" w:color="auto"/>
              <w:left w:val="single" w:sz="4" w:space="0" w:color="auto"/>
              <w:bottom w:val="single" w:sz="4" w:space="0" w:color="auto"/>
              <w:right w:val="single" w:sz="4" w:space="0" w:color="auto"/>
            </w:tcBorders>
            <w:hideMark/>
          </w:tcPr>
          <w:p w14:paraId="04460ED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2"/>
                <w:szCs w:val="24"/>
              </w:rPr>
              <w:t>Pentamidine</w:t>
            </w:r>
          </w:p>
        </w:tc>
      </w:tr>
      <w:tr w:rsidR="007B485D" w:rsidRPr="00727DFA" w14:paraId="70C9F0B4"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13EDC8D1"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43DC56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Aromatic diamidine, antiprotozoal (Trypanocide)</w:t>
            </w:r>
          </w:p>
        </w:tc>
      </w:tr>
      <w:tr w:rsidR="007B485D" w:rsidRPr="00727DFA" w14:paraId="58E366BC"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0E241AC3"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vAlign w:val="center"/>
            <w:hideMark/>
          </w:tcPr>
          <w:p w14:paraId="1A23579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Powder for injection (Isethionate): 300mg in vial</w:t>
            </w:r>
          </w:p>
        </w:tc>
      </w:tr>
      <w:tr w:rsidR="007B485D" w:rsidRPr="00727DFA" w14:paraId="683B2E9D"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26E92D50" w14:textId="77777777" w:rsidR="007B485D" w:rsidRPr="00727DFA"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A7C28E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Haemolymphatic first-stage of rhodesiense and gambiense HAT, meningoencephalitic stage of </w:t>
            </w:r>
            <w:r w:rsidRPr="00727DFA">
              <w:rPr>
                <w:rFonts w:eastAsia="Times New Roman"/>
                <w:i/>
                <w:iCs/>
                <w:szCs w:val="24"/>
              </w:rPr>
              <w:t>T. brucei gambiense</w:t>
            </w:r>
          </w:p>
        </w:tc>
      </w:tr>
      <w:tr w:rsidR="007B485D" w:rsidRPr="00727DFA" w14:paraId="651F51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783C6A"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3CB2804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 IM:</w:t>
            </w:r>
          </w:p>
          <w:p w14:paraId="26EF1DF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Haemolymphatic first-stage of rhodesiense and gambiense HAT</w:t>
            </w:r>
            <w:r w:rsidRPr="00727DFA">
              <w:rPr>
                <w:rFonts w:eastAsia="Times New Roman"/>
                <w:szCs w:val="24"/>
              </w:rPr>
              <w:t>: 4 mg/kg daily for 7 days or on alternate days for a total of 7–10 doses</w:t>
            </w:r>
          </w:p>
          <w:p w14:paraId="3E5DA39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Meningoencephalitic stage of </w:t>
            </w:r>
            <w:r w:rsidRPr="00727DFA">
              <w:rPr>
                <w:rFonts w:eastAsia="Times New Roman"/>
                <w:b/>
                <w:bCs/>
                <w:i/>
                <w:iCs/>
                <w:szCs w:val="24"/>
              </w:rPr>
              <w:t>T. brucei gambiense</w:t>
            </w:r>
            <w:r w:rsidRPr="00727DFA">
              <w:rPr>
                <w:rFonts w:eastAsia="Times New Roman"/>
                <w:szCs w:val="24"/>
              </w:rPr>
              <w:t xml:space="preserve"> (prior to melarsoprol): 4 mg/kg daily on days one and two</w:t>
            </w:r>
          </w:p>
          <w:p w14:paraId="2958977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Pediatric;</w:t>
            </w:r>
            <w:r w:rsidRPr="00727DFA">
              <w:rPr>
                <w:rFonts w:eastAsia="Times New Roman"/>
                <w:szCs w:val="24"/>
              </w:rPr>
              <w:t xml:space="preserve"> IM:</w:t>
            </w:r>
          </w:p>
          <w:p w14:paraId="46B6928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Treatment of first-stage trypanosomiasis</w:t>
            </w:r>
            <w:r w:rsidRPr="00727DFA">
              <w:rPr>
                <w:rFonts w:eastAsia="Times New Roman"/>
                <w:szCs w:val="24"/>
              </w:rPr>
              <w:t xml:space="preserve">, Infant or child: 4 mg/kg daily </w:t>
            </w:r>
          </w:p>
        </w:tc>
      </w:tr>
      <w:tr w:rsidR="007B485D" w:rsidRPr="00727DFA" w14:paraId="241DAA3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869841" w14:textId="77777777" w:rsidR="007B485D" w:rsidRPr="00727DFA" w:rsidRDefault="007B485D" w:rsidP="002D6DD7">
            <w:pPr>
              <w:jc w:val="both"/>
              <w:rPr>
                <w:rFonts w:eastAsia="DengXian"/>
                <w:szCs w:val="24"/>
                <w:highlight w:val="yellow"/>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2F8BE003"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szCs w:val="24"/>
              </w:rPr>
              <w:t>Hypersensitivity to pentamidine, severe renal impairment, T. brucei rhodesiense infection</w:t>
            </w:r>
            <w:r>
              <w:rPr>
                <w:rFonts w:eastAsia="Times New Roman"/>
                <w:szCs w:val="24"/>
              </w:rPr>
              <w:t>.</w:t>
            </w:r>
          </w:p>
        </w:tc>
      </w:tr>
      <w:tr w:rsidR="007B485D" w:rsidRPr="00727DFA" w14:paraId="734A44F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187CCA"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37825A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Amphotericin B, artemether, quinine, typhoid vaccine, bone marrow depressants, radiation therapy, foscarnet, nephrotoxic medications.</w:t>
            </w:r>
          </w:p>
        </w:tc>
      </w:tr>
      <w:tr w:rsidR="007B485D" w:rsidRPr="00727DFA" w14:paraId="7FF825C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43F5B9"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61366CC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Dizziness</w:t>
            </w:r>
            <w:r>
              <w:rPr>
                <w:rFonts w:eastAsia="Times New Roman"/>
                <w:szCs w:val="24"/>
              </w:rPr>
              <w:t>,</w:t>
            </w:r>
            <w:r w:rsidRPr="00727DFA">
              <w:rPr>
                <w:rFonts w:eastAsia="Times New Roman"/>
                <w:szCs w:val="24"/>
              </w:rPr>
              <w:t xml:space="preserve"> </w:t>
            </w:r>
            <w:r>
              <w:rPr>
                <w:rFonts w:eastAsia="Times New Roman"/>
                <w:szCs w:val="24"/>
              </w:rPr>
              <w:t>h</w:t>
            </w:r>
            <w:r w:rsidRPr="00727DFA">
              <w:rPr>
                <w:rFonts w:eastAsia="Times New Roman"/>
                <w:szCs w:val="24"/>
              </w:rPr>
              <w:t>ypoglycemia, hypotension, local reaction, nausea, rash, taste altered, QT interval prolongation, pancreatitis acute, nephrotoxicity, leucopoenia, anemia, thrombocytopenia, raised liver enzyme, hypotension, altered taste</w:t>
            </w:r>
            <w:r>
              <w:rPr>
                <w:rFonts w:eastAsia="Times New Roman"/>
                <w:szCs w:val="24"/>
              </w:rPr>
              <w:t>.</w:t>
            </w:r>
            <w:r w:rsidRPr="00727DFA">
              <w:rPr>
                <w:rFonts w:eastAsia="Times New Roman"/>
                <w:szCs w:val="24"/>
              </w:rPr>
              <w:t xml:space="preserve"> </w:t>
            </w:r>
          </w:p>
        </w:tc>
      </w:tr>
      <w:tr w:rsidR="007B485D" w:rsidRPr="00727DFA" w14:paraId="482C27A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CEFE97"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3909CDE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Anemia, bradycardia, history of ventricular arrhythmias, hyperglycemia or hypoglycemia, hypokalemia, hypomagnesaemia, hypotension, leukopenia, risk of severe hypotension following administration, thrombocytopenia, renal impairment, hepatic impairment</w:t>
            </w:r>
            <w:r>
              <w:rPr>
                <w:rFonts w:eastAsia="Times New Roman"/>
                <w:szCs w:val="24"/>
              </w:rPr>
              <w:t>.</w:t>
            </w:r>
          </w:p>
        </w:tc>
      </w:tr>
      <w:tr w:rsidR="007B485D" w:rsidRPr="00727DFA" w14:paraId="4EF29F2A"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60F9EF42" w14:textId="77777777" w:rsidR="007B485D" w:rsidRPr="00727DFA" w:rsidRDefault="007B485D" w:rsidP="002D6DD7">
            <w:pPr>
              <w:jc w:val="both"/>
              <w:rPr>
                <w:rFonts w:eastAsia="DengXian"/>
                <w:spacing w:val="-2"/>
                <w:szCs w:val="24"/>
              </w:rPr>
            </w:pPr>
            <w:r w:rsidRPr="00727DFA">
              <w:rPr>
                <w:rFonts w:eastAsia="DengXian"/>
                <w:szCs w:val="24"/>
              </w:rPr>
              <w:lastRenderedPageBreak/>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6F5C9CA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o</w:t>
            </w:r>
            <w:r w:rsidRPr="00727DFA">
              <w:rPr>
                <w:rFonts w:eastAsia="Times New Roman"/>
                <w:szCs w:val="24"/>
              </w:rPr>
              <w:t>C. Protect from light</w:t>
            </w:r>
            <w:r>
              <w:rPr>
                <w:rFonts w:eastAsia="Times New Roman"/>
                <w:szCs w:val="24"/>
              </w:rPr>
              <w:t>.</w:t>
            </w:r>
          </w:p>
        </w:tc>
      </w:tr>
      <w:tr w:rsidR="007B485D" w:rsidRPr="00727DFA" w14:paraId="057BD7B9"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CD0E8B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Suramin</w:t>
            </w:r>
            <w:r w:rsidRPr="00727DFA">
              <w:rPr>
                <w:rFonts w:eastAsia="Times New Roman"/>
                <w:b/>
                <w:spacing w:val="-4"/>
                <w:szCs w:val="24"/>
              </w:rPr>
              <w:t xml:space="preserve"> </w:t>
            </w:r>
            <w:r w:rsidRPr="00727DFA">
              <w:rPr>
                <w:rFonts w:eastAsia="Times New Roman"/>
                <w:b/>
                <w:spacing w:val="-2"/>
                <w:szCs w:val="24"/>
              </w:rPr>
              <w:t>sodium</w:t>
            </w:r>
          </w:p>
        </w:tc>
      </w:tr>
      <w:tr w:rsidR="007B485D" w:rsidRPr="00727DFA" w14:paraId="00EA9510"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7B0F8CA0"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1E92CDB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 Sulfated naphthylamine, </w:t>
            </w:r>
            <w:r>
              <w:rPr>
                <w:rFonts w:eastAsia="Times New Roman"/>
                <w:szCs w:val="24"/>
              </w:rPr>
              <w:t>t</w:t>
            </w:r>
            <w:r w:rsidRPr="00727DFA">
              <w:rPr>
                <w:rFonts w:eastAsia="Times New Roman"/>
                <w:szCs w:val="24"/>
              </w:rPr>
              <w:t>rypanocide</w:t>
            </w:r>
          </w:p>
        </w:tc>
      </w:tr>
      <w:tr w:rsidR="007B485D" w:rsidRPr="00727DFA" w14:paraId="04B0614F"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42654767"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27103E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Powder for injection: 1gm in vial</w:t>
            </w:r>
          </w:p>
        </w:tc>
      </w:tr>
      <w:tr w:rsidR="007B485D" w:rsidRPr="00727DFA" w14:paraId="0AB0EF3E"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7D91CEBD" w14:textId="77777777" w:rsidR="007B485D" w:rsidRPr="00727DFA"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DB52DF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Treatment of the early stages of African trypanosomiasis </w:t>
            </w:r>
          </w:p>
        </w:tc>
      </w:tr>
      <w:tr w:rsidR="007B485D" w:rsidRPr="00727DFA" w14:paraId="3AD4B6B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D6CBD4"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0B56679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Adult</w:t>
            </w:r>
            <w:r w:rsidRPr="00727DFA">
              <w:rPr>
                <w:rFonts w:eastAsia="Times New Roman"/>
                <w:szCs w:val="24"/>
              </w:rPr>
              <w:t>:</w:t>
            </w:r>
          </w:p>
          <w:p w14:paraId="0CD11B6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Initial phase of </w:t>
            </w:r>
            <w:r w:rsidRPr="00727DFA">
              <w:rPr>
                <w:rFonts w:eastAsia="Times New Roman"/>
                <w:b/>
                <w:bCs/>
                <w:i/>
                <w:iCs/>
                <w:szCs w:val="24"/>
              </w:rPr>
              <w:t>T. brucei rhodesiense</w:t>
            </w:r>
            <w:r w:rsidRPr="00727DFA">
              <w:rPr>
                <w:rFonts w:eastAsia="Times New Roman"/>
                <w:b/>
                <w:bCs/>
                <w:szCs w:val="24"/>
              </w:rPr>
              <w:t xml:space="preserve"> infection</w:t>
            </w:r>
            <w:r w:rsidRPr="00727DFA">
              <w:rPr>
                <w:rFonts w:eastAsia="Times New Roman"/>
                <w:szCs w:val="24"/>
              </w:rPr>
              <w:t>, by slow IV injection: 5 mg/kg on day 1, then 20 mg/kg on days 5, 11, 17, 23, and 30.5 mg/kg on day 31, OR 20 mg/kg every week for five weeks. Maximum dose per injection is 1 g.</w:t>
            </w:r>
          </w:p>
          <w:p w14:paraId="4D15B29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Pediatric</w:t>
            </w:r>
            <w:r w:rsidRPr="00727DFA">
              <w:rPr>
                <w:rFonts w:eastAsia="Times New Roman"/>
                <w:szCs w:val="24"/>
              </w:rPr>
              <w:t>:</w:t>
            </w:r>
          </w:p>
          <w:p w14:paraId="5471E33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Initial phase of </w:t>
            </w:r>
            <w:r w:rsidRPr="00727DFA">
              <w:rPr>
                <w:rFonts w:eastAsia="Times New Roman"/>
                <w:b/>
                <w:bCs/>
                <w:i/>
                <w:iCs/>
                <w:szCs w:val="24"/>
              </w:rPr>
              <w:t>T. brucei rhodesiense</w:t>
            </w:r>
            <w:r w:rsidRPr="00727DFA">
              <w:rPr>
                <w:rFonts w:eastAsia="Times New Roman"/>
                <w:b/>
                <w:bCs/>
                <w:szCs w:val="24"/>
              </w:rPr>
              <w:t xml:space="preserve"> infection</w:t>
            </w:r>
            <w:r w:rsidRPr="00727DFA">
              <w:rPr>
                <w:rFonts w:eastAsia="Times New Roman"/>
                <w:szCs w:val="24"/>
              </w:rPr>
              <w:t>, slow IV injection:</w:t>
            </w:r>
          </w:p>
          <w:p w14:paraId="3027697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Child of all ages</w:t>
            </w:r>
            <w:r w:rsidRPr="00727DFA">
              <w:rPr>
                <w:rFonts w:eastAsia="Times New Roman"/>
                <w:szCs w:val="24"/>
              </w:rPr>
              <w:t>: 5 mg/kg on day 1 (as a test dose) followed by 20 mg/kg on day 3, 10, 17, 24, and 31</w:t>
            </w:r>
          </w:p>
          <w:p w14:paraId="7305A69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First (test) dose</w:t>
            </w:r>
            <w:r w:rsidRPr="00727DFA">
              <w:rPr>
                <w:rFonts w:eastAsia="Times New Roman"/>
                <w:szCs w:val="24"/>
              </w:rPr>
              <w:t>: Administer first dose with caution, wait at least 1 minute after injecting the first few microlitres, inject next 0.5 mL over 30 seconds and wait 1 minute, inject the remainder over several minutes</w:t>
            </w:r>
          </w:p>
        </w:tc>
      </w:tr>
      <w:tr w:rsidR="007B485D" w:rsidRPr="00727DFA" w14:paraId="5291704D"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0D724574" w14:textId="77777777" w:rsidR="007B485D" w:rsidRPr="00727DFA" w:rsidRDefault="007B485D" w:rsidP="002D6DD7">
            <w:pPr>
              <w:jc w:val="both"/>
              <w:rPr>
                <w:rFonts w:eastAsia="DengXian"/>
                <w:szCs w:val="24"/>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73DF24BE" w14:textId="77777777" w:rsidR="007B485D" w:rsidRPr="00727DFA" w:rsidRDefault="007B485D" w:rsidP="002D6DD7">
            <w:pPr>
              <w:widowControl w:val="0"/>
              <w:autoSpaceDE w:val="0"/>
              <w:autoSpaceDN w:val="0"/>
              <w:jc w:val="both"/>
              <w:rPr>
                <w:rFonts w:eastAsia="Candara-Italic"/>
                <w:b/>
                <w:iCs/>
                <w:szCs w:val="24"/>
              </w:rPr>
            </w:pPr>
            <w:r>
              <w:rPr>
                <w:rFonts w:eastAsia="Times New Roman"/>
                <w:szCs w:val="24"/>
              </w:rPr>
              <w:t>Hypersensitivity to</w:t>
            </w:r>
            <w:r w:rsidRPr="00727DFA">
              <w:rPr>
                <w:rFonts w:eastAsia="Times New Roman"/>
                <w:szCs w:val="24"/>
              </w:rPr>
              <w:t xml:space="preserve"> suramin, severe liver or renal function impairment</w:t>
            </w:r>
            <w:r>
              <w:rPr>
                <w:rFonts w:eastAsia="Times New Roman"/>
                <w:szCs w:val="24"/>
              </w:rPr>
              <w:t>.</w:t>
            </w:r>
          </w:p>
        </w:tc>
      </w:tr>
      <w:tr w:rsidR="007B485D" w:rsidRPr="00727DFA" w14:paraId="3D5DC95B"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08E2DBD"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97D777D" w14:textId="77777777" w:rsidR="007B485D" w:rsidRPr="00727DFA" w:rsidRDefault="007B485D" w:rsidP="002D6DD7">
            <w:pPr>
              <w:widowControl w:val="0"/>
              <w:autoSpaceDE w:val="0"/>
              <w:autoSpaceDN w:val="0"/>
              <w:jc w:val="both"/>
              <w:rPr>
                <w:rFonts w:eastAsia="Calibri"/>
                <w:szCs w:val="24"/>
              </w:rPr>
            </w:pPr>
            <w:r>
              <w:rPr>
                <w:rFonts w:eastAsia="Times New Roman"/>
                <w:szCs w:val="24"/>
              </w:rPr>
              <w:t>There are no known significant interactions.</w:t>
            </w:r>
          </w:p>
        </w:tc>
      </w:tr>
      <w:tr w:rsidR="007B485D" w:rsidRPr="00727DFA" w14:paraId="49077A3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0284D2"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45AE412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Nausea, vomiting, nausea, anorexia and metallic taste, reaction such as urticaria and pruritis, rash, loss of consciousness (first dose), paresthesia, hyperesthesia of the palms and soles, skin eruptions, fever, photophobia, hematuria., fever, thrombocytopenia, peripheral neuropathy, transient hyperbilirubinemias, mild proteinuria</w:t>
            </w:r>
            <w:r>
              <w:rPr>
                <w:rFonts w:eastAsia="Times New Roman"/>
                <w:szCs w:val="24"/>
              </w:rPr>
              <w:t>, polyuria, polydipsia.</w:t>
            </w:r>
          </w:p>
        </w:tc>
      </w:tr>
      <w:tr w:rsidR="007B485D" w:rsidRPr="00727DFA" w14:paraId="58FB5049"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EE7AD00"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58E4B4D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Debilitated or malnourished patients, albuminuria, onchocerciasis, pregnancy</w:t>
            </w:r>
            <w:r>
              <w:rPr>
                <w:rFonts w:eastAsia="Times New Roman"/>
                <w:szCs w:val="24"/>
              </w:rPr>
              <w:t xml:space="preserve">, renal and hepatic impairment. </w:t>
            </w:r>
          </w:p>
        </w:tc>
      </w:tr>
      <w:tr w:rsidR="007B485D" w:rsidRPr="00727DFA" w14:paraId="58558830"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3C43DDBB" w14:textId="77777777" w:rsidR="007B485D" w:rsidRPr="00727DFA" w:rsidRDefault="007B485D" w:rsidP="002D6DD7">
            <w:pPr>
              <w:jc w:val="both"/>
              <w:rPr>
                <w:rFonts w:eastAsia="DengXian"/>
                <w:spacing w:val="-2"/>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129E274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o</w:t>
            </w:r>
            <w:r w:rsidRPr="00727DFA">
              <w:rPr>
                <w:rFonts w:eastAsia="Times New Roman"/>
                <w:szCs w:val="24"/>
              </w:rPr>
              <w:t xml:space="preserve">C. </w:t>
            </w:r>
          </w:p>
        </w:tc>
      </w:tr>
    </w:tbl>
    <w:p w14:paraId="64567885" w14:textId="77777777" w:rsidR="007B485D" w:rsidRPr="00727DFA" w:rsidRDefault="007B485D" w:rsidP="007B485D">
      <w:pPr>
        <w:spacing w:after="0"/>
        <w:jc w:val="both"/>
        <w:rPr>
          <w:rFonts w:eastAsia="DengXian" w:cs="Times New Roman"/>
          <w:szCs w:val="24"/>
        </w:rPr>
      </w:pPr>
    </w:p>
    <w:p w14:paraId="645A7369" w14:textId="77777777" w:rsidR="007B485D" w:rsidRPr="00ED22AD" w:rsidRDefault="007B485D" w:rsidP="00ED22AD">
      <w:pPr>
        <w:rPr>
          <w:rFonts w:eastAsia="DengXian Light"/>
          <w:b/>
        </w:rPr>
      </w:pPr>
      <w:r w:rsidRPr="00ED22AD">
        <w:rPr>
          <w:rFonts w:eastAsia="DengXian Light"/>
          <w:b/>
        </w:rPr>
        <w:lastRenderedPageBreak/>
        <w:t xml:space="preserve">Medicines used </w:t>
      </w:r>
      <w:r w:rsidRPr="00ED22AD">
        <w:rPr>
          <w:rFonts w:eastAsia="DengXian Light"/>
          <w:b/>
          <w:spacing w:val="-2"/>
        </w:rPr>
        <w:t>for</w:t>
      </w:r>
      <w:r w:rsidRPr="00ED22AD">
        <w:rPr>
          <w:rFonts w:eastAsia="DengXian Light"/>
          <w:b/>
          <w:spacing w:val="-4"/>
        </w:rPr>
        <w:t xml:space="preserve"> </w:t>
      </w:r>
      <w:r w:rsidRPr="00ED22AD">
        <w:rPr>
          <w:rFonts w:eastAsia="DengXian Light"/>
          <w:b/>
        </w:rPr>
        <w:t>toxoplasmosis</w:t>
      </w:r>
      <w:r w:rsidRPr="00ED22AD">
        <w:rPr>
          <w:rFonts w:eastAsia="DengXian Light"/>
          <w:b/>
          <w:spacing w:val="-5"/>
        </w:rPr>
        <w:t xml:space="preserve"> </w:t>
      </w:r>
      <w:r w:rsidRPr="00ED22AD">
        <w:rPr>
          <w:rFonts w:eastAsia="DengXian Light"/>
          <w:b/>
        </w:rPr>
        <w:t xml:space="preserve">and </w:t>
      </w:r>
      <w:r w:rsidRPr="00ED22AD">
        <w:rPr>
          <w:rFonts w:eastAsia="DengXian Light"/>
          <w:b/>
          <w:spacing w:val="-2"/>
        </w:rPr>
        <w:t>pneumocystosis</w:t>
      </w:r>
    </w:p>
    <w:p w14:paraId="7D0A6EF7" w14:textId="77777777" w:rsidR="007B485D" w:rsidRPr="00727DFA" w:rsidRDefault="007B485D" w:rsidP="007B485D">
      <w:pPr>
        <w:widowControl w:val="0"/>
        <w:autoSpaceDE w:val="0"/>
        <w:autoSpaceDN w:val="0"/>
        <w:spacing w:after="0"/>
        <w:jc w:val="both"/>
        <w:rPr>
          <w:rFonts w:eastAsia="Times New Roman" w:cs="Times New Roman"/>
          <w:szCs w:val="24"/>
        </w:rPr>
      </w:pPr>
      <w:r w:rsidRPr="00727DFA">
        <w:rPr>
          <w:rFonts w:eastAsia="Times New Roman" w:cs="Times New Roman"/>
          <w:szCs w:val="24"/>
        </w:rPr>
        <w:t xml:space="preserve">Toxoplasmosis is caused by infection with the protozoan parasite </w:t>
      </w:r>
      <w:r w:rsidRPr="00727DFA">
        <w:rPr>
          <w:rFonts w:eastAsia="Times New Roman" w:cs="Times New Roman"/>
          <w:i/>
          <w:szCs w:val="24"/>
        </w:rPr>
        <w:t>Toxoplasma gondii.</w:t>
      </w:r>
      <w:r w:rsidRPr="00727DFA">
        <w:rPr>
          <w:rFonts w:eastAsia="Times New Roman" w:cs="Times New Roman"/>
          <w:szCs w:val="24"/>
        </w:rPr>
        <w:t xml:space="preserve"> Toxoplasmosis in immunocompetent individuals is usually asymptomatic and self-limiting. Patients with impaired immunity may</w:t>
      </w:r>
      <w:r w:rsidRPr="00727DFA">
        <w:rPr>
          <w:rFonts w:eastAsia="Times New Roman" w:cs="Times New Roman"/>
          <w:spacing w:val="-1"/>
          <w:szCs w:val="24"/>
        </w:rPr>
        <w:t xml:space="preserve"> </w:t>
      </w:r>
      <w:r w:rsidRPr="00727DFA">
        <w:rPr>
          <w:rFonts w:eastAsia="Times New Roman" w:cs="Times New Roman"/>
          <w:szCs w:val="24"/>
        </w:rPr>
        <w:t xml:space="preserve">develop serious complications such as encephalitis, myocarditis, and </w:t>
      </w:r>
      <w:r w:rsidRPr="00727DFA">
        <w:rPr>
          <w:rFonts w:eastAsia="Times New Roman" w:cs="Times New Roman"/>
          <w:spacing w:val="-2"/>
          <w:szCs w:val="24"/>
        </w:rPr>
        <w:t>pneumonitis.</w:t>
      </w:r>
      <w:r w:rsidRPr="00727DFA">
        <w:rPr>
          <w:rFonts w:eastAsia="Times New Roman" w:cs="Times New Roman"/>
          <w:szCs w:val="24"/>
        </w:rPr>
        <w:t xml:space="preserve"> Congenital toxoplasmosis is not a problem in women who have toxoplasma antibody before conception</w:t>
      </w:r>
      <w:r w:rsidRPr="00727DFA">
        <w:rPr>
          <w:rFonts w:eastAsia="Times New Roman" w:cs="Times New Roman"/>
          <w:spacing w:val="-10"/>
          <w:szCs w:val="24"/>
        </w:rPr>
        <w:t xml:space="preserve"> </w:t>
      </w:r>
      <w:r w:rsidRPr="00727DFA">
        <w:rPr>
          <w:rFonts w:eastAsia="Times New Roman" w:cs="Times New Roman"/>
          <w:szCs w:val="24"/>
        </w:rPr>
        <w:t>but</w:t>
      </w:r>
      <w:r w:rsidRPr="00727DFA">
        <w:rPr>
          <w:rFonts w:eastAsia="Times New Roman" w:cs="Times New Roman"/>
          <w:spacing w:val="-9"/>
          <w:szCs w:val="24"/>
        </w:rPr>
        <w:t xml:space="preserve"> </w:t>
      </w:r>
      <w:r w:rsidRPr="00727DFA">
        <w:rPr>
          <w:rFonts w:eastAsia="Times New Roman" w:cs="Times New Roman"/>
          <w:szCs w:val="24"/>
        </w:rPr>
        <w:t>primary</w:t>
      </w:r>
      <w:r w:rsidRPr="00727DFA">
        <w:rPr>
          <w:rFonts w:eastAsia="Times New Roman" w:cs="Times New Roman"/>
          <w:spacing w:val="-9"/>
          <w:szCs w:val="24"/>
        </w:rPr>
        <w:t xml:space="preserve"> </w:t>
      </w:r>
      <w:r w:rsidRPr="00727DFA">
        <w:rPr>
          <w:rFonts w:eastAsia="Times New Roman" w:cs="Times New Roman"/>
          <w:szCs w:val="24"/>
        </w:rPr>
        <w:t>toxoplasmosis</w:t>
      </w:r>
      <w:r w:rsidRPr="00727DFA">
        <w:rPr>
          <w:rFonts w:eastAsia="Times New Roman" w:cs="Times New Roman"/>
          <w:spacing w:val="-9"/>
          <w:szCs w:val="24"/>
        </w:rPr>
        <w:t xml:space="preserve"> </w:t>
      </w:r>
      <w:r w:rsidRPr="00727DFA">
        <w:rPr>
          <w:rFonts w:eastAsia="Times New Roman" w:cs="Times New Roman"/>
          <w:szCs w:val="24"/>
        </w:rPr>
        <w:t>during</w:t>
      </w:r>
      <w:r w:rsidRPr="00727DFA">
        <w:rPr>
          <w:rFonts w:eastAsia="Times New Roman" w:cs="Times New Roman"/>
          <w:spacing w:val="-8"/>
          <w:szCs w:val="24"/>
        </w:rPr>
        <w:t xml:space="preserve"> </w:t>
      </w:r>
      <w:r w:rsidRPr="00727DFA">
        <w:rPr>
          <w:rFonts w:eastAsia="Times New Roman" w:cs="Times New Roman"/>
          <w:szCs w:val="24"/>
        </w:rPr>
        <w:t>early</w:t>
      </w:r>
      <w:r w:rsidRPr="00727DFA">
        <w:rPr>
          <w:rFonts w:eastAsia="Times New Roman" w:cs="Times New Roman"/>
          <w:spacing w:val="-8"/>
          <w:szCs w:val="24"/>
        </w:rPr>
        <w:t xml:space="preserve"> </w:t>
      </w:r>
      <w:r w:rsidRPr="00727DFA">
        <w:rPr>
          <w:rFonts w:eastAsia="Times New Roman" w:cs="Times New Roman"/>
          <w:szCs w:val="24"/>
        </w:rPr>
        <w:t>pregnancy</w:t>
      </w:r>
      <w:r w:rsidRPr="00727DFA">
        <w:rPr>
          <w:rFonts w:eastAsia="Times New Roman" w:cs="Times New Roman"/>
          <w:spacing w:val="-8"/>
          <w:szCs w:val="24"/>
        </w:rPr>
        <w:t xml:space="preserve"> </w:t>
      </w:r>
      <w:r w:rsidRPr="00727DFA">
        <w:rPr>
          <w:rFonts w:eastAsia="Times New Roman" w:cs="Times New Roman"/>
          <w:szCs w:val="24"/>
        </w:rPr>
        <w:t>is</w:t>
      </w:r>
      <w:r w:rsidRPr="00727DFA">
        <w:rPr>
          <w:rFonts w:eastAsia="Times New Roman" w:cs="Times New Roman"/>
          <w:spacing w:val="-9"/>
          <w:szCs w:val="24"/>
        </w:rPr>
        <w:t xml:space="preserve"> </w:t>
      </w:r>
      <w:r w:rsidRPr="00727DFA">
        <w:rPr>
          <w:rFonts w:eastAsia="Times New Roman" w:cs="Times New Roman"/>
          <w:szCs w:val="24"/>
        </w:rPr>
        <w:t>serious</w:t>
      </w:r>
      <w:r w:rsidRPr="00727DFA">
        <w:rPr>
          <w:rFonts w:eastAsia="Times New Roman" w:cs="Times New Roman"/>
          <w:spacing w:val="-9"/>
          <w:szCs w:val="24"/>
        </w:rPr>
        <w:t xml:space="preserve"> </w:t>
      </w:r>
      <w:r w:rsidRPr="00727DFA">
        <w:rPr>
          <w:rFonts w:eastAsia="Times New Roman" w:cs="Times New Roman"/>
          <w:szCs w:val="24"/>
        </w:rPr>
        <w:t>because</w:t>
      </w:r>
      <w:r w:rsidRPr="00727DFA">
        <w:rPr>
          <w:rFonts w:eastAsia="Times New Roman" w:cs="Times New Roman"/>
          <w:spacing w:val="-10"/>
          <w:szCs w:val="24"/>
        </w:rPr>
        <w:t xml:space="preserve"> </w:t>
      </w:r>
      <w:r w:rsidRPr="00727DFA">
        <w:rPr>
          <w:rFonts w:eastAsia="Times New Roman" w:cs="Times New Roman"/>
          <w:szCs w:val="24"/>
        </w:rPr>
        <w:t>of</w:t>
      </w:r>
      <w:r w:rsidRPr="00727DFA">
        <w:rPr>
          <w:rFonts w:eastAsia="Times New Roman" w:cs="Times New Roman"/>
          <w:spacing w:val="-7"/>
          <w:szCs w:val="24"/>
        </w:rPr>
        <w:t xml:space="preserve"> </w:t>
      </w:r>
      <w:r w:rsidRPr="00727DFA">
        <w:rPr>
          <w:rFonts w:eastAsia="Times New Roman" w:cs="Times New Roman"/>
          <w:szCs w:val="24"/>
        </w:rPr>
        <w:t>the</w:t>
      </w:r>
      <w:r w:rsidRPr="00727DFA">
        <w:rPr>
          <w:rFonts w:eastAsia="Times New Roman" w:cs="Times New Roman"/>
          <w:spacing w:val="-10"/>
          <w:szCs w:val="24"/>
        </w:rPr>
        <w:t xml:space="preserve"> </w:t>
      </w:r>
      <w:r w:rsidRPr="00727DFA">
        <w:rPr>
          <w:rFonts w:eastAsia="Times New Roman" w:cs="Times New Roman"/>
          <w:szCs w:val="24"/>
        </w:rPr>
        <w:t>risk</w:t>
      </w:r>
      <w:r w:rsidRPr="00727DFA">
        <w:rPr>
          <w:rFonts w:eastAsia="Times New Roman" w:cs="Times New Roman"/>
          <w:spacing w:val="-9"/>
          <w:szCs w:val="24"/>
        </w:rPr>
        <w:t xml:space="preserve"> </w:t>
      </w:r>
      <w:r w:rsidRPr="00727DFA">
        <w:rPr>
          <w:rFonts w:eastAsia="Times New Roman" w:cs="Times New Roman"/>
          <w:szCs w:val="24"/>
        </w:rPr>
        <w:t>of transplacental transmission, which may result in fetal death or congenital toxoplasmosis.</w:t>
      </w:r>
    </w:p>
    <w:p w14:paraId="144FE22F" w14:textId="77777777" w:rsidR="007B485D" w:rsidRPr="00727DFA" w:rsidRDefault="007B485D" w:rsidP="007B485D">
      <w:pPr>
        <w:widowControl w:val="0"/>
        <w:autoSpaceDE w:val="0"/>
        <w:autoSpaceDN w:val="0"/>
        <w:spacing w:before="240" w:after="0"/>
        <w:jc w:val="both"/>
        <w:rPr>
          <w:rFonts w:eastAsia="Times New Roman" w:cs="Times New Roman"/>
          <w:szCs w:val="24"/>
        </w:rPr>
      </w:pPr>
      <w:r w:rsidRPr="00727DFA">
        <w:rPr>
          <w:rFonts w:eastAsia="Times New Roman" w:cs="Times New Roman"/>
          <w:szCs w:val="24"/>
        </w:rPr>
        <w:t>The treatment of choice for toxoplasmosis is a combination of pyrimethamine and sulfadiazine. In immunocompromised patient</w:t>
      </w:r>
      <w:r w:rsidRPr="00727DFA">
        <w:rPr>
          <w:rFonts w:eastAsia="Times New Roman" w:cs="Times New Roman"/>
          <w:spacing w:val="-15"/>
          <w:szCs w:val="24"/>
        </w:rPr>
        <w:t xml:space="preserve">, </w:t>
      </w:r>
      <w:r w:rsidRPr="00727DFA">
        <w:rPr>
          <w:rFonts w:eastAsia="Times New Roman" w:cs="Times New Roman"/>
          <w:szCs w:val="24"/>
        </w:rPr>
        <w:t>trimethoprim and sulfamethoxazole used for treatment of toxoplasmosis instead of the more usual treatment with pyrimethamine plus sulfadiazine. Folinic acid should be given during treatment to counteract megaloblastic anemia secondary to pyrimethamine.   Besides, drugs such as Clindamycin</w:t>
      </w:r>
      <w:r w:rsidRPr="00727DFA">
        <w:rPr>
          <w:rFonts w:eastAsia="Times New Roman" w:cs="Times New Roman"/>
          <w:spacing w:val="-11"/>
          <w:szCs w:val="24"/>
        </w:rPr>
        <w:t xml:space="preserve"> and atovaquone are employed against toxoplasmosis. </w:t>
      </w:r>
      <w:r w:rsidRPr="00727DFA">
        <w:rPr>
          <w:rFonts w:eastAsia="Times New Roman" w:cs="Times New Roman"/>
          <w:szCs w:val="24"/>
        </w:rPr>
        <w:t>Treatment is ideally continued for several weeks after clinical cure. Prolonged, even life long, maintenance</w:t>
      </w:r>
      <w:r w:rsidRPr="00727DFA">
        <w:rPr>
          <w:rFonts w:eastAsia="Times New Roman" w:cs="Times New Roman"/>
          <w:spacing w:val="-6"/>
          <w:szCs w:val="24"/>
        </w:rPr>
        <w:t xml:space="preserve"> </w:t>
      </w:r>
      <w:r w:rsidRPr="00727DFA">
        <w:rPr>
          <w:rFonts w:eastAsia="Times New Roman" w:cs="Times New Roman"/>
          <w:szCs w:val="24"/>
        </w:rPr>
        <w:t>therapy</w:t>
      </w:r>
      <w:r w:rsidRPr="00727DFA">
        <w:rPr>
          <w:rFonts w:eastAsia="Times New Roman" w:cs="Times New Roman"/>
          <w:spacing w:val="-5"/>
          <w:szCs w:val="24"/>
        </w:rPr>
        <w:t xml:space="preserve"> </w:t>
      </w:r>
      <w:r w:rsidRPr="00727DFA">
        <w:rPr>
          <w:rFonts w:eastAsia="Times New Roman" w:cs="Times New Roman"/>
          <w:szCs w:val="24"/>
        </w:rPr>
        <w:t>should</w:t>
      </w:r>
      <w:r w:rsidRPr="00727DFA">
        <w:rPr>
          <w:rFonts w:eastAsia="Times New Roman" w:cs="Times New Roman"/>
          <w:spacing w:val="-5"/>
          <w:szCs w:val="24"/>
        </w:rPr>
        <w:t xml:space="preserve"> </w:t>
      </w:r>
      <w:r w:rsidRPr="00727DFA">
        <w:rPr>
          <w:rFonts w:eastAsia="Times New Roman" w:cs="Times New Roman"/>
          <w:szCs w:val="24"/>
        </w:rPr>
        <w:t>be</w:t>
      </w:r>
      <w:r w:rsidRPr="00727DFA">
        <w:rPr>
          <w:rFonts w:eastAsia="Times New Roman" w:cs="Times New Roman"/>
          <w:spacing w:val="-6"/>
          <w:szCs w:val="24"/>
        </w:rPr>
        <w:t xml:space="preserve"> </w:t>
      </w:r>
      <w:r w:rsidRPr="00727DFA">
        <w:rPr>
          <w:rFonts w:eastAsia="Times New Roman" w:cs="Times New Roman"/>
          <w:szCs w:val="24"/>
        </w:rPr>
        <w:t>considered</w:t>
      </w:r>
      <w:r w:rsidRPr="00727DFA">
        <w:rPr>
          <w:rFonts w:eastAsia="Times New Roman" w:cs="Times New Roman"/>
          <w:spacing w:val="-5"/>
          <w:szCs w:val="24"/>
        </w:rPr>
        <w:t xml:space="preserve"> </w:t>
      </w:r>
      <w:r w:rsidRPr="00727DFA">
        <w:rPr>
          <w:rFonts w:eastAsia="Times New Roman" w:cs="Times New Roman"/>
          <w:szCs w:val="24"/>
        </w:rPr>
        <w:t>for</w:t>
      </w:r>
      <w:r w:rsidRPr="00727DFA">
        <w:rPr>
          <w:rFonts w:eastAsia="Times New Roman" w:cs="Times New Roman"/>
          <w:spacing w:val="-6"/>
          <w:szCs w:val="24"/>
        </w:rPr>
        <w:t xml:space="preserve"> </w:t>
      </w:r>
      <w:r w:rsidRPr="00727DFA">
        <w:rPr>
          <w:rFonts w:eastAsia="Times New Roman" w:cs="Times New Roman"/>
          <w:szCs w:val="24"/>
        </w:rPr>
        <w:t>AIDS</w:t>
      </w:r>
      <w:r w:rsidRPr="00727DFA">
        <w:rPr>
          <w:rFonts w:eastAsia="Times New Roman" w:cs="Times New Roman"/>
          <w:spacing w:val="-6"/>
          <w:szCs w:val="24"/>
        </w:rPr>
        <w:t xml:space="preserve"> </w:t>
      </w:r>
      <w:r w:rsidRPr="00727DFA">
        <w:rPr>
          <w:rFonts w:eastAsia="Times New Roman" w:cs="Times New Roman"/>
          <w:szCs w:val="24"/>
        </w:rPr>
        <w:t>patients</w:t>
      </w:r>
      <w:r w:rsidRPr="00727DFA">
        <w:rPr>
          <w:rFonts w:eastAsia="Times New Roman" w:cs="Times New Roman"/>
          <w:spacing w:val="-5"/>
          <w:szCs w:val="24"/>
        </w:rPr>
        <w:t xml:space="preserve"> </w:t>
      </w:r>
      <w:r w:rsidRPr="00727DFA">
        <w:rPr>
          <w:rFonts w:eastAsia="Times New Roman" w:cs="Times New Roman"/>
          <w:szCs w:val="24"/>
        </w:rPr>
        <w:t>since</w:t>
      </w:r>
      <w:r w:rsidRPr="00727DFA">
        <w:rPr>
          <w:rFonts w:eastAsia="Times New Roman" w:cs="Times New Roman"/>
          <w:spacing w:val="-9"/>
          <w:szCs w:val="24"/>
        </w:rPr>
        <w:t xml:space="preserve"> </w:t>
      </w:r>
      <w:r w:rsidRPr="00727DFA">
        <w:rPr>
          <w:rFonts w:eastAsia="Times New Roman" w:cs="Times New Roman"/>
          <w:szCs w:val="24"/>
        </w:rPr>
        <w:t>the</w:t>
      </w:r>
      <w:r w:rsidRPr="00727DFA">
        <w:rPr>
          <w:rFonts w:eastAsia="Times New Roman" w:cs="Times New Roman"/>
          <w:spacing w:val="-5"/>
          <w:szCs w:val="24"/>
        </w:rPr>
        <w:t xml:space="preserve"> </w:t>
      </w:r>
      <w:r w:rsidRPr="00727DFA">
        <w:rPr>
          <w:rFonts w:eastAsia="Times New Roman" w:cs="Times New Roman"/>
          <w:szCs w:val="24"/>
        </w:rPr>
        <w:t>tissue</w:t>
      </w:r>
      <w:r w:rsidRPr="00727DFA">
        <w:rPr>
          <w:rFonts w:eastAsia="Times New Roman" w:cs="Times New Roman"/>
          <w:spacing w:val="-6"/>
          <w:szCs w:val="24"/>
        </w:rPr>
        <w:t xml:space="preserve"> </w:t>
      </w:r>
      <w:r w:rsidRPr="00727DFA">
        <w:rPr>
          <w:rFonts w:eastAsia="Times New Roman" w:cs="Times New Roman"/>
          <w:szCs w:val="24"/>
        </w:rPr>
        <w:t>cyst</w:t>
      </w:r>
      <w:r w:rsidRPr="00727DFA">
        <w:rPr>
          <w:rFonts w:eastAsia="Times New Roman" w:cs="Times New Roman"/>
          <w:spacing w:val="-4"/>
          <w:szCs w:val="24"/>
        </w:rPr>
        <w:t xml:space="preserve"> </w:t>
      </w:r>
      <w:r w:rsidRPr="00727DFA">
        <w:rPr>
          <w:rFonts w:eastAsia="Times New Roman" w:cs="Times New Roman"/>
          <w:szCs w:val="24"/>
        </w:rPr>
        <w:t>forms</w:t>
      </w:r>
      <w:r w:rsidRPr="00727DFA">
        <w:rPr>
          <w:rFonts w:eastAsia="Times New Roman" w:cs="Times New Roman"/>
          <w:spacing w:val="-8"/>
          <w:szCs w:val="24"/>
        </w:rPr>
        <w:t xml:space="preserve"> </w:t>
      </w:r>
      <w:r w:rsidRPr="00727DFA">
        <w:rPr>
          <w:rFonts w:eastAsia="Times New Roman" w:cs="Times New Roman"/>
          <w:szCs w:val="24"/>
        </w:rPr>
        <w:t>of</w:t>
      </w:r>
      <w:r w:rsidRPr="00727DFA">
        <w:rPr>
          <w:rFonts w:eastAsia="Times New Roman" w:cs="Times New Roman"/>
          <w:spacing w:val="-7"/>
          <w:szCs w:val="24"/>
        </w:rPr>
        <w:t xml:space="preserve"> </w:t>
      </w:r>
      <w:r w:rsidRPr="00727DFA">
        <w:rPr>
          <w:rFonts w:eastAsia="Times New Roman" w:cs="Times New Roman"/>
          <w:i/>
          <w:iCs/>
          <w:szCs w:val="24"/>
        </w:rPr>
        <w:t>T. gondii</w:t>
      </w:r>
      <w:r w:rsidRPr="00727DFA">
        <w:rPr>
          <w:rFonts w:eastAsia="Times New Roman" w:cs="Times New Roman"/>
          <w:szCs w:val="24"/>
        </w:rPr>
        <w:t xml:space="preserve"> may not be eliminated by the initial treatment. </w:t>
      </w:r>
    </w:p>
    <w:p w14:paraId="57A4E0A4" w14:textId="77777777" w:rsidR="007B485D" w:rsidRPr="00727DFA" w:rsidRDefault="007B485D" w:rsidP="00ED22AD">
      <w:pPr>
        <w:widowControl w:val="0"/>
        <w:autoSpaceDE w:val="0"/>
        <w:autoSpaceDN w:val="0"/>
        <w:spacing w:before="240"/>
        <w:jc w:val="both"/>
        <w:rPr>
          <w:rFonts w:eastAsia="Times New Roman" w:cs="Times New Roman"/>
          <w:szCs w:val="24"/>
        </w:rPr>
      </w:pPr>
      <w:r w:rsidRPr="00727DFA">
        <w:rPr>
          <w:rFonts w:eastAsia="Times New Roman" w:cs="Times New Roman"/>
          <w:szCs w:val="24"/>
        </w:rPr>
        <w:t xml:space="preserve">Pneumocystis pneumonia is caused by </w:t>
      </w:r>
      <w:r w:rsidRPr="00727DFA">
        <w:rPr>
          <w:rFonts w:eastAsia="Times New Roman" w:cs="Times New Roman"/>
          <w:i/>
          <w:iCs/>
          <w:szCs w:val="24"/>
        </w:rPr>
        <w:t>Pneumocystis jiroveci</w:t>
      </w:r>
      <w:r w:rsidRPr="00727DFA">
        <w:rPr>
          <w:rFonts w:eastAsia="Times New Roman" w:cs="Times New Roman"/>
          <w:szCs w:val="24"/>
        </w:rPr>
        <w:t xml:space="preserve"> formerly known as pneumocystis carnii pneumonia (PCP), a ubiquitous organism that is classified as a fungus but also shares biologic characteristics with protozoa. It commonly occurs when patients have significant immune suppression (CD4&lt;200cells/mm3 or CD4 % &lt;14%). The incidence of PCP has declined substantially with widespread use of prophylaxis and ART. A combination of trimethoprim and sulfamethoxazole is the treatment of choice. Alternatively, PCP is treated by a combination of clindamycin with primaquine or dapsone. </w:t>
      </w:r>
    </w:p>
    <w:tbl>
      <w:tblPr>
        <w:tblStyle w:val="TableGrid2"/>
        <w:tblW w:w="0" w:type="auto"/>
        <w:tblLook w:val="04A0" w:firstRow="1" w:lastRow="0" w:firstColumn="1" w:lastColumn="0" w:noHBand="0" w:noVBand="1"/>
      </w:tblPr>
      <w:tblGrid>
        <w:gridCol w:w="2605"/>
        <w:gridCol w:w="6745"/>
      </w:tblGrid>
      <w:tr w:rsidR="007B485D" w:rsidRPr="00727DFA" w14:paraId="320A58C6"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6B4ADCED" w14:textId="77777777" w:rsidR="007B485D" w:rsidRPr="00727DFA" w:rsidRDefault="007B485D" w:rsidP="002D6DD7">
            <w:pPr>
              <w:jc w:val="both"/>
              <w:rPr>
                <w:rFonts w:eastAsia="DengXian"/>
                <w:b/>
                <w:szCs w:val="24"/>
              </w:rPr>
            </w:pPr>
            <w:r w:rsidRPr="00727DFA">
              <w:rPr>
                <w:rFonts w:eastAsia="DengXian"/>
                <w:b/>
                <w:spacing w:val="-2"/>
                <w:szCs w:val="24"/>
              </w:rPr>
              <w:t>Atovaquone</w:t>
            </w:r>
          </w:p>
        </w:tc>
      </w:tr>
      <w:tr w:rsidR="007B485D" w:rsidRPr="00727DFA" w14:paraId="06409F5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FC7454" w14:textId="77777777" w:rsidR="007B485D" w:rsidRPr="00727DFA" w:rsidRDefault="007B485D" w:rsidP="002D6DD7">
            <w:pPr>
              <w:jc w:val="both"/>
              <w:rPr>
                <w:rFonts w:eastAsia="DengXian"/>
                <w:bCs/>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D079088" w14:textId="77777777" w:rsidR="007B485D" w:rsidRPr="00727DFA" w:rsidRDefault="007B485D" w:rsidP="002D6DD7">
            <w:pPr>
              <w:jc w:val="both"/>
              <w:rPr>
                <w:rFonts w:eastAsia="DengXian"/>
                <w:szCs w:val="24"/>
              </w:rPr>
            </w:pPr>
            <w:r w:rsidRPr="00727DFA">
              <w:rPr>
                <w:rFonts w:eastAsia="DengXian"/>
                <w:szCs w:val="24"/>
              </w:rPr>
              <w:t>Antimalarial</w:t>
            </w:r>
          </w:p>
        </w:tc>
      </w:tr>
      <w:tr w:rsidR="007B485D" w:rsidRPr="00727DFA" w14:paraId="0F0A224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2D1EE5" w14:textId="77777777" w:rsidR="007B485D" w:rsidRPr="00727DFA" w:rsidRDefault="007B485D" w:rsidP="002D6DD7">
            <w:pPr>
              <w:jc w:val="both"/>
              <w:rPr>
                <w:rFonts w:eastAsia="DengXian"/>
                <w:bCs/>
                <w:szCs w:val="24"/>
              </w:rPr>
            </w:pPr>
            <w:r w:rsidRPr="00727DFA">
              <w:rPr>
                <w:rFonts w:eastAsia="DengXian"/>
                <w:spacing w:val="-2"/>
                <w:szCs w:val="24"/>
              </w:rPr>
              <w:t>Dosage forms</w:t>
            </w:r>
          </w:p>
        </w:tc>
        <w:tc>
          <w:tcPr>
            <w:tcW w:w="6745" w:type="dxa"/>
            <w:tcBorders>
              <w:top w:val="single" w:sz="4" w:space="0" w:color="auto"/>
              <w:left w:val="single" w:sz="4" w:space="0" w:color="auto"/>
              <w:bottom w:val="single" w:sz="4" w:space="0" w:color="auto"/>
              <w:right w:val="single" w:sz="4" w:space="0" w:color="auto"/>
            </w:tcBorders>
            <w:hideMark/>
          </w:tcPr>
          <w:p w14:paraId="76073F09" w14:textId="77777777" w:rsidR="007B485D" w:rsidRPr="00727DFA" w:rsidRDefault="007B485D" w:rsidP="002D6DD7">
            <w:pPr>
              <w:jc w:val="both"/>
              <w:rPr>
                <w:rFonts w:eastAsia="DengXian"/>
                <w:szCs w:val="24"/>
              </w:rPr>
            </w:pPr>
            <w:r w:rsidRPr="00727DFA">
              <w:rPr>
                <w:rFonts w:eastAsia="DengXian"/>
                <w:szCs w:val="24"/>
              </w:rPr>
              <w:t xml:space="preserve">Tablet: 750 mg </w:t>
            </w:r>
          </w:p>
        </w:tc>
      </w:tr>
      <w:tr w:rsidR="007B485D" w:rsidRPr="00727DFA" w14:paraId="104AB4E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D0ACF9" w14:textId="77777777" w:rsidR="007B485D" w:rsidRPr="00727DFA" w:rsidRDefault="007B485D" w:rsidP="002D6DD7">
            <w:pPr>
              <w:jc w:val="both"/>
              <w:rPr>
                <w:rFonts w:eastAsia="DengXian"/>
                <w:bCs/>
                <w:szCs w:val="24"/>
              </w:rPr>
            </w:pPr>
            <w:r w:rsidRPr="00084BCB">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A887704" w14:textId="77777777" w:rsidR="007B485D" w:rsidRPr="00727DFA" w:rsidRDefault="007B485D" w:rsidP="002D6DD7">
            <w:pPr>
              <w:jc w:val="both"/>
              <w:rPr>
                <w:rFonts w:eastAsia="DengXian"/>
                <w:szCs w:val="24"/>
              </w:rPr>
            </w:pPr>
            <w:r w:rsidRPr="00727DFA">
              <w:rPr>
                <w:rFonts w:eastAsia="DengXian"/>
                <w:szCs w:val="24"/>
              </w:rPr>
              <w:t>Treatment</w:t>
            </w:r>
            <w:r w:rsidRPr="00727DFA">
              <w:rPr>
                <w:rFonts w:eastAsia="DengXian"/>
                <w:spacing w:val="-8"/>
                <w:szCs w:val="24"/>
              </w:rPr>
              <w:t xml:space="preserve"> </w:t>
            </w:r>
            <w:r w:rsidRPr="00727DFA">
              <w:rPr>
                <w:rFonts w:eastAsia="DengXian"/>
                <w:szCs w:val="24"/>
              </w:rPr>
              <w:t xml:space="preserve">for malaria and for </w:t>
            </w:r>
            <w:r w:rsidRPr="00727DFA">
              <w:rPr>
                <w:rFonts w:eastAsia="DengXian"/>
                <w:spacing w:val="-2"/>
                <w:szCs w:val="24"/>
              </w:rPr>
              <w:t xml:space="preserve">toxoplasmosis in combination with sulfadiazine (alternative to pyrimethamine), treatment of mild to moderate </w:t>
            </w:r>
            <w:r w:rsidRPr="00727DFA">
              <w:rPr>
                <w:rFonts w:eastAsia="DengXian"/>
                <w:i/>
                <w:iCs/>
                <w:spacing w:val="-2"/>
                <w:szCs w:val="24"/>
              </w:rPr>
              <w:t>Pneumocystis</w:t>
            </w:r>
            <w:r w:rsidRPr="00727DFA">
              <w:rPr>
                <w:rFonts w:eastAsia="DengXian"/>
                <w:spacing w:val="-2"/>
                <w:szCs w:val="24"/>
              </w:rPr>
              <w:t xml:space="preserve"> </w:t>
            </w:r>
            <w:r w:rsidRPr="00727DFA">
              <w:rPr>
                <w:rFonts w:eastAsia="DengXian"/>
                <w:i/>
                <w:iCs/>
                <w:spacing w:val="-2"/>
                <w:szCs w:val="24"/>
              </w:rPr>
              <w:t>Jiroveci</w:t>
            </w:r>
            <w:r w:rsidRPr="00727DFA">
              <w:rPr>
                <w:rFonts w:eastAsia="DengXian"/>
                <w:spacing w:val="-2"/>
                <w:szCs w:val="24"/>
              </w:rPr>
              <w:t xml:space="preserve"> Pneumonia (also known as PCP).</w:t>
            </w:r>
          </w:p>
        </w:tc>
      </w:tr>
      <w:tr w:rsidR="007B485D" w:rsidRPr="00727DFA" w14:paraId="3D13A7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0A398A" w14:textId="77777777" w:rsidR="007B485D" w:rsidRPr="00727DFA" w:rsidRDefault="007B485D" w:rsidP="002D6DD7">
            <w:pPr>
              <w:jc w:val="both"/>
              <w:rPr>
                <w:rFonts w:eastAsia="DengXian"/>
                <w:bCs/>
                <w:szCs w:val="24"/>
              </w:rPr>
            </w:pPr>
            <w:r w:rsidRPr="00727DFA">
              <w:rPr>
                <w:rFonts w:eastAsia="DengXian"/>
                <w:szCs w:val="24"/>
              </w:rPr>
              <w:lastRenderedPageBreak/>
              <w:t xml:space="preserve">Dose and </w:t>
            </w:r>
            <w:r>
              <w:rPr>
                <w:rFonts w:eastAsia="DengXian"/>
                <w:szCs w:val="24"/>
              </w:rPr>
              <w:t>a</w:t>
            </w:r>
            <w:r w:rsidRPr="00727DFA">
              <w:rPr>
                <w:rFonts w:eastAsia="DengXian"/>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2C4E2B24" w14:textId="77777777" w:rsidR="007B485D" w:rsidRPr="00727DFA" w:rsidRDefault="007B485D" w:rsidP="002D6DD7">
            <w:pPr>
              <w:keepNext/>
              <w:keepLines/>
              <w:jc w:val="both"/>
              <w:outlineLvl w:val="5"/>
              <w:rPr>
                <w:rFonts w:eastAsia="Times New Roman"/>
                <w:b/>
                <w:i/>
                <w:iCs/>
                <w:szCs w:val="24"/>
              </w:rPr>
            </w:pPr>
            <w:r w:rsidRPr="00727DFA">
              <w:rPr>
                <w:rFonts w:eastAsia="Times New Roman"/>
                <w:b/>
                <w:szCs w:val="24"/>
              </w:rPr>
              <w:t>Treatment of Toxoplasmosis in HIV-infected adolescents and adults</w:t>
            </w:r>
            <w:r w:rsidRPr="00727DFA">
              <w:rPr>
                <w:rFonts w:eastAsia="Times New Roman"/>
                <w:b/>
                <w:i/>
                <w:iCs/>
                <w:szCs w:val="24"/>
              </w:rPr>
              <w:t xml:space="preserve">; </w:t>
            </w:r>
            <w:r w:rsidRPr="00727DFA">
              <w:rPr>
                <w:rFonts w:eastAsia="Times New Roman"/>
                <w:szCs w:val="24"/>
              </w:rPr>
              <w:t xml:space="preserve">Oral: 1.5 g twice daily, and Oral sulfadiazine 1 g (body weight &lt;60 kg) or 1.5 g (body weight ≥60 kg) </w:t>
            </w:r>
          </w:p>
          <w:p w14:paraId="4DD9CCE8" w14:textId="77777777" w:rsidR="007B485D" w:rsidRDefault="007B485D" w:rsidP="002D6DD7">
            <w:pPr>
              <w:jc w:val="both"/>
              <w:rPr>
                <w:rFonts w:eastAsia="DengXian"/>
                <w:szCs w:val="24"/>
              </w:rPr>
            </w:pPr>
            <w:r w:rsidRPr="00727DFA">
              <w:rPr>
                <w:rFonts w:eastAsia="DengXian"/>
                <w:b/>
                <w:bCs/>
                <w:szCs w:val="24"/>
              </w:rPr>
              <w:t>Treatment of mild to moderate PCP in adults</w:t>
            </w:r>
            <w:r w:rsidRPr="00727DFA">
              <w:rPr>
                <w:rFonts w:eastAsia="DengXian"/>
                <w:b/>
                <w:bCs/>
                <w:i/>
                <w:iCs/>
                <w:szCs w:val="24"/>
              </w:rPr>
              <w:t xml:space="preserve">; </w:t>
            </w:r>
            <w:r w:rsidRPr="00727DFA">
              <w:rPr>
                <w:rFonts w:eastAsia="DengXian"/>
                <w:szCs w:val="24"/>
              </w:rPr>
              <w:t xml:space="preserve">Oral: </w:t>
            </w:r>
          </w:p>
          <w:p w14:paraId="3796CF67" w14:textId="77777777" w:rsidR="007B485D" w:rsidRDefault="007B485D" w:rsidP="002D6DD7">
            <w:pPr>
              <w:jc w:val="both"/>
              <w:rPr>
                <w:rFonts w:eastAsia="DengXian"/>
                <w:szCs w:val="24"/>
              </w:rPr>
            </w:pPr>
            <w:r>
              <w:rPr>
                <w:rFonts w:eastAsia="DengXian"/>
                <w:b/>
                <w:bCs/>
                <w:szCs w:val="24"/>
              </w:rPr>
              <w:t>Child&gt; 13 years and adult</w:t>
            </w:r>
            <w:r w:rsidRPr="00727DFA">
              <w:rPr>
                <w:rFonts w:eastAsia="DengXian"/>
                <w:szCs w:val="24"/>
              </w:rPr>
              <w:t xml:space="preserve"> 750 mg twice daily for 21 days</w:t>
            </w:r>
          </w:p>
          <w:p w14:paraId="2F9F6435" w14:textId="77777777" w:rsidR="007B485D" w:rsidRDefault="007B485D" w:rsidP="002D6DD7">
            <w:pPr>
              <w:jc w:val="both"/>
              <w:rPr>
                <w:rFonts w:eastAsia="DengXian"/>
                <w:b/>
                <w:bCs/>
                <w:szCs w:val="24"/>
              </w:rPr>
            </w:pPr>
            <w:r>
              <w:rPr>
                <w:rFonts w:eastAsia="DengXian"/>
                <w:b/>
                <w:bCs/>
                <w:szCs w:val="24"/>
              </w:rPr>
              <w:t>Prophylaxis of</w:t>
            </w:r>
            <w:r w:rsidRPr="00727DFA">
              <w:rPr>
                <w:rFonts w:eastAsia="DengXian"/>
                <w:b/>
                <w:bCs/>
                <w:szCs w:val="24"/>
              </w:rPr>
              <w:t xml:space="preserve"> PCP in adults</w:t>
            </w:r>
            <w:r>
              <w:rPr>
                <w:rFonts w:eastAsia="DengXian"/>
                <w:b/>
                <w:bCs/>
                <w:szCs w:val="24"/>
              </w:rPr>
              <w:t xml:space="preserve">; oral: </w:t>
            </w:r>
          </w:p>
          <w:p w14:paraId="10D40B2A" w14:textId="77777777" w:rsidR="007B485D" w:rsidRDefault="007B485D" w:rsidP="002D6DD7">
            <w:pPr>
              <w:jc w:val="both"/>
              <w:rPr>
                <w:rFonts w:eastAsia="DengXian"/>
                <w:b/>
                <w:bCs/>
                <w:szCs w:val="24"/>
              </w:rPr>
            </w:pPr>
            <w:r>
              <w:rPr>
                <w:rFonts w:eastAsia="DengXian"/>
                <w:b/>
                <w:bCs/>
                <w:szCs w:val="24"/>
              </w:rPr>
              <w:t>Child&gt; 13 years and adult: 1500mg/day or in 2 divided doses</w:t>
            </w:r>
          </w:p>
          <w:p w14:paraId="31BD0FCB" w14:textId="77777777" w:rsidR="007B485D" w:rsidRPr="00727DFA" w:rsidRDefault="007B485D" w:rsidP="002D6DD7">
            <w:pPr>
              <w:jc w:val="both"/>
              <w:rPr>
                <w:rFonts w:eastAsia="DengXian"/>
                <w:b/>
                <w:szCs w:val="24"/>
              </w:rPr>
            </w:pPr>
            <w:r>
              <w:rPr>
                <w:rFonts w:eastAsia="DengXian"/>
                <w:b/>
                <w:bCs/>
                <w:szCs w:val="24"/>
              </w:rPr>
              <w:t xml:space="preserve">Note: for children &lt;13 years: not established </w:t>
            </w:r>
          </w:p>
        </w:tc>
      </w:tr>
      <w:tr w:rsidR="007B485D" w:rsidRPr="00727DFA" w14:paraId="38A0D91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194122" w14:textId="77777777" w:rsidR="007B485D" w:rsidRPr="00727DFA" w:rsidRDefault="007B485D" w:rsidP="002D6DD7">
            <w:pPr>
              <w:jc w:val="both"/>
              <w:rPr>
                <w:rFonts w:eastAsia="DengXian"/>
                <w:bCs/>
                <w:szCs w:val="24"/>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1E49125"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atovaquone (antimalarials)</w:t>
            </w:r>
            <w:r>
              <w:rPr>
                <w:rFonts w:eastAsia="DengXian"/>
                <w:szCs w:val="24"/>
              </w:rPr>
              <w:t>.</w:t>
            </w:r>
          </w:p>
        </w:tc>
      </w:tr>
      <w:tr w:rsidR="007B485D" w:rsidRPr="00727DFA" w14:paraId="67F244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B5E882" w14:textId="77777777" w:rsidR="007B485D" w:rsidRPr="00727DFA" w:rsidRDefault="007B485D" w:rsidP="002D6DD7">
            <w:pPr>
              <w:jc w:val="both"/>
              <w:rPr>
                <w:rFonts w:eastAsia="DengXian"/>
                <w:bCs/>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16A58BD6"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atovaquone (antimalarials)</w:t>
            </w:r>
            <w:r>
              <w:rPr>
                <w:rFonts w:eastAsia="DengXian"/>
                <w:szCs w:val="24"/>
              </w:rPr>
              <w:t>.</w:t>
            </w:r>
          </w:p>
        </w:tc>
      </w:tr>
      <w:tr w:rsidR="007B485D" w:rsidRPr="00727DFA" w14:paraId="0DD9E1B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3E495E" w14:textId="77777777" w:rsidR="007B485D" w:rsidRPr="00727DFA" w:rsidRDefault="007B485D" w:rsidP="002D6DD7">
            <w:pPr>
              <w:jc w:val="both"/>
              <w:rPr>
                <w:rFonts w:eastAsia="DengXian"/>
                <w:bCs/>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7491864B"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atovaquone (antimalarials)</w:t>
            </w:r>
            <w:r>
              <w:rPr>
                <w:rFonts w:eastAsia="DengXian"/>
                <w:szCs w:val="24"/>
              </w:rPr>
              <w:t>.</w:t>
            </w:r>
          </w:p>
        </w:tc>
      </w:tr>
      <w:tr w:rsidR="007B485D" w:rsidRPr="00727DFA" w14:paraId="10AF5C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B4BD55" w14:textId="77777777" w:rsidR="007B485D" w:rsidRPr="00727DFA" w:rsidRDefault="007B485D" w:rsidP="002D6DD7">
            <w:pPr>
              <w:jc w:val="both"/>
              <w:rPr>
                <w:rFonts w:eastAsia="DengXian"/>
                <w:bCs/>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2D06B41" w14:textId="77777777" w:rsidR="007B485D" w:rsidRPr="00727DFA" w:rsidRDefault="007B485D" w:rsidP="002D6DD7">
            <w:pPr>
              <w:jc w:val="both"/>
              <w:rPr>
                <w:rFonts w:eastAsia="DengXian"/>
                <w:szCs w:val="24"/>
              </w:rPr>
            </w:pPr>
            <w:r>
              <w:rPr>
                <w:rFonts w:eastAsia="DengXian"/>
                <w:szCs w:val="24"/>
              </w:rPr>
              <w:t>Refer to</w:t>
            </w:r>
            <w:r w:rsidRPr="00727DFA">
              <w:rPr>
                <w:rFonts w:eastAsia="DengXian"/>
                <w:szCs w:val="24"/>
              </w:rPr>
              <w:t xml:space="preserve"> atovaquone (antimalarials)</w:t>
            </w:r>
            <w:r>
              <w:rPr>
                <w:rFonts w:eastAsia="DengXian"/>
                <w:szCs w:val="24"/>
              </w:rPr>
              <w:t>.</w:t>
            </w:r>
          </w:p>
        </w:tc>
      </w:tr>
      <w:tr w:rsidR="007B485D" w:rsidRPr="00727DFA" w14:paraId="57769D9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77BED2" w14:textId="77777777" w:rsidR="007B485D" w:rsidRPr="00727DFA" w:rsidRDefault="007B485D" w:rsidP="002D6DD7">
            <w:pPr>
              <w:jc w:val="both"/>
              <w:rPr>
                <w:rFonts w:eastAsia="DengXian"/>
                <w:bCs/>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36E05701" w14:textId="77777777" w:rsidR="007B485D" w:rsidRPr="00727DFA" w:rsidRDefault="007B485D" w:rsidP="002D6DD7">
            <w:pPr>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p>
        </w:tc>
      </w:tr>
      <w:tr w:rsidR="007B485D" w:rsidRPr="00727DFA" w14:paraId="2B230934"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C88E76C" w14:textId="77777777" w:rsidR="007B485D" w:rsidRPr="00727DFA" w:rsidRDefault="007B485D" w:rsidP="002D6DD7">
            <w:pPr>
              <w:jc w:val="both"/>
              <w:rPr>
                <w:rFonts w:eastAsia="DengXian"/>
                <w:szCs w:val="24"/>
              </w:rPr>
            </w:pPr>
            <w:r w:rsidRPr="00727DFA">
              <w:rPr>
                <w:rFonts w:eastAsia="DengXian"/>
                <w:b/>
                <w:spacing w:val="-2"/>
                <w:szCs w:val="24"/>
              </w:rPr>
              <w:t>Clindamycin</w:t>
            </w:r>
          </w:p>
        </w:tc>
      </w:tr>
      <w:tr w:rsidR="007B485D" w:rsidRPr="00727DFA" w14:paraId="1C8A9B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24EA2D"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7538BBD4" w14:textId="77777777" w:rsidR="007B485D" w:rsidRPr="00727DFA" w:rsidRDefault="007B485D" w:rsidP="002D6DD7">
            <w:pPr>
              <w:jc w:val="both"/>
              <w:rPr>
                <w:rFonts w:eastAsia="DengXian"/>
                <w:szCs w:val="24"/>
              </w:rPr>
            </w:pPr>
            <w:r w:rsidRPr="00727DFA">
              <w:rPr>
                <w:rFonts w:eastAsia="DengXian"/>
                <w:szCs w:val="24"/>
              </w:rPr>
              <w:t>Lincosamide, antibacterial</w:t>
            </w:r>
          </w:p>
        </w:tc>
      </w:tr>
      <w:tr w:rsidR="007B485D" w:rsidRPr="00727DFA" w14:paraId="5C99D3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6AC58C" w14:textId="77777777" w:rsidR="007B485D" w:rsidRPr="00727DFA" w:rsidRDefault="007B485D" w:rsidP="002D6DD7">
            <w:pPr>
              <w:jc w:val="both"/>
              <w:rPr>
                <w:rFonts w:eastAsia="DengXian"/>
                <w:spacing w:val="-2"/>
                <w:szCs w:val="24"/>
              </w:rPr>
            </w:pPr>
            <w:r w:rsidRPr="00727DFA">
              <w:rPr>
                <w:rFonts w:eastAsia="DengXian"/>
                <w:spacing w:val="-2"/>
                <w:szCs w:val="24"/>
              </w:rPr>
              <w:t>Dosage forms</w:t>
            </w:r>
          </w:p>
        </w:tc>
        <w:tc>
          <w:tcPr>
            <w:tcW w:w="6745" w:type="dxa"/>
            <w:tcBorders>
              <w:top w:val="single" w:sz="4" w:space="0" w:color="auto"/>
              <w:left w:val="single" w:sz="4" w:space="0" w:color="auto"/>
              <w:bottom w:val="single" w:sz="4" w:space="0" w:color="auto"/>
              <w:right w:val="single" w:sz="4" w:space="0" w:color="auto"/>
            </w:tcBorders>
            <w:hideMark/>
          </w:tcPr>
          <w:p w14:paraId="7729497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Capsule: 75mg, 150mg </w:t>
            </w:r>
          </w:p>
          <w:p w14:paraId="05F3A67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Injection: 150mg/ml in ampoule </w:t>
            </w:r>
          </w:p>
          <w:p w14:paraId="6F459CB6" w14:textId="77777777" w:rsidR="007B485D" w:rsidRPr="00727DFA" w:rsidRDefault="007B485D" w:rsidP="002D6DD7">
            <w:pPr>
              <w:jc w:val="both"/>
              <w:rPr>
                <w:rFonts w:eastAsia="DengXian"/>
                <w:szCs w:val="24"/>
              </w:rPr>
            </w:pPr>
            <w:r w:rsidRPr="00727DFA">
              <w:rPr>
                <w:rFonts w:eastAsia="DengXian"/>
                <w:szCs w:val="24"/>
              </w:rPr>
              <w:t>Oral Solution: 15mg/ml</w:t>
            </w:r>
          </w:p>
        </w:tc>
      </w:tr>
      <w:tr w:rsidR="007B485D" w:rsidRPr="00727DFA" w14:paraId="309043D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549A9E" w14:textId="77777777" w:rsidR="007B485D" w:rsidRPr="00727DFA" w:rsidRDefault="007B485D" w:rsidP="002D6DD7">
            <w:pPr>
              <w:jc w:val="both"/>
              <w:rPr>
                <w:rFonts w:eastAsia="DengXian"/>
                <w:spacing w:val="-2"/>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CBC583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Treatment for toxoplasmosis, pneumocystosis</w:t>
            </w:r>
            <w:r w:rsidRPr="00727DFA">
              <w:rPr>
                <w:rFonts w:eastAsia="Times New Roman"/>
                <w:spacing w:val="-2"/>
                <w:szCs w:val="24"/>
              </w:rPr>
              <w:t xml:space="preserve"> </w:t>
            </w:r>
          </w:p>
        </w:tc>
      </w:tr>
      <w:tr w:rsidR="007B485D" w:rsidRPr="00727DFA" w14:paraId="00DEC2F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885CFD"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6F64185E" w14:textId="77777777" w:rsidR="007B485D" w:rsidRPr="00727DFA" w:rsidRDefault="007B485D" w:rsidP="002D6DD7">
            <w:pPr>
              <w:widowControl w:val="0"/>
              <w:autoSpaceDE w:val="0"/>
              <w:autoSpaceDN w:val="0"/>
              <w:jc w:val="both"/>
              <w:rPr>
                <w:rFonts w:eastAsia="Times New Roman"/>
                <w:spacing w:val="-4"/>
                <w:szCs w:val="24"/>
              </w:rPr>
            </w:pPr>
            <w:r w:rsidRPr="00727DFA">
              <w:rPr>
                <w:rFonts w:eastAsia="Times New Roman"/>
                <w:b/>
                <w:spacing w:val="-4"/>
                <w:szCs w:val="24"/>
              </w:rPr>
              <w:t>Patients</w:t>
            </w:r>
            <w:r w:rsidRPr="00727DFA">
              <w:rPr>
                <w:rFonts w:eastAsia="Times New Roman"/>
                <w:b/>
                <w:spacing w:val="-7"/>
                <w:szCs w:val="24"/>
              </w:rPr>
              <w:t xml:space="preserve"> </w:t>
            </w:r>
            <w:r w:rsidRPr="00727DFA">
              <w:rPr>
                <w:rFonts w:eastAsia="Times New Roman"/>
                <w:b/>
                <w:spacing w:val="-4"/>
                <w:szCs w:val="24"/>
              </w:rPr>
              <w:t>with</w:t>
            </w:r>
            <w:r w:rsidRPr="00727DFA">
              <w:rPr>
                <w:rFonts w:eastAsia="Times New Roman"/>
                <w:b/>
                <w:spacing w:val="-7"/>
                <w:szCs w:val="24"/>
              </w:rPr>
              <w:t xml:space="preserve"> </w:t>
            </w:r>
            <w:r w:rsidRPr="00727DFA">
              <w:rPr>
                <w:rFonts w:eastAsia="Times New Roman"/>
                <w:b/>
                <w:spacing w:val="-4"/>
                <w:szCs w:val="24"/>
              </w:rPr>
              <w:t>AIDS and</w:t>
            </w:r>
            <w:r w:rsidRPr="00727DFA">
              <w:rPr>
                <w:rFonts w:eastAsia="Times New Roman"/>
                <w:b/>
                <w:spacing w:val="-5"/>
                <w:szCs w:val="24"/>
              </w:rPr>
              <w:t xml:space="preserve"> </w:t>
            </w:r>
            <w:r w:rsidRPr="00727DFA">
              <w:rPr>
                <w:rFonts w:eastAsia="Times New Roman"/>
                <w:b/>
                <w:spacing w:val="-4"/>
                <w:szCs w:val="24"/>
              </w:rPr>
              <w:t>toxoplasmic</w:t>
            </w:r>
            <w:r w:rsidRPr="00727DFA">
              <w:rPr>
                <w:rFonts w:eastAsia="Times New Roman"/>
                <w:b/>
                <w:spacing w:val="-7"/>
                <w:szCs w:val="24"/>
              </w:rPr>
              <w:t xml:space="preserve"> </w:t>
            </w:r>
            <w:r w:rsidRPr="00727DFA">
              <w:rPr>
                <w:rFonts w:eastAsia="Times New Roman"/>
                <w:b/>
                <w:spacing w:val="-4"/>
                <w:szCs w:val="24"/>
              </w:rPr>
              <w:t xml:space="preserve">encephalitis; </w:t>
            </w:r>
            <w:r w:rsidRPr="00727DFA">
              <w:rPr>
                <w:rFonts w:eastAsia="Times New Roman"/>
                <w:bCs/>
                <w:spacing w:val="-4"/>
                <w:szCs w:val="24"/>
              </w:rPr>
              <w:t>Oral:</w:t>
            </w:r>
            <w:r w:rsidRPr="00727DFA">
              <w:rPr>
                <w:rFonts w:eastAsia="Times New Roman"/>
                <w:spacing w:val="-4"/>
                <w:szCs w:val="24"/>
              </w:rPr>
              <w:t xml:space="preserve"> </w:t>
            </w:r>
          </w:p>
          <w:p w14:paraId="6E07D2C5" w14:textId="77777777" w:rsidR="007B485D" w:rsidRPr="00727DFA" w:rsidRDefault="007B485D" w:rsidP="002D6DD7">
            <w:pPr>
              <w:widowControl w:val="0"/>
              <w:autoSpaceDE w:val="0"/>
              <w:autoSpaceDN w:val="0"/>
              <w:jc w:val="both"/>
              <w:rPr>
                <w:rFonts w:eastAsia="Times New Roman"/>
                <w:b/>
                <w:spacing w:val="-4"/>
                <w:szCs w:val="24"/>
              </w:rPr>
            </w:pPr>
            <w:r w:rsidRPr="00727DFA">
              <w:rPr>
                <w:rFonts w:eastAsia="Times New Roman"/>
                <w:b/>
                <w:spacing w:val="-4"/>
                <w:szCs w:val="24"/>
              </w:rPr>
              <w:t>Adult:</w:t>
            </w:r>
            <w:r w:rsidRPr="00727DFA">
              <w:rPr>
                <w:rFonts w:eastAsia="Times New Roman"/>
                <w:szCs w:val="24"/>
              </w:rPr>
              <w:t xml:space="preserve"> 600mg every 6 hours for at least 3 weeks, maintenance, 1200mg daily</w:t>
            </w:r>
          </w:p>
          <w:p w14:paraId="3D2DBCE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4"/>
                <w:szCs w:val="24"/>
              </w:rPr>
              <w:t xml:space="preserve">Mild to moderate PCP, in combination with dapsone or primaquine; </w:t>
            </w:r>
            <w:r w:rsidRPr="00727DFA">
              <w:rPr>
                <w:rFonts w:eastAsia="Times New Roman"/>
                <w:bCs/>
                <w:spacing w:val="-4"/>
                <w:szCs w:val="24"/>
              </w:rPr>
              <w:t>Oral:</w:t>
            </w:r>
            <w:r w:rsidRPr="00727DFA">
              <w:rPr>
                <w:rFonts w:eastAsia="Times New Roman"/>
                <w:szCs w:val="24"/>
              </w:rPr>
              <w:t xml:space="preserve"> </w:t>
            </w:r>
          </w:p>
          <w:p w14:paraId="1EB42AE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4"/>
                <w:szCs w:val="24"/>
              </w:rPr>
              <w:t>Adult:</w:t>
            </w:r>
            <w:r w:rsidRPr="00727DFA">
              <w:rPr>
                <w:rFonts w:eastAsia="Times New Roman"/>
                <w:szCs w:val="24"/>
              </w:rPr>
              <w:t xml:space="preserve"> 600 mg every 6 hours </w:t>
            </w:r>
          </w:p>
        </w:tc>
      </w:tr>
      <w:tr w:rsidR="007B485D" w:rsidRPr="00727DFA" w14:paraId="243700D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EAA93D" w14:textId="77777777" w:rsidR="007B485D" w:rsidRPr="00727DFA" w:rsidRDefault="007B485D" w:rsidP="002D6DD7">
            <w:pPr>
              <w:jc w:val="both"/>
              <w:rPr>
                <w:rFonts w:eastAsia="DengXian"/>
                <w:szCs w:val="24"/>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16B80BF" w14:textId="77777777" w:rsidR="007B485D" w:rsidRPr="00727DFA" w:rsidRDefault="007B485D" w:rsidP="002D6DD7">
            <w:pPr>
              <w:widowControl w:val="0"/>
              <w:autoSpaceDE w:val="0"/>
              <w:autoSpaceDN w:val="0"/>
              <w:jc w:val="both"/>
              <w:rPr>
                <w:rFonts w:eastAsia="Times New Roman"/>
                <w:b/>
                <w:spacing w:val="-4"/>
                <w:szCs w:val="24"/>
              </w:rPr>
            </w:pPr>
            <w:r>
              <w:rPr>
                <w:rFonts w:eastAsia="Times New Roman"/>
                <w:szCs w:val="24"/>
              </w:rPr>
              <w:t>Refer to</w:t>
            </w:r>
            <w:r w:rsidRPr="00727DFA">
              <w:rPr>
                <w:rFonts w:eastAsia="Times New Roman"/>
                <w:szCs w:val="24"/>
              </w:rPr>
              <w:t xml:space="preserve"> clindamycin (antibacterials)</w:t>
            </w:r>
            <w:r>
              <w:rPr>
                <w:rFonts w:eastAsia="Times New Roman"/>
                <w:szCs w:val="24"/>
              </w:rPr>
              <w:t>.</w:t>
            </w:r>
          </w:p>
        </w:tc>
      </w:tr>
      <w:tr w:rsidR="007B485D" w:rsidRPr="00727DFA" w14:paraId="712B5E7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292A8C"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5F523E42"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clindamycin (antibacterials)</w:t>
            </w:r>
            <w:r>
              <w:rPr>
                <w:rFonts w:eastAsia="Times New Roman"/>
                <w:szCs w:val="24"/>
              </w:rPr>
              <w:t>.</w:t>
            </w:r>
          </w:p>
        </w:tc>
      </w:tr>
      <w:tr w:rsidR="007B485D" w:rsidRPr="00727DFA" w14:paraId="20691E9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D4CC8F"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29B85A33"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clindamycin (antibacterials)</w:t>
            </w:r>
            <w:r>
              <w:rPr>
                <w:rFonts w:eastAsia="Times New Roman"/>
                <w:szCs w:val="24"/>
              </w:rPr>
              <w:t>.</w:t>
            </w:r>
          </w:p>
        </w:tc>
      </w:tr>
      <w:tr w:rsidR="007B485D" w:rsidRPr="00727DFA" w14:paraId="5DD85D6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C81678"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612E497"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clindamycin (antibacterials)</w:t>
            </w:r>
            <w:r>
              <w:rPr>
                <w:rFonts w:eastAsia="Times New Roman"/>
                <w:szCs w:val="24"/>
              </w:rPr>
              <w:t>.</w:t>
            </w:r>
          </w:p>
        </w:tc>
      </w:tr>
      <w:tr w:rsidR="007B485D" w:rsidRPr="00727DFA" w14:paraId="64053C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833AFD" w14:textId="77777777" w:rsidR="007B485D" w:rsidRPr="00727DFA" w:rsidRDefault="007B485D" w:rsidP="002D6DD7">
            <w:pPr>
              <w:jc w:val="both"/>
              <w:rPr>
                <w:rFonts w:eastAsia="DengXian"/>
                <w:spacing w:val="-2"/>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557AD333"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Store below 30</w:t>
            </w:r>
            <w:r w:rsidRPr="00873AF2">
              <w:rPr>
                <w:rFonts w:eastAsia="Times New Roman"/>
                <w:szCs w:val="24"/>
                <w:vertAlign w:val="superscript"/>
              </w:rPr>
              <w:t>o</w:t>
            </w:r>
            <w:r w:rsidRPr="006B6C48">
              <w:rPr>
                <w:rFonts w:eastAsia="Times New Roman"/>
                <w:szCs w:val="24"/>
              </w:rPr>
              <w:t>C</w:t>
            </w:r>
            <w:r>
              <w:rPr>
                <w:rFonts w:eastAsia="Times New Roman"/>
                <w:szCs w:val="24"/>
              </w:rPr>
              <w:t>.</w:t>
            </w:r>
          </w:p>
        </w:tc>
      </w:tr>
      <w:tr w:rsidR="007B485D" w:rsidRPr="00727DFA" w14:paraId="35AEC17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7FB105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2"/>
                <w:szCs w:val="24"/>
              </w:rPr>
              <w:lastRenderedPageBreak/>
              <w:t>Pentamidine</w:t>
            </w:r>
          </w:p>
        </w:tc>
      </w:tr>
      <w:tr w:rsidR="007B485D" w:rsidRPr="00727DFA" w14:paraId="067C62B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4075E8"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1FF7F4F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Antiprotozoal</w:t>
            </w:r>
          </w:p>
        </w:tc>
      </w:tr>
      <w:tr w:rsidR="007B485D" w:rsidRPr="00727DFA" w14:paraId="56118B5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E4FEC5"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280EAD0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Powder for injection: 200 mg, 300 mg</w:t>
            </w:r>
          </w:p>
        </w:tc>
      </w:tr>
      <w:tr w:rsidR="007B485D" w:rsidRPr="00727DFA" w14:paraId="0138508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A1B443F" w14:textId="77777777" w:rsidR="007B485D" w:rsidRPr="00727DFA"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0316153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Treatment of early leishmaniasis, African Trypanosomiasis and pneumocystosis</w:t>
            </w:r>
          </w:p>
        </w:tc>
      </w:tr>
      <w:tr w:rsidR="007B485D" w:rsidRPr="00727DFA" w14:paraId="6DB9C18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75D5FC"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0B9F02F4"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i/>
                <w:iCs/>
                <w:szCs w:val="24"/>
              </w:rPr>
              <w:t>Pneumocystis</w:t>
            </w:r>
            <w:r w:rsidRPr="00727DFA">
              <w:rPr>
                <w:rFonts w:eastAsia="Times New Roman"/>
                <w:b/>
                <w:bCs/>
                <w:szCs w:val="24"/>
              </w:rPr>
              <w:t xml:space="preserve"> </w:t>
            </w:r>
            <w:r w:rsidRPr="00727DFA">
              <w:rPr>
                <w:rFonts w:eastAsia="Times New Roman"/>
                <w:b/>
                <w:bCs/>
                <w:i/>
                <w:iCs/>
                <w:szCs w:val="24"/>
              </w:rPr>
              <w:t>jirovecii</w:t>
            </w:r>
            <w:r w:rsidRPr="00727DFA">
              <w:rPr>
                <w:rFonts w:eastAsia="Times New Roman"/>
                <w:b/>
                <w:bCs/>
                <w:szCs w:val="24"/>
              </w:rPr>
              <w:t xml:space="preserve"> Pneumonia (PCP)</w:t>
            </w:r>
            <w:r>
              <w:rPr>
                <w:rFonts w:eastAsia="Times New Roman"/>
                <w:b/>
                <w:bCs/>
                <w:szCs w:val="24"/>
              </w:rPr>
              <w:t xml:space="preserve"> treatment</w:t>
            </w:r>
            <w:r w:rsidRPr="00727DFA">
              <w:rPr>
                <w:rFonts w:eastAsia="Times New Roman"/>
                <w:b/>
                <w:bCs/>
                <w:szCs w:val="24"/>
              </w:rPr>
              <w:t xml:space="preserve">; IV infusion: </w:t>
            </w:r>
          </w:p>
          <w:p w14:paraId="6E410C46" w14:textId="77777777" w:rsidR="007B485D" w:rsidRPr="00727DFA" w:rsidRDefault="007B485D" w:rsidP="002D6DD7">
            <w:pPr>
              <w:widowControl w:val="0"/>
              <w:autoSpaceDE w:val="0"/>
              <w:autoSpaceDN w:val="0"/>
              <w:jc w:val="both"/>
              <w:rPr>
                <w:rFonts w:eastAsia="Times New Roman"/>
                <w:szCs w:val="24"/>
              </w:rPr>
            </w:pPr>
            <w:r>
              <w:rPr>
                <w:rFonts w:eastAsia="Times New Roman"/>
                <w:b/>
                <w:bCs/>
                <w:szCs w:val="24"/>
              </w:rPr>
              <w:t xml:space="preserve">Child&gt;4 months and </w:t>
            </w:r>
            <w:r w:rsidRPr="00727DFA">
              <w:rPr>
                <w:rFonts w:eastAsia="Times New Roman"/>
                <w:b/>
                <w:bCs/>
                <w:szCs w:val="24"/>
              </w:rPr>
              <w:t>Adult:</w:t>
            </w:r>
            <w:r w:rsidRPr="00727DFA">
              <w:rPr>
                <w:rFonts w:eastAsia="Times New Roman"/>
                <w:szCs w:val="24"/>
              </w:rPr>
              <w:t xml:space="preserve"> 4 mg/kg once daily for at least 14 days</w:t>
            </w:r>
          </w:p>
          <w:p w14:paraId="5080DE21" w14:textId="77777777" w:rsidR="007B485D" w:rsidRDefault="007B485D" w:rsidP="002D6DD7">
            <w:pPr>
              <w:widowControl w:val="0"/>
              <w:autoSpaceDE w:val="0"/>
              <w:autoSpaceDN w:val="0"/>
              <w:jc w:val="both"/>
              <w:rPr>
                <w:rFonts w:eastAsia="Times New Roman"/>
                <w:szCs w:val="24"/>
              </w:rPr>
            </w:pPr>
          </w:p>
          <w:p w14:paraId="7AD665D6" w14:textId="77777777" w:rsidR="007B485D" w:rsidRDefault="007B485D" w:rsidP="002D6DD7">
            <w:pPr>
              <w:widowControl w:val="0"/>
              <w:autoSpaceDE w:val="0"/>
              <w:autoSpaceDN w:val="0"/>
              <w:jc w:val="both"/>
              <w:rPr>
                <w:rFonts w:eastAsia="Times New Roman"/>
                <w:b/>
                <w:bCs/>
                <w:szCs w:val="24"/>
              </w:rPr>
            </w:pPr>
            <w:r w:rsidRPr="00727DFA">
              <w:rPr>
                <w:rFonts w:eastAsia="Times New Roman"/>
                <w:b/>
                <w:bCs/>
                <w:i/>
                <w:iCs/>
                <w:szCs w:val="24"/>
              </w:rPr>
              <w:t>Pneumocystis</w:t>
            </w:r>
            <w:r w:rsidRPr="00727DFA">
              <w:rPr>
                <w:rFonts w:eastAsia="Times New Roman"/>
                <w:b/>
                <w:bCs/>
                <w:szCs w:val="24"/>
              </w:rPr>
              <w:t xml:space="preserve"> </w:t>
            </w:r>
            <w:r w:rsidRPr="00727DFA">
              <w:rPr>
                <w:rFonts w:eastAsia="Times New Roman"/>
                <w:b/>
                <w:bCs/>
                <w:i/>
                <w:iCs/>
                <w:szCs w:val="24"/>
              </w:rPr>
              <w:t>jirovecii</w:t>
            </w:r>
            <w:r w:rsidRPr="00727DFA">
              <w:rPr>
                <w:rFonts w:eastAsia="Times New Roman"/>
                <w:b/>
                <w:bCs/>
                <w:szCs w:val="24"/>
              </w:rPr>
              <w:t xml:space="preserve"> Pneumonia (PCP)</w:t>
            </w:r>
            <w:r>
              <w:rPr>
                <w:rFonts w:eastAsia="Times New Roman"/>
                <w:b/>
                <w:bCs/>
                <w:szCs w:val="24"/>
              </w:rPr>
              <w:t xml:space="preserve"> prophylaxis</w:t>
            </w:r>
            <w:r w:rsidRPr="00727DFA">
              <w:rPr>
                <w:rFonts w:eastAsia="Times New Roman"/>
                <w:b/>
                <w:bCs/>
                <w:szCs w:val="24"/>
              </w:rPr>
              <w:t>;</w:t>
            </w:r>
          </w:p>
          <w:p w14:paraId="0E0DB862" w14:textId="77777777" w:rsidR="007B485D" w:rsidRDefault="007B485D" w:rsidP="002D6DD7">
            <w:pPr>
              <w:widowControl w:val="0"/>
              <w:autoSpaceDE w:val="0"/>
              <w:autoSpaceDN w:val="0"/>
              <w:jc w:val="both"/>
              <w:rPr>
                <w:rFonts w:eastAsia="Times New Roman"/>
                <w:szCs w:val="24"/>
              </w:rPr>
            </w:pPr>
            <w:r>
              <w:rPr>
                <w:rFonts w:eastAsia="Times New Roman"/>
                <w:b/>
                <w:bCs/>
                <w:szCs w:val="24"/>
              </w:rPr>
              <w:t xml:space="preserve">Child&gt;4 months and </w:t>
            </w:r>
            <w:r w:rsidRPr="00727DFA">
              <w:rPr>
                <w:rFonts w:eastAsia="Times New Roman"/>
                <w:b/>
                <w:bCs/>
                <w:szCs w:val="24"/>
              </w:rPr>
              <w:t>Adult:</w:t>
            </w:r>
            <w:r w:rsidRPr="00727DFA">
              <w:rPr>
                <w:rFonts w:eastAsia="Times New Roman"/>
                <w:szCs w:val="24"/>
              </w:rPr>
              <w:t xml:space="preserve"> 4 mg/kg </w:t>
            </w:r>
            <w:r>
              <w:rPr>
                <w:rFonts w:eastAsia="Times New Roman"/>
                <w:szCs w:val="24"/>
              </w:rPr>
              <w:t>every 2-3 weeks</w:t>
            </w:r>
          </w:p>
          <w:p w14:paraId="3F6741F9" w14:textId="77777777" w:rsidR="007B485D" w:rsidRDefault="007B485D" w:rsidP="002D6DD7">
            <w:pPr>
              <w:widowControl w:val="0"/>
              <w:autoSpaceDE w:val="0"/>
              <w:autoSpaceDN w:val="0"/>
              <w:jc w:val="both"/>
              <w:rPr>
                <w:rFonts w:eastAsia="Times New Roman"/>
                <w:szCs w:val="24"/>
              </w:rPr>
            </w:pPr>
            <w:r w:rsidRPr="00873AF2">
              <w:rPr>
                <w:rFonts w:eastAsia="Times New Roman"/>
                <w:b/>
                <w:bCs/>
                <w:szCs w:val="24"/>
              </w:rPr>
              <w:t>Note</w:t>
            </w:r>
            <w:r>
              <w:rPr>
                <w:rFonts w:eastAsia="Times New Roman"/>
                <w:szCs w:val="24"/>
              </w:rPr>
              <w:t xml:space="preserve">: child&lt;4 months: safety and efficacy not established </w:t>
            </w:r>
          </w:p>
          <w:p w14:paraId="775AB409" w14:textId="77777777" w:rsidR="007B485D" w:rsidRPr="00727DFA" w:rsidRDefault="007B485D" w:rsidP="002D6DD7">
            <w:pPr>
              <w:widowControl w:val="0"/>
              <w:autoSpaceDE w:val="0"/>
              <w:autoSpaceDN w:val="0"/>
              <w:jc w:val="both"/>
              <w:rPr>
                <w:rFonts w:eastAsia="Times New Roman"/>
                <w:szCs w:val="24"/>
              </w:rPr>
            </w:pPr>
          </w:p>
        </w:tc>
      </w:tr>
      <w:tr w:rsidR="007B485D" w:rsidRPr="00727DFA" w14:paraId="0DF1AB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41D5B9" w14:textId="77777777" w:rsidR="007B485D" w:rsidRPr="00727DFA" w:rsidRDefault="007B485D" w:rsidP="002D6DD7">
            <w:pPr>
              <w:jc w:val="both"/>
              <w:rPr>
                <w:rFonts w:eastAsia="DengXian"/>
                <w:szCs w:val="24"/>
                <w:highlight w:val="yellow"/>
              </w:rPr>
            </w:pPr>
            <w:r w:rsidRPr="00727DFA">
              <w:rPr>
                <w:rFonts w:eastAsia="DengXi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AB0DBEC" w14:textId="77777777" w:rsidR="007B485D" w:rsidRPr="00727DFA" w:rsidRDefault="007B485D" w:rsidP="002D6DD7">
            <w:pPr>
              <w:widowControl w:val="0"/>
              <w:autoSpaceDE w:val="0"/>
              <w:autoSpaceDN w:val="0"/>
              <w:jc w:val="both"/>
              <w:rPr>
                <w:rFonts w:eastAsia="Times New Roman"/>
                <w:b/>
                <w:bCs/>
                <w:szCs w:val="24"/>
              </w:rPr>
            </w:pPr>
            <w:r>
              <w:rPr>
                <w:rFonts w:eastAsia="Times New Roman"/>
                <w:szCs w:val="24"/>
              </w:rPr>
              <w:t>Refer to pentamidine (trypanocides).</w:t>
            </w:r>
          </w:p>
        </w:tc>
      </w:tr>
      <w:tr w:rsidR="007B485D" w:rsidRPr="00727DFA" w14:paraId="6E2D7B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53D581"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2A327E8C"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 pentamidine (trypanocides).</w:t>
            </w:r>
          </w:p>
        </w:tc>
      </w:tr>
      <w:tr w:rsidR="007B485D" w:rsidRPr="00727DFA" w14:paraId="2E0C652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EE8C3D"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1786EBAF"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 pentamidine (trypanocides).</w:t>
            </w:r>
          </w:p>
        </w:tc>
      </w:tr>
      <w:tr w:rsidR="007B485D" w:rsidRPr="00727DFA" w14:paraId="7368D3C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915512"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5E796D74"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 pentamidine (trypanocides).</w:t>
            </w:r>
          </w:p>
        </w:tc>
      </w:tr>
      <w:tr w:rsidR="007B485D" w:rsidRPr="00727DFA" w14:paraId="17BF390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79174ED" w14:textId="77777777" w:rsidR="007B485D" w:rsidRPr="00727DFA" w:rsidRDefault="007B485D" w:rsidP="002D6DD7">
            <w:pPr>
              <w:jc w:val="both"/>
              <w:rPr>
                <w:rFonts w:eastAsia="DengXian"/>
                <w:spacing w:val="-2"/>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423F76D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30°C</w:t>
            </w:r>
            <w:r>
              <w:rPr>
                <w:rFonts w:eastAsia="Times New Roman"/>
                <w:szCs w:val="24"/>
              </w:rPr>
              <w:t>.</w:t>
            </w:r>
            <w:r w:rsidRPr="00727DFA">
              <w:rPr>
                <w:rFonts w:eastAsia="Times New Roman"/>
                <w:szCs w:val="24"/>
              </w:rPr>
              <w:t xml:space="preserve"> Protect from light.</w:t>
            </w:r>
          </w:p>
        </w:tc>
      </w:tr>
      <w:tr w:rsidR="007B485D" w:rsidRPr="00727DFA" w14:paraId="2F9FE748"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1DFA8A7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2"/>
                <w:szCs w:val="24"/>
              </w:rPr>
              <w:t>Pyrimethamine</w:t>
            </w:r>
          </w:p>
        </w:tc>
      </w:tr>
      <w:tr w:rsidR="007B485D" w:rsidRPr="00727DFA" w14:paraId="574AA1D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787107"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3B94D20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Benzylpyrimidine anti-protozoal</w:t>
            </w:r>
          </w:p>
        </w:tc>
      </w:tr>
      <w:tr w:rsidR="007B485D" w:rsidRPr="00727DFA" w14:paraId="7A8510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2EED79"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5459224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Tablet:</w:t>
            </w:r>
            <w:r w:rsidRPr="00727DFA">
              <w:rPr>
                <w:rFonts w:eastAsia="Times New Roman"/>
                <w:spacing w:val="-2"/>
                <w:szCs w:val="24"/>
              </w:rPr>
              <w:t xml:space="preserve"> </w:t>
            </w:r>
            <w:r w:rsidRPr="00727DFA">
              <w:rPr>
                <w:rFonts w:eastAsia="Times New Roman"/>
                <w:spacing w:val="-4"/>
                <w:szCs w:val="24"/>
              </w:rPr>
              <w:t>25mg</w:t>
            </w:r>
          </w:p>
        </w:tc>
      </w:tr>
      <w:tr w:rsidR="007B485D" w:rsidRPr="00727DFA" w14:paraId="1D06AB8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D6F15D" w14:textId="77777777" w:rsidR="007B485D" w:rsidRPr="00727DFA"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19F6682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Treatment of toxoplasmosis in</w:t>
            </w:r>
            <w:r w:rsidRPr="00727DFA">
              <w:rPr>
                <w:rFonts w:eastAsia="Times New Roman"/>
                <w:spacing w:val="-6"/>
                <w:szCs w:val="24"/>
              </w:rPr>
              <w:t xml:space="preserve"> </w:t>
            </w:r>
            <w:r w:rsidRPr="00727DFA">
              <w:rPr>
                <w:rFonts w:eastAsia="Times New Roman"/>
                <w:szCs w:val="24"/>
              </w:rPr>
              <w:t>combination</w:t>
            </w:r>
            <w:r w:rsidRPr="00727DFA">
              <w:rPr>
                <w:rFonts w:eastAsia="Times New Roman"/>
                <w:spacing w:val="-5"/>
                <w:szCs w:val="24"/>
              </w:rPr>
              <w:t xml:space="preserve"> </w:t>
            </w:r>
            <w:r w:rsidRPr="00727DFA">
              <w:rPr>
                <w:rFonts w:eastAsia="Times New Roman"/>
                <w:szCs w:val="24"/>
              </w:rPr>
              <w:t>with</w:t>
            </w:r>
            <w:r w:rsidRPr="00727DFA">
              <w:rPr>
                <w:rFonts w:eastAsia="Times New Roman"/>
                <w:spacing w:val="-6"/>
                <w:szCs w:val="24"/>
              </w:rPr>
              <w:t xml:space="preserve"> </w:t>
            </w:r>
            <w:r w:rsidRPr="00727DFA">
              <w:rPr>
                <w:rFonts w:eastAsia="Times New Roman"/>
                <w:szCs w:val="24"/>
              </w:rPr>
              <w:t xml:space="preserve">sulfadiazine and folinic acid, prevention of congenital </w:t>
            </w:r>
            <w:r w:rsidRPr="00727DFA">
              <w:rPr>
                <w:rFonts w:eastAsia="Candara-Italic"/>
                <w:iCs/>
                <w:szCs w:val="24"/>
              </w:rPr>
              <w:t>transmission of</w:t>
            </w:r>
            <w:r w:rsidRPr="00727DFA">
              <w:rPr>
                <w:rFonts w:eastAsia="Candara-Italic"/>
                <w:i/>
                <w:iCs/>
                <w:szCs w:val="24"/>
              </w:rPr>
              <w:t xml:space="preserve"> </w:t>
            </w:r>
            <w:r w:rsidRPr="00727DFA">
              <w:rPr>
                <w:rFonts w:eastAsia="Times New Roman"/>
                <w:szCs w:val="24"/>
              </w:rPr>
              <w:t>toxoplasmosis, primary prophylaxis of toxoplasmosis in combination with dapsone and folinic acid, secondary prophylaxis of toxoplasmosis and PCP in combination with sulfasalazine and folinic acid.</w:t>
            </w:r>
          </w:p>
        </w:tc>
      </w:tr>
      <w:tr w:rsidR="007B485D" w:rsidRPr="00727DFA" w14:paraId="789B071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EF7AEB"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354B3C2C" w14:textId="77777777" w:rsidR="007B485D" w:rsidRPr="00727DFA" w:rsidRDefault="007B485D" w:rsidP="002D6DD7">
            <w:pPr>
              <w:widowControl w:val="0"/>
              <w:autoSpaceDE w:val="0"/>
              <w:autoSpaceDN w:val="0"/>
              <w:jc w:val="both"/>
              <w:rPr>
                <w:rFonts w:eastAsia="Calibri"/>
                <w:szCs w:val="24"/>
              </w:rPr>
            </w:pPr>
            <w:r w:rsidRPr="00727DFA">
              <w:rPr>
                <w:rFonts w:eastAsia="Candara-Italic"/>
                <w:b/>
                <w:iCs/>
                <w:szCs w:val="24"/>
              </w:rPr>
              <w:t>Prevention of congenital transmission of</w:t>
            </w:r>
            <w:r w:rsidRPr="00727DFA">
              <w:rPr>
                <w:rFonts w:eastAsia="Candara-Italic"/>
                <w:i/>
                <w:iCs/>
                <w:szCs w:val="24"/>
              </w:rPr>
              <w:t xml:space="preserve"> </w:t>
            </w:r>
            <w:r w:rsidRPr="00727DFA">
              <w:rPr>
                <w:rFonts w:eastAsia="Times New Roman"/>
                <w:b/>
                <w:szCs w:val="24"/>
              </w:rPr>
              <w:t xml:space="preserve">toxoplasmosis; </w:t>
            </w:r>
            <w:r w:rsidRPr="00727DFA">
              <w:rPr>
                <w:rFonts w:eastAsia="Times New Roman"/>
                <w:bCs/>
                <w:szCs w:val="24"/>
              </w:rPr>
              <w:t>Oral:</w:t>
            </w:r>
          </w:p>
          <w:p w14:paraId="225043AC" w14:textId="77777777" w:rsidR="007B485D" w:rsidRPr="00727DFA" w:rsidRDefault="007B485D" w:rsidP="002D6DD7">
            <w:pPr>
              <w:widowControl w:val="0"/>
              <w:autoSpaceDE w:val="0"/>
              <w:autoSpaceDN w:val="0"/>
              <w:jc w:val="both"/>
              <w:rPr>
                <w:rFonts w:eastAsia="Calibri"/>
                <w:szCs w:val="24"/>
              </w:rPr>
            </w:pPr>
            <w:r w:rsidRPr="00727DFA">
              <w:rPr>
                <w:rFonts w:eastAsia="Times New Roman"/>
                <w:b/>
                <w:szCs w:val="24"/>
              </w:rPr>
              <w:t>Adult:</w:t>
            </w:r>
            <w:r w:rsidRPr="00727DFA">
              <w:rPr>
                <w:rFonts w:eastAsia="Times New Roman"/>
                <w:szCs w:val="24"/>
              </w:rPr>
              <w:t xml:space="preserve"> 25mg-50mg daily </w:t>
            </w:r>
          </w:p>
          <w:p w14:paraId="7C40CF3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lastRenderedPageBreak/>
              <w:t xml:space="preserve">Toxoplasmosis in immunodeficiency; </w:t>
            </w:r>
            <w:r w:rsidRPr="00727DFA">
              <w:rPr>
                <w:rFonts w:eastAsia="Times New Roman"/>
                <w:bCs/>
                <w:szCs w:val="24"/>
              </w:rPr>
              <w:t>Oral:</w:t>
            </w:r>
          </w:p>
          <w:p w14:paraId="5D5B220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zCs w:val="24"/>
              </w:rPr>
              <w:t>Adult:</w:t>
            </w:r>
            <w:r w:rsidRPr="00727DFA">
              <w:rPr>
                <w:rFonts w:eastAsia="Times New Roman"/>
                <w:szCs w:val="24"/>
              </w:rPr>
              <w:t xml:space="preserve"> 200mg in divided doses on first day, then 50 – 75 daily for at least 6 weeks, followed by a suppressive dose of 25-50mg daily</w:t>
            </w:r>
          </w:p>
          <w:p w14:paraId="0C34B89E"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bCs/>
                <w:szCs w:val="24"/>
              </w:rPr>
              <w:t xml:space="preserve">Child over 1 month: </w:t>
            </w:r>
            <w:r w:rsidRPr="00727DFA">
              <w:rPr>
                <w:rFonts w:eastAsia="Candara-Italic"/>
                <w:szCs w:val="24"/>
              </w:rPr>
              <w:t>1 mg/kg (maximum 25 mg/dose) twice daily for 3 days, then 1 mg/kg (maximum 25 mg) once daily for at least 6 weeks</w:t>
            </w:r>
          </w:p>
          <w:p w14:paraId="5D9B2B9C"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 xml:space="preserve">Chorioretinitis; </w:t>
            </w:r>
            <w:r w:rsidRPr="00727DFA">
              <w:rPr>
                <w:rFonts w:eastAsia="Times New Roman"/>
                <w:bCs/>
                <w:szCs w:val="24"/>
              </w:rPr>
              <w:t>Oral:</w:t>
            </w:r>
          </w:p>
          <w:p w14:paraId="24E4F1F1" w14:textId="77777777" w:rsidR="007B485D" w:rsidRPr="00727DFA" w:rsidRDefault="007B485D" w:rsidP="002D6DD7">
            <w:pPr>
              <w:widowControl w:val="0"/>
              <w:autoSpaceDE w:val="0"/>
              <w:autoSpaceDN w:val="0"/>
              <w:jc w:val="both"/>
              <w:rPr>
                <w:rFonts w:eastAsia="Times New Roman"/>
                <w:i/>
                <w:szCs w:val="24"/>
              </w:rPr>
            </w:pPr>
            <w:r w:rsidRPr="00727DFA">
              <w:rPr>
                <w:rFonts w:eastAsia="Times New Roman"/>
                <w:b/>
                <w:szCs w:val="24"/>
              </w:rPr>
              <w:t>Adult:</w:t>
            </w:r>
            <w:r w:rsidRPr="00727DFA">
              <w:rPr>
                <w:rFonts w:eastAsia="Times New Roman"/>
                <w:szCs w:val="24"/>
              </w:rPr>
              <w:t xml:space="preserve"> 75mg daily for 3 days then 25mg daily for 4 weeks; in unresponsive patients, 50 mg daily for a further 4 weeks. </w:t>
            </w:r>
          </w:p>
          <w:p w14:paraId="7E225E19" w14:textId="77777777" w:rsidR="007B485D" w:rsidRPr="00727DFA" w:rsidRDefault="007B485D" w:rsidP="002D6DD7">
            <w:pPr>
              <w:autoSpaceDE w:val="0"/>
              <w:autoSpaceDN w:val="0"/>
              <w:adjustRightInd w:val="0"/>
              <w:jc w:val="both"/>
              <w:rPr>
                <w:rFonts w:eastAsia="DengXian"/>
                <w:szCs w:val="24"/>
              </w:rPr>
            </w:pPr>
            <w:r w:rsidRPr="00727DFA">
              <w:rPr>
                <w:rFonts w:eastAsia="Candara-Italic"/>
                <w:b/>
                <w:iCs/>
                <w:szCs w:val="24"/>
              </w:rPr>
              <w:t>Congenital toxoplasmosis;</w:t>
            </w:r>
            <w:r w:rsidRPr="00727DFA">
              <w:rPr>
                <w:rFonts w:eastAsia="DengXian"/>
                <w:bCs/>
                <w:szCs w:val="24"/>
              </w:rPr>
              <w:t xml:space="preserve"> Oral:</w:t>
            </w:r>
          </w:p>
          <w:p w14:paraId="0780E417"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bCs/>
                <w:szCs w:val="24"/>
              </w:rPr>
              <w:t xml:space="preserve">Neonate: </w:t>
            </w:r>
            <w:r w:rsidRPr="00727DFA">
              <w:rPr>
                <w:rFonts w:eastAsia="Candara-Italic"/>
                <w:szCs w:val="24"/>
              </w:rPr>
              <w:t>1 mg/kg twice daily for 2 days, then 1 mg/ kg once daily for 6 months, then 1 mg/kg three times weekly for a further 6 months. Duration of treatment depends on whether the neonate has overt disease. If without overt disease but born to mother infected during pregnancy, treat for 4 weeks, followed by further courses if infection confirmed.</w:t>
            </w:r>
          </w:p>
          <w:p w14:paraId="76BAF555" w14:textId="77777777" w:rsidR="007B485D" w:rsidRPr="00727DFA" w:rsidRDefault="007B485D" w:rsidP="002D6DD7">
            <w:pPr>
              <w:autoSpaceDE w:val="0"/>
              <w:autoSpaceDN w:val="0"/>
              <w:adjustRightInd w:val="0"/>
              <w:jc w:val="both"/>
              <w:rPr>
                <w:rFonts w:eastAsia="Candara-Italic"/>
                <w:b/>
                <w:iCs/>
                <w:szCs w:val="24"/>
              </w:rPr>
            </w:pPr>
            <w:r w:rsidRPr="00727DFA">
              <w:rPr>
                <w:rFonts w:eastAsia="Candara-Italic"/>
                <w:b/>
                <w:iCs/>
                <w:szCs w:val="24"/>
              </w:rPr>
              <w:t>Primary prophylaxis of toxoplasmosis</w:t>
            </w:r>
          </w:p>
          <w:p w14:paraId="7D62B9CF"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bCs/>
                <w:szCs w:val="24"/>
              </w:rPr>
              <w:t xml:space="preserve">Child over 1 month: </w:t>
            </w:r>
            <w:r w:rsidRPr="00727DFA">
              <w:rPr>
                <w:rFonts w:eastAsia="Candara-Italic"/>
                <w:szCs w:val="24"/>
              </w:rPr>
              <w:t>1 mg/kg once daily; maximum 25 mg daily</w:t>
            </w:r>
          </w:p>
          <w:p w14:paraId="4F7F24D2" w14:textId="77777777" w:rsidR="007B485D" w:rsidRPr="00727DFA" w:rsidRDefault="007B485D" w:rsidP="002D6DD7">
            <w:pPr>
              <w:autoSpaceDE w:val="0"/>
              <w:autoSpaceDN w:val="0"/>
              <w:adjustRightInd w:val="0"/>
              <w:jc w:val="both"/>
              <w:rPr>
                <w:rFonts w:eastAsia="Candara-Italic"/>
                <w:b/>
                <w:iCs/>
                <w:szCs w:val="24"/>
              </w:rPr>
            </w:pPr>
            <w:r w:rsidRPr="00727DFA">
              <w:rPr>
                <w:rFonts w:eastAsia="Candara-Italic"/>
                <w:b/>
                <w:iCs/>
                <w:szCs w:val="24"/>
              </w:rPr>
              <w:t>Secondary prophylaxis of toxoplasmosis and PCP</w:t>
            </w:r>
          </w:p>
          <w:p w14:paraId="5BB47869"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bCs/>
                <w:szCs w:val="24"/>
              </w:rPr>
              <w:t>Infant or child</w:t>
            </w:r>
            <w:r w:rsidRPr="00727DFA">
              <w:rPr>
                <w:rFonts w:eastAsia="Candara-Italic"/>
                <w:szCs w:val="24"/>
              </w:rPr>
              <w:t xml:space="preserve">: 1 mg/kg once daily; maximum 50 mg daily </w:t>
            </w:r>
          </w:p>
          <w:p w14:paraId="357C321B" w14:textId="77777777" w:rsidR="007B485D" w:rsidRPr="00727DFA" w:rsidRDefault="007B485D" w:rsidP="002D6DD7">
            <w:pPr>
              <w:widowControl w:val="0"/>
              <w:autoSpaceDE w:val="0"/>
              <w:autoSpaceDN w:val="0"/>
              <w:jc w:val="both"/>
              <w:rPr>
                <w:rFonts w:eastAsia="Times New Roman"/>
                <w:szCs w:val="24"/>
              </w:rPr>
            </w:pPr>
            <w:r w:rsidRPr="00727DFA">
              <w:rPr>
                <w:rFonts w:eastAsia="Candara-Italic"/>
                <w:b/>
                <w:bCs/>
                <w:iCs/>
                <w:szCs w:val="24"/>
              </w:rPr>
              <w:t>Note</w:t>
            </w:r>
            <w:r w:rsidRPr="00727DFA">
              <w:rPr>
                <w:rFonts w:eastAsia="Candara-Italic"/>
                <w:i/>
                <w:szCs w:val="24"/>
              </w:rPr>
              <w:t xml:space="preserve">: </w:t>
            </w:r>
            <w:r w:rsidRPr="0063309C">
              <w:rPr>
                <w:rFonts w:eastAsia="Candara-Italic"/>
                <w:szCs w:val="24"/>
              </w:rPr>
              <w:t xml:space="preserve">child </w:t>
            </w:r>
            <w:r w:rsidRPr="00873AF2">
              <w:rPr>
                <w:color w:val="2A2A2A"/>
                <w:szCs w:val="27"/>
              </w:rPr>
              <w:t>&lt; 2 months old: Safety and efficacy not established</w:t>
            </w:r>
          </w:p>
        </w:tc>
      </w:tr>
      <w:tr w:rsidR="007B485D" w:rsidRPr="00727DFA" w14:paraId="0B4482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6C73B8" w14:textId="77777777" w:rsidR="007B485D" w:rsidRPr="00727DFA" w:rsidRDefault="007B485D" w:rsidP="002D6DD7">
            <w:pPr>
              <w:jc w:val="both"/>
              <w:rPr>
                <w:rFonts w:eastAsia="DengXian"/>
                <w:szCs w:val="24"/>
              </w:rPr>
            </w:pPr>
            <w:r w:rsidRPr="00727DFA">
              <w:rPr>
                <w:rFonts w:eastAsia="DengXi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51A03CAC" w14:textId="77777777" w:rsidR="007B485D" w:rsidRPr="00727DFA" w:rsidRDefault="007B485D" w:rsidP="002D6DD7">
            <w:pPr>
              <w:widowControl w:val="0"/>
              <w:autoSpaceDE w:val="0"/>
              <w:autoSpaceDN w:val="0"/>
              <w:jc w:val="both"/>
              <w:rPr>
                <w:rFonts w:eastAsia="Candara-Italic"/>
                <w:b/>
                <w:iCs/>
                <w:szCs w:val="24"/>
              </w:rPr>
            </w:pPr>
            <w:r w:rsidRPr="00727DFA">
              <w:rPr>
                <w:rFonts w:eastAsia="Times New Roman"/>
                <w:szCs w:val="24"/>
              </w:rPr>
              <w:t>Hypersensitivity</w:t>
            </w:r>
            <w:r>
              <w:rPr>
                <w:rFonts w:eastAsia="Times New Roman"/>
                <w:szCs w:val="24"/>
              </w:rPr>
              <w:t xml:space="preserve"> to the drug,</w:t>
            </w:r>
            <w:r w:rsidRPr="00727DFA">
              <w:rPr>
                <w:rFonts w:eastAsia="Times New Roman"/>
                <w:spacing w:val="-9"/>
                <w:szCs w:val="24"/>
              </w:rPr>
              <w:t xml:space="preserve"> </w:t>
            </w:r>
            <w:r>
              <w:rPr>
                <w:rFonts w:eastAsia="Calibri"/>
                <w:szCs w:val="24"/>
              </w:rPr>
              <w:t>m</w:t>
            </w:r>
            <w:r w:rsidRPr="00727DFA">
              <w:rPr>
                <w:rFonts w:eastAsia="Calibri"/>
                <w:szCs w:val="24"/>
              </w:rPr>
              <w:t>egaloblastic anemia</w:t>
            </w:r>
            <w:r w:rsidRPr="00727DFA">
              <w:rPr>
                <w:rFonts w:eastAsia="Times New Roman"/>
                <w:szCs w:val="24"/>
              </w:rPr>
              <w:t>, pregnancy,</w:t>
            </w:r>
            <w:r w:rsidRPr="00727DFA">
              <w:rPr>
                <w:rFonts w:eastAsia="Times New Roman"/>
                <w:spacing w:val="-7"/>
                <w:szCs w:val="24"/>
              </w:rPr>
              <w:t xml:space="preserve"> </w:t>
            </w:r>
            <w:r w:rsidRPr="00727DFA">
              <w:rPr>
                <w:rFonts w:eastAsia="Times New Roman"/>
                <w:szCs w:val="24"/>
              </w:rPr>
              <w:t>history</w:t>
            </w:r>
            <w:r w:rsidRPr="00727DFA">
              <w:rPr>
                <w:rFonts w:eastAsia="Times New Roman"/>
                <w:spacing w:val="-5"/>
                <w:szCs w:val="24"/>
              </w:rPr>
              <w:t xml:space="preserve"> </w:t>
            </w:r>
            <w:r w:rsidRPr="00727DFA">
              <w:rPr>
                <w:rFonts w:eastAsia="Times New Roman"/>
                <w:szCs w:val="24"/>
              </w:rPr>
              <w:t>of</w:t>
            </w:r>
            <w:r w:rsidRPr="00727DFA">
              <w:rPr>
                <w:rFonts w:eastAsia="Times New Roman"/>
                <w:spacing w:val="-5"/>
                <w:szCs w:val="24"/>
              </w:rPr>
              <w:t xml:space="preserve"> </w:t>
            </w:r>
            <w:r w:rsidRPr="00727DFA">
              <w:rPr>
                <w:rFonts w:eastAsia="Times New Roman"/>
                <w:szCs w:val="24"/>
              </w:rPr>
              <w:t>seizures disorders, anemia</w:t>
            </w:r>
            <w:r>
              <w:rPr>
                <w:rFonts w:eastAsia="Times New Roman"/>
                <w:szCs w:val="24"/>
              </w:rPr>
              <w:t xml:space="preserve">, </w:t>
            </w:r>
            <w:r w:rsidRPr="00727DFA">
              <w:rPr>
                <w:rFonts w:eastAsia="Times New Roman"/>
                <w:szCs w:val="24"/>
              </w:rPr>
              <w:t>bone marrow depression.</w:t>
            </w:r>
          </w:p>
        </w:tc>
      </w:tr>
      <w:tr w:rsidR="007B485D" w:rsidRPr="00727DFA" w14:paraId="0CFB2E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5AD706"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5DF7F83D" w14:textId="77777777" w:rsidR="007B485D" w:rsidRPr="00727DFA" w:rsidRDefault="007B485D" w:rsidP="002D6DD7">
            <w:pPr>
              <w:widowControl w:val="0"/>
              <w:autoSpaceDE w:val="0"/>
              <w:autoSpaceDN w:val="0"/>
              <w:jc w:val="both"/>
              <w:rPr>
                <w:rFonts w:eastAsia="Calibri"/>
                <w:szCs w:val="24"/>
              </w:rPr>
            </w:pPr>
            <w:r w:rsidRPr="00727DFA">
              <w:rPr>
                <w:rFonts w:eastAsia="Times New Roman"/>
                <w:szCs w:val="24"/>
              </w:rPr>
              <w:t>Bone</w:t>
            </w:r>
            <w:r w:rsidRPr="00727DFA">
              <w:rPr>
                <w:rFonts w:eastAsia="Times New Roman"/>
                <w:spacing w:val="-4"/>
                <w:szCs w:val="24"/>
              </w:rPr>
              <w:t xml:space="preserve"> </w:t>
            </w:r>
            <w:r w:rsidRPr="00727DFA">
              <w:rPr>
                <w:rFonts w:eastAsia="Times New Roman"/>
                <w:szCs w:val="24"/>
              </w:rPr>
              <w:t>marrow</w:t>
            </w:r>
            <w:r w:rsidRPr="00727DFA">
              <w:rPr>
                <w:rFonts w:eastAsia="Times New Roman"/>
                <w:spacing w:val="-3"/>
                <w:szCs w:val="24"/>
              </w:rPr>
              <w:t xml:space="preserve"> </w:t>
            </w:r>
            <w:r w:rsidRPr="00727DFA">
              <w:rPr>
                <w:rFonts w:eastAsia="Times New Roman"/>
                <w:szCs w:val="24"/>
              </w:rPr>
              <w:t>depressants and folate</w:t>
            </w:r>
            <w:r w:rsidRPr="00727DFA">
              <w:rPr>
                <w:rFonts w:eastAsia="Times New Roman"/>
                <w:spacing w:val="-1"/>
                <w:szCs w:val="24"/>
              </w:rPr>
              <w:t xml:space="preserve"> </w:t>
            </w:r>
            <w:r w:rsidRPr="00727DFA">
              <w:rPr>
                <w:rFonts w:eastAsia="Times New Roman"/>
                <w:spacing w:val="-2"/>
                <w:szCs w:val="24"/>
              </w:rPr>
              <w:t>antagonists</w:t>
            </w:r>
            <w:r w:rsidRPr="00727DFA">
              <w:rPr>
                <w:rFonts w:eastAsia="Times New Roman"/>
                <w:szCs w:val="24"/>
              </w:rPr>
              <w:t xml:space="preserve"> like Artemether + lumefantrine, methotrexate, phenytoin, proguanil, silver sulfadiazine, sulfadiazine, sulfamethoxazole + trimethoprim, trimethoprim, zidovudine.</w:t>
            </w:r>
          </w:p>
        </w:tc>
      </w:tr>
      <w:tr w:rsidR="007B485D" w:rsidRPr="00727DFA" w14:paraId="04F53AB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B228629"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168199C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Megaloblastic anemia, diarrhea, dizziness, headache, leucopenia, nausea, skin reactions, thrombocytopenia, vomiting, fever, abdominal pain, oral ulceration, pancytopenia, pneumonia eosinophilic, seizure, GI disturbance</w:t>
            </w:r>
          </w:p>
        </w:tc>
      </w:tr>
      <w:tr w:rsidR="007B485D" w:rsidRPr="00727DFA" w14:paraId="04FACFB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D95225" w14:textId="77777777" w:rsidR="007B485D" w:rsidRPr="00727DFA" w:rsidRDefault="007B485D" w:rsidP="002D6DD7">
            <w:pPr>
              <w:jc w:val="both"/>
              <w:rPr>
                <w:rFonts w:eastAsia="DengXian"/>
                <w:szCs w:val="24"/>
              </w:rPr>
            </w:pPr>
            <w:r w:rsidRPr="00727DFA">
              <w:rPr>
                <w:rFonts w:eastAsia="DengXian"/>
                <w:spacing w:val="-2"/>
                <w:szCs w:val="24"/>
              </w:rPr>
              <w:lastRenderedPageBreak/>
              <w:t>Cautions</w:t>
            </w:r>
          </w:p>
        </w:tc>
        <w:tc>
          <w:tcPr>
            <w:tcW w:w="6745" w:type="dxa"/>
            <w:tcBorders>
              <w:top w:val="single" w:sz="4" w:space="0" w:color="auto"/>
              <w:left w:val="single" w:sz="4" w:space="0" w:color="auto"/>
              <w:bottom w:val="single" w:sz="4" w:space="0" w:color="auto"/>
              <w:right w:val="single" w:sz="4" w:space="0" w:color="auto"/>
            </w:tcBorders>
            <w:hideMark/>
          </w:tcPr>
          <w:p w14:paraId="023137FA" w14:textId="77777777" w:rsidR="007B485D" w:rsidRDefault="007B485D" w:rsidP="002D6DD7">
            <w:pPr>
              <w:widowControl w:val="0"/>
              <w:autoSpaceDE w:val="0"/>
              <w:autoSpaceDN w:val="0"/>
              <w:jc w:val="both"/>
              <w:rPr>
                <w:rFonts w:eastAsia="Times New Roman"/>
                <w:szCs w:val="24"/>
              </w:rPr>
            </w:pPr>
            <w:r w:rsidRPr="00727DFA">
              <w:rPr>
                <w:rFonts w:eastAsia="Times New Roman"/>
                <w:szCs w:val="24"/>
              </w:rPr>
              <w:t>Folate deficiency, history of seizures, renal impairment, hepatic impairment, pregnancy</w:t>
            </w:r>
            <w:r>
              <w:rPr>
                <w:rFonts w:eastAsia="Times New Roman"/>
                <w:szCs w:val="24"/>
              </w:rPr>
              <w:t xml:space="preserve">, </w:t>
            </w:r>
            <w:r w:rsidRPr="00727DFA">
              <w:rPr>
                <w:rFonts w:eastAsia="Times New Roman"/>
                <w:szCs w:val="24"/>
              </w:rPr>
              <w:t xml:space="preserve">breastfeeding. </w:t>
            </w:r>
          </w:p>
          <w:p w14:paraId="353D1FD4"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b/>
                <w:bCs/>
                <w:szCs w:val="24"/>
              </w:rPr>
              <w:t>Note:</w:t>
            </w:r>
            <w:r>
              <w:rPr>
                <w:rFonts w:eastAsia="Times New Roman"/>
                <w:szCs w:val="24"/>
              </w:rPr>
              <w:t xml:space="preserve"> </w:t>
            </w:r>
            <w:r w:rsidRPr="00873AF2">
              <w:rPr>
                <w:rFonts w:eastAsia="Times New Roman"/>
                <w:i/>
                <w:iCs/>
                <w:szCs w:val="24"/>
              </w:rPr>
              <w:t>supplement folate throughout treatment to prevent hematological toxicity.</w:t>
            </w:r>
          </w:p>
        </w:tc>
      </w:tr>
      <w:tr w:rsidR="007B485D" w:rsidRPr="00727DFA" w14:paraId="7B54E8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FFD688" w14:textId="77777777" w:rsidR="007B485D" w:rsidRPr="00727DFA" w:rsidRDefault="007B485D" w:rsidP="002D6DD7">
            <w:pPr>
              <w:jc w:val="both"/>
              <w:rPr>
                <w:rFonts w:eastAsia="DengXian"/>
                <w:spacing w:val="-2"/>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05D5EF95" w14:textId="77777777" w:rsidR="007B485D" w:rsidRPr="00727DFA" w:rsidRDefault="007B485D" w:rsidP="002D6DD7">
            <w:pPr>
              <w:widowControl w:val="0"/>
              <w:autoSpaceDE w:val="0"/>
              <w:autoSpaceDN w:val="0"/>
              <w:jc w:val="both"/>
              <w:rPr>
                <w:rFonts w:eastAsia="Times New Roman"/>
                <w:szCs w:val="24"/>
              </w:rPr>
            </w:pPr>
            <w:r w:rsidRPr="00727DFA">
              <w:rPr>
                <w:rFonts w:eastAsia="Calibri"/>
                <w:szCs w:val="24"/>
              </w:rPr>
              <w:t>Store below 30</w:t>
            </w:r>
            <w:r w:rsidRPr="00727DFA">
              <w:rPr>
                <w:rFonts w:eastAsia="Calibri"/>
                <w:szCs w:val="24"/>
                <w:vertAlign w:val="superscript"/>
              </w:rPr>
              <w:t>o</w:t>
            </w:r>
            <w:r w:rsidRPr="00727DFA">
              <w:rPr>
                <w:rFonts w:eastAsia="Calibri"/>
                <w:szCs w:val="24"/>
              </w:rPr>
              <w:t>C, in a tight, light-resistant container.</w:t>
            </w:r>
          </w:p>
        </w:tc>
      </w:tr>
      <w:tr w:rsidR="007B485D" w:rsidRPr="00727DFA" w14:paraId="578CE7AC"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035E6672" w14:textId="77777777" w:rsidR="007B485D" w:rsidRPr="00727DFA" w:rsidRDefault="007B485D" w:rsidP="002D6DD7">
            <w:pPr>
              <w:widowControl w:val="0"/>
              <w:autoSpaceDE w:val="0"/>
              <w:autoSpaceDN w:val="0"/>
              <w:jc w:val="both"/>
              <w:rPr>
                <w:rFonts w:eastAsia="Calibri"/>
                <w:szCs w:val="24"/>
              </w:rPr>
            </w:pPr>
            <w:r w:rsidRPr="00727DFA">
              <w:rPr>
                <w:rFonts w:eastAsia="Times New Roman"/>
                <w:b/>
                <w:szCs w:val="24"/>
              </w:rPr>
              <w:t>Sulfadiazine</w:t>
            </w:r>
            <w:r w:rsidRPr="00727DFA">
              <w:rPr>
                <w:rFonts w:eastAsia="Times New Roman"/>
                <w:b/>
                <w:spacing w:val="-18"/>
                <w:szCs w:val="24"/>
              </w:rPr>
              <w:t xml:space="preserve"> </w:t>
            </w:r>
            <w:r w:rsidRPr="00727DFA">
              <w:rPr>
                <w:rFonts w:eastAsia="Times New Roman"/>
                <w:b/>
                <w:szCs w:val="24"/>
              </w:rPr>
              <w:t>+ folinic Acid</w:t>
            </w:r>
          </w:p>
        </w:tc>
      </w:tr>
      <w:tr w:rsidR="007B485D" w:rsidRPr="00727DFA" w14:paraId="4481BB7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A09D88" w14:textId="77777777" w:rsidR="007B485D" w:rsidRPr="00727DFA" w:rsidRDefault="007B485D" w:rsidP="002D6DD7">
            <w:pPr>
              <w:jc w:val="both"/>
              <w:rPr>
                <w:rFonts w:eastAsia="DengXian"/>
                <w:szCs w:val="24"/>
              </w:rPr>
            </w:pPr>
            <w:r w:rsidRPr="00727DFA">
              <w:rPr>
                <w:rFonts w:eastAsia="DengXi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3C84166" w14:textId="77777777" w:rsidR="007B485D" w:rsidRPr="00727DFA" w:rsidRDefault="007B485D" w:rsidP="002D6DD7">
            <w:pPr>
              <w:widowControl w:val="0"/>
              <w:autoSpaceDE w:val="0"/>
              <w:autoSpaceDN w:val="0"/>
              <w:jc w:val="both"/>
              <w:rPr>
                <w:rFonts w:eastAsia="Calibri"/>
                <w:szCs w:val="24"/>
              </w:rPr>
            </w:pPr>
            <w:r w:rsidRPr="00727DFA">
              <w:rPr>
                <w:rFonts w:eastAsia="Times New Roman"/>
                <w:szCs w:val="24"/>
              </w:rPr>
              <w:t xml:space="preserve"> Combination of </w:t>
            </w:r>
            <w:r>
              <w:rPr>
                <w:rFonts w:eastAsia="Times New Roman"/>
                <w:szCs w:val="24"/>
              </w:rPr>
              <w:t>s</w:t>
            </w:r>
            <w:r w:rsidRPr="00727DFA">
              <w:rPr>
                <w:rFonts w:eastAsia="Times New Roman"/>
                <w:szCs w:val="24"/>
              </w:rPr>
              <w:t>ulfonamide and folate agonist</w:t>
            </w:r>
          </w:p>
        </w:tc>
      </w:tr>
      <w:tr w:rsidR="007B485D" w:rsidRPr="00727DFA" w14:paraId="2DC9671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01ED7E" w14:textId="77777777" w:rsidR="007B485D" w:rsidRPr="00727DFA" w:rsidRDefault="007B485D" w:rsidP="002D6DD7">
            <w:pPr>
              <w:jc w:val="both"/>
              <w:rPr>
                <w:rFonts w:eastAsia="DengXian"/>
                <w:spacing w:val="-2"/>
                <w:szCs w:val="24"/>
              </w:rPr>
            </w:pPr>
            <w:r w:rsidRPr="00727DFA">
              <w:rPr>
                <w:rFonts w:eastAsia="DengXian"/>
                <w:szCs w:val="24"/>
              </w:rPr>
              <w:t>Dosage</w:t>
            </w:r>
            <w:r w:rsidRPr="00727DFA">
              <w:rPr>
                <w:rFonts w:eastAsia="DengXian"/>
                <w:spacing w:val="-5"/>
                <w:szCs w:val="24"/>
              </w:rPr>
              <w:t xml:space="preserve"> </w:t>
            </w:r>
            <w:r w:rsidRPr="00727DFA">
              <w:rPr>
                <w:rFonts w:eastAsia="DengXi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2500E12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Tablet:</w:t>
            </w:r>
            <w:r w:rsidRPr="00727DFA">
              <w:rPr>
                <w:rFonts w:eastAsia="Times New Roman"/>
                <w:spacing w:val="-2"/>
                <w:szCs w:val="24"/>
              </w:rPr>
              <w:t xml:space="preserve"> </w:t>
            </w:r>
            <w:r w:rsidRPr="00727DFA">
              <w:rPr>
                <w:rFonts w:eastAsia="Times New Roman"/>
                <w:szCs w:val="24"/>
              </w:rPr>
              <w:t>500mg</w:t>
            </w:r>
            <w:r w:rsidRPr="00727DFA">
              <w:rPr>
                <w:rFonts w:eastAsia="Times New Roman"/>
                <w:spacing w:val="-3"/>
                <w:szCs w:val="24"/>
              </w:rPr>
              <w:t xml:space="preserve"> </w:t>
            </w:r>
            <w:r w:rsidRPr="00727DFA">
              <w:rPr>
                <w:rFonts w:eastAsia="Times New Roman"/>
                <w:spacing w:val="-4"/>
                <w:szCs w:val="24"/>
              </w:rPr>
              <w:t>+15mg</w:t>
            </w:r>
          </w:p>
        </w:tc>
      </w:tr>
      <w:tr w:rsidR="007B485D" w:rsidRPr="00727DFA" w14:paraId="18998C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28578E3" w14:textId="77777777" w:rsidR="007B485D" w:rsidRPr="00727DFA" w:rsidRDefault="007B485D" w:rsidP="002D6DD7">
            <w:pPr>
              <w:jc w:val="both"/>
              <w:rPr>
                <w:rFonts w:eastAsia="DengXian"/>
                <w:szCs w:val="24"/>
              </w:rPr>
            </w:pPr>
            <w:r w:rsidRPr="00873AF2">
              <w:rPr>
                <w:rFonts w:eastAsia="DengXi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757B5C87" w14:textId="77777777" w:rsidR="007B485D" w:rsidRPr="00727DFA" w:rsidRDefault="007B485D" w:rsidP="002D6DD7">
            <w:pPr>
              <w:widowControl w:val="0"/>
              <w:autoSpaceDE w:val="0"/>
              <w:autoSpaceDN w:val="0"/>
              <w:jc w:val="both"/>
              <w:rPr>
                <w:rFonts w:eastAsia="Times New Roman"/>
                <w:szCs w:val="24"/>
              </w:rPr>
            </w:pPr>
            <w:r w:rsidRPr="00727DFA">
              <w:rPr>
                <w:rFonts w:eastAsia="Candara-Italic"/>
                <w:iCs/>
                <w:szCs w:val="24"/>
              </w:rPr>
              <w:t>Toxoplasmosis in combination with pyrimethamine</w:t>
            </w:r>
          </w:p>
        </w:tc>
      </w:tr>
      <w:tr w:rsidR="007B485D" w:rsidRPr="00727DFA" w14:paraId="2F34945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AFBBE0" w14:textId="77777777" w:rsidR="007B485D" w:rsidRPr="00727DFA" w:rsidRDefault="007B485D" w:rsidP="002D6DD7">
            <w:pPr>
              <w:jc w:val="both"/>
              <w:rPr>
                <w:rFonts w:eastAsia="DengXian"/>
                <w:b/>
                <w:bCs/>
                <w:spacing w:val="-2"/>
                <w:szCs w:val="24"/>
              </w:rPr>
            </w:pPr>
            <w:r w:rsidRPr="00727DFA">
              <w:rPr>
                <w:rFonts w:eastAsia="DengXian"/>
                <w:szCs w:val="24"/>
              </w:rPr>
              <w:t xml:space="preserve">Dose and </w:t>
            </w:r>
            <w:r w:rsidRPr="00727DFA">
              <w:rPr>
                <w:rFonts w:eastAsia="DengXi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51C7751D" w14:textId="77777777" w:rsidR="007B485D" w:rsidRPr="00727DFA" w:rsidRDefault="007B485D" w:rsidP="002D6DD7">
            <w:pPr>
              <w:widowControl w:val="0"/>
              <w:autoSpaceDE w:val="0"/>
              <w:autoSpaceDN w:val="0"/>
              <w:ind w:left="107"/>
              <w:jc w:val="both"/>
              <w:rPr>
                <w:rFonts w:eastAsia="Candara-Italic"/>
                <w:b/>
                <w:bCs/>
                <w:iCs/>
                <w:szCs w:val="24"/>
              </w:rPr>
            </w:pPr>
            <w:r w:rsidRPr="00727DFA">
              <w:rPr>
                <w:rFonts w:eastAsia="Candara-Italic"/>
                <w:b/>
                <w:bCs/>
                <w:iCs/>
                <w:szCs w:val="24"/>
              </w:rPr>
              <w:t>Treatment of Toxoplasmosis in HIV-infected adolescents and adults:</w:t>
            </w:r>
          </w:p>
          <w:p w14:paraId="6BE4B339" w14:textId="77777777" w:rsidR="007B485D" w:rsidRPr="00727DFA" w:rsidRDefault="007B485D" w:rsidP="002D6DD7">
            <w:pPr>
              <w:widowControl w:val="0"/>
              <w:autoSpaceDE w:val="0"/>
              <w:autoSpaceDN w:val="0"/>
              <w:ind w:left="107"/>
              <w:jc w:val="both"/>
              <w:rPr>
                <w:rFonts w:eastAsia="Candara-Italic"/>
                <w:iCs/>
                <w:szCs w:val="24"/>
              </w:rPr>
            </w:pPr>
            <w:r w:rsidRPr="00727DFA">
              <w:rPr>
                <w:rFonts w:eastAsia="Candara-Italic"/>
                <w:iCs/>
                <w:szCs w:val="24"/>
              </w:rPr>
              <w:t xml:space="preserve">Oral sulfadiazine 1 g (body weight &lt;60 kg) or 1.5 g (body weight ≥60 kg) and oral leucovorin (10–25 mg once daily) in combination with pyrimethamine or atovaquone </w:t>
            </w:r>
          </w:p>
          <w:p w14:paraId="3FBC7BCE" w14:textId="77777777" w:rsidR="007B485D" w:rsidRPr="00727DFA" w:rsidRDefault="007B485D" w:rsidP="002D6DD7">
            <w:pPr>
              <w:widowControl w:val="0"/>
              <w:autoSpaceDE w:val="0"/>
              <w:autoSpaceDN w:val="0"/>
              <w:ind w:left="107"/>
              <w:jc w:val="both"/>
              <w:rPr>
                <w:rFonts w:eastAsia="Candara-Italic"/>
                <w:iCs/>
                <w:szCs w:val="24"/>
              </w:rPr>
            </w:pPr>
            <w:r w:rsidRPr="00727DFA">
              <w:rPr>
                <w:rFonts w:eastAsia="Candara-Italic"/>
                <w:iCs/>
                <w:szCs w:val="24"/>
              </w:rPr>
              <w:t>Treatment duration at least 6 weeks; longer duration may be appropriate if clinical response incomplete at 6 weeks).</w:t>
            </w:r>
          </w:p>
          <w:p w14:paraId="3CE66F78" w14:textId="77777777" w:rsidR="007B485D" w:rsidRPr="00727DFA" w:rsidRDefault="007B485D" w:rsidP="002D6DD7">
            <w:pPr>
              <w:widowControl w:val="0"/>
              <w:autoSpaceDE w:val="0"/>
              <w:autoSpaceDN w:val="0"/>
              <w:ind w:left="107"/>
              <w:jc w:val="both"/>
              <w:rPr>
                <w:rFonts w:eastAsia="Candara-Italic"/>
                <w:b/>
                <w:bCs/>
                <w:iCs/>
                <w:szCs w:val="24"/>
              </w:rPr>
            </w:pPr>
            <w:r w:rsidRPr="00727DFA">
              <w:rPr>
                <w:rFonts w:eastAsia="Candara-Italic"/>
                <w:b/>
                <w:bCs/>
                <w:iCs/>
                <w:szCs w:val="24"/>
              </w:rPr>
              <w:t>Treatment of congenital toxoplasmosis</w:t>
            </w:r>
          </w:p>
          <w:p w14:paraId="6F4F1C11" w14:textId="77777777" w:rsidR="007B485D" w:rsidRPr="00727DFA" w:rsidRDefault="007B485D" w:rsidP="002D6DD7">
            <w:pPr>
              <w:widowControl w:val="0"/>
              <w:autoSpaceDE w:val="0"/>
              <w:autoSpaceDN w:val="0"/>
              <w:ind w:left="107"/>
              <w:jc w:val="both"/>
              <w:rPr>
                <w:rFonts w:eastAsia="Candara-Italic"/>
                <w:iCs/>
                <w:szCs w:val="24"/>
              </w:rPr>
            </w:pPr>
            <w:r w:rsidRPr="00727DFA">
              <w:rPr>
                <w:rFonts w:eastAsia="Candara-Italic"/>
                <w:b/>
                <w:bCs/>
                <w:iCs/>
                <w:szCs w:val="24"/>
              </w:rPr>
              <w:t xml:space="preserve"> Neonate:</w:t>
            </w:r>
            <w:r w:rsidRPr="00727DFA">
              <w:rPr>
                <w:rFonts w:eastAsia="Candara-Italic"/>
                <w:iCs/>
                <w:szCs w:val="24"/>
              </w:rPr>
              <w:t xml:space="preserve"> 50 mg/kg twice daily for 12 months in conjunction with oral pyrimethamine (1 mg/kg once daily for 2 days, then 1 mg/kg once daily for 2–6 months, then 1 mg/kg 3 times weekly) and oral or IM leucovorin (10 mg with each pyrimethamine dose) (recommended duration in HIV-infected infants is 12 months).</w:t>
            </w:r>
          </w:p>
          <w:p w14:paraId="48F4B156" w14:textId="77777777" w:rsidR="007B485D" w:rsidRPr="00727DFA" w:rsidRDefault="007B485D" w:rsidP="002D6DD7">
            <w:pPr>
              <w:widowControl w:val="0"/>
              <w:autoSpaceDE w:val="0"/>
              <w:autoSpaceDN w:val="0"/>
              <w:ind w:left="107"/>
              <w:jc w:val="both"/>
              <w:rPr>
                <w:rFonts w:eastAsia="Candara-Italic"/>
                <w:b/>
                <w:bCs/>
                <w:iCs/>
                <w:szCs w:val="24"/>
              </w:rPr>
            </w:pPr>
            <w:r w:rsidRPr="00727DFA">
              <w:rPr>
                <w:rFonts w:eastAsia="Candara-Italic"/>
                <w:b/>
                <w:bCs/>
                <w:iCs/>
                <w:szCs w:val="24"/>
              </w:rPr>
              <w:t>Treatment of Toxoplasmosis in HIV-infected Infants and Children</w:t>
            </w:r>
          </w:p>
          <w:p w14:paraId="6E43FF24" w14:textId="77777777" w:rsidR="007B485D" w:rsidRPr="00727DFA" w:rsidRDefault="007B485D" w:rsidP="002D6DD7">
            <w:pPr>
              <w:widowControl w:val="0"/>
              <w:autoSpaceDE w:val="0"/>
              <w:autoSpaceDN w:val="0"/>
              <w:ind w:left="107"/>
              <w:jc w:val="both"/>
              <w:rPr>
                <w:rFonts w:eastAsia="Candara-Italic"/>
                <w:iCs/>
                <w:szCs w:val="24"/>
              </w:rPr>
            </w:pPr>
            <w:r w:rsidRPr="00727DFA">
              <w:rPr>
                <w:rFonts w:eastAsia="Candara-Italic"/>
                <w:iCs/>
                <w:szCs w:val="24"/>
              </w:rPr>
              <w:t xml:space="preserve">Oral: 25–50 mg/kg (up to 1–1.5 g) 4 times daily in conjunction with oral pyrimethamine (1 mg/kg [up to 50 mg] twice daily for 3 days, then 1 mg/kg [up to 25 mg] once daily) and oral folinic acid (10–25 mg once daily). </w:t>
            </w:r>
          </w:p>
          <w:p w14:paraId="419FEC2F" w14:textId="77777777" w:rsidR="007B485D" w:rsidRPr="00727DFA" w:rsidRDefault="007B485D" w:rsidP="002D6DD7">
            <w:pPr>
              <w:widowControl w:val="0"/>
              <w:autoSpaceDE w:val="0"/>
              <w:autoSpaceDN w:val="0"/>
              <w:jc w:val="both"/>
              <w:rPr>
                <w:rFonts w:eastAsia="Candara-Italic"/>
                <w:iCs/>
                <w:szCs w:val="24"/>
              </w:rPr>
            </w:pPr>
            <w:r w:rsidRPr="00727DFA">
              <w:rPr>
                <w:rFonts w:eastAsia="Candara-Italic"/>
                <w:iCs/>
                <w:szCs w:val="24"/>
              </w:rPr>
              <w:t>Treatment duration at least 6 weeks; longer duration may be appropriate if disease is extensive or response incomplete at 6 weeks).</w:t>
            </w:r>
          </w:p>
        </w:tc>
      </w:tr>
      <w:tr w:rsidR="007B485D" w:rsidRPr="00727DFA" w14:paraId="4EB48E1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2B1869" w14:textId="77777777" w:rsidR="007B485D" w:rsidRPr="00727DFA" w:rsidRDefault="007B485D" w:rsidP="002D6DD7">
            <w:pPr>
              <w:jc w:val="both"/>
              <w:rPr>
                <w:rFonts w:eastAsia="DengXian"/>
                <w:szCs w:val="24"/>
              </w:rPr>
            </w:pPr>
            <w:r w:rsidRPr="00727DFA">
              <w:rPr>
                <w:rFonts w:eastAsia="DengXi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35428F9" w14:textId="77777777" w:rsidR="007B485D" w:rsidRPr="00727DFA" w:rsidRDefault="007B485D" w:rsidP="002D6DD7">
            <w:pPr>
              <w:keepNext/>
              <w:keepLines/>
              <w:jc w:val="both"/>
              <w:outlineLvl w:val="5"/>
              <w:rPr>
                <w:rFonts w:eastAsia="Times New Roman"/>
                <w:b/>
                <w:szCs w:val="24"/>
              </w:rPr>
            </w:pPr>
            <w:r w:rsidRPr="00727DFA">
              <w:rPr>
                <w:rFonts w:eastAsia="Times New Roman"/>
                <w:szCs w:val="24"/>
              </w:rPr>
              <w:t xml:space="preserve">Hypersensitivity to </w:t>
            </w:r>
            <w:r>
              <w:rPr>
                <w:rFonts w:eastAsia="Times New Roman"/>
                <w:szCs w:val="24"/>
              </w:rPr>
              <w:t xml:space="preserve">the drug or </w:t>
            </w:r>
            <w:r w:rsidRPr="00727DFA">
              <w:rPr>
                <w:rFonts w:eastAsia="Times New Roman"/>
                <w:szCs w:val="24"/>
              </w:rPr>
              <w:t>any sulfa drug, porphyria, infants &lt;2 months except as adjunctive therapy with pyrimethamine treating congenital toxoplasmosis.</w:t>
            </w:r>
          </w:p>
        </w:tc>
      </w:tr>
      <w:tr w:rsidR="007B485D" w:rsidRPr="00727DFA" w14:paraId="5A1B3D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FBC7DBF" w14:textId="77777777" w:rsidR="007B485D" w:rsidRPr="00727DFA" w:rsidRDefault="007B485D" w:rsidP="002D6DD7">
            <w:pPr>
              <w:jc w:val="both"/>
              <w:rPr>
                <w:rFonts w:eastAsia="DengXian"/>
                <w:spacing w:val="-2"/>
                <w:szCs w:val="24"/>
              </w:rPr>
            </w:pPr>
            <w:r w:rsidRPr="00727DFA">
              <w:rPr>
                <w:rFonts w:eastAsia="DengXian"/>
                <w:szCs w:val="24"/>
              </w:rPr>
              <w:t>Drug</w:t>
            </w:r>
            <w:r w:rsidRPr="00727DFA">
              <w:rPr>
                <w:rFonts w:eastAsia="DengXi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7D30F45B"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 xml:space="preserve">Ciclosporin, methotrexate, phenytoin, pyrimethamine, sulfadoxine + pyrimethamine, thiopental, warfarin </w:t>
            </w:r>
          </w:p>
        </w:tc>
      </w:tr>
      <w:tr w:rsidR="007B485D" w:rsidRPr="00727DFA" w14:paraId="0A20A77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13F7E6" w14:textId="77777777" w:rsidR="007B485D" w:rsidRPr="00727DFA" w:rsidRDefault="007B485D" w:rsidP="002D6DD7">
            <w:pPr>
              <w:jc w:val="both"/>
              <w:rPr>
                <w:rFonts w:eastAsia="DengXian"/>
                <w:szCs w:val="24"/>
              </w:rPr>
            </w:pPr>
            <w:r w:rsidRPr="00727DFA">
              <w:rPr>
                <w:rFonts w:eastAsia="DengXian"/>
                <w:szCs w:val="24"/>
              </w:rPr>
              <w:t>Side</w:t>
            </w:r>
            <w:r w:rsidRPr="00727DFA">
              <w:rPr>
                <w:rFonts w:eastAsia="DengXian"/>
                <w:spacing w:val="-4"/>
                <w:szCs w:val="24"/>
              </w:rPr>
              <w:t xml:space="preserve"> </w:t>
            </w:r>
            <w:r w:rsidRPr="00727DFA">
              <w:rPr>
                <w:rFonts w:eastAsia="DengXi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331A1191"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Nausea. vomiting, rash, abdominal pain. rare: hepatitis, pancreatitis, SJS, crystalluria, blood dyscrasias, agranulocytosis, aplastic anemia, appetite decreased, ataxia, back pain, blood disorders, cough, crystalluria, cyanosis, depression, diarrhea, dizziness, drowsiness, dyspnea, fatigue, fever, hematuria, hallucination, headache, hepatic disorders, hypoglycemia, hypoprothrombinemia, hypothyroidism</w:t>
            </w:r>
          </w:p>
        </w:tc>
      </w:tr>
      <w:tr w:rsidR="007B485D" w:rsidRPr="00727DFA" w14:paraId="540F1C9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C463A2" w14:textId="77777777" w:rsidR="007B485D" w:rsidRPr="00727DFA" w:rsidRDefault="007B485D" w:rsidP="002D6DD7">
            <w:pPr>
              <w:jc w:val="both"/>
              <w:rPr>
                <w:rFonts w:eastAsia="DengXian"/>
                <w:szCs w:val="24"/>
              </w:rPr>
            </w:pPr>
            <w:r w:rsidRPr="00727DFA">
              <w:rPr>
                <w:rFonts w:eastAsia="DengXi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62EFF91"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Renal impairment, hepatic impairment, G6PD deficiency, urinary obstruction, blood dyscrasia, asthma, maintain adequate fluid intake, predisposition to folate deficiency, impaired renal or hepatic function and to those with severe allergy or bronchial asthma</w:t>
            </w:r>
            <w:r>
              <w:rPr>
                <w:rFonts w:eastAsia="Times New Roman"/>
                <w:szCs w:val="24"/>
              </w:rPr>
              <w:t>.</w:t>
            </w:r>
          </w:p>
        </w:tc>
      </w:tr>
      <w:tr w:rsidR="007B485D" w:rsidRPr="00727DFA" w14:paraId="2F9FF8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C9A30D" w14:textId="77777777" w:rsidR="007B485D" w:rsidRPr="00727DFA" w:rsidRDefault="007B485D" w:rsidP="002D6DD7">
            <w:pPr>
              <w:jc w:val="both"/>
              <w:rPr>
                <w:rFonts w:eastAsia="DengXian"/>
                <w:spacing w:val="-2"/>
                <w:szCs w:val="24"/>
              </w:rPr>
            </w:pPr>
            <w:r w:rsidRPr="00727DFA">
              <w:rPr>
                <w:rFonts w:eastAsia="DengXian"/>
                <w:szCs w:val="24"/>
              </w:rPr>
              <w:t>Storage</w:t>
            </w:r>
            <w:r w:rsidRPr="00727DFA">
              <w:rPr>
                <w:rFonts w:eastAsia="DengXian"/>
                <w:spacing w:val="-7"/>
                <w:szCs w:val="24"/>
              </w:rPr>
              <w:t xml:space="preserve"> </w:t>
            </w:r>
            <w:r w:rsidRPr="00727DFA">
              <w:rPr>
                <w:rFonts w:eastAsia="DengXi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6C8118C4"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 xml:space="preserve"> Store below 30</w:t>
            </w:r>
            <w:r w:rsidRPr="00727DFA">
              <w:rPr>
                <w:rFonts w:eastAsia="Times New Roman"/>
                <w:szCs w:val="24"/>
                <w:vertAlign w:val="superscript"/>
              </w:rPr>
              <w:t>o</w:t>
            </w:r>
            <w:r w:rsidRPr="00727DFA">
              <w:rPr>
                <w:rFonts w:eastAsia="Times New Roman"/>
                <w:szCs w:val="24"/>
              </w:rPr>
              <w:t>C</w:t>
            </w:r>
            <w:r>
              <w:rPr>
                <w:rFonts w:eastAsia="Times New Roman"/>
                <w:szCs w:val="24"/>
              </w:rPr>
              <w:t>.</w:t>
            </w:r>
          </w:p>
        </w:tc>
      </w:tr>
      <w:tr w:rsidR="007B485D" w:rsidRPr="00727DFA" w14:paraId="148A56AB"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2708B812" w14:textId="77777777" w:rsidR="007B485D" w:rsidRPr="00727DFA" w:rsidRDefault="007B485D" w:rsidP="002D6DD7">
            <w:pPr>
              <w:keepNext/>
              <w:keepLines/>
              <w:jc w:val="both"/>
              <w:outlineLvl w:val="5"/>
              <w:rPr>
                <w:rFonts w:eastAsia="Times New Roman"/>
                <w:b/>
                <w:bCs/>
                <w:szCs w:val="24"/>
              </w:rPr>
            </w:pPr>
            <w:r w:rsidRPr="00727DFA">
              <w:rPr>
                <w:rFonts w:eastAsia="Times New Roman"/>
                <w:b/>
                <w:bCs/>
                <w:spacing w:val="-2"/>
                <w:szCs w:val="24"/>
              </w:rPr>
              <w:t>Sulfamethoxazole</w:t>
            </w:r>
            <w:r w:rsidRPr="00727DFA">
              <w:rPr>
                <w:rFonts w:eastAsia="Times New Roman"/>
                <w:b/>
                <w:bCs/>
                <w:szCs w:val="24"/>
              </w:rPr>
              <w:t xml:space="preserve"> +</w:t>
            </w:r>
            <w:r w:rsidRPr="00727DFA">
              <w:rPr>
                <w:rFonts w:eastAsia="Times New Roman"/>
                <w:b/>
                <w:bCs/>
                <w:spacing w:val="-1"/>
                <w:szCs w:val="24"/>
              </w:rPr>
              <w:t xml:space="preserve"> </w:t>
            </w:r>
            <w:r w:rsidRPr="00727DFA">
              <w:rPr>
                <w:rFonts w:eastAsia="Times New Roman"/>
                <w:b/>
                <w:bCs/>
                <w:spacing w:val="-2"/>
                <w:szCs w:val="24"/>
              </w:rPr>
              <w:t>Trimethoprim</w:t>
            </w:r>
          </w:p>
        </w:tc>
      </w:tr>
      <w:tr w:rsidR="007B485D" w:rsidRPr="00727DFA" w14:paraId="47B2A4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A2BA69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 xml:space="preserve">Pharmacological class </w:t>
            </w:r>
          </w:p>
        </w:tc>
        <w:tc>
          <w:tcPr>
            <w:tcW w:w="6745" w:type="dxa"/>
            <w:tcBorders>
              <w:top w:val="single" w:sz="4" w:space="0" w:color="auto"/>
              <w:left w:val="single" w:sz="4" w:space="0" w:color="auto"/>
              <w:bottom w:val="single" w:sz="4" w:space="0" w:color="auto"/>
              <w:right w:val="single" w:sz="4" w:space="0" w:color="auto"/>
            </w:tcBorders>
            <w:hideMark/>
          </w:tcPr>
          <w:p w14:paraId="17A2480C"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Sulfonamide, antibacterial (antiprotozoal)</w:t>
            </w:r>
          </w:p>
        </w:tc>
      </w:tr>
      <w:tr w:rsidR="007B485D" w:rsidRPr="00727DFA" w14:paraId="7116C50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B59545D"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w:t>
            </w:r>
            <w:r w:rsidRPr="00727DFA">
              <w:rPr>
                <w:rFonts w:eastAsia="Times New Roman"/>
                <w:spacing w:val="-6"/>
                <w:szCs w:val="24"/>
              </w:rPr>
              <w:t xml:space="preserve"> </w:t>
            </w:r>
            <w:r w:rsidRPr="00727DFA">
              <w:rPr>
                <w:rFonts w:eastAsia="Times New Rom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1D064AEE" w14:textId="77777777" w:rsidR="007B485D" w:rsidRPr="00727DFA" w:rsidRDefault="007B485D" w:rsidP="002D6DD7">
            <w:pPr>
              <w:jc w:val="both"/>
              <w:rPr>
                <w:rFonts w:eastAsia="Times New Roman"/>
                <w:szCs w:val="24"/>
                <w:lang w:val="nb-NO"/>
              </w:rPr>
            </w:pPr>
            <w:r w:rsidRPr="00727DFA">
              <w:rPr>
                <w:rFonts w:eastAsia="Times New Roman"/>
                <w:szCs w:val="24"/>
                <w:lang w:val="nb-NO"/>
              </w:rPr>
              <w:t>Suspension: 240mg/5ml</w:t>
            </w:r>
          </w:p>
          <w:p w14:paraId="15754975" w14:textId="77777777" w:rsidR="007B485D" w:rsidRPr="00727DFA" w:rsidRDefault="007B485D" w:rsidP="002D6DD7">
            <w:pPr>
              <w:jc w:val="both"/>
              <w:rPr>
                <w:rFonts w:eastAsia="Times New Roman"/>
                <w:szCs w:val="24"/>
                <w:lang w:val="nb-NO"/>
              </w:rPr>
            </w:pPr>
            <w:r w:rsidRPr="00727DFA">
              <w:rPr>
                <w:rFonts w:eastAsia="Times New Roman"/>
                <w:szCs w:val="24"/>
                <w:lang w:val="nb-NO"/>
              </w:rPr>
              <w:t>Dispersible tablet:100mg + 20mg</w:t>
            </w:r>
          </w:p>
          <w:p w14:paraId="4F8FBB6F" w14:textId="77777777" w:rsidR="007B485D" w:rsidRPr="00727DFA" w:rsidRDefault="007B485D" w:rsidP="002D6DD7">
            <w:pPr>
              <w:jc w:val="both"/>
              <w:rPr>
                <w:rFonts w:eastAsia="Times New Roman"/>
                <w:szCs w:val="24"/>
                <w:lang w:val="nb-NO"/>
              </w:rPr>
            </w:pPr>
            <w:r w:rsidRPr="00727DFA">
              <w:rPr>
                <w:rFonts w:eastAsia="Times New Roman"/>
                <w:szCs w:val="24"/>
                <w:lang w:val="nb-NO"/>
              </w:rPr>
              <w:t>Tablet: 400mg + 80mg; 800mg +160mg</w:t>
            </w:r>
          </w:p>
          <w:p w14:paraId="5816786D" w14:textId="77777777" w:rsidR="007B485D" w:rsidRPr="00727DFA" w:rsidRDefault="007B485D" w:rsidP="002D6DD7">
            <w:pPr>
              <w:keepNext/>
              <w:keepLines/>
              <w:jc w:val="both"/>
              <w:outlineLvl w:val="5"/>
              <w:rPr>
                <w:rFonts w:eastAsia="Times New Roman"/>
                <w:szCs w:val="24"/>
              </w:rPr>
            </w:pPr>
            <w:r w:rsidRPr="00727DFA">
              <w:rPr>
                <w:rFonts w:eastAsia="Times New Roman"/>
                <w:szCs w:val="24"/>
              </w:rPr>
              <w:t>Injection: 80mg + 16mg/ml (5ml, 10ml, 30ml)</w:t>
            </w:r>
          </w:p>
        </w:tc>
      </w:tr>
      <w:tr w:rsidR="007B485D" w:rsidRPr="00727DFA" w14:paraId="0F3A5A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91E980"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5B79776" w14:textId="77777777" w:rsidR="007B485D" w:rsidRPr="00727DFA" w:rsidRDefault="007B485D" w:rsidP="002D6DD7">
            <w:pPr>
              <w:jc w:val="both"/>
              <w:rPr>
                <w:rFonts w:eastAsia="Times New Roman"/>
                <w:szCs w:val="24"/>
              </w:rPr>
            </w:pPr>
            <w:r w:rsidRPr="00727DFA">
              <w:rPr>
                <w:rFonts w:eastAsia="DengXian"/>
                <w:szCs w:val="24"/>
              </w:rPr>
              <w:t xml:space="preserve">Prophylaxis and treatment of </w:t>
            </w:r>
            <w:r w:rsidRPr="00727DFA">
              <w:rPr>
                <w:rFonts w:eastAsia="DengXian"/>
                <w:i/>
                <w:iCs/>
                <w:szCs w:val="24"/>
              </w:rPr>
              <w:t>Pneumocystis</w:t>
            </w:r>
            <w:r w:rsidRPr="00727DFA">
              <w:rPr>
                <w:rFonts w:eastAsia="DengXian"/>
                <w:szCs w:val="24"/>
              </w:rPr>
              <w:t xml:space="preserve"> </w:t>
            </w:r>
            <w:r w:rsidRPr="00727DFA">
              <w:rPr>
                <w:rFonts w:eastAsia="DengXian"/>
                <w:i/>
                <w:iCs/>
                <w:szCs w:val="24"/>
              </w:rPr>
              <w:t>jiroveci</w:t>
            </w:r>
            <w:r w:rsidRPr="00727DFA">
              <w:rPr>
                <w:rFonts w:eastAsia="DengXian"/>
                <w:spacing w:val="1"/>
                <w:szCs w:val="24"/>
              </w:rPr>
              <w:t xml:space="preserve"> pneumonia</w:t>
            </w:r>
            <w:r w:rsidRPr="00727DFA">
              <w:rPr>
                <w:rFonts w:eastAsia="DengXian"/>
                <w:szCs w:val="24"/>
              </w:rPr>
              <w:t xml:space="preserve">, toxoplasmosis in immunocompromised patients </w:t>
            </w:r>
          </w:p>
        </w:tc>
      </w:tr>
      <w:tr w:rsidR="007B485D" w:rsidRPr="00727DFA" w14:paraId="2AED74A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9D191C"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sidRPr="00727DFA">
              <w:rPr>
                <w:rFonts w:eastAsia="Times New Rom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41D91B17" w14:textId="77777777" w:rsidR="007B485D" w:rsidRPr="00727DFA" w:rsidRDefault="007B485D" w:rsidP="002D6DD7">
            <w:pPr>
              <w:widowControl w:val="0"/>
              <w:autoSpaceDE w:val="0"/>
              <w:autoSpaceDN w:val="0"/>
              <w:jc w:val="both"/>
              <w:rPr>
                <w:rFonts w:eastAsia="Candara-Italic"/>
                <w:b/>
                <w:iCs/>
                <w:szCs w:val="24"/>
              </w:rPr>
            </w:pPr>
            <w:r w:rsidRPr="00727DFA">
              <w:rPr>
                <w:rFonts w:eastAsia="Candara-Italic"/>
                <w:b/>
                <w:iCs/>
                <w:szCs w:val="24"/>
              </w:rPr>
              <w:t>Treatment of toxoplasmosis</w:t>
            </w:r>
          </w:p>
          <w:p w14:paraId="40F12BFB" w14:textId="77777777" w:rsidR="007B485D" w:rsidRPr="00727DFA" w:rsidRDefault="007B485D" w:rsidP="002D6DD7">
            <w:pPr>
              <w:widowControl w:val="0"/>
              <w:autoSpaceDE w:val="0"/>
              <w:autoSpaceDN w:val="0"/>
              <w:jc w:val="both"/>
              <w:rPr>
                <w:rFonts w:eastAsia="Times New Roman"/>
                <w:szCs w:val="24"/>
              </w:rPr>
            </w:pPr>
            <w:r w:rsidRPr="00727DFA">
              <w:rPr>
                <w:rFonts w:eastAsia="Candara-Italic"/>
                <w:b/>
                <w:iCs/>
                <w:szCs w:val="24"/>
              </w:rPr>
              <w:t>Adult</w:t>
            </w:r>
            <w:r w:rsidRPr="00727DFA">
              <w:rPr>
                <w:rFonts w:eastAsia="Candara-Italic"/>
                <w:i/>
                <w:iCs/>
                <w:szCs w:val="24"/>
              </w:rPr>
              <w:t xml:space="preserve">: </w:t>
            </w:r>
            <w:r w:rsidRPr="00727DFA">
              <w:rPr>
                <w:rFonts w:eastAsia="Times New Roman"/>
                <w:szCs w:val="24"/>
              </w:rPr>
              <w:t>80/400, oral, 4 tablets 12 hourly for 28 days, followed by 2 tablets 12 hourly for 3 months in adults</w:t>
            </w:r>
          </w:p>
          <w:p w14:paraId="7F3101DD" w14:textId="77777777" w:rsidR="007B485D" w:rsidRPr="00727DFA" w:rsidRDefault="007B485D" w:rsidP="002D6DD7">
            <w:pPr>
              <w:widowControl w:val="0"/>
              <w:autoSpaceDE w:val="0"/>
              <w:autoSpaceDN w:val="0"/>
              <w:jc w:val="both"/>
              <w:rPr>
                <w:rFonts w:eastAsia="Times New Roman"/>
                <w:szCs w:val="24"/>
              </w:rPr>
            </w:pPr>
            <w:r w:rsidRPr="00727DFA">
              <w:rPr>
                <w:rFonts w:eastAsia="Candara-Italic"/>
                <w:b/>
                <w:bCs/>
                <w:szCs w:val="24"/>
              </w:rPr>
              <w:t xml:space="preserve">Infant </w:t>
            </w:r>
            <w:r w:rsidRPr="00727DFA">
              <w:rPr>
                <w:rFonts w:eastAsia="Candara-Italic"/>
                <w:szCs w:val="24"/>
              </w:rPr>
              <w:t xml:space="preserve">or </w:t>
            </w:r>
            <w:r w:rsidRPr="00727DFA">
              <w:rPr>
                <w:rFonts w:eastAsia="Candara-Italic"/>
                <w:b/>
                <w:bCs/>
                <w:szCs w:val="24"/>
              </w:rPr>
              <w:t>child over 1 month</w:t>
            </w:r>
            <w:r w:rsidRPr="00727DFA">
              <w:rPr>
                <w:rFonts w:eastAsia="Times New Roman"/>
                <w:szCs w:val="24"/>
              </w:rPr>
              <w:t xml:space="preserve">: 10mg of trimethoprim + 50mg of sulfamethoxazole per kg per dose every 12 hours for 28 days followed by maintenance therapy at 50% reduced dosage for three </w:t>
            </w:r>
            <w:r w:rsidRPr="00727DFA">
              <w:rPr>
                <w:rFonts w:eastAsia="Times New Roman"/>
                <w:szCs w:val="24"/>
              </w:rPr>
              <w:lastRenderedPageBreak/>
              <w:t xml:space="preserve">months. </w:t>
            </w:r>
          </w:p>
          <w:p w14:paraId="162178A5" w14:textId="77777777" w:rsidR="007B485D" w:rsidRPr="00727DFA" w:rsidRDefault="007B485D" w:rsidP="002D6DD7">
            <w:pPr>
              <w:widowControl w:val="0"/>
              <w:autoSpaceDE w:val="0"/>
              <w:autoSpaceDN w:val="0"/>
              <w:jc w:val="both"/>
              <w:rPr>
                <w:rFonts w:eastAsia="Times New Roman"/>
                <w:b/>
                <w:szCs w:val="24"/>
              </w:rPr>
            </w:pPr>
            <w:r w:rsidRPr="00727DFA">
              <w:rPr>
                <w:rFonts w:eastAsia="Times New Roman"/>
                <w:b/>
                <w:szCs w:val="24"/>
              </w:rPr>
              <w:t>Pneumocystis jiroveci</w:t>
            </w:r>
            <w:r w:rsidRPr="00727DFA">
              <w:rPr>
                <w:rFonts w:eastAsia="Times New Roman"/>
                <w:b/>
                <w:spacing w:val="1"/>
                <w:szCs w:val="24"/>
              </w:rPr>
              <w:t xml:space="preserve"> pneumonia</w:t>
            </w:r>
            <w:r w:rsidRPr="00727DFA">
              <w:rPr>
                <w:rFonts w:eastAsia="Times New Roman"/>
                <w:b/>
                <w:szCs w:val="24"/>
              </w:rPr>
              <w:t xml:space="preserve"> </w:t>
            </w:r>
            <w:r>
              <w:rPr>
                <w:rFonts w:eastAsia="Times New Roman"/>
                <w:b/>
                <w:szCs w:val="24"/>
              </w:rPr>
              <w:t xml:space="preserve">treatment </w:t>
            </w:r>
          </w:p>
          <w:p w14:paraId="1D1E0113" w14:textId="77777777" w:rsidR="007B485D" w:rsidRPr="00727DFA" w:rsidRDefault="007B485D" w:rsidP="002D6DD7">
            <w:pPr>
              <w:jc w:val="both"/>
              <w:rPr>
                <w:rFonts w:eastAsia="DengXian"/>
                <w:spacing w:val="1"/>
                <w:szCs w:val="24"/>
              </w:rPr>
            </w:pPr>
            <w:r w:rsidRPr="00727DFA">
              <w:rPr>
                <w:rFonts w:eastAsia="DengXian"/>
                <w:b/>
                <w:bCs/>
                <w:szCs w:val="24"/>
              </w:rPr>
              <w:t>Adult and Child:</w:t>
            </w:r>
            <w:r w:rsidRPr="00727DFA">
              <w:rPr>
                <w:rFonts w:eastAsia="DengXian"/>
                <w:szCs w:val="24"/>
              </w:rPr>
              <w:t xml:space="preserve"> sulfamethoxazole up to 100mg/kg</w:t>
            </w:r>
            <w:r w:rsidRPr="00727DFA">
              <w:rPr>
                <w:rFonts w:eastAsia="DengXian"/>
                <w:spacing w:val="1"/>
                <w:szCs w:val="24"/>
              </w:rPr>
              <w:t xml:space="preserve"> </w:t>
            </w:r>
            <w:r w:rsidRPr="00727DFA">
              <w:rPr>
                <w:rFonts w:eastAsia="DengXian"/>
                <w:szCs w:val="24"/>
              </w:rPr>
              <w:t>daily with</w:t>
            </w:r>
            <w:r w:rsidRPr="00727DFA">
              <w:rPr>
                <w:rFonts w:eastAsia="DengXian"/>
                <w:spacing w:val="1"/>
                <w:szCs w:val="24"/>
              </w:rPr>
              <w:t xml:space="preserve"> t</w:t>
            </w:r>
            <w:r w:rsidRPr="00727DFA">
              <w:rPr>
                <w:rFonts w:eastAsia="DengXian"/>
                <w:szCs w:val="24"/>
              </w:rPr>
              <w:t>rimethoprim</w:t>
            </w:r>
            <w:r w:rsidRPr="00727DFA">
              <w:rPr>
                <w:rFonts w:eastAsia="DengXian"/>
                <w:spacing w:val="1"/>
                <w:szCs w:val="24"/>
              </w:rPr>
              <w:t xml:space="preserve"> </w:t>
            </w:r>
            <w:r w:rsidRPr="00727DFA">
              <w:rPr>
                <w:rFonts w:eastAsia="DengXian"/>
                <w:szCs w:val="24"/>
              </w:rPr>
              <w:t>up</w:t>
            </w:r>
            <w:r w:rsidRPr="00727DFA">
              <w:rPr>
                <w:rFonts w:eastAsia="DengXian"/>
                <w:spacing w:val="1"/>
                <w:szCs w:val="24"/>
              </w:rPr>
              <w:t xml:space="preserve"> </w:t>
            </w:r>
            <w:r w:rsidRPr="00727DFA">
              <w:rPr>
                <w:rFonts w:eastAsia="DengXian"/>
                <w:szCs w:val="24"/>
              </w:rPr>
              <w:t>to</w:t>
            </w:r>
            <w:r w:rsidRPr="00727DFA">
              <w:rPr>
                <w:rFonts w:eastAsia="DengXian"/>
                <w:spacing w:val="1"/>
                <w:szCs w:val="24"/>
              </w:rPr>
              <w:t xml:space="preserve"> </w:t>
            </w:r>
            <w:r w:rsidRPr="00727DFA">
              <w:rPr>
                <w:rFonts w:eastAsia="DengXian"/>
                <w:szCs w:val="24"/>
              </w:rPr>
              <w:t>20mg/kg daily in</w:t>
            </w:r>
            <w:r w:rsidRPr="00727DFA">
              <w:rPr>
                <w:rFonts w:eastAsia="DengXian"/>
                <w:spacing w:val="1"/>
                <w:szCs w:val="24"/>
              </w:rPr>
              <w:t xml:space="preserve"> </w:t>
            </w:r>
            <w:r w:rsidRPr="00727DFA">
              <w:rPr>
                <w:rFonts w:eastAsia="DengXian"/>
                <w:szCs w:val="24"/>
              </w:rPr>
              <w:t>2-4</w:t>
            </w:r>
            <w:r w:rsidRPr="00727DFA">
              <w:rPr>
                <w:rFonts w:eastAsia="DengXian"/>
                <w:spacing w:val="1"/>
                <w:szCs w:val="24"/>
              </w:rPr>
              <w:t xml:space="preserve"> </w:t>
            </w:r>
            <w:r w:rsidRPr="00727DFA">
              <w:rPr>
                <w:rFonts w:eastAsia="DengXian"/>
                <w:szCs w:val="24"/>
              </w:rPr>
              <w:t>divided</w:t>
            </w:r>
            <w:r w:rsidRPr="00727DFA">
              <w:rPr>
                <w:rFonts w:eastAsia="DengXian"/>
                <w:spacing w:val="1"/>
                <w:szCs w:val="24"/>
              </w:rPr>
              <w:t xml:space="preserve"> </w:t>
            </w:r>
            <w:r w:rsidRPr="00727DFA">
              <w:rPr>
                <w:rFonts w:eastAsia="DengXian"/>
                <w:szCs w:val="24"/>
              </w:rPr>
              <w:t>doses</w:t>
            </w:r>
            <w:r w:rsidRPr="00727DFA">
              <w:rPr>
                <w:rFonts w:eastAsia="DengXian"/>
                <w:spacing w:val="-1"/>
                <w:szCs w:val="24"/>
              </w:rPr>
              <w:t xml:space="preserve"> </w:t>
            </w:r>
            <w:r w:rsidRPr="00727DFA">
              <w:rPr>
                <w:rFonts w:eastAsia="DengXian"/>
                <w:szCs w:val="24"/>
              </w:rPr>
              <w:t>for</w:t>
            </w:r>
            <w:r w:rsidRPr="00727DFA">
              <w:rPr>
                <w:rFonts w:eastAsia="DengXian"/>
                <w:spacing w:val="-1"/>
                <w:szCs w:val="24"/>
              </w:rPr>
              <w:t xml:space="preserve"> </w:t>
            </w:r>
            <w:r w:rsidRPr="00727DFA">
              <w:rPr>
                <w:rFonts w:eastAsia="DengXian"/>
                <w:szCs w:val="24"/>
              </w:rPr>
              <w:t>14-21 days.</w:t>
            </w:r>
          </w:p>
          <w:p w14:paraId="231BF30C"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iCs/>
                <w:szCs w:val="24"/>
              </w:rPr>
              <w:t>Prophylaxis of toxoplasmosis</w:t>
            </w:r>
            <w:r w:rsidRPr="00727DFA">
              <w:rPr>
                <w:rFonts w:eastAsia="Candara-Italic"/>
                <w:szCs w:val="24"/>
              </w:rPr>
              <w:t xml:space="preserve"> </w:t>
            </w:r>
            <w:r w:rsidRPr="00727DFA">
              <w:rPr>
                <w:rFonts w:eastAsia="Candara-Italic"/>
                <w:b/>
                <w:szCs w:val="24"/>
              </w:rPr>
              <w:t xml:space="preserve">and PCP </w:t>
            </w:r>
            <w:r w:rsidRPr="00727DFA">
              <w:rPr>
                <w:rFonts w:eastAsia="Candara-Italic"/>
                <w:szCs w:val="24"/>
              </w:rPr>
              <w:t xml:space="preserve"> </w:t>
            </w:r>
          </w:p>
          <w:p w14:paraId="0247CF3B"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
                <w:szCs w:val="24"/>
              </w:rPr>
              <w:t>Adult:</w:t>
            </w:r>
            <w:r w:rsidRPr="00727DFA">
              <w:rPr>
                <w:rFonts w:eastAsia="Candara-Italic"/>
                <w:szCs w:val="24"/>
              </w:rPr>
              <w:t xml:space="preserve"> Sulfamethoxazole</w:t>
            </w:r>
            <w:r w:rsidRPr="00727DFA">
              <w:rPr>
                <w:rFonts w:eastAsia="Candara-Italic"/>
                <w:i/>
                <w:iCs/>
                <w:szCs w:val="24"/>
              </w:rPr>
              <w:t xml:space="preserve"> </w:t>
            </w:r>
            <w:r w:rsidRPr="00727DFA">
              <w:rPr>
                <w:rFonts w:eastAsia="Candara-Italic"/>
                <w:szCs w:val="24"/>
              </w:rPr>
              <w:t>800 mg + trimethoprim 160 mg, or sulfamethoxazole</w:t>
            </w:r>
            <w:r w:rsidRPr="00727DFA">
              <w:rPr>
                <w:rFonts w:eastAsia="Candara-Italic"/>
                <w:i/>
                <w:iCs/>
                <w:szCs w:val="24"/>
              </w:rPr>
              <w:t xml:space="preserve"> </w:t>
            </w:r>
            <w:r w:rsidRPr="00727DFA">
              <w:rPr>
                <w:rFonts w:eastAsia="Candara-Italic"/>
                <w:szCs w:val="24"/>
              </w:rPr>
              <w:t>400 mg + trimethoprim 80 mg if higher</w:t>
            </w:r>
            <w:r w:rsidRPr="00727DFA">
              <w:rPr>
                <w:rFonts w:eastAsia="Candara-Italic"/>
                <w:i/>
                <w:iCs/>
                <w:szCs w:val="24"/>
              </w:rPr>
              <w:t xml:space="preserve"> </w:t>
            </w:r>
            <w:r w:rsidRPr="00727DFA">
              <w:rPr>
                <w:rFonts w:eastAsia="Candara-Italic"/>
                <w:szCs w:val="24"/>
              </w:rPr>
              <w:t>dose not tolerated</w:t>
            </w:r>
          </w:p>
          <w:p w14:paraId="17E5C2EF" w14:textId="77777777" w:rsidR="007B485D" w:rsidRPr="00727DFA" w:rsidRDefault="007B485D" w:rsidP="002D6DD7">
            <w:pPr>
              <w:autoSpaceDE w:val="0"/>
              <w:autoSpaceDN w:val="0"/>
              <w:adjustRightInd w:val="0"/>
              <w:jc w:val="both"/>
              <w:rPr>
                <w:rFonts w:eastAsia="Candara-Italic"/>
                <w:b/>
                <w:iCs/>
                <w:szCs w:val="24"/>
              </w:rPr>
            </w:pPr>
            <w:r>
              <w:rPr>
                <w:rFonts w:eastAsia="Candara-Italic"/>
                <w:b/>
                <w:iCs/>
                <w:szCs w:val="24"/>
              </w:rPr>
              <w:t>Child</w:t>
            </w:r>
            <w:r w:rsidRPr="00727DFA">
              <w:rPr>
                <w:rFonts w:eastAsia="Candara-Italic"/>
                <w:b/>
                <w:iCs/>
                <w:szCs w:val="24"/>
              </w:rPr>
              <w:t xml:space="preserve"> (oral: 2.5–5 mg/kg) *: </w:t>
            </w:r>
          </w:p>
          <w:p w14:paraId="6473FCA7"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Cs/>
                <w:szCs w:val="24"/>
              </w:rPr>
              <w:t xml:space="preserve">Infant </w:t>
            </w:r>
            <w:r w:rsidRPr="00727DFA">
              <w:rPr>
                <w:rFonts w:eastAsia="Candara-Italic"/>
                <w:szCs w:val="24"/>
              </w:rPr>
              <w:t xml:space="preserve">or </w:t>
            </w:r>
            <w:r w:rsidRPr="00727DFA">
              <w:rPr>
                <w:rFonts w:eastAsia="Candara-Italic"/>
                <w:bCs/>
                <w:szCs w:val="24"/>
              </w:rPr>
              <w:t>child under 6 months</w:t>
            </w:r>
            <w:r w:rsidRPr="00727DFA">
              <w:rPr>
                <w:rFonts w:eastAsia="Candara-Italic"/>
                <w:szCs w:val="24"/>
              </w:rPr>
              <w:t xml:space="preserve">: 20 mg once daily, </w:t>
            </w:r>
          </w:p>
          <w:p w14:paraId="50B07B7E"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Cs/>
                <w:szCs w:val="24"/>
              </w:rPr>
              <w:t>Child 6 months–5 years</w:t>
            </w:r>
            <w:r w:rsidRPr="00727DFA">
              <w:rPr>
                <w:rFonts w:eastAsia="Candara-Italic"/>
                <w:szCs w:val="24"/>
              </w:rPr>
              <w:t>: 40 mg once daily</w:t>
            </w:r>
          </w:p>
          <w:p w14:paraId="1D7E6F09" w14:textId="77777777" w:rsidR="007B485D" w:rsidRPr="00727DFA" w:rsidRDefault="007B485D" w:rsidP="002D6DD7">
            <w:pPr>
              <w:autoSpaceDE w:val="0"/>
              <w:autoSpaceDN w:val="0"/>
              <w:adjustRightInd w:val="0"/>
              <w:jc w:val="both"/>
              <w:rPr>
                <w:rFonts w:eastAsia="Candara-Italic"/>
                <w:szCs w:val="24"/>
              </w:rPr>
            </w:pPr>
            <w:r w:rsidRPr="00727DFA">
              <w:rPr>
                <w:rFonts w:eastAsia="Candara-Italic"/>
                <w:bCs/>
                <w:szCs w:val="24"/>
              </w:rPr>
              <w:t xml:space="preserve">Child 6–12 years: </w:t>
            </w:r>
            <w:r w:rsidRPr="00727DFA">
              <w:rPr>
                <w:rFonts w:eastAsia="Candara-Italic"/>
                <w:szCs w:val="24"/>
              </w:rPr>
              <w:t>80 mg once daily</w:t>
            </w:r>
          </w:p>
          <w:p w14:paraId="16767314" w14:textId="77777777" w:rsidR="007B485D" w:rsidRPr="00527EB2" w:rsidRDefault="007B485D" w:rsidP="002D6DD7">
            <w:pPr>
              <w:jc w:val="both"/>
              <w:rPr>
                <w:rFonts w:eastAsia="Calibri"/>
                <w:bCs/>
                <w:i/>
                <w:szCs w:val="24"/>
              </w:rPr>
            </w:pPr>
            <w:r w:rsidRPr="00527EB2">
              <w:rPr>
                <w:rFonts w:eastAsia="Calibri"/>
                <w:bCs/>
                <w:i/>
                <w:szCs w:val="24"/>
              </w:rPr>
              <w:t>Note: *Doses are expressed in terms of trimethoprim component</w:t>
            </w:r>
          </w:p>
          <w:p w14:paraId="592992B1" w14:textId="77777777" w:rsidR="007B485D" w:rsidRPr="00873AF2" w:rsidRDefault="007B485D" w:rsidP="003D3F76">
            <w:pPr>
              <w:pStyle w:val="ListParagraph"/>
              <w:numPr>
                <w:ilvl w:val="0"/>
                <w:numId w:val="28"/>
              </w:numPr>
              <w:spacing w:line="360" w:lineRule="auto"/>
              <w:rPr>
                <w:rFonts w:eastAsia="DengXian"/>
                <w:i/>
                <w:szCs w:val="24"/>
                <w:lang w:val="en-GB" w:eastAsia="ko-KR"/>
              </w:rPr>
            </w:pPr>
            <w:r w:rsidRPr="00527EB2">
              <w:rPr>
                <w:rFonts w:eastAsia="Calibri"/>
                <w:bCs/>
                <w:i/>
                <w:szCs w:val="24"/>
                <w:lang w:val="en-GB" w:eastAsia="ko-KR"/>
              </w:rPr>
              <w:t xml:space="preserve">Child &lt; 2 months: </w:t>
            </w:r>
            <w:r w:rsidRPr="00527EB2">
              <w:rPr>
                <w:rFonts w:eastAsia="Calibri"/>
                <w:i/>
                <w:szCs w:val="24"/>
                <w:lang w:val="en-GB" w:eastAsia="ko-KR"/>
              </w:rPr>
              <w:t>safety is not established</w:t>
            </w:r>
          </w:p>
        </w:tc>
      </w:tr>
      <w:tr w:rsidR="007B485D" w:rsidRPr="00727DFA" w14:paraId="21244AC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A026A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04F75FD6" w14:textId="77777777" w:rsidR="007B485D" w:rsidRPr="00727DFA" w:rsidRDefault="007B485D" w:rsidP="002D6DD7">
            <w:pPr>
              <w:widowControl w:val="0"/>
              <w:autoSpaceDE w:val="0"/>
              <w:autoSpaceDN w:val="0"/>
              <w:jc w:val="both"/>
              <w:rPr>
                <w:rFonts w:eastAsia="Candara-Italic"/>
                <w:b/>
                <w:iCs/>
                <w:szCs w:val="24"/>
              </w:rPr>
            </w:pPr>
            <w:r>
              <w:rPr>
                <w:rFonts w:eastAsia="Times New Roman"/>
                <w:szCs w:val="24"/>
              </w:rPr>
              <w:t>Refer to</w:t>
            </w:r>
            <w:r w:rsidRPr="00727DFA">
              <w:rPr>
                <w:rFonts w:eastAsia="Times New Roman"/>
                <w:szCs w:val="24"/>
              </w:rPr>
              <w:t xml:space="preserve"> </w:t>
            </w:r>
            <w:r w:rsidRPr="00727DFA">
              <w:rPr>
                <w:rFonts w:eastAsia="Times New Roman"/>
                <w:spacing w:val="-2"/>
                <w:szCs w:val="24"/>
              </w:rPr>
              <w:t>Sulfamethoxazole</w:t>
            </w:r>
            <w:r w:rsidRPr="00727DFA">
              <w:rPr>
                <w:rFonts w:eastAsia="Times New Roman"/>
                <w:szCs w:val="24"/>
              </w:rPr>
              <w:t xml:space="preserve"> +</w:t>
            </w:r>
            <w:r w:rsidRPr="00727DFA">
              <w:rPr>
                <w:rFonts w:eastAsia="Times New Roman"/>
                <w:spacing w:val="-1"/>
                <w:szCs w:val="24"/>
              </w:rPr>
              <w:t xml:space="preserve"> </w:t>
            </w:r>
            <w:r w:rsidRPr="00727DFA">
              <w:rPr>
                <w:rFonts w:eastAsia="Times New Roman"/>
                <w:spacing w:val="-2"/>
                <w:szCs w:val="24"/>
              </w:rPr>
              <w:t>Trimethoprim (antibacterials)</w:t>
            </w:r>
            <w:r>
              <w:rPr>
                <w:rFonts w:eastAsia="Times New Roman"/>
                <w:spacing w:val="-2"/>
                <w:szCs w:val="24"/>
              </w:rPr>
              <w:t>.</w:t>
            </w:r>
          </w:p>
        </w:tc>
      </w:tr>
      <w:tr w:rsidR="007B485D" w:rsidRPr="00727DFA" w14:paraId="6A990B9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55199F"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43C4A920"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w:t>
            </w:r>
            <w:r w:rsidRPr="00727DFA">
              <w:rPr>
                <w:rFonts w:eastAsia="Times New Roman"/>
                <w:spacing w:val="-2"/>
                <w:szCs w:val="24"/>
              </w:rPr>
              <w:t>Sulfamethoxazole</w:t>
            </w:r>
            <w:r w:rsidRPr="00727DFA">
              <w:rPr>
                <w:rFonts w:eastAsia="Times New Roman"/>
                <w:szCs w:val="24"/>
              </w:rPr>
              <w:t xml:space="preserve"> +</w:t>
            </w:r>
            <w:r w:rsidRPr="00727DFA">
              <w:rPr>
                <w:rFonts w:eastAsia="Times New Roman"/>
                <w:spacing w:val="-1"/>
                <w:szCs w:val="24"/>
              </w:rPr>
              <w:t xml:space="preserve"> </w:t>
            </w:r>
            <w:r w:rsidRPr="00727DFA">
              <w:rPr>
                <w:rFonts w:eastAsia="Times New Roman"/>
                <w:spacing w:val="-2"/>
                <w:szCs w:val="24"/>
              </w:rPr>
              <w:t>Trimethoprim (antibacterials)</w:t>
            </w:r>
            <w:r>
              <w:rPr>
                <w:rFonts w:eastAsia="Times New Roman"/>
                <w:spacing w:val="-2"/>
                <w:szCs w:val="24"/>
              </w:rPr>
              <w:t>.</w:t>
            </w:r>
          </w:p>
        </w:tc>
      </w:tr>
      <w:tr w:rsidR="007B485D" w:rsidRPr="00727DFA" w14:paraId="60E51A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5E66F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1CA0D3AB"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w:t>
            </w:r>
            <w:r w:rsidRPr="00727DFA">
              <w:rPr>
                <w:rFonts w:eastAsia="Times New Roman"/>
                <w:spacing w:val="-2"/>
                <w:szCs w:val="24"/>
              </w:rPr>
              <w:t>Sulfamethoxazole</w:t>
            </w:r>
            <w:r w:rsidRPr="00727DFA">
              <w:rPr>
                <w:rFonts w:eastAsia="Times New Roman"/>
                <w:szCs w:val="24"/>
              </w:rPr>
              <w:t xml:space="preserve"> +</w:t>
            </w:r>
            <w:r w:rsidRPr="00727DFA">
              <w:rPr>
                <w:rFonts w:eastAsia="Times New Roman"/>
                <w:spacing w:val="-1"/>
                <w:szCs w:val="24"/>
              </w:rPr>
              <w:t xml:space="preserve"> </w:t>
            </w:r>
            <w:r w:rsidRPr="00727DFA">
              <w:rPr>
                <w:rFonts w:eastAsia="Times New Roman"/>
                <w:spacing w:val="-2"/>
                <w:szCs w:val="24"/>
              </w:rPr>
              <w:t>Trimethoprim (antibacterials)</w:t>
            </w:r>
            <w:r>
              <w:rPr>
                <w:rFonts w:eastAsia="Times New Roman"/>
                <w:spacing w:val="-2"/>
                <w:szCs w:val="24"/>
              </w:rPr>
              <w:t>.</w:t>
            </w:r>
          </w:p>
        </w:tc>
      </w:tr>
      <w:tr w:rsidR="007B485D" w:rsidRPr="00727DFA" w14:paraId="6750002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048596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0299F4C6"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w:t>
            </w:r>
            <w:r w:rsidRPr="00727DFA">
              <w:rPr>
                <w:rFonts w:eastAsia="Times New Roman"/>
                <w:spacing w:val="-2"/>
                <w:szCs w:val="24"/>
              </w:rPr>
              <w:t>Sulfamethoxazole</w:t>
            </w:r>
            <w:r w:rsidRPr="00727DFA">
              <w:rPr>
                <w:rFonts w:eastAsia="Times New Roman"/>
                <w:szCs w:val="24"/>
              </w:rPr>
              <w:t xml:space="preserve"> +</w:t>
            </w:r>
            <w:r w:rsidRPr="00727DFA">
              <w:rPr>
                <w:rFonts w:eastAsia="Times New Roman"/>
                <w:spacing w:val="-1"/>
                <w:szCs w:val="24"/>
              </w:rPr>
              <w:t xml:space="preserve"> </w:t>
            </w:r>
            <w:r w:rsidRPr="00727DFA">
              <w:rPr>
                <w:rFonts w:eastAsia="Times New Roman"/>
                <w:spacing w:val="-2"/>
                <w:szCs w:val="24"/>
              </w:rPr>
              <w:t>Trimethoprim (antibacterials)</w:t>
            </w:r>
            <w:r>
              <w:rPr>
                <w:rFonts w:eastAsia="Times New Roman"/>
                <w:spacing w:val="-2"/>
                <w:szCs w:val="24"/>
              </w:rPr>
              <w:t>.</w:t>
            </w:r>
          </w:p>
        </w:tc>
      </w:tr>
      <w:tr w:rsidR="007B485D" w:rsidRPr="00727DFA" w14:paraId="01BF8C3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23E405"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12EF4F3D"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Store below 30</w:t>
            </w:r>
            <w:r w:rsidRPr="00873AF2">
              <w:rPr>
                <w:rFonts w:eastAsia="Times New Roman"/>
                <w:szCs w:val="24"/>
                <w:vertAlign w:val="superscript"/>
              </w:rPr>
              <w:t>o</w:t>
            </w:r>
            <w:r>
              <w:rPr>
                <w:rFonts w:eastAsia="Times New Roman"/>
                <w:szCs w:val="24"/>
              </w:rPr>
              <w:t>C.</w:t>
            </w:r>
          </w:p>
        </w:tc>
      </w:tr>
    </w:tbl>
    <w:p w14:paraId="2C72D52D" w14:textId="77777777" w:rsidR="007B485D" w:rsidRPr="00727DFA" w:rsidRDefault="007B485D" w:rsidP="007B485D">
      <w:pPr>
        <w:spacing w:after="0"/>
        <w:jc w:val="both"/>
        <w:rPr>
          <w:rFonts w:eastAsia="DengXian" w:cs="Times New Roman"/>
          <w:szCs w:val="24"/>
        </w:rPr>
      </w:pPr>
    </w:p>
    <w:p w14:paraId="4C68E5DB" w14:textId="77777777" w:rsidR="007B485D" w:rsidRPr="0060025F" w:rsidRDefault="007B485D" w:rsidP="0060025F">
      <w:pPr>
        <w:pStyle w:val="Heading2"/>
        <w:spacing w:after="240"/>
      </w:pPr>
      <w:bookmarkStart w:id="65" w:name="_Toc179490333"/>
      <w:r w:rsidRPr="0060025F">
        <w:t>Anthelmintics</w:t>
      </w:r>
      <w:bookmarkEnd w:id="65"/>
      <w:r w:rsidRPr="0060025F">
        <w:t xml:space="preserve"> </w:t>
      </w:r>
    </w:p>
    <w:p w14:paraId="6F46F07A" w14:textId="77777777" w:rsidR="007B485D" w:rsidRPr="00727DFA" w:rsidRDefault="007B485D" w:rsidP="007B485D">
      <w:pPr>
        <w:tabs>
          <w:tab w:val="left" w:pos="9360"/>
          <w:tab w:val="left" w:pos="9450"/>
        </w:tabs>
        <w:spacing w:after="0"/>
        <w:jc w:val="both"/>
        <w:rPr>
          <w:rFonts w:eastAsia="DengXian" w:cs="Times New Roman"/>
          <w:bCs/>
          <w:spacing w:val="-2"/>
          <w:szCs w:val="24"/>
        </w:rPr>
      </w:pPr>
      <w:r w:rsidRPr="00727DFA">
        <w:rPr>
          <w:rFonts w:eastAsia="DengXian" w:cs="Times New Roman"/>
          <w:bCs/>
          <w:spacing w:val="-2"/>
          <w:szCs w:val="24"/>
        </w:rPr>
        <w:t>Helminths (worms) are multicellular parasites that infect a significant portion of the human population, causing a diverse array of diseases.  Over a billion individuals are afflicted with intestinal nematodes, while millions more are infected with filarial nematodes, flukes, and tapeworms.  A variety of medications targeting different biological targets are available to combat these parasitic infections. While the goal in many cases, particularly in developing nations, is to control infection, reducing the parasite load often mitigates disease symptoms and minimizes further transmission. In other circumstances, the ultimate objective of treatment is complete eradication of the parasitic organisms.</w:t>
      </w:r>
    </w:p>
    <w:p w14:paraId="0F846412" w14:textId="77777777" w:rsidR="007B485D" w:rsidRPr="00ED22AD" w:rsidRDefault="007B485D" w:rsidP="00ED22AD">
      <w:pPr>
        <w:spacing w:before="240"/>
        <w:rPr>
          <w:rFonts w:eastAsia="DengXian Light"/>
          <w:b/>
        </w:rPr>
      </w:pPr>
      <w:r w:rsidRPr="00ED22AD">
        <w:rPr>
          <w:rFonts w:eastAsia="DengXian Light"/>
          <w:b/>
        </w:rPr>
        <w:lastRenderedPageBreak/>
        <w:t>Filaricides</w:t>
      </w:r>
    </w:p>
    <w:p w14:paraId="64FFC1CE" w14:textId="77777777" w:rsidR="007B485D" w:rsidRPr="00727DFA" w:rsidRDefault="007B485D" w:rsidP="00ED22AD">
      <w:pPr>
        <w:tabs>
          <w:tab w:val="left" w:pos="9360"/>
          <w:tab w:val="left" w:pos="9450"/>
        </w:tabs>
        <w:jc w:val="both"/>
        <w:rPr>
          <w:rFonts w:eastAsia="DengXian" w:cs="Times New Roman"/>
          <w:szCs w:val="24"/>
        </w:rPr>
      </w:pPr>
      <w:r w:rsidRPr="00727DFA">
        <w:rPr>
          <w:rFonts w:eastAsia="DengXian" w:cs="Times New Roman"/>
          <w:szCs w:val="24"/>
        </w:rPr>
        <w:t xml:space="preserve">Filarial nematode infections (filariasis) are endemic in large areas of the tropics and cause considerable morbidity. These are loiasis (arises from infections with loa loa), lymphatic filariasis (by </w:t>
      </w:r>
      <w:r w:rsidRPr="00727DFA">
        <w:rPr>
          <w:rFonts w:eastAsia="DengXian" w:cs="Times New Roman"/>
          <w:i/>
          <w:iCs/>
          <w:szCs w:val="24"/>
        </w:rPr>
        <w:t>Wuchereria bancorofti</w:t>
      </w:r>
      <w:r w:rsidRPr="00727DFA">
        <w:rPr>
          <w:rFonts w:eastAsia="DengXian" w:cs="Times New Roman"/>
          <w:szCs w:val="24"/>
        </w:rPr>
        <w:t>,</w:t>
      </w:r>
      <w:r w:rsidRPr="00727DFA">
        <w:rPr>
          <w:rFonts w:eastAsia="DengXian" w:cs="Times New Roman"/>
          <w:spacing w:val="-15"/>
          <w:szCs w:val="24"/>
        </w:rPr>
        <w:t xml:space="preserve"> </w:t>
      </w:r>
      <w:r w:rsidRPr="00727DFA">
        <w:rPr>
          <w:rFonts w:eastAsia="DengXian" w:cs="Times New Roman"/>
          <w:i/>
          <w:iCs/>
          <w:szCs w:val="24"/>
        </w:rPr>
        <w:t>Brugia</w:t>
      </w:r>
      <w:r w:rsidRPr="00727DFA">
        <w:rPr>
          <w:rFonts w:eastAsia="DengXian" w:cs="Times New Roman"/>
          <w:i/>
          <w:iCs/>
          <w:spacing w:val="-14"/>
          <w:szCs w:val="24"/>
        </w:rPr>
        <w:t xml:space="preserve"> </w:t>
      </w:r>
      <w:r w:rsidRPr="00727DFA">
        <w:rPr>
          <w:rFonts w:eastAsia="DengXian" w:cs="Times New Roman"/>
          <w:i/>
          <w:iCs/>
          <w:szCs w:val="24"/>
        </w:rPr>
        <w:t>malayi</w:t>
      </w:r>
      <w:r w:rsidRPr="00727DFA">
        <w:rPr>
          <w:rFonts w:eastAsia="DengXian" w:cs="Times New Roman"/>
          <w:szCs w:val="24"/>
        </w:rPr>
        <w:t>,</w:t>
      </w:r>
      <w:r w:rsidRPr="00727DFA">
        <w:rPr>
          <w:rFonts w:eastAsia="DengXian" w:cs="Times New Roman"/>
          <w:spacing w:val="-13"/>
          <w:szCs w:val="24"/>
        </w:rPr>
        <w:t xml:space="preserve"> </w:t>
      </w:r>
      <w:r w:rsidRPr="00727DFA">
        <w:rPr>
          <w:rFonts w:eastAsia="DengXian" w:cs="Times New Roman"/>
          <w:szCs w:val="24"/>
        </w:rPr>
        <w:t>or</w:t>
      </w:r>
      <w:r w:rsidRPr="00727DFA">
        <w:rPr>
          <w:rFonts w:eastAsia="DengXian" w:cs="Times New Roman"/>
          <w:spacing w:val="-10"/>
          <w:szCs w:val="24"/>
        </w:rPr>
        <w:t xml:space="preserve"> </w:t>
      </w:r>
      <w:r w:rsidRPr="00727DFA">
        <w:rPr>
          <w:rFonts w:eastAsia="DengXian" w:cs="Times New Roman"/>
          <w:i/>
          <w:iCs/>
          <w:szCs w:val="24"/>
        </w:rPr>
        <w:t>B.</w:t>
      </w:r>
      <w:r w:rsidRPr="00727DFA">
        <w:rPr>
          <w:rFonts w:eastAsia="DengXian" w:cs="Times New Roman"/>
          <w:i/>
          <w:iCs/>
          <w:spacing w:val="-15"/>
          <w:szCs w:val="24"/>
        </w:rPr>
        <w:t xml:space="preserve"> </w:t>
      </w:r>
      <w:r w:rsidRPr="00727DFA">
        <w:rPr>
          <w:rFonts w:eastAsia="DengXian" w:cs="Times New Roman"/>
          <w:i/>
          <w:iCs/>
          <w:szCs w:val="24"/>
        </w:rPr>
        <w:t>timori</w:t>
      </w:r>
      <w:r w:rsidRPr="00727DFA">
        <w:rPr>
          <w:rFonts w:eastAsia="DengXian" w:cs="Times New Roman"/>
          <w:szCs w:val="24"/>
        </w:rPr>
        <w:t>),</w:t>
      </w:r>
      <w:r w:rsidRPr="00727DFA">
        <w:rPr>
          <w:rFonts w:eastAsia="DengXian" w:cs="Times New Roman"/>
          <w:spacing w:val="-11"/>
          <w:szCs w:val="24"/>
        </w:rPr>
        <w:t xml:space="preserve"> </w:t>
      </w:r>
      <w:r w:rsidRPr="00727DFA">
        <w:rPr>
          <w:rFonts w:eastAsia="DengXian" w:cs="Times New Roman"/>
          <w:szCs w:val="24"/>
        </w:rPr>
        <w:t>onchocerciasis</w:t>
      </w:r>
      <w:r w:rsidRPr="00727DFA">
        <w:rPr>
          <w:rFonts w:eastAsia="DengXian" w:cs="Times New Roman"/>
          <w:spacing w:val="-10"/>
          <w:szCs w:val="24"/>
        </w:rPr>
        <w:t xml:space="preserve"> </w:t>
      </w:r>
      <w:r w:rsidRPr="00727DFA">
        <w:rPr>
          <w:rFonts w:eastAsia="DengXian" w:cs="Times New Roman"/>
          <w:szCs w:val="24"/>
        </w:rPr>
        <w:t>(river</w:t>
      </w:r>
      <w:r w:rsidRPr="00727DFA">
        <w:rPr>
          <w:rFonts w:eastAsia="DengXian" w:cs="Times New Roman"/>
          <w:spacing w:val="-11"/>
          <w:szCs w:val="24"/>
        </w:rPr>
        <w:t xml:space="preserve"> </w:t>
      </w:r>
      <w:r w:rsidRPr="00727DFA">
        <w:rPr>
          <w:rFonts w:eastAsia="DengXian" w:cs="Times New Roman"/>
          <w:szCs w:val="24"/>
        </w:rPr>
        <w:t>blindness,</w:t>
      </w:r>
      <w:r w:rsidRPr="00727DFA">
        <w:rPr>
          <w:rFonts w:eastAsia="DengXian" w:cs="Times New Roman"/>
          <w:spacing w:val="-12"/>
          <w:szCs w:val="24"/>
        </w:rPr>
        <w:t xml:space="preserve"> </w:t>
      </w:r>
      <w:r w:rsidRPr="00727DFA">
        <w:rPr>
          <w:rFonts w:eastAsia="DengXian" w:cs="Times New Roman"/>
          <w:szCs w:val="24"/>
        </w:rPr>
        <w:t>is</w:t>
      </w:r>
      <w:r w:rsidRPr="00727DFA">
        <w:rPr>
          <w:rFonts w:eastAsia="DengXian" w:cs="Times New Roman"/>
          <w:spacing w:val="-10"/>
          <w:szCs w:val="24"/>
        </w:rPr>
        <w:t xml:space="preserve"> </w:t>
      </w:r>
      <w:r w:rsidRPr="00727DFA">
        <w:rPr>
          <w:rFonts w:eastAsia="DengXian" w:cs="Times New Roman"/>
          <w:szCs w:val="24"/>
        </w:rPr>
        <w:t>caused</w:t>
      </w:r>
      <w:r w:rsidRPr="00727DFA">
        <w:rPr>
          <w:rFonts w:eastAsia="DengXian" w:cs="Times New Roman"/>
          <w:spacing w:val="-10"/>
          <w:szCs w:val="24"/>
        </w:rPr>
        <w:t xml:space="preserve"> </w:t>
      </w:r>
      <w:r w:rsidRPr="00727DFA">
        <w:rPr>
          <w:rFonts w:eastAsia="DengXian" w:cs="Times New Roman"/>
          <w:szCs w:val="24"/>
        </w:rPr>
        <w:t>by</w:t>
      </w:r>
      <w:r w:rsidRPr="00727DFA">
        <w:rPr>
          <w:rFonts w:eastAsia="DengXian" w:cs="Times New Roman"/>
          <w:spacing w:val="-12"/>
          <w:szCs w:val="24"/>
        </w:rPr>
        <w:t xml:space="preserve"> </w:t>
      </w:r>
      <w:r w:rsidRPr="00727DFA">
        <w:rPr>
          <w:rFonts w:eastAsia="DengXian" w:cs="Times New Roman"/>
          <w:szCs w:val="24"/>
        </w:rPr>
        <w:t>infection</w:t>
      </w:r>
      <w:r w:rsidRPr="00727DFA">
        <w:rPr>
          <w:rFonts w:eastAsia="DengXian" w:cs="Times New Roman"/>
          <w:spacing w:val="-12"/>
          <w:szCs w:val="24"/>
        </w:rPr>
        <w:t xml:space="preserve"> </w:t>
      </w:r>
      <w:r w:rsidRPr="00727DFA">
        <w:rPr>
          <w:rFonts w:eastAsia="DengXian" w:cs="Times New Roman"/>
          <w:szCs w:val="24"/>
        </w:rPr>
        <w:t>with</w:t>
      </w:r>
      <w:r w:rsidRPr="00727DFA">
        <w:rPr>
          <w:rFonts w:eastAsia="DengXian" w:cs="Times New Roman"/>
          <w:spacing w:val="-12"/>
          <w:szCs w:val="24"/>
        </w:rPr>
        <w:t xml:space="preserve"> </w:t>
      </w:r>
      <w:r w:rsidRPr="00727DFA">
        <w:rPr>
          <w:rFonts w:eastAsia="DengXian" w:cs="Times New Roman"/>
          <w:szCs w:val="24"/>
        </w:rPr>
        <w:t xml:space="preserve">the filarial nematode </w:t>
      </w:r>
      <w:r w:rsidRPr="00727DFA">
        <w:rPr>
          <w:rFonts w:eastAsia="DengXian" w:cs="Times New Roman"/>
          <w:i/>
          <w:iCs/>
          <w:szCs w:val="24"/>
        </w:rPr>
        <w:t>Onchocerca volculus</w:t>
      </w:r>
      <w:r w:rsidRPr="00727DFA">
        <w:rPr>
          <w:rFonts w:eastAsia="DengXian" w:cs="Times New Roman"/>
          <w:szCs w:val="24"/>
        </w:rPr>
        <w:t xml:space="preserve">), and Mansonellosis (by </w:t>
      </w:r>
      <w:r w:rsidRPr="00727DFA">
        <w:rPr>
          <w:rFonts w:eastAsia="DengXian" w:cs="Times New Roman"/>
          <w:i/>
          <w:iCs/>
          <w:szCs w:val="24"/>
        </w:rPr>
        <w:t>Mansonella perstans</w:t>
      </w:r>
      <w:r w:rsidRPr="00727DFA">
        <w:rPr>
          <w:rFonts w:eastAsia="DengXian" w:cs="Times New Roman"/>
          <w:szCs w:val="24"/>
        </w:rPr>
        <w:t xml:space="preserve">) infections. </w:t>
      </w:r>
      <w:r w:rsidRPr="00727DFA">
        <w:rPr>
          <w:rFonts w:eastAsia="DengXian" w:cs="Times New Roman"/>
          <w:i/>
          <w:iCs/>
          <w:color w:val="000000"/>
          <w:szCs w:val="24"/>
        </w:rPr>
        <w:t>W. bancrofti</w:t>
      </w:r>
      <w:r w:rsidRPr="00727DFA">
        <w:rPr>
          <w:rFonts w:eastAsia="DengXian" w:cs="Times New Roman"/>
          <w:color w:val="000000"/>
          <w:szCs w:val="24"/>
        </w:rPr>
        <w:t xml:space="preserve"> </w:t>
      </w:r>
      <w:r w:rsidRPr="00727DFA">
        <w:rPr>
          <w:rFonts w:eastAsia="DengXian" w:cs="Times New Roman"/>
          <w:color w:val="231F20"/>
          <w:szCs w:val="24"/>
        </w:rPr>
        <w:t>is the most common cause of lymphatic filariasis in</w:t>
      </w:r>
      <w:r w:rsidRPr="00727DFA">
        <w:rPr>
          <w:rFonts w:eastAsia="DengXian" w:cs="Times New Roman"/>
          <w:szCs w:val="24"/>
        </w:rPr>
        <w:t xml:space="preserve"> </w:t>
      </w:r>
      <w:r w:rsidRPr="00727DFA">
        <w:rPr>
          <w:rFonts w:eastAsia="DengXian" w:cs="Times New Roman"/>
          <w:color w:val="231F20"/>
          <w:szCs w:val="24"/>
        </w:rPr>
        <w:t>the Tropics including Ethiopia.</w:t>
      </w:r>
      <w:r w:rsidRPr="00727DFA">
        <w:rPr>
          <w:rFonts w:eastAsia="DengXian" w:cs="Times New Roman"/>
          <w:szCs w:val="24"/>
        </w:rPr>
        <w:t xml:space="preserve"> </w:t>
      </w:r>
      <w:r w:rsidRPr="00727DFA">
        <w:rPr>
          <w:rFonts w:eastAsia="DengXian" w:cs="Times New Roman"/>
          <w:color w:val="231F20"/>
          <w:szCs w:val="24"/>
        </w:rPr>
        <w:t>Administering anti-filarial medications to entire populations, particularly in endemic areas, helps eliminate microfilariae and interrupt the transmission cycle.</w:t>
      </w:r>
      <w:r w:rsidRPr="00727DFA">
        <w:rPr>
          <w:rFonts w:eastAsia="DengXian" w:cs="Times New Roman"/>
          <w:szCs w:val="24"/>
        </w:rPr>
        <w:t xml:space="preserve"> Diethylcarbamazine is effective against microfilariae and adults of loa loa, </w:t>
      </w:r>
      <w:r w:rsidRPr="00727DFA">
        <w:rPr>
          <w:rFonts w:eastAsia="DengXian" w:cs="Times New Roman"/>
          <w:i/>
          <w:iCs/>
          <w:szCs w:val="24"/>
        </w:rPr>
        <w:t>W. bancrofti</w:t>
      </w:r>
      <w:r w:rsidRPr="00727DFA">
        <w:rPr>
          <w:rFonts w:eastAsia="DengXian" w:cs="Times New Roman"/>
          <w:szCs w:val="24"/>
        </w:rPr>
        <w:t xml:space="preserve">, and </w:t>
      </w:r>
      <w:r w:rsidRPr="00727DFA">
        <w:rPr>
          <w:rFonts w:eastAsia="DengXian" w:cs="Times New Roman"/>
          <w:i/>
          <w:iCs/>
          <w:szCs w:val="24"/>
        </w:rPr>
        <w:t>B. malayi</w:t>
      </w:r>
      <w:r w:rsidRPr="00727DFA">
        <w:rPr>
          <w:rFonts w:eastAsia="DengXian" w:cs="Times New Roman"/>
          <w:szCs w:val="24"/>
        </w:rPr>
        <w:t xml:space="preserve">. Ivermectin is very effective in onchocerciasis, and it is now the drug of choice.  </w:t>
      </w:r>
    </w:p>
    <w:tbl>
      <w:tblPr>
        <w:tblStyle w:val="TableGrid"/>
        <w:tblW w:w="0" w:type="auto"/>
        <w:tblLook w:val="04A0" w:firstRow="1" w:lastRow="0" w:firstColumn="1" w:lastColumn="0" w:noHBand="0" w:noVBand="1"/>
      </w:tblPr>
      <w:tblGrid>
        <w:gridCol w:w="2605"/>
        <w:gridCol w:w="6745"/>
      </w:tblGrid>
      <w:tr w:rsidR="007B485D" w:rsidRPr="00727DFA" w14:paraId="188992A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2BAEFAD" w14:textId="77777777" w:rsidR="007B485D" w:rsidRPr="00873AF2" w:rsidRDefault="007B485D" w:rsidP="002D6DD7">
            <w:pPr>
              <w:keepNext/>
              <w:keepLines/>
              <w:jc w:val="both"/>
              <w:outlineLvl w:val="5"/>
              <w:rPr>
                <w:rFonts w:eastAsia="DengXian Light"/>
                <w:b/>
                <w:bCs/>
                <w:szCs w:val="24"/>
              </w:rPr>
            </w:pPr>
            <w:r w:rsidRPr="00873AF2">
              <w:rPr>
                <w:rFonts w:eastAsia="DengXian Light"/>
                <w:b/>
                <w:szCs w:val="24"/>
              </w:rPr>
              <w:t>Albendazole</w:t>
            </w:r>
          </w:p>
        </w:tc>
      </w:tr>
      <w:tr w:rsidR="007B485D" w:rsidRPr="00727DFA" w14:paraId="06F9490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CB92C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CCA4657" w14:textId="77777777" w:rsidR="007B485D" w:rsidRPr="00873AF2" w:rsidRDefault="007B485D" w:rsidP="002D6DD7">
            <w:pPr>
              <w:keepNext/>
              <w:keepLines/>
              <w:jc w:val="both"/>
              <w:outlineLvl w:val="5"/>
              <w:rPr>
                <w:rFonts w:eastAsia="DengXian Light"/>
                <w:szCs w:val="24"/>
              </w:rPr>
            </w:pPr>
            <w:r w:rsidRPr="00873AF2">
              <w:rPr>
                <w:rFonts w:eastAsia="Times New Roman"/>
                <w:szCs w:val="24"/>
                <w:shd w:val="clear" w:color="auto" w:fill="FFFFFF"/>
              </w:rPr>
              <w:t xml:space="preserve">Benzimidazole, </w:t>
            </w:r>
            <w:r w:rsidRPr="00873AF2">
              <w:rPr>
                <w:rFonts w:eastAsia="Times New Roman"/>
                <w:spacing w:val="-2"/>
                <w:szCs w:val="24"/>
              </w:rPr>
              <w:t>anthelminthic</w:t>
            </w:r>
            <w:r w:rsidRPr="00873AF2">
              <w:rPr>
                <w:rFonts w:eastAsia="DengXian Light"/>
                <w:szCs w:val="24"/>
              </w:rPr>
              <w:t xml:space="preserve"> </w:t>
            </w:r>
          </w:p>
        </w:tc>
      </w:tr>
      <w:tr w:rsidR="007B485D" w:rsidRPr="00727DFA" w14:paraId="52867171"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24746293"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 form</w:t>
            </w:r>
          </w:p>
        </w:tc>
        <w:tc>
          <w:tcPr>
            <w:tcW w:w="6745" w:type="dxa"/>
            <w:tcBorders>
              <w:top w:val="single" w:sz="4" w:space="0" w:color="auto"/>
              <w:left w:val="single" w:sz="4" w:space="0" w:color="auto"/>
              <w:bottom w:val="single" w:sz="4" w:space="0" w:color="auto"/>
              <w:right w:val="single" w:sz="4" w:space="0" w:color="auto"/>
            </w:tcBorders>
            <w:vAlign w:val="center"/>
            <w:hideMark/>
          </w:tcPr>
          <w:p w14:paraId="1FF655A1" w14:textId="77777777" w:rsidR="007B485D" w:rsidRPr="0067611F" w:rsidRDefault="007B485D" w:rsidP="002D6DD7">
            <w:pPr>
              <w:jc w:val="both"/>
              <w:rPr>
                <w:rFonts w:eastAsia="DengXian"/>
                <w:szCs w:val="24"/>
              </w:rPr>
            </w:pPr>
            <w:r w:rsidRPr="0067611F">
              <w:rPr>
                <w:rFonts w:eastAsia="DengXian"/>
                <w:szCs w:val="24"/>
              </w:rPr>
              <w:t>Tablet (chewable): 200mg, 400mg</w:t>
            </w:r>
          </w:p>
          <w:p w14:paraId="483FCC1E" w14:textId="77777777" w:rsidR="007B485D" w:rsidRPr="00873AF2" w:rsidRDefault="007B485D" w:rsidP="002D6DD7">
            <w:pPr>
              <w:keepNext/>
              <w:keepLines/>
              <w:jc w:val="both"/>
              <w:outlineLvl w:val="5"/>
              <w:rPr>
                <w:rFonts w:eastAsia="DengXian Light"/>
                <w:szCs w:val="24"/>
              </w:rPr>
            </w:pPr>
            <w:r w:rsidRPr="00873AF2">
              <w:rPr>
                <w:rFonts w:eastAsia="DengXian Light"/>
                <w:szCs w:val="24"/>
              </w:rPr>
              <w:t>Oral suspension: 100mg/5ml</w:t>
            </w:r>
          </w:p>
        </w:tc>
      </w:tr>
      <w:tr w:rsidR="007B485D" w:rsidRPr="00727DFA" w14:paraId="00AA6260"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0ABACE07"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zCs w:val="24"/>
              </w:rPr>
              <w:t>Indications</w:t>
            </w:r>
          </w:p>
        </w:tc>
        <w:tc>
          <w:tcPr>
            <w:tcW w:w="6745" w:type="dxa"/>
            <w:tcBorders>
              <w:top w:val="single" w:sz="4" w:space="0" w:color="auto"/>
              <w:left w:val="single" w:sz="4" w:space="0" w:color="auto"/>
              <w:bottom w:val="single" w:sz="4" w:space="0" w:color="auto"/>
              <w:right w:val="single" w:sz="4" w:space="0" w:color="auto"/>
            </w:tcBorders>
            <w:vAlign w:val="center"/>
            <w:hideMark/>
          </w:tcPr>
          <w:p w14:paraId="3B7E8B14" w14:textId="77777777" w:rsidR="007B485D" w:rsidRPr="00727DFA" w:rsidRDefault="007B485D" w:rsidP="002D6DD7">
            <w:pPr>
              <w:jc w:val="both"/>
              <w:rPr>
                <w:rFonts w:eastAsia="Times New Roman"/>
                <w:szCs w:val="24"/>
              </w:rPr>
            </w:pPr>
            <w:r w:rsidRPr="0067611F">
              <w:rPr>
                <w:rFonts w:eastAsia="DengXian"/>
                <w:szCs w:val="24"/>
              </w:rPr>
              <w:t>Lymphatic filariasis</w:t>
            </w:r>
            <w:r>
              <w:rPr>
                <w:rFonts w:eastAsia="DengXian"/>
                <w:szCs w:val="24"/>
              </w:rPr>
              <w:t>,</w:t>
            </w:r>
            <w:r>
              <w:t xml:space="preserve"> </w:t>
            </w:r>
            <w:r>
              <w:rPr>
                <w:rFonts w:eastAsia="DengXian"/>
                <w:szCs w:val="24"/>
              </w:rPr>
              <w:t>c</w:t>
            </w:r>
            <w:r w:rsidRPr="00727DFA">
              <w:rPr>
                <w:rFonts w:eastAsia="DengXian"/>
                <w:szCs w:val="24"/>
              </w:rPr>
              <w:t xml:space="preserve">hronic strongyloidiasis infection, hydatid disease, hookworm infections, </w:t>
            </w:r>
            <w:r w:rsidRPr="00727DFA">
              <w:rPr>
                <w:rFonts w:eastAsia="DengXian"/>
                <w:bCs/>
                <w:szCs w:val="24"/>
              </w:rPr>
              <w:t>capillariasis</w:t>
            </w:r>
            <w:r>
              <w:rPr>
                <w:rFonts w:eastAsia="DengXian"/>
                <w:szCs w:val="24"/>
              </w:rPr>
              <w:t>.</w:t>
            </w:r>
          </w:p>
        </w:tc>
      </w:tr>
      <w:tr w:rsidR="007B485D" w:rsidRPr="00727DFA" w14:paraId="13E7549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8CA3C4"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Pr>
                <w:rFonts w:eastAsia="Times New Roman"/>
                <w:szCs w:val="24"/>
              </w:rPr>
              <w:t>a</w:t>
            </w:r>
            <w:r w:rsidRPr="00727DFA">
              <w:rPr>
                <w:rFonts w:eastAsia="Times New Roman"/>
                <w:szCs w:val="24"/>
              </w:rPr>
              <w:t>dministration</w:t>
            </w:r>
          </w:p>
        </w:tc>
        <w:tc>
          <w:tcPr>
            <w:tcW w:w="6745" w:type="dxa"/>
            <w:tcBorders>
              <w:top w:val="single" w:sz="4" w:space="0" w:color="auto"/>
              <w:left w:val="single" w:sz="4" w:space="0" w:color="auto"/>
              <w:bottom w:val="single" w:sz="4" w:space="0" w:color="auto"/>
              <w:right w:val="single" w:sz="4" w:space="0" w:color="auto"/>
            </w:tcBorders>
            <w:vAlign w:val="center"/>
            <w:hideMark/>
          </w:tcPr>
          <w:p w14:paraId="65735418" w14:textId="77777777" w:rsidR="007B485D" w:rsidRPr="00727DFA" w:rsidRDefault="007B485D" w:rsidP="002D6DD7">
            <w:pPr>
              <w:ind w:left="90"/>
              <w:jc w:val="both"/>
              <w:rPr>
                <w:rFonts w:eastAsia="DengXian"/>
                <w:szCs w:val="24"/>
              </w:rPr>
            </w:pPr>
            <w:r w:rsidRPr="00727DFA">
              <w:rPr>
                <w:rFonts w:eastAsia="DengXian"/>
                <w:b/>
                <w:szCs w:val="24"/>
              </w:rPr>
              <w:t xml:space="preserve">Chronic Strongyloidiasis infection, </w:t>
            </w:r>
            <w:r w:rsidRPr="00727DFA">
              <w:rPr>
                <w:rFonts w:eastAsia="DengXian"/>
                <w:szCs w:val="24"/>
              </w:rPr>
              <w:t>Oral:</w:t>
            </w:r>
          </w:p>
          <w:p w14:paraId="146E0369" w14:textId="77777777" w:rsidR="007B485D" w:rsidRPr="00727DFA" w:rsidRDefault="007B485D" w:rsidP="002D6DD7">
            <w:pPr>
              <w:ind w:left="90"/>
              <w:jc w:val="both"/>
              <w:rPr>
                <w:rFonts w:eastAsia="DengXian"/>
                <w:szCs w:val="24"/>
              </w:rPr>
            </w:pPr>
            <w:r w:rsidRPr="00727DFA">
              <w:rPr>
                <w:rFonts w:eastAsia="DengXian"/>
                <w:b/>
                <w:szCs w:val="24"/>
              </w:rPr>
              <w:t>Adult</w:t>
            </w:r>
            <w:r w:rsidRPr="00727DFA">
              <w:rPr>
                <w:rFonts w:eastAsia="DengXian"/>
                <w:szCs w:val="24"/>
              </w:rPr>
              <w:t>: 400 mg twice daily for 3 days, dose may be repeated after 3 weeks if necessary.</w:t>
            </w:r>
          </w:p>
          <w:p w14:paraId="5B85977A" w14:textId="77777777" w:rsidR="007B485D" w:rsidRPr="00727DFA" w:rsidRDefault="007B485D" w:rsidP="002D6DD7">
            <w:pPr>
              <w:ind w:left="90"/>
              <w:jc w:val="both"/>
              <w:rPr>
                <w:rFonts w:eastAsia="DengXian"/>
                <w:szCs w:val="24"/>
              </w:rPr>
            </w:pPr>
            <w:r w:rsidRPr="00727DFA">
              <w:rPr>
                <w:rFonts w:eastAsia="DengXian"/>
                <w:b/>
                <w:szCs w:val="24"/>
              </w:rPr>
              <w:t>Child &gt; 2 years</w:t>
            </w:r>
            <w:r w:rsidRPr="00727DFA">
              <w:rPr>
                <w:rFonts w:eastAsia="DengXian"/>
                <w:szCs w:val="24"/>
              </w:rPr>
              <w:t>: 400 mg once or twice daily for 3–7 days; dose may be repeated after 3 weeks if necessary.</w:t>
            </w:r>
          </w:p>
          <w:p w14:paraId="2F111656" w14:textId="77777777" w:rsidR="007B485D" w:rsidRPr="00727DFA" w:rsidRDefault="007B485D" w:rsidP="002D6DD7">
            <w:pPr>
              <w:ind w:left="90"/>
              <w:jc w:val="both"/>
              <w:rPr>
                <w:rFonts w:eastAsia="DengXian"/>
                <w:b/>
                <w:szCs w:val="24"/>
              </w:rPr>
            </w:pPr>
            <w:r w:rsidRPr="00727DFA">
              <w:rPr>
                <w:rFonts w:eastAsia="DengXian"/>
                <w:b/>
                <w:szCs w:val="24"/>
              </w:rPr>
              <w:t xml:space="preserve">Hydatid disease (cystic echinococcosis, dog tapeworm), </w:t>
            </w:r>
            <w:r w:rsidRPr="00727DFA">
              <w:rPr>
                <w:rFonts w:eastAsia="DengXian"/>
                <w:szCs w:val="24"/>
              </w:rPr>
              <w:t>oral:</w:t>
            </w:r>
          </w:p>
          <w:p w14:paraId="3D92B41D" w14:textId="77777777" w:rsidR="007B485D" w:rsidRPr="00727DFA" w:rsidRDefault="007B485D" w:rsidP="002D6DD7">
            <w:pPr>
              <w:ind w:left="90"/>
              <w:jc w:val="both"/>
              <w:rPr>
                <w:rFonts w:eastAsia="DengXian"/>
                <w:szCs w:val="24"/>
              </w:rPr>
            </w:pPr>
            <w:r w:rsidRPr="00727DFA">
              <w:rPr>
                <w:rFonts w:eastAsia="DengXian"/>
                <w:b/>
                <w:szCs w:val="24"/>
              </w:rPr>
              <w:t>Adult &lt; 60 kg</w:t>
            </w:r>
            <w:r w:rsidRPr="00727DFA">
              <w:rPr>
                <w:rFonts w:eastAsia="DengXian"/>
                <w:szCs w:val="24"/>
              </w:rPr>
              <w:t xml:space="preserve">: 15 mg/kg daily in 2 divided doses (maximum daily dose, 800 mg) for 28 days followed by 14 tablet-free days, up to 3 courses may be given. </w:t>
            </w:r>
          </w:p>
          <w:p w14:paraId="40149254" w14:textId="77777777" w:rsidR="007B485D" w:rsidRPr="00727DFA" w:rsidRDefault="007B485D" w:rsidP="002D6DD7">
            <w:pPr>
              <w:ind w:left="90"/>
              <w:jc w:val="both"/>
              <w:rPr>
                <w:rFonts w:eastAsia="DengXian"/>
                <w:szCs w:val="24"/>
              </w:rPr>
            </w:pPr>
            <w:r w:rsidRPr="00727DFA">
              <w:rPr>
                <w:rFonts w:eastAsia="DengXian"/>
                <w:b/>
                <w:szCs w:val="24"/>
              </w:rPr>
              <w:t>Adult ≥ 60 kg</w:t>
            </w:r>
            <w:r w:rsidRPr="00727DFA">
              <w:rPr>
                <w:rFonts w:eastAsia="DengXian"/>
                <w:szCs w:val="24"/>
              </w:rPr>
              <w:t>: 800 mg daily in 2 divided doses for 28 days followed by 14 tablet-free days</w:t>
            </w:r>
            <w:r>
              <w:rPr>
                <w:rFonts w:eastAsia="DengXian"/>
                <w:szCs w:val="24"/>
              </w:rPr>
              <w:t xml:space="preserve"> * 3 cycles</w:t>
            </w:r>
          </w:p>
          <w:p w14:paraId="703E7987" w14:textId="77777777" w:rsidR="007B485D" w:rsidRPr="00727DFA" w:rsidRDefault="007B485D" w:rsidP="002D6DD7">
            <w:pPr>
              <w:ind w:left="90"/>
              <w:jc w:val="both"/>
              <w:rPr>
                <w:rFonts w:eastAsia="DengXian"/>
                <w:szCs w:val="24"/>
              </w:rPr>
            </w:pPr>
            <w:r w:rsidRPr="00727DFA">
              <w:rPr>
                <w:rFonts w:eastAsia="DengXian"/>
                <w:b/>
                <w:szCs w:val="24"/>
              </w:rPr>
              <w:t xml:space="preserve">Child 2–17 years: </w:t>
            </w:r>
            <w:r w:rsidRPr="00727DFA">
              <w:rPr>
                <w:rFonts w:eastAsia="DengXian"/>
                <w:szCs w:val="24"/>
              </w:rPr>
              <w:t xml:space="preserve">7.5 mg/kg twice daily (max. per dose 400 mg twice daily) for 28 days followed by 14-day break, repeated for up to 2–3 cycles. </w:t>
            </w:r>
          </w:p>
          <w:p w14:paraId="27C92828" w14:textId="77777777" w:rsidR="007B485D" w:rsidRPr="00727DFA" w:rsidRDefault="007B485D" w:rsidP="002D6DD7">
            <w:pPr>
              <w:ind w:left="90"/>
              <w:jc w:val="both"/>
              <w:rPr>
                <w:rFonts w:eastAsia="DengXian"/>
                <w:szCs w:val="24"/>
              </w:rPr>
            </w:pPr>
            <w:r w:rsidRPr="00727DFA">
              <w:rPr>
                <w:rFonts w:eastAsia="DengXian"/>
                <w:b/>
                <w:szCs w:val="24"/>
              </w:rPr>
              <w:lastRenderedPageBreak/>
              <w:t>Capillariasis</w:t>
            </w:r>
            <w:r w:rsidRPr="00727DFA">
              <w:rPr>
                <w:rFonts w:eastAsia="DengXian"/>
                <w:szCs w:val="24"/>
              </w:rPr>
              <w:t>, Oral:</w:t>
            </w:r>
          </w:p>
          <w:p w14:paraId="6B164099" w14:textId="77777777" w:rsidR="007B485D" w:rsidRPr="00727DFA" w:rsidRDefault="007B485D" w:rsidP="002D6DD7">
            <w:pPr>
              <w:ind w:left="90"/>
              <w:jc w:val="both"/>
              <w:rPr>
                <w:rFonts w:eastAsia="DengXian"/>
                <w:szCs w:val="24"/>
              </w:rPr>
            </w:pPr>
            <w:r w:rsidRPr="00727DFA">
              <w:rPr>
                <w:rFonts w:eastAsia="DengXian"/>
                <w:b/>
                <w:szCs w:val="24"/>
              </w:rPr>
              <w:t>Adult</w:t>
            </w:r>
            <w:r w:rsidRPr="00727DFA">
              <w:rPr>
                <w:rFonts w:eastAsia="DengXian"/>
                <w:szCs w:val="24"/>
              </w:rPr>
              <w:t>: 400 mg daily for 10 days</w:t>
            </w:r>
          </w:p>
          <w:p w14:paraId="4FB92504" w14:textId="77777777" w:rsidR="007B485D" w:rsidRDefault="007B485D" w:rsidP="002D6DD7">
            <w:pPr>
              <w:jc w:val="both"/>
              <w:rPr>
                <w:rFonts w:eastAsia="DengXian"/>
                <w:szCs w:val="24"/>
              </w:rPr>
            </w:pPr>
            <w:r w:rsidRPr="00727DFA">
              <w:rPr>
                <w:rFonts w:eastAsia="DengXian"/>
                <w:b/>
                <w:szCs w:val="24"/>
              </w:rPr>
              <w:t>Child</w:t>
            </w:r>
            <w:r w:rsidRPr="00727DFA">
              <w:rPr>
                <w:rFonts w:eastAsia="DengXian"/>
                <w:szCs w:val="24"/>
              </w:rPr>
              <w:t xml:space="preserve"> </w:t>
            </w:r>
            <w:r w:rsidRPr="00727DFA">
              <w:rPr>
                <w:rFonts w:eastAsia="DengXian"/>
                <w:b/>
                <w:szCs w:val="24"/>
              </w:rPr>
              <w:t>&gt; 2 years</w:t>
            </w:r>
            <w:r w:rsidRPr="00727DFA">
              <w:rPr>
                <w:rFonts w:eastAsia="DengXian"/>
                <w:szCs w:val="24"/>
              </w:rPr>
              <w:t>: 400 mg daily for 10 days.</w:t>
            </w:r>
          </w:p>
          <w:p w14:paraId="0CCDF8FA" w14:textId="77777777" w:rsidR="007B485D" w:rsidRPr="00873AF2" w:rsidRDefault="007B485D" w:rsidP="002D6DD7">
            <w:pPr>
              <w:jc w:val="both"/>
              <w:rPr>
                <w:rFonts w:eastAsia="DengXian"/>
                <w:b/>
                <w:bCs/>
                <w:szCs w:val="24"/>
              </w:rPr>
            </w:pPr>
            <w:r w:rsidRPr="00873AF2">
              <w:rPr>
                <w:rFonts w:eastAsia="DengXian"/>
                <w:b/>
                <w:bCs/>
                <w:szCs w:val="24"/>
              </w:rPr>
              <w:t>Lymphatic filariasis:</w:t>
            </w:r>
          </w:p>
          <w:p w14:paraId="54D53F39" w14:textId="77777777" w:rsidR="007B485D" w:rsidRPr="00727DFA" w:rsidRDefault="007B485D" w:rsidP="002D6DD7">
            <w:pPr>
              <w:jc w:val="both"/>
              <w:rPr>
                <w:rFonts w:eastAsia="DengXian"/>
                <w:szCs w:val="24"/>
              </w:rPr>
            </w:pPr>
            <w:r w:rsidRPr="00873AF2">
              <w:rPr>
                <w:b/>
                <w:bCs/>
                <w:szCs w:val="24"/>
                <w:shd w:val="clear" w:color="auto" w:fill="FFFFFF"/>
              </w:rPr>
              <w:t>A</w:t>
            </w:r>
            <w:r w:rsidRPr="00873AF2">
              <w:rPr>
                <w:b/>
                <w:bCs/>
                <w:szCs w:val="24"/>
              </w:rPr>
              <w:t>dult</w:t>
            </w:r>
            <w:r w:rsidRPr="00873AF2">
              <w:rPr>
                <w:szCs w:val="24"/>
              </w:rPr>
              <w:t xml:space="preserve">: </w:t>
            </w:r>
            <w:r w:rsidRPr="00873AF2">
              <w:rPr>
                <w:rStyle w:val="Emphasis"/>
                <w:i w:val="0"/>
                <w:iCs w:val="0"/>
                <w:szCs w:val="24"/>
                <w:shd w:val="clear" w:color="auto" w:fill="FFFFFF"/>
              </w:rPr>
              <w:t>400 mg alone twice per year for areas co-endemic with loiasis</w:t>
            </w:r>
            <w:r>
              <w:rPr>
                <w:rStyle w:val="Emphasis"/>
                <w:i w:val="0"/>
                <w:iCs w:val="0"/>
                <w:szCs w:val="24"/>
                <w:shd w:val="clear" w:color="auto" w:fill="FFFFFF"/>
              </w:rPr>
              <w:t>.</w:t>
            </w:r>
          </w:p>
        </w:tc>
      </w:tr>
      <w:tr w:rsidR="007B485D" w:rsidRPr="00727DFA" w14:paraId="2FD9849E"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2CA4C10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478E0EC5" w14:textId="77777777" w:rsidR="007B485D" w:rsidRPr="00727DFA" w:rsidRDefault="007B485D" w:rsidP="002D6DD7">
            <w:pPr>
              <w:widowControl w:val="0"/>
              <w:autoSpaceDE w:val="0"/>
              <w:autoSpaceDN w:val="0"/>
              <w:jc w:val="both"/>
              <w:rPr>
                <w:rFonts w:eastAsia="Candara-Italic"/>
                <w:b/>
                <w:iCs/>
                <w:szCs w:val="24"/>
              </w:rPr>
            </w:pPr>
            <w:r>
              <w:rPr>
                <w:rFonts w:eastAsia="Times New Roman"/>
                <w:spacing w:val="-2"/>
                <w:szCs w:val="24"/>
              </w:rPr>
              <w:t>H</w:t>
            </w:r>
            <w:r w:rsidRPr="00727DFA">
              <w:rPr>
                <w:rFonts w:eastAsia="Times New Roman"/>
                <w:spacing w:val="-2"/>
                <w:szCs w:val="24"/>
              </w:rPr>
              <w:t xml:space="preserve">ypersensitivity to albendazole or </w:t>
            </w:r>
            <w:r>
              <w:rPr>
                <w:rFonts w:eastAsia="Times New Roman"/>
                <w:spacing w:val="-2"/>
                <w:szCs w:val="24"/>
              </w:rPr>
              <w:t>other</w:t>
            </w:r>
            <w:r w:rsidRPr="00727DFA">
              <w:rPr>
                <w:rFonts w:eastAsia="Times New Roman"/>
                <w:spacing w:val="-2"/>
                <w:szCs w:val="24"/>
              </w:rPr>
              <w:t xml:space="preserve"> benzimidazole</w:t>
            </w:r>
            <w:r>
              <w:rPr>
                <w:rFonts w:eastAsia="Times New Roman"/>
                <w:spacing w:val="-2"/>
                <w:szCs w:val="24"/>
              </w:rPr>
              <w:t>s.</w:t>
            </w:r>
          </w:p>
        </w:tc>
      </w:tr>
      <w:tr w:rsidR="007B485D" w:rsidRPr="00727DFA" w14:paraId="6B615FCA"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46C16E33"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 interactions</w:t>
            </w:r>
          </w:p>
        </w:tc>
        <w:tc>
          <w:tcPr>
            <w:tcW w:w="6745" w:type="dxa"/>
            <w:tcBorders>
              <w:top w:val="single" w:sz="4" w:space="0" w:color="auto"/>
              <w:left w:val="single" w:sz="4" w:space="0" w:color="auto"/>
              <w:bottom w:val="single" w:sz="4" w:space="0" w:color="auto"/>
              <w:right w:val="single" w:sz="4" w:space="0" w:color="auto"/>
            </w:tcBorders>
            <w:hideMark/>
          </w:tcPr>
          <w:p w14:paraId="05AD7B57"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Dexamethasone, praziquantel, fosphenytoin, phenytoin, cimetidine, praziquantel,</w:t>
            </w:r>
            <w:r>
              <w:rPr>
                <w:rFonts w:eastAsia="Times New Roman"/>
                <w:szCs w:val="24"/>
              </w:rPr>
              <w:t xml:space="preserve"> ropeginterferon,</w:t>
            </w:r>
            <w:r w:rsidRPr="00727DFA">
              <w:rPr>
                <w:rFonts w:eastAsia="Times New Roman"/>
                <w:szCs w:val="24"/>
              </w:rPr>
              <w:t xml:space="preserve"> carbamazepine, ritonavir, phenobarbital, and grapefruit</w:t>
            </w:r>
          </w:p>
        </w:tc>
      </w:tr>
      <w:tr w:rsidR="007B485D" w:rsidRPr="00727DFA" w14:paraId="7FF61E7F"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11A4C88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 effects</w:t>
            </w:r>
          </w:p>
        </w:tc>
        <w:tc>
          <w:tcPr>
            <w:tcW w:w="6745" w:type="dxa"/>
            <w:tcBorders>
              <w:top w:val="single" w:sz="4" w:space="0" w:color="auto"/>
              <w:left w:val="single" w:sz="4" w:space="0" w:color="auto"/>
              <w:bottom w:val="single" w:sz="4" w:space="0" w:color="auto"/>
              <w:right w:val="single" w:sz="4" w:space="0" w:color="auto"/>
            </w:tcBorders>
            <w:hideMark/>
          </w:tcPr>
          <w:p w14:paraId="79AD147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GI disturbances, headache, dizziness, increases in liver enzymes, reversible alopecia, rash, fever, bone marrow suppression (leukopenia and rarely, pancytopenia), allergic shock if cyst leakage, convulsions and meningism in cerebral disease, blurred vision, rhabdomyolysis, acute renal failure, erythema multiforme, Steven-Johnson syndrome</w:t>
            </w:r>
            <w:r>
              <w:rPr>
                <w:rFonts w:eastAsia="Times New Roman"/>
                <w:szCs w:val="24"/>
              </w:rPr>
              <w:t>.</w:t>
            </w:r>
          </w:p>
        </w:tc>
      </w:tr>
      <w:tr w:rsidR="007B485D" w:rsidRPr="00727DFA" w14:paraId="4396EF5B"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1FFCDA4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24DF40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Breastfeeding, pregnancy, in patients with neurocysticercosis, retinal lesions, liver disease</w:t>
            </w:r>
            <w:r>
              <w:rPr>
                <w:rFonts w:eastAsia="Times New Roman"/>
                <w:szCs w:val="24"/>
              </w:rPr>
              <w:t>.</w:t>
            </w:r>
          </w:p>
        </w:tc>
      </w:tr>
      <w:tr w:rsidR="007B485D" w:rsidRPr="00727DFA" w14:paraId="0B414BFE" w14:textId="77777777" w:rsidTr="002D6DD7">
        <w:tc>
          <w:tcPr>
            <w:tcW w:w="2605" w:type="dxa"/>
            <w:tcBorders>
              <w:top w:val="single" w:sz="4" w:space="0" w:color="auto"/>
              <w:left w:val="single" w:sz="4" w:space="0" w:color="auto"/>
              <w:bottom w:val="single" w:sz="4" w:space="0" w:color="auto"/>
              <w:right w:val="single" w:sz="4" w:space="0" w:color="auto"/>
            </w:tcBorders>
            <w:vAlign w:val="center"/>
            <w:hideMark/>
          </w:tcPr>
          <w:p w14:paraId="10694EDA"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3302BE0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o</w:t>
            </w:r>
            <w:r w:rsidRPr="00727DFA">
              <w:rPr>
                <w:rFonts w:eastAsia="Times New Roman"/>
                <w:szCs w:val="24"/>
              </w:rPr>
              <w:t>C</w:t>
            </w:r>
            <w:r>
              <w:rPr>
                <w:rFonts w:eastAsia="Times New Roman"/>
                <w:szCs w:val="24"/>
              </w:rPr>
              <w:t>.</w:t>
            </w:r>
          </w:p>
        </w:tc>
      </w:tr>
      <w:tr w:rsidR="007B485D" w:rsidRPr="00727DFA" w14:paraId="08684C4F" w14:textId="77777777" w:rsidTr="002D6DD7">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30D184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spacing w:val="-2"/>
                <w:szCs w:val="24"/>
              </w:rPr>
              <w:t xml:space="preserve">Diethylcarbamazine </w:t>
            </w:r>
            <w:r>
              <w:rPr>
                <w:rFonts w:eastAsia="Times New Roman"/>
                <w:b/>
                <w:spacing w:val="-2"/>
                <w:szCs w:val="24"/>
              </w:rPr>
              <w:t>c</w:t>
            </w:r>
            <w:r w:rsidRPr="00727DFA">
              <w:rPr>
                <w:rFonts w:eastAsia="Times New Roman"/>
                <w:b/>
                <w:spacing w:val="-2"/>
                <w:szCs w:val="24"/>
              </w:rPr>
              <w:t>itrate</w:t>
            </w:r>
          </w:p>
        </w:tc>
      </w:tr>
      <w:tr w:rsidR="007B485D" w:rsidRPr="00727DFA" w14:paraId="6060405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442C3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6662338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 </w:t>
            </w:r>
            <w:r w:rsidRPr="00727DFA">
              <w:rPr>
                <w:rFonts w:eastAsia="DengXian"/>
                <w:szCs w:val="24"/>
              </w:rPr>
              <w:t xml:space="preserve">Piperazine derivative </w:t>
            </w:r>
            <w:r w:rsidRPr="00727DFA">
              <w:rPr>
                <w:rFonts w:eastAsia="Times New Roman"/>
                <w:szCs w:val="24"/>
              </w:rPr>
              <w:t xml:space="preserve">anthelmintic </w:t>
            </w:r>
          </w:p>
        </w:tc>
      </w:tr>
      <w:tr w:rsidR="007B485D" w:rsidRPr="00810924" w14:paraId="446D841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9182E7"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w:t>
            </w:r>
            <w:r w:rsidRPr="00727DFA">
              <w:rPr>
                <w:rFonts w:eastAsia="Times New Roman"/>
                <w:spacing w:val="-5"/>
                <w:szCs w:val="24"/>
              </w:rPr>
              <w:t xml:space="preserve"> </w:t>
            </w:r>
            <w:r w:rsidRPr="00727DFA">
              <w:rPr>
                <w:rFonts w:eastAsia="Times New Rom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5457B953" w14:textId="77777777" w:rsidR="007B485D" w:rsidRPr="00727DFA" w:rsidRDefault="007B485D" w:rsidP="002D6DD7">
            <w:pPr>
              <w:widowControl w:val="0"/>
              <w:autoSpaceDE w:val="0"/>
              <w:autoSpaceDN w:val="0"/>
              <w:jc w:val="both"/>
              <w:rPr>
                <w:rFonts w:eastAsia="Times New Roman"/>
                <w:szCs w:val="24"/>
                <w:lang w:val="nb-NO"/>
              </w:rPr>
            </w:pPr>
            <w:r w:rsidRPr="00727DFA">
              <w:rPr>
                <w:rFonts w:eastAsia="Times New Roman"/>
                <w:szCs w:val="24"/>
                <w:lang w:val="nb-NO"/>
              </w:rPr>
              <w:t>Tablet</w:t>
            </w:r>
            <w:r w:rsidRPr="00727DFA">
              <w:rPr>
                <w:rFonts w:eastAsia="Times New Roman"/>
                <w:spacing w:val="-2"/>
                <w:szCs w:val="24"/>
                <w:lang w:val="nb-NO"/>
              </w:rPr>
              <w:t xml:space="preserve"> </w:t>
            </w:r>
            <w:r w:rsidRPr="00727DFA">
              <w:rPr>
                <w:rFonts w:eastAsia="Times New Roman"/>
                <w:szCs w:val="24"/>
                <w:lang w:val="nb-NO"/>
              </w:rPr>
              <w:t>(</w:t>
            </w:r>
            <w:r w:rsidRPr="00727DFA">
              <w:rPr>
                <w:rFonts w:eastAsia="Times New Roman"/>
                <w:spacing w:val="-4"/>
                <w:szCs w:val="24"/>
                <w:lang w:val="nb-NO"/>
              </w:rPr>
              <w:t xml:space="preserve"> </w:t>
            </w:r>
            <w:r w:rsidRPr="00727DFA">
              <w:rPr>
                <w:rFonts w:eastAsia="Times New Roman"/>
                <w:szCs w:val="24"/>
                <w:lang w:val="nb-NO"/>
              </w:rPr>
              <w:t>dihydrogen</w:t>
            </w:r>
            <w:r w:rsidRPr="00727DFA">
              <w:rPr>
                <w:rFonts w:eastAsia="Times New Roman"/>
                <w:spacing w:val="-3"/>
                <w:szCs w:val="24"/>
                <w:lang w:val="nb-NO"/>
              </w:rPr>
              <w:t xml:space="preserve"> </w:t>
            </w:r>
            <w:r w:rsidRPr="00727DFA">
              <w:rPr>
                <w:rFonts w:eastAsia="Times New Roman"/>
                <w:szCs w:val="24"/>
                <w:lang w:val="nb-NO"/>
              </w:rPr>
              <w:t>citrate):</w:t>
            </w:r>
            <w:r w:rsidRPr="00727DFA">
              <w:rPr>
                <w:rFonts w:eastAsia="Times New Roman"/>
                <w:spacing w:val="-3"/>
                <w:szCs w:val="24"/>
                <w:lang w:val="nb-NO"/>
              </w:rPr>
              <w:t xml:space="preserve"> </w:t>
            </w:r>
            <w:r w:rsidRPr="00727DFA">
              <w:rPr>
                <w:rFonts w:eastAsia="Times New Roman"/>
                <w:szCs w:val="24"/>
                <w:lang w:val="nb-NO"/>
              </w:rPr>
              <w:t>50mg,</w:t>
            </w:r>
            <w:r w:rsidRPr="00727DFA">
              <w:rPr>
                <w:rFonts w:eastAsia="Times New Roman"/>
                <w:spacing w:val="-4"/>
                <w:szCs w:val="24"/>
                <w:lang w:val="nb-NO"/>
              </w:rPr>
              <w:t xml:space="preserve"> </w:t>
            </w:r>
            <w:r w:rsidRPr="00727DFA">
              <w:rPr>
                <w:rFonts w:eastAsia="Times New Roman"/>
                <w:spacing w:val="-2"/>
                <w:szCs w:val="24"/>
                <w:lang w:val="nb-NO"/>
              </w:rPr>
              <w:t>100mg</w:t>
            </w:r>
          </w:p>
        </w:tc>
      </w:tr>
      <w:tr w:rsidR="007B485D" w:rsidRPr="00727DFA" w14:paraId="2B26745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711F27"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66C4E8D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Treatment of lymphatic filariasis due to </w:t>
            </w:r>
            <w:r w:rsidRPr="00727DFA">
              <w:rPr>
                <w:rFonts w:eastAsia="Times New Roman"/>
                <w:i/>
                <w:iCs/>
                <w:szCs w:val="24"/>
              </w:rPr>
              <w:t xml:space="preserve">W.  bancrofti </w:t>
            </w:r>
            <w:r w:rsidRPr="00727DFA">
              <w:rPr>
                <w:rFonts w:eastAsia="Times New Roman"/>
                <w:szCs w:val="24"/>
              </w:rPr>
              <w:t xml:space="preserve">(bancroftian filariasis), </w:t>
            </w:r>
            <w:r w:rsidRPr="00727DFA">
              <w:rPr>
                <w:rFonts w:eastAsia="Times New Roman"/>
                <w:i/>
                <w:iCs/>
                <w:szCs w:val="24"/>
              </w:rPr>
              <w:t>B. malayi</w:t>
            </w:r>
            <w:r w:rsidRPr="00727DFA">
              <w:rPr>
                <w:rFonts w:eastAsia="Times New Roman"/>
                <w:szCs w:val="24"/>
              </w:rPr>
              <w:t xml:space="preserve">, or </w:t>
            </w:r>
            <w:r w:rsidRPr="00727DFA">
              <w:rPr>
                <w:rFonts w:eastAsia="Times New Roman"/>
                <w:i/>
                <w:iCs/>
                <w:szCs w:val="24"/>
              </w:rPr>
              <w:t>B. timori</w:t>
            </w:r>
            <w:r w:rsidRPr="00727DFA">
              <w:rPr>
                <w:rFonts w:eastAsia="Times New Roman"/>
                <w:szCs w:val="24"/>
              </w:rPr>
              <w:t>, Loa loa infections</w:t>
            </w:r>
            <w:r>
              <w:rPr>
                <w:rFonts w:eastAsia="Times New Roman"/>
                <w:szCs w:val="24"/>
              </w:rPr>
              <w:t>.</w:t>
            </w:r>
          </w:p>
        </w:tc>
      </w:tr>
      <w:tr w:rsidR="007B485D" w:rsidRPr="00727DFA" w14:paraId="6A16E73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D4A6327"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sidRPr="00727DFA">
              <w:rPr>
                <w:rFonts w:eastAsia="Times New Rom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29CAD3CB"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szCs w:val="24"/>
              </w:rPr>
              <w:t>Lymphatic filariasis (bancroftian)</w:t>
            </w:r>
            <w:r w:rsidRPr="00727DFA">
              <w:rPr>
                <w:rFonts w:eastAsia="Times New Roman"/>
                <w:szCs w:val="24"/>
              </w:rPr>
              <w:t>, Oral:</w:t>
            </w:r>
          </w:p>
          <w:p w14:paraId="652BD9B4"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bCs/>
                <w:szCs w:val="24"/>
              </w:rPr>
              <w:t>Adult and Child ≥10 years</w:t>
            </w:r>
            <w:r w:rsidRPr="00727DFA">
              <w:rPr>
                <w:rFonts w:eastAsia="Times New Roman"/>
                <w:szCs w:val="24"/>
              </w:rPr>
              <w:t>: 6mg/kg daily, preferably in divided doses after meals, for 21 days.</w:t>
            </w:r>
          </w:p>
          <w:p w14:paraId="5E4BA8C1"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bCs/>
                <w:szCs w:val="24"/>
              </w:rPr>
              <w:t>Child &lt; 10 years</w:t>
            </w:r>
            <w:r w:rsidRPr="00727DFA">
              <w:rPr>
                <w:rFonts w:eastAsia="Times New Roman"/>
                <w:szCs w:val="24"/>
              </w:rPr>
              <w:t>: half the adult dose</w:t>
            </w:r>
          </w:p>
          <w:p w14:paraId="1795D034" w14:textId="77777777" w:rsidR="007B485D" w:rsidRDefault="007B485D" w:rsidP="002D6DD7">
            <w:pPr>
              <w:widowControl w:val="0"/>
              <w:autoSpaceDE w:val="0"/>
              <w:autoSpaceDN w:val="0"/>
              <w:ind w:left="93" w:right="185"/>
              <w:jc w:val="both"/>
              <w:rPr>
                <w:rFonts w:eastAsia="Times New Roman"/>
                <w:szCs w:val="24"/>
              </w:rPr>
            </w:pPr>
            <w:r w:rsidRPr="00873AF2">
              <w:rPr>
                <w:rFonts w:eastAsia="Times New Roman"/>
                <w:b/>
                <w:bCs/>
                <w:szCs w:val="24"/>
              </w:rPr>
              <w:t>Mass treatment program:</w:t>
            </w:r>
            <w:r w:rsidRPr="00727DFA">
              <w:rPr>
                <w:rFonts w:eastAsia="Times New Roman"/>
                <w:szCs w:val="24"/>
              </w:rPr>
              <w:t xml:space="preserve"> </w:t>
            </w:r>
          </w:p>
          <w:p w14:paraId="6961176E" w14:textId="77777777" w:rsidR="007B485D" w:rsidRDefault="007B485D" w:rsidP="002D6DD7">
            <w:pPr>
              <w:widowControl w:val="0"/>
              <w:autoSpaceDE w:val="0"/>
              <w:autoSpaceDN w:val="0"/>
              <w:ind w:left="93" w:right="185"/>
              <w:jc w:val="both"/>
              <w:rPr>
                <w:rFonts w:eastAsia="Times New Roman"/>
                <w:szCs w:val="24"/>
              </w:rPr>
            </w:pPr>
            <w:r w:rsidRPr="00873AF2">
              <w:rPr>
                <w:rFonts w:eastAsia="Times New Roman"/>
                <w:b/>
                <w:bCs/>
                <w:szCs w:val="24"/>
              </w:rPr>
              <w:t>Adult and child ≥10 years</w:t>
            </w:r>
            <w:r w:rsidRPr="00727DFA">
              <w:rPr>
                <w:rFonts w:eastAsia="Times New Roman"/>
                <w:szCs w:val="24"/>
              </w:rPr>
              <w:t>: 6mg/kg in divided doses over 24 hours, once a year</w:t>
            </w:r>
          </w:p>
          <w:p w14:paraId="4CCCCE2C"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szCs w:val="24"/>
              </w:rPr>
              <w:lastRenderedPageBreak/>
              <w:t xml:space="preserve"> </w:t>
            </w:r>
            <w:r w:rsidRPr="00873AF2">
              <w:rPr>
                <w:rFonts w:eastAsia="Times New Roman"/>
                <w:b/>
                <w:bCs/>
                <w:szCs w:val="24"/>
              </w:rPr>
              <w:t>Child &lt; 10 years</w:t>
            </w:r>
            <w:r w:rsidRPr="00727DFA">
              <w:rPr>
                <w:rFonts w:eastAsia="Times New Roman"/>
                <w:szCs w:val="24"/>
              </w:rPr>
              <w:t>: half the adult dose</w:t>
            </w:r>
          </w:p>
          <w:p w14:paraId="680E4772"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szCs w:val="24"/>
              </w:rPr>
              <w:t>Lymphatic filariasis (brugian)</w:t>
            </w:r>
            <w:r w:rsidRPr="00727DFA">
              <w:rPr>
                <w:rFonts w:eastAsia="Times New Roman"/>
                <w:szCs w:val="24"/>
              </w:rPr>
              <w:t xml:space="preserve">, Oral: </w:t>
            </w:r>
          </w:p>
          <w:p w14:paraId="06D7DBFA"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bCs/>
                <w:szCs w:val="24"/>
              </w:rPr>
              <w:t>Adult and Child ≥10 years</w:t>
            </w:r>
            <w:r w:rsidRPr="00727DFA">
              <w:rPr>
                <w:rFonts w:eastAsia="Times New Roman"/>
                <w:szCs w:val="24"/>
              </w:rPr>
              <w:t>: 3- 6mg/kg, preferably in divided doses after meals, for 6-12 days</w:t>
            </w:r>
          </w:p>
          <w:p w14:paraId="221EA717"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bCs/>
                <w:szCs w:val="24"/>
              </w:rPr>
              <w:t>Child &lt; 10 years</w:t>
            </w:r>
            <w:r w:rsidRPr="00727DFA">
              <w:rPr>
                <w:rFonts w:eastAsia="Times New Roman"/>
                <w:szCs w:val="24"/>
              </w:rPr>
              <w:t>:</w:t>
            </w:r>
            <w:r w:rsidRPr="00727DFA">
              <w:rPr>
                <w:rFonts w:eastAsia="Times New Roman"/>
                <w:spacing w:val="-5"/>
                <w:szCs w:val="24"/>
              </w:rPr>
              <w:t xml:space="preserve"> </w:t>
            </w:r>
            <w:r w:rsidRPr="00727DFA">
              <w:rPr>
                <w:rFonts w:eastAsia="Times New Roman"/>
                <w:szCs w:val="24"/>
              </w:rPr>
              <w:t>half</w:t>
            </w:r>
            <w:r w:rsidRPr="00727DFA">
              <w:rPr>
                <w:rFonts w:eastAsia="Times New Roman"/>
                <w:spacing w:val="-4"/>
                <w:szCs w:val="24"/>
              </w:rPr>
              <w:t xml:space="preserve"> </w:t>
            </w:r>
            <w:r w:rsidRPr="00727DFA">
              <w:rPr>
                <w:rFonts w:eastAsia="Times New Roman"/>
                <w:szCs w:val="24"/>
              </w:rPr>
              <w:t>the</w:t>
            </w:r>
            <w:r w:rsidRPr="00727DFA">
              <w:rPr>
                <w:rFonts w:eastAsia="Times New Roman"/>
                <w:spacing w:val="-3"/>
                <w:szCs w:val="24"/>
              </w:rPr>
              <w:t xml:space="preserve"> </w:t>
            </w:r>
            <w:r w:rsidRPr="00727DFA">
              <w:rPr>
                <w:rFonts w:eastAsia="Times New Roman"/>
                <w:szCs w:val="24"/>
              </w:rPr>
              <w:t>adult</w:t>
            </w:r>
            <w:r w:rsidRPr="00727DFA">
              <w:rPr>
                <w:rFonts w:eastAsia="Times New Roman"/>
                <w:spacing w:val="-5"/>
                <w:szCs w:val="24"/>
              </w:rPr>
              <w:t xml:space="preserve"> </w:t>
            </w:r>
            <w:r w:rsidRPr="00727DFA">
              <w:rPr>
                <w:rFonts w:eastAsia="Times New Roman"/>
                <w:szCs w:val="24"/>
              </w:rPr>
              <w:t>dose.</w:t>
            </w:r>
            <w:r w:rsidRPr="00727DFA">
              <w:rPr>
                <w:rFonts w:eastAsia="Times New Roman"/>
                <w:spacing w:val="-5"/>
                <w:szCs w:val="24"/>
              </w:rPr>
              <w:t xml:space="preserve"> </w:t>
            </w:r>
          </w:p>
          <w:p w14:paraId="0CFCE9B6"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bCs/>
                <w:szCs w:val="24"/>
              </w:rPr>
              <w:t>Mass</w:t>
            </w:r>
            <w:r w:rsidRPr="00727DFA">
              <w:rPr>
                <w:rFonts w:eastAsia="Times New Roman"/>
                <w:b/>
                <w:bCs/>
                <w:spacing w:val="-4"/>
                <w:szCs w:val="24"/>
              </w:rPr>
              <w:t xml:space="preserve"> </w:t>
            </w:r>
            <w:r w:rsidRPr="00727DFA">
              <w:rPr>
                <w:rFonts w:eastAsia="Times New Roman"/>
                <w:b/>
                <w:bCs/>
                <w:szCs w:val="24"/>
              </w:rPr>
              <w:t>treatment</w:t>
            </w:r>
            <w:r w:rsidRPr="00727DFA">
              <w:rPr>
                <w:rFonts w:eastAsia="Times New Roman"/>
                <w:b/>
                <w:bCs/>
                <w:spacing w:val="-6"/>
                <w:szCs w:val="24"/>
              </w:rPr>
              <w:t xml:space="preserve"> </w:t>
            </w:r>
            <w:r w:rsidRPr="00727DFA">
              <w:rPr>
                <w:rFonts w:eastAsia="Times New Roman"/>
                <w:b/>
                <w:bCs/>
                <w:szCs w:val="24"/>
              </w:rPr>
              <w:t>program:</w:t>
            </w:r>
            <w:r w:rsidRPr="00727DFA">
              <w:rPr>
                <w:rFonts w:eastAsia="Times New Roman"/>
                <w:szCs w:val="24"/>
              </w:rPr>
              <w:t xml:space="preserve"> Adult and Child ≥10 years</w:t>
            </w:r>
            <w:r w:rsidRPr="00727DFA">
              <w:rPr>
                <w:rFonts w:eastAsia="Times New Roman"/>
                <w:b/>
                <w:szCs w:val="24"/>
              </w:rPr>
              <w:t>:</w:t>
            </w:r>
            <w:r w:rsidRPr="00727DFA">
              <w:rPr>
                <w:rFonts w:eastAsia="Times New Roman"/>
                <w:szCs w:val="24"/>
              </w:rPr>
              <w:t xml:space="preserve"> 3-6mg/kg in divided doses over 24 hours, 6 times at weekly or monthly intervals; child &lt; 10 years: half the adult dose. </w:t>
            </w:r>
          </w:p>
          <w:p w14:paraId="5D9EA21D"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szCs w:val="24"/>
              </w:rPr>
              <w:t>Occult filariasis</w:t>
            </w:r>
            <w:r w:rsidRPr="00727DFA">
              <w:rPr>
                <w:rFonts w:eastAsia="Times New Roman"/>
                <w:szCs w:val="24"/>
              </w:rPr>
              <w:t xml:space="preserve">, Oral: </w:t>
            </w:r>
          </w:p>
          <w:p w14:paraId="29BE18D0"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Cs/>
                <w:szCs w:val="24"/>
              </w:rPr>
              <w:t>Adult:</w:t>
            </w:r>
            <w:r w:rsidRPr="00727DFA">
              <w:rPr>
                <w:rFonts w:eastAsia="Times New Roman"/>
                <w:szCs w:val="24"/>
              </w:rPr>
              <w:t xml:space="preserve"> 8mg/kg daily for 14 days, repeated as necessary if symptoms return.</w:t>
            </w:r>
          </w:p>
          <w:p w14:paraId="7CCABB13"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szCs w:val="24"/>
              </w:rPr>
              <w:t>Loiasis treatment</w:t>
            </w:r>
            <w:r w:rsidRPr="00727DFA">
              <w:rPr>
                <w:rFonts w:eastAsia="Times New Roman"/>
                <w:szCs w:val="24"/>
              </w:rPr>
              <w:t xml:space="preserve">, Oral: </w:t>
            </w:r>
          </w:p>
          <w:p w14:paraId="0877CE1A"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szCs w:val="24"/>
              </w:rPr>
              <w:t>Adult: 1mg/kg as a single dose on the first day, doubled on two successive days, then adjusted to 2-3mg/kg 3 times daily</w:t>
            </w:r>
            <w:r w:rsidRPr="00727DFA">
              <w:rPr>
                <w:rFonts w:eastAsia="Times New Roman"/>
                <w:spacing w:val="-4"/>
                <w:szCs w:val="24"/>
              </w:rPr>
              <w:t xml:space="preserve"> </w:t>
            </w:r>
            <w:r w:rsidRPr="00727DFA">
              <w:rPr>
                <w:rFonts w:eastAsia="Times New Roman"/>
                <w:szCs w:val="24"/>
              </w:rPr>
              <w:t>for</w:t>
            </w:r>
            <w:r w:rsidRPr="00727DFA">
              <w:rPr>
                <w:rFonts w:eastAsia="Times New Roman"/>
                <w:spacing w:val="-5"/>
                <w:szCs w:val="24"/>
              </w:rPr>
              <w:t xml:space="preserve"> </w:t>
            </w:r>
            <w:r w:rsidRPr="00727DFA">
              <w:rPr>
                <w:rFonts w:eastAsia="Times New Roman"/>
                <w:szCs w:val="24"/>
              </w:rPr>
              <w:t>a</w:t>
            </w:r>
            <w:r w:rsidRPr="00727DFA">
              <w:rPr>
                <w:rFonts w:eastAsia="Times New Roman"/>
                <w:spacing w:val="-3"/>
                <w:szCs w:val="24"/>
              </w:rPr>
              <w:t xml:space="preserve"> </w:t>
            </w:r>
            <w:r w:rsidRPr="00727DFA">
              <w:rPr>
                <w:rFonts w:eastAsia="Times New Roman"/>
                <w:szCs w:val="24"/>
              </w:rPr>
              <w:t>further</w:t>
            </w:r>
            <w:r w:rsidRPr="00727DFA">
              <w:rPr>
                <w:rFonts w:eastAsia="Times New Roman"/>
                <w:spacing w:val="-5"/>
                <w:szCs w:val="24"/>
              </w:rPr>
              <w:t xml:space="preserve"> </w:t>
            </w:r>
            <w:r w:rsidRPr="00727DFA">
              <w:rPr>
                <w:rFonts w:eastAsia="Times New Roman"/>
                <w:szCs w:val="24"/>
              </w:rPr>
              <w:t>18</w:t>
            </w:r>
            <w:r w:rsidRPr="00727DFA">
              <w:rPr>
                <w:rFonts w:eastAsia="Times New Roman"/>
                <w:spacing w:val="-4"/>
                <w:szCs w:val="24"/>
              </w:rPr>
              <w:t xml:space="preserve"> </w:t>
            </w:r>
            <w:r w:rsidRPr="00727DFA">
              <w:rPr>
                <w:rFonts w:eastAsia="Times New Roman"/>
                <w:szCs w:val="24"/>
              </w:rPr>
              <w:t>days.</w:t>
            </w:r>
            <w:r w:rsidRPr="00727DFA">
              <w:rPr>
                <w:rFonts w:eastAsia="Times New Roman"/>
                <w:spacing w:val="-6"/>
                <w:szCs w:val="24"/>
              </w:rPr>
              <w:t xml:space="preserve"> </w:t>
            </w:r>
          </w:p>
          <w:p w14:paraId="772A7B35"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b/>
                <w:szCs w:val="24"/>
              </w:rPr>
              <w:t xml:space="preserve">Loiasis prophylaxis, </w:t>
            </w:r>
            <w:r w:rsidRPr="00727DFA">
              <w:rPr>
                <w:rFonts w:eastAsia="Times New Roman"/>
                <w:szCs w:val="24"/>
              </w:rPr>
              <w:t>Oral:</w:t>
            </w:r>
            <w:r w:rsidRPr="00727DFA">
              <w:rPr>
                <w:rFonts w:eastAsia="Times New Roman"/>
                <w:spacing w:val="-5"/>
                <w:szCs w:val="24"/>
              </w:rPr>
              <w:t xml:space="preserve"> </w:t>
            </w:r>
          </w:p>
          <w:p w14:paraId="33C59033" w14:textId="77777777" w:rsidR="007B485D" w:rsidRPr="00727DFA" w:rsidRDefault="007B485D" w:rsidP="002D6DD7">
            <w:pPr>
              <w:widowControl w:val="0"/>
              <w:autoSpaceDE w:val="0"/>
              <w:autoSpaceDN w:val="0"/>
              <w:ind w:left="93" w:right="185"/>
              <w:jc w:val="both"/>
              <w:rPr>
                <w:rFonts w:eastAsia="Times New Roman"/>
                <w:szCs w:val="24"/>
              </w:rPr>
            </w:pPr>
            <w:r w:rsidRPr="00727DFA">
              <w:rPr>
                <w:rFonts w:eastAsia="Times New Roman"/>
                <w:szCs w:val="24"/>
              </w:rPr>
              <w:t>Adult:</w:t>
            </w:r>
            <w:r w:rsidRPr="00727DFA">
              <w:rPr>
                <w:rFonts w:eastAsia="Times New Roman"/>
                <w:spacing w:val="-5"/>
                <w:szCs w:val="24"/>
              </w:rPr>
              <w:t xml:space="preserve"> </w:t>
            </w:r>
            <w:r w:rsidRPr="00727DFA">
              <w:rPr>
                <w:rFonts w:eastAsia="Times New Roman"/>
                <w:szCs w:val="24"/>
              </w:rPr>
              <w:t>300mg</w:t>
            </w:r>
            <w:r w:rsidRPr="00727DFA">
              <w:rPr>
                <w:rFonts w:eastAsia="Times New Roman"/>
                <w:spacing w:val="-6"/>
                <w:szCs w:val="24"/>
              </w:rPr>
              <w:t xml:space="preserve"> </w:t>
            </w:r>
            <w:r w:rsidRPr="00727DFA">
              <w:rPr>
                <w:rFonts w:eastAsia="Times New Roman"/>
                <w:szCs w:val="24"/>
              </w:rPr>
              <w:t>weekly for as long as exposure occurs.</w:t>
            </w:r>
          </w:p>
          <w:p w14:paraId="3D39B664" w14:textId="77777777" w:rsidR="007B485D" w:rsidRPr="00727DFA" w:rsidRDefault="007B485D" w:rsidP="002D6DD7">
            <w:pPr>
              <w:widowControl w:val="0"/>
              <w:autoSpaceDE w:val="0"/>
              <w:autoSpaceDN w:val="0"/>
              <w:jc w:val="both"/>
              <w:rPr>
                <w:rFonts w:eastAsia="Times New Roman"/>
                <w:szCs w:val="24"/>
              </w:rPr>
            </w:pPr>
            <w:r w:rsidRPr="00D97A49">
              <w:rPr>
                <w:rFonts w:eastAsia="Times New Roman"/>
                <w:bCs/>
                <w:i/>
                <w:spacing w:val="-4"/>
                <w:szCs w:val="24"/>
              </w:rPr>
              <w:t>Note:</w:t>
            </w:r>
            <w:r w:rsidRPr="00727DFA">
              <w:rPr>
                <w:rFonts w:eastAsia="Times New Roman"/>
                <w:spacing w:val="-14"/>
                <w:szCs w:val="24"/>
              </w:rPr>
              <w:t xml:space="preserve"> </w:t>
            </w:r>
            <w:r w:rsidRPr="00873AF2">
              <w:rPr>
                <w:rFonts w:eastAsia="Times New Roman"/>
                <w:i/>
                <w:iCs/>
                <w:spacing w:val="-4"/>
                <w:szCs w:val="24"/>
              </w:rPr>
              <w:t>Diethyl</w:t>
            </w:r>
            <w:r w:rsidRPr="00873AF2">
              <w:rPr>
                <w:rFonts w:eastAsia="Times New Roman"/>
                <w:i/>
                <w:iCs/>
                <w:spacing w:val="-12"/>
                <w:szCs w:val="24"/>
              </w:rPr>
              <w:t>c</w:t>
            </w:r>
            <w:r w:rsidRPr="00873AF2">
              <w:rPr>
                <w:rFonts w:eastAsia="Times New Roman"/>
                <w:i/>
                <w:iCs/>
                <w:spacing w:val="-4"/>
                <w:szCs w:val="24"/>
              </w:rPr>
              <w:t>arbamazine</w:t>
            </w:r>
            <w:r w:rsidRPr="00873AF2">
              <w:rPr>
                <w:rFonts w:eastAsia="Times New Roman"/>
                <w:i/>
                <w:iCs/>
                <w:spacing w:val="-12"/>
                <w:szCs w:val="24"/>
              </w:rPr>
              <w:t xml:space="preserve"> </w:t>
            </w:r>
            <w:r w:rsidRPr="00873AF2">
              <w:rPr>
                <w:rFonts w:eastAsia="Times New Roman"/>
                <w:i/>
                <w:iCs/>
                <w:spacing w:val="-4"/>
                <w:szCs w:val="24"/>
              </w:rPr>
              <w:t>should</w:t>
            </w:r>
            <w:r w:rsidRPr="00873AF2">
              <w:rPr>
                <w:rFonts w:eastAsia="Times New Roman"/>
                <w:i/>
                <w:iCs/>
                <w:spacing w:val="-13"/>
                <w:szCs w:val="24"/>
              </w:rPr>
              <w:t xml:space="preserve"> </w:t>
            </w:r>
            <w:r w:rsidRPr="00873AF2">
              <w:rPr>
                <w:rFonts w:eastAsia="Times New Roman"/>
                <w:i/>
                <w:iCs/>
                <w:spacing w:val="-4"/>
                <w:szCs w:val="24"/>
              </w:rPr>
              <w:t>be</w:t>
            </w:r>
            <w:r w:rsidRPr="00873AF2">
              <w:rPr>
                <w:rFonts w:eastAsia="Times New Roman"/>
                <w:i/>
                <w:iCs/>
                <w:spacing w:val="-13"/>
                <w:szCs w:val="24"/>
              </w:rPr>
              <w:t xml:space="preserve"> </w:t>
            </w:r>
            <w:r w:rsidRPr="00873AF2">
              <w:rPr>
                <w:rFonts w:eastAsia="Times New Roman"/>
                <w:i/>
                <w:iCs/>
                <w:spacing w:val="-4"/>
                <w:szCs w:val="24"/>
              </w:rPr>
              <w:t>taken</w:t>
            </w:r>
            <w:r w:rsidRPr="00873AF2">
              <w:rPr>
                <w:rFonts w:eastAsia="Times New Roman"/>
                <w:i/>
                <w:iCs/>
                <w:spacing w:val="-12"/>
                <w:szCs w:val="24"/>
              </w:rPr>
              <w:t xml:space="preserve"> </w:t>
            </w:r>
            <w:r w:rsidRPr="00873AF2">
              <w:rPr>
                <w:rFonts w:eastAsia="Times New Roman"/>
                <w:i/>
                <w:iCs/>
                <w:spacing w:val="-4"/>
                <w:szCs w:val="24"/>
              </w:rPr>
              <w:t>immediately</w:t>
            </w:r>
            <w:r w:rsidRPr="00873AF2">
              <w:rPr>
                <w:rFonts w:eastAsia="Times New Roman"/>
                <w:i/>
                <w:iCs/>
                <w:spacing w:val="-13"/>
                <w:szCs w:val="24"/>
              </w:rPr>
              <w:t xml:space="preserve"> </w:t>
            </w:r>
            <w:r w:rsidRPr="00873AF2">
              <w:rPr>
                <w:rFonts w:eastAsia="Times New Roman"/>
                <w:i/>
                <w:iCs/>
                <w:spacing w:val="-4"/>
                <w:szCs w:val="24"/>
              </w:rPr>
              <w:t>after</w:t>
            </w:r>
            <w:r w:rsidRPr="00873AF2">
              <w:rPr>
                <w:rFonts w:eastAsia="Times New Roman"/>
                <w:i/>
                <w:iCs/>
                <w:spacing w:val="-13"/>
                <w:szCs w:val="24"/>
              </w:rPr>
              <w:t xml:space="preserve"> </w:t>
            </w:r>
            <w:r w:rsidRPr="00873AF2">
              <w:rPr>
                <w:rFonts w:eastAsia="Times New Roman"/>
                <w:i/>
                <w:iCs/>
                <w:spacing w:val="-4"/>
                <w:szCs w:val="24"/>
              </w:rPr>
              <w:t>meals.</w:t>
            </w:r>
          </w:p>
        </w:tc>
      </w:tr>
      <w:tr w:rsidR="007B485D" w:rsidRPr="00727DFA" w14:paraId="6040655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B09DA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19D728E" w14:textId="77777777" w:rsidR="007B485D" w:rsidRPr="00727DFA" w:rsidRDefault="007B485D" w:rsidP="002D6DD7">
            <w:pPr>
              <w:ind w:left="93" w:right="185"/>
              <w:jc w:val="both"/>
              <w:rPr>
                <w:rFonts w:eastAsia="DengXian"/>
                <w:b/>
                <w:szCs w:val="24"/>
              </w:rPr>
            </w:pPr>
            <w:r w:rsidRPr="00727DFA">
              <w:rPr>
                <w:rFonts w:eastAsia="DengXian"/>
                <w:szCs w:val="24"/>
              </w:rPr>
              <w:t>Hypersensitivity</w:t>
            </w:r>
            <w:r>
              <w:rPr>
                <w:rFonts w:eastAsia="DengXian"/>
                <w:szCs w:val="24"/>
              </w:rPr>
              <w:t xml:space="preserve"> to the drug,</w:t>
            </w:r>
            <w:r w:rsidRPr="00727DFA">
              <w:rPr>
                <w:rFonts w:eastAsia="DengXian"/>
                <w:szCs w:val="24"/>
              </w:rPr>
              <w:t xml:space="preserve"> </w:t>
            </w:r>
            <w:r>
              <w:rPr>
                <w:rFonts w:eastAsia="DengXian"/>
                <w:szCs w:val="24"/>
              </w:rPr>
              <w:t>p</w:t>
            </w:r>
            <w:r w:rsidRPr="00727DFA">
              <w:rPr>
                <w:rFonts w:eastAsia="DengXian"/>
                <w:szCs w:val="24"/>
              </w:rPr>
              <w:t>regnancy, breastfeeding, infants, elderly, debilitated patients, impaired renal function, cardiac disease</w:t>
            </w:r>
            <w:r>
              <w:rPr>
                <w:rFonts w:eastAsia="DengXian"/>
                <w:szCs w:val="24"/>
              </w:rPr>
              <w:t>.</w:t>
            </w:r>
          </w:p>
        </w:tc>
      </w:tr>
      <w:tr w:rsidR="007B485D" w:rsidRPr="00727DFA" w14:paraId="1FC4F5B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7D67F8"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630A5DFF" w14:textId="77777777" w:rsidR="007B485D" w:rsidRPr="00727DFA" w:rsidRDefault="007B485D" w:rsidP="002D6DD7">
            <w:pPr>
              <w:ind w:left="93" w:right="185"/>
              <w:jc w:val="both"/>
              <w:rPr>
                <w:rFonts w:eastAsia="DengXian"/>
                <w:szCs w:val="24"/>
              </w:rPr>
            </w:pPr>
            <w:r>
              <w:rPr>
                <w:rFonts w:eastAsia="DengXian"/>
                <w:szCs w:val="24"/>
              </w:rPr>
              <w:t>There are no known significant interactions.</w:t>
            </w:r>
          </w:p>
        </w:tc>
      </w:tr>
      <w:tr w:rsidR="007B485D" w:rsidRPr="00727DFA" w14:paraId="11DCE76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139E3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25AA5072" w14:textId="77777777" w:rsidR="007B485D" w:rsidRPr="00727DFA" w:rsidRDefault="007B485D" w:rsidP="002D6DD7">
            <w:pPr>
              <w:ind w:left="93" w:right="185"/>
              <w:jc w:val="both"/>
              <w:rPr>
                <w:rFonts w:eastAsia="DengXian"/>
                <w:szCs w:val="24"/>
              </w:rPr>
            </w:pPr>
            <w:r w:rsidRPr="00727DFA">
              <w:rPr>
                <w:rFonts w:eastAsia="DengXian"/>
                <w:szCs w:val="24"/>
              </w:rPr>
              <w:t>Itching and sweating of face</w:t>
            </w:r>
            <w:r>
              <w:rPr>
                <w:rFonts w:eastAsia="DengXian"/>
                <w:szCs w:val="24"/>
              </w:rPr>
              <w:t xml:space="preserve"> (</w:t>
            </w:r>
            <w:r w:rsidRPr="00727DFA">
              <w:rPr>
                <w:rFonts w:eastAsia="DengXian"/>
                <w:szCs w:val="24"/>
              </w:rPr>
              <w:t>especially eyes</w:t>
            </w:r>
            <w:r>
              <w:rPr>
                <w:rFonts w:eastAsia="DengXian"/>
                <w:szCs w:val="24"/>
              </w:rPr>
              <w:t>),</w:t>
            </w:r>
            <w:r w:rsidRPr="00727DFA">
              <w:rPr>
                <w:rFonts w:eastAsia="DengXian"/>
                <w:szCs w:val="24"/>
              </w:rPr>
              <w:t xml:space="preserve"> fever, lymphadenopathy</w:t>
            </w:r>
            <w:r>
              <w:rPr>
                <w:rFonts w:eastAsia="DengXian"/>
                <w:szCs w:val="24"/>
              </w:rPr>
              <w:t>,</w:t>
            </w:r>
            <w:r w:rsidRPr="00727DFA">
              <w:rPr>
                <w:rFonts w:eastAsia="DengXian"/>
                <w:spacing w:val="-6"/>
                <w:szCs w:val="24"/>
              </w:rPr>
              <w:t xml:space="preserve"> </w:t>
            </w:r>
            <w:r w:rsidRPr="00727DFA">
              <w:rPr>
                <w:rFonts w:eastAsia="DengXian"/>
                <w:szCs w:val="24"/>
              </w:rPr>
              <w:t>skin</w:t>
            </w:r>
            <w:r w:rsidRPr="00727DFA">
              <w:rPr>
                <w:rFonts w:eastAsia="DengXian"/>
                <w:spacing w:val="-7"/>
                <w:szCs w:val="24"/>
              </w:rPr>
              <w:t xml:space="preserve"> </w:t>
            </w:r>
            <w:r w:rsidRPr="00727DFA">
              <w:rPr>
                <w:rFonts w:eastAsia="DengXian"/>
                <w:szCs w:val="24"/>
              </w:rPr>
              <w:t>rash</w:t>
            </w:r>
            <w:r w:rsidRPr="00727DFA">
              <w:rPr>
                <w:rFonts w:eastAsia="DengXian"/>
                <w:spacing w:val="-7"/>
                <w:szCs w:val="24"/>
              </w:rPr>
              <w:t xml:space="preserve"> </w:t>
            </w:r>
            <w:r w:rsidRPr="00727DFA">
              <w:rPr>
                <w:rFonts w:eastAsia="DengXian"/>
                <w:szCs w:val="24"/>
              </w:rPr>
              <w:t>and</w:t>
            </w:r>
            <w:r w:rsidRPr="00727DFA">
              <w:rPr>
                <w:rFonts w:eastAsia="DengXian"/>
                <w:spacing w:val="-8"/>
                <w:szCs w:val="24"/>
              </w:rPr>
              <w:t xml:space="preserve"> </w:t>
            </w:r>
            <w:r w:rsidRPr="00727DFA">
              <w:rPr>
                <w:rFonts w:eastAsia="DengXian"/>
                <w:szCs w:val="24"/>
              </w:rPr>
              <w:t>visual</w:t>
            </w:r>
            <w:r w:rsidRPr="00727DFA">
              <w:rPr>
                <w:rFonts w:eastAsia="DengXian"/>
                <w:spacing w:val="-7"/>
                <w:szCs w:val="24"/>
              </w:rPr>
              <w:t xml:space="preserve"> </w:t>
            </w:r>
            <w:r w:rsidRPr="00727DFA">
              <w:rPr>
                <w:rFonts w:eastAsia="DengXian"/>
                <w:szCs w:val="24"/>
              </w:rPr>
              <w:t>disturbances</w:t>
            </w:r>
            <w:r>
              <w:rPr>
                <w:rFonts w:eastAsia="DengXian"/>
                <w:szCs w:val="24"/>
              </w:rPr>
              <w:t>,</w:t>
            </w:r>
            <w:r w:rsidRPr="00727DFA">
              <w:rPr>
                <w:rFonts w:eastAsia="DengXian"/>
                <w:spacing w:val="-8"/>
                <w:szCs w:val="24"/>
              </w:rPr>
              <w:t xml:space="preserve"> </w:t>
            </w:r>
            <w:r w:rsidRPr="00727DFA">
              <w:rPr>
                <w:rFonts w:eastAsia="DengXian"/>
                <w:szCs w:val="24"/>
              </w:rPr>
              <w:t>nausea</w:t>
            </w:r>
            <w:r>
              <w:rPr>
                <w:rFonts w:eastAsia="DengXian"/>
                <w:szCs w:val="24"/>
              </w:rPr>
              <w:t>,</w:t>
            </w:r>
            <w:r w:rsidRPr="00727DFA">
              <w:rPr>
                <w:rFonts w:eastAsia="DengXian"/>
                <w:szCs w:val="24"/>
              </w:rPr>
              <w:t xml:space="preserve"> vomiting</w:t>
            </w:r>
            <w:r>
              <w:rPr>
                <w:rFonts w:eastAsia="DengXian"/>
                <w:szCs w:val="24"/>
              </w:rPr>
              <w:t>,</w:t>
            </w:r>
            <w:r w:rsidRPr="00727DFA">
              <w:rPr>
                <w:rFonts w:eastAsia="DengXian"/>
                <w:szCs w:val="24"/>
              </w:rPr>
              <w:t xml:space="preserve"> headache dizziness, drowsiness</w:t>
            </w:r>
            <w:r>
              <w:rPr>
                <w:rFonts w:eastAsia="DengXian"/>
                <w:szCs w:val="24"/>
              </w:rPr>
              <w:t>.</w:t>
            </w:r>
          </w:p>
        </w:tc>
      </w:tr>
      <w:tr w:rsidR="007B485D" w:rsidRPr="00727DFA" w14:paraId="2CB05F6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A71B6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3FD36AAE" w14:textId="77777777" w:rsidR="007B485D" w:rsidRPr="00727DFA" w:rsidRDefault="007B485D" w:rsidP="002D6DD7">
            <w:pPr>
              <w:ind w:left="93" w:right="185"/>
              <w:jc w:val="both"/>
              <w:rPr>
                <w:rFonts w:eastAsia="DengXian"/>
                <w:szCs w:val="24"/>
              </w:rPr>
            </w:pPr>
            <w:r>
              <w:rPr>
                <w:rFonts w:eastAsia="DengXian"/>
                <w:szCs w:val="24"/>
              </w:rPr>
              <w:t>risk of</w:t>
            </w:r>
            <w:r w:rsidRPr="00727DFA">
              <w:rPr>
                <w:rFonts w:eastAsia="DengXian"/>
                <w:szCs w:val="24"/>
              </w:rPr>
              <w:t xml:space="preserve"> hypersensitivity reactions </w:t>
            </w:r>
            <w:r>
              <w:rPr>
                <w:rFonts w:eastAsia="DengXian"/>
                <w:szCs w:val="24"/>
              </w:rPr>
              <w:t>(</w:t>
            </w:r>
            <w:r w:rsidRPr="00727DFA">
              <w:rPr>
                <w:rFonts w:eastAsia="DengXian"/>
                <w:szCs w:val="24"/>
              </w:rPr>
              <w:t>especially in patients with onchocerciasis or loiasis</w:t>
            </w:r>
            <w:r>
              <w:rPr>
                <w:rFonts w:eastAsia="DengXian"/>
                <w:szCs w:val="24"/>
              </w:rPr>
              <w:t>),</w:t>
            </w:r>
            <w:r w:rsidRPr="00727DFA">
              <w:rPr>
                <w:rFonts w:eastAsia="DengXian"/>
                <w:szCs w:val="24"/>
              </w:rPr>
              <w:t xml:space="preserve"> </w:t>
            </w:r>
            <w:r>
              <w:rPr>
                <w:rFonts w:eastAsia="DengXian"/>
                <w:szCs w:val="24"/>
              </w:rPr>
              <w:t>risk of</w:t>
            </w:r>
            <w:r w:rsidRPr="00727DFA">
              <w:rPr>
                <w:rFonts w:eastAsia="DengXian"/>
                <w:spacing w:val="-5"/>
                <w:szCs w:val="24"/>
              </w:rPr>
              <w:t xml:space="preserve"> </w:t>
            </w:r>
            <w:r w:rsidRPr="00727DFA">
              <w:rPr>
                <w:rFonts w:eastAsia="DengXian"/>
                <w:szCs w:val="24"/>
              </w:rPr>
              <w:t>loss</w:t>
            </w:r>
            <w:r w:rsidRPr="00727DFA">
              <w:rPr>
                <w:rFonts w:eastAsia="DengXian"/>
                <w:spacing w:val="-1"/>
                <w:szCs w:val="24"/>
              </w:rPr>
              <w:t xml:space="preserve"> </w:t>
            </w:r>
            <w:r w:rsidRPr="00727DFA">
              <w:rPr>
                <w:rFonts w:eastAsia="DengXian"/>
                <w:szCs w:val="24"/>
              </w:rPr>
              <w:t>of</w:t>
            </w:r>
            <w:r w:rsidRPr="00727DFA">
              <w:rPr>
                <w:rFonts w:eastAsia="DengXian"/>
                <w:spacing w:val="-3"/>
                <w:szCs w:val="24"/>
              </w:rPr>
              <w:t xml:space="preserve"> </w:t>
            </w:r>
            <w:r w:rsidRPr="00727DFA">
              <w:rPr>
                <w:rFonts w:eastAsia="DengXian"/>
                <w:szCs w:val="24"/>
              </w:rPr>
              <w:t>vision,</w:t>
            </w:r>
            <w:r w:rsidRPr="00727DFA">
              <w:rPr>
                <w:rFonts w:eastAsia="DengXian"/>
                <w:spacing w:val="-5"/>
                <w:szCs w:val="24"/>
              </w:rPr>
              <w:t xml:space="preserve"> </w:t>
            </w:r>
            <w:r w:rsidRPr="00727DFA">
              <w:rPr>
                <w:rFonts w:eastAsia="DengXian"/>
                <w:szCs w:val="24"/>
              </w:rPr>
              <w:t>night</w:t>
            </w:r>
            <w:r w:rsidRPr="00727DFA">
              <w:rPr>
                <w:rFonts w:eastAsia="DengXian"/>
                <w:spacing w:val="-4"/>
                <w:szCs w:val="24"/>
              </w:rPr>
              <w:t xml:space="preserve"> </w:t>
            </w:r>
            <w:r w:rsidRPr="00727DFA">
              <w:rPr>
                <w:rFonts w:eastAsia="DengXian"/>
                <w:szCs w:val="24"/>
              </w:rPr>
              <w:t>blindness,</w:t>
            </w:r>
            <w:r w:rsidRPr="00727DFA">
              <w:rPr>
                <w:rFonts w:eastAsia="DengXian"/>
                <w:spacing w:val="-5"/>
                <w:szCs w:val="24"/>
              </w:rPr>
              <w:t xml:space="preserve"> </w:t>
            </w:r>
            <w:r w:rsidRPr="00727DFA">
              <w:rPr>
                <w:rFonts w:eastAsia="DengXian"/>
                <w:szCs w:val="24"/>
              </w:rPr>
              <w:t>or</w:t>
            </w:r>
            <w:r w:rsidRPr="00727DFA">
              <w:rPr>
                <w:rFonts w:eastAsia="DengXian"/>
                <w:spacing w:val="-4"/>
                <w:szCs w:val="24"/>
              </w:rPr>
              <w:t xml:space="preserve"> </w:t>
            </w:r>
            <w:r w:rsidRPr="00727DFA">
              <w:rPr>
                <w:rFonts w:eastAsia="DengXian"/>
                <w:szCs w:val="24"/>
              </w:rPr>
              <w:t>tunnel</w:t>
            </w:r>
            <w:r w:rsidRPr="00727DFA">
              <w:rPr>
                <w:rFonts w:eastAsia="DengXian"/>
                <w:spacing w:val="-2"/>
                <w:szCs w:val="24"/>
              </w:rPr>
              <w:t xml:space="preserve"> vision</w:t>
            </w:r>
            <w:r w:rsidRPr="00727DFA">
              <w:rPr>
                <w:rFonts w:eastAsia="DengXian"/>
                <w:szCs w:val="24"/>
              </w:rPr>
              <w:t>.</w:t>
            </w:r>
            <w:r w:rsidRPr="00727DFA">
              <w:rPr>
                <w:rFonts w:eastAsia="DengXian"/>
                <w:spacing w:val="-7"/>
                <w:szCs w:val="24"/>
              </w:rPr>
              <w:t xml:space="preserve"> </w:t>
            </w:r>
          </w:p>
        </w:tc>
      </w:tr>
      <w:tr w:rsidR="007B485D" w:rsidRPr="00727DFA" w14:paraId="7ECB147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548526D"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 condition</w:t>
            </w:r>
          </w:p>
        </w:tc>
        <w:tc>
          <w:tcPr>
            <w:tcW w:w="6745" w:type="dxa"/>
            <w:tcBorders>
              <w:top w:val="single" w:sz="4" w:space="0" w:color="auto"/>
              <w:left w:val="single" w:sz="4" w:space="0" w:color="auto"/>
              <w:bottom w:val="single" w:sz="4" w:space="0" w:color="auto"/>
              <w:right w:val="single" w:sz="4" w:space="0" w:color="auto"/>
            </w:tcBorders>
            <w:hideMark/>
          </w:tcPr>
          <w:p w14:paraId="428EE3EF" w14:textId="77777777" w:rsidR="007B485D" w:rsidRPr="00727DFA" w:rsidRDefault="007B485D" w:rsidP="002D6DD7">
            <w:pPr>
              <w:ind w:left="93" w:right="185"/>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p>
        </w:tc>
      </w:tr>
      <w:tr w:rsidR="007B485D" w:rsidRPr="00727DFA" w14:paraId="7A99B0BE"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4FDD5F31" w14:textId="77777777" w:rsidR="007B485D" w:rsidRPr="00727DFA" w:rsidRDefault="007B485D" w:rsidP="002D6DD7">
            <w:pPr>
              <w:ind w:left="93" w:right="185"/>
              <w:jc w:val="both"/>
              <w:rPr>
                <w:rFonts w:eastAsia="DengXian"/>
                <w:szCs w:val="24"/>
              </w:rPr>
            </w:pPr>
            <w:r w:rsidRPr="00727DFA">
              <w:rPr>
                <w:rFonts w:eastAsia="DengXian"/>
                <w:b/>
                <w:spacing w:val="-2"/>
                <w:szCs w:val="24"/>
              </w:rPr>
              <w:t>Ivermectin</w:t>
            </w:r>
          </w:p>
        </w:tc>
      </w:tr>
      <w:tr w:rsidR="007B485D" w:rsidRPr="00727DFA" w14:paraId="37FF581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1E4FF9"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26EEF37A" w14:textId="77777777" w:rsidR="007B485D" w:rsidRPr="00727DFA" w:rsidRDefault="007B485D" w:rsidP="002D6DD7">
            <w:pPr>
              <w:ind w:left="93" w:right="185"/>
              <w:jc w:val="both"/>
              <w:rPr>
                <w:rFonts w:eastAsia="DengXian"/>
                <w:szCs w:val="24"/>
              </w:rPr>
            </w:pPr>
            <w:r w:rsidRPr="00727DFA">
              <w:rPr>
                <w:rFonts w:eastAsia="DengXian"/>
                <w:szCs w:val="24"/>
              </w:rPr>
              <w:t xml:space="preserve">Macrocyclic lactone (avermectin), anthelmintic </w:t>
            </w:r>
          </w:p>
        </w:tc>
      </w:tr>
      <w:tr w:rsidR="007B485D" w:rsidRPr="00727DFA" w14:paraId="2125E32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E2B90D"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lastRenderedPageBreak/>
              <w:t>Dosage</w:t>
            </w:r>
            <w:r w:rsidRPr="00727DFA">
              <w:rPr>
                <w:rFonts w:eastAsia="Times New Roman"/>
                <w:spacing w:val="-5"/>
                <w:szCs w:val="24"/>
              </w:rPr>
              <w:t xml:space="preserve"> </w:t>
            </w:r>
            <w:r w:rsidRPr="00727DFA">
              <w:rPr>
                <w:rFonts w:eastAsia="Times New Rom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69E213FE" w14:textId="77777777" w:rsidR="007B485D" w:rsidRPr="00727DFA" w:rsidRDefault="007B485D" w:rsidP="002D6DD7">
            <w:pPr>
              <w:ind w:left="93" w:right="185"/>
              <w:jc w:val="both"/>
              <w:rPr>
                <w:rFonts w:eastAsia="DengXian"/>
                <w:szCs w:val="24"/>
              </w:rPr>
            </w:pPr>
            <w:r w:rsidRPr="00727DFA">
              <w:rPr>
                <w:rFonts w:eastAsia="DengXian"/>
                <w:szCs w:val="24"/>
              </w:rPr>
              <w:t>Tablet:</w:t>
            </w:r>
            <w:r w:rsidRPr="00727DFA">
              <w:rPr>
                <w:rFonts w:eastAsia="DengXian"/>
                <w:spacing w:val="-4"/>
                <w:szCs w:val="24"/>
              </w:rPr>
              <w:t xml:space="preserve"> </w:t>
            </w:r>
            <w:r w:rsidRPr="00727DFA">
              <w:rPr>
                <w:rFonts w:eastAsia="DengXian"/>
                <w:szCs w:val="24"/>
              </w:rPr>
              <w:t>3mg,</w:t>
            </w:r>
            <w:r w:rsidRPr="00727DFA">
              <w:rPr>
                <w:rFonts w:eastAsia="DengXian"/>
                <w:spacing w:val="-4"/>
                <w:szCs w:val="24"/>
              </w:rPr>
              <w:t xml:space="preserve"> </w:t>
            </w:r>
            <w:r w:rsidRPr="00727DFA">
              <w:rPr>
                <w:rFonts w:eastAsia="DengXian"/>
                <w:spacing w:val="-5"/>
                <w:szCs w:val="24"/>
              </w:rPr>
              <w:t>6mg</w:t>
            </w:r>
          </w:p>
        </w:tc>
      </w:tr>
      <w:tr w:rsidR="007B485D" w:rsidRPr="00727DFA" w14:paraId="59077A0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588D80A"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2DD4D54B" w14:textId="77777777" w:rsidR="007B485D" w:rsidRPr="00727DFA" w:rsidRDefault="007B485D" w:rsidP="002D6DD7">
            <w:pPr>
              <w:ind w:left="93" w:right="185"/>
              <w:jc w:val="both"/>
              <w:rPr>
                <w:rFonts w:eastAsia="DengXian"/>
                <w:szCs w:val="24"/>
              </w:rPr>
            </w:pPr>
            <w:r w:rsidRPr="00727DFA">
              <w:rPr>
                <w:rFonts w:eastAsia="DengXian"/>
                <w:szCs w:val="24"/>
              </w:rPr>
              <w:t>Suppressive</w:t>
            </w:r>
            <w:r w:rsidRPr="00727DFA">
              <w:rPr>
                <w:rFonts w:eastAsia="DengXian"/>
                <w:spacing w:val="-5"/>
                <w:szCs w:val="24"/>
              </w:rPr>
              <w:t xml:space="preserve"> </w:t>
            </w:r>
            <w:r w:rsidRPr="00727DFA">
              <w:rPr>
                <w:rFonts w:eastAsia="DengXian"/>
                <w:szCs w:val="24"/>
              </w:rPr>
              <w:t>treatment</w:t>
            </w:r>
            <w:r w:rsidRPr="00727DFA">
              <w:rPr>
                <w:rFonts w:eastAsia="DengXian"/>
                <w:spacing w:val="-5"/>
                <w:szCs w:val="24"/>
              </w:rPr>
              <w:t xml:space="preserve"> </w:t>
            </w:r>
            <w:r w:rsidRPr="00727DFA">
              <w:rPr>
                <w:rFonts w:eastAsia="DengXian"/>
                <w:szCs w:val="24"/>
              </w:rPr>
              <w:t>of</w:t>
            </w:r>
            <w:r w:rsidRPr="00727DFA">
              <w:rPr>
                <w:rFonts w:eastAsia="DengXian"/>
                <w:spacing w:val="-6"/>
                <w:szCs w:val="24"/>
              </w:rPr>
              <w:t xml:space="preserve"> </w:t>
            </w:r>
            <w:r w:rsidRPr="00727DFA">
              <w:rPr>
                <w:rFonts w:eastAsia="DengXian"/>
                <w:szCs w:val="24"/>
              </w:rPr>
              <w:t>onchocerciasis;</w:t>
            </w:r>
            <w:r w:rsidRPr="00727DFA">
              <w:rPr>
                <w:rFonts w:eastAsia="DengXian"/>
                <w:spacing w:val="-6"/>
                <w:szCs w:val="24"/>
              </w:rPr>
              <w:t xml:space="preserve"> </w:t>
            </w:r>
            <w:r w:rsidRPr="00727DFA">
              <w:rPr>
                <w:rFonts w:eastAsia="DengXian"/>
                <w:szCs w:val="24"/>
              </w:rPr>
              <w:t>as</w:t>
            </w:r>
            <w:r w:rsidRPr="00727DFA">
              <w:rPr>
                <w:rFonts w:eastAsia="DengXian"/>
                <w:spacing w:val="-3"/>
                <w:szCs w:val="24"/>
              </w:rPr>
              <w:t xml:space="preserve"> </w:t>
            </w:r>
            <w:r w:rsidRPr="00727DFA">
              <w:rPr>
                <w:rFonts w:eastAsia="DengXian"/>
                <w:szCs w:val="24"/>
              </w:rPr>
              <w:t>a</w:t>
            </w:r>
            <w:r w:rsidRPr="00727DFA">
              <w:rPr>
                <w:rFonts w:eastAsia="DengXian"/>
                <w:spacing w:val="-4"/>
                <w:szCs w:val="24"/>
              </w:rPr>
              <w:t xml:space="preserve"> </w:t>
            </w:r>
            <w:r w:rsidRPr="00727DFA">
              <w:rPr>
                <w:rFonts w:eastAsia="DengXian"/>
                <w:szCs w:val="24"/>
              </w:rPr>
              <w:t>secondary</w:t>
            </w:r>
            <w:r w:rsidRPr="00727DFA">
              <w:rPr>
                <w:rFonts w:eastAsia="DengXian"/>
                <w:spacing w:val="-5"/>
                <w:szCs w:val="24"/>
              </w:rPr>
              <w:t xml:space="preserve"> </w:t>
            </w:r>
            <w:r w:rsidRPr="00727DFA">
              <w:rPr>
                <w:rFonts w:eastAsia="DengXian"/>
                <w:szCs w:val="24"/>
              </w:rPr>
              <w:t>agent</w:t>
            </w:r>
            <w:r w:rsidRPr="00727DFA">
              <w:rPr>
                <w:rFonts w:eastAsia="DengXian"/>
                <w:spacing w:val="-6"/>
                <w:szCs w:val="24"/>
              </w:rPr>
              <w:t xml:space="preserve"> </w:t>
            </w:r>
            <w:r w:rsidRPr="00727DFA">
              <w:rPr>
                <w:rFonts w:eastAsia="DengXian"/>
                <w:szCs w:val="24"/>
              </w:rPr>
              <w:t>in</w:t>
            </w:r>
            <w:r w:rsidRPr="00727DFA">
              <w:rPr>
                <w:rFonts w:eastAsia="DengXian"/>
                <w:spacing w:val="-3"/>
                <w:szCs w:val="24"/>
              </w:rPr>
              <w:t xml:space="preserve"> </w:t>
            </w:r>
            <w:r w:rsidRPr="00727DFA">
              <w:rPr>
                <w:rFonts w:eastAsia="DengXian"/>
                <w:szCs w:val="24"/>
              </w:rPr>
              <w:t xml:space="preserve">the treatment of bancroftian filariasis caused by </w:t>
            </w:r>
            <w:r w:rsidRPr="00727DFA">
              <w:rPr>
                <w:rFonts w:eastAsia="DengXian"/>
                <w:i/>
                <w:iCs/>
                <w:szCs w:val="24"/>
              </w:rPr>
              <w:t>W. bancrofti.</w:t>
            </w:r>
          </w:p>
        </w:tc>
      </w:tr>
      <w:tr w:rsidR="007B485D" w:rsidRPr="00727DFA" w14:paraId="2CCC019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E1724E"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sidRPr="00727DFA">
              <w:rPr>
                <w:rFonts w:eastAsia="Times New Rom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79EAD54D" w14:textId="77777777" w:rsidR="007B485D" w:rsidRPr="00727DFA" w:rsidRDefault="007B485D" w:rsidP="002D6DD7">
            <w:pPr>
              <w:widowControl w:val="0"/>
              <w:autoSpaceDE w:val="0"/>
              <w:autoSpaceDN w:val="0"/>
              <w:ind w:left="92" w:right="180"/>
              <w:jc w:val="both"/>
              <w:rPr>
                <w:rFonts w:eastAsia="Times New Roman"/>
                <w:szCs w:val="24"/>
              </w:rPr>
            </w:pPr>
            <w:r w:rsidRPr="00727DFA">
              <w:rPr>
                <w:rFonts w:eastAsia="Times New Roman"/>
                <w:b/>
                <w:szCs w:val="24"/>
              </w:rPr>
              <w:t>Bancroftian filariasis</w:t>
            </w:r>
            <w:r w:rsidRPr="00727DFA">
              <w:rPr>
                <w:rFonts w:eastAsia="Times New Roman"/>
                <w:szCs w:val="24"/>
              </w:rPr>
              <w:t xml:space="preserve">, Oral: </w:t>
            </w:r>
          </w:p>
          <w:p w14:paraId="4105E94D" w14:textId="77777777" w:rsidR="007B485D" w:rsidRPr="00727DFA" w:rsidRDefault="007B485D" w:rsidP="002D6DD7">
            <w:pPr>
              <w:widowControl w:val="0"/>
              <w:autoSpaceDE w:val="0"/>
              <w:autoSpaceDN w:val="0"/>
              <w:ind w:left="92" w:right="180"/>
              <w:jc w:val="both"/>
              <w:rPr>
                <w:rFonts w:eastAsia="Times New Roman"/>
                <w:szCs w:val="24"/>
              </w:rPr>
            </w:pPr>
            <w:r w:rsidRPr="00727DFA">
              <w:rPr>
                <w:rFonts w:eastAsia="Times New Roman"/>
                <w:b/>
                <w:bCs/>
                <w:szCs w:val="24"/>
              </w:rPr>
              <w:t>Adult:</w:t>
            </w:r>
            <w:r w:rsidRPr="00727DFA">
              <w:rPr>
                <w:rFonts w:eastAsia="Times New Roman"/>
                <w:szCs w:val="24"/>
              </w:rPr>
              <w:t xml:space="preserve"> 200mcg (0.2mg) per kg of body weight</w:t>
            </w:r>
            <w:r w:rsidRPr="00727DFA">
              <w:rPr>
                <w:rFonts w:eastAsia="Times New Roman"/>
                <w:spacing w:val="-6"/>
                <w:szCs w:val="24"/>
              </w:rPr>
              <w:t xml:space="preserve"> </w:t>
            </w:r>
            <w:r w:rsidRPr="00727DFA">
              <w:rPr>
                <w:rFonts w:eastAsia="Times New Roman"/>
                <w:szCs w:val="24"/>
              </w:rPr>
              <w:t>as</w:t>
            </w:r>
            <w:r w:rsidRPr="00727DFA">
              <w:rPr>
                <w:rFonts w:eastAsia="Times New Roman"/>
                <w:spacing w:val="-4"/>
                <w:szCs w:val="24"/>
              </w:rPr>
              <w:t xml:space="preserve"> </w:t>
            </w:r>
            <w:r w:rsidRPr="00727DFA">
              <w:rPr>
                <w:rFonts w:eastAsia="Times New Roman"/>
                <w:szCs w:val="24"/>
              </w:rPr>
              <w:t>a</w:t>
            </w:r>
            <w:r w:rsidRPr="00727DFA">
              <w:rPr>
                <w:rFonts w:eastAsia="Times New Roman"/>
                <w:spacing w:val="-4"/>
                <w:szCs w:val="24"/>
              </w:rPr>
              <w:t xml:space="preserve"> </w:t>
            </w:r>
            <w:r w:rsidRPr="00727DFA">
              <w:rPr>
                <w:rFonts w:eastAsia="Times New Roman"/>
                <w:szCs w:val="24"/>
              </w:rPr>
              <w:t>single</w:t>
            </w:r>
            <w:r w:rsidRPr="00727DFA">
              <w:rPr>
                <w:rFonts w:eastAsia="Times New Roman"/>
                <w:spacing w:val="-3"/>
                <w:szCs w:val="24"/>
              </w:rPr>
              <w:t xml:space="preserve"> </w:t>
            </w:r>
            <w:r w:rsidRPr="00727DFA">
              <w:rPr>
                <w:rFonts w:eastAsia="Times New Roman"/>
                <w:szCs w:val="24"/>
              </w:rPr>
              <w:t>dose.</w:t>
            </w:r>
            <w:r w:rsidRPr="00727DFA">
              <w:rPr>
                <w:rFonts w:eastAsia="Times New Roman"/>
                <w:spacing w:val="-6"/>
                <w:szCs w:val="24"/>
              </w:rPr>
              <w:t xml:space="preserve"> </w:t>
            </w:r>
          </w:p>
          <w:p w14:paraId="1AD41268" w14:textId="77777777" w:rsidR="007B485D" w:rsidRPr="00727DFA" w:rsidRDefault="007B485D" w:rsidP="002D6DD7">
            <w:pPr>
              <w:widowControl w:val="0"/>
              <w:autoSpaceDE w:val="0"/>
              <w:autoSpaceDN w:val="0"/>
              <w:ind w:left="92" w:right="180"/>
              <w:jc w:val="both"/>
              <w:rPr>
                <w:rFonts w:eastAsia="Times New Roman"/>
                <w:szCs w:val="24"/>
              </w:rPr>
            </w:pPr>
            <w:r w:rsidRPr="00727DFA">
              <w:rPr>
                <w:rFonts w:eastAsia="Times New Roman"/>
                <w:b/>
                <w:szCs w:val="24"/>
              </w:rPr>
              <w:t>Suppression</w:t>
            </w:r>
            <w:r w:rsidRPr="00727DFA">
              <w:rPr>
                <w:rFonts w:eastAsia="Times New Roman"/>
                <w:b/>
                <w:spacing w:val="-4"/>
                <w:szCs w:val="24"/>
              </w:rPr>
              <w:t xml:space="preserve"> </w:t>
            </w:r>
            <w:r w:rsidRPr="00727DFA">
              <w:rPr>
                <w:rFonts w:eastAsia="Times New Roman"/>
                <w:b/>
                <w:szCs w:val="24"/>
              </w:rPr>
              <w:t>of</w:t>
            </w:r>
            <w:r w:rsidRPr="00727DFA">
              <w:rPr>
                <w:rFonts w:eastAsia="Times New Roman"/>
                <w:b/>
                <w:spacing w:val="-4"/>
                <w:szCs w:val="24"/>
              </w:rPr>
              <w:t xml:space="preserve"> </w:t>
            </w:r>
            <w:r w:rsidRPr="00727DFA">
              <w:rPr>
                <w:rFonts w:eastAsia="Times New Roman"/>
                <w:b/>
                <w:szCs w:val="24"/>
              </w:rPr>
              <w:t>microfilariae</w:t>
            </w:r>
            <w:r w:rsidRPr="00727DFA">
              <w:rPr>
                <w:rFonts w:eastAsia="Times New Roman"/>
                <w:szCs w:val="24"/>
              </w:rPr>
              <w:t>, Oral:</w:t>
            </w:r>
            <w:r w:rsidRPr="00727DFA">
              <w:rPr>
                <w:rFonts w:eastAsia="Times New Roman"/>
                <w:spacing w:val="-3"/>
                <w:szCs w:val="24"/>
              </w:rPr>
              <w:t xml:space="preserve"> </w:t>
            </w:r>
          </w:p>
          <w:p w14:paraId="54D2D4AE" w14:textId="77777777" w:rsidR="007B485D" w:rsidRPr="00727DFA" w:rsidRDefault="007B485D" w:rsidP="002D6DD7">
            <w:pPr>
              <w:widowControl w:val="0"/>
              <w:autoSpaceDE w:val="0"/>
              <w:autoSpaceDN w:val="0"/>
              <w:ind w:left="92" w:right="180"/>
              <w:jc w:val="both"/>
              <w:rPr>
                <w:rFonts w:eastAsia="Times New Roman"/>
                <w:szCs w:val="24"/>
              </w:rPr>
            </w:pPr>
            <w:r w:rsidRPr="00727DFA">
              <w:rPr>
                <w:rFonts w:eastAsia="Times New Roman"/>
                <w:b/>
                <w:bCs/>
                <w:szCs w:val="24"/>
              </w:rPr>
              <w:t>Adult</w:t>
            </w:r>
            <w:r w:rsidRPr="00727DFA">
              <w:rPr>
                <w:rFonts w:eastAsia="Times New Roman"/>
                <w:b/>
                <w:bCs/>
                <w:spacing w:val="-3"/>
                <w:szCs w:val="24"/>
              </w:rPr>
              <w:t xml:space="preserve"> </w:t>
            </w:r>
            <w:r w:rsidRPr="00727DFA">
              <w:rPr>
                <w:rFonts w:eastAsia="Times New Roman"/>
                <w:b/>
                <w:bCs/>
                <w:szCs w:val="24"/>
              </w:rPr>
              <w:t>and child &gt; 5 years (and weighing over 15kg):</w:t>
            </w:r>
            <w:r w:rsidRPr="00727DFA">
              <w:rPr>
                <w:rFonts w:eastAsia="Times New Roman"/>
                <w:szCs w:val="24"/>
              </w:rPr>
              <w:t xml:space="preserve"> 150</w:t>
            </w:r>
            <w:r>
              <w:rPr>
                <w:rFonts w:eastAsia="Times New Roman"/>
                <w:szCs w:val="24"/>
              </w:rPr>
              <w:t>-200</w:t>
            </w:r>
            <w:r w:rsidRPr="00727DFA">
              <w:rPr>
                <w:rFonts w:eastAsia="Times New Roman"/>
                <w:szCs w:val="24"/>
              </w:rPr>
              <w:t>mcg/kg as a single dose once a year.</w:t>
            </w:r>
          </w:p>
          <w:p w14:paraId="3735FA31" w14:textId="77777777" w:rsidR="007B485D" w:rsidRPr="00727DFA" w:rsidRDefault="007B485D" w:rsidP="002D6DD7">
            <w:pPr>
              <w:widowControl w:val="0"/>
              <w:autoSpaceDE w:val="0"/>
              <w:autoSpaceDN w:val="0"/>
              <w:ind w:left="92" w:right="180"/>
              <w:jc w:val="both"/>
              <w:rPr>
                <w:rFonts w:eastAsia="Times New Roman"/>
                <w:szCs w:val="24"/>
              </w:rPr>
            </w:pPr>
            <w:r w:rsidRPr="003564C6">
              <w:rPr>
                <w:rFonts w:eastAsia="Times New Roman"/>
                <w:i/>
                <w:color w:val="000000" w:themeColor="text1"/>
                <w:spacing w:val="-2"/>
                <w:szCs w:val="24"/>
              </w:rPr>
              <w:t>Note:</w:t>
            </w:r>
            <w:r w:rsidRPr="00727DFA">
              <w:rPr>
                <w:rFonts w:eastAsia="Times New Roman"/>
                <w:i/>
                <w:color w:val="000000" w:themeColor="text1"/>
                <w:spacing w:val="-18"/>
                <w:szCs w:val="24"/>
              </w:rPr>
              <w:t xml:space="preserve"> </w:t>
            </w:r>
            <w:r w:rsidRPr="00727DFA">
              <w:rPr>
                <w:rFonts w:eastAsia="Times New Roman"/>
                <w:i/>
                <w:color w:val="000000" w:themeColor="text1"/>
                <w:spacing w:val="-2"/>
                <w:szCs w:val="24"/>
              </w:rPr>
              <w:t>avoid</w:t>
            </w:r>
            <w:r w:rsidRPr="00727DFA">
              <w:rPr>
                <w:rFonts w:eastAsia="Times New Roman"/>
                <w:i/>
                <w:color w:val="000000" w:themeColor="text1"/>
                <w:spacing w:val="-18"/>
                <w:szCs w:val="24"/>
              </w:rPr>
              <w:t xml:space="preserve"> </w:t>
            </w:r>
            <w:r w:rsidRPr="00727DFA">
              <w:rPr>
                <w:rFonts w:eastAsia="Times New Roman"/>
                <w:i/>
                <w:color w:val="000000" w:themeColor="text1"/>
                <w:spacing w:val="-2"/>
                <w:szCs w:val="24"/>
              </w:rPr>
              <w:t>food</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or</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alcohol</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for</w:t>
            </w:r>
            <w:r w:rsidRPr="00727DFA">
              <w:rPr>
                <w:rFonts w:eastAsia="Times New Roman"/>
                <w:i/>
                <w:color w:val="000000" w:themeColor="text1"/>
                <w:spacing w:val="-18"/>
                <w:szCs w:val="24"/>
              </w:rPr>
              <w:t xml:space="preserve"> </w:t>
            </w:r>
            <w:r w:rsidRPr="00727DFA">
              <w:rPr>
                <w:rFonts w:eastAsia="Times New Roman"/>
                <w:i/>
                <w:color w:val="000000" w:themeColor="text1"/>
                <w:spacing w:val="-2"/>
                <w:szCs w:val="24"/>
              </w:rPr>
              <w:t>at</w:t>
            </w:r>
            <w:r w:rsidRPr="00727DFA">
              <w:rPr>
                <w:rFonts w:eastAsia="Times New Roman"/>
                <w:i/>
                <w:color w:val="000000" w:themeColor="text1"/>
                <w:spacing w:val="-18"/>
                <w:szCs w:val="24"/>
              </w:rPr>
              <w:t xml:space="preserve"> </w:t>
            </w:r>
            <w:r w:rsidRPr="00727DFA">
              <w:rPr>
                <w:rFonts w:eastAsia="Times New Roman"/>
                <w:i/>
                <w:color w:val="000000" w:themeColor="text1"/>
                <w:spacing w:val="-2"/>
                <w:szCs w:val="24"/>
              </w:rPr>
              <w:t>least</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2</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hours</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before</w:t>
            </w:r>
            <w:r w:rsidRPr="00727DFA">
              <w:rPr>
                <w:rFonts w:eastAsia="Times New Roman"/>
                <w:i/>
                <w:color w:val="000000" w:themeColor="text1"/>
                <w:spacing w:val="-17"/>
                <w:szCs w:val="24"/>
              </w:rPr>
              <w:t xml:space="preserve"> </w:t>
            </w:r>
            <w:r w:rsidRPr="00727DFA">
              <w:rPr>
                <w:rFonts w:eastAsia="Times New Roman"/>
                <w:i/>
                <w:color w:val="000000" w:themeColor="text1"/>
                <w:spacing w:val="-2"/>
                <w:szCs w:val="24"/>
              </w:rPr>
              <w:t>and</w:t>
            </w:r>
            <w:r w:rsidRPr="00727DFA">
              <w:rPr>
                <w:rFonts w:eastAsia="Times New Roman"/>
                <w:i/>
                <w:color w:val="000000" w:themeColor="text1"/>
                <w:spacing w:val="-18"/>
                <w:szCs w:val="24"/>
              </w:rPr>
              <w:t xml:space="preserve"> </w:t>
            </w:r>
            <w:r w:rsidRPr="00727DFA">
              <w:rPr>
                <w:rFonts w:eastAsia="Times New Roman"/>
                <w:i/>
                <w:color w:val="000000" w:themeColor="text1"/>
                <w:spacing w:val="-2"/>
                <w:szCs w:val="24"/>
              </w:rPr>
              <w:t>after</w:t>
            </w:r>
            <w:r w:rsidRPr="00727DFA">
              <w:rPr>
                <w:rFonts w:eastAsia="Times New Roman"/>
                <w:i/>
                <w:color w:val="000000" w:themeColor="text1"/>
                <w:spacing w:val="-16"/>
                <w:szCs w:val="24"/>
              </w:rPr>
              <w:t xml:space="preserve"> </w:t>
            </w:r>
            <w:r w:rsidRPr="00727DFA">
              <w:rPr>
                <w:rFonts w:eastAsia="Times New Roman"/>
                <w:i/>
                <w:color w:val="000000" w:themeColor="text1"/>
                <w:spacing w:val="-2"/>
                <w:szCs w:val="24"/>
              </w:rPr>
              <w:t>a dose</w:t>
            </w:r>
          </w:p>
        </w:tc>
      </w:tr>
      <w:tr w:rsidR="007B485D" w:rsidRPr="00727DFA" w14:paraId="7020F85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966DFB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AA25197" w14:textId="77777777" w:rsidR="007B485D" w:rsidRPr="00727DFA" w:rsidRDefault="007B485D" w:rsidP="002D6DD7">
            <w:pPr>
              <w:ind w:left="92" w:right="180"/>
              <w:jc w:val="both"/>
              <w:rPr>
                <w:rFonts w:eastAsia="DengXian"/>
                <w:b/>
                <w:szCs w:val="24"/>
              </w:rPr>
            </w:pPr>
            <w:r w:rsidRPr="00727DFA">
              <w:rPr>
                <w:rFonts w:eastAsia="DengXian"/>
                <w:szCs w:val="24"/>
              </w:rPr>
              <w:t>Hypersensitivity to ivermectin</w:t>
            </w:r>
            <w:r>
              <w:rPr>
                <w:rFonts w:eastAsia="DengXian"/>
                <w:szCs w:val="24"/>
              </w:rPr>
              <w:t>, p</w:t>
            </w:r>
            <w:r w:rsidRPr="00727DFA">
              <w:rPr>
                <w:rFonts w:eastAsia="DengXian"/>
                <w:szCs w:val="24"/>
              </w:rPr>
              <w:t>regnancy</w:t>
            </w:r>
            <w:r>
              <w:rPr>
                <w:rFonts w:eastAsia="DengXian"/>
                <w:szCs w:val="24"/>
              </w:rPr>
              <w:t>.</w:t>
            </w:r>
          </w:p>
        </w:tc>
      </w:tr>
      <w:tr w:rsidR="007B485D" w:rsidRPr="00727DFA" w14:paraId="67B85F1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E38CA0"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2396B55C" w14:textId="77777777" w:rsidR="007B485D" w:rsidRPr="00727DFA" w:rsidRDefault="007B485D" w:rsidP="002D6DD7">
            <w:pPr>
              <w:ind w:left="92" w:right="180"/>
              <w:jc w:val="both"/>
              <w:rPr>
                <w:rFonts w:eastAsia="DengXian"/>
                <w:szCs w:val="24"/>
              </w:rPr>
            </w:pPr>
            <w:r w:rsidRPr="00727DFA">
              <w:rPr>
                <w:rFonts w:eastAsia="DengXian"/>
                <w:szCs w:val="24"/>
              </w:rPr>
              <w:t>P-glycoprotein inhibitors and inducers, oral anticoagulants</w:t>
            </w:r>
          </w:p>
        </w:tc>
      </w:tr>
      <w:tr w:rsidR="007B485D" w:rsidRPr="00727DFA" w14:paraId="4EC2EAE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724D8F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4BA33206" w14:textId="77777777" w:rsidR="007B485D" w:rsidRPr="00727DFA" w:rsidRDefault="007B485D" w:rsidP="002D6DD7">
            <w:pPr>
              <w:ind w:left="92" w:right="180"/>
              <w:jc w:val="both"/>
              <w:rPr>
                <w:rFonts w:eastAsia="DengXian"/>
                <w:szCs w:val="24"/>
              </w:rPr>
            </w:pPr>
            <w:r w:rsidRPr="00727DFA">
              <w:rPr>
                <w:rFonts w:eastAsia="DengXian"/>
                <w:szCs w:val="24"/>
              </w:rPr>
              <w:t>Mazzoti reaction, arthralgia</w:t>
            </w:r>
            <w:r w:rsidRPr="00727DFA">
              <w:rPr>
                <w:rFonts w:eastAsia="DengXian"/>
                <w:spacing w:val="-5"/>
                <w:szCs w:val="24"/>
              </w:rPr>
              <w:t>,</w:t>
            </w:r>
            <w:r w:rsidRPr="00727DFA">
              <w:rPr>
                <w:rFonts w:eastAsia="DengXian"/>
                <w:spacing w:val="-1"/>
                <w:szCs w:val="24"/>
              </w:rPr>
              <w:t xml:space="preserve"> </w:t>
            </w:r>
            <w:r w:rsidRPr="00727DFA">
              <w:rPr>
                <w:rFonts w:eastAsia="DengXian"/>
                <w:szCs w:val="24"/>
              </w:rPr>
              <w:t>myalgia, dizziness, fever, headache,</w:t>
            </w:r>
            <w:r>
              <w:rPr>
                <w:rFonts w:eastAsia="DengXian"/>
                <w:szCs w:val="24"/>
              </w:rPr>
              <w:t xml:space="preserve"> abdominal pain,</w:t>
            </w:r>
            <w:r w:rsidRPr="00727DFA">
              <w:rPr>
                <w:rFonts w:eastAsia="DengXian"/>
                <w:szCs w:val="24"/>
              </w:rPr>
              <w:t xml:space="preserve"> lymphadenopathy,</w:t>
            </w:r>
            <w:r w:rsidRPr="00727DFA">
              <w:rPr>
                <w:rFonts w:eastAsia="DengXian"/>
                <w:spacing w:val="-5"/>
                <w:szCs w:val="24"/>
              </w:rPr>
              <w:t xml:space="preserve"> </w:t>
            </w:r>
            <w:r w:rsidRPr="00727DFA">
              <w:rPr>
                <w:rFonts w:eastAsia="DengXian"/>
                <w:szCs w:val="24"/>
              </w:rPr>
              <w:t>skin</w:t>
            </w:r>
            <w:r w:rsidRPr="00727DFA">
              <w:rPr>
                <w:rFonts w:eastAsia="DengXian"/>
                <w:spacing w:val="-3"/>
                <w:szCs w:val="24"/>
              </w:rPr>
              <w:t xml:space="preserve"> </w:t>
            </w:r>
            <w:r w:rsidRPr="00727DFA">
              <w:rPr>
                <w:rFonts w:eastAsia="DengXian"/>
                <w:szCs w:val="24"/>
              </w:rPr>
              <w:t>rash</w:t>
            </w:r>
            <w:r w:rsidRPr="00727DFA">
              <w:rPr>
                <w:rFonts w:eastAsia="DengXian"/>
                <w:spacing w:val="-3"/>
                <w:szCs w:val="24"/>
              </w:rPr>
              <w:t xml:space="preserve"> </w:t>
            </w:r>
            <w:r w:rsidRPr="00727DFA">
              <w:rPr>
                <w:rFonts w:eastAsia="DengXian"/>
                <w:szCs w:val="24"/>
              </w:rPr>
              <w:t>or</w:t>
            </w:r>
            <w:r w:rsidRPr="00727DFA">
              <w:rPr>
                <w:rFonts w:eastAsia="DengXian"/>
                <w:spacing w:val="-4"/>
                <w:szCs w:val="24"/>
              </w:rPr>
              <w:t xml:space="preserve"> </w:t>
            </w:r>
            <w:r w:rsidRPr="00727DFA">
              <w:rPr>
                <w:rFonts w:eastAsia="DengXian"/>
                <w:szCs w:val="24"/>
              </w:rPr>
              <w:t>itching</w:t>
            </w:r>
            <w:r w:rsidRPr="00727DFA">
              <w:rPr>
                <w:rFonts w:eastAsia="DengXian"/>
                <w:spacing w:val="-1"/>
                <w:szCs w:val="24"/>
              </w:rPr>
              <w:t xml:space="preserve"> </w:t>
            </w:r>
            <w:r w:rsidRPr="00727DFA">
              <w:rPr>
                <w:rFonts w:eastAsia="DengXian"/>
                <w:szCs w:val="24"/>
              </w:rPr>
              <w:t>(due</w:t>
            </w:r>
            <w:r w:rsidRPr="00727DFA">
              <w:rPr>
                <w:rFonts w:eastAsia="DengXian"/>
                <w:spacing w:val="-1"/>
                <w:szCs w:val="24"/>
              </w:rPr>
              <w:t xml:space="preserve"> </w:t>
            </w:r>
            <w:r w:rsidRPr="00727DFA">
              <w:rPr>
                <w:rFonts w:eastAsia="DengXian"/>
                <w:szCs w:val="24"/>
              </w:rPr>
              <w:t>to death of microflaria in skin),</w:t>
            </w:r>
            <w:r w:rsidRPr="00727DFA">
              <w:rPr>
                <w:rFonts w:eastAsia="DengXian"/>
                <w:spacing w:val="-2"/>
                <w:szCs w:val="24"/>
              </w:rPr>
              <w:t xml:space="preserve"> </w:t>
            </w:r>
            <w:r w:rsidRPr="00727DFA">
              <w:rPr>
                <w:rFonts w:eastAsia="DengXian"/>
                <w:szCs w:val="24"/>
              </w:rPr>
              <w:t>transient eosinophilia, liver dysfunction (hepatitis), liver enzyme</w:t>
            </w:r>
            <w:r>
              <w:rPr>
                <w:rFonts w:eastAsia="DengXian"/>
                <w:szCs w:val="24"/>
              </w:rPr>
              <w:t>s abnormality</w:t>
            </w:r>
            <w:r w:rsidRPr="00727DFA">
              <w:rPr>
                <w:rFonts w:eastAsia="DengXian"/>
                <w:szCs w:val="24"/>
              </w:rPr>
              <w:t>, hyperbilirubinemia</w:t>
            </w:r>
            <w:r>
              <w:rPr>
                <w:rFonts w:eastAsia="DengXian"/>
                <w:szCs w:val="24"/>
              </w:rPr>
              <w:t xml:space="preserve">, </w:t>
            </w:r>
            <w:r w:rsidRPr="00727DFA">
              <w:rPr>
                <w:rFonts w:eastAsia="DengXian"/>
                <w:szCs w:val="24"/>
              </w:rPr>
              <w:t>hematuria</w:t>
            </w:r>
            <w:r>
              <w:rPr>
                <w:rFonts w:eastAsia="DengXian"/>
                <w:szCs w:val="24"/>
              </w:rPr>
              <w:t xml:space="preserve">, </w:t>
            </w:r>
            <w:r w:rsidRPr="00727DFA">
              <w:rPr>
                <w:rFonts w:eastAsia="DengXian"/>
                <w:szCs w:val="24"/>
              </w:rPr>
              <w:t>Stevens-Johnson syndrome</w:t>
            </w:r>
            <w:r>
              <w:rPr>
                <w:rFonts w:eastAsia="DengXian"/>
                <w:szCs w:val="24"/>
              </w:rPr>
              <w:t>.</w:t>
            </w:r>
            <w:r w:rsidRPr="00727DFA">
              <w:rPr>
                <w:rFonts w:eastAsia="DengXian"/>
                <w:szCs w:val="24"/>
              </w:rPr>
              <w:t xml:space="preserve"> </w:t>
            </w:r>
          </w:p>
        </w:tc>
      </w:tr>
      <w:tr w:rsidR="007B485D" w:rsidRPr="00727DFA" w14:paraId="6C82782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BB11F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71ABF27C" w14:textId="77777777" w:rsidR="007B485D" w:rsidRPr="00727DFA" w:rsidRDefault="007B485D" w:rsidP="002D6DD7">
            <w:pPr>
              <w:ind w:left="92" w:right="180"/>
              <w:jc w:val="both"/>
              <w:rPr>
                <w:rFonts w:eastAsia="DengXian"/>
                <w:szCs w:val="24"/>
              </w:rPr>
            </w:pPr>
            <w:r w:rsidRPr="00727DFA">
              <w:rPr>
                <w:rFonts w:eastAsia="DengXian"/>
                <w:szCs w:val="24"/>
              </w:rPr>
              <w:t>Breastfeeding, children below 15kg</w:t>
            </w:r>
          </w:p>
        </w:tc>
      </w:tr>
      <w:tr w:rsidR="007B485D" w:rsidRPr="00727DFA" w14:paraId="1094D47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4477835"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24DB6A96" w14:textId="77777777" w:rsidR="007B485D" w:rsidRPr="00727DFA" w:rsidRDefault="007B485D" w:rsidP="002D6DD7">
            <w:pPr>
              <w:ind w:left="92" w:right="180"/>
              <w:jc w:val="both"/>
              <w:rPr>
                <w:rFonts w:eastAsia="DengXian"/>
                <w:szCs w:val="24"/>
              </w:rPr>
            </w:pPr>
            <w:r w:rsidRPr="00727DFA">
              <w:rPr>
                <w:rFonts w:eastAsia="DengXian"/>
                <w:szCs w:val="24"/>
              </w:rPr>
              <w:t>Store below 30</w:t>
            </w:r>
            <w:r w:rsidRPr="00727DFA">
              <w:rPr>
                <w:rFonts w:eastAsia="DengXian"/>
                <w:szCs w:val="24"/>
                <w:vertAlign w:val="superscript"/>
              </w:rPr>
              <w:t>o</w:t>
            </w:r>
            <w:r w:rsidRPr="00727DFA">
              <w:rPr>
                <w:rFonts w:eastAsia="DengXian"/>
                <w:szCs w:val="24"/>
              </w:rPr>
              <w:t>C</w:t>
            </w:r>
            <w:r>
              <w:rPr>
                <w:rFonts w:eastAsia="DengXian"/>
                <w:szCs w:val="24"/>
              </w:rPr>
              <w:t>.</w:t>
            </w:r>
            <w:r w:rsidRPr="00727DFA">
              <w:rPr>
                <w:rFonts w:eastAsia="DengXian"/>
                <w:spacing w:val="-2"/>
                <w:szCs w:val="24"/>
              </w:rPr>
              <w:t xml:space="preserve"> </w:t>
            </w:r>
          </w:p>
        </w:tc>
      </w:tr>
    </w:tbl>
    <w:p w14:paraId="38A76FC9" w14:textId="77777777" w:rsidR="007B485D" w:rsidRPr="00727DFA" w:rsidRDefault="007B485D" w:rsidP="007B485D">
      <w:pPr>
        <w:spacing w:after="0"/>
        <w:jc w:val="both"/>
        <w:rPr>
          <w:rFonts w:eastAsia="DengXian" w:cs="Times New Roman"/>
          <w:b/>
          <w:spacing w:val="-2"/>
          <w:szCs w:val="24"/>
        </w:rPr>
      </w:pPr>
    </w:p>
    <w:p w14:paraId="0A783F59" w14:textId="77777777" w:rsidR="007B485D" w:rsidRPr="00ED22AD" w:rsidRDefault="007B485D" w:rsidP="00ED22AD">
      <w:pPr>
        <w:rPr>
          <w:rFonts w:eastAsia="DengXian Light"/>
          <w:b/>
        </w:rPr>
      </w:pPr>
      <w:r w:rsidRPr="00ED22AD">
        <w:rPr>
          <w:rFonts w:eastAsia="DengXian Light"/>
          <w:b/>
        </w:rPr>
        <w:t xml:space="preserve">Medicines </w:t>
      </w:r>
      <w:r w:rsidR="00D97A49" w:rsidRPr="00ED22AD">
        <w:rPr>
          <w:rFonts w:eastAsia="DengXian Light"/>
          <w:b/>
        </w:rPr>
        <w:t>u</w:t>
      </w:r>
      <w:r w:rsidRPr="00ED22AD">
        <w:rPr>
          <w:rFonts w:eastAsia="DengXian Light"/>
          <w:b/>
        </w:rPr>
        <w:t xml:space="preserve">sed for </w:t>
      </w:r>
      <w:r w:rsidR="00D97A49" w:rsidRPr="00ED22AD">
        <w:rPr>
          <w:rFonts w:eastAsia="DengXian Light"/>
          <w:b/>
        </w:rPr>
        <w:t>s</w:t>
      </w:r>
      <w:r w:rsidRPr="00ED22AD">
        <w:rPr>
          <w:rFonts w:eastAsia="DengXian Light"/>
          <w:b/>
        </w:rPr>
        <w:t xml:space="preserve">chistosomiasis and </w:t>
      </w:r>
      <w:r w:rsidR="00D97A49" w:rsidRPr="00ED22AD">
        <w:rPr>
          <w:rFonts w:eastAsia="DengXian Light"/>
          <w:b/>
        </w:rPr>
        <w:t>f</w:t>
      </w:r>
      <w:r w:rsidRPr="00ED22AD">
        <w:rPr>
          <w:rFonts w:eastAsia="DengXian Light"/>
          <w:b/>
        </w:rPr>
        <w:t>asciolosis</w:t>
      </w:r>
    </w:p>
    <w:p w14:paraId="4222FE31" w14:textId="77777777" w:rsidR="007B485D" w:rsidRPr="00727DFA" w:rsidRDefault="007B485D" w:rsidP="007B485D">
      <w:pPr>
        <w:spacing w:after="0"/>
        <w:jc w:val="both"/>
        <w:rPr>
          <w:rFonts w:eastAsia="DengXian" w:cs="Times New Roman"/>
          <w:szCs w:val="24"/>
          <w:shd w:val="clear" w:color="auto" w:fill="FFFFFF"/>
          <w:lang w:eastAsia="zh-CN"/>
        </w:rPr>
      </w:pPr>
      <w:r w:rsidRPr="00727DFA">
        <w:rPr>
          <w:rFonts w:eastAsia="Times New Roman" w:cs="Times New Roman"/>
          <w:bCs/>
          <w:szCs w:val="24"/>
          <w:lang w:eastAsia="zh-CN"/>
        </w:rPr>
        <w:t xml:space="preserve">Schistosomiasis is a major neglected tropical disease. It is caused by various </w:t>
      </w:r>
      <w:r w:rsidRPr="00727DFA">
        <w:rPr>
          <w:rFonts w:eastAsia="Times New Roman" w:cs="Times New Roman"/>
          <w:bCs/>
          <w:i/>
          <w:iCs/>
          <w:szCs w:val="24"/>
          <w:lang w:eastAsia="zh-CN"/>
        </w:rPr>
        <w:t>Schistosoma</w:t>
      </w:r>
      <w:r w:rsidRPr="00727DFA">
        <w:rPr>
          <w:rFonts w:eastAsia="Times New Roman" w:cs="Times New Roman"/>
          <w:bCs/>
          <w:szCs w:val="24"/>
          <w:lang w:eastAsia="zh-CN"/>
        </w:rPr>
        <w:t xml:space="preserve"> species. </w:t>
      </w:r>
      <w:r w:rsidRPr="00727DFA">
        <w:rPr>
          <w:rFonts w:eastAsia="Times New Roman" w:cs="Times New Roman"/>
          <w:bCs/>
          <w:i/>
          <w:iCs/>
          <w:szCs w:val="24"/>
          <w:lang w:eastAsia="zh-CN"/>
        </w:rPr>
        <w:t>Schistosoma haematobium</w:t>
      </w:r>
      <w:r w:rsidRPr="00727DFA">
        <w:rPr>
          <w:rFonts w:eastAsia="Times New Roman" w:cs="Times New Roman"/>
          <w:bCs/>
          <w:szCs w:val="24"/>
          <w:lang w:eastAsia="zh-CN"/>
        </w:rPr>
        <w:t xml:space="preserve"> causes urogenital schistosomiasis while intestinal schistosomiasis is caused by </w:t>
      </w:r>
      <w:r w:rsidRPr="00727DFA">
        <w:rPr>
          <w:rFonts w:eastAsia="Times New Roman" w:cs="Times New Roman"/>
          <w:bCs/>
          <w:i/>
          <w:iCs/>
          <w:szCs w:val="24"/>
          <w:lang w:eastAsia="zh-CN"/>
        </w:rPr>
        <w:t>S. guineensis, S. intercalatum, S. mansoni, S. japonicum</w:t>
      </w:r>
      <w:r w:rsidRPr="00727DFA">
        <w:rPr>
          <w:rFonts w:eastAsia="Times New Roman" w:cs="Times New Roman"/>
          <w:bCs/>
          <w:szCs w:val="24"/>
          <w:lang w:eastAsia="zh-CN"/>
        </w:rPr>
        <w:t xml:space="preserve">, or </w:t>
      </w:r>
      <w:r w:rsidRPr="00727DFA">
        <w:rPr>
          <w:rFonts w:eastAsia="Times New Roman" w:cs="Times New Roman"/>
          <w:bCs/>
          <w:i/>
          <w:iCs/>
          <w:szCs w:val="24"/>
          <w:lang w:eastAsia="zh-CN"/>
        </w:rPr>
        <w:t>S. mekongi</w:t>
      </w:r>
      <w:r w:rsidRPr="00727DFA">
        <w:rPr>
          <w:rFonts w:eastAsia="Times New Roman" w:cs="Times New Roman"/>
          <w:bCs/>
          <w:szCs w:val="24"/>
          <w:lang w:eastAsia="zh-CN"/>
        </w:rPr>
        <w:t>.</w:t>
      </w:r>
      <w:r w:rsidRPr="00727DFA">
        <w:rPr>
          <w:rFonts w:eastAsia="DengXian" w:cs="Times New Roman"/>
          <w:szCs w:val="24"/>
          <w:lang w:eastAsia="zh-CN"/>
        </w:rPr>
        <w:t xml:space="preserve"> </w:t>
      </w:r>
      <w:r w:rsidRPr="00727DFA">
        <w:rPr>
          <w:rFonts w:eastAsia="Times New Roman" w:cs="Times New Roman"/>
          <w:bCs/>
          <w:szCs w:val="24"/>
          <w:lang w:eastAsia="zh-CN"/>
        </w:rPr>
        <w:t xml:space="preserve">Currently, the main forms of treatment used for schistosomiasis are praziquantel (PZQ) and oxamniquine (OXA). PZQ is the drug of choice because it presents as a high-spectrum anthelmintic, used in the treatment of all known species of schistosomiasis and some species of cestodes and trematodes. OXA, however, is not active against the three </w:t>
      </w:r>
      <w:r w:rsidRPr="00727DFA">
        <w:rPr>
          <w:rFonts w:eastAsia="Times New Roman" w:cs="Times New Roman"/>
          <w:bCs/>
          <w:i/>
          <w:iCs/>
          <w:szCs w:val="24"/>
          <w:lang w:eastAsia="zh-CN"/>
        </w:rPr>
        <w:t>Schistosome</w:t>
      </w:r>
      <w:r w:rsidRPr="00727DFA">
        <w:rPr>
          <w:rFonts w:eastAsia="Times New Roman" w:cs="Times New Roman"/>
          <w:bCs/>
          <w:szCs w:val="24"/>
          <w:lang w:eastAsia="zh-CN"/>
        </w:rPr>
        <w:t xml:space="preserve"> species. </w:t>
      </w:r>
      <w:r w:rsidRPr="00727DFA">
        <w:rPr>
          <w:rFonts w:eastAsia="DengXian" w:cs="Times New Roman"/>
          <w:szCs w:val="24"/>
          <w:shd w:val="clear" w:color="auto" w:fill="FFFFFF"/>
          <w:lang w:eastAsia="zh-CN"/>
        </w:rPr>
        <w:t>The timing of treatment is important since praziquantel is most effective against the adult worm and requires the presence of a mature antibody response to the parasite.</w:t>
      </w:r>
    </w:p>
    <w:p w14:paraId="537E74DE" w14:textId="77777777" w:rsidR="007B485D" w:rsidRPr="00727DFA" w:rsidRDefault="007B485D" w:rsidP="00ED22AD">
      <w:pPr>
        <w:spacing w:before="240"/>
        <w:jc w:val="both"/>
        <w:rPr>
          <w:rFonts w:eastAsia="DengXian" w:cs="Times New Roman"/>
          <w:szCs w:val="24"/>
          <w:lang w:eastAsia="zh-CN"/>
        </w:rPr>
      </w:pPr>
      <w:r w:rsidRPr="00727DFA">
        <w:rPr>
          <w:rFonts w:eastAsia="DengXian" w:cs="Times New Roman"/>
          <w:szCs w:val="24"/>
          <w:lang w:eastAsia="zh-CN"/>
        </w:rPr>
        <w:lastRenderedPageBreak/>
        <w:t xml:space="preserve">Fascioliasis is an emerging neglected zoonotic infection affecting the health and wellbeing of human populations. Two accepted species, </w:t>
      </w:r>
      <w:r w:rsidRPr="00727DFA">
        <w:rPr>
          <w:rFonts w:eastAsia="DengXian" w:cs="Times New Roman"/>
          <w:i/>
          <w:iCs/>
          <w:szCs w:val="24"/>
          <w:lang w:eastAsia="zh-CN"/>
        </w:rPr>
        <w:t>Fasciola hepatica</w:t>
      </w:r>
      <w:r w:rsidRPr="00727DFA">
        <w:rPr>
          <w:rFonts w:eastAsia="DengXian" w:cs="Times New Roman"/>
          <w:szCs w:val="24"/>
          <w:lang w:eastAsia="zh-CN"/>
        </w:rPr>
        <w:t xml:space="preserve"> and </w:t>
      </w:r>
      <w:r w:rsidRPr="00727DFA">
        <w:rPr>
          <w:rFonts w:eastAsia="DengXian" w:cs="Times New Roman"/>
          <w:i/>
          <w:iCs/>
          <w:szCs w:val="24"/>
          <w:lang w:eastAsia="zh-CN"/>
        </w:rPr>
        <w:t>F.  gigantica</w:t>
      </w:r>
      <w:r w:rsidRPr="00727DFA">
        <w:rPr>
          <w:rFonts w:eastAsia="DengXian" w:cs="Times New Roman"/>
          <w:szCs w:val="24"/>
          <w:lang w:eastAsia="zh-CN"/>
        </w:rPr>
        <w:t>, infect a wide range of mammals including livestock and humans. The infection can be asymptomatic or present in acute or chronic forms. Regardless of the presentation, fascioliasis can be associated with long-term complications such as anemia and malnutrition. Triclabendazole is the only drug recommended for the treatment of acute and chronic human fascioliasis. This is a benzimidazole drug that interferes with the parasite’s β-tubulin polymerization balance like other drugs in the same class. The WHO recommends treatment with one or two doses at 10 mg/kg per dose separated for 12 to 24 hours.</w:t>
      </w:r>
    </w:p>
    <w:tbl>
      <w:tblPr>
        <w:tblStyle w:val="TableGrid"/>
        <w:tblW w:w="0" w:type="auto"/>
        <w:tblLook w:val="04A0" w:firstRow="1" w:lastRow="0" w:firstColumn="1" w:lastColumn="0" w:noHBand="0" w:noVBand="1"/>
      </w:tblPr>
      <w:tblGrid>
        <w:gridCol w:w="2605"/>
        <w:gridCol w:w="6745"/>
      </w:tblGrid>
      <w:tr w:rsidR="007B485D" w:rsidRPr="00727DFA" w14:paraId="49A342AF"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35564509" w14:textId="77777777" w:rsidR="007B485D" w:rsidRPr="00727DFA" w:rsidRDefault="007B485D" w:rsidP="002D6DD7">
            <w:pPr>
              <w:keepNext/>
              <w:keepLines/>
              <w:jc w:val="both"/>
              <w:outlineLvl w:val="5"/>
              <w:rPr>
                <w:rFonts w:eastAsia="DengXian Light"/>
                <w:b/>
                <w:bCs/>
                <w:i/>
                <w:iCs/>
                <w:szCs w:val="24"/>
              </w:rPr>
            </w:pPr>
            <w:r w:rsidRPr="00873AF2">
              <w:rPr>
                <w:rFonts w:eastAsia="Times New Roman"/>
                <w:b/>
                <w:spacing w:val="-2"/>
                <w:szCs w:val="24"/>
              </w:rPr>
              <w:t>Praziquantel</w:t>
            </w:r>
          </w:p>
        </w:tc>
      </w:tr>
      <w:tr w:rsidR="007B485D" w:rsidRPr="00727DFA" w14:paraId="07FD7C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7421A4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5DF7D6EF" w14:textId="77777777" w:rsidR="007B485D" w:rsidRPr="00873AF2" w:rsidRDefault="007B485D" w:rsidP="002D6DD7">
            <w:pPr>
              <w:keepNext/>
              <w:keepLines/>
              <w:jc w:val="both"/>
              <w:outlineLvl w:val="5"/>
              <w:rPr>
                <w:rFonts w:eastAsia="DengXian Light"/>
                <w:szCs w:val="24"/>
              </w:rPr>
            </w:pPr>
            <w:r w:rsidRPr="00873AF2">
              <w:rPr>
                <w:rFonts w:eastAsia="Times New Roman"/>
                <w:szCs w:val="24"/>
              </w:rPr>
              <w:t xml:space="preserve"> Quinoline derivative, </w:t>
            </w:r>
            <w:r>
              <w:rPr>
                <w:rFonts w:eastAsia="Times New Roman"/>
                <w:szCs w:val="24"/>
              </w:rPr>
              <w:t>a</w:t>
            </w:r>
            <w:r w:rsidRPr="00873AF2">
              <w:rPr>
                <w:rFonts w:eastAsia="Times New Roman"/>
                <w:szCs w:val="24"/>
              </w:rPr>
              <w:t xml:space="preserve">nthelminthic </w:t>
            </w:r>
          </w:p>
        </w:tc>
      </w:tr>
      <w:tr w:rsidR="007B485D" w:rsidRPr="00727DFA" w14:paraId="141D2C0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296318C"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w:t>
            </w:r>
            <w:r w:rsidRPr="00727DFA">
              <w:rPr>
                <w:rFonts w:eastAsia="Times New Roman"/>
                <w:spacing w:val="-5"/>
                <w:szCs w:val="24"/>
              </w:rPr>
              <w:t xml:space="preserve"> </w:t>
            </w:r>
            <w:r w:rsidRPr="00727DFA">
              <w:rPr>
                <w:rFonts w:eastAsia="Times New Rom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76F79BB3" w14:textId="77777777" w:rsidR="007B485D" w:rsidRPr="00873AF2" w:rsidRDefault="007B485D" w:rsidP="002D6DD7">
            <w:pPr>
              <w:keepNext/>
              <w:keepLines/>
              <w:jc w:val="both"/>
              <w:outlineLvl w:val="5"/>
              <w:rPr>
                <w:rFonts w:eastAsia="DengXian Light"/>
                <w:szCs w:val="24"/>
              </w:rPr>
            </w:pPr>
            <w:r w:rsidRPr="00873AF2">
              <w:rPr>
                <w:rFonts w:eastAsia="Times New Roman"/>
                <w:szCs w:val="24"/>
              </w:rPr>
              <w:t>Tablet:</w:t>
            </w:r>
            <w:r w:rsidRPr="00873AF2">
              <w:rPr>
                <w:rFonts w:eastAsia="Times New Roman"/>
                <w:spacing w:val="-3"/>
                <w:szCs w:val="24"/>
              </w:rPr>
              <w:t xml:space="preserve"> </w:t>
            </w:r>
            <w:r w:rsidRPr="00873AF2">
              <w:rPr>
                <w:rFonts w:eastAsia="Times New Roman"/>
                <w:szCs w:val="24"/>
              </w:rPr>
              <w:t>150</w:t>
            </w:r>
            <w:r w:rsidRPr="00873AF2">
              <w:rPr>
                <w:rFonts w:eastAsia="Times New Roman"/>
                <w:spacing w:val="-1"/>
                <w:szCs w:val="24"/>
              </w:rPr>
              <w:t xml:space="preserve"> </w:t>
            </w:r>
            <w:r w:rsidRPr="00873AF2">
              <w:rPr>
                <w:rFonts w:eastAsia="Times New Roman"/>
                <w:spacing w:val="-5"/>
                <w:szCs w:val="24"/>
              </w:rPr>
              <w:t>mg,</w:t>
            </w:r>
            <w:r w:rsidRPr="00873AF2">
              <w:rPr>
                <w:rFonts w:eastAsia="Times New Roman"/>
                <w:szCs w:val="24"/>
              </w:rPr>
              <w:t xml:space="preserve"> 500</w:t>
            </w:r>
            <w:r w:rsidRPr="00873AF2">
              <w:rPr>
                <w:rFonts w:eastAsia="Times New Roman"/>
                <w:spacing w:val="-2"/>
                <w:szCs w:val="24"/>
              </w:rPr>
              <w:t xml:space="preserve"> </w:t>
            </w:r>
            <w:r w:rsidRPr="00873AF2">
              <w:rPr>
                <w:rFonts w:eastAsia="Times New Roman"/>
                <w:szCs w:val="24"/>
              </w:rPr>
              <w:t>mg</w:t>
            </w:r>
            <w:r w:rsidRPr="00873AF2">
              <w:rPr>
                <w:rFonts w:eastAsia="Times New Roman"/>
                <w:spacing w:val="-3"/>
                <w:szCs w:val="24"/>
              </w:rPr>
              <w:t xml:space="preserve"> </w:t>
            </w:r>
            <w:r w:rsidRPr="00873AF2">
              <w:rPr>
                <w:rFonts w:eastAsia="Times New Roman"/>
                <w:szCs w:val="24"/>
              </w:rPr>
              <w:t>600mg</w:t>
            </w:r>
            <w:r w:rsidRPr="00873AF2">
              <w:rPr>
                <w:rFonts w:eastAsia="Times New Roman"/>
                <w:spacing w:val="-3"/>
                <w:szCs w:val="24"/>
              </w:rPr>
              <w:t xml:space="preserve"> </w:t>
            </w:r>
            <w:r w:rsidRPr="00873AF2">
              <w:rPr>
                <w:rFonts w:eastAsia="Times New Roman"/>
                <w:szCs w:val="24"/>
              </w:rPr>
              <w:t>(scored)</w:t>
            </w:r>
            <w:r w:rsidRPr="00873AF2">
              <w:rPr>
                <w:rFonts w:eastAsia="Times New Roman"/>
                <w:spacing w:val="-2"/>
                <w:szCs w:val="24"/>
              </w:rPr>
              <w:t xml:space="preserve"> </w:t>
            </w:r>
          </w:p>
        </w:tc>
      </w:tr>
      <w:tr w:rsidR="007B485D" w:rsidRPr="00727DFA" w14:paraId="04B7DD1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2F9250"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20CEB9E" w14:textId="77777777" w:rsidR="007B485D" w:rsidRPr="00727DFA" w:rsidRDefault="007B485D" w:rsidP="002D6DD7">
            <w:pPr>
              <w:jc w:val="both"/>
              <w:rPr>
                <w:rFonts w:eastAsia="Times New Roman"/>
                <w:szCs w:val="24"/>
              </w:rPr>
            </w:pPr>
            <w:r w:rsidRPr="00727DFA">
              <w:rPr>
                <w:rFonts w:eastAsia="Times New Roman"/>
                <w:szCs w:val="24"/>
              </w:rPr>
              <w:t xml:space="preserve">Treatment of schistosomiasis, intestinal tapeworm infections caused by </w:t>
            </w:r>
            <w:r w:rsidRPr="00727DFA">
              <w:rPr>
                <w:rFonts w:eastAsia="Times New Roman"/>
                <w:i/>
                <w:spacing w:val="-4"/>
                <w:szCs w:val="24"/>
              </w:rPr>
              <w:t>Taenia saginata,</w:t>
            </w:r>
            <w:r w:rsidRPr="00727DFA">
              <w:rPr>
                <w:rFonts w:eastAsia="Times New Roman"/>
                <w:i/>
                <w:spacing w:val="-12"/>
                <w:szCs w:val="24"/>
              </w:rPr>
              <w:t xml:space="preserve"> </w:t>
            </w:r>
            <w:r w:rsidRPr="00727DFA">
              <w:rPr>
                <w:rFonts w:eastAsia="Times New Roman"/>
                <w:i/>
                <w:szCs w:val="24"/>
              </w:rPr>
              <w:t xml:space="preserve">T. </w:t>
            </w:r>
            <w:r w:rsidRPr="00727DFA">
              <w:rPr>
                <w:rFonts w:eastAsia="Times New Roman"/>
                <w:i/>
                <w:spacing w:val="-4"/>
                <w:szCs w:val="24"/>
              </w:rPr>
              <w:t>solium,</w:t>
            </w:r>
            <w:r w:rsidRPr="00727DFA">
              <w:rPr>
                <w:rFonts w:eastAsia="Times New Roman"/>
                <w:szCs w:val="24"/>
              </w:rPr>
              <w:t xml:space="preserve"> </w:t>
            </w:r>
            <w:r w:rsidRPr="00727DFA">
              <w:rPr>
                <w:rFonts w:eastAsia="Times New Roman"/>
                <w:i/>
                <w:iCs/>
                <w:szCs w:val="24"/>
              </w:rPr>
              <w:t xml:space="preserve">Diphyllobothrium </w:t>
            </w:r>
            <w:r w:rsidRPr="00727DFA">
              <w:rPr>
                <w:rFonts w:eastAsia="Times New Roman"/>
                <w:i/>
                <w:spacing w:val="-4"/>
                <w:szCs w:val="24"/>
              </w:rPr>
              <w:t>latum</w:t>
            </w:r>
            <w:r w:rsidRPr="00727DFA">
              <w:rPr>
                <w:rFonts w:eastAsia="Times New Roman"/>
                <w:i/>
                <w:spacing w:val="-6"/>
                <w:szCs w:val="24"/>
              </w:rPr>
              <w:t xml:space="preserve"> </w:t>
            </w:r>
            <w:r w:rsidRPr="00727DFA">
              <w:rPr>
                <w:rFonts w:eastAsia="Times New Roman"/>
                <w:iCs/>
                <w:spacing w:val="-4"/>
                <w:szCs w:val="24"/>
              </w:rPr>
              <w:t>and</w:t>
            </w:r>
            <w:r w:rsidRPr="00727DFA">
              <w:rPr>
                <w:rFonts w:eastAsia="Times New Roman"/>
                <w:i/>
                <w:spacing w:val="-11"/>
                <w:szCs w:val="24"/>
              </w:rPr>
              <w:t xml:space="preserve"> Hymenolepis nana</w:t>
            </w:r>
            <w:r w:rsidRPr="00727DFA">
              <w:rPr>
                <w:rFonts w:eastAsia="Times New Roman"/>
                <w:spacing w:val="-4"/>
                <w:szCs w:val="24"/>
              </w:rPr>
              <w:t>,</w:t>
            </w:r>
            <w:r w:rsidRPr="00727DFA">
              <w:rPr>
                <w:rFonts w:eastAsia="Times New Roman"/>
                <w:spacing w:val="-12"/>
                <w:szCs w:val="24"/>
              </w:rPr>
              <w:t xml:space="preserve"> </w:t>
            </w:r>
            <w:r w:rsidRPr="00727DFA">
              <w:rPr>
                <w:rFonts w:eastAsia="Times New Roman"/>
                <w:iCs/>
                <w:spacing w:val="-4"/>
                <w:szCs w:val="24"/>
              </w:rPr>
              <w:t>cysticercosis</w:t>
            </w:r>
            <w:r w:rsidRPr="00727DFA">
              <w:rPr>
                <w:rFonts w:eastAsia="Times New Roman"/>
                <w:i/>
                <w:spacing w:val="-10"/>
                <w:szCs w:val="24"/>
              </w:rPr>
              <w:t xml:space="preserve"> </w:t>
            </w:r>
            <w:r w:rsidRPr="00727DFA">
              <w:rPr>
                <w:rFonts w:eastAsia="Times New Roman"/>
                <w:spacing w:val="-4"/>
                <w:szCs w:val="24"/>
              </w:rPr>
              <w:t>caused</w:t>
            </w:r>
            <w:r w:rsidRPr="00727DFA">
              <w:rPr>
                <w:rFonts w:eastAsia="Times New Roman"/>
                <w:spacing w:val="-12"/>
                <w:szCs w:val="24"/>
              </w:rPr>
              <w:t xml:space="preserve"> </w:t>
            </w:r>
            <w:r w:rsidRPr="00727DFA">
              <w:rPr>
                <w:rFonts w:eastAsia="Times New Roman"/>
                <w:spacing w:val="-4"/>
                <w:szCs w:val="24"/>
              </w:rPr>
              <w:t>by</w:t>
            </w:r>
            <w:r w:rsidRPr="00727DFA">
              <w:rPr>
                <w:rFonts w:eastAsia="Times New Roman"/>
                <w:spacing w:val="-11"/>
                <w:szCs w:val="24"/>
              </w:rPr>
              <w:t xml:space="preserve"> </w:t>
            </w:r>
            <w:r w:rsidRPr="00727DFA">
              <w:rPr>
                <w:rFonts w:eastAsia="Times New Roman"/>
                <w:i/>
                <w:spacing w:val="-4"/>
                <w:szCs w:val="24"/>
              </w:rPr>
              <w:t xml:space="preserve">T. </w:t>
            </w:r>
            <w:r w:rsidRPr="00727DFA">
              <w:rPr>
                <w:rFonts w:eastAsia="Times New Roman"/>
                <w:i/>
                <w:spacing w:val="-2"/>
                <w:szCs w:val="24"/>
              </w:rPr>
              <w:t>solium.</w:t>
            </w:r>
          </w:p>
        </w:tc>
      </w:tr>
      <w:tr w:rsidR="007B485D" w:rsidRPr="00727DFA" w14:paraId="0B7ED7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A9D39D"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Pr>
                <w:rFonts w:eastAsia="Times New Roman"/>
                <w:szCs w:val="24"/>
              </w:rPr>
              <w:t>a</w:t>
            </w:r>
            <w:r w:rsidRPr="00727DFA">
              <w:rPr>
                <w:rFonts w:eastAsia="Times New Roman"/>
                <w:spacing w:val="-2"/>
                <w:szCs w:val="24"/>
              </w:rPr>
              <w:t>dministration</w:t>
            </w:r>
          </w:p>
        </w:tc>
        <w:tc>
          <w:tcPr>
            <w:tcW w:w="6745" w:type="dxa"/>
            <w:tcBorders>
              <w:top w:val="single" w:sz="4" w:space="0" w:color="auto"/>
              <w:left w:val="single" w:sz="4" w:space="0" w:color="auto"/>
              <w:bottom w:val="single" w:sz="4" w:space="0" w:color="auto"/>
              <w:right w:val="single" w:sz="4" w:space="0" w:color="auto"/>
            </w:tcBorders>
            <w:hideMark/>
          </w:tcPr>
          <w:p w14:paraId="3A27E51C"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Adult:</w:t>
            </w:r>
          </w:p>
          <w:p w14:paraId="278D2A0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Schistosomiasis: </w:t>
            </w:r>
            <w:r w:rsidRPr="00727DFA">
              <w:rPr>
                <w:rFonts w:eastAsia="Times New Roman"/>
                <w:szCs w:val="24"/>
              </w:rPr>
              <w:t xml:space="preserve"> 20 mg/kg 4–6 hourly for 3 doses or 40–60 mg/kg as a single dose.</w:t>
            </w:r>
          </w:p>
          <w:p w14:paraId="6D932E7B" w14:textId="77777777" w:rsidR="007B485D" w:rsidRPr="00727DFA" w:rsidRDefault="007B485D" w:rsidP="002D6DD7">
            <w:pPr>
              <w:widowControl w:val="0"/>
              <w:autoSpaceDE w:val="0"/>
              <w:autoSpaceDN w:val="0"/>
              <w:jc w:val="both"/>
              <w:rPr>
                <w:rFonts w:eastAsia="Times New Roman"/>
                <w:spacing w:val="-17"/>
                <w:szCs w:val="24"/>
              </w:rPr>
            </w:pPr>
            <w:r w:rsidRPr="00727DFA">
              <w:rPr>
                <w:rFonts w:eastAsia="Times New Roman"/>
                <w:b/>
                <w:bCs/>
                <w:i/>
                <w:szCs w:val="24"/>
              </w:rPr>
              <w:t xml:space="preserve">T. saginata and T. solium </w:t>
            </w:r>
            <w:r w:rsidRPr="00727DFA">
              <w:rPr>
                <w:rFonts w:eastAsia="Times New Roman"/>
                <w:b/>
                <w:iCs/>
                <w:szCs w:val="24"/>
              </w:rPr>
              <w:t>infections</w:t>
            </w:r>
            <w:r w:rsidRPr="00727DFA">
              <w:rPr>
                <w:rFonts w:eastAsia="Times New Roman"/>
                <w:szCs w:val="24"/>
              </w:rPr>
              <w:t>:</w:t>
            </w:r>
            <w:r w:rsidRPr="00727DFA">
              <w:rPr>
                <w:rFonts w:eastAsia="Times New Roman"/>
                <w:spacing w:val="-17"/>
                <w:szCs w:val="24"/>
              </w:rPr>
              <w:t xml:space="preserve">  600 mg or 5</w:t>
            </w:r>
            <w:r w:rsidRPr="00727DFA">
              <w:rPr>
                <w:rFonts w:eastAsia="Times New Roman"/>
                <w:szCs w:val="24"/>
              </w:rPr>
              <w:t>–10 mg/ kg as a single dose</w:t>
            </w:r>
            <w:r w:rsidRPr="00727DFA">
              <w:rPr>
                <w:rFonts w:eastAsia="Times New Roman"/>
                <w:spacing w:val="-17"/>
                <w:szCs w:val="24"/>
              </w:rPr>
              <w:t xml:space="preserve"> </w:t>
            </w:r>
          </w:p>
          <w:p w14:paraId="426B04E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i/>
                <w:szCs w:val="24"/>
              </w:rPr>
              <w:t>H. nana infection</w:t>
            </w:r>
            <w:r w:rsidRPr="00727DFA">
              <w:rPr>
                <w:rFonts w:eastAsia="Times New Roman"/>
                <w:b/>
                <w:bCs/>
                <w:iCs/>
                <w:szCs w:val="24"/>
              </w:rPr>
              <w:t xml:space="preserve">: </w:t>
            </w:r>
            <w:r w:rsidRPr="00727DFA">
              <w:rPr>
                <w:rFonts w:eastAsia="Times New Roman"/>
                <w:iCs/>
                <w:szCs w:val="24"/>
              </w:rPr>
              <w:t>15-</w:t>
            </w:r>
            <w:r w:rsidRPr="00727DFA">
              <w:rPr>
                <w:rFonts w:eastAsia="Times New Roman"/>
                <w:szCs w:val="24"/>
              </w:rPr>
              <w:t xml:space="preserve">25mg/kg or 1800mg single dose, followed by repeat dose 10 days later. </w:t>
            </w:r>
          </w:p>
          <w:p w14:paraId="1EA7815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i/>
                <w:iCs/>
                <w:szCs w:val="24"/>
              </w:rPr>
              <w:t>D. latum infection</w:t>
            </w:r>
            <w:r w:rsidRPr="00727DFA">
              <w:rPr>
                <w:rFonts w:eastAsia="Times New Roman"/>
                <w:szCs w:val="24"/>
              </w:rPr>
              <w:t>:</w:t>
            </w:r>
            <w:r w:rsidRPr="00727DFA">
              <w:rPr>
                <w:rFonts w:eastAsia="Times New Roman"/>
                <w:i/>
                <w:iCs/>
                <w:szCs w:val="24"/>
              </w:rPr>
              <w:t xml:space="preserve"> </w:t>
            </w:r>
            <w:r w:rsidRPr="00727DFA">
              <w:rPr>
                <w:rFonts w:eastAsia="Times New Roman"/>
                <w:szCs w:val="24"/>
              </w:rPr>
              <w:t>5–25 mg/kg as a single dose.</w:t>
            </w:r>
          </w:p>
          <w:p w14:paraId="1B1A7AC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Neurocysticercosis</w:t>
            </w:r>
            <w:r w:rsidRPr="00727DFA">
              <w:rPr>
                <w:rFonts w:eastAsia="Times New Roman"/>
                <w:szCs w:val="24"/>
              </w:rPr>
              <w:t>:  Praziquantel,</w:t>
            </w:r>
            <w:r w:rsidRPr="00727DFA">
              <w:rPr>
                <w:rFonts w:eastAsia="Times New Roman"/>
                <w:b/>
                <w:bCs/>
                <w:szCs w:val="24"/>
              </w:rPr>
              <w:t xml:space="preserve"> </w:t>
            </w:r>
            <w:r w:rsidRPr="00727DFA">
              <w:rPr>
                <w:rFonts w:eastAsia="Times New Roman"/>
                <w:szCs w:val="24"/>
              </w:rPr>
              <w:t>40 mg/kg single dose, after few days of steroid therapy</w:t>
            </w:r>
          </w:p>
          <w:p w14:paraId="61E5857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Dermal cysticercosis</w:t>
            </w:r>
            <w:r w:rsidRPr="00727DFA">
              <w:rPr>
                <w:rFonts w:eastAsia="Times New Roman"/>
                <w:szCs w:val="24"/>
              </w:rPr>
              <w:t xml:space="preserve">: 60 mg/kg daily in 3 divided doses for 6 days. </w:t>
            </w:r>
          </w:p>
          <w:p w14:paraId="3D3D8676"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 xml:space="preserve">Pediatrics (Child over 4 years): </w:t>
            </w:r>
          </w:p>
          <w:p w14:paraId="7C5C361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 xml:space="preserve">Schistosomiasis: </w:t>
            </w:r>
            <w:r w:rsidRPr="00727DFA">
              <w:rPr>
                <w:rFonts w:eastAsia="Times New Roman"/>
                <w:szCs w:val="24"/>
              </w:rPr>
              <w:t>20 mg/kg 4–6 hourly for 3 doses or 40–60 mg/kg as a single dose.</w:t>
            </w:r>
          </w:p>
          <w:p w14:paraId="7894907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i/>
                <w:iCs/>
                <w:szCs w:val="24"/>
              </w:rPr>
              <w:lastRenderedPageBreak/>
              <w:t>T. saginata</w:t>
            </w:r>
            <w:r w:rsidRPr="00727DFA">
              <w:rPr>
                <w:rFonts w:eastAsia="Times New Roman"/>
                <w:b/>
                <w:bCs/>
                <w:szCs w:val="24"/>
              </w:rPr>
              <w:t xml:space="preserve"> and </w:t>
            </w:r>
            <w:r w:rsidRPr="00727DFA">
              <w:rPr>
                <w:rFonts w:eastAsia="Times New Roman"/>
                <w:b/>
                <w:bCs/>
                <w:i/>
                <w:iCs/>
                <w:szCs w:val="24"/>
              </w:rPr>
              <w:t>T. solium</w:t>
            </w:r>
            <w:r w:rsidRPr="00727DFA">
              <w:rPr>
                <w:rFonts w:eastAsia="Times New Roman"/>
                <w:i/>
                <w:iCs/>
                <w:szCs w:val="24"/>
              </w:rPr>
              <w:t xml:space="preserve"> </w:t>
            </w:r>
            <w:r w:rsidRPr="00727DFA">
              <w:rPr>
                <w:rFonts w:eastAsia="Times New Roman"/>
                <w:b/>
                <w:bCs/>
                <w:szCs w:val="24"/>
              </w:rPr>
              <w:t>infections</w:t>
            </w:r>
            <w:r w:rsidRPr="00727DFA">
              <w:rPr>
                <w:rFonts w:eastAsia="Times New Roman"/>
                <w:szCs w:val="24"/>
              </w:rPr>
              <w:t>: 5–10 mg/kg as a single dose.</w:t>
            </w:r>
          </w:p>
          <w:p w14:paraId="7676D302"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i/>
                <w:iCs/>
                <w:szCs w:val="24"/>
              </w:rPr>
              <w:t>H. nana</w:t>
            </w:r>
            <w:r w:rsidRPr="00727DFA">
              <w:rPr>
                <w:rFonts w:eastAsia="Times New Roman"/>
                <w:b/>
                <w:bCs/>
                <w:szCs w:val="24"/>
              </w:rPr>
              <w:t xml:space="preserve"> infection: </w:t>
            </w:r>
            <w:r w:rsidRPr="00727DFA">
              <w:rPr>
                <w:rFonts w:eastAsia="Times New Roman"/>
                <w:szCs w:val="24"/>
              </w:rPr>
              <w:t>15–25 mg/kg as a single dose.</w:t>
            </w:r>
          </w:p>
          <w:p w14:paraId="4789F35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i/>
                <w:iCs/>
                <w:szCs w:val="24"/>
              </w:rPr>
              <w:t>D. latum</w:t>
            </w:r>
            <w:r w:rsidRPr="00727DFA">
              <w:rPr>
                <w:rFonts w:eastAsia="Times New Roman"/>
                <w:b/>
                <w:bCs/>
                <w:szCs w:val="24"/>
              </w:rPr>
              <w:t xml:space="preserve"> infection: </w:t>
            </w:r>
            <w:r w:rsidRPr="00727DFA">
              <w:rPr>
                <w:rFonts w:eastAsia="Times New Roman"/>
                <w:szCs w:val="24"/>
              </w:rPr>
              <w:t>5–10 mg/kg as a single dose.</w:t>
            </w:r>
          </w:p>
          <w:p w14:paraId="1248C43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 </w:t>
            </w:r>
            <w:r w:rsidRPr="00727DFA">
              <w:rPr>
                <w:rFonts w:eastAsia="Times New Roman"/>
                <w:b/>
                <w:bCs/>
                <w:szCs w:val="24"/>
              </w:rPr>
              <w:t>Neurocysticercosis</w:t>
            </w:r>
            <w:r w:rsidRPr="00727DFA">
              <w:rPr>
                <w:rFonts w:eastAsia="Times New Roman"/>
                <w:szCs w:val="24"/>
              </w:rPr>
              <w:t>: 50 mg/kg daily in 3 divided doses for 15 days with prednisolone (or similar corticosteroid) given 2–3 days before and throughout treatment period.</w:t>
            </w:r>
          </w:p>
          <w:p w14:paraId="0C9D597D" w14:textId="77777777" w:rsidR="007B485D" w:rsidRPr="00727DFA" w:rsidRDefault="007B485D" w:rsidP="002D6DD7">
            <w:pPr>
              <w:jc w:val="both"/>
              <w:rPr>
                <w:rFonts w:eastAsia="DengXian"/>
                <w:szCs w:val="24"/>
              </w:rPr>
            </w:pPr>
            <w:r w:rsidRPr="00727DFA">
              <w:rPr>
                <w:rFonts w:eastAsia="Times New Roman"/>
                <w:szCs w:val="24"/>
              </w:rPr>
              <w:t xml:space="preserve"> </w:t>
            </w:r>
            <w:r w:rsidRPr="00727DFA">
              <w:rPr>
                <w:rFonts w:eastAsia="Times New Roman"/>
                <w:b/>
                <w:bCs/>
                <w:szCs w:val="24"/>
              </w:rPr>
              <w:t>Dermal cysticercosis, oral:</w:t>
            </w:r>
            <w:r w:rsidRPr="00727DFA">
              <w:rPr>
                <w:rFonts w:eastAsia="Times New Roman"/>
                <w:szCs w:val="24"/>
              </w:rPr>
              <w:t xml:space="preserve"> 60 mg/kg daily in 3 divided doses for 6 days. </w:t>
            </w:r>
          </w:p>
        </w:tc>
      </w:tr>
      <w:tr w:rsidR="007B485D" w:rsidRPr="00727DFA" w14:paraId="10E37C2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1ECB4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64685075" w14:textId="77777777" w:rsidR="007B485D" w:rsidRPr="00727DFA" w:rsidRDefault="007B485D" w:rsidP="002D6DD7">
            <w:pPr>
              <w:widowControl w:val="0"/>
              <w:autoSpaceDE w:val="0"/>
              <w:autoSpaceDN w:val="0"/>
              <w:jc w:val="both"/>
              <w:rPr>
                <w:rFonts w:eastAsia="Candara-Italic"/>
                <w:b/>
                <w:iCs/>
                <w:szCs w:val="24"/>
              </w:rPr>
            </w:pPr>
            <w:r w:rsidRPr="00727DFA">
              <w:rPr>
                <w:rFonts w:eastAsia="Times New Roman"/>
                <w:szCs w:val="24"/>
              </w:rPr>
              <w:t>Hypersensitivity to praziquantel, ocular cysticercosis, concomitant administration of strong CYP inducers (e.g., rifampicin)</w:t>
            </w:r>
            <w:r>
              <w:rPr>
                <w:rFonts w:eastAsia="Times New Roman"/>
                <w:szCs w:val="24"/>
              </w:rPr>
              <w:t>.</w:t>
            </w:r>
          </w:p>
        </w:tc>
      </w:tr>
      <w:tr w:rsidR="007B485D" w:rsidRPr="00727DFA" w14:paraId="6A8841E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1EFAB4"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79847BA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Carbamazepine, dexamethasone, phenobarbital, phenytoin, chloroquine,</w:t>
            </w:r>
            <w:r>
              <w:rPr>
                <w:rFonts w:eastAsia="Times New Roman"/>
                <w:szCs w:val="24"/>
              </w:rPr>
              <w:t xml:space="preserve"> efavirenz, nevirapine,</w:t>
            </w:r>
            <w:r w:rsidRPr="00727DFA">
              <w:rPr>
                <w:rFonts w:eastAsia="Times New Roman"/>
                <w:szCs w:val="24"/>
              </w:rPr>
              <w:t xml:space="preserve"> cimetidine, erythromycin, itraconazole, ketoconazole, rifampi</w:t>
            </w:r>
            <w:r>
              <w:rPr>
                <w:rFonts w:eastAsia="Times New Roman"/>
                <w:szCs w:val="24"/>
              </w:rPr>
              <w:t>n.</w:t>
            </w:r>
          </w:p>
        </w:tc>
      </w:tr>
      <w:tr w:rsidR="007B485D" w:rsidRPr="00727DFA" w14:paraId="60B803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8545CE3"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277C258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Abdominal discomfort, nausea, vomiting, diarrhea, malaise, headache, dizziness, drowsiness, rarely hypersensitivity reactions including fever, urticaria, pruritus, and eosinophilia, headache, hyperthermia, seizures, intracranial hypertension.</w:t>
            </w:r>
          </w:p>
        </w:tc>
      </w:tr>
      <w:tr w:rsidR="007B485D" w:rsidRPr="00727DFA" w14:paraId="68F5483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6B61C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4893CB9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Neurocysticercosis (requires corticosteroid cover with monitoring in a hospital setting), patient with cardiac abnormalities, history of epilepsy and/or other signs of potential CNS involvement (e.g., SC nodules suggestive of cysticercosis), moderate to severe hepatic impairment, pregnancy and breast-feeding. The drug causes drowsiness that patients are to be advised not to drive vehicles or operate machineries.</w:t>
            </w:r>
          </w:p>
        </w:tc>
      </w:tr>
      <w:tr w:rsidR="007B485D" w:rsidRPr="00727DFA" w14:paraId="1FFFAE9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DFB428"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350F1E0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w:t>
            </w:r>
            <w:r w:rsidRPr="00727DFA">
              <w:rPr>
                <w:rFonts w:eastAsia="Times New Roman"/>
                <w:spacing w:val="-3"/>
                <w:szCs w:val="24"/>
              </w:rPr>
              <w:t xml:space="preserve"> </w:t>
            </w:r>
            <w:r w:rsidRPr="00727DFA">
              <w:rPr>
                <w:rFonts w:eastAsia="Times New Roman"/>
                <w:szCs w:val="24"/>
              </w:rPr>
              <w:t>below</w:t>
            </w:r>
            <w:r w:rsidRPr="00727DFA">
              <w:rPr>
                <w:rFonts w:eastAsia="Times New Roman"/>
                <w:spacing w:val="-2"/>
                <w:szCs w:val="24"/>
              </w:rPr>
              <w:t xml:space="preserve"> </w:t>
            </w:r>
            <w:r w:rsidRPr="00727DFA">
              <w:rPr>
                <w:rFonts w:eastAsia="Times New Roman"/>
                <w:szCs w:val="24"/>
              </w:rPr>
              <w:t>30</w:t>
            </w:r>
            <w:r w:rsidRPr="00727DFA">
              <w:rPr>
                <w:rFonts w:eastAsia="Times New Roman"/>
                <w:szCs w:val="24"/>
                <w:vertAlign w:val="superscript"/>
              </w:rPr>
              <w:t>o</w:t>
            </w:r>
            <w:r w:rsidRPr="00727DFA">
              <w:rPr>
                <w:rFonts w:eastAsia="Times New Roman"/>
                <w:spacing w:val="-10"/>
                <w:szCs w:val="24"/>
              </w:rPr>
              <w:t>C.</w:t>
            </w:r>
          </w:p>
        </w:tc>
      </w:tr>
      <w:tr w:rsidR="007B485D" w:rsidRPr="00727DFA" w14:paraId="4535BF56" w14:textId="77777777" w:rsidTr="002D6DD7">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ED890BF"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lang w:val="it-IT"/>
              </w:rPr>
              <w:t>Triclabendazole</w:t>
            </w:r>
          </w:p>
        </w:tc>
      </w:tr>
      <w:tr w:rsidR="007B485D" w:rsidRPr="00727DFA" w14:paraId="14E41EF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FA18D0"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Pharmacological class</w:t>
            </w:r>
          </w:p>
        </w:tc>
        <w:tc>
          <w:tcPr>
            <w:tcW w:w="6745" w:type="dxa"/>
            <w:tcBorders>
              <w:top w:val="single" w:sz="4" w:space="0" w:color="auto"/>
              <w:left w:val="single" w:sz="4" w:space="0" w:color="auto"/>
              <w:bottom w:val="single" w:sz="4" w:space="0" w:color="auto"/>
              <w:right w:val="single" w:sz="4" w:space="0" w:color="auto"/>
            </w:tcBorders>
            <w:hideMark/>
          </w:tcPr>
          <w:p w14:paraId="4A96C3D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 xml:space="preserve">Benzimidazole, anthelmintic </w:t>
            </w:r>
          </w:p>
        </w:tc>
      </w:tr>
      <w:tr w:rsidR="007B485D" w:rsidRPr="00727DFA" w14:paraId="6E01BA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E84E058"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w:t>
            </w:r>
            <w:r w:rsidRPr="00727DFA">
              <w:rPr>
                <w:rFonts w:eastAsia="Times New Roman"/>
                <w:spacing w:val="-5"/>
                <w:szCs w:val="24"/>
              </w:rPr>
              <w:t xml:space="preserve"> </w:t>
            </w:r>
            <w:r w:rsidRPr="00727DFA">
              <w:rPr>
                <w:rFonts w:eastAsia="Times New Roman"/>
                <w:spacing w:val="-4"/>
                <w:szCs w:val="24"/>
              </w:rPr>
              <w:t>form</w:t>
            </w:r>
          </w:p>
        </w:tc>
        <w:tc>
          <w:tcPr>
            <w:tcW w:w="6745" w:type="dxa"/>
            <w:tcBorders>
              <w:top w:val="single" w:sz="4" w:space="0" w:color="auto"/>
              <w:left w:val="single" w:sz="4" w:space="0" w:color="auto"/>
              <w:bottom w:val="single" w:sz="4" w:space="0" w:color="auto"/>
              <w:right w:val="single" w:sz="4" w:space="0" w:color="auto"/>
            </w:tcBorders>
            <w:hideMark/>
          </w:tcPr>
          <w:p w14:paraId="1A9F580D" w14:textId="77777777" w:rsidR="007B485D" w:rsidRPr="00727DFA" w:rsidRDefault="007B485D" w:rsidP="002D6DD7">
            <w:pPr>
              <w:widowControl w:val="0"/>
              <w:autoSpaceDE w:val="0"/>
              <w:autoSpaceDN w:val="0"/>
              <w:jc w:val="both"/>
              <w:rPr>
                <w:rFonts w:eastAsia="Times New Roman"/>
                <w:szCs w:val="24"/>
                <w:lang w:val="nb-NO"/>
              </w:rPr>
            </w:pPr>
            <w:r w:rsidRPr="00727DFA">
              <w:rPr>
                <w:rFonts w:eastAsia="Times New Roman"/>
                <w:szCs w:val="24"/>
              </w:rPr>
              <w:t>Tablets: 250 mg</w:t>
            </w:r>
          </w:p>
        </w:tc>
      </w:tr>
      <w:tr w:rsidR="007B485D" w:rsidRPr="00727DFA" w14:paraId="6684973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5D6B50"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745" w:type="dxa"/>
            <w:tcBorders>
              <w:top w:val="single" w:sz="4" w:space="0" w:color="auto"/>
              <w:left w:val="single" w:sz="4" w:space="0" w:color="auto"/>
              <w:bottom w:val="single" w:sz="4" w:space="0" w:color="auto"/>
              <w:right w:val="single" w:sz="4" w:space="0" w:color="auto"/>
            </w:tcBorders>
            <w:hideMark/>
          </w:tcPr>
          <w:p w14:paraId="41EAC49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To treat fascioliasis</w:t>
            </w:r>
          </w:p>
        </w:tc>
      </w:tr>
      <w:tr w:rsidR="007B485D" w:rsidRPr="00727DFA" w14:paraId="7989398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7AAFCD2"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sidRPr="00727DFA">
              <w:rPr>
                <w:rFonts w:eastAsia="Times New Roman"/>
                <w:spacing w:val="-2"/>
                <w:szCs w:val="24"/>
              </w:rPr>
              <w:t>administration</w:t>
            </w:r>
          </w:p>
        </w:tc>
        <w:tc>
          <w:tcPr>
            <w:tcW w:w="6745" w:type="dxa"/>
            <w:tcBorders>
              <w:top w:val="single" w:sz="4" w:space="0" w:color="auto"/>
              <w:left w:val="single" w:sz="4" w:space="0" w:color="auto"/>
              <w:bottom w:val="single" w:sz="4" w:space="0" w:color="auto"/>
              <w:right w:val="single" w:sz="4" w:space="0" w:color="auto"/>
            </w:tcBorders>
            <w:hideMark/>
          </w:tcPr>
          <w:p w14:paraId="45B1A8DB" w14:textId="77777777" w:rsidR="007B485D" w:rsidRPr="00727DFA" w:rsidRDefault="007B485D" w:rsidP="002D6DD7">
            <w:pPr>
              <w:widowControl w:val="0"/>
              <w:autoSpaceDE w:val="0"/>
              <w:autoSpaceDN w:val="0"/>
              <w:jc w:val="both"/>
              <w:rPr>
                <w:rFonts w:eastAsia="Times New Roman"/>
                <w:b/>
                <w:bCs/>
                <w:szCs w:val="24"/>
              </w:rPr>
            </w:pPr>
            <w:r w:rsidRPr="00727DFA">
              <w:rPr>
                <w:rFonts w:eastAsia="Times New Roman"/>
                <w:b/>
                <w:bCs/>
                <w:szCs w:val="24"/>
              </w:rPr>
              <w:t>Adults and children 6 years of age and older</w:t>
            </w:r>
            <w:r>
              <w:rPr>
                <w:rFonts w:eastAsia="Times New Roman"/>
                <w:b/>
                <w:bCs/>
                <w:szCs w:val="24"/>
              </w:rPr>
              <w:t>:</w:t>
            </w:r>
            <w:r w:rsidRPr="00727DFA">
              <w:rPr>
                <w:rFonts w:eastAsia="Times New Roman"/>
                <w:b/>
                <w:bCs/>
                <w:szCs w:val="24"/>
              </w:rPr>
              <w:t xml:space="preserve"> </w:t>
            </w:r>
          </w:p>
          <w:p w14:paraId="4BA7A59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rPr>
              <w:t>Oral</w:t>
            </w:r>
            <w:r w:rsidRPr="00727DFA">
              <w:rPr>
                <w:rFonts w:eastAsia="Times New Roman"/>
                <w:szCs w:val="24"/>
              </w:rPr>
              <w:t>: one or two doses at 10 mg/kg, given 12 to 24 hours apart.</w:t>
            </w:r>
          </w:p>
        </w:tc>
      </w:tr>
      <w:tr w:rsidR="007B485D" w:rsidRPr="00727DFA" w14:paraId="4976458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709A1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745" w:type="dxa"/>
            <w:tcBorders>
              <w:top w:val="single" w:sz="4" w:space="0" w:color="auto"/>
              <w:left w:val="single" w:sz="4" w:space="0" w:color="auto"/>
              <w:bottom w:val="single" w:sz="4" w:space="0" w:color="auto"/>
              <w:right w:val="single" w:sz="4" w:space="0" w:color="auto"/>
            </w:tcBorders>
            <w:hideMark/>
          </w:tcPr>
          <w:p w14:paraId="1AD3C75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Patients with known hypersensitivity to triclabendazole and/or to other benzimidazole derivatives</w:t>
            </w:r>
          </w:p>
          <w:p w14:paraId="4993E2F2" w14:textId="77777777" w:rsidR="007B485D" w:rsidRPr="00727DFA" w:rsidRDefault="007B485D" w:rsidP="002D6DD7">
            <w:pPr>
              <w:ind w:right="185"/>
              <w:jc w:val="both"/>
              <w:rPr>
                <w:rFonts w:eastAsia="DengXian"/>
                <w:b/>
                <w:szCs w:val="24"/>
              </w:rPr>
            </w:pPr>
          </w:p>
        </w:tc>
      </w:tr>
      <w:tr w:rsidR="007B485D" w:rsidRPr="00727DFA" w14:paraId="7FF7BF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56A0FD"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745" w:type="dxa"/>
            <w:tcBorders>
              <w:top w:val="single" w:sz="4" w:space="0" w:color="auto"/>
              <w:left w:val="single" w:sz="4" w:space="0" w:color="auto"/>
              <w:bottom w:val="single" w:sz="4" w:space="0" w:color="auto"/>
              <w:right w:val="single" w:sz="4" w:space="0" w:color="auto"/>
            </w:tcBorders>
            <w:hideMark/>
          </w:tcPr>
          <w:p w14:paraId="6B6AEC4A" w14:textId="77777777" w:rsidR="007B485D" w:rsidRPr="00727DFA" w:rsidRDefault="007B485D" w:rsidP="002D6DD7">
            <w:pPr>
              <w:ind w:right="185"/>
              <w:jc w:val="both"/>
              <w:rPr>
                <w:rFonts w:eastAsia="DengXian"/>
                <w:szCs w:val="24"/>
              </w:rPr>
            </w:pPr>
            <w:r>
              <w:rPr>
                <w:rFonts w:eastAsia="Times New Roman"/>
                <w:szCs w:val="24"/>
              </w:rPr>
              <w:t>There are no known significant interactions.</w:t>
            </w:r>
          </w:p>
        </w:tc>
      </w:tr>
      <w:tr w:rsidR="007B485D" w:rsidRPr="00727DFA" w14:paraId="1FDD466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E81462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745" w:type="dxa"/>
            <w:tcBorders>
              <w:top w:val="single" w:sz="4" w:space="0" w:color="auto"/>
              <w:left w:val="single" w:sz="4" w:space="0" w:color="auto"/>
              <w:bottom w:val="single" w:sz="4" w:space="0" w:color="auto"/>
              <w:right w:val="single" w:sz="4" w:space="0" w:color="auto"/>
            </w:tcBorders>
            <w:hideMark/>
          </w:tcPr>
          <w:p w14:paraId="206D658B" w14:textId="77777777" w:rsidR="007B485D" w:rsidRPr="00727DFA" w:rsidRDefault="007B485D" w:rsidP="002D6DD7">
            <w:pPr>
              <w:ind w:right="185"/>
              <w:jc w:val="both"/>
              <w:rPr>
                <w:rFonts w:eastAsia="DengXian"/>
                <w:szCs w:val="24"/>
              </w:rPr>
            </w:pPr>
            <w:r w:rsidRPr="00727DFA">
              <w:rPr>
                <w:rFonts w:eastAsia="Times New Roman"/>
                <w:szCs w:val="24"/>
              </w:rPr>
              <w:t xml:space="preserve">Abdominal pain, hyperhidrosis, nausea, decreased appetite, headache, urticaria, diarrhea, vomiting, musculoskeletal chest pain, and pruritus, constipation, biliary colic, arthralgia, back pain, spinal pain, and chromaturia. </w:t>
            </w:r>
          </w:p>
        </w:tc>
      </w:tr>
      <w:tr w:rsidR="007B485D" w:rsidRPr="00727DFA" w14:paraId="3998F4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E202FC"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745" w:type="dxa"/>
            <w:tcBorders>
              <w:top w:val="single" w:sz="4" w:space="0" w:color="auto"/>
              <w:left w:val="single" w:sz="4" w:space="0" w:color="auto"/>
              <w:bottom w:val="single" w:sz="4" w:space="0" w:color="auto"/>
              <w:right w:val="single" w:sz="4" w:space="0" w:color="auto"/>
            </w:tcBorders>
            <w:hideMark/>
          </w:tcPr>
          <w:p w14:paraId="279927CF" w14:textId="77777777" w:rsidR="007B485D" w:rsidRPr="00727DFA" w:rsidRDefault="007B485D" w:rsidP="002D6DD7">
            <w:pPr>
              <w:ind w:right="185"/>
              <w:jc w:val="both"/>
              <w:rPr>
                <w:rFonts w:eastAsia="DengXian"/>
                <w:szCs w:val="24"/>
              </w:rPr>
            </w:pPr>
            <w:r w:rsidRPr="00727DFA">
              <w:rPr>
                <w:rFonts w:eastAsia="Times New Roman"/>
                <w:szCs w:val="24"/>
              </w:rPr>
              <w:t>QT prolongation, pregnancy, hepatic impairment, breastfeeding, pediatric below 6 years</w:t>
            </w:r>
            <w:r>
              <w:rPr>
                <w:rFonts w:eastAsia="Times New Roman"/>
                <w:szCs w:val="24"/>
              </w:rPr>
              <w:t>, electrolyte imbalance</w:t>
            </w:r>
            <w:r w:rsidRPr="00727DFA">
              <w:rPr>
                <w:rFonts w:eastAsia="Times New Roman"/>
                <w:szCs w:val="24"/>
              </w:rPr>
              <w:t xml:space="preserve">. </w:t>
            </w:r>
          </w:p>
        </w:tc>
      </w:tr>
      <w:tr w:rsidR="007B485D" w:rsidRPr="00727DFA" w14:paraId="1B9744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F29809"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745" w:type="dxa"/>
            <w:tcBorders>
              <w:top w:val="single" w:sz="4" w:space="0" w:color="auto"/>
              <w:left w:val="single" w:sz="4" w:space="0" w:color="auto"/>
              <w:bottom w:val="single" w:sz="4" w:space="0" w:color="auto"/>
              <w:right w:val="single" w:sz="4" w:space="0" w:color="auto"/>
            </w:tcBorders>
            <w:hideMark/>
          </w:tcPr>
          <w:p w14:paraId="64BF57C6" w14:textId="77777777" w:rsidR="007B485D" w:rsidRPr="00727DFA" w:rsidRDefault="007B485D" w:rsidP="002D6DD7">
            <w:pPr>
              <w:ind w:left="93" w:right="185"/>
              <w:jc w:val="both"/>
              <w:rPr>
                <w:rFonts w:eastAsia="DengXian"/>
                <w:szCs w:val="24"/>
              </w:rPr>
            </w:pPr>
            <w:r w:rsidRPr="00727DFA">
              <w:rPr>
                <w:rFonts w:eastAsia="Times New Roman"/>
                <w:szCs w:val="24"/>
              </w:rPr>
              <w:t>Store below 30</w:t>
            </w:r>
            <w:r w:rsidRPr="00727DFA">
              <w:rPr>
                <w:rFonts w:eastAsia="Times New Roman"/>
                <w:szCs w:val="24"/>
                <w:vertAlign w:val="superscript"/>
              </w:rPr>
              <w:t>0</w:t>
            </w:r>
            <w:r w:rsidRPr="00727DFA">
              <w:rPr>
                <w:rFonts w:eastAsia="Times New Roman"/>
                <w:szCs w:val="24"/>
              </w:rPr>
              <w:t>C</w:t>
            </w:r>
            <w:r>
              <w:rPr>
                <w:rFonts w:eastAsia="Times New Roman"/>
                <w:szCs w:val="24"/>
              </w:rPr>
              <w:t>.</w:t>
            </w:r>
          </w:p>
        </w:tc>
      </w:tr>
    </w:tbl>
    <w:p w14:paraId="15209A12" w14:textId="77777777" w:rsidR="007B485D" w:rsidRPr="00727DFA" w:rsidRDefault="007B485D" w:rsidP="007B485D">
      <w:pPr>
        <w:spacing w:after="0"/>
        <w:jc w:val="both"/>
        <w:rPr>
          <w:rFonts w:eastAsia="DengXian" w:cs="Times New Roman"/>
          <w:szCs w:val="24"/>
          <w:lang w:eastAsia="zh-CN"/>
        </w:rPr>
      </w:pPr>
    </w:p>
    <w:p w14:paraId="1EC35ED6" w14:textId="77777777" w:rsidR="007B485D" w:rsidRPr="00ED22AD" w:rsidRDefault="007B485D" w:rsidP="00ED22AD">
      <w:pPr>
        <w:rPr>
          <w:rFonts w:eastAsia="DengXian Light"/>
          <w:b/>
          <w:lang w:eastAsia="zh-CN"/>
        </w:rPr>
      </w:pPr>
      <w:r w:rsidRPr="00ED22AD">
        <w:rPr>
          <w:rFonts w:eastAsia="DengXian Light"/>
          <w:b/>
          <w:lang w:eastAsia="zh-CN"/>
        </w:rPr>
        <w:t xml:space="preserve">Intestinal </w:t>
      </w:r>
      <w:r w:rsidR="00AA28D1" w:rsidRPr="00ED22AD">
        <w:rPr>
          <w:rFonts w:eastAsia="DengXian Light"/>
          <w:b/>
          <w:lang w:eastAsia="zh-CN"/>
        </w:rPr>
        <w:t>a</w:t>
      </w:r>
      <w:r w:rsidRPr="00ED22AD">
        <w:rPr>
          <w:rFonts w:eastAsia="DengXian Light"/>
          <w:b/>
          <w:lang w:eastAsia="zh-CN"/>
        </w:rPr>
        <w:t>nthelminthics</w:t>
      </w:r>
    </w:p>
    <w:p w14:paraId="4819F75B" w14:textId="77777777" w:rsidR="007B485D" w:rsidRPr="00727DFA" w:rsidRDefault="007B485D" w:rsidP="007B485D">
      <w:pPr>
        <w:spacing w:after="0"/>
        <w:jc w:val="both"/>
        <w:rPr>
          <w:rFonts w:eastAsia="DengXian" w:cs="Times New Roman"/>
          <w:szCs w:val="24"/>
          <w:lang w:eastAsia="zh-CN"/>
        </w:rPr>
      </w:pPr>
      <w:r w:rsidRPr="00727DFA">
        <w:rPr>
          <w:rFonts w:eastAsia="DengXian" w:cs="Times New Roman"/>
          <w:szCs w:val="24"/>
          <w:lang w:eastAsia="zh-CN"/>
        </w:rPr>
        <w:t>Anthelmintics or anthelminthics are a group of antiparasitic drugs that expel parasitic worms (helminths) and other internal parasites from the body by either stunning or killing them and without causing significant damage to the host. They may also be called vermifuges (those that stun) or vermicides (those that kill). They include several classes, i.e., benzimidazoles and avermectins, and are classified according to their chemical structure and mode of action.</w:t>
      </w:r>
    </w:p>
    <w:p w14:paraId="27334011" w14:textId="77777777" w:rsidR="007B485D" w:rsidRPr="00727DFA" w:rsidRDefault="007B485D" w:rsidP="007B485D">
      <w:pPr>
        <w:spacing w:after="0"/>
        <w:jc w:val="both"/>
        <w:rPr>
          <w:rFonts w:eastAsia="DengXian" w:cs="Times New Roman"/>
          <w:szCs w:val="24"/>
          <w:lang w:eastAsia="zh-CN"/>
        </w:rPr>
      </w:pPr>
    </w:p>
    <w:tbl>
      <w:tblPr>
        <w:tblStyle w:val="TableGrid"/>
        <w:tblW w:w="0" w:type="auto"/>
        <w:tblInd w:w="-113" w:type="dxa"/>
        <w:tblLook w:val="04A0" w:firstRow="1" w:lastRow="0" w:firstColumn="1" w:lastColumn="0" w:noHBand="0" w:noVBand="1"/>
      </w:tblPr>
      <w:tblGrid>
        <w:gridCol w:w="2628"/>
        <w:gridCol w:w="6835"/>
      </w:tblGrid>
      <w:tr w:rsidR="007B485D" w:rsidRPr="00727DFA" w14:paraId="13E5548C"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742D9621" w14:textId="77777777" w:rsidR="007B485D" w:rsidRPr="00873AF2" w:rsidRDefault="007B485D" w:rsidP="002D6DD7">
            <w:pPr>
              <w:keepNext/>
              <w:keepLines/>
              <w:jc w:val="both"/>
              <w:outlineLvl w:val="5"/>
              <w:rPr>
                <w:rFonts w:eastAsia="DengXian Light"/>
                <w:b/>
                <w:bCs/>
                <w:szCs w:val="24"/>
              </w:rPr>
            </w:pPr>
            <w:r w:rsidRPr="00873AF2">
              <w:rPr>
                <w:rFonts w:eastAsia="Times New Roman"/>
                <w:b/>
                <w:bCs/>
                <w:spacing w:val="-2"/>
                <w:szCs w:val="24"/>
              </w:rPr>
              <w:t>Albendazole</w:t>
            </w:r>
          </w:p>
        </w:tc>
      </w:tr>
      <w:tr w:rsidR="007B485D" w:rsidRPr="00727DFA" w14:paraId="593EED84"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5FE9295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Pharmacological class</w:t>
            </w:r>
          </w:p>
        </w:tc>
        <w:tc>
          <w:tcPr>
            <w:tcW w:w="6835" w:type="dxa"/>
            <w:tcBorders>
              <w:top w:val="single" w:sz="4" w:space="0" w:color="auto"/>
              <w:left w:val="single" w:sz="4" w:space="0" w:color="auto"/>
              <w:bottom w:val="single" w:sz="4" w:space="0" w:color="auto"/>
              <w:right w:val="single" w:sz="4" w:space="0" w:color="auto"/>
            </w:tcBorders>
            <w:hideMark/>
          </w:tcPr>
          <w:p w14:paraId="0EE3EE70" w14:textId="77777777" w:rsidR="007B485D" w:rsidRPr="00873AF2" w:rsidRDefault="007B485D" w:rsidP="002D6DD7">
            <w:pPr>
              <w:keepNext/>
              <w:keepLines/>
              <w:jc w:val="both"/>
              <w:outlineLvl w:val="5"/>
              <w:rPr>
                <w:rFonts w:eastAsia="DengXian Light"/>
                <w:szCs w:val="24"/>
              </w:rPr>
            </w:pPr>
            <w:r w:rsidRPr="00727DFA">
              <w:rPr>
                <w:rFonts w:eastAsia="Times New Roman"/>
                <w:i/>
                <w:iCs/>
                <w:szCs w:val="24"/>
              </w:rPr>
              <w:t xml:space="preserve"> </w:t>
            </w:r>
            <w:r w:rsidRPr="00873AF2">
              <w:rPr>
                <w:rFonts w:eastAsia="Times New Roman"/>
                <w:szCs w:val="24"/>
                <w:shd w:val="clear" w:color="auto" w:fill="FFFFFF"/>
              </w:rPr>
              <w:t xml:space="preserve">Benzimidazole </w:t>
            </w:r>
            <w:r w:rsidRPr="00873AF2">
              <w:rPr>
                <w:rFonts w:eastAsia="Times New Roman"/>
                <w:spacing w:val="-2"/>
                <w:szCs w:val="24"/>
              </w:rPr>
              <w:t>anthelminthic</w:t>
            </w:r>
          </w:p>
        </w:tc>
      </w:tr>
      <w:tr w:rsidR="007B485D" w:rsidRPr="00727DFA" w14:paraId="7F72C01B"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5E2ACEF2"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Dosage</w:t>
            </w:r>
            <w:r w:rsidRPr="00727DFA">
              <w:rPr>
                <w:rFonts w:eastAsia="Times New Roman"/>
                <w:spacing w:val="-5"/>
                <w:szCs w:val="24"/>
              </w:rPr>
              <w:t xml:space="preserve"> </w:t>
            </w:r>
            <w:r w:rsidRPr="00727DFA">
              <w:rPr>
                <w:rFonts w:eastAsia="Times New Roman"/>
                <w:spacing w:val="-4"/>
                <w:szCs w:val="24"/>
              </w:rPr>
              <w:t>form</w:t>
            </w:r>
          </w:p>
        </w:tc>
        <w:tc>
          <w:tcPr>
            <w:tcW w:w="6835" w:type="dxa"/>
            <w:tcBorders>
              <w:top w:val="single" w:sz="4" w:space="0" w:color="auto"/>
              <w:left w:val="single" w:sz="4" w:space="0" w:color="auto"/>
              <w:bottom w:val="single" w:sz="4" w:space="0" w:color="auto"/>
              <w:right w:val="single" w:sz="4" w:space="0" w:color="auto"/>
            </w:tcBorders>
            <w:hideMark/>
          </w:tcPr>
          <w:p w14:paraId="2B520CA2"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szCs w:val="24"/>
              </w:rPr>
              <w:t>Tablet:</w:t>
            </w:r>
            <w:r w:rsidRPr="00727DFA">
              <w:rPr>
                <w:rFonts w:eastAsia="Times New Roman"/>
                <w:spacing w:val="-2"/>
                <w:szCs w:val="24"/>
              </w:rPr>
              <w:t xml:space="preserve"> </w:t>
            </w:r>
            <w:r w:rsidRPr="00727DFA">
              <w:rPr>
                <w:rFonts w:eastAsia="Times New Roman"/>
                <w:szCs w:val="24"/>
              </w:rPr>
              <w:t>200mg,</w:t>
            </w:r>
            <w:r w:rsidRPr="00727DFA">
              <w:rPr>
                <w:rFonts w:eastAsia="Times New Roman"/>
                <w:spacing w:val="-3"/>
                <w:szCs w:val="24"/>
              </w:rPr>
              <w:t xml:space="preserve"> </w:t>
            </w:r>
            <w:r w:rsidRPr="00727DFA">
              <w:rPr>
                <w:rFonts w:eastAsia="Times New Roman"/>
                <w:spacing w:val="-2"/>
                <w:szCs w:val="24"/>
              </w:rPr>
              <w:t>400mg</w:t>
            </w:r>
          </w:p>
          <w:p w14:paraId="05BB59DA" w14:textId="77777777" w:rsidR="007B485D" w:rsidRPr="00873AF2" w:rsidRDefault="007B485D" w:rsidP="002D6DD7">
            <w:pPr>
              <w:keepNext/>
              <w:keepLines/>
              <w:jc w:val="both"/>
              <w:outlineLvl w:val="5"/>
              <w:rPr>
                <w:rFonts w:eastAsia="DengXian Light"/>
                <w:szCs w:val="24"/>
              </w:rPr>
            </w:pPr>
            <w:r w:rsidRPr="00873AF2">
              <w:rPr>
                <w:rFonts w:eastAsia="Times New Roman"/>
                <w:szCs w:val="24"/>
              </w:rPr>
              <w:t>Oral</w:t>
            </w:r>
            <w:r w:rsidRPr="00873AF2">
              <w:rPr>
                <w:rFonts w:eastAsia="Times New Roman"/>
                <w:spacing w:val="-2"/>
                <w:szCs w:val="24"/>
              </w:rPr>
              <w:t xml:space="preserve"> </w:t>
            </w:r>
            <w:r w:rsidRPr="00873AF2">
              <w:rPr>
                <w:rFonts w:eastAsia="Times New Roman"/>
                <w:szCs w:val="24"/>
              </w:rPr>
              <w:t>suspension:</w:t>
            </w:r>
            <w:r w:rsidRPr="00873AF2">
              <w:rPr>
                <w:rFonts w:eastAsia="Times New Roman"/>
                <w:spacing w:val="-2"/>
                <w:szCs w:val="24"/>
              </w:rPr>
              <w:t xml:space="preserve"> 100mg/5ml</w:t>
            </w:r>
          </w:p>
        </w:tc>
      </w:tr>
      <w:tr w:rsidR="007B485D" w:rsidRPr="00727DFA" w14:paraId="3A091FB2"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7040C9AF"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835" w:type="dxa"/>
            <w:tcBorders>
              <w:top w:val="single" w:sz="4" w:space="0" w:color="auto"/>
              <w:left w:val="single" w:sz="4" w:space="0" w:color="auto"/>
              <w:bottom w:val="single" w:sz="4" w:space="0" w:color="auto"/>
              <w:right w:val="single" w:sz="4" w:space="0" w:color="auto"/>
            </w:tcBorders>
            <w:hideMark/>
          </w:tcPr>
          <w:p w14:paraId="008644C6" w14:textId="77777777" w:rsidR="007B485D" w:rsidRPr="00727DFA" w:rsidRDefault="007B485D" w:rsidP="002D6DD7">
            <w:pPr>
              <w:jc w:val="both"/>
              <w:rPr>
                <w:rFonts w:eastAsia="Times New Roman"/>
                <w:szCs w:val="24"/>
              </w:rPr>
            </w:pPr>
            <w:r w:rsidRPr="00727DFA">
              <w:rPr>
                <w:rFonts w:eastAsia="Times New Roman"/>
                <w:szCs w:val="24"/>
              </w:rPr>
              <w:t>Treatment of single or mixed infestations of intestinal parasites and strongyloides infection</w:t>
            </w:r>
          </w:p>
        </w:tc>
      </w:tr>
      <w:tr w:rsidR="007B485D" w:rsidRPr="00727DFA" w14:paraId="0C9C5176"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0B11B940"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Pr>
                <w:rFonts w:eastAsia="Times New Roman"/>
                <w:szCs w:val="24"/>
              </w:rPr>
              <w:t>a</w:t>
            </w:r>
            <w:r w:rsidRPr="00727DFA">
              <w:rPr>
                <w:rFonts w:eastAsia="Times New Roman"/>
                <w:spacing w:val="-2"/>
                <w:szCs w:val="24"/>
              </w:rPr>
              <w:t>dministration</w:t>
            </w:r>
          </w:p>
        </w:tc>
        <w:tc>
          <w:tcPr>
            <w:tcW w:w="6835" w:type="dxa"/>
            <w:tcBorders>
              <w:top w:val="single" w:sz="4" w:space="0" w:color="auto"/>
              <w:left w:val="single" w:sz="4" w:space="0" w:color="auto"/>
              <w:bottom w:val="single" w:sz="4" w:space="0" w:color="auto"/>
              <w:right w:val="single" w:sz="4" w:space="0" w:color="auto"/>
            </w:tcBorders>
            <w:hideMark/>
          </w:tcPr>
          <w:p w14:paraId="41FC7310" w14:textId="77777777" w:rsidR="007B485D" w:rsidRPr="00727DFA" w:rsidRDefault="007B485D" w:rsidP="002D6DD7">
            <w:pPr>
              <w:widowControl w:val="0"/>
              <w:autoSpaceDE w:val="0"/>
              <w:autoSpaceDN w:val="0"/>
              <w:ind w:right="178"/>
              <w:jc w:val="both"/>
              <w:rPr>
                <w:rFonts w:eastAsia="Times New Roman"/>
                <w:b/>
                <w:bCs/>
                <w:szCs w:val="24"/>
              </w:rPr>
            </w:pPr>
            <w:r w:rsidRPr="00727DFA">
              <w:rPr>
                <w:rFonts w:eastAsia="Times New Roman"/>
                <w:b/>
                <w:bCs/>
                <w:szCs w:val="24"/>
              </w:rPr>
              <w:t>Oral:</w:t>
            </w:r>
          </w:p>
          <w:p w14:paraId="0CD70A1A"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Thread worm infections, whip worm infections, round worm infections</w:t>
            </w:r>
            <w:r w:rsidRPr="00727DFA">
              <w:rPr>
                <w:rFonts w:eastAsia="Times New Roman"/>
                <w:szCs w:val="24"/>
              </w:rPr>
              <w:t>:</w:t>
            </w:r>
          </w:p>
          <w:p w14:paraId="30AB4064"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Child 12-24 months:</w:t>
            </w:r>
            <w:r w:rsidRPr="00727DFA">
              <w:rPr>
                <w:rFonts w:eastAsia="Times New Roman"/>
                <w:szCs w:val="24"/>
              </w:rPr>
              <w:t xml:space="preserve"> 200mg as a single dose </w:t>
            </w:r>
          </w:p>
          <w:p w14:paraId="34D217F7"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Adult &amp; Child above 2 years:</w:t>
            </w:r>
            <w:r w:rsidRPr="00727DFA">
              <w:rPr>
                <w:rFonts w:eastAsia="Times New Roman"/>
                <w:szCs w:val="24"/>
              </w:rPr>
              <w:t xml:space="preserve"> 400mg once daily for 3 </w:t>
            </w:r>
            <w:r w:rsidRPr="00727DFA">
              <w:rPr>
                <w:rFonts w:eastAsia="Times New Roman"/>
                <w:szCs w:val="24"/>
              </w:rPr>
              <w:lastRenderedPageBreak/>
              <w:t>consecutive days</w:t>
            </w:r>
          </w:p>
          <w:p w14:paraId="7AEE3E30" w14:textId="77777777" w:rsidR="007B485D" w:rsidRPr="00727DFA" w:rsidRDefault="007B485D" w:rsidP="002D6DD7">
            <w:pPr>
              <w:widowControl w:val="0"/>
              <w:autoSpaceDE w:val="0"/>
              <w:autoSpaceDN w:val="0"/>
              <w:ind w:right="178"/>
              <w:jc w:val="both"/>
              <w:rPr>
                <w:rFonts w:eastAsia="Times New Roman"/>
                <w:b/>
                <w:bCs/>
                <w:szCs w:val="24"/>
              </w:rPr>
            </w:pPr>
            <w:r w:rsidRPr="00727DFA">
              <w:rPr>
                <w:rFonts w:eastAsia="Times New Roman"/>
                <w:b/>
                <w:bCs/>
                <w:szCs w:val="24"/>
              </w:rPr>
              <w:t>Hook worm infections, ascariasis</w:t>
            </w:r>
            <w:r w:rsidRPr="00727DFA">
              <w:rPr>
                <w:rFonts w:eastAsia="Times New Roman"/>
                <w:szCs w:val="24"/>
              </w:rPr>
              <w:t>:</w:t>
            </w:r>
          </w:p>
          <w:p w14:paraId="20D4A104"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Adult:</w:t>
            </w:r>
            <w:r w:rsidRPr="00727DFA">
              <w:rPr>
                <w:rFonts w:eastAsia="Times New Roman"/>
                <w:szCs w:val="24"/>
              </w:rPr>
              <w:t xml:space="preserve"> 400 mg for 1dose</w:t>
            </w:r>
          </w:p>
          <w:p w14:paraId="1831C762" w14:textId="77777777" w:rsidR="007B485D" w:rsidRPr="00727DFA" w:rsidRDefault="007B485D" w:rsidP="002D6DD7">
            <w:pPr>
              <w:widowControl w:val="0"/>
              <w:autoSpaceDE w:val="0"/>
              <w:autoSpaceDN w:val="0"/>
              <w:ind w:right="178"/>
              <w:jc w:val="both"/>
              <w:rPr>
                <w:rFonts w:eastAsia="Times New Roman"/>
                <w:b/>
                <w:bCs/>
                <w:szCs w:val="24"/>
              </w:rPr>
            </w:pPr>
            <w:r w:rsidRPr="00727DFA">
              <w:rPr>
                <w:rFonts w:eastAsia="Times New Roman"/>
                <w:b/>
                <w:bCs/>
                <w:szCs w:val="24"/>
              </w:rPr>
              <w:t>Treatment of neurocysticercosis</w:t>
            </w:r>
            <w:r w:rsidRPr="00727DFA">
              <w:rPr>
                <w:rFonts w:eastAsia="Times New Roman"/>
                <w:szCs w:val="24"/>
              </w:rPr>
              <w:t>:</w:t>
            </w:r>
          </w:p>
          <w:p w14:paraId="48BAC588"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 xml:space="preserve">Adult: </w:t>
            </w:r>
            <w:r w:rsidRPr="00727DFA">
              <w:rPr>
                <w:rFonts w:eastAsia="Times New Roman"/>
                <w:szCs w:val="24"/>
              </w:rPr>
              <w:t>15mg/kg per day for 8- 28 days</w:t>
            </w:r>
          </w:p>
          <w:p w14:paraId="4038BE75" w14:textId="77777777" w:rsidR="007B485D" w:rsidRPr="00727DFA" w:rsidRDefault="007B485D" w:rsidP="002D6DD7">
            <w:pPr>
              <w:widowControl w:val="0"/>
              <w:autoSpaceDE w:val="0"/>
              <w:autoSpaceDN w:val="0"/>
              <w:ind w:right="178"/>
              <w:jc w:val="both"/>
              <w:rPr>
                <w:rFonts w:eastAsia="Times New Roman"/>
                <w:szCs w:val="24"/>
              </w:rPr>
            </w:pPr>
            <w:r w:rsidRPr="00727DFA">
              <w:rPr>
                <w:rFonts w:eastAsia="Times New Roman"/>
                <w:b/>
                <w:bCs/>
                <w:szCs w:val="24"/>
              </w:rPr>
              <w:t>Chronic strongyloidiasis infection</w:t>
            </w:r>
            <w:r w:rsidRPr="00727DFA">
              <w:rPr>
                <w:rFonts w:eastAsia="Times New Roman"/>
                <w:szCs w:val="24"/>
              </w:rPr>
              <w:t>:</w:t>
            </w:r>
          </w:p>
          <w:p w14:paraId="5BEF765A" w14:textId="77777777" w:rsidR="007B485D" w:rsidRPr="00727DFA" w:rsidRDefault="007B485D" w:rsidP="002D6DD7">
            <w:pPr>
              <w:jc w:val="both"/>
              <w:rPr>
                <w:rFonts w:eastAsia="DengXian"/>
                <w:szCs w:val="24"/>
              </w:rPr>
            </w:pPr>
            <w:r w:rsidRPr="00727DFA">
              <w:rPr>
                <w:rFonts w:eastAsia="Times New Roman"/>
                <w:b/>
                <w:bCs/>
                <w:szCs w:val="24"/>
              </w:rPr>
              <w:t>Adult</w:t>
            </w:r>
            <w:r w:rsidRPr="00727DFA">
              <w:rPr>
                <w:rFonts w:eastAsia="Times New Roman"/>
                <w:szCs w:val="24"/>
              </w:rPr>
              <w:t>: 400 mg twice daily for 3 days, dose may be repeated after 3 weeks if necessary</w:t>
            </w:r>
          </w:p>
        </w:tc>
      </w:tr>
      <w:tr w:rsidR="007B485D" w:rsidRPr="00727DFA" w14:paraId="5041388B"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63EDCB8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835" w:type="dxa"/>
            <w:tcBorders>
              <w:top w:val="single" w:sz="4" w:space="0" w:color="auto"/>
              <w:left w:val="single" w:sz="4" w:space="0" w:color="auto"/>
              <w:bottom w:val="single" w:sz="4" w:space="0" w:color="auto"/>
              <w:right w:val="single" w:sz="4" w:space="0" w:color="auto"/>
            </w:tcBorders>
            <w:hideMark/>
          </w:tcPr>
          <w:p w14:paraId="34A59B3D" w14:textId="77777777" w:rsidR="007B485D" w:rsidRPr="00727DFA" w:rsidRDefault="007B485D" w:rsidP="002D6DD7">
            <w:pPr>
              <w:widowControl w:val="0"/>
              <w:autoSpaceDE w:val="0"/>
              <w:autoSpaceDN w:val="0"/>
              <w:jc w:val="both"/>
              <w:rPr>
                <w:rFonts w:eastAsia="Candara-Italic"/>
                <w:b/>
                <w:iCs/>
                <w:szCs w:val="24"/>
              </w:rPr>
            </w:pPr>
            <w:r>
              <w:rPr>
                <w:rFonts w:eastAsia="Times New Roman"/>
                <w:szCs w:val="24"/>
              </w:rPr>
              <w:t>Refer to</w:t>
            </w:r>
            <w:r w:rsidRPr="00727DFA">
              <w:rPr>
                <w:rFonts w:eastAsia="Times New Roman"/>
                <w:szCs w:val="24"/>
              </w:rPr>
              <w:t xml:space="preserve"> albendazole (Filaricides)</w:t>
            </w:r>
            <w:r>
              <w:rPr>
                <w:rFonts w:eastAsia="Times New Roman"/>
                <w:szCs w:val="24"/>
              </w:rPr>
              <w:t>.</w:t>
            </w:r>
          </w:p>
        </w:tc>
      </w:tr>
      <w:tr w:rsidR="007B485D" w:rsidRPr="00727DFA" w14:paraId="5E3A353E"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71230DFA"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835" w:type="dxa"/>
            <w:tcBorders>
              <w:top w:val="single" w:sz="4" w:space="0" w:color="auto"/>
              <w:left w:val="single" w:sz="4" w:space="0" w:color="auto"/>
              <w:bottom w:val="single" w:sz="4" w:space="0" w:color="auto"/>
              <w:right w:val="single" w:sz="4" w:space="0" w:color="auto"/>
            </w:tcBorders>
            <w:hideMark/>
          </w:tcPr>
          <w:p w14:paraId="68DC15B8"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albendazole (Filaricides)</w:t>
            </w:r>
            <w:r>
              <w:rPr>
                <w:rFonts w:eastAsia="Times New Roman"/>
                <w:szCs w:val="24"/>
              </w:rPr>
              <w:t>.</w:t>
            </w:r>
          </w:p>
        </w:tc>
      </w:tr>
      <w:tr w:rsidR="007B485D" w:rsidRPr="00727DFA" w14:paraId="50A2A327"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7A197FF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835" w:type="dxa"/>
            <w:tcBorders>
              <w:top w:val="single" w:sz="4" w:space="0" w:color="auto"/>
              <w:left w:val="single" w:sz="4" w:space="0" w:color="auto"/>
              <w:bottom w:val="single" w:sz="4" w:space="0" w:color="auto"/>
              <w:right w:val="single" w:sz="4" w:space="0" w:color="auto"/>
            </w:tcBorders>
            <w:hideMark/>
          </w:tcPr>
          <w:p w14:paraId="3F4EE48C"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albendazole (Filaricides)</w:t>
            </w:r>
            <w:r>
              <w:rPr>
                <w:rFonts w:eastAsia="Times New Roman"/>
                <w:szCs w:val="24"/>
              </w:rPr>
              <w:t>.</w:t>
            </w:r>
          </w:p>
        </w:tc>
      </w:tr>
      <w:tr w:rsidR="007B485D" w:rsidRPr="00727DFA" w14:paraId="78A03017"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0A59F64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835" w:type="dxa"/>
            <w:tcBorders>
              <w:top w:val="single" w:sz="4" w:space="0" w:color="auto"/>
              <w:left w:val="single" w:sz="4" w:space="0" w:color="auto"/>
              <w:bottom w:val="single" w:sz="4" w:space="0" w:color="auto"/>
              <w:right w:val="single" w:sz="4" w:space="0" w:color="auto"/>
            </w:tcBorders>
            <w:hideMark/>
          </w:tcPr>
          <w:p w14:paraId="38498C82"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albendazole (Filaricides)</w:t>
            </w:r>
            <w:r>
              <w:rPr>
                <w:rFonts w:eastAsia="Times New Roman"/>
                <w:szCs w:val="24"/>
              </w:rPr>
              <w:t>.</w:t>
            </w:r>
          </w:p>
        </w:tc>
      </w:tr>
      <w:tr w:rsidR="007B485D" w:rsidRPr="00727DFA" w14:paraId="69C9462A"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3461CC88"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835" w:type="dxa"/>
            <w:tcBorders>
              <w:top w:val="single" w:sz="4" w:space="0" w:color="auto"/>
              <w:left w:val="single" w:sz="4" w:space="0" w:color="auto"/>
              <w:bottom w:val="single" w:sz="4" w:space="0" w:color="auto"/>
              <w:right w:val="single" w:sz="4" w:space="0" w:color="auto"/>
            </w:tcBorders>
            <w:hideMark/>
          </w:tcPr>
          <w:p w14:paraId="26F03FB8"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0</w:t>
            </w:r>
            <w:r w:rsidRPr="00727DFA">
              <w:rPr>
                <w:rFonts w:eastAsia="Times New Roman"/>
                <w:szCs w:val="24"/>
              </w:rPr>
              <w:t>C.</w:t>
            </w:r>
          </w:p>
        </w:tc>
      </w:tr>
      <w:tr w:rsidR="007B485D" w:rsidRPr="00727DFA" w14:paraId="2E5AC82A" w14:textId="77777777" w:rsidTr="002D6DD7">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95AEA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b/>
                <w:bCs/>
                <w:szCs w:val="24"/>
                <w:lang w:eastAsia="zh-CN"/>
              </w:rPr>
              <w:t>Mebendazole</w:t>
            </w:r>
          </w:p>
        </w:tc>
      </w:tr>
      <w:tr w:rsidR="007B485D" w:rsidRPr="00727DFA" w14:paraId="50760CE6"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6BBDB84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Pharmacological class</w:t>
            </w:r>
          </w:p>
        </w:tc>
        <w:tc>
          <w:tcPr>
            <w:tcW w:w="6835" w:type="dxa"/>
            <w:tcBorders>
              <w:top w:val="single" w:sz="4" w:space="0" w:color="auto"/>
              <w:left w:val="single" w:sz="4" w:space="0" w:color="auto"/>
              <w:bottom w:val="single" w:sz="4" w:space="0" w:color="auto"/>
              <w:right w:val="single" w:sz="4" w:space="0" w:color="auto"/>
            </w:tcBorders>
            <w:hideMark/>
          </w:tcPr>
          <w:p w14:paraId="6852EDB4"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Benzimidazole</w:t>
            </w:r>
            <w:r>
              <w:rPr>
                <w:rFonts w:eastAsia="Times New Roman"/>
                <w:szCs w:val="24"/>
                <w:lang w:eastAsia="zh-CN"/>
              </w:rPr>
              <w:t xml:space="preserve">, </w:t>
            </w:r>
            <w:r w:rsidRPr="00727DFA">
              <w:rPr>
                <w:rFonts w:eastAsia="Times New Roman"/>
                <w:szCs w:val="24"/>
                <w:lang w:eastAsia="zh-CN"/>
              </w:rPr>
              <w:t>anthelminthic</w:t>
            </w:r>
          </w:p>
        </w:tc>
      </w:tr>
      <w:tr w:rsidR="007B485D" w:rsidRPr="00727DFA" w14:paraId="3974B4C0"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5BD9ACB8"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lang w:eastAsia="zh-CN"/>
              </w:rPr>
              <w:t>Dosage form</w:t>
            </w:r>
          </w:p>
        </w:tc>
        <w:tc>
          <w:tcPr>
            <w:tcW w:w="6835" w:type="dxa"/>
            <w:tcBorders>
              <w:top w:val="single" w:sz="4" w:space="0" w:color="auto"/>
              <w:left w:val="single" w:sz="4" w:space="0" w:color="auto"/>
              <w:bottom w:val="single" w:sz="4" w:space="0" w:color="auto"/>
              <w:right w:val="single" w:sz="4" w:space="0" w:color="auto"/>
            </w:tcBorders>
            <w:hideMark/>
          </w:tcPr>
          <w:p w14:paraId="48C3EE87" w14:textId="77777777" w:rsidR="007B485D" w:rsidRPr="00727DFA" w:rsidRDefault="007B485D" w:rsidP="002D6DD7">
            <w:pPr>
              <w:jc w:val="both"/>
              <w:rPr>
                <w:rFonts w:eastAsia="DengXian"/>
                <w:szCs w:val="24"/>
                <w:lang w:eastAsia="zh-CN"/>
              </w:rPr>
            </w:pPr>
            <w:r w:rsidRPr="00727DFA">
              <w:rPr>
                <w:rFonts w:eastAsia="DengXian"/>
                <w:szCs w:val="24"/>
                <w:lang w:eastAsia="zh-CN"/>
              </w:rPr>
              <w:t>Tablet: 200mg, 400mg</w:t>
            </w:r>
          </w:p>
          <w:p w14:paraId="1FA28929" w14:textId="77777777" w:rsidR="007B485D" w:rsidRPr="00727DFA" w:rsidRDefault="007B485D" w:rsidP="002D6DD7">
            <w:pPr>
              <w:widowControl w:val="0"/>
              <w:autoSpaceDE w:val="0"/>
              <w:autoSpaceDN w:val="0"/>
              <w:jc w:val="both"/>
              <w:rPr>
                <w:rFonts w:eastAsia="Times New Roman"/>
                <w:szCs w:val="24"/>
                <w:lang w:val="nb-NO"/>
              </w:rPr>
            </w:pPr>
            <w:r w:rsidRPr="00727DFA">
              <w:rPr>
                <w:rFonts w:eastAsia="Times New Roman"/>
                <w:szCs w:val="24"/>
                <w:lang w:eastAsia="zh-CN"/>
              </w:rPr>
              <w:t>Oral suspension: 100mg/5ml</w:t>
            </w:r>
          </w:p>
        </w:tc>
      </w:tr>
      <w:tr w:rsidR="007B485D" w:rsidRPr="00727DFA" w14:paraId="3EB545B8"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4D46EED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Indications</w:t>
            </w:r>
          </w:p>
        </w:tc>
        <w:tc>
          <w:tcPr>
            <w:tcW w:w="6835" w:type="dxa"/>
            <w:tcBorders>
              <w:top w:val="single" w:sz="4" w:space="0" w:color="auto"/>
              <w:left w:val="single" w:sz="4" w:space="0" w:color="auto"/>
              <w:bottom w:val="single" w:sz="4" w:space="0" w:color="auto"/>
              <w:right w:val="single" w:sz="4" w:space="0" w:color="auto"/>
            </w:tcBorders>
            <w:hideMark/>
          </w:tcPr>
          <w:p w14:paraId="35454D5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Thread worm infections, whip worm infections, hookworm infections, round worm infections</w:t>
            </w:r>
            <w:r>
              <w:rPr>
                <w:rFonts w:eastAsia="Times New Roman"/>
                <w:szCs w:val="24"/>
                <w:lang w:eastAsia="zh-CN"/>
              </w:rPr>
              <w:t>.</w:t>
            </w:r>
          </w:p>
        </w:tc>
      </w:tr>
      <w:tr w:rsidR="007B485D" w:rsidRPr="00727DFA" w14:paraId="31E1A432"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4B407D62"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lang w:eastAsia="zh-CN"/>
              </w:rPr>
              <w:t>Dose and administration</w:t>
            </w:r>
          </w:p>
        </w:tc>
        <w:tc>
          <w:tcPr>
            <w:tcW w:w="6835" w:type="dxa"/>
            <w:tcBorders>
              <w:top w:val="single" w:sz="4" w:space="0" w:color="auto"/>
              <w:left w:val="single" w:sz="4" w:space="0" w:color="auto"/>
              <w:bottom w:val="single" w:sz="4" w:space="0" w:color="auto"/>
              <w:right w:val="single" w:sz="4" w:space="0" w:color="auto"/>
            </w:tcBorders>
            <w:hideMark/>
          </w:tcPr>
          <w:p w14:paraId="0416F4C4" w14:textId="77777777" w:rsidR="007B485D" w:rsidRPr="00727DFA" w:rsidRDefault="007B485D" w:rsidP="002D6DD7">
            <w:pPr>
              <w:jc w:val="both"/>
              <w:rPr>
                <w:rFonts w:eastAsia="DengXian"/>
                <w:szCs w:val="24"/>
                <w:lang w:eastAsia="zh-CN"/>
              </w:rPr>
            </w:pPr>
            <w:r w:rsidRPr="00727DFA">
              <w:rPr>
                <w:rFonts w:eastAsia="DengXian"/>
                <w:b/>
                <w:bCs/>
                <w:szCs w:val="24"/>
                <w:lang w:eastAsia="zh-CN"/>
              </w:rPr>
              <w:t>Thread worm infections; oral:</w:t>
            </w:r>
          </w:p>
          <w:p w14:paraId="7FB8C6B6" w14:textId="77777777" w:rsidR="007B485D" w:rsidRPr="00727DFA" w:rsidRDefault="007B485D" w:rsidP="002D6DD7">
            <w:pPr>
              <w:jc w:val="both"/>
              <w:rPr>
                <w:rFonts w:eastAsia="DengXian"/>
                <w:szCs w:val="24"/>
                <w:lang w:eastAsia="zh-CN"/>
              </w:rPr>
            </w:pPr>
            <w:r w:rsidRPr="00873AF2">
              <w:rPr>
                <w:rFonts w:eastAsia="DengXian"/>
                <w:b/>
                <w:bCs/>
                <w:szCs w:val="24"/>
                <w:lang w:eastAsia="zh-CN"/>
              </w:rPr>
              <w:t xml:space="preserve">Adult and child over </w:t>
            </w:r>
            <w:r>
              <w:rPr>
                <w:rFonts w:eastAsia="DengXian"/>
                <w:b/>
                <w:bCs/>
                <w:szCs w:val="24"/>
                <w:lang w:eastAsia="zh-CN"/>
              </w:rPr>
              <w:t>2 years</w:t>
            </w:r>
            <w:r w:rsidRPr="00727DFA">
              <w:rPr>
                <w:rFonts w:eastAsia="DengXian"/>
                <w:szCs w:val="24"/>
                <w:lang w:eastAsia="zh-CN"/>
              </w:rPr>
              <w:t>: 100mg for 1dose, if reinfection occurs, second dose may be needed after 2weeks</w:t>
            </w:r>
          </w:p>
          <w:p w14:paraId="6EAC2734" w14:textId="77777777" w:rsidR="007B485D" w:rsidRPr="00727DFA" w:rsidRDefault="007B485D" w:rsidP="002D6DD7">
            <w:pPr>
              <w:jc w:val="both"/>
              <w:rPr>
                <w:rFonts w:eastAsia="DengXian"/>
                <w:b/>
                <w:bCs/>
                <w:szCs w:val="24"/>
                <w:lang w:eastAsia="zh-CN"/>
              </w:rPr>
            </w:pPr>
            <w:r w:rsidRPr="00727DFA">
              <w:rPr>
                <w:rFonts w:eastAsia="DengXian"/>
                <w:b/>
                <w:bCs/>
                <w:szCs w:val="24"/>
                <w:lang w:eastAsia="zh-CN"/>
              </w:rPr>
              <w:t>Whip worm infections, hookworm infections, oral</w:t>
            </w:r>
            <w:r w:rsidRPr="00727DFA">
              <w:rPr>
                <w:rFonts w:eastAsia="DengXian"/>
                <w:szCs w:val="24"/>
                <w:lang w:eastAsia="zh-CN"/>
              </w:rPr>
              <w:t>:</w:t>
            </w:r>
            <w:r w:rsidRPr="00727DFA">
              <w:rPr>
                <w:rFonts w:eastAsia="DengXian"/>
                <w:b/>
                <w:bCs/>
                <w:szCs w:val="24"/>
                <w:lang w:eastAsia="zh-CN"/>
              </w:rPr>
              <w:t xml:space="preserve"> </w:t>
            </w:r>
          </w:p>
          <w:p w14:paraId="5D68F617" w14:textId="77777777" w:rsidR="007B485D" w:rsidRPr="00727DFA" w:rsidRDefault="007B485D" w:rsidP="002D6DD7">
            <w:pPr>
              <w:jc w:val="both"/>
              <w:rPr>
                <w:rFonts w:eastAsia="DengXian"/>
                <w:szCs w:val="24"/>
                <w:lang w:eastAsia="zh-CN"/>
              </w:rPr>
            </w:pPr>
            <w:r w:rsidRPr="00873AF2">
              <w:rPr>
                <w:rFonts w:eastAsia="DengXian"/>
                <w:b/>
                <w:bCs/>
                <w:szCs w:val="24"/>
                <w:lang w:eastAsia="zh-CN"/>
              </w:rPr>
              <w:t xml:space="preserve">Adult and child over </w:t>
            </w:r>
            <w:r>
              <w:rPr>
                <w:rFonts w:eastAsia="DengXian"/>
                <w:b/>
                <w:bCs/>
                <w:szCs w:val="24"/>
                <w:lang w:eastAsia="zh-CN"/>
              </w:rPr>
              <w:t>2 years</w:t>
            </w:r>
            <w:r w:rsidRPr="00727DFA">
              <w:rPr>
                <w:rFonts w:eastAsia="DengXian"/>
                <w:szCs w:val="24"/>
                <w:lang w:eastAsia="zh-CN"/>
              </w:rPr>
              <w:t>:100mg twice daily for 3days</w:t>
            </w:r>
          </w:p>
          <w:p w14:paraId="1EB5C878" w14:textId="77777777" w:rsidR="007B485D" w:rsidRPr="00727DFA" w:rsidRDefault="007B485D" w:rsidP="002D6DD7">
            <w:pPr>
              <w:jc w:val="both"/>
              <w:rPr>
                <w:rFonts w:eastAsia="DengXian"/>
                <w:szCs w:val="24"/>
                <w:lang w:eastAsia="zh-CN"/>
              </w:rPr>
            </w:pPr>
            <w:r w:rsidRPr="00727DFA">
              <w:rPr>
                <w:rFonts w:eastAsia="DengXian"/>
                <w:b/>
                <w:bCs/>
                <w:szCs w:val="24"/>
                <w:lang w:eastAsia="zh-CN"/>
              </w:rPr>
              <w:t>Round worm infections, oral</w:t>
            </w:r>
            <w:r w:rsidRPr="00727DFA">
              <w:rPr>
                <w:rFonts w:eastAsia="DengXian"/>
                <w:szCs w:val="24"/>
                <w:lang w:eastAsia="zh-CN"/>
              </w:rPr>
              <w:t>:</w:t>
            </w:r>
          </w:p>
          <w:p w14:paraId="3ED85D97" w14:textId="77777777" w:rsidR="007B485D" w:rsidRPr="00727DFA" w:rsidRDefault="007B485D" w:rsidP="002D6DD7">
            <w:pPr>
              <w:jc w:val="both"/>
              <w:rPr>
                <w:rFonts w:eastAsia="DengXian"/>
                <w:szCs w:val="24"/>
                <w:lang w:eastAsia="zh-CN"/>
              </w:rPr>
            </w:pPr>
            <w:r w:rsidRPr="00727DFA">
              <w:rPr>
                <w:rFonts w:eastAsia="DengXian"/>
                <w:b/>
                <w:bCs/>
                <w:szCs w:val="24"/>
                <w:lang w:eastAsia="zh-CN"/>
              </w:rPr>
              <w:t xml:space="preserve">Child </w:t>
            </w:r>
            <m:oMath>
              <m:r>
                <m:rPr>
                  <m:sty m:val="bi"/>
                </m:rPr>
                <w:rPr>
                  <w:rFonts w:ascii="Cambria Math" w:eastAsia="DengXian" w:hAnsi="Cambria Math"/>
                  <w:szCs w:val="24"/>
                  <w:lang w:eastAsia="zh-CN"/>
                </w:rPr>
                <m:t>≥</m:t>
              </m:r>
            </m:oMath>
            <w:r>
              <w:rPr>
                <w:rFonts w:eastAsia="DengXian"/>
                <w:b/>
                <w:bCs/>
                <w:szCs w:val="24"/>
                <w:lang w:eastAsia="zh-CN"/>
              </w:rPr>
              <w:t>2</w:t>
            </w:r>
            <w:r w:rsidRPr="00727DFA">
              <w:rPr>
                <w:rFonts w:eastAsia="DengXian"/>
                <w:b/>
                <w:bCs/>
                <w:szCs w:val="24"/>
                <w:lang w:eastAsia="zh-CN"/>
              </w:rPr>
              <w:t xml:space="preserve"> year:</w:t>
            </w:r>
            <w:r w:rsidRPr="00727DFA">
              <w:rPr>
                <w:rFonts w:eastAsia="DengXian"/>
                <w:szCs w:val="24"/>
                <w:lang w:eastAsia="zh-CN"/>
              </w:rPr>
              <w:t xml:space="preserve"> 100mg twice daily for 3days</w:t>
            </w:r>
          </w:p>
          <w:p w14:paraId="0D8B33F7" w14:textId="77777777" w:rsidR="007B485D" w:rsidRPr="00727DFA" w:rsidRDefault="007B485D" w:rsidP="002D6DD7">
            <w:pPr>
              <w:jc w:val="both"/>
              <w:rPr>
                <w:rFonts w:eastAsia="DengXian"/>
                <w:szCs w:val="24"/>
                <w:lang w:eastAsia="zh-CN"/>
              </w:rPr>
            </w:pPr>
            <w:r w:rsidRPr="00727DFA">
              <w:rPr>
                <w:rFonts w:eastAsia="DengXian"/>
                <w:b/>
                <w:bCs/>
                <w:szCs w:val="24"/>
                <w:lang w:eastAsia="zh-CN"/>
              </w:rPr>
              <w:t>Adult and child 2 years and over</w:t>
            </w:r>
            <w:r w:rsidRPr="00727DFA">
              <w:rPr>
                <w:rFonts w:eastAsia="DengXian"/>
                <w:szCs w:val="24"/>
                <w:lang w:eastAsia="zh-CN"/>
              </w:rPr>
              <w:t>: 100mg twice daily for 3days, alternatively 500mg for1dose</w:t>
            </w:r>
          </w:p>
          <w:p w14:paraId="3055307F" w14:textId="77777777" w:rsidR="007B485D" w:rsidRPr="00727DFA" w:rsidRDefault="007B485D" w:rsidP="002D6DD7">
            <w:pPr>
              <w:jc w:val="both"/>
              <w:rPr>
                <w:rFonts w:eastAsia="DengXian"/>
                <w:b/>
                <w:bCs/>
                <w:szCs w:val="24"/>
                <w:lang w:eastAsia="zh-CN"/>
              </w:rPr>
            </w:pPr>
            <w:r w:rsidRPr="00727DFA">
              <w:rPr>
                <w:rFonts w:eastAsia="DengXian"/>
                <w:b/>
                <w:bCs/>
                <w:szCs w:val="24"/>
                <w:lang w:eastAsia="zh-CN"/>
              </w:rPr>
              <w:t>Ascariasis; oral:</w:t>
            </w:r>
          </w:p>
          <w:p w14:paraId="4F324097" w14:textId="77777777" w:rsidR="007B485D" w:rsidRPr="00727DFA" w:rsidRDefault="007B485D" w:rsidP="002D6DD7">
            <w:pPr>
              <w:jc w:val="both"/>
              <w:rPr>
                <w:rFonts w:eastAsia="DengXian"/>
                <w:szCs w:val="24"/>
                <w:lang w:eastAsia="zh-CN"/>
              </w:rPr>
            </w:pPr>
            <w:r w:rsidRPr="00727DFA">
              <w:rPr>
                <w:rFonts w:eastAsia="DengXian"/>
                <w:b/>
                <w:bCs/>
                <w:szCs w:val="24"/>
                <w:lang w:eastAsia="zh-CN"/>
              </w:rPr>
              <w:t xml:space="preserve">Adult: </w:t>
            </w:r>
            <w:r w:rsidRPr="00727DFA">
              <w:rPr>
                <w:rFonts w:eastAsia="DengXian"/>
                <w:szCs w:val="24"/>
                <w:lang w:eastAsia="zh-CN"/>
              </w:rPr>
              <w:t>100mg twice daily for 3 days or 500mg,</w:t>
            </w:r>
          </w:p>
          <w:p w14:paraId="55E4D37F" w14:textId="77777777" w:rsidR="007B485D" w:rsidRPr="00727DFA" w:rsidRDefault="007B485D" w:rsidP="002D6DD7">
            <w:pPr>
              <w:jc w:val="both"/>
              <w:rPr>
                <w:rFonts w:eastAsia="DengXian"/>
                <w:szCs w:val="24"/>
                <w:lang w:eastAsia="zh-CN"/>
              </w:rPr>
            </w:pPr>
            <w:r w:rsidRPr="00727DFA">
              <w:rPr>
                <w:rFonts w:eastAsia="DengXian"/>
                <w:b/>
                <w:bCs/>
                <w:szCs w:val="24"/>
                <w:lang w:eastAsia="zh-CN"/>
              </w:rPr>
              <w:lastRenderedPageBreak/>
              <w:t xml:space="preserve">Trichuriasis; oral: </w:t>
            </w:r>
          </w:p>
          <w:p w14:paraId="46928587" w14:textId="77777777" w:rsidR="007B485D" w:rsidRDefault="007B485D" w:rsidP="002D6DD7">
            <w:pPr>
              <w:widowControl w:val="0"/>
              <w:autoSpaceDE w:val="0"/>
              <w:autoSpaceDN w:val="0"/>
              <w:jc w:val="both"/>
              <w:rPr>
                <w:rFonts w:eastAsia="Times New Roman"/>
                <w:szCs w:val="24"/>
                <w:lang w:eastAsia="zh-CN"/>
              </w:rPr>
            </w:pPr>
            <w:r w:rsidRPr="00727DFA">
              <w:rPr>
                <w:rFonts w:eastAsia="Times New Roman"/>
                <w:b/>
                <w:bCs/>
                <w:szCs w:val="24"/>
                <w:lang w:eastAsia="zh-CN"/>
              </w:rPr>
              <w:t xml:space="preserve">Adult: </w:t>
            </w:r>
            <w:r w:rsidRPr="00727DFA">
              <w:rPr>
                <w:rFonts w:eastAsia="Times New Roman"/>
                <w:szCs w:val="24"/>
                <w:lang w:eastAsia="zh-CN"/>
              </w:rPr>
              <w:t>500mg single dose</w:t>
            </w:r>
          </w:p>
          <w:p w14:paraId="7E197670"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b/>
                <w:bCs/>
                <w:szCs w:val="24"/>
                <w:lang w:eastAsia="zh-CN"/>
              </w:rPr>
              <w:t>Note:</w:t>
            </w:r>
            <w:r>
              <w:rPr>
                <w:rFonts w:ascii="Arial" w:hAnsi="Arial" w:cs="Arial"/>
                <w:color w:val="2A2A2A"/>
                <w:sz w:val="27"/>
                <w:szCs w:val="27"/>
              </w:rPr>
              <w:t xml:space="preserve"> </w:t>
            </w:r>
            <w:r w:rsidRPr="00873AF2">
              <w:rPr>
                <w:i/>
                <w:iCs/>
                <w:color w:val="2A2A2A"/>
                <w:szCs w:val="24"/>
              </w:rPr>
              <w:t>&lt;2 years: Safety and efficacy not established</w:t>
            </w:r>
          </w:p>
        </w:tc>
      </w:tr>
      <w:tr w:rsidR="007B485D" w:rsidRPr="00727DFA" w14:paraId="4F6EC0A5"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3864CF3B"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lastRenderedPageBreak/>
              <w:t>Contraindications</w:t>
            </w:r>
          </w:p>
        </w:tc>
        <w:tc>
          <w:tcPr>
            <w:tcW w:w="6835" w:type="dxa"/>
            <w:tcBorders>
              <w:top w:val="single" w:sz="4" w:space="0" w:color="auto"/>
              <w:left w:val="single" w:sz="4" w:space="0" w:color="auto"/>
              <w:bottom w:val="single" w:sz="4" w:space="0" w:color="auto"/>
              <w:right w:val="single" w:sz="4" w:space="0" w:color="auto"/>
            </w:tcBorders>
            <w:hideMark/>
          </w:tcPr>
          <w:p w14:paraId="0E6EE5B3" w14:textId="77777777" w:rsidR="007B485D" w:rsidRPr="00727DFA" w:rsidRDefault="007B485D" w:rsidP="002D6DD7">
            <w:pPr>
              <w:ind w:right="185"/>
              <w:jc w:val="both"/>
              <w:rPr>
                <w:rFonts w:eastAsia="DengXian"/>
                <w:b/>
                <w:szCs w:val="24"/>
              </w:rPr>
            </w:pPr>
            <w:r w:rsidRPr="00727DFA">
              <w:rPr>
                <w:rFonts w:eastAsia="DengXian"/>
                <w:szCs w:val="24"/>
                <w:lang w:eastAsia="zh-CN"/>
              </w:rPr>
              <w:t xml:space="preserve"> </w:t>
            </w:r>
            <w:r>
              <w:rPr>
                <w:rFonts w:eastAsia="DengXian"/>
                <w:szCs w:val="24"/>
                <w:lang w:eastAsia="zh-CN"/>
              </w:rPr>
              <w:t>H</w:t>
            </w:r>
            <w:r w:rsidRPr="00727DFA">
              <w:rPr>
                <w:rFonts w:eastAsia="DengXian"/>
                <w:szCs w:val="24"/>
                <w:lang w:eastAsia="zh-CN"/>
              </w:rPr>
              <w:t>ypersensitivity</w:t>
            </w:r>
            <w:r>
              <w:rPr>
                <w:rFonts w:eastAsia="DengXian"/>
                <w:szCs w:val="24"/>
                <w:lang w:eastAsia="zh-CN"/>
              </w:rPr>
              <w:t xml:space="preserve"> to the drug,</w:t>
            </w:r>
            <w:r w:rsidRPr="00727DFA">
              <w:rPr>
                <w:rFonts w:eastAsia="DengXian"/>
                <w:szCs w:val="24"/>
                <w:lang w:eastAsia="zh-CN"/>
              </w:rPr>
              <w:t xml:space="preserve"> </w:t>
            </w:r>
            <w:r>
              <w:rPr>
                <w:rFonts w:eastAsia="DengXian"/>
                <w:szCs w:val="24"/>
                <w:lang w:eastAsia="zh-CN"/>
              </w:rPr>
              <w:t>p</w:t>
            </w:r>
            <w:r w:rsidRPr="00727DFA">
              <w:rPr>
                <w:rFonts w:eastAsia="DengXian"/>
                <w:szCs w:val="24"/>
                <w:lang w:eastAsia="zh-CN"/>
              </w:rPr>
              <w:t>regnan</w:t>
            </w:r>
            <w:r>
              <w:rPr>
                <w:rFonts w:eastAsia="DengXian"/>
                <w:szCs w:val="24"/>
                <w:lang w:eastAsia="zh-CN"/>
              </w:rPr>
              <w:t>cy.</w:t>
            </w:r>
            <w:r w:rsidRPr="00727DFA">
              <w:rPr>
                <w:rFonts w:eastAsia="DengXian"/>
                <w:szCs w:val="24"/>
                <w:lang w:eastAsia="zh-CN"/>
              </w:rPr>
              <w:t xml:space="preserve"> </w:t>
            </w:r>
          </w:p>
        </w:tc>
      </w:tr>
      <w:tr w:rsidR="007B485D" w:rsidRPr="00727DFA" w14:paraId="4064D1DC"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66E151C1"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lang w:eastAsia="zh-CN"/>
              </w:rPr>
              <w:t>Drug interactions</w:t>
            </w:r>
          </w:p>
        </w:tc>
        <w:tc>
          <w:tcPr>
            <w:tcW w:w="6835" w:type="dxa"/>
            <w:tcBorders>
              <w:top w:val="single" w:sz="4" w:space="0" w:color="auto"/>
              <w:left w:val="single" w:sz="4" w:space="0" w:color="auto"/>
              <w:bottom w:val="single" w:sz="4" w:space="0" w:color="auto"/>
              <w:right w:val="single" w:sz="4" w:space="0" w:color="auto"/>
            </w:tcBorders>
            <w:hideMark/>
          </w:tcPr>
          <w:p w14:paraId="6D0A54D1" w14:textId="77777777" w:rsidR="007B485D" w:rsidRPr="00727DFA" w:rsidRDefault="007B485D" w:rsidP="002D6DD7">
            <w:pPr>
              <w:ind w:right="185"/>
              <w:jc w:val="both"/>
              <w:rPr>
                <w:rFonts w:eastAsia="DengXian"/>
                <w:szCs w:val="24"/>
              </w:rPr>
            </w:pPr>
            <w:r w:rsidRPr="00727DFA">
              <w:rPr>
                <w:rFonts w:eastAsia="DengXian"/>
                <w:szCs w:val="24"/>
                <w:lang w:eastAsia="zh-CN"/>
              </w:rPr>
              <w:t>Carbamazepine, phenobarbital, phenytoin, cimetidine, metronidazole</w:t>
            </w:r>
            <w:r>
              <w:rPr>
                <w:rFonts w:eastAsia="DengXian"/>
                <w:szCs w:val="24"/>
                <w:lang w:eastAsia="zh-CN"/>
              </w:rPr>
              <w:t>.</w:t>
            </w:r>
            <w:r w:rsidRPr="00727DFA">
              <w:rPr>
                <w:rFonts w:eastAsia="DengXian"/>
                <w:szCs w:val="24"/>
                <w:lang w:eastAsia="zh-CN"/>
              </w:rPr>
              <w:t xml:space="preserve"> </w:t>
            </w:r>
          </w:p>
        </w:tc>
      </w:tr>
      <w:tr w:rsidR="007B485D" w:rsidRPr="00727DFA" w14:paraId="09312A9F"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76D3A92E"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Side effects</w:t>
            </w:r>
          </w:p>
        </w:tc>
        <w:tc>
          <w:tcPr>
            <w:tcW w:w="6835" w:type="dxa"/>
            <w:tcBorders>
              <w:top w:val="single" w:sz="4" w:space="0" w:color="auto"/>
              <w:left w:val="single" w:sz="4" w:space="0" w:color="auto"/>
              <w:bottom w:val="single" w:sz="4" w:space="0" w:color="auto"/>
              <w:right w:val="single" w:sz="4" w:space="0" w:color="auto"/>
            </w:tcBorders>
            <w:hideMark/>
          </w:tcPr>
          <w:p w14:paraId="310E35C2" w14:textId="77777777" w:rsidR="007B485D" w:rsidRPr="00727DFA" w:rsidRDefault="007B485D" w:rsidP="002D6DD7">
            <w:pPr>
              <w:ind w:right="185"/>
              <w:jc w:val="both"/>
              <w:rPr>
                <w:rFonts w:eastAsia="DengXian"/>
                <w:szCs w:val="24"/>
              </w:rPr>
            </w:pPr>
            <w:r w:rsidRPr="00727DFA">
              <w:rPr>
                <w:rFonts w:eastAsia="DengXian"/>
                <w:szCs w:val="24"/>
                <w:lang w:eastAsia="zh-CN"/>
              </w:rPr>
              <w:t>Transient abdominal pain or upset, nausea, vomiting, diarrhea, dizziness, headache, skin rash and itching</w:t>
            </w:r>
            <w:r>
              <w:rPr>
                <w:rFonts w:eastAsia="DengXian"/>
                <w:szCs w:val="24"/>
                <w:lang w:eastAsia="zh-CN"/>
              </w:rPr>
              <w:t>, n</w:t>
            </w:r>
            <w:r w:rsidRPr="00A25188">
              <w:rPr>
                <w:rFonts w:eastAsia="DengXian"/>
                <w:szCs w:val="24"/>
                <w:lang w:eastAsia="zh-CN"/>
              </w:rPr>
              <w:t>eutropenia and agranulocytosis reported with high doses</w:t>
            </w:r>
            <w:r>
              <w:rPr>
                <w:rFonts w:eastAsia="DengXian"/>
                <w:szCs w:val="24"/>
                <w:lang w:eastAsia="zh-CN"/>
              </w:rPr>
              <w:t>.</w:t>
            </w:r>
          </w:p>
        </w:tc>
      </w:tr>
      <w:tr w:rsidR="007B485D" w:rsidRPr="00727DFA" w14:paraId="1E921EE3"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3E3CD2C1"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lang w:eastAsia="zh-CN"/>
              </w:rPr>
              <w:t>Cautions</w:t>
            </w:r>
          </w:p>
        </w:tc>
        <w:tc>
          <w:tcPr>
            <w:tcW w:w="6835" w:type="dxa"/>
            <w:tcBorders>
              <w:top w:val="single" w:sz="4" w:space="0" w:color="auto"/>
              <w:left w:val="single" w:sz="4" w:space="0" w:color="auto"/>
              <w:bottom w:val="single" w:sz="4" w:space="0" w:color="auto"/>
              <w:right w:val="single" w:sz="4" w:space="0" w:color="auto"/>
            </w:tcBorders>
            <w:hideMark/>
          </w:tcPr>
          <w:p w14:paraId="3E6E0A68" w14:textId="77777777" w:rsidR="007B485D" w:rsidRPr="00727DFA" w:rsidRDefault="007B485D" w:rsidP="002D6DD7">
            <w:pPr>
              <w:ind w:right="185"/>
              <w:jc w:val="both"/>
              <w:rPr>
                <w:rFonts w:eastAsia="DengXian"/>
                <w:szCs w:val="24"/>
              </w:rPr>
            </w:pPr>
            <w:r w:rsidRPr="00727DFA">
              <w:rPr>
                <w:rFonts w:eastAsia="DengXian"/>
                <w:szCs w:val="24"/>
                <w:lang w:eastAsia="zh-CN"/>
              </w:rPr>
              <w:t xml:space="preserve">Breastfeeding, </w:t>
            </w:r>
            <w:r>
              <w:rPr>
                <w:rFonts w:eastAsia="DengXian"/>
                <w:szCs w:val="24"/>
                <w:lang w:eastAsia="zh-CN"/>
              </w:rPr>
              <w:t>b</w:t>
            </w:r>
            <w:r w:rsidRPr="00727DFA">
              <w:rPr>
                <w:rFonts w:eastAsia="DengXian"/>
                <w:szCs w:val="24"/>
                <w:lang w:eastAsia="zh-CN"/>
              </w:rPr>
              <w:t>lood counts and liver function tests recommended with high dose regimens, children &lt; 2 years</w:t>
            </w:r>
            <w:r>
              <w:rPr>
                <w:rFonts w:eastAsia="DengXian"/>
                <w:szCs w:val="24"/>
                <w:lang w:eastAsia="zh-CN"/>
              </w:rPr>
              <w:t>.</w:t>
            </w:r>
          </w:p>
        </w:tc>
      </w:tr>
      <w:tr w:rsidR="007B485D" w:rsidRPr="00727DFA" w14:paraId="4E9C3F98"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66B79B8A"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lang w:eastAsia="zh-CN"/>
              </w:rPr>
              <w:t>Storage condition</w:t>
            </w:r>
          </w:p>
        </w:tc>
        <w:tc>
          <w:tcPr>
            <w:tcW w:w="6835" w:type="dxa"/>
            <w:tcBorders>
              <w:top w:val="single" w:sz="4" w:space="0" w:color="auto"/>
              <w:left w:val="single" w:sz="4" w:space="0" w:color="auto"/>
              <w:bottom w:val="single" w:sz="4" w:space="0" w:color="auto"/>
              <w:right w:val="single" w:sz="4" w:space="0" w:color="auto"/>
            </w:tcBorders>
            <w:hideMark/>
          </w:tcPr>
          <w:p w14:paraId="2CD6FC5D" w14:textId="77777777" w:rsidR="007B485D" w:rsidRPr="00727DFA" w:rsidRDefault="007B485D" w:rsidP="002D6DD7">
            <w:pPr>
              <w:ind w:right="185"/>
              <w:jc w:val="both"/>
              <w:rPr>
                <w:rFonts w:eastAsia="DengXian"/>
                <w:szCs w:val="24"/>
              </w:rPr>
            </w:pPr>
            <w:r w:rsidRPr="00727DFA">
              <w:rPr>
                <w:rFonts w:eastAsia="DengXian"/>
                <w:szCs w:val="24"/>
                <w:lang w:eastAsia="zh-CN"/>
              </w:rPr>
              <w:t>Store below 30</w:t>
            </w:r>
            <w:r w:rsidRPr="00727DFA">
              <w:rPr>
                <w:rFonts w:eastAsia="DengXian"/>
                <w:szCs w:val="24"/>
                <w:vertAlign w:val="superscript"/>
                <w:lang w:eastAsia="zh-CN"/>
              </w:rPr>
              <w:t>0</w:t>
            </w:r>
            <w:r w:rsidRPr="00727DFA">
              <w:rPr>
                <w:rFonts w:eastAsia="DengXian"/>
                <w:szCs w:val="24"/>
                <w:lang w:eastAsia="zh-CN"/>
              </w:rPr>
              <w:t>C</w:t>
            </w:r>
            <w:r>
              <w:rPr>
                <w:rFonts w:eastAsia="DengXian"/>
                <w:szCs w:val="24"/>
                <w:lang w:eastAsia="zh-CN"/>
              </w:rPr>
              <w:t>.</w:t>
            </w:r>
          </w:p>
        </w:tc>
      </w:tr>
      <w:tr w:rsidR="007B485D" w:rsidRPr="00727DFA" w14:paraId="574D4BA5" w14:textId="77777777" w:rsidTr="002D6DD7">
        <w:tc>
          <w:tcPr>
            <w:tcW w:w="0" w:type="auto"/>
            <w:gridSpan w:val="2"/>
            <w:tcBorders>
              <w:top w:val="single" w:sz="4" w:space="0" w:color="auto"/>
              <w:left w:val="single" w:sz="4" w:space="0" w:color="auto"/>
              <w:bottom w:val="single" w:sz="4" w:space="0" w:color="auto"/>
              <w:right w:val="single" w:sz="4" w:space="0" w:color="auto"/>
            </w:tcBorders>
            <w:hideMark/>
          </w:tcPr>
          <w:p w14:paraId="5B4092D1" w14:textId="77777777" w:rsidR="007B485D" w:rsidRPr="00873AF2" w:rsidRDefault="007B485D" w:rsidP="002D6DD7">
            <w:pPr>
              <w:keepNext/>
              <w:keepLines/>
              <w:jc w:val="both"/>
              <w:outlineLvl w:val="5"/>
              <w:rPr>
                <w:rFonts w:eastAsia="DengXian Light"/>
                <w:b/>
                <w:bCs/>
                <w:szCs w:val="24"/>
              </w:rPr>
            </w:pPr>
            <w:r w:rsidRPr="00873AF2">
              <w:rPr>
                <w:rFonts w:eastAsia="Times New Roman"/>
                <w:b/>
                <w:bCs/>
                <w:spacing w:val="-2"/>
                <w:szCs w:val="24"/>
              </w:rPr>
              <w:t>Ivermectin</w:t>
            </w:r>
          </w:p>
        </w:tc>
      </w:tr>
      <w:tr w:rsidR="007B485D" w:rsidRPr="00727DFA" w14:paraId="2047E3A3"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4B5BCC1D" w14:textId="77777777" w:rsidR="007B485D" w:rsidRPr="00A25188" w:rsidRDefault="007B485D" w:rsidP="002D6DD7">
            <w:pPr>
              <w:widowControl w:val="0"/>
              <w:autoSpaceDE w:val="0"/>
              <w:autoSpaceDN w:val="0"/>
              <w:jc w:val="both"/>
              <w:rPr>
                <w:rFonts w:eastAsia="Times New Roman"/>
                <w:szCs w:val="24"/>
              </w:rPr>
            </w:pPr>
            <w:r w:rsidRPr="00A25188">
              <w:rPr>
                <w:rFonts w:eastAsia="Times New Roman"/>
                <w:spacing w:val="-2"/>
                <w:szCs w:val="24"/>
              </w:rPr>
              <w:t>Pharmacological class</w:t>
            </w:r>
          </w:p>
        </w:tc>
        <w:tc>
          <w:tcPr>
            <w:tcW w:w="6835" w:type="dxa"/>
            <w:tcBorders>
              <w:top w:val="single" w:sz="4" w:space="0" w:color="auto"/>
              <w:left w:val="single" w:sz="4" w:space="0" w:color="auto"/>
              <w:bottom w:val="single" w:sz="4" w:space="0" w:color="auto"/>
              <w:right w:val="single" w:sz="4" w:space="0" w:color="auto"/>
            </w:tcBorders>
            <w:hideMark/>
          </w:tcPr>
          <w:p w14:paraId="1BB23FD7" w14:textId="77777777" w:rsidR="007B485D" w:rsidRPr="00873AF2" w:rsidRDefault="007B485D" w:rsidP="002D6DD7">
            <w:pPr>
              <w:keepNext/>
              <w:keepLines/>
              <w:jc w:val="both"/>
              <w:outlineLvl w:val="5"/>
              <w:rPr>
                <w:rFonts w:eastAsia="DengXian Light"/>
                <w:szCs w:val="24"/>
              </w:rPr>
            </w:pPr>
            <w:r w:rsidRPr="00873AF2">
              <w:rPr>
                <w:rFonts w:eastAsia="Times New Roman"/>
                <w:szCs w:val="24"/>
              </w:rPr>
              <w:t xml:space="preserve"> </w:t>
            </w:r>
            <w:r w:rsidRPr="00873AF2">
              <w:rPr>
                <w:rFonts w:eastAsia="DengXian"/>
                <w:szCs w:val="24"/>
              </w:rPr>
              <w:t xml:space="preserve">Macrocyclic </w:t>
            </w:r>
            <w:r w:rsidRPr="00873AF2">
              <w:rPr>
                <w:rFonts w:eastAsia="DengXian Light"/>
                <w:szCs w:val="24"/>
              </w:rPr>
              <w:t>lactone (avermectin) anthelmintic</w:t>
            </w:r>
          </w:p>
        </w:tc>
      </w:tr>
      <w:tr w:rsidR="007B485D" w:rsidRPr="00727DFA" w14:paraId="708BB57C"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00F4B777" w14:textId="77777777" w:rsidR="007B485D" w:rsidRPr="00A25188" w:rsidRDefault="007B485D" w:rsidP="002D6DD7">
            <w:pPr>
              <w:widowControl w:val="0"/>
              <w:autoSpaceDE w:val="0"/>
              <w:autoSpaceDN w:val="0"/>
              <w:jc w:val="both"/>
              <w:rPr>
                <w:rFonts w:eastAsia="Times New Roman"/>
                <w:spacing w:val="-2"/>
                <w:szCs w:val="24"/>
              </w:rPr>
            </w:pPr>
            <w:r w:rsidRPr="00A25188">
              <w:rPr>
                <w:rFonts w:eastAsia="Times New Roman"/>
                <w:szCs w:val="24"/>
              </w:rPr>
              <w:t>Dosage</w:t>
            </w:r>
            <w:r w:rsidRPr="00A25188">
              <w:rPr>
                <w:rFonts w:eastAsia="Times New Roman"/>
                <w:spacing w:val="-5"/>
                <w:szCs w:val="24"/>
              </w:rPr>
              <w:t xml:space="preserve"> </w:t>
            </w:r>
            <w:r w:rsidRPr="00A25188">
              <w:rPr>
                <w:rFonts w:eastAsia="Times New Roman"/>
                <w:spacing w:val="-4"/>
                <w:szCs w:val="24"/>
              </w:rPr>
              <w:t>form</w:t>
            </w:r>
          </w:p>
        </w:tc>
        <w:tc>
          <w:tcPr>
            <w:tcW w:w="6835" w:type="dxa"/>
            <w:tcBorders>
              <w:top w:val="single" w:sz="4" w:space="0" w:color="auto"/>
              <w:left w:val="single" w:sz="4" w:space="0" w:color="auto"/>
              <w:bottom w:val="single" w:sz="4" w:space="0" w:color="auto"/>
              <w:right w:val="single" w:sz="4" w:space="0" w:color="auto"/>
            </w:tcBorders>
            <w:hideMark/>
          </w:tcPr>
          <w:p w14:paraId="472EFC23" w14:textId="77777777" w:rsidR="007B485D" w:rsidRPr="00873AF2" w:rsidRDefault="007B485D" w:rsidP="002D6DD7">
            <w:pPr>
              <w:keepNext/>
              <w:keepLines/>
              <w:jc w:val="both"/>
              <w:outlineLvl w:val="5"/>
              <w:rPr>
                <w:rFonts w:eastAsia="DengXian Light"/>
                <w:szCs w:val="24"/>
              </w:rPr>
            </w:pPr>
            <w:r w:rsidRPr="00873AF2">
              <w:rPr>
                <w:rFonts w:eastAsia="Times New Roman"/>
                <w:szCs w:val="24"/>
              </w:rPr>
              <w:t>Tablet:</w:t>
            </w:r>
            <w:r w:rsidRPr="00873AF2">
              <w:rPr>
                <w:rFonts w:eastAsia="Times New Roman"/>
                <w:spacing w:val="-3"/>
                <w:szCs w:val="24"/>
              </w:rPr>
              <w:t xml:space="preserve"> </w:t>
            </w:r>
            <w:r w:rsidRPr="00873AF2">
              <w:rPr>
                <w:rFonts w:eastAsia="Times New Roman"/>
                <w:spacing w:val="-5"/>
                <w:szCs w:val="24"/>
              </w:rPr>
              <w:t>3mg, 6mg</w:t>
            </w:r>
          </w:p>
        </w:tc>
      </w:tr>
      <w:tr w:rsidR="007B485D" w:rsidRPr="00727DFA" w14:paraId="3BF75957"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3ABE5B7F" w14:textId="77777777" w:rsidR="007B485D" w:rsidRPr="00727DFA" w:rsidRDefault="007B485D" w:rsidP="002D6DD7">
            <w:pPr>
              <w:widowControl w:val="0"/>
              <w:autoSpaceDE w:val="0"/>
              <w:autoSpaceDN w:val="0"/>
              <w:jc w:val="both"/>
              <w:rPr>
                <w:rFonts w:eastAsia="Times New Roman"/>
                <w:szCs w:val="24"/>
              </w:rPr>
            </w:pPr>
            <w:r w:rsidRPr="00873AF2">
              <w:rPr>
                <w:rFonts w:eastAsia="Times New Roman"/>
                <w:spacing w:val="-2"/>
                <w:szCs w:val="24"/>
              </w:rPr>
              <w:t>Indications</w:t>
            </w:r>
          </w:p>
        </w:tc>
        <w:tc>
          <w:tcPr>
            <w:tcW w:w="6835" w:type="dxa"/>
            <w:tcBorders>
              <w:top w:val="single" w:sz="4" w:space="0" w:color="auto"/>
              <w:left w:val="single" w:sz="4" w:space="0" w:color="auto"/>
              <w:bottom w:val="single" w:sz="4" w:space="0" w:color="auto"/>
              <w:right w:val="single" w:sz="4" w:space="0" w:color="auto"/>
            </w:tcBorders>
            <w:hideMark/>
          </w:tcPr>
          <w:p w14:paraId="33C8DDF2" w14:textId="77777777" w:rsidR="007B485D" w:rsidRPr="00727DFA" w:rsidRDefault="007B485D" w:rsidP="002D6DD7">
            <w:pPr>
              <w:jc w:val="both"/>
              <w:rPr>
                <w:rFonts w:eastAsia="Times New Roman"/>
                <w:szCs w:val="24"/>
              </w:rPr>
            </w:pPr>
            <w:r w:rsidRPr="00727DFA">
              <w:rPr>
                <w:rFonts w:eastAsia="DengXian"/>
                <w:szCs w:val="24"/>
                <w:lang w:eastAsia="zh-CN"/>
              </w:rPr>
              <w:t>Strongyloidiasis of the intestinal tract, onchocerciasis</w:t>
            </w:r>
            <w:r>
              <w:rPr>
                <w:rFonts w:eastAsia="DengXian"/>
                <w:szCs w:val="24"/>
                <w:lang w:eastAsia="zh-CN"/>
              </w:rPr>
              <w:t>.</w:t>
            </w:r>
          </w:p>
        </w:tc>
      </w:tr>
      <w:tr w:rsidR="007B485D" w:rsidRPr="00727DFA" w14:paraId="51193423"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1B2B42F0" w14:textId="77777777" w:rsidR="007B485D" w:rsidRPr="00727DFA" w:rsidRDefault="007B485D" w:rsidP="002D6DD7">
            <w:pPr>
              <w:widowControl w:val="0"/>
              <w:autoSpaceDE w:val="0"/>
              <w:autoSpaceDN w:val="0"/>
              <w:jc w:val="both"/>
              <w:rPr>
                <w:rFonts w:eastAsia="Times New Roman"/>
                <w:b/>
                <w:bCs/>
                <w:spacing w:val="-2"/>
                <w:szCs w:val="24"/>
              </w:rPr>
            </w:pPr>
            <w:r w:rsidRPr="00727DFA">
              <w:rPr>
                <w:rFonts w:eastAsia="Times New Roman"/>
                <w:szCs w:val="24"/>
              </w:rPr>
              <w:t xml:space="preserve">Dose and </w:t>
            </w:r>
            <w:r w:rsidRPr="00727DFA">
              <w:rPr>
                <w:rFonts w:eastAsia="Times New Roman"/>
                <w:spacing w:val="-2"/>
                <w:szCs w:val="24"/>
              </w:rPr>
              <w:t>administration</w:t>
            </w:r>
          </w:p>
        </w:tc>
        <w:tc>
          <w:tcPr>
            <w:tcW w:w="6835" w:type="dxa"/>
            <w:tcBorders>
              <w:top w:val="single" w:sz="4" w:space="0" w:color="auto"/>
              <w:left w:val="single" w:sz="4" w:space="0" w:color="auto"/>
              <w:bottom w:val="single" w:sz="4" w:space="0" w:color="auto"/>
              <w:right w:val="single" w:sz="4" w:space="0" w:color="auto"/>
            </w:tcBorders>
            <w:hideMark/>
          </w:tcPr>
          <w:p w14:paraId="65B3ACFA"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color w:val="000000" w:themeColor="text1"/>
                <w:szCs w:val="24"/>
              </w:rPr>
              <w:t>Onchocerciasis</w:t>
            </w:r>
            <w:r w:rsidRPr="00727DFA">
              <w:rPr>
                <w:rFonts w:eastAsia="Times New Roman"/>
                <w:color w:val="000000" w:themeColor="text1"/>
                <w:szCs w:val="24"/>
              </w:rPr>
              <w:t xml:space="preserve">, Oral: </w:t>
            </w:r>
          </w:p>
          <w:p w14:paraId="38FFF113"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Adult:</w:t>
            </w:r>
            <w:r w:rsidRPr="00727DFA">
              <w:rPr>
                <w:rFonts w:eastAsia="Times New Roman"/>
                <w:color w:val="000000" w:themeColor="text1"/>
                <w:szCs w:val="24"/>
              </w:rPr>
              <w:t xml:space="preserve"> 150 micrograms/kg as single dose, repeat treatment every 3–12 months until symptoms resolved.</w:t>
            </w:r>
          </w:p>
          <w:p w14:paraId="4DD04237"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Child &gt;15 kg:</w:t>
            </w:r>
            <w:r w:rsidRPr="00727DFA">
              <w:rPr>
                <w:rFonts w:eastAsia="Times New Roman"/>
                <w:color w:val="000000" w:themeColor="text1"/>
                <w:szCs w:val="24"/>
              </w:rPr>
              <w:t xml:space="preserve"> 150 micrograms</w:t>
            </w:r>
            <w:r w:rsidRPr="00727DFA" w:rsidDel="00A25188">
              <w:rPr>
                <w:rFonts w:eastAsia="Times New Roman"/>
                <w:color w:val="000000" w:themeColor="text1"/>
                <w:szCs w:val="24"/>
              </w:rPr>
              <w:t xml:space="preserve"> </w:t>
            </w:r>
            <w:r w:rsidRPr="00727DFA">
              <w:rPr>
                <w:rFonts w:eastAsia="Times New Roman"/>
                <w:color w:val="000000" w:themeColor="text1"/>
                <w:szCs w:val="24"/>
              </w:rPr>
              <w:t>/kg as single dose, repeat treatment every 3–12 months until symptoms resolved.</w:t>
            </w:r>
          </w:p>
          <w:p w14:paraId="4989096D"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color w:val="000000" w:themeColor="text1"/>
                <w:szCs w:val="24"/>
              </w:rPr>
              <w:t>Strongyloidiasis</w:t>
            </w:r>
            <w:r>
              <w:rPr>
                <w:rFonts w:eastAsia="Times New Roman"/>
                <w:b/>
                <w:color w:val="000000" w:themeColor="text1"/>
                <w:szCs w:val="24"/>
              </w:rPr>
              <w:t xml:space="preserve"> (uncomplicated)</w:t>
            </w:r>
            <w:r w:rsidRPr="00727DFA">
              <w:rPr>
                <w:rFonts w:eastAsia="Times New Roman"/>
                <w:color w:val="000000" w:themeColor="text1"/>
                <w:szCs w:val="24"/>
              </w:rPr>
              <w:t xml:space="preserve">, Oral: </w:t>
            </w:r>
          </w:p>
          <w:p w14:paraId="293B8572" w14:textId="77777777" w:rsidR="007B485D"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Adult</w:t>
            </w:r>
            <w:r>
              <w:rPr>
                <w:rFonts w:eastAsia="Times New Roman"/>
                <w:b/>
                <w:bCs/>
                <w:color w:val="000000" w:themeColor="text1"/>
                <w:szCs w:val="24"/>
              </w:rPr>
              <w:t xml:space="preserve"> (Immunocompetent)</w:t>
            </w:r>
            <w:r w:rsidRPr="00727DFA">
              <w:rPr>
                <w:rFonts w:eastAsia="Times New Roman"/>
                <w:b/>
                <w:bCs/>
                <w:color w:val="000000" w:themeColor="text1"/>
                <w:szCs w:val="24"/>
              </w:rPr>
              <w:t>:</w:t>
            </w:r>
            <w:r w:rsidRPr="00727DFA">
              <w:rPr>
                <w:rFonts w:eastAsia="Times New Roman"/>
                <w:color w:val="000000" w:themeColor="text1"/>
                <w:szCs w:val="24"/>
              </w:rPr>
              <w:t xml:space="preserve"> 200 m</w:t>
            </w:r>
            <w:r>
              <w:rPr>
                <w:rFonts w:eastAsia="Times New Roman"/>
                <w:color w:val="000000" w:themeColor="text1"/>
                <w:szCs w:val="24"/>
              </w:rPr>
              <w:t>cg</w:t>
            </w:r>
            <w:r w:rsidRPr="00727DFA">
              <w:rPr>
                <w:rFonts w:eastAsia="Times New Roman"/>
                <w:color w:val="000000" w:themeColor="text1"/>
                <w:szCs w:val="24"/>
              </w:rPr>
              <w:t>/kg daily for 1–2 days</w:t>
            </w:r>
          </w:p>
          <w:p w14:paraId="6B7B4100" w14:textId="77777777" w:rsidR="007B485D"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Adult</w:t>
            </w:r>
            <w:r>
              <w:rPr>
                <w:rFonts w:eastAsia="Times New Roman"/>
                <w:color w:val="000000" w:themeColor="text1"/>
                <w:szCs w:val="24"/>
              </w:rPr>
              <w:t xml:space="preserve"> (Immunocompromised): 200mcg/kg daily for 1-2 days</w:t>
            </w:r>
          </w:p>
          <w:p w14:paraId="72798DFD"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Child &gt;15 kg</w:t>
            </w:r>
            <w:r>
              <w:rPr>
                <w:rFonts w:eastAsia="Times New Roman"/>
                <w:b/>
                <w:bCs/>
                <w:color w:val="000000" w:themeColor="text1"/>
                <w:szCs w:val="24"/>
              </w:rPr>
              <w:t xml:space="preserve"> and adolescent</w:t>
            </w:r>
            <w:r w:rsidRPr="00727DFA">
              <w:rPr>
                <w:rFonts w:eastAsia="Times New Roman"/>
                <w:b/>
                <w:bCs/>
                <w:color w:val="000000" w:themeColor="text1"/>
                <w:szCs w:val="24"/>
              </w:rPr>
              <w:t>:</w:t>
            </w:r>
            <w:r>
              <w:rPr>
                <w:rFonts w:eastAsia="Times New Roman"/>
                <w:color w:val="000000" w:themeColor="text1"/>
                <w:szCs w:val="24"/>
              </w:rPr>
              <w:t xml:space="preserve"> 200mcg/kg daily for 2 days; immunocompromised patients or patients with disseminated infection may need to repeat therapy</w:t>
            </w:r>
          </w:p>
          <w:p w14:paraId="3C491FD1"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color w:val="000000" w:themeColor="text1"/>
                <w:szCs w:val="24"/>
              </w:rPr>
              <w:t>Strongyloidiasis</w:t>
            </w:r>
            <w:r>
              <w:rPr>
                <w:rFonts w:eastAsia="Times New Roman"/>
                <w:b/>
                <w:color w:val="000000" w:themeColor="text1"/>
                <w:szCs w:val="24"/>
              </w:rPr>
              <w:t xml:space="preserve"> (severe, disseminated infection)</w:t>
            </w:r>
            <w:r w:rsidRPr="00727DFA">
              <w:rPr>
                <w:rFonts w:eastAsia="Times New Roman"/>
                <w:color w:val="000000" w:themeColor="text1"/>
                <w:szCs w:val="24"/>
              </w:rPr>
              <w:t xml:space="preserve">, Oral: </w:t>
            </w:r>
          </w:p>
          <w:p w14:paraId="5C5666F9" w14:textId="77777777" w:rsidR="007B485D" w:rsidRPr="00727DFA" w:rsidRDefault="007B485D" w:rsidP="002D6DD7">
            <w:pPr>
              <w:widowControl w:val="0"/>
              <w:autoSpaceDE w:val="0"/>
              <w:autoSpaceDN w:val="0"/>
              <w:ind w:right="180"/>
              <w:jc w:val="both"/>
              <w:rPr>
                <w:rFonts w:eastAsia="Times New Roman"/>
                <w:color w:val="000000" w:themeColor="text1"/>
                <w:szCs w:val="24"/>
              </w:rPr>
            </w:pPr>
            <w:r w:rsidRPr="00727DFA">
              <w:rPr>
                <w:rFonts w:eastAsia="Times New Roman"/>
                <w:b/>
                <w:bCs/>
                <w:color w:val="000000" w:themeColor="text1"/>
                <w:szCs w:val="24"/>
              </w:rPr>
              <w:t>Adult:</w:t>
            </w:r>
            <w:r w:rsidRPr="00727DFA">
              <w:rPr>
                <w:rFonts w:eastAsia="Times New Roman"/>
                <w:color w:val="000000" w:themeColor="text1"/>
                <w:szCs w:val="24"/>
              </w:rPr>
              <w:t xml:space="preserve"> 200 m</w:t>
            </w:r>
            <w:r>
              <w:rPr>
                <w:rFonts w:eastAsia="Times New Roman"/>
                <w:color w:val="000000" w:themeColor="text1"/>
                <w:szCs w:val="24"/>
              </w:rPr>
              <w:t>cg</w:t>
            </w:r>
            <w:r w:rsidRPr="00727DFA">
              <w:rPr>
                <w:rFonts w:eastAsia="Times New Roman"/>
                <w:color w:val="000000" w:themeColor="text1"/>
                <w:szCs w:val="24"/>
              </w:rPr>
              <w:t xml:space="preserve">/kg daily </w:t>
            </w:r>
            <w:r>
              <w:rPr>
                <w:rFonts w:eastAsia="Times New Roman"/>
                <w:color w:val="000000" w:themeColor="text1"/>
                <w:szCs w:val="24"/>
              </w:rPr>
              <w:t>till symptoms are resolved or stool/sputum results are negative for &gt;=2weeks</w:t>
            </w:r>
          </w:p>
          <w:p w14:paraId="79B93452" w14:textId="77777777" w:rsidR="007B485D" w:rsidRPr="00727DFA" w:rsidRDefault="007B485D" w:rsidP="002D6DD7">
            <w:pPr>
              <w:jc w:val="both"/>
              <w:rPr>
                <w:rFonts w:eastAsia="DengXian"/>
                <w:szCs w:val="24"/>
              </w:rPr>
            </w:pPr>
            <w:r w:rsidRPr="00727DFA">
              <w:rPr>
                <w:rFonts w:eastAsia="DengXian"/>
                <w:b/>
                <w:i/>
                <w:color w:val="000000" w:themeColor="text1"/>
                <w:spacing w:val="-2"/>
                <w:szCs w:val="24"/>
              </w:rPr>
              <w:t>Note</w:t>
            </w:r>
            <w:r w:rsidRPr="00727DFA">
              <w:rPr>
                <w:rFonts w:eastAsia="DengXian"/>
                <w:i/>
                <w:color w:val="000000" w:themeColor="text1"/>
                <w:spacing w:val="-2"/>
                <w:szCs w:val="24"/>
              </w:rPr>
              <w:t>:</w:t>
            </w:r>
            <w:r w:rsidRPr="00727DFA">
              <w:rPr>
                <w:rFonts w:eastAsia="DengXian"/>
                <w:i/>
                <w:color w:val="000000" w:themeColor="text1"/>
                <w:spacing w:val="-18"/>
                <w:szCs w:val="24"/>
              </w:rPr>
              <w:t xml:space="preserve"> </w:t>
            </w:r>
            <w:r w:rsidRPr="00727DFA">
              <w:rPr>
                <w:rFonts w:eastAsia="DengXian"/>
                <w:i/>
                <w:color w:val="000000" w:themeColor="text1"/>
                <w:spacing w:val="-2"/>
                <w:szCs w:val="24"/>
              </w:rPr>
              <w:t>avoid</w:t>
            </w:r>
            <w:r w:rsidRPr="00727DFA">
              <w:rPr>
                <w:rFonts w:eastAsia="DengXian"/>
                <w:i/>
                <w:color w:val="000000" w:themeColor="text1"/>
                <w:spacing w:val="-18"/>
                <w:szCs w:val="24"/>
              </w:rPr>
              <w:t xml:space="preserve"> </w:t>
            </w:r>
            <w:r w:rsidRPr="00727DFA">
              <w:rPr>
                <w:rFonts w:eastAsia="DengXian"/>
                <w:i/>
                <w:color w:val="000000" w:themeColor="text1"/>
                <w:spacing w:val="-2"/>
                <w:szCs w:val="24"/>
              </w:rPr>
              <w:t>food</w:t>
            </w:r>
            <w:r w:rsidRPr="00727DFA">
              <w:rPr>
                <w:rFonts w:eastAsia="DengXian"/>
                <w:i/>
                <w:color w:val="000000" w:themeColor="text1"/>
                <w:spacing w:val="-17"/>
                <w:szCs w:val="24"/>
              </w:rPr>
              <w:t xml:space="preserve"> </w:t>
            </w:r>
            <w:r w:rsidRPr="00727DFA">
              <w:rPr>
                <w:rFonts w:eastAsia="DengXian"/>
                <w:i/>
                <w:color w:val="000000" w:themeColor="text1"/>
                <w:spacing w:val="-2"/>
                <w:szCs w:val="24"/>
              </w:rPr>
              <w:t>or</w:t>
            </w:r>
            <w:r w:rsidRPr="00727DFA">
              <w:rPr>
                <w:rFonts w:eastAsia="DengXian"/>
                <w:i/>
                <w:color w:val="000000" w:themeColor="text1"/>
                <w:spacing w:val="-17"/>
                <w:szCs w:val="24"/>
              </w:rPr>
              <w:t xml:space="preserve"> </w:t>
            </w:r>
            <w:r w:rsidRPr="00727DFA">
              <w:rPr>
                <w:rFonts w:eastAsia="DengXian"/>
                <w:i/>
                <w:color w:val="000000" w:themeColor="text1"/>
                <w:spacing w:val="-2"/>
                <w:szCs w:val="24"/>
              </w:rPr>
              <w:t>alcohol</w:t>
            </w:r>
            <w:r w:rsidRPr="00727DFA">
              <w:rPr>
                <w:rFonts w:eastAsia="DengXian"/>
                <w:i/>
                <w:color w:val="000000" w:themeColor="text1"/>
                <w:spacing w:val="-17"/>
                <w:szCs w:val="24"/>
              </w:rPr>
              <w:t xml:space="preserve"> </w:t>
            </w:r>
            <w:r w:rsidRPr="00727DFA">
              <w:rPr>
                <w:rFonts w:eastAsia="DengXian"/>
                <w:i/>
                <w:color w:val="000000" w:themeColor="text1"/>
                <w:spacing w:val="-2"/>
                <w:szCs w:val="24"/>
              </w:rPr>
              <w:t>for</w:t>
            </w:r>
            <w:r w:rsidRPr="00727DFA">
              <w:rPr>
                <w:rFonts w:eastAsia="DengXian"/>
                <w:i/>
                <w:color w:val="000000" w:themeColor="text1"/>
                <w:spacing w:val="-18"/>
                <w:szCs w:val="24"/>
              </w:rPr>
              <w:t xml:space="preserve"> </w:t>
            </w:r>
            <w:r w:rsidRPr="00727DFA">
              <w:rPr>
                <w:rFonts w:eastAsia="DengXian"/>
                <w:i/>
                <w:color w:val="000000" w:themeColor="text1"/>
                <w:spacing w:val="-2"/>
                <w:szCs w:val="24"/>
              </w:rPr>
              <w:t>at</w:t>
            </w:r>
            <w:r w:rsidRPr="00727DFA">
              <w:rPr>
                <w:rFonts w:eastAsia="DengXian"/>
                <w:i/>
                <w:color w:val="000000" w:themeColor="text1"/>
                <w:spacing w:val="-18"/>
                <w:szCs w:val="24"/>
              </w:rPr>
              <w:t xml:space="preserve"> </w:t>
            </w:r>
            <w:r w:rsidRPr="00727DFA">
              <w:rPr>
                <w:rFonts w:eastAsia="DengXian"/>
                <w:i/>
                <w:color w:val="000000" w:themeColor="text1"/>
                <w:spacing w:val="-2"/>
                <w:szCs w:val="24"/>
              </w:rPr>
              <w:t>least</w:t>
            </w:r>
            <w:r w:rsidRPr="00727DFA">
              <w:rPr>
                <w:rFonts w:eastAsia="DengXian"/>
                <w:i/>
                <w:color w:val="000000" w:themeColor="text1"/>
                <w:spacing w:val="-17"/>
                <w:szCs w:val="24"/>
              </w:rPr>
              <w:t xml:space="preserve"> </w:t>
            </w:r>
            <w:r w:rsidRPr="00727DFA">
              <w:rPr>
                <w:rFonts w:eastAsia="DengXian"/>
                <w:i/>
                <w:color w:val="000000" w:themeColor="text1"/>
                <w:spacing w:val="-2"/>
                <w:szCs w:val="24"/>
              </w:rPr>
              <w:t>2</w:t>
            </w:r>
            <w:r w:rsidRPr="00727DFA">
              <w:rPr>
                <w:rFonts w:eastAsia="DengXian"/>
                <w:i/>
                <w:color w:val="000000" w:themeColor="text1"/>
                <w:spacing w:val="-17"/>
                <w:szCs w:val="24"/>
              </w:rPr>
              <w:t xml:space="preserve"> </w:t>
            </w:r>
            <w:r w:rsidRPr="00727DFA">
              <w:rPr>
                <w:rFonts w:eastAsia="DengXian"/>
                <w:i/>
                <w:color w:val="000000" w:themeColor="text1"/>
                <w:spacing w:val="-2"/>
                <w:szCs w:val="24"/>
              </w:rPr>
              <w:t>hours</w:t>
            </w:r>
            <w:r w:rsidRPr="00727DFA">
              <w:rPr>
                <w:rFonts w:eastAsia="DengXian"/>
                <w:i/>
                <w:color w:val="000000" w:themeColor="text1"/>
                <w:spacing w:val="-17"/>
                <w:szCs w:val="24"/>
              </w:rPr>
              <w:t xml:space="preserve"> </w:t>
            </w:r>
            <w:r w:rsidRPr="00727DFA">
              <w:rPr>
                <w:rFonts w:eastAsia="DengXian"/>
                <w:i/>
                <w:color w:val="000000" w:themeColor="text1"/>
                <w:spacing w:val="-2"/>
                <w:szCs w:val="24"/>
              </w:rPr>
              <w:t>before</w:t>
            </w:r>
            <w:r w:rsidRPr="00727DFA">
              <w:rPr>
                <w:rFonts w:eastAsia="DengXian"/>
                <w:i/>
                <w:color w:val="000000" w:themeColor="text1"/>
                <w:spacing w:val="-17"/>
                <w:szCs w:val="24"/>
              </w:rPr>
              <w:t xml:space="preserve"> </w:t>
            </w:r>
            <w:r w:rsidRPr="00727DFA">
              <w:rPr>
                <w:rFonts w:eastAsia="DengXian"/>
                <w:i/>
                <w:color w:val="000000" w:themeColor="text1"/>
                <w:spacing w:val="-2"/>
                <w:szCs w:val="24"/>
              </w:rPr>
              <w:t>and</w:t>
            </w:r>
            <w:r w:rsidRPr="00727DFA">
              <w:rPr>
                <w:rFonts w:eastAsia="DengXian"/>
                <w:i/>
                <w:color w:val="000000" w:themeColor="text1"/>
                <w:spacing w:val="-18"/>
                <w:szCs w:val="24"/>
              </w:rPr>
              <w:t xml:space="preserve"> </w:t>
            </w:r>
            <w:r w:rsidRPr="00727DFA">
              <w:rPr>
                <w:rFonts w:eastAsia="DengXian"/>
                <w:i/>
                <w:color w:val="000000" w:themeColor="text1"/>
                <w:spacing w:val="-2"/>
                <w:szCs w:val="24"/>
              </w:rPr>
              <w:t>after</w:t>
            </w:r>
            <w:r w:rsidRPr="00727DFA">
              <w:rPr>
                <w:rFonts w:eastAsia="DengXian"/>
                <w:i/>
                <w:color w:val="000000" w:themeColor="text1"/>
                <w:spacing w:val="-16"/>
                <w:szCs w:val="24"/>
              </w:rPr>
              <w:t xml:space="preserve"> </w:t>
            </w:r>
            <w:r w:rsidRPr="00727DFA">
              <w:rPr>
                <w:rFonts w:eastAsia="DengXian"/>
                <w:i/>
                <w:color w:val="000000" w:themeColor="text1"/>
                <w:spacing w:val="-2"/>
                <w:szCs w:val="24"/>
              </w:rPr>
              <w:t>a dose</w:t>
            </w:r>
          </w:p>
        </w:tc>
      </w:tr>
      <w:tr w:rsidR="007B485D" w:rsidRPr="00727DFA" w14:paraId="64ABAC14"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4EF1F06A"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lastRenderedPageBreak/>
              <w:t>Contraindications</w:t>
            </w:r>
          </w:p>
        </w:tc>
        <w:tc>
          <w:tcPr>
            <w:tcW w:w="6835" w:type="dxa"/>
            <w:tcBorders>
              <w:top w:val="single" w:sz="4" w:space="0" w:color="auto"/>
              <w:left w:val="single" w:sz="4" w:space="0" w:color="auto"/>
              <w:bottom w:val="single" w:sz="4" w:space="0" w:color="auto"/>
              <w:right w:val="single" w:sz="4" w:space="0" w:color="auto"/>
            </w:tcBorders>
            <w:hideMark/>
          </w:tcPr>
          <w:p w14:paraId="32A0FA36" w14:textId="77777777" w:rsidR="007B485D" w:rsidRPr="00727DFA" w:rsidRDefault="007B485D" w:rsidP="002D6DD7">
            <w:pPr>
              <w:widowControl w:val="0"/>
              <w:autoSpaceDE w:val="0"/>
              <w:autoSpaceDN w:val="0"/>
              <w:jc w:val="both"/>
              <w:rPr>
                <w:rFonts w:eastAsia="Candara-Italic"/>
                <w:b/>
                <w:iCs/>
                <w:szCs w:val="24"/>
              </w:rPr>
            </w:pPr>
            <w:r>
              <w:rPr>
                <w:rFonts w:eastAsia="Times New Roman"/>
                <w:szCs w:val="24"/>
              </w:rPr>
              <w:t>Refer to</w:t>
            </w:r>
            <w:r w:rsidRPr="00727DFA">
              <w:rPr>
                <w:rFonts w:eastAsia="Times New Roman"/>
                <w:szCs w:val="24"/>
              </w:rPr>
              <w:t xml:space="preserve"> ivermectin (filaricides)</w:t>
            </w:r>
            <w:r>
              <w:rPr>
                <w:rFonts w:eastAsia="Times New Roman"/>
                <w:szCs w:val="24"/>
              </w:rPr>
              <w:t>.</w:t>
            </w:r>
          </w:p>
        </w:tc>
      </w:tr>
      <w:tr w:rsidR="007B485D" w:rsidRPr="00727DFA" w14:paraId="0EA8B5A0"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28F55987"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Drug</w:t>
            </w:r>
            <w:r w:rsidRPr="00727DFA">
              <w:rPr>
                <w:rFonts w:eastAsia="Times New Roman"/>
                <w:spacing w:val="-2"/>
                <w:szCs w:val="24"/>
              </w:rPr>
              <w:t xml:space="preserve"> interactions</w:t>
            </w:r>
          </w:p>
        </w:tc>
        <w:tc>
          <w:tcPr>
            <w:tcW w:w="6835" w:type="dxa"/>
            <w:tcBorders>
              <w:top w:val="single" w:sz="4" w:space="0" w:color="auto"/>
              <w:left w:val="single" w:sz="4" w:space="0" w:color="auto"/>
              <w:bottom w:val="single" w:sz="4" w:space="0" w:color="auto"/>
              <w:right w:val="single" w:sz="4" w:space="0" w:color="auto"/>
            </w:tcBorders>
            <w:hideMark/>
          </w:tcPr>
          <w:p w14:paraId="677856D9"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ivermectin (filaricides)</w:t>
            </w:r>
            <w:r>
              <w:rPr>
                <w:rFonts w:eastAsia="Times New Roman"/>
                <w:szCs w:val="24"/>
              </w:rPr>
              <w:t>.</w:t>
            </w:r>
          </w:p>
        </w:tc>
      </w:tr>
      <w:tr w:rsidR="007B485D" w:rsidRPr="00727DFA" w14:paraId="55E6FEA1"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794C7916"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Side</w:t>
            </w:r>
            <w:r w:rsidRPr="00727DFA">
              <w:rPr>
                <w:rFonts w:eastAsia="Times New Roman"/>
                <w:spacing w:val="-4"/>
                <w:szCs w:val="24"/>
              </w:rPr>
              <w:t xml:space="preserve"> </w:t>
            </w:r>
            <w:r w:rsidRPr="00727DFA">
              <w:rPr>
                <w:rFonts w:eastAsia="Times New Roman"/>
                <w:spacing w:val="-2"/>
                <w:szCs w:val="24"/>
              </w:rPr>
              <w:t>effects</w:t>
            </w:r>
          </w:p>
        </w:tc>
        <w:tc>
          <w:tcPr>
            <w:tcW w:w="6835" w:type="dxa"/>
            <w:tcBorders>
              <w:top w:val="single" w:sz="4" w:space="0" w:color="auto"/>
              <w:left w:val="single" w:sz="4" w:space="0" w:color="auto"/>
              <w:bottom w:val="single" w:sz="4" w:space="0" w:color="auto"/>
              <w:right w:val="single" w:sz="4" w:space="0" w:color="auto"/>
            </w:tcBorders>
            <w:hideMark/>
          </w:tcPr>
          <w:p w14:paraId="05CE4984"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ivermectin (filaricides)</w:t>
            </w:r>
            <w:r>
              <w:rPr>
                <w:rFonts w:eastAsia="Times New Roman"/>
                <w:szCs w:val="24"/>
              </w:rPr>
              <w:t>.</w:t>
            </w:r>
          </w:p>
        </w:tc>
      </w:tr>
      <w:tr w:rsidR="007B485D" w:rsidRPr="00727DFA" w14:paraId="2F88A8E2"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19C350BD"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pacing w:val="-2"/>
                <w:szCs w:val="24"/>
              </w:rPr>
              <w:t>Cautions</w:t>
            </w:r>
          </w:p>
        </w:tc>
        <w:tc>
          <w:tcPr>
            <w:tcW w:w="6835" w:type="dxa"/>
            <w:tcBorders>
              <w:top w:val="single" w:sz="4" w:space="0" w:color="auto"/>
              <w:left w:val="single" w:sz="4" w:space="0" w:color="auto"/>
              <w:bottom w:val="single" w:sz="4" w:space="0" w:color="auto"/>
              <w:right w:val="single" w:sz="4" w:space="0" w:color="auto"/>
            </w:tcBorders>
            <w:hideMark/>
          </w:tcPr>
          <w:p w14:paraId="74FD2BDD" w14:textId="77777777" w:rsidR="007B485D" w:rsidRPr="00727DFA" w:rsidRDefault="007B485D" w:rsidP="002D6DD7">
            <w:pPr>
              <w:widowControl w:val="0"/>
              <w:autoSpaceDE w:val="0"/>
              <w:autoSpaceDN w:val="0"/>
              <w:jc w:val="both"/>
              <w:rPr>
                <w:rFonts w:eastAsia="Times New Roman"/>
                <w:szCs w:val="24"/>
              </w:rPr>
            </w:pPr>
            <w:r>
              <w:rPr>
                <w:rFonts w:eastAsia="Times New Roman"/>
                <w:szCs w:val="24"/>
              </w:rPr>
              <w:t>Refer to</w:t>
            </w:r>
            <w:r w:rsidRPr="00727DFA">
              <w:rPr>
                <w:rFonts w:eastAsia="Times New Roman"/>
                <w:szCs w:val="24"/>
              </w:rPr>
              <w:t xml:space="preserve"> ivermectin (filaricides)</w:t>
            </w:r>
            <w:r>
              <w:rPr>
                <w:rFonts w:eastAsia="Times New Roman"/>
                <w:szCs w:val="24"/>
              </w:rPr>
              <w:t>.</w:t>
            </w:r>
          </w:p>
        </w:tc>
      </w:tr>
      <w:tr w:rsidR="007B485D" w:rsidRPr="00727DFA" w14:paraId="16EF6F49" w14:textId="77777777" w:rsidTr="002D6DD7">
        <w:tc>
          <w:tcPr>
            <w:tcW w:w="2628" w:type="dxa"/>
            <w:tcBorders>
              <w:top w:val="single" w:sz="4" w:space="0" w:color="auto"/>
              <w:left w:val="single" w:sz="4" w:space="0" w:color="auto"/>
              <w:bottom w:val="single" w:sz="4" w:space="0" w:color="auto"/>
              <w:right w:val="single" w:sz="4" w:space="0" w:color="auto"/>
            </w:tcBorders>
            <w:hideMark/>
          </w:tcPr>
          <w:p w14:paraId="28C3B9A6" w14:textId="77777777" w:rsidR="007B485D" w:rsidRPr="00727DFA" w:rsidRDefault="007B485D" w:rsidP="002D6DD7">
            <w:pPr>
              <w:widowControl w:val="0"/>
              <w:autoSpaceDE w:val="0"/>
              <w:autoSpaceDN w:val="0"/>
              <w:jc w:val="both"/>
              <w:rPr>
                <w:rFonts w:eastAsia="Times New Roman"/>
                <w:spacing w:val="-2"/>
                <w:szCs w:val="24"/>
              </w:rPr>
            </w:pPr>
            <w:r w:rsidRPr="00727DFA">
              <w:rPr>
                <w:rFonts w:eastAsia="Times New Roman"/>
                <w:szCs w:val="24"/>
              </w:rPr>
              <w:t>Storage</w:t>
            </w:r>
            <w:r w:rsidRPr="00727DFA">
              <w:rPr>
                <w:rFonts w:eastAsia="Times New Roman"/>
                <w:spacing w:val="-7"/>
                <w:szCs w:val="24"/>
              </w:rPr>
              <w:t xml:space="preserve"> </w:t>
            </w:r>
            <w:r w:rsidRPr="00727DFA">
              <w:rPr>
                <w:rFonts w:eastAsia="Times New Roman"/>
                <w:spacing w:val="-2"/>
                <w:szCs w:val="24"/>
              </w:rPr>
              <w:t>condition</w:t>
            </w:r>
          </w:p>
        </w:tc>
        <w:tc>
          <w:tcPr>
            <w:tcW w:w="6835" w:type="dxa"/>
            <w:tcBorders>
              <w:top w:val="single" w:sz="4" w:space="0" w:color="auto"/>
              <w:left w:val="single" w:sz="4" w:space="0" w:color="auto"/>
              <w:bottom w:val="single" w:sz="4" w:space="0" w:color="auto"/>
              <w:right w:val="single" w:sz="4" w:space="0" w:color="auto"/>
            </w:tcBorders>
            <w:hideMark/>
          </w:tcPr>
          <w:p w14:paraId="77B5DD15" w14:textId="77777777" w:rsidR="007B485D" w:rsidRPr="00727DFA" w:rsidRDefault="007B485D" w:rsidP="002D6DD7">
            <w:pPr>
              <w:widowControl w:val="0"/>
              <w:autoSpaceDE w:val="0"/>
              <w:autoSpaceDN w:val="0"/>
              <w:jc w:val="both"/>
              <w:rPr>
                <w:rFonts w:eastAsia="Times New Roman"/>
                <w:szCs w:val="24"/>
              </w:rPr>
            </w:pPr>
            <w:r w:rsidRPr="00727DFA">
              <w:rPr>
                <w:rFonts w:eastAsia="Times New Roman"/>
                <w:szCs w:val="24"/>
              </w:rPr>
              <w:t>Store below 30</w:t>
            </w:r>
            <w:r w:rsidRPr="00727DFA">
              <w:rPr>
                <w:rFonts w:eastAsia="Times New Roman"/>
                <w:szCs w:val="24"/>
                <w:vertAlign w:val="superscript"/>
              </w:rPr>
              <w:t>o</w:t>
            </w:r>
            <w:r w:rsidRPr="00727DFA">
              <w:rPr>
                <w:rFonts w:eastAsia="Times New Roman"/>
                <w:szCs w:val="24"/>
              </w:rPr>
              <w:t>C</w:t>
            </w:r>
            <w:r>
              <w:rPr>
                <w:rFonts w:eastAsia="Times New Roman"/>
                <w:szCs w:val="24"/>
              </w:rPr>
              <w:t>.</w:t>
            </w:r>
          </w:p>
        </w:tc>
      </w:tr>
    </w:tbl>
    <w:p w14:paraId="7A8CF259" w14:textId="77777777" w:rsidR="007B485D" w:rsidRDefault="007B485D" w:rsidP="007B485D">
      <w:pPr>
        <w:jc w:val="both"/>
      </w:pPr>
    </w:p>
    <w:p w14:paraId="0C3A2E55" w14:textId="77777777" w:rsidR="00ED22AD" w:rsidRDefault="00ED22AD">
      <w:pPr>
        <w:spacing w:line="259" w:lineRule="auto"/>
        <w:rPr>
          <w:rFonts w:eastAsiaTheme="majorEastAsia" w:cstheme="majorBidi"/>
          <w:b/>
          <w:bCs/>
          <w:kern w:val="0"/>
          <w:sz w:val="28"/>
          <w:szCs w:val="28"/>
          <w:lang w:val="en-US" w:eastAsia="en-US"/>
        </w:rPr>
      </w:pPr>
      <w:r>
        <w:br w:type="page"/>
      </w:r>
    </w:p>
    <w:p w14:paraId="2F1018DE" w14:textId="77777777" w:rsidR="00C345C8" w:rsidRPr="0060025F" w:rsidRDefault="00C345C8" w:rsidP="0060025F">
      <w:pPr>
        <w:pStyle w:val="Heading1"/>
        <w:numPr>
          <w:ilvl w:val="0"/>
          <w:numId w:val="25"/>
        </w:numPr>
        <w:spacing w:after="240"/>
      </w:pPr>
      <w:bookmarkStart w:id="66" w:name="_Toc179490334"/>
      <w:r w:rsidRPr="0060025F">
        <w:lastRenderedPageBreak/>
        <w:t xml:space="preserve">Medicines </w:t>
      </w:r>
      <w:r w:rsidR="0060025F" w:rsidRPr="0060025F">
        <w:t>U</w:t>
      </w:r>
      <w:r w:rsidRPr="0060025F">
        <w:t xml:space="preserve">sed for </w:t>
      </w:r>
      <w:r w:rsidR="0060025F" w:rsidRPr="0060025F">
        <w:t>P</w:t>
      </w:r>
      <w:r w:rsidRPr="0060025F">
        <w:t xml:space="preserve">ain and </w:t>
      </w:r>
      <w:r w:rsidR="0060025F" w:rsidRPr="0060025F">
        <w:t>P</w:t>
      </w:r>
      <w:r w:rsidRPr="0060025F">
        <w:t xml:space="preserve">alliative </w:t>
      </w:r>
      <w:r w:rsidR="0060025F" w:rsidRPr="0060025F">
        <w:t>C</w:t>
      </w:r>
      <w:r w:rsidRPr="0060025F">
        <w:t>are</w:t>
      </w:r>
      <w:bookmarkEnd w:id="66"/>
    </w:p>
    <w:p w14:paraId="1796DA03" w14:textId="77777777" w:rsidR="00C345C8" w:rsidRPr="0024114A" w:rsidRDefault="00C345C8" w:rsidP="00C345C8">
      <w:pPr>
        <w:pStyle w:val="NormalWeb"/>
        <w:spacing w:before="0" w:beforeAutospacing="0" w:after="0" w:afterAutospacing="0" w:line="360" w:lineRule="auto"/>
        <w:jc w:val="both"/>
      </w:pPr>
      <w:r w:rsidRPr="0024114A">
        <w:t>Palliative care focuses on improving the quality of life for patients and their families facing serious illness by preventing and relieving suffering. It addresses pain and other physical, emotional, psychosocial, and spiritual problems. Effective pain management in palliative care involves selecting the right medication, dose, route, and timing. Analgesics are a group of drugs that can be divided into three main categories: non-opioids (e.g., paracetamol, NSAIDs), opioids (e.g., codeine for moderate pain, morphine for severe pain), and adjuvants (e.g., antidepressants, anticonvulsants). Non-opioids are typically sufficient for mild pain, while opioids may be added when pain is moderate or severe. If standard opioids like morphine are ineffective, palliative care specialists may consider alternatives such as fentanyl or methadone. Pain like neuropathic pain, often challenging to treat, may respond to tricyclic antidepressants like amitriptyline or anticonvulsants like carbamazepine. Opioids may help when other treatments fail, though they are less effective for this type of pain. Corticosteroids are sometimes used, especially for pain related to nerve compression. Early and regular administration of analgesics is crucial for effective pain relief.</w:t>
      </w:r>
    </w:p>
    <w:p w14:paraId="11366502" w14:textId="77777777" w:rsidR="00C345C8" w:rsidRPr="000F03E2" w:rsidRDefault="00C345C8" w:rsidP="000F03E2">
      <w:pPr>
        <w:pStyle w:val="Heading2"/>
        <w:spacing w:before="240" w:after="240"/>
      </w:pPr>
      <w:bookmarkStart w:id="67" w:name="_Toc179490335"/>
      <w:r w:rsidRPr="000F03E2">
        <w:t>Non-opioid and Non-Steroidal Anti-Inflammatory Drugs (NSAIDs)</w:t>
      </w:r>
      <w:bookmarkEnd w:id="67"/>
    </w:p>
    <w:p w14:paraId="6ECDAEE1" w14:textId="77777777" w:rsidR="00C345C8" w:rsidRPr="0024114A" w:rsidRDefault="00C345C8" w:rsidP="00C345C8">
      <w:pPr>
        <w:spacing w:after="0"/>
        <w:jc w:val="both"/>
        <w:rPr>
          <w:rFonts w:cs="Times New Roman"/>
          <w:szCs w:val="24"/>
        </w:rPr>
      </w:pPr>
      <w:r w:rsidRPr="0024114A">
        <w:rPr>
          <w:rFonts w:cs="Times New Roman"/>
          <w:szCs w:val="24"/>
        </w:rPr>
        <w:t>Paracetamol, aspirin, and other NSAIDs are the first choice for treating mild or moderate pain and are used in moderate or severe pain to potentiate the effects of opioids. They are suitable for use in acute or chronic pain. NSAIDs should be usedwith caution in patients with renal disease, peptic ulcer disease, and cardiovascular conditions.</w:t>
      </w:r>
    </w:p>
    <w:tbl>
      <w:tblPr>
        <w:tblStyle w:val="TableGrid"/>
        <w:tblW w:w="0" w:type="auto"/>
        <w:jc w:val="center"/>
        <w:tblLook w:val="04A0" w:firstRow="1" w:lastRow="0" w:firstColumn="1" w:lastColumn="0" w:noHBand="0" w:noVBand="1"/>
      </w:tblPr>
      <w:tblGrid>
        <w:gridCol w:w="2695"/>
        <w:gridCol w:w="6552"/>
      </w:tblGrid>
      <w:tr w:rsidR="00C345C8" w:rsidRPr="0024114A" w14:paraId="106D402B" w14:textId="77777777" w:rsidTr="002D6DD7">
        <w:trPr>
          <w:jc w:val="center"/>
        </w:trPr>
        <w:tc>
          <w:tcPr>
            <w:tcW w:w="9247" w:type="dxa"/>
            <w:gridSpan w:val="2"/>
          </w:tcPr>
          <w:p w14:paraId="63BACD92" w14:textId="77777777" w:rsidR="00C345C8" w:rsidRPr="0024114A" w:rsidRDefault="00C345C8" w:rsidP="002D6DD7">
            <w:pPr>
              <w:jc w:val="both"/>
              <w:rPr>
                <w:rFonts w:cs="Times New Roman"/>
                <w:szCs w:val="24"/>
                <w:lang w:val="en-US"/>
              </w:rPr>
            </w:pPr>
            <w:r w:rsidRPr="0024114A">
              <w:rPr>
                <w:rFonts w:cs="Times New Roman"/>
                <w:b/>
                <w:bCs/>
                <w:color w:val="000000"/>
                <w:szCs w:val="24"/>
                <w:lang w:val="en-US"/>
              </w:rPr>
              <w:t>Acetylsalicylic acid (Aspirin)</w:t>
            </w:r>
          </w:p>
        </w:tc>
      </w:tr>
      <w:tr w:rsidR="00C345C8" w:rsidRPr="0024114A" w14:paraId="642D683F" w14:textId="77777777" w:rsidTr="002D6DD7">
        <w:trPr>
          <w:jc w:val="center"/>
        </w:trPr>
        <w:tc>
          <w:tcPr>
            <w:tcW w:w="2695" w:type="dxa"/>
          </w:tcPr>
          <w:p w14:paraId="4A437B3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52" w:type="dxa"/>
          </w:tcPr>
          <w:p w14:paraId="19DA3B9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Non-steroidal anti-inflammatory drug (NSAID) </w:t>
            </w:r>
          </w:p>
        </w:tc>
      </w:tr>
      <w:tr w:rsidR="00C345C8" w:rsidRPr="0024114A" w14:paraId="7572A540" w14:textId="77777777" w:rsidTr="002D6DD7">
        <w:trPr>
          <w:trHeight w:val="827"/>
          <w:jc w:val="center"/>
        </w:trPr>
        <w:tc>
          <w:tcPr>
            <w:tcW w:w="2695" w:type="dxa"/>
          </w:tcPr>
          <w:p w14:paraId="3D0528E8"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52" w:type="dxa"/>
          </w:tcPr>
          <w:p w14:paraId="09FF14F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Tablet: 300mg  </w:t>
            </w:r>
          </w:p>
          <w:p w14:paraId="19D4028D" w14:textId="77777777" w:rsidR="00C345C8" w:rsidRPr="0024114A" w:rsidRDefault="00C345C8" w:rsidP="002D6DD7">
            <w:pPr>
              <w:jc w:val="both"/>
              <w:rPr>
                <w:rFonts w:cs="Times New Roman"/>
                <w:szCs w:val="24"/>
                <w:lang w:val="en-US"/>
              </w:rPr>
            </w:pPr>
            <w:r w:rsidRPr="0024114A">
              <w:rPr>
                <w:rFonts w:cs="Times New Roman"/>
                <w:szCs w:val="24"/>
                <w:lang w:val="en-US"/>
              </w:rPr>
              <w:t>Suppository: 60mg, 120mg</w:t>
            </w:r>
          </w:p>
        </w:tc>
      </w:tr>
      <w:tr w:rsidR="00C345C8" w:rsidRPr="0024114A" w14:paraId="032C0A01" w14:textId="77777777" w:rsidTr="002D6DD7">
        <w:trPr>
          <w:trHeight w:val="1273"/>
          <w:jc w:val="center"/>
        </w:trPr>
        <w:tc>
          <w:tcPr>
            <w:tcW w:w="2695" w:type="dxa"/>
          </w:tcPr>
          <w:p w14:paraId="4A3A73C6"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52" w:type="dxa"/>
          </w:tcPr>
          <w:p w14:paraId="3F783F9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Mild to moderate pain, fever, </w:t>
            </w:r>
            <w:r w:rsidRPr="0024114A">
              <w:rPr>
                <w:rFonts w:cs="Times New Roman"/>
                <w:szCs w:val="24"/>
              </w:rPr>
              <w:t>inflammatory arthritis</w:t>
            </w:r>
            <w:r w:rsidRPr="0024114A">
              <w:rPr>
                <w:rFonts w:cs="Times New Roman"/>
                <w:szCs w:val="24"/>
                <w:lang w:val="en-US"/>
              </w:rPr>
              <w:t>, and other musculoskeletal disorders including juvenile arthritis, pyrexia, acute migraine attack, kawasaki disease</w:t>
            </w:r>
          </w:p>
        </w:tc>
      </w:tr>
      <w:tr w:rsidR="00C345C8" w:rsidRPr="0024114A" w14:paraId="1A304CA0" w14:textId="77777777" w:rsidTr="002D6DD7">
        <w:trPr>
          <w:jc w:val="center"/>
        </w:trPr>
        <w:tc>
          <w:tcPr>
            <w:tcW w:w="2695" w:type="dxa"/>
          </w:tcPr>
          <w:p w14:paraId="4B8877CB"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52" w:type="dxa"/>
          </w:tcPr>
          <w:p w14:paraId="4D687FC3"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Mild to moderate pain, pyrexia</w:t>
            </w:r>
            <w:r w:rsidRPr="0024114A">
              <w:rPr>
                <w:szCs w:val="24"/>
              </w:rPr>
              <w:t xml:space="preserve">, </w:t>
            </w:r>
            <w:r w:rsidRPr="0024114A">
              <w:rPr>
                <w:b/>
                <w:szCs w:val="24"/>
              </w:rPr>
              <w:t>oral</w:t>
            </w:r>
            <w:r w:rsidRPr="0024114A">
              <w:rPr>
                <w:szCs w:val="24"/>
              </w:rPr>
              <w:t xml:space="preserve">: </w:t>
            </w:r>
          </w:p>
          <w:p w14:paraId="3CFA449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 xml:space="preserve">300–900 mg every 4–6 hours as required; maximum 4 g </w:t>
            </w:r>
            <w:r w:rsidRPr="0024114A">
              <w:rPr>
                <w:rFonts w:cs="Times New Roman"/>
                <w:szCs w:val="24"/>
              </w:rPr>
              <w:lastRenderedPageBreak/>
              <w:t>per day.</w:t>
            </w:r>
          </w:p>
          <w:p w14:paraId="68262C25"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Mild to moderate pain, pyrexia</w:t>
            </w:r>
            <w:r w:rsidRPr="0024114A">
              <w:rPr>
                <w:szCs w:val="24"/>
              </w:rPr>
              <w:t xml:space="preserve">, rectal: </w:t>
            </w:r>
          </w:p>
          <w:p w14:paraId="1B7878BC"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szCs w:val="24"/>
              </w:rPr>
              <w:t>Adult</w:t>
            </w:r>
            <w:r w:rsidRPr="0024114A">
              <w:rPr>
                <w:szCs w:val="24"/>
              </w:rPr>
              <w:t>: 450–900 mg every 4 hours; maximum 3.6 g per day.</w:t>
            </w:r>
          </w:p>
          <w:p w14:paraId="77BC9059"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Inflammatory arthritis</w:t>
            </w:r>
            <w:r w:rsidRPr="0024114A">
              <w:rPr>
                <w:b/>
                <w:szCs w:val="24"/>
              </w:rPr>
              <w:t>, oral:</w:t>
            </w:r>
          </w:p>
          <w:p w14:paraId="17FA8E2F"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rPr>
              <w:t xml:space="preserve"> 4 to 8 g daily in divided doses in acute conditions, up to 5.4 g daily may be sufficient in chronic conditions.</w:t>
            </w:r>
          </w:p>
          <w:p w14:paraId="022D71A0"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Acute migraine</w:t>
            </w:r>
            <w:r w:rsidRPr="0024114A">
              <w:rPr>
                <w:b/>
                <w:szCs w:val="24"/>
              </w:rPr>
              <w:t>, oral:</w:t>
            </w:r>
          </w:p>
          <w:p w14:paraId="246CC4B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900 mg for 1 dose, to be taken as soon asmigraine symptoms develop</w:t>
            </w:r>
          </w:p>
          <w:p w14:paraId="7BC38628" w14:textId="77777777" w:rsidR="00C345C8" w:rsidRPr="0024114A" w:rsidRDefault="00C345C8" w:rsidP="002D6DD7">
            <w:pPr>
              <w:pStyle w:val="ListParagraph"/>
              <w:spacing w:line="360" w:lineRule="auto"/>
              <w:ind w:left="0"/>
              <w:rPr>
                <w:szCs w:val="24"/>
              </w:rPr>
            </w:pPr>
            <w:r w:rsidRPr="0024114A">
              <w:rPr>
                <w:szCs w:val="24"/>
              </w:rPr>
              <w:t>PJ</w:t>
            </w:r>
            <w:r w:rsidRPr="0024114A">
              <w:rPr>
                <w:b/>
                <w:bCs/>
                <w:szCs w:val="24"/>
              </w:rPr>
              <w:t>uvenile arthritis, rheumatic fever</w:t>
            </w:r>
            <w:r w:rsidRPr="0024114A">
              <w:rPr>
                <w:szCs w:val="24"/>
              </w:rPr>
              <w:t xml:space="preserve">, </w:t>
            </w:r>
            <w:r w:rsidRPr="0024114A">
              <w:rPr>
                <w:b/>
                <w:szCs w:val="24"/>
              </w:rPr>
              <w:t>oral</w:t>
            </w:r>
            <w:r w:rsidRPr="0024114A">
              <w:rPr>
                <w:szCs w:val="24"/>
              </w:rPr>
              <w:t xml:space="preserve">: </w:t>
            </w:r>
          </w:p>
          <w:p w14:paraId="16FEB009" w14:textId="77777777" w:rsidR="00C345C8" w:rsidRPr="0024114A" w:rsidRDefault="00C345C8" w:rsidP="002D6DD7">
            <w:pPr>
              <w:pStyle w:val="ListParagraph"/>
              <w:spacing w:line="360" w:lineRule="auto"/>
              <w:ind w:left="0"/>
              <w:rPr>
                <w:szCs w:val="24"/>
              </w:rPr>
            </w:pPr>
            <w:r w:rsidRPr="0024114A">
              <w:rPr>
                <w:b/>
                <w:szCs w:val="24"/>
              </w:rPr>
              <w:t>Infant or child</w:t>
            </w:r>
            <w:r w:rsidRPr="0024114A">
              <w:rPr>
                <w:szCs w:val="24"/>
              </w:rPr>
              <w:t>: Up to 130 mg/kg daily in 5–6 divided doses in acute conditions; 80–100 mg/kg daily in divided doses for maintenance</w:t>
            </w:r>
          </w:p>
          <w:p w14:paraId="43B3F45A"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Kawasaki disease</w:t>
            </w:r>
            <w:r w:rsidRPr="0024114A">
              <w:rPr>
                <w:b/>
                <w:szCs w:val="24"/>
              </w:rPr>
              <w:t>, oral:</w:t>
            </w:r>
          </w:p>
          <w:p w14:paraId="69B20B8A"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szCs w:val="24"/>
              </w:rPr>
              <w:t>Neonate</w:t>
            </w:r>
            <w:r w:rsidRPr="0024114A">
              <w:rPr>
                <w:szCs w:val="24"/>
              </w:rPr>
              <w:t>: Initially 8 mg/kg four times daily until afebrile, followed by 5 mg/kg once daily for 6–8 weeks; if no evidence of coronary lesions after 8 weeks, discontinue treatment or seek expert advice.</w:t>
            </w:r>
          </w:p>
          <w:p w14:paraId="6E71AE15" w14:textId="77777777" w:rsidR="00C345C8" w:rsidRPr="0024114A" w:rsidRDefault="00C345C8" w:rsidP="002D6DD7">
            <w:pPr>
              <w:pStyle w:val="ListParagraph"/>
              <w:spacing w:line="360" w:lineRule="auto"/>
              <w:ind w:left="0" w:firstLine="0"/>
              <w:rPr>
                <w:szCs w:val="24"/>
              </w:rPr>
            </w:pPr>
            <w:r w:rsidRPr="0024114A">
              <w:rPr>
                <w:b/>
                <w:bCs/>
                <w:szCs w:val="24"/>
              </w:rPr>
              <w:t>Infant or child</w:t>
            </w:r>
            <w:r w:rsidRPr="0024114A">
              <w:rPr>
                <w:szCs w:val="24"/>
              </w:rPr>
              <w:t>: Initially 7.5–12.5 mg/kg four times daily until afebrile, followed by 2–5 mg/kg once daily for 6–8 weeks; if no evidence of coronary lesions after 8 weeks, discontinue treatment or seekexpert advice.</w:t>
            </w:r>
          </w:p>
        </w:tc>
      </w:tr>
      <w:tr w:rsidR="00C345C8" w:rsidRPr="0024114A" w14:paraId="2FE8D59A" w14:textId="77777777" w:rsidTr="002D6DD7">
        <w:trPr>
          <w:jc w:val="center"/>
        </w:trPr>
        <w:tc>
          <w:tcPr>
            <w:tcW w:w="2695" w:type="dxa"/>
          </w:tcPr>
          <w:p w14:paraId="49F8464E"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52" w:type="dxa"/>
          </w:tcPr>
          <w:p w14:paraId="54ADF04E"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tothe drug, active/previous peptic ulceration, bleeding disorders, children under 16 years (risk of Reye’s syndrome), haemophilia, severe cardiac failure (analgesic dose).</w:t>
            </w:r>
          </w:p>
        </w:tc>
      </w:tr>
      <w:tr w:rsidR="00C345C8" w:rsidRPr="0024114A" w14:paraId="5D5DB0B1" w14:textId="77777777" w:rsidTr="002D6DD7">
        <w:trPr>
          <w:jc w:val="center"/>
        </w:trPr>
        <w:tc>
          <w:tcPr>
            <w:tcW w:w="2695" w:type="dxa"/>
          </w:tcPr>
          <w:p w14:paraId="125732B0"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52" w:type="dxa"/>
          </w:tcPr>
          <w:p w14:paraId="36405731" w14:textId="77777777" w:rsidR="00C345C8" w:rsidRPr="0024114A" w:rsidRDefault="00C345C8" w:rsidP="002D6DD7">
            <w:pPr>
              <w:jc w:val="both"/>
              <w:rPr>
                <w:rFonts w:cs="Times New Roman"/>
                <w:szCs w:val="24"/>
                <w:lang w:val="en-US"/>
              </w:rPr>
            </w:pPr>
            <w:r w:rsidRPr="0024114A">
              <w:rPr>
                <w:rFonts w:cs="Times New Roman"/>
                <w:szCs w:val="24"/>
                <w:lang w:val="en-US"/>
              </w:rPr>
              <w:t>Acetazolamide and other antidiabetics, heparin, warfarin, antacids, bismuth subsalicylate, bisphosphonates, corticosteroids, daptomycin, methotrexate, NRTIs (zidovudine), thiazide diuretics, enalapril, fluoxetine, metoclopramide, phenytoin, spironolactone, valproic acid, ibuprofen, methotrexate,</w:t>
            </w:r>
            <w:r>
              <w:rPr>
                <w:rFonts w:cs="Times New Roman"/>
                <w:szCs w:val="24"/>
                <w:lang w:val="en-US"/>
              </w:rPr>
              <w:t xml:space="preserve"> </w:t>
            </w:r>
            <w:r w:rsidRPr="0024114A">
              <w:rPr>
                <w:rFonts w:cs="Times New Roman"/>
                <w:szCs w:val="24"/>
                <w:lang w:val="en-US"/>
              </w:rPr>
              <w:t xml:space="preserve">calcium channel blockers, mifepristol. </w:t>
            </w:r>
          </w:p>
        </w:tc>
      </w:tr>
      <w:tr w:rsidR="00C345C8" w:rsidRPr="0024114A" w14:paraId="7DDD7F2B" w14:textId="77777777" w:rsidTr="002D6DD7">
        <w:trPr>
          <w:jc w:val="center"/>
        </w:trPr>
        <w:tc>
          <w:tcPr>
            <w:tcW w:w="2695" w:type="dxa"/>
          </w:tcPr>
          <w:p w14:paraId="6E50517C"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52" w:type="dxa"/>
          </w:tcPr>
          <w:p w14:paraId="1A53046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Dyspepsia, haemorrhage, asthmatic attack, bronchospasm, fluid </w:t>
            </w:r>
            <w:r w:rsidRPr="0024114A">
              <w:rPr>
                <w:rFonts w:cs="Times New Roman"/>
                <w:szCs w:val="24"/>
                <w:lang w:val="en-US"/>
              </w:rPr>
              <w:lastRenderedPageBreak/>
              <w:t>retention</w:t>
            </w:r>
          </w:p>
        </w:tc>
      </w:tr>
      <w:tr w:rsidR="00C345C8" w:rsidRPr="0024114A" w14:paraId="2C3F0A64" w14:textId="77777777" w:rsidTr="002D6DD7">
        <w:trPr>
          <w:jc w:val="center"/>
        </w:trPr>
        <w:tc>
          <w:tcPr>
            <w:tcW w:w="2695" w:type="dxa"/>
          </w:tcPr>
          <w:p w14:paraId="35648FF4"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552" w:type="dxa"/>
          </w:tcPr>
          <w:p w14:paraId="6DF35CE1" w14:textId="77777777" w:rsidR="00C345C8" w:rsidRPr="0024114A" w:rsidRDefault="00C345C8" w:rsidP="002D6DD7">
            <w:pPr>
              <w:jc w:val="both"/>
              <w:rPr>
                <w:rFonts w:cs="Times New Roman"/>
                <w:szCs w:val="24"/>
                <w:lang w:val="en-US"/>
              </w:rPr>
            </w:pPr>
            <w:r w:rsidRPr="0024114A">
              <w:rPr>
                <w:rFonts w:cs="Times New Roman"/>
                <w:szCs w:val="24"/>
                <w:lang w:val="en-US"/>
              </w:rPr>
              <w:t>Allergic disease, anaemia, asthma, dehydration, elderly, G6PD deficiency, hypertension, thyrotoxicosis, renal and hepatic impairment, pregnancy, breastfeeding.</w:t>
            </w:r>
          </w:p>
        </w:tc>
      </w:tr>
      <w:tr w:rsidR="00C345C8" w:rsidRPr="0024114A" w14:paraId="6B0635F1" w14:textId="77777777" w:rsidTr="002D6DD7">
        <w:trPr>
          <w:trHeight w:val="393"/>
          <w:jc w:val="center"/>
        </w:trPr>
        <w:tc>
          <w:tcPr>
            <w:tcW w:w="2695" w:type="dxa"/>
          </w:tcPr>
          <w:p w14:paraId="097E727A"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52" w:type="dxa"/>
          </w:tcPr>
          <w:p w14:paraId="52FA651F"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C in a tight container.</w:t>
            </w:r>
          </w:p>
        </w:tc>
      </w:tr>
      <w:tr w:rsidR="00C345C8" w:rsidRPr="0024114A" w14:paraId="6E0DC6C2" w14:textId="77777777" w:rsidTr="002D6DD7">
        <w:trPr>
          <w:trHeight w:val="393"/>
          <w:jc w:val="center"/>
        </w:trPr>
        <w:tc>
          <w:tcPr>
            <w:tcW w:w="9247" w:type="dxa"/>
            <w:gridSpan w:val="2"/>
          </w:tcPr>
          <w:p w14:paraId="68505D07" w14:textId="77777777" w:rsidR="00C345C8" w:rsidRPr="0024114A" w:rsidRDefault="00C345C8" w:rsidP="002D6DD7">
            <w:pPr>
              <w:jc w:val="both"/>
              <w:rPr>
                <w:rFonts w:cs="Times New Roman"/>
                <w:szCs w:val="24"/>
                <w:lang w:val="en-US"/>
              </w:rPr>
            </w:pPr>
            <w:r w:rsidRPr="0024114A">
              <w:rPr>
                <w:rFonts w:cs="Times New Roman"/>
                <w:b/>
                <w:bCs/>
                <w:szCs w:val="24"/>
                <w:lang w:val="en-US"/>
              </w:rPr>
              <w:t>Diclofenac</w:t>
            </w:r>
            <w:r w:rsidR="0060025F">
              <w:rPr>
                <w:rFonts w:cs="Times New Roman"/>
                <w:b/>
                <w:bCs/>
                <w:szCs w:val="24"/>
                <w:lang w:val="en-US"/>
              </w:rPr>
              <w:t xml:space="preserve"> </w:t>
            </w:r>
            <w:r w:rsidRPr="0024114A">
              <w:rPr>
                <w:rFonts w:cs="Times New Roman"/>
                <w:b/>
                <w:bCs/>
                <w:szCs w:val="24"/>
                <w:lang w:val="en-US"/>
              </w:rPr>
              <w:t>potassium</w:t>
            </w:r>
          </w:p>
        </w:tc>
      </w:tr>
      <w:tr w:rsidR="00C345C8" w:rsidRPr="0024114A" w14:paraId="5843B784" w14:textId="77777777" w:rsidTr="002D6DD7">
        <w:trPr>
          <w:trHeight w:val="393"/>
          <w:jc w:val="center"/>
        </w:trPr>
        <w:tc>
          <w:tcPr>
            <w:tcW w:w="2695" w:type="dxa"/>
          </w:tcPr>
          <w:p w14:paraId="218EEBED"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52" w:type="dxa"/>
          </w:tcPr>
          <w:p w14:paraId="02FDA8DC" w14:textId="77777777" w:rsidR="00C345C8" w:rsidRPr="0024114A" w:rsidRDefault="00C345C8" w:rsidP="002D6DD7">
            <w:pPr>
              <w:jc w:val="both"/>
              <w:rPr>
                <w:rFonts w:cs="Times New Roman"/>
                <w:szCs w:val="24"/>
                <w:lang w:val="en-US"/>
              </w:rPr>
            </w:pPr>
            <w:r w:rsidRPr="0024114A">
              <w:rPr>
                <w:rFonts w:cs="Times New Roman"/>
                <w:szCs w:val="24"/>
                <w:lang w:val="en-US"/>
              </w:rPr>
              <w:t>Non-steroidal anti-inflammatory drug (NSAID)</w:t>
            </w:r>
          </w:p>
        </w:tc>
      </w:tr>
      <w:tr w:rsidR="00C345C8" w:rsidRPr="0024114A" w14:paraId="2C87FBFC" w14:textId="77777777" w:rsidTr="002D6DD7">
        <w:trPr>
          <w:trHeight w:val="393"/>
          <w:jc w:val="center"/>
        </w:trPr>
        <w:tc>
          <w:tcPr>
            <w:tcW w:w="2695" w:type="dxa"/>
          </w:tcPr>
          <w:p w14:paraId="38E43A9E"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52" w:type="dxa"/>
          </w:tcPr>
          <w:p w14:paraId="26A98CF3" w14:textId="77777777" w:rsidR="00C345C8" w:rsidRPr="0024114A" w:rsidRDefault="00C345C8" w:rsidP="002D6DD7">
            <w:pPr>
              <w:jc w:val="both"/>
              <w:rPr>
                <w:rFonts w:cs="Times New Roman"/>
                <w:szCs w:val="24"/>
                <w:lang w:val="fr-FR"/>
              </w:rPr>
            </w:pPr>
            <w:r w:rsidRPr="0024114A">
              <w:rPr>
                <w:rFonts w:cs="Times New Roman"/>
                <w:szCs w:val="24"/>
                <w:lang w:val="fr-FR"/>
              </w:rPr>
              <w:t xml:space="preserve">Injection : 25mg/ml in 3ml ampoule </w:t>
            </w:r>
          </w:p>
          <w:p w14:paraId="5191200A"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Suppository: 12.5 mg, 25 mg, 50 mg, 100 mg </w:t>
            </w:r>
          </w:p>
          <w:p w14:paraId="478710B3" w14:textId="77777777" w:rsidR="00C345C8" w:rsidRPr="0024114A" w:rsidRDefault="00C345C8" w:rsidP="002D6DD7">
            <w:pPr>
              <w:jc w:val="both"/>
              <w:rPr>
                <w:rFonts w:cs="Times New Roman"/>
                <w:szCs w:val="24"/>
                <w:lang w:val="en-US"/>
              </w:rPr>
            </w:pPr>
            <w:r w:rsidRPr="0024114A">
              <w:rPr>
                <w:rFonts w:cs="Times New Roman"/>
                <w:szCs w:val="24"/>
                <w:lang w:val="en-US"/>
              </w:rPr>
              <w:t>Tablet: 50mg, 75mg</w:t>
            </w:r>
          </w:p>
          <w:p w14:paraId="2398808A" w14:textId="77777777" w:rsidR="00C345C8" w:rsidRPr="0024114A" w:rsidRDefault="00C345C8" w:rsidP="002D6DD7">
            <w:pPr>
              <w:jc w:val="both"/>
              <w:rPr>
                <w:rFonts w:cs="Times New Roman"/>
                <w:szCs w:val="24"/>
                <w:lang w:val="en-US"/>
              </w:rPr>
            </w:pPr>
            <w:r w:rsidRPr="0024114A">
              <w:rPr>
                <w:rFonts w:cs="Times New Roman"/>
                <w:szCs w:val="24"/>
                <w:lang w:val="en-US"/>
              </w:rPr>
              <w:t>Gel: 1% w/w</w:t>
            </w:r>
          </w:p>
        </w:tc>
      </w:tr>
      <w:tr w:rsidR="00C345C8" w:rsidRPr="0024114A" w14:paraId="2998CB19" w14:textId="77777777" w:rsidTr="002D6DD7">
        <w:trPr>
          <w:trHeight w:val="393"/>
          <w:jc w:val="center"/>
        </w:trPr>
        <w:tc>
          <w:tcPr>
            <w:tcW w:w="2695" w:type="dxa"/>
          </w:tcPr>
          <w:p w14:paraId="77DAC1D1"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52" w:type="dxa"/>
          </w:tcPr>
          <w:p w14:paraId="1E4A75E0" w14:textId="77777777" w:rsidR="00C345C8" w:rsidRPr="0024114A" w:rsidRDefault="00C345C8" w:rsidP="002D6DD7">
            <w:pPr>
              <w:jc w:val="both"/>
              <w:rPr>
                <w:rFonts w:cs="Times New Roman"/>
                <w:szCs w:val="24"/>
                <w:lang w:val="en-US"/>
              </w:rPr>
            </w:pPr>
            <w:r w:rsidRPr="0024114A">
              <w:rPr>
                <w:rFonts w:cs="Times New Roman"/>
                <w:szCs w:val="24"/>
                <w:lang w:val="en-US"/>
              </w:rPr>
              <w:t>Pain and inflammation in rheumatic disease and othermusculoskeletal disorders, acute gout, postoperative pain, migraine, fever in ear, nose, or throat infection, seasonal allergic conjunctivitis</w:t>
            </w:r>
          </w:p>
        </w:tc>
      </w:tr>
      <w:tr w:rsidR="00C345C8" w:rsidRPr="0024114A" w14:paraId="65C98B82" w14:textId="77777777" w:rsidTr="002D6DD7">
        <w:trPr>
          <w:trHeight w:val="393"/>
          <w:jc w:val="center"/>
        </w:trPr>
        <w:tc>
          <w:tcPr>
            <w:tcW w:w="2695" w:type="dxa"/>
          </w:tcPr>
          <w:p w14:paraId="65B444D0"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52" w:type="dxa"/>
          </w:tcPr>
          <w:p w14:paraId="4FC0CB62" w14:textId="77777777" w:rsidR="00C345C8" w:rsidRPr="0024114A" w:rsidRDefault="00C345C8" w:rsidP="002D6DD7">
            <w:pPr>
              <w:jc w:val="both"/>
              <w:rPr>
                <w:rFonts w:cs="Times New Roman"/>
                <w:szCs w:val="24"/>
                <w:lang w:val="en-US"/>
              </w:rPr>
            </w:pPr>
            <w:r w:rsidRPr="0024114A">
              <w:rPr>
                <w:rFonts w:cs="Times New Roman"/>
                <w:b/>
                <w:bCs/>
                <w:szCs w:val="24"/>
                <w:lang w:val="en-US"/>
              </w:rPr>
              <w:t>Pain and inflammation in rheumatic disease and othermusculoskeletal disorders</w:t>
            </w:r>
            <w:r w:rsidRPr="0024114A">
              <w:rPr>
                <w:rFonts w:cs="Times New Roman"/>
                <w:b/>
                <w:szCs w:val="24"/>
                <w:lang w:val="en-US"/>
              </w:rPr>
              <w:t>, oral:</w:t>
            </w:r>
          </w:p>
          <w:p w14:paraId="3247570E"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75–150 mg daily in 2–3 divided doses</w:t>
            </w:r>
          </w:p>
          <w:p w14:paraId="75E36F80" w14:textId="77777777" w:rsidR="00C345C8" w:rsidRPr="0024114A" w:rsidRDefault="00C345C8" w:rsidP="002D6DD7">
            <w:pPr>
              <w:jc w:val="both"/>
              <w:rPr>
                <w:rFonts w:cs="Times New Roman"/>
                <w:szCs w:val="24"/>
                <w:lang w:val="en-US"/>
              </w:rPr>
            </w:pPr>
            <w:r w:rsidRPr="0024114A">
              <w:rPr>
                <w:rFonts w:cs="Times New Roman"/>
                <w:b/>
                <w:bCs/>
                <w:szCs w:val="24"/>
                <w:lang w:val="en-US"/>
              </w:rPr>
              <w:t>Acute gout</w:t>
            </w:r>
            <w:r w:rsidRPr="0024114A">
              <w:rPr>
                <w:rFonts w:cs="Times New Roman"/>
                <w:b/>
                <w:szCs w:val="24"/>
                <w:lang w:val="en-US"/>
              </w:rPr>
              <w:t>, oral:</w:t>
            </w:r>
          </w:p>
          <w:p w14:paraId="3139834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75–150 mg daily in 2–3 divided doses</w:t>
            </w:r>
          </w:p>
          <w:p w14:paraId="066E055A" w14:textId="77777777" w:rsidR="00C345C8" w:rsidRPr="0024114A" w:rsidRDefault="00C345C8" w:rsidP="002D6DD7">
            <w:pPr>
              <w:jc w:val="both"/>
              <w:rPr>
                <w:rFonts w:cs="Times New Roman"/>
                <w:szCs w:val="24"/>
                <w:lang w:val="en-US"/>
              </w:rPr>
            </w:pPr>
            <w:r w:rsidRPr="0024114A">
              <w:rPr>
                <w:rFonts w:cs="Times New Roman"/>
                <w:b/>
                <w:bCs/>
                <w:szCs w:val="24"/>
                <w:lang w:val="en-US"/>
              </w:rPr>
              <w:t>Postoperative pain</w:t>
            </w:r>
            <w:r w:rsidRPr="0024114A">
              <w:rPr>
                <w:rFonts w:cs="Times New Roman"/>
                <w:bCs/>
                <w:szCs w:val="24"/>
                <w:lang w:val="en-US"/>
              </w:rPr>
              <w:t>,</w:t>
            </w:r>
            <w:r>
              <w:rPr>
                <w:rFonts w:cs="Times New Roman"/>
                <w:bCs/>
                <w:szCs w:val="24"/>
                <w:lang w:val="en-US"/>
              </w:rPr>
              <w:t xml:space="preserve"> </w:t>
            </w:r>
            <w:r w:rsidRPr="0024114A">
              <w:rPr>
                <w:rFonts w:cs="Times New Roman"/>
                <w:b/>
                <w:szCs w:val="24"/>
                <w:lang w:val="en-US"/>
              </w:rPr>
              <w:t>oral</w:t>
            </w:r>
            <w:r w:rsidRPr="0024114A">
              <w:rPr>
                <w:rFonts w:cs="Times New Roman"/>
                <w:szCs w:val="24"/>
                <w:lang w:val="en-US"/>
              </w:rPr>
              <w:t>:</w:t>
            </w:r>
          </w:p>
          <w:p w14:paraId="45CFF6E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75–150 mg daily in 2–3 divided doses</w:t>
            </w:r>
          </w:p>
          <w:p w14:paraId="563FF85F" w14:textId="77777777" w:rsidR="00C345C8" w:rsidRDefault="00C345C8" w:rsidP="002D6DD7">
            <w:pPr>
              <w:jc w:val="both"/>
              <w:rPr>
                <w:rFonts w:cs="Times New Roman"/>
                <w:szCs w:val="24"/>
                <w:lang w:val="en-US"/>
              </w:rPr>
            </w:pPr>
            <w:r w:rsidRPr="0024114A">
              <w:rPr>
                <w:rFonts w:cs="Times New Roman"/>
                <w:b/>
                <w:bCs/>
                <w:szCs w:val="24"/>
                <w:lang w:val="en-US"/>
              </w:rPr>
              <w:t>Migraine</w:t>
            </w:r>
            <w:r w:rsidRPr="0024114A">
              <w:rPr>
                <w:rFonts w:cs="Times New Roman"/>
                <w:szCs w:val="24"/>
                <w:lang w:val="en-US"/>
              </w:rPr>
              <w:t xml:space="preserve">, </w:t>
            </w:r>
            <w:r w:rsidRPr="0024114A">
              <w:rPr>
                <w:rFonts w:cs="Times New Roman"/>
                <w:b/>
                <w:szCs w:val="24"/>
                <w:lang w:val="en-US"/>
              </w:rPr>
              <w:t>oral</w:t>
            </w:r>
            <w:r w:rsidRPr="0024114A">
              <w:rPr>
                <w:rFonts w:cs="Times New Roman"/>
                <w:szCs w:val="24"/>
                <w:lang w:val="en-US"/>
              </w:rPr>
              <w:t xml:space="preserve">: </w:t>
            </w:r>
          </w:p>
          <w:p w14:paraId="6F284966" w14:textId="77777777" w:rsidR="00C345C8" w:rsidRPr="0024114A" w:rsidRDefault="00C345C8" w:rsidP="002D6DD7">
            <w:pPr>
              <w:jc w:val="both"/>
              <w:rPr>
                <w:rFonts w:cs="Times New Roman"/>
                <w:szCs w:val="24"/>
                <w:lang w:val="en-US"/>
              </w:rPr>
            </w:pPr>
            <w:r w:rsidRPr="00BE460D">
              <w:rPr>
                <w:rFonts w:cs="Times New Roman"/>
                <w:b/>
                <w:szCs w:val="24"/>
                <w:lang w:val="en-US"/>
              </w:rPr>
              <w:t>Adult</w:t>
            </w:r>
            <w:r>
              <w:rPr>
                <w:rFonts w:cs="Times New Roman"/>
                <w:szCs w:val="24"/>
                <w:lang w:val="en-US"/>
              </w:rPr>
              <w:t xml:space="preserve">: </w:t>
            </w:r>
            <w:r w:rsidRPr="0024114A">
              <w:rPr>
                <w:rFonts w:cs="Times New Roman"/>
                <w:szCs w:val="24"/>
                <w:lang w:val="en-US"/>
              </w:rPr>
              <w:t>50 mg, to be given at onset of migraine, then</w:t>
            </w:r>
          </w:p>
          <w:p w14:paraId="7794B5AD" w14:textId="77777777" w:rsidR="00C345C8" w:rsidRPr="0024114A" w:rsidRDefault="00C345C8" w:rsidP="002D6DD7">
            <w:pPr>
              <w:jc w:val="both"/>
              <w:rPr>
                <w:rFonts w:cs="Times New Roman"/>
                <w:szCs w:val="24"/>
                <w:lang w:val="en-US"/>
              </w:rPr>
            </w:pPr>
            <w:r w:rsidRPr="0024114A">
              <w:rPr>
                <w:rFonts w:cs="Times New Roman"/>
                <w:szCs w:val="24"/>
                <w:lang w:val="en-US"/>
              </w:rPr>
              <w:t>50 mg after 2 hours if required, then 50 mg after4–6 hours; maximum 200 mg per day</w:t>
            </w:r>
          </w:p>
          <w:p w14:paraId="1F0AB625" w14:textId="77777777" w:rsidR="00C345C8" w:rsidRPr="0024114A" w:rsidRDefault="00C345C8" w:rsidP="002D6DD7">
            <w:pPr>
              <w:jc w:val="both"/>
              <w:rPr>
                <w:rFonts w:cs="Times New Roman"/>
                <w:szCs w:val="24"/>
                <w:lang w:val="en-US"/>
              </w:rPr>
            </w:pPr>
            <w:r w:rsidRPr="0024114A">
              <w:rPr>
                <w:rFonts w:cs="Times New Roman"/>
                <w:b/>
                <w:bCs/>
                <w:szCs w:val="24"/>
                <w:lang w:val="en-US"/>
              </w:rPr>
              <w:t>Pain and inflammation in rheumatic disease and othermusculoskeletal disorders</w:t>
            </w:r>
            <w:r w:rsidRPr="0024114A">
              <w:rPr>
                <w:rFonts w:cs="Times New Roman"/>
                <w:b/>
                <w:szCs w:val="24"/>
                <w:lang w:val="en-US"/>
              </w:rPr>
              <w:t>, oral:</w:t>
            </w:r>
          </w:p>
          <w:p w14:paraId="78FA6C80" w14:textId="77777777" w:rsidR="00C345C8" w:rsidRPr="0024114A" w:rsidRDefault="00C345C8" w:rsidP="002D6DD7">
            <w:pPr>
              <w:jc w:val="both"/>
              <w:rPr>
                <w:rFonts w:cs="Times New Roman"/>
                <w:szCs w:val="24"/>
                <w:lang w:val="en-US"/>
              </w:rPr>
            </w:pPr>
            <w:r w:rsidRPr="0024114A">
              <w:rPr>
                <w:rFonts w:cs="Times New Roman"/>
                <w:b/>
                <w:szCs w:val="24"/>
                <w:lang w:val="en-US"/>
              </w:rPr>
              <w:t>Child 14–17 years</w:t>
            </w:r>
            <w:r w:rsidRPr="0024114A">
              <w:rPr>
                <w:rFonts w:cs="Times New Roman"/>
                <w:szCs w:val="24"/>
                <w:lang w:val="en-US"/>
              </w:rPr>
              <w:t>: 75–100 mg daily in 2–3 divided doses</w:t>
            </w:r>
          </w:p>
          <w:p w14:paraId="3A215A25" w14:textId="77777777" w:rsidR="00C345C8" w:rsidRPr="0024114A" w:rsidRDefault="00C345C8" w:rsidP="002D6DD7">
            <w:pPr>
              <w:jc w:val="both"/>
              <w:rPr>
                <w:rFonts w:cs="Times New Roman"/>
                <w:szCs w:val="24"/>
                <w:lang w:val="en-US"/>
              </w:rPr>
            </w:pPr>
            <w:r w:rsidRPr="0024114A">
              <w:rPr>
                <w:rFonts w:cs="Times New Roman"/>
                <w:b/>
                <w:bCs/>
                <w:szCs w:val="24"/>
                <w:lang w:val="en-US"/>
              </w:rPr>
              <w:t>Postoperative pain,</w:t>
            </w:r>
            <w:r>
              <w:rPr>
                <w:rFonts w:cs="Times New Roman"/>
                <w:b/>
                <w:bCs/>
                <w:szCs w:val="24"/>
                <w:lang w:val="en-US"/>
              </w:rPr>
              <w:t xml:space="preserve"> </w:t>
            </w:r>
            <w:r w:rsidRPr="0024114A">
              <w:rPr>
                <w:rFonts w:cs="Times New Roman"/>
                <w:b/>
                <w:szCs w:val="24"/>
                <w:lang w:val="en-US"/>
              </w:rPr>
              <w:t>oral:</w:t>
            </w:r>
          </w:p>
          <w:p w14:paraId="2C8C09CB" w14:textId="77777777" w:rsidR="00C345C8" w:rsidRPr="0024114A" w:rsidRDefault="00C345C8" w:rsidP="002D6DD7">
            <w:pPr>
              <w:jc w:val="both"/>
              <w:rPr>
                <w:rFonts w:cs="Times New Roman"/>
                <w:szCs w:val="24"/>
                <w:lang w:val="en-US"/>
              </w:rPr>
            </w:pPr>
            <w:r w:rsidRPr="0024114A">
              <w:rPr>
                <w:rFonts w:cs="Times New Roman"/>
                <w:b/>
                <w:szCs w:val="24"/>
                <w:lang w:val="en-US"/>
              </w:rPr>
              <w:t xml:space="preserve"> Child 9–13 years (body-weight 35 kg and above):</w:t>
            </w:r>
            <w:r w:rsidRPr="0024114A">
              <w:rPr>
                <w:rFonts w:cs="Times New Roman"/>
                <w:szCs w:val="24"/>
                <w:lang w:val="en-US"/>
              </w:rPr>
              <w:t xml:space="preserve"> Up to 2 </w:t>
            </w:r>
            <w:r w:rsidRPr="0024114A">
              <w:rPr>
                <w:rFonts w:cs="Times New Roman"/>
                <w:szCs w:val="24"/>
                <w:lang w:val="en-US"/>
              </w:rPr>
              <w:lastRenderedPageBreak/>
              <w:t>mg/kg daily in 3 divided doses; maximum 100 mg per day</w:t>
            </w:r>
          </w:p>
          <w:p w14:paraId="13608E1C" w14:textId="77777777" w:rsidR="00C345C8" w:rsidRPr="0024114A" w:rsidRDefault="00C345C8" w:rsidP="002D6DD7">
            <w:pPr>
              <w:jc w:val="both"/>
              <w:rPr>
                <w:rFonts w:cs="Times New Roman"/>
                <w:szCs w:val="24"/>
                <w:lang w:val="en-US"/>
              </w:rPr>
            </w:pPr>
            <w:r w:rsidRPr="0024114A">
              <w:rPr>
                <w:rFonts w:cs="Times New Roman"/>
                <w:b/>
                <w:bCs/>
                <w:szCs w:val="24"/>
                <w:lang w:val="en-US"/>
              </w:rPr>
              <w:t>Fever in ear, nose, or throat infection,</w:t>
            </w:r>
            <w:r>
              <w:rPr>
                <w:rFonts w:cs="Times New Roman"/>
                <w:b/>
                <w:bCs/>
                <w:szCs w:val="24"/>
                <w:lang w:val="en-US"/>
              </w:rPr>
              <w:t xml:space="preserve"> </w:t>
            </w:r>
            <w:r w:rsidRPr="0024114A">
              <w:rPr>
                <w:rFonts w:cs="Times New Roman"/>
                <w:b/>
                <w:szCs w:val="24"/>
                <w:lang w:val="en-US"/>
              </w:rPr>
              <w:t>oral:</w:t>
            </w:r>
          </w:p>
          <w:p w14:paraId="7A388815" w14:textId="77777777" w:rsidR="00C345C8" w:rsidRPr="0024114A" w:rsidRDefault="00C345C8" w:rsidP="002D6DD7">
            <w:pPr>
              <w:jc w:val="both"/>
              <w:rPr>
                <w:rFonts w:cs="Times New Roman"/>
                <w:szCs w:val="24"/>
                <w:lang w:val="en-US"/>
              </w:rPr>
            </w:pPr>
            <w:r w:rsidRPr="0024114A">
              <w:rPr>
                <w:rFonts w:cs="Times New Roman"/>
                <w:b/>
                <w:szCs w:val="24"/>
                <w:lang w:val="en-US"/>
              </w:rPr>
              <w:t>Child 9–17 years (body-weight 35 kg and above):</w:t>
            </w:r>
            <w:r w:rsidRPr="0024114A">
              <w:rPr>
                <w:rFonts w:cs="Times New Roman"/>
                <w:szCs w:val="24"/>
                <w:lang w:val="en-US"/>
              </w:rPr>
              <w:t xml:space="preserve"> Up to 2 mg/kg daily in 3 divided doses; maximum 100 mg per day.</w:t>
            </w:r>
          </w:p>
        </w:tc>
      </w:tr>
      <w:tr w:rsidR="00C345C8" w:rsidRPr="0024114A" w14:paraId="463CB2A0" w14:textId="77777777" w:rsidTr="002D6DD7">
        <w:trPr>
          <w:trHeight w:val="393"/>
          <w:jc w:val="center"/>
        </w:trPr>
        <w:tc>
          <w:tcPr>
            <w:tcW w:w="2695" w:type="dxa"/>
          </w:tcPr>
          <w:p w14:paraId="7FF9DA0E"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52" w:type="dxa"/>
          </w:tcPr>
          <w:p w14:paraId="2F2F5781"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aspirin/other NSAIDs, peptic or intestinal ulcer, history of asthma, urticaria or acute rhinitis precipitated by aspirin or other NSAIDs, recent rectal bleeding.</w:t>
            </w:r>
          </w:p>
        </w:tc>
      </w:tr>
      <w:tr w:rsidR="00C345C8" w:rsidRPr="0024114A" w14:paraId="6A7D4DA9" w14:textId="77777777" w:rsidTr="002D6DD7">
        <w:trPr>
          <w:trHeight w:val="393"/>
          <w:jc w:val="center"/>
        </w:trPr>
        <w:tc>
          <w:tcPr>
            <w:tcW w:w="2695" w:type="dxa"/>
          </w:tcPr>
          <w:p w14:paraId="219D77E6"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52" w:type="dxa"/>
          </w:tcPr>
          <w:p w14:paraId="310D68E1" w14:textId="77777777" w:rsidR="00C345C8" w:rsidRPr="0024114A" w:rsidRDefault="00C345C8" w:rsidP="002D6DD7">
            <w:pPr>
              <w:jc w:val="both"/>
              <w:rPr>
                <w:rFonts w:cs="Times New Roman"/>
                <w:szCs w:val="24"/>
                <w:lang w:val="en-US"/>
              </w:rPr>
            </w:pPr>
            <w:r w:rsidRPr="0024114A">
              <w:rPr>
                <w:rFonts w:cs="Times New Roman"/>
                <w:szCs w:val="24"/>
                <w:lang w:val="en-US"/>
              </w:rPr>
              <w:t>Coumarin derivative anticoagulants, or heparin or thrombolytic agents, antihypertensives, diuretics, aspirin and other anti-inflammatory drugs, radiation therapy, colchicine, lithium, methotrexate, probenecid, digoxin, ciclosporin, quinolones, calcium channel blockers</w:t>
            </w:r>
          </w:p>
        </w:tc>
      </w:tr>
      <w:tr w:rsidR="00C345C8" w:rsidRPr="0024114A" w14:paraId="1131CB41" w14:textId="77777777" w:rsidTr="002D6DD7">
        <w:trPr>
          <w:trHeight w:val="393"/>
          <w:jc w:val="center"/>
        </w:trPr>
        <w:tc>
          <w:tcPr>
            <w:tcW w:w="2695" w:type="dxa"/>
          </w:tcPr>
          <w:p w14:paraId="64194900"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52" w:type="dxa"/>
          </w:tcPr>
          <w:p w14:paraId="39126176" w14:textId="77777777" w:rsidR="00C345C8" w:rsidRPr="0024114A" w:rsidRDefault="00C345C8" w:rsidP="002D6DD7">
            <w:pPr>
              <w:jc w:val="both"/>
              <w:rPr>
                <w:rFonts w:cs="Times New Roman"/>
                <w:szCs w:val="24"/>
                <w:lang w:val="en-US"/>
              </w:rPr>
            </w:pPr>
            <w:r w:rsidRPr="0024114A">
              <w:rPr>
                <w:rFonts w:cs="Times New Roman"/>
                <w:szCs w:val="24"/>
                <w:lang w:val="en-US"/>
              </w:rPr>
              <w:t>Decreasedappetite, diarrhea, dizziness, gastrointestinal disorders, headache, nausea, skin reactions, vertigo, vomiting, acute kidney injury, agranulocytosis, angioedema, anxiety, anaemia, asthma, confusion, constipation, depression, drowsiness, dyspnea, erectile dysfunction, fatigue, haemorrhage, hearing impairment, hepatic disorders</w:t>
            </w:r>
          </w:p>
        </w:tc>
      </w:tr>
      <w:tr w:rsidR="00C345C8" w:rsidRPr="0024114A" w14:paraId="72D9AF23" w14:textId="77777777" w:rsidTr="002D6DD7">
        <w:trPr>
          <w:trHeight w:val="393"/>
          <w:jc w:val="center"/>
        </w:trPr>
        <w:tc>
          <w:tcPr>
            <w:tcW w:w="2695" w:type="dxa"/>
          </w:tcPr>
          <w:p w14:paraId="3E4F38D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52" w:type="dxa"/>
          </w:tcPr>
          <w:p w14:paraId="004504E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Allergic disorders, cardiac impairment, coagulation defects, connective-tissue disorders, dehydration, elderly, history of history of gastro-intestinal disorders, hypertension, oedema, pregnancy (third trimester), breastfeeding. </w:t>
            </w:r>
          </w:p>
        </w:tc>
      </w:tr>
      <w:tr w:rsidR="00C345C8" w:rsidRPr="0024114A" w14:paraId="5385B964" w14:textId="77777777" w:rsidTr="002D6DD7">
        <w:trPr>
          <w:trHeight w:val="393"/>
          <w:jc w:val="center"/>
        </w:trPr>
        <w:tc>
          <w:tcPr>
            <w:tcW w:w="2695" w:type="dxa"/>
          </w:tcPr>
          <w:p w14:paraId="2420CBC7"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52" w:type="dxa"/>
          </w:tcPr>
          <w:p w14:paraId="19364F1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 in a tight container</w:t>
            </w:r>
            <w:r w:rsidR="00AB27FB">
              <w:rPr>
                <w:rFonts w:cs="Times New Roman"/>
                <w:szCs w:val="24"/>
                <w:lang w:val="en-US"/>
              </w:rPr>
              <w:t>. P</w:t>
            </w:r>
            <w:r w:rsidRPr="0024114A">
              <w:rPr>
                <w:rFonts w:cs="Times New Roman"/>
                <w:szCs w:val="24"/>
                <w:lang w:val="en-US"/>
              </w:rPr>
              <w:t>rotect from moisture.</w:t>
            </w:r>
          </w:p>
        </w:tc>
      </w:tr>
      <w:tr w:rsidR="00C345C8" w:rsidRPr="0024114A" w14:paraId="6B78B76D" w14:textId="77777777" w:rsidTr="002D6DD7">
        <w:trPr>
          <w:jc w:val="center"/>
        </w:trPr>
        <w:tc>
          <w:tcPr>
            <w:tcW w:w="9247" w:type="dxa"/>
            <w:gridSpan w:val="2"/>
          </w:tcPr>
          <w:p w14:paraId="4C261176" w14:textId="77777777" w:rsidR="00C345C8" w:rsidRPr="0024114A" w:rsidRDefault="00C345C8" w:rsidP="002D6DD7">
            <w:pPr>
              <w:jc w:val="both"/>
              <w:rPr>
                <w:rFonts w:cs="Times New Roman"/>
                <w:szCs w:val="24"/>
                <w:lang w:val="en-US"/>
              </w:rPr>
            </w:pPr>
            <w:r w:rsidRPr="0024114A">
              <w:rPr>
                <w:rFonts w:cs="Times New Roman"/>
                <w:b/>
                <w:bCs/>
                <w:szCs w:val="24"/>
                <w:lang w:val="en-US"/>
              </w:rPr>
              <w:t>Ibuprofen</w:t>
            </w:r>
          </w:p>
        </w:tc>
      </w:tr>
      <w:tr w:rsidR="00C345C8" w:rsidRPr="0024114A" w14:paraId="498B44AB" w14:textId="77777777" w:rsidTr="002D6DD7">
        <w:trPr>
          <w:jc w:val="center"/>
        </w:trPr>
        <w:tc>
          <w:tcPr>
            <w:tcW w:w="2695" w:type="dxa"/>
          </w:tcPr>
          <w:p w14:paraId="1121CF74"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52" w:type="dxa"/>
          </w:tcPr>
          <w:p w14:paraId="59205C8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Non-steroidal anti-inflammatory drug (NSAID) </w:t>
            </w:r>
          </w:p>
        </w:tc>
      </w:tr>
      <w:tr w:rsidR="00C345C8" w:rsidRPr="0024114A" w14:paraId="493E7C35" w14:textId="77777777" w:rsidTr="002D6DD7">
        <w:trPr>
          <w:jc w:val="center"/>
        </w:trPr>
        <w:tc>
          <w:tcPr>
            <w:tcW w:w="2695" w:type="dxa"/>
          </w:tcPr>
          <w:p w14:paraId="7ED63DD7"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52" w:type="dxa"/>
          </w:tcPr>
          <w:p w14:paraId="7C0F6C9E" w14:textId="77777777" w:rsidR="00C345C8" w:rsidRPr="0024114A" w:rsidRDefault="00C345C8" w:rsidP="002D6DD7">
            <w:pPr>
              <w:jc w:val="both"/>
              <w:rPr>
                <w:rFonts w:cs="Times New Roman"/>
                <w:color w:val="000000"/>
                <w:szCs w:val="24"/>
                <w:lang w:val="en-US"/>
              </w:rPr>
            </w:pPr>
            <w:r w:rsidRPr="0024114A">
              <w:rPr>
                <w:rFonts w:cs="Times New Roman"/>
                <w:color w:val="000000"/>
                <w:szCs w:val="24"/>
                <w:lang w:val="en-US"/>
              </w:rPr>
              <w:t>Suspension:100mg/5ml</w:t>
            </w:r>
          </w:p>
          <w:p w14:paraId="76C6F1FD" w14:textId="77777777" w:rsidR="00C345C8" w:rsidRPr="0024114A" w:rsidRDefault="00C345C8" w:rsidP="002D6DD7">
            <w:pPr>
              <w:jc w:val="both"/>
              <w:rPr>
                <w:rFonts w:cs="Times New Roman"/>
                <w:szCs w:val="24"/>
                <w:lang w:val="en-US"/>
              </w:rPr>
            </w:pPr>
            <w:r w:rsidRPr="0024114A">
              <w:rPr>
                <w:rFonts w:cs="Times New Roman"/>
                <w:color w:val="000000"/>
                <w:szCs w:val="24"/>
                <w:lang w:val="en-US"/>
              </w:rPr>
              <w:t>Capsule/Tablet: 400mg</w:t>
            </w:r>
          </w:p>
        </w:tc>
      </w:tr>
      <w:tr w:rsidR="00C345C8" w:rsidRPr="0024114A" w14:paraId="68E6EEFE" w14:textId="77777777" w:rsidTr="002D6DD7">
        <w:trPr>
          <w:trHeight w:val="90"/>
          <w:jc w:val="center"/>
        </w:trPr>
        <w:tc>
          <w:tcPr>
            <w:tcW w:w="2695" w:type="dxa"/>
          </w:tcPr>
          <w:p w14:paraId="7D2FDC7C" w14:textId="77777777" w:rsidR="00C345C8" w:rsidRPr="0024114A" w:rsidRDefault="00C345C8" w:rsidP="002D6DD7">
            <w:pPr>
              <w:jc w:val="both"/>
              <w:rPr>
                <w:rFonts w:cs="Times New Roman"/>
                <w:bCs/>
                <w:szCs w:val="24"/>
                <w:lang w:val="en-US"/>
              </w:rPr>
            </w:pPr>
            <w:r w:rsidRPr="0024114A">
              <w:rPr>
                <w:rFonts w:cs="Times New Roman"/>
                <w:bCs/>
                <w:szCs w:val="24"/>
                <w:lang w:val="en-US"/>
              </w:rPr>
              <w:t>Indications</w:t>
            </w:r>
          </w:p>
        </w:tc>
        <w:tc>
          <w:tcPr>
            <w:tcW w:w="6552" w:type="dxa"/>
          </w:tcPr>
          <w:p w14:paraId="302A7C15" w14:textId="77777777" w:rsidR="00C345C8" w:rsidRPr="0024114A" w:rsidRDefault="00C345C8" w:rsidP="002D6DD7">
            <w:pPr>
              <w:jc w:val="both"/>
              <w:rPr>
                <w:rFonts w:cs="Times New Roman"/>
                <w:szCs w:val="24"/>
                <w:lang w:val="en-US"/>
              </w:rPr>
            </w:pPr>
            <w:r w:rsidRPr="0024114A">
              <w:rPr>
                <w:rFonts w:cs="Times New Roman"/>
                <w:szCs w:val="24"/>
                <w:lang w:val="en-US"/>
              </w:rPr>
              <w:t>Mild to moderate pain including dysmenorrhoea, postoperative analgesia, and dental pain, pain and inflammation in rheumatic disease and other musculoskeletal disorders.</w:t>
            </w:r>
          </w:p>
        </w:tc>
      </w:tr>
      <w:tr w:rsidR="00C345C8" w:rsidRPr="0024114A" w14:paraId="53ADA108" w14:textId="77777777" w:rsidTr="002D6DD7">
        <w:trPr>
          <w:trHeight w:val="412"/>
          <w:jc w:val="center"/>
        </w:trPr>
        <w:tc>
          <w:tcPr>
            <w:tcW w:w="2695" w:type="dxa"/>
          </w:tcPr>
          <w:p w14:paraId="7E6B7D68"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52" w:type="dxa"/>
          </w:tcPr>
          <w:p w14:paraId="7CB6F7A3"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Mild to moderate pain, pyrexia, inflammatory </w:t>
            </w:r>
            <w:r w:rsidRPr="0024114A">
              <w:rPr>
                <w:rFonts w:cs="Times New Roman"/>
                <w:b/>
                <w:bCs/>
                <w:szCs w:val="24"/>
                <w:lang w:val="en-US"/>
              </w:rPr>
              <w:lastRenderedPageBreak/>
              <w:t>musculoskeletal disorders,</w:t>
            </w:r>
            <w:r w:rsidRPr="0024114A">
              <w:rPr>
                <w:rFonts w:cs="Times New Roman"/>
                <w:b/>
                <w:szCs w:val="24"/>
                <w:lang w:val="en-US"/>
              </w:rPr>
              <w:t>oral:</w:t>
            </w:r>
          </w:p>
          <w:p w14:paraId="124727F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Initially 400 mg 3–4 times a day; increased, if necessary, up to 600 mg 4 times a day; maintenance 200–400 mg 3 times a day, may be adequate.</w:t>
            </w:r>
          </w:p>
          <w:p w14:paraId="4ED52365" w14:textId="77777777" w:rsidR="00C345C8" w:rsidRDefault="00C345C8" w:rsidP="002D6DD7">
            <w:pPr>
              <w:jc w:val="both"/>
              <w:rPr>
                <w:rFonts w:cs="Times New Roman"/>
                <w:szCs w:val="24"/>
                <w:lang w:val="en-US"/>
              </w:rPr>
            </w:pPr>
            <w:r w:rsidRPr="0024114A">
              <w:rPr>
                <w:rFonts w:cs="Times New Roman"/>
                <w:b/>
                <w:bCs/>
                <w:szCs w:val="24"/>
                <w:lang w:val="en-US"/>
              </w:rPr>
              <w:t>Acute migraine</w:t>
            </w:r>
            <w:r w:rsidRPr="0024114A">
              <w:rPr>
                <w:rFonts w:cs="Times New Roman"/>
                <w:szCs w:val="24"/>
                <w:lang w:val="en-US"/>
              </w:rPr>
              <w:t xml:space="preserve">, </w:t>
            </w:r>
            <w:r w:rsidRPr="0024114A">
              <w:rPr>
                <w:rFonts w:cs="Times New Roman"/>
                <w:b/>
                <w:szCs w:val="24"/>
                <w:lang w:val="en-US"/>
              </w:rPr>
              <w:t>oral</w:t>
            </w:r>
            <w:r w:rsidRPr="0024114A">
              <w:rPr>
                <w:rFonts w:cs="Times New Roman"/>
                <w:szCs w:val="24"/>
                <w:lang w:val="en-US"/>
              </w:rPr>
              <w:t xml:space="preserve">: </w:t>
            </w:r>
          </w:p>
          <w:p w14:paraId="61BBAC69" w14:textId="77777777" w:rsidR="00C345C8" w:rsidRPr="0024114A" w:rsidRDefault="00C345C8" w:rsidP="002D6DD7">
            <w:pPr>
              <w:jc w:val="both"/>
              <w:rPr>
                <w:rFonts w:cs="Times New Roman"/>
                <w:szCs w:val="24"/>
                <w:lang w:val="en-US"/>
              </w:rPr>
            </w:pPr>
            <w:r w:rsidRPr="00BE460D">
              <w:rPr>
                <w:rFonts w:cs="Times New Roman"/>
                <w:b/>
                <w:szCs w:val="24"/>
                <w:lang w:val="en-US"/>
              </w:rPr>
              <w:t>Adult</w:t>
            </w:r>
            <w:r>
              <w:rPr>
                <w:rFonts w:cs="Times New Roman"/>
                <w:szCs w:val="24"/>
                <w:lang w:val="en-US"/>
              </w:rPr>
              <w:t xml:space="preserve">: </w:t>
            </w:r>
            <w:r w:rsidRPr="0024114A">
              <w:rPr>
                <w:rFonts w:cs="Times New Roman"/>
                <w:szCs w:val="24"/>
                <w:lang w:val="en-US"/>
              </w:rPr>
              <w:t>400–600 mg for 1 dose, to be taken as soon as migraine symptoms develop.</w:t>
            </w:r>
          </w:p>
          <w:p w14:paraId="77D2265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Mild to moderate pain, pain and inflammation of soft tissue injuries, pyrexia with discomfort, oral:</w:t>
            </w:r>
          </w:p>
          <w:p w14:paraId="54169F0B" w14:textId="77777777" w:rsidR="00C345C8" w:rsidRPr="0024114A" w:rsidRDefault="00C345C8" w:rsidP="002D6DD7">
            <w:pPr>
              <w:jc w:val="both"/>
              <w:rPr>
                <w:rFonts w:cs="Times New Roman"/>
                <w:szCs w:val="24"/>
                <w:lang w:val="en-US"/>
              </w:rPr>
            </w:pPr>
            <w:r w:rsidRPr="0024114A">
              <w:rPr>
                <w:rFonts w:cs="Times New Roman"/>
                <w:b/>
                <w:bCs/>
                <w:szCs w:val="24"/>
                <w:lang w:val="en-US"/>
              </w:rPr>
              <w:t>Child 3–5 months:</w:t>
            </w:r>
            <w:r w:rsidRPr="0024114A">
              <w:rPr>
                <w:rFonts w:cs="Times New Roman"/>
                <w:szCs w:val="24"/>
                <w:lang w:val="en-US"/>
              </w:rPr>
              <w:t xml:space="preserve"> 50 mg 3 times a day, maximum daily dose to be given in 3–4 divided doses; maximum30 mg/kg per day</w:t>
            </w:r>
          </w:p>
          <w:p w14:paraId="02E03A26" w14:textId="77777777" w:rsidR="00C345C8" w:rsidRPr="0024114A" w:rsidRDefault="00C345C8" w:rsidP="002D6DD7">
            <w:pPr>
              <w:jc w:val="both"/>
              <w:rPr>
                <w:rFonts w:cs="Times New Roman"/>
                <w:szCs w:val="24"/>
                <w:lang w:val="en-US"/>
              </w:rPr>
            </w:pPr>
            <w:r w:rsidRPr="0024114A">
              <w:rPr>
                <w:rFonts w:cs="Times New Roman"/>
                <w:b/>
                <w:bCs/>
                <w:szCs w:val="24"/>
                <w:lang w:val="en-US"/>
              </w:rPr>
              <w:t>Child 6–11 month</w:t>
            </w:r>
            <w:r w:rsidRPr="0024114A">
              <w:rPr>
                <w:rFonts w:cs="Times New Roman"/>
                <w:szCs w:val="24"/>
                <w:lang w:val="en-US"/>
              </w:rPr>
              <w:t>s: 50 mg 3–4 times a day, maximumdaily dose to be given in 3–4 divided doses; maximum30 mg/kg per day</w:t>
            </w:r>
          </w:p>
          <w:p w14:paraId="6F236C6A" w14:textId="77777777" w:rsidR="00C345C8" w:rsidRPr="0024114A" w:rsidRDefault="00C345C8" w:rsidP="002D6DD7">
            <w:pPr>
              <w:jc w:val="both"/>
              <w:rPr>
                <w:rFonts w:cs="Times New Roman"/>
                <w:szCs w:val="24"/>
                <w:lang w:val="en-US"/>
              </w:rPr>
            </w:pPr>
            <w:r w:rsidRPr="0024114A">
              <w:rPr>
                <w:rFonts w:cs="Times New Roman"/>
                <w:b/>
                <w:bCs/>
                <w:szCs w:val="24"/>
                <w:lang w:val="en-US"/>
              </w:rPr>
              <w:t>Child 1–3 years</w:t>
            </w:r>
            <w:r w:rsidRPr="0024114A">
              <w:rPr>
                <w:rFonts w:cs="Times New Roman"/>
                <w:szCs w:val="24"/>
                <w:lang w:val="en-US"/>
              </w:rPr>
              <w:t>: 100 mg 3 times a day, maximum dailydose to be given in 3–4 divided doses; maximum 30 mg/kg per day</w:t>
            </w:r>
          </w:p>
          <w:p w14:paraId="3D030995" w14:textId="77777777" w:rsidR="00C345C8" w:rsidRPr="0024114A" w:rsidRDefault="00C345C8" w:rsidP="002D6DD7">
            <w:pPr>
              <w:jc w:val="both"/>
              <w:rPr>
                <w:rFonts w:cs="Times New Roman"/>
                <w:szCs w:val="24"/>
                <w:lang w:val="en-US"/>
              </w:rPr>
            </w:pPr>
            <w:r w:rsidRPr="0024114A">
              <w:rPr>
                <w:rFonts w:cs="Times New Roman"/>
                <w:b/>
                <w:bCs/>
                <w:szCs w:val="24"/>
                <w:lang w:val="en-US"/>
              </w:rPr>
              <w:t>Child 4–6 years</w:t>
            </w:r>
            <w:r w:rsidRPr="0024114A">
              <w:rPr>
                <w:rFonts w:cs="Times New Roman"/>
                <w:szCs w:val="24"/>
                <w:lang w:val="en-US"/>
              </w:rPr>
              <w:t>: 150 mg 3 times a day, maximum dailydose to be given in 3–4 divided doses; maximum30 mg/kg per day</w:t>
            </w:r>
          </w:p>
          <w:p w14:paraId="38937943" w14:textId="77777777" w:rsidR="00C345C8" w:rsidRPr="0024114A" w:rsidRDefault="00C345C8" w:rsidP="002D6DD7">
            <w:pPr>
              <w:jc w:val="both"/>
              <w:rPr>
                <w:rFonts w:cs="Times New Roman"/>
                <w:szCs w:val="24"/>
                <w:lang w:val="en-US"/>
              </w:rPr>
            </w:pPr>
            <w:r w:rsidRPr="00BE460D">
              <w:rPr>
                <w:rFonts w:cs="Times New Roman"/>
                <w:b/>
                <w:szCs w:val="24"/>
                <w:lang w:val="en-US"/>
              </w:rPr>
              <w:t>Child 7–9 years</w:t>
            </w:r>
            <w:r w:rsidRPr="0024114A">
              <w:rPr>
                <w:rFonts w:cs="Times New Roman"/>
                <w:szCs w:val="24"/>
                <w:lang w:val="en-US"/>
              </w:rPr>
              <w:t>: 200 mg 3 times a day, maximum daily dose to be given in 3–4 divided doses; maximum 30 mg/kg per day; maximum 2.4 g per day</w:t>
            </w:r>
          </w:p>
          <w:p w14:paraId="0C9FDAE8" w14:textId="77777777" w:rsidR="00C345C8" w:rsidRPr="0024114A" w:rsidRDefault="00C345C8" w:rsidP="002D6DD7">
            <w:pPr>
              <w:jc w:val="both"/>
              <w:rPr>
                <w:rFonts w:cs="Times New Roman"/>
                <w:szCs w:val="24"/>
                <w:lang w:val="en-US"/>
              </w:rPr>
            </w:pPr>
            <w:r w:rsidRPr="0024114A">
              <w:rPr>
                <w:rFonts w:cs="Times New Roman"/>
                <w:b/>
                <w:bCs/>
                <w:szCs w:val="24"/>
                <w:lang w:val="en-US"/>
              </w:rPr>
              <w:t>Child 10–11 years</w:t>
            </w:r>
            <w:r w:rsidRPr="0024114A">
              <w:rPr>
                <w:rFonts w:cs="Times New Roman"/>
                <w:szCs w:val="24"/>
                <w:lang w:val="en-US"/>
              </w:rPr>
              <w:t>: 300 mg 3 times a day, maximum dailydose to be given in 3–4 divided doses; maximum 30 mg/kg per day; maximum 2.4 g per day</w:t>
            </w:r>
          </w:p>
          <w:p w14:paraId="6B9DA868" w14:textId="77777777" w:rsidR="00C345C8" w:rsidRPr="0024114A" w:rsidRDefault="00C345C8" w:rsidP="002D6DD7">
            <w:pPr>
              <w:jc w:val="both"/>
              <w:rPr>
                <w:rFonts w:cs="Times New Roman"/>
                <w:szCs w:val="24"/>
                <w:lang w:val="en-US"/>
              </w:rPr>
            </w:pPr>
            <w:r w:rsidRPr="0024114A">
              <w:rPr>
                <w:rFonts w:cs="Times New Roman"/>
                <w:b/>
                <w:bCs/>
                <w:szCs w:val="24"/>
                <w:lang w:val="en-US"/>
              </w:rPr>
              <w:t>Pain and inflammation in rheumatic disease including juvenile idiopathic arthritis,</w:t>
            </w:r>
            <w:r w:rsidRPr="0024114A">
              <w:rPr>
                <w:rFonts w:cs="Times New Roman"/>
                <w:b/>
                <w:szCs w:val="24"/>
                <w:lang w:val="en-US"/>
              </w:rPr>
              <w:t>oral:</w:t>
            </w:r>
          </w:p>
          <w:p w14:paraId="1A528B7B" w14:textId="77777777" w:rsidR="00C345C8" w:rsidRPr="0024114A" w:rsidRDefault="00C345C8" w:rsidP="002D6DD7">
            <w:pPr>
              <w:jc w:val="both"/>
              <w:rPr>
                <w:rFonts w:cs="Times New Roman"/>
                <w:szCs w:val="24"/>
                <w:lang w:val="en-US"/>
              </w:rPr>
            </w:pPr>
            <w:r w:rsidRPr="0024114A">
              <w:rPr>
                <w:rFonts w:cs="Times New Roman"/>
                <w:b/>
                <w:szCs w:val="24"/>
                <w:lang w:val="en-US"/>
              </w:rPr>
              <w:t>Child 3 months–12 years</w:t>
            </w:r>
            <w:r w:rsidRPr="0024114A">
              <w:rPr>
                <w:rFonts w:cs="Times New Roman"/>
                <w:szCs w:val="24"/>
                <w:lang w:val="en-US"/>
              </w:rPr>
              <w:t>: 30–40 mg/kg daily in3–4 divided doses; maximum 2.4 g per day</w:t>
            </w:r>
          </w:p>
          <w:p w14:paraId="6BBD9E29" w14:textId="77777777" w:rsidR="00C345C8" w:rsidRPr="0024114A" w:rsidRDefault="00C345C8" w:rsidP="002D6DD7">
            <w:pPr>
              <w:jc w:val="both"/>
              <w:rPr>
                <w:rFonts w:cs="Times New Roman"/>
                <w:szCs w:val="24"/>
                <w:lang w:val="en-US"/>
              </w:rPr>
            </w:pPr>
            <w:r w:rsidRPr="0024114A">
              <w:rPr>
                <w:rFonts w:cs="Times New Roman"/>
                <w:b/>
                <w:bCs/>
                <w:szCs w:val="24"/>
                <w:lang w:val="en-US"/>
              </w:rPr>
              <w:t>Post-immunization pyrexia in infants (on health professional’s advice only)</w:t>
            </w:r>
            <w:r w:rsidRPr="0024114A">
              <w:rPr>
                <w:rFonts w:cs="Times New Roman"/>
                <w:szCs w:val="24"/>
                <w:lang w:val="en-US"/>
              </w:rPr>
              <w:t xml:space="preserve">, </w:t>
            </w:r>
            <w:r w:rsidRPr="0024114A">
              <w:rPr>
                <w:rFonts w:cs="Times New Roman"/>
                <w:b/>
                <w:szCs w:val="24"/>
                <w:lang w:val="en-US"/>
              </w:rPr>
              <w:t>oral</w:t>
            </w:r>
            <w:r w:rsidRPr="0024114A">
              <w:rPr>
                <w:rFonts w:cs="Times New Roman"/>
                <w:szCs w:val="24"/>
                <w:lang w:val="en-US"/>
              </w:rPr>
              <w:t xml:space="preserve">: </w:t>
            </w:r>
          </w:p>
          <w:p w14:paraId="646978BD" w14:textId="77777777" w:rsidR="00C345C8" w:rsidRPr="0024114A" w:rsidRDefault="00C345C8" w:rsidP="002D6DD7">
            <w:pPr>
              <w:jc w:val="both"/>
              <w:rPr>
                <w:rFonts w:cs="Times New Roman"/>
                <w:szCs w:val="24"/>
                <w:lang w:val="en-US"/>
              </w:rPr>
            </w:pPr>
            <w:r w:rsidRPr="0024114A">
              <w:rPr>
                <w:rFonts w:cs="Times New Roman"/>
                <w:b/>
                <w:szCs w:val="24"/>
                <w:lang w:val="en-US"/>
              </w:rPr>
              <w:t>Child 2–3 months</w:t>
            </w:r>
            <w:r w:rsidRPr="0024114A">
              <w:rPr>
                <w:rFonts w:cs="Times New Roman"/>
                <w:szCs w:val="24"/>
                <w:lang w:val="en-US"/>
              </w:rPr>
              <w:t>: 50 mg for 1 dose, followed by 50 mg after 6 hours if required.</w:t>
            </w:r>
          </w:p>
          <w:p w14:paraId="3D49CF97" w14:textId="77777777" w:rsidR="00C345C8" w:rsidRPr="0024114A" w:rsidRDefault="00C345C8" w:rsidP="002D6DD7">
            <w:pPr>
              <w:jc w:val="both"/>
              <w:rPr>
                <w:rFonts w:cs="Times New Roman"/>
                <w:bCs/>
                <w:i/>
                <w:iCs/>
                <w:szCs w:val="24"/>
                <w:lang w:val="en-US"/>
              </w:rPr>
            </w:pPr>
            <w:r w:rsidRPr="0024114A">
              <w:rPr>
                <w:rFonts w:cs="Times New Roman"/>
                <w:bCs/>
                <w:i/>
                <w:iCs/>
                <w:szCs w:val="24"/>
                <w:lang w:val="en-US"/>
              </w:rPr>
              <w:lastRenderedPageBreak/>
              <w:t>Note: The dose for pain can be increased to 40mg/kg/day (max. 2.4g/day).</w:t>
            </w:r>
          </w:p>
        </w:tc>
      </w:tr>
      <w:tr w:rsidR="00C345C8" w:rsidRPr="0024114A" w14:paraId="7C99BDCE" w14:textId="77777777" w:rsidTr="002D6DD7">
        <w:trPr>
          <w:jc w:val="center"/>
        </w:trPr>
        <w:tc>
          <w:tcPr>
            <w:tcW w:w="2695" w:type="dxa"/>
          </w:tcPr>
          <w:p w14:paraId="47078D31"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52" w:type="dxa"/>
          </w:tcPr>
          <w:p w14:paraId="07C0701D"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acetylsalicylic acid or any other NSAID, active gastrointestinal bleeding/ulceration, history of gastrointestinal bleeding/perforation related to previous NSAID therapy, severe heart failure, varicella infection, severe renal failure, hepatic failure, congenital patent ductus arteriosus.</w:t>
            </w:r>
          </w:p>
        </w:tc>
      </w:tr>
      <w:tr w:rsidR="00C345C8" w:rsidRPr="0024114A" w14:paraId="49B68444" w14:textId="77777777" w:rsidTr="002D6DD7">
        <w:trPr>
          <w:jc w:val="center"/>
        </w:trPr>
        <w:tc>
          <w:tcPr>
            <w:tcW w:w="2695" w:type="dxa"/>
          </w:tcPr>
          <w:p w14:paraId="31138DA9"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52" w:type="dxa"/>
          </w:tcPr>
          <w:p w14:paraId="562E4FC1" w14:textId="77777777" w:rsidR="00C345C8" w:rsidRPr="0024114A" w:rsidRDefault="00C345C8" w:rsidP="002D6DD7">
            <w:pPr>
              <w:jc w:val="both"/>
              <w:rPr>
                <w:rFonts w:cs="Times New Roman"/>
                <w:szCs w:val="24"/>
                <w:lang w:val="en-US"/>
              </w:rPr>
            </w:pPr>
            <w:r w:rsidRPr="0024114A">
              <w:rPr>
                <w:rFonts w:cs="Times New Roman"/>
                <w:szCs w:val="24"/>
                <w:lang w:val="en-US"/>
              </w:rPr>
              <w:t>Acetylsalicylic acid, ciclosporin, dexamethasone, digoxin, enalapril, fuoxetine, furosemide, heparin, hydrocortisone, levofoxacin, lithium, epinephrine, methotrexate, ofoxacin, penicillamine, phenytoin, prednisolone, chlorpromazine, propranolol, ritonavir, spironolactone, lidocaine, warfarin, zidovudine, nifedipine, procainamide, pyridostigmine, quinidine, verapamil.</w:t>
            </w:r>
          </w:p>
        </w:tc>
      </w:tr>
      <w:tr w:rsidR="00C345C8" w:rsidRPr="0024114A" w14:paraId="685B86FB" w14:textId="77777777" w:rsidTr="002D6DD7">
        <w:trPr>
          <w:jc w:val="center"/>
        </w:trPr>
        <w:tc>
          <w:tcPr>
            <w:tcW w:w="2695" w:type="dxa"/>
          </w:tcPr>
          <w:p w14:paraId="79FD06C8"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52" w:type="dxa"/>
          </w:tcPr>
          <w:p w14:paraId="7AFA1DF0" w14:textId="77777777" w:rsidR="00C345C8" w:rsidRPr="0024114A" w:rsidRDefault="00C345C8" w:rsidP="002D6DD7">
            <w:pPr>
              <w:jc w:val="both"/>
              <w:rPr>
                <w:rFonts w:cs="Times New Roman"/>
                <w:szCs w:val="24"/>
                <w:lang w:val="en-US"/>
              </w:rPr>
            </w:pPr>
            <w:r w:rsidRPr="0024114A">
              <w:rPr>
                <w:rFonts w:cs="Times New Roman"/>
                <w:szCs w:val="24"/>
                <w:lang w:val="en-US"/>
              </w:rPr>
              <w:t>GI disturbances including nausea, diarrhea, dyspepsia, ulceration, and hemorrhage, hypersensitivity reactions including rash, angioedema and bronchospasm, fluid retention, impairment of renal function</w:t>
            </w:r>
          </w:p>
        </w:tc>
      </w:tr>
      <w:tr w:rsidR="00C345C8" w:rsidRPr="0024114A" w14:paraId="6F32D949" w14:textId="77777777" w:rsidTr="002D6DD7">
        <w:trPr>
          <w:jc w:val="center"/>
        </w:trPr>
        <w:tc>
          <w:tcPr>
            <w:tcW w:w="2695" w:type="dxa"/>
          </w:tcPr>
          <w:p w14:paraId="1A5642B2"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52" w:type="dxa"/>
          </w:tcPr>
          <w:p w14:paraId="7A4975A3"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Allergic disorders, cardiac impairment, cerebrovascular disease, coagulation defects, connective-tissue disorders, dehydration, elderly, history of gastro-intestinal disorders, contact with eyes and mucous membranes, contact with inflamed or broken skin. </w:t>
            </w:r>
          </w:p>
        </w:tc>
      </w:tr>
      <w:tr w:rsidR="00C345C8" w:rsidRPr="0024114A" w14:paraId="1ED96C46" w14:textId="77777777" w:rsidTr="002D6DD7">
        <w:trPr>
          <w:jc w:val="center"/>
        </w:trPr>
        <w:tc>
          <w:tcPr>
            <w:tcW w:w="2695" w:type="dxa"/>
          </w:tcPr>
          <w:p w14:paraId="0CC6B517"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52" w:type="dxa"/>
          </w:tcPr>
          <w:p w14:paraId="3E1DF8AA"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°C. </w:t>
            </w:r>
            <w:r w:rsidR="00AB27FB">
              <w:rPr>
                <w:rFonts w:cs="Times New Roman"/>
                <w:szCs w:val="24"/>
                <w:lang w:val="en-US"/>
              </w:rPr>
              <w:t>P</w:t>
            </w:r>
            <w:r w:rsidRPr="0024114A">
              <w:rPr>
                <w:rFonts w:cs="Times New Roman"/>
                <w:szCs w:val="24"/>
                <w:lang w:val="en-US"/>
              </w:rPr>
              <w:t>rotect from moisture.</w:t>
            </w:r>
          </w:p>
        </w:tc>
      </w:tr>
      <w:tr w:rsidR="00C345C8" w:rsidRPr="0024114A" w14:paraId="379AB605" w14:textId="77777777" w:rsidTr="002D6DD7">
        <w:trPr>
          <w:jc w:val="center"/>
        </w:trPr>
        <w:tc>
          <w:tcPr>
            <w:tcW w:w="9247" w:type="dxa"/>
            <w:gridSpan w:val="2"/>
          </w:tcPr>
          <w:p w14:paraId="161B7D18" w14:textId="77777777" w:rsidR="00C345C8" w:rsidRPr="0024114A" w:rsidRDefault="00C345C8" w:rsidP="002D6DD7">
            <w:pPr>
              <w:jc w:val="both"/>
              <w:rPr>
                <w:rFonts w:cs="Times New Roman"/>
                <w:szCs w:val="24"/>
                <w:lang w:val="en-US"/>
              </w:rPr>
            </w:pPr>
            <w:r w:rsidRPr="0024114A">
              <w:rPr>
                <w:rFonts w:cs="Times New Roman"/>
                <w:b/>
                <w:bCs/>
                <w:szCs w:val="24"/>
                <w:lang w:val="en-US"/>
              </w:rPr>
              <w:t>Paracetamol (Acetaminophen)</w:t>
            </w:r>
          </w:p>
        </w:tc>
      </w:tr>
      <w:tr w:rsidR="00C345C8" w:rsidRPr="0024114A" w14:paraId="1E3F47CF" w14:textId="77777777" w:rsidTr="002D6DD7">
        <w:trPr>
          <w:jc w:val="center"/>
        </w:trPr>
        <w:tc>
          <w:tcPr>
            <w:tcW w:w="2695" w:type="dxa"/>
          </w:tcPr>
          <w:p w14:paraId="4545AF6A"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52" w:type="dxa"/>
          </w:tcPr>
          <w:p w14:paraId="1D6747EE" w14:textId="77777777" w:rsidR="00C345C8" w:rsidRPr="0024114A" w:rsidRDefault="00C345C8" w:rsidP="002D6DD7">
            <w:pPr>
              <w:jc w:val="both"/>
              <w:rPr>
                <w:rFonts w:cs="Times New Roman"/>
                <w:szCs w:val="24"/>
                <w:lang w:val="en-US"/>
              </w:rPr>
            </w:pPr>
            <w:r w:rsidRPr="0024114A">
              <w:rPr>
                <w:rFonts w:cs="Times New Roman"/>
                <w:szCs w:val="24"/>
                <w:lang w:val="en-US"/>
              </w:rPr>
              <w:t>Non-opioid analgesic</w:t>
            </w:r>
          </w:p>
        </w:tc>
      </w:tr>
      <w:tr w:rsidR="00C345C8" w:rsidRPr="0024114A" w14:paraId="11E80D10" w14:textId="77777777" w:rsidTr="002D6DD7">
        <w:trPr>
          <w:jc w:val="center"/>
        </w:trPr>
        <w:tc>
          <w:tcPr>
            <w:tcW w:w="2695" w:type="dxa"/>
          </w:tcPr>
          <w:p w14:paraId="7CB29B93"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52" w:type="dxa"/>
          </w:tcPr>
          <w:p w14:paraId="6B074C43" w14:textId="77777777" w:rsidR="00C345C8" w:rsidRPr="0024114A" w:rsidRDefault="00C345C8" w:rsidP="002D6DD7">
            <w:pPr>
              <w:jc w:val="both"/>
              <w:rPr>
                <w:rFonts w:cs="Times New Roman"/>
                <w:szCs w:val="24"/>
                <w:lang w:val="en-US"/>
              </w:rPr>
            </w:pPr>
            <w:r w:rsidRPr="0024114A">
              <w:rPr>
                <w:rFonts w:cs="Times New Roman"/>
                <w:szCs w:val="24"/>
                <w:lang w:val="en-US"/>
              </w:rPr>
              <w:t>Drops: 100mg/ml</w:t>
            </w:r>
          </w:p>
          <w:p w14:paraId="12059BE8" w14:textId="77777777" w:rsidR="00C345C8" w:rsidRPr="0024114A" w:rsidRDefault="00C345C8" w:rsidP="002D6DD7">
            <w:pPr>
              <w:jc w:val="both"/>
              <w:rPr>
                <w:rFonts w:cs="Times New Roman"/>
                <w:szCs w:val="24"/>
                <w:lang w:val="en-US"/>
              </w:rPr>
            </w:pPr>
            <w:r w:rsidRPr="0024114A">
              <w:rPr>
                <w:rFonts w:cs="Times New Roman"/>
                <w:szCs w:val="24"/>
                <w:lang w:val="en-US"/>
              </w:rPr>
              <w:t>Injection: 1gm in 100ml</w:t>
            </w:r>
          </w:p>
          <w:p w14:paraId="7C3AC69B" w14:textId="77777777" w:rsidR="00C345C8" w:rsidRPr="0024114A" w:rsidRDefault="00C345C8" w:rsidP="002D6DD7">
            <w:pPr>
              <w:jc w:val="both"/>
              <w:rPr>
                <w:rFonts w:cs="Times New Roman"/>
                <w:szCs w:val="24"/>
                <w:lang w:val="en-US"/>
              </w:rPr>
            </w:pPr>
            <w:r w:rsidRPr="0024114A">
              <w:rPr>
                <w:rFonts w:cs="Times New Roman"/>
                <w:szCs w:val="24"/>
                <w:lang w:val="en-US"/>
              </w:rPr>
              <w:t>Syrup: 125mg/5ml, 250mg/5ml</w:t>
            </w:r>
          </w:p>
          <w:p w14:paraId="75E21267" w14:textId="77777777" w:rsidR="00C345C8" w:rsidRPr="0024114A" w:rsidRDefault="00C345C8" w:rsidP="002D6DD7">
            <w:pPr>
              <w:jc w:val="both"/>
              <w:rPr>
                <w:rFonts w:cs="Times New Roman"/>
                <w:color w:val="000000"/>
                <w:szCs w:val="24"/>
                <w:lang w:val="en-US"/>
              </w:rPr>
            </w:pPr>
            <w:r w:rsidRPr="0024114A">
              <w:rPr>
                <w:rFonts w:cs="Times New Roman"/>
                <w:color w:val="000000"/>
                <w:szCs w:val="24"/>
                <w:lang w:val="en-US"/>
              </w:rPr>
              <w:t xml:space="preserve">Suppository: 125 mg, 250 mg </w:t>
            </w:r>
          </w:p>
          <w:p w14:paraId="7CE90169" w14:textId="77777777" w:rsidR="00C345C8" w:rsidRPr="0024114A" w:rsidRDefault="00C345C8" w:rsidP="002D6DD7">
            <w:pPr>
              <w:jc w:val="both"/>
              <w:rPr>
                <w:rFonts w:cs="Times New Roman"/>
                <w:szCs w:val="24"/>
                <w:lang w:val="en-US"/>
              </w:rPr>
            </w:pPr>
            <w:r w:rsidRPr="0024114A">
              <w:rPr>
                <w:rFonts w:cs="Times New Roman"/>
                <w:color w:val="000000"/>
                <w:szCs w:val="24"/>
                <w:lang w:val="en-US"/>
              </w:rPr>
              <w:t>Tablet:100 mg, 500mg</w:t>
            </w:r>
          </w:p>
        </w:tc>
      </w:tr>
      <w:tr w:rsidR="00C345C8" w:rsidRPr="0024114A" w14:paraId="65414AF9" w14:textId="77777777" w:rsidTr="002D6DD7">
        <w:trPr>
          <w:jc w:val="center"/>
        </w:trPr>
        <w:tc>
          <w:tcPr>
            <w:tcW w:w="2695" w:type="dxa"/>
          </w:tcPr>
          <w:p w14:paraId="0E49D24B"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52" w:type="dxa"/>
          </w:tcPr>
          <w:p w14:paraId="4115328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Mild to moderate pain, including dysmenorrhea and headache, </w:t>
            </w:r>
            <w:r w:rsidRPr="0024114A">
              <w:rPr>
                <w:rFonts w:cs="Times New Roman"/>
                <w:szCs w:val="24"/>
                <w:lang w:val="en-US"/>
              </w:rPr>
              <w:lastRenderedPageBreak/>
              <w:t>pain relief in osteoarthritis and soft tissue lesions, pyrexia, including post-immunization pyrexia, acute migraine attack</w:t>
            </w:r>
            <w:r w:rsidR="00F11B03">
              <w:rPr>
                <w:rFonts w:cs="Times New Roman"/>
                <w:szCs w:val="24"/>
                <w:lang w:val="en-US"/>
              </w:rPr>
              <w:t>.</w:t>
            </w:r>
          </w:p>
        </w:tc>
      </w:tr>
      <w:tr w:rsidR="00C345C8" w:rsidRPr="0024114A" w14:paraId="6926EDC1" w14:textId="77777777" w:rsidTr="002D6DD7">
        <w:trPr>
          <w:jc w:val="center"/>
        </w:trPr>
        <w:tc>
          <w:tcPr>
            <w:tcW w:w="2695" w:type="dxa"/>
          </w:tcPr>
          <w:p w14:paraId="14E6270C"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lastRenderedPageBreak/>
              <w:t>Dose and administration</w:t>
            </w:r>
          </w:p>
        </w:tc>
        <w:tc>
          <w:tcPr>
            <w:tcW w:w="6552" w:type="dxa"/>
          </w:tcPr>
          <w:p w14:paraId="5C74C31C"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Mild to moderate pain, pyrexia, </w:t>
            </w:r>
            <w:r w:rsidRPr="0024114A">
              <w:rPr>
                <w:rFonts w:cs="Times New Roman"/>
                <w:b/>
                <w:szCs w:val="24"/>
                <w:lang w:val="en-US"/>
              </w:rPr>
              <w:t>oral:</w:t>
            </w:r>
          </w:p>
          <w:p w14:paraId="066DFB84"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0.5–1 g every 4–6 hours, maximum 4 g daily</w:t>
            </w:r>
          </w:p>
          <w:p w14:paraId="4456B179" w14:textId="77777777" w:rsidR="00C345C8" w:rsidRPr="0024114A" w:rsidRDefault="00C345C8" w:rsidP="002D6DD7">
            <w:pPr>
              <w:jc w:val="both"/>
              <w:rPr>
                <w:rFonts w:cs="Times New Roman"/>
                <w:b/>
                <w:szCs w:val="24"/>
                <w:lang w:val="en-US"/>
              </w:rPr>
            </w:pPr>
            <w:r w:rsidRPr="0024114A">
              <w:rPr>
                <w:rFonts w:cs="Times New Roman"/>
                <w:b/>
                <w:szCs w:val="24"/>
                <w:lang w:val="en-US"/>
              </w:rPr>
              <w:t>By IV infusion:</w:t>
            </w:r>
          </w:p>
          <w:p w14:paraId="4CE3437A" w14:textId="77777777" w:rsidR="00C345C8" w:rsidRPr="0024114A" w:rsidRDefault="00C345C8" w:rsidP="002D6DD7">
            <w:pPr>
              <w:jc w:val="both"/>
              <w:rPr>
                <w:rFonts w:cs="Times New Roman"/>
                <w:szCs w:val="24"/>
                <w:lang w:val="en-US"/>
              </w:rPr>
            </w:pPr>
            <w:r w:rsidRPr="0024114A">
              <w:rPr>
                <w:rFonts w:cs="Times New Roman"/>
                <w:b/>
                <w:szCs w:val="24"/>
                <w:lang w:val="en-US"/>
              </w:rPr>
              <w:t>Body weight up to 50 kg:</w:t>
            </w:r>
            <w:r w:rsidRPr="0024114A">
              <w:rPr>
                <w:rFonts w:cs="Times New Roman"/>
                <w:szCs w:val="24"/>
                <w:lang w:val="en-US"/>
              </w:rPr>
              <w:t xml:space="preserve"> 15 mg/kg every 4–6 hours;dose to be administered over 15 minutes; maximum 60 mg/kg per day</w:t>
            </w:r>
          </w:p>
          <w:p w14:paraId="45A074F7" w14:textId="77777777" w:rsidR="00C345C8" w:rsidRPr="0024114A" w:rsidRDefault="00C345C8" w:rsidP="002D6DD7">
            <w:pPr>
              <w:jc w:val="both"/>
              <w:rPr>
                <w:rFonts w:cs="Times New Roman"/>
                <w:szCs w:val="24"/>
                <w:lang w:val="en-US"/>
              </w:rPr>
            </w:pPr>
            <w:r w:rsidRPr="0024114A">
              <w:rPr>
                <w:rFonts w:cs="Times New Roman"/>
                <w:b/>
                <w:szCs w:val="24"/>
                <w:lang w:val="en-US"/>
              </w:rPr>
              <w:t>Body weight 50 kg and above</w:t>
            </w:r>
            <w:r w:rsidRPr="0024114A">
              <w:rPr>
                <w:rFonts w:cs="Times New Roman"/>
                <w:szCs w:val="24"/>
                <w:lang w:val="en-US"/>
              </w:rPr>
              <w:t>: 1 g every4–6 hours, dose to be administered over 15 minutes;maximum 4 g per day</w:t>
            </w:r>
          </w:p>
          <w:p w14:paraId="37B3F2CF" w14:textId="77777777" w:rsidR="00C345C8" w:rsidRPr="0024114A" w:rsidRDefault="00C345C8" w:rsidP="002D6DD7">
            <w:pPr>
              <w:jc w:val="both"/>
              <w:rPr>
                <w:rFonts w:cs="Times New Roman"/>
                <w:szCs w:val="24"/>
                <w:lang w:val="en-US"/>
              </w:rPr>
            </w:pPr>
            <w:r w:rsidRPr="0024114A">
              <w:rPr>
                <w:rFonts w:cs="Times New Roman"/>
                <w:b/>
                <w:szCs w:val="24"/>
                <w:lang w:val="en-US"/>
              </w:rPr>
              <w:t>By rectum</w:t>
            </w:r>
            <w:r w:rsidRPr="0024114A">
              <w:rPr>
                <w:rFonts w:cs="Times New Roman"/>
                <w:szCs w:val="24"/>
                <w:lang w:val="en-US"/>
              </w:rPr>
              <w:t xml:space="preserve">: </w:t>
            </w:r>
          </w:p>
          <w:p w14:paraId="0D76C931"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0.5–1 g every 4–6 hours; maximum 4 g per day</w:t>
            </w:r>
          </w:p>
          <w:p w14:paraId="2111160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Mild to moderate pain or pyrexia in patients with riskfactors for hepatotoxicity, </w:t>
            </w:r>
            <w:r w:rsidRPr="0024114A">
              <w:rPr>
                <w:rFonts w:cs="Times New Roman"/>
                <w:b/>
                <w:szCs w:val="24"/>
                <w:lang w:val="en-US"/>
              </w:rPr>
              <w:t>by IV infusion:</w:t>
            </w:r>
          </w:p>
          <w:p w14:paraId="27879B82" w14:textId="77777777" w:rsidR="00C345C8" w:rsidRPr="0024114A" w:rsidRDefault="00C345C8" w:rsidP="002D6DD7">
            <w:pPr>
              <w:jc w:val="both"/>
              <w:rPr>
                <w:rFonts w:cs="Times New Roman"/>
                <w:szCs w:val="24"/>
                <w:lang w:val="en-US"/>
              </w:rPr>
            </w:pPr>
            <w:r w:rsidRPr="0024114A">
              <w:rPr>
                <w:rFonts w:cs="Times New Roman"/>
                <w:b/>
                <w:szCs w:val="24"/>
                <w:lang w:val="en-US"/>
              </w:rPr>
              <w:t>Body weight up to 50 kg:</w:t>
            </w:r>
            <w:r w:rsidRPr="0024114A">
              <w:rPr>
                <w:rFonts w:cs="Times New Roman"/>
                <w:szCs w:val="24"/>
                <w:lang w:val="en-US"/>
              </w:rPr>
              <w:t xml:space="preserve"> 15 mg/kg every 4–6 hours, dose to be administered over 15 minutes, maximum 60 mg/kg per day</w:t>
            </w:r>
          </w:p>
          <w:p w14:paraId="18659934" w14:textId="77777777" w:rsidR="00C345C8" w:rsidRPr="0024114A" w:rsidRDefault="00C345C8" w:rsidP="002D6DD7">
            <w:pPr>
              <w:jc w:val="both"/>
              <w:rPr>
                <w:rFonts w:cs="Times New Roman"/>
                <w:szCs w:val="24"/>
                <w:lang w:val="en-US"/>
              </w:rPr>
            </w:pPr>
            <w:r w:rsidRPr="0024114A">
              <w:rPr>
                <w:rFonts w:cs="Times New Roman"/>
                <w:b/>
                <w:szCs w:val="24"/>
                <w:lang w:val="en-US"/>
              </w:rPr>
              <w:t>Body weight 50 kg and above</w:t>
            </w:r>
            <w:r w:rsidRPr="0024114A">
              <w:rPr>
                <w:rFonts w:cs="Times New Roman"/>
                <w:szCs w:val="24"/>
                <w:lang w:val="en-US"/>
              </w:rPr>
              <w:t>: 1 g every 4–6 hours; dose to be administered over 15 minutes; maximum 3 g per day</w:t>
            </w:r>
          </w:p>
          <w:p w14:paraId="0CB3249A" w14:textId="77777777" w:rsidR="00C345C8" w:rsidRPr="0024114A" w:rsidRDefault="00C345C8" w:rsidP="002D6DD7">
            <w:pPr>
              <w:jc w:val="both"/>
              <w:rPr>
                <w:rFonts w:cs="Times New Roman"/>
                <w:szCs w:val="24"/>
                <w:lang w:val="en-US"/>
              </w:rPr>
            </w:pPr>
            <w:r w:rsidRPr="0024114A">
              <w:rPr>
                <w:rFonts w:cs="Times New Roman"/>
                <w:b/>
                <w:bCs/>
                <w:szCs w:val="24"/>
                <w:lang w:val="en-US"/>
              </w:rPr>
              <w:t>Acute migraine</w:t>
            </w:r>
            <w:r w:rsidRPr="0024114A">
              <w:rPr>
                <w:rFonts w:cs="Times New Roman"/>
                <w:szCs w:val="24"/>
                <w:lang w:val="en-US"/>
              </w:rPr>
              <w:t xml:space="preserve">, </w:t>
            </w:r>
            <w:r w:rsidRPr="0024114A">
              <w:rPr>
                <w:rFonts w:cs="Times New Roman"/>
                <w:b/>
                <w:szCs w:val="24"/>
                <w:lang w:val="en-US"/>
              </w:rPr>
              <w:t>oral</w:t>
            </w:r>
            <w:r w:rsidRPr="0024114A">
              <w:rPr>
                <w:rFonts w:cs="Times New Roman"/>
                <w:szCs w:val="24"/>
                <w:lang w:val="en-US"/>
              </w:rPr>
              <w:t>:</w:t>
            </w:r>
          </w:p>
          <w:p w14:paraId="4F8FF113"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1 g for 1 dose, to be taken as soon as migraine symptoms develop</w:t>
            </w:r>
          </w:p>
          <w:p w14:paraId="60204A88" w14:textId="77777777" w:rsidR="00C345C8" w:rsidRPr="0024114A" w:rsidRDefault="00C345C8" w:rsidP="002D6DD7">
            <w:pPr>
              <w:jc w:val="both"/>
              <w:rPr>
                <w:rFonts w:cs="Times New Roman"/>
                <w:szCs w:val="24"/>
                <w:lang w:val="en-US"/>
              </w:rPr>
            </w:pPr>
            <w:r w:rsidRPr="0024114A">
              <w:rPr>
                <w:rFonts w:cs="Times New Roman"/>
                <w:b/>
                <w:bCs/>
                <w:szCs w:val="24"/>
                <w:lang w:val="en-US"/>
              </w:rPr>
              <w:t>Mild to moderate pain</w:t>
            </w:r>
            <w:r w:rsidRPr="0024114A">
              <w:rPr>
                <w:rFonts w:cs="Times New Roman"/>
                <w:szCs w:val="24"/>
                <w:lang w:val="en-US"/>
              </w:rPr>
              <w:t xml:space="preserve">, </w:t>
            </w:r>
            <w:r w:rsidRPr="0024114A">
              <w:rPr>
                <w:rFonts w:cs="Times New Roman"/>
                <w:b/>
                <w:bCs/>
                <w:szCs w:val="24"/>
                <w:lang w:val="en-US"/>
              </w:rPr>
              <w:t>fever</w:t>
            </w:r>
            <w:r w:rsidRPr="0024114A">
              <w:rPr>
                <w:rFonts w:cs="Times New Roman"/>
                <w:szCs w:val="24"/>
                <w:lang w:val="en-US"/>
              </w:rPr>
              <w:t xml:space="preserve">, </w:t>
            </w:r>
            <w:r w:rsidRPr="0024114A">
              <w:rPr>
                <w:rFonts w:cs="Times New Roman"/>
                <w:b/>
                <w:szCs w:val="24"/>
                <w:lang w:val="en-US"/>
              </w:rPr>
              <w:t>oral:</w:t>
            </w:r>
          </w:p>
          <w:p w14:paraId="51D81B12" w14:textId="77777777" w:rsidR="00C345C8" w:rsidRPr="0024114A" w:rsidRDefault="00C345C8" w:rsidP="002D6DD7">
            <w:pPr>
              <w:jc w:val="both"/>
              <w:rPr>
                <w:rFonts w:cs="Times New Roman"/>
                <w:szCs w:val="24"/>
                <w:lang w:val="en-US"/>
              </w:rPr>
            </w:pPr>
            <w:r w:rsidRPr="0024114A">
              <w:rPr>
                <w:rFonts w:cs="Times New Roman"/>
                <w:b/>
                <w:bCs/>
                <w:szCs w:val="24"/>
                <w:lang w:val="en-US"/>
              </w:rPr>
              <w:t>Child 3–5 month</w:t>
            </w:r>
            <w:r w:rsidRPr="0024114A">
              <w:rPr>
                <w:rFonts w:cs="Times New Roman"/>
                <w:szCs w:val="24"/>
                <w:lang w:val="en-US"/>
              </w:rPr>
              <w:t>s: 60 mg every 4–6 hours, maximum 4 doses per day</w:t>
            </w:r>
          </w:p>
          <w:p w14:paraId="6A936F4F" w14:textId="77777777" w:rsidR="00C345C8" w:rsidRPr="0024114A" w:rsidRDefault="00C345C8" w:rsidP="002D6DD7">
            <w:pPr>
              <w:jc w:val="both"/>
              <w:rPr>
                <w:rFonts w:cs="Times New Roman"/>
                <w:szCs w:val="24"/>
                <w:lang w:val="en-US"/>
              </w:rPr>
            </w:pPr>
            <w:r w:rsidRPr="0024114A">
              <w:rPr>
                <w:rFonts w:cs="Times New Roman"/>
                <w:b/>
                <w:bCs/>
                <w:szCs w:val="24"/>
                <w:lang w:val="en-US"/>
              </w:rPr>
              <w:t>Child 6–23 months:</w:t>
            </w:r>
            <w:r w:rsidRPr="0024114A">
              <w:rPr>
                <w:rFonts w:cs="Times New Roman"/>
                <w:szCs w:val="24"/>
                <w:lang w:val="en-US"/>
              </w:rPr>
              <w:t xml:space="preserve"> 120 mg every 4–6 hours, maximum4 doses per day</w:t>
            </w:r>
          </w:p>
          <w:p w14:paraId="35220783" w14:textId="77777777" w:rsidR="00C345C8" w:rsidRPr="0024114A" w:rsidRDefault="00C345C8" w:rsidP="002D6DD7">
            <w:pPr>
              <w:jc w:val="both"/>
              <w:rPr>
                <w:rFonts w:cs="Times New Roman"/>
                <w:szCs w:val="24"/>
                <w:lang w:val="en-US"/>
              </w:rPr>
            </w:pPr>
            <w:r w:rsidRPr="0024114A">
              <w:rPr>
                <w:rFonts w:cs="Times New Roman"/>
                <w:b/>
                <w:bCs/>
                <w:szCs w:val="24"/>
                <w:lang w:val="en-US"/>
              </w:rPr>
              <w:t>Child 2–3 years</w:t>
            </w:r>
            <w:r w:rsidRPr="0024114A">
              <w:rPr>
                <w:rFonts w:cs="Times New Roman"/>
                <w:szCs w:val="24"/>
                <w:lang w:val="en-US"/>
              </w:rPr>
              <w:t>: 180 mg every 4–6 hours, maximum4 doses per day</w:t>
            </w:r>
          </w:p>
          <w:p w14:paraId="7586EFF3" w14:textId="77777777" w:rsidR="00C345C8" w:rsidRPr="0024114A" w:rsidRDefault="00C345C8" w:rsidP="002D6DD7">
            <w:pPr>
              <w:jc w:val="both"/>
              <w:rPr>
                <w:rFonts w:cs="Times New Roman"/>
                <w:szCs w:val="24"/>
                <w:lang w:val="en-US"/>
              </w:rPr>
            </w:pPr>
            <w:r w:rsidRPr="0024114A">
              <w:rPr>
                <w:rFonts w:cs="Times New Roman"/>
                <w:b/>
                <w:bCs/>
                <w:szCs w:val="24"/>
                <w:lang w:val="en-US"/>
              </w:rPr>
              <w:t>Child 4–5 years</w:t>
            </w:r>
            <w:r w:rsidRPr="0024114A">
              <w:rPr>
                <w:rFonts w:cs="Times New Roman"/>
                <w:szCs w:val="24"/>
                <w:lang w:val="en-US"/>
              </w:rPr>
              <w:t>: 240 mg every 4–6 hours, maximum 4 doses per day</w:t>
            </w:r>
          </w:p>
          <w:p w14:paraId="54B0226E" w14:textId="77777777" w:rsidR="00C345C8" w:rsidRPr="0024114A" w:rsidRDefault="00C345C8" w:rsidP="002D6DD7">
            <w:pPr>
              <w:jc w:val="both"/>
              <w:rPr>
                <w:rFonts w:cs="Times New Roman"/>
                <w:szCs w:val="24"/>
                <w:lang w:val="en-US"/>
              </w:rPr>
            </w:pPr>
            <w:r w:rsidRPr="0024114A">
              <w:rPr>
                <w:rFonts w:cs="Times New Roman"/>
                <w:b/>
                <w:bCs/>
                <w:szCs w:val="24"/>
                <w:lang w:val="en-US"/>
              </w:rPr>
              <w:t>Child 6–7 years</w:t>
            </w:r>
            <w:r w:rsidRPr="0024114A">
              <w:rPr>
                <w:rFonts w:cs="Times New Roman"/>
                <w:szCs w:val="24"/>
                <w:lang w:val="en-US"/>
              </w:rPr>
              <w:t>: 240–250 mg every 4–6 hours, maximum 4 doses per day</w:t>
            </w:r>
          </w:p>
          <w:p w14:paraId="0425B832" w14:textId="77777777" w:rsidR="00C345C8" w:rsidRPr="0024114A" w:rsidRDefault="00C345C8" w:rsidP="002D6DD7">
            <w:pPr>
              <w:jc w:val="both"/>
              <w:rPr>
                <w:rFonts w:cs="Times New Roman"/>
                <w:szCs w:val="24"/>
                <w:lang w:val="en-US"/>
              </w:rPr>
            </w:pPr>
            <w:r w:rsidRPr="0024114A">
              <w:rPr>
                <w:rFonts w:cs="Times New Roman"/>
                <w:b/>
                <w:bCs/>
                <w:szCs w:val="24"/>
                <w:lang w:val="en-US"/>
              </w:rPr>
              <w:lastRenderedPageBreak/>
              <w:t>Child 8–9 year</w:t>
            </w:r>
            <w:r w:rsidRPr="0024114A">
              <w:rPr>
                <w:rFonts w:cs="Times New Roman"/>
                <w:szCs w:val="24"/>
                <w:lang w:val="en-US"/>
              </w:rPr>
              <w:t>s: 360–375 mg every 4–6 hours, maximum 4 doses per day</w:t>
            </w:r>
          </w:p>
          <w:p w14:paraId="36180EA9" w14:textId="77777777" w:rsidR="00C345C8" w:rsidRPr="0024114A" w:rsidRDefault="00C345C8" w:rsidP="002D6DD7">
            <w:pPr>
              <w:jc w:val="both"/>
              <w:rPr>
                <w:rFonts w:cs="Times New Roman"/>
                <w:szCs w:val="24"/>
                <w:lang w:val="en-US"/>
              </w:rPr>
            </w:pPr>
            <w:r w:rsidRPr="0024114A">
              <w:rPr>
                <w:rFonts w:cs="Times New Roman"/>
                <w:b/>
                <w:bCs/>
                <w:szCs w:val="24"/>
                <w:lang w:val="en-US"/>
              </w:rPr>
              <w:t>Child 10–11 year</w:t>
            </w:r>
            <w:r w:rsidRPr="0024114A">
              <w:rPr>
                <w:rFonts w:cs="Times New Roman"/>
                <w:szCs w:val="24"/>
                <w:lang w:val="en-US"/>
              </w:rPr>
              <w:t>s: 480–500 mg every 4–6 hours, maximum 4 doses per day</w:t>
            </w:r>
          </w:p>
          <w:p w14:paraId="53F74196"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12–15 years</w:t>
            </w:r>
            <w:r w:rsidRPr="0024114A">
              <w:rPr>
                <w:rFonts w:cs="Times New Roman"/>
                <w:szCs w:val="24"/>
                <w:lang w:val="en-US"/>
              </w:rPr>
              <w:t>: 480–750 mg every 4–6 hours, maximum 4 doses per day</w:t>
            </w:r>
          </w:p>
          <w:p w14:paraId="4F9BE950" w14:textId="77777777" w:rsidR="00C345C8" w:rsidRPr="0024114A" w:rsidRDefault="00C345C8" w:rsidP="002D6DD7">
            <w:pPr>
              <w:jc w:val="both"/>
              <w:rPr>
                <w:rFonts w:cs="Times New Roman"/>
                <w:szCs w:val="24"/>
                <w:lang w:val="en-US"/>
              </w:rPr>
            </w:pPr>
            <w:r w:rsidRPr="0024114A">
              <w:rPr>
                <w:rFonts w:cs="Times New Roman"/>
                <w:b/>
                <w:bCs/>
                <w:szCs w:val="24"/>
                <w:lang w:val="en-US"/>
              </w:rPr>
              <w:t>Child 16–17 years:</w:t>
            </w:r>
            <w:r w:rsidRPr="0024114A">
              <w:rPr>
                <w:rFonts w:cs="Times New Roman"/>
                <w:szCs w:val="24"/>
                <w:lang w:val="en-US"/>
              </w:rPr>
              <w:t xml:space="preserve"> 0.5–1 g every 4–6 hours, maximum 4 doses per day</w:t>
            </w:r>
          </w:p>
          <w:p w14:paraId="2B528964" w14:textId="77777777" w:rsidR="00C345C8" w:rsidRPr="0024114A" w:rsidRDefault="00C345C8" w:rsidP="002D6DD7">
            <w:pPr>
              <w:jc w:val="both"/>
              <w:rPr>
                <w:rFonts w:cs="Times New Roman"/>
                <w:szCs w:val="24"/>
                <w:lang w:val="en-US"/>
              </w:rPr>
            </w:pPr>
            <w:r w:rsidRPr="0024114A">
              <w:rPr>
                <w:rFonts w:cs="Times New Roman"/>
                <w:b/>
                <w:bCs/>
                <w:szCs w:val="24"/>
                <w:lang w:val="en-US"/>
              </w:rPr>
              <w:t>Mild to moderate pain, fever,</w:t>
            </w:r>
            <w:r>
              <w:rPr>
                <w:rFonts w:cs="Times New Roman"/>
                <w:b/>
                <w:bCs/>
                <w:szCs w:val="24"/>
                <w:lang w:val="en-US"/>
              </w:rPr>
              <w:t xml:space="preserve"> </w:t>
            </w:r>
            <w:r w:rsidRPr="0024114A">
              <w:rPr>
                <w:rFonts w:cs="Times New Roman"/>
                <w:b/>
                <w:szCs w:val="24"/>
                <w:lang w:val="en-US"/>
              </w:rPr>
              <w:t>by rectum</w:t>
            </w:r>
            <w:r w:rsidRPr="0024114A">
              <w:rPr>
                <w:rFonts w:cs="Times New Roman"/>
                <w:szCs w:val="24"/>
                <w:lang w:val="en-US"/>
              </w:rPr>
              <w:t>:</w:t>
            </w:r>
          </w:p>
          <w:p w14:paraId="186D8750" w14:textId="77777777" w:rsidR="00C345C8" w:rsidRPr="0024114A" w:rsidRDefault="00C345C8" w:rsidP="002D6DD7">
            <w:pPr>
              <w:jc w:val="both"/>
              <w:rPr>
                <w:rFonts w:cs="Times New Roman"/>
                <w:szCs w:val="24"/>
                <w:lang w:val="en-US"/>
              </w:rPr>
            </w:pPr>
            <w:r w:rsidRPr="0024114A">
              <w:rPr>
                <w:rFonts w:cs="Times New Roman"/>
                <w:b/>
                <w:bCs/>
                <w:szCs w:val="24"/>
                <w:lang w:val="en-US"/>
              </w:rPr>
              <w:t>Child 3–11 month</w:t>
            </w:r>
            <w:r w:rsidRPr="0024114A">
              <w:rPr>
                <w:rFonts w:cs="Times New Roman"/>
                <w:szCs w:val="24"/>
                <w:lang w:val="en-US"/>
              </w:rPr>
              <w:t>s: 60–125 mg every 4–6 hours as required, maximum 4 doses per day</w:t>
            </w:r>
          </w:p>
          <w:p w14:paraId="3CECD491" w14:textId="77777777" w:rsidR="00C345C8" w:rsidRPr="0024114A" w:rsidRDefault="00C345C8" w:rsidP="002D6DD7">
            <w:pPr>
              <w:jc w:val="both"/>
              <w:rPr>
                <w:rFonts w:cs="Times New Roman"/>
                <w:szCs w:val="24"/>
                <w:lang w:val="en-US"/>
              </w:rPr>
            </w:pPr>
            <w:r w:rsidRPr="0024114A">
              <w:rPr>
                <w:rFonts w:cs="Times New Roman"/>
                <w:b/>
                <w:szCs w:val="24"/>
                <w:lang w:val="en-US"/>
              </w:rPr>
              <w:t>Child 1–4 years</w:t>
            </w:r>
            <w:r w:rsidRPr="0024114A">
              <w:rPr>
                <w:rFonts w:cs="Times New Roman"/>
                <w:szCs w:val="24"/>
                <w:lang w:val="en-US"/>
              </w:rPr>
              <w:t>: 125–250 mg every 4–6 hours as required, maximum 4 doses per day</w:t>
            </w:r>
          </w:p>
          <w:p w14:paraId="64A3839C" w14:textId="77777777" w:rsidR="00C345C8" w:rsidRPr="0024114A" w:rsidRDefault="00C345C8" w:rsidP="002D6DD7">
            <w:pPr>
              <w:jc w:val="both"/>
              <w:rPr>
                <w:rFonts w:cs="Times New Roman"/>
                <w:szCs w:val="24"/>
                <w:lang w:val="en-US"/>
              </w:rPr>
            </w:pPr>
            <w:r w:rsidRPr="0024114A">
              <w:rPr>
                <w:rFonts w:cs="Times New Roman"/>
                <w:b/>
                <w:bCs/>
                <w:szCs w:val="24"/>
                <w:lang w:val="en-US"/>
              </w:rPr>
              <w:t>Child 5–11 year</w:t>
            </w:r>
            <w:r w:rsidRPr="0024114A">
              <w:rPr>
                <w:rFonts w:cs="Times New Roman"/>
                <w:szCs w:val="24"/>
                <w:lang w:val="en-US"/>
              </w:rPr>
              <w:t xml:space="preserve">s: 250–500 mg every 4–6 hours as required, maximum 4 doses per day Child 12–17 years: 500 mg every 4–6 hours post-immunization fever in infants, </w:t>
            </w:r>
            <w:r w:rsidRPr="0024114A">
              <w:rPr>
                <w:rFonts w:cs="Times New Roman"/>
                <w:b/>
                <w:szCs w:val="24"/>
                <w:lang w:val="en-US"/>
              </w:rPr>
              <w:t>oral</w:t>
            </w:r>
          </w:p>
          <w:p w14:paraId="6FFCD5B4" w14:textId="77777777" w:rsidR="00C345C8" w:rsidRPr="0024114A" w:rsidRDefault="00C345C8" w:rsidP="002D6DD7">
            <w:pPr>
              <w:jc w:val="both"/>
              <w:rPr>
                <w:rFonts w:cs="Times New Roman"/>
                <w:szCs w:val="24"/>
                <w:lang w:val="en-US"/>
              </w:rPr>
            </w:pPr>
            <w:r w:rsidRPr="0024114A">
              <w:rPr>
                <w:rFonts w:cs="Times New Roman"/>
                <w:b/>
                <w:bCs/>
                <w:szCs w:val="24"/>
                <w:lang w:val="en-US"/>
              </w:rPr>
              <w:t>Child 2–3 month</w:t>
            </w:r>
            <w:r w:rsidRPr="0024114A">
              <w:rPr>
                <w:rFonts w:cs="Times New Roman"/>
                <w:szCs w:val="24"/>
                <w:lang w:val="en-US"/>
              </w:rPr>
              <w:t>s: 60 mg for 1 dose, then 60 mg after 4–6 hours if required</w:t>
            </w:r>
          </w:p>
          <w:p w14:paraId="519F5905" w14:textId="77777777" w:rsidR="00C345C8" w:rsidRPr="0024114A" w:rsidRDefault="00C345C8" w:rsidP="002D6DD7">
            <w:pPr>
              <w:jc w:val="both"/>
              <w:rPr>
                <w:rFonts w:cs="Times New Roman"/>
                <w:szCs w:val="24"/>
                <w:lang w:val="en-US"/>
              </w:rPr>
            </w:pPr>
            <w:r w:rsidRPr="0024114A">
              <w:rPr>
                <w:rFonts w:cs="Times New Roman"/>
                <w:b/>
                <w:bCs/>
                <w:szCs w:val="24"/>
                <w:lang w:val="en-US"/>
              </w:rPr>
              <w:t>Child 4 month</w:t>
            </w:r>
            <w:r w:rsidRPr="0024114A">
              <w:rPr>
                <w:rFonts w:cs="Times New Roman"/>
                <w:szCs w:val="24"/>
                <w:lang w:val="en-US"/>
              </w:rPr>
              <w:t>s: 60 mg for 1 dose, then 60 mg after 4–6 hours, maximum 4 doses per day.</w:t>
            </w:r>
          </w:p>
        </w:tc>
      </w:tr>
      <w:tr w:rsidR="00C345C8" w:rsidRPr="0024114A" w14:paraId="3B476273" w14:textId="77777777" w:rsidTr="002D6DD7">
        <w:trPr>
          <w:jc w:val="center"/>
        </w:trPr>
        <w:tc>
          <w:tcPr>
            <w:tcW w:w="2695" w:type="dxa"/>
          </w:tcPr>
          <w:p w14:paraId="157BF642"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52" w:type="dxa"/>
          </w:tcPr>
          <w:p w14:paraId="4FA30017"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severe hepatic or renal disease.</w:t>
            </w:r>
          </w:p>
        </w:tc>
      </w:tr>
      <w:tr w:rsidR="00C345C8" w:rsidRPr="0024114A" w14:paraId="2AD7D4CD" w14:textId="77777777" w:rsidTr="002D6DD7">
        <w:trPr>
          <w:jc w:val="center"/>
        </w:trPr>
        <w:tc>
          <w:tcPr>
            <w:tcW w:w="2695" w:type="dxa"/>
          </w:tcPr>
          <w:p w14:paraId="3C98A56D"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52" w:type="dxa"/>
          </w:tcPr>
          <w:p w14:paraId="470F23A9" w14:textId="77777777" w:rsidR="00C345C8" w:rsidRPr="0024114A" w:rsidRDefault="00C345C8" w:rsidP="002D6DD7">
            <w:pPr>
              <w:jc w:val="both"/>
              <w:rPr>
                <w:rFonts w:cs="Times New Roman"/>
                <w:szCs w:val="24"/>
                <w:lang w:val="en-US"/>
              </w:rPr>
            </w:pPr>
            <w:r w:rsidRPr="0024114A">
              <w:rPr>
                <w:rFonts w:cs="Times New Roman"/>
                <w:szCs w:val="24"/>
                <w:lang w:val="en-US"/>
              </w:rPr>
              <w:t>Metoclopramide, warfarin, isoniazid, tinidazole</w:t>
            </w:r>
          </w:p>
        </w:tc>
      </w:tr>
      <w:tr w:rsidR="00C345C8" w:rsidRPr="0024114A" w14:paraId="677C79AB" w14:textId="77777777" w:rsidTr="002D6DD7">
        <w:trPr>
          <w:jc w:val="center"/>
        </w:trPr>
        <w:tc>
          <w:tcPr>
            <w:tcW w:w="2695" w:type="dxa"/>
          </w:tcPr>
          <w:p w14:paraId="350B7E1C"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52" w:type="dxa"/>
          </w:tcPr>
          <w:p w14:paraId="14F1D682" w14:textId="77777777" w:rsidR="00C345C8" w:rsidRPr="0024114A" w:rsidRDefault="00C345C8" w:rsidP="002D6DD7">
            <w:pPr>
              <w:jc w:val="both"/>
              <w:rPr>
                <w:rFonts w:cs="Times New Roman"/>
                <w:szCs w:val="24"/>
                <w:lang w:val="en-US"/>
              </w:rPr>
            </w:pPr>
            <w:r w:rsidRPr="0024114A">
              <w:rPr>
                <w:rFonts w:cs="Times New Roman"/>
                <w:szCs w:val="24"/>
                <w:lang w:val="en-US"/>
              </w:rPr>
              <w:t>Hepatotoxicity, leucopenia, rash, Stevens Johnson syndrome (SJS)</w:t>
            </w:r>
          </w:p>
          <w:p w14:paraId="1CBF070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Children in the following situations may be at an increased risk of liver damage from paracetamol overdosage, </w:t>
            </w:r>
          </w:p>
        </w:tc>
      </w:tr>
      <w:tr w:rsidR="00C345C8" w:rsidRPr="0024114A" w14:paraId="5077442B" w14:textId="77777777" w:rsidTr="002D6DD7">
        <w:trPr>
          <w:jc w:val="center"/>
        </w:trPr>
        <w:tc>
          <w:tcPr>
            <w:tcW w:w="2695" w:type="dxa"/>
          </w:tcPr>
          <w:p w14:paraId="2D5479D4"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52" w:type="dxa"/>
          </w:tcPr>
          <w:p w14:paraId="1CD2724A" w14:textId="77777777" w:rsidR="00C345C8" w:rsidRPr="0024114A" w:rsidRDefault="00C345C8" w:rsidP="002D6DD7">
            <w:pPr>
              <w:jc w:val="both"/>
              <w:rPr>
                <w:rFonts w:cs="Times New Roman"/>
                <w:szCs w:val="24"/>
                <w:lang w:val="en-US"/>
              </w:rPr>
            </w:pPr>
            <w:r w:rsidRPr="0024114A">
              <w:rPr>
                <w:rFonts w:cs="Times New Roman"/>
                <w:szCs w:val="24"/>
                <w:lang w:val="en-US"/>
              </w:rPr>
              <w:t>Alcohol dependence, over dosage, malnutrition, hepatic impairment, infants under 3 months, G6PD deficiency. obese, febrile illness</w:t>
            </w:r>
          </w:p>
        </w:tc>
      </w:tr>
      <w:tr w:rsidR="00C345C8" w:rsidRPr="0024114A" w14:paraId="39233C2E" w14:textId="77777777" w:rsidTr="002D6DD7">
        <w:trPr>
          <w:jc w:val="center"/>
        </w:trPr>
        <w:tc>
          <w:tcPr>
            <w:tcW w:w="2695" w:type="dxa"/>
          </w:tcPr>
          <w:p w14:paraId="0A7F03CF"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52" w:type="dxa"/>
          </w:tcPr>
          <w:p w14:paraId="45C1DC0A"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bl>
    <w:p w14:paraId="17C894AB" w14:textId="77777777" w:rsidR="00C345C8" w:rsidRPr="0024114A" w:rsidRDefault="00C345C8" w:rsidP="00C345C8">
      <w:pPr>
        <w:tabs>
          <w:tab w:val="left" w:pos="923"/>
        </w:tabs>
        <w:spacing w:after="0"/>
        <w:jc w:val="both"/>
        <w:rPr>
          <w:rFonts w:cs="Times New Roman"/>
          <w:b/>
          <w:bCs/>
          <w:szCs w:val="24"/>
        </w:rPr>
      </w:pPr>
    </w:p>
    <w:p w14:paraId="04FC2370" w14:textId="77777777" w:rsidR="00C345C8" w:rsidRPr="00F11B03" w:rsidRDefault="00C345C8" w:rsidP="00F11B03">
      <w:pPr>
        <w:pStyle w:val="Heading2"/>
        <w:spacing w:after="240"/>
      </w:pPr>
      <w:bookmarkStart w:id="68" w:name="_Toc179490336"/>
      <w:r w:rsidRPr="00F11B03">
        <w:lastRenderedPageBreak/>
        <w:t>Opioid Analgesics</w:t>
      </w:r>
      <w:bookmarkEnd w:id="68"/>
    </w:p>
    <w:p w14:paraId="57E845D2" w14:textId="77777777" w:rsidR="00C345C8" w:rsidRPr="0024114A" w:rsidRDefault="00C345C8" w:rsidP="00C345C8">
      <w:pPr>
        <w:tabs>
          <w:tab w:val="left" w:pos="923"/>
        </w:tabs>
        <w:spacing w:after="0"/>
        <w:jc w:val="both"/>
        <w:rPr>
          <w:rFonts w:cs="Times New Roman"/>
          <w:szCs w:val="24"/>
        </w:rPr>
      </w:pPr>
      <w:r w:rsidRPr="0024114A">
        <w:rPr>
          <w:rFonts w:cs="Times New Roman"/>
          <w:szCs w:val="24"/>
        </w:rPr>
        <w:t>Opioid analgesics are a class of drugs that act on opioid receptors in the central nervous system to relieve pain. They may also be called opioids, opiates, or narcotic analgesics. They are used for various conditions, including acute or chronic pain, surgery, and opioid use disorder. They have a high risk for addiction and habit-forming. Opioid analgesics can be divided into those used for moderate</w:t>
      </w:r>
      <w:r w:rsidR="000905ED">
        <w:rPr>
          <w:rFonts w:cs="Times New Roman"/>
          <w:szCs w:val="24"/>
        </w:rPr>
        <w:t xml:space="preserve"> </w:t>
      </w:r>
      <w:r w:rsidRPr="0024114A">
        <w:rPr>
          <w:rFonts w:cs="Times New Roman"/>
          <w:szCs w:val="24"/>
        </w:rPr>
        <w:t>pain (such as codeine phosphate), those</w:t>
      </w:r>
      <w:r w:rsidR="000905ED">
        <w:rPr>
          <w:rFonts w:cs="Times New Roman"/>
          <w:szCs w:val="24"/>
        </w:rPr>
        <w:t xml:space="preserve"> </w:t>
      </w:r>
      <w:r w:rsidRPr="0024114A">
        <w:rPr>
          <w:rFonts w:cs="Times New Roman"/>
          <w:szCs w:val="24"/>
        </w:rPr>
        <w:t>used for moderate-to-severe pain (such as morphine</w:t>
      </w:r>
      <w:r w:rsidR="000905ED">
        <w:rPr>
          <w:rFonts w:cs="Times New Roman"/>
          <w:szCs w:val="24"/>
        </w:rPr>
        <w:t xml:space="preserve"> </w:t>
      </w:r>
      <w:r w:rsidRPr="0024114A">
        <w:rPr>
          <w:rFonts w:cs="Times New Roman"/>
          <w:szCs w:val="24"/>
        </w:rPr>
        <w:t>or oxycodone hydrochloride) and those used for intra-operative analgesia (such as alfentanil, fentanyl and remifentanil).</w:t>
      </w:r>
      <w:r w:rsidR="00634FD3">
        <w:rPr>
          <w:rFonts w:cs="Times New Roman"/>
          <w:szCs w:val="24"/>
        </w:rPr>
        <w:t xml:space="preserve"> </w:t>
      </w:r>
      <w:r w:rsidRPr="0024114A">
        <w:rPr>
          <w:rFonts w:cs="Times New Roman"/>
          <w:szCs w:val="24"/>
        </w:rPr>
        <w:t xml:space="preserve">Combination of weak opioids with strong opioids is not recommended because of increased adverse drug reactions. </w:t>
      </w:r>
    </w:p>
    <w:tbl>
      <w:tblPr>
        <w:tblStyle w:val="TableGrid"/>
        <w:tblW w:w="0" w:type="auto"/>
        <w:jc w:val="center"/>
        <w:tblLook w:val="04A0" w:firstRow="1" w:lastRow="0" w:firstColumn="1" w:lastColumn="0" w:noHBand="0" w:noVBand="1"/>
      </w:tblPr>
      <w:tblGrid>
        <w:gridCol w:w="2695"/>
        <w:gridCol w:w="6570"/>
      </w:tblGrid>
      <w:tr w:rsidR="00C345C8" w:rsidRPr="0024114A" w14:paraId="09BDB9A1" w14:textId="77777777" w:rsidTr="002D6DD7">
        <w:trPr>
          <w:jc w:val="center"/>
        </w:trPr>
        <w:tc>
          <w:tcPr>
            <w:tcW w:w="9265" w:type="dxa"/>
            <w:gridSpan w:val="2"/>
          </w:tcPr>
          <w:p w14:paraId="04CB63BB" w14:textId="77777777" w:rsidR="00C345C8" w:rsidRPr="0024114A" w:rsidRDefault="00C345C8" w:rsidP="002D6DD7">
            <w:pPr>
              <w:jc w:val="both"/>
              <w:rPr>
                <w:rFonts w:cs="Times New Roman"/>
                <w:szCs w:val="24"/>
                <w:lang w:val="en-US"/>
              </w:rPr>
            </w:pPr>
            <w:bookmarkStart w:id="69" w:name="_Hlk166137380"/>
            <w:r w:rsidRPr="0024114A">
              <w:rPr>
                <w:rFonts w:cs="Times New Roman"/>
                <w:b/>
                <w:bCs/>
                <w:szCs w:val="24"/>
                <w:lang w:val="en-US"/>
              </w:rPr>
              <w:t>Fentanyl</w:t>
            </w:r>
          </w:p>
        </w:tc>
      </w:tr>
      <w:tr w:rsidR="00C345C8" w:rsidRPr="0024114A" w14:paraId="20E93E98" w14:textId="77777777" w:rsidTr="002D6DD7">
        <w:trPr>
          <w:jc w:val="center"/>
        </w:trPr>
        <w:tc>
          <w:tcPr>
            <w:tcW w:w="2695" w:type="dxa"/>
          </w:tcPr>
          <w:p w14:paraId="4E870DE9"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70" w:type="dxa"/>
          </w:tcPr>
          <w:p w14:paraId="2E2D74DE" w14:textId="77777777" w:rsidR="00C345C8" w:rsidRPr="0024114A" w:rsidRDefault="00C345C8" w:rsidP="002D6DD7">
            <w:pPr>
              <w:jc w:val="both"/>
              <w:rPr>
                <w:rFonts w:cs="Times New Roman"/>
                <w:szCs w:val="24"/>
                <w:lang w:val="en-US"/>
              </w:rPr>
            </w:pPr>
            <w:r w:rsidRPr="0024114A">
              <w:rPr>
                <w:rFonts w:cs="Times New Roman"/>
                <w:szCs w:val="24"/>
                <w:lang w:val="en-US"/>
              </w:rPr>
              <w:t>Opioid analgesic</w:t>
            </w:r>
          </w:p>
        </w:tc>
      </w:tr>
      <w:tr w:rsidR="00C345C8" w:rsidRPr="0024114A" w14:paraId="45F82290" w14:textId="77777777" w:rsidTr="002D6DD7">
        <w:trPr>
          <w:jc w:val="center"/>
        </w:trPr>
        <w:tc>
          <w:tcPr>
            <w:tcW w:w="2695" w:type="dxa"/>
          </w:tcPr>
          <w:p w14:paraId="2F130DCF"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70" w:type="dxa"/>
          </w:tcPr>
          <w:p w14:paraId="090587B5" w14:textId="77777777" w:rsidR="00C345C8" w:rsidRPr="0024114A" w:rsidRDefault="00C345C8" w:rsidP="002D6DD7">
            <w:pPr>
              <w:jc w:val="both"/>
              <w:rPr>
                <w:rFonts w:cs="Times New Roman"/>
                <w:szCs w:val="24"/>
                <w:lang w:val="en-US"/>
              </w:rPr>
            </w:pPr>
            <w:r w:rsidRPr="0024114A">
              <w:rPr>
                <w:rFonts w:cs="Times New Roman"/>
                <w:szCs w:val="24"/>
                <w:lang w:val="en-US"/>
              </w:rPr>
              <w:t>Injection (as citrate): 50 mcg/ml</w:t>
            </w:r>
          </w:p>
          <w:p w14:paraId="3433E580" w14:textId="77777777" w:rsidR="00C345C8" w:rsidRPr="0024114A" w:rsidRDefault="00C345C8" w:rsidP="002D6DD7">
            <w:pPr>
              <w:jc w:val="both"/>
              <w:rPr>
                <w:rFonts w:cs="Times New Roman"/>
                <w:szCs w:val="24"/>
                <w:lang w:val="en-US"/>
              </w:rPr>
            </w:pPr>
            <w:r w:rsidRPr="0024114A">
              <w:rPr>
                <w:rFonts w:cs="Times New Roman"/>
                <w:szCs w:val="24"/>
                <w:lang w:val="en-US"/>
              </w:rPr>
              <w:t>Transdermal patch: 12 mcg/hr., 25 mcg/hr., 50 mcg/hr., 75 mcg/hr., 100 mcg/hr.</w:t>
            </w:r>
          </w:p>
        </w:tc>
      </w:tr>
      <w:tr w:rsidR="00C345C8" w:rsidRPr="0024114A" w14:paraId="0CE814A9" w14:textId="77777777" w:rsidTr="002D6DD7">
        <w:trPr>
          <w:jc w:val="center"/>
        </w:trPr>
        <w:tc>
          <w:tcPr>
            <w:tcW w:w="2695" w:type="dxa"/>
          </w:tcPr>
          <w:p w14:paraId="5B52B797"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70" w:type="dxa"/>
          </w:tcPr>
          <w:p w14:paraId="0F5A0E6D" w14:textId="77777777" w:rsidR="00C345C8" w:rsidRPr="0024114A" w:rsidRDefault="00C345C8" w:rsidP="002D6DD7">
            <w:pPr>
              <w:jc w:val="both"/>
              <w:rPr>
                <w:rFonts w:cs="Times New Roman"/>
                <w:szCs w:val="24"/>
              </w:rPr>
            </w:pPr>
            <w:r w:rsidRPr="0024114A">
              <w:rPr>
                <w:rFonts w:cs="Times New Roman"/>
                <w:szCs w:val="24"/>
                <w:lang w:val="en-US"/>
              </w:rPr>
              <w:t>Chronic intractable pain, breakthrough pain in patients receiving opioid therapy for chronic cancer pain, analgesia and enhancement of anesthesia during operation, induction of analgesia and respiratory depression in intensive care.</w:t>
            </w:r>
          </w:p>
        </w:tc>
      </w:tr>
      <w:tr w:rsidR="00C345C8" w:rsidRPr="0024114A" w14:paraId="4668918D" w14:textId="77777777" w:rsidTr="002D6DD7">
        <w:trPr>
          <w:jc w:val="center"/>
        </w:trPr>
        <w:tc>
          <w:tcPr>
            <w:tcW w:w="2695" w:type="dxa"/>
          </w:tcPr>
          <w:p w14:paraId="3E6D5F8D"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70" w:type="dxa"/>
          </w:tcPr>
          <w:p w14:paraId="04F77AFE" w14:textId="77777777" w:rsidR="00C345C8" w:rsidRPr="0024114A" w:rsidRDefault="00C345C8" w:rsidP="002D6DD7">
            <w:pPr>
              <w:jc w:val="both"/>
              <w:rPr>
                <w:rFonts w:cs="Times New Roman"/>
                <w:szCs w:val="24"/>
                <w:lang w:val="en-US"/>
              </w:rPr>
            </w:pPr>
            <w:r w:rsidRPr="0024114A">
              <w:rPr>
                <w:rFonts w:cs="Times New Roman"/>
                <w:b/>
                <w:bCs/>
                <w:szCs w:val="24"/>
                <w:lang w:val="en-US"/>
              </w:rPr>
              <w:t>Chronic intractable pain not currently treated with a strong opioid analgesic by transdermal application</w:t>
            </w:r>
            <w:r w:rsidRPr="0024114A">
              <w:rPr>
                <w:rFonts w:cs="Times New Roman"/>
                <w:szCs w:val="24"/>
                <w:lang w:val="en-US"/>
              </w:rPr>
              <w:t>:</w:t>
            </w:r>
          </w:p>
          <w:p w14:paraId="253622CA"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12 mcg/hour every 72 hours. Dose should be adjusted at 48–72hour intervals in steps of 12–25 mcg/hour; if necessary, more than one patch may be used at a time (but applied at the same time to avoid confusion)—consider additional or alternative analgesic therapy if dose required exceeds 300 mcg/hour (Important: It takes 17 hours or more for the plasma-fentanyl concentration to decrease by 50% replacement opioid therapy should be initiated at a low dose and increased gradually)</w:t>
            </w:r>
          </w:p>
          <w:p w14:paraId="28E161EC" w14:textId="77777777" w:rsidR="00C345C8" w:rsidRPr="0024114A" w:rsidRDefault="00C345C8" w:rsidP="002D6DD7">
            <w:pPr>
              <w:jc w:val="both"/>
              <w:rPr>
                <w:rFonts w:cs="Times New Roman"/>
                <w:szCs w:val="24"/>
                <w:lang w:val="en-US"/>
              </w:rPr>
            </w:pPr>
            <w:r w:rsidRPr="0024114A">
              <w:rPr>
                <w:rFonts w:cs="Times New Roman"/>
                <w:b/>
                <w:bCs/>
                <w:szCs w:val="24"/>
                <w:lang w:val="en-US"/>
              </w:rPr>
              <w:t>Chronic intractable pain currently treated with a strong opioid analgesic by transdermal application</w:t>
            </w:r>
            <w:r w:rsidRPr="0024114A">
              <w:rPr>
                <w:rFonts w:cs="Times New Roman"/>
                <w:szCs w:val="24"/>
                <w:lang w:val="en-US"/>
              </w:rPr>
              <w:t xml:space="preserve">: </w:t>
            </w:r>
          </w:p>
          <w:p w14:paraId="69765999" w14:textId="77777777" w:rsidR="00C345C8" w:rsidRPr="0024114A" w:rsidRDefault="00C345C8" w:rsidP="002D6DD7">
            <w:pPr>
              <w:jc w:val="both"/>
              <w:rPr>
                <w:rFonts w:cs="Times New Roman"/>
                <w:b/>
                <w:bCs/>
                <w:szCs w:val="24"/>
                <w:lang w:val="en-US"/>
              </w:rPr>
            </w:pPr>
            <w:r w:rsidRPr="0024114A">
              <w:rPr>
                <w:rFonts w:cs="Times New Roman"/>
                <w:b/>
                <w:bCs/>
                <w:szCs w:val="24"/>
                <w:lang w:val="en-US"/>
              </w:rPr>
              <w:lastRenderedPageBreak/>
              <w:t xml:space="preserve">Adult: </w:t>
            </w:r>
            <w:r w:rsidRPr="0024114A">
              <w:rPr>
                <w:rFonts w:cs="Times New Roman"/>
                <w:szCs w:val="24"/>
                <w:lang w:val="en-US"/>
              </w:rPr>
              <w:t>Initial dose based on previous 24-hour opioid requirement (consult product literature), for evaluating analgesic efficacy and dose increments</w:t>
            </w:r>
          </w:p>
          <w:p w14:paraId="7C582BA1" w14:textId="77777777" w:rsidR="00C345C8" w:rsidRPr="0024114A" w:rsidRDefault="00C345C8" w:rsidP="002D6DD7">
            <w:pPr>
              <w:jc w:val="both"/>
              <w:rPr>
                <w:rFonts w:cs="Times New Roman"/>
                <w:szCs w:val="24"/>
                <w:lang w:val="en-US"/>
              </w:rPr>
            </w:pPr>
            <w:r w:rsidRPr="0024114A">
              <w:rPr>
                <w:rFonts w:cs="Times New Roman"/>
                <w:b/>
                <w:bCs/>
                <w:szCs w:val="24"/>
                <w:lang w:val="en-US"/>
              </w:rPr>
              <w:t>Chronic intractable pain not currently treated with a strong opioid analgesic by transdermal application</w:t>
            </w:r>
            <w:r w:rsidRPr="0024114A">
              <w:rPr>
                <w:rFonts w:cs="Times New Roman"/>
                <w:szCs w:val="24"/>
                <w:lang w:val="en-US"/>
              </w:rPr>
              <w:t>:</w:t>
            </w:r>
          </w:p>
          <w:p w14:paraId="5D8EB2A7" w14:textId="77777777" w:rsidR="00C345C8" w:rsidRPr="0024114A" w:rsidRDefault="00C345C8" w:rsidP="002D6DD7">
            <w:pPr>
              <w:jc w:val="both"/>
              <w:rPr>
                <w:rFonts w:cs="Times New Roman"/>
                <w:szCs w:val="24"/>
                <w:lang w:val="en-US"/>
              </w:rPr>
            </w:pPr>
            <w:r w:rsidRPr="0024114A">
              <w:rPr>
                <w:rFonts w:cs="Times New Roman"/>
                <w:b/>
                <w:bCs/>
                <w:szCs w:val="24"/>
                <w:lang w:val="en-US"/>
              </w:rPr>
              <w:t>Child 2–17 years</w:t>
            </w:r>
            <w:r w:rsidRPr="0024114A">
              <w:rPr>
                <w:rFonts w:cs="Times New Roman"/>
                <w:szCs w:val="24"/>
                <w:lang w:val="en-US"/>
              </w:rPr>
              <w:t>: Initial dose based on previous 24-hour opioid requirement</w:t>
            </w:r>
          </w:p>
        </w:tc>
      </w:tr>
      <w:tr w:rsidR="00C345C8" w:rsidRPr="0024114A" w14:paraId="5998F333" w14:textId="77777777" w:rsidTr="002D6DD7">
        <w:trPr>
          <w:jc w:val="center"/>
        </w:trPr>
        <w:tc>
          <w:tcPr>
            <w:tcW w:w="2695" w:type="dxa"/>
          </w:tcPr>
          <w:p w14:paraId="34A4A2BE"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70" w:type="dxa"/>
          </w:tcPr>
          <w:p w14:paraId="2B0428AB"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w:t>
            </w:r>
            <w:r w:rsidR="000905ED">
              <w:rPr>
                <w:rFonts w:cs="Times New Roman"/>
                <w:szCs w:val="24"/>
                <w:lang w:val="en-US"/>
              </w:rPr>
              <w:t xml:space="preserve"> </w:t>
            </w:r>
            <w:r w:rsidRPr="0024114A">
              <w:rPr>
                <w:rFonts w:cs="Times New Roman"/>
                <w:szCs w:val="24"/>
                <w:lang w:val="en-US"/>
              </w:rPr>
              <w:t>or other opioids, respiratory depression, obstructive airways disease</w:t>
            </w:r>
            <w:r w:rsidR="000905ED">
              <w:rPr>
                <w:rFonts w:cs="Times New Roman"/>
                <w:szCs w:val="24"/>
                <w:lang w:val="en-US"/>
              </w:rPr>
              <w:t>.</w:t>
            </w:r>
          </w:p>
        </w:tc>
      </w:tr>
      <w:tr w:rsidR="00C345C8" w:rsidRPr="0024114A" w14:paraId="3BBABD76" w14:textId="77777777" w:rsidTr="002D6DD7">
        <w:trPr>
          <w:jc w:val="center"/>
        </w:trPr>
        <w:tc>
          <w:tcPr>
            <w:tcW w:w="2695" w:type="dxa"/>
          </w:tcPr>
          <w:p w14:paraId="5BB6C584"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70" w:type="dxa"/>
          </w:tcPr>
          <w:p w14:paraId="0DC43891" w14:textId="77777777" w:rsidR="00C345C8" w:rsidRPr="0024114A" w:rsidRDefault="00C345C8" w:rsidP="002D6DD7">
            <w:pPr>
              <w:jc w:val="both"/>
              <w:rPr>
                <w:rFonts w:cs="Times New Roman"/>
                <w:szCs w:val="24"/>
                <w:lang w:val="en-US"/>
              </w:rPr>
            </w:pPr>
            <w:r w:rsidRPr="0024114A">
              <w:rPr>
                <w:rFonts w:cs="Times New Roman"/>
                <w:szCs w:val="24"/>
                <w:lang w:val="en-US"/>
              </w:rPr>
              <w:t>Azole antifungals, benzodiazepine or other CNS depressants, calcium channel blockers (CCBs), protease inhibitors, cimetidine, macrolide antibiotics, mifepristone, rifamycins, carbamazepine, phenytoin, monoamine oxidase inhibitors (MAOIs), linezolid, CYP3A4 inhibitors</w:t>
            </w:r>
            <w:r w:rsidR="00854883">
              <w:rPr>
                <w:rFonts w:cs="Times New Roman"/>
                <w:szCs w:val="24"/>
                <w:lang w:val="en-US"/>
              </w:rPr>
              <w:t>.</w:t>
            </w:r>
          </w:p>
        </w:tc>
      </w:tr>
      <w:tr w:rsidR="00C345C8" w:rsidRPr="0024114A" w14:paraId="13323AD8" w14:textId="77777777" w:rsidTr="002D6DD7">
        <w:trPr>
          <w:jc w:val="center"/>
        </w:trPr>
        <w:tc>
          <w:tcPr>
            <w:tcW w:w="2695" w:type="dxa"/>
          </w:tcPr>
          <w:p w14:paraId="060326D8"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70" w:type="dxa"/>
          </w:tcPr>
          <w:p w14:paraId="41F5F12E" w14:textId="77777777" w:rsidR="00C345C8" w:rsidRPr="0024114A" w:rsidRDefault="00C345C8" w:rsidP="002D6DD7">
            <w:pPr>
              <w:jc w:val="both"/>
              <w:rPr>
                <w:rFonts w:cs="Times New Roman"/>
                <w:szCs w:val="24"/>
                <w:lang w:val="en-US"/>
              </w:rPr>
            </w:pPr>
            <w:r w:rsidRPr="0024114A">
              <w:rPr>
                <w:rFonts w:cs="Times New Roman"/>
                <w:szCs w:val="24"/>
                <w:lang w:val="en-US"/>
              </w:rPr>
              <w:t>Anxiety, decreased appetite, asthenia, depression, diarrhea, dyspnea, hypertension, insomnia, malaise, muscle complaints, peripheral oedema, sensation abnormal, tremor, cyanosis, fever, GI disorders, memory loss, respiratory disorders, seizures, sexual dysfunction, vision blurred, apnoea, muscle rigidity, post procedural complications, , vascular pain, urinary retention.</w:t>
            </w:r>
          </w:p>
        </w:tc>
      </w:tr>
      <w:tr w:rsidR="00C345C8" w:rsidRPr="0024114A" w14:paraId="02EC0024" w14:textId="77777777" w:rsidTr="002D6DD7">
        <w:trPr>
          <w:jc w:val="center"/>
        </w:trPr>
        <w:tc>
          <w:tcPr>
            <w:tcW w:w="2695" w:type="dxa"/>
          </w:tcPr>
          <w:p w14:paraId="09082EB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70" w:type="dxa"/>
          </w:tcPr>
          <w:p w14:paraId="19F5B9F7" w14:textId="77777777" w:rsidR="00C345C8" w:rsidRPr="0024114A" w:rsidRDefault="00C345C8" w:rsidP="002D6DD7">
            <w:pPr>
              <w:jc w:val="both"/>
              <w:rPr>
                <w:rFonts w:cs="Times New Roman"/>
                <w:szCs w:val="24"/>
                <w:lang w:val="en-US"/>
              </w:rPr>
            </w:pPr>
            <w:r w:rsidRPr="0024114A">
              <w:rPr>
                <w:rFonts w:cs="Times New Roman"/>
                <w:szCs w:val="24"/>
                <w:lang w:val="en-US"/>
              </w:rPr>
              <w:t>Bradyarrhythmia, cerebral tumor, diabetes mellitus, impaired consciousness, hypovolemia,renal impairment</w:t>
            </w:r>
            <w:r w:rsidR="00854883">
              <w:rPr>
                <w:rFonts w:cs="Times New Roman"/>
                <w:szCs w:val="24"/>
                <w:lang w:val="en-US"/>
              </w:rPr>
              <w:t>.</w:t>
            </w:r>
          </w:p>
        </w:tc>
      </w:tr>
      <w:tr w:rsidR="00C345C8" w:rsidRPr="0024114A" w14:paraId="4E4CAD93" w14:textId="77777777" w:rsidTr="002D6DD7">
        <w:trPr>
          <w:jc w:val="center"/>
        </w:trPr>
        <w:tc>
          <w:tcPr>
            <w:tcW w:w="2695" w:type="dxa"/>
          </w:tcPr>
          <w:p w14:paraId="32CE1C87"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70" w:type="dxa"/>
          </w:tcPr>
          <w:p w14:paraId="28292A68" w14:textId="77777777" w:rsidR="00C345C8" w:rsidRPr="0024114A" w:rsidRDefault="00C345C8" w:rsidP="002D6DD7">
            <w:pPr>
              <w:jc w:val="both"/>
              <w:rPr>
                <w:rFonts w:cs="Times New Roman"/>
                <w:szCs w:val="24"/>
                <w:lang w:val="en-US"/>
              </w:rPr>
            </w:pPr>
            <w:r w:rsidRPr="0024114A">
              <w:rPr>
                <w:rFonts w:cs="Times New Roman"/>
                <w:szCs w:val="24"/>
                <w:lang w:val="en-US"/>
              </w:rPr>
              <w:t>Store below 30 °C.</w:t>
            </w:r>
          </w:p>
        </w:tc>
      </w:tr>
      <w:tr w:rsidR="00C345C8" w:rsidRPr="0024114A" w14:paraId="4CF50F9E" w14:textId="77777777" w:rsidTr="002D6DD7">
        <w:trPr>
          <w:jc w:val="center"/>
        </w:trPr>
        <w:tc>
          <w:tcPr>
            <w:tcW w:w="9265" w:type="dxa"/>
            <w:gridSpan w:val="2"/>
          </w:tcPr>
          <w:p w14:paraId="6EABB96A" w14:textId="77777777" w:rsidR="00C345C8" w:rsidRPr="0024114A" w:rsidRDefault="00C345C8" w:rsidP="002D6DD7">
            <w:pPr>
              <w:jc w:val="both"/>
              <w:rPr>
                <w:rFonts w:cs="Times New Roman"/>
                <w:szCs w:val="24"/>
                <w:lang w:val="en-US"/>
              </w:rPr>
            </w:pPr>
            <w:r w:rsidRPr="0024114A">
              <w:rPr>
                <w:rFonts w:cs="Times New Roman"/>
                <w:b/>
                <w:bCs/>
                <w:szCs w:val="24"/>
                <w:lang w:val="en-US"/>
              </w:rPr>
              <w:t>Methadone hydrochloride</w:t>
            </w:r>
          </w:p>
        </w:tc>
      </w:tr>
      <w:tr w:rsidR="00C345C8" w:rsidRPr="0024114A" w14:paraId="6E93764B" w14:textId="77777777" w:rsidTr="002D6DD7">
        <w:trPr>
          <w:jc w:val="center"/>
        </w:trPr>
        <w:tc>
          <w:tcPr>
            <w:tcW w:w="2695" w:type="dxa"/>
          </w:tcPr>
          <w:p w14:paraId="706500D4"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70" w:type="dxa"/>
          </w:tcPr>
          <w:p w14:paraId="6DDDBC73" w14:textId="77777777" w:rsidR="00C345C8" w:rsidRPr="0024114A" w:rsidRDefault="00C345C8" w:rsidP="002D6DD7">
            <w:pPr>
              <w:jc w:val="both"/>
              <w:rPr>
                <w:rFonts w:cs="Times New Roman"/>
                <w:szCs w:val="24"/>
                <w:lang w:val="en-US"/>
              </w:rPr>
            </w:pPr>
            <w:r w:rsidRPr="0024114A">
              <w:rPr>
                <w:rFonts w:cs="Times New Roman"/>
                <w:szCs w:val="24"/>
                <w:lang w:val="en-US"/>
              </w:rPr>
              <w:t>Opioid analgesic</w:t>
            </w:r>
          </w:p>
        </w:tc>
      </w:tr>
      <w:tr w:rsidR="00C345C8" w:rsidRPr="0024114A" w14:paraId="1CA87EA1" w14:textId="77777777" w:rsidTr="002D6DD7">
        <w:trPr>
          <w:jc w:val="center"/>
        </w:trPr>
        <w:tc>
          <w:tcPr>
            <w:tcW w:w="2695" w:type="dxa"/>
          </w:tcPr>
          <w:p w14:paraId="2A2E1874"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70" w:type="dxa"/>
          </w:tcPr>
          <w:p w14:paraId="456CE1B2" w14:textId="77777777" w:rsidR="00C345C8" w:rsidRPr="0024114A" w:rsidRDefault="00C345C8" w:rsidP="002D6DD7">
            <w:pPr>
              <w:jc w:val="both"/>
              <w:rPr>
                <w:rFonts w:cs="Times New Roman"/>
                <w:szCs w:val="24"/>
                <w:lang w:val="nb-NO"/>
              </w:rPr>
            </w:pPr>
            <w:r w:rsidRPr="0024114A">
              <w:rPr>
                <w:rFonts w:cs="Times New Roman"/>
                <w:szCs w:val="24"/>
                <w:lang w:val="nb-NO"/>
              </w:rPr>
              <w:t>Tablet: 5 mg; 10 mg</w:t>
            </w:r>
          </w:p>
          <w:p w14:paraId="7D1B5568" w14:textId="77777777" w:rsidR="00C345C8" w:rsidRPr="0024114A" w:rsidRDefault="00C345C8" w:rsidP="002D6DD7">
            <w:pPr>
              <w:jc w:val="both"/>
              <w:rPr>
                <w:rFonts w:cs="Times New Roman"/>
                <w:szCs w:val="24"/>
                <w:lang w:val="nb-NO"/>
              </w:rPr>
            </w:pPr>
            <w:r w:rsidRPr="0024114A">
              <w:rPr>
                <w:rFonts w:cs="Times New Roman"/>
                <w:szCs w:val="24"/>
                <w:lang w:val="nb-NO"/>
              </w:rPr>
              <w:t>Syrup: 5 mg/5 ml; 10 mg/5 ml</w:t>
            </w:r>
          </w:p>
        </w:tc>
      </w:tr>
      <w:tr w:rsidR="00C345C8" w:rsidRPr="0024114A" w14:paraId="22CECD19" w14:textId="77777777" w:rsidTr="002D6DD7">
        <w:trPr>
          <w:jc w:val="center"/>
        </w:trPr>
        <w:tc>
          <w:tcPr>
            <w:tcW w:w="2695" w:type="dxa"/>
          </w:tcPr>
          <w:p w14:paraId="070EA61B"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70" w:type="dxa"/>
          </w:tcPr>
          <w:p w14:paraId="58071573" w14:textId="77777777" w:rsidR="00C345C8" w:rsidRPr="0024114A" w:rsidRDefault="00C345C8" w:rsidP="002D6DD7">
            <w:pPr>
              <w:jc w:val="both"/>
              <w:rPr>
                <w:rFonts w:cs="Times New Roman"/>
                <w:szCs w:val="24"/>
                <w:lang w:val="en-US"/>
              </w:rPr>
            </w:pPr>
            <w:r w:rsidRPr="0024114A">
              <w:rPr>
                <w:rFonts w:cs="Times New Roman"/>
                <w:szCs w:val="24"/>
                <w:lang w:val="en-US"/>
              </w:rPr>
              <w:t>Adjunct in treatment of opioid dependence, severe pain and cough in palliative care</w:t>
            </w:r>
          </w:p>
        </w:tc>
      </w:tr>
      <w:tr w:rsidR="00C345C8" w:rsidRPr="0024114A" w14:paraId="1E98E5F1" w14:textId="77777777" w:rsidTr="002D6DD7">
        <w:trPr>
          <w:jc w:val="center"/>
        </w:trPr>
        <w:tc>
          <w:tcPr>
            <w:tcW w:w="2695" w:type="dxa"/>
          </w:tcPr>
          <w:p w14:paraId="729EF645" w14:textId="77777777" w:rsidR="00C345C8" w:rsidRPr="0024114A" w:rsidRDefault="00C345C8" w:rsidP="002D6DD7">
            <w:pPr>
              <w:jc w:val="both"/>
              <w:rPr>
                <w:rFonts w:cs="Times New Roman"/>
                <w:szCs w:val="24"/>
                <w:lang w:val="en-US"/>
              </w:rPr>
            </w:pPr>
            <w:r w:rsidRPr="0024114A">
              <w:rPr>
                <w:rFonts w:cs="Times New Roman"/>
                <w:szCs w:val="24"/>
                <w:lang w:val="en-US"/>
              </w:rPr>
              <w:t>Dose and Administration</w:t>
            </w:r>
          </w:p>
        </w:tc>
        <w:tc>
          <w:tcPr>
            <w:tcW w:w="6570" w:type="dxa"/>
          </w:tcPr>
          <w:p w14:paraId="575AAC20" w14:textId="77777777" w:rsidR="00C345C8" w:rsidRPr="0024114A" w:rsidRDefault="00C345C8" w:rsidP="002D6DD7">
            <w:pPr>
              <w:jc w:val="both"/>
              <w:rPr>
                <w:rFonts w:cs="Times New Roman"/>
                <w:szCs w:val="24"/>
                <w:lang w:val="en-US"/>
              </w:rPr>
            </w:pPr>
            <w:r w:rsidRPr="0024114A">
              <w:rPr>
                <w:rFonts w:cs="Times New Roman"/>
                <w:b/>
                <w:bCs/>
                <w:szCs w:val="24"/>
                <w:lang w:val="en-US"/>
              </w:rPr>
              <w:t>Severe pain</w:t>
            </w:r>
            <w:r w:rsidRPr="0024114A">
              <w:rPr>
                <w:rFonts w:cs="Times New Roman"/>
                <w:szCs w:val="24"/>
                <w:lang w:val="en-US"/>
              </w:rPr>
              <w:t xml:space="preserve">; </w:t>
            </w:r>
            <w:r w:rsidRPr="0024114A">
              <w:rPr>
                <w:rFonts w:cs="Times New Roman"/>
                <w:b/>
                <w:szCs w:val="24"/>
                <w:lang w:val="en-US"/>
              </w:rPr>
              <w:t>by oral, or SC injection, or IM injection:</w:t>
            </w:r>
          </w:p>
          <w:p w14:paraId="4C8A399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5–10 mg every 6–8 hours, adjusted according to response, </w:t>
            </w:r>
            <w:r w:rsidRPr="0024114A">
              <w:rPr>
                <w:rFonts w:cs="Times New Roman"/>
                <w:szCs w:val="24"/>
                <w:lang w:val="en-US"/>
              </w:rPr>
              <w:lastRenderedPageBreak/>
              <w:t>on prolonged use not to be given more frequently than every 12 hours</w:t>
            </w:r>
          </w:p>
          <w:p w14:paraId="6DD03A42" w14:textId="77777777" w:rsidR="00C345C8" w:rsidRPr="0024114A" w:rsidRDefault="00C345C8" w:rsidP="002D6DD7">
            <w:pPr>
              <w:jc w:val="both"/>
              <w:rPr>
                <w:rFonts w:cs="Times New Roman"/>
                <w:szCs w:val="24"/>
                <w:lang w:val="en-US"/>
              </w:rPr>
            </w:pPr>
            <w:r w:rsidRPr="0024114A">
              <w:rPr>
                <w:rFonts w:cs="Times New Roman"/>
                <w:b/>
                <w:bCs/>
                <w:szCs w:val="24"/>
                <w:lang w:val="en-US"/>
              </w:rPr>
              <w:t>Adjunct in treatment of opioid dependence</w:t>
            </w:r>
            <w:r w:rsidRPr="0024114A">
              <w:rPr>
                <w:rFonts w:cs="Times New Roman"/>
                <w:szCs w:val="24"/>
                <w:lang w:val="en-US"/>
              </w:rPr>
              <w:t xml:space="preserve">; </w:t>
            </w:r>
            <w:r w:rsidRPr="0024114A">
              <w:rPr>
                <w:rFonts w:cs="Times New Roman"/>
                <w:b/>
                <w:szCs w:val="24"/>
                <w:lang w:val="en-US"/>
              </w:rPr>
              <w:t>oral</w:t>
            </w:r>
            <w:r w:rsidRPr="0024114A">
              <w:rPr>
                <w:rFonts w:cs="Times New Roman"/>
                <w:szCs w:val="24"/>
                <w:lang w:val="en-US"/>
              </w:rPr>
              <w:t xml:space="preserve">: </w:t>
            </w:r>
          </w:p>
          <w:p w14:paraId="6857DF19"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Initially 10–30 mg daily, increased in steps of 5–10 mg daily if required until no signs of withdrawal nor evidence of intoxication, dose to be increased in the first week, then increased every few days as necessary up to usual dose, maximum weekly dose increase of 30 mg; usual dose 60–120 mg daily</w:t>
            </w:r>
          </w:p>
          <w:p w14:paraId="0E16BC4B" w14:textId="77777777" w:rsidR="00C345C8" w:rsidRPr="0024114A" w:rsidRDefault="00C345C8" w:rsidP="002D6DD7">
            <w:pPr>
              <w:jc w:val="both"/>
              <w:rPr>
                <w:rFonts w:cs="Times New Roman"/>
                <w:szCs w:val="24"/>
                <w:lang w:val="en-US"/>
              </w:rPr>
            </w:pPr>
            <w:r w:rsidRPr="0024114A">
              <w:rPr>
                <w:rFonts w:cs="Times New Roman"/>
                <w:b/>
                <w:bCs/>
                <w:szCs w:val="24"/>
                <w:lang w:val="en-US"/>
              </w:rPr>
              <w:t>Cough in palliative care</w:t>
            </w:r>
            <w:r w:rsidRPr="0024114A">
              <w:rPr>
                <w:rFonts w:cs="Times New Roman"/>
                <w:szCs w:val="24"/>
                <w:lang w:val="en-US"/>
              </w:rPr>
              <w:t xml:space="preserve">, </w:t>
            </w:r>
            <w:r w:rsidRPr="0024114A">
              <w:rPr>
                <w:rFonts w:cs="Times New Roman"/>
                <w:b/>
                <w:szCs w:val="24"/>
                <w:lang w:val="en-US"/>
              </w:rPr>
              <w:t>oral:</w:t>
            </w:r>
          </w:p>
          <w:p w14:paraId="1942468A"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1–2 mg every 4–6 hours, reduced to 1–2 mg twice daily, use twice daily frequency if prolonged use</w:t>
            </w:r>
          </w:p>
        </w:tc>
      </w:tr>
      <w:tr w:rsidR="00C345C8" w:rsidRPr="0024114A" w14:paraId="15C48613" w14:textId="77777777" w:rsidTr="002D6DD7">
        <w:trPr>
          <w:jc w:val="center"/>
        </w:trPr>
        <w:tc>
          <w:tcPr>
            <w:tcW w:w="2695" w:type="dxa"/>
          </w:tcPr>
          <w:p w14:paraId="6AB9FECD"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70" w:type="dxa"/>
          </w:tcPr>
          <w:p w14:paraId="7C70FDC6" w14:textId="77777777" w:rsidR="00C345C8" w:rsidRPr="0024114A" w:rsidRDefault="00C345C8" w:rsidP="002D6DD7">
            <w:pPr>
              <w:jc w:val="both"/>
              <w:rPr>
                <w:rFonts w:cs="Times New Roman"/>
                <w:szCs w:val="24"/>
                <w:lang w:val="en-US"/>
              </w:rPr>
            </w:pPr>
            <w:r w:rsidRPr="0024114A">
              <w:rPr>
                <w:rFonts w:cs="Times New Roman"/>
                <w:szCs w:val="24"/>
                <w:lang w:val="en-US"/>
              </w:rPr>
              <w:t>Acute respiratory depression, acute alcoholism, risk of paralytic ileus, raised intracranial pressure or head injury</w:t>
            </w:r>
          </w:p>
        </w:tc>
      </w:tr>
      <w:tr w:rsidR="00C345C8" w:rsidRPr="0024114A" w14:paraId="202E904B" w14:textId="77777777" w:rsidTr="002D6DD7">
        <w:trPr>
          <w:jc w:val="center"/>
        </w:trPr>
        <w:tc>
          <w:tcPr>
            <w:tcW w:w="2695" w:type="dxa"/>
          </w:tcPr>
          <w:p w14:paraId="2F58452B"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70" w:type="dxa"/>
          </w:tcPr>
          <w:p w14:paraId="68625A4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Azole antifungals, abacavir, alcohol, </w:t>
            </w:r>
            <w:r w:rsidR="00B30859">
              <w:rPr>
                <w:rFonts w:cs="Times New Roman"/>
                <w:szCs w:val="24"/>
                <w:lang w:val="en-US"/>
              </w:rPr>
              <w:t>a</w:t>
            </w:r>
            <w:r w:rsidRPr="0024114A">
              <w:rPr>
                <w:rFonts w:cs="Times New Roman"/>
                <w:szCs w:val="24"/>
                <w:lang w:val="en-US"/>
              </w:rPr>
              <w:t>mitriptyline,</w:t>
            </w:r>
            <w:r w:rsidR="000B5F12">
              <w:rPr>
                <w:rFonts w:cs="Times New Roman"/>
                <w:szCs w:val="24"/>
                <w:lang w:val="en-US"/>
              </w:rPr>
              <w:t xml:space="preserve"> </w:t>
            </w:r>
            <w:r w:rsidRPr="0024114A">
              <w:rPr>
                <w:rFonts w:cs="Times New Roman"/>
                <w:szCs w:val="24"/>
                <w:lang w:val="en-US"/>
              </w:rPr>
              <w:t>artemeter, carbamazepine, chlorpromazine, clomipramine, cimetidine, chloroquine, diazepam, efavirenz, fentanyl, fluphenazine, haloperidol, macrolides, metoclopramide, nelfinavir, nevirapine, phenytoin, rifampicin, ritonavir, zidovudine, CYP3A4 inducers/inhibitors.</w:t>
            </w:r>
          </w:p>
        </w:tc>
      </w:tr>
      <w:tr w:rsidR="00C345C8" w:rsidRPr="0024114A" w14:paraId="055CDF56" w14:textId="77777777" w:rsidTr="002D6DD7">
        <w:trPr>
          <w:jc w:val="center"/>
        </w:trPr>
        <w:tc>
          <w:tcPr>
            <w:tcW w:w="2695" w:type="dxa"/>
          </w:tcPr>
          <w:p w14:paraId="356244B2"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70" w:type="dxa"/>
          </w:tcPr>
          <w:p w14:paraId="15F2240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Nausea, vomiting, constipation, drowsiness, dry </w:t>
            </w:r>
            <w:r w:rsidR="000B5F12">
              <w:rPr>
                <w:rFonts w:cs="Times New Roman"/>
                <w:szCs w:val="24"/>
                <w:lang w:val="en-US"/>
              </w:rPr>
              <w:t>mouth</w:t>
            </w:r>
            <w:r w:rsidRPr="0024114A">
              <w:rPr>
                <w:rFonts w:cs="Times New Roman"/>
                <w:szCs w:val="24"/>
                <w:lang w:val="en-US"/>
              </w:rPr>
              <w:t>, anorexia, difficulty with micturition, spasm of urinary and biliary tract, bradycardia, tachycardia, dysphoria, mood changes, decreased libido or potency, rash, urticaria, pruritus, sweating, headache, facial flushing, vertigo, postural hypotension, hypothermia, hallucinations, confusion, and miosis, respiratory depression, hypotension, muscle rigidity</w:t>
            </w:r>
            <w:r w:rsidR="00854883">
              <w:rPr>
                <w:rFonts w:cs="Times New Roman"/>
                <w:szCs w:val="24"/>
                <w:lang w:val="en-US"/>
              </w:rPr>
              <w:t>.</w:t>
            </w:r>
          </w:p>
        </w:tc>
      </w:tr>
      <w:tr w:rsidR="00C345C8" w:rsidRPr="0024114A" w14:paraId="64C39650" w14:textId="77777777" w:rsidTr="002D6DD7">
        <w:trPr>
          <w:jc w:val="center"/>
        </w:trPr>
        <w:tc>
          <w:tcPr>
            <w:tcW w:w="2695" w:type="dxa"/>
          </w:tcPr>
          <w:p w14:paraId="56F0A1F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70" w:type="dxa"/>
          </w:tcPr>
          <w:p w14:paraId="68822B4A" w14:textId="77777777" w:rsidR="00C345C8" w:rsidRPr="0024114A" w:rsidRDefault="00C345C8" w:rsidP="002D6DD7">
            <w:pPr>
              <w:jc w:val="both"/>
              <w:rPr>
                <w:rFonts w:cs="Times New Roman"/>
                <w:szCs w:val="24"/>
                <w:lang w:val="en-US"/>
              </w:rPr>
            </w:pPr>
            <w:r w:rsidRPr="0024114A">
              <w:rPr>
                <w:rFonts w:cs="Times New Roman"/>
                <w:szCs w:val="24"/>
                <w:lang w:val="en-US"/>
              </w:rPr>
              <w:t>Hepatic impairment, hypothyroidism, convulsive disorders, decreased respiratory reserve and acute asthma, hypotension, prostatic hypertrophy, pregnancy, breastfeeding, renal impairment.</w:t>
            </w:r>
          </w:p>
        </w:tc>
      </w:tr>
      <w:tr w:rsidR="00C345C8" w:rsidRPr="0024114A" w14:paraId="59FE240E" w14:textId="77777777" w:rsidTr="002D6DD7">
        <w:trPr>
          <w:jc w:val="center"/>
        </w:trPr>
        <w:tc>
          <w:tcPr>
            <w:tcW w:w="2695" w:type="dxa"/>
          </w:tcPr>
          <w:p w14:paraId="3E6A7280"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70" w:type="dxa"/>
          </w:tcPr>
          <w:p w14:paraId="14B76082" w14:textId="77777777" w:rsidR="00C345C8" w:rsidRPr="0024114A" w:rsidRDefault="00C345C8" w:rsidP="002D6DD7">
            <w:pPr>
              <w:jc w:val="both"/>
              <w:rPr>
                <w:rFonts w:cs="Times New Roman"/>
                <w:szCs w:val="24"/>
                <w:lang w:val="en-US"/>
              </w:rPr>
            </w:pPr>
            <w:r w:rsidRPr="0024114A">
              <w:rPr>
                <w:rFonts w:eastAsia="Helvetica" w:cs="Times New Roman"/>
                <w:color w:val="161616"/>
                <w:szCs w:val="24"/>
                <w:shd w:val="clear" w:color="auto" w:fill="FFFFFF"/>
                <w:lang w:val="en-US"/>
              </w:rPr>
              <w:t>S</w:t>
            </w:r>
            <w:r w:rsidRPr="0024114A">
              <w:rPr>
                <w:rFonts w:eastAsia="Helvetica" w:cs="Times New Roman"/>
                <w:color w:val="161616"/>
                <w:szCs w:val="24"/>
                <w:shd w:val="clear" w:color="auto" w:fill="FFFFFF"/>
              </w:rPr>
              <w:t xml:space="preserve">tore </w:t>
            </w:r>
            <w:r w:rsidRPr="0024114A">
              <w:rPr>
                <w:rFonts w:eastAsia="Helvetica" w:cs="Times New Roman"/>
                <w:color w:val="161616"/>
                <w:szCs w:val="24"/>
                <w:shd w:val="clear" w:color="auto" w:fill="FFFFFF"/>
                <w:lang w:val="en-US"/>
              </w:rPr>
              <w:t>below 30</w:t>
            </w:r>
            <w:r w:rsidRPr="0024114A">
              <w:rPr>
                <w:rFonts w:eastAsia="Helvetica" w:cs="Times New Roman"/>
                <w:color w:val="161616"/>
                <w:szCs w:val="24"/>
                <w:shd w:val="clear" w:color="auto" w:fill="FFFFFF"/>
              </w:rPr>
              <w:t>°</w:t>
            </w:r>
            <w:r w:rsidRPr="0024114A">
              <w:rPr>
                <w:rFonts w:eastAsia="Helvetica" w:cs="Times New Roman"/>
                <w:color w:val="161616"/>
                <w:szCs w:val="24"/>
                <w:shd w:val="clear" w:color="auto" w:fill="FFFFFF"/>
                <w:lang w:val="en-US"/>
              </w:rPr>
              <w:t>C.</w:t>
            </w:r>
          </w:p>
        </w:tc>
      </w:tr>
      <w:tr w:rsidR="00C345C8" w:rsidRPr="0024114A" w14:paraId="4FD8DF0A" w14:textId="77777777" w:rsidTr="002D6DD7">
        <w:trPr>
          <w:jc w:val="center"/>
        </w:trPr>
        <w:tc>
          <w:tcPr>
            <w:tcW w:w="9265" w:type="dxa"/>
            <w:gridSpan w:val="2"/>
          </w:tcPr>
          <w:p w14:paraId="05BA1C35" w14:textId="77777777" w:rsidR="00C345C8" w:rsidRPr="0024114A" w:rsidRDefault="00C345C8" w:rsidP="002D6DD7">
            <w:pPr>
              <w:jc w:val="both"/>
              <w:rPr>
                <w:rFonts w:cs="Times New Roman"/>
                <w:szCs w:val="24"/>
                <w:lang w:val="en-US"/>
              </w:rPr>
            </w:pPr>
            <w:r w:rsidRPr="0024114A">
              <w:rPr>
                <w:rFonts w:cs="Times New Roman"/>
                <w:b/>
                <w:bCs/>
                <w:szCs w:val="24"/>
                <w:lang w:val="en-US"/>
              </w:rPr>
              <w:lastRenderedPageBreak/>
              <w:t>Morphine</w:t>
            </w:r>
          </w:p>
        </w:tc>
      </w:tr>
      <w:tr w:rsidR="00C345C8" w:rsidRPr="0024114A" w14:paraId="0C8C3DFC" w14:textId="77777777" w:rsidTr="002D6DD7">
        <w:trPr>
          <w:jc w:val="center"/>
        </w:trPr>
        <w:tc>
          <w:tcPr>
            <w:tcW w:w="2695" w:type="dxa"/>
          </w:tcPr>
          <w:p w14:paraId="4DF16EE7"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70" w:type="dxa"/>
          </w:tcPr>
          <w:p w14:paraId="42387FD1" w14:textId="77777777" w:rsidR="00C345C8" w:rsidRPr="0024114A" w:rsidRDefault="00C345C8" w:rsidP="002D6DD7">
            <w:pPr>
              <w:jc w:val="both"/>
              <w:rPr>
                <w:rFonts w:cs="Times New Roman"/>
                <w:szCs w:val="24"/>
                <w:lang w:val="en-US"/>
              </w:rPr>
            </w:pPr>
            <w:r w:rsidRPr="0024114A">
              <w:rPr>
                <w:rFonts w:cs="Times New Roman"/>
                <w:szCs w:val="24"/>
                <w:lang w:val="en-US"/>
              </w:rPr>
              <w:t>Opioid analgesics</w:t>
            </w:r>
          </w:p>
        </w:tc>
      </w:tr>
      <w:tr w:rsidR="00C345C8" w:rsidRPr="0024114A" w14:paraId="671CAF4E" w14:textId="77777777" w:rsidTr="002D6DD7">
        <w:trPr>
          <w:jc w:val="center"/>
        </w:trPr>
        <w:tc>
          <w:tcPr>
            <w:tcW w:w="2695" w:type="dxa"/>
          </w:tcPr>
          <w:p w14:paraId="7B32A3D7"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70" w:type="dxa"/>
          </w:tcPr>
          <w:p w14:paraId="60C47141" w14:textId="77777777" w:rsidR="00C345C8" w:rsidRPr="0024114A" w:rsidRDefault="00C345C8" w:rsidP="002D6DD7">
            <w:pPr>
              <w:jc w:val="both"/>
              <w:rPr>
                <w:rFonts w:cs="Times New Roman"/>
                <w:szCs w:val="24"/>
                <w:lang w:val="en-US"/>
              </w:rPr>
            </w:pPr>
            <w:r w:rsidRPr="0024114A">
              <w:rPr>
                <w:rFonts w:cs="Times New Roman"/>
                <w:szCs w:val="24"/>
                <w:lang w:val="en-US"/>
              </w:rPr>
              <w:t>Injection (as HCl or sulphate): 10mg/ml</w:t>
            </w:r>
          </w:p>
          <w:p w14:paraId="6B39B815" w14:textId="77777777" w:rsidR="00C345C8" w:rsidRPr="0024114A" w:rsidRDefault="00C345C8" w:rsidP="002D6DD7">
            <w:pPr>
              <w:jc w:val="both"/>
              <w:rPr>
                <w:rFonts w:cs="Times New Roman"/>
                <w:szCs w:val="24"/>
                <w:lang w:val="nb-NO"/>
              </w:rPr>
            </w:pPr>
            <w:r w:rsidRPr="0024114A">
              <w:rPr>
                <w:rFonts w:cs="Times New Roman"/>
                <w:szCs w:val="24"/>
                <w:lang w:val="nb-NO"/>
              </w:rPr>
              <w:t>Syrup: 20mg/5ml</w:t>
            </w:r>
          </w:p>
          <w:p w14:paraId="2057E5EE" w14:textId="77777777" w:rsidR="00C345C8" w:rsidRPr="0024114A" w:rsidRDefault="00C345C8" w:rsidP="002D6DD7">
            <w:pPr>
              <w:jc w:val="both"/>
              <w:rPr>
                <w:rFonts w:cs="Times New Roman"/>
                <w:szCs w:val="24"/>
                <w:lang w:val="nb-NO"/>
              </w:rPr>
            </w:pPr>
            <w:r w:rsidRPr="0024114A">
              <w:rPr>
                <w:rFonts w:cs="Times New Roman"/>
                <w:szCs w:val="24"/>
                <w:lang w:val="nb-NO"/>
              </w:rPr>
              <w:t>Tablet: 10mg, 30mg</w:t>
            </w:r>
          </w:p>
        </w:tc>
      </w:tr>
      <w:tr w:rsidR="00C345C8" w:rsidRPr="0024114A" w14:paraId="49FEDDE2" w14:textId="77777777" w:rsidTr="002D6DD7">
        <w:trPr>
          <w:trHeight w:val="827"/>
          <w:jc w:val="center"/>
        </w:trPr>
        <w:tc>
          <w:tcPr>
            <w:tcW w:w="2695" w:type="dxa"/>
          </w:tcPr>
          <w:p w14:paraId="527E26FD"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570" w:type="dxa"/>
          </w:tcPr>
          <w:p w14:paraId="4CAAA814" w14:textId="77777777" w:rsidR="00C345C8" w:rsidRPr="0024114A" w:rsidRDefault="00C345C8" w:rsidP="002D6DD7">
            <w:pPr>
              <w:jc w:val="both"/>
              <w:rPr>
                <w:rFonts w:cs="Times New Roman"/>
                <w:szCs w:val="24"/>
                <w:lang w:val="en-US"/>
              </w:rPr>
            </w:pPr>
            <w:r w:rsidRPr="0024114A">
              <w:rPr>
                <w:rFonts w:cs="Times New Roman"/>
                <w:bCs/>
                <w:szCs w:val="24"/>
                <w:lang w:val="en-US"/>
              </w:rPr>
              <w:t>Moderate to severe pain, including post-operative pain and renal colic</w:t>
            </w:r>
            <w:r w:rsidRPr="0024114A">
              <w:rPr>
                <w:rFonts w:cs="Times New Roman"/>
                <w:szCs w:val="24"/>
                <w:lang w:val="en-US"/>
              </w:rPr>
              <w:t xml:space="preserve">, </w:t>
            </w:r>
            <w:r w:rsidRPr="0024114A">
              <w:rPr>
                <w:rFonts w:cs="Times New Roman"/>
                <w:bCs/>
                <w:szCs w:val="24"/>
                <w:lang w:val="en-US"/>
              </w:rPr>
              <w:t>obstetric analgesia</w:t>
            </w:r>
            <w:r w:rsidRPr="0024114A">
              <w:rPr>
                <w:rFonts w:cs="Times New Roman"/>
                <w:szCs w:val="24"/>
                <w:lang w:val="en-US"/>
              </w:rPr>
              <w:t>:</w:t>
            </w:r>
          </w:p>
        </w:tc>
      </w:tr>
      <w:tr w:rsidR="00C345C8" w:rsidRPr="0024114A" w14:paraId="41F97AB5" w14:textId="77777777" w:rsidTr="002D6DD7">
        <w:trPr>
          <w:jc w:val="center"/>
        </w:trPr>
        <w:tc>
          <w:tcPr>
            <w:tcW w:w="2695" w:type="dxa"/>
          </w:tcPr>
          <w:p w14:paraId="5193000A"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70" w:type="dxa"/>
          </w:tcPr>
          <w:p w14:paraId="0F7570C7" w14:textId="77777777" w:rsidR="00C345C8" w:rsidRPr="0024114A" w:rsidRDefault="00C345C8" w:rsidP="002D6DD7">
            <w:pPr>
              <w:jc w:val="both"/>
              <w:rPr>
                <w:rFonts w:cs="Times New Roman"/>
                <w:szCs w:val="24"/>
              </w:rPr>
            </w:pPr>
            <w:r w:rsidRPr="0024114A">
              <w:rPr>
                <w:rFonts w:cs="Times New Roman"/>
                <w:b/>
                <w:bCs/>
                <w:szCs w:val="24"/>
                <w:lang w:val="en-US"/>
              </w:rPr>
              <w:t>Moderate to severe pain, including post-operative pain and renal colic</w:t>
            </w:r>
            <w:r w:rsidRPr="0024114A">
              <w:rPr>
                <w:rFonts w:cs="Times New Roman"/>
                <w:szCs w:val="24"/>
                <w:lang w:val="en-US"/>
              </w:rPr>
              <w:t xml:space="preserve">, </w:t>
            </w:r>
            <w:r w:rsidRPr="0097658E">
              <w:rPr>
                <w:rFonts w:cs="Times New Roman"/>
                <w:szCs w:val="24"/>
                <w:lang w:val="en-US"/>
              </w:rPr>
              <w:t>oral</w:t>
            </w:r>
            <w:r w:rsidRPr="0024114A">
              <w:rPr>
                <w:rFonts w:cs="Times New Roman"/>
                <w:b/>
                <w:szCs w:val="24"/>
              </w:rPr>
              <w:t>:</w:t>
            </w:r>
          </w:p>
          <w:p w14:paraId="27744069"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200 mg every 3–6 hours as required</w:t>
            </w:r>
          </w:p>
          <w:p w14:paraId="31D7C5E0"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szCs w:val="24"/>
              </w:rPr>
              <w:t>IM injection: 75–100 mg every 2–4 hours if required</w:t>
            </w:r>
          </w:p>
          <w:p w14:paraId="3DCEF206"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szCs w:val="24"/>
              </w:rPr>
              <w:t>Slow IV injection: 50–100 mg every 2–4 hours if required</w:t>
            </w:r>
          </w:p>
          <w:p w14:paraId="4727AD3E" w14:textId="77777777" w:rsidR="00C345C8" w:rsidRPr="0024114A" w:rsidRDefault="00C345C8" w:rsidP="002D6DD7">
            <w:pPr>
              <w:jc w:val="both"/>
              <w:rPr>
                <w:rFonts w:cs="Times New Roman"/>
                <w:szCs w:val="24"/>
              </w:rPr>
            </w:pPr>
            <w:r w:rsidRPr="0024114A">
              <w:rPr>
                <w:rFonts w:cs="Times New Roman"/>
                <w:b/>
                <w:bCs/>
                <w:szCs w:val="24"/>
                <w:lang w:val="en-US"/>
              </w:rPr>
              <w:t>Obstetric analgesia</w:t>
            </w:r>
            <w:r w:rsidRPr="0024114A">
              <w:rPr>
                <w:rFonts w:cs="Times New Roman"/>
                <w:szCs w:val="24"/>
                <w:lang w:val="en-US"/>
              </w:rPr>
              <w:t xml:space="preserve">, </w:t>
            </w:r>
            <w:r w:rsidRPr="0024114A">
              <w:rPr>
                <w:rFonts w:cs="Times New Roman"/>
                <w:szCs w:val="24"/>
              </w:rPr>
              <w:t xml:space="preserve">by IM injection: </w:t>
            </w:r>
          </w:p>
          <w:p w14:paraId="582DEDED"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2 mg/kg, usual dose 100–150 mg</w:t>
            </w:r>
          </w:p>
          <w:p w14:paraId="750D8518"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szCs w:val="24"/>
              </w:rPr>
              <w:t>Acute pulmonary edema by slow IV injection (2 mg/min): 5–10 mg</w:t>
            </w:r>
          </w:p>
          <w:p w14:paraId="22B7EE6B"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Pain, </w:t>
            </w:r>
            <w:r w:rsidRPr="0024114A">
              <w:rPr>
                <w:rFonts w:cs="Times New Roman"/>
                <w:b/>
                <w:szCs w:val="24"/>
                <w:lang w:val="en-US"/>
              </w:rPr>
              <w:t>SC, or IM:</w:t>
            </w:r>
          </w:p>
          <w:p w14:paraId="05424CBA"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Neonate</w:t>
            </w:r>
            <w:r w:rsidRPr="0024114A">
              <w:rPr>
                <w:szCs w:val="24"/>
              </w:rPr>
              <w:t>: Initially 50 mcg/kg every 6 hours, adjusted according to response</w:t>
            </w:r>
          </w:p>
          <w:p w14:paraId="5B86247B"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Infant 1–6 months</w:t>
            </w:r>
            <w:r w:rsidRPr="0024114A">
              <w:rPr>
                <w:szCs w:val="24"/>
              </w:rPr>
              <w:t>: Initially 100 mcg/kg every 6 hours, adjusted according to response</w:t>
            </w:r>
          </w:p>
          <w:p w14:paraId="44326344"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Infant or child 6 months–12 years</w:t>
            </w:r>
            <w:r w:rsidRPr="0024114A">
              <w:rPr>
                <w:szCs w:val="24"/>
              </w:rPr>
              <w:t>: Initially 100 mcg/kg every 4 hours, adjusted according to response; maximum dose is 15 mg</w:t>
            </w:r>
          </w:p>
          <w:p w14:paraId="5C1706B6"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Pain, </w:t>
            </w:r>
            <w:r w:rsidRPr="0024114A">
              <w:rPr>
                <w:rFonts w:cs="Times New Roman"/>
                <w:b/>
                <w:szCs w:val="24"/>
                <w:lang w:val="en-US"/>
              </w:rPr>
              <w:t>IV injection and infusion:</w:t>
            </w:r>
          </w:p>
          <w:p w14:paraId="7A695A3E"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Neonate</w:t>
            </w:r>
            <w:r w:rsidRPr="0024114A">
              <w:rPr>
                <w:szCs w:val="24"/>
              </w:rPr>
              <w:t>: Initially by IV injection (over at least 5 minutes) 25–100 mcg/kg then by continuous IV infusion 5–40 mcg/kg/hour adjusted according to response</w:t>
            </w:r>
          </w:p>
          <w:p w14:paraId="36B7EC78"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Child 1–6 months</w:t>
            </w:r>
            <w:r w:rsidRPr="0024114A">
              <w:rPr>
                <w:szCs w:val="24"/>
              </w:rPr>
              <w:t>: Initially by IV injection (over at least 5 minutes) 100–200 mcg/kg then by continuous infusion 10–30 mcg/kg/hour adjusted to response</w:t>
            </w:r>
          </w:p>
          <w:p w14:paraId="48F77975"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Child 6 months–12 year</w:t>
            </w:r>
            <w:r w:rsidRPr="0024114A">
              <w:rPr>
                <w:szCs w:val="24"/>
              </w:rPr>
              <w:t xml:space="preserve">s: Initially by IV injection (over at least </w:t>
            </w:r>
            <w:r w:rsidRPr="0024114A">
              <w:rPr>
                <w:szCs w:val="24"/>
              </w:rPr>
              <w:lastRenderedPageBreak/>
              <w:t>5 minutes) 100–200 mcg/kg then by continuous IV infusion 20–30 mcg/kg/hour adjusted according to response.</w:t>
            </w:r>
          </w:p>
          <w:p w14:paraId="58FB4A61" w14:textId="77777777" w:rsidR="00C345C8" w:rsidRPr="0024114A" w:rsidRDefault="00C345C8" w:rsidP="002D6DD7">
            <w:pPr>
              <w:jc w:val="both"/>
              <w:rPr>
                <w:rFonts w:cs="Times New Roman"/>
                <w:b/>
                <w:bCs/>
                <w:szCs w:val="24"/>
                <w:lang w:val="en-US"/>
              </w:rPr>
            </w:pPr>
            <w:r w:rsidRPr="0024114A">
              <w:rPr>
                <w:rFonts w:cs="Times New Roman"/>
                <w:b/>
                <w:bCs/>
                <w:szCs w:val="24"/>
                <w:lang w:val="en-US"/>
              </w:rPr>
              <w:t>Pain</w:t>
            </w:r>
            <w:r w:rsidRPr="0024114A">
              <w:rPr>
                <w:rFonts w:cs="Times New Roman"/>
                <w:b/>
                <w:szCs w:val="24"/>
                <w:lang w:val="en-US"/>
              </w:rPr>
              <w:t xml:space="preserve">, </w:t>
            </w:r>
            <w:r w:rsidRPr="0097658E">
              <w:rPr>
                <w:rFonts w:cs="Times New Roman"/>
                <w:szCs w:val="24"/>
                <w:lang w:val="en-US"/>
              </w:rPr>
              <w:t>oral</w:t>
            </w:r>
            <w:r w:rsidRPr="0024114A">
              <w:rPr>
                <w:rFonts w:cs="Times New Roman"/>
                <w:b/>
                <w:szCs w:val="24"/>
                <w:lang w:val="en-US"/>
              </w:rPr>
              <w:t>:</w:t>
            </w:r>
          </w:p>
          <w:p w14:paraId="3B615304"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Child 1–12 months</w:t>
            </w:r>
            <w:r w:rsidRPr="0024114A">
              <w:rPr>
                <w:szCs w:val="24"/>
              </w:rPr>
              <w:t>: Initially 80–200 mcg/kg every 4 hours, adjusted according to response</w:t>
            </w:r>
          </w:p>
          <w:p w14:paraId="1FBA89E3"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Child 1–2 years</w:t>
            </w:r>
            <w:r w:rsidRPr="0024114A">
              <w:rPr>
                <w:szCs w:val="24"/>
              </w:rPr>
              <w:t>: Initially 200–400 mcg/kg every 4 hours, adjusted according to response</w:t>
            </w:r>
          </w:p>
          <w:p w14:paraId="52487D3D"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Child 2–12 years</w:t>
            </w:r>
            <w:r w:rsidRPr="0024114A">
              <w:rPr>
                <w:szCs w:val="24"/>
              </w:rPr>
              <w:t>: Initially 200–500 mcg/kg (maximum 20 mg) every 4 hours, adjusted according to response</w:t>
            </w:r>
          </w:p>
        </w:tc>
      </w:tr>
      <w:tr w:rsidR="00C345C8" w:rsidRPr="0024114A" w14:paraId="40EAA3EE" w14:textId="77777777" w:rsidTr="002D6DD7">
        <w:trPr>
          <w:jc w:val="center"/>
        </w:trPr>
        <w:tc>
          <w:tcPr>
            <w:tcW w:w="2695" w:type="dxa"/>
          </w:tcPr>
          <w:p w14:paraId="1AE53AA9"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70" w:type="dxa"/>
          </w:tcPr>
          <w:p w14:paraId="6708351E" w14:textId="77777777" w:rsidR="00C345C8" w:rsidRPr="0024114A" w:rsidRDefault="00C345C8" w:rsidP="002D6DD7">
            <w:pPr>
              <w:pStyle w:val="NormalWeb"/>
              <w:shd w:val="clear" w:color="auto" w:fill="FFFFFF"/>
              <w:spacing w:before="0" w:beforeAutospacing="0" w:after="0" w:afterAutospacing="0" w:line="360" w:lineRule="auto"/>
              <w:jc w:val="both"/>
              <w:rPr>
                <w:color w:val="161616"/>
                <w:lang w:val="en-US"/>
              </w:rPr>
            </w:pPr>
            <w:r w:rsidRPr="0024114A">
              <w:rPr>
                <w:color w:val="161616"/>
                <w:lang w:val="en-US"/>
              </w:rPr>
              <w:t>Patients known to be hypersensitivity to the drug, respiratory depression, acute hepatic disease, acute alcoholism, head injuries, coma, convulsive disorders, increased intracranial pressure, acute abdomen, delayed gastric emptying, heart failure secondary to chronic lung disease, phaeochromocytoma</w:t>
            </w:r>
            <w:r w:rsidR="0097658E">
              <w:rPr>
                <w:color w:val="161616"/>
                <w:lang w:val="en-US"/>
              </w:rPr>
              <w:t>.</w:t>
            </w:r>
          </w:p>
        </w:tc>
      </w:tr>
      <w:tr w:rsidR="00C345C8" w:rsidRPr="0024114A" w14:paraId="362F7FDE" w14:textId="77777777" w:rsidTr="002D6DD7">
        <w:trPr>
          <w:jc w:val="center"/>
        </w:trPr>
        <w:tc>
          <w:tcPr>
            <w:tcW w:w="2695" w:type="dxa"/>
          </w:tcPr>
          <w:p w14:paraId="049FA7BF"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70" w:type="dxa"/>
          </w:tcPr>
          <w:p w14:paraId="7BF30C65" w14:textId="77777777" w:rsidR="00C345C8" w:rsidRPr="0024114A" w:rsidRDefault="00C345C8" w:rsidP="002D6DD7">
            <w:pPr>
              <w:jc w:val="both"/>
              <w:rPr>
                <w:rFonts w:cs="Times New Roman"/>
                <w:szCs w:val="24"/>
                <w:lang w:val="en-US"/>
              </w:rPr>
            </w:pPr>
            <w:r w:rsidRPr="0024114A">
              <w:rPr>
                <w:rFonts w:cs="Times New Roman"/>
                <w:szCs w:val="24"/>
                <w:lang w:val="en-US"/>
              </w:rPr>
              <w:t>MAOIs, gabapentin, ritonavir, rifampicin, cimetidine, CNS depressants, esmolol, domperidone/ metoclopramide, mexiletine, phenothiazine antiemetics, sedative medicines such as benzodiazepines, linezolid, fentanyl, tramadol,quinidine, fluoxetine.</w:t>
            </w:r>
          </w:p>
        </w:tc>
      </w:tr>
      <w:tr w:rsidR="00C345C8" w:rsidRPr="0024114A" w14:paraId="7DDCB0B5" w14:textId="77777777" w:rsidTr="002D6DD7">
        <w:trPr>
          <w:jc w:val="center"/>
        </w:trPr>
        <w:tc>
          <w:tcPr>
            <w:tcW w:w="2695" w:type="dxa"/>
          </w:tcPr>
          <w:p w14:paraId="5749472E"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70" w:type="dxa"/>
          </w:tcPr>
          <w:p w14:paraId="313CA041" w14:textId="77777777" w:rsidR="00C345C8" w:rsidRPr="0024114A" w:rsidRDefault="00C345C8" w:rsidP="002D6DD7">
            <w:pPr>
              <w:jc w:val="both"/>
              <w:rPr>
                <w:rFonts w:cs="Times New Roman"/>
                <w:szCs w:val="24"/>
                <w:lang w:val="en-US"/>
              </w:rPr>
            </w:pPr>
            <w:r w:rsidRPr="0024114A">
              <w:rPr>
                <w:rFonts w:cs="Times New Roman"/>
                <w:szCs w:val="24"/>
                <w:lang w:val="en-US"/>
              </w:rPr>
              <w:t>Appetite decreased, asthenia, gastrointestinal discomfort, insomnia, malaise, neuromuscular dysfunction, amenorrhoea, biliary pain, hyperalgesia, hypertension, pancreatitis exacerbated, sexual dysfunction, sleep apnoea, ureteral spasm, withdrawal syndrome with unknown frequency</w:t>
            </w:r>
            <w:r w:rsidR="0097658E">
              <w:rPr>
                <w:rFonts w:cs="Times New Roman"/>
                <w:szCs w:val="24"/>
                <w:lang w:val="en-US"/>
              </w:rPr>
              <w:t>.</w:t>
            </w:r>
          </w:p>
        </w:tc>
      </w:tr>
      <w:tr w:rsidR="00C345C8" w:rsidRPr="0024114A" w14:paraId="36973E9E" w14:textId="77777777" w:rsidTr="002D6DD7">
        <w:trPr>
          <w:jc w:val="center"/>
        </w:trPr>
        <w:tc>
          <w:tcPr>
            <w:tcW w:w="2695" w:type="dxa"/>
          </w:tcPr>
          <w:p w14:paraId="1673FA74"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570" w:type="dxa"/>
          </w:tcPr>
          <w:p w14:paraId="7A5C00CA" w14:textId="77777777" w:rsidR="00C345C8" w:rsidRPr="0024114A" w:rsidRDefault="00C345C8" w:rsidP="002D6DD7">
            <w:pPr>
              <w:jc w:val="both"/>
              <w:rPr>
                <w:rFonts w:cs="Times New Roman"/>
                <w:szCs w:val="24"/>
                <w:lang w:val="en-US"/>
              </w:rPr>
            </w:pPr>
            <w:r w:rsidRPr="0024114A">
              <w:rPr>
                <w:rFonts w:cs="Times New Roman"/>
                <w:szCs w:val="24"/>
                <w:lang w:val="en-US"/>
              </w:rPr>
              <w:t>Renal impairment, hepatic impairment, dependence, cardiac arrhythmias, pancreatitis, hypothyroidism, convulsive disorders, acute asthma, hypotension, prostatic hypertrophy</w:t>
            </w:r>
            <w:r w:rsidR="0097658E">
              <w:rPr>
                <w:rFonts w:cs="Times New Roman"/>
                <w:szCs w:val="24"/>
                <w:lang w:val="en-US"/>
              </w:rPr>
              <w:t>.</w:t>
            </w:r>
          </w:p>
        </w:tc>
      </w:tr>
      <w:tr w:rsidR="00C345C8" w:rsidRPr="0024114A" w14:paraId="21F47875" w14:textId="77777777" w:rsidTr="002D6DD7">
        <w:trPr>
          <w:jc w:val="center"/>
        </w:trPr>
        <w:tc>
          <w:tcPr>
            <w:tcW w:w="2695" w:type="dxa"/>
          </w:tcPr>
          <w:p w14:paraId="634A0957"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70" w:type="dxa"/>
          </w:tcPr>
          <w:p w14:paraId="2A55358F" w14:textId="77777777" w:rsidR="00C345C8" w:rsidRPr="0024114A" w:rsidRDefault="00C345C8" w:rsidP="002D6DD7">
            <w:pPr>
              <w:jc w:val="both"/>
              <w:rPr>
                <w:rFonts w:cs="Times New Roman"/>
                <w:szCs w:val="24"/>
                <w:lang w:val="en-US"/>
              </w:rPr>
            </w:pPr>
            <w:r w:rsidRPr="0024114A">
              <w:rPr>
                <w:rFonts w:cs="Times New Roman"/>
                <w:szCs w:val="24"/>
                <w:lang w:val="en-US"/>
              </w:rPr>
              <w:t>Store below 30°C. Protect from light.</w:t>
            </w:r>
          </w:p>
        </w:tc>
      </w:tr>
      <w:tr w:rsidR="00C345C8" w:rsidRPr="0024114A" w14:paraId="2090E950" w14:textId="77777777" w:rsidTr="002D6DD7">
        <w:trPr>
          <w:jc w:val="center"/>
        </w:trPr>
        <w:tc>
          <w:tcPr>
            <w:tcW w:w="9265" w:type="dxa"/>
            <w:gridSpan w:val="2"/>
          </w:tcPr>
          <w:p w14:paraId="3ABDDB40" w14:textId="77777777" w:rsidR="00C345C8" w:rsidRPr="0024114A" w:rsidRDefault="00C345C8" w:rsidP="002D6DD7">
            <w:pPr>
              <w:jc w:val="both"/>
              <w:rPr>
                <w:rFonts w:cs="Times New Roman"/>
                <w:szCs w:val="24"/>
                <w:lang w:val="en-US"/>
              </w:rPr>
            </w:pPr>
            <w:r w:rsidRPr="0024114A">
              <w:rPr>
                <w:rFonts w:cs="Times New Roman"/>
                <w:b/>
                <w:bCs/>
                <w:szCs w:val="24"/>
                <w:lang w:val="en-US"/>
              </w:rPr>
              <w:t>Pethidine hydrochloride (Meperidine)</w:t>
            </w:r>
          </w:p>
        </w:tc>
      </w:tr>
      <w:tr w:rsidR="00C345C8" w:rsidRPr="0024114A" w14:paraId="7D69F67B" w14:textId="77777777" w:rsidTr="002D6DD7">
        <w:trPr>
          <w:jc w:val="center"/>
        </w:trPr>
        <w:tc>
          <w:tcPr>
            <w:tcW w:w="2695" w:type="dxa"/>
          </w:tcPr>
          <w:p w14:paraId="72536B57"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70" w:type="dxa"/>
          </w:tcPr>
          <w:p w14:paraId="0549DB2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Opioid analgesics </w:t>
            </w:r>
          </w:p>
        </w:tc>
      </w:tr>
      <w:tr w:rsidR="00C345C8" w:rsidRPr="0024114A" w14:paraId="64A9DBBD" w14:textId="77777777" w:rsidTr="002D6DD7">
        <w:trPr>
          <w:jc w:val="center"/>
        </w:trPr>
        <w:tc>
          <w:tcPr>
            <w:tcW w:w="2695" w:type="dxa"/>
          </w:tcPr>
          <w:p w14:paraId="6521C22B"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70" w:type="dxa"/>
          </w:tcPr>
          <w:p w14:paraId="5B22E4A1" w14:textId="77777777" w:rsidR="00C345C8" w:rsidRPr="0024114A" w:rsidRDefault="00C345C8" w:rsidP="002D6DD7">
            <w:pPr>
              <w:jc w:val="both"/>
              <w:rPr>
                <w:rFonts w:cs="Times New Roman"/>
                <w:szCs w:val="24"/>
                <w:lang w:val="en-US"/>
              </w:rPr>
            </w:pPr>
            <w:r w:rsidRPr="0024114A">
              <w:rPr>
                <w:rFonts w:cs="Times New Roman"/>
                <w:szCs w:val="24"/>
                <w:lang w:val="en-US"/>
              </w:rPr>
              <w:t>Injection: 50mg/ml in 1ml and 2ml ampoule</w:t>
            </w:r>
          </w:p>
        </w:tc>
      </w:tr>
      <w:tr w:rsidR="00C345C8" w:rsidRPr="0024114A" w14:paraId="4447F789" w14:textId="77777777" w:rsidTr="002D6DD7">
        <w:trPr>
          <w:jc w:val="center"/>
        </w:trPr>
        <w:tc>
          <w:tcPr>
            <w:tcW w:w="2695" w:type="dxa"/>
          </w:tcPr>
          <w:p w14:paraId="635FC709"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Indications</w:t>
            </w:r>
          </w:p>
        </w:tc>
        <w:tc>
          <w:tcPr>
            <w:tcW w:w="6570" w:type="dxa"/>
          </w:tcPr>
          <w:p w14:paraId="6C639B41" w14:textId="77777777" w:rsidR="00C345C8" w:rsidRPr="0024114A" w:rsidRDefault="00C345C8" w:rsidP="002D6DD7">
            <w:pPr>
              <w:jc w:val="both"/>
              <w:rPr>
                <w:rFonts w:cs="Times New Roman"/>
                <w:szCs w:val="24"/>
                <w:lang w:val="en-US"/>
              </w:rPr>
            </w:pPr>
            <w:r w:rsidRPr="0024114A">
              <w:rPr>
                <w:rFonts w:cs="Times New Roman"/>
                <w:szCs w:val="24"/>
                <w:lang w:val="en-US"/>
              </w:rPr>
              <w:t>Acute pain, obstetric analgesia, premedication, postoperative pain</w:t>
            </w:r>
          </w:p>
        </w:tc>
      </w:tr>
      <w:tr w:rsidR="00C345C8" w:rsidRPr="0024114A" w14:paraId="1864C673" w14:textId="77777777" w:rsidTr="002D6DD7">
        <w:trPr>
          <w:jc w:val="center"/>
        </w:trPr>
        <w:tc>
          <w:tcPr>
            <w:tcW w:w="2695" w:type="dxa"/>
          </w:tcPr>
          <w:p w14:paraId="17F02467"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70" w:type="dxa"/>
          </w:tcPr>
          <w:p w14:paraId="72B150E4" w14:textId="77777777" w:rsidR="00C345C8" w:rsidRPr="0024114A" w:rsidRDefault="00C345C8" w:rsidP="002D6DD7">
            <w:pPr>
              <w:jc w:val="both"/>
              <w:rPr>
                <w:rFonts w:cs="Times New Roman"/>
                <w:szCs w:val="24"/>
              </w:rPr>
            </w:pPr>
            <w:r w:rsidRPr="0024114A">
              <w:rPr>
                <w:rFonts w:cs="Times New Roman"/>
                <w:b/>
                <w:bCs/>
                <w:szCs w:val="24"/>
                <w:lang w:val="en-US"/>
              </w:rPr>
              <w:t xml:space="preserve">Acute pain, </w:t>
            </w:r>
            <w:r w:rsidRPr="0024114A">
              <w:rPr>
                <w:rFonts w:cs="Times New Roman"/>
                <w:b/>
                <w:szCs w:val="24"/>
              </w:rPr>
              <w:t>By SC injection, or by IM injection</w:t>
            </w:r>
            <w:r w:rsidRPr="0024114A">
              <w:rPr>
                <w:rFonts w:cs="Times New Roman"/>
                <w:szCs w:val="24"/>
              </w:rPr>
              <w:t xml:space="preserve">: </w:t>
            </w:r>
          </w:p>
          <w:p w14:paraId="177933FD"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25–100 mg, then 25–100 mg after 4 hours, for debilitated patients use dose described for elderly patients</w:t>
            </w:r>
          </w:p>
          <w:p w14:paraId="1FCC3FD0"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szCs w:val="24"/>
              </w:rPr>
              <w:t>Elderly:</w:t>
            </w:r>
            <w:r w:rsidRPr="0024114A">
              <w:rPr>
                <w:szCs w:val="24"/>
              </w:rPr>
              <w:t xml:space="preserve"> Initially 25 mg, then 25–100 mg after 4 hours</w:t>
            </w:r>
          </w:p>
          <w:p w14:paraId="79B8CC4D"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szCs w:val="24"/>
              </w:rPr>
              <w:t>By slow IV</w:t>
            </w:r>
            <w:r w:rsidR="0097658E">
              <w:rPr>
                <w:b/>
                <w:szCs w:val="24"/>
              </w:rPr>
              <w:t xml:space="preserve"> </w:t>
            </w:r>
            <w:r w:rsidRPr="0024114A">
              <w:rPr>
                <w:b/>
                <w:szCs w:val="24"/>
              </w:rPr>
              <w:t>injection</w:t>
            </w:r>
            <w:r w:rsidRPr="0024114A">
              <w:rPr>
                <w:szCs w:val="24"/>
              </w:rPr>
              <w:t>: 25–50 mg, then 25–50 mg after 4 hours, for debilitated patients use dose described for elderly patients</w:t>
            </w:r>
          </w:p>
          <w:p w14:paraId="41829996"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szCs w:val="24"/>
              </w:rPr>
              <w:t>Elderly</w:t>
            </w:r>
            <w:r w:rsidRPr="0024114A">
              <w:rPr>
                <w:szCs w:val="24"/>
              </w:rPr>
              <w:t>: Initially 25 mg, then 25–50 mg after 4 hours</w:t>
            </w:r>
          </w:p>
          <w:p w14:paraId="4A4AF3D2" w14:textId="77777777" w:rsidR="00C345C8" w:rsidRPr="0024114A" w:rsidRDefault="00C345C8" w:rsidP="002D6DD7">
            <w:pPr>
              <w:jc w:val="both"/>
              <w:rPr>
                <w:rFonts w:cs="Times New Roman"/>
                <w:szCs w:val="24"/>
              </w:rPr>
            </w:pPr>
            <w:r w:rsidRPr="0024114A">
              <w:rPr>
                <w:rFonts w:cs="Times New Roman"/>
                <w:b/>
                <w:bCs/>
                <w:szCs w:val="24"/>
                <w:lang w:val="en-US"/>
              </w:rPr>
              <w:t xml:space="preserve">Obstetric analgesia, </w:t>
            </w:r>
            <w:r w:rsidRPr="0024114A">
              <w:rPr>
                <w:rFonts w:cs="Times New Roman"/>
                <w:b/>
                <w:szCs w:val="24"/>
              </w:rPr>
              <w:t>by SC injection, or by IM injection:</w:t>
            </w:r>
          </w:p>
          <w:p w14:paraId="3878A172"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50–100 mg, then 50–100 mg after 1–3 hours if</w:t>
            </w:r>
            <w:r w:rsidR="0097658E">
              <w:rPr>
                <w:rFonts w:cs="Times New Roman"/>
                <w:szCs w:val="24"/>
              </w:rPr>
              <w:t xml:space="preserve"> </w:t>
            </w:r>
            <w:r w:rsidRPr="0024114A">
              <w:rPr>
                <w:rFonts w:cs="Times New Roman"/>
                <w:szCs w:val="24"/>
              </w:rPr>
              <w:t xml:space="preserve">required; maximum 400 mg per day </w:t>
            </w:r>
          </w:p>
          <w:p w14:paraId="06D66A4F" w14:textId="77777777" w:rsidR="00C345C8" w:rsidRPr="0024114A" w:rsidRDefault="00C345C8" w:rsidP="002D6DD7">
            <w:pPr>
              <w:jc w:val="both"/>
              <w:rPr>
                <w:rFonts w:cs="Times New Roman"/>
                <w:szCs w:val="24"/>
              </w:rPr>
            </w:pPr>
            <w:r w:rsidRPr="0024114A">
              <w:rPr>
                <w:rFonts w:cs="Times New Roman"/>
                <w:b/>
                <w:bCs/>
                <w:szCs w:val="24"/>
                <w:lang w:val="en-US"/>
              </w:rPr>
              <w:t>Premedication, b</w:t>
            </w:r>
            <w:r w:rsidRPr="0024114A">
              <w:rPr>
                <w:rFonts w:cs="Times New Roman"/>
                <w:b/>
                <w:szCs w:val="24"/>
              </w:rPr>
              <w:t>y IM injection:</w:t>
            </w:r>
          </w:p>
          <w:p w14:paraId="6AB90EA5"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rPr>
              <w:t>25–100 mg, dose to be given 1 hour before operation, for debilitated patients use dose described for elderly patients</w:t>
            </w:r>
          </w:p>
          <w:p w14:paraId="5873C7C0"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Elderly</w:t>
            </w:r>
            <w:r w:rsidRPr="0024114A">
              <w:rPr>
                <w:szCs w:val="24"/>
              </w:rPr>
              <w:t>: 25 mg, dose to be given 1 hour before operation</w:t>
            </w:r>
          </w:p>
          <w:p w14:paraId="6CC2FB98" w14:textId="77777777" w:rsidR="00C345C8" w:rsidRPr="0024114A" w:rsidRDefault="00C345C8" w:rsidP="002D6DD7">
            <w:pPr>
              <w:jc w:val="both"/>
              <w:rPr>
                <w:rFonts w:cs="Times New Roman"/>
                <w:szCs w:val="24"/>
              </w:rPr>
            </w:pPr>
            <w:r w:rsidRPr="0024114A">
              <w:rPr>
                <w:rFonts w:cs="Times New Roman"/>
                <w:b/>
                <w:bCs/>
                <w:szCs w:val="24"/>
                <w:lang w:val="en-US"/>
              </w:rPr>
              <w:t>Postoperative pain, b</w:t>
            </w:r>
            <w:r w:rsidRPr="0024114A">
              <w:rPr>
                <w:rFonts w:cs="Times New Roman"/>
                <w:b/>
                <w:szCs w:val="24"/>
              </w:rPr>
              <w:t>y SC injection, or by IM injection</w:t>
            </w:r>
            <w:r w:rsidRPr="0024114A">
              <w:rPr>
                <w:rFonts w:cs="Times New Roman"/>
                <w:szCs w:val="24"/>
              </w:rPr>
              <w:t>:</w:t>
            </w:r>
          </w:p>
          <w:p w14:paraId="0F3AF72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rPr>
              <w:t xml:space="preserve"> 25–100 mg every 2–3 hours if required, for debilitated patients use dose described for elderly patients</w:t>
            </w:r>
          </w:p>
          <w:p w14:paraId="64291DB0" w14:textId="77777777" w:rsidR="00C345C8" w:rsidRPr="0024114A" w:rsidRDefault="00C345C8" w:rsidP="002D6DD7">
            <w:pPr>
              <w:pStyle w:val="ListParagraph"/>
              <w:widowControl/>
              <w:autoSpaceDE/>
              <w:autoSpaceDN/>
              <w:spacing w:line="360" w:lineRule="auto"/>
              <w:ind w:left="0" w:firstLine="0"/>
              <w:contextualSpacing/>
              <w:rPr>
                <w:szCs w:val="24"/>
              </w:rPr>
            </w:pPr>
            <w:r w:rsidRPr="0024114A">
              <w:rPr>
                <w:b/>
                <w:bCs/>
                <w:szCs w:val="24"/>
              </w:rPr>
              <w:t>Elderly</w:t>
            </w:r>
            <w:r w:rsidRPr="0024114A">
              <w:rPr>
                <w:szCs w:val="24"/>
              </w:rPr>
              <w:t>: Initially 25 mg every 2–3 hours if required</w:t>
            </w:r>
          </w:p>
        </w:tc>
      </w:tr>
      <w:tr w:rsidR="00C345C8" w:rsidRPr="0024114A" w14:paraId="07F0DB93" w14:textId="77777777" w:rsidTr="002D6DD7">
        <w:trPr>
          <w:jc w:val="center"/>
        </w:trPr>
        <w:tc>
          <w:tcPr>
            <w:tcW w:w="2695" w:type="dxa"/>
          </w:tcPr>
          <w:p w14:paraId="6D1DF7A0"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570" w:type="dxa"/>
          </w:tcPr>
          <w:p w14:paraId="31B1AAC3"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phaeochromocytoma, severe or acute bronchial asthma, respiratory depression, GI obstruction.</w:t>
            </w:r>
          </w:p>
        </w:tc>
      </w:tr>
      <w:tr w:rsidR="00C345C8" w:rsidRPr="0024114A" w14:paraId="46E025A7" w14:textId="77777777" w:rsidTr="002D6DD7">
        <w:trPr>
          <w:jc w:val="center"/>
        </w:trPr>
        <w:tc>
          <w:tcPr>
            <w:tcW w:w="2695" w:type="dxa"/>
          </w:tcPr>
          <w:p w14:paraId="3E245CFC"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70" w:type="dxa"/>
          </w:tcPr>
          <w:p w14:paraId="14100D6F" w14:textId="77777777" w:rsidR="00C345C8" w:rsidRPr="0024114A" w:rsidRDefault="00C345C8" w:rsidP="002D6DD7">
            <w:pPr>
              <w:jc w:val="both"/>
              <w:rPr>
                <w:rFonts w:cs="Times New Roman"/>
                <w:szCs w:val="24"/>
                <w:lang w:val="en-US"/>
              </w:rPr>
            </w:pPr>
            <w:r w:rsidRPr="0024114A">
              <w:rPr>
                <w:rFonts w:cs="Times New Roman"/>
                <w:szCs w:val="24"/>
                <w:lang w:val="en-US"/>
              </w:rPr>
              <w:t>Alcohol, antidepressants, SSRIs and Tricyclic antidepressants, anxiolytics and hypnotics, antipsychotics, carbamazepine, coumarins, MAOIs, digoxin, duloxetine, fentanyl, tramadol, sertraline, selegiline, ciprofloxacin, cimetidine, domperidone, metoclopramide, linezolid, mexiletine, ritonavir, and sedative medicines such as benzodiazepines, CYP3A4 inhibitors/inducers.</w:t>
            </w:r>
          </w:p>
        </w:tc>
      </w:tr>
      <w:tr w:rsidR="00C345C8" w:rsidRPr="0024114A" w14:paraId="01003B74" w14:textId="77777777" w:rsidTr="002D6DD7">
        <w:trPr>
          <w:jc w:val="center"/>
        </w:trPr>
        <w:tc>
          <w:tcPr>
            <w:tcW w:w="2695" w:type="dxa"/>
          </w:tcPr>
          <w:p w14:paraId="201158B4"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70" w:type="dxa"/>
          </w:tcPr>
          <w:p w14:paraId="5484AD7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Biliary spasm, dysuria, hypotension, hypothermia, anxiety, appetite decreased, asthenia, concentration impaired, depressed mood, diarrhea, dyspnea, feeling of body temperature change, gastrointestinal discomfort, mucosal dryness, muscle contractions </w:t>
            </w:r>
            <w:r w:rsidRPr="0024114A">
              <w:rPr>
                <w:rFonts w:cs="Times New Roman"/>
                <w:szCs w:val="24"/>
                <w:lang w:val="en-US"/>
              </w:rPr>
              <w:lastRenderedPageBreak/>
              <w:t>involuntary, muscle spasms, oedema, sleep disorders, tremor</w:t>
            </w:r>
          </w:p>
        </w:tc>
      </w:tr>
      <w:tr w:rsidR="00C345C8" w:rsidRPr="0024114A" w14:paraId="53F504DF" w14:textId="77777777" w:rsidTr="002D6DD7">
        <w:trPr>
          <w:jc w:val="center"/>
        </w:trPr>
        <w:tc>
          <w:tcPr>
            <w:tcW w:w="2695" w:type="dxa"/>
          </w:tcPr>
          <w:p w14:paraId="00F5769C"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570" w:type="dxa"/>
          </w:tcPr>
          <w:p w14:paraId="63D3EB4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Cardiac arrhythmias, renal impairment, hypotension, seizure, anxiety </w:t>
            </w:r>
          </w:p>
        </w:tc>
      </w:tr>
      <w:tr w:rsidR="00C345C8" w:rsidRPr="0024114A" w14:paraId="1FB1337D" w14:textId="77777777" w:rsidTr="002D6DD7">
        <w:trPr>
          <w:jc w:val="center"/>
        </w:trPr>
        <w:tc>
          <w:tcPr>
            <w:tcW w:w="2695" w:type="dxa"/>
          </w:tcPr>
          <w:p w14:paraId="79C8D1F3"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70" w:type="dxa"/>
          </w:tcPr>
          <w:p w14:paraId="282B498B"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62932D2D" w14:textId="77777777" w:rsidTr="002D6DD7">
        <w:trPr>
          <w:jc w:val="center"/>
        </w:trPr>
        <w:tc>
          <w:tcPr>
            <w:tcW w:w="9265" w:type="dxa"/>
            <w:gridSpan w:val="2"/>
          </w:tcPr>
          <w:p w14:paraId="6C10FBA7" w14:textId="77777777" w:rsidR="00C345C8" w:rsidRPr="0024114A" w:rsidRDefault="00C345C8" w:rsidP="002D6DD7">
            <w:pPr>
              <w:jc w:val="both"/>
              <w:rPr>
                <w:rFonts w:cs="Times New Roman"/>
                <w:szCs w:val="24"/>
                <w:lang w:val="en-US"/>
              </w:rPr>
            </w:pPr>
            <w:r w:rsidRPr="0024114A">
              <w:rPr>
                <w:rFonts w:cs="Times New Roman"/>
                <w:b/>
                <w:bCs/>
                <w:szCs w:val="24"/>
                <w:lang w:val="en-US"/>
              </w:rPr>
              <w:t>Tramadol hydrochloride</w:t>
            </w:r>
          </w:p>
        </w:tc>
      </w:tr>
      <w:tr w:rsidR="00C345C8" w:rsidRPr="0024114A" w14:paraId="0FA29354" w14:textId="77777777" w:rsidTr="002D6DD7">
        <w:trPr>
          <w:jc w:val="center"/>
        </w:trPr>
        <w:tc>
          <w:tcPr>
            <w:tcW w:w="2695" w:type="dxa"/>
          </w:tcPr>
          <w:p w14:paraId="43390CC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570" w:type="dxa"/>
          </w:tcPr>
          <w:p w14:paraId="7EAB6084" w14:textId="77777777" w:rsidR="00C345C8" w:rsidRPr="0024114A" w:rsidRDefault="00C345C8" w:rsidP="002D6DD7">
            <w:pPr>
              <w:jc w:val="both"/>
              <w:rPr>
                <w:rFonts w:cs="Times New Roman"/>
                <w:szCs w:val="24"/>
                <w:lang w:val="en-US"/>
              </w:rPr>
            </w:pPr>
            <w:r w:rsidRPr="0024114A">
              <w:rPr>
                <w:rFonts w:cs="Times New Roman"/>
                <w:szCs w:val="24"/>
                <w:lang w:val="en-US"/>
              </w:rPr>
              <w:t>Opioid analgesics</w:t>
            </w:r>
          </w:p>
        </w:tc>
      </w:tr>
      <w:tr w:rsidR="00C345C8" w:rsidRPr="0024114A" w14:paraId="7F6A1EF9" w14:textId="77777777" w:rsidTr="002D6DD7">
        <w:trPr>
          <w:jc w:val="center"/>
        </w:trPr>
        <w:tc>
          <w:tcPr>
            <w:tcW w:w="2695" w:type="dxa"/>
          </w:tcPr>
          <w:p w14:paraId="6AFABC3A"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570" w:type="dxa"/>
          </w:tcPr>
          <w:p w14:paraId="3013FE8C" w14:textId="77777777" w:rsidR="00C345C8" w:rsidRPr="0024114A" w:rsidRDefault="00C345C8" w:rsidP="002D6DD7">
            <w:pPr>
              <w:jc w:val="both"/>
              <w:rPr>
                <w:rFonts w:cs="Times New Roman"/>
                <w:szCs w:val="24"/>
                <w:lang w:val="en-US"/>
              </w:rPr>
            </w:pPr>
            <w:r w:rsidRPr="0024114A">
              <w:rPr>
                <w:rFonts w:cs="Times New Roman"/>
                <w:szCs w:val="24"/>
                <w:lang w:val="en-US"/>
              </w:rPr>
              <w:t>Injection: 50mg/ml</w:t>
            </w:r>
          </w:p>
          <w:p w14:paraId="0A1915E8" w14:textId="77777777" w:rsidR="00C345C8" w:rsidRPr="0024114A" w:rsidRDefault="00C345C8" w:rsidP="002D6DD7">
            <w:pPr>
              <w:jc w:val="both"/>
              <w:rPr>
                <w:rFonts w:cs="Times New Roman"/>
                <w:szCs w:val="24"/>
                <w:lang w:val="en-US"/>
              </w:rPr>
            </w:pPr>
            <w:r w:rsidRPr="0024114A">
              <w:rPr>
                <w:rFonts w:cs="Times New Roman"/>
                <w:szCs w:val="24"/>
                <w:lang w:val="en-US"/>
              </w:rPr>
              <w:t>Tablet/Capsule: 50mg, 100mg</w:t>
            </w:r>
          </w:p>
        </w:tc>
      </w:tr>
      <w:tr w:rsidR="00C345C8" w:rsidRPr="0024114A" w14:paraId="483E2817" w14:textId="77777777" w:rsidTr="002D6DD7">
        <w:trPr>
          <w:jc w:val="center"/>
        </w:trPr>
        <w:tc>
          <w:tcPr>
            <w:tcW w:w="2695" w:type="dxa"/>
          </w:tcPr>
          <w:p w14:paraId="2533316B"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570" w:type="dxa"/>
          </w:tcPr>
          <w:p w14:paraId="37FB8C32" w14:textId="77777777" w:rsidR="00C345C8" w:rsidRPr="0024114A" w:rsidRDefault="00C345C8" w:rsidP="002D6DD7">
            <w:pPr>
              <w:jc w:val="both"/>
              <w:rPr>
                <w:rFonts w:cs="Times New Roman"/>
                <w:szCs w:val="24"/>
                <w:lang w:val="en-US"/>
              </w:rPr>
            </w:pPr>
            <w:r w:rsidRPr="0024114A">
              <w:rPr>
                <w:rFonts w:cs="Times New Roman"/>
                <w:szCs w:val="24"/>
                <w:lang w:val="en-US"/>
              </w:rPr>
              <w:t>Moderate to severe pain where alternative therapies are inadequate, mixed pain- neuropathic and nociceptive.</w:t>
            </w:r>
          </w:p>
        </w:tc>
      </w:tr>
      <w:tr w:rsidR="00C345C8" w:rsidRPr="0024114A" w14:paraId="10EBD2E7" w14:textId="77777777" w:rsidTr="002D6DD7">
        <w:trPr>
          <w:jc w:val="center"/>
        </w:trPr>
        <w:tc>
          <w:tcPr>
            <w:tcW w:w="2695" w:type="dxa"/>
          </w:tcPr>
          <w:p w14:paraId="1394D09A"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570" w:type="dxa"/>
          </w:tcPr>
          <w:p w14:paraId="4F135A0B" w14:textId="77777777" w:rsidR="00C345C8" w:rsidRPr="0024114A" w:rsidRDefault="00C345C8" w:rsidP="002D6DD7">
            <w:pPr>
              <w:jc w:val="both"/>
              <w:rPr>
                <w:rFonts w:cs="Times New Roman"/>
                <w:szCs w:val="24"/>
                <w:lang w:val="en-US"/>
              </w:rPr>
            </w:pPr>
            <w:r w:rsidRPr="0024114A">
              <w:rPr>
                <w:rFonts w:cs="Times New Roman"/>
                <w:b/>
                <w:bCs/>
                <w:szCs w:val="24"/>
                <w:lang w:val="en-US"/>
              </w:rPr>
              <w:t>Acute pain</w:t>
            </w:r>
            <w:r w:rsidRPr="0024114A">
              <w:rPr>
                <w:rFonts w:cs="Times New Roman"/>
                <w:szCs w:val="24"/>
                <w:lang w:val="en-US"/>
              </w:rPr>
              <w:t xml:space="preserve">, </w:t>
            </w:r>
            <w:r w:rsidRPr="0024114A">
              <w:rPr>
                <w:rFonts w:cs="Times New Roman"/>
                <w:b/>
                <w:szCs w:val="24"/>
                <w:lang w:val="en-US"/>
              </w:rPr>
              <w:t>oral:</w:t>
            </w:r>
          </w:p>
          <w:p w14:paraId="34723761"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50-100 mg every 4-6 hours when required, do not exceed 400 mg in 24 hours.</w:t>
            </w:r>
          </w:p>
          <w:p w14:paraId="1CC366D9" w14:textId="77777777" w:rsidR="00C345C8" w:rsidRPr="0024114A" w:rsidRDefault="00C345C8" w:rsidP="002D6DD7">
            <w:pPr>
              <w:jc w:val="both"/>
              <w:rPr>
                <w:rFonts w:cs="Times New Roman"/>
                <w:szCs w:val="24"/>
                <w:lang w:val="en-US"/>
              </w:rPr>
            </w:pPr>
            <w:r w:rsidRPr="0024114A">
              <w:rPr>
                <w:rFonts w:cs="Times New Roman"/>
                <w:b/>
                <w:bCs/>
                <w:szCs w:val="24"/>
                <w:lang w:val="en-US"/>
              </w:rPr>
              <w:t>Chronic pain</w:t>
            </w:r>
            <w:r w:rsidRPr="0024114A">
              <w:rPr>
                <w:rFonts w:cs="Times New Roman"/>
                <w:szCs w:val="24"/>
                <w:lang w:val="en-US"/>
              </w:rPr>
              <w:t xml:space="preserve">, </w:t>
            </w:r>
            <w:r w:rsidRPr="0024114A">
              <w:rPr>
                <w:rFonts w:cs="Times New Roman"/>
                <w:b/>
                <w:szCs w:val="24"/>
                <w:lang w:val="en-US"/>
              </w:rPr>
              <w:t>oral:</w:t>
            </w:r>
          </w:p>
          <w:p w14:paraId="0F4D47CF"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 xml:space="preserve">Initially 25 mg, titrate upwards by 25-50 mg every 3 days up to 50-100 mg every 4-6 hours when required, do not exceed 400 mg in 24 hours. </w:t>
            </w:r>
          </w:p>
          <w:p w14:paraId="22C893C9" w14:textId="77777777" w:rsidR="00C345C8" w:rsidRPr="0024114A" w:rsidRDefault="00C345C8" w:rsidP="002D6DD7">
            <w:pPr>
              <w:jc w:val="both"/>
              <w:rPr>
                <w:rFonts w:cs="Times New Roman"/>
                <w:szCs w:val="24"/>
                <w:lang w:val="en-US"/>
              </w:rPr>
            </w:pPr>
            <w:r w:rsidRPr="0024114A">
              <w:rPr>
                <w:rFonts w:cs="Times New Roman"/>
                <w:b/>
                <w:bCs/>
                <w:szCs w:val="24"/>
                <w:lang w:val="en-US"/>
              </w:rPr>
              <w:t>Moderate to severe pain</w:t>
            </w:r>
            <w:r w:rsidRPr="0024114A">
              <w:rPr>
                <w:rFonts w:cs="Times New Roman"/>
                <w:b/>
                <w:szCs w:val="24"/>
                <w:lang w:val="en-US"/>
              </w:rPr>
              <w:t xml:space="preserve">, </w:t>
            </w:r>
            <w:r w:rsidRPr="0097658E">
              <w:rPr>
                <w:rFonts w:cs="Times New Roman"/>
                <w:szCs w:val="24"/>
                <w:lang w:val="en-US"/>
              </w:rPr>
              <w:t>by IM, bolus, slow IV or SC</w:t>
            </w:r>
            <w:r w:rsidRPr="0024114A">
              <w:rPr>
                <w:rFonts w:cs="Times New Roman"/>
                <w:szCs w:val="24"/>
                <w:lang w:val="en-US"/>
              </w:rPr>
              <w:t xml:space="preserve">: </w:t>
            </w:r>
          </w:p>
          <w:p w14:paraId="03DA59B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50-100 mg every 4-6 hours, for slow IV give over 2-3 minutes.</w:t>
            </w:r>
          </w:p>
          <w:p w14:paraId="6AB09732"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Moderate to severe acute pain, </w:t>
            </w:r>
            <w:r w:rsidRPr="0097658E">
              <w:rPr>
                <w:rFonts w:cs="Times New Roman"/>
                <w:szCs w:val="24"/>
                <w:lang w:val="en-US"/>
              </w:rPr>
              <w:t>by IM, bolus, slow IV or SC</w:t>
            </w:r>
            <w:r w:rsidRPr="0024114A">
              <w:rPr>
                <w:rFonts w:cs="Times New Roman"/>
                <w:szCs w:val="24"/>
                <w:lang w:val="en-US"/>
              </w:rPr>
              <w:t xml:space="preserve">: </w:t>
            </w:r>
            <w:r w:rsidRPr="0024114A">
              <w:rPr>
                <w:rFonts w:cs="Times New Roman"/>
                <w:b/>
                <w:bCs/>
                <w:szCs w:val="24"/>
                <w:lang w:val="en-US"/>
              </w:rPr>
              <w:t xml:space="preserve">Adult: </w:t>
            </w:r>
            <w:r w:rsidRPr="0024114A">
              <w:rPr>
                <w:rFonts w:cs="Times New Roman"/>
                <w:szCs w:val="24"/>
                <w:lang w:val="en-US"/>
              </w:rPr>
              <w:t>100 mg initially, then 50–100 mg every 4–6 hours; do not exceed 400 mg in 24 hours.</w:t>
            </w:r>
          </w:p>
          <w:p w14:paraId="13A55194" w14:textId="77777777" w:rsidR="00C345C8" w:rsidRPr="0024114A" w:rsidRDefault="00C345C8" w:rsidP="002D6DD7">
            <w:pPr>
              <w:jc w:val="both"/>
              <w:rPr>
                <w:rFonts w:cs="Times New Roman"/>
                <w:b/>
                <w:bCs/>
                <w:szCs w:val="24"/>
                <w:lang w:val="en-US"/>
              </w:rPr>
            </w:pPr>
            <w:r w:rsidRPr="0024114A">
              <w:rPr>
                <w:rFonts w:cs="Times New Roman"/>
                <w:b/>
                <w:bCs/>
                <w:szCs w:val="24"/>
                <w:lang w:val="en-US"/>
              </w:rPr>
              <w:t>Moderate to severe chronic pain,</w:t>
            </w:r>
            <w:r w:rsidRPr="0024114A">
              <w:rPr>
                <w:rFonts w:cs="Times New Roman"/>
                <w:b/>
                <w:szCs w:val="24"/>
                <w:lang w:val="en-US"/>
              </w:rPr>
              <w:t xml:space="preserve"> </w:t>
            </w:r>
            <w:r w:rsidRPr="0097658E">
              <w:rPr>
                <w:rFonts w:cs="Times New Roman"/>
                <w:szCs w:val="24"/>
                <w:lang w:val="en-US"/>
              </w:rPr>
              <w:t>by IM, bolus, slow IV or SC</w:t>
            </w:r>
            <w:r w:rsidRPr="0024114A">
              <w:rPr>
                <w:rFonts w:cs="Times New Roman"/>
                <w:b/>
                <w:szCs w:val="24"/>
                <w:lang w:val="en-US"/>
              </w:rPr>
              <w:t>:</w:t>
            </w:r>
            <w:r w:rsidR="0097658E">
              <w:rPr>
                <w:rFonts w:cs="Times New Roman"/>
                <w:b/>
                <w:szCs w:val="24"/>
                <w:lang w:val="en-US"/>
              </w:rPr>
              <w:t xml:space="preserve"> </w:t>
            </w:r>
            <w:r w:rsidRPr="0024114A">
              <w:rPr>
                <w:rFonts w:cs="Times New Roman"/>
                <w:b/>
                <w:bCs/>
                <w:szCs w:val="24"/>
                <w:lang w:val="en-US"/>
              </w:rPr>
              <w:t xml:space="preserve">Adult: </w:t>
            </w:r>
            <w:r w:rsidRPr="0024114A">
              <w:rPr>
                <w:rFonts w:cs="Times New Roman"/>
                <w:szCs w:val="24"/>
                <w:lang w:val="en-US"/>
              </w:rPr>
              <w:t>Initially 50 mg then adjust the dose according to the patient’s response. Do not exceed 400 mg in 24 hours.</w:t>
            </w:r>
          </w:p>
          <w:p w14:paraId="48374A45" w14:textId="77777777" w:rsidR="00C345C8" w:rsidRPr="0024114A" w:rsidRDefault="00C345C8" w:rsidP="002D6DD7">
            <w:pPr>
              <w:jc w:val="both"/>
              <w:rPr>
                <w:rFonts w:cs="Times New Roman"/>
                <w:szCs w:val="24"/>
                <w:lang w:val="en-US"/>
              </w:rPr>
            </w:pPr>
            <w:r w:rsidRPr="0024114A">
              <w:rPr>
                <w:rFonts w:cs="Times New Roman"/>
                <w:b/>
                <w:bCs/>
                <w:szCs w:val="24"/>
                <w:lang w:val="en-US"/>
              </w:rPr>
              <w:t>Postoperative pain</w:t>
            </w:r>
            <w:r w:rsidRPr="0097658E">
              <w:rPr>
                <w:rFonts w:cs="Times New Roman"/>
                <w:b/>
                <w:szCs w:val="24"/>
                <w:lang w:val="en-US"/>
              </w:rPr>
              <w:t xml:space="preserve">, </w:t>
            </w:r>
            <w:r w:rsidRPr="0097658E">
              <w:rPr>
                <w:rFonts w:cs="Times New Roman"/>
                <w:szCs w:val="24"/>
                <w:lang w:val="en-US"/>
              </w:rPr>
              <w:t>by IM, bolus, slow IV or</w:t>
            </w:r>
            <w:r w:rsidRPr="0097658E">
              <w:rPr>
                <w:rFonts w:cs="Times New Roman"/>
                <w:b/>
                <w:szCs w:val="24"/>
                <w:lang w:val="en-US"/>
              </w:rPr>
              <w:t xml:space="preserve"> </w:t>
            </w:r>
            <w:r w:rsidRPr="0097658E">
              <w:rPr>
                <w:rFonts w:cs="Times New Roman"/>
                <w:szCs w:val="24"/>
                <w:lang w:val="en-US"/>
              </w:rPr>
              <w:t>SC</w:t>
            </w:r>
            <w:r w:rsidRPr="0024114A">
              <w:rPr>
                <w:rFonts w:cs="Times New Roman"/>
                <w:szCs w:val="24"/>
                <w:lang w:val="en-US"/>
              </w:rPr>
              <w:t xml:space="preserve">: </w:t>
            </w:r>
          </w:p>
          <w:p w14:paraId="0C29190E"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0097658E">
              <w:rPr>
                <w:rFonts w:cs="Times New Roman"/>
                <w:b/>
                <w:bCs/>
                <w:szCs w:val="24"/>
                <w:lang w:val="en-US"/>
              </w:rPr>
              <w:t xml:space="preserve"> </w:t>
            </w:r>
            <w:r w:rsidRPr="0024114A">
              <w:rPr>
                <w:rFonts w:cs="Times New Roman"/>
                <w:szCs w:val="24"/>
                <w:lang w:val="en-US"/>
              </w:rPr>
              <w:t>Initially 100 mg (in the first hour), then 50 mg every 10-20 minutes if required up to 250 mg (including the initial dose). Maintenance dose: 50-100 mg every 4-6 hours. For IV give over 2-3 minutes. Do not exceed 400 mg in 24 hours.</w:t>
            </w:r>
          </w:p>
          <w:p w14:paraId="1FB2D55A" w14:textId="77777777" w:rsidR="00C345C8" w:rsidRPr="0024114A" w:rsidRDefault="00C345C8" w:rsidP="002D6DD7">
            <w:pPr>
              <w:jc w:val="both"/>
              <w:rPr>
                <w:rFonts w:cs="Times New Roman"/>
                <w:szCs w:val="24"/>
                <w:lang w:val="en-US"/>
              </w:rPr>
            </w:pPr>
            <w:r w:rsidRPr="0024114A">
              <w:rPr>
                <w:rFonts w:cs="Times New Roman"/>
                <w:b/>
                <w:bCs/>
                <w:szCs w:val="24"/>
                <w:lang w:val="en-US"/>
              </w:rPr>
              <w:lastRenderedPageBreak/>
              <w:t>Children 1 month to 11 year</w:t>
            </w:r>
            <w:r w:rsidRPr="0024114A">
              <w:rPr>
                <w:rFonts w:cs="Times New Roman"/>
                <w:szCs w:val="24"/>
                <w:lang w:val="en-US"/>
              </w:rPr>
              <w:t>s: Safety and efficacy is not established with life-threatening respiratory depression and death have occurred on receiving tramadol.</w:t>
            </w:r>
          </w:p>
          <w:p w14:paraId="2AAF9811"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Moderate to severe acute pain, </w:t>
            </w:r>
            <w:r w:rsidRPr="0097658E">
              <w:rPr>
                <w:rFonts w:cs="Times New Roman"/>
                <w:bCs/>
                <w:szCs w:val="24"/>
                <w:lang w:val="en-US"/>
              </w:rPr>
              <w:t>oral</w:t>
            </w:r>
            <w:r w:rsidRPr="0024114A">
              <w:rPr>
                <w:rFonts w:cs="Times New Roman"/>
                <w:szCs w:val="24"/>
                <w:lang w:val="en-US"/>
              </w:rPr>
              <w:t xml:space="preserve">: </w:t>
            </w:r>
          </w:p>
          <w:p w14:paraId="2D698AC2"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xml:space="preserve"> Initially 100 mg, then 50–100 mg every 4–6 hours; do not exceed 400 mg in 24 hours.</w:t>
            </w:r>
          </w:p>
          <w:p w14:paraId="44FD125D" w14:textId="77777777" w:rsidR="00C345C8" w:rsidRPr="0024114A" w:rsidRDefault="00C345C8" w:rsidP="002D6DD7">
            <w:pPr>
              <w:jc w:val="both"/>
              <w:rPr>
                <w:rFonts w:cs="Times New Roman"/>
                <w:szCs w:val="24"/>
                <w:lang w:val="en-US"/>
              </w:rPr>
            </w:pPr>
            <w:r w:rsidRPr="0024114A">
              <w:rPr>
                <w:rFonts w:cs="Times New Roman"/>
                <w:b/>
                <w:bCs/>
                <w:szCs w:val="24"/>
                <w:lang w:val="en-US"/>
              </w:rPr>
              <w:t>Moderate to severe chronic pain</w:t>
            </w:r>
            <w:r w:rsidRPr="0024114A">
              <w:rPr>
                <w:rFonts w:cs="Times New Roman"/>
                <w:szCs w:val="24"/>
                <w:lang w:val="en-US"/>
              </w:rPr>
              <w:t xml:space="preserve">, </w:t>
            </w:r>
            <w:r w:rsidRPr="0097658E">
              <w:rPr>
                <w:rFonts w:cs="Times New Roman"/>
                <w:szCs w:val="24"/>
                <w:lang w:val="en-US"/>
              </w:rPr>
              <w:t>oral</w:t>
            </w:r>
            <w:r w:rsidRPr="0024114A">
              <w:rPr>
                <w:rFonts w:cs="Times New Roman"/>
                <w:szCs w:val="24"/>
                <w:lang w:val="en-US"/>
              </w:rPr>
              <w:t xml:space="preserve">: </w:t>
            </w:r>
          </w:p>
          <w:p w14:paraId="3BB6441D"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Initially 50 mg, then, adjusted according to response; maximum 400 mg in 24 hours.</w:t>
            </w:r>
          </w:p>
          <w:p w14:paraId="5A5FED9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By IM, slow IV (over 2-3 mins), IV infusion, or SC: </w:t>
            </w:r>
          </w:p>
          <w:p w14:paraId="2D29B622"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Moderate to severe acute pain, </w:t>
            </w:r>
            <w:r w:rsidRPr="0024114A">
              <w:rPr>
                <w:rFonts w:cs="Times New Roman"/>
                <w:szCs w:val="24"/>
                <w:lang w:val="en-US"/>
              </w:rPr>
              <w:t xml:space="preserve">by IM, IV, IV infusion, or SC: </w:t>
            </w:r>
          </w:p>
          <w:p w14:paraId="343D03C1"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xml:space="preserve">: 50–100 mg every 4-6 hours; do not exceed 400 mg in 24 hours. IV injection to be given over 2-3 minutes. </w:t>
            </w:r>
          </w:p>
          <w:p w14:paraId="23C5CEF1" w14:textId="77777777" w:rsidR="00C345C8" w:rsidRPr="0024114A" w:rsidRDefault="00C345C8" w:rsidP="002D6DD7">
            <w:pPr>
              <w:jc w:val="both"/>
              <w:rPr>
                <w:rFonts w:cs="Times New Roman"/>
                <w:szCs w:val="24"/>
                <w:lang w:val="en-US"/>
              </w:rPr>
            </w:pPr>
            <w:r w:rsidRPr="0024114A">
              <w:rPr>
                <w:rFonts w:cs="Times New Roman"/>
                <w:b/>
                <w:bCs/>
                <w:szCs w:val="24"/>
                <w:lang w:val="en-US"/>
              </w:rPr>
              <w:t>Postoperative pain</w:t>
            </w:r>
            <w:r w:rsidRPr="0024114A">
              <w:rPr>
                <w:rFonts w:cs="Times New Roman"/>
                <w:szCs w:val="24"/>
                <w:lang w:val="en-US"/>
              </w:rPr>
              <w:t>, by slow IV (over 2-3 mins), IM, IV infusion or SC:</w:t>
            </w:r>
          </w:p>
          <w:p w14:paraId="76A0C67E"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xml:space="preserve"> Initially 100 mg, then 50 mg every 10–20 minutes if required up to total maximum 250 mg (including initial dose) in first hour, then 50–100 mg every 4–6 hours; Maximum 400 mg in 24 hours.</w:t>
            </w:r>
          </w:p>
        </w:tc>
      </w:tr>
      <w:tr w:rsidR="00C345C8" w:rsidRPr="0024114A" w14:paraId="657EA72C" w14:textId="77777777" w:rsidTr="002D6DD7">
        <w:trPr>
          <w:jc w:val="center"/>
        </w:trPr>
        <w:tc>
          <w:tcPr>
            <w:tcW w:w="2695" w:type="dxa"/>
          </w:tcPr>
          <w:p w14:paraId="42069699"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570" w:type="dxa"/>
          </w:tcPr>
          <w:p w14:paraId="11CC4BA5"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uncontrolled epilepsy, known or suspected gastrointestinal obstruction, including paralytic ileus, concurrent, c</w:t>
            </w:r>
            <w:r w:rsidRPr="0024114A">
              <w:rPr>
                <w:rFonts w:eastAsia="Candara" w:cs="Times New Roman"/>
                <w:szCs w:val="24"/>
              </w:rPr>
              <w:t>hildren&lt;12 years,</w:t>
            </w:r>
            <w:r w:rsidRPr="0024114A">
              <w:rPr>
                <w:rFonts w:eastAsia="Candara" w:cs="Times New Roman"/>
                <w:szCs w:val="24"/>
                <w:lang w:val="en-US"/>
              </w:rPr>
              <w:t xml:space="preserve"> p</w:t>
            </w:r>
            <w:r w:rsidRPr="0024114A">
              <w:rPr>
                <w:rFonts w:eastAsia="Candara" w:cs="Times New Roman"/>
                <w:szCs w:val="24"/>
              </w:rPr>
              <w:t>ostoperative management in children &lt;18 yearsfollowing tonsillectomy and/or adenoidectomy,</w:t>
            </w:r>
            <w:r w:rsidRPr="0024114A">
              <w:rPr>
                <w:rFonts w:eastAsia="Candara" w:cs="Times New Roman"/>
                <w:szCs w:val="24"/>
                <w:lang w:val="en-US"/>
              </w:rPr>
              <w:t xml:space="preserve"> s</w:t>
            </w:r>
            <w:r w:rsidRPr="0024114A">
              <w:rPr>
                <w:rFonts w:eastAsia="Candara" w:cs="Times New Roman"/>
                <w:szCs w:val="24"/>
              </w:rPr>
              <w:t xml:space="preserve">evere/acute bronchial asthma, significantrespiratory depression. </w:t>
            </w:r>
          </w:p>
        </w:tc>
      </w:tr>
      <w:tr w:rsidR="00C345C8" w:rsidRPr="0024114A" w14:paraId="01AD4380" w14:textId="77777777" w:rsidTr="002D6DD7">
        <w:trPr>
          <w:trHeight w:val="350"/>
          <w:jc w:val="center"/>
        </w:trPr>
        <w:tc>
          <w:tcPr>
            <w:tcW w:w="2695" w:type="dxa"/>
          </w:tcPr>
          <w:p w14:paraId="46E01F98"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570" w:type="dxa"/>
          </w:tcPr>
          <w:p w14:paraId="1F28F78B" w14:textId="77777777" w:rsidR="00C345C8" w:rsidRPr="0024114A" w:rsidRDefault="00C345C8" w:rsidP="002D6DD7">
            <w:pPr>
              <w:jc w:val="both"/>
              <w:rPr>
                <w:rFonts w:cs="Times New Roman"/>
                <w:szCs w:val="24"/>
                <w:lang w:val="en-US"/>
              </w:rPr>
            </w:pPr>
            <w:r w:rsidRPr="0024114A">
              <w:rPr>
                <w:rFonts w:cs="Times New Roman"/>
                <w:szCs w:val="24"/>
                <w:lang w:val="en-US"/>
              </w:rPr>
              <w:t>Selegiline, alfentanil, acetaminophen, buprenorphine, clonidine, codeine, MAOIs, fentanyl, linezolid, methadone, metoclopramide, morphine, oxycodone, cimetidine, diazepam, erythromycin, aminoglutethimide, carbamazepine, nafcillin, nevirapine, phenobarbital, phenytoin rifampicin, diphenoxylate HCl and duloxetine</w:t>
            </w:r>
          </w:p>
        </w:tc>
      </w:tr>
      <w:tr w:rsidR="00C345C8" w:rsidRPr="0024114A" w14:paraId="31335AF6" w14:textId="77777777" w:rsidTr="002D6DD7">
        <w:trPr>
          <w:jc w:val="center"/>
        </w:trPr>
        <w:tc>
          <w:tcPr>
            <w:tcW w:w="2695" w:type="dxa"/>
          </w:tcPr>
          <w:p w14:paraId="6F033B39"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570" w:type="dxa"/>
          </w:tcPr>
          <w:p w14:paraId="6A03DC9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Allergic reaction, anaphylaxis, suicidal tendency, weight loss, </w:t>
            </w:r>
            <w:r w:rsidRPr="0024114A">
              <w:rPr>
                <w:rFonts w:cs="Times New Roman"/>
                <w:szCs w:val="24"/>
                <w:lang w:val="en-US"/>
              </w:rPr>
              <w:lastRenderedPageBreak/>
              <w:t xml:space="preserve">serotonin syndrome, orthostatic hypotension, syncope, tachycardia, amnesia, cognitive dysfunction, depression, difficulty in concentration, hallucinations, paresthesia, seizure, tremor, dyspnea, Stevens Johnson syndrome, toxic epidermal necrolysis, urticaria, vesicles, dysgeusia, dysuria, menstrual disorder, sweating, dizziness, vomiting, dry </w:t>
            </w:r>
            <w:r w:rsidR="0097658E">
              <w:rPr>
                <w:rFonts w:cs="Times New Roman"/>
                <w:szCs w:val="24"/>
                <w:lang w:val="en-US"/>
              </w:rPr>
              <w:t>mouth</w:t>
            </w:r>
            <w:r w:rsidRPr="0024114A">
              <w:rPr>
                <w:rFonts w:cs="Times New Roman"/>
                <w:szCs w:val="24"/>
                <w:lang w:val="en-US"/>
              </w:rPr>
              <w:t xml:space="preserve">, gastrointestinal disturbances, cerebral convulsions, physical dependence,  circulatory collapse, headaches, constipation, opioid-induced hyperalgesia. </w:t>
            </w:r>
          </w:p>
        </w:tc>
      </w:tr>
      <w:tr w:rsidR="00C345C8" w:rsidRPr="0024114A" w14:paraId="28E7A219" w14:textId="77777777" w:rsidTr="002D6DD7">
        <w:trPr>
          <w:jc w:val="center"/>
        </w:trPr>
        <w:tc>
          <w:tcPr>
            <w:tcW w:w="2695" w:type="dxa"/>
          </w:tcPr>
          <w:p w14:paraId="1A3566BC"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570" w:type="dxa"/>
          </w:tcPr>
          <w:p w14:paraId="0DB30C32" w14:textId="77777777" w:rsidR="00C345C8" w:rsidRPr="0024114A" w:rsidRDefault="00C345C8" w:rsidP="002D6DD7">
            <w:pPr>
              <w:jc w:val="both"/>
              <w:rPr>
                <w:rFonts w:cs="Times New Roman"/>
                <w:szCs w:val="24"/>
                <w:lang w:val="en-US"/>
              </w:rPr>
            </w:pPr>
            <w:r w:rsidRPr="0024114A">
              <w:rPr>
                <w:rFonts w:cs="Times New Roman"/>
                <w:szCs w:val="24"/>
                <w:lang w:val="en-US"/>
              </w:rPr>
              <w:t>Renal impairment,</w:t>
            </w:r>
            <w:r w:rsidR="0097658E">
              <w:rPr>
                <w:rFonts w:cs="Times New Roman"/>
                <w:szCs w:val="24"/>
                <w:lang w:val="en-US"/>
              </w:rPr>
              <w:t xml:space="preserve"> </w:t>
            </w:r>
            <w:r w:rsidRPr="0024114A">
              <w:rPr>
                <w:rFonts w:eastAsia="Candara" w:cs="Times New Roman"/>
                <w:szCs w:val="24"/>
              </w:rPr>
              <w:t>hepatic</w:t>
            </w:r>
            <w:r w:rsidR="0097658E">
              <w:rPr>
                <w:rFonts w:eastAsia="Candara" w:cs="Times New Roman"/>
                <w:szCs w:val="24"/>
              </w:rPr>
              <w:t xml:space="preserve"> </w:t>
            </w:r>
            <w:r w:rsidRPr="0024114A">
              <w:rPr>
                <w:rFonts w:eastAsia="Candara" w:cs="Times New Roman"/>
                <w:szCs w:val="24"/>
              </w:rPr>
              <w:t xml:space="preserve">impairment, </w:t>
            </w:r>
            <w:r w:rsidRPr="0024114A">
              <w:rPr>
                <w:rFonts w:cs="Times New Roman"/>
                <w:szCs w:val="24"/>
                <w:lang w:val="en-US"/>
              </w:rPr>
              <w:t>pregnancy</w:t>
            </w:r>
            <w:r w:rsidR="0097658E">
              <w:rPr>
                <w:rFonts w:cs="Times New Roman"/>
                <w:szCs w:val="24"/>
                <w:lang w:val="en-US"/>
              </w:rPr>
              <w:t>.</w:t>
            </w:r>
          </w:p>
        </w:tc>
      </w:tr>
      <w:tr w:rsidR="00C345C8" w:rsidRPr="0024114A" w14:paraId="7BE8A728" w14:textId="77777777" w:rsidTr="002D6DD7">
        <w:trPr>
          <w:jc w:val="center"/>
        </w:trPr>
        <w:tc>
          <w:tcPr>
            <w:tcW w:w="2695" w:type="dxa"/>
          </w:tcPr>
          <w:p w14:paraId="59425AF1"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570" w:type="dxa"/>
          </w:tcPr>
          <w:p w14:paraId="61A7C2CA" w14:textId="77777777" w:rsidR="00C345C8" w:rsidRPr="0024114A" w:rsidRDefault="00C345C8" w:rsidP="002D6DD7">
            <w:pPr>
              <w:jc w:val="both"/>
              <w:rPr>
                <w:rFonts w:cs="Times New Roman"/>
                <w:szCs w:val="24"/>
                <w:lang w:val="en-US"/>
              </w:rPr>
            </w:pPr>
            <w:r w:rsidRPr="0024114A">
              <w:rPr>
                <w:rFonts w:cs="Times New Roman"/>
                <w:szCs w:val="24"/>
                <w:lang w:val="en-US"/>
              </w:rPr>
              <w:t>Store below 30 °C.</w:t>
            </w:r>
          </w:p>
        </w:tc>
      </w:tr>
      <w:bookmarkEnd w:id="69"/>
    </w:tbl>
    <w:p w14:paraId="27619953" w14:textId="77777777" w:rsidR="00C345C8" w:rsidRPr="0024114A" w:rsidRDefault="00C345C8" w:rsidP="00C345C8">
      <w:pPr>
        <w:tabs>
          <w:tab w:val="left" w:pos="923"/>
        </w:tabs>
        <w:spacing w:after="0"/>
        <w:jc w:val="both"/>
        <w:rPr>
          <w:rFonts w:cs="Times New Roman"/>
          <w:b/>
          <w:bCs/>
          <w:szCs w:val="24"/>
        </w:rPr>
      </w:pPr>
    </w:p>
    <w:p w14:paraId="6643DF4A" w14:textId="77777777" w:rsidR="00C345C8" w:rsidRPr="004E5C7B" w:rsidRDefault="00C345C8" w:rsidP="004E5C7B">
      <w:pPr>
        <w:pStyle w:val="Heading2"/>
        <w:spacing w:before="240" w:after="240"/>
      </w:pPr>
      <w:bookmarkStart w:id="70" w:name="_Toc179490337"/>
      <w:r w:rsidRPr="004E5C7B">
        <w:t xml:space="preserve">Medicines </w:t>
      </w:r>
      <w:r w:rsidR="00F26C37" w:rsidRPr="004E5C7B">
        <w:t>u</w:t>
      </w:r>
      <w:r w:rsidRPr="004E5C7B">
        <w:t xml:space="preserve">sed for other </w:t>
      </w:r>
      <w:r w:rsidR="00F26C37" w:rsidRPr="004E5C7B">
        <w:t>c</w:t>
      </w:r>
      <w:r w:rsidRPr="004E5C7B">
        <w:t xml:space="preserve">ommon </w:t>
      </w:r>
      <w:r w:rsidR="00F26C37" w:rsidRPr="004E5C7B">
        <w:t>s</w:t>
      </w:r>
      <w:r w:rsidRPr="004E5C7B">
        <w:t xml:space="preserve">ymptoms in </w:t>
      </w:r>
      <w:r w:rsidR="00F26C37" w:rsidRPr="004E5C7B">
        <w:t>p</w:t>
      </w:r>
      <w:r w:rsidRPr="004E5C7B">
        <w:t xml:space="preserve">alliative </w:t>
      </w:r>
      <w:r w:rsidR="00F26C37" w:rsidRPr="004E5C7B">
        <w:t>c</w:t>
      </w:r>
      <w:r w:rsidRPr="004E5C7B">
        <w:t>are</w:t>
      </w:r>
      <w:bookmarkEnd w:id="70"/>
    </w:p>
    <w:p w14:paraId="54DA076D" w14:textId="77777777" w:rsidR="00C345C8" w:rsidRPr="0024114A" w:rsidRDefault="00C345C8" w:rsidP="00C345C8">
      <w:pPr>
        <w:pStyle w:val="NormalWeb"/>
        <w:spacing w:before="0" w:beforeAutospacing="0" w:after="0" w:afterAutospacing="0" w:line="360" w:lineRule="auto"/>
        <w:jc w:val="both"/>
      </w:pPr>
      <w:r w:rsidRPr="0024114A">
        <w:t>In palliative care, symptoms like p</w:t>
      </w:r>
      <w:r w:rsidRPr="0024114A">
        <w:rPr>
          <w:rStyle w:val="Strong"/>
          <w:b w:val="0"/>
        </w:rPr>
        <w:t>ain</w:t>
      </w:r>
      <w:r w:rsidRPr="0024114A">
        <w:rPr>
          <w:b/>
        </w:rPr>
        <w:t xml:space="preserve">, </w:t>
      </w:r>
      <w:r w:rsidRPr="0024114A">
        <w:t>nausea and vomiting, dyspnea (breathlessness), anxiety constipation, depression, several drugs manage agitation or delirium and cxcessive secretions</w:t>
      </w:r>
      <w:r w:rsidR="0097658E">
        <w:t xml:space="preserve">. </w:t>
      </w:r>
      <w:r w:rsidRPr="0024114A">
        <w:t>Neuropathic pain is treated with adjuvants like gabapentin while n</w:t>
      </w:r>
      <w:r w:rsidRPr="0024114A">
        <w:rPr>
          <w:rStyle w:val="Strong"/>
          <w:b w:val="0"/>
        </w:rPr>
        <w:t>ausea and vomiting</w:t>
      </w:r>
      <w:r w:rsidRPr="0024114A">
        <w:t xml:space="preserve"> are controlled with antiemetics like metoclopramide and antihistamines such as cyclizine. For </w:t>
      </w:r>
      <w:r w:rsidRPr="0024114A">
        <w:rPr>
          <w:rStyle w:val="Strong"/>
          <w:b w:val="0"/>
        </w:rPr>
        <w:t>breathlessness</w:t>
      </w:r>
      <w:r w:rsidRPr="0024114A">
        <w:t>, opioids and anxiolytics help reduce discomfort and anxiety.</w:t>
      </w:r>
      <w:r w:rsidR="0097658E">
        <w:t xml:space="preserve"> </w:t>
      </w:r>
      <w:r w:rsidRPr="0024114A">
        <w:rPr>
          <w:rStyle w:val="Strong"/>
          <w:b w:val="0"/>
        </w:rPr>
        <w:t>Anxiety</w:t>
      </w:r>
      <w:r w:rsidRPr="0024114A">
        <w:t xml:space="preserve"> is often treated with benzodiazepines, while </w:t>
      </w:r>
      <w:r w:rsidRPr="0024114A">
        <w:rPr>
          <w:rStyle w:val="Strong"/>
          <w:b w:val="0"/>
        </w:rPr>
        <w:t>constipation</w:t>
      </w:r>
      <w:r w:rsidRPr="0024114A">
        <w:t xml:space="preserve"> is managed using laxatives. </w:t>
      </w:r>
      <w:r w:rsidRPr="0024114A">
        <w:rPr>
          <w:rStyle w:val="Strong"/>
          <w:b w:val="0"/>
        </w:rPr>
        <w:t>Depression</w:t>
      </w:r>
      <w:r w:rsidRPr="0024114A">
        <w:t xml:space="preserve"> is addressed with antidepressants like sertraline, and </w:t>
      </w:r>
      <w:r w:rsidRPr="0024114A">
        <w:rPr>
          <w:rStyle w:val="Strong"/>
          <w:b w:val="0"/>
        </w:rPr>
        <w:t>agitation</w:t>
      </w:r>
      <w:r w:rsidRPr="0024114A">
        <w:t xml:space="preserve"> is calmed with antipsychotics such as haloperidol. Anticholinergics like hyoscine reduce excessive </w:t>
      </w:r>
      <w:r w:rsidRPr="0024114A">
        <w:rPr>
          <w:rStyle w:val="Strong"/>
          <w:b w:val="0"/>
        </w:rPr>
        <w:t>secretions</w:t>
      </w:r>
      <w:r w:rsidRPr="0024114A">
        <w:t xml:space="preserve">, and corticosteroids like dexamethasone are used to relieve </w:t>
      </w:r>
      <w:r w:rsidRPr="0024114A">
        <w:rPr>
          <w:rStyle w:val="Strong"/>
          <w:b w:val="0"/>
        </w:rPr>
        <w:t>fatigue</w:t>
      </w:r>
      <w:r w:rsidRPr="0024114A">
        <w:t>. These medications help control common symptoms and improve comfort for palliative care patients.</w:t>
      </w:r>
    </w:p>
    <w:tbl>
      <w:tblPr>
        <w:tblStyle w:val="TableGrid"/>
        <w:tblW w:w="0" w:type="auto"/>
        <w:jc w:val="center"/>
        <w:tblLook w:val="04A0" w:firstRow="1" w:lastRow="0" w:firstColumn="1" w:lastColumn="0" w:noHBand="0" w:noVBand="1"/>
      </w:tblPr>
      <w:tblGrid>
        <w:gridCol w:w="2695"/>
        <w:gridCol w:w="6105"/>
      </w:tblGrid>
      <w:tr w:rsidR="00C345C8" w:rsidRPr="0024114A" w14:paraId="1C424760" w14:textId="77777777" w:rsidTr="002D6DD7">
        <w:trPr>
          <w:jc w:val="center"/>
        </w:trPr>
        <w:tc>
          <w:tcPr>
            <w:tcW w:w="8800" w:type="dxa"/>
            <w:gridSpan w:val="2"/>
          </w:tcPr>
          <w:p w14:paraId="4B5BCFDE" w14:textId="77777777" w:rsidR="00C345C8" w:rsidRPr="0024114A" w:rsidRDefault="00C345C8" w:rsidP="002D6DD7">
            <w:pPr>
              <w:jc w:val="both"/>
              <w:rPr>
                <w:rFonts w:cs="Times New Roman"/>
                <w:szCs w:val="24"/>
                <w:lang w:val="en-US"/>
              </w:rPr>
            </w:pPr>
            <w:r w:rsidRPr="0024114A">
              <w:rPr>
                <w:rFonts w:cs="Times New Roman"/>
                <w:b/>
                <w:bCs/>
                <w:color w:val="000000"/>
                <w:szCs w:val="24"/>
                <w:lang w:val="en-US"/>
              </w:rPr>
              <w:t>Amitriptyline</w:t>
            </w:r>
          </w:p>
        </w:tc>
      </w:tr>
      <w:tr w:rsidR="00C345C8" w:rsidRPr="0024114A" w14:paraId="7BEB2FAA" w14:textId="77777777" w:rsidTr="002D6DD7">
        <w:trPr>
          <w:trHeight w:val="395"/>
          <w:jc w:val="center"/>
        </w:trPr>
        <w:tc>
          <w:tcPr>
            <w:tcW w:w="2695" w:type="dxa"/>
          </w:tcPr>
          <w:p w14:paraId="35B8EB8B"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1230F9C8" w14:textId="77777777" w:rsidR="00C345C8" w:rsidRPr="0024114A" w:rsidRDefault="00C345C8" w:rsidP="002D6DD7">
            <w:pPr>
              <w:jc w:val="both"/>
              <w:rPr>
                <w:rFonts w:cs="Times New Roman"/>
                <w:szCs w:val="24"/>
                <w:lang w:val="en-US"/>
              </w:rPr>
            </w:pPr>
            <w:r w:rsidRPr="0024114A">
              <w:rPr>
                <w:rFonts w:cs="Times New Roman"/>
                <w:szCs w:val="24"/>
                <w:lang w:val="en-US"/>
              </w:rPr>
              <w:t>Tricyclic antidepressant</w:t>
            </w:r>
          </w:p>
        </w:tc>
      </w:tr>
      <w:tr w:rsidR="00C345C8" w:rsidRPr="0024114A" w14:paraId="5A823899" w14:textId="77777777" w:rsidTr="002D6DD7">
        <w:trPr>
          <w:jc w:val="center"/>
        </w:trPr>
        <w:tc>
          <w:tcPr>
            <w:tcW w:w="2695" w:type="dxa"/>
          </w:tcPr>
          <w:p w14:paraId="08908DF0"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2CA1E95C" w14:textId="77777777" w:rsidR="00C345C8" w:rsidRPr="0024114A" w:rsidRDefault="00C345C8" w:rsidP="002D6DD7">
            <w:pPr>
              <w:jc w:val="both"/>
              <w:rPr>
                <w:rFonts w:cs="Times New Roman"/>
                <w:szCs w:val="24"/>
                <w:lang w:val="en-US"/>
              </w:rPr>
            </w:pPr>
            <w:r w:rsidRPr="0024114A">
              <w:rPr>
                <w:rFonts w:cs="Times New Roman"/>
                <w:szCs w:val="24"/>
                <w:lang w:val="en-US"/>
              </w:rPr>
              <w:t>Tablet: 10 mg, 25 mg</w:t>
            </w:r>
          </w:p>
        </w:tc>
      </w:tr>
      <w:tr w:rsidR="00C345C8" w:rsidRPr="0024114A" w14:paraId="65188287" w14:textId="77777777" w:rsidTr="002D6DD7">
        <w:trPr>
          <w:jc w:val="center"/>
        </w:trPr>
        <w:tc>
          <w:tcPr>
            <w:tcW w:w="2695" w:type="dxa"/>
          </w:tcPr>
          <w:p w14:paraId="50C23F0A"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105" w:type="dxa"/>
          </w:tcPr>
          <w:p w14:paraId="46F94D55" w14:textId="77777777" w:rsidR="00C345C8" w:rsidRPr="0024114A" w:rsidRDefault="00C345C8" w:rsidP="002D6DD7">
            <w:pPr>
              <w:jc w:val="both"/>
              <w:rPr>
                <w:rFonts w:cs="Times New Roman"/>
                <w:szCs w:val="24"/>
                <w:lang w:val="en-US"/>
              </w:rPr>
            </w:pPr>
            <w:r w:rsidRPr="0024114A">
              <w:rPr>
                <w:rFonts w:cs="Times New Roman"/>
                <w:szCs w:val="24"/>
                <w:lang w:val="en-US"/>
              </w:rPr>
              <w:t>Neuropathic pain in palliative care, depression</w:t>
            </w:r>
          </w:p>
        </w:tc>
      </w:tr>
      <w:tr w:rsidR="00C345C8" w:rsidRPr="0024114A" w14:paraId="6351EE00" w14:textId="77777777" w:rsidTr="002D6DD7">
        <w:trPr>
          <w:jc w:val="center"/>
        </w:trPr>
        <w:tc>
          <w:tcPr>
            <w:tcW w:w="2695" w:type="dxa"/>
          </w:tcPr>
          <w:p w14:paraId="78546E46"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5A176F96" w14:textId="77777777" w:rsidR="00C345C8" w:rsidRPr="0024114A" w:rsidRDefault="00C345C8" w:rsidP="002D6DD7">
            <w:pPr>
              <w:jc w:val="both"/>
              <w:rPr>
                <w:rFonts w:cs="Times New Roman"/>
                <w:szCs w:val="24"/>
                <w:lang w:val="en-US"/>
              </w:rPr>
            </w:pPr>
            <w:r w:rsidRPr="0024114A">
              <w:rPr>
                <w:rFonts w:cs="Times New Roman"/>
                <w:b/>
                <w:bCs/>
                <w:szCs w:val="24"/>
                <w:lang w:val="en-US"/>
              </w:rPr>
              <w:t>Depression</w:t>
            </w:r>
            <w:r w:rsidRPr="0024114A">
              <w:rPr>
                <w:rFonts w:cs="Times New Roman"/>
                <w:szCs w:val="24"/>
                <w:lang w:val="en-US"/>
              </w:rPr>
              <w:t xml:space="preserve">, </w:t>
            </w:r>
            <w:r w:rsidRPr="0097658E">
              <w:rPr>
                <w:rFonts w:cs="Times New Roman"/>
                <w:szCs w:val="24"/>
                <w:lang w:val="en-US"/>
              </w:rPr>
              <w:t>oral:</w:t>
            </w:r>
            <w:r w:rsidRPr="0024114A">
              <w:rPr>
                <w:rFonts w:cs="Times New Roman"/>
                <w:szCs w:val="24"/>
                <w:lang w:val="en-US"/>
              </w:rPr>
              <w:t xml:space="preserve"> </w:t>
            </w:r>
          </w:p>
          <w:p w14:paraId="5020A695"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Adult: </w:t>
            </w:r>
            <w:r w:rsidRPr="0024114A">
              <w:rPr>
                <w:rFonts w:cs="Times New Roman"/>
                <w:szCs w:val="24"/>
                <w:lang w:val="en-US"/>
              </w:rPr>
              <w:t xml:space="preserve">Initially 50 mg daily in 2 divided doses, then </w:t>
            </w:r>
            <w:r w:rsidRPr="0024114A">
              <w:rPr>
                <w:rFonts w:cs="Times New Roman"/>
                <w:szCs w:val="24"/>
                <w:lang w:val="en-US"/>
              </w:rPr>
              <w:lastRenderedPageBreak/>
              <w:t xml:space="preserve">increased in steps of 25 mg once daily on alternate days if required, maximum 150mg daily in 2 divided doses. </w:t>
            </w:r>
          </w:p>
          <w:p w14:paraId="0FA37AD9"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Elderly: </w:t>
            </w:r>
            <w:r w:rsidRPr="0024114A">
              <w:rPr>
                <w:rFonts w:cs="Times New Roman"/>
                <w:szCs w:val="24"/>
                <w:lang w:val="en-US"/>
              </w:rPr>
              <w:t>Initially 10–25 mg daily, increased, if necessary, up to 100–150 mg daily in 2 divided doses, dose increases dependent on individual patient response and tolerability—doses above 100 mg should be used with caution</w:t>
            </w:r>
          </w:p>
          <w:p w14:paraId="0DAC8CB5" w14:textId="77777777" w:rsidR="00C345C8" w:rsidRPr="0097658E" w:rsidRDefault="00C345C8" w:rsidP="002D6DD7">
            <w:pPr>
              <w:jc w:val="both"/>
              <w:rPr>
                <w:rFonts w:cs="Times New Roman"/>
                <w:szCs w:val="24"/>
                <w:lang w:val="en-US"/>
              </w:rPr>
            </w:pPr>
            <w:r w:rsidRPr="0024114A">
              <w:rPr>
                <w:rFonts w:cs="Times New Roman"/>
                <w:b/>
                <w:bCs/>
                <w:szCs w:val="24"/>
                <w:lang w:val="en-US"/>
              </w:rPr>
              <w:t>Neuropathic pain</w:t>
            </w:r>
            <w:r w:rsidRPr="0024114A">
              <w:rPr>
                <w:rFonts w:cs="Times New Roman"/>
                <w:szCs w:val="24"/>
                <w:lang w:val="en-US"/>
              </w:rPr>
              <w:t xml:space="preserve">: </w:t>
            </w:r>
            <w:r w:rsidRPr="0024114A">
              <w:rPr>
                <w:rFonts w:cs="Times New Roman"/>
                <w:b/>
                <w:bCs/>
                <w:szCs w:val="24"/>
                <w:lang w:val="en-US"/>
              </w:rPr>
              <w:t>Migraine prophylaxis, chronic tension type headache prophylaxis,</w:t>
            </w:r>
            <w:r>
              <w:rPr>
                <w:rFonts w:cs="Times New Roman"/>
                <w:b/>
                <w:bCs/>
                <w:szCs w:val="24"/>
                <w:lang w:val="en-US"/>
              </w:rPr>
              <w:t xml:space="preserve"> </w:t>
            </w:r>
            <w:r w:rsidRPr="0097658E">
              <w:rPr>
                <w:rFonts w:cs="Times New Roman"/>
                <w:szCs w:val="24"/>
                <w:lang w:val="en-US"/>
              </w:rPr>
              <w:t>oral:</w:t>
            </w:r>
          </w:p>
          <w:p w14:paraId="2F9EC63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Initially 10–25 mg daily, taken in the evening, then increased, if tolerated, in steps of 10–25 mg every 3–7 days in 1–2 divided doses; usual dose 25–75 mg daily, taken in the evening; doses above 100 mg should be used with caution (doses above 75 mg should be used with caution in the elderly and in patients with cardiovascular disease), maximum per dose 75 mg.</w:t>
            </w:r>
          </w:p>
          <w:p w14:paraId="7927B466" w14:textId="77777777" w:rsidR="00C345C8" w:rsidRPr="0024114A" w:rsidRDefault="00C345C8" w:rsidP="002D6DD7">
            <w:pPr>
              <w:jc w:val="both"/>
              <w:rPr>
                <w:rFonts w:cs="Times New Roman"/>
                <w:szCs w:val="24"/>
                <w:lang w:val="en-US"/>
              </w:rPr>
            </w:pPr>
            <w:r w:rsidRPr="0024114A">
              <w:rPr>
                <w:rFonts w:cs="Times New Roman"/>
                <w:szCs w:val="24"/>
                <w:lang w:val="en-US"/>
              </w:rPr>
              <w:t>N</w:t>
            </w:r>
            <w:r w:rsidRPr="0024114A">
              <w:rPr>
                <w:rFonts w:cs="Times New Roman"/>
                <w:b/>
                <w:bCs/>
                <w:szCs w:val="24"/>
                <w:lang w:val="en-US"/>
              </w:rPr>
              <w:t>europathic pain,</w:t>
            </w:r>
            <w:r>
              <w:rPr>
                <w:rFonts w:cs="Times New Roman"/>
                <w:b/>
                <w:bCs/>
                <w:szCs w:val="24"/>
                <w:lang w:val="en-US"/>
              </w:rPr>
              <w:t xml:space="preserve"> </w:t>
            </w:r>
            <w:r w:rsidRPr="0097658E">
              <w:rPr>
                <w:rFonts w:cs="Times New Roman"/>
                <w:szCs w:val="24"/>
                <w:lang w:val="en-US"/>
              </w:rPr>
              <w:t>oral:</w:t>
            </w:r>
            <w:r w:rsidRPr="0024114A">
              <w:rPr>
                <w:rFonts w:cs="Times New Roman"/>
                <w:szCs w:val="24"/>
                <w:lang w:val="en-US"/>
              </w:rPr>
              <w:t xml:space="preserve"> </w:t>
            </w:r>
          </w:p>
          <w:p w14:paraId="0340ADA3" w14:textId="77777777" w:rsidR="00C345C8" w:rsidRPr="0024114A" w:rsidRDefault="00C345C8" w:rsidP="002D6DD7">
            <w:pPr>
              <w:jc w:val="both"/>
              <w:rPr>
                <w:rFonts w:cs="Times New Roman"/>
                <w:szCs w:val="24"/>
                <w:lang w:val="en-US"/>
              </w:rPr>
            </w:pPr>
            <w:r w:rsidRPr="0024114A">
              <w:rPr>
                <w:rFonts w:cs="Times New Roman"/>
                <w:b/>
                <w:szCs w:val="24"/>
                <w:lang w:val="en-US"/>
              </w:rPr>
              <w:t>Child 2–12 years:</w:t>
            </w:r>
            <w:r w:rsidRPr="0024114A">
              <w:rPr>
                <w:rFonts w:cs="Times New Roman"/>
                <w:szCs w:val="24"/>
                <w:lang w:val="en-US"/>
              </w:rPr>
              <w:t xml:space="preserve"> Initially 200–500 mcg/kg (maximum 25 mg) once daily at night, increased if necessary to a maximum of 1 mg/kg twice daily</w:t>
            </w:r>
          </w:p>
        </w:tc>
      </w:tr>
      <w:tr w:rsidR="00C345C8" w:rsidRPr="0024114A" w14:paraId="6BADFCB8" w14:textId="77777777" w:rsidTr="002D6DD7">
        <w:trPr>
          <w:jc w:val="center"/>
        </w:trPr>
        <w:tc>
          <w:tcPr>
            <w:tcW w:w="2695" w:type="dxa"/>
          </w:tcPr>
          <w:p w14:paraId="59246126"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105" w:type="dxa"/>
          </w:tcPr>
          <w:p w14:paraId="63AFD5E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Recent MI, arrhythmias (especially heart block), manic phase in bipolar disorders, severe liver disease, porphyria, </w:t>
            </w:r>
          </w:p>
        </w:tc>
      </w:tr>
      <w:tr w:rsidR="00C345C8" w:rsidRPr="0024114A" w14:paraId="30EC2876" w14:textId="77777777" w:rsidTr="002D6DD7">
        <w:trPr>
          <w:jc w:val="center"/>
        </w:trPr>
        <w:tc>
          <w:tcPr>
            <w:tcW w:w="2695" w:type="dxa"/>
          </w:tcPr>
          <w:p w14:paraId="0CC51E13"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011F82DE" w14:textId="77777777" w:rsidR="00C345C8" w:rsidRPr="0024114A" w:rsidRDefault="00C345C8" w:rsidP="002D6DD7">
            <w:pPr>
              <w:jc w:val="both"/>
              <w:rPr>
                <w:rFonts w:cs="Times New Roman"/>
                <w:szCs w:val="24"/>
                <w:lang w:val="en-US"/>
              </w:rPr>
            </w:pPr>
            <w:r w:rsidRPr="0024114A">
              <w:rPr>
                <w:rFonts w:cs="Times New Roman"/>
                <w:szCs w:val="24"/>
                <w:lang w:val="en-US"/>
              </w:rPr>
              <w:t>Alcohol, artemether + lumefantrine, atropine, carbamazepine, chlorpheniramine, chlorpromazine, codeine, contraceptives (</w:t>
            </w:r>
            <w:r w:rsidRPr="0097658E">
              <w:rPr>
                <w:rFonts w:cs="Times New Roman"/>
                <w:szCs w:val="24"/>
                <w:lang w:val="en-US"/>
              </w:rPr>
              <w:t>oral</w:t>
            </w:r>
            <w:r w:rsidRPr="0024114A">
              <w:rPr>
                <w:rFonts w:cs="Times New Roman"/>
                <w:szCs w:val="24"/>
                <w:lang w:val="en-US"/>
              </w:rPr>
              <w:t>), MAOIs, diazepam, dextromethorphan, epinephrine, erythromycin, ethosuximide, fluconazole, fluoxetine, fluphenazine, furosemide, haloperidol, halothane, hydrochlorothiazide, isoniazid, ketamine, levothyroxine, morphine, nitrous oxide, ondansetron, phenobarbital, phenytoin, rifampicin, ritonavir, sympathomimetic drugs, spironolactone, thiopental, valproic acid, warfarin</w:t>
            </w:r>
          </w:p>
        </w:tc>
      </w:tr>
      <w:tr w:rsidR="00C345C8" w:rsidRPr="0024114A" w14:paraId="7A980840" w14:textId="77777777" w:rsidTr="002D6DD7">
        <w:trPr>
          <w:jc w:val="center"/>
        </w:trPr>
        <w:tc>
          <w:tcPr>
            <w:tcW w:w="2695" w:type="dxa"/>
          </w:tcPr>
          <w:p w14:paraId="6ED8F7FA"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14AE379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Anticholinergic syndrome, drowsiness, QT interval </w:t>
            </w:r>
            <w:r w:rsidRPr="0024114A">
              <w:rPr>
                <w:rFonts w:cs="Times New Roman"/>
                <w:szCs w:val="24"/>
                <w:lang w:val="en-US"/>
              </w:rPr>
              <w:lastRenderedPageBreak/>
              <w:t>prolongation, myelosuppression, photosensitivity, hypotension, tachycardia, weight gain, sexual dysfunction, sedation.</w:t>
            </w:r>
          </w:p>
        </w:tc>
      </w:tr>
      <w:tr w:rsidR="00C345C8" w:rsidRPr="0024114A" w14:paraId="1BE6246F" w14:textId="77777777" w:rsidTr="002D6DD7">
        <w:trPr>
          <w:jc w:val="center"/>
        </w:trPr>
        <w:tc>
          <w:tcPr>
            <w:tcW w:w="2695" w:type="dxa"/>
          </w:tcPr>
          <w:p w14:paraId="35818260"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105" w:type="dxa"/>
          </w:tcPr>
          <w:p w14:paraId="447371EB" w14:textId="77777777" w:rsidR="00C345C8" w:rsidRPr="0024114A" w:rsidRDefault="00C345C8" w:rsidP="002D6DD7">
            <w:pPr>
              <w:jc w:val="both"/>
              <w:rPr>
                <w:rFonts w:cs="Times New Roman"/>
                <w:szCs w:val="24"/>
                <w:lang w:val="en-US"/>
              </w:rPr>
            </w:pPr>
            <w:r w:rsidRPr="0024114A">
              <w:rPr>
                <w:rFonts w:cs="Times New Roman"/>
                <w:szCs w:val="24"/>
                <w:lang w:val="en-US"/>
              </w:rPr>
              <w:t>History of epilepsy, hepatic impairment, thyroid disease, phaeochromocytoma, history of bipolar depression, psychoses,</w:t>
            </w:r>
            <w:r w:rsidR="0097658E">
              <w:rPr>
                <w:rFonts w:cs="Times New Roman"/>
                <w:szCs w:val="24"/>
                <w:lang w:val="en-US"/>
              </w:rPr>
              <w:t xml:space="preserve"> </w:t>
            </w:r>
            <w:r w:rsidRPr="0024114A">
              <w:rPr>
                <w:rFonts w:cs="Times New Roman"/>
                <w:szCs w:val="24"/>
                <w:lang w:val="en-US"/>
              </w:rPr>
              <w:t xml:space="preserve">depression, angle closure glaucoma, history of urinary retention, concurrent electroconvulsive </w:t>
            </w:r>
            <w:r w:rsidR="0097658E" w:rsidRPr="0024114A">
              <w:rPr>
                <w:rFonts w:cs="Times New Roman"/>
                <w:szCs w:val="24"/>
                <w:lang w:val="en-US"/>
              </w:rPr>
              <w:t xml:space="preserve">therapy, </w:t>
            </w:r>
            <w:r w:rsidR="0097658E" w:rsidRPr="0024114A">
              <w:rPr>
                <w:rFonts w:cs="Times New Roman"/>
                <w:szCs w:val="24"/>
              </w:rPr>
              <w:t>abrupt</w:t>
            </w:r>
            <w:r w:rsidRPr="0024114A">
              <w:rPr>
                <w:rFonts w:cs="Times New Roman"/>
                <w:szCs w:val="24"/>
              </w:rPr>
              <w:t xml:space="preserve"> withdrawal, anaesthesia.</w:t>
            </w:r>
          </w:p>
        </w:tc>
      </w:tr>
      <w:tr w:rsidR="00C345C8" w:rsidRPr="0024114A" w14:paraId="2986037C" w14:textId="77777777" w:rsidTr="002D6DD7">
        <w:trPr>
          <w:jc w:val="center"/>
        </w:trPr>
        <w:tc>
          <w:tcPr>
            <w:tcW w:w="2695" w:type="dxa"/>
          </w:tcPr>
          <w:p w14:paraId="6710648E"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7AEE7832"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6774261A" w14:textId="77777777" w:rsidTr="002D6DD7">
        <w:trPr>
          <w:jc w:val="center"/>
        </w:trPr>
        <w:tc>
          <w:tcPr>
            <w:tcW w:w="8800" w:type="dxa"/>
            <w:gridSpan w:val="2"/>
          </w:tcPr>
          <w:p w14:paraId="1540867D" w14:textId="77777777" w:rsidR="00C345C8" w:rsidRPr="0024114A" w:rsidRDefault="00C345C8" w:rsidP="002D6DD7">
            <w:pPr>
              <w:jc w:val="both"/>
              <w:rPr>
                <w:rFonts w:cs="Times New Roman"/>
                <w:szCs w:val="24"/>
                <w:lang w:val="en-US"/>
              </w:rPr>
            </w:pPr>
            <w:r w:rsidRPr="0024114A">
              <w:rPr>
                <w:rFonts w:cs="Times New Roman"/>
                <w:b/>
                <w:bCs/>
                <w:szCs w:val="24"/>
                <w:lang w:val="en-US"/>
              </w:rPr>
              <w:t>Carbamazepine</w:t>
            </w:r>
          </w:p>
        </w:tc>
      </w:tr>
      <w:tr w:rsidR="00C345C8" w:rsidRPr="0024114A" w14:paraId="1AC6ACFA" w14:textId="77777777" w:rsidTr="002D6DD7">
        <w:trPr>
          <w:jc w:val="center"/>
        </w:trPr>
        <w:tc>
          <w:tcPr>
            <w:tcW w:w="2695" w:type="dxa"/>
          </w:tcPr>
          <w:p w14:paraId="6DE6923A"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4184B2A8" w14:textId="77777777" w:rsidR="00C345C8" w:rsidRPr="0024114A" w:rsidRDefault="00C345C8" w:rsidP="002D6DD7">
            <w:pPr>
              <w:jc w:val="both"/>
              <w:rPr>
                <w:rFonts w:cs="Times New Roman"/>
                <w:szCs w:val="24"/>
                <w:lang w:val="en-US"/>
              </w:rPr>
            </w:pPr>
            <w:r w:rsidRPr="0024114A">
              <w:rPr>
                <w:rFonts w:cs="Times New Roman"/>
                <w:szCs w:val="24"/>
                <w:lang w:val="en-US"/>
              </w:rPr>
              <w:t>Sodium channel blocker anti-epileptic drugs</w:t>
            </w:r>
          </w:p>
        </w:tc>
      </w:tr>
      <w:tr w:rsidR="00C345C8" w:rsidRPr="0024114A" w14:paraId="26899D6A" w14:textId="77777777" w:rsidTr="002D6DD7">
        <w:trPr>
          <w:jc w:val="center"/>
        </w:trPr>
        <w:tc>
          <w:tcPr>
            <w:tcW w:w="2695" w:type="dxa"/>
          </w:tcPr>
          <w:p w14:paraId="52E6B368"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777D8CA5" w14:textId="77777777" w:rsidR="00C345C8" w:rsidRPr="0024114A" w:rsidRDefault="00C345C8" w:rsidP="002D6DD7">
            <w:pPr>
              <w:jc w:val="both"/>
              <w:rPr>
                <w:rFonts w:cs="Times New Roman"/>
                <w:szCs w:val="24"/>
                <w:lang w:val="en-US"/>
              </w:rPr>
            </w:pPr>
            <w:r w:rsidRPr="0024114A">
              <w:rPr>
                <w:rFonts w:cs="Times New Roman"/>
                <w:szCs w:val="24"/>
                <w:lang w:val="en-US"/>
              </w:rPr>
              <w:t>Tablet: 100mg, 200mg</w:t>
            </w:r>
          </w:p>
        </w:tc>
      </w:tr>
      <w:tr w:rsidR="00C345C8" w:rsidRPr="0024114A" w14:paraId="509375FE" w14:textId="77777777" w:rsidTr="002D6DD7">
        <w:trPr>
          <w:jc w:val="center"/>
        </w:trPr>
        <w:tc>
          <w:tcPr>
            <w:tcW w:w="2695" w:type="dxa"/>
          </w:tcPr>
          <w:p w14:paraId="0868AE93"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105" w:type="dxa"/>
          </w:tcPr>
          <w:p w14:paraId="32FDE052" w14:textId="77777777" w:rsidR="00C345C8" w:rsidRPr="0024114A" w:rsidRDefault="00C345C8" w:rsidP="002D6DD7">
            <w:pPr>
              <w:jc w:val="both"/>
              <w:rPr>
                <w:rFonts w:cs="Times New Roman"/>
                <w:szCs w:val="24"/>
                <w:lang w:val="en-US"/>
              </w:rPr>
            </w:pPr>
            <w:r w:rsidRPr="0024114A">
              <w:rPr>
                <w:rFonts w:cs="Times New Roman"/>
                <w:szCs w:val="24"/>
                <w:lang w:val="en-US"/>
              </w:rPr>
              <w:t>Trigeminal neuralgia, focal and secondary generalized tonic-clonic seizures, prophylaxis of bipolar disorder unresponsive to lithium, adjunct in acute alcohol withdrawal, diabetic neuropathy</w:t>
            </w:r>
          </w:p>
        </w:tc>
      </w:tr>
      <w:tr w:rsidR="00C345C8" w:rsidRPr="0024114A" w14:paraId="2A573BD4" w14:textId="77777777" w:rsidTr="002D6DD7">
        <w:trPr>
          <w:jc w:val="center"/>
        </w:trPr>
        <w:tc>
          <w:tcPr>
            <w:tcW w:w="2695" w:type="dxa"/>
          </w:tcPr>
          <w:p w14:paraId="442260B3"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75E47B2E" w14:textId="77777777" w:rsidR="00C345C8" w:rsidRPr="00B5726C" w:rsidRDefault="00C345C8" w:rsidP="002D6DD7">
            <w:pPr>
              <w:jc w:val="both"/>
              <w:rPr>
                <w:rFonts w:cs="Times New Roman"/>
                <w:szCs w:val="24"/>
                <w:lang w:val="en-US"/>
              </w:rPr>
            </w:pPr>
            <w:r w:rsidRPr="0024114A">
              <w:rPr>
                <w:rFonts w:cs="Times New Roman"/>
                <w:b/>
                <w:bCs/>
                <w:szCs w:val="24"/>
                <w:lang w:val="en-US"/>
              </w:rPr>
              <w:t>Trigeminal neuralgia,</w:t>
            </w:r>
            <w:r w:rsidR="00B5726C">
              <w:rPr>
                <w:rFonts w:cs="Times New Roman"/>
                <w:b/>
                <w:bCs/>
                <w:szCs w:val="24"/>
                <w:lang w:val="en-US"/>
              </w:rPr>
              <w:t xml:space="preserve"> </w:t>
            </w:r>
            <w:r w:rsidRPr="00B5726C">
              <w:rPr>
                <w:rFonts w:cs="Times New Roman"/>
                <w:szCs w:val="24"/>
                <w:lang w:val="en-US"/>
              </w:rPr>
              <w:t>oral:</w:t>
            </w:r>
          </w:p>
          <w:p w14:paraId="595690D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Initially 100 mg 1–2 times a day, increased gradually according to response; usual dose 200 mg 3–4 times daily (up to 1.6 g daily may be needed in some patients)</w:t>
            </w:r>
          </w:p>
          <w:p w14:paraId="68FF6F21" w14:textId="77777777" w:rsidR="00C345C8" w:rsidRPr="0024114A" w:rsidRDefault="00C345C8" w:rsidP="002D6DD7">
            <w:pPr>
              <w:jc w:val="both"/>
              <w:rPr>
                <w:rFonts w:cs="Times New Roman"/>
                <w:szCs w:val="24"/>
                <w:lang w:val="en-US"/>
              </w:rPr>
            </w:pPr>
            <w:r w:rsidRPr="0024114A">
              <w:rPr>
                <w:rFonts w:cs="Times New Roman"/>
                <w:b/>
                <w:bCs/>
                <w:szCs w:val="24"/>
                <w:lang w:val="en-US"/>
              </w:rPr>
              <w:t>Focal and secondary generalised tonic-clonic seizures, prophylaxis of bipolar disorder unresponsive to lithium, adjunct in acute alcohol withdrawal, diabetic neuropathy (</w:t>
            </w:r>
            <w:r w:rsidRPr="00B5726C">
              <w:rPr>
                <w:rFonts w:cs="Times New Roman"/>
                <w:i/>
                <w:szCs w:val="24"/>
                <w:lang w:val="en-US"/>
              </w:rPr>
              <w:t xml:space="preserve">Refer uner </w:t>
            </w:r>
            <w:r w:rsidR="00B5726C" w:rsidRPr="00B5726C">
              <w:rPr>
                <w:rFonts w:cs="Times New Roman"/>
                <w:i/>
                <w:szCs w:val="24"/>
                <w:lang w:val="en-US"/>
              </w:rPr>
              <w:t>m</w:t>
            </w:r>
            <w:r w:rsidRPr="00B5726C">
              <w:rPr>
                <w:rFonts w:cs="Times New Roman"/>
                <w:i/>
                <w:szCs w:val="24"/>
                <w:lang w:val="en-US"/>
              </w:rPr>
              <w:t xml:space="preserve">edicines for </w:t>
            </w:r>
            <w:r w:rsidR="00B5726C" w:rsidRPr="00B5726C">
              <w:rPr>
                <w:rFonts w:cs="Times New Roman"/>
                <w:i/>
                <w:szCs w:val="24"/>
                <w:lang w:val="en-US"/>
              </w:rPr>
              <w:t>n</w:t>
            </w:r>
            <w:r w:rsidRPr="00B5726C">
              <w:rPr>
                <w:rFonts w:cs="Times New Roman"/>
                <w:i/>
                <w:szCs w:val="24"/>
                <w:lang w:val="en-US"/>
              </w:rPr>
              <w:t xml:space="preserve">eurological </w:t>
            </w:r>
            <w:r w:rsidR="00B5726C" w:rsidRPr="00B5726C">
              <w:rPr>
                <w:rFonts w:cs="Times New Roman"/>
                <w:i/>
                <w:szCs w:val="24"/>
                <w:lang w:val="en-US"/>
              </w:rPr>
              <w:t>d</w:t>
            </w:r>
            <w:r w:rsidRPr="00B5726C">
              <w:rPr>
                <w:rFonts w:cs="Times New Roman"/>
                <w:i/>
                <w:szCs w:val="24"/>
                <w:lang w:val="en-US"/>
              </w:rPr>
              <w:t>isorders)</w:t>
            </w:r>
          </w:p>
        </w:tc>
      </w:tr>
      <w:tr w:rsidR="00C345C8" w:rsidRPr="0024114A" w14:paraId="0F0FB437" w14:textId="77777777" w:rsidTr="002D6DD7">
        <w:trPr>
          <w:jc w:val="center"/>
        </w:trPr>
        <w:tc>
          <w:tcPr>
            <w:tcW w:w="2695" w:type="dxa"/>
          </w:tcPr>
          <w:p w14:paraId="6F9EEAA3"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105" w:type="dxa"/>
          </w:tcPr>
          <w:p w14:paraId="3E9C5904"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atrioventricular conduction abnormalities, history of bone marrow depression, porphyria, jaundice, pregnancy, hepatitis</w:t>
            </w:r>
          </w:p>
        </w:tc>
      </w:tr>
      <w:tr w:rsidR="00C345C8" w:rsidRPr="0024114A" w14:paraId="1BE3C6BA" w14:textId="77777777" w:rsidTr="002D6DD7">
        <w:trPr>
          <w:jc w:val="center"/>
        </w:trPr>
        <w:tc>
          <w:tcPr>
            <w:tcW w:w="2695" w:type="dxa"/>
          </w:tcPr>
          <w:p w14:paraId="68815993"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4556541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MAOIs, itraconazole, voriconazole, CYP3A4 inducers (NNRTIs), Amitriptyline, chloroquine, chlorpromazine, ciclosporin, dexamethasone, doxycycline, erythromycin, ethosuximide, fluoxetine, haloperidol, hydrochlorothiazide, </w:t>
            </w:r>
            <w:r w:rsidRPr="0024114A">
              <w:rPr>
                <w:rFonts w:cs="Times New Roman"/>
                <w:szCs w:val="24"/>
                <w:lang w:val="en-US"/>
              </w:rPr>
              <w:lastRenderedPageBreak/>
              <w:t>hydrocortisone, isoniazid, levothyroxine, lopinavir, mebendazole, mefloquine, phenobarbital, phenytoin, praziquantel, ritonavir, saquinavir, valproic acid, vecuronium, warfarin</w:t>
            </w:r>
            <w:r w:rsidR="00B5726C">
              <w:rPr>
                <w:rFonts w:cs="Times New Roman"/>
                <w:szCs w:val="24"/>
                <w:lang w:val="en-US"/>
              </w:rPr>
              <w:t>.</w:t>
            </w:r>
          </w:p>
        </w:tc>
      </w:tr>
      <w:tr w:rsidR="00C345C8" w:rsidRPr="0024114A" w14:paraId="70585E2C" w14:textId="77777777" w:rsidTr="002D6DD7">
        <w:trPr>
          <w:jc w:val="center"/>
        </w:trPr>
        <w:tc>
          <w:tcPr>
            <w:tcW w:w="2695" w:type="dxa"/>
          </w:tcPr>
          <w:p w14:paraId="0C4B8A0A"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Side effects</w:t>
            </w:r>
          </w:p>
        </w:tc>
        <w:tc>
          <w:tcPr>
            <w:tcW w:w="6105" w:type="dxa"/>
          </w:tcPr>
          <w:p w14:paraId="48FB6B83" w14:textId="77777777" w:rsidR="00C345C8" w:rsidRPr="0024114A" w:rsidRDefault="00C345C8" w:rsidP="002D6DD7">
            <w:pPr>
              <w:jc w:val="both"/>
              <w:rPr>
                <w:rFonts w:cs="Times New Roman"/>
                <w:szCs w:val="24"/>
                <w:lang w:val="en-US"/>
              </w:rPr>
            </w:pPr>
            <w:r w:rsidRPr="0024114A">
              <w:rPr>
                <w:rFonts w:cs="Times New Roman"/>
                <w:szCs w:val="24"/>
                <w:lang w:val="en-US"/>
              </w:rPr>
              <w:t>Drowsiness, ataxia, dizziness, blurred vision, diplopia, headache (all dose related), rash, dry mouth, abdominal pain, nausea, vomiting, anorexia, diarrhea, constipation, asymptomatic hyponatremia, leukopenia, thrombocytopenia, increased liver enzymes.</w:t>
            </w:r>
          </w:p>
        </w:tc>
      </w:tr>
      <w:tr w:rsidR="00C345C8" w:rsidRPr="0024114A" w14:paraId="641E99E3" w14:textId="77777777" w:rsidTr="002D6DD7">
        <w:trPr>
          <w:jc w:val="center"/>
        </w:trPr>
        <w:tc>
          <w:tcPr>
            <w:tcW w:w="2695" w:type="dxa"/>
          </w:tcPr>
          <w:p w14:paraId="0921B92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6DC971C6" w14:textId="77777777" w:rsidR="00C345C8" w:rsidRPr="0024114A" w:rsidRDefault="00C345C8" w:rsidP="002D6DD7">
            <w:pPr>
              <w:jc w:val="both"/>
              <w:rPr>
                <w:rFonts w:cs="Times New Roman"/>
                <w:szCs w:val="24"/>
                <w:lang w:val="en-US"/>
              </w:rPr>
            </w:pPr>
            <w:r w:rsidRPr="0024114A">
              <w:rPr>
                <w:rFonts w:cs="Times New Roman"/>
                <w:szCs w:val="24"/>
                <w:lang w:val="en-US"/>
              </w:rPr>
              <w:t>Hepatic impairment, renal impairment, cardiac disease, skin reactions. history of blood disorders, glaucoma, sudden withdrawal, blood and skin disorders, pregnancy, breastfeeding</w:t>
            </w:r>
            <w:r w:rsidR="00B5726C">
              <w:rPr>
                <w:rFonts w:cs="Times New Roman"/>
                <w:szCs w:val="24"/>
                <w:lang w:val="en-US"/>
              </w:rPr>
              <w:t>.</w:t>
            </w:r>
          </w:p>
        </w:tc>
      </w:tr>
      <w:tr w:rsidR="00C345C8" w:rsidRPr="0024114A" w14:paraId="77AD987D" w14:textId="77777777" w:rsidTr="002D6DD7">
        <w:trPr>
          <w:jc w:val="center"/>
        </w:trPr>
        <w:tc>
          <w:tcPr>
            <w:tcW w:w="2695" w:type="dxa"/>
          </w:tcPr>
          <w:p w14:paraId="0502751B"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4A5345E7" w14:textId="77777777" w:rsidR="00C345C8" w:rsidRPr="0024114A" w:rsidRDefault="00C345C8" w:rsidP="002D6DD7">
            <w:pPr>
              <w:jc w:val="both"/>
              <w:rPr>
                <w:rFonts w:cs="Times New Roman"/>
                <w:szCs w:val="24"/>
                <w:lang w:val="en-US"/>
              </w:rPr>
            </w:pPr>
            <w:r w:rsidRPr="0024114A">
              <w:rPr>
                <w:rFonts w:cs="Times New Roman"/>
                <w:szCs w:val="24"/>
                <w:lang w:val="en-US"/>
              </w:rPr>
              <w:t>Store below 30˚C. Protect from moisture and light</w:t>
            </w:r>
          </w:p>
        </w:tc>
      </w:tr>
      <w:tr w:rsidR="00C345C8" w:rsidRPr="0024114A" w14:paraId="338D043C" w14:textId="77777777" w:rsidTr="002D6DD7">
        <w:trPr>
          <w:trHeight w:val="90"/>
          <w:jc w:val="center"/>
        </w:trPr>
        <w:tc>
          <w:tcPr>
            <w:tcW w:w="8800" w:type="dxa"/>
            <w:gridSpan w:val="2"/>
          </w:tcPr>
          <w:p w14:paraId="59BFF0FD" w14:textId="77777777" w:rsidR="00C345C8" w:rsidRPr="0024114A" w:rsidRDefault="00C345C8" w:rsidP="002D6DD7">
            <w:pPr>
              <w:jc w:val="both"/>
              <w:rPr>
                <w:rFonts w:cs="Times New Roman"/>
                <w:szCs w:val="24"/>
                <w:lang w:val="en-US"/>
              </w:rPr>
            </w:pPr>
            <w:r w:rsidRPr="0024114A">
              <w:rPr>
                <w:rFonts w:cs="Times New Roman"/>
                <w:b/>
                <w:bCs/>
                <w:szCs w:val="24"/>
                <w:lang w:val="en-US"/>
              </w:rPr>
              <w:t>Dexamethasone</w:t>
            </w:r>
          </w:p>
        </w:tc>
      </w:tr>
      <w:tr w:rsidR="00C345C8" w:rsidRPr="0024114A" w14:paraId="3330EAF6" w14:textId="77777777" w:rsidTr="002D6DD7">
        <w:trPr>
          <w:trHeight w:val="413"/>
          <w:jc w:val="center"/>
        </w:trPr>
        <w:tc>
          <w:tcPr>
            <w:tcW w:w="2695" w:type="dxa"/>
          </w:tcPr>
          <w:p w14:paraId="43E841F8"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4037AE92" w14:textId="77777777" w:rsidR="00C345C8" w:rsidRPr="0024114A" w:rsidRDefault="00C345C8" w:rsidP="002D6DD7">
            <w:pPr>
              <w:jc w:val="both"/>
              <w:rPr>
                <w:rFonts w:cs="Times New Roman"/>
                <w:szCs w:val="24"/>
                <w:lang w:val="en-US"/>
              </w:rPr>
            </w:pPr>
            <w:r w:rsidRPr="0024114A">
              <w:rPr>
                <w:rFonts w:cs="Times New Roman"/>
                <w:szCs w:val="24"/>
                <w:lang w:val="en-US"/>
              </w:rPr>
              <w:t>Corticosteroid</w:t>
            </w:r>
          </w:p>
        </w:tc>
      </w:tr>
      <w:tr w:rsidR="00C345C8" w:rsidRPr="0024114A" w14:paraId="117C5F7B" w14:textId="77777777" w:rsidTr="002D6DD7">
        <w:trPr>
          <w:jc w:val="center"/>
        </w:trPr>
        <w:tc>
          <w:tcPr>
            <w:tcW w:w="2695" w:type="dxa"/>
          </w:tcPr>
          <w:p w14:paraId="76B2A3A0"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3E3C1D2C"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t>Injection: 4 mg/ml in 1 ml</w:t>
            </w:r>
            <w:r w:rsidRPr="0024114A">
              <w:rPr>
                <w:rFonts w:eastAsia="Times New Roman" w:cs="Times New Roman"/>
                <w:szCs w:val="24"/>
                <w:lang w:val="en-US"/>
              </w:rPr>
              <w:t>, 4mg/ml in 2ml</w:t>
            </w:r>
          </w:p>
          <w:p w14:paraId="2337F821" w14:textId="77777777" w:rsidR="00C345C8" w:rsidRPr="0024114A" w:rsidRDefault="00C345C8" w:rsidP="002D6DD7">
            <w:pPr>
              <w:jc w:val="both"/>
              <w:rPr>
                <w:rFonts w:cs="Times New Roman"/>
                <w:szCs w:val="24"/>
                <w:lang w:val="nb-NO"/>
              </w:rPr>
            </w:pPr>
            <w:r w:rsidRPr="00B5726C">
              <w:rPr>
                <w:rFonts w:cs="Times New Roman"/>
                <w:szCs w:val="24"/>
                <w:lang w:val="nb-NO"/>
              </w:rPr>
              <w:t>Oral</w:t>
            </w:r>
            <w:r w:rsidRPr="0024114A">
              <w:rPr>
                <w:rFonts w:cs="Times New Roman"/>
                <w:szCs w:val="24"/>
                <w:lang w:val="nb-NO"/>
              </w:rPr>
              <w:t xml:space="preserve"> liquid: 2 mg/5 ml</w:t>
            </w:r>
          </w:p>
          <w:p w14:paraId="3536C6FB" w14:textId="77777777" w:rsidR="00C345C8" w:rsidRPr="0024114A" w:rsidRDefault="00C345C8" w:rsidP="002D6DD7">
            <w:pPr>
              <w:jc w:val="both"/>
              <w:rPr>
                <w:rFonts w:cs="Times New Roman"/>
                <w:szCs w:val="24"/>
                <w:lang w:val="nb-NO"/>
              </w:rPr>
            </w:pPr>
            <w:r w:rsidRPr="0024114A">
              <w:rPr>
                <w:rFonts w:cs="Times New Roman"/>
                <w:szCs w:val="24"/>
                <w:lang w:val="nb-NO"/>
              </w:rPr>
              <w:t>Tablet: 2 mg, 4 mg.</w:t>
            </w:r>
          </w:p>
        </w:tc>
      </w:tr>
      <w:tr w:rsidR="00C345C8" w:rsidRPr="0024114A" w14:paraId="746AB5C9" w14:textId="77777777" w:rsidTr="002D6DD7">
        <w:trPr>
          <w:jc w:val="center"/>
        </w:trPr>
        <w:tc>
          <w:tcPr>
            <w:tcW w:w="2695" w:type="dxa"/>
          </w:tcPr>
          <w:p w14:paraId="6B67B26B"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105" w:type="dxa"/>
          </w:tcPr>
          <w:p w14:paraId="0434B0AE" w14:textId="77777777" w:rsidR="00C345C8" w:rsidRPr="0024114A" w:rsidRDefault="00C345C8" w:rsidP="002D6DD7">
            <w:pPr>
              <w:jc w:val="both"/>
              <w:rPr>
                <w:rFonts w:cs="Times New Roman"/>
                <w:szCs w:val="24"/>
                <w:lang w:val="en-US"/>
              </w:rPr>
            </w:pPr>
            <w:r w:rsidRPr="0024114A">
              <w:rPr>
                <w:rFonts w:cs="Times New Roman"/>
                <w:szCs w:val="24"/>
                <w:lang w:val="en-US"/>
              </w:rPr>
              <w:t>Adjunct in the emergency treatment of anaphylaxis, short-term suppression of inflammation in allergic disorders.</w:t>
            </w:r>
          </w:p>
        </w:tc>
      </w:tr>
      <w:tr w:rsidR="00C345C8" w:rsidRPr="0024114A" w14:paraId="544DC3B7" w14:textId="77777777" w:rsidTr="002D6DD7">
        <w:trPr>
          <w:jc w:val="center"/>
        </w:trPr>
        <w:tc>
          <w:tcPr>
            <w:tcW w:w="2695" w:type="dxa"/>
          </w:tcPr>
          <w:p w14:paraId="3CCCD129"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1880F687" w14:textId="77777777" w:rsidR="00C345C8" w:rsidRPr="0024114A" w:rsidRDefault="00C345C8" w:rsidP="002D6DD7">
            <w:pPr>
              <w:jc w:val="both"/>
              <w:rPr>
                <w:rFonts w:cs="Times New Roman"/>
                <w:szCs w:val="24"/>
                <w:lang w:val="en-US"/>
              </w:rPr>
            </w:pPr>
            <w:r w:rsidRPr="0024114A">
              <w:rPr>
                <w:rFonts w:cs="Times New Roman"/>
                <w:b/>
                <w:bCs/>
                <w:szCs w:val="24"/>
                <w:lang w:val="en-US"/>
              </w:rPr>
              <w:t>Allergy (short-term use)</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267E4A59"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Usual range 0.5–10 mg daily as a single dose in the morning</w:t>
            </w:r>
          </w:p>
          <w:p w14:paraId="55F6FFBD" w14:textId="77777777" w:rsidR="00C345C8" w:rsidRPr="0024114A" w:rsidRDefault="00C345C8" w:rsidP="002D6DD7">
            <w:pPr>
              <w:jc w:val="both"/>
              <w:rPr>
                <w:rFonts w:cs="Times New Roman"/>
                <w:szCs w:val="24"/>
                <w:lang w:val="en-US"/>
              </w:rPr>
            </w:pPr>
            <w:r w:rsidRPr="0024114A">
              <w:rPr>
                <w:rFonts w:cs="Times New Roman"/>
                <w:b/>
                <w:bCs/>
                <w:szCs w:val="24"/>
                <w:lang w:val="en-US"/>
              </w:rPr>
              <w:t>Anaphylaxis</w:t>
            </w:r>
            <w:r w:rsidRPr="0024114A">
              <w:rPr>
                <w:rFonts w:cs="Times New Roman"/>
                <w:b/>
                <w:szCs w:val="24"/>
                <w:lang w:val="en-US"/>
              </w:rPr>
              <w:t xml:space="preserve"> (adjunct), </w:t>
            </w:r>
            <w:r w:rsidRPr="00B5726C">
              <w:rPr>
                <w:rFonts w:cs="Times New Roman"/>
                <w:szCs w:val="24"/>
                <w:lang w:val="en-US"/>
              </w:rPr>
              <w:t>by slow IV injection or infusion</w:t>
            </w:r>
            <w:r w:rsidRPr="0024114A">
              <w:rPr>
                <w:rFonts w:cs="Times New Roman"/>
                <w:b/>
                <w:szCs w:val="24"/>
                <w:lang w:val="en-US"/>
              </w:rPr>
              <w:t xml:space="preserve"> </w:t>
            </w:r>
            <w:r w:rsidRPr="0024114A">
              <w:rPr>
                <w:rFonts w:cs="Times New Roman"/>
                <w:szCs w:val="24"/>
                <w:lang w:val="en-US"/>
              </w:rPr>
              <w:t>(as dexamethasone phosphate):</w:t>
            </w:r>
          </w:p>
          <w:p w14:paraId="7FBDD37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 xml:space="preserve"> 0.5–24 mg</w:t>
            </w:r>
          </w:p>
          <w:p w14:paraId="30668C52" w14:textId="77777777" w:rsidR="00C345C8" w:rsidRPr="0024114A" w:rsidRDefault="00C345C8" w:rsidP="002D6DD7">
            <w:pPr>
              <w:jc w:val="both"/>
              <w:rPr>
                <w:rFonts w:cs="Times New Roman"/>
                <w:b/>
                <w:szCs w:val="24"/>
                <w:lang w:val="en-US"/>
              </w:rPr>
            </w:pPr>
            <w:r w:rsidRPr="0024114A">
              <w:rPr>
                <w:rFonts w:cs="Times New Roman"/>
                <w:szCs w:val="24"/>
                <w:lang w:val="en-US"/>
              </w:rPr>
              <w:t>I</w:t>
            </w:r>
            <w:r w:rsidRPr="0024114A">
              <w:rPr>
                <w:rFonts w:cs="Times New Roman"/>
                <w:b/>
                <w:bCs/>
                <w:szCs w:val="24"/>
                <w:lang w:val="en-US"/>
              </w:rPr>
              <w:t>nflammatory and allergic disorders</w:t>
            </w:r>
            <w:r w:rsidRPr="0024114A">
              <w:rPr>
                <w:rFonts w:cs="Times New Roman"/>
                <w:szCs w:val="24"/>
                <w:lang w:val="en-US"/>
              </w:rPr>
              <w:t xml:space="preserve">, </w:t>
            </w:r>
            <w:r w:rsidRPr="00B5726C">
              <w:rPr>
                <w:rFonts w:cs="Times New Roman"/>
                <w:szCs w:val="24"/>
                <w:lang w:val="en-US"/>
              </w:rPr>
              <w:t>IM or slow IV injection or infusion</w:t>
            </w:r>
            <w:r w:rsidRPr="0024114A">
              <w:rPr>
                <w:rFonts w:cs="Times New Roman"/>
                <w:b/>
                <w:szCs w:val="24"/>
                <w:lang w:val="en-US"/>
              </w:rPr>
              <w:t>:</w:t>
            </w:r>
          </w:p>
          <w:p w14:paraId="6921E4A7"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Infant or Child: </w:t>
            </w:r>
            <w:r w:rsidRPr="0024114A">
              <w:rPr>
                <w:rFonts w:cs="Times New Roman"/>
                <w:szCs w:val="24"/>
                <w:lang w:val="en-US"/>
              </w:rPr>
              <w:t>100–400 mcg/kg in 1–2 divided doses (maximum 24 mg daily)</w:t>
            </w:r>
            <w:r w:rsidR="00B5726C">
              <w:rPr>
                <w:rFonts w:cs="Times New Roman"/>
                <w:szCs w:val="24"/>
                <w:lang w:val="en-US"/>
              </w:rPr>
              <w:t>.</w:t>
            </w:r>
          </w:p>
        </w:tc>
      </w:tr>
      <w:tr w:rsidR="00C345C8" w:rsidRPr="0024114A" w14:paraId="2D60EB4D" w14:textId="77777777" w:rsidTr="002D6DD7">
        <w:trPr>
          <w:trHeight w:val="440"/>
          <w:jc w:val="center"/>
        </w:trPr>
        <w:tc>
          <w:tcPr>
            <w:tcW w:w="2695" w:type="dxa"/>
          </w:tcPr>
          <w:p w14:paraId="465A36A5"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105" w:type="dxa"/>
          </w:tcPr>
          <w:p w14:paraId="0DEF38C1" w14:textId="77777777" w:rsidR="00C345C8" w:rsidRPr="0024114A" w:rsidRDefault="00C345C8" w:rsidP="002D6DD7">
            <w:pPr>
              <w:jc w:val="both"/>
              <w:rPr>
                <w:rFonts w:cs="Times New Roman"/>
                <w:szCs w:val="24"/>
                <w:lang w:val="en-US"/>
              </w:rPr>
            </w:pPr>
            <w:r w:rsidRPr="0024114A">
              <w:rPr>
                <w:rFonts w:eastAsia="Times New Roman" w:cs="Times New Roman"/>
                <w:color w:val="000000"/>
                <w:szCs w:val="24"/>
              </w:rPr>
              <w:t>Hypersensitivity to the drug</w:t>
            </w:r>
            <w:r w:rsidRPr="0024114A">
              <w:rPr>
                <w:rFonts w:eastAsia="Times New Roman" w:cs="Times New Roman"/>
                <w:color w:val="000000"/>
                <w:szCs w:val="24"/>
                <w:lang w:val="en-US"/>
              </w:rPr>
              <w:t>, i</w:t>
            </w:r>
            <w:r w:rsidRPr="0024114A">
              <w:rPr>
                <w:rFonts w:eastAsia="Times New Roman" w:cs="Times New Roman"/>
                <w:color w:val="000000"/>
                <w:szCs w:val="24"/>
              </w:rPr>
              <w:t>ntra-articular injection, bacterial arthritis</w:t>
            </w:r>
            <w:r w:rsidRPr="0024114A">
              <w:rPr>
                <w:rFonts w:eastAsia="Times New Roman" w:cs="Times New Roman"/>
                <w:color w:val="000000"/>
                <w:szCs w:val="24"/>
                <w:lang w:val="en-US"/>
              </w:rPr>
              <w:t xml:space="preserve">, </w:t>
            </w:r>
            <w:r w:rsidRPr="0024114A">
              <w:rPr>
                <w:rFonts w:eastAsia="Times New Roman" w:cs="Times New Roman"/>
                <w:color w:val="000000"/>
                <w:szCs w:val="24"/>
              </w:rPr>
              <w:t>risk of bleeding, periarticular calcification</w:t>
            </w:r>
            <w:r w:rsidRPr="0024114A">
              <w:rPr>
                <w:rFonts w:eastAsia="Times New Roman" w:cs="Times New Roman"/>
                <w:color w:val="000000"/>
                <w:szCs w:val="24"/>
                <w:lang w:val="en-US"/>
              </w:rPr>
              <w:t xml:space="preserve">, </w:t>
            </w:r>
            <w:r w:rsidRPr="0024114A">
              <w:rPr>
                <w:rFonts w:eastAsia="Times New Roman" w:cs="Times New Roman"/>
                <w:color w:val="000000"/>
                <w:szCs w:val="24"/>
              </w:rPr>
              <w:t>avascular bone necrosis, tendon rupture infiltration, glaucoma, Cushing syndrome, cerebral malaria, systemic fungal infection</w:t>
            </w:r>
            <w:r w:rsidR="00B5726C">
              <w:rPr>
                <w:rFonts w:eastAsia="Times New Roman" w:cs="Times New Roman"/>
                <w:color w:val="000000"/>
                <w:szCs w:val="24"/>
              </w:rPr>
              <w:t>.</w:t>
            </w:r>
          </w:p>
        </w:tc>
      </w:tr>
      <w:tr w:rsidR="00C345C8" w:rsidRPr="0024114A" w14:paraId="0311A860" w14:textId="77777777" w:rsidTr="002D6DD7">
        <w:trPr>
          <w:jc w:val="center"/>
        </w:trPr>
        <w:tc>
          <w:tcPr>
            <w:tcW w:w="2695" w:type="dxa"/>
          </w:tcPr>
          <w:p w14:paraId="7A2FC2BC"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154E975E" w14:textId="77777777" w:rsidR="00C345C8" w:rsidRPr="0024114A" w:rsidRDefault="00C345C8" w:rsidP="002D6DD7">
            <w:pPr>
              <w:jc w:val="both"/>
              <w:rPr>
                <w:rFonts w:cs="Times New Roman"/>
                <w:szCs w:val="24"/>
                <w:lang w:val="en-US"/>
              </w:rPr>
            </w:pPr>
            <w:r w:rsidRPr="0024114A">
              <w:rPr>
                <w:rFonts w:cs="Times New Roman"/>
                <w:szCs w:val="24"/>
                <w:lang w:val="en-US"/>
              </w:rPr>
              <w:t>Acetylsalicylic acid, albendazole, amphotericin B, antacids, carbamazepine, cimetidine, contraceptives (</w:t>
            </w:r>
            <w:r w:rsidRPr="00B5726C">
              <w:rPr>
                <w:rFonts w:cs="Times New Roman"/>
                <w:szCs w:val="24"/>
                <w:lang w:val="en-US"/>
              </w:rPr>
              <w:t>oral</w:t>
            </w:r>
            <w:r w:rsidRPr="0024114A">
              <w:rPr>
                <w:rFonts w:cs="Times New Roman"/>
                <w:szCs w:val="24"/>
                <w:lang w:val="en-US"/>
              </w:rPr>
              <w:t>), digoxin, enalapril, erythromycin, furosemide, hydrochlorothiazide, ibuprofen, insulins, lopinavir, ketoconazole, metformin, methotrexate, phenobarbital, phenytoin, praziquantel, propranolol, rifampicin, ritonavir, salbutamol, saquinavir, spironolactone, influenza vaccine, live vaccines, warfarin, artemether/lumefantrine</w:t>
            </w:r>
            <w:r w:rsidR="00B5726C">
              <w:rPr>
                <w:rFonts w:cs="Times New Roman"/>
                <w:szCs w:val="24"/>
                <w:lang w:val="en-US"/>
              </w:rPr>
              <w:t>.</w:t>
            </w:r>
          </w:p>
        </w:tc>
      </w:tr>
      <w:tr w:rsidR="00C345C8" w:rsidRPr="0024114A" w14:paraId="02EA33DF" w14:textId="77777777" w:rsidTr="002D6DD7">
        <w:trPr>
          <w:jc w:val="center"/>
        </w:trPr>
        <w:tc>
          <w:tcPr>
            <w:tcW w:w="2695" w:type="dxa"/>
          </w:tcPr>
          <w:p w14:paraId="57751954"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42599D09" w14:textId="77777777" w:rsidR="00C345C8" w:rsidRPr="0024114A" w:rsidRDefault="00C345C8" w:rsidP="002D6DD7">
            <w:pPr>
              <w:jc w:val="both"/>
              <w:rPr>
                <w:rFonts w:cs="Times New Roman"/>
                <w:szCs w:val="24"/>
                <w:lang w:val="en-US"/>
              </w:rPr>
            </w:pPr>
            <w:r w:rsidRPr="0024114A">
              <w:rPr>
                <w:rFonts w:cs="Times New Roman"/>
                <w:szCs w:val="24"/>
                <w:lang w:val="en-US"/>
              </w:rPr>
              <w:t>Nausea, hiccups, increased susceptibility to infection, sodium and water retention, oedema, hypertension, hypokalemia, hyperglycemia, increased appetite, dyspepsia, delayed wound healing, bruising, acne, psychiatric effects, perineal irritation.</w:t>
            </w:r>
          </w:p>
        </w:tc>
      </w:tr>
      <w:tr w:rsidR="00C345C8" w:rsidRPr="0024114A" w14:paraId="53FFE8D8" w14:textId="77777777" w:rsidTr="002D6DD7">
        <w:trPr>
          <w:trHeight w:val="2069"/>
          <w:jc w:val="center"/>
        </w:trPr>
        <w:tc>
          <w:tcPr>
            <w:tcW w:w="2695" w:type="dxa"/>
          </w:tcPr>
          <w:p w14:paraId="6DD49E1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10C0EAE4" w14:textId="77777777" w:rsidR="00C345C8" w:rsidRPr="0024114A" w:rsidRDefault="00C345C8" w:rsidP="002D6DD7">
            <w:pPr>
              <w:jc w:val="both"/>
              <w:rPr>
                <w:rFonts w:cs="Times New Roman"/>
                <w:szCs w:val="24"/>
                <w:lang w:val="en-US"/>
              </w:rPr>
            </w:pPr>
            <w:r w:rsidRPr="0024114A">
              <w:rPr>
                <w:rFonts w:cs="Times New Roman"/>
                <w:szCs w:val="24"/>
                <w:lang w:val="en-US"/>
              </w:rPr>
              <w:t>Adrenal suppression (iatrogenic), anaphylactic reaction, Kaposi sarcoma, activation or exacerbation of TB, amoebiasis, strongyloidiasis, chickenpox measles, diabetes mellitus, peptic ulcer, hypertension, corneal perforation, osteoporosis, myasthenia gravis</w:t>
            </w:r>
            <w:r w:rsidR="00B5726C">
              <w:rPr>
                <w:rFonts w:cs="Times New Roman"/>
                <w:szCs w:val="24"/>
                <w:lang w:val="en-US"/>
              </w:rPr>
              <w:t>.</w:t>
            </w:r>
          </w:p>
        </w:tc>
      </w:tr>
      <w:tr w:rsidR="00C345C8" w:rsidRPr="0024114A" w14:paraId="61AF443D" w14:textId="77777777" w:rsidTr="002D6DD7">
        <w:trPr>
          <w:jc w:val="center"/>
        </w:trPr>
        <w:tc>
          <w:tcPr>
            <w:tcW w:w="2695" w:type="dxa"/>
          </w:tcPr>
          <w:p w14:paraId="1B949344"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2DE267A7" w14:textId="77777777" w:rsidR="00C345C8" w:rsidRPr="0024114A" w:rsidRDefault="00C345C8" w:rsidP="002D6DD7">
            <w:pPr>
              <w:jc w:val="both"/>
              <w:rPr>
                <w:rFonts w:cs="Times New Roman"/>
                <w:szCs w:val="24"/>
                <w:lang w:val="en-US"/>
              </w:rPr>
            </w:pPr>
            <w:r w:rsidRPr="0024114A">
              <w:rPr>
                <w:rFonts w:eastAsia="SimSun" w:cs="Times New Roman"/>
                <w:szCs w:val="24"/>
                <w:lang w:val="en-US"/>
              </w:rPr>
              <w:t>S</w:t>
            </w:r>
            <w:r w:rsidRPr="0024114A">
              <w:rPr>
                <w:rFonts w:eastAsia="SimSun" w:cs="Times New Roman"/>
                <w:szCs w:val="24"/>
              </w:rPr>
              <w:t xml:space="preserve">tore </w:t>
            </w:r>
            <w:r w:rsidRPr="0024114A">
              <w:rPr>
                <w:rFonts w:eastAsia="SimSun" w:cs="Times New Roman"/>
                <w:szCs w:val="24"/>
                <w:lang w:val="en-US"/>
              </w:rPr>
              <w:t xml:space="preserve">below </w:t>
            </w:r>
            <w:r w:rsidRPr="0024114A">
              <w:rPr>
                <w:rFonts w:eastAsia="SimSun" w:cs="Times New Roman"/>
                <w:szCs w:val="24"/>
              </w:rPr>
              <w:t xml:space="preserve">30°C. Protect from light. </w:t>
            </w:r>
          </w:p>
        </w:tc>
      </w:tr>
      <w:tr w:rsidR="00C345C8" w:rsidRPr="0024114A" w14:paraId="0A85B08E" w14:textId="77777777" w:rsidTr="002D6DD7">
        <w:trPr>
          <w:jc w:val="center"/>
        </w:trPr>
        <w:tc>
          <w:tcPr>
            <w:tcW w:w="8800" w:type="dxa"/>
            <w:gridSpan w:val="2"/>
          </w:tcPr>
          <w:p w14:paraId="1BD9B872" w14:textId="77777777" w:rsidR="00C345C8" w:rsidRPr="0024114A" w:rsidRDefault="00C345C8" w:rsidP="002D6DD7">
            <w:pPr>
              <w:jc w:val="both"/>
              <w:rPr>
                <w:rFonts w:cs="Times New Roman"/>
                <w:szCs w:val="24"/>
                <w:lang w:val="en-US"/>
              </w:rPr>
            </w:pPr>
            <w:r w:rsidRPr="0024114A">
              <w:rPr>
                <w:rFonts w:cs="Times New Roman"/>
                <w:b/>
                <w:bCs/>
                <w:szCs w:val="24"/>
                <w:lang w:val="en-US"/>
              </w:rPr>
              <w:t>Diazepam</w:t>
            </w:r>
          </w:p>
        </w:tc>
      </w:tr>
      <w:tr w:rsidR="00C345C8" w:rsidRPr="0024114A" w14:paraId="6DB4FA6E" w14:textId="77777777" w:rsidTr="002D6DD7">
        <w:trPr>
          <w:jc w:val="center"/>
        </w:trPr>
        <w:tc>
          <w:tcPr>
            <w:tcW w:w="2695" w:type="dxa"/>
          </w:tcPr>
          <w:p w14:paraId="45D2E179"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4620A70A" w14:textId="77777777" w:rsidR="00C345C8" w:rsidRPr="0024114A" w:rsidRDefault="00C345C8" w:rsidP="002D6DD7">
            <w:pPr>
              <w:jc w:val="both"/>
              <w:rPr>
                <w:rFonts w:cs="Times New Roman"/>
                <w:szCs w:val="24"/>
                <w:lang w:val="en-US"/>
              </w:rPr>
            </w:pPr>
            <w:r w:rsidRPr="0024114A">
              <w:rPr>
                <w:rFonts w:cs="Times New Roman"/>
                <w:szCs w:val="24"/>
                <w:lang w:val="en-US"/>
              </w:rPr>
              <w:t>Benzodiazepine</w:t>
            </w:r>
          </w:p>
        </w:tc>
      </w:tr>
      <w:tr w:rsidR="00C345C8" w:rsidRPr="0024114A" w14:paraId="09765EA4" w14:textId="77777777" w:rsidTr="002D6DD7">
        <w:trPr>
          <w:jc w:val="center"/>
        </w:trPr>
        <w:tc>
          <w:tcPr>
            <w:tcW w:w="2695" w:type="dxa"/>
          </w:tcPr>
          <w:p w14:paraId="52F838F5"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17ADF788" w14:textId="77777777" w:rsidR="00C345C8" w:rsidRPr="0024114A" w:rsidRDefault="00C345C8" w:rsidP="002D6DD7">
            <w:pPr>
              <w:jc w:val="both"/>
              <w:rPr>
                <w:rFonts w:cs="Times New Roman"/>
                <w:szCs w:val="24"/>
                <w:lang w:val="en-US"/>
              </w:rPr>
            </w:pPr>
            <w:r w:rsidRPr="0024114A">
              <w:rPr>
                <w:rFonts w:cs="Times New Roman"/>
                <w:szCs w:val="24"/>
                <w:lang w:val="en-US"/>
              </w:rPr>
              <w:t>Injection: 5 mg/ml</w:t>
            </w:r>
          </w:p>
          <w:p w14:paraId="07FDDECC" w14:textId="77777777" w:rsidR="00C345C8" w:rsidRPr="0024114A" w:rsidRDefault="00C345C8" w:rsidP="002D6DD7">
            <w:pPr>
              <w:jc w:val="both"/>
              <w:rPr>
                <w:rFonts w:cs="Times New Roman"/>
                <w:szCs w:val="24"/>
                <w:lang w:val="en-US"/>
              </w:rPr>
            </w:pPr>
            <w:r w:rsidRPr="0024114A">
              <w:rPr>
                <w:rFonts w:cs="Times New Roman"/>
                <w:szCs w:val="24"/>
                <w:lang w:val="en-US"/>
              </w:rPr>
              <w:t>Syrup: 2 mg/5 ml</w:t>
            </w:r>
          </w:p>
          <w:p w14:paraId="3158E90A" w14:textId="77777777" w:rsidR="00C345C8" w:rsidRPr="0024114A" w:rsidRDefault="00C345C8" w:rsidP="002D6DD7">
            <w:pPr>
              <w:jc w:val="both"/>
              <w:rPr>
                <w:rFonts w:cs="Times New Roman"/>
                <w:szCs w:val="24"/>
                <w:lang w:val="en-US"/>
              </w:rPr>
            </w:pPr>
            <w:r w:rsidRPr="0024114A">
              <w:rPr>
                <w:rFonts w:cs="Times New Roman"/>
                <w:szCs w:val="24"/>
                <w:lang w:val="en-US"/>
              </w:rPr>
              <w:t>Rectal gel: 5 mg/ml in 0.5 ml, 2 ml, 4 ml</w:t>
            </w:r>
          </w:p>
          <w:p w14:paraId="3AF0EF90" w14:textId="77777777" w:rsidR="00C345C8" w:rsidRPr="0024114A" w:rsidRDefault="00C345C8" w:rsidP="002D6DD7">
            <w:pPr>
              <w:jc w:val="both"/>
              <w:rPr>
                <w:rFonts w:cs="Times New Roman"/>
                <w:szCs w:val="24"/>
              </w:rPr>
            </w:pPr>
            <w:r w:rsidRPr="0024114A">
              <w:rPr>
                <w:rFonts w:cs="Times New Roman"/>
                <w:szCs w:val="24"/>
              </w:rPr>
              <w:t>Rectal solution: 2 mg/ml in 1.25 ml, 2.5 ml</w:t>
            </w:r>
            <w:r w:rsidRPr="0024114A">
              <w:rPr>
                <w:rFonts w:cs="Times New Roman"/>
                <w:szCs w:val="24"/>
                <w:lang w:val="en-US"/>
              </w:rPr>
              <w:t xml:space="preserve">, </w:t>
            </w:r>
            <w:r w:rsidRPr="0024114A">
              <w:rPr>
                <w:rFonts w:cs="Times New Roman"/>
                <w:szCs w:val="24"/>
              </w:rPr>
              <w:t>4 mg/ml in 2.5 ml</w:t>
            </w:r>
            <w:r w:rsidRPr="0024114A">
              <w:rPr>
                <w:rFonts w:cs="Times New Roman"/>
                <w:szCs w:val="24"/>
                <w:lang w:val="en-US"/>
              </w:rPr>
              <w:t xml:space="preserve"> in </w:t>
            </w:r>
            <w:r w:rsidRPr="0024114A">
              <w:rPr>
                <w:rFonts w:cs="Times New Roman"/>
                <w:szCs w:val="24"/>
              </w:rPr>
              <w:t>rectal tube</w:t>
            </w:r>
          </w:p>
          <w:p w14:paraId="4823335D"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Tablet: 5 mg; 10 mg</w:t>
            </w:r>
          </w:p>
        </w:tc>
      </w:tr>
      <w:tr w:rsidR="00C345C8" w:rsidRPr="0024114A" w14:paraId="511864A4" w14:textId="77777777" w:rsidTr="002D6DD7">
        <w:trPr>
          <w:trHeight w:val="1138"/>
          <w:jc w:val="center"/>
        </w:trPr>
        <w:tc>
          <w:tcPr>
            <w:tcW w:w="2695" w:type="dxa"/>
          </w:tcPr>
          <w:p w14:paraId="1D19639E" w14:textId="77777777" w:rsidR="00C345C8" w:rsidRPr="0024114A" w:rsidRDefault="00C345C8" w:rsidP="002D6DD7">
            <w:pPr>
              <w:jc w:val="both"/>
              <w:rPr>
                <w:rFonts w:cs="Times New Roman"/>
                <w:bCs/>
                <w:szCs w:val="24"/>
                <w:lang w:val="en-US"/>
              </w:rPr>
            </w:pPr>
            <w:r w:rsidRPr="0024114A">
              <w:rPr>
                <w:rFonts w:cs="Times New Roman"/>
                <w:bCs/>
                <w:szCs w:val="24"/>
                <w:lang w:val="en-US"/>
              </w:rPr>
              <w:lastRenderedPageBreak/>
              <w:t>Indications</w:t>
            </w:r>
          </w:p>
        </w:tc>
        <w:tc>
          <w:tcPr>
            <w:tcW w:w="6105" w:type="dxa"/>
          </w:tcPr>
          <w:p w14:paraId="720F540D" w14:textId="77777777" w:rsidR="00C345C8" w:rsidRPr="0024114A" w:rsidRDefault="00C345C8" w:rsidP="002D6DD7">
            <w:pPr>
              <w:jc w:val="both"/>
              <w:rPr>
                <w:rFonts w:cs="Times New Roman"/>
                <w:szCs w:val="24"/>
                <w:lang w:val="en-US"/>
              </w:rPr>
            </w:pPr>
            <w:r w:rsidRPr="0024114A">
              <w:rPr>
                <w:rFonts w:cs="Times New Roman"/>
                <w:szCs w:val="24"/>
                <w:lang w:val="en-US"/>
              </w:rPr>
              <w:t>Status epilepticus, drug or alcohol withdrawal, seizures associated with poisoning, muscle spasm, tetanus, anxiety, insomnia associated with anxiety</w:t>
            </w:r>
          </w:p>
        </w:tc>
      </w:tr>
      <w:tr w:rsidR="00C345C8" w:rsidRPr="0024114A" w14:paraId="078017CB" w14:textId="77777777" w:rsidTr="002D6DD7">
        <w:trPr>
          <w:jc w:val="center"/>
        </w:trPr>
        <w:tc>
          <w:tcPr>
            <w:tcW w:w="2695" w:type="dxa"/>
          </w:tcPr>
          <w:p w14:paraId="2FD9D367"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528FD881" w14:textId="77777777" w:rsidR="00C345C8" w:rsidRPr="0024114A" w:rsidRDefault="00C345C8" w:rsidP="002D6DD7">
            <w:pPr>
              <w:jc w:val="both"/>
              <w:rPr>
                <w:rFonts w:cs="Times New Roman"/>
                <w:szCs w:val="24"/>
                <w:lang w:val="en-US"/>
              </w:rPr>
            </w:pPr>
            <w:r w:rsidRPr="0024114A">
              <w:rPr>
                <w:rFonts w:cs="Times New Roman"/>
                <w:b/>
                <w:bCs/>
                <w:szCs w:val="24"/>
                <w:lang w:val="en-US"/>
              </w:rPr>
              <w:t>Status epilepticus, emergency management of recurrent epileptic seizures</w:t>
            </w:r>
            <w:r w:rsidRPr="0024114A">
              <w:rPr>
                <w:rFonts w:cs="Times New Roman"/>
                <w:szCs w:val="24"/>
                <w:lang w:val="en-US"/>
              </w:rPr>
              <w:t xml:space="preserve">, </w:t>
            </w:r>
            <w:r w:rsidRPr="00B5726C">
              <w:rPr>
                <w:rFonts w:cs="Times New Roman"/>
                <w:szCs w:val="24"/>
                <w:lang w:val="en-US"/>
              </w:rPr>
              <w:t>by slow IV injection</w:t>
            </w:r>
            <w:r w:rsidRPr="0024114A">
              <w:rPr>
                <w:rFonts w:cs="Times New Roman"/>
                <w:szCs w:val="24"/>
                <w:lang w:val="en-US"/>
              </w:rPr>
              <w:t xml:space="preserve"> (at a rate of 5 mg/min): </w:t>
            </w:r>
          </w:p>
          <w:p w14:paraId="7371AEA4"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10–20 mg, repeated, if necessary, after 30–60 minutes, may be followed by IV infusion up to a maximum of 3 mg/kg over 24 hours</w:t>
            </w:r>
          </w:p>
          <w:p w14:paraId="6B45CB5A"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Status epilepticus, emergency management of recurrent epileptic seizures, </w:t>
            </w:r>
            <w:r w:rsidRPr="00B5726C">
              <w:rPr>
                <w:rFonts w:cs="Times New Roman"/>
                <w:szCs w:val="24"/>
                <w:lang w:val="en-US"/>
              </w:rPr>
              <w:t>by rectum as solution</w:t>
            </w:r>
            <w:r w:rsidRPr="0024114A">
              <w:rPr>
                <w:rFonts w:cs="Times New Roman"/>
                <w:b/>
                <w:szCs w:val="24"/>
                <w:lang w:val="en-US"/>
              </w:rPr>
              <w:t>:</w:t>
            </w:r>
          </w:p>
          <w:p w14:paraId="6F972C9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500 mcg/kg, if convulsions not controlled, other measures should be instituted.</w:t>
            </w:r>
          </w:p>
          <w:p w14:paraId="159752B0" w14:textId="77777777" w:rsidR="00C345C8" w:rsidRPr="0024114A" w:rsidRDefault="00C345C8" w:rsidP="002D6DD7">
            <w:pPr>
              <w:jc w:val="both"/>
              <w:rPr>
                <w:rFonts w:cs="Times New Roman"/>
                <w:szCs w:val="24"/>
                <w:lang w:val="en-US"/>
              </w:rPr>
            </w:pPr>
            <w:r w:rsidRPr="0024114A">
              <w:rPr>
                <w:rFonts w:cs="Times New Roman"/>
                <w:b/>
                <w:bCs/>
                <w:szCs w:val="24"/>
                <w:lang w:val="en-US"/>
              </w:rPr>
              <w:t>Drug or alcohol withdrawal</w:t>
            </w:r>
            <w:r w:rsidRPr="0024114A">
              <w:rPr>
                <w:rFonts w:cs="Times New Roman"/>
                <w:b/>
                <w:szCs w:val="24"/>
                <w:lang w:val="en-US"/>
              </w:rPr>
              <w:t xml:space="preserve">, </w:t>
            </w:r>
            <w:r w:rsidRPr="00B5726C">
              <w:rPr>
                <w:rFonts w:cs="Times New Roman"/>
                <w:szCs w:val="24"/>
                <w:lang w:val="en-US"/>
              </w:rPr>
              <w:t>by slow IV injection</w:t>
            </w:r>
            <w:r w:rsidRPr="0024114A">
              <w:rPr>
                <w:rFonts w:cs="Times New Roman"/>
                <w:szCs w:val="24"/>
                <w:lang w:val="en-US"/>
              </w:rPr>
              <w:t xml:space="preserve"> (at a rate of 5 mg/min): </w:t>
            </w:r>
          </w:p>
          <w:p w14:paraId="694BE0B5"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10 mg, higher doses may be required, depending on severity of symptoms</w:t>
            </w:r>
          </w:p>
          <w:p w14:paraId="1EF8777E" w14:textId="77777777" w:rsidR="00C345C8" w:rsidRPr="0024114A" w:rsidRDefault="00C345C8" w:rsidP="002D6DD7">
            <w:pPr>
              <w:jc w:val="both"/>
              <w:rPr>
                <w:rFonts w:cs="Times New Roman"/>
                <w:szCs w:val="24"/>
                <w:lang w:val="en-US"/>
              </w:rPr>
            </w:pPr>
            <w:r w:rsidRPr="0024114A">
              <w:rPr>
                <w:rFonts w:cs="Times New Roman"/>
                <w:b/>
                <w:bCs/>
                <w:szCs w:val="24"/>
                <w:lang w:val="en-US"/>
              </w:rPr>
              <w:t>Seizures associated with poisoning</w:t>
            </w:r>
            <w:r w:rsidRPr="0024114A">
              <w:rPr>
                <w:rFonts w:cs="Times New Roman"/>
                <w:szCs w:val="24"/>
                <w:lang w:val="en-US"/>
              </w:rPr>
              <w:t>, by slow IV injection (at a rate of 5 mg/min): 10–20 mg</w:t>
            </w:r>
          </w:p>
          <w:p w14:paraId="3D0CDA4A" w14:textId="77777777" w:rsidR="00C345C8" w:rsidRPr="0024114A" w:rsidRDefault="00C345C8" w:rsidP="002D6DD7">
            <w:pPr>
              <w:jc w:val="both"/>
              <w:rPr>
                <w:rFonts w:cs="Times New Roman"/>
                <w:szCs w:val="24"/>
                <w:lang w:val="en-US"/>
              </w:rPr>
            </w:pPr>
            <w:r w:rsidRPr="0024114A">
              <w:rPr>
                <w:rFonts w:cs="Times New Roman"/>
                <w:b/>
                <w:bCs/>
                <w:szCs w:val="24"/>
                <w:lang w:val="en-US"/>
              </w:rPr>
              <w:t>Muscle spasm of varied etiology</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311F279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5–15 mg daily in divided doses, then increased if necessary to 60 mg daily, adjusted according to response, dose only increased in spastic conditions</w:t>
            </w:r>
          </w:p>
          <w:p w14:paraId="133EBC7A" w14:textId="77777777" w:rsidR="00C345C8" w:rsidRPr="00B5726C" w:rsidRDefault="00C345C8" w:rsidP="002D6DD7">
            <w:pPr>
              <w:jc w:val="both"/>
              <w:rPr>
                <w:rFonts w:cs="Times New Roman"/>
                <w:szCs w:val="24"/>
                <w:lang w:val="en-US"/>
              </w:rPr>
            </w:pPr>
            <w:r w:rsidRPr="0024114A">
              <w:rPr>
                <w:rFonts w:cs="Times New Roman"/>
                <w:b/>
                <w:bCs/>
                <w:szCs w:val="24"/>
                <w:lang w:val="en-US"/>
              </w:rPr>
              <w:t>Acute muscle spasm</w:t>
            </w:r>
            <w:r w:rsidRPr="0024114A">
              <w:rPr>
                <w:rFonts w:cs="Times New Roman"/>
                <w:szCs w:val="24"/>
                <w:lang w:val="en-US"/>
              </w:rPr>
              <w:t xml:space="preserve">, </w:t>
            </w:r>
            <w:r w:rsidRPr="00B5726C">
              <w:rPr>
                <w:rFonts w:cs="Times New Roman"/>
                <w:szCs w:val="24"/>
                <w:lang w:val="en-US"/>
              </w:rPr>
              <w:t xml:space="preserve">by IM injection, or by slow IV injection: </w:t>
            </w:r>
          </w:p>
          <w:p w14:paraId="68D14805"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10 mg, then 10 mg after 4 hours if required, IV injection to be administered into a large vein at a rate of no more than 5 mg/min</w:t>
            </w:r>
          </w:p>
          <w:p w14:paraId="3FC4CE65" w14:textId="77777777" w:rsidR="00C345C8" w:rsidRPr="0024114A" w:rsidRDefault="00C345C8" w:rsidP="002D6DD7">
            <w:pPr>
              <w:jc w:val="both"/>
              <w:rPr>
                <w:rFonts w:cs="Times New Roman"/>
                <w:szCs w:val="24"/>
                <w:lang w:val="en-US"/>
              </w:rPr>
            </w:pPr>
            <w:r w:rsidRPr="0024114A">
              <w:rPr>
                <w:rFonts w:cs="Times New Roman"/>
                <w:b/>
                <w:bCs/>
                <w:szCs w:val="24"/>
                <w:lang w:val="en-US"/>
              </w:rPr>
              <w:t>Tetanus</w:t>
            </w:r>
            <w:r w:rsidRPr="0024114A">
              <w:rPr>
                <w:rFonts w:cs="Times New Roman"/>
                <w:szCs w:val="24"/>
                <w:lang w:val="en-US"/>
              </w:rPr>
              <w:t xml:space="preserve">, </w:t>
            </w:r>
            <w:r w:rsidRPr="00B5726C">
              <w:rPr>
                <w:rFonts w:cs="Times New Roman"/>
                <w:szCs w:val="24"/>
                <w:lang w:val="en-US"/>
              </w:rPr>
              <w:t>by IV injection</w:t>
            </w:r>
            <w:r w:rsidRPr="0024114A">
              <w:rPr>
                <w:rFonts w:cs="Times New Roman"/>
                <w:szCs w:val="24"/>
                <w:lang w:val="en-US"/>
              </w:rPr>
              <w:t>:</w:t>
            </w:r>
          </w:p>
          <w:p w14:paraId="7C2EC5B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100–300 mcg/kg every 1–4 hours</w:t>
            </w:r>
          </w:p>
          <w:p w14:paraId="2963F332" w14:textId="77777777" w:rsidR="00C345C8" w:rsidRPr="0024114A" w:rsidRDefault="00C345C8" w:rsidP="002D6DD7">
            <w:pPr>
              <w:jc w:val="both"/>
              <w:rPr>
                <w:rFonts w:cs="Times New Roman"/>
                <w:szCs w:val="24"/>
                <w:lang w:val="en-US"/>
              </w:rPr>
            </w:pPr>
            <w:r w:rsidRPr="0024114A">
              <w:rPr>
                <w:rFonts w:cs="Times New Roman"/>
                <w:b/>
                <w:bCs/>
                <w:szCs w:val="24"/>
                <w:lang w:val="en-US"/>
              </w:rPr>
              <w:lastRenderedPageBreak/>
              <w:t>Anxiety</w:t>
            </w:r>
            <w:r w:rsidRPr="0024114A">
              <w:rPr>
                <w:rFonts w:cs="Times New Roman"/>
                <w:szCs w:val="24"/>
                <w:lang w:val="en-US"/>
              </w:rPr>
              <w:t xml:space="preserve">, </w:t>
            </w:r>
            <w:r w:rsidRPr="00B5726C">
              <w:rPr>
                <w:rFonts w:cs="Times New Roman"/>
                <w:szCs w:val="24"/>
                <w:lang w:val="en-US"/>
              </w:rPr>
              <w:t>oral:</w:t>
            </w:r>
          </w:p>
          <w:p w14:paraId="7A75866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 mg a day, then increased if necessary to 15–30 mg daily in divided doses</w:t>
            </w:r>
          </w:p>
          <w:p w14:paraId="09B2E575" w14:textId="77777777" w:rsidR="00C345C8" w:rsidRPr="0024114A" w:rsidRDefault="00C345C8" w:rsidP="002D6DD7">
            <w:pPr>
              <w:jc w:val="both"/>
              <w:rPr>
                <w:rFonts w:cs="Times New Roman"/>
                <w:szCs w:val="24"/>
                <w:lang w:val="en-US"/>
              </w:rPr>
            </w:pPr>
            <w:r w:rsidRPr="0024114A">
              <w:rPr>
                <w:rFonts w:cs="Times New Roman"/>
                <w:b/>
                <w:bCs/>
                <w:szCs w:val="24"/>
                <w:lang w:val="en-US"/>
              </w:rPr>
              <w:t>Insomnia associated with anxiety</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2F1975A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5–15 mg daily, to be taken at bedtime</w:t>
            </w:r>
          </w:p>
          <w:p w14:paraId="7EC41BDA" w14:textId="77777777" w:rsidR="00C345C8" w:rsidRPr="0024114A" w:rsidRDefault="00C345C8" w:rsidP="002D6DD7">
            <w:pPr>
              <w:jc w:val="both"/>
              <w:rPr>
                <w:rFonts w:cs="Times New Roman"/>
                <w:b/>
                <w:bCs/>
                <w:szCs w:val="24"/>
                <w:lang w:val="en-US"/>
              </w:rPr>
            </w:pPr>
            <w:r w:rsidRPr="0024114A">
              <w:rPr>
                <w:rFonts w:cs="Times New Roman"/>
                <w:b/>
                <w:bCs/>
                <w:szCs w:val="24"/>
                <w:lang w:val="en-US"/>
              </w:rPr>
              <w:t>Status epilepticus, emergency management of recurrent seizures</w:t>
            </w:r>
            <w:r w:rsidRPr="00B5726C">
              <w:rPr>
                <w:rFonts w:cs="Times New Roman"/>
                <w:bCs/>
                <w:szCs w:val="24"/>
                <w:lang w:val="en-US"/>
              </w:rPr>
              <w:t>, rectal</w:t>
            </w:r>
            <w:r w:rsidR="00B5726C">
              <w:rPr>
                <w:rFonts w:cs="Times New Roman"/>
                <w:bCs/>
                <w:szCs w:val="24"/>
                <w:lang w:val="en-US"/>
              </w:rPr>
              <w:t>.</w:t>
            </w:r>
          </w:p>
          <w:p w14:paraId="446D6844" w14:textId="77777777" w:rsidR="00C345C8" w:rsidRPr="0024114A" w:rsidRDefault="00C345C8" w:rsidP="002D6DD7">
            <w:pPr>
              <w:jc w:val="both"/>
              <w:rPr>
                <w:rFonts w:cs="Times New Roman"/>
                <w:szCs w:val="24"/>
                <w:lang w:val="en-US"/>
              </w:rPr>
            </w:pPr>
            <w:r w:rsidRPr="0024114A">
              <w:rPr>
                <w:rFonts w:cs="Times New Roman"/>
                <w:b/>
                <w:bCs/>
                <w:szCs w:val="24"/>
                <w:lang w:val="en-US"/>
              </w:rPr>
              <w:t>Neonate</w:t>
            </w:r>
            <w:r w:rsidRPr="0024114A">
              <w:rPr>
                <w:rFonts w:cs="Times New Roman"/>
                <w:szCs w:val="24"/>
                <w:lang w:val="en-US"/>
              </w:rPr>
              <w:t>: 1.25–2.5 mg repeated once after 10 minutes if necessary</w:t>
            </w:r>
          </w:p>
          <w:p w14:paraId="3445CC19" w14:textId="77777777" w:rsidR="00C345C8" w:rsidRPr="0024114A" w:rsidRDefault="00C345C8" w:rsidP="002D6DD7">
            <w:pPr>
              <w:jc w:val="both"/>
              <w:rPr>
                <w:rFonts w:cs="Times New Roman"/>
                <w:szCs w:val="24"/>
                <w:lang w:val="en-US"/>
              </w:rPr>
            </w:pPr>
            <w:r w:rsidRPr="0024114A">
              <w:rPr>
                <w:rFonts w:cs="Times New Roman"/>
                <w:b/>
                <w:bCs/>
                <w:szCs w:val="24"/>
                <w:lang w:val="en-US"/>
              </w:rPr>
              <w:t>Infant or child &lt;2 years</w:t>
            </w:r>
            <w:r w:rsidRPr="0024114A">
              <w:rPr>
                <w:rFonts w:cs="Times New Roman"/>
                <w:szCs w:val="24"/>
                <w:lang w:val="en-US"/>
              </w:rPr>
              <w:t>: 5 mg repeated once after 10 minutes if necessary Older than 2 years: 10 mg repeated once after 10 minutes if necessary.</w:t>
            </w:r>
          </w:p>
          <w:p w14:paraId="74B3BB49" w14:textId="77777777" w:rsidR="00C345C8" w:rsidRPr="0024114A" w:rsidRDefault="00C345C8" w:rsidP="002D6DD7">
            <w:pPr>
              <w:jc w:val="both"/>
              <w:rPr>
                <w:rFonts w:cs="Times New Roman"/>
                <w:szCs w:val="24"/>
                <w:lang w:val="en-US"/>
              </w:rPr>
            </w:pPr>
            <w:r w:rsidRPr="0024114A">
              <w:rPr>
                <w:rFonts w:cs="Times New Roman"/>
                <w:b/>
                <w:bCs/>
                <w:szCs w:val="24"/>
                <w:lang w:val="en-US"/>
              </w:rPr>
              <w:t>Tetanus</w:t>
            </w:r>
            <w:r w:rsidRPr="0024114A">
              <w:rPr>
                <w:rFonts w:cs="Times New Roman"/>
                <w:szCs w:val="24"/>
                <w:lang w:val="en-US"/>
              </w:rPr>
              <w:t>, by IV injection: 100–300 mcg/kg every 1–4 hours</w:t>
            </w:r>
          </w:p>
          <w:p w14:paraId="2E24E86A" w14:textId="77777777" w:rsidR="00C345C8" w:rsidRPr="0024114A" w:rsidRDefault="00C345C8" w:rsidP="002D6DD7">
            <w:pPr>
              <w:jc w:val="both"/>
              <w:rPr>
                <w:rFonts w:cs="Times New Roman"/>
                <w:szCs w:val="24"/>
                <w:lang w:val="en-US"/>
              </w:rPr>
            </w:pPr>
            <w:r w:rsidRPr="0024114A">
              <w:rPr>
                <w:rFonts w:cs="Times New Roman"/>
                <w:b/>
                <w:bCs/>
                <w:szCs w:val="24"/>
                <w:lang w:val="en-US"/>
              </w:rPr>
              <w:t>Muscle spasm in cerebral spasticity or in postoperative, skeletal muscle spasm,</w:t>
            </w:r>
            <w:r>
              <w:rPr>
                <w:rFonts w:cs="Times New Roman"/>
                <w:b/>
                <w:bCs/>
                <w:szCs w:val="24"/>
                <w:lang w:val="en-US"/>
              </w:rPr>
              <w:t xml:space="preserve"> </w:t>
            </w:r>
            <w:r w:rsidRPr="00B5726C">
              <w:rPr>
                <w:rFonts w:cs="Times New Roman"/>
                <w:szCs w:val="24"/>
                <w:lang w:val="en-US"/>
              </w:rPr>
              <w:t>oral:</w:t>
            </w:r>
          </w:p>
          <w:p w14:paraId="58F4FEF3" w14:textId="77777777" w:rsidR="00C345C8" w:rsidRPr="0024114A" w:rsidRDefault="00C345C8" w:rsidP="002D6DD7">
            <w:pPr>
              <w:jc w:val="both"/>
              <w:rPr>
                <w:rFonts w:cs="Times New Roman"/>
                <w:szCs w:val="24"/>
                <w:lang w:val="en-US"/>
              </w:rPr>
            </w:pPr>
            <w:r w:rsidRPr="0024114A">
              <w:rPr>
                <w:rFonts w:cs="Times New Roman"/>
                <w:b/>
                <w:bCs/>
                <w:szCs w:val="24"/>
                <w:lang w:val="en-US"/>
              </w:rPr>
              <w:t>Child 1–11 months</w:t>
            </w:r>
            <w:r w:rsidRPr="0024114A">
              <w:rPr>
                <w:rFonts w:cs="Times New Roman"/>
                <w:szCs w:val="24"/>
                <w:lang w:val="en-US"/>
              </w:rPr>
              <w:t xml:space="preserve">: Initially 250 mcg/kg twice daily </w:t>
            </w:r>
          </w:p>
          <w:p w14:paraId="49E5A551" w14:textId="77777777" w:rsidR="00C345C8" w:rsidRPr="0024114A" w:rsidRDefault="00C345C8" w:rsidP="002D6DD7">
            <w:pPr>
              <w:jc w:val="both"/>
              <w:rPr>
                <w:rFonts w:cs="Times New Roman"/>
                <w:szCs w:val="24"/>
                <w:lang w:val="en-US"/>
              </w:rPr>
            </w:pPr>
            <w:r w:rsidRPr="0024114A">
              <w:rPr>
                <w:rFonts w:cs="Times New Roman"/>
                <w:b/>
                <w:bCs/>
                <w:szCs w:val="24"/>
                <w:lang w:val="en-US"/>
              </w:rPr>
              <w:t>Child 1–4 years</w:t>
            </w:r>
            <w:r w:rsidRPr="0024114A">
              <w:rPr>
                <w:rFonts w:cs="Times New Roman"/>
                <w:szCs w:val="24"/>
                <w:lang w:val="en-US"/>
              </w:rPr>
              <w:t xml:space="preserve">: Initially 2.5 mg twice daily </w:t>
            </w:r>
          </w:p>
          <w:p w14:paraId="0A03E3A1" w14:textId="77777777" w:rsidR="00C345C8" w:rsidRPr="0024114A" w:rsidRDefault="00C345C8" w:rsidP="002D6DD7">
            <w:pPr>
              <w:jc w:val="both"/>
              <w:rPr>
                <w:rFonts w:cs="Times New Roman"/>
                <w:szCs w:val="24"/>
                <w:lang w:val="en-US"/>
              </w:rPr>
            </w:pPr>
            <w:r w:rsidRPr="0024114A">
              <w:rPr>
                <w:rFonts w:cs="Times New Roman"/>
                <w:b/>
                <w:bCs/>
                <w:szCs w:val="24"/>
                <w:lang w:val="en-US"/>
              </w:rPr>
              <w:t>Child 5–11 years</w:t>
            </w:r>
            <w:r w:rsidRPr="0024114A">
              <w:rPr>
                <w:rFonts w:cs="Times New Roman"/>
                <w:szCs w:val="24"/>
                <w:lang w:val="en-US"/>
              </w:rPr>
              <w:t xml:space="preserve">: Initially 5 mg twice daily </w:t>
            </w:r>
          </w:p>
          <w:p w14:paraId="52404ABD"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Initially 10 mg twice daily, maximum 40 mg per day.</w:t>
            </w:r>
          </w:p>
        </w:tc>
      </w:tr>
      <w:tr w:rsidR="00C345C8" w:rsidRPr="0024114A" w14:paraId="13785D3F" w14:textId="77777777" w:rsidTr="002D6DD7">
        <w:trPr>
          <w:jc w:val="center"/>
        </w:trPr>
        <w:tc>
          <w:tcPr>
            <w:tcW w:w="2695" w:type="dxa"/>
          </w:tcPr>
          <w:p w14:paraId="581D8622"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105" w:type="dxa"/>
          </w:tcPr>
          <w:p w14:paraId="7FAFB9D0"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CNS depression or coma, shock, respiratory depression, acute pulmonary insufficiency, sleep apnea, severe hepatic impairment, marked neuromuscular respiratory weakness including unstable myasthenia gravis, untreated open-angle glaucoma, infants less than 3 months</w:t>
            </w:r>
          </w:p>
        </w:tc>
      </w:tr>
      <w:tr w:rsidR="00C345C8" w:rsidRPr="0024114A" w14:paraId="19A985E7" w14:textId="77777777" w:rsidTr="002D6DD7">
        <w:trPr>
          <w:jc w:val="center"/>
        </w:trPr>
        <w:tc>
          <w:tcPr>
            <w:tcW w:w="2695" w:type="dxa"/>
          </w:tcPr>
          <w:p w14:paraId="0B9DF6F5"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4617C9E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Amitriptyline, chlorpheniramine, chlorpromazine, codeine, enalapril, furosemide, haloperidol, halothane, isoniazid, ketamine, morphine, nitrous oxide, phenytoin, rifampicin, ritonavir, spironolactone, thiopental, mifepristone, ketoconazole, cimetidine, fentanyl, erythromycin, </w:t>
            </w:r>
            <w:r w:rsidRPr="0024114A">
              <w:rPr>
                <w:rFonts w:cs="Times New Roman"/>
                <w:szCs w:val="24"/>
                <w:lang w:val="en-US"/>
              </w:rPr>
              <w:lastRenderedPageBreak/>
              <w:t>carbamazepine, metronidazole.</w:t>
            </w:r>
          </w:p>
        </w:tc>
      </w:tr>
      <w:tr w:rsidR="00C345C8" w:rsidRPr="0024114A" w14:paraId="3E387421" w14:textId="77777777" w:rsidTr="002D6DD7">
        <w:trPr>
          <w:jc w:val="center"/>
        </w:trPr>
        <w:tc>
          <w:tcPr>
            <w:tcW w:w="2695" w:type="dxa"/>
          </w:tcPr>
          <w:p w14:paraId="1782A060"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Side effects</w:t>
            </w:r>
          </w:p>
        </w:tc>
        <w:tc>
          <w:tcPr>
            <w:tcW w:w="6105" w:type="dxa"/>
          </w:tcPr>
          <w:p w14:paraId="094F31DC" w14:textId="77777777" w:rsidR="00C345C8" w:rsidRPr="0024114A" w:rsidRDefault="00C345C8" w:rsidP="002D6DD7">
            <w:pPr>
              <w:jc w:val="both"/>
              <w:rPr>
                <w:rFonts w:cs="Times New Roman"/>
                <w:szCs w:val="24"/>
                <w:lang w:val="en-US"/>
              </w:rPr>
            </w:pPr>
            <w:r w:rsidRPr="0024114A">
              <w:rPr>
                <w:rFonts w:cs="Times New Roman"/>
                <w:szCs w:val="24"/>
                <w:lang w:val="en-US"/>
              </w:rPr>
              <w:t>Drowsiness, sedation, confusion, amnesia, muscle weakness, ataxia, slurred speech, respiratory depression, hypotension, dizziness, vertigo, hallucinations, paradoxical insomnia, excitability, aggression, injection site pain, thrombophlebitis, hepatotoxicity, withdrawal syndrome, blood dyscrasias.</w:t>
            </w:r>
          </w:p>
        </w:tc>
      </w:tr>
      <w:tr w:rsidR="00C345C8" w:rsidRPr="0024114A" w14:paraId="736B6A08" w14:textId="77777777" w:rsidTr="002D6DD7">
        <w:trPr>
          <w:jc w:val="center"/>
        </w:trPr>
        <w:tc>
          <w:tcPr>
            <w:tcW w:w="2695" w:type="dxa"/>
          </w:tcPr>
          <w:p w14:paraId="16CBDA1A"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257ACF32" w14:textId="77777777" w:rsidR="00C345C8" w:rsidRPr="0024114A" w:rsidRDefault="00C345C8" w:rsidP="002D6DD7">
            <w:pPr>
              <w:jc w:val="both"/>
              <w:rPr>
                <w:rFonts w:cs="Times New Roman"/>
                <w:szCs w:val="24"/>
                <w:lang w:val="en-US"/>
              </w:rPr>
            </w:pPr>
            <w:r w:rsidRPr="0024114A">
              <w:rPr>
                <w:rFonts w:cs="Times New Roman"/>
                <w:szCs w:val="24"/>
                <w:lang w:val="en-US"/>
              </w:rPr>
              <w:t>Respiratory disease, muscle weakness, myasthenia gravis, marked personality disorder, hepatic impairment, renal impairment, porphyria, neonates, infants.</w:t>
            </w:r>
          </w:p>
        </w:tc>
      </w:tr>
      <w:tr w:rsidR="00C345C8" w:rsidRPr="0024114A" w14:paraId="0E8EA139" w14:textId="77777777" w:rsidTr="002D6DD7">
        <w:trPr>
          <w:jc w:val="center"/>
        </w:trPr>
        <w:tc>
          <w:tcPr>
            <w:tcW w:w="2695" w:type="dxa"/>
          </w:tcPr>
          <w:p w14:paraId="7ACFAFEF"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0C9D6DE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0</w:t>
            </w:r>
            <w:r w:rsidRPr="0024114A">
              <w:rPr>
                <w:rFonts w:cs="Times New Roman"/>
                <w:szCs w:val="24"/>
                <w:lang w:val="en-US"/>
              </w:rPr>
              <w:t>C.</w:t>
            </w:r>
          </w:p>
        </w:tc>
      </w:tr>
      <w:tr w:rsidR="00C345C8" w:rsidRPr="0024114A" w14:paraId="72CA6C64" w14:textId="77777777" w:rsidTr="002D6DD7">
        <w:trPr>
          <w:jc w:val="center"/>
        </w:trPr>
        <w:tc>
          <w:tcPr>
            <w:tcW w:w="8800" w:type="dxa"/>
            <w:gridSpan w:val="2"/>
          </w:tcPr>
          <w:p w14:paraId="10CBBAD0" w14:textId="77777777" w:rsidR="00C345C8" w:rsidRPr="0024114A" w:rsidRDefault="00C345C8" w:rsidP="002D6DD7">
            <w:pPr>
              <w:jc w:val="both"/>
              <w:rPr>
                <w:rFonts w:cs="Times New Roman"/>
                <w:szCs w:val="24"/>
                <w:lang w:val="en-US"/>
              </w:rPr>
            </w:pPr>
            <w:r w:rsidRPr="0024114A">
              <w:rPr>
                <w:rFonts w:cs="Times New Roman"/>
                <w:b/>
                <w:bCs/>
                <w:szCs w:val="24"/>
                <w:lang w:val="en-US"/>
              </w:rPr>
              <w:t>Fluoxetine hydrochloride</w:t>
            </w:r>
          </w:p>
        </w:tc>
      </w:tr>
      <w:tr w:rsidR="00C345C8" w:rsidRPr="0024114A" w14:paraId="1333D43A" w14:textId="77777777" w:rsidTr="002D6DD7">
        <w:trPr>
          <w:jc w:val="center"/>
        </w:trPr>
        <w:tc>
          <w:tcPr>
            <w:tcW w:w="2695" w:type="dxa"/>
          </w:tcPr>
          <w:p w14:paraId="5AAD2652"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3FA40A81" w14:textId="77777777" w:rsidR="00C345C8" w:rsidRPr="0024114A" w:rsidRDefault="00C345C8" w:rsidP="002D6DD7">
            <w:pPr>
              <w:jc w:val="both"/>
              <w:rPr>
                <w:rFonts w:cs="Times New Roman"/>
                <w:szCs w:val="24"/>
                <w:lang w:val="en-US"/>
              </w:rPr>
            </w:pPr>
            <w:r w:rsidRPr="0024114A">
              <w:rPr>
                <w:rFonts w:cs="Times New Roman"/>
                <w:szCs w:val="24"/>
                <w:lang w:val="en-US"/>
              </w:rPr>
              <w:t>Selective serotonin re-uptake inhibitor</w:t>
            </w:r>
          </w:p>
        </w:tc>
      </w:tr>
      <w:tr w:rsidR="00C345C8" w:rsidRPr="0024114A" w14:paraId="409BA8A5" w14:textId="77777777" w:rsidTr="002D6DD7">
        <w:trPr>
          <w:jc w:val="center"/>
        </w:trPr>
        <w:tc>
          <w:tcPr>
            <w:tcW w:w="2695" w:type="dxa"/>
          </w:tcPr>
          <w:p w14:paraId="466174FC"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23D1BF11" w14:textId="77777777" w:rsidR="00C345C8" w:rsidRPr="0024114A" w:rsidRDefault="00C345C8" w:rsidP="002D6DD7">
            <w:pPr>
              <w:jc w:val="both"/>
              <w:rPr>
                <w:rFonts w:cs="Times New Roman"/>
                <w:szCs w:val="24"/>
                <w:lang w:val="en-US"/>
              </w:rPr>
            </w:pPr>
            <w:r w:rsidRPr="0024114A">
              <w:rPr>
                <w:rFonts w:cs="Times New Roman"/>
                <w:szCs w:val="24"/>
                <w:lang w:val="en-US"/>
              </w:rPr>
              <w:t>Tablet: 20 mg</w:t>
            </w:r>
          </w:p>
        </w:tc>
      </w:tr>
      <w:tr w:rsidR="00C345C8" w:rsidRPr="0024114A" w14:paraId="1BC7F116" w14:textId="77777777" w:rsidTr="002D6DD7">
        <w:trPr>
          <w:jc w:val="center"/>
        </w:trPr>
        <w:tc>
          <w:tcPr>
            <w:tcW w:w="2695" w:type="dxa"/>
          </w:tcPr>
          <w:p w14:paraId="2EA1A7FF"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105" w:type="dxa"/>
          </w:tcPr>
          <w:p w14:paraId="0AB6A440" w14:textId="77777777" w:rsidR="00C345C8" w:rsidRPr="0024114A" w:rsidRDefault="00C345C8" w:rsidP="002D6DD7">
            <w:pPr>
              <w:jc w:val="both"/>
              <w:rPr>
                <w:rFonts w:cs="Times New Roman"/>
                <w:szCs w:val="24"/>
                <w:lang w:val="en-US"/>
              </w:rPr>
            </w:pPr>
            <w:r w:rsidRPr="0024114A">
              <w:rPr>
                <w:rFonts w:cs="Times New Roman"/>
                <w:szCs w:val="24"/>
                <w:lang w:val="en-US"/>
              </w:rPr>
              <w:t>Major depression, generalized anxiety disorder, bulimia nervosa, obsessive-compulsive disorder</w:t>
            </w:r>
          </w:p>
        </w:tc>
      </w:tr>
      <w:tr w:rsidR="00C345C8" w:rsidRPr="0024114A" w14:paraId="7EB07AAB" w14:textId="77777777" w:rsidTr="002D6DD7">
        <w:trPr>
          <w:jc w:val="center"/>
        </w:trPr>
        <w:tc>
          <w:tcPr>
            <w:tcW w:w="2695" w:type="dxa"/>
          </w:tcPr>
          <w:p w14:paraId="6078978E"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0D5B1621" w14:textId="77777777" w:rsidR="00C345C8" w:rsidRPr="0024114A" w:rsidRDefault="00C345C8" w:rsidP="002D6DD7">
            <w:pPr>
              <w:jc w:val="both"/>
              <w:rPr>
                <w:rFonts w:cs="Times New Roman"/>
                <w:szCs w:val="24"/>
                <w:lang w:val="en-US"/>
              </w:rPr>
            </w:pPr>
            <w:r w:rsidRPr="0024114A">
              <w:rPr>
                <w:rFonts w:cs="Times New Roman"/>
                <w:b/>
                <w:bCs/>
                <w:szCs w:val="24"/>
                <w:lang w:val="en-US"/>
              </w:rPr>
              <w:t>Major depression,</w:t>
            </w:r>
            <w:r>
              <w:rPr>
                <w:rFonts w:cs="Times New Roman"/>
                <w:b/>
                <w:bCs/>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7A6CA6E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 xml:space="preserve">Initially 20 mg once daily, increased as necessary after 3 weeks to a maximum of 80 mg daily, usual maintenance dose range, 20–60 mg once daily. </w:t>
            </w:r>
          </w:p>
          <w:p w14:paraId="354C17F4" w14:textId="77777777" w:rsidR="00C345C8" w:rsidRPr="0024114A" w:rsidRDefault="00C345C8" w:rsidP="002D6DD7">
            <w:pPr>
              <w:jc w:val="both"/>
              <w:rPr>
                <w:rFonts w:cs="Times New Roman"/>
                <w:szCs w:val="24"/>
              </w:rPr>
            </w:pPr>
            <w:r w:rsidRPr="0024114A">
              <w:rPr>
                <w:rFonts w:cs="Times New Roman"/>
                <w:b/>
                <w:bCs/>
                <w:szCs w:val="24"/>
              </w:rPr>
              <w:t>Elderly</w:t>
            </w:r>
            <w:r w:rsidRPr="0024114A">
              <w:rPr>
                <w:rFonts w:cs="Times New Roman"/>
                <w:szCs w:val="24"/>
              </w:rPr>
              <w:t>: Initially 20 mg once daily, increased as necessary after 3 weeks to a maximum of 60 mg daily, maintenance dose range, 20–40 mg once daily.</w:t>
            </w:r>
          </w:p>
          <w:p w14:paraId="433FC747" w14:textId="77777777" w:rsidR="00C345C8" w:rsidRPr="0024114A" w:rsidRDefault="00C345C8" w:rsidP="002D6DD7">
            <w:pPr>
              <w:jc w:val="both"/>
              <w:rPr>
                <w:rFonts w:cs="Times New Roman"/>
                <w:b/>
                <w:szCs w:val="24"/>
              </w:rPr>
            </w:pPr>
            <w:r w:rsidRPr="0024114A">
              <w:rPr>
                <w:rFonts w:cs="Times New Roman"/>
                <w:b/>
                <w:szCs w:val="24"/>
              </w:rPr>
              <w:t xml:space="preserve">Generalized anxiety disorder, </w:t>
            </w:r>
            <w:r w:rsidRPr="00B5726C">
              <w:rPr>
                <w:rFonts w:cs="Times New Roman"/>
                <w:szCs w:val="24"/>
              </w:rPr>
              <w:t>oral</w:t>
            </w:r>
            <w:r w:rsidRPr="0024114A">
              <w:rPr>
                <w:rFonts w:cs="Times New Roman"/>
                <w:b/>
                <w:szCs w:val="24"/>
              </w:rPr>
              <w:t xml:space="preserve">: </w:t>
            </w:r>
          </w:p>
          <w:p w14:paraId="00CCCE41" w14:textId="77777777" w:rsidR="00C345C8" w:rsidRPr="0024114A" w:rsidRDefault="00C345C8" w:rsidP="002D6DD7">
            <w:pPr>
              <w:jc w:val="both"/>
              <w:rPr>
                <w:rFonts w:cs="Times New Roman"/>
                <w:b/>
                <w:szCs w:val="24"/>
              </w:rPr>
            </w:pPr>
            <w:r w:rsidRPr="0024114A">
              <w:rPr>
                <w:rFonts w:cs="Times New Roman"/>
                <w:b/>
                <w:bCs/>
                <w:szCs w:val="24"/>
                <w:lang w:val="en-US"/>
              </w:rPr>
              <w:t xml:space="preserve">Adult: </w:t>
            </w:r>
            <w:r w:rsidRPr="0024114A">
              <w:rPr>
                <w:rFonts w:cs="Times New Roman"/>
                <w:szCs w:val="24"/>
              </w:rPr>
              <w:t xml:space="preserve">10-20mg once daily; gradually increase dose based on response and tolerability in 10-20 mg increments at intervals of ≥ 1 week up to 60 mg/day. </w:t>
            </w:r>
          </w:p>
          <w:p w14:paraId="4C1156D3" w14:textId="77777777" w:rsidR="00C345C8" w:rsidRPr="0024114A" w:rsidRDefault="00C345C8" w:rsidP="002D6DD7">
            <w:pPr>
              <w:jc w:val="both"/>
              <w:rPr>
                <w:rFonts w:cs="Times New Roman"/>
                <w:szCs w:val="24"/>
                <w:lang w:val="en-US"/>
              </w:rPr>
            </w:pPr>
            <w:r w:rsidRPr="0024114A">
              <w:rPr>
                <w:rFonts w:cs="Times New Roman"/>
                <w:b/>
                <w:bCs/>
                <w:szCs w:val="24"/>
                <w:lang w:val="en-US"/>
              </w:rPr>
              <w:t>Major Depression</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503CB3DF" w14:textId="77777777" w:rsidR="00C345C8" w:rsidRPr="0024114A" w:rsidRDefault="00C345C8" w:rsidP="002D6DD7">
            <w:pPr>
              <w:jc w:val="both"/>
              <w:rPr>
                <w:rFonts w:cs="Times New Roman"/>
                <w:b/>
                <w:szCs w:val="24"/>
              </w:rPr>
            </w:pPr>
            <w:r w:rsidRPr="0024114A">
              <w:rPr>
                <w:rFonts w:cs="Times New Roman"/>
                <w:b/>
                <w:bCs/>
                <w:szCs w:val="24"/>
                <w:lang w:val="en-US"/>
              </w:rPr>
              <w:t>Child 8–12 years:</w:t>
            </w:r>
            <w:r w:rsidRPr="0024114A">
              <w:rPr>
                <w:rFonts w:cs="Times New Roman"/>
                <w:szCs w:val="24"/>
                <w:lang w:val="en-US"/>
              </w:rPr>
              <w:t xml:space="preserve"> 10 mg once daily increased after 1–2 weeks if necessary to a maximum of 20 mg once daily</w:t>
            </w:r>
          </w:p>
          <w:p w14:paraId="43CD4170" w14:textId="77777777" w:rsidR="00C345C8" w:rsidRPr="0024114A" w:rsidRDefault="00C345C8" w:rsidP="002D6DD7">
            <w:pPr>
              <w:jc w:val="both"/>
              <w:rPr>
                <w:rFonts w:cs="Times New Roman"/>
                <w:b/>
                <w:szCs w:val="24"/>
              </w:rPr>
            </w:pPr>
            <w:r w:rsidRPr="0024114A">
              <w:rPr>
                <w:rFonts w:cs="Times New Roman"/>
                <w:b/>
                <w:szCs w:val="24"/>
              </w:rPr>
              <w:t>Anxiety disorder</w:t>
            </w:r>
            <w:r w:rsidRPr="0024114A">
              <w:rPr>
                <w:rFonts w:cs="Times New Roman"/>
                <w:szCs w:val="24"/>
              </w:rPr>
              <w:t xml:space="preserve">, </w:t>
            </w:r>
            <w:r w:rsidRPr="00B5726C">
              <w:rPr>
                <w:rFonts w:cs="Times New Roman"/>
                <w:szCs w:val="24"/>
              </w:rPr>
              <w:t>oral:</w:t>
            </w:r>
          </w:p>
          <w:p w14:paraId="34542DD8" w14:textId="77777777" w:rsidR="00C345C8" w:rsidRPr="0024114A" w:rsidRDefault="00C345C8" w:rsidP="002D6DD7">
            <w:pPr>
              <w:jc w:val="both"/>
              <w:rPr>
                <w:rFonts w:cs="Times New Roman"/>
                <w:szCs w:val="24"/>
              </w:rPr>
            </w:pPr>
            <w:r w:rsidRPr="0024114A">
              <w:rPr>
                <w:rFonts w:cs="Times New Roman"/>
                <w:b/>
                <w:szCs w:val="24"/>
              </w:rPr>
              <w:t xml:space="preserve">Child 6-12 years: </w:t>
            </w:r>
            <w:r w:rsidRPr="0024114A">
              <w:rPr>
                <w:rFonts w:cs="Times New Roman"/>
                <w:szCs w:val="24"/>
              </w:rPr>
              <w:t xml:space="preserve">5 mg once daily, slowly titrate to 10-20 </w:t>
            </w:r>
            <w:r w:rsidRPr="0024114A">
              <w:rPr>
                <w:rFonts w:cs="Times New Roman"/>
                <w:szCs w:val="24"/>
              </w:rPr>
              <w:lastRenderedPageBreak/>
              <w:t>mg once daily up to 40 mg/day.</w:t>
            </w:r>
          </w:p>
          <w:p w14:paraId="1C6F8E3D" w14:textId="77777777" w:rsidR="00C345C8" w:rsidRPr="0024114A" w:rsidRDefault="00C345C8" w:rsidP="002D6DD7">
            <w:pPr>
              <w:jc w:val="both"/>
              <w:rPr>
                <w:rFonts w:cs="Times New Roman"/>
                <w:szCs w:val="24"/>
              </w:rPr>
            </w:pPr>
            <w:r w:rsidRPr="0024114A">
              <w:rPr>
                <w:rFonts w:cs="Times New Roman"/>
                <w:b/>
                <w:szCs w:val="24"/>
              </w:rPr>
              <w:t xml:space="preserve">Child ≥ 12 years: </w:t>
            </w:r>
            <w:r w:rsidRPr="0024114A">
              <w:rPr>
                <w:rFonts w:cs="Times New Roman"/>
                <w:szCs w:val="24"/>
              </w:rPr>
              <w:t>initial 10mg daily. Titrate upto 20-40mg/day (max. dose 60 mg/day).</w:t>
            </w:r>
          </w:p>
        </w:tc>
      </w:tr>
      <w:tr w:rsidR="00C345C8" w:rsidRPr="0024114A" w14:paraId="647E3B10" w14:textId="77777777" w:rsidTr="002D6DD7">
        <w:trPr>
          <w:jc w:val="center"/>
        </w:trPr>
        <w:tc>
          <w:tcPr>
            <w:tcW w:w="2695" w:type="dxa"/>
          </w:tcPr>
          <w:p w14:paraId="535F0162"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lastRenderedPageBreak/>
              <w:t>Contraindications</w:t>
            </w:r>
          </w:p>
        </w:tc>
        <w:tc>
          <w:tcPr>
            <w:tcW w:w="6105" w:type="dxa"/>
          </w:tcPr>
          <w:p w14:paraId="7EC4F1D4" w14:textId="77777777" w:rsidR="00C345C8" w:rsidRPr="0024114A" w:rsidRDefault="00C345C8" w:rsidP="002D6DD7">
            <w:pPr>
              <w:jc w:val="both"/>
              <w:rPr>
                <w:rFonts w:cs="Times New Roman"/>
                <w:szCs w:val="24"/>
                <w:highlight w:val="yellow"/>
                <w:lang w:val="en-US"/>
              </w:rPr>
            </w:pPr>
            <w:r w:rsidRPr="0024114A">
              <w:rPr>
                <w:rFonts w:cs="Times New Roman"/>
                <w:color w:val="040C28"/>
                <w:szCs w:val="24"/>
              </w:rPr>
              <w:t>Hpersensitivity to the drug</w:t>
            </w:r>
          </w:p>
        </w:tc>
      </w:tr>
      <w:tr w:rsidR="00C345C8" w:rsidRPr="0024114A" w14:paraId="42789BD2" w14:textId="77777777" w:rsidTr="002D6DD7">
        <w:trPr>
          <w:jc w:val="center"/>
        </w:trPr>
        <w:tc>
          <w:tcPr>
            <w:tcW w:w="2695" w:type="dxa"/>
          </w:tcPr>
          <w:p w14:paraId="59ACC820"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5486625E" w14:textId="77777777" w:rsidR="00C345C8" w:rsidRPr="0024114A" w:rsidRDefault="00C345C8" w:rsidP="002D6DD7">
            <w:pPr>
              <w:jc w:val="both"/>
              <w:rPr>
                <w:rFonts w:cs="Times New Roman"/>
                <w:szCs w:val="24"/>
                <w:lang w:val="en-US"/>
              </w:rPr>
            </w:pPr>
            <w:r w:rsidRPr="0024114A">
              <w:rPr>
                <w:rFonts w:cs="Times New Roman"/>
                <w:szCs w:val="24"/>
                <w:lang w:val="en-US"/>
              </w:rPr>
              <w:t>MAOIs, thioridazine, TCAs, meperidine, fentanyl, metoclopramide, propranolol, quinidine</w:t>
            </w:r>
          </w:p>
        </w:tc>
      </w:tr>
      <w:tr w:rsidR="00C345C8" w:rsidRPr="0024114A" w14:paraId="76CF25CC" w14:textId="77777777" w:rsidTr="002D6DD7">
        <w:trPr>
          <w:jc w:val="center"/>
        </w:trPr>
        <w:tc>
          <w:tcPr>
            <w:tcW w:w="2695" w:type="dxa"/>
          </w:tcPr>
          <w:p w14:paraId="27FEA1CE"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6E921F7E" w14:textId="77777777" w:rsidR="00C345C8" w:rsidRPr="0024114A" w:rsidRDefault="00C345C8" w:rsidP="002D6DD7">
            <w:pPr>
              <w:jc w:val="both"/>
              <w:rPr>
                <w:rFonts w:cs="Times New Roman"/>
                <w:szCs w:val="24"/>
                <w:lang w:val="en-US"/>
              </w:rPr>
            </w:pPr>
            <w:r w:rsidRPr="0024114A">
              <w:rPr>
                <w:rFonts w:cs="Times New Roman"/>
                <w:szCs w:val="24"/>
                <w:lang w:val="en-US"/>
              </w:rPr>
              <w:t>Nausea, agitation, insomnia, drowsiness, tremor, dry</w:t>
            </w:r>
            <w:r w:rsidR="00B5726C">
              <w:rPr>
                <w:rFonts w:cs="Times New Roman"/>
                <w:szCs w:val="24"/>
                <w:lang w:val="en-US"/>
              </w:rPr>
              <w:t xml:space="preserve"> mouth</w:t>
            </w:r>
            <w:r w:rsidRPr="0024114A">
              <w:rPr>
                <w:rFonts w:cs="Times New Roman"/>
                <w:szCs w:val="24"/>
                <w:lang w:val="en-US"/>
              </w:rPr>
              <w:t>, diarrhea, dizziness, headache, sweating, weakness, anxiety, weight gain or loss, sexual dysfunction, rhinitis, myalgia, rash, chills, euphoria, yawning, extrapyramidal reactions, sedation, confusion, palpitations, tachycardia, hypotension, hyponatremia, , alopecia, changes in blood sugar, serotonin syndrome, hepatic failure, galactorrhea, blood dyscrasias, seizures, akathisia, paraesthesia, taste disturbance, toxic epidermal necrolysis and neuroleptic malignant syndrome.</w:t>
            </w:r>
          </w:p>
        </w:tc>
      </w:tr>
      <w:tr w:rsidR="00C345C8" w:rsidRPr="0024114A" w14:paraId="30016A5E" w14:textId="77777777" w:rsidTr="002D6DD7">
        <w:trPr>
          <w:jc w:val="center"/>
        </w:trPr>
        <w:tc>
          <w:tcPr>
            <w:tcW w:w="2695" w:type="dxa"/>
          </w:tcPr>
          <w:p w14:paraId="03E9FB3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425773C7" w14:textId="77777777" w:rsidR="00C345C8" w:rsidRPr="0024114A" w:rsidRDefault="00C345C8" w:rsidP="002D6DD7">
            <w:pPr>
              <w:jc w:val="both"/>
              <w:rPr>
                <w:rFonts w:cs="Times New Roman"/>
                <w:szCs w:val="24"/>
                <w:lang w:val="en-US"/>
              </w:rPr>
            </w:pPr>
            <w:r w:rsidRPr="0024114A">
              <w:rPr>
                <w:rFonts w:cs="Times New Roman"/>
                <w:szCs w:val="24"/>
                <w:lang w:val="en-US"/>
              </w:rPr>
              <w:t>Epilepsy, cardiac disease, bleeding disorders, diabetes mellitus, closed-angle glaucoma, history of mania, concurrent electroconvulsive therapy, hepatic impairment, abrupt withdrawal, suicidal atempt, QT prolongation, pregnancy, breastfeeding</w:t>
            </w:r>
          </w:p>
        </w:tc>
      </w:tr>
      <w:tr w:rsidR="00C345C8" w:rsidRPr="0024114A" w14:paraId="634C638A" w14:textId="77777777" w:rsidTr="002D6DD7">
        <w:trPr>
          <w:jc w:val="center"/>
        </w:trPr>
        <w:tc>
          <w:tcPr>
            <w:tcW w:w="2695" w:type="dxa"/>
          </w:tcPr>
          <w:p w14:paraId="415A6028"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4327A75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2B9FEF6E" w14:textId="77777777" w:rsidTr="002D6DD7">
        <w:trPr>
          <w:jc w:val="center"/>
        </w:trPr>
        <w:tc>
          <w:tcPr>
            <w:tcW w:w="8800" w:type="dxa"/>
            <w:gridSpan w:val="2"/>
          </w:tcPr>
          <w:p w14:paraId="04938D49" w14:textId="77777777" w:rsidR="00C345C8" w:rsidRPr="0024114A" w:rsidRDefault="00C345C8" w:rsidP="002D6DD7">
            <w:pPr>
              <w:jc w:val="both"/>
              <w:rPr>
                <w:rFonts w:cs="Times New Roman"/>
                <w:szCs w:val="24"/>
                <w:lang w:val="en-US"/>
              </w:rPr>
            </w:pPr>
            <w:r w:rsidRPr="0024114A">
              <w:rPr>
                <w:rFonts w:cs="Times New Roman"/>
                <w:b/>
                <w:bCs/>
                <w:color w:val="000000" w:themeColor="text1"/>
                <w:szCs w:val="24"/>
                <w:lang w:val="en-US"/>
              </w:rPr>
              <w:t>Gabapentin</w:t>
            </w:r>
          </w:p>
        </w:tc>
      </w:tr>
      <w:tr w:rsidR="00C345C8" w:rsidRPr="0024114A" w14:paraId="5A75D676" w14:textId="77777777" w:rsidTr="002D6DD7">
        <w:trPr>
          <w:jc w:val="center"/>
        </w:trPr>
        <w:tc>
          <w:tcPr>
            <w:tcW w:w="2695" w:type="dxa"/>
          </w:tcPr>
          <w:p w14:paraId="31B1147F"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716C153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Anticonvulsant </w:t>
            </w:r>
          </w:p>
        </w:tc>
      </w:tr>
      <w:tr w:rsidR="00C345C8" w:rsidRPr="0024114A" w14:paraId="78F74713" w14:textId="77777777" w:rsidTr="002D6DD7">
        <w:trPr>
          <w:jc w:val="center"/>
        </w:trPr>
        <w:tc>
          <w:tcPr>
            <w:tcW w:w="2695" w:type="dxa"/>
          </w:tcPr>
          <w:p w14:paraId="75B148CD"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2D42DBC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Tablet: 150 mg, 300 mg  </w:t>
            </w:r>
          </w:p>
        </w:tc>
      </w:tr>
      <w:tr w:rsidR="00C345C8" w:rsidRPr="0024114A" w14:paraId="783B0818" w14:textId="77777777" w:rsidTr="002D6DD7">
        <w:trPr>
          <w:jc w:val="center"/>
        </w:trPr>
        <w:tc>
          <w:tcPr>
            <w:tcW w:w="2695" w:type="dxa"/>
          </w:tcPr>
          <w:p w14:paraId="416E8A8E" w14:textId="77777777" w:rsidR="00C345C8" w:rsidRPr="00B5726C" w:rsidRDefault="00C345C8" w:rsidP="002D6DD7">
            <w:pPr>
              <w:jc w:val="both"/>
              <w:rPr>
                <w:rFonts w:cs="Times New Roman"/>
                <w:szCs w:val="24"/>
                <w:lang w:val="en-US"/>
              </w:rPr>
            </w:pPr>
            <w:r w:rsidRPr="00B5726C">
              <w:rPr>
                <w:rFonts w:cs="Times New Roman"/>
                <w:szCs w:val="24"/>
                <w:lang w:val="en-US"/>
              </w:rPr>
              <w:t>Indications</w:t>
            </w:r>
          </w:p>
        </w:tc>
        <w:tc>
          <w:tcPr>
            <w:tcW w:w="6105" w:type="dxa"/>
          </w:tcPr>
          <w:p w14:paraId="48C63DBB" w14:textId="77777777" w:rsidR="00C345C8" w:rsidRPr="0024114A" w:rsidRDefault="00C345C8" w:rsidP="002D6DD7">
            <w:pPr>
              <w:jc w:val="both"/>
              <w:rPr>
                <w:rFonts w:cs="Times New Roman"/>
                <w:szCs w:val="24"/>
                <w:lang w:val="en-US"/>
              </w:rPr>
            </w:pPr>
            <w:r w:rsidRPr="0024114A">
              <w:rPr>
                <w:rFonts w:cs="Times New Roman"/>
                <w:szCs w:val="24"/>
                <w:lang w:val="en-US"/>
              </w:rPr>
              <w:t>Focal seizures with or without secondary generalization, peripheral neuropathic pain, painful diabetic neuropathy and post-herpetic neuralgia, menopausal symptoms, particularly hot flushes, oscillopsia in multiple sclerosis, spasticity in multiple sclerosis</w:t>
            </w:r>
          </w:p>
        </w:tc>
      </w:tr>
      <w:tr w:rsidR="00C345C8" w:rsidRPr="0024114A" w14:paraId="2EFC8EF7" w14:textId="77777777" w:rsidTr="002D6DD7">
        <w:trPr>
          <w:jc w:val="center"/>
        </w:trPr>
        <w:tc>
          <w:tcPr>
            <w:tcW w:w="2695" w:type="dxa"/>
          </w:tcPr>
          <w:p w14:paraId="0BB286C5"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5AE8E564" w14:textId="77777777" w:rsidR="00C345C8" w:rsidRPr="0024114A" w:rsidRDefault="00C345C8" w:rsidP="002D6DD7">
            <w:pPr>
              <w:jc w:val="both"/>
              <w:rPr>
                <w:rFonts w:cs="Times New Roman"/>
                <w:szCs w:val="24"/>
                <w:lang w:val="en-US"/>
              </w:rPr>
            </w:pPr>
            <w:r w:rsidRPr="0024114A">
              <w:rPr>
                <w:rFonts w:cs="Times New Roman"/>
                <w:b/>
                <w:bCs/>
                <w:szCs w:val="24"/>
                <w:lang w:val="en-US"/>
              </w:rPr>
              <w:t>Adjunctive treatment of focal seizures with or without secondary generalization</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w:t>
            </w:r>
          </w:p>
          <w:p w14:paraId="33B52584" w14:textId="77777777" w:rsidR="00C345C8" w:rsidRPr="0024114A" w:rsidRDefault="00C345C8" w:rsidP="002D6DD7">
            <w:pPr>
              <w:jc w:val="both"/>
              <w:rPr>
                <w:rFonts w:cs="Times New Roman"/>
                <w:b/>
                <w:bCs/>
                <w:szCs w:val="24"/>
                <w:lang w:val="en-US"/>
              </w:rPr>
            </w:pPr>
            <w:r w:rsidRPr="0024114A">
              <w:rPr>
                <w:rFonts w:cs="Times New Roman"/>
                <w:b/>
                <w:bCs/>
                <w:szCs w:val="24"/>
                <w:lang w:val="en-US"/>
              </w:rPr>
              <w:lastRenderedPageBreak/>
              <w:t>Adult:</w:t>
            </w:r>
            <w:r w:rsidRPr="0024114A">
              <w:rPr>
                <w:rFonts w:cs="Times New Roman"/>
                <w:szCs w:val="24"/>
                <w:lang w:val="en-US"/>
              </w:rPr>
              <w:t xml:space="preserve"> Initially 300 mg once daily on day 1, then 300 mg twice daily on day 2, then 300 mg 3 times a day on day 3; alternatively, initially 300 mg 3 times a day on day 1, then increased in steps of 300 mg every 2–3 days in 3 divided doses, adjusted according to response; usual dose 0.9–3.6 g daily in 3 divided doses (max. per dose 1.6 g 3 times a day)</w:t>
            </w:r>
          </w:p>
          <w:p w14:paraId="476CF9EA" w14:textId="77777777" w:rsidR="00C345C8" w:rsidRPr="0024114A" w:rsidRDefault="00C345C8" w:rsidP="002D6DD7">
            <w:pPr>
              <w:jc w:val="both"/>
              <w:rPr>
                <w:rFonts w:cs="Times New Roman"/>
                <w:szCs w:val="24"/>
                <w:lang w:val="en-US"/>
              </w:rPr>
            </w:pPr>
            <w:r w:rsidRPr="0024114A">
              <w:rPr>
                <w:rFonts w:cs="Times New Roman"/>
                <w:b/>
                <w:bCs/>
                <w:szCs w:val="24"/>
                <w:lang w:val="en-US"/>
              </w:rPr>
              <w:t>Monotherapy for focal seizures with or without secondary generalization</w:t>
            </w:r>
            <w:r w:rsidRPr="0024114A">
              <w:rPr>
                <w:rFonts w:cs="Times New Roman"/>
                <w:szCs w:val="24"/>
                <w:lang w:val="en-US"/>
              </w:rPr>
              <w:t xml:space="preserve">, </w:t>
            </w:r>
            <w:r w:rsidRPr="00B5726C">
              <w:rPr>
                <w:rFonts w:cs="Times New Roman"/>
                <w:szCs w:val="24"/>
                <w:lang w:val="en-US"/>
              </w:rPr>
              <w:t>oral:</w:t>
            </w:r>
          </w:p>
          <w:p w14:paraId="3ABC725B"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300 mg once daily on day 1, then 300 mg twice daily on day 2, then 300 mg 3 times a day on day 3, alternatively initially 300 mg 3 times a day on day 1, then increased in steps of 300 mg every 2–3 days in 3 divided doses, adjusted according to response, usual dose 0.9–3.6 g daily in 3 divided doses (max. per dose 1.6 g 3 times a day)</w:t>
            </w:r>
          </w:p>
          <w:p w14:paraId="6A7BD98F" w14:textId="77777777" w:rsidR="00C345C8" w:rsidRPr="0024114A" w:rsidRDefault="00C345C8" w:rsidP="002D6DD7">
            <w:pPr>
              <w:jc w:val="both"/>
              <w:rPr>
                <w:rFonts w:cs="Times New Roman"/>
                <w:szCs w:val="24"/>
                <w:lang w:val="en-US"/>
              </w:rPr>
            </w:pPr>
            <w:r w:rsidRPr="0024114A">
              <w:rPr>
                <w:rFonts w:cs="Times New Roman"/>
                <w:b/>
                <w:bCs/>
                <w:szCs w:val="24"/>
                <w:lang w:val="en-US"/>
              </w:rPr>
              <w:t>Peripheral neuropathic pain</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w:t>
            </w:r>
          </w:p>
          <w:p w14:paraId="2C562E40"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300 mg once daily on day 1, then 300 mg twice daily on day 2, then 300 mg 3 times a day on day 3, alternatively initially 300 mg 3 times a day on day 1, then increased in steps of 300 mg every 2–3 days in 3 divided doses, adjusted according to response, maximum 3.6 g per day continued</w:t>
            </w:r>
          </w:p>
          <w:p w14:paraId="013904ED" w14:textId="77777777" w:rsidR="00C345C8" w:rsidRPr="0024114A" w:rsidRDefault="00C345C8" w:rsidP="002D6DD7">
            <w:pPr>
              <w:jc w:val="both"/>
              <w:rPr>
                <w:rFonts w:cs="Times New Roman"/>
                <w:szCs w:val="24"/>
                <w:lang w:val="en-US"/>
              </w:rPr>
            </w:pPr>
            <w:r w:rsidRPr="0024114A">
              <w:rPr>
                <w:rFonts w:cs="Times New Roman"/>
                <w:b/>
                <w:bCs/>
                <w:szCs w:val="24"/>
                <w:lang w:val="en-US"/>
              </w:rPr>
              <w:t>Menopausal symptoms, particularly hot flushes</w:t>
            </w:r>
            <w:r w:rsidRPr="0024114A">
              <w:rPr>
                <w:rFonts w:cs="Times New Roman"/>
                <w:szCs w:val="24"/>
                <w:lang w:val="en-US"/>
              </w:rPr>
              <w:t xml:space="preserve">, </w:t>
            </w:r>
            <w:r w:rsidRPr="0024114A">
              <w:rPr>
                <w:rFonts w:cs="Times New Roman"/>
                <w:b/>
                <w:szCs w:val="24"/>
                <w:lang w:val="en-US"/>
              </w:rPr>
              <w:t xml:space="preserve">in womenwith breast cancer, </w:t>
            </w:r>
            <w:r w:rsidRPr="00B5726C">
              <w:rPr>
                <w:rFonts w:cs="Times New Roman"/>
                <w:szCs w:val="24"/>
                <w:lang w:val="en-US"/>
              </w:rPr>
              <w:t>oral</w:t>
            </w:r>
            <w:r w:rsidRPr="0024114A">
              <w:rPr>
                <w:rFonts w:cs="Times New Roman"/>
                <w:b/>
                <w:szCs w:val="24"/>
                <w:lang w:val="en-US"/>
              </w:rPr>
              <w:t>:</w:t>
            </w:r>
          </w:p>
          <w:p w14:paraId="037EAA01"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300 mg 3 times a day, initial dose should be lower and titrated up over 3 days</w:t>
            </w:r>
          </w:p>
          <w:p w14:paraId="2D4C9ACB" w14:textId="77777777" w:rsidR="00C345C8" w:rsidRPr="0024114A" w:rsidRDefault="00C345C8" w:rsidP="002D6DD7">
            <w:pPr>
              <w:jc w:val="both"/>
              <w:rPr>
                <w:rFonts w:cs="Times New Roman"/>
                <w:szCs w:val="24"/>
                <w:lang w:val="en-US"/>
              </w:rPr>
            </w:pPr>
            <w:r w:rsidRPr="0024114A">
              <w:rPr>
                <w:rFonts w:cs="Times New Roman"/>
                <w:b/>
                <w:bCs/>
                <w:szCs w:val="24"/>
                <w:lang w:val="en-US"/>
              </w:rPr>
              <w:t>Oscillopsia in multiple sclerosis</w:t>
            </w:r>
            <w:r w:rsidRPr="0024114A">
              <w:rPr>
                <w:rFonts w:cs="Times New Roman"/>
                <w:szCs w:val="24"/>
                <w:lang w:val="en-US"/>
              </w:rPr>
              <w:t xml:space="preserve">, </w:t>
            </w:r>
            <w:r w:rsidRPr="00B5726C">
              <w:rPr>
                <w:rFonts w:cs="Times New Roman"/>
                <w:szCs w:val="24"/>
                <w:lang w:val="en-US"/>
              </w:rPr>
              <w:t>oral:</w:t>
            </w:r>
          </w:p>
          <w:p w14:paraId="6EDB2615"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Pr>
                <w:rFonts w:cs="Times New Roman"/>
                <w:b/>
                <w:bCs/>
                <w:szCs w:val="24"/>
                <w:lang w:val="en-US"/>
              </w:rPr>
              <w:t xml:space="preserve"> </w:t>
            </w:r>
            <w:r w:rsidRPr="0024114A">
              <w:rPr>
                <w:rFonts w:cs="Times New Roman"/>
                <w:szCs w:val="24"/>
                <w:lang w:val="en-US"/>
              </w:rPr>
              <w:t>Initially 300 mg once daily, then increased in steps of 300 mg, every 4–7 days, adjusted according to response, usual maximum 900 mg 3 times a day</w:t>
            </w:r>
          </w:p>
          <w:p w14:paraId="6850E75B" w14:textId="77777777" w:rsidR="00C345C8" w:rsidRPr="0024114A" w:rsidRDefault="00C345C8" w:rsidP="002D6DD7">
            <w:pPr>
              <w:jc w:val="both"/>
              <w:rPr>
                <w:rFonts w:cs="Times New Roman"/>
                <w:szCs w:val="24"/>
                <w:lang w:val="en-US"/>
              </w:rPr>
            </w:pPr>
            <w:r w:rsidRPr="0024114A">
              <w:rPr>
                <w:rFonts w:cs="Times New Roman"/>
                <w:b/>
                <w:bCs/>
                <w:szCs w:val="24"/>
                <w:lang w:val="en-US"/>
              </w:rPr>
              <w:t>Spasticity in multiple sclerosis</w:t>
            </w:r>
            <w:r w:rsidRPr="0024114A">
              <w:rPr>
                <w:rFonts w:cs="Times New Roman"/>
                <w:szCs w:val="24"/>
                <w:lang w:val="en-US"/>
              </w:rPr>
              <w:t xml:space="preserve">, </w:t>
            </w:r>
            <w:r w:rsidRPr="00B5726C">
              <w:rPr>
                <w:rFonts w:cs="Times New Roman"/>
                <w:szCs w:val="24"/>
                <w:lang w:val="en-US"/>
              </w:rPr>
              <w:t>oral:</w:t>
            </w:r>
          </w:p>
          <w:p w14:paraId="02C869B3"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300 mg once daily for 1–2 weeks, then 300 </w:t>
            </w:r>
            <w:r w:rsidRPr="0024114A">
              <w:rPr>
                <w:rFonts w:cs="Times New Roman"/>
                <w:szCs w:val="24"/>
                <w:lang w:val="en-US"/>
              </w:rPr>
              <w:lastRenderedPageBreak/>
              <w:t>mg twice daily for 1–2 weeks, then 300 mg 3 times a day for 1–2 weeks, alternatively initially 100 mg 3 times a day, thenincreased in steps of 100 mg 3 times a day, every 1–2 weeks, adjusted according to response, usual maximum 900 mg 3 times a day</w:t>
            </w:r>
          </w:p>
          <w:p w14:paraId="5D8BB11F" w14:textId="77777777" w:rsidR="00C345C8" w:rsidRPr="0024114A" w:rsidRDefault="00C345C8" w:rsidP="002D6DD7">
            <w:pPr>
              <w:jc w:val="both"/>
              <w:rPr>
                <w:rFonts w:cs="Times New Roman"/>
                <w:szCs w:val="24"/>
                <w:lang w:val="en-US"/>
              </w:rPr>
            </w:pPr>
            <w:r w:rsidRPr="0024114A">
              <w:rPr>
                <w:rFonts w:cs="Times New Roman"/>
                <w:b/>
                <w:bCs/>
                <w:szCs w:val="24"/>
                <w:lang w:val="en-US"/>
              </w:rPr>
              <w:t>Adjunctive treatment of focal seizures with or without secondary generalization</w:t>
            </w:r>
            <w:r w:rsidRPr="0024114A">
              <w:rPr>
                <w:rFonts w:cs="Times New Roman"/>
                <w:szCs w:val="24"/>
                <w:lang w:val="en-US"/>
              </w:rPr>
              <w:t xml:space="preserve">, </w:t>
            </w:r>
            <w:r w:rsidRPr="00B5726C">
              <w:rPr>
                <w:rFonts w:cs="Times New Roman"/>
                <w:szCs w:val="24"/>
                <w:lang w:val="en-US"/>
              </w:rPr>
              <w:t>oral:</w:t>
            </w:r>
          </w:p>
          <w:p w14:paraId="5316DBD6" w14:textId="77777777" w:rsidR="00C345C8" w:rsidRPr="0024114A" w:rsidRDefault="00C345C8" w:rsidP="002D6DD7">
            <w:pPr>
              <w:jc w:val="both"/>
              <w:rPr>
                <w:rFonts w:cs="Times New Roman"/>
                <w:szCs w:val="24"/>
                <w:lang w:val="en-US"/>
              </w:rPr>
            </w:pPr>
            <w:r w:rsidRPr="0024114A">
              <w:rPr>
                <w:rFonts w:cs="Times New Roman"/>
                <w:b/>
                <w:szCs w:val="24"/>
                <w:lang w:val="en-US"/>
              </w:rPr>
              <w:t>Child 6–11 years</w:t>
            </w:r>
            <w:r w:rsidRPr="0024114A">
              <w:rPr>
                <w:rFonts w:cs="Times New Roman"/>
                <w:szCs w:val="24"/>
                <w:lang w:val="en-US"/>
              </w:rPr>
              <w:t>: 10 mg/kg once daily (max. per dose 300 mg) on day 1, then 10 mg/kg twice daily (max. per dose 300 mg) on day 2, then 10 mg/kg 3 times a day (max. per dose 300 mg) on day 3, usual dose 25–35 mg/kg daily in 3 divided doses, some children may not tolerate daily increments, longer intervals (up to weekly) may be more appropriate, daily dose maximum to be given in 3 divided doses, maximum 70 mg/kg per day</w:t>
            </w:r>
            <w:r w:rsidR="00B5726C">
              <w:rPr>
                <w:rFonts w:cs="Times New Roman"/>
                <w:szCs w:val="24"/>
                <w:lang w:val="en-US"/>
              </w:rPr>
              <w:t>.</w:t>
            </w:r>
          </w:p>
        </w:tc>
      </w:tr>
      <w:tr w:rsidR="00C345C8" w:rsidRPr="0024114A" w14:paraId="06C43FAB" w14:textId="77777777" w:rsidTr="002D6DD7">
        <w:trPr>
          <w:jc w:val="center"/>
        </w:trPr>
        <w:tc>
          <w:tcPr>
            <w:tcW w:w="2695" w:type="dxa"/>
          </w:tcPr>
          <w:p w14:paraId="2A0554A0"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105" w:type="dxa"/>
          </w:tcPr>
          <w:p w14:paraId="298C4F20" w14:textId="77777777" w:rsidR="00C345C8" w:rsidRPr="0024114A" w:rsidRDefault="00C345C8" w:rsidP="002D6DD7">
            <w:pPr>
              <w:pStyle w:val="NormalWeb"/>
              <w:shd w:val="clear" w:color="auto" w:fill="FFFFFF"/>
              <w:spacing w:before="0" w:beforeAutospacing="0" w:after="0" w:afterAutospacing="0" w:line="360" w:lineRule="auto"/>
              <w:jc w:val="both"/>
              <w:rPr>
                <w:lang w:val="en-US"/>
              </w:rPr>
            </w:pPr>
            <w:r w:rsidRPr="0024114A">
              <w:rPr>
                <w:lang w:val="en-US"/>
              </w:rPr>
              <w:t>Hypersensitivity to the drug, acute pancreatitis</w:t>
            </w:r>
            <w:r w:rsidR="00B5726C">
              <w:rPr>
                <w:lang w:val="en-US"/>
              </w:rPr>
              <w:t>.</w:t>
            </w:r>
          </w:p>
        </w:tc>
      </w:tr>
      <w:tr w:rsidR="00C345C8" w:rsidRPr="0024114A" w14:paraId="17893AD0" w14:textId="77777777" w:rsidTr="002D6DD7">
        <w:trPr>
          <w:jc w:val="center"/>
        </w:trPr>
        <w:tc>
          <w:tcPr>
            <w:tcW w:w="2695" w:type="dxa"/>
          </w:tcPr>
          <w:p w14:paraId="31CB29B6"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5A0BF37F" w14:textId="77777777" w:rsidR="00C345C8" w:rsidRPr="0024114A" w:rsidRDefault="00C345C8" w:rsidP="002D6DD7">
            <w:pPr>
              <w:jc w:val="both"/>
              <w:rPr>
                <w:rFonts w:cs="Times New Roman"/>
                <w:szCs w:val="24"/>
                <w:lang w:val="en-US"/>
              </w:rPr>
            </w:pPr>
            <w:r w:rsidRPr="0024114A">
              <w:rPr>
                <w:rFonts w:cs="Times New Roman"/>
                <w:szCs w:val="24"/>
                <w:lang w:val="en-US"/>
              </w:rPr>
              <w:t>Antacids containing aluminium with magnesium, morphine, amitriptyline, fentanyl, codeine, diazepam, ethanol, fluoxetine, antisesure medicines</w:t>
            </w:r>
          </w:p>
        </w:tc>
      </w:tr>
      <w:tr w:rsidR="00C345C8" w:rsidRPr="0024114A" w14:paraId="02DEE8BF" w14:textId="77777777" w:rsidTr="002D6DD7">
        <w:trPr>
          <w:jc w:val="center"/>
        </w:trPr>
        <w:tc>
          <w:tcPr>
            <w:tcW w:w="2695" w:type="dxa"/>
          </w:tcPr>
          <w:p w14:paraId="06A1F1B7"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0DC2BD2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Anxiety, appetite abnormal, arthralgia, asthenia, behavior abnormal, confusion, constipation, cough, depression, diarrhea, dizziness, drowsiness, dry </w:t>
            </w:r>
            <w:r w:rsidRPr="005E3E00">
              <w:rPr>
                <w:rFonts w:cs="Times New Roman"/>
                <w:szCs w:val="24"/>
                <w:lang w:val="en-US"/>
              </w:rPr>
              <w:t>mouth</w:t>
            </w:r>
            <w:r w:rsidRPr="0024114A">
              <w:rPr>
                <w:rFonts w:cs="Times New Roman"/>
                <w:szCs w:val="24"/>
                <w:lang w:val="en-US"/>
              </w:rPr>
              <w:t>, dysarthria, dyspnea, emotional lability, flatulence, gait abnormal, GI discomfort, headache, hypertension, increased risk of infection, insomnia, leucopenia, malaise, movement disorders, muscle complaints, nausea, nystagmus, edema, pain, reflexes abnormal, seizure (in children), sensation abnormal, sexual dysfunction, skin reactions,  tooth disorder, tremor, vasodilation, vertigo, visual impairment, vomiting, cognitive impairment, palpitations.</w:t>
            </w:r>
          </w:p>
        </w:tc>
      </w:tr>
      <w:tr w:rsidR="00C345C8" w:rsidRPr="0024114A" w14:paraId="58AFE46C" w14:textId="77777777" w:rsidTr="002D6DD7">
        <w:trPr>
          <w:jc w:val="center"/>
        </w:trPr>
        <w:tc>
          <w:tcPr>
            <w:tcW w:w="2695" w:type="dxa"/>
          </w:tcPr>
          <w:p w14:paraId="3C93929F"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046CB03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Diabetes mellitus, elderly, low body weight, history of </w:t>
            </w:r>
            <w:r w:rsidRPr="0024114A">
              <w:rPr>
                <w:rFonts w:cs="Times New Roman"/>
                <w:szCs w:val="24"/>
                <w:lang w:val="en-US"/>
              </w:rPr>
              <w:lastRenderedPageBreak/>
              <w:t>psychotic illness, history of substance abuse, mixed seizures (including absences), renal impairment, abrupt discontinuation, pregnancy, breast feeding</w:t>
            </w:r>
          </w:p>
        </w:tc>
      </w:tr>
      <w:tr w:rsidR="00C345C8" w:rsidRPr="0024114A" w14:paraId="0F860E25" w14:textId="77777777" w:rsidTr="002D6DD7">
        <w:trPr>
          <w:jc w:val="center"/>
        </w:trPr>
        <w:tc>
          <w:tcPr>
            <w:tcW w:w="2695" w:type="dxa"/>
          </w:tcPr>
          <w:p w14:paraId="6EDAEBE8"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Storage condition</w:t>
            </w:r>
          </w:p>
        </w:tc>
        <w:tc>
          <w:tcPr>
            <w:tcW w:w="6105" w:type="dxa"/>
          </w:tcPr>
          <w:p w14:paraId="5F9919F7" w14:textId="77777777" w:rsidR="00C345C8" w:rsidRPr="0024114A" w:rsidRDefault="00C345C8" w:rsidP="002D6DD7">
            <w:pPr>
              <w:jc w:val="both"/>
              <w:rPr>
                <w:rFonts w:cs="Times New Roman"/>
                <w:szCs w:val="24"/>
                <w:lang w:val="en-US"/>
              </w:rPr>
            </w:pPr>
            <w:r w:rsidRPr="0024114A">
              <w:rPr>
                <w:rFonts w:cs="Times New Roman"/>
                <w:szCs w:val="24"/>
                <w:lang w:val="en-US"/>
              </w:rPr>
              <w:t>Store below 30 ºC.</w:t>
            </w:r>
          </w:p>
        </w:tc>
      </w:tr>
      <w:tr w:rsidR="00C345C8" w:rsidRPr="0024114A" w14:paraId="443C0345" w14:textId="77777777" w:rsidTr="002D6DD7">
        <w:trPr>
          <w:jc w:val="center"/>
        </w:trPr>
        <w:tc>
          <w:tcPr>
            <w:tcW w:w="8800" w:type="dxa"/>
            <w:gridSpan w:val="2"/>
          </w:tcPr>
          <w:p w14:paraId="24D96D1F" w14:textId="77777777" w:rsidR="00C345C8" w:rsidRPr="0024114A" w:rsidRDefault="00C345C8" w:rsidP="002D6DD7">
            <w:pPr>
              <w:jc w:val="both"/>
              <w:rPr>
                <w:rFonts w:cs="Times New Roman"/>
                <w:szCs w:val="24"/>
                <w:lang w:val="en-US"/>
              </w:rPr>
            </w:pPr>
            <w:r w:rsidRPr="0024114A">
              <w:rPr>
                <w:rFonts w:cs="Times New Roman"/>
                <w:b/>
                <w:bCs/>
                <w:szCs w:val="24"/>
                <w:lang w:val="en-US"/>
              </w:rPr>
              <w:t>Haloperidol</w:t>
            </w:r>
          </w:p>
        </w:tc>
      </w:tr>
      <w:tr w:rsidR="00C345C8" w:rsidRPr="0024114A" w14:paraId="1EBCEBBE" w14:textId="77777777" w:rsidTr="002D6DD7">
        <w:trPr>
          <w:jc w:val="center"/>
        </w:trPr>
        <w:tc>
          <w:tcPr>
            <w:tcW w:w="2695" w:type="dxa"/>
          </w:tcPr>
          <w:p w14:paraId="4D565312"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03BDADB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First-generation (typical) antipsychotics  </w:t>
            </w:r>
          </w:p>
        </w:tc>
      </w:tr>
      <w:tr w:rsidR="00C345C8" w:rsidRPr="0024114A" w14:paraId="1E5450FB" w14:textId="77777777" w:rsidTr="002D6DD7">
        <w:trPr>
          <w:jc w:val="center"/>
        </w:trPr>
        <w:tc>
          <w:tcPr>
            <w:tcW w:w="2695" w:type="dxa"/>
          </w:tcPr>
          <w:p w14:paraId="50AC9158"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0750B51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Injection: 5 mg in 1 ml ampoule </w:t>
            </w:r>
          </w:p>
          <w:p w14:paraId="3E3FD7D9" w14:textId="77777777" w:rsidR="00C345C8" w:rsidRPr="0024114A" w:rsidRDefault="00C345C8" w:rsidP="002D6DD7">
            <w:pPr>
              <w:jc w:val="both"/>
              <w:rPr>
                <w:rFonts w:cs="Times New Roman"/>
                <w:szCs w:val="24"/>
                <w:lang w:val="en-US"/>
              </w:rPr>
            </w:pPr>
            <w:r w:rsidRPr="0024114A">
              <w:rPr>
                <w:rFonts w:cs="Times New Roman"/>
                <w:szCs w:val="24"/>
                <w:lang w:val="en-US"/>
              </w:rPr>
              <w:t>Syrup: 2 mg/ml</w:t>
            </w:r>
          </w:p>
          <w:p w14:paraId="324864EB" w14:textId="77777777" w:rsidR="00C345C8" w:rsidRPr="0024114A" w:rsidRDefault="00C345C8" w:rsidP="002D6DD7">
            <w:pPr>
              <w:jc w:val="both"/>
              <w:rPr>
                <w:rFonts w:cs="Times New Roman"/>
                <w:szCs w:val="24"/>
                <w:lang w:val="en-US"/>
              </w:rPr>
            </w:pPr>
            <w:r w:rsidRPr="0024114A">
              <w:rPr>
                <w:rFonts w:cs="Times New Roman"/>
                <w:szCs w:val="24"/>
                <w:lang w:val="en-US"/>
              </w:rPr>
              <w:t>Tablet: 0.5 mg; 2mg; 5 mg.</w:t>
            </w:r>
          </w:p>
        </w:tc>
      </w:tr>
      <w:tr w:rsidR="00C345C8" w:rsidRPr="0024114A" w14:paraId="55EACEE8" w14:textId="77777777" w:rsidTr="002D6DD7">
        <w:trPr>
          <w:jc w:val="center"/>
        </w:trPr>
        <w:tc>
          <w:tcPr>
            <w:tcW w:w="2695" w:type="dxa"/>
          </w:tcPr>
          <w:p w14:paraId="23B37D36" w14:textId="77777777" w:rsidR="00C345C8" w:rsidRPr="0024114A" w:rsidRDefault="00C345C8" w:rsidP="002D6DD7">
            <w:pPr>
              <w:jc w:val="both"/>
              <w:rPr>
                <w:rFonts w:cs="Times New Roman"/>
                <w:bCs/>
                <w:szCs w:val="24"/>
                <w:lang w:val="en-US"/>
              </w:rPr>
            </w:pPr>
            <w:r w:rsidRPr="0024114A">
              <w:rPr>
                <w:rFonts w:cs="Times New Roman"/>
                <w:bCs/>
                <w:szCs w:val="24"/>
                <w:lang w:val="en-US"/>
              </w:rPr>
              <w:t>Indications</w:t>
            </w:r>
          </w:p>
        </w:tc>
        <w:tc>
          <w:tcPr>
            <w:tcW w:w="6105" w:type="dxa"/>
          </w:tcPr>
          <w:p w14:paraId="37D733CB" w14:textId="77777777" w:rsidR="00C345C8" w:rsidRPr="0024114A" w:rsidRDefault="00C345C8" w:rsidP="002D6DD7">
            <w:pPr>
              <w:jc w:val="both"/>
              <w:rPr>
                <w:rFonts w:cs="Times New Roman"/>
                <w:szCs w:val="24"/>
                <w:lang w:val="en-US"/>
              </w:rPr>
            </w:pPr>
            <w:r w:rsidRPr="0024114A">
              <w:rPr>
                <w:rFonts w:cs="Times New Roman"/>
                <w:szCs w:val="24"/>
                <w:lang w:val="en-US"/>
              </w:rPr>
              <w:t>Schizophrenia and other psychotic disorders, short-term adjunctive management of psychomotor agitation, excitement, violent, dangerous or impulsive behavior and severe anxiety, motor tics (including Tourette syndrome)</w:t>
            </w:r>
          </w:p>
        </w:tc>
      </w:tr>
      <w:tr w:rsidR="00C345C8" w:rsidRPr="0024114A" w14:paraId="571A2ECF" w14:textId="77777777" w:rsidTr="002D6DD7">
        <w:trPr>
          <w:jc w:val="center"/>
        </w:trPr>
        <w:tc>
          <w:tcPr>
            <w:tcW w:w="2695" w:type="dxa"/>
          </w:tcPr>
          <w:p w14:paraId="2C108428"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10AABF43" w14:textId="77777777" w:rsidR="00C345C8" w:rsidRPr="0024114A" w:rsidRDefault="00C345C8" w:rsidP="002D6DD7">
            <w:pPr>
              <w:jc w:val="both"/>
              <w:rPr>
                <w:rFonts w:cs="Times New Roman"/>
                <w:szCs w:val="24"/>
                <w:lang w:val="en-US"/>
              </w:rPr>
            </w:pPr>
            <w:r w:rsidRPr="0024114A">
              <w:rPr>
                <w:rFonts w:cs="Times New Roman"/>
                <w:b/>
                <w:bCs/>
                <w:szCs w:val="24"/>
                <w:lang w:val="en-US"/>
              </w:rPr>
              <w:t>Schizophrenia and other psychoses, mania, short-term adjunctive management of psychomotor agitation, violent behavior, and severe anxiety</w:t>
            </w:r>
            <w:r w:rsidRPr="0024114A">
              <w:rPr>
                <w:rFonts w:cs="Times New Roman"/>
                <w:szCs w:val="24"/>
                <w:lang w:val="en-US"/>
              </w:rPr>
              <w:t xml:space="preserve">, </w:t>
            </w:r>
            <w:r w:rsidRPr="00B5726C">
              <w:rPr>
                <w:rFonts w:cs="Times New Roman"/>
                <w:szCs w:val="24"/>
                <w:lang w:val="en-US"/>
              </w:rPr>
              <w:t>oral:</w:t>
            </w:r>
          </w:p>
          <w:p w14:paraId="017820D2"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2.5–5 mg 2–3 times daily</w:t>
            </w:r>
          </w:p>
          <w:p w14:paraId="788FC398" w14:textId="77777777" w:rsidR="00C345C8" w:rsidRPr="0024114A" w:rsidRDefault="00C345C8" w:rsidP="002D6DD7">
            <w:pPr>
              <w:jc w:val="both"/>
              <w:rPr>
                <w:rFonts w:cs="Times New Roman"/>
                <w:szCs w:val="24"/>
                <w:lang w:val="en-US"/>
              </w:rPr>
            </w:pPr>
            <w:r w:rsidRPr="0024114A">
              <w:rPr>
                <w:rFonts w:cs="Times New Roman"/>
                <w:szCs w:val="24"/>
                <w:lang w:val="en-US"/>
              </w:rPr>
              <w:t>For elderly or debilitated patients, use half of the adult dose; 3–5 mg 2–3 times daily in severely affected or resistant patients, up to 30 mg daily in resistant schizophrenia</w:t>
            </w:r>
          </w:p>
          <w:p w14:paraId="3E4F9DF9"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Acute psychotic conditions, </w:t>
            </w:r>
            <w:r w:rsidRPr="00B5726C">
              <w:rPr>
                <w:rFonts w:cs="Times New Roman"/>
                <w:szCs w:val="24"/>
                <w:lang w:val="en-US"/>
              </w:rPr>
              <w:t>by IM injection</w:t>
            </w:r>
            <w:r w:rsidRPr="0024114A">
              <w:rPr>
                <w:rFonts w:cs="Times New Roman"/>
                <w:szCs w:val="24"/>
                <w:lang w:val="en-US"/>
              </w:rPr>
              <w:t>:</w:t>
            </w:r>
          </w:p>
          <w:p w14:paraId="0F6C334D"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2–10mg (half of the adult dose in elderly or debilitated patients, up to 18 mg in severely affected patients), subsequent doses every 4–8 hours according to response (up to every hour if necessary) up to a maximum of 18 mg daily</w:t>
            </w:r>
          </w:p>
          <w:p w14:paraId="44F8BC48" w14:textId="77777777" w:rsidR="00C345C8" w:rsidRPr="0024114A" w:rsidRDefault="00C345C8" w:rsidP="002D6DD7">
            <w:pPr>
              <w:jc w:val="both"/>
              <w:rPr>
                <w:rFonts w:cs="Times New Roman"/>
                <w:szCs w:val="24"/>
                <w:lang w:val="en-US"/>
              </w:rPr>
            </w:pPr>
            <w:r w:rsidRPr="0024114A">
              <w:rPr>
                <w:rFonts w:cs="Times New Roman"/>
                <w:b/>
                <w:bCs/>
                <w:szCs w:val="24"/>
                <w:lang w:val="en-US"/>
              </w:rPr>
              <w:t>Schizophrenia and other psychoses, short-term adjunctive management of psychomotor agitation, excitement and violent or dangerous impulsivebehavior, severe anxiety,</w:t>
            </w:r>
            <w:r>
              <w:rPr>
                <w:rFonts w:cs="Times New Roman"/>
                <w:b/>
                <w:bCs/>
                <w:szCs w:val="24"/>
                <w:lang w:val="en-US"/>
              </w:rPr>
              <w:t xml:space="preserve"> </w:t>
            </w:r>
            <w:r w:rsidRPr="00B5726C">
              <w:rPr>
                <w:rFonts w:cs="Times New Roman"/>
                <w:szCs w:val="24"/>
                <w:lang w:val="en-US"/>
              </w:rPr>
              <w:t>oral</w:t>
            </w:r>
            <w:r w:rsidRPr="0024114A">
              <w:rPr>
                <w:rFonts w:cs="Times New Roman"/>
                <w:szCs w:val="24"/>
                <w:lang w:val="en-US"/>
              </w:rPr>
              <w:t>:</w:t>
            </w:r>
          </w:p>
          <w:p w14:paraId="155BEF8C" w14:textId="77777777" w:rsidR="00C345C8" w:rsidRPr="0024114A" w:rsidRDefault="00C345C8" w:rsidP="002D6DD7">
            <w:pPr>
              <w:jc w:val="both"/>
              <w:rPr>
                <w:rFonts w:cs="Times New Roman"/>
                <w:szCs w:val="24"/>
                <w:lang w:val="en-US"/>
              </w:rPr>
            </w:pPr>
            <w:r w:rsidRPr="0024114A">
              <w:rPr>
                <w:rFonts w:cs="Times New Roman"/>
                <w:b/>
                <w:bCs/>
                <w:szCs w:val="24"/>
                <w:lang w:val="en-US"/>
              </w:rPr>
              <w:t>Child 3–12 years</w:t>
            </w:r>
            <w:r w:rsidRPr="0024114A">
              <w:rPr>
                <w:rFonts w:cs="Times New Roman"/>
                <w:szCs w:val="24"/>
                <w:lang w:val="en-US"/>
              </w:rPr>
              <w:t xml:space="preserve">: Initially 0.125–0.25 mg twice daily, </w:t>
            </w:r>
            <w:r w:rsidRPr="0024114A">
              <w:rPr>
                <w:rFonts w:cs="Times New Roman"/>
                <w:szCs w:val="24"/>
                <w:lang w:val="en-US"/>
              </w:rPr>
              <w:lastRenderedPageBreak/>
              <w:t>increase by 0.25–0.5 mg/day every 5–7 days; maximum 0.15 mg/kg daily; usual maintenance 0.025–0.05 mg/kg three times daily</w:t>
            </w:r>
          </w:p>
          <w:p w14:paraId="03019C17" w14:textId="77777777" w:rsidR="00C345C8" w:rsidRPr="0024114A" w:rsidRDefault="00C345C8" w:rsidP="002D6DD7">
            <w:pPr>
              <w:jc w:val="both"/>
              <w:rPr>
                <w:rFonts w:cs="Times New Roman"/>
                <w:szCs w:val="24"/>
                <w:lang w:val="en-US"/>
              </w:rPr>
            </w:pPr>
            <w:r w:rsidRPr="0024114A">
              <w:rPr>
                <w:rFonts w:cs="Times New Roman"/>
                <w:szCs w:val="24"/>
                <w:lang w:val="en-US"/>
              </w:rPr>
              <w:t>IM (when rapid effect required)</w:t>
            </w:r>
          </w:p>
          <w:p w14:paraId="6FCDC3BE" w14:textId="77777777" w:rsidR="00C345C8" w:rsidRPr="0024114A" w:rsidRDefault="00C345C8" w:rsidP="002D6DD7">
            <w:pPr>
              <w:jc w:val="both"/>
              <w:rPr>
                <w:rFonts w:cs="Times New Roman"/>
                <w:szCs w:val="24"/>
                <w:lang w:val="en-US"/>
              </w:rPr>
            </w:pPr>
            <w:r w:rsidRPr="0024114A">
              <w:rPr>
                <w:rFonts w:cs="Times New Roman"/>
                <w:b/>
                <w:bCs/>
                <w:szCs w:val="24"/>
                <w:lang w:val="en-US"/>
              </w:rPr>
              <w:t>Child 6–12 years</w:t>
            </w:r>
            <w:r w:rsidRPr="0024114A">
              <w:rPr>
                <w:rFonts w:cs="Times New Roman"/>
                <w:szCs w:val="24"/>
                <w:lang w:val="en-US"/>
              </w:rPr>
              <w:t xml:space="preserve">: 1–3 mg per dose every 4–8 hoursto a maximum of 0.15 mg/kg daily; change to </w:t>
            </w:r>
            <w:r w:rsidRPr="00B5726C">
              <w:rPr>
                <w:rFonts w:cs="Times New Roman"/>
                <w:szCs w:val="24"/>
                <w:lang w:val="en-US"/>
              </w:rPr>
              <w:t>oral</w:t>
            </w:r>
            <w:r w:rsidRPr="0024114A">
              <w:rPr>
                <w:rFonts w:cs="Times New Roman"/>
                <w:szCs w:val="24"/>
                <w:lang w:val="en-US"/>
              </w:rPr>
              <w:t xml:space="preserve"> therapy as soon as possible</w:t>
            </w:r>
          </w:p>
          <w:p w14:paraId="43DB425E" w14:textId="77777777" w:rsidR="00C345C8" w:rsidRPr="0024114A" w:rsidRDefault="00C345C8" w:rsidP="002D6DD7">
            <w:pPr>
              <w:jc w:val="both"/>
              <w:rPr>
                <w:rFonts w:cs="Times New Roman"/>
                <w:szCs w:val="24"/>
                <w:lang w:val="en-US"/>
              </w:rPr>
            </w:pPr>
            <w:r w:rsidRPr="0024114A">
              <w:rPr>
                <w:rFonts w:cs="Times New Roman"/>
                <w:b/>
                <w:bCs/>
                <w:szCs w:val="24"/>
                <w:lang w:val="en-US"/>
              </w:rPr>
              <w:t>Motor tics (including Tourette syndrome)</w:t>
            </w:r>
            <w:r w:rsidRPr="0024114A">
              <w:rPr>
                <w:rFonts w:cs="Times New Roman"/>
                <w:szCs w:val="24"/>
                <w:lang w:val="en-US"/>
              </w:rPr>
              <w:t>,</w:t>
            </w:r>
            <w:r>
              <w:rPr>
                <w:rFonts w:cs="Times New Roman"/>
                <w:szCs w:val="24"/>
                <w:lang w:val="en-US"/>
              </w:rPr>
              <w:t xml:space="preserve"> </w:t>
            </w:r>
            <w:r w:rsidRPr="00B5726C">
              <w:rPr>
                <w:rFonts w:cs="Times New Roman"/>
                <w:szCs w:val="24"/>
                <w:lang w:val="en-US"/>
              </w:rPr>
              <w:t>oral</w:t>
            </w:r>
            <w:r w:rsidRPr="0024114A">
              <w:rPr>
                <w:rFonts w:cs="Times New Roman"/>
                <w:szCs w:val="24"/>
                <w:lang w:val="en-US"/>
              </w:rPr>
              <w:t>:</w:t>
            </w:r>
          </w:p>
          <w:p w14:paraId="4D8DE1BF" w14:textId="77777777" w:rsidR="00C345C8" w:rsidRPr="0024114A" w:rsidRDefault="00C345C8" w:rsidP="002D6DD7">
            <w:pPr>
              <w:jc w:val="both"/>
              <w:rPr>
                <w:rFonts w:cs="Times New Roman"/>
                <w:szCs w:val="24"/>
                <w:lang w:val="en-US"/>
              </w:rPr>
            </w:pPr>
            <w:r w:rsidRPr="0024114A">
              <w:rPr>
                <w:rFonts w:cs="Times New Roman"/>
                <w:b/>
                <w:bCs/>
                <w:szCs w:val="24"/>
                <w:lang w:val="en-US"/>
              </w:rPr>
              <w:t>Child 5–12 years</w:t>
            </w:r>
            <w:r w:rsidRPr="0024114A">
              <w:rPr>
                <w:rFonts w:cs="Times New Roman"/>
                <w:szCs w:val="24"/>
                <w:lang w:val="en-US"/>
              </w:rPr>
              <w:t xml:space="preserve">: 0.0125–0.025 mg/kg twice daily, adjusted according to response up to 10 mg daily </w:t>
            </w:r>
          </w:p>
        </w:tc>
      </w:tr>
      <w:tr w:rsidR="00C345C8" w:rsidRPr="0024114A" w14:paraId="275896A9" w14:textId="77777777" w:rsidTr="002D6DD7">
        <w:trPr>
          <w:jc w:val="center"/>
        </w:trPr>
        <w:tc>
          <w:tcPr>
            <w:tcW w:w="2695" w:type="dxa"/>
          </w:tcPr>
          <w:p w14:paraId="22828D8C"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lastRenderedPageBreak/>
              <w:t>Contraindications</w:t>
            </w:r>
          </w:p>
        </w:tc>
        <w:tc>
          <w:tcPr>
            <w:tcW w:w="6105" w:type="dxa"/>
          </w:tcPr>
          <w:p w14:paraId="057CFF3E" w14:textId="77777777" w:rsidR="00C345C8" w:rsidRPr="0024114A" w:rsidRDefault="00C345C8" w:rsidP="002D6DD7">
            <w:pPr>
              <w:jc w:val="both"/>
              <w:rPr>
                <w:rFonts w:cs="Times New Roman"/>
                <w:szCs w:val="24"/>
                <w:lang w:val="en-US"/>
              </w:rPr>
            </w:pPr>
            <w:r w:rsidRPr="0024114A">
              <w:rPr>
                <w:rFonts w:cs="Times New Roman"/>
                <w:szCs w:val="24"/>
                <w:lang w:val="en-US"/>
              </w:rPr>
              <w:t>Impaired consciousness due to CNS depression, bone marrow suppression, phaeochromocytoma, porphyria, basal ganglia disease, severe liver or cardiac disease, comatose states, congenital long QT syndrome, dementia with Lewy bodies, history of torsade de pointes, history of ventricular arrhythmia, Parkinson’s disease, progressive supranuclear palsy, recent acute MI, uncompensated heart failure, hypokalaemia, dopamine use</w:t>
            </w:r>
          </w:p>
        </w:tc>
      </w:tr>
      <w:tr w:rsidR="00C345C8" w:rsidRPr="0024114A" w14:paraId="448D249E" w14:textId="77777777" w:rsidTr="002D6DD7">
        <w:trPr>
          <w:jc w:val="center"/>
        </w:trPr>
        <w:tc>
          <w:tcPr>
            <w:tcW w:w="2695" w:type="dxa"/>
          </w:tcPr>
          <w:p w14:paraId="0C98A086"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5652E0F6" w14:textId="77777777" w:rsidR="00C345C8" w:rsidRPr="0024114A" w:rsidRDefault="00C345C8" w:rsidP="002D6DD7">
            <w:pPr>
              <w:jc w:val="both"/>
              <w:rPr>
                <w:rFonts w:cs="Times New Roman"/>
                <w:szCs w:val="24"/>
                <w:lang w:val="en-US"/>
              </w:rPr>
            </w:pPr>
            <w:r w:rsidRPr="0024114A">
              <w:rPr>
                <w:rFonts w:cs="Times New Roman"/>
                <w:szCs w:val="24"/>
                <w:lang w:val="en-US"/>
              </w:rPr>
              <w:t>Amitriptyline, artemether + lumefantrine, atropine, carbamazepine, clomipramine, codeine, diazepam, enalapril, epinephrine, erythromycin, ethanol, ethosuximide, fluoxetine, fentanyl, fluconazole, halothane, ketamine, metoclopramide, morphine, nifedipine, nitrous oxide, phenobarbital, phenytoin, procainamide, quinidine, rifampicin, ritonavir, thiopental, thioridazile, valproic acid.</w:t>
            </w:r>
          </w:p>
        </w:tc>
      </w:tr>
      <w:tr w:rsidR="00C345C8" w:rsidRPr="0024114A" w14:paraId="521B2BEE" w14:textId="77777777" w:rsidTr="002D6DD7">
        <w:trPr>
          <w:jc w:val="center"/>
        </w:trPr>
        <w:tc>
          <w:tcPr>
            <w:tcW w:w="2695" w:type="dxa"/>
          </w:tcPr>
          <w:p w14:paraId="75C2A6C6"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4784F0EA"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Depression, eye disorders, headache, hypersalivation, nausea, neuromuscular dysfunction, psychotic disorder, vision disorders, weight decreased, anxiety, agitation, extrapyramidal adverse effects, orthostatic hypotension, tachycardia, mydriasis, constipation, nausea, dry </w:t>
            </w:r>
            <w:r w:rsidRPr="00BE460D">
              <w:rPr>
                <w:rFonts w:cs="Times New Roman"/>
                <w:szCs w:val="24"/>
                <w:lang w:val="en-US"/>
              </w:rPr>
              <w:t>oral</w:t>
            </w:r>
            <w:r w:rsidRPr="0024114A">
              <w:rPr>
                <w:rFonts w:cs="Times New Roman"/>
                <w:szCs w:val="24"/>
                <w:lang w:val="en-US"/>
              </w:rPr>
              <w:t xml:space="preserve">, urinary retention, hyperprolactinemia, erectile dysfunction, </w:t>
            </w:r>
            <w:r w:rsidRPr="0024114A">
              <w:rPr>
                <w:rFonts w:cs="Times New Roman"/>
                <w:szCs w:val="24"/>
                <w:lang w:val="en-US"/>
              </w:rPr>
              <w:lastRenderedPageBreak/>
              <w:t>weight gain,</w:t>
            </w:r>
            <w:r>
              <w:rPr>
                <w:rFonts w:cs="Times New Roman"/>
                <w:szCs w:val="24"/>
                <w:lang w:val="en-US"/>
              </w:rPr>
              <w:t xml:space="preserve"> </w:t>
            </w:r>
            <w:r w:rsidRPr="0024114A">
              <w:rPr>
                <w:rFonts w:cs="Times New Roman"/>
                <w:szCs w:val="24"/>
                <w:lang w:val="en-US"/>
              </w:rPr>
              <w:t xml:space="preserve">sedation. </w:t>
            </w:r>
          </w:p>
        </w:tc>
      </w:tr>
      <w:tr w:rsidR="00C345C8" w:rsidRPr="0024114A" w14:paraId="5A80B825" w14:textId="77777777" w:rsidTr="002D6DD7">
        <w:trPr>
          <w:jc w:val="center"/>
        </w:trPr>
        <w:tc>
          <w:tcPr>
            <w:tcW w:w="2695" w:type="dxa"/>
          </w:tcPr>
          <w:p w14:paraId="77712B04"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105" w:type="dxa"/>
          </w:tcPr>
          <w:p w14:paraId="4B8C2553" w14:textId="77777777" w:rsidR="00C345C8" w:rsidRPr="0024114A" w:rsidRDefault="00C345C8" w:rsidP="002D6DD7">
            <w:pPr>
              <w:jc w:val="both"/>
              <w:rPr>
                <w:rFonts w:cs="Times New Roman"/>
                <w:szCs w:val="24"/>
                <w:lang w:val="en-US"/>
              </w:rPr>
            </w:pPr>
            <w:r w:rsidRPr="0024114A">
              <w:rPr>
                <w:rFonts w:cs="Times New Roman"/>
                <w:szCs w:val="24"/>
                <w:lang w:val="en-US"/>
              </w:rPr>
              <w:t>Bradycardia, electrolyte disturbances, family history of QTc-interval prolongation, history of heavy alcohol exposure, hyperthyroidism, hypotension, prolactin-dependent tumors, prolactinaemia, risk factors for stroke, hepatic impairment, renal impairment, patients with dementia-related psychosis, neutropenia.</w:t>
            </w:r>
          </w:p>
        </w:tc>
      </w:tr>
      <w:tr w:rsidR="00C345C8" w:rsidRPr="0024114A" w14:paraId="36CD6ADB" w14:textId="77777777" w:rsidTr="002D6DD7">
        <w:trPr>
          <w:jc w:val="center"/>
        </w:trPr>
        <w:tc>
          <w:tcPr>
            <w:tcW w:w="2695" w:type="dxa"/>
          </w:tcPr>
          <w:p w14:paraId="172538DD"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0A032C76" w14:textId="77777777" w:rsidR="00C345C8" w:rsidRPr="0024114A" w:rsidRDefault="00C345C8" w:rsidP="002D6DD7">
            <w:pPr>
              <w:jc w:val="both"/>
              <w:rPr>
                <w:rFonts w:cs="Times New Roman"/>
                <w:szCs w:val="24"/>
                <w:lang w:val="en-US"/>
              </w:rPr>
            </w:pPr>
            <w:r w:rsidRPr="0024114A">
              <w:rPr>
                <w:rFonts w:eastAsia="Helvetica" w:cs="Times New Roman"/>
                <w:color w:val="161616"/>
                <w:szCs w:val="24"/>
                <w:shd w:val="clear" w:color="auto" w:fill="FFFFFF"/>
                <w:lang w:val="en-US"/>
              </w:rPr>
              <w:t>S</w:t>
            </w:r>
            <w:r w:rsidRPr="0024114A">
              <w:rPr>
                <w:rFonts w:eastAsia="Helvetica" w:cs="Times New Roman"/>
                <w:color w:val="161616"/>
                <w:szCs w:val="24"/>
                <w:shd w:val="clear" w:color="auto" w:fill="FFFFFF"/>
              </w:rPr>
              <w:t>tore</w:t>
            </w:r>
            <w:r w:rsidRPr="0024114A">
              <w:rPr>
                <w:rFonts w:eastAsia="Helvetica" w:cs="Times New Roman"/>
                <w:color w:val="161616"/>
                <w:szCs w:val="24"/>
                <w:shd w:val="clear" w:color="auto" w:fill="FFFFFF"/>
                <w:lang w:val="en-US"/>
              </w:rPr>
              <w:t xml:space="preserve"> below </w:t>
            </w:r>
            <w:r w:rsidRPr="0024114A">
              <w:rPr>
                <w:rFonts w:eastAsia="Helvetica" w:cs="Times New Roman"/>
                <w:color w:val="161616"/>
                <w:szCs w:val="24"/>
                <w:shd w:val="clear" w:color="auto" w:fill="FFFFFF"/>
              </w:rPr>
              <w:t>30° C. Protect from</w:t>
            </w:r>
            <w:r w:rsidRPr="0024114A">
              <w:rPr>
                <w:rFonts w:cs="Times New Roman"/>
                <w:szCs w:val="24"/>
                <w:lang w:val="en-US"/>
              </w:rPr>
              <w:t xml:space="preserve"> light.</w:t>
            </w:r>
          </w:p>
        </w:tc>
      </w:tr>
      <w:tr w:rsidR="00C345C8" w:rsidRPr="0024114A" w14:paraId="0751ABB6" w14:textId="77777777" w:rsidTr="002D6DD7">
        <w:trPr>
          <w:jc w:val="center"/>
        </w:trPr>
        <w:tc>
          <w:tcPr>
            <w:tcW w:w="8800" w:type="dxa"/>
            <w:gridSpan w:val="2"/>
          </w:tcPr>
          <w:p w14:paraId="0189320C" w14:textId="77777777" w:rsidR="00C345C8" w:rsidRPr="0024114A" w:rsidRDefault="00C345C8" w:rsidP="002D6DD7">
            <w:pPr>
              <w:jc w:val="both"/>
              <w:rPr>
                <w:rFonts w:cs="Times New Roman"/>
                <w:szCs w:val="24"/>
                <w:lang w:val="en-US"/>
              </w:rPr>
            </w:pPr>
            <w:r w:rsidRPr="0024114A">
              <w:rPr>
                <w:rFonts w:cs="Times New Roman"/>
                <w:b/>
                <w:bCs/>
                <w:szCs w:val="24"/>
                <w:lang w:val="en-US"/>
              </w:rPr>
              <w:t>Hyoscine butylbromide</w:t>
            </w:r>
          </w:p>
        </w:tc>
      </w:tr>
      <w:tr w:rsidR="00C345C8" w:rsidRPr="0024114A" w14:paraId="1F03CDF6" w14:textId="77777777" w:rsidTr="002D6DD7">
        <w:trPr>
          <w:jc w:val="center"/>
        </w:trPr>
        <w:tc>
          <w:tcPr>
            <w:tcW w:w="2695" w:type="dxa"/>
          </w:tcPr>
          <w:p w14:paraId="6335252E"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08E046AB" w14:textId="77777777" w:rsidR="00C345C8" w:rsidRPr="0024114A" w:rsidRDefault="00C345C8" w:rsidP="002D6DD7">
            <w:pPr>
              <w:jc w:val="both"/>
              <w:rPr>
                <w:rFonts w:cs="Times New Roman"/>
                <w:szCs w:val="24"/>
                <w:lang w:val="en-US"/>
              </w:rPr>
            </w:pPr>
            <w:r w:rsidRPr="0024114A">
              <w:rPr>
                <w:rFonts w:cs="Times New Roman"/>
                <w:color w:val="000000"/>
                <w:szCs w:val="24"/>
              </w:rPr>
              <w:t>Antispasmodic, </w:t>
            </w:r>
            <w:r w:rsidRPr="0024114A">
              <w:rPr>
                <w:rFonts w:eastAsia="Arial" w:cs="Times New Roman"/>
                <w:color w:val="040C28"/>
                <w:szCs w:val="24"/>
                <w:lang w:val="en-US"/>
              </w:rPr>
              <w:t>A</w:t>
            </w:r>
            <w:r w:rsidRPr="0024114A">
              <w:rPr>
                <w:rFonts w:eastAsia="Arial" w:cs="Times New Roman"/>
                <w:color w:val="040C28"/>
                <w:szCs w:val="24"/>
              </w:rPr>
              <w:t>nticholinergic</w:t>
            </w:r>
          </w:p>
        </w:tc>
      </w:tr>
      <w:tr w:rsidR="00C345C8" w:rsidRPr="0024114A" w14:paraId="129A7B50" w14:textId="77777777" w:rsidTr="002D6DD7">
        <w:trPr>
          <w:jc w:val="center"/>
        </w:trPr>
        <w:tc>
          <w:tcPr>
            <w:tcW w:w="2695" w:type="dxa"/>
          </w:tcPr>
          <w:p w14:paraId="700126EA"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773EC2F6" w14:textId="77777777" w:rsidR="00C345C8" w:rsidRPr="0024114A" w:rsidRDefault="00C345C8" w:rsidP="002D6DD7">
            <w:pPr>
              <w:jc w:val="both"/>
              <w:rPr>
                <w:rFonts w:cs="Times New Roman"/>
                <w:szCs w:val="24"/>
                <w:lang w:val="en-US"/>
              </w:rPr>
            </w:pPr>
            <w:r w:rsidRPr="0024114A">
              <w:rPr>
                <w:rFonts w:cs="Times New Roman"/>
                <w:szCs w:val="24"/>
                <w:lang w:val="en-US"/>
              </w:rPr>
              <w:t>Injection: 20 mg/ml</w:t>
            </w:r>
          </w:p>
          <w:p w14:paraId="3DCA3D32" w14:textId="77777777" w:rsidR="00C345C8" w:rsidRPr="0024114A" w:rsidRDefault="00C345C8" w:rsidP="002D6DD7">
            <w:pPr>
              <w:jc w:val="both"/>
              <w:rPr>
                <w:rFonts w:cs="Times New Roman"/>
                <w:szCs w:val="24"/>
                <w:lang w:val="en-US"/>
              </w:rPr>
            </w:pPr>
            <w:r w:rsidRPr="0024114A">
              <w:rPr>
                <w:rFonts w:cs="Times New Roman"/>
                <w:szCs w:val="24"/>
                <w:lang w:val="en-US"/>
              </w:rPr>
              <w:t>Tablet: 10mg, 20mg</w:t>
            </w:r>
          </w:p>
        </w:tc>
      </w:tr>
      <w:tr w:rsidR="00C345C8" w:rsidRPr="0024114A" w14:paraId="4D25B935" w14:textId="77777777" w:rsidTr="002D6DD7">
        <w:trPr>
          <w:jc w:val="center"/>
        </w:trPr>
        <w:tc>
          <w:tcPr>
            <w:tcW w:w="2695" w:type="dxa"/>
          </w:tcPr>
          <w:p w14:paraId="4B795EDD" w14:textId="77777777" w:rsidR="00C345C8" w:rsidRPr="0024114A" w:rsidRDefault="00C345C8" w:rsidP="002D6DD7">
            <w:pPr>
              <w:jc w:val="both"/>
              <w:rPr>
                <w:rFonts w:cs="Times New Roman"/>
                <w:bCs/>
                <w:szCs w:val="24"/>
                <w:lang w:val="en-US"/>
              </w:rPr>
            </w:pPr>
            <w:r w:rsidRPr="0024114A">
              <w:rPr>
                <w:rFonts w:cs="Times New Roman"/>
                <w:bCs/>
                <w:szCs w:val="24"/>
                <w:lang w:val="en-US"/>
              </w:rPr>
              <w:t>Indications</w:t>
            </w:r>
          </w:p>
        </w:tc>
        <w:tc>
          <w:tcPr>
            <w:tcW w:w="6105" w:type="dxa"/>
          </w:tcPr>
          <w:p w14:paraId="0A3923F9" w14:textId="77777777" w:rsidR="00C345C8" w:rsidRPr="0024114A" w:rsidRDefault="00C345C8" w:rsidP="002D6DD7">
            <w:pPr>
              <w:jc w:val="both"/>
              <w:rPr>
                <w:rFonts w:cs="Times New Roman"/>
                <w:szCs w:val="24"/>
                <w:lang w:val="en-US"/>
              </w:rPr>
            </w:pPr>
            <w:r w:rsidRPr="0024114A">
              <w:rPr>
                <w:rFonts w:cs="Times New Roman"/>
                <w:szCs w:val="24"/>
                <w:lang w:val="en-US"/>
              </w:rPr>
              <w:t>Smooth muscle spasm, irritable bowel syndrome, pre-anaestheticmedication.</w:t>
            </w:r>
          </w:p>
        </w:tc>
      </w:tr>
      <w:tr w:rsidR="00C345C8" w:rsidRPr="0024114A" w14:paraId="1B2AD528" w14:textId="77777777" w:rsidTr="002D6DD7">
        <w:trPr>
          <w:jc w:val="center"/>
        </w:trPr>
        <w:tc>
          <w:tcPr>
            <w:tcW w:w="2695" w:type="dxa"/>
          </w:tcPr>
          <w:p w14:paraId="3B3F1779"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7E74420A" w14:textId="77777777" w:rsidR="00C345C8" w:rsidRPr="0024114A" w:rsidRDefault="00C345C8" w:rsidP="002D6DD7">
            <w:pPr>
              <w:jc w:val="both"/>
              <w:rPr>
                <w:rFonts w:cs="Times New Roman"/>
                <w:szCs w:val="24"/>
                <w:lang w:val="en-US"/>
              </w:rPr>
            </w:pPr>
            <w:r w:rsidRPr="0024114A">
              <w:rPr>
                <w:rFonts w:cs="Times New Roman"/>
                <w:b/>
                <w:bCs/>
                <w:szCs w:val="24"/>
                <w:lang w:val="en-US"/>
              </w:rPr>
              <w:t>Smooth muscle spasm,</w:t>
            </w:r>
            <w:r>
              <w:rPr>
                <w:rFonts w:cs="Times New Roman"/>
                <w:b/>
                <w:bCs/>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4D16659B"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20 mg four times daily</w:t>
            </w:r>
          </w:p>
          <w:p w14:paraId="6F44BB68" w14:textId="77777777" w:rsidR="00C345C8" w:rsidRPr="0024114A" w:rsidRDefault="00C345C8" w:rsidP="002D6DD7">
            <w:pPr>
              <w:jc w:val="both"/>
              <w:rPr>
                <w:rFonts w:cs="Times New Roman"/>
                <w:szCs w:val="24"/>
                <w:lang w:val="en-US"/>
              </w:rPr>
            </w:pPr>
            <w:r w:rsidRPr="0024114A">
              <w:rPr>
                <w:rFonts w:cs="Times New Roman"/>
                <w:szCs w:val="24"/>
                <w:lang w:val="en-US"/>
              </w:rPr>
              <w:t>IM or IV, acute spasm and spasm in diagnostic procedures:20 mg repeated after 30 minutes if necessary; may be repeated more frequently in endoscopy; maximum 100 mg daily.</w:t>
            </w:r>
          </w:p>
          <w:p w14:paraId="3AD6654A" w14:textId="77777777" w:rsidR="00C345C8" w:rsidRPr="0024114A" w:rsidRDefault="00C345C8" w:rsidP="002D6DD7">
            <w:pPr>
              <w:jc w:val="both"/>
              <w:rPr>
                <w:rFonts w:cs="Times New Roman"/>
                <w:szCs w:val="24"/>
                <w:lang w:val="en-US"/>
              </w:rPr>
            </w:pPr>
            <w:r w:rsidRPr="0024114A">
              <w:rPr>
                <w:rFonts w:cs="Times New Roman"/>
                <w:b/>
                <w:bCs/>
                <w:szCs w:val="24"/>
                <w:lang w:val="en-US"/>
              </w:rPr>
              <w:t>Irritable bowel syndrome</w:t>
            </w:r>
            <w:r w:rsidR="00B5726C">
              <w:rPr>
                <w:rFonts w:cs="Times New Roman"/>
                <w:b/>
                <w:bCs/>
                <w:szCs w:val="24"/>
                <w:lang w:val="en-US"/>
              </w:rPr>
              <w:t xml:space="preserve">, </w:t>
            </w:r>
            <w:r w:rsidRPr="00B5726C">
              <w:rPr>
                <w:rFonts w:cs="Times New Roman"/>
                <w:szCs w:val="24"/>
                <w:lang w:val="en-US"/>
              </w:rPr>
              <w:t>oral</w:t>
            </w:r>
            <w:r w:rsidRPr="0024114A">
              <w:rPr>
                <w:rFonts w:cs="Times New Roman"/>
                <w:szCs w:val="24"/>
                <w:lang w:val="en-US"/>
              </w:rPr>
              <w:t>:</w:t>
            </w:r>
          </w:p>
          <w:p w14:paraId="4DF89FE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10 mg 3 times daily, increase ifrequired up to 20 mg 4 times daily</w:t>
            </w:r>
          </w:p>
          <w:p w14:paraId="561C0AFB" w14:textId="77777777" w:rsidR="00C345C8" w:rsidRPr="0024114A" w:rsidRDefault="00C345C8" w:rsidP="002D6DD7">
            <w:pPr>
              <w:jc w:val="both"/>
              <w:rPr>
                <w:rFonts w:cs="Times New Roman"/>
                <w:szCs w:val="24"/>
                <w:lang w:val="en-US"/>
              </w:rPr>
            </w:pPr>
            <w:r w:rsidRPr="0024114A">
              <w:rPr>
                <w:rFonts w:cs="Times New Roman"/>
                <w:b/>
                <w:szCs w:val="24"/>
                <w:lang w:val="en-US"/>
              </w:rPr>
              <w:t>Premedication</w:t>
            </w:r>
            <w:r w:rsidRPr="0024114A">
              <w:rPr>
                <w:rFonts w:cs="Times New Roman"/>
                <w:szCs w:val="24"/>
                <w:lang w:val="en-US"/>
              </w:rPr>
              <w:t xml:space="preserve">, </w:t>
            </w:r>
            <w:r w:rsidRPr="00B5726C">
              <w:rPr>
                <w:rFonts w:cs="Times New Roman"/>
                <w:szCs w:val="24"/>
                <w:lang w:val="en-US"/>
              </w:rPr>
              <w:t>IM or SC</w:t>
            </w:r>
            <w:r w:rsidRPr="0024114A">
              <w:rPr>
                <w:rFonts w:cs="Times New Roman"/>
                <w:szCs w:val="24"/>
                <w:lang w:val="en-US"/>
              </w:rPr>
              <w:t>:</w:t>
            </w:r>
          </w:p>
          <w:p w14:paraId="0CDE2EC1"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200-600 mcg to be administered 30-60 minutes before induction of anesthesia.</w:t>
            </w:r>
          </w:p>
          <w:p w14:paraId="42B46759" w14:textId="77777777" w:rsidR="00C345C8" w:rsidRPr="0024114A" w:rsidRDefault="00C345C8" w:rsidP="002D6DD7">
            <w:pPr>
              <w:jc w:val="both"/>
              <w:rPr>
                <w:rFonts w:cs="Times New Roman"/>
                <w:szCs w:val="24"/>
                <w:lang w:val="en-US"/>
              </w:rPr>
            </w:pPr>
            <w:r w:rsidRPr="0024114A">
              <w:rPr>
                <w:rFonts w:cs="Times New Roman"/>
                <w:b/>
                <w:bCs/>
                <w:szCs w:val="24"/>
                <w:lang w:val="en-US"/>
              </w:rPr>
              <w:t>Acute spasm</w:t>
            </w:r>
            <w:r w:rsidRPr="0024114A">
              <w:rPr>
                <w:rFonts w:cs="Times New Roman"/>
                <w:szCs w:val="24"/>
                <w:lang w:val="en-US"/>
              </w:rPr>
              <w:t>,</w:t>
            </w:r>
            <w:r w:rsidRPr="0024114A">
              <w:rPr>
                <w:rFonts w:cs="Times New Roman"/>
                <w:b/>
                <w:bCs/>
                <w:szCs w:val="24"/>
                <w:lang w:val="en-US"/>
              </w:rPr>
              <w:t xml:space="preserve"> spasm in diagnostic procedures: </w:t>
            </w:r>
            <w:r w:rsidRPr="0024114A">
              <w:rPr>
                <w:rFonts w:cs="Times New Roman"/>
                <w:szCs w:val="24"/>
                <w:lang w:val="en-US"/>
              </w:rPr>
              <w:t xml:space="preserve">initially by </w:t>
            </w:r>
            <w:r w:rsidRPr="00B5726C">
              <w:rPr>
                <w:rFonts w:cs="Times New Roman"/>
                <w:szCs w:val="24"/>
                <w:lang w:val="en-US"/>
              </w:rPr>
              <w:t>IM injection or by slow IV injection</w:t>
            </w:r>
            <w:r w:rsidRPr="0024114A">
              <w:rPr>
                <w:rFonts w:cs="Times New Roman"/>
                <w:b/>
                <w:szCs w:val="24"/>
                <w:lang w:val="en-US"/>
              </w:rPr>
              <w:t>:</w:t>
            </w:r>
          </w:p>
          <w:p w14:paraId="1DED94E1" w14:textId="77777777" w:rsidR="00C345C8" w:rsidRPr="0024114A" w:rsidRDefault="00C345C8" w:rsidP="002D6DD7">
            <w:pPr>
              <w:jc w:val="both"/>
              <w:rPr>
                <w:rFonts w:cs="Times New Roman"/>
                <w:szCs w:val="24"/>
                <w:lang w:val="en-US"/>
              </w:rPr>
            </w:pPr>
            <w:r w:rsidRPr="0024114A">
              <w:rPr>
                <w:rFonts w:cs="Times New Roman"/>
                <w:b/>
                <w:bCs/>
                <w:szCs w:val="24"/>
                <w:lang w:val="en-US"/>
              </w:rPr>
              <w:t>Child 2–5 years</w:t>
            </w:r>
            <w:r w:rsidRPr="0024114A">
              <w:rPr>
                <w:rFonts w:cs="Times New Roman"/>
                <w:szCs w:val="24"/>
                <w:lang w:val="en-US"/>
              </w:rPr>
              <w:t xml:space="preserve">: 5 mg, then (by IM injection or by slow IV injection) 5 mg after 30 minutes if required, dose may be repeated more frequently in endoscopy, maximum 15 mg per </w:t>
            </w:r>
            <w:r w:rsidRPr="0024114A">
              <w:rPr>
                <w:rFonts w:cs="Times New Roman"/>
                <w:szCs w:val="24"/>
                <w:lang w:val="en-US"/>
              </w:rPr>
              <w:lastRenderedPageBreak/>
              <w:t>day</w:t>
            </w:r>
          </w:p>
          <w:p w14:paraId="3E754385" w14:textId="77777777" w:rsidR="00C345C8" w:rsidRPr="0024114A" w:rsidRDefault="00C345C8" w:rsidP="002D6DD7">
            <w:pPr>
              <w:jc w:val="both"/>
              <w:rPr>
                <w:rFonts w:cs="Times New Roman"/>
                <w:szCs w:val="24"/>
                <w:lang w:val="en-US"/>
              </w:rPr>
            </w:pPr>
            <w:r w:rsidRPr="0024114A">
              <w:rPr>
                <w:rFonts w:cs="Times New Roman"/>
                <w:b/>
                <w:bCs/>
                <w:szCs w:val="24"/>
                <w:lang w:val="en-US"/>
              </w:rPr>
              <w:t>Child 6–11 years</w:t>
            </w:r>
            <w:r w:rsidRPr="0024114A">
              <w:rPr>
                <w:rFonts w:cs="Times New Roman"/>
                <w:szCs w:val="24"/>
                <w:lang w:val="en-US"/>
              </w:rPr>
              <w:t>: 5–10 mg, then (by IM injection or by IV injection) 5–10 mg after 30 minutes if required, dose may be repeated more frequently in endoscopy, maximum 30 mg per day</w:t>
            </w:r>
          </w:p>
          <w:p w14:paraId="33AC1F9B" w14:textId="77777777" w:rsidR="00C345C8" w:rsidRPr="0024114A" w:rsidRDefault="00C345C8" w:rsidP="002D6DD7">
            <w:pPr>
              <w:jc w:val="both"/>
              <w:rPr>
                <w:rFonts w:cs="Times New Roman"/>
                <w:szCs w:val="24"/>
                <w:lang w:val="en-US"/>
              </w:rPr>
            </w:pPr>
            <w:r w:rsidRPr="0024114A">
              <w:rPr>
                <w:rFonts w:cs="Times New Roman"/>
                <w:b/>
                <w:bCs/>
                <w:szCs w:val="24"/>
                <w:lang w:val="en-US"/>
              </w:rPr>
              <w:t>Bowel colic in palliative care</w:t>
            </w:r>
            <w:r w:rsidRPr="0024114A">
              <w:rPr>
                <w:rFonts w:cs="Times New Roman"/>
                <w:b/>
                <w:szCs w:val="24"/>
                <w:lang w:val="en-US"/>
              </w:rPr>
              <w:t xml:space="preserve">, </w:t>
            </w:r>
            <w:r w:rsidRPr="00B5726C">
              <w:rPr>
                <w:rFonts w:cs="Times New Roman"/>
                <w:szCs w:val="24"/>
                <w:lang w:val="en-US"/>
              </w:rPr>
              <w:t>oral</w:t>
            </w:r>
            <w:r w:rsidRPr="0024114A">
              <w:rPr>
                <w:rFonts w:cs="Times New Roman"/>
                <w:b/>
                <w:szCs w:val="24"/>
                <w:lang w:val="en-US"/>
              </w:rPr>
              <w:t>:</w:t>
            </w:r>
          </w:p>
          <w:p w14:paraId="6D45526D" w14:textId="77777777" w:rsidR="00C345C8" w:rsidRPr="0024114A" w:rsidRDefault="00C345C8" w:rsidP="002D6DD7">
            <w:pPr>
              <w:jc w:val="both"/>
              <w:rPr>
                <w:rFonts w:cs="Times New Roman"/>
                <w:szCs w:val="24"/>
                <w:lang w:val="en-US"/>
              </w:rPr>
            </w:pPr>
            <w:r w:rsidRPr="0024114A">
              <w:rPr>
                <w:rFonts w:cs="Times New Roman"/>
                <w:b/>
                <w:bCs/>
                <w:szCs w:val="24"/>
                <w:lang w:val="en-US"/>
              </w:rPr>
              <w:t>Child 1 month–1 year</w:t>
            </w:r>
            <w:r w:rsidRPr="0024114A">
              <w:rPr>
                <w:rFonts w:cs="Times New Roman"/>
                <w:szCs w:val="24"/>
                <w:lang w:val="en-US"/>
              </w:rPr>
              <w:t xml:space="preserve">: 300–500 mcg/kg 3–4 times a day (max. per dose 5 mg) </w:t>
            </w:r>
          </w:p>
          <w:p w14:paraId="177806A0" w14:textId="77777777" w:rsidR="00C345C8" w:rsidRPr="0024114A" w:rsidRDefault="00C345C8" w:rsidP="002D6DD7">
            <w:pPr>
              <w:jc w:val="both"/>
              <w:rPr>
                <w:rFonts w:cs="Times New Roman"/>
                <w:szCs w:val="24"/>
                <w:lang w:val="en-US"/>
              </w:rPr>
            </w:pPr>
            <w:r w:rsidRPr="0024114A">
              <w:rPr>
                <w:rFonts w:cs="Times New Roman"/>
                <w:b/>
                <w:bCs/>
                <w:szCs w:val="24"/>
                <w:lang w:val="en-US"/>
              </w:rPr>
              <w:t>Child 2–4 years</w:t>
            </w:r>
            <w:r w:rsidRPr="0024114A">
              <w:rPr>
                <w:rFonts w:cs="Times New Roman"/>
                <w:szCs w:val="24"/>
                <w:lang w:val="en-US"/>
              </w:rPr>
              <w:t>: 5 mg 3–4 times a day</w:t>
            </w:r>
          </w:p>
          <w:p w14:paraId="72A2F8AC" w14:textId="77777777" w:rsidR="00C345C8" w:rsidRPr="0024114A" w:rsidRDefault="00C345C8" w:rsidP="002D6DD7">
            <w:pPr>
              <w:jc w:val="both"/>
              <w:rPr>
                <w:rFonts w:cs="Times New Roman"/>
                <w:szCs w:val="24"/>
                <w:lang w:val="en-US"/>
              </w:rPr>
            </w:pPr>
            <w:r w:rsidRPr="0024114A">
              <w:rPr>
                <w:rFonts w:cs="Times New Roman"/>
                <w:b/>
                <w:bCs/>
                <w:szCs w:val="24"/>
                <w:lang w:val="en-US"/>
              </w:rPr>
              <w:t>Child 5–11 years</w:t>
            </w:r>
            <w:r w:rsidRPr="0024114A">
              <w:rPr>
                <w:rFonts w:cs="Times New Roman"/>
                <w:szCs w:val="24"/>
                <w:lang w:val="en-US"/>
              </w:rPr>
              <w:t>: 10 mg 3–4 times a day</w:t>
            </w:r>
          </w:p>
          <w:p w14:paraId="712AC270"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xml:space="preserve">: 10–20 mg 3–4 times a day </w:t>
            </w:r>
          </w:p>
          <w:p w14:paraId="10722885" w14:textId="77777777" w:rsidR="00C345C8" w:rsidRPr="0024114A" w:rsidRDefault="00C345C8" w:rsidP="002D6DD7">
            <w:pPr>
              <w:jc w:val="both"/>
              <w:rPr>
                <w:rFonts w:cs="Times New Roman"/>
                <w:b/>
                <w:szCs w:val="24"/>
                <w:lang w:val="en-US"/>
              </w:rPr>
            </w:pPr>
            <w:r w:rsidRPr="0024114A">
              <w:rPr>
                <w:rFonts w:cs="Times New Roman"/>
                <w:b/>
                <w:bCs/>
                <w:szCs w:val="24"/>
                <w:lang w:val="en-US"/>
              </w:rPr>
              <w:t>Bowel colic in palliative care</w:t>
            </w:r>
            <w:r w:rsidRPr="0024114A">
              <w:rPr>
                <w:rFonts w:cs="Times New Roman"/>
                <w:szCs w:val="24"/>
                <w:lang w:val="en-US"/>
              </w:rPr>
              <w:t xml:space="preserve">, </w:t>
            </w:r>
            <w:r w:rsidRPr="00B5726C">
              <w:rPr>
                <w:rFonts w:cs="Times New Roman"/>
                <w:szCs w:val="24"/>
                <w:lang w:val="en-US"/>
              </w:rPr>
              <w:t>by IM injection or IV injection:</w:t>
            </w:r>
          </w:p>
          <w:p w14:paraId="0689241A" w14:textId="77777777" w:rsidR="00C345C8" w:rsidRPr="0024114A" w:rsidRDefault="00C345C8" w:rsidP="002D6DD7">
            <w:pPr>
              <w:jc w:val="both"/>
              <w:rPr>
                <w:rFonts w:cs="Times New Roman"/>
                <w:szCs w:val="24"/>
                <w:lang w:val="en-US"/>
              </w:rPr>
            </w:pPr>
            <w:r w:rsidRPr="0024114A">
              <w:rPr>
                <w:rFonts w:cs="Times New Roman"/>
                <w:b/>
                <w:bCs/>
                <w:szCs w:val="24"/>
                <w:lang w:val="en-US"/>
              </w:rPr>
              <w:t>Child 1 month–4 years</w:t>
            </w:r>
            <w:r w:rsidRPr="0024114A">
              <w:rPr>
                <w:rFonts w:cs="Times New Roman"/>
                <w:szCs w:val="24"/>
                <w:lang w:val="en-US"/>
              </w:rPr>
              <w:t xml:space="preserve">: 300–500 mcg/kg 3–4 times a day (max. per dose 5 mg) </w:t>
            </w:r>
          </w:p>
          <w:p w14:paraId="563AAC3F" w14:textId="77777777" w:rsidR="00C345C8" w:rsidRPr="0024114A" w:rsidRDefault="00C345C8" w:rsidP="002D6DD7">
            <w:pPr>
              <w:jc w:val="both"/>
              <w:rPr>
                <w:rFonts w:cs="Times New Roman"/>
                <w:szCs w:val="24"/>
                <w:lang w:val="en-US"/>
              </w:rPr>
            </w:pPr>
            <w:r w:rsidRPr="0024114A">
              <w:rPr>
                <w:rFonts w:cs="Times New Roman"/>
                <w:b/>
                <w:bCs/>
                <w:szCs w:val="24"/>
                <w:lang w:val="en-US"/>
              </w:rPr>
              <w:t>Child 5–11 years</w:t>
            </w:r>
            <w:r w:rsidRPr="0024114A">
              <w:rPr>
                <w:rFonts w:cs="Times New Roman"/>
                <w:szCs w:val="24"/>
                <w:lang w:val="en-US"/>
              </w:rPr>
              <w:t>: 5–10 mg 3–4 times a day</w:t>
            </w:r>
          </w:p>
          <w:p w14:paraId="23EECC92"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10–20 mg 3–4 times a day</w:t>
            </w:r>
          </w:p>
        </w:tc>
      </w:tr>
      <w:tr w:rsidR="00C345C8" w:rsidRPr="0024114A" w14:paraId="317B0155" w14:textId="77777777" w:rsidTr="002D6DD7">
        <w:trPr>
          <w:jc w:val="center"/>
        </w:trPr>
        <w:tc>
          <w:tcPr>
            <w:tcW w:w="2695" w:type="dxa"/>
          </w:tcPr>
          <w:p w14:paraId="55402A62"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lastRenderedPageBreak/>
              <w:t>Contraindications</w:t>
            </w:r>
          </w:p>
        </w:tc>
        <w:tc>
          <w:tcPr>
            <w:tcW w:w="6105" w:type="dxa"/>
          </w:tcPr>
          <w:p w14:paraId="19A6DD0D"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belladonna alkaloids, tachycardia, geriatric patient, hyperthyroidism, dysrhythmias, ulcerative colitis, renal disease, hepatic disease, galactosaemia, GI obstruction, GI perforation, closed-angle glaucoma</w:t>
            </w:r>
          </w:p>
        </w:tc>
      </w:tr>
      <w:tr w:rsidR="00C345C8" w:rsidRPr="0024114A" w14:paraId="01A090AB" w14:textId="77777777" w:rsidTr="002D6DD7">
        <w:trPr>
          <w:jc w:val="center"/>
        </w:trPr>
        <w:tc>
          <w:tcPr>
            <w:tcW w:w="2695" w:type="dxa"/>
          </w:tcPr>
          <w:p w14:paraId="56EEE9E7"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26901C76" w14:textId="77777777" w:rsidR="00C345C8" w:rsidRPr="0024114A" w:rsidRDefault="00C345C8" w:rsidP="002D6DD7">
            <w:pPr>
              <w:jc w:val="both"/>
              <w:rPr>
                <w:rFonts w:cs="Times New Roman"/>
                <w:szCs w:val="24"/>
                <w:lang w:val="en-US"/>
              </w:rPr>
            </w:pPr>
            <w:r w:rsidRPr="0024114A">
              <w:rPr>
                <w:rFonts w:cs="Times New Roman"/>
                <w:szCs w:val="24"/>
                <w:lang w:val="en-US"/>
              </w:rPr>
              <w:t>CNS depressants, fentanyl</w:t>
            </w:r>
          </w:p>
        </w:tc>
      </w:tr>
      <w:tr w:rsidR="00C345C8" w:rsidRPr="0024114A" w14:paraId="264A851C" w14:textId="77777777" w:rsidTr="002D6DD7">
        <w:trPr>
          <w:jc w:val="center"/>
        </w:trPr>
        <w:tc>
          <w:tcPr>
            <w:tcW w:w="2695" w:type="dxa"/>
          </w:tcPr>
          <w:p w14:paraId="07DAB3A3"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6C2A1A94" w14:textId="77777777" w:rsidR="00C345C8" w:rsidRPr="0024114A" w:rsidRDefault="00C345C8" w:rsidP="002D6DD7">
            <w:pPr>
              <w:jc w:val="both"/>
              <w:rPr>
                <w:rFonts w:cs="Times New Roman"/>
                <w:szCs w:val="24"/>
                <w:lang w:val="en-US"/>
              </w:rPr>
            </w:pPr>
            <w:r w:rsidRPr="0024114A">
              <w:rPr>
                <w:rFonts w:cs="Times New Roman"/>
                <w:szCs w:val="24"/>
                <w:lang w:val="en-US"/>
              </w:rPr>
              <w:t>Headache, confusion, dizziness, hallucination, palpitation, tachycardia, blurred vision, photophobia, cycloplegia, dry mouth, drowsiness, constipation, paralytic ileus, dyspnoea, feeling hot, hypotension, mydriasis, sweat changes</w:t>
            </w:r>
          </w:p>
        </w:tc>
      </w:tr>
      <w:tr w:rsidR="00C345C8" w:rsidRPr="0024114A" w14:paraId="230F6997" w14:textId="77777777" w:rsidTr="002D6DD7">
        <w:trPr>
          <w:jc w:val="center"/>
        </w:trPr>
        <w:tc>
          <w:tcPr>
            <w:tcW w:w="2695" w:type="dxa"/>
          </w:tcPr>
          <w:p w14:paraId="13E13D3F"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42F74499" w14:textId="77777777" w:rsidR="00C345C8" w:rsidRPr="0024114A" w:rsidRDefault="00C345C8" w:rsidP="002D6DD7">
            <w:pPr>
              <w:jc w:val="both"/>
              <w:rPr>
                <w:rFonts w:cs="Times New Roman"/>
                <w:szCs w:val="24"/>
                <w:lang w:val="en-US"/>
              </w:rPr>
            </w:pPr>
            <w:r w:rsidRPr="0024114A">
              <w:rPr>
                <w:rFonts w:cs="Times New Roman"/>
                <w:szCs w:val="24"/>
              </w:rPr>
              <w:t xml:space="preserve">Heart failure, coronary insufficiency, cardiac rhythm disorders, hypertension, </w:t>
            </w:r>
            <w:r w:rsidRPr="0024114A">
              <w:rPr>
                <w:rFonts w:cs="Times New Roman"/>
                <w:szCs w:val="24"/>
                <w:lang w:val="en-US"/>
              </w:rPr>
              <w:t>pregnancy</w:t>
            </w:r>
          </w:p>
        </w:tc>
      </w:tr>
      <w:tr w:rsidR="00C345C8" w:rsidRPr="0024114A" w14:paraId="56F87473" w14:textId="77777777" w:rsidTr="002D6DD7">
        <w:trPr>
          <w:jc w:val="center"/>
        </w:trPr>
        <w:tc>
          <w:tcPr>
            <w:tcW w:w="2695" w:type="dxa"/>
          </w:tcPr>
          <w:p w14:paraId="21528EB0"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7738BEB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31B01400" w14:textId="77777777" w:rsidTr="002D6DD7">
        <w:trPr>
          <w:jc w:val="center"/>
        </w:trPr>
        <w:tc>
          <w:tcPr>
            <w:tcW w:w="8800" w:type="dxa"/>
            <w:gridSpan w:val="2"/>
          </w:tcPr>
          <w:p w14:paraId="14984C34" w14:textId="77777777" w:rsidR="00C345C8" w:rsidRPr="0024114A" w:rsidRDefault="00C345C8" w:rsidP="002D6DD7">
            <w:pPr>
              <w:jc w:val="both"/>
              <w:rPr>
                <w:rFonts w:cs="Times New Roman"/>
                <w:szCs w:val="24"/>
                <w:lang w:val="en-US"/>
              </w:rPr>
            </w:pPr>
            <w:r w:rsidRPr="0024114A">
              <w:rPr>
                <w:rFonts w:cs="Times New Roman"/>
                <w:b/>
                <w:bCs/>
                <w:szCs w:val="24"/>
                <w:lang w:val="en-US"/>
              </w:rPr>
              <w:t>Lactulose</w:t>
            </w:r>
          </w:p>
        </w:tc>
      </w:tr>
      <w:tr w:rsidR="00C345C8" w:rsidRPr="0024114A" w14:paraId="6E5A8E33" w14:textId="77777777" w:rsidTr="002D6DD7">
        <w:trPr>
          <w:jc w:val="center"/>
        </w:trPr>
        <w:tc>
          <w:tcPr>
            <w:tcW w:w="2695" w:type="dxa"/>
          </w:tcPr>
          <w:p w14:paraId="4AFC04D0"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Pharmacological class</w:t>
            </w:r>
          </w:p>
        </w:tc>
        <w:tc>
          <w:tcPr>
            <w:tcW w:w="6105" w:type="dxa"/>
          </w:tcPr>
          <w:p w14:paraId="41517DF9" w14:textId="77777777" w:rsidR="00C345C8" w:rsidRPr="0024114A" w:rsidRDefault="00C345C8" w:rsidP="002D6DD7">
            <w:pPr>
              <w:jc w:val="both"/>
              <w:rPr>
                <w:rFonts w:cs="Times New Roman"/>
                <w:szCs w:val="24"/>
                <w:lang w:val="en-US"/>
              </w:rPr>
            </w:pPr>
            <w:r w:rsidRPr="0024114A">
              <w:rPr>
                <w:rFonts w:cs="Times New Roman"/>
                <w:szCs w:val="24"/>
                <w:lang w:val="en-US"/>
              </w:rPr>
              <w:t>Osmotic laxative</w:t>
            </w:r>
          </w:p>
        </w:tc>
      </w:tr>
      <w:tr w:rsidR="00C345C8" w:rsidRPr="0024114A" w14:paraId="5869EE09" w14:textId="77777777" w:rsidTr="002D6DD7">
        <w:trPr>
          <w:jc w:val="center"/>
        </w:trPr>
        <w:tc>
          <w:tcPr>
            <w:tcW w:w="2695" w:type="dxa"/>
          </w:tcPr>
          <w:p w14:paraId="230E2514"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70B12F21" w14:textId="77777777" w:rsidR="00C345C8" w:rsidRPr="0024114A" w:rsidRDefault="00C345C8" w:rsidP="002D6DD7">
            <w:pPr>
              <w:jc w:val="both"/>
              <w:rPr>
                <w:rFonts w:cs="Times New Roman"/>
                <w:szCs w:val="24"/>
                <w:lang w:val="en-US"/>
              </w:rPr>
            </w:pPr>
            <w:r w:rsidRPr="0024114A">
              <w:rPr>
                <w:rFonts w:cs="Times New Roman"/>
                <w:b/>
                <w:szCs w:val="24"/>
                <w:lang w:val="en-US"/>
              </w:rPr>
              <w:t>Oral</w:t>
            </w:r>
            <w:r w:rsidRPr="0024114A">
              <w:rPr>
                <w:rFonts w:cs="Times New Roman"/>
                <w:szCs w:val="24"/>
                <w:lang w:val="en-US"/>
              </w:rPr>
              <w:t xml:space="preserve"> solution: 10g/15ml</w:t>
            </w:r>
          </w:p>
        </w:tc>
      </w:tr>
      <w:tr w:rsidR="00C345C8" w:rsidRPr="0024114A" w14:paraId="5920A2D5" w14:textId="77777777" w:rsidTr="002D6DD7">
        <w:trPr>
          <w:jc w:val="center"/>
        </w:trPr>
        <w:tc>
          <w:tcPr>
            <w:tcW w:w="2695" w:type="dxa"/>
          </w:tcPr>
          <w:p w14:paraId="72DDC295"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105" w:type="dxa"/>
          </w:tcPr>
          <w:p w14:paraId="407EBCE0" w14:textId="77777777" w:rsidR="00C345C8" w:rsidRPr="0024114A" w:rsidRDefault="00C345C8" w:rsidP="002D6DD7">
            <w:pPr>
              <w:jc w:val="both"/>
              <w:rPr>
                <w:rFonts w:cs="Times New Roman"/>
                <w:szCs w:val="24"/>
                <w:lang w:val="en-US"/>
              </w:rPr>
            </w:pPr>
            <w:r w:rsidRPr="0024114A">
              <w:rPr>
                <w:rFonts w:cs="Times New Roman"/>
                <w:szCs w:val="24"/>
                <w:lang w:val="en-US"/>
              </w:rPr>
              <w:t>Constipation, hepatic encephalopathy</w:t>
            </w:r>
          </w:p>
        </w:tc>
      </w:tr>
      <w:tr w:rsidR="00C345C8" w:rsidRPr="0024114A" w14:paraId="6B503208" w14:textId="77777777" w:rsidTr="002D6DD7">
        <w:trPr>
          <w:jc w:val="center"/>
        </w:trPr>
        <w:tc>
          <w:tcPr>
            <w:tcW w:w="2695" w:type="dxa"/>
          </w:tcPr>
          <w:p w14:paraId="5413ADD4"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12007FCD" w14:textId="77777777" w:rsidR="00C345C8" w:rsidRPr="0024114A" w:rsidRDefault="00C345C8" w:rsidP="002D6DD7">
            <w:pPr>
              <w:tabs>
                <w:tab w:val="center" w:pos="2944"/>
              </w:tabs>
              <w:jc w:val="both"/>
              <w:rPr>
                <w:rFonts w:cs="Times New Roman"/>
                <w:szCs w:val="24"/>
                <w:lang w:val="en-US"/>
              </w:rPr>
            </w:pPr>
            <w:r w:rsidRPr="0024114A">
              <w:rPr>
                <w:rFonts w:cs="Times New Roman"/>
                <w:b/>
                <w:bCs/>
                <w:szCs w:val="24"/>
                <w:lang w:val="en-US"/>
              </w:rPr>
              <w:t xml:space="preserve">Constipation </w:t>
            </w:r>
            <w:r w:rsidRPr="00B5726C">
              <w:rPr>
                <w:rFonts w:cs="Times New Roman"/>
                <w:szCs w:val="24"/>
                <w:lang w:val="en-US"/>
              </w:rPr>
              <w:t>oral</w:t>
            </w:r>
            <w:r w:rsidRPr="0024114A">
              <w:rPr>
                <w:rFonts w:cs="Times New Roman"/>
                <w:b/>
                <w:szCs w:val="24"/>
                <w:lang w:val="en-US"/>
              </w:rPr>
              <w:t>:</w:t>
            </w:r>
          </w:p>
          <w:p w14:paraId="38339086" w14:textId="77777777" w:rsidR="00C345C8" w:rsidRPr="0024114A" w:rsidRDefault="00C345C8" w:rsidP="002D6DD7">
            <w:pPr>
              <w:tabs>
                <w:tab w:val="center" w:pos="2944"/>
              </w:tabs>
              <w:jc w:val="both"/>
              <w:rPr>
                <w:rFonts w:cs="Times New Roman"/>
                <w:b/>
                <w:bCs/>
                <w:szCs w:val="24"/>
                <w:lang w:val="en-US"/>
              </w:rPr>
            </w:pPr>
            <w:r w:rsidRPr="0024114A">
              <w:rPr>
                <w:rFonts w:cs="Times New Roman"/>
                <w:b/>
                <w:bCs/>
                <w:szCs w:val="24"/>
                <w:lang w:val="en-US"/>
              </w:rPr>
              <w:t>Adult:</w:t>
            </w:r>
            <w:r>
              <w:rPr>
                <w:rFonts w:cs="Times New Roman"/>
                <w:b/>
                <w:bCs/>
                <w:szCs w:val="24"/>
                <w:lang w:val="en-US"/>
              </w:rPr>
              <w:t xml:space="preserve"> </w:t>
            </w:r>
            <w:r w:rsidRPr="0024114A">
              <w:rPr>
                <w:rFonts w:cs="Times New Roman"/>
                <w:szCs w:val="24"/>
                <w:lang w:val="en-US"/>
              </w:rPr>
              <w:t xml:space="preserve">Initially 15 ml twice daily, adjusted according to response. </w:t>
            </w:r>
          </w:p>
          <w:p w14:paraId="2D3C2F3C" w14:textId="77777777" w:rsidR="00C345C8" w:rsidRPr="0024114A" w:rsidRDefault="00C345C8" w:rsidP="002D6DD7">
            <w:pPr>
              <w:jc w:val="both"/>
              <w:rPr>
                <w:rFonts w:cs="Times New Roman"/>
                <w:szCs w:val="24"/>
                <w:lang w:val="en-US"/>
              </w:rPr>
            </w:pPr>
            <w:r w:rsidRPr="0024114A">
              <w:rPr>
                <w:rFonts w:cs="Times New Roman"/>
                <w:b/>
                <w:bCs/>
                <w:szCs w:val="24"/>
                <w:lang w:val="en-US"/>
              </w:rPr>
              <w:t>Hepatic encephalopathy</w:t>
            </w:r>
            <w:r w:rsidRPr="0024114A">
              <w:rPr>
                <w:rFonts w:cs="Times New Roman"/>
                <w:szCs w:val="24"/>
                <w:lang w:val="en-US"/>
              </w:rPr>
              <w:t xml:space="preserve">, </w:t>
            </w:r>
            <w:r w:rsidRPr="00B5726C">
              <w:rPr>
                <w:rFonts w:cs="Times New Roman"/>
                <w:szCs w:val="24"/>
                <w:lang w:val="en-US"/>
              </w:rPr>
              <w:t>oral</w:t>
            </w:r>
            <w:r w:rsidRPr="0024114A">
              <w:rPr>
                <w:rFonts w:cs="Times New Roman"/>
                <w:b/>
                <w:szCs w:val="24"/>
                <w:lang w:val="en-US"/>
              </w:rPr>
              <w:t>:</w:t>
            </w:r>
          </w:p>
          <w:p w14:paraId="78ECE05E" w14:textId="77777777" w:rsidR="00C345C8" w:rsidRPr="0024114A" w:rsidRDefault="00C345C8" w:rsidP="002D6DD7">
            <w:pPr>
              <w:jc w:val="both"/>
              <w:rPr>
                <w:rFonts w:cs="Times New Roman"/>
                <w:szCs w:val="24"/>
                <w:lang w:val="en-US"/>
              </w:rPr>
            </w:pPr>
            <w:r w:rsidRPr="0024114A">
              <w:rPr>
                <w:rFonts w:cs="Times New Roman"/>
                <w:b/>
                <w:bCs/>
                <w:szCs w:val="24"/>
                <w:lang w:val="en-US"/>
              </w:rPr>
              <w:t>Adult:</w:t>
            </w:r>
            <w:r w:rsidRPr="0024114A">
              <w:rPr>
                <w:rFonts w:cs="Times New Roman"/>
                <w:szCs w:val="24"/>
                <w:lang w:val="en-US"/>
              </w:rPr>
              <w:t>30–50 ml 3 times a day, subsequently adjusted to produce 2–3 soft stools per day.</w:t>
            </w:r>
          </w:p>
          <w:p w14:paraId="3268729B" w14:textId="77777777" w:rsidR="00C345C8" w:rsidRPr="0024114A" w:rsidRDefault="00C345C8" w:rsidP="002D6DD7">
            <w:pPr>
              <w:jc w:val="both"/>
              <w:rPr>
                <w:rFonts w:cs="Times New Roman"/>
                <w:szCs w:val="24"/>
                <w:lang w:val="en-US"/>
              </w:rPr>
            </w:pPr>
            <w:r w:rsidRPr="0024114A">
              <w:rPr>
                <w:rFonts w:cs="Times New Roman"/>
                <w:b/>
                <w:bCs/>
                <w:szCs w:val="24"/>
                <w:lang w:val="en-US"/>
              </w:rPr>
              <w:t>Constipation</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w:t>
            </w:r>
          </w:p>
          <w:p w14:paraId="6C0172E8" w14:textId="77777777" w:rsidR="00C345C8" w:rsidRPr="0024114A" w:rsidRDefault="00C345C8" w:rsidP="002D6DD7">
            <w:pPr>
              <w:jc w:val="both"/>
              <w:rPr>
                <w:rFonts w:cs="Times New Roman"/>
                <w:szCs w:val="24"/>
                <w:lang w:val="en-US"/>
              </w:rPr>
            </w:pPr>
            <w:r w:rsidRPr="0024114A">
              <w:rPr>
                <w:rFonts w:cs="Times New Roman"/>
                <w:b/>
                <w:bCs/>
                <w:szCs w:val="24"/>
                <w:lang w:val="en-US"/>
              </w:rPr>
              <w:t>Child 1–11 months:</w:t>
            </w:r>
            <w:r w:rsidRPr="0024114A">
              <w:rPr>
                <w:rFonts w:cs="Times New Roman"/>
                <w:szCs w:val="24"/>
                <w:lang w:val="en-US"/>
              </w:rPr>
              <w:t xml:space="preserve"> 2.5 ml twice daily, adjusted according to response</w:t>
            </w:r>
          </w:p>
          <w:p w14:paraId="0EA21CE1" w14:textId="77777777" w:rsidR="00C345C8" w:rsidRPr="0024114A" w:rsidRDefault="00C345C8" w:rsidP="002D6DD7">
            <w:pPr>
              <w:jc w:val="both"/>
              <w:rPr>
                <w:rFonts w:cs="Times New Roman"/>
                <w:szCs w:val="24"/>
                <w:lang w:val="en-US"/>
              </w:rPr>
            </w:pPr>
            <w:r w:rsidRPr="0024114A">
              <w:rPr>
                <w:rFonts w:cs="Times New Roman"/>
                <w:b/>
                <w:bCs/>
                <w:szCs w:val="24"/>
                <w:lang w:val="en-US"/>
              </w:rPr>
              <w:t>Child 1–4 years</w:t>
            </w:r>
            <w:r w:rsidRPr="0024114A">
              <w:rPr>
                <w:rFonts w:cs="Times New Roman"/>
                <w:szCs w:val="24"/>
                <w:lang w:val="en-US"/>
              </w:rPr>
              <w:t>: 2.5–10 ml twice daily, adjusted according to response</w:t>
            </w:r>
          </w:p>
          <w:p w14:paraId="7C3A9B1B" w14:textId="77777777" w:rsidR="00C345C8" w:rsidRPr="0024114A" w:rsidRDefault="00C345C8" w:rsidP="002D6DD7">
            <w:pPr>
              <w:jc w:val="both"/>
              <w:rPr>
                <w:rFonts w:cs="Times New Roman"/>
                <w:szCs w:val="24"/>
                <w:lang w:val="en-US"/>
              </w:rPr>
            </w:pPr>
            <w:r w:rsidRPr="0024114A">
              <w:rPr>
                <w:rFonts w:cs="Times New Roman"/>
                <w:b/>
                <w:bCs/>
                <w:szCs w:val="24"/>
                <w:lang w:val="en-US"/>
              </w:rPr>
              <w:t>Child 5–17 years</w:t>
            </w:r>
            <w:r w:rsidRPr="0024114A">
              <w:rPr>
                <w:rFonts w:cs="Times New Roman"/>
                <w:szCs w:val="24"/>
                <w:lang w:val="en-US"/>
              </w:rPr>
              <w:t>: 5–20 ml twice daily, adjusted according to response</w:t>
            </w:r>
          </w:p>
          <w:p w14:paraId="6F5D63ED" w14:textId="77777777" w:rsidR="00B5726C" w:rsidRDefault="00C345C8" w:rsidP="002D6DD7">
            <w:pPr>
              <w:jc w:val="both"/>
              <w:rPr>
                <w:rFonts w:cs="Times New Roman"/>
                <w:szCs w:val="24"/>
                <w:lang w:val="en-US"/>
              </w:rPr>
            </w:pPr>
            <w:r w:rsidRPr="0024114A">
              <w:rPr>
                <w:rFonts w:cs="Times New Roman"/>
                <w:b/>
                <w:bCs/>
                <w:szCs w:val="24"/>
                <w:lang w:val="en-US"/>
              </w:rPr>
              <w:t>Hepatic encephalopathy</w:t>
            </w:r>
            <w:r w:rsidRPr="0024114A">
              <w:rPr>
                <w:rFonts w:cs="Times New Roman"/>
                <w:szCs w:val="24"/>
                <w:lang w:val="en-US"/>
              </w:rPr>
              <w:t xml:space="preserve">, </w:t>
            </w:r>
            <w:r w:rsidRPr="00B5726C">
              <w:rPr>
                <w:rFonts w:cs="Times New Roman"/>
                <w:szCs w:val="24"/>
                <w:lang w:val="en-US"/>
              </w:rPr>
              <w:t>oral</w:t>
            </w:r>
            <w:r w:rsidRPr="0024114A">
              <w:rPr>
                <w:rFonts w:cs="Times New Roman"/>
                <w:szCs w:val="24"/>
                <w:lang w:val="en-US"/>
              </w:rPr>
              <w:t xml:space="preserve">: </w:t>
            </w:r>
          </w:p>
          <w:p w14:paraId="6CCF6485"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30–50 ml 3 times a day, subsequently a</w:t>
            </w:r>
            <w:r>
              <w:rPr>
                <w:rFonts w:cs="Times New Roman"/>
                <w:szCs w:val="24"/>
                <w:lang w:val="en-US"/>
              </w:rPr>
              <w:t xml:space="preserve"> </w:t>
            </w:r>
            <w:r w:rsidRPr="0024114A">
              <w:rPr>
                <w:rFonts w:cs="Times New Roman"/>
                <w:szCs w:val="24"/>
                <w:lang w:val="en-US"/>
              </w:rPr>
              <w:t>djusted to produce 2–3 soft stools per day</w:t>
            </w:r>
          </w:p>
        </w:tc>
      </w:tr>
      <w:tr w:rsidR="00C345C8" w:rsidRPr="0024114A" w14:paraId="4B09CD6D" w14:textId="77777777" w:rsidTr="002D6DD7">
        <w:trPr>
          <w:jc w:val="center"/>
        </w:trPr>
        <w:tc>
          <w:tcPr>
            <w:tcW w:w="2695" w:type="dxa"/>
          </w:tcPr>
          <w:p w14:paraId="7E9C5683"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105" w:type="dxa"/>
          </w:tcPr>
          <w:p w14:paraId="4EAFD84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Hypersensitivity to the </w:t>
            </w:r>
            <w:r w:rsidR="00A945C9">
              <w:rPr>
                <w:rFonts w:cs="Times New Roman"/>
                <w:szCs w:val="24"/>
                <w:lang w:val="en-US"/>
              </w:rPr>
              <w:t>drug</w:t>
            </w:r>
            <w:r w:rsidRPr="0024114A">
              <w:rPr>
                <w:rFonts w:cs="Times New Roman"/>
                <w:szCs w:val="24"/>
                <w:lang w:val="en-US"/>
              </w:rPr>
              <w:t>, galactosaemia, gastrointestinal obstruction, digestive perforation or risk of digestive perforation (e.g. acute inflammatory bowel disease such as ulcerative colitis, Crohn’s disease)</w:t>
            </w:r>
          </w:p>
        </w:tc>
      </w:tr>
      <w:tr w:rsidR="00C345C8" w:rsidRPr="0024114A" w14:paraId="744CDFBB" w14:textId="77777777" w:rsidTr="002D6DD7">
        <w:trPr>
          <w:jc w:val="center"/>
        </w:trPr>
        <w:tc>
          <w:tcPr>
            <w:tcW w:w="2695" w:type="dxa"/>
          </w:tcPr>
          <w:p w14:paraId="521AA510"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633B482D" w14:textId="77777777" w:rsidR="00C345C8" w:rsidRPr="0024114A" w:rsidRDefault="00C345C8" w:rsidP="002D6DD7">
            <w:pPr>
              <w:jc w:val="both"/>
              <w:rPr>
                <w:rFonts w:cs="Times New Roman"/>
                <w:szCs w:val="24"/>
                <w:lang w:val="en-US"/>
              </w:rPr>
            </w:pPr>
            <w:r w:rsidRPr="0024114A">
              <w:rPr>
                <w:rFonts w:cs="Times New Roman"/>
                <w:szCs w:val="24"/>
                <w:lang w:val="en-US"/>
              </w:rPr>
              <w:t>Other laxatives, nifedipine, warfarin, antacids,</w:t>
            </w:r>
            <w:r>
              <w:rPr>
                <w:rFonts w:cs="Times New Roman"/>
                <w:szCs w:val="24"/>
                <w:lang w:val="en-US"/>
              </w:rPr>
              <w:t xml:space="preserve"> </w:t>
            </w:r>
            <w:r w:rsidRPr="0024114A">
              <w:rPr>
                <w:rFonts w:cs="Times New Roman"/>
                <w:szCs w:val="24"/>
                <w:lang w:val="en-US"/>
              </w:rPr>
              <w:t>sodium bicarbonate.</w:t>
            </w:r>
          </w:p>
        </w:tc>
      </w:tr>
      <w:tr w:rsidR="00C345C8" w:rsidRPr="0024114A" w14:paraId="25E541C6" w14:textId="77777777" w:rsidTr="002D6DD7">
        <w:trPr>
          <w:jc w:val="center"/>
        </w:trPr>
        <w:tc>
          <w:tcPr>
            <w:tcW w:w="2695" w:type="dxa"/>
          </w:tcPr>
          <w:p w14:paraId="442FECAA"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7D97069A" w14:textId="77777777" w:rsidR="00C345C8" w:rsidRPr="0024114A" w:rsidRDefault="00C345C8" w:rsidP="002D6DD7">
            <w:pPr>
              <w:jc w:val="both"/>
              <w:rPr>
                <w:rFonts w:cs="Times New Roman"/>
                <w:szCs w:val="24"/>
                <w:lang w:val="en-US"/>
              </w:rPr>
            </w:pPr>
            <w:r w:rsidRPr="0024114A">
              <w:rPr>
                <w:rFonts w:cs="Times New Roman"/>
                <w:szCs w:val="24"/>
                <w:lang w:val="en-US"/>
              </w:rPr>
              <w:t>Dehydration, abdominal pain/cramps, diarrhea, flatulence, nausea, vomiting, belching, hypernatremia, hypokalemia.</w:t>
            </w:r>
          </w:p>
        </w:tc>
      </w:tr>
      <w:tr w:rsidR="00C345C8" w:rsidRPr="0024114A" w14:paraId="48B6791C" w14:textId="77777777" w:rsidTr="002D6DD7">
        <w:trPr>
          <w:jc w:val="center"/>
        </w:trPr>
        <w:tc>
          <w:tcPr>
            <w:tcW w:w="2695" w:type="dxa"/>
          </w:tcPr>
          <w:p w14:paraId="67191E4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49AB38FF" w14:textId="77777777" w:rsidR="00C345C8" w:rsidRPr="0024114A" w:rsidRDefault="00C345C8" w:rsidP="002D6DD7">
            <w:pPr>
              <w:jc w:val="both"/>
              <w:rPr>
                <w:rFonts w:cs="Times New Roman"/>
                <w:szCs w:val="24"/>
                <w:lang w:val="en-US"/>
              </w:rPr>
            </w:pPr>
            <w:r w:rsidRPr="0024114A">
              <w:rPr>
                <w:rFonts w:cs="Times New Roman"/>
                <w:szCs w:val="24"/>
                <w:lang w:val="en-US"/>
              </w:rPr>
              <w:t>Lactose intolerance, diabetes mellitus</w:t>
            </w:r>
          </w:p>
        </w:tc>
      </w:tr>
      <w:tr w:rsidR="00C345C8" w:rsidRPr="0024114A" w14:paraId="741822FF" w14:textId="77777777" w:rsidTr="002D6DD7">
        <w:trPr>
          <w:jc w:val="center"/>
        </w:trPr>
        <w:tc>
          <w:tcPr>
            <w:tcW w:w="2695" w:type="dxa"/>
          </w:tcPr>
          <w:p w14:paraId="1B510549"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0E447A6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35E9DE52" w14:textId="77777777" w:rsidTr="002D6DD7">
        <w:trPr>
          <w:jc w:val="center"/>
        </w:trPr>
        <w:tc>
          <w:tcPr>
            <w:tcW w:w="2695" w:type="dxa"/>
          </w:tcPr>
          <w:p w14:paraId="5D037437" w14:textId="77777777" w:rsidR="00C345C8" w:rsidRPr="0024114A" w:rsidRDefault="00C345C8" w:rsidP="002D6DD7">
            <w:pPr>
              <w:jc w:val="both"/>
              <w:rPr>
                <w:rFonts w:cs="Times New Roman"/>
                <w:szCs w:val="24"/>
                <w:lang w:val="en-US"/>
              </w:rPr>
            </w:pPr>
            <w:r w:rsidRPr="0024114A">
              <w:rPr>
                <w:rFonts w:cs="Times New Roman"/>
                <w:b/>
                <w:bCs/>
                <w:szCs w:val="24"/>
                <w:lang w:val="en-US"/>
              </w:rPr>
              <w:t>Loperamide</w:t>
            </w:r>
          </w:p>
        </w:tc>
        <w:tc>
          <w:tcPr>
            <w:tcW w:w="6105" w:type="dxa"/>
          </w:tcPr>
          <w:p w14:paraId="688E4B41" w14:textId="77777777" w:rsidR="00C345C8" w:rsidRPr="0024114A" w:rsidRDefault="00C345C8" w:rsidP="002D6DD7">
            <w:pPr>
              <w:jc w:val="both"/>
              <w:rPr>
                <w:rFonts w:cs="Times New Roman"/>
                <w:szCs w:val="24"/>
                <w:lang w:val="en-US"/>
              </w:rPr>
            </w:pPr>
          </w:p>
        </w:tc>
      </w:tr>
      <w:tr w:rsidR="00C345C8" w:rsidRPr="0024114A" w14:paraId="1F31F129" w14:textId="77777777" w:rsidTr="002D6DD7">
        <w:trPr>
          <w:jc w:val="center"/>
        </w:trPr>
        <w:tc>
          <w:tcPr>
            <w:tcW w:w="2695" w:type="dxa"/>
          </w:tcPr>
          <w:p w14:paraId="6802C43B"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4D2F0079" w14:textId="77777777" w:rsidR="00C345C8" w:rsidRPr="0024114A" w:rsidRDefault="00C345C8" w:rsidP="002D6DD7">
            <w:pPr>
              <w:jc w:val="both"/>
              <w:rPr>
                <w:rFonts w:cs="Times New Roman"/>
                <w:szCs w:val="24"/>
                <w:lang w:val="en-US"/>
              </w:rPr>
            </w:pPr>
            <w:r w:rsidRPr="0024114A">
              <w:rPr>
                <w:rFonts w:cs="Times New Roman"/>
                <w:szCs w:val="24"/>
                <w:lang w:val="en-US"/>
              </w:rPr>
              <w:t>Opioid receptor agonist</w:t>
            </w:r>
          </w:p>
        </w:tc>
      </w:tr>
      <w:tr w:rsidR="00C345C8" w:rsidRPr="0024114A" w14:paraId="43AE09CB" w14:textId="77777777" w:rsidTr="002D6DD7">
        <w:trPr>
          <w:jc w:val="center"/>
        </w:trPr>
        <w:tc>
          <w:tcPr>
            <w:tcW w:w="2695" w:type="dxa"/>
          </w:tcPr>
          <w:p w14:paraId="59FD6525"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Dosage form</w:t>
            </w:r>
          </w:p>
        </w:tc>
        <w:tc>
          <w:tcPr>
            <w:tcW w:w="6105" w:type="dxa"/>
          </w:tcPr>
          <w:p w14:paraId="691E1F92" w14:textId="77777777" w:rsidR="00C345C8" w:rsidRPr="0024114A" w:rsidRDefault="00C345C8" w:rsidP="002D6DD7">
            <w:pPr>
              <w:jc w:val="both"/>
              <w:rPr>
                <w:rFonts w:cs="Times New Roman"/>
                <w:szCs w:val="24"/>
                <w:lang w:val="en-US"/>
              </w:rPr>
            </w:pPr>
            <w:r w:rsidRPr="0024114A">
              <w:rPr>
                <w:rFonts w:cs="Times New Roman"/>
                <w:szCs w:val="24"/>
                <w:lang w:val="en-US"/>
              </w:rPr>
              <w:t>Tablet: 2 mg</w:t>
            </w:r>
          </w:p>
        </w:tc>
      </w:tr>
      <w:tr w:rsidR="00C345C8" w:rsidRPr="0024114A" w14:paraId="6FC3C93B" w14:textId="77777777" w:rsidTr="002D6DD7">
        <w:trPr>
          <w:jc w:val="center"/>
        </w:trPr>
        <w:tc>
          <w:tcPr>
            <w:tcW w:w="2695" w:type="dxa"/>
          </w:tcPr>
          <w:p w14:paraId="06BA7DDA" w14:textId="77777777" w:rsidR="00C345C8" w:rsidRPr="00A945C9" w:rsidRDefault="00C345C8" w:rsidP="002D6DD7">
            <w:pPr>
              <w:jc w:val="both"/>
              <w:rPr>
                <w:rFonts w:cs="Times New Roman"/>
                <w:szCs w:val="24"/>
                <w:lang w:val="en-US"/>
              </w:rPr>
            </w:pPr>
            <w:r w:rsidRPr="00A945C9">
              <w:rPr>
                <w:rFonts w:cs="Times New Roman"/>
                <w:szCs w:val="24"/>
                <w:lang w:val="en-US"/>
              </w:rPr>
              <w:t>Indications</w:t>
            </w:r>
          </w:p>
        </w:tc>
        <w:tc>
          <w:tcPr>
            <w:tcW w:w="6105" w:type="dxa"/>
          </w:tcPr>
          <w:p w14:paraId="3B7AC426"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Acute nonspecific diarrhea, chronic diarrhea, faecal incontinence, pain of intestinal colic </w:t>
            </w:r>
          </w:p>
        </w:tc>
      </w:tr>
      <w:tr w:rsidR="00C345C8" w:rsidRPr="0024114A" w14:paraId="25162974" w14:textId="77777777" w:rsidTr="002D6DD7">
        <w:trPr>
          <w:jc w:val="center"/>
        </w:trPr>
        <w:tc>
          <w:tcPr>
            <w:tcW w:w="2695" w:type="dxa"/>
          </w:tcPr>
          <w:p w14:paraId="450BDE0F"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7352C894" w14:textId="77777777" w:rsidR="00C345C8" w:rsidRPr="0024114A" w:rsidRDefault="00C345C8" w:rsidP="002D6DD7">
            <w:pPr>
              <w:tabs>
                <w:tab w:val="left" w:pos="1487"/>
              </w:tabs>
              <w:jc w:val="both"/>
              <w:rPr>
                <w:rFonts w:cs="Times New Roman"/>
                <w:szCs w:val="24"/>
                <w:lang w:val="en-US"/>
              </w:rPr>
            </w:pPr>
            <w:r w:rsidRPr="0024114A">
              <w:rPr>
                <w:rFonts w:cs="Times New Roman"/>
                <w:b/>
                <w:bCs/>
                <w:szCs w:val="24"/>
                <w:lang w:val="en-US"/>
              </w:rPr>
              <w:t>Acute diarrhea</w:t>
            </w:r>
            <w:r w:rsidRPr="0024114A">
              <w:rPr>
                <w:rFonts w:cs="Times New Roman"/>
                <w:szCs w:val="24"/>
                <w:lang w:val="en-US"/>
              </w:rPr>
              <w:t xml:space="preserve">, </w:t>
            </w:r>
            <w:r w:rsidRPr="00A945C9">
              <w:rPr>
                <w:rFonts w:cs="Times New Roman"/>
                <w:szCs w:val="24"/>
                <w:lang w:val="en-US"/>
              </w:rPr>
              <w:t>oral</w:t>
            </w:r>
            <w:r w:rsidRPr="0024114A">
              <w:rPr>
                <w:rFonts w:cs="Times New Roman"/>
                <w:szCs w:val="24"/>
                <w:lang w:val="en-US"/>
              </w:rPr>
              <w:t>:</w:t>
            </w:r>
          </w:p>
          <w:p w14:paraId="49E5BB85" w14:textId="77777777" w:rsidR="00C345C8" w:rsidRPr="0024114A" w:rsidRDefault="00C345C8" w:rsidP="002D6DD7">
            <w:pPr>
              <w:tabs>
                <w:tab w:val="left" w:pos="1487"/>
              </w:tabs>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4 mg, followed by 2 mg for up to 5 days, usual dose 6 to 8 mg daily, maximum 16 mg per day</w:t>
            </w:r>
          </w:p>
          <w:p w14:paraId="0D57AA92" w14:textId="77777777" w:rsidR="00C345C8" w:rsidRPr="0024114A" w:rsidRDefault="00C345C8" w:rsidP="002D6DD7">
            <w:pPr>
              <w:jc w:val="both"/>
              <w:rPr>
                <w:rFonts w:cs="Times New Roman"/>
                <w:szCs w:val="24"/>
                <w:lang w:val="en-US"/>
              </w:rPr>
            </w:pPr>
            <w:r w:rsidRPr="0024114A">
              <w:rPr>
                <w:rFonts w:cs="Times New Roman"/>
                <w:b/>
                <w:bCs/>
                <w:szCs w:val="24"/>
                <w:lang w:val="en-US"/>
              </w:rPr>
              <w:t>Chronic diarrhea</w:t>
            </w:r>
            <w:r w:rsidRPr="0024114A">
              <w:rPr>
                <w:rFonts w:cs="Times New Roman"/>
                <w:szCs w:val="24"/>
                <w:lang w:val="en-US"/>
              </w:rPr>
              <w:t xml:space="preserve">, </w:t>
            </w:r>
            <w:r w:rsidRPr="00A945C9">
              <w:rPr>
                <w:rFonts w:cs="Times New Roman"/>
                <w:szCs w:val="24"/>
                <w:lang w:val="en-US"/>
              </w:rPr>
              <w:t>oral:</w:t>
            </w:r>
            <w:r w:rsidRPr="0024114A">
              <w:rPr>
                <w:rFonts w:cs="Times New Roman"/>
                <w:szCs w:val="24"/>
                <w:lang w:val="en-US"/>
              </w:rPr>
              <w:t xml:space="preserve"> </w:t>
            </w:r>
          </w:p>
          <w:p w14:paraId="773760ED" w14:textId="77777777" w:rsidR="00C345C8" w:rsidRPr="0024114A" w:rsidRDefault="00C345C8" w:rsidP="002D6DD7">
            <w:pPr>
              <w:jc w:val="both"/>
              <w:rPr>
                <w:rFonts w:cs="Times New Roman"/>
                <w:szCs w:val="24"/>
                <w:lang w:val="en-US"/>
              </w:rPr>
            </w:pPr>
            <w:r w:rsidRPr="0024114A">
              <w:rPr>
                <w:rFonts w:cs="Times New Roman"/>
                <w:b/>
                <w:bCs/>
                <w:szCs w:val="24"/>
                <w:lang w:val="en-US"/>
              </w:rPr>
              <w:t>Adult:</w:t>
            </w:r>
            <w:r>
              <w:rPr>
                <w:rFonts w:cs="Times New Roman"/>
                <w:b/>
                <w:bCs/>
                <w:szCs w:val="24"/>
                <w:lang w:val="en-US"/>
              </w:rPr>
              <w:t xml:space="preserve"> </w:t>
            </w:r>
            <w:r w:rsidRPr="0024114A">
              <w:rPr>
                <w:rFonts w:cs="Times New Roman"/>
                <w:szCs w:val="24"/>
                <w:lang w:val="en-US"/>
              </w:rPr>
              <w:t>Initially 4 to 8 mg daily in divided doses, subsequently adjusted accordance to response, maintenance up to 16 mg daily in 2 divided doses</w:t>
            </w:r>
          </w:p>
          <w:p w14:paraId="228E65A7"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Chronic diarrhea, </w:t>
            </w:r>
            <w:r w:rsidRPr="00A945C9">
              <w:rPr>
                <w:rFonts w:cs="Times New Roman"/>
                <w:szCs w:val="24"/>
                <w:lang w:val="en-US"/>
              </w:rPr>
              <w:t>oral</w:t>
            </w:r>
            <w:r w:rsidRPr="0024114A">
              <w:rPr>
                <w:rFonts w:cs="Times New Roman"/>
                <w:szCs w:val="24"/>
                <w:lang w:val="en-US"/>
              </w:rPr>
              <w:t xml:space="preserve">: </w:t>
            </w:r>
          </w:p>
          <w:p w14:paraId="4BDE6D64" w14:textId="77777777" w:rsidR="00C345C8" w:rsidRPr="0024114A" w:rsidRDefault="00C345C8" w:rsidP="002D6DD7">
            <w:pPr>
              <w:jc w:val="both"/>
              <w:rPr>
                <w:rFonts w:cs="Times New Roman"/>
                <w:szCs w:val="24"/>
                <w:lang w:val="en-US"/>
              </w:rPr>
            </w:pPr>
            <w:r w:rsidRPr="0024114A">
              <w:rPr>
                <w:rFonts w:cs="Times New Roman"/>
                <w:b/>
                <w:szCs w:val="24"/>
                <w:lang w:val="en-US"/>
              </w:rPr>
              <w:t>Child over 2 years:</w:t>
            </w:r>
            <w:r w:rsidRPr="0024114A">
              <w:rPr>
                <w:rFonts w:cs="Times New Roman"/>
                <w:szCs w:val="24"/>
                <w:lang w:val="en-US"/>
              </w:rPr>
              <w:t xml:space="preserve"> Initially 1 mg/12.5 kg body mass, followed by 0.5 mg/12.5 kg after each loose stool; alternatively, 0.08–0.24 mg/kg/day in 2–3 divided doses</w:t>
            </w:r>
          </w:p>
          <w:p w14:paraId="2F17783C" w14:textId="77777777" w:rsidR="00C345C8" w:rsidRPr="0024114A" w:rsidRDefault="00C345C8" w:rsidP="002D6DD7">
            <w:pPr>
              <w:jc w:val="both"/>
              <w:rPr>
                <w:rFonts w:cs="Times New Roman"/>
                <w:szCs w:val="24"/>
                <w:lang w:val="en-US"/>
              </w:rPr>
            </w:pPr>
            <w:r w:rsidRPr="0024114A">
              <w:rPr>
                <w:rFonts w:cs="Times New Roman"/>
                <w:b/>
                <w:bCs/>
                <w:szCs w:val="24"/>
                <w:lang w:val="en-US"/>
              </w:rPr>
              <w:t>Symptomatic treatment of acute diarrhea</w:t>
            </w:r>
            <w:r w:rsidRPr="0024114A">
              <w:rPr>
                <w:rFonts w:cs="Times New Roman"/>
                <w:szCs w:val="24"/>
                <w:lang w:val="en-US"/>
              </w:rPr>
              <w:t xml:space="preserve">, </w:t>
            </w:r>
            <w:r w:rsidRPr="00A945C9">
              <w:rPr>
                <w:rFonts w:cs="Times New Roman"/>
                <w:szCs w:val="24"/>
                <w:lang w:val="en-US"/>
              </w:rPr>
              <w:t>oral:</w:t>
            </w:r>
          </w:p>
          <w:p w14:paraId="326C66A5" w14:textId="77777777" w:rsidR="00C345C8" w:rsidRPr="0024114A" w:rsidRDefault="00C345C8" w:rsidP="002D6DD7">
            <w:pPr>
              <w:jc w:val="both"/>
              <w:rPr>
                <w:rFonts w:cs="Times New Roman"/>
                <w:szCs w:val="24"/>
                <w:lang w:val="en-US"/>
              </w:rPr>
            </w:pPr>
            <w:r w:rsidRPr="0024114A">
              <w:rPr>
                <w:rFonts w:cs="Times New Roman"/>
                <w:b/>
                <w:bCs/>
                <w:szCs w:val="24"/>
                <w:lang w:val="en-US"/>
              </w:rPr>
              <w:t>Child 4–7 years</w:t>
            </w:r>
            <w:r w:rsidRPr="0024114A">
              <w:rPr>
                <w:rFonts w:cs="Times New Roman"/>
                <w:szCs w:val="24"/>
                <w:lang w:val="en-US"/>
              </w:rPr>
              <w:t>: 1 mg 3–4 times a day for up to 3 days only</w:t>
            </w:r>
          </w:p>
          <w:p w14:paraId="03AAA169" w14:textId="77777777" w:rsidR="00C345C8" w:rsidRPr="0024114A" w:rsidRDefault="00C345C8" w:rsidP="002D6DD7">
            <w:pPr>
              <w:jc w:val="both"/>
              <w:rPr>
                <w:rFonts w:cs="Times New Roman"/>
                <w:szCs w:val="24"/>
                <w:lang w:val="en-US"/>
              </w:rPr>
            </w:pPr>
            <w:r w:rsidRPr="0024114A">
              <w:rPr>
                <w:rFonts w:cs="Times New Roman"/>
                <w:b/>
                <w:bCs/>
                <w:szCs w:val="24"/>
                <w:lang w:val="en-US"/>
              </w:rPr>
              <w:t>Child 8–11 years</w:t>
            </w:r>
            <w:r w:rsidRPr="0024114A">
              <w:rPr>
                <w:rFonts w:cs="Times New Roman"/>
                <w:szCs w:val="24"/>
                <w:lang w:val="en-US"/>
              </w:rPr>
              <w:t>: 2 mg 4 times a day for up to 5 days</w:t>
            </w:r>
          </w:p>
          <w:p w14:paraId="43FEE7FA" w14:textId="77777777" w:rsidR="00C345C8" w:rsidRPr="0024114A" w:rsidRDefault="00C345C8" w:rsidP="002D6DD7">
            <w:pPr>
              <w:jc w:val="both"/>
              <w:rPr>
                <w:rFonts w:cs="Times New Roman"/>
                <w:i/>
                <w:szCs w:val="24"/>
                <w:lang w:val="en-US"/>
              </w:rPr>
            </w:pPr>
            <w:r w:rsidRPr="0024114A">
              <w:rPr>
                <w:rFonts w:cs="Times New Roman"/>
                <w:i/>
                <w:szCs w:val="24"/>
                <w:lang w:val="en-US"/>
              </w:rPr>
              <w:t>Note: Not recommended for children under 12 years</w:t>
            </w:r>
          </w:p>
        </w:tc>
      </w:tr>
      <w:tr w:rsidR="00C345C8" w:rsidRPr="0024114A" w14:paraId="65134CA0" w14:textId="77777777" w:rsidTr="002D6DD7">
        <w:trPr>
          <w:jc w:val="center"/>
        </w:trPr>
        <w:tc>
          <w:tcPr>
            <w:tcW w:w="2695" w:type="dxa"/>
          </w:tcPr>
          <w:p w14:paraId="5E41137E"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t>Contraindications</w:t>
            </w:r>
          </w:p>
        </w:tc>
        <w:tc>
          <w:tcPr>
            <w:tcW w:w="6105" w:type="dxa"/>
          </w:tcPr>
          <w:p w14:paraId="0195A623"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active ulcerative colitis, antibiotic associated colitis, abdominal distention, risk of inhibition of peristalsis, bloody diarrhea, high fever, infectious diarrhea, pseudomembranous colitis, age &lt;2 years.</w:t>
            </w:r>
          </w:p>
        </w:tc>
      </w:tr>
      <w:tr w:rsidR="00C345C8" w:rsidRPr="0024114A" w14:paraId="334A926E" w14:textId="77777777" w:rsidTr="002D6DD7">
        <w:trPr>
          <w:jc w:val="center"/>
        </w:trPr>
        <w:tc>
          <w:tcPr>
            <w:tcW w:w="2695" w:type="dxa"/>
          </w:tcPr>
          <w:p w14:paraId="306F9402"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438DD5A9" w14:textId="77777777" w:rsidR="00C345C8" w:rsidRPr="0024114A" w:rsidRDefault="00C345C8" w:rsidP="002D6DD7">
            <w:pPr>
              <w:jc w:val="both"/>
              <w:rPr>
                <w:rFonts w:cs="Times New Roman"/>
                <w:szCs w:val="24"/>
                <w:lang w:val="en-US"/>
              </w:rPr>
            </w:pPr>
            <w:r w:rsidRPr="0024114A">
              <w:rPr>
                <w:rFonts w:cs="Times New Roman"/>
                <w:szCs w:val="24"/>
                <w:lang w:val="en-US"/>
              </w:rPr>
              <w:t>Artemether+lumefantrine, bedaquiline, fentanyl, opioid analgesics, CNS depressants (e.g., alcohol), drugs with QTc prolongation (quinine, clozapine, clarithromycin), toxic megacolon.</w:t>
            </w:r>
          </w:p>
        </w:tc>
      </w:tr>
      <w:tr w:rsidR="00C345C8" w:rsidRPr="0024114A" w14:paraId="59E66E20" w14:textId="77777777" w:rsidTr="002D6DD7">
        <w:trPr>
          <w:jc w:val="center"/>
        </w:trPr>
        <w:tc>
          <w:tcPr>
            <w:tcW w:w="2695" w:type="dxa"/>
          </w:tcPr>
          <w:p w14:paraId="4EE05E3A"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108BAFDD"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Dizziness, drowsiness, fatigue, flatulence, headache, nausea, angioedema. </w:t>
            </w:r>
          </w:p>
        </w:tc>
      </w:tr>
      <w:tr w:rsidR="00C345C8" w:rsidRPr="0024114A" w14:paraId="6361B4E7" w14:textId="77777777" w:rsidTr="002D6DD7">
        <w:trPr>
          <w:jc w:val="center"/>
        </w:trPr>
        <w:tc>
          <w:tcPr>
            <w:tcW w:w="2695" w:type="dxa"/>
          </w:tcPr>
          <w:p w14:paraId="781BAE58"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58FC5550" w14:textId="77777777" w:rsidR="00C345C8" w:rsidRPr="0024114A" w:rsidRDefault="00C345C8" w:rsidP="002D6DD7">
            <w:pPr>
              <w:jc w:val="both"/>
              <w:rPr>
                <w:rFonts w:cs="Times New Roman"/>
                <w:szCs w:val="24"/>
                <w:lang w:val="en-US"/>
              </w:rPr>
            </w:pPr>
            <w:r w:rsidRPr="0024114A">
              <w:rPr>
                <w:rFonts w:cs="Times New Roman"/>
                <w:szCs w:val="24"/>
                <w:lang w:val="en-US"/>
              </w:rPr>
              <w:t>Dehydration, hepatic impairment</w:t>
            </w:r>
          </w:p>
        </w:tc>
      </w:tr>
      <w:tr w:rsidR="00C345C8" w:rsidRPr="0024114A" w14:paraId="023AC301" w14:textId="77777777" w:rsidTr="002D6DD7">
        <w:trPr>
          <w:jc w:val="center"/>
        </w:trPr>
        <w:tc>
          <w:tcPr>
            <w:tcW w:w="2695" w:type="dxa"/>
          </w:tcPr>
          <w:p w14:paraId="3665EFC4"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7FABF09D"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77E8659A" w14:textId="77777777" w:rsidTr="002D6DD7">
        <w:trPr>
          <w:jc w:val="center"/>
        </w:trPr>
        <w:tc>
          <w:tcPr>
            <w:tcW w:w="8800" w:type="dxa"/>
            <w:gridSpan w:val="2"/>
          </w:tcPr>
          <w:p w14:paraId="2357BC88" w14:textId="77777777" w:rsidR="00C345C8" w:rsidRPr="0024114A" w:rsidRDefault="00C345C8" w:rsidP="002D6DD7">
            <w:pPr>
              <w:jc w:val="both"/>
              <w:rPr>
                <w:rFonts w:cs="Times New Roman"/>
                <w:szCs w:val="24"/>
                <w:lang w:val="en-US"/>
              </w:rPr>
            </w:pPr>
            <w:r w:rsidRPr="0024114A">
              <w:rPr>
                <w:rFonts w:cs="Times New Roman"/>
                <w:b/>
                <w:bCs/>
                <w:szCs w:val="24"/>
                <w:lang w:val="en-US"/>
              </w:rPr>
              <w:t>Meclizine hydrochloride</w:t>
            </w:r>
          </w:p>
        </w:tc>
      </w:tr>
      <w:tr w:rsidR="00C345C8" w:rsidRPr="0024114A" w14:paraId="39E66939" w14:textId="77777777" w:rsidTr="002D6DD7">
        <w:trPr>
          <w:jc w:val="center"/>
        </w:trPr>
        <w:tc>
          <w:tcPr>
            <w:tcW w:w="2695" w:type="dxa"/>
          </w:tcPr>
          <w:p w14:paraId="298EBEA1"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Pharmacological class</w:t>
            </w:r>
          </w:p>
        </w:tc>
        <w:tc>
          <w:tcPr>
            <w:tcW w:w="6105" w:type="dxa"/>
          </w:tcPr>
          <w:p w14:paraId="6433FFBA" w14:textId="77777777" w:rsidR="00C345C8" w:rsidRPr="0024114A" w:rsidRDefault="00C345C8" w:rsidP="002D6DD7">
            <w:pPr>
              <w:jc w:val="both"/>
              <w:rPr>
                <w:rFonts w:cs="Times New Roman"/>
                <w:szCs w:val="24"/>
                <w:lang w:val="en-US"/>
              </w:rPr>
            </w:pPr>
            <w:r w:rsidRPr="0024114A">
              <w:rPr>
                <w:rFonts w:cs="Times New Roman"/>
                <w:szCs w:val="24"/>
                <w:lang w:val="en-US"/>
              </w:rPr>
              <w:t>Anti-histamine</w:t>
            </w:r>
          </w:p>
        </w:tc>
      </w:tr>
      <w:tr w:rsidR="00C345C8" w:rsidRPr="0024114A" w14:paraId="3A63A453" w14:textId="77777777" w:rsidTr="002D6DD7">
        <w:trPr>
          <w:jc w:val="center"/>
        </w:trPr>
        <w:tc>
          <w:tcPr>
            <w:tcW w:w="2695" w:type="dxa"/>
          </w:tcPr>
          <w:p w14:paraId="575F83B3"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064C5B9F" w14:textId="77777777" w:rsidR="00C345C8" w:rsidRPr="0024114A" w:rsidRDefault="00C345C8" w:rsidP="002D6DD7">
            <w:pPr>
              <w:jc w:val="both"/>
              <w:rPr>
                <w:rFonts w:cs="Times New Roman"/>
                <w:szCs w:val="24"/>
                <w:lang w:val="en-US"/>
              </w:rPr>
            </w:pPr>
            <w:r w:rsidRPr="0024114A">
              <w:rPr>
                <w:rFonts w:cs="Times New Roman"/>
                <w:szCs w:val="24"/>
                <w:lang w:val="en-US"/>
              </w:rPr>
              <w:t>Tablet: 12.5 mg, 25 mg</w:t>
            </w:r>
          </w:p>
        </w:tc>
      </w:tr>
      <w:tr w:rsidR="00C345C8" w:rsidRPr="0024114A" w14:paraId="63D0B8E9" w14:textId="77777777" w:rsidTr="002D6DD7">
        <w:trPr>
          <w:jc w:val="center"/>
        </w:trPr>
        <w:tc>
          <w:tcPr>
            <w:tcW w:w="2695" w:type="dxa"/>
          </w:tcPr>
          <w:p w14:paraId="1BA3DB85" w14:textId="77777777" w:rsidR="00C345C8" w:rsidRPr="0024114A" w:rsidRDefault="00C345C8" w:rsidP="002D6DD7">
            <w:pPr>
              <w:jc w:val="both"/>
              <w:rPr>
                <w:rFonts w:cs="Times New Roman"/>
                <w:b/>
                <w:szCs w:val="24"/>
                <w:lang w:val="en-US"/>
              </w:rPr>
            </w:pPr>
            <w:r w:rsidRPr="0024114A">
              <w:rPr>
                <w:rFonts w:cs="Times New Roman"/>
                <w:b/>
                <w:szCs w:val="24"/>
                <w:lang w:val="en-US"/>
              </w:rPr>
              <w:t>Indications</w:t>
            </w:r>
          </w:p>
        </w:tc>
        <w:tc>
          <w:tcPr>
            <w:tcW w:w="6105" w:type="dxa"/>
          </w:tcPr>
          <w:p w14:paraId="78294F36" w14:textId="77777777" w:rsidR="00C345C8" w:rsidRPr="0024114A" w:rsidRDefault="00C345C8" w:rsidP="002D6DD7">
            <w:pPr>
              <w:jc w:val="both"/>
              <w:rPr>
                <w:rFonts w:cs="Times New Roman"/>
                <w:szCs w:val="24"/>
                <w:lang w:val="en-US"/>
              </w:rPr>
            </w:pPr>
            <w:r w:rsidRPr="0024114A">
              <w:rPr>
                <w:rFonts w:cs="Times New Roman"/>
                <w:szCs w:val="24"/>
                <w:lang w:val="en-US"/>
              </w:rPr>
              <w:t>Prevention and relief of nauseaand vomiting associated with motion sickness, radiation sickness, Meniere’s disease triad (episodic vertigo, tinnitus, and hearing loss), labyrinthitis and other vestibular disturbances.</w:t>
            </w:r>
          </w:p>
        </w:tc>
      </w:tr>
      <w:tr w:rsidR="00C345C8" w:rsidRPr="0024114A" w14:paraId="6F8BB880" w14:textId="77777777" w:rsidTr="002D6DD7">
        <w:trPr>
          <w:jc w:val="center"/>
        </w:trPr>
        <w:tc>
          <w:tcPr>
            <w:tcW w:w="2695" w:type="dxa"/>
          </w:tcPr>
          <w:p w14:paraId="5952AADE"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5371F9E3" w14:textId="77777777" w:rsidR="00C345C8" w:rsidRPr="0024114A" w:rsidRDefault="00C345C8" w:rsidP="002D6DD7">
            <w:pPr>
              <w:jc w:val="both"/>
              <w:rPr>
                <w:rFonts w:cs="Times New Roman"/>
                <w:szCs w:val="24"/>
                <w:lang w:val="en-US"/>
              </w:rPr>
            </w:pPr>
            <w:r w:rsidRPr="0024114A">
              <w:rPr>
                <w:rFonts w:cs="Times New Roman"/>
                <w:b/>
                <w:bCs/>
                <w:szCs w:val="24"/>
                <w:lang w:val="en-US"/>
              </w:rPr>
              <w:t>Motion sickness</w:t>
            </w:r>
            <w:r w:rsidRPr="0024114A">
              <w:rPr>
                <w:rFonts w:cs="Times New Roman"/>
                <w:szCs w:val="24"/>
                <w:lang w:val="en-US"/>
              </w:rPr>
              <w:t>:</w:t>
            </w:r>
          </w:p>
          <w:p w14:paraId="568C613D" w14:textId="77777777" w:rsidR="00C345C8" w:rsidRPr="0024114A" w:rsidRDefault="00C345C8" w:rsidP="002D6DD7">
            <w:pPr>
              <w:jc w:val="both"/>
              <w:rPr>
                <w:rFonts w:cs="Times New Roman"/>
                <w:szCs w:val="24"/>
                <w:lang w:val="en-US"/>
              </w:rPr>
            </w:pPr>
            <w:r w:rsidRPr="0024114A">
              <w:rPr>
                <w:rFonts w:cs="Times New Roman"/>
                <w:b/>
                <w:szCs w:val="24"/>
                <w:lang w:val="en-US"/>
              </w:rPr>
              <w:t>Ault:</w:t>
            </w:r>
            <w:r w:rsidRPr="0024114A">
              <w:rPr>
                <w:rFonts w:cs="Times New Roman"/>
                <w:szCs w:val="24"/>
                <w:lang w:val="en-US"/>
              </w:rPr>
              <w:t xml:space="preserve">25 to 50 mg. The initial dose should be taken at least one hour prior to travelling. Thereafter, the dose may be repeatedevery 24 hours as indicated for the duration of the journey. </w:t>
            </w:r>
          </w:p>
          <w:p w14:paraId="627B50F4" w14:textId="77777777" w:rsidR="00C345C8" w:rsidRPr="0024114A" w:rsidRDefault="00C345C8" w:rsidP="002D6DD7">
            <w:pPr>
              <w:jc w:val="both"/>
              <w:rPr>
                <w:rFonts w:cs="Times New Roman"/>
                <w:szCs w:val="24"/>
                <w:lang w:val="en-US"/>
              </w:rPr>
            </w:pPr>
            <w:r w:rsidRPr="0024114A">
              <w:rPr>
                <w:rFonts w:cs="Times New Roman"/>
                <w:b/>
                <w:bCs/>
                <w:szCs w:val="24"/>
                <w:lang w:val="en-US"/>
              </w:rPr>
              <w:t>Labyrinthine and vestibular disturbances</w:t>
            </w:r>
            <w:r w:rsidRPr="0024114A">
              <w:rPr>
                <w:rFonts w:cs="Times New Roman"/>
                <w:szCs w:val="24"/>
                <w:lang w:val="en-US"/>
              </w:rPr>
              <w:t xml:space="preserve">: </w:t>
            </w:r>
          </w:p>
          <w:p w14:paraId="2FDD7AC8" w14:textId="77777777" w:rsidR="00C345C8" w:rsidRPr="0024114A" w:rsidRDefault="00C345C8" w:rsidP="002D6DD7">
            <w:pPr>
              <w:jc w:val="both"/>
              <w:rPr>
                <w:rFonts w:cs="Times New Roman"/>
                <w:szCs w:val="24"/>
                <w:lang w:val="en-US"/>
              </w:rPr>
            </w:pPr>
            <w:r w:rsidRPr="0024114A">
              <w:rPr>
                <w:rFonts w:cs="Times New Roman"/>
                <w:b/>
                <w:szCs w:val="24"/>
                <w:lang w:val="en-US"/>
              </w:rPr>
              <w:t>Ault:</w:t>
            </w:r>
            <w:r>
              <w:rPr>
                <w:rFonts w:cs="Times New Roman"/>
                <w:b/>
                <w:szCs w:val="24"/>
                <w:lang w:val="en-US"/>
              </w:rPr>
              <w:t xml:space="preserve"> </w:t>
            </w:r>
            <w:r w:rsidRPr="0024114A">
              <w:rPr>
                <w:rFonts w:cs="Times New Roman"/>
                <w:szCs w:val="24"/>
                <w:lang w:val="en-US"/>
              </w:rPr>
              <w:t xml:space="preserve">optimal dosage is usually 25 to 100 mg daily in divided doses, depending on the clinical response. </w:t>
            </w:r>
          </w:p>
          <w:p w14:paraId="5EBC11D6" w14:textId="77777777" w:rsidR="00C345C8" w:rsidRPr="0024114A" w:rsidRDefault="00C345C8" w:rsidP="002D6DD7">
            <w:pPr>
              <w:jc w:val="both"/>
              <w:rPr>
                <w:rFonts w:cs="Times New Roman"/>
                <w:b/>
                <w:szCs w:val="24"/>
                <w:lang w:val="en-US"/>
              </w:rPr>
            </w:pPr>
            <w:r w:rsidRPr="0024114A">
              <w:rPr>
                <w:rFonts w:cs="Times New Roman"/>
                <w:b/>
                <w:szCs w:val="24"/>
                <w:lang w:val="en-US"/>
              </w:rPr>
              <w:t>Meniere’s disease triad:</w:t>
            </w:r>
          </w:p>
          <w:p w14:paraId="70052E02" w14:textId="77777777" w:rsidR="00C345C8" w:rsidRPr="0024114A" w:rsidRDefault="00C345C8" w:rsidP="002D6DD7">
            <w:pPr>
              <w:jc w:val="both"/>
              <w:rPr>
                <w:rFonts w:cs="Times New Roman"/>
                <w:b/>
                <w:szCs w:val="24"/>
                <w:lang w:val="en-US"/>
              </w:rPr>
            </w:pPr>
            <w:r w:rsidRPr="0024114A">
              <w:rPr>
                <w:rFonts w:cs="Times New Roman"/>
                <w:b/>
                <w:szCs w:val="24"/>
                <w:lang w:val="en-US"/>
              </w:rPr>
              <w:t>Ault:</w:t>
            </w:r>
            <w:r w:rsidRPr="0024114A">
              <w:rPr>
                <w:rFonts w:cs="Times New Roman"/>
                <w:szCs w:val="24"/>
                <w:lang w:val="en-US"/>
              </w:rPr>
              <w:t>25 to 100 mg daily or in divided doses.</w:t>
            </w:r>
          </w:p>
          <w:p w14:paraId="11C2F8D1" w14:textId="77777777" w:rsidR="00C345C8" w:rsidRPr="0024114A" w:rsidRDefault="00C345C8" w:rsidP="002D6DD7">
            <w:pPr>
              <w:jc w:val="both"/>
              <w:rPr>
                <w:rFonts w:cs="Times New Roman"/>
                <w:szCs w:val="24"/>
                <w:lang w:val="en-US"/>
              </w:rPr>
            </w:pPr>
            <w:r w:rsidRPr="0024114A">
              <w:rPr>
                <w:rFonts w:cs="Times New Roman"/>
                <w:b/>
                <w:bCs/>
                <w:szCs w:val="24"/>
                <w:lang w:val="en-US"/>
              </w:rPr>
              <w:t>Radiation sickness</w:t>
            </w:r>
            <w:r w:rsidRPr="0024114A">
              <w:rPr>
                <w:rFonts w:cs="Times New Roman"/>
                <w:szCs w:val="24"/>
                <w:lang w:val="en-US"/>
              </w:rPr>
              <w:t xml:space="preserve">: </w:t>
            </w:r>
          </w:p>
          <w:p w14:paraId="7FD02797" w14:textId="77777777" w:rsidR="00C345C8" w:rsidRPr="0024114A" w:rsidRDefault="00C345C8" w:rsidP="002D6DD7">
            <w:pPr>
              <w:jc w:val="both"/>
              <w:rPr>
                <w:rFonts w:cs="Times New Roman"/>
                <w:szCs w:val="24"/>
                <w:lang w:val="en-US"/>
              </w:rPr>
            </w:pPr>
            <w:r w:rsidRPr="0024114A">
              <w:rPr>
                <w:rFonts w:cs="Times New Roman"/>
                <w:b/>
                <w:szCs w:val="24"/>
                <w:lang w:val="en-US"/>
              </w:rPr>
              <w:t>Ault:</w:t>
            </w:r>
            <w:r w:rsidRPr="0024114A">
              <w:rPr>
                <w:rFonts w:cs="Times New Roman"/>
                <w:szCs w:val="24"/>
                <w:lang w:val="en-US"/>
              </w:rPr>
              <w:t>50 mg administered 2 to 12 hours prior to radiation treatment.</w:t>
            </w:r>
          </w:p>
        </w:tc>
      </w:tr>
      <w:tr w:rsidR="00C345C8" w:rsidRPr="0024114A" w14:paraId="1F72DEA0" w14:textId="77777777" w:rsidTr="002D6DD7">
        <w:trPr>
          <w:jc w:val="center"/>
        </w:trPr>
        <w:tc>
          <w:tcPr>
            <w:tcW w:w="2695" w:type="dxa"/>
          </w:tcPr>
          <w:p w14:paraId="5E31EF06"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t>Contraindications</w:t>
            </w:r>
          </w:p>
        </w:tc>
        <w:tc>
          <w:tcPr>
            <w:tcW w:w="6105" w:type="dxa"/>
          </w:tcPr>
          <w:p w14:paraId="3CABA201" w14:textId="77777777" w:rsidR="00C345C8" w:rsidRPr="0024114A" w:rsidRDefault="00A945C9" w:rsidP="002D6DD7">
            <w:pPr>
              <w:jc w:val="both"/>
              <w:rPr>
                <w:rFonts w:cs="Times New Roman"/>
                <w:szCs w:val="24"/>
                <w:lang w:val="en-US"/>
              </w:rPr>
            </w:pPr>
            <w:r>
              <w:rPr>
                <w:rFonts w:cs="Times New Roman"/>
                <w:szCs w:val="24"/>
                <w:lang w:val="en-US"/>
              </w:rPr>
              <w:t>H</w:t>
            </w:r>
            <w:r w:rsidR="00C345C8" w:rsidRPr="0024114A">
              <w:rPr>
                <w:rFonts w:cs="Times New Roman"/>
                <w:szCs w:val="24"/>
                <w:lang w:val="en-US"/>
              </w:rPr>
              <w:t xml:space="preserve">ypersensitivity to </w:t>
            </w:r>
            <w:r>
              <w:rPr>
                <w:rFonts w:cs="Times New Roman"/>
                <w:szCs w:val="24"/>
                <w:lang w:val="en-US"/>
              </w:rPr>
              <w:t>the drug.</w:t>
            </w:r>
          </w:p>
        </w:tc>
      </w:tr>
      <w:tr w:rsidR="00C345C8" w:rsidRPr="0024114A" w14:paraId="39569A94" w14:textId="77777777" w:rsidTr="002D6DD7">
        <w:trPr>
          <w:jc w:val="center"/>
        </w:trPr>
        <w:tc>
          <w:tcPr>
            <w:tcW w:w="2695" w:type="dxa"/>
          </w:tcPr>
          <w:p w14:paraId="14D366EF"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0D20AB41" w14:textId="77777777" w:rsidR="00C345C8" w:rsidRPr="0024114A" w:rsidRDefault="00C345C8" w:rsidP="002D6DD7">
            <w:pPr>
              <w:jc w:val="both"/>
              <w:rPr>
                <w:rFonts w:cs="Times New Roman"/>
                <w:szCs w:val="24"/>
                <w:lang w:val="en-US"/>
              </w:rPr>
            </w:pPr>
            <w:r w:rsidRPr="0024114A">
              <w:rPr>
                <w:rFonts w:cs="Times New Roman"/>
                <w:szCs w:val="24"/>
                <w:lang w:val="en-US"/>
              </w:rPr>
              <w:t>CNS depressants, including barbiturates, alcohol, tranquilizers, and sedatives</w:t>
            </w:r>
          </w:p>
        </w:tc>
      </w:tr>
      <w:tr w:rsidR="00C345C8" w:rsidRPr="0024114A" w14:paraId="3A20E070" w14:textId="77777777" w:rsidTr="002D6DD7">
        <w:trPr>
          <w:jc w:val="center"/>
        </w:trPr>
        <w:tc>
          <w:tcPr>
            <w:tcW w:w="2695" w:type="dxa"/>
          </w:tcPr>
          <w:p w14:paraId="4A7501EC"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05D792A1" w14:textId="77777777" w:rsidR="00C345C8" w:rsidRPr="0024114A" w:rsidRDefault="00C345C8" w:rsidP="002D6DD7">
            <w:pPr>
              <w:jc w:val="both"/>
              <w:rPr>
                <w:rFonts w:cs="Times New Roman"/>
                <w:szCs w:val="24"/>
                <w:lang w:val="en-US"/>
              </w:rPr>
            </w:pPr>
            <w:r w:rsidRPr="0024114A">
              <w:rPr>
                <w:rFonts w:cs="Times New Roman"/>
                <w:szCs w:val="24"/>
                <w:lang w:val="en-US"/>
              </w:rPr>
              <w:t>Drowsiness, dry mouth, fatigue, vomiting and on rare occasions, blurred vision.</w:t>
            </w:r>
          </w:p>
        </w:tc>
      </w:tr>
      <w:tr w:rsidR="00C345C8" w:rsidRPr="0024114A" w14:paraId="19A5E01E" w14:textId="77777777" w:rsidTr="002D6DD7">
        <w:trPr>
          <w:jc w:val="center"/>
        </w:trPr>
        <w:tc>
          <w:tcPr>
            <w:tcW w:w="2695" w:type="dxa"/>
          </w:tcPr>
          <w:p w14:paraId="1A4EFA23"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62DED533" w14:textId="77777777" w:rsidR="00C345C8" w:rsidRPr="0024114A" w:rsidRDefault="00C345C8" w:rsidP="002D6DD7">
            <w:pPr>
              <w:jc w:val="both"/>
              <w:rPr>
                <w:rFonts w:cs="Times New Roman"/>
                <w:szCs w:val="24"/>
                <w:lang w:val="en-US"/>
              </w:rPr>
            </w:pPr>
            <w:r w:rsidRPr="0024114A">
              <w:rPr>
                <w:rFonts w:cs="Times New Roman"/>
                <w:szCs w:val="24"/>
                <w:lang w:val="en-US"/>
              </w:rPr>
              <w:t>Driving or operating heavymachinery, asthma, narrow-angle glaucoma, obstructive GI disease, prostatic enlargement</w:t>
            </w:r>
          </w:p>
        </w:tc>
      </w:tr>
      <w:tr w:rsidR="00C345C8" w:rsidRPr="0024114A" w14:paraId="10612A78" w14:textId="77777777" w:rsidTr="002D6DD7">
        <w:trPr>
          <w:jc w:val="center"/>
        </w:trPr>
        <w:tc>
          <w:tcPr>
            <w:tcW w:w="2695" w:type="dxa"/>
          </w:tcPr>
          <w:p w14:paraId="0B93A988"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3ADB7696"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 Protect from moisture and heat</w:t>
            </w:r>
          </w:p>
        </w:tc>
      </w:tr>
      <w:tr w:rsidR="00C345C8" w:rsidRPr="0024114A" w14:paraId="6FD76417" w14:textId="77777777" w:rsidTr="002D6DD7">
        <w:trPr>
          <w:jc w:val="center"/>
        </w:trPr>
        <w:tc>
          <w:tcPr>
            <w:tcW w:w="8800" w:type="dxa"/>
            <w:gridSpan w:val="2"/>
          </w:tcPr>
          <w:p w14:paraId="7AA6E620" w14:textId="77777777" w:rsidR="00C345C8" w:rsidRPr="0024114A" w:rsidRDefault="00C345C8" w:rsidP="002D6DD7">
            <w:pPr>
              <w:jc w:val="both"/>
              <w:rPr>
                <w:rFonts w:cs="Times New Roman"/>
                <w:szCs w:val="24"/>
                <w:lang w:val="en-US"/>
              </w:rPr>
            </w:pPr>
            <w:r w:rsidRPr="0024114A">
              <w:rPr>
                <w:rFonts w:cs="Times New Roman"/>
                <w:b/>
                <w:bCs/>
                <w:szCs w:val="24"/>
                <w:lang w:val="en-US"/>
              </w:rPr>
              <w:t>Midazolam</w:t>
            </w:r>
          </w:p>
        </w:tc>
      </w:tr>
      <w:tr w:rsidR="00C345C8" w:rsidRPr="0024114A" w14:paraId="01256865" w14:textId="77777777" w:rsidTr="002D6DD7">
        <w:trPr>
          <w:jc w:val="center"/>
        </w:trPr>
        <w:tc>
          <w:tcPr>
            <w:tcW w:w="2695" w:type="dxa"/>
          </w:tcPr>
          <w:p w14:paraId="3527B9F9"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5016436C" w14:textId="77777777" w:rsidR="00C345C8" w:rsidRPr="0024114A" w:rsidRDefault="00C345C8" w:rsidP="002D6DD7">
            <w:pPr>
              <w:jc w:val="both"/>
              <w:rPr>
                <w:rFonts w:cs="Times New Roman"/>
                <w:szCs w:val="24"/>
                <w:lang w:val="en-US"/>
              </w:rPr>
            </w:pPr>
            <w:r w:rsidRPr="0024114A">
              <w:rPr>
                <w:rFonts w:cs="Times New Roman"/>
                <w:szCs w:val="24"/>
                <w:lang w:val="en-US"/>
              </w:rPr>
              <w:t>Benzodiazepine</w:t>
            </w:r>
          </w:p>
        </w:tc>
      </w:tr>
      <w:tr w:rsidR="00C345C8" w:rsidRPr="0024114A" w14:paraId="02FD5B6E" w14:textId="77777777" w:rsidTr="002D6DD7">
        <w:trPr>
          <w:jc w:val="center"/>
        </w:trPr>
        <w:tc>
          <w:tcPr>
            <w:tcW w:w="2695" w:type="dxa"/>
          </w:tcPr>
          <w:p w14:paraId="13229C39"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31CFECA8" w14:textId="77777777" w:rsidR="00C345C8" w:rsidRPr="0024114A" w:rsidRDefault="00C345C8" w:rsidP="002D6DD7">
            <w:pPr>
              <w:jc w:val="both"/>
              <w:rPr>
                <w:rFonts w:cs="Times New Roman"/>
                <w:szCs w:val="24"/>
                <w:lang w:val="en-US"/>
              </w:rPr>
            </w:pPr>
            <w:r w:rsidRPr="0024114A">
              <w:rPr>
                <w:rFonts w:cs="Times New Roman"/>
                <w:szCs w:val="24"/>
                <w:lang w:val="en-US"/>
              </w:rPr>
              <w:t>Injection: 1 mg/ml; 5 mg/ml</w:t>
            </w:r>
          </w:p>
          <w:p w14:paraId="10B6C5FC"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Syrup: 2 mg/ml</w:t>
            </w:r>
          </w:p>
          <w:p w14:paraId="4ED60151" w14:textId="77777777" w:rsidR="00C345C8" w:rsidRPr="0024114A" w:rsidRDefault="00C345C8" w:rsidP="002D6DD7">
            <w:pPr>
              <w:jc w:val="both"/>
              <w:rPr>
                <w:rFonts w:cs="Times New Roman"/>
                <w:szCs w:val="24"/>
                <w:lang w:val="en-US"/>
              </w:rPr>
            </w:pPr>
            <w:r w:rsidRPr="0024114A">
              <w:rPr>
                <w:rFonts w:cs="Times New Roman"/>
                <w:szCs w:val="24"/>
                <w:lang w:val="en-US"/>
              </w:rPr>
              <w:t>Tablet: 7.5 mg; 15 mg</w:t>
            </w:r>
          </w:p>
        </w:tc>
      </w:tr>
      <w:tr w:rsidR="00C345C8" w:rsidRPr="0024114A" w14:paraId="13F34606" w14:textId="77777777" w:rsidTr="002D6DD7">
        <w:trPr>
          <w:trHeight w:val="359"/>
          <w:jc w:val="center"/>
        </w:trPr>
        <w:tc>
          <w:tcPr>
            <w:tcW w:w="2695" w:type="dxa"/>
          </w:tcPr>
          <w:p w14:paraId="4CA94268" w14:textId="77777777" w:rsidR="00C345C8" w:rsidRPr="0024114A" w:rsidRDefault="00C345C8" w:rsidP="002D6DD7">
            <w:pPr>
              <w:jc w:val="both"/>
              <w:rPr>
                <w:rFonts w:cs="Times New Roman"/>
                <w:b/>
                <w:szCs w:val="24"/>
                <w:lang w:val="en-US"/>
              </w:rPr>
            </w:pPr>
            <w:r w:rsidRPr="0024114A">
              <w:rPr>
                <w:rFonts w:cs="Times New Roman"/>
                <w:b/>
                <w:szCs w:val="24"/>
                <w:lang w:val="en-US"/>
              </w:rPr>
              <w:lastRenderedPageBreak/>
              <w:t>Indications</w:t>
            </w:r>
          </w:p>
        </w:tc>
        <w:tc>
          <w:tcPr>
            <w:tcW w:w="6105" w:type="dxa"/>
          </w:tcPr>
          <w:p w14:paraId="14657983" w14:textId="77777777" w:rsidR="00C345C8" w:rsidRPr="0024114A" w:rsidRDefault="00C345C8" w:rsidP="002D6DD7">
            <w:pPr>
              <w:jc w:val="both"/>
              <w:rPr>
                <w:rFonts w:cs="Times New Roman"/>
                <w:szCs w:val="24"/>
                <w:lang w:val="en-US"/>
              </w:rPr>
            </w:pPr>
            <w:r w:rsidRPr="0024114A">
              <w:rPr>
                <w:rFonts w:cs="Times New Roman"/>
                <w:szCs w:val="24"/>
                <w:lang w:val="en-US"/>
              </w:rPr>
              <w:t>Delirium and terminal restlessness in palliative care</w:t>
            </w:r>
          </w:p>
        </w:tc>
      </w:tr>
      <w:tr w:rsidR="00C345C8" w:rsidRPr="0024114A" w14:paraId="49760F99" w14:textId="77777777" w:rsidTr="002D6DD7">
        <w:trPr>
          <w:jc w:val="center"/>
        </w:trPr>
        <w:tc>
          <w:tcPr>
            <w:tcW w:w="2695" w:type="dxa"/>
          </w:tcPr>
          <w:p w14:paraId="76D206D4"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725CEB1F" w14:textId="77777777" w:rsidR="0045565E" w:rsidRDefault="00C345C8" w:rsidP="002D6DD7">
            <w:pPr>
              <w:jc w:val="both"/>
              <w:rPr>
                <w:rFonts w:cs="Times New Roman"/>
                <w:b/>
                <w:szCs w:val="24"/>
                <w:lang w:val="en-US"/>
              </w:rPr>
            </w:pPr>
            <w:r w:rsidRPr="0024114A">
              <w:rPr>
                <w:rFonts w:cs="Times New Roman"/>
                <w:b/>
                <w:szCs w:val="24"/>
                <w:lang w:val="en-US"/>
              </w:rPr>
              <w:t>Delirium and terminal restlessness in palliative care,</w:t>
            </w:r>
            <w:r>
              <w:rPr>
                <w:rFonts w:cs="Times New Roman"/>
                <w:b/>
                <w:szCs w:val="24"/>
                <w:lang w:val="en-US"/>
              </w:rPr>
              <w:t xml:space="preserve"> </w:t>
            </w:r>
            <w:r w:rsidRPr="0045565E">
              <w:rPr>
                <w:rFonts w:cs="Times New Roman"/>
                <w:szCs w:val="24"/>
                <w:lang w:val="en-US"/>
              </w:rPr>
              <w:t>oral:</w:t>
            </w:r>
          </w:p>
          <w:p w14:paraId="71B50B0E" w14:textId="77777777" w:rsidR="00C345C8" w:rsidRPr="0024114A" w:rsidRDefault="00C345C8" w:rsidP="002D6DD7">
            <w:pPr>
              <w:jc w:val="both"/>
              <w:rPr>
                <w:rFonts w:cs="Times New Roman"/>
                <w:szCs w:val="24"/>
                <w:lang w:val="en-US"/>
              </w:rPr>
            </w:pPr>
            <w:r w:rsidRPr="0024114A">
              <w:rPr>
                <w:rFonts w:cs="Times New Roman"/>
                <w:b/>
                <w:bCs/>
                <w:szCs w:val="24"/>
                <w:lang w:val="en-US"/>
              </w:rPr>
              <w:t>Adul</w:t>
            </w:r>
            <w:r w:rsidRPr="0024114A">
              <w:rPr>
                <w:rFonts w:cs="Times New Roman"/>
                <w:szCs w:val="24"/>
                <w:lang w:val="en-US"/>
              </w:rPr>
              <w:t>t: Initially 10-20 mg in 24 hours, adjusted according to response; usual dose 20-60 mg in 24 hours</w:t>
            </w:r>
          </w:p>
        </w:tc>
      </w:tr>
      <w:tr w:rsidR="00C345C8" w:rsidRPr="0024114A" w14:paraId="7525976A" w14:textId="77777777" w:rsidTr="002D6DD7">
        <w:trPr>
          <w:jc w:val="center"/>
        </w:trPr>
        <w:tc>
          <w:tcPr>
            <w:tcW w:w="2695" w:type="dxa"/>
          </w:tcPr>
          <w:p w14:paraId="51412FA1"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t>Contraindications</w:t>
            </w:r>
          </w:p>
        </w:tc>
        <w:tc>
          <w:tcPr>
            <w:tcW w:w="6105" w:type="dxa"/>
            <w:vAlign w:val="center"/>
          </w:tcPr>
          <w:p w14:paraId="4CCD2587" w14:textId="77777777" w:rsidR="00C345C8" w:rsidRPr="0024114A" w:rsidRDefault="00C345C8" w:rsidP="002D6DD7">
            <w:pPr>
              <w:jc w:val="both"/>
              <w:rPr>
                <w:rFonts w:cs="Times New Roman"/>
                <w:szCs w:val="24"/>
                <w:lang w:val="en-US"/>
              </w:rPr>
            </w:pPr>
            <w:r w:rsidRPr="0024114A">
              <w:rPr>
                <w:rFonts w:cs="Times New Roman"/>
                <w:szCs w:val="24"/>
                <w:lang w:val="en-US"/>
              </w:rPr>
              <w:t>Refer under anesthetics, pre- and intra-operative medicines, and medical gases</w:t>
            </w:r>
          </w:p>
        </w:tc>
      </w:tr>
      <w:tr w:rsidR="00C345C8" w:rsidRPr="0024114A" w14:paraId="6588B876" w14:textId="77777777" w:rsidTr="002D6DD7">
        <w:trPr>
          <w:jc w:val="center"/>
        </w:trPr>
        <w:tc>
          <w:tcPr>
            <w:tcW w:w="2695" w:type="dxa"/>
          </w:tcPr>
          <w:p w14:paraId="3E2EA283"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1E1D4FBD" w14:textId="77777777" w:rsidR="00C345C8" w:rsidRPr="0024114A" w:rsidRDefault="00C345C8" w:rsidP="002D6DD7">
            <w:pPr>
              <w:jc w:val="both"/>
              <w:rPr>
                <w:rFonts w:cs="Times New Roman"/>
                <w:szCs w:val="24"/>
                <w:lang w:val="en-US"/>
              </w:rPr>
            </w:pPr>
            <w:r w:rsidRPr="0024114A">
              <w:rPr>
                <w:rFonts w:cs="Times New Roman"/>
                <w:szCs w:val="24"/>
                <w:lang w:val="en-US"/>
              </w:rPr>
              <w:t>Refer under anesthetics, pre- and intra-operative medicines, and medical gases</w:t>
            </w:r>
          </w:p>
        </w:tc>
      </w:tr>
      <w:tr w:rsidR="00C345C8" w:rsidRPr="0024114A" w14:paraId="40A65F76" w14:textId="77777777" w:rsidTr="002D6DD7">
        <w:trPr>
          <w:jc w:val="center"/>
        </w:trPr>
        <w:tc>
          <w:tcPr>
            <w:tcW w:w="2695" w:type="dxa"/>
          </w:tcPr>
          <w:p w14:paraId="4919668D"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6E800756" w14:textId="77777777" w:rsidR="00C345C8" w:rsidRPr="0024114A" w:rsidRDefault="00C345C8" w:rsidP="002D6DD7">
            <w:pPr>
              <w:jc w:val="both"/>
              <w:rPr>
                <w:rFonts w:cs="Times New Roman"/>
                <w:szCs w:val="24"/>
                <w:lang w:val="en-US"/>
              </w:rPr>
            </w:pPr>
            <w:r w:rsidRPr="0024114A">
              <w:rPr>
                <w:rFonts w:cs="Times New Roman"/>
                <w:szCs w:val="24"/>
                <w:lang w:val="en-US"/>
              </w:rPr>
              <w:t>Refer under anesthetics, pre- and intra-operative medicines, and medical gases</w:t>
            </w:r>
          </w:p>
        </w:tc>
      </w:tr>
      <w:tr w:rsidR="00C345C8" w:rsidRPr="0024114A" w14:paraId="5A54352A" w14:textId="77777777" w:rsidTr="002D6DD7">
        <w:trPr>
          <w:jc w:val="center"/>
        </w:trPr>
        <w:tc>
          <w:tcPr>
            <w:tcW w:w="2695" w:type="dxa"/>
          </w:tcPr>
          <w:p w14:paraId="49A8F70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7219941E" w14:textId="77777777" w:rsidR="00C345C8" w:rsidRPr="0024114A" w:rsidRDefault="00C345C8" w:rsidP="002D6DD7">
            <w:pPr>
              <w:jc w:val="both"/>
              <w:rPr>
                <w:rFonts w:cs="Times New Roman"/>
                <w:szCs w:val="24"/>
                <w:lang w:val="en-US"/>
              </w:rPr>
            </w:pPr>
            <w:r w:rsidRPr="0024114A">
              <w:rPr>
                <w:rFonts w:cs="Times New Roman"/>
                <w:szCs w:val="24"/>
                <w:lang w:val="en-US"/>
              </w:rPr>
              <w:t>Refer under anesthetics, pre- and intra-operative medicines, and medical gases</w:t>
            </w:r>
          </w:p>
        </w:tc>
      </w:tr>
      <w:tr w:rsidR="00C345C8" w:rsidRPr="0024114A" w14:paraId="7D80FF48" w14:textId="77777777" w:rsidTr="002D6DD7">
        <w:trPr>
          <w:jc w:val="center"/>
        </w:trPr>
        <w:tc>
          <w:tcPr>
            <w:tcW w:w="2695" w:type="dxa"/>
          </w:tcPr>
          <w:p w14:paraId="6B88663F"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6AC75E7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00A846CC" w14:textId="77777777" w:rsidTr="002D6DD7">
        <w:trPr>
          <w:jc w:val="center"/>
        </w:trPr>
        <w:tc>
          <w:tcPr>
            <w:tcW w:w="8800" w:type="dxa"/>
            <w:gridSpan w:val="2"/>
          </w:tcPr>
          <w:p w14:paraId="58CE6291" w14:textId="77777777" w:rsidR="00C345C8" w:rsidRPr="0024114A" w:rsidRDefault="00C345C8" w:rsidP="002D6DD7">
            <w:pPr>
              <w:jc w:val="both"/>
              <w:rPr>
                <w:rFonts w:cs="Times New Roman"/>
                <w:szCs w:val="24"/>
                <w:lang w:val="en-US"/>
              </w:rPr>
            </w:pPr>
            <w:r w:rsidRPr="0024114A">
              <w:rPr>
                <w:rFonts w:cs="Times New Roman"/>
                <w:b/>
                <w:bCs/>
                <w:szCs w:val="24"/>
                <w:lang w:val="en-US"/>
              </w:rPr>
              <w:t>Ondansetron</w:t>
            </w:r>
          </w:p>
        </w:tc>
      </w:tr>
      <w:tr w:rsidR="00C345C8" w:rsidRPr="0024114A" w14:paraId="712ED156" w14:textId="77777777" w:rsidTr="002D6DD7">
        <w:trPr>
          <w:jc w:val="center"/>
        </w:trPr>
        <w:tc>
          <w:tcPr>
            <w:tcW w:w="2695" w:type="dxa"/>
          </w:tcPr>
          <w:p w14:paraId="52B0A5B9"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5DD28B17" w14:textId="77777777" w:rsidR="00C345C8" w:rsidRPr="0024114A" w:rsidRDefault="00C345C8" w:rsidP="002D6DD7">
            <w:pPr>
              <w:jc w:val="both"/>
              <w:rPr>
                <w:rFonts w:cs="Times New Roman"/>
                <w:szCs w:val="24"/>
                <w:lang w:val="en-US"/>
              </w:rPr>
            </w:pPr>
            <w:r w:rsidRPr="0024114A">
              <w:rPr>
                <w:rFonts w:cs="Times New Roman"/>
                <w:szCs w:val="24"/>
                <w:lang w:val="en-US"/>
              </w:rPr>
              <w:t>5-TH3 antagonist</w:t>
            </w:r>
          </w:p>
        </w:tc>
      </w:tr>
      <w:tr w:rsidR="00C345C8" w:rsidRPr="0024114A" w14:paraId="01A438B3" w14:textId="77777777" w:rsidTr="002D6DD7">
        <w:trPr>
          <w:jc w:val="center"/>
        </w:trPr>
        <w:tc>
          <w:tcPr>
            <w:tcW w:w="2695" w:type="dxa"/>
          </w:tcPr>
          <w:p w14:paraId="2C21C43C"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2671EC2B" w14:textId="77777777" w:rsidR="00C345C8" w:rsidRPr="0024114A" w:rsidRDefault="00C345C8" w:rsidP="002D6DD7">
            <w:pPr>
              <w:jc w:val="both"/>
              <w:rPr>
                <w:rFonts w:cs="Times New Roman"/>
                <w:szCs w:val="24"/>
                <w:lang w:val="en-US"/>
              </w:rPr>
            </w:pPr>
            <w:r w:rsidRPr="0024114A">
              <w:rPr>
                <w:rFonts w:cs="Times New Roman"/>
                <w:szCs w:val="24"/>
                <w:lang w:val="en-US"/>
              </w:rPr>
              <w:t>Injection: 4 mg/ml in 1 ml</w:t>
            </w:r>
          </w:p>
          <w:p w14:paraId="7B7DF433" w14:textId="77777777" w:rsidR="00C345C8" w:rsidRPr="0024114A" w:rsidRDefault="00C345C8" w:rsidP="002D6DD7">
            <w:pPr>
              <w:jc w:val="both"/>
              <w:rPr>
                <w:rFonts w:cs="Times New Roman"/>
                <w:szCs w:val="24"/>
                <w:lang w:val="en-US"/>
              </w:rPr>
            </w:pPr>
            <w:r w:rsidRPr="0024114A">
              <w:rPr>
                <w:rFonts w:cs="Times New Roman"/>
                <w:szCs w:val="24"/>
                <w:lang w:val="en-US"/>
              </w:rPr>
              <w:t>Syrup: 2 mg/5 ml</w:t>
            </w:r>
          </w:p>
          <w:p w14:paraId="2A0E4CC7" w14:textId="77777777" w:rsidR="00C345C8" w:rsidRPr="0024114A" w:rsidRDefault="00C345C8" w:rsidP="002D6DD7">
            <w:pPr>
              <w:jc w:val="both"/>
              <w:rPr>
                <w:rFonts w:cs="Times New Roman"/>
                <w:szCs w:val="24"/>
                <w:lang w:val="en-US"/>
              </w:rPr>
            </w:pPr>
            <w:r w:rsidRPr="0024114A">
              <w:rPr>
                <w:rFonts w:cs="Times New Roman"/>
                <w:szCs w:val="24"/>
                <w:lang w:val="en-US"/>
              </w:rPr>
              <w:t>Tablet: 2 mg; 4 mg</w:t>
            </w:r>
          </w:p>
        </w:tc>
      </w:tr>
      <w:tr w:rsidR="00C345C8" w:rsidRPr="0024114A" w14:paraId="1B5AB600" w14:textId="77777777" w:rsidTr="002D6DD7">
        <w:trPr>
          <w:jc w:val="center"/>
        </w:trPr>
        <w:tc>
          <w:tcPr>
            <w:tcW w:w="2695" w:type="dxa"/>
          </w:tcPr>
          <w:p w14:paraId="141FECAB"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105" w:type="dxa"/>
          </w:tcPr>
          <w:p w14:paraId="27C71418" w14:textId="77777777" w:rsidR="00C345C8" w:rsidRPr="0024114A" w:rsidRDefault="00C345C8" w:rsidP="002D6DD7">
            <w:pPr>
              <w:jc w:val="both"/>
              <w:rPr>
                <w:rFonts w:cs="Times New Roman"/>
                <w:szCs w:val="24"/>
                <w:lang w:val="en-US"/>
              </w:rPr>
            </w:pPr>
            <w:r w:rsidRPr="0024114A">
              <w:rPr>
                <w:rFonts w:cs="Times New Roman"/>
                <w:szCs w:val="24"/>
                <w:lang w:val="en-US"/>
              </w:rPr>
              <w:t>For the prevention of chemotherapy/radiotherapy inducednausea and vomiting, for the treatment of postoperative nausea and vomiting</w:t>
            </w:r>
          </w:p>
        </w:tc>
      </w:tr>
      <w:tr w:rsidR="00C345C8" w:rsidRPr="0024114A" w14:paraId="5B3A5073" w14:textId="77777777" w:rsidTr="002D6DD7">
        <w:trPr>
          <w:jc w:val="center"/>
        </w:trPr>
        <w:tc>
          <w:tcPr>
            <w:tcW w:w="2695" w:type="dxa"/>
          </w:tcPr>
          <w:p w14:paraId="0204CE98"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105" w:type="dxa"/>
          </w:tcPr>
          <w:p w14:paraId="0D765BF9" w14:textId="77777777" w:rsidR="00C345C8" w:rsidRPr="0024114A" w:rsidRDefault="00C345C8" w:rsidP="002D6DD7">
            <w:pPr>
              <w:jc w:val="both"/>
              <w:rPr>
                <w:rFonts w:cs="Times New Roman"/>
                <w:szCs w:val="24"/>
                <w:lang w:val="en-US"/>
              </w:rPr>
            </w:pPr>
            <w:r w:rsidRPr="0024114A">
              <w:rPr>
                <w:rFonts w:cs="Times New Roman"/>
                <w:b/>
                <w:bCs/>
                <w:szCs w:val="24"/>
                <w:lang w:val="en-US"/>
              </w:rPr>
              <w:t>Moderately emetogenic chemotherapy or radiotherapy</w:t>
            </w:r>
            <w:r w:rsidRPr="0024114A">
              <w:rPr>
                <w:rFonts w:cs="Times New Roman"/>
                <w:szCs w:val="24"/>
                <w:lang w:val="en-US"/>
              </w:rPr>
              <w:t xml:space="preserve">, </w:t>
            </w:r>
            <w:r w:rsidRPr="0045565E">
              <w:rPr>
                <w:rFonts w:cs="Times New Roman"/>
                <w:szCs w:val="24"/>
                <w:lang w:val="en-US"/>
              </w:rPr>
              <w:t>oral:</w:t>
            </w:r>
          </w:p>
          <w:p w14:paraId="10B32AE1" w14:textId="77777777" w:rsidR="00C345C8" w:rsidRPr="0024114A" w:rsidRDefault="00C345C8" w:rsidP="002D6DD7">
            <w:pPr>
              <w:jc w:val="both"/>
              <w:rPr>
                <w:rFonts w:cs="Times New Roman"/>
                <w:szCs w:val="24"/>
                <w:lang w:val="en-US"/>
              </w:rPr>
            </w:pPr>
            <w:r w:rsidRPr="0024114A">
              <w:rPr>
                <w:rFonts w:cs="Times New Roman"/>
                <w:b/>
                <w:szCs w:val="24"/>
                <w:lang w:val="en-US"/>
              </w:rPr>
              <w:t>Adult:</w:t>
            </w:r>
            <w:r w:rsidRPr="0024114A">
              <w:rPr>
                <w:rFonts w:cs="Times New Roman"/>
                <w:szCs w:val="24"/>
                <w:lang w:val="en-US"/>
              </w:rPr>
              <w:t xml:space="preserve">8 mg 1–2 hours before treatment or by IM injection or slow IV injection, 8 mg immediately before treatment then </w:t>
            </w:r>
            <w:r w:rsidRPr="0045565E">
              <w:rPr>
                <w:rFonts w:cs="Times New Roman"/>
                <w:szCs w:val="24"/>
                <w:lang w:val="en-US"/>
              </w:rPr>
              <w:t>oral,</w:t>
            </w:r>
            <w:r w:rsidRPr="0024114A">
              <w:rPr>
                <w:rFonts w:cs="Times New Roman"/>
                <w:szCs w:val="24"/>
                <w:lang w:val="en-US"/>
              </w:rPr>
              <w:t xml:space="preserve"> 8 mg every 12 hours for up to 5 days. </w:t>
            </w:r>
          </w:p>
          <w:p w14:paraId="4480AA2E" w14:textId="77777777" w:rsidR="00C345C8" w:rsidRPr="0024114A" w:rsidRDefault="00C345C8" w:rsidP="002D6DD7">
            <w:pPr>
              <w:jc w:val="both"/>
              <w:rPr>
                <w:rFonts w:cs="Times New Roman"/>
                <w:szCs w:val="24"/>
                <w:lang w:val="en-US"/>
              </w:rPr>
            </w:pPr>
            <w:r w:rsidRPr="0024114A">
              <w:rPr>
                <w:rFonts w:cs="Times New Roman"/>
                <w:b/>
                <w:bCs/>
                <w:szCs w:val="24"/>
                <w:lang w:val="en-US"/>
              </w:rPr>
              <w:t>Severely emetogenic chemotherapy</w:t>
            </w:r>
            <w:r w:rsidRPr="0024114A">
              <w:rPr>
                <w:rFonts w:cs="Times New Roman"/>
                <w:szCs w:val="24"/>
                <w:lang w:val="en-US"/>
              </w:rPr>
              <w:t xml:space="preserve">, </w:t>
            </w:r>
            <w:r w:rsidRPr="0045565E">
              <w:rPr>
                <w:rFonts w:cs="Times New Roman"/>
                <w:szCs w:val="24"/>
                <w:lang w:val="en-US"/>
              </w:rPr>
              <w:t>by IM injection or slow IV injection:</w:t>
            </w:r>
          </w:p>
          <w:p w14:paraId="170D7DE5" w14:textId="77777777" w:rsidR="00C345C8" w:rsidRPr="0024114A" w:rsidRDefault="00C345C8" w:rsidP="002D6DD7">
            <w:pPr>
              <w:jc w:val="both"/>
              <w:rPr>
                <w:rFonts w:cs="Times New Roman"/>
                <w:szCs w:val="24"/>
                <w:lang w:val="en-US"/>
              </w:rPr>
            </w:pPr>
            <w:r w:rsidRPr="0024114A">
              <w:rPr>
                <w:rFonts w:cs="Times New Roman"/>
                <w:b/>
                <w:szCs w:val="24"/>
                <w:lang w:val="en-US"/>
              </w:rPr>
              <w:lastRenderedPageBreak/>
              <w:t>Adult:</w:t>
            </w:r>
            <w:r w:rsidRPr="0024114A">
              <w:rPr>
                <w:rFonts w:cs="Times New Roman"/>
                <w:szCs w:val="24"/>
                <w:lang w:val="en-US"/>
              </w:rPr>
              <w:t xml:space="preserve"> 8 mg immediately before treatment, where necessary, followed by 2 further doses of 8 mg at intervals of 2–4 hours (or followed by 1 mg/hour bycontinuous IV infusion for up to 24 hours), then </w:t>
            </w:r>
            <w:r w:rsidRPr="00BE460D">
              <w:rPr>
                <w:rFonts w:cs="Times New Roman"/>
                <w:szCs w:val="24"/>
                <w:lang w:val="en-US"/>
              </w:rPr>
              <w:t>oral</w:t>
            </w:r>
            <w:r w:rsidRPr="0024114A">
              <w:rPr>
                <w:rFonts w:cs="Times New Roman"/>
                <w:szCs w:val="24"/>
                <w:lang w:val="en-US"/>
              </w:rPr>
              <w:t xml:space="preserve">, 8 mg every 12 hours for up to 5 days; alternatively, by IV infusion, over at least 15 minutes, 32 mg immediately before treatment then </w:t>
            </w:r>
            <w:r w:rsidRPr="0045565E">
              <w:rPr>
                <w:rFonts w:cs="Times New Roman"/>
                <w:szCs w:val="24"/>
                <w:lang w:val="en-US"/>
              </w:rPr>
              <w:t>oral</w:t>
            </w:r>
            <w:r w:rsidRPr="0024114A">
              <w:rPr>
                <w:rFonts w:cs="Times New Roman"/>
                <w:szCs w:val="24"/>
                <w:lang w:val="en-US"/>
              </w:rPr>
              <w:t>, 8 mg every 12 hours for up to 5 days</w:t>
            </w:r>
          </w:p>
          <w:p w14:paraId="7BA36772" w14:textId="77777777" w:rsidR="00C345C8" w:rsidRPr="0024114A" w:rsidRDefault="00C345C8" w:rsidP="002D6DD7">
            <w:pPr>
              <w:jc w:val="both"/>
              <w:rPr>
                <w:rFonts w:cs="Times New Roman"/>
                <w:szCs w:val="24"/>
                <w:lang w:val="en-US"/>
              </w:rPr>
            </w:pPr>
            <w:r w:rsidRPr="0024114A">
              <w:rPr>
                <w:rFonts w:cs="Times New Roman"/>
                <w:b/>
                <w:bCs/>
                <w:szCs w:val="24"/>
                <w:lang w:val="en-US"/>
              </w:rPr>
              <w:t>Prevention/treatment of postoperative nausea and vomiting</w:t>
            </w:r>
            <w:r w:rsidRPr="0024114A">
              <w:rPr>
                <w:rFonts w:cs="Times New Roman"/>
                <w:szCs w:val="24"/>
                <w:lang w:val="en-US"/>
              </w:rPr>
              <w:t xml:space="preserve">, </w:t>
            </w:r>
            <w:r w:rsidRPr="0045565E">
              <w:rPr>
                <w:rFonts w:cs="Times New Roman"/>
                <w:szCs w:val="24"/>
                <w:lang w:val="en-US"/>
              </w:rPr>
              <w:t>oral</w:t>
            </w:r>
            <w:r w:rsidRPr="0024114A">
              <w:rPr>
                <w:rFonts w:cs="Times New Roman"/>
                <w:szCs w:val="24"/>
                <w:lang w:val="en-US"/>
              </w:rPr>
              <w:t xml:space="preserve">: </w:t>
            </w:r>
          </w:p>
          <w:p w14:paraId="46C47587" w14:textId="77777777" w:rsidR="00C345C8" w:rsidRPr="0024114A" w:rsidRDefault="00C345C8" w:rsidP="002D6DD7">
            <w:pPr>
              <w:jc w:val="both"/>
              <w:rPr>
                <w:rFonts w:cs="Times New Roman"/>
                <w:szCs w:val="24"/>
                <w:lang w:val="en-US"/>
              </w:rPr>
            </w:pPr>
            <w:r w:rsidRPr="0024114A">
              <w:rPr>
                <w:rFonts w:cs="Times New Roman"/>
                <w:b/>
                <w:szCs w:val="24"/>
                <w:lang w:val="en-US"/>
              </w:rPr>
              <w:t>Adult:</w:t>
            </w:r>
            <w:r w:rsidRPr="0024114A">
              <w:rPr>
                <w:rFonts w:cs="Times New Roman"/>
                <w:szCs w:val="24"/>
                <w:lang w:val="en-US"/>
              </w:rPr>
              <w:t>16 mg 1 hour before anaesthesia or 8 mg 1 hour before anaesthesia, followed by 8 mg at intervals of 8 hours for 2 further doses; alternatively, by IM or slow IV injection, 4 mg at induction of anaesthesia</w:t>
            </w:r>
          </w:p>
          <w:p w14:paraId="79DD924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Chemotherapy-induced nausea and vomiting</w:t>
            </w:r>
            <w:r w:rsidR="0045565E">
              <w:rPr>
                <w:rFonts w:cs="Times New Roman"/>
                <w:b/>
                <w:bCs/>
                <w:szCs w:val="24"/>
                <w:lang w:val="en-US"/>
              </w:rPr>
              <w:t>:</w:t>
            </w:r>
          </w:p>
          <w:p w14:paraId="4441D6FB" w14:textId="77777777" w:rsidR="00C345C8" w:rsidRPr="00BE460D" w:rsidRDefault="00C345C8" w:rsidP="002D6DD7">
            <w:pPr>
              <w:jc w:val="both"/>
              <w:rPr>
                <w:rFonts w:cs="Times New Roman"/>
                <w:szCs w:val="24"/>
                <w:lang w:val="en-US"/>
              </w:rPr>
            </w:pPr>
            <w:r w:rsidRPr="00BE460D">
              <w:rPr>
                <w:rFonts w:cs="Times New Roman"/>
                <w:b/>
                <w:bCs/>
                <w:szCs w:val="24"/>
                <w:lang w:val="en-US"/>
              </w:rPr>
              <w:t>Child 6 months–18 year</w:t>
            </w:r>
            <w:r w:rsidRPr="00BE460D">
              <w:rPr>
                <w:rFonts w:cs="Times New Roman"/>
                <w:b/>
                <w:szCs w:val="24"/>
                <w:lang w:val="en-US"/>
              </w:rPr>
              <w:t>s:</w:t>
            </w:r>
            <w:r w:rsidRPr="00BE460D">
              <w:rPr>
                <w:rFonts w:cs="Times New Roman"/>
                <w:szCs w:val="24"/>
                <w:lang w:val="en-US"/>
              </w:rPr>
              <w:t xml:space="preserve"> By IV infusion over 15 minutes, 5 mg/m2 (max. 8 mg) immediately before chemotherapy, then for body-surface area &lt;0.6 m</w:t>
            </w:r>
            <w:r w:rsidRPr="00BE460D">
              <w:rPr>
                <w:rFonts w:cs="Times New Roman"/>
                <w:szCs w:val="24"/>
                <w:vertAlign w:val="superscript"/>
                <w:lang w:val="en-US"/>
              </w:rPr>
              <w:t>2</w:t>
            </w:r>
            <w:r w:rsidRPr="00BE460D">
              <w:rPr>
                <w:rFonts w:cs="Times New Roman"/>
                <w:szCs w:val="24"/>
                <w:lang w:val="en-US"/>
              </w:rPr>
              <w:t xml:space="preserve">, 2 mg oral every 12 hours for up to 5 days; for body-surface area 0.6 m2 or greater, 4 mg oral every 12 hours for up to 5 days, max. total daily dose 32 mg; alternatively, by IV infusion over 15 minutes, 150 mcg/kg (max. 8 mg) immediately before chemotherapy repeated at intervals of 4 hours for 2 further doses, then for body weight 10 kg or less 2 mg oral every 12 hours for up to 5 days; for body weight over 10 kg, 4 mg oral every 12 hours for up to 5 days, maximum total daily dose 32 mg </w:t>
            </w:r>
          </w:p>
          <w:p w14:paraId="2CE13AB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Prevention of postoperative nausea and vomiting</w:t>
            </w:r>
          </w:p>
          <w:p w14:paraId="57966F06" w14:textId="77777777" w:rsidR="00C345C8" w:rsidRPr="0024114A" w:rsidRDefault="00C345C8" w:rsidP="002D6DD7">
            <w:pPr>
              <w:jc w:val="both"/>
              <w:rPr>
                <w:rFonts w:cs="Times New Roman"/>
                <w:szCs w:val="24"/>
                <w:lang w:val="en-US"/>
              </w:rPr>
            </w:pPr>
            <w:r w:rsidRPr="0024114A">
              <w:rPr>
                <w:rFonts w:cs="Times New Roman"/>
                <w:b/>
                <w:bCs/>
                <w:szCs w:val="24"/>
                <w:lang w:val="en-US"/>
              </w:rPr>
              <w:t>Child 6 month–18 years:</w:t>
            </w:r>
            <w:r w:rsidRPr="0024114A">
              <w:rPr>
                <w:rFonts w:cs="Times New Roman"/>
                <w:szCs w:val="24"/>
                <w:lang w:val="en-US"/>
              </w:rPr>
              <w:t xml:space="preserve"> By slow IV injection over at least 30 seconds21, 100 mcg/kg (max. 4 mg) before, during, or after induction of anaesthesia</w:t>
            </w:r>
          </w:p>
          <w:p w14:paraId="412E0C47"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Treatment of postoperative nausea and vomiting, </w:t>
            </w:r>
            <w:r w:rsidRPr="0024114A">
              <w:rPr>
                <w:rFonts w:cs="Times New Roman"/>
                <w:szCs w:val="24"/>
                <w:lang w:val="en-US"/>
              </w:rPr>
              <w:t>by IMor slow IV injection</w:t>
            </w:r>
          </w:p>
          <w:p w14:paraId="1E99C421" w14:textId="77777777" w:rsidR="00C345C8" w:rsidRPr="0024114A" w:rsidRDefault="00C345C8" w:rsidP="002D6DD7">
            <w:pPr>
              <w:jc w:val="both"/>
              <w:rPr>
                <w:rFonts w:cs="Times New Roman"/>
                <w:szCs w:val="24"/>
                <w:lang w:val="en-US"/>
              </w:rPr>
            </w:pPr>
            <w:r w:rsidRPr="0024114A">
              <w:rPr>
                <w:rFonts w:cs="Times New Roman"/>
                <w:b/>
                <w:bCs/>
                <w:szCs w:val="24"/>
                <w:lang w:val="en-US"/>
              </w:rPr>
              <w:lastRenderedPageBreak/>
              <w:t>Child 6 month–18 year</w:t>
            </w:r>
            <w:r w:rsidRPr="0024114A">
              <w:rPr>
                <w:rFonts w:cs="Times New Roman"/>
                <w:szCs w:val="24"/>
                <w:lang w:val="en-US"/>
              </w:rPr>
              <w:t xml:space="preserve">s: By slow IV injection over atleast 30 seconds, 100 mcg/kg (max. 4 mg) </w:t>
            </w:r>
          </w:p>
          <w:p w14:paraId="0C05F2A5" w14:textId="77777777" w:rsidR="00C345C8" w:rsidRPr="0024114A" w:rsidRDefault="00C345C8" w:rsidP="002D6DD7">
            <w:pPr>
              <w:jc w:val="both"/>
              <w:rPr>
                <w:rFonts w:cs="Times New Roman"/>
                <w:i/>
                <w:szCs w:val="24"/>
                <w:lang w:val="en-US"/>
              </w:rPr>
            </w:pPr>
            <w:r w:rsidRPr="0024114A">
              <w:rPr>
                <w:rFonts w:cs="Times New Roman"/>
                <w:i/>
                <w:szCs w:val="24"/>
                <w:lang w:val="en-US"/>
              </w:rPr>
              <w:t xml:space="preserve">Note: Use only in children aged &gt;6 months </w:t>
            </w:r>
          </w:p>
        </w:tc>
      </w:tr>
      <w:tr w:rsidR="00C345C8" w:rsidRPr="0024114A" w14:paraId="111465D6" w14:textId="77777777" w:rsidTr="002D6DD7">
        <w:trPr>
          <w:jc w:val="center"/>
        </w:trPr>
        <w:tc>
          <w:tcPr>
            <w:tcW w:w="2695" w:type="dxa"/>
          </w:tcPr>
          <w:p w14:paraId="672D2191" w14:textId="77777777" w:rsidR="00C345C8" w:rsidRPr="0024114A" w:rsidRDefault="00C345C8" w:rsidP="002D6DD7">
            <w:pPr>
              <w:jc w:val="both"/>
              <w:rPr>
                <w:rFonts w:eastAsia="Times New Roman" w:cs="Times New Roman"/>
                <w:szCs w:val="24"/>
                <w:lang w:val="en-US"/>
              </w:rPr>
            </w:pPr>
            <w:r w:rsidRPr="0024114A">
              <w:rPr>
                <w:rFonts w:cs="Times New Roman"/>
                <w:szCs w:val="24"/>
                <w:lang w:val="en-US"/>
              </w:rPr>
              <w:lastRenderedPageBreak/>
              <w:t>Contraindications</w:t>
            </w:r>
          </w:p>
        </w:tc>
        <w:tc>
          <w:tcPr>
            <w:tcW w:w="6105" w:type="dxa"/>
          </w:tcPr>
          <w:p w14:paraId="496DB70E"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and other5-HT3 antagonists</w:t>
            </w:r>
          </w:p>
        </w:tc>
      </w:tr>
      <w:tr w:rsidR="00C345C8" w:rsidRPr="0024114A" w14:paraId="7399B354" w14:textId="77777777" w:rsidTr="002D6DD7">
        <w:trPr>
          <w:jc w:val="center"/>
        </w:trPr>
        <w:tc>
          <w:tcPr>
            <w:tcW w:w="2695" w:type="dxa"/>
          </w:tcPr>
          <w:p w14:paraId="56937CBC"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732528C3" w14:textId="77777777" w:rsidR="00C345C8" w:rsidRPr="0024114A" w:rsidRDefault="00C345C8" w:rsidP="002D6DD7">
            <w:pPr>
              <w:jc w:val="both"/>
              <w:rPr>
                <w:rFonts w:cs="Times New Roman"/>
                <w:szCs w:val="24"/>
                <w:lang w:val="en-US"/>
              </w:rPr>
            </w:pPr>
            <w:r w:rsidRPr="0024114A">
              <w:rPr>
                <w:rFonts w:cs="Times New Roman"/>
                <w:szCs w:val="24"/>
                <w:lang w:val="en-US"/>
              </w:rPr>
              <w:t>Apomorphine, CYP3A4-inducers (such as aminoglutethimide, carbamazepine, nafcillin, nevirapine, phenobarbital, phenytoin, and rifampicin), tramadol, amiodarone, artemether + lumefantrine, azole antifungals, macrolides.</w:t>
            </w:r>
          </w:p>
        </w:tc>
      </w:tr>
      <w:tr w:rsidR="00C345C8" w:rsidRPr="0024114A" w14:paraId="7B852393" w14:textId="77777777" w:rsidTr="002D6DD7">
        <w:trPr>
          <w:jc w:val="center"/>
        </w:trPr>
        <w:tc>
          <w:tcPr>
            <w:tcW w:w="2695" w:type="dxa"/>
          </w:tcPr>
          <w:p w14:paraId="6A818C55"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06F18B9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Constipation, headache, transient rise in hepatic aminotransferases, hypersensitivity reactions (including anaphylaxis), fatigue, fever, anxiety. </w:t>
            </w:r>
          </w:p>
        </w:tc>
      </w:tr>
      <w:tr w:rsidR="00C345C8" w:rsidRPr="0024114A" w14:paraId="7C352D4A" w14:textId="77777777" w:rsidTr="002D6DD7">
        <w:trPr>
          <w:jc w:val="center"/>
        </w:trPr>
        <w:tc>
          <w:tcPr>
            <w:tcW w:w="2695" w:type="dxa"/>
          </w:tcPr>
          <w:p w14:paraId="3DB2CB0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105" w:type="dxa"/>
          </w:tcPr>
          <w:p w14:paraId="0F243C97" w14:textId="77777777" w:rsidR="00C345C8" w:rsidRPr="0024114A" w:rsidRDefault="00C345C8" w:rsidP="002D6DD7">
            <w:pPr>
              <w:jc w:val="both"/>
              <w:rPr>
                <w:rFonts w:cs="Times New Roman"/>
                <w:szCs w:val="24"/>
                <w:lang w:val="en-US"/>
              </w:rPr>
            </w:pPr>
            <w:r w:rsidRPr="0024114A">
              <w:rPr>
                <w:rFonts w:cs="Times New Roman"/>
                <w:szCs w:val="24"/>
                <w:lang w:val="en-US"/>
              </w:rPr>
              <w:t>Sub-acute intestinal obstruction, adenotonsillar surgery, cardiac rhythm or conduction disturbances, in patients treated with anti-arrhythmic agents or beta-adrenergic blocking agents, in patients with significant electrolyte disturbance, hepatic impairment, pregnancy, breastfeeding</w:t>
            </w:r>
          </w:p>
        </w:tc>
      </w:tr>
      <w:tr w:rsidR="00C345C8" w:rsidRPr="0024114A" w14:paraId="211D5836" w14:textId="77777777" w:rsidTr="002D6DD7">
        <w:trPr>
          <w:jc w:val="center"/>
        </w:trPr>
        <w:tc>
          <w:tcPr>
            <w:tcW w:w="2695" w:type="dxa"/>
          </w:tcPr>
          <w:p w14:paraId="1F17782E"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626A3FC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o</w:t>
            </w:r>
            <w:r w:rsidRPr="0024114A">
              <w:rPr>
                <w:rFonts w:cs="Times New Roman"/>
                <w:szCs w:val="24"/>
                <w:lang w:val="en-US"/>
              </w:rPr>
              <w:t>C.</w:t>
            </w:r>
          </w:p>
        </w:tc>
      </w:tr>
      <w:tr w:rsidR="00C345C8" w:rsidRPr="0024114A" w14:paraId="5D76D6B6" w14:textId="77777777" w:rsidTr="002D6DD7">
        <w:trPr>
          <w:jc w:val="center"/>
        </w:trPr>
        <w:tc>
          <w:tcPr>
            <w:tcW w:w="8800" w:type="dxa"/>
            <w:gridSpan w:val="2"/>
          </w:tcPr>
          <w:p w14:paraId="7DCDDBD1" w14:textId="77777777" w:rsidR="00C345C8" w:rsidRPr="0024114A" w:rsidRDefault="00C345C8" w:rsidP="002D6DD7">
            <w:pPr>
              <w:jc w:val="both"/>
              <w:rPr>
                <w:rFonts w:cs="Times New Roman"/>
                <w:szCs w:val="24"/>
                <w:lang w:val="en-US"/>
              </w:rPr>
            </w:pPr>
            <w:r w:rsidRPr="0024114A">
              <w:rPr>
                <w:rFonts w:cs="Times New Roman"/>
                <w:b/>
                <w:bCs/>
                <w:szCs w:val="24"/>
                <w:lang w:val="en-US"/>
              </w:rPr>
              <w:t>Prednisolone</w:t>
            </w:r>
          </w:p>
        </w:tc>
      </w:tr>
      <w:tr w:rsidR="00C345C8" w:rsidRPr="0024114A" w14:paraId="5924DD0F" w14:textId="77777777" w:rsidTr="002D6DD7">
        <w:trPr>
          <w:jc w:val="center"/>
        </w:trPr>
        <w:tc>
          <w:tcPr>
            <w:tcW w:w="2695" w:type="dxa"/>
          </w:tcPr>
          <w:p w14:paraId="3317F2A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105" w:type="dxa"/>
          </w:tcPr>
          <w:p w14:paraId="38C42DFC" w14:textId="77777777" w:rsidR="00C345C8" w:rsidRPr="0024114A" w:rsidRDefault="00C345C8" w:rsidP="002D6DD7">
            <w:pPr>
              <w:jc w:val="both"/>
              <w:rPr>
                <w:rFonts w:cs="Times New Roman"/>
                <w:szCs w:val="24"/>
                <w:lang w:val="en-US"/>
              </w:rPr>
            </w:pPr>
            <w:r w:rsidRPr="0024114A">
              <w:rPr>
                <w:rFonts w:cs="Times New Roman"/>
                <w:szCs w:val="24"/>
                <w:lang w:val="en-US"/>
              </w:rPr>
              <w:t>Corticosteroid</w:t>
            </w:r>
          </w:p>
        </w:tc>
      </w:tr>
      <w:tr w:rsidR="00C345C8" w:rsidRPr="0024114A" w14:paraId="513A7F13" w14:textId="77777777" w:rsidTr="002D6DD7">
        <w:trPr>
          <w:jc w:val="center"/>
        </w:trPr>
        <w:tc>
          <w:tcPr>
            <w:tcW w:w="2695" w:type="dxa"/>
          </w:tcPr>
          <w:p w14:paraId="76417159"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105" w:type="dxa"/>
          </w:tcPr>
          <w:p w14:paraId="47A6488F" w14:textId="77777777" w:rsidR="00C345C8" w:rsidRPr="0024114A" w:rsidRDefault="00C345C8" w:rsidP="002D6DD7">
            <w:pPr>
              <w:jc w:val="both"/>
              <w:rPr>
                <w:rFonts w:cs="Times New Roman"/>
                <w:szCs w:val="24"/>
                <w:lang w:val="en-US"/>
              </w:rPr>
            </w:pPr>
            <w:r w:rsidRPr="0024114A">
              <w:rPr>
                <w:rFonts w:cs="Times New Roman"/>
                <w:szCs w:val="24"/>
                <w:lang w:val="en-US"/>
              </w:rPr>
              <w:t>Tablet: 5 mg</w:t>
            </w:r>
          </w:p>
        </w:tc>
      </w:tr>
      <w:tr w:rsidR="00C345C8" w:rsidRPr="0024114A" w14:paraId="4FF523E9" w14:textId="77777777" w:rsidTr="002D6DD7">
        <w:trPr>
          <w:jc w:val="center"/>
        </w:trPr>
        <w:tc>
          <w:tcPr>
            <w:tcW w:w="2695" w:type="dxa"/>
          </w:tcPr>
          <w:p w14:paraId="4C29CFAC" w14:textId="77777777" w:rsidR="00C345C8" w:rsidRPr="0045565E" w:rsidRDefault="00C345C8" w:rsidP="002D6DD7">
            <w:pPr>
              <w:jc w:val="both"/>
              <w:rPr>
                <w:rFonts w:cs="Times New Roman"/>
                <w:szCs w:val="24"/>
                <w:lang w:val="en-US"/>
              </w:rPr>
            </w:pPr>
            <w:r w:rsidRPr="0045565E">
              <w:rPr>
                <w:rFonts w:cs="Times New Roman"/>
                <w:szCs w:val="24"/>
                <w:lang w:val="en-US"/>
              </w:rPr>
              <w:t>Indications</w:t>
            </w:r>
          </w:p>
        </w:tc>
        <w:tc>
          <w:tcPr>
            <w:tcW w:w="6105" w:type="dxa"/>
          </w:tcPr>
          <w:p w14:paraId="7B10D62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Suppression of inflammatory and allergic disorders, inflammatory bowel disease, asthma, rheumatic disease, for the treatment of adrenocortical insufficiency and as immune suppression. </w:t>
            </w:r>
          </w:p>
        </w:tc>
      </w:tr>
      <w:tr w:rsidR="00C345C8" w:rsidRPr="0024114A" w14:paraId="7DC7EE27" w14:textId="77777777" w:rsidTr="002D6DD7">
        <w:trPr>
          <w:jc w:val="center"/>
        </w:trPr>
        <w:tc>
          <w:tcPr>
            <w:tcW w:w="2695" w:type="dxa"/>
          </w:tcPr>
          <w:p w14:paraId="0A6F77E4" w14:textId="77777777" w:rsidR="00C345C8" w:rsidRPr="0024114A" w:rsidRDefault="00C345C8" w:rsidP="002D6DD7">
            <w:pPr>
              <w:jc w:val="both"/>
              <w:rPr>
                <w:rFonts w:cs="Times New Roman"/>
                <w:szCs w:val="24"/>
                <w:lang w:val="en-US"/>
              </w:rPr>
            </w:pPr>
            <w:r w:rsidRPr="0024114A">
              <w:rPr>
                <w:rFonts w:cs="Times New Roman"/>
                <w:szCs w:val="24"/>
                <w:lang w:val="en-US"/>
              </w:rPr>
              <w:t>Dose and administration</w:t>
            </w:r>
          </w:p>
        </w:tc>
        <w:tc>
          <w:tcPr>
            <w:tcW w:w="6105" w:type="dxa"/>
          </w:tcPr>
          <w:p w14:paraId="71571BEC" w14:textId="77777777" w:rsidR="00C345C8" w:rsidRPr="0024114A" w:rsidRDefault="00C345C8" w:rsidP="002D6DD7">
            <w:pPr>
              <w:jc w:val="both"/>
              <w:rPr>
                <w:rFonts w:cs="Times New Roman"/>
                <w:szCs w:val="24"/>
                <w:lang w:val="en-US"/>
              </w:rPr>
            </w:pPr>
            <w:r w:rsidRPr="0024114A">
              <w:rPr>
                <w:rFonts w:cs="Times New Roman"/>
                <w:b/>
                <w:bCs/>
                <w:szCs w:val="24"/>
                <w:lang w:val="en-US"/>
              </w:rPr>
              <w:t>Suppression of inflammatory and allergic disorders</w:t>
            </w:r>
            <w:r w:rsidRPr="0024114A">
              <w:rPr>
                <w:rFonts w:cs="Times New Roman"/>
                <w:szCs w:val="24"/>
                <w:lang w:val="en-US"/>
              </w:rPr>
              <w:t xml:space="preserve">, </w:t>
            </w:r>
            <w:r w:rsidRPr="0078037A">
              <w:rPr>
                <w:rFonts w:cs="Times New Roman"/>
                <w:szCs w:val="24"/>
                <w:lang w:val="en-US"/>
              </w:rPr>
              <w:t>oral:</w:t>
            </w:r>
          </w:p>
          <w:p w14:paraId="35D7327B"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lang w:val="en-US"/>
              </w:rPr>
              <w:t xml:space="preserve">  Initially up to 10–20 mg daily (severe disease, up to 60 mg daily), preferably taken in the morning after breakfast; dose can often be reduced within a few days, but may need to be continued for several weeks or months; maintenance, 2.5–15 mg daily or higher, cushingoid features </w:t>
            </w:r>
            <w:r w:rsidRPr="0024114A">
              <w:rPr>
                <w:rFonts w:cs="Times New Roman"/>
                <w:szCs w:val="24"/>
                <w:lang w:val="en-US"/>
              </w:rPr>
              <w:lastRenderedPageBreak/>
              <w:t>are increasingly likely with doses above 7.5 mg daily</w:t>
            </w:r>
          </w:p>
          <w:p w14:paraId="1BB87B5E" w14:textId="77777777" w:rsidR="00C345C8" w:rsidRPr="0024114A" w:rsidRDefault="00C345C8" w:rsidP="002D6DD7">
            <w:pPr>
              <w:jc w:val="both"/>
              <w:rPr>
                <w:rFonts w:cs="Times New Roman"/>
                <w:szCs w:val="24"/>
                <w:lang w:val="en-US"/>
              </w:rPr>
            </w:pPr>
            <w:r w:rsidRPr="0024114A">
              <w:rPr>
                <w:rFonts w:cs="Times New Roman"/>
                <w:b/>
                <w:bCs/>
                <w:szCs w:val="24"/>
                <w:lang w:val="en-US"/>
              </w:rPr>
              <w:t>Ulcerative colitis and Crohn’s disease</w:t>
            </w:r>
            <w:r w:rsidRPr="0024114A">
              <w:rPr>
                <w:rFonts w:cs="Times New Roman"/>
                <w:szCs w:val="24"/>
                <w:lang w:val="en-US"/>
              </w:rPr>
              <w:t xml:space="preserve">, </w:t>
            </w:r>
            <w:r w:rsidRPr="0078037A">
              <w:rPr>
                <w:rFonts w:cs="Times New Roman"/>
                <w:szCs w:val="24"/>
                <w:lang w:val="en-US"/>
              </w:rPr>
              <w:t>oral:</w:t>
            </w:r>
          </w:p>
          <w:p w14:paraId="0F618118"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Pr>
                <w:rFonts w:cs="Times New Roman"/>
                <w:b/>
                <w:bCs/>
                <w:szCs w:val="24"/>
                <w:lang w:val="en-US"/>
              </w:rPr>
              <w:t xml:space="preserve"> </w:t>
            </w:r>
            <w:r w:rsidRPr="0024114A">
              <w:rPr>
                <w:rFonts w:cs="Times New Roman"/>
                <w:szCs w:val="24"/>
                <w:lang w:val="en-US"/>
              </w:rPr>
              <w:t>Initially 20–40 mg daily until remission occurs, followed by reducing doses, up to 60 mg daily, may be used in some cases, doses preferably taken in the morning after breakfast</w:t>
            </w:r>
          </w:p>
          <w:p w14:paraId="2AA2352F" w14:textId="77777777" w:rsidR="00C345C8" w:rsidRPr="0024114A" w:rsidRDefault="00C345C8" w:rsidP="002D6DD7">
            <w:pPr>
              <w:jc w:val="both"/>
              <w:rPr>
                <w:rFonts w:cs="Times New Roman"/>
                <w:b/>
                <w:bCs/>
                <w:szCs w:val="24"/>
                <w:lang w:val="en-US"/>
              </w:rPr>
            </w:pPr>
            <w:r w:rsidRPr="0024114A">
              <w:rPr>
                <w:rFonts w:cs="Times New Roman"/>
                <w:b/>
                <w:bCs/>
                <w:szCs w:val="24"/>
                <w:lang w:val="en-US"/>
              </w:rPr>
              <w:t>Mild to moderate acute asthma, severe or life-threatening</w:t>
            </w:r>
          </w:p>
          <w:p w14:paraId="2BDF2025" w14:textId="77777777" w:rsidR="00C345C8" w:rsidRPr="0024114A" w:rsidRDefault="00C345C8" w:rsidP="002D6DD7">
            <w:pPr>
              <w:jc w:val="both"/>
              <w:rPr>
                <w:rFonts w:cs="Times New Roman"/>
                <w:szCs w:val="24"/>
                <w:lang w:val="en-US"/>
              </w:rPr>
            </w:pPr>
            <w:r w:rsidRPr="0024114A">
              <w:rPr>
                <w:rFonts w:cs="Times New Roman"/>
                <w:b/>
                <w:bCs/>
                <w:szCs w:val="24"/>
                <w:lang w:val="en-US"/>
              </w:rPr>
              <w:t xml:space="preserve">acute asthma, </w:t>
            </w:r>
            <w:r w:rsidRPr="0078037A">
              <w:rPr>
                <w:rFonts w:cs="Times New Roman"/>
                <w:szCs w:val="24"/>
                <w:lang w:val="en-US"/>
              </w:rPr>
              <w:t>oral:</w:t>
            </w:r>
          </w:p>
          <w:p w14:paraId="29E0FDA4"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Adult: </w:t>
            </w:r>
            <w:r w:rsidRPr="0024114A">
              <w:rPr>
                <w:rFonts w:cs="Times New Roman"/>
                <w:szCs w:val="24"/>
                <w:lang w:val="en-US"/>
              </w:rPr>
              <w:t>40–50 mg daily for at least 5 days</w:t>
            </w:r>
          </w:p>
          <w:p w14:paraId="376F3A05" w14:textId="77777777" w:rsidR="00C345C8" w:rsidRPr="0024114A" w:rsidRDefault="00C345C8" w:rsidP="002D6DD7">
            <w:pPr>
              <w:jc w:val="both"/>
              <w:rPr>
                <w:rFonts w:cs="Times New Roman"/>
                <w:szCs w:val="24"/>
                <w:lang w:val="en-US"/>
              </w:rPr>
            </w:pPr>
            <w:r w:rsidRPr="0024114A">
              <w:rPr>
                <w:rFonts w:cs="Times New Roman"/>
                <w:b/>
                <w:bCs/>
                <w:szCs w:val="24"/>
                <w:lang w:val="en-US"/>
              </w:rPr>
              <w:t>Suppression of inflammatory and allergic disorders</w:t>
            </w:r>
            <w:r w:rsidRPr="0024114A">
              <w:rPr>
                <w:rFonts w:cs="Times New Roman"/>
                <w:b/>
                <w:szCs w:val="24"/>
                <w:lang w:val="en-US"/>
              </w:rPr>
              <w:t>, oral:</w:t>
            </w:r>
          </w:p>
          <w:p w14:paraId="4111A98F" w14:textId="77777777" w:rsidR="00C345C8" w:rsidRPr="0024114A" w:rsidRDefault="00C345C8" w:rsidP="002D6DD7">
            <w:pPr>
              <w:jc w:val="both"/>
              <w:rPr>
                <w:rFonts w:cs="Times New Roman"/>
                <w:szCs w:val="24"/>
                <w:lang w:val="en-US"/>
              </w:rPr>
            </w:pPr>
            <w:r w:rsidRPr="0024114A">
              <w:rPr>
                <w:rFonts w:cs="Times New Roman"/>
                <w:b/>
                <w:szCs w:val="24"/>
                <w:lang w:val="en-US"/>
              </w:rPr>
              <w:t>Infant or child</w:t>
            </w:r>
            <w:r w:rsidRPr="0024114A">
              <w:rPr>
                <w:rFonts w:cs="Times New Roman"/>
                <w:szCs w:val="24"/>
                <w:lang w:val="en-US"/>
              </w:rPr>
              <w:t>: 1–2 mg/kg once daily (usual maximum 60 mg), reducing after a few days if appropriate; increased frequency may be required in certain clinical indications</w:t>
            </w:r>
          </w:p>
          <w:p w14:paraId="5DA2A153" w14:textId="77777777" w:rsidR="00C345C8" w:rsidRPr="0024114A" w:rsidRDefault="00C345C8" w:rsidP="002D6DD7">
            <w:pPr>
              <w:jc w:val="both"/>
              <w:rPr>
                <w:rFonts w:cs="Times New Roman"/>
                <w:b/>
                <w:bCs/>
                <w:szCs w:val="24"/>
                <w:lang w:val="en-US"/>
              </w:rPr>
            </w:pPr>
            <w:r w:rsidRPr="0024114A">
              <w:rPr>
                <w:rFonts w:cs="Times New Roman"/>
                <w:b/>
                <w:bCs/>
                <w:szCs w:val="24"/>
                <w:lang w:val="en-US"/>
              </w:rPr>
              <w:t>Mild to moderate acute asthma, Severe or life-threatening</w:t>
            </w:r>
          </w:p>
          <w:p w14:paraId="4313C6D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 xml:space="preserve">acute asthma, </w:t>
            </w:r>
            <w:r w:rsidRPr="0078037A">
              <w:rPr>
                <w:rFonts w:cs="Times New Roman"/>
                <w:bCs/>
                <w:szCs w:val="24"/>
                <w:lang w:val="en-US"/>
              </w:rPr>
              <w:t>oral:</w:t>
            </w:r>
            <w:r w:rsidRPr="0024114A">
              <w:rPr>
                <w:rFonts w:cs="Times New Roman"/>
                <w:b/>
                <w:bCs/>
                <w:szCs w:val="24"/>
                <w:lang w:val="en-US"/>
              </w:rPr>
              <w:t xml:space="preserve"> </w:t>
            </w:r>
          </w:p>
          <w:p w14:paraId="68C01034" w14:textId="77777777" w:rsidR="00C345C8" w:rsidRPr="0024114A" w:rsidRDefault="00C345C8" w:rsidP="002D6DD7">
            <w:pPr>
              <w:jc w:val="both"/>
              <w:rPr>
                <w:rFonts w:cs="Times New Roman"/>
                <w:szCs w:val="24"/>
                <w:lang w:val="en-US"/>
              </w:rPr>
            </w:pPr>
            <w:r w:rsidRPr="0024114A">
              <w:rPr>
                <w:rFonts w:cs="Times New Roman"/>
                <w:b/>
                <w:bCs/>
                <w:szCs w:val="24"/>
                <w:lang w:val="en-US"/>
              </w:rPr>
              <w:t>Child 1 month–11 years</w:t>
            </w:r>
            <w:r w:rsidRPr="0024114A">
              <w:rPr>
                <w:rFonts w:cs="Times New Roman"/>
                <w:szCs w:val="24"/>
                <w:lang w:val="en-US"/>
              </w:rPr>
              <w:t>: 1–2 mg/kg once daily (max. Per dose 40 mg) for up to 3 days, longer if necessary</w:t>
            </w:r>
          </w:p>
          <w:p w14:paraId="2B3A7C86" w14:textId="77777777" w:rsidR="00C345C8" w:rsidRPr="0024114A" w:rsidRDefault="00C345C8" w:rsidP="002D6DD7">
            <w:pPr>
              <w:jc w:val="both"/>
              <w:rPr>
                <w:rFonts w:cs="Times New Roman"/>
                <w:szCs w:val="24"/>
                <w:lang w:val="en-US"/>
              </w:rPr>
            </w:pPr>
            <w:r w:rsidRPr="0024114A">
              <w:rPr>
                <w:rFonts w:cs="Times New Roman"/>
                <w:b/>
                <w:bCs/>
                <w:szCs w:val="24"/>
                <w:lang w:val="en-US"/>
              </w:rPr>
              <w:t>Child 12–17 years</w:t>
            </w:r>
            <w:r w:rsidRPr="0024114A">
              <w:rPr>
                <w:rFonts w:cs="Times New Roman"/>
                <w:szCs w:val="24"/>
                <w:lang w:val="en-US"/>
              </w:rPr>
              <w:t>: 40–50 mg daily for at least 5 days</w:t>
            </w:r>
          </w:p>
        </w:tc>
      </w:tr>
      <w:tr w:rsidR="00C345C8" w:rsidRPr="0024114A" w14:paraId="1E3F36B0" w14:textId="77777777" w:rsidTr="002D6DD7">
        <w:trPr>
          <w:jc w:val="center"/>
        </w:trPr>
        <w:tc>
          <w:tcPr>
            <w:tcW w:w="2695" w:type="dxa"/>
          </w:tcPr>
          <w:p w14:paraId="7A084753"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105" w:type="dxa"/>
          </w:tcPr>
          <w:p w14:paraId="2AA5306B"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untreated systemic infection, live vaccines, herpes simplex keratitis, uncontrolled psychosis</w:t>
            </w:r>
          </w:p>
        </w:tc>
      </w:tr>
      <w:tr w:rsidR="00C345C8" w:rsidRPr="0024114A" w14:paraId="488CDD65" w14:textId="77777777" w:rsidTr="002D6DD7">
        <w:trPr>
          <w:jc w:val="center"/>
        </w:trPr>
        <w:tc>
          <w:tcPr>
            <w:tcW w:w="2695" w:type="dxa"/>
          </w:tcPr>
          <w:p w14:paraId="7A21D227"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105" w:type="dxa"/>
          </w:tcPr>
          <w:p w14:paraId="7E8828A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Acetylsalicylic acid, amphotericin B, carbamazepine, ciclosporin, </w:t>
            </w:r>
            <w:r w:rsidRPr="0078037A">
              <w:rPr>
                <w:rFonts w:cs="Times New Roman"/>
                <w:szCs w:val="24"/>
                <w:lang w:val="en-US"/>
              </w:rPr>
              <w:t>oral</w:t>
            </w:r>
            <w:r w:rsidR="0078037A" w:rsidRPr="0078037A">
              <w:rPr>
                <w:rFonts w:cs="Times New Roman"/>
                <w:szCs w:val="24"/>
                <w:lang w:val="en-US"/>
              </w:rPr>
              <w:t xml:space="preserve"> </w:t>
            </w:r>
            <w:r w:rsidRPr="0024114A">
              <w:rPr>
                <w:rFonts w:cs="Times New Roman"/>
                <w:szCs w:val="24"/>
                <w:lang w:val="en-US"/>
              </w:rPr>
              <w:t>contraceptives, digoxin, enalapril, erythromycin, furosemide, hydrochlorothiazide, insulins, phenobarbital, phenytoin, propranolol, rifampicin, ritonavir, spironolactone, infuenza vaccine, live vaccines, warfarin</w:t>
            </w:r>
            <w:r w:rsidR="0078037A">
              <w:rPr>
                <w:rFonts w:cs="Times New Roman"/>
                <w:szCs w:val="24"/>
                <w:lang w:val="en-US"/>
              </w:rPr>
              <w:t>.</w:t>
            </w:r>
          </w:p>
        </w:tc>
      </w:tr>
      <w:tr w:rsidR="00C345C8" w:rsidRPr="0024114A" w14:paraId="3505FC59" w14:textId="77777777" w:rsidTr="002D6DD7">
        <w:trPr>
          <w:jc w:val="center"/>
        </w:trPr>
        <w:tc>
          <w:tcPr>
            <w:tcW w:w="2695" w:type="dxa"/>
          </w:tcPr>
          <w:p w14:paraId="5F164B39"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105" w:type="dxa"/>
          </w:tcPr>
          <w:p w14:paraId="7550BA3F"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Nausea, increased susceptibility to infection, diarrhoea, sodium and water retention, oedema, hypertension, hypokalemia, hyperglycemia, increased appetite, dizziness, dyslipidaemia, lipomatosis, protein catabolism, scleroderma </w:t>
            </w:r>
            <w:r w:rsidRPr="0024114A">
              <w:rPr>
                <w:rFonts w:cs="Times New Roman"/>
                <w:szCs w:val="24"/>
                <w:lang w:val="en-US"/>
              </w:rPr>
              <w:lastRenderedPageBreak/>
              <w:t>renal crisis, dyspepsia, delayed wound healing, bruising, acne, psychiatric effects, hypersensitivity reactions including anaphylaxis</w:t>
            </w:r>
            <w:r w:rsidR="0078037A">
              <w:rPr>
                <w:rFonts w:cs="Times New Roman"/>
                <w:szCs w:val="24"/>
                <w:lang w:val="en-US"/>
              </w:rPr>
              <w:t>.</w:t>
            </w:r>
          </w:p>
        </w:tc>
      </w:tr>
      <w:tr w:rsidR="00C345C8" w:rsidRPr="0024114A" w14:paraId="771C7AB0" w14:textId="77777777" w:rsidTr="002D6DD7">
        <w:trPr>
          <w:jc w:val="center"/>
        </w:trPr>
        <w:tc>
          <w:tcPr>
            <w:tcW w:w="2695" w:type="dxa"/>
          </w:tcPr>
          <w:p w14:paraId="41AEA6BE"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105" w:type="dxa"/>
          </w:tcPr>
          <w:p w14:paraId="643F9AA4" w14:textId="77777777" w:rsidR="00C345C8" w:rsidRPr="0024114A" w:rsidRDefault="00C345C8" w:rsidP="002D6DD7">
            <w:pPr>
              <w:jc w:val="both"/>
              <w:rPr>
                <w:rFonts w:cs="Times New Roman"/>
                <w:szCs w:val="24"/>
                <w:lang w:val="en-US"/>
              </w:rPr>
            </w:pPr>
            <w:r w:rsidRPr="0024114A">
              <w:rPr>
                <w:rFonts w:cs="Times New Roman"/>
                <w:szCs w:val="24"/>
                <w:lang w:val="en-US"/>
              </w:rPr>
              <w:t>Viral infections, recent myocardial infarction (MI), congestive heart failure, renal impairment, hepatic impairment, diabetes mellitus, osteoporosis, glaucoma, corneal perforation, epilepsy, psoriasis, peptic ulcer, hypothyroidism, history of steroid associated myopathy</w:t>
            </w:r>
            <w:r w:rsidR="0078037A">
              <w:rPr>
                <w:rFonts w:cs="Times New Roman"/>
                <w:szCs w:val="24"/>
                <w:lang w:val="en-US"/>
              </w:rPr>
              <w:t>.</w:t>
            </w:r>
          </w:p>
        </w:tc>
      </w:tr>
      <w:tr w:rsidR="00C345C8" w:rsidRPr="0024114A" w14:paraId="2DFF7A3D" w14:textId="77777777" w:rsidTr="002D6DD7">
        <w:trPr>
          <w:jc w:val="center"/>
        </w:trPr>
        <w:tc>
          <w:tcPr>
            <w:tcW w:w="2695" w:type="dxa"/>
          </w:tcPr>
          <w:p w14:paraId="1A9BAE79"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105" w:type="dxa"/>
          </w:tcPr>
          <w:p w14:paraId="6181073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Store below 30 </w:t>
            </w:r>
            <w:r w:rsidRPr="0024114A">
              <w:rPr>
                <w:rFonts w:cs="Times New Roman"/>
                <w:szCs w:val="24"/>
                <w:vertAlign w:val="superscript"/>
                <w:lang w:val="en-US"/>
              </w:rPr>
              <w:t>0</w:t>
            </w:r>
            <w:r w:rsidRPr="0024114A">
              <w:rPr>
                <w:rFonts w:cs="Times New Roman"/>
                <w:szCs w:val="24"/>
                <w:lang w:val="en-US"/>
              </w:rPr>
              <w:t>C.</w:t>
            </w:r>
          </w:p>
        </w:tc>
      </w:tr>
    </w:tbl>
    <w:p w14:paraId="3D015026" w14:textId="77777777" w:rsidR="00C345C8" w:rsidRPr="0024114A" w:rsidRDefault="00C345C8" w:rsidP="00C345C8">
      <w:pPr>
        <w:widowControl w:val="0"/>
        <w:autoSpaceDE w:val="0"/>
        <w:autoSpaceDN w:val="0"/>
        <w:spacing w:after="0"/>
        <w:jc w:val="both"/>
        <w:rPr>
          <w:rFonts w:eastAsia="Times New Roman" w:cs="Times New Roman"/>
          <w:b/>
          <w:szCs w:val="24"/>
        </w:rPr>
      </w:pPr>
    </w:p>
    <w:p w14:paraId="766CA169" w14:textId="77777777" w:rsidR="00C345C8" w:rsidRDefault="00C345C8" w:rsidP="00C345C8">
      <w:pPr>
        <w:rPr>
          <w:rFonts w:eastAsiaTheme="majorEastAsia" w:cs="Times New Roman"/>
          <w:b/>
          <w:bCs/>
          <w:kern w:val="0"/>
          <w:szCs w:val="24"/>
          <w:lang w:val="en-US" w:eastAsia="en-US"/>
        </w:rPr>
      </w:pPr>
      <w:r>
        <w:rPr>
          <w:rFonts w:cs="Times New Roman"/>
          <w:szCs w:val="24"/>
        </w:rPr>
        <w:br w:type="page"/>
      </w:r>
    </w:p>
    <w:p w14:paraId="407930A8" w14:textId="77777777" w:rsidR="00C345C8" w:rsidRPr="0078037A" w:rsidRDefault="00C345C8" w:rsidP="0078037A">
      <w:pPr>
        <w:pStyle w:val="Heading1"/>
        <w:numPr>
          <w:ilvl w:val="0"/>
          <w:numId w:val="25"/>
        </w:numPr>
        <w:spacing w:after="240"/>
      </w:pPr>
      <w:bookmarkStart w:id="71" w:name="_Toc179490338"/>
      <w:r w:rsidRPr="0078037A">
        <w:lastRenderedPageBreak/>
        <w:t>Medicines for Neurological Disorders</w:t>
      </w:r>
      <w:bookmarkEnd w:id="71"/>
    </w:p>
    <w:p w14:paraId="044C6C16" w14:textId="77777777" w:rsidR="00C345C8" w:rsidRPr="0024114A" w:rsidRDefault="00EA5977" w:rsidP="00C345C8">
      <w:pPr>
        <w:spacing w:after="0"/>
        <w:jc w:val="both"/>
        <w:rPr>
          <w:rFonts w:cs="Times New Roman"/>
          <w:bCs/>
          <w:szCs w:val="24"/>
          <w:lang w:val="en-US" w:eastAsia="en-US"/>
        </w:rPr>
      </w:pPr>
      <w:hyperlink r:id="rId26" w:tgtFrame="_blank" w:history="1">
        <w:r w:rsidR="00C345C8" w:rsidRPr="0024114A">
          <w:rPr>
            <w:rStyle w:val="Hyperlink"/>
            <w:rFonts w:cs="Times New Roman"/>
            <w:color w:val="auto"/>
            <w:szCs w:val="24"/>
            <w:u w:val="none"/>
            <w:shd w:val="clear" w:color="auto" w:fill="FFFFFF"/>
          </w:rPr>
          <w:t>Drugs for neurological disorders are </w:t>
        </w:r>
        <w:r w:rsidR="00C345C8" w:rsidRPr="0024114A">
          <w:rPr>
            <w:rStyle w:val="Strong"/>
            <w:rFonts w:cs="Times New Roman"/>
            <w:b w:val="0"/>
            <w:szCs w:val="24"/>
            <w:shd w:val="clear" w:color="auto" w:fill="FFFFFF"/>
          </w:rPr>
          <w:t>medications that affect the brain and nervous system</w:t>
        </w:r>
      </w:hyperlink>
      <w:r w:rsidR="00C345C8" w:rsidRPr="0024114A">
        <w:rPr>
          <w:rFonts w:cs="Times New Roman"/>
          <w:bCs/>
          <w:szCs w:val="24"/>
          <w:shd w:val="clear" w:color="auto" w:fill="FFFFFF"/>
        </w:rPr>
        <w:t>. </w:t>
      </w:r>
      <w:hyperlink r:id="rId27" w:tgtFrame="_blank" w:history="1">
        <w:r w:rsidR="00C345C8" w:rsidRPr="0024114A">
          <w:rPr>
            <w:rStyle w:val="Hyperlink"/>
            <w:rFonts w:cs="Times New Roman"/>
            <w:color w:val="auto"/>
            <w:szCs w:val="24"/>
            <w:u w:val="none"/>
            <w:shd w:val="clear" w:color="auto" w:fill="FFFFFF"/>
          </w:rPr>
          <w:t>They may be used to treat various conditions, such as schizophrenia, epilepsy, multiple sclerosis, Parkinson's disease, Alzheimer’s disease, depression, migraine, and insomnia</w:t>
        </w:r>
      </w:hyperlink>
      <w:r w:rsidR="00C345C8" w:rsidRPr="0024114A">
        <w:rPr>
          <w:rFonts w:cs="Times New Roman"/>
          <w:bCs/>
          <w:szCs w:val="24"/>
          <w:shd w:val="clear" w:color="auto" w:fill="FFFFFF"/>
        </w:rPr>
        <w:t>. </w:t>
      </w:r>
      <w:hyperlink r:id="rId28" w:tgtFrame="_blank" w:history="1">
        <w:r w:rsidR="00C345C8" w:rsidRPr="0024114A">
          <w:rPr>
            <w:rStyle w:val="Hyperlink"/>
            <w:rFonts w:cs="Times New Roman"/>
            <w:color w:val="auto"/>
            <w:szCs w:val="24"/>
            <w:u w:val="none"/>
            <w:shd w:val="clear" w:color="auto" w:fill="FFFFFF"/>
          </w:rPr>
          <w:t xml:space="preserve">Some examples of neurological drugs are neuroleptics, corticosteroids, dopamine-affecting drugs, antidepressants, beta blockers, antimigraine and antiseizure medicines. </w:t>
        </w:r>
      </w:hyperlink>
    </w:p>
    <w:p w14:paraId="02DB2D4F" w14:textId="77777777" w:rsidR="00C345C8" w:rsidRPr="0078037A" w:rsidRDefault="00C345C8" w:rsidP="0078037A">
      <w:pPr>
        <w:pStyle w:val="Heading2"/>
        <w:spacing w:before="240" w:after="240"/>
      </w:pPr>
      <w:bookmarkStart w:id="72" w:name="_Toc179490339"/>
      <w:r w:rsidRPr="0078037A">
        <w:t xml:space="preserve">Antiseizure </w:t>
      </w:r>
      <w:r w:rsidR="00840A71">
        <w:t>m</w:t>
      </w:r>
      <w:r w:rsidRPr="0078037A">
        <w:t>edicines</w:t>
      </w:r>
      <w:bookmarkEnd w:id="72"/>
    </w:p>
    <w:p w14:paraId="2D65F4B6" w14:textId="77777777" w:rsidR="00C345C8" w:rsidRPr="0024114A" w:rsidRDefault="00C345C8" w:rsidP="00C345C8">
      <w:pPr>
        <w:spacing w:after="0"/>
        <w:jc w:val="both"/>
        <w:rPr>
          <w:rFonts w:cs="Times New Roman"/>
          <w:szCs w:val="24"/>
        </w:rPr>
      </w:pPr>
      <w:r w:rsidRPr="0024114A">
        <w:rPr>
          <w:rFonts w:cs="Times New Roman"/>
          <w:szCs w:val="24"/>
        </w:rPr>
        <w:t xml:space="preserve">Antiseizure medicines (antiepileptic drugs) are medicine used to prevent the occurrence of seizure. Anti-epileptic drugs (AEDs) are numerous. There are a variety of mechanisms of action, and some AEDs possess multiple mechanisms of action. Some AEDs act on the sodium channels by either blocking their repetitive activation (phenytoin, carbamazepine) or by enhancing their slow inactivation (lacosamide). Others work on calcium channels by blocking either T-type calcium channels (ethosuximide, valproic acid) or the N- and L-type calcium channels (zonisamide). Lamotrigine works by blocking sodium channels, blocking N- and L-type calcium channel, and modulating H-current. Topiramate works by blocking sodium channels, alpha-amino-3-hydroxy-5-methyl-4-isoxazole propionic acid (AMPA) receptors, and by inhibiting carbonic anhydrase. Other mechanisms through which AEDs act are by enhancing gamma-aminobutyric acid (GABA)-A receptors (phenobarbital, benzodiazepines), blocking N-methyl-D-aspartic acid (NMDA) receptors (felbamate), and opening neuronal potassium channels (ezogabine). </w:t>
      </w:r>
    </w:p>
    <w:tbl>
      <w:tblPr>
        <w:tblStyle w:val="TableGrid"/>
        <w:tblW w:w="9445" w:type="dxa"/>
        <w:tblLook w:val="04A0" w:firstRow="1" w:lastRow="0" w:firstColumn="1" w:lastColumn="0" w:noHBand="0" w:noVBand="1"/>
      </w:tblPr>
      <w:tblGrid>
        <w:gridCol w:w="2605"/>
        <w:gridCol w:w="6840"/>
      </w:tblGrid>
      <w:tr w:rsidR="00C345C8" w:rsidRPr="0024114A" w14:paraId="5F7C059F" w14:textId="77777777" w:rsidTr="002D6DD7">
        <w:tc>
          <w:tcPr>
            <w:tcW w:w="9445" w:type="dxa"/>
            <w:gridSpan w:val="2"/>
          </w:tcPr>
          <w:p w14:paraId="3B69A8C3" w14:textId="77777777" w:rsidR="00C345C8" w:rsidRPr="0024114A" w:rsidRDefault="00C345C8" w:rsidP="002D6DD7">
            <w:pPr>
              <w:jc w:val="both"/>
              <w:rPr>
                <w:rFonts w:cs="Times New Roman"/>
                <w:b/>
                <w:bCs/>
                <w:szCs w:val="24"/>
                <w:lang w:val="en-US"/>
              </w:rPr>
            </w:pPr>
            <w:r w:rsidRPr="0024114A">
              <w:rPr>
                <w:rFonts w:cs="Times New Roman"/>
                <w:b/>
                <w:bCs/>
                <w:szCs w:val="24"/>
                <w:lang w:val="en-US"/>
              </w:rPr>
              <w:t>Carbamazepine</w:t>
            </w:r>
          </w:p>
        </w:tc>
      </w:tr>
      <w:tr w:rsidR="00C345C8" w:rsidRPr="0024114A" w14:paraId="2F17A806" w14:textId="77777777" w:rsidTr="002D6DD7">
        <w:tc>
          <w:tcPr>
            <w:tcW w:w="2605" w:type="dxa"/>
          </w:tcPr>
          <w:p w14:paraId="33F09B39"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307FBA37" w14:textId="77777777" w:rsidR="00C345C8" w:rsidRPr="0024114A" w:rsidRDefault="00C345C8" w:rsidP="002D6DD7">
            <w:pPr>
              <w:jc w:val="both"/>
              <w:rPr>
                <w:rFonts w:cs="Times New Roman"/>
                <w:szCs w:val="24"/>
                <w:lang w:val="en-US"/>
              </w:rPr>
            </w:pPr>
            <w:r w:rsidRPr="0024114A">
              <w:rPr>
                <w:rFonts w:cs="Times New Roman"/>
                <w:szCs w:val="24"/>
                <w:lang w:val="en-US"/>
              </w:rPr>
              <w:t>Anticonvulsant</w:t>
            </w:r>
          </w:p>
        </w:tc>
      </w:tr>
      <w:tr w:rsidR="00C345C8" w:rsidRPr="0024114A" w14:paraId="4C201EAA" w14:textId="77777777" w:rsidTr="002D6DD7">
        <w:tc>
          <w:tcPr>
            <w:tcW w:w="2605" w:type="dxa"/>
          </w:tcPr>
          <w:p w14:paraId="3995B211"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3EDCFF62" w14:textId="77777777" w:rsidR="00C345C8" w:rsidRPr="0024114A" w:rsidRDefault="00C345C8" w:rsidP="002D6DD7">
            <w:pPr>
              <w:jc w:val="both"/>
              <w:rPr>
                <w:rFonts w:cs="Times New Roman"/>
                <w:szCs w:val="24"/>
                <w:lang w:val="en-US"/>
              </w:rPr>
            </w:pPr>
            <w:r w:rsidRPr="0024114A">
              <w:rPr>
                <w:rFonts w:cs="Times New Roman"/>
                <w:szCs w:val="24"/>
                <w:lang w:val="en-US"/>
              </w:rPr>
              <w:t>Tablet(chewable): 100mg, 200mg</w:t>
            </w:r>
          </w:p>
          <w:p w14:paraId="3F3E17D6" w14:textId="77777777" w:rsidR="00C345C8" w:rsidRPr="0024114A" w:rsidRDefault="00C345C8" w:rsidP="002D6DD7">
            <w:pPr>
              <w:jc w:val="both"/>
              <w:rPr>
                <w:rFonts w:cs="Times New Roman"/>
                <w:szCs w:val="24"/>
                <w:lang w:val="en-US"/>
              </w:rPr>
            </w:pPr>
            <w:r w:rsidRPr="0024114A">
              <w:rPr>
                <w:rFonts w:cs="Times New Roman"/>
                <w:szCs w:val="24"/>
                <w:lang w:val="en-US"/>
              </w:rPr>
              <w:t>Tablet(scored):100mg, 200mg, 400mg</w:t>
            </w:r>
          </w:p>
          <w:p w14:paraId="4C254049" w14:textId="77777777" w:rsidR="00C345C8" w:rsidRPr="0024114A" w:rsidRDefault="00C345C8" w:rsidP="002D6DD7">
            <w:pPr>
              <w:jc w:val="both"/>
              <w:rPr>
                <w:rFonts w:cs="Times New Roman"/>
                <w:szCs w:val="24"/>
                <w:lang w:val="en-US"/>
              </w:rPr>
            </w:pPr>
            <w:r w:rsidRPr="0024114A">
              <w:rPr>
                <w:rFonts w:cs="Times New Roman"/>
                <w:b/>
                <w:szCs w:val="24"/>
                <w:lang w:val="en-US"/>
              </w:rPr>
              <w:t>Oral</w:t>
            </w:r>
            <w:r w:rsidRPr="0024114A">
              <w:rPr>
                <w:rFonts w:cs="Times New Roman"/>
                <w:szCs w:val="24"/>
                <w:lang w:val="en-US"/>
              </w:rPr>
              <w:t xml:space="preserve"> liquid:100mg/5ml</w:t>
            </w:r>
          </w:p>
        </w:tc>
      </w:tr>
      <w:tr w:rsidR="00C345C8" w:rsidRPr="0024114A" w14:paraId="32823659" w14:textId="77777777" w:rsidTr="002D6DD7">
        <w:tc>
          <w:tcPr>
            <w:tcW w:w="2605" w:type="dxa"/>
          </w:tcPr>
          <w:p w14:paraId="07453A0D" w14:textId="77777777" w:rsidR="00C345C8" w:rsidRPr="0024114A" w:rsidRDefault="00C345C8" w:rsidP="002D6DD7">
            <w:pPr>
              <w:jc w:val="both"/>
              <w:rPr>
                <w:rFonts w:cs="Times New Roman"/>
                <w:bCs/>
                <w:szCs w:val="24"/>
                <w:lang w:val="en-US"/>
              </w:rPr>
            </w:pPr>
            <w:r w:rsidRPr="0024114A">
              <w:rPr>
                <w:rFonts w:cs="Times New Roman"/>
                <w:bCs/>
                <w:szCs w:val="24"/>
                <w:lang w:val="en-US"/>
              </w:rPr>
              <w:t>Indications</w:t>
            </w:r>
          </w:p>
        </w:tc>
        <w:tc>
          <w:tcPr>
            <w:tcW w:w="6840" w:type="dxa"/>
          </w:tcPr>
          <w:p w14:paraId="05D0B37B" w14:textId="77777777" w:rsidR="00C345C8" w:rsidRPr="0024114A" w:rsidRDefault="00C345C8" w:rsidP="002D6DD7">
            <w:pPr>
              <w:jc w:val="both"/>
              <w:rPr>
                <w:rFonts w:cs="Times New Roman"/>
                <w:szCs w:val="24"/>
                <w:lang w:val="en-US"/>
              </w:rPr>
            </w:pPr>
            <w:r w:rsidRPr="0024114A">
              <w:rPr>
                <w:rFonts w:cs="Times New Roman"/>
                <w:szCs w:val="24"/>
                <w:lang w:val="en-US"/>
              </w:rPr>
              <w:t>Partial and secondary generalized tonic-clonic seizures, primary generalized seizures, trigeminal neuralgia, prophylaxis of bipolar disorder unresponsive to lithium, diabetic neuropathy.</w:t>
            </w:r>
          </w:p>
        </w:tc>
      </w:tr>
      <w:tr w:rsidR="00C345C8" w:rsidRPr="0024114A" w14:paraId="3433E6AE" w14:textId="77777777" w:rsidTr="002D6DD7">
        <w:tc>
          <w:tcPr>
            <w:tcW w:w="2605" w:type="dxa"/>
          </w:tcPr>
          <w:p w14:paraId="486BC4CE"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 xml:space="preserve">Dose and </w:t>
            </w:r>
            <w:r w:rsidRPr="0024114A">
              <w:rPr>
                <w:rFonts w:eastAsia="Times New Roman" w:cs="Times New Roman"/>
                <w:szCs w:val="24"/>
                <w:lang w:val="en-US"/>
              </w:rPr>
              <w:lastRenderedPageBreak/>
              <w:t>Administration</w:t>
            </w:r>
          </w:p>
        </w:tc>
        <w:tc>
          <w:tcPr>
            <w:tcW w:w="6840" w:type="dxa"/>
          </w:tcPr>
          <w:p w14:paraId="6969EFD2" w14:textId="77777777" w:rsidR="00C345C8" w:rsidRPr="0024114A" w:rsidRDefault="00C345C8" w:rsidP="002D6DD7">
            <w:pPr>
              <w:pStyle w:val="Default"/>
              <w:spacing w:line="360" w:lineRule="auto"/>
              <w:jc w:val="both"/>
              <w:rPr>
                <w:i/>
                <w:iCs/>
                <w:color w:val="auto"/>
              </w:rPr>
            </w:pPr>
            <w:r w:rsidRPr="0024114A">
              <w:rPr>
                <w:b/>
                <w:bCs/>
                <w:color w:val="auto"/>
              </w:rPr>
              <w:lastRenderedPageBreak/>
              <w:t xml:space="preserve">Partial and secondary generalized tonic-clonic seizures, and </w:t>
            </w:r>
            <w:r w:rsidRPr="0024114A">
              <w:rPr>
                <w:b/>
                <w:bCs/>
                <w:color w:val="auto"/>
              </w:rPr>
              <w:lastRenderedPageBreak/>
              <w:t>primary generalized seizures</w:t>
            </w:r>
            <w:r w:rsidRPr="0024114A">
              <w:rPr>
                <w:b/>
                <w:iCs/>
                <w:color w:val="auto"/>
              </w:rPr>
              <w:t xml:space="preserve">, </w:t>
            </w:r>
            <w:r w:rsidRPr="00840A71">
              <w:rPr>
                <w:iCs/>
                <w:color w:val="auto"/>
              </w:rPr>
              <w:t>oral:</w:t>
            </w:r>
          </w:p>
          <w:p w14:paraId="20223517"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00840A71">
              <w:rPr>
                <w:rFonts w:cs="Times New Roman"/>
                <w:b/>
                <w:bCs/>
                <w:szCs w:val="24"/>
                <w:lang w:val="en-US"/>
              </w:rPr>
              <w:t xml:space="preserve"> </w:t>
            </w:r>
            <w:r w:rsidRPr="0024114A">
              <w:rPr>
                <w:rFonts w:cs="Times New Roman"/>
                <w:szCs w:val="24"/>
              </w:rPr>
              <w:t>Initially, 100–200 mg 1–2 times a day, increased in steps of 100–200 mg every 2 weeks; usual dose 800mg–1200g daily in divided doses; increased, if necessary, up to 1.6–2 g daily in divided doses.</w:t>
            </w:r>
          </w:p>
          <w:p w14:paraId="5B5B791D" w14:textId="77777777" w:rsidR="00C345C8" w:rsidRPr="0024114A" w:rsidRDefault="00C345C8" w:rsidP="002D6DD7">
            <w:pPr>
              <w:pStyle w:val="Default"/>
              <w:spacing w:line="360" w:lineRule="auto"/>
              <w:jc w:val="both"/>
              <w:rPr>
                <w:color w:val="auto"/>
              </w:rPr>
            </w:pPr>
            <w:r w:rsidRPr="0024114A">
              <w:rPr>
                <w:b/>
                <w:bCs/>
                <w:color w:val="auto"/>
              </w:rPr>
              <w:t xml:space="preserve">Elderly: </w:t>
            </w:r>
            <w:r w:rsidRPr="0024114A">
              <w:rPr>
                <w:color w:val="auto"/>
              </w:rPr>
              <w:t>Reduce initial dose</w:t>
            </w:r>
          </w:p>
          <w:p w14:paraId="5F422B7E" w14:textId="77777777" w:rsidR="00C345C8" w:rsidRPr="0024114A" w:rsidRDefault="00C345C8" w:rsidP="002D6DD7">
            <w:pPr>
              <w:pStyle w:val="Default"/>
              <w:spacing w:line="360" w:lineRule="auto"/>
              <w:jc w:val="both"/>
              <w:rPr>
                <w:b/>
                <w:iCs/>
                <w:color w:val="auto"/>
              </w:rPr>
            </w:pPr>
            <w:r w:rsidRPr="0024114A">
              <w:rPr>
                <w:b/>
                <w:iCs/>
                <w:color w:val="auto"/>
              </w:rPr>
              <w:t xml:space="preserve">Trigeminal neuralgia, </w:t>
            </w:r>
            <w:r w:rsidRPr="00840A71">
              <w:rPr>
                <w:iCs/>
                <w:color w:val="auto"/>
              </w:rPr>
              <w:t>oral:</w:t>
            </w:r>
          </w:p>
          <w:p w14:paraId="088B7870"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rPr>
              <w:t xml:space="preserve"> Initially 100 mg 1–2 times a day, some patients may require higher initial dose, increase gradually according to response; usual dose 200 mg 3–4 times a day, increased, if necessary, up to 1.6 g daily.</w:t>
            </w:r>
          </w:p>
          <w:p w14:paraId="6998173C" w14:textId="77777777" w:rsidR="00C345C8" w:rsidRPr="0024114A" w:rsidRDefault="00C345C8" w:rsidP="002D6DD7">
            <w:pPr>
              <w:jc w:val="both"/>
              <w:rPr>
                <w:rFonts w:cs="Times New Roman"/>
                <w:b/>
                <w:bCs/>
                <w:szCs w:val="24"/>
                <w:lang w:val="en-US"/>
              </w:rPr>
            </w:pPr>
            <w:r w:rsidRPr="0024114A">
              <w:rPr>
                <w:rFonts w:cs="Times New Roman"/>
                <w:b/>
                <w:bCs/>
                <w:szCs w:val="24"/>
              </w:rPr>
              <w:t>Prophylaxis of bipolar disorder unresponsive to lithium</w:t>
            </w:r>
            <w:r w:rsidRPr="0024114A">
              <w:rPr>
                <w:rFonts w:cs="Times New Roman"/>
                <w:b/>
                <w:szCs w:val="24"/>
              </w:rPr>
              <w:t>, oral:</w:t>
            </w:r>
          </w:p>
          <w:p w14:paraId="0AC03BA2"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rPr>
              <w:t xml:space="preserve"> Initially 400mg daily in divided doses increased until symptoms controlled; usual range 400 - 600mg daily; max. 1.6 g daily.</w:t>
            </w:r>
          </w:p>
          <w:p w14:paraId="0BBC595F" w14:textId="77777777" w:rsidR="00C345C8" w:rsidRPr="00840A71" w:rsidRDefault="00C345C8" w:rsidP="002D6DD7">
            <w:pPr>
              <w:pStyle w:val="Default"/>
              <w:spacing w:line="360" w:lineRule="auto"/>
              <w:jc w:val="both"/>
              <w:rPr>
                <w:bCs/>
                <w:color w:val="auto"/>
              </w:rPr>
            </w:pPr>
            <w:r w:rsidRPr="0024114A">
              <w:rPr>
                <w:b/>
                <w:bCs/>
                <w:color w:val="auto"/>
              </w:rPr>
              <w:t xml:space="preserve">Diabetic neuropathy, </w:t>
            </w:r>
            <w:r w:rsidRPr="00840A71">
              <w:rPr>
                <w:bCs/>
                <w:color w:val="auto"/>
              </w:rPr>
              <w:t>oral:</w:t>
            </w:r>
          </w:p>
          <w:p w14:paraId="53BD48BC" w14:textId="77777777" w:rsidR="00C345C8" w:rsidRPr="0024114A" w:rsidRDefault="00C345C8" w:rsidP="002D6DD7">
            <w:pPr>
              <w:jc w:val="both"/>
              <w:rPr>
                <w:rFonts w:cs="Times New Roman"/>
                <w:b/>
                <w:bCs/>
                <w:szCs w:val="24"/>
                <w:lang w:val="en-US"/>
              </w:rPr>
            </w:pPr>
            <w:r w:rsidRPr="0024114A">
              <w:rPr>
                <w:rFonts w:cs="Times New Roman"/>
                <w:b/>
                <w:bCs/>
                <w:szCs w:val="24"/>
                <w:lang w:val="en-US"/>
              </w:rPr>
              <w:t>Adult:</w:t>
            </w:r>
            <w:r w:rsidRPr="0024114A">
              <w:rPr>
                <w:rFonts w:cs="Times New Roman"/>
                <w:szCs w:val="24"/>
              </w:rPr>
              <w:t xml:space="preserve"> Initially 100 mg 1–2 times a day, increased gradually according to response; usual dose 200 mg 3–4 times a day, increased, if necessary, up to 1.6 g daily.</w:t>
            </w:r>
          </w:p>
          <w:p w14:paraId="1F9C291E" w14:textId="77777777" w:rsidR="00C345C8" w:rsidRPr="0024114A" w:rsidRDefault="00C345C8" w:rsidP="002D6DD7">
            <w:pPr>
              <w:pStyle w:val="Default"/>
              <w:spacing w:line="360" w:lineRule="auto"/>
              <w:jc w:val="both"/>
              <w:rPr>
                <w:b/>
                <w:bCs/>
                <w:color w:val="auto"/>
              </w:rPr>
            </w:pPr>
            <w:r w:rsidRPr="0024114A">
              <w:rPr>
                <w:b/>
                <w:bCs/>
                <w:color w:val="auto"/>
              </w:rPr>
              <w:t xml:space="preserve">Focal and generalized tonic-clonic seizures, </w:t>
            </w:r>
            <w:r w:rsidRPr="00840A71">
              <w:rPr>
                <w:bCs/>
                <w:color w:val="auto"/>
              </w:rPr>
              <w:t>oral:</w:t>
            </w:r>
          </w:p>
          <w:p w14:paraId="44E22F0D" w14:textId="77777777" w:rsidR="00C345C8" w:rsidRPr="0024114A" w:rsidRDefault="00C345C8" w:rsidP="002D6DD7">
            <w:pPr>
              <w:pStyle w:val="Default"/>
              <w:spacing w:line="360" w:lineRule="auto"/>
              <w:jc w:val="both"/>
              <w:rPr>
                <w:color w:val="auto"/>
              </w:rPr>
            </w:pPr>
            <w:r w:rsidRPr="0024114A">
              <w:rPr>
                <w:b/>
                <w:bCs/>
                <w:color w:val="auto"/>
              </w:rPr>
              <w:t>Child 1 month–11 years:</w:t>
            </w:r>
            <w:r w:rsidRPr="0024114A">
              <w:rPr>
                <w:color w:val="auto"/>
              </w:rPr>
              <w:t xml:space="preserve"> Initially 5 mg/kg once daily, dose to be taken at night, alternatively initially 2.5 mg/kg twice daily, then increased in steps of 2.5–5 mg/kg every 3–7 days as required; maintenance dose of 5 mg/kg 2–3 times a day, increased, if necessary, up to 20 mg/kg daily.</w:t>
            </w:r>
          </w:p>
        </w:tc>
      </w:tr>
      <w:tr w:rsidR="00C345C8" w:rsidRPr="0024114A" w14:paraId="1EDADCAE" w14:textId="77777777" w:rsidTr="002D6DD7">
        <w:tc>
          <w:tcPr>
            <w:tcW w:w="2605" w:type="dxa"/>
          </w:tcPr>
          <w:p w14:paraId="46257CB3"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272DB08D"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tricyclic compounds, atrioventricular conduction abnormalities, bone marrow suppression, porphyria, MAOIs use within the last 14 days and concomitant use, pregnancy (first trimester), co-administration with nefazodone, co-administration with NNRTIs, jaundice (hepatitis).</w:t>
            </w:r>
          </w:p>
        </w:tc>
      </w:tr>
      <w:tr w:rsidR="00C345C8" w:rsidRPr="0024114A" w14:paraId="7D0C2BFA" w14:textId="77777777" w:rsidTr="002D6DD7">
        <w:tc>
          <w:tcPr>
            <w:tcW w:w="2605" w:type="dxa"/>
          </w:tcPr>
          <w:p w14:paraId="4D50AF50"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2B62816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Amiodarone, cyclosporine, clomipramine, estrogens, progestogens, </w:t>
            </w:r>
            <w:r w:rsidRPr="0024114A">
              <w:rPr>
                <w:rFonts w:cs="Times New Roman"/>
                <w:szCs w:val="24"/>
                <w:lang w:val="en-US"/>
              </w:rPr>
              <w:lastRenderedPageBreak/>
              <w:t>dexamethasone, doxycycline, erythromycin, ethosuximide, fluoxetine, furosemide, haloperidol, hydrochlorothiazide, hydrocortisone, protease inhibitors, isoniazid, levonorgestrel, levothyroxine, lithium, lopinavir, ketoconazole, mebendazole, medroxyprogesterone, mefloquine, miconazole, nelfinavir, nifedipine, norethisterone, phenobarbital, praziquantel, prednisolone, spironolactone, valproic acid, vecuronium, warfarin.</w:t>
            </w:r>
          </w:p>
        </w:tc>
      </w:tr>
      <w:tr w:rsidR="00C345C8" w:rsidRPr="0024114A" w14:paraId="1DF3BF06" w14:textId="77777777" w:rsidTr="002D6DD7">
        <w:tc>
          <w:tcPr>
            <w:tcW w:w="2605" w:type="dxa"/>
          </w:tcPr>
          <w:p w14:paraId="57001FE9"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Side effects</w:t>
            </w:r>
          </w:p>
        </w:tc>
        <w:tc>
          <w:tcPr>
            <w:tcW w:w="6840" w:type="dxa"/>
          </w:tcPr>
          <w:p w14:paraId="3AD524D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Dizziness, drowsiness, dry oral, eosinophilia, fatigue, fluid imbalance, gastrointestinal discomfort, headache, hyponatremia, leucopenia, movement disorders, nausea, oedema, skin reactions, thrombocytopenia, vision disorders, vomiting, weight increased.  </w:t>
            </w:r>
          </w:p>
        </w:tc>
      </w:tr>
      <w:tr w:rsidR="00C345C8" w:rsidRPr="0024114A" w14:paraId="520C1794" w14:textId="77777777" w:rsidTr="002D6DD7">
        <w:tc>
          <w:tcPr>
            <w:tcW w:w="2605" w:type="dxa"/>
          </w:tcPr>
          <w:p w14:paraId="2AF41E6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723E1081" w14:textId="77777777" w:rsidR="00C345C8" w:rsidRPr="0024114A" w:rsidRDefault="00C345C8" w:rsidP="002D6DD7">
            <w:pPr>
              <w:jc w:val="both"/>
              <w:rPr>
                <w:rFonts w:cs="Times New Roman"/>
                <w:szCs w:val="24"/>
                <w:vertAlign w:val="superscript"/>
                <w:lang w:val="en-US"/>
              </w:rPr>
            </w:pPr>
            <w:r w:rsidRPr="0024114A">
              <w:rPr>
                <w:rFonts w:cs="Times New Roman"/>
                <w:szCs w:val="24"/>
                <w:lang w:val="en-US"/>
              </w:rPr>
              <w:t>Dermatologic reactions (toxic epidermal necrolysis and Stevens-Johnson syndrome), breastfeeding, pregnancy, liver or kidney dysfunction, increased intraocular pressure, history of cardiac damage, elderly patients, glaucoma, idiopathic epilepsy, history of aplastic anemia, agranulocytosis, abrupt discontinuation, risk of suicidal thoughts or behaviors.</w:t>
            </w:r>
          </w:p>
        </w:tc>
      </w:tr>
      <w:tr w:rsidR="00C345C8" w:rsidRPr="0024114A" w14:paraId="63004253" w14:textId="77777777" w:rsidTr="002D6DD7">
        <w:tc>
          <w:tcPr>
            <w:tcW w:w="2605" w:type="dxa"/>
          </w:tcPr>
          <w:p w14:paraId="34F16634"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2BEA9FC6"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 xml:space="preserve">C. Protect from light. </w:t>
            </w:r>
          </w:p>
        </w:tc>
      </w:tr>
      <w:tr w:rsidR="00C345C8" w:rsidRPr="0024114A" w14:paraId="5F1A8DF3" w14:textId="77777777" w:rsidTr="002D6DD7">
        <w:tc>
          <w:tcPr>
            <w:tcW w:w="9445" w:type="dxa"/>
            <w:gridSpan w:val="2"/>
          </w:tcPr>
          <w:p w14:paraId="1BFD4A5D" w14:textId="77777777" w:rsidR="00C345C8" w:rsidRPr="0024114A" w:rsidRDefault="00C345C8" w:rsidP="002D6DD7">
            <w:pPr>
              <w:jc w:val="both"/>
              <w:rPr>
                <w:rFonts w:cs="Times New Roman"/>
                <w:szCs w:val="24"/>
                <w:lang w:val="en-US"/>
              </w:rPr>
            </w:pPr>
            <w:r w:rsidRPr="0024114A">
              <w:rPr>
                <w:rFonts w:cs="Times New Roman"/>
                <w:b/>
                <w:szCs w:val="24"/>
              </w:rPr>
              <w:t>Clonazepam</w:t>
            </w:r>
          </w:p>
        </w:tc>
      </w:tr>
      <w:tr w:rsidR="00C345C8" w:rsidRPr="0024114A" w14:paraId="629B856E" w14:textId="77777777" w:rsidTr="002D6DD7">
        <w:tc>
          <w:tcPr>
            <w:tcW w:w="2605" w:type="dxa"/>
          </w:tcPr>
          <w:p w14:paraId="18C49E0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49EEA0CC" w14:textId="77777777" w:rsidR="00C345C8" w:rsidRPr="0024114A" w:rsidRDefault="00C345C8" w:rsidP="002D6DD7">
            <w:pPr>
              <w:jc w:val="both"/>
              <w:rPr>
                <w:rFonts w:cs="Times New Roman"/>
                <w:szCs w:val="24"/>
                <w:lang w:val="en-US"/>
              </w:rPr>
            </w:pPr>
            <w:r w:rsidRPr="0024114A">
              <w:rPr>
                <w:rFonts w:cs="Times New Roman"/>
                <w:szCs w:val="24"/>
                <w:lang w:val="en-US"/>
              </w:rPr>
              <w:t>Benzodiazepine</w:t>
            </w:r>
          </w:p>
        </w:tc>
      </w:tr>
      <w:tr w:rsidR="00C345C8" w:rsidRPr="0024114A" w14:paraId="35D723FC" w14:textId="77777777" w:rsidTr="002D6DD7">
        <w:tc>
          <w:tcPr>
            <w:tcW w:w="2605" w:type="dxa"/>
          </w:tcPr>
          <w:p w14:paraId="035AA634"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47A6D92E" w14:textId="77777777" w:rsidR="00C345C8" w:rsidRPr="0024114A" w:rsidRDefault="00C345C8" w:rsidP="002D6DD7">
            <w:pPr>
              <w:pStyle w:val="Default"/>
              <w:spacing w:line="360" w:lineRule="auto"/>
              <w:jc w:val="both"/>
              <w:rPr>
                <w:color w:val="auto"/>
                <w:lang w:val="nb-NO"/>
              </w:rPr>
            </w:pPr>
            <w:r w:rsidRPr="0024114A">
              <w:rPr>
                <w:color w:val="auto"/>
                <w:lang w:val="nb-NO"/>
              </w:rPr>
              <w:t>Tablet: 0.5mg, 1mg, 2mg</w:t>
            </w:r>
          </w:p>
          <w:p w14:paraId="66E68DB4" w14:textId="77777777" w:rsidR="00C345C8" w:rsidRPr="0024114A" w:rsidRDefault="00C345C8" w:rsidP="002D6DD7">
            <w:pPr>
              <w:pStyle w:val="Default"/>
              <w:tabs>
                <w:tab w:val="left" w:pos="2656"/>
              </w:tabs>
              <w:spacing w:line="360" w:lineRule="auto"/>
              <w:jc w:val="both"/>
              <w:rPr>
                <w:iCs/>
                <w:color w:val="auto"/>
                <w:lang w:val="nb-NO"/>
              </w:rPr>
            </w:pPr>
            <w:r w:rsidRPr="0024114A">
              <w:rPr>
                <w:color w:val="auto"/>
                <w:lang w:val="nb-NO"/>
              </w:rPr>
              <w:t>Syrup: 2mg/5ml</w:t>
            </w:r>
            <w:r w:rsidRPr="0024114A">
              <w:rPr>
                <w:color w:val="auto"/>
                <w:lang w:val="nb-NO"/>
              </w:rPr>
              <w:tab/>
            </w:r>
          </w:p>
        </w:tc>
      </w:tr>
      <w:tr w:rsidR="00C345C8" w:rsidRPr="0024114A" w14:paraId="530EE107" w14:textId="77777777" w:rsidTr="002D6DD7">
        <w:trPr>
          <w:trHeight w:val="440"/>
        </w:trPr>
        <w:tc>
          <w:tcPr>
            <w:tcW w:w="2605" w:type="dxa"/>
          </w:tcPr>
          <w:p w14:paraId="198C3C1D"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33EAD58A" w14:textId="77777777" w:rsidR="00C345C8" w:rsidRPr="0024114A" w:rsidRDefault="00C345C8" w:rsidP="002D6DD7">
            <w:pPr>
              <w:jc w:val="both"/>
              <w:rPr>
                <w:rFonts w:cs="Times New Roman"/>
                <w:szCs w:val="24"/>
                <w:lang w:val="en-US"/>
              </w:rPr>
            </w:pPr>
            <w:r w:rsidRPr="0024114A">
              <w:rPr>
                <w:rFonts w:cs="Times New Roman"/>
                <w:szCs w:val="24"/>
                <w:lang w:val="en-US"/>
              </w:rPr>
              <w:t>All forms of epilepsy</w:t>
            </w:r>
          </w:p>
        </w:tc>
      </w:tr>
      <w:tr w:rsidR="00C345C8" w:rsidRPr="0024114A" w14:paraId="1D161DC4" w14:textId="77777777" w:rsidTr="002D6DD7">
        <w:tc>
          <w:tcPr>
            <w:tcW w:w="2605" w:type="dxa"/>
          </w:tcPr>
          <w:p w14:paraId="7CDBB7D6"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142874F8" w14:textId="77777777" w:rsidR="00C345C8" w:rsidRPr="0024114A" w:rsidRDefault="00C345C8" w:rsidP="002D6DD7">
            <w:pPr>
              <w:pStyle w:val="Default"/>
              <w:spacing w:line="360" w:lineRule="auto"/>
              <w:jc w:val="both"/>
              <w:rPr>
                <w:bCs/>
                <w:color w:val="auto"/>
              </w:rPr>
            </w:pPr>
            <w:r w:rsidRPr="0024114A">
              <w:rPr>
                <w:b/>
                <w:bCs/>
                <w:color w:val="auto"/>
              </w:rPr>
              <w:t xml:space="preserve">Adult: </w:t>
            </w:r>
            <w:r w:rsidRPr="0024114A">
              <w:rPr>
                <w:bCs/>
                <w:color w:val="auto"/>
              </w:rPr>
              <w:t>Initially 1 mg once daily for 4 nights, dose to be increased over 2–4 weeks, usual dose 4–8 mg daily, adjusted according to response, dose usually taken at night; may be given in 3–4 divided doses if necessary.</w:t>
            </w:r>
          </w:p>
          <w:p w14:paraId="6F1C1B0B" w14:textId="77777777" w:rsidR="00C345C8" w:rsidRPr="0024114A" w:rsidRDefault="00C345C8" w:rsidP="002D6DD7">
            <w:pPr>
              <w:pStyle w:val="Default"/>
              <w:spacing w:line="360" w:lineRule="auto"/>
              <w:jc w:val="both"/>
              <w:rPr>
                <w:bCs/>
                <w:color w:val="auto"/>
              </w:rPr>
            </w:pPr>
            <w:r w:rsidRPr="0024114A">
              <w:rPr>
                <w:b/>
                <w:bCs/>
                <w:color w:val="auto"/>
              </w:rPr>
              <w:t>Elderly</w:t>
            </w:r>
            <w:r w:rsidRPr="0024114A">
              <w:rPr>
                <w:bCs/>
                <w:color w:val="auto"/>
              </w:rPr>
              <w:t>: Initially 500 mcg once daily for 4 nights, dose to be increased over 2–4 weeks, usual dose 4–8 mg daily, adjusted according to response, dose usually taken at night; may be given in 3–4 divided doses if necessary.</w:t>
            </w:r>
          </w:p>
          <w:p w14:paraId="244663BE" w14:textId="77777777" w:rsidR="00C345C8" w:rsidRPr="0024114A" w:rsidRDefault="00C345C8" w:rsidP="002D6DD7">
            <w:pPr>
              <w:pStyle w:val="Default"/>
              <w:spacing w:line="360" w:lineRule="auto"/>
              <w:jc w:val="both"/>
              <w:rPr>
                <w:color w:val="auto"/>
              </w:rPr>
            </w:pPr>
            <w:r w:rsidRPr="0024114A">
              <w:rPr>
                <w:b/>
                <w:color w:val="auto"/>
              </w:rPr>
              <w:lastRenderedPageBreak/>
              <w:t>Child 1–11 months:</w:t>
            </w:r>
            <w:r w:rsidRPr="0024114A">
              <w:rPr>
                <w:color w:val="auto"/>
              </w:rPr>
              <w:t xml:space="preserve"> Initially 250 mcg once daily for 4 nights, dose to be increased over 2–4 weeks, usual dose 0.5–1 mg daily, dose to be taken at night; may be given in 3 divided doses if necessary.</w:t>
            </w:r>
          </w:p>
          <w:p w14:paraId="3B6D357C" w14:textId="77777777" w:rsidR="00C345C8" w:rsidRPr="0024114A" w:rsidRDefault="00C345C8" w:rsidP="002D6DD7">
            <w:pPr>
              <w:pStyle w:val="Default"/>
              <w:spacing w:line="360" w:lineRule="auto"/>
              <w:jc w:val="both"/>
              <w:rPr>
                <w:color w:val="auto"/>
              </w:rPr>
            </w:pPr>
            <w:r w:rsidRPr="0024114A">
              <w:rPr>
                <w:b/>
                <w:color w:val="auto"/>
              </w:rPr>
              <w:t>Child 1–4 years:</w:t>
            </w:r>
            <w:r w:rsidRPr="0024114A">
              <w:rPr>
                <w:color w:val="auto"/>
              </w:rPr>
              <w:t xml:space="preserve"> Initially 250 mcg once daily for 4 nights, dose to be increased over 2–4 weeks, usual dose 1–3 mg daily, and dose to be taken at night; may be given in 3 divided doses if necessary. </w:t>
            </w:r>
          </w:p>
          <w:p w14:paraId="67A99822" w14:textId="77777777" w:rsidR="00C345C8" w:rsidRPr="0024114A" w:rsidRDefault="00C345C8" w:rsidP="002D6DD7">
            <w:pPr>
              <w:pStyle w:val="Default"/>
              <w:spacing w:line="360" w:lineRule="auto"/>
              <w:jc w:val="both"/>
              <w:rPr>
                <w:color w:val="auto"/>
              </w:rPr>
            </w:pPr>
            <w:r w:rsidRPr="0024114A">
              <w:rPr>
                <w:b/>
                <w:color w:val="auto"/>
              </w:rPr>
              <w:t>Child 5–11 years:</w:t>
            </w:r>
            <w:r w:rsidRPr="0024114A">
              <w:rPr>
                <w:color w:val="auto"/>
              </w:rPr>
              <w:t xml:space="preserve"> Initially 500 mcg once daily for 4 nights, dose to be increased over 2–4 weeks, usual dose 3–6 mg daily, and dose to be taken at night; may be given in 3 divided doses if necessary.</w:t>
            </w:r>
          </w:p>
          <w:p w14:paraId="703E3221" w14:textId="77777777" w:rsidR="00C345C8" w:rsidRPr="0024114A" w:rsidRDefault="00C345C8" w:rsidP="002D6DD7">
            <w:pPr>
              <w:pStyle w:val="Default"/>
              <w:spacing w:line="360" w:lineRule="auto"/>
              <w:jc w:val="both"/>
              <w:rPr>
                <w:bCs/>
                <w:i/>
                <w:iCs/>
                <w:color w:val="auto"/>
              </w:rPr>
            </w:pPr>
            <w:r w:rsidRPr="0024114A">
              <w:rPr>
                <w:bCs/>
                <w:i/>
                <w:iCs/>
              </w:rPr>
              <w:t xml:space="preserve">Note: The effectiveness of clonazepam may decrease significantly after weeks or months of continuous therapy. </w:t>
            </w:r>
          </w:p>
        </w:tc>
      </w:tr>
      <w:tr w:rsidR="00C345C8" w:rsidRPr="0024114A" w14:paraId="7B47A4F6" w14:textId="77777777" w:rsidTr="002D6DD7">
        <w:tc>
          <w:tcPr>
            <w:tcW w:w="2605" w:type="dxa"/>
          </w:tcPr>
          <w:p w14:paraId="7480B2C1"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08568C0E"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to the drug and other benzodiazepines, severe liver disease, acute narrow angle glaucoma, respiratory depression, acute pulmonary insufficiency, current drug and alcohol abuse.</w:t>
            </w:r>
          </w:p>
        </w:tc>
      </w:tr>
      <w:tr w:rsidR="00C345C8" w:rsidRPr="0024114A" w14:paraId="4AAABC6C" w14:textId="77777777" w:rsidTr="002D6DD7">
        <w:tc>
          <w:tcPr>
            <w:tcW w:w="2605" w:type="dxa"/>
          </w:tcPr>
          <w:p w14:paraId="06907432"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6EC65B55" w14:textId="77777777" w:rsidR="00C345C8" w:rsidRPr="0024114A" w:rsidRDefault="00C345C8" w:rsidP="002D6DD7">
            <w:pPr>
              <w:jc w:val="both"/>
              <w:rPr>
                <w:rFonts w:cs="Times New Roman"/>
                <w:szCs w:val="24"/>
                <w:lang w:val="en-US"/>
              </w:rPr>
            </w:pPr>
            <w:r w:rsidRPr="0024114A">
              <w:rPr>
                <w:rFonts w:cs="Times New Roman"/>
                <w:szCs w:val="24"/>
                <w:lang w:val="en-US"/>
              </w:rPr>
              <w:t>Acetazolamide, alcohol, carbamazepine, phenobarbital, phenytoin, ritonavir.</w:t>
            </w:r>
          </w:p>
        </w:tc>
      </w:tr>
      <w:tr w:rsidR="00C345C8" w:rsidRPr="0024114A" w14:paraId="1781F96B" w14:textId="77777777" w:rsidTr="002D6DD7">
        <w:tc>
          <w:tcPr>
            <w:tcW w:w="2605" w:type="dxa"/>
          </w:tcPr>
          <w:p w14:paraId="130B4E7C"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33CE96F5" w14:textId="77777777" w:rsidR="00C345C8" w:rsidRPr="0024114A" w:rsidRDefault="00C345C8" w:rsidP="002D6DD7">
            <w:pPr>
              <w:jc w:val="both"/>
              <w:rPr>
                <w:rFonts w:cs="Times New Roman"/>
                <w:szCs w:val="24"/>
                <w:lang w:val="en-US"/>
              </w:rPr>
            </w:pPr>
            <w:r w:rsidRPr="0024114A">
              <w:rPr>
                <w:rFonts w:cs="Times New Roman"/>
                <w:szCs w:val="24"/>
                <w:lang w:val="en-US"/>
              </w:rPr>
              <w:t>Somnolence, alopecia, bronchial secretion increased (in children), depression, dizziness, fatigue, concentration impaired, coordination abnormal, drooling (in children), gastrointestinal disorder, hypersalivation (in children), incomplete precocious puberty (in children), increased risk of fall (in adults), increased risk of fracture (in adults), muscle tone decreased, nystagmus, psychotic disorder, seizures, sexual dysfunction, skin reactions, speech impairment, suicidal behaviors, upper respiratory infection, urinary incontinence.</w:t>
            </w:r>
          </w:p>
        </w:tc>
      </w:tr>
      <w:tr w:rsidR="00C345C8" w:rsidRPr="0024114A" w14:paraId="1416ABE8" w14:textId="77777777" w:rsidTr="002D6DD7">
        <w:tc>
          <w:tcPr>
            <w:tcW w:w="2605" w:type="dxa"/>
          </w:tcPr>
          <w:p w14:paraId="704A2B2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68655FBC" w14:textId="77777777" w:rsidR="00C345C8" w:rsidRPr="0024114A" w:rsidRDefault="00C345C8" w:rsidP="002D6DD7">
            <w:pPr>
              <w:jc w:val="both"/>
              <w:rPr>
                <w:rFonts w:cs="Times New Roman"/>
                <w:szCs w:val="24"/>
                <w:lang w:val="en-US"/>
              </w:rPr>
            </w:pPr>
            <w:r w:rsidRPr="0024114A">
              <w:rPr>
                <w:rFonts w:cs="Times New Roman"/>
                <w:szCs w:val="24"/>
                <w:lang w:val="en-US"/>
              </w:rPr>
              <w:t>Acute porphyria, airways obstruction, brain damage, cerebellar ataxia, depression, sleep apnea, open-angle glaucoma,</w:t>
            </w:r>
            <w:r w:rsidR="00372281">
              <w:rPr>
                <w:rFonts w:cs="Times New Roman"/>
                <w:szCs w:val="24"/>
                <w:lang w:val="en-US"/>
              </w:rPr>
              <w:t xml:space="preserve"> </w:t>
            </w:r>
            <w:r w:rsidRPr="0024114A">
              <w:rPr>
                <w:rFonts w:cs="Times New Roman"/>
                <w:szCs w:val="24"/>
                <w:lang w:val="en-US"/>
              </w:rPr>
              <w:t>renal/hepatic disease,</w:t>
            </w:r>
            <w:r w:rsidR="00372281">
              <w:rPr>
                <w:rFonts w:cs="Times New Roman"/>
                <w:szCs w:val="24"/>
                <w:lang w:val="en-US"/>
              </w:rPr>
              <w:t xml:space="preserve"> </w:t>
            </w:r>
            <w:r w:rsidRPr="0024114A">
              <w:rPr>
                <w:rFonts w:cs="Times New Roman"/>
                <w:szCs w:val="24"/>
                <w:lang w:val="en-US"/>
              </w:rPr>
              <w:t>spinal ataxia, suicidal ideation, breast feeding.</w:t>
            </w:r>
          </w:p>
        </w:tc>
      </w:tr>
      <w:tr w:rsidR="00C345C8" w:rsidRPr="0024114A" w14:paraId="7BEB9F5D" w14:textId="77777777" w:rsidTr="002D6DD7">
        <w:tc>
          <w:tcPr>
            <w:tcW w:w="2605" w:type="dxa"/>
          </w:tcPr>
          <w:p w14:paraId="44CD9961"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1E81FDA0"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o</w:t>
            </w:r>
            <w:r w:rsidRPr="0024114A">
              <w:rPr>
                <w:rFonts w:cs="Times New Roman"/>
                <w:szCs w:val="24"/>
                <w:lang w:val="en-US"/>
              </w:rPr>
              <w:t>C.</w:t>
            </w:r>
          </w:p>
        </w:tc>
      </w:tr>
      <w:tr w:rsidR="00C345C8" w:rsidRPr="0024114A" w14:paraId="5511E312" w14:textId="77777777" w:rsidTr="002D6DD7">
        <w:tc>
          <w:tcPr>
            <w:tcW w:w="9445" w:type="dxa"/>
            <w:gridSpan w:val="2"/>
          </w:tcPr>
          <w:p w14:paraId="194DB47D" w14:textId="77777777" w:rsidR="00C345C8" w:rsidRPr="0024114A" w:rsidRDefault="00C345C8" w:rsidP="002D6DD7">
            <w:pPr>
              <w:jc w:val="both"/>
              <w:rPr>
                <w:rFonts w:cs="Times New Roman"/>
                <w:b/>
                <w:bCs/>
                <w:szCs w:val="24"/>
                <w:lang w:val="en-US"/>
              </w:rPr>
            </w:pPr>
            <w:r w:rsidRPr="0024114A">
              <w:rPr>
                <w:rFonts w:cs="Times New Roman"/>
                <w:b/>
                <w:bCs/>
                <w:szCs w:val="24"/>
              </w:rPr>
              <w:t>Diazepam</w:t>
            </w:r>
          </w:p>
        </w:tc>
      </w:tr>
      <w:tr w:rsidR="00C345C8" w:rsidRPr="0024114A" w14:paraId="29C45DD5" w14:textId="77777777" w:rsidTr="002D6DD7">
        <w:tc>
          <w:tcPr>
            <w:tcW w:w="2605" w:type="dxa"/>
          </w:tcPr>
          <w:p w14:paraId="2A410434"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1B4B107D" w14:textId="77777777" w:rsidR="00C345C8" w:rsidRPr="0024114A" w:rsidRDefault="00C345C8" w:rsidP="002D6DD7">
            <w:pPr>
              <w:jc w:val="both"/>
              <w:rPr>
                <w:rFonts w:cs="Times New Roman"/>
                <w:szCs w:val="24"/>
                <w:lang w:val="en-US"/>
              </w:rPr>
            </w:pPr>
            <w:r w:rsidRPr="0024114A">
              <w:rPr>
                <w:rFonts w:cs="Times New Roman"/>
                <w:szCs w:val="24"/>
                <w:lang w:val="en-US"/>
              </w:rPr>
              <w:t>Benzodiazepine</w:t>
            </w:r>
          </w:p>
        </w:tc>
      </w:tr>
      <w:tr w:rsidR="00C345C8" w:rsidRPr="0024114A" w14:paraId="3109A54D" w14:textId="77777777" w:rsidTr="002D6DD7">
        <w:tc>
          <w:tcPr>
            <w:tcW w:w="2605" w:type="dxa"/>
          </w:tcPr>
          <w:p w14:paraId="6D5086B9"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454D58F3" w14:textId="77777777" w:rsidR="00C345C8" w:rsidRPr="0024114A" w:rsidRDefault="00C345C8" w:rsidP="002D6DD7">
            <w:pPr>
              <w:pStyle w:val="Default"/>
              <w:spacing w:line="360" w:lineRule="auto"/>
              <w:jc w:val="both"/>
              <w:rPr>
                <w:color w:val="auto"/>
              </w:rPr>
            </w:pPr>
            <w:r w:rsidRPr="0024114A">
              <w:rPr>
                <w:color w:val="auto"/>
              </w:rPr>
              <w:t>Rectal gel: 5 mg/ml in 0.5 ml, 2 ml, 4 ml rectal delivery system.</w:t>
            </w:r>
          </w:p>
          <w:p w14:paraId="435A31ED" w14:textId="77777777" w:rsidR="00C345C8" w:rsidRPr="0024114A" w:rsidRDefault="00C345C8" w:rsidP="002D6DD7">
            <w:pPr>
              <w:pStyle w:val="Default"/>
              <w:spacing w:line="360" w:lineRule="auto"/>
              <w:jc w:val="both"/>
              <w:rPr>
                <w:color w:val="auto"/>
              </w:rPr>
            </w:pPr>
            <w:r w:rsidRPr="0024114A">
              <w:rPr>
                <w:color w:val="auto"/>
              </w:rPr>
              <w:lastRenderedPageBreak/>
              <w:t>Rectal solution: 2 mg/ml in 1.25 ml, 2.5 ml rectal tube; 4 mg/ml in 2.5 ml rectal tube.</w:t>
            </w:r>
          </w:p>
          <w:p w14:paraId="763A2E28" w14:textId="77777777" w:rsidR="00C345C8" w:rsidRPr="0024114A" w:rsidRDefault="00C345C8" w:rsidP="002D6DD7">
            <w:pPr>
              <w:pStyle w:val="Default"/>
              <w:spacing w:line="360" w:lineRule="auto"/>
              <w:jc w:val="both"/>
              <w:rPr>
                <w:iCs/>
                <w:color w:val="auto"/>
                <w:highlight w:val="yellow"/>
              </w:rPr>
            </w:pPr>
            <w:r w:rsidRPr="0024114A">
              <w:rPr>
                <w:color w:val="auto"/>
              </w:rPr>
              <w:t>Injection: 5mg/1ml</w:t>
            </w:r>
          </w:p>
        </w:tc>
      </w:tr>
      <w:tr w:rsidR="00C345C8" w:rsidRPr="0024114A" w14:paraId="6E628364" w14:textId="77777777" w:rsidTr="002D6DD7">
        <w:tc>
          <w:tcPr>
            <w:tcW w:w="2605" w:type="dxa"/>
          </w:tcPr>
          <w:p w14:paraId="5A173CAF"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Indications</w:t>
            </w:r>
          </w:p>
        </w:tc>
        <w:tc>
          <w:tcPr>
            <w:tcW w:w="6840" w:type="dxa"/>
          </w:tcPr>
          <w:p w14:paraId="487FEAE1" w14:textId="77777777" w:rsidR="00C345C8" w:rsidRPr="0024114A" w:rsidRDefault="00C345C8" w:rsidP="002D6DD7">
            <w:pPr>
              <w:jc w:val="both"/>
              <w:rPr>
                <w:rFonts w:cs="Times New Roman"/>
                <w:szCs w:val="24"/>
                <w:lang w:val="en-US"/>
              </w:rPr>
            </w:pPr>
            <w:r w:rsidRPr="0024114A">
              <w:rPr>
                <w:rFonts w:cs="Times New Roman"/>
                <w:szCs w:val="24"/>
                <w:lang w:val="en-US"/>
              </w:rPr>
              <w:t>Status epilepticus, febrile convulsions</w:t>
            </w:r>
          </w:p>
        </w:tc>
      </w:tr>
      <w:tr w:rsidR="00C345C8" w:rsidRPr="0024114A" w14:paraId="37A4523C" w14:textId="77777777" w:rsidTr="002D6DD7">
        <w:tc>
          <w:tcPr>
            <w:tcW w:w="2605" w:type="dxa"/>
          </w:tcPr>
          <w:p w14:paraId="5457825F"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3C3157D8" w14:textId="77777777" w:rsidR="00C345C8" w:rsidRPr="0024114A" w:rsidRDefault="00C345C8" w:rsidP="002D6DD7">
            <w:pPr>
              <w:pStyle w:val="Default"/>
              <w:spacing w:line="360" w:lineRule="auto"/>
              <w:jc w:val="both"/>
              <w:rPr>
                <w:b/>
                <w:bCs/>
                <w:color w:val="auto"/>
              </w:rPr>
            </w:pPr>
            <w:r w:rsidRPr="0024114A">
              <w:rPr>
                <w:b/>
              </w:rPr>
              <w:t>Status epilepticus</w:t>
            </w:r>
            <w:r w:rsidRPr="0024114A">
              <w:rPr>
                <w:bCs/>
                <w:color w:val="auto"/>
              </w:rPr>
              <w:t>and</w:t>
            </w:r>
            <w:r w:rsidRPr="0024114A">
              <w:rPr>
                <w:b/>
              </w:rPr>
              <w:t>febrile convulsions</w:t>
            </w:r>
            <w:r w:rsidRPr="0024114A">
              <w:rPr>
                <w:b/>
                <w:bCs/>
                <w:color w:val="auto"/>
              </w:rPr>
              <w:t xml:space="preserve">, </w:t>
            </w:r>
            <w:r w:rsidRPr="003F0F9E">
              <w:rPr>
                <w:bCs/>
                <w:color w:val="auto"/>
              </w:rPr>
              <w:t>by IV injection</w:t>
            </w:r>
            <w:r w:rsidRPr="0024114A">
              <w:rPr>
                <w:b/>
                <w:bCs/>
                <w:color w:val="auto"/>
              </w:rPr>
              <w:t>:</w:t>
            </w:r>
          </w:p>
          <w:p w14:paraId="4C03D16F" w14:textId="77777777" w:rsidR="00C345C8" w:rsidRPr="0024114A" w:rsidRDefault="00C345C8" w:rsidP="002D6DD7">
            <w:pPr>
              <w:pStyle w:val="Default"/>
              <w:spacing w:line="360" w:lineRule="auto"/>
              <w:jc w:val="both"/>
              <w:rPr>
                <w:color w:val="auto"/>
              </w:rPr>
            </w:pPr>
            <w:r w:rsidRPr="0024114A">
              <w:rPr>
                <w:b/>
                <w:color w:val="auto"/>
              </w:rPr>
              <w:t>Adult:</w:t>
            </w:r>
            <w:r w:rsidRPr="0024114A">
              <w:rPr>
                <w:color w:val="auto"/>
              </w:rPr>
              <w:t xml:space="preserve"> 10 mg, then 10 mg after 10 minutes if required, administered at a rate of 1ml (5 mg) per minute.</w:t>
            </w:r>
          </w:p>
          <w:p w14:paraId="4986729B" w14:textId="77777777" w:rsidR="00C345C8" w:rsidRPr="0024114A" w:rsidRDefault="00C345C8" w:rsidP="002D6DD7">
            <w:pPr>
              <w:pStyle w:val="Default"/>
              <w:spacing w:line="360" w:lineRule="auto"/>
              <w:jc w:val="both"/>
              <w:rPr>
                <w:color w:val="auto"/>
              </w:rPr>
            </w:pPr>
            <w:r w:rsidRPr="0024114A">
              <w:rPr>
                <w:b/>
                <w:color w:val="auto"/>
              </w:rPr>
              <w:t>Neonate:</w:t>
            </w:r>
            <w:r w:rsidRPr="0024114A">
              <w:rPr>
                <w:color w:val="auto"/>
              </w:rPr>
              <w:t xml:space="preserve"> 300–400 mcg/kg, then 300–400 mcg/kg after 10 minutes if required, to be given over 3–5 minutes.</w:t>
            </w:r>
          </w:p>
          <w:p w14:paraId="45E771A2" w14:textId="77777777" w:rsidR="00C345C8" w:rsidRPr="0024114A" w:rsidRDefault="00C345C8" w:rsidP="002D6DD7">
            <w:pPr>
              <w:pStyle w:val="Default"/>
              <w:spacing w:line="360" w:lineRule="auto"/>
              <w:jc w:val="both"/>
              <w:rPr>
                <w:color w:val="auto"/>
              </w:rPr>
            </w:pPr>
            <w:r w:rsidRPr="0024114A">
              <w:rPr>
                <w:b/>
                <w:color w:val="auto"/>
              </w:rPr>
              <w:t>Child 1 month–11 years:</w:t>
            </w:r>
            <w:r w:rsidRPr="0024114A">
              <w:rPr>
                <w:color w:val="auto"/>
              </w:rPr>
              <w:t xml:space="preserve"> 300–400 mcg/kg (max. per dose 10 mg), then 300–400 mcg/kg after 10 minutes if required, to be given over 3–5 minutes</w:t>
            </w:r>
          </w:p>
          <w:p w14:paraId="5AFF3F13" w14:textId="77777777" w:rsidR="00C345C8" w:rsidRPr="0024114A" w:rsidRDefault="00C345C8" w:rsidP="002D6DD7">
            <w:pPr>
              <w:pStyle w:val="Default"/>
              <w:spacing w:line="360" w:lineRule="auto"/>
              <w:jc w:val="both"/>
              <w:rPr>
                <w:b/>
                <w:bCs/>
                <w:color w:val="auto"/>
              </w:rPr>
            </w:pPr>
            <w:r w:rsidRPr="0024114A">
              <w:rPr>
                <w:b/>
                <w:bCs/>
                <w:color w:val="auto"/>
              </w:rPr>
              <w:t xml:space="preserve"> By rectum:</w:t>
            </w:r>
          </w:p>
          <w:p w14:paraId="0D2392F9" w14:textId="77777777" w:rsidR="00C345C8" w:rsidRPr="0024114A" w:rsidRDefault="00C345C8" w:rsidP="002D6DD7">
            <w:pPr>
              <w:pStyle w:val="Default"/>
              <w:spacing w:line="360" w:lineRule="auto"/>
              <w:jc w:val="both"/>
              <w:rPr>
                <w:color w:val="auto"/>
              </w:rPr>
            </w:pPr>
            <w:r w:rsidRPr="0024114A">
              <w:rPr>
                <w:b/>
                <w:color w:val="auto"/>
              </w:rPr>
              <w:t>Adult</w:t>
            </w:r>
            <w:r w:rsidRPr="0024114A">
              <w:rPr>
                <w:color w:val="auto"/>
              </w:rPr>
              <w:t>: 10–20 mg, then 10–20 mg after 5–10 minutes if required</w:t>
            </w:r>
          </w:p>
          <w:p w14:paraId="28CA107B" w14:textId="77777777" w:rsidR="00C345C8" w:rsidRPr="0024114A" w:rsidRDefault="00C345C8" w:rsidP="002D6DD7">
            <w:pPr>
              <w:pStyle w:val="Default"/>
              <w:spacing w:line="360" w:lineRule="auto"/>
              <w:jc w:val="both"/>
              <w:rPr>
                <w:color w:val="auto"/>
              </w:rPr>
            </w:pPr>
            <w:r w:rsidRPr="0024114A">
              <w:rPr>
                <w:b/>
                <w:color w:val="auto"/>
              </w:rPr>
              <w:t>Elderly:</w:t>
            </w:r>
            <w:r w:rsidRPr="0024114A">
              <w:rPr>
                <w:color w:val="auto"/>
              </w:rPr>
              <w:t xml:space="preserve"> 10 mg, then 10 mg after 5–10 minutes if required</w:t>
            </w:r>
          </w:p>
          <w:p w14:paraId="6AE71719" w14:textId="77777777" w:rsidR="00C345C8" w:rsidRPr="0024114A" w:rsidRDefault="00C345C8" w:rsidP="002D6DD7">
            <w:pPr>
              <w:pStyle w:val="Default"/>
              <w:spacing w:line="360" w:lineRule="auto"/>
              <w:jc w:val="both"/>
              <w:rPr>
                <w:color w:val="auto"/>
              </w:rPr>
            </w:pPr>
            <w:r w:rsidRPr="0024114A">
              <w:rPr>
                <w:b/>
                <w:color w:val="auto"/>
              </w:rPr>
              <w:t>Neonate</w:t>
            </w:r>
            <w:r w:rsidRPr="0024114A">
              <w:rPr>
                <w:color w:val="auto"/>
              </w:rPr>
              <w:t>: 1.25–2.5 mg, then 1.25–2.5 mg after 5–10 minutes if required.</w:t>
            </w:r>
          </w:p>
          <w:p w14:paraId="3E6E00CF" w14:textId="77777777" w:rsidR="00C345C8" w:rsidRPr="0024114A" w:rsidRDefault="00C345C8" w:rsidP="002D6DD7">
            <w:pPr>
              <w:pStyle w:val="Default"/>
              <w:spacing w:line="360" w:lineRule="auto"/>
              <w:jc w:val="both"/>
              <w:rPr>
                <w:color w:val="auto"/>
              </w:rPr>
            </w:pPr>
            <w:r w:rsidRPr="0024114A">
              <w:rPr>
                <w:b/>
                <w:color w:val="auto"/>
              </w:rPr>
              <w:t>Child 1 month–1 year:</w:t>
            </w:r>
            <w:r w:rsidRPr="0024114A">
              <w:rPr>
                <w:color w:val="auto"/>
              </w:rPr>
              <w:t xml:space="preserve"> 5 mg, then 5 mg after 5–10 minutes if required</w:t>
            </w:r>
          </w:p>
          <w:p w14:paraId="1D21E03D" w14:textId="77777777" w:rsidR="00C345C8" w:rsidRPr="0024114A" w:rsidRDefault="00C345C8" w:rsidP="002D6DD7">
            <w:pPr>
              <w:pStyle w:val="Default"/>
              <w:spacing w:line="360" w:lineRule="auto"/>
              <w:jc w:val="both"/>
              <w:rPr>
                <w:color w:val="auto"/>
              </w:rPr>
            </w:pPr>
            <w:r w:rsidRPr="0024114A">
              <w:rPr>
                <w:b/>
                <w:color w:val="auto"/>
              </w:rPr>
              <w:t>Child 2–11 years:</w:t>
            </w:r>
            <w:r w:rsidRPr="0024114A">
              <w:rPr>
                <w:color w:val="auto"/>
              </w:rPr>
              <w:t xml:space="preserve"> 5–10 mg, then 5–10 mg after 5–10 minutes if required</w:t>
            </w:r>
          </w:p>
        </w:tc>
      </w:tr>
      <w:tr w:rsidR="00C345C8" w:rsidRPr="0024114A" w14:paraId="4A05E1C4" w14:textId="77777777" w:rsidTr="002D6DD7">
        <w:tc>
          <w:tcPr>
            <w:tcW w:w="2605" w:type="dxa"/>
          </w:tcPr>
          <w:p w14:paraId="35F3ABFA"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60196A0A"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acute narrow-angle glaucoma and open-angle glaucoma, chronic psychosis (in adults), CNS depression, compromised airway, hyperkinesis, respiratory depression, injections containing benzyl alcohol (neonates)</w:t>
            </w:r>
          </w:p>
        </w:tc>
      </w:tr>
      <w:tr w:rsidR="00C345C8" w:rsidRPr="0024114A" w14:paraId="01865E00" w14:textId="77777777" w:rsidTr="002D6DD7">
        <w:tc>
          <w:tcPr>
            <w:tcW w:w="2605" w:type="dxa"/>
          </w:tcPr>
          <w:p w14:paraId="5EB2F7C4"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12D7F2B2" w14:textId="77777777" w:rsidR="00C345C8" w:rsidRPr="0024114A" w:rsidRDefault="00C345C8" w:rsidP="002D6DD7">
            <w:pPr>
              <w:jc w:val="both"/>
              <w:rPr>
                <w:rFonts w:cs="Times New Roman"/>
                <w:szCs w:val="24"/>
                <w:lang w:val="en-US"/>
              </w:rPr>
            </w:pPr>
            <w:r w:rsidRPr="0024114A">
              <w:rPr>
                <w:rFonts w:cs="Times New Roman"/>
                <w:szCs w:val="24"/>
                <w:lang w:val="en-US"/>
              </w:rPr>
              <w:t>Amitriptyline, chlorpheniramine, chlorpromazine, cimetidine, clarithromycin, codeine, enalapril, erythromycin, furosemide, fentanyl, haloperidol, halothane, isoniazid, ketamine, ketoconazole, mifepristone,</w:t>
            </w:r>
            <w:r w:rsidR="003F0F9E">
              <w:rPr>
                <w:rFonts w:cs="Times New Roman"/>
                <w:szCs w:val="24"/>
                <w:lang w:val="en-US"/>
              </w:rPr>
              <w:t xml:space="preserve"> </w:t>
            </w:r>
            <w:r w:rsidRPr="0024114A">
              <w:rPr>
                <w:rFonts w:cs="Times New Roman"/>
                <w:szCs w:val="24"/>
                <w:lang w:val="en-US"/>
              </w:rPr>
              <w:t>morphine, nitrous oxide, phenytoin, rifampicin, ritonavir, spironolactone, thiopental, CYP3A4 inhibitors/inducers, CNS depressants.</w:t>
            </w:r>
          </w:p>
        </w:tc>
      </w:tr>
      <w:tr w:rsidR="00C345C8" w:rsidRPr="0024114A" w14:paraId="7D63DF89" w14:textId="77777777" w:rsidTr="002D6DD7">
        <w:tc>
          <w:tcPr>
            <w:tcW w:w="2605" w:type="dxa"/>
          </w:tcPr>
          <w:p w14:paraId="1AD0D67B"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Side effects</w:t>
            </w:r>
          </w:p>
        </w:tc>
        <w:tc>
          <w:tcPr>
            <w:tcW w:w="6840" w:type="dxa"/>
          </w:tcPr>
          <w:p w14:paraId="58C0F42A" w14:textId="77777777" w:rsidR="00C345C8" w:rsidRPr="0024114A" w:rsidRDefault="00C345C8" w:rsidP="002D6DD7">
            <w:pPr>
              <w:jc w:val="both"/>
              <w:rPr>
                <w:rFonts w:cs="Times New Roman"/>
                <w:szCs w:val="24"/>
                <w:lang w:val="en-US"/>
              </w:rPr>
            </w:pPr>
            <w:r w:rsidRPr="0024114A">
              <w:rPr>
                <w:rFonts w:cs="Times New Roman"/>
                <w:szCs w:val="24"/>
                <w:lang w:val="en-US"/>
              </w:rPr>
              <w:t>Appetite abnormal, concentration impaired, gastrointestinal disorder, movement disorders, muscle spasms, palpitations, sensory disorder, vomiting, constipation, diarrhoea, hypersalivation, speech slurred</w:t>
            </w:r>
          </w:p>
        </w:tc>
      </w:tr>
      <w:tr w:rsidR="00C345C8" w:rsidRPr="0024114A" w14:paraId="7CC1BAD5" w14:textId="77777777" w:rsidTr="002D6DD7">
        <w:tc>
          <w:tcPr>
            <w:tcW w:w="2605" w:type="dxa"/>
          </w:tcPr>
          <w:p w14:paraId="7B837F0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7EAE38B0"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Concomitant use with opioids, muscle weakness, organic brain changes, parenteral administration </w:t>
            </w:r>
          </w:p>
        </w:tc>
      </w:tr>
      <w:tr w:rsidR="00C345C8" w:rsidRPr="0024114A" w14:paraId="7882855C" w14:textId="77777777" w:rsidTr="002D6DD7">
        <w:tc>
          <w:tcPr>
            <w:tcW w:w="2605" w:type="dxa"/>
          </w:tcPr>
          <w:p w14:paraId="2F298A2C"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67A67926"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 xml:space="preserve">C. Protect from light. </w:t>
            </w:r>
          </w:p>
        </w:tc>
      </w:tr>
      <w:tr w:rsidR="00C345C8" w:rsidRPr="0024114A" w14:paraId="24B46E9D" w14:textId="77777777" w:rsidTr="002D6DD7">
        <w:tc>
          <w:tcPr>
            <w:tcW w:w="9445" w:type="dxa"/>
            <w:gridSpan w:val="2"/>
            <w:shd w:val="clear" w:color="auto" w:fill="auto"/>
          </w:tcPr>
          <w:p w14:paraId="42432377" w14:textId="77777777" w:rsidR="00C345C8" w:rsidRPr="0024114A" w:rsidRDefault="00C345C8" w:rsidP="002D6DD7">
            <w:pPr>
              <w:jc w:val="both"/>
              <w:rPr>
                <w:rFonts w:cs="Times New Roman"/>
                <w:b/>
                <w:bCs/>
                <w:szCs w:val="24"/>
                <w:highlight w:val="yellow"/>
                <w:lang w:val="en-US"/>
              </w:rPr>
            </w:pPr>
            <w:r w:rsidRPr="0024114A">
              <w:rPr>
                <w:rFonts w:cs="Times New Roman"/>
                <w:b/>
                <w:bCs/>
                <w:iCs/>
                <w:szCs w:val="24"/>
              </w:rPr>
              <w:t>Ethosuximide</w:t>
            </w:r>
          </w:p>
        </w:tc>
      </w:tr>
      <w:tr w:rsidR="00C345C8" w:rsidRPr="0024114A" w14:paraId="6E430111" w14:textId="77777777" w:rsidTr="002D6DD7">
        <w:tc>
          <w:tcPr>
            <w:tcW w:w="2605" w:type="dxa"/>
          </w:tcPr>
          <w:p w14:paraId="39044378"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739D228A" w14:textId="77777777" w:rsidR="00C345C8" w:rsidRPr="0024114A" w:rsidRDefault="00C345C8" w:rsidP="002D6DD7">
            <w:pPr>
              <w:jc w:val="both"/>
              <w:rPr>
                <w:rFonts w:cs="Times New Roman"/>
                <w:szCs w:val="24"/>
                <w:lang w:val="en-US"/>
              </w:rPr>
            </w:pPr>
            <w:r w:rsidRPr="0024114A">
              <w:rPr>
                <w:rFonts w:cs="Times New Roman"/>
                <w:szCs w:val="24"/>
                <w:lang w:val="en-US"/>
              </w:rPr>
              <w:t>Anticonvultant</w:t>
            </w:r>
          </w:p>
        </w:tc>
      </w:tr>
      <w:tr w:rsidR="00C345C8" w:rsidRPr="0024114A" w14:paraId="5516266A" w14:textId="77777777" w:rsidTr="002D6DD7">
        <w:tc>
          <w:tcPr>
            <w:tcW w:w="2605" w:type="dxa"/>
          </w:tcPr>
          <w:p w14:paraId="1B8CC99C"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031F36D3" w14:textId="77777777" w:rsidR="00C345C8" w:rsidRPr="0024114A" w:rsidRDefault="00C345C8" w:rsidP="002D6DD7">
            <w:pPr>
              <w:pStyle w:val="Default"/>
              <w:spacing w:line="360" w:lineRule="auto"/>
              <w:jc w:val="both"/>
              <w:rPr>
                <w:iCs/>
                <w:color w:val="auto"/>
              </w:rPr>
            </w:pPr>
            <w:r w:rsidRPr="0024114A">
              <w:rPr>
                <w:iCs/>
                <w:color w:val="auto"/>
              </w:rPr>
              <w:t>Capsule: 250 mg.</w:t>
            </w:r>
          </w:p>
          <w:p w14:paraId="5F86E543" w14:textId="77777777" w:rsidR="00C345C8" w:rsidRPr="0024114A" w:rsidRDefault="00C345C8" w:rsidP="002D6DD7">
            <w:pPr>
              <w:pStyle w:val="Default"/>
              <w:spacing w:line="360" w:lineRule="auto"/>
              <w:jc w:val="both"/>
              <w:rPr>
                <w:color w:val="auto"/>
              </w:rPr>
            </w:pPr>
            <w:r w:rsidRPr="0024114A">
              <w:rPr>
                <w:b/>
                <w:iCs/>
                <w:color w:val="auto"/>
              </w:rPr>
              <w:t>Oral</w:t>
            </w:r>
            <w:r w:rsidRPr="0024114A">
              <w:rPr>
                <w:iCs/>
                <w:color w:val="auto"/>
              </w:rPr>
              <w:t xml:space="preserve"> liquid: 250 mg/5 ml</w:t>
            </w:r>
          </w:p>
        </w:tc>
      </w:tr>
      <w:tr w:rsidR="00C345C8" w:rsidRPr="0024114A" w14:paraId="1212A092" w14:textId="77777777" w:rsidTr="002D6DD7">
        <w:trPr>
          <w:trHeight w:val="359"/>
        </w:trPr>
        <w:tc>
          <w:tcPr>
            <w:tcW w:w="2605" w:type="dxa"/>
          </w:tcPr>
          <w:p w14:paraId="4DCC90A4" w14:textId="77777777" w:rsidR="00C345C8" w:rsidRPr="003F0F9E" w:rsidRDefault="00C345C8" w:rsidP="002D6DD7">
            <w:pPr>
              <w:jc w:val="both"/>
              <w:rPr>
                <w:rFonts w:cs="Times New Roman"/>
                <w:szCs w:val="24"/>
                <w:lang w:val="en-US"/>
              </w:rPr>
            </w:pPr>
            <w:r w:rsidRPr="003F0F9E">
              <w:rPr>
                <w:rFonts w:cs="Times New Roman"/>
                <w:szCs w:val="24"/>
                <w:lang w:val="en-US"/>
              </w:rPr>
              <w:t>Indications</w:t>
            </w:r>
          </w:p>
        </w:tc>
        <w:tc>
          <w:tcPr>
            <w:tcW w:w="6840" w:type="dxa"/>
          </w:tcPr>
          <w:p w14:paraId="3BD5BF24" w14:textId="77777777" w:rsidR="00C345C8" w:rsidRPr="0024114A" w:rsidRDefault="00C345C8" w:rsidP="002D6DD7">
            <w:pPr>
              <w:jc w:val="both"/>
              <w:rPr>
                <w:rFonts w:cs="Times New Roman"/>
                <w:szCs w:val="24"/>
                <w:lang w:val="en-US"/>
              </w:rPr>
            </w:pPr>
            <w:r w:rsidRPr="0024114A">
              <w:rPr>
                <w:rFonts w:cs="Times New Roman"/>
                <w:szCs w:val="24"/>
                <w:lang w:val="en-US"/>
              </w:rPr>
              <w:t>Absence seizure, myoclonic seizure</w:t>
            </w:r>
          </w:p>
        </w:tc>
      </w:tr>
      <w:tr w:rsidR="00C345C8" w:rsidRPr="0024114A" w14:paraId="0E5B664C" w14:textId="77777777" w:rsidTr="002D6DD7">
        <w:tc>
          <w:tcPr>
            <w:tcW w:w="2605" w:type="dxa"/>
          </w:tcPr>
          <w:p w14:paraId="6FA6C85E"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6C61BB5A" w14:textId="77777777" w:rsidR="00C345C8" w:rsidRPr="0024114A" w:rsidRDefault="00C345C8" w:rsidP="002D6DD7">
            <w:pPr>
              <w:pStyle w:val="Default"/>
              <w:spacing w:line="360" w:lineRule="auto"/>
              <w:jc w:val="both"/>
              <w:rPr>
                <w:color w:val="auto"/>
              </w:rPr>
            </w:pPr>
            <w:r w:rsidRPr="0024114A">
              <w:rPr>
                <w:b/>
                <w:bCs/>
                <w:color w:val="auto"/>
              </w:rPr>
              <w:t xml:space="preserve">Adult: </w:t>
            </w:r>
            <w:r w:rsidRPr="0024114A">
              <w:rPr>
                <w:color w:val="auto"/>
              </w:rPr>
              <w:t xml:space="preserve">Initially 500 mg daily in 2 divided doses, then increased in steps of 250 mg every 5–7 days; usual dose 1–1.5 g daily in 2 divided doses, increased, if necessary, up to 2 g daily </w:t>
            </w:r>
          </w:p>
          <w:p w14:paraId="7C5D599D" w14:textId="77777777" w:rsidR="00C345C8" w:rsidRPr="0024114A" w:rsidRDefault="00C345C8" w:rsidP="002D6DD7">
            <w:pPr>
              <w:pStyle w:val="Default"/>
              <w:spacing w:line="360" w:lineRule="auto"/>
              <w:jc w:val="both"/>
              <w:rPr>
                <w:color w:val="auto"/>
              </w:rPr>
            </w:pPr>
            <w:r w:rsidRPr="0024114A">
              <w:rPr>
                <w:b/>
                <w:bCs/>
                <w:color w:val="auto"/>
              </w:rPr>
              <w:t>Child</w:t>
            </w:r>
            <w:r w:rsidRPr="0024114A">
              <w:rPr>
                <w:color w:val="auto"/>
              </w:rPr>
              <w:t xml:space="preserve">: </w:t>
            </w:r>
            <w:r w:rsidRPr="0024114A">
              <w:rPr>
                <w:b/>
                <w:color w:val="auto"/>
              </w:rPr>
              <w:t>1 month–5 years</w:t>
            </w:r>
            <w:r w:rsidRPr="0024114A">
              <w:rPr>
                <w:color w:val="auto"/>
              </w:rPr>
              <w:t>: Initially 5 mg/kg twice daily (max. per dose 125 mg), dose to be increased every 5–7 days; maintenance 10–20 mg/kg twice daily (max. per dose 500 mg), total daily dose may rarely be given in 3 divided doses</w:t>
            </w:r>
          </w:p>
          <w:p w14:paraId="2443C7DC" w14:textId="77777777" w:rsidR="00C345C8" w:rsidRPr="0024114A" w:rsidRDefault="00C345C8" w:rsidP="002D6DD7">
            <w:pPr>
              <w:pStyle w:val="Default"/>
              <w:spacing w:line="360" w:lineRule="auto"/>
              <w:jc w:val="both"/>
              <w:rPr>
                <w:i/>
                <w:iCs/>
                <w:color w:val="auto"/>
              </w:rPr>
            </w:pPr>
            <w:r w:rsidRPr="0024114A">
              <w:rPr>
                <w:b/>
                <w:color w:val="auto"/>
              </w:rPr>
              <w:t>Child: 6–12 years</w:t>
            </w:r>
            <w:r w:rsidRPr="0024114A">
              <w:rPr>
                <w:color w:val="auto"/>
              </w:rPr>
              <w:t>: Initially 250 mg twice daily, then increased in steps of 250 mg every 5–7 days; usual dose 500–750 mg twice daily, increased, if necessary, up to1 g twice daily</w:t>
            </w:r>
            <w:r w:rsidRPr="0024114A">
              <w:rPr>
                <w:i/>
                <w:iCs/>
                <w:color w:val="auto"/>
              </w:rPr>
              <w:t>)</w:t>
            </w:r>
          </w:p>
          <w:p w14:paraId="57570515" w14:textId="77777777" w:rsidR="00C345C8" w:rsidRPr="0024114A" w:rsidRDefault="00C345C8" w:rsidP="002D6DD7">
            <w:pPr>
              <w:pStyle w:val="NormalWeb"/>
              <w:shd w:val="clear" w:color="auto" w:fill="FFFFFF"/>
              <w:spacing w:before="0" w:beforeAutospacing="0" w:after="0" w:afterAutospacing="0" w:line="360" w:lineRule="auto"/>
              <w:jc w:val="both"/>
              <w:rPr>
                <w:b/>
                <w:color w:val="161616"/>
              </w:rPr>
            </w:pPr>
            <w:r w:rsidRPr="0024114A">
              <w:rPr>
                <w:b/>
                <w:color w:val="161616"/>
              </w:rPr>
              <w:t>Oral Liquid:</w:t>
            </w:r>
          </w:p>
          <w:p w14:paraId="406ADF61" w14:textId="77777777" w:rsidR="00C345C8" w:rsidRPr="0024114A" w:rsidRDefault="00C345C8" w:rsidP="002D6DD7">
            <w:pPr>
              <w:pStyle w:val="NormalWeb"/>
              <w:shd w:val="clear" w:color="auto" w:fill="FFFFFF"/>
              <w:spacing w:before="0" w:beforeAutospacing="0" w:after="0" w:afterAutospacing="0" w:line="360" w:lineRule="auto"/>
              <w:jc w:val="both"/>
              <w:rPr>
                <w:color w:val="161616"/>
                <w:lang w:val="en-US" w:eastAsia="en-US"/>
              </w:rPr>
            </w:pPr>
            <w:r w:rsidRPr="0024114A">
              <w:rPr>
                <w:b/>
                <w:color w:val="161616"/>
              </w:rPr>
              <w:t>Adults, elderly patients and children over 6 years of age:</w:t>
            </w:r>
            <w:r w:rsidRPr="0024114A">
              <w:rPr>
                <w:color w:val="161616"/>
              </w:rPr>
              <w:t xml:space="preserve"> start at a daily dose of 500 mg. Depending on the patient's tolerance, the dose is increased every five to seven days in increments of max. 250 mg until the seizures are controlled by a daily dose of 1000-1500 mg. In an individual case, a daily dose of 2000 mg, taken in several single doses, may be required.</w:t>
            </w:r>
          </w:p>
          <w:p w14:paraId="5F086387" w14:textId="77777777" w:rsidR="00C345C8" w:rsidRPr="0024114A" w:rsidRDefault="00C345C8" w:rsidP="002D6DD7">
            <w:pPr>
              <w:pStyle w:val="NormalWeb"/>
              <w:shd w:val="clear" w:color="auto" w:fill="FFFFFF"/>
              <w:spacing w:before="0" w:beforeAutospacing="0" w:after="0" w:afterAutospacing="0" w:line="360" w:lineRule="auto"/>
              <w:jc w:val="both"/>
              <w:rPr>
                <w:color w:val="161616"/>
              </w:rPr>
            </w:pPr>
            <w:r w:rsidRPr="0024114A">
              <w:rPr>
                <w:color w:val="161616"/>
              </w:rPr>
              <w:t>Child under 2 years: start at a daily dose of 125 mg (2.5 ml). The dose is increased gradually in small increments every few days until the fits are controlled.</w:t>
            </w:r>
          </w:p>
          <w:p w14:paraId="5FDF2355" w14:textId="77777777" w:rsidR="00C345C8" w:rsidRPr="0024114A" w:rsidRDefault="00C345C8" w:rsidP="002D6DD7">
            <w:pPr>
              <w:pStyle w:val="NormalWeb"/>
              <w:shd w:val="clear" w:color="auto" w:fill="FFFFFF"/>
              <w:spacing w:before="0" w:beforeAutospacing="0" w:after="0" w:afterAutospacing="0" w:line="360" w:lineRule="auto"/>
              <w:jc w:val="both"/>
              <w:rPr>
                <w:color w:val="161616"/>
              </w:rPr>
            </w:pPr>
            <w:r w:rsidRPr="0024114A">
              <w:rPr>
                <w:b/>
                <w:color w:val="161616"/>
              </w:rPr>
              <w:lastRenderedPageBreak/>
              <w:t>Child between 2 and 6 years</w:t>
            </w:r>
            <w:r w:rsidRPr="0024114A">
              <w:rPr>
                <w:color w:val="161616"/>
              </w:rPr>
              <w:t>: start at a daily dose of 250 mg (5 ml). The dose is increased gradually in small increments every few days until the fits are controlled. The optimum daily dose for most children is 20 mg/kg. The maximum daily dose is 1000 mg.</w:t>
            </w:r>
          </w:p>
        </w:tc>
      </w:tr>
      <w:tr w:rsidR="00C345C8" w:rsidRPr="0024114A" w14:paraId="5B1C42B3" w14:textId="77777777" w:rsidTr="002D6DD7">
        <w:tc>
          <w:tcPr>
            <w:tcW w:w="2605" w:type="dxa"/>
          </w:tcPr>
          <w:p w14:paraId="63703318"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6265167A"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other succinimides.</w:t>
            </w:r>
          </w:p>
        </w:tc>
      </w:tr>
      <w:tr w:rsidR="00C345C8" w:rsidRPr="0024114A" w14:paraId="751151E0" w14:textId="77777777" w:rsidTr="002D6DD7">
        <w:tc>
          <w:tcPr>
            <w:tcW w:w="2605" w:type="dxa"/>
          </w:tcPr>
          <w:p w14:paraId="6637BAF2"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030BC1AA" w14:textId="77777777" w:rsidR="00C345C8" w:rsidRPr="0024114A" w:rsidRDefault="00C345C8" w:rsidP="002D6DD7">
            <w:pPr>
              <w:jc w:val="both"/>
              <w:rPr>
                <w:rFonts w:cs="Times New Roman"/>
                <w:szCs w:val="24"/>
                <w:lang w:val="en-US"/>
              </w:rPr>
            </w:pPr>
            <w:r w:rsidRPr="0024114A">
              <w:rPr>
                <w:rFonts w:cs="Times New Roman"/>
                <w:szCs w:val="24"/>
                <w:lang w:val="en-US"/>
              </w:rPr>
              <w:t>Other antiepileptics, CNS depressants, alcohol, mifepristone.</w:t>
            </w:r>
          </w:p>
        </w:tc>
      </w:tr>
      <w:tr w:rsidR="00C345C8" w:rsidRPr="0024114A" w14:paraId="74D3DB9E" w14:textId="77777777" w:rsidTr="002D6DD7">
        <w:tc>
          <w:tcPr>
            <w:tcW w:w="2605" w:type="dxa"/>
          </w:tcPr>
          <w:p w14:paraId="347EE448"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030869EA" w14:textId="77777777" w:rsidR="00C345C8" w:rsidRPr="0024114A" w:rsidRDefault="00C345C8" w:rsidP="002D6DD7">
            <w:pPr>
              <w:jc w:val="both"/>
              <w:rPr>
                <w:rFonts w:cs="Times New Roman"/>
                <w:szCs w:val="24"/>
                <w:lang w:val="en-US"/>
              </w:rPr>
            </w:pPr>
            <w:r w:rsidRPr="0024114A">
              <w:rPr>
                <w:rFonts w:cs="Times New Roman"/>
                <w:szCs w:val="24"/>
              </w:rPr>
              <w:t xml:space="preserve">Gastrointestinal disturbances, </w:t>
            </w:r>
            <w:r w:rsidRPr="0024114A">
              <w:rPr>
                <w:rFonts w:cs="Times New Roman"/>
                <w:szCs w:val="24"/>
                <w:lang w:val="en-US"/>
              </w:rPr>
              <w:t>aggression, agranulocytosis, blood disorder, bone marrow disorders, concentration impaired, depression, dizziness, drowsiness, erythema nodosum, fatigue, generalized tonic-clonic seizure, headache, hiccups, leucopenia, libido increased, lupus-like syndrome, mood altered, movement disorders, nephrotic syndrome, psychosis, rash, sleep disorders, Stevens-Johnson syndrome,</w:t>
            </w:r>
            <w:r w:rsidR="00106B03">
              <w:rPr>
                <w:rFonts w:cs="Times New Roman"/>
                <w:szCs w:val="24"/>
                <w:lang w:val="en-US"/>
              </w:rPr>
              <w:t xml:space="preserve"> </w:t>
            </w:r>
            <w:r w:rsidRPr="0024114A">
              <w:rPr>
                <w:rFonts w:cs="Times New Roman"/>
                <w:szCs w:val="24"/>
                <w:lang w:val="en-US"/>
              </w:rPr>
              <w:t>vaginal hemorrhage, vision disorders.</w:t>
            </w:r>
          </w:p>
        </w:tc>
      </w:tr>
      <w:tr w:rsidR="00C345C8" w:rsidRPr="0024114A" w14:paraId="0F3A2DE3" w14:textId="77777777" w:rsidTr="002D6DD7">
        <w:tc>
          <w:tcPr>
            <w:tcW w:w="2605" w:type="dxa"/>
          </w:tcPr>
          <w:p w14:paraId="7E9D43A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7238FC76" w14:textId="77777777" w:rsidR="00C345C8" w:rsidRPr="0024114A" w:rsidRDefault="00C345C8" w:rsidP="002D6DD7">
            <w:pPr>
              <w:jc w:val="both"/>
              <w:rPr>
                <w:rFonts w:cs="Times New Roman"/>
                <w:szCs w:val="24"/>
                <w:lang w:val="en-US"/>
              </w:rPr>
            </w:pPr>
            <w:r w:rsidRPr="0024114A">
              <w:rPr>
                <w:rFonts w:cs="Times New Roman"/>
                <w:szCs w:val="24"/>
                <w:lang w:val="en-US"/>
              </w:rPr>
              <w:t>Hepatic or renal impairment, thrombocytopenia, acute porphyria, abrupt discontinuation, risk of suicidal behaviors, breastfeeding</w:t>
            </w:r>
          </w:p>
        </w:tc>
      </w:tr>
      <w:tr w:rsidR="00C345C8" w:rsidRPr="0024114A" w14:paraId="521BB928" w14:textId="77777777" w:rsidTr="002D6DD7">
        <w:tc>
          <w:tcPr>
            <w:tcW w:w="2605" w:type="dxa"/>
          </w:tcPr>
          <w:p w14:paraId="45FF0A0C"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64314B1E"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C.</w:t>
            </w:r>
          </w:p>
        </w:tc>
      </w:tr>
      <w:tr w:rsidR="00C345C8" w:rsidRPr="0024114A" w14:paraId="3234B481" w14:textId="77777777" w:rsidTr="002D6DD7">
        <w:tc>
          <w:tcPr>
            <w:tcW w:w="9445" w:type="dxa"/>
            <w:gridSpan w:val="2"/>
          </w:tcPr>
          <w:p w14:paraId="0C9B05A8" w14:textId="77777777" w:rsidR="00C345C8" w:rsidRPr="0024114A" w:rsidRDefault="00C345C8" w:rsidP="002D6DD7">
            <w:pPr>
              <w:jc w:val="both"/>
              <w:rPr>
                <w:rFonts w:cs="Times New Roman"/>
                <w:b/>
                <w:szCs w:val="24"/>
                <w:lang w:val="en-US"/>
              </w:rPr>
            </w:pPr>
            <w:r w:rsidRPr="0024114A">
              <w:rPr>
                <w:rFonts w:cs="Times New Roman"/>
                <w:b/>
                <w:szCs w:val="24"/>
              </w:rPr>
              <w:t xml:space="preserve">Lamotrigine </w:t>
            </w:r>
          </w:p>
        </w:tc>
      </w:tr>
      <w:tr w:rsidR="00C345C8" w:rsidRPr="0024114A" w14:paraId="65F4CB3F" w14:textId="77777777" w:rsidTr="002D6DD7">
        <w:tc>
          <w:tcPr>
            <w:tcW w:w="2605" w:type="dxa"/>
          </w:tcPr>
          <w:p w14:paraId="2AFD94BA"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5D3F7192" w14:textId="77777777" w:rsidR="00C345C8" w:rsidRPr="0024114A" w:rsidRDefault="00C345C8" w:rsidP="002D6DD7">
            <w:pPr>
              <w:jc w:val="both"/>
              <w:rPr>
                <w:rFonts w:cs="Times New Roman"/>
                <w:szCs w:val="24"/>
                <w:lang w:val="en-US"/>
              </w:rPr>
            </w:pPr>
            <w:r w:rsidRPr="0024114A">
              <w:rPr>
                <w:rFonts w:cs="Times New Roman"/>
                <w:szCs w:val="24"/>
                <w:lang w:val="en-US"/>
              </w:rPr>
              <w:t>Anticonvulsant</w:t>
            </w:r>
          </w:p>
        </w:tc>
      </w:tr>
      <w:tr w:rsidR="00C345C8" w:rsidRPr="0024114A" w14:paraId="08829FBE" w14:textId="77777777" w:rsidTr="002D6DD7">
        <w:tc>
          <w:tcPr>
            <w:tcW w:w="2605" w:type="dxa"/>
          </w:tcPr>
          <w:p w14:paraId="7B262E96"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02D6369E" w14:textId="77777777" w:rsidR="00C345C8" w:rsidRPr="0024114A" w:rsidRDefault="00C345C8" w:rsidP="002D6DD7">
            <w:pPr>
              <w:pStyle w:val="Default"/>
              <w:spacing w:line="360" w:lineRule="auto"/>
              <w:jc w:val="both"/>
              <w:rPr>
                <w:color w:val="auto"/>
                <w:lang w:val="nb-NO"/>
              </w:rPr>
            </w:pPr>
            <w:r w:rsidRPr="0024114A">
              <w:rPr>
                <w:color w:val="auto"/>
                <w:lang w:val="nb-NO"/>
              </w:rPr>
              <w:t>Tablet: 25 mg, 50 mg, 100 mg, 200 mg.</w:t>
            </w:r>
          </w:p>
          <w:p w14:paraId="6EFA0444" w14:textId="77777777" w:rsidR="00C345C8" w:rsidRPr="0024114A" w:rsidRDefault="00C345C8" w:rsidP="002D6DD7">
            <w:pPr>
              <w:pStyle w:val="Default"/>
              <w:spacing w:line="360" w:lineRule="auto"/>
              <w:jc w:val="both"/>
              <w:rPr>
                <w:color w:val="auto"/>
              </w:rPr>
            </w:pPr>
            <w:r w:rsidRPr="0024114A">
              <w:rPr>
                <w:color w:val="auto"/>
              </w:rPr>
              <w:t>Tablet (chewable, dispersible): 2 mg, 5 mg, 25 mg, 50 mg, 100 mg, 200mg</w:t>
            </w:r>
          </w:p>
        </w:tc>
      </w:tr>
      <w:tr w:rsidR="00C345C8" w:rsidRPr="0024114A" w14:paraId="25ED7C77" w14:textId="77777777" w:rsidTr="002D6DD7">
        <w:tc>
          <w:tcPr>
            <w:tcW w:w="2605" w:type="dxa"/>
          </w:tcPr>
          <w:p w14:paraId="1636E9F5"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53BA1CBE" w14:textId="77777777" w:rsidR="00C345C8" w:rsidRPr="0024114A" w:rsidRDefault="00C345C8" w:rsidP="002D6DD7">
            <w:pPr>
              <w:jc w:val="both"/>
              <w:rPr>
                <w:rFonts w:cs="Times New Roman"/>
                <w:szCs w:val="24"/>
                <w:lang w:val="en-US"/>
              </w:rPr>
            </w:pPr>
            <w:r w:rsidRPr="0024114A">
              <w:rPr>
                <w:rFonts w:cs="Times New Roman"/>
                <w:szCs w:val="24"/>
                <w:lang w:val="en-US"/>
              </w:rPr>
              <w:t>Focal seizure, primary or secondary generalized tonic-clonic seizure, seizures associated with Lennox Gastaut syndrome</w:t>
            </w:r>
          </w:p>
        </w:tc>
      </w:tr>
      <w:tr w:rsidR="00C345C8" w:rsidRPr="0024114A" w14:paraId="321C2AFF" w14:textId="77777777" w:rsidTr="002D6DD7">
        <w:tc>
          <w:tcPr>
            <w:tcW w:w="2605" w:type="dxa"/>
          </w:tcPr>
          <w:p w14:paraId="22CCBA19"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230C14E5" w14:textId="77777777" w:rsidR="00C345C8" w:rsidRPr="0024114A" w:rsidRDefault="00C345C8" w:rsidP="002D6DD7">
            <w:pPr>
              <w:pStyle w:val="Default"/>
              <w:spacing w:line="360" w:lineRule="auto"/>
              <w:jc w:val="both"/>
              <w:rPr>
                <w:b/>
                <w:color w:val="auto"/>
              </w:rPr>
            </w:pPr>
            <w:r w:rsidRPr="0024114A">
              <w:rPr>
                <w:b/>
                <w:color w:val="auto"/>
              </w:rPr>
              <w:t>Generalized tonic-clonic seizure, focal seizure</w:t>
            </w:r>
            <w:r w:rsidRPr="0024114A">
              <w:rPr>
                <w:color w:val="auto"/>
              </w:rPr>
              <w:t xml:space="preserve">, </w:t>
            </w:r>
            <w:r w:rsidRPr="0024114A">
              <w:rPr>
                <w:b/>
                <w:color w:val="auto"/>
              </w:rPr>
              <w:t>seizures associated with Lennox Gastaut syndrome:</w:t>
            </w:r>
          </w:p>
          <w:p w14:paraId="218A576E" w14:textId="77777777" w:rsidR="00C345C8" w:rsidRPr="0024114A" w:rsidRDefault="00C345C8" w:rsidP="002D6DD7">
            <w:pPr>
              <w:pStyle w:val="Default"/>
              <w:spacing w:line="360" w:lineRule="auto"/>
              <w:jc w:val="both"/>
              <w:rPr>
                <w:color w:val="auto"/>
              </w:rPr>
            </w:pPr>
            <w:r w:rsidRPr="0024114A">
              <w:rPr>
                <w:b/>
                <w:color w:val="auto"/>
              </w:rPr>
              <w:t>Adult</w:t>
            </w:r>
            <w:r w:rsidRPr="0024114A">
              <w:rPr>
                <w:color w:val="auto"/>
              </w:rPr>
              <w:t>: Initially 25 mg once daily for 14 days, then increased to 50 mg once daily for further 14 days, then increased in steps of up to 100 mg every 7–14 days; maintenance 100–200 mg daily in 1–2 divided doses; increased, if necessary, up to 500 mg daily, dose titration should be repeated if restarting after interval of more than 5 days.</w:t>
            </w:r>
          </w:p>
          <w:p w14:paraId="5348E051" w14:textId="77777777" w:rsidR="00C345C8" w:rsidRPr="0024114A" w:rsidRDefault="00C345C8" w:rsidP="002D6DD7">
            <w:pPr>
              <w:pStyle w:val="Default"/>
              <w:spacing w:line="360" w:lineRule="auto"/>
              <w:jc w:val="both"/>
              <w:rPr>
                <w:b/>
                <w:color w:val="auto"/>
              </w:rPr>
            </w:pPr>
            <w:r w:rsidRPr="0024114A">
              <w:rPr>
                <w:b/>
                <w:color w:val="auto"/>
              </w:rPr>
              <w:lastRenderedPageBreak/>
              <w:t>For use as adjunctive therapy for treatment-resistant partial or generalized seizures, focal seizures with valproate, primary and secondary generalized tonic-clonic seizures with valproate, seizures associated with Lennox Gastaut syndrome with valproate:</w:t>
            </w:r>
          </w:p>
          <w:p w14:paraId="2DD25699" w14:textId="77777777" w:rsidR="00C345C8" w:rsidRPr="0024114A" w:rsidRDefault="00C345C8" w:rsidP="002D6DD7">
            <w:pPr>
              <w:pStyle w:val="Default"/>
              <w:spacing w:line="360" w:lineRule="auto"/>
              <w:jc w:val="both"/>
              <w:rPr>
                <w:color w:val="auto"/>
              </w:rPr>
            </w:pPr>
            <w:r w:rsidRPr="0024114A">
              <w:rPr>
                <w:b/>
                <w:color w:val="auto"/>
              </w:rPr>
              <w:t>Child 2–11 years (body-weight up to 13 kg):</w:t>
            </w:r>
            <w:r w:rsidRPr="0024114A">
              <w:rPr>
                <w:color w:val="auto"/>
              </w:rPr>
              <w:t xml:space="preserve"> Initially 2 mg once daily on alternate days for first 14 days, then 300 mcg/kg once daily for further 14 days, then increased in steps of up to 300 mcg/kg every 7–14 days; maintenance1–5mg/kg daily in 1–2 divided doses, dose titration should be repeated if restarting after interval of more than 5 days; maximum 200 mg per day.</w:t>
            </w:r>
          </w:p>
          <w:p w14:paraId="7950F6E2" w14:textId="77777777" w:rsidR="00C345C8" w:rsidRPr="0024114A" w:rsidRDefault="00C345C8" w:rsidP="002D6DD7">
            <w:pPr>
              <w:pStyle w:val="Default"/>
              <w:spacing w:line="360" w:lineRule="auto"/>
              <w:jc w:val="both"/>
              <w:rPr>
                <w:color w:val="auto"/>
              </w:rPr>
            </w:pPr>
            <w:r w:rsidRPr="0024114A">
              <w:rPr>
                <w:b/>
                <w:color w:val="auto"/>
              </w:rPr>
              <w:t>Child 2–11 years (body-weight 13 kg and above):</w:t>
            </w:r>
            <w:r w:rsidRPr="0024114A">
              <w:rPr>
                <w:color w:val="auto"/>
              </w:rPr>
              <w:t xml:space="preserve"> Initially 150 mcg/kg once daily for 14 days, then 300 mcg/kg once daily for further 14 days, thenincreased in steps of up to 300 mcg/kg every 7–14 days; maintenance1–5mg/kg daily in 1–2 divided doses; dose titration should be repeated if continued.</w:t>
            </w:r>
          </w:p>
        </w:tc>
      </w:tr>
      <w:tr w:rsidR="00C345C8" w:rsidRPr="0024114A" w14:paraId="4244FA6F" w14:textId="77777777" w:rsidTr="002D6DD7">
        <w:tc>
          <w:tcPr>
            <w:tcW w:w="2605" w:type="dxa"/>
          </w:tcPr>
          <w:p w14:paraId="7DAA4BE1"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092DEF60"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w:t>
            </w:r>
          </w:p>
        </w:tc>
      </w:tr>
      <w:tr w:rsidR="00C345C8" w:rsidRPr="0024114A" w14:paraId="74F988A9" w14:textId="77777777" w:rsidTr="002D6DD7">
        <w:tc>
          <w:tcPr>
            <w:tcW w:w="2605" w:type="dxa"/>
          </w:tcPr>
          <w:p w14:paraId="6B4855E1"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5113859C" w14:textId="77777777" w:rsidR="00C345C8" w:rsidRPr="0024114A" w:rsidRDefault="00C345C8" w:rsidP="002D6DD7">
            <w:pPr>
              <w:jc w:val="both"/>
              <w:rPr>
                <w:rFonts w:cs="Times New Roman"/>
                <w:szCs w:val="24"/>
                <w:lang w:val="en-US"/>
              </w:rPr>
            </w:pPr>
            <w:r w:rsidRPr="0024114A">
              <w:rPr>
                <w:rFonts w:cs="Times New Roman"/>
                <w:szCs w:val="24"/>
                <w:lang w:val="en-US"/>
              </w:rPr>
              <w:t>Antidepressant, antiepileptics, antimalarials, barbiturates, oral contraceptives, paracetamol, ritonavir, and desmopressin.</w:t>
            </w:r>
          </w:p>
        </w:tc>
      </w:tr>
      <w:tr w:rsidR="00C345C8" w:rsidRPr="0024114A" w14:paraId="37B06574" w14:textId="77777777" w:rsidTr="002D6DD7">
        <w:tc>
          <w:tcPr>
            <w:tcW w:w="2605" w:type="dxa"/>
          </w:tcPr>
          <w:p w14:paraId="23FCB72E"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310C15E3" w14:textId="77777777" w:rsidR="00C345C8" w:rsidRPr="0024114A" w:rsidRDefault="00C345C8" w:rsidP="002D6DD7">
            <w:pPr>
              <w:jc w:val="both"/>
              <w:rPr>
                <w:rFonts w:cs="Times New Roman"/>
                <w:szCs w:val="24"/>
                <w:lang w:val="en-US"/>
              </w:rPr>
            </w:pPr>
            <w:r w:rsidRPr="0024114A">
              <w:rPr>
                <w:rFonts w:cs="Times New Roman"/>
                <w:szCs w:val="24"/>
                <w:lang w:val="en-US"/>
              </w:rPr>
              <w:t>Aggression, agitation, arthralgia, diarrhea, dizziness, drowsiness, dry mouth, fatigue, headache, irritability, nausea, pain, rash, sleep disorders, diplopia, ataxia, blurred vision, rhinitis, somnolence</w:t>
            </w:r>
          </w:p>
        </w:tc>
      </w:tr>
      <w:tr w:rsidR="00C345C8" w:rsidRPr="0024114A" w14:paraId="7386922B" w14:textId="77777777" w:rsidTr="002D6DD7">
        <w:tc>
          <w:tcPr>
            <w:tcW w:w="2605" w:type="dxa"/>
          </w:tcPr>
          <w:p w14:paraId="0530F1A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41B262D6" w14:textId="77777777" w:rsidR="00C345C8" w:rsidRPr="0024114A" w:rsidRDefault="00C345C8" w:rsidP="002D6DD7">
            <w:pPr>
              <w:jc w:val="both"/>
              <w:rPr>
                <w:rFonts w:cs="Times New Roman"/>
                <w:szCs w:val="24"/>
                <w:lang w:val="en-US"/>
              </w:rPr>
            </w:pPr>
            <w:r w:rsidRPr="0024114A">
              <w:rPr>
                <w:rFonts w:cs="Times New Roman"/>
                <w:szCs w:val="24"/>
                <w:lang w:val="en-US"/>
              </w:rPr>
              <w:t>Seizure, Parkinson’s disease, blood disorders, renal impairment, hepatic impairment, CNS depression, arrhythmia, abrutwithdrawal, risk of serious rash</w:t>
            </w:r>
          </w:p>
        </w:tc>
      </w:tr>
      <w:tr w:rsidR="00C345C8" w:rsidRPr="0024114A" w14:paraId="7013A150" w14:textId="77777777" w:rsidTr="002D6DD7">
        <w:tc>
          <w:tcPr>
            <w:tcW w:w="2605" w:type="dxa"/>
          </w:tcPr>
          <w:p w14:paraId="0CA26114"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4C72EDA5"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44F994B5" w14:textId="77777777" w:rsidTr="002D6DD7">
        <w:tc>
          <w:tcPr>
            <w:tcW w:w="9445" w:type="dxa"/>
            <w:gridSpan w:val="2"/>
          </w:tcPr>
          <w:p w14:paraId="3C207A1E" w14:textId="77777777" w:rsidR="00C345C8" w:rsidRPr="0024114A" w:rsidRDefault="00C345C8" w:rsidP="002D6DD7">
            <w:pPr>
              <w:jc w:val="both"/>
              <w:rPr>
                <w:rFonts w:cs="Times New Roman"/>
                <w:b/>
                <w:szCs w:val="24"/>
                <w:lang w:val="en-US"/>
              </w:rPr>
            </w:pPr>
            <w:r w:rsidRPr="0024114A">
              <w:rPr>
                <w:rFonts w:cs="Times New Roman"/>
                <w:b/>
                <w:szCs w:val="24"/>
              </w:rPr>
              <w:t>Levetiracetam</w:t>
            </w:r>
          </w:p>
        </w:tc>
      </w:tr>
      <w:tr w:rsidR="00C345C8" w:rsidRPr="0024114A" w14:paraId="08941DAF" w14:textId="77777777" w:rsidTr="002D6DD7">
        <w:tc>
          <w:tcPr>
            <w:tcW w:w="2605" w:type="dxa"/>
          </w:tcPr>
          <w:p w14:paraId="35CACC5B"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400E886A" w14:textId="77777777" w:rsidR="00C345C8" w:rsidRPr="0024114A" w:rsidRDefault="00C345C8" w:rsidP="002D6DD7">
            <w:pPr>
              <w:jc w:val="both"/>
              <w:rPr>
                <w:rFonts w:cs="Times New Roman"/>
                <w:szCs w:val="24"/>
                <w:lang w:val="en-US"/>
              </w:rPr>
            </w:pPr>
            <w:r w:rsidRPr="0024114A">
              <w:rPr>
                <w:rFonts w:cs="Times New Roman"/>
                <w:szCs w:val="24"/>
                <w:lang w:val="en-US"/>
              </w:rPr>
              <w:t>Anticonvulsant</w:t>
            </w:r>
          </w:p>
        </w:tc>
      </w:tr>
      <w:tr w:rsidR="00C345C8" w:rsidRPr="0024114A" w14:paraId="7D9AEA97" w14:textId="77777777" w:rsidTr="002D6DD7">
        <w:tc>
          <w:tcPr>
            <w:tcW w:w="2605" w:type="dxa"/>
          </w:tcPr>
          <w:p w14:paraId="35436784"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75E6FB7B" w14:textId="77777777" w:rsidR="00C345C8" w:rsidRPr="0024114A" w:rsidRDefault="00C345C8" w:rsidP="002D6DD7">
            <w:pPr>
              <w:pStyle w:val="Default"/>
              <w:spacing w:line="360" w:lineRule="auto"/>
              <w:jc w:val="both"/>
              <w:rPr>
                <w:color w:val="auto"/>
                <w:lang w:val="sv-SE"/>
              </w:rPr>
            </w:pPr>
            <w:r w:rsidRPr="00106B03">
              <w:rPr>
                <w:color w:val="auto"/>
                <w:lang w:val="sv-SE"/>
              </w:rPr>
              <w:t xml:space="preserve">Oral </w:t>
            </w:r>
            <w:r w:rsidRPr="0024114A">
              <w:rPr>
                <w:color w:val="auto"/>
                <w:lang w:val="sv-SE"/>
              </w:rPr>
              <w:t>solution: 100 mg/ml</w:t>
            </w:r>
          </w:p>
          <w:p w14:paraId="394A974B" w14:textId="77777777" w:rsidR="00C345C8" w:rsidRPr="0024114A" w:rsidRDefault="00C345C8" w:rsidP="002D6DD7">
            <w:pPr>
              <w:pStyle w:val="Default"/>
              <w:spacing w:line="360" w:lineRule="auto"/>
              <w:jc w:val="both"/>
              <w:rPr>
                <w:color w:val="auto"/>
                <w:lang w:val="sv-SE"/>
              </w:rPr>
            </w:pPr>
            <w:r w:rsidRPr="0024114A">
              <w:rPr>
                <w:color w:val="auto"/>
                <w:lang w:val="sv-SE"/>
              </w:rPr>
              <w:t>Tablet: 250 mg, 500 mg, 750 mg, 1000 mg.</w:t>
            </w:r>
          </w:p>
        </w:tc>
      </w:tr>
      <w:tr w:rsidR="00C345C8" w:rsidRPr="0024114A" w14:paraId="1DAD917F" w14:textId="77777777" w:rsidTr="002D6DD7">
        <w:tc>
          <w:tcPr>
            <w:tcW w:w="2605" w:type="dxa"/>
          </w:tcPr>
          <w:p w14:paraId="3B269499"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521F813B"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 xml:space="preserve">Monotherapy of focal seizures with or without secondary </w:t>
            </w:r>
            <w:r w:rsidRPr="0024114A">
              <w:rPr>
                <w:rFonts w:cs="Times New Roman"/>
                <w:szCs w:val="24"/>
                <w:lang w:val="en-US"/>
              </w:rPr>
              <w:lastRenderedPageBreak/>
              <w:t>generalization, adjunctive therapy of focal seizures with or without secondary generalization</w:t>
            </w:r>
          </w:p>
        </w:tc>
      </w:tr>
      <w:tr w:rsidR="00C345C8" w:rsidRPr="0024114A" w14:paraId="102CE7D5" w14:textId="77777777" w:rsidTr="002D6DD7">
        <w:tc>
          <w:tcPr>
            <w:tcW w:w="2605" w:type="dxa"/>
          </w:tcPr>
          <w:p w14:paraId="26B37F8B"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lastRenderedPageBreak/>
              <w:t>Dose and administration</w:t>
            </w:r>
          </w:p>
        </w:tc>
        <w:tc>
          <w:tcPr>
            <w:tcW w:w="6840" w:type="dxa"/>
          </w:tcPr>
          <w:p w14:paraId="4F30B922"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 xml:space="preserve">Monotherapy of focal seizures with or without secondary generalization, by oral route: </w:t>
            </w:r>
          </w:p>
          <w:p w14:paraId="1B3B2BB0"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Adult</w:t>
            </w:r>
            <w:r w:rsidRPr="0024114A">
              <w:rPr>
                <w:rFonts w:cs="Times New Roman"/>
                <w:szCs w:val="24"/>
                <w:lang w:val="en-US"/>
              </w:rPr>
              <w:t>: Initially 250 mg once daily for 1–2 weeks, then increased to 250 mg twice daily, then increased in steps of 250 mg twice daily (max. per dose 1.5 g twice daily), adjusted according to response, dose to be increased every 2 weeks.</w:t>
            </w:r>
          </w:p>
          <w:p w14:paraId="4807CCB7" w14:textId="77777777" w:rsidR="00C345C8" w:rsidRPr="0024114A" w:rsidRDefault="00C345C8" w:rsidP="002D6DD7">
            <w:pPr>
              <w:autoSpaceDE w:val="0"/>
              <w:autoSpaceDN w:val="0"/>
              <w:adjustRightInd w:val="0"/>
              <w:jc w:val="both"/>
              <w:rPr>
                <w:rFonts w:cs="Times New Roman"/>
                <w:b/>
                <w:szCs w:val="24"/>
                <w:lang w:val="en-US"/>
              </w:rPr>
            </w:pPr>
            <w:r w:rsidRPr="0024114A">
              <w:rPr>
                <w:rFonts w:cs="Times New Roman"/>
                <w:b/>
                <w:szCs w:val="24"/>
                <w:lang w:val="en-US"/>
              </w:rPr>
              <w:t>Adjunctive therapy of focal seizures with or without secondary generalization:</w:t>
            </w:r>
          </w:p>
          <w:p w14:paraId="6E4550C9"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Adult</w:t>
            </w:r>
            <w:r w:rsidRPr="0024114A">
              <w:rPr>
                <w:rFonts w:cs="Times New Roman"/>
                <w:szCs w:val="24"/>
                <w:lang w:val="en-US"/>
              </w:rPr>
              <w:t>: Initially 250 mg twice daily, then increased in steps of 500 mg twice daily (max. per dose 1.5 g twice daily), dose to be increased every 2–4 weeks.</w:t>
            </w:r>
          </w:p>
          <w:p w14:paraId="743913B8"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Child</w:t>
            </w:r>
            <w:r w:rsidRPr="0024114A">
              <w:rPr>
                <w:rFonts w:cs="Times New Roman"/>
                <w:b/>
                <w:bCs/>
                <w:szCs w:val="24"/>
                <w:lang w:val="en-US"/>
              </w:rPr>
              <w:t>1–5 months</w:t>
            </w:r>
            <w:r w:rsidRPr="0024114A">
              <w:rPr>
                <w:rFonts w:cs="Times New Roman"/>
                <w:szCs w:val="24"/>
                <w:lang w:val="en-US"/>
              </w:rPr>
              <w:t>: Initially 7 mg/kg once daily, then increased in steps of up to 7 mg/kg twice daily (max. per dose 21 mg/kg twice daily), dose to be increased every 2 weeks.</w:t>
            </w:r>
          </w:p>
          <w:p w14:paraId="4CB67ED7"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Child 6 months–17 years (body-weight up to 50 kg)</w:t>
            </w:r>
            <w:r w:rsidRPr="0024114A">
              <w:rPr>
                <w:rFonts w:cs="Times New Roman"/>
                <w:bCs/>
                <w:szCs w:val="24"/>
                <w:lang w:val="en-US"/>
              </w:rPr>
              <w:t>:</w:t>
            </w:r>
            <w:r w:rsidRPr="0024114A">
              <w:rPr>
                <w:rFonts w:cs="Times New Roman"/>
                <w:szCs w:val="24"/>
                <w:lang w:val="en-US"/>
              </w:rPr>
              <w:t xml:space="preserve"> Initially 10 mg/kg once daily, then increased in steps of up to 10 mg/kg twice daily (max. per dose 30 mg/kg twice daily), dose to be increased every 2 weeks.</w:t>
            </w:r>
          </w:p>
        </w:tc>
      </w:tr>
      <w:tr w:rsidR="00C345C8" w:rsidRPr="0024114A" w14:paraId="3F6AEE50" w14:textId="77777777" w:rsidTr="002D6DD7">
        <w:tc>
          <w:tcPr>
            <w:tcW w:w="2605" w:type="dxa"/>
          </w:tcPr>
          <w:p w14:paraId="25C6952C"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4E5574B4" w14:textId="77777777" w:rsidR="00C345C8" w:rsidRPr="0024114A" w:rsidRDefault="00C345C8" w:rsidP="002D6DD7">
            <w:pPr>
              <w:jc w:val="both"/>
              <w:rPr>
                <w:rFonts w:cs="Times New Roman"/>
                <w:szCs w:val="24"/>
                <w:lang w:val="en-US"/>
              </w:rPr>
            </w:pPr>
            <w:r w:rsidRPr="0024114A">
              <w:rPr>
                <w:rFonts w:cs="Times New Roman"/>
                <w:szCs w:val="24"/>
                <w:shd w:val="clear" w:color="auto" w:fill="FFFFFF"/>
                <w:lang w:val="en-US"/>
              </w:rPr>
              <w:t>Hypersensitivity to the drug</w:t>
            </w:r>
          </w:p>
        </w:tc>
      </w:tr>
      <w:tr w:rsidR="00C345C8" w:rsidRPr="0024114A" w14:paraId="2591DFA0" w14:textId="77777777" w:rsidTr="002D6DD7">
        <w:tc>
          <w:tcPr>
            <w:tcW w:w="2605" w:type="dxa"/>
          </w:tcPr>
          <w:p w14:paraId="04455380"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72A10035" w14:textId="77777777" w:rsidR="00C345C8" w:rsidRPr="0024114A" w:rsidRDefault="00C345C8" w:rsidP="002D6DD7">
            <w:pPr>
              <w:jc w:val="both"/>
              <w:rPr>
                <w:rFonts w:cs="Times New Roman"/>
                <w:szCs w:val="24"/>
                <w:lang w:val="en-US"/>
              </w:rPr>
            </w:pPr>
            <w:r w:rsidRPr="0024114A">
              <w:rPr>
                <w:rFonts w:cs="Times New Roman"/>
                <w:szCs w:val="24"/>
                <w:lang w:val="en-US"/>
              </w:rPr>
              <w:t>Methotrexate, codeine</w:t>
            </w:r>
          </w:p>
        </w:tc>
      </w:tr>
      <w:tr w:rsidR="00C345C8" w:rsidRPr="0024114A" w14:paraId="736D3484" w14:textId="77777777" w:rsidTr="002D6DD7">
        <w:tc>
          <w:tcPr>
            <w:tcW w:w="2605" w:type="dxa"/>
          </w:tcPr>
          <w:p w14:paraId="683CC607"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7E85F0A0"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 xml:space="preserve">Anxiety, decreased appetite, asthenia, abnormal behavior, cough,depression, diarrhea, dizziness, drowsiness, GI discomfort, headache, increased risk of infection, insomnia, mood altered, movement disorders, nausea, skin reactions, vertigo, vomiting, alopecia, impaired concentration, confusion, hallucination, leukopenia, muscle weakness, myalgia, paraesthesia, psychotic disorder, suicidal tendencies, thrombocytopenia, vision disorders, weight changes, acute kidney injury, agranulocytosis, hepatic disorders, hyponatremia, neutropenia, pancreatitis,pancytopenia, </w:t>
            </w:r>
            <w:r w:rsidRPr="0024114A">
              <w:rPr>
                <w:rFonts w:cs="Times New Roman"/>
                <w:szCs w:val="24"/>
                <w:lang w:val="en-US"/>
              </w:rPr>
              <w:lastRenderedPageBreak/>
              <w:t>personality disorder, rhabdomyolysis, abnormal thinking</w:t>
            </w:r>
          </w:p>
        </w:tc>
      </w:tr>
      <w:tr w:rsidR="00C345C8" w:rsidRPr="0024114A" w14:paraId="62709494" w14:textId="77777777" w:rsidTr="002D6DD7">
        <w:tc>
          <w:tcPr>
            <w:tcW w:w="2605" w:type="dxa"/>
          </w:tcPr>
          <w:p w14:paraId="3F8498AD"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840" w:type="dxa"/>
          </w:tcPr>
          <w:p w14:paraId="5CE1EDE7"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Abrupt discontinuation, renal impairment, hepatic impairment, elderly, driving or operating machinery, risk of suicidal thoughts or behaviors, pregnancy, lactation</w:t>
            </w:r>
          </w:p>
        </w:tc>
      </w:tr>
      <w:tr w:rsidR="00C345C8" w:rsidRPr="0024114A" w14:paraId="439199BB" w14:textId="77777777" w:rsidTr="002D6DD7">
        <w:tc>
          <w:tcPr>
            <w:tcW w:w="2605" w:type="dxa"/>
          </w:tcPr>
          <w:p w14:paraId="1400CD8E"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7DDA879D" w14:textId="77777777" w:rsidR="00C345C8" w:rsidRPr="0024114A" w:rsidRDefault="00C345C8" w:rsidP="003D3F76">
            <w:pPr>
              <w:numPr>
                <w:ilvl w:val="0"/>
                <w:numId w:val="1"/>
              </w:numPr>
              <w:shd w:val="clear" w:color="auto" w:fill="FFFFFF"/>
              <w:ind w:left="0"/>
              <w:jc w:val="both"/>
              <w:rPr>
                <w:rFonts w:eastAsia="Times New Roman" w:cs="Times New Roman"/>
                <w:szCs w:val="24"/>
                <w:lang w:val="en-US"/>
              </w:rPr>
            </w:pPr>
            <w:r w:rsidRPr="0024114A">
              <w:rPr>
                <w:rFonts w:cs="Times New Roman"/>
                <w:szCs w:val="24"/>
                <w:lang w:val="en-US"/>
              </w:rPr>
              <w:t>Store below 30°C.</w:t>
            </w:r>
          </w:p>
        </w:tc>
      </w:tr>
      <w:tr w:rsidR="00C345C8" w:rsidRPr="0024114A" w14:paraId="3C1EA4B5" w14:textId="77777777" w:rsidTr="002D6DD7">
        <w:tc>
          <w:tcPr>
            <w:tcW w:w="9445" w:type="dxa"/>
            <w:gridSpan w:val="2"/>
          </w:tcPr>
          <w:p w14:paraId="43C372F9" w14:textId="77777777" w:rsidR="00C345C8" w:rsidRPr="0024114A" w:rsidRDefault="00C345C8" w:rsidP="002D6DD7">
            <w:pPr>
              <w:jc w:val="both"/>
              <w:rPr>
                <w:rFonts w:cs="Times New Roman"/>
                <w:b/>
                <w:szCs w:val="24"/>
                <w:lang w:val="en-US"/>
              </w:rPr>
            </w:pPr>
            <w:r w:rsidRPr="0024114A">
              <w:rPr>
                <w:rFonts w:cs="Times New Roman"/>
                <w:b/>
                <w:szCs w:val="24"/>
              </w:rPr>
              <w:t>Lorazepam</w:t>
            </w:r>
          </w:p>
        </w:tc>
      </w:tr>
      <w:tr w:rsidR="00C345C8" w:rsidRPr="0024114A" w14:paraId="038E1D7F" w14:textId="77777777" w:rsidTr="002D6DD7">
        <w:tc>
          <w:tcPr>
            <w:tcW w:w="2605" w:type="dxa"/>
          </w:tcPr>
          <w:p w14:paraId="7EA17CF5"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1443AE9B" w14:textId="77777777" w:rsidR="00C345C8" w:rsidRPr="0024114A" w:rsidRDefault="00C345C8" w:rsidP="002D6DD7">
            <w:pPr>
              <w:jc w:val="both"/>
              <w:rPr>
                <w:rFonts w:cs="Times New Roman"/>
                <w:szCs w:val="24"/>
                <w:lang w:val="en-US"/>
              </w:rPr>
            </w:pPr>
            <w:r w:rsidRPr="0024114A">
              <w:rPr>
                <w:rFonts w:cs="Times New Roman"/>
                <w:szCs w:val="24"/>
                <w:lang w:val="en-US"/>
              </w:rPr>
              <w:t>Benzodiazepine</w:t>
            </w:r>
          </w:p>
        </w:tc>
      </w:tr>
      <w:tr w:rsidR="00C345C8" w:rsidRPr="0024114A" w14:paraId="40A199AC" w14:textId="77777777" w:rsidTr="002D6DD7">
        <w:tc>
          <w:tcPr>
            <w:tcW w:w="2605" w:type="dxa"/>
          </w:tcPr>
          <w:p w14:paraId="7E0E328D"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01B64BE1" w14:textId="77777777" w:rsidR="00C345C8" w:rsidRPr="0024114A" w:rsidRDefault="00C345C8" w:rsidP="002D6DD7">
            <w:pPr>
              <w:pStyle w:val="Default"/>
              <w:spacing w:line="360" w:lineRule="auto"/>
              <w:jc w:val="both"/>
              <w:rPr>
                <w:color w:val="auto"/>
              </w:rPr>
            </w:pPr>
            <w:r w:rsidRPr="0024114A">
              <w:rPr>
                <w:color w:val="auto"/>
              </w:rPr>
              <w:t xml:space="preserve">Tablet (sublingual): 1mg, 2mg </w:t>
            </w:r>
          </w:p>
          <w:p w14:paraId="4989A591" w14:textId="77777777" w:rsidR="00C345C8" w:rsidRPr="0024114A" w:rsidRDefault="00C345C8" w:rsidP="002D6DD7">
            <w:pPr>
              <w:pStyle w:val="Default"/>
              <w:tabs>
                <w:tab w:val="left" w:pos="2366"/>
              </w:tabs>
              <w:spacing w:line="360" w:lineRule="auto"/>
              <w:jc w:val="both"/>
              <w:rPr>
                <w:color w:val="auto"/>
              </w:rPr>
            </w:pPr>
            <w:r w:rsidRPr="0024114A">
              <w:rPr>
                <w:color w:val="auto"/>
              </w:rPr>
              <w:t>Injection: 1mg, 4mg</w:t>
            </w:r>
            <w:r w:rsidRPr="0024114A">
              <w:rPr>
                <w:color w:val="auto"/>
              </w:rPr>
              <w:tab/>
            </w:r>
          </w:p>
        </w:tc>
      </w:tr>
      <w:tr w:rsidR="00C345C8" w:rsidRPr="0024114A" w14:paraId="3B113A28" w14:textId="77777777" w:rsidTr="002D6DD7">
        <w:tc>
          <w:tcPr>
            <w:tcW w:w="2605" w:type="dxa"/>
          </w:tcPr>
          <w:p w14:paraId="12913ED8"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69249266" w14:textId="77777777" w:rsidR="00C345C8" w:rsidRPr="0024114A" w:rsidRDefault="00C345C8" w:rsidP="002D6DD7">
            <w:pPr>
              <w:jc w:val="both"/>
              <w:rPr>
                <w:rFonts w:cs="Times New Roman"/>
                <w:szCs w:val="24"/>
                <w:lang w:val="en-US"/>
              </w:rPr>
            </w:pPr>
            <w:r w:rsidRPr="0024114A">
              <w:rPr>
                <w:rFonts w:cs="Times New Roman"/>
                <w:szCs w:val="24"/>
                <w:lang w:val="en-US"/>
              </w:rPr>
              <w:t>Status epilepticus, febrile convulsions</w:t>
            </w:r>
          </w:p>
        </w:tc>
      </w:tr>
      <w:tr w:rsidR="00C345C8" w:rsidRPr="0024114A" w14:paraId="5EBF00F7" w14:textId="77777777" w:rsidTr="002D6DD7">
        <w:tc>
          <w:tcPr>
            <w:tcW w:w="2605" w:type="dxa"/>
          </w:tcPr>
          <w:p w14:paraId="1EF0E7FA"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1B001453" w14:textId="77777777" w:rsidR="00C345C8" w:rsidRPr="0024114A" w:rsidRDefault="00C345C8" w:rsidP="002D6DD7">
            <w:pPr>
              <w:pStyle w:val="Default"/>
              <w:spacing w:line="360" w:lineRule="auto"/>
              <w:jc w:val="both"/>
              <w:rPr>
                <w:bCs/>
                <w:color w:val="auto"/>
              </w:rPr>
            </w:pPr>
            <w:r w:rsidRPr="0024114A">
              <w:rPr>
                <w:b/>
                <w:bCs/>
                <w:color w:val="auto"/>
              </w:rPr>
              <w:t>Adult</w:t>
            </w:r>
            <w:r w:rsidRPr="0024114A">
              <w:rPr>
                <w:bCs/>
                <w:color w:val="auto"/>
              </w:rPr>
              <w:t>: IV, 4 mg for 1 dose, then 4 mg after 5–10 minutes if required for 1 dose, to be administered into a large vein.</w:t>
            </w:r>
          </w:p>
          <w:p w14:paraId="6D1877F6" w14:textId="77777777" w:rsidR="00C345C8" w:rsidRPr="0024114A" w:rsidRDefault="00C345C8" w:rsidP="002D6DD7">
            <w:pPr>
              <w:pStyle w:val="Default"/>
              <w:spacing w:line="360" w:lineRule="auto"/>
              <w:jc w:val="both"/>
              <w:rPr>
                <w:color w:val="auto"/>
              </w:rPr>
            </w:pPr>
            <w:r w:rsidRPr="0024114A">
              <w:rPr>
                <w:b/>
                <w:color w:val="auto"/>
              </w:rPr>
              <w:t>Child 1 month–11 years</w:t>
            </w:r>
            <w:r w:rsidRPr="0024114A">
              <w:rPr>
                <w:bCs/>
                <w:color w:val="auto"/>
              </w:rPr>
              <w:t xml:space="preserve">: IV,100 mcg/kg (max. per dose 4 mg) for 1 dose, then 100 mcg/kg after 5–10 minutes (max. per dose 4 mg) if required for1 dose, to be administered into a large vein. </w:t>
            </w:r>
          </w:p>
        </w:tc>
      </w:tr>
      <w:tr w:rsidR="00C345C8" w:rsidRPr="0024114A" w14:paraId="048A1696" w14:textId="77777777" w:rsidTr="002D6DD7">
        <w:tc>
          <w:tcPr>
            <w:tcW w:w="2605" w:type="dxa"/>
          </w:tcPr>
          <w:p w14:paraId="6094F372"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4D4C55F2"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or other benzodiapenes, respiratory depression, acute pulmonary insufficiency, sleep apnoea syndrome, severe hepatic impairment, myasthenia gravis, phobic or obsessional states, depression or anxiety with depression, acute narrow-angle glaucoma</w:t>
            </w:r>
          </w:p>
        </w:tc>
      </w:tr>
      <w:tr w:rsidR="00C345C8" w:rsidRPr="0024114A" w14:paraId="59C49DD9" w14:textId="77777777" w:rsidTr="002D6DD7">
        <w:tc>
          <w:tcPr>
            <w:tcW w:w="2605" w:type="dxa"/>
          </w:tcPr>
          <w:p w14:paraId="40911AA9"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19B898A4" w14:textId="77777777" w:rsidR="00C345C8" w:rsidRPr="0024114A" w:rsidRDefault="00C345C8" w:rsidP="002D6DD7">
            <w:pPr>
              <w:jc w:val="both"/>
              <w:rPr>
                <w:rFonts w:cs="Times New Roman"/>
                <w:szCs w:val="24"/>
                <w:lang w:val="en-US"/>
              </w:rPr>
            </w:pPr>
            <w:r w:rsidRPr="0024114A">
              <w:rPr>
                <w:rFonts w:cs="Times New Roman"/>
                <w:szCs w:val="24"/>
                <w:lang w:val="en-US"/>
              </w:rPr>
              <w:t>Alcuronium, vecuronium, nifedipine, IV magnesium sulphate, suxamethonium, metronidazole, theophylline, valproic acid, clozapine, alcohol or central nervous system depressants, oral contraceptives, rifampicin, digoxin</w:t>
            </w:r>
          </w:p>
        </w:tc>
      </w:tr>
      <w:tr w:rsidR="00C345C8" w:rsidRPr="0024114A" w14:paraId="46556A36" w14:textId="77777777" w:rsidTr="002D6DD7">
        <w:tc>
          <w:tcPr>
            <w:tcW w:w="2605" w:type="dxa"/>
          </w:tcPr>
          <w:p w14:paraId="66E8789A"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7F67A5ED" w14:textId="77777777" w:rsidR="00C345C8" w:rsidRPr="0024114A" w:rsidRDefault="00C345C8" w:rsidP="002D6DD7">
            <w:pPr>
              <w:jc w:val="both"/>
              <w:rPr>
                <w:rFonts w:cs="Times New Roman"/>
                <w:szCs w:val="24"/>
                <w:lang w:val="en-US"/>
              </w:rPr>
            </w:pPr>
            <w:r w:rsidRPr="0024114A">
              <w:rPr>
                <w:rFonts w:cs="Times New Roman"/>
                <w:szCs w:val="24"/>
                <w:lang w:val="en-US"/>
              </w:rPr>
              <w:t>Fatigue, hypotension, ataxia, respiratory depression, sedation, confusion, depression, headache, nausea, tremor, urinary retention, vertigo, withdrawal syndrome, bradycardia, dependence or abuse, anterograde amnesia, propylene glycol toxicity</w:t>
            </w:r>
          </w:p>
        </w:tc>
      </w:tr>
      <w:tr w:rsidR="00C345C8" w:rsidRPr="0024114A" w14:paraId="4A1BB9FC" w14:textId="77777777" w:rsidTr="002D6DD7">
        <w:tc>
          <w:tcPr>
            <w:tcW w:w="2605" w:type="dxa"/>
          </w:tcPr>
          <w:p w14:paraId="55D86FD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6B482762"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Muscle weakness, organic brain changes, renal impairment, breast feeding, hepatic impairment, primary depressive disorder or </w:t>
            </w:r>
            <w:r w:rsidRPr="0024114A">
              <w:rPr>
                <w:rFonts w:cs="Times New Roman"/>
                <w:szCs w:val="24"/>
                <w:lang w:val="en-US"/>
              </w:rPr>
              <w:lastRenderedPageBreak/>
              <w:t xml:space="preserve">psychosis. </w:t>
            </w:r>
          </w:p>
        </w:tc>
      </w:tr>
      <w:tr w:rsidR="00C345C8" w:rsidRPr="0024114A" w14:paraId="5528A2B4" w14:textId="77777777" w:rsidTr="002D6DD7">
        <w:tc>
          <w:tcPr>
            <w:tcW w:w="2605" w:type="dxa"/>
          </w:tcPr>
          <w:p w14:paraId="24BADB3B"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Storage condition</w:t>
            </w:r>
          </w:p>
        </w:tc>
        <w:tc>
          <w:tcPr>
            <w:tcW w:w="6840" w:type="dxa"/>
          </w:tcPr>
          <w:p w14:paraId="2F792261"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1B832C11" w14:textId="77777777" w:rsidTr="002D6DD7">
        <w:tc>
          <w:tcPr>
            <w:tcW w:w="9445" w:type="dxa"/>
            <w:gridSpan w:val="2"/>
          </w:tcPr>
          <w:p w14:paraId="12F6A777" w14:textId="77777777" w:rsidR="00C345C8" w:rsidRPr="0024114A" w:rsidRDefault="00C345C8" w:rsidP="002D6DD7">
            <w:pPr>
              <w:jc w:val="both"/>
              <w:rPr>
                <w:rFonts w:cs="Times New Roman"/>
                <w:b/>
                <w:bCs/>
                <w:szCs w:val="24"/>
                <w:lang w:val="en-US"/>
              </w:rPr>
            </w:pPr>
            <w:r w:rsidRPr="0024114A">
              <w:rPr>
                <w:rFonts w:cs="Times New Roman"/>
                <w:b/>
                <w:bCs/>
                <w:szCs w:val="24"/>
              </w:rPr>
              <w:t>Magnesium sulphate</w:t>
            </w:r>
          </w:p>
        </w:tc>
      </w:tr>
      <w:tr w:rsidR="00C345C8" w:rsidRPr="0024114A" w14:paraId="29E9B174" w14:textId="77777777" w:rsidTr="002D6DD7">
        <w:tc>
          <w:tcPr>
            <w:tcW w:w="2605" w:type="dxa"/>
          </w:tcPr>
          <w:p w14:paraId="123E459F"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7A019623"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Mineral/electrolyte, anticonvulsant </w:t>
            </w:r>
          </w:p>
        </w:tc>
      </w:tr>
      <w:tr w:rsidR="00C345C8" w:rsidRPr="0024114A" w14:paraId="60F768F2" w14:textId="77777777" w:rsidTr="002D6DD7">
        <w:tc>
          <w:tcPr>
            <w:tcW w:w="2605" w:type="dxa"/>
          </w:tcPr>
          <w:p w14:paraId="054988FC"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7118D6DA" w14:textId="77777777" w:rsidR="00C345C8" w:rsidRPr="0024114A" w:rsidRDefault="00C345C8" w:rsidP="002D6DD7">
            <w:pPr>
              <w:pStyle w:val="Default"/>
              <w:spacing w:line="360" w:lineRule="auto"/>
              <w:jc w:val="both"/>
              <w:rPr>
                <w:color w:val="auto"/>
              </w:rPr>
            </w:pPr>
            <w:r w:rsidRPr="0024114A">
              <w:rPr>
                <w:color w:val="auto"/>
              </w:rPr>
              <w:t>Injection: 0.5 g/ml in 2 ml ampoule (equivalent to 1 g in 2 ml; 50% weight/volume); 0.5 g/ml in 10 ml ampoule (equivalent to 5 g in 10 ml; 50% weight/volume</w:t>
            </w:r>
          </w:p>
        </w:tc>
      </w:tr>
      <w:tr w:rsidR="00C345C8" w:rsidRPr="0024114A" w14:paraId="06E88345" w14:textId="77777777" w:rsidTr="002D6DD7">
        <w:tc>
          <w:tcPr>
            <w:tcW w:w="2605" w:type="dxa"/>
          </w:tcPr>
          <w:p w14:paraId="0E820095"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2C5D007D" w14:textId="77777777" w:rsidR="00C345C8" w:rsidRPr="0024114A" w:rsidRDefault="00C345C8" w:rsidP="002D6DD7">
            <w:pPr>
              <w:jc w:val="both"/>
              <w:rPr>
                <w:rFonts w:cs="Times New Roman"/>
                <w:szCs w:val="24"/>
                <w:lang w:val="en-US"/>
              </w:rPr>
            </w:pPr>
            <w:r w:rsidRPr="0024114A">
              <w:rPr>
                <w:rFonts w:cs="Times New Roman"/>
                <w:szCs w:val="24"/>
                <w:lang w:val="en-US"/>
              </w:rPr>
              <w:t>Prevention and treatment of recurrent seizures in eclampsia, as seizure prophylaxis in severe pre-eclampsia</w:t>
            </w:r>
          </w:p>
        </w:tc>
      </w:tr>
      <w:tr w:rsidR="00C345C8" w:rsidRPr="0024114A" w14:paraId="6978FF63" w14:textId="77777777" w:rsidTr="002D6DD7">
        <w:tc>
          <w:tcPr>
            <w:tcW w:w="2605" w:type="dxa"/>
          </w:tcPr>
          <w:p w14:paraId="2100A8F6"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315EB65E" w14:textId="77777777" w:rsidR="00C345C8" w:rsidRPr="0024114A" w:rsidRDefault="00C345C8" w:rsidP="002D6DD7">
            <w:pPr>
              <w:pStyle w:val="Default"/>
              <w:spacing w:line="360" w:lineRule="auto"/>
              <w:jc w:val="both"/>
              <w:rPr>
                <w:iCs/>
                <w:color w:val="auto"/>
              </w:rPr>
            </w:pPr>
            <w:r w:rsidRPr="0024114A">
              <w:rPr>
                <w:b/>
                <w:iCs/>
                <w:color w:val="auto"/>
              </w:rPr>
              <w:t>Adult:</w:t>
            </w:r>
            <w:r w:rsidRPr="0024114A">
              <w:rPr>
                <w:iCs/>
                <w:color w:val="auto"/>
              </w:rPr>
              <w:t xml:space="preserve"> Initially 4 g, to be given over 5–15 minutes, followed by (by IV infusion) 1 g/hour for 24 hours, if seizure occurs, give an additional dose of2-4 g by IV injection over 5–15 minutes.</w:t>
            </w:r>
          </w:p>
          <w:p w14:paraId="1986F530" w14:textId="77777777" w:rsidR="00C345C8" w:rsidRPr="0024114A" w:rsidRDefault="00C345C8" w:rsidP="002D6DD7">
            <w:pPr>
              <w:pStyle w:val="Default"/>
              <w:spacing w:line="360" w:lineRule="auto"/>
              <w:jc w:val="both"/>
              <w:rPr>
                <w:color w:val="auto"/>
              </w:rPr>
            </w:pPr>
            <w:r w:rsidRPr="0024114A">
              <w:rPr>
                <w:b/>
                <w:color w:val="auto"/>
              </w:rPr>
              <w:t>Dilution and administration</w:t>
            </w:r>
            <w:r w:rsidRPr="0024114A">
              <w:rPr>
                <w:color w:val="auto"/>
              </w:rPr>
              <w:t>: For IV injection, the concentration of magnesium sulphate should not exceed 20% (dilute 1 part of magnesium sulphate injection, 50%, with at least 1.5 parts of water for injection), for IM injection, mix magnesium sulphate injection, 50%, with 1 ml lidocaine injection, 2%.</w:t>
            </w:r>
          </w:p>
        </w:tc>
      </w:tr>
      <w:tr w:rsidR="00C345C8" w:rsidRPr="0024114A" w14:paraId="32610E1D" w14:textId="77777777" w:rsidTr="002D6DD7">
        <w:tc>
          <w:tcPr>
            <w:tcW w:w="2605" w:type="dxa"/>
          </w:tcPr>
          <w:p w14:paraId="61EA67B5"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7899766C"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myocardial damage, diabetic coma, heart block, hypermagnesemia, hypercalcemia, severe renal impairment.</w:t>
            </w:r>
          </w:p>
        </w:tc>
      </w:tr>
      <w:tr w:rsidR="00C345C8" w:rsidRPr="0024114A" w14:paraId="1590D09E" w14:textId="77777777" w:rsidTr="002D6DD7">
        <w:tc>
          <w:tcPr>
            <w:tcW w:w="2605" w:type="dxa"/>
          </w:tcPr>
          <w:p w14:paraId="50673232"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21FD82D4" w14:textId="77777777" w:rsidR="00C345C8" w:rsidRPr="0024114A" w:rsidRDefault="00C345C8" w:rsidP="002D6DD7">
            <w:pPr>
              <w:jc w:val="both"/>
              <w:rPr>
                <w:rFonts w:cs="Times New Roman"/>
                <w:szCs w:val="24"/>
                <w:lang w:val="en-US"/>
              </w:rPr>
            </w:pPr>
            <w:r w:rsidRPr="0024114A">
              <w:rPr>
                <w:rFonts w:cs="Times New Roman"/>
                <w:szCs w:val="24"/>
                <w:lang w:val="en-US"/>
              </w:rPr>
              <w:t>Nifedipine, suxamethonium, vecuronium, dolutegravir, alphacalcidole, bisphononates, gapapentin, levothyroxine, phosphate supplements, tetracyclines, quinolones.</w:t>
            </w:r>
          </w:p>
        </w:tc>
      </w:tr>
      <w:tr w:rsidR="00C345C8" w:rsidRPr="0024114A" w14:paraId="012319A7" w14:textId="77777777" w:rsidTr="002D6DD7">
        <w:tc>
          <w:tcPr>
            <w:tcW w:w="2605" w:type="dxa"/>
          </w:tcPr>
          <w:p w14:paraId="6F9FE974"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64CBFFD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Hypermagnesemia, nausea, vomiting, thirst, flushing of skin, hypotension, arrhythmias, respiratory depression, drowsiness, confusion, less of tendon reflexes, muscle weakness, coma </w:t>
            </w:r>
          </w:p>
        </w:tc>
      </w:tr>
      <w:tr w:rsidR="00C345C8" w:rsidRPr="0024114A" w14:paraId="4552F04F" w14:textId="77777777" w:rsidTr="002D6DD7">
        <w:tc>
          <w:tcPr>
            <w:tcW w:w="2605" w:type="dxa"/>
          </w:tcPr>
          <w:p w14:paraId="3A9BCBC6"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05E535F0" w14:textId="77777777" w:rsidR="00C345C8" w:rsidRPr="0024114A" w:rsidRDefault="00C345C8" w:rsidP="002D6DD7">
            <w:pPr>
              <w:jc w:val="both"/>
              <w:rPr>
                <w:rFonts w:cs="Times New Roman"/>
                <w:szCs w:val="24"/>
                <w:lang w:val="en-US"/>
              </w:rPr>
            </w:pPr>
            <w:r w:rsidRPr="0024114A">
              <w:rPr>
                <w:rFonts w:cs="Times New Roman"/>
                <w:szCs w:val="24"/>
                <w:lang w:val="en-US"/>
              </w:rPr>
              <w:t>Myasthenia gravis, hepatic impairment, renal impairment</w:t>
            </w:r>
          </w:p>
        </w:tc>
      </w:tr>
      <w:tr w:rsidR="00C345C8" w:rsidRPr="0024114A" w14:paraId="7A82127D" w14:textId="77777777" w:rsidTr="002D6DD7">
        <w:tc>
          <w:tcPr>
            <w:tcW w:w="2605" w:type="dxa"/>
          </w:tcPr>
          <w:p w14:paraId="19D9E26A"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56CFBC92"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50812DA9" w14:textId="77777777" w:rsidTr="002D6DD7">
        <w:tc>
          <w:tcPr>
            <w:tcW w:w="9445" w:type="dxa"/>
            <w:gridSpan w:val="2"/>
          </w:tcPr>
          <w:p w14:paraId="6B0C435D" w14:textId="77777777" w:rsidR="00C345C8" w:rsidRPr="0024114A" w:rsidRDefault="00C345C8" w:rsidP="002D6DD7">
            <w:pPr>
              <w:jc w:val="both"/>
              <w:rPr>
                <w:rFonts w:cs="Times New Roman"/>
                <w:b/>
                <w:bCs/>
                <w:szCs w:val="24"/>
                <w:lang w:val="en-US"/>
              </w:rPr>
            </w:pPr>
            <w:r w:rsidRPr="0024114A">
              <w:rPr>
                <w:rFonts w:cs="Times New Roman"/>
                <w:b/>
                <w:bCs/>
                <w:szCs w:val="24"/>
              </w:rPr>
              <w:t>Midazolam</w:t>
            </w:r>
          </w:p>
        </w:tc>
      </w:tr>
      <w:tr w:rsidR="00C345C8" w:rsidRPr="0024114A" w14:paraId="5A34CBE5" w14:textId="77777777" w:rsidTr="002D6DD7">
        <w:tc>
          <w:tcPr>
            <w:tcW w:w="2605" w:type="dxa"/>
          </w:tcPr>
          <w:p w14:paraId="06C1955F"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4B8C2358" w14:textId="77777777" w:rsidR="00C345C8" w:rsidRPr="0024114A" w:rsidRDefault="00C345C8" w:rsidP="002D6DD7">
            <w:pPr>
              <w:jc w:val="both"/>
              <w:rPr>
                <w:rFonts w:cs="Times New Roman"/>
                <w:szCs w:val="24"/>
                <w:lang w:val="en-US"/>
              </w:rPr>
            </w:pPr>
            <w:r w:rsidRPr="0024114A">
              <w:rPr>
                <w:rFonts w:cs="Times New Roman"/>
                <w:szCs w:val="24"/>
                <w:lang w:val="en-US"/>
              </w:rPr>
              <w:t>Benzodiazepines</w:t>
            </w:r>
          </w:p>
        </w:tc>
      </w:tr>
      <w:tr w:rsidR="00C345C8" w:rsidRPr="0024114A" w14:paraId="3D55834E" w14:textId="77777777" w:rsidTr="002D6DD7">
        <w:tc>
          <w:tcPr>
            <w:tcW w:w="2605" w:type="dxa"/>
          </w:tcPr>
          <w:p w14:paraId="367F03BB"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Dosage form</w:t>
            </w:r>
          </w:p>
        </w:tc>
        <w:tc>
          <w:tcPr>
            <w:tcW w:w="6840" w:type="dxa"/>
          </w:tcPr>
          <w:p w14:paraId="41BEFA38" w14:textId="77777777" w:rsidR="00C345C8" w:rsidRPr="0024114A" w:rsidRDefault="00C345C8" w:rsidP="002D6DD7">
            <w:pPr>
              <w:pStyle w:val="Default"/>
              <w:spacing w:line="360" w:lineRule="auto"/>
              <w:jc w:val="both"/>
              <w:rPr>
                <w:color w:val="auto"/>
              </w:rPr>
            </w:pPr>
            <w:r w:rsidRPr="0024114A">
              <w:rPr>
                <w:color w:val="auto"/>
              </w:rPr>
              <w:t>Solution for oromucosal administration: 5 mg/ml in 0.5 ml, 1 ml, 1.5 ml, 2 ml pre-filled syringe; 10 mg/ml in 0.25 ml, 0.5 ml, 0.75 ml, 1 ml pre-filled syringe.</w:t>
            </w:r>
          </w:p>
          <w:p w14:paraId="569215A7" w14:textId="77777777" w:rsidR="00C345C8" w:rsidRPr="0024114A" w:rsidRDefault="00C345C8" w:rsidP="002D6DD7">
            <w:pPr>
              <w:pStyle w:val="Default"/>
              <w:spacing w:line="360" w:lineRule="auto"/>
              <w:jc w:val="both"/>
              <w:rPr>
                <w:color w:val="auto"/>
              </w:rPr>
            </w:pPr>
            <w:r w:rsidRPr="0024114A">
              <w:rPr>
                <w:color w:val="auto"/>
              </w:rPr>
              <w:t>Injection: 1 mg/ml in 5 ml vial; 5 mg/ml in 1 ml or 3 mlvial</w:t>
            </w:r>
          </w:p>
        </w:tc>
      </w:tr>
      <w:tr w:rsidR="00C345C8" w:rsidRPr="0024114A" w14:paraId="7B53D801" w14:textId="77777777" w:rsidTr="002D6DD7">
        <w:tc>
          <w:tcPr>
            <w:tcW w:w="2605" w:type="dxa"/>
          </w:tcPr>
          <w:p w14:paraId="149B26CC"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1F2C2353"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Status epilepticus, febrile convulsions, convulsions in palliative care.</w:t>
            </w:r>
          </w:p>
        </w:tc>
      </w:tr>
      <w:tr w:rsidR="00C345C8" w:rsidRPr="0024114A" w14:paraId="5E8B4849" w14:textId="77777777" w:rsidTr="002D6DD7">
        <w:tc>
          <w:tcPr>
            <w:tcW w:w="2605" w:type="dxa"/>
          </w:tcPr>
          <w:p w14:paraId="5A9288AF"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42929830" w14:textId="77777777" w:rsidR="00C345C8" w:rsidRPr="0024114A" w:rsidRDefault="00C345C8" w:rsidP="002D6DD7">
            <w:pPr>
              <w:autoSpaceDE w:val="0"/>
              <w:autoSpaceDN w:val="0"/>
              <w:adjustRightInd w:val="0"/>
              <w:jc w:val="both"/>
              <w:rPr>
                <w:rFonts w:cs="Times New Roman"/>
                <w:b/>
                <w:szCs w:val="24"/>
                <w:lang w:val="en-US"/>
              </w:rPr>
            </w:pPr>
            <w:r w:rsidRPr="0024114A">
              <w:rPr>
                <w:rFonts w:cs="Times New Roman"/>
                <w:b/>
                <w:szCs w:val="24"/>
                <w:lang w:val="en-US"/>
              </w:rPr>
              <w:t>Status epilepticus: by buccal administration</w:t>
            </w:r>
          </w:p>
          <w:p w14:paraId="0CE53186"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Adult</w:t>
            </w:r>
            <w:r w:rsidRPr="0024114A">
              <w:rPr>
                <w:rFonts w:cs="Times New Roman"/>
                <w:szCs w:val="24"/>
                <w:lang w:val="en-US"/>
              </w:rPr>
              <w:t>: 10 mg, then 10 mg after 10 minutes if required</w:t>
            </w:r>
          </w:p>
          <w:p w14:paraId="4FA98B1D"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Status epilepticus, febrile convulsions</w:t>
            </w:r>
            <w:r w:rsidRPr="0024114A">
              <w:rPr>
                <w:rFonts w:cs="Times New Roman"/>
                <w:szCs w:val="24"/>
                <w:lang w:val="en-US"/>
              </w:rPr>
              <w:t>: by buccal administration</w:t>
            </w:r>
          </w:p>
          <w:p w14:paraId="364AC289"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Child 1–2 months</w:t>
            </w:r>
            <w:r w:rsidRPr="0024114A">
              <w:rPr>
                <w:rFonts w:cs="Times New Roman"/>
                <w:szCs w:val="24"/>
                <w:lang w:val="en-US"/>
              </w:rPr>
              <w:t>: 300 mcg/kg (max. per dose 2.5 mg), then 300 mcg/kg after 10 minutes (max. per dose 2.5 mg) if required</w:t>
            </w:r>
          </w:p>
          <w:p w14:paraId="6D15C3EE"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Child 3–11 months</w:t>
            </w:r>
            <w:r w:rsidRPr="0024114A">
              <w:rPr>
                <w:rFonts w:cs="Times New Roman"/>
                <w:szCs w:val="24"/>
                <w:lang w:val="en-US"/>
              </w:rPr>
              <w:t xml:space="preserve">: 2.5 mg, then 2.5 mg after 10 minutes if required </w:t>
            </w:r>
          </w:p>
          <w:p w14:paraId="770A6A35"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Child 1–4 years</w:t>
            </w:r>
            <w:r w:rsidRPr="0024114A">
              <w:rPr>
                <w:rFonts w:cs="Times New Roman"/>
                <w:szCs w:val="24"/>
                <w:lang w:val="en-US"/>
              </w:rPr>
              <w:t>: 5 mg, then 5 mg after 10 minutes if required</w:t>
            </w:r>
          </w:p>
          <w:p w14:paraId="6599710E"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Child 5–9 years</w:t>
            </w:r>
            <w:r w:rsidRPr="0024114A">
              <w:rPr>
                <w:rFonts w:cs="Times New Roman"/>
                <w:szCs w:val="24"/>
                <w:lang w:val="en-US"/>
              </w:rPr>
              <w:t>: 7.5 mg, then 7.5 mg after 10 minutes if required</w:t>
            </w:r>
          </w:p>
          <w:p w14:paraId="4A932564"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szCs w:val="24"/>
                <w:lang w:val="en-US"/>
              </w:rPr>
              <w:t>Convulsions in palliative care</w:t>
            </w:r>
            <w:r w:rsidRPr="0024114A">
              <w:rPr>
                <w:rFonts w:cs="Times New Roman"/>
                <w:szCs w:val="24"/>
                <w:lang w:val="en-US"/>
              </w:rPr>
              <w:t>, SC:</w:t>
            </w:r>
          </w:p>
          <w:p w14:paraId="0A0E381C"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b/>
                <w:bCs/>
                <w:szCs w:val="24"/>
                <w:lang w:val="en-US"/>
              </w:rPr>
              <w:t>Adult</w:t>
            </w:r>
            <w:r w:rsidRPr="0024114A">
              <w:rPr>
                <w:rFonts w:cs="Times New Roman"/>
                <w:szCs w:val="24"/>
                <w:lang w:val="en-US"/>
              </w:rPr>
              <w:t xml:space="preserve">: Initially 20–40 mg/24 hours </w:t>
            </w:r>
          </w:p>
        </w:tc>
      </w:tr>
      <w:tr w:rsidR="00C345C8" w:rsidRPr="0024114A" w14:paraId="63359CA2" w14:textId="77777777" w:rsidTr="002D6DD7">
        <w:tc>
          <w:tcPr>
            <w:tcW w:w="2605" w:type="dxa"/>
          </w:tcPr>
          <w:p w14:paraId="2061089D"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45943EAF"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Hypersensitivity to the drug, acute narrow angle glaucoma, acute alcohol intoxication, shock, lactation, concurrent use with protease inhibitors.</w:t>
            </w:r>
          </w:p>
        </w:tc>
      </w:tr>
      <w:tr w:rsidR="00C345C8" w:rsidRPr="0024114A" w14:paraId="1E438364" w14:textId="77777777" w:rsidTr="002D6DD7">
        <w:tc>
          <w:tcPr>
            <w:tcW w:w="2605" w:type="dxa"/>
          </w:tcPr>
          <w:p w14:paraId="1AC6E39F"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5B170C66" w14:textId="77777777" w:rsidR="00C345C8" w:rsidRPr="0024114A" w:rsidRDefault="00C345C8" w:rsidP="003D3F76">
            <w:pPr>
              <w:numPr>
                <w:ilvl w:val="0"/>
                <w:numId w:val="2"/>
              </w:numPr>
              <w:shd w:val="clear" w:color="auto" w:fill="FFFFFF"/>
              <w:ind w:left="0"/>
              <w:jc w:val="both"/>
              <w:rPr>
                <w:rFonts w:eastAsia="Times New Roman" w:cs="Times New Roman"/>
                <w:szCs w:val="24"/>
                <w:lang w:val="en-US"/>
              </w:rPr>
            </w:pPr>
            <w:r w:rsidRPr="0024114A">
              <w:rPr>
                <w:rFonts w:eastAsia="Times New Roman" w:cs="Times New Roman"/>
                <w:szCs w:val="24"/>
                <w:lang w:val="en-US"/>
              </w:rPr>
              <w:t xml:space="preserve">Alcohol, antihistamines, diltiazem, verapamil, clarithromycin, erythromycin, rifampin, CYP3A4 inhibitors (itraconazole, ketoconazole, cimetidine), thalidomide. </w:t>
            </w:r>
          </w:p>
        </w:tc>
      </w:tr>
      <w:tr w:rsidR="00C345C8" w:rsidRPr="0024114A" w14:paraId="41436A3D" w14:textId="77777777" w:rsidTr="002D6DD7">
        <w:tc>
          <w:tcPr>
            <w:tcW w:w="2605" w:type="dxa"/>
          </w:tcPr>
          <w:p w14:paraId="1F14611B"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6BDE111D"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Muscle stiffness, pain, redness, headache, apnoea, nausea, coughing, vomiting, drowsiness, respiratory depression, phlebitis, gastrointestinal disturbances, increased appetite, jaundice, hypotension, bronchospasm, pain at the site of injection.</w:t>
            </w:r>
          </w:p>
        </w:tc>
      </w:tr>
      <w:tr w:rsidR="00C345C8" w:rsidRPr="0024114A" w14:paraId="60CEC893" w14:textId="77777777" w:rsidTr="002D6DD7">
        <w:tc>
          <w:tcPr>
            <w:tcW w:w="2605" w:type="dxa"/>
          </w:tcPr>
          <w:p w14:paraId="524F84C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4FA64965" w14:textId="77777777" w:rsidR="00C345C8" w:rsidRPr="0024114A" w:rsidRDefault="00C345C8" w:rsidP="002D6DD7">
            <w:pPr>
              <w:autoSpaceDE w:val="0"/>
              <w:autoSpaceDN w:val="0"/>
              <w:adjustRightInd w:val="0"/>
              <w:jc w:val="both"/>
              <w:rPr>
                <w:rFonts w:cs="Times New Roman"/>
                <w:szCs w:val="24"/>
                <w:lang w:val="en-US"/>
              </w:rPr>
            </w:pPr>
            <w:r w:rsidRPr="0024114A">
              <w:rPr>
                <w:rFonts w:cs="Times New Roman"/>
                <w:szCs w:val="24"/>
                <w:lang w:val="en-US"/>
              </w:rPr>
              <w:t>Cardiac disease, debilitated patients, hypothermia, hypovolemia, neonates, vasoconstriction, chronic renal failure</w:t>
            </w:r>
          </w:p>
          <w:p w14:paraId="395A85E1" w14:textId="77777777" w:rsidR="00C345C8" w:rsidRPr="0024114A" w:rsidRDefault="00C345C8" w:rsidP="002D6DD7">
            <w:pPr>
              <w:autoSpaceDE w:val="0"/>
              <w:autoSpaceDN w:val="0"/>
              <w:adjustRightInd w:val="0"/>
              <w:jc w:val="both"/>
              <w:rPr>
                <w:rFonts w:cs="Times New Roman"/>
                <w:i/>
                <w:iCs/>
                <w:szCs w:val="24"/>
                <w:lang w:val="en-US"/>
              </w:rPr>
            </w:pPr>
            <w:r w:rsidRPr="0024114A">
              <w:rPr>
                <w:rFonts w:cs="Times New Roman"/>
                <w:i/>
                <w:iCs/>
                <w:szCs w:val="24"/>
                <w:lang w:val="en-US"/>
              </w:rPr>
              <w:t>Note: avoid breast feeding for 24hours after administration.</w:t>
            </w:r>
          </w:p>
        </w:tc>
      </w:tr>
      <w:tr w:rsidR="00C345C8" w:rsidRPr="0024114A" w14:paraId="12C69249" w14:textId="77777777" w:rsidTr="002D6DD7">
        <w:tc>
          <w:tcPr>
            <w:tcW w:w="2605" w:type="dxa"/>
          </w:tcPr>
          <w:p w14:paraId="77F1A64F"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0C862F05" w14:textId="77777777" w:rsidR="00C345C8" w:rsidRPr="0024114A" w:rsidRDefault="00C345C8" w:rsidP="002D6DD7">
            <w:pPr>
              <w:jc w:val="both"/>
              <w:rPr>
                <w:rFonts w:cs="Times New Roman"/>
                <w:szCs w:val="24"/>
                <w:lang w:val="en-US"/>
              </w:rPr>
            </w:pPr>
            <w:r w:rsidRPr="0024114A">
              <w:rPr>
                <w:rFonts w:cs="Times New Roman"/>
                <w:szCs w:val="24"/>
                <w:lang w:val="en-US"/>
              </w:rPr>
              <w:t>Store below 30°C.</w:t>
            </w:r>
          </w:p>
        </w:tc>
      </w:tr>
      <w:tr w:rsidR="00C345C8" w:rsidRPr="0024114A" w14:paraId="39D08B44" w14:textId="77777777" w:rsidTr="002D6DD7">
        <w:tc>
          <w:tcPr>
            <w:tcW w:w="9445" w:type="dxa"/>
            <w:gridSpan w:val="2"/>
          </w:tcPr>
          <w:p w14:paraId="66E6A839" w14:textId="77777777" w:rsidR="00C345C8" w:rsidRPr="0024114A" w:rsidRDefault="00C345C8" w:rsidP="002D6DD7">
            <w:pPr>
              <w:jc w:val="both"/>
              <w:rPr>
                <w:rFonts w:cs="Times New Roman"/>
                <w:b/>
                <w:bCs/>
                <w:szCs w:val="24"/>
                <w:lang w:val="en-US"/>
              </w:rPr>
            </w:pPr>
            <w:r w:rsidRPr="0024114A">
              <w:rPr>
                <w:rFonts w:cs="Times New Roman"/>
                <w:b/>
                <w:bCs/>
                <w:szCs w:val="24"/>
              </w:rPr>
              <w:lastRenderedPageBreak/>
              <w:t>Phenobarbital</w:t>
            </w:r>
          </w:p>
        </w:tc>
      </w:tr>
      <w:tr w:rsidR="00C345C8" w:rsidRPr="0024114A" w14:paraId="1BA92D79" w14:textId="77777777" w:rsidTr="002D6DD7">
        <w:tc>
          <w:tcPr>
            <w:tcW w:w="2605" w:type="dxa"/>
          </w:tcPr>
          <w:p w14:paraId="107B938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6FD6B9F7" w14:textId="77777777" w:rsidR="00C345C8" w:rsidRPr="0024114A" w:rsidRDefault="00C345C8" w:rsidP="002D6DD7">
            <w:pPr>
              <w:jc w:val="both"/>
              <w:rPr>
                <w:rFonts w:cs="Times New Roman"/>
                <w:szCs w:val="24"/>
                <w:lang w:val="en-US"/>
              </w:rPr>
            </w:pPr>
            <w:r w:rsidRPr="0024114A">
              <w:rPr>
                <w:rFonts w:cs="Times New Roman"/>
                <w:szCs w:val="24"/>
                <w:lang w:val="en-US"/>
              </w:rPr>
              <w:t>Barbiturate</w:t>
            </w:r>
          </w:p>
        </w:tc>
      </w:tr>
      <w:tr w:rsidR="00C345C8" w:rsidRPr="0024114A" w14:paraId="686AE051" w14:textId="77777777" w:rsidTr="002D6DD7">
        <w:tc>
          <w:tcPr>
            <w:tcW w:w="2605" w:type="dxa"/>
          </w:tcPr>
          <w:p w14:paraId="44422E6F"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39FC29FF" w14:textId="77777777" w:rsidR="00C345C8" w:rsidRPr="0024114A" w:rsidRDefault="00C345C8" w:rsidP="002D6DD7">
            <w:pPr>
              <w:pStyle w:val="Default"/>
              <w:spacing w:line="360" w:lineRule="auto"/>
              <w:jc w:val="both"/>
              <w:rPr>
                <w:color w:val="auto"/>
              </w:rPr>
            </w:pPr>
            <w:r w:rsidRPr="0024114A">
              <w:rPr>
                <w:color w:val="auto"/>
              </w:rPr>
              <w:t>Injection: 30 mg/ml or 60 mg/ml, 200 mg/ml</w:t>
            </w:r>
          </w:p>
          <w:p w14:paraId="19E3F507" w14:textId="77777777" w:rsidR="00C345C8" w:rsidRPr="0024114A" w:rsidRDefault="00C345C8" w:rsidP="002D6DD7">
            <w:pPr>
              <w:pStyle w:val="Default"/>
              <w:spacing w:line="360" w:lineRule="auto"/>
              <w:jc w:val="both"/>
              <w:rPr>
                <w:color w:val="auto"/>
                <w:lang w:val="nb-NO"/>
              </w:rPr>
            </w:pPr>
            <w:r w:rsidRPr="0024114A">
              <w:rPr>
                <w:color w:val="auto"/>
                <w:lang w:val="nb-NO"/>
              </w:rPr>
              <w:t xml:space="preserve">Syrup: 15 mg/5 ml. </w:t>
            </w:r>
          </w:p>
          <w:p w14:paraId="593BDBC4" w14:textId="77777777" w:rsidR="00C345C8" w:rsidRPr="0024114A" w:rsidRDefault="00C345C8" w:rsidP="002D6DD7">
            <w:pPr>
              <w:pStyle w:val="Default"/>
              <w:spacing w:line="360" w:lineRule="auto"/>
              <w:jc w:val="both"/>
              <w:rPr>
                <w:color w:val="auto"/>
                <w:lang w:val="nb-NO"/>
              </w:rPr>
            </w:pPr>
            <w:r w:rsidRPr="0024114A">
              <w:rPr>
                <w:color w:val="auto"/>
                <w:lang w:val="nb-NO"/>
              </w:rPr>
              <w:t>Tablet: 15 mg, 30mg, 100 mg.</w:t>
            </w:r>
          </w:p>
        </w:tc>
      </w:tr>
      <w:tr w:rsidR="00C345C8" w:rsidRPr="0024114A" w14:paraId="5E323D83" w14:textId="77777777" w:rsidTr="002D6DD7">
        <w:tc>
          <w:tcPr>
            <w:tcW w:w="2605" w:type="dxa"/>
          </w:tcPr>
          <w:p w14:paraId="672C75C4"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2FAEC116" w14:textId="77777777" w:rsidR="00C345C8" w:rsidRPr="0024114A" w:rsidRDefault="00C345C8" w:rsidP="002D6DD7">
            <w:pPr>
              <w:jc w:val="both"/>
              <w:rPr>
                <w:rFonts w:cs="Times New Roman"/>
                <w:szCs w:val="24"/>
                <w:lang w:val="en-US"/>
              </w:rPr>
            </w:pPr>
            <w:r w:rsidRPr="0024114A">
              <w:rPr>
                <w:rFonts w:cs="Times New Roman"/>
                <w:szCs w:val="24"/>
                <w:lang w:val="en-US"/>
              </w:rPr>
              <w:t>All forms of epilepsy except absence seizures, pre-operative sedation</w:t>
            </w:r>
          </w:p>
        </w:tc>
      </w:tr>
      <w:tr w:rsidR="00C345C8" w:rsidRPr="0024114A" w14:paraId="482DADC2" w14:textId="77777777" w:rsidTr="002D6DD7">
        <w:tc>
          <w:tcPr>
            <w:tcW w:w="2605" w:type="dxa"/>
          </w:tcPr>
          <w:p w14:paraId="486EA03C"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5705E8E0" w14:textId="77777777" w:rsidR="00C345C8" w:rsidRPr="0024114A" w:rsidRDefault="00C345C8" w:rsidP="002D6DD7">
            <w:pPr>
              <w:pStyle w:val="Default"/>
              <w:spacing w:line="360" w:lineRule="auto"/>
              <w:jc w:val="both"/>
              <w:rPr>
                <w:b/>
                <w:bCs/>
                <w:color w:val="auto"/>
              </w:rPr>
            </w:pPr>
            <w:r w:rsidRPr="0024114A">
              <w:rPr>
                <w:b/>
                <w:color w:val="auto"/>
              </w:rPr>
              <w:t>All forms of epilepsyexcept absence seizures, oral</w:t>
            </w:r>
            <w:r w:rsidRPr="0024114A">
              <w:rPr>
                <w:color w:val="auto"/>
              </w:rPr>
              <w:t>:</w:t>
            </w:r>
          </w:p>
          <w:p w14:paraId="18C3B35E" w14:textId="77777777" w:rsidR="00C345C8" w:rsidRPr="0024114A" w:rsidRDefault="00C345C8" w:rsidP="002D6DD7">
            <w:pPr>
              <w:pStyle w:val="Default"/>
              <w:spacing w:line="360" w:lineRule="auto"/>
              <w:jc w:val="both"/>
              <w:rPr>
                <w:color w:val="auto"/>
              </w:rPr>
            </w:pPr>
            <w:r w:rsidRPr="0024114A">
              <w:rPr>
                <w:b/>
                <w:color w:val="auto"/>
              </w:rPr>
              <w:t>Adult</w:t>
            </w:r>
            <w:r w:rsidRPr="0024114A">
              <w:rPr>
                <w:i/>
                <w:iCs/>
                <w:color w:val="auto"/>
              </w:rPr>
              <w:t xml:space="preserve">: </w:t>
            </w:r>
            <w:r w:rsidRPr="0024114A">
              <w:rPr>
                <w:color w:val="auto"/>
              </w:rPr>
              <w:t>60–180 mg once daily, dose to be taken at night</w:t>
            </w:r>
          </w:p>
          <w:p w14:paraId="26C4D665" w14:textId="77777777" w:rsidR="00C345C8" w:rsidRPr="0024114A" w:rsidRDefault="00C345C8" w:rsidP="002D6DD7">
            <w:pPr>
              <w:pStyle w:val="Default"/>
              <w:spacing w:line="360" w:lineRule="auto"/>
              <w:jc w:val="both"/>
              <w:rPr>
                <w:color w:val="auto"/>
              </w:rPr>
            </w:pPr>
            <w:r w:rsidRPr="0024114A">
              <w:rPr>
                <w:b/>
                <w:color w:val="auto"/>
              </w:rPr>
              <w:t>Child</w:t>
            </w:r>
            <w:r w:rsidRPr="0024114A">
              <w:rPr>
                <w:b/>
                <w:bCs/>
                <w:color w:val="auto"/>
              </w:rPr>
              <w:t xml:space="preserve">: </w:t>
            </w:r>
            <w:r w:rsidRPr="0024114A">
              <w:rPr>
                <w:color w:val="auto"/>
              </w:rPr>
              <w:t xml:space="preserve">5 –8 mg/kg of body weight daily </w:t>
            </w:r>
          </w:p>
          <w:p w14:paraId="6861B1D6" w14:textId="77777777" w:rsidR="00C345C8" w:rsidRPr="0024114A" w:rsidRDefault="00C345C8" w:rsidP="002D6DD7">
            <w:pPr>
              <w:pStyle w:val="Default"/>
              <w:spacing w:line="360" w:lineRule="auto"/>
              <w:jc w:val="both"/>
              <w:rPr>
                <w:color w:val="auto"/>
              </w:rPr>
            </w:pPr>
            <w:r w:rsidRPr="0024114A">
              <w:rPr>
                <w:b/>
                <w:color w:val="auto"/>
              </w:rPr>
              <w:t>Status epilepticus</w:t>
            </w:r>
            <w:r w:rsidRPr="0024114A">
              <w:rPr>
                <w:color w:val="auto"/>
              </w:rPr>
              <w:t>:</w:t>
            </w:r>
            <w:r w:rsidRPr="0024114A">
              <w:rPr>
                <w:b/>
                <w:color w:val="auto"/>
              </w:rPr>
              <w:t xml:space="preserve"> IV (slow): </w:t>
            </w:r>
          </w:p>
          <w:p w14:paraId="06F05415" w14:textId="77777777" w:rsidR="00C345C8" w:rsidRPr="0024114A" w:rsidRDefault="00C345C8" w:rsidP="002D6DD7">
            <w:pPr>
              <w:pStyle w:val="Default"/>
              <w:spacing w:line="360" w:lineRule="auto"/>
              <w:jc w:val="both"/>
              <w:rPr>
                <w:color w:val="auto"/>
              </w:rPr>
            </w:pPr>
            <w:r w:rsidRPr="0024114A">
              <w:rPr>
                <w:b/>
                <w:color w:val="auto"/>
              </w:rPr>
              <w:t>Adult</w:t>
            </w:r>
            <w:r w:rsidRPr="0024114A">
              <w:rPr>
                <w:color w:val="auto"/>
              </w:rPr>
              <w:t>: 10 mg/kg (max. per dose 1 g).</w:t>
            </w:r>
          </w:p>
          <w:p w14:paraId="4CD66E56" w14:textId="77777777" w:rsidR="00C345C8" w:rsidRPr="0024114A" w:rsidRDefault="00C345C8" w:rsidP="002D6DD7">
            <w:pPr>
              <w:pStyle w:val="Default"/>
              <w:spacing w:line="360" w:lineRule="auto"/>
              <w:jc w:val="both"/>
              <w:rPr>
                <w:color w:val="auto"/>
              </w:rPr>
            </w:pPr>
            <w:r w:rsidRPr="0024114A">
              <w:rPr>
                <w:b/>
                <w:color w:val="auto"/>
              </w:rPr>
              <w:t>Child 1 month–11 years</w:t>
            </w:r>
            <w:r w:rsidRPr="0024114A">
              <w:rPr>
                <w:bCs/>
                <w:color w:val="auto"/>
              </w:rPr>
              <w:t>: Initially 20 mg/kg, then 2.5–5 mg/kg 1–2 times a day.</w:t>
            </w:r>
          </w:p>
          <w:p w14:paraId="5953C8BC" w14:textId="77777777" w:rsidR="00C345C8" w:rsidRPr="0024114A" w:rsidRDefault="00C345C8" w:rsidP="002D6DD7">
            <w:pPr>
              <w:pStyle w:val="Default"/>
              <w:spacing w:line="360" w:lineRule="auto"/>
              <w:jc w:val="both"/>
              <w:rPr>
                <w:bCs/>
                <w:color w:val="auto"/>
              </w:rPr>
            </w:pPr>
            <w:r w:rsidRPr="0024114A">
              <w:rPr>
                <w:b/>
                <w:color w:val="auto"/>
              </w:rPr>
              <w:t>Neonate</w:t>
            </w:r>
            <w:r w:rsidRPr="0024114A">
              <w:rPr>
                <w:bCs/>
                <w:color w:val="auto"/>
              </w:rPr>
              <w:t>: Initially 20 mg/kg, then 2.5–5 mg/kg 1–2 times a day.</w:t>
            </w:r>
          </w:p>
          <w:p w14:paraId="7E48B8EC" w14:textId="77777777" w:rsidR="00C345C8" w:rsidRPr="0024114A" w:rsidRDefault="00C345C8" w:rsidP="002D6DD7">
            <w:pPr>
              <w:pStyle w:val="Default"/>
              <w:spacing w:line="360" w:lineRule="auto"/>
              <w:jc w:val="both"/>
              <w:rPr>
                <w:bCs/>
                <w:color w:val="auto"/>
              </w:rPr>
            </w:pPr>
            <w:r w:rsidRPr="0024114A">
              <w:rPr>
                <w:b/>
                <w:bCs/>
                <w:color w:val="auto"/>
              </w:rPr>
              <w:t>Sedation</w:t>
            </w:r>
            <w:r w:rsidRPr="0024114A">
              <w:rPr>
                <w:bCs/>
                <w:color w:val="auto"/>
              </w:rPr>
              <w:t xml:space="preserve">, </w:t>
            </w:r>
            <w:r w:rsidRPr="0024114A">
              <w:rPr>
                <w:b/>
                <w:bCs/>
                <w:color w:val="auto"/>
              </w:rPr>
              <w:t>oral</w:t>
            </w:r>
            <w:r w:rsidRPr="0024114A">
              <w:rPr>
                <w:bCs/>
                <w:color w:val="auto"/>
              </w:rPr>
              <w:t>, IV, IM: 30-120 mg per day in 2-3 divided doses (max. 400mg/day)</w:t>
            </w:r>
          </w:p>
          <w:p w14:paraId="46EB33C4" w14:textId="77777777" w:rsidR="00C345C8" w:rsidRPr="0024114A" w:rsidRDefault="00C345C8" w:rsidP="002D6DD7">
            <w:pPr>
              <w:pStyle w:val="Default"/>
              <w:spacing w:line="360" w:lineRule="auto"/>
              <w:jc w:val="both"/>
              <w:rPr>
                <w:bCs/>
                <w:color w:val="auto"/>
              </w:rPr>
            </w:pPr>
            <w:r w:rsidRPr="0024114A">
              <w:rPr>
                <w:b/>
                <w:bCs/>
                <w:color w:val="auto"/>
              </w:rPr>
              <w:t>Pre-operative sedation</w:t>
            </w:r>
            <w:r w:rsidRPr="0024114A">
              <w:rPr>
                <w:bCs/>
                <w:color w:val="auto"/>
              </w:rPr>
              <w:t>, IM: 100-200 mg 60-90 minutes before surgery.</w:t>
            </w:r>
          </w:p>
        </w:tc>
      </w:tr>
      <w:tr w:rsidR="00C345C8" w:rsidRPr="0024114A" w14:paraId="256F2258" w14:textId="77777777" w:rsidTr="002D6DD7">
        <w:tc>
          <w:tcPr>
            <w:tcW w:w="2605" w:type="dxa"/>
          </w:tcPr>
          <w:p w14:paraId="1B6FD73A"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840" w:type="dxa"/>
          </w:tcPr>
          <w:p w14:paraId="2CA0873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Hypersensitivity to the drug or other barbiturates, hepatic impairment, respiratory depression, porphyria, absence seizures. </w:t>
            </w:r>
          </w:p>
        </w:tc>
      </w:tr>
      <w:tr w:rsidR="00C345C8" w:rsidRPr="0024114A" w14:paraId="1E4393A2" w14:textId="77777777" w:rsidTr="002D6DD7">
        <w:tc>
          <w:tcPr>
            <w:tcW w:w="2605" w:type="dxa"/>
          </w:tcPr>
          <w:p w14:paraId="33853EA5"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19C10E05" w14:textId="77777777" w:rsidR="00C345C8" w:rsidRPr="0024114A" w:rsidRDefault="00C345C8" w:rsidP="002D6DD7">
            <w:pPr>
              <w:jc w:val="both"/>
              <w:rPr>
                <w:rFonts w:cs="Times New Roman"/>
                <w:szCs w:val="24"/>
                <w:lang w:val="en-US"/>
              </w:rPr>
            </w:pPr>
            <w:r w:rsidRPr="0024114A">
              <w:rPr>
                <w:rFonts w:cs="Times New Roman"/>
                <w:szCs w:val="24"/>
                <w:lang w:val="en-US"/>
              </w:rPr>
              <w:t>Apixaban, artemether + lumefantrine, atazanavir, abacavir, acetazolamide, alcohol, amitriptyline, bortezomib, carbamazepine, cyclosporine, chlarithromycin, clomipramine, oral contraceptives, amlodipine, dasatinib,dexamethasone, dolutegravir, ethosuximide, chlorpromazine, fentanyl, griseofulvin, itraconazole, kanagliflozin,ketoconazole,lamotrigine, lopinavir, metronidazole, pethidine, methodone, methylpredinosolone, praziquantel, verapamil, quinidine, risperidone, rivaroxoban, sofosbuvir, tamoxifen, tenofivir,thyroidpreparations, ticagrelor, tramadol, TCAs, vincristine, warfarin.</w:t>
            </w:r>
          </w:p>
        </w:tc>
      </w:tr>
      <w:tr w:rsidR="00C345C8" w:rsidRPr="0024114A" w14:paraId="24B5BE0C" w14:textId="77777777" w:rsidTr="002D6DD7">
        <w:tc>
          <w:tcPr>
            <w:tcW w:w="2605" w:type="dxa"/>
          </w:tcPr>
          <w:p w14:paraId="21838213"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Side effects</w:t>
            </w:r>
          </w:p>
        </w:tc>
        <w:tc>
          <w:tcPr>
            <w:tcW w:w="6840" w:type="dxa"/>
          </w:tcPr>
          <w:p w14:paraId="4D21CCAC" w14:textId="77777777" w:rsidR="00C345C8" w:rsidRPr="0024114A" w:rsidRDefault="00C345C8" w:rsidP="002D6DD7">
            <w:pPr>
              <w:pStyle w:val="Default"/>
              <w:spacing w:line="360" w:lineRule="auto"/>
              <w:jc w:val="both"/>
              <w:rPr>
                <w:color w:val="auto"/>
              </w:rPr>
            </w:pPr>
            <w:r w:rsidRPr="0024114A">
              <w:rPr>
                <w:color w:val="auto"/>
              </w:rPr>
              <w:t>Sedation, mental depression, ataxia, nystagmus, allergic skin reactions including rarely, exfoliative dermatitis, toxic epidermal necrolysis, and SJS (erythema multiforme), paradoxical excitement, restlessness and confusion in the elderly, irritability and hyperactivity in children, megaloblastic anemia, osteomalacia, status epilepticus (on treatment withdrawal), hypotension, shock, laryngospasm and apnoea (with IV injection) and respiratory insufficiency.</w:t>
            </w:r>
          </w:p>
        </w:tc>
      </w:tr>
      <w:tr w:rsidR="00C345C8" w:rsidRPr="0024114A" w14:paraId="711EF5E2" w14:textId="77777777" w:rsidTr="002D6DD7">
        <w:tc>
          <w:tcPr>
            <w:tcW w:w="2605" w:type="dxa"/>
          </w:tcPr>
          <w:p w14:paraId="6B48AAD9"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5DCF3487"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Liver or renal diseases, acute or chronic pain, pregnancy, breast-feeding, driving and operating machines </w:t>
            </w:r>
          </w:p>
        </w:tc>
      </w:tr>
      <w:tr w:rsidR="00C345C8" w:rsidRPr="0024114A" w14:paraId="7497DFA4" w14:textId="77777777" w:rsidTr="002D6DD7">
        <w:tc>
          <w:tcPr>
            <w:tcW w:w="2605" w:type="dxa"/>
          </w:tcPr>
          <w:p w14:paraId="4BCBCCF2"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648244D7"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C.</w:t>
            </w:r>
          </w:p>
        </w:tc>
      </w:tr>
      <w:tr w:rsidR="00C345C8" w:rsidRPr="0024114A" w14:paraId="18088275" w14:textId="77777777" w:rsidTr="002D6DD7">
        <w:tc>
          <w:tcPr>
            <w:tcW w:w="9445" w:type="dxa"/>
            <w:gridSpan w:val="2"/>
          </w:tcPr>
          <w:p w14:paraId="016B9A3B" w14:textId="77777777" w:rsidR="00C345C8" w:rsidRPr="0024114A" w:rsidRDefault="00C345C8" w:rsidP="002D6DD7">
            <w:pPr>
              <w:jc w:val="both"/>
              <w:rPr>
                <w:rFonts w:cs="Times New Roman"/>
                <w:b/>
                <w:szCs w:val="24"/>
                <w:lang w:val="en-US"/>
              </w:rPr>
            </w:pPr>
            <w:r w:rsidRPr="0024114A">
              <w:rPr>
                <w:rFonts w:cs="Times New Roman"/>
                <w:b/>
                <w:szCs w:val="24"/>
                <w:lang w:val="en-US"/>
              </w:rPr>
              <w:t>Phenytoin</w:t>
            </w:r>
          </w:p>
        </w:tc>
      </w:tr>
      <w:tr w:rsidR="00C345C8" w:rsidRPr="0024114A" w14:paraId="45C11F4E" w14:textId="77777777" w:rsidTr="002D6DD7">
        <w:tc>
          <w:tcPr>
            <w:tcW w:w="2605" w:type="dxa"/>
          </w:tcPr>
          <w:p w14:paraId="19817EC0"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17E84C3B" w14:textId="77777777" w:rsidR="00C345C8" w:rsidRPr="0024114A" w:rsidRDefault="00C345C8" w:rsidP="002D6DD7">
            <w:pPr>
              <w:jc w:val="both"/>
              <w:rPr>
                <w:rFonts w:cs="Times New Roman"/>
                <w:szCs w:val="24"/>
                <w:lang w:val="en-US"/>
              </w:rPr>
            </w:pPr>
            <w:r w:rsidRPr="0024114A">
              <w:rPr>
                <w:rFonts w:cs="Times New Roman"/>
                <w:szCs w:val="24"/>
                <w:lang w:val="en-US"/>
              </w:rPr>
              <w:t>Anticonvulsant</w:t>
            </w:r>
          </w:p>
        </w:tc>
      </w:tr>
      <w:tr w:rsidR="00C345C8" w:rsidRPr="0024114A" w14:paraId="04F06103" w14:textId="77777777" w:rsidTr="002D6DD7">
        <w:tc>
          <w:tcPr>
            <w:tcW w:w="2605" w:type="dxa"/>
          </w:tcPr>
          <w:p w14:paraId="1CDAC772"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102222F4" w14:textId="77777777" w:rsidR="00C345C8" w:rsidRPr="0024114A" w:rsidRDefault="00C345C8" w:rsidP="002D6DD7">
            <w:pPr>
              <w:pStyle w:val="Default"/>
              <w:spacing w:line="360" w:lineRule="auto"/>
              <w:jc w:val="both"/>
              <w:rPr>
                <w:color w:val="auto"/>
              </w:rPr>
            </w:pPr>
            <w:r w:rsidRPr="0024114A">
              <w:rPr>
                <w:iCs/>
                <w:color w:val="auto"/>
              </w:rPr>
              <w:t xml:space="preserve">Tablet/capsule: 50 mg, 100mg </w:t>
            </w:r>
          </w:p>
          <w:p w14:paraId="08A3A982" w14:textId="77777777" w:rsidR="00C345C8" w:rsidRPr="0024114A" w:rsidRDefault="00C345C8" w:rsidP="002D6DD7">
            <w:pPr>
              <w:pStyle w:val="Default"/>
              <w:spacing w:line="360" w:lineRule="auto"/>
              <w:jc w:val="both"/>
              <w:rPr>
                <w:color w:val="auto"/>
              </w:rPr>
            </w:pPr>
            <w:r w:rsidRPr="0024114A">
              <w:rPr>
                <w:iCs/>
                <w:color w:val="auto"/>
              </w:rPr>
              <w:t>Suspension:30 mg/5 ml</w:t>
            </w:r>
          </w:p>
          <w:p w14:paraId="09AAA2EB" w14:textId="77777777" w:rsidR="00C345C8" w:rsidRPr="0024114A" w:rsidRDefault="00C345C8" w:rsidP="002D6DD7">
            <w:pPr>
              <w:pStyle w:val="Default"/>
              <w:spacing w:line="360" w:lineRule="auto"/>
              <w:jc w:val="both"/>
              <w:rPr>
                <w:color w:val="auto"/>
              </w:rPr>
            </w:pPr>
            <w:r w:rsidRPr="0024114A">
              <w:rPr>
                <w:iCs/>
                <w:color w:val="auto"/>
              </w:rPr>
              <w:t xml:space="preserve">Powder for injection (sodium): 250 mg in vial </w:t>
            </w:r>
          </w:p>
          <w:p w14:paraId="7238B7CE" w14:textId="77777777" w:rsidR="00C345C8" w:rsidRPr="0024114A" w:rsidRDefault="00C345C8" w:rsidP="002D6DD7">
            <w:pPr>
              <w:jc w:val="both"/>
              <w:rPr>
                <w:rFonts w:cs="Times New Roman"/>
                <w:szCs w:val="24"/>
                <w:lang w:val="en-US"/>
              </w:rPr>
            </w:pPr>
            <w:r w:rsidRPr="0024114A">
              <w:rPr>
                <w:rFonts w:cs="Times New Roman"/>
                <w:iCs/>
                <w:szCs w:val="24"/>
                <w:lang w:val="en-US"/>
              </w:rPr>
              <w:t>Injection: 50mg/ml in 5ml vial (sodium salt)</w:t>
            </w:r>
          </w:p>
        </w:tc>
      </w:tr>
      <w:tr w:rsidR="00C345C8" w:rsidRPr="0024114A" w14:paraId="162DF0A8" w14:textId="77777777" w:rsidTr="002D6DD7">
        <w:tc>
          <w:tcPr>
            <w:tcW w:w="2605" w:type="dxa"/>
          </w:tcPr>
          <w:p w14:paraId="14C65748"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180F188F" w14:textId="77777777" w:rsidR="00C345C8" w:rsidRPr="0024114A" w:rsidRDefault="00C345C8" w:rsidP="002D6DD7">
            <w:pPr>
              <w:jc w:val="both"/>
              <w:rPr>
                <w:rFonts w:cs="Times New Roman"/>
                <w:szCs w:val="24"/>
                <w:lang w:val="en-US"/>
              </w:rPr>
            </w:pPr>
            <w:r w:rsidRPr="0024114A">
              <w:rPr>
                <w:rFonts w:cs="Times New Roman"/>
                <w:szCs w:val="24"/>
                <w:lang w:val="en-US"/>
              </w:rPr>
              <w:t>Generalized tonic-clonic seizures, partial seizures, status epilepticus</w:t>
            </w:r>
          </w:p>
        </w:tc>
      </w:tr>
      <w:tr w:rsidR="00C345C8" w:rsidRPr="0024114A" w14:paraId="3CE10465" w14:textId="77777777" w:rsidTr="002D6DD7">
        <w:tc>
          <w:tcPr>
            <w:tcW w:w="2605" w:type="dxa"/>
          </w:tcPr>
          <w:p w14:paraId="7B76142D"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7BF0F68F" w14:textId="77777777" w:rsidR="00C345C8" w:rsidRPr="0024114A" w:rsidRDefault="00C345C8" w:rsidP="002D6DD7">
            <w:pPr>
              <w:pStyle w:val="Default"/>
              <w:spacing w:line="360" w:lineRule="auto"/>
              <w:jc w:val="both"/>
              <w:rPr>
                <w:iCs/>
                <w:color w:val="auto"/>
              </w:rPr>
            </w:pPr>
            <w:r w:rsidRPr="0024114A">
              <w:rPr>
                <w:b/>
                <w:iCs/>
                <w:color w:val="auto"/>
              </w:rPr>
              <w:t>Generalized tonic-clonic seizures, partial seizures</w:t>
            </w:r>
            <w:r w:rsidRPr="0024114A">
              <w:rPr>
                <w:b/>
                <w:i/>
                <w:iCs/>
                <w:color w:val="auto"/>
              </w:rPr>
              <w:t xml:space="preserve">, </w:t>
            </w:r>
            <w:r w:rsidRPr="000F008F">
              <w:rPr>
                <w:iCs/>
                <w:color w:val="auto"/>
              </w:rPr>
              <w:t>oral:</w:t>
            </w:r>
          </w:p>
          <w:p w14:paraId="662FC1A9" w14:textId="77777777" w:rsidR="00C345C8" w:rsidRPr="0024114A" w:rsidRDefault="00C345C8" w:rsidP="002D6DD7">
            <w:pPr>
              <w:pStyle w:val="Default"/>
              <w:spacing w:line="360" w:lineRule="auto"/>
              <w:jc w:val="both"/>
              <w:rPr>
                <w:i/>
                <w:iCs/>
                <w:color w:val="auto"/>
              </w:rPr>
            </w:pPr>
            <w:r w:rsidRPr="0024114A">
              <w:rPr>
                <w:b/>
                <w:bCs/>
                <w:color w:val="auto"/>
              </w:rPr>
              <w:t xml:space="preserve">Adult: </w:t>
            </w:r>
            <w:r w:rsidRPr="0024114A">
              <w:rPr>
                <w:color w:val="auto"/>
              </w:rPr>
              <w:t xml:space="preserve">Initially 3-4 mg/kg po daily (as a single dose or in 2 divided doses), increased gradually at intervals of 2 weeks as necessary (with plasma- phenytoin concentration monitoring); usual maintenance dose 200 – 500 mg daily. </w:t>
            </w:r>
          </w:p>
          <w:p w14:paraId="51255805" w14:textId="77777777" w:rsidR="00C345C8" w:rsidRPr="0024114A" w:rsidRDefault="00C345C8" w:rsidP="002D6DD7">
            <w:pPr>
              <w:pStyle w:val="Default"/>
              <w:spacing w:line="360" w:lineRule="auto"/>
              <w:jc w:val="both"/>
              <w:rPr>
                <w:color w:val="auto"/>
              </w:rPr>
            </w:pPr>
            <w:r w:rsidRPr="0024114A">
              <w:rPr>
                <w:b/>
                <w:bCs/>
                <w:color w:val="auto"/>
              </w:rPr>
              <w:t>Child 1 month to 11 years</w:t>
            </w:r>
            <w:r w:rsidRPr="0024114A">
              <w:rPr>
                <w:color w:val="auto"/>
              </w:rPr>
              <w:t>: Initially 1.5–2.5 mg/kg twice daily, then adjusted according to response to 2.5–5 mg/kg twice daily (max. per dose 7.5 mg/kg twice daily), dose also adjusted according to plasma phenytoin concentration; maximum 300 mg per day.</w:t>
            </w:r>
          </w:p>
          <w:p w14:paraId="20AE99AD" w14:textId="77777777" w:rsidR="00C345C8" w:rsidRPr="0024114A" w:rsidRDefault="00C345C8" w:rsidP="002D6DD7">
            <w:pPr>
              <w:pStyle w:val="Default"/>
              <w:spacing w:line="360" w:lineRule="auto"/>
              <w:jc w:val="both"/>
              <w:rPr>
                <w:color w:val="auto"/>
              </w:rPr>
            </w:pPr>
            <w:r w:rsidRPr="0024114A">
              <w:rPr>
                <w:b/>
                <w:color w:val="auto"/>
              </w:rPr>
              <w:t>Child 12-17 years</w:t>
            </w:r>
            <w:r w:rsidRPr="0024114A">
              <w:rPr>
                <w:color w:val="auto"/>
              </w:rPr>
              <w:t>: Initially 75-150 mg twice daily, then adjusted according to response to 150-200mg twice daily (max. per dose 300 mg twice daily), dose also adjusted according to plasma-phenytoin concentration.</w:t>
            </w:r>
          </w:p>
          <w:p w14:paraId="654A3DDD" w14:textId="77777777" w:rsidR="00C345C8" w:rsidRPr="000F008F" w:rsidRDefault="00C345C8" w:rsidP="002D6DD7">
            <w:pPr>
              <w:pStyle w:val="Default"/>
              <w:spacing w:line="360" w:lineRule="auto"/>
              <w:jc w:val="both"/>
              <w:rPr>
                <w:color w:val="auto"/>
              </w:rPr>
            </w:pPr>
            <w:r w:rsidRPr="0024114A">
              <w:rPr>
                <w:b/>
                <w:iCs/>
                <w:color w:val="auto"/>
              </w:rPr>
              <w:lastRenderedPageBreak/>
              <w:t>Status epilepticus</w:t>
            </w:r>
            <w:r w:rsidR="000F008F">
              <w:rPr>
                <w:b/>
                <w:iCs/>
                <w:color w:val="auto"/>
              </w:rPr>
              <w:t xml:space="preserve">, </w:t>
            </w:r>
            <w:r w:rsidR="000F008F" w:rsidRPr="000F008F">
              <w:rPr>
                <w:iCs/>
                <w:color w:val="auto"/>
              </w:rPr>
              <w:t>s</w:t>
            </w:r>
            <w:r w:rsidRPr="000F008F">
              <w:rPr>
                <w:iCs/>
                <w:color w:val="auto"/>
              </w:rPr>
              <w:t>low IV injection or by IV infusion</w:t>
            </w:r>
            <w:r w:rsidR="000F008F" w:rsidRPr="000F008F">
              <w:rPr>
                <w:iCs/>
                <w:color w:val="auto"/>
              </w:rPr>
              <w:t>:</w:t>
            </w:r>
          </w:p>
          <w:p w14:paraId="6C343414" w14:textId="77777777" w:rsidR="00C345C8" w:rsidRPr="0024114A" w:rsidRDefault="00C345C8" w:rsidP="002D6DD7">
            <w:pPr>
              <w:pStyle w:val="Default"/>
              <w:spacing w:line="360" w:lineRule="auto"/>
              <w:jc w:val="both"/>
              <w:rPr>
                <w:color w:val="auto"/>
              </w:rPr>
            </w:pPr>
            <w:r w:rsidRPr="0024114A">
              <w:rPr>
                <w:b/>
                <w:bCs/>
                <w:color w:val="auto"/>
              </w:rPr>
              <w:t xml:space="preserve">Adult: </w:t>
            </w:r>
            <w:r w:rsidRPr="0024114A">
              <w:rPr>
                <w:color w:val="auto"/>
              </w:rPr>
              <w:t xml:space="preserve">20mg/kg at rate of not more than 50 mg/minute, as a loading dose; maintenance doses of about 100mg by </w:t>
            </w:r>
            <w:r w:rsidRPr="0024114A">
              <w:rPr>
                <w:iCs/>
                <w:color w:val="auto"/>
              </w:rPr>
              <w:t>oral or by slow IV injection</w:t>
            </w:r>
            <w:r w:rsidRPr="0024114A">
              <w:rPr>
                <w:color w:val="auto"/>
              </w:rPr>
              <w:t xml:space="preserve">should be given thereafter at intervals of 6-8 hours, monitored by measurement of plasma concentrations; rates and dose reduced according to weight. </w:t>
            </w:r>
          </w:p>
          <w:p w14:paraId="29BED994" w14:textId="77777777" w:rsidR="00C345C8" w:rsidRPr="0024114A" w:rsidRDefault="00C345C8" w:rsidP="002D6DD7">
            <w:pPr>
              <w:pStyle w:val="Default"/>
              <w:spacing w:line="360" w:lineRule="auto"/>
              <w:jc w:val="both"/>
              <w:rPr>
                <w:color w:val="auto"/>
              </w:rPr>
            </w:pPr>
            <w:r w:rsidRPr="0024114A">
              <w:rPr>
                <w:b/>
                <w:bCs/>
                <w:color w:val="auto"/>
              </w:rPr>
              <w:t>Child</w:t>
            </w:r>
            <w:r w:rsidRPr="0024114A">
              <w:rPr>
                <w:color w:val="auto"/>
              </w:rPr>
              <w:t xml:space="preserve">: 15 mg/kg as loading dose at rate of 1 mg/kg/minute (not exceeding 50 mg/minute). </w:t>
            </w:r>
          </w:p>
          <w:p w14:paraId="19ADD56A" w14:textId="77777777" w:rsidR="00C345C8" w:rsidRPr="0024114A" w:rsidRDefault="00C345C8" w:rsidP="002D6DD7">
            <w:pPr>
              <w:pStyle w:val="Default"/>
              <w:spacing w:line="360" w:lineRule="auto"/>
              <w:jc w:val="both"/>
              <w:rPr>
                <w:color w:val="auto"/>
              </w:rPr>
            </w:pPr>
            <w:r w:rsidRPr="0024114A">
              <w:rPr>
                <w:b/>
                <w:bCs/>
                <w:color w:val="auto"/>
              </w:rPr>
              <w:t>Neonate</w:t>
            </w:r>
            <w:r w:rsidRPr="0024114A">
              <w:rPr>
                <w:color w:val="auto"/>
              </w:rPr>
              <w:t>: 15-20 mg/kg as a loading dose at rate of 1-3 mg/kg/minute.</w:t>
            </w:r>
          </w:p>
        </w:tc>
      </w:tr>
      <w:tr w:rsidR="00C345C8" w:rsidRPr="0024114A" w14:paraId="779702D0" w14:textId="77777777" w:rsidTr="002D6DD7">
        <w:tc>
          <w:tcPr>
            <w:tcW w:w="2605" w:type="dxa"/>
          </w:tcPr>
          <w:p w14:paraId="1F727C12"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060E8F2A" w14:textId="77777777" w:rsidR="00C345C8" w:rsidRPr="0024114A" w:rsidRDefault="00C345C8" w:rsidP="002D6DD7">
            <w:pPr>
              <w:jc w:val="both"/>
              <w:rPr>
                <w:rFonts w:cs="Times New Roman"/>
                <w:szCs w:val="24"/>
                <w:lang w:val="en-US"/>
              </w:rPr>
            </w:pPr>
            <w:r w:rsidRPr="0024114A">
              <w:rPr>
                <w:rFonts w:cs="Times New Roman"/>
                <w:szCs w:val="24"/>
                <w:lang w:val="en-US"/>
              </w:rPr>
              <w:t>Cardiac function impairment, such as Adams- stokes syndrome, second- and third-degree AV block, sinoatrial block, and sinus bradycardia (parenteral administration), acute porpyrias</w:t>
            </w:r>
          </w:p>
        </w:tc>
      </w:tr>
      <w:tr w:rsidR="00C345C8" w:rsidRPr="0024114A" w14:paraId="16EC0252" w14:textId="77777777" w:rsidTr="002D6DD7">
        <w:tc>
          <w:tcPr>
            <w:tcW w:w="2605" w:type="dxa"/>
          </w:tcPr>
          <w:p w14:paraId="7753ED7B"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69CA74B4" w14:textId="77777777" w:rsidR="00C345C8" w:rsidRPr="0024114A" w:rsidRDefault="00C345C8" w:rsidP="002D6DD7">
            <w:pPr>
              <w:jc w:val="both"/>
              <w:rPr>
                <w:rFonts w:cs="Times New Roman"/>
                <w:szCs w:val="24"/>
                <w:lang w:val="en-US"/>
              </w:rPr>
            </w:pPr>
            <w:r w:rsidRPr="0024114A">
              <w:rPr>
                <w:rFonts w:cs="Times New Roman"/>
                <w:szCs w:val="24"/>
                <w:lang w:val="en-US"/>
              </w:rPr>
              <w:t>Chloramphenicol, antituberculosis agents (isoniazid), amiodarone, corticosteroids, cimetidine, calcium, diazoxide (oral), antacids, anticoagulants (coumarin – or indandione – derivative), diazepam, disulfiram, contraceptives, fluconazole, itraconazole, ketoconazole, miconazole, felbamate, fluoxetine, lidocaine, methadone, sucralfate, valproic acid, theophylline, abacavir, erythromycin, alcohol, acetazolamide, acetylsalicylic acid,  alcuronium, amitriptyline amlodipine, azathioprine, bleomycin, carbamazepine, phenobarbital, chlorambucil, chloroquine, valproic acid, CNS depressants.</w:t>
            </w:r>
          </w:p>
        </w:tc>
      </w:tr>
      <w:tr w:rsidR="00C345C8" w:rsidRPr="0024114A" w14:paraId="13AE85D7" w14:textId="77777777" w:rsidTr="002D6DD7">
        <w:tc>
          <w:tcPr>
            <w:tcW w:w="2605" w:type="dxa"/>
          </w:tcPr>
          <w:p w14:paraId="7721D0F6"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675A7104" w14:textId="77777777" w:rsidR="00C345C8" w:rsidRPr="0024114A" w:rsidRDefault="00C345C8" w:rsidP="002D6DD7">
            <w:pPr>
              <w:jc w:val="both"/>
              <w:rPr>
                <w:rFonts w:cs="Times New Roman"/>
                <w:szCs w:val="24"/>
                <w:lang w:val="en-US"/>
              </w:rPr>
            </w:pPr>
            <w:r w:rsidRPr="0024114A">
              <w:rPr>
                <w:rFonts w:cs="Times New Roman"/>
                <w:szCs w:val="24"/>
                <w:lang w:val="en-US"/>
              </w:rPr>
              <w:t>Agranulocytosis, gingival hyperplasia, folic acid depletion, rash, bone disorders, gastric intolerance, headache, sleeplessness, agitation (during initial phase), sedation, confusion, blurred vision, ataxia, nystagmus, diplopia, slurred speech, cerebellar-vestibular symptoms, behavioral disorders, dysrhythmia and hypotension (during IV use), hallucinations, hyperglycemia (may be signs of overdose), acne, coarse facies, hirsutism, fever, hepatitis, hypersensitivity reaction, neurological changes including peripheral neuropathy, choreiform movements, impaired cognition.</w:t>
            </w:r>
          </w:p>
        </w:tc>
      </w:tr>
      <w:tr w:rsidR="00C345C8" w:rsidRPr="0024114A" w14:paraId="08C77A3D" w14:textId="77777777" w:rsidTr="002D6DD7">
        <w:tc>
          <w:tcPr>
            <w:tcW w:w="2605" w:type="dxa"/>
          </w:tcPr>
          <w:p w14:paraId="29514559"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 xml:space="preserve">Cautions </w:t>
            </w:r>
          </w:p>
        </w:tc>
        <w:tc>
          <w:tcPr>
            <w:tcW w:w="6840" w:type="dxa"/>
          </w:tcPr>
          <w:p w14:paraId="2DDE42AC" w14:textId="77777777" w:rsidR="00C345C8" w:rsidRPr="0024114A" w:rsidRDefault="00C345C8" w:rsidP="002D6DD7">
            <w:pPr>
              <w:jc w:val="both"/>
              <w:rPr>
                <w:rFonts w:cs="Times New Roman"/>
                <w:szCs w:val="24"/>
                <w:lang w:val="en-US"/>
              </w:rPr>
            </w:pPr>
            <w:r w:rsidRPr="0024114A">
              <w:rPr>
                <w:rFonts w:cs="Times New Roman"/>
                <w:szCs w:val="24"/>
                <w:lang w:val="en-US"/>
              </w:rPr>
              <w:t>Abrupt withdrawal, liver insufficiency, porphyria, diabetes, elderly, pregnancy, breastfeeding, enteral feeding, myocardial insufficiency (heart failure), hypotension, respiratory depression, risk of suicidal thoughts or behaviors.</w:t>
            </w:r>
          </w:p>
          <w:p w14:paraId="42B08412" w14:textId="77777777" w:rsidR="00C345C8" w:rsidRPr="0024114A" w:rsidRDefault="00C345C8" w:rsidP="002D6DD7">
            <w:pPr>
              <w:jc w:val="both"/>
              <w:rPr>
                <w:rFonts w:cs="Times New Roman"/>
                <w:i/>
                <w:iCs/>
                <w:szCs w:val="24"/>
                <w:lang w:val="en-US"/>
              </w:rPr>
            </w:pPr>
            <w:r w:rsidRPr="0024114A">
              <w:rPr>
                <w:rFonts w:cs="Times New Roman"/>
                <w:i/>
                <w:iCs/>
                <w:szCs w:val="24"/>
                <w:lang w:val="en-US"/>
              </w:rPr>
              <w:t>Note: discontinue if skin rash occurs.</w:t>
            </w:r>
          </w:p>
        </w:tc>
      </w:tr>
      <w:tr w:rsidR="00C345C8" w:rsidRPr="0024114A" w14:paraId="2BDFD4DF" w14:textId="77777777" w:rsidTr="002D6DD7">
        <w:tc>
          <w:tcPr>
            <w:tcW w:w="2605" w:type="dxa"/>
          </w:tcPr>
          <w:p w14:paraId="67A92583"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5F110AFF" w14:textId="77777777" w:rsidR="00C345C8" w:rsidRPr="0024114A" w:rsidRDefault="00C345C8" w:rsidP="002D6DD7">
            <w:pPr>
              <w:jc w:val="both"/>
              <w:rPr>
                <w:rFonts w:cs="Times New Roman"/>
                <w:szCs w:val="24"/>
                <w:lang w:val="en-US"/>
              </w:rPr>
            </w:pPr>
            <w:r w:rsidRPr="0024114A">
              <w:rPr>
                <w:rFonts w:cs="Times New Roman"/>
                <w:szCs w:val="24"/>
                <w:shd w:val="clear" w:color="auto" w:fill="FFFFFF"/>
                <w:lang w:val="en-US"/>
              </w:rPr>
              <w:t>Store below 30</w:t>
            </w:r>
            <w:r w:rsidRPr="0024114A">
              <w:rPr>
                <w:rFonts w:cs="Times New Roman"/>
                <w:szCs w:val="24"/>
                <w:lang w:val="en-US"/>
              </w:rPr>
              <w:t>°C.</w:t>
            </w:r>
          </w:p>
        </w:tc>
      </w:tr>
      <w:tr w:rsidR="00C345C8" w:rsidRPr="0024114A" w14:paraId="32819C7A" w14:textId="77777777" w:rsidTr="002D6DD7">
        <w:tc>
          <w:tcPr>
            <w:tcW w:w="9445" w:type="dxa"/>
            <w:gridSpan w:val="2"/>
          </w:tcPr>
          <w:p w14:paraId="44F628A2" w14:textId="77777777" w:rsidR="00C345C8" w:rsidRPr="0024114A" w:rsidRDefault="00C345C8" w:rsidP="002D6DD7">
            <w:pPr>
              <w:jc w:val="both"/>
              <w:rPr>
                <w:rFonts w:cs="Times New Roman"/>
                <w:b/>
                <w:bCs/>
                <w:szCs w:val="24"/>
                <w:lang w:val="en-US"/>
              </w:rPr>
            </w:pPr>
            <w:r w:rsidRPr="0024114A">
              <w:rPr>
                <w:rFonts w:cs="Times New Roman"/>
                <w:b/>
                <w:bCs/>
                <w:szCs w:val="24"/>
              </w:rPr>
              <w:t>Valproic acid (sodium valproate)</w:t>
            </w:r>
          </w:p>
        </w:tc>
      </w:tr>
      <w:tr w:rsidR="00C345C8" w:rsidRPr="0024114A" w14:paraId="5ACBBE01" w14:textId="77777777" w:rsidTr="002D6DD7">
        <w:tc>
          <w:tcPr>
            <w:tcW w:w="2605" w:type="dxa"/>
          </w:tcPr>
          <w:p w14:paraId="315CD50E"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840" w:type="dxa"/>
          </w:tcPr>
          <w:p w14:paraId="516640AB" w14:textId="77777777" w:rsidR="00C345C8" w:rsidRPr="0024114A" w:rsidRDefault="00C345C8" w:rsidP="002D6DD7">
            <w:pPr>
              <w:jc w:val="both"/>
              <w:rPr>
                <w:rFonts w:cs="Times New Roman"/>
                <w:szCs w:val="24"/>
                <w:lang w:val="en-US"/>
              </w:rPr>
            </w:pPr>
            <w:r w:rsidRPr="0024114A">
              <w:rPr>
                <w:rFonts w:cs="Times New Roman"/>
                <w:szCs w:val="24"/>
                <w:lang w:val="en-US"/>
              </w:rPr>
              <w:t>Anticonvulsant</w:t>
            </w:r>
          </w:p>
        </w:tc>
      </w:tr>
      <w:tr w:rsidR="00C345C8" w:rsidRPr="0024114A" w14:paraId="294DE2B2" w14:textId="77777777" w:rsidTr="002D6DD7">
        <w:tc>
          <w:tcPr>
            <w:tcW w:w="2605" w:type="dxa"/>
          </w:tcPr>
          <w:p w14:paraId="55451D0E"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840" w:type="dxa"/>
          </w:tcPr>
          <w:p w14:paraId="5778831E" w14:textId="77777777" w:rsidR="00C345C8" w:rsidRPr="0024114A" w:rsidRDefault="00C345C8" w:rsidP="002D6DD7">
            <w:pPr>
              <w:pStyle w:val="Default"/>
              <w:spacing w:line="360" w:lineRule="auto"/>
              <w:jc w:val="both"/>
              <w:rPr>
                <w:color w:val="auto"/>
              </w:rPr>
            </w:pPr>
            <w:r w:rsidRPr="0024114A">
              <w:rPr>
                <w:color w:val="auto"/>
              </w:rPr>
              <w:t>Syrup: 200 mg/5 ml</w:t>
            </w:r>
          </w:p>
          <w:p w14:paraId="454AF85B" w14:textId="77777777" w:rsidR="00C345C8" w:rsidRPr="0024114A" w:rsidRDefault="00C345C8" w:rsidP="002D6DD7">
            <w:pPr>
              <w:pStyle w:val="Default"/>
              <w:spacing w:line="360" w:lineRule="auto"/>
              <w:jc w:val="both"/>
              <w:rPr>
                <w:color w:val="auto"/>
              </w:rPr>
            </w:pPr>
            <w:r w:rsidRPr="0024114A">
              <w:rPr>
                <w:color w:val="auto"/>
              </w:rPr>
              <w:t>Tablet (crushable): 100 mg.</w:t>
            </w:r>
          </w:p>
          <w:p w14:paraId="68268875" w14:textId="77777777" w:rsidR="00C345C8" w:rsidRPr="0024114A" w:rsidRDefault="00C345C8" w:rsidP="002D6DD7">
            <w:pPr>
              <w:pStyle w:val="Default"/>
              <w:spacing w:line="360" w:lineRule="auto"/>
              <w:jc w:val="both"/>
              <w:rPr>
                <w:color w:val="auto"/>
              </w:rPr>
            </w:pPr>
            <w:r w:rsidRPr="0024114A">
              <w:rPr>
                <w:color w:val="auto"/>
              </w:rPr>
              <w:t>Tablet (enteric-coated): 200 mg, 500 mg</w:t>
            </w:r>
          </w:p>
        </w:tc>
      </w:tr>
      <w:tr w:rsidR="00C345C8" w:rsidRPr="0024114A" w14:paraId="0130C139" w14:textId="77777777" w:rsidTr="002D6DD7">
        <w:tc>
          <w:tcPr>
            <w:tcW w:w="2605" w:type="dxa"/>
          </w:tcPr>
          <w:p w14:paraId="2BFE999C"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840" w:type="dxa"/>
          </w:tcPr>
          <w:p w14:paraId="6157D26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All forms of epilepsy, treatment and prevention of mania associated with bipolar disorders, migraine prophylaxis. </w:t>
            </w:r>
          </w:p>
        </w:tc>
      </w:tr>
      <w:tr w:rsidR="00C345C8" w:rsidRPr="0024114A" w14:paraId="06A22798" w14:textId="77777777" w:rsidTr="002D6DD7">
        <w:tc>
          <w:tcPr>
            <w:tcW w:w="2605" w:type="dxa"/>
          </w:tcPr>
          <w:p w14:paraId="46715377"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840" w:type="dxa"/>
          </w:tcPr>
          <w:p w14:paraId="049BD912" w14:textId="77777777" w:rsidR="00C345C8" w:rsidRPr="0024114A" w:rsidRDefault="00C345C8" w:rsidP="002D6DD7">
            <w:pPr>
              <w:pStyle w:val="Default"/>
              <w:spacing w:line="360" w:lineRule="auto"/>
              <w:jc w:val="both"/>
              <w:rPr>
                <w:b/>
                <w:bCs/>
                <w:color w:val="auto"/>
              </w:rPr>
            </w:pPr>
            <w:r w:rsidRPr="0024114A">
              <w:rPr>
                <w:b/>
                <w:bCs/>
                <w:color w:val="auto"/>
              </w:rPr>
              <w:t>Epilepsyoral:</w:t>
            </w:r>
          </w:p>
          <w:p w14:paraId="69E34880" w14:textId="77777777" w:rsidR="00C345C8" w:rsidRPr="0024114A" w:rsidRDefault="00C345C8" w:rsidP="002D6DD7">
            <w:pPr>
              <w:pStyle w:val="Default"/>
              <w:spacing w:line="360" w:lineRule="auto"/>
              <w:jc w:val="both"/>
              <w:rPr>
                <w:color w:val="auto"/>
              </w:rPr>
            </w:pPr>
            <w:r w:rsidRPr="0024114A">
              <w:rPr>
                <w:b/>
                <w:bCs/>
                <w:color w:val="auto"/>
              </w:rPr>
              <w:t>Adult:</w:t>
            </w:r>
            <w:r w:rsidRPr="0024114A">
              <w:rPr>
                <w:color w:val="auto"/>
              </w:rPr>
              <w:t xml:space="preserve"> Initially 600 mg daily in 2–4divided doses, then increased in steps of 150–300 mg every 3 days; maintenance 1–2 g daily in 2-4 divided doses, alternatively maintenance 20–30 mg/kg daily; maximum 2.5 g per day in 2-4 divided doses</w:t>
            </w:r>
          </w:p>
          <w:p w14:paraId="4F6142D8" w14:textId="77777777" w:rsidR="00C345C8" w:rsidRPr="0024114A" w:rsidRDefault="00C345C8" w:rsidP="002D6DD7">
            <w:pPr>
              <w:pStyle w:val="Default"/>
              <w:spacing w:line="360" w:lineRule="auto"/>
              <w:jc w:val="both"/>
              <w:rPr>
                <w:color w:val="auto"/>
              </w:rPr>
            </w:pPr>
            <w:r w:rsidRPr="0024114A">
              <w:rPr>
                <w:b/>
                <w:color w:val="auto"/>
              </w:rPr>
              <w:t>Child1 month–11 years:</w:t>
            </w:r>
            <w:r w:rsidRPr="0024114A">
              <w:rPr>
                <w:color w:val="auto"/>
              </w:rPr>
              <w:t xml:space="preserve"> Initially 10–15 mg/kg daily in 1–2 divided doses (max. per dose 600 mg); maintenance 25–30 mg/kg daily in 2 divided doses, doses up to 60 mg/kg daily in 2 divided doses may be used in infantile spasms.</w:t>
            </w:r>
          </w:p>
          <w:p w14:paraId="614E4B55" w14:textId="77777777" w:rsidR="00C345C8" w:rsidRPr="0024114A" w:rsidRDefault="00C345C8" w:rsidP="002D6DD7">
            <w:pPr>
              <w:pStyle w:val="Default"/>
              <w:spacing w:line="360" w:lineRule="auto"/>
              <w:jc w:val="both"/>
              <w:rPr>
                <w:bCs/>
                <w:color w:val="auto"/>
              </w:rPr>
            </w:pPr>
            <w:r w:rsidRPr="0024114A">
              <w:rPr>
                <w:b/>
                <w:color w:val="auto"/>
              </w:rPr>
              <w:t>Treatment and prevention of mania associated with bipolar disorders</w:t>
            </w:r>
            <w:r w:rsidRPr="0024114A">
              <w:rPr>
                <w:b/>
                <w:bCs/>
                <w:color w:val="auto"/>
              </w:rPr>
              <w:t xml:space="preserve">, </w:t>
            </w:r>
            <w:r w:rsidRPr="00D62AC4">
              <w:rPr>
                <w:bCs/>
                <w:color w:val="auto"/>
              </w:rPr>
              <w:t>oral:</w:t>
            </w:r>
          </w:p>
          <w:p w14:paraId="13ACE72E" w14:textId="77777777" w:rsidR="00C345C8" w:rsidRPr="0024114A" w:rsidRDefault="00C345C8" w:rsidP="002D6DD7">
            <w:pPr>
              <w:pStyle w:val="Default"/>
              <w:spacing w:line="360" w:lineRule="auto"/>
              <w:jc w:val="both"/>
              <w:rPr>
                <w:bCs/>
                <w:color w:val="auto"/>
              </w:rPr>
            </w:pPr>
            <w:r w:rsidRPr="0024114A">
              <w:rPr>
                <w:b/>
                <w:color w:val="auto"/>
              </w:rPr>
              <w:t>Adult</w:t>
            </w:r>
            <w:r w:rsidRPr="0024114A">
              <w:rPr>
                <w:bCs/>
                <w:color w:val="auto"/>
              </w:rPr>
              <w:t xml:space="preserve">: The recommended initial dose is 750mg/day in 2-3 divided doses. The dose should be increased as rapidly as possible to achieve the lowest therapeutic dose, which produces the desired clinical effects. The recommended maintenance dosage for the treatment of bipolar disorder is between 1g and 2g daily, adjusted according to response, doses greater than 45mg/kg daily require careful monitoring. </w:t>
            </w:r>
          </w:p>
          <w:p w14:paraId="6B2D8761" w14:textId="77777777" w:rsidR="00C345C8" w:rsidRPr="0024114A" w:rsidRDefault="00C345C8" w:rsidP="002D6DD7">
            <w:pPr>
              <w:pStyle w:val="Default"/>
              <w:spacing w:line="360" w:lineRule="auto"/>
              <w:jc w:val="both"/>
              <w:rPr>
                <w:bCs/>
                <w:color w:val="auto"/>
              </w:rPr>
            </w:pPr>
            <w:r w:rsidRPr="0024114A">
              <w:rPr>
                <w:b/>
                <w:bCs/>
                <w:color w:val="auto"/>
              </w:rPr>
              <w:lastRenderedPageBreak/>
              <w:t>Migraine prophylaxis</w:t>
            </w:r>
            <w:r w:rsidRPr="0024114A">
              <w:rPr>
                <w:bCs/>
                <w:color w:val="auto"/>
              </w:rPr>
              <w:t xml:space="preserve">, </w:t>
            </w:r>
            <w:r w:rsidRPr="004463FE">
              <w:rPr>
                <w:bCs/>
                <w:color w:val="auto"/>
              </w:rPr>
              <w:t>oral:</w:t>
            </w:r>
          </w:p>
          <w:p w14:paraId="4CAF92DE" w14:textId="77777777" w:rsidR="00C345C8" w:rsidRPr="0024114A" w:rsidRDefault="00C345C8" w:rsidP="002D6DD7">
            <w:pPr>
              <w:pStyle w:val="Default"/>
              <w:spacing w:line="360" w:lineRule="auto"/>
              <w:jc w:val="both"/>
              <w:rPr>
                <w:color w:val="auto"/>
              </w:rPr>
            </w:pPr>
            <w:r w:rsidRPr="0024114A">
              <w:rPr>
                <w:b/>
                <w:color w:val="auto"/>
              </w:rPr>
              <w:t>Adults</w:t>
            </w:r>
            <w:r w:rsidRPr="0024114A">
              <w:rPr>
                <w:color w:val="auto"/>
              </w:rPr>
              <w:t>: Initially 250 mg twice daily, then increased if necessary to 1g daily in divided doses.</w:t>
            </w:r>
          </w:p>
        </w:tc>
      </w:tr>
      <w:tr w:rsidR="00C345C8" w:rsidRPr="0024114A" w14:paraId="3A6CEB9C" w14:textId="77777777" w:rsidTr="002D6DD7">
        <w:tc>
          <w:tcPr>
            <w:tcW w:w="2605" w:type="dxa"/>
          </w:tcPr>
          <w:p w14:paraId="15D596A3" w14:textId="77777777" w:rsidR="00C345C8" w:rsidRPr="0024114A" w:rsidRDefault="00C345C8" w:rsidP="002D6DD7">
            <w:pPr>
              <w:jc w:val="both"/>
              <w:rPr>
                <w:rFonts w:cs="Times New Roman"/>
                <w:szCs w:val="24"/>
                <w:lang w:val="en-US"/>
              </w:rPr>
            </w:pPr>
            <w:r w:rsidRPr="0024114A">
              <w:rPr>
                <w:rFonts w:cs="Times New Roman"/>
                <w:szCs w:val="24"/>
                <w:lang w:val="en-US"/>
              </w:rPr>
              <w:lastRenderedPageBreak/>
              <w:t>Contraindications</w:t>
            </w:r>
          </w:p>
        </w:tc>
        <w:tc>
          <w:tcPr>
            <w:tcW w:w="6840" w:type="dxa"/>
          </w:tcPr>
          <w:p w14:paraId="3E00A95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Acute porphyria, personal or family history of severe hepatic dysfunction, urea cycle disorders (risk of hyperammonemia), mitochondrial disorders </w:t>
            </w:r>
          </w:p>
        </w:tc>
      </w:tr>
      <w:tr w:rsidR="00C345C8" w:rsidRPr="0024114A" w14:paraId="72868ABF" w14:textId="77777777" w:rsidTr="002D6DD7">
        <w:tc>
          <w:tcPr>
            <w:tcW w:w="2605" w:type="dxa"/>
          </w:tcPr>
          <w:p w14:paraId="7F978F51"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840" w:type="dxa"/>
          </w:tcPr>
          <w:p w14:paraId="746219D9" w14:textId="77777777" w:rsidR="00C345C8" w:rsidRPr="0024114A" w:rsidRDefault="00C345C8" w:rsidP="002D6DD7">
            <w:pPr>
              <w:jc w:val="both"/>
              <w:rPr>
                <w:rFonts w:cs="Times New Roman"/>
                <w:szCs w:val="24"/>
                <w:lang w:val="en-US"/>
              </w:rPr>
            </w:pPr>
            <w:r w:rsidRPr="0024114A">
              <w:rPr>
                <w:rFonts w:cs="Times New Roman"/>
                <w:szCs w:val="24"/>
                <w:lang w:val="en-US"/>
              </w:rPr>
              <w:t>Acetazolamine, amitriptyline, carbamazepine, carbapenem antibiotics (imipenem, meropenem), chloroquine, chlorpromazine, cimetidine, clomipramine, ethosuximide, fluphenazine, haloperidol, mefloquine, phenobarbital, phenytoin, zidovudine and acetylsalicylic acid.</w:t>
            </w:r>
          </w:p>
        </w:tc>
      </w:tr>
      <w:tr w:rsidR="00C345C8" w:rsidRPr="0024114A" w14:paraId="6A09A62C" w14:textId="77777777" w:rsidTr="002D6DD7">
        <w:tc>
          <w:tcPr>
            <w:tcW w:w="2605" w:type="dxa"/>
          </w:tcPr>
          <w:p w14:paraId="2E85B766"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840" w:type="dxa"/>
          </w:tcPr>
          <w:p w14:paraId="5AD9A130" w14:textId="77777777" w:rsidR="00C345C8" w:rsidRPr="0024114A" w:rsidRDefault="00C345C8" w:rsidP="002D6DD7">
            <w:pPr>
              <w:jc w:val="both"/>
              <w:rPr>
                <w:rFonts w:cs="Times New Roman"/>
                <w:szCs w:val="24"/>
                <w:lang w:val="en-US"/>
              </w:rPr>
            </w:pPr>
            <w:r w:rsidRPr="0024114A">
              <w:rPr>
                <w:rFonts w:cs="Times New Roman"/>
                <w:szCs w:val="24"/>
                <w:lang w:val="en-US"/>
              </w:rPr>
              <w:t>Abdominal pain, agitation, alopecia, anemia, behaviorabnormal, concentration impaired, confusion, deafness, diarrhoea, drowsiness, hemorrhage, hallucination, headache, hepatic disorders, hypersensitivity, hyponatremia, memory loss, menstrual cycle irregularities, movement disorders, nail disorder, nausea, nystagmus, oral disorders, seizures, stupor. thrombocytopenia, tremor, urinary disorders, vomiting, weight increased, hepatic dysfunction, pancreatitis, hperammonemia.</w:t>
            </w:r>
          </w:p>
        </w:tc>
      </w:tr>
      <w:tr w:rsidR="00C345C8" w:rsidRPr="0024114A" w14:paraId="3100CDE5" w14:textId="77777777" w:rsidTr="002D6DD7">
        <w:tc>
          <w:tcPr>
            <w:tcW w:w="2605" w:type="dxa"/>
          </w:tcPr>
          <w:p w14:paraId="0F38C9DE"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840" w:type="dxa"/>
          </w:tcPr>
          <w:p w14:paraId="10A501FF"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Systemic lupus erythrethematosus, liver dysufunction, pregnancy </w:t>
            </w:r>
          </w:p>
          <w:p w14:paraId="254A5DE5" w14:textId="77777777" w:rsidR="00C345C8" w:rsidRPr="0024114A" w:rsidRDefault="00C345C8" w:rsidP="002D6DD7">
            <w:pPr>
              <w:jc w:val="both"/>
              <w:rPr>
                <w:rFonts w:cs="Times New Roman"/>
                <w:i/>
                <w:iCs/>
                <w:szCs w:val="24"/>
                <w:lang w:val="en-US"/>
              </w:rPr>
            </w:pPr>
            <w:r w:rsidRPr="0024114A">
              <w:rPr>
                <w:rFonts w:cs="Times New Roman"/>
                <w:i/>
                <w:iCs/>
                <w:szCs w:val="24"/>
                <w:lang w:val="en-US"/>
              </w:rPr>
              <w:t>Note: valproate must not be used in women and girls of childbearing potential unless other treatments are ineffective or not tolerated, as judged by an experienced specialist.</w:t>
            </w:r>
          </w:p>
        </w:tc>
      </w:tr>
      <w:tr w:rsidR="00C345C8" w:rsidRPr="0024114A" w14:paraId="7DB4C88B" w14:textId="77777777" w:rsidTr="002D6DD7">
        <w:tc>
          <w:tcPr>
            <w:tcW w:w="2605" w:type="dxa"/>
          </w:tcPr>
          <w:p w14:paraId="06E78A69"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840" w:type="dxa"/>
          </w:tcPr>
          <w:p w14:paraId="7BB584CE"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C.</w:t>
            </w:r>
          </w:p>
        </w:tc>
      </w:tr>
    </w:tbl>
    <w:p w14:paraId="1B7E8A7D" w14:textId="77777777" w:rsidR="00C345C8" w:rsidRPr="0024114A" w:rsidRDefault="00C345C8" w:rsidP="00C345C8">
      <w:pPr>
        <w:spacing w:after="0"/>
        <w:jc w:val="both"/>
        <w:rPr>
          <w:rFonts w:cs="Times New Roman"/>
          <w:szCs w:val="24"/>
        </w:rPr>
      </w:pPr>
    </w:p>
    <w:p w14:paraId="609398FA" w14:textId="77777777" w:rsidR="00C345C8" w:rsidRPr="004463FE" w:rsidRDefault="00C345C8" w:rsidP="004463FE">
      <w:pPr>
        <w:pStyle w:val="Heading2"/>
        <w:spacing w:before="240" w:after="240"/>
      </w:pPr>
      <w:bookmarkStart w:id="73" w:name="_Toc179490340"/>
      <w:r w:rsidRPr="004463FE">
        <w:t>Antiparkinsonian medicines</w:t>
      </w:r>
      <w:bookmarkEnd w:id="73"/>
    </w:p>
    <w:p w14:paraId="1960982C" w14:textId="77777777" w:rsidR="00C345C8" w:rsidRPr="0024114A" w:rsidRDefault="00C345C8" w:rsidP="00C345C8">
      <w:pPr>
        <w:pStyle w:val="Default"/>
        <w:spacing w:line="360" w:lineRule="auto"/>
        <w:jc w:val="both"/>
        <w:rPr>
          <w:color w:val="auto"/>
        </w:rPr>
      </w:pPr>
      <w:r w:rsidRPr="0024114A">
        <w:rPr>
          <w:color w:val="auto"/>
        </w:rPr>
        <w:t xml:space="preserve">Antiparkinsonian medicines are medicines used to treat the symptoms of Parkinson’s disease or other conditions of Parkinsonism. The major anti-Parkinson medicines are levodopa, dopamine-receptor agonists, amantadine, and the so-called catechol-O-methyltransferase (COMT) inhibitors, monoamine oxidase B (MAO-B) inhibitors, and muscarinic receptor antagonists. </w:t>
      </w:r>
      <w:r w:rsidRPr="0024114A">
        <w:rPr>
          <w:color w:val="auto"/>
        </w:rPr>
        <w:lastRenderedPageBreak/>
        <w:t xml:space="preserve">Before starting antiparkinsonian treatment, the patient’s individual circumstances, including symptoms, comorbidities and preferences, should be discussed together with the potential benefits and harms from the different drugs available. Patients and their care givers should be informed about the risk of adverse reactions from antiparkinsonian </w:t>
      </w:r>
      <w:r w:rsidRPr="0024114A">
        <w:rPr>
          <w:bCs/>
          <w:color w:val="auto"/>
        </w:rPr>
        <w:t>medicines</w:t>
      </w:r>
      <w:r w:rsidRPr="0024114A">
        <w:rPr>
          <w:color w:val="auto"/>
        </w:rPr>
        <w:t xml:space="preserve"> including psychotic symptoms, excessive sleepiness and sudden onset of sleep with dopamine-receptor agonists, and impulse control disorders with all dopaminergic therapy.</w:t>
      </w:r>
    </w:p>
    <w:tbl>
      <w:tblPr>
        <w:tblStyle w:val="TableGrid"/>
        <w:tblW w:w="0" w:type="auto"/>
        <w:tblLook w:val="04A0" w:firstRow="1" w:lastRow="0" w:firstColumn="1" w:lastColumn="0" w:noHBand="0" w:noVBand="1"/>
      </w:tblPr>
      <w:tblGrid>
        <w:gridCol w:w="2605"/>
        <w:gridCol w:w="6745"/>
      </w:tblGrid>
      <w:tr w:rsidR="00C345C8" w:rsidRPr="0024114A" w14:paraId="758B3DEE" w14:textId="77777777" w:rsidTr="002D6DD7">
        <w:tc>
          <w:tcPr>
            <w:tcW w:w="9350" w:type="dxa"/>
            <w:gridSpan w:val="2"/>
            <w:tcBorders>
              <w:top w:val="single" w:sz="4" w:space="0" w:color="auto"/>
              <w:left w:val="single" w:sz="4" w:space="0" w:color="auto"/>
              <w:bottom w:val="single" w:sz="4" w:space="0" w:color="auto"/>
              <w:right w:val="single" w:sz="4" w:space="0" w:color="auto"/>
            </w:tcBorders>
          </w:tcPr>
          <w:p w14:paraId="29BA924C" w14:textId="77777777" w:rsidR="00C345C8" w:rsidRPr="0024114A" w:rsidRDefault="00C345C8" w:rsidP="002D6DD7">
            <w:pPr>
              <w:jc w:val="both"/>
              <w:rPr>
                <w:rFonts w:cs="Times New Roman"/>
                <w:szCs w:val="24"/>
                <w:lang w:val="en-US"/>
              </w:rPr>
            </w:pPr>
            <w:r w:rsidRPr="0024114A">
              <w:rPr>
                <w:rFonts w:cs="Times New Roman"/>
                <w:b/>
                <w:bCs/>
                <w:szCs w:val="24"/>
              </w:rPr>
              <w:t>Benztropine</w:t>
            </w:r>
          </w:p>
        </w:tc>
      </w:tr>
      <w:tr w:rsidR="00C345C8" w:rsidRPr="0024114A" w14:paraId="16A78F0B" w14:textId="77777777" w:rsidTr="002D6DD7">
        <w:tc>
          <w:tcPr>
            <w:tcW w:w="2605" w:type="dxa"/>
            <w:tcBorders>
              <w:top w:val="single" w:sz="4" w:space="0" w:color="auto"/>
              <w:left w:val="single" w:sz="4" w:space="0" w:color="auto"/>
              <w:bottom w:val="single" w:sz="4" w:space="0" w:color="auto"/>
              <w:right w:val="single" w:sz="4" w:space="0" w:color="auto"/>
            </w:tcBorders>
          </w:tcPr>
          <w:p w14:paraId="79D3C8DF"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745" w:type="dxa"/>
            <w:tcBorders>
              <w:top w:val="single" w:sz="4" w:space="0" w:color="auto"/>
              <w:left w:val="single" w:sz="4" w:space="0" w:color="auto"/>
              <w:bottom w:val="single" w:sz="4" w:space="0" w:color="auto"/>
              <w:right w:val="single" w:sz="4" w:space="0" w:color="auto"/>
            </w:tcBorders>
          </w:tcPr>
          <w:p w14:paraId="4CCE0521" w14:textId="77777777" w:rsidR="00C345C8" w:rsidRPr="0024114A" w:rsidRDefault="00C345C8" w:rsidP="002D6DD7">
            <w:pPr>
              <w:jc w:val="both"/>
              <w:rPr>
                <w:rFonts w:cs="Times New Roman"/>
                <w:szCs w:val="24"/>
                <w:lang w:val="en-US"/>
              </w:rPr>
            </w:pPr>
            <w:r w:rsidRPr="0024114A">
              <w:rPr>
                <w:rFonts w:cs="Times New Roman"/>
                <w:szCs w:val="24"/>
                <w:lang w:val="en-US"/>
              </w:rPr>
              <w:t>Antimuscarinic drug</w:t>
            </w:r>
          </w:p>
        </w:tc>
      </w:tr>
      <w:tr w:rsidR="00C345C8" w:rsidRPr="0024114A" w14:paraId="0DDB466F" w14:textId="77777777" w:rsidTr="002D6DD7">
        <w:tc>
          <w:tcPr>
            <w:tcW w:w="2605" w:type="dxa"/>
            <w:tcBorders>
              <w:top w:val="single" w:sz="4" w:space="0" w:color="auto"/>
              <w:left w:val="single" w:sz="4" w:space="0" w:color="auto"/>
              <w:bottom w:val="single" w:sz="4" w:space="0" w:color="auto"/>
              <w:right w:val="single" w:sz="4" w:space="0" w:color="auto"/>
            </w:tcBorders>
          </w:tcPr>
          <w:p w14:paraId="35275A7C"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745" w:type="dxa"/>
            <w:tcBorders>
              <w:top w:val="single" w:sz="4" w:space="0" w:color="auto"/>
              <w:left w:val="single" w:sz="4" w:space="0" w:color="auto"/>
              <w:bottom w:val="single" w:sz="4" w:space="0" w:color="auto"/>
              <w:right w:val="single" w:sz="4" w:space="0" w:color="auto"/>
            </w:tcBorders>
          </w:tcPr>
          <w:p w14:paraId="41C71772" w14:textId="77777777" w:rsidR="00C345C8" w:rsidRPr="0024114A" w:rsidRDefault="00C345C8" w:rsidP="002D6DD7">
            <w:pPr>
              <w:pStyle w:val="Default"/>
              <w:spacing w:line="360" w:lineRule="auto"/>
              <w:jc w:val="both"/>
              <w:rPr>
                <w:color w:val="auto"/>
              </w:rPr>
            </w:pPr>
            <w:r w:rsidRPr="0024114A">
              <w:rPr>
                <w:color w:val="auto"/>
              </w:rPr>
              <w:t>Tablet: 1mg, 2mg</w:t>
            </w:r>
          </w:p>
        </w:tc>
      </w:tr>
      <w:tr w:rsidR="00C345C8" w:rsidRPr="0024114A" w14:paraId="04D77C88" w14:textId="77777777" w:rsidTr="002D6DD7">
        <w:tc>
          <w:tcPr>
            <w:tcW w:w="2605" w:type="dxa"/>
            <w:tcBorders>
              <w:top w:val="single" w:sz="4" w:space="0" w:color="auto"/>
              <w:left w:val="single" w:sz="4" w:space="0" w:color="auto"/>
              <w:bottom w:val="single" w:sz="4" w:space="0" w:color="auto"/>
              <w:right w:val="single" w:sz="4" w:space="0" w:color="auto"/>
            </w:tcBorders>
          </w:tcPr>
          <w:p w14:paraId="3029D7E2"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745" w:type="dxa"/>
            <w:tcBorders>
              <w:top w:val="single" w:sz="4" w:space="0" w:color="auto"/>
              <w:left w:val="single" w:sz="4" w:space="0" w:color="auto"/>
              <w:bottom w:val="single" w:sz="4" w:space="0" w:color="auto"/>
              <w:right w:val="single" w:sz="4" w:space="0" w:color="auto"/>
            </w:tcBorders>
          </w:tcPr>
          <w:p w14:paraId="504BBE7C" w14:textId="77777777" w:rsidR="00C345C8" w:rsidRPr="0024114A" w:rsidRDefault="00C345C8" w:rsidP="002D6DD7">
            <w:pPr>
              <w:jc w:val="both"/>
              <w:rPr>
                <w:rFonts w:cs="Times New Roman"/>
                <w:szCs w:val="24"/>
                <w:lang w:val="en-US"/>
              </w:rPr>
            </w:pPr>
            <w:r w:rsidRPr="0024114A">
              <w:rPr>
                <w:rFonts w:cs="Times New Roman"/>
                <w:szCs w:val="24"/>
                <w:lang w:val="en-US"/>
              </w:rPr>
              <w:t>Parkinson’s disease, drug induced extrapyramidal symptoms (except tardive dyskinesia)</w:t>
            </w:r>
          </w:p>
        </w:tc>
      </w:tr>
      <w:tr w:rsidR="00C345C8" w:rsidRPr="0024114A" w14:paraId="3E37E0A9" w14:textId="77777777" w:rsidTr="002D6DD7">
        <w:tc>
          <w:tcPr>
            <w:tcW w:w="2605" w:type="dxa"/>
            <w:tcBorders>
              <w:top w:val="single" w:sz="4" w:space="0" w:color="auto"/>
              <w:left w:val="single" w:sz="4" w:space="0" w:color="auto"/>
              <w:bottom w:val="single" w:sz="4" w:space="0" w:color="auto"/>
              <w:right w:val="single" w:sz="4" w:space="0" w:color="auto"/>
            </w:tcBorders>
          </w:tcPr>
          <w:p w14:paraId="59D12CF2"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t>Dose and administration</w:t>
            </w:r>
          </w:p>
        </w:tc>
        <w:tc>
          <w:tcPr>
            <w:tcW w:w="6745" w:type="dxa"/>
            <w:tcBorders>
              <w:top w:val="single" w:sz="4" w:space="0" w:color="auto"/>
              <w:left w:val="single" w:sz="4" w:space="0" w:color="auto"/>
              <w:bottom w:val="single" w:sz="4" w:space="0" w:color="auto"/>
              <w:right w:val="single" w:sz="4" w:space="0" w:color="auto"/>
            </w:tcBorders>
          </w:tcPr>
          <w:p w14:paraId="48B61AF4" w14:textId="77777777" w:rsidR="00C345C8" w:rsidRPr="0024114A" w:rsidRDefault="00C345C8" w:rsidP="002D6DD7">
            <w:pPr>
              <w:pStyle w:val="Default"/>
              <w:spacing w:line="360" w:lineRule="auto"/>
              <w:jc w:val="both"/>
              <w:rPr>
                <w:b/>
                <w:bCs/>
                <w:color w:val="auto"/>
              </w:rPr>
            </w:pPr>
            <w:r w:rsidRPr="0024114A">
              <w:rPr>
                <w:b/>
              </w:rPr>
              <w:t xml:space="preserve">Parkinson’s disease, drug induced extrapyramidal symptoms (except tardive dyskinesia), </w:t>
            </w:r>
            <w:r w:rsidRPr="009474AA">
              <w:rPr>
                <w:iCs/>
                <w:color w:val="auto"/>
              </w:rPr>
              <w:t>oral:</w:t>
            </w:r>
          </w:p>
          <w:p w14:paraId="0D34D0B8" w14:textId="77777777" w:rsidR="00C345C8" w:rsidRPr="0024114A" w:rsidRDefault="00C345C8" w:rsidP="002D6DD7">
            <w:pPr>
              <w:pStyle w:val="Default"/>
              <w:spacing w:line="360" w:lineRule="auto"/>
              <w:jc w:val="both"/>
              <w:rPr>
                <w:b/>
                <w:bCs/>
                <w:color w:val="auto"/>
              </w:rPr>
            </w:pPr>
            <w:r w:rsidRPr="0024114A">
              <w:rPr>
                <w:b/>
                <w:bCs/>
                <w:color w:val="auto"/>
              </w:rPr>
              <w:t xml:space="preserve">Adult: </w:t>
            </w:r>
            <w:r w:rsidRPr="0024114A">
              <w:rPr>
                <w:color w:val="auto"/>
              </w:rPr>
              <w:t xml:space="preserve">0.5–1 mg daily usually at bedtime, titrate dose in 0.5mg increments every five days, maximum 6 mg daily. </w:t>
            </w:r>
          </w:p>
        </w:tc>
      </w:tr>
      <w:tr w:rsidR="00C345C8" w:rsidRPr="0024114A" w14:paraId="716DB72F" w14:textId="77777777" w:rsidTr="002D6DD7">
        <w:tc>
          <w:tcPr>
            <w:tcW w:w="2605" w:type="dxa"/>
            <w:tcBorders>
              <w:top w:val="single" w:sz="4" w:space="0" w:color="auto"/>
              <w:left w:val="single" w:sz="4" w:space="0" w:color="auto"/>
              <w:bottom w:val="single" w:sz="4" w:space="0" w:color="auto"/>
              <w:right w:val="single" w:sz="4" w:space="0" w:color="auto"/>
            </w:tcBorders>
          </w:tcPr>
          <w:p w14:paraId="00B2879E"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745" w:type="dxa"/>
            <w:tcBorders>
              <w:top w:val="single" w:sz="4" w:space="0" w:color="auto"/>
              <w:left w:val="single" w:sz="4" w:space="0" w:color="auto"/>
              <w:bottom w:val="single" w:sz="4" w:space="0" w:color="auto"/>
              <w:right w:val="single" w:sz="4" w:space="0" w:color="auto"/>
            </w:tcBorders>
          </w:tcPr>
          <w:p w14:paraId="5C09722B"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children under three years of age, narrow angle glaucoma, tardive dyskinesia</w:t>
            </w:r>
          </w:p>
        </w:tc>
      </w:tr>
      <w:tr w:rsidR="00C345C8" w:rsidRPr="0024114A" w14:paraId="0F4E3496" w14:textId="77777777" w:rsidTr="002D6DD7">
        <w:tc>
          <w:tcPr>
            <w:tcW w:w="2605" w:type="dxa"/>
            <w:tcBorders>
              <w:top w:val="single" w:sz="4" w:space="0" w:color="auto"/>
              <w:left w:val="single" w:sz="4" w:space="0" w:color="auto"/>
              <w:bottom w:val="single" w:sz="4" w:space="0" w:color="auto"/>
              <w:right w:val="single" w:sz="4" w:space="0" w:color="auto"/>
            </w:tcBorders>
          </w:tcPr>
          <w:p w14:paraId="19196A08"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745" w:type="dxa"/>
            <w:tcBorders>
              <w:top w:val="single" w:sz="4" w:space="0" w:color="auto"/>
              <w:left w:val="single" w:sz="4" w:space="0" w:color="auto"/>
              <w:bottom w:val="single" w:sz="4" w:space="0" w:color="auto"/>
              <w:right w:val="single" w:sz="4" w:space="0" w:color="auto"/>
            </w:tcBorders>
          </w:tcPr>
          <w:p w14:paraId="7F05745E" w14:textId="77777777" w:rsidR="00C345C8" w:rsidRPr="0024114A" w:rsidRDefault="00C345C8" w:rsidP="002D6DD7">
            <w:pPr>
              <w:jc w:val="both"/>
              <w:rPr>
                <w:rFonts w:cs="Times New Roman"/>
                <w:szCs w:val="24"/>
                <w:lang w:val="en-US"/>
              </w:rPr>
            </w:pPr>
            <w:r w:rsidRPr="0024114A">
              <w:rPr>
                <w:rFonts w:cs="Times New Roman"/>
                <w:szCs w:val="24"/>
                <w:lang w:val="en-US"/>
              </w:rPr>
              <w:t>Antipsychotic drugs such as phenothiazine’s or haloperidol, tricyclic antidepressants, glucagon</w:t>
            </w:r>
          </w:p>
        </w:tc>
      </w:tr>
      <w:tr w:rsidR="00C345C8" w:rsidRPr="0024114A" w14:paraId="6F116386" w14:textId="77777777" w:rsidTr="002D6DD7">
        <w:tc>
          <w:tcPr>
            <w:tcW w:w="2605" w:type="dxa"/>
            <w:tcBorders>
              <w:top w:val="single" w:sz="4" w:space="0" w:color="auto"/>
              <w:left w:val="single" w:sz="4" w:space="0" w:color="auto"/>
              <w:bottom w:val="single" w:sz="4" w:space="0" w:color="auto"/>
              <w:right w:val="single" w:sz="4" w:space="0" w:color="auto"/>
            </w:tcBorders>
          </w:tcPr>
          <w:p w14:paraId="46440A7A"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745" w:type="dxa"/>
            <w:tcBorders>
              <w:top w:val="single" w:sz="4" w:space="0" w:color="auto"/>
              <w:left w:val="single" w:sz="4" w:space="0" w:color="auto"/>
              <w:bottom w:val="single" w:sz="4" w:space="0" w:color="auto"/>
              <w:right w:val="single" w:sz="4" w:space="0" w:color="auto"/>
            </w:tcBorders>
          </w:tcPr>
          <w:p w14:paraId="3B52B5B3" w14:textId="77777777" w:rsidR="00C345C8" w:rsidRPr="0024114A" w:rsidRDefault="00C345C8" w:rsidP="002D6DD7">
            <w:pPr>
              <w:pStyle w:val="Default"/>
              <w:spacing w:line="360" w:lineRule="auto"/>
              <w:jc w:val="both"/>
              <w:rPr>
                <w:color w:val="auto"/>
              </w:rPr>
            </w:pPr>
            <w:r w:rsidRPr="0024114A">
              <w:rPr>
                <w:color w:val="auto"/>
              </w:rPr>
              <w:t>Blurred vision, dilated pupils, urinary retention, dysuria, paralytic ileus, constipation, vomiting, nausea, dry oral, confusion, disorientation, memory impairment, visual hallucinations; exacerbation of preexisting psychotic symptoms, nervousness</w:t>
            </w:r>
          </w:p>
        </w:tc>
      </w:tr>
      <w:tr w:rsidR="00C345C8" w:rsidRPr="0024114A" w14:paraId="4E3094F4" w14:textId="77777777" w:rsidTr="002D6DD7">
        <w:tc>
          <w:tcPr>
            <w:tcW w:w="2605" w:type="dxa"/>
            <w:tcBorders>
              <w:top w:val="single" w:sz="4" w:space="0" w:color="auto"/>
              <w:left w:val="single" w:sz="4" w:space="0" w:color="auto"/>
              <w:bottom w:val="single" w:sz="4" w:space="0" w:color="auto"/>
              <w:right w:val="single" w:sz="4" w:space="0" w:color="auto"/>
            </w:tcBorders>
          </w:tcPr>
          <w:p w14:paraId="0924012C"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745" w:type="dxa"/>
            <w:tcBorders>
              <w:top w:val="single" w:sz="4" w:space="0" w:color="auto"/>
              <w:left w:val="single" w:sz="4" w:space="0" w:color="auto"/>
              <w:bottom w:val="single" w:sz="4" w:space="0" w:color="auto"/>
              <w:right w:val="single" w:sz="4" w:space="0" w:color="auto"/>
            </w:tcBorders>
          </w:tcPr>
          <w:p w14:paraId="454DA144"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Patients with obstructive gastrointestinal disease, patients with a tendency to tachycardia, patients with prostatic hypertrophy. </w:t>
            </w:r>
          </w:p>
        </w:tc>
      </w:tr>
      <w:tr w:rsidR="00C345C8" w:rsidRPr="0024114A" w14:paraId="50F18D9C" w14:textId="77777777" w:rsidTr="002D6DD7">
        <w:tc>
          <w:tcPr>
            <w:tcW w:w="2605" w:type="dxa"/>
            <w:tcBorders>
              <w:top w:val="single" w:sz="4" w:space="0" w:color="auto"/>
              <w:left w:val="single" w:sz="4" w:space="0" w:color="auto"/>
              <w:bottom w:val="single" w:sz="4" w:space="0" w:color="auto"/>
              <w:right w:val="single" w:sz="4" w:space="0" w:color="auto"/>
            </w:tcBorders>
          </w:tcPr>
          <w:p w14:paraId="38CF3A05"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745" w:type="dxa"/>
            <w:tcBorders>
              <w:top w:val="single" w:sz="4" w:space="0" w:color="auto"/>
              <w:left w:val="single" w:sz="4" w:space="0" w:color="auto"/>
              <w:bottom w:val="single" w:sz="4" w:space="0" w:color="auto"/>
              <w:right w:val="single" w:sz="4" w:space="0" w:color="auto"/>
            </w:tcBorders>
          </w:tcPr>
          <w:p w14:paraId="00F1A272"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 xml:space="preserve">C. </w:t>
            </w:r>
          </w:p>
        </w:tc>
      </w:tr>
      <w:tr w:rsidR="00C345C8" w:rsidRPr="0024114A" w14:paraId="6ECE5867" w14:textId="77777777" w:rsidTr="002D6DD7">
        <w:tc>
          <w:tcPr>
            <w:tcW w:w="9350" w:type="dxa"/>
            <w:gridSpan w:val="2"/>
            <w:tcBorders>
              <w:top w:val="single" w:sz="4" w:space="0" w:color="auto"/>
              <w:left w:val="single" w:sz="4" w:space="0" w:color="auto"/>
              <w:bottom w:val="single" w:sz="4" w:space="0" w:color="auto"/>
              <w:right w:val="single" w:sz="4" w:space="0" w:color="auto"/>
            </w:tcBorders>
          </w:tcPr>
          <w:p w14:paraId="5DD27B3A" w14:textId="77777777" w:rsidR="00C345C8" w:rsidRPr="0024114A" w:rsidRDefault="00C345C8" w:rsidP="002D6DD7">
            <w:pPr>
              <w:jc w:val="both"/>
              <w:rPr>
                <w:rFonts w:cs="Times New Roman"/>
                <w:szCs w:val="24"/>
                <w:lang w:val="en-US"/>
              </w:rPr>
            </w:pPr>
            <w:r w:rsidRPr="0024114A">
              <w:rPr>
                <w:rFonts w:cs="Times New Roman"/>
                <w:b/>
                <w:szCs w:val="24"/>
              </w:rPr>
              <w:t>Levodopa + Carbidopa</w:t>
            </w:r>
            <w:r w:rsidRPr="0024114A">
              <w:rPr>
                <w:rFonts w:cs="Times New Roman"/>
                <w:b/>
                <w:szCs w:val="24"/>
              </w:rPr>
              <w:fldChar w:fldCharType="begin"/>
            </w:r>
            <w:r w:rsidRPr="0024114A">
              <w:rPr>
                <w:rFonts w:cs="Times New Roman"/>
                <w:b/>
                <w:szCs w:val="24"/>
              </w:rPr>
              <w:instrText xml:space="preserve"> XE "Levodopa + Carbidopa" </w:instrText>
            </w:r>
            <w:r w:rsidRPr="0024114A">
              <w:rPr>
                <w:rFonts w:cs="Times New Roman"/>
                <w:b/>
                <w:szCs w:val="24"/>
              </w:rPr>
              <w:fldChar w:fldCharType="end"/>
            </w:r>
          </w:p>
        </w:tc>
      </w:tr>
      <w:tr w:rsidR="00C345C8" w:rsidRPr="0024114A" w14:paraId="02D3C7A0" w14:textId="77777777" w:rsidTr="002D6DD7">
        <w:tc>
          <w:tcPr>
            <w:tcW w:w="2605" w:type="dxa"/>
            <w:tcBorders>
              <w:top w:val="single" w:sz="4" w:space="0" w:color="auto"/>
              <w:left w:val="single" w:sz="4" w:space="0" w:color="auto"/>
              <w:bottom w:val="single" w:sz="4" w:space="0" w:color="auto"/>
              <w:right w:val="single" w:sz="4" w:space="0" w:color="auto"/>
            </w:tcBorders>
          </w:tcPr>
          <w:p w14:paraId="7D225CAD"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745" w:type="dxa"/>
            <w:tcBorders>
              <w:top w:val="single" w:sz="4" w:space="0" w:color="auto"/>
              <w:left w:val="single" w:sz="4" w:space="0" w:color="auto"/>
              <w:bottom w:val="single" w:sz="4" w:space="0" w:color="auto"/>
              <w:right w:val="single" w:sz="4" w:space="0" w:color="auto"/>
            </w:tcBorders>
          </w:tcPr>
          <w:p w14:paraId="2A4A6364" w14:textId="77777777" w:rsidR="00C345C8" w:rsidRPr="0024114A" w:rsidRDefault="00C345C8" w:rsidP="002D6DD7">
            <w:pPr>
              <w:jc w:val="both"/>
              <w:rPr>
                <w:rFonts w:cs="Times New Roman"/>
                <w:szCs w:val="24"/>
                <w:lang w:val="en-US"/>
              </w:rPr>
            </w:pPr>
            <w:r w:rsidRPr="0024114A">
              <w:rPr>
                <w:rFonts w:cs="Times New Roman"/>
                <w:szCs w:val="24"/>
                <w:lang w:val="en-US"/>
              </w:rPr>
              <w:t>Anti-Parkinson drugs</w:t>
            </w:r>
          </w:p>
        </w:tc>
      </w:tr>
      <w:tr w:rsidR="00C345C8" w:rsidRPr="0024114A" w14:paraId="06FBBD71" w14:textId="77777777" w:rsidTr="002D6DD7">
        <w:tc>
          <w:tcPr>
            <w:tcW w:w="2605" w:type="dxa"/>
            <w:tcBorders>
              <w:top w:val="single" w:sz="4" w:space="0" w:color="auto"/>
              <w:left w:val="single" w:sz="4" w:space="0" w:color="auto"/>
              <w:bottom w:val="single" w:sz="4" w:space="0" w:color="auto"/>
              <w:right w:val="single" w:sz="4" w:space="0" w:color="auto"/>
            </w:tcBorders>
          </w:tcPr>
          <w:p w14:paraId="119E05DE"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745" w:type="dxa"/>
            <w:tcBorders>
              <w:top w:val="single" w:sz="4" w:space="0" w:color="auto"/>
              <w:left w:val="single" w:sz="4" w:space="0" w:color="auto"/>
              <w:bottom w:val="single" w:sz="4" w:space="0" w:color="auto"/>
              <w:right w:val="single" w:sz="4" w:space="0" w:color="auto"/>
            </w:tcBorders>
          </w:tcPr>
          <w:p w14:paraId="7653C6BA" w14:textId="77777777" w:rsidR="00C345C8" w:rsidRPr="0024114A" w:rsidRDefault="00C345C8" w:rsidP="002D6DD7">
            <w:pPr>
              <w:pStyle w:val="Default"/>
              <w:spacing w:line="360" w:lineRule="auto"/>
              <w:jc w:val="both"/>
              <w:rPr>
                <w:color w:val="auto"/>
                <w:lang w:val="nb-NO"/>
              </w:rPr>
            </w:pPr>
            <w:r w:rsidRPr="0024114A">
              <w:rPr>
                <w:color w:val="auto"/>
                <w:lang w:val="nb-NO"/>
              </w:rPr>
              <w:t>Tablet: 100mg +10mg, 250mg +25mg</w:t>
            </w:r>
          </w:p>
        </w:tc>
      </w:tr>
      <w:tr w:rsidR="00C345C8" w:rsidRPr="0024114A" w14:paraId="33570E29" w14:textId="77777777" w:rsidTr="002D6DD7">
        <w:tc>
          <w:tcPr>
            <w:tcW w:w="2605" w:type="dxa"/>
            <w:tcBorders>
              <w:top w:val="single" w:sz="4" w:space="0" w:color="auto"/>
              <w:left w:val="single" w:sz="4" w:space="0" w:color="auto"/>
              <w:bottom w:val="single" w:sz="4" w:space="0" w:color="auto"/>
              <w:right w:val="single" w:sz="4" w:space="0" w:color="auto"/>
            </w:tcBorders>
          </w:tcPr>
          <w:p w14:paraId="029F52E0" w14:textId="77777777" w:rsidR="00C345C8" w:rsidRPr="0024114A" w:rsidRDefault="00C345C8" w:rsidP="002D6DD7">
            <w:pPr>
              <w:jc w:val="both"/>
              <w:rPr>
                <w:rFonts w:cs="Times New Roman"/>
                <w:szCs w:val="24"/>
                <w:lang w:val="en-US"/>
              </w:rPr>
            </w:pPr>
            <w:r w:rsidRPr="0024114A">
              <w:rPr>
                <w:rFonts w:cs="Times New Roman"/>
                <w:szCs w:val="24"/>
                <w:lang w:val="en-US"/>
              </w:rPr>
              <w:t>Indications</w:t>
            </w:r>
          </w:p>
        </w:tc>
        <w:tc>
          <w:tcPr>
            <w:tcW w:w="6745" w:type="dxa"/>
            <w:tcBorders>
              <w:top w:val="single" w:sz="4" w:space="0" w:color="auto"/>
              <w:left w:val="single" w:sz="4" w:space="0" w:color="auto"/>
              <w:bottom w:val="single" w:sz="4" w:space="0" w:color="auto"/>
              <w:right w:val="single" w:sz="4" w:space="0" w:color="auto"/>
            </w:tcBorders>
          </w:tcPr>
          <w:p w14:paraId="353AFF0B"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All forms of parkinsonism except drug induced parkinsonism. </w:t>
            </w:r>
          </w:p>
        </w:tc>
      </w:tr>
      <w:tr w:rsidR="00C345C8" w:rsidRPr="0024114A" w14:paraId="58A49E40" w14:textId="77777777" w:rsidTr="002D6DD7">
        <w:tc>
          <w:tcPr>
            <w:tcW w:w="2605" w:type="dxa"/>
            <w:tcBorders>
              <w:top w:val="single" w:sz="4" w:space="0" w:color="auto"/>
              <w:left w:val="single" w:sz="4" w:space="0" w:color="auto"/>
              <w:bottom w:val="single" w:sz="4" w:space="0" w:color="auto"/>
              <w:right w:val="single" w:sz="4" w:space="0" w:color="auto"/>
            </w:tcBorders>
          </w:tcPr>
          <w:p w14:paraId="2DC6F81D"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tcPr>
          <w:p w14:paraId="4529335F" w14:textId="77777777" w:rsidR="00C345C8" w:rsidRPr="0024114A" w:rsidRDefault="00C345C8" w:rsidP="002D6DD7">
            <w:pPr>
              <w:pStyle w:val="Default"/>
              <w:spacing w:line="360" w:lineRule="auto"/>
              <w:jc w:val="both"/>
              <w:rPr>
                <w:b/>
                <w:bCs/>
                <w:color w:val="auto"/>
              </w:rPr>
            </w:pPr>
            <w:r w:rsidRPr="0024114A">
              <w:rPr>
                <w:b/>
                <w:bCs/>
                <w:color w:val="auto"/>
              </w:rPr>
              <w:t xml:space="preserve">Adult: </w:t>
            </w:r>
            <w:r w:rsidRPr="0024114A">
              <w:rPr>
                <w:bCs/>
                <w:color w:val="auto"/>
              </w:rPr>
              <w:t>Initially 100 - 125 mg (expressed as levodopa) 3 - 4 times daily adjusted according to response. Maintenance: 0.75 - 2 g in divided doses.</w:t>
            </w:r>
          </w:p>
        </w:tc>
      </w:tr>
      <w:tr w:rsidR="00C345C8" w:rsidRPr="0024114A" w14:paraId="3D1460CB" w14:textId="77777777" w:rsidTr="002D6DD7">
        <w:tc>
          <w:tcPr>
            <w:tcW w:w="2605" w:type="dxa"/>
            <w:tcBorders>
              <w:top w:val="single" w:sz="4" w:space="0" w:color="auto"/>
              <w:left w:val="single" w:sz="4" w:space="0" w:color="auto"/>
              <w:bottom w:val="single" w:sz="4" w:space="0" w:color="auto"/>
              <w:right w:val="single" w:sz="4" w:space="0" w:color="auto"/>
            </w:tcBorders>
          </w:tcPr>
          <w:p w14:paraId="3E57D5D1"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745" w:type="dxa"/>
            <w:tcBorders>
              <w:top w:val="single" w:sz="4" w:space="0" w:color="auto"/>
              <w:left w:val="single" w:sz="4" w:space="0" w:color="auto"/>
              <w:bottom w:val="single" w:sz="4" w:space="0" w:color="auto"/>
              <w:right w:val="single" w:sz="4" w:space="0" w:color="auto"/>
            </w:tcBorders>
          </w:tcPr>
          <w:p w14:paraId="4AB2813A"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narrow-angle glaucoma, compensated endocrine, renal or hepatic function, cardiac disorders, psychiatric diseases, undiagnosed skin lesion, melanoma, history of myocardial infarction, residual arrhythmias, convulsive disorders,</w:t>
            </w:r>
            <w:r w:rsidR="009474AA">
              <w:rPr>
                <w:rFonts w:cs="Times New Roman"/>
                <w:szCs w:val="24"/>
                <w:lang w:val="en-US"/>
              </w:rPr>
              <w:t xml:space="preserve"> </w:t>
            </w:r>
            <w:r w:rsidRPr="0024114A">
              <w:rPr>
                <w:rFonts w:cs="Times New Roman"/>
                <w:szCs w:val="24"/>
                <w:lang w:val="en-US"/>
              </w:rPr>
              <w:t>pregnancy</w:t>
            </w:r>
            <w:r w:rsidR="009474AA">
              <w:rPr>
                <w:rFonts w:cs="Times New Roman"/>
                <w:szCs w:val="24"/>
                <w:lang w:val="en-US"/>
              </w:rPr>
              <w:t>.</w:t>
            </w:r>
          </w:p>
        </w:tc>
      </w:tr>
      <w:tr w:rsidR="00C345C8" w:rsidRPr="0024114A" w14:paraId="507A87E3" w14:textId="77777777" w:rsidTr="002D6DD7">
        <w:tc>
          <w:tcPr>
            <w:tcW w:w="2605" w:type="dxa"/>
            <w:tcBorders>
              <w:top w:val="single" w:sz="4" w:space="0" w:color="auto"/>
              <w:left w:val="single" w:sz="4" w:space="0" w:color="auto"/>
              <w:bottom w:val="single" w:sz="4" w:space="0" w:color="auto"/>
              <w:right w:val="single" w:sz="4" w:space="0" w:color="auto"/>
            </w:tcBorders>
          </w:tcPr>
          <w:p w14:paraId="51D2139A"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745" w:type="dxa"/>
            <w:tcBorders>
              <w:top w:val="single" w:sz="4" w:space="0" w:color="auto"/>
              <w:left w:val="single" w:sz="4" w:space="0" w:color="auto"/>
              <w:bottom w:val="single" w:sz="4" w:space="0" w:color="auto"/>
              <w:right w:val="single" w:sz="4" w:space="0" w:color="auto"/>
            </w:tcBorders>
          </w:tcPr>
          <w:p w14:paraId="0346DC3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Metoclopramide, MAOIs (isocarboxazid, phenelzine, selegiline), procarbazine, </w:t>
            </w:r>
            <w:r w:rsidRPr="0024114A">
              <w:rPr>
                <w:rFonts w:cs="Times New Roman"/>
                <w:spacing w:val="2"/>
                <w:szCs w:val="24"/>
              </w:rPr>
              <w:t>linezolid, clonidine, anticholinergics, tricyclic antidepressant, phenothiazines, phenytoin, droperidol, haloperidol, oral iron, isoniazid.</w:t>
            </w:r>
          </w:p>
        </w:tc>
      </w:tr>
      <w:tr w:rsidR="00C345C8" w:rsidRPr="0024114A" w14:paraId="360AA7A0" w14:textId="77777777" w:rsidTr="002D6DD7">
        <w:tc>
          <w:tcPr>
            <w:tcW w:w="2605" w:type="dxa"/>
            <w:tcBorders>
              <w:top w:val="single" w:sz="4" w:space="0" w:color="auto"/>
              <w:left w:val="single" w:sz="4" w:space="0" w:color="auto"/>
              <w:bottom w:val="single" w:sz="4" w:space="0" w:color="auto"/>
              <w:right w:val="single" w:sz="4" w:space="0" w:color="auto"/>
            </w:tcBorders>
          </w:tcPr>
          <w:p w14:paraId="07BBF6DF"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745" w:type="dxa"/>
            <w:tcBorders>
              <w:top w:val="single" w:sz="4" w:space="0" w:color="auto"/>
              <w:left w:val="single" w:sz="4" w:space="0" w:color="auto"/>
              <w:bottom w:val="single" w:sz="4" w:space="0" w:color="auto"/>
              <w:right w:val="single" w:sz="4" w:space="0" w:color="auto"/>
            </w:tcBorders>
          </w:tcPr>
          <w:p w14:paraId="50FA869A" w14:textId="77777777" w:rsidR="00C345C8" w:rsidRPr="0024114A" w:rsidRDefault="00C345C8" w:rsidP="002D6DD7">
            <w:pPr>
              <w:jc w:val="both"/>
              <w:rPr>
                <w:rFonts w:cs="Times New Roman"/>
                <w:szCs w:val="24"/>
                <w:lang w:val="en-US"/>
              </w:rPr>
            </w:pPr>
            <w:r w:rsidRPr="0024114A">
              <w:rPr>
                <w:rFonts w:cs="Times New Roman"/>
                <w:szCs w:val="24"/>
                <w:lang w:val="en-US"/>
              </w:rPr>
              <w:t>Anxiety, confusion, nervousness, mental depression, psychotic symptoms, anorexia, nausea and vomiting, diarrhoea, insomnia, agitation, postural hypotension, dizziness, chest pain, tachycardia, arrhythmias, reddish discoloration of urine and other body fluid, dyskinesia, muscle twitching, blepharospasm, gastrointestinal bleeding, development of duodenal ulcer, dark saliva, leukopenia, hemolytic and non-hemolytic anemia, thrombocytopenia, agranulocytosis, angioedema, urticaria, pruritus, paraesthesia, increased libido, dyspnea, alopecia, rash, dark sweat, dark urine.</w:t>
            </w:r>
          </w:p>
        </w:tc>
      </w:tr>
      <w:tr w:rsidR="00C345C8" w:rsidRPr="0024114A" w14:paraId="09DBCE91" w14:textId="77777777" w:rsidTr="002D6DD7">
        <w:tc>
          <w:tcPr>
            <w:tcW w:w="2605" w:type="dxa"/>
            <w:tcBorders>
              <w:top w:val="single" w:sz="4" w:space="0" w:color="auto"/>
              <w:left w:val="single" w:sz="4" w:space="0" w:color="auto"/>
              <w:bottom w:val="single" w:sz="4" w:space="0" w:color="auto"/>
              <w:right w:val="single" w:sz="4" w:space="0" w:color="auto"/>
            </w:tcBorders>
          </w:tcPr>
          <w:p w14:paraId="51CD6B42"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745" w:type="dxa"/>
            <w:tcBorders>
              <w:top w:val="single" w:sz="4" w:space="0" w:color="auto"/>
              <w:left w:val="single" w:sz="4" w:space="0" w:color="auto"/>
              <w:bottom w:val="single" w:sz="4" w:space="0" w:color="auto"/>
              <w:right w:val="single" w:sz="4" w:space="0" w:color="auto"/>
            </w:tcBorders>
          </w:tcPr>
          <w:p w14:paraId="50989D6A" w14:textId="77777777" w:rsidR="00C345C8" w:rsidRPr="0024114A" w:rsidRDefault="00C345C8" w:rsidP="002D6DD7">
            <w:pPr>
              <w:jc w:val="both"/>
              <w:rPr>
                <w:rFonts w:cs="Times New Roman"/>
                <w:szCs w:val="24"/>
                <w:lang w:val="en-US"/>
              </w:rPr>
            </w:pPr>
            <w:r w:rsidRPr="0024114A">
              <w:rPr>
                <w:rFonts w:cs="Times New Roman"/>
                <w:szCs w:val="24"/>
                <w:lang w:val="en-US"/>
              </w:rPr>
              <w:t>Risk of depression with concomitant suicidal tendencies, cardiovascular disease or pulmonary disease, bronchial asthma, hepatic impairment, renal impairment, endocrine disease (Cushing’s syndrome, diabetes mellitus, hyperthyroidism), chronic wide-angle glaucoma, history of convulsion and peptic ulcer, osteomalacia, pheochromocytoma, women of childbearing age</w:t>
            </w:r>
          </w:p>
        </w:tc>
      </w:tr>
      <w:tr w:rsidR="00C345C8" w:rsidRPr="0024114A" w14:paraId="23AB2748" w14:textId="77777777" w:rsidTr="002D6DD7">
        <w:tc>
          <w:tcPr>
            <w:tcW w:w="2605" w:type="dxa"/>
            <w:tcBorders>
              <w:top w:val="single" w:sz="4" w:space="0" w:color="auto"/>
              <w:left w:val="single" w:sz="4" w:space="0" w:color="auto"/>
              <w:bottom w:val="single" w:sz="4" w:space="0" w:color="auto"/>
              <w:right w:val="single" w:sz="4" w:space="0" w:color="auto"/>
            </w:tcBorders>
          </w:tcPr>
          <w:p w14:paraId="50904919"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745" w:type="dxa"/>
            <w:tcBorders>
              <w:top w:val="single" w:sz="4" w:space="0" w:color="auto"/>
              <w:left w:val="single" w:sz="4" w:space="0" w:color="auto"/>
              <w:bottom w:val="single" w:sz="4" w:space="0" w:color="auto"/>
              <w:right w:val="single" w:sz="4" w:space="0" w:color="auto"/>
            </w:tcBorders>
          </w:tcPr>
          <w:p w14:paraId="4A51154E"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0</w:t>
            </w:r>
            <w:r w:rsidRPr="0024114A">
              <w:rPr>
                <w:rFonts w:cs="Times New Roman"/>
                <w:szCs w:val="24"/>
                <w:lang w:val="en-US"/>
              </w:rPr>
              <w:t>C.</w:t>
            </w:r>
          </w:p>
        </w:tc>
      </w:tr>
      <w:tr w:rsidR="00C345C8" w:rsidRPr="0024114A" w14:paraId="675F29E4" w14:textId="77777777" w:rsidTr="002D6DD7">
        <w:tc>
          <w:tcPr>
            <w:tcW w:w="9350" w:type="dxa"/>
            <w:gridSpan w:val="2"/>
            <w:tcBorders>
              <w:top w:val="single" w:sz="4" w:space="0" w:color="auto"/>
              <w:left w:val="single" w:sz="4" w:space="0" w:color="auto"/>
              <w:bottom w:val="single" w:sz="4" w:space="0" w:color="auto"/>
              <w:right w:val="single" w:sz="4" w:space="0" w:color="auto"/>
            </w:tcBorders>
          </w:tcPr>
          <w:p w14:paraId="780EB5BE" w14:textId="77777777" w:rsidR="00C345C8" w:rsidRPr="0024114A" w:rsidRDefault="00C345C8" w:rsidP="002D6DD7">
            <w:pPr>
              <w:jc w:val="both"/>
              <w:rPr>
                <w:rFonts w:cs="Times New Roman"/>
                <w:b/>
                <w:bCs/>
                <w:szCs w:val="24"/>
                <w:lang w:val="en-US"/>
              </w:rPr>
            </w:pPr>
            <w:r w:rsidRPr="0024114A">
              <w:rPr>
                <w:rFonts w:cs="Times New Roman"/>
                <w:b/>
                <w:bCs/>
                <w:szCs w:val="24"/>
              </w:rPr>
              <w:t>Trihexyphenidyl (benzhexol)</w:t>
            </w:r>
          </w:p>
        </w:tc>
      </w:tr>
      <w:tr w:rsidR="00C345C8" w:rsidRPr="0024114A" w14:paraId="159ECC6C" w14:textId="77777777" w:rsidTr="002D6DD7">
        <w:tc>
          <w:tcPr>
            <w:tcW w:w="2605" w:type="dxa"/>
            <w:tcBorders>
              <w:top w:val="single" w:sz="4" w:space="0" w:color="auto"/>
              <w:left w:val="single" w:sz="4" w:space="0" w:color="auto"/>
              <w:bottom w:val="single" w:sz="4" w:space="0" w:color="auto"/>
              <w:right w:val="single" w:sz="4" w:space="0" w:color="auto"/>
            </w:tcBorders>
          </w:tcPr>
          <w:p w14:paraId="48D6F103" w14:textId="77777777" w:rsidR="00C345C8" w:rsidRPr="0024114A" w:rsidRDefault="00C345C8" w:rsidP="002D6DD7">
            <w:pPr>
              <w:jc w:val="both"/>
              <w:rPr>
                <w:rFonts w:cs="Times New Roman"/>
                <w:szCs w:val="24"/>
                <w:lang w:val="en-US"/>
              </w:rPr>
            </w:pPr>
            <w:r w:rsidRPr="0024114A">
              <w:rPr>
                <w:rFonts w:cs="Times New Roman"/>
                <w:szCs w:val="24"/>
                <w:lang w:val="en-US"/>
              </w:rPr>
              <w:t>Pharmacological class</w:t>
            </w:r>
          </w:p>
        </w:tc>
        <w:tc>
          <w:tcPr>
            <w:tcW w:w="6745" w:type="dxa"/>
            <w:tcBorders>
              <w:top w:val="single" w:sz="4" w:space="0" w:color="auto"/>
              <w:left w:val="single" w:sz="4" w:space="0" w:color="auto"/>
              <w:bottom w:val="single" w:sz="4" w:space="0" w:color="auto"/>
              <w:right w:val="single" w:sz="4" w:space="0" w:color="auto"/>
            </w:tcBorders>
          </w:tcPr>
          <w:p w14:paraId="78E8CA1E" w14:textId="77777777" w:rsidR="00C345C8" w:rsidRPr="0024114A" w:rsidRDefault="00C345C8" w:rsidP="002D6DD7">
            <w:pPr>
              <w:jc w:val="both"/>
              <w:rPr>
                <w:rFonts w:cs="Times New Roman"/>
                <w:szCs w:val="24"/>
                <w:lang w:val="en-US"/>
              </w:rPr>
            </w:pPr>
            <w:r w:rsidRPr="0024114A">
              <w:rPr>
                <w:rFonts w:cs="Times New Roman"/>
                <w:szCs w:val="24"/>
                <w:lang w:val="en-US"/>
              </w:rPr>
              <w:t>Antimuscarinic drug</w:t>
            </w:r>
          </w:p>
        </w:tc>
      </w:tr>
      <w:tr w:rsidR="00C345C8" w:rsidRPr="0024114A" w14:paraId="0291E30A" w14:textId="77777777" w:rsidTr="002D6DD7">
        <w:tc>
          <w:tcPr>
            <w:tcW w:w="2605" w:type="dxa"/>
            <w:tcBorders>
              <w:top w:val="single" w:sz="4" w:space="0" w:color="auto"/>
              <w:left w:val="single" w:sz="4" w:space="0" w:color="auto"/>
              <w:bottom w:val="single" w:sz="4" w:space="0" w:color="auto"/>
              <w:right w:val="single" w:sz="4" w:space="0" w:color="auto"/>
            </w:tcBorders>
          </w:tcPr>
          <w:p w14:paraId="081517E4" w14:textId="77777777" w:rsidR="00C345C8" w:rsidRPr="0024114A" w:rsidRDefault="00C345C8" w:rsidP="002D6DD7">
            <w:pPr>
              <w:jc w:val="both"/>
              <w:rPr>
                <w:rFonts w:cs="Times New Roman"/>
                <w:szCs w:val="24"/>
                <w:lang w:val="en-US"/>
              </w:rPr>
            </w:pPr>
            <w:r w:rsidRPr="0024114A">
              <w:rPr>
                <w:rFonts w:cs="Times New Roman"/>
                <w:szCs w:val="24"/>
                <w:lang w:val="en-US"/>
              </w:rPr>
              <w:t>Dosage form</w:t>
            </w:r>
          </w:p>
        </w:tc>
        <w:tc>
          <w:tcPr>
            <w:tcW w:w="6745" w:type="dxa"/>
            <w:tcBorders>
              <w:top w:val="single" w:sz="4" w:space="0" w:color="auto"/>
              <w:left w:val="single" w:sz="4" w:space="0" w:color="auto"/>
              <w:bottom w:val="single" w:sz="4" w:space="0" w:color="auto"/>
              <w:right w:val="single" w:sz="4" w:space="0" w:color="auto"/>
            </w:tcBorders>
          </w:tcPr>
          <w:p w14:paraId="2C423256" w14:textId="77777777" w:rsidR="00C345C8" w:rsidRPr="0024114A" w:rsidRDefault="00C345C8" w:rsidP="002D6DD7">
            <w:pPr>
              <w:pStyle w:val="Default"/>
              <w:spacing w:line="360" w:lineRule="auto"/>
              <w:jc w:val="both"/>
              <w:rPr>
                <w:iCs/>
                <w:color w:val="auto"/>
              </w:rPr>
            </w:pPr>
            <w:r w:rsidRPr="0024114A">
              <w:rPr>
                <w:color w:val="auto"/>
              </w:rPr>
              <w:t>Tablet: 2mg, 5mg</w:t>
            </w:r>
          </w:p>
        </w:tc>
      </w:tr>
      <w:tr w:rsidR="00C345C8" w:rsidRPr="0024114A" w14:paraId="1FC55311" w14:textId="77777777" w:rsidTr="002D6DD7">
        <w:tc>
          <w:tcPr>
            <w:tcW w:w="2605" w:type="dxa"/>
            <w:tcBorders>
              <w:top w:val="single" w:sz="4" w:space="0" w:color="auto"/>
              <w:left w:val="single" w:sz="4" w:space="0" w:color="auto"/>
              <w:bottom w:val="single" w:sz="4" w:space="0" w:color="auto"/>
              <w:right w:val="single" w:sz="4" w:space="0" w:color="auto"/>
            </w:tcBorders>
          </w:tcPr>
          <w:p w14:paraId="31BFA949" w14:textId="77777777" w:rsidR="00C345C8" w:rsidRPr="00447A72" w:rsidRDefault="00C345C8" w:rsidP="002D6DD7">
            <w:pPr>
              <w:jc w:val="both"/>
              <w:rPr>
                <w:rFonts w:cs="Times New Roman"/>
                <w:szCs w:val="24"/>
                <w:lang w:val="en-US"/>
              </w:rPr>
            </w:pPr>
            <w:r w:rsidRPr="00447A72">
              <w:rPr>
                <w:rFonts w:cs="Times New Roman"/>
                <w:szCs w:val="24"/>
                <w:lang w:val="en-US"/>
              </w:rPr>
              <w:t>Indications</w:t>
            </w:r>
          </w:p>
        </w:tc>
        <w:tc>
          <w:tcPr>
            <w:tcW w:w="6745" w:type="dxa"/>
            <w:tcBorders>
              <w:top w:val="single" w:sz="4" w:space="0" w:color="auto"/>
              <w:left w:val="single" w:sz="4" w:space="0" w:color="auto"/>
              <w:bottom w:val="single" w:sz="4" w:space="0" w:color="auto"/>
              <w:right w:val="single" w:sz="4" w:space="0" w:color="auto"/>
            </w:tcBorders>
          </w:tcPr>
          <w:p w14:paraId="20CE2745"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Parkinson’s disease, drug induced extrapyramidal symptoms (but </w:t>
            </w:r>
            <w:r w:rsidRPr="0024114A">
              <w:rPr>
                <w:rFonts w:cs="Times New Roman"/>
                <w:szCs w:val="24"/>
                <w:lang w:val="en-US"/>
              </w:rPr>
              <w:lastRenderedPageBreak/>
              <w:t>not tardive dyskinesia).</w:t>
            </w:r>
          </w:p>
        </w:tc>
      </w:tr>
      <w:tr w:rsidR="00C345C8" w:rsidRPr="0024114A" w14:paraId="1B4E4970" w14:textId="77777777" w:rsidTr="002D6DD7">
        <w:tc>
          <w:tcPr>
            <w:tcW w:w="2605" w:type="dxa"/>
            <w:tcBorders>
              <w:top w:val="single" w:sz="4" w:space="0" w:color="auto"/>
              <w:left w:val="single" w:sz="4" w:space="0" w:color="auto"/>
              <w:bottom w:val="single" w:sz="4" w:space="0" w:color="auto"/>
              <w:right w:val="single" w:sz="4" w:space="0" w:color="auto"/>
            </w:tcBorders>
          </w:tcPr>
          <w:p w14:paraId="70107436" w14:textId="77777777" w:rsidR="00C345C8" w:rsidRPr="0024114A" w:rsidRDefault="00C345C8" w:rsidP="002D6DD7">
            <w:pPr>
              <w:jc w:val="both"/>
              <w:rPr>
                <w:rFonts w:cs="Times New Roman"/>
                <w:szCs w:val="24"/>
                <w:lang w:val="en-US"/>
              </w:rPr>
            </w:pPr>
            <w:r w:rsidRPr="0024114A">
              <w:rPr>
                <w:rFonts w:eastAsia="Times New Roman" w:cs="Times New Roman"/>
                <w:szCs w:val="24"/>
                <w:lang w:val="en-US"/>
              </w:rPr>
              <w:lastRenderedPageBreak/>
              <w:t>Dose and administration</w:t>
            </w:r>
          </w:p>
        </w:tc>
        <w:tc>
          <w:tcPr>
            <w:tcW w:w="6745" w:type="dxa"/>
            <w:tcBorders>
              <w:top w:val="single" w:sz="4" w:space="0" w:color="auto"/>
              <w:left w:val="single" w:sz="4" w:space="0" w:color="auto"/>
              <w:bottom w:val="single" w:sz="4" w:space="0" w:color="auto"/>
              <w:right w:val="single" w:sz="4" w:space="0" w:color="auto"/>
            </w:tcBorders>
          </w:tcPr>
          <w:p w14:paraId="42472EEF" w14:textId="77777777" w:rsidR="00C345C8" w:rsidRPr="0024114A" w:rsidRDefault="00C345C8" w:rsidP="002D6DD7">
            <w:pPr>
              <w:pStyle w:val="Default"/>
              <w:spacing w:line="360" w:lineRule="auto"/>
              <w:jc w:val="both"/>
              <w:rPr>
                <w:b/>
                <w:color w:val="auto"/>
              </w:rPr>
            </w:pPr>
            <w:r w:rsidRPr="0024114A">
              <w:rPr>
                <w:b/>
                <w:color w:val="auto"/>
              </w:rPr>
              <w:t>Parkinson’s disease, d</w:t>
            </w:r>
            <w:r w:rsidRPr="0024114A">
              <w:rPr>
                <w:b/>
                <w:iCs/>
                <w:color w:val="auto"/>
              </w:rPr>
              <w:t>rug-induced Parkinsonism</w:t>
            </w:r>
            <w:r w:rsidRPr="0024114A">
              <w:rPr>
                <w:b/>
                <w:color w:val="auto"/>
              </w:rPr>
              <w:t xml:space="preserve">, </w:t>
            </w:r>
            <w:r w:rsidRPr="00447A72">
              <w:rPr>
                <w:color w:val="auto"/>
              </w:rPr>
              <w:t>oral</w:t>
            </w:r>
            <w:r w:rsidRPr="0024114A">
              <w:rPr>
                <w:b/>
                <w:color w:val="auto"/>
              </w:rPr>
              <w:t>:</w:t>
            </w:r>
          </w:p>
          <w:p w14:paraId="3FE04F48" w14:textId="77777777" w:rsidR="00C345C8" w:rsidRPr="0024114A" w:rsidRDefault="00C345C8" w:rsidP="002D6DD7">
            <w:pPr>
              <w:pStyle w:val="Default"/>
              <w:spacing w:line="360" w:lineRule="auto"/>
              <w:jc w:val="both"/>
              <w:rPr>
                <w:b/>
                <w:color w:val="auto"/>
              </w:rPr>
            </w:pPr>
            <w:r w:rsidRPr="0024114A">
              <w:rPr>
                <w:b/>
                <w:bCs/>
                <w:color w:val="auto"/>
              </w:rPr>
              <w:t>Adult</w:t>
            </w:r>
            <w:r w:rsidRPr="0024114A">
              <w:rPr>
                <w:bCs/>
                <w:color w:val="auto"/>
              </w:rPr>
              <w:t xml:space="preserve">: 1 mg daily, then increased in steps of 2 mg every 3–5 days, adjusted according to response; maintenance 5–15 mg daily in 3–4 divided doses (max. 20 mg per day).  </w:t>
            </w:r>
          </w:p>
        </w:tc>
      </w:tr>
      <w:tr w:rsidR="00C345C8" w:rsidRPr="0024114A" w14:paraId="65E471E1" w14:textId="77777777" w:rsidTr="002D6DD7">
        <w:tc>
          <w:tcPr>
            <w:tcW w:w="2605" w:type="dxa"/>
            <w:tcBorders>
              <w:top w:val="single" w:sz="4" w:space="0" w:color="auto"/>
              <w:left w:val="single" w:sz="4" w:space="0" w:color="auto"/>
              <w:bottom w:val="single" w:sz="4" w:space="0" w:color="auto"/>
              <w:right w:val="single" w:sz="4" w:space="0" w:color="auto"/>
            </w:tcBorders>
          </w:tcPr>
          <w:p w14:paraId="2563FDB8" w14:textId="77777777" w:rsidR="00C345C8" w:rsidRPr="0024114A" w:rsidRDefault="00C345C8" w:rsidP="002D6DD7">
            <w:pPr>
              <w:jc w:val="both"/>
              <w:rPr>
                <w:rFonts w:cs="Times New Roman"/>
                <w:szCs w:val="24"/>
                <w:lang w:val="en-US"/>
              </w:rPr>
            </w:pPr>
            <w:r w:rsidRPr="0024114A">
              <w:rPr>
                <w:rFonts w:cs="Times New Roman"/>
                <w:szCs w:val="24"/>
                <w:lang w:val="en-US"/>
              </w:rPr>
              <w:t>Contraindications</w:t>
            </w:r>
          </w:p>
        </w:tc>
        <w:tc>
          <w:tcPr>
            <w:tcW w:w="6745" w:type="dxa"/>
            <w:tcBorders>
              <w:top w:val="single" w:sz="4" w:space="0" w:color="auto"/>
              <w:left w:val="single" w:sz="4" w:space="0" w:color="auto"/>
              <w:bottom w:val="single" w:sz="4" w:space="0" w:color="auto"/>
              <w:right w:val="single" w:sz="4" w:space="0" w:color="auto"/>
            </w:tcBorders>
          </w:tcPr>
          <w:p w14:paraId="08093FE2" w14:textId="77777777" w:rsidR="00C345C8" w:rsidRPr="0024114A" w:rsidRDefault="00C345C8" w:rsidP="002D6DD7">
            <w:pPr>
              <w:jc w:val="both"/>
              <w:rPr>
                <w:rFonts w:cs="Times New Roman"/>
                <w:szCs w:val="24"/>
                <w:lang w:val="en-US"/>
              </w:rPr>
            </w:pPr>
            <w:r w:rsidRPr="0024114A">
              <w:rPr>
                <w:rFonts w:cs="Times New Roman"/>
                <w:szCs w:val="24"/>
                <w:lang w:val="en-US"/>
              </w:rPr>
              <w:t>Hypersensitivity to the drug, children under 3 years, narrow-angle glaucoma, tardive dyskinesias, prostatic enlargement, paralytic ileus, chronic pulmonary disease, sick sinus syndrome, thyrotoxicosis, cardiac failure with tachycardia, myasthenia gravis.</w:t>
            </w:r>
          </w:p>
        </w:tc>
      </w:tr>
      <w:tr w:rsidR="00C345C8" w:rsidRPr="0024114A" w14:paraId="5DF7DB31" w14:textId="77777777" w:rsidTr="002D6DD7">
        <w:tc>
          <w:tcPr>
            <w:tcW w:w="2605" w:type="dxa"/>
            <w:tcBorders>
              <w:top w:val="single" w:sz="4" w:space="0" w:color="auto"/>
              <w:left w:val="single" w:sz="4" w:space="0" w:color="auto"/>
              <w:bottom w:val="single" w:sz="4" w:space="0" w:color="auto"/>
              <w:right w:val="single" w:sz="4" w:space="0" w:color="auto"/>
            </w:tcBorders>
          </w:tcPr>
          <w:p w14:paraId="07F1A819" w14:textId="77777777" w:rsidR="00C345C8" w:rsidRPr="0024114A" w:rsidRDefault="00C345C8" w:rsidP="002D6DD7">
            <w:pPr>
              <w:jc w:val="both"/>
              <w:rPr>
                <w:rFonts w:cs="Times New Roman"/>
                <w:szCs w:val="24"/>
                <w:lang w:val="en-US"/>
              </w:rPr>
            </w:pPr>
            <w:r w:rsidRPr="0024114A">
              <w:rPr>
                <w:rFonts w:cs="Times New Roman"/>
                <w:szCs w:val="24"/>
                <w:lang w:val="en-US"/>
              </w:rPr>
              <w:t>Drug interactions</w:t>
            </w:r>
          </w:p>
        </w:tc>
        <w:tc>
          <w:tcPr>
            <w:tcW w:w="6745" w:type="dxa"/>
            <w:tcBorders>
              <w:top w:val="single" w:sz="4" w:space="0" w:color="auto"/>
              <w:left w:val="single" w:sz="4" w:space="0" w:color="auto"/>
              <w:bottom w:val="single" w:sz="4" w:space="0" w:color="auto"/>
              <w:right w:val="single" w:sz="4" w:space="0" w:color="auto"/>
            </w:tcBorders>
          </w:tcPr>
          <w:p w14:paraId="5CCA7503"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Phenothiazine, TCAs, amantadine, levodopa, metoclopramide, quinidine, clozapine, </w:t>
            </w:r>
          </w:p>
        </w:tc>
      </w:tr>
      <w:tr w:rsidR="00C345C8" w:rsidRPr="0024114A" w14:paraId="6FD3A523" w14:textId="77777777" w:rsidTr="002D6DD7">
        <w:tc>
          <w:tcPr>
            <w:tcW w:w="2605" w:type="dxa"/>
            <w:tcBorders>
              <w:top w:val="single" w:sz="4" w:space="0" w:color="auto"/>
              <w:left w:val="single" w:sz="4" w:space="0" w:color="auto"/>
              <w:bottom w:val="single" w:sz="4" w:space="0" w:color="auto"/>
              <w:right w:val="single" w:sz="4" w:space="0" w:color="auto"/>
            </w:tcBorders>
          </w:tcPr>
          <w:p w14:paraId="08A0BE3F" w14:textId="77777777" w:rsidR="00C345C8" w:rsidRPr="0024114A" w:rsidRDefault="00C345C8" w:rsidP="002D6DD7">
            <w:pPr>
              <w:jc w:val="both"/>
              <w:rPr>
                <w:rFonts w:cs="Times New Roman"/>
                <w:szCs w:val="24"/>
                <w:lang w:val="en-US"/>
              </w:rPr>
            </w:pPr>
            <w:r w:rsidRPr="0024114A">
              <w:rPr>
                <w:rFonts w:cs="Times New Roman"/>
                <w:szCs w:val="24"/>
                <w:lang w:val="en-US"/>
              </w:rPr>
              <w:t>Side effects</w:t>
            </w:r>
          </w:p>
        </w:tc>
        <w:tc>
          <w:tcPr>
            <w:tcW w:w="6745" w:type="dxa"/>
            <w:tcBorders>
              <w:top w:val="single" w:sz="4" w:space="0" w:color="auto"/>
              <w:left w:val="single" w:sz="4" w:space="0" w:color="auto"/>
              <w:bottom w:val="single" w:sz="4" w:space="0" w:color="auto"/>
              <w:right w:val="single" w:sz="4" w:space="0" w:color="auto"/>
            </w:tcBorders>
          </w:tcPr>
          <w:p w14:paraId="19AF2964" w14:textId="77777777" w:rsidR="00C345C8" w:rsidRPr="0024114A" w:rsidRDefault="00C345C8" w:rsidP="002D6DD7">
            <w:pPr>
              <w:jc w:val="both"/>
              <w:rPr>
                <w:rFonts w:cs="Times New Roman"/>
                <w:szCs w:val="24"/>
                <w:lang w:val="en-US"/>
              </w:rPr>
            </w:pPr>
            <w:r w:rsidRPr="0024114A">
              <w:rPr>
                <w:rFonts w:cs="Times New Roman"/>
                <w:szCs w:val="24"/>
                <w:lang w:val="en-US"/>
              </w:rPr>
              <w:t>Severe mental disturbances, euphoria, memory loss, confusion, drowsiness, restlessness, hallucinations, excitement, dysphagia, nausea and vomiting, decreased bronchial secretion, dry mouth, blurring of vision, constipation, urinary retention, glaucoma, flushing, rash, tachycardia.</w:t>
            </w:r>
          </w:p>
        </w:tc>
      </w:tr>
      <w:tr w:rsidR="00C345C8" w:rsidRPr="0024114A" w14:paraId="6E565FD3" w14:textId="77777777" w:rsidTr="002D6DD7">
        <w:tc>
          <w:tcPr>
            <w:tcW w:w="2605" w:type="dxa"/>
            <w:tcBorders>
              <w:top w:val="single" w:sz="4" w:space="0" w:color="auto"/>
              <w:left w:val="single" w:sz="4" w:space="0" w:color="auto"/>
              <w:bottom w:val="single" w:sz="4" w:space="0" w:color="auto"/>
              <w:right w:val="single" w:sz="4" w:space="0" w:color="auto"/>
            </w:tcBorders>
          </w:tcPr>
          <w:p w14:paraId="25731851" w14:textId="77777777" w:rsidR="00C345C8" w:rsidRPr="0024114A" w:rsidRDefault="00C345C8" w:rsidP="002D6DD7">
            <w:pPr>
              <w:jc w:val="both"/>
              <w:rPr>
                <w:rFonts w:cs="Times New Roman"/>
                <w:szCs w:val="24"/>
                <w:lang w:val="en-US"/>
              </w:rPr>
            </w:pPr>
            <w:r w:rsidRPr="0024114A">
              <w:rPr>
                <w:rFonts w:cs="Times New Roman"/>
                <w:szCs w:val="24"/>
                <w:lang w:val="en-US"/>
              </w:rPr>
              <w:t xml:space="preserve">Cautions </w:t>
            </w:r>
          </w:p>
        </w:tc>
        <w:tc>
          <w:tcPr>
            <w:tcW w:w="6745" w:type="dxa"/>
            <w:tcBorders>
              <w:top w:val="single" w:sz="4" w:space="0" w:color="auto"/>
              <w:left w:val="single" w:sz="4" w:space="0" w:color="auto"/>
              <w:bottom w:val="single" w:sz="4" w:space="0" w:color="auto"/>
              <w:right w:val="single" w:sz="4" w:space="0" w:color="auto"/>
            </w:tcBorders>
          </w:tcPr>
          <w:p w14:paraId="4B78A4C8" w14:textId="77777777" w:rsidR="00C345C8" w:rsidRPr="0024114A" w:rsidRDefault="00C345C8" w:rsidP="002D6DD7">
            <w:pPr>
              <w:jc w:val="both"/>
              <w:rPr>
                <w:rFonts w:cs="Times New Roman"/>
                <w:szCs w:val="24"/>
                <w:lang w:val="en-US"/>
              </w:rPr>
            </w:pPr>
            <w:r w:rsidRPr="0024114A">
              <w:rPr>
                <w:rFonts w:cs="Times New Roman"/>
                <w:szCs w:val="24"/>
                <w:lang w:val="en-US"/>
              </w:rPr>
              <w:t>Autonomic neuropathy, heart disease, hypertension, hepatic or renal disease, hyperthyroidism, pediatric, elderly, potential for abuse, prostatic hypertrophy, psychosis, angle-closure glaucoma, obstructive disease of gastrointestinal or genitourinary, pregnancy and lactation, patients with ileostomy or colostomy, driving or hazardous activities</w:t>
            </w:r>
            <w:r>
              <w:rPr>
                <w:rFonts w:cs="Times New Roman"/>
                <w:szCs w:val="24"/>
                <w:lang w:val="en-US"/>
              </w:rPr>
              <w:t>.</w:t>
            </w:r>
          </w:p>
        </w:tc>
      </w:tr>
      <w:tr w:rsidR="00C345C8" w:rsidRPr="0024114A" w14:paraId="471871E8" w14:textId="77777777" w:rsidTr="002D6DD7">
        <w:tc>
          <w:tcPr>
            <w:tcW w:w="2605" w:type="dxa"/>
            <w:tcBorders>
              <w:top w:val="single" w:sz="4" w:space="0" w:color="auto"/>
              <w:left w:val="single" w:sz="4" w:space="0" w:color="auto"/>
              <w:bottom w:val="single" w:sz="4" w:space="0" w:color="auto"/>
              <w:right w:val="single" w:sz="4" w:space="0" w:color="auto"/>
            </w:tcBorders>
          </w:tcPr>
          <w:p w14:paraId="02A71353" w14:textId="77777777" w:rsidR="00C345C8" w:rsidRPr="0024114A" w:rsidRDefault="00C345C8" w:rsidP="002D6DD7">
            <w:pPr>
              <w:jc w:val="both"/>
              <w:rPr>
                <w:rFonts w:cs="Times New Roman"/>
                <w:szCs w:val="24"/>
                <w:lang w:val="en-US"/>
              </w:rPr>
            </w:pPr>
            <w:r w:rsidRPr="0024114A">
              <w:rPr>
                <w:rFonts w:cs="Times New Roman"/>
                <w:szCs w:val="24"/>
                <w:lang w:val="en-US"/>
              </w:rPr>
              <w:t>Storage condition</w:t>
            </w:r>
          </w:p>
        </w:tc>
        <w:tc>
          <w:tcPr>
            <w:tcW w:w="6745" w:type="dxa"/>
            <w:tcBorders>
              <w:top w:val="single" w:sz="4" w:space="0" w:color="auto"/>
              <w:left w:val="single" w:sz="4" w:space="0" w:color="auto"/>
              <w:bottom w:val="single" w:sz="4" w:space="0" w:color="auto"/>
              <w:right w:val="single" w:sz="4" w:space="0" w:color="auto"/>
            </w:tcBorders>
          </w:tcPr>
          <w:p w14:paraId="5E9CF965" w14:textId="77777777" w:rsidR="00C345C8" w:rsidRPr="0024114A" w:rsidRDefault="00C345C8" w:rsidP="002D6DD7">
            <w:pPr>
              <w:jc w:val="both"/>
              <w:rPr>
                <w:rFonts w:cs="Times New Roman"/>
                <w:szCs w:val="24"/>
                <w:lang w:val="en-US"/>
              </w:rPr>
            </w:pPr>
            <w:r w:rsidRPr="0024114A">
              <w:rPr>
                <w:rFonts w:cs="Times New Roman"/>
                <w:szCs w:val="24"/>
                <w:lang w:val="en-US"/>
              </w:rPr>
              <w:t>Store below 30</w:t>
            </w:r>
            <w:r w:rsidRPr="0024114A">
              <w:rPr>
                <w:rFonts w:cs="Times New Roman"/>
                <w:szCs w:val="24"/>
                <w:vertAlign w:val="superscript"/>
                <w:lang w:val="en-US"/>
              </w:rPr>
              <w:t>o</w:t>
            </w:r>
            <w:r w:rsidRPr="0024114A">
              <w:rPr>
                <w:rFonts w:cs="Times New Roman"/>
                <w:szCs w:val="24"/>
                <w:lang w:val="en-US"/>
              </w:rPr>
              <w:t>C.</w:t>
            </w:r>
          </w:p>
        </w:tc>
      </w:tr>
    </w:tbl>
    <w:p w14:paraId="0FD6B670" w14:textId="77777777" w:rsidR="00C345C8" w:rsidRPr="0024114A" w:rsidRDefault="00C345C8" w:rsidP="00C345C8">
      <w:pPr>
        <w:spacing w:after="0"/>
        <w:jc w:val="both"/>
        <w:rPr>
          <w:rFonts w:cs="Times New Roman"/>
          <w:color w:val="000000" w:themeColor="text1"/>
          <w:szCs w:val="24"/>
        </w:rPr>
      </w:pPr>
    </w:p>
    <w:p w14:paraId="3B21A268" w14:textId="77777777" w:rsidR="00C345C8" w:rsidRPr="00447A72" w:rsidRDefault="00C345C8" w:rsidP="00447A72">
      <w:pPr>
        <w:pStyle w:val="Heading2"/>
        <w:spacing w:before="240" w:after="240"/>
      </w:pPr>
      <w:bookmarkStart w:id="74" w:name="_Toc179490341"/>
      <w:r w:rsidRPr="00447A72">
        <w:t>Antimigraine medicines</w:t>
      </w:r>
      <w:bookmarkEnd w:id="74"/>
    </w:p>
    <w:p w14:paraId="146040B5" w14:textId="77777777" w:rsidR="00C345C8" w:rsidRPr="0024114A" w:rsidRDefault="00C345C8" w:rsidP="00C345C8">
      <w:pPr>
        <w:spacing w:after="0"/>
        <w:jc w:val="both"/>
        <w:rPr>
          <w:rFonts w:cs="Times New Roman"/>
          <w:szCs w:val="24"/>
        </w:rPr>
      </w:pPr>
      <w:r w:rsidRPr="0024114A">
        <w:rPr>
          <w:rFonts w:cs="Times New Roman"/>
          <w:szCs w:val="24"/>
        </w:rPr>
        <w:t>Antimigraine medicines are used to treat migraine headaches. Antimigraine medicines are divided into two groups: agents that abort an established migraine attack and agents used prophylactically to reduce the number of migraine attacks. Both groups are used to treat the accompanying headache, vomiting, anxiety, and depression.</w:t>
      </w:r>
      <w:r>
        <w:rPr>
          <w:rFonts w:cs="Times New Roman"/>
          <w:szCs w:val="24"/>
        </w:rPr>
        <w:t xml:space="preserve"> </w:t>
      </w:r>
      <w:r w:rsidRPr="0024114A">
        <w:rPr>
          <w:rFonts w:cs="Times New Roman"/>
          <w:szCs w:val="24"/>
        </w:rPr>
        <w:t xml:space="preserve">Acute treatment aims to reverse or at least stop the progression of headache. It is most effective when given within 15 minutes of </w:t>
      </w:r>
      <w:r w:rsidRPr="0024114A">
        <w:rPr>
          <w:rFonts w:cs="Times New Roman"/>
          <w:szCs w:val="24"/>
        </w:rPr>
        <w:lastRenderedPageBreak/>
        <w:t>pain onset and when pain is mild. These medications include selective serotonin receptor agonists (triptans), ergot alkaloids, antiemetics, and combination products. Prophylactic medications include beta-blockers, antiseizure medications, TCA (amitriptyline), calcium channel blockers (CCBs), and non-steroidal anti-inflammatory drugs (NSAIDs).</w:t>
      </w:r>
    </w:p>
    <w:tbl>
      <w:tblPr>
        <w:tblStyle w:val="TableGrid"/>
        <w:tblpPr w:leftFromText="180" w:rightFromText="180" w:vertAnchor="text" w:horzAnchor="margin" w:tblpY="133"/>
        <w:tblOverlap w:val="never"/>
        <w:tblW w:w="9360" w:type="dxa"/>
        <w:tblLook w:val="04A0" w:firstRow="1" w:lastRow="0" w:firstColumn="1" w:lastColumn="0" w:noHBand="0" w:noVBand="1"/>
      </w:tblPr>
      <w:tblGrid>
        <w:gridCol w:w="2605"/>
        <w:gridCol w:w="6755"/>
      </w:tblGrid>
      <w:tr w:rsidR="00C345C8" w:rsidRPr="0024114A" w14:paraId="31AE84BA" w14:textId="77777777" w:rsidTr="002D6DD7">
        <w:trPr>
          <w:trHeight w:val="90"/>
        </w:trPr>
        <w:tc>
          <w:tcPr>
            <w:tcW w:w="9360" w:type="dxa"/>
            <w:gridSpan w:val="2"/>
            <w:tcBorders>
              <w:top w:val="single" w:sz="4" w:space="0" w:color="auto"/>
              <w:left w:val="single" w:sz="4" w:space="0" w:color="auto"/>
              <w:bottom w:val="single" w:sz="4" w:space="0" w:color="auto"/>
              <w:right w:val="single" w:sz="4" w:space="0" w:color="auto"/>
            </w:tcBorders>
          </w:tcPr>
          <w:p w14:paraId="4B9F19D3" w14:textId="77777777" w:rsidR="00C345C8" w:rsidRPr="0024114A" w:rsidRDefault="00C345C8" w:rsidP="002D6DD7">
            <w:pPr>
              <w:jc w:val="both"/>
              <w:rPr>
                <w:rFonts w:eastAsia="SimSun" w:cs="Times New Roman"/>
                <w:kern w:val="0"/>
                <w:szCs w:val="24"/>
                <w:lang w:val="en-US"/>
              </w:rPr>
            </w:pPr>
            <w:r w:rsidRPr="0024114A">
              <w:rPr>
                <w:rFonts w:cs="Times New Roman"/>
                <w:b/>
                <w:szCs w:val="24"/>
              </w:rPr>
              <w:t>Amitriptyline</w:t>
            </w:r>
          </w:p>
        </w:tc>
      </w:tr>
      <w:tr w:rsidR="00C345C8" w:rsidRPr="0024114A" w14:paraId="3219C757"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0F269B94"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Pharmacological class</w:t>
            </w:r>
          </w:p>
        </w:tc>
        <w:tc>
          <w:tcPr>
            <w:tcW w:w="6755" w:type="dxa"/>
            <w:tcBorders>
              <w:top w:val="single" w:sz="4" w:space="0" w:color="auto"/>
              <w:left w:val="single" w:sz="4" w:space="0" w:color="auto"/>
              <w:bottom w:val="single" w:sz="4" w:space="0" w:color="auto"/>
              <w:right w:val="single" w:sz="4" w:space="0" w:color="auto"/>
            </w:tcBorders>
          </w:tcPr>
          <w:p w14:paraId="572B4598"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Tricyclic antidepressant</w:t>
            </w:r>
            <w:r>
              <w:rPr>
                <w:rFonts w:eastAsia="SimSun" w:cs="Times New Roman"/>
                <w:kern w:val="0"/>
                <w:szCs w:val="24"/>
                <w:lang w:val="en-US"/>
              </w:rPr>
              <w:t xml:space="preserve"> </w:t>
            </w:r>
            <w:r w:rsidRPr="0024114A">
              <w:rPr>
                <w:rFonts w:eastAsia="SimSun" w:cs="Times New Roman"/>
                <w:kern w:val="0"/>
                <w:szCs w:val="24"/>
                <w:lang w:val="en-US"/>
              </w:rPr>
              <w:t>(TCA)</w:t>
            </w:r>
          </w:p>
        </w:tc>
      </w:tr>
      <w:tr w:rsidR="00C345C8" w:rsidRPr="0024114A" w14:paraId="02CF677C" w14:textId="77777777" w:rsidTr="002D6DD7">
        <w:trPr>
          <w:trHeight w:val="353"/>
        </w:trPr>
        <w:tc>
          <w:tcPr>
            <w:tcW w:w="2605" w:type="dxa"/>
            <w:tcBorders>
              <w:top w:val="single" w:sz="4" w:space="0" w:color="auto"/>
              <w:left w:val="single" w:sz="4" w:space="0" w:color="auto"/>
              <w:bottom w:val="single" w:sz="4" w:space="0" w:color="auto"/>
              <w:right w:val="single" w:sz="4" w:space="0" w:color="auto"/>
            </w:tcBorders>
          </w:tcPr>
          <w:p w14:paraId="2201166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Dosage form</w:t>
            </w:r>
          </w:p>
        </w:tc>
        <w:tc>
          <w:tcPr>
            <w:tcW w:w="6755" w:type="dxa"/>
            <w:tcBorders>
              <w:top w:val="single" w:sz="4" w:space="0" w:color="auto"/>
              <w:left w:val="single" w:sz="4" w:space="0" w:color="auto"/>
              <w:bottom w:val="single" w:sz="4" w:space="0" w:color="auto"/>
              <w:right w:val="single" w:sz="4" w:space="0" w:color="auto"/>
            </w:tcBorders>
          </w:tcPr>
          <w:p w14:paraId="1EC4E69A" w14:textId="77777777" w:rsidR="00C345C8" w:rsidRPr="0024114A" w:rsidRDefault="00C345C8" w:rsidP="002D6DD7">
            <w:pPr>
              <w:pStyle w:val="Default"/>
              <w:spacing w:line="360" w:lineRule="auto"/>
              <w:jc w:val="both"/>
              <w:rPr>
                <w:color w:val="auto"/>
              </w:rPr>
            </w:pPr>
            <w:r w:rsidRPr="0024114A">
              <w:rPr>
                <w:color w:val="auto"/>
              </w:rPr>
              <w:t>Tablet: 25 mg</w:t>
            </w:r>
          </w:p>
        </w:tc>
      </w:tr>
      <w:tr w:rsidR="00C345C8" w:rsidRPr="0024114A" w14:paraId="71D1DE94" w14:textId="77777777" w:rsidTr="002D6DD7">
        <w:trPr>
          <w:trHeight w:val="313"/>
        </w:trPr>
        <w:tc>
          <w:tcPr>
            <w:tcW w:w="2605" w:type="dxa"/>
            <w:tcBorders>
              <w:top w:val="single" w:sz="4" w:space="0" w:color="auto"/>
              <w:left w:val="single" w:sz="4" w:space="0" w:color="auto"/>
              <w:bottom w:val="single" w:sz="4" w:space="0" w:color="auto"/>
              <w:right w:val="single" w:sz="4" w:space="0" w:color="auto"/>
            </w:tcBorders>
          </w:tcPr>
          <w:p w14:paraId="69C1A2B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Indications</w:t>
            </w:r>
          </w:p>
        </w:tc>
        <w:tc>
          <w:tcPr>
            <w:tcW w:w="6755" w:type="dxa"/>
            <w:tcBorders>
              <w:top w:val="single" w:sz="4" w:space="0" w:color="auto"/>
              <w:left w:val="single" w:sz="4" w:space="0" w:color="auto"/>
              <w:bottom w:val="single" w:sz="4" w:space="0" w:color="auto"/>
              <w:right w:val="single" w:sz="4" w:space="0" w:color="auto"/>
            </w:tcBorders>
          </w:tcPr>
          <w:p w14:paraId="448D0A53"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Migraine prophylaxis</w:t>
            </w:r>
          </w:p>
        </w:tc>
      </w:tr>
      <w:tr w:rsidR="00C345C8" w:rsidRPr="0024114A" w14:paraId="2BA61323"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1B54B819" w14:textId="77777777" w:rsidR="00C345C8" w:rsidRPr="0024114A" w:rsidRDefault="00C345C8" w:rsidP="002D6DD7">
            <w:pPr>
              <w:jc w:val="both"/>
              <w:rPr>
                <w:rFonts w:eastAsia="SimSun" w:cs="Times New Roman"/>
                <w:kern w:val="0"/>
                <w:szCs w:val="24"/>
                <w:lang w:val="en-US"/>
              </w:rPr>
            </w:pPr>
            <w:r w:rsidRPr="0024114A">
              <w:rPr>
                <w:rFonts w:eastAsia="Times New Roman" w:cs="Times New Roman"/>
                <w:kern w:val="0"/>
                <w:szCs w:val="24"/>
                <w:lang w:val="en-US"/>
              </w:rPr>
              <w:t>Dose and Administration</w:t>
            </w:r>
          </w:p>
        </w:tc>
        <w:tc>
          <w:tcPr>
            <w:tcW w:w="6755" w:type="dxa"/>
            <w:tcBorders>
              <w:top w:val="single" w:sz="4" w:space="0" w:color="auto"/>
              <w:left w:val="single" w:sz="4" w:space="0" w:color="auto"/>
              <w:bottom w:val="single" w:sz="4" w:space="0" w:color="auto"/>
              <w:right w:val="single" w:sz="4" w:space="0" w:color="auto"/>
            </w:tcBorders>
          </w:tcPr>
          <w:p w14:paraId="1C2752F4"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b/>
                <w:kern w:val="0"/>
                <w:szCs w:val="24"/>
                <w:lang w:val="en-US"/>
              </w:rPr>
              <w:t>Adult</w:t>
            </w:r>
            <w:r w:rsidRPr="0024114A">
              <w:rPr>
                <w:rFonts w:eastAsia="SimSun" w:cs="Times New Roman"/>
                <w:kern w:val="0"/>
                <w:szCs w:val="24"/>
                <w:lang w:val="en-US"/>
              </w:rPr>
              <w:t>: Initially 10–25 mg daily, dose to be taken at bedtime, then increased, if tolerated, in steps of 10–25 mg every 3–7 days in 1–2 divided doses; usual dose 25–75 mg daily, dose to be taken at bed time, doses above 100mg should be used with caution (doses above 75 mg should be used with caution in the elderly and in patients with cardiovascular disease), maximum per dose 75 mg</w:t>
            </w:r>
          </w:p>
        </w:tc>
      </w:tr>
      <w:tr w:rsidR="00C345C8" w:rsidRPr="0024114A" w14:paraId="5325EFC5" w14:textId="77777777" w:rsidTr="002D6DD7">
        <w:trPr>
          <w:trHeight w:val="90"/>
        </w:trPr>
        <w:tc>
          <w:tcPr>
            <w:tcW w:w="2605" w:type="dxa"/>
            <w:tcBorders>
              <w:top w:val="single" w:sz="4" w:space="0" w:color="auto"/>
              <w:left w:val="single" w:sz="4" w:space="0" w:color="auto"/>
              <w:bottom w:val="single" w:sz="4" w:space="0" w:color="auto"/>
              <w:right w:val="single" w:sz="4" w:space="0" w:color="auto"/>
            </w:tcBorders>
          </w:tcPr>
          <w:p w14:paraId="1D38FDE8"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Contraindications</w:t>
            </w:r>
          </w:p>
        </w:tc>
        <w:tc>
          <w:tcPr>
            <w:tcW w:w="6755" w:type="dxa"/>
            <w:tcBorders>
              <w:top w:val="single" w:sz="4" w:space="0" w:color="auto"/>
              <w:left w:val="single" w:sz="4" w:space="0" w:color="auto"/>
              <w:bottom w:val="single" w:sz="4" w:space="0" w:color="auto"/>
              <w:right w:val="single" w:sz="4" w:space="0" w:color="auto"/>
            </w:tcBorders>
          </w:tcPr>
          <w:p w14:paraId="2E717F1B"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Hypersensitivity, arrhythmias, during manic phase of bipolar disorder, heart block, immediate recovery period after myocardial infarction, concurrent use with cisapride, use with MAOIs within 14 days.</w:t>
            </w:r>
          </w:p>
        </w:tc>
      </w:tr>
      <w:tr w:rsidR="00C345C8" w:rsidRPr="0024114A" w14:paraId="4E871399" w14:textId="77777777" w:rsidTr="002D6DD7">
        <w:trPr>
          <w:trHeight w:val="353"/>
        </w:trPr>
        <w:tc>
          <w:tcPr>
            <w:tcW w:w="2605" w:type="dxa"/>
            <w:tcBorders>
              <w:top w:val="single" w:sz="4" w:space="0" w:color="auto"/>
              <w:left w:val="single" w:sz="4" w:space="0" w:color="auto"/>
              <w:bottom w:val="single" w:sz="4" w:space="0" w:color="auto"/>
              <w:right w:val="single" w:sz="4" w:space="0" w:color="auto"/>
            </w:tcBorders>
          </w:tcPr>
          <w:p w14:paraId="716C44E9"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Drug interactions</w:t>
            </w:r>
          </w:p>
        </w:tc>
        <w:tc>
          <w:tcPr>
            <w:tcW w:w="6755" w:type="dxa"/>
            <w:tcBorders>
              <w:top w:val="single" w:sz="4" w:space="0" w:color="auto"/>
              <w:left w:val="single" w:sz="4" w:space="0" w:color="auto"/>
              <w:bottom w:val="single" w:sz="4" w:space="0" w:color="auto"/>
              <w:right w:val="single" w:sz="4" w:space="0" w:color="auto"/>
            </w:tcBorders>
          </w:tcPr>
          <w:p w14:paraId="619C9182"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Opioids, alcohol, diphenhydramine and other anti-depressants</w:t>
            </w:r>
          </w:p>
        </w:tc>
      </w:tr>
      <w:tr w:rsidR="00C345C8" w:rsidRPr="0024114A" w14:paraId="5C31DD61"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2F07B996"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Side effects</w:t>
            </w:r>
          </w:p>
        </w:tc>
        <w:tc>
          <w:tcPr>
            <w:tcW w:w="6755" w:type="dxa"/>
            <w:tcBorders>
              <w:top w:val="single" w:sz="4" w:space="0" w:color="auto"/>
              <w:left w:val="single" w:sz="4" w:space="0" w:color="auto"/>
              <w:bottom w:val="single" w:sz="4" w:space="0" w:color="auto"/>
              <w:right w:val="single" w:sz="4" w:space="0" w:color="auto"/>
            </w:tcBorders>
          </w:tcPr>
          <w:p w14:paraId="566783A3"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Sedation, dry oral, blurred vision (disturbance of accommodation, increased intraocular pressure), constipation, nausea, difficulty in micturition, QT interval prolongation, hypotension, extrapyramidal side effects, anxiety, headache.</w:t>
            </w:r>
          </w:p>
        </w:tc>
      </w:tr>
      <w:tr w:rsidR="00C345C8" w:rsidRPr="0024114A" w14:paraId="287CB00D"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0006B1E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Cautions </w:t>
            </w:r>
          </w:p>
        </w:tc>
        <w:tc>
          <w:tcPr>
            <w:tcW w:w="6755" w:type="dxa"/>
            <w:tcBorders>
              <w:top w:val="single" w:sz="4" w:space="0" w:color="auto"/>
              <w:left w:val="single" w:sz="4" w:space="0" w:color="auto"/>
              <w:bottom w:val="single" w:sz="4" w:space="0" w:color="auto"/>
              <w:right w:val="single" w:sz="4" w:space="0" w:color="auto"/>
            </w:tcBorders>
          </w:tcPr>
          <w:p w14:paraId="1BE482DA"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 xml:space="preserve">Cardiovascular disease, history of epilepsy, hepatic impairment, thyroid disease, phaeochromocytoma, history of mania, psychoses, or depression, angle closure glaucoma, history of urinary retention, concurrent electroconvulsive therapy, anesthesia (increased risk of arrhythmias and hypotension), renal impairment, diabetes, paralytic ileus. </w:t>
            </w:r>
          </w:p>
        </w:tc>
      </w:tr>
      <w:tr w:rsidR="00C345C8" w:rsidRPr="0024114A" w14:paraId="48B79E53" w14:textId="77777777" w:rsidTr="002D6DD7">
        <w:trPr>
          <w:trHeight w:val="323"/>
        </w:trPr>
        <w:tc>
          <w:tcPr>
            <w:tcW w:w="2605" w:type="dxa"/>
            <w:tcBorders>
              <w:top w:val="single" w:sz="4" w:space="0" w:color="auto"/>
              <w:left w:val="single" w:sz="4" w:space="0" w:color="auto"/>
              <w:bottom w:val="single" w:sz="4" w:space="0" w:color="auto"/>
              <w:right w:val="single" w:sz="4" w:space="0" w:color="auto"/>
            </w:tcBorders>
          </w:tcPr>
          <w:p w14:paraId="527AB571"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lastRenderedPageBreak/>
              <w:t>Storage condition</w:t>
            </w:r>
          </w:p>
        </w:tc>
        <w:tc>
          <w:tcPr>
            <w:tcW w:w="6755" w:type="dxa"/>
            <w:tcBorders>
              <w:top w:val="single" w:sz="4" w:space="0" w:color="auto"/>
              <w:left w:val="single" w:sz="4" w:space="0" w:color="auto"/>
              <w:bottom w:val="single" w:sz="4" w:space="0" w:color="auto"/>
              <w:right w:val="single" w:sz="4" w:space="0" w:color="auto"/>
            </w:tcBorders>
          </w:tcPr>
          <w:p w14:paraId="488F9E4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Store below 30 </w:t>
            </w:r>
            <w:r w:rsidRPr="0024114A">
              <w:rPr>
                <w:rFonts w:eastAsia="SimSun" w:cs="Times New Roman"/>
                <w:kern w:val="0"/>
                <w:szCs w:val="24"/>
                <w:vertAlign w:val="superscript"/>
                <w:lang w:val="en-US"/>
              </w:rPr>
              <w:t>o</w:t>
            </w:r>
            <w:r w:rsidRPr="0024114A">
              <w:rPr>
                <w:rFonts w:eastAsia="SimSun" w:cs="Times New Roman"/>
                <w:kern w:val="0"/>
                <w:szCs w:val="24"/>
                <w:lang w:val="en-US"/>
              </w:rPr>
              <w:t>C.</w:t>
            </w:r>
          </w:p>
        </w:tc>
      </w:tr>
      <w:tr w:rsidR="00C345C8" w:rsidRPr="0024114A" w14:paraId="3CB64435" w14:textId="77777777" w:rsidTr="002D6DD7">
        <w:trPr>
          <w:trHeight w:val="328"/>
        </w:trPr>
        <w:tc>
          <w:tcPr>
            <w:tcW w:w="9360" w:type="dxa"/>
            <w:gridSpan w:val="2"/>
            <w:tcBorders>
              <w:top w:val="single" w:sz="4" w:space="0" w:color="auto"/>
              <w:left w:val="single" w:sz="4" w:space="0" w:color="auto"/>
              <w:bottom w:val="single" w:sz="4" w:space="0" w:color="auto"/>
              <w:right w:val="single" w:sz="4" w:space="0" w:color="auto"/>
            </w:tcBorders>
          </w:tcPr>
          <w:p w14:paraId="4741A726" w14:textId="77777777" w:rsidR="00C345C8" w:rsidRPr="0024114A" w:rsidRDefault="00C345C8" w:rsidP="002D6DD7">
            <w:pPr>
              <w:jc w:val="both"/>
              <w:rPr>
                <w:rFonts w:eastAsia="SimSun" w:cs="Times New Roman"/>
                <w:kern w:val="0"/>
                <w:szCs w:val="24"/>
                <w:lang w:val="en-US"/>
              </w:rPr>
            </w:pPr>
            <w:r w:rsidRPr="0024114A">
              <w:rPr>
                <w:rFonts w:cs="Times New Roman"/>
                <w:b/>
                <w:szCs w:val="24"/>
              </w:rPr>
              <w:t>Ibuprofen</w:t>
            </w:r>
          </w:p>
        </w:tc>
      </w:tr>
      <w:tr w:rsidR="00C345C8" w:rsidRPr="0024114A" w14:paraId="7B60E985"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3763723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Pharmacological class</w:t>
            </w:r>
          </w:p>
        </w:tc>
        <w:tc>
          <w:tcPr>
            <w:tcW w:w="6755" w:type="dxa"/>
            <w:tcBorders>
              <w:top w:val="single" w:sz="4" w:space="0" w:color="auto"/>
              <w:left w:val="single" w:sz="4" w:space="0" w:color="auto"/>
              <w:bottom w:val="single" w:sz="4" w:space="0" w:color="auto"/>
              <w:right w:val="single" w:sz="4" w:space="0" w:color="auto"/>
            </w:tcBorders>
          </w:tcPr>
          <w:p w14:paraId="7D2123A2"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NSAID</w:t>
            </w:r>
          </w:p>
        </w:tc>
      </w:tr>
      <w:tr w:rsidR="00C345C8" w:rsidRPr="0024114A" w14:paraId="79B29413" w14:textId="77777777" w:rsidTr="002D6DD7">
        <w:trPr>
          <w:trHeight w:val="421"/>
        </w:trPr>
        <w:tc>
          <w:tcPr>
            <w:tcW w:w="2605" w:type="dxa"/>
            <w:tcBorders>
              <w:top w:val="single" w:sz="4" w:space="0" w:color="auto"/>
              <w:left w:val="single" w:sz="4" w:space="0" w:color="auto"/>
              <w:bottom w:val="single" w:sz="4" w:space="0" w:color="auto"/>
              <w:right w:val="single" w:sz="4" w:space="0" w:color="auto"/>
            </w:tcBorders>
          </w:tcPr>
          <w:p w14:paraId="4FEB9444"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Dosage form</w:t>
            </w:r>
          </w:p>
        </w:tc>
        <w:tc>
          <w:tcPr>
            <w:tcW w:w="6755" w:type="dxa"/>
            <w:tcBorders>
              <w:top w:val="single" w:sz="4" w:space="0" w:color="auto"/>
              <w:left w:val="single" w:sz="4" w:space="0" w:color="auto"/>
              <w:bottom w:val="single" w:sz="4" w:space="0" w:color="auto"/>
              <w:right w:val="single" w:sz="4" w:space="0" w:color="auto"/>
            </w:tcBorders>
          </w:tcPr>
          <w:p w14:paraId="1BA3E5C6" w14:textId="77777777" w:rsidR="00C345C8" w:rsidRPr="0024114A" w:rsidRDefault="00C345C8" w:rsidP="002D6DD7">
            <w:pPr>
              <w:pStyle w:val="Default"/>
              <w:spacing w:line="360" w:lineRule="auto"/>
              <w:jc w:val="both"/>
              <w:rPr>
                <w:color w:val="auto"/>
              </w:rPr>
            </w:pPr>
            <w:r w:rsidRPr="0024114A">
              <w:rPr>
                <w:color w:val="auto"/>
              </w:rPr>
              <w:t>Tablet: 200mg, 400mg</w:t>
            </w:r>
          </w:p>
        </w:tc>
      </w:tr>
      <w:tr w:rsidR="00C345C8" w:rsidRPr="0024114A" w14:paraId="3ED18770" w14:textId="77777777" w:rsidTr="002D6DD7">
        <w:trPr>
          <w:trHeight w:val="361"/>
        </w:trPr>
        <w:tc>
          <w:tcPr>
            <w:tcW w:w="2605" w:type="dxa"/>
            <w:tcBorders>
              <w:top w:val="single" w:sz="4" w:space="0" w:color="auto"/>
              <w:left w:val="single" w:sz="4" w:space="0" w:color="auto"/>
              <w:bottom w:val="single" w:sz="4" w:space="0" w:color="auto"/>
              <w:right w:val="single" w:sz="4" w:space="0" w:color="auto"/>
            </w:tcBorders>
          </w:tcPr>
          <w:p w14:paraId="52E7911E"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Indications</w:t>
            </w:r>
          </w:p>
        </w:tc>
        <w:tc>
          <w:tcPr>
            <w:tcW w:w="6755" w:type="dxa"/>
            <w:tcBorders>
              <w:top w:val="single" w:sz="4" w:space="0" w:color="auto"/>
              <w:left w:val="single" w:sz="4" w:space="0" w:color="auto"/>
              <w:bottom w:val="single" w:sz="4" w:space="0" w:color="auto"/>
              <w:right w:val="single" w:sz="4" w:space="0" w:color="auto"/>
            </w:tcBorders>
          </w:tcPr>
          <w:p w14:paraId="18B6FB40"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Acute attack of migraine.</w:t>
            </w:r>
          </w:p>
        </w:tc>
      </w:tr>
      <w:tr w:rsidR="00C345C8" w:rsidRPr="0024114A" w14:paraId="728C7A13" w14:textId="77777777" w:rsidTr="002D6DD7">
        <w:trPr>
          <w:trHeight w:val="1737"/>
        </w:trPr>
        <w:tc>
          <w:tcPr>
            <w:tcW w:w="2605" w:type="dxa"/>
            <w:tcBorders>
              <w:top w:val="single" w:sz="4" w:space="0" w:color="auto"/>
              <w:left w:val="single" w:sz="4" w:space="0" w:color="auto"/>
              <w:bottom w:val="single" w:sz="4" w:space="0" w:color="auto"/>
              <w:right w:val="single" w:sz="4" w:space="0" w:color="auto"/>
            </w:tcBorders>
          </w:tcPr>
          <w:p w14:paraId="0745AE94" w14:textId="77777777" w:rsidR="00C345C8" w:rsidRPr="0024114A" w:rsidRDefault="00C345C8" w:rsidP="002D6DD7">
            <w:pPr>
              <w:jc w:val="both"/>
              <w:rPr>
                <w:rFonts w:eastAsia="SimSun" w:cs="Times New Roman"/>
                <w:kern w:val="0"/>
                <w:szCs w:val="24"/>
                <w:lang w:val="en-US"/>
              </w:rPr>
            </w:pPr>
            <w:r w:rsidRPr="0024114A">
              <w:rPr>
                <w:rFonts w:eastAsia="Times New Roman" w:cs="Times New Roman"/>
                <w:kern w:val="0"/>
                <w:szCs w:val="24"/>
                <w:lang w:val="en-US"/>
              </w:rPr>
              <w:t>Dose and administration</w:t>
            </w:r>
          </w:p>
        </w:tc>
        <w:tc>
          <w:tcPr>
            <w:tcW w:w="6755" w:type="dxa"/>
            <w:tcBorders>
              <w:top w:val="single" w:sz="4" w:space="0" w:color="auto"/>
              <w:left w:val="single" w:sz="4" w:space="0" w:color="auto"/>
              <w:bottom w:val="single" w:sz="4" w:space="0" w:color="auto"/>
              <w:right w:val="single" w:sz="4" w:space="0" w:color="auto"/>
            </w:tcBorders>
          </w:tcPr>
          <w:p w14:paraId="174723E8" w14:textId="77777777" w:rsidR="00C345C8" w:rsidRPr="0024114A" w:rsidRDefault="00C345C8" w:rsidP="002D6DD7">
            <w:pPr>
              <w:pStyle w:val="Default"/>
              <w:spacing w:line="360" w:lineRule="auto"/>
              <w:jc w:val="both"/>
              <w:rPr>
                <w:color w:val="auto"/>
              </w:rPr>
            </w:pPr>
            <w:r w:rsidRPr="0024114A">
              <w:rPr>
                <w:b/>
                <w:color w:val="auto"/>
              </w:rPr>
              <w:t>Adult</w:t>
            </w:r>
            <w:r w:rsidRPr="0024114A">
              <w:rPr>
                <w:color w:val="auto"/>
              </w:rPr>
              <w:t>: 400 to 600 mg po for 1 dose, to be taken as soon as migraine symptoms develop, increase if necessary up to 600 mg 4 times a day.</w:t>
            </w:r>
          </w:p>
          <w:p w14:paraId="1F394157" w14:textId="77777777" w:rsidR="00C345C8" w:rsidRPr="0024114A" w:rsidRDefault="00C345C8" w:rsidP="002D6DD7">
            <w:pPr>
              <w:pStyle w:val="Default"/>
              <w:spacing w:line="360" w:lineRule="auto"/>
              <w:jc w:val="both"/>
              <w:rPr>
                <w:color w:val="auto"/>
              </w:rPr>
            </w:pPr>
            <w:r w:rsidRPr="0024114A">
              <w:rPr>
                <w:b/>
                <w:color w:val="auto"/>
              </w:rPr>
              <w:t>Infant or child over 3 months</w:t>
            </w:r>
            <w:r w:rsidRPr="0024114A">
              <w:rPr>
                <w:color w:val="auto"/>
              </w:rPr>
              <w:t>: 5 to 10 mg/kg po three or four times daily, maximum dose is 40 mg/kg/day</w:t>
            </w:r>
          </w:p>
        </w:tc>
      </w:tr>
      <w:tr w:rsidR="00C345C8" w:rsidRPr="0024114A" w14:paraId="74E70C76" w14:textId="77777777" w:rsidTr="002D6DD7">
        <w:trPr>
          <w:trHeight w:val="1737"/>
        </w:trPr>
        <w:tc>
          <w:tcPr>
            <w:tcW w:w="2605" w:type="dxa"/>
            <w:tcBorders>
              <w:top w:val="single" w:sz="4" w:space="0" w:color="auto"/>
              <w:left w:val="single" w:sz="4" w:space="0" w:color="auto"/>
              <w:bottom w:val="single" w:sz="4" w:space="0" w:color="auto"/>
              <w:right w:val="single" w:sz="4" w:space="0" w:color="auto"/>
            </w:tcBorders>
          </w:tcPr>
          <w:p w14:paraId="1234121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Contraindications</w:t>
            </w:r>
          </w:p>
        </w:tc>
        <w:tc>
          <w:tcPr>
            <w:tcW w:w="6755" w:type="dxa"/>
            <w:tcBorders>
              <w:top w:val="single" w:sz="4" w:space="0" w:color="auto"/>
              <w:left w:val="single" w:sz="4" w:space="0" w:color="auto"/>
              <w:bottom w:val="single" w:sz="4" w:space="0" w:color="auto"/>
              <w:right w:val="single" w:sz="4" w:space="0" w:color="auto"/>
            </w:tcBorders>
          </w:tcPr>
          <w:p w14:paraId="72A667BF"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Hypersensitivity to the drug or any other NSAIDs, gastro-intestinal bleeding, gastro-intestinal ulceration, gastro-intestinal bleeding/perforation due to NSAID therapy, severe heart failure, varicella infection, severe renal failure, and hepatic failure</w:t>
            </w:r>
          </w:p>
        </w:tc>
      </w:tr>
      <w:tr w:rsidR="00C345C8" w:rsidRPr="0024114A" w14:paraId="3FE21D7D" w14:textId="77777777" w:rsidTr="002D6DD7">
        <w:trPr>
          <w:trHeight w:val="90"/>
        </w:trPr>
        <w:tc>
          <w:tcPr>
            <w:tcW w:w="2605" w:type="dxa"/>
            <w:tcBorders>
              <w:top w:val="single" w:sz="4" w:space="0" w:color="auto"/>
              <w:left w:val="single" w:sz="4" w:space="0" w:color="auto"/>
              <w:bottom w:val="single" w:sz="4" w:space="0" w:color="auto"/>
              <w:right w:val="single" w:sz="4" w:space="0" w:color="auto"/>
            </w:tcBorders>
          </w:tcPr>
          <w:p w14:paraId="5ED5F14B"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Drug interactions</w:t>
            </w:r>
          </w:p>
        </w:tc>
        <w:tc>
          <w:tcPr>
            <w:tcW w:w="6755" w:type="dxa"/>
            <w:tcBorders>
              <w:top w:val="single" w:sz="4" w:space="0" w:color="auto"/>
              <w:left w:val="single" w:sz="4" w:space="0" w:color="auto"/>
              <w:bottom w:val="single" w:sz="4" w:space="0" w:color="auto"/>
              <w:right w:val="single" w:sz="4" w:space="0" w:color="auto"/>
            </w:tcBorders>
          </w:tcPr>
          <w:p w14:paraId="5096AFC6"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Acetylsalicylic acid, ciclosporin, dexamethasone, digoxin, enalapril, fluoxetine, furosemide, heparin, hydrocortisone, levofloxacin, lithium, methotrexate, ofloxacin, penicillamine, phenytoin, prednisolone, propranolol, ritonavir, spironolactone, warfarin, zidovudine, </w:t>
            </w:r>
          </w:p>
        </w:tc>
      </w:tr>
      <w:tr w:rsidR="00C345C8" w:rsidRPr="0024114A" w14:paraId="2F185C39" w14:textId="77777777" w:rsidTr="002D6DD7">
        <w:trPr>
          <w:trHeight w:val="2169"/>
        </w:trPr>
        <w:tc>
          <w:tcPr>
            <w:tcW w:w="2605" w:type="dxa"/>
            <w:tcBorders>
              <w:top w:val="single" w:sz="4" w:space="0" w:color="auto"/>
              <w:left w:val="single" w:sz="4" w:space="0" w:color="auto"/>
              <w:bottom w:val="single" w:sz="4" w:space="0" w:color="auto"/>
              <w:right w:val="single" w:sz="4" w:space="0" w:color="auto"/>
            </w:tcBorders>
          </w:tcPr>
          <w:p w14:paraId="60922717"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Side effects</w:t>
            </w:r>
          </w:p>
        </w:tc>
        <w:tc>
          <w:tcPr>
            <w:tcW w:w="6755" w:type="dxa"/>
            <w:tcBorders>
              <w:top w:val="single" w:sz="4" w:space="0" w:color="auto"/>
              <w:left w:val="single" w:sz="4" w:space="0" w:color="auto"/>
              <w:bottom w:val="single" w:sz="4" w:space="0" w:color="auto"/>
              <w:right w:val="single" w:sz="4" w:space="0" w:color="auto"/>
            </w:tcBorders>
          </w:tcPr>
          <w:p w14:paraId="61F27FA9" w14:textId="77777777" w:rsidR="00C345C8" w:rsidRPr="0024114A" w:rsidRDefault="00C345C8" w:rsidP="002D6DD7">
            <w:pPr>
              <w:pStyle w:val="Default"/>
              <w:spacing w:line="360" w:lineRule="auto"/>
              <w:jc w:val="both"/>
              <w:rPr>
                <w:color w:val="auto"/>
              </w:rPr>
            </w:pPr>
            <w:r w:rsidRPr="0024114A">
              <w:rPr>
                <w:color w:val="auto"/>
              </w:rPr>
              <w:t>GI disturbances including nausea, diarrhea, dyspepsia, ulceration, and hemorrhage, hypersensitivity reactions including rash, angioedema and bronchospasm, headache, dizziness, nervousness, depression, drowsiness, insomnia, vertigo, tinnitus, photosensitivity, haematuria, fluid retention raised blood pressure, renal failure, alveolitis, pulmonary eosinophilia, pancreatitis, visual disturbances, erythema multiforme</w:t>
            </w:r>
          </w:p>
        </w:tc>
      </w:tr>
      <w:tr w:rsidR="00C345C8" w:rsidRPr="0024114A" w14:paraId="417BCD37" w14:textId="77777777" w:rsidTr="002D6DD7">
        <w:trPr>
          <w:trHeight w:val="1979"/>
        </w:trPr>
        <w:tc>
          <w:tcPr>
            <w:tcW w:w="2605" w:type="dxa"/>
            <w:tcBorders>
              <w:top w:val="single" w:sz="4" w:space="0" w:color="auto"/>
              <w:left w:val="single" w:sz="4" w:space="0" w:color="auto"/>
              <w:bottom w:val="single" w:sz="4" w:space="0" w:color="auto"/>
              <w:right w:val="single" w:sz="4" w:space="0" w:color="auto"/>
            </w:tcBorders>
          </w:tcPr>
          <w:p w14:paraId="5496CAC7"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lastRenderedPageBreak/>
              <w:t xml:space="preserve">Cautions </w:t>
            </w:r>
          </w:p>
        </w:tc>
        <w:tc>
          <w:tcPr>
            <w:tcW w:w="6755" w:type="dxa"/>
            <w:tcBorders>
              <w:top w:val="single" w:sz="4" w:space="0" w:color="auto"/>
              <w:left w:val="single" w:sz="4" w:space="0" w:color="auto"/>
              <w:bottom w:val="single" w:sz="4" w:space="0" w:color="auto"/>
              <w:right w:val="single" w:sz="4" w:space="0" w:color="auto"/>
            </w:tcBorders>
          </w:tcPr>
          <w:p w14:paraId="37EE067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Asthma, cardiac disease, volume depletion, such as in gastroenteritis or dehydration (increased risk of renal impairment), concomitant use of drugs that increase risk of bleeding, previous peptic ulceration, coagulation defects, allergic disorders, elderly, pregnancy, avoid in severe liver disease and moderate to severe hepatic impairment</w:t>
            </w:r>
          </w:p>
        </w:tc>
      </w:tr>
      <w:tr w:rsidR="00C345C8" w:rsidRPr="0024114A" w14:paraId="7287B6D1" w14:textId="77777777" w:rsidTr="002D6DD7">
        <w:trPr>
          <w:trHeight w:val="406"/>
        </w:trPr>
        <w:tc>
          <w:tcPr>
            <w:tcW w:w="2605" w:type="dxa"/>
            <w:tcBorders>
              <w:top w:val="single" w:sz="4" w:space="0" w:color="auto"/>
              <w:left w:val="single" w:sz="4" w:space="0" w:color="auto"/>
              <w:bottom w:val="single" w:sz="4" w:space="0" w:color="auto"/>
              <w:right w:val="single" w:sz="4" w:space="0" w:color="auto"/>
            </w:tcBorders>
          </w:tcPr>
          <w:p w14:paraId="457C8EB9"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Storage condition</w:t>
            </w:r>
          </w:p>
        </w:tc>
        <w:tc>
          <w:tcPr>
            <w:tcW w:w="6755" w:type="dxa"/>
            <w:tcBorders>
              <w:top w:val="single" w:sz="4" w:space="0" w:color="auto"/>
              <w:left w:val="single" w:sz="4" w:space="0" w:color="auto"/>
              <w:bottom w:val="single" w:sz="4" w:space="0" w:color="auto"/>
              <w:right w:val="single" w:sz="4" w:space="0" w:color="auto"/>
            </w:tcBorders>
          </w:tcPr>
          <w:p w14:paraId="567C1D9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Store at below 30</w:t>
            </w:r>
            <w:r w:rsidRPr="0024114A">
              <w:rPr>
                <w:rFonts w:eastAsia="SimSun" w:cs="Times New Roman"/>
                <w:kern w:val="0"/>
                <w:szCs w:val="24"/>
                <w:vertAlign w:val="superscript"/>
                <w:lang w:val="en-US"/>
              </w:rPr>
              <w:t>0</w:t>
            </w:r>
            <w:r w:rsidRPr="0024114A">
              <w:rPr>
                <w:rFonts w:eastAsia="SimSun" w:cs="Times New Roman"/>
                <w:kern w:val="0"/>
                <w:szCs w:val="24"/>
                <w:lang w:val="en-US"/>
              </w:rPr>
              <w:t>C. Protect from light.</w:t>
            </w:r>
          </w:p>
        </w:tc>
      </w:tr>
      <w:tr w:rsidR="00C345C8" w:rsidRPr="0024114A" w14:paraId="72F379CF" w14:textId="77777777" w:rsidTr="002D6DD7">
        <w:trPr>
          <w:trHeight w:val="391"/>
        </w:trPr>
        <w:tc>
          <w:tcPr>
            <w:tcW w:w="9360" w:type="dxa"/>
            <w:gridSpan w:val="2"/>
            <w:tcBorders>
              <w:top w:val="single" w:sz="4" w:space="0" w:color="auto"/>
              <w:left w:val="single" w:sz="4" w:space="0" w:color="auto"/>
              <w:bottom w:val="single" w:sz="4" w:space="0" w:color="auto"/>
              <w:right w:val="single" w:sz="4" w:space="0" w:color="auto"/>
            </w:tcBorders>
          </w:tcPr>
          <w:p w14:paraId="5B7D5A06" w14:textId="77777777" w:rsidR="00C345C8" w:rsidRPr="0024114A" w:rsidRDefault="00C345C8" w:rsidP="002D6DD7">
            <w:pPr>
              <w:jc w:val="both"/>
              <w:rPr>
                <w:rFonts w:eastAsia="SimSun" w:cs="Times New Roman"/>
                <w:kern w:val="0"/>
                <w:szCs w:val="24"/>
                <w:lang w:val="en-US"/>
              </w:rPr>
            </w:pPr>
            <w:r w:rsidRPr="0024114A">
              <w:rPr>
                <w:rFonts w:cs="Times New Roman"/>
                <w:b/>
                <w:szCs w:val="24"/>
              </w:rPr>
              <w:t>Paracetamol (Acetaminophen)</w:t>
            </w:r>
          </w:p>
        </w:tc>
      </w:tr>
      <w:tr w:rsidR="00C345C8" w:rsidRPr="0024114A" w14:paraId="5327B287" w14:textId="77777777" w:rsidTr="002D6DD7">
        <w:trPr>
          <w:trHeight w:val="413"/>
        </w:trPr>
        <w:tc>
          <w:tcPr>
            <w:tcW w:w="2605" w:type="dxa"/>
            <w:tcBorders>
              <w:top w:val="single" w:sz="4" w:space="0" w:color="auto"/>
              <w:left w:val="single" w:sz="4" w:space="0" w:color="auto"/>
              <w:bottom w:val="single" w:sz="4" w:space="0" w:color="auto"/>
              <w:right w:val="single" w:sz="4" w:space="0" w:color="auto"/>
            </w:tcBorders>
          </w:tcPr>
          <w:p w14:paraId="0194EE0B"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Pharmacological class</w:t>
            </w:r>
          </w:p>
        </w:tc>
        <w:tc>
          <w:tcPr>
            <w:tcW w:w="6755" w:type="dxa"/>
            <w:tcBorders>
              <w:top w:val="single" w:sz="4" w:space="0" w:color="auto"/>
              <w:left w:val="single" w:sz="4" w:space="0" w:color="auto"/>
              <w:bottom w:val="single" w:sz="4" w:space="0" w:color="auto"/>
              <w:right w:val="single" w:sz="4" w:space="0" w:color="auto"/>
            </w:tcBorders>
          </w:tcPr>
          <w:p w14:paraId="497CC894"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NSAID</w:t>
            </w:r>
          </w:p>
        </w:tc>
      </w:tr>
      <w:tr w:rsidR="00C345C8" w:rsidRPr="0024114A" w14:paraId="609B42CE" w14:textId="77777777" w:rsidTr="002D6DD7">
        <w:trPr>
          <w:trHeight w:val="406"/>
        </w:trPr>
        <w:tc>
          <w:tcPr>
            <w:tcW w:w="2605" w:type="dxa"/>
            <w:tcBorders>
              <w:top w:val="single" w:sz="4" w:space="0" w:color="auto"/>
              <w:left w:val="single" w:sz="4" w:space="0" w:color="auto"/>
              <w:bottom w:val="single" w:sz="4" w:space="0" w:color="auto"/>
              <w:right w:val="single" w:sz="4" w:space="0" w:color="auto"/>
            </w:tcBorders>
          </w:tcPr>
          <w:p w14:paraId="34F8C567"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Dosage form</w:t>
            </w:r>
          </w:p>
        </w:tc>
        <w:tc>
          <w:tcPr>
            <w:tcW w:w="6755" w:type="dxa"/>
            <w:tcBorders>
              <w:top w:val="single" w:sz="4" w:space="0" w:color="auto"/>
              <w:left w:val="single" w:sz="4" w:space="0" w:color="auto"/>
              <w:bottom w:val="single" w:sz="4" w:space="0" w:color="auto"/>
              <w:right w:val="single" w:sz="4" w:space="0" w:color="auto"/>
            </w:tcBorders>
          </w:tcPr>
          <w:p w14:paraId="46B9CA86" w14:textId="77777777" w:rsidR="00C345C8" w:rsidRPr="0024114A" w:rsidRDefault="00C345C8" w:rsidP="002D6DD7">
            <w:pPr>
              <w:pStyle w:val="Default"/>
              <w:spacing w:line="360" w:lineRule="auto"/>
              <w:jc w:val="both"/>
              <w:rPr>
                <w:color w:val="auto"/>
              </w:rPr>
            </w:pPr>
            <w:r w:rsidRPr="0024114A">
              <w:rPr>
                <w:color w:val="auto"/>
              </w:rPr>
              <w:t>Tablet: 500mg</w:t>
            </w:r>
          </w:p>
        </w:tc>
      </w:tr>
      <w:tr w:rsidR="00C345C8" w:rsidRPr="0024114A" w14:paraId="4E2F6117" w14:textId="77777777" w:rsidTr="002D6DD7">
        <w:trPr>
          <w:trHeight w:val="391"/>
        </w:trPr>
        <w:tc>
          <w:tcPr>
            <w:tcW w:w="2605" w:type="dxa"/>
            <w:tcBorders>
              <w:top w:val="single" w:sz="4" w:space="0" w:color="auto"/>
              <w:left w:val="single" w:sz="4" w:space="0" w:color="auto"/>
              <w:bottom w:val="single" w:sz="4" w:space="0" w:color="auto"/>
              <w:right w:val="single" w:sz="4" w:space="0" w:color="auto"/>
            </w:tcBorders>
          </w:tcPr>
          <w:p w14:paraId="3F5EC7A8"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Indications</w:t>
            </w:r>
          </w:p>
        </w:tc>
        <w:tc>
          <w:tcPr>
            <w:tcW w:w="6755" w:type="dxa"/>
            <w:tcBorders>
              <w:top w:val="single" w:sz="4" w:space="0" w:color="auto"/>
              <w:left w:val="single" w:sz="4" w:space="0" w:color="auto"/>
              <w:bottom w:val="single" w:sz="4" w:space="0" w:color="auto"/>
              <w:right w:val="single" w:sz="4" w:space="0" w:color="auto"/>
            </w:tcBorders>
          </w:tcPr>
          <w:p w14:paraId="321E444F"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Acute migraine attack</w:t>
            </w:r>
          </w:p>
        </w:tc>
      </w:tr>
      <w:tr w:rsidR="00C345C8" w:rsidRPr="0024114A" w14:paraId="6A7D5B10" w14:textId="77777777" w:rsidTr="002D6DD7">
        <w:trPr>
          <w:trHeight w:val="710"/>
        </w:trPr>
        <w:tc>
          <w:tcPr>
            <w:tcW w:w="2605" w:type="dxa"/>
            <w:tcBorders>
              <w:top w:val="single" w:sz="4" w:space="0" w:color="auto"/>
              <w:left w:val="single" w:sz="4" w:space="0" w:color="auto"/>
              <w:bottom w:val="single" w:sz="4" w:space="0" w:color="auto"/>
              <w:right w:val="single" w:sz="4" w:space="0" w:color="auto"/>
            </w:tcBorders>
          </w:tcPr>
          <w:p w14:paraId="0AAC99C2" w14:textId="77777777" w:rsidR="00C345C8" w:rsidRPr="0024114A" w:rsidRDefault="00C345C8" w:rsidP="002D6DD7">
            <w:pPr>
              <w:jc w:val="both"/>
              <w:rPr>
                <w:rFonts w:eastAsia="SimSun" w:cs="Times New Roman"/>
                <w:kern w:val="0"/>
                <w:szCs w:val="24"/>
                <w:lang w:val="en-US"/>
              </w:rPr>
            </w:pPr>
            <w:r w:rsidRPr="0024114A">
              <w:rPr>
                <w:rFonts w:eastAsia="Times New Roman" w:cs="Times New Roman"/>
                <w:kern w:val="0"/>
                <w:szCs w:val="24"/>
                <w:lang w:val="en-US"/>
              </w:rPr>
              <w:t>Dose and administration</w:t>
            </w:r>
          </w:p>
        </w:tc>
        <w:tc>
          <w:tcPr>
            <w:tcW w:w="6755" w:type="dxa"/>
            <w:tcBorders>
              <w:top w:val="single" w:sz="4" w:space="0" w:color="auto"/>
              <w:left w:val="single" w:sz="4" w:space="0" w:color="auto"/>
              <w:bottom w:val="single" w:sz="4" w:space="0" w:color="auto"/>
              <w:right w:val="single" w:sz="4" w:space="0" w:color="auto"/>
            </w:tcBorders>
          </w:tcPr>
          <w:p w14:paraId="1A935842" w14:textId="77777777" w:rsidR="00C345C8" w:rsidRPr="0024114A" w:rsidRDefault="00C345C8" w:rsidP="002D6DD7">
            <w:pPr>
              <w:pStyle w:val="Default"/>
              <w:spacing w:line="360" w:lineRule="auto"/>
              <w:jc w:val="both"/>
              <w:rPr>
                <w:color w:val="auto"/>
              </w:rPr>
            </w:pPr>
            <w:r w:rsidRPr="0024114A">
              <w:rPr>
                <w:b/>
                <w:bCs/>
                <w:color w:val="auto"/>
              </w:rPr>
              <w:t>Adult</w:t>
            </w:r>
            <w:r w:rsidRPr="0024114A">
              <w:rPr>
                <w:color w:val="auto"/>
              </w:rPr>
              <w:t xml:space="preserve">, </w:t>
            </w:r>
            <w:r w:rsidRPr="00447A72">
              <w:rPr>
                <w:color w:val="auto"/>
              </w:rPr>
              <w:t>oral:</w:t>
            </w:r>
            <w:r w:rsidRPr="0024114A">
              <w:rPr>
                <w:color w:val="auto"/>
              </w:rPr>
              <w:t xml:space="preserve"> 0.5 to 1 g at first sign of attack, repeated every 4 to 6 hours, if necessary, maximum, 4 g daily</w:t>
            </w:r>
          </w:p>
          <w:p w14:paraId="21AD98F8" w14:textId="77777777" w:rsidR="00C345C8" w:rsidRPr="0024114A" w:rsidRDefault="00C345C8" w:rsidP="002D6DD7">
            <w:pPr>
              <w:pStyle w:val="Default"/>
              <w:spacing w:line="360" w:lineRule="auto"/>
              <w:jc w:val="both"/>
              <w:rPr>
                <w:color w:val="auto"/>
              </w:rPr>
            </w:pPr>
            <w:r w:rsidRPr="0024114A">
              <w:rPr>
                <w:b/>
                <w:bCs/>
                <w:color w:val="auto"/>
              </w:rPr>
              <w:t>Paediatric</w:t>
            </w:r>
            <w:r w:rsidRPr="0024114A">
              <w:rPr>
                <w:color w:val="auto"/>
              </w:rPr>
              <w:t xml:space="preserve">, </w:t>
            </w:r>
            <w:r w:rsidRPr="00447A72">
              <w:rPr>
                <w:color w:val="auto"/>
              </w:rPr>
              <w:t>oral:</w:t>
            </w:r>
          </w:p>
          <w:p w14:paraId="1BD23664" w14:textId="77777777" w:rsidR="00C345C8" w:rsidRPr="0024114A" w:rsidRDefault="00C345C8" w:rsidP="002D6DD7">
            <w:pPr>
              <w:pStyle w:val="Default"/>
              <w:spacing w:line="360" w:lineRule="auto"/>
              <w:jc w:val="both"/>
              <w:rPr>
                <w:color w:val="auto"/>
              </w:rPr>
            </w:pPr>
            <w:r w:rsidRPr="0024114A">
              <w:rPr>
                <w:b/>
                <w:bCs/>
                <w:color w:val="auto"/>
              </w:rPr>
              <w:t>Infant or child</w:t>
            </w:r>
            <w:r w:rsidRPr="0024114A">
              <w:rPr>
                <w:color w:val="auto"/>
              </w:rPr>
              <w:t>: 15 mg/kg, up to 1 g, every 4 to 6 hours as necessary, maximum 60 mg/kg in 24 hours</w:t>
            </w:r>
          </w:p>
        </w:tc>
      </w:tr>
      <w:tr w:rsidR="00C345C8" w:rsidRPr="0024114A" w14:paraId="5FF62483" w14:textId="77777777" w:rsidTr="002D6DD7">
        <w:trPr>
          <w:trHeight w:val="376"/>
        </w:trPr>
        <w:tc>
          <w:tcPr>
            <w:tcW w:w="2605" w:type="dxa"/>
            <w:tcBorders>
              <w:top w:val="single" w:sz="4" w:space="0" w:color="auto"/>
              <w:left w:val="single" w:sz="4" w:space="0" w:color="auto"/>
              <w:bottom w:val="single" w:sz="4" w:space="0" w:color="auto"/>
              <w:right w:val="single" w:sz="4" w:space="0" w:color="auto"/>
            </w:tcBorders>
          </w:tcPr>
          <w:p w14:paraId="661B729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Contraindications</w:t>
            </w:r>
          </w:p>
        </w:tc>
        <w:tc>
          <w:tcPr>
            <w:tcW w:w="6755" w:type="dxa"/>
            <w:tcBorders>
              <w:top w:val="single" w:sz="4" w:space="0" w:color="auto"/>
              <w:left w:val="single" w:sz="4" w:space="0" w:color="auto"/>
              <w:bottom w:val="single" w:sz="4" w:space="0" w:color="auto"/>
              <w:right w:val="single" w:sz="4" w:space="0" w:color="auto"/>
            </w:tcBorders>
          </w:tcPr>
          <w:p w14:paraId="4608F043"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Severe hepatic or renal disease</w:t>
            </w:r>
          </w:p>
        </w:tc>
      </w:tr>
      <w:tr w:rsidR="00C345C8" w:rsidRPr="0024114A" w14:paraId="0EA5DCB5" w14:textId="77777777" w:rsidTr="002D6DD7">
        <w:trPr>
          <w:trHeight w:val="436"/>
        </w:trPr>
        <w:tc>
          <w:tcPr>
            <w:tcW w:w="2605" w:type="dxa"/>
            <w:tcBorders>
              <w:top w:val="single" w:sz="4" w:space="0" w:color="auto"/>
              <w:left w:val="single" w:sz="4" w:space="0" w:color="auto"/>
              <w:bottom w:val="single" w:sz="4" w:space="0" w:color="auto"/>
              <w:right w:val="single" w:sz="4" w:space="0" w:color="auto"/>
            </w:tcBorders>
          </w:tcPr>
          <w:p w14:paraId="00E39E32"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Drug interactions</w:t>
            </w:r>
          </w:p>
        </w:tc>
        <w:tc>
          <w:tcPr>
            <w:tcW w:w="6755" w:type="dxa"/>
            <w:tcBorders>
              <w:top w:val="single" w:sz="4" w:space="0" w:color="auto"/>
              <w:left w:val="single" w:sz="4" w:space="0" w:color="auto"/>
              <w:bottom w:val="single" w:sz="4" w:space="0" w:color="auto"/>
              <w:right w:val="single" w:sz="4" w:space="0" w:color="auto"/>
            </w:tcBorders>
          </w:tcPr>
          <w:p w14:paraId="37388728"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Metoclopramide, warfarin, phenobarbital, alcohol </w:t>
            </w:r>
          </w:p>
        </w:tc>
      </w:tr>
      <w:tr w:rsidR="00C345C8" w:rsidRPr="0024114A" w14:paraId="56E74BAE" w14:textId="77777777" w:rsidTr="002D6DD7">
        <w:trPr>
          <w:trHeight w:val="361"/>
        </w:trPr>
        <w:tc>
          <w:tcPr>
            <w:tcW w:w="2605" w:type="dxa"/>
            <w:tcBorders>
              <w:top w:val="single" w:sz="4" w:space="0" w:color="auto"/>
              <w:left w:val="single" w:sz="4" w:space="0" w:color="auto"/>
              <w:bottom w:val="single" w:sz="4" w:space="0" w:color="auto"/>
              <w:right w:val="single" w:sz="4" w:space="0" w:color="auto"/>
            </w:tcBorders>
          </w:tcPr>
          <w:p w14:paraId="0C10BC29"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Side effects</w:t>
            </w:r>
          </w:p>
        </w:tc>
        <w:tc>
          <w:tcPr>
            <w:tcW w:w="6755" w:type="dxa"/>
            <w:tcBorders>
              <w:top w:val="single" w:sz="4" w:space="0" w:color="auto"/>
              <w:left w:val="single" w:sz="4" w:space="0" w:color="auto"/>
              <w:bottom w:val="single" w:sz="4" w:space="0" w:color="auto"/>
              <w:right w:val="single" w:sz="4" w:space="0" w:color="auto"/>
            </w:tcBorders>
          </w:tcPr>
          <w:p w14:paraId="790F3168" w14:textId="77777777" w:rsidR="00C345C8" w:rsidRPr="0024114A" w:rsidRDefault="00C345C8" w:rsidP="002D6DD7">
            <w:pPr>
              <w:pStyle w:val="Default"/>
              <w:spacing w:line="360" w:lineRule="auto"/>
              <w:jc w:val="both"/>
              <w:rPr>
                <w:color w:val="auto"/>
              </w:rPr>
            </w:pPr>
            <w:r w:rsidRPr="0024114A">
              <w:rPr>
                <w:color w:val="auto"/>
              </w:rPr>
              <w:t>Refer toparacetamol under medicine for pain and palliative care</w:t>
            </w:r>
          </w:p>
        </w:tc>
      </w:tr>
      <w:tr w:rsidR="00C345C8" w:rsidRPr="0024114A" w14:paraId="32059B77" w14:textId="77777777" w:rsidTr="002D6DD7">
        <w:trPr>
          <w:trHeight w:val="713"/>
        </w:trPr>
        <w:tc>
          <w:tcPr>
            <w:tcW w:w="2605" w:type="dxa"/>
            <w:tcBorders>
              <w:top w:val="single" w:sz="4" w:space="0" w:color="auto"/>
              <w:left w:val="single" w:sz="4" w:space="0" w:color="auto"/>
              <w:bottom w:val="single" w:sz="4" w:space="0" w:color="auto"/>
              <w:right w:val="single" w:sz="4" w:space="0" w:color="auto"/>
            </w:tcBorders>
          </w:tcPr>
          <w:p w14:paraId="024F3771"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Cautions </w:t>
            </w:r>
          </w:p>
        </w:tc>
        <w:tc>
          <w:tcPr>
            <w:tcW w:w="6755" w:type="dxa"/>
            <w:tcBorders>
              <w:top w:val="single" w:sz="4" w:space="0" w:color="auto"/>
              <w:left w:val="single" w:sz="4" w:space="0" w:color="auto"/>
              <w:bottom w:val="single" w:sz="4" w:space="0" w:color="auto"/>
              <w:right w:val="single" w:sz="4" w:space="0" w:color="auto"/>
            </w:tcBorders>
          </w:tcPr>
          <w:p w14:paraId="340EACB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Hepatic impairment, alcohol dependence, over dosage, malnutrition, long term use, chronic dehydration</w:t>
            </w:r>
          </w:p>
        </w:tc>
      </w:tr>
      <w:tr w:rsidR="00C345C8" w:rsidRPr="0024114A" w14:paraId="1DFFFF41" w14:textId="77777777" w:rsidTr="002D6DD7">
        <w:trPr>
          <w:trHeight w:val="286"/>
        </w:trPr>
        <w:tc>
          <w:tcPr>
            <w:tcW w:w="2605" w:type="dxa"/>
            <w:tcBorders>
              <w:top w:val="single" w:sz="4" w:space="0" w:color="auto"/>
              <w:left w:val="single" w:sz="4" w:space="0" w:color="auto"/>
              <w:bottom w:val="single" w:sz="4" w:space="0" w:color="auto"/>
              <w:right w:val="single" w:sz="4" w:space="0" w:color="auto"/>
            </w:tcBorders>
          </w:tcPr>
          <w:p w14:paraId="1C29F5AE"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Storage condition</w:t>
            </w:r>
          </w:p>
        </w:tc>
        <w:tc>
          <w:tcPr>
            <w:tcW w:w="6755" w:type="dxa"/>
            <w:tcBorders>
              <w:top w:val="single" w:sz="4" w:space="0" w:color="auto"/>
              <w:left w:val="single" w:sz="4" w:space="0" w:color="auto"/>
              <w:bottom w:val="single" w:sz="4" w:space="0" w:color="auto"/>
              <w:right w:val="single" w:sz="4" w:space="0" w:color="auto"/>
            </w:tcBorders>
          </w:tcPr>
          <w:p w14:paraId="10C2D8B3"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Store below 30</w:t>
            </w:r>
            <w:r w:rsidRPr="0024114A">
              <w:rPr>
                <w:rFonts w:eastAsia="SimSun" w:cs="Times New Roman"/>
                <w:kern w:val="0"/>
                <w:szCs w:val="24"/>
                <w:vertAlign w:val="superscript"/>
                <w:lang w:val="en-US"/>
              </w:rPr>
              <w:t>0</w:t>
            </w:r>
            <w:r w:rsidRPr="0024114A">
              <w:rPr>
                <w:rFonts w:eastAsia="SimSun" w:cs="Times New Roman"/>
                <w:kern w:val="0"/>
                <w:szCs w:val="24"/>
                <w:lang w:val="en-US"/>
              </w:rPr>
              <w:t>C</w:t>
            </w:r>
          </w:p>
        </w:tc>
      </w:tr>
      <w:tr w:rsidR="00C345C8" w:rsidRPr="0024114A" w14:paraId="18B7C011" w14:textId="77777777" w:rsidTr="002D6DD7">
        <w:trPr>
          <w:trHeight w:val="301"/>
        </w:trPr>
        <w:tc>
          <w:tcPr>
            <w:tcW w:w="9360" w:type="dxa"/>
            <w:gridSpan w:val="2"/>
            <w:tcBorders>
              <w:top w:val="single" w:sz="4" w:space="0" w:color="auto"/>
              <w:left w:val="single" w:sz="4" w:space="0" w:color="auto"/>
              <w:bottom w:val="single" w:sz="4" w:space="0" w:color="auto"/>
              <w:right w:val="single" w:sz="4" w:space="0" w:color="auto"/>
            </w:tcBorders>
          </w:tcPr>
          <w:p w14:paraId="00F02B3F" w14:textId="77777777" w:rsidR="00C345C8" w:rsidRPr="0024114A" w:rsidRDefault="00C345C8" w:rsidP="002D6DD7">
            <w:pPr>
              <w:jc w:val="both"/>
              <w:rPr>
                <w:rFonts w:eastAsia="SimSun" w:cs="Times New Roman"/>
                <w:kern w:val="0"/>
                <w:szCs w:val="24"/>
                <w:lang w:val="en-US"/>
              </w:rPr>
            </w:pPr>
            <w:r w:rsidRPr="0024114A">
              <w:rPr>
                <w:rFonts w:cs="Times New Roman"/>
                <w:b/>
                <w:szCs w:val="24"/>
              </w:rPr>
              <w:t>Propranolol</w:t>
            </w:r>
          </w:p>
        </w:tc>
      </w:tr>
      <w:tr w:rsidR="00C345C8" w:rsidRPr="0024114A" w14:paraId="34A727AF" w14:textId="77777777" w:rsidTr="002D6DD7">
        <w:trPr>
          <w:trHeight w:val="179"/>
        </w:trPr>
        <w:tc>
          <w:tcPr>
            <w:tcW w:w="2605" w:type="dxa"/>
            <w:tcBorders>
              <w:top w:val="single" w:sz="4" w:space="0" w:color="auto"/>
              <w:left w:val="single" w:sz="4" w:space="0" w:color="auto"/>
              <w:bottom w:val="single" w:sz="4" w:space="0" w:color="auto"/>
              <w:right w:val="single" w:sz="4" w:space="0" w:color="auto"/>
            </w:tcBorders>
          </w:tcPr>
          <w:p w14:paraId="5C501E26"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Pharmacological class</w:t>
            </w:r>
          </w:p>
        </w:tc>
        <w:tc>
          <w:tcPr>
            <w:tcW w:w="6755" w:type="dxa"/>
            <w:tcBorders>
              <w:top w:val="single" w:sz="4" w:space="0" w:color="auto"/>
              <w:left w:val="single" w:sz="4" w:space="0" w:color="auto"/>
              <w:bottom w:val="single" w:sz="4" w:space="0" w:color="auto"/>
              <w:right w:val="single" w:sz="4" w:space="0" w:color="auto"/>
            </w:tcBorders>
          </w:tcPr>
          <w:p w14:paraId="08A17236"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Beta blocker</w:t>
            </w:r>
          </w:p>
        </w:tc>
      </w:tr>
      <w:tr w:rsidR="00C345C8" w:rsidRPr="0024114A" w14:paraId="1357F0C7" w14:textId="77777777" w:rsidTr="002D6DD7">
        <w:trPr>
          <w:trHeight w:val="271"/>
        </w:trPr>
        <w:tc>
          <w:tcPr>
            <w:tcW w:w="2605" w:type="dxa"/>
            <w:tcBorders>
              <w:top w:val="single" w:sz="4" w:space="0" w:color="auto"/>
              <w:left w:val="single" w:sz="4" w:space="0" w:color="auto"/>
              <w:bottom w:val="single" w:sz="4" w:space="0" w:color="auto"/>
              <w:right w:val="single" w:sz="4" w:space="0" w:color="auto"/>
            </w:tcBorders>
          </w:tcPr>
          <w:p w14:paraId="0BAA228B"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Dosage form</w:t>
            </w:r>
          </w:p>
        </w:tc>
        <w:tc>
          <w:tcPr>
            <w:tcW w:w="6755" w:type="dxa"/>
            <w:tcBorders>
              <w:top w:val="single" w:sz="4" w:space="0" w:color="auto"/>
              <w:left w:val="single" w:sz="4" w:space="0" w:color="auto"/>
              <w:bottom w:val="single" w:sz="4" w:space="0" w:color="auto"/>
              <w:right w:val="single" w:sz="4" w:space="0" w:color="auto"/>
            </w:tcBorders>
          </w:tcPr>
          <w:p w14:paraId="18FBEA4B" w14:textId="77777777" w:rsidR="00C345C8" w:rsidRPr="0024114A" w:rsidRDefault="00C345C8" w:rsidP="002D6DD7">
            <w:pPr>
              <w:pStyle w:val="Default"/>
              <w:spacing w:line="360" w:lineRule="auto"/>
              <w:jc w:val="both"/>
              <w:rPr>
                <w:color w:val="auto"/>
              </w:rPr>
            </w:pPr>
            <w:r w:rsidRPr="0024114A">
              <w:rPr>
                <w:color w:val="auto"/>
              </w:rPr>
              <w:t>Tablet: 20 mg, 40 mg</w:t>
            </w:r>
          </w:p>
        </w:tc>
      </w:tr>
      <w:tr w:rsidR="00C345C8" w:rsidRPr="0024114A" w14:paraId="51405BF1" w14:textId="77777777" w:rsidTr="002D6DD7">
        <w:trPr>
          <w:trHeight w:val="331"/>
        </w:trPr>
        <w:tc>
          <w:tcPr>
            <w:tcW w:w="2605" w:type="dxa"/>
            <w:tcBorders>
              <w:top w:val="single" w:sz="4" w:space="0" w:color="auto"/>
              <w:left w:val="single" w:sz="4" w:space="0" w:color="auto"/>
              <w:bottom w:val="single" w:sz="4" w:space="0" w:color="auto"/>
              <w:right w:val="single" w:sz="4" w:space="0" w:color="auto"/>
            </w:tcBorders>
          </w:tcPr>
          <w:p w14:paraId="2FBCB83E"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Indications</w:t>
            </w:r>
          </w:p>
        </w:tc>
        <w:tc>
          <w:tcPr>
            <w:tcW w:w="6755" w:type="dxa"/>
            <w:tcBorders>
              <w:top w:val="single" w:sz="4" w:space="0" w:color="auto"/>
              <w:left w:val="single" w:sz="4" w:space="0" w:color="auto"/>
              <w:bottom w:val="single" w:sz="4" w:space="0" w:color="auto"/>
              <w:right w:val="single" w:sz="4" w:space="0" w:color="auto"/>
            </w:tcBorders>
          </w:tcPr>
          <w:p w14:paraId="75F4F3F8"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iCs/>
                <w:kern w:val="0"/>
                <w:szCs w:val="24"/>
                <w:lang w:val="en-US"/>
              </w:rPr>
              <w:t>Prophylaxis of migraine</w:t>
            </w:r>
          </w:p>
        </w:tc>
      </w:tr>
      <w:tr w:rsidR="00C345C8" w:rsidRPr="0024114A" w14:paraId="788F3E0F"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2D14074A" w14:textId="77777777" w:rsidR="00C345C8" w:rsidRPr="0024114A" w:rsidRDefault="00C345C8" w:rsidP="002D6DD7">
            <w:pPr>
              <w:jc w:val="both"/>
              <w:rPr>
                <w:rFonts w:eastAsia="SimSun" w:cs="Times New Roman"/>
                <w:kern w:val="0"/>
                <w:szCs w:val="24"/>
                <w:lang w:val="en-US"/>
              </w:rPr>
            </w:pPr>
            <w:r w:rsidRPr="0024114A">
              <w:rPr>
                <w:rFonts w:eastAsia="Times New Roman" w:cs="Times New Roman"/>
                <w:kern w:val="0"/>
                <w:szCs w:val="24"/>
                <w:lang w:val="en-US"/>
              </w:rPr>
              <w:t>Dose and administration</w:t>
            </w:r>
          </w:p>
        </w:tc>
        <w:tc>
          <w:tcPr>
            <w:tcW w:w="6755" w:type="dxa"/>
            <w:tcBorders>
              <w:top w:val="single" w:sz="4" w:space="0" w:color="auto"/>
              <w:left w:val="single" w:sz="4" w:space="0" w:color="auto"/>
              <w:bottom w:val="single" w:sz="4" w:space="0" w:color="auto"/>
              <w:right w:val="single" w:sz="4" w:space="0" w:color="auto"/>
            </w:tcBorders>
          </w:tcPr>
          <w:p w14:paraId="74687A72" w14:textId="77777777" w:rsidR="00C345C8" w:rsidRPr="0024114A" w:rsidRDefault="00C345C8" w:rsidP="002D6DD7">
            <w:pPr>
              <w:autoSpaceDE w:val="0"/>
              <w:autoSpaceDN w:val="0"/>
              <w:adjustRightInd w:val="0"/>
              <w:jc w:val="both"/>
              <w:rPr>
                <w:rFonts w:eastAsia="SimSun" w:cs="Times New Roman"/>
                <w:b/>
                <w:bCs/>
                <w:kern w:val="0"/>
                <w:szCs w:val="24"/>
                <w:lang w:val="en-US"/>
              </w:rPr>
            </w:pPr>
            <w:r w:rsidRPr="0024114A">
              <w:rPr>
                <w:rFonts w:eastAsia="SimSun" w:cs="Times New Roman"/>
                <w:b/>
                <w:iCs/>
                <w:kern w:val="0"/>
                <w:szCs w:val="24"/>
                <w:lang w:val="en-US"/>
              </w:rPr>
              <w:t>Adult</w:t>
            </w:r>
            <w:r w:rsidRPr="0024114A">
              <w:rPr>
                <w:rFonts w:eastAsia="SimSun" w:cs="Times New Roman"/>
                <w:iCs/>
                <w:kern w:val="0"/>
                <w:szCs w:val="24"/>
                <w:lang w:val="en-US"/>
              </w:rPr>
              <w:t>: Initially 80mg daily in divided doses; may be increased by 20-40 mg every 3-4 weeks (max. 160-240mg in divided doses).</w:t>
            </w:r>
          </w:p>
          <w:p w14:paraId="672E5C13" w14:textId="77777777" w:rsidR="00C345C8" w:rsidRPr="0024114A" w:rsidRDefault="00C345C8" w:rsidP="002D6DD7">
            <w:pPr>
              <w:autoSpaceDE w:val="0"/>
              <w:autoSpaceDN w:val="0"/>
              <w:adjustRightInd w:val="0"/>
              <w:jc w:val="both"/>
              <w:rPr>
                <w:rFonts w:eastAsia="SimSun" w:cs="Times New Roman"/>
                <w:iCs/>
                <w:kern w:val="0"/>
                <w:szCs w:val="24"/>
                <w:lang w:val="en-US"/>
              </w:rPr>
            </w:pPr>
            <w:r w:rsidRPr="0024114A">
              <w:rPr>
                <w:rFonts w:eastAsia="SimSun" w:cs="Times New Roman"/>
                <w:b/>
                <w:bCs/>
                <w:kern w:val="0"/>
                <w:szCs w:val="24"/>
                <w:lang w:val="en-US"/>
              </w:rPr>
              <w:t>Child over 2 years</w:t>
            </w:r>
            <w:r w:rsidRPr="0024114A">
              <w:rPr>
                <w:rFonts w:eastAsia="SimSun" w:cs="Times New Roman"/>
                <w:kern w:val="0"/>
                <w:szCs w:val="24"/>
                <w:lang w:val="en-US"/>
              </w:rPr>
              <w:t>: 200–500 mcg/kg threetimes daily, maximum 4 mg/kg daily; usual dose 10–20 mg 2–3 times daily</w:t>
            </w:r>
          </w:p>
        </w:tc>
      </w:tr>
      <w:tr w:rsidR="00C345C8" w:rsidRPr="0024114A" w14:paraId="22323A12"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2A4CBAA4" w14:textId="77777777" w:rsidR="00C345C8" w:rsidRPr="0024114A" w:rsidRDefault="00C345C8" w:rsidP="002D6DD7">
            <w:pPr>
              <w:jc w:val="both"/>
              <w:rPr>
                <w:rFonts w:eastAsia="Times New Roman" w:cs="Times New Roman"/>
                <w:kern w:val="0"/>
                <w:szCs w:val="24"/>
                <w:lang w:val="en-US"/>
              </w:rPr>
            </w:pPr>
            <w:r w:rsidRPr="0024114A">
              <w:rPr>
                <w:rFonts w:eastAsia="SimSun" w:cs="Times New Roman"/>
                <w:kern w:val="0"/>
                <w:szCs w:val="24"/>
                <w:lang w:val="en-US"/>
              </w:rPr>
              <w:lastRenderedPageBreak/>
              <w:t>Contraindications</w:t>
            </w:r>
          </w:p>
        </w:tc>
        <w:tc>
          <w:tcPr>
            <w:tcW w:w="6755" w:type="dxa"/>
            <w:tcBorders>
              <w:top w:val="single" w:sz="4" w:space="0" w:color="auto"/>
              <w:left w:val="single" w:sz="4" w:space="0" w:color="auto"/>
              <w:bottom w:val="single" w:sz="4" w:space="0" w:color="auto"/>
              <w:right w:val="single" w:sz="4" w:space="0" w:color="auto"/>
            </w:tcBorders>
          </w:tcPr>
          <w:p w14:paraId="5CA0DC59" w14:textId="77777777" w:rsidR="00C345C8" w:rsidRPr="0024114A" w:rsidRDefault="00C345C8" w:rsidP="002D6DD7">
            <w:pPr>
              <w:autoSpaceDE w:val="0"/>
              <w:autoSpaceDN w:val="0"/>
              <w:adjustRightInd w:val="0"/>
              <w:jc w:val="both"/>
              <w:rPr>
                <w:rFonts w:eastAsia="SimSun" w:cs="Times New Roman"/>
                <w:b/>
                <w:iCs/>
                <w:kern w:val="0"/>
                <w:szCs w:val="24"/>
                <w:lang w:val="en-US"/>
              </w:rPr>
            </w:pPr>
            <w:r w:rsidRPr="0024114A">
              <w:rPr>
                <w:rFonts w:eastAsia="SimSun" w:cs="Times New Roman"/>
                <w:kern w:val="0"/>
                <w:szCs w:val="24"/>
                <w:lang w:val="en-US"/>
              </w:rPr>
              <w:t>Asthma, COPD, history of bronchospasm, uncontrolled heart failure, marked bradycardia, hypotension, sick sinus syndrome, second- or third-degreeatrioventricular block, cardiogenic shock, metabolic acidosis, severe peripheral arterial disease, phaeochromocytoma, concurrent use with chlorpromazine and thioridazine.</w:t>
            </w:r>
          </w:p>
        </w:tc>
      </w:tr>
      <w:tr w:rsidR="00C345C8" w:rsidRPr="0024114A" w14:paraId="44C2AEED"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7BEA820D"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Drug interactions</w:t>
            </w:r>
          </w:p>
          <w:p w14:paraId="6E8C31CB" w14:textId="77777777" w:rsidR="00C345C8" w:rsidRPr="0024114A" w:rsidRDefault="00C345C8" w:rsidP="002D6DD7">
            <w:pPr>
              <w:jc w:val="both"/>
              <w:rPr>
                <w:rFonts w:eastAsia="SimSun" w:cs="Times New Roman"/>
                <w:kern w:val="0"/>
                <w:szCs w:val="24"/>
                <w:lang w:val="en-US"/>
              </w:rPr>
            </w:pPr>
          </w:p>
        </w:tc>
        <w:tc>
          <w:tcPr>
            <w:tcW w:w="6755" w:type="dxa"/>
            <w:tcBorders>
              <w:top w:val="single" w:sz="4" w:space="0" w:color="auto"/>
              <w:left w:val="single" w:sz="4" w:space="0" w:color="auto"/>
              <w:bottom w:val="single" w:sz="4" w:space="0" w:color="auto"/>
              <w:right w:val="single" w:sz="4" w:space="0" w:color="auto"/>
            </w:tcBorders>
          </w:tcPr>
          <w:p w14:paraId="135F295E"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Bupivacaine, chlorpromazine, oral contraceptives, dexamethasone, diazepam, digoxin, enalapril, epinephrine, furosemide, halothane, hydrochlorothiazide, hydrocortisone, ibuprofen, insulins, ketamine, lidocaine, mefloquine, neostigmine, nifedipine, nitrous oxide, prednisolone, procainamide, pyridostigmine, quinidine, rifampicin, sodium nitroprusside, spironolactone, suxamethonium, thiopental, vecuronium, verapamil, beta-blockers, artemether + lumefantrine.</w:t>
            </w:r>
          </w:p>
        </w:tc>
      </w:tr>
      <w:tr w:rsidR="00C345C8" w:rsidRPr="0024114A" w14:paraId="4178E59D"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7BBD8147"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Side effects</w:t>
            </w:r>
          </w:p>
        </w:tc>
        <w:tc>
          <w:tcPr>
            <w:tcW w:w="6755" w:type="dxa"/>
            <w:tcBorders>
              <w:top w:val="single" w:sz="4" w:space="0" w:color="auto"/>
              <w:left w:val="single" w:sz="4" w:space="0" w:color="auto"/>
              <w:bottom w:val="single" w:sz="4" w:space="0" w:color="auto"/>
              <w:right w:val="single" w:sz="4" w:space="0" w:color="auto"/>
            </w:tcBorders>
          </w:tcPr>
          <w:p w14:paraId="30157010"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 xml:space="preserve">Nausea, diarrhoea, fatigue, insomnia, nightmares, dyspnoea, bronchospasm, peripheral vasoconstriction, exacerbation of Raynaud syndrome, bradycardia, heart failure, hypotension, conduction disorders, rash, exacerbation of psoriasis, muscle cramp, dry eyes, hypersensitivity reaction, thrombocytopenic purpura, liver function abnormality, alopecia, cardiac arrest, aggravation of congestive heart failure. </w:t>
            </w:r>
          </w:p>
        </w:tc>
      </w:tr>
      <w:tr w:rsidR="00C345C8" w:rsidRPr="0024114A" w14:paraId="397766B1"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560D7CAB"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Cautions </w:t>
            </w:r>
          </w:p>
        </w:tc>
        <w:tc>
          <w:tcPr>
            <w:tcW w:w="6755" w:type="dxa"/>
            <w:tcBorders>
              <w:top w:val="single" w:sz="4" w:space="0" w:color="auto"/>
              <w:left w:val="single" w:sz="4" w:space="0" w:color="auto"/>
              <w:bottom w:val="single" w:sz="4" w:space="0" w:color="auto"/>
              <w:right w:val="single" w:sz="4" w:space="0" w:color="auto"/>
            </w:tcBorders>
          </w:tcPr>
          <w:p w14:paraId="5E7494A5"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 xml:space="preserve">Abrupt withdrawal, first-degree atrioventricular block, portal hypertension, diabetes mellitus, history of obstructive airways disease, renal impairment, liver disease, myasthenia gravis, history of hypersensitivity </w:t>
            </w:r>
          </w:p>
        </w:tc>
      </w:tr>
      <w:tr w:rsidR="00C345C8" w:rsidRPr="0024114A" w14:paraId="7C408ADB" w14:textId="77777777" w:rsidTr="002D6DD7">
        <w:trPr>
          <w:trHeight w:val="395"/>
        </w:trPr>
        <w:tc>
          <w:tcPr>
            <w:tcW w:w="2605" w:type="dxa"/>
            <w:tcBorders>
              <w:top w:val="single" w:sz="4" w:space="0" w:color="auto"/>
              <w:left w:val="single" w:sz="4" w:space="0" w:color="auto"/>
              <w:bottom w:val="single" w:sz="4" w:space="0" w:color="auto"/>
              <w:right w:val="single" w:sz="4" w:space="0" w:color="auto"/>
            </w:tcBorders>
          </w:tcPr>
          <w:p w14:paraId="34AB6B98"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Storage condition</w:t>
            </w:r>
          </w:p>
        </w:tc>
        <w:tc>
          <w:tcPr>
            <w:tcW w:w="6755" w:type="dxa"/>
            <w:tcBorders>
              <w:top w:val="single" w:sz="4" w:space="0" w:color="auto"/>
              <w:left w:val="single" w:sz="4" w:space="0" w:color="auto"/>
              <w:bottom w:val="single" w:sz="4" w:space="0" w:color="auto"/>
              <w:right w:val="single" w:sz="4" w:space="0" w:color="auto"/>
            </w:tcBorders>
          </w:tcPr>
          <w:p w14:paraId="2F4B7126"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Store below 30</w:t>
            </w:r>
            <w:r w:rsidRPr="0024114A">
              <w:rPr>
                <w:rFonts w:eastAsia="SimSun" w:cs="Times New Roman"/>
                <w:kern w:val="0"/>
                <w:szCs w:val="24"/>
                <w:vertAlign w:val="superscript"/>
                <w:lang w:val="en-US"/>
              </w:rPr>
              <w:t>0</w:t>
            </w:r>
            <w:r w:rsidRPr="0024114A">
              <w:rPr>
                <w:rFonts w:eastAsia="SimSun" w:cs="Times New Roman"/>
                <w:kern w:val="0"/>
                <w:szCs w:val="24"/>
                <w:lang w:val="en-US"/>
              </w:rPr>
              <w:t>C.</w:t>
            </w:r>
          </w:p>
        </w:tc>
      </w:tr>
      <w:tr w:rsidR="00C345C8" w:rsidRPr="0024114A" w14:paraId="67DC3941" w14:textId="77777777" w:rsidTr="002D6DD7">
        <w:trPr>
          <w:trHeight w:val="422"/>
        </w:trPr>
        <w:tc>
          <w:tcPr>
            <w:tcW w:w="2605" w:type="dxa"/>
            <w:tcBorders>
              <w:top w:val="single" w:sz="4" w:space="0" w:color="auto"/>
              <w:left w:val="single" w:sz="4" w:space="0" w:color="auto"/>
              <w:bottom w:val="single" w:sz="4" w:space="0" w:color="auto"/>
              <w:right w:val="single" w:sz="4" w:space="0" w:color="auto"/>
            </w:tcBorders>
          </w:tcPr>
          <w:p w14:paraId="531BDB69" w14:textId="77777777" w:rsidR="00C345C8" w:rsidRPr="0024114A" w:rsidRDefault="00C345C8" w:rsidP="002D6DD7">
            <w:pPr>
              <w:jc w:val="both"/>
              <w:rPr>
                <w:rFonts w:eastAsia="SimSun" w:cs="Times New Roman"/>
                <w:kern w:val="0"/>
                <w:szCs w:val="24"/>
                <w:lang w:val="en-US"/>
              </w:rPr>
            </w:pPr>
            <w:r w:rsidRPr="0024114A">
              <w:rPr>
                <w:rFonts w:cs="Times New Roman"/>
                <w:b/>
                <w:szCs w:val="24"/>
              </w:rPr>
              <w:t>Sumatriptan</w:t>
            </w:r>
          </w:p>
        </w:tc>
        <w:tc>
          <w:tcPr>
            <w:tcW w:w="6755" w:type="dxa"/>
            <w:tcBorders>
              <w:top w:val="single" w:sz="4" w:space="0" w:color="auto"/>
              <w:left w:val="single" w:sz="4" w:space="0" w:color="auto"/>
              <w:bottom w:val="single" w:sz="4" w:space="0" w:color="auto"/>
              <w:right w:val="single" w:sz="4" w:space="0" w:color="auto"/>
            </w:tcBorders>
          </w:tcPr>
          <w:p w14:paraId="6EBD1BB1" w14:textId="77777777" w:rsidR="00C345C8" w:rsidRPr="0024114A" w:rsidRDefault="00C345C8" w:rsidP="002D6DD7">
            <w:pPr>
              <w:autoSpaceDE w:val="0"/>
              <w:autoSpaceDN w:val="0"/>
              <w:adjustRightInd w:val="0"/>
              <w:jc w:val="both"/>
              <w:rPr>
                <w:rFonts w:eastAsia="SimSun" w:cs="Times New Roman"/>
                <w:kern w:val="0"/>
                <w:szCs w:val="24"/>
                <w:lang w:val="en-US"/>
              </w:rPr>
            </w:pPr>
          </w:p>
        </w:tc>
      </w:tr>
      <w:tr w:rsidR="00C345C8" w:rsidRPr="0024114A" w14:paraId="06C56676" w14:textId="77777777" w:rsidTr="002D6DD7">
        <w:trPr>
          <w:trHeight w:val="440"/>
        </w:trPr>
        <w:tc>
          <w:tcPr>
            <w:tcW w:w="2605" w:type="dxa"/>
            <w:tcBorders>
              <w:top w:val="single" w:sz="4" w:space="0" w:color="auto"/>
              <w:left w:val="single" w:sz="4" w:space="0" w:color="auto"/>
              <w:bottom w:val="single" w:sz="4" w:space="0" w:color="auto"/>
              <w:right w:val="single" w:sz="4" w:space="0" w:color="auto"/>
            </w:tcBorders>
          </w:tcPr>
          <w:p w14:paraId="068D5872"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Pharmacological class</w:t>
            </w:r>
          </w:p>
        </w:tc>
        <w:tc>
          <w:tcPr>
            <w:tcW w:w="6755" w:type="dxa"/>
            <w:tcBorders>
              <w:top w:val="single" w:sz="4" w:space="0" w:color="auto"/>
              <w:left w:val="single" w:sz="4" w:space="0" w:color="auto"/>
              <w:bottom w:val="single" w:sz="4" w:space="0" w:color="auto"/>
              <w:right w:val="single" w:sz="4" w:space="0" w:color="auto"/>
            </w:tcBorders>
          </w:tcPr>
          <w:p w14:paraId="7786BB1E"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5-HT1-like receptors agonist</w:t>
            </w:r>
          </w:p>
        </w:tc>
      </w:tr>
      <w:tr w:rsidR="00C345C8" w:rsidRPr="0024114A" w14:paraId="4B592751" w14:textId="77777777" w:rsidTr="002D6DD7">
        <w:trPr>
          <w:trHeight w:val="440"/>
        </w:trPr>
        <w:tc>
          <w:tcPr>
            <w:tcW w:w="2605" w:type="dxa"/>
            <w:tcBorders>
              <w:top w:val="single" w:sz="4" w:space="0" w:color="auto"/>
              <w:left w:val="single" w:sz="4" w:space="0" w:color="auto"/>
              <w:bottom w:val="single" w:sz="4" w:space="0" w:color="auto"/>
              <w:right w:val="single" w:sz="4" w:space="0" w:color="auto"/>
            </w:tcBorders>
          </w:tcPr>
          <w:p w14:paraId="5DF87A62"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Dosage form</w:t>
            </w:r>
          </w:p>
        </w:tc>
        <w:tc>
          <w:tcPr>
            <w:tcW w:w="6755" w:type="dxa"/>
            <w:tcBorders>
              <w:top w:val="single" w:sz="4" w:space="0" w:color="auto"/>
              <w:left w:val="single" w:sz="4" w:space="0" w:color="auto"/>
              <w:bottom w:val="single" w:sz="4" w:space="0" w:color="auto"/>
              <w:right w:val="single" w:sz="4" w:space="0" w:color="auto"/>
            </w:tcBorders>
          </w:tcPr>
          <w:p w14:paraId="207BE050"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cs="Times New Roman"/>
                <w:szCs w:val="24"/>
              </w:rPr>
              <w:t>Tablet: 25mg, 50mg,100mg</w:t>
            </w:r>
          </w:p>
        </w:tc>
      </w:tr>
      <w:tr w:rsidR="00C345C8" w:rsidRPr="0024114A" w14:paraId="68339BEF" w14:textId="77777777" w:rsidTr="002D6DD7">
        <w:trPr>
          <w:trHeight w:val="440"/>
        </w:trPr>
        <w:tc>
          <w:tcPr>
            <w:tcW w:w="2605" w:type="dxa"/>
            <w:tcBorders>
              <w:top w:val="single" w:sz="4" w:space="0" w:color="auto"/>
              <w:left w:val="single" w:sz="4" w:space="0" w:color="auto"/>
              <w:bottom w:val="single" w:sz="4" w:space="0" w:color="auto"/>
              <w:right w:val="single" w:sz="4" w:space="0" w:color="auto"/>
            </w:tcBorders>
          </w:tcPr>
          <w:p w14:paraId="3646287E"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Indications</w:t>
            </w:r>
          </w:p>
        </w:tc>
        <w:tc>
          <w:tcPr>
            <w:tcW w:w="6755" w:type="dxa"/>
            <w:tcBorders>
              <w:top w:val="single" w:sz="4" w:space="0" w:color="auto"/>
              <w:left w:val="single" w:sz="4" w:space="0" w:color="auto"/>
              <w:bottom w:val="single" w:sz="4" w:space="0" w:color="auto"/>
              <w:right w:val="single" w:sz="4" w:space="0" w:color="auto"/>
            </w:tcBorders>
          </w:tcPr>
          <w:p w14:paraId="3C8C29FD"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 xml:space="preserve">Acute migraines headaches </w:t>
            </w:r>
          </w:p>
        </w:tc>
      </w:tr>
      <w:tr w:rsidR="00C345C8" w:rsidRPr="0024114A" w14:paraId="1D4BF4AE"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1EF2158A" w14:textId="77777777" w:rsidR="00C345C8" w:rsidRPr="0024114A" w:rsidRDefault="00C345C8" w:rsidP="002D6DD7">
            <w:pPr>
              <w:jc w:val="both"/>
              <w:rPr>
                <w:rFonts w:eastAsia="SimSun" w:cs="Times New Roman"/>
                <w:kern w:val="0"/>
                <w:szCs w:val="24"/>
                <w:lang w:val="en-US"/>
              </w:rPr>
            </w:pPr>
            <w:r w:rsidRPr="0024114A">
              <w:rPr>
                <w:rFonts w:eastAsia="Times New Roman" w:cs="Times New Roman"/>
                <w:kern w:val="0"/>
                <w:szCs w:val="24"/>
                <w:lang w:val="en-US"/>
              </w:rPr>
              <w:lastRenderedPageBreak/>
              <w:t>Dose and administration</w:t>
            </w:r>
          </w:p>
        </w:tc>
        <w:tc>
          <w:tcPr>
            <w:tcW w:w="6755" w:type="dxa"/>
            <w:tcBorders>
              <w:top w:val="single" w:sz="4" w:space="0" w:color="auto"/>
              <w:left w:val="single" w:sz="4" w:space="0" w:color="auto"/>
              <w:bottom w:val="single" w:sz="4" w:space="0" w:color="auto"/>
              <w:right w:val="single" w:sz="4" w:space="0" w:color="auto"/>
            </w:tcBorders>
          </w:tcPr>
          <w:p w14:paraId="48311052"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b/>
                <w:kern w:val="0"/>
                <w:szCs w:val="24"/>
                <w:lang w:val="en-US"/>
              </w:rPr>
              <w:t xml:space="preserve">Adult: </w:t>
            </w:r>
            <w:r w:rsidRPr="0024114A">
              <w:rPr>
                <w:rFonts w:eastAsia="SimSun" w:cs="Times New Roman"/>
                <w:kern w:val="0"/>
                <w:szCs w:val="24"/>
                <w:lang w:val="en-US"/>
              </w:rPr>
              <w:t>Initially 50–100 mg for 1 dose, followed by 50–100 mg after at least 2 hours if required, to be taken only if migraine recurs (patient not responding to initial dose should not take second dose for same attack) with food; maximum 200 mg per day.</w:t>
            </w:r>
          </w:p>
        </w:tc>
      </w:tr>
      <w:tr w:rsidR="00C345C8" w:rsidRPr="0024114A" w14:paraId="46DE2895"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05F6775A"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Contraindications</w:t>
            </w:r>
          </w:p>
        </w:tc>
        <w:tc>
          <w:tcPr>
            <w:tcW w:w="6755" w:type="dxa"/>
            <w:tcBorders>
              <w:top w:val="single" w:sz="4" w:space="0" w:color="auto"/>
              <w:left w:val="single" w:sz="4" w:space="0" w:color="auto"/>
              <w:bottom w:val="single" w:sz="4" w:space="0" w:color="auto"/>
              <w:right w:val="single" w:sz="4" w:space="0" w:color="auto"/>
            </w:tcBorders>
          </w:tcPr>
          <w:p w14:paraId="5B4D7DC0"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Hypersensitivity to the the drug, coronary vasospasm, ischaemic heart disease, mild uncontrolled hypertension, moderate and severe hypertension, peripheral vascular disease, previous cerebrovascular accident, previous myocardial infarction, previous transient ischaemic attack, prinzmetal’s angina, administration of other 5-HT1 agonists (e.g</w:t>
            </w:r>
            <w:r w:rsidR="0003359E">
              <w:rPr>
                <w:rFonts w:eastAsia="SimSun" w:cs="Times New Roman"/>
                <w:kern w:val="0"/>
                <w:szCs w:val="24"/>
                <w:lang w:val="en-US"/>
              </w:rPr>
              <w:t xml:space="preserve"> </w:t>
            </w:r>
            <w:r w:rsidRPr="0024114A">
              <w:rPr>
                <w:rFonts w:eastAsia="SimSun" w:cs="Times New Roman"/>
                <w:kern w:val="0"/>
                <w:szCs w:val="24"/>
                <w:lang w:val="en-US"/>
              </w:rPr>
              <w:t xml:space="preserve">amlotriptan, zolmitriptan, rizatriptan) within 24 hours, hepatic impairment. </w:t>
            </w:r>
          </w:p>
        </w:tc>
      </w:tr>
      <w:tr w:rsidR="00C345C8" w:rsidRPr="0024114A" w14:paraId="57F82521" w14:textId="77777777" w:rsidTr="002D6DD7">
        <w:trPr>
          <w:trHeight w:val="395"/>
        </w:trPr>
        <w:tc>
          <w:tcPr>
            <w:tcW w:w="2605" w:type="dxa"/>
            <w:tcBorders>
              <w:top w:val="single" w:sz="4" w:space="0" w:color="auto"/>
              <w:left w:val="single" w:sz="4" w:space="0" w:color="auto"/>
              <w:bottom w:val="single" w:sz="4" w:space="0" w:color="auto"/>
              <w:right w:val="single" w:sz="4" w:space="0" w:color="auto"/>
            </w:tcBorders>
          </w:tcPr>
          <w:p w14:paraId="53C7C34E"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Drug interactions</w:t>
            </w:r>
          </w:p>
        </w:tc>
        <w:tc>
          <w:tcPr>
            <w:tcW w:w="6755" w:type="dxa"/>
            <w:tcBorders>
              <w:top w:val="single" w:sz="4" w:space="0" w:color="auto"/>
              <w:left w:val="single" w:sz="4" w:space="0" w:color="auto"/>
              <w:bottom w:val="single" w:sz="4" w:space="0" w:color="auto"/>
              <w:right w:val="single" w:sz="4" w:space="0" w:color="auto"/>
            </w:tcBorders>
          </w:tcPr>
          <w:p w14:paraId="319C65BF"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Ergotamine, fluoxetine, paroxetine, sertraline, linezolid, azole antifungals, ondansetron, phenelezine</w:t>
            </w:r>
          </w:p>
        </w:tc>
      </w:tr>
      <w:tr w:rsidR="00C345C8" w:rsidRPr="0024114A" w14:paraId="148C10F3"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65B54D89"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Side effects</w:t>
            </w:r>
          </w:p>
        </w:tc>
        <w:tc>
          <w:tcPr>
            <w:tcW w:w="6755" w:type="dxa"/>
            <w:tcBorders>
              <w:top w:val="single" w:sz="4" w:space="0" w:color="auto"/>
              <w:left w:val="single" w:sz="4" w:space="0" w:color="auto"/>
              <w:bottom w:val="single" w:sz="4" w:space="0" w:color="auto"/>
              <w:right w:val="single" w:sz="4" w:space="0" w:color="auto"/>
            </w:tcBorders>
          </w:tcPr>
          <w:p w14:paraId="776C65D8"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cs="Times New Roman"/>
                <w:szCs w:val="24"/>
              </w:rPr>
              <w:t>Asthenia, dizziness, drowsiness, dyspnoea, feeling abnormal, flushing, myalgia, nausea, pain, sensation abnormal, skin reactions, temperature sensation altered, vomiting, paresthesia, somnolence, warm sensation, sore throat, chest, throat, jaw tightness, worsening of head pain.</w:t>
            </w:r>
          </w:p>
        </w:tc>
      </w:tr>
      <w:tr w:rsidR="00C345C8" w:rsidRPr="0024114A" w14:paraId="5BFD3D68" w14:textId="77777777" w:rsidTr="002D6DD7">
        <w:trPr>
          <w:trHeight w:val="873"/>
        </w:trPr>
        <w:tc>
          <w:tcPr>
            <w:tcW w:w="2605" w:type="dxa"/>
            <w:tcBorders>
              <w:top w:val="single" w:sz="4" w:space="0" w:color="auto"/>
              <w:left w:val="single" w:sz="4" w:space="0" w:color="auto"/>
              <w:bottom w:val="single" w:sz="4" w:space="0" w:color="auto"/>
              <w:right w:val="single" w:sz="4" w:space="0" w:color="auto"/>
            </w:tcBorders>
          </w:tcPr>
          <w:p w14:paraId="5C72E8F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 xml:space="preserve">Cautions </w:t>
            </w:r>
          </w:p>
        </w:tc>
        <w:tc>
          <w:tcPr>
            <w:tcW w:w="6755" w:type="dxa"/>
            <w:tcBorders>
              <w:top w:val="single" w:sz="4" w:space="0" w:color="auto"/>
              <w:left w:val="single" w:sz="4" w:space="0" w:color="auto"/>
              <w:bottom w:val="single" w:sz="4" w:space="0" w:color="auto"/>
              <w:right w:val="single" w:sz="4" w:space="0" w:color="auto"/>
            </w:tcBorders>
          </w:tcPr>
          <w:p w14:paraId="3F5FDF10"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bCs/>
                <w:kern w:val="0"/>
                <w:szCs w:val="24"/>
                <w:lang w:val="en-US"/>
              </w:rPr>
              <w:t>Coronary artery disease, elderly, history of seizures, hypertension, risk factors for seizures, hepatic impairment, pregnancy and breast feeding, operating heavy machinery</w:t>
            </w:r>
          </w:p>
        </w:tc>
      </w:tr>
      <w:tr w:rsidR="00C345C8" w:rsidRPr="0024114A" w14:paraId="5AF912AB" w14:textId="77777777" w:rsidTr="002D6DD7">
        <w:trPr>
          <w:trHeight w:val="377"/>
        </w:trPr>
        <w:tc>
          <w:tcPr>
            <w:tcW w:w="2605" w:type="dxa"/>
            <w:tcBorders>
              <w:top w:val="single" w:sz="4" w:space="0" w:color="auto"/>
              <w:left w:val="single" w:sz="4" w:space="0" w:color="auto"/>
              <w:bottom w:val="single" w:sz="4" w:space="0" w:color="auto"/>
              <w:right w:val="single" w:sz="4" w:space="0" w:color="auto"/>
            </w:tcBorders>
          </w:tcPr>
          <w:p w14:paraId="1D299B65" w14:textId="77777777" w:rsidR="00C345C8" w:rsidRPr="0024114A" w:rsidRDefault="00C345C8" w:rsidP="002D6DD7">
            <w:pPr>
              <w:jc w:val="both"/>
              <w:rPr>
                <w:rFonts w:eastAsia="SimSun" w:cs="Times New Roman"/>
                <w:kern w:val="0"/>
                <w:szCs w:val="24"/>
                <w:lang w:val="en-US"/>
              </w:rPr>
            </w:pPr>
            <w:r w:rsidRPr="0024114A">
              <w:rPr>
                <w:rFonts w:eastAsia="SimSun" w:cs="Times New Roman"/>
                <w:kern w:val="0"/>
                <w:szCs w:val="24"/>
                <w:lang w:val="en-US"/>
              </w:rPr>
              <w:t>Storage condition</w:t>
            </w:r>
          </w:p>
        </w:tc>
        <w:tc>
          <w:tcPr>
            <w:tcW w:w="6755" w:type="dxa"/>
            <w:tcBorders>
              <w:top w:val="single" w:sz="4" w:space="0" w:color="auto"/>
              <w:left w:val="single" w:sz="4" w:space="0" w:color="auto"/>
              <w:bottom w:val="single" w:sz="4" w:space="0" w:color="auto"/>
              <w:right w:val="single" w:sz="4" w:space="0" w:color="auto"/>
            </w:tcBorders>
          </w:tcPr>
          <w:p w14:paraId="603B38A6" w14:textId="77777777" w:rsidR="00C345C8" w:rsidRPr="0024114A" w:rsidRDefault="00C345C8" w:rsidP="002D6DD7">
            <w:pPr>
              <w:autoSpaceDE w:val="0"/>
              <w:autoSpaceDN w:val="0"/>
              <w:adjustRightInd w:val="0"/>
              <w:jc w:val="both"/>
              <w:rPr>
                <w:rFonts w:eastAsia="SimSun" w:cs="Times New Roman"/>
                <w:kern w:val="0"/>
                <w:szCs w:val="24"/>
                <w:lang w:val="en-US"/>
              </w:rPr>
            </w:pPr>
            <w:r w:rsidRPr="0024114A">
              <w:rPr>
                <w:rFonts w:eastAsia="SimSun" w:cs="Times New Roman"/>
                <w:kern w:val="0"/>
                <w:szCs w:val="24"/>
                <w:lang w:val="en-US"/>
              </w:rPr>
              <w:t>Store below 30</w:t>
            </w:r>
            <w:r w:rsidRPr="0024114A">
              <w:rPr>
                <w:rFonts w:eastAsia="SimSun" w:cs="Times New Roman"/>
                <w:kern w:val="0"/>
                <w:szCs w:val="24"/>
                <w:vertAlign w:val="superscript"/>
                <w:lang w:val="en-US"/>
              </w:rPr>
              <w:t>0</w:t>
            </w:r>
            <w:r w:rsidRPr="0024114A">
              <w:rPr>
                <w:rFonts w:eastAsia="SimSun" w:cs="Times New Roman"/>
                <w:kern w:val="0"/>
                <w:szCs w:val="24"/>
                <w:lang w:val="en-US"/>
              </w:rPr>
              <w:t>C</w:t>
            </w:r>
          </w:p>
        </w:tc>
      </w:tr>
    </w:tbl>
    <w:p w14:paraId="204E0636" w14:textId="77777777" w:rsidR="00C345C8" w:rsidRPr="0024114A" w:rsidRDefault="00C345C8" w:rsidP="00C345C8">
      <w:pPr>
        <w:spacing w:after="0"/>
        <w:jc w:val="both"/>
        <w:rPr>
          <w:rFonts w:cs="Times New Roman"/>
          <w:b/>
          <w:szCs w:val="24"/>
        </w:rPr>
      </w:pPr>
    </w:p>
    <w:p w14:paraId="6C510228" w14:textId="77777777" w:rsidR="00C345C8" w:rsidRDefault="00C345C8" w:rsidP="00C345C8">
      <w:pPr>
        <w:spacing w:after="0"/>
        <w:jc w:val="both"/>
        <w:rPr>
          <w:rFonts w:cs="Times New Roman"/>
          <w:szCs w:val="24"/>
        </w:rPr>
      </w:pPr>
      <w:r>
        <w:rPr>
          <w:rFonts w:cs="Times New Roman"/>
          <w:szCs w:val="24"/>
        </w:rPr>
        <w:br w:type="page"/>
      </w:r>
    </w:p>
    <w:p w14:paraId="7ACCAFBD" w14:textId="77777777" w:rsidR="00401703" w:rsidRPr="0003359E" w:rsidRDefault="00401703" w:rsidP="001611B0">
      <w:pPr>
        <w:pStyle w:val="Heading1"/>
        <w:numPr>
          <w:ilvl w:val="0"/>
          <w:numId w:val="25"/>
        </w:numPr>
        <w:spacing w:after="240"/>
      </w:pPr>
      <w:bookmarkStart w:id="75" w:name="_Toc179490342"/>
      <w:r w:rsidRPr="0003359E">
        <w:lastRenderedPageBreak/>
        <w:t xml:space="preserve">Medicines </w:t>
      </w:r>
      <w:r w:rsidR="0003359E">
        <w:t>U</w:t>
      </w:r>
      <w:r w:rsidRPr="0003359E">
        <w:t xml:space="preserve">sed </w:t>
      </w:r>
      <w:r w:rsidR="00596EE8">
        <w:t>f</w:t>
      </w:r>
      <w:r w:rsidRPr="0003359E">
        <w:t xml:space="preserve">or </w:t>
      </w:r>
      <w:r w:rsidR="00596EE8">
        <w:t>M</w:t>
      </w:r>
      <w:r w:rsidRPr="0003359E">
        <w:t xml:space="preserve">ental and </w:t>
      </w:r>
      <w:r w:rsidR="00596EE8">
        <w:t>B</w:t>
      </w:r>
      <w:r w:rsidRPr="0003359E">
        <w:t xml:space="preserve">ehavioral </w:t>
      </w:r>
      <w:r w:rsidR="00596EE8">
        <w:t>D</w:t>
      </w:r>
      <w:r w:rsidRPr="0003359E">
        <w:t>isorders</w:t>
      </w:r>
      <w:bookmarkEnd w:id="75"/>
    </w:p>
    <w:p w14:paraId="197EE591" w14:textId="77777777" w:rsidR="00401703" w:rsidRPr="00CF6B53" w:rsidRDefault="00401703" w:rsidP="00401703">
      <w:pPr>
        <w:spacing w:after="0"/>
        <w:jc w:val="both"/>
        <w:rPr>
          <w:rFonts w:cs="Times New Roman"/>
          <w:bCs/>
          <w:szCs w:val="24"/>
        </w:rPr>
      </w:pPr>
      <w:r w:rsidRPr="00CF6B53">
        <w:rPr>
          <w:rFonts w:cs="Times New Roman"/>
          <w:bCs/>
          <w:szCs w:val="24"/>
        </w:rPr>
        <w:t>Medicines for mental and behavioral disorders play a crucial role in managing various psychiatric conditions, including mood disorders, anxiety disorders, psychotic disorders, and substance use disorders. These medications aim to alleviate symptoms, improve functioning, and enhance overall quality of life for individuals affected by these conditions. They encompass a diverse range of pharmacological classes and formulations, each with specific mechanisms of action and therapeutic effects tailored to address the complexities of mental health disorders.</w:t>
      </w:r>
    </w:p>
    <w:p w14:paraId="3439A18D" w14:textId="77777777" w:rsidR="00401703" w:rsidRPr="00CF6B53" w:rsidRDefault="00401703" w:rsidP="00401703">
      <w:pPr>
        <w:spacing w:before="240" w:after="0"/>
        <w:jc w:val="both"/>
        <w:rPr>
          <w:rFonts w:cs="Times New Roman"/>
          <w:bCs/>
          <w:szCs w:val="24"/>
        </w:rPr>
      </w:pPr>
      <w:r w:rsidRPr="00CF6B53">
        <w:rPr>
          <w:rFonts w:cs="Times New Roman"/>
          <w:bCs/>
          <w:szCs w:val="24"/>
        </w:rPr>
        <w:t>The mechanisms of action of medicines for mental and behavioral disorders vary depending on the specific drug and the disorder being treated. However, many of these medications target neurotransmitter systems in the brain, such as serotonin, dopamine, and norepinephrine, which play key roles in regulating mood, cognition, and behavior. For example, selective serotonin reuptake inhibitors (SSRIs) enhance serotonin levels in the brain, alleviating symptoms of depression and anxiety. Antipsychotic medications act on dopamine receptors to manage symptoms of psychosis, while mood stabilizers help stabilize mood fluctuations by modulating neurotransmitter activity.</w:t>
      </w:r>
    </w:p>
    <w:p w14:paraId="21F768B4" w14:textId="77777777" w:rsidR="00401703" w:rsidRPr="00CF6B53" w:rsidRDefault="00401703" w:rsidP="00401703">
      <w:pPr>
        <w:spacing w:before="240" w:after="0"/>
        <w:jc w:val="both"/>
        <w:rPr>
          <w:rFonts w:cs="Times New Roman"/>
          <w:bCs/>
          <w:szCs w:val="24"/>
        </w:rPr>
      </w:pPr>
      <w:r w:rsidRPr="00CF6B53">
        <w:rPr>
          <w:rFonts w:cs="Times New Roman"/>
          <w:bCs/>
          <w:szCs w:val="24"/>
        </w:rPr>
        <w:t>Medicines for mental and behavioral disorders are used to treat a wide range of conditions, including depression, anxiety disorders, bipolar disorder, psychotic disorders, attention-deficit hyperactivity disorder (ADHD), and substance use disorders. They are prescribed based on the specific diagnosis, severity of symptoms, individual response to treatment, and considerations of potential side effects. These medications are often an integral component of comprehensive treatment plans, which may also include psychotherapy, lifestyle modifications, and other supportive interventions.</w:t>
      </w:r>
    </w:p>
    <w:p w14:paraId="2B7889FF" w14:textId="77777777" w:rsidR="00401703" w:rsidRPr="00CF6B53" w:rsidRDefault="00401703" w:rsidP="00401703">
      <w:pPr>
        <w:spacing w:before="240" w:after="0"/>
        <w:jc w:val="both"/>
        <w:rPr>
          <w:rFonts w:cs="Times New Roman"/>
          <w:bCs/>
          <w:szCs w:val="24"/>
        </w:rPr>
      </w:pPr>
      <w:r w:rsidRPr="00CF6B53">
        <w:rPr>
          <w:rFonts w:cs="Times New Roman"/>
          <w:bCs/>
          <w:szCs w:val="24"/>
        </w:rPr>
        <w:t>While medicines for mental and behavioral disorders can be highly effective in managing symptoms, they are not without risks and side effects. Common side effects may include nausea, dizziness, insomnia, weight changes, and sexual dysfunction. Additionally, some medications may carry a risk of more serious adverse effects, such as metabolic disturbances, cardiovascular effects, neurological complications, and increased risk of suicidal ideation in certain populations.</w:t>
      </w:r>
    </w:p>
    <w:p w14:paraId="4A52D5DA" w14:textId="77777777" w:rsidR="00C13AC0" w:rsidRDefault="00C13AC0" w:rsidP="00C13AC0">
      <w:pPr>
        <w:pStyle w:val="Heading2"/>
        <w:spacing w:before="240"/>
        <w:jc w:val="both"/>
        <w:rPr>
          <w:iCs w:val="0"/>
        </w:rPr>
      </w:pPr>
    </w:p>
    <w:p w14:paraId="66E2DA58" w14:textId="77777777" w:rsidR="00401703" w:rsidRPr="00C13AC0" w:rsidRDefault="00401703" w:rsidP="00C13AC0">
      <w:pPr>
        <w:pStyle w:val="Heading2"/>
        <w:spacing w:before="240" w:after="240"/>
      </w:pPr>
      <w:bookmarkStart w:id="76" w:name="_Toc179490343"/>
      <w:r w:rsidRPr="00C13AC0">
        <w:lastRenderedPageBreak/>
        <w:t>Medicines used for anxiety and sleep disorders</w:t>
      </w:r>
      <w:bookmarkEnd w:id="76"/>
      <w:r w:rsidRPr="00C13AC0">
        <w:t xml:space="preserve"> </w:t>
      </w:r>
    </w:p>
    <w:p w14:paraId="27DF4D1E" w14:textId="77777777" w:rsidR="00401703" w:rsidRPr="00944B15" w:rsidRDefault="00401703" w:rsidP="00401703">
      <w:pPr>
        <w:spacing w:after="0"/>
        <w:jc w:val="both"/>
        <w:rPr>
          <w:rFonts w:cs="Times New Roman"/>
          <w:bCs/>
          <w:szCs w:val="24"/>
        </w:rPr>
      </w:pPr>
      <w:r w:rsidRPr="00CF6B53">
        <w:rPr>
          <w:rFonts w:cs="Times New Roman"/>
          <w:bCs/>
          <w:szCs w:val="24"/>
        </w:rPr>
        <w:t>Medications commonly prescribed for anxiety and sleep disorders include diazepam, clomipramine, lorazepam, and fluoxetine. Diazepam and lorazepam belong to the benzodiazepine class and act as anxiolytics and hypnotics by enhancing the effects of gamma-aminobutyric acid (GABA) in the brain, resulting in sedative and calming effects. Clomipramine and imipramine, tricyclic antidepressants, increase levels of serotonin and norepinephrine in the brain, effectively reducing anxiety symptoms over time. Fluoxetine, a selective serotonin reuptake inhibitor (SSRI), works by increasing serotonin levels in the brain, which can alleviate symptoms of anxiety.</w:t>
      </w:r>
    </w:p>
    <w:p w14:paraId="3C9E47FF" w14:textId="77777777" w:rsidR="00401703" w:rsidRPr="00944B15" w:rsidRDefault="00401703" w:rsidP="00401703">
      <w:pPr>
        <w:spacing w:after="0"/>
        <w:jc w:val="both"/>
        <w:rPr>
          <w:rFonts w:cs="Times New Roman"/>
          <w:bCs/>
          <w:szCs w:val="24"/>
        </w:rPr>
      </w:pPr>
    </w:p>
    <w:tbl>
      <w:tblPr>
        <w:tblStyle w:val="TableGrid"/>
        <w:tblW w:w="9355" w:type="dxa"/>
        <w:tblLook w:val="04A0" w:firstRow="1" w:lastRow="0" w:firstColumn="1" w:lastColumn="0" w:noHBand="0" w:noVBand="1"/>
      </w:tblPr>
      <w:tblGrid>
        <w:gridCol w:w="2695"/>
        <w:gridCol w:w="6660"/>
      </w:tblGrid>
      <w:tr w:rsidR="00401703" w:rsidRPr="00BD468A" w14:paraId="7DBC7D7B" w14:textId="77777777" w:rsidTr="002D6DD7">
        <w:tc>
          <w:tcPr>
            <w:tcW w:w="9355" w:type="dxa"/>
            <w:gridSpan w:val="2"/>
          </w:tcPr>
          <w:p w14:paraId="1F3CE226" w14:textId="77777777" w:rsidR="00401703" w:rsidRPr="00BD468A" w:rsidRDefault="00401703" w:rsidP="002D6DD7">
            <w:pPr>
              <w:jc w:val="both"/>
              <w:rPr>
                <w:rFonts w:cs="Times New Roman"/>
                <w:b/>
                <w:bCs/>
                <w:color w:val="000000" w:themeColor="text1"/>
                <w:szCs w:val="24"/>
              </w:rPr>
            </w:pPr>
            <w:bookmarkStart w:id="77" w:name="_Hlk168603848"/>
            <w:bookmarkStart w:id="78" w:name="_Hlk168691060"/>
            <w:r w:rsidRPr="00BD468A">
              <w:rPr>
                <w:rFonts w:cs="Times New Roman"/>
                <w:b/>
                <w:bCs/>
                <w:szCs w:val="24"/>
              </w:rPr>
              <w:t>Clomipramine</w:t>
            </w:r>
          </w:p>
        </w:tc>
      </w:tr>
      <w:tr w:rsidR="00401703" w:rsidRPr="00BD468A" w14:paraId="078232E3" w14:textId="77777777" w:rsidTr="002D6DD7">
        <w:tc>
          <w:tcPr>
            <w:tcW w:w="2695" w:type="dxa"/>
          </w:tcPr>
          <w:p w14:paraId="4326C1EF"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40EAB72E" w14:textId="77777777" w:rsidR="00401703" w:rsidRPr="00BD468A" w:rsidRDefault="00401703" w:rsidP="002D6DD7">
            <w:pPr>
              <w:jc w:val="both"/>
              <w:rPr>
                <w:rFonts w:cs="Times New Roman"/>
                <w:szCs w:val="24"/>
              </w:rPr>
            </w:pPr>
            <w:r w:rsidRPr="00BD468A">
              <w:rPr>
                <w:rFonts w:cs="Times New Roman"/>
                <w:szCs w:val="24"/>
              </w:rPr>
              <w:t>Tricyclic antidepressant</w:t>
            </w:r>
          </w:p>
        </w:tc>
      </w:tr>
      <w:tr w:rsidR="00401703" w:rsidRPr="00BD468A" w14:paraId="1E5DA14F" w14:textId="77777777" w:rsidTr="002D6DD7">
        <w:tc>
          <w:tcPr>
            <w:tcW w:w="2695" w:type="dxa"/>
          </w:tcPr>
          <w:p w14:paraId="28E6D368"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3A490550" w14:textId="77777777" w:rsidR="00401703" w:rsidRPr="00BD468A" w:rsidRDefault="00401703" w:rsidP="002D6DD7">
            <w:pPr>
              <w:jc w:val="both"/>
              <w:rPr>
                <w:rFonts w:cs="Times New Roman"/>
                <w:szCs w:val="24"/>
              </w:rPr>
            </w:pPr>
            <w:r w:rsidRPr="00BD468A">
              <w:rPr>
                <w:rFonts w:cs="Times New Roman"/>
                <w:szCs w:val="24"/>
              </w:rPr>
              <w:t>Tablet: 25 mg, 50 mg</w:t>
            </w:r>
          </w:p>
        </w:tc>
      </w:tr>
      <w:tr w:rsidR="00401703" w:rsidRPr="00BD468A" w14:paraId="2E576945" w14:textId="77777777" w:rsidTr="002D6DD7">
        <w:tc>
          <w:tcPr>
            <w:tcW w:w="2695" w:type="dxa"/>
          </w:tcPr>
          <w:p w14:paraId="090225F9"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327785DE" w14:textId="77777777" w:rsidR="00401703" w:rsidRPr="00BD468A" w:rsidRDefault="00401703" w:rsidP="002D6DD7">
            <w:pPr>
              <w:jc w:val="both"/>
              <w:rPr>
                <w:rFonts w:cs="Times New Roman"/>
                <w:szCs w:val="24"/>
              </w:rPr>
            </w:pPr>
            <w:r w:rsidRPr="00BD468A">
              <w:rPr>
                <w:rFonts w:cs="Times New Roman"/>
                <w:szCs w:val="24"/>
              </w:rPr>
              <w:t>Phobic and obsessional states, panic attacks</w:t>
            </w:r>
          </w:p>
        </w:tc>
      </w:tr>
      <w:tr w:rsidR="00401703" w:rsidRPr="00BD468A" w14:paraId="0FEED50C" w14:textId="77777777" w:rsidTr="002D6DD7">
        <w:tc>
          <w:tcPr>
            <w:tcW w:w="2695" w:type="dxa"/>
          </w:tcPr>
          <w:p w14:paraId="6A6E4AD0" w14:textId="77777777" w:rsidR="00401703" w:rsidRPr="00BD468A" w:rsidRDefault="00401703" w:rsidP="002D6DD7">
            <w:pPr>
              <w:rPr>
                <w:rFonts w:cs="Times New Roman"/>
                <w:color w:val="000000" w:themeColor="text1"/>
                <w:szCs w:val="24"/>
              </w:rPr>
            </w:pPr>
            <w:r w:rsidRPr="00BD468A">
              <w:rPr>
                <w:rFonts w:cs="Times New Roman"/>
                <w:szCs w:val="24"/>
              </w:rPr>
              <w:t>Dose and Administration</w:t>
            </w:r>
          </w:p>
        </w:tc>
        <w:tc>
          <w:tcPr>
            <w:tcW w:w="6660" w:type="dxa"/>
          </w:tcPr>
          <w:p w14:paraId="24390A18" w14:textId="77777777" w:rsidR="00401703" w:rsidRPr="00BD468A" w:rsidRDefault="00401703" w:rsidP="002D6DD7">
            <w:pPr>
              <w:jc w:val="both"/>
              <w:rPr>
                <w:rFonts w:cs="Times New Roman"/>
                <w:b/>
                <w:bCs/>
                <w:szCs w:val="24"/>
              </w:rPr>
            </w:pPr>
            <w:r w:rsidRPr="00BD468A">
              <w:rPr>
                <w:rFonts w:cs="Times New Roman"/>
                <w:b/>
                <w:bCs/>
                <w:szCs w:val="24"/>
              </w:rPr>
              <w:t xml:space="preserve">Adult: </w:t>
            </w:r>
          </w:p>
          <w:p w14:paraId="3B451036" w14:textId="77777777" w:rsidR="00401703" w:rsidRDefault="00401703" w:rsidP="002D6DD7">
            <w:pPr>
              <w:jc w:val="both"/>
              <w:rPr>
                <w:rFonts w:cs="Times New Roman"/>
                <w:szCs w:val="24"/>
              </w:rPr>
            </w:pPr>
            <w:r w:rsidRPr="00BD468A">
              <w:rPr>
                <w:rFonts w:cs="Times New Roman"/>
                <w:szCs w:val="24"/>
              </w:rPr>
              <w:t xml:space="preserve">Initially 50 to 75 mg/day, increased gradually to 150 mg/day if necessary. May be given as a single dose at night or in 2 to 3 divided doses. </w:t>
            </w:r>
          </w:p>
          <w:p w14:paraId="638BCB1F" w14:textId="77777777" w:rsidR="00401703" w:rsidRPr="00BD468A" w:rsidRDefault="00401703" w:rsidP="002D6DD7">
            <w:pPr>
              <w:jc w:val="both"/>
              <w:rPr>
                <w:rFonts w:cs="Times New Roman"/>
                <w:szCs w:val="24"/>
              </w:rPr>
            </w:pPr>
            <w:r w:rsidRPr="00EE0A61">
              <w:rPr>
                <w:rFonts w:cs="Times New Roman"/>
                <w:b/>
                <w:bCs/>
                <w:szCs w:val="24"/>
              </w:rPr>
              <w:t>Elderly:</w:t>
            </w:r>
            <w:r w:rsidRPr="00BD468A">
              <w:rPr>
                <w:rFonts w:cs="Times New Roman"/>
                <w:szCs w:val="24"/>
              </w:rPr>
              <w:t xml:space="preserve"> Initially 10 mg/day, increasing carefully to 30-50 mg/day. </w:t>
            </w:r>
          </w:p>
          <w:p w14:paraId="04FC467F" w14:textId="77777777" w:rsidR="00401703" w:rsidRDefault="00401703" w:rsidP="002D6DD7">
            <w:pPr>
              <w:jc w:val="both"/>
              <w:rPr>
                <w:rFonts w:cs="Times New Roman"/>
                <w:szCs w:val="24"/>
              </w:rPr>
            </w:pPr>
            <w:r w:rsidRPr="00BD468A">
              <w:rPr>
                <w:rFonts w:cs="Times New Roman"/>
                <w:b/>
                <w:bCs/>
                <w:szCs w:val="24"/>
              </w:rPr>
              <w:t>Child</w:t>
            </w:r>
            <w:r>
              <w:rPr>
                <w:rFonts w:cs="Times New Roman"/>
                <w:b/>
                <w:bCs/>
                <w:szCs w:val="24"/>
              </w:rPr>
              <w:t xml:space="preserve"> 5-7 years: </w:t>
            </w:r>
            <w:r w:rsidRPr="00BD468A">
              <w:rPr>
                <w:rFonts w:cs="Times New Roman"/>
                <w:szCs w:val="24"/>
              </w:rPr>
              <w:t xml:space="preserve">Initially 10 mg/day, increased gradually to 20 mg </w:t>
            </w:r>
          </w:p>
          <w:p w14:paraId="5D292EA2" w14:textId="77777777" w:rsidR="00401703" w:rsidRPr="00491D45" w:rsidRDefault="00401703" w:rsidP="002D6DD7">
            <w:pPr>
              <w:jc w:val="both"/>
              <w:rPr>
                <w:rFonts w:cs="Times New Roman"/>
                <w:szCs w:val="24"/>
              </w:rPr>
            </w:pPr>
            <w:r w:rsidRPr="00BD468A">
              <w:rPr>
                <w:rFonts w:cs="Times New Roman"/>
                <w:b/>
                <w:bCs/>
                <w:szCs w:val="24"/>
              </w:rPr>
              <w:t>Child</w:t>
            </w:r>
            <w:r>
              <w:rPr>
                <w:rFonts w:cs="Times New Roman"/>
                <w:b/>
                <w:bCs/>
                <w:szCs w:val="24"/>
              </w:rPr>
              <w:t xml:space="preserve"> 8-14 years: </w:t>
            </w:r>
            <w:r w:rsidRPr="00BD468A">
              <w:rPr>
                <w:rFonts w:cs="Times New Roman"/>
                <w:szCs w:val="24"/>
              </w:rPr>
              <w:t xml:space="preserve">20-50 mg </w:t>
            </w:r>
          </w:p>
        </w:tc>
      </w:tr>
      <w:tr w:rsidR="00401703" w:rsidRPr="00BD468A" w14:paraId="34E5D099" w14:textId="77777777" w:rsidTr="002D6DD7">
        <w:tc>
          <w:tcPr>
            <w:tcW w:w="2695" w:type="dxa"/>
          </w:tcPr>
          <w:p w14:paraId="586FD8D1" w14:textId="77777777" w:rsidR="00401703" w:rsidRPr="00BD468A" w:rsidRDefault="00401703" w:rsidP="002D6DD7">
            <w:pPr>
              <w:jc w:val="both"/>
              <w:rPr>
                <w:rFonts w:cs="Times New Roman"/>
                <w:color w:val="000000" w:themeColor="text1"/>
                <w:szCs w:val="24"/>
              </w:rPr>
            </w:pPr>
            <w:r w:rsidRPr="00BD468A">
              <w:rPr>
                <w:rFonts w:cs="Times New Roman"/>
                <w:szCs w:val="24"/>
              </w:rPr>
              <w:t>Contraindications</w:t>
            </w:r>
          </w:p>
        </w:tc>
        <w:tc>
          <w:tcPr>
            <w:tcW w:w="6660" w:type="dxa"/>
          </w:tcPr>
          <w:p w14:paraId="55DDB140" w14:textId="77777777" w:rsidR="00401703" w:rsidRPr="00BD468A" w:rsidRDefault="00401703" w:rsidP="002D6DD7">
            <w:pPr>
              <w:jc w:val="both"/>
              <w:rPr>
                <w:rFonts w:cs="Times New Roman"/>
                <w:szCs w:val="24"/>
              </w:rPr>
            </w:pPr>
            <w:r>
              <w:rPr>
                <w:rFonts w:cs="Times New Roman"/>
                <w:szCs w:val="24"/>
              </w:rPr>
              <w:t>H</w:t>
            </w:r>
            <w:r w:rsidRPr="00BD468A">
              <w:rPr>
                <w:rFonts w:cs="Times New Roman"/>
                <w:szCs w:val="24"/>
              </w:rPr>
              <w:t xml:space="preserve">ypersensitivity </w:t>
            </w:r>
            <w:r>
              <w:rPr>
                <w:rFonts w:cs="Times New Roman"/>
                <w:szCs w:val="24"/>
              </w:rPr>
              <w:t>to the drug, r</w:t>
            </w:r>
            <w:r w:rsidRPr="00BD468A">
              <w:rPr>
                <w:rFonts w:cs="Times New Roman"/>
                <w:szCs w:val="24"/>
              </w:rPr>
              <w:t xml:space="preserve">ecent myocardial infarction, arrhythmias, </w:t>
            </w:r>
            <w:r>
              <w:rPr>
                <w:rFonts w:cs="Times New Roman"/>
                <w:szCs w:val="24"/>
              </w:rPr>
              <w:t>heart block</w:t>
            </w:r>
            <w:r w:rsidRPr="00BD468A">
              <w:rPr>
                <w:rFonts w:cs="Times New Roman"/>
                <w:szCs w:val="24"/>
              </w:rPr>
              <w:t>, severe liver disease,</w:t>
            </w:r>
            <w:r>
              <w:rPr>
                <w:rFonts w:cs="Times New Roman"/>
                <w:szCs w:val="24"/>
              </w:rPr>
              <w:t xml:space="preserve"> </w:t>
            </w:r>
            <w:r w:rsidRPr="00BD468A">
              <w:rPr>
                <w:rFonts w:cs="Times New Roman"/>
                <w:szCs w:val="24"/>
              </w:rPr>
              <w:t>porphyria</w:t>
            </w:r>
          </w:p>
        </w:tc>
      </w:tr>
      <w:tr w:rsidR="00401703" w:rsidRPr="00BD468A" w14:paraId="4AC24C22" w14:textId="77777777" w:rsidTr="002D6DD7">
        <w:tc>
          <w:tcPr>
            <w:tcW w:w="2695" w:type="dxa"/>
          </w:tcPr>
          <w:p w14:paraId="6F804A15"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27A6F2EE" w14:textId="77777777" w:rsidR="00401703" w:rsidRPr="00BD468A" w:rsidRDefault="00401703" w:rsidP="002D6DD7">
            <w:pPr>
              <w:jc w:val="both"/>
              <w:rPr>
                <w:rFonts w:cs="Times New Roman"/>
                <w:b/>
                <w:bCs/>
                <w:szCs w:val="24"/>
              </w:rPr>
            </w:pPr>
            <w:r w:rsidRPr="00BD468A">
              <w:rPr>
                <w:rFonts w:cs="Times New Roman"/>
                <w:szCs w:val="24"/>
              </w:rPr>
              <w:t>Alcohol, artemether + lumefantrine, epinephrine, phenobarbital and phenytoin, ritonavir, carbamazepine, chlorpromazine, ethosuximide, fluphenazine, haloperidol, procainamide, quinidine, valproic acid</w:t>
            </w:r>
          </w:p>
        </w:tc>
      </w:tr>
      <w:tr w:rsidR="00401703" w:rsidRPr="00BD468A" w14:paraId="57ADAEA4" w14:textId="77777777" w:rsidTr="002D6DD7">
        <w:tc>
          <w:tcPr>
            <w:tcW w:w="2695" w:type="dxa"/>
          </w:tcPr>
          <w:p w14:paraId="1AEF8C9F" w14:textId="77777777" w:rsidR="00401703" w:rsidRPr="00BD468A" w:rsidRDefault="00401703" w:rsidP="002D6DD7">
            <w:pPr>
              <w:jc w:val="both"/>
              <w:rPr>
                <w:rFonts w:cs="Times New Roman"/>
                <w:color w:val="000000" w:themeColor="text1"/>
                <w:szCs w:val="24"/>
              </w:rPr>
            </w:pPr>
            <w:r w:rsidRPr="00BD468A">
              <w:rPr>
                <w:rFonts w:cs="Times New Roman"/>
                <w:szCs w:val="24"/>
              </w:rPr>
              <w:t>Side Effects</w:t>
            </w:r>
          </w:p>
        </w:tc>
        <w:tc>
          <w:tcPr>
            <w:tcW w:w="6660" w:type="dxa"/>
          </w:tcPr>
          <w:p w14:paraId="72F26230" w14:textId="77777777" w:rsidR="00401703" w:rsidRPr="00BD468A" w:rsidRDefault="00401703" w:rsidP="002D6DD7">
            <w:pPr>
              <w:jc w:val="both"/>
              <w:rPr>
                <w:rFonts w:cs="Times New Roman"/>
                <w:szCs w:val="24"/>
              </w:rPr>
            </w:pPr>
            <w:r w:rsidRPr="00BD468A">
              <w:rPr>
                <w:rFonts w:cs="Times New Roman"/>
                <w:szCs w:val="24"/>
              </w:rPr>
              <w:t>Sedation, dry mouth, blurred vision, increase in intraocular pressure, constipation, nausea, difficulty in micturition</w:t>
            </w:r>
            <w:r>
              <w:rPr>
                <w:rFonts w:cs="Times New Roman"/>
                <w:szCs w:val="24"/>
              </w:rPr>
              <w:t>,</w:t>
            </w:r>
            <w:r w:rsidRPr="00BD468A">
              <w:rPr>
                <w:rFonts w:cs="Times New Roman"/>
                <w:szCs w:val="24"/>
              </w:rPr>
              <w:t xml:space="preserve"> arrhythmias, postural hypotension, tachycardia, syncope, sweating, </w:t>
            </w:r>
            <w:r w:rsidRPr="00BD468A">
              <w:rPr>
                <w:rFonts w:cs="Times New Roman"/>
                <w:szCs w:val="24"/>
              </w:rPr>
              <w:lastRenderedPageBreak/>
              <w:t>tremor, rash</w:t>
            </w:r>
            <w:r>
              <w:rPr>
                <w:rFonts w:cs="Times New Roman"/>
                <w:szCs w:val="24"/>
              </w:rPr>
              <w:t xml:space="preserve">, </w:t>
            </w:r>
            <w:r w:rsidRPr="00BD468A">
              <w:rPr>
                <w:rFonts w:cs="Times New Roman"/>
                <w:szCs w:val="24"/>
              </w:rPr>
              <w:t>behavioral disturbances,</w:t>
            </w:r>
            <w:r w:rsidRPr="00BD468A">
              <w:rPr>
                <w:rFonts w:cs="Times New Roman"/>
                <w:color w:val="231F20"/>
                <w:szCs w:val="24"/>
              </w:rPr>
              <w:t xml:space="preserve"> </w:t>
            </w:r>
            <w:r w:rsidRPr="00BD468A">
              <w:rPr>
                <w:rFonts w:cs="Times New Roman"/>
                <w:szCs w:val="24"/>
              </w:rPr>
              <w:t>hallucination, hypomania or mania, confusion, interference with sexual function, hyperglycaemia, increased appetite and weight gain,</w:t>
            </w:r>
            <w:r>
              <w:rPr>
                <w:rFonts w:cs="Times New Roman"/>
                <w:szCs w:val="24"/>
              </w:rPr>
              <w:t xml:space="preserve"> t</w:t>
            </w:r>
            <w:r w:rsidRPr="00BD468A">
              <w:rPr>
                <w:rFonts w:cs="Times New Roman"/>
                <w:szCs w:val="24"/>
              </w:rPr>
              <w:t>esticular enlargement, hyperprolactinemia breast enlargement, convulsions, movement disorders, dyskinesias</w:t>
            </w:r>
          </w:p>
        </w:tc>
      </w:tr>
      <w:tr w:rsidR="00401703" w:rsidRPr="00BD468A" w14:paraId="5F791755" w14:textId="77777777" w:rsidTr="002D6DD7">
        <w:tc>
          <w:tcPr>
            <w:tcW w:w="2695" w:type="dxa"/>
          </w:tcPr>
          <w:p w14:paraId="3D11B64D" w14:textId="77777777" w:rsidR="00401703" w:rsidRPr="00BD468A" w:rsidRDefault="00401703" w:rsidP="002D6DD7">
            <w:pPr>
              <w:jc w:val="both"/>
              <w:rPr>
                <w:rFonts w:cs="Times New Roman"/>
                <w:color w:val="000000" w:themeColor="text1"/>
                <w:szCs w:val="24"/>
              </w:rPr>
            </w:pPr>
            <w:r w:rsidRPr="00BD468A">
              <w:rPr>
                <w:rFonts w:cs="Times New Roman"/>
                <w:szCs w:val="24"/>
              </w:rPr>
              <w:lastRenderedPageBreak/>
              <w:t>Cautions</w:t>
            </w:r>
          </w:p>
        </w:tc>
        <w:tc>
          <w:tcPr>
            <w:tcW w:w="6660" w:type="dxa"/>
          </w:tcPr>
          <w:p w14:paraId="6B8B70F3" w14:textId="77777777" w:rsidR="00401703" w:rsidRPr="00BD468A" w:rsidRDefault="00401703" w:rsidP="002D6DD7">
            <w:pPr>
              <w:jc w:val="both"/>
              <w:rPr>
                <w:rFonts w:cs="Times New Roman"/>
                <w:color w:val="000000" w:themeColor="text1"/>
                <w:szCs w:val="24"/>
              </w:rPr>
            </w:pPr>
            <w:r w:rsidRPr="00BD468A">
              <w:rPr>
                <w:rFonts w:cs="Times New Roman"/>
                <w:szCs w:val="24"/>
              </w:rPr>
              <w:t>Cardiac disease, history of epilepsy, pregnancy, breastfeeding, elderly, hepatic impairment, thyroid disease, phaeochromocytoma, history of mania, psychoses, angle-closure glaucoma, history of urinary retention, concurrent electroconvulsive therapy, abrupt withdrawal, anesthesia</w:t>
            </w:r>
          </w:p>
        </w:tc>
      </w:tr>
      <w:tr w:rsidR="00401703" w:rsidRPr="00BD468A" w14:paraId="4B5D1960" w14:textId="77777777" w:rsidTr="002D6DD7">
        <w:tc>
          <w:tcPr>
            <w:tcW w:w="2695" w:type="dxa"/>
            <w:tcBorders>
              <w:bottom w:val="single" w:sz="4" w:space="0" w:color="auto"/>
            </w:tcBorders>
          </w:tcPr>
          <w:p w14:paraId="4380F7DD"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w:t>
            </w:r>
          </w:p>
        </w:tc>
        <w:tc>
          <w:tcPr>
            <w:tcW w:w="6660" w:type="dxa"/>
            <w:tcBorders>
              <w:bottom w:val="single" w:sz="4" w:space="0" w:color="auto"/>
            </w:tcBorders>
          </w:tcPr>
          <w:p w14:paraId="45B1A6E9" w14:textId="77777777" w:rsidR="00401703" w:rsidRPr="00BD468A" w:rsidRDefault="00401703" w:rsidP="002D6DD7">
            <w:pPr>
              <w:jc w:val="both"/>
              <w:rPr>
                <w:rFonts w:cs="Times New Roman"/>
                <w:color w:val="000000" w:themeColor="text1"/>
                <w:szCs w:val="24"/>
              </w:rPr>
            </w:pPr>
            <w:r w:rsidRPr="00BD468A">
              <w:rPr>
                <w:rFonts w:eastAsia="DengXian" w:cs="Times New Roman"/>
                <w:color w:val="000000"/>
                <w:szCs w:val="24"/>
              </w:rPr>
              <w:t>Store below 30</w:t>
            </w:r>
            <w:r w:rsidRPr="00BD468A">
              <w:rPr>
                <w:rFonts w:eastAsia="DengXian" w:cs="Times New Roman"/>
                <w:color w:val="000000"/>
                <w:szCs w:val="24"/>
                <w:vertAlign w:val="superscript"/>
              </w:rPr>
              <w:t>0</w:t>
            </w:r>
            <w:r w:rsidRPr="00BD468A">
              <w:rPr>
                <w:rFonts w:eastAsia="DengXian" w:cs="Times New Roman"/>
                <w:color w:val="000000"/>
                <w:szCs w:val="24"/>
              </w:rPr>
              <w:t>C. Protect from light.</w:t>
            </w:r>
          </w:p>
        </w:tc>
      </w:tr>
      <w:tr w:rsidR="00401703" w:rsidRPr="00BD468A" w14:paraId="105FAA2D" w14:textId="77777777" w:rsidTr="002D6DD7">
        <w:tc>
          <w:tcPr>
            <w:tcW w:w="9355" w:type="dxa"/>
            <w:gridSpan w:val="2"/>
            <w:tcBorders>
              <w:bottom w:val="single" w:sz="4" w:space="0" w:color="auto"/>
            </w:tcBorders>
          </w:tcPr>
          <w:p w14:paraId="4DA364D2" w14:textId="77777777" w:rsidR="00401703" w:rsidRPr="00BD468A" w:rsidRDefault="00401703" w:rsidP="002D6DD7">
            <w:pPr>
              <w:jc w:val="both"/>
              <w:rPr>
                <w:rFonts w:eastAsia="DengXian" w:cs="Times New Roman"/>
                <w:b/>
                <w:bCs/>
                <w:color w:val="000000"/>
                <w:szCs w:val="24"/>
              </w:rPr>
            </w:pPr>
            <w:r w:rsidRPr="00BD468A">
              <w:rPr>
                <w:rFonts w:cs="Times New Roman"/>
                <w:b/>
                <w:bCs/>
                <w:szCs w:val="24"/>
              </w:rPr>
              <w:t>Diazepam</w:t>
            </w:r>
          </w:p>
        </w:tc>
      </w:tr>
      <w:tr w:rsidR="00401703" w:rsidRPr="00BD468A" w14:paraId="0D212D33" w14:textId="77777777" w:rsidTr="002D6DD7">
        <w:tc>
          <w:tcPr>
            <w:tcW w:w="2695" w:type="dxa"/>
            <w:tcBorders>
              <w:bottom w:val="single" w:sz="4" w:space="0" w:color="auto"/>
            </w:tcBorders>
          </w:tcPr>
          <w:p w14:paraId="41104AAD" w14:textId="77777777" w:rsidR="00401703" w:rsidRPr="00BD468A" w:rsidRDefault="00401703" w:rsidP="002D6DD7">
            <w:pPr>
              <w:jc w:val="both"/>
              <w:rPr>
                <w:rFonts w:cs="Times New Roman"/>
                <w:szCs w:val="24"/>
              </w:rPr>
            </w:pPr>
            <w:r w:rsidRPr="00BD468A">
              <w:rPr>
                <w:rFonts w:cs="Times New Roman"/>
                <w:szCs w:val="24"/>
              </w:rPr>
              <w:t>Pharmacological Class</w:t>
            </w:r>
          </w:p>
        </w:tc>
        <w:tc>
          <w:tcPr>
            <w:tcW w:w="6660" w:type="dxa"/>
            <w:tcBorders>
              <w:bottom w:val="single" w:sz="4" w:space="0" w:color="auto"/>
            </w:tcBorders>
          </w:tcPr>
          <w:p w14:paraId="290DAFE2" w14:textId="77777777" w:rsidR="00401703" w:rsidRPr="00BD468A" w:rsidRDefault="00401703" w:rsidP="002D6DD7">
            <w:pPr>
              <w:jc w:val="both"/>
              <w:rPr>
                <w:rFonts w:eastAsia="DengXian" w:cs="Times New Roman"/>
                <w:color w:val="000000"/>
                <w:szCs w:val="24"/>
              </w:rPr>
            </w:pPr>
            <w:r w:rsidRPr="00BD468A">
              <w:rPr>
                <w:rFonts w:cs="Times New Roman"/>
                <w:szCs w:val="24"/>
              </w:rPr>
              <w:t>Benzodiazepine</w:t>
            </w:r>
          </w:p>
        </w:tc>
      </w:tr>
      <w:tr w:rsidR="00401703" w:rsidRPr="00BD468A" w14:paraId="64DB76F5" w14:textId="77777777" w:rsidTr="002D6DD7">
        <w:tc>
          <w:tcPr>
            <w:tcW w:w="2695" w:type="dxa"/>
            <w:tcBorders>
              <w:bottom w:val="single" w:sz="4" w:space="0" w:color="auto"/>
            </w:tcBorders>
          </w:tcPr>
          <w:p w14:paraId="4CCFA491" w14:textId="77777777" w:rsidR="00401703" w:rsidRPr="00BD468A" w:rsidRDefault="00401703" w:rsidP="002D6DD7">
            <w:pPr>
              <w:jc w:val="both"/>
              <w:rPr>
                <w:rFonts w:cs="Times New Roman"/>
                <w:szCs w:val="24"/>
              </w:rPr>
            </w:pPr>
            <w:r w:rsidRPr="00BD468A">
              <w:rPr>
                <w:rFonts w:cs="Times New Roman"/>
                <w:szCs w:val="24"/>
              </w:rPr>
              <w:t>Dosage Form</w:t>
            </w:r>
          </w:p>
        </w:tc>
        <w:tc>
          <w:tcPr>
            <w:tcW w:w="6660" w:type="dxa"/>
            <w:tcBorders>
              <w:bottom w:val="single" w:sz="4" w:space="0" w:color="auto"/>
            </w:tcBorders>
          </w:tcPr>
          <w:p w14:paraId="54E91A81" w14:textId="77777777" w:rsidR="00401703" w:rsidRDefault="00401703" w:rsidP="002D6DD7">
            <w:pPr>
              <w:jc w:val="both"/>
              <w:rPr>
                <w:rFonts w:cs="Times New Roman"/>
                <w:szCs w:val="24"/>
              </w:rPr>
            </w:pPr>
            <w:r w:rsidRPr="00BD468A">
              <w:rPr>
                <w:rFonts w:cs="Times New Roman"/>
                <w:szCs w:val="24"/>
              </w:rPr>
              <w:t>Injection: 5 mg/ml in 2 ml ampoule, Syrup: 2 mg/5 ml</w:t>
            </w:r>
          </w:p>
          <w:p w14:paraId="0DAA99D0" w14:textId="77777777" w:rsidR="00401703" w:rsidRPr="00BD468A" w:rsidRDefault="00401703" w:rsidP="002D6DD7">
            <w:pPr>
              <w:jc w:val="both"/>
              <w:rPr>
                <w:rFonts w:eastAsia="DengXian" w:cs="Times New Roman"/>
                <w:color w:val="000000"/>
                <w:szCs w:val="24"/>
              </w:rPr>
            </w:pPr>
            <w:r w:rsidRPr="00BD468A">
              <w:rPr>
                <w:rFonts w:cs="Times New Roman"/>
                <w:szCs w:val="24"/>
              </w:rPr>
              <w:t>Tablet: 2 mg, 5 mg, 10 mg</w:t>
            </w:r>
          </w:p>
        </w:tc>
      </w:tr>
      <w:tr w:rsidR="00401703" w:rsidRPr="00BD468A" w14:paraId="5DFC87B4" w14:textId="77777777" w:rsidTr="002D6DD7">
        <w:tc>
          <w:tcPr>
            <w:tcW w:w="2695" w:type="dxa"/>
            <w:tcBorders>
              <w:bottom w:val="single" w:sz="4" w:space="0" w:color="auto"/>
            </w:tcBorders>
          </w:tcPr>
          <w:p w14:paraId="526F9043" w14:textId="77777777" w:rsidR="00401703" w:rsidRPr="00BD468A" w:rsidRDefault="00401703" w:rsidP="002D6DD7">
            <w:pPr>
              <w:jc w:val="both"/>
              <w:rPr>
                <w:rFonts w:cs="Times New Roman"/>
                <w:szCs w:val="24"/>
              </w:rPr>
            </w:pPr>
            <w:r w:rsidRPr="00BD468A">
              <w:rPr>
                <w:rFonts w:cs="Times New Roman"/>
                <w:szCs w:val="24"/>
              </w:rPr>
              <w:t>Indications</w:t>
            </w:r>
          </w:p>
        </w:tc>
        <w:tc>
          <w:tcPr>
            <w:tcW w:w="6660" w:type="dxa"/>
            <w:tcBorders>
              <w:bottom w:val="single" w:sz="4" w:space="0" w:color="auto"/>
            </w:tcBorders>
          </w:tcPr>
          <w:p w14:paraId="1CFE2C77" w14:textId="77777777" w:rsidR="00401703" w:rsidRPr="00BD468A" w:rsidRDefault="00401703" w:rsidP="002D6DD7">
            <w:pPr>
              <w:jc w:val="both"/>
              <w:rPr>
                <w:rFonts w:eastAsia="DengXian" w:cs="Times New Roman"/>
                <w:color w:val="000000"/>
                <w:szCs w:val="24"/>
              </w:rPr>
            </w:pPr>
            <w:r w:rsidRPr="00BD468A">
              <w:rPr>
                <w:rFonts w:cs="Times New Roman"/>
                <w:szCs w:val="24"/>
              </w:rPr>
              <w:t>Short-term treatment of anxiety or insomnia, adjunct in acute alcohol withdrawal, status epilepticus, febrile convulsions, muscle spasm, peri-operative use</w:t>
            </w:r>
          </w:p>
        </w:tc>
      </w:tr>
      <w:tr w:rsidR="00401703" w:rsidRPr="00BD468A" w14:paraId="4836E378" w14:textId="77777777" w:rsidTr="002D6DD7">
        <w:tc>
          <w:tcPr>
            <w:tcW w:w="2695" w:type="dxa"/>
            <w:tcBorders>
              <w:bottom w:val="single" w:sz="4" w:space="0" w:color="auto"/>
            </w:tcBorders>
          </w:tcPr>
          <w:p w14:paraId="3BEEE041" w14:textId="77777777" w:rsidR="00401703" w:rsidRPr="00BD468A" w:rsidRDefault="00401703" w:rsidP="002D6DD7">
            <w:pPr>
              <w:rPr>
                <w:rFonts w:cs="Times New Roman"/>
                <w:szCs w:val="24"/>
              </w:rPr>
            </w:pPr>
            <w:r w:rsidRPr="00BD468A">
              <w:rPr>
                <w:rFonts w:cs="Times New Roman"/>
                <w:szCs w:val="24"/>
              </w:rPr>
              <w:t>Dose and Administration</w:t>
            </w:r>
          </w:p>
        </w:tc>
        <w:tc>
          <w:tcPr>
            <w:tcW w:w="6660" w:type="dxa"/>
            <w:tcBorders>
              <w:bottom w:val="single" w:sz="4" w:space="0" w:color="auto"/>
            </w:tcBorders>
          </w:tcPr>
          <w:p w14:paraId="561DEB9D" w14:textId="77777777" w:rsidR="00401703" w:rsidRPr="00BD468A" w:rsidRDefault="00401703" w:rsidP="002D6DD7">
            <w:pPr>
              <w:jc w:val="both"/>
              <w:rPr>
                <w:rFonts w:cs="Times New Roman"/>
                <w:b/>
                <w:bCs/>
                <w:szCs w:val="24"/>
              </w:rPr>
            </w:pPr>
            <w:r w:rsidRPr="00BD468A">
              <w:rPr>
                <w:rFonts w:cs="Times New Roman"/>
                <w:b/>
                <w:bCs/>
                <w:szCs w:val="24"/>
              </w:rPr>
              <w:t xml:space="preserve">Adults, </w:t>
            </w:r>
            <w:r w:rsidR="009D1B7E" w:rsidRPr="009D1B7E">
              <w:rPr>
                <w:rFonts w:cs="Times New Roman"/>
                <w:bCs/>
                <w:szCs w:val="24"/>
              </w:rPr>
              <w:t>o</w:t>
            </w:r>
            <w:r w:rsidRPr="009D1B7E">
              <w:rPr>
                <w:rFonts w:cs="Times New Roman"/>
                <w:bCs/>
                <w:szCs w:val="24"/>
              </w:rPr>
              <w:t>ral</w:t>
            </w:r>
            <w:r w:rsidRPr="00BD468A">
              <w:rPr>
                <w:rFonts w:cs="Times New Roman"/>
                <w:b/>
                <w:bCs/>
                <w:szCs w:val="24"/>
              </w:rPr>
              <w:t>:</w:t>
            </w:r>
          </w:p>
          <w:p w14:paraId="54E4C33F" w14:textId="77777777" w:rsidR="00401703" w:rsidRPr="00BD468A" w:rsidRDefault="00401703" w:rsidP="002D6DD7">
            <w:pPr>
              <w:jc w:val="both"/>
              <w:rPr>
                <w:rFonts w:cs="Times New Roman"/>
                <w:szCs w:val="24"/>
              </w:rPr>
            </w:pPr>
            <w:r w:rsidRPr="00BD468A">
              <w:rPr>
                <w:rFonts w:cs="Times New Roman"/>
                <w:b/>
                <w:bCs/>
                <w:szCs w:val="24"/>
              </w:rPr>
              <w:t>Anxiety:</w:t>
            </w:r>
            <w:r w:rsidRPr="00BD468A">
              <w:rPr>
                <w:rFonts w:cs="Times New Roman"/>
                <w:szCs w:val="24"/>
              </w:rPr>
              <w:t xml:space="preserve"> 2 mg three times daily, increased, if necessary, up to 15–30 mg daily in divided doses.</w:t>
            </w:r>
          </w:p>
          <w:p w14:paraId="6723203A" w14:textId="77777777" w:rsidR="00401703" w:rsidRPr="00BD468A" w:rsidRDefault="00401703" w:rsidP="002D6DD7">
            <w:pPr>
              <w:jc w:val="both"/>
              <w:rPr>
                <w:rFonts w:cs="Times New Roman"/>
                <w:szCs w:val="24"/>
              </w:rPr>
            </w:pPr>
            <w:r w:rsidRPr="00BD468A">
              <w:rPr>
                <w:rFonts w:cs="Times New Roman"/>
                <w:b/>
                <w:bCs/>
                <w:szCs w:val="24"/>
              </w:rPr>
              <w:t>Insomnia associated with anxiety:</w:t>
            </w:r>
            <w:r w:rsidRPr="00BD468A">
              <w:rPr>
                <w:rFonts w:cs="Times New Roman"/>
                <w:szCs w:val="24"/>
              </w:rPr>
              <w:t xml:space="preserve"> 5–15 mg at bedtime.</w:t>
            </w:r>
          </w:p>
          <w:p w14:paraId="499830D4" w14:textId="77777777" w:rsidR="00401703" w:rsidRPr="00BD468A" w:rsidRDefault="00401703" w:rsidP="002D6DD7">
            <w:pPr>
              <w:jc w:val="both"/>
              <w:rPr>
                <w:rFonts w:cs="Times New Roman"/>
                <w:szCs w:val="24"/>
              </w:rPr>
            </w:pPr>
            <w:r w:rsidRPr="00BD468A">
              <w:rPr>
                <w:rFonts w:cs="Times New Roman"/>
                <w:b/>
                <w:bCs/>
                <w:szCs w:val="24"/>
              </w:rPr>
              <w:t>Acute alcohol withdrawal:</w:t>
            </w:r>
            <w:r w:rsidRPr="00BD468A">
              <w:rPr>
                <w:rFonts w:cs="Times New Roman"/>
                <w:szCs w:val="24"/>
              </w:rPr>
              <w:t xml:space="preserve"> 10 mg three to four times in the first 24 hours, reducing to 5 mg three to four times daily as needed.</w:t>
            </w:r>
          </w:p>
          <w:p w14:paraId="6E961419" w14:textId="77777777" w:rsidR="00401703" w:rsidRPr="00BD468A" w:rsidRDefault="00401703" w:rsidP="002D6DD7">
            <w:pPr>
              <w:jc w:val="both"/>
              <w:rPr>
                <w:rFonts w:cs="Times New Roman"/>
                <w:szCs w:val="24"/>
              </w:rPr>
            </w:pPr>
            <w:r w:rsidRPr="00BD468A">
              <w:rPr>
                <w:rFonts w:cs="Times New Roman"/>
                <w:b/>
                <w:bCs/>
                <w:szCs w:val="24"/>
              </w:rPr>
              <w:t>Muscle spasm:</w:t>
            </w:r>
            <w:r w:rsidRPr="00BD468A">
              <w:rPr>
                <w:rFonts w:cs="Times New Roman"/>
                <w:szCs w:val="24"/>
              </w:rPr>
              <w:t xml:space="preserve"> 2–10 mg three times daily, depending on response.</w:t>
            </w:r>
          </w:p>
          <w:p w14:paraId="0E8DF02E" w14:textId="77777777" w:rsidR="00401703" w:rsidRPr="00BD468A" w:rsidRDefault="00401703" w:rsidP="002D6DD7">
            <w:pPr>
              <w:jc w:val="both"/>
              <w:rPr>
                <w:rFonts w:cs="Times New Roman"/>
                <w:b/>
                <w:bCs/>
                <w:szCs w:val="24"/>
              </w:rPr>
            </w:pPr>
            <w:r w:rsidRPr="009D1B7E">
              <w:rPr>
                <w:rFonts w:cs="Times New Roman"/>
                <w:bCs/>
                <w:szCs w:val="24"/>
              </w:rPr>
              <w:t>Injection (IV/IM)</w:t>
            </w:r>
            <w:r w:rsidRPr="00BD468A">
              <w:rPr>
                <w:rFonts w:cs="Times New Roman"/>
                <w:b/>
                <w:bCs/>
                <w:szCs w:val="24"/>
              </w:rPr>
              <w:t>:</w:t>
            </w:r>
          </w:p>
          <w:p w14:paraId="7643DA2B" w14:textId="77777777" w:rsidR="00401703" w:rsidRPr="00BD468A" w:rsidRDefault="00401703" w:rsidP="002D6DD7">
            <w:pPr>
              <w:jc w:val="both"/>
              <w:rPr>
                <w:rFonts w:cs="Times New Roman"/>
                <w:szCs w:val="24"/>
              </w:rPr>
            </w:pPr>
            <w:r w:rsidRPr="00BD468A">
              <w:rPr>
                <w:rFonts w:cs="Times New Roman"/>
                <w:b/>
                <w:bCs/>
                <w:szCs w:val="24"/>
              </w:rPr>
              <w:t>Status epilepticus:</w:t>
            </w:r>
            <w:r w:rsidRPr="00BD468A">
              <w:rPr>
                <w:rFonts w:cs="Times New Roman"/>
                <w:szCs w:val="24"/>
              </w:rPr>
              <w:t xml:space="preserve"> 10–20 mg IV initially, may repeat after 30–60 minutes, if necessary, followed by oral therapy.</w:t>
            </w:r>
          </w:p>
          <w:p w14:paraId="24158C13" w14:textId="77777777" w:rsidR="00401703" w:rsidRPr="00BD468A" w:rsidRDefault="00401703" w:rsidP="002D6DD7">
            <w:pPr>
              <w:jc w:val="both"/>
              <w:rPr>
                <w:rFonts w:cs="Times New Roman"/>
                <w:szCs w:val="24"/>
              </w:rPr>
            </w:pPr>
            <w:r w:rsidRPr="00BD468A">
              <w:rPr>
                <w:rFonts w:cs="Times New Roman"/>
                <w:b/>
                <w:bCs/>
                <w:szCs w:val="24"/>
              </w:rPr>
              <w:t>Acute severe anxiety or muscle spasm:</w:t>
            </w:r>
            <w:r w:rsidRPr="00BD468A">
              <w:rPr>
                <w:rFonts w:cs="Times New Roman"/>
                <w:szCs w:val="24"/>
              </w:rPr>
              <w:t xml:space="preserve"> 5–10 mg IV or IM, can be repeated if necessary (adjust based on clinical response).</w:t>
            </w:r>
          </w:p>
          <w:p w14:paraId="69AB7078" w14:textId="77777777" w:rsidR="00401703" w:rsidRPr="00BD468A" w:rsidRDefault="00401703" w:rsidP="002D6DD7">
            <w:pPr>
              <w:jc w:val="both"/>
              <w:rPr>
                <w:rFonts w:cs="Times New Roman"/>
                <w:b/>
                <w:bCs/>
                <w:szCs w:val="24"/>
              </w:rPr>
            </w:pPr>
            <w:r w:rsidRPr="00BD468A">
              <w:rPr>
                <w:rFonts w:cs="Times New Roman"/>
                <w:b/>
                <w:bCs/>
                <w:szCs w:val="24"/>
              </w:rPr>
              <w:t xml:space="preserve">Elderly or debilitated patients </w:t>
            </w:r>
            <w:r w:rsidRPr="009D1B7E">
              <w:rPr>
                <w:rFonts w:cs="Times New Roman"/>
                <w:bCs/>
                <w:szCs w:val="24"/>
              </w:rPr>
              <w:t>(</w:t>
            </w:r>
            <w:r w:rsidR="009D1B7E" w:rsidRPr="009D1B7E">
              <w:rPr>
                <w:rFonts w:cs="Times New Roman"/>
                <w:bCs/>
                <w:szCs w:val="24"/>
              </w:rPr>
              <w:t>o</w:t>
            </w:r>
            <w:r w:rsidRPr="009D1B7E">
              <w:rPr>
                <w:rFonts w:cs="Times New Roman"/>
                <w:bCs/>
                <w:szCs w:val="24"/>
              </w:rPr>
              <w:t xml:space="preserve">ral and </w:t>
            </w:r>
            <w:r w:rsidR="009D1B7E" w:rsidRPr="009D1B7E">
              <w:rPr>
                <w:rFonts w:cs="Times New Roman"/>
                <w:bCs/>
                <w:szCs w:val="24"/>
              </w:rPr>
              <w:t>i</w:t>
            </w:r>
            <w:r w:rsidRPr="009D1B7E">
              <w:rPr>
                <w:rFonts w:cs="Times New Roman"/>
                <w:bCs/>
                <w:szCs w:val="24"/>
              </w:rPr>
              <w:t>njection</w:t>
            </w:r>
            <w:r w:rsidRPr="00BD468A">
              <w:rPr>
                <w:rFonts w:cs="Times New Roman"/>
                <w:b/>
                <w:bCs/>
                <w:szCs w:val="24"/>
              </w:rPr>
              <w:t>):</w:t>
            </w:r>
          </w:p>
          <w:p w14:paraId="710694F1" w14:textId="77777777" w:rsidR="00401703" w:rsidRPr="00BD468A" w:rsidRDefault="00401703" w:rsidP="002D6DD7">
            <w:pPr>
              <w:jc w:val="both"/>
              <w:rPr>
                <w:rFonts w:cs="Times New Roman"/>
                <w:szCs w:val="24"/>
              </w:rPr>
            </w:pPr>
            <w:r w:rsidRPr="00BD468A">
              <w:rPr>
                <w:rFonts w:cs="Times New Roman"/>
                <w:szCs w:val="24"/>
              </w:rPr>
              <w:lastRenderedPageBreak/>
              <w:t>Use half the adult dose, adjusting based on response and tolerance.</w:t>
            </w:r>
          </w:p>
          <w:p w14:paraId="248CCA3A" w14:textId="77777777" w:rsidR="00401703" w:rsidRPr="009D1B7E" w:rsidRDefault="00401703" w:rsidP="002D6DD7">
            <w:pPr>
              <w:jc w:val="both"/>
              <w:rPr>
                <w:rFonts w:eastAsia="DengXian" w:cs="Times New Roman"/>
                <w:i/>
                <w:color w:val="000000"/>
                <w:szCs w:val="24"/>
              </w:rPr>
            </w:pPr>
            <w:r w:rsidRPr="009D1B7E">
              <w:rPr>
                <w:rFonts w:cs="Times New Roman"/>
                <w:bCs/>
                <w:i/>
                <w:szCs w:val="24"/>
              </w:rPr>
              <w:t>Note:</w:t>
            </w:r>
            <w:r w:rsidRPr="009D1B7E">
              <w:rPr>
                <w:rFonts w:cs="Times New Roman"/>
                <w:i/>
                <w:szCs w:val="24"/>
              </w:rPr>
              <w:t xml:space="preserve"> The maximum duration of use for anxiety/insomnia is 2–4 weeks, including tapering, to prevent dependence and tolerance. </w:t>
            </w:r>
          </w:p>
        </w:tc>
      </w:tr>
      <w:tr w:rsidR="00401703" w:rsidRPr="00BD468A" w14:paraId="38D16AAE" w14:textId="77777777" w:rsidTr="002D6DD7">
        <w:tc>
          <w:tcPr>
            <w:tcW w:w="2695" w:type="dxa"/>
            <w:tcBorders>
              <w:bottom w:val="single" w:sz="4" w:space="0" w:color="auto"/>
            </w:tcBorders>
          </w:tcPr>
          <w:p w14:paraId="7CC1489C" w14:textId="77777777" w:rsidR="00401703" w:rsidRPr="00BD468A" w:rsidRDefault="00401703" w:rsidP="002D6DD7">
            <w:pPr>
              <w:jc w:val="both"/>
              <w:rPr>
                <w:rFonts w:cs="Times New Roman"/>
                <w:szCs w:val="24"/>
              </w:rPr>
            </w:pPr>
            <w:r w:rsidRPr="00BD468A">
              <w:rPr>
                <w:rFonts w:cs="Times New Roman"/>
                <w:szCs w:val="24"/>
              </w:rPr>
              <w:lastRenderedPageBreak/>
              <w:t>Contraindications</w:t>
            </w:r>
          </w:p>
        </w:tc>
        <w:tc>
          <w:tcPr>
            <w:tcW w:w="6660" w:type="dxa"/>
            <w:tcBorders>
              <w:bottom w:val="single" w:sz="4" w:space="0" w:color="auto"/>
            </w:tcBorders>
          </w:tcPr>
          <w:p w14:paraId="1E0B7698" w14:textId="77777777" w:rsidR="00401703" w:rsidRPr="00BD468A" w:rsidRDefault="00401703" w:rsidP="002D6DD7">
            <w:pPr>
              <w:jc w:val="both"/>
              <w:rPr>
                <w:rFonts w:eastAsia="DengXian" w:cs="Times New Roman"/>
                <w:color w:val="000000"/>
                <w:szCs w:val="24"/>
              </w:rPr>
            </w:pPr>
            <w:r w:rsidRPr="00BD468A">
              <w:rPr>
                <w:rFonts w:cs="Times New Roman"/>
                <w:szCs w:val="24"/>
              </w:rPr>
              <w:t>Preexisting CNS depression or coma, acute pulmonary insufficiency, sleep apnoea, severe hepatic impairment, myasthenia gravis, respiratory depression, chronic psychosis or for phobic or obsessional states, avoid injections containing benzyl alcohol in neonates</w:t>
            </w:r>
          </w:p>
        </w:tc>
      </w:tr>
      <w:tr w:rsidR="00401703" w:rsidRPr="00BD468A" w14:paraId="09D037BF" w14:textId="77777777" w:rsidTr="002D6DD7">
        <w:tc>
          <w:tcPr>
            <w:tcW w:w="2695" w:type="dxa"/>
            <w:tcBorders>
              <w:bottom w:val="single" w:sz="4" w:space="0" w:color="auto"/>
            </w:tcBorders>
          </w:tcPr>
          <w:p w14:paraId="54F6574C" w14:textId="77777777" w:rsidR="00401703" w:rsidRPr="00BD468A" w:rsidRDefault="00401703" w:rsidP="002D6DD7">
            <w:pPr>
              <w:jc w:val="both"/>
              <w:rPr>
                <w:rFonts w:cs="Times New Roman"/>
                <w:szCs w:val="24"/>
              </w:rPr>
            </w:pPr>
            <w:r w:rsidRPr="00BD468A">
              <w:rPr>
                <w:rFonts w:cs="Times New Roman"/>
                <w:szCs w:val="24"/>
              </w:rPr>
              <w:t>Drug Interactions</w:t>
            </w:r>
          </w:p>
        </w:tc>
        <w:tc>
          <w:tcPr>
            <w:tcW w:w="6660" w:type="dxa"/>
            <w:tcBorders>
              <w:bottom w:val="single" w:sz="4" w:space="0" w:color="auto"/>
            </w:tcBorders>
          </w:tcPr>
          <w:p w14:paraId="097FE065" w14:textId="77777777" w:rsidR="00401703" w:rsidRPr="00BD468A" w:rsidRDefault="00401703" w:rsidP="002D6DD7">
            <w:pPr>
              <w:jc w:val="both"/>
              <w:rPr>
                <w:rFonts w:eastAsia="DengXian" w:cs="Times New Roman"/>
                <w:color w:val="000000"/>
                <w:szCs w:val="24"/>
              </w:rPr>
            </w:pPr>
            <w:r w:rsidRPr="00BD468A">
              <w:rPr>
                <w:rFonts w:cs="Times New Roman"/>
                <w:szCs w:val="24"/>
              </w:rPr>
              <w:t>Alcohol, antidepressants, antihistamines, antipsychotics, sedative, general anesthetics, other hypnotics, opioid analgesics, fluvoxamine, ketoconazole, nefazodone, zidovudine, aminophylline.</w:t>
            </w:r>
          </w:p>
        </w:tc>
      </w:tr>
      <w:tr w:rsidR="00401703" w:rsidRPr="00BD468A" w14:paraId="204376B3" w14:textId="77777777" w:rsidTr="002D6DD7">
        <w:tc>
          <w:tcPr>
            <w:tcW w:w="2695" w:type="dxa"/>
            <w:tcBorders>
              <w:bottom w:val="single" w:sz="4" w:space="0" w:color="auto"/>
            </w:tcBorders>
          </w:tcPr>
          <w:p w14:paraId="13F73E95" w14:textId="77777777" w:rsidR="00401703" w:rsidRPr="00BD468A" w:rsidRDefault="00401703" w:rsidP="002D6DD7">
            <w:pPr>
              <w:jc w:val="both"/>
              <w:rPr>
                <w:rFonts w:cs="Times New Roman"/>
                <w:szCs w:val="24"/>
              </w:rPr>
            </w:pPr>
            <w:r w:rsidRPr="00BD468A">
              <w:rPr>
                <w:rFonts w:cs="Times New Roman"/>
                <w:szCs w:val="24"/>
              </w:rPr>
              <w:t>Side Effects</w:t>
            </w:r>
          </w:p>
        </w:tc>
        <w:tc>
          <w:tcPr>
            <w:tcW w:w="6660" w:type="dxa"/>
            <w:tcBorders>
              <w:bottom w:val="single" w:sz="4" w:space="0" w:color="auto"/>
            </w:tcBorders>
          </w:tcPr>
          <w:p w14:paraId="0F288358" w14:textId="77777777" w:rsidR="00401703" w:rsidRPr="00BD468A" w:rsidRDefault="00401703" w:rsidP="002D6DD7">
            <w:pPr>
              <w:jc w:val="both"/>
              <w:rPr>
                <w:rFonts w:eastAsia="DengXian" w:cs="Times New Roman"/>
                <w:color w:val="000000"/>
                <w:szCs w:val="24"/>
              </w:rPr>
            </w:pPr>
            <w:r w:rsidRPr="00BD468A">
              <w:rPr>
                <w:rFonts w:cs="Times New Roman"/>
                <w:szCs w:val="24"/>
              </w:rPr>
              <w:t>Drowsiness and light-headedness the next day, confusion</w:t>
            </w:r>
            <w:r>
              <w:rPr>
                <w:rFonts w:cs="Times New Roman"/>
                <w:szCs w:val="24"/>
              </w:rPr>
              <w:t xml:space="preserve">, </w:t>
            </w:r>
            <w:r w:rsidRPr="00BD468A">
              <w:rPr>
                <w:rFonts w:cs="Times New Roman"/>
                <w:szCs w:val="24"/>
              </w:rPr>
              <w:t>ataxia, amnesia, dependence, paradoxical increase in aggression, muscle weakness</w:t>
            </w:r>
            <w:r w:rsidR="0052456B">
              <w:rPr>
                <w:rFonts w:cs="Times New Roman"/>
                <w:szCs w:val="24"/>
              </w:rPr>
              <w:t>.</w:t>
            </w:r>
          </w:p>
        </w:tc>
      </w:tr>
      <w:tr w:rsidR="00401703" w:rsidRPr="00BD468A" w14:paraId="4E3605B0" w14:textId="77777777" w:rsidTr="002D6DD7">
        <w:tc>
          <w:tcPr>
            <w:tcW w:w="2695" w:type="dxa"/>
            <w:tcBorders>
              <w:bottom w:val="single" w:sz="4" w:space="0" w:color="auto"/>
            </w:tcBorders>
          </w:tcPr>
          <w:p w14:paraId="572D7F8D" w14:textId="77777777" w:rsidR="00401703" w:rsidRPr="00BD468A" w:rsidRDefault="00401703" w:rsidP="002D6DD7">
            <w:pPr>
              <w:jc w:val="both"/>
              <w:rPr>
                <w:rFonts w:cs="Times New Roman"/>
                <w:szCs w:val="24"/>
              </w:rPr>
            </w:pPr>
            <w:r w:rsidRPr="00BD468A">
              <w:rPr>
                <w:rFonts w:cs="Times New Roman"/>
                <w:szCs w:val="24"/>
              </w:rPr>
              <w:t>Cautions</w:t>
            </w:r>
          </w:p>
        </w:tc>
        <w:tc>
          <w:tcPr>
            <w:tcW w:w="6660" w:type="dxa"/>
            <w:tcBorders>
              <w:bottom w:val="single" w:sz="4" w:space="0" w:color="auto"/>
            </w:tcBorders>
          </w:tcPr>
          <w:p w14:paraId="07832BDA" w14:textId="77777777" w:rsidR="00401703" w:rsidRPr="00BD468A" w:rsidRDefault="00401703" w:rsidP="002D6DD7">
            <w:pPr>
              <w:jc w:val="both"/>
              <w:rPr>
                <w:rFonts w:eastAsia="DengXian" w:cs="Times New Roman"/>
                <w:color w:val="000000"/>
                <w:szCs w:val="24"/>
              </w:rPr>
            </w:pPr>
            <w:r>
              <w:rPr>
                <w:rFonts w:cs="Times New Roman"/>
                <w:szCs w:val="24"/>
              </w:rPr>
              <w:t>L</w:t>
            </w:r>
            <w:r w:rsidRPr="00BD468A">
              <w:rPr>
                <w:rFonts w:cs="Times New Roman"/>
                <w:szCs w:val="24"/>
              </w:rPr>
              <w:t xml:space="preserve">iver </w:t>
            </w:r>
            <w:r>
              <w:rPr>
                <w:rFonts w:cs="Times New Roman"/>
                <w:szCs w:val="24"/>
              </w:rPr>
              <w:t>and</w:t>
            </w:r>
            <w:r w:rsidRPr="00BD468A">
              <w:rPr>
                <w:rFonts w:cs="Times New Roman"/>
                <w:szCs w:val="24"/>
              </w:rPr>
              <w:t xml:space="preserve"> kidney </w:t>
            </w:r>
            <w:r>
              <w:rPr>
                <w:rFonts w:cs="Times New Roman"/>
                <w:szCs w:val="24"/>
              </w:rPr>
              <w:t>impairments</w:t>
            </w:r>
            <w:r w:rsidRPr="00BD468A">
              <w:rPr>
                <w:rFonts w:cs="Times New Roman"/>
                <w:szCs w:val="24"/>
              </w:rPr>
              <w:t>, muscle weakness, elderly or debilitated patients, respiratory disease, history of alcohol abuse, marked personality disorder, prolonged use</w:t>
            </w:r>
            <w:r>
              <w:rPr>
                <w:rFonts w:cs="Times New Roman"/>
                <w:szCs w:val="24"/>
              </w:rPr>
              <w:t xml:space="preserve">, </w:t>
            </w:r>
            <w:r w:rsidRPr="00BD468A">
              <w:rPr>
                <w:rFonts w:cs="Times New Roman"/>
                <w:szCs w:val="24"/>
              </w:rPr>
              <w:t>abrupt withdrawal, porphyria pregnancy</w:t>
            </w:r>
            <w:r>
              <w:rPr>
                <w:rFonts w:cs="Times New Roman"/>
                <w:szCs w:val="24"/>
              </w:rPr>
              <w:t xml:space="preserve">, </w:t>
            </w:r>
            <w:r w:rsidRPr="00BD468A">
              <w:rPr>
                <w:rFonts w:cs="Times New Roman"/>
                <w:szCs w:val="24"/>
              </w:rPr>
              <w:t>breastfeeding</w:t>
            </w:r>
          </w:p>
        </w:tc>
      </w:tr>
      <w:tr w:rsidR="00401703" w:rsidRPr="00BD468A" w14:paraId="111315A9" w14:textId="77777777" w:rsidTr="002D6DD7">
        <w:tc>
          <w:tcPr>
            <w:tcW w:w="2695" w:type="dxa"/>
            <w:tcBorders>
              <w:bottom w:val="single" w:sz="4" w:space="0" w:color="auto"/>
            </w:tcBorders>
          </w:tcPr>
          <w:p w14:paraId="09851352" w14:textId="77777777" w:rsidR="00401703" w:rsidRPr="00BD468A" w:rsidRDefault="00401703" w:rsidP="002D6DD7">
            <w:pPr>
              <w:jc w:val="both"/>
              <w:rPr>
                <w:rFonts w:cs="Times New Roman"/>
                <w:szCs w:val="24"/>
              </w:rPr>
            </w:pPr>
            <w:r w:rsidRPr="00BD468A">
              <w:rPr>
                <w:rFonts w:cs="Times New Roman"/>
                <w:szCs w:val="24"/>
              </w:rPr>
              <w:t>Storage Condition</w:t>
            </w:r>
          </w:p>
        </w:tc>
        <w:tc>
          <w:tcPr>
            <w:tcW w:w="6660" w:type="dxa"/>
            <w:tcBorders>
              <w:bottom w:val="single" w:sz="4" w:space="0" w:color="auto"/>
            </w:tcBorders>
          </w:tcPr>
          <w:p w14:paraId="5142F739" w14:textId="77777777" w:rsidR="00401703" w:rsidRPr="00BD468A" w:rsidRDefault="00401703" w:rsidP="002D6DD7">
            <w:pPr>
              <w:jc w:val="both"/>
              <w:rPr>
                <w:rFonts w:eastAsia="DengXian" w:cs="Times New Roman"/>
                <w:color w:val="000000"/>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tr w:rsidR="00401703" w:rsidRPr="00BD468A" w14:paraId="4548143A" w14:textId="77777777" w:rsidTr="002D6DD7">
        <w:trPr>
          <w:trHeight w:val="440"/>
        </w:trPr>
        <w:tc>
          <w:tcPr>
            <w:tcW w:w="9355" w:type="dxa"/>
            <w:gridSpan w:val="2"/>
          </w:tcPr>
          <w:p w14:paraId="2432A09B" w14:textId="77777777" w:rsidR="00401703" w:rsidRPr="00BD468A" w:rsidRDefault="00401703" w:rsidP="002D6DD7">
            <w:pPr>
              <w:jc w:val="both"/>
              <w:rPr>
                <w:rFonts w:cs="Times New Roman"/>
                <w:b/>
                <w:bCs/>
                <w:color w:val="000000" w:themeColor="text1"/>
                <w:szCs w:val="24"/>
              </w:rPr>
            </w:pPr>
            <w:bookmarkStart w:id="79" w:name="_Hlk168691010"/>
            <w:r w:rsidRPr="00BD468A">
              <w:rPr>
                <w:rFonts w:cs="Times New Roman"/>
                <w:b/>
                <w:bCs/>
                <w:szCs w:val="24"/>
              </w:rPr>
              <w:t>Fluoxetine</w:t>
            </w:r>
          </w:p>
        </w:tc>
      </w:tr>
      <w:tr w:rsidR="00401703" w:rsidRPr="00BD468A" w14:paraId="5FA87A0A" w14:textId="77777777" w:rsidTr="002D6DD7">
        <w:tc>
          <w:tcPr>
            <w:tcW w:w="2695" w:type="dxa"/>
          </w:tcPr>
          <w:p w14:paraId="793CDE91"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2F33574A" w14:textId="77777777" w:rsidR="00401703" w:rsidRPr="00BD468A" w:rsidRDefault="00401703" w:rsidP="002D6DD7">
            <w:pPr>
              <w:jc w:val="both"/>
              <w:rPr>
                <w:rFonts w:cs="Times New Roman"/>
                <w:color w:val="000000" w:themeColor="text1"/>
                <w:szCs w:val="24"/>
              </w:rPr>
            </w:pPr>
            <w:r w:rsidRPr="00BD468A">
              <w:rPr>
                <w:rFonts w:cs="Times New Roman"/>
                <w:szCs w:val="24"/>
              </w:rPr>
              <w:t>Selective Serotonin Reuptake Inhibitor</w:t>
            </w:r>
            <w:r>
              <w:rPr>
                <w:rFonts w:cs="Times New Roman"/>
                <w:szCs w:val="24"/>
              </w:rPr>
              <w:t xml:space="preserve"> (SSRI)</w:t>
            </w:r>
          </w:p>
        </w:tc>
      </w:tr>
      <w:tr w:rsidR="00401703" w:rsidRPr="00BD468A" w14:paraId="2CC18E5D" w14:textId="77777777" w:rsidTr="002D6DD7">
        <w:tc>
          <w:tcPr>
            <w:tcW w:w="2695" w:type="dxa"/>
          </w:tcPr>
          <w:p w14:paraId="5D5EA866"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136F37EF" w14:textId="77777777" w:rsidR="00401703" w:rsidRPr="00BD468A" w:rsidRDefault="00401703" w:rsidP="002D6DD7">
            <w:pPr>
              <w:jc w:val="both"/>
              <w:rPr>
                <w:rFonts w:cs="Times New Roman"/>
                <w:color w:val="000000" w:themeColor="text1"/>
                <w:szCs w:val="24"/>
              </w:rPr>
            </w:pPr>
            <w:r w:rsidRPr="00BD468A">
              <w:rPr>
                <w:rFonts w:cs="Times New Roman"/>
                <w:szCs w:val="24"/>
              </w:rPr>
              <w:t>Capsule: 20 mg</w:t>
            </w:r>
          </w:p>
        </w:tc>
      </w:tr>
      <w:tr w:rsidR="00401703" w:rsidRPr="00BD468A" w14:paraId="00CAD8DD" w14:textId="77777777" w:rsidTr="002D6DD7">
        <w:tc>
          <w:tcPr>
            <w:tcW w:w="2695" w:type="dxa"/>
          </w:tcPr>
          <w:p w14:paraId="187F44A7"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65797D5A" w14:textId="77777777" w:rsidR="00401703" w:rsidRPr="00BD468A" w:rsidRDefault="00401703" w:rsidP="002D6DD7">
            <w:pPr>
              <w:jc w:val="both"/>
              <w:rPr>
                <w:rFonts w:cs="Times New Roman"/>
                <w:szCs w:val="24"/>
              </w:rPr>
            </w:pPr>
            <w:r w:rsidRPr="00BD468A">
              <w:rPr>
                <w:rFonts w:cs="Times New Roman"/>
                <w:szCs w:val="24"/>
              </w:rPr>
              <w:t>Depression, anxiety disorders, obsessive-compulsive disorder (OCD), panic disorder, bulimia nervosa</w:t>
            </w:r>
          </w:p>
        </w:tc>
      </w:tr>
      <w:tr w:rsidR="00401703" w:rsidRPr="00BD468A" w14:paraId="5DC61077" w14:textId="77777777" w:rsidTr="002D6DD7">
        <w:tc>
          <w:tcPr>
            <w:tcW w:w="2695" w:type="dxa"/>
          </w:tcPr>
          <w:p w14:paraId="00EE50BC" w14:textId="77777777" w:rsidR="00401703" w:rsidRPr="00BD468A" w:rsidRDefault="00401703" w:rsidP="002D6DD7">
            <w:pPr>
              <w:jc w:val="both"/>
              <w:rPr>
                <w:rFonts w:cs="Times New Roman"/>
                <w:color w:val="000000" w:themeColor="text1"/>
                <w:szCs w:val="24"/>
              </w:rPr>
            </w:pPr>
            <w:r w:rsidRPr="00BD468A">
              <w:rPr>
                <w:rFonts w:eastAsia="Times New Roman" w:cs="Times New Roman"/>
                <w:color w:val="000000" w:themeColor="text1"/>
                <w:szCs w:val="24"/>
              </w:rPr>
              <w:t>Dose and administration</w:t>
            </w:r>
          </w:p>
        </w:tc>
        <w:tc>
          <w:tcPr>
            <w:tcW w:w="6660" w:type="dxa"/>
          </w:tcPr>
          <w:p w14:paraId="519BE37C" w14:textId="77777777" w:rsidR="00401703" w:rsidRPr="00BD468A" w:rsidRDefault="00401703" w:rsidP="002D6DD7">
            <w:pPr>
              <w:jc w:val="both"/>
              <w:rPr>
                <w:rFonts w:cs="Times New Roman"/>
                <w:b/>
                <w:bCs/>
                <w:color w:val="000000" w:themeColor="text1"/>
                <w:szCs w:val="24"/>
              </w:rPr>
            </w:pPr>
            <w:r w:rsidRPr="00BD468A">
              <w:rPr>
                <w:rFonts w:cs="Times New Roman"/>
                <w:b/>
                <w:bCs/>
                <w:color w:val="000000" w:themeColor="text1"/>
                <w:szCs w:val="24"/>
              </w:rPr>
              <w:t xml:space="preserve">Adult: </w:t>
            </w:r>
          </w:p>
          <w:p w14:paraId="6472F14F" w14:textId="77777777" w:rsidR="00401703" w:rsidRPr="00BD468A" w:rsidRDefault="00401703" w:rsidP="002D6DD7">
            <w:pPr>
              <w:jc w:val="both"/>
              <w:rPr>
                <w:rFonts w:cs="Times New Roman"/>
                <w:color w:val="000000" w:themeColor="text1"/>
                <w:szCs w:val="24"/>
              </w:rPr>
            </w:pPr>
            <w:r w:rsidRPr="00BD468A">
              <w:rPr>
                <w:rFonts w:cs="Times New Roman"/>
                <w:b/>
                <w:bCs/>
                <w:color w:val="000000" w:themeColor="text1"/>
                <w:szCs w:val="24"/>
              </w:rPr>
              <w:t>Anxiety disorders:</w:t>
            </w:r>
            <w:r w:rsidRPr="00BD468A">
              <w:rPr>
                <w:rFonts w:cs="Times New Roman"/>
                <w:color w:val="000000" w:themeColor="text1"/>
                <w:szCs w:val="24"/>
              </w:rPr>
              <w:t xml:space="preserve"> Starting dose is typically 10-20 mg daily, which can be increased to a maximum of 60 mg daily depending on response and tolerability. </w:t>
            </w:r>
          </w:p>
          <w:p w14:paraId="28A04C73" w14:textId="77777777" w:rsidR="00401703" w:rsidRPr="00BD468A" w:rsidRDefault="00401703" w:rsidP="002D6DD7">
            <w:pPr>
              <w:jc w:val="both"/>
              <w:rPr>
                <w:rFonts w:cs="Times New Roman"/>
                <w:color w:val="000000" w:themeColor="text1"/>
                <w:szCs w:val="24"/>
              </w:rPr>
            </w:pPr>
            <w:r w:rsidRPr="00BD468A">
              <w:rPr>
                <w:rFonts w:cs="Times New Roman"/>
                <w:b/>
                <w:bCs/>
                <w:color w:val="000000" w:themeColor="text1"/>
                <w:szCs w:val="24"/>
              </w:rPr>
              <w:t>Panic disorder:</w:t>
            </w:r>
            <w:r w:rsidRPr="00BD468A">
              <w:rPr>
                <w:rFonts w:cs="Times New Roman"/>
                <w:color w:val="000000" w:themeColor="text1"/>
                <w:szCs w:val="24"/>
              </w:rPr>
              <w:t xml:space="preserve"> Starting dose of 10 mg/day, increased after one </w:t>
            </w:r>
            <w:r w:rsidRPr="00BD468A">
              <w:rPr>
                <w:rFonts w:cs="Times New Roman"/>
                <w:color w:val="000000" w:themeColor="text1"/>
                <w:szCs w:val="24"/>
              </w:rPr>
              <w:lastRenderedPageBreak/>
              <w:t xml:space="preserve">week to 20 mg/day. Maximum dose is 60 mg/day. </w:t>
            </w:r>
          </w:p>
          <w:p w14:paraId="28A1AF12" w14:textId="77777777" w:rsidR="00401703" w:rsidRPr="00BD468A" w:rsidRDefault="00401703" w:rsidP="002D6DD7">
            <w:pPr>
              <w:jc w:val="both"/>
              <w:rPr>
                <w:rFonts w:cs="Times New Roman"/>
                <w:color w:val="000000" w:themeColor="text1"/>
                <w:szCs w:val="24"/>
              </w:rPr>
            </w:pPr>
            <w:r w:rsidRPr="0052456B">
              <w:rPr>
                <w:rFonts w:cs="Times New Roman"/>
                <w:b/>
                <w:color w:val="000000" w:themeColor="text1"/>
                <w:szCs w:val="24"/>
              </w:rPr>
              <w:t>P</w:t>
            </w:r>
            <w:r w:rsidRPr="0052456B">
              <w:rPr>
                <w:rFonts w:cs="Times New Roman"/>
                <w:b/>
                <w:bCs/>
                <w:color w:val="000000" w:themeColor="text1"/>
                <w:szCs w:val="24"/>
              </w:rPr>
              <w:t>e</w:t>
            </w:r>
            <w:r w:rsidRPr="00BD468A">
              <w:rPr>
                <w:rFonts w:cs="Times New Roman"/>
                <w:b/>
                <w:bCs/>
                <w:color w:val="000000" w:themeColor="text1"/>
                <w:szCs w:val="24"/>
              </w:rPr>
              <w:t xml:space="preserve">diatric (7-17 years): </w:t>
            </w:r>
            <w:r w:rsidRPr="00BD468A">
              <w:rPr>
                <w:rFonts w:cs="Times New Roman"/>
                <w:color w:val="000000" w:themeColor="text1"/>
                <w:szCs w:val="24"/>
              </w:rPr>
              <w:t>Starting dose is typically 10 mg/day, which can be increased to 20 mg/day after one week.</w:t>
            </w:r>
          </w:p>
        </w:tc>
      </w:tr>
      <w:tr w:rsidR="00401703" w:rsidRPr="00BD468A" w14:paraId="4C304825" w14:textId="77777777" w:rsidTr="002D6DD7">
        <w:tc>
          <w:tcPr>
            <w:tcW w:w="2695" w:type="dxa"/>
          </w:tcPr>
          <w:p w14:paraId="127297A6" w14:textId="77777777" w:rsidR="00401703" w:rsidRPr="00BD468A" w:rsidRDefault="00401703" w:rsidP="002D6DD7">
            <w:pPr>
              <w:jc w:val="both"/>
              <w:rPr>
                <w:rFonts w:cs="Times New Roman"/>
                <w:color w:val="000000" w:themeColor="text1"/>
                <w:szCs w:val="24"/>
              </w:rPr>
            </w:pPr>
            <w:r w:rsidRPr="00BD468A">
              <w:rPr>
                <w:rFonts w:cs="Times New Roman"/>
                <w:szCs w:val="24"/>
              </w:rPr>
              <w:lastRenderedPageBreak/>
              <w:t>Contraindications</w:t>
            </w:r>
          </w:p>
        </w:tc>
        <w:tc>
          <w:tcPr>
            <w:tcW w:w="6660" w:type="dxa"/>
          </w:tcPr>
          <w:p w14:paraId="51307CCB" w14:textId="77777777" w:rsidR="00401703" w:rsidRPr="00BD468A" w:rsidRDefault="00401703" w:rsidP="002D6DD7">
            <w:pPr>
              <w:jc w:val="both"/>
              <w:rPr>
                <w:rFonts w:cs="Times New Roman"/>
                <w:szCs w:val="24"/>
              </w:rPr>
            </w:pPr>
            <w:r w:rsidRPr="00BD468A">
              <w:rPr>
                <w:rFonts w:cs="Times New Roman"/>
                <w:szCs w:val="24"/>
              </w:rPr>
              <w:t xml:space="preserve">Hypersensitivity to </w:t>
            </w:r>
            <w:r>
              <w:rPr>
                <w:rFonts w:cs="Times New Roman"/>
                <w:szCs w:val="24"/>
              </w:rPr>
              <w:t>the drug</w:t>
            </w:r>
            <w:r w:rsidR="0052456B">
              <w:rPr>
                <w:rFonts w:cs="Times New Roman"/>
                <w:szCs w:val="24"/>
              </w:rPr>
              <w:t>.</w:t>
            </w:r>
          </w:p>
        </w:tc>
      </w:tr>
      <w:tr w:rsidR="00401703" w:rsidRPr="00BD468A" w14:paraId="39EE8A0F" w14:textId="77777777" w:rsidTr="002D6DD7">
        <w:tc>
          <w:tcPr>
            <w:tcW w:w="2695" w:type="dxa"/>
          </w:tcPr>
          <w:p w14:paraId="734C8975"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5A423B6C" w14:textId="77777777" w:rsidR="00401703" w:rsidRPr="00BD468A" w:rsidRDefault="00401703" w:rsidP="002D6DD7">
            <w:pPr>
              <w:jc w:val="both"/>
              <w:rPr>
                <w:rFonts w:cs="Times New Roman"/>
                <w:b/>
                <w:bCs/>
                <w:szCs w:val="24"/>
              </w:rPr>
            </w:pPr>
            <w:r w:rsidRPr="00BD468A">
              <w:rPr>
                <w:rFonts w:cs="Times New Roman"/>
                <w:szCs w:val="24"/>
              </w:rPr>
              <w:t>MAO inhibitors, pimozide, thioridazine, linezolid, methylene blue, tricyclic antidepressants, lithium, warfarin, antiplatelet drugs</w:t>
            </w:r>
            <w:r>
              <w:rPr>
                <w:rFonts w:cs="Times New Roman"/>
                <w:szCs w:val="24"/>
              </w:rPr>
              <w:t xml:space="preserve">, </w:t>
            </w:r>
            <w:r w:rsidRPr="00BD468A">
              <w:rPr>
                <w:rFonts w:cs="Times New Roman"/>
                <w:szCs w:val="24"/>
              </w:rPr>
              <w:t>NSAIDs</w:t>
            </w:r>
            <w:r w:rsidR="0052456B">
              <w:rPr>
                <w:rFonts w:cs="Times New Roman"/>
                <w:szCs w:val="24"/>
              </w:rPr>
              <w:t>.</w:t>
            </w:r>
          </w:p>
        </w:tc>
      </w:tr>
      <w:tr w:rsidR="00401703" w:rsidRPr="00BD468A" w14:paraId="38D89CA3" w14:textId="77777777" w:rsidTr="002D6DD7">
        <w:tc>
          <w:tcPr>
            <w:tcW w:w="2695" w:type="dxa"/>
          </w:tcPr>
          <w:p w14:paraId="0F33238A" w14:textId="77777777" w:rsidR="00401703" w:rsidRPr="00BD468A" w:rsidRDefault="00401703" w:rsidP="002D6DD7">
            <w:pPr>
              <w:jc w:val="both"/>
              <w:rPr>
                <w:rFonts w:cs="Times New Roman"/>
                <w:color w:val="000000" w:themeColor="text1"/>
                <w:szCs w:val="24"/>
              </w:rPr>
            </w:pPr>
            <w:r w:rsidRPr="00BD468A">
              <w:rPr>
                <w:rFonts w:cs="Times New Roman"/>
                <w:szCs w:val="24"/>
              </w:rPr>
              <w:t>Side effects</w:t>
            </w:r>
          </w:p>
        </w:tc>
        <w:tc>
          <w:tcPr>
            <w:tcW w:w="6660" w:type="dxa"/>
          </w:tcPr>
          <w:p w14:paraId="37E7208D" w14:textId="77777777" w:rsidR="00401703" w:rsidRPr="00BD468A" w:rsidRDefault="00401703" w:rsidP="002D6DD7">
            <w:pPr>
              <w:jc w:val="both"/>
              <w:rPr>
                <w:rFonts w:cs="Times New Roman"/>
                <w:szCs w:val="24"/>
              </w:rPr>
            </w:pPr>
            <w:r w:rsidRPr="00BD468A">
              <w:rPr>
                <w:rFonts w:cs="Times New Roman"/>
                <w:szCs w:val="24"/>
              </w:rPr>
              <w:t>Insomnia, nausea, headache, diarrhea, dry mouth anorexia, anxiety, nervousness, drowsiness, fatigue, sweating, tremor, Sexual dysfunction, hyperglycemia, Seizures, manic episodes, hyponatremia, allergic reactions, QT prolongation.</w:t>
            </w:r>
          </w:p>
        </w:tc>
      </w:tr>
      <w:tr w:rsidR="00401703" w:rsidRPr="00BD468A" w14:paraId="7EFF572B" w14:textId="77777777" w:rsidTr="002D6DD7">
        <w:tc>
          <w:tcPr>
            <w:tcW w:w="2695" w:type="dxa"/>
          </w:tcPr>
          <w:p w14:paraId="68FDE3C4" w14:textId="77777777" w:rsidR="00401703" w:rsidRPr="00BD468A" w:rsidRDefault="00401703" w:rsidP="002D6DD7">
            <w:pPr>
              <w:jc w:val="both"/>
              <w:rPr>
                <w:rFonts w:cs="Times New Roman"/>
                <w:color w:val="000000" w:themeColor="text1"/>
                <w:szCs w:val="24"/>
              </w:rPr>
            </w:pPr>
            <w:r w:rsidRPr="00BD468A">
              <w:rPr>
                <w:rFonts w:cs="Times New Roman"/>
                <w:szCs w:val="24"/>
              </w:rPr>
              <w:t>Cautions</w:t>
            </w:r>
          </w:p>
        </w:tc>
        <w:tc>
          <w:tcPr>
            <w:tcW w:w="6660" w:type="dxa"/>
          </w:tcPr>
          <w:p w14:paraId="6F17CC23" w14:textId="77777777" w:rsidR="00401703" w:rsidRPr="00BD468A" w:rsidRDefault="00401703" w:rsidP="002D6DD7">
            <w:pPr>
              <w:jc w:val="both"/>
              <w:rPr>
                <w:rFonts w:cs="Times New Roman"/>
                <w:szCs w:val="24"/>
              </w:rPr>
            </w:pPr>
            <w:r>
              <w:rPr>
                <w:rFonts w:cs="Times New Roman"/>
                <w:szCs w:val="24"/>
              </w:rPr>
              <w:t>H</w:t>
            </w:r>
            <w:r w:rsidRPr="00BD468A">
              <w:rPr>
                <w:rFonts w:cs="Times New Roman"/>
                <w:szCs w:val="24"/>
              </w:rPr>
              <w:t>istory of seizures, mania/hypomania, liver impairment, diabetes, narrow-angle glaucoma</w:t>
            </w:r>
            <w:r>
              <w:rPr>
                <w:rFonts w:cs="Times New Roman"/>
                <w:szCs w:val="24"/>
              </w:rPr>
              <w:t xml:space="preserve">, </w:t>
            </w:r>
            <w:r w:rsidRPr="00BD468A">
              <w:rPr>
                <w:rFonts w:cs="Times New Roman"/>
                <w:szCs w:val="24"/>
              </w:rPr>
              <w:t>suicidal</w:t>
            </w:r>
            <w:r>
              <w:rPr>
                <w:rFonts w:cs="Times New Roman"/>
                <w:szCs w:val="24"/>
              </w:rPr>
              <w:t xml:space="preserve"> attempts, p</w:t>
            </w:r>
            <w:r w:rsidRPr="00BD468A">
              <w:rPr>
                <w:rFonts w:cs="Times New Roman"/>
                <w:szCs w:val="24"/>
              </w:rPr>
              <w:t xml:space="preserve">regnancy, </w:t>
            </w:r>
            <w:r>
              <w:rPr>
                <w:rFonts w:cs="Times New Roman"/>
                <w:szCs w:val="24"/>
              </w:rPr>
              <w:t>b</w:t>
            </w:r>
            <w:r w:rsidRPr="00BD468A">
              <w:rPr>
                <w:rFonts w:cs="Times New Roman"/>
                <w:szCs w:val="24"/>
              </w:rPr>
              <w:t>reastfeeding.</w:t>
            </w:r>
          </w:p>
        </w:tc>
      </w:tr>
      <w:tr w:rsidR="00401703" w:rsidRPr="00BD468A" w14:paraId="0D4439D1" w14:textId="77777777" w:rsidTr="002D6DD7">
        <w:tc>
          <w:tcPr>
            <w:tcW w:w="2695" w:type="dxa"/>
          </w:tcPr>
          <w:p w14:paraId="24C00196"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w:t>
            </w:r>
          </w:p>
        </w:tc>
        <w:tc>
          <w:tcPr>
            <w:tcW w:w="6660" w:type="dxa"/>
          </w:tcPr>
          <w:p w14:paraId="75099FCC" w14:textId="77777777" w:rsidR="00401703" w:rsidRPr="00BD468A" w:rsidRDefault="00401703" w:rsidP="002D6DD7">
            <w:pPr>
              <w:jc w:val="both"/>
              <w:rPr>
                <w:rFonts w:cs="Times New Roman"/>
                <w:color w:val="000000" w:themeColor="text1"/>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bookmarkEnd w:id="79"/>
      <w:tr w:rsidR="00401703" w:rsidRPr="00BD468A" w14:paraId="5335CAD0" w14:textId="77777777" w:rsidTr="002D6DD7">
        <w:tc>
          <w:tcPr>
            <w:tcW w:w="9355" w:type="dxa"/>
            <w:gridSpan w:val="2"/>
            <w:tcBorders>
              <w:top w:val="single" w:sz="4" w:space="0" w:color="auto"/>
            </w:tcBorders>
          </w:tcPr>
          <w:p w14:paraId="0D6ABF33" w14:textId="77777777" w:rsidR="00401703" w:rsidRPr="00BD468A" w:rsidRDefault="00401703" w:rsidP="002D6DD7">
            <w:pPr>
              <w:jc w:val="both"/>
              <w:rPr>
                <w:rFonts w:cs="Times New Roman"/>
                <w:b/>
                <w:bCs/>
                <w:color w:val="000000" w:themeColor="text1"/>
                <w:szCs w:val="24"/>
              </w:rPr>
            </w:pPr>
            <w:r w:rsidRPr="00BD468A">
              <w:rPr>
                <w:rFonts w:cs="Times New Roman"/>
                <w:b/>
                <w:bCs/>
                <w:szCs w:val="24"/>
              </w:rPr>
              <w:t>Imipramine</w:t>
            </w:r>
          </w:p>
        </w:tc>
      </w:tr>
      <w:tr w:rsidR="00401703" w:rsidRPr="00BD468A" w14:paraId="560BC567" w14:textId="77777777" w:rsidTr="002D6DD7">
        <w:tc>
          <w:tcPr>
            <w:tcW w:w="2695" w:type="dxa"/>
          </w:tcPr>
          <w:p w14:paraId="51B26BBF"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44DC6497" w14:textId="77777777" w:rsidR="00401703" w:rsidRPr="00BD468A" w:rsidRDefault="00401703" w:rsidP="002D6DD7">
            <w:pPr>
              <w:jc w:val="both"/>
              <w:rPr>
                <w:rFonts w:cs="Times New Roman"/>
                <w:szCs w:val="24"/>
              </w:rPr>
            </w:pPr>
            <w:r w:rsidRPr="00BD468A">
              <w:rPr>
                <w:rFonts w:cs="Times New Roman"/>
                <w:szCs w:val="24"/>
              </w:rPr>
              <w:t>Tricyclic antidepressant (TCA)</w:t>
            </w:r>
          </w:p>
        </w:tc>
      </w:tr>
      <w:tr w:rsidR="00401703" w:rsidRPr="00BD468A" w14:paraId="59A27BEF" w14:textId="77777777" w:rsidTr="002D6DD7">
        <w:tc>
          <w:tcPr>
            <w:tcW w:w="2695" w:type="dxa"/>
          </w:tcPr>
          <w:p w14:paraId="1CA0E460"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6365F630" w14:textId="77777777" w:rsidR="00401703" w:rsidRPr="00BD468A" w:rsidRDefault="00401703" w:rsidP="002D6DD7">
            <w:pPr>
              <w:jc w:val="both"/>
              <w:rPr>
                <w:rFonts w:cs="Times New Roman"/>
                <w:szCs w:val="24"/>
              </w:rPr>
            </w:pPr>
            <w:r>
              <w:rPr>
                <w:rFonts w:cs="Times New Roman"/>
                <w:szCs w:val="24"/>
              </w:rPr>
              <w:t xml:space="preserve">Tablet: </w:t>
            </w:r>
            <w:r w:rsidRPr="00BD468A">
              <w:rPr>
                <w:rFonts w:cs="Times New Roman"/>
                <w:szCs w:val="24"/>
              </w:rPr>
              <w:t>10mg, 25mg</w:t>
            </w:r>
          </w:p>
        </w:tc>
      </w:tr>
      <w:tr w:rsidR="00401703" w:rsidRPr="00BD468A" w14:paraId="4757C47A" w14:textId="77777777" w:rsidTr="002D6DD7">
        <w:tc>
          <w:tcPr>
            <w:tcW w:w="2695" w:type="dxa"/>
          </w:tcPr>
          <w:p w14:paraId="49795A43"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4F889F65" w14:textId="77777777" w:rsidR="00401703" w:rsidRPr="00BD468A" w:rsidRDefault="00401703" w:rsidP="002D6DD7">
            <w:pPr>
              <w:jc w:val="both"/>
              <w:rPr>
                <w:rFonts w:cs="Times New Roman"/>
                <w:szCs w:val="24"/>
              </w:rPr>
            </w:pPr>
            <w:r w:rsidRPr="00BD468A">
              <w:rPr>
                <w:rFonts w:cs="Times New Roman"/>
                <w:szCs w:val="24"/>
              </w:rPr>
              <w:t>Treatment of anxiety disorders, including generalized anxiety disorder (GAD), panic disorder, obsessive-compulsive disorder (OCD)</w:t>
            </w:r>
          </w:p>
        </w:tc>
      </w:tr>
      <w:tr w:rsidR="00401703" w:rsidRPr="00BD468A" w14:paraId="577EEB15" w14:textId="77777777" w:rsidTr="002D6DD7">
        <w:tc>
          <w:tcPr>
            <w:tcW w:w="2695" w:type="dxa"/>
          </w:tcPr>
          <w:p w14:paraId="0D194D8C" w14:textId="77777777" w:rsidR="00401703" w:rsidRPr="00BD468A" w:rsidRDefault="00401703" w:rsidP="002D6DD7">
            <w:pPr>
              <w:rPr>
                <w:rFonts w:cs="Times New Roman"/>
                <w:color w:val="000000" w:themeColor="text1"/>
                <w:szCs w:val="24"/>
              </w:rPr>
            </w:pPr>
            <w:r w:rsidRPr="00BD468A">
              <w:rPr>
                <w:rFonts w:cs="Times New Roman"/>
                <w:szCs w:val="24"/>
              </w:rPr>
              <w:t>Dose and Administration</w:t>
            </w:r>
          </w:p>
        </w:tc>
        <w:tc>
          <w:tcPr>
            <w:tcW w:w="6660" w:type="dxa"/>
          </w:tcPr>
          <w:p w14:paraId="1EC0A371" w14:textId="77777777" w:rsidR="00401703" w:rsidRPr="0052456B" w:rsidRDefault="00401703" w:rsidP="002D6DD7">
            <w:pPr>
              <w:jc w:val="both"/>
              <w:rPr>
                <w:rFonts w:cs="Times New Roman"/>
                <w:b/>
                <w:bCs/>
                <w:szCs w:val="24"/>
              </w:rPr>
            </w:pPr>
            <w:r w:rsidRPr="00BD468A">
              <w:rPr>
                <w:rFonts w:cs="Times New Roman"/>
                <w:b/>
                <w:bCs/>
                <w:szCs w:val="24"/>
              </w:rPr>
              <w:t xml:space="preserve">Adult: </w:t>
            </w:r>
            <w:r w:rsidRPr="00BD468A">
              <w:rPr>
                <w:rFonts w:cs="Times New Roman"/>
                <w:szCs w:val="24"/>
              </w:rPr>
              <w:t xml:space="preserve">Initial dose 25-50 mg 3 times daily, may increase gradually up to 300 mg/day in divided doses. </w:t>
            </w:r>
          </w:p>
          <w:p w14:paraId="5F4AE6A3" w14:textId="77777777" w:rsidR="00401703" w:rsidRPr="0052456B" w:rsidRDefault="00401703" w:rsidP="002D6DD7">
            <w:pPr>
              <w:jc w:val="both"/>
              <w:rPr>
                <w:rFonts w:cs="Times New Roman"/>
                <w:b/>
                <w:bCs/>
                <w:szCs w:val="24"/>
              </w:rPr>
            </w:pPr>
            <w:r w:rsidRPr="00BD468A">
              <w:rPr>
                <w:rFonts w:cs="Times New Roman"/>
                <w:b/>
                <w:bCs/>
                <w:szCs w:val="24"/>
              </w:rPr>
              <w:t xml:space="preserve">Elderly: </w:t>
            </w:r>
            <w:r w:rsidRPr="00BD468A">
              <w:rPr>
                <w:rFonts w:cs="Times New Roman"/>
                <w:szCs w:val="24"/>
              </w:rPr>
              <w:t>Start with lower doses (10-25 mg 3 times daily) and titrate cautiously.</w:t>
            </w:r>
          </w:p>
        </w:tc>
      </w:tr>
      <w:tr w:rsidR="00401703" w:rsidRPr="00BD468A" w14:paraId="2E48707D" w14:textId="77777777" w:rsidTr="002D6DD7">
        <w:tc>
          <w:tcPr>
            <w:tcW w:w="2695" w:type="dxa"/>
          </w:tcPr>
          <w:p w14:paraId="3B0D65BD" w14:textId="77777777" w:rsidR="00401703" w:rsidRPr="00BD468A" w:rsidRDefault="00401703" w:rsidP="002D6DD7">
            <w:pPr>
              <w:jc w:val="both"/>
              <w:rPr>
                <w:rFonts w:cs="Times New Roman"/>
                <w:color w:val="000000" w:themeColor="text1"/>
                <w:szCs w:val="24"/>
              </w:rPr>
            </w:pPr>
            <w:r w:rsidRPr="00BD468A">
              <w:rPr>
                <w:rFonts w:cs="Times New Roman"/>
                <w:szCs w:val="24"/>
              </w:rPr>
              <w:t>Contraindications</w:t>
            </w:r>
          </w:p>
        </w:tc>
        <w:tc>
          <w:tcPr>
            <w:tcW w:w="6660" w:type="dxa"/>
          </w:tcPr>
          <w:p w14:paraId="0C04C6B9" w14:textId="77777777" w:rsidR="00401703" w:rsidRPr="00BD468A" w:rsidRDefault="00401703" w:rsidP="002D6DD7">
            <w:pPr>
              <w:jc w:val="both"/>
              <w:rPr>
                <w:rFonts w:cs="Times New Roman"/>
                <w:color w:val="000000" w:themeColor="text1"/>
                <w:szCs w:val="24"/>
              </w:rPr>
            </w:pPr>
            <w:r w:rsidRPr="00BD468A">
              <w:rPr>
                <w:rFonts w:cs="Times New Roman"/>
                <w:szCs w:val="24"/>
              </w:rPr>
              <w:t xml:space="preserve">Hypersensitivity to </w:t>
            </w:r>
            <w:r>
              <w:rPr>
                <w:rFonts w:cs="Times New Roman"/>
                <w:szCs w:val="24"/>
              </w:rPr>
              <w:t>the drug</w:t>
            </w:r>
            <w:r w:rsidRPr="00BD468A">
              <w:rPr>
                <w:rFonts w:cs="Times New Roman"/>
                <w:szCs w:val="24"/>
              </w:rPr>
              <w:t xml:space="preserve"> or other TCAs, </w:t>
            </w:r>
            <w:r>
              <w:rPr>
                <w:rFonts w:cs="Times New Roman"/>
                <w:szCs w:val="24"/>
              </w:rPr>
              <w:t>r</w:t>
            </w:r>
            <w:r w:rsidRPr="00BD468A">
              <w:rPr>
                <w:rFonts w:cs="Times New Roman"/>
                <w:szCs w:val="24"/>
              </w:rPr>
              <w:t xml:space="preserve">ecent myocardial infarction, </w:t>
            </w:r>
            <w:r>
              <w:rPr>
                <w:rFonts w:cs="Times New Roman"/>
                <w:szCs w:val="24"/>
              </w:rPr>
              <w:t>s</w:t>
            </w:r>
            <w:r w:rsidRPr="00BD468A">
              <w:rPr>
                <w:rFonts w:cs="Times New Roman"/>
                <w:szCs w:val="24"/>
              </w:rPr>
              <w:t>evere liver disease</w:t>
            </w:r>
          </w:p>
        </w:tc>
      </w:tr>
      <w:tr w:rsidR="00401703" w:rsidRPr="00BD468A" w14:paraId="766BE405" w14:textId="77777777" w:rsidTr="002D6DD7">
        <w:tc>
          <w:tcPr>
            <w:tcW w:w="2695" w:type="dxa"/>
          </w:tcPr>
          <w:p w14:paraId="2C10379D"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05325177" w14:textId="77777777" w:rsidR="00401703" w:rsidRPr="00BD468A" w:rsidRDefault="00401703" w:rsidP="002D6DD7">
            <w:pPr>
              <w:jc w:val="both"/>
              <w:rPr>
                <w:rFonts w:cs="Times New Roman"/>
                <w:szCs w:val="24"/>
              </w:rPr>
            </w:pPr>
            <w:r w:rsidRPr="00BD468A">
              <w:rPr>
                <w:rFonts w:cs="Times New Roman"/>
                <w:szCs w:val="24"/>
              </w:rPr>
              <w:t xml:space="preserve">MAOIs, serotonergic drugs (SSRIs, SNRIs, triptans, etc.), </w:t>
            </w:r>
            <w:r>
              <w:rPr>
                <w:rFonts w:cs="Times New Roman"/>
                <w:szCs w:val="24"/>
              </w:rPr>
              <w:t>a</w:t>
            </w:r>
            <w:r w:rsidRPr="00BD468A">
              <w:rPr>
                <w:rFonts w:cs="Times New Roman"/>
                <w:szCs w:val="24"/>
              </w:rPr>
              <w:t xml:space="preserve">lcohol, barbiturates, and other CNS depressants, </w:t>
            </w:r>
            <w:r>
              <w:rPr>
                <w:rFonts w:cs="Times New Roman"/>
                <w:szCs w:val="24"/>
              </w:rPr>
              <w:t>d</w:t>
            </w:r>
            <w:r w:rsidRPr="00BD468A">
              <w:rPr>
                <w:rFonts w:cs="Times New Roman"/>
                <w:szCs w:val="24"/>
              </w:rPr>
              <w:t xml:space="preserve">rugs that prolong QT interval, </w:t>
            </w:r>
            <w:r>
              <w:rPr>
                <w:rFonts w:cs="Times New Roman"/>
                <w:szCs w:val="24"/>
              </w:rPr>
              <w:t>a</w:t>
            </w:r>
            <w:r w:rsidRPr="00BD468A">
              <w:rPr>
                <w:rFonts w:cs="Times New Roman"/>
                <w:szCs w:val="24"/>
              </w:rPr>
              <w:t>nticholinergic</w:t>
            </w:r>
            <w:r>
              <w:rPr>
                <w:rFonts w:cs="Times New Roman"/>
                <w:szCs w:val="24"/>
              </w:rPr>
              <w:t>s</w:t>
            </w:r>
          </w:p>
        </w:tc>
      </w:tr>
      <w:tr w:rsidR="00401703" w:rsidRPr="00BD468A" w14:paraId="74194005" w14:textId="77777777" w:rsidTr="002D6DD7">
        <w:tc>
          <w:tcPr>
            <w:tcW w:w="2695" w:type="dxa"/>
          </w:tcPr>
          <w:p w14:paraId="241790F3" w14:textId="77777777" w:rsidR="00401703" w:rsidRPr="00BD468A" w:rsidRDefault="00401703" w:rsidP="002D6DD7">
            <w:pPr>
              <w:jc w:val="both"/>
              <w:rPr>
                <w:rFonts w:cs="Times New Roman"/>
                <w:color w:val="000000" w:themeColor="text1"/>
                <w:szCs w:val="24"/>
              </w:rPr>
            </w:pPr>
            <w:r w:rsidRPr="00BD468A">
              <w:rPr>
                <w:rFonts w:cs="Times New Roman"/>
                <w:szCs w:val="24"/>
              </w:rPr>
              <w:lastRenderedPageBreak/>
              <w:t>Side Effects</w:t>
            </w:r>
          </w:p>
        </w:tc>
        <w:tc>
          <w:tcPr>
            <w:tcW w:w="6660" w:type="dxa"/>
          </w:tcPr>
          <w:p w14:paraId="37207AF1" w14:textId="77777777" w:rsidR="00401703" w:rsidRPr="00BD468A" w:rsidRDefault="00401703" w:rsidP="002D6DD7">
            <w:pPr>
              <w:jc w:val="both"/>
              <w:rPr>
                <w:rFonts w:cs="Times New Roman"/>
                <w:szCs w:val="24"/>
              </w:rPr>
            </w:pPr>
            <w:r w:rsidRPr="00BD468A">
              <w:rPr>
                <w:rFonts w:cs="Times New Roman"/>
                <w:szCs w:val="24"/>
              </w:rPr>
              <w:t>Dry mouth, constipation, urinary retention, blurred vision, drowsiness, dizziness, tremor, arrhythmias, orthostatic hypotension, seizure</w:t>
            </w:r>
          </w:p>
        </w:tc>
      </w:tr>
      <w:tr w:rsidR="00401703" w:rsidRPr="00BD468A" w14:paraId="6D2D8113" w14:textId="77777777" w:rsidTr="002D6DD7">
        <w:tc>
          <w:tcPr>
            <w:tcW w:w="2695" w:type="dxa"/>
          </w:tcPr>
          <w:p w14:paraId="07BA032B" w14:textId="77777777" w:rsidR="00401703" w:rsidRPr="00BD468A" w:rsidRDefault="00401703" w:rsidP="002D6DD7">
            <w:pPr>
              <w:jc w:val="both"/>
              <w:rPr>
                <w:rFonts w:cs="Times New Roman"/>
                <w:color w:val="000000" w:themeColor="text1"/>
                <w:szCs w:val="24"/>
              </w:rPr>
            </w:pPr>
            <w:r w:rsidRPr="00BD468A">
              <w:rPr>
                <w:rFonts w:cs="Times New Roman"/>
                <w:szCs w:val="24"/>
              </w:rPr>
              <w:t>Cautions</w:t>
            </w:r>
          </w:p>
        </w:tc>
        <w:tc>
          <w:tcPr>
            <w:tcW w:w="6660" w:type="dxa"/>
          </w:tcPr>
          <w:p w14:paraId="06184C23" w14:textId="77777777" w:rsidR="00401703" w:rsidRPr="00BD468A" w:rsidRDefault="00401703" w:rsidP="002D6DD7">
            <w:pPr>
              <w:jc w:val="both"/>
              <w:rPr>
                <w:rFonts w:cs="Times New Roman"/>
                <w:color w:val="000000" w:themeColor="text1"/>
                <w:szCs w:val="24"/>
              </w:rPr>
            </w:pPr>
            <w:r w:rsidRPr="00BD468A">
              <w:rPr>
                <w:rFonts w:cs="Times New Roman"/>
                <w:szCs w:val="24"/>
              </w:rPr>
              <w:t>Cardiovascular disease, bipolar disorder</w:t>
            </w:r>
            <w:r>
              <w:rPr>
                <w:rFonts w:cs="Times New Roman"/>
                <w:szCs w:val="24"/>
              </w:rPr>
              <w:t>, s</w:t>
            </w:r>
            <w:r w:rsidRPr="00BD468A">
              <w:rPr>
                <w:rFonts w:cs="Times New Roman"/>
                <w:szCs w:val="24"/>
              </w:rPr>
              <w:t>eizure disorder, angle-closure glaucoma, prostatic hypertrophy, pregnancy</w:t>
            </w:r>
            <w:r>
              <w:rPr>
                <w:rFonts w:cs="Times New Roman"/>
                <w:szCs w:val="24"/>
              </w:rPr>
              <w:t xml:space="preserve">, </w:t>
            </w:r>
            <w:r w:rsidRPr="00BD468A">
              <w:rPr>
                <w:rFonts w:cs="Times New Roman"/>
                <w:szCs w:val="24"/>
              </w:rPr>
              <w:t>breastfeeding</w:t>
            </w:r>
          </w:p>
        </w:tc>
      </w:tr>
      <w:tr w:rsidR="00401703" w:rsidRPr="00BD468A" w14:paraId="4C6256F1" w14:textId="77777777" w:rsidTr="002D6DD7">
        <w:tc>
          <w:tcPr>
            <w:tcW w:w="2695" w:type="dxa"/>
          </w:tcPr>
          <w:p w14:paraId="05BDB61C"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Conditions</w:t>
            </w:r>
          </w:p>
        </w:tc>
        <w:tc>
          <w:tcPr>
            <w:tcW w:w="6660" w:type="dxa"/>
          </w:tcPr>
          <w:p w14:paraId="59FFFB8E" w14:textId="77777777" w:rsidR="00401703" w:rsidRPr="00BD468A" w:rsidRDefault="00401703" w:rsidP="002D6DD7">
            <w:pPr>
              <w:jc w:val="both"/>
              <w:rPr>
                <w:rFonts w:cs="Times New Roman"/>
                <w:color w:val="000000" w:themeColor="text1"/>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tr w:rsidR="00401703" w:rsidRPr="00BD468A" w14:paraId="00A727F3" w14:textId="77777777" w:rsidTr="002D6DD7">
        <w:tc>
          <w:tcPr>
            <w:tcW w:w="9355" w:type="dxa"/>
            <w:gridSpan w:val="2"/>
          </w:tcPr>
          <w:p w14:paraId="73AE4C04" w14:textId="77777777" w:rsidR="00401703" w:rsidRPr="00BD468A" w:rsidRDefault="00401703" w:rsidP="002D6DD7">
            <w:pPr>
              <w:jc w:val="both"/>
              <w:rPr>
                <w:rFonts w:cs="Times New Roman"/>
                <w:b/>
                <w:bCs/>
                <w:color w:val="000000" w:themeColor="text1"/>
                <w:szCs w:val="24"/>
              </w:rPr>
            </w:pPr>
            <w:r w:rsidRPr="00BD468A">
              <w:rPr>
                <w:rFonts w:cs="Times New Roman"/>
                <w:b/>
                <w:bCs/>
                <w:szCs w:val="24"/>
              </w:rPr>
              <w:t>Lorazepam</w:t>
            </w:r>
          </w:p>
        </w:tc>
      </w:tr>
      <w:tr w:rsidR="00401703" w:rsidRPr="00BD468A" w14:paraId="39473E47" w14:textId="77777777" w:rsidTr="002D6DD7">
        <w:tc>
          <w:tcPr>
            <w:tcW w:w="2695" w:type="dxa"/>
          </w:tcPr>
          <w:p w14:paraId="27B4375F"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47BD03CA" w14:textId="77777777" w:rsidR="00401703" w:rsidRPr="00BD468A" w:rsidRDefault="00401703" w:rsidP="002D6DD7">
            <w:pPr>
              <w:jc w:val="both"/>
              <w:rPr>
                <w:rFonts w:cs="Times New Roman"/>
                <w:color w:val="000000" w:themeColor="text1"/>
                <w:szCs w:val="24"/>
              </w:rPr>
            </w:pPr>
            <w:r w:rsidRPr="00BD468A">
              <w:rPr>
                <w:rFonts w:cs="Times New Roman"/>
                <w:szCs w:val="24"/>
              </w:rPr>
              <w:t>Benzodiazepine</w:t>
            </w:r>
          </w:p>
        </w:tc>
      </w:tr>
      <w:tr w:rsidR="00401703" w:rsidRPr="00BD468A" w14:paraId="501BFA5F" w14:textId="77777777" w:rsidTr="002D6DD7">
        <w:tc>
          <w:tcPr>
            <w:tcW w:w="2695" w:type="dxa"/>
          </w:tcPr>
          <w:p w14:paraId="7D2CFC83"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41E01BCF" w14:textId="77777777" w:rsidR="00401703" w:rsidRDefault="00401703" w:rsidP="002D6DD7">
            <w:pPr>
              <w:jc w:val="both"/>
              <w:rPr>
                <w:rFonts w:cs="Times New Roman"/>
                <w:szCs w:val="24"/>
              </w:rPr>
            </w:pPr>
            <w:r w:rsidRPr="00BD468A">
              <w:rPr>
                <w:rFonts w:cs="Times New Roman"/>
                <w:szCs w:val="24"/>
              </w:rPr>
              <w:t xml:space="preserve">Tablet: 0.5mg, 1 mg </w:t>
            </w:r>
          </w:p>
          <w:p w14:paraId="4D97B588" w14:textId="77777777" w:rsidR="00401703" w:rsidRPr="00BD468A" w:rsidRDefault="00401703" w:rsidP="002D6DD7">
            <w:pPr>
              <w:jc w:val="both"/>
              <w:rPr>
                <w:rFonts w:cs="Times New Roman"/>
                <w:color w:val="000000" w:themeColor="text1"/>
                <w:szCs w:val="24"/>
              </w:rPr>
            </w:pPr>
            <w:r w:rsidRPr="00BD468A">
              <w:rPr>
                <w:rFonts w:cs="Times New Roman"/>
                <w:szCs w:val="24"/>
              </w:rPr>
              <w:t>Injection: 1mg/ml, 4mg/ml</w:t>
            </w:r>
          </w:p>
        </w:tc>
      </w:tr>
      <w:tr w:rsidR="00401703" w:rsidRPr="00BD468A" w14:paraId="4D438BC3" w14:textId="77777777" w:rsidTr="002D6DD7">
        <w:tc>
          <w:tcPr>
            <w:tcW w:w="2695" w:type="dxa"/>
          </w:tcPr>
          <w:p w14:paraId="5C60F1CA"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0E28C613" w14:textId="77777777" w:rsidR="00401703" w:rsidRPr="00BD468A" w:rsidRDefault="00401703" w:rsidP="002D6DD7">
            <w:pPr>
              <w:jc w:val="both"/>
              <w:rPr>
                <w:rFonts w:cs="Times New Roman"/>
                <w:color w:val="000000" w:themeColor="text1"/>
                <w:szCs w:val="24"/>
              </w:rPr>
            </w:pPr>
            <w:r w:rsidRPr="00BD468A">
              <w:rPr>
                <w:rFonts w:cs="Times New Roman"/>
                <w:szCs w:val="24"/>
              </w:rPr>
              <w:t>Conscious sedation for procedures</w:t>
            </w:r>
            <w:r>
              <w:rPr>
                <w:rFonts w:cs="Times New Roman"/>
                <w:szCs w:val="24"/>
              </w:rPr>
              <w:t>,</w:t>
            </w:r>
            <w:r w:rsidRPr="00BD468A">
              <w:rPr>
                <w:rFonts w:cs="Times New Roman"/>
                <w:szCs w:val="24"/>
              </w:rPr>
              <w:t xml:space="preserve"> short-term use in anxiety or insomnia</w:t>
            </w:r>
            <w:r>
              <w:rPr>
                <w:rFonts w:cs="Times New Roman"/>
                <w:szCs w:val="24"/>
              </w:rPr>
              <w:t xml:space="preserve">, </w:t>
            </w:r>
            <w:r w:rsidRPr="00BD468A">
              <w:rPr>
                <w:rFonts w:cs="Times New Roman"/>
                <w:szCs w:val="24"/>
              </w:rPr>
              <w:t>status epilepticus, perioperative febrile convulsions.</w:t>
            </w:r>
          </w:p>
        </w:tc>
      </w:tr>
      <w:tr w:rsidR="00401703" w:rsidRPr="00BD468A" w14:paraId="313B2649" w14:textId="77777777" w:rsidTr="002D6DD7">
        <w:tc>
          <w:tcPr>
            <w:tcW w:w="2695" w:type="dxa"/>
          </w:tcPr>
          <w:p w14:paraId="33558EE8" w14:textId="77777777" w:rsidR="00401703" w:rsidRPr="00BD468A" w:rsidRDefault="00401703" w:rsidP="002D6DD7">
            <w:pPr>
              <w:jc w:val="both"/>
              <w:rPr>
                <w:rFonts w:cs="Times New Roman"/>
                <w:color w:val="000000" w:themeColor="text1"/>
                <w:szCs w:val="24"/>
              </w:rPr>
            </w:pPr>
            <w:r w:rsidRPr="00BD468A">
              <w:rPr>
                <w:rFonts w:cs="Times New Roman"/>
                <w:szCs w:val="24"/>
              </w:rPr>
              <w:t>Dose and Administration</w:t>
            </w:r>
          </w:p>
        </w:tc>
        <w:tc>
          <w:tcPr>
            <w:tcW w:w="6660" w:type="dxa"/>
          </w:tcPr>
          <w:p w14:paraId="745836AA" w14:textId="77777777" w:rsidR="00401703" w:rsidRDefault="00401703" w:rsidP="002D6DD7">
            <w:pPr>
              <w:jc w:val="both"/>
              <w:rPr>
                <w:rFonts w:cs="Times New Roman"/>
                <w:b/>
                <w:bCs/>
                <w:szCs w:val="24"/>
              </w:rPr>
            </w:pPr>
            <w:r>
              <w:rPr>
                <w:rFonts w:cs="Times New Roman"/>
                <w:b/>
                <w:bCs/>
                <w:szCs w:val="24"/>
              </w:rPr>
              <w:t xml:space="preserve">Anxiety, </w:t>
            </w:r>
            <w:r w:rsidR="00AE608A" w:rsidRPr="00AE608A">
              <w:rPr>
                <w:rFonts w:cs="Times New Roman"/>
                <w:bCs/>
                <w:szCs w:val="24"/>
              </w:rPr>
              <w:t>o</w:t>
            </w:r>
            <w:r w:rsidRPr="00AE608A">
              <w:rPr>
                <w:rFonts w:cs="Times New Roman"/>
                <w:bCs/>
                <w:szCs w:val="24"/>
              </w:rPr>
              <w:t>ral</w:t>
            </w:r>
            <w:r>
              <w:rPr>
                <w:rFonts w:cs="Times New Roman"/>
                <w:b/>
                <w:bCs/>
                <w:szCs w:val="24"/>
              </w:rPr>
              <w:t>:</w:t>
            </w:r>
          </w:p>
          <w:p w14:paraId="77361689" w14:textId="77777777" w:rsidR="00401703" w:rsidRPr="00BD468A" w:rsidRDefault="00401703" w:rsidP="002D6DD7">
            <w:pPr>
              <w:jc w:val="both"/>
              <w:rPr>
                <w:rFonts w:cs="Times New Roman"/>
                <w:szCs w:val="24"/>
              </w:rPr>
            </w:pPr>
            <w:r w:rsidRPr="00BD468A">
              <w:rPr>
                <w:rFonts w:cs="Times New Roman"/>
                <w:b/>
                <w:bCs/>
                <w:szCs w:val="24"/>
              </w:rPr>
              <w:t>Adult</w:t>
            </w:r>
            <w:r>
              <w:rPr>
                <w:rFonts w:cs="Times New Roman"/>
                <w:b/>
                <w:bCs/>
                <w:szCs w:val="24"/>
              </w:rPr>
              <w:t xml:space="preserve">: </w:t>
            </w:r>
            <w:r w:rsidRPr="00BD468A">
              <w:rPr>
                <w:rFonts w:cs="Times New Roman"/>
                <w:szCs w:val="24"/>
              </w:rPr>
              <w:t xml:space="preserve">1–4 mg daily in divided doses. </w:t>
            </w:r>
          </w:p>
          <w:p w14:paraId="710B6C7E" w14:textId="77777777" w:rsidR="00401703" w:rsidRDefault="00401703" w:rsidP="002D6DD7">
            <w:pPr>
              <w:jc w:val="both"/>
              <w:rPr>
                <w:rFonts w:cs="Times New Roman"/>
                <w:szCs w:val="24"/>
              </w:rPr>
            </w:pPr>
            <w:r w:rsidRPr="00BD468A">
              <w:rPr>
                <w:rFonts w:cs="Times New Roman"/>
                <w:b/>
                <w:bCs/>
                <w:szCs w:val="24"/>
              </w:rPr>
              <w:t>Insomnia associated with anxiety</w:t>
            </w:r>
            <w:r>
              <w:rPr>
                <w:rFonts w:cs="Times New Roman"/>
                <w:b/>
                <w:bCs/>
                <w:szCs w:val="24"/>
              </w:rPr>
              <w:t>, O</w:t>
            </w:r>
            <w:r w:rsidRPr="00BD468A">
              <w:rPr>
                <w:rFonts w:cs="Times New Roman"/>
                <w:b/>
                <w:bCs/>
                <w:szCs w:val="24"/>
              </w:rPr>
              <w:t>ral</w:t>
            </w:r>
            <w:r w:rsidRPr="00BD468A">
              <w:rPr>
                <w:rFonts w:cs="Times New Roman"/>
                <w:szCs w:val="24"/>
              </w:rPr>
              <w:t>:</w:t>
            </w:r>
          </w:p>
          <w:p w14:paraId="5E4E1F2C" w14:textId="77777777" w:rsidR="00401703" w:rsidRPr="00BD468A" w:rsidRDefault="00401703" w:rsidP="002D6DD7">
            <w:pPr>
              <w:jc w:val="both"/>
              <w:rPr>
                <w:rFonts w:cs="Times New Roman"/>
                <w:szCs w:val="24"/>
              </w:rPr>
            </w:pPr>
            <w:r w:rsidRPr="002B49EB">
              <w:rPr>
                <w:rFonts w:cs="Times New Roman"/>
                <w:b/>
                <w:bCs/>
                <w:szCs w:val="24"/>
              </w:rPr>
              <w:t>Adult:</w:t>
            </w:r>
            <w:r>
              <w:rPr>
                <w:rFonts w:cs="Times New Roman"/>
                <w:szCs w:val="24"/>
              </w:rPr>
              <w:t xml:space="preserve"> </w:t>
            </w:r>
            <w:r w:rsidRPr="00BD468A">
              <w:rPr>
                <w:rFonts w:cs="Times New Roman"/>
                <w:szCs w:val="24"/>
              </w:rPr>
              <w:t>1–2 mg at bedtime.</w:t>
            </w:r>
          </w:p>
          <w:p w14:paraId="760ECF7F" w14:textId="77777777" w:rsidR="00401703" w:rsidRPr="000D3B14" w:rsidRDefault="00401703" w:rsidP="002D6DD7">
            <w:pPr>
              <w:jc w:val="both"/>
              <w:rPr>
                <w:rFonts w:cs="Times New Roman"/>
                <w:szCs w:val="24"/>
              </w:rPr>
            </w:pPr>
            <w:r>
              <w:rPr>
                <w:rFonts w:cs="Times New Roman"/>
                <w:b/>
                <w:bCs/>
                <w:szCs w:val="24"/>
              </w:rPr>
              <w:t>A</w:t>
            </w:r>
            <w:r w:rsidRPr="00BD468A">
              <w:rPr>
                <w:rFonts w:cs="Times New Roman"/>
                <w:b/>
                <w:bCs/>
                <w:szCs w:val="24"/>
              </w:rPr>
              <w:t>cute panic attacks</w:t>
            </w:r>
            <w:r>
              <w:rPr>
                <w:rFonts w:cs="Times New Roman"/>
                <w:b/>
                <w:bCs/>
                <w:szCs w:val="24"/>
              </w:rPr>
              <w:t xml:space="preserve">, </w:t>
            </w:r>
            <w:r w:rsidRPr="00AE608A">
              <w:rPr>
                <w:rFonts w:cs="Times New Roman"/>
                <w:bCs/>
                <w:szCs w:val="24"/>
              </w:rPr>
              <w:t>IM or slow IV injection (into a large vein):</w:t>
            </w:r>
            <w:r w:rsidRPr="00BD468A">
              <w:rPr>
                <w:rFonts w:cs="Times New Roman"/>
                <w:b/>
                <w:bCs/>
                <w:szCs w:val="24"/>
              </w:rPr>
              <w:t xml:space="preserve"> </w:t>
            </w:r>
            <w:r w:rsidRPr="00BD468A">
              <w:rPr>
                <w:rFonts w:cs="Times New Roman"/>
                <w:szCs w:val="24"/>
              </w:rPr>
              <w:t xml:space="preserve">25–30 </w:t>
            </w:r>
            <w:r>
              <w:rPr>
                <w:rFonts w:cs="Times New Roman"/>
                <w:szCs w:val="24"/>
              </w:rPr>
              <w:t>mcg</w:t>
            </w:r>
            <w:r w:rsidRPr="00BD468A">
              <w:rPr>
                <w:rFonts w:cs="Times New Roman"/>
                <w:szCs w:val="24"/>
              </w:rPr>
              <w:t xml:space="preserve">/kg (usual range 1.5–2.5 mg), repeated every 6 hours if necessary. </w:t>
            </w:r>
          </w:p>
        </w:tc>
      </w:tr>
      <w:tr w:rsidR="00401703" w:rsidRPr="00BD468A" w14:paraId="4D2F271A" w14:textId="77777777" w:rsidTr="002D6DD7">
        <w:tc>
          <w:tcPr>
            <w:tcW w:w="2695" w:type="dxa"/>
          </w:tcPr>
          <w:p w14:paraId="45388EC5" w14:textId="77777777" w:rsidR="00401703" w:rsidRPr="00BD468A" w:rsidRDefault="00401703" w:rsidP="002D6DD7">
            <w:pPr>
              <w:jc w:val="both"/>
              <w:rPr>
                <w:rFonts w:cs="Times New Roman"/>
                <w:color w:val="000000" w:themeColor="text1"/>
                <w:szCs w:val="24"/>
              </w:rPr>
            </w:pPr>
            <w:r w:rsidRPr="00BD468A">
              <w:rPr>
                <w:rFonts w:cs="Times New Roman"/>
                <w:szCs w:val="24"/>
              </w:rPr>
              <w:t>Contraindications</w:t>
            </w:r>
          </w:p>
        </w:tc>
        <w:tc>
          <w:tcPr>
            <w:tcW w:w="6660" w:type="dxa"/>
          </w:tcPr>
          <w:p w14:paraId="25C9E3A6" w14:textId="77777777" w:rsidR="00401703" w:rsidRPr="00BD468A" w:rsidRDefault="00401703" w:rsidP="002D6DD7">
            <w:pPr>
              <w:jc w:val="both"/>
              <w:rPr>
                <w:rFonts w:cs="Times New Roman"/>
                <w:szCs w:val="24"/>
              </w:rPr>
            </w:pPr>
            <w:r w:rsidRPr="00BD468A">
              <w:rPr>
                <w:rFonts w:cs="Times New Roman"/>
                <w:szCs w:val="24"/>
              </w:rPr>
              <w:t xml:space="preserve">Hypersensitivity to </w:t>
            </w:r>
            <w:r>
              <w:rPr>
                <w:rFonts w:cs="Times New Roman"/>
                <w:szCs w:val="24"/>
              </w:rPr>
              <w:t>the drug,</w:t>
            </w:r>
            <w:r w:rsidRPr="00BD468A">
              <w:rPr>
                <w:rFonts w:cs="Times New Roman"/>
                <w:szCs w:val="24"/>
              </w:rPr>
              <w:t xml:space="preserve"> acute narrow-angle glaucoma</w:t>
            </w:r>
            <w:r>
              <w:rPr>
                <w:rFonts w:cs="Times New Roman"/>
                <w:szCs w:val="24"/>
              </w:rPr>
              <w:t>,</w:t>
            </w:r>
            <w:r w:rsidRPr="00BD468A">
              <w:rPr>
                <w:rFonts w:cs="Times New Roman"/>
                <w:szCs w:val="24"/>
              </w:rPr>
              <w:t xml:space="preserve"> sleep apnea</w:t>
            </w:r>
            <w:r>
              <w:rPr>
                <w:rFonts w:cs="Times New Roman"/>
                <w:szCs w:val="24"/>
              </w:rPr>
              <w:t xml:space="preserve">, </w:t>
            </w:r>
            <w:r w:rsidRPr="00BD468A">
              <w:rPr>
                <w:rFonts w:cs="Times New Roman"/>
                <w:szCs w:val="24"/>
              </w:rPr>
              <w:t>intra-arterial injection</w:t>
            </w:r>
            <w:r>
              <w:rPr>
                <w:rFonts w:cs="Times New Roman"/>
                <w:szCs w:val="24"/>
              </w:rPr>
              <w:t>,</w:t>
            </w:r>
            <w:r w:rsidRPr="00BD468A">
              <w:rPr>
                <w:rFonts w:cs="Times New Roman"/>
                <w:szCs w:val="24"/>
              </w:rPr>
              <w:t xml:space="preserve"> severe respiratory insufficiency</w:t>
            </w:r>
            <w:r>
              <w:rPr>
                <w:rFonts w:cs="Times New Roman"/>
                <w:szCs w:val="24"/>
              </w:rPr>
              <w:t xml:space="preserve">, </w:t>
            </w:r>
            <w:r w:rsidRPr="00BD468A">
              <w:rPr>
                <w:rFonts w:cs="Times New Roman"/>
                <w:szCs w:val="24"/>
              </w:rPr>
              <w:t>pregnancy</w:t>
            </w:r>
          </w:p>
        </w:tc>
      </w:tr>
      <w:tr w:rsidR="00401703" w:rsidRPr="00BD468A" w14:paraId="3A0B1E27" w14:textId="77777777" w:rsidTr="002D6DD7">
        <w:tc>
          <w:tcPr>
            <w:tcW w:w="2695" w:type="dxa"/>
          </w:tcPr>
          <w:p w14:paraId="24FBFB72"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71EA0693" w14:textId="77777777" w:rsidR="00401703" w:rsidRPr="00BD468A" w:rsidRDefault="00401703" w:rsidP="002D6DD7">
            <w:pPr>
              <w:jc w:val="both"/>
              <w:rPr>
                <w:rFonts w:cs="Times New Roman"/>
                <w:szCs w:val="24"/>
              </w:rPr>
            </w:pPr>
            <w:r w:rsidRPr="00BD468A">
              <w:rPr>
                <w:rFonts w:cs="Times New Roman"/>
                <w:szCs w:val="24"/>
              </w:rPr>
              <w:t>Alcohol, antidepressants, antihistamines, antipsychotics, sedatives, general anaesthetics, opioid analgesics, ketoconazole, zidovudine, aminophylline</w:t>
            </w:r>
          </w:p>
        </w:tc>
      </w:tr>
      <w:tr w:rsidR="00401703" w:rsidRPr="00BD468A" w14:paraId="014623F2" w14:textId="77777777" w:rsidTr="002D6DD7">
        <w:tc>
          <w:tcPr>
            <w:tcW w:w="2695" w:type="dxa"/>
          </w:tcPr>
          <w:p w14:paraId="5790959C" w14:textId="77777777" w:rsidR="00401703" w:rsidRPr="00BD468A" w:rsidRDefault="00401703" w:rsidP="002D6DD7">
            <w:pPr>
              <w:jc w:val="both"/>
              <w:rPr>
                <w:rFonts w:cs="Times New Roman"/>
                <w:color w:val="000000" w:themeColor="text1"/>
                <w:szCs w:val="24"/>
              </w:rPr>
            </w:pPr>
            <w:r w:rsidRPr="00BD468A">
              <w:rPr>
                <w:rFonts w:cs="Times New Roman"/>
                <w:szCs w:val="24"/>
              </w:rPr>
              <w:t>Side Effects</w:t>
            </w:r>
          </w:p>
        </w:tc>
        <w:tc>
          <w:tcPr>
            <w:tcW w:w="6660" w:type="dxa"/>
          </w:tcPr>
          <w:p w14:paraId="60C85A89" w14:textId="77777777" w:rsidR="00401703" w:rsidRPr="00BD468A" w:rsidRDefault="00401703" w:rsidP="002D6DD7">
            <w:pPr>
              <w:jc w:val="both"/>
              <w:rPr>
                <w:rFonts w:cs="Times New Roman"/>
                <w:szCs w:val="24"/>
              </w:rPr>
            </w:pPr>
            <w:r w:rsidRPr="00BD468A">
              <w:rPr>
                <w:rFonts w:cs="Times New Roman"/>
                <w:szCs w:val="24"/>
              </w:rPr>
              <w:t xml:space="preserve">Drowsiness and light headedness the next day, confusion and ataxia amnesia, dependence, paradoxical increase in aggression, Muscle weakness, headache, vertigo, salivation changes, </w:t>
            </w:r>
            <w:r>
              <w:rPr>
                <w:rFonts w:cs="Times New Roman"/>
                <w:szCs w:val="24"/>
              </w:rPr>
              <w:t>GI</w:t>
            </w:r>
            <w:r w:rsidRPr="00BD468A">
              <w:rPr>
                <w:rFonts w:cs="Times New Roman"/>
                <w:szCs w:val="24"/>
              </w:rPr>
              <w:t xml:space="preserve"> disturbances, visual disturbances, dysarthria, tremor, changes in libido, incontinence, urinary retention, blood disorders</w:t>
            </w:r>
            <w:r>
              <w:rPr>
                <w:rFonts w:cs="Times New Roman"/>
                <w:szCs w:val="24"/>
              </w:rPr>
              <w:t xml:space="preserve">, </w:t>
            </w:r>
            <w:r w:rsidRPr="00BD468A">
              <w:rPr>
                <w:rFonts w:cs="Times New Roman"/>
                <w:szCs w:val="24"/>
              </w:rPr>
              <w:t>jaundice, skin reactions, raised liver enzyme</w:t>
            </w:r>
            <w:r>
              <w:rPr>
                <w:rFonts w:cs="Times New Roman"/>
                <w:szCs w:val="24"/>
              </w:rPr>
              <w:t>s</w:t>
            </w:r>
          </w:p>
        </w:tc>
      </w:tr>
      <w:tr w:rsidR="00401703" w:rsidRPr="00BD468A" w14:paraId="646DD576" w14:textId="77777777" w:rsidTr="002D6DD7">
        <w:tc>
          <w:tcPr>
            <w:tcW w:w="2695" w:type="dxa"/>
          </w:tcPr>
          <w:p w14:paraId="7ADDBD26" w14:textId="77777777" w:rsidR="00401703" w:rsidRPr="00BD468A" w:rsidRDefault="00401703" w:rsidP="002D6DD7">
            <w:pPr>
              <w:jc w:val="both"/>
              <w:rPr>
                <w:rFonts w:cs="Times New Roman"/>
                <w:color w:val="000000" w:themeColor="text1"/>
                <w:szCs w:val="24"/>
              </w:rPr>
            </w:pPr>
            <w:r w:rsidRPr="00BD468A">
              <w:rPr>
                <w:rFonts w:cs="Times New Roman"/>
                <w:szCs w:val="24"/>
              </w:rPr>
              <w:lastRenderedPageBreak/>
              <w:t>Cautions</w:t>
            </w:r>
          </w:p>
        </w:tc>
        <w:tc>
          <w:tcPr>
            <w:tcW w:w="6660" w:type="dxa"/>
          </w:tcPr>
          <w:p w14:paraId="27AE4A87" w14:textId="77777777" w:rsidR="00401703" w:rsidRPr="00BD468A" w:rsidRDefault="00401703" w:rsidP="002D6DD7">
            <w:pPr>
              <w:jc w:val="both"/>
              <w:rPr>
                <w:rFonts w:cs="Times New Roman"/>
                <w:szCs w:val="24"/>
              </w:rPr>
            </w:pPr>
            <w:r>
              <w:rPr>
                <w:rFonts w:cs="Times New Roman"/>
                <w:szCs w:val="24"/>
              </w:rPr>
              <w:t>E</w:t>
            </w:r>
            <w:r w:rsidRPr="00BD468A">
              <w:rPr>
                <w:rFonts w:cs="Times New Roman"/>
                <w:szCs w:val="24"/>
              </w:rPr>
              <w:t xml:space="preserve">lderly, liver or kidney </w:t>
            </w:r>
            <w:r>
              <w:rPr>
                <w:rFonts w:cs="Times New Roman"/>
                <w:szCs w:val="24"/>
              </w:rPr>
              <w:t>impairment</w:t>
            </w:r>
            <w:r w:rsidRPr="00BD468A">
              <w:rPr>
                <w:rFonts w:cs="Times New Roman"/>
                <w:szCs w:val="24"/>
              </w:rPr>
              <w:t>, muscle weakness, respiratory disease, history of alcohol abuse, marked personality disorder</w:t>
            </w:r>
            <w:r>
              <w:rPr>
                <w:rFonts w:cs="Times New Roman"/>
                <w:szCs w:val="24"/>
              </w:rPr>
              <w:t xml:space="preserve">, </w:t>
            </w:r>
            <w:r w:rsidRPr="00BD468A">
              <w:rPr>
                <w:rFonts w:cs="Times New Roman"/>
                <w:szCs w:val="24"/>
              </w:rPr>
              <w:t>prolonged use</w:t>
            </w:r>
            <w:r>
              <w:rPr>
                <w:rFonts w:cs="Times New Roman"/>
                <w:szCs w:val="24"/>
              </w:rPr>
              <w:t xml:space="preserve">, </w:t>
            </w:r>
            <w:r w:rsidRPr="00BD468A">
              <w:rPr>
                <w:rFonts w:cs="Times New Roman"/>
                <w:szCs w:val="24"/>
              </w:rPr>
              <w:t>abrupt withdrawal</w:t>
            </w:r>
            <w:r>
              <w:rPr>
                <w:rFonts w:cs="Times New Roman"/>
                <w:szCs w:val="24"/>
              </w:rPr>
              <w:t>, d</w:t>
            </w:r>
            <w:r w:rsidRPr="00BD468A">
              <w:rPr>
                <w:rFonts w:cs="Times New Roman"/>
                <w:szCs w:val="24"/>
              </w:rPr>
              <w:t>rowsiness</w:t>
            </w:r>
            <w:r>
              <w:rPr>
                <w:rFonts w:cs="Times New Roman"/>
                <w:szCs w:val="24"/>
              </w:rPr>
              <w:t xml:space="preserve">, </w:t>
            </w:r>
            <w:r w:rsidRPr="00BD468A">
              <w:rPr>
                <w:rFonts w:cs="Times New Roman"/>
                <w:szCs w:val="24"/>
              </w:rPr>
              <w:t>driving</w:t>
            </w:r>
            <w:r>
              <w:rPr>
                <w:rFonts w:cs="Times New Roman"/>
                <w:szCs w:val="24"/>
              </w:rPr>
              <w:t xml:space="preserve">, </w:t>
            </w:r>
            <w:r w:rsidRPr="00BD468A">
              <w:rPr>
                <w:rFonts w:cs="Times New Roman"/>
                <w:szCs w:val="24"/>
              </w:rPr>
              <w:t>respiratory depression</w:t>
            </w:r>
          </w:p>
        </w:tc>
      </w:tr>
      <w:tr w:rsidR="00401703" w:rsidRPr="00BD468A" w14:paraId="0A85E395" w14:textId="77777777" w:rsidTr="002D6DD7">
        <w:tc>
          <w:tcPr>
            <w:tcW w:w="2695" w:type="dxa"/>
          </w:tcPr>
          <w:p w14:paraId="64A30773"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Conditions</w:t>
            </w:r>
          </w:p>
        </w:tc>
        <w:tc>
          <w:tcPr>
            <w:tcW w:w="6660" w:type="dxa"/>
          </w:tcPr>
          <w:p w14:paraId="5D61C315" w14:textId="77777777" w:rsidR="00401703" w:rsidRPr="00BD468A" w:rsidRDefault="00401703" w:rsidP="002D6DD7">
            <w:pPr>
              <w:jc w:val="both"/>
              <w:rPr>
                <w:rFonts w:cs="Times New Roman"/>
                <w:color w:val="000000" w:themeColor="text1"/>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tbl>
    <w:p w14:paraId="4D7894A2" w14:textId="77777777" w:rsidR="00401703" w:rsidRPr="00944B15" w:rsidRDefault="00401703" w:rsidP="00401703">
      <w:pPr>
        <w:spacing w:after="0"/>
        <w:rPr>
          <w:rFonts w:cs="Times New Roman"/>
          <w:szCs w:val="24"/>
        </w:rPr>
      </w:pPr>
    </w:p>
    <w:p w14:paraId="25EAEBF6" w14:textId="77777777" w:rsidR="00401703" w:rsidRPr="00C80455" w:rsidRDefault="00401703" w:rsidP="00C80455">
      <w:pPr>
        <w:pStyle w:val="Heading2"/>
        <w:spacing w:before="240" w:after="240"/>
      </w:pPr>
      <w:bookmarkStart w:id="80" w:name="_Toc179490344"/>
      <w:bookmarkEnd w:id="77"/>
      <w:bookmarkEnd w:id="78"/>
      <w:r w:rsidRPr="00C80455">
        <w:t>Medicines used for obsessive compulsive disorders</w:t>
      </w:r>
      <w:bookmarkEnd w:id="80"/>
    </w:p>
    <w:p w14:paraId="406AFF6E" w14:textId="77777777" w:rsidR="00401703" w:rsidRPr="00944B15" w:rsidRDefault="00401703" w:rsidP="00401703">
      <w:pPr>
        <w:spacing w:after="0"/>
        <w:jc w:val="both"/>
        <w:rPr>
          <w:rFonts w:cs="Times New Roman"/>
          <w:bCs/>
          <w:szCs w:val="24"/>
        </w:rPr>
      </w:pPr>
      <w:r w:rsidRPr="00944B15">
        <w:rPr>
          <w:rFonts w:cs="Times New Roman"/>
          <w:bCs/>
          <w:szCs w:val="24"/>
        </w:rPr>
        <w:t>Medications commonly used to treat obsessive-compulsive disorder (OCD) include clomipramine and fluoxetine. Clomipramine, a tricyclic antidepressant, and fluoxetine, a selective serotonin reuptake inhibitor (SSRI), are both effective in reducing the symptoms of OCD by increasing serotonin levels in the brain. These medications are often prescribed in conjunction with cognitive-behavioral therapy (CBT) to provide comprehensive treatment for OCD. Treatment plans are tailored to individual patient needs, considering factors such as symptom severity, comorbid conditions, and medication tolerability. Regular monitoring and adjustments to the medication regimen may be necessary to optimize therapeutic outcomes and minimize side effects.</w:t>
      </w:r>
    </w:p>
    <w:p w14:paraId="63D5E83D" w14:textId="77777777" w:rsidR="00401703" w:rsidRPr="00944B15" w:rsidRDefault="00401703" w:rsidP="00401703">
      <w:pPr>
        <w:spacing w:after="0"/>
        <w:rPr>
          <w:rFonts w:cs="Times New Roman"/>
          <w:b/>
          <w:szCs w:val="24"/>
        </w:rPr>
      </w:pPr>
    </w:p>
    <w:tbl>
      <w:tblPr>
        <w:tblStyle w:val="TableGrid"/>
        <w:tblW w:w="9355" w:type="dxa"/>
        <w:tblLook w:val="04A0" w:firstRow="1" w:lastRow="0" w:firstColumn="1" w:lastColumn="0" w:noHBand="0" w:noVBand="1"/>
      </w:tblPr>
      <w:tblGrid>
        <w:gridCol w:w="2695"/>
        <w:gridCol w:w="6660"/>
      </w:tblGrid>
      <w:tr w:rsidR="00401703" w:rsidRPr="00BD468A" w14:paraId="20ADD4FF" w14:textId="77777777" w:rsidTr="002D6DD7">
        <w:trPr>
          <w:trHeight w:val="368"/>
        </w:trPr>
        <w:tc>
          <w:tcPr>
            <w:tcW w:w="9355" w:type="dxa"/>
            <w:gridSpan w:val="2"/>
          </w:tcPr>
          <w:p w14:paraId="203B5EBA" w14:textId="77777777" w:rsidR="00401703" w:rsidRPr="00BD468A" w:rsidRDefault="00401703" w:rsidP="002D6DD7">
            <w:pPr>
              <w:jc w:val="both"/>
              <w:rPr>
                <w:rFonts w:cs="Times New Roman"/>
                <w:b/>
                <w:bCs/>
                <w:color w:val="000000" w:themeColor="text1"/>
                <w:szCs w:val="24"/>
              </w:rPr>
            </w:pPr>
            <w:r w:rsidRPr="00BD468A">
              <w:rPr>
                <w:rFonts w:cs="Times New Roman"/>
                <w:b/>
                <w:bCs/>
                <w:szCs w:val="24"/>
              </w:rPr>
              <w:t>Clomipramine</w:t>
            </w:r>
          </w:p>
        </w:tc>
      </w:tr>
      <w:tr w:rsidR="00401703" w:rsidRPr="00BD468A" w14:paraId="15381478" w14:textId="77777777" w:rsidTr="002D6DD7">
        <w:tc>
          <w:tcPr>
            <w:tcW w:w="2695" w:type="dxa"/>
          </w:tcPr>
          <w:p w14:paraId="47D102CB"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3864FC84" w14:textId="77777777" w:rsidR="00401703" w:rsidRPr="00BD468A" w:rsidRDefault="00401703" w:rsidP="002D6DD7">
            <w:pPr>
              <w:jc w:val="both"/>
              <w:rPr>
                <w:rFonts w:cs="Times New Roman"/>
                <w:szCs w:val="24"/>
              </w:rPr>
            </w:pPr>
            <w:r w:rsidRPr="00BD468A">
              <w:rPr>
                <w:rFonts w:cs="Times New Roman"/>
                <w:szCs w:val="24"/>
              </w:rPr>
              <w:t>Tricyclic antidepressant</w:t>
            </w:r>
          </w:p>
        </w:tc>
      </w:tr>
      <w:tr w:rsidR="00401703" w:rsidRPr="00BD468A" w14:paraId="0B9BD409" w14:textId="77777777" w:rsidTr="002D6DD7">
        <w:tc>
          <w:tcPr>
            <w:tcW w:w="2695" w:type="dxa"/>
          </w:tcPr>
          <w:p w14:paraId="23760222"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013C9138" w14:textId="77777777" w:rsidR="00401703" w:rsidRPr="00BD468A" w:rsidRDefault="00401703" w:rsidP="002D6DD7">
            <w:pPr>
              <w:jc w:val="both"/>
              <w:rPr>
                <w:rFonts w:cs="Times New Roman"/>
                <w:szCs w:val="24"/>
              </w:rPr>
            </w:pPr>
            <w:r w:rsidRPr="00BD468A">
              <w:rPr>
                <w:rFonts w:cs="Times New Roman"/>
                <w:szCs w:val="24"/>
              </w:rPr>
              <w:t>Tablet/Capsule: 10mg, 25mg</w:t>
            </w:r>
          </w:p>
        </w:tc>
      </w:tr>
      <w:tr w:rsidR="00401703" w:rsidRPr="00BD468A" w14:paraId="724EF90C" w14:textId="77777777" w:rsidTr="002D6DD7">
        <w:tc>
          <w:tcPr>
            <w:tcW w:w="2695" w:type="dxa"/>
          </w:tcPr>
          <w:p w14:paraId="742203B5"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57F52310" w14:textId="77777777" w:rsidR="00401703" w:rsidRPr="00BD468A" w:rsidRDefault="00401703" w:rsidP="002D6DD7">
            <w:pPr>
              <w:jc w:val="both"/>
              <w:rPr>
                <w:rFonts w:cs="Times New Roman"/>
                <w:szCs w:val="24"/>
              </w:rPr>
            </w:pPr>
            <w:r w:rsidRPr="00BD468A">
              <w:rPr>
                <w:rFonts w:cs="Times New Roman"/>
                <w:szCs w:val="24"/>
              </w:rPr>
              <w:t>Obsessive-compulsive disorder</w:t>
            </w:r>
          </w:p>
        </w:tc>
      </w:tr>
      <w:tr w:rsidR="00401703" w:rsidRPr="00BD468A" w14:paraId="4B9F4B17" w14:textId="77777777" w:rsidTr="002D6DD7">
        <w:tc>
          <w:tcPr>
            <w:tcW w:w="2695" w:type="dxa"/>
          </w:tcPr>
          <w:p w14:paraId="5AB53233" w14:textId="77777777" w:rsidR="00401703" w:rsidRPr="00BD468A" w:rsidRDefault="00401703" w:rsidP="002D6DD7">
            <w:pPr>
              <w:rPr>
                <w:rFonts w:cs="Times New Roman"/>
                <w:color w:val="000000" w:themeColor="text1"/>
                <w:szCs w:val="24"/>
              </w:rPr>
            </w:pPr>
            <w:r w:rsidRPr="00BD468A">
              <w:rPr>
                <w:rFonts w:cs="Times New Roman"/>
                <w:szCs w:val="24"/>
              </w:rPr>
              <w:t>Dose and Administration</w:t>
            </w:r>
          </w:p>
        </w:tc>
        <w:tc>
          <w:tcPr>
            <w:tcW w:w="6660" w:type="dxa"/>
          </w:tcPr>
          <w:p w14:paraId="7453BDA5" w14:textId="77777777" w:rsidR="00401703" w:rsidRPr="00C80455" w:rsidRDefault="00401703" w:rsidP="002D6DD7">
            <w:pPr>
              <w:jc w:val="both"/>
              <w:rPr>
                <w:rFonts w:cs="Times New Roman"/>
                <w:b/>
                <w:bCs/>
                <w:szCs w:val="24"/>
              </w:rPr>
            </w:pPr>
            <w:r w:rsidRPr="00BD468A">
              <w:rPr>
                <w:rFonts w:cs="Times New Roman"/>
                <w:b/>
                <w:bCs/>
                <w:szCs w:val="24"/>
              </w:rPr>
              <w:t xml:space="preserve">Adult: </w:t>
            </w:r>
            <w:r w:rsidRPr="00BD468A">
              <w:rPr>
                <w:rFonts w:cs="Times New Roman"/>
                <w:szCs w:val="24"/>
              </w:rPr>
              <w:t xml:space="preserve">Initial dose typically starts at 25 mg per day, then gradually increases up to 100 mg per day as tolerated, with a maximum daily dose of 250 mg. </w:t>
            </w:r>
          </w:p>
        </w:tc>
      </w:tr>
      <w:tr w:rsidR="00401703" w:rsidRPr="00BD468A" w14:paraId="031A5605" w14:textId="77777777" w:rsidTr="002D6DD7">
        <w:tc>
          <w:tcPr>
            <w:tcW w:w="2695" w:type="dxa"/>
          </w:tcPr>
          <w:p w14:paraId="39109DC7" w14:textId="77777777" w:rsidR="00401703" w:rsidRPr="00BD468A" w:rsidRDefault="00401703" w:rsidP="002D6DD7">
            <w:pPr>
              <w:jc w:val="both"/>
              <w:rPr>
                <w:rFonts w:cs="Times New Roman"/>
                <w:color w:val="000000" w:themeColor="text1"/>
                <w:szCs w:val="24"/>
              </w:rPr>
            </w:pPr>
            <w:r w:rsidRPr="00BD468A">
              <w:rPr>
                <w:rFonts w:cs="Times New Roman"/>
                <w:szCs w:val="24"/>
              </w:rPr>
              <w:t>Contraindications</w:t>
            </w:r>
          </w:p>
        </w:tc>
        <w:tc>
          <w:tcPr>
            <w:tcW w:w="6660" w:type="dxa"/>
          </w:tcPr>
          <w:p w14:paraId="4D81AEC3" w14:textId="77777777" w:rsidR="00401703" w:rsidRPr="00BD468A" w:rsidRDefault="00401703" w:rsidP="002D6DD7">
            <w:pPr>
              <w:jc w:val="both"/>
              <w:rPr>
                <w:rFonts w:cs="Times New Roman"/>
                <w:color w:val="000000" w:themeColor="text1"/>
                <w:szCs w:val="24"/>
              </w:rPr>
            </w:pPr>
            <w:r w:rsidRPr="00BD468A">
              <w:rPr>
                <w:rFonts w:cs="Times New Roman"/>
                <w:szCs w:val="24"/>
              </w:rPr>
              <w:t xml:space="preserve">Refer </w:t>
            </w:r>
            <w:r>
              <w:rPr>
                <w:rFonts w:cs="Times New Roman"/>
                <w:szCs w:val="24"/>
              </w:rPr>
              <w:t>to clomipramine under m</w:t>
            </w:r>
            <w:r w:rsidRPr="0089084D">
              <w:rPr>
                <w:rFonts w:cs="Times New Roman"/>
                <w:szCs w:val="24"/>
              </w:rPr>
              <w:t>edicines used for anxiety and sleep disorders</w:t>
            </w:r>
          </w:p>
        </w:tc>
      </w:tr>
      <w:tr w:rsidR="00401703" w:rsidRPr="00BD468A" w14:paraId="48F27218" w14:textId="77777777" w:rsidTr="002D6DD7">
        <w:tc>
          <w:tcPr>
            <w:tcW w:w="2695" w:type="dxa"/>
          </w:tcPr>
          <w:p w14:paraId="2462B5DD"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79E7B407" w14:textId="77777777" w:rsidR="00401703" w:rsidRPr="00BD468A" w:rsidRDefault="00401703" w:rsidP="002D6DD7">
            <w:pPr>
              <w:jc w:val="both"/>
              <w:rPr>
                <w:rFonts w:cs="Times New Roman"/>
                <w:color w:val="000000" w:themeColor="text1"/>
                <w:szCs w:val="24"/>
              </w:rPr>
            </w:pPr>
            <w:r w:rsidRPr="003E1E0B">
              <w:rPr>
                <w:rFonts w:cs="Times New Roman"/>
                <w:szCs w:val="24"/>
              </w:rPr>
              <w:t>Refer to clomipramine under medicines used for anxiety and sleep disorders</w:t>
            </w:r>
          </w:p>
        </w:tc>
      </w:tr>
      <w:tr w:rsidR="00401703" w:rsidRPr="00BD468A" w14:paraId="360FB4DF" w14:textId="77777777" w:rsidTr="002D6DD7">
        <w:tc>
          <w:tcPr>
            <w:tcW w:w="2695" w:type="dxa"/>
          </w:tcPr>
          <w:p w14:paraId="180FDECF" w14:textId="77777777" w:rsidR="00401703" w:rsidRPr="00BD468A" w:rsidRDefault="00401703" w:rsidP="002D6DD7">
            <w:pPr>
              <w:jc w:val="both"/>
              <w:rPr>
                <w:rFonts w:cs="Times New Roman"/>
                <w:color w:val="000000" w:themeColor="text1"/>
                <w:szCs w:val="24"/>
              </w:rPr>
            </w:pPr>
            <w:r w:rsidRPr="00BD468A">
              <w:rPr>
                <w:rFonts w:cs="Times New Roman"/>
                <w:szCs w:val="24"/>
              </w:rPr>
              <w:t>Side Effects</w:t>
            </w:r>
          </w:p>
        </w:tc>
        <w:tc>
          <w:tcPr>
            <w:tcW w:w="6660" w:type="dxa"/>
          </w:tcPr>
          <w:p w14:paraId="33E367BE" w14:textId="77777777" w:rsidR="00401703" w:rsidRPr="00BD468A" w:rsidRDefault="00401703" w:rsidP="002D6DD7">
            <w:pPr>
              <w:jc w:val="both"/>
              <w:rPr>
                <w:rFonts w:cs="Times New Roman"/>
                <w:color w:val="000000" w:themeColor="text1"/>
                <w:szCs w:val="24"/>
              </w:rPr>
            </w:pPr>
            <w:r w:rsidRPr="003E1E0B">
              <w:rPr>
                <w:rFonts w:cs="Times New Roman"/>
                <w:szCs w:val="24"/>
              </w:rPr>
              <w:t xml:space="preserve">Refer to clomipramine under medicines used for anxiety and sleep </w:t>
            </w:r>
            <w:r w:rsidRPr="003E1E0B">
              <w:rPr>
                <w:rFonts w:cs="Times New Roman"/>
                <w:szCs w:val="24"/>
              </w:rPr>
              <w:lastRenderedPageBreak/>
              <w:t>disorders</w:t>
            </w:r>
          </w:p>
        </w:tc>
      </w:tr>
      <w:tr w:rsidR="00401703" w:rsidRPr="00BD468A" w14:paraId="7E320095" w14:textId="77777777" w:rsidTr="002D6DD7">
        <w:tc>
          <w:tcPr>
            <w:tcW w:w="2695" w:type="dxa"/>
          </w:tcPr>
          <w:p w14:paraId="139AA87B" w14:textId="77777777" w:rsidR="00401703" w:rsidRPr="00BD468A" w:rsidRDefault="00401703" w:rsidP="002D6DD7">
            <w:pPr>
              <w:jc w:val="both"/>
              <w:rPr>
                <w:rFonts w:cs="Times New Roman"/>
                <w:color w:val="000000" w:themeColor="text1"/>
                <w:szCs w:val="24"/>
              </w:rPr>
            </w:pPr>
            <w:r w:rsidRPr="00BD468A">
              <w:rPr>
                <w:rFonts w:cs="Times New Roman"/>
                <w:szCs w:val="24"/>
              </w:rPr>
              <w:lastRenderedPageBreak/>
              <w:t>Cautions</w:t>
            </w:r>
          </w:p>
        </w:tc>
        <w:tc>
          <w:tcPr>
            <w:tcW w:w="6660" w:type="dxa"/>
          </w:tcPr>
          <w:p w14:paraId="2F3E2584" w14:textId="77777777" w:rsidR="00401703" w:rsidRPr="00BD468A" w:rsidRDefault="00401703" w:rsidP="002D6DD7">
            <w:pPr>
              <w:jc w:val="both"/>
              <w:rPr>
                <w:rFonts w:cs="Times New Roman"/>
                <w:color w:val="000000" w:themeColor="text1"/>
                <w:szCs w:val="24"/>
              </w:rPr>
            </w:pPr>
            <w:r w:rsidRPr="003E1E0B">
              <w:rPr>
                <w:rFonts w:cs="Times New Roman"/>
                <w:szCs w:val="24"/>
              </w:rPr>
              <w:t>Refer to clomipramine under medicines used for anxiety and sleep disorders</w:t>
            </w:r>
          </w:p>
        </w:tc>
      </w:tr>
      <w:tr w:rsidR="00401703" w:rsidRPr="00BD468A" w14:paraId="4BB9F02A" w14:textId="77777777" w:rsidTr="002D6DD7">
        <w:tc>
          <w:tcPr>
            <w:tcW w:w="2695" w:type="dxa"/>
            <w:tcBorders>
              <w:bottom w:val="single" w:sz="4" w:space="0" w:color="auto"/>
            </w:tcBorders>
          </w:tcPr>
          <w:p w14:paraId="5F4D46D8"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w:t>
            </w:r>
          </w:p>
        </w:tc>
        <w:tc>
          <w:tcPr>
            <w:tcW w:w="6660" w:type="dxa"/>
            <w:tcBorders>
              <w:bottom w:val="single" w:sz="4" w:space="0" w:color="auto"/>
            </w:tcBorders>
          </w:tcPr>
          <w:p w14:paraId="32A3A9E8" w14:textId="77777777" w:rsidR="00401703" w:rsidRPr="00BD468A" w:rsidRDefault="00401703" w:rsidP="002D6DD7">
            <w:pPr>
              <w:jc w:val="both"/>
              <w:rPr>
                <w:rFonts w:cs="Times New Roman"/>
                <w:color w:val="000000" w:themeColor="text1"/>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tr w:rsidR="00401703" w:rsidRPr="00BD468A" w14:paraId="12B93CE1" w14:textId="77777777" w:rsidTr="002D6DD7">
        <w:trPr>
          <w:trHeight w:val="431"/>
        </w:trPr>
        <w:tc>
          <w:tcPr>
            <w:tcW w:w="9355" w:type="dxa"/>
            <w:gridSpan w:val="2"/>
          </w:tcPr>
          <w:p w14:paraId="373F4EA7" w14:textId="77777777" w:rsidR="00401703" w:rsidRPr="00BD468A" w:rsidRDefault="00401703" w:rsidP="002D6DD7">
            <w:pPr>
              <w:jc w:val="both"/>
              <w:rPr>
                <w:rFonts w:cs="Times New Roman"/>
                <w:b/>
                <w:bCs/>
                <w:color w:val="000000" w:themeColor="text1"/>
                <w:szCs w:val="24"/>
              </w:rPr>
            </w:pPr>
            <w:bookmarkStart w:id="81" w:name="_Hlk168693286"/>
            <w:r w:rsidRPr="00BD468A">
              <w:rPr>
                <w:rFonts w:cs="Times New Roman"/>
                <w:b/>
                <w:bCs/>
                <w:szCs w:val="24"/>
              </w:rPr>
              <w:t>Fluoxetine</w:t>
            </w:r>
          </w:p>
        </w:tc>
      </w:tr>
      <w:tr w:rsidR="00401703" w:rsidRPr="00BD468A" w14:paraId="03DD7D61" w14:textId="77777777" w:rsidTr="002D6DD7">
        <w:tc>
          <w:tcPr>
            <w:tcW w:w="2695" w:type="dxa"/>
          </w:tcPr>
          <w:p w14:paraId="67613FE7" w14:textId="77777777" w:rsidR="00401703" w:rsidRPr="00BD468A" w:rsidRDefault="00401703" w:rsidP="002D6DD7">
            <w:pPr>
              <w:jc w:val="both"/>
              <w:rPr>
                <w:rFonts w:cs="Times New Roman"/>
                <w:color w:val="000000" w:themeColor="text1"/>
                <w:szCs w:val="24"/>
              </w:rPr>
            </w:pPr>
            <w:r w:rsidRPr="00BD468A">
              <w:rPr>
                <w:rFonts w:cs="Times New Roman"/>
                <w:szCs w:val="24"/>
              </w:rPr>
              <w:t>Pharmacological Class</w:t>
            </w:r>
          </w:p>
        </w:tc>
        <w:tc>
          <w:tcPr>
            <w:tcW w:w="6660" w:type="dxa"/>
          </w:tcPr>
          <w:p w14:paraId="18DD7BA7" w14:textId="77777777" w:rsidR="00401703" w:rsidRPr="00BD468A" w:rsidRDefault="00401703" w:rsidP="002D6DD7">
            <w:pPr>
              <w:jc w:val="both"/>
              <w:rPr>
                <w:rFonts w:cs="Times New Roman"/>
                <w:color w:val="000000" w:themeColor="text1"/>
                <w:szCs w:val="24"/>
              </w:rPr>
            </w:pPr>
            <w:r w:rsidRPr="00BD468A">
              <w:rPr>
                <w:rFonts w:cs="Times New Roman"/>
                <w:szCs w:val="24"/>
              </w:rPr>
              <w:t>Selective Serotonin Reuptake Inhibitor</w:t>
            </w:r>
            <w:r>
              <w:rPr>
                <w:rFonts w:cs="Times New Roman"/>
                <w:szCs w:val="24"/>
              </w:rPr>
              <w:t xml:space="preserve"> (SSRI)</w:t>
            </w:r>
          </w:p>
        </w:tc>
      </w:tr>
      <w:tr w:rsidR="00401703" w:rsidRPr="00BD468A" w14:paraId="43A0C812" w14:textId="77777777" w:rsidTr="002D6DD7">
        <w:tc>
          <w:tcPr>
            <w:tcW w:w="2695" w:type="dxa"/>
          </w:tcPr>
          <w:p w14:paraId="631F9F32" w14:textId="77777777" w:rsidR="00401703" w:rsidRPr="00BD468A" w:rsidRDefault="00401703" w:rsidP="002D6DD7">
            <w:pPr>
              <w:jc w:val="both"/>
              <w:rPr>
                <w:rFonts w:cs="Times New Roman"/>
                <w:color w:val="000000" w:themeColor="text1"/>
                <w:szCs w:val="24"/>
              </w:rPr>
            </w:pPr>
            <w:r w:rsidRPr="00BD468A">
              <w:rPr>
                <w:rFonts w:cs="Times New Roman"/>
                <w:szCs w:val="24"/>
              </w:rPr>
              <w:t>Dosage Form</w:t>
            </w:r>
          </w:p>
        </w:tc>
        <w:tc>
          <w:tcPr>
            <w:tcW w:w="6660" w:type="dxa"/>
          </w:tcPr>
          <w:p w14:paraId="4F2B1A67" w14:textId="77777777" w:rsidR="00401703" w:rsidRPr="00BD468A" w:rsidRDefault="00401703" w:rsidP="002D6DD7">
            <w:pPr>
              <w:jc w:val="both"/>
              <w:rPr>
                <w:rFonts w:cs="Times New Roman"/>
                <w:color w:val="000000" w:themeColor="text1"/>
                <w:szCs w:val="24"/>
              </w:rPr>
            </w:pPr>
            <w:r w:rsidRPr="00BD468A">
              <w:rPr>
                <w:rFonts w:cs="Times New Roman"/>
                <w:szCs w:val="24"/>
              </w:rPr>
              <w:t>Capsule: 20 mg</w:t>
            </w:r>
          </w:p>
        </w:tc>
      </w:tr>
      <w:tr w:rsidR="00401703" w:rsidRPr="00BD468A" w14:paraId="5DFC0690" w14:textId="77777777" w:rsidTr="002D6DD7">
        <w:tc>
          <w:tcPr>
            <w:tcW w:w="2695" w:type="dxa"/>
          </w:tcPr>
          <w:p w14:paraId="0A282E8A" w14:textId="77777777" w:rsidR="00401703" w:rsidRPr="00BD468A" w:rsidRDefault="00401703" w:rsidP="002D6DD7">
            <w:pPr>
              <w:jc w:val="both"/>
              <w:rPr>
                <w:rFonts w:cs="Times New Roman"/>
                <w:color w:val="000000" w:themeColor="text1"/>
                <w:szCs w:val="24"/>
              </w:rPr>
            </w:pPr>
            <w:r w:rsidRPr="00BD468A">
              <w:rPr>
                <w:rFonts w:cs="Times New Roman"/>
                <w:szCs w:val="24"/>
              </w:rPr>
              <w:t>Indications</w:t>
            </w:r>
          </w:p>
        </w:tc>
        <w:tc>
          <w:tcPr>
            <w:tcW w:w="6660" w:type="dxa"/>
          </w:tcPr>
          <w:p w14:paraId="428E08FF" w14:textId="77777777" w:rsidR="00401703" w:rsidRPr="00BD468A" w:rsidRDefault="00401703" w:rsidP="002D6DD7">
            <w:pPr>
              <w:jc w:val="both"/>
              <w:rPr>
                <w:rFonts w:cs="Times New Roman"/>
                <w:szCs w:val="24"/>
              </w:rPr>
            </w:pPr>
            <w:r w:rsidRPr="00BD468A">
              <w:rPr>
                <w:rFonts w:cs="Times New Roman"/>
                <w:szCs w:val="24"/>
              </w:rPr>
              <w:t>Obsessive-compulsive disorder</w:t>
            </w:r>
          </w:p>
        </w:tc>
      </w:tr>
      <w:tr w:rsidR="00401703" w:rsidRPr="00BD468A" w14:paraId="76D14C1A" w14:textId="77777777" w:rsidTr="002D6DD7">
        <w:tc>
          <w:tcPr>
            <w:tcW w:w="2695" w:type="dxa"/>
          </w:tcPr>
          <w:p w14:paraId="289499AE" w14:textId="77777777" w:rsidR="00401703" w:rsidRPr="00BD468A" w:rsidRDefault="00401703" w:rsidP="002D6DD7">
            <w:pPr>
              <w:jc w:val="both"/>
              <w:rPr>
                <w:rFonts w:cs="Times New Roman"/>
                <w:color w:val="000000" w:themeColor="text1"/>
                <w:szCs w:val="24"/>
              </w:rPr>
            </w:pPr>
            <w:r w:rsidRPr="00BD468A">
              <w:rPr>
                <w:rFonts w:eastAsia="Times New Roman" w:cs="Times New Roman"/>
                <w:color w:val="000000" w:themeColor="text1"/>
                <w:szCs w:val="24"/>
              </w:rPr>
              <w:t>Dose and administration</w:t>
            </w:r>
          </w:p>
        </w:tc>
        <w:tc>
          <w:tcPr>
            <w:tcW w:w="6660" w:type="dxa"/>
          </w:tcPr>
          <w:p w14:paraId="67D87A1B" w14:textId="77777777" w:rsidR="00401703" w:rsidRPr="00BD468A" w:rsidRDefault="00401703" w:rsidP="002D6DD7">
            <w:pPr>
              <w:jc w:val="both"/>
              <w:rPr>
                <w:rFonts w:cs="Times New Roman"/>
                <w:color w:val="000000" w:themeColor="text1"/>
                <w:szCs w:val="24"/>
              </w:rPr>
            </w:pPr>
            <w:r w:rsidRPr="006B2D2E">
              <w:rPr>
                <w:rFonts w:cs="Times New Roman"/>
                <w:b/>
                <w:bCs/>
                <w:color w:val="000000" w:themeColor="text1"/>
                <w:szCs w:val="24"/>
              </w:rPr>
              <w:t>Adult:</w:t>
            </w:r>
            <w:r>
              <w:rPr>
                <w:rFonts w:cs="Times New Roman"/>
                <w:color w:val="000000" w:themeColor="text1"/>
                <w:szCs w:val="24"/>
              </w:rPr>
              <w:t xml:space="preserve"> </w:t>
            </w:r>
            <w:r w:rsidRPr="00BD468A">
              <w:rPr>
                <w:rFonts w:cs="Times New Roman"/>
                <w:color w:val="000000" w:themeColor="text1"/>
                <w:szCs w:val="24"/>
              </w:rPr>
              <w:t>Initially 20mg once daily, may increase up to 60mg/day based on response and tolerability.</w:t>
            </w:r>
          </w:p>
        </w:tc>
      </w:tr>
      <w:tr w:rsidR="00401703" w:rsidRPr="00BD468A" w14:paraId="45F36911" w14:textId="77777777" w:rsidTr="002D6DD7">
        <w:tc>
          <w:tcPr>
            <w:tcW w:w="2695" w:type="dxa"/>
          </w:tcPr>
          <w:p w14:paraId="566169AB" w14:textId="77777777" w:rsidR="00401703" w:rsidRPr="00BD468A" w:rsidRDefault="00401703" w:rsidP="002D6DD7">
            <w:pPr>
              <w:jc w:val="both"/>
              <w:rPr>
                <w:rFonts w:cs="Times New Roman"/>
                <w:color w:val="000000" w:themeColor="text1"/>
                <w:szCs w:val="24"/>
              </w:rPr>
            </w:pPr>
            <w:r w:rsidRPr="00BD468A">
              <w:rPr>
                <w:rFonts w:cs="Times New Roman"/>
                <w:szCs w:val="24"/>
              </w:rPr>
              <w:t>Contraindications</w:t>
            </w:r>
          </w:p>
        </w:tc>
        <w:tc>
          <w:tcPr>
            <w:tcW w:w="6660" w:type="dxa"/>
          </w:tcPr>
          <w:p w14:paraId="721FB86F" w14:textId="77777777" w:rsidR="00401703" w:rsidRPr="00BD468A" w:rsidRDefault="00401703" w:rsidP="002D6DD7">
            <w:pPr>
              <w:jc w:val="both"/>
              <w:rPr>
                <w:rFonts w:cs="Times New Roman"/>
                <w:color w:val="000000" w:themeColor="text1"/>
                <w:szCs w:val="24"/>
              </w:rPr>
            </w:pPr>
            <w:r w:rsidRPr="002F761D">
              <w:rPr>
                <w:rFonts w:cs="Times New Roman"/>
                <w:szCs w:val="24"/>
              </w:rPr>
              <w:t xml:space="preserve">Refer to </w:t>
            </w:r>
            <w:r>
              <w:rPr>
                <w:rFonts w:cs="Times New Roman"/>
                <w:szCs w:val="24"/>
              </w:rPr>
              <w:t>fluoxetine</w:t>
            </w:r>
            <w:r w:rsidRPr="002F761D">
              <w:rPr>
                <w:rFonts w:cs="Times New Roman"/>
                <w:szCs w:val="24"/>
              </w:rPr>
              <w:t xml:space="preserve"> under medicines used for anxiety and sleep disorders</w:t>
            </w:r>
          </w:p>
        </w:tc>
      </w:tr>
      <w:tr w:rsidR="00401703" w:rsidRPr="00BD468A" w14:paraId="1904ECC7" w14:textId="77777777" w:rsidTr="002D6DD7">
        <w:tc>
          <w:tcPr>
            <w:tcW w:w="2695" w:type="dxa"/>
          </w:tcPr>
          <w:p w14:paraId="26129D00" w14:textId="77777777" w:rsidR="00401703" w:rsidRPr="00BD468A" w:rsidRDefault="00401703" w:rsidP="002D6DD7">
            <w:pPr>
              <w:jc w:val="both"/>
              <w:rPr>
                <w:rFonts w:cs="Times New Roman"/>
                <w:color w:val="000000" w:themeColor="text1"/>
                <w:szCs w:val="24"/>
              </w:rPr>
            </w:pPr>
            <w:r w:rsidRPr="00BD468A">
              <w:rPr>
                <w:rFonts w:cs="Times New Roman"/>
                <w:szCs w:val="24"/>
              </w:rPr>
              <w:t>Drug Interactions</w:t>
            </w:r>
          </w:p>
        </w:tc>
        <w:tc>
          <w:tcPr>
            <w:tcW w:w="6660" w:type="dxa"/>
          </w:tcPr>
          <w:p w14:paraId="331DCB16" w14:textId="77777777" w:rsidR="00401703" w:rsidRPr="00BD468A" w:rsidRDefault="00401703" w:rsidP="002D6DD7">
            <w:pPr>
              <w:jc w:val="both"/>
              <w:rPr>
                <w:rFonts w:cs="Times New Roman"/>
                <w:color w:val="000000" w:themeColor="text1"/>
                <w:szCs w:val="24"/>
              </w:rPr>
            </w:pPr>
            <w:r w:rsidRPr="004C339E">
              <w:rPr>
                <w:rFonts w:cs="Times New Roman"/>
                <w:szCs w:val="24"/>
              </w:rPr>
              <w:t>Refer to fluoxetine under medicines used for anxiety and sleep disorders</w:t>
            </w:r>
          </w:p>
        </w:tc>
      </w:tr>
      <w:tr w:rsidR="00401703" w:rsidRPr="00BD468A" w14:paraId="1B345155" w14:textId="77777777" w:rsidTr="002D6DD7">
        <w:tc>
          <w:tcPr>
            <w:tcW w:w="2695" w:type="dxa"/>
          </w:tcPr>
          <w:p w14:paraId="6CFC4357" w14:textId="77777777" w:rsidR="00401703" w:rsidRPr="00BD468A" w:rsidRDefault="00401703" w:rsidP="002D6DD7">
            <w:pPr>
              <w:jc w:val="both"/>
              <w:rPr>
                <w:rFonts w:cs="Times New Roman"/>
                <w:color w:val="000000" w:themeColor="text1"/>
                <w:szCs w:val="24"/>
              </w:rPr>
            </w:pPr>
            <w:r w:rsidRPr="00BD468A">
              <w:rPr>
                <w:rFonts w:cs="Times New Roman"/>
                <w:szCs w:val="24"/>
              </w:rPr>
              <w:t>Side Effects</w:t>
            </w:r>
          </w:p>
        </w:tc>
        <w:tc>
          <w:tcPr>
            <w:tcW w:w="6660" w:type="dxa"/>
          </w:tcPr>
          <w:p w14:paraId="24B05186" w14:textId="77777777" w:rsidR="00401703" w:rsidRPr="00BD468A" w:rsidRDefault="00401703" w:rsidP="002D6DD7">
            <w:pPr>
              <w:jc w:val="both"/>
              <w:rPr>
                <w:rFonts w:cs="Times New Roman"/>
                <w:color w:val="000000" w:themeColor="text1"/>
                <w:szCs w:val="24"/>
              </w:rPr>
            </w:pPr>
            <w:r w:rsidRPr="004C339E">
              <w:rPr>
                <w:rFonts w:cs="Times New Roman"/>
                <w:szCs w:val="24"/>
              </w:rPr>
              <w:t>Refer to fluoxetine under medicines used for anxiety and sleep disorders</w:t>
            </w:r>
          </w:p>
        </w:tc>
      </w:tr>
      <w:tr w:rsidR="00401703" w:rsidRPr="00BD468A" w14:paraId="2FC7519F" w14:textId="77777777" w:rsidTr="002D6DD7">
        <w:tc>
          <w:tcPr>
            <w:tcW w:w="2695" w:type="dxa"/>
          </w:tcPr>
          <w:p w14:paraId="4120E094" w14:textId="77777777" w:rsidR="00401703" w:rsidRPr="00BD468A" w:rsidRDefault="00401703" w:rsidP="002D6DD7">
            <w:pPr>
              <w:jc w:val="both"/>
              <w:rPr>
                <w:rFonts w:cs="Times New Roman"/>
                <w:color w:val="000000" w:themeColor="text1"/>
                <w:szCs w:val="24"/>
              </w:rPr>
            </w:pPr>
            <w:r w:rsidRPr="00BD468A">
              <w:rPr>
                <w:rFonts w:cs="Times New Roman"/>
                <w:szCs w:val="24"/>
              </w:rPr>
              <w:t>Cautions</w:t>
            </w:r>
          </w:p>
        </w:tc>
        <w:tc>
          <w:tcPr>
            <w:tcW w:w="6660" w:type="dxa"/>
          </w:tcPr>
          <w:p w14:paraId="2554582C" w14:textId="77777777" w:rsidR="00401703" w:rsidRPr="00BD468A" w:rsidRDefault="00401703" w:rsidP="002D6DD7">
            <w:pPr>
              <w:jc w:val="both"/>
              <w:rPr>
                <w:rFonts w:cs="Times New Roman"/>
                <w:color w:val="000000" w:themeColor="text1"/>
                <w:szCs w:val="24"/>
              </w:rPr>
            </w:pPr>
            <w:r w:rsidRPr="004C339E">
              <w:rPr>
                <w:rFonts w:cs="Times New Roman"/>
                <w:szCs w:val="24"/>
              </w:rPr>
              <w:t>Refer to fluoxetine under medicines used for anxiety and sleep disorders</w:t>
            </w:r>
          </w:p>
        </w:tc>
      </w:tr>
      <w:tr w:rsidR="00401703" w:rsidRPr="00BD468A" w14:paraId="035EF33B" w14:textId="77777777" w:rsidTr="002D6DD7">
        <w:tc>
          <w:tcPr>
            <w:tcW w:w="2695" w:type="dxa"/>
          </w:tcPr>
          <w:p w14:paraId="0C931F1A" w14:textId="77777777" w:rsidR="00401703" w:rsidRPr="00BD468A" w:rsidRDefault="00401703" w:rsidP="002D6DD7">
            <w:pPr>
              <w:jc w:val="both"/>
              <w:rPr>
                <w:rFonts w:cs="Times New Roman"/>
                <w:color w:val="000000" w:themeColor="text1"/>
                <w:szCs w:val="24"/>
              </w:rPr>
            </w:pPr>
            <w:r w:rsidRPr="00BD468A">
              <w:rPr>
                <w:rFonts w:cs="Times New Roman"/>
                <w:szCs w:val="24"/>
              </w:rPr>
              <w:t>Storage Condition</w:t>
            </w:r>
          </w:p>
        </w:tc>
        <w:tc>
          <w:tcPr>
            <w:tcW w:w="6660" w:type="dxa"/>
          </w:tcPr>
          <w:p w14:paraId="031CCFDD" w14:textId="77777777" w:rsidR="00401703" w:rsidRPr="00BD468A" w:rsidRDefault="00401703" w:rsidP="002D6DD7">
            <w:pPr>
              <w:jc w:val="both"/>
              <w:rPr>
                <w:rFonts w:cs="Times New Roman"/>
                <w:color w:val="000000" w:themeColor="text1"/>
                <w:szCs w:val="24"/>
              </w:rPr>
            </w:pPr>
            <w:r w:rsidRPr="00BD468A">
              <w:rPr>
                <w:rFonts w:cs="Times New Roman"/>
                <w:szCs w:val="24"/>
              </w:rPr>
              <w:t>Store below 30</w:t>
            </w:r>
            <w:r w:rsidRPr="00BD468A">
              <w:rPr>
                <w:rFonts w:cs="Times New Roman"/>
                <w:szCs w:val="24"/>
                <w:vertAlign w:val="superscript"/>
              </w:rPr>
              <w:t>0</w:t>
            </w:r>
            <w:r w:rsidRPr="00BD468A">
              <w:rPr>
                <w:rFonts w:cs="Times New Roman"/>
                <w:szCs w:val="24"/>
              </w:rPr>
              <w:t>C. Protect from light.</w:t>
            </w:r>
          </w:p>
        </w:tc>
      </w:tr>
    </w:tbl>
    <w:p w14:paraId="6CA5DCC6" w14:textId="77777777" w:rsidR="00401703" w:rsidRPr="00C80455" w:rsidRDefault="00401703" w:rsidP="00C80455">
      <w:pPr>
        <w:pStyle w:val="Heading2"/>
        <w:spacing w:before="240" w:after="240"/>
      </w:pPr>
      <w:bookmarkStart w:id="82" w:name="_Toc179490345"/>
      <w:bookmarkEnd w:id="81"/>
      <w:r w:rsidRPr="00C80455">
        <w:t>Medicines used for mood disorders</w:t>
      </w:r>
      <w:bookmarkEnd w:id="82"/>
    </w:p>
    <w:p w14:paraId="32138D8F" w14:textId="77777777" w:rsidR="00401703" w:rsidRPr="00944B15" w:rsidRDefault="00401703" w:rsidP="00401703">
      <w:pPr>
        <w:spacing w:after="0"/>
        <w:jc w:val="both"/>
        <w:rPr>
          <w:rFonts w:cs="Times New Roman"/>
          <w:bCs/>
          <w:szCs w:val="24"/>
        </w:rPr>
      </w:pPr>
      <w:r w:rsidRPr="00944B15">
        <w:rPr>
          <w:rFonts w:cs="Times New Roman"/>
          <w:bCs/>
          <w:szCs w:val="24"/>
        </w:rPr>
        <w:t>Medications for mood disorders encompass a range of pharmacological classes targeting symptoms like depression and bipolar disorder. Common medications include selective serotonin reuptake inhibitors (SSRIs) such as fluoxetine, tricyclic antidepressants like clomipramine, and mood stabilizers such as lithium. These medications aim to rebalance neurotransmitters in the brain, alleviating symptoms and stabilizing mood.</w:t>
      </w:r>
    </w:p>
    <w:p w14:paraId="332A7866" w14:textId="77777777" w:rsidR="00401703" w:rsidRPr="00E94AD9" w:rsidRDefault="00401703" w:rsidP="00E94AD9">
      <w:pPr>
        <w:spacing w:before="240"/>
        <w:rPr>
          <w:b/>
        </w:rPr>
      </w:pPr>
      <w:r w:rsidRPr="00E94AD9">
        <w:rPr>
          <w:b/>
        </w:rPr>
        <w:t xml:space="preserve">Medicines </w:t>
      </w:r>
      <w:r w:rsidR="00E94AD9" w:rsidRPr="00E94AD9">
        <w:rPr>
          <w:b/>
        </w:rPr>
        <w:t>u</w:t>
      </w:r>
      <w:r w:rsidRPr="00E94AD9">
        <w:rPr>
          <w:b/>
        </w:rPr>
        <w:t xml:space="preserve">sed for </w:t>
      </w:r>
      <w:r w:rsidR="00E94AD9" w:rsidRPr="00E94AD9">
        <w:rPr>
          <w:b/>
        </w:rPr>
        <w:t>d</w:t>
      </w:r>
      <w:r w:rsidRPr="00E94AD9">
        <w:rPr>
          <w:b/>
        </w:rPr>
        <w:t xml:space="preserve">epressive </w:t>
      </w:r>
      <w:r w:rsidR="00E94AD9" w:rsidRPr="00E94AD9">
        <w:rPr>
          <w:b/>
        </w:rPr>
        <w:t>d</w:t>
      </w:r>
      <w:r w:rsidRPr="00E94AD9">
        <w:rPr>
          <w:b/>
        </w:rPr>
        <w:t>isorders</w:t>
      </w:r>
    </w:p>
    <w:p w14:paraId="7F59A589" w14:textId="77777777" w:rsidR="00401703" w:rsidRDefault="00401703" w:rsidP="00401703">
      <w:pPr>
        <w:spacing w:after="0"/>
        <w:jc w:val="both"/>
        <w:rPr>
          <w:rFonts w:cs="Times New Roman"/>
          <w:bCs/>
          <w:szCs w:val="24"/>
        </w:rPr>
      </w:pPr>
      <w:r w:rsidRPr="00944B15">
        <w:rPr>
          <w:rFonts w:cs="Times New Roman"/>
          <w:bCs/>
          <w:szCs w:val="24"/>
        </w:rPr>
        <w:t xml:space="preserve">Medications for depressive disorders, such as amitriptyline and fluoxetine, belong to different pharmacological classes but share the goal of alleviating symptoms of depression. Amitriptyline and imipramine are tricyclic antidepressant, work by increasing levels of serotonin and </w:t>
      </w:r>
      <w:r w:rsidRPr="00944B15">
        <w:rPr>
          <w:rFonts w:cs="Times New Roman"/>
          <w:bCs/>
          <w:szCs w:val="24"/>
        </w:rPr>
        <w:lastRenderedPageBreak/>
        <w:t>norepinephrine in the brain. Fluoxetine, Sertraline hydrochloride, paroxetine and escitalopram are selective serotonin reuptake inhibitor (SSRI), specifically target serotonin levels.</w:t>
      </w:r>
    </w:p>
    <w:p w14:paraId="2D3079B9" w14:textId="77777777" w:rsidR="00401703" w:rsidRPr="00944B15" w:rsidRDefault="00401703" w:rsidP="00401703">
      <w:pPr>
        <w:spacing w:after="0"/>
        <w:jc w:val="both"/>
        <w:rPr>
          <w:rFonts w:cs="Times New Roman"/>
          <w:bCs/>
          <w:szCs w:val="24"/>
        </w:rPr>
      </w:pPr>
    </w:p>
    <w:tbl>
      <w:tblPr>
        <w:tblStyle w:val="TableGrid"/>
        <w:tblW w:w="0" w:type="auto"/>
        <w:tblLook w:val="04A0" w:firstRow="1" w:lastRow="0" w:firstColumn="1" w:lastColumn="0" w:noHBand="0" w:noVBand="1"/>
      </w:tblPr>
      <w:tblGrid>
        <w:gridCol w:w="2695"/>
        <w:gridCol w:w="6321"/>
      </w:tblGrid>
      <w:tr w:rsidR="00401703" w:rsidRPr="00E369C0" w14:paraId="07BD6029" w14:textId="77777777" w:rsidTr="002D6DD7">
        <w:trPr>
          <w:trHeight w:val="413"/>
        </w:trPr>
        <w:tc>
          <w:tcPr>
            <w:tcW w:w="9016" w:type="dxa"/>
            <w:gridSpan w:val="2"/>
          </w:tcPr>
          <w:p w14:paraId="37BA78E9" w14:textId="77777777" w:rsidR="00401703" w:rsidRPr="00E369C0" w:rsidRDefault="00401703" w:rsidP="002D6DD7">
            <w:pPr>
              <w:jc w:val="both"/>
              <w:rPr>
                <w:rFonts w:cs="Times New Roman"/>
                <w:b/>
                <w:bCs/>
                <w:color w:val="000000" w:themeColor="text1"/>
                <w:szCs w:val="24"/>
              </w:rPr>
            </w:pPr>
            <w:bookmarkStart w:id="83" w:name="_Toc168318750"/>
            <w:r w:rsidRPr="00E369C0">
              <w:rPr>
                <w:rFonts w:cs="Times New Roman"/>
                <w:b/>
                <w:bCs/>
                <w:szCs w:val="24"/>
              </w:rPr>
              <w:t>Amitriptyline</w:t>
            </w:r>
            <w:bookmarkEnd w:id="83"/>
          </w:p>
        </w:tc>
      </w:tr>
      <w:tr w:rsidR="00401703" w:rsidRPr="00E369C0" w14:paraId="18F043F6" w14:textId="77777777" w:rsidTr="002D6DD7">
        <w:tc>
          <w:tcPr>
            <w:tcW w:w="2695" w:type="dxa"/>
          </w:tcPr>
          <w:p w14:paraId="071EAC63" w14:textId="77777777" w:rsidR="00401703" w:rsidRPr="00E369C0" w:rsidRDefault="00401703" w:rsidP="002D6DD7">
            <w:pPr>
              <w:jc w:val="both"/>
              <w:rPr>
                <w:rFonts w:cs="Times New Roman"/>
                <w:color w:val="000000" w:themeColor="text1"/>
                <w:szCs w:val="24"/>
              </w:rPr>
            </w:pPr>
            <w:r w:rsidRPr="00E369C0">
              <w:rPr>
                <w:rFonts w:cs="Times New Roman"/>
                <w:color w:val="000000" w:themeColor="text1"/>
                <w:szCs w:val="24"/>
              </w:rPr>
              <w:t>Pharmacological class</w:t>
            </w:r>
          </w:p>
        </w:tc>
        <w:tc>
          <w:tcPr>
            <w:tcW w:w="6321" w:type="dxa"/>
          </w:tcPr>
          <w:p w14:paraId="3EC7FAE0" w14:textId="77777777" w:rsidR="00401703" w:rsidRPr="00E369C0" w:rsidRDefault="00401703" w:rsidP="002D6DD7">
            <w:pPr>
              <w:jc w:val="both"/>
              <w:rPr>
                <w:rFonts w:cs="Times New Roman"/>
                <w:color w:val="000000" w:themeColor="text1"/>
                <w:szCs w:val="24"/>
              </w:rPr>
            </w:pPr>
            <w:r w:rsidRPr="00E369C0">
              <w:rPr>
                <w:rFonts w:cs="Times New Roman"/>
                <w:szCs w:val="24"/>
              </w:rPr>
              <w:t>Tricyclic Antidepressant</w:t>
            </w:r>
          </w:p>
        </w:tc>
      </w:tr>
      <w:tr w:rsidR="00401703" w:rsidRPr="00E369C0" w14:paraId="33DA97ED" w14:textId="77777777" w:rsidTr="002D6DD7">
        <w:tc>
          <w:tcPr>
            <w:tcW w:w="2695" w:type="dxa"/>
          </w:tcPr>
          <w:p w14:paraId="546BED03" w14:textId="77777777" w:rsidR="00401703" w:rsidRPr="00E369C0" w:rsidRDefault="00401703" w:rsidP="002D6DD7">
            <w:pPr>
              <w:jc w:val="both"/>
              <w:rPr>
                <w:rFonts w:cs="Times New Roman"/>
                <w:color w:val="000000" w:themeColor="text1"/>
                <w:szCs w:val="24"/>
              </w:rPr>
            </w:pPr>
            <w:r w:rsidRPr="00E369C0">
              <w:rPr>
                <w:rFonts w:cs="Times New Roman"/>
                <w:color w:val="000000" w:themeColor="text1"/>
                <w:szCs w:val="24"/>
              </w:rPr>
              <w:t>Dosage form</w:t>
            </w:r>
          </w:p>
        </w:tc>
        <w:tc>
          <w:tcPr>
            <w:tcW w:w="6321" w:type="dxa"/>
          </w:tcPr>
          <w:p w14:paraId="4B707237" w14:textId="77777777" w:rsidR="00401703" w:rsidRPr="00E369C0" w:rsidRDefault="00401703" w:rsidP="002D6DD7">
            <w:pPr>
              <w:jc w:val="both"/>
              <w:rPr>
                <w:rFonts w:cs="Times New Roman"/>
                <w:color w:val="000000" w:themeColor="text1"/>
                <w:szCs w:val="24"/>
              </w:rPr>
            </w:pPr>
            <w:r w:rsidRPr="00E369C0">
              <w:rPr>
                <w:rFonts w:cs="Times New Roman"/>
                <w:color w:val="000000"/>
                <w:szCs w:val="24"/>
              </w:rPr>
              <w:t>Tablet: 25mg, 50mg</w:t>
            </w:r>
          </w:p>
        </w:tc>
      </w:tr>
      <w:tr w:rsidR="00401703" w:rsidRPr="00E369C0" w14:paraId="33E44085" w14:textId="77777777" w:rsidTr="002D6DD7">
        <w:tc>
          <w:tcPr>
            <w:tcW w:w="2695" w:type="dxa"/>
          </w:tcPr>
          <w:p w14:paraId="640320CF" w14:textId="77777777" w:rsidR="00401703" w:rsidRPr="00E369C0" w:rsidRDefault="00401703" w:rsidP="002D6DD7">
            <w:pPr>
              <w:jc w:val="both"/>
              <w:rPr>
                <w:rFonts w:cs="Times New Roman"/>
                <w:color w:val="000000" w:themeColor="text1"/>
                <w:szCs w:val="24"/>
              </w:rPr>
            </w:pPr>
            <w:r w:rsidRPr="00E369C0">
              <w:rPr>
                <w:rFonts w:cs="Times New Roman"/>
                <w:color w:val="000000" w:themeColor="text1"/>
                <w:szCs w:val="24"/>
              </w:rPr>
              <w:t>Indications</w:t>
            </w:r>
          </w:p>
        </w:tc>
        <w:tc>
          <w:tcPr>
            <w:tcW w:w="6321" w:type="dxa"/>
          </w:tcPr>
          <w:p w14:paraId="670E8A80" w14:textId="77777777" w:rsidR="00401703" w:rsidRPr="00E369C0" w:rsidRDefault="00401703" w:rsidP="002D6DD7">
            <w:pPr>
              <w:jc w:val="both"/>
              <w:rPr>
                <w:rFonts w:cs="Times New Roman"/>
                <w:color w:val="000000" w:themeColor="text1"/>
                <w:szCs w:val="24"/>
              </w:rPr>
            </w:pPr>
            <w:r w:rsidRPr="00E369C0">
              <w:rPr>
                <w:rFonts w:cs="Times New Roman"/>
                <w:szCs w:val="24"/>
              </w:rPr>
              <w:t xml:space="preserve">Major </w:t>
            </w:r>
            <w:r>
              <w:rPr>
                <w:rFonts w:cs="Times New Roman"/>
                <w:szCs w:val="24"/>
              </w:rPr>
              <w:t>d</w:t>
            </w:r>
            <w:r w:rsidRPr="00E369C0">
              <w:rPr>
                <w:rFonts w:cs="Times New Roman"/>
                <w:szCs w:val="24"/>
              </w:rPr>
              <w:t>epression</w:t>
            </w:r>
          </w:p>
        </w:tc>
      </w:tr>
      <w:tr w:rsidR="00401703" w:rsidRPr="00E369C0" w14:paraId="42B30876" w14:textId="77777777" w:rsidTr="002D6DD7">
        <w:tc>
          <w:tcPr>
            <w:tcW w:w="2695" w:type="dxa"/>
          </w:tcPr>
          <w:p w14:paraId="568BF6FF" w14:textId="77777777" w:rsidR="00401703" w:rsidRPr="00E369C0" w:rsidRDefault="00401703" w:rsidP="002D6DD7">
            <w:pPr>
              <w:jc w:val="both"/>
              <w:rPr>
                <w:rFonts w:cs="Times New Roman"/>
                <w:color w:val="000000" w:themeColor="text1"/>
                <w:szCs w:val="24"/>
              </w:rPr>
            </w:pPr>
            <w:r w:rsidRPr="00E369C0">
              <w:rPr>
                <w:rFonts w:eastAsia="Times New Roman" w:cs="Times New Roman"/>
                <w:color w:val="000000" w:themeColor="text1"/>
                <w:szCs w:val="24"/>
              </w:rPr>
              <w:t>Dose and Administration</w:t>
            </w:r>
          </w:p>
        </w:tc>
        <w:tc>
          <w:tcPr>
            <w:tcW w:w="6321" w:type="dxa"/>
          </w:tcPr>
          <w:p w14:paraId="528F75D1" w14:textId="77777777" w:rsidR="00401703" w:rsidRPr="00C80455" w:rsidRDefault="00401703" w:rsidP="002D6DD7">
            <w:pPr>
              <w:jc w:val="both"/>
              <w:rPr>
                <w:rFonts w:cs="Times New Roman"/>
                <w:b/>
                <w:bCs/>
                <w:szCs w:val="24"/>
              </w:rPr>
            </w:pPr>
            <w:r>
              <w:rPr>
                <w:rFonts w:cs="Times New Roman"/>
                <w:b/>
                <w:bCs/>
                <w:szCs w:val="24"/>
              </w:rPr>
              <w:t>Adult</w:t>
            </w:r>
            <w:r w:rsidRPr="00E369C0">
              <w:rPr>
                <w:rFonts w:cs="Times New Roman"/>
                <w:b/>
                <w:bCs/>
                <w:szCs w:val="24"/>
              </w:rPr>
              <w:t>:</w:t>
            </w:r>
            <w:r w:rsidR="00C80455">
              <w:rPr>
                <w:rFonts w:cs="Times New Roman"/>
                <w:b/>
                <w:bCs/>
                <w:szCs w:val="24"/>
              </w:rPr>
              <w:t xml:space="preserve"> </w:t>
            </w:r>
            <w:r w:rsidRPr="00E369C0">
              <w:rPr>
                <w:rFonts w:cs="Times New Roman"/>
                <w:szCs w:val="24"/>
              </w:rPr>
              <w:t>Initially 75 mg daily (25–75 mg, daily in the elderly and adolescents) in divided doses or as a single dose at bedtime, increased gradually to 150–200 mg daily as necessary.</w:t>
            </w:r>
          </w:p>
          <w:p w14:paraId="64A7C351" w14:textId="77777777" w:rsidR="00401703" w:rsidRPr="00E369C0" w:rsidRDefault="00401703" w:rsidP="002D6DD7">
            <w:pPr>
              <w:jc w:val="both"/>
              <w:rPr>
                <w:rFonts w:cs="Times New Roman"/>
                <w:b/>
                <w:bCs/>
                <w:szCs w:val="24"/>
              </w:rPr>
            </w:pPr>
            <w:r w:rsidRPr="00E369C0">
              <w:rPr>
                <w:rFonts w:cs="Times New Roman"/>
                <w:b/>
                <w:bCs/>
                <w:szCs w:val="24"/>
              </w:rPr>
              <w:t>Paediatric</w:t>
            </w:r>
            <w:r w:rsidR="00C80455">
              <w:rPr>
                <w:rFonts w:cs="Times New Roman"/>
                <w:b/>
                <w:bCs/>
                <w:szCs w:val="24"/>
              </w:rPr>
              <w:t>:</w:t>
            </w:r>
          </w:p>
          <w:p w14:paraId="12FCE5F3" w14:textId="77777777" w:rsidR="00C80455" w:rsidRDefault="00401703" w:rsidP="002D6DD7">
            <w:pPr>
              <w:jc w:val="both"/>
              <w:rPr>
                <w:rFonts w:cs="Times New Roman"/>
                <w:szCs w:val="24"/>
              </w:rPr>
            </w:pPr>
            <w:r w:rsidRPr="00E369C0">
              <w:rPr>
                <w:rFonts w:cs="Times New Roman"/>
                <w:b/>
                <w:bCs/>
                <w:szCs w:val="24"/>
              </w:rPr>
              <w:t>Child 9 to 12 years:</w:t>
            </w:r>
            <w:r w:rsidRPr="00E369C0">
              <w:rPr>
                <w:rFonts w:cs="Times New Roman"/>
                <w:szCs w:val="24"/>
              </w:rPr>
              <w:t xml:space="preserve"> Initial 1 mg/kg/day in 3 divided doses</w:t>
            </w:r>
            <w:r>
              <w:rPr>
                <w:rFonts w:cs="Times New Roman"/>
                <w:szCs w:val="24"/>
              </w:rPr>
              <w:t>,</w:t>
            </w:r>
            <w:r w:rsidRPr="00E369C0">
              <w:rPr>
                <w:rFonts w:cs="Times New Roman"/>
                <w:szCs w:val="24"/>
              </w:rPr>
              <w:t xml:space="preserve"> after 3 days, dose may be increased to 1.5 mg/kg/day in 3 divided doses</w:t>
            </w:r>
            <w:r w:rsidR="00C80455">
              <w:rPr>
                <w:rFonts w:cs="Times New Roman"/>
                <w:szCs w:val="24"/>
              </w:rPr>
              <w:t>.</w:t>
            </w:r>
          </w:p>
          <w:p w14:paraId="0B0E67DC" w14:textId="77777777" w:rsidR="00401703" w:rsidRPr="00E369C0" w:rsidRDefault="00401703" w:rsidP="002D6DD7">
            <w:pPr>
              <w:jc w:val="both"/>
              <w:rPr>
                <w:rFonts w:cs="Times New Roman"/>
                <w:szCs w:val="24"/>
              </w:rPr>
            </w:pPr>
            <w:r w:rsidRPr="00E369C0">
              <w:rPr>
                <w:rFonts w:cs="Times New Roman"/>
                <w:b/>
                <w:bCs/>
                <w:szCs w:val="24"/>
              </w:rPr>
              <w:t>Child</w:t>
            </w:r>
            <w:r w:rsidRPr="00E369C0">
              <w:rPr>
                <w:rFonts w:cs="Times New Roman"/>
                <w:b/>
                <w:bCs/>
                <w:szCs w:val="24"/>
              </w:rPr>
              <w:tab/>
              <w:t>≥12</w:t>
            </w:r>
            <w:r>
              <w:rPr>
                <w:rFonts w:cs="Times New Roman"/>
                <w:b/>
                <w:bCs/>
                <w:szCs w:val="24"/>
              </w:rPr>
              <w:t xml:space="preserve"> </w:t>
            </w:r>
            <w:r w:rsidRPr="00E369C0">
              <w:rPr>
                <w:rFonts w:cs="Times New Roman"/>
                <w:b/>
                <w:bCs/>
                <w:szCs w:val="24"/>
              </w:rPr>
              <w:t>year</w:t>
            </w:r>
            <w:r>
              <w:rPr>
                <w:rFonts w:cs="Times New Roman"/>
                <w:b/>
                <w:bCs/>
                <w:szCs w:val="24"/>
              </w:rPr>
              <w:t xml:space="preserve">s </w:t>
            </w:r>
            <w:r w:rsidRPr="00E369C0">
              <w:rPr>
                <w:rFonts w:cs="Times New Roman"/>
                <w:b/>
                <w:bCs/>
                <w:szCs w:val="24"/>
              </w:rPr>
              <w:t>and</w:t>
            </w:r>
            <w:r>
              <w:rPr>
                <w:rFonts w:cs="Times New Roman"/>
                <w:b/>
                <w:bCs/>
                <w:szCs w:val="24"/>
              </w:rPr>
              <w:t xml:space="preserve"> </w:t>
            </w:r>
            <w:r w:rsidRPr="00E369C0">
              <w:rPr>
                <w:rFonts w:cs="Times New Roman"/>
                <w:b/>
                <w:bCs/>
                <w:szCs w:val="24"/>
              </w:rPr>
              <w:t>adolescent:</w:t>
            </w:r>
            <w:r>
              <w:rPr>
                <w:rFonts w:cs="Times New Roman"/>
                <w:b/>
                <w:bCs/>
                <w:szCs w:val="24"/>
              </w:rPr>
              <w:t xml:space="preserve"> </w:t>
            </w:r>
            <w:r w:rsidRPr="00E369C0">
              <w:rPr>
                <w:rFonts w:cs="Times New Roman"/>
                <w:szCs w:val="24"/>
              </w:rPr>
              <w:t>10 mg three times daily and 20 mg at bedtime</w:t>
            </w:r>
            <w:r>
              <w:rPr>
                <w:rFonts w:cs="Times New Roman"/>
                <w:szCs w:val="24"/>
              </w:rPr>
              <w:t>,</w:t>
            </w:r>
            <w:r w:rsidRPr="00E369C0">
              <w:rPr>
                <w:rFonts w:cs="Times New Roman"/>
                <w:szCs w:val="24"/>
              </w:rPr>
              <w:t xml:space="preserve"> maximum daily dose: 200 mg/day</w:t>
            </w:r>
            <w:r w:rsidR="00C80455">
              <w:rPr>
                <w:rFonts w:cs="Times New Roman"/>
                <w:szCs w:val="24"/>
              </w:rPr>
              <w:t>.</w:t>
            </w:r>
          </w:p>
        </w:tc>
      </w:tr>
      <w:tr w:rsidR="00401703" w:rsidRPr="00E369C0" w14:paraId="65CC15E0" w14:textId="77777777" w:rsidTr="002D6DD7">
        <w:tc>
          <w:tcPr>
            <w:tcW w:w="2695" w:type="dxa"/>
          </w:tcPr>
          <w:p w14:paraId="695870C7" w14:textId="77777777" w:rsidR="00401703" w:rsidRPr="00E369C0" w:rsidRDefault="00401703" w:rsidP="002D6DD7">
            <w:pPr>
              <w:jc w:val="both"/>
              <w:rPr>
                <w:rFonts w:cs="Times New Roman"/>
                <w:color w:val="000000" w:themeColor="text1"/>
                <w:szCs w:val="24"/>
              </w:rPr>
            </w:pPr>
            <w:r w:rsidRPr="00E369C0">
              <w:rPr>
                <w:rFonts w:cs="Times New Roman"/>
                <w:szCs w:val="24"/>
              </w:rPr>
              <w:t>Contraindications</w:t>
            </w:r>
          </w:p>
        </w:tc>
        <w:tc>
          <w:tcPr>
            <w:tcW w:w="6321" w:type="dxa"/>
          </w:tcPr>
          <w:p w14:paraId="00EB814D" w14:textId="77777777" w:rsidR="00401703" w:rsidRPr="00E369C0" w:rsidRDefault="00401703" w:rsidP="002D6DD7">
            <w:pPr>
              <w:jc w:val="both"/>
              <w:rPr>
                <w:rFonts w:cs="Times New Roman"/>
                <w:szCs w:val="24"/>
              </w:rPr>
            </w:pPr>
            <w:r w:rsidRPr="00E369C0">
              <w:rPr>
                <w:rFonts w:cs="Times New Roman"/>
                <w:szCs w:val="24"/>
              </w:rPr>
              <w:t xml:space="preserve">Hypersensitivity to </w:t>
            </w:r>
            <w:r>
              <w:rPr>
                <w:rFonts w:cs="Times New Roman"/>
                <w:szCs w:val="24"/>
              </w:rPr>
              <w:t>the drug</w:t>
            </w:r>
            <w:r w:rsidRPr="00E369C0">
              <w:rPr>
                <w:rFonts w:cs="Times New Roman"/>
                <w:szCs w:val="24"/>
              </w:rPr>
              <w:t>, recent myocardial infarction, arrhythmias (especially heart block), manic phase in bipolar disorders</w:t>
            </w:r>
          </w:p>
        </w:tc>
      </w:tr>
      <w:tr w:rsidR="00401703" w:rsidRPr="00E369C0" w14:paraId="312547B1" w14:textId="77777777" w:rsidTr="002D6DD7">
        <w:tc>
          <w:tcPr>
            <w:tcW w:w="2695" w:type="dxa"/>
          </w:tcPr>
          <w:p w14:paraId="61702756" w14:textId="77777777" w:rsidR="00401703" w:rsidRPr="00E369C0" w:rsidRDefault="00401703" w:rsidP="002D6DD7">
            <w:pPr>
              <w:jc w:val="both"/>
              <w:rPr>
                <w:rFonts w:cs="Times New Roman"/>
                <w:color w:val="000000" w:themeColor="text1"/>
                <w:szCs w:val="24"/>
              </w:rPr>
            </w:pPr>
            <w:r w:rsidRPr="00E369C0">
              <w:rPr>
                <w:rFonts w:cs="Times New Roman"/>
                <w:szCs w:val="24"/>
              </w:rPr>
              <w:t>Drug Interactions</w:t>
            </w:r>
          </w:p>
        </w:tc>
        <w:tc>
          <w:tcPr>
            <w:tcW w:w="6321" w:type="dxa"/>
          </w:tcPr>
          <w:p w14:paraId="26A2084D" w14:textId="77777777" w:rsidR="00401703" w:rsidRPr="00E369C0" w:rsidRDefault="00401703" w:rsidP="002D6DD7">
            <w:pPr>
              <w:jc w:val="both"/>
              <w:rPr>
                <w:rFonts w:cs="Times New Roman"/>
                <w:b/>
                <w:bCs/>
                <w:szCs w:val="24"/>
              </w:rPr>
            </w:pPr>
            <w:r w:rsidRPr="00DC0DA7">
              <w:rPr>
                <w:rFonts w:cs="Times New Roman"/>
                <w:szCs w:val="24"/>
              </w:rPr>
              <w:t>MAO inhibitors, SSRIs, anticholinergic drugs, CNS depressants, antihypertensives, alcohol, CYP2D6 inhibitors, antipsychotics, tramadol, warfarin, sympathomimetic agents.</w:t>
            </w:r>
          </w:p>
        </w:tc>
      </w:tr>
      <w:tr w:rsidR="00401703" w:rsidRPr="00E369C0" w14:paraId="762CFBA8" w14:textId="77777777" w:rsidTr="002D6DD7">
        <w:tc>
          <w:tcPr>
            <w:tcW w:w="2695" w:type="dxa"/>
          </w:tcPr>
          <w:p w14:paraId="7E3C2358" w14:textId="77777777" w:rsidR="00401703" w:rsidRPr="00E369C0" w:rsidRDefault="00401703" w:rsidP="002D6DD7">
            <w:pPr>
              <w:jc w:val="both"/>
              <w:rPr>
                <w:rFonts w:cs="Times New Roman"/>
                <w:color w:val="000000" w:themeColor="text1"/>
                <w:szCs w:val="24"/>
              </w:rPr>
            </w:pPr>
            <w:r w:rsidRPr="00E369C0">
              <w:rPr>
                <w:rFonts w:cs="Times New Roman"/>
                <w:szCs w:val="24"/>
              </w:rPr>
              <w:t>Side Effects</w:t>
            </w:r>
          </w:p>
        </w:tc>
        <w:tc>
          <w:tcPr>
            <w:tcW w:w="6321" w:type="dxa"/>
          </w:tcPr>
          <w:p w14:paraId="6424E333" w14:textId="77777777" w:rsidR="00401703" w:rsidRPr="00E369C0" w:rsidRDefault="00401703" w:rsidP="002D6DD7">
            <w:pPr>
              <w:jc w:val="both"/>
              <w:rPr>
                <w:rFonts w:cs="Times New Roman"/>
                <w:szCs w:val="24"/>
              </w:rPr>
            </w:pPr>
            <w:r w:rsidRPr="009B5E6A">
              <w:rPr>
                <w:rFonts w:cs="Times New Roman"/>
                <w:szCs w:val="24"/>
              </w:rPr>
              <w:t>Drowsiness, dry mouth, blurred vision, constipation, weight gain, dizziness, urinary retention, orthostatic hypotension, confusion, tachycardia, increased risk of arrhythmias, sexual dysfunction, sweating, headache.</w:t>
            </w:r>
          </w:p>
        </w:tc>
      </w:tr>
      <w:tr w:rsidR="00401703" w:rsidRPr="00E369C0" w14:paraId="7E498735" w14:textId="77777777" w:rsidTr="002D6DD7">
        <w:tc>
          <w:tcPr>
            <w:tcW w:w="2695" w:type="dxa"/>
          </w:tcPr>
          <w:p w14:paraId="36BF5DF5" w14:textId="77777777" w:rsidR="00401703" w:rsidRPr="00E369C0" w:rsidRDefault="00401703" w:rsidP="002D6DD7">
            <w:pPr>
              <w:jc w:val="both"/>
              <w:rPr>
                <w:rFonts w:cs="Times New Roman"/>
                <w:color w:val="000000" w:themeColor="text1"/>
                <w:szCs w:val="24"/>
              </w:rPr>
            </w:pPr>
            <w:r w:rsidRPr="00E369C0">
              <w:rPr>
                <w:rFonts w:cs="Times New Roman"/>
                <w:szCs w:val="24"/>
              </w:rPr>
              <w:t>Cautions</w:t>
            </w:r>
          </w:p>
        </w:tc>
        <w:tc>
          <w:tcPr>
            <w:tcW w:w="6321" w:type="dxa"/>
          </w:tcPr>
          <w:p w14:paraId="668458A4" w14:textId="77777777" w:rsidR="00401703" w:rsidRPr="00E369C0" w:rsidRDefault="00401703" w:rsidP="002D6DD7">
            <w:pPr>
              <w:jc w:val="both"/>
              <w:rPr>
                <w:rFonts w:cs="Times New Roman"/>
                <w:szCs w:val="24"/>
              </w:rPr>
            </w:pPr>
            <w:r w:rsidRPr="00C74EA4">
              <w:rPr>
                <w:rFonts w:cs="Times New Roman"/>
                <w:szCs w:val="24"/>
              </w:rPr>
              <w:t>Cardiovascular disease, history of seizures, hyperthyroidism, bipolar disorder, glaucoma, urinary retention, elderly patients, hepatic impairment, risk of suicidal ideation, abrupt discontinuation.</w:t>
            </w:r>
          </w:p>
        </w:tc>
      </w:tr>
      <w:tr w:rsidR="00401703" w:rsidRPr="00E369C0" w14:paraId="0F7CFA03" w14:textId="77777777" w:rsidTr="002D6DD7">
        <w:tc>
          <w:tcPr>
            <w:tcW w:w="2695" w:type="dxa"/>
          </w:tcPr>
          <w:p w14:paraId="65D4F137" w14:textId="77777777" w:rsidR="00401703" w:rsidRPr="00E369C0" w:rsidRDefault="00401703" w:rsidP="002D6DD7">
            <w:pPr>
              <w:jc w:val="both"/>
              <w:rPr>
                <w:rFonts w:cs="Times New Roman"/>
                <w:color w:val="000000" w:themeColor="text1"/>
                <w:szCs w:val="24"/>
              </w:rPr>
            </w:pPr>
            <w:r w:rsidRPr="00E369C0">
              <w:rPr>
                <w:rFonts w:cs="Times New Roman"/>
                <w:szCs w:val="24"/>
              </w:rPr>
              <w:lastRenderedPageBreak/>
              <w:t>Storage Condition</w:t>
            </w:r>
          </w:p>
        </w:tc>
        <w:tc>
          <w:tcPr>
            <w:tcW w:w="6321" w:type="dxa"/>
          </w:tcPr>
          <w:p w14:paraId="3536B9A7" w14:textId="77777777" w:rsidR="00401703" w:rsidRPr="00E369C0" w:rsidRDefault="00401703" w:rsidP="002D6DD7">
            <w:pPr>
              <w:jc w:val="both"/>
              <w:rPr>
                <w:rFonts w:cs="Times New Roman"/>
                <w:color w:val="000000" w:themeColor="text1"/>
                <w:szCs w:val="24"/>
              </w:rPr>
            </w:pPr>
            <w:r w:rsidRPr="00E369C0">
              <w:rPr>
                <w:rFonts w:cs="Times New Roman"/>
                <w:szCs w:val="24"/>
              </w:rPr>
              <w:t>Store below 30</w:t>
            </w:r>
            <w:r w:rsidRPr="00E369C0">
              <w:rPr>
                <w:rFonts w:cs="Times New Roman"/>
                <w:szCs w:val="24"/>
                <w:vertAlign w:val="superscript"/>
              </w:rPr>
              <w:t>0</w:t>
            </w:r>
            <w:r w:rsidRPr="00E369C0">
              <w:rPr>
                <w:rFonts w:cs="Times New Roman"/>
                <w:szCs w:val="24"/>
              </w:rPr>
              <w:t>C. Protect from light.</w:t>
            </w:r>
          </w:p>
        </w:tc>
      </w:tr>
      <w:tr w:rsidR="00401703" w:rsidRPr="00E369C0" w14:paraId="742B3CB9" w14:textId="77777777" w:rsidTr="002D6DD7">
        <w:tc>
          <w:tcPr>
            <w:tcW w:w="2695" w:type="dxa"/>
          </w:tcPr>
          <w:p w14:paraId="488FFD5C" w14:textId="77777777" w:rsidR="00401703" w:rsidRPr="002371EC" w:rsidRDefault="00401703" w:rsidP="002D6DD7">
            <w:pPr>
              <w:jc w:val="both"/>
              <w:rPr>
                <w:rFonts w:cs="Times New Roman"/>
                <w:b/>
                <w:bCs/>
                <w:szCs w:val="24"/>
              </w:rPr>
            </w:pPr>
            <w:r w:rsidRPr="002371EC">
              <w:rPr>
                <w:rFonts w:cs="Times New Roman"/>
                <w:b/>
                <w:bCs/>
                <w:szCs w:val="24"/>
              </w:rPr>
              <w:t>Escitalopram</w:t>
            </w:r>
          </w:p>
        </w:tc>
        <w:tc>
          <w:tcPr>
            <w:tcW w:w="6321" w:type="dxa"/>
          </w:tcPr>
          <w:p w14:paraId="56F79C12" w14:textId="77777777" w:rsidR="00401703" w:rsidRPr="00E369C0" w:rsidRDefault="00401703" w:rsidP="002D6DD7">
            <w:pPr>
              <w:jc w:val="both"/>
              <w:rPr>
                <w:rFonts w:cs="Times New Roman"/>
                <w:szCs w:val="24"/>
              </w:rPr>
            </w:pPr>
          </w:p>
        </w:tc>
      </w:tr>
      <w:tr w:rsidR="00401703" w:rsidRPr="00E369C0" w14:paraId="224E4942" w14:textId="77777777" w:rsidTr="002D6DD7">
        <w:tc>
          <w:tcPr>
            <w:tcW w:w="2695" w:type="dxa"/>
          </w:tcPr>
          <w:p w14:paraId="39C56B69" w14:textId="77777777" w:rsidR="00401703" w:rsidRPr="00E369C0" w:rsidRDefault="00401703" w:rsidP="002D6DD7">
            <w:pPr>
              <w:jc w:val="both"/>
              <w:rPr>
                <w:rFonts w:cs="Times New Roman"/>
                <w:szCs w:val="24"/>
              </w:rPr>
            </w:pPr>
            <w:r w:rsidRPr="00944B15">
              <w:rPr>
                <w:rFonts w:eastAsia="Times New Roman" w:cs="Times New Roman"/>
                <w:szCs w:val="24"/>
              </w:rPr>
              <w:t>Pharmacological Class</w:t>
            </w:r>
          </w:p>
        </w:tc>
        <w:tc>
          <w:tcPr>
            <w:tcW w:w="6321" w:type="dxa"/>
          </w:tcPr>
          <w:p w14:paraId="65B66BB1" w14:textId="77777777" w:rsidR="00401703" w:rsidRPr="00E369C0" w:rsidRDefault="00401703" w:rsidP="002D6DD7">
            <w:pPr>
              <w:jc w:val="both"/>
              <w:rPr>
                <w:rFonts w:cs="Times New Roman"/>
                <w:szCs w:val="24"/>
              </w:rPr>
            </w:pPr>
            <w:r w:rsidRPr="00944B15">
              <w:rPr>
                <w:rFonts w:eastAsia="Times New Roman" w:cs="Times New Roman"/>
                <w:szCs w:val="24"/>
              </w:rPr>
              <w:t>Selective Serotonin Reuptake Inhibitor</w:t>
            </w:r>
            <w:r>
              <w:rPr>
                <w:rFonts w:eastAsia="Times New Roman" w:cs="Times New Roman"/>
                <w:szCs w:val="24"/>
              </w:rPr>
              <w:t xml:space="preserve"> (SSRI)</w:t>
            </w:r>
          </w:p>
        </w:tc>
      </w:tr>
      <w:tr w:rsidR="00401703" w:rsidRPr="00E369C0" w14:paraId="1AF2E2AE" w14:textId="77777777" w:rsidTr="002D6DD7">
        <w:tc>
          <w:tcPr>
            <w:tcW w:w="2695" w:type="dxa"/>
          </w:tcPr>
          <w:p w14:paraId="305D284B" w14:textId="77777777" w:rsidR="00401703" w:rsidRPr="00E369C0" w:rsidRDefault="00401703" w:rsidP="002D6DD7">
            <w:pPr>
              <w:jc w:val="both"/>
              <w:rPr>
                <w:rFonts w:cs="Times New Roman"/>
                <w:szCs w:val="24"/>
              </w:rPr>
            </w:pPr>
            <w:r w:rsidRPr="00944B15">
              <w:rPr>
                <w:rFonts w:eastAsia="Times New Roman" w:cs="Times New Roman"/>
                <w:szCs w:val="24"/>
              </w:rPr>
              <w:t>Dosage Form</w:t>
            </w:r>
          </w:p>
        </w:tc>
        <w:tc>
          <w:tcPr>
            <w:tcW w:w="6321" w:type="dxa"/>
          </w:tcPr>
          <w:p w14:paraId="00DF8B62" w14:textId="77777777" w:rsidR="00401703" w:rsidRPr="00E369C0" w:rsidRDefault="00401703" w:rsidP="002D6DD7">
            <w:pPr>
              <w:jc w:val="both"/>
              <w:rPr>
                <w:rFonts w:cs="Times New Roman"/>
                <w:szCs w:val="24"/>
              </w:rPr>
            </w:pPr>
            <w:r w:rsidRPr="00944B15">
              <w:rPr>
                <w:rFonts w:eastAsia="Times New Roman" w:cs="Times New Roman"/>
                <w:szCs w:val="24"/>
              </w:rPr>
              <w:t>Tablet: 5mg, 10mg, 20mg</w:t>
            </w:r>
          </w:p>
        </w:tc>
      </w:tr>
      <w:tr w:rsidR="00401703" w:rsidRPr="00E369C0" w14:paraId="002303E1" w14:textId="77777777" w:rsidTr="002D6DD7">
        <w:tc>
          <w:tcPr>
            <w:tcW w:w="2695" w:type="dxa"/>
          </w:tcPr>
          <w:p w14:paraId="72EEE9E7" w14:textId="77777777" w:rsidR="00401703" w:rsidRPr="00E369C0" w:rsidRDefault="00401703" w:rsidP="002D6DD7">
            <w:pPr>
              <w:jc w:val="both"/>
              <w:rPr>
                <w:rFonts w:cs="Times New Roman"/>
                <w:szCs w:val="24"/>
              </w:rPr>
            </w:pPr>
            <w:r w:rsidRPr="00944B15">
              <w:rPr>
                <w:rFonts w:eastAsia="Times New Roman" w:cs="Times New Roman"/>
                <w:szCs w:val="24"/>
              </w:rPr>
              <w:t>Indications</w:t>
            </w:r>
          </w:p>
        </w:tc>
        <w:tc>
          <w:tcPr>
            <w:tcW w:w="6321" w:type="dxa"/>
          </w:tcPr>
          <w:p w14:paraId="52902D34" w14:textId="77777777" w:rsidR="00401703" w:rsidRPr="00E369C0" w:rsidRDefault="00401703" w:rsidP="002D6DD7">
            <w:pPr>
              <w:jc w:val="both"/>
              <w:rPr>
                <w:rFonts w:cs="Times New Roman"/>
                <w:szCs w:val="24"/>
              </w:rPr>
            </w:pPr>
            <w:r w:rsidRPr="00944B15">
              <w:rPr>
                <w:rFonts w:eastAsia="Times New Roman" w:cs="Times New Roman"/>
                <w:szCs w:val="24"/>
              </w:rPr>
              <w:t>Treatment of major depressive disorder (MDD), generalized anxiety disorder (GAD)</w:t>
            </w:r>
          </w:p>
        </w:tc>
      </w:tr>
      <w:tr w:rsidR="00401703" w:rsidRPr="00E369C0" w14:paraId="05C10877" w14:textId="77777777" w:rsidTr="002D6DD7">
        <w:tc>
          <w:tcPr>
            <w:tcW w:w="2695" w:type="dxa"/>
          </w:tcPr>
          <w:p w14:paraId="5A587600" w14:textId="77777777" w:rsidR="00401703" w:rsidRPr="00E369C0" w:rsidRDefault="00401703" w:rsidP="002D6DD7">
            <w:pPr>
              <w:jc w:val="both"/>
              <w:rPr>
                <w:rFonts w:cs="Times New Roman"/>
                <w:szCs w:val="24"/>
              </w:rPr>
            </w:pPr>
            <w:r w:rsidRPr="00944B15">
              <w:rPr>
                <w:rFonts w:eastAsia="Times New Roman" w:cs="Times New Roman"/>
                <w:szCs w:val="24"/>
              </w:rPr>
              <w:t>Dose and Administration</w:t>
            </w:r>
          </w:p>
        </w:tc>
        <w:tc>
          <w:tcPr>
            <w:tcW w:w="6321" w:type="dxa"/>
          </w:tcPr>
          <w:p w14:paraId="0EB3BEBD" w14:textId="77777777" w:rsidR="00401703" w:rsidRPr="00944B15" w:rsidRDefault="00401703" w:rsidP="002D6DD7">
            <w:pPr>
              <w:jc w:val="both"/>
              <w:rPr>
                <w:rFonts w:eastAsia="Times New Roman" w:cs="Times New Roman"/>
                <w:b/>
                <w:bCs/>
                <w:szCs w:val="24"/>
              </w:rPr>
            </w:pPr>
            <w:r w:rsidRPr="00944B15">
              <w:rPr>
                <w:rFonts w:eastAsia="Times New Roman" w:cs="Times New Roman"/>
                <w:b/>
                <w:bCs/>
                <w:szCs w:val="24"/>
              </w:rPr>
              <w:t xml:space="preserve">Depression, GAD: </w:t>
            </w:r>
          </w:p>
          <w:p w14:paraId="20A90745" w14:textId="77777777" w:rsidR="00401703" w:rsidRPr="00944B15" w:rsidRDefault="00401703" w:rsidP="002D6DD7">
            <w:pPr>
              <w:jc w:val="both"/>
              <w:rPr>
                <w:rFonts w:eastAsia="Times New Roman" w:cs="Times New Roman"/>
                <w:szCs w:val="24"/>
              </w:rPr>
            </w:pPr>
            <w:r w:rsidRPr="00944B15">
              <w:rPr>
                <w:rFonts w:eastAsia="Times New Roman" w:cs="Times New Roman"/>
                <w:b/>
                <w:bCs/>
                <w:szCs w:val="24"/>
              </w:rPr>
              <w:t>Adult:</w:t>
            </w:r>
            <w:r w:rsidRPr="00944B15">
              <w:rPr>
                <w:rFonts w:eastAsia="Times New Roman" w:cs="Times New Roman"/>
                <w:szCs w:val="24"/>
              </w:rPr>
              <w:t xml:space="preserve"> Initial: 10mg/day</w:t>
            </w:r>
            <w:r>
              <w:rPr>
                <w:rFonts w:eastAsia="Times New Roman" w:cs="Times New Roman"/>
                <w:szCs w:val="24"/>
              </w:rPr>
              <w:t>,</w:t>
            </w:r>
            <w:r w:rsidRPr="00944B15">
              <w:rPr>
                <w:rFonts w:eastAsia="Times New Roman" w:cs="Times New Roman"/>
                <w:szCs w:val="24"/>
              </w:rPr>
              <w:t xml:space="preserve"> dose may be increased to 20mg/day after at least 1 week. </w:t>
            </w:r>
          </w:p>
          <w:p w14:paraId="0F8894CC" w14:textId="77777777" w:rsidR="00401703" w:rsidRPr="00E369C0" w:rsidRDefault="00401703" w:rsidP="002D6DD7">
            <w:pPr>
              <w:jc w:val="both"/>
              <w:rPr>
                <w:rFonts w:cs="Times New Roman"/>
                <w:szCs w:val="24"/>
              </w:rPr>
            </w:pPr>
            <w:r w:rsidRPr="00944B15">
              <w:rPr>
                <w:rFonts w:eastAsia="Times New Roman" w:cs="Times New Roman"/>
                <w:b/>
                <w:bCs/>
                <w:szCs w:val="24"/>
              </w:rPr>
              <w:t>Elderly:</w:t>
            </w:r>
            <w:r w:rsidRPr="00944B15">
              <w:rPr>
                <w:rFonts w:eastAsia="Times New Roman" w:cs="Times New Roman"/>
                <w:szCs w:val="24"/>
              </w:rPr>
              <w:t xml:space="preserve"> 10mg/day</w:t>
            </w:r>
            <w:r>
              <w:rPr>
                <w:rFonts w:eastAsia="Times New Roman" w:cs="Times New Roman"/>
                <w:szCs w:val="24"/>
              </w:rPr>
              <w:t>,</w:t>
            </w:r>
            <w:r w:rsidRPr="00944B15">
              <w:rPr>
                <w:rFonts w:eastAsia="Times New Roman" w:cs="Times New Roman"/>
                <w:szCs w:val="24"/>
              </w:rPr>
              <w:t xml:space="preserve"> bioavailability and half-life are increased by 50% in the elderly.</w:t>
            </w:r>
          </w:p>
        </w:tc>
      </w:tr>
      <w:tr w:rsidR="00401703" w:rsidRPr="00E369C0" w14:paraId="7F98E87C" w14:textId="77777777" w:rsidTr="002D6DD7">
        <w:tc>
          <w:tcPr>
            <w:tcW w:w="2695" w:type="dxa"/>
          </w:tcPr>
          <w:p w14:paraId="596E731A" w14:textId="77777777" w:rsidR="00401703" w:rsidRPr="00E369C0" w:rsidRDefault="00401703" w:rsidP="002D6DD7">
            <w:pPr>
              <w:jc w:val="both"/>
              <w:rPr>
                <w:rFonts w:cs="Times New Roman"/>
                <w:szCs w:val="24"/>
              </w:rPr>
            </w:pPr>
            <w:r w:rsidRPr="00944B15">
              <w:rPr>
                <w:rFonts w:eastAsia="Times New Roman" w:cs="Times New Roman"/>
                <w:szCs w:val="24"/>
              </w:rPr>
              <w:t>Contraindications</w:t>
            </w:r>
          </w:p>
        </w:tc>
        <w:tc>
          <w:tcPr>
            <w:tcW w:w="6321" w:type="dxa"/>
          </w:tcPr>
          <w:p w14:paraId="7D429D49" w14:textId="77777777" w:rsidR="00401703" w:rsidRPr="00E369C0" w:rsidRDefault="00401703" w:rsidP="002D6DD7">
            <w:pPr>
              <w:jc w:val="both"/>
              <w:rPr>
                <w:rFonts w:cs="Times New Roman"/>
                <w:szCs w:val="24"/>
              </w:rPr>
            </w:pPr>
            <w:r w:rsidRPr="00944B15">
              <w:rPr>
                <w:rFonts w:eastAsia="Times New Roman" w:cs="Times New Roman"/>
                <w:szCs w:val="24"/>
              </w:rPr>
              <w:t xml:space="preserve">Hypersensitivity </w:t>
            </w:r>
            <w:r>
              <w:rPr>
                <w:rFonts w:eastAsia="Times New Roman" w:cs="Times New Roman"/>
                <w:szCs w:val="24"/>
              </w:rPr>
              <w:t>to the drug</w:t>
            </w:r>
          </w:p>
        </w:tc>
      </w:tr>
      <w:tr w:rsidR="00401703" w:rsidRPr="00E369C0" w14:paraId="4E76DF57" w14:textId="77777777" w:rsidTr="002D6DD7">
        <w:tc>
          <w:tcPr>
            <w:tcW w:w="2695" w:type="dxa"/>
          </w:tcPr>
          <w:p w14:paraId="281BDDB3" w14:textId="77777777" w:rsidR="00401703" w:rsidRPr="00E369C0" w:rsidRDefault="00401703" w:rsidP="002D6DD7">
            <w:pPr>
              <w:jc w:val="both"/>
              <w:rPr>
                <w:rFonts w:cs="Times New Roman"/>
                <w:szCs w:val="24"/>
              </w:rPr>
            </w:pPr>
            <w:r w:rsidRPr="00944B15">
              <w:rPr>
                <w:rFonts w:eastAsia="Times New Roman" w:cs="Times New Roman"/>
                <w:szCs w:val="24"/>
              </w:rPr>
              <w:t>Drug Interactions</w:t>
            </w:r>
          </w:p>
        </w:tc>
        <w:tc>
          <w:tcPr>
            <w:tcW w:w="6321" w:type="dxa"/>
          </w:tcPr>
          <w:p w14:paraId="5014F138" w14:textId="77777777" w:rsidR="00401703" w:rsidRPr="00E369C0" w:rsidRDefault="00401703" w:rsidP="002D6DD7">
            <w:pPr>
              <w:jc w:val="both"/>
              <w:rPr>
                <w:rFonts w:cs="Times New Roman"/>
                <w:szCs w:val="24"/>
              </w:rPr>
            </w:pPr>
            <w:r w:rsidRPr="00944B15">
              <w:rPr>
                <w:rFonts w:eastAsia="Times New Roman" w:cs="Times New Roman"/>
                <w:szCs w:val="24"/>
              </w:rPr>
              <w:t xml:space="preserve">Non-selective MAO inhibitors, </w:t>
            </w:r>
            <w:r>
              <w:rPr>
                <w:rFonts w:eastAsia="Times New Roman" w:cs="Times New Roman"/>
                <w:szCs w:val="24"/>
              </w:rPr>
              <w:t xml:space="preserve">Other </w:t>
            </w:r>
            <w:r w:rsidRPr="00944B15">
              <w:rPr>
                <w:rFonts w:eastAsia="Times New Roman" w:cs="Times New Roman"/>
                <w:szCs w:val="24"/>
              </w:rPr>
              <w:t>SSRIs and SNRIs</w:t>
            </w:r>
            <w:r>
              <w:rPr>
                <w:rFonts w:eastAsia="Times New Roman" w:cs="Times New Roman"/>
                <w:szCs w:val="24"/>
              </w:rPr>
              <w:t>,</w:t>
            </w:r>
            <w:r w:rsidRPr="00944B15">
              <w:rPr>
                <w:rFonts w:eastAsia="Times New Roman" w:cs="Times New Roman"/>
                <w:szCs w:val="24"/>
              </w:rPr>
              <w:t xml:space="preserve"> </w:t>
            </w:r>
            <w:r>
              <w:rPr>
                <w:rFonts w:eastAsia="Times New Roman" w:cs="Times New Roman"/>
                <w:szCs w:val="24"/>
              </w:rPr>
              <w:t>t</w:t>
            </w:r>
            <w:r w:rsidRPr="00944B15">
              <w:rPr>
                <w:rFonts w:eastAsia="Times New Roman" w:cs="Times New Roman"/>
                <w:szCs w:val="24"/>
              </w:rPr>
              <w:t xml:space="preserve">riptans, linezolid, methylene blue, pimozide, fluconazole, fluvoxamine, gemfibrozil, isoniazid, omeprazole, ciprofloxacin, clarithromycin, erythromycin, doxycycline, protease inhibitors, quinidine, verapamil, </w:t>
            </w:r>
            <w:r>
              <w:rPr>
                <w:rFonts w:eastAsia="Times New Roman" w:cs="Times New Roman"/>
                <w:szCs w:val="24"/>
              </w:rPr>
              <w:t xml:space="preserve">NSAIDs, </w:t>
            </w:r>
            <w:r w:rsidRPr="00944B15">
              <w:rPr>
                <w:rFonts w:eastAsia="Times New Roman" w:cs="Times New Roman"/>
                <w:szCs w:val="24"/>
              </w:rPr>
              <w:t>aspirin, carbamazepine, phenytoin, rifampin, nevirapine, phenobarbital</w:t>
            </w:r>
          </w:p>
        </w:tc>
      </w:tr>
      <w:tr w:rsidR="00401703" w:rsidRPr="00E369C0" w14:paraId="50293210" w14:textId="77777777" w:rsidTr="002D6DD7">
        <w:tc>
          <w:tcPr>
            <w:tcW w:w="2695" w:type="dxa"/>
          </w:tcPr>
          <w:p w14:paraId="4162D8F5" w14:textId="77777777" w:rsidR="00401703" w:rsidRPr="00E369C0" w:rsidRDefault="00401703" w:rsidP="002D6DD7">
            <w:pPr>
              <w:jc w:val="both"/>
              <w:rPr>
                <w:rFonts w:cs="Times New Roman"/>
                <w:szCs w:val="24"/>
              </w:rPr>
            </w:pPr>
            <w:r w:rsidRPr="00944B15">
              <w:rPr>
                <w:rFonts w:eastAsia="Times New Roman" w:cs="Times New Roman"/>
                <w:szCs w:val="24"/>
              </w:rPr>
              <w:t>Side Effects</w:t>
            </w:r>
          </w:p>
        </w:tc>
        <w:tc>
          <w:tcPr>
            <w:tcW w:w="6321" w:type="dxa"/>
          </w:tcPr>
          <w:p w14:paraId="082A0C5E" w14:textId="77777777" w:rsidR="00401703" w:rsidRPr="00E369C0" w:rsidRDefault="00401703" w:rsidP="002D6DD7">
            <w:pPr>
              <w:jc w:val="both"/>
              <w:rPr>
                <w:rFonts w:cs="Times New Roman"/>
                <w:szCs w:val="24"/>
              </w:rPr>
            </w:pPr>
            <w:r w:rsidRPr="00944B15">
              <w:rPr>
                <w:rFonts w:eastAsia="Times New Roman" w:cs="Times New Roman"/>
                <w:szCs w:val="24"/>
              </w:rPr>
              <w:t xml:space="preserve">Headache, somnolence, insomnia, nausea, dry </w:t>
            </w:r>
            <w:r>
              <w:rPr>
                <w:rFonts w:eastAsia="Times New Roman" w:cs="Times New Roman"/>
                <w:szCs w:val="24"/>
              </w:rPr>
              <w:t>mouth</w:t>
            </w:r>
            <w:r w:rsidRPr="00944B15">
              <w:rPr>
                <w:rFonts w:eastAsia="Times New Roman" w:cs="Times New Roman"/>
                <w:szCs w:val="24"/>
              </w:rPr>
              <w:t xml:space="preserve">, increased sweating, </w:t>
            </w:r>
            <w:r>
              <w:rPr>
                <w:rFonts w:eastAsia="Times New Roman" w:cs="Times New Roman"/>
                <w:szCs w:val="24"/>
              </w:rPr>
              <w:t>c</w:t>
            </w:r>
            <w:r w:rsidRPr="00944B15">
              <w:rPr>
                <w:rFonts w:eastAsia="Times New Roman" w:cs="Times New Roman"/>
                <w:szCs w:val="24"/>
              </w:rPr>
              <w:t xml:space="preserve">hest pain, hypertension, palpitation, dizziness, fatigue, unusual dreams, impaired concentration, fever, irritability, lethargy, lightheadedness, migraine, vertigo, yawning, rash, hot flashes, </w:t>
            </w:r>
            <w:r>
              <w:rPr>
                <w:rFonts w:eastAsia="Times New Roman" w:cs="Times New Roman"/>
                <w:szCs w:val="24"/>
              </w:rPr>
              <w:t>sexual dysfunction</w:t>
            </w:r>
            <w:r w:rsidRPr="00944B15">
              <w:rPr>
                <w:rFonts w:eastAsia="Times New Roman" w:cs="Times New Roman"/>
                <w:szCs w:val="24"/>
              </w:rPr>
              <w:t>,</w:t>
            </w:r>
            <w:r>
              <w:rPr>
                <w:rFonts w:eastAsia="Times New Roman" w:cs="Times New Roman"/>
                <w:szCs w:val="24"/>
              </w:rPr>
              <w:t xml:space="preserve"> </w:t>
            </w:r>
            <w:r w:rsidRPr="00944B15">
              <w:rPr>
                <w:rFonts w:eastAsia="Times New Roman" w:cs="Times New Roman"/>
                <w:szCs w:val="24"/>
              </w:rPr>
              <w:t>menstrual cramps, menstrual disorder, diarrhea, constipation, appetite changes, indigestion, abdominal pain, abdominal cramps, flatulence, heartburn, toothache, vomiting, weight changes, urinary tract infection, blurred vision, sinusitis, cough</w:t>
            </w:r>
          </w:p>
        </w:tc>
      </w:tr>
      <w:tr w:rsidR="00401703" w:rsidRPr="00E369C0" w14:paraId="32BBF963" w14:textId="77777777" w:rsidTr="002D6DD7">
        <w:tc>
          <w:tcPr>
            <w:tcW w:w="2695" w:type="dxa"/>
          </w:tcPr>
          <w:p w14:paraId="57726754" w14:textId="77777777" w:rsidR="00401703" w:rsidRPr="00E369C0" w:rsidRDefault="00401703" w:rsidP="002D6DD7">
            <w:pPr>
              <w:jc w:val="both"/>
              <w:rPr>
                <w:rFonts w:cs="Times New Roman"/>
                <w:szCs w:val="24"/>
              </w:rPr>
            </w:pPr>
            <w:r w:rsidRPr="00944B15">
              <w:rPr>
                <w:rFonts w:eastAsia="Times New Roman" w:cs="Times New Roman"/>
                <w:szCs w:val="24"/>
              </w:rPr>
              <w:t>Cautions</w:t>
            </w:r>
          </w:p>
        </w:tc>
        <w:tc>
          <w:tcPr>
            <w:tcW w:w="6321" w:type="dxa"/>
          </w:tcPr>
          <w:p w14:paraId="5AF2E159" w14:textId="77777777" w:rsidR="00401703" w:rsidRPr="00E369C0" w:rsidRDefault="00401703" w:rsidP="002D6DD7">
            <w:pPr>
              <w:jc w:val="both"/>
              <w:rPr>
                <w:rFonts w:cs="Times New Roman"/>
                <w:szCs w:val="24"/>
              </w:rPr>
            </w:pPr>
            <w:r>
              <w:rPr>
                <w:rFonts w:eastAsia="Times New Roman" w:cs="Times New Roman"/>
                <w:szCs w:val="24"/>
              </w:rPr>
              <w:t>S</w:t>
            </w:r>
            <w:r w:rsidRPr="00944B15">
              <w:rPr>
                <w:rFonts w:eastAsia="Times New Roman" w:cs="Times New Roman"/>
                <w:szCs w:val="24"/>
              </w:rPr>
              <w:t>uicidal</w:t>
            </w:r>
            <w:r>
              <w:rPr>
                <w:rFonts w:eastAsia="Times New Roman" w:cs="Times New Roman"/>
                <w:szCs w:val="24"/>
              </w:rPr>
              <w:t xml:space="preserve"> attempt</w:t>
            </w:r>
            <w:r w:rsidRPr="00944B15">
              <w:rPr>
                <w:rFonts w:eastAsia="Times New Roman" w:cs="Times New Roman"/>
                <w:szCs w:val="24"/>
              </w:rPr>
              <w:t>, previous seizure disorder, glaucoma, cardiac arrhythmias, history of bleeding disorders</w:t>
            </w:r>
          </w:p>
        </w:tc>
      </w:tr>
      <w:tr w:rsidR="00401703" w:rsidRPr="00E369C0" w14:paraId="49FE4E83" w14:textId="77777777" w:rsidTr="002D6DD7">
        <w:tc>
          <w:tcPr>
            <w:tcW w:w="2695" w:type="dxa"/>
          </w:tcPr>
          <w:p w14:paraId="705B0D93" w14:textId="77777777" w:rsidR="00401703" w:rsidRPr="00E369C0" w:rsidRDefault="00401703" w:rsidP="002D6DD7">
            <w:pPr>
              <w:jc w:val="both"/>
              <w:rPr>
                <w:rFonts w:cs="Times New Roman"/>
                <w:szCs w:val="24"/>
              </w:rPr>
            </w:pPr>
            <w:r w:rsidRPr="00944B15">
              <w:rPr>
                <w:rFonts w:eastAsia="Times New Roman" w:cs="Times New Roman"/>
                <w:szCs w:val="24"/>
              </w:rPr>
              <w:t>Storage Condition</w:t>
            </w:r>
          </w:p>
        </w:tc>
        <w:tc>
          <w:tcPr>
            <w:tcW w:w="6321" w:type="dxa"/>
          </w:tcPr>
          <w:p w14:paraId="7024AC99" w14:textId="77777777" w:rsidR="00401703" w:rsidRPr="00E369C0" w:rsidRDefault="00401703" w:rsidP="002D6DD7">
            <w:pPr>
              <w:jc w:val="both"/>
              <w:rPr>
                <w:rFonts w:cs="Times New Roman"/>
                <w:szCs w:val="24"/>
              </w:rPr>
            </w:pPr>
            <w:r w:rsidRPr="00944B15">
              <w:rPr>
                <w:rFonts w:eastAsia="Times New Roman" w:cs="Times New Roman"/>
                <w:szCs w:val="24"/>
              </w:rPr>
              <w:t>Store below 30</w:t>
            </w:r>
            <w:r w:rsidRPr="00944B15">
              <w:rPr>
                <w:rFonts w:eastAsia="Times New Roman" w:cs="Times New Roman"/>
                <w:szCs w:val="24"/>
                <w:vertAlign w:val="superscript"/>
              </w:rPr>
              <w:t>0</w:t>
            </w:r>
            <w:r w:rsidRPr="00944B15">
              <w:rPr>
                <w:rFonts w:eastAsia="Times New Roman" w:cs="Times New Roman"/>
                <w:szCs w:val="24"/>
              </w:rPr>
              <w:t>C. Protect from light.</w:t>
            </w:r>
          </w:p>
        </w:tc>
      </w:tr>
      <w:tr w:rsidR="00401703" w:rsidRPr="00944B15" w14:paraId="508A505C" w14:textId="77777777" w:rsidTr="002D6DD7">
        <w:tc>
          <w:tcPr>
            <w:tcW w:w="9016" w:type="dxa"/>
            <w:gridSpan w:val="2"/>
          </w:tcPr>
          <w:p w14:paraId="3C16C4D7" w14:textId="77777777" w:rsidR="00401703" w:rsidRPr="00944B15" w:rsidRDefault="00401703" w:rsidP="002D6DD7">
            <w:pPr>
              <w:jc w:val="both"/>
              <w:rPr>
                <w:rFonts w:cs="Times New Roman"/>
                <w:b/>
                <w:bCs/>
                <w:color w:val="000000" w:themeColor="text1"/>
                <w:szCs w:val="24"/>
              </w:rPr>
            </w:pPr>
            <w:r w:rsidRPr="00944B15">
              <w:rPr>
                <w:rFonts w:cs="Times New Roman"/>
                <w:b/>
                <w:bCs/>
                <w:szCs w:val="24"/>
              </w:rPr>
              <w:lastRenderedPageBreak/>
              <w:t>Fluoxetine</w:t>
            </w:r>
          </w:p>
        </w:tc>
      </w:tr>
      <w:tr w:rsidR="00401703" w:rsidRPr="00944B15" w14:paraId="386B3583" w14:textId="77777777" w:rsidTr="002D6DD7">
        <w:tc>
          <w:tcPr>
            <w:tcW w:w="2695" w:type="dxa"/>
          </w:tcPr>
          <w:p w14:paraId="6539B49C" w14:textId="77777777" w:rsidR="00401703" w:rsidRPr="00944B15" w:rsidRDefault="00401703" w:rsidP="002D6DD7">
            <w:pPr>
              <w:jc w:val="both"/>
              <w:rPr>
                <w:rFonts w:cs="Times New Roman"/>
                <w:color w:val="000000" w:themeColor="text1"/>
                <w:szCs w:val="24"/>
              </w:rPr>
            </w:pPr>
            <w:r w:rsidRPr="00944B15">
              <w:rPr>
                <w:rFonts w:cs="Times New Roman"/>
                <w:szCs w:val="24"/>
              </w:rPr>
              <w:t>Pharmacological Class</w:t>
            </w:r>
          </w:p>
        </w:tc>
        <w:tc>
          <w:tcPr>
            <w:tcW w:w="6321" w:type="dxa"/>
          </w:tcPr>
          <w:p w14:paraId="71D2A0AE" w14:textId="77777777" w:rsidR="00401703" w:rsidRPr="00944B15" w:rsidRDefault="00401703" w:rsidP="002D6DD7">
            <w:pPr>
              <w:jc w:val="both"/>
              <w:rPr>
                <w:rFonts w:cs="Times New Roman"/>
                <w:color w:val="000000" w:themeColor="text1"/>
                <w:szCs w:val="24"/>
              </w:rPr>
            </w:pPr>
            <w:r w:rsidRPr="00944B15">
              <w:rPr>
                <w:rFonts w:cs="Times New Roman"/>
                <w:szCs w:val="24"/>
              </w:rPr>
              <w:t>Selective Serotonin Reuptake Inhibitor (SSRI)</w:t>
            </w:r>
          </w:p>
        </w:tc>
      </w:tr>
      <w:tr w:rsidR="00401703" w:rsidRPr="00944B15" w14:paraId="536D3C3D" w14:textId="77777777" w:rsidTr="002D6DD7">
        <w:tc>
          <w:tcPr>
            <w:tcW w:w="2695" w:type="dxa"/>
          </w:tcPr>
          <w:p w14:paraId="03F0B7A3" w14:textId="77777777" w:rsidR="00401703" w:rsidRPr="00944B15" w:rsidRDefault="00401703" w:rsidP="002D6DD7">
            <w:pPr>
              <w:jc w:val="both"/>
              <w:rPr>
                <w:rFonts w:cs="Times New Roman"/>
                <w:color w:val="000000" w:themeColor="text1"/>
                <w:szCs w:val="24"/>
              </w:rPr>
            </w:pPr>
            <w:r w:rsidRPr="00944B15">
              <w:rPr>
                <w:rFonts w:cs="Times New Roman"/>
                <w:szCs w:val="24"/>
              </w:rPr>
              <w:t>Dosage Form</w:t>
            </w:r>
          </w:p>
        </w:tc>
        <w:tc>
          <w:tcPr>
            <w:tcW w:w="6321" w:type="dxa"/>
          </w:tcPr>
          <w:p w14:paraId="44C1A1E9" w14:textId="77777777" w:rsidR="00401703" w:rsidRPr="00944B15" w:rsidRDefault="00401703" w:rsidP="002D6DD7">
            <w:pPr>
              <w:jc w:val="both"/>
              <w:rPr>
                <w:rFonts w:cs="Times New Roman"/>
                <w:color w:val="000000" w:themeColor="text1"/>
                <w:szCs w:val="24"/>
              </w:rPr>
            </w:pPr>
            <w:r w:rsidRPr="00944B15">
              <w:rPr>
                <w:rFonts w:cs="Times New Roman"/>
                <w:szCs w:val="24"/>
              </w:rPr>
              <w:t>Capsule: 20 mg</w:t>
            </w:r>
          </w:p>
        </w:tc>
      </w:tr>
      <w:tr w:rsidR="00401703" w:rsidRPr="00944B15" w14:paraId="34CE74D4" w14:textId="77777777" w:rsidTr="002D6DD7">
        <w:tc>
          <w:tcPr>
            <w:tcW w:w="2695" w:type="dxa"/>
          </w:tcPr>
          <w:p w14:paraId="20ACCCC6" w14:textId="77777777" w:rsidR="00401703" w:rsidRPr="00944B15" w:rsidRDefault="00401703" w:rsidP="002D6DD7">
            <w:pPr>
              <w:jc w:val="both"/>
              <w:rPr>
                <w:rFonts w:cs="Times New Roman"/>
                <w:color w:val="000000" w:themeColor="text1"/>
                <w:szCs w:val="24"/>
              </w:rPr>
            </w:pPr>
            <w:r w:rsidRPr="00944B15">
              <w:rPr>
                <w:rFonts w:cs="Times New Roman"/>
                <w:szCs w:val="24"/>
              </w:rPr>
              <w:t>Indications</w:t>
            </w:r>
          </w:p>
        </w:tc>
        <w:tc>
          <w:tcPr>
            <w:tcW w:w="6321" w:type="dxa"/>
          </w:tcPr>
          <w:p w14:paraId="20388EE4" w14:textId="77777777" w:rsidR="00401703" w:rsidRPr="00944B15" w:rsidRDefault="00401703" w:rsidP="002D6DD7">
            <w:pPr>
              <w:jc w:val="both"/>
              <w:rPr>
                <w:rFonts w:cs="Times New Roman"/>
                <w:szCs w:val="24"/>
              </w:rPr>
            </w:pPr>
            <w:r w:rsidRPr="00944B15">
              <w:rPr>
                <w:rFonts w:cs="Times New Roman"/>
                <w:szCs w:val="24"/>
              </w:rPr>
              <w:t xml:space="preserve">Major </w:t>
            </w:r>
            <w:r>
              <w:rPr>
                <w:rFonts w:cs="Times New Roman"/>
                <w:szCs w:val="24"/>
              </w:rPr>
              <w:t>d</w:t>
            </w:r>
            <w:r w:rsidRPr="00944B15">
              <w:rPr>
                <w:rFonts w:cs="Times New Roman"/>
                <w:szCs w:val="24"/>
              </w:rPr>
              <w:t>epression</w:t>
            </w:r>
          </w:p>
        </w:tc>
      </w:tr>
      <w:tr w:rsidR="00401703" w:rsidRPr="00944B15" w14:paraId="33B6BD90" w14:textId="77777777" w:rsidTr="002D6DD7">
        <w:tc>
          <w:tcPr>
            <w:tcW w:w="2695" w:type="dxa"/>
          </w:tcPr>
          <w:p w14:paraId="6F64C51A" w14:textId="77777777" w:rsidR="00401703" w:rsidRPr="00944B15" w:rsidRDefault="00401703" w:rsidP="002D6DD7">
            <w:pPr>
              <w:rPr>
                <w:rFonts w:cs="Times New Roman"/>
                <w:color w:val="000000" w:themeColor="text1"/>
                <w:szCs w:val="24"/>
              </w:rPr>
            </w:pPr>
            <w:r w:rsidRPr="00944B15">
              <w:rPr>
                <w:rFonts w:eastAsia="Times New Roman" w:cs="Times New Roman"/>
                <w:color w:val="000000" w:themeColor="text1"/>
                <w:szCs w:val="24"/>
              </w:rPr>
              <w:t>Dose and administration</w:t>
            </w:r>
          </w:p>
        </w:tc>
        <w:tc>
          <w:tcPr>
            <w:tcW w:w="6321" w:type="dxa"/>
          </w:tcPr>
          <w:p w14:paraId="07EA595B" w14:textId="77777777" w:rsidR="00401703" w:rsidRPr="007416BC" w:rsidRDefault="00401703" w:rsidP="002D6DD7">
            <w:pPr>
              <w:jc w:val="both"/>
              <w:rPr>
                <w:rFonts w:cs="Times New Roman"/>
                <w:b/>
                <w:bCs/>
                <w:color w:val="000000" w:themeColor="text1"/>
                <w:szCs w:val="24"/>
              </w:rPr>
            </w:pPr>
            <w:r w:rsidRPr="00944B15">
              <w:rPr>
                <w:rFonts w:cs="Times New Roman"/>
                <w:b/>
                <w:bCs/>
                <w:color w:val="000000" w:themeColor="text1"/>
                <w:szCs w:val="24"/>
              </w:rPr>
              <w:t>Adult:</w:t>
            </w:r>
            <w:r w:rsidRPr="00944B15">
              <w:rPr>
                <w:rFonts w:cs="Times New Roman"/>
                <w:color w:val="000000" w:themeColor="text1"/>
                <w:szCs w:val="24"/>
              </w:rPr>
              <w:t xml:space="preserve"> Initially 20 mg once daily, increased as necessary after 3 weeks to a maximum of 80 mg daily, usual maintenance dose range, 20–60 mg once daily.</w:t>
            </w:r>
          </w:p>
          <w:p w14:paraId="4472A28B" w14:textId="77777777" w:rsidR="00401703" w:rsidRPr="00944B15" w:rsidRDefault="00401703" w:rsidP="002D6DD7">
            <w:pPr>
              <w:jc w:val="both"/>
              <w:rPr>
                <w:rFonts w:cs="Times New Roman"/>
                <w:color w:val="000000" w:themeColor="text1"/>
                <w:szCs w:val="24"/>
              </w:rPr>
            </w:pPr>
            <w:r w:rsidRPr="00944B15">
              <w:rPr>
                <w:rFonts w:cs="Times New Roman"/>
                <w:b/>
                <w:bCs/>
                <w:color w:val="000000" w:themeColor="text1"/>
                <w:szCs w:val="24"/>
              </w:rPr>
              <w:t>Elderly:</w:t>
            </w:r>
            <w:r w:rsidRPr="00944B15">
              <w:rPr>
                <w:rFonts w:cs="Times New Roman"/>
                <w:color w:val="000000" w:themeColor="text1"/>
                <w:szCs w:val="24"/>
              </w:rPr>
              <w:t xml:space="preserve"> Initially 20 mg once daily, increased as necessary after 3 weeks to a maximum of 60 mg daily, maintenance dose range, 20–40 mg once daily.</w:t>
            </w:r>
          </w:p>
          <w:p w14:paraId="7CD287F5" w14:textId="77777777" w:rsidR="00401703" w:rsidRPr="00944B15" w:rsidRDefault="00401703" w:rsidP="002D6DD7">
            <w:pPr>
              <w:jc w:val="both"/>
              <w:rPr>
                <w:rFonts w:cs="Times New Roman"/>
                <w:b/>
                <w:bCs/>
                <w:color w:val="000000" w:themeColor="text1"/>
                <w:szCs w:val="24"/>
              </w:rPr>
            </w:pPr>
            <w:r w:rsidRPr="007416BC">
              <w:rPr>
                <w:rFonts w:cs="Times New Roman"/>
                <w:b/>
                <w:bCs/>
                <w:color w:val="000000" w:themeColor="text1"/>
                <w:szCs w:val="24"/>
              </w:rPr>
              <w:t>Child 8–12 years:</w:t>
            </w:r>
            <w:r w:rsidRPr="00944B15">
              <w:rPr>
                <w:rFonts w:cs="Times New Roman"/>
                <w:color w:val="000000" w:themeColor="text1"/>
                <w:szCs w:val="24"/>
              </w:rPr>
              <w:t xml:space="preserve"> 10 mg once daily increased after 1–2 weeks if necessary to a maximum of 20 mg once daily</w:t>
            </w:r>
          </w:p>
        </w:tc>
      </w:tr>
      <w:tr w:rsidR="00401703" w:rsidRPr="00944B15" w14:paraId="4FF26BF4" w14:textId="77777777" w:rsidTr="002D6DD7">
        <w:tc>
          <w:tcPr>
            <w:tcW w:w="2695" w:type="dxa"/>
          </w:tcPr>
          <w:p w14:paraId="04930506" w14:textId="77777777" w:rsidR="00401703" w:rsidRPr="00944B15" w:rsidRDefault="00401703" w:rsidP="002D6DD7">
            <w:pPr>
              <w:jc w:val="both"/>
              <w:rPr>
                <w:rFonts w:cs="Times New Roman"/>
                <w:color w:val="000000" w:themeColor="text1"/>
                <w:szCs w:val="24"/>
              </w:rPr>
            </w:pPr>
            <w:r w:rsidRPr="00944B15">
              <w:rPr>
                <w:rFonts w:cs="Times New Roman"/>
                <w:szCs w:val="24"/>
              </w:rPr>
              <w:t>Contraindications</w:t>
            </w:r>
          </w:p>
        </w:tc>
        <w:tc>
          <w:tcPr>
            <w:tcW w:w="6321" w:type="dxa"/>
          </w:tcPr>
          <w:p w14:paraId="17346424" w14:textId="77777777" w:rsidR="00401703" w:rsidRPr="00944B15" w:rsidRDefault="00401703" w:rsidP="002D6DD7">
            <w:pPr>
              <w:jc w:val="both"/>
              <w:rPr>
                <w:rFonts w:cs="Times New Roman"/>
                <w:color w:val="000000" w:themeColor="text1"/>
                <w:szCs w:val="24"/>
              </w:rPr>
            </w:pPr>
            <w:r w:rsidRPr="00944B15">
              <w:rPr>
                <w:rFonts w:cs="Times New Roman"/>
                <w:szCs w:val="24"/>
              </w:rPr>
              <w:t xml:space="preserve">Refer </w:t>
            </w:r>
            <w:r>
              <w:rPr>
                <w:rFonts w:cs="Times New Roman"/>
                <w:szCs w:val="24"/>
              </w:rPr>
              <w:t xml:space="preserve">to fluoxetine </w:t>
            </w:r>
            <w:r w:rsidRPr="00944B15">
              <w:rPr>
                <w:rFonts w:cs="Times New Roman"/>
                <w:szCs w:val="24"/>
              </w:rPr>
              <w:t xml:space="preserve">under medicines for </w:t>
            </w:r>
            <w:r>
              <w:rPr>
                <w:rFonts w:cs="Times New Roman"/>
                <w:szCs w:val="24"/>
              </w:rPr>
              <w:t xml:space="preserve">insomnia and </w:t>
            </w:r>
            <w:r w:rsidRPr="00944B15">
              <w:rPr>
                <w:rFonts w:cs="Times New Roman"/>
                <w:szCs w:val="24"/>
              </w:rPr>
              <w:t>anxiety</w:t>
            </w:r>
            <w:r>
              <w:rPr>
                <w:rFonts w:cs="Times New Roman"/>
                <w:szCs w:val="24"/>
              </w:rPr>
              <w:t xml:space="preserve"> </w:t>
            </w:r>
            <w:r w:rsidRPr="00944B15">
              <w:rPr>
                <w:rFonts w:cs="Times New Roman"/>
                <w:szCs w:val="24"/>
              </w:rPr>
              <w:t>disorder</w:t>
            </w:r>
            <w:r>
              <w:rPr>
                <w:rFonts w:cs="Times New Roman"/>
                <w:szCs w:val="24"/>
              </w:rPr>
              <w:t>s</w:t>
            </w:r>
          </w:p>
        </w:tc>
      </w:tr>
      <w:tr w:rsidR="00401703" w:rsidRPr="00944B15" w14:paraId="515FC8C0" w14:textId="77777777" w:rsidTr="002D6DD7">
        <w:tc>
          <w:tcPr>
            <w:tcW w:w="2695" w:type="dxa"/>
          </w:tcPr>
          <w:p w14:paraId="2224564B" w14:textId="77777777" w:rsidR="00401703" w:rsidRPr="00944B15" w:rsidRDefault="00401703" w:rsidP="002D6DD7">
            <w:pPr>
              <w:jc w:val="both"/>
              <w:rPr>
                <w:rFonts w:cs="Times New Roman"/>
                <w:color w:val="000000" w:themeColor="text1"/>
                <w:szCs w:val="24"/>
              </w:rPr>
            </w:pPr>
            <w:r w:rsidRPr="00944B15">
              <w:rPr>
                <w:rFonts w:cs="Times New Roman"/>
                <w:szCs w:val="24"/>
              </w:rPr>
              <w:t>Drug Interactions</w:t>
            </w:r>
          </w:p>
        </w:tc>
        <w:tc>
          <w:tcPr>
            <w:tcW w:w="6321" w:type="dxa"/>
          </w:tcPr>
          <w:p w14:paraId="670F4F3D" w14:textId="77777777" w:rsidR="00401703" w:rsidRPr="00944B15" w:rsidRDefault="00401703" w:rsidP="002D6DD7">
            <w:pPr>
              <w:jc w:val="both"/>
              <w:rPr>
                <w:rFonts w:cs="Times New Roman"/>
                <w:color w:val="000000" w:themeColor="text1"/>
                <w:szCs w:val="24"/>
              </w:rPr>
            </w:pPr>
            <w:r w:rsidRPr="00AC7BE1">
              <w:rPr>
                <w:rFonts w:cs="Times New Roman"/>
                <w:szCs w:val="24"/>
              </w:rPr>
              <w:t>Refer to fluoxetine under medicines for insomnia and anxiety disorders</w:t>
            </w:r>
          </w:p>
        </w:tc>
      </w:tr>
      <w:tr w:rsidR="00401703" w:rsidRPr="00944B15" w14:paraId="27D300E1" w14:textId="77777777" w:rsidTr="002D6DD7">
        <w:tc>
          <w:tcPr>
            <w:tcW w:w="2695" w:type="dxa"/>
          </w:tcPr>
          <w:p w14:paraId="62A555AC" w14:textId="77777777" w:rsidR="00401703" w:rsidRPr="00944B15" w:rsidRDefault="00401703" w:rsidP="002D6DD7">
            <w:pPr>
              <w:jc w:val="both"/>
              <w:rPr>
                <w:rFonts w:cs="Times New Roman"/>
                <w:color w:val="000000" w:themeColor="text1"/>
                <w:szCs w:val="24"/>
              </w:rPr>
            </w:pPr>
            <w:r w:rsidRPr="00944B15">
              <w:rPr>
                <w:rFonts w:cs="Times New Roman"/>
                <w:szCs w:val="24"/>
              </w:rPr>
              <w:t>Side Effects</w:t>
            </w:r>
          </w:p>
        </w:tc>
        <w:tc>
          <w:tcPr>
            <w:tcW w:w="6321" w:type="dxa"/>
          </w:tcPr>
          <w:p w14:paraId="7BD4A536" w14:textId="77777777" w:rsidR="00401703" w:rsidRPr="00944B15" w:rsidRDefault="00401703" w:rsidP="002D6DD7">
            <w:pPr>
              <w:jc w:val="both"/>
              <w:rPr>
                <w:rFonts w:cs="Times New Roman"/>
                <w:color w:val="000000" w:themeColor="text1"/>
                <w:szCs w:val="24"/>
              </w:rPr>
            </w:pPr>
            <w:r w:rsidRPr="00AC7BE1">
              <w:rPr>
                <w:rFonts w:cs="Times New Roman"/>
                <w:szCs w:val="24"/>
              </w:rPr>
              <w:t>Refer to fluoxetine under medicines for insomnia and anxiety disorders</w:t>
            </w:r>
          </w:p>
        </w:tc>
      </w:tr>
      <w:tr w:rsidR="00401703" w:rsidRPr="00944B15" w14:paraId="29F3AC1A" w14:textId="77777777" w:rsidTr="002D6DD7">
        <w:tc>
          <w:tcPr>
            <w:tcW w:w="2695" w:type="dxa"/>
          </w:tcPr>
          <w:p w14:paraId="64D57FBE" w14:textId="77777777" w:rsidR="00401703" w:rsidRPr="00944B15" w:rsidRDefault="00401703" w:rsidP="002D6DD7">
            <w:pPr>
              <w:jc w:val="both"/>
              <w:rPr>
                <w:rFonts w:cs="Times New Roman"/>
                <w:color w:val="000000" w:themeColor="text1"/>
                <w:szCs w:val="24"/>
              </w:rPr>
            </w:pPr>
            <w:r w:rsidRPr="00944B15">
              <w:rPr>
                <w:rFonts w:cs="Times New Roman"/>
                <w:szCs w:val="24"/>
              </w:rPr>
              <w:t>Cautions</w:t>
            </w:r>
          </w:p>
        </w:tc>
        <w:tc>
          <w:tcPr>
            <w:tcW w:w="6321" w:type="dxa"/>
          </w:tcPr>
          <w:p w14:paraId="6D928B37" w14:textId="77777777" w:rsidR="00401703" w:rsidRPr="00944B15" w:rsidRDefault="00401703" w:rsidP="002D6DD7">
            <w:pPr>
              <w:jc w:val="both"/>
              <w:rPr>
                <w:rFonts w:cs="Times New Roman"/>
                <w:color w:val="000000" w:themeColor="text1"/>
                <w:szCs w:val="24"/>
              </w:rPr>
            </w:pPr>
            <w:r w:rsidRPr="00AC7BE1">
              <w:rPr>
                <w:rFonts w:cs="Times New Roman"/>
                <w:szCs w:val="24"/>
              </w:rPr>
              <w:t>Refer to fluoxetine under medicines for insomnia and anxiety disorders</w:t>
            </w:r>
          </w:p>
        </w:tc>
      </w:tr>
      <w:tr w:rsidR="00401703" w:rsidRPr="00944B15" w14:paraId="33C8A12E" w14:textId="77777777" w:rsidTr="002D6DD7">
        <w:tc>
          <w:tcPr>
            <w:tcW w:w="2695" w:type="dxa"/>
          </w:tcPr>
          <w:p w14:paraId="041E2350" w14:textId="77777777" w:rsidR="00401703" w:rsidRPr="00944B15" w:rsidRDefault="00401703" w:rsidP="002D6DD7">
            <w:pPr>
              <w:jc w:val="both"/>
              <w:rPr>
                <w:rFonts w:cs="Times New Roman"/>
                <w:color w:val="000000" w:themeColor="text1"/>
                <w:szCs w:val="24"/>
              </w:rPr>
            </w:pPr>
            <w:r w:rsidRPr="00944B15">
              <w:rPr>
                <w:rFonts w:cs="Times New Roman"/>
                <w:szCs w:val="24"/>
              </w:rPr>
              <w:t>Storage Condition</w:t>
            </w:r>
          </w:p>
        </w:tc>
        <w:tc>
          <w:tcPr>
            <w:tcW w:w="6321" w:type="dxa"/>
          </w:tcPr>
          <w:p w14:paraId="133D5A94" w14:textId="77777777" w:rsidR="00401703" w:rsidRPr="00944B15" w:rsidRDefault="00401703" w:rsidP="002D6DD7">
            <w:pPr>
              <w:jc w:val="both"/>
              <w:rPr>
                <w:rFonts w:cs="Times New Roman"/>
                <w:color w:val="000000" w:themeColor="text1"/>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r w:rsidR="00401703" w:rsidRPr="00944B15" w14:paraId="35ACD187" w14:textId="77777777" w:rsidTr="002D6DD7">
        <w:tc>
          <w:tcPr>
            <w:tcW w:w="2695" w:type="dxa"/>
          </w:tcPr>
          <w:p w14:paraId="32DC2B24" w14:textId="77777777" w:rsidR="00401703" w:rsidRPr="002244E3" w:rsidRDefault="00401703" w:rsidP="002D6DD7">
            <w:pPr>
              <w:jc w:val="both"/>
              <w:rPr>
                <w:rFonts w:cs="Times New Roman"/>
                <w:b/>
                <w:bCs/>
                <w:szCs w:val="24"/>
              </w:rPr>
            </w:pPr>
            <w:r w:rsidRPr="002244E3">
              <w:rPr>
                <w:rFonts w:cs="Times New Roman"/>
                <w:b/>
                <w:bCs/>
                <w:szCs w:val="24"/>
              </w:rPr>
              <w:t>Imipramine</w:t>
            </w:r>
          </w:p>
        </w:tc>
        <w:tc>
          <w:tcPr>
            <w:tcW w:w="6321" w:type="dxa"/>
          </w:tcPr>
          <w:p w14:paraId="436FDE38" w14:textId="77777777" w:rsidR="00401703" w:rsidRPr="00944B15" w:rsidRDefault="00401703" w:rsidP="002D6DD7">
            <w:pPr>
              <w:jc w:val="both"/>
              <w:rPr>
                <w:rFonts w:cs="Times New Roman"/>
                <w:szCs w:val="24"/>
              </w:rPr>
            </w:pPr>
          </w:p>
        </w:tc>
      </w:tr>
      <w:tr w:rsidR="00401703" w:rsidRPr="00944B15" w14:paraId="06556608" w14:textId="77777777" w:rsidTr="002D6DD7">
        <w:tc>
          <w:tcPr>
            <w:tcW w:w="2695" w:type="dxa"/>
          </w:tcPr>
          <w:p w14:paraId="41EEF0F3" w14:textId="77777777" w:rsidR="00401703" w:rsidRPr="00944B15" w:rsidRDefault="00401703" w:rsidP="002D6DD7">
            <w:pPr>
              <w:jc w:val="both"/>
              <w:rPr>
                <w:rFonts w:cs="Times New Roman"/>
                <w:szCs w:val="24"/>
              </w:rPr>
            </w:pPr>
            <w:r w:rsidRPr="00944B15">
              <w:rPr>
                <w:rFonts w:cs="Times New Roman"/>
                <w:color w:val="000000" w:themeColor="text1"/>
                <w:szCs w:val="24"/>
              </w:rPr>
              <w:t>Pharmacological class</w:t>
            </w:r>
          </w:p>
        </w:tc>
        <w:tc>
          <w:tcPr>
            <w:tcW w:w="6321" w:type="dxa"/>
          </w:tcPr>
          <w:p w14:paraId="069E6A01" w14:textId="77777777" w:rsidR="00401703" w:rsidRPr="00944B15" w:rsidRDefault="00401703" w:rsidP="002D6DD7">
            <w:pPr>
              <w:jc w:val="both"/>
              <w:rPr>
                <w:rFonts w:cs="Times New Roman"/>
                <w:szCs w:val="24"/>
              </w:rPr>
            </w:pPr>
            <w:r w:rsidRPr="00944B15">
              <w:rPr>
                <w:rFonts w:cs="Times New Roman"/>
                <w:color w:val="000000" w:themeColor="text1"/>
                <w:szCs w:val="24"/>
              </w:rPr>
              <w:t>Tricyclic antidepressant</w:t>
            </w:r>
          </w:p>
        </w:tc>
      </w:tr>
      <w:tr w:rsidR="00401703" w:rsidRPr="00944B15" w14:paraId="2C579A61" w14:textId="77777777" w:rsidTr="002D6DD7">
        <w:tc>
          <w:tcPr>
            <w:tcW w:w="2695" w:type="dxa"/>
          </w:tcPr>
          <w:p w14:paraId="15380731" w14:textId="77777777" w:rsidR="00401703" w:rsidRPr="00944B15" w:rsidRDefault="00401703" w:rsidP="002D6DD7">
            <w:pPr>
              <w:jc w:val="both"/>
              <w:rPr>
                <w:rFonts w:cs="Times New Roman"/>
                <w:szCs w:val="24"/>
              </w:rPr>
            </w:pPr>
            <w:r w:rsidRPr="00944B15">
              <w:rPr>
                <w:rFonts w:cs="Times New Roman"/>
                <w:color w:val="000000" w:themeColor="text1"/>
                <w:szCs w:val="24"/>
              </w:rPr>
              <w:t>Dosage form</w:t>
            </w:r>
          </w:p>
        </w:tc>
        <w:tc>
          <w:tcPr>
            <w:tcW w:w="6321" w:type="dxa"/>
          </w:tcPr>
          <w:p w14:paraId="2178A4D1" w14:textId="77777777" w:rsidR="00401703" w:rsidRPr="00944B15" w:rsidRDefault="00401703" w:rsidP="002D6DD7">
            <w:pPr>
              <w:jc w:val="both"/>
              <w:rPr>
                <w:rFonts w:cs="Times New Roman"/>
                <w:szCs w:val="24"/>
              </w:rPr>
            </w:pPr>
            <w:r w:rsidRPr="00944B15">
              <w:rPr>
                <w:rFonts w:cs="Times New Roman"/>
                <w:color w:val="000000" w:themeColor="text1"/>
                <w:szCs w:val="24"/>
              </w:rPr>
              <w:t>Tablet</w:t>
            </w:r>
            <w:r>
              <w:rPr>
                <w:rFonts w:cs="Times New Roman"/>
                <w:color w:val="000000" w:themeColor="text1"/>
                <w:szCs w:val="24"/>
              </w:rPr>
              <w:t>:</w:t>
            </w:r>
            <w:r w:rsidRPr="00944B15">
              <w:rPr>
                <w:rFonts w:cs="Times New Roman"/>
                <w:color w:val="000000" w:themeColor="text1"/>
                <w:szCs w:val="24"/>
              </w:rPr>
              <w:t xml:space="preserve"> 10mg, 25mg </w:t>
            </w:r>
          </w:p>
        </w:tc>
      </w:tr>
      <w:tr w:rsidR="00401703" w:rsidRPr="00944B15" w14:paraId="1280C540" w14:textId="77777777" w:rsidTr="002D6DD7">
        <w:tc>
          <w:tcPr>
            <w:tcW w:w="2695" w:type="dxa"/>
          </w:tcPr>
          <w:p w14:paraId="37CA3469" w14:textId="77777777" w:rsidR="00401703" w:rsidRPr="00944B15" w:rsidRDefault="00401703" w:rsidP="002D6DD7">
            <w:pPr>
              <w:jc w:val="both"/>
              <w:rPr>
                <w:rFonts w:cs="Times New Roman"/>
                <w:szCs w:val="24"/>
              </w:rPr>
            </w:pPr>
            <w:r w:rsidRPr="00944B15">
              <w:rPr>
                <w:rFonts w:cs="Times New Roman"/>
                <w:color w:val="000000" w:themeColor="text1"/>
                <w:szCs w:val="24"/>
              </w:rPr>
              <w:t>Indications</w:t>
            </w:r>
          </w:p>
        </w:tc>
        <w:tc>
          <w:tcPr>
            <w:tcW w:w="6321" w:type="dxa"/>
          </w:tcPr>
          <w:p w14:paraId="63496A52" w14:textId="77777777" w:rsidR="00401703" w:rsidRPr="00944B15" w:rsidRDefault="00401703" w:rsidP="002D6DD7">
            <w:pPr>
              <w:jc w:val="both"/>
              <w:rPr>
                <w:rFonts w:cs="Times New Roman"/>
                <w:szCs w:val="24"/>
              </w:rPr>
            </w:pPr>
            <w:r>
              <w:rPr>
                <w:rFonts w:cs="Times New Roman"/>
                <w:color w:val="000000" w:themeColor="text1"/>
                <w:szCs w:val="24"/>
              </w:rPr>
              <w:t>D</w:t>
            </w:r>
            <w:r w:rsidRPr="00944B15">
              <w:rPr>
                <w:rFonts w:cs="Times New Roman"/>
                <w:color w:val="000000" w:themeColor="text1"/>
                <w:szCs w:val="24"/>
              </w:rPr>
              <w:t>epression</w:t>
            </w:r>
            <w:r>
              <w:rPr>
                <w:rFonts w:cs="Times New Roman"/>
                <w:color w:val="000000" w:themeColor="text1"/>
                <w:szCs w:val="24"/>
              </w:rPr>
              <w:t>, n</w:t>
            </w:r>
            <w:r w:rsidRPr="00944B15">
              <w:rPr>
                <w:rFonts w:cs="Times New Roman"/>
                <w:color w:val="000000" w:themeColor="text1"/>
                <w:szCs w:val="24"/>
              </w:rPr>
              <w:t>octurnal enuresis</w:t>
            </w:r>
            <w:r>
              <w:rPr>
                <w:rFonts w:cs="Times New Roman"/>
                <w:color w:val="000000" w:themeColor="text1"/>
                <w:szCs w:val="24"/>
              </w:rPr>
              <w:t xml:space="preserve">, </w:t>
            </w:r>
            <w:r w:rsidRPr="00944B15">
              <w:rPr>
                <w:rFonts w:cs="Times New Roman"/>
                <w:color w:val="000000" w:themeColor="text1"/>
                <w:szCs w:val="24"/>
              </w:rPr>
              <w:t>chronic pain, panic disorders</w:t>
            </w:r>
          </w:p>
        </w:tc>
      </w:tr>
      <w:tr w:rsidR="00401703" w:rsidRPr="00944B15" w14:paraId="2234D845" w14:textId="77777777" w:rsidTr="002D6DD7">
        <w:tc>
          <w:tcPr>
            <w:tcW w:w="2695" w:type="dxa"/>
          </w:tcPr>
          <w:p w14:paraId="711BEC95" w14:textId="77777777" w:rsidR="00401703" w:rsidRPr="00944B15" w:rsidRDefault="00401703" w:rsidP="002D6DD7">
            <w:pPr>
              <w:jc w:val="both"/>
              <w:rPr>
                <w:rFonts w:cs="Times New Roman"/>
                <w:szCs w:val="24"/>
              </w:rPr>
            </w:pPr>
            <w:r w:rsidRPr="00944B15">
              <w:rPr>
                <w:rFonts w:eastAsia="Times New Roman" w:cs="Times New Roman"/>
                <w:color w:val="000000" w:themeColor="text1"/>
                <w:szCs w:val="24"/>
              </w:rPr>
              <w:t>Dose and administration</w:t>
            </w:r>
          </w:p>
        </w:tc>
        <w:tc>
          <w:tcPr>
            <w:tcW w:w="6321" w:type="dxa"/>
          </w:tcPr>
          <w:p w14:paraId="57500325" w14:textId="77777777" w:rsidR="00401703" w:rsidRDefault="00401703" w:rsidP="002D6DD7">
            <w:pPr>
              <w:jc w:val="both"/>
              <w:rPr>
                <w:rFonts w:cs="Times New Roman"/>
                <w:color w:val="000000" w:themeColor="text1"/>
                <w:szCs w:val="24"/>
              </w:rPr>
            </w:pPr>
            <w:r w:rsidRPr="00944B15">
              <w:rPr>
                <w:rFonts w:cs="Times New Roman"/>
                <w:b/>
                <w:bCs/>
                <w:color w:val="000000" w:themeColor="text1"/>
                <w:szCs w:val="24"/>
              </w:rPr>
              <w:t>Depression</w:t>
            </w:r>
            <w:r w:rsidRPr="00944B15">
              <w:rPr>
                <w:rFonts w:cs="Times New Roman"/>
                <w:color w:val="000000" w:themeColor="text1"/>
                <w:szCs w:val="24"/>
              </w:rPr>
              <w:t xml:space="preserve">: </w:t>
            </w:r>
          </w:p>
          <w:p w14:paraId="33957563" w14:textId="77777777" w:rsidR="00401703" w:rsidRPr="00FC779B" w:rsidRDefault="00401703" w:rsidP="002D6DD7">
            <w:pPr>
              <w:jc w:val="both"/>
              <w:rPr>
                <w:rFonts w:cs="Times New Roman"/>
                <w:b/>
                <w:bCs/>
                <w:color w:val="000000" w:themeColor="text1"/>
                <w:szCs w:val="24"/>
              </w:rPr>
            </w:pPr>
            <w:r w:rsidRPr="00944B15">
              <w:rPr>
                <w:rFonts w:cs="Times New Roman"/>
                <w:b/>
                <w:bCs/>
                <w:color w:val="000000" w:themeColor="text1"/>
                <w:szCs w:val="24"/>
              </w:rPr>
              <w:t>Adult</w:t>
            </w:r>
            <w:r>
              <w:rPr>
                <w:rFonts w:cs="Times New Roman"/>
                <w:b/>
                <w:bCs/>
                <w:color w:val="000000" w:themeColor="text1"/>
                <w:szCs w:val="24"/>
              </w:rPr>
              <w:t xml:space="preserve">: </w:t>
            </w:r>
            <w:r w:rsidRPr="00FC779B">
              <w:rPr>
                <w:rFonts w:cs="Times New Roman"/>
                <w:color w:val="000000" w:themeColor="text1"/>
                <w:szCs w:val="24"/>
              </w:rPr>
              <w:t>Initial</w:t>
            </w:r>
            <w:r>
              <w:rPr>
                <w:rFonts w:cs="Times New Roman"/>
                <w:color w:val="000000" w:themeColor="text1"/>
                <w:szCs w:val="24"/>
              </w:rPr>
              <w:t xml:space="preserve">ly </w:t>
            </w:r>
            <w:r w:rsidRPr="00944B15">
              <w:rPr>
                <w:rFonts w:cs="Times New Roman"/>
                <w:color w:val="000000" w:themeColor="text1"/>
                <w:szCs w:val="24"/>
              </w:rPr>
              <w:t>25mg 3-4 times/day, increase dose gradually, total dose may be given at bedtime</w:t>
            </w:r>
            <w:r>
              <w:rPr>
                <w:rFonts w:cs="Times New Roman"/>
                <w:color w:val="000000" w:themeColor="text1"/>
                <w:szCs w:val="24"/>
              </w:rPr>
              <w:t>,</w:t>
            </w:r>
            <w:r w:rsidRPr="00944B15">
              <w:rPr>
                <w:rFonts w:cs="Times New Roman"/>
                <w:color w:val="000000" w:themeColor="text1"/>
                <w:szCs w:val="24"/>
              </w:rPr>
              <w:t xml:space="preserve"> maximum: 300mg/day. </w:t>
            </w:r>
            <w:r w:rsidRPr="00FC779B">
              <w:rPr>
                <w:rFonts w:cs="Times New Roman"/>
                <w:b/>
                <w:bCs/>
                <w:color w:val="000000" w:themeColor="text1"/>
                <w:szCs w:val="24"/>
              </w:rPr>
              <w:t>Elderly:</w:t>
            </w:r>
            <w:r w:rsidRPr="00944B15">
              <w:rPr>
                <w:rFonts w:cs="Times New Roman"/>
                <w:color w:val="000000" w:themeColor="text1"/>
                <w:szCs w:val="24"/>
              </w:rPr>
              <w:t xml:space="preserve"> initially 10- 25mg at bedtime</w:t>
            </w:r>
            <w:r>
              <w:rPr>
                <w:rFonts w:cs="Times New Roman"/>
                <w:color w:val="000000" w:themeColor="text1"/>
                <w:szCs w:val="24"/>
              </w:rPr>
              <w:t>,</w:t>
            </w:r>
            <w:r w:rsidRPr="00944B15">
              <w:rPr>
                <w:rFonts w:cs="Times New Roman"/>
                <w:color w:val="000000" w:themeColor="text1"/>
                <w:szCs w:val="24"/>
              </w:rPr>
              <w:t xml:space="preserve"> increasing up to 100mg/day as required and if tolerated. </w:t>
            </w:r>
          </w:p>
          <w:p w14:paraId="07C533BB" w14:textId="77777777" w:rsidR="00401703" w:rsidRDefault="00401703" w:rsidP="002D6DD7">
            <w:pPr>
              <w:jc w:val="both"/>
              <w:rPr>
                <w:rFonts w:cs="Times New Roman"/>
                <w:b/>
                <w:bCs/>
                <w:color w:val="000000" w:themeColor="text1"/>
                <w:szCs w:val="24"/>
              </w:rPr>
            </w:pPr>
            <w:r w:rsidRPr="00944B15">
              <w:rPr>
                <w:rFonts w:cs="Times New Roman"/>
                <w:b/>
                <w:bCs/>
                <w:color w:val="000000" w:themeColor="text1"/>
                <w:szCs w:val="24"/>
              </w:rPr>
              <w:lastRenderedPageBreak/>
              <w:t xml:space="preserve">Nocturnal enuresis: </w:t>
            </w:r>
          </w:p>
          <w:p w14:paraId="335E3B77" w14:textId="77777777" w:rsidR="00401703" w:rsidRDefault="00401703" w:rsidP="002D6DD7">
            <w:pPr>
              <w:jc w:val="both"/>
              <w:rPr>
                <w:rFonts w:cs="Times New Roman"/>
                <w:color w:val="000000" w:themeColor="text1"/>
                <w:szCs w:val="24"/>
              </w:rPr>
            </w:pPr>
            <w:r w:rsidRPr="00B50C9B">
              <w:rPr>
                <w:rFonts w:cs="Times New Roman"/>
                <w:b/>
                <w:bCs/>
                <w:color w:val="000000" w:themeColor="text1"/>
                <w:szCs w:val="24"/>
              </w:rPr>
              <w:t>Child 6 - 7 years:</w:t>
            </w:r>
            <w:r w:rsidRPr="00944B15">
              <w:rPr>
                <w:rFonts w:cs="Times New Roman"/>
                <w:color w:val="000000" w:themeColor="text1"/>
                <w:szCs w:val="24"/>
              </w:rPr>
              <w:t xml:space="preserve"> 10 - 25mg</w:t>
            </w:r>
            <w:r>
              <w:rPr>
                <w:rFonts w:cs="Times New Roman"/>
                <w:color w:val="000000" w:themeColor="text1"/>
                <w:szCs w:val="24"/>
              </w:rPr>
              <w:t xml:space="preserve"> </w:t>
            </w:r>
            <w:r w:rsidRPr="00944B15">
              <w:rPr>
                <w:rFonts w:cs="Times New Roman"/>
                <w:color w:val="000000" w:themeColor="text1"/>
                <w:szCs w:val="24"/>
              </w:rPr>
              <w:t>given as a single dose after the evening meal</w:t>
            </w:r>
          </w:p>
          <w:p w14:paraId="411C165A" w14:textId="77777777" w:rsidR="00401703" w:rsidRDefault="00401703" w:rsidP="002D6DD7">
            <w:pPr>
              <w:jc w:val="both"/>
              <w:rPr>
                <w:rFonts w:cs="Times New Roman"/>
                <w:color w:val="000000" w:themeColor="text1"/>
                <w:szCs w:val="24"/>
              </w:rPr>
            </w:pPr>
            <w:r w:rsidRPr="00C53E7F">
              <w:rPr>
                <w:rFonts w:cs="Times New Roman"/>
                <w:b/>
                <w:bCs/>
                <w:color w:val="000000" w:themeColor="text1"/>
                <w:szCs w:val="24"/>
              </w:rPr>
              <w:t>Child 8 - 11 years:</w:t>
            </w:r>
            <w:r w:rsidRPr="00944B15">
              <w:rPr>
                <w:rFonts w:cs="Times New Roman"/>
                <w:color w:val="000000" w:themeColor="text1"/>
                <w:szCs w:val="24"/>
              </w:rPr>
              <w:t xml:space="preserve"> 25 - 50mg</w:t>
            </w:r>
            <w:r>
              <w:rPr>
                <w:rFonts w:cs="Times New Roman"/>
                <w:color w:val="000000" w:themeColor="text1"/>
                <w:szCs w:val="24"/>
              </w:rPr>
              <w:t xml:space="preserve"> </w:t>
            </w:r>
            <w:r w:rsidRPr="00944B15">
              <w:rPr>
                <w:rFonts w:cs="Times New Roman"/>
                <w:color w:val="000000" w:themeColor="text1"/>
                <w:szCs w:val="24"/>
              </w:rPr>
              <w:t>given as a single dose after the evening meal</w:t>
            </w:r>
          </w:p>
          <w:p w14:paraId="6D925787" w14:textId="77777777" w:rsidR="00401703" w:rsidRPr="00944B15" w:rsidRDefault="00401703" w:rsidP="002D6DD7">
            <w:pPr>
              <w:jc w:val="both"/>
              <w:rPr>
                <w:rFonts w:cs="Times New Roman"/>
                <w:szCs w:val="24"/>
              </w:rPr>
            </w:pPr>
            <w:r w:rsidRPr="00C53E7F">
              <w:rPr>
                <w:rFonts w:cs="Times New Roman"/>
                <w:b/>
                <w:bCs/>
                <w:color w:val="000000" w:themeColor="text1"/>
                <w:szCs w:val="24"/>
              </w:rPr>
              <w:t>Child &gt; 11 years:</w:t>
            </w:r>
            <w:r w:rsidRPr="00944B15">
              <w:rPr>
                <w:rFonts w:cs="Times New Roman"/>
                <w:color w:val="000000" w:themeColor="text1"/>
                <w:szCs w:val="24"/>
              </w:rPr>
              <w:t xml:space="preserve"> 25 - 75mg</w:t>
            </w:r>
            <w:r>
              <w:rPr>
                <w:rFonts w:cs="Times New Roman"/>
                <w:color w:val="000000" w:themeColor="text1"/>
                <w:szCs w:val="24"/>
              </w:rPr>
              <w:t xml:space="preserve"> </w:t>
            </w:r>
            <w:r w:rsidRPr="00944B15">
              <w:rPr>
                <w:rFonts w:cs="Times New Roman"/>
                <w:color w:val="000000" w:themeColor="text1"/>
                <w:szCs w:val="24"/>
              </w:rPr>
              <w:t>given as a single dose after the evening meal</w:t>
            </w:r>
          </w:p>
        </w:tc>
      </w:tr>
      <w:tr w:rsidR="00401703" w:rsidRPr="00944B15" w14:paraId="081CEC17" w14:textId="77777777" w:rsidTr="002D6DD7">
        <w:tc>
          <w:tcPr>
            <w:tcW w:w="2695" w:type="dxa"/>
          </w:tcPr>
          <w:p w14:paraId="60599D37" w14:textId="77777777" w:rsidR="00401703" w:rsidRPr="00944B15" w:rsidRDefault="00401703" w:rsidP="002D6DD7">
            <w:pPr>
              <w:jc w:val="both"/>
              <w:rPr>
                <w:rFonts w:cs="Times New Roman"/>
                <w:szCs w:val="24"/>
              </w:rPr>
            </w:pPr>
            <w:r w:rsidRPr="00944B15">
              <w:rPr>
                <w:rFonts w:cs="Times New Roman"/>
                <w:color w:val="000000" w:themeColor="text1"/>
                <w:szCs w:val="24"/>
              </w:rPr>
              <w:lastRenderedPageBreak/>
              <w:t>Contraindications</w:t>
            </w:r>
          </w:p>
        </w:tc>
        <w:tc>
          <w:tcPr>
            <w:tcW w:w="6321" w:type="dxa"/>
          </w:tcPr>
          <w:p w14:paraId="68F13220" w14:textId="77777777" w:rsidR="00401703" w:rsidRPr="00944B15" w:rsidRDefault="00401703" w:rsidP="002D6DD7">
            <w:pPr>
              <w:jc w:val="both"/>
              <w:rPr>
                <w:rFonts w:cs="Times New Roman"/>
                <w:szCs w:val="24"/>
              </w:rPr>
            </w:pPr>
            <w:r w:rsidRPr="00AC7BE1">
              <w:rPr>
                <w:rFonts w:cs="Times New Roman"/>
                <w:szCs w:val="24"/>
              </w:rPr>
              <w:t xml:space="preserve">Refer to </w:t>
            </w:r>
            <w:r>
              <w:rPr>
                <w:rFonts w:cs="Times New Roman"/>
                <w:szCs w:val="24"/>
              </w:rPr>
              <w:t>imipramine</w:t>
            </w:r>
            <w:r w:rsidRPr="00AC7BE1">
              <w:rPr>
                <w:rFonts w:cs="Times New Roman"/>
                <w:szCs w:val="24"/>
              </w:rPr>
              <w:t xml:space="preserve"> under medicines for insomnia and anxiety disorders</w:t>
            </w:r>
          </w:p>
        </w:tc>
      </w:tr>
      <w:tr w:rsidR="00401703" w:rsidRPr="00944B15" w14:paraId="7FC6EE61" w14:textId="77777777" w:rsidTr="002D6DD7">
        <w:tc>
          <w:tcPr>
            <w:tcW w:w="2695" w:type="dxa"/>
          </w:tcPr>
          <w:p w14:paraId="5899E880" w14:textId="77777777" w:rsidR="00401703" w:rsidRPr="00944B15" w:rsidRDefault="00401703" w:rsidP="002D6DD7">
            <w:pPr>
              <w:jc w:val="both"/>
              <w:rPr>
                <w:rFonts w:cs="Times New Roman"/>
                <w:szCs w:val="24"/>
              </w:rPr>
            </w:pPr>
            <w:r w:rsidRPr="00944B15">
              <w:rPr>
                <w:rFonts w:cs="Times New Roman"/>
                <w:color w:val="000000" w:themeColor="text1"/>
                <w:szCs w:val="24"/>
              </w:rPr>
              <w:t>Drug interactions</w:t>
            </w:r>
          </w:p>
        </w:tc>
        <w:tc>
          <w:tcPr>
            <w:tcW w:w="6321" w:type="dxa"/>
          </w:tcPr>
          <w:p w14:paraId="23794E8B" w14:textId="77777777" w:rsidR="00401703" w:rsidRPr="00944B15" w:rsidRDefault="00401703" w:rsidP="002D6DD7">
            <w:pPr>
              <w:jc w:val="both"/>
              <w:rPr>
                <w:rFonts w:cs="Times New Roman"/>
                <w:szCs w:val="24"/>
              </w:rPr>
            </w:pPr>
            <w:r w:rsidRPr="00BF11A9">
              <w:rPr>
                <w:rFonts w:cs="Times New Roman"/>
                <w:szCs w:val="24"/>
              </w:rPr>
              <w:t>Refer to imipramine under medicines for insomnia and anxiety disorders</w:t>
            </w:r>
          </w:p>
        </w:tc>
      </w:tr>
      <w:tr w:rsidR="00401703" w:rsidRPr="00944B15" w14:paraId="250095BE" w14:textId="77777777" w:rsidTr="002D6DD7">
        <w:tc>
          <w:tcPr>
            <w:tcW w:w="2695" w:type="dxa"/>
          </w:tcPr>
          <w:p w14:paraId="0DB3EECF" w14:textId="77777777" w:rsidR="00401703" w:rsidRPr="00944B15" w:rsidRDefault="00401703" w:rsidP="002D6DD7">
            <w:pPr>
              <w:jc w:val="both"/>
              <w:rPr>
                <w:rFonts w:cs="Times New Roman"/>
                <w:szCs w:val="24"/>
              </w:rPr>
            </w:pPr>
            <w:r w:rsidRPr="00944B15">
              <w:rPr>
                <w:rFonts w:cs="Times New Roman"/>
                <w:color w:val="000000" w:themeColor="text1"/>
                <w:szCs w:val="24"/>
              </w:rPr>
              <w:t>Side effects</w:t>
            </w:r>
          </w:p>
        </w:tc>
        <w:tc>
          <w:tcPr>
            <w:tcW w:w="6321" w:type="dxa"/>
          </w:tcPr>
          <w:p w14:paraId="4ADD4082" w14:textId="77777777" w:rsidR="00401703" w:rsidRPr="00944B15" w:rsidRDefault="00401703" w:rsidP="002D6DD7">
            <w:pPr>
              <w:jc w:val="both"/>
              <w:rPr>
                <w:rFonts w:cs="Times New Roman"/>
                <w:szCs w:val="24"/>
              </w:rPr>
            </w:pPr>
            <w:r w:rsidRPr="00BF11A9">
              <w:rPr>
                <w:rFonts w:cs="Times New Roman"/>
                <w:szCs w:val="24"/>
              </w:rPr>
              <w:t>Refer to imipramine under medicines for insomnia and anxiety disorders</w:t>
            </w:r>
          </w:p>
        </w:tc>
      </w:tr>
      <w:tr w:rsidR="00401703" w:rsidRPr="00944B15" w14:paraId="4A573EC2" w14:textId="77777777" w:rsidTr="002D6DD7">
        <w:tc>
          <w:tcPr>
            <w:tcW w:w="2695" w:type="dxa"/>
          </w:tcPr>
          <w:p w14:paraId="227D5DB0" w14:textId="77777777" w:rsidR="00401703" w:rsidRPr="00944B15" w:rsidRDefault="00401703" w:rsidP="002D6DD7">
            <w:pPr>
              <w:jc w:val="both"/>
              <w:rPr>
                <w:rFonts w:cs="Times New Roman"/>
                <w:szCs w:val="24"/>
              </w:rPr>
            </w:pPr>
            <w:r w:rsidRPr="00944B15">
              <w:rPr>
                <w:rFonts w:cs="Times New Roman"/>
                <w:color w:val="000000" w:themeColor="text1"/>
                <w:szCs w:val="24"/>
              </w:rPr>
              <w:t xml:space="preserve">Cautions </w:t>
            </w:r>
          </w:p>
        </w:tc>
        <w:tc>
          <w:tcPr>
            <w:tcW w:w="6321" w:type="dxa"/>
          </w:tcPr>
          <w:p w14:paraId="3E7FDD3D" w14:textId="77777777" w:rsidR="00401703" w:rsidRPr="00944B15" w:rsidRDefault="00401703" w:rsidP="002D6DD7">
            <w:pPr>
              <w:jc w:val="both"/>
              <w:rPr>
                <w:rFonts w:cs="Times New Roman"/>
                <w:szCs w:val="24"/>
              </w:rPr>
            </w:pPr>
            <w:r w:rsidRPr="00BF11A9">
              <w:rPr>
                <w:rFonts w:cs="Times New Roman"/>
                <w:szCs w:val="24"/>
              </w:rPr>
              <w:t>Refer to imipramine under medicines for insomnia and anxiety disorders</w:t>
            </w:r>
          </w:p>
        </w:tc>
      </w:tr>
      <w:tr w:rsidR="00401703" w:rsidRPr="00944B15" w14:paraId="138F284D" w14:textId="77777777" w:rsidTr="002D6DD7">
        <w:tc>
          <w:tcPr>
            <w:tcW w:w="2695" w:type="dxa"/>
          </w:tcPr>
          <w:p w14:paraId="100F6AE7" w14:textId="77777777" w:rsidR="00401703" w:rsidRPr="00944B15" w:rsidRDefault="00401703" w:rsidP="002D6DD7">
            <w:pPr>
              <w:jc w:val="both"/>
              <w:rPr>
                <w:rFonts w:cs="Times New Roman"/>
                <w:szCs w:val="24"/>
              </w:rPr>
            </w:pPr>
            <w:r w:rsidRPr="00944B15">
              <w:rPr>
                <w:rFonts w:cs="Times New Roman"/>
                <w:color w:val="000000" w:themeColor="text1"/>
                <w:szCs w:val="24"/>
              </w:rPr>
              <w:t>Storage condition</w:t>
            </w:r>
          </w:p>
        </w:tc>
        <w:tc>
          <w:tcPr>
            <w:tcW w:w="6321" w:type="dxa"/>
          </w:tcPr>
          <w:p w14:paraId="3A84CBE7" w14:textId="77777777" w:rsidR="00401703" w:rsidRPr="00944B15" w:rsidRDefault="00401703" w:rsidP="002D6DD7">
            <w:pPr>
              <w:jc w:val="both"/>
              <w:rPr>
                <w:rFonts w:cs="Times New Roman"/>
                <w:szCs w:val="24"/>
              </w:rPr>
            </w:pPr>
            <w:r w:rsidRPr="00944B15">
              <w:rPr>
                <w:rFonts w:cs="Times New Roman"/>
                <w:color w:val="000000" w:themeColor="text1"/>
                <w:szCs w:val="24"/>
              </w:rPr>
              <w:t>Store below 30</w:t>
            </w:r>
            <w:r w:rsidRPr="00944B15">
              <w:rPr>
                <w:rFonts w:cs="Times New Roman"/>
                <w:color w:val="000000" w:themeColor="text1"/>
                <w:szCs w:val="24"/>
                <w:vertAlign w:val="superscript"/>
              </w:rPr>
              <w:t>0</w:t>
            </w:r>
            <w:r w:rsidRPr="00944B15">
              <w:rPr>
                <w:rFonts w:cs="Times New Roman"/>
                <w:color w:val="000000" w:themeColor="text1"/>
                <w:szCs w:val="24"/>
              </w:rPr>
              <w:t>C. Protect from light.</w:t>
            </w:r>
          </w:p>
        </w:tc>
      </w:tr>
      <w:tr w:rsidR="00401703" w:rsidRPr="00944B15" w14:paraId="581E6641" w14:textId="77777777" w:rsidTr="002D6DD7">
        <w:tc>
          <w:tcPr>
            <w:tcW w:w="2695" w:type="dxa"/>
          </w:tcPr>
          <w:p w14:paraId="7609BB1B" w14:textId="77777777" w:rsidR="00401703" w:rsidRPr="00244813" w:rsidRDefault="00401703" w:rsidP="002D6DD7">
            <w:pPr>
              <w:jc w:val="both"/>
              <w:rPr>
                <w:rFonts w:cs="Times New Roman"/>
                <w:b/>
                <w:bCs/>
                <w:color w:val="000000" w:themeColor="text1"/>
                <w:szCs w:val="24"/>
              </w:rPr>
            </w:pPr>
            <w:r w:rsidRPr="00244813">
              <w:rPr>
                <w:rFonts w:cs="Times New Roman"/>
                <w:b/>
                <w:bCs/>
                <w:color w:val="000000" w:themeColor="text1"/>
                <w:szCs w:val="24"/>
              </w:rPr>
              <w:t>Paroxetine</w:t>
            </w:r>
          </w:p>
        </w:tc>
        <w:tc>
          <w:tcPr>
            <w:tcW w:w="6321" w:type="dxa"/>
          </w:tcPr>
          <w:p w14:paraId="6E5BF04B" w14:textId="77777777" w:rsidR="00401703" w:rsidRPr="00944B15" w:rsidRDefault="00401703" w:rsidP="002D6DD7">
            <w:pPr>
              <w:jc w:val="both"/>
              <w:rPr>
                <w:rFonts w:cs="Times New Roman"/>
                <w:color w:val="000000" w:themeColor="text1"/>
                <w:szCs w:val="24"/>
              </w:rPr>
            </w:pPr>
          </w:p>
        </w:tc>
      </w:tr>
      <w:tr w:rsidR="00401703" w:rsidRPr="00944B15" w14:paraId="1FB88D46" w14:textId="77777777" w:rsidTr="002D6DD7">
        <w:tc>
          <w:tcPr>
            <w:tcW w:w="2695" w:type="dxa"/>
          </w:tcPr>
          <w:p w14:paraId="2145B2F1" w14:textId="77777777" w:rsidR="00401703" w:rsidRPr="00944B15" w:rsidRDefault="00401703" w:rsidP="002D6DD7">
            <w:pPr>
              <w:jc w:val="both"/>
              <w:rPr>
                <w:rFonts w:cs="Times New Roman"/>
                <w:color w:val="000000" w:themeColor="text1"/>
                <w:szCs w:val="24"/>
              </w:rPr>
            </w:pPr>
            <w:r w:rsidRPr="00944B15">
              <w:rPr>
                <w:rFonts w:cs="Times New Roman"/>
                <w:szCs w:val="24"/>
              </w:rPr>
              <w:t>Pharmacological class</w:t>
            </w:r>
          </w:p>
        </w:tc>
        <w:tc>
          <w:tcPr>
            <w:tcW w:w="6321" w:type="dxa"/>
          </w:tcPr>
          <w:p w14:paraId="09EE8D8A" w14:textId="77777777" w:rsidR="00401703" w:rsidRPr="00944B15" w:rsidRDefault="00401703" w:rsidP="002D6DD7">
            <w:pPr>
              <w:jc w:val="both"/>
              <w:rPr>
                <w:rFonts w:cs="Times New Roman"/>
                <w:color w:val="000000" w:themeColor="text1"/>
                <w:szCs w:val="24"/>
              </w:rPr>
            </w:pPr>
            <w:r w:rsidRPr="00944B15">
              <w:rPr>
                <w:rFonts w:cs="Times New Roman"/>
                <w:szCs w:val="24"/>
              </w:rPr>
              <w:t>Selective Serotonin Reuptake Inhibitor</w:t>
            </w:r>
            <w:r>
              <w:rPr>
                <w:rFonts w:cs="Times New Roman"/>
                <w:szCs w:val="24"/>
              </w:rPr>
              <w:t xml:space="preserve"> (SSRI)</w:t>
            </w:r>
          </w:p>
        </w:tc>
      </w:tr>
      <w:tr w:rsidR="00401703" w:rsidRPr="00944B15" w14:paraId="21165C8F" w14:textId="77777777" w:rsidTr="002D6DD7">
        <w:tc>
          <w:tcPr>
            <w:tcW w:w="2695" w:type="dxa"/>
          </w:tcPr>
          <w:p w14:paraId="06107B5E" w14:textId="77777777" w:rsidR="00401703" w:rsidRPr="00944B15" w:rsidRDefault="00401703" w:rsidP="002D6DD7">
            <w:pPr>
              <w:jc w:val="both"/>
              <w:rPr>
                <w:rFonts w:cs="Times New Roman"/>
                <w:color w:val="000000" w:themeColor="text1"/>
                <w:szCs w:val="24"/>
              </w:rPr>
            </w:pPr>
            <w:r w:rsidRPr="00944B15">
              <w:rPr>
                <w:rFonts w:cs="Times New Roman"/>
                <w:szCs w:val="24"/>
              </w:rPr>
              <w:t>Dosage Form</w:t>
            </w:r>
          </w:p>
        </w:tc>
        <w:tc>
          <w:tcPr>
            <w:tcW w:w="6321" w:type="dxa"/>
          </w:tcPr>
          <w:p w14:paraId="41597CD2" w14:textId="77777777" w:rsidR="00401703" w:rsidRPr="00944B15" w:rsidRDefault="00401703" w:rsidP="002D6DD7">
            <w:pPr>
              <w:jc w:val="both"/>
              <w:rPr>
                <w:rFonts w:cs="Times New Roman"/>
                <w:color w:val="000000" w:themeColor="text1"/>
                <w:szCs w:val="24"/>
              </w:rPr>
            </w:pPr>
            <w:r w:rsidRPr="00944B15">
              <w:rPr>
                <w:rFonts w:cs="Times New Roman"/>
                <w:szCs w:val="24"/>
              </w:rPr>
              <w:t>Tablet: 20mg</w:t>
            </w:r>
          </w:p>
        </w:tc>
      </w:tr>
      <w:tr w:rsidR="00401703" w:rsidRPr="00944B15" w14:paraId="511745FC" w14:textId="77777777" w:rsidTr="002D6DD7">
        <w:tc>
          <w:tcPr>
            <w:tcW w:w="2695" w:type="dxa"/>
          </w:tcPr>
          <w:p w14:paraId="71E98C60" w14:textId="77777777" w:rsidR="00401703" w:rsidRPr="00944B15" w:rsidRDefault="00401703" w:rsidP="002D6DD7">
            <w:pPr>
              <w:jc w:val="both"/>
              <w:rPr>
                <w:rFonts w:cs="Times New Roman"/>
                <w:color w:val="000000" w:themeColor="text1"/>
                <w:szCs w:val="24"/>
              </w:rPr>
            </w:pPr>
            <w:r w:rsidRPr="00944B15">
              <w:rPr>
                <w:rFonts w:cs="Times New Roman"/>
                <w:szCs w:val="24"/>
              </w:rPr>
              <w:t>Indication</w:t>
            </w:r>
          </w:p>
        </w:tc>
        <w:tc>
          <w:tcPr>
            <w:tcW w:w="6321" w:type="dxa"/>
          </w:tcPr>
          <w:p w14:paraId="27BB2215" w14:textId="77777777" w:rsidR="00401703" w:rsidRPr="00944B15" w:rsidRDefault="00401703" w:rsidP="002D6DD7">
            <w:pPr>
              <w:jc w:val="both"/>
              <w:rPr>
                <w:rFonts w:cs="Times New Roman"/>
                <w:color w:val="000000" w:themeColor="text1"/>
                <w:szCs w:val="24"/>
              </w:rPr>
            </w:pPr>
            <w:r>
              <w:rPr>
                <w:rFonts w:cs="Times New Roman"/>
                <w:szCs w:val="24"/>
              </w:rPr>
              <w:t>M</w:t>
            </w:r>
            <w:r w:rsidRPr="00944B15">
              <w:rPr>
                <w:rFonts w:cs="Times New Roman"/>
                <w:szCs w:val="24"/>
              </w:rPr>
              <w:t>ajor depression, social anxiety disorder, post-traumatic stress disorder, generalized anxiety disorder</w:t>
            </w:r>
          </w:p>
        </w:tc>
      </w:tr>
      <w:tr w:rsidR="00401703" w:rsidRPr="00944B15" w14:paraId="5561F56C" w14:textId="77777777" w:rsidTr="002D6DD7">
        <w:tc>
          <w:tcPr>
            <w:tcW w:w="2695" w:type="dxa"/>
          </w:tcPr>
          <w:p w14:paraId="04E4C3E5" w14:textId="77777777" w:rsidR="00401703" w:rsidRPr="00944B15" w:rsidRDefault="00401703" w:rsidP="002D6DD7">
            <w:pPr>
              <w:jc w:val="both"/>
              <w:rPr>
                <w:rFonts w:cs="Times New Roman"/>
                <w:color w:val="000000" w:themeColor="text1"/>
                <w:szCs w:val="24"/>
              </w:rPr>
            </w:pPr>
            <w:r w:rsidRPr="00944B15">
              <w:rPr>
                <w:rFonts w:cs="Times New Roman"/>
                <w:szCs w:val="24"/>
              </w:rPr>
              <w:t>Dose and Administration</w:t>
            </w:r>
          </w:p>
        </w:tc>
        <w:tc>
          <w:tcPr>
            <w:tcW w:w="6321" w:type="dxa"/>
          </w:tcPr>
          <w:p w14:paraId="573BD885" w14:textId="77777777" w:rsidR="00401703" w:rsidRPr="006C4F90" w:rsidRDefault="00401703" w:rsidP="002D6DD7">
            <w:pPr>
              <w:rPr>
                <w:rFonts w:cs="Times New Roman"/>
                <w:b/>
                <w:bCs/>
                <w:szCs w:val="24"/>
              </w:rPr>
            </w:pPr>
            <w:r w:rsidRPr="006C4F90">
              <w:rPr>
                <w:rFonts w:cs="Times New Roman"/>
                <w:b/>
                <w:bCs/>
                <w:szCs w:val="24"/>
              </w:rPr>
              <w:t>Major depression</w:t>
            </w:r>
            <w:r w:rsidR="00C80455">
              <w:rPr>
                <w:rFonts w:cs="Times New Roman"/>
                <w:b/>
                <w:bCs/>
                <w:szCs w:val="24"/>
              </w:rPr>
              <w:t>:</w:t>
            </w:r>
          </w:p>
          <w:p w14:paraId="2DEE463A" w14:textId="77777777" w:rsidR="00401703" w:rsidRPr="00A87A2A" w:rsidRDefault="00401703" w:rsidP="002D6DD7">
            <w:pPr>
              <w:rPr>
                <w:rFonts w:cs="Times New Roman"/>
                <w:b/>
                <w:bCs/>
                <w:szCs w:val="24"/>
              </w:rPr>
            </w:pPr>
            <w:r w:rsidRPr="00944B15">
              <w:rPr>
                <w:rFonts w:cs="Times New Roman"/>
                <w:b/>
                <w:bCs/>
                <w:szCs w:val="24"/>
              </w:rPr>
              <w:t xml:space="preserve">Adult: </w:t>
            </w:r>
            <w:r w:rsidRPr="00944B15">
              <w:rPr>
                <w:rFonts w:cs="Times New Roman"/>
                <w:szCs w:val="24"/>
              </w:rPr>
              <w:t>20 mg daily in the morning; maximum 50 mg per day.</w:t>
            </w:r>
          </w:p>
          <w:p w14:paraId="2908E5BB" w14:textId="77777777" w:rsidR="00401703" w:rsidRPr="006C4F90" w:rsidRDefault="00401703" w:rsidP="002D6DD7">
            <w:pPr>
              <w:rPr>
                <w:rFonts w:cs="Times New Roman"/>
                <w:szCs w:val="24"/>
              </w:rPr>
            </w:pPr>
            <w:r w:rsidRPr="00944B15">
              <w:rPr>
                <w:rFonts w:cs="Times New Roman"/>
                <w:b/>
                <w:bCs/>
                <w:szCs w:val="24"/>
              </w:rPr>
              <w:t xml:space="preserve">Elderly: </w:t>
            </w:r>
            <w:r w:rsidRPr="00944B15">
              <w:rPr>
                <w:rFonts w:cs="Times New Roman"/>
                <w:szCs w:val="24"/>
              </w:rPr>
              <w:t xml:space="preserve">20 mg daily in the morning; maximum 40 mg per day. </w:t>
            </w:r>
          </w:p>
        </w:tc>
      </w:tr>
      <w:tr w:rsidR="00401703" w:rsidRPr="00944B15" w14:paraId="0595E576" w14:textId="77777777" w:rsidTr="002D6DD7">
        <w:tc>
          <w:tcPr>
            <w:tcW w:w="2695" w:type="dxa"/>
          </w:tcPr>
          <w:p w14:paraId="2A111CCF" w14:textId="77777777" w:rsidR="00401703" w:rsidRPr="00944B15" w:rsidRDefault="00401703" w:rsidP="002D6DD7">
            <w:pPr>
              <w:jc w:val="both"/>
              <w:rPr>
                <w:rFonts w:cs="Times New Roman"/>
                <w:color w:val="000000" w:themeColor="text1"/>
                <w:szCs w:val="24"/>
              </w:rPr>
            </w:pPr>
            <w:r w:rsidRPr="00944B15">
              <w:rPr>
                <w:rFonts w:cs="Times New Roman"/>
                <w:szCs w:val="24"/>
              </w:rPr>
              <w:t>Contraindications</w:t>
            </w:r>
          </w:p>
        </w:tc>
        <w:tc>
          <w:tcPr>
            <w:tcW w:w="6321" w:type="dxa"/>
          </w:tcPr>
          <w:p w14:paraId="6D8AEC3E" w14:textId="77777777" w:rsidR="00401703" w:rsidRPr="00944B15" w:rsidRDefault="00401703" w:rsidP="002D6DD7">
            <w:pPr>
              <w:jc w:val="both"/>
              <w:rPr>
                <w:rFonts w:cs="Times New Roman"/>
                <w:color w:val="000000" w:themeColor="text1"/>
                <w:szCs w:val="24"/>
              </w:rPr>
            </w:pPr>
            <w:r w:rsidRPr="00944B15">
              <w:rPr>
                <w:rFonts w:cs="Times New Roman"/>
                <w:szCs w:val="24"/>
              </w:rPr>
              <w:t>Hypersensitivity to the</w:t>
            </w:r>
            <w:r>
              <w:rPr>
                <w:rFonts w:cs="Times New Roman"/>
                <w:szCs w:val="24"/>
              </w:rPr>
              <w:t xml:space="preserve"> drug</w:t>
            </w:r>
            <w:r w:rsidR="00C80455">
              <w:rPr>
                <w:rFonts w:cs="Times New Roman"/>
                <w:szCs w:val="24"/>
              </w:rPr>
              <w:t>.</w:t>
            </w:r>
          </w:p>
        </w:tc>
      </w:tr>
      <w:tr w:rsidR="00401703" w:rsidRPr="00944B15" w14:paraId="2095FD19" w14:textId="77777777" w:rsidTr="002D6DD7">
        <w:tc>
          <w:tcPr>
            <w:tcW w:w="2695" w:type="dxa"/>
          </w:tcPr>
          <w:p w14:paraId="629098BC" w14:textId="77777777" w:rsidR="00401703" w:rsidRPr="00944B15" w:rsidRDefault="00401703" w:rsidP="002D6DD7">
            <w:pPr>
              <w:jc w:val="both"/>
              <w:rPr>
                <w:rFonts w:cs="Times New Roman"/>
                <w:color w:val="000000" w:themeColor="text1"/>
                <w:szCs w:val="24"/>
              </w:rPr>
            </w:pPr>
            <w:r w:rsidRPr="00944B15">
              <w:rPr>
                <w:rFonts w:cs="Times New Roman"/>
                <w:szCs w:val="24"/>
              </w:rPr>
              <w:t>Drug Interactions</w:t>
            </w:r>
          </w:p>
        </w:tc>
        <w:tc>
          <w:tcPr>
            <w:tcW w:w="6321" w:type="dxa"/>
          </w:tcPr>
          <w:p w14:paraId="60405F54" w14:textId="77777777" w:rsidR="00401703" w:rsidRPr="00944B15" w:rsidRDefault="00401703" w:rsidP="002D6DD7">
            <w:pPr>
              <w:jc w:val="both"/>
              <w:rPr>
                <w:rFonts w:cs="Times New Roman"/>
                <w:color w:val="000000" w:themeColor="text1"/>
                <w:szCs w:val="24"/>
              </w:rPr>
            </w:pPr>
            <w:r>
              <w:rPr>
                <w:rFonts w:cs="Times New Roman"/>
                <w:szCs w:val="24"/>
              </w:rPr>
              <w:t>MAOIs</w:t>
            </w:r>
            <w:r w:rsidRPr="00944B15">
              <w:rPr>
                <w:rFonts w:cs="Times New Roman"/>
                <w:szCs w:val="24"/>
              </w:rPr>
              <w:t>, thioridazine, pimozide, neuromuscular blockers, fosamprenavir/ritonavir, procyclidine, anticonvulsants, alcohol, oral anticoagulants, pravastatin,</w:t>
            </w:r>
            <w:r>
              <w:rPr>
                <w:rFonts w:cs="Times New Roman"/>
                <w:szCs w:val="24"/>
              </w:rPr>
              <w:t xml:space="preserve"> NSAIDs</w:t>
            </w:r>
            <w:r w:rsidRPr="00944B15">
              <w:rPr>
                <w:rFonts w:cs="Times New Roman"/>
                <w:szCs w:val="24"/>
              </w:rPr>
              <w:t>, acetylsalicylic acid, antiplatelet agents</w:t>
            </w:r>
          </w:p>
        </w:tc>
      </w:tr>
      <w:tr w:rsidR="00401703" w:rsidRPr="00944B15" w14:paraId="23FBCEBD" w14:textId="77777777" w:rsidTr="002D6DD7">
        <w:tc>
          <w:tcPr>
            <w:tcW w:w="2695" w:type="dxa"/>
          </w:tcPr>
          <w:p w14:paraId="351B6AEB" w14:textId="77777777" w:rsidR="00401703" w:rsidRPr="00944B15" w:rsidRDefault="00401703" w:rsidP="002D6DD7">
            <w:pPr>
              <w:jc w:val="both"/>
              <w:rPr>
                <w:rFonts w:cs="Times New Roman"/>
                <w:color w:val="000000" w:themeColor="text1"/>
                <w:szCs w:val="24"/>
              </w:rPr>
            </w:pPr>
            <w:r w:rsidRPr="00944B15">
              <w:rPr>
                <w:rFonts w:cs="Times New Roman"/>
                <w:szCs w:val="24"/>
              </w:rPr>
              <w:t>Side Effects</w:t>
            </w:r>
          </w:p>
        </w:tc>
        <w:tc>
          <w:tcPr>
            <w:tcW w:w="6321" w:type="dxa"/>
          </w:tcPr>
          <w:p w14:paraId="77E1941B" w14:textId="77777777" w:rsidR="00401703" w:rsidRPr="00944B15" w:rsidRDefault="00401703" w:rsidP="002D6DD7">
            <w:pPr>
              <w:jc w:val="both"/>
              <w:rPr>
                <w:rFonts w:cs="Times New Roman"/>
                <w:color w:val="000000" w:themeColor="text1"/>
                <w:szCs w:val="24"/>
              </w:rPr>
            </w:pPr>
            <w:r w:rsidRPr="00944B15">
              <w:rPr>
                <w:rFonts w:cs="Times New Roman"/>
                <w:szCs w:val="24"/>
              </w:rPr>
              <w:t xml:space="preserve">Blurred vision, </w:t>
            </w:r>
            <w:r>
              <w:rPr>
                <w:rFonts w:cs="Times New Roman"/>
                <w:szCs w:val="24"/>
              </w:rPr>
              <w:t>i</w:t>
            </w:r>
            <w:r w:rsidRPr="00944B15">
              <w:rPr>
                <w:rFonts w:cs="Times New Roman"/>
                <w:szCs w:val="24"/>
              </w:rPr>
              <w:t>mpaired diabetic control</w:t>
            </w:r>
          </w:p>
        </w:tc>
      </w:tr>
      <w:tr w:rsidR="00401703" w:rsidRPr="00944B15" w14:paraId="7F8F23FD" w14:textId="77777777" w:rsidTr="002D6DD7">
        <w:tc>
          <w:tcPr>
            <w:tcW w:w="2695" w:type="dxa"/>
          </w:tcPr>
          <w:p w14:paraId="0E36F71D" w14:textId="77777777" w:rsidR="00401703" w:rsidRPr="00944B15" w:rsidRDefault="00401703" w:rsidP="002D6DD7">
            <w:pPr>
              <w:jc w:val="both"/>
              <w:rPr>
                <w:rFonts w:cs="Times New Roman"/>
                <w:color w:val="000000" w:themeColor="text1"/>
                <w:szCs w:val="24"/>
              </w:rPr>
            </w:pPr>
            <w:r w:rsidRPr="00944B15">
              <w:rPr>
                <w:rFonts w:cs="Times New Roman"/>
                <w:szCs w:val="24"/>
              </w:rPr>
              <w:lastRenderedPageBreak/>
              <w:t>Cautions</w:t>
            </w:r>
          </w:p>
        </w:tc>
        <w:tc>
          <w:tcPr>
            <w:tcW w:w="6321" w:type="dxa"/>
          </w:tcPr>
          <w:p w14:paraId="6DB2CDD4" w14:textId="77777777" w:rsidR="00401703" w:rsidRPr="00944B15" w:rsidRDefault="00401703" w:rsidP="002D6DD7">
            <w:pPr>
              <w:jc w:val="both"/>
              <w:rPr>
                <w:rFonts w:cs="Times New Roman"/>
                <w:color w:val="000000" w:themeColor="text1"/>
                <w:szCs w:val="24"/>
              </w:rPr>
            </w:pPr>
            <w:r w:rsidRPr="00944B15">
              <w:rPr>
                <w:rFonts w:cs="Times New Roman"/>
                <w:szCs w:val="24"/>
              </w:rPr>
              <w:t>Achlorhydria or high gastric pH</w:t>
            </w:r>
            <w:r>
              <w:rPr>
                <w:rFonts w:cs="Times New Roman"/>
                <w:szCs w:val="24"/>
              </w:rPr>
              <w:t>, p</w:t>
            </w:r>
            <w:r w:rsidRPr="00944B15">
              <w:rPr>
                <w:rFonts w:cs="Times New Roman"/>
                <w:szCs w:val="24"/>
              </w:rPr>
              <w:t>regnancy</w:t>
            </w:r>
            <w:r>
              <w:rPr>
                <w:rFonts w:cs="Times New Roman"/>
                <w:szCs w:val="24"/>
              </w:rPr>
              <w:t>, b</w:t>
            </w:r>
            <w:r w:rsidRPr="00944B15">
              <w:rPr>
                <w:rFonts w:cs="Times New Roman"/>
                <w:szCs w:val="24"/>
              </w:rPr>
              <w:t>reastfeeding</w:t>
            </w:r>
          </w:p>
        </w:tc>
      </w:tr>
      <w:tr w:rsidR="00401703" w:rsidRPr="00944B15" w14:paraId="10B0D57D" w14:textId="77777777" w:rsidTr="002D6DD7">
        <w:tc>
          <w:tcPr>
            <w:tcW w:w="2695" w:type="dxa"/>
          </w:tcPr>
          <w:p w14:paraId="3164A95B" w14:textId="77777777" w:rsidR="00401703" w:rsidRPr="00944B15" w:rsidRDefault="00401703" w:rsidP="002D6DD7">
            <w:pPr>
              <w:jc w:val="both"/>
              <w:rPr>
                <w:rFonts w:cs="Times New Roman"/>
                <w:color w:val="000000" w:themeColor="text1"/>
                <w:szCs w:val="24"/>
              </w:rPr>
            </w:pPr>
            <w:r w:rsidRPr="00944B15">
              <w:rPr>
                <w:rFonts w:cs="Times New Roman"/>
                <w:szCs w:val="24"/>
              </w:rPr>
              <w:t>Storage Condition</w:t>
            </w:r>
          </w:p>
        </w:tc>
        <w:tc>
          <w:tcPr>
            <w:tcW w:w="6321" w:type="dxa"/>
          </w:tcPr>
          <w:p w14:paraId="7DC1D90D" w14:textId="77777777" w:rsidR="00401703" w:rsidRPr="00944B15" w:rsidRDefault="00401703" w:rsidP="002D6DD7">
            <w:pPr>
              <w:jc w:val="both"/>
              <w:rPr>
                <w:rFonts w:cs="Times New Roman"/>
                <w:color w:val="000000" w:themeColor="text1"/>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r w:rsidR="00401703" w:rsidRPr="00944B15" w14:paraId="36D75D2B" w14:textId="77777777" w:rsidTr="002D6DD7">
        <w:tc>
          <w:tcPr>
            <w:tcW w:w="9016" w:type="dxa"/>
            <w:gridSpan w:val="2"/>
          </w:tcPr>
          <w:p w14:paraId="6AFAE95C" w14:textId="77777777" w:rsidR="00401703" w:rsidRPr="00944B15" w:rsidRDefault="00401703" w:rsidP="002D6DD7">
            <w:pPr>
              <w:jc w:val="both"/>
              <w:rPr>
                <w:rFonts w:cs="Times New Roman"/>
                <w:szCs w:val="24"/>
              </w:rPr>
            </w:pPr>
            <w:r w:rsidRPr="00944B15">
              <w:rPr>
                <w:rFonts w:cs="Times New Roman"/>
                <w:b/>
                <w:bCs/>
                <w:szCs w:val="24"/>
              </w:rPr>
              <w:t>Sertraline Hydrochloride</w:t>
            </w:r>
          </w:p>
        </w:tc>
      </w:tr>
      <w:tr w:rsidR="00401703" w:rsidRPr="00944B15" w14:paraId="40C73969" w14:textId="77777777" w:rsidTr="002D6DD7">
        <w:tc>
          <w:tcPr>
            <w:tcW w:w="2695" w:type="dxa"/>
          </w:tcPr>
          <w:p w14:paraId="7F1E0013" w14:textId="77777777" w:rsidR="00401703" w:rsidRPr="00944B15" w:rsidRDefault="00401703" w:rsidP="002D6DD7">
            <w:pPr>
              <w:jc w:val="both"/>
              <w:rPr>
                <w:rFonts w:cs="Times New Roman"/>
                <w:szCs w:val="24"/>
              </w:rPr>
            </w:pPr>
            <w:r w:rsidRPr="00944B15">
              <w:rPr>
                <w:rFonts w:cs="Times New Roman"/>
                <w:color w:val="000000" w:themeColor="text1"/>
                <w:szCs w:val="24"/>
              </w:rPr>
              <w:t>Pharmacological class</w:t>
            </w:r>
          </w:p>
        </w:tc>
        <w:tc>
          <w:tcPr>
            <w:tcW w:w="6321" w:type="dxa"/>
          </w:tcPr>
          <w:p w14:paraId="3CF5E7B7" w14:textId="77777777" w:rsidR="00401703" w:rsidRPr="00944B15" w:rsidRDefault="00401703" w:rsidP="002D6DD7">
            <w:pPr>
              <w:jc w:val="both"/>
              <w:rPr>
                <w:rFonts w:cs="Times New Roman"/>
                <w:szCs w:val="24"/>
              </w:rPr>
            </w:pPr>
            <w:r w:rsidRPr="00944B15">
              <w:rPr>
                <w:rFonts w:cs="Times New Roman"/>
                <w:color w:val="000000" w:themeColor="text1"/>
                <w:szCs w:val="24"/>
              </w:rPr>
              <w:t>Selective Serotonin Reuptake Inhibitor</w:t>
            </w:r>
            <w:r>
              <w:rPr>
                <w:rFonts w:cs="Times New Roman"/>
                <w:color w:val="000000" w:themeColor="text1"/>
                <w:szCs w:val="24"/>
              </w:rPr>
              <w:t xml:space="preserve"> (SSRI)</w:t>
            </w:r>
          </w:p>
        </w:tc>
      </w:tr>
      <w:tr w:rsidR="00401703" w:rsidRPr="00944B15" w14:paraId="1B61181A" w14:textId="77777777" w:rsidTr="002D6DD7">
        <w:tc>
          <w:tcPr>
            <w:tcW w:w="2695" w:type="dxa"/>
          </w:tcPr>
          <w:p w14:paraId="35F25A7F" w14:textId="77777777" w:rsidR="00401703" w:rsidRPr="00944B15" w:rsidRDefault="00401703" w:rsidP="002D6DD7">
            <w:pPr>
              <w:jc w:val="both"/>
              <w:rPr>
                <w:rFonts w:cs="Times New Roman"/>
                <w:szCs w:val="24"/>
              </w:rPr>
            </w:pPr>
            <w:r w:rsidRPr="00944B15">
              <w:rPr>
                <w:rFonts w:cs="Times New Roman"/>
                <w:color w:val="000000" w:themeColor="text1"/>
                <w:szCs w:val="24"/>
              </w:rPr>
              <w:t>Dosage form</w:t>
            </w:r>
          </w:p>
        </w:tc>
        <w:tc>
          <w:tcPr>
            <w:tcW w:w="6321" w:type="dxa"/>
          </w:tcPr>
          <w:p w14:paraId="2D867C73" w14:textId="77777777" w:rsidR="00401703" w:rsidRPr="00944B15" w:rsidRDefault="00401703" w:rsidP="002D6DD7">
            <w:pPr>
              <w:jc w:val="both"/>
              <w:rPr>
                <w:rFonts w:cs="Times New Roman"/>
                <w:szCs w:val="24"/>
              </w:rPr>
            </w:pPr>
            <w:r w:rsidRPr="00944B15">
              <w:rPr>
                <w:rFonts w:cs="Times New Roman"/>
                <w:color w:val="000000" w:themeColor="text1"/>
                <w:szCs w:val="24"/>
              </w:rPr>
              <w:t>Tablet</w:t>
            </w:r>
            <w:r>
              <w:rPr>
                <w:rFonts w:cs="Times New Roman"/>
                <w:color w:val="000000" w:themeColor="text1"/>
                <w:szCs w:val="24"/>
              </w:rPr>
              <w:t>:</w:t>
            </w:r>
            <w:r w:rsidRPr="00944B15">
              <w:rPr>
                <w:rFonts w:cs="Times New Roman"/>
                <w:color w:val="000000" w:themeColor="text1"/>
                <w:szCs w:val="24"/>
              </w:rPr>
              <w:t xml:space="preserve"> 50mg, 100mg</w:t>
            </w:r>
          </w:p>
        </w:tc>
      </w:tr>
      <w:tr w:rsidR="00401703" w:rsidRPr="00944B15" w14:paraId="3BB48A16" w14:textId="77777777" w:rsidTr="002D6DD7">
        <w:tc>
          <w:tcPr>
            <w:tcW w:w="2695" w:type="dxa"/>
          </w:tcPr>
          <w:p w14:paraId="76E66C7E" w14:textId="77777777" w:rsidR="00401703" w:rsidRPr="00944B15" w:rsidRDefault="00401703" w:rsidP="002D6DD7">
            <w:pPr>
              <w:jc w:val="both"/>
              <w:rPr>
                <w:rFonts w:cs="Times New Roman"/>
                <w:szCs w:val="24"/>
              </w:rPr>
            </w:pPr>
            <w:r w:rsidRPr="00944B15">
              <w:rPr>
                <w:rFonts w:cs="Times New Roman"/>
                <w:color w:val="000000" w:themeColor="text1"/>
                <w:szCs w:val="24"/>
              </w:rPr>
              <w:t>Indications</w:t>
            </w:r>
          </w:p>
        </w:tc>
        <w:tc>
          <w:tcPr>
            <w:tcW w:w="6321" w:type="dxa"/>
          </w:tcPr>
          <w:p w14:paraId="00DD0FD2" w14:textId="77777777" w:rsidR="00401703" w:rsidRPr="00944B15" w:rsidRDefault="00401703" w:rsidP="002D6DD7">
            <w:pPr>
              <w:jc w:val="both"/>
              <w:rPr>
                <w:rFonts w:cs="Times New Roman"/>
                <w:szCs w:val="24"/>
              </w:rPr>
            </w:pPr>
            <w:r w:rsidRPr="00944B15">
              <w:rPr>
                <w:rFonts w:cs="Times New Roman"/>
                <w:color w:val="000000" w:themeColor="text1"/>
                <w:szCs w:val="24"/>
              </w:rPr>
              <w:t>Major depressive disorder</w:t>
            </w:r>
            <w:r>
              <w:rPr>
                <w:rFonts w:cs="Times New Roman"/>
                <w:color w:val="000000" w:themeColor="text1"/>
                <w:szCs w:val="24"/>
              </w:rPr>
              <w:t>s</w:t>
            </w:r>
          </w:p>
        </w:tc>
      </w:tr>
      <w:tr w:rsidR="00401703" w:rsidRPr="00944B15" w14:paraId="1BBAC9AE" w14:textId="77777777" w:rsidTr="002D6DD7">
        <w:tc>
          <w:tcPr>
            <w:tcW w:w="2695" w:type="dxa"/>
          </w:tcPr>
          <w:p w14:paraId="18223A93" w14:textId="77777777" w:rsidR="00401703" w:rsidRPr="00944B15" w:rsidRDefault="00401703" w:rsidP="002D6DD7">
            <w:pPr>
              <w:jc w:val="both"/>
              <w:rPr>
                <w:rFonts w:cs="Times New Roman"/>
                <w:szCs w:val="24"/>
              </w:rPr>
            </w:pPr>
            <w:r w:rsidRPr="00944B15">
              <w:rPr>
                <w:rFonts w:cs="Times New Roman"/>
                <w:szCs w:val="24"/>
              </w:rPr>
              <w:t>Dose and Administration</w:t>
            </w:r>
          </w:p>
        </w:tc>
        <w:tc>
          <w:tcPr>
            <w:tcW w:w="6321" w:type="dxa"/>
          </w:tcPr>
          <w:p w14:paraId="742DCA67" w14:textId="77777777" w:rsidR="00401703" w:rsidRPr="00944B15" w:rsidRDefault="00401703" w:rsidP="002D6DD7">
            <w:pPr>
              <w:jc w:val="both"/>
              <w:rPr>
                <w:rFonts w:cs="Times New Roman"/>
                <w:szCs w:val="24"/>
              </w:rPr>
            </w:pPr>
            <w:r w:rsidRPr="00944B15">
              <w:rPr>
                <w:rFonts w:cs="Times New Roman"/>
                <w:b/>
                <w:bCs/>
                <w:szCs w:val="24"/>
              </w:rPr>
              <w:t>Adult:</w:t>
            </w:r>
            <w:r w:rsidRPr="00944B15">
              <w:rPr>
                <w:rFonts w:cs="Times New Roman"/>
                <w:szCs w:val="24"/>
              </w:rPr>
              <w:t xml:space="preserve"> Initially 50 mg once daily, may be increased in 50 mg increments at intervals of at least one week, up to a maximum of 200 mg/day.</w:t>
            </w:r>
          </w:p>
        </w:tc>
      </w:tr>
      <w:tr w:rsidR="00401703" w:rsidRPr="00944B15" w14:paraId="1F51C01B" w14:textId="77777777" w:rsidTr="002D6DD7">
        <w:tc>
          <w:tcPr>
            <w:tcW w:w="2695" w:type="dxa"/>
          </w:tcPr>
          <w:p w14:paraId="67D7E037" w14:textId="77777777" w:rsidR="00401703" w:rsidRPr="00944B15" w:rsidRDefault="00401703" w:rsidP="002D6DD7">
            <w:pPr>
              <w:jc w:val="both"/>
              <w:rPr>
                <w:rFonts w:cs="Times New Roman"/>
                <w:szCs w:val="24"/>
              </w:rPr>
            </w:pPr>
            <w:r w:rsidRPr="00944B15">
              <w:rPr>
                <w:rFonts w:cs="Times New Roman"/>
                <w:szCs w:val="24"/>
              </w:rPr>
              <w:t>Contraindications</w:t>
            </w:r>
          </w:p>
        </w:tc>
        <w:tc>
          <w:tcPr>
            <w:tcW w:w="6321" w:type="dxa"/>
          </w:tcPr>
          <w:p w14:paraId="5FC18D2C" w14:textId="77777777" w:rsidR="00401703" w:rsidRPr="00944B15" w:rsidRDefault="00401703" w:rsidP="002D6DD7">
            <w:pPr>
              <w:jc w:val="both"/>
              <w:rPr>
                <w:rFonts w:cs="Times New Roman"/>
                <w:szCs w:val="24"/>
              </w:rPr>
            </w:pPr>
            <w:r w:rsidRPr="00944B15">
              <w:rPr>
                <w:rFonts w:cs="Times New Roman"/>
                <w:szCs w:val="24"/>
              </w:rPr>
              <w:t xml:space="preserve">Hypersensitivity to </w:t>
            </w:r>
            <w:r>
              <w:rPr>
                <w:rFonts w:cs="Times New Roman"/>
                <w:szCs w:val="24"/>
              </w:rPr>
              <w:t>the drug</w:t>
            </w:r>
            <w:r w:rsidR="00C80455">
              <w:rPr>
                <w:rFonts w:cs="Times New Roman"/>
                <w:szCs w:val="24"/>
              </w:rPr>
              <w:t>.</w:t>
            </w:r>
          </w:p>
        </w:tc>
      </w:tr>
      <w:tr w:rsidR="00401703" w:rsidRPr="00944B15" w14:paraId="18CC634F" w14:textId="77777777" w:rsidTr="002D6DD7">
        <w:tc>
          <w:tcPr>
            <w:tcW w:w="2695" w:type="dxa"/>
          </w:tcPr>
          <w:p w14:paraId="1E438D99" w14:textId="77777777" w:rsidR="00401703" w:rsidRPr="00944B15" w:rsidRDefault="00401703" w:rsidP="002D6DD7">
            <w:pPr>
              <w:jc w:val="both"/>
              <w:rPr>
                <w:rFonts w:cs="Times New Roman"/>
                <w:szCs w:val="24"/>
              </w:rPr>
            </w:pPr>
            <w:r w:rsidRPr="00944B15">
              <w:rPr>
                <w:rFonts w:cs="Times New Roman"/>
                <w:szCs w:val="24"/>
              </w:rPr>
              <w:t>Drug Interactions</w:t>
            </w:r>
          </w:p>
        </w:tc>
        <w:tc>
          <w:tcPr>
            <w:tcW w:w="6321" w:type="dxa"/>
          </w:tcPr>
          <w:p w14:paraId="209BEC7E" w14:textId="77777777" w:rsidR="00401703" w:rsidRPr="00944B15" w:rsidRDefault="00401703" w:rsidP="002D6DD7">
            <w:pPr>
              <w:jc w:val="both"/>
              <w:rPr>
                <w:rFonts w:cs="Times New Roman"/>
                <w:szCs w:val="24"/>
              </w:rPr>
            </w:pPr>
            <w:r w:rsidRPr="00944B15">
              <w:rPr>
                <w:rFonts w:cs="Times New Roman"/>
                <w:szCs w:val="24"/>
              </w:rPr>
              <w:t xml:space="preserve">MAO inhibitors, pimozide, disulfiram (oral solution), anticoagulants, alcohol, other </w:t>
            </w:r>
            <w:r>
              <w:rPr>
                <w:rFonts w:cs="Times New Roman"/>
                <w:szCs w:val="24"/>
              </w:rPr>
              <w:t>SSRIs and SNRIs,</w:t>
            </w:r>
            <w:r w:rsidRPr="00944B15">
              <w:rPr>
                <w:rFonts w:cs="Times New Roman"/>
                <w:szCs w:val="24"/>
              </w:rPr>
              <w:t xml:space="preserve"> antipsychotics, </w:t>
            </w:r>
            <w:r>
              <w:rPr>
                <w:rFonts w:cs="Times New Roman"/>
                <w:szCs w:val="24"/>
              </w:rPr>
              <w:t>CNS</w:t>
            </w:r>
            <w:r w:rsidRPr="00944B15">
              <w:rPr>
                <w:rFonts w:cs="Times New Roman"/>
                <w:szCs w:val="24"/>
              </w:rPr>
              <w:t xml:space="preserve"> depressants, </w:t>
            </w:r>
            <w:r>
              <w:rPr>
                <w:rFonts w:cs="Times New Roman"/>
                <w:szCs w:val="24"/>
              </w:rPr>
              <w:t>NSAIDs</w:t>
            </w:r>
            <w:r w:rsidRPr="00944B15">
              <w:rPr>
                <w:rFonts w:cs="Times New Roman"/>
                <w:szCs w:val="24"/>
              </w:rPr>
              <w:t>, triptans, lithium, tramadol, warfarin</w:t>
            </w:r>
          </w:p>
        </w:tc>
      </w:tr>
      <w:tr w:rsidR="00401703" w:rsidRPr="00944B15" w14:paraId="043C52DF" w14:textId="77777777" w:rsidTr="002D6DD7">
        <w:tc>
          <w:tcPr>
            <w:tcW w:w="2695" w:type="dxa"/>
          </w:tcPr>
          <w:p w14:paraId="740A96C0" w14:textId="77777777" w:rsidR="00401703" w:rsidRPr="00944B15" w:rsidRDefault="00401703" w:rsidP="002D6DD7">
            <w:pPr>
              <w:jc w:val="both"/>
              <w:rPr>
                <w:rFonts w:cs="Times New Roman"/>
                <w:szCs w:val="24"/>
              </w:rPr>
            </w:pPr>
            <w:r w:rsidRPr="00944B15">
              <w:rPr>
                <w:rFonts w:cs="Times New Roman"/>
                <w:szCs w:val="24"/>
              </w:rPr>
              <w:t>Side Effects</w:t>
            </w:r>
          </w:p>
        </w:tc>
        <w:tc>
          <w:tcPr>
            <w:tcW w:w="6321" w:type="dxa"/>
          </w:tcPr>
          <w:p w14:paraId="554647C6" w14:textId="77777777" w:rsidR="00401703" w:rsidRPr="00944B15" w:rsidRDefault="00401703" w:rsidP="002D6DD7">
            <w:pPr>
              <w:jc w:val="both"/>
              <w:rPr>
                <w:rFonts w:cs="Times New Roman"/>
                <w:szCs w:val="24"/>
              </w:rPr>
            </w:pPr>
            <w:r w:rsidRPr="00944B15">
              <w:rPr>
                <w:rFonts w:cs="Times New Roman"/>
                <w:szCs w:val="24"/>
              </w:rPr>
              <w:t xml:space="preserve">Nausea, diarrhea, insomnia, dry </w:t>
            </w:r>
            <w:r>
              <w:rPr>
                <w:rFonts w:cs="Times New Roman"/>
                <w:szCs w:val="24"/>
              </w:rPr>
              <w:t>oral</w:t>
            </w:r>
            <w:r w:rsidRPr="00944B15">
              <w:rPr>
                <w:rFonts w:cs="Times New Roman"/>
                <w:szCs w:val="24"/>
              </w:rPr>
              <w:t xml:space="preserve">, dizziness, fatigue, sexual dysfunction, tremor, increased sweating, </w:t>
            </w:r>
            <w:r>
              <w:rPr>
                <w:rFonts w:cs="Times New Roman"/>
                <w:szCs w:val="24"/>
              </w:rPr>
              <w:t>s</w:t>
            </w:r>
            <w:r w:rsidRPr="00944B15">
              <w:rPr>
                <w:rFonts w:cs="Times New Roman"/>
                <w:szCs w:val="24"/>
              </w:rPr>
              <w:t>eizures, serotonin syndrome, manic episodes, hyponatremia, abnormal bleeding, angle-closure glaucoma, liver enzyme abnormalities</w:t>
            </w:r>
          </w:p>
        </w:tc>
      </w:tr>
      <w:tr w:rsidR="00401703" w:rsidRPr="00944B15" w14:paraId="352C7D20" w14:textId="77777777" w:rsidTr="002D6DD7">
        <w:tc>
          <w:tcPr>
            <w:tcW w:w="2695" w:type="dxa"/>
          </w:tcPr>
          <w:p w14:paraId="1943E39F" w14:textId="77777777" w:rsidR="00401703" w:rsidRPr="00944B15" w:rsidRDefault="00401703" w:rsidP="002D6DD7">
            <w:pPr>
              <w:jc w:val="both"/>
              <w:rPr>
                <w:rFonts w:cs="Times New Roman"/>
                <w:szCs w:val="24"/>
              </w:rPr>
            </w:pPr>
            <w:r w:rsidRPr="00944B15">
              <w:rPr>
                <w:rFonts w:cs="Times New Roman"/>
                <w:szCs w:val="24"/>
              </w:rPr>
              <w:t>Cautions</w:t>
            </w:r>
          </w:p>
        </w:tc>
        <w:tc>
          <w:tcPr>
            <w:tcW w:w="6321" w:type="dxa"/>
          </w:tcPr>
          <w:p w14:paraId="5C7FFD7D" w14:textId="77777777" w:rsidR="00401703" w:rsidRPr="00944B15" w:rsidRDefault="00401703" w:rsidP="002D6DD7">
            <w:pPr>
              <w:jc w:val="both"/>
              <w:rPr>
                <w:rFonts w:cs="Times New Roman"/>
                <w:szCs w:val="24"/>
              </w:rPr>
            </w:pPr>
            <w:r>
              <w:rPr>
                <w:rFonts w:cs="Times New Roman"/>
                <w:szCs w:val="24"/>
              </w:rPr>
              <w:t>H</w:t>
            </w:r>
            <w:r w:rsidRPr="00944B15">
              <w:rPr>
                <w:rFonts w:cs="Times New Roman"/>
                <w:szCs w:val="24"/>
              </w:rPr>
              <w:t>istory of seizures, bipolar disorder, liver or kidney impairment, bleeding disorders</w:t>
            </w:r>
            <w:r>
              <w:rPr>
                <w:rFonts w:cs="Times New Roman"/>
                <w:szCs w:val="24"/>
              </w:rPr>
              <w:t xml:space="preserve">, </w:t>
            </w:r>
            <w:r w:rsidRPr="00944B15">
              <w:rPr>
                <w:rFonts w:cs="Times New Roman"/>
                <w:szCs w:val="24"/>
              </w:rPr>
              <w:t>suicidal</w:t>
            </w:r>
            <w:r>
              <w:rPr>
                <w:rFonts w:cs="Times New Roman"/>
                <w:szCs w:val="24"/>
              </w:rPr>
              <w:t xml:space="preserve"> attempt, p</w:t>
            </w:r>
            <w:r w:rsidRPr="00944B15">
              <w:rPr>
                <w:rFonts w:cs="Times New Roman"/>
                <w:szCs w:val="24"/>
              </w:rPr>
              <w:t>regnancy</w:t>
            </w:r>
            <w:r>
              <w:rPr>
                <w:rFonts w:cs="Times New Roman"/>
                <w:szCs w:val="24"/>
              </w:rPr>
              <w:t>, b</w:t>
            </w:r>
            <w:r w:rsidRPr="00944B15">
              <w:rPr>
                <w:rFonts w:cs="Times New Roman"/>
                <w:szCs w:val="24"/>
              </w:rPr>
              <w:t>reastfeeding</w:t>
            </w:r>
          </w:p>
        </w:tc>
      </w:tr>
      <w:tr w:rsidR="00401703" w:rsidRPr="00944B15" w14:paraId="7FF4FFCE" w14:textId="77777777" w:rsidTr="002D6DD7">
        <w:tc>
          <w:tcPr>
            <w:tcW w:w="2695" w:type="dxa"/>
          </w:tcPr>
          <w:p w14:paraId="06C910DE" w14:textId="77777777" w:rsidR="00401703" w:rsidRPr="00944B15" w:rsidRDefault="00401703" w:rsidP="002D6DD7">
            <w:pPr>
              <w:jc w:val="both"/>
              <w:rPr>
                <w:rFonts w:cs="Times New Roman"/>
                <w:szCs w:val="24"/>
              </w:rPr>
            </w:pPr>
            <w:r w:rsidRPr="00944B15">
              <w:rPr>
                <w:rFonts w:cs="Times New Roman"/>
                <w:szCs w:val="24"/>
              </w:rPr>
              <w:t>Storage Condition</w:t>
            </w:r>
          </w:p>
        </w:tc>
        <w:tc>
          <w:tcPr>
            <w:tcW w:w="6321" w:type="dxa"/>
          </w:tcPr>
          <w:p w14:paraId="6A98B8C3" w14:textId="77777777" w:rsidR="00401703" w:rsidRPr="00944B15" w:rsidRDefault="00401703" w:rsidP="002D6DD7">
            <w:pPr>
              <w:jc w:val="both"/>
              <w:rPr>
                <w:rFonts w:cs="Times New Roman"/>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bl>
    <w:p w14:paraId="75068269" w14:textId="77777777" w:rsidR="00401703" w:rsidRPr="00E94AD9" w:rsidRDefault="00401703" w:rsidP="00E94AD9">
      <w:pPr>
        <w:spacing w:before="240"/>
        <w:rPr>
          <w:b/>
        </w:rPr>
      </w:pPr>
      <w:r w:rsidRPr="00E94AD9">
        <w:rPr>
          <w:b/>
        </w:rPr>
        <w:t>Medicines used for bipolar disorders</w:t>
      </w:r>
    </w:p>
    <w:p w14:paraId="15C5EAA9" w14:textId="77777777" w:rsidR="00401703" w:rsidRPr="00944B15" w:rsidRDefault="00401703" w:rsidP="00401703">
      <w:pPr>
        <w:spacing w:after="0"/>
        <w:jc w:val="both"/>
        <w:rPr>
          <w:rFonts w:cs="Times New Roman"/>
          <w:bCs/>
          <w:szCs w:val="24"/>
        </w:rPr>
      </w:pPr>
      <w:r w:rsidRPr="00944B15">
        <w:rPr>
          <w:rFonts w:cs="Times New Roman"/>
          <w:bCs/>
          <w:szCs w:val="24"/>
        </w:rPr>
        <w:t xml:space="preserve">Bipolar disorder, characterized by episodes of mania and depression, often requires pharmacological intervention to manage symptoms and stabilize mood. Medications commonly prescribed include Carbamazepine, Lithium Carbonate, Sodium Valproate, Olanzapine, and Quetiapine. These drugs work through various mechanisms to regulate neurotransmitters and stabilize mood fluctuations. Lithium Carbonate, a mood stabilizer, is particularly effective in preventing manic and depressive episodes. Sodium Valproate, an anticonvulsant, also helps stabilize mood and prevent mood swings. Olanzapine and Quetiapine, atypical antipsychotics, </w:t>
      </w:r>
      <w:r w:rsidRPr="00944B15">
        <w:rPr>
          <w:rFonts w:cs="Times New Roman"/>
          <w:bCs/>
          <w:szCs w:val="24"/>
        </w:rPr>
        <w:lastRenderedPageBreak/>
        <w:t>can be used to treat manic or mixed episodes and help manage symptoms during depressive phases. Carbamazepine, another anticonvulsant, is often utilized for mood stabilization, particularly in cases where other medications are ineffective or poorly tolerated. While these medications offer significant benefits in managing bipolar disorder, they also carry potential side effects and require careful monitoring to optimize treatment outcomes.</w:t>
      </w:r>
    </w:p>
    <w:p w14:paraId="64C81A40" w14:textId="77777777" w:rsidR="00401703" w:rsidRPr="00944B15" w:rsidRDefault="00401703" w:rsidP="00401703">
      <w:pPr>
        <w:spacing w:after="0"/>
        <w:jc w:val="both"/>
        <w:rPr>
          <w:rFonts w:cs="Times New Roman"/>
          <w:bCs/>
          <w:szCs w:val="24"/>
        </w:rPr>
      </w:pPr>
    </w:p>
    <w:tbl>
      <w:tblPr>
        <w:tblStyle w:val="TableGrid4"/>
        <w:tblW w:w="9355" w:type="dxa"/>
        <w:tblLook w:val="04A0" w:firstRow="1" w:lastRow="0" w:firstColumn="1" w:lastColumn="0" w:noHBand="0" w:noVBand="1"/>
      </w:tblPr>
      <w:tblGrid>
        <w:gridCol w:w="2695"/>
        <w:gridCol w:w="6660"/>
      </w:tblGrid>
      <w:tr w:rsidR="00401703" w:rsidRPr="00944B15" w14:paraId="0EA11D9A" w14:textId="77777777" w:rsidTr="002D6DD7">
        <w:tc>
          <w:tcPr>
            <w:tcW w:w="9355" w:type="dxa"/>
            <w:gridSpan w:val="2"/>
          </w:tcPr>
          <w:p w14:paraId="6BA406AD" w14:textId="77777777" w:rsidR="00401703" w:rsidRPr="00944B15" w:rsidRDefault="00401703" w:rsidP="002D6DD7">
            <w:pPr>
              <w:jc w:val="both"/>
              <w:rPr>
                <w:rFonts w:cs="Times New Roman"/>
                <w:b/>
                <w:bCs/>
                <w:color w:val="000000" w:themeColor="text1"/>
                <w:szCs w:val="24"/>
              </w:rPr>
            </w:pPr>
            <w:r w:rsidRPr="00944B15">
              <w:rPr>
                <w:rFonts w:cs="Times New Roman"/>
                <w:b/>
                <w:bCs/>
                <w:szCs w:val="24"/>
              </w:rPr>
              <w:t>Carbamazepine</w:t>
            </w:r>
          </w:p>
        </w:tc>
      </w:tr>
      <w:tr w:rsidR="00401703" w:rsidRPr="00944B15" w14:paraId="4294FBA4" w14:textId="77777777" w:rsidTr="002D6DD7">
        <w:tc>
          <w:tcPr>
            <w:tcW w:w="2695" w:type="dxa"/>
          </w:tcPr>
          <w:p w14:paraId="55F94F12" w14:textId="77777777" w:rsidR="00401703" w:rsidRPr="00944B15" w:rsidRDefault="00401703" w:rsidP="002D6DD7">
            <w:pPr>
              <w:jc w:val="both"/>
              <w:rPr>
                <w:rFonts w:cs="Times New Roman"/>
                <w:color w:val="000000" w:themeColor="text1"/>
                <w:szCs w:val="24"/>
              </w:rPr>
            </w:pPr>
            <w:r w:rsidRPr="00944B15">
              <w:rPr>
                <w:rFonts w:cs="Times New Roman"/>
                <w:szCs w:val="24"/>
              </w:rPr>
              <w:t>Pharmacological Class</w:t>
            </w:r>
          </w:p>
        </w:tc>
        <w:tc>
          <w:tcPr>
            <w:tcW w:w="6660" w:type="dxa"/>
          </w:tcPr>
          <w:p w14:paraId="585B533C" w14:textId="77777777" w:rsidR="00401703" w:rsidRPr="00944B15" w:rsidRDefault="00401703" w:rsidP="002D6DD7">
            <w:pPr>
              <w:jc w:val="both"/>
              <w:rPr>
                <w:rFonts w:cs="Times New Roman"/>
                <w:color w:val="000000" w:themeColor="text1"/>
                <w:szCs w:val="24"/>
              </w:rPr>
            </w:pPr>
            <w:r w:rsidRPr="00944B15">
              <w:rPr>
                <w:rFonts w:cs="Times New Roman"/>
                <w:szCs w:val="24"/>
              </w:rPr>
              <w:t>Anticonvulsant</w:t>
            </w:r>
          </w:p>
        </w:tc>
      </w:tr>
      <w:tr w:rsidR="00401703" w:rsidRPr="00BD4E51" w14:paraId="532A2003" w14:textId="77777777" w:rsidTr="002D6DD7">
        <w:tc>
          <w:tcPr>
            <w:tcW w:w="2695" w:type="dxa"/>
          </w:tcPr>
          <w:p w14:paraId="68868A0F" w14:textId="77777777" w:rsidR="00401703" w:rsidRPr="00944B15" w:rsidRDefault="00401703" w:rsidP="002D6DD7">
            <w:pPr>
              <w:jc w:val="both"/>
              <w:rPr>
                <w:rFonts w:cs="Times New Roman"/>
                <w:color w:val="000000" w:themeColor="text1"/>
                <w:szCs w:val="24"/>
              </w:rPr>
            </w:pPr>
            <w:r w:rsidRPr="00944B15">
              <w:rPr>
                <w:rFonts w:cs="Times New Roman"/>
                <w:szCs w:val="24"/>
              </w:rPr>
              <w:t>Dosage Form</w:t>
            </w:r>
          </w:p>
        </w:tc>
        <w:tc>
          <w:tcPr>
            <w:tcW w:w="6660" w:type="dxa"/>
          </w:tcPr>
          <w:p w14:paraId="0C6B463B" w14:textId="77777777" w:rsidR="00401703" w:rsidRDefault="00401703" w:rsidP="002D6DD7">
            <w:pPr>
              <w:jc w:val="both"/>
              <w:rPr>
                <w:rFonts w:cs="Times New Roman"/>
                <w:szCs w:val="24"/>
                <w:lang w:val="sv-SE"/>
              </w:rPr>
            </w:pPr>
            <w:r w:rsidRPr="00944B15">
              <w:rPr>
                <w:rFonts w:cs="Times New Roman"/>
                <w:szCs w:val="24"/>
                <w:lang w:val="sv-SE"/>
              </w:rPr>
              <w:t xml:space="preserve">Syrup: 100 mg/5 </w:t>
            </w:r>
            <w:r>
              <w:rPr>
                <w:rFonts w:cs="Times New Roman"/>
                <w:szCs w:val="24"/>
                <w:lang w:val="sv-SE"/>
              </w:rPr>
              <w:t>ml</w:t>
            </w:r>
          </w:p>
          <w:p w14:paraId="0A7204AD" w14:textId="77777777" w:rsidR="00401703" w:rsidRPr="00944B15" w:rsidRDefault="00401703" w:rsidP="002D6DD7">
            <w:pPr>
              <w:jc w:val="both"/>
              <w:rPr>
                <w:rFonts w:cs="Times New Roman"/>
                <w:color w:val="000000"/>
                <w:szCs w:val="24"/>
                <w:lang w:val="nb-NO"/>
              </w:rPr>
            </w:pPr>
            <w:r w:rsidRPr="00944B15">
              <w:rPr>
                <w:rFonts w:cs="Times New Roman"/>
                <w:szCs w:val="24"/>
                <w:lang w:val="sv-SE"/>
              </w:rPr>
              <w:t>Tablet: 100 mg, 200 mg</w:t>
            </w:r>
          </w:p>
        </w:tc>
      </w:tr>
      <w:tr w:rsidR="00401703" w:rsidRPr="00944B15" w14:paraId="7CCA58D9" w14:textId="77777777" w:rsidTr="002D6DD7">
        <w:tc>
          <w:tcPr>
            <w:tcW w:w="2695" w:type="dxa"/>
          </w:tcPr>
          <w:p w14:paraId="121AF1A7" w14:textId="77777777" w:rsidR="00401703" w:rsidRPr="00944B15" w:rsidRDefault="00401703" w:rsidP="002D6DD7">
            <w:pPr>
              <w:jc w:val="both"/>
              <w:rPr>
                <w:rFonts w:cs="Times New Roman"/>
                <w:color w:val="000000" w:themeColor="text1"/>
                <w:szCs w:val="24"/>
              </w:rPr>
            </w:pPr>
            <w:r w:rsidRPr="00944B15">
              <w:rPr>
                <w:rFonts w:cs="Times New Roman"/>
                <w:szCs w:val="24"/>
              </w:rPr>
              <w:t>Indications</w:t>
            </w:r>
          </w:p>
        </w:tc>
        <w:tc>
          <w:tcPr>
            <w:tcW w:w="6660" w:type="dxa"/>
          </w:tcPr>
          <w:p w14:paraId="2EB54FFD" w14:textId="77777777" w:rsidR="00401703" w:rsidRPr="00944B15" w:rsidRDefault="00401703" w:rsidP="002D6DD7">
            <w:pPr>
              <w:jc w:val="both"/>
              <w:rPr>
                <w:rFonts w:cs="Times New Roman"/>
                <w:color w:val="000000" w:themeColor="text1"/>
                <w:szCs w:val="24"/>
              </w:rPr>
            </w:pPr>
            <w:r>
              <w:rPr>
                <w:rFonts w:cs="Times New Roman"/>
                <w:szCs w:val="24"/>
              </w:rPr>
              <w:t>B</w:t>
            </w:r>
            <w:r w:rsidRPr="00944B15">
              <w:rPr>
                <w:rFonts w:cs="Times New Roman"/>
                <w:szCs w:val="24"/>
              </w:rPr>
              <w:t>ipolar disorder</w:t>
            </w:r>
            <w:r>
              <w:rPr>
                <w:rFonts w:cs="Times New Roman"/>
                <w:szCs w:val="24"/>
              </w:rPr>
              <w:t>s</w:t>
            </w:r>
          </w:p>
        </w:tc>
      </w:tr>
      <w:tr w:rsidR="00401703" w:rsidRPr="00944B15" w14:paraId="49001EFB" w14:textId="77777777" w:rsidTr="002D6DD7">
        <w:tc>
          <w:tcPr>
            <w:tcW w:w="2695" w:type="dxa"/>
          </w:tcPr>
          <w:p w14:paraId="79BF8905" w14:textId="77777777" w:rsidR="00401703" w:rsidRPr="00944B15" w:rsidRDefault="00401703" w:rsidP="002D6DD7">
            <w:pPr>
              <w:rPr>
                <w:rFonts w:cs="Times New Roman"/>
                <w:color w:val="000000" w:themeColor="text1"/>
                <w:szCs w:val="24"/>
              </w:rPr>
            </w:pPr>
            <w:r w:rsidRPr="00944B15">
              <w:rPr>
                <w:rFonts w:cs="Times New Roman"/>
                <w:szCs w:val="24"/>
              </w:rPr>
              <w:t>Dose and Administration</w:t>
            </w:r>
          </w:p>
        </w:tc>
        <w:tc>
          <w:tcPr>
            <w:tcW w:w="6660" w:type="dxa"/>
          </w:tcPr>
          <w:p w14:paraId="43F87F53" w14:textId="77777777" w:rsidR="00401703" w:rsidRPr="00944B15" w:rsidRDefault="00401703" w:rsidP="002D6DD7">
            <w:pPr>
              <w:jc w:val="both"/>
              <w:rPr>
                <w:rFonts w:cs="Times New Roman"/>
                <w:szCs w:val="24"/>
              </w:rPr>
            </w:pPr>
            <w:r w:rsidRPr="00944B15">
              <w:rPr>
                <w:rFonts w:cs="Times New Roman"/>
                <w:b/>
                <w:bCs/>
                <w:szCs w:val="24"/>
              </w:rPr>
              <w:t>Adult:</w:t>
            </w:r>
            <w:r w:rsidRPr="00944B15">
              <w:rPr>
                <w:rFonts w:cs="Times New Roman"/>
                <w:szCs w:val="24"/>
              </w:rPr>
              <w:t xml:space="preserve"> Initially 200 mg twice daily, </w:t>
            </w:r>
            <w:r w:rsidRPr="00540736">
              <w:rPr>
                <w:rFonts w:cs="Times New Roman"/>
                <w:szCs w:val="24"/>
              </w:rPr>
              <w:t>increased until symptoms</w:t>
            </w:r>
            <w:r w:rsidRPr="00540736">
              <w:rPr>
                <w:rFonts w:cs="Times New Roman"/>
                <w:szCs w:val="24"/>
              </w:rPr>
              <w:br/>
              <w:t>are controlled up to a maximum of 1.6 g daily</w:t>
            </w:r>
            <w:r>
              <w:rPr>
                <w:rFonts w:cs="Times New Roman"/>
                <w:szCs w:val="24"/>
              </w:rPr>
              <w:t>,</w:t>
            </w:r>
            <w:r w:rsidRPr="00540736">
              <w:rPr>
                <w:rFonts w:cs="Times New Roman"/>
                <w:szCs w:val="24"/>
              </w:rPr>
              <w:t xml:space="preserve"> </w:t>
            </w:r>
            <w:r>
              <w:rPr>
                <w:rFonts w:cs="Times New Roman"/>
                <w:szCs w:val="24"/>
              </w:rPr>
              <w:t>m</w:t>
            </w:r>
            <w:r w:rsidRPr="00944B15">
              <w:rPr>
                <w:rFonts w:cs="Times New Roman"/>
                <w:szCs w:val="24"/>
              </w:rPr>
              <w:t xml:space="preserve">aintenance dose: 800-1200 mg/day in divided doses. </w:t>
            </w:r>
          </w:p>
          <w:p w14:paraId="2F396C65" w14:textId="77777777" w:rsidR="00401703" w:rsidRPr="00944B15" w:rsidRDefault="00401703" w:rsidP="002D6DD7">
            <w:pPr>
              <w:jc w:val="both"/>
              <w:rPr>
                <w:rFonts w:cs="Times New Roman"/>
                <w:szCs w:val="24"/>
              </w:rPr>
            </w:pPr>
            <w:r>
              <w:rPr>
                <w:rFonts w:cs="Times New Roman"/>
                <w:b/>
                <w:bCs/>
                <w:szCs w:val="24"/>
              </w:rPr>
              <w:t>Child</w:t>
            </w:r>
            <w:r w:rsidRPr="00944B15">
              <w:rPr>
                <w:rFonts w:cs="Times New Roman"/>
                <w:b/>
                <w:bCs/>
                <w:szCs w:val="24"/>
              </w:rPr>
              <w:t>:</w:t>
            </w:r>
            <w:r w:rsidRPr="00944B15">
              <w:rPr>
                <w:rFonts w:cs="Times New Roman"/>
                <w:szCs w:val="24"/>
              </w:rPr>
              <w:t xml:space="preserve"> Initial dose 100 mg twice daily, increased gradually by up to 100 mg/day in divided doses until the desired response is achieved</w:t>
            </w:r>
            <w:r>
              <w:rPr>
                <w:rFonts w:cs="Times New Roman"/>
                <w:szCs w:val="24"/>
              </w:rPr>
              <w:t>,</w:t>
            </w:r>
            <w:r w:rsidRPr="00944B15">
              <w:rPr>
                <w:rFonts w:cs="Times New Roman"/>
                <w:szCs w:val="24"/>
              </w:rPr>
              <w:t xml:space="preserve"> </w:t>
            </w:r>
            <w:r>
              <w:rPr>
                <w:rFonts w:cs="Times New Roman"/>
                <w:szCs w:val="24"/>
              </w:rPr>
              <w:t>m</w:t>
            </w:r>
            <w:r w:rsidRPr="00944B15">
              <w:rPr>
                <w:rFonts w:cs="Times New Roman"/>
                <w:szCs w:val="24"/>
              </w:rPr>
              <w:t>aintenance dose typically 10-20 mg/kg/day in divided doses.</w:t>
            </w:r>
          </w:p>
        </w:tc>
      </w:tr>
      <w:tr w:rsidR="00401703" w:rsidRPr="00944B15" w14:paraId="02C9C11E" w14:textId="77777777" w:rsidTr="002D6DD7">
        <w:tc>
          <w:tcPr>
            <w:tcW w:w="2695" w:type="dxa"/>
          </w:tcPr>
          <w:p w14:paraId="24B1572E" w14:textId="77777777" w:rsidR="00401703" w:rsidRPr="00944B15" w:rsidRDefault="00401703" w:rsidP="002D6DD7">
            <w:pPr>
              <w:jc w:val="both"/>
              <w:rPr>
                <w:rFonts w:cs="Times New Roman"/>
                <w:color w:val="000000" w:themeColor="text1"/>
                <w:szCs w:val="24"/>
              </w:rPr>
            </w:pPr>
            <w:r w:rsidRPr="00944B15">
              <w:rPr>
                <w:rFonts w:cs="Times New Roman"/>
                <w:szCs w:val="24"/>
              </w:rPr>
              <w:t>Contraindications</w:t>
            </w:r>
          </w:p>
        </w:tc>
        <w:tc>
          <w:tcPr>
            <w:tcW w:w="6660" w:type="dxa"/>
          </w:tcPr>
          <w:p w14:paraId="426A4AF0" w14:textId="77777777" w:rsidR="00401703" w:rsidRPr="00944B15" w:rsidRDefault="00401703" w:rsidP="002D6DD7">
            <w:pPr>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bone marrow depression, acute intermittent porphyria</w:t>
            </w:r>
          </w:p>
        </w:tc>
      </w:tr>
      <w:tr w:rsidR="00401703" w:rsidRPr="00944B15" w14:paraId="46CB2FDC" w14:textId="77777777" w:rsidTr="002D6DD7">
        <w:tc>
          <w:tcPr>
            <w:tcW w:w="2695" w:type="dxa"/>
          </w:tcPr>
          <w:p w14:paraId="11024CE8" w14:textId="77777777" w:rsidR="00401703" w:rsidRPr="00944B15" w:rsidRDefault="00401703" w:rsidP="002D6DD7">
            <w:pPr>
              <w:jc w:val="both"/>
              <w:rPr>
                <w:rFonts w:cs="Times New Roman"/>
                <w:color w:val="000000" w:themeColor="text1"/>
                <w:szCs w:val="24"/>
              </w:rPr>
            </w:pPr>
            <w:r w:rsidRPr="00944B15">
              <w:rPr>
                <w:rFonts w:cs="Times New Roman"/>
                <w:szCs w:val="24"/>
              </w:rPr>
              <w:t>Drug Interactions</w:t>
            </w:r>
          </w:p>
        </w:tc>
        <w:tc>
          <w:tcPr>
            <w:tcW w:w="6660" w:type="dxa"/>
          </w:tcPr>
          <w:p w14:paraId="204D0BD2" w14:textId="77777777" w:rsidR="00401703" w:rsidRPr="00944B15" w:rsidRDefault="00401703" w:rsidP="002D6DD7">
            <w:pPr>
              <w:jc w:val="both"/>
              <w:rPr>
                <w:rFonts w:cs="Times New Roman"/>
                <w:b/>
                <w:bCs/>
                <w:szCs w:val="24"/>
              </w:rPr>
            </w:pPr>
            <w:r w:rsidRPr="00944B15">
              <w:rPr>
                <w:rFonts w:cs="Times New Roman"/>
                <w:szCs w:val="24"/>
              </w:rPr>
              <w:t xml:space="preserve">MAO inhibitors, nefazodone, voriconazole, certain </w:t>
            </w:r>
            <w:r>
              <w:rPr>
                <w:rFonts w:cs="Times New Roman"/>
                <w:szCs w:val="24"/>
              </w:rPr>
              <w:t>HIV-</w:t>
            </w:r>
            <w:r w:rsidRPr="00944B15">
              <w:rPr>
                <w:rFonts w:cs="Times New Roman"/>
                <w:szCs w:val="24"/>
              </w:rPr>
              <w:t>protease inhibitors, other anticonvulsants, antipsychotics, anticoagulants, antidepressants, oral contraceptives, corticosteroids, cyclosporine, theophylline, grape</w:t>
            </w:r>
            <w:r>
              <w:rPr>
                <w:rFonts w:cs="Times New Roman"/>
                <w:szCs w:val="24"/>
              </w:rPr>
              <w:t xml:space="preserve"> </w:t>
            </w:r>
            <w:r w:rsidRPr="00944B15">
              <w:rPr>
                <w:rFonts w:cs="Times New Roman"/>
                <w:szCs w:val="24"/>
              </w:rPr>
              <w:t>fruit juice</w:t>
            </w:r>
          </w:p>
        </w:tc>
      </w:tr>
      <w:tr w:rsidR="00401703" w:rsidRPr="00944B15" w14:paraId="415F7F4B" w14:textId="77777777" w:rsidTr="002D6DD7">
        <w:tc>
          <w:tcPr>
            <w:tcW w:w="2695" w:type="dxa"/>
          </w:tcPr>
          <w:p w14:paraId="7BF7EA14" w14:textId="77777777" w:rsidR="00401703" w:rsidRPr="00944B15" w:rsidRDefault="00401703" w:rsidP="002D6DD7">
            <w:pPr>
              <w:jc w:val="both"/>
              <w:rPr>
                <w:rFonts w:cs="Times New Roman"/>
                <w:color w:val="000000" w:themeColor="text1"/>
                <w:szCs w:val="24"/>
              </w:rPr>
            </w:pPr>
            <w:r w:rsidRPr="00944B15">
              <w:rPr>
                <w:rFonts w:cs="Times New Roman"/>
                <w:szCs w:val="24"/>
              </w:rPr>
              <w:t>Side Effects</w:t>
            </w:r>
          </w:p>
        </w:tc>
        <w:tc>
          <w:tcPr>
            <w:tcW w:w="6660" w:type="dxa"/>
          </w:tcPr>
          <w:p w14:paraId="70DBF554" w14:textId="77777777" w:rsidR="00401703" w:rsidRPr="00944B15" w:rsidRDefault="00401703" w:rsidP="002D6DD7">
            <w:pPr>
              <w:jc w:val="both"/>
              <w:rPr>
                <w:rFonts w:cs="Times New Roman"/>
                <w:szCs w:val="24"/>
              </w:rPr>
            </w:pPr>
            <w:r w:rsidRPr="00944B15">
              <w:rPr>
                <w:rFonts w:cs="Times New Roman"/>
                <w:szCs w:val="24"/>
              </w:rPr>
              <w:t xml:space="preserve">Dizziness, drowsiness, nausea, vomiting, ataxia, dry </w:t>
            </w:r>
            <w:r>
              <w:rPr>
                <w:rFonts w:cs="Times New Roman"/>
                <w:szCs w:val="24"/>
              </w:rPr>
              <w:t>oral</w:t>
            </w:r>
            <w:r w:rsidRPr="00944B15">
              <w:rPr>
                <w:rFonts w:cs="Times New Roman"/>
                <w:szCs w:val="24"/>
              </w:rPr>
              <w:t>, constipation, rash, blurred vision, Stevens-Johnson syndrome, toxic epidermal necrolysis, blood dyscrasias, hepatotoxicity, hyponatremia, cardiac arrhythmias, pancreatitis, suicidal thoughts and behavior.</w:t>
            </w:r>
          </w:p>
        </w:tc>
      </w:tr>
      <w:tr w:rsidR="00401703" w:rsidRPr="00944B15" w14:paraId="335339FC" w14:textId="77777777" w:rsidTr="002D6DD7">
        <w:tc>
          <w:tcPr>
            <w:tcW w:w="2695" w:type="dxa"/>
          </w:tcPr>
          <w:p w14:paraId="07A329C1" w14:textId="77777777" w:rsidR="00401703" w:rsidRPr="00944B15" w:rsidRDefault="00401703" w:rsidP="002D6DD7">
            <w:pPr>
              <w:jc w:val="both"/>
              <w:rPr>
                <w:rFonts w:cs="Times New Roman"/>
                <w:color w:val="000000" w:themeColor="text1"/>
                <w:szCs w:val="24"/>
              </w:rPr>
            </w:pPr>
            <w:r w:rsidRPr="00944B15">
              <w:rPr>
                <w:rFonts w:cs="Times New Roman"/>
                <w:szCs w:val="24"/>
              </w:rPr>
              <w:t>Cautions</w:t>
            </w:r>
          </w:p>
        </w:tc>
        <w:tc>
          <w:tcPr>
            <w:tcW w:w="6660" w:type="dxa"/>
          </w:tcPr>
          <w:p w14:paraId="19858BDC" w14:textId="77777777" w:rsidR="00401703" w:rsidRPr="00944B15" w:rsidRDefault="00401703" w:rsidP="002D6DD7">
            <w:pPr>
              <w:jc w:val="both"/>
              <w:rPr>
                <w:rFonts w:cs="Times New Roman"/>
                <w:szCs w:val="24"/>
              </w:rPr>
            </w:pPr>
            <w:r>
              <w:rPr>
                <w:rFonts w:cs="Times New Roman"/>
                <w:szCs w:val="24"/>
              </w:rPr>
              <w:t>H</w:t>
            </w:r>
            <w:r w:rsidRPr="00944B15">
              <w:rPr>
                <w:rFonts w:cs="Times New Roman"/>
                <w:szCs w:val="24"/>
              </w:rPr>
              <w:t>istory of cardiac, hepatic, or renal disease, glaucoma, elderly</w:t>
            </w:r>
            <w:r>
              <w:rPr>
                <w:rFonts w:cs="Times New Roman"/>
                <w:szCs w:val="24"/>
              </w:rPr>
              <w:t xml:space="preserve">, </w:t>
            </w:r>
            <w:r w:rsidRPr="00944B15">
              <w:rPr>
                <w:rFonts w:cs="Times New Roman"/>
                <w:szCs w:val="24"/>
              </w:rPr>
              <w:t>skin reactions, blood dyscrasias</w:t>
            </w:r>
            <w:r>
              <w:rPr>
                <w:rFonts w:cs="Times New Roman"/>
                <w:szCs w:val="24"/>
              </w:rPr>
              <w:t>, p</w:t>
            </w:r>
            <w:r w:rsidRPr="00944B15">
              <w:rPr>
                <w:rFonts w:cs="Times New Roman"/>
                <w:szCs w:val="24"/>
              </w:rPr>
              <w:t>regnancy</w:t>
            </w:r>
            <w:r>
              <w:rPr>
                <w:rFonts w:cs="Times New Roman"/>
                <w:szCs w:val="24"/>
              </w:rPr>
              <w:t>, b</w:t>
            </w:r>
            <w:r w:rsidRPr="00944B15">
              <w:rPr>
                <w:rFonts w:cs="Times New Roman"/>
                <w:szCs w:val="24"/>
              </w:rPr>
              <w:t>reastfeeding</w:t>
            </w:r>
          </w:p>
        </w:tc>
      </w:tr>
      <w:tr w:rsidR="00401703" w:rsidRPr="00944B15" w14:paraId="37FFE9C5" w14:textId="77777777" w:rsidTr="002D6DD7">
        <w:tc>
          <w:tcPr>
            <w:tcW w:w="2695" w:type="dxa"/>
          </w:tcPr>
          <w:p w14:paraId="1AE441D4" w14:textId="77777777" w:rsidR="00401703" w:rsidRPr="00944B15" w:rsidRDefault="00401703" w:rsidP="002D6DD7">
            <w:pPr>
              <w:jc w:val="both"/>
              <w:rPr>
                <w:rFonts w:cs="Times New Roman"/>
                <w:color w:val="000000" w:themeColor="text1"/>
                <w:szCs w:val="24"/>
              </w:rPr>
            </w:pPr>
            <w:r w:rsidRPr="00944B15">
              <w:rPr>
                <w:rFonts w:cs="Times New Roman"/>
                <w:szCs w:val="24"/>
              </w:rPr>
              <w:lastRenderedPageBreak/>
              <w:t>Storage Condition</w:t>
            </w:r>
          </w:p>
        </w:tc>
        <w:tc>
          <w:tcPr>
            <w:tcW w:w="6660" w:type="dxa"/>
          </w:tcPr>
          <w:p w14:paraId="41BE2E38" w14:textId="77777777" w:rsidR="00401703" w:rsidRPr="00944B15" w:rsidRDefault="00401703" w:rsidP="002D6DD7">
            <w:pPr>
              <w:jc w:val="both"/>
              <w:rPr>
                <w:rFonts w:cs="Times New Roman"/>
                <w:color w:val="000000" w:themeColor="text1"/>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r w:rsidR="00401703" w:rsidRPr="00944B15" w14:paraId="113F2C7D" w14:textId="77777777" w:rsidTr="002D6DD7">
        <w:tc>
          <w:tcPr>
            <w:tcW w:w="2695" w:type="dxa"/>
          </w:tcPr>
          <w:p w14:paraId="6FB7F2B8" w14:textId="77777777" w:rsidR="00401703" w:rsidRPr="00AD751C" w:rsidRDefault="00401703" w:rsidP="002D6DD7">
            <w:pPr>
              <w:jc w:val="both"/>
              <w:rPr>
                <w:rFonts w:cs="Times New Roman"/>
                <w:b/>
                <w:bCs/>
                <w:szCs w:val="24"/>
              </w:rPr>
            </w:pPr>
            <w:r w:rsidRPr="00AD751C">
              <w:rPr>
                <w:rFonts w:cs="Times New Roman"/>
                <w:b/>
                <w:bCs/>
                <w:szCs w:val="24"/>
              </w:rPr>
              <w:t>Lithium Carbonate</w:t>
            </w:r>
          </w:p>
        </w:tc>
        <w:tc>
          <w:tcPr>
            <w:tcW w:w="6660" w:type="dxa"/>
          </w:tcPr>
          <w:p w14:paraId="7EE779F8" w14:textId="77777777" w:rsidR="00401703" w:rsidRPr="00944B15" w:rsidRDefault="00401703" w:rsidP="002D6DD7">
            <w:pPr>
              <w:jc w:val="both"/>
              <w:rPr>
                <w:rFonts w:cs="Times New Roman"/>
                <w:szCs w:val="24"/>
              </w:rPr>
            </w:pPr>
          </w:p>
        </w:tc>
      </w:tr>
      <w:tr w:rsidR="00401703" w:rsidRPr="00944B15" w14:paraId="0B3DC5AA" w14:textId="77777777" w:rsidTr="002D6DD7">
        <w:tc>
          <w:tcPr>
            <w:tcW w:w="2695" w:type="dxa"/>
          </w:tcPr>
          <w:p w14:paraId="3F9A6198" w14:textId="77777777" w:rsidR="00401703" w:rsidRPr="00944B15" w:rsidRDefault="00401703" w:rsidP="002D6DD7">
            <w:pPr>
              <w:jc w:val="both"/>
              <w:rPr>
                <w:rFonts w:cs="Times New Roman"/>
                <w:szCs w:val="24"/>
              </w:rPr>
            </w:pPr>
            <w:r>
              <w:rPr>
                <w:rFonts w:cs="Times New Roman"/>
                <w:szCs w:val="24"/>
              </w:rPr>
              <w:t xml:space="preserve">Pharmacological class </w:t>
            </w:r>
          </w:p>
        </w:tc>
        <w:tc>
          <w:tcPr>
            <w:tcW w:w="6660" w:type="dxa"/>
          </w:tcPr>
          <w:p w14:paraId="209EE82D" w14:textId="77777777" w:rsidR="00401703" w:rsidRPr="00944B15" w:rsidRDefault="00401703" w:rsidP="002D6DD7">
            <w:pPr>
              <w:jc w:val="both"/>
              <w:rPr>
                <w:rFonts w:cs="Times New Roman"/>
                <w:szCs w:val="24"/>
              </w:rPr>
            </w:pPr>
            <w:r>
              <w:rPr>
                <w:rFonts w:cs="Times New Roman"/>
                <w:szCs w:val="24"/>
              </w:rPr>
              <w:t xml:space="preserve">Mood stabilizer </w:t>
            </w:r>
          </w:p>
        </w:tc>
      </w:tr>
      <w:tr w:rsidR="00401703" w:rsidRPr="00944B15" w14:paraId="5D9134C2" w14:textId="77777777" w:rsidTr="002D6DD7">
        <w:tc>
          <w:tcPr>
            <w:tcW w:w="2695" w:type="dxa"/>
          </w:tcPr>
          <w:p w14:paraId="5BD4D0E4" w14:textId="77777777" w:rsidR="00401703" w:rsidRPr="00944B15" w:rsidRDefault="00401703" w:rsidP="002D6DD7">
            <w:pPr>
              <w:jc w:val="both"/>
              <w:rPr>
                <w:rFonts w:cs="Times New Roman"/>
                <w:szCs w:val="24"/>
              </w:rPr>
            </w:pPr>
            <w:r w:rsidRPr="00944B15">
              <w:rPr>
                <w:rFonts w:cs="Times New Roman"/>
                <w:szCs w:val="24"/>
              </w:rPr>
              <w:t>Dosage Form</w:t>
            </w:r>
          </w:p>
        </w:tc>
        <w:tc>
          <w:tcPr>
            <w:tcW w:w="6660" w:type="dxa"/>
          </w:tcPr>
          <w:p w14:paraId="0E5E9545" w14:textId="77777777" w:rsidR="00401703" w:rsidRPr="00944B15" w:rsidRDefault="00401703" w:rsidP="002D6DD7">
            <w:pPr>
              <w:jc w:val="both"/>
              <w:rPr>
                <w:rFonts w:cs="Times New Roman"/>
                <w:szCs w:val="24"/>
              </w:rPr>
            </w:pPr>
            <w:r w:rsidRPr="00944B15">
              <w:rPr>
                <w:rFonts w:cs="Times New Roman"/>
                <w:szCs w:val="24"/>
              </w:rPr>
              <w:t>Tablet: 300 mg</w:t>
            </w:r>
          </w:p>
        </w:tc>
      </w:tr>
      <w:tr w:rsidR="00401703" w:rsidRPr="00944B15" w14:paraId="11433642" w14:textId="77777777" w:rsidTr="002D6DD7">
        <w:tc>
          <w:tcPr>
            <w:tcW w:w="2695" w:type="dxa"/>
          </w:tcPr>
          <w:p w14:paraId="26A1D543" w14:textId="77777777" w:rsidR="00401703" w:rsidRPr="00944B15" w:rsidRDefault="00401703" w:rsidP="002D6DD7">
            <w:pPr>
              <w:jc w:val="both"/>
              <w:rPr>
                <w:rFonts w:cs="Times New Roman"/>
                <w:szCs w:val="24"/>
              </w:rPr>
            </w:pPr>
            <w:r w:rsidRPr="00944B15">
              <w:rPr>
                <w:rFonts w:cs="Times New Roman"/>
                <w:szCs w:val="24"/>
              </w:rPr>
              <w:t>Indication</w:t>
            </w:r>
          </w:p>
        </w:tc>
        <w:tc>
          <w:tcPr>
            <w:tcW w:w="6660" w:type="dxa"/>
          </w:tcPr>
          <w:p w14:paraId="297F3C90" w14:textId="77777777" w:rsidR="00401703" w:rsidRPr="00944B15" w:rsidRDefault="00401703" w:rsidP="002D6DD7">
            <w:pPr>
              <w:jc w:val="both"/>
              <w:rPr>
                <w:rFonts w:cs="Times New Roman"/>
                <w:szCs w:val="24"/>
              </w:rPr>
            </w:pPr>
            <w:r w:rsidRPr="00944B15">
              <w:rPr>
                <w:rFonts w:cs="Times New Roman"/>
                <w:szCs w:val="24"/>
              </w:rPr>
              <w:t>Bipolar disorders</w:t>
            </w:r>
          </w:p>
        </w:tc>
      </w:tr>
      <w:tr w:rsidR="00401703" w:rsidRPr="00944B15" w14:paraId="6C50BA59" w14:textId="77777777" w:rsidTr="002D6DD7">
        <w:tc>
          <w:tcPr>
            <w:tcW w:w="2695" w:type="dxa"/>
          </w:tcPr>
          <w:p w14:paraId="5A854290" w14:textId="77777777" w:rsidR="00401703" w:rsidRPr="00944B15" w:rsidRDefault="00401703" w:rsidP="002D6DD7">
            <w:pPr>
              <w:jc w:val="both"/>
              <w:rPr>
                <w:rFonts w:cs="Times New Roman"/>
                <w:szCs w:val="24"/>
              </w:rPr>
            </w:pPr>
            <w:r w:rsidRPr="00944B15">
              <w:rPr>
                <w:rFonts w:cs="Times New Roman"/>
                <w:szCs w:val="24"/>
              </w:rPr>
              <w:t>Dose and Administration</w:t>
            </w:r>
          </w:p>
        </w:tc>
        <w:tc>
          <w:tcPr>
            <w:tcW w:w="6660" w:type="dxa"/>
          </w:tcPr>
          <w:p w14:paraId="45577E2E" w14:textId="77777777" w:rsidR="00401703" w:rsidRPr="00944B15" w:rsidRDefault="00401703" w:rsidP="002D6DD7">
            <w:pPr>
              <w:jc w:val="both"/>
              <w:rPr>
                <w:rFonts w:cs="Times New Roman"/>
                <w:szCs w:val="24"/>
              </w:rPr>
            </w:pPr>
            <w:r w:rsidRPr="00944B15">
              <w:rPr>
                <w:rFonts w:cs="Times New Roman"/>
                <w:b/>
                <w:bCs/>
                <w:szCs w:val="24"/>
              </w:rPr>
              <w:t>Adult:</w:t>
            </w:r>
            <w:r w:rsidRPr="00944B15">
              <w:rPr>
                <w:rFonts w:cs="Times New Roman"/>
                <w:szCs w:val="24"/>
              </w:rPr>
              <w:t xml:space="preserve"> Initially 1–1.5 g daily, dose adjusted according to serum lithium concentration.  Initially</w:t>
            </w:r>
            <w:r>
              <w:rPr>
                <w:rFonts w:cs="Times New Roman"/>
                <w:szCs w:val="24"/>
              </w:rPr>
              <w:t xml:space="preserve"> given in </w:t>
            </w:r>
            <w:r w:rsidRPr="00944B15">
              <w:rPr>
                <w:rFonts w:cs="Times New Roman"/>
                <w:szCs w:val="24"/>
              </w:rPr>
              <w:t xml:space="preserve">divided </w:t>
            </w:r>
            <w:r>
              <w:rPr>
                <w:rFonts w:cs="Times New Roman"/>
                <w:szCs w:val="24"/>
              </w:rPr>
              <w:t>doses</w:t>
            </w:r>
            <w:r w:rsidRPr="00944B15">
              <w:rPr>
                <w:rFonts w:cs="Times New Roman"/>
                <w:szCs w:val="24"/>
              </w:rPr>
              <w:t xml:space="preserve">, but once-daily administration is preferred when serum lithium concentration stabilized. </w:t>
            </w:r>
          </w:p>
          <w:p w14:paraId="48908BD1" w14:textId="77777777" w:rsidR="00401703" w:rsidRPr="00944B15" w:rsidRDefault="00401703" w:rsidP="002D6DD7">
            <w:pPr>
              <w:jc w:val="both"/>
              <w:rPr>
                <w:rFonts w:cs="Times New Roman"/>
                <w:szCs w:val="24"/>
              </w:rPr>
            </w:pPr>
            <w:r w:rsidRPr="00944B15">
              <w:rPr>
                <w:rFonts w:cs="Times New Roman"/>
                <w:b/>
                <w:bCs/>
                <w:szCs w:val="24"/>
              </w:rPr>
              <w:t>Elderly:</w:t>
            </w:r>
            <w:r>
              <w:rPr>
                <w:rFonts w:cs="Times New Roman"/>
                <w:b/>
                <w:bCs/>
                <w:szCs w:val="24"/>
              </w:rPr>
              <w:t xml:space="preserve"> </w:t>
            </w:r>
            <w:r w:rsidRPr="008471ED">
              <w:rPr>
                <w:rFonts w:cs="Times New Roman"/>
                <w:szCs w:val="24"/>
              </w:rPr>
              <w:t>0.5-g per</w:t>
            </w:r>
            <w:r>
              <w:rPr>
                <w:rFonts w:cs="Times New Roman"/>
                <w:szCs w:val="24"/>
              </w:rPr>
              <w:t xml:space="preserve"> </w:t>
            </w:r>
            <w:r w:rsidRPr="008471ED">
              <w:rPr>
                <w:rFonts w:cs="Times New Roman"/>
                <w:szCs w:val="24"/>
              </w:rPr>
              <w:t>day</w:t>
            </w:r>
            <w:r w:rsidRPr="00944B15">
              <w:rPr>
                <w:rFonts w:cs="Times New Roman"/>
                <w:szCs w:val="24"/>
              </w:rPr>
              <w:t xml:space="preserve">, dose adjusted according to serum lithium concentration. </w:t>
            </w:r>
          </w:p>
        </w:tc>
      </w:tr>
      <w:tr w:rsidR="00401703" w:rsidRPr="00944B15" w14:paraId="16BC9B6C" w14:textId="77777777" w:rsidTr="002D6DD7">
        <w:tc>
          <w:tcPr>
            <w:tcW w:w="2695" w:type="dxa"/>
          </w:tcPr>
          <w:p w14:paraId="7009D7F9" w14:textId="77777777" w:rsidR="00401703" w:rsidRPr="00944B15" w:rsidRDefault="00401703" w:rsidP="002D6DD7">
            <w:pPr>
              <w:jc w:val="both"/>
              <w:rPr>
                <w:rFonts w:cs="Times New Roman"/>
                <w:szCs w:val="24"/>
              </w:rPr>
            </w:pPr>
            <w:r w:rsidRPr="00944B15">
              <w:rPr>
                <w:rFonts w:cs="Times New Roman"/>
                <w:szCs w:val="24"/>
              </w:rPr>
              <w:t>Contraindications</w:t>
            </w:r>
          </w:p>
        </w:tc>
        <w:tc>
          <w:tcPr>
            <w:tcW w:w="6660" w:type="dxa"/>
          </w:tcPr>
          <w:p w14:paraId="44AF5E2C" w14:textId="77777777" w:rsidR="00401703" w:rsidRPr="00944B15" w:rsidRDefault="00401703" w:rsidP="002D6DD7">
            <w:pPr>
              <w:jc w:val="both"/>
              <w:rPr>
                <w:rFonts w:cs="Times New Roman"/>
                <w:szCs w:val="24"/>
              </w:rPr>
            </w:pPr>
            <w:r w:rsidRPr="00944B15">
              <w:rPr>
                <w:rFonts w:cs="Times New Roman"/>
                <w:szCs w:val="24"/>
              </w:rPr>
              <w:t xml:space="preserve">Hypersensitivity to </w:t>
            </w:r>
            <w:r>
              <w:rPr>
                <w:rFonts w:cs="Times New Roman"/>
                <w:szCs w:val="24"/>
              </w:rPr>
              <w:t>the drug</w:t>
            </w:r>
          </w:p>
        </w:tc>
      </w:tr>
      <w:tr w:rsidR="00401703" w:rsidRPr="00944B15" w14:paraId="43B11474" w14:textId="77777777" w:rsidTr="002D6DD7">
        <w:tc>
          <w:tcPr>
            <w:tcW w:w="2695" w:type="dxa"/>
          </w:tcPr>
          <w:p w14:paraId="5CA3451D" w14:textId="77777777" w:rsidR="00401703" w:rsidRPr="00944B15" w:rsidRDefault="00401703" w:rsidP="002D6DD7">
            <w:pPr>
              <w:jc w:val="both"/>
              <w:rPr>
                <w:rFonts w:cs="Times New Roman"/>
                <w:szCs w:val="24"/>
              </w:rPr>
            </w:pPr>
            <w:r w:rsidRPr="00944B15">
              <w:rPr>
                <w:rFonts w:cs="Times New Roman"/>
                <w:szCs w:val="24"/>
              </w:rPr>
              <w:t>Drug Interactions</w:t>
            </w:r>
          </w:p>
        </w:tc>
        <w:tc>
          <w:tcPr>
            <w:tcW w:w="6660" w:type="dxa"/>
          </w:tcPr>
          <w:p w14:paraId="7E9F634A" w14:textId="77777777" w:rsidR="00401703" w:rsidRPr="00944B15" w:rsidRDefault="00401703" w:rsidP="002D6DD7">
            <w:pPr>
              <w:jc w:val="both"/>
              <w:rPr>
                <w:rFonts w:cs="Times New Roman"/>
                <w:szCs w:val="24"/>
              </w:rPr>
            </w:pPr>
            <w:r w:rsidRPr="00944B15">
              <w:rPr>
                <w:rFonts w:cs="Times New Roman"/>
                <w:szCs w:val="24"/>
              </w:rPr>
              <w:t>Carbamazepine, loop diuretics, methyldopa, theophylline</w:t>
            </w:r>
            <w:r>
              <w:rPr>
                <w:rFonts w:cs="Times New Roman"/>
                <w:szCs w:val="24"/>
              </w:rPr>
              <w:t>, a</w:t>
            </w:r>
            <w:r w:rsidRPr="00944B15">
              <w:rPr>
                <w:rFonts w:cs="Times New Roman"/>
                <w:szCs w:val="24"/>
              </w:rPr>
              <w:t>lcohol</w:t>
            </w:r>
            <w:r>
              <w:rPr>
                <w:rFonts w:cs="Times New Roman"/>
                <w:szCs w:val="24"/>
              </w:rPr>
              <w:t xml:space="preserve">, </w:t>
            </w:r>
            <w:r w:rsidRPr="00944B15">
              <w:rPr>
                <w:rFonts w:cs="Times New Roman"/>
                <w:szCs w:val="24"/>
              </w:rPr>
              <w:t>ACE inhibitors, antipsychotics, diuretics, NSAIDs, SSRIs, tricyclic antidepressants</w:t>
            </w:r>
          </w:p>
        </w:tc>
      </w:tr>
      <w:tr w:rsidR="00401703" w:rsidRPr="00944B15" w14:paraId="381C536A" w14:textId="77777777" w:rsidTr="002D6DD7">
        <w:tc>
          <w:tcPr>
            <w:tcW w:w="2695" w:type="dxa"/>
          </w:tcPr>
          <w:p w14:paraId="7B6A88AB" w14:textId="77777777" w:rsidR="00401703" w:rsidRPr="00944B15" w:rsidRDefault="00401703" w:rsidP="002D6DD7">
            <w:pPr>
              <w:jc w:val="both"/>
              <w:rPr>
                <w:rFonts w:cs="Times New Roman"/>
                <w:szCs w:val="24"/>
              </w:rPr>
            </w:pPr>
            <w:r w:rsidRPr="00944B15">
              <w:rPr>
                <w:rFonts w:cs="Times New Roman"/>
                <w:szCs w:val="24"/>
              </w:rPr>
              <w:t>Side Effects</w:t>
            </w:r>
          </w:p>
        </w:tc>
        <w:tc>
          <w:tcPr>
            <w:tcW w:w="6660" w:type="dxa"/>
          </w:tcPr>
          <w:p w14:paraId="410A02DB" w14:textId="77777777" w:rsidR="00401703" w:rsidRPr="00944B15" w:rsidRDefault="00401703" w:rsidP="002D6DD7">
            <w:pPr>
              <w:jc w:val="both"/>
              <w:rPr>
                <w:rFonts w:cs="Times New Roman"/>
                <w:szCs w:val="24"/>
              </w:rPr>
            </w:pPr>
            <w:r>
              <w:rPr>
                <w:rFonts w:cs="Times New Roman"/>
                <w:szCs w:val="24"/>
              </w:rPr>
              <w:t>Arrhythmia</w:t>
            </w:r>
            <w:r w:rsidRPr="00944B15">
              <w:rPr>
                <w:rFonts w:cs="Times New Roman"/>
                <w:szCs w:val="24"/>
              </w:rPr>
              <w:t xml:space="preserve">, fine hand tremors, </w:t>
            </w:r>
            <w:r>
              <w:rPr>
                <w:rFonts w:cs="Times New Roman"/>
                <w:szCs w:val="24"/>
              </w:rPr>
              <w:t>GI</w:t>
            </w:r>
            <w:r w:rsidRPr="00944B15">
              <w:rPr>
                <w:rFonts w:cs="Times New Roman"/>
                <w:szCs w:val="24"/>
              </w:rPr>
              <w:t xml:space="preserve"> upset, weight gain, </w:t>
            </w:r>
            <w:r>
              <w:rPr>
                <w:rFonts w:cs="Times New Roman"/>
                <w:szCs w:val="24"/>
              </w:rPr>
              <w:t>h</w:t>
            </w:r>
            <w:r w:rsidRPr="00944B15">
              <w:rPr>
                <w:rFonts w:cs="Times New Roman"/>
                <w:szCs w:val="24"/>
              </w:rPr>
              <w:t>ypothyroidism, nephrogenic diabetes insipidus, bradyarrhythmia, hypotension, electrolyte imbalances</w:t>
            </w:r>
          </w:p>
        </w:tc>
      </w:tr>
      <w:tr w:rsidR="00401703" w:rsidRPr="00944B15" w14:paraId="6179B5ED" w14:textId="77777777" w:rsidTr="002D6DD7">
        <w:tc>
          <w:tcPr>
            <w:tcW w:w="2695" w:type="dxa"/>
          </w:tcPr>
          <w:p w14:paraId="31B8EAC4" w14:textId="77777777" w:rsidR="00401703" w:rsidRPr="00944B15" w:rsidRDefault="00401703" w:rsidP="002D6DD7">
            <w:pPr>
              <w:jc w:val="both"/>
              <w:rPr>
                <w:rFonts w:cs="Times New Roman"/>
                <w:szCs w:val="24"/>
              </w:rPr>
            </w:pPr>
            <w:r w:rsidRPr="00944B15">
              <w:rPr>
                <w:rFonts w:cs="Times New Roman"/>
                <w:szCs w:val="24"/>
              </w:rPr>
              <w:t>Cautions</w:t>
            </w:r>
          </w:p>
        </w:tc>
        <w:tc>
          <w:tcPr>
            <w:tcW w:w="6660" w:type="dxa"/>
          </w:tcPr>
          <w:p w14:paraId="1E133234" w14:textId="77777777" w:rsidR="00401703" w:rsidRPr="00944B15" w:rsidRDefault="00401703" w:rsidP="002D6DD7">
            <w:pPr>
              <w:jc w:val="both"/>
              <w:rPr>
                <w:rFonts w:cs="Times New Roman"/>
                <w:szCs w:val="24"/>
              </w:rPr>
            </w:pPr>
            <w:r w:rsidRPr="00944B15">
              <w:rPr>
                <w:rFonts w:cs="Times New Roman"/>
                <w:szCs w:val="24"/>
              </w:rPr>
              <w:t>Renal impairment, cardiac disease, severe debilitation, dehydration, sodium depletion, pregnancy, breastfeeding</w:t>
            </w:r>
          </w:p>
        </w:tc>
      </w:tr>
      <w:tr w:rsidR="00401703" w:rsidRPr="00944B15" w14:paraId="4B85AA23" w14:textId="77777777" w:rsidTr="002D6DD7">
        <w:tc>
          <w:tcPr>
            <w:tcW w:w="2695" w:type="dxa"/>
          </w:tcPr>
          <w:p w14:paraId="1545386A" w14:textId="77777777" w:rsidR="00401703" w:rsidRPr="00944B15" w:rsidRDefault="00401703" w:rsidP="002D6DD7">
            <w:pPr>
              <w:jc w:val="both"/>
              <w:rPr>
                <w:rFonts w:cs="Times New Roman"/>
                <w:szCs w:val="24"/>
              </w:rPr>
            </w:pPr>
            <w:r w:rsidRPr="00944B15">
              <w:rPr>
                <w:rFonts w:cs="Times New Roman"/>
                <w:szCs w:val="24"/>
              </w:rPr>
              <w:t>Storage Condition</w:t>
            </w:r>
          </w:p>
        </w:tc>
        <w:tc>
          <w:tcPr>
            <w:tcW w:w="6660" w:type="dxa"/>
          </w:tcPr>
          <w:p w14:paraId="1B9202E4" w14:textId="77777777" w:rsidR="00401703" w:rsidRPr="00944B15" w:rsidRDefault="00401703" w:rsidP="002D6DD7">
            <w:pPr>
              <w:jc w:val="both"/>
              <w:rPr>
                <w:rFonts w:cs="Times New Roman"/>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r w:rsidR="00401703" w:rsidRPr="00944B15" w14:paraId="7002B561" w14:textId="77777777" w:rsidTr="002D6DD7">
        <w:tc>
          <w:tcPr>
            <w:tcW w:w="2695" w:type="dxa"/>
          </w:tcPr>
          <w:p w14:paraId="61DCDB3A" w14:textId="77777777" w:rsidR="00401703" w:rsidRPr="00AD751C" w:rsidRDefault="00401703" w:rsidP="002D6DD7">
            <w:pPr>
              <w:jc w:val="both"/>
              <w:rPr>
                <w:rFonts w:cs="Times New Roman"/>
                <w:b/>
                <w:bCs/>
                <w:szCs w:val="24"/>
              </w:rPr>
            </w:pPr>
            <w:r w:rsidRPr="00AD751C">
              <w:rPr>
                <w:rFonts w:cs="Times New Roman"/>
                <w:b/>
                <w:bCs/>
                <w:szCs w:val="24"/>
              </w:rPr>
              <w:t>Olanzapine</w:t>
            </w:r>
          </w:p>
        </w:tc>
        <w:tc>
          <w:tcPr>
            <w:tcW w:w="6660" w:type="dxa"/>
          </w:tcPr>
          <w:p w14:paraId="70D32A17" w14:textId="77777777" w:rsidR="00401703" w:rsidRPr="00944B15" w:rsidRDefault="00401703" w:rsidP="002D6DD7">
            <w:pPr>
              <w:jc w:val="both"/>
              <w:rPr>
                <w:rFonts w:cs="Times New Roman"/>
                <w:szCs w:val="24"/>
              </w:rPr>
            </w:pPr>
          </w:p>
        </w:tc>
      </w:tr>
      <w:tr w:rsidR="00401703" w:rsidRPr="00944B15" w14:paraId="29FEA047" w14:textId="77777777" w:rsidTr="002D6DD7">
        <w:tc>
          <w:tcPr>
            <w:tcW w:w="2695" w:type="dxa"/>
          </w:tcPr>
          <w:p w14:paraId="32F54259" w14:textId="77777777" w:rsidR="00401703" w:rsidRPr="00944B15" w:rsidRDefault="00401703" w:rsidP="002D6DD7">
            <w:pPr>
              <w:jc w:val="both"/>
              <w:rPr>
                <w:rFonts w:cs="Times New Roman"/>
                <w:szCs w:val="24"/>
              </w:rPr>
            </w:pPr>
            <w:r w:rsidRPr="00944B15">
              <w:rPr>
                <w:rFonts w:cs="Times New Roman"/>
                <w:szCs w:val="24"/>
              </w:rPr>
              <w:t>Pharmacological class</w:t>
            </w:r>
          </w:p>
        </w:tc>
        <w:tc>
          <w:tcPr>
            <w:tcW w:w="6660" w:type="dxa"/>
          </w:tcPr>
          <w:p w14:paraId="05FF30C5" w14:textId="77777777" w:rsidR="00401703" w:rsidRPr="00944B15" w:rsidRDefault="00401703" w:rsidP="002D6DD7">
            <w:pPr>
              <w:jc w:val="both"/>
              <w:rPr>
                <w:rFonts w:cs="Times New Roman"/>
                <w:szCs w:val="24"/>
              </w:rPr>
            </w:pPr>
            <w:r w:rsidRPr="00944B15">
              <w:rPr>
                <w:rFonts w:cs="Times New Roman"/>
                <w:szCs w:val="24"/>
              </w:rPr>
              <w:t>Antipsychotic</w:t>
            </w:r>
          </w:p>
        </w:tc>
      </w:tr>
      <w:tr w:rsidR="00401703" w:rsidRPr="00944B15" w14:paraId="72677917" w14:textId="77777777" w:rsidTr="002D6DD7">
        <w:tc>
          <w:tcPr>
            <w:tcW w:w="2695" w:type="dxa"/>
          </w:tcPr>
          <w:p w14:paraId="28578BCD" w14:textId="77777777" w:rsidR="00401703" w:rsidRPr="00944B15" w:rsidRDefault="00401703" w:rsidP="002D6DD7">
            <w:pPr>
              <w:jc w:val="both"/>
              <w:rPr>
                <w:rFonts w:cs="Times New Roman"/>
                <w:szCs w:val="24"/>
              </w:rPr>
            </w:pPr>
            <w:r w:rsidRPr="00944B15">
              <w:rPr>
                <w:rFonts w:cs="Times New Roman"/>
                <w:szCs w:val="24"/>
              </w:rPr>
              <w:t>Dosage form</w:t>
            </w:r>
          </w:p>
        </w:tc>
        <w:tc>
          <w:tcPr>
            <w:tcW w:w="6660" w:type="dxa"/>
          </w:tcPr>
          <w:p w14:paraId="419B004E" w14:textId="77777777" w:rsidR="00401703" w:rsidRPr="00944B15" w:rsidRDefault="00401703" w:rsidP="002D6DD7">
            <w:pPr>
              <w:jc w:val="both"/>
              <w:rPr>
                <w:rFonts w:cs="Times New Roman"/>
                <w:szCs w:val="24"/>
              </w:rPr>
            </w:pPr>
            <w:r w:rsidRPr="00944B15">
              <w:rPr>
                <w:rFonts w:cs="Times New Roman"/>
                <w:szCs w:val="24"/>
              </w:rPr>
              <w:t>Tablet: 5mg</w:t>
            </w:r>
          </w:p>
        </w:tc>
      </w:tr>
      <w:tr w:rsidR="00401703" w:rsidRPr="00944B15" w14:paraId="054B67FE" w14:textId="77777777" w:rsidTr="002D6DD7">
        <w:tc>
          <w:tcPr>
            <w:tcW w:w="2695" w:type="dxa"/>
          </w:tcPr>
          <w:p w14:paraId="069D4F82" w14:textId="77777777" w:rsidR="00401703" w:rsidRPr="00944B15" w:rsidRDefault="00401703" w:rsidP="002D6DD7">
            <w:pPr>
              <w:jc w:val="both"/>
              <w:rPr>
                <w:rFonts w:cs="Times New Roman"/>
                <w:szCs w:val="24"/>
              </w:rPr>
            </w:pPr>
            <w:r w:rsidRPr="00944B15">
              <w:rPr>
                <w:rFonts w:cs="Times New Roman"/>
                <w:szCs w:val="24"/>
              </w:rPr>
              <w:t>Indications</w:t>
            </w:r>
          </w:p>
        </w:tc>
        <w:tc>
          <w:tcPr>
            <w:tcW w:w="6660" w:type="dxa"/>
          </w:tcPr>
          <w:p w14:paraId="5BFFF448" w14:textId="77777777" w:rsidR="00401703" w:rsidRPr="00944B15" w:rsidRDefault="00401703" w:rsidP="002D6DD7">
            <w:pPr>
              <w:jc w:val="both"/>
              <w:rPr>
                <w:rFonts w:cs="Times New Roman"/>
                <w:szCs w:val="24"/>
              </w:rPr>
            </w:pPr>
            <w:r w:rsidRPr="00944B15">
              <w:rPr>
                <w:rFonts w:cs="Times New Roman"/>
                <w:szCs w:val="24"/>
              </w:rPr>
              <w:t>Bipolar disorder</w:t>
            </w:r>
            <w:r>
              <w:rPr>
                <w:rFonts w:cs="Times New Roman"/>
                <w:szCs w:val="24"/>
              </w:rPr>
              <w:t>s</w:t>
            </w:r>
          </w:p>
        </w:tc>
      </w:tr>
      <w:tr w:rsidR="00401703" w:rsidRPr="00944B15" w14:paraId="0C5BA22A" w14:textId="77777777" w:rsidTr="002D6DD7">
        <w:tc>
          <w:tcPr>
            <w:tcW w:w="2695" w:type="dxa"/>
          </w:tcPr>
          <w:p w14:paraId="38E13C16" w14:textId="77777777" w:rsidR="00401703" w:rsidRPr="00944B15" w:rsidRDefault="00401703" w:rsidP="002D6DD7">
            <w:pPr>
              <w:jc w:val="both"/>
              <w:rPr>
                <w:rFonts w:cs="Times New Roman"/>
                <w:szCs w:val="24"/>
              </w:rPr>
            </w:pPr>
            <w:r w:rsidRPr="00944B15">
              <w:rPr>
                <w:rFonts w:cs="Times New Roman"/>
                <w:szCs w:val="24"/>
              </w:rPr>
              <w:t>Dose and Administration</w:t>
            </w:r>
          </w:p>
        </w:tc>
        <w:tc>
          <w:tcPr>
            <w:tcW w:w="6660" w:type="dxa"/>
          </w:tcPr>
          <w:p w14:paraId="33CAF667" w14:textId="77777777" w:rsidR="00401703" w:rsidRPr="00944B15" w:rsidRDefault="00401703" w:rsidP="002D6DD7">
            <w:pPr>
              <w:jc w:val="both"/>
              <w:rPr>
                <w:rFonts w:cs="Times New Roman"/>
                <w:szCs w:val="24"/>
              </w:rPr>
            </w:pPr>
            <w:r w:rsidRPr="00606E86">
              <w:rPr>
                <w:rFonts w:cs="Times New Roman"/>
                <w:b/>
                <w:bCs/>
                <w:szCs w:val="24"/>
              </w:rPr>
              <w:t>Adult:</w:t>
            </w:r>
            <w:r>
              <w:rPr>
                <w:rFonts w:cs="Times New Roman"/>
                <w:szCs w:val="24"/>
              </w:rPr>
              <w:t xml:space="preserve"> </w:t>
            </w:r>
            <w:r w:rsidRPr="00944B15">
              <w:rPr>
                <w:rFonts w:cs="Times New Roman"/>
                <w:szCs w:val="24"/>
              </w:rPr>
              <w:t>Initially 5-10 mg once daily. Adjust dosage based on response and tolerability</w:t>
            </w:r>
            <w:r>
              <w:rPr>
                <w:rFonts w:cs="Times New Roman"/>
                <w:szCs w:val="24"/>
              </w:rPr>
              <w:t>, m</w:t>
            </w:r>
            <w:r w:rsidRPr="00944B15">
              <w:rPr>
                <w:rFonts w:cs="Times New Roman"/>
                <w:szCs w:val="24"/>
              </w:rPr>
              <w:t>aximum dose: 20 mg/day.</w:t>
            </w:r>
          </w:p>
        </w:tc>
      </w:tr>
      <w:tr w:rsidR="00401703" w:rsidRPr="00944B15" w14:paraId="41C3C21A" w14:textId="77777777" w:rsidTr="002D6DD7">
        <w:tc>
          <w:tcPr>
            <w:tcW w:w="2695" w:type="dxa"/>
          </w:tcPr>
          <w:p w14:paraId="3268E972" w14:textId="77777777" w:rsidR="00401703" w:rsidRPr="00944B15" w:rsidRDefault="00401703" w:rsidP="002D6DD7">
            <w:pPr>
              <w:jc w:val="both"/>
              <w:rPr>
                <w:rFonts w:cs="Times New Roman"/>
                <w:szCs w:val="24"/>
              </w:rPr>
            </w:pPr>
            <w:r w:rsidRPr="00944B15">
              <w:rPr>
                <w:rFonts w:cs="Times New Roman"/>
                <w:szCs w:val="24"/>
              </w:rPr>
              <w:t>Contraindications</w:t>
            </w:r>
          </w:p>
        </w:tc>
        <w:tc>
          <w:tcPr>
            <w:tcW w:w="6660" w:type="dxa"/>
          </w:tcPr>
          <w:p w14:paraId="7DD07920" w14:textId="77777777" w:rsidR="00401703" w:rsidRPr="00944B15" w:rsidRDefault="00401703" w:rsidP="002D6DD7">
            <w:pPr>
              <w:jc w:val="both"/>
              <w:rPr>
                <w:rFonts w:cs="Times New Roman"/>
                <w:szCs w:val="24"/>
              </w:rPr>
            </w:pPr>
            <w:r w:rsidRPr="00944B15">
              <w:rPr>
                <w:rFonts w:cs="Times New Roman"/>
                <w:szCs w:val="24"/>
              </w:rPr>
              <w:t xml:space="preserve">Hypersensitivity to </w:t>
            </w:r>
            <w:r>
              <w:rPr>
                <w:rFonts w:cs="Times New Roman"/>
                <w:szCs w:val="24"/>
              </w:rPr>
              <w:t>the drug</w:t>
            </w:r>
          </w:p>
        </w:tc>
      </w:tr>
      <w:tr w:rsidR="00401703" w:rsidRPr="00944B15" w14:paraId="2472F331" w14:textId="77777777" w:rsidTr="002D6DD7">
        <w:tc>
          <w:tcPr>
            <w:tcW w:w="2695" w:type="dxa"/>
          </w:tcPr>
          <w:p w14:paraId="0DFA347E" w14:textId="77777777" w:rsidR="00401703" w:rsidRPr="00944B15" w:rsidRDefault="00401703" w:rsidP="002D6DD7">
            <w:pPr>
              <w:jc w:val="both"/>
              <w:rPr>
                <w:rFonts w:cs="Times New Roman"/>
                <w:szCs w:val="24"/>
              </w:rPr>
            </w:pPr>
            <w:r w:rsidRPr="00944B15">
              <w:rPr>
                <w:rFonts w:cs="Times New Roman"/>
                <w:szCs w:val="24"/>
              </w:rPr>
              <w:t>Drug Interactions</w:t>
            </w:r>
          </w:p>
        </w:tc>
        <w:tc>
          <w:tcPr>
            <w:tcW w:w="6660" w:type="dxa"/>
          </w:tcPr>
          <w:p w14:paraId="52BC7F78" w14:textId="77777777" w:rsidR="00401703" w:rsidRPr="00944B15" w:rsidRDefault="00401703" w:rsidP="002D6DD7">
            <w:pPr>
              <w:jc w:val="both"/>
              <w:rPr>
                <w:rFonts w:cs="Times New Roman"/>
                <w:szCs w:val="24"/>
              </w:rPr>
            </w:pPr>
            <w:r w:rsidRPr="00944B15">
              <w:rPr>
                <w:rFonts w:cs="Times New Roman"/>
                <w:szCs w:val="24"/>
              </w:rPr>
              <w:t xml:space="preserve">Clozapine, fluoxetine, ketoconazole, phenytoin, </w:t>
            </w:r>
            <w:r>
              <w:rPr>
                <w:rFonts w:cs="Times New Roman"/>
                <w:szCs w:val="24"/>
              </w:rPr>
              <w:t>a</w:t>
            </w:r>
            <w:r w:rsidRPr="00944B15">
              <w:rPr>
                <w:rFonts w:cs="Times New Roman"/>
                <w:szCs w:val="24"/>
              </w:rPr>
              <w:t xml:space="preserve">lcohol, antihypertensives, benzodiazepines, carbamazepine, fluvoxamine, </w:t>
            </w:r>
            <w:r w:rsidRPr="00944B15">
              <w:rPr>
                <w:rFonts w:cs="Times New Roman"/>
                <w:szCs w:val="24"/>
              </w:rPr>
              <w:lastRenderedPageBreak/>
              <w:t>rifampicin</w:t>
            </w:r>
          </w:p>
        </w:tc>
      </w:tr>
      <w:tr w:rsidR="00401703" w:rsidRPr="00944B15" w14:paraId="6F21DF92" w14:textId="77777777" w:rsidTr="002D6DD7">
        <w:tc>
          <w:tcPr>
            <w:tcW w:w="2695" w:type="dxa"/>
          </w:tcPr>
          <w:p w14:paraId="68E8550C" w14:textId="77777777" w:rsidR="00401703" w:rsidRPr="00944B15" w:rsidRDefault="00401703" w:rsidP="002D6DD7">
            <w:pPr>
              <w:jc w:val="both"/>
              <w:rPr>
                <w:rFonts w:cs="Times New Roman"/>
                <w:szCs w:val="24"/>
              </w:rPr>
            </w:pPr>
            <w:r w:rsidRPr="00944B15">
              <w:rPr>
                <w:rFonts w:cs="Times New Roman"/>
                <w:szCs w:val="24"/>
              </w:rPr>
              <w:lastRenderedPageBreak/>
              <w:t>Side Effects</w:t>
            </w:r>
          </w:p>
        </w:tc>
        <w:tc>
          <w:tcPr>
            <w:tcW w:w="6660" w:type="dxa"/>
          </w:tcPr>
          <w:p w14:paraId="34139AAE" w14:textId="77777777" w:rsidR="00401703" w:rsidRPr="00944B15" w:rsidRDefault="00401703" w:rsidP="002D6DD7">
            <w:pPr>
              <w:jc w:val="both"/>
              <w:rPr>
                <w:rFonts w:cs="Times New Roman"/>
                <w:szCs w:val="24"/>
              </w:rPr>
            </w:pPr>
            <w:r w:rsidRPr="00944B15">
              <w:rPr>
                <w:rFonts w:cs="Times New Roman"/>
                <w:szCs w:val="24"/>
              </w:rPr>
              <w:t xml:space="preserve">Weight gain, sedation, increased appetite, dry </w:t>
            </w:r>
            <w:r>
              <w:rPr>
                <w:rFonts w:cs="Times New Roman"/>
                <w:szCs w:val="24"/>
              </w:rPr>
              <w:t>oral</w:t>
            </w:r>
            <w:r w:rsidRPr="00944B15">
              <w:rPr>
                <w:rFonts w:cs="Times New Roman"/>
                <w:szCs w:val="24"/>
              </w:rPr>
              <w:t>, orthostatic hypotension, hyperlipidemia</w:t>
            </w:r>
          </w:p>
        </w:tc>
      </w:tr>
      <w:tr w:rsidR="00401703" w:rsidRPr="00944B15" w14:paraId="02E8D026" w14:textId="77777777" w:rsidTr="002D6DD7">
        <w:tc>
          <w:tcPr>
            <w:tcW w:w="2695" w:type="dxa"/>
          </w:tcPr>
          <w:p w14:paraId="018AE67E" w14:textId="77777777" w:rsidR="00401703" w:rsidRPr="00944B15" w:rsidRDefault="00401703" w:rsidP="002D6DD7">
            <w:pPr>
              <w:jc w:val="both"/>
              <w:rPr>
                <w:rFonts w:cs="Times New Roman"/>
                <w:szCs w:val="24"/>
              </w:rPr>
            </w:pPr>
            <w:r w:rsidRPr="00944B15">
              <w:rPr>
                <w:rFonts w:cs="Times New Roman"/>
                <w:szCs w:val="24"/>
              </w:rPr>
              <w:t>Cautions</w:t>
            </w:r>
          </w:p>
        </w:tc>
        <w:tc>
          <w:tcPr>
            <w:tcW w:w="6660" w:type="dxa"/>
          </w:tcPr>
          <w:p w14:paraId="48B92C64" w14:textId="77777777" w:rsidR="00401703" w:rsidRPr="00944B15" w:rsidRDefault="00401703" w:rsidP="002D6DD7">
            <w:pPr>
              <w:jc w:val="both"/>
              <w:rPr>
                <w:rFonts w:cs="Times New Roman"/>
                <w:szCs w:val="24"/>
              </w:rPr>
            </w:pPr>
            <w:r w:rsidRPr="00944B15">
              <w:rPr>
                <w:rFonts w:cs="Times New Roman"/>
                <w:szCs w:val="24"/>
              </w:rPr>
              <w:t>Elderly, hepatic impairment, seizures</w:t>
            </w:r>
            <w:r>
              <w:rPr>
                <w:rFonts w:cs="Times New Roman"/>
                <w:szCs w:val="24"/>
              </w:rPr>
              <w:t xml:space="preserve">, </w:t>
            </w:r>
            <w:r w:rsidRPr="00944B15">
              <w:rPr>
                <w:rFonts w:cs="Times New Roman"/>
                <w:szCs w:val="24"/>
              </w:rPr>
              <w:t>cardiovascular disease</w:t>
            </w:r>
          </w:p>
        </w:tc>
      </w:tr>
      <w:tr w:rsidR="00401703" w:rsidRPr="00944B15" w14:paraId="1564D93E" w14:textId="77777777" w:rsidTr="002D6DD7">
        <w:tc>
          <w:tcPr>
            <w:tcW w:w="2695" w:type="dxa"/>
          </w:tcPr>
          <w:p w14:paraId="3885FC40" w14:textId="77777777" w:rsidR="00401703" w:rsidRPr="00944B15" w:rsidRDefault="00401703" w:rsidP="002D6DD7">
            <w:pPr>
              <w:jc w:val="both"/>
              <w:rPr>
                <w:rFonts w:cs="Times New Roman"/>
                <w:szCs w:val="24"/>
              </w:rPr>
            </w:pPr>
            <w:r w:rsidRPr="00944B15">
              <w:rPr>
                <w:rFonts w:cs="Times New Roman"/>
                <w:szCs w:val="24"/>
              </w:rPr>
              <w:t>Storage Condition</w:t>
            </w:r>
          </w:p>
        </w:tc>
        <w:tc>
          <w:tcPr>
            <w:tcW w:w="6660" w:type="dxa"/>
          </w:tcPr>
          <w:p w14:paraId="072AF0CF" w14:textId="77777777" w:rsidR="00401703" w:rsidRPr="00944B15" w:rsidRDefault="00401703" w:rsidP="002D6DD7">
            <w:pPr>
              <w:jc w:val="both"/>
              <w:rPr>
                <w:rFonts w:cs="Times New Roman"/>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r w:rsidR="00401703" w:rsidRPr="00944B15" w14:paraId="521B6535" w14:textId="77777777" w:rsidTr="002D6DD7">
        <w:tc>
          <w:tcPr>
            <w:tcW w:w="2695" w:type="dxa"/>
          </w:tcPr>
          <w:p w14:paraId="58EEE129" w14:textId="77777777" w:rsidR="00401703" w:rsidRPr="00AD751C" w:rsidRDefault="00401703" w:rsidP="002D6DD7">
            <w:pPr>
              <w:jc w:val="both"/>
              <w:rPr>
                <w:rFonts w:cs="Times New Roman"/>
                <w:b/>
                <w:bCs/>
                <w:szCs w:val="24"/>
              </w:rPr>
            </w:pPr>
            <w:r w:rsidRPr="00AD751C">
              <w:rPr>
                <w:rFonts w:cs="Times New Roman"/>
                <w:b/>
                <w:bCs/>
                <w:szCs w:val="24"/>
              </w:rPr>
              <w:t>Quetiapine</w:t>
            </w:r>
          </w:p>
        </w:tc>
        <w:tc>
          <w:tcPr>
            <w:tcW w:w="6660" w:type="dxa"/>
          </w:tcPr>
          <w:p w14:paraId="5F40C03A" w14:textId="77777777" w:rsidR="00401703" w:rsidRPr="00944B15" w:rsidRDefault="00401703" w:rsidP="002D6DD7">
            <w:pPr>
              <w:jc w:val="both"/>
              <w:rPr>
                <w:rFonts w:cs="Times New Roman"/>
                <w:szCs w:val="24"/>
              </w:rPr>
            </w:pPr>
          </w:p>
        </w:tc>
      </w:tr>
      <w:tr w:rsidR="00401703" w:rsidRPr="00944B15" w14:paraId="72E8B152" w14:textId="77777777" w:rsidTr="002D6DD7">
        <w:tc>
          <w:tcPr>
            <w:tcW w:w="2695" w:type="dxa"/>
          </w:tcPr>
          <w:p w14:paraId="000690ED" w14:textId="77777777" w:rsidR="00401703" w:rsidRPr="00944B15" w:rsidRDefault="00401703" w:rsidP="002D6DD7">
            <w:pPr>
              <w:jc w:val="both"/>
              <w:rPr>
                <w:rFonts w:cs="Times New Roman"/>
                <w:szCs w:val="24"/>
              </w:rPr>
            </w:pPr>
            <w:r w:rsidRPr="00944B15">
              <w:rPr>
                <w:rFonts w:cs="Times New Roman"/>
                <w:szCs w:val="24"/>
              </w:rPr>
              <w:t>Pharmacological Class</w:t>
            </w:r>
          </w:p>
        </w:tc>
        <w:tc>
          <w:tcPr>
            <w:tcW w:w="6660" w:type="dxa"/>
          </w:tcPr>
          <w:p w14:paraId="16F29271" w14:textId="77777777" w:rsidR="00401703" w:rsidRPr="00944B15" w:rsidRDefault="00401703" w:rsidP="002D6DD7">
            <w:pPr>
              <w:jc w:val="both"/>
              <w:rPr>
                <w:rFonts w:cs="Times New Roman"/>
                <w:szCs w:val="24"/>
              </w:rPr>
            </w:pPr>
            <w:r w:rsidRPr="00944B15">
              <w:rPr>
                <w:rFonts w:cs="Times New Roman"/>
                <w:szCs w:val="24"/>
              </w:rPr>
              <w:t>Atypical antipsychotic</w:t>
            </w:r>
          </w:p>
        </w:tc>
      </w:tr>
      <w:tr w:rsidR="00401703" w:rsidRPr="00944B15" w14:paraId="377E29B1" w14:textId="77777777" w:rsidTr="002D6DD7">
        <w:tc>
          <w:tcPr>
            <w:tcW w:w="2695" w:type="dxa"/>
          </w:tcPr>
          <w:p w14:paraId="63E78E17" w14:textId="77777777" w:rsidR="00401703" w:rsidRPr="00944B15" w:rsidRDefault="00401703" w:rsidP="002D6DD7">
            <w:pPr>
              <w:jc w:val="both"/>
              <w:rPr>
                <w:rFonts w:cs="Times New Roman"/>
                <w:szCs w:val="24"/>
              </w:rPr>
            </w:pPr>
            <w:r w:rsidRPr="00944B15">
              <w:rPr>
                <w:rFonts w:cs="Times New Roman"/>
                <w:szCs w:val="24"/>
              </w:rPr>
              <w:t>Dosage Form</w:t>
            </w:r>
          </w:p>
        </w:tc>
        <w:tc>
          <w:tcPr>
            <w:tcW w:w="6660" w:type="dxa"/>
          </w:tcPr>
          <w:p w14:paraId="4543075C" w14:textId="77777777" w:rsidR="00401703" w:rsidRPr="00944B15" w:rsidRDefault="00401703" w:rsidP="002D6DD7">
            <w:pPr>
              <w:jc w:val="both"/>
              <w:rPr>
                <w:rFonts w:cs="Times New Roman"/>
                <w:szCs w:val="24"/>
              </w:rPr>
            </w:pPr>
            <w:r w:rsidRPr="00944B15">
              <w:rPr>
                <w:rFonts w:cs="Times New Roman"/>
                <w:szCs w:val="24"/>
              </w:rPr>
              <w:t>Tablet: 100 mg, 200 mg, 300 mg</w:t>
            </w:r>
          </w:p>
        </w:tc>
      </w:tr>
      <w:tr w:rsidR="00401703" w:rsidRPr="00944B15" w14:paraId="7BD25E89" w14:textId="77777777" w:rsidTr="002D6DD7">
        <w:tc>
          <w:tcPr>
            <w:tcW w:w="2695" w:type="dxa"/>
          </w:tcPr>
          <w:p w14:paraId="7E1239E6" w14:textId="77777777" w:rsidR="00401703" w:rsidRPr="00944B15" w:rsidRDefault="00401703" w:rsidP="002D6DD7">
            <w:pPr>
              <w:jc w:val="both"/>
              <w:rPr>
                <w:rFonts w:cs="Times New Roman"/>
                <w:szCs w:val="24"/>
              </w:rPr>
            </w:pPr>
            <w:r w:rsidRPr="00944B15">
              <w:rPr>
                <w:rFonts w:cs="Times New Roman"/>
                <w:szCs w:val="24"/>
              </w:rPr>
              <w:t>Indication</w:t>
            </w:r>
          </w:p>
        </w:tc>
        <w:tc>
          <w:tcPr>
            <w:tcW w:w="6660" w:type="dxa"/>
          </w:tcPr>
          <w:p w14:paraId="1C441B27" w14:textId="77777777" w:rsidR="00401703" w:rsidRPr="00944B15" w:rsidRDefault="00401703" w:rsidP="002D6DD7">
            <w:pPr>
              <w:jc w:val="both"/>
              <w:rPr>
                <w:rFonts w:cs="Times New Roman"/>
                <w:szCs w:val="24"/>
              </w:rPr>
            </w:pPr>
            <w:r>
              <w:rPr>
                <w:rFonts w:cs="Times New Roman"/>
                <w:szCs w:val="24"/>
              </w:rPr>
              <w:t>B</w:t>
            </w:r>
            <w:r w:rsidRPr="00944B15">
              <w:rPr>
                <w:rFonts w:cs="Times New Roman"/>
                <w:szCs w:val="24"/>
              </w:rPr>
              <w:t>ipolar disorder</w:t>
            </w:r>
            <w:r>
              <w:rPr>
                <w:rFonts w:cs="Times New Roman"/>
                <w:szCs w:val="24"/>
              </w:rPr>
              <w:t>s</w:t>
            </w:r>
          </w:p>
        </w:tc>
      </w:tr>
      <w:tr w:rsidR="00401703" w:rsidRPr="00944B15" w14:paraId="064271E3" w14:textId="77777777" w:rsidTr="002D6DD7">
        <w:tc>
          <w:tcPr>
            <w:tcW w:w="2695" w:type="dxa"/>
          </w:tcPr>
          <w:p w14:paraId="5081B6E3" w14:textId="77777777" w:rsidR="00401703" w:rsidRPr="00944B15" w:rsidRDefault="00401703" w:rsidP="002D6DD7">
            <w:pPr>
              <w:jc w:val="both"/>
              <w:rPr>
                <w:rFonts w:cs="Times New Roman"/>
                <w:szCs w:val="24"/>
              </w:rPr>
            </w:pPr>
            <w:r w:rsidRPr="00944B15">
              <w:rPr>
                <w:rFonts w:cs="Times New Roman"/>
                <w:szCs w:val="24"/>
              </w:rPr>
              <w:t>Dose and Administration</w:t>
            </w:r>
          </w:p>
        </w:tc>
        <w:tc>
          <w:tcPr>
            <w:tcW w:w="6660" w:type="dxa"/>
          </w:tcPr>
          <w:p w14:paraId="1B520BE4" w14:textId="77777777" w:rsidR="00401703" w:rsidRDefault="00401703" w:rsidP="002D6DD7">
            <w:pPr>
              <w:rPr>
                <w:rFonts w:cs="Times New Roman"/>
                <w:b/>
                <w:bCs/>
                <w:szCs w:val="24"/>
              </w:rPr>
            </w:pPr>
            <w:r>
              <w:rPr>
                <w:rFonts w:cs="Times New Roman"/>
                <w:b/>
                <w:bCs/>
                <w:szCs w:val="24"/>
              </w:rPr>
              <w:t>Treatment of mania in bipolar disorder</w:t>
            </w:r>
            <w:r w:rsidR="00C80455">
              <w:rPr>
                <w:rFonts w:cs="Times New Roman"/>
                <w:b/>
                <w:bCs/>
                <w:szCs w:val="24"/>
              </w:rPr>
              <w:t>:</w:t>
            </w:r>
          </w:p>
          <w:p w14:paraId="359EF31C" w14:textId="77777777" w:rsidR="00401703" w:rsidRPr="00944B15" w:rsidRDefault="00401703" w:rsidP="002D6DD7">
            <w:pPr>
              <w:rPr>
                <w:rFonts w:cs="Times New Roman"/>
                <w:szCs w:val="24"/>
              </w:rPr>
            </w:pPr>
            <w:r w:rsidRPr="00944B15">
              <w:rPr>
                <w:rFonts w:cs="Times New Roman"/>
                <w:b/>
                <w:bCs/>
                <w:szCs w:val="24"/>
              </w:rPr>
              <w:t>Adult:</w:t>
            </w:r>
            <w:r>
              <w:rPr>
                <w:rFonts w:cs="Times New Roman"/>
                <w:b/>
                <w:bCs/>
                <w:szCs w:val="24"/>
              </w:rPr>
              <w:t xml:space="preserve"> </w:t>
            </w:r>
            <w:r w:rsidRPr="00606E86">
              <w:rPr>
                <w:rFonts w:cs="Times New Roman"/>
                <w:szCs w:val="24"/>
              </w:rPr>
              <w:t>starting</w:t>
            </w:r>
            <w:r w:rsidRPr="00944B15">
              <w:rPr>
                <w:rFonts w:cs="Times New Roman"/>
                <w:szCs w:val="24"/>
              </w:rPr>
              <w:t xml:space="preserve"> from 50 mg </w:t>
            </w:r>
            <w:r>
              <w:rPr>
                <w:rFonts w:cs="Times New Roman"/>
                <w:szCs w:val="24"/>
              </w:rPr>
              <w:t xml:space="preserve">twice daily </w:t>
            </w:r>
            <w:r w:rsidRPr="00944B15">
              <w:rPr>
                <w:rFonts w:cs="Times New Roman"/>
                <w:szCs w:val="24"/>
              </w:rPr>
              <w:t xml:space="preserve">on day 1, </w:t>
            </w:r>
            <w:r>
              <w:rPr>
                <w:rFonts w:cs="Times New Roman"/>
                <w:szCs w:val="24"/>
              </w:rPr>
              <w:t>then 100mg twice daily on day 2, 150mg twice daily for day 3, 200mg twice daily for day 4, then adjusted in steps of</w:t>
            </w:r>
            <w:r w:rsidRPr="00944B15">
              <w:rPr>
                <w:rFonts w:cs="Times New Roman"/>
                <w:szCs w:val="24"/>
              </w:rPr>
              <w:t xml:space="preserve"> up to </w:t>
            </w:r>
            <w:r>
              <w:rPr>
                <w:rFonts w:cs="Times New Roman"/>
                <w:szCs w:val="24"/>
              </w:rPr>
              <w:t>2</w:t>
            </w:r>
            <w:r w:rsidRPr="00944B15">
              <w:rPr>
                <w:rFonts w:cs="Times New Roman"/>
                <w:szCs w:val="24"/>
              </w:rPr>
              <w:t xml:space="preserve">00 mg </w:t>
            </w:r>
            <w:r>
              <w:rPr>
                <w:rFonts w:cs="Times New Roman"/>
                <w:szCs w:val="24"/>
              </w:rPr>
              <w:t>daily, adjusted according to clinical response. Usual dose 400mg-800mg in 2 divided doses</w:t>
            </w:r>
            <w:r w:rsidRPr="00944B15">
              <w:rPr>
                <w:rFonts w:cs="Times New Roman"/>
                <w:szCs w:val="24"/>
              </w:rPr>
              <w:t xml:space="preserve"> </w:t>
            </w:r>
            <w:r>
              <w:rPr>
                <w:rFonts w:cs="Times New Roman"/>
                <w:szCs w:val="24"/>
              </w:rPr>
              <w:t>with a maximum dose of 800mg.</w:t>
            </w:r>
          </w:p>
          <w:p w14:paraId="2DE14560" w14:textId="77777777" w:rsidR="00401703" w:rsidRPr="00524777" w:rsidRDefault="00401703" w:rsidP="002D6DD7">
            <w:pPr>
              <w:rPr>
                <w:rFonts w:cs="Times New Roman"/>
                <w:b/>
                <w:bCs/>
                <w:szCs w:val="24"/>
              </w:rPr>
            </w:pPr>
            <w:r>
              <w:rPr>
                <w:rFonts w:cs="Times New Roman"/>
                <w:b/>
                <w:bCs/>
                <w:szCs w:val="24"/>
              </w:rPr>
              <w:t>Treatment of depression in bipolar disorder:</w:t>
            </w:r>
            <w:r w:rsidRPr="00944B15">
              <w:rPr>
                <w:rFonts w:cs="Times New Roman"/>
                <w:szCs w:val="24"/>
              </w:rPr>
              <w:t xml:space="preserve"> </w:t>
            </w:r>
          </w:p>
          <w:p w14:paraId="362F434D" w14:textId="77777777" w:rsidR="00401703" w:rsidRPr="00524777" w:rsidRDefault="00401703" w:rsidP="002D6DD7">
            <w:pPr>
              <w:jc w:val="both"/>
              <w:rPr>
                <w:rFonts w:cs="Times New Roman"/>
                <w:szCs w:val="24"/>
              </w:rPr>
            </w:pPr>
            <w:r w:rsidRPr="00524777">
              <w:rPr>
                <w:rFonts w:cs="Times New Roman"/>
                <w:szCs w:val="24"/>
              </w:rPr>
              <w:t>Adult: 50 mg once daily for day 1, dose to be taken at</w:t>
            </w:r>
            <w:r>
              <w:rPr>
                <w:rFonts w:cs="Times New Roman"/>
                <w:szCs w:val="24"/>
              </w:rPr>
              <w:t xml:space="preserve"> </w:t>
            </w:r>
            <w:r w:rsidRPr="00524777">
              <w:rPr>
                <w:rFonts w:cs="Times New Roman"/>
                <w:szCs w:val="24"/>
              </w:rPr>
              <w:t>bedtime, then 100 mg once daily for day 2, then 200 mg</w:t>
            </w:r>
            <w:r>
              <w:rPr>
                <w:rFonts w:cs="Times New Roman"/>
                <w:szCs w:val="24"/>
              </w:rPr>
              <w:t xml:space="preserve"> </w:t>
            </w:r>
            <w:r w:rsidRPr="00524777">
              <w:rPr>
                <w:rFonts w:cs="Times New Roman"/>
                <w:szCs w:val="24"/>
              </w:rPr>
              <w:t>once daily for day 3, then 300 mg once daily for day 4,</w:t>
            </w:r>
            <w:r>
              <w:rPr>
                <w:rFonts w:cs="Times New Roman"/>
                <w:szCs w:val="24"/>
              </w:rPr>
              <w:t xml:space="preserve"> </w:t>
            </w:r>
            <w:r w:rsidRPr="00524777">
              <w:rPr>
                <w:rFonts w:cs="Times New Roman"/>
                <w:szCs w:val="24"/>
              </w:rPr>
              <w:t>then, adjusted according to response, usual dose</w:t>
            </w:r>
            <w:r>
              <w:rPr>
                <w:rFonts w:cs="Times New Roman"/>
                <w:szCs w:val="24"/>
              </w:rPr>
              <w:t xml:space="preserve"> </w:t>
            </w:r>
            <w:r w:rsidRPr="00524777">
              <w:rPr>
                <w:rFonts w:cs="Times New Roman"/>
                <w:szCs w:val="24"/>
              </w:rPr>
              <w:t>300 mg once daily, the rate of dose titration may need</w:t>
            </w:r>
          </w:p>
          <w:p w14:paraId="4E35A921" w14:textId="77777777" w:rsidR="00401703" w:rsidRDefault="00401703" w:rsidP="002D6DD7">
            <w:pPr>
              <w:jc w:val="both"/>
              <w:rPr>
                <w:rFonts w:cs="Times New Roman"/>
                <w:szCs w:val="24"/>
              </w:rPr>
            </w:pPr>
            <w:r w:rsidRPr="00524777">
              <w:rPr>
                <w:rFonts w:cs="Times New Roman"/>
                <w:szCs w:val="24"/>
              </w:rPr>
              <w:t>to be slower and the daily dose lower in elderly</w:t>
            </w:r>
            <w:r>
              <w:rPr>
                <w:rFonts w:cs="Times New Roman"/>
                <w:szCs w:val="24"/>
              </w:rPr>
              <w:t xml:space="preserve"> </w:t>
            </w:r>
            <w:r w:rsidRPr="00524777">
              <w:rPr>
                <w:rFonts w:cs="Times New Roman"/>
                <w:szCs w:val="24"/>
              </w:rPr>
              <w:t>patients; maximum 600 mg per day</w:t>
            </w:r>
            <w:r w:rsidR="00C80455">
              <w:rPr>
                <w:rFonts w:cs="Times New Roman"/>
                <w:szCs w:val="24"/>
              </w:rPr>
              <w:t>.</w:t>
            </w:r>
          </w:p>
          <w:p w14:paraId="7BA62DC0" w14:textId="77777777" w:rsidR="00401703" w:rsidRPr="00CC08EF" w:rsidRDefault="00401703" w:rsidP="002D6DD7">
            <w:pPr>
              <w:jc w:val="both"/>
              <w:rPr>
                <w:rFonts w:cs="Times New Roman"/>
                <w:b/>
                <w:bCs/>
                <w:szCs w:val="24"/>
              </w:rPr>
            </w:pPr>
            <w:r w:rsidRPr="00CC08EF">
              <w:rPr>
                <w:rFonts w:cs="Times New Roman"/>
                <w:b/>
                <w:bCs/>
                <w:szCs w:val="24"/>
              </w:rPr>
              <w:t>Prevention of mania and depression in bipolar disorder</w:t>
            </w:r>
            <w:r w:rsidR="00C80455">
              <w:rPr>
                <w:rFonts w:cs="Times New Roman"/>
                <w:b/>
                <w:bCs/>
                <w:szCs w:val="24"/>
              </w:rPr>
              <w:t>:</w:t>
            </w:r>
          </w:p>
          <w:p w14:paraId="31362BFE" w14:textId="77777777" w:rsidR="00401703" w:rsidRPr="00944B15" w:rsidRDefault="00401703" w:rsidP="002D6DD7">
            <w:pPr>
              <w:jc w:val="both"/>
              <w:rPr>
                <w:rFonts w:cs="Times New Roman"/>
                <w:szCs w:val="24"/>
              </w:rPr>
            </w:pPr>
            <w:r w:rsidRPr="00CC08EF">
              <w:rPr>
                <w:rFonts w:cs="Times New Roman"/>
                <w:b/>
                <w:bCs/>
                <w:szCs w:val="24"/>
              </w:rPr>
              <w:t>Adult:</w:t>
            </w:r>
            <w:r w:rsidRPr="00CC08EF">
              <w:rPr>
                <w:rFonts w:cs="Times New Roman"/>
                <w:szCs w:val="24"/>
              </w:rPr>
              <w:t xml:space="preserve"> Continue at the dose effective for treatment of</w:t>
            </w:r>
            <w:r>
              <w:rPr>
                <w:rFonts w:cs="Times New Roman"/>
                <w:szCs w:val="24"/>
              </w:rPr>
              <w:t xml:space="preserve"> </w:t>
            </w:r>
            <w:r w:rsidRPr="00CC08EF">
              <w:rPr>
                <w:rFonts w:cs="Times New Roman"/>
                <w:szCs w:val="24"/>
              </w:rPr>
              <w:t>bipolar disorder and adjust to lowest effective dose;</w:t>
            </w:r>
            <w:r>
              <w:rPr>
                <w:rFonts w:cs="Times New Roman"/>
                <w:szCs w:val="24"/>
              </w:rPr>
              <w:t xml:space="preserve"> </w:t>
            </w:r>
            <w:r w:rsidRPr="00CC08EF">
              <w:rPr>
                <w:rFonts w:cs="Times New Roman"/>
                <w:szCs w:val="24"/>
              </w:rPr>
              <w:t>usual dose 300–800 mg daily in 2 divided doses</w:t>
            </w:r>
            <w:r w:rsidR="00C80455">
              <w:rPr>
                <w:rFonts w:cs="Times New Roman"/>
                <w:szCs w:val="24"/>
              </w:rPr>
              <w:t>.</w:t>
            </w:r>
          </w:p>
        </w:tc>
      </w:tr>
      <w:tr w:rsidR="00401703" w:rsidRPr="00944B15" w14:paraId="5116724F" w14:textId="77777777" w:rsidTr="002D6DD7">
        <w:tc>
          <w:tcPr>
            <w:tcW w:w="2695" w:type="dxa"/>
          </w:tcPr>
          <w:p w14:paraId="3E17D74C" w14:textId="77777777" w:rsidR="00401703" w:rsidRPr="00944B15" w:rsidRDefault="00401703" w:rsidP="002D6DD7">
            <w:pPr>
              <w:jc w:val="both"/>
              <w:rPr>
                <w:rFonts w:cs="Times New Roman"/>
                <w:szCs w:val="24"/>
              </w:rPr>
            </w:pPr>
            <w:r w:rsidRPr="00944B15">
              <w:rPr>
                <w:rFonts w:cs="Times New Roman"/>
                <w:szCs w:val="24"/>
              </w:rPr>
              <w:t>Contraindication</w:t>
            </w:r>
          </w:p>
        </w:tc>
        <w:tc>
          <w:tcPr>
            <w:tcW w:w="6660" w:type="dxa"/>
          </w:tcPr>
          <w:p w14:paraId="33AB638A" w14:textId="77777777" w:rsidR="00401703" w:rsidRPr="00944B15" w:rsidRDefault="00401703" w:rsidP="002D6DD7">
            <w:pPr>
              <w:jc w:val="both"/>
              <w:rPr>
                <w:rFonts w:cs="Times New Roman"/>
                <w:szCs w:val="24"/>
              </w:rPr>
            </w:pPr>
            <w:r w:rsidRPr="00944B15">
              <w:rPr>
                <w:rFonts w:cs="Times New Roman"/>
                <w:szCs w:val="24"/>
              </w:rPr>
              <w:t xml:space="preserve">Hypersensitivity to </w:t>
            </w:r>
            <w:r>
              <w:rPr>
                <w:rFonts w:cs="Times New Roman"/>
                <w:szCs w:val="24"/>
              </w:rPr>
              <w:t>the dru</w:t>
            </w:r>
            <w:r w:rsidR="00C80455">
              <w:rPr>
                <w:rFonts w:cs="Times New Roman"/>
                <w:szCs w:val="24"/>
              </w:rPr>
              <w:t>g.</w:t>
            </w:r>
          </w:p>
        </w:tc>
      </w:tr>
      <w:tr w:rsidR="00401703" w:rsidRPr="00944B15" w14:paraId="24AA4C33" w14:textId="77777777" w:rsidTr="002D6DD7">
        <w:tc>
          <w:tcPr>
            <w:tcW w:w="2695" w:type="dxa"/>
          </w:tcPr>
          <w:p w14:paraId="652C1DFC" w14:textId="77777777" w:rsidR="00401703" w:rsidRPr="00944B15" w:rsidRDefault="00401703" w:rsidP="002D6DD7">
            <w:pPr>
              <w:jc w:val="both"/>
              <w:rPr>
                <w:rFonts w:cs="Times New Roman"/>
                <w:szCs w:val="24"/>
              </w:rPr>
            </w:pPr>
            <w:r w:rsidRPr="00944B15">
              <w:rPr>
                <w:rFonts w:cs="Times New Roman"/>
                <w:szCs w:val="24"/>
              </w:rPr>
              <w:t>Drug Interactions</w:t>
            </w:r>
          </w:p>
        </w:tc>
        <w:tc>
          <w:tcPr>
            <w:tcW w:w="6660" w:type="dxa"/>
          </w:tcPr>
          <w:p w14:paraId="68872BDA" w14:textId="77777777" w:rsidR="00401703" w:rsidRPr="00944B15" w:rsidRDefault="00401703" w:rsidP="002D6DD7">
            <w:pPr>
              <w:jc w:val="both"/>
              <w:rPr>
                <w:rFonts w:cs="Times New Roman"/>
                <w:szCs w:val="24"/>
              </w:rPr>
            </w:pPr>
            <w:r w:rsidRPr="00944B15">
              <w:rPr>
                <w:rFonts w:cs="Times New Roman"/>
                <w:szCs w:val="24"/>
              </w:rPr>
              <w:t xml:space="preserve">Azelastine, cabergoline, carbamazepine, clozapine, metoclopramide, ketoconazole, phenytoin, ondansetron, </w:t>
            </w:r>
            <w:r>
              <w:rPr>
                <w:rFonts w:cs="Times New Roman"/>
                <w:szCs w:val="24"/>
              </w:rPr>
              <w:t>a</w:t>
            </w:r>
            <w:r w:rsidRPr="00944B15">
              <w:rPr>
                <w:rFonts w:cs="Times New Roman"/>
                <w:szCs w:val="24"/>
              </w:rPr>
              <w:t>lcohol</w:t>
            </w:r>
            <w:r>
              <w:rPr>
                <w:rFonts w:cs="Times New Roman"/>
                <w:szCs w:val="24"/>
              </w:rPr>
              <w:t>,</w:t>
            </w:r>
            <w:r w:rsidRPr="00944B15">
              <w:rPr>
                <w:rFonts w:cs="Times New Roman"/>
                <w:szCs w:val="24"/>
              </w:rPr>
              <w:t xml:space="preserve"> haloperidol, lithium, antidiabetic agents</w:t>
            </w:r>
            <w:r w:rsidR="00C80455">
              <w:rPr>
                <w:rFonts w:cs="Times New Roman"/>
                <w:szCs w:val="24"/>
              </w:rPr>
              <w:t>.</w:t>
            </w:r>
          </w:p>
        </w:tc>
      </w:tr>
      <w:tr w:rsidR="00401703" w:rsidRPr="00944B15" w14:paraId="00D9E477" w14:textId="77777777" w:rsidTr="002D6DD7">
        <w:tc>
          <w:tcPr>
            <w:tcW w:w="2695" w:type="dxa"/>
          </w:tcPr>
          <w:p w14:paraId="3439F9A0" w14:textId="77777777" w:rsidR="00401703" w:rsidRPr="00944B15" w:rsidRDefault="00401703" w:rsidP="002D6DD7">
            <w:pPr>
              <w:jc w:val="both"/>
              <w:rPr>
                <w:rFonts w:cs="Times New Roman"/>
                <w:szCs w:val="24"/>
              </w:rPr>
            </w:pPr>
            <w:r w:rsidRPr="00944B15">
              <w:rPr>
                <w:rFonts w:cs="Times New Roman"/>
                <w:szCs w:val="24"/>
              </w:rPr>
              <w:lastRenderedPageBreak/>
              <w:t>Side Effects</w:t>
            </w:r>
          </w:p>
        </w:tc>
        <w:tc>
          <w:tcPr>
            <w:tcW w:w="6660" w:type="dxa"/>
          </w:tcPr>
          <w:p w14:paraId="2F2A3256" w14:textId="77777777" w:rsidR="00401703" w:rsidRPr="00944B15" w:rsidRDefault="00401703" w:rsidP="002D6DD7">
            <w:pPr>
              <w:jc w:val="both"/>
              <w:rPr>
                <w:rFonts w:cs="Times New Roman"/>
                <w:szCs w:val="24"/>
              </w:rPr>
            </w:pPr>
            <w:r w:rsidRPr="00944B15">
              <w:rPr>
                <w:rFonts w:cs="Times New Roman"/>
                <w:szCs w:val="24"/>
              </w:rPr>
              <w:t xml:space="preserve">Somnolence, dizziness, headache, dry </w:t>
            </w:r>
            <w:r>
              <w:rPr>
                <w:rFonts w:cs="Times New Roman"/>
                <w:szCs w:val="24"/>
              </w:rPr>
              <w:t>mouth</w:t>
            </w:r>
            <w:r w:rsidRPr="00944B15">
              <w:rPr>
                <w:rFonts w:cs="Times New Roman"/>
                <w:szCs w:val="24"/>
              </w:rPr>
              <w:t xml:space="preserve">, withdrawal symptoms, </w:t>
            </w:r>
            <w:r>
              <w:rPr>
                <w:rFonts w:cs="Times New Roman"/>
                <w:szCs w:val="24"/>
              </w:rPr>
              <w:t>dyslipidemia</w:t>
            </w:r>
            <w:r w:rsidRPr="00944B15">
              <w:rPr>
                <w:rFonts w:cs="Times New Roman"/>
                <w:szCs w:val="24"/>
              </w:rPr>
              <w:t xml:space="preserve">, weight gain, decreased </w:t>
            </w:r>
            <w:r w:rsidR="00C80455">
              <w:rPr>
                <w:rFonts w:cs="Times New Roman"/>
                <w:szCs w:val="24"/>
              </w:rPr>
              <w:t>haemoglobin.</w:t>
            </w:r>
          </w:p>
        </w:tc>
      </w:tr>
      <w:tr w:rsidR="00401703" w:rsidRPr="00944B15" w14:paraId="15D73B61" w14:textId="77777777" w:rsidTr="002D6DD7">
        <w:tc>
          <w:tcPr>
            <w:tcW w:w="2695" w:type="dxa"/>
          </w:tcPr>
          <w:p w14:paraId="421E46D4" w14:textId="77777777" w:rsidR="00401703" w:rsidRPr="00944B15" w:rsidRDefault="00401703" w:rsidP="002D6DD7">
            <w:pPr>
              <w:jc w:val="both"/>
              <w:rPr>
                <w:rFonts w:cs="Times New Roman"/>
                <w:szCs w:val="24"/>
              </w:rPr>
            </w:pPr>
            <w:r w:rsidRPr="00944B15">
              <w:rPr>
                <w:rFonts w:cs="Times New Roman"/>
                <w:szCs w:val="24"/>
              </w:rPr>
              <w:t>Cautions</w:t>
            </w:r>
          </w:p>
        </w:tc>
        <w:tc>
          <w:tcPr>
            <w:tcW w:w="6660" w:type="dxa"/>
          </w:tcPr>
          <w:p w14:paraId="1E900331" w14:textId="77777777" w:rsidR="00401703" w:rsidRPr="00944B15" w:rsidRDefault="00401703" w:rsidP="002D6DD7">
            <w:pPr>
              <w:jc w:val="both"/>
              <w:rPr>
                <w:rFonts w:cs="Times New Roman"/>
                <w:szCs w:val="24"/>
              </w:rPr>
            </w:pPr>
            <w:r w:rsidRPr="00944B15">
              <w:rPr>
                <w:rFonts w:cs="Times New Roman"/>
                <w:szCs w:val="24"/>
              </w:rPr>
              <w:t xml:space="preserve">Cerebrovascular disease, elderly, aspiration pneumonia, </w:t>
            </w:r>
            <w:r>
              <w:rPr>
                <w:rFonts w:cs="Times New Roman"/>
                <w:szCs w:val="24"/>
              </w:rPr>
              <w:t xml:space="preserve">age under </w:t>
            </w:r>
            <w:r w:rsidRPr="00944B15">
              <w:rPr>
                <w:rFonts w:cs="Times New Roman"/>
                <w:szCs w:val="24"/>
              </w:rPr>
              <w:t>25 years</w:t>
            </w:r>
            <w:r>
              <w:rPr>
                <w:rFonts w:cs="Times New Roman"/>
                <w:szCs w:val="24"/>
              </w:rPr>
              <w:t>, suicidal attempts, p</w:t>
            </w:r>
            <w:r w:rsidRPr="00944B15">
              <w:rPr>
                <w:rFonts w:cs="Times New Roman"/>
                <w:szCs w:val="24"/>
              </w:rPr>
              <w:t>regnancy</w:t>
            </w:r>
            <w:r>
              <w:rPr>
                <w:rFonts w:cs="Times New Roman"/>
                <w:szCs w:val="24"/>
              </w:rPr>
              <w:t>, b</w:t>
            </w:r>
            <w:r w:rsidRPr="00944B15">
              <w:rPr>
                <w:rFonts w:cs="Times New Roman"/>
                <w:szCs w:val="24"/>
              </w:rPr>
              <w:t>reastfeeding</w:t>
            </w:r>
            <w:r w:rsidR="00C80455">
              <w:rPr>
                <w:rFonts w:cs="Times New Roman"/>
                <w:szCs w:val="24"/>
              </w:rPr>
              <w:t>.</w:t>
            </w:r>
          </w:p>
        </w:tc>
      </w:tr>
      <w:tr w:rsidR="00401703" w:rsidRPr="00944B15" w14:paraId="3B8A52EA" w14:textId="77777777" w:rsidTr="002D6DD7">
        <w:tc>
          <w:tcPr>
            <w:tcW w:w="2695" w:type="dxa"/>
          </w:tcPr>
          <w:p w14:paraId="7D0DC423" w14:textId="77777777" w:rsidR="00401703" w:rsidRPr="00944B15" w:rsidRDefault="00401703" w:rsidP="002D6DD7">
            <w:pPr>
              <w:jc w:val="both"/>
              <w:rPr>
                <w:rFonts w:cs="Times New Roman"/>
                <w:szCs w:val="24"/>
              </w:rPr>
            </w:pPr>
            <w:r w:rsidRPr="00944B15">
              <w:rPr>
                <w:rFonts w:cs="Times New Roman"/>
                <w:szCs w:val="24"/>
              </w:rPr>
              <w:t>Storage Condition</w:t>
            </w:r>
          </w:p>
        </w:tc>
        <w:tc>
          <w:tcPr>
            <w:tcW w:w="6660" w:type="dxa"/>
          </w:tcPr>
          <w:p w14:paraId="142A72FF" w14:textId="77777777" w:rsidR="00401703" w:rsidRPr="00944B15" w:rsidRDefault="00401703" w:rsidP="002D6DD7">
            <w:pPr>
              <w:jc w:val="both"/>
              <w:rPr>
                <w:rFonts w:cs="Times New Roman"/>
                <w:szCs w:val="24"/>
              </w:rPr>
            </w:pPr>
            <w:r w:rsidRPr="00944B15">
              <w:rPr>
                <w:rFonts w:cs="Times New Roman"/>
                <w:szCs w:val="24"/>
              </w:rPr>
              <w:t>Store below 30</w:t>
            </w:r>
            <w:r w:rsidRPr="00944B15">
              <w:rPr>
                <w:rFonts w:cs="Times New Roman"/>
                <w:szCs w:val="24"/>
                <w:vertAlign w:val="superscript"/>
              </w:rPr>
              <w:t>0</w:t>
            </w:r>
            <w:r w:rsidRPr="00944B15">
              <w:rPr>
                <w:rFonts w:cs="Times New Roman"/>
                <w:szCs w:val="24"/>
              </w:rPr>
              <w:t>C. Protect from light.</w:t>
            </w:r>
          </w:p>
        </w:tc>
      </w:tr>
    </w:tbl>
    <w:p w14:paraId="449BB047" w14:textId="77777777" w:rsidR="00401703" w:rsidRPr="00C80455" w:rsidRDefault="00401703" w:rsidP="00C80455">
      <w:pPr>
        <w:pStyle w:val="Heading2"/>
        <w:spacing w:before="240" w:after="240"/>
      </w:pPr>
      <w:bookmarkStart w:id="84" w:name="_Toc179490346"/>
      <w:r w:rsidRPr="00C80455">
        <w:t>Antipsychotic medicines</w:t>
      </w:r>
      <w:bookmarkEnd w:id="84"/>
    </w:p>
    <w:p w14:paraId="23C66265" w14:textId="77777777" w:rsidR="00401703" w:rsidRDefault="00401703" w:rsidP="00401703">
      <w:pPr>
        <w:spacing w:after="0"/>
        <w:jc w:val="both"/>
        <w:rPr>
          <w:rFonts w:cs="Times New Roman"/>
          <w:bCs/>
          <w:szCs w:val="24"/>
        </w:rPr>
      </w:pPr>
      <w:r w:rsidRPr="00944B15">
        <w:rPr>
          <w:rFonts w:cs="Times New Roman"/>
          <w:bCs/>
          <w:szCs w:val="24"/>
        </w:rPr>
        <w:t>Medications used to manage psychotic disorders, such as schizophrenia, include chlorpromazine hydrochloride, clozapine, fluphenazine decanoate, haloperidol, risperidone, olanzapine, and quetiapine. These drugs belong to various classes, including typical antipsychotics like haloperidol and fluphenazine decanoate, and atypical antipsychotics like risperidone and olanzapine. They work by targeting neurotransmitter imbalances in the brain, particularly dopamine and serotonin, to alleviate symptoms such as hallucinations, delusions, and disorganized thinking. While effective, these medications may carry risks and side effects, including weight gain, sedation, and metabolic abnormalities.</w:t>
      </w:r>
    </w:p>
    <w:p w14:paraId="0CB984ED" w14:textId="77777777" w:rsidR="00401703" w:rsidRPr="00944B15" w:rsidRDefault="00401703" w:rsidP="00401703">
      <w:pPr>
        <w:spacing w:after="0"/>
        <w:jc w:val="both"/>
        <w:rPr>
          <w:rFonts w:cs="Times New Roman"/>
          <w:bCs/>
          <w:szCs w:val="24"/>
        </w:rPr>
      </w:pPr>
    </w:p>
    <w:tbl>
      <w:tblPr>
        <w:tblStyle w:val="TableGrid8"/>
        <w:tblW w:w="0" w:type="auto"/>
        <w:tblLook w:val="04A0" w:firstRow="1" w:lastRow="0" w:firstColumn="1" w:lastColumn="0" w:noHBand="0" w:noVBand="1"/>
      </w:tblPr>
      <w:tblGrid>
        <w:gridCol w:w="2695"/>
        <w:gridCol w:w="6321"/>
      </w:tblGrid>
      <w:tr w:rsidR="00401703" w:rsidRPr="00AD751C" w14:paraId="1482F15A" w14:textId="77777777" w:rsidTr="002D6DD7">
        <w:tc>
          <w:tcPr>
            <w:tcW w:w="9016" w:type="dxa"/>
            <w:gridSpan w:val="2"/>
          </w:tcPr>
          <w:p w14:paraId="442D2F78" w14:textId="77777777" w:rsidR="00401703" w:rsidRPr="00AD751C" w:rsidRDefault="00401703" w:rsidP="002D6DD7">
            <w:pPr>
              <w:jc w:val="both"/>
              <w:rPr>
                <w:rFonts w:cs="Times New Roman"/>
                <w:b/>
                <w:bCs/>
                <w:color w:val="000000" w:themeColor="text1"/>
                <w:szCs w:val="24"/>
              </w:rPr>
            </w:pPr>
            <w:r w:rsidRPr="00AD751C">
              <w:rPr>
                <w:rFonts w:cs="Times New Roman"/>
                <w:b/>
                <w:bCs/>
                <w:szCs w:val="24"/>
              </w:rPr>
              <w:t>Chlorpromazine hydrochloride</w:t>
            </w:r>
          </w:p>
        </w:tc>
      </w:tr>
      <w:tr w:rsidR="00401703" w:rsidRPr="00AD751C" w14:paraId="5248C5E6" w14:textId="77777777" w:rsidTr="002D6DD7">
        <w:tc>
          <w:tcPr>
            <w:tcW w:w="2695" w:type="dxa"/>
          </w:tcPr>
          <w:p w14:paraId="7E71CC9A" w14:textId="77777777" w:rsidR="00401703" w:rsidRPr="00AD751C" w:rsidRDefault="00401703" w:rsidP="002D6DD7">
            <w:pPr>
              <w:jc w:val="both"/>
              <w:rPr>
                <w:rFonts w:cs="Times New Roman"/>
                <w:color w:val="000000" w:themeColor="text1"/>
                <w:szCs w:val="24"/>
              </w:rPr>
            </w:pPr>
            <w:r w:rsidRPr="00AD751C">
              <w:rPr>
                <w:rFonts w:cs="Times New Roman"/>
                <w:szCs w:val="24"/>
              </w:rPr>
              <w:t>Pharmacological class</w:t>
            </w:r>
          </w:p>
        </w:tc>
        <w:tc>
          <w:tcPr>
            <w:tcW w:w="6321" w:type="dxa"/>
          </w:tcPr>
          <w:p w14:paraId="6EC33803" w14:textId="77777777" w:rsidR="00401703" w:rsidRPr="00AD751C" w:rsidRDefault="00401703" w:rsidP="002D6DD7">
            <w:pPr>
              <w:jc w:val="both"/>
              <w:rPr>
                <w:rFonts w:cs="Times New Roman"/>
                <w:color w:val="000000" w:themeColor="text1"/>
                <w:szCs w:val="24"/>
              </w:rPr>
            </w:pPr>
            <w:r w:rsidRPr="00AD751C">
              <w:rPr>
                <w:rFonts w:cs="Times New Roman"/>
                <w:szCs w:val="24"/>
              </w:rPr>
              <w:t>Antipsychotic</w:t>
            </w:r>
          </w:p>
        </w:tc>
      </w:tr>
      <w:tr w:rsidR="00401703" w:rsidRPr="00AD751C" w14:paraId="547D3190" w14:textId="77777777" w:rsidTr="002D6DD7">
        <w:tc>
          <w:tcPr>
            <w:tcW w:w="2695" w:type="dxa"/>
          </w:tcPr>
          <w:p w14:paraId="4CDCD74E" w14:textId="77777777" w:rsidR="00401703" w:rsidRPr="00AD751C" w:rsidRDefault="00401703" w:rsidP="002D6DD7">
            <w:pPr>
              <w:jc w:val="both"/>
              <w:rPr>
                <w:rFonts w:cs="Times New Roman"/>
                <w:color w:val="000000" w:themeColor="text1"/>
                <w:szCs w:val="24"/>
              </w:rPr>
            </w:pPr>
            <w:r w:rsidRPr="00AD751C">
              <w:rPr>
                <w:rFonts w:cs="Times New Roman"/>
                <w:szCs w:val="24"/>
              </w:rPr>
              <w:t>Dosage form</w:t>
            </w:r>
          </w:p>
        </w:tc>
        <w:tc>
          <w:tcPr>
            <w:tcW w:w="6321" w:type="dxa"/>
          </w:tcPr>
          <w:p w14:paraId="4F3CA181" w14:textId="77777777" w:rsidR="00401703" w:rsidRDefault="00401703" w:rsidP="002D6DD7">
            <w:pPr>
              <w:jc w:val="both"/>
              <w:rPr>
                <w:rFonts w:cs="Times New Roman"/>
                <w:szCs w:val="24"/>
              </w:rPr>
            </w:pPr>
            <w:r w:rsidRPr="00AD751C">
              <w:rPr>
                <w:rFonts w:cs="Times New Roman"/>
                <w:szCs w:val="24"/>
              </w:rPr>
              <w:t>Injection: 25mg/ml</w:t>
            </w:r>
          </w:p>
          <w:p w14:paraId="640CA75B" w14:textId="77777777" w:rsidR="00401703" w:rsidRPr="00AD751C" w:rsidRDefault="00401703" w:rsidP="002D6DD7">
            <w:pPr>
              <w:jc w:val="both"/>
              <w:rPr>
                <w:rFonts w:cs="Times New Roman"/>
                <w:color w:val="000000" w:themeColor="text1"/>
                <w:szCs w:val="24"/>
              </w:rPr>
            </w:pPr>
            <w:r w:rsidRPr="00AD751C">
              <w:rPr>
                <w:rFonts w:cs="Times New Roman"/>
                <w:szCs w:val="24"/>
              </w:rPr>
              <w:t>Tablet: 25mg, 50mg, 100mg</w:t>
            </w:r>
          </w:p>
        </w:tc>
      </w:tr>
      <w:tr w:rsidR="00401703" w:rsidRPr="00AD751C" w14:paraId="17D11D41" w14:textId="77777777" w:rsidTr="002D6DD7">
        <w:tc>
          <w:tcPr>
            <w:tcW w:w="2695" w:type="dxa"/>
          </w:tcPr>
          <w:p w14:paraId="61E3438B" w14:textId="77777777" w:rsidR="00401703" w:rsidRPr="00AD751C" w:rsidRDefault="00401703" w:rsidP="002D6DD7">
            <w:pPr>
              <w:jc w:val="both"/>
              <w:rPr>
                <w:rFonts w:cs="Times New Roman"/>
                <w:color w:val="000000" w:themeColor="text1"/>
                <w:szCs w:val="24"/>
              </w:rPr>
            </w:pPr>
            <w:r w:rsidRPr="00AD751C">
              <w:rPr>
                <w:rFonts w:cs="Times New Roman"/>
                <w:szCs w:val="24"/>
              </w:rPr>
              <w:t>Indications</w:t>
            </w:r>
          </w:p>
        </w:tc>
        <w:tc>
          <w:tcPr>
            <w:tcW w:w="6321" w:type="dxa"/>
          </w:tcPr>
          <w:p w14:paraId="66A30A5A" w14:textId="77777777" w:rsidR="00401703" w:rsidRPr="00AD751C" w:rsidRDefault="00401703" w:rsidP="002D6DD7">
            <w:pPr>
              <w:jc w:val="both"/>
              <w:rPr>
                <w:rFonts w:cs="Times New Roman"/>
                <w:color w:val="000000" w:themeColor="text1"/>
                <w:szCs w:val="24"/>
              </w:rPr>
            </w:pPr>
            <w:r>
              <w:rPr>
                <w:rFonts w:cs="Times New Roman"/>
                <w:szCs w:val="24"/>
              </w:rPr>
              <w:t>P</w:t>
            </w:r>
            <w:r w:rsidRPr="00AD751C">
              <w:rPr>
                <w:rFonts w:cs="Times New Roman"/>
                <w:szCs w:val="24"/>
              </w:rPr>
              <w:t>sychotic disorders and excessive anxiety</w:t>
            </w:r>
          </w:p>
        </w:tc>
      </w:tr>
      <w:tr w:rsidR="00401703" w:rsidRPr="00AD751C" w14:paraId="67DD3242" w14:textId="77777777" w:rsidTr="002D6DD7">
        <w:tc>
          <w:tcPr>
            <w:tcW w:w="2695" w:type="dxa"/>
          </w:tcPr>
          <w:p w14:paraId="4C5BF212" w14:textId="77777777" w:rsidR="00401703" w:rsidRPr="00AD751C" w:rsidRDefault="00401703" w:rsidP="002D6DD7">
            <w:pPr>
              <w:rPr>
                <w:rFonts w:cs="Times New Roman"/>
                <w:color w:val="000000" w:themeColor="text1"/>
                <w:szCs w:val="24"/>
              </w:rPr>
            </w:pPr>
            <w:r w:rsidRPr="00AD751C">
              <w:rPr>
                <w:rFonts w:cs="Times New Roman"/>
                <w:szCs w:val="24"/>
              </w:rPr>
              <w:t>Dose and Administration</w:t>
            </w:r>
          </w:p>
        </w:tc>
        <w:tc>
          <w:tcPr>
            <w:tcW w:w="6321" w:type="dxa"/>
          </w:tcPr>
          <w:p w14:paraId="7E6283DD" w14:textId="77777777" w:rsidR="00401703" w:rsidRDefault="00401703" w:rsidP="002D6DD7">
            <w:pPr>
              <w:jc w:val="both"/>
              <w:rPr>
                <w:rFonts w:cs="Times New Roman"/>
                <w:b/>
                <w:bCs/>
                <w:szCs w:val="24"/>
              </w:rPr>
            </w:pPr>
            <w:r w:rsidRPr="00AD751C">
              <w:rPr>
                <w:rFonts w:cs="Times New Roman"/>
                <w:b/>
                <w:bCs/>
                <w:szCs w:val="24"/>
              </w:rPr>
              <w:t xml:space="preserve">Adult: </w:t>
            </w:r>
          </w:p>
          <w:p w14:paraId="2469A1A2" w14:textId="77777777" w:rsidR="00401703" w:rsidRDefault="00401703" w:rsidP="002D6DD7">
            <w:pPr>
              <w:jc w:val="both"/>
              <w:rPr>
                <w:rFonts w:cs="Times New Roman"/>
                <w:szCs w:val="24"/>
              </w:rPr>
            </w:pPr>
            <w:r w:rsidRPr="00C80455">
              <w:rPr>
                <w:rFonts w:cs="Times New Roman"/>
                <w:bCs/>
                <w:szCs w:val="24"/>
              </w:rPr>
              <w:t>Oral</w:t>
            </w:r>
            <w:r w:rsidRPr="00AD751C">
              <w:rPr>
                <w:rFonts w:cs="Times New Roman"/>
                <w:b/>
                <w:bCs/>
                <w:szCs w:val="24"/>
              </w:rPr>
              <w:t xml:space="preserve">: </w:t>
            </w:r>
            <w:r w:rsidRPr="00AD751C">
              <w:rPr>
                <w:rFonts w:cs="Times New Roman"/>
                <w:szCs w:val="24"/>
              </w:rPr>
              <w:t>Initially 25-200 mg (base) 2-4 times/day, increased by 20-50 mg/day. Max</w:t>
            </w:r>
            <w:r>
              <w:rPr>
                <w:rFonts w:cs="Times New Roman"/>
                <w:szCs w:val="24"/>
              </w:rPr>
              <w:t>imum</w:t>
            </w:r>
            <w:r w:rsidRPr="00AD751C">
              <w:rPr>
                <w:rFonts w:cs="Times New Roman"/>
                <w:szCs w:val="24"/>
              </w:rPr>
              <w:t xml:space="preserve">: 1000 mg/day. </w:t>
            </w:r>
          </w:p>
          <w:p w14:paraId="036A9082" w14:textId="77777777" w:rsidR="00401703" w:rsidRDefault="00401703" w:rsidP="002D6DD7">
            <w:pPr>
              <w:jc w:val="both"/>
              <w:rPr>
                <w:rFonts w:cs="Times New Roman"/>
                <w:szCs w:val="24"/>
              </w:rPr>
            </w:pPr>
            <w:r w:rsidRPr="00C80455">
              <w:rPr>
                <w:rFonts w:cs="Times New Roman"/>
                <w:bCs/>
                <w:szCs w:val="24"/>
              </w:rPr>
              <w:t>IM</w:t>
            </w:r>
            <w:r w:rsidRPr="00C80455">
              <w:rPr>
                <w:rFonts w:cs="Times New Roman"/>
                <w:szCs w:val="24"/>
              </w:rPr>
              <w:t>:</w:t>
            </w:r>
            <w:r w:rsidRPr="00AD751C">
              <w:rPr>
                <w:rFonts w:cs="Times New Roman"/>
                <w:szCs w:val="24"/>
              </w:rPr>
              <w:t xml:space="preserve"> (severe) 25-50 mg (base), repeated in 1 hour if needed, then every 3-12 hours. Dosage may be gradually increased. </w:t>
            </w:r>
          </w:p>
          <w:p w14:paraId="2A3677BC" w14:textId="77777777" w:rsidR="00401703" w:rsidRDefault="00401703" w:rsidP="002D6DD7">
            <w:pPr>
              <w:jc w:val="both"/>
              <w:rPr>
                <w:rFonts w:cs="Times New Roman"/>
                <w:b/>
                <w:bCs/>
                <w:szCs w:val="24"/>
              </w:rPr>
            </w:pPr>
            <w:r w:rsidRPr="00AD751C">
              <w:rPr>
                <w:rFonts w:cs="Times New Roman"/>
                <w:b/>
                <w:bCs/>
                <w:szCs w:val="24"/>
              </w:rPr>
              <w:t>Child (</w:t>
            </w:r>
            <w:r>
              <w:rPr>
                <w:rFonts w:cs="Times New Roman"/>
                <w:b/>
                <w:bCs/>
                <w:szCs w:val="24"/>
              </w:rPr>
              <w:t>&gt;</w:t>
            </w:r>
            <w:r w:rsidRPr="00AD751C">
              <w:rPr>
                <w:rFonts w:cs="Times New Roman"/>
                <w:b/>
                <w:bCs/>
                <w:szCs w:val="24"/>
              </w:rPr>
              <w:t>6 years)</w:t>
            </w:r>
            <w:r>
              <w:rPr>
                <w:rFonts w:cs="Times New Roman"/>
                <w:b/>
                <w:bCs/>
                <w:szCs w:val="24"/>
              </w:rPr>
              <w:t xml:space="preserve">, </w:t>
            </w:r>
          </w:p>
          <w:p w14:paraId="069C3D18" w14:textId="77777777" w:rsidR="00401703" w:rsidRDefault="00401703" w:rsidP="002D6DD7">
            <w:pPr>
              <w:jc w:val="both"/>
              <w:rPr>
                <w:rFonts w:cs="Times New Roman"/>
                <w:szCs w:val="24"/>
              </w:rPr>
            </w:pPr>
            <w:r w:rsidRPr="00C80455">
              <w:rPr>
                <w:rFonts w:cs="Times New Roman"/>
                <w:bCs/>
                <w:szCs w:val="24"/>
              </w:rPr>
              <w:t>Oral:</w:t>
            </w:r>
            <w:r w:rsidRPr="00AD751C">
              <w:rPr>
                <w:rFonts w:cs="Times New Roman"/>
                <w:szCs w:val="24"/>
              </w:rPr>
              <w:t xml:space="preserve"> 0.5 mg/kg every 4-6 hours</w:t>
            </w:r>
          </w:p>
          <w:p w14:paraId="32E0745F" w14:textId="77777777" w:rsidR="00401703" w:rsidRPr="00AD751C" w:rsidRDefault="00401703" w:rsidP="002D6DD7">
            <w:pPr>
              <w:jc w:val="both"/>
              <w:rPr>
                <w:rFonts w:cs="Times New Roman"/>
                <w:color w:val="000000" w:themeColor="text1"/>
                <w:szCs w:val="24"/>
              </w:rPr>
            </w:pPr>
            <w:r w:rsidRPr="00C80455">
              <w:rPr>
                <w:rFonts w:cs="Times New Roman"/>
                <w:bCs/>
                <w:szCs w:val="24"/>
              </w:rPr>
              <w:t>IM:</w:t>
            </w:r>
            <w:r w:rsidRPr="00AD751C">
              <w:rPr>
                <w:rFonts w:cs="Times New Roman"/>
                <w:szCs w:val="24"/>
              </w:rPr>
              <w:t xml:space="preserve"> 0.55 mg/kg before surgery</w:t>
            </w:r>
          </w:p>
        </w:tc>
      </w:tr>
      <w:tr w:rsidR="00401703" w:rsidRPr="00AD751C" w14:paraId="1F11D976" w14:textId="77777777" w:rsidTr="002D6DD7">
        <w:tc>
          <w:tcPr>
            <w:tcW w:w="2695" w:type="dxa"/>
          </w:tcPr>
          <w:p w14:paraId="2BDDEE56" w14:textId="77777777" w:rsidR="00401703" w:rsidRPr="00AD751C" w:rsidRDefault="00401703" w:rsidP="002D6DD7">
            <w:pPr>
              <w:jc w:val="both"/>
              <w:rPr>
                <w:rFonts w:cs="Times New Roman"/>
                <w:color w:val="000000" w:themeColor="text1"/>
                <w:szCs w:val="24"/>
              </w:rPr>
            </w:pPr>
            <w:r w:rsidRPr="00AD751C">
              <w:rPr>
                <w:rFonts w:cs="Times New Roman"/>
                <w:szCs w:val="24"/>
              </w:rPr>
              <w:t>Contraindications</w:t>
            </w:r>
          </w:p>
        </w:tc>
        <w:tc>
          <w:tcPr>
            <w:tcW w:w="6321" w:type="dxa"/>
          </w:tcPr>
          <w:p w14:paraId="7C0D2358" w14:textId="77777777" w:rsidR="00401703" w:rsidRPr="00AD751C" w:rsidRDefault="00401703" w:rsidP="002D6DD7">
            <w:pPr>
              <w:jc w:val="both"/>
              <w:rPr>
                <w:rFonts w:cs="Times New Roman"/>
                <w:color w:val="000000"/>
                <w:szCs w:val="24"/>
              </w:rPr>
            </w:pPr>
            <w:r>
              <w:rPr>
                <w:rFonts w:cs="Times New Roman"/>
                <w:szCs w:val="24"/>
              </w:rPr>
              <w:t>H</w:t>
            </w:r>
            <w:r w:rsidRPr="00AD751C">
              <w:rPr>
                <w:rFonts w:cs="Times New Roman"/>
                <w:szCs w:val="24"/>
              </w:rPr>
              <w:t xml:space="preserve">ypersensitivity </w:t>
            </w:r>
            <w:r>
              <w:rPr>
                <w:rFonts w:cs="Times New Roman"/>
                <w:szCs w:val="24"/>
              </w:rPr>
              <w:t>to the drug, s</w:t>
            </w:r>
            <w:r w:rsidRPr="00AD751C">
              <w:rPr>
                <w:rFonts w:cs="Times New Roman"/>
                <w:szCs w:val="24"/>
              </w:rPr>
              <w:t xml:space="preserve">evere liver and cardiovascular </w:t>
            </w:r>
            <w:r w:rsidRPr="00AD751C">
              <w:rPr>
                <w:rFonts w:cs="Times New Roman"/>
                <w:szCs w:val="24"/>
              </w:rPr>
              <w:lastRenderedPageBreak/>
              <w:t>disease, severe</w:t>
            </w:r>
            <w:r>
              <w:rPr>
                <w:rFonts w:cs="Times New Roman"/>
                <w:szCs w:val="24"/>
              </w:rPr>
              <w:t xml:space="preserve"> </w:t>
            </w:r>
            <w:r w:rsidRPr="00AD751C">
              <w:rPr>
                <w:rFonts w:cs="Times New Roman"/>
                <w:szCs w:val="24"/>
              </w:rPr>
              <w:t>CNS depression, comatose states, pheochromocytoma, breast feeding</w:t>
            </w:r>
            <w:r>
              <w:rPr>
                <w:rFonts w:cs="Times New Roman"/>
                <w:szCs w:val="24"/>
              </w:rPr>
              <w:t xml:space="preserve">, </w:t>
            </w:r>
            <w:r w:rsidRPr="00AD751C">
              <w:rPr>
                <w:rFonts w:cs="Times New Roman"/>
                <w:szCs w:val="24"/>
              </w:rPr>
              <w:t>narrow angle</w:t>
            </w:r>
            <w:r>
              <w:rPr>
                <w:rFonts w:cs="Times New Roman"/>
                <w:szCs w:val="24"/>
              </w:rPr>
              <w:t xml:space="preserve"> </w:t>
            </w:r>
            <w:r w:rsidRPr="00AD751C">
              <w:rPr>
                <w:rFonts w:cs="Times New Roman"/>
                <w:szCs w:val="24"/>
              </w:rPr>
              <w:t>glaucoma, bone marrow</w:t>
            </w:r>
            <w:r>
              <w:rPr>
                <w:rFonts w:cs="Times New Roman"/>
                <w:szCs w:val="24"/>
              </w:rPr>
              <w:t xml:space="preserve"> </w:t>
            </w:r>
            <w:r w:rsidRPr="00AD751C">
              <w:rPr>
                <w:rFonts w:cs="Times New Roman"/>
                <w:szCs w:val="24"/>
              </w:rPr>
              <w:t>suppression</w:t>
            </w:r>
          </w:p>
        </w:tc>
      </w:tr>
      <w:tr w:rsidR="00401703" w:rsidRPr="00AD751C" w14:paraId="2BD7CA5B" w14:textId="77777777" w:rsidTr="002D6DD7">
        <w:tc>
          <w:tcPr>
            <w:tcW w:w="2695" w:type="dxa"/>
          </w:tcPr>
          <w:p w14:paraId="0AD04C54" w14:textId="77777777" w:rsidR="00401703" w:rsidRPr="00AD751C" w:rsidRDefault="00401703" w:rsidP="002D6DD7">
            <w:pPr>
              <w:jc w:val="both"/>
              <w:rPr>
                <w:rFonts w:cs="Times New Roman"/>
                <w:color w:val="000000" w:themeColor="text1"/>
                <w:szCs w:val="24"/>
              </w:rPr>
            </w:pPr>
            <w:r w:rsidRPr="00AD751C">
              <w:rPr>
                <w:rFonts w:cs="Times New Roman"/>
                <w:szCs w:val="24"/>
              </w:rPr>
              <w:lastRenderedPageBreak/>
              <w:t>Drug interactions</w:t>
            </w:r>
          </w:p>
        </w:tc>
        <w:tc>
          <w:tcPr>
            <w:tcW w:w="6321" w:type="dxa"/>
          </w:tcPr>
          <w:p w14:paraId="740CD86D" w14:textId="77777777" w:rsidR="00401703" w:rsidRPr="00AD751C" w:rsidRDefault="00401703" w:rsidP="002D6DD7">
            <w:pPr>
              <w:jc w:val="both"/>
              <w:rPr>
                <w:rFonts w:cs="Times New Roman"/>
                <w:b/>
                <w:bCs/>
                <w:szCs w:val="24"/>
              </w:rPr>
            </w:pPr>
            <w:r w:rsidRPr="00AD751C">
              <w:rPr>
                <w:rFonts w:cs="Times New Roman"/>
                <w:szCs w:val="24"/>
              </w:rPr>
              <w:t>Alcohol, CNS depressants, tricyclic antidepressants, antithyroid agents, epinephrine, extrapyramidal reaction, hypotension producing medication, levodopa, lithium, metrizamide, amphetamines, anticonvulsants.</w:t>
            </w:r>
          </w:p>
        </w:tc>
      </w:tr>
      <w:tr w:rsidR="00401703" w:rsidRPr="00AD751C" w14:paraId="5CB3692B" w14:textId="77777777" w:rsidTr="002D6DD7">
        <w:tc>
          <w:tcPr>
            <w:tcW w:w="2695" w:type="dxa"/>
          </w:tcPr>
          <w:p w14:paraId="107AC92C" w14:textId="77777777" w:rsidR="00401703" w:rsidRPr="00AD751C" w:rsidRDefault="00401703" w:rsidP="002D6DD7">
            <w:pPr>
              <w:jc w:val="both"/>
              <w:rPr>
                <w:rFonts w:cs="Times New Roman"/>
                <w:color w:val="000000" w:themeColor="text1"/>
                <w:szCs w:val="24"/>
              </w:rPr>
            </w:pPr>
            <w:r w:rsidRPr="00AD751C">
              <w:rPr>
                <w:rFonts w:cs="Times New Roman"/>
                <w:szCs w:val="24"/>
              </w:rPr>
              <w:t>Side effects</w:t>
            </w:r>
          </w:p>
        </w:tc>
        <w:tc>
          <w:tcPr>
            <w:tcW w:w="6321" w:type="dxa"/>
          </w:tcPr>
          <w:p w14:paraId="518454BB" w14:textId="77777777" w:rsidR="00401703" w:rsidRPr="00AD751C" w:rsidRDefault="00401703" w:rsidP="002D6DD7">
            <w:pPr>
              <w:jc w:val="both"/>
              <w:rPr>
                <w:rFonts w:cs="Times New Roman"/>
                <w:szCs w:val="24"/>
              </w:rPr>
            </w:pPr>
            <w:r w:rsidRPr="00AD751C">
              <w:rPr>
                <w:rFonts w:cs="Times New Roman"/>
                <w:szCs w:val="24"/>
              </w:rPr>
              <w:t>Akathisia, blurred vision, dry oral, tachycardia, urinary retention, increased appetite, weight gain, extrapyramidal effects, pigmentary retinopathy</w:t>
            </w:r>
            <w:r>
              <w:rPr>
                <w:rFonts w:cs="Times New Roman"/>
                <w:szCs w:val="24"/>
              </w:rPr>
              <w:t xml:space="preserve">, </w:t>
            </w:r>
            <w:r w:rsidRPr="00AD751C">
              <w:rPr>
                <w:rFonts w:cs="Times New Roman"/>
                <w:szCs w:val="24"/>
              </w:rPr>
              <w:t>hyperprolactinemia, neuroleptic malignant syndrome</w:t>
            </w:r>
          </w:p>
        </w:tc>
      </w:tr>
      <w:tr w:rsidR="00401703" w:rsidRPr="00AD751C" w14:paraId="3D496D11" w14:textId="77777777" w:rsidTr="002D6DD7">
        <w:tc>
          <w:tcPr>
            <w:tcW w:w="2695" w:type="dxa"/>
          </w:tcPr>
          <w:p w14:paraId="69D66B4A" w14:textId="77777777" w:rsidR="00401703" w:rsidRPr="00AD751C" w:rsidRDefault="00401703" w:rsidP="002D6DD7">
            <w:pPr>
              <w:jc w:val="both"/>
              <w:rPr>
                <w:rFonts w:cs="Times New Roman"/>
                <w:color w:val="000000" w:themeColor="text1"/>
                <w:szCs w:val="24"/>
              </w:rPr>
            </w:pPr>
            <w:r w:rsidRPr="00AD751C">
              <w:rPr>
                <w:rFonts w:cs="Times New Roman"/>
                <w:szCs w:val="24"/>
              </w:rPr>
              <w:t>Cautions</w:t>
            </w:r>
          </w:p>
        </w:tc>
        <w:tc>
          <w:tcPr>
            <w:tcW w:w="6321" w:type="dxa"/>
          </w:tcPr>
          <w:p w14:paraId="61DED976" w14:textId="77777777" w:rsidR="00401703" w:rsidRPr="00AD751C" w:rsidRDefault="00401703" w:rsidP="002D6DD7">
            <w:pPr>
              <w:jc w:val="both"/>
              <w:rPr>
                <w:rFonts w:cs="Times New Roman"/>
                <w:szCs w:val="24"/>
              </w:rPr>
            </w:pPr>
            <w:r w:rsidRPr="00AD751C">
              <w:rPr>
                <w:rFonts w:cs="Times New Roman"/>
                <w:szCs w:val="24"/>
              </w:rPr>
              <w:t>Cardiovascular and cerebrovascular disease, respiratory disease, parkinsonism, epilepsy, acute infection, renal and hepatic impairment, history of jaundice, leukopenia, hypothyroidism, myasthenia gravis, prostatic hypertrophy, closed-angle glaucoma</w:t>
            </w:r>
            <w:r>
              <w:rPr>
                <w:rFonts w:cs="Times New Roman"/>
                <w:szCs w:val="24"/>
              </w:rPr>
              <w:t xml:space="preserve">, </w:t>
            </w:r>
            <w:r w:rsidRPr="00AD751C">
              <w:rPr>
                <w:rFonts w:cs="Times New Roman"/>
                <w:szCs w:val="24"/>
              </w:rPr>
              <w:t>elderly</w:t>
            </w:r>
            <w:r>
              <w:rPr>
                <w:rFonts w:cs="Times New Roman"/>
                <w:szCs w:val="24"/>
              </w:rPr>
              <w:t xml:space="preserve">, </w:t>
            </w:r>
            <w:r w:rsidRPr="00AD751C">
              <w:rPr>
                <w:rFonts w:cs="Times New Roman"/>
                <w:szCs w:val="24"/>
              </w:rPr>
              <w:t>abrupt withdrawal</w:t>
            </w:r>
            <w:r>
              <w:rPr>
                <w:rFonts w:cs="Times New Roman"/>
                <w:szCs w:val="24"/>
              </w:rPr>
              <w:t>, s</w:t>
            </w:r>
            <w:r w:rsidRPr="00AD751C">
              <w:rPr>
                <w:rFonts w:cs="Times New Roman"/>
                <w:szCs w:val="24"/>
              </w:rPr>
              <w:t>kin contact</w:t>
            </w:r>
            <w:r>
              <w:rPr>
                <w:rFonts w:cs="Times New Roman"/>
                <w:szCs w:val="24"/>
              </w:rPr>
              <w:t xml:space="preserve">, </w:t>
            </w:r>
            <w:r w:rsidRPr="00AD751C">
              <w:rPr>
                <w:rFonts w:cs="Times New Roman"/>
                <w:szCs w:val="24"/>
              </w:rPr>
              <w:t>driving</w:t>
            </w:r>
            <w:r>
              <w:rPr>
                <w:rFonts w:cs="Times New Roman"/>
                <w:szCs w:val="24"/>
              </w:rPr>
              <w:t xml:space="preserve">, </w:t>
            </w:r>
            <w:r w:rsidRPr="00AD751C">
              <w:rPr>
                <w:rFonts w:cs="Times New Roman"/>
                <w:szCs w:val="24"/>
              </w:rPr>
              <w:t>operating machinery. pregnancy, breastfeeding</w:t>
            </w:r>
          </w:p>
        </w:tc>
      </w:tr>
      <w:tr w:rsidR="00401703" w:rsidRPr="00AD751C" w14:paraId="361CB1B4" w14:textId="77777777" w:rsidTr="002D6DD7">
        <w:tc>
          <w:tcPr>
            <w:tcW w:w="2695" w:type="dxa"/>
          </w:tcPr>
          <w:p w14:paraId="44E9FFEA" w14:textId="77777777" w:rsidR="00401703" w:rsidRPr="00AD751C" w:rsidRDefault="00401703" w:rsidP="002D6DD7">
            <w:pPr>
              <w:jc w:val="both"/>
              <w:rPr>
                <w:rFonts w:cs="Times New Roman"/>
                <w:color w:val="000000" w:themeColor="text1"/>
                <w:szCs w:val="24"/>
              </w:rPr>
            </w:pPr>
            <w:r w:rsidRPr="00AD751C">
              <w:rPr>
                <w:rFonts w:cs="Times New Roman"/>
                <w:szCs w:val="24"/>
              </w:rPr>
              <w:t>Storage condition</w:t>
            </w:r>
          </w:p>
        </w:tc>
        <w:tc>
          <w:tcPr>
            <w:tcW w:w="6321" w:type="dxa"/>
          </w:tcPr>
          <w:p w14:paraId="600B8C92" w14:textId="77777777" w:rsidR="00401703" w:rsidRPr="00AD751C" w:rsidRDefault="00401703" w:rsidP="002D6DD7">
            <w:pPr>
              <w:jc w:val="both"/>
              <w:rPr>
                <w:rFonts w:cs="Times New Roman"/>
                <w:color w:val="000000" w:themeColor="text1"/>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r w:rsidR="00401703" w:rsidRPr="00AD751C" w14:paraId="3EC71E96" w14:textId="77777777" w:rsidTr="002D6DD7">
        <w:tc>
          <w:tcPr>
            <w:tcW w:w="2695" w:type="dxa"/>
          </w:tcPr>
          <w:p w14:paraId="05DA191E" w14:textId="77777777" w:rsidR="00401703" w:rsidRPr="00AD751C" w:rsidRDefault="00401703" w:rsidP="002D6DD7">
            <w:pPr>
              <w:jc w:val="both"/>
              <w:rPr>
                <w:rFonts w:cs="Times New Roman"/>
                <w:b/>
                <w:bCs/>
                <w:szCs w:val="24"/>
              </w:rPr>
            </w:pPr>
            <w:r w:rsidRPr="00AD751C">
              <w:rPr>
                <w:rFonts w:cs="Times New Roman"/>
                <w:b/>
                <w:bCs/>
                <w:szCs w:val="24"/>
              </w:rPr>
              <w:t>Clozapine</w:t>
            </w:r>
          </w:p>
        </w:tc>
        <w:tc>
          <w:tcPr>
            <w:tcW w:w="6321" w:type="dxa"/>
          </w:tcPr>
          <w:p w14:paraId="1B023565" w14:textId="77777777" w:rsidR="00401703" w:rsidRPr="00AD751C" w:rsidRDefault="00401703" w:rsidP="002D6DD7">
            <w:pPr>
              <w:jc w:val="both"/>
              <w:rPr>
                <w:rFonts w:cs="Times New Roman"/>
                <w:szCs w:val="24"/>
              </w:rPr>
            </w:pPr>
          </w:p>
        </w:tc>
      </w:tr>
      <w:tr w:rsidR="00401703" w:rsidRPr="00AD751C" w14:paraId="7D1E4B83" w14:textId="77777777" w:rsidTr="002D6DD7">
        <w:tc>
          <w:tcPr>
            <w:tcW w:w="2695" w:type="dxa"/>
          </w:tcPr>
          <w:p w14:paraId="77ED317D" w14:textId="77777777" w:rsidR="00401703" w:rsidRPr="00AD751C" w:rsidRDefault="00401703" w:rsidP="002D6DD7">
            <w:pPr>
              <w:jc w:val="both"/>
              <w:rPr>
                <w:rFonts w:cs="Times New Roman"/>
                <w:szCs w:val="24"/>
              </w:rPr>
            </w:pPr>
            <w:r w:rsidRPr="00AD751C">
              <w:rPr>
                <w:rFonts w:cs="Times New Roman"/>
                <w:szCs w:val="24"/>
              </w:rPr>
              <w:t>Pharmacological class</w:t>
            </w:r>
          </w:p>
        </w:tc>
        <w:tc>
          <w:tcPr>
            <w:tcW w:w="6321" w:type="dxa"/>
          </w:tcPr>
          <w:p w14:paraId="61906FCF" w14:textId="77777777" w:rsidR="00401703" w:rsidRPr="00AD751C" w:rsidRDefault="00401703" w:rsidP="002D6DD7">
            <w:pPr>
              <w:jc w:val="both"/>
              <w:rPr>
                <w:rFonts w:cs="Times New Roman"/>
                <w:szCs w:val="24"/>
              </w:rPr>
            </w:pPr>
            <w:r w:rsidRPr="00AD751C">
              <w:rPr>
                <w:rFonts w:cs="Times New Roman"/>
                <w:szCs w:val="24"/>
              </w:rPr>
              <w:t>Antipsychotic</w:t>
            </w:r>
          </w:p>
        </w:tc>
      </w:tr>
      <w:tr w:rsidR="00401703" w:rsidRPr="00AD751C" w14:paraId="767A4A79" w14:textId="77777777" w:rsidTr="002D6DD7">
        <w:tc>
          <w:tcPr>
            <w:tcW w:w="2695" w:type="dxa"/>
          </w:tcPr>
          <w:p w14:paraId="0E43CF56" w14:textId="77777777" w:rsidR="00401703" w:rsidRPr="00AD751C" w:rsidRDefault="00401703" w:rsidP="002D6DD7">
            <w:pPr>
              <w:jc w:val="both"/>
              <w:rPr>
                <w:rFonts w:cs="Times New Roman"/>
                <w:szCs w:val="24"/>
              </w:rPr>
            </w:pPr>
            <w:r w:rsidRPr="00AD751C">
              <w:rPr>
                <w:rFonts w:cs="Times New Roman"/>
                <w:szCs w:val="24"/>
              </w:rPr>
              <w:t>Dosage form</w:t>
            </w:r>
          </w:p>
        </w:tc>
        <w:tc>
          <w:tcPr>
            <w:tcW w:w="6321" w:type="dxa"/>
          </w:tcPr>
          <w:p w14:paraId="5A75DBB3" w14:textId="77777777" w:rsidR="00401703" w:rsidRPr="00AD751C" w:rsidRDefault="00401703" w:rsidP="002D6DD7">
            <w:pPr>
              <w:jc w:val="both"/>
              <w:rPr>
                <w:rFonts w:cs="Times New Roman"/>
                <w:szCs w:val="24"/>
              </w:rPr>
            </w:pPr>
            <w:r w:rsidRPr="00AD751C">
              <w:rPr>
                <w:rFonts w:cs="Times New Roman"/>
                <w:szCs w:val="24"/>
              </w:rPr>
              <w:t>Tablet: 25mg, 50mg, 100mg</w:t>
            </w:r>
          </w:p>
        </w:tc>
      </w:tr>
      <w:tr w:rsidR="00401703" w:rsidRPr="00AD751C" w14:paraId="6873CE58" w14:textId="77777777" w:rsidTr="002D6DD7">
        <w:tc>
          <w:tcPr>
            <w:tcW w:w="2695" w:type="dxa"/>
          </w:tcPr>
          <w:p w14:paraId="4C880C1A" w14:textId="77777777" w:rsidR="00401703" w:rsidRPr="00AD751C" w:rsidRDefault="00401703" w:rsidP="002D6DD7">
            <w:pPr>
              <w:jc w:val="both"/>
              <w:rPr>
                <w:rFonts w:cs="Times New Roman"/>
                <w:szCs w:val="24"/>
              </w:rPr>
            </w:pPr>
            <w:r w:rsidRPr="00AD751C">
              <w:rPr>
                <w:rFonts w:cs="Times New Roman"/>
                <w:szCs w:val="24"/>
              </w:rPr>
              <w:t>Indications</w:t>
            </w:r>
          </w:p>
        </w:tc>
        <w:tc>
          <w:tcPr>
            <w:tcW w:w="6321" w:type="dxa"/>
          </w:tcPr>
          <w:p w14:paraId="1A451CEF" w14:textId="77777777" w:rsidR="00401703" w:rsidRPr="00AD751C" w:rsidRDefault="00401703" w:rsidP="002D6DD7">
            <w:pPr>
              <w:jc w:val="both"/>
              <w:rPr>
                <w:rFonts w:cs="Times New Roman"/>
                <w:szCs w:val="24"/>
              </w:rPr>
            </w:pPr>
            <w:r w:rsidRPr="00AD751C">
              <w:rPr>
                <w:rFonts w:cs="Times New Roman"/>
                <w:szCs w:val="24"/>
              </w:rPr>
              <w:t>Schizophrenia in patients unresponsive to or intolerant of conventional antipsychotic medicine</w:t>
            </w:r>
          </w:p>
        </w:tc>
      </w:tr>
      <w:tr w:rsidR="00401703" w:rsidRPr="00AD751C" w14:paraId="582C766A" w14:textId="77777777" w:rsidTr="002D6DD7">
        <w:tc>
          <w:tcPr>
            <w:tcW w:w="2695" w:type="dxa"/>
          </w:tcPr>
          <w:p w14:paraId="3DBFF7C9" w14:textId="77777777" w:rsidR="00401703" w:rsidRPr="00AD751C" w:rsidRDefault="00401703" w:rsidP="002D6DD7">
            <w:pPr>
              <w:jc w:val="both"/>
              <w:rPr>
                <w:rFonts w:cs="Times New Roman"/>
                <w:szCs w:val="24"/>
              </w:rPr>
            </w:pPr>
            <w:r w:rsidRPr="00AD751C">
              <w:rPr>
                <w:rFonts w:cs="Times New Roman"/>
                <w:szCs w:val="24"/>
              </w:rPr>
              <w:t>Dose and Administration</w:t>
            </w:r>
          </w:p>
        </w:tc>
        <w:tc>
          <w:tcPr>
            <w:tcW w:w="6321" w:type="dxa"/>
          </w:tcPr>
          <w:p w14:paraId="0891B07E" w14:textId="77777777" w:rsidR="00401703" w:rsidRPr="00AD751C" w:rsidRDefault="00401703" w:rsidP="002D6DD7">
            <w:pPr>
              <w:jc w:val="both"/>
              <w:rPr>
                <w:rFonts w:cs="Times New Roman"/>
                <w:szCs w:val="24"/>
              </w:rPr>
            </w:pPr>
            <w:r w:rsidRPr="00AD751C">
              <w:rPr>
                <w:rFonts w:cs="Times New Roman"/>
                <w:b/>
                <w:bCs/>
                <w:szCs w:val="24"/>
              </w:rPr>
              <w:t>Adult:</w:t>
            </w:r>
            <w:r w:rsidRPr="00AD751C">
              <w:rPr>
                <w:rFonts w:cs="Times New Roman"/>
                <w:szCs w:val="24"/>
              </w:rPr>
              <w:t xml:space="preserve"> Initially 12.5 to 25 mg daily, gradually increased in 25 to 50 mg increments to achieve therapeutic doses in 2 to 3 weeks. Usual range is 200 to 450 mg/day in divided doses</w:t>
            </w:r>
            <w:r>
              <w:rPr>
                <w:rFonts w:cs="Times New Roman"/>
                <w:szCs w:val="24"/>
              </w:rPr>
              <w:t>,</w:t>
            </w:r>
            <w:r w:rsidRPr="00AD751C">
              <w:rPr>
                <w:rFonts w:cs="Times New Roman"/>
                <w:szCs w:val="24"/>
              </w:rPr>
              <w:t xml:space="preserve"> up to 600 mg/day may be required. Maximum 900 mg/day</w:t>
            </w:r>
          </w:p>
        </w:tc>
      </w:tr>
      <w:tr w:rsidR="00401703" w:rsidRPr="00AD751C" w14:paraId="1DDFCDB4" w14:textId="77777777" w:rsidTr="002D6DD7">
        <w:tc>
          <w:tcPr>
            <w:tcW w:w="2695" w:type="dxa"/>
          </w:tcPr>
          <w:p w14:paraId="3CC79387" w14:textId="77777777" w:rsidR="00401703" w:rsidRPr="00AD751C" w:rsidRDefault="00401703" w:rsidP="002D6DD7">
            <w:pPr>
              <w:jc w:val="both"/>
              <w:rPr>
                <w:rFonts w:cs="Times New Roman"/>
                <w:szCs w:val="24"/>
              </w:rPr>
            </w:pPr>
            <w:r w:rsidRPr="00AD751C">
              <w:rPr>
                <w:rFonts w:cs="Times New Roman"/>
                <w:szCs w:val="24"/>
              </w:rPr>
              <w:t>Contraindications</w:t>
            </w:r>
          </w:p>
        </w:tc>
        <w:tc>
          <w:tcPr>
            <w:tcW w:w="6321" w:type="dxa"/>
          </w:tcPr>
          <w:p w14:paraId="4F7385C6" w14:textId="77777777" w:rsidR="00401703" w:rsidRPr="00AD751C" w:rsidRDefault="00401703" w:rsidP="002D6DD7">
            <w:pPr>
              <w:jc w:val="both"/>
              <w:rPr>
                <w:rFonts w:cs="Times New Roman"/>
                <w:szCs w:val="24"/>
              </w:rPr>
            </w:pPr>
            <w:r w:rsidRPr="00AD751C">
              <w:rPr>
                <w:rFonts w:cs="Times New Roman"/>
                <w:szCs w:val="24"/>
              </w:rPr>
              <w:t xml:space="preserve">History of drug-induced agranulocytosis, bone marrow disorders, severe liver, renal, or cardiac disease, toxic or alcoholic psychoses, uncontrolled epilepsy </w:t>
            </w:r>
          </w:p>
        </w:tc>
      </w:tr>
      <w:tr w:rsidR="00401703" w:rsidRPr="00AD751C" w14:paraId="7CA36CE9" w14:textId="77777777" w:rsidTr="002D6DD7">
        <w:tc>
          <w:tcPr>
            <w:tcW w:w="2695" w:type="dxa"/>
          </w:tcPr>
          <w:p w14:paraId="2DE344E3" w14:textId="77777777" w:rsidR="00401703" w:rsidRPr="00AD751C" w:rsidRDefault="00401703" w:rsidP="002D6DD7">
            <w:pPr>
              <w:jc w:val="both"/>
              <w:rPr>
                <w:rFonts w:cs="Times New Roman"/>
                <w:szCs w:val="24"/>
              </w:rPr>
            </w:pPr>
            <w:r w:rsidRPr="00AD751C">
              <w:rPr>
                <w:rFonts w:cs="Times New Roman"/>
                <w:szCs w:val="24"/>
              </w:rPr>
              <w:lastRenderedPageBreak/>
              <w:t>Drug interactions</w:t>
            </w:r>
          </w:p>
        </w:tc>
        <w:tc>
          <w:tcPr>
            <w:tcW w:w="6321" w:type="dxa"/>
          </w:tcPr>
          <w:p w14:paraId="02D691C9" w14:textId="77777777" w:rsidR="00401703" w:rsidRPr="00AD751C" w:rsidRDefault="00401703" w:rsidP="002D6DD7">
            <w:pPr>
              <w:jc w:val="both"/>
              <w:rPr>
                <w:rFonts w:cs="Times New Roman"/>
                <w:szCs w:val="24"/>
              </w:rPr>
            </w:pPr>
            <w:r w:rsidRPr="00AD751C">
              <w:rPr>
                <w:rFonts w:cs="Times New Roman"/>
                <w:szCs w:val="24"/>
              </w:rPr>
              <w:t xml:space="preserve">Benzodiazepines, risperidone, amiodarone, </w:t>
            </w:r>
            <w:r>
              <w:rPr>
                <w:rFonts w:cs="Times New Roman"/>
                <w:szCs w:val="24"/>
              </w:rPr>
              <w:t>c</w:t>
            </w:r>
            <w:r w:rsidRPr="00AD751C">
              <w:rPr>
                <w:rFonts w:cs="Times New Roman"/>
                <w:szCs w:val="24"/>
              </w:rPr>
              <w:t>iprofloxacin, ketoconazole, norfloxacin, lidocaine, dextromethorphan, amphetamines, codeine, tramadol, phenobarbital</w:t>
            </w:r>
          </w:p>
        </w:tc>
      </w:tr>
      <w:tr w:rsidR="00401703" w:rsidRPr="00AD751C" w14:paraId="5C2E96F6" w14:textId="77777777" w:rsidTr="002D6DD7">
        <w:tc>
          <w:tcPr>
            <w:tcW w:w="2695" w:type="dxa"/>
          </w:tcPr>
          <w:p w14:paraId="24961CE3" w14:textId="77777777" w:rsidR="00401703" w:rsidRPr="00AD751C" w:rsidRDefault="00401703" w:rsidP="002D6DD7">
            <w:pPr>
              <w:jc w:val="both"/>
              <w:rPr>
                <w:rFonts w:cs="Times New Roman"/>
                <w:szCs w:val="24"/>
              </w:rPr>
            </w:pPr>
            <w:r w:rsidRPr="00AD751C">
              <w:rPr>
                <w:rFonts w:cs="Times New Roman"/>
                <w:szCs w:val="24"/>
              </w:rPr>
              <w:t>Side effects</w:t>
            </w:r>
          </w:p>
        </w:tc>
        <w:tc>
          <w:tcPr>
            <w:tcW w:w="6321" w:type="dxa"/>
          </w:tcPr>
          <w:p w14:paraId="2DDEECC9" w14:textId="77777777" w:rsidR="00401703" w:rsidRPr="00AD751C" w:rsidRDefault="00401703" w:rsidP="002D6DD7">
            <w:pPr>
              <w:jc w:val="both"/>
              <w:rPr>
                <w:rFonts w:cs="Times New Roman"/>
                <w:szCs w:val="24"/>
              </w:rPr>
            </w:pPr>
            <w:r w:rsidRPr="00AD751C">
              <w:rPr>
                <w:rFonts w:cs="Times New Roman"/>
                <w:szCs w:val="24"/>
              </w:rPr>
              <w:t xml:space="preserve">Drowsiness, sedation, fatigue, orthostatic hypotension, dizziness, dry </w:t>
            </w:r>
            <w:r>
              <w:rPr>
                <w:rFonts w:cs="Times New Roman"/>
                <w:szCs w:val="24"/>
              </w:rPr>
              <w:t>mouth</w:t>
            </w:r>
            <w:r w:rsidRPr="00AD751C">
              <w:rPr>
                <w:rFonts w:cs="Times New Roman"/>
                <w:szCs w:val="24"/>
              </w:rPr>
              <w:t xml:space="preserve">, blurred vision, hypersalivation, weight gain, nausea, vomiting, constipation, urinary incontinence, urinary retention, increase in hepatic enzymes, agranulocytosis, </w:t>
            </w:r>
          </w:p>
        </w:tc>
      </w:tr>
      <w:tr w:rsidR="00401703" w:rsidRPr="00AD751C" w14:paraId="5DC5A2FE" w14:textId="77777777" w:rsidTr="002D6DD7">
        <w:tc>
          <w:tcPr>
            <w:tcW w:w="2695" w:type="dxa"/>
          </w:tcPr>
          <w:p w14:paraId="02624133" w14:textId="77777777" w:rsidR="00401703" w:rsidRPr="00AD751C" w:rsidRDefault="00401703" w:rsidP="002D6DD7">
            <w:pPr>
              <w:jc w:val="both"/>
              <w:rPr>
                <w:rFonts w:cs="Times New Roman"/>
                <w:szCs w:val="24"/>
              </w:rPr>
            </w:pPr>
            <w:r w:rsidRPr="00AD751C">
              <w:rPr>
                <w:rFonts w:cs="Times New Roman"/>
                <w:szCs w:val="24"/>
              </w:rPr>
              <w:t>Cautions</w:t>
            </w:r>
          </w:p>
        </w:tc>
        <w:tc>
          <w:tcPr>
            <w:tcW w:w="6321" w:type="dxa"/>
          </w:tcPr>
          <w:p w14:paraId="0E6BEF3D" w14:textId="77777777" w:rsidR="00401703" w:rsidRPr="00AD751C" w:rsidRDefault="00401703" w:rsidP="002D6DD7">
            <w:pPr>
              <w:jc w:val="both"/>
              <w:rPr>
                <w:rFonts w:cs="Times New Roman"/>
                <w:szCs w:val="24"/>
              </w:rPr>
            </w:pPr>
            <w:r>
              <w:rPr>
                <w:rFonts w:cs="Times New Roman"/>
                <w:szCs w:val="24"/>
              </w:rPr>
              <w:t>A</w:t>
            </w:r>
            <w:r w:rsidRPr="00AD751C">
              <w:rPr>
                <w:rFonts w:cs="Times New Roman"/>
                <w:szCs w:val="24"/>
              </w:rPr>
              <w:t>granulocytosis</w:t>
            </w:r>
            <w:r>
              <w:rPr>
                <w:rFonts w:cs="Times New Roman"/>
                <w:szCs w:val="24"/>
              </w:rPr>
              <w:t xml:space="preserve">, </w:t>
            </w:r>
            <w:r w:rsidRPr="00AD751C">
              <w:rPr>
                <w:rFonts w:cs="Times New Roman"/>
                <w:szCs w:val="24"/>
              </w:rPr>
              <w:t>neutropenia</w:t>
            </w:r>
            <w:r>
              <w:rPr>
                <w:rFonts w:cs="Times New Roman"/>
                <w:szCs w:val="24"/>
              </w:rPr>
              <w:t xml:space="preserve">, </w:t>
            </w:r>
            <w:r w:rsidRPr="00AD751C">
              <w:rPr>
                <w:rFonts w:cs="Times New Roman"/>
                <w:szCs w:val="24"/>
              </w:rPr>
              <w:t>prostatic enlargement, narrow-angle glaucoma, history of seizure</w:t>
            </w:r>
          </w:p>
        </w:tc>
      </w:tr>
      <w:tr w:rsidR="00401703" w:rsidRPr="00AD751C" w14:paraId="4EBAF089" w14:textId="77777777" w:rsidTr="002D6DD7">
        <w:tc>
          <w:tcPr>
            <w:tcW w:w="2695" w:type="dxa"/>
          </w:tcPr>
          <w:p w14:paraId="020AE516" w14:textId="77777777" w:rsidR="00401703" w:rsidRPr="00AD751C" w:rsidRDefault="00401703" w:rsidP="002D6DD7">
            <w:pPr>
              <w:jc w:val="both"/>
              <w:rPr>
                <w:rFonts w:cs="Times New Roman"/>
                <w:szCs w:val="24"/>
              </w:rPr>
            </w:pPr>
            <w:r w:rsidRPr="00AD751C">
              <w:rPr>
                <w:rFonts w:cs="Times New Roman"/>
                <w:szCs w:val="24"/>
              </w:rPr>
              <w:t>Storage condition</w:t>
            </w:r>
          </w:p>
        </w:tc>
        <w:tc>
          <w:tcPr>
            <w:tcW w:w="6321" w:type="dxa"/>
          </w:tcPr>
          <w:p w14:paraId="7703254D" w14:textId="77777777" w:rsidR="00401703" w:rsidRPr="00AD751C" w:rsidRDefault="00401703" w:rsidP="002D6DD7">
            <w:pPr>
              <w:jc w:val="both"/>
              <w:rPr>
                <w:rFonts w:cs="Times New Roman"/>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r w:rsidR="00401703" w:rsidRPr="00AD751C" w14:paraId="0042CB46" w14:textId="77777777" w:rsidTr="002D6DD7">
        <w:tc>
          <w:tcPr>
            <w:tcW w:w="2695" w:type="dxa"/>
          </w:tcPr>
          <w:p w14:paraId="74AAA862" w14:textId="77777777" w:rsidR="00401703" w:rsidRPr="00AD751C" w:rsidRDefault="00401703" w:rsidP="002D6DD7">
            <w:pPr>
              <w:jc w:val="both"/>
              <w:rPr>
                <w:rFonts w:cs="Times New Roman"/>
                <w:b/>
                <w:bCs/>
                <w:szCs w:val="24"/>
              </w:rPr>
            </w:pPr>
            <w:r w:rsidRPr="00AD751C">
              <w:rPr>
                <w:rFonts w:cs="Times New Roman"/>
                <w:b/>
                <w:bCs/>
                <w:szCs w:val="24"/>
              </w:rPr>
              <w:t>Haloperidol</w:t>
            </w:r>
          </w:p>
        </w:tc>
        <w:tc>
          <w:tcPr>
            <w:tcW w:w="6321" w:type="dxa"/>
          </w:tcPr>
          <w:p w14:paraId="520AB807" w14:textId="77777777" w:rsidR="00401703" w:rsidRPr="00AD751C" w:rsidRDefault="00401703" w:rsidP="002D6DD7">
            <w:pPr>
              <w:jc w:val="both"/>
              <w:rPr>
                <w:rFonts w:cs="Times New Roman"/>
                <w:szCs w:val="24"/>
              </w:rPr>
            </w:pPr>
          </w:p>
        </w:tc>
      </w:tr>
      <w:tr w:rsidR="00401703" w:rsidRPr="00AD751C" w14:paraId="364374C7" w14:textId="77777777" w:rsidTr="002D6DD7">
        <w:tc>
          <w:tcPr>
            <w:tcW w:w="2695" w:type="dxa"/>
          </w:tcPr>
          <w:p w14:paraId="1D7CF108" w14:textId="77777777" w:rsidR="00401703" w:rsidRPr="00AD751C" w:rsidRDefault="00401703" w:rsidP="002D6DD7">
            <w:pPr>
              <w:jc w:val="both"/>
              <w:rPr>
                <w:rFonts w:cs="Times New Roman"/>
                <w:szCs w:val="24"/>
              </w:rPr>
            </w:pPr>
            <w:r w:rsidRPr="00AD751C">
              <w:rPr>
                <w:rFonts w:cs="Times New Roman"/>
                <w:szCs w:val="24"/>
              </w:rPr>
              <w:t>Pharmacological class</w:t>
            </w:r>
          </w:p>
        </w:tc>
        <w:tc>
          <w:tcPr>
            <w:tcW w:w="6321" w:type="dxa"/>
          </w:tcPr>
          <w:p w14:paraId="5D378703" w14:textId="77777777" w:rsidR="00401703" w:rsidRPr="00AD751C" w:rsidRDefault="00401703" w:rsidP="002D6DD7">
            <w:pPr>
              <w:jc w:val="both"/>
              <w:rPr>
                <w:rFonts w:cs="Times New Roman"/>
                <w:szCs w:val="24"/>
              </w:rPr>
            </w:pPr>
            <w:r w:rsidRPr="00AD751C">
              <w:rPr>
                <w:rFonts w:cs="Times New Roman"/>
                <w:szCs w:val="24"/>
              </w:rPr>
              <w:t>Antipsychotic</w:t>
            </w:r>
          </w:p>
        </w:tc>
      </w:tr>
      <w:tr w:rsidR="00401703" w:rsidRPr="00AD751C" w14:paraId="191E8151" w14:textId="77777777" w:rsidTr="002D6DD7">
        <w:tc>
          <w:tcPr>
            <w:tcW w:w="2695" w:type="dxa"/>
          </w:tcPr>
          <w:p w14:paraId="54E3C557" w14:textId="77777777" w:rsidR="00401703" w:rsidRPr="00AD751C" w:rsidRDefault="00401703" w:rsidP="002D6DD7">
            <w:pPr>
              <w:jc w:val="both"/>
              <w:rPr>
                <w:rFonts w:cs="Times New Roman"/>
                <w:szCs w:val="24"/>
              </w:rPr>
            </w:pPr>
            <w:r w:rsidRPr="00AD751C">
              <w:rPr>
                <w:rFonts w:cs="Times New Roman"/>
                <w:szCs w:val="24"/>
              </w:rPr>
              <w:t>Dosage form</w:t>
            </w:r>
          </w:p>
        </w:tc>
        <w:tc>
          <w:tcPr>
            <w:tcW w:w="6321" w:type="dxa"/>
          </w:tcPr>
          <w:p w14:paraId="41168CA6" w14:textId="77777777" w:rsidR="00401703" w:rsidRPr="00AD751C" w:rsidRDefault="00401703" w:rsidP="002D6DD7">
            <w:pPr>
              <w:jc w:val="both"/>
              <w:rPr>
                <w:rFonts w:cs="Times New Roman"/>
                <w:szCs w:val="24"/>
              </w:rPr>
            </w:pPr>
            <w:r w:rsidRPr="00AD751C">
              <w:rPr>
                <w:rFonts w:cs="Times New Roman"/>
                <w:szCs w:val="24"/>
              </w:rPr>
              <w:t>Injection: 5mg/ml, Injection (Depot oily): 50mg/ml, 100mg/ml, Tablet: 1mg, 2mg, 5mg</w:t>
            </w:r>
          </w:p>
        </w:tc>
      </w:tr>
      <w:tr w:rsidR="00401703" w:rsidRPr="00AD751C" w14:paraId="20B2F9F5" w14:textId="77777777" w:rsidTr="002D6DD7">
        <w:tc>
          <w:tcPr>
            <w:tcW w:w="2695" w:type="dxa"/>
          </w:tcPr>
          <w:p w14:paraId="4253BF11" w14:textId="77777777" w:rsidR="00401703" w:rsidRPr="00AD751C" w:rsidRDefault="00401703" w:rsidP="002D6DD7">
            <w:pPr>
              <w:jc w:val="both"/>
              <w:rPr>
                <w:rFonts w:cs="Times New Roman"/>
                <w:szCs w:val="24"/>
              </w:rPr>
            </w:pPr>
            <w:r w:rsidRPr="00AD751C">
              <w:rPr>
                <w:rFonts w:cs="Times New Roman"/>
                <w:szCs w:val="24"/>
              </w:rPr>
              <w:t>Indications</w:t>
            </w:r>
          </w:p>
        </w:tc>
        <w:tc>
          <w:tcPr>
            <w:tcW w:w="6321" w:type="dxa"/>
          </w:tcPr>
          <w:p w14:paraId="21D5C353" w14:textId="77777777" w:rsidR="00401703" w:rsidRPr="00AD751C" w:rsidRDefault="00401703" w:rsidP="002D6DD7">
            <w:pPr>
              <w:jc w:val="both"/>
              <w:rPr>
                <w:rFonts w:cs="Times New Roman"/>
                <w:szCs w:val="24"/>
              </w:rPr>
            </w:pPr>
            <w:r w:rsidRPr="00AD751C">
              <w:rPr>
                <w:rFonts w:cs="Times New Roman"/>
                <w:szCs w:val="24"/>
              </w:rPr>
              <w:t>Schizophrenia and other psychotic disorders, mania, psychomotor agitation and violent behaviour</w:t>
            </w:r>
            <w:r>
              <w:rPr>
                <w:rFonts w:cs="Times New Roman"/>
                <w:szCs w:val="24"/>
              </w:rPr>
              <w:t>,</w:t>
            </w:r>
            <w:r w:rsidRPr="00AD751C">
              <w:rPr>
                <w:rFonts w:cs="Times New Roman"/>
                <w:szCs w:val="24"/>
              </w:rPr>
              <w:t xml:space="preserve"> adjunct in severe anxiety</w:t>
            </w:r>
          </w:p>
        </w:tc>
      </w:tr>
      <w:tr w:rsidR="00401703" w:rsidRPr="00AD751C" w14:paraId="2219AF3F" w14:textId="77777777" w:rsidTr="002D6DD7">
        <w:tc>
          <w:tcPr>
            <w:tcW w:w="2695" w:type="dxa"/>
          </w:tcPr>
          <w:p w14:paraId="0D2BE554" w14:textId="77777777" w:rsidR="00401703" w:rsidRPr="00AD751C" w:rsidRDefault="00401703" w:rsidP="002D6DD7">
            <w:pPr>
              <w:jc w:val="both"/>
              <w:rPr>
                <w:rFonts w:cs="Times New Roman"/>
                <w:szCs w:val="24"/>
              </w:rPr>
            </w:pPr>
            <w:r w:rsidRPr="00AD751C">
              <w:rPr>
                <w:rFonts w:cs="Times New Roman"/>
                <w:szCs w:val="24"/>
              </w:rPr>
              <w:t>Dose and Administration</w:t>
            </w:r>
          </w:p>
        </w:tc>
        <w:tc>
          <w:tcPr>
            <w:tcW w:w="6321" w:type="dxa"/>
          </w:tcPr>
          <w:p w14:paraId="68097944" w14:textId="77777777" w:rsidR="00401703" w:rsidRPr="00AD751C" w:rsidRDefault="00401703" w:rsidP="002D6DD7">
            <w:pPr>
              <w:jc w:val="both"/>
              <w:rPr>
                <w:rFonts w:cs="Times New Roman"/>
                <w:szCs w:val="24"/>
              </w:rPr>
            </w:pPr>
            <w:r w:rsidRPr="00AD751C">
              <w:rPr>
                <w:rFonts w:cs="Times New Roman"/>
                <w:b/>
                <w:bCs/>
                <w:szCs w:val="24"/>
              </w:rPr>
              <w:t>Adult</w:t>
            </w:r>
            <w:r w:rsidRPr="00AD751C">
              <w:rPr>
                <w:rFonts w:cs="Times New Roman"/>
                <w:szCs w:val="24"/>
              </w:rPr>
              <w:t xml:space="preserve">: </w:t>
            </w:r>
          </w:p>
          <w:p w14:paraId="4E7E16EB" w14:textId="77777777" w:rsidR="00401703" w:rsidRPr="00AD751C" w:rsidRDefault="00401703" w:rsidP="002D6DD7">
            <w:pPr>
              <w:jc w:val="both"/>
              <w:rPr>
                <w:rFonts w:cs="Times New Roman"/>
                <w:szCs w:val="24"/>
              </w:rPr>
            </w:pPr>
            <w:r w:rsidRPr="00195590">
              <w:rPr>
                <w:rFonts w:cs="Times New Roman"/>
                <w:b/>
                <w:bCs/>
                <w:szCs w:val="24"/>
              </w:rPr>
              <w:t>Moderate disease</w:t>
            </w:r>
            <w:r w:rsidR="00C80455">
              <w:rPr>
                <w:rFonts w:cs="Times New Roman"/>
                <w:b/>
                <w:bCs/>
                <w:szCs w:val="24"/>
              </w:rPr>
              <w:t xml:space="preserve">, </w:t>
            </w:r>
            <w:r w:rsidR="00C80455" w:rsidRPr="00C80455">
              <w:rPr>
                <w:rFonts w:cs="Times New Roman"/>
                <w:bCs/>
                <w:szCs w:val="24"/>
              </w:rPr>
              <w:t>oral</w:t>
            </w:r>
            <w:r w:rsidRPr="00C80455">
              <w:rPr>
                <w:rFonts w:cs="Times New Roman"/>
                <w:bCs/>
                <w:szCs w:val="24"/>
              </w:rPr>
              <w:t>:</w:t>
            </w:r>
            <w:r w:rsidRPr="00AD751C">
              <w:rPr>
                <w:rFonts w:cs="Times New Roman"/>
                <w:szCs w:val="24"/>
              </w:rPr>
              <w:t xml:space="preserve"> 0.5 to 2mg every 8 to 12 hours initially. </w:t>
            </w:r>
            <w:r w:rsidRPr="00195590">
              <w:rPr>
                <w:rFonts w:cs="Times New Roman"/>
                <w:b/>
                <w:bCs/>
                <w:szCs w:val="24"/>
              </w:rPr>
              <w:t>Severe disease</w:t>
            </w:r>
            <w:r w:rsidR="00C80455">
              <w:rPr>
                <w:rFonts w:cs="Times New Roman"/>
                <w:b/>
                <w:bCs/>
                <w:szCs w:val="24"/>
              </w:rPr>
              <w:t xml:space="preserve">, </w:t>
            </w:r>
            <w:r w:rsidR="00C80455" w:rsidRPr="00C80455">
              <w:rPr>
                <w:rFonts w:cs="Times New Roman"/>
                <w:bCs/>
                <w:szCs w:val="24"/>
              </w:rPr>
              <w:t>oral:</w:t>
            </w:r>
            <w:r w:rsidRPr="00AD751C">
              <w:rPr>
                <w:rFonts w:cs="Times New Roman"/>
                <w:szCs w:val="24"/>
              </w:rPr>
              <w:t xml:space="preserve"> 3 to 5mg every 8 to 12 hours initially</w:t>
            </w:r>
            <w:r>
              <w:rPr>
                <w:rFonts w:cs="Times New Roman"/>
                <w:szCs w:val="24"/>
              </w:rPr>
              <w:t>,</w:t>
            </w:r>
            <w:r w:rsidRPr="00AD751C">
              <w:rPr>
                <w:rFonts w:cs="Times New Roman"/>
                <w:szCs w:val="24"/>
              </w:rPr>
              <w:t xml:space="preserve"> not to exceed 30mg per day (half of the adult dose in elderly or debilitated patients, 3–5 mg 2–3 times daily in severely affected or resistant patients, up to 30 mg daily in resistant schizophrenia). </w:t>
            </w:r>
          </w:p>
          <w:p w14:paraId="564220D1" w14:textId="77777777" w:rsidR="00401703" w:rsidRPr="00AD751C" w:rsidRDefault="00401703" w:rsidP="002D6DD7">
            <w:pPr>
              <w:jc w:val="both"/>
              <w:rPr>
                <w:rFonts w:cs="Times New Roman"/>
                <w:szCs w:val="24"/>
              </w:rPr>
            </w:pPr>
            <w:r w:rsidRPr="00195590">
              <w:rPr>
                <w:rFonts w:cs="Times New Roman"/>
                <w:b/>
                <w:bCs/>
                <w:szCs w:val="24"/>
              </w:rPr>
              <w:t xml:space="preserve">Schizophrenia, Psychosis, </w:t>
            </w:r>
            <w:r w:rsidRPr="00C80455">
              <w:rPr>
                <w:rFonts w:cs="Times New Roman"/>
                <w:bCs/>
                <w:szCs w:val="24"/>
              </w:rPr>
              <w:t>IM (immediate acting – lactate):</w:t>
            </w:r>
            <w:r w:rsidRPr="00AD751C">
              <w:rPr>
                <w:rFonts w:cs="Times New Roman"/>
                <w:szCs w:val="24"/>
              </w:rPr>
              <w:t xml:space="preserve"> 2 – 5 mg every 4 to 8 hours as required; May require every one hour in acute agitation; not to exceed 20 mg per day. </w:t>
            </w:r>
          </w:p>
          <w:p w14:paraId="41F1DDE6" w14:textId="77777777" w:rsidR="00401703" w:rsidRPr="00AD751C" w:rsidRDefault="00401703" w:rsidP="002D6DD7">
            <w:pPr>
              <w:jc w:val="both"/>
              <w:rPr>
                <w:rFonts w:cs="Times New Roman"/>
                <w:szCs w:val="24"/>
              </w:rPr>
            </w:pPr>
            <w:r w:rsidRPr="00195590">
              <w:rPr>
                <w:rFonts w:cs="Times New Roman"/>
                <w:b/>
                <w:bCs/>
                <w:szCs w:val="24"/>
              </w:rPr>
              <w:t xml:space="preserve">Schizophrenia, Psychosis, </w:t>
            </w:r>
            <w:r w:rsidRPr="00C80455">
              <w:rPr>
                <w:rFonts w:cs="Times New Roman"/>
                <w:bCs/>
                <w:szCs w:val="24"/>
              </w:rPr>
              <w:t>IM depot (decanoate):</w:t>
            </w:r>
            <w:r w:rsidRPr="00AD751C">
              <w:rPr>
                <w:rFonts w:cs="Times New Roman"/>
                <w:szCs w:val="24"/>
              </w:rPr>
              <w:t xml:space="preserve"> Initial IM dose 10 – 20 times daily oral dose administered monthly</w:t>
            </w:r>
            <w:r>
              <w:rPr>
                <w:rFonts w:cs="Times New Roman"/>
                <w:szCs w:val="24"/>
              </w:rPr>
              <w:t xml:space="preserve">, </w:t>
            </w:r>
            <w:r w:rsidRPr="00AD751C">
              <w:rPr>
                <w:rFonts w:cs="Times New Roman"/>
                <w:szCs w:val="24"/>
              </w:rPr>
              <w:t>not to exceed 100mg</w:t>
            </w:r>
            <w:r>
              <w:rPr>
                <w:rFonts w:cs="Times New Roman"/>
                <w:szCs w:val="24"/>
              </w:rPr>
              <w:t>. I</w:t>
            </w:r>
            <w:r w:rsidRPr="00AD751C">
              <w:rPr>
                <w:rFonts w:cs="Times New Roman"/>
                <w:szCs w:val="24"/>
              </w:rPr>
              <w:t xml:space="preserve">f conversion requires initial dose greater than 100mg, administer in 2 injections (e.g., 100mg initially, </w:t>
            </w:r>
            <w:r w:rsidRPr="00AD751C">
              <w:rPr>
                <w:rFonts w:cs="Times New Roman"/>
                <w:szCs w:val="24"/>
              </w:rPr>
              <w:lastRenderedPageBreak/>
              <w:t xml:space="preserve">then remainder in 3 to 7 days). </w:t>
            </w:r>
          </w:p>
          <w:p w14:paraId="76DA9093" w14:textId="77777777" w:rsidR="00401703" w:rsidRPr="00AD751C" w:rsidRDefault="00401703" w:rsidP="002D6DD7">
            <w:pPr>
              <w:jc w:val="both"/>
              <w:rPr>
                <w:rFonts w:cs="Times New Roman"/>
                <w:szCs w:val="24"/>
              </w:rPr>
            </w:pPr>
            <w:r w:rsidRPr="00AD751C">
              <w:rPr>
                <w:rFonts w:cs="Times New Roman"/>
                <w:szCs w:val="24"/>
              </w:rPr>
              <w:t>Maintenance: Monthly dose 10 – 15 times daily oral dose.</w:t>
            </w:r>
          </w:p>
          <w:p w14:paraId="39E9574E" w14:textId="77777777" w:rsidR="00401703" w:rsidRDefault="00401703" w:rsidP="002D6DD7">
            <w:pPr>
              <w:jc w:val="both"/>
              <w:rPr>
                <w:rFonts w:cs="Times New Roman"/>
                <w:b/>
                <w:bCs/>
                <w:szCs w:val="24"/>
              </w:rPr>
            </w:pPr>
            <w:r w:rsidRPr="00195590">
              <w:rPr>
                <w:rFonts w:cs="Times New Roman"/>
                <w:b/>
                <w:bCs/>
                <w:szCs w:val="24"/>
              </w:rPr>
              <w:t>Schizophrenia, psychosis/sedation</w:t>
            </w:r>
            <w:r w:rsidR="00C80455">
              <w:rPr>
                <w:rFonts w:cs="Times New Roman"/>
                <w:b/>
                <w:bCs/>
                <w:szCs w:val="24"/>
              </w:rPr>
              <w:t>:</w:t>
            </w:r>
          </w:p>
          <w:p w14:paraId="47C72793" w14:textId="77777777" w:rsidR="00401703" w:rsidRDefault="00401703" w:rsidP="002D6DD7">
            <w:pPr>
              <w:jc w:val="both"/>
              <w:rPr>
                <w:rFonts w:cs="Times New Roman"/>
                <w:szCs w:val="24"/>
              </w:rPr>
            </w:pPr>
            <w:r w:rsidRPr="00AD2ED2">
              <w:rPr>
                <w:rFonts w:cs="Times New Roman"/>
                <w:b/>
                <w:bCs/>
                <w:szCs w:val="24"/>
              </w:rPr>
              <w:t>Child 3–12 years (15 – 40kg):</w:t>
            </w:r>
            <w:r w:rsidRPr="00AD751C">
              <w:rPr>
                <w:rFonts w:cs="Times New Roman"/>
                <w:szCs w:val="24"/>
              </w:rPr>
              <w:t xml:space="preserve"> initially 0.125–0.25 mg twice daily, increase by 0.25–0.5 mg/day every 5–7 days as required. Maximum 0.15 mg/kg daily. Usual maintenance 0.025–0.05 mg/kg three times daily. IM (when rapid effect required). Schizophrenia, psychosis/sedation, IM lactate (immediate acting): </w:t>
            </w:r>
          </w:p>
          <w:p w14:paraId="3E45FCE2" w14:textId="77777777" w:rsidR="00401703" w:rsidRDefault="00401703" w:rsidP="002D6DD7">
            <w:pPr>
              <w:jc w:val="both"/>
              <w:rPr>
                <w:rFonts w:cs="Times New Roman"/>
                <w:szCs w:val="24"/>
              </w:rPr>
            </w:pPr>
            <w:r w:rsidRPr="00AD2ED2">
              <w:rPr>
                <w:rFonts w:cs="Times New Roman"/>
                <w:b/>
                <w:bCs/>
                <w:szCs w:val="24"/>
              </w:rPr>
              <w:t>Child 6–12 years:</w:t>
            </w:r>
            <w:r w:rsidRPr="00AD751C">
              <w:rPr>
                <w:rFonts w:cs="Times New Roman"/>
                <w:szCs w:val="24"/>
              </w:rPr>
              <w:t xml:space="preserve"> 1–3 mg per dose every 4–8 hours to a maximum of 0.15 mg/kg daily. Change to oral therapy as soon as possible. </w:t>
            </w:r>
          </w:p>
          <w:p w14:paraId="1E0332B6" w14:textId="77777777" w:rsidR="00401703" w:rsidRDefault="00401703" w:rsidP="002D6DD7">
            <w:pPr>
              <w:jc w:val="both"/>
              <w:rPr>
                <w:rFonts w:cs="Times New Roman"/>
                <w:szCs w:val="24"/>
              </w:rPr>
            </w:pPr>
            <w:r w:rsidRPr="007E284D">
              <w:rPr>
                <w:rFonts w:cs="Times New Roman"/>
                <w:b/>
                <w:bCs/>
                <w:szCs w:val="24"/>
              </w:rPr>
              <w:t>Behavioral Disorders,</w:t>
            </w:r>
            <w:r w:rsidRPr="00AD751C">
              <w:rPr>
                <w:rFonts w:cs="Times New Roman"/>
                <w:szCs w:val="24"/>
              </w:rPr>
              <w:t xml:space="preserve"> oral: </w:t>
            </w:r>
          </w:p>
          <w:p w14:paraId="7BBD23F7" w14:textId="77777777" w:rsidR="00401703" w:rsidRPr="00AD751C" w:rsidRDefault="00401703" w:rsidP="002D6DD7">
            <w:pPr>
              <w:jc w:val="both"/>
              <w:rPr>
                <w:rFonts w:cs="Times New Roman"/>
                <w:szCs w:val="24"/>
              </w:rPr>
            </w:pPr>
            <w:r w:rsidRPr="00AD751C">
              <w:rPr>
                <w:rFonts w:cs="Times New Roman"/>
                <w:szCs w:val="24"/>
              </w:rPr>
              <w:t>Child 3-12 years: 0.5 mg/day initially; dose increased as required by 0.5 mg every 5-7 days until therapeutic effect achieved, then reduced to lowest effective maintenance level of 0.05-0.075 mg/kg/day divided q8-12hr. Acute Agitation, oral: Child &lt; 12 years: Safety and efficacy not established. Child &gt; 12 years: 0.5-3 mg, repeated in 1 hour as required; alternatively, 2-5 mg IM, repeated in 1 hr. as required. IM depot decanoate not recommended in child.</w:t>
            </w:r>
          </w:p>
        </w:tc>
      </w:tr>
      <w:tr w:rsidR="00401703" w:rsidRPr="00AD751C" w14:paraId="4D7B2487" w14:textId="77777777" w:rsidTr="002D6DD7">
        <w:tc>
          <w:tcPr>
            <w:tcW w:w="2695" w:type="dxa"/>
          </w:tcPr>
          <w:p w14:paraId="4E64C8BF" w14:textId="77777777" w:rsidR="00401703" w:rsidRPr="00AD751C" w:rsidRDefault="00401703" w:rsidP="002D6DD7">
            <w:pPr>
              <w:jc w:val="both"/>
              <w:rPr>
                <w:rFonts w:cs="Times New Roman"/>
                <w:szCs w:val="24"/>
              </w:rPr>
            </w:pPr>
            <w:r w:rsidRPr="00AD751C">
              <w:rPr>
                <w:rFonts w:cs="Times New Roman"/>
                <w:szCs w:val="24"/>
              </w:rPr>
              <w:lastRenderedPageBreak/>
              <w:t>Contraindications</w:t>
            </w:r>
          </w:p>
        </w:tc>
        <w:tc>
          <w:tcPr>
            <w:tcW w:w="6321" w:type="dxa"/>
          </w:tcPr>
          <w:p w14:paraId="0B761E75" w14:textId="77777777" w:rsidR="00401703" w:rsidRPr="00AD751C" w:rsidRDefault="00401703" w:rsidP="002D6DD7">
            <w:pPr>
              <w:jc w:val="both"/>
              <w:rPr>
                <w:rFonts w:cs="Times New Roman"/>
                <w:szCs w:val="24"/>
              </w:rPr>
            </w:pPr>
            <w:r w:rsidRPr="00AD751C">
              <w:rPr>
                <w:rFonts w:cs="Times New Roman"/>
                <w:szCs w:val="24"/>
              </w:rPr>
              <w:t>Impaired consciousness due to CNS depression</w:t>
            </w:r>
            <w:r w:rsidR="00C80455">
              <w:rPr>
                <w:rFonts w:cs="Times New Roman"/>
                <w:szCs w:val="24"/>
              </w:rPr>
              <w:t xml:space="preserve">, </w:t>
            </w:r>
            <w:r w:rsidRPr="00AD751C">
              <w:rPr>
                <w:rFonts w:cs="Times New Roman"/>
                <w:szCs w:val="24"/>
              </w:rPr>
              <w:t>bone-marrow depression</w:t>
            </w:r>
            <w:r w:rsidR="00C80455">
              <w:rPr>
                <w:rFonts w:cs="Times New Roman"/>
                <w:szCs w:val="24"/>
              </w:rPr>
              <w:t>,</w:t>
            </w:r>
            <w:r w:rsidRPr="00AD751C">
              <w:rPr>
                <w:rFonts w:cs="Times New Roman"/>
                <w:szCs w:val="24"/>
              </w:rPr>
              <w:t xml:space="preserve"> phaeochromocytoma; porphyria, basal ganglia disease</w:t>
            </w:r>
          </w:p>
        </w:tc>
      </w:tr>
      <w:tr w:rsidR="00401703" w:rsidRPr="00AD751C" w14:paraId="4224A466" w14:textId="77777777" w:rsidTr="002D6DD7">
        <w:tc>
          <w:tcPr>
            <w:tcW w:w="2695" w:type="dxa"/>
          </w:tcPr>
          <w:p w14:paraId="08352776" w14:textId="77777777" w:rsidR="00401703" w:rsidRPr="00AD751C" w:rsidRDefault="00401703" w:rsidP="002D6DD7">
            <w:pPr>
              <w:jc w:val="both"/>
              <w:rPr>
                <w:rFonts w:cs="Times New Roman"/>
                <w:szCs w:val="24"/>
              </w:rPr>
            </w:pPr>
            <w:r w:rsidRPr="00AD751C">
              <w:rPr>
                <w:rFonts w:cs="Times New Roman"/>
                <w:szCs w:val="24"/>
              </w:rPr>
              <w:t>Drug interactions</w:t>
            </w:r>
          </w:p>
        </w:tc>
        <w:tc>
          <w:tcPr>
            <w:tcW w:w="6321" w:type="dxa"/>
          </w:tcPr>
          <w:p w14:paraId="7A379A3A" w14:textId="77777777" w:rsidR="00401703" w:rsidRPr="00AD751C" w:rsidRDefault="00401703" w:rsidP="002D6DD7">
            <w:pPr>
              <w:jc w:val="both"/>
              <w:rPr>
                <w:rFonts w:cs="Times New Roman"/>
                <w:szCs w:val="24"/>
              </w:rPr>
            </w:pPr>
            <w:r w:rsidRPr="00AD751C">
              <w:rPr>
                <w:rFonts w:cs="Times New Roman"/>
                <w:szCs w:val="24"/>
              </w:rPr>
              <w:t>Amitriptyline, clomipramine, halothane, ketamine, nitrous oxide, thiopental, ether (anaesthetic), ritonavir, Carbamazepine, ethosuximide, phenobarbital, phenytoin, procainamide, quinidine, rifampicin, valproic acid: Potential for altered efficacy or increased risk of adverse reactions with haloperidol.</w:t>
            </w:r>
          </w:p>
        </w:tc>
      </w:tr>
      <w:tr w:rsidR="00401703" w:rsidRPr="00AD751C" w14:paraId="292AA2CB" w14:textId="77777777" w:rsidTr="002D6DD7">
        <w:tc>
          <w:tcPr>
            <w:tcW w:w="2695" w:type="dxa"/>
          </w:tcPr>
          <w:p w14:paraId="12C3A451" w14:textId="77777777" w:rsidR="00401703" w:rsidRPr="00AD751C" w:rsidRDefault="00401703" w:rsidP="002D6DD7">
            <w:pPr>
              <w:jc w:val="both"/>
              <w:rPr>
                <w:rFonts w:cs="Times New Roman"/>
                <w:szCs w:val="24"/>
              </w:rPr>
            </w:pPr>
            <w:r w:rsidRPr="00AD751C">
              <w:rPr>
                <w:rFonts w:cs="Times New Roman"/>
                <w:szCs w:val="24"/>
              </w:rPr>
              <w:t>Side effects</w:t>
            </w:r>
          </w:p>
        </w:tc>
        <w:tc>
          <w:tcPr>
            <w:tcW w:w="6321" w:type="dxa"/>
          </w:tcPr>
          <w:p w14:paraId="768360EF" w14:textId="77777777" w:rsidR="00401703" w:rsidRPr="00AD751C" w:rsidRDefault="00401703" w:rsidP="002D6DD7">
            <w:pPr>
              <w:jc w:val="both"/>
              <w:rPr>
                <w:rFonts w:cs="Times New Roman"/>
                <w:szCs w:val="24"/>
              </w:rPr>
            </w:pPr>
            <w:r w:rsidRPr="00AD751C">
              <w:rPr>
                <w:rFonts w:cs="Times New Roman"/>
                <w:szCs w:val="24"/>
              </w:rPr>
              <w:t xml:space="preserve">Drowsiness, dizziness, headache, blurred vision, dry oral, </w:t>
            </w:r>
            <w:r w:rsidRPr="00AD751C">
              <w:rPr>
                <w:rFonts w:cs="Times New Roman"/>
                <w:szCs w:val="24"/>
              </w:rPr>
              <w:lastRenderedPageBreak/>
              <w:t>constipation, weight gain, Extrapyramidal symptoms (acute dystonia, parkinsonism, akathisia), tardive dyskinesia, neuroleptic malignant syndrome, orthostatic hypotension, hyperprolactinemia</w:t>
            </w:r>
          </w:p>
        </w:tc>
      </w:tr>
      <w:tr w:rsidR="00401703" w:rsidRPr="00AD751C" w14:paraId="36B80C1A" w14:textId="77777777" w:rsidTr="002D6DD7">
        <w:tc>
          <w:tcPr>
            <w:tcW w:w="2695" w:type="dxa"/>
          </w:tcPr>
          <w:p w14:paraId="63B403DC" w14:textId="77777777" w:rsidR="00401703" w:rsidRPr="00AD751C" w:rsidRDefault="00401703" w:rsidP="002D6DD7">
            <w:pPr>
              <w:jc w:val="both"/>
              <w:rPr>
                <w:rFonts w:cs="Times New Roman"/>
                <w:szCs w:val="24"/>
              </w:rPr>
            </w:pPr>
            <w:r w:rsidRPr="00AD751C">
              <w:rPr>
                <w:rFonts w:cs="Times New Roman"/>
                <w:szCs w:val="24"/>
              </w:rPr>
              <w:lastRenderedPageBreak/>
              <w:t>Cautions</w:t>
            </w:r>
          </w:p>
        </w:tc>
        <w:tc>
          <w:tcPr>
            <w:tcW w:w="6321" w:type="dxa"/>
          </w:tcPr>
          <w:p w14:paraId="0C04FF05" w14:textId="77777777" w:rsidR="00401703" w:rsidRPr="00AD751C" w:rsidRDefault="00401703" w:rsidP="002D6DD7">
            <w:pPr>
              <w:jc w:val="both"/>
              <w:rPr>
                <w:rFonts w:cs="Times New Roman"/>
                <w:szCs w:val="24"/>
              </w:rPr>
            </w:pPr>
            <w:r w:rsidRPr="00AD751C">
              <w:rPr>
                <w:rFonts w:cs="Times New Roman"/>
                <w:szCs w:val="24"/>
              </w:rPr>
              <w:t>Cardiovascular and cerebrovascular disorders, respiratory disease, parkinsonism, epilepsy, acute infections, pregnancy, breastfeeding, renal and hepatic impairment</w:t>
            </w:r>
            <w:r w:rsidR="00220352">
              <w:rPr>
                <w:rFonts w:cs="Times New Roman"/>
                <w:szCs w:val="24"/>
              </w:rPr>
              <w:t>,</w:t>
            </w:r>
            <w:r w:rsidRPr="00AD751C">
              <w:rPr>
                <w:rFonts w:cs="Times New Roman"/>
                <w:szCs w:val="24"/>
              </w:rPr>
              <w:t xml:space="preserve"> history of jaundice, leucopoenia</w:t>
            </w:r>
            <w:r w:rsidR="00220352">
              <w:rPr>
                <w:rFonts w:cs="Times New Roman"/>
                <w:szCs w:val="24"/>
              </w:rPr>
              <w:t>,</w:t>
            </w:r>
            <w:r w:rsidRPr="00AD751C">
              <w:rPr>
                <w:rFonts w:cs="Times New Roman"/>
                <w:szCs w:val="24"/>
              </w:rPr>
              <w:t xml:space="preserve"> hypothyroidism, myasthenia gravis, prostatic hypertrophy, angle-closure glaucoma</w:t>
            </w:r>
            <w:r w:rsidR="00220352">
              <w:rPr>
                <w:rFonts w:cs="Times New Roman"/>
                <w:szCs w:val="24"/>
              </w:rPr>
              <w:t>,</w:t>
            </w:r>
            <w:r w:rsidRPr="00AD751C">
              <w:rPr>
                <w:rFonts w:cs="Times New Roman"/>
                <w:szCs w:val="24"/>
              </w:rPr>
              <w:t xml:space="preserve"> elderly</w:t>
            </w:r>
            <w:r w:rsidR="00220352">
              <w:rPr>
                <w:rFonts w:cs="Times New Roman"/>
                <w:szCs w:val="24"/>
              </w:rPr>
              <w:t>,</w:t>
            </w:r>
            <w:r w:rsidRPr="00AD751C">
              <w:rPr>
                <w:rFonts w:cs="Times New Roman"/>
                <w:szCs w:val="24"/>
              </w:rPr>
              <w:t xml:space="preserve"> child and adolescents</w:t>
            </w:r>
            <w:r w:rsidR="00220352">
              <w:rPr>
                <w:rFonts w:cs="Times New Roman"/>
                <w:szCs w:val="24"/>
              </w:rPr>
              <w:t xml:space="preserve">, </w:t>
            </w:r>
            <w:r w:rsidRPr="00AD751C">
              <w:rPr>
                <w:rFonts w:cs="Times New Roman"/>
                <w:szCs w:val="24"/>
              </w:rPr>
              <w:t>abrupt withdrawal</w:t>
            </w:r>
            <w:r w:rsidR="00220352">
              <w:rPr>
                <w:rFonts w:cs="Times New Roman"/>
                <w:szCs w:val="24"/>
              </w:rPr>
              <w:t>.</w:t>
            </w:r>
          </w:p>
        </w:tc>
      </w:tr>
      <w:tr w:rsidR="00401703" w:rsidRPr="00AD751C" w14:paraId="5C76A77D" w14:textId="77777777" w:rsidTr="002D6DD7">
        <w:tc>
          <w:tcPr>
            <w:tcW w:w="2695" w:type="dxa"/>
          </w:tcPr>
          <w:p w14:paraId="4DB51E81" w14:textId="77777777" w:rsidR="00401703" w:rsidRPr="00AD751C" w:rsidRDefault="00401703" w:rsidP="002D6DD7">
            <w:pPr>
              <w:jc w:val="both"/>
              <w:rPr>
                <w:rFonts w:cs="Times New Roman"/>
                <w:szCs w:val="24"/>
              </w:rPr>
            </w:pPr>
            <w:r w:rsidRPr="00AD751C">
              <w:rPr>
                <w:rFonts w:cs="Times New Roman"/>
                <w:szCs w:val="24"/>
              </w:rPr>
              <w:t>Storage condition</w:t>
            </w:r>
          </w:p>
        </w:tc>
        <w:tc>
          <w:tcPr>
            <w:tcW w:w="6321" w:type="dxa"/>
          </w:tcPr>
          <w:p w14:paraId="38602BA2" w14:textId="77777777" w:rsidR="00401703" w:rsidRPr="00AD751C" w:rsidRDefault="00401703" w:rsidP="002D6DD7">
            <w:pPr>
              <w:jc w:val="both"/>
              <w:rPr>
                <w:rFonts w:cs="Times New Roman"/>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r w:rsidR="00401703" w:rsidRPr="00AD751C" w14:paraId="0BDB1091" w14:textId="77777777" w:rsidTr="002D6DD7">
        <w:tc>
          <w:tcPr>
            <w:tcW w:w="2695" w:type="dxa"/>
          </w:tcPr>
          <w:p w14:paraId="4F0444BF" w14:textId="77777777" w:rsidR="00401703" w:rsidRPr="002D13F8" w:rsidRDefault="00401703" w:rsidP="002D6DD7">
            <w:pPr>
              <w:jc w:val="both"/>
              <w:rPr>
                <w:rFonts w:cs="Times New Roman"/>
                <w:b/>
                <w:szCs w:val="24"/>
              </w:rPr>
            </w:pPr>
            <w:r w:rsidRPr="002D13F8">
              <w:rPr>
                <w:rFonts w:cs="Times New Roman"/>
                <w:b/>
                <w:szCs w:val="24"/>
              </w:rPr>
              <w:t>Olanzapine</w:t>
            </w:r>
          </w:p>
        </w:tc>
        <w:tc>
          <w:tcPr>
            <w:tcW w:w="6321" w:type="dxa"/>
          </w:tcPr>
          <w:p w14:paraId="71CE2129" w14:textId="77777777" w:rsidR="00401703" w:rsidRPr="00AD751C" w:rsidRDefault="00401703" w:rsidP="002D6DD7">
            <w:pPr>
              <w:jc w:val="both"/>
              <w:rPr>
                <w:rFonts w:cs="Times New Roman"/>
                <w:szCs w:val="24"/>
              </w:rPr>
            </w:pPr>
          </w:p>
        </w:tc>
      </w:tr>
      <w:tr w:rsidR="00401703" w:rsidRPr="00AD751C" w14:paraId="75388887" w14:textId="77777777" w:rsidTr="002D6DD7">
        <w:tc>
          <w:tcPr>
            <w:tcW w:w="2695" w:type="dxa"/>
          </w:tcPr>
          <w:p w14:paraId="6E174917" w14:textId="77777777" w:rsidR="00401703" w:rsidRPr="00AD751C" w:rsidRDefault="00401703" w:rsidP="002D6DD7">
            <w:pPr>
              <w:jc w:val="both"/>
              <w:rPr>
                <w:rFonts w:cs="Times New Roman"/>
                <w:szCs w:val="24"/>
              </w:rPr>
            </w:pPr>
            <w:r w:rsidRPr="00AD751C">
              <w:rPr>
                <w:rFonts w:cs="Times New Roman"/>
                <w:szCs w:val="24"/>
              </w:rPr>
              <w:t>Pharmacological class</w:t>
            </w:r>
          </w:p>
        </w:tc>
        <w:tc>
          <w:tcPr>
            <w:tcW w:w="6321" w:type="dxa"/>
          </w:tcPr>
          <w:p w14:paraId="0E5BDCF6" w14:textId="77777777" w:rsidR="00401703" w:rsidRPr="00AD751C" w:rsidRDefault="00401703" w:rsidP="002D6DD7">
            <w:pPr>
              <w:jc w:val="both"/>
              <w:rPr>
                <w:rFonts w:cs="Times New Roman"/>
                <w:szCs w:val="24"/>
              </w:rPr>
            </w:pPr>
            <w:r w:rsidRPr="00AD751C">
              <w:rPr>
                <w:rFonts w:cs="Times New Roman"/>
                <w:szCs w:val="24"/>
              </w:rPr>
              <w:t>Antipsychotic</w:t>
            </w:r>
          </w:p>
        </w:tc>
      </w:tr>
      <w:tr w:rsidR="00401703" w:rsidRPr="00AD751C" w14:paraId="4A5F0B31" w14:textId="77777777" w:rsidTr="002D6DD7">
        <w:tc>
          <w:tcPr>
            <w:tcW w:w="2695" w:type="dxa"/>
          </w:tcPr>
          <w:p w14:paraId="14DAA7F8" w14:textId="77777777" w:rsidR="00401703" w:rsidRPr="00AD751C" w:rsidRDefault="00401703" w:rsidP="002D6DD7">
            <w:pPr>
              <w:jc w:val="both"/>
              <w:rPr>
                <w:rFonts w:cs="Times New Roman"/>
                <w:szCs w:val="24"/>
              </w:rPr>
            </w:pPr>
            <w:r w:rsidRPr="00AD751C">
              <w:rPr>
                <w:rFonts w:cs="Times New Roman"/>
                <w:szCs w:val="24"/>
              </w:rPr>
              <w:t>Dosage form</w:t>
            </w:r>
          </w:p>
        </w:tc>
        <w:tc>
          <w:tcPr>
            <w:tcW w:w="6321" w:type="dxa"/>
          </w:tcPr>
          <w:p w14:paraId="236A9190" w14:textId="77777777" w:rsidR="00401703" w:rsidRPr="00AD751C" w:rsidRDefault="00401703" w:rsidP="002D6DD7">
            <w:pPr>
              <w:jc w:val="both"/>
              <w:rPr>
                <w:rFonts w:cs="Times New Roman"/>
                <w:szCs w:val="24"/>
              </w:rPr>
            </w:pPr>
            <w:r w:rsidRPr="00AD751C">
              <w:rPr>
                <w:rFonts w:cs="Times New Roman"/>
                <w:szCs w:val="24"/>
              </w:rPr>
              <w:t>Tablet: 5mg      Powder for injection, 10mg vial</w:t>
            </w:r>
          </w:p>
        </w:tc>
      </w:tr>
      <w:tr w:rsidR="00401703" w:rsidRPr="00AD751C" w14:paraId="0DE5802D" w14:textId="77777777" w:rsidTr="002D6DD7">
        <w:tc>
          <w:tcPr>
            <w:tcW w:w="2695" w:type="dxa"/>
          </w:tcPr>
          <w:p w14:paraId="3B3D3463" w14:textId="77777777" w:rsidR="00401703" w:rsidRPr="00AD751C" w:rsidRDefault="00401703" w:rsidP="002D6DD7">
            <w:pPr>
              <w:jc w:val="both"/>
              <w:rPr>
                <w:rFonts w:cs="Times New Roman"/>
                <w:szCs w:val="24"/>
              </w:rPr>
            </w:pPr>
            <w:r w:rsidRPr="00AD751C">
              <w:rPr>
                <w:rFonts w:cs="Times New Roman"/>
                <w:szCs w:val="24"/>
              </w:rPr>
              <w:t>Indications</w:t>
            </w:r>
          </w:p>
        </w:tc>
        <w:tc>
          <w:tcPr>
            <w:tcW w:w="6321" w:type="dxa"/>
          </w:tcPr>
          <w:p w14:paraId="360F8EC9" w14:textId="77777777" w:rsidR="00401703" w:rsidRPr="00AD751C" w:rsidRDefault="00401703" w:rsidP="002D6DD7">
            <w:pPr>
              <w:jc w:val="both"/>
              <w:rPr>
                <w:rFonts w:cs="Times New Roman"/>
                <w:szCs w:val="24"/>
              </w:rPr>
            </w:pPr>
            <w:r w:rsidRPr="00AD751C">
              <w:rPr>
                <w:rFonts w:cs="Times New Roman"/>
                <w:szCs w:val="24"/>
              </w:rPr>
              <w:t>Schizophrenia</w:t>
            </w:r>
          </w:p>
        </w:tc>
      </w:tr>
      <w:tr w:rsidR="00401703" w:rsidRPr="00AD751C" w14:paraId="57BC7D53" w14:textId="77777777" w:rsidTr="002D6DD7">
        <w:tc>
          <w:tcPr>
            <w:tcW w:w="2695" w:type="dxa"/>
          </w:tcPr>
          <w:p w14:paraId="3872F8F1" w14:textId="77777777" w:rsidR="00401703" w:rsidRPr="00AD751C" w:rsidRDefault="00401703" w:rsidP="002D6DD7">
            <w:pPr>
              <w:jc w:val="both"/>
              <w:rPr>
                <w:rFonts w:cs="Times New Roman"/>
                <w:szCs w:val="24"/>
              </w:rPr>
            </w:pPr>
            <w:r w:rsidRPr="00AD751C">
              <w:rPr>
                <w:rFonts w:cs="Times New Roman"/>
                <w:szCs w:val="24"/>
              </w:rPr>
              <w:t>Dose and Administration</w:t>
            </w:r>
          </w:p>
        </w:tc>
        <w:tc>
          <w:tcPr>
            <w:tcW w:w="6321" w:type="dxa"/>
          </w:tcPr>
          <w:p w14:paraId="2DC5110A" w14:textId="77777777" w:rsidR="00401703" w:rsidRPr="00AD751C" w:rsidRDefault="00401703" w:rsidP="002D6DD7">
            <w:pPr>
              <w:jc w:val="both"/>
              <w:rPr>
                <w:rFonts w:cs="Times New Roman"/>
                <w:b/>
                <w:bCs/>
                <w:szCs w:val="24"/>
              </w:rPr>
            </w:pPr>
            <w:r w:rsidRPr="00AD751C">
              <w:rPr>
                <w:rFonts w:cs="Times New Roman"/>
                <w:b/>
                <w:bCs/>
                <w:szCs w:val="24"/>
              </w:rPr>
              <w:t xml:space="preserve">Adult </w:t>
            </w:r>
            <w:r w:rsidRPr="002D13F8">
              <w:rPr>
                <w:rFonts w:cs="Times New Roman"/>
                <w:bCs/>
                <w:szCs w:val="24"/>
              </w:rPr>
              <w:t>oral:</w:t>
            </w:r>
            <w:r w:rsidRPr="00AD751C">
              <w:rPr>
                <w:rFonts w:cs="Times New Roman"/>
                <w:b/>
                <w:bCs/>
                <w:szCs w:val="24"/>
              </w:rPr>
              <w:t xml:space="preserve"> </w:t>
            </w:r>
          </w:p>
          <w:p w14:paraId="7C2B7E27" w14:textId="77777777" w:rsidR="00401703" w:rsidRPr="00AD751C" w:rsidRDefault="00401703" w:rsidP="002D6DD7">
            <w:pPr>
              <w:jc w:val="both"/>
              <w:rPr>
                <w:rFonts w:cs="Times New Roman"/>
                <w:szCs w:val="24"/>
              </w:rPr>
            </w:pPr>
            <w:r w:rsidRPr="00AD751C">
              <w:rPr>
                <w:rFonts w:cs="Times New Roman"/>
                <w:szCs w:val="24"/>
              </w:rPr>
              <w:t xml:space="preserve">10 mg daily, adjusted according to response, usual dose 5–20 mg daily. Control of agitation and disturbed behaviour in schizophrenia or mania, </w:t>
            </w:r>
            <w:r w:rsidRPr="00AD751C">
              <w:rPr>
                <w:rFonts w:cs="Times New Roman"/>
                <w:b/>
                <w:bCs/>
                <w:szCs w:val="24"/>
              </w:rPr>
              <w:t>IM injection:</w:t>
            </w:r>
            <w:r w:rsidRPr="00AD751C">
              <w:rPr>
                <w:rFonts w:cs="Times New Roman"/>
                <w:szCs w:val="24"/>
              </w:rPr>
              <w:t xml:space="preserve"> Initially 5–10 mg for 1 dose, usual dose 10 mg for 1 dose, followed by 5–10 mg after 2 hours if required, maximum 3 injections daily for 3 days, maximum daily combined oral and parenteral dose 20 mg.</w:t>
            </w:r>
          </w:p>
          <w:p w14:paraId="2B938FFC" w14:textId="77777777" w:rsidR="00401703" w:rsidRPr="002D13F8" w:rsidRDefault="00401703" w:rsidP="002D6DD7">
            <w:pPr>
              <w:jc w:val="both"/>
              <w:rPr>
                <w:rFonts w:cs="Times New Roman"/>
                <w:bCs/>
                <w:szCs w:val="24"/>
              </w:rPr>
            </w:pPr>
            <w:r w:rsidRPr="00AD751C">
              <w:rPr>
                <w:rFonts w:cs="Times New Roman"/>
                <w:b/>
                <w:bCs/>
                <w:szCs w:val="24"/>
              </w:rPr>
              <w:t xml:space="preserve">Paediatric </w:t>
            </w:r>
            <w:r w:rsidRPr="002D13F8">
              <w:rPr>
                <w:rFonts w:cs="Times New Roman"/>
                <w:bCs/>
                <w:szCs w:val="24"/>
              </w:rPr>
              <w:t>oral:</w:t>
            </w:r>
          </w:p>
          <w:p w14:paraId="57078D17" w14:textId="77777777" w:rsidR="00401703" w:rsidRPr="00AD751C" w:rsidRDefault="00401703" w:rsidP="002D6DD7">
            <w:pPr>
              <w:jc w:val="both"/>
              <w:rPr>
                <w:rFonts w:cs="Times New Roman"/>
                <w:szCs w:val="24"/>
              </w:rPr>
            </w:pPr>
            <w:r w:rsidRPr="00AD751C">
              <w:rPr>
                <w:rFonts w:cs="Times New Roman"/>
                <w:szCs w:val="24"/>
              </w:rPr>
              <w:t>Child 12–17 years (under expert supervision): Initially 5–10 mg daily, adjusted according to response, usual dose 5–20 mg daily</w:t>
            </w:r>
          </w:p>
        </w:tc>
      </w:tr>
      <w:tr w:rsidR="00401703" w:rsidRPr="00AD751C" w14:paraId="1AD4004A" w14:textId="77777777" w:rsidTr="002D6DD7">
        <w:tc>
          <w:tcPr>
            <w:tcW w:w="2695" w:type="dxa"/>
          </w:tcPr>
          <w:p w14:paraId="7520CE6A" w14:textId="77777777" w:rsidR="00401703" w:rsidRPr="00AD751C" w:rsidRDefault="00401703" w:rsidP="002D6DD7">
            <w:pPr>
              <w:jc w:val="both"/>
              <w:rPr>
                <w:rFonts w:cs="Times New Roman"/>
                <w:szCs w:val="24"/>
              </w:rPr>
            </w:pPr>
            <w:r w:rsidRPr="00AD751C">
              <w:rPr>
                <w:rFonts w:cs="Times New Roman"/>
                <w:szCs w:val="24"/>
              </w:rPr>
              <w:t>Contraindications</w:t>
            </w:r>
          </w:p>
        </w:tc>
        <w:tc>
          <w:tcPr>
            <w:tcW w:w="6321" w:type="dxa"/>
          </w:tcPr>
          <w:p w14:paraId="069B9C9E" w14:textId="77777777" w:rsidR="00401703" w:rsidRPr="00AD751C" w:rsidRDefault="00401703" w:rsidP="002D6DD7">
            <w:pPr>
              <w:jc w:val="both"/>
              <w:rPr>
                <w:rFonts w:cs="Times New Roman"/>
                <w:szCs w:val="24"/>
              </w:rPr>
            </w:pPr>
            <w:r w:rsidRPr="00AD751C">
              <w:rPr>
                <w:rFonts w:cs="Times New Roman"/>
                <w:szCs w:val="24"/>
              </w:rPr>
              <w:t xml:space="preserve">Refer under </w:t>
            </w:r>
            <w:r w:rsidR="002D13F8">
              <w:rPr>
                <w:rFonts w:cs="Times New Roman"/>
                <w:szCs w:val="24"/>
              </w:rPr>
              <w:t>m</w:t>
            </w:r>
            <w:r w:rsidRPr="00AD751C">
              <w:rPr>
                <w:rFonts w:cs="Times New Roman"/>
                <w:szCs w:val="24"/>
              </w:rPr>
              <w:t>edicines for bipolar disorders</w:t>
            </w:r>
          </w:p>
        </w:tc>
      </w:tr>
      <w:tr w:rsidR="00401703" w:rsidRPr="00AD751C" w14:paraId="78EBD9E8" w14:textId="77777777" w:rsidTr="002D6DD7">
        <w:tc>
          <w:tcPr>
            <w:tcW w:w="2695" w:type="dxa"/>
          </w:tcPr>
          <w:p w14:paraId="521BD4C6" w14:textId="77777777" w:rsidR="00401703" w:rsidRPr="00AD751C" w:rsidRDefault="00401703" w:rsidP="002D6DD7">
            <w:pPr>
              <w:jc w:val="both"/>
              <w:rPr>
                <w:rFonts w:cs="Times New Roman"/>
                <w:szCs w:val="24"/>
              </w:rPr>
            </w:pPr>
            <w:r w:rsidRPr="00AD751C">
              <w:rPr>
                <w:rFonts w:cs="Times New Roman"/>
                <w:szCs w:val="24"/>
              </w:rPr>
              <w:t>Drug Interactions</w:t>
            </w:r>
          </w:p>
        </w:tc>
        <w:tc>
          <w:tcPr>
            <w:tcW w:w="6321" w:type="dxa"/>
          </w:tcPr>
          <w:p w14:paraId="10BE8B1F" w14:textId="77777777" w:rsidR="00401703" w:rsidRPr="00AD751C" w:rsidRDefault="00401703" w:rsidP="002D6DD7">
            <w:pPr>
              <w:jc w:val="both"/>
              <w:rPr>
                <w:rFonts w:cs="Times New Roman"/>
                <w:szCs w:val="24"/>
              </w:rPr>
            </w:pPr>
            <w:r w:rsidRPr="00AD751C">
              <w:rPr>
                <w:rFonts w:cs="Times New Roman"/>
                <w:szCs w:val="24"/>
              </w:rPr>
              <w:t xml:space="preserve">Refer under </w:t>
            </w:r>
            <w:r w:rsidR="002D13F8">
              <w:rPr>
                <w:rFonts w:cs="Times New Roman"/>
                <w:szCs w:val="24"/>
              </w:rPr>
              <w:t>m</w:t>
            </w:r>
            <w:r w:rsidRPr="00AD751C">
              <w:rPr>
                <w:rFonts w:cs="Times New Roman"/>
                <w:szCs w:val="24"/>
              </w:rPr>
              <w:t>edicines for bipolar disorders</w:t>
            </w:r>
          </w:p>
        </w:tc>
      </w:tr>
      <w:tr w:rsidR="00401703" w:rsidRPr="00AD751C" w14:paraId="7FC3100A" w14:textId="77777777" w:rsidTr="002D6DD7">
        <w:tc>
          <w:tcPr>
            <w:tcW w:w="2695" w:type="dxa"/>
          </w:tcPr>
          <w:p w14:paraId="0B139B96" w14:textId="77777777" w:rsidR="00401703" w:rsidRPr="00AD751C" w:rsidRDefault="00401703" w:rsidP="002D6DD7">
            <w:pPr>
              <w:jc w:val="both"/>
              <w:rPr>
                <w:rFonts w:cs="Times New Roman"/>
                <w:szCs w:val="24"/>
              </w:rPr>
            </w:pPr>
            <w:r w:rsidRPr="00AD751C">
              <w:rPr>
                <w:rFonts w:cs="Times New Roman"/>
                <w:szCs w:val="24"/>
              </w:rPr>
              <w:t>Side Effects</w:t>
            </w:r>
          </w:p>
        </w:tc>
        <w:tc>
          <w:tcPr>
            <w:tcW w:w="6321" w:type="dxa"/>
          </w:tcPr>
          <w:p w14:paraId="0A44782D" w14:textId="77777777" w:rsidR="00401703" w:rsidRPr="00AD751C" w:rsidRDefault="00401703" w:rsidP="002D6DD7">
            <w:pPr>
              <w:jc w:val="both"/>
              <w:rPr>
                <w:rFonts w:cs="Times New Roman"/>
                <w:szCs w:val="24"/>
              </w:rPr>
            </w:pPr>
            <w:r w:rsidRPr="00AD751C">
              <w:rPr>
                <w:rFonts w:cs="Times New Roman"/>
                <w:szCs w:val="24"/>
              </w:rPr>
              <w:t xml:space="preserve">Refer under </w:t>
            </w:r>
            <w:r w:rsidR="002D13F8">
              <w:rPr>
                <w:rFonts w:cs="Times New Roman"/>
                <w:szCs w:val="24"/>
              </w:rPr>
              <w:t>m</w:t>
            </w:r>
            <w:r w:rsidRPr="00AD751C">
              <w:rPr>
                <w:rFonts w:cs="Times New Roman"/>
                <w:szCs w:val="24"/>
              </w:rPr>
              <w:t>edicines for bipolar disorders</w:t>
            </w:r>
          </w:p>
        </w:tc>
      </w:tr>
      <w:tr w:rsidR="00401703" w:rsidRPr="00AD751C" w14:paraId="4353257F" w14:textId="77777777" w:rsidTr="002D6DD7">
        <w:tc>
          <w:tcPr>
            <w:tcW w:w="2695" w:type="dxa"/>
          </w:tcPr>
          <w:p w14:paraId="794B4A96" w14:textId="77777777" w:rsidR="00401703" w:rsidRPr="00AD751C" w:rsidRDefault="00401703" w:rsidP="002D6DD7">
            <w:pPr>
              <w:jc w:val="both"/>
              <w:rPr>
                <w:rFonts w:cs="Times New Roman"/>
                <w:szCs w:val="24"/>
              </w:rPr>
            </w:pPr>
            <w:r w:rsidRPr="00AD751C">
              <w:rPr>
                <w:rFonts w:cs="Times New Roman"/>
                <w:szCs w:val="24"/>
              </w:rPr>
              <w:t>Cautions</w:t>
            </w:r>
          </w:p>
        </w:tc>
        <w:tc>
          <w:tcPr>
            <w:tcW w:w="6321" w:type="dxa"/>
          </w:tcPr>
          <w:p w14:paraId="58795F8A" w14:textId="77777777" w:rsidR="00401703" w:rsidRPr="00AD751C" w:rsidRDefault="00401703" w:rsidP="002D6DD7">
            <w:pPr>
              <w:jc w:val="both"/>
              <w:rPr>
                <w:rFonts w:cs="Times New Roman"/>
                <w:szCs w:val="24"/>
              </w:rPr>
            </w:pPr>
            <w:r w:rsidRPr="00AD751C">
              <w:rPr>
                <w:rFonts w:cs="Times New Roman"/>
                <w:szCs w:val="24"/>
              </w:rPr>
              <w:t xml:space="preserve">Refer under </w:t>
            </w:r>
            <w:r w:rsidR="002D13F8">
              <w:rPr>
                <w:rFonts w:cs="Times New Roman"/>
                <w:szCs w:val="24"/>
              </w:rPr>
              <w:t>m</w:t>
            </w:r>
            <w:r w:rsidRPr="00AD751C">
              <w:rPr>
                <w:rFonts w:cs="Times New Roman"/>
                <w:szCs w:val="24"/>
              </w:rPr>
              <w:t>edicines for bipolar disorders</w:t>
            </w:r>
          </w:p>
        </w:tc>
      </w:tr>
      <w:tr w:rsidR="00401703" w:rsidRPr="00AD751C" w14:paraId="4E20E23E" w14:textId="77777777" w:rsidTr="002D6DD7">
        <w:tc>
          <w:tcPr>
            <w:tcW w:w="2695" w:type="dxa"/>
          </w:tcPr>
          <w:p w14:paraId="67D25658" w14:textId="77777777" w:rsidR="00401703" w:rsidRPr="00AD751C" w:rsidRDefault="00401703" w:rsidP="002D6DD7">
            <w:pPr>
              <w:jc w:val="both"/>
              <w:rPr>
                <w:rFonts w:cs="Times New Roman"/>
                <w:szCs w:val="24"/>
              </w:rPr>
            </w:pPr>
            <w:r w:rsidRPr="00AD751C">
              <w:rPr>
                <w:rFonts w:cs="Times New Roman"/>
                <w:szCs w:val="24"/>
              </w:rPr>
              <w:lastRenderedPageBreak/>
              <w:t>Storage Condition</w:t>
            </w:r>
          </w:p>
        </w:tc>
        <w:tc>
          <w:tcPr>
            <w:tcW w:w="6321" w:type="dxa"/>
          </w:tcPr>
          <w:p w14:paraId="0B476CAD" w14:textId="77777777" w:rsidR="00401703" w:rsidRPr="00AD751C" w:rsidRDefault="00401703" w:rsidP="002D6DD7">
            <w:pPr>
              <w:jc w:val="both"/>
              <w:rPr>
                <w:rFonts w:cs="Times New Roman"/>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r w:rsidR="00401703" w:rsidRPr="00AD751C" w14:paraId="09E8213E" w14:textId="77777777" w:rsidTr="002D6DD7">
        <w:tc>
          <w:tcPr>
            <w:tcW w:w="2695" w:type="dxa"/>
          </w:tcPr>
          <w:p w14:paraId="5E94439B" w14:textId="77777777" w:rsidR="00401703" w:rsidRPr="00AD751C" w:rsidRDefault="00401703" w:rsidP="002D6DD7">
            <w:pPr>
              <w:jc w:val="both"/>
              <w:rPr>
                <w:rFonts w:cs="Times New Roman"/>
                <w:b/>
                <w:bCs/>
                <w:szCs w:val="24"/>
              </w:rPr>
            </w:pPr>
            <w:r w:rsidRPr="00AD751C">
              <w:rPr>
                <w:rFonts w:cs="Times New Roman"/>
                <w:b/>
                <w:bCs/>
                <w:szCs w:val="24"/>
              </w:rPr>
              <w:t>Quetiapine</w:t>
            </w:r>
          </w:p>
        </w:tc>
        <w:tc>
          <w:tcPr>
            <w:tcW w:w="6321" w:type="dxa"/>
          </w:tcPr>
          <w:p w14:paraId="78F27E67" w14:textId="77777777" w:rsidR="00401703" w:rsidRPr="00AD751C" w:rsidRDefault="00401703" w:rsidP="002D6DD7">
            <w:pPr>
              <w:jc w:val="both"/>
              <w:rPr>
                <w:rFonts w:cs="Times New Roman"/>
                <w:szCs w:val="24"/>
              </w:rPr>
            </w:pPr>
          </w:p>
        </w:tc>
      </w:tr>
      <w:tr w:rsidR="00401703" w:rsidRPr="00AD751C" w14:paraId="04D8B273" w14:textId="77777777" w:rsidTr="002D6DD7">
        <w:tc>
          <w:tcPr>
            <w:tcW w:w="2695" w:type="dxa"/>
          </w:tcPr>
          <w:p w14:paraId="295009B0" w14:textId="77777777" w:rsidR="00401703" w:rsidRPr="00AD751C" w:rsidRDefault="00401703" w:rsidP="002D6DD7">
            <w:pPr>
              <w:jc w:val="both"/>
              <w:rPr>
                <w:rFonts w:cs="Times New Roman"/>
                <w:szCs w:val="24"/>
              </w:rPr>
            </w:pPr>
            <w:r w:rsidRPr="00AD751C">
              <w:rPr>
                <w:rFonts w:cs="Times New Roman"/>
                <w:szCs w:val="24"/>
              </w:rPr>
              <w:t>Pharmacological Class</w:t>
            </w:r>
          </w:p>
        </w:tc>
        <w:tc>
          <w:tcPr>
            <w:tcW w:w="6321" w:type="dxa"/>
          </w:tcPr>
          <w:p w14:paraId="7E906752" w14:textId="77777777" w:rsidR="00401703" w:rsidRPr="00AD751C" w:rsidRDefault="00401703" w:rsidP="002D6DD7">
            <w:pPr>
              <w:jc w:val="both"/>
              <w:rPr>
                <w:rFonts w:cs="Times New Roman"/>
                <w:szCs w:val="24"/>
              </w:rPr>
            </w:pPr>
            <w:r w:rsidRPr="00AD751C">
              <w:rPr>
                <w:rFonts w:cs="Times New Roman"/>
                <w:szCs w:val="24"/>
              </w:rPr>
              <w:t>Atypical antipsychotic</w:t>
            </w:r>
          </w:p>
        </w:tc>
      </w:tr>
      <w:tr w:rsidR="00401703" w:rsidRPr="00AD751C" w14:paraId="4F4CF78F" w14:textId="77777777" w:rsidTr="002D6DD7">
        <w:tc>
          <w:tcPr>
            <w:tcW w:w="2695" w:type="dxa"/>
          </w:tcPr>
          <w:p w14:paraId="08428A6C" w14:textId="77777777" w:rsidR="00401703" w:rsidRPr="00AD751C" w:rsidRDefault="00401703" w:rsidP="002D6DD7">
            <w:pPr>
              <w:jc w:val="both"/>
              <w:rPr>
                <w:rFonts w:cs="Times New Roman"/>
                <w:szCs w:val="24"/>
              </w:rPr>
            </w:pPr>
            <w:r w:rsidRPr="00AD751C">
              <w:rPr>
                <w:rFonts w:cs="Times New Roman"/>
                <w:szCs w:val="24"/>
              </w:rPr>
              <w:t>Dosage Form</w:t>
            </w:r>
          </w:p>
        </w:tc>
        <w:tc>
          <w:tcPr>
            <w:tcW w:w="6321" w:type="dxa"/>
          </w:tcPr>
          <w:p w14:paraId="7BC4FDE3" w14:textId="77777777" w:rsidR="00401703" w:rsidRPr="00AD751C" w:rsidRDefault="00401703" w:rsidP="002D6DD7">
            <w:pPr>
              <w:jc w:val="both"/>
              <w:rPr>
                <w:rFonts w:cs="Times New Roman"/>
                <w:szCs w:val="24"/>
              </w:rPr>
            </w:pPr>
            <w:r w:rsidRPr="00AD751C">
              <w:rPr>
                <w:rFonts w:cs="Times New Roman"/>
                <w:szCs w:val="24"/>
              </w:rPr>
              <w:t>Tablet: 100 mg, 200 mg, 300 mg</w:t>
            </w:r>
          </w:p>
        </w:tc>
      </w:tr>
      <w:tr w:rsidR="00401703" w:rsidRPr="00AD751C" w14:paraId="05EC3C9A" w14:textId="77777777" w:rsidTr="002D6DD7">
        <w:tc>
          <w:tcPr>
            <w:tcW w:w="2695" w:type="dxa"/>
          </w:tcPr>
          <w:p w14:paraId="56C1F9CC" w14:textId="77777777" w:rsidR="00401703" w:rsidRPr="00AD751C" w:rsidRDefault="00401703" w:rsidP="002D6DD7">
            <w:pPr>
              <w:jc w:val="both"/>
              <w:rPr>
                <w:rFonts w:cs="Times New Roman"/>
                <w:szCs w:val="24"/>
              </w:rPr>
            </w:pPr>
            <w:r w:rsidRPr="00AD751C">
              <w:rPr>
                <w:rFonts w:cs="Times New Roman"/>
                <w:szCs w:val="24"/>
              </w:rPr>
              <w:t>Indication</w:t>
            </w:r>
          </w:p>
        </w:tc>
        <w:tc>
          <w:tcPr>
            <w:tcW w:w="6321" w:type="dxa"/>
          </w:tcPr>
          <w:p w14:paraId="6A98E092" w14:textId="77777777" w:rsidR="00401703" w:rsidRPr="00AD751C" w:rsidRDefault="00401703" w:rsidP="002D6DD7">
            <w:pPr>
              <w:jc w:val="both"/>
              <w:rPr>
                <w:rFonts w:cs="Times New Roman"/>
                <w:szCs w:val="24"/>
              </w:rPr>
            </w:pPr>
            <w:r w:rsidRPr="00AD751C">
              <w:rPr>
                <w:rFonts w:eastAsia="Times New Roman" w:cs="Times New Roman"/>
                <w:szCs w:val="24"/>
              </w:rPr>
              <w:t>Schizophrenia</w:t>
            </w:r>
          </w:p>
        </w:tc>
      </w:tr>
      <w:tr w:rsidR="00401703" w:rsidRPr="00AD751C" w14:paraId="00415B71" w14:textId="77777777" w:rsidTr="002D6DD7">
        <w:tc>
          <w:tcPr>
            <w:tcW w:w="2695" w:type="dxa"/>
          </w:tcPr>
          <w:p w14:paraId="52DD8136" w14:textId="77777777" w:rsidR="00401703" w:rsidRPr="00AD751C" w:rsidRDefault="00401703" w:rsidP="002D6DD7">
            <w:pPr>
              <w:jc w:val="both"/>
              <w:rPr>
                <w:rFonts w:cs="Times New Roman"/>
                <w:szCs w:val="24"/>
              </w:rPr>
            </w:pPr>
            <w:r w:rsidRPr="00AD751C">
              <w:rPr>
                <w:rFonts w:cs="Times New Roman"/>
                <w:szCs w:val="24"/>
              </w:rPr>
              <w:t>Dose and Administration</w:t>
            </w:r>
          </w:p>
        </w:tc>
        <w:tc>
          <w:tcPr>
            <w:tcW w:w="6321" w:type="dxa"/>
          </w:tcPr>
          <w:p w14:paraId="16B2E756" w14:textId="77777777" w:rsidR="00401703" w:rsidRPr="00AD751C" w:rsidRDefault="00401703" w:rsidP="002D6DD7">
            <w:pPr>
              <w:rPr>
                <w:rFonts w:cs="Times New Roman"/>
                <w:szCs w:val="24"/>
              </w:rPr>
            </w:pPr>
            <w:r w:rsidRPr="00AD751C">
              <w:rPr>
                <w:rFonts w:cs="Times New Roman"/>
                <w:b/>
                <w:bCs/>
                <w:szCs w:val="24"/>
              </w:rPr>
              <w:t>Adult</w:t>
            </w:r>
            <w:r w:rsidR="002D13F8">
              <w:rPr>
                <w:rFonts w:cs="Times New Roman"/>
                <w:b/>
                <w:bCs/>
                <w:szCs w:val="24"/>
              </w:rPr>
              <w:t>,</w:t>
            </w:r>
            <w:r w:rsidRPr="00AD751C">
              <w:rPr>
                <w:rFonts w:cs="Times New Roman"/>
                <w:b/>
                <w:bCs/>
                <w:szCs w:val="24"/>
              </w:rPr>
              <w:t xml:space="preserve"> </w:t>
            </w:r>
            <w:r w:rsidRPr="002D13F8">
              <w:rPr>
                <w:rFonts w:cs="Times New Roman"/>
                <w:bCs/>
                <w:szCs w:val="24"/>
              </w:rPr>
              <w:t>oral:</w:t>
            </w:r>
            <w:r w:rsidRPr="00AD751C">
              <w:rPr>
                <w:rFonts w:cs="Times New Roman"/>
                <w:szCs w:val="24"/>
              </w:rPr>
              <w:t xml:space="preserve"> 400–800 mg daily, depending on the clinical response and tolerability by the patient.</w:t>
            </w:r>
          </w:p>
          <w:p w14:paraId="6861853D" w14:textId="77777777" w:rsidR="00401703" w:rsidRPr="00AD751C" w:rsidRDefault="00401703" w:rsidP="002D6DD7">
            <w:pPr>
              <w:jc w:val="both"/>
              <w:rPr>
                <w:rFonts w:cs="Times New Roman"/>
                <w:szCs w:val="24"/>
              </w:rPr>
            </w:pPr>
            <w:r w:rsidRPr="002D13F8">
              <w:rPr>
                <w:rFonts w:cs="Times New Roman"/>
                <w:b/>
                <w:szCs w:val="24"/>
              </w:rPr>
              <w:t>Child 13–17 years:</w:t>
            </w:r>
            <w:r w:rsidRPr="00AD751C">
              <w:rPr>
                <w:rFonts w:cs="Times New Roman"/>
                <w:szCs w:val="24"/>
              </w:rPr>
              <w:t xml:space="preserve"> 25 mg twice daily on day 1, 100 mg divided twice daily on day 2, 200 mg divided twice daily on day 3, 300 mg divided twice daily on day 4, 400 mg divided twice daily on day 5 with further dose adjustments with increments of not more than 100 mg/day up to a maximum of 800 mg/day.</w:t>
            </w:r>
          </w:p>
        </w:tc>
      </w:tr>
      <w:tr w:rsidR="00401703" w:rsidRPr="00AD751C" w14:paraId="1DA7D6A6" w14:textId="77777777" w:rsidTr="002D6DD7">
        <w:tc>
          <w:tcPr>
            <w:tcW w:w="2695" w:type="dxa"/>
          </w:tcPr>
          <w:p w14:paraId="665DAF34" w14:textId="77777777" w:rsidR="00401703" w:rsidRPr="00AD751C" w:rsidRDefault="00401703" w:rsidP="002D6DD7">
            <w:pPr>
              <w:jc w:val="both"/>
              <w:rPr>
                <w:rFonts w:cs="Times New Roman"/>
                <w:szCs w:val="24"/>
              </w:rPr>
            </w:pPr>
            <w:r w:rsidRPr="00AD751C">
              <w:rPr>
                <w:rFonts w:cs="Times New Roman"/>
                <w:szCs w:val="24"/>
              </w:rPr>
              <w:t>Contraindication</w:t>
            </w:r>
          </w:p>
        </w:tc>
        <w:tc>
          <w:tcPr>
            <w:tcW w:w="6321" w:type="dxa"/>
          </w:tcPr>
          <w:p w14:paraId="33173DBA" w14:textId="77777777" w:rsidR="00401703" w:rsidRPr="00AD751C" w:rsidRDefault="00401703" w:rsidP="002D6DD7">
            <w:pPr>
              <w:jc w:val="both"/>
              <w:rPr>
                <w:rFonts w:cs="Times New Roman"/>
                <w:szCs w:val="24"/>
              </w:rPr>
            </w:pPr>
            <w:r w:rsidRPr="00AD751C">
              <w:rPr>
                <w:rFonts w:cs="Times New Roman"/>
                <w:szCs w:val="24"/>
              </w:rPr>
              <w:t xml:space="preserve">Refer under </w:t>
            </w:r>
            <w:r w:rsidR="00BA22BF">
              <w:rPr>
                <w:rFonts w:cs="Times New Roman"/>
                <w:szCs w:val="24"/>
              </w:rPr>
              <w:t>m</w:t>
            </w:r>
            <w:r w:rsidRPr="00AD751C">
              <w:rPr>
                <w:rFonts w:cs="Times New Roman"/>
                <w:szCs w:val="24"/>
              </w:rPr>
              <w:t>edicines for bipolar disorders</w:t>
            </w:r>
          </w:p>
        </w:tc>
      </w:tr>
      <w:tr w:rsidR="00401703" w:rsidRPr="00AD751C" w14:paraId="16147FD2" w14:textId="77777777" w:rsidTr="002D6DD7">
        <w:tc>
          <w:tcPr>
            <w:tcW w:w="2695" w:type="dxa"/>
          </w:tcPr>
          <w:p w14:paraId="4AE25C1F" w14:textId="77777777" w:rsidR="00401703" w:rsidRPr="00AD751C" w:rsidRDefault="00401703" w:rsidP="002D6DD7">
            <w:pPr>
              <w:jc w:val="both"/>
              <w:rPr>
                <w:rFonts w:cs="Times New Roman"/>
                <w:szCs w:val="24"/>
              </w:rPr>
            </w:pPr>
            <w:r w:rsidRPr="00AD751C">
              <w:rPr>
                <w:rFonts w:cs="Times New Roman"/>
                <w:szCs w:val="24"/>
              </w:rPr>
              <w:t>Drug Interactions</w:t>
            </w:r>
          </w:p>
        </w:tc>
        <w:tc>
          <w:tcPr>
            <w:tcW w:w="6321" w:type="dxa"/>
          </w:tcPr>
          <w:p w14:paraId="68F4E57B" w14:textId="77777777" w:rsidR="00401703" w:rsidRPr="00AD751C" w:rsidRDefault="00401703" w:rsidP="002D6DD7">
            <w:pPr>
              <w:jc w:val="both"/>
              <w:rPr>
                <w:rFonts w:cs="Times New Roman"/>
                <w:szCs w:val="24"/>
              </w:rPr>
            </w:pPr>
            <w:r w:rsidRPr="00AD751C">
              <w:rPr>
                <w:rFonts w:cs="Times New Roman"/>
                <w:szCs w:val="24"/>
              </w:rPr>
              <w:t xml:space="preserve">Refer under </w:t>
            </w:r>
            <w:r w:rsidR="00BA22BF">
              <w:rPr>
                <w:rFonts w:cs="Times New Roman"/>
                <w:szCs w:val="24"/>
              </w:rPr>
              <w:t>m</w:t>
            </w:r>
            <w:r w:rsidRPr="00AD751C">
              <w:rPr>
                <w:rFonts w:cs="Times New Roman"/>
                <w:szCs w:val="24"/>
              </w:rPr>
              <w:t>edicines for bipolar disorders</w:t>
            </w:r>
          </w:p>
        </w:tc>
      </w:tr>
      <w:tr w:rsidR="00401703" w:rsidRPr="00AD751C" w14:paraId="4A009C40" w14:textId="77777777" w:rsidTr="002D6DD7">
        <w:tc>
          <w:tcPr>
            <w:tcW w:w="2695" w:type="dxa"/>
          </w:tcPr>
          <w:p w14:paraId="2B78507D" w14:textId="77777777" w:rsidR="00401703" w:rsidRPr="00AD751C" w:rsidRDefault="00401703" w:rsidP="002D6DD7">
            <w:pPr>
              <w:jc w:val="both"/>
              <w:rPr>
                <w:rFonts w:cs="Times New Roman"/>
                <w:szCs w:val="24"/>
              </w:rPr>
            </w:pPr>
            <w:r w:rsidRPr="00AD751C">
              <w:rPr>
                <w:rFonts w:cs="Times New Roman"/>
                <w:szCs w:val="24"/>
              </w:rPr>
              <w:t>Side Effects</w:t>
            </w:r>
          </w:p>
        </w:tc>
        <w:tc>
          <w:tcPr>
            <w:tcW w:w="6321" w:type="dxa"/>
          </w:tcPr>
          <w:p w14:paraId="41B4A3E7" w14:textId="77777777" w:rsidR="00401703" w:rsidRPr="00AD751C" w:rsidRDefault="00401703" w:rsidP="002D6DD7">
            <w:pPr>
              <w:jc w:val="both"/>
              <w:rPr>
                <w:rFonts w:cs="Times New Roman"/>
                <w:szCs w:val="24"/>
              </w:rPr>
            </w:pPr>
            <w:r w:rsidRPr="00AD751C">
              <w:rPr>
                <w:rFonts w:cs="Times New Roman"/>
                <w:szCs w:val="24"/>
              </w:rPr>
              <w:t xml:space="preserve">Refer under </w:t>
            </w:r>
            <w:r w:rsidR="00BA22BF">
              <w:rPr>
                <w:rFonts w:cs="Times New Roman"/>
                <w:szCs w:val="24"/>
              </w:rPr>
              <w:t>m</w:t>
            </w:r>
            <w:r w:rsidRPr="00AD751C">
              <w:rPr>
                <w:rFonts w:cs="Times New Roman"/>
                <w:szCs w:val="24"/>
              </w:rPr>
              <w:t>edicines for bipolar disorders</w:t>
            </w:r>
          </w:p>
        </w:tc>
      </w:tr>
      <w:tr w:rsidR="00401703" w:rsidRPr="00AD751C" w14:paraId="43FCD34E" w14:textId="77777777" w:rsidTr="002D6DD7">
        <w:tc>
          <w:tcPr>
            <w:tcW w:w="2695" w:type="dxa"/>
          </w:tcPr>
          <w:p w14:paraId="14771A18" w14:textId="77777777" w:rsidR="00401703" w:rsidRPr="00AD751C" w:rsidRDefault="00401703" w:rsidP="002D6DD7">
            <w:pPr>
              <w:jc w:val="both"/>
              <w:rPr>
                <w:rFonts w:cs="Times New Roman"/>
                <w:szCs w:val="24"/>
              </w:rPr>
            </w:pPr>
            <w:r w:rsidRPr="00AD751C">
              <w:rPr>
                <w:rFonts w:cs="Times New Roman"/>
                <w:szCs w:val="24"/>
              </w:rPr>
              <w:t>Cautions</w:t>
            </w:r>
          </w:p>
        </w:tc>
        <w:tc>
          <w:tcPr>
            <w:tcW w:w="6321" w:type="dxa"/>
          </w:tcPr>
          <w:p w14:paraId="3830D233" w14:textId="77777777" w:rsidR="00401703" w:rsidRPr="00AD751C" w:rsidRDefault="00401703" w:rsidP="002D6DD7">
            <w:pPr>
              <w:jc w:val="both"/>
              <w:rPr>
                <w:rFonts w:cs="Times New Roman"/>
                <w:szCs w:val="24"/>
              </w:rPr>
            </w:pPr>
            <w:r w:rsidRPr="00AD751C">
              <w:rPr>
                <w:rFonts w:cs="Times New Roman"/>
                <w:szCs w:val="24"/>
              </w:rPr>
              <w:t xml:space="preserve">Refer under </w:t>
            </w:r>
            <w:r w:rsidR="00BA22BF">
              <w:rPr>
                <w:rFonts w:cs="Times New Roman"/>
                <w:szCs w:val="24"/>
              </w:rPr>
              <w:t>m</w:t>
            </w:r>
            <w:r w:rsidRPr="00AD751C">
              <w:rPr>
                <w:rFonts w:cs="Times New Roman"/>
                <w:szCs w:val="24"/>
              </w:rPr>
              <w:t>edicines for bipolar disorders</w:t>
            </w:r>
          </w:p>
        </w:tc>
      </w:tr>
      <w:tr w:rsidR="00401703" w:rsidRPr="00AD751C" w14:paraId="15A6530B" w14:textId="77777777" w:rsidTr="002D6DD7">
        <w:tc>
          <w:tcPr>
            <w:tcW w:w="2695" w:type="dxa"/>
          </w:tcPr>
          <w:p w14:paraId="55433CF0" w14:textId="77777777" w:rsidR="00401703" w:rsidRPr="00AD751C" w:rsidRDefault="00401703" w:rsidP="002D6DD7">
            <w:pPr>
              <w:jc w:val="both"/>
              <w:rPr>
                <w:rFonts w:cs="Times New Roman"/>
                <w:szCs w:val="24"/>
              </w:rPr>
            </w:pPr>
            <w:r w:rsidRPr="00AD751C">
              <w:rPr>
                <w:rFonts w:cs="Times New Roman"/>
                <w:szCs w:val="24"/>
              </w:rPr>
              <w:t>Storage Condition</w:t>
            </w:r>
          </w:p>
        </w:tc>
        <w:tc>
          <w:tcPr>
            <w:tcW w:w="6321" w:type="dxa"/>
          </w:tcPr>
          <w:p w14:paraId="0F85A8B8" w14:textId="77777777" w:rsidR="00401703" w:rsidRPr="00AD751C" w:rsidRDefault="00401703" w:rsidP="002D6DD7">
            <w:pPr>
              <w:jc w:val="both"/>
              <w:rPr>
                <w:rFonts w:cs="Times New Roman"/>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r w:rsidR="00401703" w:rsidRPr="00AD751C" w14:paraId="64FA8FF9" w14:textId="77777777" w:rsidTr="002D6DD7">
        <w:tc>
          <w:tcPr>
            <w:tcW w:w="2695" w:type="dxa"/>
          </w:tcPr>
          <w:p w14:paraId="28CC8951" w14:textId="77777777" w:rsidR="00401703" w:rsidRPr="00AD751C" w:rsidRDefault="00401703" w:rsidP="002D6DD7">
            <w:pPr>
              <w:jc w:val="both"/>
              <w:rPr>
                <w:rFonts w:cs="Times New Roman"/>
                <w:b/>
                <w:bCs/>
                <w:szCs w:val="24"/>
              </w:rPr>
            </w:pPr>
            <w:r w:rsidRPr="00AD751C">
              <w:rPr>
                <w:rFonts w:cs="Times New Roman"/>
                <w:b/>
                <w:bCs/>
                <w:szCs w:val="24"/>
              </w:rPr>
              <w:t>Risperidone</w:t>
            </w:r>
          </w:p>
        </w:tc>
        <w:tc>
          <w:tcPr>
            <w:tcW w:w="6321" w:type="dxa"/>
          </w:tcPr>
          <w:p w14:paraId="49BCA45E" w14:textId="77777777" w:rsidR="00401703" w:rsidRPr="00AD751C" w:rsidRDefault="00401703" w:rsidP="002D6DD7">
            <w:pPr>
              <w:jc w:val="both"/>
              <w:rPr>
                <w:rFonts w:cs="Times New Roman"/>
                <w:szCs w:val="24"/>
              </w:rPr>
            </w:pPr>
          </w:p>
        </w:tc>
      </w:tr>
      <w:tr w:rsidR="00401703" w:rsidRPr="00AD751C" w14:paraId="3B68980F" w14:textId="77777777" w:rsidTr="002D6DD7">
        <w:tc>
          <w:tcPr>
            <w:tcW w:w="2695" w:type="dxa"/>
          </w:tcPr>
          <w:p w14:paraId="7B723DE3" w14:textId="77777777" w:rsidR="00401703" w:rsidRPr="00AD751C" w:rsidRDefault="00401703" w:rsidP="002D6DD7">
            <w:pPr>
              <w:jc w:val="both"/>
              <w:rPr>
                <w:rFonts w:cs="Times New Roman"/>
                <w:color w:val="000000" w:themeColor="text1"/>
                <w:szCs w:val="24"/>
              </w:rPr>
            </w:pPr>
            <w:r w:rsidRPr="00AD751C">
              <w:rPr>
                <w:rFonts w:cs="Times New Roman"/>
                <w:szCs w:val="24"/>
              </w:rPr>
              <w:t>Pharmacological Class</w:t>
            </w:r>
          </w:p>
        </w:tc>
        <w:tc>
          <w:tcPr>
            <w:tcW w:w="6321" w:type="dxa"/>
          </w:tcPr>
          <w:p w14:paraId="68BD2606" w14:textId="77777777" w:rsidR="00401703" w:rsidRPr="00AD751C" w:rsidRDefault="00401703" w:rsidP="002D6DD7">
            <w:pPr>
              <w:jc w:val="both"/>
              <w:rPr>
                <w:rFonts w:cs="Times New Roman"/>
                <w:color w:val="000000" w:themeColor="text1"/>
                <w:szCs w:val="24"/>
              </w:rPr>
            </w:pPr>
            <w:r w:rsidRPr="00AD751C">
              <w:rPr>
                <w:rFonts w:cs="Times New Roman"/>
                <w:szCs w:val="24"/>
              </w:rPr>
              <w:t>Antipsychotic Medicines</w:t>
            </w:r>
          </w:p>
        </w:tc>
      </w:tr>
      <w:tr w:rsidR="00401703" w:rsidRPr="00BD4E51" w14:paraId="323CE4DF" w14:textId="77777777" w:rsidTr="002D6DD7">
        <w:tc>
          <w:tcPr>
            <w:tcW w:w="2695" w:type="dxa"/>
          </w:tcPr>
          <w:p w14:paraId="369E5629" w14:textId="77777777" w:rsidR="00401703" w:rsidRPr="00AD751C" w:rsidRDefault="00401703" w:rsidP="002D6DD7">
            <w:pPr>
              <w:jc w:val="both"/>
              <w:rPr>
                <w:rFonts w:cs="Times New Roman"/>
                <w:color w:val="000000" w:themeColor="text1"/>
                <w:szCs w:val="24"/>
              </w:rPr>
            </w:pPr>
            <w:r w:rsidRPr="00AD751C">
              <w:rPr>
                <w:rFonts w:cs="Times New Roman"/>
                <w:szCs w:val="24"/>
              </w:rPr>
              <w:t>Dosage Form</w:t>
            </w:r>
          </w:p>
        </w:tc>
        <w:tc>
          <w:tcPr>
            <w:tcW w:w="6321" w:type="dxa"/>
          </w:tcPr>
          <w:p w14:paraId="735C2D25" w14:textId="77777777" w:rsidR="00401703" w:rsidRPr="00AD751C" w:rsidRDefault="00401703" w:rsidP="002D6DD7">
            <w:pPr>
              <w:jc w:val="both"/>
              <w:rPr>
                <w:rFonts w:cs="Times New Roman"/>
                <w:color w:val="000000" w:themeColor="text1"/>
                <w:szCs w:val="24"/>
                <w:lang w:val="sv-SE"/>
              </w:rPr>
            </w:pPr>
            <w:r w:rsidRPr="00AD751C">
              <w:rPr>
                <w:rFonts w:cs="Times New Roman"/>
                <w:szCs w:val="24"/>
                <w:lang w:val="sv-SE"/>
              </w:rPr>
              <w:t>Tablet: 1mg, 2mg, 3mg, 4mg</w:t>
            </w:r>
          </w:p>
        </w:tc>
      </w:tr>
      <w:tr w:rsidR="00401703" w:rsidRPr="00AD751C" w14:paraId="7A6F5F36" w14:textId="77777777" w:rsidTr="002D6DD7">
        <w:tc>
          <w:tcPr>
            <w:tcW w:w="2695" w:type="dxa"/>
          </w:tcPr>
          <w:p w14:paraId="6524FF60" w14:textId="77777777" w:rsidR="00401703" w:rsidRPr="00AD751C" w:rsidRDefault="00401703" w:rsidP="002D6DD7">
            <w:pPr>
              <w:jc w:val="both"/>
              <w:rPr>
                <w:rFonts w:cs="Times New Roman"/>
                <w:color w:val="000000" w:themeColor="text1"/>
                <w:szCs w:val="24"/>
              </w:rPr>
            </w:pPr>
            <w:r w:rsidRPr="00AD751C">
              <w:rPr>
                <w:rFonts w:cs="Times New Roman"/>
                <w:szCs w:val="24"/>
              </w:rPr>
              <w:t>Indications</w:t>
            </w:r>
          </w:p>
        </w:tc>
        <w:tc>
          <w:tcPr>
            <w:tcW w:w="6321" w:type="dxa"/>
          </w:tcPr>
          <w:p w14:paraId="5765E0D6" w14:textId="77777777" w:rsidR="00401703" w:rsidRPr="00AD751C" w:rsidRDefault="00401703" w:rsidP="002D6DD7">
            <w:pPr>
              <w:jc w:val="both"/>
              <w:rPr>
                <w:rFonts w:cs="Times New Roman"/>
                <w:color w:val="000000" w:themeColor="text1"/>
                <w:szCs w:val="24"/>
              </w:rPr>
            </w:pPr>
            <w:r w:rsidRPr="00AD751C">
              <w:rPr>
                <w:rFonts w:cs="Times New Roman"/>
                <w:szCs w:val="24"/>
              </w:rPr>
              <w:t>Schizophrenia</w:t>
            </w:r>
          </w:p>
        </w:tc>
      </w:tr>
      <w:tr w:rsidR="00401703" w:rsidRPr="00AD751C" w14:paraId="16AF342A" w14:textId="77777777" w:rsidTr="002D6DD7">
        <w:tc>
          <w:tcPr>
            <w:tcW w:w="2695" w:type="dxa"/>
          </w:tcPr>
          <w:p w14:paraId="1DA482EB" w14:textId="77777777" w:rsidR="00401703" w:rsidRPr="00AD751C" w:rsidRDefault="00401703" w:rsidP="002D6DD7">
            <w:pPr>
              <w:rPr>
                <w:rFonts w:cs="Times New Roman"/>
                <w:color w:val="000000" w:themeColor="text1"/>
                <w:szCs w:val="24"/>
              </w:rPr>
            </w:pPr>
            <w:r w:rsidRPr="00AD751C">
              <w:rPr>
                <w:rFonts w:cs="Times New Roman"/>
                <w:szCs w:val="24"/>
              </w:rPr>
              <w:t>Dose and Administration</w:t>
            </w:r>
          </w:p>
        </w:tc>
        <w:tc>
          <w:tcPr>
            <w:tcW w:w="6321" w:type="dxa"/>
          </w:tcPr>
          <w:p w14:paraId="4B3F4537" w14:textId="77777777" w:rsidR="00BA22BF" w:rsidRDefault="00401703" w:rsidP="002D6DD7">
            <w:pPr>
              <w:jc w:val="both"/>
              <w:rPr>
                <w:rFonts w:cs="Times New Roman"/>
                <w:szCs w:val="24"/>
              </w:rPr>
            </w:pPr>
            <w:r w:rsidRPr="00AD751C">
              <w:rPr>
                <w:rFonts w:cs="Times New Roman"/>
                <w:b/>
                <w:bCs/>
                <w:szCs w:val="24"/>
              </w:rPr>
              <w:t>Acute and chronic psychosis</w:t>
            </w:r>
            <w:r w:rsidR="00BA22BF">
              <w:rPr>
                <w:rFonts w:cs="Times New Roman"/>
                <w:b/>
                <w:bCs/>
                <w:szCs w:val="24"/>
              </w:rPr>
              <w:t xml:space="preserve">, </w:t>
            </w:r>
            <w:r w:rsidR="00BA22BF" w:rsidRPr="00BA22BF">
              <w:rPr>
                <w:rFonts w:cs="Times New Roman"/>
                <w:bCs/>
                <w:szCs w:val="24"/>
              </w:rPr>
              <w:t>o</w:t>
            </w:r>
            <w:r w:rsidRPr="00AD751C">
              <w:rPr>
                <w:rFonts w:cs="Times New Roman"/>
                <w:szCs w:val="24"/>
              </w:rPr>
              <w:t xml:space="preserve">ral: </w:t>
            </w:r>
          </w:p>
          <w:p w14:paraId="554F32A2" w14:textId="77777777" w:rsidR="00BA22BF" w:rsidRDefault="00BA22BF" w:rsidP="002D6DD7">
            <w:pPr>
              <w:jc w:val="both"/>
              <w:rPr>
                <w:rFonts w:cs="Times New Roman"/>
                <w:szCs w:val="24"/>
              </w:rPr>
            </w:pPr>
            <w:r w:rsidRPr="00BA22BF">
              <w:rPr>
                <w:rFonts w:cs="Times New Roman"/>
                <w:b/>
                <w:szCs w:val="24"/>
              </w:rPr>
              <w:t>Adult:</w:t>
            </w:r>
            <w:r>
              <w:rPr>
                <w:rFonts w:cs="Times New Roman"/>
                <w:szCs w:val="24"/>
              </w:rPr>
              <w:t xml:space="preserve"> </w:t>
            </w:r>
            <w:r w:rsidR="00401703" w:rsidRPr="00AD751C">
              <w:rPr>
                <w:rFonts w:cs="Times New Roman"/>
                <w:szCs w:val="24"/>
              </w:rPr>
              <w:t xml:space="preserve">2 mg daily in 1–2 divided doses for day 1, then 4 mg daily in 1–2 divided doses for day 2. Usual dose 4–6 mg daily. </w:t>
            </w:r>
          </w:p>
          <w:p w14:paraId="5A566105" w14:textId="77777777" w:rsidR="00BA22BF" w:rsidRDefault="00401703" w:rsidP="002D6DD7">
            <w:pPr>
              <w:jc w:val="both"/>
              <w:rPr>
                <w:rFonts w:cs="Times New Roman"/>
                <w:szCs w:val="24"/>
              </w:rPr>
            </w:pPr>
            <w:r w:rsidRPr="00AD751C">
              <w:rPr>
                <w:rFonts w:cs="Times New Roman"/>
                <w:b/>
                <w:bCs/>
                <w:szCs w:val="24"/>
              </w:rPr>
              <w:t>Mania</w:t>
            </w:r>
            <w:r w:rsidR="00BA22BF">
              <w:rPr>
                <w:rFonts w:cs="Times New Roman"/>
                <w:b/>
                <w:bCs/>
                <w:szCs w:val="24"/>
              </w:rPr>
              <w:t xml:space="preserve">, </w:t>
            </w:r>
            <w:r w:rsidR="00BA22BF" w:rsidRPr="00BA22BF">
              <w:rPr>
                <w:rFonts w:cs="Times New Roman"/>
                <w:bCs/>
                <w:szCs w:val="24"/>
              </w:rPr>
              <w:t>o</w:t>
            </w:r>
            <w:r w:rsidRPr="00BA22BF">
              <w:rPr>
                <w:rFonts w:cs="Times New Roman"/>
                <w:bCs/>
                <w:szCs w:val="24"/>
              </w:rPr>
              <w:t>ral:</w:t>
            </w:r>
            <w:r w:rsidRPr="00AD751C">
              <w:rPr>
                <w:rFonts w:cs="Times New Roman"/>
                <w:szCs w:val="24"/>
              </w:rPr>
              <w:t xml:space="preserve"> Initially 2 mg once daily, then increased in steps of 1 mg daily if required. Usual dose 1–6 mg daily. </w:t>
            </w:r>
          </w:p>
          <w:p w14:paraId="3ED4D36F" w14:textId="77777777" w:rsidR="00BA22BF" w:rsidRDefault="00401703" w:rsidP="002D6DD7">
            <w:pPr>
              <w:jc w:val="both"/>
              <w:rPr>
                <w:rFonts w:cs="Times New Roman"/>
                <w:szCs w:val="24"/>
              </w:rPr>
            </w:pPr>
            <w:r w:rsidRPr="00BA22BF">
              <w:rPr>
                <w:rFonts w:cs="Times New Roman"/>
                <w:b/>
                <w:szCs w:val="24"/>
              </w:rPr>
              <w:t>Autism-associated irritability (including aggression, temper tantrums, self-injurious behavior, and quickly changing moods)</w:t>
            </w:r>
            <w:r w:rsidR="00BA22BF">
              <w:rPr>
                <w:rFonts w:cs="Times New Roman"/>
                <w:b/>
                <w:szCs w:val="24"/>
              </w:rPr>
              <w:t xml:space="preserve">, </w:t>
            </w:r>
            <w:r w:rsidR="00BA22BF" w:rsidRPr="00BA22BF">
              <w:rPr>
                <w:rFonts w:cs="Times New Roman"/>
                <w:szCs w:val="24"/>
              </w:rPr>
              <w:t>o</w:t>
            </w:r>
            <w:r w:rsidRPr="00AD751C">
              <w:rPr>
                <w:rFonts w:cs="Times New Roman"/>
                <w:szCs w:val="24"/>
              </w:rPr>
              <w:t xml:space="preserve">ral: </w:t>
            </w:r>
          </w:p>
          <w:p w14:paraId="05C02245" w14:textId="77777777" w:rsidR="00BA22BF" w:rsidRDefault="00401703" w:rsidP="002D6DD7">
            <w:pPr>
              <w:jc w:val="both"/>
              <w:rPr>
                <w:rFonts w:cs="Times New Roman"/>
                <w:szCs w:val="24"/>
              </w:rPr>
            </w:pPr>
            <w:r w:rsidRPr="00BA22BF">
              <w:rPr>
                <w:rFonts w:cs="Times New Roman"/>
                <w:b/>
                <w:szCs w:val="24"/>
              </w:rPr>
              <w:lastRenderedPageBreak/>
              <w:t>Child 5 to 8 years:</w:t>
            </w:r>
            <w:r w:rsidRPr="00AD751C">
              <w:rPr>
                <w:rFonts w:cs="Times New Roman"/>
                <w:szCs w:val="24"/>
              </w:rPr>
              <w:t xml:space="preserve"> 15 to 20 kg: Initial: 0.25 mg once daily. After ≥4 days, may increase dose to 0.5 mg/day. Maintain this dose for ≥14 days. If no clinical response, may increase dose in increments of 0.25 mg/day at ≥2-week intervals. ≥20 kg: Initial: 0.5 mg once daily. After ≥4 days, may increase dose to 1 mg/day. Maintain this dose for ≥14 days. If no clinical response, may increase dose in increments of 0.5 mg/day at ≥2-week intervals. </w:t>
            </w:r>
            <w:r w:rsidRPr="00AD751C">
              <w:rPr>
                <w:rFonts w:cs="Times New Roman"/>
                <w:b/>
                <w:bCs/>
                <w:szCs w:val="24"/>
              </w:rPr>
              <w:t>Bipolar Mani</w:t>
            </w:r>
            <w:r w:rsidR="00BA22BF">
              <w:rPr>
                <w:rFonts w:cs="Times New Roman"/>
                <w:b/>
                <w:bCs/>
                <w:szCs w:val="24"/>
              </w:rPr>
              <w:t>a, o</w:t>
            </w:r>
            <w:r w:rsidRPr="00AD751C">
              <w:rPr>
                <w:rFonts w:cs="Times New Roman"/>
                <w:b/>
                <w:bCs/>
                <w:szCs w:val="24"/>
              </w:rPr>
              <w:t>ral:</w:t>
            </w:r>
            <w:r w:rsidRPr="00AD751C">
              <w:rPr>
                <w:rFonts w:cs="Times New Roman"/>
                <w:szCs w:val="24"/>
              </w:rPr>
              <w:t xml:space="preserve"> </w:t>
            </w:r>
          </w:p>
          <w:p w14:paraId="36EF557C" w14:textId="77777777" w:rsidR="00401703" w:rsidRPr="00AD751C" w:rsidRDefault="00401703" w:rsidP="002D6DD7">
            <w:pPr>
              <w:jc w:val="both"/>
              <w:rPr>
                <w:rFonts w:cs="Times New Roman"/>
                <w:szCs w:val="24"/>
              </w:rPr>
            </w:pPr>
            <w:r w:rsidRPr="00BA22BF">
              <w:rPr>
                <w:rFonts w:cs="Times New Roman"/>
                <w:b/>
                <w:szCs w:val="24"/>
              </w:rPr>
              <w:t>Child and adolescents 10 to 17 years:</w:t>
            </w:r>
            <w:r w:rsidRPr="00AD751C">
              <w:rPr>
                <w:rFonts w:cs="Times New Roman"/>
                <w:szCs w:val="24"/>
              </w:rPr>
              <w:t xml:space="preserve"> Initial: 0.5 mg once daily. Dose adjusted if needed in increments of 0.5 mg/day to 1 mg/day at intervals ≥24 hours as tolerated, to a dose of 2.5 mg/day.</w:t>
            </w:r>
          </w:p>
        </w:tc>
      </w:tr>
      <w:tr w:rsidR="00401703" w:rsidRPr="00AD751C" w14:paraId="75D03802" w14:textId="77777777" w:rsidTr="002D6DD7">
        <w:tc>
          <w:tcPr>
            <w:tcW w:w="2695" w:type="dxa"/>
          </w:tcPr>
          <w:p w14:paraId="5A70F8FC" w14:textId="77777777" w:rsidR="00401703" w:rsidRPr="00AD751C" w:rsidRDefault="00401703" w:rsidP="002D6DD7">
            <w:pPr>
              <w:jc w:val="both"/>
              <w:rPr>
                <w:rFonts w:cs="Times New Roman"/>
                <w:color w:val="000000" w:themeColor="text1"/>
                <w:szCs w:val="24"/>
              </w:rPr>
            </w:pPr>
            <w:r w:rsidRPr="00AD751C">
              <w:rPr>
                <w:rFonts w:cs="Times New Roman"/>
                <w:szCs w:val="24"/>
              </w:rPr>
              <w:lastRenderedPageBreak/>
              <w:t>Contraindications</w:t>
            </w:r>
          </w:p>
        </w:tc>
        <w:tc>
          <w:tcPr>
            <w:tcW w:w="6321" w:type="dxa"/>
          </w:tcPr>
          <w:p w14:paraId="3B0CD18F" w14:textId="77777777" w:rsidR="00401703" w:rsidRPr="00AD751C" w:rsidRDefault="00401703" w:rsidP="002D6DD7">
            <w:pPr>
              <w:jc w:val="both"/>
              <w:rPr>
                <w:rFonts w:cs="Times New Roman"/>
                <w:szCs w:val="24"/>
              </w:rPr>
            </w:pPr>
            <w:r w:rsidRPr="00AD751C">
              <w:rPr>
                <w:rFonts w:cs="Times New Roman"/>
                <w:szCs w:val="24"/>
              </w:rPr>
              <w:t xml:space="preserve">Hypersensitivity to </w:t>
            </w:r>
            <w:r w:rsidR="00BA22BF">
              <w:rPr>
                <w:rFonts w:cs="Times New Roman"/>
                <w:szCs w:val="24"/>
              </w:rPr>
              <w:t>the drug</w:t>
            </w:r>
            <w:r w:rsidRPr="00AD751C">
              <w:rPr>
                <w:rFonts w:cs="Times New Roman"/>
                <w:szCs w:val="24"/>
              </w:rPr>
              <w:t>, severe CNS depression, acute porphyria.</w:t>
            </w:r>
          </w:p>
        </w:tc>
      </w:tr>
      <w:tr w:rsidR="00401703" w:rsidRPr="00AD751C" w14:paraId="0E17445F" w14:textId="77777777" w:rsidTr="002D6DD7">
        <w:tc>
          <w:tcPr>
            <w:tcW w:w="2695" w:type="dxa"/>
          </w:tcPr>
          <w:p w14:paraId="5001957E" w14:textId="77777777" w:rsidR="00401703" w:rsidRPr="00AD751C" w:rsidRDefault="00401703" w:rsidP="002D6DD7">
            <w:pPr>
              <w:jc w:val="both"/>
              <w:rPr>
                <w:rFonts w:cs="Times New Roman"/>
                <w:color w:val="000000" w:themeColor="text1"/>
                <w:szCs w:val="24"/>
              </w:rPr>
            </w:pPr>
            <w:r w:rsidRPr="00AD751C">
              <w:rPr>
                <w:rFonts w:cs="Times New Roman"/>
                <w:szCs w:val="24"/>
              </w:rPr>
              <w:t>Drug Interactions</w:t>
            </w:r>
          </w:p>
        </w:tc>
        <w:tc>
          <w:tcPr>
            <w:tcW w:w="6321" w:type="dxa"/>
          </w:tcPr>
          <w:p w14:paraId="67D0EAD9" w14:textId="77777777" w:rsidR="00401703" w:rsidRPr="00AD751C" w:rsidRDefault="00401703" w:rsidP="002D6DD7">
            <w:pPr>
              <w:jc w:val="both"/>
              <w:rPr>
                <w:rFonts w:cs="Times New Roman"/>
                <w:szCs w:val="24"/>
              </w:rPr>
            </w:pPr>
            <w:r w:rsidRPr="00AD751C">
              <w:rPr>
                <w:rFonts w:cs="Times New Roman"/>
                <w:szCs w:val="24"/>
              </w:rPr>
              <w:t xml:space="preserve">Fluoxetine, </w:t>
            </w:r>
            <w:r w:rsidR="00BA22BF">
              <w:rPr>
                <w:rFonts w:cs="Times New Roman"/>
                <w:szCs w:val="24"/>
              </w:rPr>
              <w:t>p</w:t>
            </w:r>
            <w:r w:rsidRPr="00AD751C">
              <w:rPr>
                <w:rFonts w:cs="Times New Roman"/>
                <w:szCs w:val="24"/>
              </w:rPr>
              <w:t xml:space="preserve">aroxetine, </w:t>
            </w:r>
            <w:r w:rsidR="00BA22BF">
              <w:rPr>
                <w:rFonts w:cs="Times New Roman"/>
                <w:szCs w:val="24"/>
              </w:rPr>
              <w:t>c</w:t>
            </w:r>
            <w:r w:rsidRPr="00AD751C">
              <w:rPr>
                <w:rFonts w:cs="Times New Roman"/>
                <w:szCs w:val="24"/>
              </w:rPr>
              <w:t xml:space="preserve">arbamazepine, </w:t>
            </w:r>
            <w:r w:rsidR="00BA22BF">
              <w:rPr>
                <w:rFonts w:cs="Times New Roman"/>
                <w:szCs w:val="24"/>
              </w:rPr>
              <w:t>l</w:t>
            </w:r>
            <w:r w:rsidRPr="00AD751C">
              <w:rPr>
                <w:rFonts w:cs="Times New Roman"/>
                <w:szCs w:val="24"/>
              </w:rPr>
              <w:t xml:space="preserve">ithium, </w:t>
            </w:r>
            <w:r w:rsidR="00BA22BF">
              <w:rPr>
                <w:rFonts w:cs="Times New Roman"/>
                <w:szCs w:val="24"/>
              </w:rPr>
              <w:t>l</w:t>
            </w:r>
            <w:r w:rsidRPr="00AD751C">
              <w:rPr>
                <w:rFonts w:cs="Times New Roman"/>
                <w:szCs w:val="24"/>
              </w:rPr>
              <w:t>evodopa</w:t>
            </w:r>
          </w:p>
          <w:p w14:paraId="54CE6C22" w14:textId="77777777" w:rsidR="00401703" w:rsidRPr="00AD751C" w:rsidRDefault="00BA22BF" w:rsidP="002D6DD7">
            <w:pPr>
              <w:jc w:val="both"/>
              <w:rPr>
                <w:rFonts w:cs="Times New Roman"/>
                <w:szCs w:val="24"/>
              </w:rPr>
            </w:pPr>
            <w:r>
              <w:rPr>
                <w:rFonts w:cs="Times New Roman"/>
                <w:szCs w:val="24"/>
              </w:rPr>
              <w:t>c</w:t>
            </w:r>
            <w:r w:rsidR="00401703" w:rsidRPr="00AD751C">
              <w:rPr>
                <w:rFonts w:cs="Times New Roman"/>
                <w:szCs w:val="24"/>
              </w:rPr>
              <w:t xml:space="preserve">iprofloxacin, </w:t>
            </w:r>
            <w:r>
              <w:rPr>
                <w:rFonts w:cs="Times New Roman"/>
                <w:szCs w:val="24"/>
              </w:rPr>
              <w:t>d</w:t>
            </w:r>
            <w:r w:rsidR="00401703" w:rsidRPr="00AD751C">
              <w:rPr>
                <w:rFonts w:cs="Times New Roman"/>
                <w:szCs w:val="24"/>
              </w:rPr>
              <w:t xml:space="preserve">opamine agonists (e.g., bromocriptine, pergolide), </w:t>
            </w:r>
            <w:r>
              <w:rPr>
                <w:rFonts w:cs="Times New Roman"/>
                <w:szCs w:val="24"/>
              </w:rPr>
              <w:t>k</w:t>
            </w:r>
            <w:r w:rsidR="00401703" w:rsidRPr="00AD751C">
              <w:rPr>
                <w:rFonts w:cs="Times New Roman"/>
                <w:szCs w:val="24"/>
              </w:rPr>
              <w:t xml:space="preserve">etoconazole, </w:t>
            </w:r>
            <w:r>
              <w:rPr>
                <w:rFonts w:cs="Times New Roman"/>
                <w:szCs w:val="24"/>
              </w:rPr>
              <w:t>t</w:t>
            </w:r>
            <w:r w:rsidR="00401703" w:rsidRPr="00AD751C">
              <w:rPr>
                <w:rFonts w:cs="Times New Roman"/>
                <w:szCs w:val="24"/>
              </w:rPr>
              <w:t xml:space="preserve">ramadol, </w:t>
            </w:r>
            <w:r>
              <w:rPr>
                <w:rFonts w:cs="Times New Roman"/>
                <w:szCs w:val="24"/>
              </w:rPr>
              <w:t>c</w:t>
            </w:r>
            <w:r w:rsidR="00401703" w:rsidRPr="00AD751C">
              <w:rPr>
                <w:rFonts w:cs="Times New Roman"/>
                <w:szCs w:val="24"/>
              </w:rPr>
              <w:t xml:space="preserve">lozapine, </w:t>
            </w:r>
            <w:r>
              <w:rPr>
                <w:rFonts w:cs="Times New Roman"/>
                <w:szCs w:val="24"/>
              </w:rPr>
              <w:t>b</w:t>
            </w:r>
            <w:r w:rsidR="00401703" w:rsidRPr="00AD751C">
              <w:rPr>
                <w:rFonts w:cs="Times New Roman"/>
                <w:szCs w:val="24"/>
              </w:rPr>
              <w:t>enzodiazepines</w:t>
            </w:r>
            <w:r>
              <w:rPr>
                <w:rFonts w:cs="Times New Roman"/>
                <w:szCs w:val="24"/>
              </w:rPr>
              <w:t>.</w:t>
            </w:r>
          </w:p>
        </w:tc>
      </w:tr>
      <w:tr w:rsidR="00401703" w:rsidRPr="00AD751C" w14:paraId="67572693" w14:textId="77777777" w:rsidTr="002D6DD7">
        <w:tc>
          <w:tcPr>
            <w:tcW w:w="2695" w:type="dxa"/>
          </w:tcPr>
          <w:p w14:paraId="2DA6B932" w14:textId="77777777" w:rsidR="00401703" w:rsidRPr="00AD751C" w:rsidRDefault="00401703" w:rsidP="002D6DD7">
            <w:pPr>
              <w:jc w:val="both"/>
              <w:rPr>
                <w:rFonts w:cs="Times New Roman"/>
                <w:color w:val="000000" w:themeColor="text1"/>
                <w:szCs w:val="24"/>
              </w:rPr>
            </w:pPr>
            <w:r w:rsidRPr="00AD751C">
              <w:rPr>
                <w:rFonts w:cs="Times New Roman"/>
                <w:szCs w:val="24"/>
              </w:rPr>
              <w:t>Side Effects</w:t>
            </w:r>
          </w:p>
        </w:tc>
        <w:tc>
          <w:tcPr>
            <w:tcW w:w="6321" w:type="dxa"/>
          </w:tcPr>
          <w:p w14:paraId="701B6DFB" w14:textId="77777777" w:rsidR="00401703" w:rsidRPr="00AD751C" w:rsidRDefault="00401703" w:rsidP="002D6DD7">
            <w:pPr>
              <w:jc w:val="both"/>
              <w:rPr>
                <w:rFonts w:cs="Times New Roman"/>
                <w:szCs w:val="24"/>
              </w:rPr>
            </w:pPr>
            <w:r w:rsidRPr="00AD751C">
              <w:rPr>
                <w:rFonts w:cs="Times New Roman"/>
                <w:szCs w:val="24"/>
              </w:rPr>
              <w:t xml:space="preserve">Somnolence, increased appetite, fatigue, increased risk of upper respiratory tract infection, vomiting, coughing, urinary incontinence, increased saliva, constipation, fever, </w:t>
            </w:r>
            <w:r>
              <w:rPr>
                <w:rFonts w:cs="Times New Roman"/>
                <w:szCs w:val="24"/>
              </w:rPr>
              <w:t>e</w:t>
            </w:r>
            <w:r w:rsidRPr="00AD751C">
              <w:rPr>
                <w:rFonts w:cs="Times New Roman"/>
                <w:szCs w:val="24"/>
              </w:rPr>
              <w:t>xtrapyramidal symptoms, hyperprolactinemia, orthostatic hypotension, weight gain, headache, dizziness, anxiety, insomnia.</w:t>
            </w:r>
          </w:p>
        </w:tc>
      </w:tr>
      <w:tr w:rsidR="00401703" w:rsidRPr="00AD751C" w14:paraId="3D1188C0" w14:textId="77777777" w:rsidTr="002D6DD7">
        <w:tc>
          <w:tcPr>
            <w:tcW w:w="2695" w:type="dxa"/>
          </w:tcPr>
          <w:p w14:paraId="156FC0ED" w14:textId="77777777" w:rsidR="00401703" w:rsidRPr="00AD751C" w:rsidRDefault="00401703" w:rsidP="002D6DD7">
            <w:pPr>
              <w:jc w:val="both"/>
              <w:rPr>
                <w:rFonts w:cs="Times New Roman"/>
                <w:color w:val="000000" w:themeColor="text1"/>
                <w:szCs w:val="24"/>
              </w:rPr>
            </w:pPr>
            <w:r w:rsidRPr="00AD751C">
              <w:rPr>
                <w:rFonts w:cs="Times New Roman"/>
                <w:szCs w:val="24"/>
              </w:rPr>
              <w:t>Cautions</w:t>
            </w:r>
          </w:p>
        </w:tc>
        <w:tc>
          <w:tcPr>
            <w:tcW w:w="6321" w:type="dxa"/>
          </w:tcPr>
          <w:p w14:paraId="7B4910AC" w14:textId="77777777" w:rsidR="00401703" w:rsidRPr="00AD751C" w:rsidRDefault="00401703" w:rsidP="002D6DD7">
            <w:pPr>
              <w:jc w:val="both"/>
              <w:rPr>
                <w:rFonts w:cs="Times New Roman"/>
                <w:color w:val="000000" w:themeColor="text1"/>
                <w:szCs w:val="24"/>
              </w:rPr>
            </w:pPr>
            <w:r w:rsidRPr="00AD751C">
              <w:rPr>
                <w:rFonts w:cs="Times New Roman"/>
                <w:szCs w:val="24"/>
              </w:rPr>
              <w:t xml:space="preserve">Cardiovascular disease, cerebrovascular disease, conditions that predispose to hypotension (dehydration, hypovolemia, treatment with antihypertensive medications), renal or hepatic impairment, history of seizures, diabetes (may worsen glucose control), elderly patients with dementia-related psychosis (increased risk of death), avoid abrupt withdrawal, monitor for signs of hyperglycemia and diabetes mellitus, Acute </w:t>
            </w:r>
            <w:r w:rsidRPr="00AD751C">
              <w:rPr>
                <w:rFonts w:cs="Times New Roman"/>
                <w:szCs w:val="24"/>
              </w:rPr>
              <w:lastRenderedPageBreak/>
              <w:t>porphyrias, cataract surgery (risk of intra-operative floppy iris syndrome), dementia with Lewy bodies. prolactin dependent tumours.</w:t>
            </w:r>
          </w:p>
        </w:tc>
      </w:tr>
      <w:tr w:rsidR="00401703" w:rsidRPr="00AD751C" w14:paraId="4122D137" w14:textId="77777777" w:rsidTr="002D6DD7">
        <w:tc>
          <w:tcPr>
            <w:tcW w:w="2695" w:type="dxa"/>
          </w:tcPr>
          <w:p w14:paraId="64B807BD" w14:textId="77777777" w:rsidR="00401703" w:rsidRPr="00AD751C" w:rsidRDefault="00401703" w:rsidP="002D6DD7">
            <w:pPr>
              <w:jc w:val="both"/>
              <w:rPr>
                <w:rFonts w:cs="Times New Roman"/>
                <w:color w:val="000000" w:themeColor="text1"/>
                <w:szCs w:val="24"/>
              </w:rPr>
            </w:pPr>
            <w:r w:rsidRPr="00AD751C">
              <w:rPr>
                <w:rFonts w:cs="Times New Roman"/>
                <w:szCs w:val="24"/>
              </w:rPr>
              <w:lastRenderedPageBreak/>
              <w:t>Storage Condition</w:t>
            </w:r>
          </w:p>
        </w:tc>
        <w:tc>
          <w:tcPr>
            <w:tcW w:w="6321" w:type="dxa"/>
          </w:tcPr>
          <w:p w14:paraId="030DBD46" w14:textId="77777777" w:rsidR="00401703" w:rsidRPr="00AD751C" w:rsidRDefault="00401703" w:rsidP="002D6DD7">
            <w:pPr>
              <w:jc w:val="both"/>
              <w:rPr>
                <w:rFonts w:cs="Times New Roman"/>
                <w:color w:val="000000" w:themeColor="text1"/>
                <w:szCs w:val="24"/>
              </w:rPr>
            </w:pPr>
            <w:r w:rsidRPr="00AD751C">
              <w:rPr>
                <w:rFonts w:cs="Times New Roman"/>
                <w:szCs w:val="24"/>
              </w:rPr>
              <w:t>Store below 30</w:t>
            </w:r>
            <w:r w:rsidRPr="00AD751C">
              <w:rPr>
                <w:rFonts w:cs="Times New Roman"/>
                <w:szCs w:val="24"/>
                <w:vertAlign w:val="superscript"/>
              </w:rPr>
              <w:t>0</w:t>
            </w:r>
            <w:r w:rsidRPr="00AD751C">
              <w:rPr>
                <w:rFonts w:cs="Times New Roman"/>
                <w:szCs w:val="24"/>
              </w:rPr>
              <w:t>C. Protect from light.</w:t>
            </w:r>
          </w:p>
        </w:tc>
      </w:tr>
    </w:tbl>
    <w:p w14:paraId="6FC0F9F4" w14:textId="77777777" w:rsidR="00401703" w:rsidRPr="00AE2DF4" w:rsidRDefault="00AE2DF4" w:rsidP="00AE2DF4">
      <w:pPr>
        <w:pStyle w:val="Heading2"/>
        <w:spacing w:before="240" w:after="240"/>
      </w:pPr>
      <w:bookmarkStart w:id="85" w:name="_Toc179490347"/>
      <w:r>
        <w:t>M</w:t>
      </w:r>
      <w:r w:rsidRPr="00AE2DF4">
        <w:t>edicines used for disorders due to psychoactive substance use</w:t>
      </w:r>
      <w:bookmarkEnd w:id="85"/>
    </w:p>
    <w:p w14:paraId="594207B7" w14:textId="77777777" w:rsidR="00401703" w:rsidRPr="00944B15" w:rsidRDefault="00401703" w:rsidP="00401703">
      <w:pPr>
        <w:spacing w:after="0"/>
        <w:jc w:val="both"/>
        <w:rPr>
          <w:rFonts w:cs="Times New Roman"/>
          <w:bCs/>
          <w:szCs w:val="24"/>
        </w:rPr>
      </w:pPr>
      <w:r w:rsidRPr="00944B15">
        <w:rPr>
          <w:rFonts w:cs="Times New Roman"/>
          <w:bCs/>
          <w:szCs w:val="24"/>
        </w:rPr>
        <w:t>Medications play a vital role in addressing disorders stemming from psychoactive substance use, such as opioid use disorders (OUD) and alcohol use disorder (AUD). Key medications include Buprenorphine and Methadone Hydrochloride for OUD, which help manage cravings and withdrawal symptoms, facilitating recovery. Additionally, Naltrexone Hydrochloride aids in reducing the risk of relapse and supporting abstinence in AUD by blocking the effects of alcohol. These medications, when combined with therapy and behavioral interventions, offer comprehensive support for individuals seeking to overcome substance use disorders. However, they come with potential risks and side effects, underscoring the importance of close monitoring and personalized treatment plans under the guidance of healthcare professionals.</w:t>
      </w:r>
    </w:p>
    <w:p w14:paraId="552EDDE8" w14:textId="77777777" w:rsidR="00401703" w:rsidRPr="000575D4" w:rsidRDefault="00401703" w:rsidP="000575D4">
      <w:pPr>
        <w:spacing w:before="240"/>
        <w:rPr>
          <w:b/>
        </w:rPr>
      </w:pPr>
      <w:r w:rsidRPr="000575D4">
        <w:rPr>
          <w:b/>
        </w:rPr>
        <w:t xml:space="preserve">Medicines </w:t>
      </w:r>
      <w:r w:rsidR="00311255" w:rsidRPr="000575D4">
        <w:rPr>
          <w:b/>
        </w:rPr>
        <w:t>u</w:t>
      </w:r>
      <w:r w:rsidRPr="000575D4">
        <w:rPr>
          <w:b/>
        </w:rPr>
        <w:t xml:space="preserve">sed for </w:t>
      </w:r>
      <w:r w:rsidR="00311255" w:rsidRPr="000575D4">
        <w:rPr>
          <w:b/>
        </w:rPr>
        <w:t>a</w:t>
      </w:r>
      <w:r w:rsidRPr="000575D4">
        <w:rPr>
          <w:b/>
        </w:rPr>
        <w:t xml:space="preserve">lcohol </w:t>
      </w:r>
      <w:r w:rsidR="00311255" w:rsidRPr="000575D4">
        <w:rPr>
          <w:b/>
        </w:rPr>
        <w:t>u</w:t>
      </w:r>
      <w:r w:rsidRPr="000575D4">
        <w:rPr>
          <w:b/>
        </w:rPr>
        <w:t xml:space="preserve">se </w:t>
      </w:r>
      <w:r w:rsidR="00311255" w:rsidRPr="000575D4">
        <w:rPr>
          <w:b/>
        </w:rPr>
        <w:t>d</w:t>
      </w:r>
      <w:r w:rsidRPr="000575D4">
        <w:rPr>
          <w:b/>
        </w:rPr>
        <w:t>isorders</w:t>
      </w:r>
    </w:p>
    <w:p w14:paraId="0203F2BD" w14:textId="77777777" w:rsidR="00401703" w:rsidRPr="00944B15" w:rsidRDefault="00401703" w:rsidP="00401703">
      <w:pPr>
        <w:spacing w:after="0"/>
        <w:jc w:val="both"/>
        <w:rPr>
          <w:rFonts w:cs="Times New Roman"/>
          <w:bCs/>
          <w:szCs w:val="24"/>
        </w:rPr>
      </w:pPr>
      <w:r w:rsidRPr="00944B15">
        <w:rPr>
          <w:rFonts w:cs="Times New Roman"/>
          <w:bCs/>
          <w:szCs w:val="24"/>
        </w:rPr>
        <w:t>Naltrexone and Clonidine are two medications commonly used in the treatment of alcohol use disorder. Naltrexone works by blocking the effects of opioids in the brain, thereby reducing the rewarding effects of alcohol consumption and helping to curb cravings. On the other hand, Clonidine, primarily used to treat high blood pressure, can also be effective in managing certain symptoms of alcohol withdrawal, such as anxiety and agitation.</w:t>
      </w:r>
    </w:p>
    <w:p w14:paraId="6C83EDE3" w14:textId="77777777" w:rsidR="00401703" w:rsidRPr="00944B15" w:rsidRDefault="00401703" w:rsidP="00401703">
      <w:pPr>
        <w:spacing w:after="0"/>
        <w:jc w:val="both"/>
        <w:rPr>
          <w:rFonts w:cs="Times New Roman"/>
          <w:bCs/>
          <w:szCs w:val="24"/>
        </w:rPr>
      </w:pPr>
    </w:p>
    <w:tbl>
      <w:tblPr>
        <w:tblStyle w:val="TableGrid14"/>
        <w:tblW w:w="0" w:type="auto"/>
        <w:tblLook w:val="04A0" w:firstRow="1" w:lastRow="0" w:firstColumn="1" w:lastColumn="0" w:noHBand="0" w:noVBand="1"/>
      </w:tblPr>
      <w:tblGrid>
        <w:gridCol w:w="2695"/>
        <w:gridCol w:w="6321"/>
      </w:tblGrid>
      <w:tr w:rsidR="00401703" w:rsidRPr="00914704" w14:paraId="5E929DB6" w14:textId="77777777" w:rsidTr="002D6DD7">
        <w:trPr>
          <w:trHeight w:val="50"/>
        </w:trPr>
        <w:tc>
          <w:tcPr>
            <w:tcW w:w="9016" w:type="dxa"/>
            <w:gridSpan w:val="2"/>
          </w:tcPr>
          <w:p w14:paraId="1C4A0445" w14:textId="77777777" w:rsidR="00401703" w:rsidRPr="00914704" w:rsidRDefault="00401703" w:rsidP="002D6DD7">
            <w:pPr>
              <w:jc w:val="both"/>
              <w:rPr>
                <w:rFonts w:cs="Times New Roman"/>
                <w:b/>
                <w:bCs/>
                <w:color w:val="000000" w:themeColor="text1"/>
                <w:szCs w:val="24"/>
              </w:rPr>
            </w:pPr>
            <w:r w:rsidRPr="00914704">
              <w:rPr>
                <w:rFonts w:cs="Times New Roman"/>
                <w:b/>
                <w:bCs/>
                <w:szCs w:val="24"/>
              </w:rPr>
              <w:t>Clonidine</w:t>
            </w:r>
          </w:p>
        </w:tc>
      </w:tr>
      <w:tr w:rsidR="00401703" w:rsidRPr="00914704" w14:paraId="4E79A0AA" w14:textId="77777777" w:rsidTr="002D6DD7">
        <w:tc>
          <w:tcPr>
            <w:tcW w:w="2695" w:type="dxa"/>
          </w:tcPr>
          <w:p w14:paraId="39B9365E" w14:textId="77777777" w:rsidR="00401703" w:rsidRPr="00914704" w:rsidRDefault="00401703" w:rsidP="002D6DD7">
            <w:pPr>
              <w:jc w:val="both"/>
              <w:rPr>
                <w:rFonts w:cs="Times New Roman"/>
                <w:color w:val="000000" w:themeColor="text1"/>
                <w:szCs w:val="24"/>
              </w:rPr>
            </w:pPr>
            <w:r w:rsidRPr="00914704">
              <w:rPr>
                <w:rFonts w:cs="Times New Roman"/>
                <w:szCs w:val="24"/>
              </w:rPr>
              <w:t>Pharmacological Class</w:t>
            </w:r>
          </w:p>
        </w:tc>
        <w:tc>
          <w:tcPr>
            <w:tcW w:w="6321" w:type="dxa"/>
          </w:tcPr>
          <w:p w14:paraId="11679988" w14:textId="77777777" w:rsidR="00401703" w:rsidRPr="00914704" w:rsidRDefault="00401703" w:rsidP="002D6DD7">
            <w:pPr>
              <w:jc w:val="both"/>
              <w:rPr>
                <w:rFonts w:cs="Times New Roman"/>
                <w:color w:val="000000" w:themeColor="text1"/>
                <w:szCs w:val="24"/>
              </w:rPr>
            </w:pPr>
            <w:r w:rsidRPr="00914704">
              <w:rPr>
                <w:rFonts w:cs="Times New Roman"/>
                <w:szCs w:val="24"/>
              </w:rPr>
              <w:t>Alpha-2 Adrenergic Agonist</w:t>
            </w:r>
          </w:p>
        </w:tc>
      </w:tr>
      <w:tr w:rsidR="00401703" w:rsidRPr="00914704" w14:paraId="72E19412" w14:textId="77777777" w:rsidTr="002D6DD7">
        <w:tc>
          <w:tcPr>
            <w:tcW w:w="2695" w:type="dxa"/>
          </w:tcPr>
          <w:p w14:paraId="2B1584AF" w14:textId="77777777" w:rsidR="00401703" w:rsidRPr="00914704" w:rsidRDefault="00401703" w:rsidP="002D6DD7">
            <w:pPr>
              <w:jc w:val="both"/>
              <w:rPr>
                <w:rFonts w:cs="Times New Roman"/>
                <w:color w:val="000000" w:themeColor="text1"/>
                <w:szCs w:val="24"/>
              </w:rPr>
            </w:pPr>
            <w:r w:rsidRPr="00914704">
              <w:rPr>
                <w:rFonts w:cs="Times New Roman"/>
                <w:szCs w:val="24"/>
              </w:rPr>
              <w:t>Dosage Form</w:t>
            </w:r>
          </w:p>
        </w:tc>
        <w:tc>
          <w:tcPr>
            <w:tcW w:w="6321" w:type="dxa"/>
          </w:tcPr>
          <w:p w14:paraId="738FE8C4" w14:textId="77777777" w:rsidR="00401703" w:rsidRPr="00914704" w:rsidRDefault="00401703" w:rsidP="002D6DD7">
            <w:pPr>
              <w:jc w:val="both"/>
              <w:rPr>
                <w:rFonts w:cs="Times New Roman"/>
                <w:color w:val="000000" w:themeColor="text1"/>
                <w:szCs w:val="24"/>
              </w:rPr>
            </w:pPr>
            <w:r w:rsidRPr="00914704">
              <w:rPr>
                <w:rFonts w:cs="Times New Roman"/>
                <w:szCs w:val="24"/>
              </w:rPr>
              <w:t>Tablet: 0.1 mg, 0.2 mg, 0.3 mg</w:t>
            </w:r>
          </w:p>
        </w:tc>
      </w:tr>
      <w:tr w:rsidR="00401703" w:rsidRPr="00914704" w14:paraId="55773614" w14:textId="77777777" w:rsidTr="002D6DD7">
        <w:tc>
          <w:tcPr>
            <w:tcW w:w="2695" w:type="dxa"/>
          </w:tcPr>
          <w:p w14:paraId="52FA73E5" w14:textId="77777777" w:rsidR="00401703" w:rsidRPr="00914704" w:rsidRDefault="00401703" w:rsidP="002D6DD7">
            <w:pPr>
              <w:jc w:val="both"/>
              <w:rPr>
                <w:rFonts w:cs="Times New Roman"/>
                <w:color w:val="000000" w:themeColor="text1"/>
                <w:szCs w:val="24"/>
              </w:rPr>
            </w:pPr>
            <w:r w:rsidRPr="00914704">
              <w:rPr>
                <w:rFonts w:cs="Times New Roman"/>
                <w:szCs w:val="24"/>
              </w:rPr>
              <w:t>Indications</w:t>
            </w:r>
          </w:p>
        </w:tc>
        <w:tc>
          <w:tcPr>
            <w:tcW w:w="6321" w:type="dxa"/>
          </w:tcPr>
          <w:p w14:paraId="6D3CEDAF" w14:textId="77777777" w:rsidR="00401703" w:rsidRPr="00914704" w:rsidRDefault="00401703" w:rsidP="002D6DD7">
            <w:pPr>
              <w:jc w:val="both"/>
              <w:rPr>
                <w:rFonts w:cs="Times New Roman"/>
                <w:color w:val="000000" w:themeColor="text1"/>
                <w:szCs w:val="24"/>
              </w:rPr>
            </w:pPr>
            <w:r w:rsidRPr="00914704">
              <w:rPr>
                <w:rFonts w:cs="Times New Roman"/>
                <w:szCs w:val="24"/>
              </w:rPr>
              <w:t>Alcohol use disorder</w:t>
            </w:r>
          </w:p>
        </w:tc>
      </w:tr>
      <w:tr w:rsidR="00401703" w:rsidRPr="00914704" w14:paraId="590653D3" w14:textId="77777777" w:rsidTr="002D6DD7">
        <w:tc>
          <w:tcPr>
            <w:tcW w:w="2695" w:type="dxa"/>
          </w:tcPr>
          <w:p w14:paraId="59627F7F" w14:textId="77777777" w:rsidR="00401703" w:rsidRPr="00914704" w:rsidRDefault="00401703" w:rsidP="002D6DD7">
            <w:pPr>
              <w:rPr>
                <w:rFonts w:cs="Times New Roman"/>
                <w:color w:val="000000" w:themeColor="text1"/>
                <w:szCs w:val="24"/>
              </w:rPr>
            </w:pPr>
            <w:r w:rsidRPr="00914704">
              <w:rPr>
                <w:rFonts w:cs="Times New Roman"/>
                <w:szCs w:val="24"/>
              </w:rPr>
              <w:t>Dose and Administration</w:t>
            </w:r>
          </w:p>
        </w:tc>
        <w:tc>
          <w:tcPr>
            <w:tcW w:w="6321" w:type="dxa"/>
          </w:tcPr>
          <w:p w14:paraId="32C209FF" w14:textId="77777777" w:rsidR="00401703" w:rsidRPr="00431C10" w:rsidRDefault="00401703" w:rsidP="002D6DD7">
            <w:pPr>
              <w:jc w:val="both"/>
              <w:rPr>
                <w:rFonts w:cs="Times New Roman"/>
                <w:b/>
                <w:bCs/>
                <w:szCs w:val="24"/>
              </w:rPr>
            </w:pPr>
            <w:r w:rsidRPr="00914704">
              <w:rPr>
                <w:rFonts w:cs="Times New Roman"/>
                <w:b/>
                <w:bCs/>
                <w:szCs w:val="24"/>
              </w:rPr>
              <w:t>Adult</w:t>
            </w:r>
            <w:r w:rsidR="00431C10">
              <w:rPr>
                <w:rFonts w:cs="Times New Roman"/>
                <w:b/>
                <w:bCs/>
                <w:szCs w:val="24"/>
              </w:rPr>
              <w:t xml:space="preserve">, </w:t>
            </w:r>
            <w:r w:rsidR="00431C10" w:rsidRPr="00431C10">
              <w:rPr>
                <w:rFonts w:cs="Times New Roman"/>
                <w:bCs/>
                <w:szCs w:val="24"/>
              </w:rPr>
              <w:t>o</w:t>
            </w:r>
            <w:r w:rsidRPr="00431C10">
              <w:rPr>
                <w:rFonts w:cs="Times New Roman"/>
                <w:bCs/>
                <w:szCs w:val="24"/>
              </w:rPr>
              <w:t>ral</w:t>
            </w:r>
            <w:r w:rsidRPr="00914704">
              <w:rPr>
                <w:rFonts w:cs="Times New Roman"/>
                <w:b/>
                <w:bCs/>
                <w:szCs w:val="24"/>
              </w:rPr>
              <w:t>:</w:t>
            </w:r>
            <w:r w:rsidRPr="00914704">
              <w:rPr>
                <w:rFonts w:cs="Times New Roman"/>
                <w:szCs w:val="24"/>
              </w:rPr>
              <w:t xml:space="preserve"> Initially 0.1 mg twice daily, titrated up to a total daily dose of 0.6 mg in divided doses, based on response and tolerability. </w:t>
            </w:r>
          </w:p>
        </w:tc>
      </w:tr>
      <w:tr w:rsidR="00401703" w:rsidRPr="00914704" w14:paraId="69135285" w14:textId="77777777" w:rsidTr="002D6DD7">
        <w:tc>
          <w:tcPr>
            <w:tcW w:w="2695" w:type="dxa"/>
          </w:tcPr>
          <w:p w14:paraId="62CABDD6" w14:textId="77777777" w:rsidR="00401703" w:rsidRPr="00914704" w:rsidRDefault="00401703" w:rsidP="002D6DD7">
            <w:pPr>
              <w:jc w:val="both"/>
              <w:rPr>
                <w:rFonts w:cs="Times New Roman"/>
                <w:color w:val="000000" w:themeColor="text1"/>
                <w:szCs w:val="24"/>
              </w:rPr>
            </w:pPr>
            <w:r w:rsidRPr="00914704">
              <w:rPr>
                <w:rFonts w:cs="Times New Roman"/>
                <w:szCs w:val="24"/>
              </w:rPr>
              <w:lastRenderedPageBreak/>
              <w:t>Contraindications</w:t>
            </w:r>
          </w:p>
        </w:tc>
        <w:tc>
          <w:tcPr>
            <w:tcW w:w="6321" w:type="dxa"/>
          </w:tcPr>
          <w:p w14:paraId="16E1A212" w14:textId="77777777" w:rsidR="00401703" w:rsidRPr="00914704" w:rsidRDefault="00311255" w:rsidP="002D6DD7">
            <w:pPr>
              <w:jc w:val="both"/>
              <w:rPr>
                <w:rFonts w:cs="Times New Roman"/>
                <w:szCs w:val="24"/>
              </w:rPr>
            </w:pPr>
            <w:r>
              <w:rPr>
                <w:rFonts w:cs="Times New Roman"/>
                <w:szCs w:val="24"/>
              </w:rPr>
              <w:t>H</w:t>
            </w:r>
            <w:r w:rsidRPr="00914704">
              <w:rPr>
                <w:rFonts w:cs="Times New Roman"/>
                <w:szCs w:val="24"/>
              </w:rPr>
              <w:t xml:space="preserve">ypersensitivity to </w:t>
            </w:r>
            <w:r>
              <w:rPr>
                <w:rFonts w:cs="Times New Roman"/>
                <w:szCs w:val="24"/>
              </w:rPr>
              <w:t>the drug, s</w:t>
            </w:r>
            <w:r w:rsidR="00401703" w:rsidRPr="00914704">
              <w:rPr>
                <w:rFonts w:cs="Times New Roman"/>
                <w:szCs w:val="24"/>
              </w:rPr>
              <w:t>evere bradyarrhythmia secondary to second or third-degree AV block or sick sinus syndrome</w:t>
            </w:r>
            <w:r>
              <w:rPr>
                <w:rFonts w:cs="Times New Roman"/>
                <w:szCs w:val="24"/>
              </w:rPr>
              <w:t>.</w:t>
            </w:r>
            <w:r w:rsidR="00401703" w:rsidRPr="00914704">
              <w:rPr>
                <w:rFonts w:cs="Times New Roman"/>
                <w:szCs w:val="24"/>
              </w:rPr>
              <w:t xml:space="preserve"> </w:t>
            </w:r>
          </w:p>
        </w:tc>
      </w:tr>
      <w:tr w:rsidR="00401703" w:rsidRPr="00914704" w14:paraId="0F7DFDC4" w14:textId="77777777" w:rsidTr="002D6DD7">
        <w:tc>
          <w:tcPr>
            <w:tcW w:w="2695" w:type="dxa"/>
          </w:tcPr>
          <w:p w14:paraId="2551AB2F" w14:textId="77777777" w:rsidR="00401703" w:rsidRPr="00914704" w:rsidRDefault="00401703" w:rsidP="002D6DD7">
            <w:pPr>
              <w:jc w:val="both"/>
              <w:rPr>
                <w:rFonts w:cs="Times New Roman"/>
                <w:color w:val="000000" w:themeColor="text1"/>
                <w:szCs w:val="24"/>
              </w:rPr>
            </w:pPr>
            <w:r w:rsidRPr="00914704">
              <w:rPr>
                <w:rFonts w:cs="Times New Roman"/>
                <w:szCs w:val="24"/>
              </w:rPr>
              <w:t>Drug Interactions</w:t>
            </w:r>
          </w:p>
        </w:tc>
        <w:tc>
          <w:tcPr>
            <w:tcW w:w="6321" w:type="dxa"/>
          </w:tcPr>
          <w:p w14:paraId="4920EF02" w14:textId="77777777" w:rsidR="00401703" w:rsidRPr="00914704" w:rsidRDefault="00401703" w:rsidP="002D6DD7">
            <w:pPr>
              <w:jc w:val="both"/>
              <w:rPr>
                <w:rFonts w:cs="Times New Roman"/>
                <w:szCs w:val="24"/>
              </w:rPr>
            </w:pPr>
            <w:r w:rsidRPr="00914704">
              <w:rPr>
                <w:rFonts w:cs="Times New Roman"/>
                <w:szCs w:val="24"/>
              </w:rPr>
              <w:t>Beta-blockers, calcium channel blockers, digoxin, other antihypertensives, tricyclic antidepressants, CNS depressants, alcohol, sedatives, barbiturates, opioids.</w:t>
            </w:r>
          </w:p>
        </w:tc>
      </w:tr>
      <w:tr w:rsidR="00401703" w:rsidRPr="00914704" w14:paraId="45D0EEDD" w14:textId="77777777" w:rsidTr="002D6DD7">
        <w:tc>
          <w:tcPr>
            <w:tcW w:w="2695" w:type="dxa"/>
          </w:tcPr>
          <w:p w14:paraId="6F7CFA1A" w14:textId="77777777" w:rsidR="00401703" w:rsidRPr="00914704" w:rsidRDefault="00401703" w:rsidP="002D6DD7">
            <w:pPr>
              <w:jc w:val="both"/>
              <w:rPr>
                <w:rFonts w:cs="Times New Roman"/>
                <w:color w:val="000000" w:themeColor="text1"/>
                <w:szCs w:val="24"/>
              </w:rPr>
            </w:pPr>
            <w:r w:rsidRPr="00914704">
              <w:rPr>
                <w:rFonts w:cs="Times New Roman"/>
                <w:szCs w:val="24"/>
              </w:rPr>
              <w:t>Side Effects</w:t>
            </w:r>
          </w:p>
        </w:tc>
        <w:tc>
          <w:tcPr>
            <w:tcW w:w="6321" w:type="dxa"/>
          </w:tcPr>
          <w:p w14:paraId="2893B69A" w14:textId="77777777" w:rsidR="00401703" w:rsidRPr="00914704" w:rsidRDefault="00401703" w:rsidP="002D6DD7">
            <w:pPr>
              <w:jc w:val="both"/>
              <w:rPr>
                <w:rFonts w:cs="Times New Roman"/>
                <w:szCs w:val="24"/>
              </w:rPr>
            </w:pPr>
            <w:r w:rsidRPr="00914704">
              <w:rPr>
                <w:rFonts w:cs="Times New Roman"/>
                <w:szCs w:val="24"/>
              </w:rPr>
              <w:t>Drowsiness, dizziness, dry oral, constipation, headache, fatigue, weakness, Bradycardia, hypotension, rebound hypertension upon abrupt withdrawal, depression, erectile dysfunction, sleep disturbances, nausea.</w:t>
            </w:r>
          </w:p>
        </w:tc>
      </w:tr>
      <w:tr w:rsidR="00401703" w:rsidRPr="00914704" w14:paraId="2E119056" w14:textId="77777777" w:rsidTr="002D6DD7">
        <w:tc>
          <w:tcPr>
            <w:tcW w:w="2695" w:type="dxa"/>
          </w:tcPr>
          <w:p w14:paraId="7B68619C" w14:textId="77777777" w:rsidR="00401703" w:rsidRPr="00914704" w:rsidRDefault="00401703" w:rsidP="002D6DD7">
            <w:pPr>
              <w:jc w:val="both"/>
              <w:rPr>
                <w:rFonts w:cs="Times New Roman"/>
                <w:color w:val="000000" w:themeColor="text1"/>
                <w:szCs w:val="24"/>
              </w:rPr>
            </w:pPr>
            <w:r w:rsidRPr="00914704">
              <w:rPr>
                <w:rFonts w:cs="Times New Roman"/>
                <w:szCs w:val="24"/>
              </w:rPr>
              <w:t>Cautions</w:t>
            </w:r>
          </w:p>
        </w:tc>
        <w:tc>
          <w:tcPr>
            <w:tcW w:w="6321" w:type="dxa"/>
          </w:tcPr>
          <w:p w14:paraId="6E7588E4" w14:textId="77777777" w:rsidR="00401703" w:rsidRPr="00914704" w:rsidRDefault="00401703" w:rsidP="002D6DD7">
            <w:pPr>
              <w:jc w:val="both"/>
              <w:rPr>
                <w:rFonts w:cs="Times New Roman"/>
                <w:color w:val="000000" w:themeColor="text1"/>
                <w:szCs w:val="24"/>
              </w:rPr>
            </w:pPr>
            <w:r w:rsidRPr="00914704">
              <w:rPr>
                <w:rFonts w:cs="Times New Roman"/>
                <w:szCs w:val="24"/>
              </w:rPr>
              <w:t>Cardiovascular disease, heart failure, constipation, peripheral vascular disease, renal impairment, patients at risk for bradycardia, monitor blood pressure and heart rate regularly, avoid abrupt withdrawal to prevent rebound hypertension, use with caution in patients with a history of depression.</w:t>
            </w:r>
          </w:p>
        </w:tc>
      </w:tr>
      <w:tr w:rsidR="00401703" w:rsidRPr="00914704" w14:paraId="7E867D7E" w14:textId="77777777" w:rsidTr="002D6DD7">
        <w:tc>
          <w:tcPr>
            <w:tcW w:w="2695" w:type="dxa"/>
          </w:tcPr>
          <w:p w14:paraId="72DAF04E" w14:textId="77777777" w:rsidR="00401703" w:rsidRPr="00914704" w:rsidRDefault="00401703" w:rsidP="002D6DD7">
            <w:pPr>
              <w:jc w:val="both"/>
              <w:rPr>
                <w:rFonts w:cs="Times New Roman"/>
                <w:color w:val="000000" w:themeColor="text1"/>
                <w:szCs w:val="24"/>
              </w:rPr>
            </w:pPr>
            <w:r w:rsidRPr="00914704">
              <w:rPr>
                <w:rFonts w:cs="Times New Roman"/>
                <w:szCs w:val="24"/>
              </w:rPr>
              <w:t>Storage Condition</w:t>
            </w:r>
          </w:p>
        </w:tc>
        <w:tc>
          <w:tcPr>
            <w:tcW w:w="6321" w:type="dxa"/>
          </w:tcPr>
          <w:p w14:paraId="5441E1F6" w14:textId="77777777" w:rsidR="00401703" w:rsidRPr="00914704" w:rsidRDefault="00401703" w:rsidP="002D6DD7">
            <w:pPr>
              <w:jc w:val="both"/>
              <w:rPr>
                <w:rFonts w:cs="Times New Roman"/>
                <w:color w:val="000000" w:themeColor="text1"/>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r w:rsidR="00401703" w:rsidRPr="00914704" w14:paraId="36428185" w14:textId="77777777" w:rsidTr="002D6DD7">
        <w:tc>
          <w:tcPr>
            <w:tcW w:w="2695" w:type="dxa"/>
          </w:tcPr>
          <w:p w14:paraId="088956E5" w14:textId="77777777" w:rsidR="00401703" w:rsidRPr="00914704" w:rsidRDefault="00401703" w:rsidP="002D6DD7">
            <w:pPr>
              <w:jc w:val="both"/>
              <w:rPr>
                <w:rFonts w:cs="Times New Roman"/>
                <w:szCs w:val="24"/>
              </w:rPr>
            </w:pPr>
            <w:r w:rsidRPr="00914704">
              <w:rPr>
                <w:rFonts w:cs="Times New Roman"/>
                <w:b/>
                <w:bCs/>
                <w:szCs w:val="24"/>
              </w:rPr>
              <w:t>Naltrexone Hydrochloride</w:t>
            </w:r>
          </w:p>
        </w:tc>
        <w:tc>
          <w:tcPr>
            <w:tcW w:w="6321" w:type="dxa"/>
          </w:tcPr>
          <w:p w14:paraId="17D73615" w14:textId="77777777" w:rsidR="00401703" w:rsidRPr="00914704" w:rsidRDefault="00401703" w:rsidP="002D6DD7">
            <w:pPr>
              <w:jc w:val="both"/>
              <w:rPr>
                <w:rFonts w:cs="Times New Roman"/>
                <w:szCs w:val="24"/>
              </w:rPr>
            </w:pPr>
          </w:p>
        </w:tc>
      </w:tr>
      <w:tr w:rsidR="00401703" w:rsidRPr="00914704" w14:paraId="0C373351" w14:textId="77777777" w:rsidTr="002D6DD7">
        <w:tc>
          <w:tcPr>
            <w:tcW w:w="2695" w:type="dxa"/>
          </w:tcPr>
          <w:p w14:paraId="306FA681" w14:textId="77777777" w:rsidR="00401703" w:rsidRPr="00914704" w:rsidRDefault="00401703" w:rsidP="002D6DD7">
            <w:pPr>
              <w:jc w:val="both"/>
              <w:rPr>
                <w:rFonts w:cs="Times New Roman"/>
                <w:szCs w:val="24"/>
              </w:rPr>
            </w:pPr>
            <w:r w:rsidRPr="00914704">
              <w:rPr>
                <w:rFonts w:cs="Times New Roman"/>
                <w:szCs w:val="24"/>
              </w:rPr>
              <w:t>Pharmacological Class</w:t>
            </w:r>
          </w:p>
        </w:tc>
        <w:tc>
          <w:tcPr>
            <w:tcW w:w="6321" w:type="dxa"/>
          </w:tcPr>
          <w:p w14:paraId="46537EE0" w14:textId="77777777" w:rsidR="00401703" w:rsidRPr="00914704" w:rsidRDefault="00401703" w:rsidP="002D6DD7">
            <w:pPr>
              <w:jc w:val="both"/>
              <w:rPr>
                <w:rFonts w:cs="Times New Roman"/>
                <w:szCs w:val="24"/>
              </w:rPr>
            </w:pPr>
            <w:r w:rsidRPr="00914704">
              <w:rPr>
                <w:rFonts w:cs="Times New Roman"/>
                <w:szCs w:val="24"/>
              </w:rPr>
              <w:t>Opioid Antagonist</w:t>
            </w:r>
          </w:p>
        </w:tc>
      </w:tr>
      <w:tr w:rsidR="00401703" w:rsidRPr="00914704" w14:paraId="3261EF5A" w14:textId="77777777" w:rsidTr="002D6DD7">
        <w:tc>
          <w:tcPr>
            <w:tcW w:w="2695" w:type="dxa"/>
          </w:tcPr>
          <w:p w14:paraId="3CB85908" w14:textId="77777777" w:rsidR="00401703" w:rsidRPr="00914704" w:rsidRDefault="00401703" w:rsidP="002D6DD7">
            <w:pPr>
              <w:jc w:val="both"/>
              <w:rPr>
                <w:rFonts w:cs="Times New Roman"/>
                <w:szCs w:val="24"/>
              </w:rPr>
            </w:pPr>
            <w:r w:rsidRPr="00914704">
              <w:rPr>
                <w:rFonts w:cs="Times New Roman"/>
                <w:szCs w:val="24"/>
              </w:rPr>
              <w:t>Dosage Form</w:t>
            </w:r>
          </w:p>
        </w:tc>
        <w:tc>
          <w:tcPr>
            <w:tcW w:w="6321" w:type="dxa"/>
          </w:tcPr>
          <w:p w14:paraId="073C6100" w14:textId="77777777" w:rsidR="00401703" w:rsidRPr="00914704" w:rsidRDefault="00401703" w:rsidP="002D6DD7">
            <w:pPr>
              <w:jc w:val="both"/>
              <w:rPr>
                <w:rFonts w:cs="Times New Roman"/>
                <w:szCs w:val="24"/>
              </w:rPr>
            </w:pPr>
            <w:r w:rsidRPr="00914704">
              <w:rPr>
                <w:rFonts w:cs="Times New Roman"/>
                <w:szCs w:val="24"/>
              </w:rPr>
              <w:t>Tablet: 50mg, Injection: 380mg/Vial</w:t>
            </w:r>
          </w:p>
        </w:tc>
      </w:tr>
      <w:tr w:rsidR="00401703" w:rsidRPr="00914704" w14:paraId="110B8B18" w14:textId="77777777" w:rsidTr="002D6DD7">
        <w:tc>
          <w:tcPr>
            <w:tcW w:w="2695" w:type="dxa"/>
          </w:tcPr>
          <w:p w14:paraId="72282BEE" w14:textId="77777777" w:rsidR="00401703" w:rsidRPr="00914704" w:rsidRDefault="00401703" w:rsidP="002D6DD7">
            <w:pPr>
              <w:jc w:val="both"/>
              <w:rPr>
                <w:rFonts w:cs="Times New Roman"/>
                <w:szCs w:val="24"/>
              </w:rPr>
            </w:pPr>
            <w:r w:rsidRPr="00914704">
              <w:rPr>
                <w:rFonts w:cs="Times New Roman"/>
                <w:szCs w:val="24"/>
              </w:rPr>
              <w:t>Indications</w:t>
            </w:r>
          </w:p>
        </w:tc>
        <w:tc>
          <w:tcPr>
            <w:tcW w:w="6321" w:type="dxa"/>
          </w:tcPr>
          <w:p w14:paraId="0A2A3A4E" w14:textId="77777777" w:rsidR="00401703" w:rsidRPr="00914704" w:rsidRDefault="00401703" w:rsidP="002D6DD7">
            <w:pPr>
              <w:jc w:val="both"/>
              <w:rPr>
                <w:rFonts w:cs="Times New Roman"/>
                <w:szCs w:val="24"/>
              </w:rPr>
            </w:pPr>
            <w:r w:rsidRPr="00914704">
              <w:rPr>
                <w:rFonts w:cs="Times New Roman"/>
                <w:szCs w:val="24"/>
              </w:rPr>
              <w:t>Alcohol dependence, opioid dependence</w:t>
            </w:r>
          </w:p>
        </w:tc>
      </w:tr>
      <w:tr w:rsidR="00401703" w:rsidRPr="00914704" w14:paraId="3E705C15" w14:textId="77777777" w:rsidTr="002D6DD7">
        <w:tc>
          <w:tcPr>
            <w:tcW w:w="2695" w:type="dxa"/>
          </w:tcPr>
          <w:p w14:paraId="02E3D983" w14:textId="77777777" w:rsidR="00401703" w:rsidRPr="00914704" w:rsidRDefault="00401703" w:rsidP="002D6DD7">
            <w:pPr>
              <w:jc w:val="both"/>
              <w:rPr>
                <w:rFonts w:cs="Times New Roman"/>
                <w:szCs w:val="24"/>
              </w:rPr>
            </w:pPr>
            <w:r w:rsidRPr="00914704">
              <w:rPr>
                <w:rFonts w:cs="Times New Roman"/>
                <w:szCs w:val="24"/>
              </w:rPr>
              <w:t>Dose and Administration</w:t>
            </w:r>
          </w:p>
        </w:tc>
        <w:tc>
          <w:tcPr>
            <w:tcW w:w="6321" w:type="dxa"/>
          </w:tcPr>
          <w:p w14:paraId="7A1C1622" w14:textId="77777777" w:rsidR="001D6403" w:rsidRPr="001D6403" w:rsidRDefault="00401703" w:rsidP="002D6DD7">
            <w:pPr>
              <w:jc w:val="both"/>
              <w:rPr>
                <w:rFonts w:cs="Times New Roman"/>
                <w:b/>
                <w:szCs w:val="24"/>
              </w:rPr>
            </w:pPr>
            <w:r w:rsidRPr="001D6403">
              <w:rPr>
                <w:rFonts w:cs="Times New Roman"/>
                <w:b/>
                <w:szCs w:val="24"/>
              </w:rPr>
              <w:t xml:space="preserve">Treatment against alcoholism to reduce the risk of relapse, as support treatment in abstinence and to reduce the craving for alcohol: </w:t>
            </w:r>
          </w:p>
          <w:p w14:paraId="228A0241" w14:textId="77777777" w:rsidR="001D6403" w:rsidRDefault="001D6403" w:rsidP="002D6DD7">
            <w:pPr>
              <w:jc w:val="both"/>
              <w:rPr>
                <w:rFonts w:cs="Times New Roman"/>
                <w:szCs w:val="24"/>
              </w:rPr>
            </w:pPr>
            <w:r>
              <w:rPr>
                <w:rFonts w:cs="Times New Roman"/>
                <w:b/>
                <w:bCs/>
                <w:szCs w:val="24"/>
              </w:rPr>
              <w:t>Adult, o</w:t>
            </w:r>
            <w:r w:rsidR="00401703" w:rsidRPr="00914704">
              <w:rPr>
                <w:rFonts w:cs="Times New Roman"/>
                <w:b/>
                <w:bCs/>
                <w:szCs w:val="24"/>
              </w:rPr>
              <w:t>ral:</w:t>
            </w:r>
            <w:r w:rsidR="00401703" w:rsidRPr="00914704">
              <w:rPr>
                <w:rFonts w:cs="Times New Roman"/>
                <w:szCs w:val="24"/>
              </w:rPr>
              <w:t xml:space="preserve"> start with 25 mg daily on the first day, then increased to 50 mg daily if tolerated. Then can be further increased up to 100 mg once daily after 1 week based on response and tolerability. </w:t>
            </w:r>
          </w:p>
          <w:p w14:paraId="23853163" w14:textId="77777777" w:rsidR="001D6403" w:rsidRDefault="001D6403" w:rsidP="002D6DD7">
            <w:pPr>
              <w:jc w:val="both"/>
              <w:rPr>
                <w:rFonts w:cs="Times New Roman"/>
                <w:szCs w:val="24"/>
              </w:rPr>
            </w:pPr>
            <w:r>
              <w:rPr>
                <w:rFonts w:cs="Times New Roman"/>
                <w:b/>
                <w:bCs/>
                <w:szCs w:val="24"/>
              </w:rPr>
              <w:t xml:space="preserve">Adult, </w:t>
            </w:r>
            <w:r w:rsidR="00401703" w:rsidRPr="00914704">
              <w:rPr>
                <w:rFonts w:cs="Times New Roman"/>
                <w:b/>
                <w:bCs/>
                <w:szCs w:val="24"/>
              </w:rPr>
              <w:t>IM</w:t>
            </w:r>
            <w:r w:rsidR="00401703" w:rsidRPr="00914704">
              <w:rPr>
                <w:rFonts w:cs="Times New Roman"/>
                <w:szCs w:val="24"/>
              </w:rPr>
              <w:t xml:space="preserve">: 380 mg once every 4 weeks. </w:t>
            </w:r>
          </w:p>
          <w:p w14:paraId="47C4582A" w14:textId="77777777" w:rsidR="001D6403" w:rsidRDefault="00401703" w:rsidP="002D6DD7">
            <w:pPr>
              <w:jc w:val="both"/>
              <w:rPr>
                <w:rFonts w:cs="Times New Roman"/>
                <w:szCs w:val="24"/>
              </w:rPr>
            </w:pPr>
            <w:r w:rsidRPr="00914704">
              <w:rPr>
                <w:rFonts w:cs="Times New Roman"/>
                <w:b/>
                <w:bCs/>
                <w:szCs w:val="24"/>
              </w:rPr>
              <w:t>Opioid use (mild to moderate)</w:t>
            </w:r>
            <w:r w:rsidR="001D6403">
              <w:rPr>
                <w:rFonts w:cs="Times New Roman"/>
                <w:b/>
                <w:bCs/>
                <w:szCs w:val="24"/>
              </w:rPr>
              <w:t xml:space="preserve">, </w:t>
            </w:r>
            <w:r w:rsidR="001D6403" w:rsidRPr="001D6403">
              <w:rPr>
                <w:rFonts w:cs="Times New Roman"/>
                <w:bCs/>
                <w:szCs w:val="24"/>
              </w:rPr>
              <w:t>o</w:t>
            </w:r>
            <w:r w:rsidRPr="001D6403">
              <w:rPr>
                <w:rFonts w:cs="Times New Roman"/>
                <w:bCs/>
                <w:szCs w:val="24"/>
              </w:rPr>
              <w:t>ral</w:t>
            </w:r>
            <w:r w:rsidRPr="001D6403">
              <w:rPr>
                <w:rFonts w:cs="Times New Roman"/>
                <w:szCs w:val="24"/>
              </w:rPr>
              <w:t>:</w:t>
            </w:r>
            <w:r w:rsidRPr="00914704">
              <w:rPr>
                <w:rFonts w:cs="Times New Roman"/>
                <w:szCs w:val="24"/>
              </w:rPr>
              <w:t xml:space="preserve"> Initial: 25 mg once daily for 1 to 3 days, if no withdrawal signs occur, administer 50 mg </w:t>
            </w:r>
            <w:r w:rsidRPr="00914704">
              <w:rPr>
                <w:rFonts w:cs="Times New Roman"/>
                <w:szCs w:val="24"/>
              </w:rPr>
              <w:lastRenderedPageBreak/>
              <w:t xml:space="preserve">once daily thereafter. </w:t>
            </w:r>
          </w:p>
          <w:p w14:paraId="52771BBF" w14:textId="77777777" w:rsidR="00401703" w:rsidRPr="00914704" w:rsidRDefault="00401703" w:rsidP="002D6DD7">
            <w:pPr>
              <w:jc w:val="both"/>
              <w:rPr>
                <w:rFonts w:cs="Times New Roman"/>
                <w:szCs w:val="24"/>
              </w:rPr>
            </w:pPr>
            <w:r w:rsidRPr="001D6403">
              <w:rPr>
                <w:rFonts w:cs="Times New Roman"/>
                <w:bCs/>
                <w:szCs w:val="24"/>
              </w:rPr>
              <w:t>IM:</w:t>
            </w:r>
            <w:r w:rsidRPr="00914704">
              <w:rPr>
                <w:rFonts w:cs="Times New Roman"/>
                <w:szCs w:val="24"/>
              </w:rPr>
              <w:t xml:space="preserve"> 380 mg once every 4 weeks. </w:t>
            </w:r>
          </w:p>
        </w:tc>
      </w:tr>
      <w:tr w:rsidR="00401703" w:rsidRPr="00914704" w14:paraId="7098FA9D" w14:textId="77777777" w:rsidTr="002D6DD7">
        <w:tc>
          <w:tcPr>
            <w:tcW w:w="2695" w:type="dxa"/>
          </w:tcPr>
          <w:p w14:paraId="77896878" w14:textId="77777777" w:rsidR="00401703" w:rsidRPr="00914704" w:rsidRDefault="00401703" w:rsidP="002D6DD7">
            <w:pPr>
              <w:jc w:val="both"/>
              <w:rPr>
                <w:rFonts w:cs="Times New Roman"/>
                <w:szCs w:val="24"/>
              </w:rPr>
            </w:pPr>
            <w:r w:rsidRPr="00914704">
              <w:rPr>
                <w:rFonts w:cs="Times New Roman"/>
                <w:szCs w:val="24"/>
              </w:rPr>
              <w:lastRenderedPageBreak/>
              <w:t>Contraindications</w:t>
            </w:r>
          </w:p>
        </w:tc>
        <w:tc>
          <w:tcPr>
            <w:tcW w:w="6321" w:type="dxa"/>
          </w:tcPr>
          <w:p w14:paraId="6D79B170" w14:textId="77777777" w:rsidR="00401703" w:rsidRPr="00914704" w:rsidRDefault="00902E81" w:rsidP="002D6DD7">
            <w:pPr>
              <w:jc w:val="both"/>
              <w:rPr>
                <w:rFonts w:cs="Times New Roman"/>
                <w:szCs w:val="24"/>
              </w:rPr>
            </w:pPr>
            <w:r>
              <w:rPr>
                <w:rFonts w:cs="Times New Roman"/>
                <w:szCs w:val="24"/>
              </w:rPr>
              <w:t>H</w:t>
            </w:r>
            <w:r w:rsidRPr="00914704">
              <w:rPr>
                <w:rFonts w:cs="Times New Roman"/>
                <w:szCs w:val="24"/>
              </w:rPr>
              <w:t xml:space="preserve">ypersensitivity to </w:t>
            </w:r>
            <w:r>
              <w:rPr>
                <w:rFonts w:cs="Times New Roman"/>
                <w:szCs w:val="24"/>
              </w:rPr>
              <w:t>the drug, a</w:t>
            </w:r>
            <w:r w:rsidR="00401703" w:rsidRPr="00914704">
              <w:rPr>
                <w:rFonts w:cs="Times New Roman"/>
                <w:szCs w:val="24"/>
              </w:rPr>
              <w:t>cute hepatitis, liver failure, current opioid dependence, opioid withdrawal</w:t>
            </w:r>
            <w:r>
              <w:rPr>
                <w:rFonts w:cs="Times New Roman"/>
                <w:szCs w:val="24"/>
              </w:rPr>
              <w:t>.</w:t>
            </w:r>
          </w:p>
        </w:tc>
      </w:tr>
      <w:tr w:rsidR="00401703" w:rsidRPr="00914704" w14:paraId="1AF80903" w14:textId="77777777" w:rsidTr="002D6DD7">
        <w:tc>
          <w:tcPr>
            <w:tcW w:w="2695" w:type="dxa"/>
          </w:tcPr>
          <w:p w14:paraId="37D34CA6" w14:textId="77777777" w:rsidR="00401703" w:rsidRPr="00914704" w:rsidRDefault="00401703" w:rsidP="002D6DD7">
            <w:pPr>
              <w:jc w:val="both"/>
              <w:rPr>
                <w:rFonts w:cs="Times New Roman"/>
                <w:szCs w:val="24"/>
              </w:rPr>
            </w:pPr>
            <w:r w:rsidRPr="00914704">
              <w:rPr>
                <w:rFonts w:cs="Times New Roman"/>
                <w:szCs w:val="24"/>
              </w:rPr>
              <w:t>Drug Interactions</w:t>
            </w:r>
          </w:p>
        </w:tc>
        <w:tc>
          <w:tcPr>
            <w:tcW w:w="6321" w:type="dxa"/>
          </w:tcPr>
          <w:p w14:paraId="403060A2" w14:textId="77777777" w:rsidR="00401703" w:rsidRPr="00914704" w:rsidRDefault="00401703" w:rsidP="002D6DD7">
            <w:pPr>
              <w:jc w:val="both"/>
              <w:rPr>
                <w:rFonts w:cs="Times New Roman"/>
                <w:szCs w:val="24"/>
              </w:rPr>
            </w:pPr>
            <w:r w:rsidRPr="00914704">
              <w:rPr>
                <w:rFonts w:cs="Times New Roman"/>
                <w:szCs w:val="24"/>
              </w:rPr>
              <w:t>Opioid analgesics, opioid-containing medications</w:t>
            </w:r>
            <w:r w:rsidR="00311255">
              <w:rPr>
                <w:rFonts w:cs="Times New Roman"/>
                <w:szCs w:val="24"/>
              </w:rPr>
              <w:t>, t</w:t>
            </w:r>
            <w:r w:rsidRPr="00914704">
              <w:rPr>
                <w:rFonts w:cs="Times New Roman"/>
                <w:szCs w:val="24"/>
              </w:rPr>
              <w:t>hioridazine, anticoagulants (e.g., warfarin), CNS depressants, other hepatotoxic drugs.</w:t>
            </w:r>
          </w:p>
        </w:tc>
      </w:tr>
      <w:tr w:rsidR="00401703" w:rsidRPr="00914704" w14:paraId="69894D90" w14:textId="77777777" w:rsidTr="002D6DD7">
        <w:tc>
          <w:tcPr>
            <w:tcW w:w="2695" w:type="dxa"/>
          </w:tcPr>
          <w:p w14:paraId="387E699E" w14:textId="77777777" w:rsidR="00401703" w:rsidRPr="00914704" w:rsidRDefault="00401703" w:rsidP="002D6DD7">
            <w:pPr>
              <w:jc w:val="both"/>
              <w:rPr>
                <w:rFonts w:cs="Times New Roman"/>
                <w:szCs w:val="24"/>
              </w:rPr>
            </w:pPr>
            <w:r w:rsidRPr="00914704">
              <w:rPr>
                <w:rFonts w:cs="Times New Roman"/>
                <w:szCs w:val="24"/>
              </w:rPr>
              <w:t>Side Effects</w:t>
            </w:r>
          </w:p>
        </w:tc>
        <w:tc>
          <w:tcPr>
            <w:tcW w:w="6321" w:type="dxa"/>
          </w:tcPr>
          <w:p w14:paraId="64A6AEB5" w14:textId="77777777" w:rsidR="00401703" w:rsidRPr="00914704" w:rsidRDefault="00401703" w:rsidP="002D6DD7">
            <w:pPr>
              <w:jc w:val="both"/>
              <w:rPr>
                <w:rFonts w:cs="Times New Roman"/>
                <w:szCs w:val="24"/>
              </w:rPr>
            </w:pPr>
            <w:r w:rsidRPr="00914704">
              <w:rPr>
                <w:rFonts w:cs="Times New Roman"/>
                <w:szCs w:val="24"/>
              </w:rPr>
              <w:t>Nausea, headache, dizziness, nervousness, fatigue, insomnia, vomiting, anxiety, abdominal pain, muscle or joint pain, decreased appeti</w:t>
            </w:r>
            <w:r w:rsidR="00311255">
              <w:rPr>
                <w:rFonts w:cs="Times New Roman"/>
                <w:szCs w:val="24"/>
              </w:rPr>
              <w:t>te, h</w:t>
            </w:r>
            <w:r w:rsidRPr="00914704">
              <w:rPr>
                <w:rFonts w:cs="Times New Roman"/>
                <w:szCs w:val="24"/>
              </w:rPr>
              <w:t>epatotoxicity, depression, suicidal thoughts, injection site reactions (for injectable form), elevated liver enzymes, rash.</w:t>
            </w:r>
          </w:p>
        </w:tc>
      </w:tr>
      <w:tr w:rsidR="00401703" w:rsidRPr="00914704" w14:paraId="148F3AAE" w14:textId="77777777" w:rsidTr="002D6DD7">
        <w:tc>
          <w:tcPr>
            <w:tcW w:w="2695" w:type="dxa"/>
          </w:tcPr>
          <w:p w14:paraId="53717829" w14:textId="77777777" w:rsidR="00401703" w:rsidRPr="00914704" w:rsidRDefault="00401703" w:rsidP="002D6DD7">
            <w:pPr>
              <w:jc w:val="both"/>
              <w:rPr>
                <w:rFonts w:cs="Times New Roman"/>
                <w:szCs w:val="24"/>
              </w:rPr>
            </w:pPr>
            <w:r w:rsidRPr="00914704">
              <w:rPr>
                <w:rFonts w:cs="Times New Roman"/>
                <w:szCs w:val="24"/>
              </w:rPr>
              <w:t>Cautions</w:t>
            </w:r>
          </w:p>
        </w:tc>
        <w:tc>
          <w:tcPr>
            <w:tcW w:w="6321" w:type="dxa"/>
          </w:tcPr>
          <w:p w14:paraId="431B977C" w14:textId="77777777" w:rsidR="00401703" w:rsidRPr="00914704" w:rsidRDefault="00401703" w:rsidP="002D6DD7">
            <w:pPr>
              <w:jc w:val="both"/>
              <w:rPr>
                <w:rFonts w:cs="Times New Roman"/>
                <w:szCs w:val="24"/>
              </w:rPr>
            </w:pPr>
            <w:r w:rsidRPr="00914704">
              <w:rPr>
                <w:rFonts w:cs="Times New Roman"/>
                <w:szCs w:val="24"/>
              </w:rPr>
              <w:t>Caution in mild to moderate hepatic impairment andrenal impairment, avoid in severe renal and hepatic failure depression, history of suicidal thoughts or behavior, patients with a history of opioid addiction, monitor liver function tests, ensure opioid-free period before initiating treatment to avoid withdrawal symptoms, inform patients about the risk of hepatotoxicity.</w:t>
            </w:r>
          </w:p>
        </w:tc>
      </w:tr>
      <w:tr w:rsidR="00401703" w:rsidRPr="00914704" w14:paraId="1B486BE0" w14:textId="77777777" w:rsidTr="002D6DD7">
        <w:tc>
          <w:tcPr>
            <w:tcW w:w="2695" w:type="dxa"/>
          </w:tcPr>
          <w:p w14:paraId="55CAD564" w14:textId="77777777" w:rsidR="00401703" w:rsidRPr="00914704" w:rsidRDefault="00401703" w:rsidP="002D6DD7">
            <w:pPr>
              <w:jc w:val="both"/>
              <w:rPr>
                <w:rFonts w:cs="Times New Roman"/>
                <w:szCs w:val="24"/>
              </w:rPr>
            </w:pPr>
            <w:r w:rsidRPr="00914704">
              <w:rPr>
                <w:rFonts w:cs="Times New Roman"/>
                <w:szCs w:val="24"/>
              </w:rPr>
              <w:t>Storage Condition</w:t>
            </w:r>
          </w:p>
        </w:tc>
        <w:tc>
          <w:tcPr>
            <w:tcW w:w="6321" w:type="dxa"/>
          </w:tcPr>
          <w:p w14:paraId="61692F4C" w14:textId="77777777" w:rsidR="00401703" w:rsidRPr="00914704" w:rsidRDefault="00401703" w:rsidP="002D6DD7">
            <w:pPr>
              <w:jc w:val="both"/>
              <w:rPr>
                <w:rFonts w:cs="Times New Roman"/>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bl>
    <w:p w14:paraId="445F2E1E" w14:textId="77777777" w:rsidR="00401703" w:rsidRPr="00944B15" w:rsidRDefault="00401703" w:rsidP="00401703">
      <w:pPr>
        <w:spacing w:after="0"/>
        <w:rPr>
          <w:rFonts w:cs="Times New Roman"/>
          <w:szCs w:val="24"/>
        </w:rPr>
      </w:pPr>
    </w:p>
    <w:p w14:paraId="12790227" w14:textId="77777777" w:rsidR="00401703" w:rsidRPr="000575D4" w:rsidRDefault="00311255" w:rsidP="000575D4">
      <w:pPr>
        <w:rPr>
          <w:b/>
        </w:rPr>
      </w:pPr>
      <w:r w:rsidRPr="000575D4">
        <w:rPr>
          <w:b/>
        </w:rPr>
        <w:t>Medicines used for nicotine use disorders</w:t>
      </w:r>
    </w:p>
    <w:p w14:paraId="4754500F" w14:textId="77777777" w:rsidR="00401703" w:rsidRPr="00944B15" w:rsidRDefault="00401703" w:rsidP="00401703">
      <w:pPr>
        <w:spacing w:after="0"/>
        <w:jc w:val="both"/>
        <w:rPr>
          <w:rFonts w:cs="Times New Roman"/>
          <w:bCs/>
          <w:szCs w:val="24"/>
        </w:rPr>
      </w:pPr>
      <w:r w:rsidRPr="00944B15">
        <w:rPr>
          <w:rFonts w:cs="Times New Roman"/>
          <w:bCs/>
          <w:szCs w:val="24"/>
        </w:rPr>
        <w:t>Medications for nicotine use disorders, such as Bupropion and Nicotine Replacement Therapy (NRT), offer valuable support for individuals striving to quit smoking. Bupropion, an antidepressant, helps reduce cravings and withdrawal symptoms associated with nicotine addiction. NRT, available in forms like chewing gum and transdermal patches, delivers controlled doses of nicotine to alleviate cravings while gradually weaning the body off nicotine dependence. Both options are typically used alongside counselling and behavioral therapy to enhance smoking cessation efforts.</w:t>
      </w:r>
    </w:p>
    <w:p w14:paraId="08902AA4" w14:textId="77777777" w:rsidR="00401703" w:rsidRPr="00944B15" w:rsidRDefault="00401703" w:rsidP="00401703">
      <w:pPr>
        <w:spacing w:after="0"/>
        <w:jc w:val="both"/>
        <w:rPr>
          <w:rFonts w:cs="Times New Roman"/>
          <w:bCs/>
          <w:szCs w:val="24"/>
        </w:rPr>
      </w:pPr>
    </w:p>
    <w:tbl>
      <w:tblPr>
        <w:tblStyle w:val="TableGrid15"/>
        <w:tblW w:w="9355" w:type="dxa"/>
        <w:tblLook w:val="04A0" w:firstRow="1" w:lastRow="0" w:firstColumn="1" w:lastColumn="0" w:noHBand="0" w:noVBand="1"/>
      </w:tblPr>
      <w:tblGrid>
        <w:gridCol w:w="2695"/>
        <w:gridCol w:w="6660"/>
      </w:tblGrid>
      <w:tr w:rsidR="00401703" w:rsidRPr="00914704" w14:paraId="7EAA0C01" w14:textId="77777777" w:rsidTr="002D6DD7">
        <w:trPr>
          <w:trHeight w:val="386"/>
        </w:trPr>
        <w:tc>
          <w:tcPr>
            <w:tcW w:w="9355" w:type="dxa"/>
            <w:gridSpan w:val="2"/>
          </w:tcPr>
          <w:p w14:paraId="1DC08B3B" w14:textId="77777777" w:rsidR="00401703" w:rsidRPr="00914704" w:rsidRDefault="00401703" w:rsidP="002D6DD7">
            <w:pPr>
              <w:jc w:val="both"/>
              <w:rPr>
                <w:rFonts w:cs="Times New Roman"/>
                <w:b/>
                <w:bCs/>
                <w:color w:val="000000" w:themeColor="text1"/>
                <w:szCs w:val="24"/>
              </w:rPr>
            </w:pPr>
            <w:r w:rsidRPr="00914704">
              <w:rPr>
                <w:rFonts w:cs="Times New Roman"/>
                <w:b/>
                <w:bCs/>
                <w:szCs w:val="24"/>
              </w:rPr>
              <w:lastRenderedPageBreak/>
              <w:t>Bupropion</w:t>
            </w:r>
          </w:p>
        </w:tc>
      </w:tr>
      <w:tr w:rsidR="00401703" w:rsidRPr="00914704" w14:paraId="1AA6FA93" w14:textId="77777777" w:rsidTr="002D6DD7">
        <w:tc>
          <w:tcPr>
            <w:tcW w:w="2695" w:type="dxa"/>
          </w:tcPr>
          <w:p w14:paraId="5C9B7DB2" w14:textId="77777777" w:rsidR="00401703" w:rsidRPr="00914704" w:rsidRDefault="00401703" w:rsidP="002D6DD7">
            <w:pPr>
              <w:jc w:val="both"/>
              <w:rPr>
                <w:rFonts w:cs="Times New Roman"/>
                <w:color w:val="000000" w:themeColor="text1"/>
                <w:szCs w:val="24"/>
              </w:rPr>
            </w:pPr>
            <w:r w:rsidRPr="00914704">
              <w:rPr>
                <w:rFonts w:cs="Times New Roman"/>
                <w:szCs w:val="24"/>
              </w:rPr>
              <w:t>Pharmacological Class</w:t>
            </w:r>
          </w:p>
        </w:tc>
        <w:tc>
          <w:tcPr>
            <w:tcW w:w="6660" w:type="dxa"/>
          </w:tcPr>
          <w:p w14:paraId="5431EEE7" w14:textId="77777777" w:rsidR="00401703" w:rsidRPr="00914704" w:rsidRDefault="00401703" w:rsidP="002D6DD7">
            <w:pPr>
              <w:jc w:val="both"/>
              <w:rPr>
                <w:rFonts w:cs="Times New Roman"/>
                <w:color w:val="000000" w:themeColor="text1"/>
                <w:szCs w:val="24"/>
              </w:rPr>
            </w:pPr>
            <w:r w:rsidRPr="00914704">
              <w:rPr>
                <w:rFonts w:cs="Times New Roman"/>
                <w:szCs w:val="24"/>
              </w:rPr>
              <w:t>Antidepressant</w:t>
            </w:r>
          </w:p>
        </w:tc>
      </w:tr>
      <w:tr w:rsidR="00401703" w:rsidRPr="00914704" w14:paraId="080F0311" w14:textId="77777777" w:rsidTr="002D6DD7">
        <w:tc>
          <w:tcPr>
            <w:tcW w:w="2695" w:type="dxa"/>
          </w:tcPr>
          <w:p w14:paraId="12E78709" w14:textId="77777777" w:rsidR="00401703" w:rsidRPr="00914704" w:rsidRDefault="00401703" w:rsidP="002D6DD7">
            <w:pPr>
              <w:jc w:val="both"/>
              <w:rPr>
                <w:rFonts w:cs="Times New Roman"/>
                <w:color w:val="000000" w:themeColor="text1"/>
                <w:szCs w:val="24"/>
              </w:rPr>
            </w:pPr>
            <w:r w:rsidRPr="00914704">
              <w:rPr>
                <w:rFonts w:cs="Times New Roman"/>
                <w:szCs w:val="24"/>
              </w:rPr>
              <w:t>Dosage Form</w:t>
            </w:r>
          </w:p>
        </w:tc>
        <w:tc>
          <w:tcPr>
            <w:tcW w:w="6660" w:type="dxa"/>
          </w:tcPr>
          <w:p w14:paraId="57342F7F" w14:textId="77777777" w:rsidR="00401703" w:rsidRPr="00914704" w:rsidRDefault="00401703" w:rsidP="002D6DD7">
            <w:pPr>
              <w:jc w:val="both"/>
              <w:rPr>
                <w:rFonts w:cs="Times New Roman"/>
                <w:color w:val="000000" w:themeColor="text1"/>
                <w:szCs w:val="24"/>
              </w:rPr>
            </w:pPr>
            <w:r w:rsidRPr="00914704">
              <w:rPr>
                <w:rFonts w:cs="Times New Roman"/>
                <w:szCs w:val="24"/>
              </w:rPr>
              <w:t>Tablet: 75 mg, 100 mg</w:t>
            </w:r>
          </w:p>
        </w:tc>
      </w:tr>
      <w:tr w:rsidR="00401703" w:rsidRPr="00914704" w14:paraId="3BF43A9B" w14:textId="77777777" w:rsidTr="002D6DD7">
        <w:tc>
          <w:tcPr>
            <w:tcW w:w="2695" w:type="dxa"/>
          </w:tcPr>
          <w:p w14:paraId="42F5542E" w14:textId="77777777" w:rsidR="00401703" w:rsidRPr="00914704" w:rsidRDefault="00401703" w:rsidP="002D6DD7">
            <w:pPr>
              <w:jc w:val="both"/>
              <w:rPr>
                <w:rFonts w:cs="Times New Roman"/>
                <w:color w:val="000000" w:themeColor="text1"/>
                <w:szCs w:val="24"/>
              </w:rPr>
            </w:pPr>
            <w:r w:rsidRPr="00914704">
              <w:rPr>
                <w:rFonts w:cs="Times New Roman"/>
                <w:szCs w:val="24"/>
              </w:rPr>
              <w:t>Indication</w:t>
            </w:r>
          </w:p>
        </w:tc>
        <w:tc>
          <w:tcPr>
            <w:tcW w:w="6660" w:type="dxa"/>
          </w:tcPr>
          <w:p w14:paraId="58AB3A9B" w14:textId="77777777" w:rsidR="00401703" w:rsidRPr="00914704" w:rsidRDefault="00401703" w:rsidP="002D6DD7">
            <w:pPr>
              <w:jc w:val="both"/>
              <w:rPr>
                <w:rFonts w:cs="Times New Roman"/>
                <w:szCs w:val="24"/>
              </w:rPr>
            </w:pPr>
            <w:r w:rsidRPr="00914704">
              <w:rPr>
                <w:rFonts w:cs="Times New Roman"/>
                <w:szCs w:val="24"/>
              </w:rPr>
              <w:t>Nicotine Use Disorder</w:t>
            </w:r>
          </w:p>
        </w:tc>
      </w:tr>
      <w:tr w:rsidR="00401703" w:rsidRPr="00914704" w14:paraId="7D7331B2" w14:textId="77777777" w:rsidTr="002D6DD7">
        <w:tc>
          <w:tcPr>
            <w:tcW w:w="2695" w:type="dxa"/>
          </w:tcPr>
          <w:p w14:paraId="23790E2C" w14:textId="77777777" w:rsidR="00401703" w:rsidRPr="00914704" w:rsidRDefault="00401703" w:rsidP="002D6DD7">
            <w:pPr>
              <w:rPr>
                <w:rFonts w:cs="Times New Roman"/>
                <w:color w:val="000000" w:themeColor="text1"/>
                <w:szCs w:val="24"/>
              </w:rPr>
            </w:pPr>
            <w:r w:rsidRPr="00914704">
              <w:rPr>
                <w:rFonts w:eastAsia="Times New Roman" w:cs="Times New Roman"/>
                <w:color w:val="000000" w:themeColor="text1"/>
                <w:szCs w:val="24"/>
              </w:rPr>
              <w:t>Dose and Administration</w:t>
            </w:r>
          </w:p>
        </w:tc>
        <w:tc>
          <w:tcPr>
            <w:tcW w:w="6660" w:type="dxa"/>
          </w:tcPr>
          <w:p w14:paraId="76217ADC" w14:textId="77777777" w:rsidR="00401703" w:rsidRPr="00914704" w:rsidRDefault="00401703" w:rsidP="002D6DD7">
            <w:pPr>
              <w:jc w:val="both"/>
              <w:rPr>
                <w:rFonts w:cs="Times New Roman"/>
                <w:szCs w:val="24"/>
              </w:rPr>
            </w:pPr>
            <w:r w:rsidRPr="00914704">
              <w:rPr>
                <w:rFonts w:cs="Times New Roman"/>
                <w:b/>
                <w:bCs/>
                <w:szCs w:val="24"/>
              </w:rPr>
              <w:t xml:space="preserve">Adult Smoking cessation, </w:t>
            </w:r>
            <w:r w:rsidRPr="000575D4">
              <w:rPr>
                <w:rFonts w:cs="Times New Roman"/>
                <w:bCs/>
                <w:szCs w:val="24"/>
              </w:rPr>
              <w:t>oral:</w:t>
            </w:r>
            <w:r w:rsidRPr="00914704">
              <w:rPr>
                <w:rFonts w:cs="Times New Roman"/>
                <w:szCs w:val="24"/>
              </w:rPr>
              <w:t xml:space="preserve"> 150 mg daily for 3 days, THEN increase to 150 mg every 12 hours, should continue treatment for 7–12 weeks, if patient successfully quits after 7–12 weeks, consider ongoing maintenance therapy based on individual patient risk/benefit. Begin therapy 1 week before target quit date (usually second week of treatment). May be used in combination with nicotine patch</w:t>
            </w:r>
            <w:r w:rsidR="000575D4">
              <w:rPr>
                <w:rFonts w:cs="Times New Roman"/>
                <w:szCs w:val="24"/>
              </w:rPr>
              <w:t>.</w:t>
            </w:r>
          </w:p>
        </w:tc>
      </w:tr>
      <w:tr w:rsidR="00401703" w:rsidRPr="00914704" w14:paraId="2ED1D5E3" w14:textId="77777777" w:rsidTr="002D6DD7">
        <w:tc>
          <w:tcPr>
            <w:tcW w:w="2695" w:type="dxa"/>
          </w:tcPr>
          <w:p w14:paraId="47466988" w14:textId="77777777" w:rsidR="00401703" w:rsidRPr="00914704" w:rsidRDefault="00401703" w:rsidP="002D6DD7">
            <w:pPr>
              <w:jc w:val="both"/>
              <w:rPr>
                <w:rFonts w:cs="Times New Roman"/>
                <w:color w:val="000000" w:themeColor="text1"/>
                <w:szCs w:val="24"/>
              </w:rPr>
            </w:pPr>
            <w:r w:rsidRPr="00914704">
              <w:rPr>
                <w:rFonts w:cs="Times New Roman"/>
                <w:szCs w:val="24"/>
              </w:rPr>
              <w:t>Contraindications</w:t>
            </w:r>
          </w:p>
        </w:tc>
        <w:tc>
          <w:tcPr>
            <w:tcW w:w="6660" w:type="dxa"/>
          </w:tcPr>
          <w:p w14:paraId="734B6796" w14:textId="77777777" w:rsidR="00401703" w:rsidRPr="00914704" w:rsidRDefault="00401703" w:rsidP="002D6DD7">
            <w:pPr>
              <w:jc w:val="both"/>
              <w:rPr>
                <w:rFonts w:cs="Times New Roman"/>
                <w:color w:val="000000" w:themeColor="text1"/>
                <w:szCs w:val="24"/>
              </w:rPr>
            </w:pPr>
            <w:r w:rsidRPr="00914704">
              <w:rPr>
                <w:rFonts w:cs="Times New Roman"/>
                <w:szCs w:val="24"/>
              </w:rPr>
              <w:t xml:space="preserve">Hypersensitivity to </w:t>
            </w:r>
            <w:r w:rsidR="000575D4">
              <w:rPr>
                <w:rFonts w:cs="Times New Roman"/>
                <w:szCs w:val="24"/>
              </w:rPr>
              <w:t>the drug, s</w:t>
            </w:r>
            <w:r w:rsidRPr="00914704">
              <w:rPr>
                <w:rFonts w:cs="Times New Roman"/>
                <w:szCs w:val="24"/>
              </w:rPr>
              <w:t>eizure disorder, current or prior diagnosis of bulimia or anorexia nervosa, undergoing abrupt discontinuation of alcohol or sedatives (including benzodiazepines).</w:t>
            </w:r>
          </w:p>
        </w:tc>
      </w:tr>
      <w:tr w:rsidR="00401703" w:rsidRPr="00914704" w14:paraId="2D89AD4B" w14:textId="77777777" w:rsidTr="002D6DD7">
        <w:tc>
          <w:tcPr>
            <w:tcW w:w="2695" w:type="dxa"/>
          </w:tcPr>
          <w:p w14:paraId="43072AA0" w14:textId="77777777" w:rsidR="00401703" w:rsidRPr="00914704" w:rsidRDefault="00401703" w:rsidP="002D6DD7">
            <w:pPr>
              <w:jc w:val="both"/>
              <w:rPr>
                <w:rFonts w:cs="Times New Roman"/>
                <w:color w:val="000000" w:themeColor="text1"/>
                <w:szCs w:val="24"/>
              </w:rPr>
            </w:pPr>
            <w:r w:rsidRPr="00914704">
              <w:rPr>
                <w:rFonts w:cs="Times New Roman"/>
                <w:szCs w:val="24"/>
              </w:rPr>
              <w:t>Drug Interactions</w:t>
            </w:r>
          </w:p>
        </w:tc>
        <w:tc>
          <w:tcPr>
            <w:tcW w:w="6660" w:type="dxa"/>
          </w:tcPr>
          <w:p w14:paraId="04FB08B5" w14:textId="77777777" w:rsidR="00401703" w:rsidRPr="00914704" w:rsidRDefault="00401703" w:rsidP="002D6DD7">
            <w:pPr>
              <w:jc w:val="both"/>
              <w:rPr>
                <w:rFonts w:cs="Times New Roman"/>
                <w:b/>
                <w:bCs/>
                <w:szCs w:val="24"/>
              </w:rPr>
            </w:pPr>
            <w:r w:rsidRPr="00914704">
              <w:rPr>
                <w:rFonts w:cs="Times New Roman"/>
                <w:szCs w:val="24"/>
              </w:rPr>
              <w:t xml:space="preserve">MAO inhibitors, </w:t>
            </w:r>
            <w:r w:rsidR="000575D4">
              <w:rPr>
                <w:rFonts w:cs="Times New Roman"/>
                <w:szCs w:val="24"/>
              </w:rPr>
              <w:t>d</w:t>
            </w:r>
            <w:r w:rsidRPr="00914704">
              <w:rPr>
                <w:rFonts w:cs="Times New Roman"/>
                <w:szCs w:val="24"/>
              </w:rPr>
              <w:t>rugs metabolized by CYP2B6 (e.g., cyclophosphamide, ifosfamide), drugs that lower seizure threshold (e.g., antipsychotics, antidepressants, theophylline, systemic steroids)</w:t>
            </w:r>
          </w:p>
        </w:tc>
      </w:tr>
      <w:tr w:rsidR="00401703" w:rsidRPr="00914704" w14:paraId="0452B60B" w14:textId="77777777" w:rsidTr="002D6DD7">
        <w:tc>
          <w:tcPr>
            <w:tcW w:w="2695" w:type="dxa"/>
          </w:tcPr>
          <w:p w14:paraId="15C9F02A" w14:textId="77777777" w:rsidR="00401703" w:rsidRPr="00914704" w:rsidRDefault="00401703" w:rsidP="002D6DD7">
            <w:pPr>
              <w:jc w:val="both"/>
              <w:rPr>
                <w:rFonts w:cs="Times New Roman"/>
                <w:color w:val="000000" w:themeColor="text1"/>
                <w:szCs w:val="24"/>
              </w:rPr>
            </w:pPr>
            <w:r w:rsidRPr="00914704">
              <w:rPr>
                <w:rFonts w:cs="Times New Roman"/>
                <w:szCs w:val="24"/>
              </w:rPr>
              <w:t>Side Effects</w:t>
            </w:r>
          </w:p>
        </w:tc>
        <w:tc>
          <w:tcPr>
            <w:tcW w:w="6660" w:type="dxa"/>
          </w:tcPr>
          <w:p w14:paraId="7F0F2D88" w14:textId="77777777" w:rsidR="00401703" w:rsidRPr="00914704" w:rsidRDefault="00401703" w:rsidP="002D6DD7">
            <w:pPr>
              <w:jc w:val="both"/>
              <w:rPr>
                <w:rFonts w:cs="Times New Roman"/>
                <w:szCs w:val="24"/>
              </w:rPr>
            </w:pPr>
            <w:r w:rsidRPr="00914704">
              <w:rPr>
                <w:rFonts w:cs="Times New Roman"/>
                <w:szCs w:val="24"/>
              </w:rPr>
              <w:t xml:space="preserve">Insomnia, dry </w:t>
            </w:r>
            <w:r w:rsidR="000575D4">
              <w:rPr>
                <w:rFonts w:cs="Times New Roman"/>
                <w:szCs w:val="24"/>
              </w:rPr>
              <w:t>mouth</w:t>
            </w:r>
            <w:r w:rsidRPr="00914704">
              <w:rPr>
                <w:rFonts w:cs="Times New Roman"/>
                <w:szCs w:val="24"/>
              </w:rPr>
              <w:t>, headache, nausea, constipation, dizziness, Increased blood pressure, agitation, tremor, sweating, tinnitus, rash.</w:t>
            </w:r>
          </w:p>
        </w:tc>
      </w:tr>
      <w:tr w:rsidR="00401703" w:rsidRPr="00914704" w14:paraId="3F867836" w14:textId="77777777" w:rsidTr="002D6DD7">
        <w:tc>
          <w:tcPr>
            <w:tcW w:w="2695" w:type="dxa"/>
          </w:tcPr>
          <w:p w14:paraId="741E6C61" w14:textId="77777777" w:rsidR="00401703" w:rsidRPr="00914704" w:rsidRDefault="00401703" w:rsidP="002D6DD7">
            <w:pPr>
              <w:jc w:val="both"/>
              <w:rPr>
                <w:rFonts w:cs="Times New Roman"/>
                <w:color w:val="000000" w:themeColor="text1"/>
                <w:szCs w:val="24"/>
              </w:rPr>
            </w:pPr>
            <w:r w:rsidRPr="00914704">
              <w:rPr>
                <w:rFonts w:cs="Times New Roman"/>
                <w:szCs w:val="24"/>
              </w:rPr>
              <w:t>Cautions</w:t>
            </w:r>
          </w:p>
        </w:tc>
        <w:tc>
          <w:tcPr>
            <w:tcW w:w="6660" w:type="dxa"/>
          </w:tcPr>
          <w:p w14:paraId="4E30C1C5" w14:textId="77777777" w:rsidR="00401703" w:rsidRPr="00914704" w:rsidRDefault="000575D4" w:rsidP="002D6DD7">
            <w:pPr>
              <w:jc w:val="both"/>
              <w:rPr>
                <w:rFonts w:cs="Times New Roman"/>
                <w:color w:val="000000" w:themeColor="text1"/>
                <w:szCs w:val="24"/>
              </w:rPr>
            </w:pPr>
            <w:r>
              <w:rPr>
                <w:rFonts w:cs="Times New Roman"/>
                <w:szCs w:val="24"/>
              </w:rPr>
              <w:t>H</w:t>
            </w:r>
            <w:r w:rsidR="00401703" w:rsidRPr="00914704">
              <w:rPr>
                <w:rFonts w:cs="Times New Roman"/>
                <w:szCs w:val="24"/>
              </w:rPr>
              <w:t>istory of seizure disorder, head trauma, central nervous system tumor, severe hepatic cirrhosis, and bipolar disorder. Monitor for neuropsychiatric symptoms, including mood changes, hallucinations, paranoia, delusions, and homicidal ideation.</w:t>
            </w:r>
          </w:p>
        </w:tc>
      </w:tr>
      <w:tr w:rsidR="00401703" w:rsidRPr="00914704" w14:paraId="56055E47" w14:textId="77777777" w:rsidTr="002D6DD7">
        <w:tc>
          <w:tcPr>
            <w:tcW w:w="2695" w:type="dxa"/>
          </w:tcPr>
          <w:p w14:paraId="24BE7AB3" w14:textId="77777777" w:rsidR="00401703" w:rsidRPr="00914704" w:rsidRDefault="00401703" w:rsidP="002D6DD7">
            <w:pPr>
              <w:jc w:val="both"/>
              <w:rPr>
                <w:rFonts w:cs="Times New Roman"/>
                <w:color w:val="000000" w:themeColor="text1"/>
                <w:szCs w:val="24"/>
              </w:rPr>
            </w:pPr>
            <w:r w:rsidRPr="00914704">
              <w:rPr>
                <w:rFonts w:cs="Times New Roman"/>
                <w:szCs w:val="24"/>
              </w:rPr>
              <w:t>Storage Condition</w:t>
            </w:r>
          </w:p>
        </w:tc>
        <w:tc>
          <w:tcPr>
            <w:tcW w:w="6660" w:type="dxa"/>
          </w:tcPr>
          <w:p w14:paraId="3A75D8A7" w14:textId="77777777" w:rsidR="00401703" w:rsidRPr="00914704" w:rsidRDefault="00401703" w:rsidP="002D6DD7">
            <w:pPr>
              <w:jc w:val="both"/>
              <w:rPr>
                <w:rFonts w:cs="Times New Roman"/>
                <w:color w:val="000000" w:themeColor="text1"/>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r w:rsidR="00401703" w:rsidRPr="00914704" w14:paraId="108ADE87" w14:textId="77777777" w:rsidTr="002D6DD7">
        <w:tc>
          <w:tcPr>
            <w:tcW w:w="9355" w:type="dxa"/>
            <w:gridSpan w:val="2"/>
          </w:tcPr>
          <w:p w14:paraId="26FE9AF1" w14:textId="77777777" w:rsidR="00401703" w:rsidRPr="00914704" w:rsidRDefault="00401703" w:rsidP="002D6DD7">
            <w:pPr>
              <w:jc w:val="both"/>
              <w:rPr>
                <w:rFonts w:cs="Times New Roman"/>
                <w:szCs w:val="24"/>
              </w:rPr>
            </w:pPr>
            <w:r w:rsidRPr="00914704">
              <w:rPr>
                <w:rFonts w:cs="Times New Roman"/>
                <w:b/>
                <w:bCs/>
                <w:szCs w:val="24"/>
              </w:rPr>
              <w:t>Nicotine Replacement Therapy (NRT)</w:t>
            </w:r>
          </w:p>
        </w:tc>
      </w:tr>
      <w:tr w:rsidR="00401703" w:rsidRPr="00914704" w14:paraId="5E6C7D27" w14:textId="77777777" w:rsidTr="002D6DD7">
        <w:tc>
          <w:tcPr>
            <w:tcW w:w="2695" w:type="dxa"/>
          </w:tcPr>
          <w:p w14:paraId="3A87A5C1" w14:textId="77777777" w:rsidR="00401703" w:rsidRPr="00914704" w:rsidRDefault="00401703" w:rsidP="002D6DD7">
            <w:pPr>
              <w:jc w:val="both"/>
              <w:rPr>
                <w:rFonts w:cs="Times New Roman"/>
                <w:szCs w:val="24"/>
              </w:rPr>
            </w:pPr>
            <w:r w:rsidRPr="00914704">
              <w:rPr>
                <w:rFonts w:cs="Times New Roman"/>
                <w:szCs w:val="24"/>
              </w:rPr>
              <w:t>Pharmacological Class</w:t>
            </w:r>
          </w:p>
        </w:tc>
        <w:tc>
          <w:tcPr>
            <w:tcW w:w="6660" w:type="dxa"/>
          </w:tcPr>
          <w:p w14:paraId="00EEA63F" w14:textId="77777777" w:rsidR="00401703" w:rsidRPr="00914704" w:rsidRDefault="00401703" w:rsidP="002D6DD7">
            <w:pPr>
              <w:jc w:val="both"/>
              <w:rPr>
                <w:rFonts w:cs="Times New Roman"/>
                <w:szCs w:val="24"/>
              </w:rPr>
            </w:pPr>
            <w:r w:rsidRPr="00914704">
              <w:rPr>
                <w:rFonts w:cs="Times New Roman"/>
                <w:szCs w:val="24"/>
              </w:rPr>
              <w:t>Smoking Cessation Aid</w:t>
            </w:r>
          </w:p>
        </w:tc>
      </w:tr>
      <w:tr w:rsidR="00401703" w:rsidRPr="00914704" w14:paraId="62F008D4" w14:textId="77777777" w:rsidTr="002D6DD7">
        <w:tc>
          <w:tcPr>
            <w:tcW w:w="2695" w:type="dxa"/>
          </w:tcPr>
          <w:p w14:paraId="030A18D7" w14:textId="77777777" w:rsidR="00401703" w:rsidRPr="00914704" w:rsidRDefault="00401703" w:rsidP="002D6DD7">
            <w:pPr>
              <w:jc w:val="both"/>
              <w:rPr>
                <w:rFonts w:cs="Times New Roman"/>
                <w:szCs w:val="24"/>
              </w:rPr>
            </w:pPr>
            <w:r w:rsidRPr="00914704">
              <w:rPr>
                <w:rFonts w:cs="Times New Roman"/>
                <w:szCs w:val="24"/>
              </w:rPr>
              <w:t>Dosage Form</w:t>
            </w:r>
          </w:p>
        </w:tc>
        <w:tc>
          <w:tcPr>
            <w:tcW w:w="6660" w:type="dxa"/>
          </w:tcPr>
          <w:p w14:paraId="35679C9D" w14:textId="77777777" w:rsidR="00401703" w:rsidRPr="00914704" w:rsidRDefault="00401703" w:rsidP="002D6DD7">
            <w:pPr>
              <w:jc w:val="both"/>
              <w:rPr>
                <w:rFonts w:cs="Times New Roman"/>
                <w:szCs w:val="24"/>
              </w:rPr>
            </w:pPr>
            <w:r w:rsidRPr="00914704">
              <w:rPr>
                <w:rFonts w:cs="Times New Roman"/>
                <w:szCs w:val="24"/>
              </w:rPr>
              <w:t xml:space="preserve">Chewing Gum: 2 mg, 4 mg Transdermal Patch: 5 mg – 30 mg/16 </w:t>
            </w:r>
            <w:r w:rsidRPr="00914704">
              <w:rPr>
                <w:rFonts w:cs="Times New Roman"/>
                <w:szCs w:val="24"/>
              </w:rPr>
              <w:lastRenderedPageBreak/>
              <w:t>hrs, 7 mg - 21 mg/24 hrs</w:t>
            </w:r>
          </w:p>
        </w:tc>
      </w:tr>
      <w:tr w:rsidR="00401703" w:rsidRPr="00914704" w14:paraId="77E48D75" w14:textId="77777777" w:rsidTr="002D6DD7">
        <w:tc>
          <w:tcPr>
            <w:tcW w:w="2695" w:type="dxa"/>
          </w:tcPr>
          <w:p w14:paraId="2D8F9D09" w14:textId="77777777" w:rsidR="00401703" w:rsidRPr="00914704" w:rsidRDefault="00401703" w:rsidP="002D6DD7">
            <w:pPr>
              <w:jc w:val="both"/>
              <w:rPr>
                <w:rFonts w:cs="Times New Roman"/>
                <w:szCs w:val="24"/>
              </w:rPr>
            </w:pPr>
            <w:r w:rsidRPr="00914704">
              <w:rPr>
                <w:rFonts w:cs="Times New Roman"/>
                <w:szCs w:val="24"/>
              </w:rPr>
              <w:lastRenderedPageBreak/>
              <w:t>Indication</w:t>
            </w:r>
          </w:p>
        </w:tc>
        <w:tc>
          <w:tcPr>
            <w:tcW w:w="6660" w:type="dxa"/>
          </w:tcPr>
          <w:p w14:paraId="79882AF2" w14:textId="77777777" w:rsidR="00401703" w:rsidRPr="00914704" w:rsidRDefault="00401703" w:rsidP="002D6DD7">
            <w:pPr>
              <w:jc w:val="both"/>
              <w:rPr>
                <w:rFonts w:cs="Times New Roman"/>
                <w:szCs w:val="24"/>
              </w:rPr>
            </w:pPr>
            <w:r w:rsidRPr="00914704">
              <w:rPr>
                <w:rFonts w:cs="Times New Roman"/>
                <w:szCs w:val="24"/>
              </w:rPr>
              <w:t>Smoking Cessation (Nicotine Use Disorder)</w:t>
            </w:r>
          </w:p>
        </w:tc>
      </w:tr>
      <w:tr w:rsidR="00401703" w:rsidRPr="00914704" w14:paraId="10AB2A97" w14:textId="77777777" w:rsidTr="002D6DD7">
        <w:tc>
          <w:tcPr>
            <w:tcW w:w="2695" w:type="dxa"/>
          </w:tcPr>
          <w:p w14:paraId="1613B1F9" w14:textId="77777777" w:rsidR="00401703" w:rsidRPr="00914704" w:rsidRDefault="00401703" w:rsidP="002D6DD7">
            <w:pPr>
              <w:jc w:val="both"/>
              <w:rPr>
                <w:rFonts w:cs="Times New Roman"/>
                <w:szCs w:val="24"/>
              </w:rPr>
            </w:pPr>
            <w:r w:rsidRPr="00914704">
              <w:rPr>
                <w:rFonts w:cs="Times New Roman"/>
                <w:szCs w:val="24"/>
              </w:rPr>
              <w:t>Dose and Administration</w:t>
            </w:r>
          </w:p>
        </w:tc>
        <w:tc>
          <w:tcPr>
            <w:tcW w:w="6660" w:type="dxa"/>
          </w:tcPr>
          <w:p w14:paraId="0C9F69AA" w14:textId="77777777" w:rsidR="00401703" w:rsidRPr="00914704" w:rsidRDefault="00401703" w:rsidP="002D6DD7">
            <w:pPr>
              <w:jc w:val="both"/>
              <w:rPr>
                <w:rFonts w:cs="Times New Roman"/>
                <w:b/>
                <w:bCs/>
                <w:szCs w:val="24"/>
              </w:rPr>
            </w:pPr>
            <w:r w:rsidRPr="00914704">
              <w:rPr>
                <w:rFonts w:cs="Times New Roman"/>
                <w:b/>
                <w:bCs/>
                <w:szCs w:val="24"/>
              </w:rPr>
              <w:t>Adult:</w:t>
            </w:r>
          </w:p>
          <w:p w14:paraId="5AA547D1" w14:textId="77777777" w:rsidR="00401703" w:rsidRPr="00914704" w:rsidRDefault="00401703" w:rsidP="002D6DD7">
            <w:pPr>
              <w:jc w:val="both"/>
              <w:rPr>
                <w:rFonts w:cs="Times New Roman"/>
                <w:szCs w:val="24"/>
              </w:rPr>
            </w:pPr>
            <w:r w:rsidRPr="00914704">
              <w:rPr>
                <w:rFonts w:cs="Times New Roman"/>
                <w:bCs/>
                <w:szCs w:val="24"/>
              </w:rPr>
              <w:t>Smoking cessation, Gum, oral</w:t>
            </w:r>
            <w:r w:rsidRPr="00914704">
              <w:rPr>
                <w:rFonts w:cs="Times New Roman"/>
                <w:b/>
                <w:bCs/>
                <w:szCs w:val="24"/>
              </w:rPr>
              <w:t>:</w:t>
            </w:r>
            <w:r w:rsidRPr="00914704">
              <w:rPr>
                <w:rFonts w:cs="Times New Roman"/>
                <w:szCs w:val="24"/>
              </w:rPr>
              <w:t xml:space="preserve"> Weeks 1 to 6: Chew 1 piece of gum every 1 to 2 hours (maximum: 24 pieces/day), to increase chances of quitting, chew at least 9 pieces/day during the first 6 weeks. Weeks 7 to 9: Chew 1 piece of gum every 2 to 4 hours (maximum: 24 pieces/day). </w:t>
            </w:r>
          </w:p>
          <w:p w14:paraId="11C10B73" w14:textId="77777777" w:rsidR="00401703" w:rsidRPr="00914704" w:rsidRDefault="00401703" w:rsidP="002D6DD7">
            <w:pPr>
              <w:jc w:val="both"/>
              <w:rPr>
                <w:rFonts w:cs="Times New Roman"/>
                <w:szCs w:val="24"/>
              </w:rPr>
            </w:pPr>
            <w:r w:rsidRPr="00914704">
              <w:rPr>
                <w:rFonts w:cs="Times New Roman"/>
                <w:szCs w:val="24"/>
              </w:rPr>
              <w:t>Weeks 10 to 12: Chew 1 piece of gum every 4 to 8 hours (maximum: 24 pieces/day). Patients smoking &gt;10 cigarettes/day: Begin with step 1 (21 mg/day) for 6 weeks, followed by step 2 (14 mg/day) for 2 weeks, finish</w:t>
            </w:r>
            <w:r w:rsidRPr="00914704">
              <w:rPr>
                <w:rFonts w:cs="Times New Roman"/>
                <w:szCs w:val="24"/>
              </w:rPr>
              <w:tab/>
              <w:t xml:space="preserve">with step 3 (7 mg/day) for 2 weeks. Patients smoking ≤10 cigarettes/day: Begin with step 2 (14 mg/day) for 6 weeks, followed by step 3 (7 mg/day) for 2 weeks. Smoking cessation, By transdermal </w:t>
            </w:r>
          </w:p>
          <w:p w14:paraId="35E0EB2F" w14:textId="77777777" w:rsidR="00401703" w:rsidRPr="00914704" w:rsidRDefault="00401703" w:rsidP="002D6DD7">
            <w:pPr>
              <w:jc w:val="both"/>
              <w:rPr>
                <w:rFonts w:cs="Times New Roman"/>
                <w:szCs w:val="24"/>
              </w:rPr>
            </w:pPr>
            <w:r w:rsidRPr="00914704">
              <w:rPr>
                <w:rFonts w:cs="Times New Roman"/>
                <w:bCs/>
                <w:szCs w:val="24"/>
              </w:rPr>
              <w:t>Application using patches</w:t>
            </w:r>
            <w:r w:rsidRPr="00914704">
              <w:rPr>
                <w:rFonts w:cs="Times New Roman"/>
                <w:b/>
                <w:bCs/>
                <w:szCs w:val="24"/>
              </w:rPr>
              <w:t>:</w:t>
            </w:r>
            <w:r w:rsidRPr="00914704">
              <w:rPr>
                <w:rFonts w:cs="Times New Roman"/>
                <w:szCs w:val="24"/>
              </w:rPr>
              <w:t xml:space="preserve"> Individuals who smoke more than 10 cigarettes daily should apply a high-strength patch daily for 6–8 weeks, followed by the medium-strength patch for 2 weeks, and then the low-strength patch for the final 2 weeks, individuals who smoke fewer than 10 cigarettes daily can usually start with the medium strength patch for 6–8 weeks, followed by the low strength patch for 2–4 weeks.</w:t>
            </w:r>
          </w:p>
        </w:tc>
      </w:tr>
      <w:tr w:rsidR="00401703" w:rsidRPr="00914704" w14:paraId="0DB07AA4" w14:textId="77777777" w:rsidTr="002D6DD7">
        <w:tc>
          <w:tcPr>
            <w:tcW w:w="2695" w:type="dxa"/>
          </w:tcPr>
          <w:p w14:paraId="118DA565" w14:textId="77777777" w:rsidR="00401703" w:rsidRPr="00914704" w:rsidRDefault="00401703" w:rsidP="002D6DD7">
            <w:pPr>
              <w:jc w:val="both"/>
              <w:rPr>
                <w:rFonts w:cs="Times New Roman"/>
                <w:szCs w:val="24"/>
              </w:rPr>
            </w:pPr>
            <w:r w:rsidRPr="00914704">
              <w:rPr>
                <w:rFonts w:cs="Times New Roman"/>
                <w:szCs w:val="24"/>
              </w:rPr>
              <w:t>Contraindications</w:t>
            </w:r>
          </w:p>
        </w:tc>
        <w:tc>
          <w:tcPr>
            <w:tcW w:w="6660" w:type="dxa"/>
          </w:tcPr>
          <w:p w14:paraId="020ED28F" w14:textId="77777777" w:rsidR="00401703" w:rsidRPr="00914704" w:rsidRDefault="00401703" w:rsidP="002D6DD7">
            <w:pPr>
              <w:jc w:val="both"/>
              <w:rPr>
                <w:rFonts w:cs="Times New Roman"/>
                <w:szCs w:val="24"/>
              </w:rPr>
            </w:pPr>
            <w:r w:rsidRPr="00914704">
              <w:rPr>
                <w:rFonts w:cs="Times New Roman"/>
                <w:szCs w:val="24"/>
              </w:rPr>
              <w:t xml:space="preserve">Hypersensitivity to </w:t>
            </w:r>
            <w:r w:rsidR="000575D4">
              <w:rPr>
                <w:rFonts w:cs="Times New Roman"/>
                <w:szCs w:val="24"/>
              </w:rPr>
              <w:t>the drug</w:t>
            </w:r>
            <w:r w:rsidRPr="00914704">
              <w:rPr>
                <w:rFonts w:cs="Times New Roman"/>
                <w:szCs w:val="24"/>
              </w:rPr>
              <w:t>, non-smokers, child under 12 years old.</w:t>
            </w:r>
          </w:p>
        </w:tc>
      </w:tr>
      <w:tr w:rsidR="00401703" w:rsidRPr="00914704" w14:paraId="36598E30" w14:textId="77777777" w:rsidTr="002D6DD7">
        <w:tc>
          <w:tcPr>
            <w:tcW w:w="2695" w:type="dxa"/>
          </w:tcPr>
          <w:p w14:paraId="465D8C05" w14:textId="77777777" w:rsidR="00401703" w:rsidRPr="00914704" w:rsidRDefault="00401703" w:rsidP="002D6DD7">
            <w:pPr>
              <w:jc w:val="both"/>
              <w:rPr>
                <w:rFonts w:cs="Times New Roman"/>
                <w:szCs w:val="24"/>
              </w:rPr>
            </w:pPr>
            <w:r w:rsidRPr="00914704">
              <w:rPr>
                <w:rFonts w:cs="Times New Roman"/>
                <w:szCs w:val="24"/>
              </w:rPr>
              <w:t>Drug Interactions</w:t>
            </w:r>
          </w:p>
        </w:tc>
        <w:tc>
          <w:tcPr>
            <w:tcW w:w="6660" w:type="dxa"/>
          </w:tcPr>
          <w:p w14:paraId="0DD16D44" w14:textId="77777777" w:rsidR="00401703" w:rsidRPr="00914704" w:rsidRDefault="00401703" w:rsidP="002D6DD7">
            <w:pPr>
              <w:jc w:val="both"/>
              <w:rPr>
                <w:rFonts w:cs="Times New Roman"/>
                <w:szCs w:val="24"/>
              </w:rPr>
            </w:pPr>
            <w:r w:rsidRPr="00914704">
              <w:rPr>
                <w:rFonts w:cs="Times New Roman"/>
                <w:szCs w:val="24"/>
              </w:rPr>
              <w:t>Note significant</w:t>
            </w:r>
          </w:p>
        </w:tc>
      </w:tr>
      <w:tr w:rsidR="00401703" w:rsidRPr="00914704" w14:paraId="114DBB88" w14:textId="77777777" w:rsidTr="002D6DD7">
        <w:tc>
          <w:tcPr>
            <w:tcW w:w="2695" w:type="dxa"/>
          </w:tcPr>
          <w:p w14:paraId="24B0A207" w14:textId="77777777" w:rsidR="00401703" w:rsidRPr="00914704" w:rsidRDefault="00401703" w:rsidP="002D6DD7">
            <w:pPr>
              <w:jc w:val="both"/>
              <w:rPr>
                <w:rFonts w:cs="Times New Roman"/>
                <w:szCs w:val="24"/>
              </w:rPr>
            </w:pPr>
            <w:r w:rsidRPr="00914704">
              <w:rPr>
                <w:rFonts w:cs="Times New Roman"/>
                <w:szCs w:val="24"/>
              </w:rPr>
              <w:t>Side Effects</w:t>
            </w:r>
          </w:p>
        </w:tc>
        <w:tc>
          <w:tcPr>
            <w:tcW w:w="6660" w:type="dxa"/>
          </w:tcPr>
          <w:p w14:paraId="2744B12C" w14:textId="77777777" w:rsidR="00401703" w:rsidRPr="00914704" w:rsidRDefault="00401703" w:rsidP="002D6DD7">
            <w:pPr>
              <w:jc w:val="both"/>
              <w:rPr>
                <w:rFonts w:cs="Times New Roman"/>
                <w:szCs w:val="24"/>
              </w:rPr>
            </w:pPr>
            <w:r w:rsidRPr="00914704">
              <w:rPr>
                <w:rFonts w:cs="Times New Roman"/>
                <w:szCs w:val="24"/>
              </w:rPr>
              <w:t>Local irritation or burning sensation, hiccups, dyspepsia, Nausea, vomiting, headache, dizziness, insomnia.</w:t>
            </w:r>
          </w:p>
        </w:tc>
      </w:tr>
      <w:tr w:rsidR="00401703" w:rsidRPr="00914704" w14:paraId="049204E1" w14:textId="77777777" w:rsidTr="002D6DD7">
        <w:trPr>
          <w:trHeight w:val="1430"/>
        </w:trPr>
        <w:tc>
          <w:tcPr>
            <w:tcW w:w="2695" w:type="dxa"/>
          </w:tcPr>
          <w:p w14:paraId="6E1FFC03" w14:textId="77777777" w:rsidR="00401703" w:rsidRPr="00914704" w:rsidRDefault="00401703" w:rsidP="002D6DD7">
            <w:pPr>
              <w:jc w:val="both"/>
              <w:rPr>
                <w:rFonts w:cs="Times New Roman"/>
                <w:szCs w:val="24"/>
              </w:rPr>
            </w:pPr>
            <w:r w:rsidRPr="00914704">
              <w:rPr>
                <w:rFonts w:cs="Times New Roman"/>
                <w:szCs w:val="24"/>
              </w:rPr>
              <w:t>Cautions</w:t>
            </w:r>
          </w:p>
        </w:tc>
        <w:tc>
          <w:tcPr>
            <w:tcW w:w="6660" w:type="dxa"/>
          </w:tcPr>
          <w:p w14:paraId="5C13F45A" w14:textId="77777777" w:rsidR="00401703" w:rsidRPr="00914704" w:rsidRDefault="00401703" w:rsidP="002D6DD7">
            <w:pPr>
              <w:jc w:val="both"/>
              <w:rPr>
                <w:rFonts w:cs="Times New Roman"/>
                <w:szCs w:val="24"/>
              </w:rPr>
            </w:pPr>
            <w:r>
              <w:rPr>
                <w:rFonts w:cs="Times New Roman"/>
                <w:szCs w:val="24"/>
              </w:rPr>
              <w:t>C</w:t>
            </w:r>
            <w:r w:rsidRPr="00914704">
              <w:rPr>
                <w:rFonts w:cs="Times New Roman"/>
                <w:szCs w:val="24"/>
              </w:rPr>
              <w:t>ardiovascular disease, hypertension, peptic ulcer disease, diabetes, hyperthyroidism, renal or hepatic impairment. Monitor for signs of nicotine overdose (e.g., nausea, vomiting, dizziness, weakness, palpitations).</w:t>
            </w:r>
          </w:p>
        </w:tc>
      </w:tr>
      <w:tr w:rsidR="00401703" w:rsidRPr="00914704" w14:paraId="2AD06456" w14:textId="77777777" w:rsidTr="002D6DD7">
        <w:tc>
          <w:tcPr>
            <w:tcW w:w="2695" w:type="dxa"/>
          </w:tcPr>
          <w:p w14:paraId="70D1D997" w14:textId="77777777" w:rsidR="00401703" w:rsidRPr="00914704" w:rsidRDefault="00401703" w:rsidP="002D6DD7">
            <w:pPr>
              <w:jc w:val="both"/>
              <w:rPr>
                <w:rFonts w:cs="Times New Roman"/>
                <w:szCs w:val="24"/>
              </w:rPr>
            </w:pPr>
            <w:r w:rsidRPr="00914704">
              <w:rPr>
                <w:rFonts w:cs="Times New Roman"/>
                <w:szCs w:val="24"/>
              </w:rPr>
              <w:lastRenderedPageBreak/>
              <w:t>Storage Condition</w:t>
            </w:r>
          </w:p>
        </w:tc>
        <w:tc>
          <w:tcPr>
            <w:tcW w:w="6660" w:type="dxa"/>
          </w:tcPr>
          <w:p w14:paraId="3D957C5A" w14:textId="77777777" w:rsidR="00401703" w:rsidRPr="00914704" w:rsidRDefault="00401703" w:rsidP="002D6DD7">
            <w:pPr>
              <w:jc w:val="both"/>
              <w:rPr>
                <w:rFonts w:cs="Times New Roman"/>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bl>
    <w:p w14:paraId="17A5F057" w14:textId="77777777" w:rsidR="00401703" w:rsidRPr="00944B15" w:rsidRDefault="00401703" w:rsidP="00401703">
      <w:pPr>
        <w:spacing w:after="0"/>
        <w:rPr>
          <w:rFonts w:cs="Times New Roman"/>
          <w:b/>
          <w:szCs w:val="24"/>
        </w:rPr>
      </w:pPr>
    </w:p>
    <w:p w14:paraId="5401FCD1" w14:textId="77777777" w:rsidR="00401703" w:rsidRPr="000575D4" w:rsidRDefault="000575D4" w:rsidP="000575D4">
      <w:pPr>
        <w:rPr>
          <w:b/>
        </w:rPr>
      </w:pPr>
      <w:r w:rsidRPr="000575D4">
        <w:rPr>
          <w:b/>
        </w:rPr>
        <w:t>Medicines used for opioid use disorders</w:t>
      </w:r>
    </w:p>
    <w:p w14:paraId="6B4CB524" w14:textId="77777777" w:rsidR="00401703" w:rsidRDefault="00401703" w:rsidP="00401703">
      <w:pPr>
        <w:spacing w:after="0"/>
        <w:jc w:val="both"/>
        <w:rPr>
          <w:rFonts w:cs="Times New Roman"/>
          <w:bCs/>
          <w:szCs w:val="24"/>
        </w:rPr>
      </w:pPr>
      <w:r w:rsidRPr="00944B15">
        <w:rPr>
          <w:rFonts w:cs="Times New Roman"/>
          <w:bCs/>
          <w:szCs w:val="24"/>
        </w:rPr>
        <w:t xml:space="preserve">Buprenorphine and Methadone Hydrochloride are two primary medications used for the treatment of opioid use disorders. Buprenorphine is a partial opioid agonist, meaning it activates opioid receptors in the brain but to a lesser extent than full agonists like heroin or methadone. This helps reduce cravings and withdrawal symptoms without producing the same high, thus lowering the potential for abuse. Methadone Hydrochloride, a full opioid agonist, works by fully activating opioid receptors in the brain, which helps to prevent withdrawal symptoms and reduce cravings. </w:t>
      </w:r>
    </w:p>
    <w:p w14:paraId="78CE1066" w14:textId="77777777" w:rsidR="00401703" w:rsidRPr="00944B15" w:rsidRDefault="00401703" w:rsidP="00401703">
      <w:pPr>
        <w:spacing w:after="0"/>
        <w:jc w:val="both"/>
        <w:rPr>
          <w:rFonts w:cs="Times New Roman"/>
          <w:bCs/>
          <w:szCs w:val="24"/>
        </w:rPr>
      </w:pPr>
    </w:p>
    <w:tbl>
      <w:tblPr>
        <w:tblStyle w:val="TableGrid18"/>
        <w:tblW w:w="9355" w:type="dxa"/>
        <w:tblLook w:val="04A0" w:firstRow="1" w:lastRow="0" w:firstColumn="1" w:lastColumn="0" w:noHBand="0" w:noVBand="1"/>
      </w:tblPr>
      <w:tblGrid>
        <w:gridCol w:w="2695"/>
        <w:gridCol w:w="6660"/>
      </w:tblGrid>
      <w:tr w:rsidR="00401703" w:rsidRPr="00914704" w14:paraId="115DDB48" w14:textId="77777777" w:rsidTr="002D6DD7">
        <w:tc>
          <w:tcPr>
            <w:tcW w:w="9355" w:type="dxa"/>
            <w:gridSpan w:val="2"/>
          </w:tcPr>
          <w:p w14:paraId="14580FAB" w14:textId="77777777" w:rsidR="00401703" w:rsidRPr="00914704" w:rsidRDefault="00401703" w:rsidP="002D6DD7">
            <w:pPr>
              <w:jc w:val="both"/>
              <w:rPr>
                <w:rFonts w:cs="Times New Roman"/>
                <w:b/>
                <w:bCs/>
                <w:color w:val="000000" w:themeColor="text1"/>
                <w:szCs w:val="24"/>
              </w:rPr>
            </w:pPr>
            <w:r w:rsidRPr="00914704">
              <w:rPr>
                <w:rFonts w:cs="Times New Roman"/>
                <w:b/>
                <w:bCs/>
                <w:szCs w:val="24"/>
              </w:rPr>
              <w:t>Buprenorphine</w:t>
            </w:r>
          </w:p>
        </w:tc>
      </w:tr>
      <w:tr w:rsidR="00401703" w:rsidRPr="00914704" w14:paraId="5A8B1C8D" w14:textId="77777777" w:rsidTr="002D6DD7">
        <w:tc>
          <w:tcPr>
            <w:tcW w:w="2695" w:type="dxa"/>
          </w:tcPr>
          <w:p w14:paraId="58B2098F" w14:textId="77777777" w:rsidR="00401703" w:rsidRPr="00914704" w:rsidRDefault="00401703" w:rsidP="002D6DD7">
            <w:pPr>
              <w:jc w:val="both"/>
              <w:rPr>
                <w:rFonts w:cs="Times New Roman"/>
                <w:color w:val="000000" w:themeColor="text1"/>
                <w:szCs w:val="24"/>
              </w:rPr>
            </w:pPr>
            <w:r w:rsidRPr="00914704">
              <w:rPr>
                <w:rFonts w:cs="Times New Roman"/>
                <w:szCs w:val="24"/>
              </w:rPr>
              <w:t>Pharmacological Class</w:t>
            </w:r>
          </w:p>
        </w:tc>
        <w:tc>
          <w:tcPr>
            <w:tcW w:w="6660" w:type="dxa"/>
          </w:tcPr>
          <w:p w14:paraId="412599D3" w14:textId="77777777" w:rsidR="00401703" w:rsidRPr="00914704" w:rsidRDefault="00401703" w:rsidP="002D6DD7">
            <w:pPr>
              <w:jc w:val="both"/>
              <w:rPr>
                <w:rFonts w:cs="Times New Roman"/>
                <w:color w:val="000000" w:themeColor="text1"/>
                <w:szCs w:val="24"/>
              </w:rPr>
            </w:pPr>
            <w:r w:rsidRPr="00914704">
              <w:rPr>
                <w:rFonts w:cs="Times New Roman"/>
                <w:szCs w:val="24"/>
              </w:rPr>
              <w:t>Partial Opioid Agonist</w:t>
            </w:r>
          </w:p>
        </w:tc>
      </w:tr>
      <w:tr w:rsidR="00401703" w:rsidRPr="00914704" w14:paraId="5B33E7D1" w14:textId="77777777" w:rsidTr="002D6DD7">
        <w:tc>
          <w:tcPr>
            <w:tcW w:w="2695" w:type="dxa"/>
          </w:tcPr>
          <w:p w14:paraId="25D33274" w14:textId="77777777" w:rsidR="00401703" w:rsidRPr="00914704" w:rsidRDefault="00401703" w:rsidP="002D6DD7">
            <w:pPr>
              <w:jc w:val="both"/>
              <w:rPr>
                <w:rFonts w:cs="Times New Roman"/>
                <w:color w:val="000000" w:themeColor="text1"/>
                <w:szCs w:val="24"/>
              </w:rPr>
            </w:pPr>
            <w:r w:rsidRPr="00914704">
              <w:rPr>
                <w:rFonts w:cs="Times New Roman"/>
                <w:szCs w:val="24"/>
              </w:rPr>
              <w:t>Dosage Form</w:t>
            </w:r>
          </w:p>
        </w:tc>
        <w:tc>
          <w:tcPr>
            <w:tcW w:w="6660" w:type="dxa"/>
          </w:tcPr>
          <w:p w14:paraId="32434ED4" w14:textId="77777777" w:rsidR="00401703" w:rsidRPr="00914704" w:rsidRDefault="00401703" w:rsidP="002D6DD7">
            <w:pPr>
              <w:jc w:val="both"/>
              <w:rPr>
                <w:rFonts w:cs="Times New Roman"/>
                <w:color w:val="000000" w:themeColor="text1"/>
                <w:szCs w:val="24"/>
              </w:rPr>
            </w:pPr>
            <w:r w:rsidRPr="00914704">
              <w:rPr>
                <w:rFonts w:cs="Times New Roman"/>
                <w:szCs w:val="24"/>
              </w:rPr>
              <w:t>Tablet (sublingual): 2 mg, 8 mg</w:t>
            </w:r>
          </w:p>
        </w:tc>
      </w:tr>
      <w:tr w:rsidR="00401703" w:rsidRPr="00914704" w14:paraId="0C1E98AD" w14:textId="77777777" w:rsidTr="002D6DD7">
        <w:tc>
          <w:tcPr>
            <w:tcW w:w="2695" w:type="dxa"/>
          </w:tcPr>
          <w:p w14:paraId="71511DBB" w14:textId="77777777" w:rsidR="00401703" w:rsidRPr="00914704" w:rsidRDefault="00401703" w:rsidP="002D6DD7">
            <w:pPr>
              <w:jc w:val="both"/>
              <w:rPr>
                <w:rFonts w:cs="Times New Roman"/>
                <w:color w:val="000000" w:themeColor="text1"/>
                <w:szCs w:val="24"/>
              </w:rPr>
            </w:pPr>
            <w:r w:rsidRPr="00914704">
              <w:rPr>
                <w:rFonts w:cs="Times New Roman"/>
                <w:szCs w:val="24"/>
              </w:rPr>
              <w:t>Indication</w:t>
            </w:r>
          </w:p>
        </w:tc>
        <w:tc>
          <w:tcPr>
            <w:tcW w:w="6660" w:type="dxa"/>
          </w:tcPr>
          <w:p w14:paraId="4FEE82D9" w14:textId="77777777" w:rsidR="00401703" w:rsidRPr="00914704" w:rsidRDefault="00401703" w:rsidP="002D6DD7">
            <w:pPr>
              <w:jc w:val="both"/>
              <w:rPr>
                <w:rFonts w:cs="Times New Roman"/>
                <w:color w:val="000000" w:themeColor="text1"/>
                <w:szCs w:val="24"/>
              </w:rPr>
            </w:pPr>
            <w:r w:rsidRPr="00914704">
              <w:rPr>
                <w:rFonts w:cs="Times New Roman"/>
                <w:szCs w:val="24"/>
              </w:rPr>
              <w:t>Treatment of opioid use disorders</w:t>
            </w:r>
          </w:p>
        </w:tc>
      </w:tr>
      <w:tr w:rsidR="00401703" w:rsidRPr="00914704" w14:paraId="603C271E" w14:textId="77777777" w:rsidTr="002D6DD7">
        <w:tc>
          <w:tcPr>
            <w:tcW w:w="2695" w:type="dxa"/>
          </w:tcPr>
          <w:p w14:paraId="0CD3D029" w14:textId="77777777" w:rsidR="00401703" w:rsidRPr="00914704" w:rsidRDefault="00401703" w:rsidP="002D6DD7">
            <w:pPr>
              <w:rPr>
                <w:rFonts w:cs="Times New Roman"/>
                <w:color w:val="000000" w:themeColor="text1"/>
                <w:szCs w:val="24"/>
              </w:rPr>
            </w:pPr>
            <w:r w:rsidRPr="00914704">
              <w:rPr>
                <w:rFonts w:cs="Times New Roman"/>
                <w:szCs w:val="24"/>
              </w:rPr>
              <w:t>Dose and Administration</w:t>
            </w:r>
          </w:p>
        </w:tc>
        <w:tc>
          <w:tcPr>
            <w:tcW w:w="6660" w:type="dxa"/>
          </w:tcPr>
          <w:p w14:paraId="34E567EC" w14:textId="77777777" w:rsidR="00401703" w:rsidRPr="00914704" w:rsidRDefault="00401703" w:rsidP="002D6DD7">
            <w:pPr>
              <w:jc w:val="both"/>
              <w:rPr>
                <w:rFonts w:cs="Times New Roman"/>
                <w:szCs w:val="24"/>
              </w:rPr>
            </w:pPr>
            <w:r w:rsidRPr="00914704">
              <w:rPr>
                <w:rFonts w:cs="Times New Roman"/>
                <w:b/>
                <w:bCs/>
                <w:szCs w:val="24"/>
              </w:rPr>
              <w:t>Adult:</w:t>
            </w:r>
            <w:r w:rsidRPr="00914704">
              <w:rPr>
                <w:rFonts w:cs="Times New Roman"/>
                <w:szCs w:val="24"/>
              </w:rPr>
              <w:t xml:space="preserve"> Restricted. For use in medically assisted therapy clinics for people who use drugs, </w:t>
            </w:r>
            <w:r w:rsidRPr="00914704">
              <w:rPr>
                <w:rFonts w:cs="Times New Roman"/>
                <w:bCs/>
                <w:i/>
                <w:szCs w:val="24"/>
              </w:rPr>
              <w:t>sublingual</w:t>
            </w:r>
            <w:r w:rsidRPr="00914704">
              <w:rPr>
                <w:rFonts w:cs="Times New Roman"/>
                <w:szCs w:val="24"/>
              </w:rPr>
              <w:t>: Induction (sublingual tablet), 8 mg on day 1, then 16 mg on day 2, continued over 3–4 days.</w:t>
            </w:r>
          </w:p>
          <w:p w14:paraId="5FD096F5" w14:textId="77777777" w:rsidR="00401703" w:rsidRPr="00914704" w:rsidRDefault="00401703" w:rsidP="002D6DD7">
            <w:pPr>
              <w:jc w:val="both"/>
              <w:rPr>
                <w:rFonts w:cs="Times New Roman"/>
                <w:szCs w:val="24"/>
              </w:rPr>
            </w:pPr>
            <w:r w:rsidRPr="00914704">
              <w:rPr>
                <w:rFonts w:cs="Times New Roman"/>
                <w:i/>
                <w:szCs w:val="24"/>
              </w:rPr>
              <w:t>By mouth</w:t>
            </w:r>
            <w:r w:rsidRPr="00914704">
              <w:rPr>
                <w:rFonts w:cs="Times New Roman"/>
                <w:szCs w:val="24"/>
              </w:rPr>
              <w:t>: Initially 2 mg daily, followed by 2–4 mg if</w:t>
            </w:r>
            <w:r w:rsidRPr="00914704">
              <w:rPr>
                <w:rFonts w:cs="Times New Roman"/>
                <w:szCs w:val="24"/>
              </w:rPr>
              <w:br/>
              <w:t>required on day one, adjusted in steps of 2–6 mg daily</w:t>
            </w:r>
            <w:r w:rsidRPr="00914704">
              <w:rPr>
                <w:rFonts w:cs="Times New Roman"/>
                <w:szCs w:val="24"/>
              </w:rPr>
              <w:br/>
              <w:t>if required; maximum 18 mg per day</w:t>
            </w:r>
            <w:r w:rsidR="000575D4">
              <w:rPr>
                <w:rFonts w:cs="Times New Roman"/>
                <w:szCs w:val="24"/>
              </w:rPr>
              <w:t>.</w:t>
            </w:r>
          </w:p>
        </w:tc>
      </w:tr>
      <w:tr w:rsidR="00401703" w:rsidRPr="00914704" w14:paraId="2B8FC797" w14:textId="77777777" w:rsidTr="002D6DD7">
        <w:tc>
          <w:tcPr>
            <w:tcW w:w="2695" w:type="dxa"/>
          </w:tcPr>
          <w:p w14:paraId="7EB59C3C" w14:textId="77777777" w:rsidR="00401703" w:rsidRPr="00914704" w:rsidRDefault="00401703" w:rsidP="002D6DD7">
            <w:pPr>
              <w:jc w:val="both"/>
              <w:rPr>
                <w:rFonts w:cs="Times New Roman"/>
                <w:color w:val="000000" w:themeColor="text1"/>
                <w:szCs w:val="24"/>
              </w:rPr>
            </w:pPr>
            <w:r w:rsidRPr="00914704">
              <w:rPr>
                <w:rFonts w:cs="Times New Roman"/>
                <w:szCs w:val="24"/>
              </w:rPr>
              <w:t>Contraindications</w:t>
            </w:r>
          </w:p>
        </w:tc>
        <w:tc>
          <w:tcPr>
            <w:tcW w:w="6660" w:type="dxa"/>
          </w:tcPr>
          <w:p w14:paraId="1837B10C" w14:textId="77777777" w:rsidR="00401703" w:rsidRPr="00914704" w:rsidRDefault="00401703" w:rsidP="002D6DD7">
            <w:pPr>
              <w:jc w:val="both"/>
              <w:rPr>
                <w:rFonts w:cs="Times New Roman"/>
                <w:szCs w:val="24"/>
              </w:rPr>
            </w:pPr>
            <w:r w:rsidRPr="00914704">
              <w:rPr>
                <w:rFonts w:cs="Times New Roman"/>
                <w:szCs w:val="24"/>
              </w:rPr>
              <w:t xml:space="preserve">Hypersensitivity to </w:t>
            </w:r>
            <w:r>
              <w:rPr>
                <w:rFonts w:cs="Times New Roman"/>
                <w:szCs w:val="24"/>
              </w:rPr>
              <w:t>the drug, s</w:t>
            </w:r>
            <w:r w:rsidRPr="00914704">
              <w:rPr>
                <w:rFonts w:cs="Times New Roman"/>
                <w:szCs w:val="24"/>
              </w:rPr>
              <w:t>evere respiratory insufficiency</w:t>
            </w:r>
            <w:r>
              <w:rPr>
                <w:rFonts w:cs="Times New Roman"/>
                <w:szCs w:val="24"/>
              </w:rPr>
              <w:t>, a</w:t>
            </w:r>
            <w:r w:rsidRPr="00914704">
              <w:rPr>
                <w:rFonts w:cs="Times New Roman"/>
                <w:szCs w:val="24"/>
              </w:rPr>
              <w:t xml:space="preserve">cute or severe bronchial asthma in an unmonitored setting. GI obstruction, including paralytic ileus. </w:t>
            </w:r>
          </w:p>
        </w:tc>
      </w:tr>
      <w:tr w:rsidR="00401703" w:rsidRPr="00914704" w14:paraId="7D877D95" w14:textId="77777777" w:rsidTr="002D6DD7">
        <w:tc>
          <w:tcPr>
            <w:tcW w:w="2695" w:type="dxa"/>
          </w:tcPr>
          <w:p w14:paraId="45E8C878" w14:textId="77777777" w:rsidR="00401703" w:rsidRPr="00914704" w:rsidRDefault="00401703" w:rsidP="002D6DD7">
            <w:pPr>
              <w:jc w:val="both"/>
              <w:rPr>
                <w:rFonts w:cs="Times New Roman"/>
                <w:color w:val="000000" w:themeColor="text1"/>
                <w:szCs w:val="24"/>
              </w:rPr>
            </w:pPr>
            <w:r w:rsidRPr="00914704">
              <w:rPr>
                <w:rFonts w:cs="Times New Roman"/>
                <w:szCs w:val="24"/>
              </w:rPr>
              <w:t>Drug Interactions</w:t>
            </w:r>
          </w:p>
        </w:tc>
        <w:tc>
          <w:tcPr>
            <w:tcW w:w="6660" w:type="dxa"/>
          </w:tcPr>
          <w:p w14:paraId="0E5F6A8E" w14:textId="77777777" w:rsidR="00401703" w:rsidRPr="00914704" w:rsidRDefault="00401703" w:rsidP="002D6DD7">
            <w:pPr>
              <w:jc w:val="both"/>
              <w:rPr>
                <w:rFonts w:cs="Times New Roman"/>
                <w:szCs w:val="24"/>
              </w:rPr>
            </w:pPr>
            <w:r w:rsidRPr="00914704">
              <w:rPr>
                <w:rFonts w:cs="Times New Roman"/>
                <w:szCs w:val="24"/>
              </w:rPr>
              <w:t>Benzodiazepines or CNS Depressants (including alcohol), Profound sedation, respiratory depression, coma, death.</w:t>
            </w:r>
          </w:p>
        </w:tc>
      </w:tr>
      <w:tr w:rsidR="00401703" w:rsidRPr="00914704" w14:paraId="0ED03E35" w14:textId="77777777" w:rsidTr="002D6DD7">
        <w:tc>
          <w:tcPr>
            <w:tcW w:w="2695" w:type="dxa"/>
          </w:tcPr>
          <w:p w14:paraId="51E9BF94" w14:textId="77777777" w:rsidR="00401703" w:rsidRPr="00914704" w:rsidRDefault="00401703" w:rsidP="002D6DD7">
            <w:pPr>
              <w:jc w:val="both"/>
              <w:rPr>
                <w:rFonts w:cs="Times New Roman"/>
                <w:color w:val="000000" w:themeColor="text1"/>
                <w:szCs w:val="24"/>
              </w:rPr>
            </w:pPr>
            <w:r w:rsidRPr="00914704">
              <w:rPr>
                <w:rFonts w:cs="Times New Roman"/>
                <w:szCs w:val="24"/>
              </w:rPr>
              <w:t>Side Effects</w:t>
            </w:r>
          </w:p>
        </w:tc>
        <w:tc>
          <w:tcPr>
            <w:tcW w:w="6660" w:type="dxa"/>
          </w:tcPr>
          <w:p w14:paraId="0F6773C0" w14:textId="77777777" w:rsidR="00401703" w:rsidRPr="00914704" w:rsidRDefault="00401703" w:rsidP="002D6DD7">
            <w:pPr>
              <w:jc w:val="both"/>
              <w:rPr>
                <w:rFonts w:cs="Times New Roman"/>
                <w:szCs w:val="24"/>
              </w:rPr>
            </w:pPr>
            <w:r w:rsidRPr="00914704">
              <w:rPr>
                <w:rFonts w:cs="Times New Roman"/>
                <w:szCs w:val="24"/>
              </w:rPr>
              <w:t>Headache, nausea, vomiting, hyperhidrosis, constipation, signs and symptoms of withdrawal, Respiratory depression, orthostatic hypotension, hepatotoxicity, adrenal insufficiency.</w:t>
            </w:r>
          </w:p>
        </w:tc>
      </w:tr>
      <w:tr w:rsidR="00401703" w:rsidRPr="00914704" w14:paraId="212D5743" w14:textId="77777777" w:rsidTr="002D6DD7">
        <w:tc>
          <w:tcPr>
            <w:tcW w:w="2695" w:type="dxa"/>
          </w:tcPr>
          <w:p w14:paraId="65EF263B" w14:textId="77777777" w:rsidR="00401703" w:rsidRPr="00914704" w:rsidRDefault="00401703" w:rsidP="002D6DD7">
            <w:pPr>
              <w:jc w:val="both"/>
              <w:rPr>
                <w:rFonts w:cs="Times New Roman"/>
                <w:color w:val="000000" w:themeColor="text1"/>
                <w:szCs w:val="24"/>
              </w:rPr>
            </w:pPr>
            <w:r w:rsidRPr="00914704">
              <w:rPr>
                <w:rFonts w:cs="Times New Roman"/>
                <w:szCs w:val="24"/>
              </w:rPr>
              <w:t>Cautions</w:t>
            </w:r>
          </w:p>
        </w:tc>
        <w:tc>
          <w:tcPr>
            <w:tcW w:w="6660" w:type="dxa"/>
          </w:tcPr>
          <w:p w14:paraId="229AA15E" w14:textId="77777777" w:rsidR="00401703" w:rsidRPr="00914704" w:rsidRDefault="00401703" w:rsidP="002D6DD7">
            <w:pPr>
              <w:jc w:val="both"/>
              <w:rPr>
                <w:rFonts w:cs="Times New Roman"/>
                <w:color w:val="000000" w:themeColor="text1"/>
                <w:szCs w:val="24"/>
              </w:rPr>
            </w:pPr>
            <w:r>
              <w:rPr>
                <w:rFonts w:cs="Times New Roman"/>
                <w:szCs w:val="24"/>
              </w:rPr>
              <w:t>H</w:t>
            </w:r>
            <w:r w:rsidRPr="00914704">
              <w:rPr>
                <w:rFonts w:cs="Times New Roman"/>
                <w:szCs w:val="24"/>
              </w:rPr>
              <w:t>epatic impairment</w:t>
            </w:r>
          </w:p>
        </w:tc>
      </w:tr>
      <w:tr w:rsidR="00401703" w:rsidRPr="00914704" w14:paraId="6D4A29BD" w14:textId="77777777" w:rsidTr="002D6DD7">
        <w:tc>
          <w:tcPr>
            <w:tcW w:w="2695" w:type="dxa"/>
          </w:tcPr>
          <w:p w14:paraId="63795D16" w14:textId="77777777" w:rsidR="00401703" w:rsidRPr="00914704" w:rsidRDefault="00401703" w:rsidP="002D6DD7">
            <w:pPr>
              <w:jc w:val="both"/>
              <w:rPr>
                <w:rFonts w:cs="Times New Roman"/>
                <w:color w:val="000000" w:themeColor="text1"/>
                <w:szCs w:val="24"/>
              </w:rPr>
            </w:pPr>
            <w:r w:rsidRPr="00914704">
              <w:rPr>
                <w:rFonts w:cs="Times New Roman"/>
                <w:szCs w:val="24"/>
              </w:rPr>
              <w:lastRenderedPageBreak/>
              <w:t>Storage Condition</w:t>
            </w:r>
          </w:p>
        </w:tc>
        <w:tc>
          <w:tcPr>
            <w:tcW w:w="6660" w:type="dxa"/>
          </w:tcPr>
          <w:p w14:paraId="41F4F43A" w14:textId="77777777" w:rsidR="00401703" w:rsidRPr="00914704" w:rsidRDefault="00401703" w:rsidP="002D6DD7">
            <w:pPr>
              <w:jc w:val="both"/>
              <w:rPr>
                <w:rFonts w:cs="Times New Roman"/>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r w:rsidR="00401703" w:rsidRPr="00914704" w14:paraId="1FC27008" w14:textId="77777777" w:rsidTr="002D6DD7">
        <w:tc>
          <w:tcPr>
            <w:tcW w:w="2695" w:type="dxa"/>
          </w:tcPr>
          <w:p w14:paraId="51301B3D" w14:textId="77777777" w:rsidR="00401703" w:rsidRPr="00914704" w:rsidRDefault="00401703" w:rsidP="002D6DD7">
            <w:pPr>
              <w:jc w:val="both"/>
              <w:rPr>
                <w:rFonts w:cs="Times New Roman"/>
                <w:szCs w:val="24"/>
              </w:rPr>
            </w:pPr>
            <w:r w:rsidRPr="00914704">
              <w:rPr>
                <w:rFonts w:cs="Times New Roman"/>
                <w:b/>
                <w:bCs/>
                <w:szCs w:val="24"/>
              </w:rPr>
              <w:t>Methadone</w:t>
            </w:r>
          </w:p>
        </w:tc>
        <w:tc>
          <w:tcPr>
            <w:tcW w:w="6660" w:type="dxa"/>
          </w:tcPr>
          <w:p w14:paraId="3D91DC6F" w14:textId="77777777" w:rsidR="00401703" w:rsidRPr="00914704" w:rsidRDefault="00401703" w:rsidP="002D6DD7">
            <w:pPr>
              <w:jc w:val="both"/>
              <w:rPr>
                <w:rFonts w:cs="Times New Roman"/>
                <w:szCs w:val="24"/>
              </w:rPr>
            </w:pPr>
          </w:p>
        </w:tc>
      </w:tr>
      <w:tr w:rsidR="00401703" w:rsidRPr="00914704" w14:paraId="0344F9B7" w14:textId="77777777" w:rsidTr="002D6DD7">
        <w:tc>
          <w:tcPr>
            <w:tcW w:w="2695" w:type="dxa"/>
          </w:tcPr>
          <w:p w14:paraId="0150B75B" w14:textId="77777777" w:rsidR="00401703" w:rsidRPr="00914704" w:rsidRDefault="00401703" w:rsidP="002D6DD7">
            <w:pPr>
              <w:jc w:val="both"/>
              <w:rPr>
                <w:rFonts w:cs="Times New Roman"/>
                <w:szCs w:val="24"/>
              </w:rPr>
            </w:pPr>
            <w:r w:rsidRPr="00914704">
              <w:rPr>
                <w:rFonts w:cs="Times New Roman"/>
                <w:color w:val="000000" w:themeColor="text1"/>
                <w:szCs w:val="24"/>
              </w:rPr>
              <w:t>Pharmacological class</w:t>
            </w:r>
          </w:p>
        </w:tc>
        <w:tc>
          <w:tcPr>
            <w:tcW w:w="6660" w:type="dxa"/>
          </w:tcPr>
          <w:p w14:paraId="1096C660" w14:textId="77777777" w:rsidR="00401703" w:rsidRPr="00914704" w:rsidRDefault="00401703" w:rsidP="002D6DD7">
            <w:pPr>
              <w:jc w:val="both"/>
              <w:rPr>
                <w:rFonts w:cs="Times New Roman"/>
                <w:szCs w:val="24"/>
              </w:rPr>
            </w:pPr>
            <w:r w:rsidRPr="00914704">
              <w:rPr>
                <w:rFonts w:cs="Times New Roman"/>
                <w:color w:val="000000" w:themeColor="text1"/>
                <w:szCs w:val="24"/>
              </w:rPr>
              <w:t>Medicines for Opioid use disorder</w:t>
            </w:r>
          </w:p>
        </w:tc>
      </w:tr>
      <w:tr w:rsidR="00401703" w:rsidRPr="00914704" w14:paraId="63FFA5EE" w14:textId="77777777" w:rsidTr="002D6DD7">
        <w:tc>
          <w:tcPr>
            <w:tcW w:w="2695" w:type="dxa"/>
          </w:tcPr>
          <w:p w14:paraId="082CA03D" w14:textId="77777777" w:rsidR="00401703" w:rsidRPr="00914704" w:rsidRDefault="00401703" w:rsidP="002D6DD7">
            <w:pPr>
              <w:jc w:val="both"/>
              <w:rPr>
                <w:rFonts w:cs="Times New Roman"/>
                <w:szCs w:val="24"/>
              </w:rPr>
            </w:pPr>
            <w:r w:rsidRPr="00914704">
              <w:rPr>
                <w:rFonts w:cs="Times New Roman"/>
                <w:color w:val="000000" w:themeColor="text1"/>
                <w:szCs w:val="24"/>
              </w:rPr>
              <w:t>Dosage form</w:t>
            </w:r>
          </w:p>
        </w:tc>
        <w:tc>
          <w:tcPr>
            <w:tcW w:w="6660" w:type="dxa"/>
          </w:tcPr>
          <w:p w14:paraId="330BE937" w14:textId="77777777" w:rsidR="00401703" w:rsidRPr="00914704" w:rsidRDefault="00401703" w:rsidP="002D6DD7">
            <w:pPr>
              <w:autoSpaceDE w:val="0"/>
              <w:autoSpaceDN w:val="0"/>
              <w:adjustRightInd w:val="0"/>
              <w:rPr>
                <w:rFonts w:cs="Times New Roman"/>
                <w:szCs w:val="24"/>
              </w:rPr>
            </w:pPr>
            <w:r w:rsidRPr="00914704">
              <w:rPr>
                <w:rFonts w:cs="Times New Roman"/>
                <w:szCs w:val="24"/>
              </w:rPr>
              <w:t>Tablet: 5mg, 10mg, 40mg</w:t>
            </w:r>
          </w:p>
          <w:p w14:paraId="6AFEB9C6" w14:textId="77777777" w:rsidR="00401703" w:rsidRPr="00914704" w:rsidRDefault="00401703" w:rsidP="002D6DD7">
            <w:pPr>
              <w:autoSpaceDE w:val="0"/>
              <w:autoSpaceDN w:val="0"/>
              <w:adjustRightInd w:val="0"/>
              <w:rPr>
                <w:rFonts w:cs="Times New Roman"/>
                <w:szCs w:val="24"/>
              </w:rPr>
            </w:pPr>
            <w:r w:rsidRPr="00914704">
              <w:rPr>
                <w:rFonts w:cs="Times New Roman"/>
                <w:szCs w:val="24"/>
              </w:rPr>
              <w:t>Concentrate for Oral liquid: 5mg/ml, 10mg/ml</w:t>
            </w:r>
          </w:p>
          <w:p w14:paraId="4929CF39" w14:textId="77777777" w:rsidR="00401703" w:rsidRPr="00914704" w:rsidRDefault="00401703" w:rsidP="002D6DD7">
            <w:pPr>
              <w:jc w:val="both"/>
              <w:rPr>
                <w:rFonts w:cs="Times New Roman"/>
                <w:szCs w:val="24"/>
              </w:rPr>
            </w:pPr>
            <w:r w:rsidRPr="00914704">
              <w:rPr>
                <w:rFonts w:cs="Times New Roman"/>
                <w:szCs w:val="24"/>
              </w:rPr>
              <w:t>Oral liquid: 5mg/5ml, 10mg/5ml</w:t>
            </w:r>
          </w:p>
        </w:tc>
      </w:tr>
      <w:tr w:rsidR="00401703" w:rsidRPr="00914704" w14:paraId="6A30B843" w14:textId="77777777" w:rsidTr="002D6DD7">
        <w:tc>
          <w:tcPr>
            <w:tcW w:w="2695" w:type="dxa"/>
          </w:tcPr>
          <w:p w14:paraId="618D8EB3" w14:textId="77777777" w:rsidR="00401703" w:rsidRPr="00914704" w:rsidRDefault="00401703" w:rsidP="002D6DD7">
            <w:pPr>
              <w:jc w:val="both"/>
              <w:rPr>
                <w:rFonts w:cs="Times New Roman"/>
                <w:szCs w:val="24"/>
              </w:rPr>
            </w:pPr>
            <w:r w:rsidRPr="00914704">
              <w:rPr>
                <w:rFonts w:cs="Times New Roman"/>
                <w:color w:val="000000" w:themeColor="text1"/>
                <w:szCs w:val="24"/>
              </w:rPr>
              <w:t>Indications</w:t>
            </w:r>
          </w:p>
        </w:tc>
        <w:tc>
          <w:tcPr>
            <w:tcW w:w="6660" w:type="dxa"/>
          </w:tcPr>
          <w:p w14:paraId="0EA850CE" w14:textId="77777777" w:rsidR="00401703" w:rsidRPr="00914704" w:rsidRDefault="00401703" w:rsidP="002D6DD7">
            <w:pPr>
              <w:jc w:val="both"/>
              <w:rPr>
                <w:rFonts w:cs="Times New Roman"/>
                <w:szCs w:val="24"/>
              </w:rPr>
            </w:pPr>
            <w:r w:rsidRPr="00914704">
              <w:rPr>
                <w:rFonts w:cs="Times New Roman"/>
                <w:szCs w:val="24"/>
              </w:rPr>
              <w:t>Treatment opioid dependence</w:t>
            </w:r>
          </w:p>
        </w:tc>
      </w:tr>
      <w:tr w:rsidR="00401703" w:rsidRPr="00914704" w14:paraId="63026C86" w14:textId="77777777" w:rsidTr="002D6DD7">
        <w:tc>
          <w:tcPr>
            <w:tcW w:w="2695" w:type="dxa"/>
          </w:tcPr>
          <w:p w14:paraId="6A19E2D7" w14:textId="77777777" w:rsidR="00401703" w:rsidRPr="00914704" w:rsidRDefault="00401703" w:rsidP="002D6DD7">
            <w:pPr>
              <w:jc w:val="both"/>
              <w:rPr>
                <w:rFonts w:cs="Times New Roman"/>
                <w:szCs w:val="24"/>
              </w:rPr>
            </w:pPr>
            <w:r w:rsidRPr="00914704">
              <w:rPr>
                <w:rFonts w:eastAsia="Times New Roman" w:cs="Times New Roman"/>
                <w:color w:val="000000" w:themeColor="text1"/>
                <w:szCs w:val="24"/>
              </w:rPr>
              <w:t>Dose and administration</w:t>
            </w:r>
          </w:p>
        </w:tc>
        <w:tc>
          <w:tcPr>
            <w:tcW w:w="6660" w:type="dxa"/>
          </w:tcPr>
          <w:p w14:paraId="7E203FA6" w14:textId="77777777" w:rsidR="00401703" w:rsidRPr="00914704" w:rsidRDefault="00401703" w:rsidP="002D6DD7">
            <w:pPr>
              <w:jc w:val="both"/>
              <w:rPr>
                <w:rFonts w:cs="Times New Roman"/>
                <w:b/>
                <w:bCs/>
                <w:szCs w:val="24"/>
              </w:rPr>
            </w:pPr>
            <w:r w:rsidRPr="00914704">
              <w:rPr>
                <w:rFonts w:cs="Times New Roman"/>
                <w:b/>
                <w:bCs/>
                <w:szCs w:val="24"/>
              </w:rPr>
              <w:t xml:space="preserve">Adult: </w:t>
            </w:r>
          </w:p>
          <w:p w14:paraId="3636B293" w14:textId="77777777" w:rsidR="00401703" w:rsidRPr="00914704" w:rsidRDefault="00401703" w:rsidP="002D6DD7">
            <w:pPr>
              <w:jc w:val="both"/>
              <w:rPr>
                <w:rFonts w:cs="Times New Roman"/>
                <w:szCs w:val="24"/>
              </w:rPr>
            </w:pPr>
            <w:r w:rsidRPr="00914704">
              <w:rPr>
                <w:rFonts w:cs="Times New Roman"/>
                <w:bCs/>
                <w:szCs w:val="24"/>
              </w:rPr>
              <w:t>Oral</w:t>
            </w:r>
            <w:r w:rsidRPr="00914704">
              <w:rPr>
                <w:rFonts w:cs="Times New Roman"/>
                <w:b/>
                <w:bCs/>
                <w:szCs w:val="24"/>
              </w:rPr>
              <w:t>:</w:t>
            </w:r>
            <w:r w:rsidRPr="00914704">
              <w:rPr>
                <w:rFonts w:cs="Times New Roman"/>
                <w:szCs w:val="24"/>
              </w:rPr>
              <w:t xml:space="preserve"> 2.5-10mg every 3-4 hours as needed. </w:t>
            </w:r>
          </w:p>
          <w:p w14:paraId="6B6D8133" w14:textId="77777777" w:rsidR="00401703" w:rsidRPr="00914704" w:rsidRDefault="00401703" w:rsidP="002D6DD7">
            <w:pPr>
              <w:jc w:val="both"/>
              <w:rPr>
                <w:rFonts w:cs="Times New Roman"/>
                <w:szCs w:val="24"/>
              </w:rPr>
            </w:pPr>
            <w:r w:rsidRPr="00914704">
              <w:rPr>
                <w:rFonts w:cs="Times New Roman"/>
                <w:bCs/>
                <w:szCs w:val="24"/>
              </w:rPr>
              <w:t>IV:</w:t>
            </w:r>
            <w:r w:rsidRPr="00914704">
              <w:rPr>
                <w:rFonts w:cs="Times New Roman"/>
                <w:szCs w:val="24"/>
              </w:rPr>
              <w:t xml:space="preserve"> initial: 2.5-10mg every 8-12 hours in opioid-naive patients also be administered by SC or IM injection</w:t>
            </w:r>
          </w:p>
        </w:tc>
      </w:tr>
      <w:tr w:rsidR="00401703" w:rsidRPr="00914704" w14:paraId="46583305" w14:textId="77777777" w:rsidTr="002D6DD7">
        <w:tc>
          <w:tcPr>
            <w:tcW w:w="2695" w:type="dxa"/>
          </w:tcPr>
          <w:p w14:paraId="6F0A3934" w14:textId="77777777" w:rsidR="00401703" w:rsidRPr="00914704" w:rsidRDefault="00401703" w:rsidP="002D6DD7">
            <w:pPr>
              <w:jc w:val="both"/>
              <w:rPr>
                <w:rFonts w:cs="Times New Roman"/>
                <w:szCs w:val="24"/>
              </w:rPr>
            </w:pPr>
            <w:r w:rsidRPr="00914704">
              <w:rPr>
                <w:rFonts w:cs="Times New Roman"/>
                <w:szCs w:val="24"/>
              </w:rPr>
              <w:t>Contraindications</w:t>
            </w:r>
          </w:p>
        </w:tc>
        <w:tc>
          <w:tcPr>
            <w:tcW w:w="6660" w:type="dxa"/>
          </w:tcPr>
          <w:p w14:paraId="764168A3" w14:textId="77777777" w:rsidR="00401703" w:rsidRPr="00914704" w:rsidRDefault="00401703" w:rsidP="002D6DD7">
            <w:pPr>
              <w:jc w:val="both"/>
              <w:rPr>
                <w:rFonts w:cs="Times New Roman"/>
                <w:szCs w:val="24"/>
              </w:rPr>
            </w:pPr>
            <w:r w:rsidRPr="00914704">
              <w:rPr>
                <w:rFonts w:cs="Times New Roman"/>
                <w:szCs w:val="24"/>
              </w:rPr>
              <w:t xml:space="preserve">Hypersensitivity to </w:t>
            </w:r>
            <w:r>
              <w:rPr>
                <w:rFonts w:cs="Times New Roman"/>
                <w:szCs w:val="24"/>
              </w:rPr>
              <w:t>the drug</w:t>
            </w:r>
            <w:r w:rsidR="000575D4">
              <w:rPr>
                <w:rFonts w:cs="Times New Roman"/>
                <w:szCs w:val="24"/>
              </w:rPr>
              <w:t>,</w:t>
            </w:r>
            <w:r w:rsidRPr="00914704">
              <w:rPr>
                <w:rFonts w:cs="Times New Roman"/>
                <w:szCs w:val="24"/>
              </w:rPr>
              <w:t xml:space="preserve"> </w:t>
            </w:r>
            <w:r w:rsidR="000575D4">
              <w:rPr>
                <w:rFonts w:cs="Times New Roman"/>
                <w:szCs w:val="24"/>
              </w:rPr>
              <w:t>k</w:t>
            </w:r>
            <w:r w:rsidRPr="00914704">
              <w:rPr>
                <w:rFonts w:cs="Times New Roman"/>
                <w:szCs w:val="24"/>
              </w:rPr>
              <w:t>nown or suspected acute bronchial asthma or hypercarbia.</w:t>
            </w:r>
          </w:p>
        </w:tc>
      </w:tr>
      <w:tr w:rsidR="00401703" w:rsidRPr="00914704" w14:paraId="2F8F4218" w14:textId="77777777" w:rsidTr="002D6DD7">
        <w:tc>
          <w:tcPr>
            <w:tcW w:w="2695" w:type="dxa"/>
          </w:tcPr>
          <w:p w14:paraId="40AA1FC2" w14:textId="77777777" w:rsidR="00401703" w:rsidRPr="00914704" w:rsidRDefault="00401703" w:rsidP="002D6DD7">
            <w:pPr>
              <w:jc w:val="both"/>
              <w:rPr>
                <w:rFonts w:cs="Times New Roman"/>
                <w:szCs w:val="24"/>
              </w:rPr>
            </w:pPr>
            <w:r w:rsidRPr="00914704">
              <w:rPr>
                <w:rFonts w:cs="Times New Roman"/>
                <w:szCs w:val="24"/>
              </w:rPr>
              <w:t>Drug Interactions</w:t>
            </w:r>
          </w:p>
        </w:tc>
        <w:tc>
          <w:tcPr>
            <w:tcW w:w="6660" w:type="dxa"/>
          </w:tcPr>
          <w:p w14:paraId="59912041" w14:textId="77777777" w:rsidR="00401703" w:rsidRPr="00914704" w:rsidRDefault="00401703" w:rsidP="002D6DD7">
            <w:pPr>
              <w:jc w:val="both"/>
              <w:rPr>
                <w:rFonts w:cs="Times New Roman"/>
                <w:szCs w:val="24"/>
              </w:rPr>
            </w:pPr>
            <w:r>
              <w:rPr>
                <w:rFonts w:cs="Times New Roman"/>
                <w:szCs w:val="24"/>
              </w:rPr>
              <w:t>CNS</w:t>
            </w:r>
            <w:r w:rsidRPr="00914704">
              <w:rPr>
                <w:rFonts w:cs="Times New Roman"/>
                <w:szCs w:val="24"/>
              </w:rPr>
              <w:t xml:space="preserve"> Depressants (including alcohol), MAOIs,</w:t>
            </w:r>
            <w:r>
              <w:rPr>
                <w:rFonts w:cs="Times New Roman"/>
                <w:szCs w:val="24"/>
              </w:rPr>
              <w:t xml:space="preserve"> a</w:t>
            </w:r>
            <w:r w:rsidRPr="00914704">
              <w:rPr>
                <w:rFonts w:cs="Times New Roman"/>
                <w:szCs w:val="24"/>
              </w:rPr>
              <w:t>ntidepressants.</w:t>
            </w:r>
          </w:p>
        </w:tc>
      </w:tr>
      <w:tr w:rsidR="00401703" w:rsidRPr="00914704" w14:paraId="203C6DA9" w14:textId="77777777" w:rsidTr="002D6DD7">
        <w:tc>
          <w:tcPr>
            <w:tcW w:w="2695" w:type="dxa"/>
          </w:tcPr>
          <w:p w14:paraId="25E75C73" w14:textId="77777777" w:rsidR="00401703" w:rsidRPr="00914704" w:rsidRDefault="00401703" w:rsidP="002D6DD7">
            <w:pPr>
              <w:jc w:val="both"/>
              <w:rPr>
                <w:rFonts w:cs="Times New Roman"/>
                <w:szCs w:val="24"/>
              </w:rPr>
            </w:pPr>
            <w:r w:rsidRPr="00914704">
              <w:rPr>
                <w:rFonts w:cs="Times New Roman"/>
                <w:szCs w:val="24"/>
              </w:rPr>
              <w:t>Side Effects</w:t>
            </w:r>
          </w:p>
        </w:tc>
        <w:tc>
          <w:tcPr>
            <w:tcW w:w="6660" w:type="dxa"/>
          </w:tcPr>
          <w:p w14:paraId="37D2776D" w14:textId="77777777" w:rsidR="00401703" w:rsidRPr="00914704" w:rsidRDefault="00401703" w:rsidP="002D6DD7">
            <w:pPr>
              <w:jc w:val="both"/>
              <w:rPr>
                <w:rFonts w:cs="Times New Roman"/>
                <w:szCs w:val="24"/>
              </w:rPr>
            </w:pPr>
            <w:r w:rsidRPr="00914704">
              <w:rPr>
                <w:rFonts w:cs="Times New Roman"/>
                <w:szCs w:val="24"/>
              </w:rPr>
              <w:t>Constipation, drowsiness, dizziness, nausea, vomiting, respiratory depression, hypotension, bradycardia, sweating, itching.</w:t>
            </w:r>
          </w:p>
        </w:tc>
      </w:tr>
      <w:tr w:rsidR="00401703" w:rsidRPr="00914704" w14:paraId="32A44882" w14:textId="77777777" w:rsidTr="002D6DD7">
        <w:tc>
          <w:tcPr>
            <w:tcW w:w="2695" w:type="dxa"/>
          </w:tcPr>
          <w:p w14:paraId="4947B6CC" w14:textId="77777777" w:rsidR="00401703" w:rsidRPr="00914704" w:rsidRDefault="00401703" w:rsidP="002D6DD7">
            <w:pPr>
              <w:jc w:val="both"/>
              <w:rPr>
                <w:rFonts w:cs="Times New Roman"/>
                <w:szCs w:val="24"/>
              </w:rPr>
            </w:pPr>
            <w:r w:rsidRPr="00914704">
              <w:rPr>
                <w:rFonts w:cs="Times New Roman"/>
                <w:szCs w:val="24"/>
              </w:rPr>
              <w:t>Cautions</w:t>
            </w:r>
          </w:p>
        </w:tc>
        <w:tc>
          <w:tcPr>
            <w:tcW w:w="6660" w:type="dxa"/>
          </w:tcPr>
          <w:p w14:paraId="5F3C981C" w14:textId="77777777" w:rsidR="00401703" w:rsidRPr="00914704" w:rsidRDefault="00401703" w:rsidP="002D6DD7">
            <w:pPr>
              <w:jc w:val="both"/>
              <w:rPr>
                <w:rFonts w:cs="Times New Roman"/>
                <w:szCs w:val="24"/>
              </w:rPr>
            </w:pPr>
            <w:r>
              <w:rPr>
                <w:rFonts w:cs="Times New Roman"/>
                <w:szCs w:val="24"/>
              </w:rPr>
              <w:t>R</w:t>
            </w:r>
            <w:r w:rsidRPr="00914704">
              <w:rPr>
                <w:rFonts w:cs="Times New Roman"/>
                <w:szCs w:val="24"/>
              </w:rPr>
              <w:t xml:space="preserve">espiratory depression, severe asthma, paralytic ileus, hypotension, head injury, brain tumor, or alcoholism. </w:t>
            </w:r>
          </w:p>
        </w:tc>
      </w:tr>
      <w:tr w:rsidR="00401703" w:rsidRPr="00914704" w14:paraId="20E0B3D4" w14:textId="77777777" w:rsidTr="002D6DD7">
        <w:tc>
          <w:tcPr>
            <w:tcW w:w="2695" w:type="dxa"/>
          </w:tcPr>
          <w:p w14:paraId="637E7100" w14:textId="77777777" w:rsidR="00401703" w:rsidRPr="00914704" w:rsidRDefault="00401703" w:rsidP="002D6DD7">
            <w:pPr>
              <w:jc w:val="both"/>
              <w:rPr>
                <w:rFonts w:cs="Times New Roman"/>
                <w:szCs w:val="24"/>
              </w:rPr>
            </w:pPr>
            <w:r w:rsidRPr="00914704">
              <w:rPr>
                <w:rFonts w:cs="Times New Roman"/>
                <w:szCs w:val="24"/>
              </w:rPr>
              <w:t>Storage Condition</w:t>
            </w:r>
          </w:p>
        </w:tc>
        <w:tc>
          <w:tcPr>
            <w:tcW w:w="6660" w:type="dxa"/>
          </w:tcPr>
          <w:p w14:paraId="04C1FBAC" w14:textId="77777777" w:rsidR="00401703" w:rsidRPr="00914704" w:rsidRDefault="00401703" w:rsidP="002D6DD7">
            <w:pPr>
              <w:jc w:val="both"/>
              <w:rPr>
                <w:rFonts w:cs="Times New Roman"/>
                <w:szCs w:val="24"/>
              </w:rPr>
            </w:pPr>
            <w:r w:rsidRPr="00914704">
              <w:rPr>
                <w:rFonts w:cs="Times New Roman"/>
                <w:szCs w:val="24"/>
              </w:rPr>
              <w:t>Store below 30</w:t>
            </w:r>
            <w:r w:rsidRPr="00914704">
              <w:rPr>
                <w:rFonts w:cs="Times New Roman"/>
                <w:szCs w:val="24"/>
                <w:vertAlign w:val="superscript"/>
              </w:rPr>
              <w:t>0</w:t>
            </w:r>
            <w:r w:rsidRPr="00914704">
              <w:rPr>
                <w:rFonts w:cs="Times New Roman"/>
                <w:szCs w:val="24"/>
              </w:rPr>
              <w:t>C. Protect from light.</w:t>
            </w:r>
          </w:p>
        </w:tc>
      </w:tr>
    </w:tbl>
    <w:p w14:paraId="675F8449" w14:textId="77777777" w:rsidR="00401703" w:rsidRDefault="00401703" w:rsidP="00401703">
      <w:pPr>
        <w:spacing w:after="0"/>
        <w:rPr>
          <w:rFonts w:cs="Times New Roman"/>
          <w:b/>
          <w:szCs w:val="24"/>
        </w:rPr>
      </w:pPr>
    </w:p>
    <w:p w14:paraId="5662CE2B" w14:textId="77777777" w:rsidR="00401703" w:rsidRPr="000575D4" w:rsidRDefault="000575D4" w:rsidP="000575D4">
      <w:pPr>
        <w:pStyle w:val="Heading2"/>
        <w:spacing w:before="240" w:after="240"/>
      </w:pPr>
      <w:bookmarkStart w:id="86" w:name="_Toc179490348"/>
      <w:r>
        <w:t>M</w:t>
      </w:r>
      <w:r w:rsidRPr="000575D4">
        <w:t>edicines used for attention deficit disorder</w:t>
      </w:r>
      <w:bookmarkEnd w:id="86"/>
    </w:p>
    <w:p w14:paraId="278C25CF" w14:textId="77777777" w:rsidR="00401703" w:rsidRDefault="00401703" w:rsidP="00401703">
      <w:pPr>
        <w:spacing w:after="0"/>
        <w:jc w:val="both"/>
        <w:rPr>
          <w:rFonts w:cs="Times New Roman"/>
          <w:bCs/>
          <w:szCs w:val="24"/>
        </w:rPr>
      </w:pPr>
      <w:r w:rsidRPr="00944B15">
        <w:rPr>
          <w:rFonts w:cs="Times New Roman"/>
          <w:bCs/>
          <w:szCs w:val="24"/>
        </w:rPr>
        <w:t>Attention Deficit Disorder (ADD) is a neurodevelopmental disorder characterized by persistent patterns of inattention, impulsivity, and hyperactivity. Medications play a crucial role in managing the symptoms of ADD and improving the quality of life for individuals affected by this condition. Among the medications commonly prescribed for ADD are Dextroamphetamine, Bupropion, and Methylphenidate.</w:t>
      </w:r>
    </w:p>
    <w:p w14:paraId="4693360A" w14:textId="77777777" w:rsidR="00401703" w:rsidRPr="00944B15" w:rsidRDefault="00401703" w:rsidP="00401703">
      <w:pPr>
        <w:spacing w:before="240" w:after="0"/>
        <w:jc w:val="both"/>
        <w:rPr>
          <w:rFonts w:cs="Times New Roman"/>
          <w:bCs/>
          <w:szCs w:val="24"/>
        </w:rPr>
      </w:pPr>
      <w:r w:rsidRPr="00944B15">
        <w:rPr>
          <w:rFonts w:cs="Times New Roman"/>
          <w:bCs/>
          <w:szCs w:val="24"/>
        </w:rPr>
        <w:t xml:space="preserve">These medications work by targeting neurotransmitters in the brain to enhance focus, attention, and impulse control. Dextroamphetamine, a central nervous system stimulant, increases dopamine and norepinephrine levels, while Bupropion, a norepinephrine-dopamine reuptake </w:t>
      </w:r>
      <w:r w:rsidRPr="00944B15">
        <w:rPr>
          <w:rFonts w:cs="Times New Roman"/>
          <w:bCs/>
          <w:szCs w:val="24"/>
        </w:rPr>
        <w:lastRenderedPageBreak/>
        <w:t xml:space="preserve">inhibitor (NDRI), prolongs the effects of these neurotransmitters. Methylphenidate, another central nervous system stimulant, blocks the reuptake of dopamine and norepinephrine, thereby increasing their availability in the brain. They are primarily used to manage the symptoms of ADD in both </w:t>
      </w:r>
      <w:r>
        <w:rPr>
          <w:rFonts w:cs="Times New Roman"/>
          <w:bCs/>
          <w:szCs w:val="24"/>
        </w:rPr>
        <w:t>child</w:t>
      </w:r>
      <w:r w:rsidRPr="00944B15">
        <w:rPr>
          <w:rFonts w:cs="Times New Roman"/>
          <w:bCs/>
          <w:szCs w:val="24"/>
        </w:rPr>
        <w:t xml:space="preserve"> and adults, improving attention span, concentration, and impulse control. However, they come with potential risks and side effects, including insomnia, loss of appetite, weight loss, and increased heart rate for Dextroamphetamine; dry </w:t>
      </w:r>
      <w:r>
        <w:rPr>
          <w:rFonts w:cs="Times New Roman"/>
          <w:bCs/>
          <w:szCs w:val="24"/>
        </w:rPr>
        <w:t>oral</w:t>
      </w:r>
      <w:r w:rsidRPr="00944B15">
        <w:rPr>
          <w:rFonts w:cs="Times New Roman"/>
          <w:bCs/>
          <w:szCs w:val="24"/>
        </w:rPr>
        <w:t>, headache, nausea, and agitation for Bupropion; and insomnia, decreased appetite, weight loss, and irritability for Methylphenidate.</w:t>
      </w:r>
    </w:p>
    <w:p w14:paraId="188CEE2F" w14:textId="77777777" w:rsidR="00401703" w:rsidRPr="00944B15" w:rsidRDefault="00401703" w:rsidP="00401703">
      <w:pPr>
        <w:spacing w:after="0"/>
        <w:jc w:val="both"/>
        <w:rPr>
          <w:rFonts w:cs="Times New Roman"/>
          <w:bCs/>
          <w:szCs w:val="24"/>
        </w:rPr>
      </w:pPr>
    </w:p>
    <w:tbl>
      <w:tblPr>
        <w:tblStyle w:val="TableGrid18"/>
        <w:tblW w:w="9355" w:type="dxa"/>
        <w:tblLook w:val="04A0" w:firstRow="1" w:lastRow="0" w:firstColumn="1" w:lastColumn="0" w:noHBand="0" w:noVBand="1"/>
      </w:tblPr>
      <w:tblGrid>
        <w:gridCol w:w="2695"/>
        <w:gridCol w:w="6660"/>
      </w:tblGrid>
      <w:tr w:rsidR="00401703" w:rsidRPr="00B51149" w14:paraId="4562E56F" w14:textId="77777777" w:rsidTr="002D6DD7">
        <w:tc>
          <w:tcPr>
            <w:tcW w:w="9355" w:type="dxa"/>
            <w:gridSpan w:val="2"/>
          </w:tcPr>
          <w:p w14:paraId="719A3EAA" w14:textId="77777777" w:rsidR="00401703" w:rsidRPr="00B51149" w:rsidRDefault="00401703" w:rsidP="002D6DD7">
            <w:pPr>
              <w:jc w:val="both"/>
              <w:rPr>
                <w:rFonts w:cs="Times New Roman"/>
                <w:b/>
                <w:bCs/>
                <w:color w:val="000000" w:themeColor="text1"/>
                <w:szCs w:val="24"/>
              </w:rPr>
            </w:pPr>
            <w:bookmarkStart w:id="87" w:name="_Hlk168732830"/>
            <w:r w:rsidRPr="00B51149">
              <w:rPr>
                <w:rFonts w:cs="Times New Roman"/>
                <w:b/>
                <w:bCs/>
                <w:szCs w:val="24"/>
              </w:rPr>
              <w:t>Bupropion</w:t>
            </w:r>
          </w:p>
        </w:tc>
      </w:tr>
      <w:tr w:rsidR="00401703" w:rsidRPr="00B51149" w14:paraId="6795ED84" w14:textId="77777777" w:rsidTr="002D6DD7">
        <w:tc>
          <w:tcPr>
            <w:tcW w:w="2695" w:type="dxa"/>
          </w:tcPr>
          <w:p w14:paraId="7E08BFE4" w14:textId="77777777" w:rsidR="00401703" w:rsidRPr="00B51149" w:rsidRDefault="00401703" w:rsidP="002D6DD7">
            <w:pPr>
              <w:jc w:val="both"/>
              <w:rPr>
                <w:rFonts w:cs="Times New Roman"/>
                <w:color w:val="000000" w:themeColor="text1"/>
                <w:szCs w:val="24"/>
              </w:rPr>
            </w:pPr>
            <w:r w:rsidRPr="00B51149">
              <w:rPr>
                <w:rFonts w:cs="Times New Roman"/>
                <w:szCs w:val="24"/>
              </w:rPr>
              <w:t>Pharmacological Class</w:t>
            </w:r>
          </w:p>
        </w:tc>
        <w:tc>
          <w:tcPr>
            <w:tcW w:w="6660" w:type="dxa"/>
          </w:tcPr>
          <w:p w14:paraId="30B69599" w14:textId="77777777" w:rsidR="00401703" w:rsidRPr="00B51149" w:rsidRDefault="00401703" w:rsidP="002D6DD7">
            <w:pPr>
              <w:jc w:val="both"/>
              <w:rPr>
                <w:rFonts w:cs="Times New Roman"/>
                <w:color w:val="000000" w:themeColor="text1"/>
                <w:szCs w:val="24"/>
              </w:rPr>
            </w:pPr>
            <w:r w:rsidRPr="00B51149">
              <w:rPr>
                <w:rFonts w:cs="Times New Roman"/>
                <w:szCs w:val="24"/>
              </w:rPr>
              <w:t>Norepinephrine-Dopamine Reuptake Inhibitor (NDRI)</w:t>
            </w:r>
          </w:p>
        </w:tc>
      </w:tr>
      <w:tr w:rsidR="00401703" w:rsidRPr="00B51149" w14:paraId="7AF87392" w14:textId="77777777" w:rsidTr="002D6DD7">
        <w:tc>
          <w:tcPr>
            <w:tcW w:w="2695" w:type="dxa"/>
          </w:tcPr>
          <w:p w14:paraId="7DC5C01C" w14:textId="77777777" w:rsidR="00401703" w:rsidRPr="00B51149" w:rsidRDefault="00401703" w:rsidP="002D6DD7">
            <w:pPr>
              <w:jc w:val="both"/>
              <w:rPr>
                <w:rFonts w:cs="Times New Roman"/>
                <w:color w:val="000000" w:themeColor="text1"/>
                <w:szCs w:val="24"/>
              </w:rPr>
            </w:pPr>
            <w:r w:rsidRPr="00B51149">
              <w:rPr>
                <w:rFonts w:cs="Times New Roman"/>
                <w:szCs w:val="24"/>
              </w:rPr>
              <w:t>Dosage Form</w:t>
            </w:r>
          </w:p>
        </w:tc>
        <w:tc>
          <w:tcPr>
            <w:tcW w:w="6660" w:type="dxa"/>
          </w:tcPr>
          <w:p w14:paraId="2667E63D" w14:textId="77777777" w:rsidR="00401703" w:rsidRPr="00B51149" w:rsidRDefault="00401703" w:rsidP="002D6DD7">
            <w:pPr>
              <w:jc w:val="both"/>
              <w:rPr>
                <w:rFonts w:cs="Times New Roman"/>
                <w:color w:val="000000" w:themeColor="text1"/>
                <w:szCs w:val="24"/>
              </w:rPr>
            </w:pPr>
            <w:r w:rsidRPr="00B51149">
              <w:rPr>
                <w:rFonts w:cs="Times New Roman"/>
                <w:szCs w:val="24"/>
              </w:rPr>
              <w:t>Tablet: 75 mg, 100 mg</w:t>
            </w:r>
          </w:p>
        </w:tc>
      </w:tr>
      <w:tr w:rsidR="00401703" w:rsidRPr="00B51149" w14:paraId="1B39D580" w14:textId="77777777" w:rsidTr="002D6DD7">
        <w:tc>
          <w:tcPr>
            <w:tcW w:w="2695" w:type="dxa"/>
          </w:tcPr>
          <w:p w14:paraId="287697D5" w14:textId="77777777" w:rsidR="00401703" w:rsidRPr="00B51149" w:rsidRDefault="00401703" w:rsidP="002D6DD7">
            <w:pPr>
              <w:jc w:val="both"/>
              <w:rPr>
                <w:rFonts w:cs="Times New Roman"/>
                <w:color w:val="000000" w:themeColor="text1"/>
                <w:szCs w:val="24"/>
              </w:rPr>
            </w:pPr>
            <w:r w:rsidRPr="00B51149">
              <w:rPr>
                <w:rFonts w:cs="Times New Roman"/>
                <w:szCs w:val="24"/>
              </w:rPr>
              <w:t>Indication</w:t>
            </w:r>
          </w:p>
        </w:tc>
        <w:tc>
          <w:tcPr>
            <w:tcW w:w="6660" w:type="dxa"/>
          </w:tcPr>
          <w:p w14:paraId="68ABA084" w14:textId="77777777" w:rsidR="00401703" w:rsidRPr="00B51149" w:rsidRDefault="00401703" w:rsidP="002D6DD7">
            <w:pPr>
              <w:jc w:val="both"/>
              <w:rPr>
                <w:rFonts w:cs="Times New Roman"/>
                <w:color w:val="000000" w:themeColor="text1"/>
                <w:szCs w:val="24"/>
              </w:rPr>
            </w:pPr>
            <w:r w:rsidRPr="00B51149">
              <w:rPr>
                <w:rFonts w:cs="Times New Roman"/>
                <w:szCs w:val="24"/>
              </w:rPr>
              <w:t>Treatment of Attention Deficit Disorder (ADD)</w:t>
            </w:r>
          </w:p>
        </w:tc>
      </w:tr>
      <w:tr w:rsidR="00401703" w:rsidRPr="00B51149" w14:paraId="1F6C01E5" w14:textId="77777777" w:rsidTr="002D6DD7">
        <w:tc>
          <w:tcPr>
            <w:tcW w:w="2695" w:type="dxa"/>
          </w:tcPr>
          <w:p w14:paraId="14C05868" w14:textId="77777777" w:rsidR="00401703" w:rsidRPr="00B51149" w:rsidRDefault="00401703" w:rsidP="002D6DD7">
            <w:pPr>
              <w:rPr>
                <w:rFonts w:cs="Times New Roman"/>
                <w:color w:val="000000" w:themeColor="text1"/>
                <w:szCs w:val="24"/>
              </w:rPr>
            </w:pPr>
            <w:r w:rsidRPr="00B51149">
              <w:rPr>
                <w:rFonts w:cs="Times New Roman"/>
                <w:szCs w:val="24"/>
              </w:rPr>
              <w:t>Dose and Administration</w:t>
            </w:r>
          </w:p>
        </w:tc>
        <w:tc>
          <w:tcPr>
            <w:tcW w:w="6660" w:type="dxa"/>
          </w:tcPr>
          <w:p w14:paraId="320C5D82" w14:textId="77777777" w:rsidR="00401703" w:rsidRPr="00B51149" w:rsidRDefault="00401703" w:rsidP="002D6DD7">
            <w:pPr>
              <w:jc w:val="both"/>
              <w:rPr>
                <w:rFonts w:cs="Times New Roman"/>
                <w:szCs w:val="24"/>
              </w:rPr>
            </w:pPr>
            <w:r w:rsidRPr="00B51149">
              <w:rPr>
                <w:rFonts w:cs="Times New Roman"/>
                <w:b/>
                <w:bCs/>
                <w:szCs w:val="24"/>
              </w:rPr>
              <w:t>Adult</w:t>
            </w:r>
            <w:r w:rsidRPr="00B51149">
              <w:rPr>
                <w:rFonts w:cs="Times New Roman"/>
                <w:szCs w:val="24"/>
              </w:rPr>
              <w:t xml:space="preserve">: Initial dose: 100 mg once daily, increased after 3 days to 100 mg twice daily, then increased gradually based on response and tolerability to a maximum of 450 mg per day in divided doses. </w:t>
            </w:r>
          </w:p>
        </w:tc>
      </w:tr>
      <w:tr w:rsidR="00401703" w:rsidRPr="00B51149" w14:paraId="26B44DB2" w14:textId="77777777" w:rsidTr="002D6DD7">
        <w:tc>
          <w:tcPr>
            <w:tcW w:w="2695" w:type="dxa"/>
          </w:tcPr>
          <w:p w14:paraId="0D91747A" w14:textId="77777777" w:rsidR="00401703" w:rsidRPr="00B51149" w:rsidRDefault="00401703" w:rsidP="002D6DD7">
            <w:pPr>
              <w:jc w:val="both"/>
              <w:rPr>
                <w:rFonts w:cs="Times New Roman"/>
                <w:color w:val="000000" w:themeColor="text1"/>
                <w:szCs w:val="24"/>
              </w:rPr>
            </w:pPr>
            <w:r w:rsidRPr="00B51149">
              <w:rPr>
                <w:rFonts w:cs="Times New Roman"/>
                <w:szCs w:val="24"/>
              </w:rPr>
              <w:t>Contraindications</w:t>
            </w:r>
          </w:p>
        </w:tc>
        <w:tc>
          <w:tcPr>
            <w:tcW w:w="6660" w:type="dxa"/>
          </w:tcPr>
          <w:p w14:paraId="202E2E56" w14:textId="77777777" w:rsidR="00401703" w:rsidRPr="00B51149" w:rsidRDefault="00401703" w:rsidP="002D6DD7">
            <w:pPr>
              <w:jc w:val="both"/>
              <w:rPr>
                <w:rFonts w:cs="Times New Roman"/>
                <w:szCs w:val="24"/>
              </w:rPr>
            </w:pPr>
            <w:r w:rsidRPr="00B51149">
              <w:rPr>
                <w:rFonts w:cs="Times New Roman"/>
                <w:szCs w:val="24"/>
              </w:rPr>
              <w:t xml:space="preserve">Refer under </w:t>
            </w:r>
            <w:r w:rsidR="00063A58">
              <w:rPr>
                <w:rFonts w:cs="Times New Roman"/>
                <w:szCs w:val="24"/>
              </w:rPr>
              <w:t>m</w:t>
            </w:r>
            <w:r w:rsidRPr="00B51149">
              <w:rPr>
                <w:rFonts w:cs="Times New Roman"/>
                <w:szCs w:val="24"/>
              </w:rPr>
              <w:t>edicines for nicotine use disorders</w:t>
            </w:r>
          </w:p>
        </w:tc>
      </w:tr>
      <w:tr w:rsidR="00401703" w:rsidRPr="00B51149" w14:paraId="7A2A8DFA" w14:textId="77777777" w:rsidTr="002D6DD7">
        <w:tc>
          <w:tcPr>
            <w:tcW w:w="2695" w:type="dxa"/>
          </w:tcPr>
          <w:p w14:paraId="6E155ED5" w14:textId="77777777" w:rsidR="00401703" w:rsidRPr="00B51149" w:rsidRDefault="00401703" w:rsidP="002D6DD7">
            <w:pPr>
              <w:jc w:val="both"/>
              <w:rPr>
                <w:rFonts w:cs="Times New Roman"/>
                <w:color w:val="000000" w:themeColor="text1"/>
                <w:szCs w:val="24"/>
              </w:rPr>
            </w:pPr>
            <w:r w:rsidRPr="00B51149">
              <w:rPr>
                <w:rFonts w:cs="Times New Roman"/>
                <w:szCs w:val="24"/>
              </w:rPr>
              <w:t>Drug Interactions</w:t>
            </w:r>
          </w:p>
        </w:tc>
        <w:tc>
          <w:tcPr>
            <w:tcW w:w="6660" w:type="dxa"/>
          </w:tcPr>
          <w:p w14:paraId="44E401EC" w14:textId="77777777" w:rsidR="00401703" w:rsidRPr="00B51149" w:rsidRDefault="00401703" w:rsidP="002D6DD7">
            <w:pPr>
              <w:jc w:val="both"/>
              <w:rPr>
                <w:rFonts w:cs="Times New Roman"/>
                <w:szCs w:val="24"/>
              </w:rPr>
            </w:pPr>
            <w:r w:rsidRPr="00B51149">
              <w:rPr>
                <w:rFonts w:cs="Times New Roman"/>
                <w:szCs w:val="24"/>
              </w:rPr>
              <w:t xml:space="preserve">Refer under </w:t>
            </w:r>
            <w:r w:rsidR="00063A58">
              <w:rPr>
                <w:rFonts w:cs="Times New Roman"/>
                <w:szCs w:val="24"/>
              </w:rPr>
              <w:t>m</w:t>
            </w:r>
            <w:r w:rsidRPr="00B51149">
              <w:rPr>
                <w:rFonts w:cs="Times New Roman"/>
                <w:szCs w:val="24"/>
              </w:rPr>
              <w:t>edicines for nicotine use disorders</w:t>
            </w:r>
          </w:p>
        </w:tc>
      </w:tr>
      <w:tr w:rsidR="00401703" w:rsidRPr="00B51149" w14:paraId="3408285F" w14:textId="77777777" w:rsidTr="002D6DD7">
        <w:tc>
          <w:tcPr>
            <w:tcW w:w="2695" w:type="dxa"/>
          </w:tcPr>
          <w:p w14:paraId="4D95A874" w14:textId="77777777" w:rsidR="00401703" w:rsidRPr="00B51149" w:rsidRDefault="00401703" w:rsidP="002D6DD7">
            <w:pPr>
              <w:jc w:val="both"/>
              <w:rPr>
                <w:rFonts w:cs="Times New Roman"/>
                <w:color w:val="000000" w:themeColor="text1"/>
                <w:szCs w:val="24"/>
              </w:rPr>
            </w:pPr>
            <w:r w:rsidRPr="00B51149">
              <w:rPr>
                <w:rFonts w:cs="Times New Roman"/>
                <w:szCs w:val="24"/>
              </w:rPr>
              <w:t>Side Effects</w:t>
            </w:r>
          </w:p>
        </w:tc>
        <w:tc>
          <w:tcPr>
            <w:tcW w:w="6660" w:type="dxa"/>
          </w:tcPr>
          <w:p w14:paraId="016C5511" w14:textId="77777777" w:rsidR="00401703" w:rsidRPr="00B51149" w:rsidRDefault="00401703" w:rsidP="002D6DD7">
            <w:pPr>
              <w:jc w:val="both"/>
              <w:rPr>
                <w:rFonts w:cs="Times New Roman"/>
                <w:szCs w:val="24"/>
              </w:rPr>
            </w:pPr>
            <w:r w:rsidRPr="00B51149">
              <w:rPr>
                <w:rFonts w:cs="Times New Roman"/>
                <w:szCs w:val="24"/>
              </w:rPr>
              <w:t xml:space="preserve">Refer under </w:t>
            </w:r>
            <w:r w:rsidR="00063A58">
              <w:rPr>
                <w:rFonts w:cs="Times New Roman"/>
                <w:szCs w:val="24"/>
              </w:rPr>
              <w:t>m</w:t>
            </w:r>
            <w:r w:rsidRPr="00B51149">
              <w:rPr>
                <w:rFonts w:cs="Times New Roman"/>
                <w:szCs w:val="24"/>
              </w:rPr>
              <w:t>edicines for nicotine use disorders</w:t>
            </w:r>
          </w:p>
        </w:tc>
      </w:tr>
      <w:tr w:rsidR="00401703" w:rsidRPr="00B51149" w14:paraId="46EAD7DC" w14:textId="77777777" w:rsidTr="002D6DD7">
        <w:tc>
          <w:tcPr>
            <w:tcW w:w="2695" w:type="dxa"/>
          </w:tcPr>
          <w:p w14:paraId="38018B05" w14:textId="77777777" w:rsidR="00401703" w:rsidRPr="00B51149" w:rsidRDefault="00401703" w:rsidP="002D6DD7">
            <w:pPr>
              <w:jc w:val="both"/>
              <w:rPr>
                <w:rFonts w:cs="Times New Roman"/>
                <w:color w:val="000000" w:themeColor="text1"/>
                <w:szCs w:val="24"/>
              </w:rPr>
            </w:pPr>
            <w:r w:rsidRPr="00B51149">
              <w:rPr>
                <w:rFonts w:cs="Times New Roman"/>
                <w:szCs w:val="24"/>
              </w:rPr>
              <w:t>Cautions</w:t>
            </w:r>
          </w:p>
        </w:tc>
        <w:tc>
          <w:tcPr>
            <w:tcW w:w="6660" w:type="dxa"/>
          </w:tcPr>
          <w:p w14:paraId="2E3F213C" w14:textId="77777777" w:rsidR="00401703" w:rsidRPr="00B51149" w:rsidRDefault="00401703" w:rsidP="002D6DD7">
            <w:pPr>
              <w:jc w:val="both"/>
              <w:rPr>
                <w:rFonts w:cs="Times New Roman"/>
                <w:color w:val="000000" w:themeColor="text1"/>
                <w:szCs w:val="24"/>
              </w:rPr>
            </w:pPr>
            <w:r w:rsidRPr="00B51149">
              <w:rPr>
                <w:rFonts w:cs="Times New Roman"/>
                <w:szCs w:val="24"/>
              </w:rPr>
              <w:t xml:space="preserve">Refer under </w:t>
            </w:r>
            <w:r w:rsidR="00063A58">
              <w:rPr>
                <w:rFonts w:cs="Times New Roman"/>
                <w:szCs w:val="24"/>
              </w:rPr>
              <w:t>m</w:t>
            </w:r>
            <w:r w:rsidRPr="00B51149">
              <w:rPr>
                <w:rFonts w:cs="Times New Roman"/>
                <w:szCs w:val="24"/>
              </w:rPr>
              <w:t>edicines for nicotine use disorders</w:t>
            </w:r>
          </w:p>
        </w:tc>
      </w:tr>
      <w:tr w:rsidR="00401703" w:rsidRPr="00B51149" w14:paraId="230D3381" w14:textId="77777777" w:rsidTr="002D6DD7">
        <w:tc>
          <w:tcPr>
            <w:tcW w:w="2695" w:type="dxa"/>
          </w:tcPr>
          <w:p w14:paraId="3A67DD54" w14:textId="77777777" w:rsidR="00401703" w:rsidRPr="00B51149" w:rsidRDefault="00401703" w:rsidP="002D6DD7">
            <w:pPr>
              <w:jc w:val="both"/>
              <w:rPr>
                <w:rFonts w:cs="Times New Roman"/>
                <w:color w:val="000000" w:themeColor="text1"/>
                <w:szCs w:val="24"/>
              </w:rPr>
            </w:pPr>
            <w:r w:rsidRPr="00B51149">
              <w:rPr>
                <w:rFonts w:cs="Times New Roman"/>
                <w:szCs w:val="24"/>
              </w:rPr>
              <w:t>Storage Condition</w:t>
            </w:r>
          </w:p>
        </w:tc>
        <w:tc>
          <w:tcPr>
            <w:tcW w:w="6660" w:type="dxa"/>
          </w:tcPr>
          <w:p w14:paraId="3DA2A127" w14:textId="77777777" w:rsidR="00401703" w:rsidRPr="00B51149" w:rsidRDefault="00401703" w:rsidP="002D6DD7">
            <w:pPr>
              <w:jc w:val="both"/>
              <w:rPr>
                <w:rFonts w:cs="Times New Roman"/>
                <w:szCs w:val="24"/>
              </w:rPr>
            </w:pPr>
            <w:r w:rsidRPr="00B51149">
              <w:rPr>
                <w:rFonts w:cs="Times New Roman"/>
                <w:szCs w:val="24"/>
              </w:rPr>
              <w:t>Store below 30</w:t>
            </w:r>
            <w:r w:rsidRPr="00B51149">
              <w:rPr>
                <w:rFonts w:cs="Times New Roman"/>
                <w:szCs w:val="24"/>
                <w:vertAlign w:val="superscript"/>
              </w:rPr>
              <w:t>0</w:t>
            </w:r>
            <w:r w:rsidRPr="00B51149">
              <w:rPr>
                <w:rFonts w:cs="Times New Roman"/>
                <w:szCs w:val="24"/>
              </w:rPr>
              <w:t>C. Protect from light.</w:t>
            </w:r>
          </w:p>
        </w:tc>
      </w:tr>
      <w:tr w:rsidR="00401703" w:rsidRPr="00B51149" w14:paraId="6EB182CD" w14:textId="77777777" w:rsidTr="002D6DD7">
        <w:tc>
          <w:tcPr>
            <w:tcW w:w="2695" w:type="dxa"/>
          </w:tcPr>
          <w:p w14:paraId="4C7DA9A3" w14:textId="77777777" w:rsidR="00401703" w:rsidRPr="00B51149" w:rsidRDefault="00401703" w:rsidP="002D6DD7">
            <w:pPr>
              <w:jc w:val="both"/>
              <w:rPr>
                <w:rFonts w:cs="Times New Roman"/>
                <w:b/>
                <w:bCs/>
                <w:szCs w:val="24"/>
              </w:rPr>
            </w:pPr>
            <w:r w:rsidRPr="00B51149">
              <w:rPr>
                <w:rFonts w:cs="Times New Roman"/>
                <w:b/>
                <w:bCs/>
                <w:szCs w:val="24"/>
              </w:rPr>
              <w:t>Dextroamphetamine</w:t>
            </w:r>
          </w:p>
        </w:tc>
        <w:tc>
          <w:tcPr>
            <w:tcW w:w="6660" w:type="dxa"/>
          </w:tcPr>
          <w:p w14:paraId="0BE1C0E3" w14:textId="77777777" w:rsidR="00401703" w:rsidRPr="00B51149" w:rsidRDefault="00401703" w:rsidP="002D6DD7">
            <w:pPr>
              <w:jc w:val="both"/>
              <w:rPr>
                <w:rFonts w:cs="Times New Roman"/>
                <w:szCs w:val="24"/>
              </w:rPr>
            </w:pPr>
          </w:p>
        </w:tc>
      </w:tr>
      <w:tr w:rsidR="00401703" w:rsidRPr="00B51149" w14:paraId="2B382895" w14:textId="77777777" w:rsidTr="002D6DD7">
        <w:tc>
          <w:tcPr>
            <w:tcW w:w="2695" w:type="dxa"/>
          </w:tcPr>
          <w:p w14:paraId="2AF3F779" w14:textId="77777777" w:rsidR="00401703" w:rsidRPr="00B51149" w:rsidRDefault="00401703" w:rsidP="002D6DD7">
            <w:pPr>
              <w:jc w:val="both"/>
              <w:rPr>
                <w:rFonts w:cs="Times New Roman"/>
                <w:szCs w:val="24"/>
              </w:rPr>
            </w:pPr>
            <w:r w:rsidRPr="00B51149">
              <w:rPr>
                <w:rFonts w:cs="Times New Roman"/>
                <w:szCs w:val="24"/>
              </w:rPr>
              <w:t>Pharmacological Class</w:t>
            </w:r>
          </w:p>
        </w:tc>
        <w:tc>
          <w:tcPr>
            <w:tcW w:w="6660" w:type="dxa"/>
          </w:tcPr>
          <w:p w14:paraId="6C69A051" w14:textId="77777777" w:rsidR="00401703" w:rsidRPr="00B51149" w:rsidRDefault="00401703" w:rsidP="002D6DD7">
            <w:pPr>
              <w:jc w:val="both"/>
              <w:rPr>
                <w:rFonts w:cs="Times New Roman"/>
                <w:szCs w:val="24"/>
              </w:rPr>
            </w:pPr>
            <w:r w:rsidRPr="00B51149">
              <w:rPr>
                <w:rFonts w:cs="Times New Roman"/>
                <w:szCs w:val="24"/>
              </w:rPr>
              <w:t>CNS Stimulant</w:t>
            </w:r>
          </w:p>
        </w:tc>
      </w:tr>
      <w:tr w:rsidR="00401703" w:rsidRPr="00BD4E51" w14:paraId="22BF1054" w14:textId="77777777" w:rsidTr="002D6DD7">
        <w:tc>
          <w:tcPr>
            <w:tcW w:w="2695" w:type="dxa"/>
          </w:tcPr>
          <w:p w14:paraId="24799800" w14:textId="77777777" w:rsidR="00401703" w:rsidRPr="00B51149" w:rsidRDefault="00401703" w:rsidP="002D6DD7">
            <w:pPr>
              <w:jc w:val="both"/>
              <w:rPr>
                <w:rFonts w:cs="Times New Roman"/>
                <w:szCs w:val="24"/>
              </w:rPr>
            </w:pPr>
            <w:r w:rsidRPr="00B51149">
              <w:rPr>
                <w:rFonts w:cs="Times New Roman"/>
                <w:szCs w:val="24"/>
              </w:rPr>
              <w:t>Dosage Form</w:t>
            </w:r>
          </w:p>
        </w:tc>
        <w:tc>
          <w:tcPr>
            <w:tcW w:w="6660" w:type="dxa"/>
          </w:tcPr>
          <w:p w14:paraId="67C8F07E" w14:textId="77777777" w:rsidR="00401703" w:rsidRPr="00B51149" w:rsidRDefault="00401703" w:rsidP="002D6DD7">
            <w:pPr>
              <w:jc w:val="both"/>
              <w:rPr>
                <w:rFonts w:cs="Times New Roman"/>
                <w:szCs w:val="24"/>
                <w:lang w:val="sv-SE"/>
              </w:rPr>
            </w:pPr>
            <w:r w:rsidRPr="00B51149">
              <w:rPr>
                <w:rFonts w:cs="Times New Roman"/>
                <w:szCs w:val="24"/>
                <w:lang w:val="sv-SE"/>
              </w:rPr>
              <w:t>Tablet: 2.5 mg, 5 mg, 10 mg, 15 mg; Oral Liquid: 5 mg/5 ml</w:t>
            </w:r>
          </w:p>
        </w:tc>
      </w:tr>
      <w:tr w:rsidR="00401703" w:rsidRPr="00B51149" w14:paraId="0A730107" w14:textId="77777777" w:rsidTr="002D6DD7">
        <w:tc>
          <w:tcPr>
            <w:tcW w:w="2695" w:type="dxa"/>
          </w:tcPr>
          <w:p w14:paraId="16E23857" w14:textId="77777777" w:rsidR="00401703" w:rsidRPr="00B51149" w:rsidRDefault="00401703" w:rsidP="002D6DD7">
            <w:pPr>
              <w:jc w:val="both"/>
              <w:rPr>
                <w:rFonts w:cs="Times New Roman"/>
                <w:szCs w:val="24"/>
              </w:rPr>
            </w:pPr>
            <w:r w:rsidRPr="00B51149">
              <w:rPr>
                <w:rFonts w:cs="Times New Roman"/>
                <w:szCs w:val="24"/>
              </w:rPr>
              <w:t>Indication</w:t>
            </w:r>
          </w:p>
        </w:tc>
        <w:tc>
          <w:tcPr>
            <w:tcW w:w="6660" w:type="dxa"/>
          </w:tcPr>
          <w:p w14:paraId="7F982291" w14:textId="77777777" w:rsidR="00401703" w:rsidRPr="00B51149" w:rsidRDefault="00401703" w:rsidP="002D6DD7">
            <w:pPr>
              <w:jc w:val="both"/>
              <w:rPr>
                <w:rFonts w:cs="Times New Roman"/>
                <w:szCs w:val="24"/>
              </w:rPr>
            </w:pPr>
            <w:r w:rsidRPr="00B51149">
              <w:rPr>
                <w:rFonts w:cs="Times New Roman"/>
                <w:szCs w:val="24"/>
              </w:rPr>
              <w:t>Treatment of Attention Deficit Disorder (ADD)</w:t>
            </w:r>
          </w:p>
        </w:tc>
      </w:tr>
      <w:tr w:rsidR="00401703" w:rsidRPr="00B51149" w14:paraId="571CC59E" w14:textId="77777777" w:rsidTr="002D6DD7">
        <w:tc>
          <w:tcPr>
            <w:tcW w:w="2695" w:type="dxa"/>
          </w:tcPr>
          <w:p w14:paraId="78FB0FD4" w14:textId="77777777" w:rsidR="00401703" w:rsidRPr="00B51149" w:rsidRDefault="00401703" w:rsidP="002D6DD7">
            <w:pPr>
              <w:jc w:val="both"/>
              <w:rPr>
                <w:rFonts w:cs="Times New Roman"/>
                <w:szCs w:val="24"/>
              </w:rPr>
            </w:pPr>
            <w:r w:rsidRPr="00B51149">
              <w:rPr>
                <w:rFonts w:cs="Times New Roman"/>
                <w:szCs w:val="24"/>
              </w:rPr>
              <w:t>Dose and Administration</w:t>
            </w:r>
          </w:p>
        </w:tc>
        <w:tc>
          <w:tcPr>
            <w:tcW w:w="6660" w:type="dxa"/>
          </w:tcPr>
          <w:p w14:paraId="529B3140" w14:textId="77777777" w:rsidR="00401703" w:rsidRPr="00B51149" w:rsidRDefault="00401703" w:rsidP="002D6DD7">
            <w:pPr>
              <w:jc w:val="both"/>
              <w:rPr>
                <w:rFonts w:cs="Times New Roman"/>
                <w:b/>
                <w:bCs/>
                <w:szCs w:val="24"/>
              </w:rPr>
            </w:pPr>
            <w:r w:rsidRPr="00B51149">
              <w:rPr>
                <w:rFonts w:cs="Times New Roman"/>
                <w:b/>
                <w:bCs/>
                <w:szCs w:val="24"/>
              </w:rPr>
              <w:t xml:space="preserve">Adult and Pediatric (6 years and older): </w:t>
            </w:r>
          </w:p>
          <w:p w14:paraId="26BD3A32" w14:textId="77777777" w:rsidR="00401703" w:rsidRPr="00B51149" w:rsidRDefault="00401703" w:rsidP="002D6DD7">
            <w:pPr>
              <w:jc w:val="both"/>
              <w:rPr>
                <w:rFonts w:cs="Times New Roman"/>
                <w:szCs w:val="24"/>
              </w:rPr>
            </w:pPr>
            <w:r w:rsidRPr="00C04C25">
              <w:rPr>
                <w:rFonts w:cs="Times New Roman"/>
                <w:bCs/>
                <w:szCs w:val="24"/>
              </w:rPr>
              <w:t>Oral</w:t>
            </w:r>
            <w:r w:rsidRPr="00C04C25">
              <w:rPr>
                <w:rFonts w:cs="Times New Roman"/>
                <w:szCs w:val="24"/>
              </w:rPr>
              <w:t>:</w:t>
            </w:r>
            <w:r w:rsidRPr="00B51149">
              <w:rPr>
                <w:rFonts w:cs="Times New Roman"/>
                <w:szCs w:val="24"/>
              </w:rPr>
              <w:t xml:space="preserve"> Initial: 5 mg once or twice daily, increased by 5 mg daily at weekly intervals until optimal response is obtained. Maximum: 40 mg/day. </w:t>
            </w:r>
          </w:p>
          <w:p w14:paraId="446E50C1" w14:textId="77777777" w:rsidR="00401703" w:rsidRPr="00B51149" w:rsidRDefault="00401703" w:rsidP="002D6DD7">
            <w:pPr>
              <w:jc w:val="both"/>
              <w:rPr>
                <w:rFonts w:cs="Times New Roman"/>
                <w:szCs w:val="24"/>
              </w:rPr>
            </w:pPr>
            <w:r w:rsidRPr="00C04C25">
              <w:rPr>
                <w:rFonts w:cs="Times New Roman"/>
                <w:bCs/>
                <w:szCs w:val="24"/>
              </w:rPr>
              <w:t xml:space="preserve">Oral </w:t>
            </w:r>
            <w:r w:rsidR="00C04C25">
              <w:rPr>
                <w:rFonts w:cs="Times New Roman"/>
                <w:bCs/>
                <w:szCs w:val="24"/>
              </w:rPr>
              <w:t>l</w:t>
            </w:r>
            <w:r w:rsidRPr="00C04C25">
              <w:rPr>
                <w:rFonts w:cs="Times New Roman"/>
                <w:bCs/>
                <w:szCs w:val="24"/>
              </w:rPr>
              <w:t>iquid</w:t>
            </w:r>
            <w:r w:rsidRPr="00B51149">
              <w:rPr>
                <w:rFonts w:cs="Times New Roman"/>
                <w:szCs w:val="24"/>
              </w:rPr>
              <w:t xml:space="preserve">: Initial: 5 mg once or twice daily, increased by 5 mg </w:t>
            </w:r>
            <w:r w:rsidRPr="00B51149">
              <w:rPr>
                <w:rFonts w:cs="Times New Roman"/>
                <w:szCs w:val="24"/>
              </w:rPr>
              <w:lastRenderedPageBreak/>
              <w:t xml:space="preserve">daily at weekly intervals until optimal response is obtained. Maximum: 40 mg/day. </w:t>
            </w:r>
          </w:p>
        </w:tc>
      </w:tr>
      <w:tr w:rsidR="00401703" w:rsidRPr="00B51149" w14:paraId="0A03BD2B" w14:textId="77777777" w:rsidTr="002D6DD7">
        <w:tc>
          <w:tcPr>
            <w:tcW w:w="2695" w:type="dxa"/>
          </w:tcPr>
          <w:p w14:paraId="05D61F82" w14:textId="77777777" w:rsidR="00401703" w:rsidRPr="00B51149" w:rsidRDefault="00401703" w:rsidP="002D6DD7">
            <w:pPr>
              <w:jc w:val="both"/>
              <w:rPr>
                <w:rFonts w:cs="Times New Roman"/>
                <w:szCs w:val="24"/>
              </w:rPr>
            </w:pPr>
            <w:r w:rsidRPr="00B51149">
              <w:rPr>
                <w:rFonts w:cs="Times New Roman"/>
                <w:szCs w:val="24"/>
              </w:rPr>
              <w:lastRenderedPageBreak/>
              <w:t>Contraindications</w:t>
            </w:r>
          </w:p>
        </w:tc>
        <w:tc>
          <w:tcPr>
            <w:tcW w:w="6660" w:type="dxa"/>
          </w:tcPr>
          <w:p w14:paraId="0283814B" w14:textId="77777777" w:rsidR="00401703" w:rsidRPr="00B51149" w:rsidRDefault="00401703" w:rsidP="002D6DD7">
            <w:pPr>
              <w:jc w:val="both"/>
              <w:rPr>
                <w:rFonts w:cs="Times New Roman"/>
                <w:szCs w:val="24"/>
              </w:rPr>
            </w:pPr>
            <w:r w:rsidRPr="00B51149">
              <w:rPr>
                <w:rFonts w:cs="Times New Roman"/>
                <w:szCs w:val="24"/>
              </w:rPr>
              <w:t xml:space="preserve">Hypersensitivity to </w:t>
            </w:r>
            <w:r w:rsidR="00C04C25">
              <w:rPr>
                <w:rFonts w:cs="Times New Roman"/>
                <w:szCs w:val="24"/>
              </w:rPr>
              <w:t>the drug, a</w:t>
            </w:r>
            <w:r w:rsidRPr="00B51149">
              <w:rPr>
                <w:rFonts w:cs="Times New Roman"/>
                <w:szCs w:val="24"/>
              </w:rPr>
              <w:t>vanced arteriosclerosis, symptomatic cardiovascular disease, moderate to severe hypertension, hyperthyroidism, glaucoma, agitated states, history of drug abuse, during or within 14 days following MAO inhibitor therapy.</w:t>
            </w:r>
          </w:p>
        </w:tc>
      </w:tr>
      <w:tr w:rsidR="00401703" w:rsidRPr="00B51149" w14:paraId="6704A7AF" w14:textId="77777777" w:rsidTr="002D6DD7">
        <w:tc>
          <w:tcPr>
            <w:tcW w:w="2695" w:type="dxa"/>
          </w:tcPr>
          <w:p w14:paraId="4C7CC076" w14:textId="77777777" w:rsidR="00401703" w:rsidRPr="00B51149" w:rsidRDefault="00401703" w:rsidP="002D6DD7">
            <w:pPr>
              <w:jc w:val="both"/>
              <w:rPr>
                <w:rFonts w:cs="Times New Roman"/>
                <w:szCs w:val="24"/>
              </w:rPr>
            </w:pPr>
            <w:r w:rsidRPr="00B51149">
              <w:rPr>
                <w:rFonts w:cs="Times New Roman"/>
                <w:szCs w:val="24"/>
              </w:rPr>
              <w:t>Drug Interactions</w:t>
            </w:r>
          </w:p>
        </w:tc>
        <w:tc>
          <w:tcPr>
            <w:tcW w:w="6660" w:type="dxa"/>
          </w:tcPr>
          <w:p w14:paraId="68F05548" w14:textId="77777777" w:rsidR="00401703" w:rsidRPr="00B51149" w:rsidRDefault="00401703" w:rsidP="002D6DD7">
            <w:pPr>
              <w:jc w:val="both"/>
              <w:rPr>
                <w:rFonts w:cs="Times New Roman"/>
                <w:szCs w:val="24"/>
              </w:rPr>
            </w:pPr>
            <w:r w:rsidRPr="00B51149">
              <w:rPr>
                <w:rFonts w:cs="Times New Roman"/>
                <w:szCs w:val="24"/>
              </w:rPr>
              <w:t>MAOIs, serotonergic drugs, CYP2D6 inhibitors, Acidifying and alkalizing agents, antihypertensives, tricyclic antidepressants, antipsychotics.</w:t>
            </w:r>
          </w:p>
        </w:tc>
      </w:tr>
      <w:tr w:rsidR="00401703" w:rsidRPr="00B51149" w14:paraId="6A5D1A76" w14:textId="77777777" w:rsidTr="002D6DD7">
        <w:tc>
          <w:tcPr>
            <w:tcW w:w="2695" w:type="dxa"/>
          </w:tcPr>
          <w:p w14:paraId="38A1E06E" w14:textId="77777777" w:rsidR="00401703" w:rsidRPr="00B51149" w:rsidRDefault="00401703" w:rsidP="002D6DD7">
            <w:pPr>
              <w:jc w:val="both"/>
              <w:rPr>
                <w:rFonts w:cs="Times New Roman"/>
                <w:szCs w:val="24"/>
              </w:rPr>
            </w:pPr>
            <w:r w:rsidRPr="00B51149">
              <w:rPr>
                <w:rFonts w:cs="Times New Roman"/>
                <w:szCs w:val="24"/>
              </w:rPr>
              <w:t>Side Effects</w:t>
            </w:r>
          </w:p>
        </w:tc>
        <w:tc>
          <w:tcPr>
            <w:tcW w:w="6660" w:type="dxa"/>
          </w:tcPr>
          <w:p w14:paraId="352BBF77" w14:textId="77777777" w:rsidR="00401703" w:rsidRPr="00B51149" w:rsidRDefault="00401703" w:rsidP="002D6DD7">
            <w:pPr>
              <w:jc w:val="both"/>
              <w:rPr>
                <w:rFonts w:cs="Times New Roman"/>
                <w:szCs w:val="24"/>
              </w:rPr>
            </w:pPr>
            <w:r w:rsidRPr="00B51149">
              <w:rPr>
                <w:rFonts w:cs="Times New Roman"/>
                <w:szCs w:val="24"/>
              </w:rPr>
              <w:t>Insomnia, headache, decreased appetite, dry oral, abdominal pain, weight loss, Increased blood pressure, tachycardia, palpitations, anxiety, dizziness, growth suppression in child.</w:t>
            </w:r>
          </w:p>
        </w:tc>
      </w:tr>
      <w:tr w:rsidR="00401703" w:rsidRPr="00B51149" w14:paraId="4E55BCA9" w14:textId="77777777" w:rsidTr="002D6DD7">
        <w:tc>
          <w:tcPr>
            <w:tcW w:w="2695" w:type="dxa"/>
          </w:tcPr>
          <w:p w14:paraId="10CCFFBB" w14:textId="77777777" w:rsidR="00401703" w:rsidRPr="00B51149" w:rsidRDefault="00401703" w:rsidP="002D6DD7">
            <w:pPr>
              <w:jc w:val="both"/>
              <w:rPr>
                <w:rFonts w:cs="Times New Roman"/>
                <w:szCs w:val="24"/>
              </w:rPr>
            </w:pPr>
            <w:r w:rsidRPr="00B51149">
              <w:rPr>
                <w:rFonts w:cs="Times New Roman"/>
                <w:szCs w:val="24"/>
              </w:rPr>
              <w:t>Cautions</w:t>
            </w:r>
          </w:p>
        </w:tc>
        <w:tc>
          <w:tcPr>
            <w:tcW w:w="6660" w:type="dxa"/>
          </w:tcPr>
          <w:p w14:paraId="237B5AC3" w14:textId="77777777" w:rsidR="00401703" w:rsidRPr="00B51149" w:rsidRDefault="00401703" w:rsidP="002D6DD7">
            <w:pPr>
              <w:jc w:val="both"/>
              <w:rPr>
                <w:rFonts w:cs="Times New Roman"/>
                <w:szCs w:val="24"/>
              </w:rPr>
            </w:pPr>
            <w:r w:rsidRPr="00B51149">
              <w:rPr>
                <w:rFonts w:cs="Times New Roman"/>
                <w:szCs w:val="24"/>
              </w:rPr>
              <w:t>history of cardiovascular disease, hypertension, mental health conditions (e.g., bipolar disorder, psychosis), seizure disorders, and those with a history of substance abuse. Monitor for signs of misuse, abuse, and dependence.</w:t>
            </w:r>
          </w:p>
        </w:tc>
      </w:tr>
      <w:tr w:rsidR="00401703" w:rsidRPr="00B51149" w14:paraId="42067D4E" w14:textId="77777777" w:rsidTr="002D6DD7">
        <w:tc>
          <w:tcPr>
            <w:tcW w:w="2695" w:type="dxa"/>
          </w:tcPr>
          <w:p w14:paraId="4A3386B8" w14:textId="77777777" w:rsidR="00401703" w:rsidRPr="00B51149" w:rsidRDefault="00401703" w:rsidP="002D6DD7">
            <w:pPr>
              <w:jc w:val="both"/>
              <w:rPr>
                <w:rFonts w:cs="Times New Roman"/>
                <w:szCs w:val="24"/>
              </w:rPr>
            </w:pPr>
            <w:r w:rsidRPr="00B51149">
              <w:rPr>
                <w:rFonts w:cs="Times New Roman"/>
                <w:szCs w:val="24"/>
              </w:rPr>
              <w:t>Storage Condition</w:t>
            </w:r>
          </w:p>
        </w:tc>
        <w:tc>
          <w:tcPr>
            <w:tcW w:w="6660" w:type="dxa"/>
          </w:tcPr>
          <w:p w14:paraId="35C42D31" w14:textId="77777777" w:rsidR="00401703" w:rsidRPr="00B51149" w:rsidRDefault="00401703" w:rsidP="002D6DD7">
            <w:pPr>
              <w:jc w:val="both"/>
              <w:rPr>
                <w:rFonts w:cs="Times New Roman"/>
                <w:szCs w:val="24"/>
              </w:rPr>
            </w:pPr>
            <w:r w:rsidRPr="00B51149">
              <w:rPr>
                <w:rFonts w:cs="Times New Roman"/>
                <w:szCs w:val="24"/>
              </w:rPr>
              <w:t>Store below 30</w:t>
            </w:r>
            <w:r w:rsidRPr="00B51149">
              <w:rPr>
                <w:rFonts w:cs="Times New Roman"/>
                <w:szCs w:val="24"/>
                <w:vertAlign w:val="superscript"/>
              </w:rPr>
              <w:t>0</w:t>
            </w:r>
            <w:r w:rsidRPr="00B51149">
              <w:rPr>
                <w:rFonts w:cs="Times New Roman"/>
                <w:szCs w:val="24"/>
              </w:rPr>
              <w:t>C. Protect from light.</w:t>
            </w:r>
          </w:p>
        </w:tc>
      </w:tr>
      <w:tr w:rsidR="00401703" w:rsidRPr="00B51149" w14:paraId="66BA4CB5" w14:textId="77777777" w:rsidTr="002D6DD7">
        <w:tc>
          <w:tcPr>
            <w:tcW w:w="2695" w:type="dxa"/>
          </w:tcPr>
          <w:p w14:paraId="0E01DE46" w14:textId="77777777" w:rsidR="00401703" w:rsidRPr="00B51149" w:rsidRDefault="00401703" w:rsidP="002D6DD7">
            <w:pPr>
              <w:jc w:val="both"/>
              <w:rPr>
                <w:rFonts w:cs="Times New Roman"/>
                <w:szCs w:val="24"/>
              </w:rPr>
            </w:pPr>
            <w:r w:rsidRPr="00B51149">
              <w:rPr>
                <w:rFonts w:cs="Times New Roman"/>
                <w:b/>
                <w:bCs/>
                <w:szCs w:val="24"/>
              </w:rPr>
              <w:t>Methylphenidate</w:t>
            </w:r>
          </w:p>
        </w:tc>
        <w:tc>
          <w:tcPr>
            <w:tcW w:w="6660" w:type="dxa"/>
          </w:tcPr>
          <w:p w14:paraId="78B8DB19" w14:textId="77777777" w:rsidR="00401703" w:rsidRPr="00B51149" w:rsidRDefault="00401703" w:rsidP="002D6DD7">
            <w:pPr>
              <w:jc w:val="both"/>
              <w:rPr>
                <w:rFonts w:cs="Times New Roman"/>
                <w:szCs w:val="24"/>
              </w:rPr>
            </w:pPr>
          </w:p>
        </w:tc>
      </w:tr>
      <w:tr w:rsidR="00401703" w:rsidRPr="00B51149" w14:paraId="6E6F0A8C" w14:textId="77777777" w:rsidTr="002D6DD7">
        <w:tc>
          <w:tcPr>
            <w:tcW w:w="2695" w:type="dxa"/>
          </w:tcPr>
          <w:p w14:paraId="141DBB0F" w14:textId="77777777" w:rsidR="00401703" w:rsidRPr="00B51149" w:rsidRDefault="00401703" w:rsidP="002D6DD7">
            <w:pPr>
              <w:jc w:val="both"/>
              <w:rPr>
                <w:rFonts w:cs="Times New Roman"/>
                <w:szCs w:val="24"/>
              </w:rPr>
            </w:pPr>
            <w:r w:rsidRPr="00B51149">
              <w:rPr>
                <w:rFonts w:cs="Times New Roman"/>
                <w:szCs w:val="24"/>
              </w:rPr>
              <w:t>Pharmacological Class</w:t>
            </w:r>
          </w:p>
        </w:tc>
        <w:tc>
          <w:tcPr>
            <w:tcW w:w="6660" w:type="dxa"/>
          </w:tcPr>
          <w:p w14:paraId="539DF93A" w14:textId="77777777" w:rsidR="00401703" w:rsidRPr="00B51149" w:rsidRDefault="00401703" w:rsidP="002D6DD7">
            <w:pPr>
              <w:jc w:val="both"/>
              <w:rPr>
                <w:rFonts w:cs="Times New Roman"/>
                <w:szCs w:val="24"/>
              </w:rPr>
            </w:pPr>
            <w:r w:rsidRPr="00B51149">
              <w:rPr>
                <w:rFonts w:cs="Times New Roman"/>
                <w:szCs w:val="24"/>
              </w:rPr>
              <w:t>CNS Stimulant</w:t>
            </w:r>
          </w:p>
        </w:tc>
      </w:tr>
      <w:tr w:rsidR="00401703" w:rsidRPr="00B51149" w14:paraId="63A5BFF1" w14:textId="77777777" w:rsidTr="002D6DD7">
        <w:tc>
          <w:tcPr>
            <w:tcW w:w="2695" w:type="dxa"/>
          </w:tcPr>
          <w:p w14:paraId="34F48CF4" w14:textId="77777777" w:rsidR="00401703" w:rsidRPr="00B51149" w:rsidRDefault="00401703" w:rsidP="002D6DD7">
            <w:pPr>
              <w:jc w:val="both"/>
              <w:rPr>
                <w:rFonts w:cs="Times New Roman"/>
                <w:szCs w:val="24"/>
              </w:rPr>
            </w:pPr>
            <w:r w:rsidRPr="00B51149">
              <w:rPr>
                <w:rFonts w:cs="Times New Roman"/>
                <w:szCs w:val="24"/>
              </w:rPr>
              <w:t>Dosage Form</w:t>
            </w:r>
          </w:p>
        </w:tc>
        <w:tc>
          <w:tcPr>
            <w:tcW w:w="6660" w:type="dxa"/>
          </w:tcPr>
          <w:p w14:paraId="24D03C4B" w14:textId="77777777" w:rsidR="00401703" w:rsidRPr="00B51149" w:rsidRDefault="00401703" w:rsidP="002D6DD7">
            <w:pPr>
              <w:jc w:val="both"/>
              <w:rPr>
                <w:rFonts w:cs="Times New Roman"/>
                <w:szCs w:val="24"/>
              </w:rPr>
            </w:pPr>
            <w:r w:rsidRPr="00B51149">
              <w:rPr>
                <w:rFonts w:cs="Times New Roman"/>
                <w:szCs w:val="24"/>
              </w:rPr>
              <w:t>Tablet: 5 mg, 10 mg, 20 mg</w:t>
            </w:r>
          </w:p>
        </w:tc>
      </w:tr>
      <w:tr w:rsidR="00401703" w:rsidRPr="00B51149" w14:paraId="0A26EBF0" w14:textId="77777777" w:rsidTr="002D6DD7">
        <w:tc>
          <w:tcPr>
            <w:tcW w:w="2695" w:type="dxa"/>
          </w:tcPr>
          <w:p w14:paraId="68C17151" w14:textId="77777777" w:rsidR="00401703" w:rsidRPr="00B51149" w:rsidRDefault="00401703" w:rsidP="002D6DD7">
            <w:pPr>
              <w:jc w:val="both"/>
              <w:rPr>
                <w:rFonts w:cs="Times New Roman"/>
                <w:szCs w:val="24"/>
              </w:rPr>
            </w:pPr>
            <w:r w:rsidRPr="00B51149">
              <w:rPr>
                <w:rFonts w:cs="Times New Roman"/>
                <w:szCs w:val="24"/>
              </w:rPr>
              <w:t>Indication</w:t>
            </w:r>
          </w:p>
        </w:tc>
        <w:tc>
          <w:tcPr>
            <w:tcW w:w="6660" w:type="dxa"/>
          </w:tcPr>
          <w:p w14:paraId="6025186D" w14:textId="77777777" w:rsidR="00401703" w:rsidRPr="00B51149" w:rsidRDefault="00401703" w:rsidP="002D6DD7">
            <w:pPr>
              <w:jc w:val="both"/>
              <w:rPr>
                <w:rFonts w:cs="Times New Roman"/>
                <w:szCs w:val="24"/>
              </w:rPr>
            </w:pPr>
            <w:r w:rsidRPr="00B51149">
              <w:rPr>
                <w:rFonts w:cs="Times New Roman"/>
                <w:szCs w:val="24"/>
              </w:rPr>
              <w:t>Treatment of Attention Deficit Disorder (ADD)</w:t>
            </w:r>
          </w:p>
        </w:tc>
      </w:tr>
      <w:tr w:rsidR="00401703" w:rsidRPr="00B51149" w14:paraId="19DBC2F7" w14:textId="77777777" w:rsidTr="002D6DD7">
        <w:tc>
          <w:tcPr>
            <w:tcW w:w="2695" w:type="dxa"/>
          </w:tcPr>
          <w:p w14:paraId="1235FD9A" w14:textId="77777777" w:rsidR="00401703" w:rsidRPr="00B51149" w:rsidRDefault="00401703" w:rsidP="002D6DD7">
            <w:pPr>
              <w:jc w:val="both"/>
              <w:rPr>
                <w:rFonts w:cs="Times New Roman"/>
                <w:szCs w:val="24"/>
              </w:rPr>
            </w:pPr>
            <w:r w:rsidRPr="00B51149">
              <w:rPr>
                <w:rFonts w:cs="Times New Roman"/>
                <w:szCs w:val="24"/>
              </w:rPr>
              <w:t>Dose and Administration</w:t>
            </w:r>
          </w:p>
        </w:tc>
        <w:tc>
          <w:tcPr>
            <w:tcW w:w="6660" w:type="dxa"/>
          </w:tcPr>
          <w:p w14:paraId="3C4EC540" w14:textId="77777777" w:rsidR="00401703" w:rsidRPr="00B51149" w:rsidRDefault="00401703" w:rsidP="002D6DD7">
            <w:pPr>
              <w:jc w:val="both"/>
              <w:rPr>
                <w:rFonts w:cs="Times New Roman"/>
                <w:b/>
                <w:bCs/>
                <w:szCs w:val="24"/>
              </w:rPr>
            </w:pPr>
            <w:r w:rsidRPr="00B51149">
              <w:rPr>
                <w:rFonts w:cs="Times New Roman"/>
                <w:b/>
                <w:bCs/>
                <w:szCs w:val="24"/>
              </w:rPr>
              <w:t xml:space="preserve">Adult: </w:t>
            </w:r>
          </w:p>
          <w:p w14:paraId="34F20CF4" w14:textId="77777777" w:rsidR="00C04C25" w:rsidRDefault="00401703" w:rsidP="002D6DD7">
            <w:pPr>
              <w:jc w:val="both"/>
              <w:rPr>
                <w:rFonts w:cs="Times New Roman"/>
                <w:szCs w:val="24"/>
              </w:rPr>
            </w:pPr>
            <w:r w:rsidRPr="00C04C25">
              <w:rPr>
                <w:rFonts w:cs="Times New Roman"/>
                <w:bCs/>
                <w:szCs w:val="24"/>
              </w:rPr>
              <w:t>Oral (immediate release tablet):</w:t>
            </w:r>
            <w:r w:rsidRPr="00B51149">
              <w:rPr>
                <w:rFonts w:cs="Times New Roman"/>
                <w:szCs w:val="24"/>
              </w:rPr>
              <w:t xml:space="preserve"> Initially 5 mg once daily or twice daily (e.g., at breakfast and lunch), increasing, if necessary, by weekly increments of 5–10 mg in the daily dose according to tolerability and degree of efficacy observed to a maximum of 100 mg per day. If the effect wears off in the evening, a bedtime dose may be appropriate. </w:t>
            </w:r>
          </w:p>
          <w:p w14:paraId="44E7CB46" w14:textId="77777777" w:rsidR="00401703" w:rsidRPr="00B51149" w:rsidRDefault="00401703" w:rsidP="002D6DD7">
            <w:pPr>
              <w:jc w:val="both"/>
              <w:rPr>
                <w:rFonts w:cs="Times New Roman"/>
                <w:szCs w:val="24"/>
              </w:rPr>
            </w:pPr>
            <w:r w:rsidRPr="00B51149">
              <w:rPr>
                <w:rFonts w:cs="Times New Roman"/>
                <w:b/>
                <w:bCs/>
                <w:szCs w:val="24"/>
              </w:rPr>
              <w:t xml:space="preserve">Attention-Deficit Hyperactivity Disorder, </w:t>
            </w:r>
            <w:r w:rsidR="00C04C25" w:rsidRPr="00C04C25">
              <w:rPr>
                <w:rFonts w:cs="Times New Roman"/>
                <w:bCs/>
                <w:szCs w:val="24"/>
              </w:rPr>
              <w:t>o</w:t>
            </w:r>
            <w:r w:rsidRPr="00C04C25">
              <w:rPr>
                <w:rFonts w:cs="Times New Roman"/>
                <w:bCs/>
                <w:szCs w:val="24"/>
              </w:rPr>
              <w:t>ral (extended-release):</w:t>
            </w:r>
            <w:r w:rsidRPr="00B51149">
              <w:rPr>
                <w:rFonts w:cs="Times New Roman"/>
                <w:szCs w:val="24"/>
              </w:rPr>
              <w:t xml:space="preserve"> Initially 18 mg once daily, dose to be taken in the </w:t>
            </w:r>
            <w:r w:rsidRPr="00B51149">
              <w:rPr>
                <w:rFonts w:cs="Times New Roman"/>
                <w:szCs w:val="24"/>
              </w:rPr>
              <w:lastRenderedPageBreak/>
              <w:t xml:space="preserve">morning, adjusted at weekly intervals according to response, maximum 108 mg per day. </w:t>
            </w:r>
          </w:p>
          <w:p w14:paraId="0B6E2615" w14:textId="77777777" w:rsidR="00C04C25" w:rsidRDefault="00401703" w:rsidP="002D6DD7">
            <w:pPr>
              <w:jc w:val="both"/>
              <w:rPr>
                <w:rFonts w:cs="Times New Roman"/>
                <w:b/>
                <w:bCs/>
                <w:szCs w:val="24"/>
              </w:rPr>
            </w:pPr>
            <w:r w:rsidRPr="00B51149">
              <w:rPr>
                <w:rFonts w:cs="Times New Roman"/>
                <w:b/>
                <w:bCs/>
                <w:szCs w:val="24"/>
              </w:rPr>
              <w:t>Pediatric</w:t>
            </w:r>
            <w:r w:rsidR="00C04C25">
              <w:rPr>
                <w:rFonts w:cs="Times New Roman"/>
                <w:b/>
                <w:bCs/>
                <w:szCs w:val="24"/>
              </w:rPr>
              <w:t xml:space="preserve">, </w:t>
            </w:r>
            <w:r w:rsidR="00C04C25" w:rsidRPr="00C04C25">
              <w:rPr>
                <w:rFonts w:cs="Times New Roman"/>
                <w:bCs/>
                <w:szCs w:val="24"/>
              </w:rPr>
              <w:t>o</w:t>
            </w:r>
            <w:r w:rsidRPr="00C04C25">
              <w:rPr>
                <w:rFonts w:cs="Times New Roman"/>
                <w:bCs/>
                <w:szCs w:val="24"/>
              </w:rPr>
              <w:t>ral (immediate release tablet):</w:t>
            </w:r>
            <w:r w:rsidRPr="00B51149">
              <w:rPr>
                <w:rFonts w:cs="Times New Roman"/>
                <w:b/>
                <w:bCs/>
                <w:szCs w:val="24"/>
              </w:rPr>
              <w:t xml:space="preserve"> </w:t>
            </w:r>
          </w:p>
          <w:p w14:paraId="1BB7AB74" w14:textId="77777777" w:rsidR="00C04C25" w:rsidRDefault="00401703" w:rsidP="002D6DD7">
            <w:pPr>
              <w:jc w:val="both"/>
              <w:rPr>
                <w:rFonts w:cs="Times New Roman"/>
                <w:szCs w:val="24"/>
              </w:rPr>
            </w:pPr>
            <w:r w:rsidRPr="00B51149">
              <w:rPr>
                <w:rFonts w:cs="Times New Roman"/>
                <w:b/>
                <w:bCs/>
                <w:szCs w:val="24"/>
              </w:rPr>
              <w:t>Child 6–17 years:</w:t>
            </w:r>
            <w:r w:rsidRPr="00B51149">
              <w:rPr>
                <w:rFonts w:cs="Times New Roman"/>
                <w:szCs w:val="24"/>
              </w:rPr>
              <w:t xml:space="preserve"> Initially 5 mg 1–2 times a day, increased in steps of 5–10 mg daily if required, at weekly intervals, increased if necessary up to 60 mg daily in 2–3 divided doses, increased if necessary up to 2.1 mg/kg daily in 2–3 divided doses, the licensed maximum dose is 60 mg daily in 2–3 doses, higher dose (up to a maximum of 90 mg daily) under the direction of a specialist, discontinue if no response after 1 month, if effect wears off in evening (with rebound hyperactivity) a dose at bedtime may be appropriate. </w:t>
            </w:r>
          </w:p>
          <w:p w14:paraId="703940FA" w14:textId="77777777" w:rsidR="00C04C25" w:rsidRDefault="00401703" w:rsidP="002D6DD7">
            <w:pPr>
              <w:jc w:val="both"/>
              <w:rPr>
                <w:rFonts w:cs="Times New Roman"/>
                <w:b/>
                <w:bCs/>
                <w:szCs w:val="24"/>
              </w:rPr>
            </w:pPr>
            <w:r w:rsidRPr="00B51149">
              <w:rPr>
                <w:rFonts w:cs="Times New Roman"/>
                <w:b/>
                <w:bCs/>
                <w:szCs w:val="24"/>
              </w:rPr>
              <w:t xml:space="preserve">Attention-Deficit Hyperactivity Disorder, </w:t>
            </w:r>
            <w:r w:rsidR="00C04C25" w:rsidRPr="00C04C25">
              <w:rPr>
                <w:rFonts w:cs="Times New Roman"/>
                <w:bCs/>
                <w:szCs w:val="24"/>
              </w:rPr>
              <w:t>o</w:t>
            </w:r>
            <w:r w:rsidRPr="00C04C25">
              <w:rPr>
                <w:rFonts w:cs="Times New Roman"/>
                <w:bCs/>
                <w:szCs w:val="24"/>
              </w:rPr>
              <w:t>ral (extended-release):</w:t>
            </w:r>
            <w:r w:rsidRPr="00B51149">
              <w:rPr>
                <w:rFonts w:cs="Times New Roman"/>
                <w:b/>
                <w:bCs/>
                <w:szCs w:val="24"/>
              </w:rPr>
              <w:t xml:space="preserve"> </w:t>
            </w:r>
          </w:p>
          <w:p w14:paraId="5F7EADBB" w14:textId="77777777" w:rsidR="00401703" w:rsidRPr="00C04C25" w:rsidRDefault="00401703" w:rsidP="002D6DD7">
            <w:pPr>
              <w:jc w:val="both"/>
              <w:rPr>
                <w:rFonts w:cs="Times New Roman"/>
                <w:b/>
                <w:bCs/>
                <w:szCs w:val="24"/>
              </w:rPr>
            </w:pPr>
            <w:r w:rsidRPr="00B51149">
              <w:rPr>
                <w:rFonts w:cs="Times New Roman"/>
                <w:b/>
                <w:bCs/>
                <w:szCs w:val="24"/>
              </w:rPr>
              <w:t>Child 6–17 years:</w:t>
            </w:r>
            <w:r w:rsidRPr="00B51149">
              <w:rPr>
                <w:rFonts w:cs="Times New Roman"/>
                <w:szCs w:val="24"/>
              </w:rPr>
              <w:t xml:space="preserve"> Initially 18 mg once daily, dose to be taken in the morning, increased in steps of 18 mg every week, adjusted according to response, increased if necessary up to 2.1 mg/kg daily, max. dose is 54 mg once daily, to be increased to higher dose only under direction of specialist, discontinue if no response after 1 month, maximum 108 mg per day.</w:t>
            </w:r>
          </w:p>
        </w:tc>
      </w:tr>
      <w:tr w:rsidR="00401703" w:rsidRPr="00B51149" w14:paraId="538F230B" w14:textId="77777777" w:rsidTr="002D6DD7">
        <w:tc>
          <w:tcPr>
            <w:tcW w:w="2695" w:type="dxa"/>
          </w:tcPr>
          <w:p w14:paraId="1ED34404" w14:textId="77777777" w:rsidR="00401703" w:rsidRPr="00B51149" w:rsidRDefault="00401703" w:rsidP="002D6DD7">
            <w:pPr>
              <w:jc w:val="both"/>
              <w:rPr>
                <w:rFonts w:cs="Times New Roman"/>
                <w:szCs w:val="24"/>
              </w:rPr>
            </w:pPr>
            <w:r w:rsidRPr="00B51149">
              <w:rPr>
                <w:rFonts w:cs="Times New Roman"/>
                <w:szCs w:val="24"/>
              </w:rPr>
              <w:lastRenderedPageBreak/>
              <w:t>Contraindications</w:t>
            </w:r>
          </w:p>
        </w:tc>
        <w:tc>
          <w:tcPr>
            <w:tcW w:w="6660" w:type="dxa"/>
          </w:tcPr>
          <w:p w14:paraId="29E50F77" w14:textId="77777777" w:rsidR="00401703" w:rsidRPr="00B51149" w:rsidRDefault="00401703" w:rsidP="002D6DD7">
            <w:pPr>
              <w:jc w:val="both"/>
              <w:rPr>
                <w:rFonts w:cs="Times New Roman"/>
                <w:szCs w:val="24"/>
              </w:rPr>
            </w:pPr>
            <w:r w:rsidRPr="00B51149">
              <w:rPr>
                <w:rFonts w:cs="Times New Roman"/>
                <w:szCs w:val="24"/>
              </w:rPr>
              <w:t xml:space="preserve">Hypersensitivity to </w:t>
            </w:r>
            <w:r w:rsidR="00C04C25">
              <w:rPr>
                <w:rFonts w:cs="Times New Roman"/>
                <w:szCs w:val="24"/>
              </w:rPr>
              <w:t>the drug</w:t>
            </w:r>
            <w:r w:rsidRPr="00B51149">
              <w:rPr>
                <w:rFonts w:cs="Times New Roman"/>
                <w:szCs w:val="24"/>
              </w:rPr>
              <w:t>, history of schizophrenia Marked anxiety, tension, and agitation, glaucoma, tics or a family history or diagnosis of Tourette syndrome, during or within 14 days following MAO inhibitor therapy discontinuation, anorexia nervosa, arrhythmia Heart failure, hyperthyroidism, uncontrolled bipolar, severe depression, severe hypertension cardiomyopathy, structural cardiac disease.</w:t>
            </w:r>
          </w:p>
        </w:tc>
      </w:tr>
      <w:tr w:rsidR="00401703" w:rsidRPr="00B51149" w14:paraId="624D0896" w14:textId="77777777" w:rsidTr="002D6DD7">
        <w:tc>
          <w:tcPr>
            <w:tcW w:w="2695" w:type="dxa"/>
          </w:tcPr>
          <w:p w14:paraId="35403C88" w14:textId="77777777" w:rsidR="00401703" w:rsidRPr="00B51149" w:rsidRDefault="00401703" w:rsidP="002D6DD7">
            <w:pPr>
              <w:jc w:val="both"/>
              <w:rPr>
                <w:rFonts w:cs="Times New Roman"/>
                <w:szCs w:val="24"/>
              </w:rPr>
            </w:pPr>
            <w:r w:rsidRPr="00B51149">
              <w:rPr>
                <w:rFonts w:cs="Times New Roman"/>
                <w:szCs w:val="24"/>
              </w:rPr>
              <w:t>Drug Interactions</w:t>
            </w:r>
          </w:p>
        </w:tc>
        <w:tc>
          <w:tcPr>
            <w:tcW w:w="6660" w:type="dxa"/>
          </w:tcPr>
          <w:p w14:paraId="7C5EF795" w14:textId="77777777" w:rsidR="00401703" w:rsidRPr="00B51149" w:rsidRDefault="00401703" w:rsidP="002D6DD7">
            <w:pPr>
              <w:jc w:val="both"/>
              <w:rPr>
                <w:rFonts w:cs="Times New Roman"/>
                <w:szCs w:val="24"/>
              </w:rPr>
            </w:pPr>
            <w:r>
              <w:rPr>
                <w:rFonts w:cs="Times New Roman"/>
                <w:szCs w:val="24"/>
              </w:rPr>
              <w:t>MAOIs</w:t>
            </w:r>
            <w:r w:rsidRPr="00B51149">
              <w:rPr>
                <w:rFonts w:cs="Times New Roman"/>
                <w:szCs w:val="24"/>
              </w:rPr>
              <w:t xml:space="preserve">, </w:t>
            </w:r>
            <w:r w:rsidR="00734FA4">
              <w:rPr>
                <w:rFonts w:cs="Times New Roman"/>
                <w:szCs w:val="24"/>
              </w:rPr>
              <w:t>v</w:t>
            </w:r>
            <w:r w:rsidRPr="00B51149">
              <w:rPr>
                <w:rFonts w:cs="Times New Roman"/>
                <w:szCs w:val="24"/>
              </w:rPr>
              <w:t>asopressor agents.</w:t>
            </w:r>
          </w:p>
        </w:tc>
      </w:tr>
      <w:tr w:rsidR="00401703" w:rsidRPr="00B51149" w14:paraId="5A2A27E7" w14:textId="77777777" w:rsidTr="002D6DD7">
        <w:tc>
          <w:tcPr>
            <w:tcW w:w="2695" w:type="dxa"/>
          </w:tcPr>
          <w:p w14:paraId="404F4D44" w14:textId="77777777" w:rsidR="00401703" w:rsidRPr="00B51149" w:rsidRDefault="00401703" w:rsidP="002D6DD7">
            <w:pPr>
              <w:jc w:val="both"/>
              <w:rPr>
                <w:rFonts w:cs="Times New Roman"/>
                <w:szCs w:val="24"/>
              </w:rPr>
            </w:pPr>
            <w:r w:rsidRPr="00B51149">
              <w:rPr>
                <w:rFonts w:cs="Times New Roman"/>
                <w:szCs w:val="24"/>
              </w:rPr>
              <w:t>Side Effects</w:t>
            </w:r>
          </w:p>
        </w:tc>
        <w:tc>
          <w:tcPr>
            <w:tcW w:w="6660" w:type="dxa"/>
          </w:tcPr>
          <w:p w14:paraId="3D53FD53" w14:textId="77777777" w:rsidR="00401703" w:rsidRPr="00B51149" w:rsidRDefault="00401703" w:rsidP="002D6DD7">
            <w:pPr>
              <w:jc w:val="both"/>
              <w:rPr>
                <w:rFonts w:cs="Times New Roman"/>
                <w:szCs w:val="24"/>
              </w:rPr>
            </w:pPr>
            <w:r w:rsidRPr="00B51149">
              <w:rPr>
                <w:rFonts w:cs="Times New Roman"/>
                <w:szCs w:val="24"/>
              </w:rPr>
              <w:t xml:space="preserve">Nervousness, insomnia, decreased appetite, abdominal pain, headache, dry </w:t>
            </w:r>
            <w:r>
              <w:rPr>
                <w:rFonts w:cs="Times New Roman"/>
                <w:szCs w:val="24"/>
              </w:rPr>
              <w:t>mouth</w:t>
            </w:r>
            <w:r w:rsidRPr="00B51149">
              <w:rPr>
                <w:rFonts w:cs="Times New Roman"/>
                <w:szCs w:val="24"/>
              </w:rPr>
              <w:t xml:space="preserve">, loss of appetite, weight loss, Increased blood pressure, tachycardia, palpitations, anxiety, dizziness, growth </w:t>
            </w:r>
            <w:r w:rsidRPr="00B51149">
              <w:rPr>
                <w:rFonts w:cs="Times New Roman"/>
                <w:szCs w:val="24"/>
              </w:rPr>
              <w:lastRenderedPageBreak/>
              <w:t>suppression in childmood changes, movement changes, alopecia.</w:t>
            </w:r>
          </w:p>
        </w:tc>
      </w:tr>
      <w:tr w:rsidR="00401703" w:rsidRPr="00B51149" w14:paraId="18124C8E" w14:textId="77777777" w:rsidTr="002D6DD7">
        <w:tc>
          <w:tcPr>
            <w:tcW w:w="2695" w:type="dxa"/>
          </w:tcPr>
          <w:p w14:paraId="1E499F16" w14:textId="77777777" w:rsidR="00401703" w:rsidRPr="00B51149" w:rsidRDefault="00401703" w:rsidP="002D6DD7">
            <w:pPr>
              <w:jc w:val="both"/>
              <w:rPr>
                <w:rFonts w:cs="Times New Roman"/>
                <w:szCs w:val="24"/>
              </w:rPr>
            </w:pPr>
            <w:r w:rsidRPr="00B51149">
              <w:rPr>
                <w:rFonts w:cs="Times New Roman"/>
                <w:szCs w:val="24"/>
              </w:rPr>
              <w:lastRenderedPageBreak/>
              <w:t>Cautions</w:t>
            </w:r>
          </w:p>
        </w:tc>
        <w:tc>
          <w:tcPr>
            <w:tcW w:w="6660" w:type="dxa"/>
          </w:tcPr>
          <w:p w14:paraId="0968E47D" w14:textId="77777777" w:rsidR="00401703" w:rsidRPr="00B51149" w:rsidRDefault="00C04C25" w:rsidP="002D6DD7">
            <w:pPr>
              <w:jc w:val="both"/>
              <w:rPr>
                <w:rFonts w:cs="Times New Roman"/>
                <w:szCs w:val="24"/>
              </w:rPr>
            </w:pPr>
            <w:r>
              <w:rPr>
                <w:rFonts w:cs="Times New Roman"/>
                <w:szCs w:val="24"/>
              </w:rPr>
              <w:t>H</w:t>
            </w:r>
            <w:r w:rsidR="00401703" w:rsidRPr="00B51149">
              <w:rPr>
                <w:rFonts w:cs="Times New Roman"/>
                <w:szCs w:val="24"/>
              </w:rPr>
              <w:t>istory of cardiovascular disease, hypertension, mental health conditions (e.g., bipolar disorder, psychosis), seizure disorders, and those with a history of substance abuse.</w:t>
            </w:r>
          </w:p>
        </w:tc>
      </w:tr>
      <w:bookmarkEnd w:id="87"/>
    </w:tbl>
    <w:p w14:paraId="110F9F75" w14:textId="77777777" w:rsidR="00EC11CF" w:rsidRDefault="00EC11CF" w:rsidP="00E837DD">
      <w:pPr>
        <w:spacing w:after="0"/>
        <w:jc w:val="both"/>
        <w:rPr>
          <w:rFonts w:cs="Times New Roman"/>
          <w:szCs w:val="24"/>
        </w:rPr>
      </w:pPr>
    </w:p>
    <w:p w14:paraId="1F650401" w14:textId="77777777" w:rsidR="00E837DD" w:rsidRDefault="00E837DD" w:rsidP="00E837DD">
      <w:pPr>
        <w:spacing w:after="0"/>
        <w:jc w:val="both"/>
        <w:rPr>
          <w:rFonts w:cs="Times New Roman"/>
          <w:szCs w:val="24"/>
        </w:rPr>
      </w:pPr>
    </w:p>
    <w:p w14:paraId="01574C32" w14:textId="77777777" w:rsidR="00265BA6" w:rsidRDefault="00265BA6" w:rsidP="00E837DD">
      <w:pPr>
        <w:spacing w:after="0"/>
        <w:jc w:val="both"/>
        <w:rPr>
          <w:rFonts w:cs="Times New Roman"/>
          <w:szCs w:val="24"/>
        </w:rPr>
      </w:pPr>
    </w:p>
    <w:p w14:paraId="0D12C5A0" w14:textId="77777777" w:rsidR="00265BA6" w:rsidRDefault="00265BA6" w:rsidP="00E837DD">
      <w:pPr>
        <w:spacing w:after="0"/>
        <w:jc w:val="both"/>
        <w:rPr>
          <w:rFonts w:cs="Times New Roman"/>
          <w:szCs w:val="24"/>
        </w:rPr>
      </w:pPr>
    </w:p>
    <w:p w14:paraId="24344C17" w14:textId="77777777" w:rsidR="00265BA6" w:rsidRDefault="00265BA6" w:rsidP="00E837DD">
      <w:pPr>
        <w:spacing w:after="0"/>
        <w:jc w:val="both"/>
        <w:rPr>
          <w:rFonts w:cs="Times New Roman"/>
          <w:szCs w:val="24"/>
        </w:rPr>
      </w:pPr>
    </w:p>
    <w:p w14:paraId="0557DFD8" w14:textId="77777777" w:rsidR="00265BA6" w:rsidRDefault="00265BA6" w:rsidP="00E837DD">
      <w:pPr>
        <w:spacing w:after="0"/>
        <w:jc w:val="both"/>
        <w:rPr>
          <w:rFonts w:cs="Times New Roman"/>
          <w:szCs w:val="24"/>
        </w:rPr>
      </w:pPr>
    </w:p>
    <w:p w14:paraId="17331642" w14:textId="77777777" w:rsidR="00265BA6" w:rsidRDefault="00265BA6" w:rsidP="00E837DD">
      <w:pPr>
        <w:spacing w:after="0"/>
        <w:jc w:val="both"/>
        <w:rPr>
          <w:rFonts w:cs="Times New Roman"/>
          <w:szCs w:val="24"/>
        </w:rPr>
      </w:pPr>
    </w:p>
    <w:p w14:paraId="1DE9A753" w14:textId="77777777" w:rsidR="00265BA6" w:rsidRDefault="00265BA6" w:rsidP="00E837DD">
      <w:pPr>
        <w:spacing w:after="0"/>
        <w:jc w:val="both"/>
        <w:rPr>
          <w:rFonts w:cs="Times New Roman"/>
          <w:szCs w:val="24"/>
        </w:rPr>
      </w:pPr>
    </w:p>
    <w:p w14:paraId="27C4E5F8" w14:textId="77777777" w:rsidR="00265BA6" w:rsidRPr="00665767" w:rsidRDefault="00265BA6" w:rsidP="00665767">
      <w:pPr>
        <w:pStyle w:val="Heading1"/>
        <w:numPr>
          <w:ilvl w:val="0"/>
          <w:numId w:val="25"/>
        </w:numPr>
        <w:spacing w:after="240"/>
      </w:pPr>
      <w:bookmarkStart w:id="88" w:name="_Toc179490349"/>
      <w:r w:rsidRPr="00665767">
        <w:t>Anesthetic, Preoperative Medicines and Medical Gases</w:t>
      </w:r>
      <w:bookmarkEnd w:id="88"/>
    </w:p>
    <w:p w14:paraId="47B72FE0" w14:textId="77777777" w:rsidR="00265BA6" w:rsidRPr="00665767" w:rsidRDefault="00265BA6" w:rsidP="00665767">
      <w:pPr>
        <w:pStyle w:val="Heading2"/>
        <w:spacing w:before="240" w:after="240"/>
      </w:pPr>
      <w:bookmarkStart w:id="89" w:name="_Toc179490350"/>
      <w:r w:rsidRPr="00665767">
        <w:t>General anesthetics</w:t>
      </w:r>
      <w:bookmarkEnd w:id="89"/>
    </w:p>
    <w:p w14:paraId="59B47F39" w14:textId="77777777" w:rsidR="00265BA6" w:rsidRPr="00944B15" w:rsidRDefault="00265BA6" w:rsidP="00265BA6">
      <w:pPr>
        <w:spacing w:after="0"/>
        <w:jc w:val="both"/>
        <w:rPr>
          <w:rFonts w:cs="Times New Roman"/>
          <w:szCs w:val="24"/>
        </w:rPr>
      </w:pPr>
      <w:r w:rsidRPr="00944B15">
        <w:rPr>
          <w:rFonts w:cs="Times New Roman"/>
          <w:szCs w:val="24"/>
        </w:rPr>
        <w:t>Several different types of drugs are g</w:t>
      </w:r>
      <w:r>
        <w:rPr>
          <w:rFonts w:cs="Times New Roman"/>
          <w:szCs w:val="24"/>
        </w:rPr>
        <w:t>iven together during general an</w:t>
      </w:r>
      <w:r w:rsidRPr="00944B15">
        <w:rPr>
          <w:rFonts w:cs="Times New Roman"/>
          <w:szCs w:val="24"/>
        </w:rPr>
        <w:t xml:space="preserve">esthesia. </w:t>
      </w:r>
      <w:r>
        <w:rPr>
          <w:rFonts w:cs="Times New Roman"/>
          <w:szCs w:val="24"/>
        </w:rPr>
        <w:t>Anesthesia</w:t>
      </w:r>
      <w:r w:rsidRPr="00944B15">
        <w:rPr>
          <w:rFonts w:cs="Times New Roman"/>
          <w:szCs w:val="24"/>
        </w:rPr>
        <w:t xml:space="preserve"> is induced</w:t>
      </w:r>
      <w:r>
        <w:rPr>
          <w:rFonts w:cs="Times New Roman"/>
          <w:szCs w:val="24"/>
        </w:rPr>
        <w:t xml:space="preserve"> and </w:t>
      </w:r>
      <w:r w:rsidRPr="00944B15">
        <w:rPr>
          <w:rFonts w:cs="Times New Roman"/>
          <w:szCs w:val="24"/>
        </w:rPr>
        <w:t>maintained</w:t>
      </w:r>
      <w:r>
        <w:rPr>
          <w:rFonts w:cs="Times New Roman"/>
          <w:szCs w:val="24"/>
        </w:rPr>
        <w:t xml:space="preserve"> </w:t>
      </w:r>
      <w:r w:rsidRPr="00944B15">
        <w:rPr>
          <w:rFonts w:cs="Times New Roman"/>
          <w:szCs w:val="24"/>
        </w:rPr>
        <w:t xml:space="preserve">with either a volatile drug given by inhalation or with an </w:t>
      </w:r>
      <w:r>
        <w:rPr>
          <w:rFonts w:cs="Times New Roman"/>
          <w:szCs w:val="24"/>
        </w:rPr>
        <w:t>intravenously (</w:t>
      </w:r>
      <w:r w:rsidRPr="00944B15">
        <w:rPr>
          <w:rFonts w:cs="Times New Roman"/>
          <w:szCs w:val="24"/>
        </w:rPr>
        <w:t>IV</w:t>
      </w:r>
      <w:r>
        <w:rPr>
          <w:rFonts w:cs="Times New Roman"/>
          <w:szCs w:val="24"/>
        </w:rPr>
        <w:t>)</w:t>
      </w:r>
      <w:r w:rsidRPr="00944B15">
        <w:rPr>
          <w:rFonts w:cs="Times New Roman"/>
          <w:szCs w:val="24"/>
        </w:rPr>
        <w:t xml:space="preserve"> administered anaesthetic drug</w:t>
      </w:r>
      <w:r>
        <w:rPr>
          <w:rFonts w:cs="Times New Roman"/>
          <w:szCs w:val="24"/>
        </w:rPr>
        <w:t xml:space="preserve">s. </w:t>
      </w:r>
      <w:r w:rsidRPr="00944B15">
        <w:rPr>
          <w:rFonts w:cs="Times New Roman"/>
          <w:szCs w:val="24"/>
        </w:rPr>
        <w:t xml:space="preserve">IV anaesthetics include propofol, thiopental sodium, etomidate and ketamine. Inhalational anaesthetics include gases and volatile liquids. Volatile liquid anaesthetics are administered using calibrated vaporisers, using air, oxygen, or nitrous oxide-oxygen mixtures as the carrier gas. Higher concentrations of oxygen (greater than 30%) are usually required during inhalational </w:t>
      </w:r>
      <w:r>
        <w:rPr>
          <w:rFonts w:cs="Times New Roman"/>
          <w:szCs w:val="24"/>
        </w:rPr>
        <w:t>anesthesia</w:t>
      </w:r>
      <w:r w:rsidRPr="00944B15">
        <w:rPr>
          <w:rFonts w:cs="Times New Roman"/>
          <w:szCs w:val="24"/>
        </w:rPr>
        <w:t xml:space="preserve"> when nitrous oxide is being administered.</w:t>
      </w:r>
    </w:p>
    <w:p w14:paraId="7C81A3F1" w14:textId="77777777" w:rsidR="00265BA6" w:rsidRPr="00944B15" w:rsidRDefault="00265BA6" w:rsidP="00265BA6">
      <w:pPr>
        <w:spacing w:after="0"/>
        <w:jc w:val="both"/>
        <w:rPr>
          <w:rFonts w:cs="Times New Roman"/>
          <w:szCs w:val="24"/>
        </w:rPr>
      </w:pPr>
      <w:r w:rsidRPr="00944B15">
        <w:rPr>
          <w:rFonts w:cs="Times New Roman"/>
          <w:szCs w:val="24"/>
        </w:rPr>
        <w:t xml:space="preserve">Anaesthetic drugs may be fatal if inappropriately used. Irrespective of the type of </w:t>
      </w:r>
      <w:r>
        <w:rPr>
          <w:rFonts w:cs="Times New Roman"/>
          <w:szCs w:val="24"/>
        </w:rPr>
        <w:t>anesthesia</w:t>
      </w:r>
      <w:r w:rsidRPr="00944B15">
        <w:rPr>
          <w:rFonts w:cs="Times New Roman"/>
          <w:szCs w:val="24"/>
        </w:rPr>
        <w:t xml:space="preserve"> used (i.e., general or regional), it is essential that facilities for intubation, resuscitation, and mechanically assisted ventilation are available.</w:t>
      </w:r>
    </w:p>
    <w:p w14:paraId="147B4685" w14:textId="77777777" w:rsidR="00265BA6" w:rsidRPr="00A244D4" w:rsidRDefault="00265BA6" w:rsidP="00A244D4">
      <w:pPr>
        <w:rPr>
          <w:b/>
        </w:rPr>
      </w:pPr>
      <w:r w:rsidRPr="00A244D4">
        <w:rPr>
          <w:b/>
        </w:rPr>
        <w:t xml:space="preserve">Inhalational </w:t>
      </w:r>
      <w:r w:rsidR="00931813">
        <w:rPr>
          <w:b/>
        </w:rPr>
        <w:t>a</w:t>
      </w:r>
      <w:r w:rsidRPr="00A244D4">
        <w:rPr>
          <w:b/>
        </w:rPr>
        <w:t>naesthetics</w:t>
      </w:r>
    </w:p>
    <w:tbl>
      <w:tblPr>
        <w:tblStyle w:val="TableGrid"/>
        <w:tblW w:w="0" w:type="auto"/>
        <w:tblInd w:w="-185" w:type="dxa"/>
        <w:tblLayout w:type="fixed"/>
        <w:tblLook w:val="04A0" w:firstRow="1" w:lastRow="0" w:firstColumn="1" w:lastColumn="0" w:noHBand="0" w:noVBand="1"/>
      </w:tblPr>
      <w:tblGrid>
        <w:gridCol w:w="2610"/>
        <w:gridCol w:w="6925"/>
      </w:tblGrid>
      <w:tr w:rsidR="00265BA6" w:rsidRPr="00944B15" w14:paraId="20FBDE0E" w14:textId="77777777" w:rsidTr="002D6DD7">
        <w:trPr>
          <w:trHeight w:val="440"/>
        </w:trPr>
        <w:tc>
          <w:tcPr>
            <w:tcW w:w="9535" w:type="dxa"/>
            <w:gridSpan w:val="2"/>
          </w:tcPr>
          <w:p w14:paraId="584D1A6E" w14:textId="77777777" w:rsidR="00265BA6" w:rsidRPr="00944B15" w:rsidRDefault="00265BA6" w:rsidP="002D6DD7">
            <w:pPr>
              <w:jc w:val="both"/>
              <w:rPr>
                <w:rFonts w:cs="Times New Roman"/>
                <w:b/>
                <w:szCs w:val="24"/>
              </w:rPr>
            </w:pPr>
            <w:r w:rsidRPr="00944B15">
              <w:rPr>
                <w:rFonts w:cs="Times New Roman"/>
                <w:b/>
                <w:szCs w:val="24"/>
              </w:rPr>
              <w:t>Halothane</w:t>
            </w:r>
          </w:p>
        </w:tc>
      </w:tr>
      <w:tr w:rsidR="00265BA6" w:rsidRPr="00944B15" w14:paraId="4CB056FA" w14:textId="77777777" w:rsidTr="002D6DD7">
        <w:tc>
          <w:tcPr>
            <w:tcW w:w="2610" w:type="dxa"/>
          </w:tcPr>
          <w:p w14:paraId="79828EBB"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925" w:type="dxa"/>
          </w:tcPr>
          <w:p w14:paraId="20AA9F5C" w14:textId="77777777" w:rsidR="00265BA6" w:rsidRPr="00944B15" w:rsidRDefault="00265BA6" w:rsidP="002D6DD7">
            <w:pPr>
              <w:jc w:val="both"/>
              <w:rPr>
                <w:rFonts w:cs="Times New Roman"/>
                <w:szCs w:val="24"/>
              </w:rPr>
            </w:pPr>
            <w:r w:rsidRPr="00944B15">
              <w:rPr>
                <w:rFonts w:cs="Times New Roman"/>
                <w:szCs w:val="24"/>
              </w:rPr>
              <w:t xml:space="preserve">Inhalational </w:t>
            </w:r>
            <w:r>
              <w:rPr>
                <w:rFonts w:cs="Times New Roman"/>
                <w:szCs w:val="24"/>
              </w:rPr>
              <w:t>anaesthetic</w:t>
            </w:r>
          </w:p>
        </w:tc>
      </w:tr>
      <w:tr w:rsidR="00265BA6" w:rsidRPr="00944B15" w14:paraId="71ECA98B" w14:textId="77777777" w:rsidTr="002D6DD7">
        <w:tc>
          <w:tcPr>
            <w:tcW w:w="2610" w:type="dxa"/>
          </w:tcPr>
          <w:p w14:paraId="24058465" w14:textId="77777777" w:rsidR="00265BA6" w:rsidRPr="00944B15" w:rsidRDefault="00265BA6" w:rsidP="002D6DD7">
            <w:pPr>
              <w:jc w:val="both"/>
              <w:rPr>
                <w:rFonts w:cs="Times New Roman"/>
                <w:szCs w:val="24"/>
              </w:rPr>
            </w:pPr>
            <w:r w:rsidRPr="00944B15">
              <w:rPr>
                <w:rFonts w:cs="Times New Roman"/>
                <w:szCs w:val="24"/>
              </w:rPr>
              <w:t>Dosage form</w:t>
            </w:r>
          </w:p>
        </w:tc>
        <w:tc>
          <w:tcPr>
            <w:tcW w:w="6925" w:type="dxa"/>
          </w:tcPr>
          <w:p w14:paraId="02B4ECCA" w14:textId="77777777" w:rsidR="00265BA6" w:rsidRPr="00944B15" w:rsidRDefault="00265BA6" w:rsidP="002D6DD7">
            <w:pPr>
              <w:jc w:val="both"/>
              <w:rPr>
                <w:rFonts w:cs="Times New Roman"/>
                <w:szCs w:val="24"/>
              </w:rPr>
            </w:pPr>
            <w:r w:rsidRPr="00944B15">
              <w:rPr>
                <w:rFonts w:cs="Times New Roman"/>
                <w:szCs w:val="24"/>
              </w:rPr>
              <w:t>Inhalation: 250</w:t>
            </w:r>
            <w:r>
              <w:rPr>
                <w:rFonts w:cs="Times New Roman"/>
                <w:szCs w:val="24"/>
              </w:rPr>
              <w:t>ml</w:t>
            </w:r>
          </w:p>
        </w:tc>
      </w:tr>
      <w:tr w:rsidR="00265BA6" w:rsidRPr="00944B15" w14:paraId="6FDBCD93" w14:textId="77777777" w:rsidTr="002D6DD7">
        <w:tc>
          <w:tcPr>
            <w:tcW w:w="2610" w:type="dxa"/>
          </w:tcPr>
          <w:p w14:paraId="1F312120" w14:textId="77777777" w:rsidR="00265BA6" w:rsidRPr="00944B15" w:rsidRDefault="00265BA6" w:rsidP="002D6DD7">
            <w:pPr>
              <w:jc w:val="both"/>
              <w:rPr>
                <w:rFonts w:cs="Times New Roman"/>
                <w:szCs w:val="24"/>
              </w:rPr>
            </w:pPr>
            <w:r w:rsidRPr="00944B15">
              <w:rPr>
                <w:rFonts w:cs="Times New Roman"/>
                <w:szCs w:val="24"/>
              </w:rPr>
              <w:lastRenderedPageBreak/>
              <w:t>Indications</w:t>
            </w:r>
          </w:p>
        </w:tc>
        <w:tc>
          <w:tcPr>
            <w:tcW w:w="6925" w:type="dxa"/>
          </w:tcPr>
          <w:p w14:paraId="3AD09B1F" w14:textId="77777777" w:rsidR="00265BA6" w:rsidRPr="00944B15" w:rsidRDefault="00265BA6" w:rsidP="002D6DD7">
            <w:pPr>
              <w:jc w:val="both"/>
              <w:rPr>
                <w:rFonts w:cs="Times New Roman"/>
                <w:szCs w:val="24"/>
              </w:rPr>
            </w:pPr>
            <w:r w:rsidRPr="00944B15">
              <w:rPr>
                <w:rFonts w:cs="Times New Roman"/>
                <w:szCs w:val="24"/>
              </w:rPr>
              <w:t xml:space="preserve">Induction and maintenance of </w:t>
            </w:r>
            <w:r>
              <w:rPr>
                <w:rFonts w:cs="Times New Roman"/>
                <w:szCs w:val="24"/>
              </w:rPr>
              <w:t>anesthesia</w:t>
            </w:r>
            <w:r w:rsidRPr="00944B15">
              <w:rPr>
                <w:rFonts w:cs="Times New Roman"/>
                <w:szCs w:val="24"/>
              </w:rPr>
              <w:t xml:space="preserve"> in major surgery often combined with nitrous oxide/oxygen mixtures</w:t>
            </w:r>
            <w:r>
              <w:rPr>
                <w:rFonts w:cs="Times New Roman"/>
                <w:szCs w:val="24"/>
              </w:rPr>
              <w:t>.</w:t>
            </w:r>
          </w:p>
        </w:tc>
      </w:tr>
      <w:tr w:rsidR="00265BA6" w:rsidRPr="00944B15" w14:paraId="5AC1CA58" w14:textId="77777777" w:rsidTr="002D6DD7">
        <w:tc>
          <w:tcPr>
            <w:tcW w:w="2610" w:type="dxa"/>
          </w:tcPr>
          <w:p w14:paraId="5E6A6E05" w14:textId="77777777" w:rsidR="00265BA6" w:rsidRPr="00944B15" w:rsidRDefault="00265BA6" w:rsidP="002D6DD7">
            <w:pPr>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925" w:type="dxa"/>
          </w:tcPr>
          <w:p w14:paraId="340BAC21" w14:textId="77777777" w:rsidR="00265BA6" w:rsidRPr="00944B15" w:rsidRDefault="00265BA6" w:rsidP="002D6DD7">
            <w:pPr>
              <w:ind w:right="294"/>
              <w:jc w:val="both"/>
              <w:rPr>
                <w:rFonts w:cs="Times New Roman"/>
                <w:b/>
                <w:szCs w:val="24"/>
              </w:rPr>
            </w:pPr>
            <w:r w:rsidRPr="00944B15">
              <w:rPr>
                <w:rFonts w:cs="Times New Roman"/>
                <w:szCs w:val="24"/>
              </w:rPr>
              <w:t xml:space="preserve"> </w:t>
            </w:r>
            <w:r w:rsidRPr="00944B15">
              <w:rPr>
                <w:rFonts w:cs="Times New Roman"/>
                <w:b/>
                <w:bCs/>
                <w:szCs w:val="24"/>
              </w:rPr>
              <w:t>Adult</w:t>
            </w:r>
            <w:r w:rsidRPr="00944B15">
              <w:rPr>
                <w:rFonts w:cs="Times New Roman"/>
                <w:b/>
                <w:szCs w:val="24"/>
              </w:rPr>
              <w:t xml:space="preserve">: </w:t>
            </w:r>
          </w:p>
          <w:p w14:paraId="3ED7408F" w14:textId="77777777" w:rsidR="00265BA6" w:rsidRPr="00944B15" w:rsidRDefault="00265BA6" w:rsidP="002D6DD7">
            <w:pPr>
              <w:jc w:val="both"/>
              <w:rPr>
                <w:rFonts w:cs="Times New Roman"/>
                <w:spacing w:val="1"/>
                <w:szCs w:val="24"/>
              </w:rPr>
            </w:pPr>
            <w:r w:rsidRPr="00944B15">
              <w:rPr>
                <w:rFonts w:cs="Times New Roman"/>
                <w:b/>
                <w:szCs w:val="24"/>
              </w:rPr>
              <w:t>Induction:</w:t>
            </w:r>
            <w:r w:rsidRPr="00944B15">
              <w:rPr>
                <w:rFonts w:cs="Times New Roman"/>
                <w:szCs w:val="24"/>
              </w:rPr>
              <w:t xml:space="preserve"> initially 0.5% increase gradually to 2-4% in oxygen or nitrous oxide/oxygen mixture.</w:t>
            </w:r>
          </w:p>
          <w:p w14:paraId="62D48E3B" w14:textId="77777777" w:rsidR="00265BA6" w:rsidRPr="00944B15" w:rsidRDefault="00265BA6" w:rsidP="002D6DD7">
            <w:pPr>
              <w:jc w:val="both"/>
              <w:rPr>
                <w:rFonts w:cs="Times New Roman"/>
                <w:szCs w:val="24"/>
              </w:rPr>
            </w:pPr>
            <w:r w:rsidRPr="00944B15">
              <w:rPr>
                <w:rFonts w:cs="Times New Roman"/>
                <w:b/>
                <w:szCs w:val="24"/>
              </w:rPr>
              <w:t>Maintenance:</w:t>
            </w:r>
            <w:r w:rsidRPr="00944B15">
              <w:rPr>
                <w:rFonts w:cs="Times New Roman"/>
                <w:szCs w:val="24"/>
              </w:rPr>
              <w:t xml:space="preserve"> 0.5-</w:t>
            </w:r>
            <w:r>
              <w:rPr>
                <w:rFonts w:cs="Times New Roman"/>
                <w:szCs w:val="24"/>
              </w:rPr>
              <w:t>1.5</w:t>
            </w:r>
            <w:r w:rsidRPr="00944B15">
              <w:rPr>
                <w:rFonts w:cs="Times New Roman"/>
                <w:szCs w:val="24"/>
              </w:rPr>
              <w:t>% in oxygen-air or nitrous oxide–oxygen</w:t>
            </w:r>
          </w:p>
          <w:p w14:paraId="0F6156F0" w14:textId="77777777" w:rsidR="00265BA6" w:rsidRPr="00944B15" w:rsidRDefault="00265BA6" w:rsidP="002D6DD7">
            <w:pPr>
              <w:jc w:val="both"/>
              <w:rPr>
                <w:rFonts w:cs="Times New Roman"/>
                <w:szCs w:val="24"/>
              </w:rPr>
            </w:pPr>
            <w:r w:rsidRPr="00944B15">
              <w:rPr>
                <w:rFonts w:cs="Times New Roman"/>
                <w:b/>
                <w:szCs w:val="24"/>
              </w:rPr>
              <w:t>Infant or child:</w:t>
            </w:r>
            <w:r w:rsidRPr="00944B15">
              <w:rPr>
                <w:rFonts w:cs="Times New Roman"/>
                <w:szCs w:val="24"/>
              </w:rPr>
              <w:t xml:space="preserve"> </w:t>
            </w:r>
          </w:p>
          <w:p w14:paraId="2450DF13" w14:textId="77777777" w:rsidR="00265BA6" w:rsidRPr="00944B15" w:rsidRDefault="00265BA6" w:rsidP="002D6DD7">
            <w:pPr>
              <w:jc w:val="both"/>
              <w:rPr>
                <w:rFonts w:cs="Times New Roman"/>
                <w:szCs w:val="24"/>
              </w:rPr>
            </w:pPr>
            <w:r w:rsidRPr="00944B15">
              <w:rPr>
                <w:rFonts w:cs="Times New Roman"/>
                <w:b/>
                <w:szCs w:val="24"/>
              </w:rPr>
              <w:t>Induction</w:t>
            </w:r>
            <w:r w:rsidRPr="00944B15">
              <w:rPr>
                <w:rFonts w:cs="Times New Roman"/>
                <w:szCs w:val="24"/>
              </w:rPr>
              <w:t xml:space="preserve">: Initially 0.5%, then gradually increase inspired gas concentration to 1.5–2% in oxygen or nitrous oxide–oxygen </w:t>
            </w:r>
          </w:p>
          <w:p w14:paraId="4D8AA3FC" w14:textId="77777777" w:rsidR="00265BA6" w:rsidRPr="00944B15" w:rsidRDefault="00265BA6" w:rsidP="002D6DD7">
            <w:pPr>
              <w:jc w:val="both"/>
              <w:rPr>
                <w:rFonts w:cs="Times New Roman"/>
                <w:szCs w:val="24"/>
              </w:rPr>
            </w:pPr>
            <w:r w:rsidRPr="00944B15">
              <w:rPr>
                <w:rFonts w:cs="Times New Roman"/>
                <w:b/>
                <w:szCs w:val="24"/>
              </w:rPr>
              <w:t>Maintenance</w:t>
            </w:r>
            <w:r w:rsidRPr="00944B15">
              <w:rPr>
                <w:rFonts w:cs="Times New Roman"/>
                <w:szCs w:val="24"/>
              </w:rPr>
              <w:t>: 0.5–</w:t>
            </w:r>
            <w:r>
              <w:rPr>
                <w:rFonts w:cs="Times New Roman"/>
                <w:szCs w:val="24"/>
              </w:rPr>
              <w:t>1.5</w:t>
            </w:r>
            <w:r w:rsidRPr="00944B15">
              <w:rPr>
                <w:rFonts w:cs="Times New Roman"/>
                <w:szCs w:val="24"/>
              </w:rPr>
              <w:t>% in oxygen-air or nitrous oxide–oxygen</w:t>
            </w:r>
          </w:p>
        </w:tc>
      </w:tr>
      <w:tr w:rsidR="00265BA6" w:rsidRPr="00944B15" w14:paraId="018ABE5E" w14:textId="77777777" w:rsidTr="002D6DD7">
        <w:trPr>
          <w:trHeight w:val="908"/>
        </w:trPr>
        <w:tc>
          <w:tcPr>
            <w:tcW w:w="2610" w:type="dxa"/>
          </w:tcPr>
          <w:p w14:paraId="577C7CF7"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925" w:type="dxa"/>
          </w:tcPr>
          <w:p w14:paraId="5DD2F841" w14:textId="77777777" w:rsidR="00265BA6" w:rsidRPr="00944B15" w:rsidRDefault="00265BA6" w:rsidP="002D6DD7">
            <w:pPr>
              <w:jc w:val="both"/>
              <w:rPr>
                <w:rFonts w:cs="Times New Roman"/>
                <w:szCs w:val="24"/>
              </w:rPr>
            </w:pPr>
            <w:r w:rsidRPr="00944B15">
              <w:rPr>
                <w:rFonts w:cs="Times New Roman"/>
                <w:szCs w:val="24"/>
              </w:rPr>
              <w:t>Malignant hyperthermia, history of unexplained jaundice or fever following previous exposure to halothane and children under 18 years undergoing dental procedures outside hospital</w:t>
            </w:r>
          </w:p>
        </w:tc>
      </w:tr>
      <w:tr w:rsidR="00265BA6" w:rsidRPr="00944B15" w14:paraId="53E3ACAE" w14:textId="77777777" w:rsidTr="002D6DD7">
        <w:tc>
          <w:tcPr>
            <w:tcW w:w="2610" w:type="dxa"/>
          </w:tcPr>
          <w:p w14:paraId="42B5CD14"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925" w:type="dxa"/>
          </w:tcPr>
          <w:p w14:paraId="53894332" w14:textId="77777777" w:rsidR="00265BA6" w:rsidRPr="00944B15" w:rsidRDefault="00265BA6" w:rsidP="002D6DD7">
            <w:pPr>
              <w:pStyle w:val="BodyText"/>
              <w:spacing w:line="360" w:lineRule="auto"/>
            </w:pPr>
            <w:r w:rsidRPr="00944B15">
              <w:t>Amitriptyline, chlorpromazine, diazepam, enalapril, adrenaline, fluphenazine, haloperidol, isoniazid, levodopa, suxamethonium, vancomycin, vecuronium, verapamil morphine</w:t>
            </w:r>
            <w:r>
              <w:t>.</w:t>
            </w:r>
          </w:p>
        </w:tc>
      </w:tr>
      <w:tr w:rsidR="00265BA6" w:rsidRPr="00944B15" w14:paraId="3DEDB856" w14:textId="77777777" w:rsidTr="002D6DD7">
        <w:tc>
          <w:tcPr>
            <w:tcW w:w="2610" w:type="dxa"/>
          </w:tcPr>
          <w:p w14:paraId="60646F0B" w14:textId="77777777" w:rsidR="00265BA6" w:rsidRPr="00944B15" w:rsidRDefault="00265BA6" w:rsidP="002D6DD7">
            <w:pPr>
              <w:jc w:val="both"/>
              <w:rPr>
                <w:rFonts w:cs="Times New Roman"/>
                <w:szCs w:val="24"/>
              </w:rPr>
            </w:pPr>
            <w:r w:rsidRPr="00944B15">
              <w:rPr>
                <w:rFonts w:cs="Times New Roman"/>
                <w:szCs w:val="24"/>
              </w:rPr>
              <w:t>Side effects</w:t>
            </w:r>
          </w:p>
        </w:tc>
        <w:tc>
          <w:tcPr>
            <w:tcW w:w="6925" w:type="dxa"/>
          </w:tcPr>
          <w:p w14:paraId="0804DF0D" w14:textId="77777777" w:rsidR="00265BA6" w:rsidRPr="00944B15" w:rsidRDefault="00265BA6" w:rsidP="002D6DD7">
            <w:pPr>
              <w:jc w:val="both"/>
              <w:rPr>
                <w:rFonts w:cs="Times New Roman"/>
                <w:szCs w:val="24"/>
              </w:rPr>
            </w:pPr>
            <w:r w:rsidRPr="00944B15">
              <w:rPr>
                <w:rFonts w:cs="Times New Roman"/>
                <w:szCs w:val="24"/>
              </w:rPr>
              <w:t>Hepatotoxicity, malignant hyperpyrexia, agitation, bradycardia, hypotension, cough, dizziness, headache, hyper salivation, respiratory depression</w:t>
            </w:r>
            <w:r>
              <w:rPr>
                <w:rFonts w:cs="Times New Roman"/>
                <w:szCs w:val="24"/>
              </w:rPr>
              <w:t xml:space="preserve">, </w:t>
            </w:r>
            <w:r w:rsidRPr="00944B15">
              <w:rPr>
                <w:rFonts w:cs="Times New Roman"/>
                <w:szCs w:val="24"/>
              </w:rPr>
              <w:t>post-operative nausea and vomiting.</w:t>
            </w:r>
          </w:p>
        </w:tc>
      </w:tr>
      <w:tr w:rsidR="00265BA6" w:rsidRPr="00944B15" w14:paraId="2B41AA8E" w14:textId="77777777" w:rsidTr="002D6DD7">
        <w:tc>
          <w:tcPr>
            <w:tcW w:w="2610" w:type="dxa"/>
          </w:tcPr>
          <w:p w14:paraId="63C58113"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925" w:type="dxa"/>
          </w:tcPr>
          <w:p w14:paraId="2AF59AD5" w14:textId="77777777" w:rsidR="00265BA6" w:rsidRPr="00944B15" w:rsidRDefault="00265BA6" w:rsidP="002D6DD7">
            <w:pPr>
              <w:jc w:val="both"/>
              <w:rPr>
                <w:rFonts w:cs="Times New Roman"/>
                <w:szCs w:val="24"/>
              </w:rPr>
            </w:pPr>
            <w:r w:rsidRPr="00944B15">
              <w:rPr>
                <w:rFonts w:cs="Times New Roman"/>
                <w:szCs w:val="24"/>
              </w:rPr>
              <w:t xml:space="preserve">Pregnancy, breast-feeding, renal </w:t>
            </w:r>
            <w:r>
              <w:rPr>
                <w:rFonts w:cs="Times New Roman"/>
                <w:szCs w:val="24"/>
              </w:rPr>
              <w:t>and</w:t>
            </w:r>
            <w:r w:rsidRPr="00944B15">
              <w:rPr>
                <w:rFonts w:cs="Times New Roman"/>
                <w:szCs w:val="24"/>
              </w:rPr>
              <w:t xml:space="preserve"> hepatic failure, hyperkalaemia, phaeochromocytoma, myasthenia gravis</w:t>
            </w:r>
            <w:r>
              <w:rPr>
                <w:rFonts w:cs="Times New Roman"/>
                <w:szCs w:val="24"/>
              </w:rPr>
              <w:t>,</w:t>
            </w:r>
            <w:r w:rsidRPr="00944B15">
              <w:rPr>
                <w:rFonts w:cs="Times New Roman"/>
                <w:szCs w:val="24"/>
              </w:rPr>
              <w:t xml:space="preserve"> porphyria.</w:t>
            </w:r>
          </w:p>
        </w:tc>
      </w:tr>
      <w:tr w:rsidR="00265BA6" w:rsidRPr="00944B15" w14:paraId="7B609D6C" w14:textId="77777777" w:rsidTr="002D6DD7">
        <w:tc>
          <w:tcPr>
            <w:tcW w:w="2610" w:type="dxa"/>
          </w:tcPr>
          <w:p w14:paraId="1138E6E0"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925" w:type="dxa"/>
          </w:tcPr>
          <w:p w14:paraId="4EFDD852" w14:textId="77777777" w:rsidR="00265BA6" w:rsidRPr="00944B15" w:rsidRDefault="00265BA6" w:rsidP="002D6DD7">
            <w:pPr>
              <w:jc w:val="both"/>
              <w:rPr>
                <w:rFonts w:cs="Times New Roman"/>
                <w:szCs w:val="24"/>
              </w:rPr>
            </w:pPr>
            <w:r w:rsidRPr="00944B15">
              <w:rPr>
                <w:rFonts w:cs="Times New Roman"/>
                <w:szCs w:val="24"/>
              </w:rPr>
              <w:t xml:space="preserve">Store </w:t>
            </w:r>
            <w:r>
              <w:rPr>
                <w:rFonts w:cs="Times New Roman"/>
                <w:szCs w:val="24"/>
              </w:rPr>
              <w:t>below 30</w:t>
            </w:r>
            <w:r w:rsidRPr="00944B15">
              <w:rPr>
                <w:rFonts w:cs="Times New Roman"/>
                <w:szCs w:val="24"/>
              </w:rPr>
              <w:t>⁰C</w:t>
            </w:r>
            <w:r>
              <w:rPr>
                <w:rFonts w:cs="Times New Roman"/>
                <w:szCs w:val="24"/>
              </w:rPr>
              <w:t>. Protect</w:t>
            </w:r>
            <w:r w:rsidRPr="00944B15">
              <w:rPr>
                <w:rFonts w:cs="Times New Roman"/>
                <w:szCs w:val="24"/>
              </w:rPr>
              <w:t xml:space="preserve"> from light. </w:t>
            </w:r>
          </w:p>
        </w:tc>
      </w:tr>
      <w:tr w:rsidR="00265BA6" w:rsidRPr="00944B15" w14:paraId="204D88D0" w14:textId="77777777" w:rsidTr="002D6DD7">
        <w:trPr>
          <w:trHeight w:val="323"/>
        </w:trPr>
        <w:tc>
          <w:tcPr>
            <w:tcW w:w="9535" w:type="dxa"/>
            <w:gridSpan w:val="2"/>
          </w:tcPr>
          <w:p w14:paraId="44843E0E" w14:textId="77777777" w:rsidR="00265BA6" w:rsidRPr="00B01BA8" w:rsidRDefault="00265BA6" w:rsidP="002D6DD7">
            <w:pPr>
              <w:rPr>
                <w:rFonts w:cs="Times New Roman"/>
                <w:b/>
                <w:bCs/>
                <w:szCs w:val="24"/>
              </w:rPr>
            </w:pPr>
            <w:r w:rsidRPr="00B01BA8">
              <w:rPr>
                <w:rFonts w:cs="Times New Roman"/>
                <w:b/>
                <w:bCs/>
                <w:szCs w:val="24"/>
              </w:rPr>
              <w:t>Isoflurane</w:t>
            </w:r>
          </w:p>
        </w:tc>
      </w:tr>
      <w:tr w:rsidR="00265BA6" w:rsidRPr="00944B15" w14:paraId="00B32B38" w14:textId="77777777" w:rsidTr="002D6DD7">
        <w:tc>
          <w:tcPr>
            <w:tcW w:w="2610" w:type="dxa"/>
          </w:tcPr>
          <w:p w14:paraId="5986525A"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925" w:type="dxa"/>
          </w:tcPr>
          <w:p w14:paraId="111228C8" w14:textId="77777777" w:rsidR="00265BA6" w:rsidRPr="00944B15" w:rsidRDefault="00265BA6" w:rsidP="002D6DD7">
            <w:pPr>
              <w:jc w:val="both"/>
              <w:rPr>
                <w:rFonts w:cs="Times New Roman"/>
                <w:szCs w:val="24"/>
              </w:rPr>
            </w:pPr>
            <w:r w:rsidRPr="00944B15">
              <w:rPr>
                <w:rFonts w:cs="Times New Roman"/>
                <w:szCs w:val="24"/>
              </w:rPr>
              <w:t xml:space="preserve">Inhalational </w:t>
            </w:r>
            <w:r>
              <w:rPr>
                <w:rFonts w:cs="Times New Roman"/>
                <w:szCs w:val="24"/>
              </w:rPr>
              <w:t>anaesthetic</w:t>
            </w:r>
          </w:p>
        </w:tc>
      </w:tr>
      <w:tr w:rsidR="00265BA6" w:rsidRPr="00944B15" w14:paraId="61F493AC" w14:textId="77777777" w:rsidTr="002D6DD7">
        <w:tc>
          <w:tcPr>
            <w:tcW w:w="2610" w:type="dxa"/>
          </w:tcPr>
          <w:p w14:paraId="748DBD69" w14:textId="77777777" w:rsidR="00265BA6" w:rsidRPr="00944B15" w:rsidRDefault="00265BA6" w:rsidP="002D6DD7">
            <w:pPr>
              <w:jc w:val="both"/>
              <w:rPr>
                <w:rFonts w:cs="Times New Roman"/>
                <w:szCs w:val="24"/>
              </w:rPr>
            </w:pPr>
            <w:r w:rsidRPr="00944B15">
              <w:rPr>
                <w:rFonts w:cs="Times New Roman"/>
                <w:szCs w:val="24"/>
              </w:rPr>
              <w:t>Dosage form</w:t>
            </w:r>
          </w:p>
        </w:tc>
        <w:tc>
          <w:tcPr>
            <w:tcW w:w="6925" w:type="dxa"/>
          </w:tcPr>
          <w:p w14:paraId="7CA85C94" w14:textId="77777777" w:rsidR="00265BA6" w:rsidRPr="00944B15" w:rsidRDefault="00265BA6" w:rsidP="002D6DD7">
            <w:pPr>
              <w:jc w:val="both"/>
              <w:rPr>
                <w:rFonts w:cs="Times New Roman"/>
                <w:szCs w:val="24"/>
              </w:rPr>
            </w:pPr>
            <w:r w:rsidRPr="00944B15">
              <w:rPr>
                <w:rFonts w:cs="Times New Roman"/>
                <w:szCs w:val="24"/>
              </w:rPr>
              <w:t>Inhalation: 100</w:t>
            </w:r>
            <w:r>
              <w:rPr>
                <w:rFonts w:cs="Times New Roman"/>
                <w:szCs w:val="24"/>
              </w:rPr>
              <w:t>ml</w:t>
            </w:r>
            <w:r w:rsidRPr="00944B15">
              <w:rPr>
                <w:rFonts w:cs="Times New Roman"/>
                <w:szCs w:val="24"/>
              </w:rPr>
              <w:t>, 250</w:t>
            </w:r>
            <w:r>
              <w:rPr>
                <w:rFonts w:cs="Times New Roman"/>
                <w:szCs w:val="24"/>
              </w:rPr>
              <w:t>ml</w:t>
            </w:r>
          </w:p>
        </w:tc>
      </w:tr>
      <w:tr w:rsidR="00265BA6" w:rsidRPr="00944B15" w14:paraId="38E21674" w14:textId="77777777" w:rsidTr="002D6DD7">
        <w:tc>
          <w:tcPr>
            <w:tcW w:w="2610" w:type="dxa"/>
          </w:tcPr>
          <w:p w14:paraId="7ED21BB3" w14:textId="77777777" w:rsidR="00265BA6" w:rsidRPr="00944B15" w:rsidRDefault="00265BA6" w:rsidP="002D6DD7">
            <w:pPr>
              <w:jc w:val="both"/>
              <w:rPr>
                <w:rFonts w:cs="Times New Roman"/>
                <w:szCs w:val="24"/>
              </w:rPr>
            </w:pPr>
            <w:r w:rsidRPr="00944B15">
              <w:rPr>
                <w:rFonts w:cs="Times New Roman"/>
                <w:szCs w:val="24"/>
              </w:rPr>
              <w:t>Indications</w:t>
            </w:r>
          </w:p>
        </w:tc>
        <w:tc>
          <w:tcPr>
            <w:tcW w:w="6925" w:type="dxa"/>
          </w:tcPr>
          <w:p w14:paraId="5D7DA9A5" w14:textId="77777777" w:rsidR="00265BA6" w:rsidRPr="00944B15" w:rsidRDefault="00265BA6" w:rsidP="002D6DD7">
            <w:pPr>
              <w:jc w:val="both"/>
              <w:rPr>
                <w:rFonts w:cs="Times New Roman"/>
                <w:szCs w:val="24"/>
              </w:rPr>
            </w:pPr>
            <w:r w:rsidRPr="00944B15">
              <w:rPr>
                <w:rFonts w:cs="Times New Roman"/>
                <w:szCs w:val="24"/>
              </w:rPr>
              <w:t xml:space="preserve">Induction and maintenance of </w:t>
            </w:r>
            <w:r>
              <w:rPr>
                <w:rFonts w:cs="Times New Roman"/>
                <w:szCs w:val="24"/>
              </w:rPr>
              <w:t>anesthesia</w:t>
            </w:r>
            <w:r w:rsidRPr="00944B15">
              <w:rPr>
                <w:rFonts w:cs="Times New Roman"/>
                <w:szCs w:val="24"/>
              </w:rPr>
              <w:t xml:space="preserve"> in major surgery often combined with nitrous oxide-oxygen mixtures or oxygen alone</w:t>
            </w:r>
          </w:p>
        </w:tc>
      </w:tr>
      <w:tr w:rsidR="00265BA6" w:rsidRPr="00944B15" w14:paraId="48848B1A" w14:textId="77777777" w:rsidTr="002D6DD7">
        <w:tc>
          <w:tcPr>
            <w:tcW w:w="2610" w:type="dxa"/>
          </w:tcPr>
          <w:p w14:paraId="54842F1D"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925" w:type="dxa"/>
          </w:tcPr>
          <w:p w14:paraId="6E10569B" w14:textId="77777777" w:rsidR="00734FA4" w:rsidRPr="00944B15" w:rsidRDefault="00265BA6" w:rsidP="002D6DD7">
            <w:pPr>
              <w:jc w:val="both"/>
              <w:rPr>
                <w:rFonts w:cs="Times New Roman"/>
                <w:szCs w:val="24"/>
              </w:rPr>
            </w:pPr>
            <w:r w:rsidRPr="00944B15">
              <w:rPr>
                <w:rFonts w:cs="Times New Roman"/>
                <w:b/>
                <w:szCs w:val="24"/>
              </w:rPr>
              <w:t>Adult</w:t>
            </w:r>
            <w:r w:rsidR="00734FA4">
              <w:rPr>
                <w:rFonts w:cs="Times New Roman"/>
                <w:b/>
                <w:szCs w:val="24"/>
              </w:rPr>
              <w:t xml:space="preserve">, </w:t>
            </w:r>
            <w:r w:rsidR="00734FA4" w:rsidRPr="00734FA4">
              <w:rPr>
                <w:rFonts w:cs="Times New Roman"/>
                <w:szCs w:val="24"/>
              </w:rPr>
              <w:t>i</w:t>
            </w:r>
            <w:r w:rsidRPr="00944B15">
              <w:rPr>
                <w:rFonts w:cs="Times New Roman"/>
                <w:szCs w:val="24"/>
              </w:rPr>
              <w:t>nhalational</w:t>
            </w:r>
            <w:r w:rsidR="00734FA4">
              <w:rPr>
                <w:rFonts w:cs="Times New Roman"/>
                <w:szCs w:val="24"/>
              </w:rPr>
              <w:t>:</w:t>
            </w:r>
          </w:p>
          <w:p w14:paraId="03D767CE" w14:textId="77777777" w:rsidR="00265BA6" w:rsidRPr="00944B15" w:rsidRDefault="00265BA6" w:rsidP="002D6DD7">
            <w:pPr>
              <w:jc w:val="both"/>
              <w:rPr>
                <w:rFonts w:cs="Times New Roman"/>
                <w:szCs w:val="24"/>
              </w:rPr>
            </w:pPr>
            <w:r w:rsidRPr="00944B15">
              <w:rPr>
                <w:rFonts w:cs="Times New Roman"/>
                <w:b/>
                <w:szCs w:val="24"/>
              </w:rPr>
              <w:t xml:space="preserve">Induction (in oxygen or nitrous oxide-oxygen): </w:t>
            </w:r>
            <w:r w:rsidRPr="00944B15">
              <w:rPr>
                <w:rFonts w:cs="Times New Roman"/>
                <w:szCs w:val="24"/>
              </w:rPr>
              <w:t xml:space="preserve">Initially 0.5 %, increased to 3 %, </w:t>
            </w:r>
            <w:r>
              <w:rPr>
                <w:rFonts w:cs="Times New Roman"/>
                <w:szCs w:val="24"/>
              </w:rPr>
              <w:t xml:space="preserve">in 7-10min </w:t>
            </w:r>
            <w:r w:rsidRPr="00944B15">
              <w:rPr>
                <w:rFonts w:cs="Times New Roman"/>
                <w:szCs w:val="24"/>
              </w:rPr>
              <w:t xml:space="preserve">adjusted according to response, </w:t>
            </w:r>
            <w:r w:rsidRPr="00944B15">
              <w:rPr>
                <w:rFonts w:cs="Times New Roman"/>
                <w:szCs w:val="24"/>
              </w:rPr>
              <w:lastRenderedPageBreak/>
              <w:t>administered using specifically calibrated vaporiser.</w:t>
            </w:r>
          </w:p>
          <w:p w14:paraId="79B60819" w14:textId="77777777" w:rsidR="00265BA6" w:rsidRPr="00734FA4" w:rsidRDefault="00265BA6" w:rsidP="002D6DD7">
            <w:pPr>
              <w:jc w:val="both"/>
              <w:rPr>
                <w:rFonts w:cs="Times New Roman"/>
                <w:b/>
                <w:szCs w:val="24"/>
              </w:rPr>
            </w:pPr>
            <w:r w:rsidRPr="00944B15">
              <w:rPr>
                <w:rFonts w:cs="Times New Roman"/>
                <w:b/>
                <w:szCs w:val="24"/>
              </w:rPr>
              <w:t xml:space="preserve">Maintenance of </w:t>
            </w:r>
            <w:r>
              <w:rPr>
                <w:rFonts w:cs="Times New Roman"/>
                <w:b/>
                <w:szCs w:val="24"/>
              </w:rPr>
              <w:t>anesthesia</w:t>
            </w:r>
            <w:r w:rsidRPr="00944B15">
              <w:rPr>
                <w:rFonts w:cs="Times New Roman"/>
                <w:b/>
                <w:szCs w:val="24"/>
              </w:rPr>
              <w:t xml:space="preserve"> (in nitrous oxide–oxygen)</w:t>
            </w:r>
            <w:r w:rsidR="00734FA4">
              <w:rPr>
                <w:rFonts w:cs="Times New Roman"/>
                <w:b/>
                <w:szCs w:val="24"/>
              </w:rPr>
              <w:t xml:space="preserve">: </w:t>
            </w:r>
            <w:r w:rsidRPr="00944B15">
              <w:rPr>
                <w:rFonts w:cs="Times New Roman"/>
                <w:szCs w:val="24"/>
              </w:rPr>
              <w:t>1–2.5 %, to be administered using specifically calibrated vaporiser; an additional 0.5–1% may be required when given with oxygen alone.</w:t>
            </w:r>
          </w:p>
          <w:p w14:paraId="5761A51C" w14:textId="77777777" w:rsidR="00265BA6" w:rsidRPr="00734FA4" w:rsidRDefault="00265BA6" w:rsidP="002D6DD7">
            <w:pPr>
              <w:jc w:val="both"/>
              <w:rPr>
                <w:rFonts w:cs="Times New Roman"/>
                <w:b/>
                <w:szCs w:val="24"/>
              </w:rPr>
            </w:pPr>
            <w:r w:rsidRPr="00944B15">
              <w:rPr>
                <w:rFonts w:cs="Times New Roman"/>
                <w:b/>
                <w:szCs w:val="24"/>
              </w:rPr>
              <w:t xml:space="preserve">Maintenance of </w:t>
            </w:r>
            <w:r>
              <w:rPr>
                <w:rFonts w:cs="Times New Roman"/>
                <w:b/>
                <w:szCs w:val="24"/>
              </w:rPr>
              <w:t>anesthesia</w:t>
            </w:r>
            <w:r w:rsidRPr="00944B15">
              <w:rPr>
                <w:rFonts w:cs="Times New Roman"/>
                <w:b/>
                <w:szCs w:val="24"/>
              </w:rPr>
              <w:t xml:space="preserve"> in caesarean section (in nitrous oxide–oxygen)</w:t>
            </w:r>
            <w:r w:rsidR="00734FA4">
              <w:rPr>
                <w:rFonts w:cs="Times New Roman"/>
                <w:b/>
                <w:szCs w:val="24"/>
              </w:rPr>
              <w:t xml:space="preserve">: </w:t>
            </w:r>
            <w:r w:rsidRPr="00944B15">
              <w:rPr>
                <w:rFonts w:cs="Times New Roman"/>
                <w:szCs w:val="24"/>
              </w:rPr>
              <w:t>0.5–0.75 %, to be administered using specifically calibrated vaporiser.</w:t>
            </w:r>
          </w:p>
          <w:p w14:paraId="58081117" w14:textId="77777777" w:rsidR="00265BA6" w:rsidRPr="00944B15" w:rsidRDefault="00265BA6" w:rsidP="002D6DD7">
            <w:pPr>
              <w:jc w:val="both"/>
              <w:rPr>
                <w:rFonts w:cs="Times New Roman"/>
                <w:szCs w:val="24"/>
              </w:rPr>
            </w:pPr>
            <w:r w:rsidRPr="00944B15">
              <w:rPr>
                <w:rFonts w:cs="Times New Roman"/>
                <w:b/>
                <w:szCs w:val="24"/>
              </w:rPr>
              <w:t>Neonate and child:</w:t>
            </w:r>
            <w:r w:rsidRPr="00944B15">
              <w:rPr>
                <w:rFonts w:cs="Times New Roman"/>
                <w:szCs w:val="24"/>
              </w:rPr>
              <w:t xml:space="preserve"> 1– 2.5%, to be administered using specifically calibrated vaporizer; an additional 0.5–1% may be required when given with oxygen alone or oxygen –air mixture.</w:t>
            </w:r>
          </w:p>
        </w:tc>
      </w:tr>
      <w:tr w:rsidR="00265BA6" w:rsidRPr="00944B15" w14:paraId="0FE78A0B" w14:textId="77777777" w:rsidTr="002D6DD7">
        <w:tc>
          <w:tcPr>
            <w:tcW w:w="2610" w:type="dxa"/>
          </w:tcPr>
          <w:p w14:paraId="1FD945EE"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925" w:type="dxa"/>
          </w:tcPr>
          <w:p w14:paraId="6D5C7AFF" w14:textId="77777777" w:rsidR="00265BA6" w:rsidRPr="00944B15" w:rsidRDefault="00265BA6" w:rsidP="002D6DD7">
            <w:pPr>
              <w:jc w:val="both"/>
              <w:rPr>
                <w:rFonts w:cs="Times New Roman"/>
                <w:szCs w:val="24"/>
              </w:rPr>
            </w:pPr>
            <w:r>
              <w:rPr>
                <w:rFonts w:cs="Times New Roman"/>
                <w:szCs w:val="24"/>
              </w:rPr>
              <w:t>Hyper</w:t>
            </w:r>
            <w:r w:rsidRPr="00944B15">
              <w:rPr>
                <w:rFonts w:cs="Times New Roman"/>
                <w:szCs w:val="24"/>
              </w:rPr>
              <w:t xml:space="preserve">sensitivity to </w:t>
            </w:r>
            <w:r>
              <w:rPr>
                <w:rFonts w:cs="Times New Roman"/>
                <w:szCs w:val="24"/>
              </w:rPr>
              <w:t>the drug</w:t>
            </w:r>
            <w:r w:rsidRPr="00944B15">
              <w:rPr>
                <w:rFonts w:cs="Times New Roman"/>
                <w:szCs w:val="24"/>
              </w:rPr>
              <w:t xml:space="preserve"> or to other halogenated anaesthetics</w:t>
            </w:r>
            <w:r>
              <w:rPr>
                <w:rFonts w:cs="Times New Roman"/>
                <w:szCs w:val="24"/>
              </w:rPr>
              <w:t>, h</w:t>
            </w:r>
            <w:r w:rsidRPr="00944B15">
              <w:rPr>
                <w:rFonts w:cs="Times New Roman"/>
                <w:szCs w:val="24"/>
              </w:rPr>
              <w:t>istory of malignant hyperthermia</w:t>
            </w:r>
            <w:r w:rsidR="00931813">
              <w:rPr>
                <w:rFonts w:cs="Times New Roman"/>
                <w:szCs w:val="24"/>
              </w:rPr>
              <w:t>.</w:t>
            </w:r>
          </w:p>
        </w:tc>
      </w:tr>
      <w:tr w:rsidR="00265BA6" w:rsidRPr="00944B15" w14:paraId="08DB4CF0" w14:textId="77777777" w:rsidTr="002D6DD7">
        <w:tc>
          <w:tcPr>
            <w:tcW w:w="2610" w:type="dxa"/>
          </w:tcPr>
          <w:p w14:paraId="40A76FC9"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925" w:type="dxa"/>
          </w:tcPr>
          <w:p w14:paraId="727836CD" w14:textId="77777777" w:rsidR="00265BA6" w:rsidRPr="00944B15" w:rsidRDefault="00265BA6" w:rsidP="002D6DD7">
            <w:pPr>
              <w:jc w:val="both"/>
              <w:rPr>
                <w:rFonts w:cs="Times New Roman"/>
                <w:szCs w:val="24"/>
              </w:rPr>
            </w:pPr>
            <w:r w:rsidRPr="00944B15">
              <w:rPr>
                <w:rFonts w:cs="Times New Roman"/>
                <w:szCs w:val="24"/>
              </w:rPr>
              <w:t>Benzodiazepine, sympathomimetic agents, dihydropyridine</w:t>
            </w:r>
            <w:r>
              <w:rPr>
                <w:rFonts w:cs="Times New Roman"/>
                <w:szCs w:val="24"/>
              </w:rPr>
              <w:t>s</w:t>
            </w:r>
            <w:r w:rsidRPr="00944B15">
              <w:rPr>
                <w:rFonts w:cs="Times New Roman"/>
                <w:szCs w:val="24"/>
              </w:rPr>
              <w:t>, beta-blockers, isoniazid, succinylcholine, muscle relaxants, nitrous oxide</w:t>
            </w:r>
            <w:r>
              <w:rPr>
                <w:rFonts w:cs="Times New Roman"/>
                <w:szCs w:val="24"/>
              </w:rPr>
              <w:t>, monoamine oxidase</w:t>
            </w:r>
            <w:r w:rsidRPr="00944B15">
              <w:rPr>
                <w:rFonts w:cs="Times New Roman"/>
                <w:szCs w:val="24"/>
              </w:rPr>
              <w:t xml:space="preserve"> inhibitors</w:t>
            </w:r>
            <w:r>
              <w:rPr>
                <w:rFonts w:cs="Times New Roman"/>
                <w:szCs w:val="24"/>
              </w:rPr>
              <w:t xml:space="preserve"> (MAOIs)</w:t>
            </w:r>
            <w:r w:rsidRPr="00944B15">
              <w:rPr>
                <w:rFonts w:cs="Times New Roman"/>
                <w:szCs w:val="24"/>
              </w:rPr>
              <w:t>.</w:t>
            </w:r>
          </w:p>
        </w:tc>
      </w:tr>
      <w:tr w:rsidR="00265BA6" w:rsidRPr="00944B15" w14:paraId="2C49C483" w14:textId="77777777" w:rsidTr="002D6DD7">
        <w:tc>
          <w:tcPr>
            <w:tcW w:w="2610" w:type="dxa"/>
          </w:tcPr>
          <w:p w14:paraId="60234D68" w14:textId="77777777" w:rsidR="00265BA6" w:rsidRPr="00944B15" w:rsidRDefault="00265BA6" w:rsidP="002D6DD7">
            <w:pPr>
              <w:jc w:val="both"/>
              <w:rPr>
                <w:rFonts w:cs="Times New Roman"/>
                <w:szCs w:val="24"/>
              </w:rPr>
            </w:pPr>
            <w:r w:rsidRPr="00944B15">
              <w:rPr>
                <w:rFonts w:cs="Times New Roman"/>
                <w:szCs w:val="24"/>
              </w:rPr>
              <w:t>Side effects</w:t>
            </w:r>
          </w:p>
        </w:tc>
        <w:tc>
          <w:tcPr>
            <w:tcW w:w="6925" w:type="dxa"/>
          </w:tcPr>
          <w:p w14:paraId="455D6DCA" w14:textId="77777777" w:rsidR="00265BA6" w:rsidRPr="00944B15" w:rsidRDefault="00265BA6" w:rsidP="002D6DD7">
            <w:pPr>
              <w:pStyle w:val="BodyText"/>
              <w:spacing w:line="360" w:lineRule="auto"/>
              <w:rPr>
                <w:rFonts w:eastAsiaTheme="minorHAnsi"/>
              </w:rPr>
            </w:pPr>
            <w:r w:rsidRPr="00944B15">
              <w:rPr>
                <w:rFonts w:eastAsiaTheme="minorHAnsi"/>
              </w:rPr>
              <w:t>Hypotension, arrhythmias, cardiac arrest, bradycardia and tachycardia, QT prolongation, respiratory depression, cough related to induction, malignant hyperthermia, elevated serum creatine kinase, cognitive impairment, delirium, dyspnea, anaphylactic reactions</w:t>
            </w:r>
            <w:r>
              <w:rPr>
                <w:rFonts w:eastAsiaTheme="minorHAnsi"/>
              </w:rPr>
              <w:t>,</w:t>
            </w:r>
            <w:r w:rsidRPr="00944B15">
              <w:rPr>
                <w:rFonts w:eastAsiaTheme="minorHAnsi"/>
              </w:rPr>
              <w:t xml:space="preserve"> hyperkaliemia.</w:t>
            </w:r>
          </w:p>
        </w:tc>
      </w:tr>
      <w:tr w:rsidR="00265BA6" w:rsidRPr="00944B15" w14:paraId="6B68BDF7" w14:textId="77777777" w:rsidTr="002D6DD7">
        <w:trPr>
          <w:trHeight w:val="593"/>
        </w:trPr>
        <w:tc>
          <w:tcPr>
            <w:tcW w:w="2610" w:type="dxa"/>
          </w:tcPr>
          <w:p w14:paraId="25049F2C"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925" w:type="dxa"/>
          </w:tcPr>
          <w:p w14:paraId="3D5B1CB2" w14:textId="77777777" w:rsidR="00265BA6" w:rsidRPr="00944B15" w:rsidRDefault="00265BA6" w:rsidP="002D6DD7">
            <w:pPr>
              <w:jc w:val="both"/>
              <w:rPr>
                <w:rFonts w:cs="Times New Roman"/>
                <w:szCs w:val="24"/>
              </w:rPr>
            </w:pPr>
            <w:r w:rsidRPr="00944B15">
              <w:rPr>
                <w:rFonts w:cs="Times New Roman"/>
                <w:szCs w:val="24"/>
              </w:rPr>
              <w:t>Children under 2 years, pregnancy, perioperative hyperkalaemia, coronary heart disease</w:t>
            </w:r>
            <w:r>
              <w:rPr>
                <w:rFonts w:cs="Times New Roman"/>
                <w:szCs w:val="24"/>
              </w:rPr>
              <w:t>,</w:t>
            </w:r>
            <w:r w:rsidRPr="00944B15">
              <w:rPr>
                <w:rFonts w:cs="Times New Roman"/>
                <w:szCs w:val="24"/>
              </w:rPr>
              <w:t xml:space="preserve"> hepatitis.</w:t>
            </w:r>
          </w:p>
        </w:tc>
      </w:tr>
      <w:tr w:rsidR="00265BA6" w:rsidRPr="00944B15" w14:paraId="5F9F4F03" w14:textId="77777777" w:rsidTr="002D6DD7">
        <w:tc>
          <w:tcPr>
            <w:tcW w:w="2610" w:type="dxa"/>
          </w:tcPr>
          <w:p w14:paraId="2C4C9CC0"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925" w:type="dxa"/>
          </w:tcPr>
          <w:p w14:paraId="12263A82" w14:textId="77777777" w:rsidR="00265BA6" w:rsidRPr="00944B15" w:rsidRDefault="00265BA6" w:rsidP="002D6DD7">
            <w:pPr>
              <w:jc w:val="both"/>
              <w:rPr>
                <w:rFonts w:cs="Times New Roman"/>
                <w:szCs w:val="24"/>
              </w:rPr>
            </w:pPr>
            <w:r>
              <w:rPr>
                <w:rFonts w:cs="Times New Roman"/>
                <w:szCs w:val="24"/>
              </w:rPr>
              <w:t>Store below</w:t>
            </w:r>
            <w:r w:rsidRPr="00944B15">
              <w:rPr>
                <w:rFonts w:cs="Times New Roman"/>
                <w:szCs w:val="24"/>
              </w:rPr>
              <w:t xml:space="preserve"> 30°C.</w:t>
            </w:r>
          </w:p>
        </w:tc>
      </w:tr>
    </w:tbl>
    <w:tbl>
      <w:tblPr>
        <w:tblStyle w:val="TableGrid1"/>
        <w:tblW w:w="0" w:type="auto"/>
        <w:tblInd w:w="-185" w:type="dxa"/>
        <w:tblLayout w:type="fixed"/>
        <w:tblLook w:val="04A0" w:firstRow="1" w:lastRow="0" w:firstColumn="1" w:lastColumn="0" w:noHBand="0" w:noVBand="1"/>
      </w:tblPr>
      <w:tblGrid>
        <w:gridCol w:w="2610"/>
        <w:gridCol w:w="6925"/>
      </w:tblGrid>
      <w:tr w:rsidR="00265BA6" w:rsidRPr="00944B15" w14:paraId="0D783F52" w14:textId="77777777" w:rsidTr="002D6DD7">
        <w:tc>
          <w:tcPr>
            <w:tcW w:w="9535" w:type="dxa"/>
            <w:gridSpan w:val="2"/>
          </w:tcPr>
          <w:p w14:paraId="7DA7125C" w14:textId="77777777" w:rsidR="00265BA6" w:rsidRPr="00944B15" w:rsidRDefault="00265BA6" w:rsidP="002D6DD7">
            <w:pPr>
              <w:jc w:val="both"/>
              <w:rPr>
                <w:rFonts w:cs="Times New Roman"/>
                <w:b/>
                <w:szCs w:val="24"/>
              </w:rPr>
            </w:pPr>
            <w:r w:rsidRPr="00944B15">
              <w:rPr>
                <w:rFonts w:cs="Times New Roman"/>
                <w:b/>
                <w:szCs w:val="24"/>
              </w:rPr>
              <w:t>Nitrous oxide</w:t>
            </w:r>
          </w:p>
        </w:tc>
      </w:tr>
      <w:tr w:rsidR="00265BA6" w:rsidRPr="00944B15" w14:paraId="09F2F6C7" w14:textId="77777777" w:rsidTr="002D6DD7">
        <w:tc>
          <w:tcPr>
            <w:tcW w:w="2610" w:type="dxa"/>
          </w:tcPr>
          <w:p w14:paraId="5921F5D8"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925" w:type="dxa"/>
          </w:tcPr>
          <w:p w14:paraId="06E13D22" w14:textId="77777777" w:rsidR="00265BA6" w:rsidRPr="00944B15" w:rsidRDefault="00265BA6" w:rsidP="002D6DD7">
            <w:pPr>
              <w:jc w:val="both"/>
              <w:rPr>
                <w:rFonts w:cs="Times New Roman"/>
                <w:szCs w:val="24"/>
              </w:rPr>
            </w:pPr>
            <w:r>
              <w:rPr>
                <w:rFonts w:cs="Times New Roman"/>
                <w:szCs w:val="24"/>
              </w:rPr>
              <w:t>Inhalational anaesthetic</w:t>
            </w:r>
          </w:p>
        </w:tc>
      </w:tr>
      <w:tr w:rsidR="00265BA6" w:rsidRPr="00944B15" w14:paraId="67ADC903" w14:textId="77777777" w:rsidTr="002D6DD7">
        <w:tc>
          <w:tcPr>
            <w:tcW w:w="2610" w:type="dxa"/>
          </w:tcPr>
          <w:p w14:paraId="48F1F753" w14:textId="77777777" w:rsidR="00265BA6" w:rsidRPr="00944B15" w:rsidRDefault="00265BA6" w:rsidP="002D6DD7">
            <w:pPr>
              <w:jc w:val="both"/>
              <w:rPr>
                <w:rFonts w:cs="Times New Roman"/>
                <w:szCs w:val="24"/>
              </w:rPr>
            </w:pPr>
            <w:r w:rsidRPr="00944B15">
              <w:rPr>
                <w:rFonts w:cs="Times New Roman"/>
                <w:szCs w:val="24"/>
              </w:rPr>
              <w:t>Dosage form</w:t>
            </w:r>
          </w:p>
        </w:tc>
        <w:tc>
          <w:tcPr>
            <w:tcW w:w="6925" w:type="dxa"/>
          </w:tcPr>
          <w:p w14:paraId="05AA0C7D" w14:textId="77777777" w:rsidR="00265BA6" w:rsidRPr="00944B15" w:rsidRDefault="00265BA6" w:rsidP="002D6DD7">
            <w:pPr>
              <w:jc w:val="both"/>
              <w:rPr>
                <w:rFonts w:cs="Times New Roman"/>
                <w:szCs w:val="24"/>
              </w:rPr>
            </w:pPr>
            <w:r>
              <w:rPr>
                <w:rFonts w:cs="Times New Roman"/>
                <w:szCs w:val="24"/>
              </w:rPr>
              <w:t>Medicinal gas:</w:t>
            </w:r>
            <w:r w:rsidRPr="00944B15">
              <w:rPr>
                <w:rFonts w:cs="Times New Roman"/>
                <w:szCs w:val="24"/>
              </w:rPr>
              <w:t xml:space="preserve"> 100% v/v</w:t>
            </w:r>
          </w:p>
        </w:tc>
      </w:tr>
      <w:tr w:rsidR="00265BA6" w:rsidRPr="00944B15" w14:paraId="2DB8B4F7" w14:textId="77777777" w:rsidTr="002D6DD7">
        <w:tc>
          <w:tcPr>
            <w:tcW w:w="2610" w:type="dxa"/>
          </w:tcPr>
          <w:p w14:paraId="11055B5F" w14:textId="77777777" w:rsidR="00265BA6" w:rsidRPr="00944B15" w:rsidRDefault="00265BA6" w:rsidP="002D6DD7">
            <w:pPr>
              <w:jc w:val="both"/>
              <w:rPr>
                <w:rFonts w:cs="Times New Roman"/>
                <w:szCs w:val="24"/>
              </w:rPr>
            </w:pPr>
            <w:r w:rsidRPr="00944B15">
              <w:rPr>
                <w:rFonts w:cs="Times New Roman"/>
                <w:szCs w:val="24"/>
              </w:rPr>
              <w:t>Indications</w:t>
            </w:r>
          </w:p>
        </w:tc>
        <w:tc>
          <w:tcPr>
            <w:tcW w:w="6925" w:type="dxa"/>
          </w:tcPr>
          <w:p w14:paraId="158F18D7" w14:textId="77777777" w:rsidR="00265BA6" w:rsidRPr="00944B15" w:rsidRDefault="00265BA6" w:rsidP="002D6DD7">
            <w:pPr>
              <w:jc w:val="both"/>
              <w:rPr>
                <w:rFonts w:cs="Times New Roman"/>
                <w:szCs w:val="24"/>
              </w:rPr>
            </w:pPr>
            <w:r w:rsidRPr="00944B15">
              <w:rPr>
                <w:rFonts w:cs="Times New Roman"/>
                <w:szCs w:val="24"/>
              </w:rPr>
              <w:t xml:space="preserve">Maintenance of </w:t>
            </w:r>
            <w:r>
              <w:rPr>
                <w:rFonts w:cs="Times New Roman"/>
                <w:szCs w:val="24"/>
              </w:rPr>
              <w:t>anesthesia</w:t>
            </w:r>
            <w:r w:rsidRPr="00944B15">
              <w:rPr>
                <w:rFonts w:cs="Times New Roman"/>
                <w:szCs w:val="24"/>
              </w:rPr>
              <w:t xml:space="preserve"> in conjunction with other anaesthetic agents and as analgesic </w:t>
            </w:r>
            <w:r w:rsidR="00734FA4">
              <w:rPr>
                <w:rFonts w:cs="Times New Roman"/>
                <w:szCs w:val="24"/>
              </w:rPr>
              <w:t>.</w:t>
            </w:r>
          </w:p>
        </w:tc>
      </w:tr>
      <w:tr w:rsidR="00265BA6" w:rsidRPr="00944B15" w14:paraId="6A5F743D" w14:textId="77777777" w:rsidTr="002D6DD7">
        <w:tc>
          <w:tcPr>
            <w:tcW w:w="2610" w:type="dxa"/>
          </w:tcPr>
          <w:p w14:paraId="22033ECD"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925" w:type="dxa"/>
          </w:tcPr>
          <w:p w14:paraId="718CF47E" w14:textId="77777777" w:rsidR="00265BA6" w:rsidRPr="00944B15" w:rsidRDefault="00265BA6" w:rsidP="002D6DD7">
            <w:pPr>
              <w:pStyle w:val="BodyText"/>
              <w:spacing w:line="360" w:lineRule="auto"/>
              <w:ind w:right="290"/>
              <w:rPr>
                <w:b/>
              </w:rPr>
            </w:pPr>
            <w:r w:rsidRPr="00944B15">
              <w:rPr>
                <w:b/>
              </w:rPr>
              <w:t>Maintenance of anesthesia in conjunction with other anesthetic agents</w:t>
            </w:r>
            <w:r w:rsidR="00734FA4">
              <w:rPr>
                <w:b/>
              </w:rPr>
              <w:t>:</w:t>
            </w:r>
          </w:p>
          <w:p w14:paraId="478C848D" w14:textId="77777777" w:rsidR="00265BA6" w:rsidRPr="00944B15" w:rsidRDefault="00734FA4" w:rsidP="002D6DD7">
            <w:pPr>
              <w:pStyle w:val="BodyText"/>
              <w:spacing w:line="360" w:lineRule="auto"/>
              <w:ind w:right="290"/>
            </w:pPr>
            <w:r w:rsidRPr="00944B15">
              <w:rPr>
                <w:b/>
              </w:rPr>
              <w:lastRenderedPageBreak/>
              <w:t>Adult</w:t>
            </w:r>
            <w:r>
              <w:rPr>
                <w:b/>
              </w:rPr>
              <w:t xml:space="preserve">, </w:t>
            </w:r>
            <w:r>
              <w:t>i</w:t>
            </w:r>
            <w:r w:rsidRPr="00944B15">
              <w:t>nhalation</w:t>
            </w:r>
            <w:r>
              <w:t xml:space="preserve">al: </w:t>
            </w:r>
            <w:r w:rsidR="00265BA6" w:rsidRPr="00944B15">
              <w:t>50–66 %, to be administered using suitable anesthetic apparatus in oxygen</w:t>
            </w:r>
            <w:r>
              <w:t>.</w:t>
            </w:r>
          </w:p>
          <w:p w14:paraId="74C5FBF2" w14:textId="77777777" w:rsidR="00265BA6" w:rsidRPr="00944B15" w:rsidRDefault="00265BA6" w:rsidP="00734FA4">
            <w:pPr>
              <w:pStyle w:val="BodyText"/>
              <w:spacing w:line="360" w:lineRule="auto"/>
              <w:ind w:right="290"/>
            </w:pPr>
            <w:r w:rsidRPr="00944B15">
              <w:rPr>
                <w:b/>
              </w:rPr>
              <w:t>Analgesia</w:t>
            </w:r>
            <w:r w:rsidR="00734FA4">
              <w:rPr>
                <w:b/>
              </w:rPr>
              <w:t xml:space="preserve">: </w:t>
            </w:r>
            <w:r w:rsidRPr="00944B15">
              <w:t>Up to 50 %, to be administered using suitable anesthetic apparatus in oxygen, adjusted according to the patient’s needs</w:t>
            </w:r>
            <w:r w:rsidR="00734FA4">
              <w:t>.</w:t>
            </w:r>
          </w:p>
        </w:tc>
      </w:tr>
      <w:tr w:rsidR="00265BA6" w:rsidRPr="00944B15" w14:paraId="53B97228" w14:textId="77777777" w:rsidTr="002D6DD7">
        <w:tc>
          <w:tcPr>
            <w:tcW w:w="2610" w:type="dxa"/>
          </w:tcPr>
          <w:p w14:paraId="6AFB35C7"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925" w:type="dxa"/>
          </w:tcPr>
          <w:p w14:paraId="424B0988" w14:textId="77777777" w:rsidR="00265BA6" w:rsidRPr="00944B15" w:rsidRDefault="00265BA6" w:rsidP="002D6DD7">
            <w:pPr>
              <w:jc w:val="both"/>
              <w:rPr>
                <w:rFonts w:cs="Times New Roman"/>
                <w:szCs w:val="24"/>
              </w:rPr>
            </w:pPr>
            <w:r>
              <w:rPr>
                <w:rFonts w:cs="Times New Roman"/>
                <w:szCs w:val="24"/>
              </w:rPr>
              <w:t>S</w:t>
            </w:r>
            <w:r w:rsidRPr="00944B15">
              <w:rPr>
                <w:rFonts w:cs="Times New Roman"/>
                <w:szCs w:val="24"/>
              </w:rPr>
              <w:t>ignificant respiratory depression</w:t>
            </w:r>
            <w:r>
              <w:rPr>
                <w:rFonts w:cs="Times New Roman"/>
                <w:szCs w:val="24"/>
              </w:rPr>
              <w:t xml:space="preserve">, </w:t>
            </w:r>
            <w:r w:rsidRPr="00944B15">
              <w:rPr>
                <w:rFonts w:cs="Times New Roman"/>
                <w:szCs w:val="24"/>
              </w:rPr>
              <w:t>in patients who had eye surgery that uses ocular gases.</w:t>
            </w:r>
          </w:p>
        </w:tc>
      </w:tr>
      <w:tr w:rsidR="00265BA6" w:rsidRPr="00944B15" w14:paraId="20E00EB6" w14:textId="77777777" w:rsidTr="002D6DD7">
        <w:tc>
          <w:tcPr>
            <w:tcW w:w="2610" w:type="dxa"/>
          </w:tcPr>
          <w:p w14:paraId="0C5D5AE0"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925" w:type="dxa"/>
          </w:tcPr>
          <w:p w14:paraId="7473FDE4" w14:textId="77777777" w:rsidR="00265BA6" w:rsidRPr="00944B15" w:rsidRDefault="00265BA6" w:rsidP="002D6DD7">
            <w:pPr>
              <w:jc w:val="both"/>
              <w:rPr>
                <w:rFonts w:eastAsia="Times New Roman" w:cs="Times New Roman"/>
                <w:szCs w:val="24"/>
              </w:rPr>
            </w:pPr>
            <w:r w:rsidRPr="00944B15">
              <w:rPr>
                <w:rFonts w:eastAsia="Times New Roman" w:cs="Times New Roman"/>
                <w:szCs w:val="24"/>
              </w:rPr>
              <w:t>Methotrexate, local anaesthetics</w:t>
            </w:r>
            <w:r>
              <w:rPr>
                <w:rFonts w:eastAsia="Times New Roman" w:cs="Times New Roman"/>
                <w:szCs w:val="24"/>
              </w:rPr>
              <w:t xml:space="preserve">, </w:t>
            </w:r>
            <w:r w:rsidRPr="00944B15">
              <w:rPr>
                <w:rFonts w:eastAsia="Times New Roman" w:cs="Times New Roman"/>
                <w:szCs w:val="24"/>
              </w:rPr>
              <w:t>MAO inhibitors.</w:t>
            </w:r>
          </w:p>
        </w:tc>
      </w:tr>
      <w:tr w:rsidR="00265BA6" w:rsidRPr="00944B15" w14:paraId="02A1A15D" w14:textId="77777777" w:rsidTr="002D6DD7">
        <w:tc>
          <w:tcPr>
            <w:tcW w:w="2610" w:type="dxa"/>
          </w:tcPr>
          <w:p w14:paraId="4EA131C2" w14:textId="77777777" w:rsidR="00265BA6" w:rsidRPr="00944B15" w:rsidRDefault="00265BA6" w:rsidP="002D6DD7">
            <w:pPr>
              <w:jc w:val="both"/>
              <w:rPr>
                <w:rFonts w:cs="Times New Roman"/>
                <w:szCs w:val="24"/>
              </w:rPr>
            </w:pPr>
            <w:r w:rsidRPr="00944B15">
              <w:rPr>
                <w:rFonts w:cs="Times New Roman"/>
                <w:szCs w:val="24"/>
              </w:rPr>
              <w:t>Side effects</w:t>
            </w:r>
          </w:p>
        </w:tc>
        <w:tc>
          <w:tcPr>
            <w:tcW w:w="6925" w:type="dxa"/>
          </w:tcPr>
          <w:p w14:paraId="18FED0EC" w14:textId="77777777" w:rsidR="00265BA6" w:rsidRPr="00944B15" w:rsidRDefault="00265BA6" w:rsidP="002D6DD7">
            <w:pPr>
              <w:jc w:val="both"/>
              <w:rPr>
                <w:rFonts w:cs="Times New Roman"/>
                <w:szCs w:val="24"/>
              </w:rPr>
            </w:pPr>
            <w:r w:rsidRPr="00944B15">
              <w:rPr>
                <w:rFonts w:cs="Times New Roman"/>
                <w:szCs w:val="24"/>
              </w:rPr>
              <w:t xml:space="preserve">Abdominal distension, addiction, agranulocytosis, disorientation, dizziness, euphoria, megaloblastic anaemia, middle ear damage </w:t>
            </w:r>
            <w:r>
              <w:rPr>
                <w:rFonts w:cs="Times New Roman"/>
                <w:szCs w:val="24"/>
              </w:rPr>
              <w:t xml:space="preserve">e.g. </w:t>
            </w:r>
            <w:r w:rsidRPr="00944B15">
              <w:rPr>
                <w:rFonts w:cs="Times New Roman"/>
                <w:szCs w:val="24"/>
              </w:rPr>
              <w:t>tympanic membrane perforation, myeloneuropathy, paraesthesia, sedation, vomiting</w:t>
            </w:r>
            <w:r>
              <w:rPr>
                <w:rFonts w:cs="Times New Roman"/>
                <w:szCs w:val="24"/>
              </w:rPr>
              <w:t>.</w:t>
            </w:r>
          </w:p>
        </w:tc>
      </w:tr>
      <w:tr w:rsidR="00265BA6" w:rsidRPr="00944B15" w14:paraId="17624911" w14:textId="77777777" w:rsidTr="002D6DD7">
        <w:tc>
          <w:tcPr>
            <w:tcW w:w="2610" w:type="dxa"/>
          </w:tcPr>
          <w:p w14:paraId="0DB82609"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925" w:type="dxa"/>
          </w:tcPr>
          <w:p w14:paraId="6C97D20E" w14:textId="77777777" w:rsidR="00265BA6" w:rsidRPr="00944B15" w:rsidRDefault="00265BA6" w:rsidP="002D6DD7">
            <w:pPr>
              <w:jc w:val="both"/>
              <w:rPr>
                <w:rFonts w:cs="Times New Roman"/>
                <w:szCs w:val="24"/>
              </w:rPr>
            </w:pPr>
            <w:r w:rsidRPr="00944B15">
              <w:rPr>
                <w:rFonts w:cs="Times New Roman"/>
                <w:szCs w:val="24"/>
              </w:rPr>
              <w:t>Pregnancy, entrapped air following recent underwater dive, pneumothorax, presence of intracranial air after head injury, recent intra-ocular gas injection</w:t>
            </w:r>
            <w:r>
              <w:rPr>
                <w:rFonts w:cs="Times New Roman"/>
                <w:szCs w:val="24"/>
              </w:rPr>
              <w:t>.</w:t>
            </w:r>
          </w:p>
        </w:tc>
      </w:tr>
      <w:tr w:rsidR="00265BA6" w:rsidRPr="00944B15" w14:paraId="3F40012B" w14:textId="77777777" w:rsidTr="002D6DD7">
        <w:tc>
          <w:tcPr>
            <w:tcW w:w="2610" w:type="dxa"/>
          </w:tcPr>
          <w:p w14:paraId="3099CCE5"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925" w:type="dxa"/>
          </w:tcPr>
          <w:p w14:paraId="17563E1E" w14:textId="77777777" w:rsidR="00265BA6" w:rsidRPr="00944B15" w:rsidRDefault="00265BA6" w:rsidP="002D6DD7">
            <w:pPr>
              <w:jc w:val="both"/>
              <w:rPr>
                <w:rFonts w:cs="Times New Roman"/>
                <w:szCs w:val="24"/>
              </w:rPr>
            </w:pPr>
            <w:r w:rsidRPr="00944B15">
              <w:rPr>
                <w:rFonts w:cs="Times New Roman"/>
                <w:szCs w:val="24"/>
              </w:rPr>
              <w:t xml:space="preserve">The gas cylinders should be stored </w:t>
            </w:r>
            <w:r>
              <w:rPr>
                <w:rFonts w:cs="Times New Roman"/>
                <w:szCs w:val="24"/>
              </w:rPr>
              <w:t>not above 52</w:t>
            </w:r>
            <w:r w:rsidRPr="00944B15">
              <w:rPr>
                <w:rFonts w:cs="Times New Roman"/>
                <w:szCs w:val="24"/>
              </w:rPr>
              <w:t>°C.</w:t>
            </w:r>
          </w:p>
          <w:p w14:paraId="6299BEF7" w14:textId="77777777" w:rsidR="00265BA6" w:rsidRPr="00944B15" w:rsidRDefault="00265BA6" w:rsidP="002D6DD7">
            <w:pPr>
              <w:jc w:val="both"/>
              <w:rPr>
                <w:rFonts w:cs="Times New Roman"/>
                <w:szCs w:val="24"/>
              </w:rPr>
            </w:pPr>
            <w:r w:rsidRPr="00944B15">
              <w:rPr>
                <w:rFonts w:cs="Times New Roman"/>
                <w:szCs w:val="24"/>
              </w:rPr>
              <w:t>Store under preferably inside, kept dry and clean not subjected to the extremes of heat or cold.</w:t>
            </w:r>
          </w:p>
        </w:tc>
      </w:tr>
      <w:tr w:rsidR="00265BA6" w:rsidRPr="00944B15" w14:paraId="74946751" w14:textId="77777777" w:rsidTr="002D6DD7">
        <w:tc>
          <w:tcPr>
            <w:tcW w:w="9535" w:type="dxa"/>
            <w:gridSpan w:val="2"/>
          </w:tcPr>
          <w:p w14:paraId="157996A1" w14:textId="77777777" w:rsidR="00265BA6" w:rsidRPr="00944B15" w:rsidRDefault="00265BA6" w:rsidP="002D6DD7">
            <w:pPr>
              <w:jc w:val="both"/>
              <w:rPr>
                <w:rFonts w:cs="Times New Roman"/>
                <w:b/>
                <w:szCs w:val="24"/>
              </w:rPr>
            </w:pPr>
            <w:r w:rsidRPr="00944B15">
              <w:rPr>
                <w:rFonts w:cs="Times New Roman"/>
                <w:b/>
                <w:szCs w:val="24"/>
              </w:rPr>
              <w:t>Sevoflurane</w:t>
            </w:r>
          </w:p>
        </w:tc>
      </w:tr>
      <w:tr w:rsidR="00265BA6" w:rsidRPr="00944B15" w14:paraId="4BA8F728" w14:textId="77777777" w:rsidTr="002D6DD7">
        <w:tc>
          <w:tcPr>
            <w:tcW w:w="2610" w:type="dxa"/>
          </w:tcPr>
          <w:p w14:paraId="7C4C7D8B"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925" w:type="dxa"/>
          </w:tcPr>
          <w:p w14:paraId="1D7925B9" w14:textId="77777777" w:rsidR="00265BA6" w:rsidRPr="00944B15" w:rsidRDefault="00265BA6" w:rsidP="002D6DD7">
            <w:pPr>
              <w:jc w:val="both"/>
              <w:rPr>
                <w:rFonts w:cs="Times New Roman"/>
                <w:szCs w:val="24"/>
              </w:rPr>
            </w:pPr>
            <w:r w:rsidRPr="00944B15">
              <w:rPr>
                <w:rFonts w:cs="Times New Roman"/>
                <w:szCs w:val="24"/>
              </w:rPr>
              <w:t xml:space="preserve">Inhalational </w:t>
            </w:r>
            <w:r>
              <w:rPr>
                <w:rFonts w:cs="Times New Roman"/>
                <w:szCs w:val="24"/>
              </w:rPr>
              <w:t>anaesthetic</w:t>
            </w:r>
          </w:p>
        </w:tc>
      </w:tr>
      <w:tr w:rsidR="00265BA6" w:rsidRPr="00944B15" w14:paraId="0A41CCF6" w14:textId="77777777" w:rsidTr="002D6DD7">
        <w:tc>
          <w:tcPr>
            <w:tcW w:w="2610" w:type="dxa"/>
          </w:tcPr>
          <w:p w14:paraId="2C1EA847" w14:textId="77777777" w:rsidR="00265BA6" w:rsidRPr="00944B15" w:rsidRDefault="00265BA6" w:rsidP="002D6DD7">
            <w:pPr>
              <w:jc w:val="both"/>
              <w:rPr>
                <w:rFonts w:cs="Times New Roman"/>
                <w:szCs w:val="24"/>
              </w:rPr>
            </w:pPr>
            <w:r w:rsidRPr="00944B15">
              <w:rPr>
                <w:rFonts w:cs="Times New Roman"/>
                <w:szCs w:val="24"/>
              </w:rPr>
              <w:t>Dosage form</w:t>
            </w:r>
          </w:p>
        </w:tc>
        <w:tc>
          <w:tcPr>
            <w:tcW w:w="6925" w:type="dxa"/>
          </w:tcPr>
          <w:p w14:paraId="2F2A711A" w14:textId="77777777" w:rsidR="00265BA6" w:rsidRPr="00944B15" w:rsidRDefault="00265BA6" w:rsidP="002D6DD7">
            <w:pPr>
              <w:jc w:val="both"/>
              <w:rPr>
                <w:rFonts w:cs="Times New Roman"/>
                <w:szCs w:val="24"/>
              </w:rPr>
            </w:pPr>
            <w:r>
              <w:rPr>
                <w:rFonts w:cs="Times New Roman"/>
                <w:iCs/>
                <w:szCs w:val="24"/>
              </w:rPr>
              <w:t>Inhalation:</w:t>
            </w:r>
            <w:r w:rsidRPr="00944B15">
              <w:rPr>
                <w:rFonts w:cs="Times New Roman"/>
                <w:iCs/>
                <w:szCs w:val="24"/>
              </w:rPr>
              <w:t xml:space="preserve"> 250</w:t>
            </w:r>
            <w:r>
              <w:rPr>
                <w:rFonts w:cs="Times New Roman"/>
                <w:iCs/>
                <w:szCs w:val="24"/>
              </w:rPr>
              <w:t>ml</w:t>
            </w:r>
          </w:p>
        </w:tc>
      </w:tr>
      <w:tr w:rsidR="00265BA6" w:rsidRPr="00944B15" w14:paraId="5AE912D9" w14:textId="77777777" w:rsidTr="002D6DD7">
        <w:tc>
          <w:tcPr>
            <w:tcW w:w="2610" w:type="dxa"/>
          </w:tcPr>
          <w:p w14:paraId="1960BD08" w14:textId="77777777" w:rsidR="00265BA6" w:rsidRPr="00944B15" w:rsidRDefault="00265BA6" w:rsidP="002D6DD7">
            <w:pPr>
              <w:jc w:val="both"/>
              <w:rPr>
                <w:rFonts w:cs="Times New Roman"/>
                <w:szCs w:val="24"/>
              </w:rPr>
            </w:pPr>
            <w:r w:rsidRPr="00944B15">
              <w:rPr>
                <w:rFonts w:cs="Times New Roman"/>
                <w:szCs w:val="24"/>
              </w:rPr>
              <w:t>Indications</w:t>
            </w:r>
          </w:p>
        </w:tc>
        <w:tc>
          <w:tcPr>
            <w:tcW w:w="6925" w:type="dxa"/>
          </w:tcPr>
          <w:p w14:paraId="2F409035" w14:textId="77777777" w:rsidR="00265BA6" w:rsidRPr="00944B15" w:rsidRDefault="00265BA6" w:rsidP="002D6DD7">
            <w:pPr>
              <w:jc w:val="both"/>
              <w:rPr>
                <w:rFonts w:cs="Times New Roman"/>
                <w:szCs w:val="24"/>
              </w:rPr>
            </w:pPr>
            <w:r w:rsidRPr="00944B15">
              <w:rPr>
                <w:rFonts w:cs="Times New Roman"/>
                <w:szCs w:val="24"/>
              </w:rPr>
              <w:t xml:space="preserve">Induction and maintenance of </w:t>
            </w:r>
            <w:r>
              <w:rPr>
                <w:rFonts w:cs="Times New Roman"/>
                <w:szCs w:val="24"/>
              </w:rPr>
              <w:t>anesthesia</w:t>
            </w:r>
            <w:r w:rsidRPr="00944B15">
              <w:rPr>
                <w:rFonts w:cs="Times New Roman"/>
                <w:szCs w:val="24"/>
              </w:rPr>
              <w:t xml:space="preserve"> (in oxygen, nitrous oxide–oxygen or oxygen–air)</w:t>
            </w:r>
          </w:p>
        </w:tc>
      </w:tr>
      <w:tr w:rsidR="00265BA6" w:rsidRPr="00944B15" w14:paraId="7FE8E27F" w14:textId="77777777" w:rsidTr="002D6DD7">
        <w:tc>
          <w:tcPr>
            <w:tcW w:w="2610" w:type="dxa"/>
          </w:tcPr>
          <w:p w14:paraId="3A85079E"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925" w:type="dxa"/>
          </w:tcPr>
          <w:p w14:paraId="1C820ABF" w14:textId="77777777" w:rsidR="00265BA6" w:rsidRPr="00944B15" w:rsidRDefault="00265BA6" w:rsidP="002D6DD7">
            <w:pPr>
              <w:pStyle w:val="BodyText"/>
              <w:spacing w:line="360" w:lineRule="auto"/>
              <w:ind w:right="290"/>
              <w:rPr>
                <w:b/>
              </w:rPr>
            </w:pPr>
            <w:r w:rsidRPr="00944B15">
              <w:rPr>
                <w:b/>
              </w:rPr>
              <w:t xml:space="preserve">Adult: </w:t>
            </w:r>
          </w:p>
          <w:p w14:paraId="43E30CC4" w14:textId="77777777" w:rsidR="00265BA6" w:rsidRPr="00944B15" w:rsidRDefault="00265BA6" w:rsidP="002D6DD7">
            <w:pPr>
              <w:pStyle w:val="BodyText"/>
              <w:spacing w:line="360" w:lineRule="auto"/>
              <w:ind w:right="290"/>
              <w:rPr>
                <w:b/>
              </w:rPr>
            </w:pPr>
            <w:r w:rsidRPr="00944B15">
              <w:rPr>
                <w:b/>
              </w:rPr>
              <w:t>Induction of anesthesia (in oxygen or nitrous oxide– oxygen)</w:t>
            </w:r>
          </w:p>
          <w:p w14:paraId="786D8AB3" w14:textId="77777777" w:rsidR="00265BA6" w:rsidRPr="00944B15" w:rsidRDefault="00265BA6" w:rsidP="002D6DD7">
            <w:pPr>
              <w:pStyle w:val="BodyText"/>
              <w:spacing w:line="360" w:lineRule="auto"/>
              <w:ind w:right="290"/>
            </w:pPr>
            <w:r w:rsidRPr="00944B15">
              <w:t>Initially 0.5–1 %, then increased up to 8%, increased gradually, according to response.</w:t>
            </w:r>
          </w:p>
          <w:p w14:paraId="1D6EEA84" w14:textId="77777777" w:rsidR="00265BA6" w:rsidRPr="00944B15" w:rsidRDefault="00265BA6" w:rsidP="002D6DD7">
            <w:pPr>
              <w:pStyle w:val="BodyText"/>
              <w:spacing w:line="360" w:lineRule="auto"/>
              <w:ind w:right="290"/>
              <w:rPr>
                <w:b/>
              </w:rPr>
            </w:pPr>
            <w:r w:rsidRPr="00944B15">
              <w:rPr>
                <w:b/>
              </w:rPr>
              <w:t>Maintenance of anesthesia (in oxygen or nitrous oxide– oxygen)</w:t>
            </w:r>
          </w:p>
          <w:p w14:paraId="43279C99" w14:textId="77777777" w:rsidR="00265BA6" w:rsidRPr="00944B15" w:rsidRDefault="00265BA6" w:rsidP="002D6DD7">
            <w:pPr>
              <w:pStyle w:val="BodyText"/>
              <w:spacing w:line="360" w:lineRule="auto"/>
              <w:ind w:right="290"/>
            </w:pPr>
            <w:r w:rsidRPr="00944B15">
              <w:t>0.5–3 %, adjusted according to response.</w:t>
            </w:r>
          </w:p>
          <w:p w14:paraId="61AF80D5" w14:textId="77777777" w:rsidR="00265BA6" w:rsidRPr="00944B15" w:rsidRDefault="00265BA6" w:rsidP="002D6DD7">
            <w:pPr>
              <w:pStyle w:val="BodyText"/>
              <w:spacing w:line="360" w:lineRule="auto"/>
              <w:ind w:right="290"/>
              <w:rPr>
                <w:b/>
              </w:rPr>
            </w:pPr>
            <w:r w:rsidRPr="00944B15">
              <w:rPr>
                <w:b/>
              </w:rPr>
              <w:t>Pediatric</w:t>
            </w:r>
            <w:r>
              <w:rPr>
                <w:b/>
              </w:rPr>
              <w:t>:</w:t>
            </w:r>
          </w:p>
          <w:p w14:paraId="24EE50C2" w14:textId="77777777" w:rsidR="00265BA6" w:rsidRPr="00944B15" w:rsidRDefault="00265BA6" w:rsidP="002D6DD7">
            <w:pPr>
              <w:pStyle w:val="BodyText"/>
              <w:spacing w:line="360" w:lineRule="auto"/>
              <w:ind w:right="290"/>
              <w:rPr>
                <w:b/>
              </w:rPr>
            </w:pPr>
            <w:r w:rsidRPr="00944B15">
              <w:rPr>
                <w:b/>
              </w:rPr>
              <w:lastRenderedPageBreak/>
              <w:t>Induction of anesthesia (in oxygen, nitrous oxide– oxygen, or air–oxygen)</w:t>
            </w:r>
          </w:p>
          <w:p w14:paraId="659CF319" w14:textId="77777777" w:rsidR="00265BA6" w:rsidRPr="00944B15" w:rsidRDefault="00265BA6" w:rsidP="002D6DD7">
            <w:pPr>
              <w:pStyle w:val="BodyText"/>
              <w:spacing w:line="360" w:lineRule="auto"/>
              <w:ind w:right="290"/>
            </w:pPr>
            <w:r w:rsidRPr="00944B15">
              <w:rPr>
                <w:b/>
              </w:rPr>
              <w:t xml:space="preserve">Neonate: </w:t>
            </w:r>
            <w:r w:rsidRPr="00944B15">
              <w:t>Up to 4%, adjusted according to response.</w:t>
            </w:r>
          </w:p>
          <w:p w14:paraId="5126F101" w14:textId="77777777" w:rsidR="00265BA6" w:rsidRPr="00944B15" w:rsidRDefault="00265BA6" w:rsidP="002D6DD7">
            <w:pPr>
              <w:pStyle w:val="BodyText"/>
              <w:spacing w:line="360" w:lineRule="auto"/>
              <w:ind w:right="290"/>
            </w:pPr>
            <w:r w:rsidRPr="00944B15">
              <w:rPr>
                <w:b/>
              </w:rPr>
              <w:t xml:space="preserve">Child: </w:t>
            </w:r>
            <w:r w:rsidRPr="00944B15">
              <w:t>Initially 0.5–1%, then increase up to 8%, increased gradually, according to response.</w:t>
            </w:r>
          </w:p>
          <w:p w14:paraId="5DF894EB" w14:textId="77777777" w:rsidR="00265BA6" w:rsidRPr="00944B15" w:rsidRDefault="00265BA6" w:rsidP="002D6DD7">
            <w:pPr>
              <w:pStyle w:val="BodyText"/>
              <w:spacing w:line="360" w:lineRule="auto"/>
              <w:ind w:right="290"/>
              <w:rPr>
                <w:b/>
              </w:rPr>
            </w:pPr>
            <w:r w:rsidRPr="00944B15">
              <w:rPr>
                <w:b/>
              </w:rPr>
              <w:t>Maintenance of anesthesia: In oxygen, nitrous oxide–oxygen, or air–oxygen</w:t>
            </w:r>
          </w:p>
          <w:p w14:paraId="2475E83E" w14:textId="77777777" w:rsidR="00265BA6" w:rsidRPr="00944B15" w:rsidRDefault="00265BA6" w:rsidP="002D6DD7">
            <w:pPr>
              <w:pStyle w:val="BodyText"/>
              <w:spacing w:line="360" w:lineRule="auto"/>
              <w:ind w:right="290"/>
              <w:rPr>
                <w:b/>
              </w:rPr>
            </w:pPr>
            <w:r w:rsidRPr="00944B15">
              <w:rPr>
                <w:b/>
              </w:rPr>
              <w:t xml:space="preserve">Neonate: </w:t>
            </w:r>
            <w:r w:rsidRPr="00944B15">
              <w:t>0.5–2%, adjusted according to response, to be administered using specifically calibrated vaporizer.</w:t>
            </w:r>
          </w:p>
          <w:p w14:paraId="5A5B6970" w14:textId="77777777" w:rsidR="00265BA6" w:rsidRPr="00944B15" w:rsidRDefault="00265BA6" w:rsidP="002D6DD7">
            <w:pPr>
              <w:pStyle w:val="BodyText"/>
              <w:spacing w:line="360" w:lineRule="auto"/>
              <w:ind w:right="290"/>
              <w:rPr>
                <w:b/>
              </w:rPr>
            </w:pPr>
            <w:r w:rsidRPr="00944B15">
              <w:rPr>
                <w:b/>
              </w:rPr>
              <w:t xml:space="preserve">Child: </w:t>
            </w:r>
            <w:r w:rsidRPr="00944B15">
              <w:t>0.5–3%, adjusted according to response, to be administered.</w:t>
            </w:r>
          </w:p>
        </w:tc>
      </w:tr>
      <w:tr w:rsidR="00265BA6" w:rsidRPr="00944B15" w14:paraId="1D3621FA" w14:textId="77777777" w:rsidTr="002D6DD7">
        <w:tc>
          <w:tcPr>
            <w:tcW w:w="2610" w:type="dxa"/>
          </w:tcPr>
          <w:p w14:paraId="24462929"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925" w:type="dxa"/>
          </w:tcPr>
          <w:p w14:paraId="32A5C9A9" w14:textId="77777777" w:rsidR="00265BA6" w:rsidRPr="00944B15" w:rsidRDefault="00265BA6"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w:t>
            </w:r>
            <w:r w:rsidRPr="00944B15">
              <w:rPr>
                <w:rFonts w:cs="Times New Roman"/>
                <w:szCs w:val="24"/>
              </w:rPr>
              <w:t xml:space="preserve"> or other halogenated anaesthetics, known or suspected genetic susceptibility to malignant hyperthermia, patients in whom general </w:t>
            </w:r>
            <w:r>
              <w:rPr>
                <w:rFonts w:cs="Times New Roman"/>
                <w:szCs w:val="24"/>
              </w:rPr>
              <w:t>anesthesia</w:t>
            </w:r>
            <w:r w:rsidRPr="00944B15">
              <w:rPr>
                <w:rFonts w:cs="Times New Roman"/>
                <w:szCs w:val="24"/>
              </w:rPr>
              <w:t xml:space="preserve"> is contraindicated</w:t>
            </w:r>
            <w:r>
              <w:rPr>
                <w:rFonts w:cs="Times New Roman"/>
                <w:szCs w:val="24"/>
              </w:rPr>
              <w:t>,</w:t>
            </w:r>
            <w:r w:rsidRPr="00944B15">
              <w:rPr>
                <w:rFonts w:cs="Times New Roman"/>
                <w:szCs w:val="24"/>
              </w:rPr>
              <w:t xml:space="preserve"> unexplained moderate/severe hepatic dysfunction.</w:t>
            </w:r>
          </w:p>
        </w:tc>
      </w:tr>
      <w:tr w:rsidR="00265BA6" w:rsidRPr="00944B15" w14:paraId="2B3F1AC6" w14:textId="77777777" w:rsidTr="002D6DD7">
        <w:tc>
          <w:tcPr>
            <w:tcW w:w="2610" w:type="dxa"/>
          </w:tcPr>
          <w:p w14:paraId="40C23588"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925" w:type="dxa"/>
          </w:tcPr>
          <w:p w14:paraId="758C87B5" w14:textId="77777777" w:rsidR="00265BA6" w:rsidRPr="00944B15" w:rsidRDefault="00265BA6" w:rsidP="002D6DD7">
            <w:pPr>
              <w:jc w:val="both"/>
              <w:rPr>
                <w:rFonts w:eastAsia="Times New Roman" w:cs="Times New Roman"/>
                <w:szCs w:val="24"/>
              </w:rPr>
            </w:pPr>
            <w:r w:rsidRPr="00944B15">
              <w:rPr>
                <w:rFonts w:eastAsia="Times New Roman" w:cs="Times New Roman"/>
                <w:szCs w:val="24"/>
              </w:rPr>
              <w:t>Sympathomimetic agents, non-selective MAOIs, calcium channel blockers, succinylcholine, St John's Wort, opioids, benzodiazepines</w:t>
            </w:r>
            <w:r>
              <w:rPr>
                <w:rFonts w:eastAsia="Times New Roman" w:cs="Times New Roman"/>
                <w:szCs w:val="24"/>
              </w:rPr>
              <w:t xml:space="preserve">, </w:t>
            </w:r>
            <w:r w:rsidRPr="00944B15">
              <w:rPr>
                <w:rFonts w:eastAsia="Times New Roman" w:cs="Times New Roman"/>
                <w:szCs w:val="24"/>
              </w:rPr>
              <w:t>barbiturates.</w:t>
            </w:r>
          </w:p>
        </w:tc>
      </w:tr>
      <w:tr w:rsidR="00265BA6" w:rsidRPr="00944B15" w14:paraId="11CA387B" w14:textId="77777777" w:rsidTr="002D6DD7">
        <w:tc>
          <w:tcPr>
            <w:tcW w:w="2610" w:type="dxa"/>
          </w:tcPr>
          <w:p w14:paraId="2EF2E6B0" w14:textId="77777777" w:rsidR="00265BA6" w:rsidRPr="00944B15" w:rsidRDefault="00265BA6" w:rsidP="002D6DD7">
            <w:pPr>
              <w:jc w:val="both"/>
              <w:rPr>
                <w:rFonts w:cs="Times New Roman"/>
                <w:szCs w:val="24"/>
              </w:rPr>
            </w:pPr>
            <w:r w:rsidRPr="00944B15">
              <w:rPr>
                <w:rFonts w:cs="Times New Roman"/>
                <w:szCs w:val="24"/>
              </w:rPr>
              <w:t>Side effects</w:t>
            </w:r>
          </w:p>
        </w:tc>
        <w:tc>
          <w:tcPr>
            <w:tcW w:w="6925" w:type="dxa"/>
          </w:tcPr>
          <w:p w14:paraId="3788AFBA" w14:textId="77777777" w:rsidR="00265BA6" w:rsidRPr="00944B15" w:rsidRDefault="00265BA6" w:rsidP="002D6DD7">
            <w:pPr>
              <w:jc w:val="both"/>
              <w:rPr>
                <w:rFonts w:cs="Times New Roman"/>
                <w:szCs w:val="24"/>
              </w:rPr>
            </w:pPr>
            <w:r w:rsidRPr="00944B15">
              <w:rPr>
                <w:rFonts w:cs="Times New Roman"/>
                <w:szCs w:val="24"/>
              </w:rPr>
              <w:t xml:space="preserve">Malignant hyperthermia, drowsiness, cardiopulmonary arrest, hepatitis, nephrotoxicity, elevation of intra-cranial pressure, bradycardia, agitation, dystonia, muscle rigidity, somnolence, headache, cough, nausea and vomiting </w:t>
            </w:r>
          </w:p>
        </w:tc>
      </w:tr>
      <w:tr w:rsidR="00265BA6" w:rsidRPr="00944B15" w14:paraId="34126BB7" w14:textId="77777777" w:rsidTr="002D6DD7">
        <w:tc>
          <w:tcPr>
            <w:tcW w:w="2610" w:type="dxa"/>
          </w:tcPr>
          <w:p w14:paraId="15E58C38"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925" w:type="dxa"/>
          </w:tcPr>
          <w:p w14:paraId="22410967" w14:textId="77777777" w:rsidR="00265BA6" w:rsidRPr="00944B15" w:rsidRDefault="00265BA6" w:rsidP="002D6DD7">
            <w:pPr>
              <w:jc w:val="both"/>
              <w:rPr>
                <w:rFonts w:cs="Times New Roman"/>
                <w:szCs w:val="24"/>
              </w:rPr>
            </w:pPr>
            <w:r w:rsidRPr="00944B15">
              <w:rPr>
                <w:rFonts w:cs="Times New Roman"/>
                <w:szCs w:val="24"/>
              </w:rPr>
              <w:t xml:space="preserve">Hepatic and renal impairment, perioperative hyperkalemia, seizure, </w:t>
            </w:r>
            <w:r>
              <w:rPr>
                <w:rFonts w:cs="Times New Roman"/>
                <w:szCs w:val="24"/>
              </w:rPr>
              <w:t>pediatric</w:t>
            </w:r>
            <w:r w:rsidRPr="00944B15">
              <w:rPr>
                <w:rFonts w:cs="Times New Roman"/>
                <w:szCs w:val="24"/>
              </w:rPr>
              <w:t>s</w:t>
            </w:r>
            <w:r>
              <w:rPr>
                <w:rFonts w:cs="Times New Roman"/>
                <w:szCs w:val="24"/>
              </w:rPr>
              <w:t xml:space="preserve">, </w:t>
            </w:r>
            <w:r w:rsidRPr="00944B15">
              <w:rPr>
                <w:rFonts w:cs="Times New Roman"/>
                <w:szCs w:val="24"/>
              </w:rPr>
              <w:t>pregnancy</w:t>
            </w:r>
          </w:p>
        </w:tc>
      </w:tr>
      <w:tr w:rsidR="00265BA6" w:rsidRPr="00944B15" w14:paraId="41A7256A" w14:textId="77777777" w:rsidTr="002D6DD7">
        <w:tc>
          <w:tcPr>
            <w:tcW w:w="2610" w:type="dxa"/>
          </w:tcPr>
          <w:p w14:paraId="41BB2745"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925" w:type="dxa"/>
          </w:tcPr>
          <w:p w14:paraId="43DE4919" w14:textId="77777777" w:rsidR="00265BA6" w:rsidRPr="00944B15" w:rsidRDefault="00265BA6" w:rsidP="002D6DD7">
            <w:pPr>
              <w:jc w:val="both"/>
              <w:rPr>
                <w:rFonts w:cs="Times New Roman"/>
                <w:szCs w:val="24"/>
              </w:rPr>
            </w:pPr>
            <w:r>
              <w:rPr>
                <w:rFonts w:cs="Times New Roman"/>
                <w:szCs w:val="24"/>
              </w:rPr>
              <w:t>Store below 30</w:t>
            </w:r>
            <w:r w:rsidRPr="00944B15">
              <w:rPr>
                <w:rFonts w:cs="Times New Roman"/>
                <w:szCs w:val="24"/>
              </w:rPr>
              <w:t xml:space="preserve">° C. Do not refrigerate. </w:t>
            </w:r>
          </w:p>
        </w:tc>
      </w:tr>
    </w:tbl>
    <w:p w14:paraId="44532B79" w14:textId="77777777" w:rsidR="00265BA6" w:rsidRDefault="00265BA6" w:rsidP="00265BA6">
      <w:pPr>
        <w:spacing w:after="0"/>
        <w:jc w:val="both"/>
        <w:rPr>
          <w:rFonts w:cs="Times New Roman"/>
          <w:b/>
          <w:szCs w:val="24"/>
        </w:rPr>
      </w:pPr>
    </w:p>
    <w:p w14:paraId="45B7A43D" w14:textId="77777777" w:rsidR="00265BA6" w:rsidRPr="00734FA4" w:rsidRDefault="00265BA6" w:rsidP="00734FA4">
      <w:pPr>
        <w:rPr>
          <w:b/>
        </w:rPr>
      </w:pPr>
      <w:r w:rsidRPr="00734FA4">
        <w:rPr>
          <w:b/>
        </w:rPr>
        <w:t>Intravenous anaesthetics</w:t>
      </w:r>
    </w:p>
    <w:tbl>
      <w:tblPr>
        <w:tblStyle w:val="TableGrid4"/>
        <w:tblW w:w="9450" w:type="dxa"/>
        <w:tblInd w:w="-95" w:type="dxa"/>
        <w:tblLayout w:type="fixed"/>
        <w:tblLook w:val="04A0" w:firstRow="1" w:lastRow="0" w:firstColumn="1" w:lastColumn="0" w:noHBand="0" w:noVBand="1"/>
      </w:tblPr>
      <w:tblGrid>
        <w:gridCol w:w="2610"/>
        <w:gridCol w:w="6840"/>
      </w:tblGrid>
      <w:tr w:rsidR="00265BA6" w:rsidRPr="00944B15" w14:paraId="6121D144" w14:textId="77777777" w:rsidTr="002D6DD7">
        <w:tc>
          <w:tcPr>
            <w:tcW w:w="9450" w:type="dxa"/>
            <w:gridSpan w:val="2"/>
          </w:tcPr>
          <w:p w14:paraId="3124857D" w14:textId="77777777" w:rsidR="00265BA6" w:rsidRPr="00944B15" w:rsidRDefault="00265BA6" w:rsidP="002D6DD7">
            <w:pPr>
              <w:jc w:val="both"/>
              <w:rPr>
                <w:rFonts w:cs="Times New Roman"/>
                <w:b/>
                <w:szCs w:val="24"/>
              </w:rPr>
            </w:pPr>
            <w:r w:rsidRPr="00944B15">
              <w:rPr>
                <w:rFonts w:cs="Times New Roman"/>
                <w:b/>
                <w:bCs/>
                <w:szCs w:val="24"/>
              </w:rPr>
              <w:t>Etomidate</w:t>
            </w:r>
          </w:p>
        </w:tc>
      </w:tr>
      <w:tr w:rsidR="00265BA6" w:rsidRPr="00944B15" w14:paraId="63010213" w14:textId="77777777" w:rsidTr="002D6DD7">
        <w:tc>
          <w:tcPr>
            <w:tcW w:w="2610" w:type="dxa"/>
          </w:tcPr>
          <w:p w14:paraId="69661B22"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840" w:type="dxa"/>
          </w:tcPr>
          <w:p w14:paraId="0D2BC3BE" w14:textId="77777777" w:rsidR="00265BA6" w:rsidRPr="00944B15" w:rsidRDefault="00265BA6" w:rsidP="002D6DD7">
            <w:pPr>
              <w:jc w:val="both"/>
              <w:rPr>
                <w:rFonts w:cs="Times New Roman"/>
                <w:szCs w:val="24"/>
              </w:rPr>
            </w:pPr>
            <w:r w:rsidRPr="00944B15">
              <w:rPr>
                <w:rFonts w:cs="Times New Roman"/>
                <w:szCs w:val="24"/>
              </w:rPr>
              <w:t xml:space="preserve">IV </w:t>
            </w:r>
            <w:r>
              <w:rPr>
                <w:rFonts w:cs="Times New Roman"/>
                <w:szCs w:val="24"/>
              </w:rPr>
              <w:t>anaesthetic</w:t>
            </w:r>
          </w:p>
        </w:tc>
      </w:tr>
      <w:tr w:rsidR="00265BA6" w:rsidRPr="00944B15" w14:paraId="33C45940" w14:textId="77777777" w:rsidTr="002D6DD7">
        <w:tc>
          <w:tcPr>
            <w:tcW w:w="2610" w:type="dxa"/>
          </w:tcPr>
          <w:p w14:paraId="38B979A1" w14:textId="77777777" w:rsidR="00265BA6" w:rsidRPr="00944B15" w:rsidRDefault="00265BA6" w:rsidP="002D6DD7">
            <w:pPr>
              <w:jc w:val="both"/>
              <w:rPr>
                <w:rFonts w:cs="Times New Roman"/>
                <w:szCs w:val="24"/>
              </w:rPr>
            </w:pPr>
            <w:r w:rsidRPr="00944B15">
              <w:rPr>
                <w:rFonts w:cs="Times New Roman"/>
                <w:szCs w:val="24"/>
              </w:rPr>
              <w:t>Dosage form</w:t>
            </w:r>
          </w:p>
        </w:tc>
        <w:tc>
          <w:tcPr>
            <w:tcW w:w="6840" w:type="dxa"/>
            <w:shd w:val="clear" w:color="auto" w:fill="auto"/>
          </w:tcPr>
          <w:p w14:paraId="3E7BF074" w14:textId="77777777" w:rsidR="00265BA6" w:rsidRPr="00944B15" w:rsidRDefault="00265BA6" w:rsidP="002D6DD7">
            <w:pPr>
              <w:jc w:val="both"/>
              <w:rPr>
                <w:rFonts w:cs="Times New Roman"/>
                <w:szCs w:val="24"/>
              </w:rPr>
            </w:pPr>
            <w:r w:rsidRPr="00944B15">
              <w:rPr>
                <w:rFonts w:cs="Times New Roman"/>
                <w:szCs w:val="24"/>
              </w:rPr>
              <w:t>Injection: 2mg/</w:t>
            </w:r>
            <w:r>
              <w:rPr>
                <w:rFonts w:cs="Times New Roman"/>
                <w:szCs w:val="24"/>
              </w:rPr>
              <w:t>ml</w:t>
            </w:r>
            <w:r w:rsidRPr="00944B15">
              <w:rPr>
                <w:rFonts w:cs="Times New Roman"/>
                <w:szCs w:val="24"/>
              </w:rPr>
              <w:t xml:space="preserve"> in 10</w:t>
            </w:r>
            <w:r>
              <w:rPr>
                <w:rFonts w:cs="Times New Roman"/>
                <w:szCs w:val="24"/>
              </w:rPr>
              <w:t>ml</w:t>
            </w:r>
            <w:r w:rsidRPr="00944B15">
              <w:rPr>
                <w:rFonts w:cs="Times New Roman"/>
                <w:szCs w:val="24"/>
              </w:rPr>
              <w:t xml:space="preserve"> vial</w:t>
            </w:r>
          </w:p>
        </w:tc>
      </w:tr>
      <w:tr w:rsidR="00265BA6" w:rsidRPr="00944B15" w14:paraId="58BA1CCF" w14:textId="77777777" w:rsidTr="002D6DD7">
        <w:tc>
          <w:tcPr>
            <w:tcW w:w="2610" w:type="dxa"/>
          </w:tcPr>
          <w:p w14:paraId="0EA0AE31" w14:textId="77777777" w:rsidR="00265BA6" w:rsidRPr="00944B15" w:rsidRDefault="00265BA6" w:rsidP="002D6DD7">
            <w:pPr>
              <w:jc w:val="both"/>
              <w:rPr>
                <w:rFonts w:cs="Times New Roman"/>
                <w:szCs w:val="24"/>
              </w:rPr>
            </w:pPr>
            <w:r w:rsidRPr="00944B15">
              <w:rPr>
                <w:rFonts w:cs="Times New Roman"/>
                <w:szCs w:val="24"/>
              </w:rPr>
              <w:lastRenderedPageBreak/>
              <w:t>Indications</w:t>
            </w:r>
          </w:p>
        </w:tc>
        <w:tc>
          <w:tcPr>
            <w:tcW w:w="6840" w:type="dxa"/>
          </w:tcPr>
          <w:p w14:paraId="45473B48" w14:textId="77777777" w:rsidR="00265BA6" w:rsidRPr="00944B15" w:rsidRDefault="00265BA6" w:rsidP="002D6DD7">
            <w:pPr>
              <w:jc w:val="both"/>
              <w:rPr>
                <w:rFonts w:cs="Times New Roman"/>
                <w:szCs w:val="24"/>
              </w:rPr>
            </w:pPr>
            <w:r w:rsidRPr="00944B15">
              <w:rPr>
                <w:rFonts w:cs="Times New Roman"/>
                <w:szCs w:val="24"/>
              </w:rPr>
              <w:t xml:space="preserve">For induction of general </w:t>
            </w:r>
            <w:r>
              <w:rPr>
                <w:rFonts w:cs="Times New Roman"/>
                <w:szCs w:val="24"/>
              </w:rPr>
              <w:t>anesthesia</w:t>
            </w:r>
            <w:r w:rsidRPr="00944B15">
              <w:rPr>
                <w:rFonts w:cs="Times New Roman"/>
                <w:szCs w:val="24"/>
              </w:rPr>
              <w:t>.</w:t>
            </w:r>
          </w:p>
        </w:tc>
      </w:tr>
      <w:tr w:rsidR="00265BA6" w:rsidRPr="00944B15" w14:paraId="34E94DAF" w14:textId="77777777" w:rsidTr="002D6DD7">
        <w:tc>
          <w:tcPr>
            <w:tcW w:w="2610" w:type="dxa"/>
          </w:tcPr>
          <w:p w14:paraId="76F0215D" w14:textId="77777777" w:rsidR="00265BA6" w:rsidRPr="00944B15" w:rsidRDefault="00265BA6" w:rsidP="002D6DD7">
            <w:pPr>
              <w:jc w:val="both"/>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840" w:type="dxa"/>
          </w:tcPr>
          <w:p w14:paraId="753CE9C3" w14:textId="77777777" w:rsidR="00265BA6" w:rsidRPr="00944B15" w:rsidRDefault="00265BA6" w:rsidP="002D6DD7">
            <w:pPr>
              <w:jc w:val="both"/>
              <w:rPr>
                <w:rFonts w:cs="Times New Roman"/>
                <w:b/>
                <w:szCs w:val="24"/>
              </w:rPr>
            </w:pPr>
            <w:r w:rsidRPr="00944B15">
              <w:rPr>
                <w:rFonts w:cs="Times New Roman"/>
                <w:b/>
                <w:szCs w:val="24"/>
              </w:rPr>
              <w:t>Adult</w:t>
            </w:r>
            <w:r>
              <w:rPr>
                <w:rFonts w:cs="Times New Roman"/>
                <w:b/>
                <w:szCs w:val="24"/>
              </w:rPr>
              <w:t>:</w:t>
            </w:r>
          </w:p>
          <w:p w14:paraId="3CE0DD25" w14:textId="77777777" w:rsidR="00265BA6" w:rsidRPr="00944B15" w:rsidRDefault="00265BA6" w:rsidP="002D6DD7">
            <w:pPr>
              <w:jc w:val="both"/>
              <w:rPr>
                <w:rFonts w:cs="Times New Roman"/>
                <w:szCs w:val="24"/>
              </w:rPr>
            </w:pPr>
            <w:r w:rsidRPr="00944B15">
              <w:rPr>
                <w:rFonts w:cs="Times New Roman"/>
                <w:b/>
                <w:szCs w:val="24"/>
              </w:rPr>
              <w:t xml:space="preserve">For induction of general </w:t>
            </w:r>
            <w:r>
              <w:rPr>
                <w:rFonts w:cs="Times New Roman"/>
                <w:b/>
                <w:szCs w:val="24"/>
              </w:rPr>
              <w:t>anesthesia</w:t>
            </w:r>
            <w:r w:rsidRPr="00944B15">
              <w:rPr>
                <w:rFonts w:cs="Times New Roman"/>
                <w:b/>
                <w:szCs w:val="24"/>
              </w:rPr>
              <w:t>,</w:t>
            </w:r>
            <w:r w:rsidRPr="00944B15">
              <w:rPr>
                <w:rFonts w:cs="Times New Roman"/>
                <w:szCs w:val="24"/>
              </w:rPr>
              <w:t xml:space="preserve"> IV: 0.3 mg/kg, injected over a period of 30 to 60 seconds but can range from 0.2 mg/kg to 0.6 mg/kg of body weight, individualized in each case.</w:t>
            </w:r>
          </w:p>
          <w:p w14:paraId="19909F4C" w14:textId="77777777" w:rsidR="00265BA6" w:rsidRPr="00944B15" w:rsidRDefault="00265BA6" w:rsidP="002D6DD7">
            <w:pPr>
              <w:jc w:val="both"/>
              <w:rPr>
                <w:rFonts w:cs="Times New Roman"/>
                <w:szCs w:val="24"/>
              </w:rPr>
            </w:pPr>
            <w:r w:rsidRPr="00944B15">
              <w:rPr>
                <w:rFonts w:cs="Times New Roman"/>
                <w:b/>
                <w:szCs w:val="24"/>
              </w:rPr>
              <w:t>Elderly:</w:t>
            </w:r>
            <w:r w:rsidRPr="00944B15">
              <w:rPr>
                <w:rFonts w:cs="Times New Roman"/>
                <w:szCs w:val="24"/>
              </w:rPr>
              <w:t xml:space="preserve"> 0.15–0.2 mg/kg (max. per dose 60 mg), to be administered over 30-60 seconds (60 seconds in patients in whom hypotension might be hazardous)</w:t>
            </w:r>
          </w:p>
          <w:p w14:paraId="5C3BEBB1" w14:textId="77777777" w:rsidR="00265BA6" w:rsidRDefault="00265BA6" w:rsidP="002D6DD7">
            <w:pPr>
              <w:jc w:val="both"/>
              <w:rPr>
                <w:rFonts w:cs="Times New Roman"/>
                <w:b/>
                <w:szCs w:val="24"/>
              </w:rPr>
            </w:pPr>
            <w:r>
              <w:rPr>
                <w:rFonts w:cs="Times New Roman"/>
                <w:b/>
                <w:szCs w:val="24"/>
              </w:rPr>
              <w:t>Pediatric:</w:t>
            </w:r>
          </w:p>
          <w:p w14:paraId="01CDD147" w14:textId="77777777" w:rsidR="00265BA6" w:rsidRPr="00944B15" w:rsidRDefault="00265BA6" w:rsidP="002D6DD7">
            <w:pPr>
              <w:jc w:val="both"/>
              <w:rPr>
                <w:rFonts w:cs="Times New Roman"/>
                <w:b/>
                <w:szCs w:val="24"/>
              </w:rPr>
            </w:pPr>
            <w:r>
              <w:rPr>
                <w:rFonts w:cs="Times New Roman"/>
                <w:b/>
                <w:szCs w:val="24"/>
              </w:rPr>
              <w:t xml:space="preserve">Child greater than10 years: </w:t>
            </w:r>
            <w:r w:rsidRPr="00D76338">
              <w:rPr>
                <w:rFonts w:cs="Times New Roman"/>
                <w:szCs w:val="24"/>
              </w:rPr>
              <w:t>IV: 0.2- 0.3mg/kg/dose as a single dose</w:t>
            </w:r>
          </w:p>
          <w:p w14:paraId="4FE23A74" w14:textId="77777777" w:rsidR="00265BA6" w:rsidRPr="00944B15" w:rsidRDefault="00265BA6" w:rsidP="002D6DD7">
            <w:pPr>
              <w:jc w:val="both"/>
              <w:rPr>
                <w:rFonts w:cs="Times New Roman"/>
                <w:szCs w:val="24"/>
              </w:rPr>
            </w:pPr>
            <w:r>
              <w:rPr>
                <w:rFonts w:cs="Times New Roman"/>
                <w:b/>
                <w:szCs w:val="24"/>
              </w:rPr>
              <w:t>Child less than 10</w:t>
            </w:r>
            <w:r w:rsidRPr="00944B15">
              <w:rPr>
                <w:rFonts w:cs="Times New Roman"/>
                <w:b/>
                <w:szCs w:val="24"/>
              </w:rPr>
              <w:t xml:space="preserve"> years:</w:t>
            </w:r>
            <w:r w:rsidRPr="00944B15">
              <w:rPr>
                <w:rFonts w:cs="Times New Roman"/>
                <w:szCs w:val="24"/>
              </w:rPr>
              <w:t xml:space="preserve"> same dosage as adults. A supplementary dose of up to 30% of the normal dose for adults is sometimes necessary to obtain the same depth and duration of sleep as obtained in adults</w:t>
            </w:r>
          </w:p>
        </w:tc>
      </w:tr>
      <w:tr w:rsidR="00265BA6" w:rsidRPr="00944B15" w14:paraId="5EC89520" w14:textId="77777777" w:rsidTr="002D6DD7">
        <w:trPr>
          <w:trHeight w:val="557"/>
        </w:trPr>
        <w:tc>
          <w:tcPr>
            <w:tcW w:w="2610" w:type="dxa"/>
          </w:tcPr>
          <w:p w14:paraId="7555FF5F"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840" w:type="dxa"/>
          </w:tcPr>
          <w:p w14:paraId="7F32E6AE" w14:textId="77777777" w:rsidR="00265BA6" w:rsidRPr="00944B15" w:rsidRDefault="00265BA6" w:rsidP="002D6DD7">
            <w:pPr>
              <w:jc w:val="both"/>
              <w:rPr>
                <w:rFonts w:cs="Times New Roman"/>
                <w:szCs w:val="24"/>
              </w:rPr>
            </w:pPr>
            <w:r w:rsidRPr="00944B15">
              <w:rPr>
                <w:rFonts w:cs="Times New Roman"/>
                <w:szCs w:val="24"/>
              </w:rPr>
              <w:t xml:space="preserve">Hypersensitivity to </w:t>
            </w:r>
            <w:r>
              <w:rPr>
                <w:rFonts w:cs="Times New Roman"/>
                <w:szCs w:val="24"/>
              </w:rPr>
              <w:t>the drug</w:t>
            </w:r>
          </w:p>
        </w:tc>
      </w:tr>
      <w:tr w:rsidR="00265BA6" w:rsidRPr="00944B15" w14:paraId="41F43B4F" w14:textId="77777777" w:rsidTr="002D6DD7">
        <w:tc>
          <w:tcPr>
            <w:tcW w:w="2610" w:type="dxa"/>
          </w:tcPr>
          <w:p w14:paraId="500DC677"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840" w:type="dxa"/>
          </w:tcPr>
          <w:p w14:paraId="3B8394E7" w14:textId="77777777" w:rsidR="00265BA6" w:rsidRPr="00944B15" w:rsidRDefault="00265BA6" w:rsidP="002D6DD7">
            <w:pPr>
              <w:jc w:val="both"/>
              <w:rPr>
                <w:rFonts w:cs="Times New Roman"/>
                <w:szCs w:val="24"/>
              </w:rPr>
            </w:pPr>
            <w:r w:rsidRPr="00944B15">
              <w:rPr>
                <w:rFonts w:cs="Times New Roman"/>
                <w:szCs w:val="24"/>
              </w:rPr>
              <w:t>Neuroleptic drugs, opioids, sedatives, alcohol, antihypertensive agents, adrenaline/noradrenaline, MAOIs, and metoclopramide intranasal</w:t>
            </w:r>
          </w:p>
        </w:tc>
      </w:tr>
      <w:tr w:rsidR="00265BA6" w:rsidRPr="00944B15" w14:paraId="33BE152C" w14:textId="77777777" w:rsidTr="002D6DD7">
        <w:tc>
          <w:tcPr>
            <w:tcW w:w="2610" w:type="dxa"/>
          </w:tcPr>
          <w:p w14:paraId="519413EC" w14:textId="77777777" w:rsidR="00265BA6" w:rsidRPr="00944B15" w:rsidRDefault="00265BA6" w:rsidP="002D6DD7">
            <w:pPr>
              <w:jc w:val="both"/>
              <w:rPr>
                <w:rFonts w:cs="Times New Roman"/>
                <w:szCs w:val="24"/>
              </w:rPr>
            </w:pPr>
            <w:r w:rsidRPr="00944B15">
              <w:rPr>
                <w:rFonts w:cs="Times New Roman"/>
                <w:szCs w:val="24"/>
              </w:rPr>
              <w:t>Side effects</w:t>
            </w:r>
          </w:p>
        </w:tc>
        <w:tc>
          <w:tcPr>
            <w:tcW w:w="6840" w:type="dxa"/>
            <w:shd w:val="clear" w:color="auto" w:fill="FFFFFF" w:themeFill="background1"/>
          </w:tcPr>
          <w:p w14:paraId="38CD36DA" w14:textId="77777777" w:rsidR="00265BA6" w:rsidRPr="00944B15" w:rsidRDefault="00265BA6" w:rsidP="002D6DD7">
            <w:pPr>
              <w:jc w:val="both"/>
              <w:rPr>
                <w:rFonts w:cs="Times New Roman"/>
                <w:b/>
                <w:bCs/>
                <w:szCs w:val="24"/>
              </w:rPr>
            </w:pPr>
            <w:r w:rsidRPr="00944B15">
              <w:rPr>
                <w:rFonts w:cs="Times New Roman"/>
                <w:szCs w:val="24"/>
              </w:rPr>
              <w:t xml:space="preserve">Apnoea, hypotension, movement disorders, nausea, respiratory depression, skin reactions, pain at injection site, vomiting, adrenal suppression, and hiccups </w:t>
            </w:r>
          </w:p>
        </w:tc>
      </w:tr>
      <w:tr w:rsidR="00265BA6" w:rsidRPr="00944B15" w14:paraId="4E87FD43" w14:textId="77777777" w:rsidTr="002D6DD7">
        <w:tc>
          <w:tcPr>
            <w:tcW w:w="2610" w:type="dxa"/>
          </w:tcPr>
          <w:p w14:paraId="1E3F19DE"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840" w:type="dxa"/>
          </w:tcPr>
          <w:p w14:paraId="75D02E2A" w14:textId="77777777" w:rsidR="00265BA6" w:rsidRPr="00944B15" w:rsidRDefault="00265BA6" w:rsidP="002D6DD7">
            <w:pPr>
              <w:jc w:val="both"/>
              <w:rPr>
                <w:rFonts w:cs="Times New Roman"/>
                <w:szCs w:val="24"/>
              </w:rPr>
            </w:pPr>
            <w:r w:rsidRPr="00944B15">
              <w:rPr>
                <w:rFonts w:cs="Times New Roman"/>
                <w:szCs w:val="24"/>
              </w:rPr>
              <w:t>Acute circulatory failure (shock), adrenal insufficiency, acute porphyria, cardiovascular disease, elderly,</w:t>
            </w:r>
            <w:r>
              <w:rPr>
                <w:rFonts w:cs="Times New Roman"/>
                <w:szCs w:val="24"/>
              </w:rPr>
              <w:t xml:space="preserve"> pediatrics less than 10years, </w:t>
            </w:r>
            <w:r w:rsidRPr="00944B15">
              <w:rPr>
                <w:rFonts w:cs="Times New Roman"/>
                <w:szCs w:val="24"/>
              </w:rPr>
              <w:t>in critically ill patients (e.g. Sepsis), respiratory disorders, liver cirrhosis, pregnancy, breastfeeding (withhold for 24hrs after treatment)</w:t>
            </w:r>
          </w:p>
        </w:tc>
      </w:tr>
      <w:tr w:rsidR="00265BA6" w:rsidRPr="00944B15" w14:paraId="11D05172" w14:textId="77777777" w:rsidTr="002D6DD7">
        <w:tc>
          <w:tcPr>
            <w:tcW w:w="2610" w:type="dxa"/>
          </w:tcPr>
          <w:p w14:paraId="520BE4DB"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840" w:type="dxa"/>
          </w:tcPr>
          <w:p w14:paraId="2D578684" w14:textId="77777777" w:rsidR="00265BA6" w:rsidRPr="00944B15" w:rsidRDefault="00265BA6" w:rsidP="002D6DD7">
            <w:pPr>
              <w:jc w:val="both"/>
              <w:rPr>
                <w:rFonts w:cs="Times New Roman"/>
                <w:szCs w:val="24"/>
              </w:rPr>
            </w:pPr>
            <w:r w:rsidRPr="00944B15">
              <w:rPr>
                <w:rFonts w:cs="Times New Roman"/>
                <w:szCs w:val="24"/>
              </w:rPr>
              <w:t xml:space="preserve">Store </w:t>
            </w:r>
            <w:r>
              <w:rPr>
                <w:rFonts w:cs="Times New Roman"/>
                <w:szCs w:val="24"/>
              </w:rPr>
              <w:t xml:space="preserve">between </w:t>
            </w:r>
            <w:r w:rsidRPr="00944B15">
              <w:rPr>
                <w:rFonts w:cs="Times New Roman"/>
                <w:szCs w:val="24"/>
              </w:rPr>
              <w:t>20°C</w:t>
            </w:r>
            <w:r>
              <w:rPr>
                <w:rFonts w:cs="Times New Roman"/>
                <w:szCs w:val="24"/>
              </w:rPr>
              <w:t xml:space="preserve"> and 30</w:t>
            </w:r>
            <w:r w:rsidRPr="00944B15">
              <w:rPr>
                <w:rFonts w:cs="Times New Roman"/>
                <w:szCs w:val="24"/>
              </w:rPr>
              <w:t xml:space="preserve"> °C.</w:t>
            </w:r>
          </w:p>
        </w:tc>
      </w:tr>
    </w:tbl>
    <w:tbl>
      <w:tblPr>
        <w:tblStyle w:val="TableGrid5"/>
        <w:tblW w:w="0" w:type="auto"/>
        <w:tblInd w:w="-95" w:type="dxa"/>
        <w:tblLayout w:type="fixed"/>
        <w:tblLook w:val="04A0" w:firstRow="1" w:lastRow="0" w:firstColumn="1" w:lastColumn="0" w:noHBand="0" w:noVBand="1"/>
      </w:tblPr>
      <w:tblGrid>
        <w:gridCol w:w="2610"/>
        <w:gridCol w:w="6835"/>
      </w:tblGrid>
      <w:tr w:rsidR="00265BA6" w:rsidRPr="00944B15" w14:paraId="16CE2BDC" w14:textId="77777777" w:rsidTr="002D6DD7">
        <w:tc>
          <w:tcPr>
            <w:tcW w:w="9445" w:type="dxa"/>
            <w:gridSpan w:val="2"/>
          </w:tcPr>
          <w:p w14:paraId="7FD12D92" w14:textId="77777777" w:rsidR="00265BA6" w:rsidRPr="00944B15" w:rsidRDefault="00265BA6" w:rsidP="002D6DD7">
            <w:pPr>
              <w:jc w:val="both"/>
              <w:rPr>
                <w:rFonts w:cs="Times New Roman"/>
                <w:b/>
                <w:szCs w:val="24"/>
              </w:rPr>
            </w:pPr>
            <w:r w:rsidRPr="00944B15">
              <w:rPr>
                <w:rFonts w:cs="Times New Roman"/>
                <w:b/>
                <w:szCs w:val="24"/>
              </w:rPr>
              <w:t>Fentanyl</w:t>
            </w:r>
          </w:p>
        </w:tc>
      </w:tr>
      <w:tr w:rsidR="00265BA6" w:rsidRPr="00944B15" w14:paraId="43D911EC" w14:textId="77777777" w:rsidTr="002D6DD7">
        <w:tc>
          <w:tcPr>
            <w:tcW w:w="2610" w:type="dxa"/>
          </w:tcPr>
          <w:p w14:paraId="7E754719"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835" w:type="dxa"/>
          </w:tcPr>
          <w:p w14:paraId="7435826A" w14:textId="77777777" w:rsidR="00265BA6" w:rsidRPr="00944B15" w:rsidRDefault="00265BA6" w:rsidP="002D6DD7">
            <w:pPr>
              <w:jc w:val="both"/>
              <w:rPr>
                <w:rFonts w:cs="Times New Roman"/>
                <w:szCs w:val="24"/>
              </w:rPr>
            </w:pPr>
            <w:r w:rsidRPr="00944B15">
              <w:rPr>
                <w:rFonts w:cs="Times New Roman"/>
                <w:szCs w:val="24"/>
              </w:rPr>
              <w:t>IV Anaesthetic</w:t>
            </w:r>
          </w:p>
        </w:tc>
      </w:tr>
      <w:tr w:rsidR="00265BA6" w:rsidRPr="00944B15" w14:paraId="0D344800" w14:textId="77777777" w:rsidTr="002D6DD7">
        <w:tc>
          <w:tcPr>
            <w:tcW w:w="2610" w:type="dxa"/>
          </w:tcPr>
          <w:p w14:paraId="7991567C" w14:textId="77777777" w:rsidR="00265BA6" w:rsidRPr="00944B15" w:rsidRDefault="00265BA6" w:rsidP="002D6DD7">
            <w:pPr>
              <w:jc w:val="both"/>
              <w:rPr>
                <w:rFonts w:cs="Times New Roman"/>
                <w:szCs w:val="24"/>
              </w:rPr>
            </w:pPr>
            <w:r w:rsidRPr="00944B15">
              <w:rPr>
                <w:rFonts w:cs="Times New Roman"/>
                <w:szCs w:val="24"/>
              </w:rPr>
              <w:lastRenderedPageBreak/>
              <w:t>Dosage form</w:t>
            </w:r>
          </w:p>
        </w:tc>
        <w:tc>
          <w:tcPr>
            <w:tcW w:w="6835" w:type="dxa"/>
          </w:tcPr>
          <w:p w14:paraId="57AFC563" w14:textId="77777777" w:rsidR="00265BA6" w:rsidRPr="00944B15" w:rsidRDefault="00265BA6" w:rsidP="002D6DD7">
            <w:pPr>
              <w:jc w:val="both"/>
              <w:rPr>
                <w:rFonts w:cs="Times New Roman"/>
                <w:szCs w:val="24"/>
              </w:rPr>
            </w:pPr>
            <w:r w:rsidRPr="00944B15">
              <w:rPr>
                <w:rFonts w:cs="Times New Roman"/>
                <w:szCs w:val="24"/>
              </w:rPr>
              <w:t xml:space="preserve">Injection: 50mg/ </w:t>
            </w:r>
            <w:r>
              <w:rPr>
                <w:rFonts w:cs="Times New Roman"/>
                <w:szCs w:val="24"/>
              </w:rPr>
              <w:t>ml</w:t>
            </w:r>
          </w:p>
        </w:tc>
      </w:tr>
      <w:tr w:rsidR="00265BA6" w:rsidRPr="00944B15" w14:paraId="393B8317" w14:textId="77777777" w:rsidTr="002D6DD7">
        <w:tc>
          <w:tcPr>
            <w:tcW w:w="2610" w:type="dxa"/>
          </w:tcPr>
          <w:p w14:paraId="29BAE418" w14:textId="77777777" w:rsidR="00265BA6" w:rsidRPr="00944B15" w:rsidRDefault="00265BA6" w:rsidP="002D6DD7">
            <w:pPr>
              <w:jc w:val="both"/>
              <w:rPr>
                <w:rFonts w:cs="Times New Roman"/>
                <w:szCs w:val="24"/>
              </w:rPr>
            </w:pPr>
            <w:r w:rsidRPr="00944B15">
              <w:rPr>
                <w:rFonts w:cs="Times New Roman"/>
                <w:szCs w:val="24"/>
              </w:rPr>
              <w:t>Indications</w:t>
            </w:r>
          </w:p>
        </w:tc>
        <w:tc>
          <w:tcPr>
            <w:tcW w:w="6835" w:type="dxa"/>
          </w:tcPr>
          <w:p w14:paraId="01CD3A20" w14:textId="77777777" w:rsidR="00265BA6" w:rsidRPr="00944B15" w:rsidRDefault="00265BA6" w:rsidP="002D6DD7">
            <w:pPr>
              <w:jc w:val="both"/>
              <w:rPr>
                <w:rFonts w:cs="Times New Roman"/>
                <w:szCs w:val="24"/>
              </w:rPr>
            </w:pPr>
            <w:r w:rsidRPr="00944B15">
              <w:rPr>
                <w:rFonts w:cs="Times New Roman"/>
                <w:szCs w:val="24"/>
              </w:rPr>
              <w:t xml:space="preserve">For induction of general </w:t>
            </w:r>
            <w:r>
              <w:rPr>
                <w:rFonts w:cs="Times New Roman"/>
                <w:szCs w:val="24"/>
              </w:rPr>
              <w:t>anesthesia</w:t>
            </w:r>
            <w:r w:rsidRPr="00944B15">
              <w:rPr>
                <w:rFonts w:cs="Times New Roman"/>
                <w:szCs w:val="24"/>
              </w:rPr>
              <w:t xml:space="preserve"> and as premedication</w:t>
            </w:r>
          </w:p>
        </w:tc>
      </w:tr>
      <w:tr w:rsidR="00265BA6" w:rsidRPr="00944B15" w14:paraId="759CC345" w14:textId="77777777" w:rsidTr="002D6DD7">
        <w:tc>
          <w:tcPr>
            <w:tcW w:w="2610" w:type="dxa"/>
          </w:tcPr>
          <w:p w14:paraId="3B20DC4E"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835" w:type="dxa"/>
          </w:tcPr>
          <w:p w14:paraId="76B069BC" w14:textId="77777777" w:rsidR="00265BA6" w:rsidRPr="00944B15" w:rsidRDefault="00265BA6" w:rsidP="002D6DD7">
            <w:pPr>
              <w:jc w:val="both"/>
              <w:rPr>
                <w:rFonts w:cs="Times New Roman"/>
                <w:b/>
                <w:szCs w:val="24"/>
              </w:rPr>
            </w:pPr>
            <w:r w:rsidRPr="00944B15">
              <w:rPr>
                <w:rFonts w:cs="Times New Roman"/>
                <w:b/>
                <w:szCs w:val="24"/>
              </w:rPr>
              <w:t>Adults and children aged 12 years and above:</w:t>
            </w:r>
          </w:p>
          <w:p w14:paraId="68D5437C" w14:textId="77777777" w:rsidR="00265BA6" w:rsidRPr="00944B15" w:rsidRDefault="00265BA6" w:rsidP="002D6DD7">
            <w:pPr>
              <w:jc w:val="both"/>
              <w:rPr>
                <w:rFonts w:cs="Times New Roman"/>
                <w:b/>
                <w:szCs w:val="24"/>
              </w:rPr>
            </w:pPr>
            <w:r w:rsidRPr="00944B15">
              <w:rPr>
                <w:rFonts w:cs="Times New Roman"/>
                <w:b/>
                <w:szCs w:val="24"/>
              </w:rPr>
              <w:t xml:space="preserve">General </w:t>
            </w:r>
            <w:r>
              <w:rPr>
                <w:rFonts w:cs="Times New Roman"/>
                <w:b/>
                <w:szCs w:val="24"/>
              </w:rPr>
              <w:t>anesthesia:</w:t>
            </w:r>
          </w:p>
          <w:p w14:paraId="588AE55B" w14:textId="77777777" w:rsidR="00265BA6" w:rsidRPr="00944B15" w:rsidRDefault="00265BA6" w:rsidP="002D6DD7">
            <w:pPr>
              <w:jc w:val="both"/>
              <w:rPr>
                <w:rFonts w:cs="Times New Roman"/>
                <w:szCs w:val="24"/>
              </w:rPr>
            </w:pPr>
            <w:r w:rsidRPr="00944B15">
              <w:rPr>
                <w:rFonts w:cs="Times New Roman"/>
                <w:szCs w:val="24"/>
              </w:rPr>
              <w:t>Minor surgery: 0.5-2 mcg/kg/dose IV</w:t>
            </w:r>
          </w:p>
          <w:p w14:paraId="638DB0D1" w14:textId="77777777" w:rsidR="00265BA6" w:rsidRPr="00944B15" w:rsidRDefault="00265BA6" w:rsidP="002D6DD7">
            <w:pPr>
              <w:jc w:val="both"/>
              <w:rPr>
                <w:rFonts w:cs="Times New Roman"/>
                <w:szCs w:val="24"/>
              </w:rPr>
            </w:pPr>
            <w:r w:rsidRPr="00944B15">
              <w:rPr>
                <w:rFonts w:cs="Times New Roman"/>
                <w:szCs w:val="24"/>
              </w:rPr>
              <w:t>Major surgery: 2-20 mcg/kg/dose initially; 1-2 mcg/kg/ hr maintenance infusion IV; discontinue infusion 30-60 min prior to end of surgery; limit total fentanyl doses to 10-15 mcg/kg.</w:t>
            </w:r>
          </w:p>
          <w:p w14:paraId="4DC53D2F" w14:textId="77777777" w:rsidR="00265BA6" w:rsidRPr="00944B15" w:rsidRDefault="00265BA6" w:rsidP="002D6DD7">
            <w:pPr>
              <w:jc w:val="both"/>
              <w:rPr>
                <w:rFonts w:cs="Times New Roman"/>
                <w:b/>
                <w:szCs w:val="24"/>
              </w:rPr>
            </w:pPr>
            <w:r w:rsidRPr="00944B15">
              <w:rPr>
                <w:rFonts w:cs="Times New Roman"/>
                <w:b/>
                <w:szCs w:val="24"/>
              </w:rPr>
              <w:t>Surgery Premedication:</w:t>
            </w:r>
          </w:p>
          <w:p w14:paraId="22C90633" w14:textId="77777777" w:rsidR="00265BA6" w:rsidRPr="00944B15" w:rsidRDefault="00265BA6" w:rsidP="002D6DD7">
            <w:pPr>
              <w:jc w:val="both"/>
              <w:rPr>
                <w:rFonts w:cs="Times New Roman"/>
                <w:szCs w:val="24"/>
              </w:rPr>
            </w:pPr>
            <w:r w:rsidRPr="00944B15">
              <w:rPr>
                <w:rFonts w:cs="Times New Roman"/>
                <w:szCs w:val="24"/>
              </w:rPr>
              <w:t>50-100 mcg/dose IM or slow IV 30-60 min prior to surgery</w:t>
            </w:r>
          </w:p>
          <w:p w14:paraId="14FF8901" w14:textId="77777777" w:rsidR="00265BA6" w:rsidRPr="00944B15" w:rsidRDefault="00265BA6" w:rsidP="002D6DD7">
            <w:pPr>
              <w:jc w:val="both"/>
              <w:rPr>
                <w:rFonts w:cs="Times New Roman"/>
                <w:szCs w:val="24"/>
              </w:rPr>
            </w:pPr>
            <w:r w:rsidRPr="00944B15">
              <w:rPr>
                <w:rFonts w:cs="Times New Roman"/>
                <w:szCs w:val="24"/>
              </w:rPr>
              <w:t>Adjunct to regional anesthesia: 25-100 mcg/dose slow IV over 1-2 min</w:t>
            </w:r>
          </w:p>
          <w:p w14:paraId="2A37A0DD" w14:textId="77777777" w:rsidR="00265BA6" w:rsidRPr="00944B15" w:rsidRDefault="00265BA6" w:rsidP="002D6DD7">
            <w:pPr>
              <w:jc w:val="both"/>
              <w:rPr>
                <w:rFonts w:cs="Times New Roman"/>
                <w:b/>
                <w:szCs w:val="24"/>
              </w:rPr>
            </w:pPr>
            <w:r>
              <w:rPr>
                <w:rFonts w:cs="Times New Roman"/>
                <w:b/>
                <w:szCs w:val="24"/>
              </w:rPr>
              <w:t>Pediatric:</w:t>
            </w:r>
          </w:p>
          <w:p w14:paraId="33230C49" w14:textId="77777777" w:rsidR="00265BA6" w:rsidRPr="00944B15" w:rsidRDefault="00265BA6" w:rsidP="002D6DD7">
            <w:pPr>
              <w:jc w:val="both"/>
              <w:rPr>
                <w:rFonts w:cs="Times New Roman"/>
                <w:szCs w:val="24"/>
              </w:rPr>
            </w:pPr>
            <w:r w:rsidRPr="00944B15">
              <w:rPr>
                <w:rFonts w:cs="Times New Roman"/>
                <w:szCs w:val="24"/>
              </w:rPr>
              <w:t xml:space="preserve">Induction of </w:t>
            </w:r>
            <w:r>
              <w:rPr>
                <w:rFonts w:cs="Times New Roman"/>
                <w:szCs w:val="24"/>
              </w:rPr>
              <w:t>anesthesia</w:t>
            </w:r>
            <w:r w:rsidRPr="00944B15">
              <w:rPr>
                <w:rFonts w:cs="Times New Roman"/>
                <w:szCs w:val="24"/>
              </w:rPr>
              <w:t xml:space="preserve"> Child 2-12years: 2-3mcg/kg</w:t>
            </w:r>
          </w:p>
          <w:p w14:paraId="629B29BB" w14:textId="77777777" w:rsidR="00265BA6" w:rsidRPr="00944B15" w:rsidRDefault="00265BA6" w:rsidP="002D6DD7">
            <w:pPr>
              <w:jc w:val="both"/>
              <w:rPr>
                <w:rFonts w:cs="Times New Roman"/>
                <w:szCs w:val="24"/>
              </w:rPr>
            </w:pPr>
            <w:r w:rsidRPr="00944B15">
              <w:rPr>
                <w:rFonts w:cs="Times New Roman"/>
                <w:szCs w:val="24"/>
              </w:rPr>
              <w:t xml:space="preserve">Maintenance of </w:t>
            </w:r>
            <w:r>
              <w:rPr>
                <w:rFonts w:cs="Times New Roman"/>
                <w:szCs w:val="24"/>
              </w:rPr>
              <w:t>anesthesia</w:t>
            </w:r>
            <w:r w:rsidRPr="00944B15">
              <w:rPr>
                <w:rFonts w:cs="Times New Roman"/>
                <w:szCs w:val="24"/>
              </w:rPr>
              <w:t>: Child 2-12years 2-3mcg/kg</w:t>
            </w:r>
          </w:p>
        </w:tc>
      </w:tr>
      <w:tr w:rsidR="00265BA6" w:rsidRPr="00944B15" w14:paraId="51393F27" w14:textId="77777777" w:rsidTr="002D6DD7">
        <w:tc>
          <w:tcPr>
            <w:tcW w:w="2610" w:type="dxa"/>
          </w:tcPr>
          <w:p w14:paraId="19FC3431"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835" w:type="dxa"/>
          </w:tcPr>
          <w:p w14:paraId="7B6AF4AB" w14:textId="77777777" w:rsidR="00265BA6" w:rsidRPr="00944B15" w:rsidRDefault="00265BA6" w:rsidP="002D6DD7">
            <w:pPr>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significant respiratory depression, </w:t>
            </w:r>
            <w:r>
              <w:rPr>
                <w:rFonts w:cs="Times New Roman"/>
                <w:szCs w:val="24"/>
              </w:rPr>
              <w:t>k</w:t>
            </w:r>
            <w:r w:rsidRPr="00944B15">
              <w:rPr>
                <w:rFonts w:cs="Times New Roman"/>
                <w:szCs w:val="24"/>
              </w:rPr>
              <w:t>nown or suspected gastrointestinal obstruction, including paralytic ileus</w:t>
            </w:r>
            <w:r>
              <w:rPr>
                <w:rFonts w:cs="Times New Roman"/>
                <w:szCs w:val="24"/>
              </w:rPr>
              <w:t>,</w:t>
            </w:r>
            <w:r w:rsidRPr="00944B15">
              <w:rPr>
                <w:rFonts w:cs="Times New Roman"/>
                <w:szCs w:val="24"/>
              </w:rPr>
              <w:t xml:space="preserve"> concurrent administration with MAO inhibitors or within 2</w:t>
            </w:r>
            <w:r>
              <w:rPr>
                <w:rFonts w:cs="Times New Roman"/>
                <w:szCs w:val="24"/>
              </w:rPr>
              <w:t xml:space="preserve"> </w:t>
            </w:r>
            <w:r w:rsidRPr="00944B15">
              <w:rPr>
                <w:rFonts w:cs="Times New Roman"/>
                <w:szCs w:val="24"/>
              </w:rPr>
              <w:t>weeks of their discontinuation</w:t>
            </w:r>
            <w:r>
              <w:rPr>
                <w:rFonts w:cs="Times New Roman"/>
                <w:szCs w:val="24"/>
              </w:rPr>
              <w:t>.</w:t>
            </w:r>
          </w:p>
        </w:tc>
      </w:tr>
      <w:tr w:rsidR="00265BA6" w:rsidRPr="00944B15" w14:paraId="57109F03" w14:textId="77777777" w:rsidTr="002D6DD7">
        <w:tc>
          <w:tcPr>
            <w:tcW w:w="2610" w:type="dxa"/>
          </w:tcPr>
          <w:p w14:paraId="1C389EE6"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835" w:type="dxa"/>
          </w:tcPr>
          <w:p w14:paraId="4334AE54" w14:textId="77777777" w:rsidR="00265BA6" w:rsidRPr="00944B15" w:rsidRDefault="00265BA6" w:rsidP="002D6DD7">
            <w:pPr>
              <w:jc w:val="both"/>
              <w:rPr>
                <w:rFonts w:cs="Times New Roman"/>
                <w:szCs w:val="24"/>
              </w:rPr>
            </w:pPr>
            <w:r w:rsidRPr="00944B15">
              <w:rPr>
                <w:rFonts w:cs="Times New Roman"/>
                <w:szCs w:val="24"/>
              </w:rPr>
              <w:t>Barbiturates, benzodiazepines, neuroleptics, other non-selective CNS depressants (e.g., alcohol), beta-blockers, suxamethonium, halothane, vecuronium</w:t>
            </w:r>
            <w:r>
              <w:rPr>
                <w:rFonts w:cs="Times New Roman"/>
                <w:szCs w:val="24"/>
              </w:rPr>
              <w:t xml:space="preserve">, </w:t>
            </w:r>
            <w:r w:rsidRPr="00944B15">
              <w:rPr>
                <w:rFonts w:cs="Times New Roman"/>
                <w:szCs w:val="24"/>
              </w:rPr>
              <w:t>IV midazolam.</w:t>
            </w:r>
          </w:p>
        </w:tc>
      </w:tr>
      <w:tr w:rsidR="00265BA6" w:rsidRPr="00944B15" w14:paraId="2941DF82" w14:textId="77777777" w:rsidTr="002D6DD7">
        <w:tc>
          <w:tcPr>
            <w:tcW w:w="2610" w:type="dxa"/>
          </w:tcPr>
          <w:p w14:paraId="33B10F68" w14:textId="77777777" w:rsidR="00265BA6" w:rsidRPr="00944B15" w:rsidRDefault="00265BA6" w:rsidP="002D6DD7">
            <w:pPr>
              <w:jc w:val="both"/>
              <w:rPr>
                <w:rFonts w:cs="Times New Roman"/>
                <w:szCs w:val="24"/>
              </w:rPr>
            </w:pPr>
            <w:r w:rsidRPr="00944B15">
              <w:rPr>
                <w:rFonts w:cs="Times New Roman"/>
                <w:szCs w:val="24"/>
              </w:rPr>
              <w:t>Side effects</w:t>
            </w:r>
          </w:p>
        </w:tc>
        <w:tc>
          <w:tcPr>
            <w:tcW w:w="6835" w:type="dxa"/>
          </w:tcPr>
          <w:p w14:paraId="2AA8D00A" w14:textId="77777777" w:rsidR="00265BA6" w:rsidRPr="00944B15" w:rsidRDefault="00265BA6" w:rsidP="002D6DD7">
            <w:pPr>
              <w:jc w:val="both"/>
              <w:rPr>
                <w:rFonts w:cs="Times New Roman"/>
                <w:szCs w:val="24"/>
              </w:rPr>
            </w:pPr>
            <w:r w:rsidRPr="00944B15">
              <w:rPr>
                <w:rFonts w:cs="Times New Roman"/>
                <w:szCs w:val="24"/>
              </w:rPr>
              <w:t>Drowsiness, nausea or vomiting, muscle rigidity, agitation, bronchospasm, bradycardia, hypotension, respiratory depression, cardiac arrhythmia, biliary spasm, visual disturbances, apnoea, constipation, ureteral spasm, allergic dermatitis</w:t>
            </w:r>
            <w:r>
              <w:rPr>
                <w:rFonts w:cs="Times New Roman"/>
                <w:szCs w:val="24"/>
              </w:rPr>
              <w:t xml:space="preserve">, </w:t>
            </w:r>
            <w:r w:rsidRPr="00944B15">
              <w:rPr>
                <w:rFonts w:cs="Times New Roman"/>
                <w:szCs w:val="24"/>
              </w:rPr>
              <w:t>postoperative confusion</w:t>
            </w:r>
          </w:p>
        </w:tc>
      </w:tr>
      <w:tr w:rsidR="00265BA6" w:rsidRPr="00944B15" w14:paraId="06F2A800" w14:textId="77777777" w:rsidTr="002D6DD7">
        <w:tc>
          <w:tcPr>
            <w:tcW w:w="2610" w:type="dxa"/>
          </w:tcPr>
          <w:p w14:paraId="5F2849D4"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835" w:type="dxa"/>
          </w:tcPr>
          <w:p w14:paraId="27A52E6C" w14:textId="77777777" w:rsidR="00265BA6" w:rsidRPr="00944B15" w:rsidRDefault="00265BA6" w:rsidP="002D6DD7">
            <w:pPr>
              <w:jc w:val="both"/>
              <w:rPr>
                <w:rFonts w:cs="Times New Roman"/>
                <w:szCs w:val="24"/>
              </w:rPr>
            </w:pPr>
            <w:r w:rsidRPr="00944B15">
              <w:rPr>
                <w:rFonts w:cs="Times New Roman"/>
                <w:szCs w:val="24"/>
              </w:rPr>
              <w:t xml:space="preserve">Acute pancreatitis, </w:t>
            </w:r>
            <w:r>
              <w:rPr>
                <w:rFonts w:cs="Times New Roman"/>
                <w:szCs w:val="24"/>
              </w:rPr>
              <w:t>a</w:t>
            </w:r>
            <w:r w:rsidRPr="00944B15">
              <w:rPr>
                <w:rFonts w:cs="Times New Roman"/>
                <w:szCs w:val="24"/>
              </w:rPr>
              <w:t xml:space="preserve">ddison disease, benign prostatic hyperplasia, cardiac arrhythmias, CNS depression, gallbladder disease, gastrointestinal (GI) disorder, pseudomembranous colitis, GI surgery, head injury, hepatic impairment, hypothyroidism, renal </w:t>
            </w:r>
            <w:r w:rsidRPr="00944B15">
              <w:rPr>
                <w:rFonts w:cs="Times New Roman"/>
                <w:szCs w:val="24"/>
              </w:rPr>
              <w:lastRenderedPageBreak/>
              <w:t>impairment, chronic pulmonary disease, elderly age, pregnancy and breastfeeding.</w:t>
            </w:r>
          </w:p>
        </w:tc>
      </w:tr>
      <w:tr w:rsidR="00265BA6" w:rsidRPr="00944B15" w14:paraId="070A5086" w14:textId="77777777" w:rsidTr="002D6DD7">
        <w:tc>
          <w:tcPr>
            <w:tcW w:w="2610" w:type="dxa"/>
          </w:tcPr>
          <w:p w14:paraId="2623B569" w14:textId="77777777" w:rsidR="00265BA6" w:rsidRPr="00944B15" w:rsidRDefault="00265BA6" w:rsidP="002D6DD7">
            <w:pPr>
              <w:jc w:val="both"/>
              <w:rPr>
                <w:rFonts w:cs="Times New Roman"/>
                <w:szCs w:val="24"/>
              </w:rPr>
            </w:pPr>
            <w:r w:rsidRPr="00944B15">
              <w:rPr>
                <w:rFonts w:cs="Times New Roman"/>
                <w:szCs w:val="24"/>
              </w:rPr>
              <w:lastRenderedPageBreak/>
              <w:t>Storage condition</w:t>
            </w:r>
          </w:p>
        </w:tc>
        <w:tc>
          <w:tcPr>
            <w:tcW w:w="6835" w:type="dxa"/>
          </w:tcPr>
          <w:p w14:paraId="42F33378" w14:textId="77777777" w:rsidR="00265BA6" w:rsidRPr="00944B15" w:rsidRDefault="00265BA6" w:rsidP="002D6DD7">
            <w:pPr>
              <w:jc w:val="both"/>
              <w:rPr>
                <w:rFonts w:cs="Times New Roman"/>
                <w:szCs w:val="24"/>
              </w:rPr>
            </w:pPr>
            <w:r>
              <w:rPr>
                <w:rFonts w:cs="Times New Roman"/>
                <w:szCs w:val="24"/>
              </w:rPr>
              <w:t>Store below</w:t>
            </w:r>
            <w:r w:rsidRPr="00944B15">
              <w:rPr>
                <w:rFonts w:cs="Times New Roman"/>
                <w:szCs w:val="24"/>
              </w:rPr>
              <w:t xml:space="preserve"> 30°C</w:t>
            </w:r>
            <w:r>
              <w:rPr>
                <w:rFonts w:cs="Times New Roman"/>
                <w:szCs w:val="24"/>
              </w:rPr>
              <w:t>.</w:t>
            </w:r>
            <w:r w:rsidRPr="00944B15">
              <w:rPr>
                <w:rFonts w:cs="Times New Roman"/>
                <w:szCs w:val="24"/>
              </w:rPr>
              <w:t xml:space="preserve"> Protect from light. </w:t>
            </w:r>
          </w:p>
        </w:tc>
      </w:tr>
    </w:tbl>
    <w:tbl>
      <w:tblPr>
        <w:tblStyle w:val="TableGrid3"/>
        <w:tblW w:w="0" w:type="auto"/>
        <w:tblInd w:w="-95" w:type="dxa"/>
        <w:tblLayout w:type="fixed"/>
        <w:tblLook w:val="04A0" w:firstRow="1" w:lastRow="0" w:firstColumn="1" w:lastColumn="0" w:noHBand="0" w:noVBand="1"/>
      </w:tblPr>
      <w:tblGrid>
        <w:gridCol w:w="2610"/>
        <w:gridCol w:w="6835"/>
      </w:tblGrid>
      <w:tr w:rsidR="00265BA6" w:rsidRPr="00944B15" w14:paraId="274A4E6A" w14:textId="77777777" w:rsidTr="002D6DD7">
        <w:trPr>
          <w:trHeight w:val="503"/>
        </w:trPr>
        <w:tc>
          <w:tcPr>
            <w:tcW w:w="9445" w:type="dxa"/>
            <w:gridSpan w:val="2"/>
          </w:tcPr>
          <w:p w14:paraId="31BFD48F" w14:textId="77777777" w:rsidR="00265BA6" w:rsidRPr="00944B15" w:rsidRDefault="00265BA6" w:rsidP="002D6DD7">
            <w:pPr>
              <w:jc w:val="both"/>
              <w:rPr>
                <w:rFonts w:cs="Times New Roman"/>
                <w:b/>
                <w:szCs w:val="24"/>
              </w:rPr>
            </w:pPr>
            <w:r w:rsidRPr="00944B15">
              <w:rPr>
                <w:rFonts w:cs="Times New Roman"/>
                <w:b/>
                <w:szCs w:val="24"/>
              </w:rPr>
              <w:t>Ketamine</w:t>
            </w:r>
          </w:p>
        </w:tc>
      </w:tr>
      <w:tr w:rsidR="00265BA6" w:rsidRPr="00944B15" w14:paraId="08C37DA5" w14:textId="77777777" w:rsidTr="002D6DD7">
        <w:tc>
          <w:tcPr>
            <w:tcW w:w="2610" w:type="dxa"/>
          </w:tcPr>
          <w:p w14:paraId="68AEF187"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835" w:type="dxa"/>
          </w:tcPr>
          <w:p w14:paraId="1A74AAA7" w14:textId="77777777" w:rsidR="00265BA6" w:rsidRPr="00944B15" w:rsidRDefault="00265BA6" w:rsidP="002D6DD7">
            <w:pPr>
              <w:jc w:val="both"/>
              <w:rPr>
                <w:rFonts w:cs="Times New Roman"/>
                <w:szCs w:val="24"/>
              </w:rPr>
            </w:pPr>
            <w:r w:rsidRPr="00944B15">
              <w:rPr>
                <w:rFonts w:cs="Times New Roman"/>
                <w:szCs w:val="24"/>
              </w:rPr>
              <w:t>IV Anaesthetic</w:t>
            </w:r>
          </w:p>
        </w:tc>
      </w:tr>
      <w:tr w:rsidR="00265BA6" w:rsidRPr="00944B15" w14:paraId="0B70D462" w14:textId="77777777" w:rsidTr="002D6DD7">
        <w:tc>
          <w:tcPr>
            <w:tcW w:w="2610" w:type="dxa"/>
          </w:tcPr>
          <w:p w14:paraId="4EB7E687" w14:textId="77777777" w:rsidR="00265BA6" w:rsidRPr="00944B15" w:rsidRDefault="00265BA6" w:rsidP="002D6DD7">
            <w:pPr>
              <w:jc w:val="both"/>
              <w:rPr>
                <w:rFonts w:cs="Times New Roman"/>
                <w:szCs w:val="24"/>
              </w:rPr>
            </w:pPr>
            <w:r w:rsidRPr="00944B15">
              <w:rPr>
                <w:rFonts w:cs="Times New Roman"/>
                <w:szCs w:val="24"/>
              </w:rPr>
              <w:t>Dosage form</w:t>
            </w:r>
          </w:p>
        </w:tc>
        <w:tc>
          <w:tcPr>
            <w:tcW w:w="6835" w:type="dxa"/>
          </w:tcPr>
          <w:p w14:paraId="00139CBE" w14:textId="77777777" w:rsidR="00265BA6" w:rsidRPr="00944B15" w:rsidRDefault="00265BA6" w:rsidP="002D6DD7">
            <w:pPr>
              <w:jc w:val="both"/>
              <w:rPr>
                <w:rFonts w:cs="Times New Roman"/>
                <w:szCs w:val="24"/>
              </w:rPr>
            </w:pPr>
            <w:r w:rsidRPr="00944B15">
              <w:rPr>
                <w:rFonts w:cs="Times New Roman"/>
                <w:szCs w:val="24"/>
              </w:rPr>
              <w:t>Injection: 10 mg/</w:t>
            </w:r>
            <w:r>
              <w:rPr>
                <w:rFonts w:cs="Times New Roman"/>
                <w:szCs w:val="24"/>
              </w:rPr>
              <w:t>ml</w:t>
            </w:r>
            <w:r w:rsidRPr="00944B15">
              <w:rPr>
                <w:rFonts w:cs="Times New Roman"/>
                <w:szCs w:val="24"/>
              </w:rPr>
              <w:t xml:space="preserve"> in 20</w:t>
            </w:r>
            <w:r>
              <w:rPr>
                <w:rFonts w:cs="Times New Roman"/>
                <w:szCs w:val="24"/>
              </w:rPr>
              <w:t>ml</w:t>
            </w:r>
            <w:r w:rsidRPr="00944B15">
              <w:rPr>
                <w:rFonts w:cs="Times New Roman"/>
                <w:szCs w:val="24"/>
              </w:rPr>
              <w:t>, 50mg/</w:t>
            </w:r>
            <w:r>
              <w:rPr>
                <w:rFonts w:cs="Times New Roman"/>
                <w:szCs w:val="24"/>
              </w:rPr>
              <w:t>ml</w:t>
            </w:r>
          </w:p>
        </w:tc>
      </w:tr>
      <w:tr w:rsidR="00265BA6" w:rsidRPr="00944B15" w14:paraId="76AC1B61" w14:textId="77777777" w:rsidTr="002D6DD7">
        <w:tc>
          <w:tcPr>
            <w:tcW w:w="2610" w:type="dxa"/>
          </w:tcPr>
          <w:p w14:paraId="02905F4A" w14:textId="77777777" w:rsidR="00265BA6" w:rsidRPr="00944B15" w:rsidRDefault="00265BA6" w:rsidP="002D6DD7">
            <w:pPr>
              <w:jc w:val="both"/>
              <w:rPr>
                <w:rFonts w:cs="Times New Roman"/>
                <w:szCs w:val="24"/>
              </w:rPr>
            </w:pPr>
            <w:r w:rsidRPr="00944B15">
              <w:rPr>
                <w:rFonts w:cs="Times New Roman"/>
                <w:szCs w:val="24"/>
              </w:rPr>
              <w:t>Indications</w:t>
            </w:r>
          </w:p>
        </w:tc>
        <w:tc>
          <w:tcPr>
            <w:tcW w:w="6835" w:type="dxa"/>
          </w:tcPr>
          <w:p w14:paraId="77A4570A" w14:textId="77777777" w:rsidR="00265BA6" w:rsidRPr="00944B15" w:rsidRDefault="00265BA6" w:rsidP="002D6DD7">
            <w:pPr>
              <w:jc w:val="both"/>
              <w:rPr>
                <w:rFonts w:cs="Times New Roman"/>
                <w:szCs w:val="24"/>
              </w:rPr>
            </w:pPr>
            <w:r w:rsidRPr="00944B15">
              <w:rPr>
                <w:rFonts w:cs="Times New Roman"/>
                <w:szCs w:val="24"/>
              </w:rPr>
              <w:t xml:space="preserve">Induction and maintenance of </w:t>
            </w:r>
            <w:r>
              <w:rPr>
                <w:rFonts w:cs="Times New Roman"/>
                <w:szCs w:val="24"/>
              </w:rPr>
              <w:t>anesthesia</w:t>
            </w:r>
            <w:r w:rsidRPr="00944B15">
              <w:rPr>
                <w:rFonts w:cs="Times New Roman"/>
                <w:szCs w:val="24"/>
              </w:rPr>
              <w:t>, analgesia for painful procedures of short</w:t>
            </w:r>
            <w:r>
              <w:rPr>
                <w:rFonts w:cs="Times New Roman"/>
                <w:szCs w:val="24"/>
              </w:rPr>
              <w:t xml:space="preserve"> duration.</w:t>
            </w:r>
          </w:p>
        </w:tc>
      </w:tr>
      <w:tr w:rsidR="00265BA6" w:rsidRPr="00944B15" w14:paraId="14AC17CE" w14:textId="77777777" w:rsidTr="002D6DD7">
        <w:tc>
          <w:tcPr>
            <w:tcW w:w="2610" w:type="dxa"/>
          </w:tcPr>
          <w:p w14:paraId="43A3439C"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835" w:type="dxa"/>
          </w:tcPr>
          <w:p w14:paraId="69659CBF" w14:textId="77777777" w:rsidR="00265BA6" w:rsidRPr="00944B15" w:rsidRDefault="00265BA6" w:rsidP="002D6DD7">
            <w:pPr>
              <w:ind w:right="290"/>
              <w:jc w:val="both"/>
              <w:rPr>
                <w:rFonts w:cs="Times New Roman"/>
                <w:b/>
                <w:szCs w:val="24"/>
              </w:rPr>
            </w:pPr>
            <w:r w:rsidRPr="00944B15">
              <w:rPr>
                <w:rFonts w:cs="Times New Roman"/>
                <w:b/>
                <w:szCs w:val="24"/>
              </w:rPr>
              <w:t>Adult</w:t>
            </w:r>
            <w:r>
              <w:rPr>
                <w:rFonts w:cs="Times New Roman"/>
                <w:b/>
                <w:szCs w:val="24"/>
              </w:rPr>
              <w:t>:</w:t>
            </w:r>
          </w:p>
          <w:p w14:paraId="7A3B4CDC" w14:textId="77777777" w:rsidR="00265BA6" w:rsidRPr="00944B15" w:rsidRDefault="00265BA6" w:rsidP="002D6DD7">
            <w:pPr>
              <w:ind w:right="290"/>
              <w:jc w:val="both"/>
              <w:rPr>
                <w:rFonts w:cs="Times New Roman"/>
                <w:b/>
                <w:szCs w:val="24"/>
              </w:rPr>
            </w:pPr>
            <w:r w:rsidRPr="00944B15">
              <w:rPr>
                <w:rFonts w:cs="Times New Roman"/>
                <w:b/>
                <w:szCs w:val="24"/>
              </w:rPr>
              <w:t xml:space="preserve">Induction of </w:t>
            </w:r>
            <w:r>
              <w:rPr>
                <w:rFonts w:cs="Times New Roman"/>
                <w:b/>
                <w:szCs w:val="24"/>
              </w:rPr>
              <w:t>anesthesia</w:t>
            </w:r>
            <w:r w:rsidRPr="00944B15">
              <w:rPr>
                <w:rFonts w:cs="Times New Roman"/>
                <w:b/>
                <w:szCs w:val="24"/>
              </w:rPr>
              <w:t xml:space="preserve"> for short procedures: </w:t>
            </w:r>
          </w:p>
          <w:p w14:paraId="50008F54" w14:textId="77777777" w:rsidR="00265BA6" w:rsidRPr="00944B15" w:rsidRDefault="00265BA6" w:rsidP="002D6DD7">
            <w:pPr>
              <w:ind w:right="290"/>
              <w:jc w:val="both"/>
              <w:rPr>
                <w:rFonts w:cs="Times New Roman"/>
                <w:szCs w:val="24"/>
              </w:rPr>
            </w:pPr>
            <w:r w:rsidRPr="00D76338">
              <w:rPr>
                <w:rFonts w:cs="Times New Roman"/>
                <w:b/>
                <w:szCs w:val="24"/>
              </w:rPr>
              <w:t>IM injection:</w:t>
            </w:r>
            <w:r w:rsidRPr="00944B15">
              <w:rPr>
                <w:rFonts w:cs="Times New Roman"/>
                <w:szCs w:val="24"/>
              </w:rPr>
              <w:t xml:space="preserve"> Initially 4–6 mg/kg, adjusted</w:t>
            </w:r>
            <w:r w:rsidRPr="00944B15">
              <w:rPr>
                <w:rFonts w:cs="Times New Roman"/>
                <w:b/>
                <w:szCs w:val="24"/>
              </w:rPr>
              <w:t xml:space="preserve"> </w:t>
            </w:r>
            <w:r w:rsidRPr="00944B15">
              <w:rPr>
                <w:rFonts w:cs="Times New Roman"/>
                <w:szCs w:val="24"/>
              </w:rPr>
              <w:t>according to response.</w:t>
            </w:r>
          </w:p>
          <w:p w14:paraId="408769A6" w14:textId="77777777" w:rsidR="00265BA6" w:rsidRDefault="00265BA6" w:rsidP="002D6DD7">
            <w:pPr>
              <w:ind w:right="290"/>
              <w:jc w:val="both"/>
              <w:rPr>
                <w:rFonts w:cs="Times New Roman"/>
                <w:szCs w:val="24"/>
              </w:rPr>
            </w:pPr>
            <w:r w:rsidRPr="00D76338">
              <w:rPr>
                <w:rFonts w:cs="Times New Roman"/>
                <w:b/>
                <w:szCs w:val="24"/>
              </w:rPr>
              <w:t>IV injection:</w:t>
            </w:r>
            <w:r w:rsidRPr="00944B15">
              <w:rPr>
                <w:rFonts w:cs="Times New Roman"/>
                <w:szCs w:val="24"/>
              </w:rPr>
              <w:t xml:space="preserve"> Initially 1–2 mg/kg, adjusted according to response, administered over at least 60 seconds, a dose of 2 mg/kg usually produces 5–10 minutes of surgical </w:t>
            </w:r>
            <w:r>
              <w:rPr>
                <w:rFonts w:cs="Times New Roman"/>
                <w:szCs w:val="24"/>
              </w:rPr>
              <w:t>anesthesia</w:t>
            </w:r>
          </w:p>
          <w:p w14:paraId="25ECE0DE" w14:textId="77777777" w:rsidR="00265BA6" w:rsidRDefault="00265BA6" w:rsidP="002D6DD7">
            <w:pPr>
              <w:ind w:right="290"/>
              <w:jc w:val="both"/>
              <w:rPr>
                <w:rFonts w:cs="Times New Roman"/>
                <w:b/>
                <w:szCs w:val="24"/>
              </w:rPr>
            </w:pPr>
            <w:r>
              <w:rPr>
                <w:rFonts w:cs="Times New Roman"/>
                <w:b/>
                <w:szCs w:val="24"/>
              </w:rPr>
              <w:t>Maintenance</w:t>
            </w:r>
            <w:r w:rsidRPr="00D76338">
              <w:rPr>
                <w:rFonts w:cs="Times New Roman"/>
                <w:b/>
                <w:szCs w:val="24"/>
              </w:rPr>
              <w:t xml:space="preserve"> of </w:t>
            </w:r>
            <w:r>
              <w:rPr>
                <w:rFonts w:cs="Times New Roman"/>
                <w:b/>
                <w:szCs w:val="24"/>
              </w:rPr>
              <w:t>anesthesia</w:t>
            </w:r>
            <w:r w:rsidRPr="00D76338">
              <w:rPr>
                <w:rFonts w:cs="Times New Roman"/>
                <w:b/>
                <w:szCs w:val="24"/>
              </w:rPr>
              <w:t xml:space="preserve"> for short procedures:</w:t>
            </w:r>
          </w:p>
          <w:p w14:paraId="0B7B7D24" w14:textId="77777777" w:rsidR="00265BA6" w:rsidRPr="00127978" w:rsidRDefault="00265BA6" w:rsidP="002D6DD7">
            <w:pPr>
              <w:ind w:right="290"/>
              <w:jc w:val="both"/>
              <w:rPr>
                <w:rFonts w:cs="Times New Roman"/>
                <w:szCs w:val="24"/>
              </w:rPr>
            </w:pPr>
            <w:r w:rsidRPr="00D76338">
              <w:rPr>
                <w:rFonts w:cs="Times New Roman"/>
                <w:b/>
                <w:szCs w:val="24"/>
              </w:rPr>
              <w:t>IV:</w:t>
            </w:r>
            <w:r>
              <w:rPr>
                <w:rFonts w:cs="Times New Roman"/>
                <w:szCs w:val="24"/>
              </w:rPr>
              <w:t xml:space="preserve"> 0.25- 0.35mg/kg followed by continuous infusion up to 1mg/kg/hr</w:t>
            </w:r>
          </w:p>
          <w:p w14:paraId="1B7C956A" w14:textId="77777777" w:rsidR="00265BA6" w:rsidRPr="00944B15" w:rsidRDefault="00265BA6" w:rsidP="002D6DD7">
            <w:pPr>
              <w:ind w:right="290"/>
              <w:jc w:val="both"/>
              <w:rPr>
                <w:rFonts w:cs="Times New Roman"/>
                <w:b/>
                <w:szCs w:val="24"/>
              </w:rPr>
            </w:pPr>
            <w:r w:rsidRPr="00944B15">
              <w:rPr>
                <w:rFonts w:cs="Times New Roman"/>
                <w:b/>
                <w:szCs w:val="24"/>
              </w:rPr>
              <w:t>Diagnostic manoeuvres and procedures not involving intense pain</w:t>
            </w:r>
          </w:p>
          <w:p w14:paraId="157CB3FD" w14:textId="77777777" w:rsidR="00265BA6" w:rsidRPr="00944B15" w:rsidRDefault="00265BA6" w:rsidP="002D6DD7">
            <w:pPr>
              <w:ind w:right="290"/>
              <w:jc w:val="both"/>
              <w:rPr>
                <w:rFonts w:cs="Times New Roman"/>
                <w:szCs w:val="24"/>
              </w:rPr>
            </w:pPr>
            <w:r w:rsidRPr="00D76338">
              <w:rPr>
                <w:rFonts w:cs="Times New Roman"/>
                <w:b/>
                <w:szCs w:val="24"/>
              </w:rPr>
              <w:t>IM injection:</w:t>
            </w:r>
            <w:r w:rsidRPr="00944B15">
              <w:rPr>
                <w:rFonts w:cs="Times New Roman"/>
                <w:szCs w:val="24"/>
              </w:rPr>
              <w:t xml:space="preserve"> Initially 4 mg/kg induction and maintenance of </w:t>
            </w:r>
            <w:r>
              <w:rPr>
                <w:rFonts w:cs="Times New Roman"/>
                <w:szCs w:val="24"/>
              </w:rPr>
              <w:t>anesthesia</w:t>
            </w:r>
            <w:r w:rsidRPr="00944B15">
              <w:rPr>
                <w:rFonts w:cs="Times New Roman"/>
                <w:szCs w:val="24"/>
              </w:rPr>
              <w:t xml:space="preserve"> for long procedures</w:t>
            </w:r>
          </w:p>
          <w:p w14:paraId="6C11B864" w14:textId="77777777" w:rsidR="00265BA6" w:rsidRPr="00944B15" w:rsidRDefault="00265BA6" w:rsidP="002D6DD7">
            <w:pPr>
              <w:ind w:right="290"/>
              <w:jc w:val="both"/>
              <w:rPr>
                <w:rFonts w:cs="Times New Roman"/>
                <w:szCs w:val="24"/>
              </w:rPr>
            </w:pPr>
            <w:r w:rsidRPr="00D76338">
              <w:rPr>
                <w:rFonts w:cs="Times New Roman"/>
                <w:b/>
                <w:szCs w:val="24"/>
              </w:rPr>
              <w:t>IV infusion:</w:t>
            </w:r>
            <w:r w:rsidRPr="00944B15">
              <w:rPr>
                <w:rFonts w:cs="Times New Roman"/>
                <w:szCs w:val="24"/>
              </w:rPr>
              <w:t xml:space="preserve"> Initially 0.5–2 mg/kg, using an infusion solution containing 1 mg/</w:t>
            </w:r>
            <w:r>
              <w:rPr>
                <w:rFonts w:cs="Times New Roman"/>
                <w:szCs w:val="24"/>
              </w:rPr>
              <w:t>ml</w:t>
            </w:r>
            <w:r w:rsidRPr="00944B15">
              <w:rPr>
                <w:rFonts w:cs="Times New Roman"/>
                <w:szCs w:val="24"/>
              </w:rPr>
              <w:t>, maintenance 10–45 micrograms/kg/min (0.01–0.045 mg/kg/min), adjusted according to response</w:t>
            </w:r>
          </w:p>
          <w:p w14:paraId="7EDBB91A" w14:textId="77777777" w:rsidR="00265BA6" w:rsidRPr="00944B15" w:rsidRDefault="00265BA6" w:rsidP="002D6DD7">
            <w:pPr>
              <w:ind w:right="290"/>
              <w:jc w:val="both"/>
              <w:rPr>
                <w:rFonts w:cs="Times New Roman"/>
                <w:b/>
                <w:szCs w:val="24"/>
              </w:rPr>
            </w:pPr>
            <w:r>
              <w:rPr>
                <w:rFonts w:cs="Times New Roman"/>
                <w:b/>
                <w:szCs w:val="24"/>
              </w:rPr>
              <w:t>Pediatric</w:t>
            </w:r>
          </w:p>
          <w:p w14:paraId="4E59267C" w14:textId="77777777" w:rsidR="00265BA6" w:rsidRPr="00944B15" w:rsidRDefault="00265BA6" w:rsidP="002D6DD7">
            <w:pPr>
              <w:ind w:right="290"/>
              <w:jc w:val="both"/>
              <w:rPr>
                <w:rFonts w:cs="Times New Roman"/>
                <w:szCs w:val="24"/>
              </w:rPr>
            </w:pPr>
            <w:r w:rsidRPr="00944B15">
              <w:rPr>
                <w:rFonts w:cs="Times New Roman"/>
                <w:b/>
                <w:szCs w:val="24"/>
              </w:rPr>
              <w:t>Neonate, infant, or child:</w:t>
            </w:r>
            <w:r w:rsidRPr="00944B15">
              <w:rPr>
                <w:rFonts w:cs="Times New Roman"/>
                <w:szCs w:val="24"/>
              </w:rPr>
              <w:t xml:space="preserve"> 1–2 mg/kg produces 5–10 minutes of surgical </w:t>
            </w:r>
            <w:r>
              <w:rPr>
                <w:rFonts w:cs="Times New Roman"/>
                <w:szCs w:val="24"/>
              </w:rPr>
              <w:t>anesthesia</w:t>
            </w:r>
            <w:r w:rsidRPr="00944B15">
              <w:rPr>
                <w:rFonts w:cs="Times New Roman"/>
                <w:szCs w:val="24"/>
              </w:rPr>
              <w:t>, adjusted according to response</w:t>
            </w:r>
          </w:p>
          <w:p w14:paraId="4D264F9E" w14:textId="77777777" w:rsidR="00265BA6" w:rsidRPr="00D76338" w:rsidRDefault="00265BA6" w:rsidP="002D6DD7">
            <w:pPr>
              <w:ind w:right="290"/>
              <w:jc w:val="both"/>
              <w:rPr>
                <w:rFonts w:cs="Times New Roman"/>
                <w:b/>
                <w:szCs w:val="24"/>
              </w:rPr>
            </w:pPr>
            <w:r w:rsidRPr="00D76338">
              <w:rPr>
                <w:rFonts w:cs="Times New Roman"/>
                <w:b/>
                <w:szCs w:val="24"/>
              </w:rPr>
              <w:t>IM injection</w:t>
            </w:r>
          </w:p>
          <w:p w14:paraId="51C941CE" w14:textId="77777777" w:rsidR="00265BA6" w:rsidRPr="00944B15" w:rsidRDefault="00265BA6" w:rsidP="002D6DD7">
            <w:pPr>
              <w:ind w:right="290"/>
              <w:jc w:val="both"/>
              <w:rPr>
                <w:rFonts w:cs="Times New Roman"/>
                <w:szCs w:val="24"/>
              </w:rPr>
            </w:pPr>
            <w:r w:rsidRPr="00944B15">
              <w:rPr>
                <w:rFonts w:cs="Times New Roman"/>
                <w:b/>
                <w:szCs w:val="24"/>
              </w:rPr>
              <w:t>Neonate:</w:t>
            </w:r>
            <w:r w:rsidRPr="00944B15">
              <w:rPr>
                <w:rFonts w:cs="Times New Roman"/>
                <w:szCs w:val="24"/>
              </w:rPr>
              <w:t xml:space="preserve"> 4 mg/kg for 15 minutes of surgical </w:t>
            </w:r>
            <w:r>
              <w:rPr>
                <w:rFonts w:cs="Times New Roman"/>
                <w:szCs w:val="24"/>
              </w:rPr>
              <w:t>anesthesia</w:t>
            </w:r>
            <w:r w:rsidRPr="00944B15">
              <w:rPr>
                <w:rFonts w:cs="Times New Roman"/>
                <w:szCs w:val="24"/>
              </w:rPr>
              <w:t xml:space="preserve"> (adjusted </w:t>
            </w:r>
            <w:r w:rsidRPr="00944B15">
              <w:rPr>
                <w:rFonts w:cs="Times New Roman"/>
                <w:szCs w:val="24"/>
              </w:rPr>
              <w:lastRenderedPageBreak/>
              <w:t>according to response)</w:t>
            </w:r>
          </w:p>
          <w:p w14:paraId="30EE5AC5" w14:textId="77777777" w:rsidR="00265BA6" w:rsidRPr="00944B15" w:rsidRDefault="00265BA6" w:rsidP="002D6DD7">
            <w:pPr>
              <w:ind w:right="290"/>
              <w:jc w:val="both"/>
              <w:rPr>
                <w:rFonts w:cs="Times New Roman"/>
                <w:szCs w:val="24"/>
              </w:rPr>
            </w:pPr>
            <w:r w:rsidRPr="00944B15">
              <w:rPr>
                <w:rFonts w:cs="Times New Roman"/>
                <w:b/>
                <w:szCs w:val="24"/>
              </w:rPr>
              <w:t>Infant or child:</w:t>
            </w:r>
            <w:r w:rsidRPr="00944B15">
              <w:rPr>
                <w:rFonts w:cs="Times New Roman"/>
                <w:szCs w:val="24"/>
              </w:rPr>
              <w:t xml:space="preserve"> 4–6 mg/kg (4 mg/kg sufficient for some diagnostic procedures), adjusted according to response</w:t>
            </w:r>
          </w:p>
          <w:p w14:paraId="431D16BA" w14:textId="77777777" w:rsidR="00265BA6" w:rsidRPr="00944B15" w:rsidRDefault="00265BA6" w:rsidP="002D6DD7">
            <w:pPr>
              <w:ind w:right="290"/>
              <w:jc w:val="both"/>
              <w:rPr>
                <w:rFonts w:cs="Times New Roman"/>
                <w:b/>
                <w:szCs w:val="24"/>
              </w:rPr>
            </w:pPr>
            <w:r w:rsidRPr="00944B15">
              <w:rPr>
                <w:rFonts w:cs="Times New Roman"/>
                <w:b/>
                <w:szCs w:val="24"/>
              </w:rPr>
              <w:t xml:space="preserve">Induction and maintenance of </w:t>
            </w:r>
            <w:r>
              <w:rPr>
                <w:rFonts w:cs="Times New Roman"/>
                <w:b/>
                <w:szCs w:val="24"/>
              </w:rPr>
              <w:t>anesthesia</w:t>
            </w:r>
            <w:r w:rsidRPr="00944B15">
              <w:rPr>
                <w:rFonts w:cs="Times New Roman"/>
                <w:b/>
                <w:szCs w:val="24"/>
              </w:rPr>
              <w:t xml:space="preserve"> (longer procedures)</w:t>
            </w:r>
          </w:p>
          <w:p w14:paraId="4DFDAB45" w14:textId="77777777" w:rsidR="00265BA6" w:rsidRPr="00D76338" w:rsidRDefault="00265BA6" w:rsidP="002D6DD7">
            <w:pPr>
              <w:ind w:right="290"/>
              <w:jc w:val="both"/>
              <w:rPr>
                <w:rFonts w:cs="Times New Roman"/>
                <w:b/>
                <w:szCs w:val="24"/>
              </w:rPr>
            </w:pPr>
            <w:r w:rsidRPr="00D76338">
              <w:rPr>
                <w:rFonts w:cs="Times New Roman"/>
                <w:b/>
                <w:szCs w:val="24"/>
              </w:rPr>
              <w:t>Continuous IV infusion</w:t>
            </w:r>
          </w:p>
          <w:p w14:paraId="17A05DC5" w14:textId="77777777" w:rsidR="00265BA6" w:rsidRPr="00944B15" w:rsidRDefault="00265BA6" w:rsidP="002D6DD7">
            <w:pPr>
              <w:ind w:right="290"/>
              <w:jc w:val="both"/>
              <w:rPr>
                <w:rFonts w:cs="Times New Roman"/>
                <w:szCs w:val="24"/>
              </w:rPr>
            </w:pPr>
            <w:r w:rsidRPr="00944B15">
              <w:rPr>
                <w:rFonts w:cs="Times New Roman"/>
                <w:b/>
                <w:szCs w:val="24"/>
              </w:rPr>
              <w:t>Neonate:</w:t>
            </w:r>
            <w:r w:rsidRPr="00944B15">
              <w:rPr>
                <w:rFonts w:cs="Times New Roman"/>
                <w:szCs w:val="24"/>
              </w:rPr>
              <w:t xml:space="preserve"> Initially 0.5–2 mg/kg followed by a continuous IV infusion of 500 micrograms/kg/hour adjusted according to response, up to 2 mg/kg/hour may be used to produce deep </w:t>
            </w:r>
            <w:r>
              <w:rPr>
                <w:rFonts w:cs="Times New Roman"/>
                <w:szCs w:val="24"/>
              </w:rPr>
              <w:t>anesthesia</w:t>
            </w:r>
          </w:p>
          <w:p w14:paraId="7E3A1106" w14:textId="77777777" w:rsidR="00265BA6" w:rsidRPr="00944B15" w:rsidRDefault="00265BA6" w:rsidP="002D6DD7">
            <w:pPr>
              <w:ind w:right="290"/>
              <w:jc w:val="both"/>
              <w:rPr>
                <w:rFonts w:cs="Times New Roman"/>
                <w:szCs w:val="24"/>
              </w:rPr>
            </w:pPr>
            <w:r w:rsidRPr="00944B15">
              <w:rPr>
                <w:rFonts w:cs="Times New Roman"/>
                <w:b/>
                <w:szCs w:val="24"/>
              </w:rPr>
              <w:t>Infant or child:</w:t>
            </w:r>
            <w:r w:rsidRPr="00944B15">
              <w:rPr>
                <w:rFonts w:cs="Times New Roman"/>
                <w:szCs w:val="24"/>
              </w:rPr>
              <w:t xml:space="preserve"> Initially 0.5–2 mg/kg followed by a continuous IV infusion of 0.6–2.7 mg/kg/hour adjusted according to response.</w:t>
            </w:r>
          </w:p>
        </w:tc>
      </w:tr>
      <w:tr w:rsidR="00265BA6" w:rsidRPr="00944B15" w14:paraId="5D977C42" w14:textId="77777777" w:rsidTr="002D6DD7">
        <w:tc>
          <w:tcPr>
            <w:tcW w:w="2610" w:type="dxa"/>
          </w:tcPr>
          <w:p w14:paraId="291A00CB"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835" w:type="dxa"/>
          </w:tcPr>
          <w:p w14:paraId="659D461C" w14:textId="77777777" w:rsidR="00265BA6" w:rsidRPr="00944B15" w:rsidRDefault="00265BA6" w:rsidP="002D6DD7">
            <w:pPr>
              <w:pStyle w:val="BodyText"/>
              <w:spacing w:line="360" w:lineRule="auto"/>
              <w:ind w:right="292"/>
            </w:pPr>
            <w:r>
              <w:t>H</w:t>
            </w:r>
            <w:r w:rsidRPr="00944B15">
              <w:t xml:space="preserve">ypersensitivity to </w:t>
            </w:r>
            <w:r>
              <w:t>the drug,</w:t>
            </w:r>
            <w:r w:rsidRPr="00944B15">
              <w:t xml:space="preserve"> uncontrolled hypertension,</w:t>
            </w:r>
            <w:r w:rsidR="008D2B0C">
              <w:t xml:space="preserve"> </w:t>
            </w:r>
            <w:r w:rsidRPr="00944B15">
              <w:t>hyrotoxicosis, severe cardiac disease, history of cerebrovascular accident, cerebral trauma, intracerebral mass or hemorrhage, eye injury and increased intraocular pressure, psychiatric disorders particularly hallucinations</w:t>
            </w:r>
            <w:r>
              <w:t xml:space="preserve">, </w:t>
            </w:r>
            <w:r w:rsidRPr="00944B15">
              <w:t>porphyria.</w:t>
            </w:r>
          </w:p>
        </w:tc>
      </w:tr>
      <w:tr w:rsidR="00265BA6" w:rsidRPr="00944B15" w14:paraId="18DF5BBF" w14:textId="77777777" w:rsidTr="002D6DD7">
        <w:tc>
          <w:tcPr>
            <w:tcW w:w="2610" w:type="dxa"/>
          </w:tcPr>
          <w:p w14:paraId="1786D2E2"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835" w:type="dxa"/>
          </w:tcPr>
          <w:p w14:paraId="2A54F8F3" w14:textId="77777777" w:rsidR="00265BA6" w:rsidRPr="00944B15" w:rsidRDefault="00265BA6" w:rsidP="002D6DD7">
            <w:pPr>
              <w:jc w:val="both"/>
              <w:rPr>
                <w:rFonts w:eastAsia="Times New Roman" w:cs="Times New Roman"/>
                <w:szCs w:val="24"/>
              </w:rPr>
            </w:pPr>
            <w:r w:rsidRPr="00944B15">
              <w:rPr>
                <w:rFonts w:eastAsia="Times New Roman" w:cs="Times New Roman"/>
                <w:szCs w:val="24"/>
              </w:rPr>
              <w:t xml:space="preserve">Sympathomimetics, theophylline/ aminophylline, CNS depressants, muscle relaxants, </w:t>
            </w:r>
            <w:r>
              <w:rPr>
                <w:rFonts w:eastAsia="Times New Roman" w:cs="Times New Roman"/>
                <w:szCs w:val="24"/>
              </w:rPr>
              <w:t>inhalational</w:t>
            </w:r>
            <w:r w:rsidRPr="00944B15">
              <w:rPr>
                <w:rFonts w:eastAsia="Times New Roman" w:cs="Times New Roman"/>
                <w:szCs w:val="24"/>
              </w:rPr>
              <w:t xml:space="preserve"> halogenated anaesthetics, antihypertensive, </w:t>
            </w:r>
            <w:r>
              <w:rPr>
                <w:rFonts w:eastAsia="Times New Roman" w:cs="Times New Roman"/>
                <w:szCs w:val="24"/>
              </w:rPr>
              <w:t xml:space="preserve">ergometrine, </w:t>
            </w:r>
            <w:r w:rsidRPr="00944B15">
              <w:rPr>
                <w:rFonts w:eastAsia="Times New Roman" w:cs="Times New Roman"/>
                <w:szCs w:val="24"/>
              </w:rPr>
              <w:t>thyroid hormones</w:t>
            </w:r>
            <w:r w:rsidR="008D2B0C">
              <w:rPr>
                <w:rFonts w:eastAsia="Times New Roman" w:cs="Times New Roman"/>
                <w:szCs w:val="24"/>
              </w:rPr>
              <w:t>.</w:t>
            </w:r>
          </w:p>
        </w:tc>
      </w:tr>
      <w:tr w:rsidR="00265BA6" w:rsidRPr="00944B15" w14:paraId="16BDE72D" w14:textId="77777777" w:rsidTr="002D6DD7">
        <w:tc>
          <w:tcPr>
            <w:tcW w:w="2610" w:type="dxa"/>
          </w:tcPr>
          <w:p w14:paraId="4BCF5D37" w14:textId="77777777" w:rsidR="00265BA6" w:rsidRPr="00944B15" w:rsidRDefault="00265BA6" w:rsidP="002D6DD7">
            <w:pPr>
              <w:jc w:val="both"/>
              <w:rPr>
                <w:rFonts w:cs="Times New Roman"/>
                <w:szCs w:val="24"/>
              </w:rPr>
            </w:pPr>
            <w:r w:rsidRPr="00944B15">
              <w:rPr>
                <w:rFonts w:cs="Times New Roman"/>
                <w:szCs w:val="24"/>
              </w:rPr>
              <w:t>Side effects</w:t>
            </w:r>
          </w:p>
        </w:tc>
        <w:tc>
          <w:tcPr>
            <w:tcW w:w="6835" w:type="dxa"/>
          </w:tcPr>
          <w:p w14:paraId="6D37F4F9" w14:textId="77777777" w:rsidR="00265BA6" w:rsidRPr="00944B15" w:rsidRDefault="00265BA6" w:rsidP="002D6DD7">
            <w:pPr>
              <w:jc w:val="both"/>
              <w:rPr>
                <w:rFonts w:cs="Times New Roman"/>
                <w:szCs w:val="24"/>
              </w:rPr>
            </w:pPr>
            <w:r>
              <w:rPr>
                <w:rFonts w:cs="Times New Roman"/>
                <w:szCs w:val="24"/>
              </w:rPr>
              <w:t>Hypertension, tachycardia,</w:t>
            </w:r>
            <w:r w:rsidRPr="00944B15">
              <w:rPr>
                <w:rFonts w:cs="Times New Roman"/>
                <w:szCs w:val="24"/>
              </w:rPr>
              <w:t xml:space="preserve"> abnormal behaviour, agitation, nightmare</w:t>
            </w:r>
            <w:r>
              <w:rPr>
                <w:rFonts w:cs="Times New Roman"/>
                <w:szCs w:val="24"/>
              </w:rPr>
              <w:t>,</w:t>
            </w:r>
            <w:r w:rsidRPr="00944B15">
              <w:rPr>
                <w:rFonts w:cs="Times New Roman"/>
                <w:szCs w:val="24"/>
              </w:rPr>
              <w:t xml:space="preserve"> confusion, diplopia, visual hallucination, nausea, nystagmus, skin reactions, sleep disorders, tonic-clonic movements, vomiting</w:t>
            </w:r>
            <w:r>
              <w:rPr>
                <w:rFonts w:cs="Times New Roman"/>
                <w:szCs w:val="24"/>
              </w:rPr>
              <w:t xml:space="preserve">, </w:t>
            </w:r>
            <w:r w:rsidRPr="00944B15">
              <w:rPr>
                <w:rFonts w:cs="Times New Roman"/>
                <w:szCs w:val="24"/>
              </w:rPr>
              <w:t>injection-site pain.</w:t>
            </w:r>
          </w:p>
        </w:tc>
      </w:tr>
      <w:tr w:rsidR="00265BA6" w:rsidRPr="00944B15" w14:paraId="5EF0104B" w14:textId="77777777" w:rsidTr="002D6DD7">
        <w:tc>
          <w:tcPr>
            <w:tcW w:w="2610" w:type="dxa"/>
          </w:tcPr>
          <w:p w14:paraId="0E5A606C"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835" w:type="dxa"/>
          </w:tcPr>
          <w:p w14:paraId="3C31D61E" w14:textId="77777777" w:rsidR="00265BA6" w:rsidRPr="00944B15" w:rsidRDefault="00265BA6" w:rsidP="002D6DD7">
            <w:pPr>
              <w:jc w:val="both"/>
              <w:rPr>
                <w:rFonts w:cs="Times New Roman"/>
                <w:szCs w:val="24"/>
              </w:rPr>
            </w:pPr>
            <w:r w:rsidRPr="00944B15">
              <w:rPr>
                <w:rFonts w:cs="Times New Roman"/>
                <w:szCs w:val="24"/>
              </w:rPr>
              <w:t>Psychiatric illness (e.g. schizophrenia and acute psychosis), acute intermittent porphyria, in patients with seizure, hyperthyroidism, pulmonary or upper respiratory infection,</w:t>
            </w:r>
            <w:r>
              <w:rPr>
                <w:rFonts w:cs="Times New Roman"/>
                <w:szCs w:val="24"/>
              </w:rPr>
              <w:t xml:space="preserve"> pediatric less than 3years,</w:t>
            </w:r>
            <w:r w:rsidRPr="00944B15">
              <w:rPr>
                <w:rFonts w:cs="Times New Roman"/>
                <w:szCs w:val="24"/>
              </w:rPr>
              <w:t xml:space="preserve"> in patients with intracranial mass lesions, head injury, hydrocephalus</w:t>
            </w:r>
            <w:r>
              <w:rPr>
                <w:rFonts w:cs="Times New Roman"/>
                <w:szCs w:val="24"/>
              </w:rPr>
              <w:t>,</w:t>
            </w:r>
            <w:r w:rsidRPr="00944B15">
              <w:rPr>
                <w:rFonts w:cs="Times New Roman"/>
                <w:szCs w:val="24"/>
              </w:rPr>
              <w:t xml:space="preserve"> glaucoma.</w:t>
            </w:r>
          </w:p>
        </w:tc>
      </w:tr>
      <w:tr w:rsidR="00265BA6" w:rsidRPr="00944B15" w14:paraId="40C563DB" w14:textId="77777777" w:rsidTr="002D6DD7">
        <w:tc>
          <w:tcPr>
            <w:tcW w:w="2610" w:type="dxa"/>
          </w:tcPr>
          <w:p w14:paraId="3AADED74"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835" w:type="dxa"/>
          </w:tcPr>
          <w:p w14:paraId="3D7B5DAC" w14:textId="77777777" w:rsidR="00265BA6" w:rsidRPr="00944B15" w:rsidRDefault="00265BA6" w:rsidP="002D6DD7">
            <w:pPr>
              <w:jc w:val="both"/>
              <w:rPr>
                <w:rFonts w:cs="Times New Roman"/>
                <w:szCs w:val="24"/>
              </w:rPr>
            </w:pPr>
            <w:r w:rsidRPr="00944B15">
              <w:rPr>
                <w:rFonts w:cs="Times New Roman"/>
                <w:szCs w:val="24"/>
              </w:rPr>
              <w:t xml:space="preserve">Store </w:t>
            </w:r>
            <w:r>
              <w:rPr>
                <w:rFonts w:cs="Times New Roman"/>
                <w:szCs w:val="24"/>
              </w:rPr>
              <w:t>below</w:t>
            </w:r>
            <w:r w:rsidRPr="00944B15">
              <w:rPr>
                <w:rFonts w:cs="Times New Roman"/>
                <w:szCs w:val="24"/>
              </w:rPr>
              <w:t xml:space="preserve"> 30⁰C</w:t>
            </w:r>
            <w:r>
              <w:rPr>
                <w:rFonts w:cs="Times New Roman"/>
                <w:szCs w:val="24"/>
              </w:rPr>
              <w:t>.</w:t>
            </w:r>
            <w:r w:rsidRPr="00944B15">
              <w:rPr>
                <w:rFonts w:cs="Times New Roman"/>
                <w:szCs w:val="24"/>
              </w:rPr>
              <w:t xml:space="preserve"> </w:t>
            </w:r>
            <w:r>
              <w:rPr>
                <w:rFonts w:cs="Times New Roman"/>
                <w:szCs w:val="24"/>
              </w:rPr>
              <w:t>P</w:t>
            </w:r>
            <w:r w:rsidRPr="00944B15">
              <w:rPr>
                <w:rFonts w:cs="Times New Roman"/>
                <w:szCs w:val="24"/>
              </w:rPr>
              <w:t>rotect from light</w:t>
            </w:r>
            <w:r>
              <w:rPr>
                <w:rFonts w:cs="Times New Roman"/>
                <w:szCs w:val="24"/>
              </w:rPr>
              <w:t>.</w:t>
            </w:r>
          </w:p>
        </w:tc>
      </w:tr>
    </w:tbl>
    <w:tbl>
      <w:tblPr>
        <w:tblStyle w:val="TableGrid2"/>
        <w:tblW w:w="0" w:type="auto"/>
        <w:tblInd w:w="-95" w:type="dxa"/>
        <w:tblLayout w:type="fixed"/>
        <w:tblLook w:val="04A0" w:firstRow="1" w:lastRow="0" w:firstColumn="1" w:lastColumn="0" w:noHBand="0" w:noVBand="1"/>
      </w:tblPr>
      <w:tblGrid>
        <w:gridCol w:w="2610"/>
        <w:gridCol w:w="6835"/>
      </w:tblGrid>
      <w:tr w:rsidR="00265BA6" w:rsidRPr="00944B15" w14:paraId="316F5406" w14:textId="77777777" w:rsidTr="002D6DD7">
        <w:trPr>
          <w:trHeight w:val="350"/>
        </w:trPr>
        <w:tc>
          <w:tcPr>
            <w:tcW w:w="9445" w:type="dxa"/>
            <w:gridSpan w:val="2"/>
          </w:tcPr>
          <w:p w14:paraId="6F949043" w14:textId="77777777" w:rsidR="00265BA6" w:rsidRPr="00450563" w:rsidRDefault="00265BA6" w:rsidP="002D6DD7">
            <w:pPr>
              <w:rPr>
                <w:rFonts w:cs="Times New Roman"/>
                <w:b/>
                <w:bCs/>
                <w:szCs w:val="24"/>
              </w:rPr>
            </w:pPr>
            <w:r w:rsidRPr="00450563">
              <w:rPr>
                <w:rFonts w:cs="Times New Roman"/>
                <w:b/>
                <w:bCs/>
                <w:szCs w:val="24"/>
              </w:rPr>
              <w:t>Propofol</w:t>
            </w:r>
          </w:p>
        </w:tc>
      </w:tr>
      <w:tr w:rsidR="00265BA6" w:rsidRPr="00944B15" w14:paraId="51B856AC" w14:textId="77777777" w:rsidTr="002D6DD7">
        <w:tc>
          <w:tcPr>
            <w:tcW w:w="2610" w:type="dxa"/>
          </w:tcPr>
          <w:p w14:paraId="16F7436C" w14:textId="77777777" w:rsidR="00265BA6" w:rsidRPr="00944B15" w:rsidRDefault="00265BA6" w:rsidP="002D6DD7">
            <w:pPr>
              <w:jc w:val="both"/>
              <w:rPr>
                <w:rFonts w:cs="Times New Roman"/>
                <w:szCs w:val="24"/>
              </w:rPr>
            </w:pPr>
            <w:r w:rsidRPr="00944B15">
              <w:rPr>
                <w:rFonts w:cs="Times New Roman"/>
                <w:szCs w:val="24"/>
              </w:rPr>
              <w:lastRenderedPageBreak/>
              <w:t>Pharmacological class</w:t>
            </w:r>
          </w:p>
        </w:tc>
        <w:tc>
          <w:tcPr>
            <w:tcW w:w="6835" w:type="dxa"/>
          </w:tcPr>
          <w:p w14:paraId="26E24686" w14:textId="77777777" w:rsidR="00265BA6" w:rsidRPr="00944B15" w:rsidRDefault="00265BA6" w:rsidP="002D6DD7">
            <w:pPr>
              <w:jc w:val="both"/>
              <w:rPr>
                <w:rFonts w:cs="Times New Roman"/>
                <w:szCs w:val="24"/>
              </w:rPr>
            </w:pPr>
            <w:r w:rsidRPr="00944B15">
              <w:rPr>
                <w:rFonts w:cs="Times New Roman"/>
                <w:szCs w:val="24"/>
              </w:rPr>
              <w:t>IV anaesthetic</w:t>
            </w:r>
          </w:p>
        </w:tc>
      </w:tr>
      <w:tr w:rsidR="00265BA6" w:rsidRPr="00944B15" w14:paraId="736D8261" w14:textId="77777777" w:rsidTr="002D6DD7">
        <w:tc>
          <w:tcPr>
            <w:tcW w:w="2610" w:type="dxa"/>
          </w:tcPr>
          <w:p w14:paraId="27E1F614" w14:textId="77777777" w:rsidR="00265BA6" w:rsidRPr="00944B15" w:rsidRDefault="00265BA6" w:rsidP="002D6DD7">
            <w:pPr>
              <w:jc w:val="both"/>
              <w:rPr>
                <w:rFonts w:cs="Times New Roman"/>
                <w:szCs w:val="24"/>
              </w:rPr>
            </w:pPr>
            <w:r w:rsidRPr="00944B15">
              <w:rPr>
                <w:rFonts w:cs="Times New Roman"/>
                <w:szCs w:val="24"/>
              </w:rPr>
              <w:t>Dosage form</w:t>
            </w:r>
          </w:p>
        </w:tc>
        <w:tc>
          <w:tcPr>
            <w:tcW w:w="6835" w:type="dxa"/>
          </w:tcPr>
          <w:p w14:paraId="22AA1ED4" w14:textId="77777777" w:rsidR="00265BA6" w:rsidRPr="00944B15" w:rsidRDefault="00265BA6" w:rsidP="002D6DD7">
            <w:pPr>
              <w:jc w:val="both"/>
              <w:rPr>
                <w:rFonts w:cs="Times New Roman"/>
                <w:szCs w:val="24"/>
              </w:rPr>
            </w:pPr>
            <w:r w:rsidRPr="00944B15">
              <w:rPr>
                <w:rFonts w:cs="Times New Roman"/>
                <w:szCs w:val="24"/>
              </w:rPr>
              <w:t>Injection:10mg/</w:t>
            </w:r>
            <w:r>
              <w:rPr>
                <w:rFonts w:cs="Times New Roman"/>
                <w:szCs w:val="24"/>
              </w:rPr>
              <w:t>ml</w:t>
            </w:r>
            <w:r w:rsidRPr="00944B15">
              <w:rPr>
                <w:rFonts w:cs="Times New Roman"/>
                <w:szCs w:val="24"/>
              </w:rPr>
              <w:t xml:space="preserve"> in 20</w:t>
            </w:r>
            <w:r>
              <w:rPr>
                <w:rFonts w:cs="Times New Roman"/>
                <w:szCs w:val="24"/>
              </w:rPr>
              <w:t>ml</w:t>
            </w:r>
          </w:p>
        </w:tc>
      </w:tr>
      <w:tr w:rsidR="00265BA6" w:rsidRPr="00944B15" w14:paraId="7EC9750E" w14:textId="77777777" w:rsidTr="002D6DD7">
        <w:tc>
          <w:tcPr>
            <w:tcW w:w="2610" w:type="dxa"/>
          </w:tcPr>
          <w:p w14:paraId="4B2FBB7F" w14:textId="77777777" w:rsidR="00265BA6" w:rsidRPr="00944B15" w:rsidRDefault="00265BA6" w:rsidP="002D6DD7">
            <w:pPr>
              <w:jc w:val="both"/>
              <w:rPr>
                <w:rFonts w:cs="Times New Roman"/>
                <w:szCs w:val="24"/>
              </w:rPr>
            </w:pPr>
            <w:r w:rsidRPr="00944B15">
              <w:rPr>
                <w:rFonts w:cs="Times New Roman"/>
                <w:szCs w:val="24"/>
              </w:rPr>
              <w:t>Indications</w:t>
            </w:r>
          </w:p>
        </w:tc>
        <w:tc>
          <w:tcPr>
            <w:tcW w:w="6835" w:type="dxa"/>
          </w:tcPr>
          <w:p w14:paraId="0138E583" w14:textId="77777777" w:rsidR="00265BA6" w:rsidRPr="00944B15" w:rsidRDefault="00265BA6" w:rsidP="002D6DD7">
            <w:pPr>
              <w:jc w:val="both"/>
              <w:rPr>
                <w:rFonts w:cs="Times New Roman"/>
                <w:szCs w:val="24"/>
              </w:rPr>
            </w:pPr>
            <w:r w:rsidRPr="00944B15">
              <w:rPr>
                <w:rFonts w:cs="Times New Roman"/>
                <w:szCs w:val="24"/>
              </w:rPr>
              <w:t xml:space="preserve">For induction and maintenance of </w:t>
            </w:r>
            <w:r>
              <w:rPr>
                <w:rFonts w:cs="Times New Roman"/>
                <w:szCs w:val="24"/>
              </w:rPr>
              <w:t>anesthesia</w:t>
            </w:r>
          </w:p>
        </w:tc>
      </w:tr>
      <w:tr w:rsidR="00265BA6" w:rsidRPr="00944B15" w14:paraId="657CC2ED" w14:textId="77777777" w:rsidTr="002D6DD7">
        <w:tc>
          <w:tcPr>
            <w:tcW w:w="2610" w:type="dxa"/>
          </w:tcPr>
          <w:p w14:paraId="119C8935"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835" w:type="dxa"/>
          </w:tcPr>
          <w:p w14:paraId="3D4883A8" w14:textId="77777777" w:rsidR="00265BA6" w:rsidRPr="00944B15" w:rsidRDefault="00265BA6" w:rsidP="002D6DD7">
            <w:pPr>
              <w:pStyle w:val="BodyText"/>
              <w:spacing w:line="360" w:lineRule="auto"/>
              <w:ind w:right="295"/>
              <w:rPr>
                <w:b/>
              </w:rPr>
            </w:pPr>
            <w:r w:rsidRPr="00944B15">
              <w:rPr>
                <w:b/>
              </w:rPr>
              <w:t xml:space="preserve">Adult: </w:t>
            </w:r>
          </w:p>
          <w:p w14:paraId="21EF8FDC" w14:textId="77777777" w:rsidR="00265BA6" w:rsidRPr="008D2B0C" w:rsidRDefault="00265BA6" w:rsidP="002D6DD7">
            <w:pPr>
              <w:pStyle w:val="BodyText"/>
              <w:spacing w:line="360" w:lineRule="auto"/>
              <w:ind w:right="295"/>
            </w:pPr>
            <w:r w:rsidRPr="00944B15">
              <w:rPr>
                <w:b/>
              </w:rPr>
              <w:t>Induction of anesthesia using 0.5% or 1% injection</w:t>
            </w:r>
            <w:r w:rsidR="008D2B0C">
              <w:rPr>
                <w:b/>
              </w:rPr>
              <w:t xml:space="preserve">, </w:t>
            </w:r>
            <w:r w:rsidRPr="008D2B0C">
              <w:t>slow IV, or by IV infusion</w:t>
            </w:r>
            <w:r w:rsidR="008D2B0C" w:rsidRPr="008D2B0C">
              <w:t>:</w:t>
            </w:r>
          </w:p>
          <w:p w14:paraId="7E6EBDDD" w14:textId="77777777" w:rsidR="00265BA6" w:rsidRPr="00944B15" w:rsidRDefault="00265BA6" w:rsidP="002D6DD7">
            <w:pPr>
              <w:pStyle w:val="BodyText"/>
              <w:spacing w:line="360" w:lineRule="auto"/>
              <w:ind w:right="295"/>
            </w:pPr>
            <w:r w:rsidRPr="00944B15">
              <w:rPr>
                <w:b/>
              </w:rPr>
              <w:t>18–54 years</w:t>
            </w:r>
            <w:r w:rsidRPr="00944B15">
              <w:t>: Usual dose 1.5–2.5 mg/kg, to be administered at a rate of 20–40mg every 10 seconds until response, for debilitated patients use dose for 55 years and over</w:t>
            </w:r>
          </w:p>
          <w:p w14:paraId="7976CA68" w14:textId="77777777" w:rsidR="00265BA6" w:rsidRPr="00944B15" w:rsidRDefault="00265BA6" w:rsidP="002D6DD7">
            <w:pPr>
              <w:pStyle w:val="BodyText"/>
              <w:spacing w:line="360" w:lineRule="auto"/>
              <w:ind w:right="295"/>
            </w:pPr>
            <w:r w:rsidRPr="00944B15">
              <w:rPr>
                <w:b/>
              </w:rPr>
              <w:t>55 years and over:</w:t>
            </w:r>
            <w:r w:rsidRPr="00944B15">
              <w:t xml:space="preserve"> Usual dose 1–1.5 mg/kg, to be administered at a rate of 20mg every 10 seconds until response</w:t>
            </w:r>
          </w:p>
          <w:p w14:paraId="5D3FF330" w14:textId="77777777" w:rsidR="00265BA6" w:rsidRPr="008D2B0C" w:rsidRDefault="00265BA6" w:rsidP="002D6DD7">
            <w:pPr>
              <w:pStyle w:val="BodyText"/>
              <w:spacing w:line="360" w:lineRule="auto"/>
              <w:ind w:right="295"/>
              <w:rPr>
                <w:b/>
              </w:rPr>
            </w:pPr>
            <w:r w:rsidRPr="00944B15">
              <w:rPr>
                <w:b/>
              </w:rPr>
              <w:t>Induction of anesthesia using 2% injectio</w:t>
            </w:r>
            <w:r w:rsidR="008D2B0C">
              <w:rPr>
                <w:b/>
              </w:rPr>
              <w:t xml:space="preserve">n, </w:t>
            </w:r>
            <w:r w:rsidRPr="008D2B0C">
              <w:t>IV infusion</w:t>
            </w:r>
            <w:r w:rsidR="008D2B0C">
              <w:t>:</w:t>
            </w:r>
          </w:p>
          <w:p w14:paraId="79615891" w14:textId="77777777" w:rsidR="00265BA6" w:rsidRPr="00944B15" w:rsidRDefault="00265BA6" w:rsidP="002D6DD7">
            <w:pPr>
              <w:pStyle w:val="BodyText"/>
              <w:spacing w:line="360" w:lineRule="auto"/>
            </w:pPr>
            <w:r w:rsidRPr="00944B15">
              <w:rPr>
                <w:b/>
              </w:rPr>
              <w:t>18–54 years:</w:t>
            </w:r>
            <w:r w:rsidRPr="00944B15">
              <w:t xml:space="preserve"> Usual dose 1.5–2.5 mg/kg, to be administered at a rate of 20–40mg every 10 seconds until response. For debilitated patients use dose for 55 years and over</w:t>
            </w:r>
          </w:p>
          <w:p w14:paraId="268FB49A" w14:textId="77777777" w:rsidR="00265BA6" w:rsidRPr="00944B15" w:rsidRDefault="00265BA6" w:rsidP="002D6DD7">
            <w:pPr>
              <w:pStyle w:val="BodyText"/>
              <w:spacing w:line="360" w:lineRule="auto"/>
            </w:pPr>
            <w:r w:rsidRPr="00944B15">
              <w:rPr>
                <w:b/>
              </w:rPr>
              <w:t>55 years and over:</w:t>
            </w:r>
            <w:r w:rsidRPr="00944B15">
              <w:t xml:space="preserve"> Usual dose 1–1.5 mg/kg, to be administered at a rate of 20mg every 10 seconds until response.</w:t>
            </w:r>
          </w:p>
          <w:p w14:paraId="72105095" w14:textId="77777777" w:rsidR="00265BA6" w:rsidRPr="00944B15" w:rsidRDefault="00265BA6" w:rsidP="002D6DD7">
            <w:pPr>
              <w:pStyle w:val="BodyText"/>
              <w:spacing w:line="360" w:lineRule="auto"/>
              <w:rPr>
                <w:b/>
              </w:rPr>
            </w:pPr>
            <w:r w:rsidRPr="00944B15">
              <w:rPr>
                <w:b/>
              </w:rPr>
              <w:t>Maintenance of anesthesia using 1% injection:</w:t>
            </w:r>
            <w:r w:rsidRPr="00944B15">
              <w:t xml:space="preserve"> </w:t>
            </w:r>
          </w:p>
          <w:p w14:paraId="76F05FC2" w14:textId="77777777" w:rsidR="00265BA6" w:rsidRPr="00944B15" w:rsidRDefault="00265BA6" w:rsidP="002D6DD7">
            <w:pPr>
              <w:pStyle w:val="BodyText"/>
              <w:spacing w:line="360" w:lineRule="auto"/>
            </w:pPr>
            <w:r w:rsidRPr="00944B15">
              <w:t>Initially by IV infusion usual dose 4–12 mg/kg/hour, alternatively (by slow IV injection) 25–50 mg, dose may be repeated according to response, for debilitated patients use dose for elderly</w:t>
            </w:r>
          </w:p>
          <w:p w14:paraId="7E968A96" w14:textId="77777777" w:rsidR="00265BA6" w:rsidRPr="00944B15" w:rsidRDefault="00265BA6" w:rsidP="002D6DD7">
            <w:pPr>
              <w:pStyle w:val="BodyText"/>
              <w:spacing w:line="360" w:lineRule="auto"/>
            </w:pPr>
            <w:r w:rsidRPr="00944B15">
              <w:rPr>
                <w:b/>
              </w:rPr>
              <w:t>Elderly:</w:t>
            </w:r>
            <w:r w:rsidRPr="00944B15">
              <w:t xml:space="preserve"> Usual dose 3–6 mg/kg/hour</w:t>
            </w:r>
          </w:p>
          <w:p w14:paraId="704F9918" w14:textId="77777777" w:rsidR="00265BA6" w:rsidRPr="00944B15" w:rsidRDefault="00265BA6" w:rsidP="002D6DD7">
            <w:pPr>
              <w:pStyle w:val="BodyText"/>
              <w:spacing w:line="360" w:lineRule="auto"/>
            </w:pPr>
            <w:r w:rsidRPr="00944B15">
              <w:rPr>
                <w:b/>
              </w:rPr>
              <w:t>Maintenance of anesthesia using 2% injection</w:t>
            </w:r>
            <w:r w:rsidRPr="00944B15">
              <w:t xml:space="preserve">, </w:t>
            </w:r>
            <w:r w:rsidRPr="008D2B0C">
              <w:t>IV infusion</w:t>
            </w:r>
            <w:r w:rsidR="008D2B0C">
              <w:t>:</w:t>
            </w:r>
          </w:p>
          <w:p w14:paraId="38B1309F" w14:textId="77777777" w:rsidR="00265BA6" w:rsidRPr="00944B15" w:rsidRDefault="00265BA6" w:rsidP="002D6DD7">
            <w:pPr>
              <w:pStyle w:val="BodyText"/>
              <w:spacing w:line="360" w:lineRule="auto"/>
            </w:pPr>
            <w:r w:rsidRPr="00944B15">
              <w:t>Usual dose 4–12 mg/kg/hour, for debilitated patients use dose for elderly</w:t>
            </w:r>
          </w:p>
          <w:p w14:paraId="00A303D4" w14:textId="77777777" w:rsidR="00265BA6" w:rsidRPr="00944B15" w:rsidRDefault="00265BA6" w:rsidP="002D6DD7">
            <w:pPr>
              <w:pStyle w:val="BodyText"/>
              <w:spacing w:line="360" w:lineRule="auto"/>
            </w:pPr>
            <w:r w:rsidRPr="00944B15">
              <w:rPr>
                <w:b/>
              </w:rPr>
              <w:t>Elderly:</w:t>
            </w:r>
            <w:r w:rsidRPr="00944B15">
              <w:t xml:space="preserve"> Usual dose 3–6 mg/kg/hour</w:t>
            </w:r>
          </w:p>
          <w:p w14:paraId="08D69B1C" w14:textId="77777777" w:rsidR="00265BA6" w:rsidRPr="00944B15" w:rsidRDefault="00265BA6" w:rsidP="002D6DD7">
            <w:pPr>
              <w:pStyle w:val="BodyText"/>
              <w:spacing w:line="360" w:lineRule="auto"/>
              <w:rPr>
                <w:b/>
              </w:rPr>
            </w:pPr>
            <w:r w:rsidRPr="00944B15">
              <w:rPr>
                <w:b/>
              </w:rPr>
              <w:t>Sedation of ventilated patients in intensive care using 1% or 2% injection</w:t>
            </w:r>
            <w:r w:rsidR="008D2B0C">
              <w:t xml:space="preserve">, </w:t>
            </w:r>
            <w:r w:rsidRPr="00944B15">
              <w:t>by continuous IV infusion</w:t>
            </w:r>
            <w:r w:rsidR="008D2B0C">
              <w:t>:</w:t>
            </w:r>
          </w:p>
          <w:p w14:paraId="2C093267" w14:textId="77777777" w:rsidR="00265BA6" w:rsidRPr="00944B15" w:rsidRDefault="00265BA6" w:rsidP="002D6DD7">
            <w:pPr>
              <w:pStyle w:val="BodyText"/>
              <w:spacing w:line="360" w:lineRule="auto"/>
            </w:pPr>
            <w:r w:rsidRPr="00944B15">
              <w:t>Usual dose 0.3–4 mg/kg/hour, adjusted according to response</w:t>
            </w:r>
          </w:p>
          <w:p w14:paraId="77DF655B" w14:textId="77777777" w:rsidR="00265BA6" w:rsidRPr="00944B15" w:rsidRDefault="00265BA6" w:rsidP="002D6DD7">
            <w:pPr>
              <w:pStyle w:val="BodyText"/>
              <w:spacing w:line="360" w:lineRule="auto"/>
              <w:rPr>
                <w:b/>
              </w:rPr>
            </w:pPr>
            <w:r w:rsidRPr="00944B15">
              <w:rPr>
                <w:b/>
              </w:rPr>
              <w:t>Induction of sedation for surgical and diagnostic procedures using 0.5% or 1% injection</w:t>
            </w:r>
            <w:r w:rsidR="008D2B0C">
              <w:rPr>
                <w:b/>
              </w:rPr>
              <w:t xml:space="preserve">, </w:t>
            </w:r>
            <w:r w:rsidRPr="00944B15">
              <w:t>by slow IV injection</w:t>
            </w:r>
            <w:r w:rsidR="008D2B0C">
              <w:t>:</w:t>
            </w:r>
          </w:p>
          <w:p w14:paraId="504044A3" w14:textId="77777777" w:rsidR="00265BA6" w:rsidRPr="00944B15" w:rsidRDefault="00265BA6" w:rsidP="002D6DD7">
            <w:pPr>
              <w:pStyle w:val="BodyText"/>
              <w:spacing w:line="360" w:lineRule="auto"/>
            </w:pPr>
            <w:r w:rsidRPr="00944B15">
              <w:lastRenderedPageBreak/>
              <w:t>Initially 0.5–1 mg/kg, to be administered over 1–5 minutes, dose and rate of administration adjusted according to desired level of sedation and response</w:t>
            </w:r>
            <w:r w:rsidR="008D2B0C">
              <w:t>.</w:t>
            </w:r>
          </w:p>
          <w:p w14:paraId="4C960B17" w14:textId="77777777" w:rsidR="00265BA6" w:rsidRPr="008D2B0C" w:rsidRDefault="00265BA6" w:rsidP="002D6DD7">
            <w:pPr>
              <w:pStyle w:val="BodyText"/>
              <w:spacing w:line="360" w:lineRule="auto"/>
              <w:ind w:right="295"/>
              <w:rPr>
                <w:b/>
              </w:rPr>
            </w:pPr>
            <w:r w:rsidRPr="00944B15">
              <w:rPr>
                <w:b/>
              </w:rPr>
              <w:t>Maintenance of sedation for surgical and diagnostic procedures using 0.5% injection</w:t>
            </w:r>
            <w:r w:rsidR="008D2B0C">
              <w:rPr>
                <w:b/>
              </w:rPr>
              <w:t xml:space="preserve">, </w:t>
            </w:r>
            <w:r w:rsidRPr="00944B15">
              <w:t>by IV infusion</w:t>
            </w:r>
            <w:r w:rsidR="008D2B0C">
              <w:t>:</w:t>
            </w:r>
            <w:r w:rsidRPr="00944B15">
              <w:t xml:space="preserve">  </w:t>
            </w:r>
            <w:r w:rsidR="008D2B0C">
              <w:t>I</w:t>
            </w:r>
            <w:r w:rsidRPr="00944B15">
              <w:t>nitially 1.5–4.5 mg/kg/hour, dose and rate of administration adjusted according to desired level of sedation and response, followed by (by slow IV injection) 10–20 mg, patients over 55 years or debilitated may require lower initial dose and rate of administration</w:t>
            </w:r>
          </w:p>
          <w:p w14:paraId="33343E15" w14:textId="77777777" w:rsidR="00265BA6" w:rsidRPr="008D2B0C" w:rsidRDefault="00265BA6" w:rsidP="002D6DD7">
            <w:pPr>
              <w:pStyle w:val="BodyText"/>
              <w:spacing w:line="360" w:lineRule="auto"/>
              <w:ind w:right="295"/>
              <w:rPr>
                <w:b/>
              </w:rPr>
            </w:pPr>
            <w:r w:rsidRPr="00944B15">
              <w:rPr>
                <w:b/>
              </w:rPr>
              <w:t>Maintenance of sedation for surgical and diagnostic procedures using 2% injection</w:t>
            </w:r>
            <w:r w:rsidR="008D2B0C">
              <w:rPr>
                <w:b/>
              </w:rPr>
              <w:t xml:space="preserve">, </w:t>
            </w:r>
            <w:r w:rsidR="008D2B0C" w:rsidRPr="008D2B0C">
              <w:t>b</w:t>
            </w:r>
            <w:r w:rsidRPr="00944B15">
              <w:t>y IV infusion initially</w:t>
            </w:r>
            <w:r w:rsidR="008D2B0C">
              <w:t>:</w:t>
            </w:r>
            <w:r w:rsidRPr="00944B15">
              <w:t xml:space="preserve"> 1.5–4.5 mg/kg/hour, dose and rate of administration adjusted according to desired level of sedation and response, followed by (by slow IV injection) 10–20 mg, using 0.5% or 1% injection (if rapid increase in sedation required), patients over 55 years or debilitated may require lower initial dose and rate of administration.</w:t>
            </w:r>
          </w:p>
          <w:p w14:paraId="763E8577" w14:textId="77777777" w:rsidR="00265BA6" w:rsidRPr="00944B15" w:rsidRDefault="00265BA6" w:rsidP="002D6DD7">
            <w:pPr>
              <w:pStyle w:val="BodyText"/>
              <w:spacing w:line="360" w:lineRule="auto"/>
              <w:ind w:right="295"/>
              <w:rPr>
                <w:b/>
              </w:rPr>
            </w:pPr>
            <w:r w:rsidRPr="00944B15">
              <w:rPr>
                <w:b/>
              </w:rPr>
              <w:t>Pediatric</w:t>
            </w:r>
            <w:r>
              <w:rPr>
                <w:b/>
              </w:rPr>
              <w:t>:</w:t>
            </w:r>
          </w:p>
          <w:p w14:paraId="57931E44" w14:textId="77777777" w:rsidR="00265BA6" w:rsidRPr="008D2B0C" w:rsidRDefault="00265BA6" w:rsidP="002D6DD7">
            <w:pPr>
              <w:pStyle w:val="BodyText"/>
              <w:spacing w:line="360" w:lineRule="auto"/>
              <w:ind w:right="295"/>
            </w:pPr>
            <w:r w:rsidRPr="00944B15">
              <w:rPr>
                <w:b/>
              </w:rPr>
              <w:t>Induction of anesthesia using 0.5% or 1% injection</w:t>
            </w:r>
            <w:r w:rsidR="008D2B0C">
              <w:rPr>
                <w:b/>
              </w:rPr>
              <w:t>,</w:t>
            </w:r>
            <w:r w:rsidRPr="00944B15">
              <w:rPr>
                <w:b/>
              </w:rPr>
              <w:t xml:space="preserve"> </w:t>
            </w:r>
            <w:r w:rsidRPr="008D2B0C">
              <w:t>by slow IV injection or by IV infusion</w:t>
            </w:r>
            <w:r w:rsidR="008D2B0C">
              <w:t>:</w:t>
            </w:r>
          </w:p>
          <w:p w14:paraId="41FCF03E" w14:textId="77777777" w:rsidR="00265BA6" w:rsidRPr="00944B15" w:rsidRDefault="00265BA6" w:rsidP="002D6DD7">
            <w:pPr>
              <w:pStyle w:val="BodyText"/>
              <w:spacing w:line="360" w:lineRule="auto"/>
              <w:ind w:right="295"/>
            </w:pPr>
            <w:r w:rsidRPr="00944B15">
              <w:rPr>
                <w:b/>
              </w:rPr>
              <w:t>Child 1 month–16 years:</w:t>
            </w:r>
            <w:r w:rsidRPr="00944B15">
              <w:t xml:space="preserve"> Usual dose 2.5–4 mg/ kg, dose adjusted according to age, body weight, and response</w:t>
            </w:r>
          </w:p>
          <w:p w14:paraId="1F9956B0" w14:textId="77777777" w:rsidR="00265BA6" w:rsidRPr="00944B15" w:rsidRDefault="00265BA6" w:rsidP="002D6DD7">
            <w:pPr>
              <w:pStyle w:val="BodyText"/>
              <w:spacing w:line="360" w:lineRule="auto"/>
              <w:ind w:right="295"/>
            </w:pPr>
            <w:r w:rsidRPr="00944B15">
              <w:rPr>
                <w:b/>
              </w:rPr>
              <w:t>Child 17 years:</w:t>
            </w:r>
            <w:r w:rsidRPr="00944B15">
              <w:t xml:space="preserve"> Usual dose 1.5–2.5 mg/kg, to be administered at a rate of 20–40 mg every 10 seconds until response</w:t>
            </w:r>
          </w:p>
          <w:p w14:paraId="589F6172" w14:textId="77777777" w:rsidR="00265BA6" w:rsidRPr="00944B15" w:rsidRDefault="00265BA6" w:rsidP="002D6DD7">
            <w:pPr>
              <w:pStyle w:val="BodyText"/>
              <w:spacing w:line="360" w:lineRule="auto"/>
              <w:ind w:right="295"/>
              <w:rPr>
                <w:b/>
              </w:rPr>
            </w:pPr>
            <w:r w:rsidRPr="00944B15">
              <w:rPr>
                <w:b/>
              </w:rPr>
              <w:t>Induction of anesthesia using 2% injection</w:t>
            </w:r>
            <w:r w:rsidR="008D2B0C">
              <w:rPr>
                <w:b/>
              </w:rPr>
              <w:t>,</w:t>
            </w:r>
            <w:r w:rsidRPr="00944B15">
              <w:rPr>
                <w:b/>
              </w:rPr>
              <w:t xml:space="preserve"> </w:t>
            </w:r>
            <w:r w:rsidRPr="008D2B0C">
              <w:t>by IV infusion</w:t>
            </w:r>
            <w:r w:rsidR="008D2B0C">
              <w:rPr>
                <w:b/>
              </w:rPr>
              <w:t>:</w:t>
            </w:r>
          </w:p>
          <w:p w14:paraId="756A4580" w14:textId="77777777" w:rsidR="00265BA6" w:rsidRPr="00944B15" w:rsidRDefault="00265BA6" w:rsidP="002D6DD7">
            <w:pPr>
              <w:pStyle w:val="BodyText"/>
              <w:spacing w:line="360" w:lineRule="auto"/>
              <w:ind w:right="295"/>
            </w:pPr>
            <w:r w:rsidRPr="00944B15">
              <w:t>Child 3–16 years: Usual dose 2.5–4 mg/kg, dose adjusted according to age, body</w:t>
            </w:r>
            <w:r w:rsidR="008D2B0C">
              <w:t xml:space="preserve"> </w:t>
            </w:r>
            <w:r w:rsidRPr="00944B15">
              <w:t>weight, and response</w:t>
            </w:r>
          </w:p>
          <w:p w14:paraId="08F93FB5" w14:textId="77777777" w:rsidR="00265BA6" w:rsidRPr="00944B15" w:rsidRDefault="00265BA6" w:rsidP="002D6DD7">
            <w:pPr>
              <w:pStyle w:val="BodyText"/>
              <w:spacing w:line="360" w:lineRule="auto"/>
              <w:ind w:right="295"/>
            </w:pPr>
            <w:r w:rsidRPr="00944B15">
              <w:rPr>
                <w:b/>
              </w:rPr>
              <w:t>Child 17 years:</w:t>
            </w:r>
            <w:r w:rsidRPr="00944B15">
              <w:t xml:space="preserve"> Usual dose 1.5–2.5 mg/kg, to be administered at a rate of 20–40 mg every 10 seconds until response</w:t>
            </w:r>
          </w:p>
          <w:p w14:paraId="5D0DAE23" w14:textId="77777777" w:rsidR="00265BA6" w:rsidRPr="008D2B0C" w:rsidRDefault="00265BA6" w:rsidP="002D6DD7">
            <w:pPr>
              <w:pStyle w:val="BodyText"/>
              <w:spacing w:line="360" w:lineRule="auto"/>
              <w:ind w:right="295"/>
            </w:pPr>
            <w:r w:rsidRPr="00944B15">
              <w:rPr>
                <w:b/>
              </w:rPr>
              <w:t>Maintenance of anesthesia using 1% injection</w:t>
            </w:r>
            <w:r w:rsidR="008D2B0C">
              <w:rPr>
                <w:b/>
              </w:rPr>
              <w:t>,</w:t>
            </w:r>
            <w:r w:rsidRPr="00944B15">
              <w:rPr>
                <w:b/>
              </w:rPr>
              <w:t xml:space="preserve"> </w:t>
            </w:r>
            <w:r w:rsidRPr="008D2B0C">
              <w:t xml:space="preserve">by continuous </w:t>
            </w:r>
            <w:r w:rsidRPr="008D2B0C">
              <w:lastRenderedPageBreak/>
              <w:t>IV infusion</w:t>
            </w:r>
            <w:r w:rsidR="008D2B0C">
              <w:t>:</w:t>
            </w:r>
          </w:p>
          <w:p w14:paraId="70DE5512" w14:textId="77777777" w:rsidR="00265BA6" w:rsidRPr="00944B15" w:rsidRDefault="00265BA6" w:rsidP="002D6DD7">
            <w:pPr>
              <w:pStyle w:val="BodyText"/>
              <w:spacing w:line="360" w:lineRule="auto"/>
              <w:ind w:right="295"/>
            </w:pPr>
            <w:r w:rsidRPr="00944B15">
              <w:rPr>
                <w:b/>
              </w:rPr>
              <w:t>Child 1 month–16 years</w:t>
            </w:r>
            <w:r w:rsidRPr="00944B15">
              <w:t>: Usual dose 9–15 mg/ kg/hour, dose adjusted according to age, body weight, and response</w:t>
            </w:r>
          </w:p>
          <w:p w14:paraId="1C728402" w14:textId="77777777" w:rsidR="00265BA6" w:rsidRPr="00944B15" w:rsidRDefault="00265BA6" w:rsidP="002D6DD7">
            <w:pPr>
              <w:pStyle w:val="BodyText"/>
              <w:spacing w:line="360" w:lineRule="auto"/>
              <w:ind w:right="295"/>
            </w:pPr>
            <w:r w:rsidRPr="00944B15">
              <w:rPr>
                <w:b/>
              </w:rPr>
              <w:t>Child 17 years:</w:t>
            </w:r>
            <w:r w:rsidRPr="00944B15">
              <w:t xml:space="preserve"> Usual dose 4–12 mg/kg/hour, adjusted according to response</w:t>
            </w:r>
          </w:p>
          <w:p w14:paraId="703F0CED" w14:textId="77777777" w:rsidR="00265BA6" w:rsidRPr="008D2B0C" w:rsidRDefault="00265BA6" w:rsidP="002D6DD7">
            <w:pPr>
              <w:pStyle w:val="BodyText"/>
              <w:spacing w:line="360" w:lineRule="auto"/>
              <w:ind w:right="295"/>
            </w:pPr>
            <w:r w:rsidRPr="00944B15">
              <w:rPr>
                <w:b/>
              </w:rPr>
              <w:t>Maintenance of anesthesia using 2% injection</w:t>
            </w:r>
            <w:r w:rsidR="008D2B0C">
              <w:rPr>
                <w:b/>
              </w:rPr>
              <w:t>,</w:t>
            </w:r>
            <w:r w:rsidRPr="00944B15">
              <w:rPr>
                <w:b/>
              </w:rPr>
              <w:t xml:space="preserve"> </w:t>
            </w:r>
            <w:r w:rsidRPr="008D2B0C">
              <w:t>by continuous IV infusion</w:t>
            </w:r>
            <w:r w:rsidR="008D2B0C">
              <w:t>:</w:t>
            </w:r>
          </w:p>
          <w:p w14:paraId="3DDFD5E3" w14:textId="77777777" w:rsidR="00265BA6" w:rsidRPr="00944B15" w:rsidRDefault="00265BA6" w:rsidP="002D6DD7">
            <w:pPr>
              <w:pStyle w:val="BodyText"/>
              <w:spacing w:line="360" w:lineRule="auto"/>
              <w:ind w:right="295"/>
            </w:pPr>
            <w:r w:rsidRPr="00944B15">
              <w:rPr>
                <w:b/>
              </w:rPr>
              <w:t>Child 3–16 years:</w:t>
            </w:r>
            <w:r w:rsidRPr="00944B15">
              <w:t xml:space="preserve"> Usual dose 9–15 mg/kg/ hour, dose adjusted according to age, body weight, and response</w:t>
            </w:r>
          </w:p>
          <w:p w14:paraId="4F1D2D9F" w14:textId="77777777" w:rsidR="00265BA6" w:rsidRPr="00944B15" w:rsidRDefault="00265BA6" w:rsidP="002D6DD7">
            <w:pPr>
              <w:pStyle w:val="BodyText"/>
              <w:spacing w:line="360" w:lineRule="auto"/>
              <w:ind w:right="295"/>
            </w:pPr>
            <w:r w:rsidRPr="00944B15">
              <w:rPr>
                <w:b/>
              </w:rPr>
              <w:t>Child 17 years:</w:t>
            </w:r>
            <w:r w:rsidRPr="00944B15">
              <w:t xml:space="preserve"> Usual dose 4–12 mg/kg/hour, adjusted according to response</w:t>
            </w:r>
          </w:p>
          <w:p w14:paraId="2D6C0388" w14:textId="77777777" w:rsidR="00265BA6" w:rsidRPr="00944B15" w:rsidRDefault="00265BA6" w:rsidP="002D6DD7">
            <w:pPr>
              <w:pStyle w:val="BodyText"/>
              <w:spacing w:line="360" w:lineRule="auto"/>
              <w:ind w:right="295"/>
              <w:rPr>
                <w:b/>
              </w:rPr>
            </w:pPr>
            <w:r w:rsidRPr="00944B15">
              <w:rPr>
                <w:b/>
              </w:rPr>
              <w:t>Sedation of ventilated patients in intensive care using 1% or 2% injection</w:t>
            </w:r>
            <w:r w:rsidR="008D2B0C">
              <w:rPr>
                <w:b/>
              </w:rPr>
              <w:t>,</w:t>
            </w:r>
            <w:r w:rsidRPr="00944B15">
              <w:rPr>
                <w:b/>
              </w:rPr>
              <w:t xml:space="preserve"> </w:t>
            </w:r>
            <w:r w:rsidRPr="008D2B0C">
              <w:t>by continuous IV infusion</w:t>
            </w:r>
            <w:r w:rsidR="008D2B0C">
              <w:t>:</w:t>
            </w:r>
          </w:p>
          <w:p w14:paraId="23D038EC" w14:textId="77777777" w:rsidR="00265BA6" w:rsidRPr="00944B15" w:rsidRDefault="00265BA6" w:rsidP="002D6DD7">
            <w:pPr>
              <w:pStyle w:val="BodyText"/>
              <w:spacing w:line="360" w:lineRule="auto"/>
              <w:ind w:right="295"/>
            </w:pPr>
            <w:r w:rsidRPr="00944B15">
              <w:rPr>
                <w:b/>
              </w:rPr>
              <w:t>Child 16–17 years:</w:t>
            </w:r>
            <w:r w:rsidRPr="00944B15">
              <w:t xml:space="preserve"> Usual dose 0.3–4 mg/kg/hour, adjusted according to response</w:t>
            </w:r>
          </w:p>
          <w:p w14:paraId="06247846" w14:textId="77777777" w:rsidR="00265BA6" w:rsidRPr="00944B15" w:rsidRDefault="00265BA6" w:rsidP="002D6DD7">
            <w:pPr>
              <w:pStyle w:val="BodyText"/>
              <w:spacing w:line="360" w:lineRule="auto"/>
              <w:ind w:right="295"/>
              <w:rPr>
                <w:b/>
              </w:rPr>
            </w:pPr>
            <w:r w:rsidRPr="00944B15">
              <w:rPr>
                <w:b/>
              </w:rPr>
              <w:t>Induction of sedation for surgical and diagnostic procedures using 0.5% or 1% injection</w:t>
            </w:r>
            <w:r w:rsidR="008D2B0C">
              <w:rPr>
                <w:b/>
              </w:rPr>
              <w:t>,</w:t>
            </w:r>
            <w:r w:rsidRPr="00944B15">
              <w:rPr>
                <w:b/>
              </w:rPr>
              <w:t xml:space="preserve"> </w:t>
            </w:r>
            <w:r w:rsidRPr="008D2B0C">
              <w:t>by slow IV injection</w:t>
            </w:r>
            <w:r w:rsidR="008D2B0C">
              <w:t>:</w:t>
            </w:r>
          </w:p>
          <w:p w14:paraId="4026D44B" w14:textId="77777777" w:rsidR="00265BA6" w:rsidRPr="00944B15" w:rsidRDefault="00265BA6" w:rsidP="002D6DD7">
            <w:pPr>
              <w:pStyle w:val="BodyText"/>
              <w:spacing w:line="360" w:lineRule="auto"/>
              <w:ind w:right="295"/>
            </w:pPr>
            <w:r w:rsidRPr="00944B15">
              <w:rPr>
                <w:b/>
              </w:rPr>
              <w:t>Child 1 month–16 years:</w:t>
            </w:r>
            <w:r w:rsidRPr="00944B15">
              <w:t xml:space="preserve"> Initially 1–2 mg/kg, dose, and rate of administration adjusted according to desired level of sedation and response</w:t>
            </w:r>
          </w:p>
          <w:p w14:paraId="2CAB2A4C" w14:textId="77777777" w:rsidR="00265BA6" w:rsidRPr="00944B15" w:rsidRDefault="00265BA6" w:rsidP="002D6DD7">
            <w:pPr>
              <w:pStyle w:val="BodyText"/>
              <w:spacing w:line="360" w:lineRule="auto"/>
              <w:ind w:right="295"/>
            </w:pPr>
            <w:r w:rsidRPr="00944B15">
              <w:rPr>
                <w:b/>
              </w:rPr>
              <w:t>Child 17 years:</w:t>
            </w:r>
            <w:r w:rsidRPr="00944B15">
              <w:t xml:space="preserve"> Initially 0.5–1 mg/kg, to be administered over 1–5 minutes; dose and rate of administration adjusted according to desired level of sedation and response</w:t>
            </w:r>
          </w:p>
          <w:p w14:paraId="3D827269" w14:textId="77777777" w:rsidR="00265BA6" w:rsidRPr="00944B15" w:rsidRDefault="00265BA6" w:rsidP="002D6DD7">
            <w:pPr>
              <w:pStyle w:val="BodyText"/>
              <w:spacing w:line="360" w:lineRule="auto"/>
              <w:ind w:right="295"/>
              <w:rPr>
                <w:b/>
              </w:rPr>
            </w:pPr>
            <w:r w:rsidRPr="00944B15">
              <w:rPr>
                <w:b/>
              </w:rPr>
              <w:t>Maintenance of sedation for surgical and diagnostic procedures using 0.5% injection</w:t>
            </w:r>
            <w:r w:rsidR="008D2B0C">
              <w:rPr>
                <w:b/>
              </w:rPr>
              <w:t>,</w:t>
            </w:r>
            <w:r w:rsidRPr="00944B15">
              <w:rPr>
                <w:b/>
              </w:rPr>
              <w:t xml:space="preserve"> </w:t>
            </w:r>
            <w:r w:rsidRPr="008D2B0C">
              <w:t>by IV infusion</w:t>
            </w:r>
            <w:r w:rsidR="008D2B0C">
              <w:t>:</w:t>
            </w:r>
          </w:p>
          <w:p w14:paraId="506C06F4" w14:textId="77777777" w:rsidR="00265BA6" w:rsidRPr="00944B15" w:rsidRDefault="00265BA6" w:rsidP="002D6DD7">
            <w:pPr>
              <w:pStyle w:val="BodyText"/>
              <w:spacing w:line="360" w:lineRule="auto"/>
              <w:ind w:right="295"/>
            </w:pPr>
            <w:r w:rsidRPr="00944B15">
              <w:rPr>
                <w:b/>
              </w:rPr>
              <w:t>Child 17 years:</w:t>
            </w:r>
            <w:r w:rsidRPr="00944B15">
              <w:t xml:space="preserve"> Initially 1.5–4.5 mg/kg/hour, dose and rate of administration adjusted according to desired level of sedation and response, followed by (by slow IV injection) 10–20 mg (if rapid increase in sedation required)</w:t>
            </w:r>
          </w:p>
          <w:p w14:paraId="5B538C31" w14:textId="77777777" w:rsidR="00265BA6" w:rsidRPr="00944B15" w:rsidRDefault="00265BA6" w:rsidP="002D6DD7">
            <w:pPr>
              <w:pStyle w:val="BodyText"/>
              <w:spacing w:line="360" w:lineRule="auto"/>
              <w:ind w:right="295"/>
              <w:rPr>
                <w:b/>
              </w:rPr>
            </w:pPr>
            <w:r w:rsidRPr="00944B15">
              <w:rPr>
                <w:b/>
              </w:rPr>
              <w:t>Maintenance of sedation for surgical and diagnostic procedures using 1%injection</w:t>
            </w:r>
            <w:r w:rsidR="008D2B0C">
              <w:rPr>
                <w:b/>
              </w:rPr>
              <w:t>,</w:t>
            </w:r>
            <w:r w:rsidRPr="00944B15">
              <w:rPr>
                <w:b/>
              </w:rPr>
              <w:t xml:space="preserve"> </w:t>
            </w:r>
            <w:r w:rsidRPr="008D2B0C">
              <w:t>by IV infusion</w:t>
            </w:r>
            <w:r w:rsidR="008D2B0C">
              <w:rPr>
                <w:b/>
              </w:rPr>
              <w:t>:</w:t>
            </w:r>
          </w:p>
          <w:p w14:paraId="2F360D91" w14:textId="77777777" w:rsidR="00265BA6" w:rsidRPr="00944B15" w:rsidRDefault="00265BA6" w:rsidP="002D6DD7">
            <w:pPr>
              <w:pStyle w:val="BodyText"/>
              <w:spacing w:line="360" w:lineRule="auto"/>
              <w:ind w:right="295"/>
            </w:pPr>
            <w:r w:rsidRPr="00944B15">
              <w:rPr>
                <w:b/>
              </w:rPr>
              <w:lastRenderedPageBreak/>
              <w:t>Child 1 month–16 years:</w:t>
            </w:r>
            <w:r w:rsidRPr="00944B15">
              <w:t xml:space="preserve"> Usual dose 1.5–9 mg/kg/ hour, dose and rate of administration adjusted according to desired level of sedation and response,</w:t>
            </w:r>
            <w:r w:rsidR="008D2B0C">
              <w:t xml:space="preserve"> </w:t>
            </w:r>
            <w:r w:rsidRPr="00944B15">
              <w:t>followed by (by slow IV injection) up to 1 mg/kg (if rapid increase in sedation required)</w:t>
            </w:r>
            <w:r w:rsidR="008D2B0C">
              <w:t>.</w:t>
            </w:r>
          </w:p>
          <w:p w14:paraId="47B33E61" w14:textId="77777777" w:rsidR="00265BA6" w:rsidRPr="00944B15" w:rsidRDefault="00265BA6" w:rsidP="002D6DD7">
            <w:pPr>
              <w:pStyle w:val="BodyText"/>
              <w:spacing w:line="360" w:lineRule="auto"/>
              <w:ind w:right="295"/>
            </w:pPr>
            <w:r w:rsidRPr="00944B15">
              <w:rPr>
                <w:b/>
              </w:rPr>
              <w:t>Child 17 years:</w:t>
            </w:r>
            <w:r w:rsidRPr="00944B15">
              <w:t xml:space="preserve"> Initially 1.5–4.5 mg/kg/hour, dose and rate of administration adjusted according to desired level of sedation and response, followed by</w:t>
            </w:r>
            <w:r w:rsidR="008D2B0C">
              <w:t xml:space="preserve"> </w:t>
            </w:r>
            <w:r w:rsidRPr="00944B15">
              <w:t>(by slow IV injection) 10–20 mg (if rapid increase in sedation required)</w:t>
            </w:r>
            <w:r w:rsidR="008D2B0C">
              <w:t>.</w:t>
            </w:r>
          </w:p>
          <w:p w14:paraId="426CECC0" w14:textId="77777777" w:rsidR="00265BA6" w:rsidRPr="00944B15" w:rsidRDefault="00265BA6" w:rsidP="002D6DD7">
            <w:pPr>
              <w:pStyle w:val="BodyText"/>
              <w:spacing w:line="360" w:lineRule="auto"/>
              <w:ind w:right="295"/>
              <w:rPr>
                <w:b/>
              </w:rPr>
            </w:pPr>
            <w:r w:rsidRPr="00944B15">
              <w:rPr>
                <w:b/>
              </w:rPr>
              <w:t>Maintenance of sedation for surgical and diagnostic procedures using 2% injection</w:t>
            </w:r>
            <w:r w:rsidR="008D2B0C">
              <w:rPr>
                <w:b/>
              </w:rPr>
              <w:t>,</w:t>
            </w:r>
            <w:r w:rsidRPr="00944B15">
              <w:rPr>
                <w:b/>
              </w:rPr>
              <w:t xml:space="preserve"> </w:t>
            </w:r>
            <w:r w:rsidRPr="008D2B0C">
              <w:t>by IV infusion</w:t>
            </w:r>
            <w:r w:rsidR="008D2B0C">
              <w:t>:</w:t>
            </w:r>
          </w:p>
          <w:p w14:paraId="67C34F99" w14:textId="77777777" w:rsidR="00265BA6" w:rsidRPr="00944B15" w:rsidRDefault="00265BA6" w:rsidP="002D6DD7">
            <w:pPr>
              <w:pStyle w:val="BodyText"/>
              <w:spacing w:line="360" w:lineRule="auto"/>
              <w:ind w:right="295"/>
            </w:pPr>
            <w:r w:rsidRPr="00944B15">
              <w:rPr>
                <w:b/>
              </w:rPr>
              <w:t>Child 3–16 years:</w:t>
            </w:r>
            <w:r w:rsidRPr="00944B15">
              <w:t xml:space="preserve"> Usual dose 1.5–9 mg/kg/hour, dose and rate of administration adjusted according to desired level of sedation and response</w:t>
            </w:r>
          </w:p>
          <w:p w14:paraId="4AD19638" w14:textId="77777777" w:rsidR="00265BA6" w:rsidRPr="00944B15" w:rsidRDefault="00265BA6" w:rsidP="002D6DD7">
            <w:pPr>
              <w:pStyle w:val="BodyText"/>
              <w:spacing w:line="360" w:lineRule="auto"/>
              <w:ind w:right="295"/>
            </w:pPr>
            <w:r w:rsidRPr="00944B15">
              <w:rPr>
                <w:b/>
              </w:rPr>
              <w:t>Child 17 years:</w:t>
            </w:r>
            <w:r w:rsidRPr="00944B15">
              <w:t xml:space="preserve"> Initially 1.5–4.5 mg/kg/hour, dose and rate of administration adjusted according to desired level of sedation and</w:t>
            </w:r>
            <w:r>
              <w:t xml:space="preserve"> response, followed by (by slow </w:t>
            </w:r>
            <w:r w:rsidRPr="00944B15">
              <w:t>IV injection) 10–20 mg, using 0.5% or 1% injection (if rapid increase in sedation required)</w:t>
            </w:r>
          </w:p>
        </w:tc>
      </w:tr>
      <w:tr w:rsidR="00265BA6" w:rsidRPr="00944B15" w14:paraId="3C32D2D8" w14:textId="77777777" w:rsidTr="002D6DD7">
        <w:tc>
          <w:tcPr>
            <w:tcW w:w="2610" w:type="dxa"/>
          </w:tcPr>
          <w:p w14:paraId="7E4EDD1A"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835" w:type="dxa"/>
          </w:tcPr>
          <w:p w14:paraId="32853AF0" w14:textId="77777777" w:rsidR="00265BA6" w:rsidRPr="00944B15" w:rsidRDefault="00265BA6"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w:t>
            </w:r>
            <w:r w:rsidRPr="00944B15">
              <w:rPr>
                <w:rFonts w:cs="Times New Roman"/>
                <w:szCs w:val="24"/>
              </w:rPr>
              <w:t>, egg or soybean</w:t>
            </w:r>
            <w:r>
              <w:rPr>
                <w:rFonts w:cs="Times New Roman"/>
                <w:szCs w:val="24"/>
              </w:rPr>
              <w:t xml:space="preserve">, </w:t>
            </w:r>
            <w:r w:rsidRPr="00944B15">
              <w:rPr>
                <w:rFonts w:cs="Times New Roman"/>
                <w:szCs w:val="24"/>
              </w:rPr>
              <w:t>in patients of 16 years of age or younger in intensive care</w:t>
            </w:r>
            <w:r>
              <w:rPr>
                <w:rFonts w:cs="Times New Roman"/>
                <w:szCs w:val="24"/>
              </w:rPr>
              <w:t xml:space="preserve"> unit</w:t>
            </w:r>
            <w:r w:rsidRPr="00944B15">
              <w:rPr>
                <w:rFonts w:cs="Times New Roman"/>
                <w:szCs w:val="24"/>
              </w:rPr>
              <w:t>.</w:t>
            </w:r>
          </w:p>
        </w:tc>
      </w:tr>
      <w:tr w:rsidR="00265BA6" w:rsidRPr="00944B15" w14:paraId="6EEA76F0" w14:textId="77777777" w:rsidTr="002D6DD7">
        <w:tc>
          <w:tcPr>
            <w:tcW w:w="2610" w:type="dxa"/>
          </w:tcPr>
          <w:p w14:paraId="04CF7127"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835" w:type="dxa"/>
          </w:tcPr>
          <w:p w14:paraId="25349FFD" w14:textId="77777777" w:rsidR="00265BA6" w:rsidRPr="00944B15" w:rsidRDefault="00265BA6" w:rsidP="002D6DD7">
            <w:pPr>
              <w:jc w:val="both"/>
              <w:rPr>
                <w:rFonts w:cs="Times New Roman"/>
                <w:szCs w:val="24"/>
              </w:rPr>
            </w:pPr>
            <w:r w:rsidRPr="00944B15">
              <w:rPr>
                <w:rFonts w:cs="Times New Roman"/>
                <w:szCs w:val="24"/>
              </w:rPr>
              <w:t xml:space="preserve">Benzodiazepines, </w:t>
            </w:r>
            <w:r>
              <w:rPr>
                <w:rFonts w:cs="Times New Roman"/>
                <w:szCs w:val="24"/>
              </w:rPr>
              <w:t>opioids,</w:t>
            </w:r>
            <w:r w:rsidRPr="00944B15">
              <w:rPr>
                <w:rFonts w:cs="Times New Roman"/>
                <w:szCs w:val="24"/>
              </w:rPr>
              <w:t xml:space="preserve"> ethanol, narcotics, carbamazepine and valproate.</w:t>
            </w:r>
          </w:p>
        </w:tc>
      </w:tr>
      <w:tr w:rsidR="00265BA6" w:rsidRPr="00944B15" w14:paraId="1264A271" w14:textId="77777777" w:rsidTr="002D6DD7">
        <w:tc>
          <w:tcPr>
            <w:tcW w:w="2610" w:type="dxa"/>
          </w:tcPr>
          <w:p w14:paraId="33E1C0B6" w14:textId="77777777" w:rsidR="00265BA6" w:rsidRPr="00944B15" w:rsidRDefault="00265BA6" w:rsidP="002D6DD7">
            <w:pPr>
              <w:jc w:val="both"/>
              <w:rPr>
                <w:rFonts w:cs="Times New Roman"/>
                <w:szCs w:val="24"/>
              </w:rPr>
            </w:pPr>
            <w:r w:rsidRPr="00944B15">
              <w:rPr>
                <w:rFonts w:cs="Times New Roman"/>
                <w:szCs w:val="24"/>
              </w:rPr>
              <w:t>Side effects</w:t>
            </w:r>
          </w:p>
        </w:tc>
        <w:tc>
          <w:tcPr>
            <w:tcW w:w="6835" w:type="dxa"/>
          </w:tcPr>
          <w:p w14:paraId="76AAD2C4" w14:textId="77777777" w:rsidR="00265BA6" w:rsidRPr="00944B15" w:rsidRDefault="00265BA6" w:rsidP="002D6DD7">
            <w:pPr>
              <w:jc w:val="both"/>
              <w:rPr>
                <w:rFonts w:cs="Times New Roman"/>
                <w:szCs w:val="24"/>
              </w:rPr>
            </w:pPr>
            <w:r w:rsidRPr="00944B15">
              <w:rPr>
                <w:rFonts w:cs="Times New Roman"/>
                <w:szCs w:val="24"/>
              </w:rPr>
              <w:t>Transient apnoea during induction, bradycardia, arrhythmias, headache during recovery, hypotension, local pain, nausea and vomiting during recovery, respiratory acidosis, anaphylaxis, epileptiform movements, pancreatitis</w:t>
            </w:r>
            <w:r>
              <w:rPr>
                <w:rFonts w:cs="Times New Roman"/>
                <w:szCs w:val="24"/>
              </w:rPr>
              <w:t>, p</w:t>
            </w:r>
            <w:r w:rsidRPr="00944B15">
              <w:rPr>
                <w:rFonts w:cs="Times New Roman"/>
                <w:szCs w:val="24"/>
              </w:rPr>
              <w:t>ostoperative fever.</w:t>
            </w:r>
          </w:p>
        </w:tc>
      </w:tr>
      <w:tr w:rsidR="00265BA6" w:rsidRPr="00944B15" w14:paraId="01097B8F" w14:textId="77777777" w:rsidTr="002D6DD7">
        <w:tc>
          <w:tcPr>
            <w:tcW w:w="2610" w:type="dxa"/>
          </w:tcPr>
          <w:p w14:paraId="39B878A2"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835" w:type="dxa"/>
          </w:tcPr>
          <w:p w14:paraId="74F89F70" w14:textId="77777777" w:rsidR="00265BA6" w:rsidRPr="00944B15" w:rsidRDefault="00265BA6" w:rsidP="002D6DD7">
            <w:pPr>
              <w:jc w:val="both"/>
              <w:rPr>
                <w:rFonts w:cs="Times New Roman"/>
                <w:szCs w:val="24"/>
              </w:rPr>
            </w:pPr>
            <w:r w:rsidRPr="00944B15">
              <w:rPr>
                <w:rFonts w:cs="Times New Roman"/>
                <w:szCs w:val="24"/>
              </w:rPr>
              <w:t>Acute circulatory failure (shock), severe cardiac disease (EF&lt;50%), elderly, hypotension, in patients with raised intracranial pressure</w:t>
            </w:r>
            <w:r>
              <w:rPr>
                <w:rFonts w:cs="Times New Roman"/>
                <w:szCs w:val="24"/>
              </w:rPr>
              <w:t xml:space="preserve">, </w:t>
            </w:r>
            <w:r w:rsidRPr="00944B15">
              <w:rPr>
                <w:rFonts w:cs="Times New Roman"/>
                <w:szCs w:val="24"/>
              </w:rPr>
              <w:t>respiratory disorders, history of epilepsy or seizures</w:t>
            </w:r>
            <w:r>
              <w:rPr>
                <w:rFonts w:cs="Times New Roman"/>
                <w:szCs w:val="24"/>
              </w:rPr>
              <w:t>.</w:t>
            </w:r>
          </w:p>
        </w:tc>
      </w:tr>
      <w:tr w:rsidR="00265BA6" w:rsidRPr="00944B15" w14:paraId="6CDD4034" w14:textId="77777777" w:rsidTr="002D6DD7">
        <w:tc>
          <w:tcPr>
            <w:tcW w:w="2610" w:type="dxa"/>
          </w:tcPr>
          <w:p w14:paraId="63D5D7C4"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835" w:type="dxa"/>
          </w:tcPr>
          <w:p w14:paraId="1DC36A99" w14:textId="77777777" w:rsidR="00265BA6" w:rsidRPr="00944B15" w:rsidRDefault="00265BA6" w:rsidP="002D6DD7">
            <w:pPr>
              <w:jc w:val="both"/>
              <w:rPr>
                <w:rFonts w:cs="Times New Roman"/>
                <w:szCs w:val="24"/>
              </w:rPr>
            </w:pPr>
            <w:r w:rsidRPr="00944B15">
              <w:rPr>
                <w:rFonts w:cs="Times New Roman"/>
                <w:szCs w:val="24"/>
              </w:rPr>
              <w:t>Store between 2</w:t>
            </w:r>
            <w:r w:rsidRPr="00944B15">
              <w:rPr>
                <w:rFonts w:cs="Times New Roman"/>
                <w:szCs w:val="24"/>
                <w:vertAlign w:val="superscript"/>
              </w:rPr>
              <w:t xml:space="preserve"> o</w:t>
            </w:r>
            <w:r w:rsidRPr="00944B15">
              <w:rPr>
                <w:rFonts w:cs="Times New Roman"/>
                <w:szCs w:val="24"/>
              </w:rPr>
              <w:t>C</w:t>
            </w:r>
            <w:r>
              <w:rPr>
                <w:rFonts w:cs="Times New Roman"/>
                <w:szCs w:val="24"/>
              </w:rPr>
              <w:t xml:space="preserve"> to 30</w:t>
            </w:r>
            <w:r w:rsidRPr="00944B15">
              <w:rPr>
                <w:rFonts w:cs="Times New Roman"/>
                <w:szCs w:val="24"/>
                <w:vertAlign w:val="superscript"/>
              </w:rPr>
              <w:t>o</w:t>
            </w:r>
            <w:r w:rsidRPr="00944B15">
              <w:rPr>
                <w:rFonts w:cs="Times New Roman"/>
                <w:szCs w:val="24"/>
              </w:rPr>
              <w:t>C</w:t>
            </w:r>
            <w:r>
              <w:rPr>
                <w:rFonts w:cs="Times New Roman"/>
                <w:szCs w:val="24"/>
              </w:rPr>
              <w:t>.</w:t>
            </w:r>
            <w:r w:rsidRPr="00944B15">
              <w:rPr>
                <w:rFonts w:cs="Times New Roman"/>
                <w:szCs w:val="24"/>
              </w:rPr>
              <w:t xml:space="preserve"> Do not freeze</w:t>
            </w:r>
            <w:r>
              <w:rPr>
                <w:rFonts w:cs="Times New Roman"/>
                <w:szCs w:val="24"/>
              </w:rPr>
              <w:t>.</w:t>
            </w:r>
          </w:p>
        </w:tc>
      </w:tr>
    </w:tbl>
    <w:tbl>
      <w:tblPr>
        <w:tblStyle w:val="TableGrid6"/>
        <w:tblW w:w="0" w:type="auto"/>
        <w:tblInd w:w="-95" w:type="dxa"/>
        <w:tblLayout w:type="fixed"/>
        <w:tblLook w:val="04A0" w:firstRow="1" w:lastRow="0" w:firstColumn="1" w:lastColumn="0" w:noHBand="0" w:noVBand="1"/>
      </w:tblPr>
      <w:tblGrid>
        <w:gridCol w:w="2610"/>
        <w:gridCol w:w="6835"/>
      </w:tblGrid>
      <w:tr w:rsidR="00265BA6" w:rsidRPr="00944B15" w14:paraId="16870E32" w14:textId="77777777" w:rsidTr="002D6DD7">
        <w:tc>
          <w:tcPr>
            <w:tcW w:w="9445" w:type="dxa"/>
            <w:gridSpan w:val="2"/>
          </w:tcPr>
          <w:p w14:paraId="7EF4F5CF" w14:textId="77777777" w:rsidR="00265BA6" w:rsidRPr="00944B15" w:rsidRDefault="00265BA6" w:rsidP="002D6DD7">
            <w:pPr>
              <w:jc w:val="both"/>
              <w:rPr>
                <w:rFonts w:cs="Times New Roman"/>
                <w:b/>
                <w:szCs w:val="24"/>
              </w:rPr>
            </w:pPr>
            <w:r w:rsidRPr="00944B15">
              <w:rPr>
                <w:rFonts w:eastAsia="Calibri" w:cs="Times New Roman"/>
                <w:b/>
                <w:szCs w:val="24"/>
              </w:rPr>
              <w:t>Th</w:t>
            </w:r>
            <w:r>
              <w:rPr>
                <w:rFonts w:eastAsia="Calibri" w:cs="Times New Roman"/>
                <w:b/>
                <w:szCs w:val="24"/>
              </w:rPr>
              <w:t>iopental s</w:t>
            </w:r>
            <w:r w:rsidRPr="00944B15">
              <w:rPr>
                <w:rFonts w:eastAsia="Calibri" w:cs="Times New Roman"/>
                <w:b/>
                <w:szCs w:val="24"/>
              </w:rPr>
              <w:t>odium</w:t>
            </w:r>
          </w:p>
        </w:tc>
      </w:tr>
      <w:tr w:rsidR="00265BA6" w:rsidRPr="00944B15" w14:paraId="23FCD298" w14:textId="77777777" w:rsidTr="002D6DD7">
        <w:tc>
          <w:tcPr>
            <w:tcW w:w="2610" w:type="dxa"/>
          </w:tcPr>
          <w:p w14:paraId="563861B7"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835" w:type="dxa"/>
          </w:tcPr>
          <w:p w14:paraId="4C09833F" w14:textId="77777777" w:rsidR="00265BA6" w:rsidRPr="00944B15" w:rsidRDefault="00265BA6" w:rsidP="002D6DD7">
            <w:pPr>
              <w:jc w:val="both"/>
              <w:rPr>
                <w:rFonts w:cs="Times New Roman"/>
                <w:szCs w:val="24"/>
              </w:rPr>
            </w:pPr>
            <w:r w:rsidRPr="00944B15">
              <w:rPr>
                <w:rFonts w:cs="Times New Roman"/>
                <w:szCs w:val="24"/>
              </w:rPr>
              <w:t>IV anaesthetic</w:t>
            </w:r>
          </w:p>
        </w:tc>
      </w:tr>
      <w:tr w:rsidR="00265BA6" w:rsidRPr="00944B15" w14:paraId="448DAB46" w14:textId="77777777" w:rsidTr="002D6DD7">
        <w:tc>
          <w:tcPr>
            <w:tcW w:w="2610" w:type="dxa"/>
          </w:tcPr>
          <w:p w14:paraId="3527C85E" w14:textId="77777777" w:rsidR="00265BA6" w:rsidRPr="00944B15" w:rsidRDefault="00265BA6" w:rsidP="002D6DD7">
            <w:pPr>
              <w:jc w:val="both"/>
              <w:rPr>
                <w:rFonts w:cs="Times New Roman"/>
                <w:szCs w:val="24"/>
              </w:rPr>
            </w:pPr>
            <w:r w:rsidRPr="00944B15">
              <w:rPr>
                <w:rFonts w:cs="Times New Roman"/>
                <w:szCs w:val="24"/>
              </w:rPr>
              <w:lastRenderedPageBreak/>
              <w:t>Dosage form</w:t>
            </w:r>
          </w:p>
        </w:tc>
        <w:tc>
          <w:tcPr>
            <w:tcW w:w="6835" w:type="dxa"/>
          </w:tcPr>
          <w:p w14:paraId="523E8C00" w14:textId="77777777" w:rsidR="00265BA6" w:rsidRPr="00944B15" w:rsidRDefault="00265BA6" w:rsidP="002D6DD7">
            <w:pPr>
              <w:jc w:val="both"/>
              <w:rPr>
                <w:rFonts w:cs="Times New Roman"/>
                <w:szCs w:val="24"/>
              </w:rPr>
            </w:pPr>
            <w:r w:rsidRPr="00944B15">
              <w:rPr>
                <w:rFonts w:cs="Times New Roman"/>
                <w:szCs w:val="24"/>
              </w:rPr>
              <w:t>Powder for injection: 0.5gm, 1gm in vial</w:t>
            </w:r>
          </w:p>
        </w:tc>
      </w:tr>
      <w:tr w:rsidR="00265BA6" w:rsidRPr="00944B15" w14:paraId="062E9437" w14:textId="77777777" w:rsidTr="002D6DD7">
        <w:tc>
          <w:tcPr>
            <w:tcW w:w="2610" w:type="dxa"/>
          </w:tcPr>
          <w:p w14:paraId="09F07D04" w14:textId="77777777" w:rsidR="00265BA6" w:rsidRPr="00944B15" w:rsidRDefault="00265BA6" w:rsidP="002D6DD7">
            <w:pPr>
              <w:jc w:val="both"/>
              <w:rPr>
                <w:rFonts w:cs="Times New Roman"/>
                <w:szCs w:val="24"/>
              </w:rPr>
            </w:pPr>
            <w:r w:rsidRPr="00944B15">
              <w:rPr>
                <w:rFonts w:cs="Times New Roman"/>
                <w:szCs w:val="24"/>
              </w:rPr>
              <w:t>Indications</w:t>
            </w:r>
          </w:p>
        </w:tc>
        <w:tc>
          <w:tcPr>
            <w:tcW w:w="6835" w:type="dxa"/>
          </w:tcPr>
          <w:p w14:paraId="69F8BB19" w14:textId="77777777" w:rsidR="00265BA6" w:rsidRPr="00944B15" w:rsidRDefault="00265BA6" w:rsidP="002D6DD7">
            <w:pPr>
              <w:jc w:val="both"/>
              <w:rPr>
                <w:rFonts w:cs="Times New Roman"/>
                <w:szCs w:val="24"/>
              </w:rPr>
            </w:pPr>
            <w:r w:rsidRPr="00944B15">
              <w:rPr>
                <w:rFonts w:cs="Times New Roman"/>
                <w:szCs w:val="24"/>
              </w:rPr>
              <w:t xml:space="preserve">Induction of general </w:t>
            </w:r>
            <w:r>
              <w:rPr>
                <w:rFonts w:cs="Times New Roman"/>
                <w:szCs w:val="24"/>
              </w:rPr>
              <w:t>anesthesia</w:t>
            </w:r>
            <w:r w:rsidRPr="00944B15">
              <w:rPr>
                <w:rFonts w:cs="Times New Roman"/>
                <w:szCs w:val="24"/>
              </w:rPr>
              <w:t xml:space="preserve"> particularly </w:t>
            </w:r>
            <w:r>
              <w:rPr>
                <w:rFonts w:cs="Times New Roman"/>
                <w:szCs w:val="24"/>
              </w:rPr>
              <w:t>anesthesia</w:t>
            </w:r>
            <w:r w:rsidRPr="00944B15">
              <w:rPr>
                <w:rFonts w:cs="Times New Roman"/>
                <w:szCs w:val="24"/>
              </w:rPr>
              <w:t xml:space="preserve"> of short duration.</w:t>
            </w:r>
          </w:p>
        </w:tc>
      </w:tr>
      <w:tr w:rsidR="00265BA6" w:rsidRPr="00944B15" w14:paraId="048F7691" w14:textId="77777777" w:rsidTr="002D6DD7">
        <w:tc>
          <w:tcPr>
            <w:tcW w:w="2610" w:type="dxa"/>
          </w:tcPr>
          <w:p w14:paraId="43F8A532"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835" w:type="dxa"/>
          </w:tcPr>
          <w:p w14:paraId="34E6573E" w14:textId="77777777" w:rsidR="00265BA6" w:rsidRPr="00944B15" w:rsidRDefault="00265BA6" w:rsidP="002D6DD7">
            <w:pPr>
              <w:jc w:val="both"/>
              <w:rPr>
                <w:rFonts w:cs="Times New Roman"/>
                <w:b/>
                <w:szCs w:val="24"/>
              </w:rPr>
            </w:pPr>
            <w:r w:rsidRPr="00944B15">
              <w:rPr>
                <w:rFonts w:cs="Times New Roman"/>
                <w:b/>
                <w:szCs w:val="24"/>
              </w:rPr>
              <w:t>Adult</w:t>
            </w:r>
            <w:r>
              <w:rPr>
                <w:rFonts w:cs="Times New Roman"/>
                <w:b/>
                <w:szCs w:val="24"/>
              </w:rPr>
              <w:t>:</w:t>
            </w:r>
          </w:p>
          <w:p w14:paraId="03ADA478" w14:textId="77777777" w:rsidR="00265BA6" w:rsidRPr="008D2B0C" w:rsidRDefault="00265BA6" w:rsidP="002D6DD7">
            <w:pPr>
              <w:jc w:val="both"/>
              <w:rPr>
                <w:rFonts w:cs="Times New Roman"/>
                <w:b/>
                <w:szCs w:val="24"/>
              </w:rPr>
            </w:pPr>
            <w:r w:rsidRPr="00944B15">
              <w:rPr>
                <w:rFonts w:cs="Times New Roman"/>
                <w:b/>
                <w:szCs w:val="24"/>
              </w:rPr>
              <w:t xml:space="preserve">Induction of </w:t>
            </w:r>
            <w:r>
              <w:rPr>
                <w:rFonts w:cs="Times New Roman"/>
                <w:b/>
                <w:szCs w:val="24"/>
              </w:rPr>
              <w:t>anesthesia</w:t>
            </w:r>
            <w:r w:rsidRPr="00944B15">
              <w:rPr>
                <w:rFonts w:cs="Times New Roman"/>
                <w:b/>
                <w:szCs w:val="24"/>
              </w:rPr>
              <w:t xml:space="preserve"> prior to administration of inhalational anaesthetic, </w:t>
            </w:r>
            <w:r>
              <w:rPr>
                <w:rFonts w:cs="Times New Roman"/>
                <w:b/>
                <w:szCs w:val="24"/>
              </w:rPr>
              <w:t>anesthesia</w:t>
            </w:r>
            <w:r w:rsidRPr="00944B15">
              <w:rPr>
                <w:rFonts w:cs="Times New Roman"/>
                <w:b/>
                <w:szCs w:val="24"/>
              </w:rPr>
              <w:t xml:space="preserve"> of short duration</w:t>
            </w:r>
            <w:r w:rsidR="008D2B0C">
              <w:rPr>
                <w:rFonts w:cs="Times New Roman"/>
                <w:b/>
                <w:szCs w:val="24"/>
              </w:rPr>
              <w:t xml:space="preserve">, </w:t>
            </w:r>
            <w:r w:rsidRPr="008D2B0C">
              <w:rPr>
                <w:rFonts w:cs="Times New Roman"/>
                <w:szCs w:val="24"/>
              </w:rPr>
              <w:t>IV injection</w:t>
            </w:r>
            <w:r w:rsidRPr="00D76338">
              <w:rPr>
                <w:rFonts w:cs="Times New Roman"/>
                <w:b/>
                <w:szCs w:val="24"/>
              </w:rPr>
              <w:t>:</w:t>
            </w:r>
            <w:r w:rsidRPr="00944B15">
              <w:rPr>
                <w:rFonts w:cs="Times New Roman"/>
                <w:szCs w:val="24"/>
              </w:rPr>
              <w:t xml:space="preserve"> Usually as a 2.5% (25 mg/</w:t>
            </w:r>
            <w:r>
              <w:rPr>
                <w:rFonts w:cs="Times New Roman"/>
                <w:szCs w:val="24"/>
              </w:rPr>
              <w:t>ml</w:t>
            </w:r>
            <w:r w:rsidRPr="00944B15">
              <w:rPr>
                <w:rFonts w:cs="Times New Roman"/>
                <w:szCs w:val="24"/>
              </w:rPr>
              <w:t>) solution over 10–15 seconds, 100–150 mg (reduced in elderly or debilitated patients), followed by a further 100–150 mg if necessary, according to response after 30–60 seconds, or up to 4 mg/kg (maximum 500 mg)</w:t>
            </w:r>
          </w:p>
          <w:p w14:paraId="378B32E3" w14:textId="77777777" w:rsidR="00265BA6" w:rsidRPr="00944B15" w:rsidRDefault="00265BA6" w:rsidP="002D6DD7">
            <w:pPr>
              <w:jc w:val="both"/>
              <w:rPr>
                <w:rFonts w:cs="Times New Roman"/>
                <w:b/>
                <w:szCs w:val="24"/>
              </w:rPr>
            </w:pPr>
            <w:r>
              <w:rPr>
                <w:rFonts w:cs="Times New Roman"/>
                <w:b/>
                <w:szCs w:val="24"/>
              </w:rPr>
              <w:t>Pediatric</w:t>
            </w:r>
          </w:p>
          <w:p w14:paraId="722BF724" w14:textId="77777777" w:rsidR="00265BA6" w:rsidRPr="008D2B0C" w:rsidRDefault="00265BA6" w:rsidP="002D6DD7">
            <w:pPr>
              <w:jc w:val="both"/>
              <w:rPr>
                <w:rFonts w:cs="Times New Roman"/>
                <w:b/>
                <w:szCs w:val="24"/>
              </w:rPr>
            </w:pPr>
            <w:r w:rsidRPr="00944B15">
              <w:rPr>
                <w:rFonts w:cs="Times New Roman"/>
                <w:b/>
                <w:szCs w:val="24"/>
              </w:rPr>
              <w:t xml:space="preserve">Induction of </w:t>
            </w:r>
            <w:r>
              <w:rPr>
                <w:rFonts w:cs="Times New Roman"/>
                <w:b/>
                <w:szCs w:val="24"/>
              </w:rPr>
              <w:t>anesthesia</w:t>
            </w:r>
            <w:r w:rsidRPr="00944B15">
              <w:rPr>
                <w:rFonts w:cs="Times New Roman"/>
                <w:b/>
                <w:szCs w:val="24"/>
              </w:rPr>
              <w:t xml:space="preserve">, </w:t>
            </w:r>
            <w:r>
              <w:rPr>
                <w:rFonts w:cs="Times New Roman"/>
                <w:b/>
                <w:szCs w:val="24"/>
              </w:rPr>
              <w:t>anesthesia</w:t>
            </w:r>
            <w:r w:rsidRPr="00944B15">
              <w:rPr>
                <w:rFonts w:cs="Times New Roman"/>
                <w:b/>
                <w:szCs w:val="24"/>
              </w:rPr>
              <w:t xml:space="preserve"> of short duration (&lt;15–20 minutes)</w:t>
            </w:r>
            <w:r w:rsidR="008D2B0C">
              <w:rPr>
                <w:rFonts w:cs="Times New Roman"/>
                <w:b/>
                <w:szCs w:val="24"/>
              </w:rPr>
              <w:t xml:space="preserve">, </w:t>
            </w:r>
            <w:r w:rsidR="008D2B0C" w:rsidRPr="008D2B0C">
              <w:rPr>
                <w:rFonts w:cs="Times New Roman"/>
                <w:szCs w:val="24"/>
              </w:rPr>
              <w:t>s</w:t>
            </w:r>
            <w:r w:rsidRPr="008D2B0C">
              <w:rPr>
                <w:rFonts w:cs="Times New Roman"/>
                <w:szCs w:val="24"/>
              </w:rPr>
              <w:t>ow IV injection:</w:t>
            </w:r>
            <w:r w:rsidRPr="00944B15">
              <w:rPr>
                <w:rFonts w:cs="Times New Roman"/>
                <w:szCs w:val="24"/>
              </w:rPr>
              <w:t xml:space="preserve"> usually as a 2.5% (25 mg/</w:t>
            </w:r>
            <w:r>
              <w:rPr>
                <w:rFonts w:cs="Times New Roman"/>
                <w:szCs w:val="24"/>
              </w:rPr>
              <w:t>ml</w:t>
            </w:r>
            <w:r w:rsidRPr="00944B15">
              <w:rPr>
                <w:rFonts w:cs="Times New Roman"/>
                <w:szCs w:val="24"/>
              </w:rPr>
              <w:t>) solution over 10–15 seconds</w:t>
            </w:r>
            <w:r w:rsidR="008D2B0C">
              <w:rPr>
                <w:rFonts w:cs="Times New Roman"/>
                <w:szCs w:val="24"/>
              </w:rPr>
              <w:t>.</w:t>
            </w:r>
          </w:p>
          <w:p w14:paraId="1BB527A0" w14:textId="77777777" w:rsidR="00265BA6" w:rsidRPr="00944B15" w:rsidRDefault="00265BA6" w:rsidP="002D6DD7">
            <w:pPr>
              <w:jc w:val="both"/>
              <w:rPr>
                <w:rFonts w:cs="Times New Roman"/>
                <w:szCs w:val="24"/>
              </w:rPr>
            </w:pPr>
            <w:r w:rsidRPr="00944B15">
              <w:rPr>
                <w:rFonts w:cs="Times New Roman"/>
                <w:b/>
                <w:szCs w:val="24"/>
              </w:rPr>
              <w:t xml:space="preserve">Neonate: </w:t>
            </w:r>
            <w:r w:rsidRPr="00944B15">
              <w:rPr>
                <w:rFonts w:cs="Times New Roman"/>
                <w:szCs w:val="24"/>
              </w:rPr>
              <w:t>Initially up to 2 mg/kg, then 1mg/kg repeated as necessary (maximum total dose 4 mg/kg)</w:t>
            </w:r>
          </w:p>
          <w:p w14:paraId="0FBDEF3B" w14:textId="77777777" w:rsidR="00265BA6" w:rsidRPr="00944B15" w:rsidRDefault="00265BA6" w:rsidP="002D6DD7">
            <w:pPr>
              <w:jc w:val="both"/>
              <w:rPr>
                <w:rFonts w:cs="Times New Roman"/>
                <w:b/>
                <w:szCs w:val="24"/>
              </w:rPr>
            </w:pPr>
            <w:r w:rsidRPr="00944B15">
              <w:rPr>
                <w:rFonts w:cs="Times New Roman"/>
                <w:b/>
                <w:szCs w:val="24"/>
              </w:rPr>
              <w:t xml:space="preserve">Infant or child: </w:t>
            </w:r>
            <w:r w:rsidRPr="00944B15">
              <w:rPr>
                <w:rFonts w:cs="Times New Roman"/>
                <w:szCs w:val="24"/>
              </w:rPr>
              <w:t>Initially up to 5 mg/kg, then 1 mg/kg repeated as necessary (maximum total dose 7 mg/kg)</w:t>
            </w:r>
          </w:p>
        </w:tc>
      </w:tr>
      <w:tr w:rsidR="00265BA6" w:rsidRPr="00944B15" w14:paraId="7E762BDC" w14:textId="77777777" w:rsidTr="002D6DD7">
        <w:tc>
          <w:tcPr>
            <w:tcW w:w="2610" w:type="dxa"/>
          </w:tcPr>
          <w:p w14:paraId="0EC43AC6"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835" w:type="dxa"/>
          </w:tcPr>
          <w:p w14:paraId="190F63D9" w14:textId="77777777" w:rsidR="00265BA6" w:rsidRPr="00944B15" w:rsidRDefault="00265BA6"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 xml:space="preserve">the drug or other </w:t>
            </w:r>
            <w:r w:rsidRPr="00944B15">
              <w:rPr>
                <w:rFonts w:cs="Times New Roman"/>
                <w:szCs w:val="24"/>
              </w:rPr>
              <w:t>barbiturates,</w:t>
            </w:r>
            <w:r>
              <w:rPr>
                <w:rFonts w:cs="Times New Roman"/>
                <w:szCs w:val="24"/>
              </w:rPr>
              <w:t xml:space="preserve"> a</w:t>
            </w:r>
            <w:r w:rsidRPr="00944B15">
              <w:rPr>
                <w:rFonts w:cs="Times New Roman"/>
                <w:szCs w:val="24"/>
              </w:rPr>
              <w:t>cute asthma, severe shock, dystrophia myotonica, severe cardiovascular disease, respiratory obstruction, porphyria</w:t>
            </w:r>
          </w:p>
        </w:tc>
      </w:tr>
      <w:tr w:rsidR="00265BA6" w:rsidRPr="00944B15" w14:paraId="3DD876D1" w14:textId="77777777" w:rsidTr="002D6DD7">
        <w:tc>
          <w:tcPr>
            <w:tcW w:w="2610" w:type="dxa"/>
          </w:tcPr>
          <w:p w14:paraId="167D8153"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835" w:type="dxa"/>
          </w:tcPr>
          <w:p w14:paraId="67D6FDEE" w14:textId="77777777" w:rsidR="00265BA6" w:rsidRPr="00944B15" w:rsidRDefault="00265BA6" w:rsidP="002D6DD7">
            <w:pPr>
              <w:jc w:val="both"/>
              <w:rPr>
                <w:rFonts w:eastAsia="Times New Roman" w:cs="Times New Roman"/>
                <w:szCs w:val="24"/>
              </w:rPr>
            </w:pPr>
            <w:r w:rsidRPr="00944B15">
              <w:rPr>
                <w:rFonts w:eastAsia="Times New Roman" w:cs="Times New Roman"/>
                <w:szCs w:val="24"/>
              </w:rPr>
              <w:t>Antihypertensive drugs (Beta-blockers, calcium channel blockers, ACEIs, ARBs, diuretics, vasodilators, alpha blockers), aspirin, MAOIs, nitrates, CNS depressants, metoclopramide, antibacterials (Vancomycin and sulphonamides)</w:t>
            </w:r>
            <w:r>
              <w:rPr>
                <w:rFonts w:eastAsia="Times New Roman" w:cs="Times New Roman"/>
                <w:szCs w:val="24"/>
              </w:rPr>
              <w:t>,</w:t>
            </w:r>
            <w:r w:rsidRPr="00944B15">
              <w:rPr>
                <w:rFonts w:eastAsia="Times New Roman" w:cs="Times New Roman"/>
                <w:szCs w:val="24"/>
              </w:rPr>
              <w:t xml:space="preserve"> valerian and St John’s Wort</w:t>
            </w:r>
            <w:r>
              <w:rPr>
                <w:rFonts w:eastAsia="Times New Roman" w:cs="Times New Roman"/>
                <w:szCs w:val="24"/>
              </w:rPr>
              <w:t>,</w:t>
            </w:r>
            <w:r w:rsidRPr="00944B15">
              <w:rPr>
                <w:rFonts w:eastAsia="Times New Roman" w:cs="Times New Roman"/>
                <w:szCs w:val="24"/>
              </w:rPr>
              <w:t xml:space="preserve"> phenothiazines.</w:t>
            </w:r>
          </w:p>
        </w:tc>
      </w:tr>
      <w:tr w:rsidR="00265BA6" w:rsidRPr="00944B15" w14:paraId="761E4FDA" w14:textId="77777777" w:rsidTr="002D6DD7">
        <w:tc>
          <w:tcPr>
            <w:tcW w:w="2610" w:type="dxa"/>
          </w:tcPr>
          <w:p w14:paraId="34530439" w14:textId="77777777" w:rsidR="00265BA6" w:rsidRPr="00944B15" w:rsidRDefault="00265BA6" w:rsidP="002D6DD7">
            <w:pPr>
              <w:jc w:val="both"/>
              <w:rPr>
                <w:rFonts w:cs="Times New Roman"/>
                <w:szCs w:val="24"/>
              </w:rPr>
            </w:pPr>
            <w:r w:rsidRPr="00944B15">
              <w:rPr>
                <w:rFonts w:cs="Times New Roman"/>
                <w:szCs w:val="24"/>
              </w:rPr>
              <w:t>Side effects</w:t>
            </w:r>
          </w:p>
        </w:tc>
        <w:tc>
          <w:tcPr>
            <w:tcW w:w="6835" w:type="dxa"/>
          </w:tcPr>
          <w:p w14:paraId="6FD5BF71" w14:textId="77777777" w:rsidR="00265BA6" w:rsidRPr="00944B15" w:rsidRDefault="00265BA6" w:rsidP="002D6DD7">
            <w:pPr>
              <w:jc w:val="both"/>
              <w:rPr>
                <w:rFonts w:cs="Times New Roman"/>
                <w:szCs w:val="24"/>
              </w:rPr>
            </w:pPr>
            <w:r w:rsidRPr="00944B15">
              <w:rPr>
                <w:rFonts w:cs="Times New Roman"/>
                <w:szCs w:val="24"/>
              </w:rPr>
              <w:t>Hypotension, transient erythema, cardiorespiratory depression, prolonged somnolence, cough, sneezing, cardiac arrhythmias, hypotension, laryngospasm, rash, allergic reactions, anaphylaxis, thrombophlebitis, haemolytic anaemia</w:t>
            </w:r>
            <w:r>
              <w:rPr>
                <w:rFonts w:cs="Times New Roman"/>
                <w:szCs w:val="24"/>
              </w:rPr>
              <w:t>,</w:t>
            </w:r>
            <w:r w:rsidRPr="00944B15">
              <w:rPr>
                <w:rFonts w:cs="Times New Roman"/>
                <w:szCs w:val="24"/>
              </w:rPr>
              <w:t xml:space="preserve"> thrombosis.</w:t>
            </w:r>
          </w:p>
        </w:tc>
      </w:tr>
      <w:tr w:rsidR="00265BA6" w:rsidRPr="00944B15" w14:paraId="3159E225" w14:textId="77777777" w:rsidTr="002D6DD7">
        <w:tc>
          <w:tcPr>
            <w:tcW w:w="2610" w:type="dxa"/>
          </w:tcPr>
          <w:p w14:paraId="03EA5D81"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835" w:type="dxa"/>
          </w:tcPr>
          <w:p w14:paraId="5111C25A" w14:textId="77777777" w:rsidR="00265BA6" w:rsidRPr="00944B15" w:rsidRDefault="00265BA6" w:rsidP="002D6DD7">
            <w:pPr>
              <w:jc w:val="both"/>
              <w:rPr>
                <w:rFonts w:eastAsia="Times New Roman" w:cs="Times New Roman"/>
                <w:szCs w:val="24"/>
              </w:rPr>
            </w:pPr>
            <w:r w:rsidRPr="00944B15">
              <w:rPr>
                <w:rFonts w:eastAsia="Times New Roman" w:cs="Times New Roman"/>
                <w:szCs w:val="24"/>
              </w:rPr>
              <w:t xml:space="preserve">Severe cardiovascular diseases, severe respiratory diseases, severe </w:t>
            </w:r>
            <w:r w:rsidRPr="00944B15">
              <w:rPr>
                <w:rFonts w:eastAsia="Times New Roman" w:cs="Times New Roman"/>
                <w:szCs w:val="24"/>
              </w:rPr>
              <w:lastRenderedPageBreak/>
              <w:t>hypertension, hepatic impairment, hepatic impairment</w:t>
            </w:r>
            <w:r>
              <w:rPr>
                <w:rFonts w:eastAsia="Times New Roman" w:cs="Times New Roman"/>
                <w:szCs w:val="24"/>
              </w:rPr>
              <w:t>,</w:t>
            </w:r>
            <w:r w:rsidRPr="00944B15">
              <w:rPr>
                <w:rFonts w:eastAsia="Times New Roman" w:cs="Times New Roman"/>
                <w:szCs w:val="24"/>
              </w:rPr>
              <w:t xml:space="preserve"> elderly age group.</w:t>
            </w:r>
          </w:p>
        </w:tc>
      </w:tr>
      <w:tr w:rsidR="00265BA6" w:rsidRPr="00944B15" w14:paraId="50D46142" w14:textId="77777777" w:rsidTr="002D6DD7">
        <w:tc>
          <w:tcPr>
            <w:tcW w:w="2610" w:type="dxa"/>
          </w:tcPr>
          <w:p w14:paraId="60456B0C" w14:textId="77777777" w:rsidR="00265BA6" w:rsidRPr="00944B15" w:rsidRDefault="00265BA6" w:rsidP="002D6DD7">
            <w:pPr>
              <w:jc w:val="both"/>
              <w:rPr>
                <w:rFonts w:cs="Times New Roman"/>
                <w:szCs w:val="24"/>
              </w:rPr>
            </w:pPr>
            <w:r w:rsidRPr="00944B15">
              <w:rPr>
                <w:rFonts w:cs="Times New Roman"/>
                <w:szCs w:val="24"/>
              </w:rPr>
              <w:lastRenderedPageBreak/>
              <w:t>Storage condition</w:t>
            </w:r>
          </w:p>
        </w:tc>
        <w:tc>
          <w:tcPr>
            <w:tcW w:w="6835" w:type="dxa"/>
          </w:tcPr>
          <w:p w14:paraId="6228A1BF" w14:textId="77777777" w:rsidR="00265BA6" w:rsidRPr="00944B15" w:rsidRDefault="00265BA6" w:rsidP="002D6DD7">
            <w:pPr>
              <w:pStyle w:val="BodyText"/>
              <w:spacing w:line="360" w:lineRule="auto"/>
            </w:pPr>
            <w:r>
              <w:t>Store below</w:t>
            </w:r>
            <w:r w:rsidRPr="00944B15">
              <w:t xml:space="preserve"> </w:t>
            </w:r>
            <w:r w:rsidR="008D2B0C">
              <w:t>30</w:t>
            </w:r>
            <w:r w:rsidRPr="00944B15">
              <w:t xml:space="preserve">°C. </w:t>
            </w:r>
          </w:p>
          <w:p w14:paraId="4BD1F5ED" w14:textId="77777777" w:rsidR="00265BA6" w:rsidRPr="00944B15" w:rsidRDefault="00265BA6" w:rsidP="002D6DD7">
            <w:pPr>
              <w:pStyle w:val="BodyText"/>
              <w:spacing w:line="360" w:lineRule="auto"/>
            </w:pPr>
            <w:r w:rsidRPr="00944B15">
              <w:t xml:space="preserve">Store reconstituted solution between 2ºC to 8ºC </w:t>
            </w:r>
            <w:r w:rsidRPr="007A67A7">
              <w:t>for a maximum of 24 hours</w:t>
            </w:r>
            <w:r>
              <w:t xml:space="preserve"> and </w:t>
            </w:r>
            <w:r w:rsidRPr="007A67A7">
              <w:t>in room temperature for a maximum of 6 hours.</w:t>
            </w:r>
          </w:p>
        </w:tc>
      </w:tr>
    </w:tbl>
    <w:p w14:paraId="7EA40AD9" w14:textId="77777777" w:rsidR="00265BA6" w:rsidRPr="00944B15" w:rsidRDefault="00265BA6" w:rsidP="00265BA6">
      <w:pPr>
        <w:spacing w:after="0"/>
        <w:jc w:val="both"/>
        <w:rPr>
          <w:rFonts w:cs="Times New Roman"/>
          <w:b/>
          <w:szCs w:val="24"/>
        </w:rPr>
      </w:pPr>
    </w:p>
    <w:p w14:paraId="764119EB" w14:textId="77777777" w:rsidR="00265BA6" w:rsidRPr="008D2B0C" w:rsidRDefault="00265BA6" w:rsidP="008D2B0C">
      <w:pPr>
        <w:pStyle w:val="Heading2"/>
        <w:spacing w:before="240" w:after="240"/>
      </w:pPr>
      <w:bookmarkStart w:id="90" w:name="_Toc179490351"/>
      <w:r w:rsidRPr="008D2B0C">
        <w:t xml:space="preserve">Local </w:t>
      </w:r>
      <w:r w:rsidR="008D2B0C">
        <w:t>a</w:t>
      </w:r>
      <w:r w:rsidRPr="008D2B0C">
        <w:t>nesthetics</w:t>
      </w:r>
      <w:bookmarkEnd w:id="90"/>
    </w:p>
    <w:p w14:paraId="3A8C4C93" w14:textId="77777777" w:rsidR="00265BA6" w:rsidRPr="00944B15" w:rsidRDefault="00265BA6" w:rsidP="00265BA6">
      <w:pPr>
        <w:spacing w:after="0"/>
        <w:jc w:val="both"/>
        <w:rPr>
          <w:rFonts w:cs="Times New Roman"/>
          <w:szCs w:val="24"/>
        </w:rPr>
      </w:pPr>
      <w:r w:rsidRPr="00944B15">
        <w:rPr>
          <w:rFonts w:cs="Times New Roman"/>
          <w:szCs w:val="24"/>
        </w:rPr>
        <w:t xml:space="preserve">Local anaesthetic drugs act by causing a reversible block to conduction along nerve fibres. They vary widely in their potency, toxicity, duration of action, stability, solubility in water, and ability to penetrate mucous membranes. These factors determine their application, e.g. topical (surface), infiltration, peripheral nerve block, intravenous regional </w:t>
      </w:r>
      <w:r>
        <w:rPr>
          <w:rFonts w:cs="Times New Roman"/>
          <w:szCs w:val="24"/>
        </w:rPr>
        <w:t>anesthesia</w:t>
      </w:r>
      <w:r w:rsidRPr="00944B15">
        <w:rPr>
          <w:rFonts w:cs="Times New Roman"/>
          <w:szCs w:val="24"/>
        </w:rPr>
        <w:t xml:space="preserve"> (Bier’s block), plexus, epidural (extradural), or spinal (intrathecal or subarachnoid) block. Local anaesthetics may also be used for postoperative pain relief, thereby reducing the need for analgesics such as opioids.</w:t>
      </w:r>
    </w:p>
    <w:p w14:paraId="33627526" w14:textId="77777777" w:rsidR="00265BA6" w:rsidRPr="00944B15" w:rsidRDefault="00265BA6" w:rsidP="00265BA6">
      <w:pPr>
        <w:spacing w:after="0"/>
        <w:jc w:val="both"/>
        <w:rPr>
          <w:rFonts w:cs="Times New Roman"/>
          <w:szCs w:val="24"/>
        </w:rPr>
      </w:pPr>
    </w:p>
    <w:tbl>
      <w:tblPr>
        <w:tblStyle w:val="TableGrid"/>
        <w:tblW w:w="0" w:type="auto"/>
        <w:tblLook w:val="04A0" w:firstRow="1" w:lastRow="0" w:firstColumn="1" w:lastColumn="0" w:noHBand="0" w:noVBand="1"/>
      </w:tblPr>
      <w:tblGrid>
        <w:gridCol w:w="2605"/>
        <w:gridCol w:w="6745"/>
      </w:tblGrid>
      <w:tr w:rsidR="00265BA6" w:rsidRPr="00944B15" w14:paraId="062CFC5E" w14:textId="77777777" w:rsidTr="002D6DD7">
        <w:tc>
          <w:tcPr>
            <w:tcW w:w="9350" w:type="dxa"/>
            <w:gridSpan w:val="2"/>
          </w:tcPr>
          <w:p w14:paraId="63351329" w14:textId="77777777" w:rsidR="00265BA6" w:rsidRPr="00944B15" w:rsidRDefault="00265BA6" w:rsidP="002D6DD7">
            <w:pPr>
              <w:jc w:val="both"/>
              <w:rPr>
                <w:rFonts w:cs="Times New Roman"/>
                <w:b/>
                <w:szCs w:val="24"/>
              </w:rPr>
            </w:pPr>
            <w:r w:rsidRPr="00944B15">
              <w:rPr>
                <w:rFonts w:cs="Times New Roman"/>
                <w:b/>
                <w:szCs w:val="24"/>
              </w:rPr>
              <w:t>Bupivacaine</w:t>
            </w:r>
          </w:p>
        </w:tc>
      </w:tr>
      <w:tr w:rsidR="00265BA6" w:rsidRPr="00944B15" w14:paraId="16833583" w14:textId="77777777" w:rsidTr="002D6DD7">
        <w:tc>
          <w:tcPr>
            <w:tcW w:w="2605" w:type="dxa"/>
          </w:tcPr>
          <w:p w14:paraId="06DA47EB"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7F05A476" w14:textId="77777777" w:rsidR="00265BA6" w:rsidRPr="00944B15" w:rsidRDefault="00265BA6" w:rsidP="002D6DD7">
            <w:pPr>
              <w:jc w:val="both"/>
              <w:rPr>
                <w:rFonts w:cs="Times New Roman"/>
                <w:szCs w:val="24"/>
              </w:rPr>
            </w:pPr>
            <w:r w:rsidRPr="00944B15">
              <w:rPr>
                <w:rFonts w:cs="Times New Roman"/>
                <w:szCs w:val="24"/>
              </w:rPr>
              <w:t>Local anaesthetic</w:t>
            </w:r>
          </w:p>
        </w:tc>
      </w:tr>
      <w:tr w:rsidR="00265BA6" w:rsidRPr="00944B15" w14:paraId="439AA903" w14:textId="77777777" w:rsidTr="002D6DD7">
        <w:tc>
          <w:tcPr>
            <w:tcW w:w="2605" w:type="dxa"/>
          </w:tcPr>
          <w:p w14:paraId="42A892C5"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58136189" w14:textId="77777777" w:rsidR="00265BA6" w:rsidRPr="00944B15" w:rsidRDefault="00265BA6" w:rsidP="002D6DD7">
            <w:pPr>
              <w:widowControl w:val="0"/>
              <w:autoSpaceDE w:val="0"/>
              <w:autoSpaceDN w:val="0"/>
              <w:adjustRightInd w:val="0"/>
              <w:jc w:val="both"/>
              <w:rPr>
                <w:rFonts w:cs="Times New Roman"/>
                <w:szCs w:val="24"/>
              </w:rPr>
            </w:pPr>
            <w:r w:rsidRPr="00944B15">
              <w:rPr>
                <w:rFonts w:cs="Times New Roman"/>
                <w:szCs w:val="24"/>
              </w:rPr>
              <w:t>Injection: 0.25%; 0.5% (hydrochloride) in vial.</w:t>
            </w:r>
          </w:p>
          <w:p w14:paraId="7A91BA07" w14:textId="77777777" w:rsidR="00265BA6" w:rsidRPr="00944B15" w:rsidRDefault="00265BA6" w:rsidP="002D6DD7">
            <w:pPr>
              <w:jc w:val="both"/>
              <w:rPr>
                <w:rFonts w:cs="Times New Roman"/>
                <w:szCs w:val="24"/>
              </w:rPr>
            </w:pPr>
            <w:r w:rsidRPr="00944B15">
              <w:rPr>
                <w:rFonts w:cs="Times New Roman"/>
                <w:szCs w:val="24"/>
              </w:rPr>
              <w:t xml:space="preserve">Injection for spinal </w:t>
            </w:r>
            <w:r>
              <w:rPr>
                <w:rFonts w:cs="Times New Roman"/>
                <w:szCs w:val="24"/>
              </w:rPr>
              <w:t>anesthesia</w:t>
            </w:r>
            <w:r w:rsidRPr="00944B15">
              <w:rPr>
                <w:rFonts w:cs="Times New Roman"/>
                <w:szCs w:val="24"/>
              </w:rPr>
              <w:t>, 0.5% (HCl) in 5 mg/</w:t>
            </w:r>
            <w:r>
              <w:rPr>
                <w:rFonts w:cs="Times New Roman"/>
                <w:szCs w:val="24"/>
              </w:rPr>
              <w:t>ml</w:t>
            </w:r>
            <w:r w:rsidRPr="00944B15">
              <w:rPr>
                <w:rFonts w:cs="Times New Roman"/>
                <w:szCs w:val="24"/>
              </w:rPr>
              <w:t xml:space="preserve"> with 8% glucose solution (80 mg/</w:t>
            </w:r>
            <w:r>
              <w:rPr>
                <w:rFonts w:cs="Times New Roman"/>
                <w:szCs w:val="24"/>
              </w:rPr>
              <w:t>ml</w:t>
            </w:r>
            <w:r w:rsidRPr="00944B15">
              <w:rPr>
                <w:rFonts w:cs="Times New Roman"/>
                <w:szCs w:val="24"/>
              </w:rPr>
              <w:t>) 4-</w:t>
            </w:r>
            <w:r>
              <w:rPr>
                <w:rFonts w:cs="Times New Roman"/>
                <w:szCs w:val="24"/>
              </w:rPr>
              <w:t>ml</w:t>
            </w:r>
            <w:r w:rsidRPr="00944B15">
              <w:rPr>
                <w:rFonts w:cs="Times New Roman"/>
                <w:szCs w:val="24"/>
              </w:rPr>
              <w:t xml:space="preserve"> amp</w:t>
            </w:r>
          </w:p>
        </w:tc>
      </w:tr>
      <w:tr w:rsidR="00265BA6" w:rsidRPr="00944B15" w14:paraId="037B791D" w14:textId="77777777" w:rsidTr="002D6DD7">
        <w:tc>
          <w:tcPr>
            <w:tcW w:w="2605" w:type="dxa"/>
          </w:tcPr>
          <w:p w14:paraId="1F52A558"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409DDEDC" w14:textId="77777777" w:rsidR="00265BA6" w:rsidRPr="00944B15" w:rsidRDefault="00265BA6" w:rsidP="002D6DD7">
            <w:pPr>
              <w:jc w:val="both"/>
              <w:rPr>
                <w:rFonts w:cs="Times New Roman"/>
                <w:szCs w:val="24"/>
              </w:rPr>
            </w:pPr>
            <w:r w:rsidRPr="00944B15">
              <w:rPr>
                <w:rFonts w:cs="Times New Roman"/>
                <w:szCs w:val="24"/>
              </w:rPr>
              <w:t xml:space="preserve">For local or regional </w:t>
            </w:r>
            <w:r>
              <w:rPr>
                <w:rFonts w:cs="Times New Roman"/>
                <w:szCs w:val="24"/>
              </w:rPr>
              <w:t>anesthesia</w:t>
            </w:r>
            <w:r w:rsidRPr="00944B15">
              <w:rPr>
                <w:rFonts w:cs="Times New Roman"/>
                <w:szCs w:val="24"/>
              </w:rPr>
              <w:t xml:space="preserve"> or analgesia for surgery, dental and oral surgery, diagnostic procedures &amp; therapeutic procedures, and for obstetrical procedures.</w:t>
            </w:r>
          </w:p>
        </w:tc>
      </w:tr>
      <w:tr w:rsidR="00265BA6" w:rsidRPr="00944B15" w14:paraId="43453B9A" w14:textId="77777777" w:rsidTr="002D6DD7">
        <w:tc>
          <w:tcPr>
            <w:tcW w:w="2605" w:type="dxa"/>
          </w:tcPr>
          <w:p w14:paraId="32E2032F" w14:textId="77777777" w:rsidR="00265BA6" w:rsidRPr="00944B15" w:rsidRDefault="00265BA6" w:rsidP="002D6DD7">
            <w:pPr>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745" w:type="dxa"/>
          </w:tcPr>
          <w:p w14:paraId="23A0FE03" w14:textId="77777777" w:rsidR="00265BA6" w:rsidRPr="00944B15" w:rsidRDefault="00265BA6" w:rsidP="002D6DD7">
            <w:pPr>
              <w:jc w:val="both"/>
              <w:rPr>
                <w:rFonts w:eastAsia="SimSun" w:cs="Times New Roman"/>
                <w:b/>
                <w:szCs w:val="24"/>
                <w:lang w:eastAsia="zh-CN"/>
              </w:rPr>
            </w:pPr>
            <w:r>
              <w:rPr>
                <w:rFonts w:eastAsia="SimSun" w:cs="Times New Roman"/>
                <w:b/>
                <w:szCs w:val="24"/>
                <w:lang w:eastAsia="zh-CN"/>
              </w:rPr>
              <w:t>Adult:</w:t>
            </w:r>
          </w:p>
          <w:p w14:paraId="723D8E0E"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Local infiltration, peripheral nerve block, epidural block,</w:t>
            </w:r>
            <w:r w:rsidRPr="00944B15">
              <w:rPr>
                <w:rFonts w:cs="Times New Roman"/>
                <w:b/>
                <w:szCs w:val="24"/>
              </w:rPr>
              <w:t xml:space="preserve"> </w:t>
            </w:r>
            <w:r w:rsidRPr="00944B15">
              <w:rPr>
                <w:rFonts w:eastAsia="SimSun" w:cs="Times New Roman"/>
                <w:b/>
                <w:szCs w:val="24"/>
                <w:lang w:eastAsia="zh-CN"/>
              </w:rPr>
              <w:t xml:space="preserve">sympathetic block by regional administration: </w:t>
            </w:r>
          </w:p>
          <w:p w14:paraId="3E7FAE8A"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75–150mg, dose administered using a 5 mg/</w:t>
            </w:r>
            <w:r>
              <w:rPr>
                <w:rFonts w:eastAsia="SimSun" w:cs="Times New Roman"/>
                <w:szCs w:val="24"/>
                <w:lang w:eastAsia="zh-CN"/>
              </w:rPr>
              <w:t>ml</w:t>
            </w:r>
            <w:r w:rsidRPr="00944B15">
              <w:rPr>
                <w:rFonts w:eastAsia="SimSun" w:cs="Times New Roman"/>
                <w:szCs w:val="24"/>
                <w:lang w:eastAsia="zh-CN"/>
              </w:rPr>
              <w:t xml:space="preserve"> (0.5%) solution</w:t>
            </w:r>
          </w:p>
          <w:p w14:paraId="4357BCEC"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 xml:space="preserve">Surgical </w:t>
            </w:r>
            <w:r>
              <w:rPr>
                <w:rFonts w:eastAsia="SimSun" w:cs="Times New Roman"/>
                <w:b/>
                <w:szCs w:val="24"/>
                <w:lang w:eastAsia="zh-CN"/>
              </w:rPr>
              <w:t>anesthesia</w:t>
            </w:r>
            <w:r w:rsidRPr="00944B15">
              <w:rPr>
                <w:rFonts w:eastAsia="SimSun" w:cs="Times New Roman"/>
                <w:b/>
                <w:szCs w:val="24"/>
                <w:lang w:eastAsia="zh-CN"/>
              </w:rPr>
              <w:t xml:space="preserve">, field block by regional administration: </w:t>
            </w:r>
          </w:p>
          <w:p w14:paraId="17F78CF1"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Up to 150 mg, dose administered using a 2.5 mg/</w:t>
            </w:r>
            <w:r>
              <w:rPr>
                <w:rFonts w:eastAsia="SimSun" w:cs="Times New Roman"/>
                <w:szCs w:val="24"/>
                <w:lang w:eastAsia="zh-CN"/>
              </w:rPr>
              <w:t>ml</w:t>
            </w:r>
            <w:r w:rsidRPr="00944B15">
              <w:rPr>
                <w:rFonts w:eastAsia="SimSun" w:cs="Times New Roman"/>
                <w:szCs w:val="24"/>
                <w:lang w:eastAsia="zh-CN"/>
              </w:rPr>
              <w:t xml:space="preserve"> (0.25%) or 5 mg/</w:t>
            </w:r>
            <w:r>
              <w:rPr>
                <w:rFonts w:eastAsia="SimSun" w:cs="Times New Roman"/>
                <w:szCs w:val="24"/>
                <w:lang w:eastAsia="zh-CN"/>
              </w:rPr>
              <w:t>ml</w:t>
            </w:r>
            <w:r w:rsidRPr="00944B15">
              <w:rPr>
                <w:rFonts w:eastAsia="SimSun" w:cs="Times New Roman"/>
                <w:szCs w:val="24"/>
                <w:lang w:eastAsia="zh-CN"/>
              </w:rPr>
              <w:t xml:space="preserve"> (0.5%) solution</w:t>
            </w:r>
          </w:p>
          <w:p w14:paraId="0EE6BFE9"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lastRenderedPageBreak/>
              <w:t xml:space="preserve">Surgical </w:t>
            </w:r>
            <w:r>
              <w:rPr>
                <w:rFonts w:eastAsia="SimSun" w:cs="Times New Roman"/>
                <w:b/>
                <w:szCs w:val="24"/>
                <w:lang w:eastAsia="zh-CN"/>
              </w:rPr>
              <w:t>anesthesia</w:t>
            </w:r>
            <w:r w:rsidRPr="00944B15">
              <w:rPr>
                <w:rFonts w:eastAsia="SimSun" w:cs="Times New Roman"/>
                <w:b/>
                <w:szCs w:val="24"/>
                <w:lang w:eastAsia="zh-CN"/>
              </w:rPr>
              <w:t xml:space="preserve">, thoracic epidural block by thoracic epidural: </w:t>
            </w:r>
          </w:p>
          <w:p w14:paraId="455D16A0"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12.5–50 mg, dose administered using a 2.5 mg/</w:t>
            </w:r>
            <w:r>
              <w:rPr>
                <w:rFonts w:eastAsia="SimSun" w:cs="Times New Roman"/>
                <w:szCs w:val="24"/>
                <w:lang w:eastAsia="zh-CN"/>
              </w:rPr>
              <w:t>ml</w:t>
            </w:r>
            <w:r w:rsidRPr="00944B15">
              <w:rPr>
                <w:rFonts w:eastAsia="SimSun" w:cs="Times New Roman"/>
                <w:szCs w:val="24"/>
                <w:lang w:eastAsia="zh-CN"/>
              </w:rPr>
              <w:t xml:space="preserve"> (0.25%) or 5 mg/</w:t>
            </w:r>
            <w:r>
              <w:rPr>
                <w:rFonts w:eastAsia="SimSun" w:cs="Times New Roman"/>
                <w:szCs w:val="24"/>
                <w:lang w:eastAsia="zh-CN"/>
              </w:rPr>
              <w:t>ml</w:t>
            </w:r>
            <w:r w:rsidRPr="00944B15">
              <w:rPr>
                <w:rFonts w:eastAsia="SimSun" w:cs="Times New Roman"/>
                <w:szCs w:val="24"/>
                <w:lang w:eastAsia="zh-CN"/>
              </w:rPr>
              <w:t xml:space="preserve"> (0.5%) solution</w:t>
            </w:r>
          </w:p>
          <w:p w14:paraId="1F39CED2"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 xml:space="preserve">Surgical </w:t>
            </w:r>
            <w:r>
              <w:rPr>
                <w:rFonts w:eastAsia="SimSun" w:cs="Times New Roman"/>
                <w:b/>
                <w:szCs w:val="24"/>
                <w:lang w:eastAsia="zh-CN"/>
              </w:rPr>
              <w:t>anesthesia</w:t>
            </w:r>
            <w:r w:rsidRPr="00944B15">
              <w:rPr>
                <w:rFonts w:eastAsia="SimSun" w:cs="Times New Roman"/>
                <w:b/>
                <w:szCs w:val="24"/>
                <w:lang w:eastAsia="zh-CN"/>
              </w:rPr>
              <w:t>, caudal epidural block by regional administration:</w:t>
            </w:r>
            <w:r w:rsidRPr="00944B15">
              <w:rPr>
                <w:rFonts w:eastAsia="SimSun" w:cs="Times New Roman"/>
                <w:szCs w:val="24"/>
                <w:lang w:eastAsia="zh-CN"/>
              </w:rPr>
              <w:t xml:space="preserve"> 50–150 mg, dose administered using a 2.5 mg/</w:t>
            </w:r>
            <w:r>
              <w:rPr>
                <w:rFonts w:eastAsia="SimSun" w:cs="Times New Roman"/>
                <w:szCs w:val="24"/>
                <w:lang w:eastAsia="zh-CN"/>
              </w:rPr>
              <w:t>ml</w:t>
            </w:r>
            <w:r w:rsidRPr="00944B15">
              <w:rPr>
                <w:rFonts w:eastAsia="SimSun" w:cs="Times New Roman"/>
                <w:szCs w:val="24"/>
                <w:lang w:eastAsia="zh-CN"/>
              </w:rPr>
              <w:t xml:space="preserve"> (0.25%) or 5 mg/</w:t>
            </w:r>
            <w:r>
              <w:rPr>
                <w:rFonts w:eastAsia="SimSun" w:cs="Times New Roman"/>
                <w:szCs w:val="24"/>
                <w:lang w:eastAsia="zh-CN"/>
              </w:rPr>
              <w:t>ml</w:t>
            </w:r>
            <w:r w:rsidRPr="00944B15">
              <w:rPr>
                <w:rFonts w:eastAsia="SimSun" w:cs="Times New Roman"/>
                <w:szCs w:val="24"/>
                <w:lang w:eastAsia="zh-CN"/>
              </w:rPr>
              <w:t xml:space="preserve"> (0.5%) solution</w:t>
            </w:r>
          </w:p>
          <w:p w14:paraId="07C007D6" w14:textId="77777777" w:rsidR="00265BA6" w:rsidRPr="00BC2CD6" w:rsidRDefault="00265BA6" w:rsidP="002D6DD7">
            <w:pPr>
              <w:jc w:val="both"/>
              <w:rPr>
                <w:rFonts w:eastAsia="SimSun" w:cs="Times New Roman"/>
                <w:b/>
                <w:szCs w:val="24"/>
                <w:lang w:eastAsia="zh-CN"/>
              </w:rPr>
            </w:pPr>
            <w:r w:rsidRPr="00944B15">
              <w:rPr>
                <w:rFonts w:eastAsia="SimSun" w:cs="Times New Roman"/>
                <w:b/>
                <w:szCs w:val="24"/>
                <w:lang w:eastAsia="zh-CN"/>
              </w:rPr>
              <w:t xml:space="preserve">Surgical </w:t>
            </w:r>
            <w:r>
              <w:rPr>
                <w:rFonts w:eastAsia="SimSun" w:cs="Times New Roman"/>
                <w:b/>
                <w:szCs w:val="24"/>
                <w:lang w:eastAsia="zh-CN"/>
              </w:rPr>
              <w:t>anesthesia</w:t>
            </w:r>
            <w:r w:rsidRPr="00944B15">
              <w:rPr>
                <w:rFonts w:eastAsia="SimSun" w:cs="Times New Roman"/>
                <w:b/>
                <w:szCs w:val="24"/>
                <w:lang w:eastAsia="zh-CN"/>
              </w:rPr>
              <w:t xml:space="preserve">, major nerve block by regional administration: </w:t>
            </w:r>
            <w:r w:rsidRPr="00944B15">
              <w:rPr>
                <w:rFonts w:eastAsia="SimSun" w:cs="Times New Roman"/>
                <w:szCs w:val="24"/>
                <w:lang w:eastAsia="zh-CN"/>
              </w:rPr>
              <w:t>50–175 mg, dose administered using 5mg/</w:t>
            </w:r>
            <w:r>
              <w:rPr>
                <w:rFonts w:eastAsia="SimSun" w:cs="Times New Roman"/>
                <w:szCs w:val="24"/>
                <w:lang w:eastAsia="zh-CN"/>
              </w:rPr>
              <w:t>ml</w:t>
            </w:r>
            <w:r w:rsidRPr="00944B15">
              <w:rPr>
                <w:rFonts w:eastAsia="SimSun" w:cs="Times New Roman"/>
                <w:szCs w:val="24"/>
                <w:lang w:eastAsia="zh-CN"/>
              </w:rPr>
              <w:t xml:space="preserve"> (0.5%) solution</w:t>
            </w:r>
            <w:r w:rsidR="00BC2CD6">
              <w:rPr>
                <w:rFonts w:eastAsia="SimSun" w:cs="Times New Roman"/>
                <w:szCs w:val="24"/>
                <w:lang w:eastAsia="zh-CN"/>
              </w:rPr>
              <w:t>.</w:t>
            </w:r>
          </w:p>
          <w:p w14:paraId="6CF96366"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 xml:space="preserve">Acute pain, intra-articular block by intra-articular injection: </w:t>
            </w:r>
          </w:p>
          <w:p w14:paraId="366724E9"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Up to 100 mg, dose administered using a 2.5mg/</w:t>
            </w:r>
            <w:r>
              <w:rPr>
                <w:rFonts w:eastAsia="SimSun" w:cs="Times New Roman"/>
                <w:szCs w:val="24"/>
                <w:lang w:eastAsia="zh-CN"/>
              </w:rPr>
              <w:t>ml</w:t>
            </w:r>
            <w:r w:rsidRPr="00944B15">
              <w:rPr>
                <w:rFonts w:eastAsia="SimSun" w:cs="Times New Roman"/>
                <w:szCs w:val="24"/>
                <w:lang w:eastAsia="zh-CN"/>
              </w:rPr>
              <w:t xml:space="preserve"> (0.25%) solution; when co-administered with bupivacaine by another route: Total max. 150 mg</w:t>
            </w:r>
            <w:r w:rsidR="008D48A5">
              <w:rPr>
                <w:rFonts w:eastAsia="SimSun" w:cs="Times New Roman"/>
                <w:szCs w:val="24"/>
                <w:lang w:eastAsia="zh-CN"/>
              </w:rPr>
              <w:t>.</w:t>
            </w:r>
          </w:p>
          <w:p w14:paraId="2DFFC501" w14:textId="77777777" w:rsidR="00265BA6" w:rsidRPr="00BC2CD6" w:rsidRDefault="00265BA6" w:rsidP="002D6DD7">
            <w:pPr>
              <w:jc w:val="both"/>
              <w:rPr>
                <w:rFonts w:eastAsia="SimSun" w:cs="Times New Roman"/>
                <w:b/>
                <w:szCs w:val="24"/>
                <w:lang w:eastAsia="zh-CN"/>
              </w:rPr>
            </w:pPr>
            <w:r w:rsidRPr="00944B15">
              <w:rPr>
                <w:rFonts w:eastAsia="SimSun" w:cs="Times New Roman"/>
                <w:b/>
                <w:szCs w:val="24"/>
                <w:lang w:eastAsia="zh-CN"/>
              </w:rPr>
              <w:t xml:space="preserve">Acute pain, thoracic epidural block by continuous epidural infusion: </w:t>
            </w:r>
            <w:r w:rsidRPr="00944B15">
              <w:rPr>
                <w:rFonts w:eastAsia="SimSun" w:cs="Times New Roman"/>
                <w:szCs w:val="24"/>
                <w:lang w:eastAsia="zh-CN"/>
              </w:rPr>
              <w:t>6.3–18.8 mg/hour, dose administered using a 1.25 mg/</w:t>
            </w:r>
            <w:r>
              <w:rPr>
                <w:rFonts w:eastAsia="SimSun" w:cs="Times New Roman"/>
                <w:szCs w:val="24"/>
                <w:lang w:eastAsia="zh-CN"/>
              </w:rPr>
              <w:t>ml</w:t>
            </w:r>
            <w:r w:rsidRPr="00944B15">
              <w:rPr>
                <w:rFonts w:eastAsia="SimSun" w:cs="Times New Roman"/>
                <w:szCs w:val="24"/>
                <w:lang w:eastAsia="zh-CN"/>
              </w:rPr>
              <w:t xml:space="preserve"> (0.125%) or 2.5 mg/</w:t>
            </w:r>
            <w:r>
              <w:rPr>
                <w:rFonts w:eastAsia="SimSun" w:cs="Times New Roman"/>
                <w:szCs w:val="24"/>
                <w:lang w:eastAsia="zh-CN"/>
              </w:rPr>
              <w:t>ml</w:t>
            </w:r>
            <w:r w:rsidRPr="00944B15">
              <w:rPr>
                <w:rFonts w:eastAsia="SimSun" w:cs="Times New Roman"/>
                <w:szCs w:val="24"/>
                <w:lang w:eastAsia="zh-CN"/>
              </w:rPr>
              <w:t xml:space="preserve"> (0.25%) solution, maximum 400 mg per day</w:t>
            </w:r>
          </w:p>
          <w:p w14:paraId="48358058" w14:textId="77777777" w:rsidR="00265BA6" w:rsidRPr="00BC2CD6" w:rsidRDefault="00265BA6" w:rsidP="002D6DD7">
            <w:pPr>
              <w:jc w:val="both"/>
              <w:rPr>
                <w:rFonts w:eastAsia="SimSun" w:cs="Times New Roman"/>
                <w:b/>
                <w:szCs w:val="24"/>
                <w:lang w:eastAsia="zh-CN"/>
              </w:rPr>
            </w:pPr>
            <w:r w:rsidRPr="00944B15">
              <w:rPr>
                <w:rFonts w:eastAsia="SimSun" w:cs="Times New Roman"/>
                <w:b/>
                <w:szCs w:val="24"/>
                <w:lang w:eastAsia="zh-CN"/>
              </w:rPr>
              <w:t>Acute pain, labour by continuous epidural infusion:</w:t>
            </w:r>
            <w:r w:rsidR="00BC2CD6">
              <w:rPr>
                <w:rFonts w:eastAsia="SimSun" w:cs="Times New Roman"/>
                <w:b/>
                <w:szCs w:val="24"/>
                <w:lang w:eastAsia="zh-CN"/>
              </w:rPr>
              <w:t xml:space="preserve"> </w:t>
            </w:r>
            <w:r w:rsidRPr="00944B15">
              <w:rPr>
                <w:rFonts w:eastAsia="SimSun" w:cs="Times New Roman"/>
                <w:szCs w:val="24"/>
                <w:lang w:eastAsia="zh-CN"/>
              </w:rPr>
              <w:t>6.25–12.5 mg/hour, dose administered using a 1.25 mg/</w:t>
            </w:r>
            <w:r>
              <w:rPr>
                <w:rFonts w:eastAsia="SimSun" w:cs="Times New Roman"/>
                <w:szCs w:val="24"/>
                <w:lang w:eastAsia="zh-CN"/>
              </w:rPr>
              <w:t>ml</w:t>
            </w:r>
            <w:r w:rsidRPr="00944B15">
              <w:rPr>
                <w:rFonts w:eastAsia="SimSun" w:cs="Times New Roman"/>
                <w:szCs w:val="24"/>
                <w:lang w:eastAsia="zh-CN"/>
              </w:rPr>
              <w:t xml:space="preserve"> (0.125%) solution; maximum 400 mg per day</w:t>
            </w:r>
          </w:p>
          <w:p w14:paraId="478986A9" w14:textId="77777777" w:rsidR="00265BA6" w:rsidRPr="00BC2CD6" w:rsidRDefault="00265BA6" w:rsidP="002D6DD7">
            <w:pPr>
              <w:jc w:val="both"/>
              <w:rPr>
                <w:rFonts w:eastAsia="SimSun" w:cs="Times New Roman"/>
                <w:b/>
                <w:szCs w:val="24"/>
                <w:lang w:eastAsia="zh-CN"/>
              </w:rPr>
            </w:pPr>
            <w:r w:rsidRPr="00944B15">
              <w:rPr>
                <w:rFonts w:eastAsia="SimSun" w:cs="Times New Roman"/>
                <w:b/>
                <w:szCs w:val="24"/>
                <w:lang w:eastAsia="zh-CN"/>
              </w:rPr>
              <w:t>Acute pain, lumbar epidural block</w:t>
            </w:r>
            <w:r w:rsidR="00BC2CD6">
              <w:rPr>
                <w:rFonts w:eastAsia="SimSun" w:cs="Times New Roman"/>
                <w:b/>
                <w:szCs w:val="24"/>
                <w:lang w:eastAsia="zh-CN"/>
              </w:rPr>
              <w:t>, b</w:t>
            </w:r>
            <w:r w:rsidRPr="00944B15">
              <w:rPr>
                <w:rFonts w:eastAsia="SimSun" w:cs="Times New Roman"/>
                <w:szCs w:val="24"/>
                <w:lang w:eastAsia="zh-CN"/>
              </w:rPr>
              <w:t>y lumbar epidural: Initially 15–37.5 mg, then (by lumbar epidural) 15–37.5 mg, repeated as required at intermittent injection using a 2.5 mg/</w:t>
            </w:r>
            <w:r>
              <w:rPr>
                <w:rFonts w:eastAsia="SimSun" w:cs="Times New Roman"/>
                <w:szCs w:val="24"/>
                <w:lang w:eastAsia="zh-CN"/>
              </w:rPr>
              <w:t>ml</w:t>
            </w:r>
            <w:r w:rsidRPr="00944B15">
              <w:rPr>
                <w:rFonts w:eastAsia="SimSun" w:cs="Times New Roman"/>
                <w:szCs w:val="24"/>
                <w:lang w:eastAsia="zh-CN"/>
              </w:rPr>
              <w:t xml:space="preserve"> (0.25%) solution; alternatively, by continuous epidural infusion: 12.5–18.8 mg/hour, dose administered using a 1.25 mg/</w:t>
            </w:r>
            <w:r>
              <w:rPr>
                <w:rFonts w:eastAsia="SimSun" w:cs="Times New Roman"/>
                <w:szCs w:val="24"/>
                <w:lang w:eastAsia="zh-CN"/>
              </w:rPr>
              <w:t>ml</w:t>
            </w:r>
            <w:r w:rsidRPr="00944B15">
              <w:rPr>
                <w:rFonts w:eastAsia="SimSun" w:cs="Times New Roman"/>
                <w:szCs w:val="24"/>
                <w:lang w:eastAsia="zh-CN"/>
              </w:rPr>
              <w:t xml:space="preserve"> (0.125%) or 2.5 mg/</w:t>
            </w:r>
            <w:r>
              <w:rPr>
                <w:rFonts w:eastAsia="SimSun" w:cs="Times New Roman"/>
                <w:szCs w:val="24"/>
                <w:lang w:eastAsia="zh-CN"/>
              </w:rPr>
              <w:t>ml</w:t>
            </w:r>
            <w:r w:rsidRPr="00944B15">
              <w:rPr>
                <w:rFonts w:eastAsia="SimSun" w:cs="Times New Roman"/>
                <w:szCs w:val="24"/>
                <w:lang w:eastAsia="zh-CN"/>
              </w:rPr>
              <w:t xml:space="preserve"> (0.25%) solution, maximum 400 mg per day</w:t>
            </w:r>
          </w:p>
          <w:p w14:paraId="01FFE14F"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Acute pain, field block by regional administration:</w:t>
            </w:r>
          </w:p>
          <w:p w14:paraId="507333FE" w14:textId="77777777" w:rsidR="00265BA6" w:rsidRDefault="00265BA6" w:rsidP="002D6DD7">
            <w:pPr>
              <w:jc w:val="both"/>
              <w:rPr>
                <w:rFonts w:eastAsia="SimSun" w:cs="Times New Roman"/>
                <w:szCs w:val="24"/>
                <w:lang w:eastAsia="zh-CN"/>
              </w:rPr>
            </w:pPr>
            <w:r w:rsidRPr="00944B15">
              <w:rPr>
                <w:rFonts w:eastAsia="SimSun" w:cs="Times New Roman"/>
                <w:szCs w:val="24"/>
                <w:lang w:eastAsia="zh-CN"/>
              </w:rPr>
              <w:t>Up to 150 mg, dose administered using a 2.5 mg/</w:t>
            </w:r>
            <w:r>
              <w:rPr>
                <w:rFonts w:eastAsia="SimSun" w:cs="Times New Roman"/>
                <w:szCs w:val="24"/>
                <w:lang w:eastAsia="zh-CN"/>
              </w:rPr>
              <w:t>ml</w:t>
            </w:r>
            <w:r w:rsidRPr="00944B15">
              <w:rPr>
                <w:rFonts w:eastAsia="SimSun" w:cs="Times New Roman"/>
                <w:szCs w:val="24"/>
                <w:lang w:eastAsia="zh-CN"/>
              </w:rPr>
              <w:t xml:space="preserve"> (0.25%) solution</w:t>
            </w:r>
          </w:p>
          <w:p w14:paraId="6E9E7C20" w14:textId="77777777" w:rsidR="00265BA6" w:rsidRPr="00BC2CD6" w:rsidRDefault="00265BA6" w:rsidP="002D6DD7">
            <w:pPr>
              <w:jc w:val="both"/>
              <w:rPr>
                <w:rFonts w:eastAsia="SimSun" w:cs="Times New Roman"/>
                <w:b/>
                <w:szCs w:val="24"/>
                <w:lang w:eastAsia="zh-CN"/>
              </w:rPr>
            </w:pPr>
            <w:r w:rsidRPr="00D76338">
              <w:rPr>
                <w:rFonts w:eastAsia="SimSun" w:cs="Times New Roman"/>
                <w:b/>
                <w:szCs w:val="24"/>
                <w:lang w:eastAsia="zh-CN"/>
              </w:rPr>
              <w:t>Dental block</w:t>
            </w:r>
            <w:r>
              <w:rPr>
                <w:rFonts w:eastAsia="SimSun" w:cs="Times New Roman"/>
                <w:b/>
                <w:szCs w:val="24"/>
                <w:lang w:eastAsia="zh-CN"/>
              </w:rPr>
              <w:t>:</w:t>
            </w:r>
            <w:r w:rsidR="00BC2CD6">
              <w:rPr>
                <w:rFonts w:eastAsia="SimSun" w:cs="Times New Roman"/>
                <w:b/>
                <w:szCs w:val="24"/>
                <w:lang w:eastAsia="zh-CN"/>
              </w:rPr>
              <w:t xml:space="preserve"> </w:t>
            </w:r>
            <w:r w:rsidRPr="00D76338">
              <w:rPr>
                <w:rFonts w:eastAsia="SimSun" w:cs="Times New Roman"/>
                <w:szCs w:val="24"/>
                <w:lang w:eastAsia="zh-CN"/>
              </w:rPr>
              <w:t>0.5% with epinephrine 1:200,000</w:t>
            </w:r>
          </w:p>
          <w:p w14:paraId="510CDB33" w14:textId="77777777" w:rsidR="00265BA6" w:rsidRPr="00944B15" w:rsidRDefault="00265BA6" w:rsidP="002D6DD7">
            <w:pPr>
              <w:jc w:val="both"/>
              <w:rPr>
                <w:rFonts w:eastAsia="SimSun" w:cs="Times New Roman"/>
                <w:b/>
                <w:szCs w:val="24"/>
                <w:lang w:eastAsia="zh-CN"/>
              </w:rPr>
            </w:pPr>
            <w:r>
              <w:rPr>
                <w:rFonts w:eastAsia="SimSun" w:cs="Times New Roman"/>
                <w:b/>
                <w:szCs w:val="24"/>
                <w:lang w:eastAsia="zh-CN"/>
              </w:rPr>
              <w:lastRenderedPageBreak/>
              <w:t>Pediatric:</w:t>
            </w:r>
          </w:p>
          <w:p w14:paraId="75420BDD" w14:textId="77777777" w:rsidR="00265BA6" w:rsidRPr="00944B15" w:rsidRDefault="00265BA6" w:rsidP="002D6DD7">
            <w:pPr>
              <w:jc w:val="both"/>
              <w:rPr>
                <w:rFonts w:cs="Times New Roman"/>
                <w:szCs w:val="24"/>
              </w:rPr>
            </w:pPr>
            <w:r w:rsidRPr="00944B15">
              <w:rPr>
                <w:rFonts w:cs="Times New Roman"/>
                <w:b/>
                <w:szCs w:val="24"/>
              </w:rPr>
              <w:t>Local infiltration:</w:t>
            </w:r>
            <w:r w:rsidRPr="00944B15">
              <w:rPr>
                <w:rFonts w:cs="Times New Roman"/>
                <w:szCs w:val="24"/>
              </w:rPr>
              <w:t xml:space="preserve"> 0.5–2.5 mg/kg as a 0.25% or 0.5% solution; maximum dose 1 </w:t>
            </w:r>
            <w:r>
              <w:rPr>
                <w:rFonts w:cs="Times New Roman"/>
                <w:szCs w:val="24"/>
              </w:rPr>
              <w:t>ml</w:t>
            </w:r>
            <w:r w:rsidRPr="00944B15">
              <w:rPr>
                <w:rFonts w:cs="Times New Roman"/>
                <w:szCs w:val="24"/>
              </w:rPr>
              <w:t xml:space="preserve">/kg of 0.25% solution, 0.5 </w:t>
            </w:r>
            <w:r>
              <w:rPr>
                <w:rFonts w:cs="Times New Roman"/>
                <w:szCs w:val="24"/>
              </w:rPr>
              <w:t>ml</w:t>
            </w:r>
            <w:r w:rsidRPr="00944B15">
              <w:rPr>
                <w:rFonts w:cs="Times New Roman"/>
                <w:szCs w:val="24"/>
              </w:rPr>
              <w:t>/kg of 0.5% solution (2.5 mg/kg).</w:t>
            </w:r>
          </w:p>
          <w:p w14:paraId="01CE2369" w14:textId="77777777" w:rsidR="00265BA6" w:rsidRPr="00944B15" w:rsidRDefault="00265BA6" w:rsidP="002D6DD7">
            <w:pPr>
              <w:jc w:val="both"/>
              <w:rPr>
                <w:rFonts w:cs="Times New Roman"/>
                <w:szCs w:val="24"/>
              </w:rPr>
            </w:pPr>
            <w:r w:rsidRPr="00944B15">
              <w:rPr>
                <w:rFonts w:cs="Times New Roman"/>
                <w:b/>
                <w:szCs w:val="24"/>
              </w:rPr>
              <w:t>Peripheral nerve block:</w:t>
            </w:r>
            <w:r w:rsidRPr="00944B15">
              <w:rPr>
                <w:rFonts w:cs="Times New Roman"/>
                <w:szCs w:val="24"/>
              </w:rPr>
              <w:t xml:space="preserve"> 0.3–2.5 mg/kg as a 0.25% or 0.5% solution; maximum dose 1 </w:t>
            </w:r>
            <w:r>
              <w:rPr>
                <w:rFonts w:cs="Times New Roman"/>
                <w:szCs w:val="24"/>
              </w:rPr>
              <w:t>ml</w:t>
            </w:r>
            <w:r w:rsidRPr="00944B15">
              <w:rPr>
                <w:rFonts w:cs="Times New Roman"/>
                <w:szCs w:val="24"/>
              </w:rPr>
              <w:t xml:space="preserve">/kg of 0.25% solution, 0.5 </w:t>
            </w:r>
            <w:r>
              <w:rPr>
                <w:rFonts w:cs="Times New Roman"/>
                <w:szCs w:val="24"/>
              </w:rPr>
              <w:t>ml</w:t>
            </w:r>
            <w:r w:rsidRPr="00944B15">
              <w:rPr>
                <w:rFonts w:cs="Times New Roman"/>
                <w:szCs w:val="24"/>
              </w:rPr>
              <w:t>/kg of 0.5% solution.</w:t>
            </w:r>
          </w:p>
          <w:p w14:paraId="5C312C04" w14:textId="77777777" w:rsidR="00265BA6" w:rsidRPr="00944B15" w:rsidRDefault="00265BA6" w:rsidP="002D6DD7">
            <w:pPr>
              <w:jc w:val="both"/>
              <w:rPr>
                <w:rFonts w:cs="Times New Roman"/>
                <w:szCs w:val="24"/>
              </w:rPr>
            </w:pPr>
            <w:r w:rsidRPr="00944B15">
              <w:rPr>
                <w:rFonts w:cs="Times New Roman"/>
                <w:b/>
                <w:szCs w:val="24"/>
              </w:rPr>
              <w:t>Epidural block in surgery</w:t>
            </w:r>
            <w:r w:rsidRPr="00944B15">
              <w:rPr>
                <w:rFonts w:cs="Times New Roman"/>
                <w:szCs w:val="24"/>
              </w:rPr>
              <w:t>: using 0.5% preservative-free solution: 1–2.5 mg/kg.</w:t>
            </w:r>
          </w:p>
          <w:p w14:paraId="65726A1F" w14:textId="77777777" w:rsidR="00265BA6" w:rsidRDefault="00265BA6" w:rsidP="002D6DD7">
            <w:pPr>
              <w:jc w:val="both"/>
              <w:rPr>
                <w:rFonts w:cs="Times New Roman"/>
                <w:szCs w:val="24"/>
              </w:rPr>
            </w:pPr>
            <w:r w:rsidRPr="00944B15">
              <w:rPr>
                <w:rFonts w:cs="Times New Roman"/>
                <w:b/>
                <w:szCs w:val="24"/>
              </w:rPr>
              <w:t>Caudal block in surgery:</w:t>
            </w:r>
            <w:r w:rsidRPr="00944B15">
              <w:rPr>
                <w:rFonts w:cs="Times New Roman"/>
                <w:szCs w:val="24"/>
              </w:rPr>
              <w:t xml:space="preserve"> using 0.5% preservative-free solution: 1–2.5 mg/kg.</w:t>
            </w:r>
          </w:p>
          <w:p w14:paraId="715E21D7" w14:textId="77777777" w:rsidR="00265BA6" w:rsidRPr="00C0654C" w:rsidRDefault="00265BA6" w:rsidP="002D6DD7">
            <w:pPr>
              <w:jc w:val="both"/>
              <w:rPr>
                <w:rFonts w:eastAsia="SimSun" w:cs="Times New Roman"/>
                <w:i/>
                <w:szCs w:val="24"/>
                <w:lang w:eastAsia="zh-CN"/>
              </w:rPr>
            </w:pPr>
            <w:r w:rsidRPr="00C0654C">
              <w:rPr>
                <w:rFonts w:cs="Times New Roman"/>
                <w:i/>
                <w:szCs w:val="24"/>
              </w:rPr>
              <w:t>Note:</w:t>
            </w:r>
            <w:r w:rsidRPr="00C0654C">
              <w:rPr>
                <w:rFonts w:eastAsia="SimSun" w:cs="Times New Roman"/>
                <w:i/>
                <w:szCs w:val="24"/>
                <w:lang w:eastAsia="zh-CN"/>
              </w:rPr>
              <w:t xml:space="preserve"> Do not use solutions containing preservatives for spinal, epidural or caudal anesthesia</w:t>
            </w:r>
            <w:r>
              <w:rPr>
                <w:rFonts w:eastAsia="SimSun" w:cs="Times New Roman"/>
                <w:i/>
                <w:szCs w:val="24"/>
                <w:lang w:eastAsia="zh-CN"/>
              </w:rPr>
              <w:t xml:space="preserve"> in pediatrics age group</w:t>
            </w:r>
            <w:r w:rsidRPr="00C0654C">
              <w:rPr>
                <w:rFonts w:eastAsia="SimSun" w:cs="Times New Roman"/>
                <w:i/>
                <w:szCs w:val="24"/>
                <w:lang w:eastAsia="zh-CN"/>
              </w:rPr>
              <w:t>.</w:t>
            </w:r>
          </w:p>
        </w:tc>
      </w:tr>
      <w:tr w:rsidR="00265BA6" w:rsidRPr="00944B15" w14:paraId="5F9AB911" w14:textId="77777777" w:rsidTr="002D6DD7">
        <w:tc>
          <w:tcPr>
            <w:tcW w:w="2605" w:type="dxa"/>
          </w:tcPr>
          <w:p w14:paraId="520C5E95"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3F955997" w14:textId="77777777" w:rsidR="00265BA6" w:rsidRPr="00944B15" w:rsidRDefault="00265BA6" w:rsidP="002D6DD7">
            <w:pPr>
              <w:jc w:val="both"/>
              <w:rPr>
                <w:rFonts w:eastAsia="SimSun" w:cs="Times New Roman"/>
                <w:szCs w:val="24"/>
                <w:lang w:eastAsia="zh-CN"/>
              </w:rPr>
            </w:pPr>
            <w:r>
              <w:rPr>
                <w:rFonts w:cs="Times New Roman"/>
                <w:szCs w:val="24"/>
              </w:rPr>
              <w:t>H</w:t>
            </w:r>
            <w:r w:rsidRPr="00944B15">
              <w:rPr>
                <w:rFonts w:cs="Times New Roman"/>
                <w:szCs w:val="24"/>
              </w:rPr>
              <w:t xml:space="preserve">ypersensitivity to </w:t>
            </w:r>
            <w:r>
              <w:rPr>
                <w:rFonts w:cs="Times New Roman"/>
                <w:szCs w:val="24"/>
              </w:rPr>
              <w:t>the drug</w:t>
            </w:r>
            <w:r w:rsidRPr="00944B15">
              <w:rPr>
                <w:rFonts w:cs="Times New Roman"/>
                <w:szCs w:val="24"/>
              </w:rPr>
              <w:t xml:space="preserve">, </w:t>
            </w:r>
            <w:r>
              <w:rPr>
                <w:rFonts w:eastAsia="SimSun" w:cs="Times New Roman"/>
                <w:szCs w:val="24"/>
                <w:lang w:eastAsia="zh-CN"/>
              </w:rPr>
              <w:t>l</w:t>
            </w:r>
            <w:r w:rsidRPr="00944B15">
              <w:rPr>
                <w:rFonts w:eastAsia="SimSun" w:cs="Times New Roman"/>
                <w:szCs w:val="24"/>
                <w:lang w:eastAsia="zh-CN"/>
              </w:rPr>
              <w:t xml:space="preserve">ocal inflammation or infection, septicaemia, IV regional </w:t>
            </w:r>
            <w:r>
              <w:rPr>
                <w:rFonts w:eastAsia="SimSun" w:cs="Times New Roman"/>
                <w:szCs w:val="24"/>
                <w:lang w:eastAsia="zh-CN"/>
              </w:rPr>
              <w:t>anesthesia</w:t>
            </w:r>
            <w:r w:rsidRPr="00944B15">
              <w:rPr>
                <w:rFonts w:eastAsia="SimSun" w:cs="Times New Roman"/>
                <w:szCs w:val="24"/>
                <w:lang w:eastAsia="zh-CN"/>
              </w:rPr>
              <w:t xml:space="preserve"> (e.g., Bier’s block),</w:t>
            </w:r>
            <w:r w:rsidRPr="00944B15">
              <w:rPr>
                <w:rFonts w:cs="Times New Roman"/>
                <w:szCs w:val="24"/>
              </w:rPr>
              <w:t xml:space="preserve"> </w:t>
            </w:r>
            <w:r>
              <w:rPr>
                <w:rFonts w:cs="Times New Roman"/>
                <w:szCs w:val="24"/>
              </w:rPr>
              <w:t xml:space="preserve">obstetrical paracervical block anesthesia, </w:t>
            </w:r>
            <w:r w:rsidRPr="00944B15">
              <w:rPr>
                <w:rFonts w:cs="Times New Roman"/>
                <w:szCs w:val="24"/>
              </w:rPr>
              <w:t xml:space="preserve">Severe haemorrhage, severe </w:t>
            </w:r>
            <w:r w:rsidRPr="00944B15">
              <w:rPr>
                <w:rFonts w:eastAsia="SimSun" w:cs="Times New Roman"/>
                <w:szCs w:val="24"/>
                <w:lang w:eastAsia="zh-CN"/>
              </w:rPr>
              <w:t xml:space="preserve">heart disease, </w:t>
            </w:r>
            <w:r w:rsidRPr="00944B15">
              <w:rPr>
                <w:rFonts w:cs="Times New Roman"/>
                <w:szCs w:val="24"/>
              </w:rPr>
              <w:t>hypotension or shock and arrhythmias (e.g. complete heart block)</w:t>
            </w:r>
            <w:r>
              <w:rPr>
                <w:rFonts w:cs="Times New Roman"/>
                <w:szCs w:val="24"/>
              </w:rPr>
              <w:t>,</w:t>
            </w:r>
            <w:r w:rsidRPr="00944B15">
              <w:rPr>
                <w:rFonts w:cs="Times New Roman"/>
                <w:szCs w:val="24"/>
              </w:rPr>
              <w:t xml:space="preserve"> </w:t>
            </w:r>
            <w:r w:rsidRPr="00944B15">
              <w:rPr>
                <w:rFonts w:eastAsia="SimSun" w:cs="Times New Roman"/>
                <w:szCs w:val="24"/>
                <w:lang w:eastAsia="zh-CN"/>
              </w:rPr>
              <w:t>severe anaemia.</w:t>
            </w:r>
          </w:p>
        </w:tc>
      </w:tr>
      <w:tr w:rsidR="00265BA6" w:rsidRPr="00944B15" w14:paraId="4A25BCD7" w14:textId="77777777" w:rsidTr="002D6DD7">
        <w:tc>
          <w:tcPr>
            <w:tcW w:w="2605" w:type="dxa"/>
          </w:tcPr>
          <w:p w14:paraId="4DBA9864"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0A751EA8" w14:textId="77777777" w:rsidR="00265BA6" w:rsidRPr="00944B15" w:rsidRDefault="00265BA6" w:rsidP="002D6DD7">
            <w:pPr>
              <w:jc w:val="both"/>
              <w:rPr>
                <w:rFonts w:cs="Times New Roman"/>
                <w:szCs w:val="24"/>
              </w:rPr>
            </w:pPr>
            <w:r w:rsidRPr="00944B15">
              <w:rPr>
                <w:rFonts w:eastAsia="SimSun" w:cs="Times New Roman"/>
                <w:szCs w:val="24"/>
                <w:lang w:eastAsia="zh-CN"/>
              </w:rPr>
              <w:t>Lidocaine, procainamide, propranolol, quinidine and anticoagulants.</w:t>
            </w:r>
          </w:p>
        </w:tc>
      </w:tr>
      <w:tr w:rsidR="00265BA6" w:rsidRPr="00944B15" w14:paraId="57B141FB" w14:textId="77777777" w:rsidTr="002D6DD7">
        <w:tc>
          <w:tcPr>
            <w:tcW w:w="2605" w:type="dxa"/>
          </w:tcPr>
          <w:p w14:paraId="24CA6B95"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048E070D" w14:textId="77777777" w:rsidR="00265BA6" w:rsidRPr="00944B15" w:rsidRDefault="00265BA6" w:rsidP="002D6DD7">
            <w:pPr>
              <w:jc w:val="both"/>
              <w:rPr>
                <w:rFonts w:cs="Times New Roman"/>
                <w:szCs w:val="24"/>
              </w:rPr>
            </w:pPr>
            <w:r w:rsidRPr="00944B15">
              <w:rPr>
                <w:rFonts w:cs="Times New Roman"/>
                <w:szCs w:val="24"/>
              </w:rPr>
              <w:t>Arrhythmias, dizziness, hypertension, hypotension, nausea, paraesthesia, urinary retention, vomiting, blurred vision, anaemia, restlessness, tremors, somnolence, constipation, confusion, headache, oedema, erythema at injection site, skin irritation, light-headedness, neurotoxicity, seizures, arrhythmias, cardiac arrest, diplopia, nerve disorders, paraplegia, paresis, respiratory depression</w:t>
            </w:r>
            <w:r>
              <w:rPr>
                <w:rFonts w:cs="Times New Roman"/>
                <w:szCs w:val="24"/>
              </w:rPr>
              <w:t xml:space="preserve">, </w:t>
            </w:r>
            <w:r w:rsidRPr="00944B15">
              <w:rPr>
                <w:rFonts w:cs="Times New Roman"/>
                <w:szCs w:val="24"/>
              </w:rPr>
              <w:t>hypersensitivity reactions</w:t>
            </w:r>
          </w:p>
        </w:tc>
      </w:tr>
      <w:tr w:rsidR="00265BA6" w:rsidRPr="00944B15" w14:paraId="4EE23704" w14:textId="77777777" w:rsidTr="002D6DD7">
        <w:tc>
          <w:tcPr>
            <w:tcW w:w="2605" w:type="dxa"/>
          </w:tcPr>
          <w:p w14:paraId="463D263B"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32F07C6D" w14:textId="77777777" w:rsidR="00265BA6" w:rsidRPr="00944B15" w:rsidRDefault="00265BA6" w:rsidP="002D6DD7">
            <w:pPr>
              <w:jc w:val="both"/>
              <w:rPr>
                <w:rFonts w:cs="Times New Roman"/>
                <w:szCs w:val="24"/>
              </w:rPr>
            </w:pPr>
            <w:r w:rsidRPr="00944B15">
              <w:rPr>
                <w:rFonts w:eastAsia="SimSun" w:cs="Times New Roman"/>
                <w:szCs w:val="24"/>
                <w:lang w:eastAsia="zh-CN"/>
              </w:rPr>
              <w:t>Respiratory disorders, hepatic impairment, renal impairment, epilepsy,</w:t>
            </w:r>
            <w:r w:rsidRPr="00944B15">
              <w:rPr>
                <w:rFonts w:cs="Times New Roman"/>
                <w:szCs w:val="24"/>
              </w:rPr>
              <w:t xml:space="preserve"> </w:t>
            </w:r>
            <w:r w:rsidRPr="00944B15">
              <w:rPr>
                <w:rFonts w:eastAsia="SimSun" w:cs="Times New Roman"/>
                <w:szCs w:val="24"/>
                <w:lang w:eastAsia="zh-CN"/>
              </w:rPr>
              <w:t>porphyria, myasthenia gravis, pregnancy</w:t>
            </w:r>
            <w:r>
              <w:rPr>
                <w:rFonts w:eastAsia="SimSun" w:cs="Times New Roman"/>
                <w:szCs w:val="24"/>
                <w:lang w:eastAsia="zh-CN"/>
              </w:rPr>
              <w:t xml:space="preserve">, </w:t>
            </w:r>
            <w:r w:rsidRPr="00944B15">
              <w:rPr>
                <w:rFonts w:eastAsia="SimSun" w:cs="Times New Roman"/>
                <w:szCs w:val="24"/>
                <w:lang w:eastAsia="zh-CN"/>
              </w:rPr>
              <w:t>breastfeeding.</w:t>
            </w:r>
          </w:p>
        </w:tc>
      </w:tr>
      <w:tr w:rsidR="00265BA6" w:rsidRPr="00944B15" w14:paraId="19C168D4" w14:textId="77777777" w:rsidTr="002D6DD7">
        <w:tc>
          <w:tcPr>
            <w:tcW w:w="2605" w:type="dxa"/>
          </w:tcPr>
          <w:p w14:paraId="576570FD"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69AC8043" w14:textId="77777777" w:rsidR="00265BA6" w:rsidRPr="00944B15" w:rsidRDefault="00265BA6" w:rsidP="002D6DD7">
            <w:pPr>
              <w:jc w:val="both"/>
              <w:rPr>
                <w:rFonts w:cs="Times New Roman"/>
                <w:szCs w:val="24"/>
              </w:rPr>
            </w:pPr>
            <w:r w:rsidRPr="00944B15">
              <w:rPr>
                <w:rFonts w:cs="Times New Roman"/>
                <w:szCs w:val="24"/>
              </w:rPr>
              <w:t>Store below 30° C. Do not refrigerate or freeze.</w:t>
            </w:r>
          </w:p>
        </w:tc>
      </w:tr>
      <w:tr w:rsidR="00265BA6" w:rsidRPr="00944B15" w14:paraId="2F01D037" w14:textId="77777777" w:rsidTr="002D6DD7">
        <w:tc>
          <w:tcPr>
            <w:tcW w:w="9350" w:type="dxa"/>
            <w:gridSpan w:val="2"/>
          </w:tcPr>
          <w:p w14:paraId="2BDF425E" w14:textId="77777777" w:rsidR="00265BA6" w:rsidRPr="00944B15" w:rsidRDefault="00265BA6" w:rsidP="002D6DD7">
            <w:pPr>
              <w:jc w:val="both"/>
              <w:rPr>
                <w:rFonts w:cs="Times New Roman"/>
                <w:b/>
                <w:szCs w:val="24"/>
              </w:rPr>
            </w:pPr>
            <w:r w:rsidRPr="00944B15">
              <w:rPr>
                <w:rFonts w:cs="Times New Roman"/>
                <w:b/>
                <w:szCs w:val="24"/>
              </w:rPr>
              <w:t xml:space="preserve">Lidocaine </w:t>
            </w:r>
            <w:r>
              <w:rPr>
                <w:rFonts w:cs="Times New Roman"/>
                <w:b/>
                <w:szCs w:val="24"/>
              </w:rPr>
              <w:t>h</w:t>
            </w:r>
            <w:r w:rsidRPr="00944B15">
              <w:rPr>
                <w:rFonts w:cs="Times New Roman"/>
                <w:b/>
                <w:szCs w:val="24"/>
              </w:rPr>
              <w:t>ydrochloride</w:t>
            </w:r>
          </w:p>
        </w:tc>
      </w:tr>
      <w:tr w:rsidR="00265BA6" w:rsidRPr="00944B15" w14:paraId="08FFAFDE" w14:textId="77777777" w:rsidTr="002D6DD7">
        <w:tc>
          <w:tcPr>
            <w:tcW w:w="2605" w:type="dxa"/>
          </w:tcPr>
          <w:p w14:paraId="739D8D11" w14:textId="77777777" w:rsidR="00265BA6" w:rsidRPr="00944B15" w:rsidRDefault="00265BA6" w:rsidP="002D6DD7">
            <w:pPr>
              <w:jc w:val="both"/>
              <w:rPr>
                <w:rFonts w:cs="Times New Roman"/>
                <w:szCs w:val="24"/>
              </w:rPr>
            </w:pPr>
            <w:r w:rsidRPr="00944B15">
              <w:rPr>
                <w:rFonts w:cs="Times New Roman"/>
                <w:szCs w:val="24"/>
              </w:rPr>
              <w:lastRenderedPageBreak/>
              <w:t>Pharmacological class</w:t>
            </w:r>
          </w:p>
        </w:tc>
        <w:tc>
          <w:tcPr>
            <w:tcW w:w="6745" w:type="dxa"/>
          </w:tcPr>
          <w:p w14:paraId="7E39C320" w14:textId="77777777" w:rsidR="00265BA6" w:rsidRPr="00944B15" w:rsidRDefault="00265BA6" w:rsidP="002D6DD7">
            <w:pPr>
              <w:jc w:val="both"/>
              <w:rPr>
                <w:rFonts w:cs="Times New Roman"/>
                <w:szCs w:val="24"/>
              </w:rPr>
            </w:pPr>
            <w:r w:rsidRPr="00944B15">
              <w:rPr>
                <w:rFonts w:cs="Times New Roman"/>
                <w:szCs w:val="24"/>
              </w:rPr>
              <w:t>Local anaesthetic</w:t>
            </w:r>
          </w:p>
        </w:tc>
      </w:tr>
      <w:tr w:rsidR="00265BA6" w:rsidRPr="00944B15" w14:paraId="39BB0CCE" w14:textId="77777777" w:rsidTr="002D6DD7">
        <w:tc>
          <w:tcPr>
            <w:tcW w:w="2605" w:type="dxa"/>
          </w:tcPr>
          <w:p w14:paraId="540A9A42"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35CCC22D" w14:textId="77777777" w:rsidR="00265BA6" w:rsidRPr="00944B15" w:rsidRDefault="00265BA6" w:rsidP="002D6DD7">
            <w:pPr>
              <w:jc w:val="both"/>
              <w:rPr>
                <w:rFonts w:cs="Times New Roman"/>
                <w:szCs w:val="24"/>
              </w:rPr>
            </w:pPr>
            <w:r w:rsidRPr="00944B15">
              <w:rPr>
                <w:rFonts w:cs="Times New Roman"/>
                <w:szCs w:val="24"/>
              </w:rPr>
              <w:t>Injection: 0.5%, 1%, 2%, 5%,</w:t>
            </w:r>
          </w:p>
          <w:p w14:paraId="0B41F6EB" w14:textId="77777777" w:rsidR="00265BA6" w:rsidRPr="00944B15" w:rsidRDefault="00265BA6" w:rsidP="002D6DD7">
            <w:pPr>
              <w:jc w:val="both"/>
              <w:rPr>
                <w:rFonts w:cs="Times New Roman"/>
                <w:szCs w:val="24"/>
              </w:rPr>
            </w:pPr>
            <w:r w:rsidRPr="00944B15">
              <w:rPr>
                <w:rFonts w:cs="Times New Roman"/>
                <w:szCs w:val="24"/>
              </w:rPr>
              <w:t xml:space="preserve">Jelly: 2% in 30 </w:t>
            </w:r>
            <w:r>
              <w:rPr>
                <w:rFonts w:cs="Times New Roman"/>
                <w:szCs w:val="24"/>
              </w:rPr>
              <w:t>ml</w:t>
            </w:r>
            <w:r w:rsidRPr="00944B15">
              <w:rPr>
                <w:rFonts w:cs="Times New Roman"/>
                <w:szCs w:val="24"/>
              </w:rPr>
              <w:t>, Ointment: 5% in 10gm,</w:t>
            </w:r>
          </w:p>
          <w:p w14:paraId="7CAA3C2E" w14:textId="77777777" w:rsidR="00265BA6" w:rsidRPr="00944B15" w:rsidRDefault="00265BA6" w:rsidP="002D6DD7">
            <w:pPr>
              <w:jc w:val="both"/>
              <w:rPr>
                <w:rFonts w:cs="Times New Roman"/>
                <w:szCs w:val="24"/>
              </w:rPr>
            </w:pPr>
            <w:r w:rsidRPr="00944B15">
              <w:rPr>
                <w:rFonts w:cs="Times New Roman"/>
                <w:szCs w:val="24"/>
              </w:rPr>
              <w:t xml:space="preserve">Spray: 2%, 4%, 10 % in 80g, </w:t>
            </w:r>
          </w:p>
          <w:p w14:paraId="29D3B45D" w14:textId="77777777" w:rsidR="00265BA6" w:rsidRPr="00944B15" w:rsidRDefault="00265BA6" w:rsidP="002D6DD7">
            <w:pPr>
              <w:jc w:val="both"/>
              <w:rPr>
                <w:rFonts w:cs="Times New Roman"/>
                <w:szCs w:val="24"/>
              </w:rPr>
            </w:pPr>
            <w:r w:rsidRPr="00944B15">
              <w:rPr>
                <w:rFonts w:cs="Times New Roman"/>
                <w:szCs w:val="24"/>
              </w:rPr>
              <w:t xml:space="preserve">Injection for spinal </w:t>
            </w:r>
            <w:r>
              <w:rPr>
                <w:rFonts w:cs="Times New Roman"/>
                <w:szCs w:val="24"/>
              </w:rPr>
              <w:t>anesthesia</w:t>
            </w:r>
            <w:r w:rsidRPr="00944B15">
              <w:rPr>
                <w:rFonts w:cs="Times New Roman"/>
                <w:szCs w:val="24"/>
              </w:rPr>
              <w:t xml:space="preserve">: 5% (hydrochloride) in 2- </w:t>
            </w:r>
            <w:r>
              <w:rPr>
                <w:rFonts w:cs="Times New Roman"/>
                <w:szCs w:val="24"/>
              </w:rPr>
              <w:t>ml</w:t>
            </w:r>
            <w:r w:rsidRPr="00944B15">
              <w:rPr>
                <w:rFonts w:cs="Times New Roman"/>
                <w:szCs w:val="24"/>
              </w:rPr>
              <w:t xml:space="preserve"> ampoule to be mixed with 7.5% glucose solution</w:t>
            </w:r>
          </w:p>
        </w:tc>
      </w:tr>
      <w:tr w:rsidR="00265BA6" w:rsidRPr="00944B15" w14:paraId="28C8E6EA" w14:textId="77777777" w:rsidTr="002D6DD7">
        <w:tc>
          <w:tcPr>
            <w:tcW w:w="2605" w:type="dxa"/>
          </w:tcPr>
          <w:p w14:paraId="57E71D71"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58615363"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Local anaesthetics for surface </w:t>
            </w:r>
            <w:r>
              <w:rPr>
                <w:rFonts w:eastAsia="SimSun" w:cs="Times New Roman"/>
                <w:szCs w:val="24"/>
                <w:lang w:eastAsia="zh-CN"/>
              </w:rPr>
              <w:t>anesthesia</w:t>
            </w:r>
            <w:r w:rsidRPr="00944B15">
              <w:rPr>
                <w:rFonts w:eastAsia="SimSun" w:cs="Times New Roman"/>
                <w:szCs w:val="24"/>
                <w:lang w:eastAsia="zh-CN"/>
              </w:rPr>
              <w:t xml:space="preserve"> of mucous membranes; infiltration </w:t>
            </w:r>
            <w:r>
              <w:rPr>
                <w:rFonts w:eastAsia="SimSun" w:cs="Times New Roman"/>
                <w:szCs w:val="24"/>
                <w:lang w:eastAsia="zh-CN"/>
              </w:rPr>
              <w:t>anesthesia</w:t>
            </w:r>
            <w:r w:rsidRPr="00944B15">
              <w:rPr>
                <w:rFonts w:eastAsia="SimSun" w:cs="Times New Roman"/>
                <w:szCs w:val="24"/>
                <w:lang w:eastAsia="zh-CN"/>
              </w:rPr>
              <w:t xml:space="preserve">; peripheral and sympathetic nerve block; dental </w:t>
            </w:r>
            <w:r>
              <w:rPr>
                <w:rFonts w:eastAsia="SimSun" w:cs="Times New Roman"/>
                <w:szCs w:val="24"/>
                <w:lang w:eastAsia="zh-CN"/>
              </w:rPr>
              <w:t>anesthesia</w:t>
            </w:r>
            <w:r w:rsidRPr="00944B15">
              <w:rPr>
                <w:rFonts w:eastAsia="SimSun" w:cs="Times New Roman"/>
                <w:szCs w:val="24"/>
                <w:lang w:eastAsia="zh-CN"/>
              </w:rPr>
              <w:t xml:space="preserve">; spinal </w:t>
            </w:r>
            <w:r>
              <w:rPr>
                <w:rFonts w:eastAsia="SimSun" w:cs="Times New Roman"/>
                <w:szCs w:val="24"/>
                <w:lang w:eastAsia="zh-CN"/>
              </w:rPr>
              <w:t>anesthesia</w:t>
            </w:r>
            <w:r w:rsidRPr="00944B15">
              <w:rPr>
                <w:rFonts w:eastAsia="SimSun" w:cs="Times New Roman"/>
                <w:szCs w:val="24"/>
                <w:lang w:eastAsia="zh-CN"/>
              </w:rPr>
              <w:t xml:space="preserve"> and IV regional </w:t>
            </w:r>
            <w:r>
              <w:rPr>
                <w:rFonts w:eastAsia="SimSun" w:cs="Times New Roman"/>
                <w:szCs w:val="24"/>
                <w:lang w:eastAsia="zh-CN"/>
              </w:rPr>
              <w:t>anesthesia</w:t>
            </w:r>
            <w:r w:rsidRPr="00944B15">
              <w:rPr>
                <w:rFonts w:eastAsia="SimSun" w:cs="Times New Roman"/>
                <w:szCs w:val="24"/>
                <w:lang w:eastAsia="zh-CN"/>
              </w:rPr>
              <w:t>.</w:t>
            </w:r>
          </w:p>
        </w:tc>
      </w:tr>
      <w:tr w:rsidR="00265BA6" w:rsidRPr="00944B15" w14:paraId="20055FB8" w14:textId="77777777" w:rsidTr="002D6DD7">
        <w:tc>
          <w:tcPr>
            <w:tcW w:w="2605" w:type="dxa"/>
          </w:tcPr>
          <w:p w14:paraId="3E4F72B4"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08F0391D"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Adult</w:t>
            </w:r>
            <w:r>
              <w:rPr>
                <w:rFonts w:eastAsia="SimSun" w:cs="Times New Roman"/>
                <w:b/>
                <w:szCs w:val="24"/>
                <w:lang w:eastAsia="zh-CN"/>
              </w:rPr>
              <w:t>:</w:t>
            </w:r>
          </w:p>
          <w:p w14:paraId="02CBB939"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Sympathetic nerve block</w:t>
            </w:r>
            <w:r>
              <w:rPr>
                <w:rFonts w:eastAsia="SimSun" w:cs="Times New Roman"/>
                <w:b/>
                <w:szCs w:val="24"/>
                <w:lang w:eastAsia="zh-CN"/>
              </w:rPr>
              <w:t>:</w:t>
            </w:r>
          </w:p>
          <w:p w14:paraId="5C8D6F36"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Cervical (stellate ganglion): 5 </w:t>
            </w:r>
            <w:r>
              <w:rPr>
                <w:rFonts w:eastAsia="SimSun" w:cs="Times New Roman"/>
                <w:szCs w:val="24"/>
                <w:lang w:eastAsia="zh-CN"/>
              </w:rPr>
              <w:t>ml</w:t>
            </w:r>
            <w:r w:rsidRPr="00944B15">
              <w:rPr>
                <w:rFonts w:eastAsia="SimSun" w:cs="Times New Roman"/>
                <w:szCs w:val="24"/>
                <w:lang w:eastAsia="zh-CN"/>
              </w:rPr>
              <w:t xml:space="preserve"> of 1% solution (50 mg total dose)</w:t>
            </w:r>
          </w:p>
          <w:p w14:paraId="38F04A9A"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Lumbar: 5-10 </w:t>
            </w:r>
            <w:r>
              <w:rPr>
                <w:rFonts w:eastAsia="SimSun" w:cs="Times New Roman"/>
                <w:szCs w:val="24"/>
                <w:lang w:eastAsia="zh-CN"/>
              </w:rPr>
              <w:t>ml</w:t>
            </w:r>
            <w:r w:rsidRPr="00944B15">
              <w:rPr>
                <w:rFonts w:eastAsia="SimSun" w:cs="Times New Roman"/>
                <w:szCs w:val="24"/>
                <w:lang w:eastAsia="zh-CN"/>
              </w:rPr>
              <w:t xml:space="preserve"> of 1% solution (50-100 mg total dose)</w:t>
            </w:r>
          </w:p>
          <w:p w14:paraId="756ADA92"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Infiltration Anesthesia</w:t>
            </w:r>
            <w:r>
              <w:rPr>
                <w:rFonts w:eastAsia="SimSun" w:cs="Times New Roman"/>
                <w:b/>
                <w:szCs w:val="24"/>
                <w:lang w:eastAsia="zh-CN"/>
              </w:rPr>
              <w:t>:</w:t>
            </w:r>
          </w:p>
          <w:p w14:paraId="1F501112"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Percutaneous: 1-60 </w:t>
            </w:r>
            <w:r>
              <w:rPr>
                <w:rFonts w:eastAsia="SimSun" w:cs="Times New Roman"/>
                <w:szCs w:val="24"/>
                <w:lang w:eastAsia="zh-CN"/>
              </w:rPr>
              <w:t>ml</w:t>
            </w:r>
            <w:r w:rsidRPr="00944B15">
              <w:rPr>
                <w:rFonts w:eastAsia="SimSun" w:cs="Times New Roman"/>
                <w:szCs w:val="24"/>
                <w:lang w:eastAsia="zh-CN"/>
              </w:rPr>
              <w:t xml:space="preserve"> of 0.5-1% solution (5-300 mg total dose)</w:t>
            </w:r>
          </w:p>
          <w:p w14:paraId="5DABA718"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IV regional: 10-60 </w:t>
            </w:r>
            <w:r>
              <w:rPr>
                <w:rFonts w:eastAsia="SimSun" w:cs="Times New Roman"/>
                <w:szCs w:val="24"/>
                <w:lang w:eastAsia="zh-CN"/>
              </w:rPr>
              <w:t>ml</w:t>
            </w:r>
            <w:r w:rsidRPr="00944B15">
              <w:rPr>
                <w:rFonts w:eastAsia="SimSun" w:cs="Times New Roman"/>
                <w:szCs w:val="24"/>
                <w:lang w:eastAsia="zh-CN"/>
              </w:rPr>
              <w:t xml:space="preserve"> of 0.5% solution (50-300 mg total dose)</w:t>
            </w:r>
          </w:p>
          <w:p w14:paraId="1D362F78"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Peripheral Nerve Blocks</w:t>
            </w:r>
            <w:r>
              <w:rPr>
                <w:rFonts w:eastAsia="SimSun" w:cs="Times New Roman"/>
                <w:b/>
                <w:szCs w:val="24"/>
                <w:lang w:eastAsia="zh-CN"/>
              </w:rPr>
              <w:t>:</w:t>
            </w:r>
          </w:p>
          <w:p w14:paraId="42C7C9B6"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Brachial: 15-20 </w:t>
            </w:r>
            <w:r>
              <w:rPr>
                <w:rFonts w:eastAsia="SimSun" w:cs="Times New Roman"/>
                <w:szCs w:val="24"/>
                <w:lang w:eastAsia="zh-CN"/>
              </w:rPr>
              <w:t>ml</w:t>
            </w:r>
            <w:r w:rsidRPr="00944B15">
              <w:rPr>
                <w:rFonts w:eastAsia="SimSun" w:cs="Times New Roman"/>
                <w:szCs w:val="24"/>
                <w:lang w:eastAsia="zh-CN"/>
              </w:rPr>
              <w:t xml:space="preserve"> of 1.5% solution (225-300 mg total dose)</w:t>
            </w:r>
          </w:p>
          <w:p w14:paraId="05923106"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Dental: 1-5 </w:t>
            </w:r>
            <w:r>
              <w:rPr>
                <w:rFonts w:eastAsia="SimSun" w:cs="Times New Roman"/>
                <w:szCs w:val="24"/>
                <w:lang w:eastAsia="zh-CN"/>
              </w:rPr>
              <w:t>ml</w:t>
            </w:r>
            <w:r w:rsidRPr="00944B15">
              <w:rPr>
                <w:rFonts w:eastAsia="SimSun" w:cs="Times New Roman"/>
                <w:szCs w:val="24"/>
                <w:lang w:eastAsia="zh-CN"/>
              </w:rPr>
              <w:t xml:space="preserve"> of 2% solution (20-100 mg total dose)</w:t>
            </w:r>
          </w:p>
          <w:p w14:paraId="546F67DA"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Intercostal: 3 </w:t>
            </w:r>
            <w:r>
              <w:rPr>
                <w:rFonts w:eastAsia="SimSun" w:cs="Times New Roman"/>
                <w:szCs w:val="24"/>
                <w:lang w:eastAsia="zh-CN"/>
              </w:rPr>
              <w:t>ml</w:t>
            </w:r>
            <w:r w:rsidRPr="00944B15">
              <w:rPr>
                <w:rFonts w:eastAsia="SimSun" w:cs="Times New Roman"/>
                <w:szCs w:val="24"/>
                <w:lang w:eastAsia="zh-CN"/>
              </w:rPr>
              <w:t xml:space="preserve"> of 1% solution (30 mg total dose)</w:t>
            </w:r>
          </w:p>
          <w:p w14:paraId="50F00AA2"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Paravertebral: 3-5 </w:t>
            </w:r>
            <w:r>
              <w:rPr>
                <w:rFonts w:eastAsia="SimSun" w:cs="Times New Roman"/>
                <w:szCs w:val="24"/>
                <w:lang w:eastAsia="zh-CN"/>
              </w:rPr>
              <w:t>ml</w:t>
            </w:r>
            <w:r w:rsidRPr="00944B15">
              <w:rPr>
                <w:rFonts w:eastAsia="SimSun" w:cs="Times New Roman"/>
                <w:szCs w:val="24"/>
                <w:lang w:eastAsia="zh-CN"/>
              </w:rPr>
              <w:t xml:space="preserve"> of 1% solution (30-50 mg total dose)</w:t>
            </w:r>
          </w:p>
          <w:p w14:paraId="23D4CD08"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Pudendeal (each side): 10 </w:t>
            </w:r>
            <w:r>
              <w:rPr>
                <w:rFonts w:eastAsia="SimSun" w:cs="Times New Roman"/>
                <w:szCs w:val="24"/>
                <w:lang w:eastAsia="zh-CN"/>
              </w:rPr>
              <w:t>ml</w:t>
            </w:r>
            <w:r w:rsidRPr="00944B15">
              <w:rPr>
                <w:rFonts w:eastAsia="SimSun" w:cs="Times New Roman"/>
                <w:szCs w:val="24"/>
                <w:lang w:eastAsia="zh-CN"/>
              </w:rPr>
              <w:t xml:space="preserve"> of 1% solution (100 mg total dose)</w:t>
            </w:r>
          </w:p>
          <w:p w14:paraId="35CA8020"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Paracervical obstetrical analgesia (each side): 10 </w:t>
            </w:r>
            <w:r>
              <w:rPr>
                <w:rFonts w:eastAsia="SimSun" w:cs="Times New Roman"/>
                <w:szCs w:val="24"/>
                <w:lang w:eastAsia="zh-CN"/>
              </w:rPr>
              <w:t>ml</w:t>
            </w:r>
            <w:r w:rsidRPr="00944B15">
              <w:rPr>
                <w:rFonts w:eastAsia="SimSun" w:cs="Times New Roman"/>
                <w:szCs w:val="24"/>
                <w:lang w:eastAsia="zh-CN"/>
              </w:rPr>
              <w:t xml:space="preserve"> of 1% solution (100 mg total dose)</w:t>
            </w:r>
          </w:p>
          <w:p w14:paraId="34A22BC2"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Central Neural Blocks/Epidural</w:t>
            </w:r>
            <w:r>
              <w:rPr>
                <w:rFonts w:eastAsia="SimSun" w:cs="Times New Roman"/>
                <w:b/>
                <w:szCs w:val="24"/>
                <w:lang w:eastAsia="zh-CN"/>
              </w:rPr>
              <w:t>:</w:t>
            </w:r>
          </w:p>
          <w:p w14:paraId="4C758D0A"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General: 2-3 </w:t>
            </w:r>
            <w:r>
              <w:rPr>
                <w:rFonts w:eastAsia="SimSun" w:cs="Times New Roman"/>
                <w:szCs w:val="24"/>
                <w:lang w:eastAsia="zh-CN"/>
              </w:rPr>
              <w:t>ml</w:t>
            </w:r>
            <w:r w:rsidRPr="00944B15">
              <w:rPr>
                <w:rFonts w:eastAsia="SimSun" w:cs="Times New Roman"/>
                <w:szCs w:val="24"/>
                <w:lang w:eastAsia="zh-CN"/>
              </w:rPr>
              <w:t>/dermatome for anesthesia</w:t>
            </w:r>
          </w:p>
          <w:p w14:paraId="54B0911F"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Thoracic: 20-30 </w:t>
            </w:r>
            <w:r>
              <w:rPr>
                <w:rFonts w:eastAsia="SimSun" w:cs="Times New Roman"/>
                <w:szCs w:val="24"/>
                <w:lang w:eastAsia="zh-CN"/>
              </w:rPr>
              <w:t>ml</w:t>
            </w:r>
            <w:r w:rsidRPr="00944B15">
              <w:rPr>
                <w:rFonts w:eastAsia="SimSun" w:cs="Times New Roman"/>
                <w:szCs w:val="24"/>
                <w:lang w:eastAsia="zh-CN"/>
              </w:rPr>
              <w:t xml:space="preserve"> of 1% solution (200-300 mg total dose)</w:t>
            </w:r>
          </w:p>
          <w:p w14:paraId="14BC3FF6"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Lumbar analgesia: 25-30 </w:t>
            </w:r>
            <w:r>
              <w:rPr>
                <w:rFonts w:eastAsia="SimSun" w:cs="Times New Roman"/>
                <w:szCs w:val="24"/>
                <w:lang w:eastAsia="zh-CN"/>
              </w:rPr>
              <w:t>ml</w:t>
            </w:r>
            <w:r w:rsidRPr="00944B15">
              <w:rPr>
                <w:rFonts w:eastAsia="SimSun" w:cs="Times New Roman"/>
                <w:szCs w:val="24"/>
                <w:lang w:eastAsia="zh-CN"/>
              </w:rPr>
              <w:t xml:space="preserve"> of 1% solution (250-300 mg total dose)</w:t>
            </w:r>
          </w:p>
          <w:p w14:paraId="14EE70D9"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Lumbar anesthesia: 15-20 </w:t>
            </w:r>
            <w:r>
              <w:rPr>
                <w:rFonts w:eastAsia="SimSun" w:cs="Times New Roman"/>
                <w:szCs w:val="24"/>
                <w:lang w:eastAsia="zh-CN"/>
              </w:rPr>
              <w:t>ml</w:t>
            </w:r>
            <w:r w:rsidRPr="00944B15">
              <w:rPr>
                <w:rFonts w:eastAsia="SimSun" w:cs="Times New Roman"/>
                <w:szCs w:val="24"/>
                <w:lang w:eastAsia="zh-CN"/>
              </w:rPr>
              <w:t xml:space="preserve"> of 1.5% solution (225-300 mg), or 10-15 </w:t>
            </w:r>
            <w:r>
              <w:rPr>
                <w:rFonts w:eastAsia="SimSun" w:cs="Times New Roman"/>
                <w:szCs w:val="24"/>
                <w:lang w:eastAsia="zh-CN"/>
              </w:rPr>
              <w:t>ml</w:t>
            </w:r>
            <w:r w:rsidRPr="00944B15">
              <w:rPr>
                <w:rFonts w:eastAsia="SimSun" w:cs="Times New Roman"/>
                <w:szCs w:val="24"/>
                <w:lang w:eastAsia="zh-CN"/>
              </w:rPr>
              <w:t xml:space="preserve"> of 2% solution (200-300 mg total dose)</w:t>
            </w:r>
          </w:p>
          <w:p w14:paraId="1A6BFC51" w14:textId="77777777" w:rsidR="00265BA6" w:rsidRPr="00944B15" w:rsidRDefault="00265BA6" w:rsidP="002D6DD7">
            <w:pPr>
              <w:jc w:val="both"/>
              <w:rPr>
                <w:rFonts w:eastAsia="SimSun" w:cs="Times New Roman"/>
                <w:b/>
                <w:szCs w:val="24"/>
                <w:lang w:eastAsia="zh-CN"/>
              </w:rPr>
            </w:pPr>
            <w:r>
              <w:rPr>
                <w:rFonts w:eastAsia="SimSun" w:cs="Times New Roman"/>
                <w:b/>
                <w:szCs w:val="24"/>
                <w:lang w:eastAsia="zh-CN"/>
              </w:rPr>
              <w:lastRenderedPageBreak/>
              <w:t>Pediatric:</w:t>
            </w:r>
          </w:p>
          <w:p w14:paraId="3BBB6DD7"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Local infiltration</w:t>
            </w:r>
            <w:r>
              <w:rPr>
                <w:rFonts w:eastAsia="SimSun" w:cs="Times New Roman"/>
                <w:b/>
                <w:szCs w:val="24"/>
                <w:lang w:eastAsia="zh-CN"/>
              </w:rPr>
              <w:t>:</w:t>
            </w:r>
            <w:r w:rsidRPr="00944B15">
              <w:rPr>
                <w:rFonts w:eastAsia="SimSun" w:cs="Times New Roman"/>
                <w:b/>
                <w:szCs w:val="24"/>
                <w:lang w:eastAsia="zh-CN"/>
              </w:rPr>
              <w:t xml:space="preserve"> </w:t>
            </w:r>
          </w:p>
          <w:p w14:paraId="2071B6B6"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Percutaneous: 4-4.5 mg/kg maximum  </w:t>
            </w:r>
          </w:p>
          <w:p w14:paraId="457B2348"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IV regional: 3 mg/kg</w:t>
            </w:r>
          </w:p>
        </w:tc>
      </w:tr>
      <w:tr w:rsidR="00265BA6" w:rsidRPr="00944B15" w14:paraId="6953F75A" w14:textId="77777777" w:rsidTr="002D6DD7">
        <w:tc>
          <w:tcPr>
            <w:tcW w:w="2605" w:type="dxa"/>
          </w:tcPr>
          <w:p w14:paraId="0935D22A"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70CC5133" w14:textId="77777777" w:rsidR="00265BA6" w:rsidRPr="00944B15" w:rsidRDefault="00265BA6" w:rsidP="002D6DD7">
            <w:pPr>
              <w:jc w:val="both"/>
              <w:rPr>
                <w:rFonts w:cs="Times New Roman"/>
                <w:szCs w:val="24"/>
              </w:rPr>
            </w:pPr>
            <w:r>
              <w:rPr>
                <w:rFonts w:cs="Times New Roman"/>
                <w:szCs w:val="24"/>
              </w:rPr>
              <w:t>H</w:t>
            </w:r>
            <w:r w:rsidRPr="00944B15">
              <w:rPr>
                <w:rFonts w:cs="Times New Roman"/>
                <w:szCs w:val="24"/>
              </w:rPr>
              <w:t>ypersensiti</w:t>
            </w:r>
            <w:r>
              <w:rPr>
                <w:rFonts w:cs="Times New Roman"/>
                <w:szCs w:val="24"/>
              </w:rPr>
              <w:t>vity to the drug, l</w:t>
            </w:r>
            <w:r w:rsidRPr="00944B15">
              <w:rPr>
                <w:rFonts w:cs="Times New Roman"/>
                <w:szCs w:val="24"/>
              </w:rPr>
              <w:t>ocal inflammation or infection</w:t>
            </w:r>
            <w:r>
              <w:rPr>
                <w:rFonts w:cs="Times New Roman"/>
                <w:szCs w:val="24"/>
              </w:rPr>
              <w:t>,</w:t>
            </w:r>
            <w:r w:rsidRPr="00944B15">
              <w:rPr>
                <w:rFonts w:cs="Times New Roman"/>
                <w:szCs w:val="24"/>
              </w:rPr>
              <w:t xml:space="preserve"> severe anaemia or heart disease</w:t>
            </w:r>
            <w:r>
              <w:rPr>
                <w:rFonts w:cs="Times New Roman"/>
                <w:szCs w:val="24"/>
              </w:rPr>
              <w:t>,</w:t>
            </w:r>
            <w:r w:rsidRPr="00944B15">
              <w:rPr>
                <w:rFonts w:cs="Times New Roman"/>
                <w:szCs w:val="24"/>
              </w:rPr>
              <w:t xml:space="preserve"> spinal or epidural </w:t>
            </w:r>
            <w:r>
              <w:rPr>
                <w:rFonts w:cs="Times New Roman"/>
                <w:szCs w:val="24"/>
              </w:rPr>
              <w:t>anesthesia.</w:t>
            </w:r>
          </w:p>
        </w:tc>
      </w:tr>
      <w:tr w:rsidR="00265BA6" w:rsidRPr="00944B15" w14:paraId="5924CEC5" w14:textId="77777777" w:rsidTr="002D6DD7">
        <w:tc>
          <w:tcPr>
            <w:tcW w:w="2605" w:type="dxa"/>
          </w:tcPr>
          <w:p w14:paraId="55453234"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5AA3CE0E" w14:textId="77777777" w:rsidR="00265BA6" w:rsidRPr="00944B15" w:rsidRDefault="00265BA6" w:rsidP="002D6DD7">
            <w:pPr>
              <w:jc w:val="both"/>
              <w:rPr>
                <w:rFonts w:cs="Times New Roman"/>
                <w:szCs w:val="24"/>
              </w:rPr>
            </w:pPr>
            <w:r w:rsidRPr="00944B15">
              <w:rPr>
                <w:rFonts w:cs="Times New Roman"/>
                <w:szCs w:val="24"/>
              </w:rPr>
              <w:t>Acetazolamide, ate</w:t>
            </w:r>
            <w:r>
              <w:rPr>
                <w:rFonts w:cs="Times New Roman"/>
                <w:szCs w:val="24"/>
              </w:rPr>
              <w:t xml:space="preserve">nolol, bupivacaine, furosemide, </w:t>
            </w:r>
            <w:r w:rsidRPr="00944B15">
              <w:rPr>
                <w:rFonts w:cs="Times New Roman"/>
                <w:szCs w:val="24"/>
              </w:rPr>
              <w:t>hydrochlorothiazide, lopina</w:t>
            </w:r>
            <w:r>
              <w:rPr>
                <w:rFonts w:cs="Times New Roman"/>
                <w:szCs w:val="24"/>
              </w:rPr>
              <w:t xml:space="preserve">vir, procainamide, propranolol, </w:t>
            </w:r>
            <w:r w:rsidRPr="00944B15">
              <w:rPr>
                <w:rFonts w:cs="Times New Roman"/>
                <w:szCs w:val="24"/>
              </w:rPr>
              <w:t>quinidine, suxamethonium, timolol, verapamil</w:t>
            </w:r>
            <w:r>
              <w:rPr>
                <w:rFonts w:cs="Times New Roman"/>
                <w:szCs w:val="24"/>
              </w:rPr>
              <w:t xml:space="preserve">, </w:t>
            </w:r>
            <w:r w:rsidRPr="00944B15">
              <w:rPr>
                <w:rFonts w:cs="Times New Roman"/>
                <w:szCs w:val="24"/>
              </w:rPr>
              <w:t>anticoagulant therapy.</w:t>
            </w:r>
          </w:p>
        </w:tc>
      </w:tr>
      <w:tr w:rsidR="00265BA6" w:rsidRPr="00944B15" w14:paraId="0975C020" w14:textId="77777777" w:rsidTr="002D6DD7">
        <w:tc>
          <w:tcPr>
            <w:tcW w:w="2605" w:type="dxa"/>
          </w:tcPr>
          <w:p w14:paraId="741D33AE"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1F548B6E" w14:textId="77777777" w:rsidR="00265BA6" w:rsidRPr="00944B15" w:rsidRDefault="00265BA6" w:rsidP="002D6DD7">
            <w:pPr>
              <w:jc w:val="both"/>
              <w:rPr>
                <w:rFonts w:cs="Times New Roman"/>
                <w:szCs w:val="24"/>
              </w:rPr>
            </w:pPr>
            <w:r w:rsidRPr="00944B15">
              <w:rPr>
                <w:rFonts w:cs="Times New Roman"/>
                <w:szCs w:val="24"/>
              </w:rPr>
              <w:t>Anxiety, arrhythmias, cardiac arrest, circulatory collapse, confusion, dizziness, drowsiness, euphoric mood, headache, hypotension, loss of consciousness, muscle twitching, nausea, nystagmus, respiratory depression, seizure, altered temperature sensation, tinnitus, tremor, blurred vision</w:t>
            </w:r>
            <w:r>
              <w:rPr>
                <w:rFonts w:cs="Times New Roman"/>
                <w:szCs w:val="24"/>
              </w:rPr>
              <w:t>,</w:t>
            </w:r>
            <w:r w:rsidRPr="00944B15">
              <w:rPr>
                <w:rFonts w:cs="Times New Roman"/>
                <w:szCs w:val="24"/>
              </w:rPr>
              <w:t xml:space="preserve"> vomiting</w:t>
            </w:r>
            <w:r>
              <w:rPr>
                <w:rFonts w:cs="Times New Roman"/>
                <w:szCs w:val="24"/>
              </w:rPr>
              <w:t>.</w:t>
            </w:r>
          </w:p>
        </w:tc>
      </w:tr>
      <w:tr w:rsidR="00265BA6" w:rsidRPr="00944B15" w14:paraId="066B13A5" w14:textId="77777777" w:rsidTr="002D6DD7">
        <w:tc>
          <w:tcPr>
            <w:tcW w:w="2605" w:type="dxa"/>
          </w:tcPr>
          <w:p w14:paraId="055831D8"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237CD103"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Respiratory impairment, hepatic </w:t>
            </w:r>
            <w:r>
              <w:rPr>
                <w:rFonts w:eastAsia="SimSun" w:cs="Times New Roman"/>
                <w:szCs w:val="24"/>
                <w:lang w:eastAsia="zh-CN"/>
              </w:rPr>
              <w:t xml:space="preserve">and renal </w:t>
            </w:r>
            <w:r w:rsidRPr="00944B15">
              <w:rPr>
                <w:rFonts w:eastAsia="SimSun" w:cs="Times New Roman"/>
                <w:szCs w:val="24"/>
                <w:lang w:eastAsia="zh-CN"/>
              </w:rPr>
              <w:t xml:space="preserve">impairment, epilepsy, porphyria, myasthenia gravis, cardiac disorders, severe shock, </w:t>
            </w:r>
            <w:r>
              <w:rPr>
                <w:rFonts w:eastAsia="SimSun" w:cs="Times New Roman"/>
                <w:szCs w:val="24"/>
                <w:lang w:eastAsia="zh-CN"/>
              </w:rPr>
              <w:t>breastfeeding,</w:t>
            </w:r>
            <w:r w:rsidRPr="00944B15">
              <w:rPr>
                <w:rFonts w:eastAsia="SimSun" w:cs="Times New Roman"/>
                <w:szCs w:val="24"/>
                <w:lang w:eastAsia="zh-CN"/>
              </w:rPr>
              <w:t xml:space="preserve"> pregnancy.</w:t>
            </w:r>
          </w:p>
        </w:tc>
      </w:tr>
      <w:tr w:rsidR="00265BA6" w:rsidRPr="00944B15" w14:paraId="0D5D35A3" w14:textId="77777777" w:rsidTr="002D6DD7">
        <w:tc>
          <w:tcPr>
            <w:tcW w:w="2605" w:type="dxa"/>
          </w:tcPr>
          <w:p w14:paraId="54DD5338"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49CE609D" w14:textId="77777777" w:rsidR="00265BA6" w:rsidRPr="00944B15" w:rsidRDefault="00265BA6" w:rsidP="002D6DD7">
            <w:pPr>
              <w:jc w:val="both"/>
              <w:rPr>
                <w:rFonts w:cs="Times New Roman"/>
                <w:szCs w:val="24"/>
              </w:rPr>
            </w:pPr>
            <w:r>
              <w:rPr>
                <w:rFonts w:eastAsia="SimSun" w:cs="Times New Roman"/>
                <w:szCs w:val="24"/>
                <w:lang w:eastAsia="zh-CN"/>
              </w:rPr>
              <w:t>Store below 30</w:t>
            </w:r>
            <w:r w:rsidRPr="00944B15">
              <w:rPr>
                <w:rFonts w:eastAsia="SimSun" w:cs="Times New Roman"/>
                <w:szCs w:val="24"/>
                <w:lang w:eastAsia="zh-CN"/>
              </w:rPr>
              <w:t xml:space="preserve">°C. </w:t>
            </w:r>
            <w:r>
              <w:rPr>
                <w:rFonts w:eastAsia="SimSun" w:cs="Times New Roman"/>
                <w:szCs w:val="24"/>
                <w:lang w:eastAsia="zh-CN"/>
              </w:rPr>
              <w:t>Avoid</w:t>
            </w:r>
            <w:r w:rsidRPr="00944B15">
              <w:rPr>
                <w:rFonts w:eastAsia="SimSun" w:cs="Times New Roman"/>
                <w:szCs w:val="24"/>
                <w:lang w:eastAsia="zh-CN"/>
              </w:rPr>
              <w:t xml:space="preserve"> freezing</w:t>
            </w:r>
          </w:p>
        </w:tc>
      </w:tr>
      <w:tr w:rsidR="00265BA6" w:rsidRPr="00944B15" w14:paraId="56CFD126" w14:textId="77777777" w:rsidTr="002D6DD7">
        <w:tc>
          <w:tcPr>
            <w:tcW w:w="9350" w:type="dxa"/>
            <w:gridSpan w:val="2"/>
          </w:tcPr>
          <w:p w14:paraId="4BDF7672" w14:textId="77777777" w:rsidR="00265BA6" w:rsidRPr="00944B15" w:rsidRDefault="00265BA6" w:rsidP="002D6DD7">
            <w:pPr>
              <w:jc w:val="both"/>
              <w:rPr>
                <w:rFonts w:cs="Times New Roman"/>
                <w:b/>
                <w:szCs w:val="24"/>
              </w:rPr>
            </w:pPr>
            <w:r w:rsidRPr="00944B15">
              <w:rPr>
                <w:rFonts w:cs="Times New Roman"/>
                <w:b/>
                <w:szCs w:val="24"/>
              </w:rPr>
              <w:t>Lidocaine Hydrochloride</w:t>
            </w:r>
            <w:r>
              <w:rPr>
                <w:rFonts w:cs="Times New Roman"/>
                <w:b/>
                <w:szCs w:val="24"/>
              </w:rPr>
              <w:t xml:space="preserve"> </w:t>
            </w:r>
            <w:r w:rsidRPr="00944B15">
              <w:rPr>
                <w:rFonts w:cs="Times New Roman"/>
                <w:b/>
                <w:szCs w:val="24"/>
              </w:rPr>
              <w:t>+ Adrenaline</w:t>
            </w:r>
          </w:p>
        </w:tc>
      </w:tr>
      <w:tr w:rsidR="00265BA6" w:rsidRPr="00944B15" w14:paraId="44AA507D" w14:textId="77777777" w:rsidTr="002D6DD7">
        <w:tc>
          <w:tcPr>
            <w:tcW w:w="2605" w:type="dxa"/>
          </w:tcPr>
          <w:p w14:paraId="7D97818F"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38523439" w14:textId="77777777" w:rsidR="00265BA6" w:rsidRPr="00944B15" w:rsidRDefault="00265BA6" w:rsidP="002D6DD7">
            <w:pPr>
              <w:jc w:val="both"/>
              <w:rPr>
                <w:rFonts w:cs="Times New Roman"/>
                <w:szCs w:val="24"/>
              </w:rPr>
            </w:pPr>
            <w:r w:rsidRPr="00944B15">
              <w:rPr>
                <w:rFonts w:cs="Times New Roman"/>
                <w:szCs w:val="24"/>
              </w:rPr>
              <w:t>Local anaesthetic</w:t>
            </w:r>
          </w:p>
        </w:tc>
      </w:tr>
      <w:tr w:rsidR="00265BA6" w:rsidRPr="00944B15" w14:paraId="68A30A42" w14:textId="77777777" w:rsidTr="002D6DD7">
        <w:tc>
          <w:tcPr>
            <w:tcW w:w="2605" w:type="dxa"/>
          </w:tcPr>
          <w:p w14:paraId="54DEA6D2"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7CB2B734" w14:textId="77777777" w:rsidR="00265BA6" w:rsidRPr="00944B15" w:rsidRDefault="00265BA6" w:rsidP="002D6DD7">
            <w:pPr>
              <w:jc w:val="both"/>
              <w:rPr>
                <w:rFonts w:cs="Times New Roman"/>
                <w:szCs w:val="24"/>
              </w:rPr>
            </w:pPr>
            <w:r w:rsidRPr="00944B15">
              <w:rPr>
                <w:rFonts w:cs="Times New Roman"/>
                <w:szCs w:val="24"/>
              </w:rPr>
              <w:t>Injection: 1% + 1:200, 000 in 20</w:t>
            </w:r>
            <w:r>
              <w:rPr>
                <w:rFonts w:cs="Times New Roman"/>
                <w:szCs w:val="24"/>
              </w:rPr>
              <w:t>ml</w:t>
            </w:r>
            <w:r w:rsidRPr="00944B15">
              <w:rPr>
                <w:rFonts w:cs="Times New Roman"/>
                <w:szCs w:val="24"/>
              </w:rPr>
              <w:t xml:space="preserve"> vial</w:t>
            </w:r>
          </w:p>
          <w:p w14:paraId="6F2B3BD3" w14:textId="77777777" w:rsidR="00265BA6" w:rsidRPr="00944B15" w:rsidRDefault="00265BA6" w:rsidP="002D6DD7">
            <w:pPr>
              <w:jc w:val="both"/>
              <w:rPr>
                <w:rFonts w:cs="Times New Roman"/>
                <w:szCs w:val="24"/>
              </w:rPr>
            </w:pPr>
            <w:r w:rsidRPr="00944B15">
              <w:rPr>
                <w:rFonts w:cs="Times New Roman"/>
                <w:szCs w:val="24"/>
              </w:rPr>
              <w:t>Injection: 2%+1:200,000 in 20</w:t>
            </w:r>
            <w:r>
              <w:rPr>
                <w:rFonts w:cs="Times New Roman"/>
                <w:szCs w:val="24"/>
              </w:rPr>
              <w:t>ml</w:t>
            </w:r>
            <w:r w:rsidRPr="00944B15">
              <w:rPr>
                <w:rFonts w:cs="Times New Roman"/>
                <w:szCs w:val="24"/>
              </w:rPr>
              <w:t xml:space="preserve"> vials</w:t>
            </w:r>
          </w:p>
        </w:tc>
      </w:tr>
      <w:tr w:rsidR="00265BA6" w:rsidRPr="00944B15" w14:paraId="43A7F909" w14:textId="77777777" w:rsidTr="002D6DD7">
        <w:tc>
          <w:tcPr>
            <w:tcW w:w="2605" w:type="dxa"/>
          </w:tcPr>
          <w:p w14:paraId="51CD6283"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4F4921F1" w14:textId="77777777" w:rsidR="00265BA6" w:rsidRPr="00944B15" w:rsidRDefault="00265BA6" w:rsidP="002D6DD7">
            <w:pPr>
              <w:jc w:val="both"/>
              <w:rPr>
                <w:rFonts w:cs="Times New Roman"/>
                <w:szCs w:val="24"/>
              </w:rPr>
            </w:pPr>
            <w:r w:rsidRPr="00944B15">
              <w:rPr>
                <w:rFonts w:eastAsia="SimSun" w:cs="Times New Roman"/>
                <w:szCs w:val="24"/>
                <w:lang w:eastAsia="zh-CN"/>
              </w:rPr>
              <w:t xml:space="preserve">Local anaesthetics for surface </w:t>
            </w:r>
            <w:r>
              <w:rPr>
                <w:rFonts w:eastAsia="SimSun" w:cs="Times New Roman"/>
                <w:szCs w:val="24"/>
                <w:lang w:eastAsia="zh-CN"/>
              </w:rPr>
              <w:t>anesthesia</w:t>
            </w:r>
            <w:r w:rsidRPr="00944B15">
              <w:rPr>
                <w:rFonts w:eastAsia="SimSun" w:cs="Times New Roman"/>
                <w:szCs w:val="24"/>
                <w:lang w:eastAsia="zh-CN"/>
              </w:rPr>
              <w:t xml:space="preserve"> of mucous membranes;</w:t>
            </w:r>
            <w:r w:rsidRPr="00944B15">
              <w:rPr>
                <w:rFonts w:cs="Times New Roman"/>
                <w:szCs w:val="24"/>
              </w:rPr>
              <w:t xml:space="preserve"> </w:t>
            </w:r>
            <w:r w:rsidRPr="00944B15">
              <w:rPr>
                <w:rFonts w:eastAsia="SimSun" w:cs="Times New Roman"/>
                <w:szCs w:val="24"/>
                <w:lang w:eastAsia="zh-CN"/>
              </w:rPr>
              <w:t xml:space="preserve">infiltration </w:t>
            </w:r>
            <w:r>
              <w:rPr>
                <w:rFonts w:eastAsia="SimSun" w:cs="Times New Roman"/>
                <w:szCs w:val="24"/>
                <w:lang w:eastAsia="zh-CN"/>
              </w:rPr>
              <w:t>anesthesia</w:t>
            </w:r>
            <w:r w:rsidRPr="00944B15">
              <w:rPr>
                <w:rFonts w:eastAsia="SimSun" w:cs="Times New Roman"/>
                <w:szCs w:val="24"/>
                <w:lang w:eastAsia="zh-CN"/>
              </w:rPr>
              <w:t>; peripheral and sympathetic nerve block;</w:t>
            </w:r>
            <w:r w:rsidRPr="00944B15">
              <w:rPr>
                <w:rFonts w:cs="Times New Roman"/>
                <w:szCs w:val="24"/>
              </w:rPr>
              <w:t xml:space="preserve"> </w:t>
            </w:r>
            <w:r w:rsidRPr="00944B15">
              <w:rPr>
                <w:rFonts w:eastAsia="SimSun" w:cs="Times New Roman"/>
                <w:szCs w:val="24"/>
                <w:lang w:eastAsia="zh-CN"/>
              </w:rPr>
              <w:t xml:space="preserve">dental </w:t>
            </w:r>
            <w:r>
              <w:rPr>
                <w:rFonts w:eastAsia="SimSun" w:cs="Times New Roman"/>
                <w:szCs w:val="24"/>
                <w:lang w:eastAsia="zh-CN"/>
              </w:rPr>
              <w:t>anesthesia</w:t>
            </w:r>
            <w:r w:rsidRPr="00944B15">
              <w:rPr>
                <w:rFonts w:eastAsia="SimSun" w:cs="Times New Roman"/>
                <w:szCs w:val="24"/>
                <w:lang w:eastAsia="zh-CN"/>
              </w:rPr>
              <w:t xml:space="preserve">; spinal </w:t>
            </w:r>
            <w:r>
              <w:rPr>
                <w:rFonts w:eastAsia="SimSun" w:cs="Times New Roman"/>
                <w:szCs w:val="24"/>
                <w:lang w:eastAsia="zh-CN"/>
              </w:rPr>
              <w:t>anesthesia</w:t>
            </w:r>
            <w:r w:rsidRPr="00944B15">
              <w:rPr>
                <w:rFonts w:eastAsia="SimSun" w:cs="Times New Roman"/>
                <w:szCs w:val="24"/>
                <w:lang w:eastAsia="zh-CN"/>
              </w:rPr>
              <w:t xml:space="preserve"> and IV regional </w:t>
            </w:r>
            <w:r>
              <w:rPr>
                <w:rFonts w:cs="Times New Roman"/>
                <w:szCs w:val="24"/>
              </w:rPr>
              <w:t>anesthesia</w:t>
            </w:r>
            <w:r w:rsidRPr="00944B15">
              <w:rPr>
                <w:rFonts w:eastAsia="SimSun" w:cs="Times New Roman"/>
                <w:szCs w:val="24"/>
                <w:lang w:eastAsia="zh-CN"/>
              </w:rPr>
              <w:t>.</w:t>
            </w:r>
          </w:p>
        </w:tc>
      </w:tr>
      <w:tr w:rsidR="00265BA6" w:rsidRPr="00944B15" w14:paraId="25869740" w14:textId="77777777" w:rsidTr="002D6DD7">
        <w:tc>
          <w:tcPr>
            <w:tcW w:w="2605" w:type="dxa"/>
          </w:tcPr>
          <w:p w14:paraId="1E09A9FC"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73CAE89C" w14:textId="77777777" w:rsidR="00265BA6" w:rsidRPr="00944B15" w:rsidRDefault="00265BA6" w:rsidP="002D6DD7">
            <w:pPr>
              <w:jc w:val="both"/>
              <w:rPr>
                <w:rFonts w:eastAsiaTheme="minorHAnsi" w:cs="Times New Roman"/>
                <w:b/>
                <w:szCs w:val="24"/>
                <w:lang w:eastAsia="zh-CN"/>
              </w:rPr>
            </w:pPr>
            <w:r w:rsidRPr="00944B15">
              <w:rPr>
                <w:rFonts w:eastAsiaTheme="minorHAnsi" w:cs="Times New Roman"/>
                <w:b/>
                <w:szCs w:val="24"/>
                <w:lang w:eastAsia="zh-CN"/>
              </w:rPr>
              <w:t xml:space="preserve">Adult: </w:t>
            </w:r>
          </w:p>
          <w:p w14:paraId="4A4A8E20" w14:textId="77777777" w:rsidR="00265BA6" w:rsidRPr="00944B15" w:rsidRDefault="00265BA6" w:rsidP="002D6DD7">
            <w:pPr>
              <w:jc w:val="both"/>
              <w:rPr>
                <w:rFonts w:eastAsiaTheme="minorHAnsi" w:cs="Times New Roman"/>
                <w:szCs w:val="24"/>
                <w:lang w:eastAsia="zh-CN"/>
              </w:rPr>
            </w:pPr>
            <w:r w:rsidRPr="00944B15">
              <w:rPr>
                <w:rFonts w:eastAsiaTheme="minorHAnsi" w:cs="Times New Roman"/>
                <w:b/>
                <w:szCs w:val="24"/>
                <w:lang w:eastAsia="zh-CN"/>
              </w:rPr>
              <w:t xml:space="preserve">Dental </w:t>
            </w:r>
            <w:r>
              <w:rPr>
                <w:rFonts w:eastAsiaTheme="minorHAnsi" w:cs="Times New Roman"/>
                <w:b/>
                <w:szCs w:val="24"/>
                <w:lang w:eastAsia="zh-CN"/>
              </w:rPr>
              <w:t>anesthesia</w:t>
            </w:r>
            <w:r w:rsidRPr="00944B15">
              <w:rPr>
                <w:rFonts w:eastAsiaTheme="minorHAnsi" w:cs="Times New Roman"/>
                <w:b/>
                <w:szCs w:val="24"/>
                <w:lang w:eastAsia="zh-CN"/>
              </w:rPr>
              <w:t xml:space="preserve"> (for infiltration or</w:t>
            </w:r>
            <w:r w:rsidRPr="00944B15">
              <w:rPr>
                <w:rFonts w:cs="Times New Roman"/>
                <w:b/>
                <w:szCs w:val="24"/>
              </w:rPr>
              <w:t xml:space="preserve"> </w:t>
            </w:r>
            <w:r w:rsidRPr="00944B15">
              <w:rPr>
                <w:rFonts w:eastAsiaTheme="minorHAnsi" w:cs="Times New Roman"/>
                <w:b/>
                <w:szCs w:val="24"/>
                <w:lang w:eastAsia="zh-CN"/>
              </w:rPr>
              <w:t>nerve block):</w:t>
            </w:r>
            <w:r w:rsidRPr="00944B15">
              <w:rPr>
                <w:rFonts w:eastAsiaTheme="minorHAnsi" w:cs="Times New Roman"/>
                <w:szCs w:val="24"/>
                <w:lang w:eastAsia="zh-CN"/>
              </w:rPr>
              <w:t xml:space="preserve"> 20 to 100 mg (1 to 5 </w:t>
            </w:r>
            <w:r>
              <w:rPr>
                <w:rFonts w:eastAsiaTheme="minorHAnsi" w:cs="Times New Roman"/>
                <w:szCs w:val="24"/>
                <w:lang w:eastAsia="zh-CN"/>
              </w:rPr>
              <w:t>ml</w:t>
            </w:r>
            <w:r w:rsidRPr="00944B15">
              <w:rPr>
                <w:rFonts w:eastAsiaTheme="minorHAnsi" w:cs="Times New Roman"/>
                <w:szCs w:val="24"/>
                <w:lang w:eastAsia="zh-CN"/>
              </w:rPr>
              <w:t xml:space="preserve">) of lidocaine </w:t>
            </w:r>
            <w:r w:rsidRPr="00944B15">
              <w:rPr>
                <w:rFonts w:cs="Times New Roman"/>
                <w:szCs w:val="24"/>
              </w:rPr>
              <w:t>hydrochloride</w:t>
            </w:r>
            <w:r w:rsidRPr="00944B15">
              <w:rPr>
                <w:rFonts w:eastAsiaTheme="minorHAnsi" w:cs="Times New Roman"/>
                <w:szCs w:val="24"/>
                <w:lang w:eastAsia="zh-CN"/>
              </w:rPr>
              <w:t xml:space="preserve"> as 2 % solution with epinephrine 1:2000,000. </w:t>
            </w:r>
          </w:p>
          <w:p w14:paraId="293B395E" w14:textId="77777777" w:rsidR="00265BA6" w:rsidRPr="00944B15" w:rsidRDefault="00265BA6" w:rsidP="002D6DD7">
            <w:pPr>
              <w:jc w:val="both"/>
              <w:rPr>
                <w:rFonts w:cs="Times New Roman"/>
                <w:b/>
                <w:szCs w:val="24"/>
              </w:rPr>
            </w:pPr>
            <w:r w:rsidRPr="00944B15">
              <w:rPr>
                <w:rFonts w:eastAsiaTheme="minorHAnsi" w:cs="Times New Roman"/>
                <w:b/>
                <w:szCs w:val="24"/>
                <w:lang w:eastAsia="zh-CN"/>
              </w:rPr>
              <w:t>Child:</w:t>
            </w:r>
          </w:p>
          <w:p w14:paraId="60149986" w14:textId="77777777" w:rsidR="00265BA6" w:rsidRPr="00944B15" w:rsidRDefault="00265BA6" w:rsidP="002D6DD7">
            <w:pPr>
              <w:jc w:val="both"/>
              <w:rPr>
                <w:rFonts w:eastAsiaTheme="minorHAnsi" w:cs="Times New Roman"/>
                <w:szCs w:val="24"/>
                <w:lang w:eastAsia="zh-CN"/>
              </w:rPr>
            </w:pPr>
            <w:r w:rsidRPr="00944B15">
              <w:rPr>
                <w:rFonts w:eastAsiaTheme="minorHAnsi" w:cs="Times New Roman"/>
                <w:szCs w:val="24"/>
                <w:lang w:eastAsia="zh-CN"/>
              </w:rPr>
              <w:lastRenderedPageBreak/>
              <w:t>4 to 5 mg/kg of Lidocaine hydrochloride of body weight or 100 to 150 mg as a single dose.</w:t>
            </w:r>
          </w:p>
          <w:p w14:paraId="1152835F" w14:textId="77777777" w:rsidR="00265BA6" w:rsidRPr="00944B15" w:rsidRDefault="00265BA6" w:rsidP="002D6DD7">
            <w:pPr>
              <w:jc w:val="both"/>
              <w:rPr>
                <w:rFonts w:eastAsiaTheme="minorHAnsi" w:cs="Times New Roman"/>
                <w:szCs w:val="24"/>
                <w:lang w:eastAsia="zh-CN"/>
              </w:rPr>
            </w:pPr>
            <w:r w:rsidRPr="00944B15">
              <w:rPr>
                <w:rFonts w:eastAsiaTheme="minorHAnsi" w:cs="Times New Roman"/>
                <w:b/>
                <w:szCs w:val="24"/>
                <w:lang w:eastAsia="zh-CN"/>
              </w:rPr>
              <w:t>Local infiltration or nerve block</w:t>
            </w:r>
            <w:r w:rsidRPr="00944B15">
              <w:rPr>
                <w:rFonts w:eastAsiaTheme="minorHAnsi" w:cs="Times New Roman"/>
                <w:szCs w:val="24"/>
                <w:lang w:eastAsia="zh-CN"/>
              </w:rPr>
              <w:t xml:space="preserve"> 7 mg of lidocaine hydrochloride per kg of body weight as a 0.25 to 1 % solution with epinephrine 1:200,000</w:t>
            </w:r>
          </w:p>
        </w:tc>
      </w:tr>
      <w:tr w:rsidR="00265BA6" w:rsidRPr="00944B15" w14:paraId="157A828B" w14:textId="77777777" w:rsidTr="002D6DD7">
        <w:tc>
          <w:tcPr>
            <w:tcW w:w="2605" w:type="dxa"/>
          </w:tcPr>
          <w:p w14:paraId="37652D85"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3F9014CB" w14:textId="77777777" w:rsidR="00265BA6" w:rsidRPr="00944B15" w:rsidRDefault="00265BA6" w:rsidP="002D6DD7">
            <w:pPr>
              <w:jc w:val="both"/>
              <w:rPr>
                <w:rFonts w:eastAsia="SimSun" w:cs="Times New Roman"/>
                <w:szCs w:val="24"/>
                <w:lang w:eastAsia="zh-CN"/>
              </w:rPr>
            </w:pPr>
            <w:r>
              <w:rPr>
                <w:rFonts w:eastAsia="SimSun" w:cs="Times New Roman"/>
                <w:szCs w:val="24"/>
                <w:lang w:eastAsia="zh-CN"/>
              </w:rPr>
              <w:t>H</w:t>
            </w:r>
            <w:r w:rsidRPr="00944B15">
              <w:rPr>
                <w:rFonts w:eastAsia="SimSun" w:cs="Times New Roman"/>
                <w:szCs w:val="24"/>
                <w:lang w:eastAsia="zh-CN"/>
              </w:rPr>
              <w:t xml:space="preserve">ypersensitivity to </w:t>
            </w:r>
            <w:r>
              <w:rPr>
                <w:rFonts w:eastAsia="SimSun" w:cs="Times New Roman"/>
                <w:szCs w:val="24"/>
                <w:lang w:eastAsia="zh-CN"/>
              </w:rPr>
              <w:t xml:space="preserve">the drug, </w:t>
            </w:r>
            <w:r w:rsidRPr="00944B15">
              <w:rPr>
                <w:rFonts w:eastAsia="SimSun" w:cs="Times New Roman"/>
                <w:szCs w:val="24"/>
                <w:lang w:eastAsia="zh-CN"/>
              </w:rPr>
              <w:t>narrow angle (congestive) glaucoma, shock and with lidocaine in fingers, toes.</w:t>
            </w:r>
          </w:p>
        </w:tc>
      </w:tr>
      <w:tr w:rsidR="00265BA6" w:rsidRPr="00944B15" w14:paraId="35ABA879" w14:textId="77777777" w:rsidTr="002D6DD7">
        <w:tc>
          <w:tcPr>
            <w:tcW w:w="2605" w:type="dxa"/>
          </w:tcPr>
          <w:p w14:paraId="17EEDD53"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41AD6FED" w14:textId="77777777" w:rsidR="00265BA6" w:rsidRPr="00944B15" w:rsidRDefault="00265BA6" w:rsidP="002D6DD7">
            <w:pPr>
              <w:jc w:val="both"/>
              <w:rPr>
                <w:rFonts w:cs="Times New Roman"/>
                <w:szCs w:val="24"/>
              </w:rPr>
            </w:pPr>
            <w:r w:rsidRPr="00944B15">
              <w:rPr>
                <w:rFonts w:cs="Times New Roman"/>
                <w:szCs w:val="24"/>
              </w:rPr>
              <w:t>Acetazolamide, bupivacaine, furosemide, hydrochlorothiazide, lopinavir, procainamide, quinidine, suxamethonium, verapamil</w:t>
            </w:r>
            <w:r>
              <w:rPr>
                <w:rFonts w:cs="Times New Roman"/>
                <w:szCs w:val="24"/>
              </w:rPr>
              <w:t>, t</w:t>
            </w:r>
            <w:r w:rsidRPr="00944B15">
              <w:rPr>
                <w:rFonts w:cs="Times New Roman"/>
                <w:szCs w:val="24"/>
              </w:rPr>
              <w:t xml:space="preserve">ricyclic antidepressants, MAOIs, </w:t>
            </w:r>
            <w:r w:rsidRPr="00944B15">
              <w:rPr>
                <w:rFonts w:eastAsia="SimSun" w:cs="Times New Roman"/>
                <w:szCs w:val="24"/>
                <w:lang w:eastAsia="zh-CN"/>
              </w:rPr>
              <w:t xml:space="preserve">halogenated general </w:t>
            </w:r>
            <w:r>
              <w:rPr>
                <w:rFonts w:eastAsia="SimSun" w:cs="Times New Roman"/>
                <w:szCs w:val="24"/>
                <w:lang w:eastAsia="zh-CN"/>
              </w:rPr>
              <w:t>anesthesia</w:t>
            </w:r>
            <w:r w:rsidRPr="00944B15">
              <w:rPr>
                <w:rFonts w:eastAsia="SimSun" w:cs="Times New Roman"/>
                <w:szCs w:val="24"/>
                <w:lang w:eastAsia="zh-CN"/>
              </w:rPr>
              <w:t>,</w:t>
            </w:r>
            <w:r w:rsidRPr="00944B15">
              <w:rPr>
                <w:rFonts w:cs="Times New Roman"/>
                <w:szCs w:val="24"/>
              </w:rPr>
              <w:t xml:space="preserve"> oxytocic drugs of the ergot type, phenothiazines, beta-blockers</w:t>
            </w:r>
            <w:r>
              <w:rPr>
                <w:rFonts w:cs="Times New Roman"/>
                <w:szCs w:val="24"/>
              </w:rPr>
              <w:t>.</w:t>
            </w:r>
          </w:p>
        </w:tc>
      </w:tr>
      <w:tr w:rsidR="00265BA6" w:rsidRPr="00944B15" w14:paraId="25E3C960" w14:textId="77777777" w:rsidTr="002D6DD7">
        <w:tc>
          <w:tcPr>
            <w:tcW w:w="2605" w:type="dxa"/>
          </w:tcPr>
          <w:p w14:paraId="156AE77A"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413EEBAB"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Allergic reactions including anaphylaxis, bradycardia, hypotension, and cardiovascular collapse, drowsiness, respiratory depression.</w:t>
            </w:r>
          </w:p>
        </w:tc>
      </w:tr>
      <w:tr w:rsidR="00265BA6" w:rsidRPr="00944B15" w14:paraId="41E17E3B" w14:textId="77777777" w:rsidTr="002D6DD7">
        <w:tc>
          <w:tcPr>
            <w:tcW w:w="2605" w:type="dxa"/>
          </w:tcPr>
          <w:p w14:paraId="2EB141F1"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613B7AC3" w14:textId="77777777" w:rsidR="00265BA6" w:rsidRPr="00944B15" w:rsidRDefault="00265BA6" w:rsidP="002D6DD7">
            <w:pPr>
              <w:jc w:val="both"/>
              <w:rPr>
                <w:rFonts w:cs="Times New Roman"/>
                <w:szCs w:val="24"/>
              </w:rPr>
            </w:pPr>
            <w:r w:rsidRPr="00944B15">
              <w:rPr>
                <w:rFonts w:cs="Times New Roman"/>
                <w:szCs w:val="24"/>
              </w:rPr>
              <w:t>Severe asthma, elderly, cardiovascular disease, diabetes, renal failure, li</w:t>
            </w:r>
            <w:r>
              <w:rPr>
                <w:rFonts w:cs="Times New Roman"/>
                <w:szCs w:val="24"/>
              </w:rPr>
              <w:t xml:space="preserve">ver failure, hyperthyroidism, psychiatric disorders, </w:t>
            </w:r>
            <w:r w:rsidRPr="00944B15">
              <w:rPr>
                <w:rFonts w:cs="Times New Roman"/>
                <w:szCs w:val="24"/>
              </w:rPr>
              <w:t>pregnancy.</w:t>
            </w:r>
          </w:p>
        </w:tc>
      </w:tr>
      <w:tr w:rsidR="00265BA6" w:rsidRPr="00944B15" w14:paraId="3E4CF825" w14:textId="77777777" w:rsidTr="002D6DD7">
        <w:tc>
          <w:tcPr>
            <w:tcW w:w="2605" w:type="dxa"/>
          </w:tcPr>
          <w:p w14:paraId="02B46CC9"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5EBE1C35" w14:textId="77777777" w:rsidR="00265BA6" w:rsidRPr="00944B15" w:rsidRDefault="00265BA6" w:rsidP="002D6DD7">
            <w:pPr>
              <w:jc w:val="both"/>
              <w:rPr>
                <w:rFonts w:cs="Times New Roman"/>
                <w:szCs w:val="24"/>
              </w:rPr>
            </w:pPr>
            <w:r>
              <w:rPr>
                <w:rFonts w:eastAsia="SimSun" w:cs="Times New Roman"/>
                <w:szCs w:val="24"/>
                <w:lang w:eastAsia="zh-CN"/>
              </w:rPr>
              <w:t>Store below 30°C. P</w:t>
            </w:r>
            <w:r w:rsidRPr="00944B15">
              <w:rPr>
                <w:rFonts w:eastAsia="SimSun" w:cs="Times New Roman"/>
                <w:szCs w:val="24"/>
                <w:lang w:eastAsia="zh-CN"/>
              </w:rPr>
              <w:t>rotected from light and do not freeze.</w:t>
            </w:r>
          </w:p>
        </w:tc>
      </w:tr>
    </w:tbl>
    <w:p w14:paraId="29D87A96" w14:textId="77777777" w:rsidR="00265BA6" w:rsidRPr="00944B15" w:rsidRDefault="00265BA6" w:rsidP="00265BA6">
      <w:pPr>
        <w:spacing w:after="0"/>
        <w:jc w:val="both"/>
        <w:rPr>
          <w:rFonts w:cs="Times New Roman"/>
          <w:bCs/>
          <w:szCs w:val="24"/>
        </w:rPr>
      </w:pPr>
    </w:p>
    <w:p w14:paraId="70E3897B" w14:textId="77777777" w:rsidR="00265BA6" w:rsidRPr="0069535C" w:rsidRDefault="0069535C" w:rsidP="0069535C">
      <w:pPr>
        <w:pStyle w:val="Heading2"/>
        <w:spacing w:before="240" w:after="240"/>
        <w:rPr>
          <w:rFonts w:eastAsia="SimSun"/>
        </w:rPr>
      </w:pPr>
      <w:bookmarkStart w:id="91" w:name="_Toc179490352"/>
      <w:r>
        <w:rPr>
          <w:rFonts w:eastAsia="SimSun"/>
        </w:rPr>
        <w:t>P</w:t>
      </w:r>
      <w:r w:rsidRPr="0069535C">
        <w:rPr>
          <w:rFonts w:eastAsia="SimSun"/>
        </w:rPr>
        <w:t>reoperative medication and sedation for short term procedure</w:t>
      </w:r>
      <w:bookmarkEnd w:id="91"/>
    </w:p>
    <w:p w14:paraId="641E2E57" w14:textId="77777777" w:rsidR="00265BA6" w:rsidRDefault="00265BA6" w:rsidP="00265BA6">
      <w:pPr>
        <w:spacing w:after="0"/>
        <w:jc w:val="both"/>
        <w:rPr>
          <w:rFonts w:eastAsia="SimSun" w:cs="Times New Roman"/>
          <w:bCs/>
          <w:szCs w:val="24"/>
          <w:lang w:eastAsia="zh-CN"/>
        </w:rPr>
      </w:pPr>
      <w:r w:rsidRPr="003F40C6">
        <w:rPr>
          <w:rFonts w:eastAsia="SimSun" w:cs="Times New Roman"/>
          <w:bCs/>
          <w:szCs w:val="24"/>
          <w:lang w:eastAsia="zh-CN"/>
        </w:rPr>
        <w:t>Preoperative medication refers to the drugs administered to a patient before surgery to prepare them for the procedure. These medications can serve various purposes, including alleviating anxiety, providing sedation, preventing infection, and managing pain. The specific medications used may vary based on the type of surgery, the patient's health status, and the anesthetic plan.</w:t>
      </w:r>
    </w:p>
    <w:p w14:paraId="74E4A6C7" w14:textId="77777777" w:rsidR="00265BA6" w:rsidRPr="00944B15" w:rsidRDefault="00265BA6" w:rsidP="00265BA6">
      <w:pPr>
        <w:spacing w:after="0"/>
        <w:jc w:val="both"/>
        <w:rPr>
          <w:rFonts w:eastAsia="SimSun" w:cs="Times New Roman"/>
          <w:bCs/>
          <w:szCs w:val="24"/>
          <w:lang w:eastAsia="zh-CN"/>
        </w:rPr>
      </w:pPr>
      <w:r w:rsidRPr="00944B15">
        <w:rPr>
          <w:rFonts w:eastAsia="SimSun" w:cs="Times New Roman"/>
          <w:bCs/>
          <w:szCs w:val="24"/>
          <w:lang w:eastAsia="zh-CN"/>
        </w:rPr>
        <w:t xml:space="preserve">Regurgitation and aspiration of gastric contents (Mendelson’s syndrome) can be an important complication of general </w:t>
      </w:r>
      <w:r>
        <w:rPr>
          <w:rFonts w:eastAsia="SimSun" w:cs="Times New Roman"/>
          <w:bCs/>
          <w:szCs w:val="24"/>
          <w:lang w:eastAsia="zh-CN"/>
        </w:rPr>
        <w:t>anesthesia</w:t>
      </w:r>
      <w:r w:rsidRPr="00944B15">
        <w:rPr>
          <w:rFonts w:eastAsia="SimSun" w:cs="Times New Roman"/>
          <w:bCs/>
          <w:szCs w:val="24"/>
          <w:lang w:eastAsia="zh-CN"/>
        </w:rPr>
        <w:t xml:space="preserve">, particularly in obstetrics and during emergency surgery, and requires prophylaxis against acid aspiration. </w:t>
      </w:r>
    </w:p>
    <w:p w14:paraId="02DF2512" w14:textId="77777777" w:rsidR="00265BA6" w:rsidRPr="00944B15" w:rsidRDefault="00265BA6" w:rsidP="00265BA6">
      <w:pPr>
        <w:spacing w:after="0"/>
        <w:jc w:val="both"/>
        <w:rPr>
          <w:rFonts w:eastAsia="SimSun" w:cs="Times New Roman"/>
          <w:bCs/>
          <w:szCs w:val="24"/>
          <w:lang w:eastAsia="zh-CN"/>
        </w:rPr>
      </w:pPr>
      <w:r w:rsidRPr="00944B15">
        <w:rPr>
          <w:rFonts w:eastAsia="SimSun" w:cs="Times New Roman"/>
          <w:bCs/>
          <w:szCs w:val="24"/>
          <w:lang w:eastAsia="zh-CN"/>
        </w:rPr>
        <w:t xml:space="preserve">Anti-muscarinic drugs such as atropine are used as premedication to reduce bronchial and salivary secretions which are increased by intubation, upper airway surgery, or some inhalational anaesthetics. They are also used before or with neostigmine to prevent bradycardia, excessive </w:t>
      </w:r>
      <w:r w:rsidRPr="00944B15">
        <w:rPr>
          <w:rFonts w:eastAsia="SimSun" w:cs="Times New Roman"/>
          <w:bCs/>
          <w:szCs w:val="24"/>
          <w:lang w:eastAsia="zh-CN"/>
        </w:rPr>
        <w:lastRenderedPageBreak/>
        <w:t>salivation, and other muscarinic actions of neostigmine. They also prevent bradycardia and hypotension associated with drugs such as propofol and suxamethonium chloride.</w:t>
      </w:r>
    </w:p>
    <w:p w14:paraId="459DD1EB" w14:textId="77777777" w:rsidR="00265BA6" w:rsidRPr="00944B15" w:rsidRDefault="00265BA6" w:rsidP="00265BA6">
      <w:pPr>
        <w:spacing w:before="240" w:after="0"/>
        <w:jc w:val="both"/>
        <w:rPr>
          <w:rFonts w:eastAsia="SimSun" w:cs="Times New Roman"/>
          <w:bCs/>
          <w:szCs w:val="24"/>
          <w:lang w:eastAsia="zh-CN"/>
        </w:rPr>
      </w:pPr>
      <w:r w:rsidRPr="00944B15">
        <w:rPr>
          <w:rFonts w:eastAsia="SimSun" w:cs="Times New Roman"/>
          <w:bCs/>
          <w:szCs w:val="24"/>
          <w:lang w:eastAsia="zh-CN"/>
        </w:rPr>
        <w:t xml:space="preserve">Sedation of patients during diagnostic and therapeutic procedures is used to reduce fear and anxiety, to control pain, and to minimise excessive movement. The choice of sedative drug will depend upon the intended procedure; some procedures are safer and more successful under </w:t>
      </w:r>
      <w:r>
        <w:rPr>
          <w:rFonts w:eastAsia="SimSun" w:cs="Times New Roman"/>
          <w:bCs/>
          <w:szCs w:val="24"/>
          <w:lang w:eastAsia="zh-CN"/>
        </w:rPr>
        <w:t>anesthesia</w:t>
      </w:r>
      <w:r w:rsidRPr="00944B15">
        <w:rPr>
          <w:rFonts w:eastAsia="SimSun" w:cs="Times New Roman"/>
          <w:bCs/>
          <w:szCs w:val="24"/>
          <w:lang w:eastAsia="zh-CN"/>
        </w:rPr>
        <w:t xml:space="preserve">. Opioid analgesics such as morphine used as premedication and more likely to be administered at induction. Preoperative use of opioid analgesics is generally limited to those patients who require control of existing pain. An oral opioid should only be offered if immediate postoperative pain is expected to be moderate to severe. </w:t>
      </w:r>
    </w:p>
    <w:p w14:paraId="528B0EEC" w14:textId="77777777" w:rsidR="00265BA6" w:rsidRPr="00944B15" w:rsidRDefault="00265BA6" w:rsidP="00265BA6">
      <w:pPr>
        <w:spacing w:after="0"/>
        <w:jc w:val="both"/>
        <w:rPr>
          <w:rFonts w:eastAsia="SimSun" w:cs="Times New Roman"/>
          <w:bCs/>
          <w:szCs w:val="24"/>
          <w:lang w:eastAsia="zh-CN"/>
        </w:rPr>
      </w:pPr>
    </w:p>
    <w:tbl>
      <w:tblPr>
        <w:tblStyle w:val="TableGrid"/>
        <w:tblW w:w="0" w:type="auto"/>
        <w:tblLook w:val="04A0" w:firstRow="1" w:lastRow="0" w:firstColumn="1" w:lastColumn="0" w:noHBand="0" w:noVBand="1"/>
      </w:tblPr>
      <w:tblGrid>
        <w:gridCol w:w="2605"/>
        <w:gridCol w:w="6745"/>
      </w:tblGrid>
      <w:tr w:rsidR="00265BA6" w:rsidRPr="00944B15" w14:paraId="0DB6B931" w14:textId="77777777" w:rsidTr="002D6DD7">
        <w:tc>
          <w:tcPr>
            <w:tcW w:w="9350" w:type="dxa"/>
            <w:gridSpan w:val="2"/>
          </w:tcPr>
          <w:p w14:paraId="3BC84974" w14:textId="77777777" w:rsidR="00265BA6" w:rsidRPr="00944B15" w:rsidRDefault="00265BA6" w:rsidP="002D6DD7">
            <w:pPr>
              <w:jc w:val="both"/>
              <w:rPr>
                <w:rFonts w:cs="Times New Roman"/>
                <w:b/>
                <w:szCs w:val="24"/>
              </w:rPr>
            </w:pPr>
            <w:r>
              <w:rPr>
                <w:rFonts w:cs="Times New Roman"/>
                <w:b/>
                <w:szCs w:val="24"/>
              </w:rPr>
              <w:t>Atropine s</w:t>
            </w:r>
            <w:r w:rsidRPr="00944B15">
              <w:rPr>
                <w:rFonts w:cs="Times New Roman"/>
                <w:b/>
                <w:szCs w:val="24"/>
              </w:rPr>
              <w:t>ulphate</w:t>
            </w:r>
          </w:p>
        </w:tc>
      </w:tr>
      <w:tr w:rsidR="00265BA6" w:rsidRPr="00944B15" w14:paraId="5D63836A" w14:textId="77777777" w:rsidTr="002D6DD7">
        <w:tc>
          <w:tcPr>
            <w:tcW w:w="2605" w:type="dxa"/>
          </w:tcPr>
          <w:p w14:paraId="35EB3C4E"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1C755C52" w14:textId="77777777" w:rsidR="00265BA6" w:rsidRPr="00944B15" w:rsidRDefault="00265BA6" w:rsidP="002D6DD7">
            <w:pPr>
              <w:jc w:val="both"/>
              <w:rPr>
                <w:rFonts w:cs="Times New Roman"/>
                <w:szCs w:val="24"/>
              </w:rPr>
            </w:pPr>
            <w:r w:rsidRPr="00944B15">
              <w:rPr>
                <w:rFonts w:cs="Times New Roman"/>
                <w:szCs w:val="24"/>
              </w:rPr>
              <w:t xml:space="preserve">Anti-cholinergic </w:t>
            </w:r>
          </w:p>
        </w:tc>
      </w:tr>
      <w:tr w:rsidR="00265BA6" w:rsidRPr="00944B15" w14:paraId="4570C0B2" w14:textId="77777777" w:rsidTr="002D6DD7">
        <w:tc>
          <w:tcPr>
            <w:tcW w:w="2605" w:type="dxa"/>
          </w:tcPr>
          <w:p w14:paraId="4DB55A3D"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4153C31B" w14:textId="77777777" w:rsidR="00265BA6" w:rsidRPr="00944B15" w:rsidRDefault="00265BA6" w:rsidP="002D6DD7">
            <w:pPr>
              <w:jc w:val="both"/>
              <w:rPr>
                <w:rFonts w:cs="Times New Roman"/>
                <w:szCs w:val="24"/>
              </w:rPr>
            </w:pPr>
            <w:r w:rsidRPr="00944B15">
              <w:rPr>
                <w:rFonts w:cs="Times New Roman"/>
                <w:szCs w:val="24"/>
              </w:rPr>
              <w:t>Injection:1mg/</w:t>
            </w:r>
            <w:r>
              <w:rPr>
                <w:rFonts w:cs="Times New Roman"/>
                <w:szCs w:val="24"/>
              </w:rPr>
              <w:t>ml</w:t>
            </w:r>
          </w:p>
        </w:tc>
      </w:tr>
      <w:tr w:rsidR="00265BA6" w:rsidRPr="00944B15" w14:paraId="3BAD85CB" w14:textId="77777777" w:rsidTr="002D6DD7">
        <w:tc>
          <w:tcPr>
            <w:tcW w:w="2605" w:type="dxa"/>
          </w:tcPr>
          <w:p w14:paraId="119D36FF"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57538F4E" w14:textId="77777777" w:rsidR="00265BA6" w:rsidRPr="00944B15" w:rsidRDefault="00265BA6" w:rsidP="002D6DD7">
            <w:pPr>
              <w:jc w:val="both"/>
              <w:rPr>
                <w:rFonts w:cs="Times New Roman"/>
                <w:szCs w:val="24"/>
              </w:rPr>
            </w:pPr>
            <w:r w:rsidRPr="00944B15">
              <w:rPr>
                <w:rFonts w:eastAsia="SimSun" w:cs="Times New Roman"/>
                <w:szCs w:val="24"/>
                <w:lang w:eastAsia="zh-CN"/>
              </w:rPr>
              <w:t>As anti-sialagogue pre-anaesthetic medication to prevent or reduce salivation and respiratory tract secretions.</w:t>
            </w:r>
          </w:p>
        </w:tc>
      </w:tr>
      <w:tr w:rsidR="00265BA6" w:rsidRPr="00944B15" w14:paraId="2CEE1E5E" w14:textId="77777777" w:rsidTr="002D6DD7">
        <w:tc>
          <w:tcPr>
            <w:tcW w:w="2605" w:type="dxa"/>
          </w:tcPr>
          <w:p w14:paraId="0AF28A27" w14:textId="77777777" w:rsidR="00265BA6" w:rsidRPr="00944B15" w:rsidRDefault="00265BA6" w:rsidP="002D6DD7">
            <w:pPr>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745" w:type="dxa"/>
          </w:tcPr>
          <w:p w14:paraId="15AA9FA3"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Adult:</w:t>
            </w:r>
          </w:p>
          <w:p w14:paraId="4DBADCCC"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Premedication IV: 300- 600</w:t>
            </w:r>
            <w:r>
              <w:rPr>
                <w:rFonts w:eastAsia="SimSun" w:cs="Times New Roman"/>
                <w:szCs w:val="24"/>
                <w:lang w:eastAsia="zh-CN"/>
              </w:rPr>
              <w:t xml:space="preserve"> mcg</w:t>
            </w:r>
            <w:r w:rsidRPr="00944B15">
              <w:rPr>
                <w:rFonts w:eastAsia="SimSun" w:cs="Times New Roman"/>
                <w:szCs w:val="24"/>
                <w:lang w:eastAsia="zh-CN"/>
              </w:rPr>
              <w:t xml:space="preserve"> immediately before induction of </w:t>
            </w:r>
            <w:r>
              <w:rPr>
                <w:rFonts w:eastAsia="SimSun" w:cs="Times New Roman"/>
                <w:szCs w:val="24"/>
                <w:lang w:eastAsia="zh-CN"/>
              </w:rPr>
              <w:t>anesthesia</w:t>
            </w:r>
            <w:r w:rsidRPr="00944B15">
              <w:rPr>
                <w:rFonts w:eastAsia="SimSun" w:cs="Times New Roman"/>
                <w:szCs w:val="24"/>
                <w:lang w:eastAsia="zh-CN"/>
              </w:rPr>
              <w:t>.</w:t>
            </w:r>
          </w:p>
          <w:p w14:paraId="14B55AE0"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Premedication IM: 300–600 </w:t>
            </w:r>
            <w:r>
              <w:rPr>
                <w:rFonts w:eastAsia="SimSun" w:cs="Times New Roman"/>
                <w:szCs w:val="24"/>
                <w:lang w:eastAsia="zh-CN"/>
              </w:rPr>
              <w:t>mcg</w:t>
            </w:r>
            <w:r w:rsidRPr="00944B15">
              <w:rPr>
                <w:rFonts w:eastAsia="SimSun" w:cs="Times New Roman"/>
                <w:szCs w:val="24"/>
                <w:lang w:eastAsia="zh-CN"/>
              </w:rPr>
              <w:t>, 30-60 minutes before induction</w:t>
            </w:r>
          </w:p>
          <w:p w14:paraId="0C6BF1E9" w14:textId="77777777" w:rsidR="00265BA6" w:rsidRPr="00944B15" w:rsidRDefault="00265BA6" w:rsidP="002D6DD7">
            <w:pPr>
              <w:jc w:val="both"/>
              <w:rPr>
                <w:rFonts w:eastAsia="SimSun" w:cs="Times New Roman"/>
                <w:b/>
                <w:szCs w:val="24"/>
                <w:lang w:eastAsia="zh-CN"/>
              </w:rPr>
            </w:pPr>
            <w:r>
              <w:rPr>
                <w:rFonts w:eastAsia="SimSun" w:cs="Times New Roman"/>
                <w:b/>
                <w:szCs w:val="24"/>
                <w:lang w:eastAsia="zh-CN"/>
              </w:rPr>
              <w:t>Pediatric:</w:t>
            </w:r>
          </w:p>
          <w:p w14:paraId="242C2368"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 xml:space="preserve">Premedication, IV </w:t>
            </w:r>
          </w:p>
          <w:p w14:paraId="4C570341"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Child all ages:</w:t>
            </w:r>
            <w:r w:rsidRPr="00944B15">
              <w:rPr>
                <w:rFonts w:eastAsia="SimSun" w:cs="Times New Roman"/>
                <w:szCs w:val="24"/>
                <w:lang w:eastAsia="zh-CN"/>
              </w:rPr>
              <w:t xml:space="preserve"> 20 </w:t>
            </w:r>
            <w:r>
              <w:rPr>
                <w:rFonts w:eastAsia="SimSun" w:cs="Times New Roman"/>
                <w:szCs w:val="24"/>
                <w:lang w:eastAsia="zh-CN"/>
              </w:rPr>
              <w:t>mcg</w:t>
            </w:r>
            <w:r w:rsidRPr="00944B15">
              <w:rPr>
                <w:rFonts w:eastAsia="SimSun" w:cs="Times New Roman"/>
                <w:szCs w:val="24"/>
                <w:lang w:eastAsia="zh-CN"/>
              </w:rPr>
              <w:t xml:space="preserve"> /kg (max 600 </w:t>
            </w:r>
            <w:r>
              <w:rPr>
                <w:rFonts w:eastAsia="SimSun" w:cs="Times New Roman"/>
                <w:szCs w:val="24"/>
                <w:lang w:eastAsia="zh-CN"/>
              </w:rPr>
              <w:t>mcg</w:t>
            </w:r>
            <w:r w:rsidRPr="00944B15">
              <w:rPr>
                <w:rFonts w:eastAsia="SimSun" w:cs="Times New Roman"/>
                <w:szCs w:val="24"/>
                <w:lang w:eastAsia="zh-CN"/>
              </w:rPr>
              <w:t xml:space="preserve">) immediately before induction of </w:t>
            </w:r>
            <w:r>
              <w:rPr>
                <w:rFonts w:eastAsia="SimSun" w:cs="Times New Roman"/>
                <w:szCs w:val="24"/>
                <w:lang w:eastAsia="zh-CN"/>
              </w:rPr>
              <w:t>anesthesia</w:t>
            </w:r>
          </w:p>
          <w:p w14:paraId="4124B07A"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Premedication, SC</w:t>
            </w:r>
          </w:p>
          <w:p w14:paraId="37930652"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Neonate:</w:t>
            </w:r>
            <w:r w:rsidRPr="00944B15">
              <w:rPr>
                <w:rFonts w:eastAsia="SimSun" w:cs="Times New Roman"/>
                <w:szCs w:val="24"/>
                <w:lang w:eastAsia="zh-CN"/>
              </w:rPr>
              <w:t xml:space="preserve"> 10–15 </w:t>
            </w:r>
            <w:r>
              <w:rPr>
                <w:rFonts w:eastAsia="SimSun" w:cs="Times New Roman"/>
                <w:szCs w:val="24"/>
                <w:lang w:eastAsia="zh-CN"/>
              </w:rPr>
              <w:t>mcg</w:t>
            </w:r>
            <w:r w:rsidRPr="00944B15">
              <w:rPr>
                <w:rFonts w:eastAsia="SimSun" w:cs="Times New Roman"/>
                <w:szCs w:val="24"/>
                <w:lang w:eastAsia="zh-CN"/>
              </w:rPr>
              <w:t xml:space="preserve"> /kg 30–60 minutes before induction of </w:t>
            </w:r>
            <w:r>
              <w:rPr>
                <w:rFonts w:eastAsia="SimSun" w:cs="Times New Roman"/>
                <w:szCs w:val="24"/>
                <w:lang w:eastAsia="zh-CN"/>
              </w:rPr>
              <w:t>anesthesia</w:t>
            </w:r>
          </w:p>
          <w:p w14:paraId="1E665501"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Premedication, IM</w:t>
            </w:r>
          </w:p>
          <w:p w14:paraId="56D7B957"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Infant or child:</w:t>
            </w:r>
            <w:r w:rsidRPr="00944B15">
              <w:rPr>
                <w:rFonts w:eastAsia="SimSun" w:cs="Times New Roman"/>
                <w:szCs w:val="24"/>
                <w:lang w:eastAsia="zh-CN"/>
              </w:rPr>
              <w:t xml:space="preserve"> 20 </w:t>
            </w:r>
            <w:r>
              <w:rPr>
                <w:rFonts w:eastAsia="SimSun" w:cs="Times New Roman"/>
                <w:szCs w:val="24"/>
                <w:lang w:eastAsia="zh-CN"/>
              </w:rPr>
              <w:t>mcg</w:t>
            </w:r>
            <w:r w:rsidRPr="00944B15">
              <w:rPr>
                <w:rFonts w:eastAsia="SimSun" w:cs="Times New Roman"/>
                <w:szCs w:val="24"/>
                <w:lang w:eastAsia="zh-CN"/>
              </w:rPr>
              <w:t xml:space="preserve"> </w:t>
            </w:r>
            <w:r>
              <w:rPr>
                <w:rFonts w:eastAsia="SimSun" w:cs="Times New Roman"/>
                <w:szCs w:val="24"/>
                <w:lang w:eastAsia="zh-CN"/>
              </w:rPr>
              <w:t>/kg (minimum dose 100 mcg</w:t>
            </w:r>
            <w:r w:rsidRPr="00944B15">
              <w:rPr>
                <w:rFonts w:eastAsia="SimSun" w:cs="Times New Roman"/>
                <w:szCs w:val="24"/>
                <w:lang w:eastAsia="zh-CN"/>
              </w:rPr>
              <w:t xml:space="preserve">, maximum dose 600 </w:t>
            </w:r>
            <w:r>
              <w:rPr>
                <w:rFonts w:eastAsia="SimSun" w:cs="Times New Roman"/>
                <w:szCs w:val="24"/>
                <w:lang w:eastAsia="zh-CN"/>
              </w:rPr>
              <w:t>mcg</w:t>
            </w:r>
            <w:r w:rsidRPr="00944B15">
              <w:rPr>
                <w:rFonts w:eastAsia="SimSun" w:cs="Times New Roman"/>
                <w:szCs w:val="24"/>
                <w:lang w:eastAsia="zh-CN"/>
              </w:rPr>
              <w:t xml:space="preserve">) 30–60 minutes before induction of </w:t>
            </w:r>
            <w:r>
              <w:rPr>
                <w:rFonts w:eastAsia="SimSun" w:cs="Times New Roman"/>
                <w:szCs w:val="24"/>
                <w:lang w:eastAsia="zh-CN"/>
              </w:rPr>
              <w:t>anesthesia</w:t>
            </w:r>
          </w:p>
        </w:tc>
      </w:tr>
      <w:tr w:rsidR="00265BA6" w:rsidRPr="00944B15" w14:paraId="3C6F85D9" w14:textId="77777777" w:rsidTr="002D6DD7">
        <w:tc>
          <w:tcPr>
            <w:tcW w:w="2605" w:type="dxa"/>
          </w:tcPr>
          <w:p w14:paraId="460FB4DE"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639A95BE" w14:textId="77777777" w:rsidR="00265BA6" w:rsidRPr="00944B15" w:rsidRDefault="00265BA6" w:rsidP="002D6DD7">
            <w:pPr>
              <w:jc w:val="both"/>
              <w:rPr>
                <w:rFonts w:cs="Times New Roman"/>
                <w:szCs w:val="24"/>
              </w:rPr>
            </w:pPr>
            <w:r w:rsidRPr="00944B15">
              <w:rPr>
                <w:rFonts w:cs="Times New Roman"/>
                <w:szCs w:val="24"/>
              </w:rPr>
              <w:t xml:space="preserve">Closed-angle glaucoma, myasthenia gravis, severe ulcerative </w:t>
            </w:r>
            <w:r w:rsidRPr="00944B15">
              <w:rPr>
                <w:rFonts w:cs="Times New Roman"/>
                <w:szCs w:val="24"/>
              </w:rPr>
              <w:lastRenderedPageBreak/>
              <w:t>colitis. GI obstruction, asthma, toxic megacolon</w:t>
            </w:r>
            <w:r>
              <w:rPr>
                <w:rFonts w:cs="Times New Roman"/>
                <w:szCs w:val="24"/>
              </w:rPr>
              <w:t xml:space="preserve">, </w:t>
            </w:r>
            <w:r w:rsidRPr="00944B15">
              <w:rPr>
                <w:rFonts w:cs="Times New Roman"/>
                <w:szCs w:val="24"/>
              </w:rPr>
              <w:t>bladder outlet obstruction.</w:t>
            </w:r>
          </w:p>
        </w:tc>
      </w:tr>
      <w:tr w:rsidR="00265BA6" w:rsidRPr="00944B15" w14:paraId="09915796" w14:textId="77777777" w:rsidTr="002D6DD7">
        <w:tc>
          <w:tcPr>
            <w:tcW w:w="2605" w:type="dxa"/>
          </w:tcPr>
          <w:p w14:paraId="1D6E97EC" w14:textId="77777777" w:rsidR="00265BA6" w:rsidRPr="00944B15" w:rsidRDefault="00265BA6" w:rsidP="002D6DD7">
            <w:pPr>
              <w:jc w:val="both"/>
              <w:rPr>
                <w:rFonts w:cs="Times New Roman"/>
                <w:szCs w:val="24"/>
              </w:rPr>
            </w:pPr>
            <w:r w:rsidRPr="00944B15">
              <w:rPr>
                <w:rFonts w:cs="Times New Roman"/>
                <w:szCs w:val="24"/>
              </w:rPr>
              <w:lastRenderedPageBreak/>
              <w:t>Drug interactions</w:t>
            </w:r>
          </w:p>
        </w:tc>
        <w:tc>
          <w:tcPr>
            <w:tcW w:w="6745" w:type="dxa"/>
          </w:tcPr>
          <w:p w14:paraId="36C6F427" w14:textId="77777777" w:rsidR="00265BA6" w:rsidRPr="00944B15" w:rsidRDefault="00265BA6" w:rsidP="002D6DD7">
            <w:pPr>
              <w:jc w:val="both"/>
              <w:rPr>
                <w:rFonts w:cs="Times New Roman"/>
                <w:szCs w:val="24"/>
              </w:rPr>
            </w:pPr>
            <w:r w:rsidRPr="00944B15">
              <w:rPr>
                <w:rFonts w:cs="Times New Roman"/>
                <w:szCs w:val="24"/>
              </w:rPr>
              <w:t>Phenothiazines, amantadine, tricyclic antidepressants, MAOI's, chlorpheniramine, metoclopramide, neostigmine, pyridostigmine, ketoconazole</w:t>
            </w:r>
            <w:r>
              <w:rPr>
                <w:rFonts w:cs="Times New Roman"/>
                <w:szCs w:val="24"/>
              </w:rPr>
              <w:t>.</w:t>
            </w:r>
          </w:p>
        </w:tc>
      </w:tr>
      <w:tr w:rsidR="00265BA6" w:rsidRPr="00944B15" w14:paraId="521E0DE6" w14:textId="77777777" w:rsidTr="002D6DD7">
        <w:tc>
          <w:tcPr>
            <w:tcW w:w="2605" w:type="dxa"/>
          </w:tcPr>
          <w:p w14:paraId="27D9B9AF"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66B53E25"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Dry </w:t>
            </w:r>
            <w:r>
              <w:rPr>
                <w:rFonts w:eastAsia="SimSun" w:cs="Times New Roman"/>
                <w:szCs w:val="24"/>
                <w:lang w:eastAsia="zh-CN"/>
              </w:rPr>
              <w:t>mouth</w:t>
            </w:r>
            <w:r w:rsidRPr="00944B15">
              <w:rPr>
                <w:rFonts w:eastAsia="SimSun" w:cs="Times New Roman"/>
                <w:szCs w:val="24"/>
                <w:lang w:eastAsia="zh-CN"/>
              </w:rPr>
              <w:t xml:space="preserve">, blurred vision, photophobia, flushing and dryness of </w:t>
            </w:r>
            <w:r>
              <w:rPr>
                <w:rFonts w:eastAsia="SimSun" w:cs="Times New Roman"/>
                <w:szCs w:val="24"/>
                <w:lang w:eastAsia="zh-CN"/>
              </w:rPr>
              <w:t>oral</w:t>
            </w:r>
            <w:r w:rsidRPr="00944B15">
              <w:rPr>
                <w:rFonts w:eastAsia="SimSun" w:cs="Times New Roman"/>
                <w:szCs w:val="24"/>
                <w:lang w:eastAsia="zh-CN"/>
              </w:rPr>
              <w:t>, nose and throat, skin; difficulty in micturition, constipation, arrhythmias, tachycardia, palpitations, nausea, vomiting, hyperthermia, mydriasis, confusion, seizures</w:t>
            </w:r>
            <w:r>
              <w:rPr>
                <w:rFonts w:eastAsia="SimSun" w:cs="Times New Roman"/>
                <w:szCs w:val="24"/>
                <w:lang w:eastAsia="zh-CN"/>
              </w:rPr>
              <w:t xml:space="preserve">, </w:t>
            </w:r>
            <w:r w:rsidRPr="00944B15">
              <w:rPr>
                <w:rFonts w:eastAsia="SimSun" w:cs="Times New Roman"/>
                <w:szCs w:val="24"/>
                <w:lang w:eastAsia="zh-CN"/>
              </w:rPr>
              <w:t>nasal dryness.</w:t>
            </w:r>
          </w:p>
        </w:tc>
      </w:tr>
      <w:tr w:rsidR="00265BA6" w:rsidRPr="00944B15" w14:paraId="10A3D1B0" w14:textId="77777777" w:rsidTr="002D6DD7">
        <w:tc>
          <w:tcPr>
            <w:tcW w:w="2605" w:type="dxa"/>
          </w:tcPr>
          <w:p w14:paraId="6607FF14"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5BD189E4" w14:textId="77777777" w:rsidR="00265BA6" w:rsidRPr="00944B15" w:rsidRDefault="00265BA6" w:rsidP="002D6DD7">
            <w:pPr>
              <w:jc w:val="both"/>
              <w:rPr>
                <w:rFonts w:cs="Times New Roman"/>
                <w:szCs w:val="24"/>
              </w:rPr>
            </w:pPr>
            <w:r w:rsidRPr="00944B15">
              <w:rPr>
                <w:rFonts w:eastAsia="SimSun" w:cs="Times New Roman"/>
                <w:szCs w:val="24"/>
                <w:lang w:eastAsia="zh-CN"/>
              </w:rPr>
              <w:t>Pregnancy, breastfeeding, children and elderly patients, hyperthyroidism, hepatic or renal disease, chronic obstructive pulmonary disease, reflux oesophagitis, cardiac disease</w:t>
            </w:r>
            <w:r>
              <w:rPr>
                <w:rFonts w:eastAsia="SimSun" w:cs="Times New Roman"/>
                <w:szCs w:val="24"/>
                <w:lang w:eastAsia="zh-CN"/>
              </w:rPr>
              <w:t>,</w:t>
            </w:r>
            <w:r w:rsidRPr="00944B15">
              <w:rPr>
                <w:rFonts w:eastAsia="SimSun" w:cs="Times New Roman"/>
                <w:szCs w:val="24"/>
                <w:lang w:eastAsia="zh-CN"/>
              </w:rPr>
              <w:t xml:space="preserve"> </w:t>
            </w:r>
            <w:r>
              <w:rPr>
                <w:rFonts w:eastAsia="SimSun" w:cs="Times New Roman"/>
                <w:szCs w:val="24"/>
                <w:lang w:eastAsia="zh-CN"/>
              </w:rPr>
              <w:t>bening prostatic hyperplasia (</w:t>
            </w:r>
            <w:r w:rsidRPr="00944B15">
              <w:rPr>
                <w:rFonts w:eastAsia="SimSun" w:cs="Times New Roman"/>
                <w:szCs w:val="24"/>
                <w:lang w:eastAsia="zh-CN"/>
              </w:rPr>
              <w:t>BPH</w:t>
            </w:r>
            <w:r>
              <w:rPr>
                <w:rFonts w:eastAsia="SimSun" w:cs="Times New Roman"/>
                <w:szCs w:val="24"/>
                <w:lang w:eastAsia="zh-CN"/>
              </w:rPr>
              <w:t>)</w:t>
            </w:r>
            <w:r w:rsidRPr="00944B15">
              <w:rPr>
                <w:rFonts w:eastAsia="SimSun" w:cs="Times New Roman"/>
                <w:szCs w:val="24"/>
                <w:lang w:eastAsia="zh-CN"/>
              </w:rPr>
              <w:t>.</w:t>
            </w:r>
          </w:p>
        </w:tc>
      </w:tr>
      <w:tr w:rsidR="00265BA6" w:rsidRPr="00944B15" w14:paraId="3BC449A3" w14:textId="77777777" w:rsidTr="002D6DD7">
        <w:tc>
          <w:tcPr>
            <w:tcW w:w="2605" w:type="dxa"/>
          </w:tcPr>
          <w:p w14:paraId="77B008F4"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37546570" w14:textId="77777777" w:rsidR="00265BA6" w:rsidRPr="00944B15" w:rsidRDefault="00265BA6" w:rsidP="002D6DD7">
            <w:pPr>
              <w:jc w:val="both"/>
              <w:rPr>
                <w:rFonts w:cs="Times New Roman"/>
                <w:szCs w:val="24"/>
              </w:rPr>
            </w:pPr>
            <w:r w:rsidRPr="00944B15">
              <w:rPr>
                <w:rFonts w:eastAsia="SimSun" w:cs="Times New Roman"/>
                <w:szCs w:val="24"/>
                <w:lang w:eastAsia="zh-CN"/>
              </w:rPr>
              <w:t xml:space="preserve">Store </w:t>
            </w:r>
            <w:r>
              <w:rPr>
                <w:rFonts w:eastAsia="SimSun" w:cs="Times New Roman"/>
                <w:szCs w:val="24"/>
                <w:lang w:eastAsia="zh-CN"/>
              </w:rPr>
              <w:t>below 30°</w:t>
            </w:r>
            <w:r w:rsidRPr="00944B15">
              <w:rPr>
                <w:rFonts w:eastAsia="SimSun" w:cs="Times New Roman"/>
                <w:szCs w:val="24"/>
                <w:lang w:eastAsia="zh-CN"/>
              </w:rPr>
              <w:t>C. Protect from light.</w:t>
            </w:r>
          </w:p>
        </w:tc>
      </w:tr>
      <w:tr w:rsidR="00265BA6" w:rsidRPr="00944B15" w14:paraId="4D0F334D" w14:textId="77777777" w:rsidTr="002D6DD7">
        <w:tc>
          <w:tcPr>
            <w:tcW w:w="9350" w:type="dxa"/>
            <w:gridSpan w:val="2"/>
          </w:tcPr>
          <w:p w14:paraId="7449C4C8" w14:textId="77777777" w:rsidR="00265BA6" w:rsidRPr="00944B15" w:rsidRDefault="00265BA6" w:rsidP="002D6DD7">
            <w:pPr>
              <w:jc w:val="both"/>
              <w:rPr>
                <w:rFonts w:cs="Times New Roman"/>
                <w:b/>
                <w:szCs w:val="24"/>
              </w:rPr>
            </w:pPr>
            <w:r w:rsidRPr="00944B15">
              <w:rPr>
                <w:rFonts w:cs="Times New Roman"/>
                <w:b/>
                <w:szCs w:val="24"/>
              </w:rPr>
              <w:t xml:space="preserve">Diazepam </w:t>
            </w:r>
          </w:p>
        </w:tc>
      </w:tr>
      <w:tr w:rsidR="00265BA6" w:rsidRPr="00944B15" w14:paraId="05C2573B" w14:textId="77777777" w:rsidTr="002D6DD7">
        <w:tc>
          <w:tcPr>
            <w:tcW w:w="2605" w:type="dxa"/>
          </w:tcPr>
          <w:p w14:paraId="5B2FFA8C"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5AABA413" w14:textId="77777777" w:rsidR="00265BA6" w:rsidRPr="00944B15" w:rsidRDefault="00265BA6" w:rsidP="002D6DD7">
            <w:pPr>
              <w:jc w:val="both"/>
              <w:rPr>
                <w:rFonts w:cs="Times New Roman"/>
                <w:szCs w:val="24"/>
              </w:rPr>
            </w:pPr>
            <w:r>
              <w:rPr>
                <w:rFonts w:cs="Times New Roman"/>
                <w:szCs w:val="24"/>
              </w:rPr>
              <w:t>Benzodiazepine</w:t>
            </w:r>
          </w:p>
        </w:tc>
      </w:tr>
      <w:tr w:rsidR="00265BA6" w:rsidRPr="00944B15" w14:paraId="466BF9EB" w14:textId="77777777" w:rsidTr="002D6DD7">
        <w:tc>
          <w:tcPr>
            <w:tcW w:w="2605" w:type="dxa"/>
          </w:tcPr>
          <w:p w14:paraId="0B991C3F"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0BDD5E01" w14:textId="77777777" w:rsidR="00265BA6" w:rsidRPr="00944B15" w:rsidRDefault="00265BA6" w:rsidP="002D6DD7">
            <w:pPr>
              <w:jc w:val="both"/>
              <w:rPr>
                <w:rFonts w:cs="Times New Roman"/>
                <w:szCs w:val="24"/>
              </w:rPr>
            </w:pPr>
            <w:r>
              <w:rPr>
                <w:rFonts w:cs="Times New Roman"/>
                <w:szCs w:val="24"/>
              </w:rPr>
              <w:t>Injection:</w:t>
            </w:r>
            <w:r w:rsidRPr="00944B15">
              <w:rPr>
                <w:rFonts w:cs="Times New Roman"/>
                <w:szCs w:val="24"/>
              </w:rPr>
              <w:t xml:space="preserve"> 10mg/2</w:t>
            </w:r>
            <w:r>
              <w:rPr>
                <w:rFonts w:cs="Times New Roman"/>
                <w:szCs w:val="24"/>
              </w:rPr>
              <w:t>ml</w:t>
            </w:r>
          </w:p>
        </w:tc>
      </w:tr>
      <w:tr w:rsidR="00265BA6" w:rsidRPr="00944B15" w14:paraId="03D172C9" w14:textId="77777777" w:rsidTr="002D6DD7">
        <w:tc>
          <w:tcPr>
            <w:tcW w:w="2605" w:type="dxa"/>
          </w:tcPr>
          <w:p w14:paraId="375F96FF"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69307A51"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As pre-operative </w:t>
            </w:r>
            <w:r>
              <w:rPr>
                <w:rFonts w:eastAsia="SimSun" w:cs="Times New Roman"/>
                <w:szCs w:val="24"/>
                <w:lang w:eastAsia="zh-CN"/>
              </w:rPr>
              <w:t>medication in surgery for sedation</w:t>
            </w:r>
            <w:r w:rsidRPr="00944B15">
              <w:rPr>
                <w:rFonts w:eastAsia="SimSun" w:cs="Times New Roman"/>
                <w:szCs w:val="24"/>
                <w:lang w:eastAsia="zh-CN"/>
              </w:rPr>
              <w:t xml:space="preserve"> </w:t>
            </w:r>
          </w:p>
        </w:tc>
      </w:tr>
      <w:tr w:rsidR="00265BA6" w:rsidRPr="00944B15" w14:paraId="4DE83F9D" w14:textId="77777777" w:rsidTr="002D6DD7">
        <w:tc>
          <w:tcPr>
            <w:tcW w:w="2605" w:type="dxa"/>
          </w:tcPr>
          <w:p w14:paraId="152D3814"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02CD0D71" w14:textId="77777777" w:rsidR="00265BA6" w:rsidRPr="00944B15" w:rsidRDefault="00265BA6" w:rsidP="002D6DD7">
            <w:pPr>
              <w:jc w:val="both"/>
              <w:rPr>
                <w:rFonts w:eastAsia="SimSun" w:cs="Times New Roman"/>
                <w:b/>
                <w:szCs w:val="24"/>
                <w:lang w:eastAsia="zh-CN"/>
              </w:rPr>
            </w:pPr>
            <w:r>
              <w:rPr>
                <w:rFonts w:eastAsia="SimSun" w:cs="Times New Roman"/>
                <w:b/>
                <w:szCs w:val="24"/>
                <w:lang w:eastAsia="zh-CN"/>
              </w:rPr>
              <w:t>Adult:</w:t>
            </w:r>
          </w:p>
          <w:p w14:paraId="0F89680B" w14:textId="77777777" w:rsidR="00265BA6" w:rsidRPr="00944B15" w:rsidRDefault="00265BA6" w:rsidP="002D6DD7">
            <w:pPr>
              <w:jc w:val="both"/>
              <w:rPr>
                <w:rFonts w:cs="Times New Roman"/>
                <w:szCs w:val="24"/>
              </w:rPr>
            </w:pPr>
            <w:r w:rsidRPr="00944B15">
              <w:rPr>
                <w:rFonts w:cs="Times New Roman"/>
                <w:szCs w:val="24"/>
              </w:rPr>
              <w:t>IV: 0.1-0.2 mg/kg titrated to patient response.</w:t>
            </w:r>
          </w:p>
          <w:p w14:paraId="2569261F" w14:textId="77777777" w:rsidR="00265BA6" w:rsidRPr="00944B15" w:rsidRDefault="00265BA6" w:rsidP="002D6DD7">
            <w:pPr>
              <w:jc w:val="both"/>
              <w:rPr>
                <w:rFonts w:eastAsia="SimSun" w:cs="Times New Roman"/>
                <w:szCs w:val="24"/>
                <w:lang w:eastAsia="zh-CN"/>
              </w:rPr>
            </w:pPr>
            <w:r>
              <w:rPr>
                <w:rFonts w:eastAsia="SimSun" w:cs="Times New Roman"/>
                <w:b/>
                <w:szCs w:val="24"/>
                <w:lang w:eastAsia="zh-CN"/>
              </w:rPr>
              <w:t>Elderly or debilitated patient:</w:t>
            </w:r>
            <w:r w:rsidRPr="00944B15">
              <w:rPr>
                <w:rFonts w:eastAsia="SimSun" w:cs="Times New Roman"/>
                <w:szCs w:val="24"/>
                <w:lang w:eastAsia="zh-CN"/>
              </w:rPr>
              <w:t xml:space="preserve"> </w:t>
            </w:r>
            <w:r>
              <w:rPr>
                <w:rFonts w:eastAsia="SimSun" w:cs="Times New Roman"/>
                <w:szCs w:val="24"/>
                <w:lang w:eastAsia="zh-CN"/>
              </w:rPr>
              <w:t>use half of the adult dose</w:t>
            </w:r>
          </w:p>
        </w:tc>
      </w:tr>
      <w:tr w:rsidR="00265BA6" w:rsidRPr="00944B15" w14:paraId="4AB8A89C" w14:textId="77777777" w:rsidTr="002D6DD7">
        <w:tc>
          <w:tcPr>
            <w:tcW w:w="2605" w:type="dxa"/>
          </w:tcPr>
          <w:p w14:paraId="61DD4765"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0108D3F9" w14:textId="77777777" w:rsidR="00265BA6" w:rsidRPr="00944B15" w:rsidRDefault="00265BA6"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myasthenia gravis, sleep apnoea syndrome, severe hepatic insufficiency</w:t>
            </w:r>
            <w:r>
              <w:rPr>
                <w:rFonts w:cs="Times New Roman"/>
                <w:szCs w:val="24"/>
              </w:rPr>
              <w:t>,</w:t>
            </w:r>
            <w:r w:rsidRPr="00944B15">
              <w:rPr>
                <w:rFonts w:cs="Times New Roman"/>
                <w:szCs w:val="24"/>
              </w:rPr>
              <w:t xml:space="preserve"> severe respiratory insufficiency, acute narrow-angle glaucoma and open-angle glaucoma.</w:t>
            </w:r>
          </w:p>
        </w:tc>
      </w:tr>
      <w:tr w:rsidR="00265BA6" w:rsidRPr="00944B15" w14:paraId="43CA6032" w14:textId="77777777" w:rsidTr="002D6DD7">
        <w:tc>
          <w:tcPr>
            <w:tcW w:w="2605" w:type="dxa"/>
          </w:tcPr>
          <w:p w14:paraId="29294882"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2FCF6E62" w14:textId="77777777" w:rsidR="00265BA6" w:rsidRPr="00944B15" w:rsidRDefault="00265BA6" w:rsidP="002D6DD7">
            <w:pPr>
              <w:jc w:val="both"/>
              <w:rPr>
                <w:rFonts w:cs="Times New Roman"/>
                <w:szCs w:val="24"/>
              </w:rPr>
            </w:pPr>
            <w:r w:rsidRPr="00944B15">
              <w:rPr>
                <w:rFonts w:cs="Times New Roman"/>
                <w:szCs w:val="24"/>
              </w:rPr>
              <w:t>Opioids, CNS depressants including alcohol, phenobarbital, drug abuse, clozapine, th</w:t>
            </w:r>
            <w:r>
              <w:rPr>
                <w:rFonts w:cs="Times New Roman"/>
                <w:szCs w:val="24"/>
              </w:rPr>
              <w:t>eophylline, m</w:t>
            </w:r>
            <w:r w:rsidRPr="00944B15">
              <w:rPr>
                <w:rFonts w:cs="Times New Roman"/>
                <w:szCs w:val="24"/>
              </w:rPr>
              <w:t>uscle relaxants (suxamethonium, tubocurarine), rifampicin, phenytoin</w:t>
            </w:r>
            <w:r>
              <w:rPr>
                <w:rFonts w:cs="Times New Roman"/>
                <w:szCs w:val="24"/>
              </w:rPr>
              <w:t>,</w:t>
            </w:r>
            <w:r w:rsidRPr="00944B15">
              <w:rPr>
                <w:rFonts w:cs="Times New Roman"/>
                <w:szCs w:val="24"/>
              </w:rPr>
              <w:t xml:space="preserve"> azoles.</w:t>
            </w:r>
          </w:p>
        </w:tc>
      </w:tr>
      <w:tr w:rsidR="00265BA6" w:rsidRPr="00944B15" w14:paraId="53865C41" w14:textId="77777777" w:rsidTr="002D6DD7">
        <w:tc>
          <w:tcPr>
            <w:tcW w:w="2605" w:type="dxa"/>
          </w:tcPr>
          <w:p w14:paraId="45D939A7"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39858D31" w14:textId="77777777" w:rsidR="00265BA6" w:rsidRPr="00944B15" w:rsidRDefault="00265BA6" w:rsidP="002D6DD7">
            <w:pPr>
              <w:jc w:val="both"/>
              <w:rPr>
                <w:rFonts w:cs="Times New Roman"/>
                <w:szCs w:val="24"/>
              </w:rPr>
            </w:pPr>
            <w:r w:rsidRPr="00944B15">
              <w:rPr>
                <w:rFonts w:cs="Times New Roman"/>
                <w:szCs w:val="24"/>
              </w:rPr>
              <w:t xml:space="preserve">Anaphylaxis, leukopenia, confusion, drowsiness, ataxia, impaired motor ability, tremor, bradycardia, respiratory depression, pain at </w:t>
            </w:r>
            <w:r w:rsidRPr="00944B15">
              <w:rPr>
                <w:rFonts w:cs="Times New Roman"/>
                <w:szCs w:val="24"/>
              </w:rPr>
              <w:lastRenderedPageBreak/>
              <w:t>the injection site, neutropenia, jaundice</w:t>
            </w:r>
            <w:r>
              <w:rPr>
                <w:rFonts w:cs="Times New Roman"/>
                <w:szCs w:val="24"/>
              </w:rPr>
              <w:t>,</w:t>
            </w:r>
            <w:r w:rsidRPr="00944B15">
              <w:rPr>
                <w:rFonts w:cs="Times New Roman"/>
                <w:szCs w:val="24"/>
              </w:rPr>
              <w:t xml:space="preserve"> phlebitis.</w:t>
            </w:r>
          </w:p>
        </w:tc>
      </w:tr>
      <w:tr w:rsidR="00265BA6" w:rsidRPr="00944B15" w14:paraId="170D49E0" w14:textId="77777777" w:rsidTr="002D6DD7">
        <w:tc>
          <w:tcPr>
            <w:tcW w:w="2605" w:type="dxa"/>
          </w:tcPr>
          <w:p w14:paraId="648E0014" w14:textId="77777777" w:rsidR="00265BA6" w:rsidRPr="00944B15" w:rsidRDefault="00265BA6" w:rsidP="002D6DD7">
            <w:pPr>
              <w:jc w:val="both"/>
              <w:rPr>
                <w:rFonts w:cs="Times New Roman"/>
                <w:szCs w:val="24"/>
              </w:rPr>
            </w:pPr>
            <w:r w:rsidRPr="00944B15">
              <w:rPr>
                <w:rFonts w:cs="Times New Roman"/>
                <w:szCs w:val="24"/>
              </w:rPr>
              <w:lastRenderedPageBreak/>
              <w:t xml:space="preserve">Cautions </w:t>
            </w:r>
          </w:p>
        </w:tc>
        <w:tc>
          <w:tcPr>
            <w:tcW w:w="6745" w:type="dxa"/>
          </w:tcPr>
          <w:p w14:paraId="36A5F0A2"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COPD, sleep apnoea, renal/hepatic disease,</w:t>
            </w:r>
            <w:r w:rsidRPr="00944B15">
              <w:rPr>
                <w:rFonts w:cs="Times New Roman"/>
                <w:szCs w:val="24"/>
              </w:rPr>
              <w:t xml:space="preserve"> </w:t>
            </w:r>
            <w:r w:rsidRPr="00944B15">
              <w:rPr>
                <w:rFonts w:eastAsia="SimSun" w:cs="Times New Roman"/>
                <w:szCs w:val="24"/>
                <w:lang w:eastAsia="zh-CN"/>
              </w:rPr>
              <w:t>respiratory disorders, history of suicide ideation, impaired gag reflex, history of drug abuse</w:t>
            </w:r>
            <w:r>
              <w:rPr>
                <w:rFonts w:eastAsia="SimSun" w:cs="Times New Roman"/>
                <w:szCs w:val="24"/>
                <w:lang w:eastAsia="zh-CN"/>
              </w:rPr>
              <w:t xml:space="preserve">, </w:t>
            </w:r>
            <w:r w:rsidRPr="00944B15">
              <w:rPr>
                <w:rFonts w:eastAsia="SimSun" w:cs="Times New Roman"/>
                <w:szCs w:val="24"/>
                <w:lang w:eastAsia="zh-CN"/>
              </w:rPr>
              <w:t>obese patients.</w:t>
            </w:r>
          </w:p>
        </w:tc>
      </w:tr>
      <w:tr w:rsidR="00265BA6" w:rsidRPr="00944B15" w14:paraId="523C94C1" w14:textId="77777777" w:rsidTr="002D6DD7">
        <w:trPr>
          <w:trHeight w:val="638"/>
        </w:trPr>
        <w:tc>
          <w:tcPr>
            <w:tcW w:w="2605" w:type="dxa"/>
          </w:tcPr>
          <w:p w14:paraId="73D7D3BD"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39E2F0CC" w14:textId="77777777" w:rsidR="00265BA6" w:rsidRPr="00944B15" w:rsidRDefault="00265BA6" w:rsidP="002D6DD7">
            <w:pPr>
              <w:jc w:val="both"/>
              <w:rPr>
                <w:rFonts w:cs="Times New Roman"/>
                <w:szCs w:val="24"/>
              </w:rPr>
            </w:pPr>
            <w:r>
              <w:rPr>
                <w:rFonts w:cs="Times New Roman"/>
                <w:szCs w:val="24"/>
              </w:rPr>
              <w:t>Store below 30</w:t>
            </w:r>
            <w:r w:rsidRPr="00944B15">
              <w:rPr>
                <w:rFonts w:cs="Times New Roman"/>
                <w:szCs w:val="24"/>
              </w:rPr>
              <w:t>°C. Do not freeze</w:t>
            </w:r>
          </w:p>
        </w:tc>
      </w:tr>
    </w:tbl>
    <w:tbl>
      <w:tblPr>
        <w:tblStyle w:val="TableGrid23"/>
        <w:tblW w:w="0" w:type="auto"/>
        <w:tblLook w:val="04A0" w:firstRow="1" w:lastRow="0" w:firstColumn="1" w:lastColumn="0" w:noHBand="0" w:noVBand="1"/>
      </w:tblPr>
      <w:tblGrid>
        <w:gridCol w:w="2605"/>
        <w:gridCol w:w="6745"/>
      </w:tblGrid>
      <w:tr w:rsidR="00265BA6" w:rsidRPr="00944B15" w14:paraId="6572B029" w14:textId="77777777" w:rsidTr="002D6DD7">
        <w:tc>
          <w:tcPr>
            <w:tcW w:w="9350" w:type="dxa"/>
            <w:gridSpan w:val="2"/>
          </w:tcPr>
          <w:p w14:paraId="7923975C" w14:textId="77777777" w:rsidR="00265BA6" w:rsidRPr="00944B15" w:rsidRDefault="00265BA6" w:rsidP="002D6DD7">
            <w:pPr>
              <w:jc w:val="both"/>
              <w:rPr>
                <w:rFonts w:cs="Times New Roman"/>
                <w:b/>
                <w:szCs w:val="24"/>
              </w:rPr>
            </w:pPr>
            <w:r w:rsidRPr="00944B15">
              <w:rPr>
                <w:rFonts w:cs="Times New Roman"/>
                <w:b/>
                <w:szCs w:val="24"/>
              </w:rPr>
              <w:t>Midazolam</w:t>
            </w:r>
          </w:p>
        </w:tc>
      </w:tr>
      <w:tr w:rsidR="00265BA6" w:rsidRPr="00944B15" w14:paraId="7C161BD7" w14:textId="77777777" w:rsidTr="002D6DD7">
        <w:tc>
          <w:tcPr>
            <w:tcW w:w="2605" w:type="dxa"/>
          </w:tcPr>
          <w:p w14:paraId="7BDD0BF4"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6A208188" w14:textId="77777777" w:rsidR="00265BA6" w:rsidRPr="00944B15" w:rsidRDefault="00265BA6" w:rsidP="002D6DD7">
            <w:pPr>
              <w:jc w:val="both"/>
              <w:rPr>
                <w:rFonts w:cs="Times New Roman"/>
                <w:szCs w:val="24"/>
              </w:rPr>
            </w:pPr>
            <w:r w:rsidRPr="00944B15">
              <w:rPr>
                <w:rFonts w:cs="Times New Roman"/>
                <w:szCs w:val="24"/>
              </w:rPr>
              <w:t xml:space="preserve">Benzodiazepine </w:t>
            </w:r>
          </w:p>
        </w:tc>
      </w:tr>
      <w:tr w:rsidR="00265BA6" w:rsidRPr="00944B15" w14:paraId="13CEB662" w14:textId="77777777" w:rsidTr="002D6DD7">
        <w:trPr>
          <w:trHeight w:val="395"/>
        </w:trPr>
        <w:tc>
          <w:tcPr>
            <w:tcW w:w="2605" w:type="dxa"/>
          </w:tcPr>
          <w:p w14:paraId="7736F459"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1248F43E" w14:textId="77777777" w:rsidR="00265BA6" w:rsidRPr="00944B15" w:rsidRDefault="00265BA6" w:rsidP="002D6DD7">
            <w:pPr>
              <w:pStyle w:val="Default"/>
              <w:spacing w:line="360" w:lineRule="auto"/>
              <w:jc w:val="both"/>
            </w:pPr>
            <w:r w:rsidRPr="00944B15">
              <w:rPr>
                <w:color w:val="auto"/>
              </w:rPr>
              <w:t>Injection: 1 mg/</w:t>
            </w:r>
            <w:r>
              <w:rPr>
                <w:color w:val="auto"/>
              </w:rPr>
              <w:t>ml</w:t>
            </w:r>
          </w:p>
        </w:tc>
      </w:tr>
      <w:tr w:rsidR="00265BA6" w:rsidRPr="00944B15" w14:paraId="2EDB9CD4" w14:textId="77777777" w:rsidTr="002D6DD7">
        <w:tc>
          <w:tcPr>
            <w:tcW w:w="2605" w:type="dxa"/>
          </w:tcPr>
          <w:p w14:paraId="7C37887E"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797C4122"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As pre-operative medication in surgery </w:t>
            </w:r>
            <w:r>
              <w:rPr>
                <w:rFonts w:eastAsia="SimSun" w:cs="Times New Roman"/>
                <w:szCs w:val="24"/>
                <w:lang w:eastAsia="zh-CN"/>
              </w:rPr>
              <w:t>for sedation</w:t>
            </w:r>
            <w:r w:rsidRPr="00944B15">
              <w:rPr>
                <w:rFonts w:eastAsia="SimSun" w:cs="Times New Roman"/>
                <w:szCs w:val="24"/>
                <w:lang w:eastAsia="zh-CN"/>
              </w:rPr>
              <w:t>.</w:t>
            </w:r>
          </w:p>
        </w:tc>
      </w:tr>
      <w:tr w:rsidR="00265BA6" w:rsidRPr="00944B15" w14:paraId="2B7F3905" w14:textId="77777777" w:rsidTr="002D6DD7">
        <w:tc>
          <w:tcPr>
            <w:tcW w:w="2605" w:type="dxa"/>
          </w:tcPr>
          <w:p w14:paraId="3A1C4503"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69904F51"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Slow IV injection</w:t>
            </w:r>
            <w:r>
              <w:rPr>
                <w:rFonts w:eastAsia="SimSun" w:cs="Times New Roman"/>
                <w:b/>
                <w:szCs w:val="24"/>
                <w:lang w:eastAsia="zh-CN"/>
              </w:rPr>
              <w:t xml:space="preserve"> </w:t>
            </w:r>
            <w:r w:rsidRPr="00944B15">
              <w:rPr>
                <w:rFonts w:eastAsia="SimSun" w:cs="Times New Roman"/>
                <w:b/>
                <w:szCs w:val="24"/>
                <w:lang w:eastAsia="zh-CN"/>
              </w:rPr>
              <w:t>(Over 2min)</w:t>
            </w:r>
            <w:r>
              <w:rPr>
                <w:rFonts w:eastAsia="SimSun" w:cs="Times New Roman"/>
                <w:b/>
                <w:szCs w:val="24"/>
                <w:lang w:eastAsia="zh-CN"/>
              </w:rPr>
              <w:t>:</w:t>
            </w:r>
          </w:p>
          <w:p w14:paraId="603FBE5A"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 xml:space="preserve">Adult- </w:t>
            </w:r>
            <w:r w:rsidRPr="00944B15">
              <w:rPr>
                <w:rFonts w:eastAsia="SimSun" w:cs="Times New Roman"/>
                <w:szCs w:val="24"/>
                <w:lang w:eastAsia="zh-CN"/>
              </w:rPr>
              <w:t>initial</w:t>
            </w:r>
            <w:r w:rsidRPr="00944B15">
              <w:rPr>
                <w:rFonts w:eastAsia="SimSun" w:cs="Times New Roman"/>
                <w:b/>
                <w:szCs w:val="24"/>
                <w:lang w:eastAsia="zh-CN"/>
              </w:rPr>
              <w:t>:</w:t>
            </w:r>
            <w:r w:rsidRPr="00944B15">
              <w:rPr>
                <w:rFonts w:eastAsia="SimSun" w:cs="Times New Roman"/>
                <w:szCs w:val="24"/>
                <w:lang w:eastAsia="zh-CN"/>
              </w:rPr>
              <w:t xml:space="preserve"> 2 to 2.5 mg</w:t>
            </w:r>
            <w:r>
              <w:rPr>
                <w:rFonts w:eastAsia="SimSun" w:cs="Times New Roman"/>
                <w:szCs w:val="24"/>
                <w:lang w:eastAsia="zh-CN"/>
              </w:rPr>
              <w:t>;</w:t>
            </w:r>
            <w:r w:rsidRPr="00944B15">
              <w:rPr>
                <w:rFonts w:eastAsia="SimSun" w:cs="Times New Roman"/>
                <w:szCs w:val="24"/>
                <w:lang w:eastAsia="zh-CN"/>
              </w:rPr>
              <w:t xml:space="preserve"> Usual total dose 3.5 to 5mg (Max. 7.5 mg).</w:t>
            </w:r>
          </w:p>
          <w:p w14:paraId="08765A11"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Maintenance: 25% of initial effective dose PRN by slow titration; reduce 30% if pre-medicated with opiate (50% in elderly/chronically ill)</w:t>
            </w:r>
          </w:p>
          <w:p w14:paraId="3F69E9B6"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 xml:space="preserve">Elderly- </w:t>
            </w:r>
            <w:r w:rsidRPr="00944B15">
              <w:rPr>
                <w:rFonts w:eastAsia="SimSun" w:cs="Times New Roman"/>
                <w:szCs w:val="24"/>
                <w:lang w:eastAsia="zh-CN"/>
              </w:rPr>
              <w:t>0.5 to 1.0 mg</w:t>
            </w:r>
            <w:r>
              <w:rPr>
                <w:rFonts w:eastAsia="SimSun" w:cs="Times New Roman"/>
                <w:szCs w:val="24"/>
                <w:lang w:eastAsia="zh-CN"/>
              </w:rPr>
              <w:t>;</w:t>
            </w:r>
            <w:r w:rsidRPr="00944B15">
              <w:rPr>
                <w:rFonts w:eastAsia="SimSun" w:cs="Times New Roman"/>
                <w:szCs w:val="24"/>
                <w:lang w:eastAsia="zh-CN"/>
              </w:rPr>
              <w:t xml:space="preserve"> </w:t>
            </w:r>
            <w:r>
              <w:rPr>
                <w:rFonts w:eastAsia="SimSun" w:cs="Times New Roman"/>
                <w:szCs w:val="24"/>
                <w:lang w:eastAsia="zh-CN"/>
              </w:rPr>
              <w:t>i</w:t>
            </w:r>
            <w:r w:rsidRPr="00944B15">
              <w:rPr>
                <w:rFonts w:eastAsia="SimSun" w:cs="Times New Roman"/>
                <w:szCs w:val="24"/>
                <w:lang w:eastAsia="zh-CN"/>
              </w:rPr>
              <w:t>ncrease, if necessary, in steps of 1 mg</w:t>
            </w:r>
            <w:r>
              <w:rPr>
                <w:rFonts w:eastAsia="SimSun" w:cs="Times New Roman"/>
                <w:szCs w:val="24"/>
                <w:lang w:eastAsia="zh-CN"/>
              </w:rPr>
              <w:t xml:space="preserve"> not to exceed 2.5mg</w:t>
            </w:r>
            <w:r w:rsidRPr="00944B15">
              <w:rPr>
                <w:rFonts w:eastAsia="SimSun" w:cs="Times New Roman"/>
                <w:szCs w:val="24"/>
                <w:lang w:eastAsia="zh-CN"/>
              </w:rPr>
              <w:t>.</w:t>
            </w:r>
          </w:p>
          <w:p w14:paraId="5D37B30C"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IV injection (Over 2 to 3 min)</w:t>
            </w:r>
            <w:r>
              <w:rPr>
                <w:rFonts w:eastAsia="SimSun" w:cs="Times New Roman"/>
                <w:b/>
                <w:szCs w:val="24"/>
                <w:lang w:eastAsia="zh-CN"/>
              </w:rPr>
              <w:t>:</w:t>
            </w:r>
          </w:p>
          <w:p w14:paraId="3CDCBB96" w14:textId="77777777" w:rsidR="00265BA6" w:rsidRDefault="00265BA6" w:rsidP="002D6DD7">
            <w:pPr>
              <w:jc w:val="both"/>
              <w:rPr>
                <w:rFonts w:eastAsia="SimSun" w:cs="Times New Roman"/>
                <w:szCs w:val="24"/>
                <w:lang w:eastAsia="zh-CN"/>
              </w:rPr>
            </w:pPr>
            <w:r w:rsidRPr="00944B15">
              <w:rPr>
                <w:rFonts w:eastAsia="SimSun" w:cs="Times New Roman"/>
                <w:b/>
                <w:szCs w:val="24"/>
                <w:lang w:eastAsia="zh-CN"/>
              </w:rPr>
              <w:t>Child- 6 months to 7 years</w:t>
            </w:r>
            <w:r w:rsidRPr="00944B15">
              <w:rPr>
                <w:rFonts w:eastAsia="SimSun" w:cs="Times New Roman"/>
                <w:szCs w:val="24"/>
                <w:lang w:eastAsia="zh-CN"/>
              </w:rPr>
              <w:t xml:space="preserve">: initially 50 to 100 µg/kg; increase, if necessary, in steps (max. total dose 6 mg). </w:t>
            </w:r>
          </w:p>
          <w:p w14:paraId="7B15365E" w14:textId="77777777" w:rsidR="00265BA6" w:rsidRPr="00944B15" w:rsidRDefault="00265BA6" w:rsidP="002D6DD7">
            <w:pPr>
              <w:jc w:val="both"/>
              <w:rPr>
                <w:rFonts w:eastAsia="SimSun" w:cs="Times New Roman"/>
                <w:szCs w:val="24"/>
                <w:lang w:eastAsia="zh-CN"/>
              </w:rPr>
            </w:pPr>
            <w:r w:rsidRPr="00D76338">
              <w:rPr>
                <w:rFonts w:eastAsia="SimSun" w:cs="Times New Roman"/>
                <w:b/>
                <w:szCs w:val="24"/>
                <w:lang w:eastAsia="zh-CN"/>
              </w:rPr>
              <w:t>6 to 12 years:</w:t>
            </w:r>
            <w:r w:rsidRPr="00944B15">
              <w:rPr>
                <w:rFonts w:eastAsia="SimSun" w:cs="Times New Roman"/>
                <w:szCs w:val="24"/>
                <w:lang w:eastAsia="zh-CN"/>
              </w:rPr>
              <w:t xml:space="preserve"> initially 25 to 50 µg/kg increase in steps if necessary (max. total dose 10 mg).</w:t>
            </w:r>
          </w:p>
          <w:p w14:paraId="77D39BEC" w14:textId="77777777" w:rsidR="00265BA6" w:rsidRPr="00944B15" w:rsidRDefault="00265BA6" w:rsidP="002D6DD7">
            <w:pPr>
              <w:jc w:val="both"/>
              <w:rPr>
                <w:rFonts w:eastAsia="SimSun" w:cs="Times New Roman"/>
                <w:b/>
                <w:szCs w:val="24"/>
                <w:lang w:eastAsia="zh-CN"/>
              </w:rPr>
            </w:pPr>
            <w:r w:rsidRPr="00944B15">
              <w:rPr>
                <w:rFonts w:eastAsia="SimSun" w:cs="Times New Roman"/>
                <w:b/>
                <w:szCs w:val="24"/>
                <w:lang w:eastAsia="zh-CN"/>
              </w:rPr>
              <w:t>Intramuscular injection</w:t>
            </w:r>
            <w:r>
              <w:rPr>
                <w:rFonts w:eastAsia="SimSun" w:cs="Times New Roman"/>
                <w:b/>
                <w:szCs w:val="24"/>
                <w:lang w:eastAsia="zh-CN"/>
              </w:rPr>
              <w:t>:</w:t>
            </w:r>
          </w:p>
          <w:p w14:paraId="0C119C9B"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Adult-</w:t>
            </w:r>
            <w:r w:rsidRPr="00944B15">
              <w:rPr>
                <w:rFonts w:eastAsia="SimSun" w:cs="Times New Roman"/>
                <w:szCs w:val="24"/>
                <w:lang w:eastAsia="zh-CN"/>
              </w:rPr>
              <w:t xml:space="preserve"> Sedation in combined </w:t>
            </w:r>
            <w:r>
              <w:rPr>
                <w:rFonts w:eastAsia="SimSun" w:cs="Times New Roman"/>
                <w:szCs w:val="24"/>
                <w:lang w:eastAsia="zh-CN"/>
              </w:rPr>
              <w:t>anesthesia</w:t>
            </w:r>
            <w:r w:rsidRPr="00944B15">
              <w:rPr>
                <w:rFonts w:eastAsia="SimSun" w:cs="Times New Roman"/>
                <w:szCs w:val="24"/>
                <w:lang w:eastAsia="zh-CN"/>
              </w:rPr>
              <w:t>: 30 to 100 µg/kg repeated as required by continuous IV infusion 30 to 100 µg/ kg/h (lower doses in elderly). Premedication: 70 to 100 µg/kg. 1 to 15 years: 50 to 150 µg/kg (max.1 mg).</w:t>
            </w:r>
          </w:p>
          <w:p w14:paraId="1AB1A121" w14:textId="77777777" w:rsidR="00265BA6" w:rsidRPr="00944B15" w:rsidRDefault="00265BA6" w:rsidP="002D6DD7">
            <w:pPr>
              <w:jc w:val="both"/>
              <w:rPr>
                <w:rFonts w:eastAsia="SimSun" w:cs="Times New Roman"/>
                <w:szCs w:val="24"/>
                <w:lang w:eastAsia="zh-CN"/>
              </w:rPr>
            </w:pPr>
            <w:r w:rsidRPr="00944B15">
              <w:rPr>
                <w:rFonts w:eastAsia="SimSun" w:cs="Times New Roman"/>
                <w:b/>
                <w:szCs w:val="24"/>
                <w:lang w:eastAsia="zh-CN"/>
              </w:rPr>
              <w:t>Elderly and debilitated</w:t>
            </w:r>
            <w:r w:rsidRPr="00944B15">
              <w:rPr>
                <w:rFonts w:eastAsia="SimSun" w:cs="Times New Roman"/>
                <w:szCs w:val="24"/>
                <w:lang w:eastAsia="zh-CN"/>
              </w:rPr>
              <w:t>- 25 to 50 µg/kg. (20 to 60 min induction).</w:t>
            </w:r>
          </w:p>
        </w:tc>
      </w:tr>
      <w:tr w:rsidR="00265BA6" w:rsidRPr="00944B15" w14:paraId="5F652CF5" w14:textId="77777777" w:rsidTr="002D6DD7">
        <w:tc>
          <w:tcPr>
            <w:tcW w:w="2605" w:type="dxa"/>
          </w:tcPr>
          <w:p w14:paraId="4ABB39FA"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0BABF867" w14:textId="77777777" w:rsidR="00265BA6" w:rsidRPr="00944B15" w:rsidRDefault="00265BA6" w:rsidP="002D6DD7">
            <w:pPr>
              <w:jc w:val="both"/>
              <w:rPr>
                <w:rFonts w:cs="Times New Roman"/>
                <w:szCs w:val="24"/>
              </w:rPr>
            </w:pPr>
            <w:r w:rsidRPr="00944B15">
              <w:rPr>
                <w:rFonts w:cs="Times New Roman"/>
                <w:szCs w:val="24"/>
              </w:rPr>
              <w:t>Acute or severe pulmonary insufficiency, severe liver disease, acute narrow angle glaucoma, comatose patients, shock</w:t>
            </w:r>
            <w:r>
              <w:rPr>
                <w:rFonts w:cs="Times New Roman"/>
                <w:szCs w:val="24"/>
              </w:rPr>
              <w:t>,</w:t>
            </w:r>
            <w:r w:rsidRPr="00944B15">
              <w:rPr>
                <w:rFonts w:cs="Times New Roman"/>
                <w:szCs w:val="24"/>
              </w:rPr>
              <w:t xml:space="preserve"> acute alcohol </w:t>
            </w:r>
            <w:r w:rsidRPr="00944B15">
              <w:rPr>
                <w:rFonts w:cs="Times New Roman"/>
                <w:szCs w:val="24"/>
              </w:rPr>
              <w:lastRenderedPageBreak/>
              <w:t>intoxication.</w:t>
            </w:r>
          </w:p>
        </w:tc>
      </w:tr>
      <w:tr w:rsidR="00265BA6" w:rsidRPr="00944B15" w14:paraId="2A77045C" w14:textId="77777777" w:rsidTr="002D6DD7">
        <w:tc>
          <w:tcPr>
            <w:tcW w:w="2605" w:type="dxa"/>
          </w:tcPr>
          <w:p w14:paraId="477A8CEB" w14:textId="77777777" w:rsidR="00265BA6" w:rsidRPr="00944B15" w:rsidRDefault="00265BA6" w:rsidP="002D6DD7">
            <w:pPr>
              <w:jc w:val="both"/>
              <w:rPr>
                <w:rFonts w:cs="Times New Roman"/>
                <w:szCs w:val="24"/>
              </w:rPr>
            </w:pPr>
            <w:r w:rsidRPr="00944B15">
              <w:rPr>
                <w:rFonts w:cs="Times New Roman"/>
                <w:szCs w:val="24"/>
              </w:rPr>
              <w:lastRenderedPageBreak/>
              <w:t>Drug interactions</w:t>
            </w:r>
          </w:p>
        </w:tc>
        <w:tc>
          <w:tcPr>
            <w:tcW w:w="6745" w:type="dxa"/>
          </w:tcPr>
          <w:p w14:paraId="437CEC03" w14:textId="77777777" w:rsidR="00265BA6" w:rsidRPr="00944B15" w:rsidRDefault="00265BA6" w:rsidP="002D6DD7">
            <w:pPr>
              <w:jc w:val="both"/>
              <w:rPr>
                <w:rFonts w:cs="Times New Roman"/>
                <w:szCs w:val="24"/>
              </w:rPr>
            </w:pPr>
            <w:r w:rsidRPr="00944B15">
              <w:rPr>
                <w:rFonts w:cs="Times New Roman"/>
                <w:szCs w:val="24"/>
              </w:rPr>
              <w:t>Azole antifungals, macrolide antibiotics, propofol, protease inhibitors, atorvastatin, opioids, CNS depressants</w:t>
            </w:r>
            <w:r>
              <w:rPr>
                <w:rFonts w:cs="Times New Roman"/>
                <w:szCs w:val="24"/>
              </w:rPr>
              <w:t>,</w:t>
            </w:r>
            <w:r w:rsidRPr="00944B15">
              <w:rPr>
                <w:rFonts w:cs="Times New Roman"/>
                <w:szCs w:val="24"/>
              </w:rPr>
              <w:t xml:space="preserve"> psychoactive medications.</w:t>
            </w:r>
          </w:p>
        </w:tc>
      </w:tr>
      <w:tr w:rsidR="00265BA6" w:rsidRPr="00944B15" w14:paraId="64753BE1" w14:textId="77777777" w:rsidTr="002D6DD7">
        <w:tc>
          <w:tcPr>
            <w:tcW w:w="2605" w:type="dxa"/>
          </w:tcPr>
          <w:p w14:paraId="32EF0C06"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17AD0A6A" w14:textId="77777777" w:rsidR="00265BA6" w:rsidRPr="00944B15" w:rsidRDefault="00265BA6" w:rsidP="002D6DD7">
            <w:pPr>
              <w:jc w:val="both"/>
              <w:rPr>
                <w:rFonts w:cs="Times New Roman"/>
                <w:szCs w:val="24"/>
              </w:rPr>
            </w:pPr>
            <w:r w:rsidRPr="00944B15">
              <w:rPr>
                <w:rFonts w:eastAsia="SimSun" w:cs="Times New Roman"/>
                <w:szCs w:val="24"/>
                <w:lang w:eastAsia="zh-CN"/>
              </w:rPr>
              <w:t>Drowsiness and light headedness in the next day;</w:t>
            </w:r>
            <w:r w:rsidRPr="00944B15">
              <w:rPr>
                <w:rFonts w:cs="Times New Roman"/>
                <w:szCs w:val="24"/>
              </w:rPr>
              <w:t xml:space="preserve"> </w:t>
            </w:r>
            <w:r w:rsidRPr="00944B15">
              <w:rPr>
                <w:rFonts w:eastAsia="SimSun" w:cs="Times New Roman"/>
                <w:szCs w:val="24"/>
                <w:lang w:eastAsia="zh-CN"/>
              </w:rPr>
              <w:t>confusion and ata</w:t>
            </w:r>
            <w:r>
              <w:rPr>
                <w:rFonts w:eastAsia="SimSun" w:cs="Times New Roman"/>
                <w:szCs w:val="24"/>
                <w:lang w:eastAsia="zh-CN"/>
              </w:rPr>
              <w:t>xia (especially in the elderly),</w:t>
            </w:r>
            <w:r w:rsidRPr="00944B15">
              <w:rPr>
                <w:rFonts w:eastAsia="SimSun" w:cs="Times New Roman"/>
                <w:szCs w:val="24"/>
                <w:lang w:eastAsia="zh-CN"/>
              </w:rPr>
              <w:t xml:space="preserve"> amnesia, </w:t>
            </w:r>
            <w:r w:rsidRPr="00944B15">
              <w:rPr>
                <w:rFonts w:cs="Times New Roman"/>
                <w:szCs w:val="24"/>
              </w:rPr>
              <w:t>hypotension, hiccup, cough, apnoea or respiratory depression (particularly with IV administration), erythema, rash, confusion, arrhythmias, cardiorespiratory arrest and anaphylactic reactions.</w:t>
            </w:r>
          </w:p>
        </w:tc>
      </w:tr>
      <w:tr w:rsidR="00265BA6" w:rsidRPr="00944B15" w14:paraId="00687E12" w14:textId="77777777" w:rsidTr="002D6DD7">
        <w:tc>
          <w:tcPr>
            <w:tcW w:w="2605" w:type="dxa"/>
          </w:tcPr>
          <w:p w14:paraId="0087097F"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5784100C"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Respiratory disorders, chronic renal failure, cardiac disease, open angle glaucoma, neonates</w:t>
            </w:r>
            <w:r>
              <w:rPr>
                <w:rFonts w:eastAsia="SimSun" w:cs="Times New Roman"/>
                <w:szCs w:val="24"/>
                <w:lang w:eastAsia="zh-CN"/>
              </w:rPr>
              <w:t>, hepatic impairment; pregnancy, breastfeeding</w:t>
            </w:r>
            <w:r w:rsidRPr="00944B15">
              <w:rPr>
                <w:rFonts w:eastAsia="SimSun" w:cs="Times New Roman"/>
                <w:szCs w:val="24"/>
                <w:lang w:eastAsia="zh-CN"/>
              </w:rPr>
              <w:t xml:space="preserve"> and elderly.</w:t>
            </w:r>
          </w:p>
        </w:tc>
      </w:tr>
      <w:tr w:rsidR="00265BA6" w:rsidRPr="00944B15" w14:paraId="06FA9F8C" w14:textId="77777777" w:rsidTr="002D6DD7">
        <w:tc>
          <w:tcPr>
            <w:tcW w:w="2605" w:type="dxa"/>
          </w:tcPr>
          <w:p w14:paraId="43B93216"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32C33CA7" w14:textId="77777777" w:rsidR="00265BA6" w:rsidRPr="00944B15" w:rsidRDefault="00265BA6" w:rsidP="002D6DD7">
            <w:pPr>
              <w:jc w:val="both"/>
              <w:rPr>
                <w:rFonts w:cs="Times New Roman"/>
                <w:szCs w:val="24"/>
              </w:rPr>
            </w:pPr>
            <w:r>
              <w:rPr>
                <w:rFonts w:cs="Times New Roman"/>
                <w:szCs w:val="24"/>
              </w:rPr>
              <w:t>Store below 30°</w:t>
            </w:r>
            <w:r w:rsidRPr="00944B15">
              <w:rPr>
                <w:rFonts w:cs="Times New Roman"/>
                <w:szCs w:val="24"/>
              </w:rPr>
              <w:t>C</w:t>
            </w:r>
            <w:r>
              <w:rPr>
                <w:rFonts w:cs="Times New Roman"/>
                <w:szCs w:val="24"/>
              </w:rPr>
              <w:t>.</w:t>
            </w:r>
            <w:r w:rsidRPr="00944B15">
              <w:rPr>
                <w:rFonts w:cs="Times New Roman"/>
                <w:szCs w:val="24"/>
              </w:rPr>
              <w:t xml:space="preserve"> </w:t>
            </w:r>
            <w:r>
              <w:rPr>
                <w:rFonts w:cs="Times New Roman"/>
                <w:szCs w:val="24"/>
              </w:rPr>
              <w:t>P</w:t>
            </w:r>
            <w:r w:rsidRPr="00944B15">
              <w:rPr>
                <w:rFonts w:cs="Times New Roman"/>
                <w:szCs w:val="24"/>
              </w:rPr>
              <w:t>rotect from light.</w:t>
            </w:r>
          </w:p>
        </w:tc>
      </w:tr>
    </w:tbl>
    <w:tbl>
      <w:tblPr>
        <w:tblStyle w:val="TableGrid"/>
        <w:tblW w:w="0" w:type="auto"/>
        <w:tblLook w:val="04A0" w:firstRow="1" w:lastRow="0" w:firstColumn="1" w:lastColumn="0" w:noHBand="0" w:noVBand="1"/>
      </w:tblPr>
      <w:tblGrid>
        <w:gridCol w:w="2605"/>
        <w:gridCol w:w="6745"/>
      </w:tblGrid>
      <w:tr w:rsidR="00265BA6" w:rsidRPr="00944B15" w14:paraId="1B6A69DD" w14:textId="77777777" w:rsidTr="002D6DD7">
        <w:tc>
          <w:tcPr>
            <w:tcW w:w="9350" w:type="dxa"/>
            <w:gridSpan w:val="2"/>
          </w:tcPr>
          <w:p w14:paraId="57C77F45" w14:textId="77777777" w:rsidR="00265BA6" w:rsidRPr="00944B15" w:rsidRDefault="00265BA6" w:rsidP="002D6DD7">
            <w:pPr>
              <w:jc w:val="both"/>
              <w:rPr>
                <w:rFonts w:cs="Times New Roman"/>
                <w:b/>
                <w:szCs w:val="24"/>
              </w:rPr>
            </w:pPr>
            <w:r w:rsidRPr="00944B15">
              <w:rPr>
                <w:rFonts w:cs="Times New Roman"/>
                <w:b/>
                <w:szCs w:val="24"/>
              </w:rPr>
              <w:t>Morphine</w:t>
            </w:r>
          </w:p>
        </w:tc>
      </w:tr>
      <w:tr w:rsidR="00265BA6" w:rsidRPr="00944B15" w14:paraId="3F5DEA8B" w14:textId="77777777" w:rsidTr="002D6DD7">
        <w:tc>
          <w:tcPr>
            <w:tcW w:w="2605" w:type="dxa"/>
          </w:tcPr>
          <w:p w14:paraId="5C6BF70F"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34F1E7FF" w14:textId="77777777" w:rsidR="00265BA6" w:rsidRPr="00944B15" w:rsidRDefault="00265BA6" w:rsidP="002D6DD7">
            <w:pPr>
              <w:jc w:val="both"/>
              <w:rPr>
                <w:rFonts w:cs="Times New Roman"/>
                <w:szCs w:val="24"/>
              </w:rPr>
            </w:pPr>
            <w:r>
              <w:rPr>
                <w:rFonts w:cs="Times New Roman"/>
                <w:szCs w:val="24"/>
              </w:rPr>
              <w:t>Opioid a</w:t>
            </w:r>
            <w:r w:rsidRPr="00944B15">
              <w:rPr>
                <w:rFonts w:cs="Times New Roman"/>
                <w:szCs w:val="24"/>
              </w:rPr>
              <w:t>nalgesic</w:t>
            </w:r>
          </w:p>
        </w:tc>
      </w:tr>
      <w:tr w:rsidR="00265BA6" w:rsidRPr="00944B15" w14:paraId="13A9A729" w14:textId="77777777" w:rsidTr="002D6DD7">
        <w:tc>
          <w:tcPr>
            <w:tcW w:w="2605" w:type="dxa"/>
          </w:tcPr>
          <w:p w14:paraId="10FBA639"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21249660" w14:textId="77777777" w:rsidR="00265BA6" w:rsidRPr="00944B15" w:rsidRDefault="00265BA6" w:rsidP="002D6DD7">
            <w:pPr>
              <w:jc w:val="both"/>
              <w:rPr>
                <w:rFonts w:cs="Times New Roman"/>
                <w:szCs w:val="24"/>
              </w:rPr>
            </w:pPr>
            <w:r w:rsidRPr="00944B15">
              <w:rPr>
                <w:rFonts w:cs="Times New Roman"/>
                <w:szCs w:val="24"/>
              </w:rPr>
              <w:t xml:space="preserve">Injection: 10 mg (sulfate or hydrochloride) in 1 </w:t>
            </w:r>
            <w:r>
              <w:rPr>
                <w:rFonts w:cs="Times New Roman"/>
                <w:szCs w:val="24"/>
              </w:rPr>
              <w:t>ml</w:t>
            </w:r>
            <w:r w:rsidRPr="00944B15">
              <w:rPr>
                <w:rFonts w:cs="Times New Roman"/>
                <w:szCs w:val="24"/>
              </w:rPr>
              <w:t xml:space="preserve"> ampoule</w:t>
            </w:r>
          </w:p>
        </w:tc>
      </w:tr>
      <w:tr w:rsidR="00265BA6" w:rsidRPr="00944B15" w14:paraId="6E641440" w14:textId="77777777" w:rsidTr="002D6DD7">
        <w:tc>
          <w:tcPr>
            <w:tcW w:w="2605" w:type="dxa"/>
          </w:tcPr>
          <w:p w14:paraId="6E7E91E7"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08B04C19" w14:textId="77777777" w:rsidR="00265BA6" w:rsidRPr="00944B15" w:rsidRDefault="00265BA6" w:rsidP="002D6DD7">
            <w:pPr>
              <w:jc w:val="both"/>
              <w:rPr>
                <w:rFonts w:cs="Times New Roman"/>
                <w:szCs w:val="24"/>
              </w:rPr>
            </w:pPr>
            <w:r w:rsidRPr="00944B15">
              <w:rPr>
                <w:rFonts w:eastAsia="SimSun" w:cs="Times New Roman"/>
                <w:szCs w:val="24"/>
                <w:lang w:eastAsia="zh-CN"/>
              </w:rPr>
              <w:t xml:space="preserve">Preoperative </w:t>
            </w:r>
            <w:r>
              <w:rPr>
                <w:rFonts w:eastAsia="SimSun" w:cs="Times New Roman"/>
                <w:szCs w:val="24"/>
                <w:lang w:eastAsia="zh-CN"/>
              </w:rPr>
              <w:t xml:space="preserve">medication </w:t>
            </w:r>
            <w:r w:rsidRPr="00944B15">
              <w:rPr>
                <w:rFonts w:eastAsia="SimSun" w:cs="Times New Roman"/>
                <w:szCs w:val="24"/>
                <w:lang w:eastAsia="zh-CN"/>
              </w:rPr>
              <w:t xml:space="preserve">as analgesic </w:t>
            </w:r>
          </w:p>
        </w:tc>
      </w:tr>
      <w:tr w:rsidR="00265BA6" w:rsidRPr="00944B15" w14:paraId="1B63667B" w14:textId="77777777" w:rsidTr="002D6DD7">
        <w:tc>
          <w:tcPr>
            <w:tcW w:w="2605" w:type="dxa"/>
          </w:tcPr>
          <w:p w14:paraId="1069CBCC"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45BBFDFE" w14:textId="77777777" w:rsidR="00265BA6" w:rsidRPr="00944B15" w:rsidRDefault="00265BA6" w:rsidP="002D6DD7">
            <w:pPr>
              <w:jc w:val="both"/>
              <w:rPr>
                <w:rFonts w:cs="Times New Roman"/>
                <w:b/>
                <w:szCs w:val="24"/>
              </w:rPr>
            </w:pPr>
            <w:r w:rsidRPr="00944B15">
              <w:rPr>
                <w:rFonts w:cs="Times New Roman"/>
                <w:b/>
                <w:szCs w:val="24"/>
              </w:rPr>
              <w:t>Adult</w:t>
            </w:r>
            <w:r>
              <w:rPr>
                <w:rFonts w:cs="Times New Roman"/>
                <w:b/>
                <w:szCs w:val="24"/>
              </w:rPr>
              <w:t>:</w:t>
            </w:r>
          </w:p>
          <w:p w14:paraId="580BCB8B" w14:textId="77777777" w:rsidR="00265BA6" w:rsidRPr="00944B15" w:rsidRDefault="00265BA6" w:rsidP="002D6DD7">
            <w:pPr>
              <w:jc w:val="both"/>
              <w:rPr>
                <w:rFonts w:cs="Times New Roman"/>
                <w:szCs w:val="24"/>
              </w:rPr>
            </w:pPr>
            <w:r w:rsidRPr="00944B15">
              <w:rPr>
                <w:rFonts w:cs="Times New Roman"/>
                <w:szCs w:val="24"/>
              </w:rPr>
              <w:t xml:space="preserve">IV: </w:t>
            </w:r>
            <w:r>
              <w:rPr>
                <w:rFonts w:cs="Times New Roman"/>
                <w:szCs w:val="24"/>
              </w:rPr>
              <w:t>2.5</w:t>
            </w:r>
            <w:r w:rsidRPr="00944B15">
              <w:rPr>
                <w:rFonts w:cs="Times New Roman"/>
                <w:szCs w:val="24"/>
              </w:rPr>
              <w:t xml:space="preserve"> -10 mg (maximum 1</w:t>
            </w:r>
            <w:r>
              <w:rPr>
                <w:rFonts w:cs="Times New Roman"/>
                <w:szCs w:val="24"/>
              </w:rPr>
              <w:t>0</w:t>
            </w:r>
            <w:r w:rsidRPr="00944B15">
              <w:rPr>
                <w:rFonts w:cs="Times New Roman"/>
                <w:szCs w:val="24"/>
              </w:rPr>
              <w:t xml:space="preserve"> mg) of morphine sulphate given by IV infusion over 4 or 5 minutes to be administered 5 minutes before operation</w:t>
            </w:r>
          </w:p>
          <w:p w14:paraId="578C7E45" w14:textId="77777777" w:rsidR="00265BA6" w:rsidRPr="00944B15" w:rsidRDefault="00265BA6" w:rsidP="002D6DD7">
            <w:pPr>
              <w:jc w:val="both"/>
              <w:rPr>
                <w:rFonts w:cs="Times New Roman"/>
                <w:szCs w:val="24"/>
              </w:rPr>
            </w:pPr>
            <w:r w:rsidRPr="00944B15">
              <w:rPr>
                <w:rFonts w:cs="Times New Roman"/>
                <w:szCs w:val="24"/>
              </w:rPr>
              <w:t xml:space="preserve">SC/IM: </w:t>
            </w:r>
            <w:r>
              <w:rPr>
                <w:rFonts w:cs="Times New Roman"/>
                <w:szCs w:val="24"/>
              </w:rPr>
              <w:t>5- 20</w:t>
            </w:r>
            <w:r w:rsidRPr="00944B15">
              <w:rPr>
                <w:rFonts w:cs="Times New Roman"/>
                <w:szCs w:val="24"/>
              </w:rPr>
              <w:t xml:space="preserve"> mg, dose to be administered 60–90 minutes before operation</w:t>
            </w:r>
            <w:r>
              <w:rPr>
                <w:rFonts w:cs="Times New Roman"/>
                <w:szCs w:val="24"/>
              </w:rPr>
              <w:t xml:space="preserve"> </w:t>
            </w:r>
            <w:r w:rsidRPr="009A5BDD">
              <w:rPr>
                <w:rFonts w:cs="Times New Roman"/>
                <w:szCs w:val="24"/>
              </w:rPr>
              <w:t>(maximum 10 mg)</w:t>
            </w:r>
            <w:r>
              <w:rPr>
                <w:rFonts w:cs="Times New Roman"/>
                <w:szCs w:val="24"/>
              </w:rPr>
              <w:t>.</w:t>
            </w:r>
          </w:p>
          <w:p w14:paraId="43D4F0B0" w14:textId="77777777" w:rsidR="00265BA6" w:rsidRPr="00944B15" w:rsidRDefault="00265BA6" w:rsidP="002D6DD7">
            <w:pPr>
              <w:jc w:val="both"/>
              <w:rPr>
                <w:rFonts w:cs="Times New Roman"/>
                <w:b/>
                <w:szCs w:val="24"/>
              </w:rPr>
            </w:pPr>
            <w:r>
              <w:rPr>
                <w:rFonts w:cs="Times New Roman"/>
                <w:b/>
                <w:szCs w:val="24"/>
              </w:rPr>
              <w:t>Pediatric:</w:t>
            </w:r>
          </w:p>
          <w:p w14:paraId="5B225EB0" w14:textId="77777777" w:rsidR="00265BA6" w:rsidRPr="00944B15" w:rsidRDefault="00265BA6" w:rsidP="002D6DD7">
            <w:pPr>
              <w:jc w:val="both"/>
              <w:rPr>
                <w:rFonts w:cs="Times New Roman"/>
                <w:szCs w:val="24"/>
              </w:rPr>
            </w:pPr>
            <w:r w:rsidRPr="00D76338">
              <w:rPr>
                <w:rFonts w:cs="Times New Roman"/>
                <w:b/>
                <w:szCs w:val="24"/>
              </w:rPr>
              <w:t>Infant or child: IV:</w:t>
            </w:r>
            <w:r w:rsidRPr="00944B15">
              <w:rPr>
                <w:rFonts w:cs="Times New Roman"/>
                <w:szCs w:val="24"/>
              </w:rPr>
              <w:t xml:space="preserve"> 0.05–0.1 mg/kg 5 minutes before the procedure; maximum dose 1</w:t>
            </w:r>
            <w:r>
              <w:rPr>
                <w:rFonts w:cs="Times New Roman"/>
                <w:szCs w:val="24"/>
              </w:rPr>
              <w:t>0</w:t>
            </w:r>
            <w:r w:rsidRPr="00944B15">
              <w:rPr>
                <w:rFonts w:cs="Times New Roman"/>
                <w:szCs w:val="24"/>
              </w:rPr>
              <w:t xml:space="preserve"> mg</w:t>
            </w:r>
          </w:p>
          <w:p w14:paraId="50975C1B" w14:textId="77777777" w:rsidR="00265BA6" w:rsidRPr="00944B15" w:rsidRDefault="00265BA6" w:rsidP="002D6DD7">
            <w:pPr>
              <w:jc w:val="both"/>
              <w:rPr>
                <w:rFonts w:cs="Times New Roman"/>
                <w:szCs w:val="24"/>
              </w:rPr>
            </w:pPr>
            <w:r w:rsidRPr="00D76338">
              <w:rPr>
                <w:rFonts w:cs="Times New Roman"/>
                <w:b/>
                <w:szCs w:val="24"/>
              </w:rPr>
              <w:t>Infant or child: IM:</w:t>
            </w:r>
            <w:r w:rsidRPr="00944B15">
              <w:rPr>
                <w:rFonts w:cs="Times New Roman"/>
                <w:szCs w:val="24"/>
              </w:rPr>
              <w:t xml:space="preserve"> 0.1 mg/kg 20 minutes before the procedure; maximum dose 15 mg</w:t>
            </w:r>
          </w:p>
          <w:p w14:paraId="59B54D4D" w14:textId="77777777" w:rsidR="00265BA6" w:rsidRPr="00EF56B3" w:rsidRDefault="00265BA6" w:rsidP="002D6DD7">
            <w:pPr>
              <w:jc w:val="both"/>
              <w:rPr>
                <w:rFonts w:cs="Times New Roman"/>
                <w:i/>
                <w:szCs w:val="24"/>
              </w:rPr>
            </w:pPr>
            <w:r w:rsidRPr="00EF56B3">
              <w:rPr>
                <w:rFonts w:cs="Times New Roman"/>
                <w:i/>
                <w:szCs w:val="24"/>
              </w:rPr>
              <w:t>Note: Only use IM route for premedication if patient has no IV access and adequate respiratory monitoring is available.</w:t>
            </w:r>
          </w:p>
        </w:tc>
      </w:tr>
      <w:tr w:rsidR="00265BA6" w:rsidRPr="00944B15" w14:paraId="6884F5D1" w14:textId="77777777" w:rsidTr="002D6DD7">
        <w:tc>
          <w:tcPr>
            <w:tcW w:w="2605" w:type="dxa"/>
          </w:tcPr>
          <w:p w14:paraId="4F5F388D"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13095816" w14:textId="77777777" w:rsidR="00265BA6" w:rsidRPr="00944B15" w:rsidRDefault="00265BA6" w:rsidP="002D6DD7">
            <w:pPr>
              <w:jc w:val="both"/>
              <w:rPr>
                <w:rFonts w:cs="Times New Roman"/>
                <w:szCs w:val="24"/>
              </w:rPr>
            </w:pPr>
            <w:r w:rsidRPr="00944B15">
              <w:rPr>
                <w:rFonts w:cs="Times New Roman"/>
                <w:szCs w:val="24"/>
              </w:rPr>
              <w:t>Respiratory depression, acute abdomen, toxin-mediated diarrhea, heart failure secondary to chronic lung disease, phaeochromocytoma, CNS depression, acute or severe bronchial asthma, upper airway obstruction; paralytic ileus and upper airway obstruction.</w:t>
            </w:r>
          </w:p>
        </w:tc>
      </w:tr>
      <w:tr w:rsidR="00265BA6" w:rsidRPr="00944B15" w14:paraId="1174EC7C" w14:textId="77777777" w:rsidTr="002D6DD7">
        <w:tc>
          <w:tcPr>
            <w:tcW w:w="2605" w:type="dxa"/>
          </w:tcPr>
          <w:p w14:paraId="4FD74B1C"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11695880"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Amitriptyline, chlorpromazine,</w:t>
            </w:r>
            <w:r>
              <w:rPr>
                <w:rFonts w:eastAsia="SimSun" w:cs="Times New Roman"/>
                <w:szCs w:val="24"/>
                <w:lang w:eastAsia="zh-CN"/>
              </w:rPr>
              <w:t xml:space="preserve"> MAOIs,</w:t>
            </w:r>
            <w:r w:rsidRPr="00944B15">
              <w:rPr>
                <w:rFonts w:eastAsia="SimSun" w:cs="Times New Roman"/>
                <w:szCs w:val="24"/>
                <w:lang w:eastAsia="zh-CN"/>
              </w:rPr>
              <w:t xml:space="preserve"> ciprofloxacin, diazepam, haloperidol, metoclopramide</w:t>
            </w:r>
            <w:r>
              <w:rPr>
                <w:rFonts w:eastAsia="SimSun" w:cs="Times New Roman"/>
                <w:szCs w:val="24"/>
                <w:lang w:eastAsia="zh-CN"/>
              </w:rPr>
              <w:t xml:space="preserve">, </w:t>
            </w:r>
            <w:r w:rsidRPr="00944B15">
              <w:rPr>
                <w:rFonts w:eastAsia="SimSun" w:cs="Times New Roman"/>
                <w:szCs w:val="24"/>
                <w:lang w:eastAsia="zh-CN"/>
              </w:rPr>
              <w:t>ritonavir</w:t>
            </w:r>
            <w:r>
              <w:rPr>
                <w:rFonts w:eastAsia="SimSun" w:cs="Times New Roman"/>
                <w:szCs w:val="24"/>
                <w:lang w:eastAsia="zh-CN"/>
              </w:rPr>
              <w:t>.</w:t>
            </w:r>
            <w:r w:rsidRPr="00944B15">
              <w:rPr>
                <w:rFonts w:eastAsia="SimSun" w:cs="Times New Roman"/>
                <w:szCs w:val="24"/>
                <w:lang w:eastAsia="zh-CN"/>
              </w:rPr>
              <w:t xml:space="preserve"> </w:t>
            </w:r>
          </w:p>
        </w:tc>
      </w:tr>
      <w:tr w:rsidR="00265BA6" w:rsidRPr="00944B15" w14:paraId="07702F92" w14:textId="77777777" w:rsidTr="002D6DD7">
        <w:tc>
          <w:tcPr>
            <w:tcW w:w="2605" w:type="dxa"/>
          </w:tcPr>
          <w:p w14:paraId="4DA11D8C"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38F76F28" w14:textId="77777777" w:rsidR="00265BA6" w:rsidRPr="00944B15" w:rsidRDefault="00265BA6" w:rsidP="002D6DD7">
            <w:pPr>
              <w:jc w:val="both"/>
              <w:rPr>
                <w:rFonts w:cs="Times New Roman"/>
                <w:szCs w:val="24"/>
              </w:rPr>
            </w:pPr>
            <w:r w:rsidRPr="00944B15">
              <w:rPr>
                <w:rFonts w:cs="Times New Roman"/>
                <w:szCs w:val="24"/>
              </w:rPr>
              <w:t xml:space="preserve">Somnolence, cardiac arrest, hiccup, nausea, anaphylaxis, dyspnoea, altered mood, myoclonus, postural hypotension, sexual dysfunction, ureteral spasm, urinary retention, </w:t>
            </w:r>
            <w:r>
              <w:rPr>
                <w:rFonts w:cs="Times New Roman"/>
                <w:szCs w:val="24"/>
              </w:rPr>
              <w:t xml:space="preserve">diaphoresis, </w:t>
            </w:r>
            <w:r w:rsidRPr="00944B15">
              <w:rPr>
                <w:rFonts w:cs="Times New Roman"/>
                <w:szCs w:val="24"/>
              </w:rPr>
              <w:t>vision disturbances, respiratory depression, bradycardia, tachycardia</w:t>
            </w:r>
            <w:r>
              <w:rPr>
                <w:rFonts w:cs="Times New Roman"/>
                <w:szCs w:val="24"/>
              </w:rPr>
              <w:t>,</w:t>
            </w:r>
            <w:r w:rsidRPr="00944B15">
              <w:rPr>
                <w:rFonts w:cs="Times New Roman"/>
                <w:szCs w:val="24"/>
              </w:rPr>
              <w:t xml:space="preserve"> constipation</w:t>
            </w:r>
            <w:r>
              <w:rPr>
                <w:rFonts w:cs="Times New Roman"/>
                <w:szCs w:val="24"/>
              </w:rPr>
              <w:t>.</w:t>
            </w:r>
            <w:r w:rsidRPr="00944B15">
              <w:rPr>
                <w:rFonts w:cs="Times New Roman"/>
                <w:szCs w:val="24"/>
              </w:rPr>
              <w:t xml:space="preserve"> </w:t>
            </w:r>
          </w:p>
        </w:tc>
      </w:tr>
      <w:tr w:rsidR="00265BA6" w:rsidRPr="00944B15" w14:paraId="093ED7E4" w14:textId="77777777" w:rsidTr="002D6DD7">
        <w:tc>
          <w:tcPr>
            <w:tcW w:w="2605" w:type="dxa"/>
          </w:tcPr>
          <w:p w14:paraId="75DDA5F0"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5333E757" w14:textId="77777777" w:rsidR="00265BA6" w:rsidRPr="00944B15" w:rsidRDefault="00265BA6" w:rsidP="002D6DD7">
            <w:pPr>
              <w:jc w:val="both"/>
              <w:rPr>
                <w:rFonts w:eastAsia="SimSun" w:cs="Times New Roman"/>
                <w:szCs w:val="24"/>
                <w:lang w:eastAsia="zh-CN"/>
              </w:rPr>
            </w:pPr>
            <w:r w:rsidRPr="00944B15">
              <w:rPr>
                <w:rFonts w:eastAsia="SimSun" w:cs="Times New Roman"/>
                <w:szCs w:val="24"/>
                <w:lang w:eastAsia="zh-CN"/>
              </w:rPr>
              <w:t xml:space="preserve">Cardiac arrhythmias, acute pancreatitis, renal and hepatic impairment; elderly </w:t>
            </w:r>
            <w:r>
              <w:rPr>
                <w:rFonts w:eastAsia="SimSun" w:cs="Times New Roman"/>
                <w:szCs w:val="24"/>
                <w:lang w:eastAsia="zh-CN"/>
              </w:rPr>
              <w:t>and debilitated, hypothyroidism,</w:t>
            </w:r>
            <w:r w:rsidRPr="00944B15">
              <w:rPr>
                <w:rFonts w:eastAsia="SimSun" w:cs="Times New Roman"/>
                <w:szCs w:val="24"/>
                <w:lang w:eastAsia="zh-CN"/>
              </w:rPr>
              <w:t xml:space="preserve"> convulsive disorders, benign prostatic hypertrophy</w:t>
            </w:r>
            <w:r>
              <w:rPr>
                <w:rFonts w:eastAsia="SimSun" w:cs="Times New Roman"/>
                <w:szCs w:val="24"/>
                <w:lang w:eastAsia="zh-CN"/>
              </w:rPr>
              <w:t>,</w:t>
            </w:r>
            <w:r w:rsidRPr="00944B15">
              <w:rPr>
                <w:rFonts w:eastAsia="SimSun" w:cs="Times New Roman"/>
                <w:szCs w:val="24"/>
                <w:lang w:eastAsia="zh-CN"/>
              </w:rPr>
              <w:t xml:space="preserve"> adrenocortical insufficiency, obstructive bowel disorders, myasthenia gravis</w:t>
            </w:r>
            <w:r>
              <w:rPr>
                <w:rFonts w:eastAsia="SimSun" w:cs="Times New Roman"/>
                <w:szCs w:val="24"/>
                <w:lang w:eastAsia="zh-CN"/>
              </w:rPr>
              <w:t>, p</w:t>
            </w:r>
            <w:r w:rsidRPr="00944B15">
              <w:rPr>
                <w:rFonts w:eastAsia="SimSun" w:cs="Times New Roman"/>
                <w:szCs w:val="24"/>
                <w:lang w:eastAsia="zh-CN"/>
              </w:rPr>
              <w:t>regnancy.</w:t>
            </w:r>
          </w:p>
        </w:tc>
      </w:tr>
      <w:tr w:rsidR="00265BA6" w:rsidRPr="00944B15" w14:paraId="3535CD60" w14:textId="77777777" w:rsidTr="002D6DD7">
        <w:tc>
          <w:tcPr>
            <w:tcW w:w="2605" w:type="dxa"/>
          </w:tcPr>
          <w:p w14:paraId="4AECECCA"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7E44EC9A" w14:textId="77777777" w:rsidR="00265BA6" w:rsidRPr="00944B15" w:rsidRDefault="00265BA6" w:rsidP="002D6DD7">
            <w:pPr>
              <w:jc w:val="both"/>
              <w:rPr>
                <w:rFonts w:eastAsia="SimSun" w:cs="Times New Roman"/>
                <w:szCs w:val="24"/>
                <w:lang w:eastAsia="zh-CN"/>
              </w:rPr>
            </w:pPr>
            <w:r>
              <w:rPr>
                <w:rFonts w:eastAsia="SimSun" w:cs="Times New Roman"/>
                <w:szCs w:val="24"/>
                <w:lang w:eastAsia="zh-CN"/>
              </w:rPr>
              <w:t>Store below</w:t>
            </w:r>
            <w:r w:rsidRPr="00944B15">
              <w:rPr>
                <w:rFonts w:eastAsia="SimSun" w:cs="Times New Roman"/>
                <w:szCs w:val="24"/>
                <w:lang w:eastAsia="zh-CN"/>
              </w:rPr>
              <w:t xml:space="preserve"> 30°C</w:t>
            </w:r>
            <w:r>
              <w:rPr>
                <w:rFonts w:eastAsia="SimSun" w:cs="Times New Roman"/>
                <w:szCs w:val="24"/>
                <w:lang w:eastAsia="zh-CN"/>
              </w:rPr>
              <w:t xml:space="preserve">. </w:t>
            </w:r>
            <w:r w:rsidRPr="00944B15">
              <w:rPr>
                <w:rFonts w:eastAsia="SimSun" w:cs="Times New Roman"/>
                <w:szCs w:val="24"/>
                <w:lang w:eastAsia="zh-CN"/>
              </w:rPr>
              <w:t xml:space="preserve"> </w:t>
            </w:r>
            <w:r>
              <w:rPr>
                <w:rFonts w:eastAsia="SimSun" w:cs="Times New Roman"/>
                <w:szCs w:val="24"/>
                <w:lang w:eastAsia="zh-CN"/>
              </w:rPr>
              <w:t>P</w:t>
            </w:r>
            <w:r w:rsidRPr="00944B15">
              <w:rPr>
                <w:rFonts w:eastAsia="SimSun" w:cs="Times New Roman"/>
                <w:szCs w:val="24"/>
                <w:lang w:eastAsia="zh-CN"/>
              </w:rPr>
              <w:t>rotect from light.</w:t>
            </w:r>
          </w:p>
        </w:tc>
      </w:tr>
    </w:tbl>
    <w:p w14:paraId="6C14B869" w14:textId="77777777" w:rsidR="00265BA6" w:rsidRPr="00944B15" w:rsidRDefault="00265BA6" w:rsidP="00265BA6">
      <w:pPr>
        <w:spacing w:after="0"/>
        <w:jc w:val="both"/>
        <w:rPr>
          <w:rFonts w:cs="Times New Roman"/>
          <w:bCs/>
          <w:szCs w:val="24"/>
        </w:rPr>
      </w:pPr>
    </w:p>
    <w:p w14:paraId="71F37A7E" w14:textId="77777777" w:rsidR="00AE4D87" w:rsidRDefault="00AE4D87" w:rsidP="00AE4D87">
      <w:pPr>
        <w:pStyle w:val="Heading2"/>
        <w:spacing w:before="240" w:after="240"/>
      </w:pPr>
    </w:p>
    <w:p w14:paraId="24AF38C6" w14:textId="77777777" w:rsidR="00265BA6" w:rsidRPr="00AE4D87" w:rsidRDefault="00265BA6" w:rsidP="00AE4D87">
      <w:pPr>
        <w:pStyle w:val="Heading2"/>
        <w:spacing w:before="240" w:after="240"/>
      </w:pPr>
      <w:bookmarkStart w:id="92" w:name="_Toc179490353"/>
      <w:r w:rsidRPr="00AE4D87">
        <w:t>Medical gases</w:t>
      </w:r>
      <w:bookmarkEnd w:id="92"/>
    </w:p>
    <w:tbl>
      <w:tblPr>
        <w:tblStyle w:val="TableGrid"/>
        <w:tblW w:w="0" w:type="auto"/>
        <w:tblLook w:val="04A0" w:firstRow="1" w:lastRow="0" w:firstColumn="1" w:lastColumn="0" w:noHBand="0" w:noVBand="1"/>
      </w:tblPr>
      <w:tblGrid>
        <w:gridCol w:w="2605"/>
        <w:gridCol w:w="6745"/>
      </w:tblGrid>
      <w:tr w:rsidR="00265BA6" w:rsidRPr="00944B15" w14:paraId="37E74709" w14:textId="77777777" w:rsidTr="002D6DD7">
        <w:tc>
          <w:tcPr>
            <w:tcW w:w="9350" w:type="dxa"/>
            <w:gridSpan w:val="2"/>
          </w:tcPr>
          <w:p w14:paraId="7121C74A" w14:textId="77777777" w:rsidR="00265BA6" w:rsidRPr="00944B15" w:rsidRDefault="00265BA6" w:rsidP="002D6DD7">
            <w:pPr>
              <w:jc w:val="both"/>
              <w:rPr>
                <w:rFonts w:cs="Times New Roman"/>
                <w:b/>
                <w:szCs w:val="24"/>
              </w:rPr>
            </w:pPr>
            <w:r w:rsidRPr="00944B15">
              <w:rPr>
                <w:rFonts w:cs="Times New Roman"/>
                <w:b/>
                <w:szCs w:val="24"/>
              </w:rPr>
              <w:t>Oxygen</w:t>
            </w:r>
          </w:p>
        </w:tc>
      </w:tr>
      <w:tr w:rsidR="00265BA6" w:rsidRPr="00944B15" w14:paraId="4865109D" w14:textId="77777777" w:rsidTr="002D6DD7">
        <w:tc>
          <w:tcPr>
            <w:tcW w:w="2605" w:type="dxa"/>
          </w:tcPr>
          <w:p w14:paraId="3E9D0680"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290F3B5C" w14:textId="77777777" w:rsidR="00265BA6" w:rsidRPr="00944B15" w:rsidRDefault="00265BA6" w:rsidP="002D6DD7">
            <w:pPr>
              <w:jc w:val="both"/>
              <w:rPr>
                <w:rFonts w:cs="Times New Roman"/>
                <w:szCs w:val="24"/>
              </w:rPr>
            </w:pPr>
            <w:r>
              <w:rPr>
                <w:rFonts w:cs="Times New Roman"/>
                <w:szCs w:val="24"/>
              </w:rPr>
              <w:t>Medical g</w:t>
            </w:r>
            <w:r w:rsidRPr="00944B15">
              <w:rPr>
                <w:rFonts w:cs="Times New Roman"/>
                <w:szCs w:val="24"/>
              </w:rPr>
              <w:t>as</w:t>
            </w:r>
          </w:p>
        </w:tc>
      </w:tr>
      <w:tr w:rsidR="00265BA6" w:rsidRPr="00944B15" w14:paraId="1F150A73" w14:textId="77777777" w:rsidTr="002D6DD7">
        <w:tc>
          <w:tcPr>
            <w:tcW w:w="2605" w:type="dxa"/>
          </w:tcPr>
          <w:p w14:paraId="683B28DB"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409B40E3" w14:textId="77777777" w:rsidR="00265BA6" w:rsidRPr="00944B15" w:rsidRDefault="00265BA6" w:rsidP="002D6DD7">
            <w:pPr>
              <w:jc w:val="both"/>
              <w:rPr>
                <w:rFonts w:cs="Times New Roman"/>
                <w:szCs w:val="24"/>
              </w:rPr>
            </w:pPr>
            <w:r w:rsidRPr="00944B15">
              <w:rPr>
                <w:rFonts w:cs="Times New Roman"/>
                <w:szCs w:val="24"/>
              </w:rPr>
              <w:t>Inhalation</w:t>
            </w:r>
          </w:p>
        </w:tc>
      </w:tr>
      <w:tr w:rsidR="00265BA6" w:rsidRPr="00944B15" w14:paraId="298EBD64" w14:textId="77777777" w:rsidTr="002D6DD7">
        <w:tc>
          <w:tcPr>
            <w:tcW w:w="2605" w:type="dxa"/>
          </w:tcPr>
          <w:p w14:paraId="053EAA48"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50175117" w14:textId="77777777" w:rsidR="00265BA6" w:rsidRPr="00944B15" w:rsidRDefault="00265BA6" w:rsidP="002D6DD7">
            <w:pPr>
              <w:jc w:val="both"/>
              <w:rPr>
                <w:rFonts w:cs="Times New Roman"/>
                <w:szCs w:val="24"/>
              </w:rPr>
            </w:pPr>
            <w:r w:rsidRPr="00944B15">
              <w:rPr>
                <w:rFonts w:cs="Times New Roman"/>
                <w:szCs w:val="24"/>
              </w:rPr>
              <w:t xml:space="preserve">Maintain adequate tissue oxygenation in inhalational </w:t>
            </w:r>
            <w:r>
              <w:rPr>
                <w:rFonts w:cs="Times New Roman"/>
                <w:szCs w:val="24"/>
              </w:rPr>
              <w:t>anesthesia</w:t>
            </w:r>
            <w:r w:rsidRPr="00944B15">
              <w:rPr>
                <w:rFonts w:cs="Times New Roman"/>
                <w:szCs w:val="24"/>
              </w:rPr>
              <w:t>.</w:t>
            </w:r>
          </w:p>
        </w:tc>
      </w:tr>
      <w:tr w:rsidR="00265BA6" w:rsidRPr="00944B15" w14:paraId="5CCBBB2E" w14:textId="77777777" w:rsidTr="002D6DD7">
        <w:tc>
          <w:tcPr>
            <w:tcW w:w="2605" w:type="dxa"/>
          </w:tcPr>
          <w:p w14:paraId="64047D97"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1B530903" w14:textId="77777777" w:rsidR="00265BA6" w:rsidRDefault="00265BA6" w:rsidP="002D6DD7">
            <w:pPr>
              <w:jc w:val="both"/>
              <w:rPr>
                <w:rFonts w:eastAsia="SimSun" w:cs="Times New Roman"/>
                <w:szCs w:val="24"/>
                <w:lang w:eastAsia="zh-CN"/>
              </w:rPr>
            </w:pPr>
            <w:r w:rsidRPr="00944B15">
              <w:rPr>
                <w:rFonts w:eastAsia="SimSun" w:cs="Times New Roman"/>
                <w:szCs w:val="24"/>
                <w:lang w:eastAsia="zh-CN"/>
              </w:rPr>
              <w:t>It is administered by means of nasal catheter, facemask, endotracheal tube or oxygen tent. Concentration of oxygen in inspired aesthetic gases should never be less than 29-30% and use sodali</w:t>
            </w:r>
            <w:r>
              <w:rPr>
                <w:rFonts w:eastAsia="SimSun" w:cs="Times New Roman"/>
                <w:szCs w:val="24"/>
                <w:lang w:eastAsia="zh-CN"/>
              </w:rPr>
              <w:t>m</w:t>
            </w:r>
            <w:r w:rsidRPr="00944B15">
              <w:rPr>
                <w:rFonts w:eastAsia="SimSun" w:cs="Times New Roman"/>
                <w:szCs w:val="24"/>
                <w:lang w:eastAsia="zh-CN"/>
              </w:rPr>
              <w:t>e (carbon dioxide absorbent).</w:t>
            </w:r>
          </w:p>
          <w:p w14:paraId="5B8D74EE" w14:textId="77777777" w:rsidR="00265BA6" w:rsidRPr="005F65B3" w:rsidRDefault="00265BA6" w:rsidP="002D6DD7">
            <w:pPr>
              <w:jc w:val="both"/>
              <w:rPr>
                <w:rFonts w:eastAsia="SimSun" w:cs="Times New Roman"/>
                <w:i/>
                <w:szCs w:val="24"/>
                <w:lang w:eastAsia="zh-CN"/>
              </w:rPr>
            </w:pPr>
            <w:r w:rsidRPr="005F65B3">
              <w:rPr>
                <w:rFonts w:eastAsia="SimSun" w:cs="Times New Roman"/>
                <w:i/>
                <w:szCs w:val="24"/>
                <w:lang w:eastAsia="zh-CN"/>
              </w:rPr>
              <w:lastRenderedPageBreak/>
              <w:t>Note:</w:t>
            </w:r>
            <w:r w:rsidRPr="005F65B3">
              <w:rPr>
                <w:rFonts w:cs="Times New Roman"/>
                <w:i/>
                <w:szCs w:val="24"/>
              </w:rPr>
              <w:t xml:space="preserve"> Inappropriate concentration may have serious or even lethal effects, e.g., brain damage and especially in pre-term neonates, can cause retinopathy with blindness and chronic lung disease.</w:t>
            </w:r>
          </w:p>
        </w:tc>
      </w:tr>
      <w:tr w:rsidR="00265BA6" w:rsidRPr="00944B15" w14:paraId="5439A033" w14:textId="77777777" w:rsidTr="002D6DD7">
        <w:tc>
          <w:tcPr>
            <w:tcW w:w="2605" w:type="dxa"/>
          </w:tcPr>
          <w:p w14:paraId="0ED8C30F"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2CBFC6C8" w14:textId="77777777" w:rsidR="00265BA6" w:rsidRPr="00944B15" w:rsidRDefault="00265BA6" w:rsidP="002D6DD7">
            <w:pPr>
              <w:jc w:val="both"/>
              <w:rPr>
                <w:rFonts w:cs="Times New Roman"/>
                <w:szCs w:val="24"/>
              </w:rPr>
            </w:pPr>
            <w:r w:rsidRPr="00944B15">
              <w:rPr>
                <w:rFonts w:eastAsia="SimSun" w:cs="Times New Roman"/>
                <w:szCs w:val="24"/>
                <w:lang w:eastAsia="zh-CN"/>
              </w:rPr>
              <w:t xml:space="preserve">No absolute contraindication </w:t>
            </w:r>
          </w:p>
        </w:tc>
      </w:tr>
      <w:tr w:rsidR="00265BA6" w:rsidRPr="00944B15" w14:paraId="28E32EB1" w14:textId="77777777" w:rsidTr="002D6DD7">
        <w:tc>
          <w:tcPr>
            <w:tcW w:w="2605" w:type="dxa"/>
          </w:tcPr>
          <w:p w14:paraId="41C3B18C"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0B7F2CB7" w14:textId="77777777" w:rsidR="00265BA6" w:rsidRPr="00944B15" w:rsidRDefault="00265BA6" w:rsidP="002D6DD7">
            <w:pPr>
              <w:jc w:val="both"/>
              <w:rPr>
                <w:rFonts w:cs="Times New Roman"/>
                <w:szCs w:val="24"/>
              </w:rPr>
            </w:pPr>
            <w:r w:rsidRPr="00944B15">
              <w:rPr>
                <w:rFonts w:cs="Times New Roman"/>
                <w:szCs w:val="24"/>
              </w:rPr>
              <w:t xml:space="preserve">Amiodarone, bleomycin and alcohol </w:t>
            </w:r>
          </w:p>
        </w:tc>
      </w:tr>
      <w:tr w:rsidR="00265BA6" w:rsidRPr="00944B15" w14:paraId="4FE98214" w14:textId="77777777" w:rsidTr="002D6DD7">
        <w:tc>
          <w:tcPr>
            <w:tcW w:w="2605" w:type="dxa"/>
          </w:tcPr>
          <w:p w14:paraId="2E82F758"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7157C9E6" w14:textId="77777777" w:rsidR="00265BA6" w:rsidRPr="00944B15" w:rsidRDefault="00265BA6" w:rsidP="002D6DD7">
            <w:pPr>
              <w:jc w:val="both"/>
              <w:rPr>
                <w:rFonts w:cs="Times New Roman"/>
                <w:szCs w:val="24"/>
              </w:rPr>
            </w:pPr>
            <w:r>
              <w:rPr>
                <w:rFonts w:cs="Times New Roman"/>
                <w:szCs w:val="24"/>
              </w:rPr>
              <w:t>P</w:t>
            </w:r>
            <w:r w:rsidRPr="00944B15">
              <w:rPr>
                <w:rFonts w:cs="Times New Roman"/>
                <w:szCs w:val="24"/>
              </w:rPr>
              <w:t xml:space="preserve">ulmonary congestion, exudation, and atelectasis. </w:t>
            </w:r>
          </w:p>
        </w:tc>
      </w:tr>
      <w:tr w:rsidR="00265BA6" w:rsidRPr="00944B15" w14:paraId="01D14D92" w14:textId="77777777" w:rsidTr="002D6DD7">
        <w:tc>
          <w:tcPr>
            <w:tcW w:w="2605" w:type="dxa"/>
          </w:tcPr>
          <w:p w14:paraId="4C30071E"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698DD92C" w14:textId="77777777" w:rsidR="00265BA6" w:rsidRPr="00944B15" w:rsidRDefault="00265BA6" w:rsidP="002D6DD7">
            <w:pPr>
              <w:jc w:val="both"/>
              <w:rPr>
                <w:rFonts w:cs="Times New Roman"/>
                <w:szCs w:val="24"/>
              </w:rPr>
            </w:pPr>
            <w:r>
              <w:rPr>
                <w:rFonts w:eastAsia="SimSun" w:cs="Times New Roman"/>
                <w:szCs w:val="24"/>
                <w:lang w:eastAsia="zh-CN"/>
              </w:rPr>
              <w:t xml:space="preserve">Any fire or spark, </w:t>
            </w:r>
            <w:r>
              <w:rPr>
                <w:rFonts w:cs="Times New Roman"/>
                <w:szCs w:val="24"/>
              </w:rPr>
              <w:t>new-born infant,</w:t>
            </w:r>
            <w:r w:rsidRPr="00944B15">
              <w:rPr>
                <w:rFonts w:cs="Times New Roman"/>
                <w:szCs w:val="24"/>
              </w:rPr>
              <w:t xml:space="preserve"> pre-term infant, pneumothorax, thoracic surgery, insufficient controlled epilepsy and recent middle ear surgery.</w:t>
            </w:r>
          </w:p>
        </w:tc>
      </w:tr>
      <w:tr w:rsidR="00265BA6" w:rsidRPr="00944B15" w14:paraId="4B55BEF9" w14:textId="77777777" w:rsidTr="002D6DD7">
        <w:tc>
          <w:tcPr>
            <w:tcW w:w="2605" w:type="dxa"/>
          </w:tcPr>
          <w:p w14:paraId="559992AF"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7F9D29B3" w14:textId="77777777" w:rsidR="00265BA6" w:rsidRPr="00944B15" w:rsidRDefault="00265BA6" w:rsidP="002D6DD7">
            <w:pPr>
              <w:jc w:val="both"/>
              <w:rPr>
                <w:rFonts w:cs="Times New Roman"/>
                <w:szCs w:val="24"/>
              </w:rPr>
            </w:pPr>
            <w:r w:rsidRPr="00944B15">
              <w:rPr>
                <w:rFonts w:cs="Times New Roman"/>
                <w:szCs w:val="24"/>
              </w:rPr>
              <w:t xml:space="preserve">The gas cylinders must be stored at temperatures </w:t>
            </w:r>
            <w:r>
              <w:rPr>
                <w:rFonts w:cs="Times New Roman"/>
                <w:szCs w:val="24"/>
              </w:rPr>
              <w:t>not to exceed</w:t>
            </w:r>
            <w:r w:rsidRPr="00944B15">
              <w:rPr>
                <w:rFonts w:cs="Times New Roman"/>
                <w:szCs w:val="24"/>
              </w:rPr>
              <w:t xml:space="preserve"> 5</w:t>
            </w:r>
            <w:r>
              <w:rPr>
                <w:rFonts w:cs="Times New Roman"/>
                <w:szCs w:val="24"/>
              </w:rPr>
              <w:t>2°C.</w:t>
            </w:r>
          </w:p>
        </w:tc>
      </w:tr>
    </w:tbl>
    <w:p w14:paraId="338C358B" w14:textId="77777777" w:rsidR="00265BA6" w:rsidRPr="00944B15" w:rsidRDefault="00265BA6" w:rsidP="00265BA6">
      <w:pPr>
        <w:spacing w:after="0"/>
        <w:jc w:val="both"/>
        <w:rPr>
          <w:rFonts w:cs="Times New Roman"/>
          <w:bCs/>
          <w:szCs w:val="24"/>
        </w:rPr>
      </w:pPr>
    </w:p>
    <w:p w14:paraId="24EEDC3B" w14:textId="77777777" w:rsidR="00AE4D87" w:rsidRDefault="00AE4D87">
      <w:pPr>
        <w:spacing w:line="259" w:lineRule="auto"/>
        <w:rPr>
          <w:rFonts w:eastAsia="Times New Roman" w:cs="Times New Roman"/>
          <w:b/>
          <w:bCs/>
          <w:iCs/>
          <w:kern w:val="0"/>
          <w:sz w:val="26"/>
          <w:szCs w:val="24"/>
          <w:lang w:val="en-US" w:eastAsia="en-US"/>
        </w:rPr>
      </w:pPr>
      <w:r>
        <w:br w:type="page"/>
      </w:r>
    </w:p>
    <w:p w14:paraId="7A8388E4" w14:textId="77777777" w:rsidR="00265BA6" w:rsidRPr="00436137" w:rsidRDefault="00AE4D87" w:rsidP="00C344A8">
      <w:pPr>
        <w:pStyle w:val="Heading1"/>
        <w:numPr>
          <w:ilvl w:val="0"/>
          <w:numId w:val="25"/>
        </w:numPr>
        <w:spacing w:after="240"/>
      </w:pPr>
      <w:bookmarkStart w:id="93" w:name="_Toc179490354"/>
      <w:r>
        <w:lastRenderedPageBreak/>
        <w:t>Muscle Relaxants (Peripherally – Acting) And Cholinesterase I</w:t>
      </w:r>
      <w:r w:rsidRPr="00436137">
        <w:t>nhibitor</w:t>
      </w:r>
      <w:bookmarkEnd w:id="93"/>
      <w:r w:rsidRPr="00436137">
        <w:t xml:space="preserve"> </w:t>
      </w:r>
    </w:p>
    <w:p w14:paraId="23277B48" w14:textId="77777777" w:rsidR="00265BA6" w:rsidRDefault="00265BA6" w:rsidP="00265BA6">
      <w:pPr>
        <w:spacing w:after="0"/>
        <w:jc w:val="both"/>
        <w:rPr>
          <w:rFonts w:cs="Times New Roman"/>
          <w:szCs w:val="24"/>
        </w:rPr>
      </w:pPr>
      <w:r w:rsidRPr="00944B15">
        <w:rPr>
          <w:rFonts w:cs="Times New Roman"/>
          <w:szCs w:val="24"/>
        </w:rPr>
        <w:t xml:space="preserve">Neuromuscular blocking drugs (NMBDs) used in </w:t>
      </w:r>
      <w:r>
        <w:rPr>
          <w:rFonts w:cs="Times New Roman"/>
          <w:szCs w:val="24"/>
        </w:rPr>
        <w:t>anesthesia</w:t>
      </w:r>
      <w:r w:rsidRPr="00944B15">
        <w:rPr>
          <w:rFonts w:cs="Times New Roman"/>
          <w:szCs w:val="24"/>
        </w:rPr>
        <w:t xml:space="preserve"> are also known as muscle relaxants. </w:t>
      </w:r>
      <w:r>
        <w:rPr>
          <w:rFonts w:cs="Times New Roman"/>
          <w:szCs w:val="24"/>
        </w:rPr>
        <w:t>These</w:t>
      </w:r>
      <w:r w:rsidRPr="00944B15">
        <w:rPr>
          <w:rFonts w:cs="Times New Roman"/>
          <w:szCs w:val="24"/>
        </w:rPr>
        <w:t xml:space="preserve"> drugs are used in </w:t>
      </w:r>
      <w:r>
        <w:rPr>
          <w:rFonts w:cs="Times New Roman"/>
          <w:szCs w:val="24"/>
        </w:rPr>
        <w:t>anesthesia</w:t>
      </w:r>
      <w:r w:rsidRPr="00944B15">
        <w:rPr>
          <w:rFonts w:cs="Times New Roman"/>
          <w:szCs w:val="24"/>
        </w:rPr>
        <w:t xml:space="preserve"> to impair neuromuscular transmission and provide skeletal muscle relaxation. The</w:t>
      </w:r>
      <w:r>
        <w:rPr>
          <w:rFonts w:cs="Times New Roman"/>
          <w:szCs w:val="24"/>
        </w:rPr>
        <w:t>y</w:t>
      </w:r>
      <w:r w:rsidRPr="00944B15">
        <w:rPr>
          <w:rFonts w:cs="Times New Roman"/>
          <w:szCs w:val="24"/>
        </w:rPr>
        <w:t xml:space="preserve"> enable the anaesthetist to perform tracheal intubation, facilitate ventilation and to provide optimal surgical operating conditions, for example during laparotomy. NMBDs are quaternary ammonium compounds structurally similar to acetylcholine (ACh); they act mostly at the post-junctional nicotinic receptor of the neuromuscular junction. NMBDs may be agonists (“depolarising” NMBDs) or antagonists (“non-depolarizing” NMBDs) at the nicotinic receptor. </w:t>
      </w:r>
    </w:p>
    <w:p w14:paraId="3CB134BA" w14:textId="77777777" w:rsidR="00265BA6" w:rsidRPr="00944B15" w:rsidRDefault="00265BA6" w:rsidP="00265BA6">
      <w:pPr>
        <w:spacing w:before="240" w:after="0"/>
        <w:jc w:val="both"/>
        <w:rPr>
          <w:rFonts w:cs="Times New Roman"/>
          <w:szCs w:val="24"/>
        </w:rPr>
      </w:pPr>
      <w:r w:rsidRPr="00944B15">
        <w:rPr>
          <w:rFonts w:cs="Times New Roman"/>
          <w:szCs w:val="24"/>
        </w:rPr>
        <w:t xml:space="preserve">Anticholinesterase drugs (also known as acetylcholinesterase inhibitors) are used to reverse the effects of non-depolarizing NMBDs. These drugs increase the concentration of ACh at the neuromuscular junction by inhibiting the enzyme acetylcholinesterase. </w:t>
      </w:r>
    </w:p>
    <w:tbl>
      <w:tblPr>
        <w:tblStyle w:val="TableGrid"/>
        <w:tblW w:w="9350" w:type="dxa"/>
        <w:tblLook w:val="04A0" w:firstRow="1" w:lastRow="0" w:firstColumn="1" w:lastColumn="0" w:noHBand="0" w:noVBand="1"/>
      </w:tblPr>
      <w:tblGrid>
        <w:gridCol w:w="2605"/>
        <w:gridCol w:w="6745"/>
      </w:tblGrid>
      <w:tr w:rsidR="00265BA6" w:rsidRPr="00944B15" w14:paraId="4776DE43" w14:textId="77777777" w:rsidTr="002D6DD7">
        <w:tc>
          <w:tcPr>
            <w:tcW w:w="9350" w:type="dxa"/>
            <w:gridSpan w:val="2"/>
          </w:tcPr>
          <w:p w14:paraId="7540868E" w14:textId="77777777" w:rsidR="00265BA6" w:rsidRPr="00944B15" w:rsidRDefault="00265BA6" w:rsidP="002D6DD7">
            <w:pPr>
              <w:jc w:val="both"/>
              <w:rPr>
                <w:rFonts w:cs="Times New Roman"/>
                <w:b/>
                <w:szCs w:val="24"/>
              </w:rPr>
            </w:pPr>
            <w:r w:rsidRPr="00944B15">
              <w:rPr>
                <w:rFonts w:cs="Times New Roman"/>
                <w:b/>
                <w:szCs w:val="24"/>
              </w:rPr>
              <w:t>Atracurium</w:t>
            </w:r>
          </w:p>
        </w:tc>
      </w:tr>
      <w:tr w:rsidR="00265BA6" w:rsidRPr="00944B15" w14:paraId="1BAFE2C5" w14:textId="77777777" w:rsidTr="002D6DD7">
        <w:tc>
          <w:tcPr>
            <w:tcW w:w="2605" w:type="dxa"/>
          </w:tcPr>
          <w:p w14:paraId="363980BD"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570CA8AD" w14:textId="77777777" w:rsidR="00265BA6" w:rsidRPr="00944B15" w:rsidRDefault="00265BA6" w:rsidP="002D6DD7">
            <w:pPr>
              <w:jc w:val="both"/>
              <w:rPr>
                <w:rFonts w:cs="Times New Roman"/>
                <w:szCs w:val="24"/>
              </w:rPr>
            </w:pPr>
            <w:r w:rsidRPr="00944B15">
              <w:rPr>
                <w:rFonts w:cs="Times New Roman"/>
                <w:szCs w:val="24"/>
              </w:rPr>
              <w:t>Non-depolarizing</w:t>
            </w:r>
            <w:r>
              <w:rPr>
                <w:rFonts w:cs="Times New Roman"/>
                <w:szCs w:val="24"/>
              </w:rPr>
              <w:t xml:space="preserve"> neuromuscular blocker</w:t>
            </w:r>
            <w:r w:rsidRPr="00944B15">
              <w:rPr>
                <w:rFonts w:cs="Times New Roman"/>
                <w:szCs w:val="24"/>
              </w:rPr>
              <w:t xml:space="preserve"> </w:t>
            </w:r>
          </w:p>
        </w:tc>
      </w:tr>
      <w:tr w:rsidR="00265BA6" w:rsidRPr="00944B15" w14:paraId="4909BB61" w14:textId="77777777" w:rsidTr="002D6DD7">
        <w:tc>
          <w:tcPr>
            <w:tcW w:w="2605" w:type="dxa"/>
          </w:tcPr>
          <w:p w14:paraId="459B64F3"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757C9FC2" w14:textId="77777777" w:rsidR="00265BA6" w:rsidRPr="00944B15" w:rsidRDefault="00265BA6" w:rsidP="002D6DD7">
            <w:pPr>
              <w:jc w:val="both"/>
              <w:rPr>
                <w:rFonts w:cs="Times New Roman"/>
                <w:szCs w:val="24"/>
              </w:rPr>
            </w:pPr>
            <w:r w:rsidRPr="00944B15">
              <w:rPr>
                <w:rFonts w:cs="Times New Roman"/>
                <w:szCs w:val="24"/>
              </w:rPr>
              <w:t>Injection, 10 mg (as besilate)/</w:t>
            </w:r>
            <w:r>
              <w:rPr>
                <w:rFonts w:cs="Times New Roman"/>
                <w:szCs w:val="24"/>
              </w:rPr>
              <w:t>ml</w:t>
            </w:r>
            <w:r w:rsidRPr="00944B15">
              <w:rPr>
                <w:rFonts w:cs="Times New Roman"/>
                <w:szCs w:val="24"/>
              </w:rPr>
              <w:t>, 5-</w:t>
            </w:r>
            <w:r>
              <w:rPr>
                <w:rFonts w:cs="Times New Roman"/>
                <w:szCs w:val="24"/>
              </w:rPr>
              <w:t>ml</w:t>
            </w:r>
            <w:r w:rsidRPr="00944B15">
              <w:rPr>
                <w:rFonts w:cs="Times New Roman"/>
                <w:szCs w:val="24"/>
              </w:rPr>
              <w:t xml:space="preserve"> amp</w:t>
            </w:r>
          </w:p>
        </w:tc>
      </w:tr>
      <w:tr w:rsidR="00265BA6" w:rsidRPr="00944B15" w14:paraId="331660D4" w14:textId="77777777" w:rsidTr="002D6DD7">
        <w:tc>
          <w:tcPr>
            <w:tcW w:w="2605" w:type="dxa"/>
          </w:tcPr>
          <w:p w14:paraId="15665347"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119598DF" w14:textId="77777777" w:rsidR="00265BA6" w:rsidRPr="00944B15" w:rsidRDefault="00265BA6" w:rsidP="002D6DD7">
            <w:pPr>
              <w:jc w:val="both"/>
              <w:rPr>
                <w:rFonts w:cs="Times New Roman"/>
                <w:szCs w:val="24"/>
              </w:rPr>
            </w:pPr>
            <w:r w:rsidRPr="00944B15">
              <w:rPr>
                <w:rFonts w:cs="Times New Roman"/>
                <w:szCs w:val="24"/>
              </w:rPr>
              <w:t xml:space="preserve">As an adjunct to general </w:t>
            </w:r>
            <w:r>
              <w:rPr>
                <w:rFonts w:cs="Times New Roman"/>
                <w:szCs w:val="24"/>
              </w:rPr>
              <w:t>anesthesia</w:t>
            </w:r>
            <w:r w:rsidRPr="00944B15">
              <w:rPr>
                <w:rFonts w:cs="Times New Roman"/>
                <w:szCs w:val="24"/>
              </w:rPr>
              <w:t xml:space="preserve"> to facilitate endotracheal intubation and to provide skeletal muscle relaxation during surgery or mechanical ventilation.</w:t>
            </w:r>
          </w:p>
        </w:tc>
      </w:tr>
      <w:tr w:rsidR="00265BA6" w:rsidRPr="00944B15" w14:paraId="0B811442" w14:textId="77777777" w:rsidTr="002D6DD7">
        <w:tc>
          <w:tcPr>
            <w:tcW w:w="2605" w:type="dxa"/>
          </w:tcPr>
          <w:p w14:paraId="7C8D793B" w14:textId="77777777" w:rsidR="00265BA6" w:rsidRPr="00944B15" w:rsidRDefault="00265BA6" w:rsidP="002D6DD7">
            <w:pPr>
              <w:jc w:val="both"/>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745" w:type="dxa"/>
          </w:tcPr>
          <w:p w14:paraId="5A70D2EE" w14:textId="77777777" w:rsidR="00265BA6" w:rsidRPr="00944B15" w:rsidRDefault="00265BA6" w:rsidP="002D6DD7">
            <w:pPr>
              <w:jc w:val="both"/>
              <w:rPr>
                <w:rFonts w:cs="Times New Roman"/>
                <w:b/>
                <w:szCs w:val="24"/>
              </w:rPr>
            </w:pPr>
            <w:r w:rsidRPr="00944B15">
              <w:rPr>
                <w:rFonts w:cs="Times New Roman"/>
                <w:b/>
                <w:szCs w:val="24"/>
              </w:rPr>
              <w:t>Adult and Child</w:t>
            </w:r>
            <w:r>
              <w:rPr>
                <w:rFonts w:cs="Times New Roman"/>
                <w:b/>
                <w:szCs w:val="24"/>
              </w:rPr>
              <w:t>:</w:t>
            </w:r>
          </w:p>
          <w:p w14:paraId="3558D019" w14:textId="77777777" w:rsidR="00265BA6" w:rsidRPr="00944B15" w:rsidRDefault="00265BA6" w:rsidP="002D6DD7">
            <w:pPr>
              <w:jc w:val="both"/>
              <w:rPr>
                <w:rFonts w:cs="Times New Roman"/>
                <w:b/>
                <w:szCs w:val="24"/>
              </w:rPr>
            </w:pPr>
            <w:r w:rsidRPr="00944B15">
              <w:rPr>
                <w:rFonts w:cs="Times New Roman"/>
                <w:b/>
                <w:szCs w:val="24"/>
              </w:rPr>
              <w:t>Neuromuscular blockade (short to intermediate duration) for surgery and intubation</w:t>
            </w:r>
            <w:r>
              <w:rPr>
                <w:rFonts w:cs="Times New Roman"/>
                <w:b/>
                <w:szCs w:val="24"/>
              </w:rPr>
              <w:t>:</w:t>
            </w:r>
            <w:r w:rsidRPr="00944B15">
              <w:rPr>
                <w:rFonts w:cs="Times New Roman"/>
                <w:b/>
                <w:szCs w:val="24"/>
              </w:rPr>
              <w:t xml:space="preserve"> </w:t>
            </w:r>
          </w:p>
          <w:p w14:paraId="2B342E8B" w14:textId="77777777" w:rsidR="00265BA6" w:rsidRPr="00944B15" w:rsidRDefault="00265BA6" w:rsidP="002D6DD7">
            <w:pPr>
              <w:jc w:val="both"/>
              <w:rPr>
                <w:rFonts w:cs="Times New Roman"/>
                <w:szCs w:val="24"/>
              </w:rPr>
            </w:pPr>
            <w:r w:rsidRPr="00944B15">
              <w:rPr>
                <w:rFonts w:cs="Times New Roman"/>
                <w:szCs w:val="24"/>
              </w:rPr>
              <w:t xml:space="preserve">By IV injection: Initially 0.3–0.6 mg/kg, then by IV injection 0.1–0.2mg/kg as required; alternatively, </w:t>
            </w:r>
          </w:p>
          <w:p w14:paraId="0BEA4DB6" w14:textId="77777777" w:rsidR="00265BA6" w:rsidRPr="00944B15" w:rsidRDefault="00265BA6" w:rsidP="002D6DD7">
            <w:pPr>
              <w:jc w:val="both"/>
              <w:rPr>
                <w:rFonts w:cs="Times New Roman"/>
                <w:szCs w:val="24"/>
              </w:rPr>
            </w:pPr>
            <w:r w:rsidRPr="00944B15">
              <w:rPr>
                <w:rFonts w:cs="Times New Roman"/>
                <w:szCs w:val="24"/>
              </w:rPr>
              <w:t>By IV injection: 0.3–0.6 mg/kg, then by IV infusion 0.3–0.6 mg/kg /hour</w:t>
            </w:r>
          </w:p>
          <w:p w14:paraId="36B3EFF9" w14:textId="77777777" w:rsidR="00265BA6" w:rsidRPr="00944B15" w:rsidRDefault="00265BA6" w:rsidP="002D6DD7">
            <w:pPr>
              <w:jc w:val="both"/>
              <w:rPr>
                <w:rFonts w:cs="Times New Roman"/>
                <w:b/>
                <w:szCs w:val="24"/>
              </w:rPr>
            </w:pPr>
            <w:r w:rsidRPr="00944B15">
              <w:rPr>
                <w:rFonts w:cs="Times New Roman"/>
                <w:b/>
                <w:szCs w:val="24"/>
              </w:rPr>
              <w:t>Neuromuscular blockade during intensive care</w:t>
            </w:r>
            <w:r>
              <w:rPr>
                <w:rFonts w:cs="Times New Roman"/>
                <w:b/>
                <w:szCs w:val="24"/>
              </w:rPr>
              <w:t>:</w:t>
            </w:r>
            <w:r w:rsidRPr="00944B15">
              <w:rPr>
                <w:rFonts w:cs="Times New Roman"/>
                <w:b/>
                <w:szCs w:val="24"/>
              </w:rPr>
              <w:t xml:space="preserve"> </w:t>
            </w:r>
          </w:p>
          <w:p w14:paraId="3009E76B" w14:textId="77777777" w:rsidR="00265BA6" w:rsidRPr="00944B15" w:rsidRDefault="00265BA6" w:rsidP="002D6DD7">
            <w:pPr>
              <w:jc w:val="both"/>
              <w:rPr>
                <w:rFonts w:cs="Times New Roman"/>
                <w:szCs w:val="24"/>
              </w:rPr>
            </w:pPr>
            <w:r w:rsidRPr="00944B15">
              <w:rPr>
                <w:rFonts w:cs="Times New Roman"/>
                <w:szCs w:val="24"/>
              </w:rPr>
              <w:t>By IV injection: Initially 0.3–0.6 mg/kg, initial dose is optional, then by IV infusion 0.27–1.77 mg/kg/hour</w:t>
            </w:r>
          </w:p>
          <w:p w14:paraId="06FFC40C" w14:textId="77777777" w:rsidR="00265BA6" w:rsidRPr="00944B15" w:rsidRDefault="00265BA6" w:rsidP="002D6DD7">
            <w:pPr>
              <w:jc w:val="both"/>
              <w:rPr>
                <w:rFonts w:cs="Times New Roman"/>
                <w:szCs w:val="24"/>
              </w:rPr>
            </w:pPr>
            <w:r w:rsidRPr="00944B15">
              <w:rPr>
                <w:rFonts w:cs="Times New Roman"/>
                <w:szCs w:val="24"/>
              </w:rPr>
              <w:t>By IV infusion: Usual dose 0.65–0.78 mg/kg/hour</w:t>
            </w:r>
          </w:p>
          <w:p w14:paraId="1D10C179" w14:textId="77777777" w:rsidR="00265BA6" w:rsidRPr="00944B15" w:rsidRDefault="00265BA6" w:rsidP="002D6DD7">
            <w:pPr>
              <w:jc w:val="both"/>
              <w:rPr>
                <w:rFonts w:cs="Times New Roman"/>
                <w:szCs w:val="24"/>
              </w:rPr>
            </w:pPr>
            <w:r w:rsidRPr="00944B15">
              <w:rPr>
                <w:rFonts w:cs="Times New Roman"/>
                <w:b/>
                <w:szCs w:val="24"/>
              </w:rPr>
              <w:lastRenderedPageBreak/>
              <w:t>Neonate:</w:t>
            </w:r>
            <w:r w:rsidRPr="00944B15">
              <w:rPr>
                <w:rFonts w:cs="Times New Roman"/>
                <w:szCs w:val="24"/>
              </w:rPr>
              <w:t xml:space="preserve"> </w:t>
            </w:r>
          </w:p>
          <w:p w14:paraId="26DB12E1" w14:textId="77777777" w:rsidR="00265BA6" w:rsidRPr="00944B15" w:rsidRDefault="00265BA6" w:rsidP="002D6DD7">
            <w:pPr>
              <w:jc w:val="both"/>
              <w:rPr>
                <w:rFonts w:cs="Times New Roman"/>
                <w:b/>
                <w:szCs w:val="24"/>
              </w:rPr>
            </w:pPr>
            <w:r w:rsidRPr="00944B15">
              <w:rPr>
                <w:rFonts w:cs="Times New Roman"/>
                <w:b/>
                <w:szCs w:val="24"/>
              </w:rPr>
              <w:t>Neuromuscular blockade (short to intermediate duration) for surgery and intubation</w:t>
            </w:r>
            <w:r>
              <w:rPr>
                <w:rFonts w:cs="Times New Roman"/>
                <w:b/>
                <w:szCs w:val="24"/>
              </w:rPr>
              <w:t>:</w:t>
            </w:r>
          </w:p>
          <w:p w14:paraId="3D700600" w14:textId="77777777" w:rsidR="00265BA6" w:rsidRPr="00944B15" w:rsidRDefault="00265BA6" w:rsidP="002D6DD7">
            <w:pPr>
              <w:jc w:val="both"/>
              <w:rPr>
                <w:rFonts w:cs="Times New Roman"/>
                <w:szCs w:val="24"/>
              </w:rPr>
            </w:pPr>
            <w:r w:rsidRPr="00944B15">
              <w:rPr>
                <w:rFonts w:cs="Times New Roman"/>
                <w:szCs w:val="24"/>
              </w:rPr>
              <w:t>Initially by IV injection 0.3–0.5 mg/kg, followed by IV injection 0.1–0.2 mg/kg, repeated if necessary: alternatively,</w:t>
            </w:r>
          </w:p>
          <w:p w14:paraId="0DA2F3B0" w14:textId="77777777" w:rsidR="00265BA6" w:rsidRPr="00944B15" w:rsidRDefault="00265BA6" w:rsidP="002D6DD7">
            <w:pPr>
              <w:jc w:val="both"/>
              <w:rPr>
                <w:rFonts w:cs="Times New Roman"/>
                <w:szCs w:val="24"/>
              </w:rPr>
            </w:pPr>
            <w:r w:rsidRPr="00944B15">
              <w:rPr>
                <w:rFonts w:cs="Times New Roman"/>
                <w:szCs w:val="24"/>
              </w:rPr>
              <w:t>by IV infusion 0.3–0.4mg/kg/hour,</w:t>
            </w:r>
          </w:p>
          <w:p w14:paraId="3F6B5791" w14:textId="77777777" w:rsidR="00265BA6" w:rsidRPr="00944B15" w:rsidRDefault="00265BA6" w:rsidP="002D6DD7">
            <w:pPr>
              <w:jc w:val="both"/>
              <w:rPr>
                <w:rFonts w:cs="Times New Roman"/>
                <w:b/>
                <w:szCs w:val="24"/>
              </w:rPr>
            </w:pPr>
            <w:r w:rsidRPr="00944B15">
              <w:rPr>
                <w:rFonts w:cs="Times New Roman"/>
                <w:b/>
                <w:szCs w:val="24"/>
              </w:rPr>
              <w:t>Neuromuscular blockade during intensive care</w:t>
            </w:r>
            <w:r>
              <w:rPr>
                <w:rFonts w:cs="Times New Roman"/>
                <w:b/>
                <w:szCs w:val="24"/>
              </w:rPr>
              <w:t>:</w:t>
            </w:r>
          </w:p>
          <w:p w14:paraId="140B2B19" w14:textId="77777777" w:rsidR="00265BA6" w:rsidRPr="00944B15" w:rsidRDefault="00265BA6" w:rsidP="002D6DD7">
            <w:pPr>
              <w:jc w:val="both"/>
              <w:rPr>
                <w:rFonts w:cs="Times New Roman"/>
                <w:szCs w:val="24"/>
              </w:rPr>
            </w:pPr>
            <w:r w:rsidRPr="00944B15">
              <w:rPr>
                <w:rFonts w:cs="Times New Roman"/>
                <w:b/>
                <w:szCs w:val="24"/>
              </w:rPr>
              <w:t>Neonate:</w:t>
            </w:r>
            <w:r w:rsidRPr="00944B15">
              <w:rPr>
                <w:rFonts w:cs="Times New Roman"/>
                <w:szCs w:val="24"/>
              </w:rPr>
              <w:t xml:space="preserve"> Initially by IV injection 0.3–0.5mg/kg, followed by IV injection 0.1–0.2mg/kg, repeated if necessary; alternatively, by IV infusion 0.3–0.4 mg/kg/hour.</w:t>
            </w:r>
          </w:p>
        </w:tc>
      </w:tr>
      <w:tr w:rsidR="00265BA6" w:rsidRPr="00944B15" w14:paraId="090292C5" w14:textId="77777777" w:rsidTr="002D6DD7">
        <w:tc>
          <w:tcPr>
            <w:tcW w:w="2605" w:type="dxa"/>
          </w:tcPr>
          <w:p w14:paraId="71F2E7F6"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0EB9CD38" w14:textId="77777777" w:rsidR="00265BA6" w:rsidRPr="00944B15" w:rsidRDefault="00265BA6" w:rsidP="002D6DD7">
            <w:pPr>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or </w:t>
            </w:r>
            <w:r>
              <w:rPr>
                <w:rFonts w:cs="Times New Roman"/>
                <w:szCs w:val="24"/>
              </w:rPr>
              <w:t>other neuromuscular blocker</w:t>
            </w:r>
          </w:p>
        </w:tc>
      </w:tr>
      <w:tr w:rsidR="00265BA6" w:rsidRPr="00944B15" w14:paraId="0F3444FA" w14:textId="77777777" w:rsidTr="002D6DD7">
        <w:tc>
          <w:tcPr>
            <w:tcW w:w="2605" w:type="dxa"/>
          </w:tcPr>
          <w:p w14:paraId="42C55699"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27980CEA" w14:textId="77777777" w:rsidR="00265BA6" w:rsidRPr="00944B15" w:rsidRDefault="00265BA6" w:rsidP="002D6DD7">
            <w:pPr>
              <w:jc w:val="both"/>
              <w:rPr>
                <w:rFonts w:cs="Times New Roman"/>
                <w:szCs w:val="24"/>
              </w:rPr>
            </w:pPr>
            <w:r>
              <w:rPr>
                <w:rFonts w:cs="Times New Roman"/>
                <w:szCs w:val="24"/>
              </w:rPr>
              <w:t>A</w:t>
            </w:r>
            <w:r w:rsidRPr="00944B15">
              <w:rPr>
                <w:rFonts w:cs="Times New Roman"/>
                <w:szCs w:val="24"/>
              </w:rPr>
              <w:t xml:space="preserve">minoglycosides, </w:t>
            </w:r>
            <w:r>
              <w:rPr>
                <w:rFonts w:cs="Times New Roman"/>
                <w:szCs w:val="24"/>
              </w:rPr>
              <w:t>other n</w:t>
            </w:r>
            <w:r w:rsidRPr="00944B15">
              <w:rPr>
                <w:rFonts w:cs="Times New Roman"/>
                <w:szCs w:val="24"/>
              </w:rPr>
              <w:t xml:space="preserve">on-depolarizing neuromuscular blocking drugs, beta-blockers, clindamycin, </w:t>
            </w:r>
            <w:r>
              <w:rPr>
                <w:rFonts w:cs="Times New Roman"/>
                <w:szCs w:val="24"/>
              </w:rPr>
              <w:t>calcium channel blocker</w:t>
            </w:r>
            <w:r w:rsidRPr="00944B15">
              <w:rPr>
                <w:rFonts w:cs="Times New Roman"/>
                <w:szCs w:val="24"/>
              </w:rPr>
              <w:t xml:space="preserve">, </w:t>
            </w:r>
            <w:r w:rsidRPr="00D777FE">
              <w:rPr>
                <w:rFonts w:cs="Times New Roman"/>
                <w:szCs w:val="24"/>
              </w:rPr>
              <w:t xml:space="preserve">halogenated general anaesthetics, magnesium and lithium salts </w:t>
            </w:r>
            <w:r w:rsidRPr="00944B15">
              <w:rPr>
                <w:rFonts w:cs="Times New Roman"/>
                <w:szCs w:val="24"/>
              </w:rPr>
              <w:t>ketamine, lidocaine, loop diuretics, theophylline and sympathomimetics.</w:t>
            </w:r>
          </w:p>
        </w:tc>
      </w:tr>
      <w:tr w:rsidR="00265BA6" w:rsidRPr="00944B15" w14:paraId="37F350C5" w14:textId="77777777" w:rsidTr="002D6DD7">
        <w:tc>
          <w:tcPr>
            <w:tcW w:w="2605" w:type="dxa"/>
          </w:tcPr>
          <w:p w14:paraId="6346E7BC"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32350AFD" w14:textId="77777777" w:rsidR="00265BA6" w:rsidRPr="00944B15" w:rsidRDefault="00265BA6" w:rsidP="002D6DD7">
            <w:pPr>
              <w:jc w:val="both"/>
              <w:rPr>
                <w:rFonts w:cs="Times New Roman"/>
                <w:szCs w:val="24"/>
              </w:rPr>
            </w:pPr>
            <w:r w:rsidRPr="00944B15">
              <w:rPr>
                <w:rFonts w:cs="Times New Roman"/>
                <w:szCs w:val="24"/>
              </w:rPr>
              <w:t>Seizure, erythema, wheezing, urticaria, cardiac arrest, skin flushing, transient hypotension, bronchospasm, pain at injection site and cardiac arrest.</w:t>
            </w:r>
          </w:p>
        </w:tc>
      </w:tr>
      <w:tr w:rsidR="00265BA6" w:rsidRPr="00944B15" w14:paraId="57347F93" w14:textId="77777777" w:rsidTr="002D6DD7">
        <w:tc>
          <w:tcPr>
            <w:tcW w:w="2605" w:type="dxa"/>
          </w:tcPr>
          <w:p w14:paraId="0C6E6CA3"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034A5F3E" w14:textId="77777777" w:rsidR="00265BA6" w:rsidRPr="00944B15" w:rsidRDefault="00265BA6" w:rsidP="002D6DD7">
            <w:pPr>
              <w:jc w:val="both"/>
              <w:rPr>
                <w:rFonts w:cs="Times New Roman"/>
                <w:szCs w:val="24"/>
              </w:rPr>
            </w:pPr>
            <w:r w:rsidRPr="00944B15">
              <w:rPr>
                <w:rFonts w:cs="Times New Roman"/>
                <w:szCs w:val="24"/>
              </w:rPr>
              <w:t xml:space="preserve">Severe electrolyte disorders, myasthenia gravis, patients with bronchogenic carcinoma, dehydration, hypotension, hypothermia and pulmonary disease. </w:t>
            </w:r>
          </w:p>
        </w:tc>
      </w:tr>
      <w:tr w:rsidR="00265BA6" w:rsidRPr="00944B15" w14:paraId="26C4450C" w14:textId="77777777" w:rsidTr="002D6DD7">
        <w:tc>
          <w:tcPr>
            <w:tcW w:w="2605" w:type="dxa"/>
          </w:tcPr>
          <w:p w14:paraId="140F1122"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211110F5" w14:textId="77777777" w:rsidR="00265BA6" w:rsidRPr="00944B15" w:rsidRDefault="00265BA6" w:rsidP="002D6DD7">
            <w:pPr>
              <w:jc w:val="both"/>
              <w:rPr>
                <w:rFonts w:cs="Times New Roman"/>
                <w:szCs w:val="24"/>
              </w:rPr>
            </w:pPr>
            <w:r w:rsidRPr="00944B15">
              <w:rPr>
                <w:rFonts w:cs="Times New Roman"/>
                <w:szCs w:val="24"/>
              </w:rPr>
              <w:t>Store in a refrigerator (2ºC – 8ºC).</w:t>
            </w:r>
          </w:p>
        </w:tc>
      </w:tr>
      <w:tr w:rsidR="00265BA6" w:rsidRPr="00944B15" w14:paraId="6AA09907" w14:textId="77777777" w:rsidTr="002D6DD7">
        <w:tc>
          <w:tcPr>
            <w:tcW w:w="9350" w:type="dxa"/>
            <w:gridSpan w:val="2"/>
            <w:tcBorders>
              <w:left w:val="single" w:sz="4" w:space="0" w:color="auto"/>
            </w:tcBorders>
          </w:tcPr>
          <w:p w14:paraId="5299A01F" w14:textId="77777777" w:rsidR="00265BA6" w:rsidRPr="00944B15" w:rsidRDefault="00265BA6" w:rsidP="002D6DD7">
            <w:pPr>
              <w:jc w:val="both"/>
              <w:rPr>
                <w:rFonts w:cs="Times New Roman"/>
                <w:szCs w:val="24"/>
              </w:rPr>
            </w:pPr>
            <w:r w:rsidRPr="00944B15">
              <w:rPr>
                <w:rFonts w:cs="Times New Roman"/>
                <w:b/>
                <w:szCs w:val="24"/>
              </w:rPr>
              <w:t>Cisatracurium</w:t>
            </w:r>
          </w:p>
        </w:tc>
      </w:tr>
      <w:tr w:rsidR="00265BA6" w:rsidRPr="00944B15" w14:paraId="36E546AF" w14:textId="77777777" w:rsidTr="002D6DD7">
        <w:tc>
          <w:tcPr>
            <w:tcW w:w="2605" w:type="dxa"/>
          </w:tcPr>
          <w:p w14:paraId="2E1BA498"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75862924" w14:textId="77777777" w:rsidR="00265BA6" w:rsidRPr="00944B15" w:rsidRDefault="00265BA6" w:rsidP="002D6DD7">
            <w:pPr>
              <w:jc w:val="both"/>
              <w:rPr>
                <w:rFonts w:cs="Times New Roman"/>
                <w:szCs w:val="24"/>
              </w:rPr>
            </w:pPr>
            <w:r w:rsidRPr="00944B15">
              <w:rPr>
                <w:rFonts w:cs="Times New Roman"/>
                <w:szCs w:val="24"/>
              </w:rPr>
              <w:t>Non-depolarizing</w:t>
            </w:r>
            <w:r>
              <w:rPr>
                <w:rFonts w:cs="Times New Roman"/>
                <w:szCs w:val="24"/>
              </w:rPr>
              <w:t xml:space="preserve"> neuromuscular blocker</w:t>
            </w:r>
          </w:p>
        </w:tc>
      </w:tr>
      <w:tr w:rsidR="00265BA6" w:rsidRPr="00944B15" w14:paraId="73FF4F29" w14:textId="77777777" w:rsidTr="002D6DD7">
        <w:tc>
          <w:tcPr>
            <w:tcW w:w="2605" w:type="dxa"/>
          </w:tcPr>
          <w:p w14:paraId="14D5841D"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5E3A0C86" w14:textId="77777777" w:rsidR="00265BA6" w:rsidRPr="00944B15" w:rsidRDefault="00265BA6" w:rsidP="002D6DD7">
            <w:pPr>
              <w:jc w:val="both"/>
              <w:rPr>
                <w:rFonts w:cs="Times New Roman"/>
                <w:szCs w:val="24"/>
              </w:rPr>
            </w:pPr>
            <w:r>
              <w:rPr>
                <w:rFonts w:cs="Times New Roman"/>
                <w:szCs w:val="24"/>
              </w:rPr>
              <w:t>Injection:</w:t>
            </w:r>
            <w:r w:rsidRPr="00944B15">
              <w:rPr>
                <w:rFonts w:cs="Times New Roman"/>
                <w:szCs w:val="24"/>
              </w:rPr>
              <w:t xml:space="preserve"> 2mg/</w:t>
            </w:r>
            <w:r>
              <w:rPr>
                <w:rFonts w:cs="Times New Roman"/>
                <w:szCs w:val="24"/>
              </w:rPr>
              <w:t>ml</w:t>
            </w:r>
            <w:r w:rsidRPr="00944B15">
              <w:rPr>
                <w:rFonts w:cs="Times New Roman"/>
                <w:szCs w:val="24"/>
              </w:rPr>
              <w:t xml:space="preserve"> in 10</w:t>
            </w:r>
            <w:r>
              <w:rPr>
                <w:rFonts w:cs="Times New Roman"/>
                <w:szCs w:val="24"/>
              </w:rPr>
              <w:t>ml</w:t>
            </w:r>
            <w:r w:rsidRPr="00944B15">
              <w:rPr>
                <w:rFonts w:cs="Times New Roman"/>
                <w:szCs w:val="24"/>
              </w:rPr>
              <w:t xml:space="preserve"> ampoule</w:t>
            </w:r>
          </w:p>
        </w:tc>
      </w:tr>
      <w:tr w:rsidR="00265BA6" w:rsidRPr="00944B15" w14:paraId="007C04C6" w14:textId="77777777" w:rsidTr="002D6DD7">
        <w:tc>
          <w:tcPr>
            <w:tcW w:w="2605" w:type="dxa"/>
          </w:tcPr>
          <w:p w14:paraId="248CD9F9"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4A92E585" w14:textId="77777777" w:rsidR="00265BA6" w:rsidRPr="00944B15" w:rsidRDefault="00265BA6" w:rsidP="002D6DD7">
            <w:pPr>
              <w:jc w:val="both"/>
              <w:rPr>
                <w:rFonts w:cs="Times New Roman"/>
                <w:szCs w:val="24"/>
              </w:rPr>
            </w:pPr>
            <w:r w:rsidRPr="00944B15">
              <w:rPr>
                <w:rFonts w:cs="Times New Roman"/>
                <w:szCs w:val="24"/>
              </w:rPr>
              <w:t xml:space="preserve">As an adjunct to general </w:t>
            </w:r>
            <w:r>
              <w:rPr>
                <w:rFonts w:cs="Times New Roman"/>
                <w:szCs w:val="24"/>
              </w:rPr>
              <w:t>anesthesia</w:t>
            </w:r>
            <w:r w:rsidRPr="00944B15">
              <w:rPr>
                <w:rFonts w:cs="Times New Roman"/>
                <w:szCs w:val="24"/>
              </w:rPr>
              <w:t xml:space="preserve"> to facilitate endotracheal intubation and to provide skeletal muscle relaxation during surgery or mechanical ventilation.</w:t>
            </w:r>
          </w:p>
        </w:tc>
      </w:tr>
      <w:tr w:rsidR="00265BA6" w:rsidRPr="00944B15" w14:paraId="5E885000" w14:textId="77777777" w:rsidTr="002D6DD7">
        <w:tc>
          <w:tcPr>
            <w:tcW w:w="2605" w:type="dxa"/>
          </w:tcPr>
          <w:p w14:paraId="30CFD129"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2F97D256" w14:textId="77777777" w:rsidR="00265BA6" w:rsidRPr="00944B15" w:rsidRDefault="00265BA6" w:rsidP="002D6DD7">
            <w:pPr>
              <w:jc w:val="both"/>
              <w:rPr>
                <w:rFonts w:cs="Times New Roman"/>
                <w:b/>
                <w:szCs w:val="24"/>
              </w:rPr>
            </w:pPr>
            <w:r w:rsidRPr="00944B15">
              <w:rPr>
                <w:rFonts w:cs="Times New Roman"/>
                <w:b/>
                <w:szCs w:val="24"/>
              </w:rPr>
              <w:t>Adult</w:t>
            </w:r>
            <w:r>
              <w:rPr>
                <w:rFonts w:cs="Times New Roman"/>
                <w:b/>
                <w:szCs w:val="24"/>
              </w:rPr>
              <w:t>:</w:t>
            </w:r>
          </w:p>
          <w:p w14:paraId="6E6CF44F" w14:textId="77777777" w:rsidR="00265BA6" w:rsidRPr="00944B15" w:rsidRDefault="00265BA6" w:rsidP="002D6DD7">
            <w:pPr>
              <w:jc w:val="both"/>
              <w:rPr>
                <w:rFonts w:cs="Times New Roman"/>
                <w:b/>
                <w:szCs w:val="24"/>
              </w:rPr>
            </w:pPr>
            <w:r w:rsidRPr="00944B15">
              <w:rPr>
                <w:rFonts w:cs="Times New Roman"/>
                <w:b/>
                <w:szCs w:val="24"/>
              </w:rPr>
              <w:t xml:space="preserve">Neuromuscular blockade (intermediate duration) during </w:t>
            </w:r>
            <w:r w:rsidRPr="00944B15">
              <w:rPr>
                <w:rFonts w:cs="Times New Roman"/>
                <w:b/>
                <w:szCs w:val="24"/>
              </w:rPr>
              <w:lastRenderedPageBreak/>
              <w:t>surgery and intubation</w:t>
            </w:r>
            <w:r>
              <w:rPr>
                <w:rFonts w:cs="Times New Roman"/>
                <w:b/>
                <w:szCs w:val="24"/>
              </w:rPr>
              <w:t>:</w:t>
            </w:r>
          </w:p>
          <w:p w14:paraId="64E572B2" w14:textId="77777777" w:rsidR="00265BA6" w:rsidRPr="00944B15" w:rsidRDefault="00265BA6" w:rsidP="002D6DD7">
            <w:pPr>
              <w:jc w:val="both"/>
              <w:rPr>
                <w:rFonts w:cs="Times New Roman"/>
                <w:b/>
                <w:szCs w:val="24"/>
              </w:rPr>
            </w:pPr>
            <w:r w:rsidRPr="00944B15">
              <w:rPr>
                <w:rFonts w:cs="Times New Roman"/>
                <w:szCs w:val="24"/>
              </w:rPr>
              <w:t>By IV injection</w:t>
            </w:r>
            <w:r w:rsidRPr="00944B15">
              <w:rPr>
                <w:rFonts w:cs="Times New Roman"/>
                <w:b/>
                <w:szCs w:val="24"/>
              </w:rPr>
              <w:t xml:space="preserve">: </w:t>
            </w:r>
            <w:r w:rsidRPr="00944B15">
              <w:rPr>
                <w:rFonts w:cs="Times New Roman"/>
                <w:szCs w:val="24"/>
              </w:rPr>
              <w:t xml:space="preserve">Initially </w:t>
            </w:r>
            <w:r>
              <w:rPr>
                <w:rFonts w:cs="Times New Roman"/>
                <w:szCs w:val="24"/>
              </w:rPr>
              <w:t>0.15mg</w:t>
            </w:r>
            <w:r w:rsidRPr="00944B15">
              <w:rPr>
                <w:rFonts w:cs="Times New Roman"/>
                <w:szCs w:val="24"/>
              </w:rPr>
              <w:t xml:space="preserve">/kg, then maintenance </w:t>
            </w:r>
            <w:r>
              <w:rPr>
                <w:rFonts w:cs="Times New Roman"/>
                <w:szCs w:val="24"/>
              </w:rPr>
              <w:t>0.03mg</w:t>
            </w:r>
            <w:r w:rsidRPr="00944B15">
              <w:rPr>
                <w:rFonts w:cs="Times New Roman"/>
                <w:szCs w:val="24"/>
              </w:rPr>
              <w:t xml:space="preserve">/kg every 20 minutes, </w:t>
            </w:r>
          </w:p>
          <w:p w14:paraId="516DFFCA" w14:textId="77777777" w:rsidR="00265BA6" w:rsidRPr="00944B15" w:rsidRDefault="00265BA6" w:rsidP="002D6DD7">
            <w:pPr>
              <w:jc w:val="both"/>
              <w:rPr>
                <w:rFonts w:cs="Times New Roman"/>
                <w:szCs w:val="24"/>
              </w:rPr>
            </w:pPr>
            <w:r w:rsidRPr="00944B15">
              <w:rPr>
                <w:rFonts w:cs="Times New Roman"/>
                <w:szCs w:val="24"/>
              </w:rPr>
              <w:t xml:space="preserve">IV infusion: Initially </w:t>
            </w:r>
            <w:r>
              <w:rPr>
                <w:rFonts w:cs="Times New Roman"/>
                <w:szCs w:val="24"/>
              </w:rPr>
              <w:t>0.18mg</w:t>
            </w:r>
            <w:r w:rsidRPr="00944B15">
              <w:rPr>
                <w:rFonts w:cs="Times New Roman"/>
                <w:szCs w:val="24"/>
              </w:rPr>
              <w:t xml:space="preserve">/kg/hour, then (by IV infusion) maintenance </w:t>
            </w:r>
            <w:r>
              <w:rPr>
                <w:rFonts w:cs="Times New Roman"/>
                <w:szCs w:val="24"/>
              </w:rPr>
              <w:t>0.06</w:t>
            </w:r>
            <w:r w:rsidRPr="00944B15">
              <w:rPr>
                <w:rFonts w:cs="Times New Roman"/>
                <w:szCs w:val="24"/>
              </w:rPr>
              <w:t>–</w:t>
            </w:r>
            <w:r>
              <w:rPr>
                <w:rFonts w:cs="Times New Roman"/>
                <w:szCs w:val="24"/>
              </w:rPr>
              <w:t>0.12</w:t>
            </w:r>
            <w:r w:rsidRPr="00944B15">
              <w:rPr>
                <w:rFonts w:cs="Times New Roman"/>
                <w:szCs w:val="24"/>
              </w:rPr>
              <w:t xml:space="preserve"> </w:t>
            </w:r>
            <w:r>
              <w:rPr>
                <w:rFonts w:cs="Times New Roman"/>
                <w:szCs w:val="24"/>
              </w:rPr>
              <w:t>mg</w:t>
            </w:r>
            <w:r w:rsidRPr="00944B15">
              <w:rPr>
                <w:rFonts w:cs="Times New Roman"/>
                <w:szCs w:val="24"/>
              </w:rPr>
              <w:t>/kg/hour, maintenance dose administered after stabilization.</w:t>
            </w:r>
          </w:p>
          <w:p w14:paraId="03FABC28" w14:textId="77777777" w:rsidR="00265BA6" w:rsidRPr="00944B15" w:rsidRDefault="00265BA6" w:rsidP="002D6DD7">
            <w:pPr>
              <w:jc w:val="both"/>
              <w:rPr>
                <w:rFonts w:cs="Times New Roman"/>
                <w:b/>
                <w:szCs w:val="24"/>
              </w:rPr>
            </w:pPr>
            <w:r w:rsidRPr="00944B15">
              <w:rPr>
                <w:rFonts w:cs="Times New Roman"/>
                <w:b/>
                <w:szCs w:val="24"/>
              </w:rPr>
              <w:t>Neuromuscular blockade (intermediate duration) during intensive care</w:t>
            </w:r>
            <w:r>
              <w:rPr>
                <w:rFonts w:cs="Times New Roman"/>
                <w:b/>
                <w:szCs w:val="24"/>
              </w:rPr>
              <w:t>:</w:t>
            </w:r>
          </w:p>
          <w:p w14:paraId="451100DB" w14:textId="77777777" w:rsidR="00265BA6" w:rsidRPr="00944B15" w:rsidRDefault="00265BA6" w:rsidP="002D6DD7">
            <w:pPr>
              <w:jc w:val="both"/>
              <w:rPr>
                <w:rFonts w:cs="Times New Roman"/>
                <w:szCs w:val="24"/>
              </w:rPr>
            </w:pPr>
            <w:r w:rsidRPr="00944B15">
              <w:rPr>
                <w:rFonts w:cs="Times New Roman"/>
                <w:szCs w:val="24"/>
              </w:rPr>
              <w:t xml:space="preserve">By IV injection: Initially </w:t>
            </w:r>
            <w:r>
              <w:rPr>
                <w:rFonts w:cs="Times New Roman"/>
                <w:szCs w:val="24"/>
              </w:rPr>
              <w:t>0.15mg</w:t>
            </w:r>
            <w:r w:rsidRPr="00944B15">
              <w:rPr>
                <w:rFonts w:cs="Times New Roman"/>
                <w:szCs w:val="24"/>
              </w:rPr>
              <w:t xml:space="preserve">/kg, then (by IV infusion) </w:t>
            </w:r>
            <w:r>
              <w:rPr>
                <w:rFonts w:cs="Times New Roman"/>
                <w:szCs w:val="24"/>
              </w:rPr>
              <w:t>0.18mg</w:t>
            </w:r>
            <w:r w:rsidRPr="00944B15">
              <w:rPr>
                <w:rFonts w:cs="Times New Roman"/>
                <w:szCs w:val="24"/>
              </w:rPr>
              <w:t>/kg/hour, adjusted according to response; (by IV infusion) usual dose</w:t>
            </w:r>
            <w:r>
              <w:rPr>
                <w:rFonts w:cs="Times New Roman"/>
                <w:szCs w:val="24"/>
              </w:rPr>
              <w:t xml:space="preserve"> 0.03</w:t>
            </w:r>
            <w:r w:rsidRPr="00944B15">
              <w:rPr>
                <w:rFonts w:cs="Times New Roman"/>
                <w:szCs w:val="24"/>
              </w:rPr>
              <w:t>–</w:t>
            </w:r>
            <w:r>
              <w:rPr>
                <w:rFonts w:cs="Times New Roman"/>
                <w:szCs w:val="24"/>
              </w:rPr>
              <w:t>0.6mg</w:t>
            </w:r>
            <w:r w:rsidRPr="00944B15">
              <w:rPr>
                <w:rFonts w:cs="Times New Roman"/>
                <w:szCs w:val="24"/>
              </w:rPr>
              <w:t>/kg/hour.</w:t>
            </w:r>
          </w:p>
          <w:p w14:paraId="385A9F7C" w14:textId="77777777" w:rsidR="00265BA6" w:rsidRPr="00944B15" w:rsidRDefault="00265BA6" w:rsidP="002D6DD7">
            <w:pPr>
              <w:jc w:val="both"/>
              <w:rPr>
                <w:rFonts w:cs="Times New Roman"/>
                <w:b/>
                <w:szCs w:val="24"/>
              </w:rPr>
            </w:pPr>
            <w:r>
              <w:rPr>
                <w:rFonts w:cs="Times New Roman"/>
                <w:b/>
                <w:szCs w:val="24"/>
              </w:rPr>
              <w:t>Pediatric:</w:t>
            </w:r>
          </w:p>
          <w:p w14:paraId="07A52E4B" w14:textId="77777777" w:rsidR="00265BA6" w:rsidRPr="00944B15" w:rsidRDefault="00265BA6" w:rsidP="002D6DD7">
            <w:pPr>
              <w:jc w:val="both"/>
              <w:rPr>
                <w:rFonts w:cs="Times New Roman"/>
                <w:b/>
                <w:szCs w:val="24"/>
              </w:rPr>
            </w:pPr>
            <w:r w:rsidRPr="00944B15">
              <w:rPr>
                <w:rFonts w:cs="Times New Roman"/>
                <w:b/>
                <w:szCs w:val="24"/>
              </w:rPr>
              <w:t>Neuromuscular blockade (intermediate duration) during surgery an</w:t>
            </w:r>
            <w:r>
              <w:rPr>
                <w:rFonts w:cs="Times New Roman"/>
                <w:b/>
                <w:szCs w:val="24"/>
              </w:rPr>
              <w:t>d intubation and intensive care:</w:t>
            </w:r>
            <w:r w:rsidRPr="00944B15">
              <w:rPr>
                <w:rFonts w:cs="Times New Roman"/>
                <w:b/>
                <w:szCs w:val="24"/>
              </w:rPr>
              <w:t xml:space="preserve"> IV </w:t>
            </w:r>
          </w:p>
          <w:p w14:paraId="66EDA958" w14:textId="77777777" w:rsidR="00265BA6" w:rsidRPr="00944B15" w:rsidRDefault="00265BA6" w:rsidP="002D6DD7">
            <w:pPr>
              <w:jc w:val="both"/>
              <w:rPr>
                <w:rFonts w:cs="Times New Roman"/>
                <w:szCs w:val="24"/>
              </w:rPr>
            </w:pPr>
            <w:r w:rsidRPr="00944B15">
              <w:rPr>
                <w:rFonts w:cs="Times New Roman"/>
                <w:b/>
                <w:szCs w:val="24"/>
              </w:rPr>
              <w:t xml:space="preserve">Child 1 month–1 year: </w:t>
            </w:r>
            <w:r w:rsidRPr="00944B15">
              <w:rPr>
                <w:rFonts w:cs="Times New Roman"/>
                <w:szCs w:val="24"/>
              </w:rPr>
              <w:t xml:space="preserve">Initially </w:t>
            </w:r>
            <w:r>
              <w:rPr>
                <w:rFonts w:cs="Times New Roman"/>
                <w:szCs w:val="24"/>
              </w:rPr>
              <w:t>0.15mg</w:t>
            </w:r>
            <w:r w:rsidRPr="00944B15">
              <w:rPr>
                <w:rFonts w:cs="Times New Roman"/>
                <w:szCs w:val="24"/>
              </w:rPr>
              <w:t xml:space="preserve">/kg, then by IV injection </w:t>
            </w:r>
            <w:r>
              <w:rPr>
                <w:rFonts w:cs="Times New Roman"/>
                <w:szCs w:val="24"/>
              </w:rPr>
              <w:t>0.03mg</w:t>
            </w:r>
            <w:r w:rsidRPr="00944B15">
              <w:rPr>
                <w:rFonts w:cs="Times New Roman"/>
                <w:szCs w:val="24"/>
              </w:rPr>
              <w:t>/kg every 20minutes as required</w:t>
            </w:r>
          </w:p>
          <w:p w14:paraId="4686745A" w14:textId="77777777" w:rsidR="00265BA6" w:rsidRPr="00944B15" w:rsidRDefault="00265BA6" w:rsidP="002D6DD7">
            <w:pPr>
              <w:jc w:val="both"/>
              <w:rPr>
                <w:rFonts w:cs="Times New Roman"/>
                <w:szCs w:val="24"/>
              </w:rPr>
            </w:pPr>
            <w:r w:rsidRPr="00944B15">
              <w:rPr>
                <w:rFonts w:cs="Times New Roman"/>
                <w:b/>
                <w:szCs w:val="24"/>
              </w:rPr>
              <w:t>Child 2–11 years:</w:t>
            </w:r>
            <w:r w:rsidRPr="00944B15">
              <w:rPr>
                <w:rFonts w:cs="Times New Roman"/>
                <w:szCs w:val="24"/>
              </w:rPr>
              <w:t xml:space="preserve"> Initially </w:t>
            </w:r>
            <w:r>
              <w:rPr>
                <w:rFonts w:cs="Times New Roman"/>
                <w:szCs w:val="24"/>
              </w:rPr>
              <w:t>0.15mg</w:t>
            </w:r>
            <w:r w:rsidRPr="00944B15">
              <w:rPr>
                <w:rFonts w:cs="Times New Roman"/>
                <w:szCs w:val="24"/>
              </w:rPr>
              <w:t xml:space="preserve">/kg, </w:t>
            </w:r>
            <w:r>
              <w:rPr>
                <w:rFonts w:cs="Times New Roman"/>
                <w:szCs w:val="24"/>
              </w:rPr>
              <w:t>0.08 – 0.1mg</w:t>
            </w:r>
            <w:r w:rsidRPr="00944B15">
              <w:rPr>
                <w:rFonts w:cs="Times New Roman"/>
                <w:szCs w:val="24"/>
              </w:rPr>
              <w:t xml:space="preserve">kg if not for intubation, then by IV injection </w:t>
            </w:r>
            <w:r>
              <w:rPr>
                <w:rFonts w:cs="Times New Roman"/>
                <w:szCs w:val="24"/>
              </w:rPr>
              <w:t>0.02mg</w:t>
            </w:r>
            <w:r w:rsidRPr="00944B15">
              <w:rPr>
                <w:rFonts w:cs="Times New Roman"/>
                <w:szCs w:val="24"/>
              </w:rPr>
              <w:t>/kg every 10 minutes as required; OR</w:t>
            </w:r>
          </w:p>
          <w:p w14:paraId="2F2A834D" w14:textId="77777777" w:rsidR="00265BA6" w:rsidRPr="00944B15" w:rsidRDefault="00265BA6" w:rsidP="002D6DD7">
            <w:pPr>
              <w:jc w:val="both"/>
              <w:rPr>
                <w:rFonts w:cs="Times New Roman"/>
                <w:szCs w:val="24"/>
              </w:rPr>
            </w:pPr>
            <w:r w:rsidRPr="00944B15">
              <w:rPr>
                <w:rFonts w:cs="Times New Roman"/>
                <w:szCs w:val="24"/>
              </w:rPr>
              <w:t xml:space="preserve">By IV injection initially </w:t>
            </w:r>
            <w:r>
              <w:rPr>
                <w:rFonts w:cs="Times New Roman"/>
                <w:szCs w:val="24"/>
              </w:rPr>
              <w:t>0.15mg</w:t>
            </w:r>
            <w:r w:rsidRPr="00944B15">
              <w:rPr>
                <w:rFonts w:cs="Times New Roman"/>
                <w:szCs w:val="24"/>
              </w:rPr>
              <w:t xml:space="preserve">/kg, followed by IV infusion </w:t>
            </w:r>
            <w:r>
              <w:rPr>
                <w:rFonts w:cs="Times New Roman"/>
                <w:szCs w:val="24"/>
              </w:rPr>
              <w:t>0.18mg</w:t>
            </w:r>
            <w:r w:rsidRPr="00944B15">
              <w:rPr>
                <w:rFonts w:cs="Times New Roman"/>
                <w:szCs w:val="24"/>
              </w:rPr>
              <w:t xml:space="preserve">/kg/hour, by IV infusion reduced to </w:t>
            </w:r>
            <w:r>
              <w:rPr>
                <w:rFonts w:cs="Times New Roman"/>
                <w:szCs w:val="24"/>
              </w:rPr>
              <w:t>0.06 -.12mg</w:t>
            </w:r>
            <w:r w:rsidRPr="00944B15">
              <w:rPr>
                <w:rFonts w:cs="Times New Roman"/>
                <w:szCs w:val="24"/>
              </w:rPr>
              <w:t>/kg/hour, adjusted according to response</w:t>
            </w:r>
          </w:p>
          <w:p w14:paraId="0CFBFC50" w14:textId="77777777" w:rsidR="00265BA6" w:rsidRPr="00944B15" w:rsidRDefault="00265BA6" w:rsidP="002D6DD7">
            <w:pPr>
              <w:jc w:val="both"/>
              <w:rPr>
                <w:rFonts w:cs="Times New Roman"/>
                <w:szCs w:val="24"/>
              </w:rPr>
            </w:pPr>
            <w:r w:rsidRPr="00944B15">
              <w:rPr>
                <w:rFonts w:cs="Times New Roman"/>
                <w:b/>
                <w:szCs w:val="24"/>
              </w:rPr>
              <w:t>Child 12–17 years:</w:t>
            </w:r>
            <w:r w:rsidRPr="00944B15">
              <w:rPr>
                <w:rFonts w:cs="Times New Roman"/>
                <w:szCs w:val="24"/>
              </w:rPr>
              <w:t xml:space="preserve"> Initially </w:t>
            </w:r>
            <w:r>
              <w:rPr>
                <w:rFonts w:cs="Times New Roman"/>
                <w:szCs w:val="24"/>
              </w:rPr>
              <w:t>0.15mg</w:t>
            </w:r>
            <w:r w:rsidRPr="00944B15">
              <w:rPr>
                <w:rFonts w:cs="Times New Roman"/>
                <w:szCs w:val="24"/>
              </w:rPr>
              <w:t xml:space="preserve">/kg, then by IV injection </w:t>
            </w:r>
            <w:r>
              <w:rPr>
                <w:rFonts w:cs="Times New Roman"/>
                <w:szCs w:val="24"/>
              </w:rPr>
              <w:t>0.03mg</w:t>
            </w:r>
            <w:r w:rsidRPr="00944B15">
              <w:rPr>
                <w:rFonts w:cs="Times New Roman"/>
                <w:szCs w:val="24"/>
              </w:rPr>
              <w:t>/kg every 20 minutes as required OR</w:t>
            </w:r>
          </w:p>
          <w:p w14:paraId="3A0B4CA6" w14:textId="77777777" w:rsidR="00265BA6" w:rsidRPr="00944B15" w:rsidRDefault="00265BA6" w:rsidP="002D6DD7">
            <w:pPr>
              <w:jc w:val="both"/>
              <w:rPr>
                <w:rFonts w:cs="Times New Roman"/>
                <w:szCs w:val="24"/>
              </w:rPr>
            </w:pPr>
            <w:r w:rsidRPr="00944B15">
              <w:rPr>
                <w:rFonts w:cs="Times New Roman"/>
                <w:szCs w:val="24"/>
              </w:rPr>
              <w:t>By IV injection: initially</w:t>
            </w:r>
            <w:r w:rsidR="00AE4D87">
              <w:rPr>
                <w:rFonts w:cs="Times New Roman"/>
                <w:szCs w:val="24"/>
              </w:rPr>
              <w:t xml:space="preserve"> </w:t>
            </w:r>
            <w:r>
              <w:rPr>
                <w:rFonts w:cs="Times New Roman"/>
                <w:szCs w:val="24"/>
              </w:rPr>
              <w:t>0.15mg</w:t>
            </w:r>
            <w:r w:rsidRPr="00944B15">
              <w:rPr>
                <w:rFonts w:cs="Times New Roman"/>
                <w:szCs w:val="24"/>
              </w:rPr>
              <w:t xml:space="preserve">/kg, followed by IV infusion </w:t>
            </w:r>
            <w:r>
              <w:rPr>
                <w:rFonts w:cs="Times New Roman"/>
                <w:szCs w:val="24"/>
              </w:rPr>
              <w:t>0.18mg</w:t>
            </w:r>
            <w:r w:rsidRPr="00944B15">
              <w:rPr>
                <w:rFonts w:cs="Times New Roman"/>
                <w:szCs w:val="24"/>
              </w:rPr>
              <w:t xml:space="preserve">/kg/hour, by IV infusion reduced to </w:t>
            </w:r>
            <w:r>
              <w:rPr>
                <w:rFonts w:cs="Times New Roman"/>
                <w:szCs w:val="24"/>
              </w:rPr>
              <w:t>0.06 -0.12mg</w:t>
            </w:r>
            <w:r w:rsidRPr="00944B15" w:rsidDel="00762959">
              <w:rPr>
                <w:rFonts w:cs="Times New Roman"/>
                <w:szCs w:val="24"/>
              </w:rPr>
              <w:t xml:space="preserve"> </w:t>
            </w:r>
            <w:r w:rsidRPr="00944B15">
              <w:rPr>
                <w:rFonts w:cs="Times New Roman"/>
                <w:szCs w:val="24"/>
              </w:rPr>
              <w:t>/kg/hour, adjusted according to response.</w:t>
            </w:r>
          </w:p>
        </w:tc>
      </w:tr>
      <w:tr w:rsidR="00265BA6" w:rsidRPr="00944B15" w14:paraId="603121B2" w14:textId="77777777" w:rsidTr="002D6DD7">
        <w:tc>
          <w:tcPr>
            <w:tcW w:w="2605" w:type="dxa"/>
          </w:tcPr>
          <w:p w14:paraId="2E71E5B8"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628695E3" w14:textId="77777777" w:rsidR="00265BA6" w:rsidRPr="00944B15" w:rsidRDefault="00265BA6"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w:t>
            </w:r>
            <w:r w:rsidRPr="00944B15">
              <w:rPr>
                <w:rFonts w:cs="Times New Roman"/>
                <w:szCs w:val="24"/>
              </w:rPr>
              <w:t xml:space="preserve"> or </w:t>
            </w:r>
            <w:r>
              <w:rPr>
                <w:rFonts w:cs="Times New Roman"/>
                <w:szCs w:val="24"/>
              </w:rPr>
              <w:t>other neuromuscular blocker</w:t>
            </w:r>
            <w:r w:rsidRPr="00944B15">
              <w:rPr>
                <w:rFonts w:cs="Times New Roman"/>
                <w:szCs w:val="24"/>
              </w:rPr>
              <w:t xml:space="preserve"> or benzene sulfonic acid</w:t>
            </w:r>
            <w:r>
              <w:rPr>
                <w:rFonts w:cs="Times New Roman"/>
                <w:szCs w:val="24"/>
              </w:rPr>
              <w:t xml:space="preserve"> and pediatric &lt;1month (benzyl alcohol).</w:t>
            </w:r>
          </w:p>
        </w:tc>
      </w:tr>
      <w:tr w:rsidR="00265BA6" w:rsidRPr="00944B15" w14:paraId="7DB4F531" w14:textId="77777777" w:rsidTr="002D6DD7">
        <w:tc>
          <w:tcPr>
            <w:tcW w:w="2605" w:type="dxa"/>
          </w:tcPr>
          <w:p w14:paraId="57E689A5"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423B72EE" w14:textId="77777777" w:rsidR="00265BA6" w:rsidRPr="00944B15" w:rsidRDefault="00265BA6" w:rsidP="002D6DD7">
            <w:pPr>
              <w:jc w:val="both"/>
              <w:rPr>
                <w:rFonts w:cs="Times New Roman"/>
                <w:szCs w:val="24"/>
              </w:rPr>
            </w:pPr>
            <w:r>
              <w:rPr>
                <w:rFonts w:cs="Times New Roman"/>
                <w:szCs w:val="24"/>
              </w:rPr>
              <w:t>Other n</w:t>
            </w:r>
            <w:r w:rsidRPr="00944B15">
              <w:rPr>
                <w:rFonts w:cs="Times New Roman"/>
                <w:szCs w:val="24"/>
              </w:rPr>
              <w:t xml:space="preserve">on-depolarizing neuromuscular blocking drugs, phenytoin, aminoglycosides, tetracyclines, clindamycin, halogenated general </w:t>
            </w:r>
            <w:r w:rsidRPr="00944B15">
              <w:rPr>
                <w:rFonts w:cs="Times New Roman"/>
                <w:szCs w:val="24"/>
              </w:rPr>
              <w:lastRenderedPageBreak/>
              <w:t>anaesthetics, suxamethonium, magnesium and lithium salts and carbamazepine.</w:t>
            </w:r>
          </w:p>
        </w:tc>
      </w:tr>
      <w:tr w:rsidR="00265BA6" w:rsidRPr="00944B15" w14:paraId="59CB9D80" w14:textId="77777777" w:rsidTr="002D6DD7">
        <w:tc>
          <w:tcPr>
            <w:tcW w:w="2605" w:type="dxa"/>
          </w:tcPr>
          <w:p w14:paraId="222F45C0" w14:textId="77777777" w:rsidR="00265BA6" w:rsidRPr="00944B15" w:rsidRDefault="00265BA6" w:rsidP="002D6DD7">
            <w:pPr>
              <w:jc w:val="both"/>
              <w:rPr>
                <w:rFonts w:cs="Times New Roman"/>
                <w:szCs w:val="24"/>
              </w:rPr>
            </w:pPr>
            <w:r w:rsidRPr="00944B15">
              <w:rPr>
                <w:rFonts w:cs="Times New Roman"/>
                <w:szCs w:val="24"/>
              </w:rPr>
              <w:lastRenderedPageBreak/>
              <w:t>Side effects</w:t>
            </w:r>
          </w:p>
        </w:tc>
        <w:tc>
          <w:tcPr>
            <w:tcW w:w="6745" w:type="dxa"/>
          </w:tcPr>
          <w:p w14:paraId="0A938E6D" w14:textId="77777777" w:rsidR="00265BA6" w:rsidRPr="00944B15" w:rsidRDefault="00265BA6" w:rsidP="002D6DD7">
            <w:pPr>
              <w:jc w:val="both"/>
              <w:rPr>
                <w:rFonts w:cs="Times New Roman"/>
                <w:szCs w:val="24"/>
              </w:rPr>
            </w:pPr>
            <w:r w:rsidRPr="00944B15">
              <w:rPr>
                <w:rFonts w:cs="Times New Roman"/>
                <w:szCs w:val="24"/>
              </w:rPr>
              <w:t>Anaphylactic reaction, bradycardia, hypotension, bronchospasms, myopathy</w:t>
            </w:r>
            <w:r>
              <w:rPr>
                <w:rFonts w:cs="Times New Roman"/>
                <w:szCs w:val="24"/>
              </w:rPr>
              <w:t xml:space="preserve">, </w:t>
            </w:r>
            <w:r w:rsidRPr="00944B15">
              <w:rPr>
                <w:rFonts w:cs="Times New Roman"/>
                <w:szCs w:val="24"/>
              </w:rPr>
              <w:t>muscle weakness</w:t>
            </w:r>
            <w:r>
              <w:rPr>
                <w:rFonts w:cs="Times New Roman"/>
                <w:szCs w:val="24"/>
              </w:rPr>
              <w:t>.</w:t>
            </w:r>
          </w:p>
        </w:tc>
      </w:tr>
      <w:tr w:rsidR="00265BA6" w:rsidRPr="00944B15" w14:paraId="66D49AB6" w14:textId="77777777" w:rsidTr="002D6DD7">
        <w:tc>
          <w:tcPr>
            <w:tcW w:w="2605" w:type="dxa"/>
          </w:tcPr>
          <w:p w14:paraId="7366104A"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2D8BCA17" w14:textId="77777777" w:rsidR="00265BA6" w:rsidRPr="00944B15" w:rsidRDefault="00265BA6" w:rsidP="002D6DD7">
            <w:pPr>
              <w:jc w:val="both"/>
              <w:rPr>
                <w:rFonts w:cs="Times New Roman"/>
                <w:szCs w:val="24"/>
              </w:rPr>
            </w:pPr>
            <w:r w:rsidRPr="00944B15">
              <w:rPr>
                <w:rFonts w:cs="Times New Roman"/>
                <w:szCs w:val="24"/>
              </w:rPr>
              <w:t xml:space="preserve">Myasthenia gravis, </w:t>
            </w:r>
            <w:r>
              <w:rPr>
                <w:rFonts w:cs="Times New Roman"/>
                <w:szCs w:val="24"/>
              </w:rPr>
              <w:t xml:space="preserve">pregnancy, </w:t>
            </w:r>
            <w:r w:rsidRPr="00944B15">
              <w:rPr>
                <w:rFonts w:cs="Times New Roman"/>
                <w:szCs w:val="24"/>
              </w:rPr>
              <w:t>severe acid-base and/or serum electrolyte abnormalities, seizure</w:t>
            </w:r>
            <w:r>
              <w:rPr>
                <w:rFonts w:cs="Times New Roman"/>
                <w:szCs w:val="24"/>
              </w:rPr>
              <w:t xml:space="preserve">, </w:t>
            </w:r>
            <w:r w:rsidRPr="00944B15">
              <w:rPr>
                <w:rFonts w:cs="Times New Roman"/>
                <w:szCs w:val="24"/>
              </w:rPr>
              <w:t>hypovolemia.</w:t>
            </w:r>
          </w:p>
        </w:tc>
      </w:tr>
      <w:tr w:rsidR="00265BA6" w:rsidRPr="00944B15" w14:paraId="12203DDC" w14:textId="77777777" w:rsidTr="002D6DD7">
        <w:tc>
          <w:tcPr>
            <w:tcW w:w="2605" w:type="dxa"/>
          </w:tcPr>
          <w:p w14:paraId="05402777"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0936B090" w14:textId="77777777" w:rsidR="00265BA6" w:rsidRPr="00944B15" w:rsidRDefault="00265BA6" w:rsidP="002D6DD7">
            <w:pPr>
              <w:jc w:val="both"/>
              <w:rPr>
                <w:rFonts w:cs="Times New Roman"/>
                <w:szCs w:val="24"/>
              </w:rPr>
            </w:pPr>
            <w:r w:rsidRPr="00944B15">
              <w:rPr>
                <w:rFonts w:cs="Times New Roman"/>
                <w:szCs w:val="24"/>
              </w:rPr>
              <w:t xml:space="preserve">Store in a refrigerator (2° C to 8° C). </w:t>
            </w:r>
          </w:p>
        </w:tc>
      </w:tr>
      <w:tr w:rsidR="00265BA6" w:rsidRPr="00944B15" w14:paraId="504DFD9E" w14:textId="77777777" w:rsidTr="002D6DD7">
        <w:tc>
          <w:tcPr>
            <w:tcW w:w="9350" w:type="dxa"/>
            <w:gridSpan w:val="2"/>
          </w:tcPr>
          <w:p w14:paraId="79F1E793" w14:textId="77777777" w:rsidR="00265BA6" w:rsidRPr="00944B15" w:rsidRDefault="00265BA6" w:rsidP="002D6DD7">
            <w:pPr>
              <w:jc w:val="both"/>
              <w:rPr>
                <w:rFonts w:cs="Times New Roman"/>
                <w:szCs w:val="24"/>
              </w:rPr>
            </w:pPr>
            <w:r w:rsidRPr="00944B15">
              <w:rPr>
                <w:rFonts w:cs="Times New Roman"/>
                <w:b/>
                <w:szCs w:val="24"/>
              </w:rPr>
              <w:t>Pancuronium Bromide</w:t>
            </w:r>
          </w:p>
        </w:tc>
      </w:tr>
      <w:tr w:rsidR="00265BA6" w:rsidRPr="00944B15" w14:paraId="485BF237" w14:textId="77777777" w:rsidTr="002D6DD7">
        <w:tc>
          <w:tcPr>
            <w:tcW w:w="2605" w:type="dxa"/>
          </w:tcPr>
          <w:p w14:paraId="5B07831E"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4A3E053E" w14:textId="77777777" w:rsidR="00265BA6" w:rsidRPr="00850232" w:rsidRDefault="00265BA6" w:rsidP="002D6DD7">
            <w:pPr>
              <w:jc w:val="both"/>
              <w:rPr>
                <w:rFonts w:cs="Times New Roman"/>
                <w:b/>
                <w:szCs w:val="24"/>
              </w:rPr>
            </w:pPr>
            <w:r w:rsidRPr="00944B15">
              <w:rPr>
                <w:rFonts w:cs="Times New Roman"/>
                <w:szCs w:val="24"/>
              </w:rPr>
              <w:t>Non-depolarizing</w:t>
            </w:r>
            <w:r>
              <w:rPr>
                <w:rFonts w:cs="Times New Roman"/>
                <w:szCs w:val="24"/>
              </w:rPr>
              <w:t xml:space="preserve"> neuromuscular blocker</w:t>
            </w:r>
          </w:p>
        </w:tc>
      </w:tr>
      <w:tr w:rsidR="00265BA6" w:rsidRPr="00944B15" w14:paraId="24CB85E7" w14:textId="77777777" w:rsidTr="002D6DD7">
        <w:tc>
          <w:tcPr>
            <w:tcW w:w="2605" w:type="dxa"/>
          </w:tcPr>
          <w:p w14:paraId="0A6807E4"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54037C7C" w14:textId="77777777" w:rsidR="00265BA6" w:rsidRPr="00944B15" w:rsidRDefault="00265BA6" w:rsidP="002D6DD7">
            <w:pPr>
              <w:jc w:val="both"/>
              <w:rPr>
                <w:rFonts w:cs="Times New Roman"/>
                <w:szCs w:val="24"/>
              </w:rPr>
            </w:pPr>
            <w:r w:rsidRPr="00944B15">
              <w:rPr>
                <w:rFonts w:cs="Times New Roman"/>
                <w:szCs w:val="24"/>
              </w:rPr>
              <w:t>Injection, 1mg/</w:t>
            </w:r>
            <w:r>
              <w:rPr>
                <w:rFonts w:cs="Times New Roman"/>
                <w:szCs w:val="24"/>
              </w:rPr>
              <w:t>ml</w:t>
            </w:r>
            <w:r w:rsidRPr="00944B15">
              <w:rPr>
                <w:rFonts w:cs="Times New Roman"/>
                <w:szCs w:val="24"/>
              </w:rPr>
              <w:t>, 2mg/</w:t>
            </w:r>
            <w:r>
              <w:rPr>
                <w:rFonts w:cs="Times New Roman"/>
                <w:szCs w:val="24"/>
              </w:rPr>
              <w:t>ml</w:t>
            </w:r>
          </w:p>
        </w:tc>
      </w:tr>
      <w:tr w:rsidR="00265BA6" w:rsidRPr="00944B15" w14:paraId="581307D7" w14:textId="77777777" w:rsidTr="002D6DD7">
        <w:tc>
          <w:tcPr>
            <w:tcW w:w="2605" w:type="dxa"/>
          </w:tcPr>
          <w:p w14:paraId="2EDCB521"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641D6E08" w14:textId="77777777" w:rsidR="00265BA6" w:rsidRPr="00944B15" w:rsidRDefault="00265BA6" w:rsidP="002D6DD7">
            <w:pPr>
              <w:jc w:val="both"/>
              <w:rPr>
                <w:rFonts w:cs="Times New Roman"/>
                <w:szCs w:val="24"/>
              </w:rPr>
            </w:pPr>
            <w:r w:rsidRPr="00944B15">
              <w:rPr>
                <w:rFonts w:cs="Times New Roman"/>
                <w:szCs w:val="24"/>
              </w:rPr>
              <w:t xml:space="preserve">As an adjuvant to surgical </w:t>
            </w:r>
            <w:r>
              <w:rPr>
                <w:rFonts w:cs="Times New Roman"/>
                <w:szCs w:val="24"/>
              </w:rPr>
              <w:t>anesthesia</w:t>
            </w:r>
            <w:r w:rsidRPr="00944B15">
              <w:rPr>
                <w:rFonts w:cs="Times New Roman"/>
                <w:szCs w:val="24"/>
              </w:rPr>
              <w:t xml:space="preserve"> to obtain relaxation of the skeletal muscles in a wide range of surgical procedures.</w:t>
            </w:r>
          </w:p>
        </w:tc>
      </w:tr>
      <w:tr w:rsidR="00265BA6" w:rsidRPr="00944B15" w14:paraId="3EF26E93" w14:textId="77777777" w:rsidTr="002D6DD7">
        <w:tc>
          <w:tcPr>
            <w:tcW w:w="2605" w:type="dxa"/>
          </w:tcPr>
          <w:p w14:paraId="6D20A243"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17FDD868" w14:textId="77777777" w:rsidR="00265BA6" w:rsidRPr="00944B15" w:rsidRDefault="00265BA6" w:rsidP="002D6DD7">
            <w:pPr>
              <w:jc w:val="both"/>
              <w:rPr>
                <w:rFonts w:cs="Times New Roman"/>
                <w:b/>
                <w:szCs w:val="24"/>
              </w:rPr>
            </w:pPr>
            <w:r>
              <w:rPr>
                <w:rFonts w:cs="Times New Roman"/>
                <w:b/>
                <w:szCs w:val="24"/>
              </w:rPr>
              <w:t>Adult:</w:t>
            </w:r>
          </w:p>
          <w:p w14:paraId="0063CF33" w14:textId="77777777" w:rsidR="00265BA6" w:rsidRPr="00944B15" w:rsidRDefault="00265BA6" w:rsidP="002D6DD7">
            <w:pPr>
              <w:jc w:val="both"/>
              <w:rPr>
                <w:rFonts w:cs="Times New Roman"/>
                <w:b/>
                <w:szCs w:val="24"/>
              </w:rPr>
            </w:pPr>
            <w:r w:rsidRPr="00944B15">
              <w:rPr>
                <w:rFonts w:cs="Times New Roman"/>
                <w:b/>
                <w:szCs w:val="24"/>
              </w:rPr>
              <w:t>Neuromuscular blockade (long duration) during surgery</w:t>
            </w:r>
            <w:r>
              <w:rPr>
                <w:rFonts w:cs="Times New Roman"/>
                <w:b/>
                <w:szCs w:val="24"/>
              </w:rPr>
              <w:t>:</w:t>
            </w:r>
            <w:r w:rsidRPr="00944B15">
              <w:rPr>
                <w:rFonts w:cs="Times New Roman"/>
                <w:b/>
                <w:szCs w:val="24"/>
              </w:rPr>
              <w:t xml:space="preserve"> </w:t>
            </w:r>
          </w:p>
          <w:p w14:paraId="10107A99" w14:textId="77777777" w:rsidR="00265BA6" w:rsidRDefault="00265BA6" w:rsidP="002D6DD7">
            <w:pPr>
              <w:jc w:val="both"/>
              <w:rPr>
                <w:rFonts w:cs="Times New Roman"/>
                <w:szCs w:val="24"/>
              </w:rPr>
            </w:pPr>
            <w:r w:rsidRPr="00944B15">
              <w:rPr>
                <w:rFonts w:cs="Times New Roman"/>
                <w:szCs w:val="24"/>
              </w:rPr>
              <w:t xml:space="preserve">By IV: Initially </w:t>
            </w:r>
            <w:r>
              <w:rPr>
                <w:rFonts w:cs="Times New Roman"/>
                <w:szCs w:val="24"/>
              </w:rPr>
              <w:t>0.04 -</w:t>
            </w:r>
            <w:r w:rsidRPr="00944B15">
              <w:rPr>
                <w:rFonts w:cs="Times New Roman"/>
                <w:szCs w:val="24"/>
              </w:rPr>
              <w:t xml:space="preserve"> </w:t>
            </w:r>
            <w:r>
              <w:rPr>
                <w:rFonts w:cs="Times New Roman"/>
                <w:szCs w:val="24"/>
              </w:rPr>
              <w:t>0.1mg</w:t>
            </w:r>
            <w:r w:rsidRPr="00944B15">
              <w:rPr>
                <w:rFonts w:cs="Times New Roman"/>
                <w:szCs w:val="24"/>
              </w:rPr>
              <w:t>/kg</w:t>
            </w:r>
          </w:p>
          <w:p w14:paraId="633BF35B" w14:textId="77777777" w:rsidR="00265BA6" w:rsidRPr="00944B15" w:rsidRDefault="00265BA6" w:rsidP="002D6DD7">
            <w:pPr>
              <w:jc w:val="both"/>
              <w:rPr>
                <w:rFonts w:cs="Times New Roman"/>
                <w:szCs w:val="24"/>
              </w:rPr>
            </w:pPr>
            <w:r>
              <w:rPr>
                <w:rFonts w:cs="Times New Roman"/>
                <w:szCs w:val="24"/>
              </w:rPr>
              <w:t>Maintenance: 0.01 mg/kg administered 60–10</w:t>
            </w:r>
            <w:r w:rsidRPr="000F4537">
              <w:rPr>
                <w:rFonts w:cs="Times New Roman"/>
                <w:szCs w:val="24"/>
              </w:rPr>
              <w:t>0 minutes</w:t>
            </w:r>
            <w:r>
              <w:rPr>
                <w:rFonts w:cs="Times New Roman"/>
                <w:szCs w:val="24"/>
              </w:rPr>
              <w:t xml:space="preserve"> after initial dose and then 0.01mg/kg every 25- 60 min.</w:t>
            </w:r>
          </w:p>
          <w:p w14:paraId="0DF3E5FA" w14:textId="77777777" w:rsidR="00265BA6" w:rsidRDefault="00265BA6" w:rsidP="002D6DD7">
            <w:pPr>
              <w:jc w:val="both"/>
              <w:rPr>
                <w:rFonts w:cs="Times New Roman"/>
                <w:b/>
                <w:szCs w:val="24"/>
              </w:rPr>
            </w:pPr>
            <w:r>
              <w:rPr>
                <w:rFonts w:cs="Times New Roman"/>
                <w:b/>
                <w:szCs w:val="24"/>
              </w:rPr>
              <w:t>Endotracheal intubation:</w:t>
            </w:r>
          </w:p>
          <w:p w14:paraId="60CA4D6F" w14:textId="77777777" w:rsidR="00265BA6" w:rsidRPr="00D76338" w:rsidRDefault="00265BA6" w:rsidP="002D6DD7">
            <w:pPr>
              <w:jc w:val="both"/>
              <w:rPr>
                <w:rFonts w:cs="Times New Roman"/>
                <w:szCs w:val="24"/>
              </w:rPr>
            </w:pPr>
            <w:r w:rsidRPr="00D76338">
              <w:rPr>
                <w:rFonts w:cs="Times New Roman"/>
                <w:szCs w:val="24"/>
              </w:rPr>
              <w:t>IV: 0.06 -0.1mg/kg bolus</w:t>
            </w:r>
          </w:p>
          <w:p w14:paraId="4C097C35" w14:textId="77777777" w:rsidR="00265BA6" w:rsidRPr="00944B15" w:rsidRDefault="00265BA6" w:rsidP="002D6DD7">
            <w:pPr>
              <w:jc w:val="both"/>
              <w:rPr>
                <w:rFonts w:cs="Times New Roman"/>
                <w:b/>
                <w:szCs w:val="24"/>
              </w:rPr>
            </w:pPr>
            <w:r w:rsidRPr="00944B15">
              <w:rPr>
                <w:rFonts w:cs="Times New Roman"/>
                <w:b/>
                <w:szCs w:val="24"/>
              </w:rPr>
              <w:t>Neuromuscular blockade (long duration) during intensive care</w:t>
            </w:r>
            <w:r>
              <w:rPr>
                <w:rFonts w:cs="Times New Roman"/>
                <w:b/>
                <w:szCs w:val="24"/>
              </w:rPr>
              <w:t>:</w:t>
            </w:r>
          </w:p>
          <w:p w14:paraId="22EED1C6" w14:textId="77777777" w:rsidR="00265BA6" w:rsidRPr="00944B15" w:rsidRDefault="00265BA6" w:rsidP="002D6DD7">
            <w:pPr>
              <w:jc w:val="both"/>
              <w:rPr>
                <w:rFonts w:cs="Times New Roman"/>
                <w:szCs w:val="24"/>
              </w:rPr>
            </w:pPr>
            <w:r w:rsidRPr="00944B15">
              <w:rPr>
                <w:rFonts w:cs="Times New Roman"/>
                <w:szCs w:val="24"/>
              </w:rPr>
              <w:t xml:space="preserve">By IV: Initially </w:t>
            </w:r>
            <w:r>
              <w:rPr>
                <w:rFonts w:cs="Times New Roman"/>
                <w:szCs w:val="24"/>
              </w:rPr>
              <w:t>0.1mg</w:t>
            </w:r>
            <w:r w:rsidRPr="00944B15">
              <w:rPr>
                <w:rFonts w:cs="Times New Roman"/>
                <w:szCs w:val="24"/>
              </w:rPr>
              <w:t xml:space="preserve">/kg, initial dose is optional, then </w:t>
            </w:r>
            <w:r>
              <w:rPr>
                <w:rFonts w:cs="Times New Roman"/>
                <w:szCs w:val="24"/>
              </w:rPr>
              <w:t>0.05mg</w:t>
            </w:r>
            <w:r w:rsidRPr="00944B15">
              <w:rPr>
                <w:rFonts w:cs="Times New Roman"/>
                <w:szCs w:val="24"/>
              </w:rPr>
              <w:t>/kg every 60–90 minutes</w:t>
            </w:r>
            <w:r w:rsidRPr="00944B15">
              <w:rPr>
                <w:rFonts w:cs="Times New Roman"/>
                <w:b/>
                <w:szCs w:val="24"/>
              </w:rPr>
              <w:t xml:space="preserve"> </w:t>
            </w:r>
          </w:p>
        </w:tc>
      </w:tr>
      <w:tr w:rsidR="00265BA6" w:rsidRPr="00944B15" w14:paraId="1640D62C" w14:textId="77777777" w:rsidTr="002D6DD7">
        <w:tc>
          <w:tcPr>
            <w:tcW w:w="2605" w:type="dxa"/>
          </w:tcPr>
          <w:p w14:paraId="7588C87A"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1B7FF0AD" w14:textId="77777777" w:rsidR="00265BA6" w:rsidRPr="00944B15" w:rsidRDefault="00265BA6" w:rsidP="002D6DD7">
            <w:pPr>
              <w:jc w:val="both"/>
              <w:rPr>
                <w:rFonts w:cs="Times New Roman"/>
                <w:szCs w:val="24"/>
              </w:rPr>
            </w:pPr>
            <w:r w:rsidRPr="00944B15">
              <w:rPr>
                <w:rFonts w:cs="Times New Roman"/>
                <w:szCs w:val="24"/>
              </w:rPr>
              <w:t xml:space="preserve">Hypersensitivity to </w:t>
            </w:r>
            <w:r>
              <w:rPr>
                <w:rFonts w:cs="Times New Roman"/>
                <w:szCs w:val="24"/>
              </w:rPr>
              <w:t xml:space="preserve">the </w:t>
            </w:r>
            <w:r w:rsidRPr="00944B15">
              <w:rPr>
                <w:rFonts w:cs="Times New Roman"/>
                <w:szCs w:val="24"/>
              </w:rPr>
              <w:t>drug</w:t>
            </w:r>
            <w:r>
              <w:rPr>
                <w:rFonts w:cs="Times New Roman"/>
                <w:szCs w:val="24"/>
              </w:rPr>
              <w:t>,</w:t>
            </w:r>
            <w:r w:rsidRPr="00944B15">
              <w:rPr>
                <w:rFonts w:cs="Times New Roman"/>
                <w:szCs w:val="24"/>
              </w:rPr>
              <w:t xml:space="preserve"> </w:t>
            </w:r>
            <w:r>
              <w:rPr>
                <w:rFonts w:cs="Times New Roman"/>
                <w:szCs w:val="24"/>
              </w:rPr>
              <w:t>neonates including premature infants (formulation containing benzyl alcohol).</w:t>
            </w:r>
          </w:p>
        </w:tc>
      </w:tr>
      <w:tr w:rsidR="00265BA6" w:rsidRPr="00944B15" w14:paraId="01DB950B" w14:textId="77777777" w:rsidTr="002D6DD7">
        <w:tc>
          <w:tcPr>
            <w:tcW w:w="2605" w:type="dxa"/>
          </w:tcPr>
          <w:p w14:paraId="506507BC"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4EE6A883" w14:textId="77777777" w:rsidR="00265BA6" w:rsidRPr="00944B15" w:rsidRDefault="00265BA6" w:rsidP="002D6DD7">
            <w:pPr>
              <w:jc w:val="both"/>
              <w:rPr>
                <w:rFonts w:cs="Times New Roman"/>
                <w:szCs w:val="24"/>
              </w:rPr>
            </w:pPr>
            <w:r w:rsidRPr="00944B15">
              <w:rPr>
                <w:rFonts w:cs="Times New Roman"/>
                <w:szCs w:val="24"/>
              </w:rPr>
              <w:t>Suxamethonium, volatile general anaesthetics, aminoglycoside, diazepam, thiamine (high dose), MAOIs, quinidine, magnesium sulfate, protamine</w:t>
            </w:r>
            <w:r>
              <w:rPr>
                <w:rFonts w:cs="Times New Roman"/>
                <w:szCs w:val="24"/>
              </w:rPr>
              <w:t xml:space="preserve"> sulfate</w:t>
            </w:r>
            <w:r w:rsidRPr="00944B15">
              <w:rPr>
                <w:rFonts w:cs="Times New Roman"/>
                <w:szCs w:val="24"/>
              </w:rPr>
              <w:t>, narcotic analgesics, phenytoin, alpha- and beta-adrenergic blocking agents, theophylline</w:t>
            </w:r>
            <w:r>
              <w:rPr>
                <w:rFonts w:cs="Times New Roman"/>
                <w:szCs w:val="24"/>
              </w:rPr>
              <w:t>,</w:t>
            </w:r>
            <w:r w:rsidRPr="00944B15">
              <w:rPr>
                <w:rFonts w:cs="Times New Roman"/>
                <w:szCs w:val="24"/>
              </w:rPr>
              <w:t xml:space="preserve"> pyridostigmine</w:t>
            </w:r>
            <w:r>
              <w:rPr>
                <w:rFonts w:cs="Times New Roman"/>
                <w:szCs w:val="24"/>
              </w:rPr>
              <w:t>.</w:t>
            </w:r>
          </w:p>
        </w:tc>
      </w:tr>
      <w:tr w:rsidR="00265BA6" w:rsidRPr="00944B15" w14:paraId="60DC7366" w14:textId="77777777" w:rsidTr="002D6DD7">
        <w:tc>
          <w:tcPr>
            <w:tcW w:w="2605" w:type="dxa"/>
          </w:tcPr>
          <w:p w14:paraId="5FF1663D"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4AEC288D" w14:textId="77777777" w:rsidR="00265BA6" w:rsidRPr="00944B15" w:rsidRDefault="00265BA6" w:rsidP="002D6DD7">
            <w:pPr>
              <w:jc w:val="both"/>
              <w:rPr>
                <w:rFonts w:cs="Times New Roman"/>
                <w:szCs w:val="24"/>
              </w:rPr>
            </w:pPr>
            <w:r w:rsidRPr="00944B15">
              <w:rPr>
                <w:rFonts w:cs="Times New Roman"/>
                <w:szCs w:val="24"/>
              </w:rPr>
              <w:t xml:space="preserve">Hypersensitivity, </w:t>
            </w:r>
            <w:r>
              <w:rPr>
                <w:rFonts w:cs="Times New Roman"/>
                <w:szCs w:val="24"/>
              </w:rPr>
              <w:t>b</w:t>
            </w:r>
            <w:r w:rsidRPr="00944B15">
              <w:rPr>
                <w:rFonts w:cs="Times New Roman"/>
                <w:szCs w:val="24"/>
              </w:rPr>
              <w:t xml:space="preserve">ronchospasm, apnoea, arrhythmia, hyper-salivation, </w:t>
            </w:r>
            <w:r>
              <w:rPr>
                <w:rFonts w:cs="Times New Roman"/>
                <w:szCs w:val="24"/>
              </w:rPr>
              <w:t>hypertension,</w:t>
            </w:r>
            <w:r w:rsidRPr="00944B15">
              <w:rPr>
                <w:rFonts w:cs="Times New Roman"/>
                <w:szCs w:val="24"/>
              </w:rPr>
              <w:t xml:space="preserve"> miosis, injection site reactions, dose </w:t>
            </w:r>
            <w:r w:rsidRPr="00944B15">
              <w:rPr>
                <w:rFonts w:cs="Times New Roman"/>
                <w:szCs w:val="24"/>
              </w:rPr>
              <w:lastRenderedPageBreak/>
              <w:t xml:space="preserve">related tachycardia, wheezing and excessive sweating (children). </w:t>
            </w:r>
          </w:p>
        </w:tc>
      </w:tr>
      <w:tr w:rsidR="00265BA6" w:rsidRPr="00944B15" w14:paraId="15C2D08A" w14:textId="77777777" w:rsidTr="002D6DD7">
        <w:tc>
          <w:tcPr>
            <w:tcW w:w="2605" w:type="dxa"/>
          </w:tcPr>
          <w:p w14:paraId="04440984" w14:textId="77777777" w:rsidR="00265BA6" w:rsidRPr="00944B15" w:rsidRDefault="00265BA6" w:rsidP="002D6DD7">
            <w:pPr>
              <w:jc w:val="both"/>
              <w:rPr>
                <w:rFonts w:cs="Times New Roman"/>
                <w:szCs w:val="24"/>
              </w:rPr>
            </w:pPr>
            <w:r w:rsidRPr="00944B15">
              <w:rPr>
                <w:rFonts w:cs="Times New Roman"/>
                <w:szCs w:val="24"/>
              </w:rPr>
              <w:lastRenderedPageBreak/>
              <w:t xml:space="preserve">Cautions </w:t>
            </w:r>
          </w:p>
        </w:tc>
        <w:tc>
          <w:tcPr>
            <w:tcW w:w="6745" w:type="dxa"/>
          </w:tcPr>
          <w:p w14:paraId="412DD14A" w14:textId="77777777" w:rsidR="00265BA6" w:rsidRPr="00944B15" w:rsidRDefault="00265BA6" w:rsidP="002D6DD7">
            <w:pPr>
              <w:jc w:val="both"/>
              <w:rPr>
                <w:rFonts w:cs="Times New Roman"/>
                <w:szCs w:val="24"/>
              </w:rPr>
            </w:pPr>
            <w:r w:rsidRPr="00944B15">
              <w:rPr>
                <w:rFonts w:cs="Times New Roman"/>
                <w:szCs w:val="24"/>
              </w:rPr>
              <w:t>Renal impairment, liver impairment, patients who have had previous anaphylactic reactions to other neuromuscular blocking agents</w:t>
            </w:r>
            <w:r>
              <w:rPr>
                <w:rFonts w:cs="Times New Roman"/>
                <w:szCs w:val="24"/>
              </w:rPr>
              <w:t xml:space="preserve">, </w:t>
            </w:r>
            <w:r w:rsidRPr="00944B15">
              <w:rPr>
                <w:rFonts w:cs="Times New Roman"/>
                <w:szCs w:val="24"/>
              </w:rPr>
              <w:t>hypertension.</w:t>
            </w:r>
          </w:p>
        </w:tc>
      </w:tr>
      <w:tr w:rsidR="00265BA6" w:rsidRPr="00944B15" w14:paraId="2737F49A" w14:textId="77777777" w:rsidTr="002D6DD7">
        <w:tc>
          <w:tcPr>
            <w:tcW w:w="2605" w:type="dxa"/>
          </w:tcPr>
          <w:p w14:paraId="6DC6EAA3"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03246B60" w14:textId="77777777" w:rsidR="00265BA6" w:rsidRPr="00944B15" w:rsidRDefault="00265BA6" w:rsidP="002D6DD7">
            <w:pPr>
              <w:jc w:val="both"/>
              <w:rPr>
                <w:rFonts w:cs="Times New Roman"/>
                <w:szCs w:val="24"/>
              </w:rPr>
            </w:pPr>
            <w:r w:rsidRPr="00944B15">
              <w:rPr>
                <w:rFonts w:cs="Times New Roman"/>
                <w:szCs w:val="24"/>
              </w:rPr>
              <w:t xml:space="preserve">Store in a refrigerator (2ºC – 8ºC). </w:t>
            </w:r>
          </w:p>
        </w:tc>
      </w:tr>
      <w:tr w:rsidR="00265BA6" w:rsidRPr="00944B15" w14:paraId="724D96A2" w14:textId="77777777" w:rsidTr="002D6DD7">
        <w:trPr>
          <w:trHeight w:val="377"/>
        </w:trPr>
        <w:tc>
          <w:tcPr>
            <w:tcW w:w="9350" w:type="dxa"/>
            <w:gridSpan w:val="2"/>
          </w:tcPr>
          <w:p w14:paraId="28AF90AA" w14:textId="77777777" w:rsidR="00265BA6" w:rsidRPr="00944B15" w:rsidRDefault="00265BA6" w:rsidP="002D6DD7">
            <w:pPr>
              <w:jc w:val="both"/>
              <w:rPr>
                <w:rFonts w:cs="Times New Roman"/>
                <w:szCs w:val="24"/>
              </w:rPr>
            </w:pPr>
            <w:r w:rsidRPr="00944B15">
              <w:rPr>
                <w:rFonts w:cs="Times New Roman"/>
                <w:b/>
                <w:szCs w:val="24"/>
              </w:rPr>
              <w:t>Rocuronium</w:t>
            </w:r>
          </w:p>
        </w:tc>
      </w:tr>
      <w:tr w:rsidR="00265BA6" w:rsidRPr="00944B15" w14:paraId="020CA262" w14:textId="77777777" w:rsidTr="002D6DD7">
        <w:trPr>
          <w:trHeight w:val="440"/>
        </w:trPr>
        <w:tc>
          <w:tcPr>
            <w:tcW w:w="2605" w:type="dxa"/>
          </w:tcPr>
          <w:p w14:paraId="2598ACA1"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6D2365FE" w14:textId="77777777" w:rsidR="00265BA6" w:rsidRPr="00944B15" w:rsidRDefault="00265BA6" w:rsidP="002D6DD7">
            <w:pPr>
              <w:jc w:val="both"/>
              <w:rPr>
                <w:rFonts w:cs="Times New Roman"/>
                <w:szCs w:val="24"/>
              </w:rPr>
            </w:pPr>
            <w:r w:rsidRPr="00944B15">
              <w:rPr>
                <w:rFonts w:cs="Times New Roman"/>
                <w:szCs w:val="24"/>
              </w:rPr>
              <w:t>Non-depolarizing</w:t>
            </w:r>
            <w:r>
              <w:rPr>
                <w:rFonts w:cs="Times New Roman"/>
                <w:szCs w:val="24"/>
              </w:rPr>
              <w:t xml:space="preserve"> neuromuscular blocker</w:t>
            </w:r>
          </w:p>
        </w:tc>
      </w:tr>
      <w:tr w:rsidR="00265BA6" w:rsidRPr="00944B15" w14:paraId="2E6C65D7" w14:textId="77777777" w:rsidTr="002D6DD7">
        <w:tc>
          <w:tcPr>
            <w:tcW w:w="2605" w:type="dxa"/>
          </w:tcPr>
          <w:p w14:paraId="39BE4CAA"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548FDF0A" w14:textId="77777777" w:rsidR="00265BA6" w:rsidRPr="00944B15" w:rsidRDefault="00265BA6" w:rsidP="002D6DD7">
            <w:pPr>
              <w:jc w:val="both"/>
              <w:rPr>
                <w:rFonts w:cs="Times New Roman"/>
                <w:szCs w:val="24"/>
              </w:rPr>
            </w:pPr>
            <w:r w:rsidRPr="00944B15">
              <w:rPr>
                <w:rFonts w:cs="Times New Roman"/>
                <w:szCs w:val="24"/>
              </w:rPr>
              <w:t>Injection, 10mg/</w:t>
            </w:r>
            <w:r>
              <w:rPr>
                <w:rFonts w:cs="Times New Roman"/>
                <w:szCs w:val="24"/>
              </w:rPr>
              <w:t>ml</w:t>
            </w:r>
            <w:r w:rsidRPr="00944B15">
              <w:rPr>
                <w:rFonts w:cs="Times New Roman"/>
                <w:szCs w:val="24"/>
              </w:rPr>
              <w:t xml:space="preserve">, (as bromide), 5 </w:t>
            </w:r>
            <w:r>
              <w:rPr>
                <w:rFonts w:cs="Times New Roman"/>
                <w:szCs w:val="24"/>
              </w:rPr>
              <w:t>ml</w:t>
            </w:r>
            <w:r w:rsidRPr="00944B15">
              <w:rPr>
                <w:rFonts w:cs="Times New Roman"/>
                <w:szCs w:val="24"/>
              </w:rPr>
              <w:t xml:space="preserve"> Vial</w:t>
            </w:r>
          </w:p>
        </w:tc>
      </w:tr>
      <w:tr w:rsidR="00265BA6" w:rsidRPr="00944B15" w14:paraId="6687BB4F" w14:textId="77777777" w:rsidTr="002D6DD7">
        <w:tc>
          <w:tcPr>
            <w:tcW w:w="2605" w:type="dxa"/>
          </w:tcPr>
          <w:p w14:paraId="0F8BAF77"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7CD73135" w14:textId="77777777" w:rsidR="00265BA6" w:rsidRPr="00944B15" w:rsidRDefault="00265BA6" w:rsidP="002D6DD7">
            <w:pPr>
              <w:jc w:val="both"/>
              <w:rPr>
                <w:rFonts w:cs="Times New Roman"/>
                <w:szCs w:val="24"/>
              </w:rPr>
            </w:pPr>
            <w:r w:rsidRPr="00944B15">
              <w:rPr>
                <w:rFonts w:cs="Times New Roman"/>
                <w:szCs w:val="24"/>
              </w:rPr>
              <w:t xml:space="preserve">As an adjunct to general </w:t>
            </w:r>
            <w:r>
              <w:rPr>
                <w:rFonts w:cs="Times New Roman"/>
                <w:szCs w:val="24"/>
              </w:rPr>
              <w:t>anesthesia</w:t>
            </w:r>
            <w:r w:rsidRPr="00944B15">
              <w:rPr>
                <w:rFonts w:cs="Times New Roman"/>
                <w:szCs w:val="24"/>
              </w:rPr>
              <w:t xml:space="preserve"> to facilitate endotracheal intubation and to provide skeletal muscle relaxation during surgery or mechanical ventilation.</w:t>
            </w:r>
          </w:p>
        </w:tc>
      </w:tr>
      <w:tr w:rsidR="00265BA6" w:rsidRPr="00944B15" w14:paraId="183CC458" w14:textId="77777777" w:rsidTr="002D6DD7">
        <w:tc>
          <w:tcPr>
            <w:tcW w:w="2605" w:type="dxa"/>
          </w:tcPr>
          <w:p w14:paraId="0029A5B0"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58C5F833" w14:textId="77777777" w:rsidR="00265BA6" w:rsidRPr="00944B15" w:rsidRDefault="00265BA6" w:rsidP="002D6DD7">
            <w:pPr>
              <w:jc w:val="both"/>
              <w:rPr>
                <w:rFonts w:cs="Times New Roman"/>
                <w:b/>
                <w:szCs w:val="24"/>
              </w:rPr>
            </w:pPr>
            <w:r w:rsidRPr="00944B15">
              <w:rPr>
                <w:rFonts w:cs="Times New Roman"/>
                <w:b/>
                <w:szCs w:val="24"/>
              </w:rPr>
              <w:t xml:space="preserve">Adults and </w:t>
            </w:r>
            <w:r>
              <w:rPr>
                <w:rFonts w:cs="Times New Roman"/>
                <w:b/>
                <w:szCs w:val="24"/>
              </w:rPr>
              <w:t>pediatric</w:t>
            </w:r>
            <w:r w:rsidRPr="00944B15">
              <w:rPr>
                <w:rFonts w:cs="Times New Roman"/>
                <w:b/>
                <w:szCs w:val="24"/>
              </w:rPr>
              <w:t xml:space="preserve"> (&gt;3 months)</w:t>
            </w:r>
            <w:r>
              <w:rPr>
                <w:rFonts w:cs="Times New Roman"/>
                <w:b/>
                <w:szCs w:val="24"/>
              </w:rPr>
              <w:t>:</w:t>
            </w:r>
          </w:p>
          <w:p w14:paraId="3DCF9D43" w14:textId="77777777" w:rsidR="00265BA6" w:rsidRPr="00944B15" w:rsidRDefault="00265BA6" w:rsidP="002D6DD7">
            <w:pPr>
              <w:jc w:val="both"/>
              <w:rPr>
                <w:rFonts w:cs="Times New Roman"/>
                <w:szCs w:val="24"/>
              </w:rPr>
            </w:pPr>
            <w:r w:rsidRPr="00944B15">
              <w:rPr>
                <w:rFonts w:cs="Times New Roman"/>
                <w:szCs w:val="24"/>
              </w:rPr>
              <w:t>Dose should be calculated based on body weight.</w:t>
            </w:r>
          </w:p>
          <w:p w14:paraId="60D0E84F" w14:textId="77777777" w:rsidR="00265BA6" w:rsidRPr="00944B15" w:rsidRDefault="00265BA6" w:rsidP="002D6DD7">
            <w:pPr>
              <w:jc w:val="both"/>
              <w:rPr>
                <w:rFonts w:cs="Times New Roman"/>
                <w:szCs w:val="24"/>
              </w:rPr>
            </w:pPr>
            <w:r w:rsidRPr="00944B15">
              <w:rPr>
                <w:rFonts w:cs="Times New Roman"/>
                <w:b/>
                <w:szCs w:val="24"/>
              </w:rPr>
              <w:t>Rapid Sequence Intubation:</w:t>
            </w:r>
            <w:r w:rsidRPr="00944B15">
              <w:rPr>
                <w:rFonts w:cs="Times New Roman"/>
                <w:szCs w:val="24"/>
              </w:rPr>
              <w:t xml:space="preserve"> 0.6-1.2 mg/kg IV</w:t>
            </w:r>
          </w:p>
          <w:p w14:paraId="496CF7CA" w14:textId="77777777" w:rsidR="00265BA6" w:rsidRPr="00944B15" w:rsidRDefault="00265BA6" w:rsidP="002D6DD7">
            <w:pPr>
              <w:jc w:val="both"/>
              <w:rPr>
                <w:rFonts w:cs="Times New Roman"/>
                <w:szCs w:val="24"/>
              </w:rPr>
            </w:pPr>
            <w:r w:rsidRPr="00944B15">
              <w:rPr>
                <w:rFonts w:cs="Times New Roman"/>
                <w:b/>
                <w:szCs w:val="24"/>
              </w:rPr>
              <w:t>Tracheal Intubation:</w:t>
            </w:r>
            <w:r w:rsidRPr="00944B15">
              <w:rPr>
                <w:rFonts w:cs="Times New Roman"/>
                <w:szCs w:val="24"/>
              </w:rPr>
              <w:t xml:space="preserve"> 0.45-0.6 mg/kg IV</w:t>
            </w:r>
          </w:p>
          <w:p w14:paraId="746AD918" w14:textId="77777777" w:rsidR="00265BA6" w:rsidRPr="00944B15" w:rsidRDefault="00265BA6" w:rsidP="002D6DD7">
            <w:pPr>
              <w:jc w:val="both"/>
              <w:rPr>
                <w:rFonts w:cs="Times New Roman"/>
                <w:szCs w:val="24"/>
              </w:rPr>
            </w:pPr>
            <w:r w:rsidRPr="00944B15">
              <w:rPr>
                <w:rFonts w:cs="Times New Roman"/>
                <w:szCs w:val="24"/>
              </w:rPr>
              <w:t xml:space="preserve">Maintenance dose: 0.1-0.2 mg/kg IV repeat PRN OR </w:t>
            </w:r>
          </w:p>
          <w:p w14:paraId="42177052" w14:textId="77777777" w:rsidR="00265BA6" w:rsidRPr="00944B15" w:rsidRDefault="00265BA6" w:rsidP="002D6DD7">
            <w:pPr>
              <w:jc w:val="both"/>
              <w:rPr>
                <w:rFonts w:cs="Times New Roman"/>
                <w:szCs w:val="24"/>
              </w:rPr>
            </w:pPr>
            <w:r w:rsidRPr="00944B15">
              <w:rPr>
                <w:rFonts w:cs="Times New Roman"/>
                <w:szCs w:val="24"/>
              </w:rPr>
              <w:t>Continuous infusion: 0.01-0.012 mg/kg/min IV.</w:t>
            </w:r>
          </w:p>
        </w:tc>
      </w:tr>
      <w:tr w:rsidR="00265BA6" w:rsidRPr="00944B15" w14:paraId="2D963C75" w14:textId="77777777" w:rsidTr="002D6DD7">
        <w:tc>
          <w:tcPr>
            <w:tcW w:w="2605" w:type="dxa"/>
          </w:tcPr>
          <w:p w14:paraId="6E45338A"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6FD73196" w14:textId="77777777" w:rsidR="00265BA6" w:rsidRPr="00944B15" w:rsidRDefault="00265BA6" w:rsidP="002D6DD7">
            <w:pPr>
              <w:jc w:val="both"/>
              <w:rPr>
                <w:rFonts w:cs="Times New Roman"/>
                <w:szCs w:val="24"/>
              </w:rPr>
            </w:pPr>
            <w:r w:rsidRPr="00944B15">
              <w:rPr>
                <w:rFonts w:cs="Times New Roman"/>
                <w:szCs w:val="24"/>
              </w:rPr>
              <w:t>Hypersensitivity</w:t>
            </w:r>
            <w:r>
              <w:rPr>
                <w:rFonts w:cs="Times New Roman"/>
                <w:szCs w:val="24"/>
              </w:rPr>
              <w:t xml:space="preserve"> to the drug, </w:t>
            </w:r>
            <w:r w:rsidRPr="00944B15">
              <w:rPr>
                <w:rFonts w:cs="Times New Roman"/>
                <w:szCs w:val="24"/>
              </w:rPr>
              <w:t>neuromuscular disease.</w:t>
            </w:r>
          </w:p>
        </w:tc>
      </w:tr>
      <w:tr w:rsidR="00265BA6" w:rsidRPr="00944B15" w14:paraId="11651D8E" w14:textId="77777777" w:rsidTr="002D6DD7">
        <w:tc>
          <w:tcPr>
            <w:tcW w:w="2605" w:type="dxa"/>
          </w:tcPr>
          <w:p w14:paraId="779A1CCF"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6E5015E6" w14:textId="77777777" w:rsidR="00265BA6" w:rsidRPr="00944B15" w:rsidRDefault="00265BA6" w:rsidP="002D6DD7">
            <w:pPr>
              <w:jc w:val="both"/>
              <w:rPr>
                <w:rFonts w:cs="Times New Roman"/>
                <w:szCs w:val="24"/>
              </w:rPr>
            </w:pPr>
            <w:r>
              <w:rPr>
                <w:rFonts w:cs="Times New Roman"/>
                <w:szCs w:val="24"/>
              </w:rPr>
              <w:t xml:space="preserve">Aminoglycosides, </w:t>
            </w:r>
            <w:r w:rsidRPr="00944B15">
              <w:rPr>
                <w:rFonts w:cs="Times New Roman"/>
                <w:szCs w:val="24"/>
              </w:rPr>
              <w:t>corticosteroids, amphotericin B deoxycholate, clindamycin, opioids, CNS sedatives,</w:t>
            </w:r>
            <w:r>
              <w:rPr>
                <w:rFonts w:cs="Times New Roman"/>
                <w:szCs w:val="24"/>
              </w:rPr>
              <w:t xml:space="preserve"> </w:t>
            </w:r>
            <w:r w:rsidRPr="00944B15">
              <w:rPr>
                <w:rFonts w:cs="Times New Roman"/>
                <w:szCs w:val="24"/>
              </w:rPr>
              <w:t>quinine, tetracycline</w:t>
            </w:r>
            <w:r>
              <w:rPr>
                <w:rFonts w:cs="Times New Roman"/>
                <w:szCs w:val="24"/>
              </w:rPr>
              <w:t>s</w:t>
            </w:r>
            <w:r w:rsidRPr="00944B15">
              <w:rPr>
                <w:rFonts w:cs="Times New Roman"/>
                <w:szCs w:val="24"/>
              </w:rPr>
              <w:t>, protease inhibitors</w:t>
            </w:r>
            <w:r>
              <w:rPr>
                <w:rFonts w:cs="Times New Roman"/>
                <w:szCs w:val="24"/>
              </w:rPr>
              <w:t xml:space="preserve">, </w:t>
            </w:r>
            <w:r w:rsidRPr="00944B15">
              <w:rPr>
                <w:rFonts w:cs="Times New Roman"/>
                <w:szCs w:val="24"/>
              </w:rPr>
              <w:t>other muscle relaxants.</w:t>
            </w:r>
          </w:p>
        </w:tc>
      </w:tr>
      <w:tr w:rsidR="00265BA6" w:rsidRPr="00944B15" w14:paraId="69BEBE68" w14:textId="77777777" w:rsidTr="002D6DD7">
        <w:tc>
          <w:tcPr>
            <w:tcW w:w="2605" w:type="dxa"/>
          </w:tcPr>
          <w:p w14:paraId="6F2B93F2"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75D79010" w14:textId="77777777" w:rsidR="00265BA6" w:rsidRPr="00944B15" w:rsidRDefault="00265BA6" w:rsidP="002D6DD7">
            <w:pPr>
              <w:jc w:val="both"/>
              <w:rPr>
                <w:rFonts w:cs="Times New Roman"/>
                <w:szCs w:val="24"/>
              </w:rPr>
            </w:pPr>
            <w:r w:rsidRPr="00944B15">
              <w:rPr>
                <w:rFonts w:cs="Times New Roman"/>
                <w:szCs w:val="24"/>
              </w:rPr>
              <w:t>Transient hypotension, hypertension, dose-related tachycardia, malignant hyperthermia, apnoea, injection site oedema, hiccups, pruritus, nausea, wheezing, residual muscle weakness and allergic or idiosyncratic hypersensitivity reactions</w:t>
            </w:r>
          </w:p>
        </w:tc>
      </w:tr>
      <w:tr w:rsidR="00265BA6" w:rsidRPr="00944B15" w14:paraId="7A0F6A47" w14:textId="77777777" w:rsidTr="002D6DD7">
        <w:tc>
          <w:tcPr>
            <w:tcW w:w="2605" w:type="dxa"/>
          </w:tcPr>
          <w:p w14:paraId="559B7AB7"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48BF9DA4" w14:textId="77777777" w:rsidR="00265BA6" w:rsidRPr="00944B15" w:rsidRDefault="00265BA6" w:rsidP="002D6DD7">
            <w:pPr>
              <w:jc w:val="both"/>
              <w:rPr>
                <w:rFonts w:cs="Times New Roman"/>
                <w:szCs w:val="24"/>
              </w:rPr>
            </w:pPr>
            <w:r w:rsidRPr="00944B15">
              <w:rPr>
                <w:rFonts w:cs="Times New Roman"/>
                <w:szCs w:val="24"/>
              </w:rPr>
              <w:t xml:space="preserve">Hepatic </w:t>
            </w:r>
            <w:r>
              <w:rPr>
                <w:rFonts w:cs="Times New Roman"/>
                <w:szCs w:val="24"/>
              </w:rPr>
              <w:t>and</w:t>
            </w:r>
            <w:r w:rsidRPr="00944B15">
              <w:rPr>
                <w:rFonts w:cs="Times New Roman"/>
                <w:szCs w:val="24"/>
              </w:rPr>
              <w:t xml:space="preserve"> renal impairment, pregnancy, breastfeeding, neonates and</w:t>
            </w:r>
            <w:r>
              <w:rPr>
                <w:rFonts w:cs="Times New Roman"/>
                <w:szCs w:val="24"/>
              </w:rPr>
              <w:t xml:space="preserve"> </w:t>
            </w:r>
            <w:r w:rsidRPr="00944B15">
              <w:rPr>
                <w:rFonts w:cs="Times New Roman"/>
                <w:szCs w:val="24"/>
              </w:rPr>
              <w:t>infants, cardiac disease, advanced age and severe anaphylactic reactions to neuromuscular blocking agents.</w:t>
            </w:r>
          </w:p>
        </w:tc>
      </w:tr>
      <w:tr w:rsidR="00265BA6" w:rsidRPr="00944B15" w14:paraId="54E462D7" w14:textId="77777777" w:rsidTr="002D6DD7">
        <w:tc>
          <w:tcPr>
            <w:tcW w:w="2605" w:type="dxa"/>
          </w:tcPr>
          <w:p w14:paraId="3C6D0D7F"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3EAB8399" w14:textId="77777777" w:rsidR="00265BA6" w:rsidRPr="00944B15" w:rsidRDefault="00265BA6" w:rsidP="002D6DD7">
            <w:pPr>
              <w:jc w:val="both"/>
              <w:rPr>
                <w:rFonts w:cs="Times New Roman"/>
                <w:szCs w:val="24"/>
              </w:rPr>
            </w:pPr>
            <w:r w:rsidRPr="00944B15">
              <w:rPr>
                <w:rFonts w:cs="Times New Roman"/>
                <w:szCs w:val="24"/>
              </w:rPr>
              <w:t>Store in a refrigerator (2ºC – 8ºC).</w:t>
            </w:r>
          </w:p>
        </w:tc>
      </w:tr>
      <w:tr w:rsidR="00265BA6" w:rsidRPr="00944B15" w14:paraId="0FA6D339" w14:textId="77777777" w:rsidTr="002D6DD7">
        <w:tc>
          <w:tcPr>
            <w:tcW w:w="9350" w:type="dxa"/>
            <w:gridSpan w:val="2"/>
          </w:tcPr>
          <w:p w14:paraId="58B0BF46" w14:textId="77777777" w:rsidR="00265BA6" w:rsidRPr="00944B15" w:rsidRDefault="00265BA6" w:rsidP="002D6DD7">
            <w:pPr>
              <w:jc w:val="both"/>
              <w:rPr>
                <w:rFonts w:cs="Times New Roman"/>
                <w:b/>
                <w:szCs w:val="24"/>
              </w:rPr>
            </w:pPr>
            <w:r>
              <w:rPr>
                <w:rFonts w:cs="Times New Roman"/>
                <w:b/>
                <w:szCs w:val="24"/>
              </w:rPr>
              <w:t>Suxamethonium chloride (s</w:t>
            </w:r>
            <w:r w:rsidRPr="00944B15">
              <w:rPr>
                <w:rFonts w:cs="Times New Roman"/>
                <w:b/>
                <w:szCs w:val="24"/>
              </w:rPr>
              <w:t>uccinylcholine)</w:t>
            </w:r>
          </w:p>
        </w:tc>
      </w:tr>
      <w:tr w:rsidR="00265BA6" w:rsidRPr="00944B15" w14:paraId="73181A77" w14:textId="77777777" w:rsidTr="002D6DD7">
        <w:tc>
          <w:tcPr>
            <w:tcW w:w="2605" w:type="dxa"/>
          </w:tcPr>
          <w:p w14:paraId="0E01EFAD" w14:textId="77777777" w:rsidR="00265BA6" w:rsidRPr="00944B15" w:rsidRDefault="00265BA6" w:rsidP="002D6DD7">
            <w:pPr>
              <w:jc w:val="both"/>
              <w:rPr>
                <w:rFonts w:cs="Times New Roman"/>
                <w:szCs w:val="24"/>
              </w:rPr>
            </w:pPr>
            <w:r w:rsidRPr="00944B15">
              <w:rPr>
                <w:rFonts w:cs="Times New Roman"/>
                <w:szCs w:val="24"/>
              </w:rPr>
              <w:lastRenderedPageBreak/>
              <w:t>Pharmacological class</w:t>
            </w:r>
          </w:p>
        </w:tc>
        <w:tc>
          <w:tcPr>
            <w:tcW w:w="6745" w:type="dxa"/>
          </w:tcPr>
          <w:p w14:paraId="7B547BA3" w14:textId="77777777" w:rsidR="00265BA6" w:rsidRPr="00944B15" w:rsidRDefault="00265BA6" w:rsidP="002D6DD7">
            <w:pPr>
              <w:jc w:val="both"/>
              <w:rPr>
                <w:rFonts w:cs="Times New Roman"/>
                <w:szCs w:val="24"/>
              </w:rPr>
            </w:pPr>
            <w:r>
              <w:rPr>
                <w:rFonts w:cs="Times New Roman"/>
                <w:szCs w:val="24"/>
              </w:rPr>
              <w:t>D</w:t>
            </w:r>
            <w:r w:rsidRPr="00944B15">
              <w:rPr>
                <w:rFonts w:cs="Times New Roman"/>
                <w:szCs w:val="24"/>
              </w:rPr>
              <w:t>epolarizing</w:t>
            </w:r>
            <w:r>
              <w:rPr>
                <w:rFonts w:cs="Times New Roman"/>
                <w:szCs w:val="24"/>
              </w:rPr>
              <w:t xml:space="preserve"> neuromuscular blocker</w:t>
            </w:r>
          </w:p>
        </w:tc>
      </w:tr>
      <w:tr w:rsidR="00265BA6" w:rsidRPr="00944B15" w14:paraId="5A92496C" w14:textId="77777777" w:rsidTr="002D6DD7">
        <w:tc>
          <w:tcPr>
            <w:tcW w:w="2605" w:type="dxa"/>
          </w:tcPr>
          <w:p w14:paraId="7EBC49FA"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186EFAAD" w14:textId="77777777" w:rsidR="00265BA6" w:rsidRPr="00944B15" w:rsidRDefault="00265BA6" w:rsidP="002D6DD7">
            <w:pPr>
              <w:jc w:val="both"/>
              <w:rPr>
                <w:rFonts w:cs="Times New Roman"/>
                <w:szCs w:val="24"/>
              </w:rPr>
            </w:pPr>
            <w:r w:rsidRPr="00944B15">
              <w:rPr>
                <w:rFonts w:cs="Times New Roman"/>
                <w:szCs w:val="24"/>
              </w:rPr>
              <w:t>Powder for injection: 50mg, 100mg, 500mg,</w:t>
            </w:r>
          </w:p>
          <w:p w14:paraId="74938640" w14:textId="77777777" w:rsidR="00265BA6" w:rsidRPr="00944B15" w:rsidRDefault="00265BA6" w:rsidP="002D6DD7">
            <w:pPr>
              <w:jc w:val="both"/>
              <w:rPr>
                <w:rFonts w:cs="Times New Roman"/>
                <w:szCs w:val="24"/>
              </w:rPr>
            </w:pPr>
            <w:r w:rsidRPr="00944B15">
              <w:rPr>
                <w:rFonts w:cs="Times New Roman"/>
                <w:szCs w:val="24"/>
              </w:rPr>
              <w:t>Injection: 50mg/</w:t>
            </w:r>
            <w:r>
              <w:rPr>
                <w:rFonts w:cs="Times New Roman"/>
                <w:szCs w:val="24"/>
              </w:rPr>
              <w:t>ml</w:t>
            </w:r>
          </w:p>
        </w:tc>
      </w:tr>
      <w:tr w:rsidR="00265BA6" w:rsidRPr="00944B15" w14:paraId="3EB3D19D" w14:textId="77777777" w:rsidTr="002D6DD7">
        <w:tc>
          <w:tcPr>
            <w:tcW w:w="2605" w:type="dxa"/>
          </w:tcPr>
          <w:p w14:paraId="39179DF5"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5A13A528" w14:textId="77777777" w:rsidR="00265BA6" w:rsidRPr="00944B15" w:rsidRDefault="00265BA6" w:rsidP="002D6DD7">
            <w:pPr>
              <w:jc w:val="both"/>
              <w:rPr>
                <w:rFonts w:cs="Times New Roman"/>
                <w:szCs w:val="24"/>
              </w:rPr>
            </w:pPr>
            <w:r w:rsidRPr="00944B15">
              <w:rPr>
                <w:rFonts w:cs="Times New Roman"/>
                <w:szCs w:val="24"/>
              </w:rPr>
              <w:t>Skeletal muscle relaxation in procedures of short duration, such as endotracheal intubation or endoscopy.</w:t>
            </w:r>
          </w:p>
        </w:tc>
      </w:tr>
      <w:tr w:rsidR="00265BA6" w:rsidRPr="00944B15" w14:paraId="730E3000" w14:textId="77777777" w:rsidTr="002D6DD7">
        <w:tc>
          <w:tcPr>
            <w:tcW w:w="2605" w:type="dxa"/>
          </w:tcPr>
          <w:p w14:paraId="137D44F6"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47CB4B70" w14:textId="77777777" w:rsidR="00265BA6" w:rsidRPr="00944B15" w:rsidRDefault="00265BA6" w:rsidP="002D6DD7">
            <w:pPr>
              <w:jc w:val="both"/>
              <w:rPr>
                <w:rFonts w:cs="Times New Roman"/>
                <w:b/>
                <w:szCs w:val="24"/>
              </w:rPr>
            </w:pPr>
            <w:r w:rsidRPr="00944B15">
              <w:rPr>
                <w:rFonts w:cs="Times New Roman"/>
                <w:b/>
                <w:szCs w:val="24"/>
              </w:rPr>
              <w:t>Adult</w:t>
            </w:r>
            <w:r>
              <w:rPr>
                <w:rFonts w:cs="Times New Roman"/>
                <w:b/>
                <w:szCs w:val="24"/>
              </w:rPr>
              <w:t>:</w:t>
            </w:r>
          </w:p>
          <w:p w14:paraId="5D19D8C2" w14:textId="77777777" w:rsidR="00265BA6" w:rsidRPr="00944B15" w:rsidRDefault="00265BA6" w:rsidP="002D6DD7">
            <w:pPr>
              <w:jc w:val="both"/>
              <w:rPr>
                <w:rFonts w:cs="Times New Roman"/>
                <w:b/>
                <w:szCs w:val="24"/>
              </w:rPr>
            </w:pPr>
            <w:r w:rsidRPr="00944B15">
              <w:rPr>
                <w:rFonts w:cs="Times New Roman"/>
                <w:b/>
                <w:szCs w:val="24"/>
              </w:rPr>
              <w:t>Muscle relaxation (prolonged procedures)</w:t>
            </w:r>
            <w:r>
              <w:rPr>
                <w:rFonts w:cs="Times New Roman"/>
                <w:b/>
                <w:szCs w:val="24"/>
              </w:rPr>
              <w:t>,</w:t>
            </w:r>
            <w:r w:rsidRPr="00944B15">
              <w:rPr>
                <w:rFonts w:cs="Times New Roman"/>
                <w:b/>
                <w:szCs w:val="24"/>
              </w:rPr>
              <w:t>IV infusion:</w:t>
            </w:r>
          </w:p>
          <w:p w14:paraId="439D78D9" w14:textId="77777777" w:rsidR="00265BA6" w:rsidRDefault="00265BA6" w:rsidP="002D6DD7">
            <w:pPr>
              <w:jc w:val="both"/>
              <w:rPr>
                <w:rFonts w:cs="Times New Roman"/>
                <w:szCs w:val="24"/>
              </w:rPr>
            </w:pPr>
            <w:r>
              <w:rPr>
                <w:rFonts w:cs="Times New Roman"/>
                <w:szCs w:val="24"/>
              </w:rPr>
              <w:t xml:space="preserve">Initially: </w:t>
            </w:r>
            <w:r w:rsidRPr="00944B15">
              <w:rPr>
                <w:rFonts w:cs="Times New Roman"/>
                <w:szCs w:val="24"/>
              </w:rPr>
              <w:t>0.</w:t>
            </w:r>
            <w:r>
              <w:rPr>
                <w:rFonts w:cs="Times New Roman"/>
                <w:szCs w:val="24"/>
              </w:rPr>
              <w:t>3</w:t>
            </w:r>
            <w:r w:rsidRPr="00944B15">
              <w:rPr>
                <w:rFonts w:cs="Times New Roman"/>
                <w:szCs w:val="24"/>
              </w:rPr>
              <w:t>–1</w:t>
            </w:r>
            <w:r>
              <w:rPr>
                <w:rFonts w:cs="Times New Roman"/>
                <w:szCs w:val="24"/>
              </w:rPr>
              <w:t>.1 mg/kg at 5–10-minute interval</w:t>
            </w:r>
          </w:p>
          <w:p w14:paraId="0B31E5AA" w14:textId="77777777" w:rsidR="00265BA6" w:rsidRPr="00944B15" w:rsidRDefault="00265BA6" w:rsidP="002D6DD7">
            <w:pPr>
              <w:jc w:val="both"/>
              <w:rPr>
                <w:rFonts w:cs="Times New Roman"/>
                <w:szCs w:val="24"/>
              </w:rPr>
            </w:pPr>
            <w:r>
              <w:rPr>
                <w:rFonts w:cs="Times New Roman"/>
                <w:szCs w:val="24"/>
              </w:rPr>
              <w:t xml:space="preserve">Maintenance: </w:t>
            </w:r>
            <w:r w:rsidRPr="00944B15">
              <w:rPr>
                <w:rFonts w:cs="Times New Roman"/>
                <w:szCs w:val="24"/>
              </w:rPr>
              <w:t>2.5–4 mg/min of solution containing 1–2 mg/</w:t>
            </w:r>
            <w:r>
              <w:rPr>
                <w:rFonts w:cs="Times New Roman"/>
                <w:szCs w:val="24"/>
              </w:rPr>
              <w:t>ml</w:t>
            </w:r>
            <w:r w:rsidRPr="00944B15">
              <w:rPr>
                <w:rFonts w:cs="Times New Roman"/>
                <w:szCs w:val="24"/>
              </w:rPr>
              <w:t>, maximum, 500 mg/hour</w:t>
            </w:r>
          </w:p>
          <w:p w14:paraId="14447384" w14:textId="77777777" w:rsidR="00265BA6" w:rsidRPr="00944B15" w:rsidRDefault="00265BA6" w:rsidP="002D6DD7">
            <w:pPr>
              <w:jc w:val="both"/>
              <w:rPr>
                <w:rFonts w:cs="Times New Roman"/>
                <w:b/>
                <w:szCs w:val="24"/>
              </w:rPr>
            </w:pPr>
            <w:r w:rsidRPr="00944B15">
              <w:rPr>
                <w:rFonts w:cs="Times New Roman"/>
                <w:b/>
                <w:szCs w:val="24"/>
              </w:rPr>
              <w:t>Muscle relaxation</w:t>
            </w:r>
            <w:r>
              <w:rPr>
                <w:rFonts w:cs="Times New Roman"/>
                <w:b/>
                <w:szCs w:val="24"/>
              </w:rPr>
              <w:t xml:space="preserve">, </w:t>
            </w:r>
            <w:r w:rsidRPr="00944B15">
              <w:rPr>
                <w:rFonts w:cs="Times New Roman"/>
                <w:b/>
                <w:szCs w:val="24"/>
              </w:rPr>
              <w:t xml:space="preserve">IV injection: </w:t>
            </w:r>
          </w:p>
          <w:p w14:paraId="211050BE" w14:textId="77777777" w:rsidR="00265BA6" w:rsidRDefault="00265BA6" w:rsidP="002D6DD7">
            <w:pPr>
              <w:jc w:val="both"/>
              <w:rPr>
                <w:rFonts w:cs="Times New Roman"/>
                <w:szCs w:val="24"/>
              </w:rPr>
            </w:pPr>
            <w:r>
              <w:rPr>
                <w:rFonts w:cs="Times New Roman"/>
                <w:szCs w:val="24"/>
              </w:rPr>
              <w:t xml:space="preserve">Initially: </w:t>
            </w:r>
            <w:r w:rsidRPr="00944B15">
              <w:rPr>
                <w:rFonts w:cs="Times New Roman"/>
                <w:szCs w:val="24"/>
              </w:rPr>
              <w:t>0.</w:t>
            </w:r>
            <w:r>
              <w:rPr>
                <w:rFonts w:cs="Times New Roman"/>
                <w:szCs w:val="24"/>
              </w:rPr>
              <w:t>3</w:t>
            </w:r>
            <w:r w:rsidRPr="00944B15">
              <w:rPr>
                <w:rFonts w:cs="Times New Roman"/>
                <w:szCs w:val="24"/>
              </w:rPr>
              <w:t>–1</w:t>
            </w:r>
            <w:r>
              <w:rPr>
                <w:rFonts w:cs="Times New Roman"/>
                <w:szCs w:val="24"/>
              </w:rPr>
              <w:t>.1</w:t>
            </w:r>
            <w:r w:rsidRPr="00944B15">
              <w:rPr>
                <w:rFonts w:cs="Times New Roman"/>
                <w:szCs w:val="24"/>
              </w:rPr>
              <w:t xml:space="preserve"> mg/kg at 5–10-minute intervals</w:t>
            </w:r>
          </w:p>
          <w:p w14:paraId="09F64EEF" w14:textId="77777777" w:rsidR="00265BA6" w:rsidRPr="00944B15" w:rsidRDefault="00265BA6" w:rsidP="002D6DD7">
            <w:pPr>
              <w:jc w:val="both"/>
              <w:rPr>
                <w:rFonts w:cs="Times New Roman"/>
                <w:szCs w:val="24"/>
              </w:rPr>
            </w:pPr>
            <w:r>
              <w:rPr>
                <w:rFonts w:cs="Times New Roman"/>
                <w:szCs w:val="24"/>
              </w:rPr>
              <w:t xml:space="preserve">Maintenance: 0.04 -0.07mg/kg every </w:t>
            </w:r>
            <w:r w:rsidRPr="00944B15">
              <w:rPr>
                <w:rFonts w:cs="Times New Roman"/>
                <w:szCs w:val="24"/>
              </w:rPr>
              <w:t>5–10-minute</w:t>
            </w:r>
            <w:r>
              <w:rPr>
                <w:rFonts w:cs="Times New Roman"/>
                <w:szCs w:val="24"/>
              </w:rPr>
              <w:t xml:space="preserve"> PRN</w:t>
            </w:r>
          </w:p>
          <w:p w14:paraId="493EEC5C" w14:textId="77777777" w:rsidR="00265BA6" w:rsidRPr="00944B15" w:rsidRDefault="00265BA6" w:rsidP="002D6DD7">
            <w:pPr>
              <w:jc w:val="both"/>
              <w:rPr>
                <w:rFonts w:cs="Times New Roman"/>
                <w:b/>
                <w:szCs w:val="24"/>
              </w:rPr>
            </w:pPr>
            <w:r>
              <w:rPr>
                <w:rFonts w:cs="Times New Roman"/>
                <w:b/>
                <w:szCs w:val="24"/>
              </w:rPr>
              <w:t>Pediatric:</w:t>
            </w:r>
          </w:p>
          <w:p w14:paraId="0DFE4E7B" w14:textId="77777777" w:rsidR="00265BA6" w:rsidRPr="006E08F3" w:rsidRDefault="00265BA6" w:rsidP="002D6DD7">
            <w:pPr>
              <w:jc w:val="both"/>
              <w:rPr>
                <w:rFonts w:cs="Times New Roman"/>
                <w:b/>
                <w:szCs w:val="24"/>
              </w:rPr>
            </w:pPr>
            <w:r w:rsidRPr="00944B15">
              <w:rPr>
                <w:rFonts w:cs="Times New Roman"/>
                <w:b/>
                <w:szCs w:val="24"/>
              </w:rPr>
              <w:t>Muscle relaxation (neuromuscular blockade) in procedures of short duration</w:t>
            </w:r>
            <w:r>
              <w:rPr>
                <w:rFonts w:cs="Times New Roman"/>
                <w:b/>
                <w:szCs w:val="24"/>
              </w:rPr>
              <w:t xml:space="preserve">: </w:t>
            </w:r>
            <w:r w:rsidRPr="00944B15">
              <w:rPr>
                <w:rFonts w:cs="Times New Roman"/>
                <w:szCs w:val="24"/>
              </w:rPr>
              <w:t>IM</w:t>
            </w:r>
          </w:p>
          <w:p w14:paraId="70157BFA" w14:textId="77777777" w:rsidR="00265BA6" w:rsidRPr="00944B15" w:rsidRDefault="00265BA6" w:rsidP="002D6DD7">
            <w:pPr>
              <w:jc w:val="both"/>
              <w:rPr>
                <w:rFonts w:cs="Times New Roman"/>
                <w:szCs w:val="24"/>
              </w:rPr>
            </w:pPr>
            <w:r w:rsidRPr="00944B15">
              <w:rPr>
                <w:rFonts w:cs="Times New Roman"/>
                <w:b/>
                <w:szCs w:val="24"/>
              </w:rPr>
              <w:t>Neonate or infant:</w:t>
            </w:r>
            <w:r w:rsidRPr="00944B15">
              <w:rPr>
                <w:rFonts w:cs="Times New Roman"/>
                <w:szCs w:val="24"/>
              </w:rPr>
              <w:t xml:space="preserve"> Up to 4–5 mg/kg produces a 10–30-minute paralysis (after 2–3-minute delay).</w:t>
            </w:r>
          </w:p>
          <w:p w14:paraId="034227FA" w14:textId="77777777" w:rsidR="00265BA6" w:rsidRPr="00944B15" w:rsidRDefault="00265BA6" w:rsidP="002D6DD7">
            <w:pPr>
              <w:jc w:val="both"/>
              <w:rPr>
                <w:rFonts w:cs="Times New Roman"/>
                <w:szCs w:val="24"/>
              </w:rPr>
            </w:pPr>
            <w:r w:rsidRPr="00944B15">
              <w:rPr>
                <w:rFonts w:cs="Times New Roman"/>
                <w:b/>
                <w:szCs w:val="24"/>
              </w:rPr>
              <w:t>Child:</w:t>
            </w:r>
            <w:r w:rsidRPr="00944B15">
              <w:rPr>
                <w:rFonts w:cs="Times New Roman"/>
                <w:szCs w:val="24"/>
              </w:rPr>
              <w:t xml:space="preserve"> Up to 4 mg/kg produces a 10–30-minute paralysis (after 2–3-minute delay); maximum dose 150 mg</w:t>
            </w:r>
          </w:p>
          <w:p w14:paraId="1C044291" w14:textId="77777777" w:rsidR="00265BA6" w:rsidRPr="00944B15" w:rsidRDefault="00265BA6" w:rsidP="002D6DD7">
            <w:pPr>
              <w:jc w:val="both"/>
              <w:rPr>
                <w:rFonts w:cs="Times New Roman"/>
                <w:szCs w:val="24"/>
              </w:rPr>
            </w:pPr>
            <w:r w:rsidRPr="00944B15">
              <w:rPr>
                <w:rFonts w:cs="Times New Roman"/>
                <w:szCs w:val="24"/>
              </w:rPr>
              <w:t>IV</w:t>
            </w:r>
          </w:p>
          <w:p w14:paraId="6A7A769D" w14:textId="77777777" w:rsidR="00265BA6" w:rsidRPr="00944B15" w:rsidRDefault="00265BA6" w:rsidP="002D6DD7">
            <w:pPr>
              <w:jc w:val="both"/>
              <w:rPr>
                <w:rFonts w:cs="Times New Roman"/>
                <w:szCs w:val="24"/>
              </w:rPr>
            </w:pPr>
            <w:r w:rsidRPr="00944B15">
              <w:rPr>
                <w:rFonts w:cs="Times New Roman"/>
                <w:b/>
                <w:szCs w:val="24"/>
              </w:rPr>
              <w:t>Neonate:</w:t>
            </w:r>
            <w:r w:rsidRPr="00944B15">
              <w:rPr>
                <w:rFonts w:cs="Times New Roman"/>
                <w:szCs w:val="24"/>
              </w:rPr>
              <w:t xml:space="preserve"> 2 mg/kg produces 5–10-minute paralysis, 3 mg/kg results in full neuromuscular block</w:t>
            </w:r>
          </w:p>
          <w:p w14:paraId="77254FE1" w14:textId="77777777" w:rsidR="00265BA6" w:rsidRPr="00944B15" w:rsidRDefault="00265BA6" w:rsidP="002D6DD7">
            <w:pPr>
              <w:jc w:val="both"/>
              <w:rPr>
                <w:rFonts w:cs="Times New Roman"/>
                <w:szCs w:val="24"/>
              </w:rPr>
            </w:pPr>
            <w:r w:rsidRPr="00944B15">
              <w:rPr>
                <w:rFonts w:cs="Times New Roman"/>
                <w:b/>
                <w:szCs w:val="24"/>
              </w:rPr>
              <w:t>Infant:</w:t>
            </w:r>
            <w:r w:rsidRPr="00944B15">
              <w:rPr>
                <w:rFonts w:cs="Times New Roman"/>
                <w:szCs w:val="24"/>
              </w:rPr>
              <w:t xml:space="preserve"> Initially 2 mg/kg; maintenance is usually 1–2 mg/kg at 5–10-minute intervals as necessary</w:t>
            </w:r>
          </w:p>
          <w:p w14:paraId="6D766BB0" w14:textId="77777777" w:rsidR="00265BA6" w:rsidRPr="00944B15" w:rsidRDefault="00265BA6" w:rsidP="002D6DD7">
            <w:pPr>
              <w:jc w:val="both"/>
              <w:rPr>
                <w:rFonts w:cs="Times New Roman"/>
                <w:szCs w:val="24"/>
              </w:rPr>
            </w:pPr>
            <w:r w:rsidRPr="00944B15">
              <w:rPr>
                <w:rFonts w:cs="Times New Roman"/>
                <w:b/>
                <w:szCs w:val="24"/>
              </w:rPr>
              <w:t xml:space="preserve">Child: </w:t>
            </w:r>
            <w:r w:rsidRPr="00944B15">
              <w:rPr>
                <w:rFonts w:cs="Times New Roman"/>
                <w:szCs w:val="24"/>
              </w:rPr>
              <w:t>Initially 1 mg/kg, then 0.5–1 mg/kg repeated every 5–10 minutes as necessary</w:t>
            </w:r>
          </w:p>
        </w:tc>
      </w:tr>
      <w:tr w:rsidR="00265BA6" w:rsidRPr="00944B15" w14:paraId="4586981C" w14:textId="77777777" w:rsidTr="002D6DD7">
        <w:tc>
          <w:tcPr>
            <w:tcW w:w="2605" w:type="dxa"/>
          </w:tcPr>
          <w:p w14:paraId="025473F4"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7CF1062B" w14:textId="77777777" w:rsidR="00265BA6" w:rsidRPr="00944B15" w:rsidRDefault="00265BA6" w:rsidP="002D6DD7">
            <w:pPr>
              <w:jc w:val="both"/>
              <w:rPr>
                <w:rFonts w:cs="Times New Roman"/>
                <w:szCs w:val="24"/>
              </w:rPr>
            </w:pPr>
            <w:r w:rsidRPr="00944B15">
              <w:rPr>
                <w:rFonts w:cs="Times New Roman"/>
                <w:szCs w:val="24"/>
              </w:rPr>
              <w:t xml:space="preserve">Hyperkalaemia, severe liver disease, major trauma, chronic abdominal infection, subarachnoid haemorrhage, degenerative or dystrophic neuromuscular disease, family history of malignant hyperthermia, prolonged immobilisation (risk of hyperkalaemia), </w:t>
            </w:r>
            <w:r w:rsidRPr="00944B15">
              <w:rPr>
                <w:rFonts w:cs="Times New Roman"/>
                <w:szCs w:val="24"/>
              </w:rPr>
              <w:lastRenderedPageBreak/>
              <w:t>severe burns and skeletal muscle myopathies (e.g. Duchenne muscular dystrophy).</w:t>
            </w:r>
          </w:p>
        </w:tc>
      </w:tr>
      <w:tr w:rsidR="00265BA6" w:rsidRPr="00944B15" w14:paraId="56975429" w14:textId="77777777" w:rsidTr="002D6DD7">
        <w:tc>
          <w:tcPr>
            <w:tcW w:w="2605" w:type="dxa"/>
          </w:tcPr>
          <w:p w14:paraId="578637B9" w14:textId="77777777" w:rsidR="00265BA6" w:rsidRPr="00944B15" w:rsidRDefault="00265BA6" w:rsidP="002D6DD7">
            <w:pPr>
              <w:jc w:val="both"/>
              <w:rPr>
                <w:rFonts w:cs="Times New Roman"/>
                <w:szCs w:val="24"/>
              </w:rPr>
            </w:pPr>
            <w:r w:rsidRPr="00944B15">
              <w:rPr>
                <w:rFonts w:cs="Times New Roman"/>
                <w:szCs w:val="24"/>
              </w:rPr>
              <w:lastRenderedPageBreak/>
              <w:t>Drug interactions</w:t>
            </w:r>
          </w:p>
        </w:tc>
        <w:tc>
          <w:tcPr>
            <w:tcW w:w="6745" w:type="dxa"/>
          </w:tcPr>
          <w:p w14:paraId="53148DF8" w14:textId="77777777" w:rsidR="00265BA6" w:rsidRPr="00944B15" w:rsidRDefault="00265BA6" w:rsidP="002D6DD7">
            <w:pPr>
              <w:jc w:val="both"/>
              <w:rPr>
                <w:rFonts w:cs="Times New Roman"/>
                <w:szCs w:val="24"/>
              </w:rPr>
            </w:pPr>
            <w:r w:rsidRPr="00944B15">
              <w:rPr>
                <w:rFonts w:cs="Times New Roman"/>
                <w:szCs w:val="24"/>
              </w:rPr>
              <w:t>Opioids, CNS sedatives, volatile general anaesthetics, aminoglycosides, cyclophosphamide, digoxin, lidocaine, lithium, magnesium (parenteral), metoclopramide, neostigmine, procainamide, propranolol, pyridostigmine, quinine, streptomycin.</w:t>
            </w:r>
          </w:p>
        </w:tc>
      </w:tr>
      <w:tr w:rsidR="00265BA6" w:rsidRPr="00944B15" w14:paraId="1A224321" w14:textId="77777777" w:rsidTr="002D6DD7">
        <w:tc>
          <w:tcPr>
            <w:tcW w:w="2605" w:type="dxa"/>
          </w:tcPr>
          <w:p w14:paraId="06848669"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252511A2" w14:textId="77777777" w:rsidR="00265BA6" w:rsidRPr="00944B15" w:rsidRDefault="00265BA6" w:rsidP="002D6DD7">
            <w:pPr>
              <w:jc w:val="both"/>
              <w:rPr>
                <w:rFonts w:cs="Times New Roman"/>
                <w:szCs w:val="24"/>
              </w:rPr>
            </w:pPr>
            <w:r w:rsidRPr="00944B15">
              <w:rPr>
                <w:rFonts w:cs="Times New Roman"/>
                <w:szCs w:val="24"/>
              </w:rPr>
              <w:t xml:space="preserve">Arrhythmias, bradycardia, flushing, involuntary muscle contractions, myoglobinuria, myopathy, post procedural muscle pain, rash, apnoea, cardiac arrest, hypersensitivity and malignant hyperthermia, increased </w:t>
            </w:r>
            <w:r>
              <w:rPr>
                <w:rFonts w:cs="Times New Roman"/>
                <w:szCs w:val="24"/>
              </w:rPr>
              <w:t>intra ocular pressure (</w:t>
            </w:r>
            <w:r w:rsidRPr="00944B15">
              <w:rPr>
                <w:rFonts w:cs="Times New Roman"/>
                <w:szCs w:val="24"/>
              </w:rPr>
              <w:t>IOP</w:t>
            </w:r>
            <w:r>
              <w:rPr>
                <w:rFonts w:cs="Times New Roman"/>
                <w:szCs w:val="24"/>
              </w:rPr>
              <w:t>)</w:t>
            </w:r>
            <w:r w:rsidRPr="00944B15">
              <w:rPr>
                <w:rFonts w:cs="Times New Roman"/>
                <w:szCs w:val="24"/>
              </w:rPr>
              <w:t>, jaw rigidity</w:t>
            </w:r>
            <w:r>
              <w:rPr>
                <w:rFonts w:cs="Times New Roman"/>
                <w:szCs w:val="24"/>
              </w:rPr>
              <w:t>,</w:t>
            </w:r>
            <w:r w:rsidRPr="00944B15">
              <w:rPr>
                <w:rFonts w:cs="Times New Roman"/>
                <w:szCs w:val="24"/>
              </w:rPr>
              <w:t xml:space="preserve"> excessive sweating.</w:t>
            </w:r>
          </w:p>
        </w:tc>
      </w:tr>
      <w:tr w:rsidR="00265BA6" w:rsidRPr="00944B15" w14:paraId="2965DB78" w14:textId="77777777" w:rsidTr="002D6DD7">
        <w:tc>
          <w:tcPr>
            <w:tcW w:w="2605" w:type="dxa"/>
          </w:tcPr>
          <w:p w14:paraId="2F760335"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5D65E743" w14:textId="77777777" w:rsidR="00265BA6" w:rsidRPr="00944B15" w:rsidRDefault="00265BA6" w:rsidP="002D6DD7">
            <w:pPr>
              <w:jc w:val="both"/>
              <w:rPr>
                <w:rFonts w:cs="Times New Roman"/>
                <w:szCs w:val="24"/>
              </w:rPr>
            </w:pPr>
            <w:r w:rsidRPr="00944B15">
              <w:rPr>
                <w:rFonts w:cs="Times New Roman"/>
                <w:szCs w:val="24"/>
              </w:rPr>
              <w:t xml:space="preserve">Cardiac, respiratory or neuromuscular disease, </w:t>
            </w:r>
            <w:r>
              <w:rPr>
                <w:rFonts w:cs="Times New Roman"/>
                <w:szCs w:val="24"/>
              </w:rPr>
              <w:t>narrow angled glaucoma</w:t>
            </w:r>
            <w:r w:rsidRPr="00944B15">
              <w:rPr>
                <w:rFonts w:cs="Times New Roman"/>
                <w:szCs w:val="24"/>
              </w:rPr>
              <w:t xml:space="preserve">, severe sepsis, </w:t>
            </w:r>
            <w:r>
              <w:rPr>
                <w:rFonts w:cs="Times New Roman"/>
                <w:szCs w:val="24"/>
              </w:rPr>
              <w:t xml:space="preserve">hepatic and </w:t>
            </w:r>
            <w:r w:rsidRPr="00944B15">
              <w:rPr>
                <w:rFonts w:cs="Times New Roman"/>
                <w:szCs w:val="24"/>
              </w:rPr>
              <w:t>renal impairment, digitalis toxicity or recent digitalization</w:t>
            </w:r>
            <w:r>
              <w:rPr>
                <w:rFonts w:cs="Times New Roman"/>
                <w:szCs w:val="24"/>
              </w:rPr>
              <w:t xml:space="preserve">, </w:t>
            </w:r>
            <w:r w:rsidRPr="00944B15">
              <w:rPr>
                <w:rFonts w:cs="Times New Roman"/>
                <w:szCs w:val="24"/>
              </w:rPr>
              <w:t>electrolyte imbalance.</w:t>
            </w:r>
          </w:p>
        </w:tc>
      </w:tr>
      <w:tr w:rsidR="00265BA6" w:rsidRPr="00944B15" w14:paraId="36D398C1" w14:textId="77777777" w:rsidTr="002D6DD7">
        <w:tc>
          <w:tcPr>
            <w:tcW w:w="2605" w:type="dxa"/>
          </w:tcPr>
          <w:p w14:paraId="43A1542C"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1F270410" w14:textId="77777777" w:rsidR="00265BA6" w:rsidRPr="00944B15" w:rsidRDefault="00265BA6" w:rsidP="002D6DD7">
            <w:pPr>
              <w:jc w:val="both"/>
              <w:rPr>
                <w:rFonts w:cs="Times New Roman"/>
                <w:szCs w:val="24"/>
              </w:rPr>
            </w:pPr>
            <w:r>
              <w:rPr>
                <w:rFonts w:cs="Times New Roman"/>
                <w:szCs w:val="24"/>
              </w:rPr>
              <w:t>Storage between 2° to 8° C.</w:t>
            </w:r>
            <w:r w:rsidRPr="00944B15">
              <w:rPr>
                <w:rFonts w:cs="Times New Roman"/>
                <w:szCs w:val="24"/>
              </w:rPr>
              <w:t xml:space="preserve"> </w:t>
            </w:r>
          </w:p>
        </w:tc>
      </w:tr>
      <w:tr w:rsidR="00265BA6" w:rsidRPr="00944B15" w14:paraId="5589673F" w14:textId="77777777" w:rsidTr="002D6DD7">
        <w:tc>
          <w:tcPr>
            <w:tcW w:w="9350" w:type="dxa"/>
            <w:gridSpan w:val="2"/>
          </w:tcPr>
          <w:p w14:paraId="6E97EDC4" w14:textId="77777777" w:rsidR="00265BA6" w:rsidRPr="00944B15" w:rsidRDefault="00265BA6" w:rsidP="002D6DD7">
            <w:pPr>
              <w:jc w:val="both"/>
              <w:rPr>
                <w:rFonts w:cs="Times New Roman"/>
                <w:b/>
                <w:szCs w:val="24"/>
              </w:rPr>
            </w:pPr>
            <w:r w:rsidRPr="00944B15">
              <w:rPr>
                <w:rFonts w:cs="Times New Roman"/>
                <w:b/>
                <w:szCs w:val="24"/>
              </w:rPr>
              <w:t xml:space="preserve">Vecuronium Bromide       </w:t>
            </w:r>
          </w:p>
        </w:tc>
      </w:tr>
      <w:tr w:rsidR="00265BA6" w:rsidRPr="00944B15" w14:paraId="6EEEEAFA" w14:textId="77777777" w:rsidTr="002D6DD7">
        <w:trPr>
          <w:trHeight w:val="46"/>
        </w:trPr>
        <w:tc>
          <w:tcPr>
            <w:tcW w:w="2605" w:type="dxa"/>
          </w:tcPr>
          <w:p w14:paraId="134ABD39"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3549E54F" w14:textId="77777777" w:rsidR="00265BA6" w:rsidRPr="00944B15" w:rsidRDefault="00265BA6" w:rsidP="002D6DD7">
            <w:pPr>
              <w:jc w:val="both"/>
              <w:rPr>
                <w:rFonts w:cs="Times New Roman"/>
                <w:szCs w:val="24"/>
              </w:rPr>
            </w:pPr>
            <w:r w:rsidRPr="00944B15">
              <w:rPr>
                <w:rFonts w:cs="Times New Roman"/>
                <w:szCs w:val="24"/>
              </w:rPr>
              <w:t>Non-depolarizing</w:t>
            </w:r>
            <w:r>
              <w:rPr>
                <w:rFonts w:cs="Times New Roman"/>
                <w:szCs w:val="24"/>
              </w:rPr>
              <w:t xml:space="preserve"> neuromuscular blocker</w:t>
            </w:r>
          </w:p>
        </w:tc>
      </w:tr>
      <w:tr w:rsidR="00265BA6" w:rsidRPr="00944B15" w14:paraId="1D58ECD9" w14:textId="77777777" w:rsidTr="002D6DD7">
        <w:tc>
          <w:tcPr>
            <w:tcW w:w="2605" w:type="dxa"/>
          </w:tcPr>
          <w:p w14:paraId="5EB96C82"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0A84A274" w14:textId="77777777" w:rsidR="00265BA6" w:rsidRPr="00944B15" w:rsidRDefault="00265BA6" w:rsidP="002D6DD7">
            <w:pPr>
              <w:jc w:val="both"/>
              <w:rPr>
                <w:rFonts w:cs="Times New Roman"/>
                <w:szCs w:val="24"/>
              </w:rPr>
            </w:pPr>
            <w:r w:rsidRPr="00944B15">
              <w:rPr>
                <w:rFonts w:cs="Times New Roman"/>
                <w:szCs w:val="24"/>
              </w:rPr>
              <w:t>Powder for injection: 10mg in a vial</w:t>
            </w:r>
          </w:p>
        </w:tc>
      </w:tr>
      <w:tr w:rsidR="00265BA6" w:rsidRPr="00944B15" w14:paraId="514FC22F" w14:textId="77777777" w:rsidTr="002D6DD7">
        <w:tc>
          <w:tcPr>
            <w:tcW w:w="2605" w:type="dxa"/>
          </w:tcPr>
          <w:p w14:paraId="7782F6DA"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764507F9" w14:textId="77777777" w:rsidR="00265BA6" w:rsidRPr="00944B15" w:rsidRDefault="00265BA6" w:rsidP="002D6DD7">
            <w:pPr>
              <w:jc w:val="both"/>
              <w:rPr>
                <w:rFonts w:cs="Times New Roman"/>
                <w:szCs w:val="24"/>
              </w:rPr>
            </w:pPr>
            <w:r w:rsidRPr="00944B15">
              <w:rPr>
                <w:rFonts w:cs="Times New Roman"/>
                <w:szCs w:val="24"/>
              </w:rPr>
              <w:t xml:space="preserve">As an adjunct to general </w:t>
            </w:r>
            <w:r>
              <w:rPr>
                <w:rFonts w:cs="Times New Roman"/>
                <w:szCs w:val="24"/>
              </w:rPr>
              <w:t>anesthesia</w:t>
            </w:r>
            <w:r w:rsidRPr="00944B15">
              <w:rPr>
                <w:rFonts w:cs="Times New Roman"/>
                <w:szCs w:val="24"/>
              </w:rPr>
              <w:t xml:space="preserve"> to facilitate tracheal intubation and to provide skeletal muscle relaxation during surgery.</w:t>
            </w:r>
          </w:p>
        </w:tc>
      </w:tr>
      <w:tr w:rsidR="00265BA6" w:rsidRPr="00944B15" w14:paraId="3EC57CD7" w14:textId="77777777" w:rsidTr="002D6DD7">
        <w:tc>
          <w:tcPr>
            <w:tcW w:w="2605" w:type="dxa"/>
          </w:tcPr>
          <w:p w14:paraId="7BD9601C"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5D49069C" w14:textId="77777777" w:rsidR="00265BA6" w:rsidRPr="00944B15" w:rsidRDefault="00265BA6" w:rsidP="002D6DD7">
            <w:pPr>
              <w:jc w:val="both"/>
              <w:rPr>
                <w:rFonts w:cs="Times New Roman"/>
                <w:b/>
                <w:szCs w:val="24"/>
              </w:rPr>
            </w:pPr>
            <w:r w:rsidRPr="00944B15">
              <w:rPr>
                <w:rFonts w:cs="Times New Roman"/>
                <w:b/>
                <w:szCs w:val="24"/>
              </w:rPr>
              <w:t xml:space="preserve">Adult: </w:t>
            </w:r>
          </w:p>
          <w:p w14:paraId="558F7300" w14:textId="77777777" w:rsidR="00265BA6" w:rsidRPr="00944B15" w:rsidRDefault="00265BA6" w:rsidP="002D6DD7">
            <w:pPr>
              <w:jc w:val="both"/>
              <w:rPr>
                <w:rFonts w:cs="Times New Roman"/>
                <w:b/>
                <w:szCs w:val="24"/>
              </w:rPr>
            </w:pPr>
            <w:r w:rsidRPr="00944B15">
              <w:rPr>
                <w:rFonts w:cs="Times New Roman"/>
                <w:b/>
                <w:szCs w:val="24"/>
              </w:rPr>
              <w:t>Intubation, by IV injection:</w:t>
            </w:r>
          </w:p>
          <w:p w14:paraId="7B3BA927" w14:textId="77777777" w:rsidR="00265BA6" w:rsidRDefault="00265BA6" w:rsidP="002D6DD7">
            <w:pPr>
              <w:jc w:val="both"/>
              <w:rPr>
                <w:rFonts w:cs="Times New Roman"/>
                <w:szCs w:val="24"/>
              </w:rPr>
            </w:pPr>
            <w:r w:rsidRPr="00944B15">
              <w:rPr>
                <w:rFonts w:cs="Times New Roman"/>
                <w:szCs w:val="24"/>
              </w:rPr>
              <w:t xml:space="preserve"> </w:t>
            </w:r>
            <w:r>
              <w:rPr>
                <w:rFonts w:cs="Times New Roman"/>
                <w:szCs w:val="24"/>
              </w:rPr>
              <w:t>I</w:t>
            </w:r>
            <w:r w:rsidRPr="00944B15">
              <w:rPr>
                <w:rFonts w:cs="Times New Roman"/>
                <w:szCs w:val="24"/>
              </w:rPr>
              <w:t>nitially 80-100 micrograms/ kg, usual maintenance dose, 20-30 micrograms/kg</w:t>
            </w:r>
            <w:r>
              <w:rPr>
                <w:rFonts w:cs="Times New Roman"/>
                <w:szCs w:val="24"/>
              </w:rPr>
              <w:t xml:space="preserve"> </w:t>
            </w:r>
          </w:p>
          <w:p w14:paraId="3AD53B6C" w14:textId="77777777" w:rsidR="00265BA6" w:rsidRPr="00D76338" w:rsidRDefault="00265BA6" w:rsidP="002D6DD7">
            <w:pPr>
              <w:jc w:val="both"/>
              <w:rPr>
                <w:rFonts w:cs="Times New Roman"/>
                <w:b/>
                <w:szCs w:val="24"/>
              </w:rPr>
            </w:pPr>
            <w:r>
              <w:rPr>
                <w:rFonts w:cs="Times New Roman"/>
                <w:b/>
                <w:szCs w:val="24"/>
              </w:rPr>
              <w:t>S</w:t>
            </w:r>
            <w:r w:rsidRPr="00D76338">
              <w:rPr>
                <w:rFonts w:cs="Times New Roman"/>
                <w:b/>
                <w:szCs w:val="24"/>
              </w:rPr>
              <w:t>urgical procedures after intubation with suxamethonium</w:t>
            </w:r>
          </w:p>
          <w:p w14:paraId="21557AA0" w14:textId="77777777" w:rsidR="00265BA6" w:rsidRPr="00944B15" w:rsidRDefault="00265BA6" w:rsidP="002D6DD7">
            <w:pPr>
              <w:jc w:val="both"/>
              <w:rPr>
                <w:rFonts w:cs="Times New Roman"/>
                <w:szCs w:val="24"/>
              </w:rPr>
            </w:pPr>
            <w:r>
              <w:rPr>
                <w:rFonts w:cs="Times New Roman"/>
                <w:szCs w:val="24"/>
              </w:rPr>
              <w:t>30 to 50 micrograms/</w:t>
            </w:r>
            <w:r w:rsidRPr="00142448">
              <w:rPr>
                <w:rFonts w:cs="Times New Roman"/>
                <w:szCs w:val="24"/>
              </w:rPr>
              <w:t>kg body weight.</w:t>
            </w:r>
          </w:p>
          <w:p w14:paraId="674DFE2D" w14:textId="77777777" w:rsidR="00265BA6" w:rsidRPr="00944B15" w:rsidRDefault="00265BA6" w:rsidP="002D6DD7">
            <w:pPr>
              <w:jc w:val="both"/>
              <w:rPr>
                <w:rFonts w:cs="Times New Roman"/>
                <w:b/>
                <w:szCs w:val="24"/>
              </w:rPr>
            </w:pPr>
            <w:r w:rsidRPr="00944B15">
              <w:rPr>
                <w:rFonts w:cs="Times New Roman"/>
                <w:b/>
                <w:szCs w:val="24"/>
              </w:rPr>
              <w:t xml:space="preserve">Muscle relaxation, by IV infusion: </w:t>
            </w:r>
          </w:p>
          <w:p w14:paraId="361CEB13" w14:textId="77777777" w:rsidR="00265BA6" w:rsidRPr="00944B15" w:rsidRDefault="00265BA6" w:rsidP="002D6DD7">
            <w:pPr>
              <w:jc w:val="both"/>
              <w:rPr>
                <w:rFonts w:cs="Times New Roman"/>
                <w:szCs w:val="24"/>
              </w:rPr>
            </w:pPr>
            <w:r w:rsidRPr="00944B15">
              <w:rPr>
                <w:rFonts w:cs="Times New Roman"/>
                <w:szCs w:val="24"/>
              </w:rPr>
              <w:t>Initially, 40–100micrograms/kg, then 0.8–1.4 micrograms/kg/min</w:t>
            </w:r>
          </w:p>
          <w:p w14:paraId="0E7312DE" w14:textId="77777777" w:rsidR="00265BA6" w:rsidRPr="00944B15" w:rsidRDefault="00265BA6" w:rsidP="002D6DD7">
            <w:pPr>
              <w:jc w:val="both"/>
              <w:rPr>
                <w:rFonts w:cs="Times New Roman"/>
                <w:b/>
                <w:szCs w:val="24"/>
              </w:rPr>
            </w:pPr>
            <w:r>
              <w:rPr>
                <w:rFonts w:cs="Times New Roman"/>
                <w:b/>
                <w:szCs w:val="24"/>
              </w:rPr>
              <w:t>Pediatric:</w:t>
            </w:r>
          </w:p>
          <w:p w14:paraId="6FA795C1" w14:textId="77777777" w:rsidR="00265BA6" w:rsidRPr="00944B15" w:rsidRDefault="00265BA6" w:rsidP="002D6DD7">
            <w:pPr>
              <w:jc w:val="both"/>
              <w:rPr>
                <w:rFonts w:cs="Times New Roman"/>
                <w:b/>
                <w:szCs w:val="24"/>
              </w:rPr>
            </w:pPr>
            <w:r w:rsidRPr="00944B15">
              <w:rPr>
                <w:rFonts w:cs="Times New Roman"/>
                <w:b/>
                <w:szCs w:val="24"/>
              </w:rPr>
              <w:t>Intubation by IV injection</w:t>
            </w:r>
          </w:p>
          <w:p w14:paraId="0B28F56B" w14:textId="77777777" w:rsidR="00265BA6" w:rsidRPr="00944B15" w:rsidRDefault="00265BA6" w:rsidP="002D6DD7">
            <w:pPr>
              <w:jc w:val="both"/>
              <w:rPr>
                <w:rFonts w:cs="Times New Roman"/>
                <w:szCs w:val="24"/>
              </w:rPr>
            </w:pPr>
            <w:r w:rsidRPr="00944B15">
              <w:rPr>
                <w:rFonts w:cs="Times New Roman"/>
                <w:b/>
                <w:szCs w:val="24"/>
              </w:rPr>
              <w:t>Child 1–4 months:</w:t>
            </w:r>
            <w:r w:rsidRPr="00944B15">
              <w:rPr>
                <w:rFonts w:cs="Times New Roman"/>
                <w:szCs w:val="24"/>
              </w:rPr>
              <w:t xml:space="preserve"> Initially 10–20 micrograms/kg, followed by </w:t>
            </w:r>
            <w:r w:rsidRPr="00944B15">
              <w:rPr>
                <w:rFonts w:cs="Times New Roman"/>
                <w:szCs w:val="24"/>
              </w:rPr>
              <w:lastRenderedPageBreak/>
              <w:t>incremental doses according to response</w:t>
            </w:r>
          </w:p>
          <w:p w14:paraId="3D5BB75A" w14:textId="77777777" w:rsidR="00265BA6" w:rsidRPr="00944B15" w:rsidRDefault="00265BA6" w:rsidP="002D6DD7">
            <w:pPr>
              <w:jc w:val="both"/>
              <w:rPr>
                <w:rFonts w:cs="Times New Roman"/>
                <w:szCs w:val="24"/>
              </w:rPr>
            </w:pPr>
            <w:r w:rsidRPr="00944B15">
              <w:rPr>
                <w:rFonts w:cs="Times New Roman"/>
                <w:b/>
                <w:szCs w:val="24"/>
              </w:rPr>
              <w:t>Child over 5 months:</w:t>
            </w:r>
            <w:r w:rsidRPr="00944B15">
              <w:rPr>
                <w:rFonts w:cs="Times New Roman"/>
                <w:szCs w:val="24"/>
              </w:rPr>
              <w:t xml:space="preserve"> Initially 80–100 micrograms/kg, usual maintenance dose, 20–30 micrograms/kg</w:t>
            </w:r>
          </w:p>
          <w:p w14:paraId="0295DB5B" w14:textId="77777777" w:rsidR="00265BA6" w:rsidRPr="00944B15" w:rsidRDefault="00265BA6" w:rsidP="002D6DD7">
            <w:pPr>
              <w:jc w:val="both"/>
              <w:rPr>
                <w:rFonts w:cs="Times New Roman"/>
                <w:b/>
                <w:szCs w:val="24"/>
              </w:rPr>
            </w:pPr>
            <w:r w:rsidRPr="00944B15">
              <w:rPr>
                <w:rFonts w:cs="Times New Roman"/>
                <w:b/>
                <w:szCs w:val="24"/>
              </w:rPr>
              <w:t>Muscle relaxation during surgery, IV infusion</w:t>
            </w:r>
            <w:r>
              <w:rPr>
                <w:rFonts w:cs="Times New Roman"/>
                <w:b/>
                <w:szCs w:val="24"/>
              </w:rPr>
              <w:t>:</w:t>
            </w:r>
          </w:p>
          <w:p w14:paraId="4A0CD580" w14:textId="77777777" w:rsidR="00265BA6" w:rsidRPr="00944B15" w:rsidRDefault="00265BA6" w:rsidP="002D6DD7">
            <w:pPr>
              <w:jc w:val="both"/>
              <w:rPr>
                <w:rFonts w:cs="Times New Roman"/>
                <w:szCs w:val="24"/>
              </w:rPr>
            </w:pPr>
            <w:r w:rsidRPr="00944B15">
              <w:rPr>
                <w:rFonts w:cs="Times New Roman"/>
                <w:b/>
                <w:szCs w:val="24"/>
              </w:rPr>
              <w:t>Neonate:</w:t>
            </w:r>
            <w:r w:rsidRPr="00944B15">
              <w:rPr>
                <w:rFonts w:cs="Times New Roman"/>
                <w:szCs w:val="24"/>
              </w:rPr>
              <w:t xml:space="preserve"> Initially 80–100 micrograms/kg, then 30– 50 micrograms/kg adjusted according to response.</w:t>
            </w:r>
          </w:p>
          <w:p w14:paraId="6967661E" w14:textId="77777777" w:rsidR="00265BA6" w:rsidRPr="00944B15" w:rsidRDefault="00265BA6" w:rsidP="002D6DD7">
            <w:pPr>
              <w:jc w:val="both"/>
              <w:rPr>
                <w:rFonts w:cs="Times New Roman"/>
                <w:szCs w:val="24"/>
              </w:rPr>
            </w:pPr>
            <w:r w:rsidRPr="00944B15">
              <w:rPr>
                <w:rFonts w:cs="Times New Roman"/>
                <w:b/>
                <w:szCs w:val="24"/>
              </w:rPr>
              <w:t>Infant or Child:</w:t>
            </w:r>
            <w:r w:rsidRPr="00944B15">
              <w:rPr>
                <w:rFonts w:cs="Times New Roman"/>
                <w:szCs w:val="24"/>
              </w:rPr>
              <w:t xml:space="preserve"> Initially 80–100 micrograms/kg, then either by IV injection 20–30 micrograms/kg repeated as required, or by IV infusion 50–80 micrograms/kg per hour, adjusted according to response</w:t>
            </w:r>
          </w:p>
        </w:tc>
      </w:tr>
      <w:tr w:rsidR="00265BA6" w:rsidRPr="00944B15" w14:paraId="1F03511C" w14:textId="77777777" w:rsidTr="002D6DD7">
        <w:tc>
          <w:tcPr>
            <w:tcW w:w="2605" w:type="dxa"/>
          </w:tcPr>
          <w:p w14:paraId="39532C2E"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46D2C604" w14:textId="77777777" w:rsidR="00265BA6" w:rsidRPr="00944B15" w:rsidRDefault="00265BA6" w:rsidP="002D6DD7">
            <w:pPr>
              <w:jc w:val="both"/>
              <w:rPr>
                <w:rFonts w:cs="Times New Roman"/>
                <w:szCs w:val="24"/>
              </w:rPr>
            </w:pPr>
            <w:r w:rsidRPr="00944B15">
              <w:rPr>
                <w:rFonts w:cs="Times New Roman"/>
                <w:szCs w:val="24"/>
              </w:rPr>
              <w:t xml:space="preserve">Hypersensitivity to the </w:t>
            </w:r>
            <w:r>
              <w:rPr>
                <w:rFonts w:cs="Times New Roman"/>
                <w:szCs w:val="24"/>
              </w:rPr>
              <w:t>drug</w:t>
            </w:r>
          </w:p>
        </w:tc>
      </w:tr>
      <w:tr w:rsidR="00265BA6" w:rsidRPr="00944B15" w14:paraId="01AE0E46" w14:textId="77777777" w:rsidTr="002D6DD7">
        <w:tc>
          <w:tcPr>
            <w:tcW w:w="2605" w:type="dxa"/>
          </w:tcPr>
          <w:p w14:paraId="5D4B67DA"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30DBF761" w14:textId="77777777" w:rsidR="00265BA6" w:rsidRPr="00944B15" w:rsidRDefault="00265BA6" w:rsidP="002D6DD7">
            <w:pPr>
              <w:jc w:val="both"/>
              <w:rPr>
                <w:rFonts w:cs="Times New Roman"/>
                <w:szCs w:val="24"/>
              </w:rPr>
            </w:pPr>
            <w:r w:rsidRPr="00944B15">
              <w:rPr>
                <w:rFonts w:cs="Times New Roman"/>
                <w:szCs w:val="24"/>
              </w:rPr>
              <w:t>Aminoglycosides, opioids, sedatives, volatile general anaesthetics, carbamazepine, clindamycin, neostigmine, phenytoin, procainamide, propranolol, pyridostigmine.</w:t>
            </w:r>
          </w:p>
        </w:tc>
      </w:tr>
      <w:tr w:rsidR="00265BA6" w:rsidRPr="00944B15" w14:paraId="68A96E35" w14:textId="77777777" w:rsidTr="002D6DD7">
        <w:tc>
          <w:tcPr>
            <w:tcW w:w="2605" w:type="dxa"/>
          </w:tcPr>
          <w:p w14:paraId="0D66323B"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24A1A7A7" w14:textId="77777777" w:rsidR="00265BA6" w:rsidRPr="00944B15" w:rsidRDefault="00265BA6" w:rsidP="002D6DD7">
            <w:pPr>
              <w:jc w:val="both"/>
              <w:rPr>
                <w:rFonts w:cs="Times New Roman"/>
                <w:szCs w:val="24"/>
              </w:rPr>
            </w:pPr>
            <w:r w:rsidRPr="00944B15">
              <w:rPr>
                <w:rFonts w:cs="Times New Roman"/>
                <w:szCs w:val="24"/>
              </w:rPr>
              <w:t>Hypersensitivity reactions, including bronchospasm, hypotension, tachycardia, oedema, erythema, pruritus; apnoea, respiratory insufficiency and paralysis.</w:t>
            </w:r>
          </w:p>
        </w:tc>
      </w:tr>
      <w:tr w:rsidR="00265BA6" w:rsidRPr="00944B15" w14:paraId="611205DB" w14:textId="77777777" w:rsidTr="002D6DD7">
        <w:tc>
          <w:tcPr>
            <w:tcW w:w="2605" w:type="dxa"/>
          </w:tcPr>
          <w:p w14:paraId="46F5DE77"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616454B1" w14:textId="77777777" w:rsidR="00265BA6" w:rsidRPr="00944B15" w:rsidRDefault="00265BA6" w:rsidP="002D6DD7">
            <w:pPr>
              <w:jc w:val="both"/>
              <w:rPr>
                <w:rFonts w:cs="Times New Roman"/>
                <w:szCs w:val="24"/>
              </w:rPr>
            </w:pPr>
            <w:r w:rsidRPr="00944B15">
              <w:rPr>
                <w:rFonts w:cs="Times New Roman"/>
                <w:szCs w:val="24"/>
              </w:rPr>
              <w:t>Hepatic impairment, electrolyte disturbances, respiratory disorders, history of asthma, severe obesity, neuromuscular disease</w:t>
            </w:r>
            <w:r>
              <w:rPr>
                <w:rFonts w:cs="Times New Roman"/>
                <w:szCs w:val="24"/>
              </w:rPr>
              <w:t xml:space="preserve">, </w:t>
            </w:r>
            <w:r w:rsidRPr="00944B15">
              <w:rPr>
                <w:rFonts w:cs="Times New Roman"/>
                <w:szCs w:val="24"/>
              </w:rPr>
              <w:t>myasthenia gravis.</w:t>
            </w:r>
          </w:p>
        </w:tc>
      </w:tr>
      <w:tr w:rsidR="00265BA6" w:rsidRPr="00944B15" w14:paraId="3B93CB8C" w14:textId="77777777" w:rsidTr="002D6DD7">
        <w:tc>
          <w:tcPr>
            <w:tcW w:w="2605" w:type="dxa"/>
          </w:tcPr>
          <w:p w14:paraId="0B77908F"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04F163F1" w14:textId="77777777" w:rsidR="00265BA6" w:rsidRPr="00944B15" w:rsidRDefault="00265BA6" w:rsidP="002D6DD7">
            <w:pPr>
              <w:jc w:val="both"/>
              <w:rPr>
                <w:rFonts w:cs="Times New Roman"/>
                <w:szCs w:val="24"/>
              </w:rPr>
            </w:pPr>
            <w:r w:rsidRPr="00944B15">
              <w:rPr>
                <w:rFonts w:cs="Times New Roman"/>
                <w:szCs w:val="24"/>
              </w:rPr>
              <w:t>Store in a refrigerator (2ºC – 8ºC).</w:t>
            </w:r>
          </w:p>
        </w:tc>
      </w:tr>
      <w:tr w:rsidR="00265BA6" w:rsidRPr="00944B15" w14:paraId="56B0363B" w14:textId="77777777" w:rsidTr="002D6DD7">
        <w:tc>
          <w:tcPr>
            <w:tcW w:w="9350" w:type="dxa"/>
            <w:gridSpan w:val="2"/>
          </w:tcPr>
          <w:p w14:paraId="2FF4A023" w14:textId="77777777" w:rsidR="00265BA6" w:rsidRPr="00944B15" w:rsidRDefault="00265BA6" w:rsidP="002D6DD7">
            <w:pPr>
              <w:jc w:val="both"/>
            </w:pPr>
            <w:r w:rsidRPr="00944B15">
              <w:rPr>
                <w:rFonts w:cs="Times New Roman"/>
                <w:b/>
                <w:szCs w:val="24"/>
              </w:rPr>
              <w:t>Neostigmine</w:t>
            </w:r>
          </w:p>
        </w:tc>
      </w:tr>
      <w:tr w:rsidR="00265BA6" w:rsidRPr="00944B15" w14:paraId="12999017" w14:textId="77777777" w:rsidTr="002D6DD7">
        <w:tc>
          <w:tcPr>
            <w:tcW w:w="2605" w:type="dxa"/>
          </w:tcPr>
          <w:p w14:paraId="411D5544"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1D5CF7C2" w14:textId="77777777" w:rsidR="00265BA6" w:rsidRPr="00944B15" w:rsidRDefault="00265BA6" w:rsidP="002D6DD7">
            <w:pPr>
              <w:jc w:val="both"/>
              <w:rPr>
                <w:rFonts w:cs="Times New Roman"/>
                <w:szCs w:val="24"/>
              </w:rPr>
            </w:pPr>
            <w:r>
              <w:rPr>
                <w:rFonts w:cs="Times New Roman"/>
                <w:szCs w:val="24"/>
              </w:rPr>
              <w:t>Cholinesterase i</w:t>
            </w:r>
            <w:r w:rsidRPr="00944B15">
              <w:rPr>
                <w:rFonts w:cs="Times New Roman"/>
                <w:szCs w:val="24"/>
              </w:rPr>
              <w:t>nhibitor</w:t>
            </w:r>
          </w:p>
        </w:tc>
      </w:tr>
      <w:tr w:rsidR="00265BA6" w:rsidRPr="00944B15" w14:paraId="733EA952" w14:textId="77777777" w:rsidTr="002D6DD7">
        <w:tc>
          <w:tcPr>
            <w:tcW w:w="2605" w:type="dxa"/>
          </w:tcPr>
          <w:p w14:paraId="28398831"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422A7E5E" w14:textId="77777777" w:rsidR="00265BA6" w:rsidRPr="00944B15" w:rsidRDefault="00265BA6" w:rsidP="002D6DD7">
            <w:pPr>
              <w:jc w:val="both"/>
              <w:rPr>
                <w:rFonts w:cs="Times New Roman"/>
                <w:szCs w:val="24"/>
              </w:rPr>
            </w:pPr>
            <w:r w:rsidRPr="00944B15">
              <w:rPr>
                <w:rFonts w:cs="Times New Roman"/>
                <w:szCs w:val="24"/>
              </w:rPr>
              <w:t>Injection: 500 mcg/</w:t>
            </w:r>
            <w:r>
              <w:rPr>
                <w:rFonts w:cs="Times New Roman"/>
                <w:szCs w:val="24"/>
              </w:rPr>
              <w:t>ml</w:t>
            </w:r>
            <w:r w:rsidRPr="00944B15">
              <w:rPr>
                <w:rFonts w:cs="Times New Roman"/>
                <w:szCs w:val="24"/>
              </w:rPr>
              <w:t>, 2.5 mg/</w:t>
            </w:r>
            <w:r>
              <w:rPr>
                <w:rFonts w:cs="Times New Roman"/>
                <w:szCs w:val="24"/>
              </w:rPr>
              <w:t>ml</w:t>
            </w:r>
            <w:r w:rsidRPr="00944B15">
              <w:rPr>
                <w:rFonts w:cs="Times New Roman"/>
                <w:szCs w:val="24"/>
              </w:rPr>
              <w:t xml:space="preserve"> in 1 </w:t>
            </w:r>
            <w:r>
              <w:rPr>
                <w:rFonts w:cs="Times New Roman"/>
                <w:szCs w:val="24"/>
              </w:rPr>
              <w:t>ml</w:t>
            </w:r>
            <w:r w:rsidRPr="00944B15">
              <w:rPr>
                <w:rFonts w:cs="Times New Roman"/>
                <w:szCs w:val="24"/>
              </w:rPr>
              <w:t xml:space="preserve"> ampoule.</w:t>
            </w:r>
          </w:p>
        </w:tc>
      </w:tr>
      <w:tr w:rsidR="00265BA6" w:rsidRPr="00944B15" w14:paraId="42BD5F25" w14:textId="77777777" w:rsidTr="002D6DD7">
        <w:tc>
          <w:tcPr>
            <w:tcW w:w="2605" w:type="dxa"/>
          </w:tcPr>
          <w:p w14:paraId="45F2B270"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0AB45213" w14:textId="77777777" w:rsidR="00265BA6" w:rsidRPr="00944B15" w:rsidRDefault="00265BA6" w:rsidP="002D6DD7">
            <w:pPr>
              <w:jc w:val="both"/>
              <w:rPr>
                <w:rFonts w:cs="Times New Roman"/>
                <w:szCs w:val="24"/>
              </w:rPr>
            </w:pPr>
            <w:r w:rsidRPr="00944B15">
              <w:rPr>
                <w:rFonts w:cs="Times New Roman"/>
                <w:szCs w:val="24"/>
              </w:rPr>
              <w:t>For reversal of the effects of non-depolarizing neuromuscular blocking agents (e.g. tubocurarine, gallamine or pancuronium) after surgery and in the treatment of post-operative non-obstructive urinary retention.</w:t>
            </w:r>
          </w:p>
        </w:tc>
      </w:tr>
      <w:tr w:rsidR="00265BA6" w:rsidRPr="00944B15" w14:paraId="3796F84A" w14:textId="77777777" w:rsidTr="002D6DD7">
        <w:tc>
          <w:tcPr>
            <w:tcW w:w="2605" w:type="dxa"/>
          </w:tcPr>
          <w:p w14:paraId="75F7E9C7" w14:textId="77777777" w:rsidR="00265BA6" w:rsidRPr="00944B15" w:rsidRDefault="00265BA6" w:rsidP="002D6DD7">
            <w:pPr>
              <w:jc w:val="both"/>
              <w:rPr>
                <w:rFonts w:cs="Times New Roman"/>
                <w:szCs w:val="24"/>
              </w:rPr>
            </w:pPr>
            <w:r w:rsidRPr="00944B15">
              <w:rPr>
                <w:rFonts w:eastAsia="Times New Roman" w:cs="Times New Roman"/>
                <w:szCs w:val="24"/>
              </w:rPr>
              <w:t>Dose and administration</w:t>
            </w:r>
          </w:p>
        </w:tc>
        <w:tc>
          <w:tcPr>
            <w:tcW w:w="6745" w:type="dxa"/>
          </w:tcPr>
          <w:p w14:paraId="42D0613E" w14:textId="77777777" w:rsidR="00265BA6" w:rsidRPr="00944B15" w:rsidRDefault="00265BA6" w:rsidP="002D6DD7">
            <w:pPr>
              <w:jc w:val="both"/>
              <w:rPr>
                <w:rFonts w:cs="Times New Roman"/>
                <w:b/>
                <w:szCs w:val="24"/>
              </w:rPr>
            </w:pPr>
            <w:r w:rsidRPr="00944B15">
              <w:rPr>
                <w:rFonts w:cs="Times New Roman"/>
                <w:b/>
                <w:szCs w:val="24"/>
              </w:rPr>
              <w:t>Adult:</w:t>
            </w:r>
          </w:p>
          <w:p w14:paraId="4F2F5B5E" w14:textId="77777777" w:rsidR="00265BA6" w:rsidRPr="00944B15" w:rsidRDefault="00265BA6" w:rsidP="002D6DD7">
            <w:pPr>
              <w:jc w:val="both"/>
              <w:rPr>
                <w:rFonts w:cs="Times New Roman"/>
                <w:b/>
                <w:szCs w:val="24"/>
              </w:rPr>
            </w:pPr>
            <w:r w:rsidRPr="00944B15">
              <w:rPr>
                <w:rFonts w:cs="Times New Roman"/>
                <w:b/>
                <w:szCs w:val="24"/>
              </w:rPr>
              <w:t>Reversal of non-depolarizing block by IV injection:</w:t>
            </w:r>
          </w:p>
          <w:p w14:paraId="66D108CD" w14:textId="77777777" w:rsidR="00265BA6" w:rsidRPr="00944B15" w:rsidRDefault="00265BA6" w:rsidP="002D6DD7">
            <w:pPr>
              <w:jc w:val="both"/>
              <w:rPr>
                <w:rFonts w:cs="Times New Roman"/>
                <w:szCs w:val="24"/>
              </w:rPr>
            </w:pPr>
            <w:r w:rsidRPr="00944B15">
              <w:rPr>
                <w:rFonts w:cs="Times New Roman"/>
                <w:szCs w:val="24"/>
              </w:rPr>
              <w:t xml:space="preserve">Over 1 minute, 2.5 mg, followed, if necessary, by supplements of </w:t>
            </w:r>
            <w:r w:rsidRPr="00944B15">
              <w:rPr>
                <w:rFonts w:cs="Times New Roman"/>
                <w:szCs w:val="24"/>
              </w:rPr>
              <w:lastRenderedPageBreak/>
              <w:t xml:space="preserve">500 micrograms to maximum total dose of 5 mg </w:t>
            </w:r>
          </w:p>
          <w:p w14:paraId="7C4B90A3" w14:textId="77777777" w:rsidR="00265BA6" w:rsidRPr="00944B15" w:rsidRDefault="00265BA6" w:rsidP="002D6DD7">
            <w:pPr>
              <w:jc w:val="both"/>
              <w:rPr>
                <w:rFonts w:cs="Times New Roman"/>
                <w:b/>
                <w:szCs w:val="24"/>
              </w:rPr>
            </w:pPr>
            <w:r w:rsidRPr="00944B15">
              <w:rPr>
                <w:rFonts w:cs="Times New Roman"/>
                <w:b/>
                <w:szCs w:val="24"/>
              </w:rPr>
              <w:t>Post-operative urinary retention, by SC or IM injection:</w:t>
            </w:r>
          </w:p>
          <w:p w14:paraId="79F8BA31" w14:textId="77777777" w:rsidR="00265BA6" w:rsidRPr="00944B15" w:rsidRDefault="00265BA6" w:rsidP="002D6DD7">
            <w:pPr>
              <w:jc w:val="both"/>
              <w:rPr>
                <w:rFonts w:cs="Times New Roman"/>
                <w:szCs w:val="24"/>
              </w:rPr>
            </w:pPr>
            <w:r w:rsidRPr="00944B15">
              <w:rPr>
                <w:rFonts w:cs="Times New Roman"/>
                <w:szCs w:val="24"/>
              </w:rPr>
              <w:t>500 micrograms; catheterization required if urine not passed within 1 hour</w:t>
            </w:r>
          </w:p>
          <w:p w14:paraId="560BE91A" w14:textId="77777777" w:rsidR="00265BA6" w:rsidRPr="00944B15" w:rsidRDefault="00265BA6" w:rsidP="002D6DD7">
            <w:pPr>
              <w:jc w:val="both"/>
              <w:rPr>
                <w:rFonts w:cs="Times New Roman"/>
                <w:b/>
                <w:szCs w:val="24"/>
              </w:rPr>
            </w:pPr>
            <w:r>
              <w:rPr>
                <w:rFonts w:cs="Times New Roman"/>
                <w:b/>
                <w:szCs w:val="24"/>
              </w:rPr>
              <w:t>Pediatric:</w:t>
            </w:r>
          </w:p>
          <w:p w14:paraId="21FA7BAA" w14:textId="77777777" w:rsidR="00265BA6" w:rsidRPr="00944B15" w:rsidRDefault="00265BA6" w:rsidP="002D6DD7">
            <w:pPr>
              <w:jc w:val="both"/>
              <w:rPr>
                <w:rFonts w:cs="Times New Roman"/>
                <w:b/>
                <w:szCs w:val="24"/>
              </w:rPr>
            </w:pPr>
            <w:r w:rsidRPr="00944B15">
              <w:rPr>
                <w:rFonts w:cs="Times New Roman"/>
                <w:b/>
                <w:szCs w:val="24"/>
              </w:rPr>
              <w:t>Reversal of non-depolarizing muscle block (using neostigmine metal sulphate), IV over 1 minute</w:t>
            </w:r>
            <w:r>
              <w:rPr>
                <w:rFonts w:cs="Times New Roman"/>
                <w:b/>
                <w:szCs w:val="24"/>
              </w:rPr>
              <w:t>:</w:t>
            </w:r>
          </w:p>
          <w:p w14:paraId="2166EDD8" w14:textId="77777777" w:rsidR="00265BA6" w:rsidRPr="00944B15" w:rsidRDefault="00265BA6" w:rsidP="002D6DD7">
            <w:pPr>
              <w:jc w:val="both"/>
              <w:rPr>
                <w:rFonts w:cs="Times New Roman"/>
                <w:szCs w:val="24"/>
              </w:rPr>
            </w:pPr>
            <w:r w:rsidRPr="00944B15">
              <w:rPr>
                <w:rFonts w:cs="Times New Roman"/>
                <w:b/>
                <w:szCs w:val="24"/>
              </w:rPr>
              <w:t>Neonate:</w:t>
            </w:r>
            <w:r w:rsidRPr="00944B15">
              <w:rPr>
                <w:rFonts w:cs="Times New Roman"/>
                <w:szCs w:val="24"/>
              </w:rPr>
              <w:t xml:space="preserve"> 50–80 micrograms/kg, after or with atropine.</w:t>
            </w:r>
          </w:p>
          <w:p w14:paraId="04BF3D15" w14:textId="77777777" w:rsidR="00265BA6" w:rsidRPr="00944B15" w:rsidRDefault="00265BA6" w:rsidP="002D6DD7">
            <w:pPr>
              <w:jc w:val="both"/>
              <w:rPr>
                <w:rFonts w:cs="Times New Roman"/>
                <w:szCs w:val="24"/>
              </w:rPr>
            </w:pPr>
            <w:r w:rsidRPr="00944B15">
              <w:rPr>
                <w:rFonts w:cs="Times New Roman"/>
                <w:b/>
                <w:szCs w:val="24"/>
              </w:rPr>
              <w:t>Infant or child:</w:t>
            </w:r>
            <w:r w:rsidRPr="00944B15">
              <w:rPr>
                <w:rFonts w:cs="Times New Roman"/>
                <w:szCs w:val="24"/>
              </w:rPr>
              <w:t xml:space="preserve"> 50–80 micrograms/kg (maximum 2.5 mg) after or with atropine</w:t>
            </w:r>
          </w:p>
        </w:tc>
      </w:tr>
      <w:tr w:rsidR="00265BA6" w:rsidRPr="00944B15" w14:paraId="35F95391" w14:textId="77777777" w:rsidTr="002D6DD7">
        <w:tc>
          <w:tcPr>
            <w:tcW w:w="2605" w:type="dxa"/>
          </w:tcPr>
          <w:p w14:paraId="35C0086C" w14:textId="77777777" w:rsidR="00265BA6" w:rsidRPr="00944B15" w:rsidRDefault="00265BA6" w:rsidP="002D6DD7">
            <w:pPr>
              <w:jc w:val="both"/>
              <w:rPr>
                <w:rFonts w:cs="Times New Roman"/>
                <w:szCs w:val="24"/>
              </w:rPr>
            </w:pPr>
            <w:r w:rsidRPr="00944B15">
              <w:rPr>
                <w:rFonts w:cs="Times New Roman"/>
                <w:szCs w:val="24"/>
              </w:rPr>
              <w:lastRenderedPageBreak/>
              <w:t>Contraindications</w:t>
            </w:r>
          </w:p>
        </w:tc>
        <w:tc>
          <w:tcPr>
            <w:tcW w:w="6745" w:type="dxa"/>
          </w:tcPr>
          <w:p w14:paraId="230FF366" w14:textId="77777777" w:rsidR="00265BA6" w:rsidRPr="00944B15" w:rsidRDefault="00265BA6"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xml:space="preserve">, recent intestinal or bladder surgery, mechanical intestinal or urinary tract obstruction and peritonitis. </w:t>
            </w:r>
          </w:p>
        </w:tc>
      </w:tr>
      <w:tr w:rsidR="00265BA6" w:rsidRPr="00944B15" w14:paraId="6BB0D8A5" w14:textId="77777777" w:rsidTr="002D6DD7">
        <w:tc>
          <w:tcPr>
            <w:tcW w:w="2605" w:type="dxa"/>
          </w:tcPr>
          <w:p w14:paraId="3907AE67"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76BA7F41" w14:textId="77777777" w:rsidR="00265BA6" w:rsidRPr="00944B15" w:rsidRDefault="00265BA6" w:rsidP="002D6DD7">
            <w:pPr>
              <w:jc w:val="both"/>
              <w:rPr>
                <w:rFonts w:cs="Times New Roman"/>
                <w:szCs w:val="24"/>
              </w:rPr>
            </w:pPr>
            <w:r w:rsidRPr="00944B15">
              <w:rPr>
                <w:rFonts w:cs="Times New Roman"/>
                <w:szCs w:val="24"/>
              </w:rPr>
              <w:t>Anticholinergics, aminoglycosides, chloroquine, clindamycin, paromomycin, propranolol, suxamethonium, vecuronium, cyclopropane, halothane</w:t>
            </w:r>
            <w:r>
              <w:rPr>
                <w:rFonts w:cs="Times New Roman"/>
                <w:szCs w:val="24"/>
              </w:rPr>
              <w:t>,</w:t>
            </w:r>
            <w:r w:rsidRPr="00944B15">
              <w:rPr>
                <w:rFonts w:cs="Times New Roman"/>
                <w:szCs w:val="24"/>
              </w:rPr>
              <w:t xml:space="preserve"> thiopental.</w:t>
            </w:r>
          </w:p>
        </w:tc>
      </w:tr>
      <w:tr w:rsidR="00265BA6" w:rsidRPr="00944B15" w14:paraId="2D99754F" w14:textId="77777777" w:rsidTr="002D6DD7">
        <w:tc>
          <w:tcPr>
            <w:tcW w:w="2605" w:type="dxa"/>
          </w:tcPr>
          <w:p w14:paraId="7A7431D7"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56A907B4" w14:textId="77777777" w:rsidR="00265BA6" w:rsidRPr="00944B15" w:rsidRDefault="00265BA6" w:rsidP="002D6DD7">
            <w:pPr>
              <w:jc w:val="both"/>
              <w:rPr>
                <w:rFonts w:cs="Times New Roman"/>
                <w:szCs w:val="24"/>
              </w:rPr>
            </w:pPr>
            <w:r w:rsidRPr="00944B15">
              <w:rPr>
                <w:rFonts w:cs="Times New Roman"/>
                <w:szCs w:val="24"/>
              </w:rPr>
              <w:t>Increased salivation, nausea, vomiting, abdominal cramps, diarrhoea, bradycardia, thrombophlebitis, bronchoconstriction, increased bronchial secretions, lacrimation, excessive sweating, involuntary defecation and micturition, miosis, arrhythmias</w:t>
            </w:r>
            <w:r>
              <w:rPr>
                <w:rFonts w:cs="Times New Roman"/>
                <w:szCs w:val="24"/>
              </w:rPr>
              <w:t xml:space="preserve">, </w:t>
            </w:r>
            <w:r w:rsidRPr="00944B15">
              <w:rPr>
                <w:rFonts w:cs="Times New Roman"/>
                <w:szCs w:val="24"/>
              </w:rPr>
              <w:t>hypotension.</w:t>
            </w:r>
          </w:p>
        </w:tc>
      </w:tr>
      <w:tr w:rsidR="00265BA6" w:rsidRPr="00944B15" w14:paraId="723BA947" w14:textId="77777777" w:rsidTr="002D6DD7">
        <w:tc>
          <w:tcPr>
            <w:tcW w:w="2605" w:type="dxa"/>
          </w:tcPr>
          <w:p w14:paraId="73362745"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7F8D7E85" w14:textId="77777777" w:rsidR="00265BA6" w:rsidRPr="00944B15" w:rsidRDefault="00265BA6" w:rsidP="002D6DD7">
            <w:pPr>
              <w:jc w:val="both"/>
              <w:rPr>
                <w:rFonts w:cs="Times New Roman"/>
                <w:szCs w:val="24"/>
              </w:rPr>
            </w:pPr>
            <w:r w:rsidRPr="00944B15">
              <w:rPr>
                <w:rFonts w:cs="Times New Roman"/>
                <w:szCs w:val="24"/>
              </w:rPr>
              <w:t>Bronchial asthma, recent coronary occlusion, peptic ulcer hyperthyroidism, epilepsy, renal impairment and cardiovascular conditions such as coronary artery disease, cardiac arrhythmias or recent acute coronary syndrome.</w:t>
            </w:r>
          </w:p>
        </w:tc>
      </w:tr>
      <w:tr w:rsidR="00265BA6" w:rsidRPr="00944B15" w14:paraId="3B90F59F" w14:textId="77777777" w:rsidTr="002D6DD7">
        <w:tc>
          <w:tcPr>
            <w:tcW w:w="2605" w:type="dxa"/>
          </w:tcPr>
          <w:p w14:paraId="75D9F776"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45F74EA5" w14:textId="77777777" w:rsidR="00265BA6" w:rsidRPr="00944B15" w:rsidRDefault="00265BA6" w:rsidP="002D6DD7">
            <w:pPr>
              <w:jc w:val="both"/>
              <w:rPr>
                <w:rFonts w:cs="Times New Roman"/>
                <w:szCs w:val="24"/>
              </w:rPr>
            </w:pPr>
            <w:r>
              <w:rPr>
                <w:rFonts w:cs="Times New Roman"/>
                <w:szCs w:val="24"/>
              </w:rPr>
              <w:t>Store below 30</w:t>
            </w:r>
            <w:r w:rsidRPr="00944B15">
              <w:rPr>
                <w:rFonts w:cs="Times New Roman"/>
                <w:szCs w:val="24"/>
              </w:rPr>
              <w:t>°C</w:t>
            </w:r>
            <w:r>
              <w:rPr>
                <w:rFonts w:cs="Times New Roman"/>
                <w:szCs w:val="24"/>
              </w:rPr>
              <w:t xml:space="preserve">. </w:t>
            </w:r>
            <w:r w:rsidRPr="00944B15">
              <w:rPr>
                <w:rFonts w:cs="Times New Roman"/>
                <w:szCs w:val="24"/>
              </w:rPr>
              <w:t xml:space="preserve"> </w:t>
            </w:r>
            <w:r>
              <w:rPr>
                <w:rFonts w:cs="Times New Roman"/>
                <w:szCs w:val="24"/>
              </w:rPr>
              <w:t>P</w:t>
            </w:r>
            <w:r w:rsidRPr="00944B15">
              <w:rPr>
                <w:rFonts w:cs="Times New Roman"/>
                <w:szCs w:val="24"/>
              </w:rPr>
              <w:t>rotect from light.</w:t>
            </w:r>
          </w:p>
        </w:tc>
      </w:tr>
      <w:tr w:rsidR="00265BA6" w:rsidRPr="00944B15" w14:paraId="7AE21DA0" w14:textId="77777777" w:rsidTr="002D6DD7">
        <w:tc>
          <w:tcPr>
            <w:tcW w:w="9350" w:type="dxa"/>
            <w:gridSpan w:val="2"/>
          </w:tcPr>
          <w:p w14:paraId="432B9AE5" w14:textId="77777777" w:rsidR="00265BA6" w:rsidRPr="00944B15" w:rsidRDefault="00265BA6" w:rsidP="002D6DD7">
            <w:pPr>
              <w:jc w:val="both"/>
              <w:rPr>
                <w:rFonts w:cs="Times New Roman"/>
                <w:szCs w:val="24"/>
              </w:rPr>
            </w:pPr>
            <w:r w:rsidRPr="00944B15">
              <w:rPr>
                <w:rFonts w:cs="Times New Roman"/>
                <w:b/>
                <w:szCs w:val="24"/>
              </w:rPr>
              <w:t>Pyridostigmine</w:t>
            </w:r>
          </w:p>
        </w:tc>
      </w:tr>
      <w:tr w:rsidR="00265BA6" w:rsidRPr="00944B15" w14:paraId="4B464E1F" w14:textId="77777777" w:rsidTr="002D6DD7">
        <w:tc>
          <w:tcPr>
            <w:tcW w:w="2605" w:type="dxa"/>
          </w:tcPr>
          <w:p w14:paraId="4F978C8B" w14:textId="77777777" w:rsidR="00265BA6" w:rsidRPr="00944B15" w:rsidRDefault="00265BA6" w:rsidP="002D6DD7">
            <w:pPr>
              <w:jc w:val="both"/>
              <w:rPr>
                <w:rFonts w:cs="Times New Roman"/>
                <w:szCs w:val="24"/>
              </w:rPr>
            </w:pPr>
            <w:r w:rsidRPr="00944B15">
              <w:rPr>
                <w:rFonts w:cs="Times New Roman"/>
                <w:szCs w:val="24"/>
              </w:rPr>
              <w:t>Pharmacological class</w:t>
            </w:r>
          </w:p>
        </w:tc>
        <w:tc>
          <w:tcPr>
            <w:tcW w:w="6745" w:type="dxa"/>
          </w:tcPr>
          <w:p w14:paraId="03F78F6F" w14:textId="77777777" w:rsidR="00265BA6" w:rsidRPr="00944B15" w:rsidRDefault="00265BA6" w:rsidP="002D6DD7">
            <w:pPr>
              <w:jc w:val="both"/>
              <w:rPr>
                <w:rFonts w:cs="Times New Roman"/>
                <w:szCs w:val="24"/>
              </w:rPr>
            </w:pPr>
            <w:r>
              <w:rPr>
                <w:rFonts w:cs="Times New Roman"/>
                <w:szCs w:val="24"/>
              </w:rPr>
              <w:t>Cholinesterase i</w:t>
            </w:r>
            <w:r w:rsidRPr="00944B15">
              <w:rPr>
                <w:rFonts w:cs="Times New Roman"/>
                <w:szCs w:val="24"/>
              </w:rPr>
              <w:t>nhibitor</w:t>
            </w:r>
          </w:p>
        </w:tc>
      </w:tr>
      <w:tr w:rsidR="00265BA6" w:rsidRPr="00944B15" w14:paraId="6ABBF442" w14:textId="77777777" w:rsidTr="002D6DD7">
        <w:tc>
          <w:tcPr>
            <w:tcW w:w="2605" w:type="dxa"/>
          </w:tcPr>
          <w:p w14:paraId="632FC8F6" w14:textId="77777777" w:rsidR="00265BA6" w:rsidRPr="00944B15" w:rsidRDefault="00265BA6" w:rsidP="002D6DD7">
            <w:pPr>
              <w:jc w:val="both"/>
              <w:rPr>
                <w:rFonts w:cs="Times New Roman"/>
                <w:szCs w:val="24"/>
              </w:rPr>
            </w:pPr>
            <w:r w:rsidRPr="00944B15">
              <w:rPr>
                <w:rFonts w:cs="Times New Roman"/>
                <w:szCs w:val="24"/>
              </w:rPr>
              <w:t>Dosage form</w:t>
            </w:r>
          </w:p>
        </w:tc>
        <w:tc>
          <w:tcPr>
            <w:tcW w:w="6745" w:type="dxa"/>
          </w:tcPr>
          <w:p w14:paraId="3B3D6D12" w14:textId="77777777" w:rsidR="00265BA6" w:rsidRPr="00944B15" w:rsidRDefault="00265BA6" w:rsidP="002D6DD7">
            <w:pPr>
              <w:jc w:val="both"/>
              <w:rPr>
                <w:rFonts w:cs="Times New Roman"/>
                <w:szCs w:val="24"/>
              </w:rPr>
            </w:pPr>
            <w:r w:rsidRPr="00944B15">
              <w:rPr>
                <w:rFonts w:cs="Times New Roman"/>
                <w:szCs w:val="24"/>
              </w:rPr>
              <w:t>Injection, 5mg/</w:t>
            </w:r>
            <w:r>
              <w:rPr>
                <w:rFonts w:cs="Times New Roman"/>
                <w:szCs w:val="24"/>
              </w:rPr>
              <w:t>ml</w:t>
            </w:r>
          </w:p>
          <w:p w14:paraId="3E8E0E00" w14:textId="77777777" w:rsidR="00265BA6" w:rsidRPr="00944B15" w:rsidRDefault="00265BA6" w:rsidP="002D6DD7">
            <w:pPr>
              <w:jc w:val="both"/>
              <w:rPr>
                <w:rFonts w:cs="Times New Roman"/>
                <w:szCs w:val="24"/>
              </w:rPr>
            </w:pPr>
            <w:r w:rsidRPr="00944B15">
              <w:rPr>
                <w:rFonts w:cs="Times New Roman"/>
                <w:szCs w:val="24"/>
              </w:rPr>
              <w:t>Tablets (coated), 60 mg</w:t>
            </w:r>
          </w:p>
        </w:tc>
      </w:tr>
      <w:tr w:rsidR="00265BA6" w:rsidRPr="00944B15" w14:paraId="44045EC3" w14:textId="77777777" w:rsidTr="002D6DD7">
        <w:tc>
          <w:tcPr>
            <w:tcW w:w="2605" w:type="dxa"/>
          </w:tcPr>
          <w:p w14:paraId="47967526" w14:textId="77777777" w:rsidR="00265BA6" w:rsidRPr="00944B15" w:rsidRDefault="00265BA6" w:rsidP="002D6DD7">
            <w:pPr>
              <w:jc w:val="both"/>
              <w:rPr>
                <w:rFonts w:cs="Times New Roman"/>
                <w:szCs w:val="24"/>
              </w:rPr>
            </w:pPr>
            <w:r w:rsidRPr="00944B15">
              <w:rPr>
                <w:rFonts w:cs="Times New Roman"/>
                <w:szCs w:val="24"/>
              </w:rPr>
              <w:t>Indications</w:t>
            </w:r>
          </w:p>
        </w:tc>
        <w:tc>
          <w:tcPr>
            <w:tcW w:w="6745" w:type="dxa"/>
          </w:tcPr>
          <w:p w14:paraId="7218FF3B" w14:textId="77777777" w:rsidR="00265BA6" w:rsidRPr="00944B15" w:rsidRDefault="00265BA6" w:rsidP="002D6DD7">
            <w:pPr>
              <w:jc w:val="both"/>
              <w:rPr>
                <w:rFonts w:cs="Times New Roman"/>
                <w:szCs w:val="24"/>
              </w:rPr>
            </w:pPr>
            <w:r w:rsidRPr="00944B15">
              <w:rPr>
                <w:rFonts w:cs="Times New Roman"/>
                <w:szCs w:val="24"/>
              </w:rPr>
              <w:t xml:space="preserve">For reversal of the effects of non-depolarizing neuromuscular blocking agents (e.g. tubocurarine, gallamine or Pancuronium) after </w:t>
            </w:r>
            <w:r w:rsidRPr="00944B15">
              <w:rPr>
                <w:rFonts w:cs="Times New Roman"/>
                <w:szCs w:val="24"/>
              </w:rPr>
              <w:lastRenderedPageBreak/>
              <w:t>surgery and in the treatment of post-operative non-obstructive urinary retention.</w:t>
            </w:r>
          </w:p>
        </w:tc>
      </w:tr>
      <w:tr w:rsidR="00265BA6" w:rsidRPr="00944B15" w14:paraId="171CE0E3" w14:textId="77777777" w:rsidTr="002D6DD7">
        <w:tc>
          <w:tcPr>
            <w:tcW w:w="2605" w:type="dxa"/>
          </w:tcPr>
          <w:p w14:paraId="76B44111" w14:textId="77777777" w:rsidR="00265BA6" w:rsidRPr="00944B15" w:rsidRDefault="00265BA6" w:rsidP="002D6DD7">
            <w:pPr>
              <w:jc w:val="both"/>
              <w:rPr>
                <w:rFonts w:cs="Times New Roman"/>
                <w:szCs w:val="24"/>
              </w:rPr>
            </w:pPr>
            <w:r w:rsidRPr="00944B15">
              <w:rPr>
                <w:rFonts w:eastAsia="Times New Roman" w:cs="Times New Roman"/>
                <w:szCs w:val="24"/>
              </w:rPr>
              <w:lastRenderedPageBreak/>
              <w:t>Dose and administration</w:t>
            </w:r>
          </w:p>
        </w:tc>
        <w:tc>
          <w:tcPr>
            <w:tcW w:w="6745" w:type="dxa"/>
          </w:tcPr>
          <w:p w14:paraId="7C312E65" w14:textId="77777777" w:rsidR="00265BA6" w:rsidRPr="00944B15" w:rsidRDefault="00265BA6" w:rsidP="002D6DD7">
            <w:pPr>
              <w:jc w:val="both"/>
              <w:rPr>
                <w:rFonts w:cs="Times New Roman"/>
                <w:b/>
                <w:szCs w:val="24"/>
              </w:rPr>
            </w:pPr>
            <w:r w:rsidRPr="00944B15">
              <w:rPr>
                <w:rFonts w:cs="Times New Roman"/>
                <w:b/>
                <w:szCs w:val="24"/>
              </w:rPr>
              <w:t>Adult:</w:t>
            </w:r>
          </w:p>
          <w:p w14:paraId="05CDD766" w14:textId="77777777" w:rsidR="00265BA6" w:rsidRPr="00944B15" w:rsidRDefault="00265BA6" w:rsidP="002D6DD7">
            <w:pPr>
              <w:jc w:val="both"/>
              <w:rPr>
                <w:rFonts w:cs="Times New Roman"/>
                <w:b/>
                <w:szCs w:val="24"/>
              </w:rPr>
            </w:pPr>
            <w:r w:rsidRPr="00944B15">
              <w:rPr>
                <w:rFonts w:cs="Times New Roman"/>
                <w:b/>
                <w:szCs w:val="24"/>
              </w:rPr>
              <w:t>Reversal of non-depolarizing block</w:t>
            </w:r>
            <w:r>
              <w:rPr>
                <w:rFonts w:cs="Times New Roman"/>
                <w:b/>
                <w:szCs w:val="24"/>
              </w:rPr>
              <w:t xml:space="preserve">, </w:t>
            </w:r>
            <w:r w:rsidRPr="00944B15">
              <w:rPr>
                <w:rFonts w:cs="Times New Roman"/>
                <w:b/>
                <w:szCs w:val="24"/>
              </w:rPr>
              <w:t>IV injection:</w:t>
            </w:r>
          </w:p>
          <w:p w14:paraId="44CD1D86" w14:textId="77777777" w:rsidR="00265BA6" w:rsidRPr="00944B15" w:rsidRDefault="00265BA6" w:rsidP="002D6DD7">
            <w:pPr>
              <w:jc w:val="both"/>
              <w:rPr>
                <w:rFonts w:cs="Times New Roman"/>
                <w:szCs w:val="24"/>
              </w:rPr>
            </w:pPr>
            <w:r w:rsidRPr="00944B15">
              <w:rPr>
                <w:rFonts w:cs="Times New Roman"/>
                <w:szCs w:val="24"/>
              </w:rPr>
              <w:t>Initial: 0.1-0.25 mg/kg/dose</w:t>
            </w:r>
            <w:r>
              <w:rPr>
                <w:rFonts w:cs="Times New Roman"/>
                <w:szCs w:val="24"/>
              </w:rPr>
              <w:t xml:space="preserve"> </w:t>
            </w:r>
            <w:r w:rsidRPr="00944B15">
              <w:rPr>
                <w:rFonts w:cs="Times New Roman"/>
                <w:szCs w:val="24"/>
              </w:rPr>
              <w:t>10-20 mg generally effective; full recovery may occur as early as &lt;15 min but may require &gt;30 min</w:t>
            </w:r>
          </w:p>
          <w:p w14:paraId="0BF283BC" w14:textId="77777777" w:rsidR="00265BA6" w:rsidRPr="00944B15" w:rsidRDefault="00265BA6" w:rsidP="002D6DD7">
            <w:pPr>
              <w:jc w:val="both"/>
              <w:rPr>
                <w:rFonts w:cs="Times New Roman"/>
                <w:szCs w:val="24"/>
              </w:rPr>
            </w:pPr>
            <w:r w:rsidRPr="00944B15">
              <w:rPr>
                <w:rFonts w:cs="Times New Roman"/>
                <w:szCs w:val="24"/>
              </w:rPr>
              <w:t>To minimize side effects 0.6-1.2 mg IV atropine sulfate recommended immediately prior to pyridostigmine</w:t>
            </w:r>
          </w:p>
          <w:p w14:paraId="71B485E8" w14:textId="77777777" w:rsidR="00265BA6" w:rsidRPr="00944B15" w:rsidRDefault="00265BA6" w:rsidP="002D6DD7">
            <w:pPr>
              <w:jc w:val="both"/>
              <w:rPr>
                <w:rFonts w:cs="Times New Roman"/>
                <w:b/>
                <w:szCs w:val="24"/>
              </w:rPr>
            </w:pPr>
            <w:r>
              <w:rPr>
                <w:rFonts w:cs="Times New Roman"/>
                <w:b/>
                <w:szCs w:val="24"/>
              </w:rPr>
              <w:t>Pediatric</w:t>
            </w:r>
            <w:r w:rsidRPr="00944B15">
              <w:rPr>
                <w:rFonts w:cs="Times New Roman"/>
                <w:b/>
                <w:szCs w:val="24"/>
              </w:rPr>
              <w:t xml:space="preserve"> </w:t>
            </w:r>
          </w:p>
          <w:p w14:paraId="3582017B" w14:textId="77777777" w:rsidR="00265BA6" w:rsidRPr="00944B15" w:rsidRDefault="00265BA6" w:rsidP="002D6DD7">
            <w:pPr>
              <w:jc w:val="both"/>
              <w:rPr>
                <w:rFonts w:cs="Times New Roman"/>
                <w:b/>
                <w:szCs w:val="24"/>
              </w:rPr>
            </w:pPr>
            <w:r w:rsidRPr="00944B15">
              <w:rPr>
                <w:rFonts w:cs="Times New Roman"/>
                <w:b/>
                <w:szCs w:val="24"/>
              </w:rPr>
              <w:t xml:space="preserve">Reversal of non-depolarizing muscle block (using neostigmine metal sulphate), IV </w:t>
            </w:r>
          </w:p>
          <w:p w14:paraId="577F8A3F" w14:textId="77777777" w:rsidR="00265BA6" w:rsidRPr="00944B15" w:rsidRDefault="00265BA6" w:rsidP="002D6DD7">
            <w:pPr>
              <w:jc w:val="both"/>
              <w:rPr>
                <w:rFonts w:cs="Times New Roman"/>
                <w:szCs w:val="24"/>
              </w:rPr>
            </w:pPr>
            <w:r w:rsidRPr="00944B15">
              <w:rPr>
                <w:rFonts w:cs="Times New Roman"/>
                <w:szCs w:val="24"/>
              </w:rPr>
              <w:t>Initial: 0.1-0.25 mg/kg/dose IV</w:t>
            </w:r>
          </w:p>
          <w:p w14:paraId="52E7866D" w14:textId="77777777" w:rsidR="00265BA6" w:rsidRPr="00944B15" w:rsidRDefault="00265BA6" w:rsidP="002D6DD7">
            <w:pPr>
              <w:jc w:val="both"/>
              <w:rPr>
                <w:rFonts w:cs="Times New Roman"/>
                <w:szCs w:val="24"/>
              </w:rPr>
            </w:pPr>
            <w:r w:rsidRPr="00944B15">
              <w:rPr>
                <w:rFonts w:cs="Times New Roman"/>
                <w:szCs w:val="24"/>
              </w:rPr>
              <w:t>Dosing range: 0.1-0.25 mg/kg/dose; full recovery may occur as early as &lt;15 min but may require &gt;30 min</w:t>
            </w:r>
            <w:r>
              <w:rPr>
                <w:rFonts w:cs="Times New Roman"/>
                <w:szCs w:val="24"/>
              </w:rPr>
              <w:t>.</w:t>
            </w:r>
          </w:p>
        </w:tc>
      </w:tr>
      <w:tr w:rsidR="00265BA6" w:rsidRPr="00944B15" w14:paraId="31C3781E" w14:textId="77777777" w:rsidTr="002D6DD7">
        <w:tc>
          <w:tcPr>
            <w:tcW w:w="2605" w:type="dxa"/>
          </w:tcPr>
          <w:p w14:paraId="49EC1D69" w14:textId="77777777" w:rsidR="00265BA6" w:rsidRPr="00944B15" w:rsidRDefault="00265BA6" w:rsidP="002D6DD7">
            <w:pPr>
              <w:jc w:val="both"/>
              <w:rPr>
                <w:rFonts w:cs="Times New Roman"/>
                <w:szCs w:val="24"/>
              </w:rPr>
            </w:pPr>
            <w:r w:rsidRPr="00944B15">
              <w:rPr>
                <w:rFonts w:cs="Times New Roman"/>
                <w:szCs w:val="24"/>
              </w:rPr>
              <w:t>Contraindications</w:t>
            </w:r>
          </w:p>
        </w:tc>
        <w:tc>
          <w:tcPr>
            <w:tcW w:w="6745" w:type="dxa"/>
          </w:tcPr>
          <w:p w14:paraId="023120C9" w14:textId="77777777" w:rsidR="00265BA6" w:rsidRPr="00944B15" w:rsidRDefault="00265BA6"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xml:space="preserve">, recent intestinal or bladder surgery, mechanical intestinal or urinary tract obstruction and peritonitis. </w:t>
            </w:r>
          </w:p>
        </w:tc>
      </w:tr>
      <w:tr w:rsidR="00265BA6" w:rsidRPr="00944B15" w14:paraId="4DECA796" w14:textId="77777777" w:rsidTr="002D6DD7">
        <w:tc>
          <w:tcPr>
            <w:tcW w:w="2605" w:type="dxa"/>
          </w:tcPr>
          <w:p w14:paraId="32E3DA1D" w14:textId="77777777" w:rsidR="00265BA6" w:rsidRPr="00944B15" w:rsidRDefault="00265BA6" w:rsidP="002D6DD7">
            <w:pPr>
              <w:jc w:val="both"/>
              <w:rPr>
                <w:rFonts w:cs="Times New Roman"/>
                <w:szCs w:val="24"/>
              </w:rPr>
            </w:pPr>
            <w:r w:rsidRPr="00944B15">
              <w:rPr>
                <w:rFonts w:cs="Times New Roman"/>
                <w:szCs w:val="24"/>
              </w:rPr>
              <w:t>Drug interactions</w:t>
            </w:r>
          </w:p>
        </w:tc>
        <w:tc>
          <w:tcPr>
            <w:tcW w:w="6745" w:type="dxa"/>
          </w:tcPr>
          <w:p w14:paraId="6A335264" w14:textId="77777777" w:rsidR="00265BA6" w:rsidRPr="00944B15" w:rsidRDefault="00265BA6" w:rsidP="002D6DD7">
            <w:pPr>
              <w:jc w:val="both"/>
              <w:rPr>
                <w:rFonts w:cs="Times New Roman"/>
                <w:szCs w:val="24"/>
              </w:rPr>
            </w:pPr>
            <w:r w:rsidRPr="00944B15">
              <w:rPr>
                <w:rFonts w:cs="Times New Roman"/>
                <w:szCs w:val="24"/>
              </w:rPr>
              <w:t>Anticholinergics, aminoglycosides, atropine, chloroquine, clindamycin, paromomycin, propranolol, suxamethonium, vecuronium, cyclopropane, halothane</w:t>
            </w:r>
            <w:r>
              <w:rPr>
                <w:rFonts w:cs="Times New Roman"/>
                <w:szCs w:val="24"/>
              </w:rPr>
              <w:t>,</w:t>
            </w:r>
            <w:r w:rsidRPr="00944B15">
              <w:rPr>
                <w:rFonts w:cs="Times New Roman"/>
                <w:szCs w:val="24"/>
              </w:rPr>
              <w:t xml:space="preserve"> thiopental.</w:t>
            </w:r>
          </w:p>
        </w:tc>
      </w:tr>
      <w:tr w:rsidR="00265BA6" w:rsidRPr="00944B15" w14:paraId="06E1F885" w14:textId="77777777" w:rsidTr="002D6DD7">
        <w:tc>
          <w:tcPr>
            <w:tcW w:w="2605" w:type="dxa"/>
          </w:tcPr>
          <w:p w14:paraId="0AE5F67E" w14:textId="77777777" w:rsidR="00265BA6" w:rsidRPr="00944B15" w:rsidRDefault="00265BA6" w:rsidP="002D6DD7">
            <w:pPr>
              <w:jc w:val="both"/>
              <w:rPr>
                <w:rFonts w:cs="Times New Roman"/>
                <w:szCs w:val="24"/>
              </w:rPr>
            </w:pPr>
            <w:r w:rsidRPr="00944B15">
              <w:rPr>
                <w:rFonts w:cs="Times New Roman"/>
                <w:szCs w:val="24"/>
              </w:rPr>
              <w:t>Side effects</w:t>
            </w:r>
          </w:p>
        </w:tc>
        <w:tc>
          <w:tcPr>
            <w:tcW w:w="6745" w:type="dxa"/>
          </w:tcPr>
          <w:p w14:paraId="332E00D0" w14:textId="77777777" w:rsidR="00265BA6" w:rsidRPr="00944B15" w:rsidRDefault="00265BA6" w:rsidP="002D6DD7">
            <w:pPr>
              <w:jc w:val="both"/>
              <w:rPr>
                <w:rFonts w:cs="Times New Roman"/>
                <w:szCs w:val="24"/>
              </w:rPr>
            </w:pPr>
            <w:r w:rsidRPr="00944B15">
              <w:rPr>
                <w:rFonts w:cs="Times New Roman"/>
                <w:szCs w:val="24"/>
              </w:rPr>
              <w:t>Increased salivation, nausea, vomiting, abdominal cramps, diarrhoea, bradycardia, thrombophlebitis, bronchoconstriction, increased bronchial secretions, lacrimation, excessive sweating, involuntary defecation and micturition, miosis, arrhythmias</w:t>
            </w:r>
            <w:r>
              <w:rPr>
                <w:rFonts w:cs="Times New Roman"/>
                <w:szCs w:val="24"/>
              </w:rPr>
              <w:t>,</w:t>
            </w:r>
            <w:r w:rsidRPr="00944B15">
              <w:rPr>
                <w:rFonts w:cs="Times New Roman"/>
                <w:szCs w:val="24"/>
              </w:rPr>
              <w:t xml:space="preserve"> hypotension.</w:t>
            </w:r>
          </w:p>
        </w:tc>
      </w:tr>
      <w:tr w:rsidR="00265BA6" w:rsidRPr="00944B15" w14:paraId="1D6EEBBD" w14:textId="77777777" w:rsidTr="002D6DD7">
        <w:tc>
          <w:tcPr>
            <w:tcW w:w="2605" w:type="dxa"/>
          </w:tcPr>
          <w:p w14:paraId="2607A856" w14:textId="77777777" w:rsidR="00265BA6" w:rsidRPr="00944B15" w:rsidRDefault="00265BA6" w:rsidP="002D6DD7">
            <w:pPr>
              <w:jc w:val="both"/>
              <w:rPr>
                <w:rFonts w:cs="Times New Roman"/>
                <w:szCs w:val="24"/>
              </w:rPr>
            </w:pPr>
            <w:r w:rsidRPr="00944B15">
              <w:rPr>
                <w:rFonts w:cs="Times New Roman"/>
                <w:szCs w:val="24"/>
              </w:rPr>
              <w:t xml:space="preserve">Cautions </w:t>
            </w:r>
          </w:p>
        </w:tc>
        <w:tc>
          <w:tcPr>
            <w:tcW w:w="6745" w:type="dxa"/>
          </w:tcPr>
          <w:p w14:paraId="0ED1B08E" w14:textId="77777777" w:rsidR="00265BA6" w:rsidRPr="00944B15" w:rsidRDefault="00265BA6" w:rsidP="002D6DD7">
            <w:pPr>
              <w:jc w:val="both"/>
              <w:rPr>
                <w:rFonts w:cs="Times New Roman"/>
                <w:szCs w:val="24"/>
              </w:rPr>
            </w:pPr>
            <w:r w:rsidRPr="00944B15">
              <w:rPr>
                <w:rFonts w:cs="Times New Roman"/>
                <w:szCs w:val="24"/>
              </w:rPr>
              <w:t>Bronchial asthma, recent coronary occlusion, peptic ulcer, hyperthyroidism, epilepsy, renal impairment and cardiovascular conditions such as coronary artery disease, cardiac arrhythmias or recent acute coronary syndrome.</w:t>
            </w:r>
          </w:p>
        </w:tc>
      </w:tr>
      <w:tr w:rsidR="00265BA6" w:rsidRPr="00944B15" w14:paraId="2CDB24BD" w14:textId="77777777" w:rsidTr="002D6DD7">
        <w:tc>
          <w:tcPr>
            <w:tcW w:w="2605" w:type="dxa"/>
          </w:tcPr>
          <w:p w14:paraId="43567552" w14:textId="77777777" w:rsidR="00265BA6" w:rsidRPr="00944B15" w:rsidRDefault="00265BA6" w:rsidP="002D6DD7">
            <w:pPr>
              <w:jc w:val="both"/>
              <w:rPr>
                <w:rFonts w:cs="Times New Roman"/>
                <w:szCs w:val="24"/>
              </w:rPr>
            </w:pPr>
            <w:r w:rsidRPr="00944B15">
              <w:rPr>
                <w:rFonts w:cs="Times New Roman"/>
                <w:szCs w:val="24"/>
              </w:rPr>
              <w:t>Storage condition</w:t>
            </w:r>
          </w:p>
        </w:tc>
        <w:tc>
          <w:tcPr>
            <w:tcW w:w="6745" w:type="dxa"/>
          </w:tcPr>
          <w:p w14:paraId="66DFA573" w14:textId="77777777" w:rsidR="00265BA6" w:rsidRPr="00944B15" w:rsidRDefault="00265BA6" w:rsidP="002D6DD7">
            <w:pPr>
              <w:jc w:val="both"/>
              <w:rPr>
                <w:rFonts w:cs="Times New Roman"/>
                <w:szCs w:val="24"/>
              </w:rPr>
            </w:pPr>
            <w:r>
              <w:rPr>
                <w:rFonts w:cs="Times New Roman"/>
                <w:szCs w:val="24"/>
              </w:rPr>
              <w:t>Store below 30</w:t>
            </w:r>
            <w:r w:rsidRPr="00944B15">
              <w:rPr>
                <w:rFonts w:cs="Times New Roman"/>
                <w:szCs w:val="24"/>
              </w:rPr>
              <w:t>°C</w:t>
            </w:r>
            <w:r>
              <w:rPr>
                <w:rFonts w:cs="Times New Roman"/>
                <w:szCs w:val="24"/>
              </w:rPr>
              <w:t>. P</w:t>
            </w:r>
            <w:r w:rsidRPr="00944B15">
              <w:rPr>
                <w:rFonts w:cs="Times New Roman"/>
                <w:szCs w:val="24"/>
              </w:rPr>
              <w:t>rotect from light.</w:t>
            </w:r>
          </w:p>
        </w:tc>
      </w:tr>
    </w:tbl>
    <w:p w14:paraId="6E1D3914" w14:textId="77777777" w:rsidR="006E5981" w:rsidRDefault="00AE4D87" w:rsidP="00C344A8">
      <w:pPr>
        <w:pStyle w:val="Heading1"/>
        <w:numPr>
          <w:ilvl w:val="0"/>
          <w:numId w:val="25"/>
        </w:numPr>
        <w:spacing w:after="240"/>
        <w:rPr>
          <w:sz w:val="24"/>
        </w:rPr>
      </w:pPr>
      <w:bookmarkStart w:id="94" w:name="_Toc179490355"/>
      <w:r w:rsidRPr="00E308CA">
        <w:lastRenderedPageBreak/>
        <w:t>Medicines Used For Joint Diseases</w:t>
      </w:r>
      <w:bookmarkEnd w:id="94"/>
    </w:p>
    <w:p w14:paraId="7223ACF9" w14:textId="77777777" w:rsidR="006E5981" w:rsidRPr="00E308CA" w:rsidRDefault="006E5981" w:rsidP="006E5981">
      <w:pPr>
        <w:spacing w:after="0"/>
        <w:rPr>
          <w:rFonts w:cs="Times New Roman"/>
          <w:b/>
          <w:bCs/>
          <w:szCs w:val="24"/>
        </w:rPr>
      </w:pPr>
      <w:r w:rsidRPr="00E308CA">
        <w:rPr>
          <w:rFonts w:cs="Times New Roman"/>
          <w:bCs/>
          <w:color w:val="000000" w:themeColor="text1"/>
          <w:szCs w:val="24"/>
        </w:rPr>
        <w:t>Managing joint diseases involves medications targeting inflammation, pain, and underlying disease mechanisms, significantly impacting conditions like gout, rheumatoid arthritis, and juvenile idiopathic arthritis.</w:t>
      </w:r>
    </w:p>
    <w:p w14:paraId="5DAFBE46" w14:textId="77777777" w:rsidR="006E5981" w:rsidRDefault="006E5981" w:rsidP="00AE4D87">
      <w:pPr>
        <w:pStyle w:val="Heading2"/>
        <w:spacing w:before="240" w:after="240"/>
      </w:pPr>
      <w:bookmarkStart w:id="95" w:name="_Toc179490356"/>
      <w:r w:rsidRPr="00CE5D12">
        <w:t xml:space="preserve">Medicines used for </w:t>
      </w:r>
      <w:r w:rsidR="00AE4D87">
        <w:t>g</w:t>
      </w:r>
      <w:r w:rsidRPr="00CE5D12">
        <w:t>out</w:t>
      </w:r>
      <w:bookmarkEnd w:id="95"/>
    </w:p>
    <w:p w14:paraId="3A2359F9" w14:textId="77777777" w:rsidR="006E5981" w:rsidRPr="00E308CA" w:rsidRDefault="006E5981" w:rsidP="006E5981">
      <w:pPr>
        <w:spacing w:after="0"/>
        <w:jc w:val="both"/>
        <w:rPr>
          <w:rFonts w:cs="Times New Roman"/>
          <w:b/>
          <w:color w:val="000000" w:themeColor="text1"/>
          <w:szCs w:val="24"/>
        </w:rPr>
      </w:pPr>
      <w:r w:rsidRPr="004C4774">
        <w:rPr>
          <w:rFonts w:cs="Times New Roman"/>
          <w:bCs/>
          <w:color w:val="000000" w:themeColor="text1"/>
          <w:szCs w:val="24"/>
        </w:rPr>
        <w:t>Gout management involves treatment of both acute attacks and chronic hyperuricemia. Acute gout attacks are commonly managed with nonsteroidal anti-inflammatory drugs (NSAIDs) such as meloxicam, indomethacin, and ibuprofen, or with short courses of corticosteroids like prednisolone and triamcinolone acetonide. NSAIDs exert their effect by inhibiting cyclooxygenase (COX) enzymes, thereby reducing prostaglandin production and alleviating inflammation and pain. Corticosteroids are utilized for their potent anti-inflammatory effects, particularly in patients who are intolerant to NSAIDs. For long-term management, xanthine oxidase inhibitors, such as allopurinol, are employed to reduce uric acid synthesis by inhibiting the enzyme xanthine oxidase, thus preventing the recurrence of gout flares.</w:t>
      </w:r>
      <w:r w:rsidRPr="00467CF6">
        <w:rPr>
          <w:rFonts w:cs="Times New Roman"/>
          <w:bCs/>
          <w:color w:val="000000" w:themeColor="text1"/>
          <w:szCs w:val="24"/>
        </w:rPr>
        <w:t xml:space="preserve"> </w:t>
      </w:r>
    </w:p>
    <w:p w14:paraId="793F776D" w14:textId="77777777" w:rsidR="006E5981" w:rsidRDefault="006E5981" w:rsidP="006E5981">
      <w:pPr>
        <w:spacing w:after="0"/>
        <w:ind w:left="-270"/>
        <w:jc w:val="both"/>
        <w:rPr>
          <w:rFonts w:cs="Times New Roman"/>
          <w:bCs/>
          <w:color w:val="000000" w:themeColor="text1"/>
          <w:szCs w:val="24"/>
        </w:rPr>
      </w:pPr>
    </w:p>
    <w:tbl>
      <w:tblPr>
        <w:tblStyle w:val="TableGrid"/>
        <w:tblW w:w="9355" w:type="dxa"/>
        <w:tblLook w:val="04A0" w:firstRow="1" w:lastRow="0" w:firstColumn="1" w:lastColumn="0" w:noHBand="0" w:noVBand="1"/>
      </w:tblPr>
      <w:tblGrid>
        <w:gridCol w:w="2605"/>
        <w:gridCol w:w="6750"/>
      </w:tblGrid>
      <w:tr w:rsidR="006E5981" w:rsidRPr="0046239D" w14:paraId="247D2D1A" w14:textId="77777777" w:rsidTr="002D6DD7">
        <w:tc>
          <w:tcPr>
            <w:tcW w:w="9355" w:type="dxa"/>
            <w:gridSpan w:val="2"/>
          </w:tcPr>
          <w:p w14:paraId="12D585DD" w14:textId="77777777" w:rsidR="006E5981" w:rsidRPr="0046239D" w:rsidRDefault="006E5981" w:rsidP="002D6DD7">
            <w:pPr>
              <w:jc w:val="both"/>
              <w:rPr>
                <w:rFonts w:cs="Times New Roman"/>
                <w:b/>
                <w:bCs/>
                <w:szCs w:val="24"/>
              </w:rPr>
            </w:pPr>
            <w:bookmarkStart w:id="96" w:name="_Toc168337697"/>
            <w:r w:rsidRPr="0046239D">
              <w:rPr>
                <w:rFonts w:cs="Times New Roman"/>
                <w:b/>
                <w:bCs/>
                <w:szCs w:val="24"/>
              </w:rPr>
              <w:t>Allopurinol</w:t>
            </w:r>
            <w:bookmarkEnd w:id="96"/>
          </w:p>
        </w:tc>
      </w:tr>
      <w:tr w:rsidR="006E5981" w:rsidRPr="0046239D" w14:paraId="61A37D77" w14:textId="77777777" w:rsidTr="002D6DD7">
        <w:tc>
          <w:tcPr>
            <w:tcW w:w="2605" w:type="dxa"/>
          </w:tcPr>
          <w:p w14:paraId="713812A9"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0F30E3E5" w14:textId="77777777" w:rsidR="006E5981" w:rsidRPr="0046239D" w:rsidRDefault="006E5981" w:rsidP="002D6DD7">
            <w:pPr>
              <w:jc w:val="both"/>
              <w:rPr>
                <w:rFonts w:cs="Times New Roman"/>
                <w:szCs w:val="24"/>
              </w:rPr>
            </w:pPr>
            <w:r w:rsidRPr="0046239D">
              <w:rPr>
                <w:rFonts w:cs="Times New Roman"/>
                <w:szCs w:val="24"/>
              </w:rPr>
              <w:t>Xanthine Oxidase Inhibitor</w:t>
            </w:r>
          </w:p>
        </w:tc>
      </w:tr>
      <w:tr w:rsidR="006E5981" w:rsidRPr="0046239D" w14:paraId="3814C2CF" w14:textId="77777777" w:rsidTr="002D6DD7">
        <w:tc>
          <w:tcPr>
            <w:tcW w:w="2605" w:type="dxa"/>
          </w:tcPr>
          <w:p w14:paraId="58111DB0"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23ACD283" w14:textId="77777777" w:rsidR="006E5981" w:rsidRPr="0046239D" w:rsidRDefault="006E5981" w:rsidP="002D6DD7">
            <w:pPr>
              <w:jc w:val="both"/>
              <w:rPr>
                <w:rFonts w:cs="Times New Roman"/>
                <w:szCs w:val="24"/>
              </w:rPr>
            </w:pPr>
            <w:r w:rsidRPr="0046239D">
              <w:rPr>
                <w:rFonts w:cs="Times New Roman"/>
                <w:szCs w:val="24"/>
              </w:rPr>
              <w:t>Tablet: 100mg</w:t>
            </w:r>
          </w:p>
        </w:tc>
      </w:tr>
      <w:tr w:rsidR="006E5981" w:rsidRPr="0046239D" w14:paraId="170E0FA8" w14:textId="77777777" w:rsidTr="002D6DD7">
        <w:tc>
          <w:tcPr>
            <w:tcW w:w="2605" w:type="dxa"/>
          </w:tcPr>
          <w:p w14:paraId="0F82432A" w14:textId="77777777" w:rsidR="006E5981" w:rsidRPr="00377E66" w:rsidRDefault="006E5981" w:rsidP="002D6DD7">
            <w:pPr>
              <w:jc w:val="both"/>
              <w:rPr>
                <w:rFonts w:cs="Times New Roman"/>
                <w:bCs/>
                <w:szCs w:val="24"/>
              </w:rPr>
            </w:pPr>
            <w:r w:rsidRPr="00377E66">
              <w:rPr>
                <w:rFonts w:cs="Times New Roman"/>
                <w:bCs/>
                <w:szCs w:val="24"/>
              </w:rPr>
              <w:t>Indications</w:t>
            </w:r>
          </w:p>
        </w:tc>
        <w:tc>
          <w:tcPr>
            <w:tcW w:w="6750" w:type="dxa"/>
          </w:tcPr>
          <w:p w14:paraId="13574C12" w14:textId="77777777" w:rsidR="006E5981" w:rsidRPr="0046239D" w:rsidRDefault="006E5981" w:rsidP="002D6DD7">
            <w:pPr>
              <w:jc w:val="both"/>
              <w:rPr>
                <w:rFonts w:cs="Times New Roman"/>
                <w:szCs w:val="24"/>
              </w:rPr>
            </w:pPr>
            <w:r w:rsidRPr="00613D56">
              <w:rPr>
                <w:rFonts w:cs="Times New Roman"/>
                <w:szCs w:val="24"/>
                <w:shd w:val="clear" w:color="auto" w:fill="FFFFFF"/>
              </w:rPr>
              <w:t>Prophylaxis of gout, uric acid and calcium oxalate renal stones, and hyperuricemia associated with cancer chemotherapy</w:t>
            </w:r>
          </w:p>
        </w:tc>
      </w:tr>
      <w:tr w:rsidR="006E5981" w:rsidRPr="0046239D" w14:paraId="328F823D" w14:textId="77777777" w:rsidTr="002D6DD7">
        <w:tc>
          <w:tcPr>
            <w:tcW w:w="2605" w:type="dxa"/>
          </w:tcPr>
          <w:p w14:paraId="117B4D97"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425C5E1E" w14:textId="77777777" w:rsidR="006E5981" w:rsidRDefault="006E5981" w:rsidP="002D6DD7">
            <w:pPr>
              <w:jc w:val="both"/>
              <w:rPr>
                <w:rFonts w:eastAsia="Times New Roman" w:cs="Times New Roman"/>
                <w:b/>
                <w:szCs w:val="24"/>
              </w:rPr>
            </w:pPr>
            <w:r>
              <w:rPr>
                <w:rFonts w:eastAsia="Times New Roman" w:cs="Times New Roman"/>
                <w:b/>
                <w:szCs w:val="24"/>
              </w:rPr>
              <w:t>Gout</w:t>
            </w:r>
            <w:r w:rsidR="00583089">
              <w:rPr>
                <w:rFonts w:eastAsia="Times New Roman" w:cs="Times New Roman"/>
                <w:b/>
                <w:szCs w:val="24"/>
              </w:rPr>
              <w:t>:</w:t>
            </w:r>
          </w:p>
          <w:p w14:paraId="6C936A94" w14:textId="77777777" w:rsidR="006E5981" w:rsidRPr="00D63263" w:rsidRDefault="006E5981" w:rsidP="002D6DD7">
            <w:pPr>
              <w:jc w:val="both"/>
              <w:rPr>
                <w:rFonts w:eastAsia="Times New Roman" w:cs="Times New Roman"/>
                <w:b/>
                <w:szCs w:val="24"/>
              </w:rPr>
            </w:pPr>
            <w:r w:rsidRPr="0046239D">
              <w:rPr>
                <w:rFonts w:eastAsia="Times New Roman" w:cs="Times New Roman"/>
                <w:b/>
                <w:szCs w:val="24"/>
              </w:rPr>
              <w:t>Adult:</w:t>
            </w:r>
          </w:p>
          <w:p w14:paraId="6E6CAD1E" w14:textId="77777777" w:rsidR="006E5981" w:rsidRPr="00D63263" w:rsidRDefault="006E5981" w:rsidP="002D6DD7">
            <w:pPr>
              <w:jc w:val="both"/>
              <w:rPr>
                <w:rFonts w:eastAsia="Times New Roman" w:cs="Times New Roman"/>
                <w:bCs/>
                <w:szCs w:val="24"/>
              </w:rPr>
            </w:pPr>
            <w:r w:rsidRPr="00D63263">
              <w:rPr>
                <w:rFonts w:eastAsia="Times New Roman" w:cs="Times New Roman"/>
                <w:b/>
                <w:szCs w:val="24"/>
              </w:rPr>
              <w:t>Mild:</w:t>
            </w:r>
            <w:r w:rsidRPr="00D63263">
              <w:rPr>
                <w:rFonts w:eastAsia="Times New Roman" w:cs="Times New Roman"/>
                <w:bCs/>
                <w:szCs w:val="24"/>
              </w:rPr>
              <w:t xml:space="preserve"> </w:t>
            </w:r>
            <w:r w:rsidRPr="00A66550">
              <w:rPr>
                <w:rFonts w:cs="Times New Roman"/>
                <w:szCs w:val="24"/>
              </w:rPr>
              <w:t>Start with 100 mg/day; increase weekly to 100–200 mg daily.</w:t>
            </w:r>
          </w:p>
          <w:p w14:paraId="5A3A53C1" w14:textId="77777777" w:rsidR="006E5981" w:rsidRPr="00D63263" w:rsidRDefault="006E5981" w:rsidP="002D6DD7">
            <w:pPr>
              <w:jc w:val="both"/>
              <w:rPr>
                <w:rFonts w:eastAsia="Times New Roman" w:cs="Times New Roman"/>
                <w:bCs/>
                <w:szCs w:val="24"/>
              </w:rPr>
            </w:pPr>
            <w:r w:rsidRPr="00D63263">
              <w:rPr>
                <w:rFonts w:eastAsia="Times New Roman" w:cs="Times New Roman"/>
                <w:b/>
                <w:szCs w:val="24"/>
              </w:rPr>
              <w:t>Moderate:</w:t>
            </w:r>
            <w:r w:rsidRPr="00D63263">
              <w:rPr>
                <w:rFonts w:eastAsia="Times New Roman" w:cs="Times New Roman"/>
                <w:bCs/>
                <w:szCs w:val="24"/>
              </w:rPr>
              <w:t xml:space="preserve"> </w:t>
            </w:r>
            <w:r w:rsidRPr="00A66550">
              <w:rPr>
                <w:rFonts w:eastAsia="Times New Roman" w:cs="Times New Roman"/>
                <w:bCs/>
                <w:szCs w:val="24"/>
              </w:rPr>
              <w:t>Start with 100 mg/day; increase weekly to 300–600 mg daily in divided doses (maximum per dose: 300 mg).</w:t>
            </w:r>
            <w:r w:rsidRPr="00D63263">
              <w:rPr>
                <w:rFonts w:eastAsia="Times New Roman" w:cs="Times New Roman"/>
                <w:bCs/>
                <w:szCs w:val="24"/>
              </w:rPr>
              <w:t xml:space="preserve"> </w:t>
            </w:r>
          </w:p>
          <w:p w14:paraId="0AABF6B2" w14:textId="77777777" w:rsidR="006E5981" w:rsidRPr="0046239D" w:rsidRDefault="006E5981" w:rsidP="002D6DD7">
            <w:pPr>
              <w:jc w:val="both"/>
              <w:rPr>
                <w:rFonts w:eastAsia="Times New Roman" w:cs="Times New Roman"/>
                <w:bCs/>
                <w:szCs w:val="24"/>
              </w:rPr>
            </w:pPr>
            <w:r w:rsidRPr="00D63263">
              <w:rPr>
                <w:rFonts w:eastAsia="Times New Roman" w:cs="Times New Roman"/>
                <w:b/>
                <w:szCs w:val="24"/>
              </w:rPr>
              <w:t>Severe:</w:t>
            </w:r>
            <w:r w:rsidRPr="00D63263">
              <w:rPr>
                <w:rFonts w:cs="Times New Roman"/>
                <w:szCs w:val="24"/>
              </w:rPr>
              <w:t xml:space="preserve"> </w:t>
            </w:r>
            <w:r w:rsidRPr="00BE36EF">
              <w:rPr>
                <w:rFonts w:eastAsia="Times New Roman" w:cs="Times New Roman"/>
                <w:bCs/>
                <w:szCs w:val="24"/>
              </w:rPr>
              <w:t>Start with 100 mg/day; increase weekly to 700–900 mg daily in divided doses (maximum per dose: 300 mg).</w:t>
            </w:r>
            <w:r w:rsidRPr="0046239D">
              <w:rPr>
                <w:rFonts w:eastAsia="Times New Roman" w:cs="Times New Roman"/>
                <w:bCs/>
                <w:szCs w:val="24"/>
              </w:rPr>
              <w:t xml:space="preserve"> </w:t>
            </w:r>
          </w:p>
          <w:p w14:paraId="0223CD81" w14:textId="77777777" w:rsidR="006E5981" w:rsidRPr="00C344A8" w:rsidRDefault="006E5981" w:rsidP="002D6DD7">
            <w:pPr>
              <w:jc w:val="both"/>
              <w:rPr>
                <w:rFonts w:eastAsia="Times New Roman" w:cs="Times New Roman"/>
                <w:bCs/>
                <w:i/>
                <w:szCs w:val="24"/>
              </w:rPr>
            </w:pPr>
            <w:r w:rsidRPr="00C344A8">
              <w:rPr>
                <w:rFonts w:eastAsia="Times New Roman" w:cs="Times New Roman"/>
                <w:i/>
                <w:szCs w:val="24"/>
              </w:rPr>
              <w:t>Note:</w:t>
            </w:r>
            <w:r w:rsidRPr="00C344A8">
              <w:rPr>
                <w:rFonts w:cs="Times New Roman"/>
                <w:i/>
                <w:szCs w:val="24"/>
              </w:rPr>
              <w:t xml:space="preserve"> </w:t>
            </w:r>
            <w:r w:rsidRPr="00C344A8">
              <w:rPr>
                <w:rFonts w:eastAsia="Times New Roman" w:cs="Times New Roman"/>
                <w:bCs/>
                <w:i/>
                <w:szCs w:val="24"/>
              </w:rPr>
              <w:t xml:space="preserve">Initiate allopurinol 2–3 weeks after the acute gout attack has </w:t>
            </w:r>
            <w:r w:rsidRPr="00C344A8">
              <w:rPr>
                <w:rFonts w:eastAsia="Times New Roman" w:cs="Times New Roman"/>
                <w:bCs/>
                <w:i/>
                <w:szCs w:val="24"/>
              </w:rPr>
              <w:lastRenderedPageBreak/>
              <w:t>subsided. Administer a suitable NSAID (not ibuprofen) at the start of allopurinol treatment and continue for at least 1 month after correction of hyperuricemia. For hyperuricemia associated with cancer therapy, allopurinol should be started before the initiation of cancer treatment.</w:t>
            </w:r>
          </w:p>
        </w:tc>
      </w:tr>
      <w:tr w:rsidR="006E5981" w:rsidRPr="0046239D" w14:paraId="49C1F507" w14:textId="77777777" w:rsidTr="002D6DD7">
        <w:tc>
          <w:tcPr>
            <w:tcW w:w="2605" w:type="dxa"/>
          </w:tcPr>
          <w:p w14:paraId="468436BA" w14:textId="77777777" w:rsidR="006E5981" w:rsidRPr="0046239D" w:rsidRDefault="006E5981" w:rsidP="002D6DD7">
            <w:pPr>
              <w:jc w:val="both"/>
              <w:rPr>
                <w:rFonts w:cs="Times New Roman"/>
                <w:szCs w:val="24"/>
              </w:rPr>
            </w:pPr>
            <w:r w:rsidRPr="0046239D">
              <w:rPr>
                <w:rFonts w:cs="Times New Roman"/>
                <w:szCs w:val="24"/>
              </w:rPr>
              <w:lastRenderedPageBreak/>
              <w:t>Contraindications</w:t>
            </w:r>
          </w:p>
        </w:tc>
        <w:tc>
          <w:tcPr>
            <w:tcW w:w="6750" w:type="dxa"/>
          </w:tcPr>
          <w:p w14:paraId="593462DF" w14:textId="77777777" w:rsidR="006E5981" w:rsidRPr="0046239D" w:rsidRDefault="006E5981" w:rsidP="002D6DD7">
            <w:pPr>
              <w:jc w:val="both"/>
              <w:rPr>
                <w:rFonts w:cs="Times New Roman"/>
                <w:szCs w:val="24"/>
              </w:rPr>
            </w:pPr>
            <w:r>
              <w:rPr>
                <w:rFonts w:eastAsia="Times New Roman" w:cs="Times New Roman"/>
                <w:szCs w:val="24"/>
              </w:rPr>
              <w:t>H</w:t>
            </w:r>
            <w:r w:rsidRPr="0046239D">
              <w:rPr>
                <w:rFonts w:eastAsia="Times New Roman" w:cs="Times New Roman"/>
                <w:szCs w:val="24"/>
              </w:rPr>
              <w:t>ypersensitivity reactions</w:t>
            </w:r>
            <w:r>
              <w:rPr>
                <w:rFonts w:eastAsia="Times New Roman" w:cs="Times New Roman"/>
                <w:szCs w:val="24"/>
              </w:rPr>
              <w:t xml:space="preserve"> to the drug, p</w:t>
            </w:r>
            <w:r w:rsidRPr="0046239D">
              <w:rPr>
                <w:rFonts w:cs="Times New Roman"/>
                <w:szCs w:val="24"/>
              </w:rPr>
              <w:t>revious allopurinol-induced rash</w:t>
            </w:r>
          </w:p>
        </w:tc>
      </w:tr>
      <w:tr w:rsidR="006E5981" w:rsidRPr="0046239D" w14:paraId="72FBA1E0" w14:textId="77777777" w:rsidTr="002D6DD7">
        <w:tc>
          <w:tcPr>
            <w:tcW w:w="2605" w:type="dxa"/>
          </w:tcPr>
          <w:p w14:paraId="30E1FC97" w14:textId="77777777" w:rsidR="006E5981" w:rsidRPr="0046239D" w:rsidRDefault="006E5981" w:rsidP="002D6DD7">
            <w:pPr>
              <w:jc w:val="both"/>
              <w:rPr>
                <w:rFonts w:cs="Times New Roman"/>
                <w:szCs w:val="24"/>
              </w:rPr>
            </w:pPr>
            <w:r w:rsidRPr="0046239D">
              <w:rPr>
                <w:rFonts w:cs="Times New Roman"/>
                <w:szCs w:val="24"/>
              </w:rPr>
              <w:t>Drug interactions</w:t>
            </w:r>
          </w:p>
        </w:tc>
        <w:tc>
          <w:tcPr>
            <w:tcW w:w="6750" w:type="dxa"/>
          </w:tcPr>
          <w:p w14:paraId="68A3E7AC" w14:textId="77777777" w:rsidR="006E5981" w:rsidRPr="0046239D" w:rsidRDefault="006E5981" w:rsidP="002D6DD7">
            <w:pPr>
              <w:jc w:val="both"/>
              <w:rPr>
                <w:rFonts w:cs="Times New Roman"/>
                <w:szCs w:val="24"/>
              </w:rPr>
            </w:pPr>
            <w:r w:rsidRPr="0046239D">
              <w:rPr>
                <w:rFonts w:cs="Times New Roman"/>
                <w:szCs w:val="24"/>
              </w:rPr>
              <w:t>Warfarin, enalapril, captopril, amoxicillin, ampicillin</w:t>
            </w:r>
          </w:p>
        </w:tc>
      </w:tr>
      <w:tr w:rsidR="006E5981" w:rsidRPr="0046239D" w14:paraId="3415F920" w14:textId="77777777" w:rsidTr="002D6DD7">
        <w:tc>
          <w:tcPr>
            <w:tcW w:w="2605" w:type="dxa"/>
          </w:tcPr>
          <w:p w14:paraId="3A7DF9E6"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0DE8B936" w14:textId="77777777" w:rsidR="006E5981" w:rsidRPr="0046239D" w:rsidRDefault="006E5981" w:rsidP="002D6DD7">
            <w:pPr>
              <w:jc w:val="both"/>
              <w:rPr>
                <w:rFonts w:eastAsia="Times New Roman" w:cs="Times New Roman"/>
                <w:szCs w:val="24"/>
              </w:rPr>
            </w:pPr>
            <w:r w:rsidRPr="0046239D">
              <w:rPr>
                <w:rFonts w:eastAsia="Times New Roman" w:cs="Times New Roman"/>
                <w:szCs w:val="24"/>
              </w:rPr>
              <w:t>Rash, gastrointestinal upset, nausea, diarrhea, stevens-Johnson syndrome, toxic epidermal necrolysis, hepatitis, renal failure</w:t>
            </w:r>
          </w:p>
        </w:tc>
      </w:tr>
      <w:tr w:rsidR="006E5981" w:rsidRPr="0046239D" w14:paraId="0BBCD937" w14:textId="77777777" w:rsidTr="002D6DD7">
        <w:tc>
          <w:tcPr>
            <w:tcW w:w="2605" w:type="dxa"/>
          </w:tcPr>
          <w:p w14:paraId="4A03166B" w14:textId="77777777" w:rsidR="006E5981" w:rsidRPr="0046239D" w:rsidRDefault="006E5981" w:rsidP="002D6DD7">
            <w:pPr>
              <w:jc w:val="both"/>
              <w:rPr>
                <w:rFonts w:cs="Times New Roman"/>
                <w:szCs w:val="24"/>
              </w:rPr>
            </w:pPr>
            <w:r w:rsidRPr="0046239D">
              <w:rPr>
                <w:rFonts w:cs="Times New Roman"/>
                <w:szCs w:val="24"/>
              </w:rPr>
              <w:t xml:space="preserve">Cautions </w:t>
            </w:r>
          </w:p>
        </w:tc>
        <w:tc>
          <w:tcPr>
            <w:tcW w:w="6750" w:type="dxa"/>
          </w:tcPr>
          <w:p w14:paraId="737FDFE2" w14:textId="77777777" w:rsidR="006E5981" w:rsidRPr="0046239D" w:rsidRDefault="006E5981" w:rsidP="002D6DD7">
            <w:pPr>
              <w:jc w:val="both"/>
              <w:rPr>
                <w:rFonts w:cs="Times New Roman"/>
                <w:szCs w:val="24"/>
              </w:rPr>
            </w:pPr>
            <w:r w:rsidRPr="0046239D">
              <w:rPr>
                <w:rFonts w:cs="Times New Roman"/>
                <w:szCs w:val="24"/>
              </w:rPr>
              <w:t>Renal impairment, hepatic impairment, pregnancy, breastfeeding</w:t>
            </w:r>
          </w:p>
        </w:tc>
      </w:tr>
      <w:tr w:rsidR="006E5981" w:rsidRPr="0046239D" w14:paraId="0641261F" w14:textId="77777777" w:rsidTr="002D6DD7">
        <w:tc>
          <w:tcPr>
            <w:tcW w:w="2605" w:type="dxa"/>
          </w:tcPr>
          <w:p w14:paraId="66E5CD0C" w14:textId="77777777" w:rsidR="006E5981" w:rsidRPr="0046239D" w:rsidRDefault="006E5981" w:rsidP="002D6DD7">
            <w:pPr>
              <w:jc w:val="both"/>
              <w:rPr>
                <w:rFonts w:cs="Times New Roman"/>
                <w:szCs w:val="24"/>
              </w:rPr>
            </w:pPr>
            <w:r w:rsidRPr="0046239D">
              <w:rPr>
                <w:rFonts w:cs="Times New Roman"/>
                <w:szCs w:val="24"/>
              </w:rPr>
              <w:t>Storage condition</w:t>
            </w:r>
          </w:p>
        </w:tc>
        <w:tc>
          <w:tcPr>
            <w:tcW w:w="6750" w:type="dxa"/>
          </w:tcPr>
          <w:p w14:paraId="18F83CCC" w14:textId="77777777" w:rsidR="006E5981" w:rsidRPr="0046239D" w:rsidRDefault="006E5981" w:rsidP="002D6DD7">
            <w:pPr>
              <w:jc w:val="both"/>
              <w:rPr>
                <w:rFonts w:cs="Times New Roman"/>
                <w:szCs w:val="24"/>
              </w:rPr>
            </w:pPr>
            <w:r w:rsidRPr="0046239D">
              <w:rPr>
                <w:rFonts w:cs="Times New Roman"/>
                <w:szCs w:val="24"/>
              </w:rPr>
              <w:t>Store below 30</w:t>
            </w:r>
            <w:r w:rsidRPr="0046239D">
              <w:rPr>
                <w:rFonts w:cs="Times New Roman"/>
                <w:szCs w:val="24"/>
                <w:vertAlign w:val="superscript"/>
              </w:rPr>
              <w:t>0</w:t>
            </w:r>
            <w:r w:rsidRPr="0046239D">
              <w:rPr>
                <w:rFonts w:cs="Times New Roman"/>
                <w:szCs w:val="24"/>
              </w:rPr>
              <w:t>C</w:t>
            </w:r>
          </w:p>
        </w:tc>
      </w:tr>
      <w:tr w:rsidR="006E5981" w:rsidRPr="0046239D" w14:paraId="5D2E6FB0" w14:textId="77777777" w:rsidTr="002D6DD7">
        <w:tc>
          <w:tcPr>
            <w:tcW w:w="9355" w:type="dxa"/>
            <w:gridSpan w:val="2"/>
          </w:tcPr>
          <w:p w14:paraId="0C6015BB" w14:textId="77777777" w:rsidR="006E5981" w:rsidRPr="0046239D" w:rsidRDefault="006E5981" w:rsidP="002D6DD7">
            <w:pPr>
              <w:jc w:val="both"/>
              <w:rPr>
                <w:rFonts w:cs="Times New Roman"/>
                <w:b/>
                <w:bCs/>
                <w:szCs w:val="24"/>
              </w:rPr>
            </w:pPr>
            <w:r w:rsidRPr="0046239D">
              <w:rPr>
                <w:rFonts w:cs="Times New Roman"/>
                <w:b/>
                <w:bCs/>
                <w:szCs w:val="24"/>
              </w:rPr>
              <w:t>Ibuprofen</w:t>
            </w:r>
          </w:p>
        </w:tc>
      </w:tr>
      <w:tr w:rsidR="006E5981" w:rsidRPr="0046239D" w14:paraId="77EB013C" w14:textId="77777777" w:rsidTr="002D6DD7">
        <w:tc>
          <w:tcPr>
            <w:tcW w:w="2605" w:type="dxa"/>
          </w:tcPr>
          <w:p w14:paraId="597F9B16"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0F6D8744" w14:textId="77777777" w:rsidR="006E5981" w:rsidRPr="0046239D" w:rsidRDefault="006E5981" w:rsidP="002D6DD7">
            <w:pPr>
              <w:jc w:val="both"/>
              <w:rPr>
                <w:rFonts w:cs="Times New Roman"/>
                <w:szCs w:val="24"/>
              </w:rPr>
            </w:pPr>
            <w:r w:rsidRPr="0046239D">
              <w:rPr>
                <w:rFonts w:cs="Times New Roman"/>
                <w:szCs w:val="24"/>
              </w:rPr>
              <w:t>NSAID</w:t>
            </w:r>
          </w:p>
        </w:tc>
      </w:tr>
      <w:tr w:rsidR="006E5981" w:rsidRPr="0046239D" w14:paraId="5456773F" w14:textId="77777777" w:rsidTr="002D6DD7">
        <w:tc>
          <w:tcPr>
            <w:tcW w:w="2605" w:type="dxa"/>
          </w:tcPr>
          <w:p w14:paraId="0D9B4A38"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197AFDB8" w14:textId="77777777" w:rsidR="006E5981" w:rsidRPr="0046239D" w:rsidRDefault="006E5981" w:rsidP="002D6DD7">
            <w:pPr>
              <w:jc w:val="both"/>
              <w:rPr>
                <w:rFonts w:cs="Times New Roman"/>
                <w:szCs w:val="24"/>
                <w:lang w:val="nb-NO"/>
              </w:rPr>
            </w:pPr>
            <w:r w:rsidRPr="0046239D">
              <w:rPr>
                <w:rFonts w:cs="Times New Roman"/>
                <w:szCs w:val="24"/>
                <w:lang w:val="nb-NO"/>
              </w:rPr>
              <w:t>Capsule: 300mg</w:t>
            </w:r>
          </w:p>
          <w:p w14:paraId="1E64383D" w14:textId="77777777" w:rsidR="006E5981" w:rsidRPr="0046239D" w:rsidRDefault="006E5981" w:rsidP="002D6DD7">
            <w:pPr>
              <w:jc w:val="both"/>
              <w:rPr>
                <w:rFonts w:cs="Times New Roman"/>
                <w:szCs w:val="24"/>
                <w:lang w:val="nb-NO"/>
              </w:rPr>
            </w:pPr>
            <w:r w:rsidRPr="0046239D">
              <w:rPr>
                <w:rFonts w:cs="Times New Roman"/>
                <w:szCs w:val="24"/>
                <w:lang w:val="nb-NO"/>
              </w:rPr>
              <w:t>Syrup: 100mg/5ml</w:t>
            </w:r>
          </w:p>
          <w:p w14:paraId="05CE3F13" w14:textId="77777777" w:rsidR="006E5981" w:rsidRPr="0046239D" w:rsidRDefault="006E5981" w:rsidP="002D6DD7">
            <w:pPr>
              <w:jc w:val="both"/>
              <w:rPr>
                <w:rFonts w:cs="Times New Roman"/>
                <w:szCs w:val="24"/>
                <w:lang w:val="nb-NO"/>
              </w:rPr>
            </w:pPr>
            <w:r w:rsidRPr="0046239D">
              <w:rPr>
                <w:rFonts w:cs="Times New Roman"/>
                <w:szCs w:val="24"/>
                <w:lang w:val="nb-NO"/>
              </w:rPr>
              <w:t>Tablet: 200mg, 400mg (e/c optional)</w:t>
            </w:r>
          </w:p>
        </w:tc>
      </w:tr>
      <w:tr w:rsidR="006E5981" w:rsidRPr="0046239D" w14:paraId="362115C9" w14:textId="77777777" w:rsidTr="002D6DD7">
        <w:tc>
          <w:tcPr>
            <w:tcW w:w="2605" w:type="dxa"/>
          </w:tcPr>
          <w:p w14:paraId="14298055" w14:textId="77777777" w:rsidR="006E5981" w:rsidRPr="00377E66" w:rsidRDefault="006E5981" w:rsidP="002D6DD7">
            <w:pPr>
              <w:jc w:val="both"/>
              <w:rPr>
                <w:rFonts w:cs="Times New Roman"/>
                <w:bCs/>
                <w:szCs w:val="24"/>
              </w:rPr>
            </w:pPr>
            <w:r w:rsidRPr="00377E66">
              <w:rPr>
                <w:rFonts w:cs="Times New Roman"/>
                <w:bCs/>
                <w:szCs w:val="24"/>
              </w:rPr>
              <w:t>Indications</w:t>
            </w:r>
          </w:p>
        </w:tc>
        <w:tc>
          <w:tcPr>
            <w:tcW w:w="6750" w:type="dxa"/>
          </w:tcPr>
          <w:p w14:paraId="172D0B8E" w14:textId="77777777" w:rsidR="006E5981" w:rsidRPr="0046239D" w:rsidRDefault="006E5981" w:rsidP="002D6DD7">
            <w:pPr>
              <w:jc w:val="both"/>
              <w:rPr>
                <w:rFonts w:cs="Times New Roman"/>
                <w:szCs w:val="24"/>
              </w:rPr>
            </w:pPr>
            <w:r w:rsidRPr="0046239D">
              <w:rPr>
                <w:rFonts w:cs="Times New Roman"/>
                <w:szCs w:val="24"/>
              </w:rPr>
              <w:t>Acute gout attack</w:t>
            </w:r>
            <w:r>
              <w:rPr>
                <w:rFonts w:cs="Times New Roman"/>
                <w:szCs w:val="24"/>
              </w:rPr>
              <w:t>, p</w:t>
            </w:r>
            <w:r w:rsidRPr="0046239D">
              <w:rPr>
                <w:rFonts w:cs="Times New Roman"/>
                <w:szCs w:val="24"/>
              </w:rPr>
              <w:t>ain and inflammation in rheumatic disease and other musculoskeletal disorders</w:t>
            </w:r>
            <w:r>
              <w:rPr>
                <w:rFonts w:cs="Times New Roman"/>
                <w:szCs w:val="24"/>
              </w:rPr>
              <w:t xml:space="preserve">, </w:t>
            </w:r>
            <w:r w:rsidRPr="0046239D">
              <w:rPr>
                <w:rFonts w:cs="Times New Roman"/>
                <w:szCs w:val="24"/>
              </w:rPr>
              <w:t>dysmenorrhea</w:t>
            </w:r>
            <w:r>
              <w:rPr>
                <w:rFonts w:cs="Times New Roman"/>
                <w:szCs w:val="24"/>
              </w:rPr>
              <w:t xml:space="preserve">, </w:t>
            </w:r>
            <w:r w:rsidRPr="0046239D">
              <w:rPr>
                <w:rFonts w:cs="Times New Roman"/>
                <w:szCs w:val="24"/>
              </w:rPr>
              <w:t>headache, acute migraine attack</w:t>
            </w:r>
          </w:p>
        </w:tc>
      </w:tr>
      <w:tr w:rsidR="006E5981" w:rsidRPr="0046239D" w14:paraId="5C39A8F1" w14:textId="77777777" w:rsidTr="002D6DD7">
        <w:tc>
          <w:tcPr>
            <w:tcW w:w="2605" w:type="dxa"/>
          </w:tcPr>
          <w:p w14:paraId="2E4D99A3"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720BBEFB" w14:textId="77777777" w:rsidR="00C344A8" w:rsidRDefault="006E5981" w:rsidP="002D6DD7">
            <w:pPr>
              <w:jc w:val="both"/>
              <w:rPr>
                <w:rFonts w:cs="Times New Roman"/>
                <w:b/>
                <w:bCs/>
                <w:szCs w:val="24"/>
              </w:rPr>
            </w:pPr>
            <w:r w:rsidRPr="0046239D">
              <w:rPr>
                <w:rFonts w:cs="Times New Roman"/>
                <w:b/>
                <w:bCs/>
                <w:szCs w:val="24"/>
              </w:rPr>
              <w:t>Acute gout flare</w:t>
            </w:r>
            <w:r w:rsidR="00C344A8">
              <w:rPr>
                <w:rFonts w:cs="Times New Roman"/>
                <w:b/>
                <w:bCs/>
                <w:szCs w:val="24"/>
              </w:rPr>
              <w:t>:</w:t>
            </w:r>
          </w:p>
          <w:p w14:paraId="47AA88F0" w14:textId="77777777" w:rsidR="006E5981" w:rsidRPr="0046239D" w:rsidRDefault="00C344A8" w:rsidP="002D6DD7">
            <w:pPr>
              <w:jc w:val="both"/>
              <w:rPr>
                <w:rFonts w:cs="Times New Roman"/>
                <w:szCs w:val="24"/>
              </w:rPr>
            </w:pPr>
            <w:r>
              <w:rPr>
                <w:rFonts w:cs="Times New Roman"/>
                <w:b/>
                <w:bCs/>
                <w:szCs w:val="24"/>
              </w:rPr>
              <w:t>A</w:t>
            </w:r>
            <w:r w:rsidR="006E5981" w:rsidRPr="0046239D">
              <w:rPr>
                <w:rFonts w:cs="Times New Roman"/>
                <w:b/>
                <w:bCs/>
                <w:szCs w:val="24"/>
              </w:rPr>
              <w:t>dult:</w:t>
            </w:r>
            <w:r>
              <w:rPr>
                <w:rFonts w:cs="Times New Roman"/>
                <w:b/>
                <w:bCs/>
                <w:szCs w:val="24"/>
              </w:rPr>
              <w:t xml:space="preserve"> </w:t>
            </w:r>
            <w:r w:rsidR="006E5981" w:rsidRPr="0046239D">
              <w:rPr>
                <w:rFonts w:cs="Times New Roman"/>
                <w:szCs w:val="24"/>
              </w:rPr>
              <w:t>Initial Dose: 800 mg three times daily.</w:t>
            </w:r>
          </w:p>
          <w:p w14:paraId="74542C70" w14:textId="77777777" w:rsidR="006E5981" w:rsidRPr="0046239D" w:rsidRDefault="006E5981" w:rsidP="002D6DD7">
            <w:pPr>
              <w:jc w:val="both"/>
              <w:rPr>
                <w:rFonts w:cs="Times New Roman"/>
                <w:szCs w:val="24"/>
              </w:rPr>
            </w:pPr>
            <w:r w:rsidRPr="0046239D">
              <w:rPr>
                <w:rFonts w:cs="Times New Roman"/>
                <w:szCs w:val="24"/>
              </w:rPr>
              <w:t>Maintenance Dose: Continue 800 mg three times daily until the acute flare has resolved, typically for a period of 3 to 7 days. The maximum daily dose should not exceed 3200 mg.</w:t>
            </w:r>
          </w:p>
        </w:tc>
      </w:tr>
      <w:tr w:rsidR="006E5981" w:rsidRPr="0046239D" w14:paraId="4B682C34" w14:textId="77777777" w:rsidTr="002D6DD7">
        <w:tc>
          <w:tcPr>
            <w:tcW w:w="2605" w:type="dxa"/>
          </w:tcPr>
          <w:p w14:paraId="2B1300E4" w14:textId="77777777" w:rsidR="006E5981" w:rsidRPr="0046239D" w:rsidRDefault="006E5981" w:rsidP="002D6DD7">
            <w:pPr>
              <w:jc w:val="both"/>
              <w:rPr>
                <w:rFonts w:cs="Times New Roman"/>
                <w:szCs w:val="24"/>
              </w:rPr>
            </w:pPr>
            <w:r w:rsidRPr="0046239D">
              <w:rPr>
                <w:rFonts w:cs="Times New Roman"/>
                <w:szCs w:val="24"/>
              </w:rPr>
              <w:t>Contraindications</w:t>
            </w:r>
          </w:p>
        </w:tc>
        <w:tc>
          <w:tcPr>
            <w:tcW w:w="6750" w:type="dxa"/>
          </w:tcPr>
          <w:p w14:paraId="1315EE6B" w14:textId="77777777" w:rsidR="006E5981" w:rsidRPr="0046239D" w:rsidRDefault="006E5981" w:rsidP="002D6DD7">
            <w:pPr>
              <w:jc w:val="both"/>
              <w:rPr>
                <w:rFonts w:cs="Times New Roman"/>
                <w:szCs w:val="24"/>
              </w:rPr>
            </w:pPr>
            <w:r w:rsidRPr="0046239D">
              <w:rPr>
                <w:rFonts w:cs="Times New Roman"/>
                <w:szCs w:val="24"/>
              </w:rPr>
              <w:t>Hypersensitivity (including asthma, angioedema, urticaria or rhinitis) to acetylsalicylic acid or any other NSAID</w:t>
            </w:r>
            <w:r>
              <w:rPr>
                <w:rFonts w:cs="Times New Roman"/>
                <w:szCs w:val="24"/>
              </w:rPr>
              <w:t>,</w:t>
            </w:r>
            <w:r w:rsidRPr="0046239D">
              <w:rPr>
                <w:rFonts w:cs="Times New Roman"/>
                <w:szCs w:val="24"/>
              </w:rPr>
              <w:t xml:space="preserve"> </w:t>
            </w:r>
            <w:r>
              <w:rPr>
                <w:rFonts w:cs="Times New Roman"/>
                <w:szCs w:val="24"/>
              </w:rPr>
              <w:t>active/</w:t>
            </w:r>
            <w:r w:rsidRPr="0046239D">
              <w:rPr>
                <w:rFonts w:cs="Times New Roman"/>
                <w:szCs w:val="24"/>
              </w:rPr>
              <w:t xml:space="preserve">history of </w:t>
            </w:r>
            <w:r>
              <w:rPr>
                <w:rFonts w:cs="Times New Roman"/>
                <w:szCs w:val="24"/>
              </w:rPr>
              <w:t>GI</w:t>
            </w:r>
            <w:r w:rsidRPr="0046239D">
              <w:rPr>
                <w:rFonts w:cs="Times New Roman"/>
                <w:szCs w:val="24"/>
              </w:rPr>
              <w:t xml:space="preserve"> bleeding/perforation</w:t>
            </w:r>
            <w:r>
              <w:rPr>
                <w:rFonts w:cs="Times New Roman"/>
                <w:szCs w:val="24"/>
              </w:rPr>
              <w:t>/ulceration</w:t>
            </w:r>
            <w:r w:rsidRPr="0046239D">
              <w:rPr>
                <w:rFonts w:cs="Times New Roman"/>
                <w:szCs w:val="24"/>
              </w:rPr>
              <w:t xml:space="preserve"> related to NSAID therapy, severe heart failure, varicella infection, severe renal failure, and hepatic failure.</w:t>
            </w:r>
          </w:p>
        </w:tc>
      </w:tr>
      <w:tr w:rsidR="006E5981" w:rsidRPr="0046239D" w14:paraId="53750EC9" w14:textId="77777777" w:rsidTr="002D6DD7">
        <w:tc>
          <w:tcPr>
            <w:tcW w:w="2605" w:type="dxa"/>
          </w:tcPr>
          <w:p w14:paraId="76749C9B" w14:textId="77777777" w:rsidR="006E5981" w:rsidRPr="0046239D" w:rsidRDefault="006E5981" w:rsidP="002D6DD7">
            <w:pPr>
              <w:jc w:val="both"/>
              <w:rPr>
                <w:rFonts w:cs="Times New Roman"/>
                <w:szCs w:val="24"/>
              </w:rPr>
            </w:pPr>
            <w:r w:rsidRPr="0046239D">
              <w:rPr>
                <w:rFonts w:cs="Times New Roman"/>
                <w:szCs w:val="24"/>
              </w:rPr>
              <w:lastRenderedPageBreak/>
              <w:t>Drug interactions</w:t>
            </w:r>
          </w:p>
        </w:tc>
        <w:tc>
          <w:tcPr>
            <w:tcW w:w="6750" w:type="dxa"/>
          </w:tcPr>
          <w:p w14:paraId="72A8DEB7" w14:textId="77777777" w:rsidR="006E5981" w:rsidRPr="0046239D" w:rsidRDefault="006E5981" w:rsidP="002D6DD7">
            <w:pPr>
              <w:jc w:val="both"/>
              <w:rPr>
                <w:rFonts w:cs="Times New Roman"/>
                <w:szCs w:val="24"/>
              </w:rPr>
            </w:pPr>
            <w:r w:rsidRPr="0046239D">
              <w:rPr>
                <w:rFonts w:cs="Times New Roman"/>
                <w:szCs w:val="24"/>
              </w:rPr>
              <w:t>Acetylsalicylic acid, dexamethasone, hydrocortisone, fluoxetine, prednisolone, warfarin, digoxin, lithium, methotrexate, phenytoin, enalapril, propranolol, ciclosporin, penicillamine, heparin, levofloxacin, ofloxacin, fluoxetine, ritonavir</w:t>
            </w:r>
          </w:p>
        </w:tc>
      </w:tr>
      <w:tr w:rsidR="006E5981" w:rsidRPr="0046239D" w14:paraId="4B12705D" w14:textId="77777777" w:rsidTr="002D6DD7">
        <w:tc>
          <w:tcPr>
            <w:tcW w:w="2605" w:type="dxa"/>
          </w:tcPr>
          <w:p w14:paraId="4CC51C0C"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40D1C8D5" w14:textId="77777777" w:rsidR="006E5981" w:rsidRPr="0046239D" w:rsidRDefault="006E5981" w:rsidP="002D6DD7">
            <w:pPr>
              <w:jc w:val="both"/>
              <w:rPr>
                <w:rFonts w:cs="Times New Roman"/>
                <w:szCs w:val="24"/>
              </w:rPr>
            </w:pPr>
            <w:r w:rsidRPr="0046239D">
              <w:rPr>
                <w:rFonts w:cs="Times New Roman"/>
                <w:szCs w:val="24"/>
              </w:rPr>
              <w:t>GI disturbances</w:t>
            </w:r>
            <w:r>
              <w:rPr>
                <w:rFonts w:cs="Times New Roman"/>
                <w:szCs w:val="24"/>
              </w:rPr>
              <w:t xml:space="preserve">, </w:t>
            </w:r>
            <w:r w:rsidRPr="0046239D">
              <w:rPr>
                <w:rFonts w:cs="Times New Roman"/>
                <w:szCs w:val="24"/>
              </w:rPr>
              <w:t>headache, dizziness, nervousness, depression, drowsiness, insomnia, vertigo, tinnitus, photosensitivity, hematuria, fluid retention, raised blood pressure, renal failure, alveolitis, pulmonary eosinophilia, pancreatitis, visual disturbances, erythema multiforme.</w:t>
            </w:r>
          </w:p>
        </w:tc>
      </w:tr>
      <w:tr w:rsidR="006E5981" w:rsidRPr="0046239D" w14:paraId="628A4635" w14:textId="77777777" w:rsidTr="002D6DD7">
        <w:tc>
          <w:tcPr>
            <w:tcW w:w="2605" w:type="dxa"/>
          </w:tcPr>
          <w:p w14:paraId="1D6D8996" w14:textId="77777777" w:rsidR="006E5981" w:rsidRPr="0046239D" w:rsidRDefault="006E5981" w:rsidP="002D6DD7">
            <w:pPr>
              <w:jc w:val="both"/>
              <w:rPr>
                <w:rFonts w:cs="Times New Roman"/>
                <w:szCs w:val="24"/>
              </w:rPr>
            </w:pPr>
            <w:r w:rsidRPr="0046239D">
              <w:rPr>
                <w:rFonts w:cs="Times New Roman"/>
                <w:szCs w:val="24"/>
              </w:rPr>
              <w:t xml:space="preserve">Cautions </w:t>
            </w:r>
          </w:p>
        </w:tc>
        <w:tc>
          <w:tcPr>
            <w:tcW w:w="6750" w:type="dxa"/>
          </w:tcPr>
          <w:p w14:paraId="0E440541" w14:textId="77777777" w:rsidR="006E5981" w:rsidRPr="0046239D" w:rsidRDefault="006E5981" w:rsidP="002D6DD7">
            <w:pPr>
              <w:jc w:val="both"/>
              <w:rPr>
                <w:rFonts w:cs="Times New Roman"/>
                <w:szCs w:val="24"/>
              </w:rPr>
            </w:pPr>
            <w:r w:rsidRPr="0046239D">
              <w:rPr>
                <w:rFonts w:cs="Times New Roman"/>
                <w:szCs w:val="24"/>
              </w:rPr>
              <w:t>Asthma, cardiac disease, volume depletion (e.g., in gastroenteritis or dehydration - risk of renal impairment), concomitant use of drugs that increase the risk of bleeding, coagulation defects, elderly, pregnancy, hepatic impairment, renal impairment</w:t>
            </w:r>
          </w:p>
        </w:tc>
      </w:tr>
      <w:tr w:rsidR="006E5981" w:rsidRPr="0046239D" w14:paraId="08DCB935" w14:textId="77777777" w:rsidTr="002D6DD7">
        <w:tc>
          <w:tcPr>
            <w:tcW w:w="2605" w:type="dxa"/>
          </w:tcPr>
          <w:p w14:paraId="6DB456E9" w14:textId="77777777" w:rsidR="006E5981" w:rsidRPr="0046239D" w:rsidRDefault="006E5981" w:rsidP="002D6DD7">
            <w:pPr>
              <w:jc w:val="both"/>
              <w:rPr>
                <w:rFonts w:cs="Times New Roman"/>
                <w:szCs w:val="24"/>
              </w:rPr>
            </w:pPr>
            <w:r w:rsidRPr="0046239D">
              <w:rPr>
                <w:rFonts w:cs="Times New Roman"/>
                <w:szCs w:val="24"/>
              </w:rPr>
              <w:t>Storage condition</w:t>
            </w:r>
          </w:p>
        </w:tc>
        <w:tc>
          <w:tcPr>
            <w:tcW w:w="6750" w:type="dxa"/>
          </w:tcPr>
          <w:p w14:paraId="3A772BEB" w14:textId="77777777" w:rsidR="006E5981" w:rsidRPr="0046239D" w:rsidRDefault="006E5981" w:rsidP="002D6DD7">
            <w:pPr>
              <w:jc w:val="both"/>
              <w:rPr>
                <w:rFonts w:cs="Times New Roman"/>
                <w:szCs w:val="24"/>
              </w:rPr>
            </w:pPr>
            <w:r w:rsidRPr="0046239D">
              <w:rPr>
                <w:rFonts w:cs="Times New Roman"/>
                <w:szCs w:val="24"/>
              </w:rPr>
              <w:t>Store below 30°C.</w:t>
            </w:r>
          </w:p>
        </w:tc>
      </w:tr>
      <w:tr w:rsidR="006E5981" w:rsidRPr="0046239D" w14:paraId="707E6826" w14:textId="77777777" w:rsidTr="002D6DD7">
        <w:tc>
          <w:tcPr>
            <w:tcW w:w="9355" w:type="dxa"/>
            <w:gridSpan w:val="2"/>
          </w:tcPr>
          <w:p w14:paraId="16B9C9C6" w14:textId="77777777" w:rsidR="006E5981" w:rsidRPr="0046239D" w:rsidRDefault="006E5981" w:rsidP="002D6DD7">
            <w:pPr>
              <w:jc w:val="both"/>
              <w:rPr>
                <w:rFonts w:cs="Times New Roman"/>
                <w:b/>
                <w:bCs/>
                <w:szCs w:val="24"/>
              </w:rPr>
            </w:pPr>
            <w:bookmarkStart w:id="97" w:name="_Toc168337698"/>
            <w:r w:rsidRPr="0046239D">
              <w:rPr>
                <w:rFonts w:cs="Times New Roman"/>
                <w:b/>
                <w:bCs/>
                <w:szCs w:val="24"/>
              </w:rPr>
              <w:t>Indomethacin</w:t>
            </w:r>
            <w:bookmarkEnd w:id="97"/>
          </w:p>
        </w:tc>
      </w:tr>
      <w:tr w:rsidR="006E5981" w:rsidRPr="0046239D" w14:paraId="0DB61BC6" w14:textId="77777777" w:rsidTr="002D6DD7">
        <w:tc>
          <w:tcPr>
            <w:tcW w:w="2605" w:type="dxa"/>
          </w:tcPr>
          <w:p w14:paraId="3C6E74FD"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748AD90F" w14:textId="77777777" w:rsidR="006E5981" w:rsidRPr="0046239D" w:rsidRDefault="006E5981" w:rsidP="002D6DD7">
            <w:pPr>
              <w:jc w:val="both"/>
              <w:rPr>
                <w:rFonts w:cs="Times New Roman"/>
                <w:szCs w:val="24"/>
              </w:rPr>
            </w:pPr>
            <w:r w:rsidRPr="0046239D">
              <w:rPr>
                <w:rFonts w:cs="Times New Roman"/>
                <w:szCs w:val="24"/>
              </w:rPr>
              <w:t>NSAID</w:t>
            </w:r>
          </w:p>
        </w:tc>
      </w:tr>
      <w:tr w:rsidR="006E5981" w:rsidRPr="0046239D" w14:paraId="20F2E880" w14:textId="77777777" w:rsidTr="002D6DD7">
        <w:tc>
          <w:tcPr>
            <w:tcW w:w="2605" w:type="dxa"/>
          </w:tcPr>
          <w:p w14:paraId="1E543035"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1ECA1A5A" w14:textId="77777777" w:rsidR="006E5981" w:rsidRPr="0046239D" w:rsidRDefault="006E5981" w:rsidP="002D6DD7">
            <w:pPr>
              <w:jc w:val="both"/>
              <w:rPr>
                <w:rFonts w:cs="Times New Roman"/>
                <w:szCs w:val="24"/>
              </w:rPr>
            </w:pPr>
            <w:r w:rsidRPr="0046239D">
              <w:rPr>
                <w:rFonts w:cs="Times New Roman"/>
                <w:szCs w:val="24"/>
              </w:rPr>
              <w:t>Capsule: 25 mg, 50 mg, 75 mg</w:t>
            </w:r>
          </w:p>
          <w:p w14:paraId="4A61B1E8" w14:textId="77777777" w:rsidR="006E5981" w:rsidRPr="0046239D" w:rsidRDefault="006E5981" w:rsidP="002D6DD7">
            <w:pPr>
              <w:jc w:val="both"/>
              <w:rPr>
                <w:rFonts w:cs="Times New Roman"/>
                <w:szCs w:val="24"/>
              </w:rPr>
            </w:pPr>
            <w:r w:rsidRPr="0046239D">
              <w:rPr>
                <w:rFonts w:cs="Times New Roman"/>
                <w:szCs w:val="24"/>
              </w:rPr>
              <w:t>Suppository: 50 mg, 100 mg</w:t>
            </w:r>
          </w:p>
        </w:tc>
      </w:tr>
      <w:tr w:rsidR="006E5981" w:rsidRPr="0046239D" w14:paraId="0DBA141D" w14:textId="77777777" w:rsidTr="002D6DD7">
        <w:tc>
          <w:tcPr>
            <w:tcW w:w="2605" w:type="dxa"/>
          </w:tcPr>
          <w:p w14:paraId="21CE3A76" w14:textId="77777777" w:rsidR="006E5981" w:rsidRPr="00BB29F4" w:rsidRDefault="006E5981" w:rsidP="002D6DD7">
            <w:pPr>
              <w:jc w:val="both"/>
              <w:rPr>
                <w:rFonts w:cs="Times New Roman"/>
                <w:bCs/>
                <w:szCs w:val="24"/>
              </w:rPr>
            </w:pPr>
            <w:r w:rsidRPr="00BB29F4">
              <w:rPr>
                <w:rFonts w:cs="Times New Roman"/>
                <w:bCs/>
                <w:szCs w:val="24"/>
              </w:rPr>
              <w:t>Indications</w:t>
            </w:r>
          </w:p>
        </w:tc>
        <w:tc>
          <w:tcPr>
            <w:tcW w:w="6750" w:type="dxa"/>
          </w:tcPr>
          <w:p w14:paraId="7FA59109" w14:textId="77777777" w:rsidR="006E5981" w:rsidRPr="0046239D" w:rsidRDefault="006E5981" w:rsidP="002D6DD7">
            <w:pPr>
              <w:jc w:val="both"/>
              <w:rPr>
                <w:rFonts w:eastAsia="Times New Roman" w:cs="Times New Roman"/>
                <w:color w:val="202227"/>
                <w:szCs w:val="24"/>
              </w:rPr>
            </w:pPr>
            <w:r w:rsidRPr="0046239D">
              <w:rPr>
                <w:rFonts w:eastAsia="Times New Roman" w:cs="Times New Roman"/>
                <w:color w:val="202227"/>
                <w:szCs w:val="24"/>
              </w:rPr>
              <w:t>Acute gout, acute or chronic rheumatoid arthritis, relief of acute or chronic osteoarthritis, ankylosing spondylitis, juvenile arthritis,</w:t>
            </w:r>
            <w:r>
              <w:rPr>
                <w:rFonts w:eastAsia="Times New Roman" w:cs="Times New Roman"/>
                <w:color w:val="202227"/>
                <w:szCs w:val="24"/>
              </w:rPr>
              <w:t xml:space="preserve"> </w:t>
            </w:r>
            <w:r w:rsidRPr="0046239D">
              <w:rPr>
                <w:rFonts w:eastAsia="Times New Roman" w:cs="Times New Roman"/>
                <w:color w:val="202227"/>
                <w:szCs w:val="24"/>
              </w:rPr>
              <w:t>psoriatic arthritis</w:t>
            </w:r>
          </w:p>
        </w:tc>
      </w:tr>
      <w:tr w:rsidR="006E5981" w:rsidRPr="0046239D" w14:paraId="57EBBC7D" w14:textId="77777777" w:rsidTr="002D6DD7">
        <w:tc>
          <w:tcPr>
            <w:tcW w:w="2605" w:type="dxa"/>
          </w:tcPr>
          <w:p w14:paraId="36A24A2B"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0B041EDA" w14:textId="77777777" w:rsidR="006E5981" w:rsidRPr="00C344A8" w:rsidRDefault="006E5981" w:rsidP="002D6DD7">
            <w:pPr>
              <w:jc w:val="both"/>
              <w:rPr>
                <w:rFonts w:cs="Times New Roman"/>
                <w:szCs w:val="24"/>
              </w:rPr>
            </w:pPr>
            <w:r w:rsidRPr="0046239D">
              <w:rPr>
                <w:rFonts w:cs="Times New Roman"/>
                <w:b/>
                <w:szCs w:val="24"/>
              </w:rPr>
              <w:t>Acute Gout</w:t>
            </w:r>
            <w:r>
              <w:rPr>
                <w:rFonts w:cs="Times New Roman"/>
                <w:b/>
                <w:szCs w:val="24"/>
              </w:rPr>
              <w:t xml:space="preserve">, </w:t>
            </w:r>
            <w:r w:rsidR="00C344A8" w:rsidRPr="00C344A8">
              <w:rPr>
                <w:rFonts w:cs="Times New Roman"/>
                <w:szCs w:val="24"/>
              </w:rPr>
              <w:t>o</w:t>
            </w:r>
            <w:r w:rsidRPr="00C344A8">
              <w:rPr>
                <w:rFonts w:cs="Times New Roman"/>
                <w:szCs w:val="24"/>
              </w:rPr>
              <w:t>ral:</w:t>
            </w:r>
          </w:p>
          <w:p w14:paraId="382052C2" w14:textId="77777777" w:rsidR="006E5981" w:rsidRPr="0046239D" w:rsidRDefault="006E5981" w:rsidP="002D6DD7">
            <w:pPr>
              <w:jc w:val="both"/>
              <w:rPr>
                <w:rFonts w:cs="Times New Roman"/>
                <w:bCs/>
                <w:szCs w:val="24"/>
              </w:rPr>
            </w:pPr>
            <w:r w:rsidRPr="0046239D">
              <w:rPr>
                <w:rFonts w:cs="Times New Roman"/>
                <w:bCs/>
                <w:szCs w:val="24"/>
              </w:rPr>
              <w:t>Initial Dose: 50 mg three times daily until pain is tolerable.</w:t>
            </w:r>
          </w:p>
          <w:p w14:paraId="4B13B3D8" w14:textId="77777777" w:rsidR="006E5981" w:rsidRPr="0046239D" w:rsidRDefault="006E5981" w:rsidP="002D6DD7">
            <w:pPr>
              <w:jc w:val="both"/>
              <w:rPr>
                <w:rFonts w:cs="Times New Roman"/>
                <w:bCs/>
                <w:szCs w:val="24"/>
              </w:rPr>
            </w:pPr>
            <w:r w:rsidRPr="0046239D">
              <w:rPr>
                <w:rFonts w:cs="Times New Roman"/>
                <w:bCs/>
                <w:szCs w:val="24"/>
              </w:rPr>
              <w:t xml:space="preserve">Maintenance Dose: </w:t>
            </w:r>
            <w:r>
              <w:rPr>
                <w:rFonts w:cs="Times New Roman"/>
                <w:bCs/>
                <w:szCs w:val="24"/>
              </w:rPr>
              <w:t>r</w:t>
            </w:r>
            <w:r w:rsidRPr="0046239D">
              <w:rPr>
                <w:rFonts w:cs="Times New Roman"/>
                <w:bCs/>
                <w:szCs w:val="24"/>
              </w:rPr>
              <w:t xml:space="preserve">educe to 25 mg three times daily until the attack has resolved. </w:t>
            </w:r>
          </w:p>
          <w:p w14:paraId="4DE7375D" w14:textId="77777777" w:rsidR="006E5981" w:rsidRPr="0046239D" w:rsidRDefault="006E5981" w:rsidP="002D6DD7">
            <w:pPr>
              <w:jc w:val="both"/>
              <w:rPr>
                <w:rFonts w:cs="Times New Roman"/>
                <w:bCs/>
                <w:szCs w:val="24"/>
              </w:rPr>
            </w:pPr>
            <w:r w:rsidRPr="0046239D">
              <w:rPr>
                <w:rFonts w:cs="Times New Roman"/>
                <w:bCs/>
                <w:szCs w:val="24"/>
              </w:rPr>
              <w:t>100 mg per rectum 1–2 times a day, dose to be administered at night and in the morning if required, combined oral and rectal treatment maximum total daily dose 150–200 mg</w:t>
            </w:r>
          </w:p>
          <w:p w14:paraId="3A43D915" w14:textId="77777777" w:rsidR="006E5981" w:rsidRPr="0046239D" w:rsidRDefault="006E5981" w:rsidP="002D6DD7">
            <w:pPr>
              <w:jc w:val="both"/>
              <w:rPr>
                <w:rFonts w:cs="Times New Roman"/>
                <w:bCs/>
                <w:szCs w:val="24"/>
              </w:rPr>
            </w:pPr>
            <w:r w:rsidRPr="0046239D">
              <w:rPr>
                <w:rFonts w:cs="Times New Roman"/>
                <w:bCs/>
                <w:szCs w:val="24"/>
              </w:rPr>
              <w:t>Modified-release medicines: 75 mg 1–2 times a day</w:t>
            </w:r>
          </w:p>
        </w:tc>
      </w:tr>
      <w:tr w:rsidR="006E5981" w:rsidRPr="0046239D" w14:paraId="6B49E10E" w14:textId="77777777" w:rsidTr="002D6DD7">
        <w:tc>
          <w:tcPr>
            <w:tcW w:w="2605" w:type="dxa"/>
          </w:tcPr>
          <w:p w14:paraId="09AAFAA7" w14:textId="77777777" w:rsidR="006E5981" w:rsidRPr="0046239D" w:rsidRDefault="006E5981" w:rsidP="002D6DD7">
            <w:pPr>
              <w:jc w:val="both"/>
              <w:rPr>
                <w:rFonts w:cs="Times New Roman"/>
                <w:szCs w:val="24"/>
              </w:rPr>
            </w:pPr>
            <w:r w:rsidRPr="0046239D">
              <w:rPr>
                <w:rFonts w:cs="Times New Roman"/>
                <w:szCs w:val="24"/>
              </w:rPr>
              <w:t>Contraindications</w:t>
            </w:r>
          </w:p>
        </w:tc>
        <w:tc>
          <w:tcPr>
            <w:tcW w:w="6750" w:type="dxa"/>
          </w:tcPr>
          <w:p w14:paraId="7F5E9A14" w14:textId="77777777" w:rsidR="006E5981" w:rsidRPr="0046239D" w:rsidRDefault="006E5981" w:rsidP="002D6DD7">
            <w:pPr>
              <w:jc w:val="both"/>
              <w:rPr>
                <w:rFonts w:cs="Times New Roman"/>
                <w:szCs w:val="24"/>
              </w:rPr>
            </w:pPr>
            <w:r>
              <w:rPr>
                <w:rFonts w:cs="Times New Roman"/>
                <w:szCs w:val="24"/>
              </w:rPr>
              <w:t>H</w:t>
            </w:r>
            <w:r w:rsidRPr="0046239D">
              <w:rPr>
                <w:rFonts w:cs="Times New Roman"/>
                <w:szCs w:val="24"/>
              </w:rPr>
              <w:t xml:space="preserve">ypersensitivity to </w:t>
            </w:r>
            <w:r w:rsidR="00C344A8">
              <w:rPr>
                <w:rFonts w:cs="Times New Roman"/>
                <w:szCs w:val="24"/>
              </w:rPr>
              <w:t>the drug</w:t>
            </w:r>
            <w:r w:rsidRPr="0046239D">
              <w:rPr>
                <w:rFonts w:cs="Times New Roman"/>
                <w:szCs w:val="24"/>
              </w:rPr>
              <w:t xml:space="preserve">, </w:t>
            </w:r>
            <w:r>
              <w:rPr>
                <w:rFonts w:cs="Times New Roman"/>
                <w:szCs w:val="24"/>
              </w:rPr>
              <w:t>a</w:t>
            </w:r>
            <w:r w:rsidRPr="0046239D">
              <w:rPr>
                <w:rFonts w:cs="Times New Roman"/>
                <w:szCs w:val="24"/>
              </w:rPr>
              <w:t>ctive</w:t>
            </w:r>
            <w:r>
              <w:rPr>
                <w:rFonts w:cs="Times New Roman"/>
                <w:szCs w:val="24"/>
              </w:rPr>
              <w:t>/history of GI</w:t>
            </w:r>
            <w:r w:rsidRPr="0046239D">
              <w:rPr>
                <w:rFonts w:cs="Times New Roman"/>
                <w:szCs w:val="24"/>
              </w:rPr>
              <w:t xml:space="preserve"> bleeding</w:t>
            </w:r>
            <w:r>
              <w:rPr>
                <w:rFonts w:cs="Times New Roman"/>
                <w:szCs w:val="24"/>
              </w:rPr>
              <w:t xml:space="preserve">/ulceration/perforation </w:t>
            </w:r>
            <w:r w:rsidRPr="0046239D">
              <w:rPr>
                <w:rFonts w:cs="Times New Roman"/>
                <w:szCs w:val="24"/>
              </w:rPr>
              <w:t xml:space="preserve">related to NSAID therapy, severe </w:t>
            </w:r>
            <w:r w:rsidRPr="0046239D">
              <w:rPr>
                <w:rFonts w:cs="Times New Roman"/>
                <w:szCs w:val="24"/>
              </w:rPr>
              <w:lastRenderedPageBreak/>
              <w:t xml:space="preserve">heart failure, preoperative pain associated with coronary artery bypass graft surgery </w:t>
            </w:r>
            <w:r>
              <w:rPr>
                <w:rFonts w:cs="Times New Roman"/>
                <w:szCs w:val="24"/>
              </w:rPr>
              <w:t>(</w:t>
            </w:r>
            <w:r w:rsidRPr="0046239D">
              <w:rPr>
                <w:rFonts w:cs="Times New Roman"/>
                <w:szCs w:val="24"/>
              </w:rPr>
              <w:t>CABG</w:t>
            </w:r>
            <w:r>
              <w:rPr>
                <w:rFonts w:cs="Times New Roman"/>
                <w:szCs w:val="24"/>
              </w:rPr>
              <w:t>)</w:t>
            </w:r>
            <w:r w:rsidRPr="0046239D">
              <w:rPr>
                <w:rFonts w:cs="Times New Roman"/>
                <w:szCs w:val="24"/>
              </w:rPr>
              <w:t xml:space="preserve"> surgery, history of proctitis or recent rectal bleeding</w:t>
            </w:r>
          </w:p>
        </w:tc>
      </w:tr>
      <w:tr w:rsidR="006E5981" w:rsidRPr="0046239D" w14:paraId="06E6F66A" w14:textId="77777777" w:rsidTr="002D6DD7">
        <w:tc>
          <w:tcPr>
            <w:tcW w:w="2605" w:type="dxa"/>
          </w:tcPr>
          <w:p w14:paraId="0C4BD697" w14:textId="77777777" w:rsidR="006E5981" w:rsidRPr="0046239D" w:rsidRDefault="006E5981" w:rsidP="002D6DD7">
            <w:pPr>
              <w:jc w:val="both"/>
              <w:rPr>
                <w:rFonts w:cs="Times New Roman"/>
                <w:szCs w:val="24"/>
              </w:rPr>
            </w:pPr>
            <w:r w:rsidRPr="0046239D">
              <w:rPr>
                <w:rFonts w:cs="Times New Roman"/>
                <w:szCs w:val="24"/>
              </w:rPr>
              <w:lastRenderedPageBreak/>
              <w:t>Drug interactions</w:t>
            </w:r>
          </w:p>
        </w:tc>
        <w:tc>
          <w:tcPr>
            <w:tcW w:w="6750" w:type="dxa"/>
          </w:tcPr>
          <w:p w14:paraId="5474261D" w14:textId="77777777" w:rsidR="006E5981" w:rsidRPr="0046239D" w:rsidRDefault="006E5981" w:rsidP="002D6DD7">
            <w:pPr>
              <w:jc w:val="both"/>
              <w:rPr>
                <w:rFonts w:cs="Times New Roman"/>
                <w:szCs w:val="24"/>
              </w:rPr>
            </w:pPr>
            <w:r w:rsidRPr="0046239D">
              <w:rPr>
                <w:rFonts w:cs="Times New Roman"/>
                <w:szCs w:val="24"/>
              </w:rPr>
              <w:t>Anticoagulants, heparin, or thrombolytic agents, antihypertensives or diuretics, aspirin and anti-inflammatory agents</w:t>
            </w:r>
          </w:p>
        </w:tc>
      </w:tr>
      <w:tr w:rsidR="006E5981" w:rsidRPr="0046239D" w14:paraId="09759283" w14:textId="77777777" w:rsidTr="002D6DD7">
        <w:tc>
          <w:tcPr>
            <w:tcW w:w="2605" w:type="dxa"/>
          </w:tcPr>
          <w:p w14:paraId="6587E5BF"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2985B4CB" w14:textId="77777777" w:rsidR="006E5981" w:rsidRPr="0046239D" w:rsidRDefault="006E5981" w:rsidP="002D6DD7">
            <w:pPr>
              <w:jc w:val="both"/>
              <w:rPr>
                <w:rFonts w:cs="Times New Roman"/>
                <w:szCs w:val="24"/>
              </w:rPr>
            </w:pPr>
            <w:r>
              <w:rPr>
                <w:rFonts w:cs="Times New Roman"/>
                <w:szCs w:val="24"/>
              </w:rPr>
              <w:t>D</w:t>
            </w:r>
            <w:r w:rsidRPr="0046239D">
              <w:rPr>
                <w:rFonts w:cs="Times New Roman"/>
                <w:szCs w:val="24"/>
              </w:rPr>
              <w:t xml:space="preserve">iarrhea, nausea, abdominal pain, headache, dizziness, lightheadedness, </w:t>
            </w:r>
            <w:r>
              <w:rPr>
                <w:rFonts w:cs="Times New Roman"/>
                <w:szCs w:val="24"/>
              </w:rPr>
              <w:t>GI</w:t>
            </w:r>
            <w:r w:rsidRPr="0046239D">
              <w:rPr>
                <w:rFonts w:cs="Times New Roman"/>
                <w:szCs w:val="24"/>
              </w:rPr>
              <w:t xml:space="preserve"> ulceration</w:t>
            </w:r>
          </w:p>
        </w:tc>
      </w:tr>
      <w:tr w:rsidR="006E5981" w:rsidRPr="0046239D" w14:paraId="48C83D27" w14:textId="77777777" w:rsidTr="002D6DD7">
        <w:tc>
          <w:tcPr>
            <w:tcW w:w="2605" w:type="dxa"/>
          </w:tcPr>
          <w:p w14:paraId="7E8258FE" w14:textId="77777777" w:rsidR="006E5981" w:rsidRPr="0046239D" w:rsidRDefault="006E5981" w:rsidP="002D6DD7">
            <w:pPr>
              <w:jc w:val="both"/>
              <w:rPr>
                <w:rFonts w:cs="Times New Roman"/>
                <w:szCs w:val="24"/>
              </w:rPr>
            </w:pPr>
            <w:r w:rsidRPr="0046239D">
              <w:rPr>
                <w:rFonts w:cs="Times New Roman"/>
                <w:szCs w:val="24"/>
              </w:rPr>
              <w:t xml:space="preserve">Cautions </w:t>
            </w:r>
          </w:p>
        </w:tc>
        <w:tc>
          <w:tcPr>
            <w:tcW w:w="6750" w:type="dxa"/>
          </w:tcPr>
          <w:p w14:paraId="699D0B52" w14:textId="77777777" w:rsidR="006E5981" w:rsidRPr="0046239D" w:rsidRDefault="006E5981" w:rsidP="002D6DD7">
            <w:pPr>
              <w:jc w:val="both"/>
              <w:rPr>
                <w:rFonts w:cs="Times New Roman"/>
                <w:szCs w:val="24"/>
              </w:rPr>
            </w:pPr>
            <w:r w:rsidRPr="0046239D">
              <w:rPr>
                <w:rFonts w:cs="Times New Roman"/>
                <w:szCs w:val="24"/>
              </w:rPr>
              <w:t xml:space="preserve">Allergic disorders and connective-tissue disorders, cardiac impairment, cerebrovascular disease, ischemic heart disease, peripheral arterial disease, uncontrolled hypertension, renal impairment, dehydration, elderly, </w:t>
            </w:r>
            <w:r>
              <w:rPr>
                <w:rFonts w:cs="Times New Roman"/>
                <w:szCs w:val="24"/>
              </w:rPr>
              <w:t>inflammatory bowel disease,</w:t>
            </w:r>
            <w:r w:rsidRPr="0046239D">
              <w:rPr>
                <w:rFonts w:cs="Times New Roman"/>
                <w:szCs w:val="24"/>
              </w:rPr>
              <w:t xml:space="preserve"> neurological and psychiatric conditions such as epilepsy, parkinsonism, and psychiatric disturbances.</w:t>
            </w:r>
          </w:p>
        </w:tc>
      </w:tr>
      <w:tr w:rsidR="006E5981" w:rsidRPr="0046239D" w14:paraId="435D9886" w14:textId="77777777" w:rsidTr="002D6DD7">
        <w:tc>
          <w:tcPr>
            <w:tcW w:w="2605" w:type="dxa"/>
          </w:tcPr>
          <w:p w14:paraId="44DEDE61" w14:textId="77777777" w:rsidR="006E5981" w:rsidRPr="0046239D" w:rsidRDefault="006E5981" w:rsidP="002D6DD7">
            <w:pPr>
              <w:jc w:val="both"/>
              <w:rPr>
                <w:rFonts w:cs="Times New Roman"/>
                <w:szCs w:val="24"/>
              </w:rPr>
            </w:pPr>
            <w:r w:rsidRPr="0046239D">
              <w:rPr>
                <w:rFonts w:cs="Times New Roman"/>
                <w:szCs w:val="24"/>
              </w:rPr>
              <w:t>Storage condition</w:t>
            </w:r>
          </w:p>
        </w:tc>
        <w:tc>
          <w:tcPr>
            <w:tcW w:w="6750" w:type="dxa"/>
          </w:tcPr>
          <w:p w14:paraId="35060794" w14:textId="77777777" w:rsidR="006E5981" w:rsidRPr="0046239D" w:rsidRDefault="006E5981" w:rsidP="002D6DD7">
            <w:pPr>
              <w:jc w:val="both"/>
              <w:rPr>
                <w:rFonts w:cs="Times New Roman"/>
                <w:szCs w:val="24"/>
              </w:rPr>
            </w:pPr>
            <w:r w:rsidRPr="0046239D">
              <w:rPr>
                <w:rFonts w:cs="Times New Roman"/>
                <w:szCs w:val="24"/>
              </w:rPr>
              <w:t>Store below 30</w:t>
            </w:r>
            <w:r w:rsidRPr="0046239D">
              <w:rPr>
                <w:rFonts w:cs="Times New Roman"/>
                <w:szCs w:val="24"/>
                <w:vertAlign w:val="superscript"/>
              </w:rPr>
              <w:t>0</w:t>
            </w:r>
            <w:r w:rsidRPr="0046239D">
              <w:rPr>
                <w:rFonts w:cs="Times New Roman"/>
                <w:szCs w:val="24"/>
              </w:rPr>
              <w:t>C</w:t>
            </w:r>
          </w:p>
        </w:tc>
      </w:tr>
      <w:tr w:rsidR="006E5981" w:rsidRPr="0046239D" w14:paraId="3FE8C4F0" w14:textId="77777777" w:rsidTr="002D6DD7">
        <w:tc>
          <w:tcPr>
            <w:tcW w:w="9355" w:type="dxa"/>
            <w:gridSpan w:val="2"/>
          </w:tcPr>
          <w:p w14:paraId="78B12BC3" w14:textId="77777777" w:rsidR="006E5981" w:rsidRPr="0046239D" w:rsidRDefault="006E5981" w:rsidP="002D6DD7">
            <w:pPr>
              <w:jc w:val="both"/>
              <w:rPr>
                <w:rFonts w:cs="Times New Roman"/>
                <w:b/>
                <w:bCs/>
                <w:szCs w:val="24"/>
              </w:rPr>
            </w:pPr>
            <w:bookmarkStart w:id="98" w:name="_Toc168337699"/>
            <w:r w:rsidRPr="0046239D">
              <w:rPr>
                <w:rFonts w:cs="Times New Roman"/>
                <w:b/>
                <w:bCs/>
                <w:szCs w:val="24"/>
              </w:rPr>
              <w:t>Meloxicam</w:t>
            </w:r>
            <w:bookmarkEnd w:id="98"/>
          </w:p>
        </w:tc>
      </w:tr>
      <w:tr w:rsidR="006E5981" w:rsidRPr="0046239D" w14:paraId="4A8F281C" w14:textId="77777777" w:rsidTr="002D6DD7">
        <w:tc>
          <w:tcPr>
            <w:tcW w:w="2605" w:type="dxa"/>
          </w:tcPr>
          <w:p w14:paraId="5FD7F0A5"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7A37D263" w14:textId="77777777" w:rsidR="006E5981" w:rsidRPr="0046239D" w:rsidRDefault="006E5981" w:rsidP="002D6DD7">
            <w:pPr>
              <w:jc w:val="both"/>
              <w:rPr>
                <w:rFonts w:cs="Times New Roman"/>
                <w:szCs w:val="24"/>
              </w:rPr>
            </w:pPr>
            <w:r w:rsidRPr="0046239D">
              <w:rPr>
                <w:rFonts w:cs="Times New Roman"/>
                <w:szCs w:val="24"/>
              </w:rPr>
              <w:t>NSAID</w:t>
            </w:r>
          </w:p>
        </w:tc>
      </w:tr>
      <w:tr w:rsidR="006E5981" w:rsidRPr="0046239D" w14:paraId="6F6B13D2" w14:textId="77777777" w:rsidTr="002D6DD7">
        <w:tc>
          <w:tcPr>
            <w:tcW w:w="2605" w:type="dxa"/>
          </w:tcPr>
          <w:p w14:paraId="710295A8"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0B3445EC" w14:textId="77777777" w:rsidR="006E5981" w:rsidRPr="0046239D" w:rsidRDefault="006E5981" w:rsidP="002D6DD7">
            <w:pPr>
              <w:jc w:val="both"/>
              <w:rPr>
                <w:rFonts w:cs="Times New Roman"/>
                <w:szCs w:val="24"/>
              </w:rPr>
            </w:pPr>
            <w:r w:rsidRPr="0046239D">
              <w:rPr>
                <w:rFonts w:cs="Times New Roman"/>
                <w:szCs w:val="24"/>
              </w:rPr>
              <w:t>Tablet:  7.5mg, 15mg</w:t>
            </w:r>
          </w:p>
        </w:tc>
      </w:tr>
      <w:tr w:rsidR="006E5981" w:rsidRPr="0046239D" w14:paraId="774AAF89" w14:textId="77777777" w:rsidTr="002D6DD7">
        <w:tc>
          <w:tcPr>
            <w:tcW w:w="2605" w:type="dxa"/>
          </w:tcPr>
          <w:p w14:paraId="79E45C1E" w14:textId="77777777" w:rsidR="006E5981" w:rsidRPr="0046239D" w:rsidRDefault="006E5981" w:rsidP="002D6DD7">
            <w:pPr>
              <w:jc w:val="both"/>
              <w:rPr>
                <w:rFonts w:cs="Times New Roman"/>
                <w:szCs w:val="24"/>
              </w:rPr>
            </w:pPr>
            <w:r w:rsidRPr="0046239D">
              <w:rPr>
                <w:rFonts w:cs="Times New Roman"/>
                <w:szCs w:val="24"/>
              </w:rPr>
              <w:t>Indications</w:t>
            </w:r>
          </w:p>
        </w:tc>
        <w:tc>
          <w:tcPr>
            <w:tcW w:w="6750" w:type="dxa"/>
          </w:tcPr>
          <w:p w14:paraId="48AEDC6A" w14:textId="77777777" w:rsidR="006E5981" w:rsidRPr="0046239D" w:rsidRDefault="006E5981" w:rsidP="002D6DD7">
            <w:pPr>
              <w:jc w:val="both"/>
              <w:rPr>
                <w:rFonts w:cs="Times New Roman"/>
                <w:szCs w:val="24"/>
              </w:rPr>
            </w:pPr>
            <w:r w:rsidRPr="0046239D">
              <w:rPr>
                <w:rFonts w:cs="Times New Roman"/>
                <w:szCs w:val="24"/>
              </w:rPr>
              <w:t>Pain and inflammation in rheumatic disease, exacerbation of osteoarthritis (short-term), ankylosing spondylitis, relief of pain and inflammation in juvenile idiopathic arthritis</w:t>
            </w:r>
          </w:p>
        </w:tc>
      </w:tr>
      <w:tr w:rsidR="006E5981" w:rsidRPr="0046239D" w14:paraId="538AE2D2" w14:textId="77777777" w:rsidTr="002D6DD7">
        <w:tc>
          <w:tcPr>
            <w:tcW w:w="2605" w:type="dxa"/>
          </w:tcPr>
          <w:p w14:paraId="073D2398"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4F8B2568" w14:textId="77777777" w:rsidR="006E5981" w:rsidRPr="0046239D" w:rsidRDefault="006E5981" w:rsidP="002D6DD7">
            <w:pPr>
              <w:jc w:val="both"/>
              <w:rPr>
                <w:rFonts w:cs="Times New Roman"/>
                <w:b/>
                <w:szCs w:val="24"/>
              </w:rPr>
            </w:pPr>
            <w:r>
              <w:rPr>
                <w:rFonts w:cs="Times New Roman"/>
                <w:b/>
                <w:szCs w:val="24"/>
              </w:rPr>
              <w:t>A</w:t>
            </w:r>
            <w:r w:rsidRPr="0046239D">
              <w:rPr>
                <w:rFonts w:cs="Times New Roman"/>
                <w:b/>
                <w:szCs w:val="24"/>
              </w:rPr>
              <w:t>cute gout flare</w:t>
            </w:r>
            <w:r w:rsidR="00C344A8">
              <w:rPr>
                <w:rFonts w:cs="Times New Roman"/>
                <w:b/>
                <w:szCs w:val="24"/>
              </w:rPr>
              <w:t>:</w:t>
            </w:r>
          </w:p>
          <w:p w14:paraId="2826E08C" w14:textId="77777777" w:rsidR="006E5981" w:rsidRPr="0046239D" w:rsidRDefault="006E5981" w:rsidP="002D6DD7">
            <w:pPr>
              <w:jc w:val="both"/>
              <w:rPr>
                <w:rFonts w:cs="Times New Roman"/>
                <w:bCs/>
                <w:szCs w:val="24"/>
              </w:rPr>
            </w:pPr>
            <w:r w:rsidRPr="0046239D">
              <w:rPr>
                <w:rFonts w:cs="Times New Roman"/>
                <w:bCs/>
                <w:szCs w:val="24"/>
              </w:rPr>
              <w:t xml:space="preserve">Initial </w:t>
            </w:r>
            <w:r>
              <w:rPr>
                <w:rFonts w:cs="Times New Roman"/>
                <w:bCs/>
                <w:szCs w:val="24"/>
              </w:rPr>
              <w:t>d</w:t>
            </w:r>
            <w:r w:rsidRPr="0046239D">
              <w:rPr>
                <w:rFonts w:cs="Times New Roman"/>
                <w:bCs/>
                <w:szCs w:val="24"/>
              </w:rPr>
              <w:t>ose: 15 mg once daily.</w:t>
            </w:r>
          </w:p>
          <w:p w14:paraId="7681258F" w14:textId="77777777" w:rsidR="006E5981" w:rsidRPr="0046239D" w:rsidRDefault="006E5981" w:rsidP="002D6DD7">
            <w:pPr>
              <w:jc w:val="both"/>
              <w:rPr>
                <w:rFonts w:cs="Times New Roman"/>
                <w:bCs/>
                <w:szCs w:val="24"/>
              </w:rPr>
            </w:pPr>
            <w:r w:rsidRPr="0046239D">
              <w:rPr>
                <w:rFonts w:cs="Times New Roman"/>
                <w:bCs/>
                <w:szCs w:val="24"/>
              </w:rPr>
              <w:t xml:space="preserve">Maintenance </w:t>
            </w:r>
            <w:r>
              <w:rPr>
                <w:rFonts w:cs="Times New Roman"/>
                <w:bCs/>
                <w:szCs w:val="24"/>
              </w:rPr>
              <w:t>d</w:t>
            </w:r>
            <w:r w:rsidRPr="0046239D">
              <w:rPr>
                <w:rFonts w:cs="Times New Roman"/>
                <w:bCs/>
                <w:szCs w:val="24"/>
              </w:rPr>
              <w:t>ose: Continue with 15 mg once daily until the acute flare has resolved.</w:t>
            </w:r>
          </w:p>
        </w:tc>
      </w:tr>
      <w:tr w:rsidR="006E5981" w:rsidRPr="0046239D" w14:paraId="58FA694C" w14:textId="77777777" w:rsidTr="002D6DD7">
        <w:tc>
          <w:tcPr>
            <w:tcW w:w="2605" w:type="dxa"/>
          </w:tcPr>
          <w:p w14:paraId="122C8682" w14:textId="77777777" w:rsidR="006E5981" w:rsidRPr="0046239D" w:rsidRDefault="006E5981" w:rsidP="002D6DD7">
            <w:pPr>
              <w:jc w:val="both"/>
              <w:rPr>
                <w:rFonts w:cs="Times New Roman"/>
                <w:szCs w:val="24"/>
              </w:rPr>
            </w:pPr>
            <w:r w:rsidRPr="0046239D">
              <w:rPr>
                <w:rFonts w:cs="Times New Roman"/>
                <w:szCs w:val="24"/>
              </w:rPr>
              <w:t>Contraindications</w:t>
            </w:r>
          </w:p>
        </w:tc>
        <w:tc>
          <w:tcPr>
            <w:tcW w:w="6750" w:type="dxa"/>
          </w:tcPr>
          <w:p w14:paraId="5130D223" w14:textId="77777777" w:rsidR="006E5981" w:rsidRPr="0046239D" w:rsidRDefault="006E5981" w:rsidP="002D6DD7">
            <w:pPr>
              <w:jc w:val="both"/>
              <w:rPr>
                <w:rFonts w:cs="Times New Roman"/>
                <w:szCs w:val="24"/>
              </w:rPr>
            </w:pPr>
            <w:r w:rsidRPr="0046239D">
              <w:rPr>
                <w:rFonts w:cs="Times New Roman"/>
                <w:szCs w:val="24"/>
              </w:rPr>
              <w:t>Hypersensitivity</w:t>
            </w:r>
            <w:r>
              <w:rPr>
                <w:rFonts w:cs="Times New Roman"/>
                <w:szCs w:val="24"/>
              </w:rPr>
              <w:t xml:space="preserve"> to the drug and other NSAID, a</w:t>
            </w:r>
            <w:r w:rsidRPr="0046239D">
              <w:rPr>
                <w:rFonts w:cs="Times New Roman"/>
                <w:szCs w:val="24"/>
              </w:rPr>
              <w:t xml:space="preserve">ctive </w:t>
            </w:r>
            <w:r>
              <w:rPr>
                <w:rFonts w:cs="Times New Roman"/>
                <w:szCs w:val="24"/>
              </w:rPr>
              <w:t>GI</w:t>
            </w:r>
            <w:r w:rsidRPr="0046239D">
              <w:rPr>
                <w:rFonts w:cs="Times New Roman"/>
                <w:szCs w:val="24"/>
              </w:rPr>
              <w:t xml:space="preserve"> bleeding, active </w:t>
            </w:r>
            <w:r>
              <w:rPr>
                <w:rFonts w:cs="Times New Roman"/>
                <w:szCs w:val="24"/>
              </w:rPr>
              <w:t>GI</w:t>
            </w:r>
            <w:r w:rsidRPr="0046239D">
              <w:rPr>
                <w:rFonts w:cs="Times New Roman"/>
                <w:szCs w:val="24"/>
              </w:rPr>
              <w:t xml:space="preserve"> ulceration, following </w:t>
            </w:r>
            <w:r>
              <w:rPr>
                <w:rFonts w:cs="Times New Roman"/>
                <w:szCs w:val="24"/>
              </w:rPr>
              <w:t>CABG</w:t>
            </w:r>
            <w:r w:rsidRPr="0046239D">
              <w:rPr>
                <w:rFonts w:cs="Times New Roman"/>
                <w:szCs w:val="24"/>
              </w:rPr>
              <w:t xml:space="preserve">, history of </w:t>
            </w:r>
            <w:r>
              <w:rPr>
                <w:rFonts w:cs="Times New Roman"/>
                <w:szCs w:val="24"/>
              </w:rPr>
              <w:t>GI</w:t>
            </w:r>
            <w:r w:rsidRPr="0046239D">
              <w:rPr>
                <w:rFonts w:cs="Times New Roman"/>
                <w:szCs w:val="24"/>
              </w:rPr>
              <w:t xml:space="preserve"> bleeding and perforation related to previous NSAID therapy, history of recurrent </w:t>
            </w:r>
            <w:r>
              <w:rPr>
                <w:rFonts w:cs="Times New Roman"/>
                <w:szCs w:val="24"/>
              </w:rPr>
              <w:t>GI</w:t>
            </w:r>
            <w:r w:rsidRPr="0046239D">
              <w:rPr>
                <w:rFonts w:cs="Times New Roman"/>
                <w:szCs w:val="24"/>
              </w:rPr>
              <w:t xml:space="preserve"> hemorrhage</w:t>
            </w:r>
            <w:r>
              <w:rPr>
                <w:rFonts w:cs="Times New Roman"/>
                <w:szCs w:val="24"/>
              </w:rPr>
              <w:t>/</w:t>
            </w:r>
            <w:r w:rsidRPr="0046239D">
              <w:rPr>
                <w:rFonts w:cs="Times New Roman"/>
                <w:szCs w:val="24"/>
              </w:rPr>
              <w:t xml:space="preserve">ulceration, severe heart failure, </w:t>
            </w:r>
          </w:p>
        </w:tc>
      </w:tr>
      <w:tr w:rsidR="006E5981" w:rsidRPr="0046239D" w14:paraId="3BEE4AA0" w14:textId="77777777" w:rsidTr="002D6DD7">
        <w:tc>
          <w:tcPr>
            <w:tcW w:w="2605" w:type="dxa"/>
          </w:tcPr>
          <w:p w14:paraId="19A6679F" w14:textId="77777777" w:rsidR="006E5981" w:rsidRPr="0046239D" w:rsidRDefault="006E5981" w:rsidP="002D6DD7">
            <w:pPr>
              <w:jc w:val="both"/>
              <w:rPr>
                <w:rFonts w:cs="Times New Roman"/>
                <w:szCs w:val="24"/>
              </w:rPr>
            </w:pPr>
            <w:r w:rsidRPr="0046239D">
              <w:rPr>
                <w:rFonts w:cs="Times New Roman"/>
                <w:szCs w:val="24"/>
              </w:rPr>
              <w:t>Drug interactions</w:t>
            </w:r>
          </w:p>
        </w:tc>
        <w:tc>
          <w:tcPr>
            <w:tcW w:w="6750" w:type="dxa"/>
          </w:tcPr>
          <w:p w14:paraId="1FE1FE87" w14:textId="77777777" w:rsidR="006E5981" w:rsidRPr="0046239D" w:rsidRDefault="006E5981" w:rsidP="002D6DD7">
            <w:pPr>
              <w:jc w:val="both"/>
              <w:rPr>
                <w:rFonts w:cs="Times New Roman"/>
                <w:szCs w:val="24"/>
              </w:rPr>
            </w:pPr>
            <w:r w:rsidRPr="0046239D">
              <w:rPr>
                <w:rFonts w:cs="Times New Roman"/>
                <w:szCs w:val="24"/>
              </w:rPr>
              <w:t>Captopril, enalapril, methotrexate</w:t>
            </w:r>
          </w:p>
        </w:tc>
      </w:tr>
      <w:tr w:rsidR="006E5981" w:rsidRPr="0046239D" w14:paraId="6D6B9603" w14:textId="77777777" w:rsidTr="002D6DD7">
        <w:tc>
          <w:tcPr>
            <w:tcW w:w="2605" w:type="dxa"/>
          </w:tcPr>
          <w:p w14:paraId="3FB19DD6"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1C01000C" w14:textId="77777777" w:rsidR="006E5981" w:rsidRPr="0046239D" w:rsidRDefault="006E5981" w:rsidP="002D6DD7">
            <w:pPr>
              <w:jc w:val="both"/>
              <w:rPr>
                <w:rFonts w:cs="Times New Roman"/>
                <w:szCs w:val="24"/>
              </w:rPr>
            </w:pPr>
            <w:r w:rsidRPr="0046239D">
              <w:rPr>
                <w:rFonts w:cs="Times New Roman"/>
                <w:szCs w:val="24"/>
              </w:rPr>
              <w:t xml:space="preserve">Constipation, diarrhea, gastrointestinal discomfort, headache, </w:t>
            </w:r>
            <w:r w:rsidRPr="0046239D">
              <w:rPr>
                <w:rFonts w:cs="Times New Roman"/>
                <w:szCs w:val="24"/>
              </w:rPr>
              <w:lastRenderedPageBreak/>
              <w:t>nausea, vomiting.</w:t>
            </w:r>
          </w:p>
        </w:tc>
      </w:tr>
      <w:tr w:rsidR="006E5981" w:rsidRPr="0046239D" w14:paraId="2ACA668B" w14:textId="77777777" w:rsidTr="002D6DD7">
        <w:tc>
          <w:tcPr>
            <w:tcW w:w="2605" w:type="dxa"/>
          </w:tcPr>
          <w:p w14:paraId="5366E022" w14:textId="77777777" w:rsidR="006E5981" w:rsidRPr="0046239D" w:rsidRDefault="006E5981" w:rsidP="002D6DD7">
            <w:pPr>
              <w:jc w:val="both"/>
              <w:rPr>
                <w:rFonts w:cs="Times New Roman"/>
                <w:szCs w:val="24"/>
              </w:rPr>
            </w:pPr>
            <w:r w:rsidRPr="0046239D">
              <w:rPr>
                <w:rFonts w:cs="Times New Roman"/>
                <w:szCs w:val="24"/>
              </w:rPr>
              <w:lastRenderedPageBreak/>
              <w:t xml:space="preserve">Cautions </w:t>
            </w:r>
          </w:p>
        </w:tc>
        <w:tc>
          <w:tcPr>
            <w:tcW w:w="6750" w:type="dxa"/>
          </w:tcPr>
          <w:p w14:paraId="2CB159AF" w14:textId="77777777" w:rsidR="006E5981" w:rsidRPr="0046239D" w:rsidRDefault="006E5981" w:rsidP="002D6DD7">
            <w:pPr>
              <w:jc w:val="both"/>
              <w:rPr>
                <w:rFonts w:cs="Times New Roman"/>
                <w:szCs w:val="24"/>
              </w:rPr>
            </w:pPr>
            <w:r w:rsidRPr="0046239D">
              <w:rPr>
                <w:rFonts w:cs="Times New Roman"/>
                <w:szCs w:val="24"/>
              </w:rPr>
              <w:t>Refer</w:t>
            </w:r>
            <w:r>
              <w:rPr>
                <w:rFonts w:cs="Times New Roman"/>
                <w:szCs w:val="24"/>
              </w:rPr>
              <w:t xml:space="preserve"> to</w:t>
            </w:r>
            <w:r w:rsidRPr="0046239D">
              <w:rPr>
                <w:rFonts w:cs="Times New Roman"/>
                <w:szCs w:val="24"/>
              </w:rPr>
              <w:t xml:space="preserve"> Indomethacin </w:t>
            </w:r>
            <w:r>
              <w:rPr>
                <w:rFonts w:cs="Times New Roman"/>
                <w:szCs w:val="24"/>
              </w:rPr>
              <w:t xml:space="preserve">monograph, </w:t>
            </w:r>
            <w:r w:rsidRPr="0046239D">
              <w:rPr>
                <w:rFonts w:cs="Times New Roman"/>
                <w:szCs w:val="24"/>
              </w:rPr>
              <w:t>elderly</w:t>
            </w:r>
          </w:p>
        </w:tc>
      </w:tr>
      <w:tr w:rsidR="006E5981" w:rsidRPr="0046239D" w14:paraId="029E409B" w14:textId="77777777" w:rsidTr="002D6DD7">
        <w:tc>
          <w:tcPr>
            <w:tcW w:w="2605" w:type="dxa"/>
          </w:tcPr>
          <w:p w14:paraId="31CC9F6A" w14:textId="77777777" w:rsidR="006E5981" w:rsidRPr="0046239D" w:rsidRDefault="006E5981" w:rsidP="002D6DD7">
            <w:pPr>
              <w:jc w:val="both"/>
              <w:rPr>
                <w:rFonts w:cs="Times New Roman"/>
                <w:szCs w:val="24"/>
              </w:rPr>
            </w:pPr>
            <w:r w:rsidRPr="0046239D">
              <w:rPr>
                <w:rFonts w:cs="Times New Roman"/>
                <w:szCs w:val="24"/>
              </w:rPr>
              <w:t>Storage condition</w:t>
            </w:r>
          </w:p>
        </w:tc>
        <w:tc>
          <w:tcPr>
            <w:tcW w:w="6750" w:type="dxa"/>
          </w:tcPr>
          <w:p w14:paraId="120C72D6" w14:textId="77777777" w:rsidR="006E5981" w:rsidRPr="0046239D" w:rsidRDefault="006E5981" w:rsidP="002D6DD7">
            <w:pPr>
              <w:jc w:val="both"/>
              <w:rPr>
                <w:rFonts w:cs="Times New Roman"/>
                <w:szCs w:val="24"/>
              </w:rPr>
            </w:pPr>
            <w:r w:rsidRPr="0046239D">
              <w:rPr>
                <w:rFonts w:cs="Times New Roman"/>
                <w:szCs w:val="24"/>
              </w:rPr>
              <w:t>Store below 30</w:t>
            </w:r>
            <w:r w:rsidRPr="0046239D">
              <w:rPr>
                <w:rFonts w:cs="Times New Roman"/>
                <w:szCs w:val="24"/>
                <w:vertAlign w:val="superscript"/>
              </w:rPr>
              <w:t>0</w:t>
            </w:r>
            <w:r w:rsidRPr="0046239D">
              <w:rPr>
                <w:rFonts w:cs="Times New Roman"/>
                <w:szCs w:val="24"/>
              </w:rPr>
              <w:t>C</w:t>
            </w:r>
          </w:p>
        </w:tc>
      </w:tr>
      <w:tr w:rsidR="006E5981" w:rsidRPr="0046239D" w14:paraId="6F7BEE7A" w14:textId="77777777" w:rsidTr="002D6DD7">
        <w:tc>
          <w:tcPr>
            <w:tcW w:w="9355" w:type="dxa"/>
            <w:gridSpan w:val="2"/>
          </w:tcPr>
          <w:p w14:paraId="0C212B04" w14:textId="77777777" w:rsidR="006E5981" w:rsidRPr="0046239D" w:rsidRDefault="006E5981" w:rsidP="002D6DD7">
            <w:pPr>
              <w:jc w:val="both"/>
              <w:rPr>
                <w:rFonts w:cs="Times New Roman"/>
                <w:b/>
                <w:bCs/>
                <w:szCs w:val="24"/>
              </w:rPr>
            </w:pPr>
            <w:bookmarkStart w:id="99" w:name="_Toc168337701"/>
            <w:r w:rsidRPr="0046239D">
              <w:rPr>
                <w:rFonts w:cs="Times New Roman"/>
                <w:b/>
                <w:bCs/>
                <w:szCs w:val="24"/>
              </w:rPr>
              <w:t>Prednisolone</w:t>
            </w:r>
            <w:bookmarkEnd w:id="99"/>
          </w:p>
        </w:tc>
      </w:tr>
      <w:tr w:rsidR="006E5981" w:rsidRPr="0046239D" w14:paraId="11E16943" w14:textId="77777777" w:rsidTr="002D6DD7">
        <w:tc>
          <w:tcPr>
            <w:tcW w:w="2605" w:type="dxa"/>
          </w:tcPr>
          <w:p w14:paraId="0078ADBC"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30ADAD63" w14:textId="77777777" w:rsidR="006E5981" w:rsidRPr="0046239D" w:rsidRDefault="006E5981" w:rsidP="002D6DD7">
            <w:pPr>
              <w:jc w:val="both"/>
              <w:rPr>
                <w:rFonts w:cs="Times New Roman"/>
                <w:szCs w:val="24"/>
              </w:rPr>
            </w:pPr>
            <w:r w:rsidRPr="0046239D">
              <w:rPr>
                <w:rFonts w:cs="Times New Roman"/>
                <w:szCs w:val="24"/>
              </w:rPr>
              <w:t>Corticosteroid</w:t>
            </w:r>
          </w:p>
        </w:tc>
      </w:tr>
      <w:tr w:rsidR="006E5981" w:rsidRPr="0046239D" w14:paraId="7EF87079" w14:textId="77777777" w:rsidTr="002D6DD7">
        <w:tc>
          <w:tcPr>
            <w:tcW w:w="2605" w:type="dxa"/>
          </w:tcPr>
          <w:p w14:paraId="0F8FFA75"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218824CC" w14:textId="77777777" w:rsidR="006E5981" w:rsidRPr="0046239D" w:rsidRDefault="006E5981" w:rsidP="002D6DD7">
            <w:pPr>
              <w:jc w:val="both"/>
              <w:rPr>
                <w:rFonts w:cs="Times New Roman"/>
                <w:szCs w:val="24"/>
              </w:rPr>
            </w:pPr>
            <w:r w:rsidRPr="0046239D">
              <w:rPr>
                <w:rFonts w:cs="Times New Roman"/>
                <w:szCs w:val="24"/>
              </w:rPr>
              <w:t>Tablet: 5mg</w:t>
            </w:r>
          </w:p>
        </w:tc>
      </w:tr>
      <w:tr w:rsidR="006E5981" w:rsidRPr="0046239D" w14:paraId="65395169" w14:textId="77777777" w:rsidTr="002D6DD7">
        <w:tc>
          <w:tcPr>
            <w:tcW w:w="2605" w:type="dxa"/>
          </w:tcPr>
          <w:p w14:paraId="1BFFC9A8" w14:textId="77777777" w:rsidR="006E5981" w:rsidRPr="0046239D" w:rsidRDefault="006E5981" w:rsidP="002D6DD7">
            <w:pPr>
              <w:jc w:val="both"/>
              <w:rPr>
                <w:rFonts w:cs="Times New Roman"/>
                <w:szCs w:val="24"/>
              </w:rPr>
            </w:pPr>
            <w:r w:rsidRPr="0046239D">
              <w:rPr>
                <w:rFonts w:cs="Times New Roman"/>
                <w:szCs w:val="24"/>
              </w:rPr>
              <w:t>Indications</w:t>
            </w:r>
          </w:p>
        </w:tc>
        <w:tc>
          <w:tcPr>
            <w:tcW w:w="6750" w:type="dxa"/>
          </w:tcPr>
          <w:p w14:paraId="3EE7FF48" w14:textId="77777777" w:rsidR="006E5981" w:rsidRPr="0046239D" w:rsidRDefault="006E5981" w:rsidP="002D6DD7">
            <w:pPr>
              <w:jc w:val="both"/>
              <w:rPr>
                <w:rFonts w:cs="Times New Roman"/>
                <w:szCs w:val="24"/>
              </w:rPr>
            </w:pPr>
            <w:r w:rsidRPr="0046239D">
              <w:rPr>
                <w:rFonts w:cs="Times New Roman"/>
                <w:szCs w:val="24"/>
              </w:rPr>
              <w:t>Suppression of inflammatory and allergic disorders</w:t>
            </w:r>
          </w:p>
        </w:tc>
      </w:tr>
      <w:tr w:rsidR="006E5981" w:rsidRPr="0046239D" w14:paraId="711FE681" w14:textId="77777777" w:rsidTr="002D6DD7">
        <w:tc>
          <w:tcPr>
            <w:tcW w:w="2605" w:type="dxa"/>
          </w:tcPr>
          <w:p w14:paraId="62F50455"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6CB40CE3" w14:textId="77777777" w:rsidR="006E5981" w:rsidRPr="0046239D" w:rsidRDefault="006E5981" w:rsidP="002D6DD7">
            <w:pPr>
              <w:jc w:val="both"/>
              <w:rPr>
                <w:rFonts w:cs="Times New Roman"/>
                <w:b/>
                <w:bCs/>
                <w:szCs w:val="24"/>
              </w:rPr>
            </w:pPr>
            <w:r w:rsidRPr="0046239D">
              <w:rPr>
                <w:rFonts w:cs="Times New Roman"/>
                <w:b/>
                <w:bCs/>
                <w:szCs w:val="24"/>
              </w:rPr>
              <w:t>Acute gout flare</w:t>
            </w:r>
          </w:p>
          <w:p w14:paraId="525F62C4" w14:textId="77777777" w:rsidR="006E5981" w:rsidRPr="0046239D" w:rsidRDefault="006E5981" w:rsidP="002D6DD7">
            <w:pPr>
              <w:jc w:val="both"/>
              <w:rPr>
                <w:rFonts w:cs="Times New Roman"/>
                <w:szCs w:val="24"/>
              </w:rPr>
            </w:pPr>
            <w:r w:rsidRPr="0046239D">
              <w:rPr>
                <w:rFonts w:cs="Times New Roman"/>
                <w:szCs w:val="24"/>
              </w:rPr>
              <w:t>Initial Dose: 30-60 mg once daily.</w:t>
            </w:r>
          </w:p>
          <w:p w14:paraId="305CCE3F" w14:textId="77777777" w:rsidR="006E5981" w:rsidRPr="0046239D" w:rsidRDefault="006E5981" w:rsidP="002D6DD7">
            <w:pPr>
              <w:jc w:val="both"/>
              <w:rPr>
                <w:rFonts w:cs="Times New Roman"/>
                <w:szCs w:val="24"/>
              </w:rPr>
            </w:pPr>
            <w:r w:rsidRPr="0046239D">
              <w:rPr>
                <w:rFonts w:cs="Times New Roman"/>
                <w:szCs w:val="24"/>
              </w:rPr>
              <w:t>Duration: Typically prescribed for 5-10 days.</w:t>
            </w:r>
          </w:p>
          <w:p w14:paraId="736126F1" w14:textId="77777777" w:rsidR="006E5981" w:rsidRPr="0046239D" w:rsidRDefault="006E5981" w:rsidP="002D6DD7">
            <w:pPr>
              <w:jc w:val="both"/>
              <w:rPr>
                <w:rFonts w:cs="Times New Roman"/>
                <w:szCs w:val="24"/>
              </w:rPr>
            </w:pPr>
            <w:r w:rsidRPr="0046239D">
              <w:rPr>
                <w:rFonts w:cs="Times New Roman"/>
                <w:szCs w:val="24"/>
              </w:rPr>
              <w:t>Tapering: If used for more than a few days, the dose may need to be tapered to prevent withdrawal symptoms.</w:t>
            </w:r>
          </w:p>
        </w:tc>
      </w:tr>
      <w:tr w:rsidR="006E5981" w:rsidRPr="0046239D" w14:paraId="5F79FA03" w14:textId="77777777" w:rsidTr="002D6DD7">
        <w:tc>
          <w:tcPr>
            <w:tcW w:w="2605" w:type="dxa"/>
          </w:tcPr>
          <w:p w14:paraId="6FDAE5E9" w14:textId="77777777" w:rsidR="006E5981" w:rsidRPr="0046239D" w:rsidRDefault="006E5981" w:rsidP="002D6DD7">
            <w:pPr>
              <w:jc w:val="both"/>
              <w:rPr>
                <w:rFonts w:cs="Times New Roman"/>
                <w:szCs w:val="24"/>
              </w:rPr>
            </w:pPr>
            <w:r w:rsidRPr="0046239D">
              <w:rPr>
                <w:rFonts w:cs="Times New Roman"/>
                <w:szCs w:val="24"/>
              </w:rPr>
              <w:t>Contraindications</w:t>
            </w:r>
          </w:p>
        </w:tc>
        <w:tc>
          <w:tcPr>
            <w:tcW w:w="6750" w:type="dxa"/>
          </w:tcPr>
          <w:p w14:paraId="3BB31002" w14:textId="77777777" w:rsidR="006E5981" w:rsidRPr="0046239D" w:rsidRDefault="006E5981" w:rsidP="002D6DD7">
            <w:pPr>
              <w:jc w:val="both"/>
              <w:rPr>
                <w:rFonts w:cs="Times New Roman"/>
                <w:szCs w:val="24"/>
              </w:rPr>
            </w:pPr>
            <w:r w:rsidRPr="0046239D">
              <w:rPr>
                <w:rFonts w:cs="Times New Roman"/>
                <w:szCs w:val="24"/>
              </w:rPr>
              <w:t>Hypersensitivity</w:t>
            </w:r>
            <w:r>
              <w:rPr>
                <w:rFonts w:cs="Times New Roman"/>
                <w:szCs w:val="24"/>
              </w:rPr>
              <w:t xml:space="preserve"> to the drug</w:t>
            </w:r>
            <w:r w:rsidRPr="0046239D">
              <w:rPr>
                <w:rFonts w:cs="Times New Roman"/>
                <w:szCs w:val="24"/>
              </w:rPr>
              <w:t xml:space="preserve">, untreated bacterial, viral, and fungal infections </w:t>
            </w:r>
          </w:p>
        </w:tc>
      </w:tr>
      <w:tr w:rsidR="006E5981" w:rsidRPr="0046239D" w14:paraId="1969BDC3" w14:textId="77777777" w:rsidTr="002D6DD7">
        <w:tc>
          <w:tcPr>
            <w:tcW w:w="2605" w:type="dxa"/>
          </w:tcPr>
          <w:p w14:paraId="65792466" w14:textId="77777777" w:rsidR="006E5981" w:rsidRPr="0046239D" w:rsidRDefault="006E5981" w:rsidP="002D6DD7">
            <w:pPr>
              <w:jc w:val="both"/>
              <w:rPr>
                <w:rFonts w:cs="Times New Roman"/>
                <w:szCs w:val="24"/>
              </w:rPr>
            </w:pPr>
            <w:r w:rsidRPr="0046239D">
              <w:rPr>
                <w:rFonts w:cs="Times New Roman"/>
                <w:szCs w:val="24"/>
              </w:rPr>
              <w:t>Drug interactions</w:t>
            </w:r>
          </w:p>
        </w:tc>
        <w:tc>
          <w:tcPr>
            <w:tcW w:w="6750" w:type="dxa"/>
          </w:tcPr>
          <w:p w14:paraId="737638B0" w14:textId="77777777" w:rsidR="006E5981" w:rsidRPr="0046239D" w:rsidRDefault="006E5981" w:rsidP="002D6DD7">
            <w:pPr>
              <w:jc w:val="both"/>
              <w:rPr>
                <w:rFonts w:cs="Times New Roman"/>
                <w:szCs w:val="24"/>
              </w:rPr>
            </w:pPr>
            <w:r w:rsidRPr="0046239D">
              <w:rPr>
                <w:rFonts w:cs="Times New Roman"/>
                <w:szCs w:val="24"/>
              </w:rPr>
              <w:t>Mifepristone, carbamazepine, vaccines (live virus), erythromycin, metoprolol succinate, aspirin, esomeprazole, furosemide, albuterol, atorvastatin, hydroxychloroquine, pregabalin, cetirizine</w:t>
            </w:r>
            <w:r w:rsidR="00C344A8">
              <w:rPr>
                <w:rFonts w:cs="Times New Roman"/>
                <w:szCs w:val="24"/>
              </w:rPr>
              <w:t>.</w:t>
            </w:r>
          </w:p>
        </w:tc>
      </w:tr>
      <w:tr w:rsidR="006E5981" w:rsidRPr="0046239D" w14:paraId="36AE474B" w14:textId="77777777" w:rsidTr="002D6DD7">
        <w:tc>
          <w:tcPr>
            <w:tcW w:w="2605" w:type="dxa"/>
          </w:tcPr>
          <w:p w14:paraId="08A1A534"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3C4B7AAE" w14:textId="77777777" w:rsidR="006E5981" w:rsidRPr="0046239D" w:rsidRDefault="006E5981" w:rsidP="002D6DD7">
            <w:pPr>
              <w:jc w:val="both"/>
              <w:rPr>
                <w:rFonts w:cs="Times New Roman"/>
                <w:szCs w:val="24"/>
              </w:rPr>
            </w:pPr>
            <w:r w:rsidRPr="0046239D">
              <w:rPr>
                <w:rFonts w:cs="Times New Roman"/>
                <w:szCs w:val="24"/>
              </w:rPr>
              <w:t>GI effects including dyspepsia, esophageal ulceration, development or aggravation of peptic ulcers, abdominal distension, acute pancreatitis, increased appetite and weight gain, fluid retention</w:t>
            </w:r>
            <w:r>
              <w:rPr>
                <w:rFonts w:cs="Times New Roman"/>
                <w:szCs w:val="24"/>
              </w:rPr>
              <w:t xml:space="preserve">, </w:t>
            </w:r>
            <w:r w:rsidRPr="0046239D">
              <w:rPr>
                <w:rFonts w:cs="Times New Roman"/>
                <w:szCs w:val="24"/>
              </w:rPr>
              <w:t>dizziness, spinning sensation, changes in menstrual periods, headache, muscle pain or weakness, stomach discomfort, osteoporosis, increased risk of infection, psychiatric disturbances (mood swings, depression), hypertension, cataracts, glaucoma, hyperglycemia</w:t>
            </w:r>
            <w:r w:rsidR="00C344A8">
              <w:rPr>
                <w:rFonts w:cs="Times New Roman"/>
                <w:szCs w:val="24"/>
              </w:rPr>
              <w:t>.</w:t>
            </w:r>
          </w:p>
        </w:tc>
      </w:tr>
      <w:tr w:rsidR="006E5981" w:rsidRPr="0046239D" w14:paraId="0758152A" w14:textId="77777777" w:rsidTr="002D6DD7">
        <w:tc>
          <w:tcPr>
            <w:tcW w:w="2605" w:type="dxa"/>
          </w:tcPr>
          <w:p w14:paraId="56F1D92B" w14:textId="77777777" w:rsidR="006E5981" w:rsidRPr="0046239D" w:rsidRDefault="006E5981" w:rsidP="002D6DD7">
            <w:pPr>
              <w:jc w:val="both"/>
              <w:rPr>
                <w:rFonts w:cs="Times New Roman"/>
                <w:szCs w:val="24"/>
              </w:rPr>
            </w:pPr>
            <w:r w:rsidRPr="0046239D">
              <w:rPr>
                <w:rFonts w:cs="Times New Roman"/>
                <w:szCs w:val="24"/>
              </w:rPr>
              <w:t xml:space="preserve">Cautions </w:t>
            </w:r>
          </w:p>
        </w:tc>
        <w:tc>
          <w:tcPr>
            <w:tcW w:w="6750" w:type="dxa"/>
          </w:tcPr>
          <w:p w14:paraId="1725270E" w14:textId="77777777" w:rsidR="006E5981" w:rsidRPr="0046239D" w:rsidRDefault="006E5981" w:rsidP="002D6DD7">
            <w:pPr>
              <w:jc w:val="both"/>
              <w:rPr>
                <w:rFonts w:cs="Times New Roman"/>
                <w:szCs w:val="24"/>
              </w:rPr>
            </w:pPr>
            <w:r w:rsidRPr="0046239D">
              <w:rPr>
                <w:rFonts w:cs="Times New Roman"/>
                <w:szCs w:val="24"/>
              </w:rPr>
              <w:t>Cirrhosis, diabetes, ocular herpes simplex, hypertension, diverticulitis, myocardial infarction, seizure, hypothyroidism, myasthenia gravis, hepatic impairment, peptic ulcer disease, osteoporosis, ulcerative colitis, psychotic tendencies, untreated systemic infections, renal insufficiency, varicella, live vaccines</w:t>
            </w:r>
            <w:r>
              <w:rPr>
                <w:rFonts w:cs="Times New Roman"/>
                <w:szCs w:val="24"/>
              </w:rPr>
              <w:t xml:space="preserve">, </w:t>
            </w:r>
            <w:r w:rsidRPr="0046239D">
              <w:rPr>
                <w:rFonts w:cs="Times New Roman"/>
                <w:szCs w:val="24"/>
              </w:rPr>
              <w:lastRenderedPageBreak/>
              <w:t>pregnancy</w:t>
            </w:r>
            <w:r w:rsidR="00C344A8">
              <w:rPr>
                <w:rFonts w:cs="Times New Roman"/>
                <w:szCs w:val="24"/>
              </w:rPr>
              <w:t>.</w:t>
            </w:r>
          </w:p>
        </w:tc>
      </w:tr>
      <w:tr w:rsidR="006E5981" w:rsidRPr="0046239D" w14:paraId="16BD5182" w14:textId="77777777" w:rsidTr="002D6DD7">
        <w:tc>
          <w:tcPr>
            <w:tcW w:w="2605" w:type="dxa"/>
          </w:tcPr>
          <w:p w14:paraId="59308DE6" w14:textId="77777777" w:rsidR="006E5981" w:rsidRPr="0046239D" w:rsidRDefault="006E5981" w:rsidP="002D6DD7">
            <w:pPr>
              <w:jc w:val="both"/>
              <w:rPr>
                <w:rFonts w:cs="Times New Roman"/>
                <w:szCs w:val="24"/>
              </w:rPr>
            </w:pPr>
            <w:r w:rsidRPr="0046239D">
              <w:rPr>
                <w:rFonts w:cs="Times New Roman"/>
                <w:szCs w:val="24"/>
              </w:rPr>
              <w:lastRenderedPageBreak/>
              <w:t>Storage condition</w:t>
            </w:r>
          </w:p>
        </w:tc>
        <w:tc>
          <w:tcPr>
            <w:tcW w:w="6750" w:type="dxa"/>
          </w:tcPr>
          <w:p w14:paraId="36C09FC0" w14:textId="77777777" w:rsidR="006E5981" w:rsidRPr="0046239D" w:rsidRDefault="006E5981" w:rsidP="002D6DD7">
            <w:pPr>
              <w:jc w:val="both"/>
              <w:rPr>
                <w:rFonts w:cs="Times New Roman"/>
                <w:szCs w:val="24"/>
              </w:rPr>
            </w:pPr>
            <w:r w:rsidRPr="0046239D">
              <w:rPr>
                <w:rFonts w:cs="Times New Roman"/>
                <w:szCs w:val="24"/>
              </w:rPr>
              <w:t>Store below 30°C.</w:t>
            </w:r>
          </w:p>
        </w:tc>
      </w:tr>
      <w:tr w:rsidR="006E5981" w:rsidRPr="0046239D" w14:paraId="4D43215C" w14:textId="77777777" w:rsidTr="002D6DD7">
        <w:tc>
          <w:tcPr>
            <w:tcW w:w="9355" w:type="dxa"/>
            <w:gridSpan w:val="2"/>
          </w:tcPr>
          <w:p w14:paraId="77ECAA03" w14:textId="77777777" w:rsidR="006E5981" w:rsidRPr="0046239D" w:rsidRDefault="006E5981" w:rsidP="002D6DD7">
            <w:pPr>
              <w:jc w:val="both"/>
              <w:rPr>
                <w:rFonts w:cs="Times New Roman"/>
                <w:b/>
                <w:bCs/>
                <w:szCs w:val="24"/>
              </w:rPr>
            </w:pPr>
            <w:bookmarkStart w:id="100" w:name="_Toc168337702"/>
            <w:r w:rsidRPr="0046239D">
              <w:rPr>
                <w:rFonts w:cs="Times New Roman"/>
                <w:b/>
                <w:bCs/>
                <w:szCs w:val="24"/>
              </w:rPr>
              <w:t>Triamcinolone acetonide</w:t>
            </w:r>
            <w:bookmarkEnd w:id="100"/>
          </w:p>
        </w:tc>
      </w:tr>
      <w:tr w:rsidR="006E5981" w:rsidRPr="0046239D" w14:paraId="4BEBF205" w14:textId="77777777" w:rsidTr="002D6DD7">
        <w:tc>
          <w:tcPr>
            <w:tcW w:w="2605" w:type="dxa"/>
          </w:tcPr>
          <w:p w14:paraId="2363B265" w14:textId="77777777" w:rsidR="006E5981" w:rsidRPr="0046239D" w:rsidRDefault="006E5981" w:rsidP="002D6DD7">
            <w:pPr>
              <w:jc w:val="both"/>
              <w:rPr>
                <w:rFonts w:cs="Times New Roman"/>
                <w:szCs w:val="24"/>
              </w:rPr>
            </w:pPr>
            <w:r w:rsidRPr="0046239D">
              <w:rPr>
                <w:rFonts w:cs="Times New Roman"/>
                <w:szCs w:val="24"/>
              </w:rPr>
              <w:t>Pharmacological class</w:t>
            </w:r>
          </w:p>
        </w:tc>
        <w:tc>
          <w:tcPr>
            <w:tcW w:w="6750" w:type="dxa"/>
          </w:tcPr>
          <w:p w14:paraId="42BF9CB7" w14:textId="77777777" w:rsidR="006E5981" w:rsidRPr="0046239D" w:rsidRDefault="006E5981" w:rsidP="002D6DD7">
            <w:pPr>
              <w:jc w:val="both"/>
              <w:rPr>
                <w:rFonts w:cs="Times New Roman"/>
                <w:szCs w:val="24"/>
              </w:rPr>
            </w:pPr>
            <w:r w:rsidRPr="0046239D">
              <w:rPr>
                <w:rFonts w:cs="Times New Roman"/>
                <w:szCs w:val="24"/>
              </w:rPr>
              <w:t>Corticosteroid</w:t>
            </w:r>
          </w:p>
        </w:tc>
      </w:tr>
      <w:tr w:rsidR="006E5981" w:rsidRPr="0046239D" w14:paraId="2B7DC664" w14:textId="77777777" w:rsidTr="002D6DD7">
        <w:tc>
          <w:tcPr>
            <w:tcW w:w="2605" w:type="dxa"/>
          </w:tcPr>
          <w:p w14:paraId="35B085FB" w14:textId="77777777" w:rsidR="006E5981" w:rsidRPr="0046239D" w:rsidRDefault="006E5981" w:rsidP="002D6DD7">
            <w:pPr>
              <w:jc w:val="both"/>
              <w:rPr>
                <w:rFonts w:cs="Times New Roman"/>
                <w:szCs w:val="24"/>
              </w:rPr>
            </w:pPr>
            <w:r w:rsidRPr="0046239D">
              <w:rPr>
                <w:rFonts w:cs="Times New Roman"/>
                <w:szCs w:val="24"/>
              </w:rPr>
              <w:t>Dosage form</w:t>
            </w:r>
          </w:p>
        </w:tc>
        <w:tc>
          <w:tcPr>
            <w:tcW w:w="6750" w:type="dxa"/>
          </w:tcPr>
          <w:p w14:paraId="5010B1B1" w14:textId="77777777" w:rsidR="006E5981" w:rsidRPr="0046239D" w:rsidRDefault="006E5981" w:rsidP="002D6DD7">
            <w:pPr>
              <w:jc w:val="both"/>
              <w:rPr>
                <w:rFonts w:cs="Times New Roman"/>
                <w:szCs w:val="24"/>
              </w:rPr>
            </w:pPr>
            <w:r w:rsidRPr="0046239D">
              <w:rPr>
                <w:rFonts w:cs="Times New Roman"/>
                <w:szCs w:val="24"/>
              </w:rPr>
              <w:t>Injection: 40mg/ml in Vial</w:t>
            </w:r>
          </w:p>
        </w:tc>
      </w:tr>
      <w:tr w:rsidR="006E5981" w:rsidRPr="0046239D" w14:paraId="1B0751A3" w14:textId="77777777" w:rsidTr="002D6DD7">
        <w:tc>
          <w:tcPr>
            <w:tcW w:w="2605" w:type="dxa"/>
          </w:tcPr>
          <w:p w14:paraId="1330C42C" w14:textId="77777777" w:rsidR="006E5981" w:rsidRPr="0046239D" w:rsidRDefault="006E5981" w:rsidP="002D6DD7">
            <w:pPr>
              <w:jc w:val="both"/>
              <w:rPr>
                <w:rFonts w:cs="Times New Roman"/>
                <w:szCs w:val="24"/>
              </w:rPr>
            </w:pPr>
            <w:r w:rsidRPr="0046239D">
              <w:rPr>
                <w:rFonts w:cs="Times New Roman"/>
                <w:szCs w:val="24"/>
              </w:rPr>
              <w:t>Indications</w:t>
            </w:r>
          </w:p>
        </w:tc>
        <w:tc>
          <w:tcPr>
            <w:tcW w:w="6750" w:type="dxa"/>
          </w:tcPr>
          <w:p w14:paraId="50E2774B" w14:textId="77777777" w:rsidR="006E5981" w:rsidRPr="0046239D" w:rsidRDefault="006E5981" w:rsidP="002D6DD7">
            <w:pPr>
              <w:jc w:val="both"/>
              <w:rPr>
                <w:rFonts w:cs="Times New Roman"/>
                <w:szCs w:val="24"/>
              </w:rPr>
            </w:pPr>
            <w:r w:rsidRPr="0046239D">
              <w:rPr>
                <w:rFonts w:cs="Times New Roman"/>
                <w:szCs w:val="24"/>
              </w:rPr>
              <w:t>Suppression of inflammatory and allergic disorders</w:t>
            </w:r>
            <w:r>
              <w:rPr>
                <w:rFonts w:cs="Times New Roman"/>
                <w:szCs w:val="24"/>
              </w:rPr>
              <w:t xml:space="preserve"> including</w:t>
            </w:r>
            <w:r w:rsidRPr="0046239D">
              <w:rPr>
                <w:rFonts w:cs="Times New Roman"/>
                <w:szCs w:val="24"/>
              </w:rPr>
              <w:t xml:space="preserve"> skin conditions, ulcerative colitis, arthritis, lupus, psoriasis, or breathing disorders.</w:t>
            </w:r>
          </w:p>
        </w:tc>
      </w:tr>
      <w:tr w:rsidR="006E5981" w:rsidRPr="0046239D" w14:paraId="5462A732" w14:textId="77777777" w:rsidTr="002D6DD7">
        <w:tc>
          <w:tcPr>
            <w:tcW w:w="2605" w:type="dxa"/>
          </w:tcPr>
          <w:p w14:paraId="02D3A872" w14:textId="77777777" w:rsidR="006E5981" w:rsidRPr="0046239D" w:rsidRDefault="006E5981" w:rsidP="002D6DD7">
            <w:pPr>
              <w:rPr>
                <w:rFonts w:cs="Times New Roman"/>
                <w:szCs w:val="24"/>
              </w:rPr>
            </w:pPr>
            <w:r w:rsidRPr="0046239D">
              <w:rPr>
                <w:rFonts w:eastAsia="Times New Roman" w:cs="Times New Roman"/>
                <w:szCs w:val="24"/>
              </w:rPr>
              <w:t>Dose and administration</w:t>
            </w:r>
          </w:p>
        </w:tc>
        <w:tc>
          <w:tcPr>
            <w:tcW w:w="6750" w:type="dxa"/>
          </w:tcPr>
          <w:p w14:paraId="0CF1C2CF" w14:textId="77777777" w:rsidR="006E5981" w:rsidRPr="0046239D" w:rsidRDefault="006E5981" w:rsidP="002D6DD7">
            <w:pPr>
              <w:jc w:val="both"/>
              <w:rPr>
                <w:rFonts w:cs="Times New Roman"/>
                <w:b/>
                <w:szCs w:val="24"/>
              </w:rPr>
            </w:pPr>
            <w:r w:rsidRPr="0046239D">
              <w:rPr>
                <w:rFonts w:cs="Times New Roman"/>
                <w:b/>
                <w:szCs w:val="24"/>
              </w:rPr>
              <w:t xml:space="preserve">Acute gout flare, </w:t>
            </w:r>
            <w:r>
              <w:rPr>
                <w:rFonts w:cs="Times New Roman"/>
                <w:b/>
                <w:szCs w:val="24"/>
              </w:rPr>
              <w:t>A</w:t>
            </w:r>
            <w:r w:rsidRPr="0046239D">
              <w:rPr>
                <w:rFonts w:cs="Times New Roman"/>
                <w:b/>
                <w:szCs w:val="24"/>
              </w:rPr>
              <w:t>dult:</w:t>
            </w:r>
          </w:p>
          <w:p w14:paraId="31CB24D1" w14:textId="77777777" w:rsidR="006E5981" w:rsidRPr="0046239D" w:rsidRDefault="006E5981" w:rsidP="002D6DD7">
            <w:pPr>
              <w:jc w:val="both"/>
              <w:rPr>
                <w:rFonts w:cs="Times New Roman"/>
                <w:bCs/>
                <w:szCs w:val="24"/>
              </w:rPr>
            </w:pPr>
            <w:r w:rsidRPr="0046239D">
              <w:rPr>
                <w:rFonts w:cs="Times New Roman"/>
                <w:bCs/>
                <w:szCs w:val="24"/>
              </w:rPr>
              <w:t>IM Injection</w:t>
            </w:r>
            <w:r w:rsidR="00C344A8">
              <w:rPr>
                <w:rFonts w:cs="Times New Roman"/>
                <w:bCs/>
                <w:szCs w:val="24"/>
              </w:rPr>
              <w:t>:</w:t>
            </w:r>
          </w:p>
          <w:p w14:paraId="59503770" w14:textId="77777777" w:rsidR="006E5981" w:rsidRPr="0046239D" w:rsidRDefault="006E5981" w:rsidP="002D6DD7">
            <w:pPr>
              <w:jc w:val="both"/>
              <w:rPr>
                <w:rFonts w:cs="Times New Roman"/>
                <w:bCs/>
                <w:szCs w:val="24"/>
              </w:rPr>
            </w:pPr>
            <w:r w:rsidRPr="0046239D">
              <w:rPr>
                <w:rFonts w:cs="Times New Roman"/>
                <w:bCs/>
                <w:szCs w:val="24"/>
              </w:rPr>
              <w:t>Dose: 60 mg as a single injection. In some cases, a higher dose of up to 80 mg may be used, depending on the severity of the flare and the patient’s response.</w:t>
            </w:r>
          </w:p>
          <w:p w14:paraId="756BA641" w14:textId="77777777" w:rsidR="006E5981" w:rsidRPr="0046239D" w:rsidRDefault="006E5981" w:rsidP="002D6DD7">
            <w:pPr>
              <w:jc w:val="both"/>
              <w:rPr>
                <w:rFonts w:cs="Times New Roman"/>
                <w:bCs/>
                <w:szCs w:val="24"/>
              </w:rPr>
            </w:pPr>
            <w:r w:rsidRPr="0046239D">
              <w:rPr>
                <w:rFonts w:cs="Times New Roman"/>
                <w:bCs/>
                <w:szCs w:val="24"/>
              </w:rPr>
              <w:t>Intra-articular Injection</w:t>
            </w:r>
            <w:r w:rsidR="00C344A8">
              <w:rPr>
                <w:rFonts w:cs="Times New Roman"/>
                <w:bCs/>
                <w:szCs w:val="24"/>
              </w:rPr>
              <w:t>:</w:t>
            </w:r>
          </w:p>
          <w:p w14:paraId="3DD5F69D" w14:textId="77777777" w:rsidR="006E5981" w:rsidRPr="0046239D" w:rsidRDefault="006E5981" w:rsidP="002D6DD7">
            <w:pPr>
              <w:jc w:val="both"/>
              <w:rPr>
                <w:rFonts w:cs="Times New Roman"/>
                <w:szCs w:val="24"/>
              </w:rPr>
            </w:pPr>
            <w:r w:rsidRPr="0046239D">
              <w:rPr>
                <w:rFonts w:cs="Times New Roman"/>
                <w:bCs/>
                <w:szCs w:val="24"/>
              </w:rPr>
              <w:t>Dose: 10-40 mg injected directly into the affected joint, depending on the size of the joint and the severity of inflammation.</w:t>
            </w:r>
          </w:p>
        </w:tc>
      </w:tr>
      <w:tr w:rsidR="006E5981" w:rsidRPr="0046239D" w14:paraId="61A6F5E6" w14:textId="77777777" w:rsidTr="002D6DD7">
        <w:tc>
          <w:tcPr>
            <w:tcW w:w="2605" w:type="dxa"/>
          </w:tcPr>
          <w:p w14:paraId="67B511E9" w14:textId="77777777" w:rsidR="006E5981" w:rsidRPr="0046239D" w:rsidRDefault="006E5981" w:rsidP="002D6DD7">
            <w:pPr>
              <w:jc w:val="both"/>
              <w:rPr>
                <w:rFonts w:cs="Times New Roman"/>
                <w:szCs w:val="24"/>
              </w:rPr>
            </w:pPr>
            <w:r w:rsidRPr="0046239D">
              <w:rPr>
                <w:rFonts w:cs="Times New Roman"/>
                <w:szCs w:val="24"/>
              </w:rPr>
              <w:t>Contraindications</w:t>
            </w:r>
          </w:p>
        </w:tc>
        <w:tc>
          <w:tcPr>
            <w:tcW w:w="6750" w:type="dxa"/>
          </w:tcPr>
          <w:p w14:paraId="287D154D" w14:textId="77777777" w:rsidR="006E5981" w:rsidRPr="0046239D" w:rsidRDefault="006E5981" w:rsidP="002D6DD7">
            <w:pPr>
              <w:jc w:val="both"/>
              <w:rPr>
                <w:rFonts w:cs="Times New Roman"/>
                <w:szCs w:val="24"/>
              </w:rPr>
            </w:pPr>
            <w:r>
              <w:rPr>
                <w:rFonts w:cs="Times New Roman"/>
                <w:szCs w:val="24"/>
              </w:rPr>
              <w:t>H</w:t>
            </w:r>
            <w:r w:rsidRPr="0046239D">
              <w:rPr>
                <w:rFonts w:cs="Times New Roman"/>
                <w:szCs w:val="24"/>
              </w:rPr>
              <w:t xml:space="preserve">ypersensitivity to </w:t>
            </w:r>
            <w:r>
              <w:rPr>
                <w:rFonts w:cs="Times New Roman"/>
                <w:szCs w:val="24"/>
              </w:rPr>
              <w:t>the drug</w:t>
            </w:r>
            <w:r w:rsidRPr="0046239D">
              <w:rPr>
                <w:rFonts w:cs="Times New Roman"/>
                <w:szCs w:val="24"/>
              </w:rPr>
              <w:t>,</w:t>
            </w:r>
            <w:r>
              <w:rPr>
                <w:rFonts w:cs="Times New Roman"/>
                <w:szCs w:val="24"/>
              </w:rPr>
              <w:t xml:space="preserve"> l</w:t>
            </w:r>
            <w:r w:rsidRPr="0046239D">
              <w:rPr>
                <w:rFonts w:cs="Times New Roman"/>
                <w:szCs w:val="24"/>
              </w:rPr>
              <w:t>ive attenuated vaccines, and primary treatment for acute asthma</w:t>
            </w:r>
            <w:r w:rsidR="00C344A8">
              <w:rPr>
                <w:rFonts w:cs="Times New Roman"/>
                <w:szCs w:val="24"/>
              </w:rPr>
              <w:t>.</w:t>
            </w:r>
          </w:p>
        </w:tc>
      </w:tr>
      <w:tr w:rsidR="006E5981" w:rsidRPr="0046239D" w14:paraId="61507B4F" w14:textId="77777777" w:rsidTr="002D6DD7">
        <w:tc>
          <w:tcPr>
            <w:tcW w:w="2605" w:type="dxa"/>
          </w:tcPr>
          <w:p w14:paraId="5D346AF8" w14:textId="77777777" w:rsidR="006E5981" w:rsidRPr="0046239D" w:rsidRDefault="006E5981" w:rsidP="002D6DD7">
            <w:pPr>
              <w:jc w:val="both"/>
              <w:rPr>
                <w:rFonts w:cs="Times New Roman"/>
                <w:szCs w:val="24"/>
              </w:rPr>
            </w:pPr>
            <w:r w:rsidRPr="0046239D">
              <w:rPr>
                <w:rFonts w:cs="Times New Roman"/>
                <w:szCs w:val="24"/>
              </w:rPr>
              <w:t>Drug interactions</w:t>
            </w:r>
          </w:p>
        </w:tc>
        <w:tc>
          <w:tcPr>
            <w:tcW w:w="6750" w:type="dxa"/>
          </w:tcPr>
          <w:p w14:paraId="3EF893F2" w14:textId="77777777" w:rsidR="006E5981" w:rsidRPr="0046239D" w:rsidRDefault="006E5981" w:rsidP="002D6DD7">
            <w:pPr>
              <w:jc w:val="both"/>
              <w:rPr>
                <w:rFonts w:cs="Times New Roman"/>
                <w:szCs w:val="24"/>
              </w:rPr>
            </w:pPr>
            <w:r w:rsidRPr="0046239D">
              <w:rPr>
                <w:rFonts w:cs="Times New Roman"/>
                <w:szCs w:val="24"/>
              </w:rPr>
              <w:t>Rotavirus vaccine, levofloxacin, moxifloxacin, norfloxacin, ofloxacin, aspirin, phenytoin, atracurium</w:t>
            </w:r>
            <w:r w:rsidR="00C344A8">
              <w:rPr>
                <w:rFonts w:cs="Times New Roman"/>
                <w:szCs w:val="24"/>
              </w:rPr>
              <w:t>.</w:t>
            </w:r>
          </w:p>
        </w:tc>
      </w:tr>
      <w:tr w:rsidR="006E5981" w:rsidRPr="0046239D" w14:paraId="7BFA21D1" w14:textId="77777777" w:rsidTr="002D6DD7">
        <w:tc>
          <w:tcPr>
            <w:tcW w:w="2605" w:type="dxa"/>
          </w:tcPr>
          <w:p w14:paraId="67978214" w14:textId="77777777" w:rsidR="006E5981" w:rsidRPr="0046239D" w:rsidRDefault="006E5981" w:rsidP="002D6DD7">
            <w:pPr>
              <w:jc w:val="both"/>
              <w:rPr>
                <w:rFonts w:cs="Times New Roman"/>
                <w:szCs w:val="24"/>
              </w:rPr>
            </w:pPr>
            <w:r w:rsidRPr="0046239D">
              <w:rPr>
                <w:rFonts w:cs="Times New Roman"/>
                <w:szCs w:val="24"/>
              </w:rPr>
              <w:t>Side effects</w:t>
            </w:r>
          </w:p>
        </w:tc>
        <w:tc>
          <w:tcPr>
            <w:tcW w:w="6750" w:type="dxa"/>
          </w:tcPr>
          <w:p w14:paraId="3A662730" w14:textId="77777777" w:rsidR="006E5981" w:rsidRPr="0046239D" w:rsidRDefault="006E5981" w:rsidP="002D6DD7">
            <w:pPr>
              <w:jc w:val="both"/>
              <w:rPr>
                <w:rFonts w:cs="Times New Roman"/>
                <w:szCs w:val="24"/>
              </w:rPr>
            </w:pPr>
            <w:r w:rsidRPr="0046239D">
              <w:rPr>
                <w:rFonts w:cs="Times New Roman"/>
                <w:szCs w:val="24"/>
              </w:rPr>
              <w:t>Anorexia, weight loss, flushing, depression, and muscle wasting, proximal myopathy, secondary ocular infection, cataracts, glaucoma</w:t>
            </w:r>
          </w:p>
        </w:tc>
      </w:tr>
      <w:tr w:rsidR="006E5981" w:rsidRPr="0046239D" w14:paraId="489E1B81" w14:textId="77777777" w:rsidTr="002D6DD7">
        <w:tc>
          <w:tcPr>
            <w:tcW w:w="2605" w:type="dxa"/>
          </w:tcPr>
          <w:p w14:paraId="45F056C5" w14:textId="77777777" w:rsidR="006E5981" w:rsidRPr="0046239D" w:rsidRDefault="006E5981" w:rsidP="002D6DD7">
            <w:pPr>
              <w:jc w:val="both"/>
              <w:rPr>
                <w:rFonts w:cs="Times New Roman"/>
                <w:szCs w:val="24"/>
              </w:rPr>
            </w:pPr>
            <w:r w:rsidRPr="0046239D">
              <w:rPr>
                <w:rFonts w:cs="Times New Roman"/>
                <w:szCs w:val="24"/>
              </w:rPr>
              <w:t xml:space="preserve">Cautions </w:t>
            </w:r>
          </w:p>
        </w:tc>
        <w:tc>
          <w:tcPr>
            <w:tcW w:w="6750" w:type="dxa"/>
          </w:tcPr>
          <w:p w14:paraId="303DA98C" w14:textId="77777777" w:rsidR="006E5981" w:rsidRPr="0046239D" w:rsidRDefault="006E5981" w:rsidP="002D6DD7">
            <w:pPr>
              <w:jc w:val="both"/>
              <w:rPr>
                <w:rFonts w:cs="Times New Roman"/>
                <w:szCs w:val="24"/>
              </w:rPr>
            </w:pPr>
            <w:r w:rsidRPr="0046239D">
              <w:rPr>
                <w:rFonts w:cs="Times New Roman"/>
                <w:szCs w:val="24"/>
              </w:rPr>
              <w:t>High dose, chronic therapy</w:t>
            </w:r>
            <w:r w:rsidR="00C344A8">
              <w:rPr>
                <w:rFonts w:cs="Times New Roman"/>
                <w:szCs w:val="24"/>
              </w:rPr>
              <w:t>.</w:t>
            </w:r>
          </w:p>
        </w:tc>
      </w:tr>
      <w:tr w:rsidR="006E5981" w:rsidRPr="0046239D" w14:paraId="1FBEF289" w14:textId="77777777" w:rsidTr="002D6DD7">
        <w:tc>
          <w:tcPr>
            <w:tcW w:w="2605" w:type="dxa"/>
          </w:tcPr>
          <w:p w14:paraId="7491EDD1" w14:textId="77777777" w:rsidR="006E5981" w:rsidRPr="0046239D" w:rsidRDefault="006E5981" w:rsidP="002D6DD7">
            <w:pPr>
              <w:jc w:val="both"/>
              <w:rPr>
                <w:rFonts w:cs="Times New Roman"/>
                <w:szCs w:val="24"/>
              </w:rPr>
            </w:pPr>
            <w:r w:rsidRPr="0046239D">
              <w:rPr>
                <w:rFonts w:cs="Times New Roman"/>
                <w:szCs w:val="24"/>
              </w:rPr>
              <w:t>Storage condition</w:t>
            </w:r>
          </w:p>
        </w:tc>
        <w:tc>
          <w:tcPr>
            <w:tcW w:w="6750" w:type="dxa"/>
          </w:tcPr>
          <w:p w14:paraId="1D5D4F7B" w14:textId="77777777" w:rsidR="006E5981" w:rsidRPr="0046239D" w:rsidRDefault="006E5981" w:rsidP="002D6DD7">
            <w:pPr>
              <w:jc w:val="both"/>
              <w:rPr>
                <w:rFonts w:cs="Times New Roman"/>
                <w:szCs w:val="24"/>
              </w:rPr>
            </w:pPr>
            <w:r w:rsidRPr="0046239D">
              <w:rPr>
                <w:rFonts w:cs="Times New Roman"/>
                <w:szCs w:val="24"/>
              </w:rPr>
              <w:t>Store below 30°C.</w:t>
            </w:r>
          </w:p>
        </w:tc>
      </w:tr>
    </w:tbl>
    <w:p w14:paraId="7B6B24DE" w14:textId="77777777" w:rsidR="006E5981" w:rsidRPr="00F41371" w:rsidRDefault="006E5981" w:rsidP="00C344A8">
      <w:pPr>
        <w:pStyle w:val="Heading2"/>
        <w:spacing w:before="240" w:after="240"/>
      </w:pPr>
      <w:bookmarkStart w:id="101" w:name="_Toc179490357"/>
      <w:r>
        <w:t xml:space="preserve">Disease </w:t>
      </w:r>
      <w:r w:rsidRPr="00F41371">
        <w:t xml:space="preserve">modifying anti-rheumatic </w:t>
      </w:r>
      <w:r>
        <w:t>drugs</w:t>
      </w:r>
      <w:bookmarkEnd w:id="101"/>
      <w:r w:rsidRPr="00F41371">
        <w:t xml:space="preserve"> </w:t>
      </w:r>
    </w:p>
    <w:p w14:paraId="58725434" w14:textId="77777777" w:rsidR="006E5981" w:rsidRPr="00553552" w:rsidRDefault="006E5981" w:rsidP="006E5981">
      <w:pPr>
        <w:spacing w:after="0"/>
        <w:jc w:val="both"/>
        <w:rPr>
          <w:rFonts w:cs="Times New Roman"/>
          <w:bCs/>
          <w:color w:val="000000"/>
          <w:szCs w:val="24"/>
          <w:lang w:val="en-US"/>
        </w:rPr>
      </w:pPr>
      <w:r w:rsidRPr="00553552">
        <w:rPr>
          <w:rFonts w:cs="Times New Roman"/>
          <w:bCs/>
          <w:color w:val="000000"/>
          <w:szCs w:val="24"/>
          <w:lang w:val="en-US"/>
        </w:rPr>
        <w:t xml:space="preserve">Disease </w:t>
      </w:r>
      <w:r w:rsidR="005B245E">
        <w:rPr>
          <w:rFonts w:cs="Times New Roman"/>
          <w:bCs/>
          <w:color w:val="000000"/>
          <w:szCs w:val="24"/>
          <w:lang w:val="en-US"/>
        </w:rPr>
        <w:t>m</w:t>
      </w:r>
      <w:r w:rsidRPr="00553552">
        <w:rPr>
          <w:rFonts w:cs="Times New Roman"/>
          <w:bCs/>
          <w:color w:val="000000"/>
          <w:szCs w:val="24"/>
          <w:lang w:val="en-US"/>
        </w:rPr>
        <w:t xml:space="preserve">odifying </w:t>
      </w:r>
      <w:r w:rsidR="00C344A8">
        <w:rPr>
          <w:rFonts w:cs="Times New Roman"/>
          <w:bCs/>
          <w:color w:val="000000"/>
          <w:szCs w:val="24"/>
          <w:lang w:val="en-US"/>
        </w:rPr>
        <w:t>a</w:t>
      </w:r>
      <w:r w:rsidRPr="00553552">
        <w:rPr>
          <w:rFonts w:cs="Times New Roman"/>
          <w:bCs/>
          <w:color w:val="000000"/>
          <w:szCs w:val="24"/>
          <w:lang w:val="en-US"/>
        </w:rPr>
        <w:t xml:space="preserve">nti-rheumatic </w:t>
      </w:r>
      <w:r w:rsidR="005B245E">
        <w:rPr>
          <w:rFonts w:cs="Times New Roman"/>
          <w:bCs/>
          <w:color w:val="000000"/>
          <w:szCs w:val="24"/>
          <w:lang w:val="en-US"/>
        </w:rPr>
        <w:t>m</w:t>
      </w:r>
      <w:r w:rsidRPr="00553552">
        <w:rPr>
          <w:rFonts w:cs="Times New Roman"/>
          <w:bCs/>
          <w:color w:val="000000"/>
          <w:szCs w:val="24"/>
          <w:lang w:val="en-US"/>
        </w:rPr>
        <w:t xml:space="preserve">edicines (DMARDs) are critical in managing rheumatoid arthritis and other autoimmune joint diseases by slowing disease progression and preventing joint damage. Methotrexate is often the first-line treatment, working as a folate antagonist to inhibit DNA synthesis, reduce the proliferation of immune cells, and decrease inflammation. </w:t>
      </w:r>
      <w:r w:rsidRPr="00553552">
        <w:rPr>
          <w:rFonts w:cs="Times New Roman"/>
          <w:bCs/>
          <w:color w:val="000000"/>
          <w:szCs w:val="24"/>
          <w:lang w:val="en-US"/>
        </w:rPr>
        <w:lastRenderedPageBreak/>
        <w:t>Sulfasalazine acts through a combination of anti-inflammatory and immunomodulatory effects, though its exact mechanism is not fully understood. Chloroquine phosphate, an antimalarial drug, modulates the immune system by inhibiting toll-like receptor signaling pathways, reducing the activation of immune cells. Azathioprine is an immunosuppressant that interferes with DNA synthesis, reducing the proliferation of immune cells and controlling severe cases of rheumatoid arthritis. Penicillamine can be used as an alternative to azathioprine, providing similar immunosuppressive effects.</w:t>
      </w:r>
    </w:p>
    <w:p w14:paraId="35153CF6" w14:textId="77777777" w:rsidR="006E5981" w:rsidRDefault="006E5981" w:rsidP="006E5981">
      <w:pPr>
        <w:spacing w:after="0"/>
        <w:jc w:val="both"/>
        <w:rPr>
          <w:rFonts w:cs="Times New Roman"/>
          <w:szCs w:val="24"/>
        </w:rPr>
      </w:pPr>
    </w:p>
    <w:tbl>
      <w:tblPr>
        <w:tblStyle w:val="TableGrid"/>
        <w:tblW w:w="9355" w:type="dxa"/>
        <w:tblLook w:val="04A0" w:firstRow="1" w:lastRow="0" w:firstColumn="1" w:lastColumn="0" w:noHBand="0" w:noVBand="1"/>
      </w:tblPr>
      <w:tblGrid>
        <w:gridCol w:w="2605"/>
        <w:gridCol w:w="6750"/>
      </w:tblGrid>
      <w:tr w:rsidR="006E5981" w:rsidRPr="006B7F40" w14:paraId="7B4C452C" w14:textId="77777777" w:rsidTr="002D6DD7">
        <w:tc>
          <w:tcPr>
            <w:tcW w:w="9355" w:type="dxa"/>
            <w:gridSpan w:val="2"/>
          </w:tcPr>
          <w:p w14:paraId="0AD07CB1" w14:textId="77777777" w:rsidR="006E5981" w:rsidRPr="006B7F40" w:rsidRDefault="006E5981" w:rsidP="002D6DD7">
            <w:pPr>
              <w:jc w:val="both"/>
              <w:rPr>
                <w:rFonts w:cs="Times New Roman"/>
                <w:b/>
                <w:bCs/>
                <w:szCs w:val="24"/>
              </w:rPr>
            </w:pPr>
            <w:bookmarkStart w:id="102" w:name="_Toc168337706"/>
            <w:r w:rsidRPr="006B7F40">
              <w:rPr>
                <w:rFonts w:cs="Times New Roman"/>
                <w:b/>
                <w:bCs/>
                <w:szCs w:val="24"/>
              </w:rPr>
              <w:t>Azathioprine</w:t>
            </w:r>
            <w:bookmarkEnd w:id="102"/>
          </w:p>
        </w:tc>
      </w:tr>
      <w:tr w:rsidR="006E5981" w:rsidRPr="006B7F40" w14:paraId="11D64E9C" w14:textId="77777777" w:rsidTr="002D6DD7">
        <w:tc>
          <w:tcPr>
            <w:tcW w:w="2605" w:type="dxa"/>
          </w:tcPr>
          <w:p w14:paraId="3806B600" w14:textId="77777777" w:rsidR="006E5981" w:rsidRPr="006B7F40" w:rsidRDefault="006E5981" w:rsidP="002D6DD7">
            <w:pPr>
              <w:jc w:val="both"/>
              <w:rPr>
                <w:rFonts w:cs="Times New Roman"/>
                <w:szCs w:val="24"/>
              </w:rPr>
            </w:pPr>
            <w:r w:rsidRPr="006B7F40">
              <w:rPr>
                <w:rFonts w:cs="Times New Roman"/>
                <w:szCs w:val="24"/>
              </w:rPr>
              <w:t>Pharmacological class</w:t>
            </w:r>
          </w:p>
        </w:tc>
        <w:tc>
          <w:tcPr>
            <w:tcW w:w="6750" w:type="dxa"/>
          </w:tcPr>
          <w:p w14:paraId="7480F224" w14:textId="77777777" w:rsidR="006E5981" w:rsidRPr="006B7F40" w:rsidRDefault="006E5981" w:rsidP="002D6DD7">
            <w:pPr>
              <w:jc w:val="both"/>
              <w:rPr>
                <w:rFonts w:cs="Times New Roman"/>
                <w:szCs w:val="24"/>
              </w:rPr>
            </w:pPr>
            <w:r w:rsidRPr="006B7F40">
              <w:rPr>
                <w:rFonts w:cs="Times New Roman"/>
                <w:szCs w:val="24"/>
              </w:rPr>
              <w:t>DMARD</w:t>
            </w:r>
          </w:p>
        </w:tc>
      </w:tr>
      <w:tr w:rsidR="006E5981" w:rsidRPr="006B7F40" w14:paraId="148309F7" w14:textId="77777777" w:rsidTr="002D6DD7">
        <w:tc>
          <w:tcPr>
            <w:tcW w:w="2605" w:type="dxa"/>
          </w:tcPr>
          <w:p w14:paraId="65927024" w14:textId="77777777" w:rsidR="006E5981" w:rsidRPr="006B7F40" w:rsidRDefault="006E5981" w:rsidP="002D6DD7">
            <w:pPr>
              <w:jc w:val="both"/>
              <w:rPr>
                <w:rFonts w:cs="Times New Roman"/>
                <w:szCs w:val="24"/>
              </w:rPr>
            </w:pPr>
            <w:r w:rsidRPr="006B7F40">
              <w:rPr>
                <w:rFonts w:cs="Times New Roman"/>
                <w:szCs w:val="24"/>
              </w:rPr>
              <w:t>Dosage form</w:t>
            </w:r>
          </w:p>
        </w:tc>
        <w:tc>
          <w:tcPr>
            <w:tcW w:w="6750" w:type="dxa"/>
          </w:tcPr>
          <w:p w14:paraId="3DE4FB22" w14:textId="77777777" w:rsidR="006E5981" w:rsidRPr="006B7F40" w:rsidRDefault="006E5981" w:rsidP="002D6DD7">
            <w:pPr>
              <w:jc w:val="both"/>
              <w:rPr>
                <w:rFonts w:cs="Times New Roman"/>
                <w:szCs w:val="24"/>
              </w:rPr>
            </w:pPr>
            <w:r w:rsidRPr="006B7F40">
              <w:rPr>
                <w:rFonts w:cs="Times New Roman"/>
                <w:szCs w:val="24"/>
              </w:rPr>
              <w:t>Tablet: 50 mg</w:t>
            </w:r>
          </w:p>
        </w:tc>
      </w:tr>
      <w:tr w:rsidR="006E5981" w:rsidRPr="006B7F40" w14:paraId="57A50AB3" w14:textId="77777777" w:rsidTr="002D6DD7">
        <w:tc>
          <w:tcPr>
            <w:tcW w:w="2605" w:type="dxa"/>
          </w:tcPr>
          <w:p w14:paraId="02220E91" w14:textId="77777777" w:rsidR="006E5981" w:rsidRPr="006B7F40" w:rsidRDefault="006E5981" w:rsidP="002D6DD7">
            <w:pPr>
              <w:jc w:val="both"/>
              <w:rPr>
                <w:rFonts w:cs="Times New Roman"/>
                <w:szCs w:val="24"/>
              </w:rPr>
            </w:pPr>
            <w:r w:rsidRPr="006B7F40">
              <w:rPr>
                <w:rFonts w:cs="Times New Roman"/>
                <w:szCs w:val="24"/>
              </w:rPr>
              <w:t>Indications</w:t>
            </w:r>
          </w:p>
        </w:tc>
        <w:tc>
          <w:tcPr>
            <w:tcW w:w="6750" w:type="dxa"/>
          </w:tcPr>
          <w:p w14:paraId="6F958F3D" w14:textId="77777777" w:rsidR="006E5981" w:rsidRPr="006B7F40" w:rsidRDefault="006E5981" w:rsidP="002D6DD7">
            <w:pPr>
              <w:jc w:val="both"/>
              <w:rPr>
                <w:rFonts w:cs="Times New Roman"/>
                <w:szCs w:val="24"/>
              </w:rPr>
            </w:pPr>
            <w:r w:rsidRPr="006B7F40">
              <w:rPr>
                <w:rFonts w:cs="Times New Roman"/>
                <w:szCs w:val="24"/>
              </w:rPr>
              <w:t>Rheumatoid arthritis when no response is obtained with chloroquine, or hydroxychloroquine</w:t>
            </w:r>
          </w:p>
        </w:tc>
      </w:tr>
      <w:tr w:rsidR="006E5981" w:rsidRPr="006B7F40" w14:paraId="23A4CC7A" w14:textId="77777777" w:rsidTr="002D6DD7">
        <w:tc>
          <w:tcPr>
            <w:tcW w:w="2605" w:type="dxa"/>
          </w:tcPr>
          <w:p w14:paraId="71986963" w14:textId="77777777" w:rsidR="006E5981" w:rsidRPr="006B7F40" w:rsidRDefault="006E5981" w:rsidP="002D6DD7">
            <w:pPr>
              <w:rPr>
                <w:rFonts w:cs="Times New Roman"/>
                <w:szCs w:val="24"/>
              </w:rPr>
            </w:pPr>
            <w:r w:rsidRPr="006B7F40">
              <w:rPr>
                <w:rFonts w:eastAsia="Times New Roman" w:cs="Times New Roman"/>
                <w:szCs w:val="24"/>
              </w:rPr>
              <w:t>Dose and administration</w:t>
            </w:r>
          </w:p>
        </w:tc>
        <w:tc>
          <w:tcPr>
            <w:tcW w:w="6750" w:type="dxa"/>
          </w:tcPr>
          <w:p w14:paraId="7F0FFE89" w14:textId="77777777" w:rsidR="006E5981" w:rsidRPr="005B245E" w:rsidRDefault="006E5981" w:rsidP="002D6DD7">
            <w:pPr>
              <w:jc w:val="both"/>
              <w:rPr>
                <w:rFonts w:cs="Times New Roman"/>
                <w:b/>
                <w:iCs/>
                <w:szCs w:val="24"/>
              </w:rPr>
            </w:pPr>
            <w:r w:rsidRPr="006B7F40">
              <w:rPr>
                <w:rFonts w:cs="Times New Roman"/>
                <w:b/>
                <w:iCs/>
                <w:szCs w:val="24"/>
              </w:rPr>
              <w:t>Adult</w:t>
            </w:r>
            <w:r w:rsidR="005B245E">
              <w:rPr>
                <w:rFonts w:cs="Times New Roman"/>
                <w:b/>
                <w:iCs/>
                <w:szCs w:val="24"/>
              </w:rPr>
              <w:t xml:space="preserve">: </w:t>
            </w:r>
            <w:r w:rsidRPr="006B7F40">
              <w:rPr>
                <w:rFonts w:cs="Times New Roman"/>
                <w:bCs/>
                <w:iCs/>
                <w:szCs w:val="24"/>
              </w:rPr>
              <w:t>Initially 1.5–2.5 mg/kg daily in divided doses, adjusted according to response, maintenance dose, 1–3 mg/kg daily, consider withdrawal if no improvement within 3 months.</w:t>
            </w:r>
          </w:p>
        </w:tc>
      </w:tr>
      <w:tr w:rsidR="006E5981" w:rsidRPr="006B7F40" w14:paraId="65DAEF4C" w14:textId="77777777" w:rsidTr="002D6DD7">
        <w:tc>
          <w:tcPr>
            <w:tcW w:w="2605" w:type="dxa"/>
          </w:tcPr>
          <w:p w14:paraId="04451DCB" w14:textId="77777777" w:rsidR="006E5981" w:rsidRPr="006B7F40" w:rsidRDefault="006E5981" w:rsidP="002D6DD7">
            <w:pPr>
              <w:jc w:val="both"/>
              <w:rPr>
                <w:rFonts w:cs="Times New Roman"/>
                <w:szCs w:val="24"/>
              </w:rPr>
            </w:pPr>
            <w:r w:rsidRPr="006B7F40">
              <w:rPr>
                <w:rFonts w:cs="Times New Roman"/>
                <w:szCs w:val="24"/>
              </w:rPr>
              <w:t>Contraindications</w:t>
            </w:r>
          </w:p>
        </w:tc>
        <w:tc>
          <w:tcPr>
            <w:tcW w:w="6750" w:type="dxa"/>
          </w:tcPr>
          <w:p w14:paraId="6A94B46F" w14:textId="77777777" w:rsidR="006E5981" w:rsidRPr="006B7F40" w:rsidRDefault="006E5981" w:rsidP="002D6DD7">
            <w:pPr>
              <w:jc w:val="both"/>
              <w:rPr>
                <w:rFonts w:cs="Times New Roman"/>
                <w:szCs w:val="24"/>
              </w:rPr>
            </w:pPr>
            <w:r w:rsidRPr="006B7F40">
              <w:rPr>
                <w:rFonts w:cs="Times New Roman"/>
                <w:szCs w:val="24"/>
              </w:rPr>
              <w:t xml:space="preserve">Hypersensitivity to </w:t>
            </w:r>
            <w:r>
              <w:rPr>
                <w:rFonts w:cs="Times New Roman"/>
                <w:szCs w:val="24"/>
              </w:rPr>
              <w:t>the drug</w:t>
            </w:r>
            <w:r w:rsidRPr="006B7F40">
              <w:rPr>
                <w:rFonts w:cs="Times New Roman"/>
                <w:szCs w:val="24"/>
              </w:rPr>
              <w:t xml:space="preserve"> or mercaptopurine</w:t>
            </w:r>
            <w:r>
              <w:rPr>
                <w:rFonts w:cs="Times New Roman"/>
                <w:szCs w:val="24"/>
              </w:rPr>
              <w:t>, p</w:t>
            </w:r>
            <w:r w:rsidRPr="006B7F40">
              <w:rPr>
                <w:rFonts w:cs="Times New Roman"/>
                <w:szCs w:val="24"/>
              </w:rPr>
              <w:t>soriatic arthritis, pregnancy</w:t>
            </w:r>
          </w:p>
        </w:tc>
      </w:tr>
      <w:tr w:rsidR="006E5981" w:rsidRPr="006B7F40" w14:paraId="2769B562" w14:textId="77777777" w:rsidTr="002D6DD7">
        <w:tc>
          <w:tcPr>
            <w:tcW w:w="2605" w:type="dxa"/>
          </w:tcPr>
          <w:p w14:paraId="1B1B22CF" w14:textId="77777777" w:rsidR="006E5981" w:rsidRPr="006B7F40" w:rsidRDefault="006E5981" w:rsidP="002D6DD7">
            <w:pPr>
              <w:jc w:val="both"/>
              <w:rPr>
                <w:rFonts w:cs="Times New Roman"/>
                <w:szCs w:val="24"/>
              </w:rPr>
            </w:pPr>
            <w:r w:rsidRPr="006B7F40">
              <w:rPr>
                <w:rFonts w:cs="Times New Roman"/>
                <w:szCs w:val="24"/>
              </w:rPr>
              <w:t>Drug interactions</w:t>
            </w:r>
          </w:p>
        </w:tc>
        <w:tc>
          <w:tcPr>
            <w:tcW w:w="6750" w:type="dxa"/>
          </w:tcPr>
          <w:p w14:paraId="7B131DC3" w14:textId="77777777" w:rsidR="006E5981" w:rsidRPr="006B7F40" w:rsidRDefault="006E5981" w:rsidP="002D6DD7">
            <w:pPr>
              <w:jc w:val="both"/>
              <w:rPr>
                <w:rFonts w:cs="Times New Roman"/>
                <w:szCs w:val="24"/>
              </w:rPr>
            </w:pPr>
            <w:r w:rsidRPr="006B7F40">
              <w:rPr>
                <w:rFonts w:cs="Times New Roman"/>
                <w:szCs w:val="24"/>
              </w:rPr>
              <w:t xml:space="preserve">Allopurinol, live vaccines, phenytoin, sulfamethoxazole + trimethoprim, trimethoprim, ACE </w:t>
            </w:r>
            <w:r>
              <w:rPr>
                <w:rFonts w:cs="Times New Roman"/>
                <w:szCs w:val="24"/>
              </w:rPr>
              <w:t>i</w:t>
            </w:r>
            <w:r w:rsidRPr="006B7F40">
              <w:rPr>
                <w:rFonts w:cs="Times New Roman"/>
                <w:szCs w:val="24"/>
              </w:rPr>
              <w:t>nhibitors, warfarin</w:t>
            </w:r>
          </w:p>
        </w:tc>
      </w:tr>
      <w:tr w:rsidR="006E5981" w:rsidRPr="006B7F40" w14:paraId="5D137F54" w14:textId="77777777" w:rsidTr="002D6DD7">
        <w:tc>
          <w:tcPr>
            <w:tcW w:w="2605" w:type="dxa"/>
          </w:tcPr>
          <w:p w14:paraId="1D6027AD" w14:textId="77777777" w:rsidR="006E5981" w:rsidRPr="006B7F40" w:rsidRDefault="006E5981" w:rsidP="002D6DD7">
            <w:pPr>
              <w:jc w:val="both"/>
              <w:rPr>
                <w:rFonts w:cs="Times New Roman"/>
                <w:szCs w:val="24"/>
              </w:rPr>
            </w:pPr>
            <w:r w:rsidRPr="006B7F40">
              <w:rPr>
                <w:rFonts w:cs="Times New Roman"/>
                <w:szCs w:val="24"/>
              </w:rPr>
              <w:t>Side effects</w:t>
            </w:r>
          </w:p>
        </w:tc>
        <w:tc>
          <w:tcPr>
            <w:tcW w:w="6750" w:type="dxa"/>
          </w:tcPr>
          <w:p w14:paraId="0CDEDEBC" w14:textId="77777777" w:rsidR="006E5981" w:rsidRPr="006B7F40" w:rsidRDefault="006E5981" w:rsidP="002D6DD7">
            <w:pPr>
              <w:jc w:val="both"/>
              <w:rPr>
                <w:rFonts w:cs="Times New Roman"/>
                <w:szCs w:val="24"/>
              </w:rPr>
            </w:pPr>
            <w:r w:rsidRPr="006B7F40">
              <w:rPr>
                <w:rFonts w:cs="Times New Roman"/>
                <w:szCs w:val="24"/>
              </w:rPr>
              <w:t>Bone marrow depression (dose-related), increased risk of infection, leucopenia, thrombocytopenia, anemia, pancreatitis, hepatic disorders</w:t>
            </w:r>
          </w:p>
        </w:tc>
      </w:tr>
      <w:tr w:rsidR="006E5981" w:rsidRPr="006B7F40" w14:paraId="56A09707" w14:textId="77777777" w:rsidTr="002D6DD7">
        <w:tc>
          <w:tcPr>
            <w:tcW w:w="2605" w:type="dxa"/>
          </w:tcPr>
          <w:p w14:paraId="500899B9" w14:textId="77777777" w:rsidR="006E5981" w:rsidRPr="006B7F40" w:rsidRDefault="006E5981" w:rsidP="002D6DD7">
            <w:pPr>
              <w:jc w:val="both"/>
              <w:rPr>
                <w:rFonts w:cs="Times New Roman"/>
                <w:szCs w:val="24"/>
              </w:rPr>
            </w:pPr>
            <w:r w:rsidRPr="006B7F40">
              <w:rPr>
                <w:rFonts w:cs="Times New Roman"/>
                <w:szCs w:val="24"/>
              </w:rPr>
              <w:t xml:space="preserve">Cautions </w:t>
            </w:r>
          </w:p>
        </w:tc>
        <w:tc>
          <w:tcPr>
            <w:tcW w:w="6750" w:type="dxa"/>
          </w:tcPr>
          <w:p w14:paraId="74FE30BC" w14:textId="77777777" w:rsidR="006E5981" w:rsidRPr="006B7F40" w:rsidRDefault="006E5981" w:rsidP="002D6DD7">
            <w:pPr>
              <w:jc w:val="both"/>
              <w:rPr>
                <w:rFonts w:cs="Times New Roman"/>
                <w:szCs w:val="24"/>
              </w:rPr>
            </w:pPr>
            <w:r w:rsidRPr="006B7F40">
              <w:rPr>
                <w:rFonts w:cs="Times New Roman"/>
                <w:szCs w:val="24"/>
              </w:rPr>
              <w:t>Liver and renal disease, deficiency of thiopurine methyltransferase</w:t>
            </w:r>
          </w:p>
        </w:tc>
      </w:tr>
      <w:tr w:rsidR="006E5981" w:rsidRPr="006B7F40" w14:paraId="6ADE3F14" w14:textId="77777777" w:rsidTr="002D6DD7">
        <w:tc>
          <w:tcPr>
            <w:tcW w:w="2605" w:type="dxa"/>
          </w:tcPr>
          <w:p w14:paraId="69CED5C3" w14:textId="77777777" w:rsidR="006E5981" w:rsidRPr="006B7F40" w:rsidRDefault="006E5981" w:rsidP="002D6DD7">
            <w:pPr>
              <w:jc w:val="both"/>
              <w:rPr>
                <w:rFonts w:cs="Times New Roman"/>
                <w:szCs w:val="24"/>
              </w:rPr>
            </w:pPr>
            <w:r w:rsidRPr="006B7F40">
              <w:rPr>
                <w:rFonts w:cs="Times New Roman"/>
                <w:szCs w:val="24"/>
              </w:rPr>
              <w:t>Storage condition</w:t>
            </w:r>
          </w:p>
        </w:tc>
        <w:tc>
          <w:tcPr>
            <w:tcW w:w="6750" w:type="dxa"/>
          </w:tcPr>
          <w:p w14:paraId="3EEB7B19" w14:textId="77777777" w:rsidR="006E5981" w:rsidRPr="006B7F40" w:rsidRDefault="006E5981" w:rsidP="002D6DD7">
            <w:pPr>
              <w:jc w:val="both"/>
              <w:rPr>
                <w:rFonts w:cs="Times New Roman"/>
                <w:szCs w:val="24"/>
              </w:rPr>
            </w:pPr>
            <w:r w:rsidRPr="006B7F40">
              <w:rPr>
                <w:rFonts w:cs="Times New Roman"/>
                <w:szCs w:val="24"/>
              </w:rPr>
              <w:t>Store below 30°C.</w:t>
            </w:r>
          </w:p>
        </w:tc>
      </w:tr>
      <w:tr w:rsidR="006E5981" w:rsidRPr="006B7F40" w14:paraId="4A137212" w14:textId="77777777" w:rsidTr="002D6DD7">
        <w:tc>
          <w:tcPr>
            <w:tcW w:w="9355" w:type="dxa"/>
            <w:gridSpan w:val="2"/>
          </w:tcPr>
          <w:p w14:paraId="6B26C9AA" w14:textId="77777777" w:rsidR="006E5981" w:rsidRPr="006B7F40" w:rsidRDefault="006E5981" w:rsidP="002D6DD7">
            <w:pPr>
              <w:jc w:val="both"/>
              <w:rPr>
                <w:rFonts w:cs="Times New Roman"/>
                <w:b/>
                <w:bCs/>
                <w:szCs w:val="24"/>
              </w:rPr>
            </w:pPr>
            <w:bookmarkStart w:id="103" w:name="_Toc168337705"/>
            <w:r w:rsidRPr="006B7F40">
              <w:rPr>
                <w:rFonts w:cs="Times New Roman"/>
                <w:b/>
                <w:bCs/>
                <w:szCs w:val="24"/>
              </w:rPr>
              <w:t>Chloroquine phosphate</w:t>
            </w:r>
            <w:bookmarkEnd w:id="103"/>
          </w:p>
        </w:tc>
      </w:tr>
      <w:tr w:rsidR="006E5981" w:rsidRPr="006B7F40" w14:paraId="67816D6B" w14:textId="77777777" w:rsidTr="002D6DD7">
        <w:tc>
          <w:tcPr>
            <w:tcW w:w="2605" w:type="dxa"/>
          </w:tcPr>
          <w:p w14:paraId="670C0B5B" w14:textId="77777777" w:rsidR="006E5981" w:rsidRPr="006B7F40" w:rsidRDefault="006E5981" w:rsidP="002D6DD7">
            <w:pPr>
              <w:jc w:val="both"/>
              <w:rPr>
                <w:rFonts w:cs="Times New Roman"/>
                <w:szCs w:val="24"/>
              </w:rPr>
            </w:pPr>
            <w:r w:rsidRPr="006B7F40">
              <w:rPr>
                <w:rFonts w:cs="Times New Roman"/>
                <w:szCs w:val="24"/>
              </w:rPr>
              <w:t>Pharmacological class</w:t>
            </w:r>
          </w:p>
        </w:tc>
        <w:tc>
          <w:tcPr>
            <w:tcW w:w="6750" w:type="dxa"/>
          </w:tcPr>
          <w:p w14:paraId="541C94B3" w14:textId="77777777" w:rsidR="006E5981" w:rsidRPr="006B7F40" w:rsidRDefault="006E5981" w:rsidP="002D6DD7">
            <w:pPr>
              <w:jc w:val="both"/>
              <w:rPr>
                <w:rFonts w:cs="Times New Roman"/>
                <w:szCs w:val="24"/>
              </w:rPr>
            </w:pPr>
            <w:r w:rsidRPr="006B7F40">
              <w:rPr>
                <w:rFonts w:cs="Times New Roman"/>
                <w:szCs w:val="24"/>
              </w:rPr>
              <w:t>Antimalarial</w:t>
            </w:r>
          </w:p>
        </w:tc>
      </w:tr>
      <w:tr w:rsidR="006E5981" w:rsidRPr="006B7F40" w14:paraId="532576AF" w14:textId="77777777" w:rsidTr="002D6DD7">
        <w:tc>
          <w:tcPr>
            <w:tcW w:w="2605" w:type="dxa"/>
          </w:tcPr>
          <w:p w14:paraId="6B4F8C44" w14:textId="77777777" w:rsidR="006E5981" w:rsidRPr="006B7F40" w:rsidRDefault="006E5981" w:rsidP="002D6DD7">
            <w:pPr>
              <w:jc w:val="both"/>
              <w:rPr>
                <w:rFonts w:cs="Times New Roman"/>
                <w:szCs w:val="24"/>
              </w:rPr>
            </w:pPr>
            <w:r w:rsidRPr="006B7F40">
              <w:rPr>
                <w:rFonts w:cs="Times New Roman"/>
                <w:szCs w:val="24"/>
              </w:rPr>
              <w:t>Dosage form</w:t>
            </w:r>
          </w:p>
        </w:tc>
        <w:tc>
          <w:tcPr>
            <w:tcW w:w="6750" w:type="dxa"/>
          </w:tcPr>
          <w:p w14:paraId="65C50A35" w14:textId="77777777" w:rsidR="006E5981" w:rsidRPr="006B7F40" w:rsidRDefault="006E5981" w:rsidP="002D6DD7">
            <w:pPr>
              <w:jc w:val="both"/>
              <w:rPr>
                <w:rFonts w:cs="Times New Roman"/>
                <w:szCs w:val="24"/>
              </w:rPr>
            </w:pPr>
            <w:r w:rsidRPr="006B7F40">
              <w:rPr>
                <w:rFonts w:cs="Times New Roman"/>
                <w:szCs w:val="24"/>
              </w:rPr>
              <w:t>Tablet: 150mg</w:t>
            </w:r>
          </w:p>
        </w:tc>
      </w:tr>
      <w:tr w:rsidR="006E5981" w:rsidRPr="006B7F40" w14:paraId="64133705" w14:textId="77777777" w:rsidTr="002D6DD7">
        <w:tc>
          <w:tcPr>
            <w:tcW w:w="2605" w:type="dxa"/>
          </w:tcPr>
          <w:p w14:paraId="5F46F2D6" w14:textId="77777777" w:rsidR="006E5981" w:rsidRPr="003034DE" w:rsidRDefault="006E5981" w:rsidP="002D6DD7">
            <w:pPr>
              <w:jc w:val="both"/>
              <w:rPr>
                <w:rFonts w:cs="Times New Roman"/>
                <w:bCs/>
                <w:szCs w:val="24"/>
              </w:rPr>
            </w:pPr>
            <w:r w:rsidRPr="003034DE">
              <w:rPr>
                <w:rFonts w:cs="Times New Roman"/>
                <w:bCs/>
                <w:szCs w:val="24"/>
              </w:rPr>
              <w:t>Indications</w:t>
            </w:r>
          </w:p>
        </w:tc>
        <w:tc>
          <w:tcPr>
            <w:tcW w:w="6750" w:type="dxa"/>
          </w:tcPr>
          <w:p w14:paraId="3FDEDEB9" w14:textId="77777777" w:rsidR="006E5981" w:rsidRPr="006B7F40" w:rsidRDefault="006E5981" w:rsidP="002D6DD7">
            <w:pPr>
              <w:jc w:val="both"/>
              <w:rPr>
                <w:rFonts w:cs="Times New Roman"/>
                <w:szCs w:val="24"/>
              </w:rPr>
            </w:pPr>
            <w:r w:rsidRPr="006B7F40">
              <w:rPr>
                <w:rFonts w:cs="Times New Roman"/>
                <w:szCs w:val="24"/>
              </w:rPr>
              <w:t>Rheumatoid arthritis</w:t>
            </w:r>
          </w:p>
        </w:tc>
      </w:tr>
      <w:tr w:rsidR="006E5981" w:rsidRPr="006B7F40" w14:paraId="2482FE89" w14:textId="77777777" w:rsidTr="002D6DD7">
        <w:tc>
          <w:tcPr>
            <w:tcW w:w="2605" w:type="dxa"/>
          </w:tcPr>
          <w:p w14:paraId="5032B686" w14:textId="77777777" w:rsidR="006E5981" w:rsidRPr="006B7F40" w:rsidRDefault="006E5981" w:rsidP="002D6DD7">
            <w:pPr>
              <w:rPr>
                <w:rFonts w:cs="Times New Roman"/>
                <w:szCs w:val="24"/>
              </w:rPr>
            </w:pPr>
            <w:r w:rsidRPr="006B7F40">
              <w:rPr>
                <w:rFonts w:eastAsia="Times New Roman" w:cs="Times New Roman"/>
                <w:szCs w:val="24"/>
              </w:rPr>
              <w:t>Dose and administration</w:t>
            </w:r>
          </w:p>
        </w:tc>
        <w:tc>
          <w:tcPr>
            <w:tcW w:w="6750" w:type="dxa"/>
          </w:tcPr>
          <w:p w14:paraId="4491083F" w14:textId="77777777" w:rsidR="006E5981" w:rsidRPr="005B245E" w:rsidRDefault="006E5981" w:rsidP="002D6DD7">
            <w:pPr>
              <w:jc w:val="both"/>
              <w:rPr>
                <w:rFonts w:cs="Times New Roman"/>
                <w:b/>
                <w:bCs/>
                <w:szCs w:val="24"/>
              </w:rPr>
            </w:pPr>
            <w:r w:rsidRPr="003034DE">
              <w:rPr>
                <w:rFonts w:cs="Times New Roman"/>
                <w:b/>
                <w:bCs/>
                <w:szCs w:val="24"/>
              </w:rPr>
              <w:t>Adult:</w:t>
            </w:r>
            <w:r w:rsidR="005B245E">
              <w:rPr>
                <w:rFonts w:cs="Times New Roman"/>
                <w:b/>
                <w:bCs/>
                <w:szCs w:val="24"/>
              </w:rPr>
              <w:t xml:space="preserve"> </w:t>
            </w:r>
            <w:r w:rsidRPr="006B7F40">
              <w:rPr>
                <w:rFonts w:cs="Times New Roman"/>
                <w:szCs w:val="24"/>
              </w:rPr>
              <w:t xml:space="preserve">Initial </w:t>
            </w:r>
            <w:r>
              <w:rPr>
                <w:rFonts w:cs="Times New Roman"/>
                <w:szCs w:val="24"/>
              </w:rPr>
              <w:t>d</w:t>
            </w:r>
            <w:r w:rsidRPr="006B7F40">
              <w:rPr>
                <w:rFonts w:cs="Times New Roman"/>
                <w:szCs w:val="24"/>
              </w:rPr>
              <w:t>ose: 250 mg orally once daily.</w:t>
            </w:r>
          </w:p>
          <w:p w14:paraId="0AF6435D" w14:textId="77777777" w:rsidR="006E5981" w:rsidRPr="006B7F40" w:rsidRDefault="006E5981" w:rsidP="002D6DD7">
            <w:pPr>
              <w:jc w:val="both"/>
              <w:rPr>
                <w:rFonts w:cs="Times New Roman"/>
                <w:szCs w:val="24"/>
              </w:rPr>
            </w:pPr>
            <w:r w:rsidRPr="006B7F40">
              <w:rPr>
                <w:rFonts w:cs="Times New Roman"/>
                <w:szCs w:val="24"/>
              </w:rPr>
              <w:lastRenderedPageBreak/>
              <w:t xml:space="preserve">Maintenance </w:t>
            </w:r>
            <w:r>
              <w:rPr>
                <w:rFonts w:cs="Times New Roman"/>
                <w:szCs w:val="24"/>
              </w:rPr>
              <w:t>d</w:t>
            </w:r>
            <w:r w:rsidRPr="006B7F40">
              <w:rPr>
                <w:rFonts w:cs="Times New Roman"/>
                <w:szCs w:val="24"/>
              </w:rPr>
              <w:t xml:space="preserve">ose: Continue with 250 mg once daily. In some cases, the dose may be adjusted to 500 mg twice weekly. </w:t>
            </w:r>
          </w:p>
        </w:tc>
      </w:tr>
      <w:tr w:rsidR="006E5981" w:rsidRPr="006B7F40" w14:paraId="05775278" w14:textId="77777777" w:rsidTr="002D6DD7">
        <w:tc>
          <w:tcPr>
            <w:tcW w:w="2605" w:type="dxa"/>
          </w:tcPr>
          <w:p w14:paraId="506B86A4" w14:textId="77777777" w:rsidR="006E5981" w:rsidRPr="006B7F40" w:rsidRDefault="006E5981" w:rsidP="002D6DD7">
            <w:pPr>
              <w:jc w:val="both"/>
              <w:rPr>
                <w:rFonts w:cs="Times New Roman"/>
                <w:szCs w:val="24"/>
              </w:rPr>
            </w:pPr>
            <w:r w:rsidRPr="006B7F40">
              <w:rPr>
                <w:rFonts w:cs="Times New Roman"/>
                <w:szCs w:val="24"/>
              </w:rPr>
              <w:lastRenderedPageBreak/>
              <w:t>Contraindications</w:t>
            </w:r>
          </w:p>
        </w:tc>
        <w:tc>
          <w:tcPr>
            <w:tcW w:w="6750" w:type="dxa"/>
          </w:tcPr>
          <w:p w14:paraId="4819163F" w14:textId="77777777" w:rsidR="006E5981" w:rsidRPr="006B7F40" w:rsidRDefault="006E5981" w:rsidP="002D6DD7">
            <w:pPr>
              <w:jc w:val="both"/>
              <w:rPr>
                <w:rFonts w:cs="Times New Roman"/>
                <w:szCs w:val="24"/>
              </w:rPr>
            </w:pPr>
            <w:r>
              <w:rPr>
                <w:rFonts w:cs="Times New Roman"/>
                <w:bCs/>
                <w:szCs w:val="24"/>
              </w:rPr>
              <w:t>H</w:t>
            </w:r>
            <w:r w:rsidRPr="006B7F40">
              <w:rPr>
                <w:rFonts w:cs="Times New Roman"/>
                <w:bCs/>
                <w:szCs w:val="24"/>
              </w:rPr>
              <w:t xml:space="preserve">ypersensitivity to </w:t>
            </w:r>
            <w:r>
              <w:rPr>
                <w:rFonts w:cs="Times New Roman"/>
                <w:bCs/>
                <w:szCs w:val="24"/>
              </w:rPr>
              <w:t>the drug</w:t>
            </w:r>
            <w:r w:rsidRPr="006B7F40">
              <w:rPr>
                <w:rFonts w:cs="Times New Roman"/>
                <w:bCs/>
                <w:szCs w:val="24"/>
              </w:rPr>
              <w:t>, preexisting retinopathy or other significant visual field changes, psoriasis.</w:t>
            </w:r>
          </w:p>
        </w:tc>
      </w:tr>
      <w:tr w:rsidR="006E5981" w:rsidRPr="006B7F40" w14:paraId="7861B197" w14:textId="77777777" w:rsidTr="002D6DD7">
        <w:tc>
          <w:tcPr>
            <w:tcW w:w="2605" w:type="dxa"/>
          </w:tcPr>
          <w:p w14:paraId="4DA3886E" w14:textId="77777777" w:rsidR="006E5981" w:rsidRPr="006B7F40" w:rsidRDefault="006E5981" w:rsidP="002D6DD7">
            <w:pPr>
              <w:jc w:val="both"/>
              <w:rPr>
                <w:rFonts w:cs="Times New Roman"/>
                <w:szCs w:val="24"/>
              </w:rPr>
            </w:pPr>
            <w:r w:rsidRPr="006B7F40">
              <w:rPr>
                <w:rFonts w:cs="Times New Roman"/>
                <w:szCs w:val="24"/>
              </w:rPr>
              <w:t>Drug interactions</w:t>
            </w:r>
          </w:p>
        </w:tc>
        <w:tc>
          <w:tcPr>
            <w:tcW w:w="6750" w:type="dxa"/>
          </w:tcPr>
          <w:p w14:paraId="15B5BEB4" w14:textId="77777777" w:rsidR="006E5981" w:rsidRPr="006B7F40" w:rsidRDefault="006E5981" w:rsidP="002D6DD7">
            <w:pPr>
              <w:jc w:val="both"/>
              <w:rPr>
                <w:rFonts w:cs="Times New Roman"/>
                <w:szCs w:val="24"/>
              </w:rPr>
            </w:pPr>
            <w:r>
              <w:rPr>
                <w:rFonts w:cs="Times New Roman"/>
                <w:szCs w:val="24"/>
              </w:rPr>
              <w:t>A</w:t>
            </w:r>
            <w:r w:rsidRPr="006B7F40">
              <w:rPr>
                <w:rFonts w:cs="Times New Roman"/>
                <w:szCs w:val="24"/>
              </w:rPr>
              <w:t xml:space="preserve">spirin, epinephrine, azithromycin, ciprofloxacin, amiodarone, antiepileptics, metoprolol, </w:t>
            </w:r>
            <w:r>
              <w:rPr>
                <w:rFonts w:cs="Times New Roman"/>
                <w:szCs w:val="24"/>
              </w:rPr>
              <w:t>p</w:t>
            </w:r>
            <w:r w:rsidRPr="006B7F40">
              <w:rPr>
                <w:rFonts w:cs="Times New Roman"/>
                <w:szCs w:val="24"/>
              </w:rPr>
              <w:t>aracetamol, alprazolam, antacids</w:t>
            </w:r>
            <w:r>
              <w:rPr>
                <w:rFonts w:cs="Times New Roman"/>
                <w:szCs w:val="24"/>
              </w:rPr>
              <w:t xml:space="preserve">, </w:t>
            </w:r>
            <w:r w:rsidRPr="006B7F40">
              <w:rPr>
                <w:rFonts w:cs="Times New Roman"/>
                <w:szCs w:val="24"/>
              </w:rPr>
              <w:t xml:space="preserve">kaolin </w:t>
            </w:r>
          </w:p>
        </w:tc>
      </w:tr>
      <w:tr w:rsidR="006E5981" w:rsidRPr="006B7F40" w14:paraId="20BEB65D" w14:textId="77777777" w:rsidTr="002D6DD7">
        <w:tc>
          <w:tcPr>
            <w:tcW w:w="2605" w:type="dxa"/>
          </w:tcPr>
          <w:p w14:paraId="56E6E285" w14:textId="77777777" w:rsidR="006E5981" w:rsidRPr="006B7F40" w:rsidRDefault="006E5981" w:rsidP="002D6DD7">
            <w:pPr>
              <w:jc w:val="both"/>
              <w:rPr>
                <w:rFonts w:cs="Times New Roman"/>
                <w:szCs w:val="24"/>
              </w:rPr>
            </w:pPr>
            <w:r w:rsidRPr="006B7F40">
              <w:rPr>
                <w:rFonts w:cs="Times New Roman"/>
                <w:szCs w:val="24"/>
              </w:rPr>
              <w:t>Side effects</w:t>
            </w:r>
          </w:p>
        </w:tc>
        <w:tc>
          <w:tcPr>
            <w:tcW w:w="6750" w:type="dxa"/>
          </w:tcPr>
          <w:p w14:paraId="728CDB1C" w14:textId="77777777" w:rsidR="006E5981" w:rsidRPr="006B7F40" w:rsidRDefault="006E5981" w:rsidP="002D6DD7">
            <w:pPr>
              <w:jc w:val="both"/>
              <w:rPr>
                <w:rFonts w:cs="Times New Roman"/>
                <w:szCs w:val="24"/>
              </w:rPr>
            </w:pPr>
            <w:r>
              <w:rPr>
                <w:rFonts w:cs="Times New Roman"/>
                <w:szCs w:val="24"/>
              </w:rPr>
              <w:t>N</w:t>
            </w:r>
            <w:r w:rsidRPr="006B7F40">
              <w:rPr>
                <w:rFonts w:cs="Times New Roman"/>
                <w:szCs w:val="24"/>
              </w:rPr>
              <w:t>ausea, vomiting, diarrhea, abdominal pain, headache, blurred vision, difficulty focusing, skin reactions, convulsions, depigmentation or loss of hair, bone-marrow suppression, hearing loss, tinnitus, retinal damage, cardiomyopathy, myopathy</w:t>
            </w:r>
          </w:p>
        </w:tc>
      </w:tr>
      <w:tr w:rsidR="006E5981" w:rsidRPr="006B7F40" w14:paraId="7E47F4AA" w14:textId="77777777" w:rsidTr="002D6DD7">
        <w:tc>
          <w:tcPr>
            <w:tcW w:w="2605" w:type="dxa"/>
          </w:tcPr>
          <w:p w14:paraId="4F66C48F" w14:textId="77777777" w:rsidR="006E5981" w:rsidRPr="006B7F40" w:rsidRDefault="006E5981" w:rsidP="002D6DD7">
            <w:pPr>
              <w:jc w:val="both"/>
              <w:rPr>
                <w:rFonts w:cs="Times New Roman"/>
                <w:szCs w:val="24"/>
              </w:rPr>
            </w:pPr>
            <w:r w:rsidRPr="006B7F40">
              <w:rPr>
                <w:rFonts w:cs="Times New Roman"/>
                <w:szCs w:val="24"/>
              </w:rPr>
              <w:t xml:space="preserve">Cautions </w:t>
            </w:r>
          </w:p>
        </w:tc>
        <w:tc>
          <w:tcPr>
            <w:tcW w:w="6750" w:type="dxa"/>
          </w:tcPr>
          <w:p w14:paraId="348F7353" w14:textId="77777777" w:rsidR="006E5981" w:rsidRPr="006B7F40" w:rsidRDefault="006E5981" w:rsidP="002D6DD7">
            <w:pPr>
              <w:jc w:val="both"/>
              <w:rPr>
                <w:rFonts w:cs="Times New Roman"/>
                <w:szCs w:val="24"/>
              </w:rPr>
            </w:pPr>
            <w:r>
              <w:rPr>
                <w:rFonts w:cs="Times New Roman"/>
                <w:szCs w:val="24"/>
              </w:rPr>
              <w:t>A</w:t>
            </w:r>
            <w:r w:rsidRPr="006B7F40">
              <w:rPr>
                <w:rFonts w:cs="Times New Roman"/>
                <w:szCs w:val="24"/>
              </w:rPr>
              <w:t xml:space="preserve">cute porphyrias, diabetes, G6PD deficiency, long-term therapy; myasthenia gravis, exacerbate psoriasis, neurological disorders, </w:t>
            </w:r>
            <w:r>
              <w:rPr>
                <w:rFonts w:cs="Times New Roman"/>
                <w:szCs w:val="24"/>
              </w:rPr>
              <w:t>GI</w:t>
            </w:r>
            <w:r w:rsidRPr="006B7F40">
              <w:rPr>
                <w:rFonts w:cs="Times New Roman"/>
                <w:szCs w:val="24"/>
              </w:rPr>
              <w:t xml:space="preserve"> and dermatological conditions, pregnancy</w:t>
            </w:r>
            <w:r>
              <w:rPr>
                <w:rFonts w:cs="Times New Roman"/>
                <w:szCs w:val="24"/>
              </w:rPr>
              <w:t xml:space="preserve">, </w:t>
            </w:r>
            <w:r w:rsidRPr="006B7F40">
              <w:rPr>
                <w:rFonts w:cs="Times New Roman"/>
                <w:szCs w:val="24"/>
              </w:rPr>
              <w:t>breastfeeding</w:t>
            </w:r>
          </w:p>
        </w:tc>
      </w:tr>
      <w:tr w:rsidR="006E5981" w:rsidRPr="006B7F40" w14:paraId="258793EB" w14:textId="77777777" w:rsidTr="002D6DD7">
        <w:tc>
          <w:tcPr>
            <w:tcW w:w="2605" w:type="dxa"/>
          </w:tcPr>
          <w:p w14:paraId="298222D5" w14:textId="77777777" w:rsidR="006E5981" w:rsidRPr="006B7F40" w:rsidRDefault="006E5981" w:rsidP="002D6DD7">
            <w:pPr>
              <w:jc w:val="both"/>
              <w:rPr>
                <w:rFonts w:cs="Times New Roman"/>
                <w:szCs w:val="24"/>
              </w:rPr>
            </w:pPr>
            <w:r w:rsidRPr="006B7F40">
              <w:rPr>
                <w:rFonts w:cs="Times New Roman"/>
                <w:szCs w:val="24"/>
              </w:rPr>
              <w:t>Storage condition</w:t>
            </w:r>
          </w:p>
        </w:tc>
        <w:tc>
          <w:tcPr>
            <w:tcW w:w="6750" w:type="dxa"/>
          </w:tcPr>
          <w:p w14:paraId="007F0FA3" w14:textId="77777777" w:rsidR="006E5981" w:rsidRPr="006B7F40" w:rsidRDefault="006E5981" w:rsidP="002D6DD7">
            <w:pPr>
              <w:jc w:val="both"/>
              <w:rPr>
                <w:rFonts w:cs="Times New Roman"/>
                <w:szCs w:val="24"/>
              </w:rPr>
            </w:pPr>
            <w:r w:rsidRPr="006B7F40">
              <w:rPr>
                <w:rFonts w:cs="Times New Roman"/>
                <w:szCs w:val="24"/>
              </w:rPr>
              <w:t>Store below 30°C</w:t>
            </w:r>
            <w:r>
              <w:rPr>
                <w:rFonts w:cs="Times New Roman"/>
                <w:szCs w:val="24"/>
              </w:rPr>
              <w:t>. P</w:t>
            </w:r>
            <w:r w:rsidRPr="006B7F40">
              <w:rPr>
                <w:rFonts w:cs="Times New Roman"/>
                <w:szCs w:val="24"/>
              </w:rPr>
              <w:t>rotect from moisture and light.</w:t>
            </w:r>
          </w:p>
        </w:tc>
      </w:tr>
      <w:tr w:rsidR="006E5981" w:rsidRPr="006B7F40" w14:paraId="56337905" w14:textId="77777777" w:rsidTr="002D6DD7">
        <w:tc>
          <w:tcPr>
            <w:tcW w:w="9355" w:type="dxa"/>
            <w:gridSpan w:val="2"/>
          </w:tcPr>
          <w:p w14:paraId="5D425E96" w14:textId="77777777" w:rsidR="006E5981" w:rsidRPr="006B7F40" w:rsidRDefault="006E5981" w:rsidP="002D6DD7">
            <w:pPr>
              <w:jc w:val="both"/>
              <w:rPr>
                <w:rFonts w:cs="Times New Roman"/>
                <w:b/>
                <w:bCs/>
                <w:szCs w:val="24"/>
              </w:rPr>
            </w:pPr>
            <w:bookmarkStart w:id="104" w:name="_Toc168337703"/>
            <w:r w:rsidRPr="006B7F40">
              <w:rPr>
                <w:rFonts w:cs="Times New Roman"/>
                <w:b/>
                <w:bCs/>
                <w:szCs w:val="24"/>
              </w:rPr>
              <w:t>Methotrexate</w:t>
            </w:r>
            <w:bookmarkEnd w:id="104"/>
          </w:p>
        </w:tc>
      </w:tr>
      <w:tr w:rsidR="006E5981" w:rsidRPr="006B7F40" w14:paraId="5BF556C4" w14:textId="77777777" w:rsidTr="002D6DD7">
        <w:tc>
          <w:tcPr>
            <w:tcW w:w="2605" w:type="dxa"/>
          </w:tcPr>
          <w:p w14:paraId="0FB692C8" w14:textId="77777777" w:rsidR="006E5981" w:rsidRPr="006B7F40" w:rsidRDefault="006E5981" w:rsidP="002D6DD7">
            <w:pPr>
              <w:jc w:val="both"/>
              <w:rPr>
                <w:rFonts w:cs="Times New Roman"/>
                <w:szCs w:val="24"/>
              </w:rPr>
            </w:pPr>
            <w:r w:rsidRPr="006B7F40">
              <w:rPr>
                <w:rFonts w:cs="Times New Roman"/>
                <w:szCs w:val="24"/>
              </w:rPr>
              <w:t>Pharmacological class</w:t>
            </w:r>
          </w:p>
        </w:tc>
        <w:tc>
          <w:tcPr>
            <w:tcW w:w="6750" w:type="dxa"/>
          </w:tcPr>
          <w:p w14:paraId="6A29AD97" w14:textId="77777777" w:rsidR="006E5981" w:rsidRPr="006B7F40" w:rsidRDefault="006E5981" w:rsidP="002D6DD7">
            <w:pPr>
              <w:rPr>
                <w:rFonts w:cs="Times New Roman"/>
                <w:szCs w:val="24"/>
              </w:rPr>
            </w:pPr>
            <w:r>
              <w:rPr>
                <w:rFonts w:cs="Times New Roman"/>
                <w:szCs w:val="24"/>
              </w:rPr>
              <w:t>DMARD</w:t>
            </w:r>
          </w:p>
        </w:tc>
      </w:tr>
      <w:tr w:rsidR="006E5981" w:rsidRPr="006B7F40" w14:paraId="77527EE3" w14:textId="77777777" w:rsidTr="002D6DD7">
        <w:tc>
          <w:tcPr>
            <w:tcW w:w="2605" w:type="dxa"/>
          </w:tcPr>
          <w:p w14:paraId="6E0E8008" w14:textId="77777777" w:rsidR="006E5981" w:rsidRPr="006B7F40" w:rsidRDefault="006E5981" w:rsidP="002D6DD7">
            <w:pPr>
              <w:jc w:val="both"/>
              <w:rPr>
                <w:rFonts w:cs="Times New Roman"/>
                <w:szCs w:val="24"/>
              </w:rPr>
            </w:pPr>
            <w:r w:rsidRPr="006B7F40">
              <w:rPr>
                <w:rFonts w:cs="Times New Roman"/>
                <w:szCs w:val="24"/>
              </w:rPr>
              <w:t>Dosage form</w:t>
            </w:r>
          </w:p>
        </w:tc>
        <w:tc>
          <w:tcPr>
            <w:tcW w:w="6750" w:type="dxa"/>
          </w:tcPr>
          <w:p w14:paraId="3D52A326" w14:textId="77777777" w:rsidR="006E5981" w:rsidRPr="006B7F40" w:rsidRDefault="006E5981" w:rsidP="002D6DD7">
            <w:pPr>
              <w:jc w:val="both"/>
              <w:rPr>
                <w:rFonts w:cs="Times New Roman"/>
                <w:szCs w:val="24"/>
                <w:lang w:val="sv-SE"/>
              </w:rPr>
            </w:pPr>
            <w:r w:rsidRPr="006B7F40">
              <w:rPr>
                <w:rFonts w:cs="Times New Roman"/>
                <w:szCs w:val="24"/>
                <w:lang w:val="sv-SE"/>
              </w:rPr>
              <w:t>Tablet: 2.5 mg, 5 mg, 7.5 mg, 10 mg, 15 mg</w:t>
            </w:r>
          </w:p>
          <w:p w14:paraId="2649C68B" w14:textId="77777777" w:rsidR="006E5981" w:rsidRPr="006B7F40" w:rsidRDefault="006E5981" w:rsidP="002D6DD7">
            <w:pPr>
              <w:jc w:val="both"/>
              <w:rPr>
                <w:rFonts w:cs="Times New Roman"/>
                <w:szCs w:val="24"/>
              </w:rPr>
            </w:pPr>
            <w:r w:rsidRPr="006B7F40">
              <w:rPr>
                <w:rFonts w:cs="Times New Roman"/>
                <w:szCs w:val="24"/>
              </w:rPr>
              <w:t>Powder for Injection: 5 mg, 50mg in vial</w:t>
            </w:r>
          </w:p>
        </w:tc>
      </w:tr>
      <w:tr w:rsidR="006E5981" w:rsidRPr="006B7F40" w14:paraId="07AB3978" w14:textId="77777777" w:rsidTr="002D6DD7">
        <w:tc>
          <w:tcPr>
            <w:tcW w:w="2605" w:type="dxa"/>
          </w:tcPr>
          <w:p w14:paraId="32DAB3BD" w14:textId="77777777" w:rsidR="006E5981" w:rsidRPr="006B7F40" w:rsidRDefault="006E5981" w:rsidP="002D6DD7">
            <w:pPr>
              <w:jc w:val="both"/>
              <w:rPr>
                <w:rFonts w:cs="Times New Roman"/>
                <w:bCs/>
                <w:szCs w:val="24"/>
              </w:rPr>
            </w:pPr>
            <w:r w:rsidRPr="006B7F40">
              <w:rPr>
                <w:rFonts w:cs="Times New Roman"/>
                <w:bCs/>
                <w:szCs w:val="24"/>
              </w:rPr>
              <w:t>Indications</w:t>
            </w:r>
          </w:p>
        </w:tc>
        <w:tc>
          <w:tcPr>
            <w:tcW w:w="6750" w:type="dxa"/>
          </w:tcPr>
          <w:p w14:paraId="0B2E3B72" w14:textId="77777777" w:rsidR="006E5981" w:rsidRPr="006B7F40" w:rsidRDefault="006E5981" w:rsidP="002D6DD7">
            <w:pPr>
              <w:jc w:val="both"/>
              <w:rPr>
                <w:rFonts w:cs="Times New Roman"/>
                <w:szCs w:val="24"/>
              </w:rPr>
            </w:pPr>
            <w:r w:rsidRPr="006B7F40">
              <w:rPr>
                <w:rFonts w:cs="Times New Roman"/>
                <w:szCs w:val="24"/>
              </w:rPr>
              <w:t>Rheumatoid arthritis, psoriatic arthritis, juvenile idiopathic arthritis, other autoimmune diseases</w:t>
            </w:r>
          </w:p>
        </w:tc>
      </w:tr>
      <w:tr w:rsidR="006E5981" w:rsidRPr="006B7F40" w14:paraId="05487FFE" w14:textId="77777777" w:rsidTr="002D6DD7">
        <w:tc>
          <w:tcPr>
            <w:tcW w:w="2605" w:type="dxa"/>
          </w:tcPr>
          <w:p w14:paraId="4EC854C9" w14:textId="77777777" w:rsidR="006E5981" w:rsidRPr="006B7F40" w:rsidRDefault="006E5981" w:rsidP="002D6DD7">
            <w:pPr>
              <w:rPr>
                <w:rFonts w:cs="Times New Roman"/>
                <w:szCs w:val="24"/>
              </w:rPr>
            </w:pPr>
            <w:r w:rsidRPr="006B7F40">
              <w:rPr>
                <w:rFonts w:eastAsia="Times New Roman" w:cs="Times New Roman"/>
                <w:szCs w:val="24"/>
              </w:rPr>
              <w:t>Dose and administration</w:t>
            </w:r>
          </w:p>
        </w:tc>
        <w:tc>
          <w:tcPr>
            <w:tcW w:w="6750" w:type="dxa"/>
          </w:tcPr>
          <w:p w14:paraId="76697297" w14:textId="77777777" w:rsidR="006E5981" w:rsidRPr="006B7F40" w:rsidRDefault="006E5981" w:rsidP="002D6DD7">
            <w:pPr>
              <w:jc w:val="both"/>
              <w:rPr>
                <w:rFonts w:cs="Times New Roman"/>
                <w:b/>
                <w:szCs w:val="24"/>
              </w:rPr>
            </w:pPr>
            <w:r w:rsidRPr="006B7F40">
              <w:rPr>
                <w:rFonts w:cs="Times New Roman"/>
                <w:b/>
                <w:szCs w:val="24"/>
              </w:rPr>
              <w:t>Rheumatoid arthritis and psoriatic arthritis</w:t>
            </w:r>
          </w:p>
          <w:p w14:paraId="465E0750" w14:textId="77777777" w:rsidR="006E5981" w:rsidRPr="005B245E" w:rsidRDefault="006E5981" w:rsidP="002D6DD7">
            <w:pPr>
              <w:jc w:val="both"/>
              <w:rPr>
                <w:rFonts w:cs="Times New Roman"/>
                <w:b/>
                <w:szCs w:val="24"/>
              </w:rPr>
            </w:pPr>
            <w:r w:rsidRPr="006B7F40">
              <w:rPr>
                <w:rFonts w:cs="Times New Roman"/>
                <w:b/>
                <w:szCs w:val="24"/>
              </w:rPr>
              <w:t>Adult:</w:t>
            </w:r>
            <w:r w:rsidR="005B245E">
              <w:rPr>
                <w:rFonts w:cs="Times New Roman"/>
                <w:b/>
                <w:szCs w:val="24"/>
              </w:rPr>
              <w:t xml:space="preserve"> </w:t>
            </w:r>
            <w:r w:rsidRPr="006B7F40">
              <w:rPr>
                <w:rFonts w:cs="Times New Roman"/>
                <w:bCs/>
                <w:szCs w:val="24"/>
              </w:rPr>
              <w:t xml:space="preserve">Initial </w:t>
            </w:r>
            <w:r>
              <w:rPr>
                <w:rFonts w:cs="Times New Roman"/>
                <w:bCs/>
                <w:szCs w:val="24"/>
              </w:rPr>
              <w:t>d</w:t>
            </w:r>
            <w:r w:rsidRPr="006B7F40">
              <w:rPr>
                <w:rFonts w:cs="Times New Roman"/>
                <w:bCs/>
                <w:szCs w:val="24"/>
              </w:rPr>
              <w:t>ose: 7.5-15 mg orally or SC once weekly.</w:t>
            </w:r>
          </w:p>
          <w:p w14:paraId="204B56AA" w14:textId="77777777" w:rsidR="006E5981" w:rsidRPr="006B7F40" w:rsidRDefault="006E5981" w:rsidP="002D6DD7">
            <w:pPr>
              <w:jc w:val="both"/>
              <w:rPr>
                <w:rFonts w:cs="Times New Roman"/>
                <w:bCs/>
                <w:szCs w:val="24"/>
              </w:rPr>
            </w:pPr>
            <w:r w:rsidRPr="006B7F40">
              <w:rPr>
                <w:rFonts w:cs="Times New Roman"/>
                <w:bCs/>
                <w:szCs w:val="24"/>
              </w:rPr>
              <w:t xml:space="preserve">Maintenance </w:t>
            </w:r>
            <w:r>
              <w:rPr>
                <w:rFonts w:cs="Times New Roman"/>
                <w:bCs/>
                <w:szCs w:val="24"/>
              </w:rPr>
              <w:t>d</w:t>
            </w:r>
            <w:r w:rsidRPr="006B7F40">
              <w:rPr>
                <w:rFonts w:cs="Times New Roman"/>
                <w:bCs/>
                <w:szCs w:val="24"/>
              </w:rPr>
              <w:t>ose: Increase by 2.5-5 mg weekly as needed, based on response and tolerance. Maximum weekly dose: 25-30 mg.</w:t>
            </w:r>
          </w:p>
        </w:tc>
      </w:tr>
      <w:tr w:rsidR="006E5981" w:rsidRPr="006B7F40" w14:paraId="4864FBF0" w14:textId="77777777" w:rsidTr="002D6DD7">
        <w:tc>
          <w:tcPr>
            <w:tcW w:w="2605" w:type="dxa"/>
          </w:tcPr>
          <w:p w14:paraId="4962EAA5" w14:textId="77777777" w:rsidR="006E5981" w:rsidRPr="006B7F40" w:rsidRDefault="006E5981" w:rsidP="002D6DD7">
            <w:pPr>
              <w:jc w:val="both"/>
              <w:rPr>
                <w:rFonts w:cs="Times New Roman"/>
                <w:szCs w:val="24"/>
              </w:rPr>
            </w:pPr>
            <w:r w:rsidRPr="006B7F40">
              <w:rPr>
                <w:rFonts w:cs="Times New Roman"/>
                <w:szCs w:val="24"/>
              </w:rPr>
              <w:t>Contraindications</w:t>
            </w:r>
          </w:p>
        </w:tc>
        <w:tc>
          <w:tcPr>
            <w:tcW w:w="6750" w:type="dxa"/>
          </w:tcPr>
          <w:p w14:paraId="72D09EB2" w14:textId="77777777" w:rsidR="006E5981" w:rsidRPr="006B7F40" w:rsidRDefault="006E5981" w:rsidP="002D6DD7">
            <w:pPr>
              <w:jc w:val="both"/>
              <w:rPr>
                <w:rFonts w:cs="Times New Roman"/>
                <w:szCs w:val="24"/>
              </w:rPr>
            </w:pPr>
            <w:r>
              <w:rPr>
                <w:rFonts w:cs="Times New Roman"/>
                <w:szCs w:val="24"/>
              </w:rPr>
              <w:t>Refer to Methotrexate under medicines for sarcoidosis and ILD</w:t>
            </w:r>
          </w:p>
        </w:tc>
      </w:tr>
      <w:tr w:rsidR="006E5981" w:rsidRPr="006B7F40" w14:paraId="28EC95C8" w14:textId="77777777" w:rsidTr="002D6DD7">
        <w:tc>
          <w:tcPr>
            <w:tcW w:w="2605" w:type="dxa"/>
          </w:tcPr>
          <w:p w14:paraId="652207F8" w14:textId="77777777" w:rsidR="006E5981" w:rsidRPr="006B7F40" w:rsidRDefault="006E5981" w:rsidP="002D6DD7">
            <w:pPr>
              <w:jc w:val="both"/>
              <w:rPr>
                <w:rFonts w:cs="Times New Roman"/>
                <w:szCs w:val="24"/>
              </w:rPr>
            </w:pPr>
            <w:r w:rsidRPr="006B7F40">
              <w:rPr>
                <w:rFonts w:cs="Times New Roman"/>
                <w:szCs w:val="24"/>
              </w:rPr>
              <w:t>Drug interactions</w:t>
            </w:r>
          </w:p>
        </w:tc>
        <w:tc>
          <w:tcPr>
            <w:tcW w:w="6750" w:type="dxa"/>
          </w:tcPr>
          <w:p w14:paraId="65989081" w14:textId="77777777" w:rsidR="006E5981" w:rsidRPr="006B7F40" w:rsidRDefault="006E5981" w:rsidP="002D6DD7">
            <w:pPr>
              <w:jc w:val="both"/>
              <w:rPr>
                <w:rFonts w:cs="Times New Roman"/>
                <w:szCs w:val="24"/>
              </w:rPr>
            </w:pPr>
            <w:r>
              <w:rPr>
                <w:rFonts w:cs="Times New Roman"/>
                <w:szCs w:val="24"/>
              </w:rPr>
              <w:t>Refer to Methotrexate under medicines for sarcoidosis and ILD</w:t>
            </w:r>
          </w:p>
        </w:tc>
      </w:tr>
      <w:tr w:rsidR="006E5981" w:rsidRPr="006B7F40" w14:paraId="3BF4D392" w14:textId="77777777" w:rsidTr="002D6DD7">
        <w:tc>
          <w:tcPr>
            <w:tcW w:w="2605" w:type="dxa"/>
          </w:tcPr>
          <w:p w14:paraId="173AE93C" w14:textId="77777777" w:rsidR="006E5981" w:rsidRPr="006B7F40" w:rsidRDefault="006E5981" w:rsidP="002D6DD7">
            <w:pPr>
              <w:jc w:val="both"/>
              <w:rPr>
                <w:rFonts w:cs="Times New Roman"/>
                <w:szCs w:val="24"/>
              </w:rPr>
            </w:pPr>
            <w:r w:rsidRPr="006B7F40">
              <w:rPr>
                <w:rFonts w:cs="Times New Roman"/>
                <w:szCs w:val="24"/>
              </w:rPr>
              <w:t>Side effects</w:t>
            </w:r>
          </w:p>
        </w:tc>
        <w:tc>
          <w:tcPr>
            <w:tcW w:w="6750" w:type="dxa"/>
          </w:tcPr>
          <w:p w14:paraId="4A125287" w14:textId="77777777" w:rsidR="006E5981" w:rsidRPr="006B7F40" w:rsidRDefault="006E5981" w:rsidP="002D6DD7">
            <w:pPr>
              <w:jc w:val="both"/>
              <w:rPr>
                <w:rFonts w:cs="Times New Roman"/>
                <w:bCs/>
                <w:szCs w:val="24"/>
              </w:rPr>
            </w:pPr>
            <w:r>
              <w:rPr>
                <w:rFonts w:cs="Times New Roman"/>
                <w:szCs w:val="24"/>
              </w:rPr>
              <w:t>Refer to Methotrexate under medicines for sarcoidosis and ILD</w:t>
            </w:r>
          </w:p>
        </w:tc>
      </w:tr>
      <w:tr w:rsidR="006E5981" w:rsidRPr="006B7F40" w14:paraId="2A58D766" w14:textId="77777777" w:rsidTr="002D6DD7">
        <w:tc>
          <w:tcPr>
            <w:tcW w:w="2605" w:type="dxa"/>
          </w:tcPr>
          <w:p w14:paraId="3A65494D" w14:textId="77777777" w:rsidR="006E5981" w:rsidRPr="006B7F40" w:rsidRDefault="006E5981" w:rsidP="002D6DD7">
            <w:pPr>
              <w:jc w:val="both"/>
              <w:rPr>
                <w:rFonts w:cs="Times New Roman"/>
                <w:szCs w:val="24"/>
              </w:rPr>
            </w:pPr>
            <w:r w:rsidRPr="006B7F40">
              <w:rPr>
                <w:rFonts w:cs="Times New Roman"/>
                <w:szCs w:val="24"/>
              </w:rPr>
              <w:t xml:space="preserve">Cautions </w:t>
            </w:r>
          </w:p>
        </w:tc>
        <w:tc>
          <w:tcPr>
            <w:tcW w:w="6750" w:type="dxa"/>
          </w:tcPr>
          <w:p w14:paraId="5AB9F0D4" w14:textId="77777777" w:rsidR="006E5981" w:rsidRPr="006B7F40" w:rsidRDefault="006E5981" w:rsidP="002D6DD7">
            <w:pPr>
              <w:jc w:val="both"/>
              <w:rPr>
                <w:rFonts w:cs="Times New Roman"/>
                <w:szCs w:val="24"/>
              </w:rPr>
            </w:pPr>
            <w:r>
              <w:rPr>
                <w:rFonts w:cs="Times New Roman"/>
                <w:szCs w:val="24"/>
              </w:rPr>
              <w:t>Refer to Methotrexate under medicines for sarcoidosis and ILD</w:t>
            </w:r>
          </w:p>
        </w:tc>
      </w:tr>
      <w:tr w:rsidR="006E5981" w:rsidRPr="006B7F40" w14:paraId="460114FE" w14:textId="77777777" w:rsidTr="002D6DD7">
        <w:tc>
          <w:tcPr>
            <w:tcW w:w="2605" w:type="dxa"/>
          </w:tcPr>
          <w:p w14:paraId="2D4C2A7D" w14:textId="77777777" w:rsidR="006E5981" w:rsidRPr="006B7F40" w:rsidRDefault="006E5981" w:rsidP="002D6DD7">
            <w:pPr>
              <w:jc w:val="both"/>
              <w:rPr>
                <w:rFonts w:cs="Times New Roman"/>
                <w:szCs w:val="24"/>
              </w:rPr>
            </w:pPr>
            <w:r w:rsidRPr="006B7F40">
              <w:rPr>
                <w:rFonts w:cs="Times New Roman"/>
                <w:szCs w:val="24"/>
              </w:rPr>
              <w:t>Storage condition</w:t>
            </w:r>
          </w:p>
        </w:tc>
        <w:tc>
          <w:tcPr>
            <w:tcW w:w="6750" w:type="dxa"/>
          </w:tcPr>
          <w:p w14:paraId="5E06CD5B" w14:textId="77777777" w:rsidR="006E5981" w:rsidRPr="006B7F40" w:rsidRDefault="006E5981" w:rsidP="002D6DD7">
            <w:pPr>
              <w:jc w:val="both"/>
              <w:rPr>
                <w:rFonts w:cs="Times New Roman"/>
                <w:szCs w:val="24"/>
              </w:rPr>
            </w:pPr>
            <w:r w:rsidRPr="006B7F40">
              <w:rPr>
                <w:rFonts w:cs="Times New Roman"/>
                <w:szCs w:val="24"/>
              </w:rPr>
              <w:t>Store below 30°C and protect from light.</w:t>
            </w:r>
          </w:p>
        </w:tc>
      </w:tr>
      <w:tr w:rsidR="006E5981" w:rsidRPr="006B7F40" w14:paraId="3AE01516" w14:textId="77777777" w:rsidTr="002D6DD7">
        <w:tc>
          <w:tcPr>
            <w:tcW w:w="9355" w:type="dxa"/>
            <w:gridSpan w:val="2"/>
          </w:tcPr>
          <w:p w14:paraId="328F348F" w14:textId="77777777" w:rsidR="006E5981" w:rsidRPr="006B7F40" w:rsidRDefault="006E5981" w:rsidP="002D6DD7">
            <w:pPr>
              <w:jc w:val="both"/>
              <w:rPr>
                <w:rFonts w:cs="Times New Roman"/>
                <w:b/>
                <w:bCs/>
                <w:szCs w:val="24"/>
              </w:rPr>
            </w:pPr>
            <w:bookmarkStart w:id="105" w:name="_Toc168337707"/>
            <w:r w:rsidRPr="006B7F40">
              <w:rPr>
                <w:rFonts w:cs="Times New Roman"/>
                <w:b/>
                <w:bCs/>
                <w:szCs w:val="24"/>
              </w:rPr>
              <w:lastRenderedPageBreak/>
              <w:t>Pencilamine</w:t>
            </w:r>
            <w:bookmarkEnd w:id="105"/>
          </w:p>
        </w:tc>
      </w:tr>
      <w:tr w:rsidR="006E5981" w:rsidRPr="006B7F40" w14:paraId="46EEF91B" w14:textId="77777777" w:rsidTr="002D6DD7">
        <w:tc>
          <w:tcPr>
            <w:tcW w:w="2605" w:type="dxa"/>
          </w:tcPr>
          <w:p w14:paraId="4195BD3E" w14:textId="77777777" w:rsidR="006E5981" w:rsidRPr="006B7F40" w:rsidRDefault="006E5981" w:rsidP="002D6DD7">
            <w:pPr>
              <w:jc w:val="both"/>
              <w:rPr>
                <w:rFonts w:cs="Times New Roman"/>
                <w:szCs w:val="24"/>
              </w:rPr>
            </w:pPr>
            <w:r w:rsidRPr="006B7F40">
              <w:rPr>
                <w:rFonts w:cs="Times New Roman"/>
                <w:szCs w:val="24"/>
              </w:rPr>
              <w:t>Pharmacological class</w:t>
            </w:r>
          </w:p>
        </w:tc>
        <w:tc>
          <w:tcPr>
            <w:tcW w:w="6750" w:type="dxa"/>
          </w:tcPr>
          <w:p w14:paraId="2889BB9B" w14:textId="77777777" w:rsidR="006E5981" w:rsidRPr="006B7F40" w:rsidRDefault="006E5981" w:rsidP="002D6DD7">
            <w:pPr>
              <w:jc w:val="both"/>
              <w:rPr>
                <w:rFonts w:cs="Times New Roman"/>
                <w:szCs w:val="24"/>
              </w:rPr>
            </w:pPr>
            <w:r w:rsidRPr="006B7F40">
              <w:rPr>
                <w:rFonts w:cs="Times New Roman"/>
                <w:szCs w:val="24"/>
              </w:rPr>
              <w:t>DMARD</w:t>
            </w:r>
          </w:p>
        </w:tc>
      </w:tr>
      <w:tr w:rsidR="006E5981" w:rsidRPr="006B7F40" w14:paraId="19AE002D" w14:textId="77777777" w:rsidTr="002D6DD7">
        <w:tc>
          <w:tcPr>
            <w:tcW w:w="2605" w:type="dxa"/>
          </w:tcPr>
          <w:p w14:paraId="58D76BCE" w14:textId="77777777" w:rsidR="006E5981" w:rsidRPr="006B7F40" w:rsidRDefault="006E5981" w:rsidP="002D6DD7">
            <w:pPr>
              <w:jc w:val="both"/>
              <w:rPr>
                <w:rFonts w:cs="Times New Roman"/>
                <w:szCs w:val="24"/>
              </w:rPr>
            </w:pPr>
            <w:r w:rsidRPr="006B7F40">
              <w:rPr>
                <w:rFonts w:cs="Times New Roman"/>
                <w:szCs w:val="24"/>
              </w:rPr>
              <w:t>Dosage form</w:t>
            </w:r>
          </w:p>
        </w:tc>
        <w:tc>
          <w:tcPr>
            <w:tcW w:w="6750" w:type="dxa"/>
          </w:tcPr>
          <w:p w14:paraId="5B4FA65C" w14:textId="77777777" w:rsidR="006E5981" w:rsidRPr="006B7F40" w:rsidRDefault="006E5981" w:rsidP="002D6DD7">
            <w:pPr>
              <w:jc w:val="both"/>
              <w:rPr>
                <w:rFonts w:cs="Times New Roman"/>
                <w:szCs w:val="24"/>
              </w:rPr>
            </w:pPr>
            <w:r w:rsidRPr="006B7F40">
              <w:rPr>
                <w:rFonts w:cs="Times New Roman"/>
                <w:szCs w:val="24"/>
              </w:rPr>
              <w:t>Tablet: 125 mg, 250 mg</w:t>
            </w:r>
          </w:p>
        </w:tc>
      </w:tr>
      <w:tr w:rsidR="006E5981" w:rsidRPr="006B7F40" w14:paraId="499AA242" w14:textId="77777777" w:rsidTr="002D6DD7">
        <w:tc>
          <w:tcPr>
            <w:tcW w:w="2605" w:type="dxa"/>
          </w:tcPr>
          <w:p w14:paraId="43496F47" w14:textId="77777777" w:rsidR="006E5981" w:rsidRPr="006B7F40" w:rsidRDefault="006E5981" w:rsidP="002D6DD7">
            <w:pPr>
              <w:jc w:val="both"/>
              <w:rPr>
                <w:rFonts w:cs="Times New Roman"/>
                <w:bCs/>
                <w:szCs w:val="24"/>
              </w:rPr>
            </w:pPr>
            <w:r w:rsidRPr="006B7F40">
              <w:rPr>
                <w:rFonts w:cs="Times New Roman"/>
                <w:bCs/>
                <w:szCs w:val="24"/>
              </w:rPr>
              <w:t>Indications</w:t>
            </w:r>
          </w:p>
        </w:tc>
        <w:tc>
          <w:tcPr>
            <w:tcW w:w="6750" w:type="dxa"/>
          </w:tcPr>
          <w:p w14:paraId="733EC1B8" w14:textId="77777777" w:rsidR="006E5981" w:rsidRPr="006B7F40" w:rsidRDefault="006E5981" w:rsidP="002D6DD7">
            <w:pPr>
              <w:jc w:val="both"/>
              <w:rPr>
                <w:rFonts w:cs="Times New Roman"/>
                <w:szCs w:val="24"/>
              </w:rPr>
            </w:pPr>
            <w:r w:rsidRPr="006B7F40">
              <w:rPr>
                <w:rFonts w:cs="Times New Roman"/>
                <w:szCs w:val="24"/>
              </w:rPr>
              <w:t>Severe active rheumatoid arthritis, Willson’s disease, cystinuria, other autoimmune diseases</w:t>
            </w:r>
          </w:p>
        </w:tc>
      </w:tr>
      <w:tr w:rsidR="006E5981" w:rsidRPr="006B7F40" w14:paraId="4C2280B3" w14:textId="77777777" w:rsidTr="002D6DD7">
        <w:tc>
          <w:tcPr>
            <w:tcW w:w="2605" w:type="dxa"/>
          </w:tcPr>
          <w:p w14:paraId="4C4FA5E7" w14:textId="77777777" w:rsidR="006E5981" w:rsidRPr="006B7F40" w:rsidRDefault="006E5981" w:rsidP="002D6DD7">
            <w:pPr>
              <w:rPr>
                <w:rFonts w:cs="Times New Roman"/>
                <w:szCs w:val="24"/>
              </w:rPr>
            </w:pPr>
            <w:r w:rsidRPr="006B7F40">
              <w:rPr>
                <w:rFonts w:eastAsia="Times New Roman" w:cs="Times New Roman"/>
                <w:szCs w:val="24"/>
              </w:rPr>
              <w:t>Dose and administration</w:t>
            </w:r>
          </w:p>
        </w:tc>
        <w:tc>
          <w:tcPr>
            <w:tcW w:w="6750" w:type="dxa"/>
          </w:tcPr>
          <w:p w14:paraId="269C6649" w14:textId="77777777" w:rsidR="006E5981" w:rsidRPr="006B7F40" w:rsidRDefault="006E5981" w:rsidP="002D6DD7">
            <w:pPr>
              <w:jc w:val="both"/>
              <w:rPr>
                <w:rFonts w:cs="Times New Roman"/>
                <w:b/>
                <w:bCs/>
                <w:szCs w:val="24"/>
              </w:rPr>
            </w:pPr>
            <w:r w:rsidRPr="006B7F40">
              <w:rPr>
                <w:rFonts w:cs="Times New Roman"/>
                <w:b/>
                <w:bCs/>
                <w:szCs w:val="24"/>
              </w:rPr>
              <w:t>Rheumatoid arthritis</w:t>
            </w:r>
          </w:p>
          <w:p w14:paraId="590CD06A" w14:textId="77777777" w:rsidR="006E5981" w:rsidRPr="006B7F40" w:rsidRDefault="006E5981" w:rsidP="002D6DD7">
            <w:pPr>
              <w:jc w:val="both"/>
              <w:rPr>
                <w:rFonts w:cs="Times New Roman"/>
                <w:szCs w:val="24"/>
              </w:rPr>
            </w:pPr>
            <w:r w:rsidRPr="006B7F40">
              <w:rPr>
                <w:rFonts w:cs="Times New Roman"/>
                <w:b/>
                <w:bCs/>
                <w:szCs w:val="24"/>
              </w:rPr>
              <w:t>Adult:</w:t>
            </w:r>
            <w:r w:rsidRPr="006B7F40">
              <w:rPr>
                <w:rFonts w:cs="Times New Roman"/>
                <w:szCs w:val="24"/>
              </w:rPr>
              <w:t xml:space="preserve"> Initially 125–250 mg daily for 1 month, then increased in steps of 125–250 mg, at intervals of not less than 4 weeks; maintenance 500–750 mg daily in divided doses, then reduced in steps of 125–250 mg every 12 weeks, dose reduction attempted only if remission sustained for 6 months; maximum 1.5 g per day</w:t>
            </w:r>
          </w:p>
          <w:p w14:paraId="5BA460CD" w14:textId="77777777" w:rsidR="006E5981" w:rsidRPr="006B7F40" w:rsidRDefault="006E5981" w:rsidP="002D6DD7">
            <w:pPr>
              <w:jc w:val="both"/>
              <w:rPr>
                <w:rFonts w:cs="Times New Roman"/>
                <w:szCs w:val="24"/>
              </w:rPr>
            </w:pPr>
            <w:r w:rsidRPr="006B7F40">
              <w:rPr>
                <w:rFonts w:cs="Times New Roman"/>
                <w:b/>
                <w:bCs/>
                <w:szCs w:val="24"/>
              </w:rPr>
              <w:t>Elderly:</w:t>
            </w:r>
            <w:r w:rsidRPr="006B7F40">
              <w:rPr>
                <w:rFonts w:cs="Times New Roman"/>
                <w:szCs w:val="24"/>
              </w:rPr>
              <w:t xml:space="preserve"> Initially up to 125 mg daily for 1 month, then increased in steps of up to 125 mg, at intervals of at least 4 weeks; maximum 1 g per day</w:t>
            </w:r>
          </w:p>
        </w:tc>
      </w:tr>
      <w:tr w:rsidR="006E5981" w:rsidRPr="006B7F40" w14:paraId="2D541E18" w14:textId="77777777" w:rsidTr="002D6DD7">
        <w:tc>
          <w:tcPr>
            <w:tcW w:w="2605" w:type="dxa"/>
          </w:tcPr>
          <w:p w14:paraId="62B01FE7" w14:textId="77777777" w:rsidR="006E5981" w:rsidRPr="006B7F40" w:rsidRDefault="006E5981" w:rsidP="002D6DD7">
            <w:pPr>
              <w:jc w:val="both"/>
              <w:rPr>
                <w:rFonts w:cs="Times New Roman"/>
                <w:szCs w:val="24"/>
              </w:rPr>
            </w:pPr>
            <w:r w:rsidRPr="006B7F40">
              <w:rPr>
                <w:rFonts w:cs="Times New Roman"/>
                <w:szCs w:val="24"/>
              </w:rPr>
              <w:t>Contraindications</w:t>
            </w:r>
          </w:p>
        </w:tc>
        <w:tc>
          <w:tcPr>
            <w:tcW w:w="6750" w:type="dxa"/>
          </w:tcPr>
          <w:p w14:paraId="19C4C8B2" w14:textId="77777777" w:rsidR="006E5981" w:rsidRPr="006B7F40" w:rsidRDefault="006E5981" w:rsidP="002D6DD7">
            <w:pPr>
              <w:jc w:val="both"/>
              <w:rPr>
                <w:rFonts w:cs="Times New Roman"/>
                <w:szCs w:val="24"/>
              </w:rPr>
            </w:pPr>
            <w:r w:rsidRPr="006B7F40">
              <w:rPr>
                <w:rFonts w:cs="Times New Roman"/>
                <w:szCs w:val="24"/>
              </w:rPr>
              <w:t xml:space="preserve">Hypersensitivity to </w:t>
            </w:r>
            <w:r>
              <w:rPr>
                <w:rFonts w:cs="Times New Roman"/>
                <w:szCs w:val="24"/>
              </w:rPr>
              <w:t>the drug,</w:t>
            </w:r>
            <w:r w:rsidRPr="006B7F40">
              <w:rPr>
                <w:rFonts w:cs="Times New Roman"/>
                <w:szCs w:val="24"/>
              </w:rPr>
              <w:t xml:space="preserve"> history of penicillamine-induced aplastic anemia or agranulocytosis, lupus erythematosus</w:t>
            </w:r>
          </w:p>
        </w:tc>
      </w:tr>
      <w:tr w:rsidR="006E5981" w:rsidRPr="006B7F40" w14:paraId="0B314FB8" w14:textId="77777777" w:rsidTr="002D6DD7">
        <w:tc>
          <w:tcPr>
            <w:tcW w:w="2605" w:type="dxa"/>
          </w:tcPr>
          <w:p w14:paraId="0F1358DC" w14:textId="77777777" w:rsidR="006E5981" w:rsidRPr="006B7F40" w:rsidRDefault="006E5981" w:rsidP="002D6DD7">
            <w:pPr>
              <w:jc w:val="both"/>
              <w:rPr>
                <w:rFonts w:cs="Times New Roman"/>
                <w:szCs w:val="24"/>
              </w:rPr>
            </w:pPr>
            <w:r w:rsidRPr="006B7F40">
              <w:rPr>
                <w:rFonts w:cs="Times New Roman"/>
                <w:szCs w:val="24"/>
              </w:rPr>
              <w:t>Drug interactions</w:t>
            </w:r>
          </w:p>
        </w:tc>
        <w:tc>
          <w:tcPr>
            <w:tcW w:w="6750" w:type="dxa"/>
          </w:tcPr>
          <w:p w14:paraId="7444B71A" w14:textId="77777777" w:rsidR="006E5981" w:rsidRPr="006B7F40" w:rsidRDefault="006E5981" w:rsidP="002D6DD7">
            <w:pPr>
              <w:jc w:val="both"/>
              <w:rPr>
                <w:rFonts w:cs="Times New Roman"/>
                <w:szCs w:val="24"/>
              </w:rPr>
            </w:pPr>
            <w:r w:rsidRPr="006B7F40">
              <w:rPr>
                <w:rFonts w:cs="Times New Roman"/>
                <w:szCs w:val="24"/>
              </w:rPr>
              <w:t>Gold salts, antimalarials (chloroquine, hydroxychloroquine), digoxin, iron supplements, NSAIDs</w:t>
            </w:r>
          </w:p>
        </w:tc>
      </w:tr>
      <w:tr w:rsidR="006E5981" w:rsidRPr="006B7F40" w14:paraId="175F6AE9" w14:textId="77777777" w:rsidTr="002D6DD7">
        <w:tc>
          <w:tcPr>
            <w:tcW w:w="2605" w:type="dxa"/>
          </w:tcPr>
          <w:p w14:paraId="7DCBEF47" w14:textId="77777777" w:rsidR="006E5981" w:rsidRPr="006B7F40" w:rsidRDefault="006E5981" w:rsidP="002D6DD7">
            <w:pPr>
              <w:jc w:val="both"/>
              <w:rPr>
                <w:rFonts w:cs="Times New Roman"/>
                <w:szCs w:val="24"/>
              </w:rPr>
            </w:pPr>
            <w:r w:rsidRPr="006B7F40">
              <w:rPr>
                <w:rFonts w:cs="Times New Roman"/>
                <w:szCs w:val="24"/>
              </w:rPr>
              <w:t>Side effects</w:t>
            </w:r>
          </w:p>
        </w:tc>
        <w:tc>
          <w:tcPr>
            <w:tcW w:w="6750" w:type="dxa"/>
          </w:tcPr>
          <w:p w14:paraId="13A761CB" w14:textId="77777777" w:rsidR="006E5981" w:rsidRPr="006B7F40" w:rsidRDefault="006E5981" w:rsidP="002D6DD7">
            <w:pPr>
              <w:jc w:val="both"/>
              <w:rPr>
                <w:rFonts w:cs="Times New Roman"/>
                <w:szCs w:val="24"/>
              </w:rPr>
            </w:pPr>
            <w:r w:rsidRPr="006B7F40">
              <w:rPr>
                <w:rFonts w:cs="Times New Roman"/>
                <w:szCs w:val="24"/>
              </w:rPr>
              <w:t>Nausea, vomiting, diarrhea, anorexia, taste alteration, proteinuria, hematuria, rash, fever, lymphadenopathy, aplastic anemia, agranulocytosis, thrombocytopenia, lupus-like syndrome.</w:t>
            </w:r>
          </w:p>
        </w:tc>
      </w:tr>
      <w:tr w:rsidR="006E5981" w:rsidRPr="006B7F40" w14:paraId="007EF876" w14:textId="77777777" w:rsidTr="002D6DD7">
        <w:tc>
          <w:tcPr>
            <w:tcW w:w="2605" w:type="dxa"/>
          </w:tcPr>
          <w:p w14:paraId="42952F08" w14:textId="77777777" w:rsidR="006E5981" w:rsidRPr="006B7F40" w:rsidRDefault="006E5981" w:rsidP="002D6DD7">
            <w:pPr>
              <w:jc w:val="both"/>
              <w:rPr>
                <w:rFonts w:cs="Times New Roman"/>
                <w:szCs w:val="24"/>
              </w:rPr>
            </w:pPr>
            <w:r w:rsidRPr="006B7F40">
              <w:rPr>
                <w:rFonts w:cs="Times New Roman"/>
                <w:szCs w:val="24"/>
              </w:rPr>
              <w:t xml:space="preserve">Cautions </w:t>
            </w:r>
          </w:p>
        </w:tc>
        <w:tc>
          <w:tcPr>
            <w:tcW w:w="6750" w:type="dxa"/>
          </w:tcPr>
          <w:p w14:paraId="703A1D32" w14:textId="77777777" w:rsidR="006E5981" w:rsidRPr="006B7F40" w:rsidRDefault="006E5981" w:rsidP="002D6DD7">
            <w:pPr>
              <w:jc w:val="both"/>
              <w:rPr>
                <w:rFonts w:cs="Times New Roman"/>
                <w:szCs w:val="24"/>
              </w:rPr>
            </w:pPr>
            <w:r w:rsidRPr="006B7F40">
              <w:rPr>
                <w:rFonts w:cs="Times New Roman"/>
                <w:szCs w:val="24"/>
              </w:rPr>
              <w:t>Renal impairment, bone marrow suppression, immunosuppressive treatment, pregnancy</w:t>
            </w:r>
          </w:p>
        </w:tc>
      </w:tr>
      <w:tr w:rsidR="006E5981" w:rsidRPr="006B7F40" w14:paraId="00918397" w14:textId="77777777" w:rsidTr="002D6DD7">
        <w:tc>
          <w:tcPr>
            <w:tcW w:w="2605" w:type="dxa"/>
          </w:tcPr>
          <w:p w14:paraId="220E6C8F" w14:textId="77777777" w:rsidR="006E5981" w:rsidRPr="006B7F40" w:rsidRDefault="006E5981" w:rsidP="002D6DD7">
            <w:pPr>
              <w:jc w:val="both"/>
              <w:rPr>
                <w:rFonts w:cs="Times New Roman"/>
                <w:szCs w:val="24"/>
              </w:rPr>
            </w:pPr>
            <w:r w:rsidRPr="006B7F40">
              <w:rPr>
                <w:rFonts w:cs="Times New Roman"/>
                <w:szCs w:val="24"/>
              </w:rPr>
              <w:t>Storage condition</w:t>
            </w:r>
          </w:p>
        </w:tc>
        <w:tc>
          <w:tcPr>
            <w:tcW w:w="6750" w:type="dxa"/>
          </w:tcPr>
          <w:p w14:paraId="1E676B71" w14:textId="77777777" w:rsidR="006E5981" w:rsidRPr="006B7F40" w:rsidRDefault="006E5981" w:rsidP="002D6DD7">
            <w:pPr>
              <w:jc w:val="both"/>
              <w:rPr>
                <w:rFonts w:cs="Times New Roman"/>
                <w:szCs w:val="24"/>
              </w:rPr>
            </w:pPr>
            <w:r w:rsidRPr="006B7F40">
              <w:rPr>
                <w:rFonts w:cs="Times New Roman"/>
                <w:szCs w:val="24"/>
              </w:rPr>
              <w:t>Store below 30°C</w:t>
            </w:r>
            <w:r>
              <w:rPr>
                <w:rFonts w:cs="Times New Roman"/>
                <w:szCs w:val="24"/>
              </w:rPr>
              <w:t>. P</w:t>
            </w:r>
            <w:r w:rsidRPr="006B7F40">
              <w:rPr>
                <w:rFonts w:cs="Times New Roman"/>
                <w:szCs w:val="24"/>
              </w:rPr>
              <w:t>rotect from light and moisture.</w:t>
            </w:r>
          </w:p>
        </w:tc>
      </w:tr>
      <w:tr w:rsidR="006E5981" w:rsidRPr="006B7F40" w14:paraId="53FD4ADD" w14:textId="77777777" w:rsidTr="002D6DD7">
        <w:tc>
          <w:tcPr>
            <w:tcW w:w="9355" w:type="dxa"/>
            <w:gridSpan w:val="2"/>
          </w:tcPr>
          <w:p w14:paraId="6971F628" w14:textId="77777777" w:rsidR="006E5981" w:rsidRPr="006B7F40" w:rsidRDefault="006E5981" w:rsidP="002D6DD7">
            <w:pPr>
              <w:jc w:val="both"/>
              <w:rPr>
                <w:rFonts w:cs="Times New Roman"/>
                <w:b/>
                <w:bCs/>
                <w:szCs w:val="24"/>
              </w:rPr>
            </w:pPr>
            <w:bookmarkStart w:id="106" w:name="_Toc168337704"/>
            <w:r w:rsidRPr="006B7F40">
              <w:rPr>
                <w:rFonts w:cs="Times New Roman"/>
                <w:b/>
                <w:bCs/>
                <w:szCs w:val="24"/>
              </w:rPr>
              <w:t>Sulfasalazine</w:t>
            </w:r>
            <w:bookmarkEnd w:id="106"/>
          </w:p>
        </w:tc>
      </w:tr>
      <w:tr w:rsidR="006E5981" w:rsidRPr="006B7F40" w14:paraId="7626B120" w14:textId="77777777" w:rsidTr="002D6DD7">
        <w:tc>
          <w:tcPr>
            <w:tcW w:w="2605" w:type="dxa"/>
          </w:tcPr>
          <w:p w14:paraId="372DE451" w14:textId="77777777" w:rsidR="006E5981" w:rsidRPr="006B7F40" w:rsidRDefault="006E5981" w:rsidP="002D6DD7">
            <w:pPr>
              <w:jc w:val="both"/>
              <w:rPr>
                <w:rFonts w:cs="Times New Roman"/>
                <w:szCs w:val="24"/>
              </w:rPr>
            </w:pPr>
            <w:r w:rsidRPr="006B7F40">
              <w:rPr>
                <w:rFonts w:cs="Times New Roman"/>
                <w:szCs w:val="24"/>
              </w:rPr>
              <w:t>Pharmacological class</w:t>
            </w:r>
          </w:p>
        </w:tc>
        <w:tc>
          <w:tcPr>
            <w:tcW w:w="6750" w:type="dxa"/>
          </w:tcPr>
          <w:p w14:paraId="769CBDB5" w14:textId="77777777" w:rsidR="006E5981" w:rsidRPr="006B7F40" w:rsidRDefault="006E5981" w:rsidP="002D6DD7">
            <w:pPr>
              <w:jc w:val="both"/>
              <w:rPr>
                <w:rFonts w:cs="Times New Roman"/>
                <w:szCs w:val="24"/>
              </w:rPr>
            </w:pPr>
            <w:r w:rsidRPr="006B7F40">
              <w:rPr>
                <w:rFonts w:cs="Times New Roman"/>
                <w:szCs w:val="24"/>
              </w:rPr>
              <w:t>DMARD</w:t>
            </w:r>
          </w:p>
        </w:tc>
      </w:tr>
      <w:tr w:rsidR="006E5981" w:rsidRPr="006B7F40" w14:paraId="655B39AA" w14:textId="77777777" w:rsidTr="002D6DD7">
        <w:tc>
          <w:tcPr>
            <w:tcW w:w="2605" w:type="dxa"/>
          </w:tcPr>
          <w:p w14:paraId="456619E0" w14:textId="77777777" w:rsidR="006E5981" w:rsidRPr="006B7F40" w:rsidRDefault="006E5981" w:rsidP="002D6DD7">
            <w:pPr>
              <w:jc w:val="both"/>
              <w:rPr>
                <w:rFonts w:cs="Times New Roman"/>
                <w:szCs w:val="24"/>
              </w:rPr>
            </w:pPr>
            <w:r w:rsidRPr="006B7F40">
              <w:rPr>
                <w:rFonts w:cs="Times New Roman"/>
                <w:szCs w:val="24"/>
              </w:rPr>
              <w:t>Dosage form</w:t>
            </w:r>
          </w:p>
        </w:tc>
        <w:tc>
          <w:tcPr>
            <w:tcW w:w="6750" w:type="dxa"/>
          </w:tcPr>
          <w:p w14:paraId="78FB8CF3" w14:textId="77777777" w:rsidR="006E5981" w:rsidRPr="006B7F40" w:rsidRDefault="006E5981" w:rsidP="002D6DD7">
            <w:pPr>
              <w:jc w:val="both"/>
              <w:rPr>
                <w:rFonts w:cs="Times New Roman"/>
                <w:szCs w:val="24"/>
              </w:rPr>
            </w:pPr>
            <w:r w:rsidRPr="006B7F40">
              <w:rPr>
                <w:rFonts w:cs="Times New Roman"/>
                <w:szCs w:val="24"/>
              </w:rPr>
              <w:t>Tablet: 500mg</w:t>
            </w:r>
          </w:p>
        </w:tc>
      </w:tr>
      <w:tr w:rsidR="006E5981" w:rsidRPr="006B7F40" w14:paraId="476D217B" w14:textId="77777777" w:rsidTr="002D6DD7">
        <w:tc>
          <w:tcPr>
            <w:tcW w:w="2605" w:type="dxa"/>
          </w:tcPr>
          <w:p w14:paraId="77C02478" w14:textId="77777777" w:rsidR="006E5981" w:rsidRPr="006B7F40" w:rsidRDefault="006E5981" w:rsidP="002D6DD7">
            <w:pPr>
              <w:jc w:val="both"/>
              <w:rPr>
                <w:rFonts w:cs="Times New Roman"/>
                <w:bCs/>
                <w:szCs w:val="24"/>
              </w:rPr>
            </w:pPr>
            <w:r w:rsidRPr="006B7F40">
              <w:rPr>
                <w:rFonts w:cs="Times New Roman"/>
                <w:bCs/>
                <w:szCs w:val="24"/>
              </w:rPr>
              <w:t>Indications</w:t>
            </w:r>
          </w:p>
        </w:tc>
        <w:tc>
          <w:tcPr>
            <w:tcW w:w="6750" w:type="dxa"/>
          </w:tcPr>
          <w:p w14:paraId="2143F726" w14:textId="77777777" w:rsidR="006E5981" w:rsidRPr="006B7F40" w:rsidRDefault="006E5981" w:rsidP="002D6DD7">
            <w:pPr>
              <w:jc w:val="both"/>
              <w:rPr>
                <w:rFonts w:cs="Times New Roman"/>
                <w:szCs w:val="24"/>
              </w:rPr>
            </w:pPr>
            <w:r w:rsidRPr="006B7F40">
              <w:rPr>
                <w:rFonts w:cs="Times New Roman"/>
                <w:szCs w:val="24"/>
              </w:rPr>
              <w:t>Rheumatoid arthritis, juvenile idiopathic arthritis, inflammatory bowel disease</w:t>
            </w:r>
          </w:p>
        </w:tc>
      </w:tr>
      <w:tr w:rsidR="006E5981" w:rsidRPr="006B7F40" w14:paraId="2669B1C0" w14:textId="77777777" w:rsidTr="002D6DD7">
        <w:tc>
          <w:tcPr>
            <w:tcW w:w="2605" w:type="dxa"/>
          </w:tcPr>
          <w:p w14:paraId="40AA39C2" w14:textId="77777777" w:rsidR="006E5981" w:rsidRPr="006B7F40" w:rsidRDefault="006E5981" w:rsidP="002D6DD7">
            <w:pPr>
              <w:rPr>
                <w:rFonts w:cs="Times New Roman"/>
                <w:szCs w:val="24"/>
              </w:rPr>
            </w:pPr>
            <w:r w:rsidRPr="006B7F40">
              <w:rPr>
                <w:rFonts w:eastAsia="Times New Roman" w:cs="Times New Roman"/>
                <w:szCs w:val="24"/>
              </w:rPr>
              <w:t>Dose and administration</w:t>
            </w:r>
          </w:p>
        </w:tc>
        <w:tc>
          <w:tcPr>
            <w:tcW w:w="6750" w:type="dxa"/>
          </w:tcPr>
          <w:p w14:paraId="5D76ABA7" w14:textId="77777777" w:rsidR="006E5981" w:rsidRPr="006B7F40" w:rsidRDefault="006E5981" w:rsidP="002D6DD7">
            <w:pPr>
              <w:jc w:val="both"/>
              <w:rPr>
                <w:rFonts w:cs="Times New Roman"/>
                <w:b/>
                <w:szCs w:val="24"/>
              </w:rPr>
            </w:pPr>
            <w:r w:rsidRPr="006B7F40">
              <w:rPr>
                <w:rFonts w:cs="Times New Roman"/>
                <w:b/>
                <w:szCs w:val="24"/>
              </w:rPr>
              <w:t xml:space="preserve">Rheumatoid arthritis </w:t>
            </w:r>
          </w:p>
          <w:p w14:paraId="2CA42041" w14:textId="77777777" w:rsidR="006E5981" w:rsidRPr="006B7F40" w:rsidRDefault="006E5981" w:rsidP="002D6DD7">
            <w:pPr>
              <w:jc w:val="both"/>
              <w:rPr>
                <w:rFonts w:cs="Times New Roman"/>
                <w:bCs/>
                <w:szCs w:val="24"/>
              </w:rPr>
            </w:pPr>
            <w:r w:rsidRPr="006B7F40">
              <w:rPr>
                <w:rFonts w:cs="Times New Roman"/>
                <w:b/>
                <w:szCs w:val="24"/>
              </w:rPr>
              <w:lastRenderedPageBreak/>
              <w:t>Adult:</w:t>
            </w:r>
            <w:r w:rsidR="007624E8">
              <w:rPr>
                <w:rFonts w:cs="Times New Roman"/>
                <w:b/>
                <w:szCs w:val="24"/>
              </w:rPr>
              <w:t xml:space="preserve"> </w:t>
            </w:r>
            <w:r w:rsidRPr="006B7F40">
              <w:rPr>
                <w:rFonts w:cs="Times New Roman"/>
                <w:bCs/>
                <w:szCs w:val="24"/>
              </w:rPr>
              <w:t xml:space="preserve">Initial </w:t>
            </w:r>
            <w:r>
              <w:rPr>
                <w:rFonts w:cs="Times New Roman"/>
                <w:bCs/>
                <w:szCs w:val="24"/>
              </w:rPr>
              <w:t>d</w:t>
            </w:r>
            <w:r w:rsidRPr="006B7F40">
              <w:rPr>
                <w:rFonts w:cs="Times New Roman"/>
                <w:bCs/>
                <w:szCs w:val="24"/>
              </w:rPr>
              <w:t>ose: 500 mg to 1 g orally once daily.</w:t>
            </w:r>
          </w:p>
          <w:p w14:paraId="2F761762" w14:textId="77777777" w:rsidR="006E5981" w:rsidRPr="006B7F40" w:rsidRDefault="006E5981" w:rsidP="002D6DD7">
            <w:pPr>
              <w:jc w:val="both"/>
              <w:rPr>
                <w:rFonts w:cs="Times New Roman"/>
                <w:bCs/>
                <w:szCs w:val="24"/>
              </w:rPr>
            </w:pPr>
            <w:r w:rsidRPr="006B7F40">
              <w:rPr>
                <w:rFonts w:cs="Times New Roman"/>
                <w:bCs/>
                <w:szCs w:val="24"/>
              </w:rPr>
              <w:t xml:space="preserve">Maintenance </w:t>
            </w:r>
            <w:r>
              <w:rPr>
                <w:rFonts w:cs="Times New Roman"/>
                <w:bCs/>
                <w:szCs w:val="24"/>
              </w:rPr>
              <w:t>d</w:t>
            </w:r>
            <w:r w:rsidRPr="006B7F40">
              <w:rPr>
                <w:rFonts w:cs="Times New Roman"/>
                <w:bCs/>
                <w:szCs w:val="24"/>
              </w:rPr>
              <w:t>ose: Gradually increases to 2 g/day in two divided doses. Some patients may require up to 3 g/day for adequate control.</w:t>
            </w:r>
          </w:p>
          <w:p w14:paraId="606BE62A" w14:textId="77777777" w:rsidR="006E5981" w:rsidRPr="006B7F40" w:rsidRDefault="006E5981" w:rsidP="002D6DD7">
            <w:pPr>
              <w:jc w:val="both"/>
              <w:rPr>
                <w:rFonts w:cs="Times New Roman"/>
                <w:szCs w:val="24"/>
              </w:rPr>
            </w:pPr>
            <w:r w:rsidRPr="006B7F40">
              <w:rPr>
                <w:rFonts w:cs="Times New Roman"/>
                <w:bCs/>
                <w:szCs w:val="24"/>
              </w:rPr>
              <w:t xml:space="preserve">Maximum </w:t>
            </w:r>
            <w:r>
              <w:rPr>
                <w:rFonts w:cs="Times New Roman"/>
                <w:bCs/>
                <w:szCs w:val="24"/>
              </w:rPr>
              <w:t>d</w:t>
            </w:r>
            <w:r w:rsidRPr="006B7F40">
              <w:rPr>
                <w:rFonts w:cs="Times New Roman"/>
                <w:bCs/>
                <w:szCs w:val="24"/>
              </w:rPr>
              <w:t>ose: 3 g/day.</w:t>
            </w:r>
          </w:p>
        </w:tc>
      </w:tr>
      <w:tr w:rsidR="006E5981" w:rsidRPr="006B7F40" w14:paraId="38669F70" w14:textId="77777777" w:rsidTr="002D6DD7">
        <w:tc>
          <w:tcPr>
            <w:tcW w:w="2605" w:type="dxa"/>
          </w:tcPr>
          <w:p w14:paraId="3FD4DA15" w14:textId="77777777" w:rsidR="006E5981" w:rsidRPr="006B7F40" w:rsidRDefault="006E5981" w:rsidP="002D6DD7">
            <w:pPr>
              <w:jc w:val="both"/>
              <w:rPr>
                <w:rFonts w:cs="Times New Roman"/>
                <w:szCs w:val="24"/>
              </w:rPr>
            </w:pPr>
            <w:r w:rsidRPr="006B7F40">
              <w:rPr>
                <w:rFonts w:cs="Times New Roman"/>
                <w:szCs w:val="24"/>
              </w:rPr>
              <w:lastRenderedPageBreak/>
              <w:t>Contraindications</w:t>
            </w:r>
          </w:p>
        </w:tc>
        <w:tc>
          <w:tcPr>
            <w:tcW w:w="6750" w:type="dxa"/>
          </w:tcPr>
          <w:p w14:paraId="63BF2E78" w14:textId="77777777" w:rsidR="006E5981" w:rsidRPr="006B7F40" w:rsidRDefault="006E5981" w:rsidP="002D6DD7">
            <w:pPr>
              <w:jc w:val="both"/>
              <w:rPr>
                <w:rFonts w:cs="Times New Roman"/>
                <w:szCs w:val="24"/>
              </w:rPr>
            </w:pPr>
            <w:r>
              <w:rPr>
                <w:rFonts w:cs="Times New Roman"/>
                <w:szCs w:val="24"/>
              </w:rPr>
              <w:t>Hypersensitivity to the drug</w:t>
            </w:r>
            <w:r w:rsidRPr="006B7F40">
              <w:rPr>
                <w:rFonts w:cs="Times New Roman"/>
                <w:szCs w:val="24"/>
              </w:rPr>
              <w:t xml:space="preserve">, its metabolites, </w:t>
            </w:r>
            <w:r>
              <w:rPr>
                <w:rFonts w:cs="Times New Roman"/>
                <w:szCs w:val="24"/>
              </w:rPr>
              <w:t>s</w:t>
            </w:r>
            <w:r w:rsidRPr="006B7F40">
              <w:rPr>
                <w:rFonts w:cs="Times New Roman"/>
                <w:szCs w:val="24"/>
              </w:rPr>
              <w:t>ulphonamides, or salicylates</w:t>
            </w:r>
            <w:r>
              <w:rPr>
                <w:rFonts w:cs="Times New Roman"/>
                <w:szCs w:val="24"/>
              </w:rPr>
              <w:t>, i</w:t>
            </w:r>
            <w:r w:rsidRPr="006B7F40">
              <w:rPr>
                <w:rFonts w:cs="Times New Roman"/>
                <w:szCs w:val="24"/>
              </w:rPr>
              <w:t>ntestinal or urinary obstruction</w:t>
            </w:r>
            <w:r>
              <w:rPr>
                <w:rFonts w:cs="Times New Roman"/>
                <w:szCs w:val="24"/>
              </w:rPr>
              <w:t>, p</w:t>
            </w:r>
            <w:r w:rsidRPr="006B7F40">
              <w:rPr>
                <w:rFonts w:cs="Times New Roman"/>
                <w:szCs w:val="24"/>
              </w:rPr>
              <w:t>orphyria</w:t>
            </w:r>
          </w:p>
        </w:tc>
      </w:tr>
      <w:tr w:rsidR="006E5981" w:rsidRPr="006B7F40" w14:paraId="1E3152E9" w14:textId="77777777" w:rsidTr="002D6DD7">
        <w:tc>
          <w:tcPr>
            <w:tcW w:w="2605" w:type="dxa"/>
          </w:tcPr>
          <w:p w14:paraId="53FF7077" w14:textId="77777777" w:rsidR="006E5981" w:rsidRPr="006B7F40" w:rsidRDefault="006E5981" w:rsidP="002D6DD7">
            <w:pPr>
              <w:jc w:val="both"/>
              <w:rPr>
                <w:rFonts w:cs="Times New Roman"/>
                <w:szCs w:val="24"/>
              </w:rPr>
            </w:pPr>
            <w:r w:rsidRPr="006B7F40">
              <w:rPr>
                <w:rFonts w:cs="Times New Roman"/>
                <w:szCs w:val="24"/>
              </w:rPr>
              <w:t>Drug interactions</w:t>
            </w:r>
          </w:p>
        </w:tc>
        <w:tc>
          <w:tcPr>
            <w:tcW w:w="6750" w:type="dxa"/>
          </w:tcPr>
          <w:p w14:paraId="098A6AD6" w14:textId="77777777" w:rsidR="006E5981" w:rsidRPr="006B7F40" w:rsidRDefault="006E5981" w:rsidP="002D6DD7">
            <w:pPr>
              <w:jc w:val="both"/>
              <w:rPr>
                <w:rFonts w:cs="Times New Roman"/>
                <w:szCs w:val="24"/>
              </w:rPr>
            </w:pPr>
            <w:r w:rsidRPr="006B7F40">
              <w:rPr>
                <w:rFonts w:cs="Times New Roman"/>
                <w:bCs/>
                <w:szCs w:val="24"/>
              </w:rPr>
              <w:t>Warfarin, digoxin, azathioprine, folic acid, folinic acid, mercaptopurine</w:t>
            </w:r>
          </w:p>
        </w:tc>
      </w:tr>
      <w:tr w:rsidR="006E5981" w:rsidRPr="006B7F40" w14:paraId="42703F53" w14:textId="77777777" w:rsidTr="002D6DD7">
        <w:tc>
          <w:tcPr>
            <w:tcW w:w="2605" w:type="dxa"/>
          </w:tcPr>
          <w:p w14:paraId="65466CD7" w14:textId="77777777" w:rsidR="006E5981" w:rsidRPr="006B7F40" w:rsidRDefault="006E5981" w:rsidP="002D6DD7">
            <w:pPr>
              <w:jc w:val="both"/>
              <w:rPr>
                <w:rFonts w:cs="Times New Roman"/>
                <w:szCs w:val="24"/>
              </w:rPr>
            </w:pPr>
            <w:r w:rsidRPr="006B7F40">
              <w:rPr>
                <w:rFonts w:cs="Times New Roman"/>
                <w:szCs w:val="24"/>
              </w:rPr>
              <w:t>Side effects</w:t>
            </w:r>
          </w:p>
        </w:tc>
        <w:tc>
          <w:tcPr>
            <w:tcW w:w="6750" w:type="dxa"/>
          </w:tcPr>
          <w:p w14:paraId="59CA56C9" w14:textId="77777777" w:rsidR="006E5981" w:rsidRPr="006B7F40" w:rsidRDefault="006E5981" w:rsidP="002D6DD7">
            <w:pPr>
              <w:jc w:val="both"/>
              <w:rPr>
                <w:rFonts w:cs="Times New Roman"/>
                <w:szCs w:val="24"/>
              </w:rPr>
            </w:pPr>
            <w:r w:rsidRPr="006B7F40">
              <w:rPr>
                <w:rFonts w:cs="Times New Roman"/>
                <w:szCs w:val="24"/>
              </w:rPr>
              <w:t>Headache, nausea, vomiting, gastric distress, skin rash, pruritus, fever, insomnia, stomatitis, altered taste, tinnitus, urine abnormalities, anorexia, hemolytic anemia, cyanosis, reversible oligospermia.</w:t>
            </w:r>
          </w:p>
        </w:tc>
      </w:tr>
      <w:tr w:rsidR="006E5981" w:rsidRPr="006B7F40" w14:paraId="493D94CF" w14:textId="77777777" w:rsidTr="002D6DD7">
        <w:tc>
          <w:tcPr>
            <w:tcW w:w="2605" w:type="dxa"/>
          </w:tcPr>
          <w:p w14:paraId="673A38FA" w14:textId="77777777" w:rsidR="006E5981" w:rsidRPr="006B7F40" w:rsidRDefault="006E5981" w:rsidP="002D6DD7">
            <w:pPr>
              <w:jc w:val="both"/>
              <w:rPr>
                <w:rFonts w:cs="Times New Roman"/>
                <w:szCs w:val="24"/>
              </w:rPr>
            </w:pPr>
            <w:r w:rsidRPr="006B7F40">
              <w:rPr>
                <w:rFonts w:cs="Times New Roman"/>
                <w:szCs w:val="24"/>
              </w:rPr>
              <w:t xml:space="preserve">Cautions </w:t>
            </w:r>
          </w:p>
        </w:tc>
        <w:tc>
          <w:tcPr>
            <w:tcW w:w="6750" w:type="dxa"/>
          </w:tcPr>
          <w:p w14:paraId="3FA8C941" w14:textId="77777777" w:rsidR="006E5981" w:rsidRPr="006B7F40" w:rsidRDefault="006E5981" w:rsidP="002D6DD7">
            <w:pPr>
              <w:jc w:val="both"/>
              <w:rPr>
                <w:rFonts w:cs="Times New Roman"/>
                <w:szCs w:val="24"/>
              </w:rPr>
            </w:pPr>
            <w:r w:rsidRPr="006B7F40">
              <w:rPr>
                <w:rFonts w:cs="Times New Roman"/>
                <w:szCs w:val="24"/>
              </w:rPr>
              <w:t>G6PD deficiency, history of allergy or asthma, a risk of hematological or hepatic toxicity. renal impairment, acute porphyria.</w:t>
            </w:r>
          </w:p>
        </w:tc>
      </w:tr>
      <w:tr w:rsidR="006E5981" w:rsidRPr="006B7F40" w14:paraId="79CFF52E" w14:textId="77777777" w:rsidTr="002D6DD7">
        <w:tc>
          <w:tcPr>
            <w:tcW w:w="2605" w:type="dxa"/>
          </w:tcPr>
          <w:p w14:paraId="5A82AD01" w14:textId="77777777" w:rsidR="006E5981" w:rsidRPr="006B7F40" w:rsidRDefault="006E5981" w:rsidP="002D6DD7">
            <w:pPr>
              <w:jc w:val="both"/>
              <w:rPr>
                <w:rFonts w:cs="Times New Roman"/>
                <w:szCs w:val="24"/>
              </w:rPr>
            </w:pPr>
            <w:r w:rsidRPr="006B7F40">
              <w:rPr>
                <w:rFonts w:cs="Times New Roman"/>
                <w:szCs w:val="24"/>
              </w:rPr>
              <w:t>Storage condition</w:t>
            </w:r>
          </w:p>
        </w:tc>
        <w:tc>
          <w:tcPr>
            <w:tcW w:w="6750" w:type="dxa"/>
          </w:tcPr>
          <w:p w14:paraId="6233D71A" w14:textId="77777777" w:rsidR="006E5981" w:rsidRPr="006B7F40" w:rsidRDefault="006E5981" w:rsidP="002D6DD7">
            <w:pPr>
              <w:jc w:val="both"/>
              <w:rPr>
                <w:rFonts w:cs="Times New Roman"/>
                <w:szCs w:val="24"/>
              </w:rPr>
            </w:pPr>
            <w:r w:rsidRPr="006B7F40">
              <w:rPr>
                <w:rFonts w:cs="Times New Roman"/>
                <w:szCs w:val="24"/>
              </w:rPr>
              <w:t>Store below 30°C.</w:t>
            </w:r>
          </w:p>
        </w:tc>
      </w:tr>
    </w:tbl>
    <w:p w14:paraId="39FDE5C4" w14:textId="77777777" w:rsidR="006E5981" w:rsidRPr="0067637D" w:rsidRDefault="006E5981" w:rsidP="007624E8">
      <w:pPr>
        <w:pStyle w:val="Heading2"/>
        <w:spacing w:before="240" w:after="240"/>
      </w:pPr>
      <w:bookmarkStart w:id="107" w:name="_Toc179490358"/>
      <w:r w:rsidRPr="0067637D">
        <w:t>Medicines for juvenile joint diseases</w:t>
      </w:r>
      <w:bookmarkEnd w:id="107"/>
    </w:p>
    <w:p w14:paraId="5C645403" w14:textId="77777777" w:rsidR="006E5981" w:rsidRDefault="006E5981" w:rsidP="006E5981">
      <w:pPr>
        <w:spacing w:after="0"/>
        <w:jc w:val="both"/>
        <w:rPr>
          <w:rFonts w:cs="Times New Roman"/>
          <w:bCs/>
          <w:szCs w:val="24"/>
        </w:rPr>
      </w:pPr>
      <w:r w:rsidRPr="007B2EEB">
        <w:rPr>
          <w:rFonts w:cs="Times New Roman"/>
          <w:bCs/>
          <w:szCs w:val="24"/>
        </w:rPr>
        <w:t>Medicines for juvenile joint diseases are essential in managing conditions such as juvenile idiopathic arthritis (JIA) to prevent joint damage and maintain function. Acetylsalicylic acid (aspirin) provides anti-inflammatory and analgesic properties by inhibiting COX enzymes, reducing prostaglandin production and inflammation. Adalimumab, a biologic TNF inhibitor, blocks tumour necrosis factor (TNF), a key cytokine involved in inflammatory processes, thereby reducing inflammation and preventing disease progression in severe cases. Methotrexate is a cornerstone treatment in juvenile arthritis, functioning as a folate antagonist to inhibit DNA synthesis and reduce immune cell proliferation. Triamcinolone hexacetonide is a corticosteroid used for intra-articular injections, providing targeted relief of inflammation by suppressing multiple inflammatory pathways. Triamcinolone acetonide can be used as an alternative corticosteroid with similar effects.</w:t>
      </w:r>
    </w:p>
    <w:p w14:paraId="0FF7DFB1" w14:textId="77777777" w:rsidR="006E5981" w:rsidRPr="00E328E7" w:rsidRDefault="006E5981" w:rsidP="006E5981">
      <w:pPr>
        <w:spacing w:after="0"/>
        <w:jc w:val="both"/>
        <w:rPr>
          <w:rFonts w:cs="Times New Roman"/>
          <w:bCs/>
          <w:szCs w:val="24"/>
        </w:rPr>
      </w:pPr>
    </w:p>
    <w:tbl>
      <w:tblPr>
        <w:tblStyle w:val="TableGrid"/>
        <w:tblW w:w="9360" w:type="dxa"/>
        <w:tblInd w:w="-5" w:type="dxa"/>
        <w:tblLook w:val="04A0" w:firstRow="1" w:lastRow="0" w:firstColumn="1" w:lastColumn="0" w:noHBand="0" w:noVBand="1"/>
      </w:tblPr>
      <w:tblGrid>
        <w:gridCol w:w="2610"/>
        <w:gridCol w:w="6750"/>
      </w:tblGrid>
      <w:tr w:rsidR="006E5981" w:rsidRPr="00055AD8" w14:paraId="3868CA34" w14:textId="77777777" w:rsidTr="002D6DD7">
        <w:tc>
          <w:tcPr>
            <w:tcW w:w="9360" w:type="dxa"/>
            <w:gridSpan w:val="2"/>
          </w:tcPr>
          <w:p w14:paraId="334D52A8" w14:textId="77777777" w:rsidR="006E5981" w:rsidRPr="00055AD8" w:rsidRDefault="006E5981" w:rsidP="002D6DD7">
            <w:pPr>
              <w:jc w:val="both"/>
              <w:rPr>
                <w:rFonts w:cs="Times New Roman"/>
                <w:b/>
                <w:bCs/>
                <w:szCs w:val="24"/>
              </w:rPr>
            </w:pPr>
            <w:bookmarkStart w:id="108" w:name="_Toc168337708"/>
            <w:r w:rsidRPr="00055AD8">
              <w:rPr>
                <w:rFonts w:cs="Times New Roman"/>
                <w:b/>
                <w:bCs/>
                <w:szCs w:val="24"/>
              </w:rPr>
              <w:lastRenderedPageBreak/>
              <w:t>Acetylsalicylic acid</w:t>
            </w:r>
            <w:bookmarkEnd w:id="108"/>
          </w:p>
        </w:tc>
      </w:tr>
      <w:tr w:rsidR="006E5981" w:rsidRPr="00055AD8" w14:paraId="49ACA5E9" w14:textId="77777777" w:rsidTr="002D6DD7">
        <w:tc>
          <w:tcPr>
            <w:tcW w:w="2610" w:type="dxa"/>
          </w:tcPr>
          <w:p w14:paraId="2721F832" w14:textId="77777777" w:rsidR="006E5981" w:rsidRPr="00055AD8" w:rsidRDefault="006E5981" w:rsidP="002D6DD7">
            <w:pPr>
              <w:jc w:val="both"/>
              <w:rPr>
                <w:rFonts w:cs="Times New Roman"/>
                <w:szCs w:val="24"/>
              </w:rPr>
            </w:pPr>
            <w:r w:rsidRPr="00055AD8">
              <w:rPr>
                <w:rFonts w:cs="Times New Roman"/>
                <w:szCs w:val="24"/>
              </w:rPr>
              <w:t>Pharmacological class</w:t>
            </w:r>
          </w:p>
        </w:tc>
        <w:tc>
          <w:tcPr>
            <w:tcW w:w="6750" w:type="dxa"/>
          </w:tcPr>
          <w:p w14:paraId="5D3B5EB1" w14:textId="77777777" w:rsidR="006E5981" w:rsidRPr="00055AD8" w:rsidRDefault="006E5981" w:rsidP="002D6DD7">
            <w:pPr>
              <w:jc w:val="both"/>
              <w:rPr>
                <w:rFonts w:cs="Times New Roman"/>
                <w:szCs w:val="24"/>
              </w:rPr>
            </w:pPr>
            <w:r w:rsidRPr="00055AD8">
              <w:rPr>
                <w:rFonts w:cs="Times New Roman"/>
                <w:szCs w:val="24"/>
              </w:rPr>
              <w:t>NSAID</w:t>
            </w:r>
          </w:p>
        </w:tc>
      </w:tr>
      <w:tr w:rsidR="006E5981" w:rsidRPr="00055AD8" w14:paraId="610DE27D" w14:textId="77777777" w:rsidTr="002D6DD7">
        <w:tc>
          <w:tcPr>
            <w:tcW w:w="2610" w:type="dxa"/>
          </w:tcPr>
          <w:p w14:paraId="7F65ADEA" w14:textId="77777777" w:rsidR="006E5981" w:rsidRPr="00055AD8" w:rsidRDefault="006E5981" w:rsidP="002D6DD7">
            <w:pPr>
              <w:jc w:val="both"/>
              <w:rPr>
                <w:rFonts w:cs="Times New Roman"/>
                <w:szCs w:val="24"/>
              </w:rPr>
            </w:pPr>
            <w:r w:rsidRPr="00055AD8">
              <w:rPr>
                <w:rFonts w:cs="Times New Roman"/>
                <w:szCs w:val="24"/>
              </w:rPr>
              <w:t>Dosage form</w:t>
            </w:r>
          </w:p>
        </w:tc>
        <w:tc>
          <w:tcPr>
            <w:tcW w:w="6750" w:type="dxa"/>
          </w:tcPr>
          <w:p w14:paraId="7ACDD4C7" w14:textId="77777777" w:rsidR="006E5981" w:rsidRPr="00055AD8" w:rsidRDefault="006E5981" w:rsidP="002D6DD7">
            <w:pPr>
              <w:jc w:val="both"/>
              <w:rPr>
                <w:rFonts w:cs="Times New Roman"/>
                <w:szCs w:val="24"/>
              </w:rPr>
            </w:pPr>
            <w:r w:rsidRPr="00055AD8">
              <w:rPr>
                <w:rFonts w:cs="Times New Roman"/>
                <w:szCs w:val="24"/>
              </w:rPr>
              <w:t>Suppository: 50 mg, 100 mg, 150 mg</w:t>
            </w:r>
          </w:p>
          <w:p w14:paraId="4568D05A" w14:textId="77777777" w:rsidR="006E5981" w:rsidRPr="00055AD8" w:rsidRDefault="006E5981" w:rsidP="002D6DD7">
            <w:pPr>
              <w:jc w:val="both"/>
              <w:rPr>
                <w:rFonts w:cs="Times New Roman"/>
                <w:szCs w:val="24"/>
              </w:rPr>
            </w:pPr>
            <w:r w:rsidRPr="00055AD8">
              <w:rPr>
                <w:rFonts w:cs="Times New Roman"/>
                <w:szCs w:val="24"/>
              </w:rPr>
              <w:t>Tablet: 100 mg, 300 mg, 500 mg</w:t>
            </w:r>
          </w:p>
        </w:tc>
      </w:tr>
      <w:tr w:rsidR="006E5981" w:rsidRPr="00055AD8" w14:paraId="545FD967" w14:textId="77777777" w:rsidTr="002D6DD7">
        <w:tc>
          <w:tcPr>
            <w:tcW w:w="2610" w:type="dxa"/>
          </w:tcPr>
          <w:p w14:paraId="6CB6AE6C" w14:textId="77777777" w:rsidR="006E5981" w:rsidRPr="00055AD8" w:rsidRDefault="006E5981" w:rsidP="002D6DD7">
            <w:pPr>
              <w:jc w:val="both"/>
              <w:rPr>
                <w:rFonts w:cs="Times New Roman"/>
                <w:bCs/>
                <w:szCs w:val="24"/>
              </w:rPr>
            </w:pPr>
            <w:r w:rsidRPr="00055AD8">
              <w:rPr>
                <w:rFonts w:cs="Times New Roman"/>
                <w:bCs/>
                <w:szCs w:val="24"/>
              </w:rPr>
              <w:t>Indications</w:t>
            </w:r>
          </w:p>
        </w:tc>
        <w:tc>
          <w:tcPr>
            <w:tcW w:w="6750" w:type="dxa"/>
          </w:tcPr>
          <w:p w14:paraId="374E5D58" w14:textId="77777777" w:rsidR="006E5981" w:rsidRPr="00055AD8" w:rsidRDefault="006E5981" w:rsidP="002D6DD7">
            <w:pPr>
              <w:jc w:val="both"/>
              <w:rPr>
                <w:rFonts w:cs="Times New Roman"/>
                <w:szCs w:val="24"/>
              </w:rPr>
            </w:pPr>
            <w:r w:rsidRPr="007B2EEB">
              <w:rPr>
                <w:rFonts w:cs="Times New Roman"/>
                <w:bCs/>
                <w:szCs w:val="24"/>
              </w:rPr>
              <w:t>Juvenile idiopathic arthritis (JIA)</w:t>
            </w:r>
            <w:r>
              <w:rPr>
                <w:rFonts w:cs="Times New Roman"/>
                <w:bCs/>
                <w:szCs w:val="24"/>
              </w:rPr>
              <w:t xml:space="preserve"> and </w:t>
            </w:r>
            <w:r w:rsidRPr="00055AD8">
              <w:rPr>
                <w:rFonts w:cs="Times New Roman"/>
                <w:szCs w:val="24"/>
              </w:rPr>
              <w:t>other inflammatory conditions</w:t>
            </w:r>
          </w:p>
        </w:tc>
      </w:tr>
      <w:tr w:rsidR="006E5981" w:rsidRPr="00055AD8" w14:paraId="010D9B0A" w14:textId="77777777" w:rsidTr="002D6DD7">
        <w:tc>
          <w:tcPr>
            <w:tcW w:w="2610" w:type="dxa"/>
          </w:tcPr>
          <w:p w14:paraId="7C24157D" w14:textId="77777777" w:rsidR="006E5981" w:rsidRPr="00055AD8" w:rsidRDefault="006E5981" w:rsidP="002D6DD7">
            <w:pPr>
              <w:rPr>
                <w:rFonts w:cs="Times New Roman"/>
                <w:szCs w:val="24"/>
              </w:rPr>
            </w:pPr>
            <w:r w:rsidRPr="00055AD8">
              <w:rPr>
                <w:rFonts w:eastAsia="Times New Roman" w:cs="Times New Roman"/>
                <w:szCs w:val="24"/>
              </w:rPr>
              <w:t>Dose and administration</w:t>
            </w:r>
          </w:p>
        </w:tc>
        <w:tc>
          <w:tcPr>
            <w:tcW w:w="6750" w:type="dxa"/>
          </w:tcPr>
          <w:p w14:paraId="0F594AC8" w14:textId="77777777" w:rsidR="006E5981" w:rsidRPr="00055AD8" w:rsidRDefault="006E5981" w:rsidP="002D6DD7">
            <w:pPr>
              <w:jc w:val="both"/>
              <w:rPr>
                <w:rFonts w:cs="Times New Roman"/>
                <w:b/>
                <w:bCs/>
                <w:szCs w:val="24"/>
              </w:rPr>
            </w:pPr>
            <w:r w:rsidRPr="00055AD8">
              <w:rPr>
                <w:rFonts w:cs="Times New Roman"/>
                <w:b/>
                <w:bCs/>
                <w:szCs w:val="24"/>
              </w:rPr>
              <w:t>JIA</w:t>
            </w:r>
            <w:r w:rsidR="007624E8">
              <w:rPr>
                <w:rFonts w:cs="Times New Roman"/>
                <w:b/>
                <w:bCs/>
                <w:szCs w:val="24"/>
              </w:rPr>
              <w:t>:</w:t>
            </w:r>
          </w:p>
          <w:p w14:paraId="6F96A38F" w14:textId="77777777" w:rsidR="006E5981" w:rsidRPr="00055AD8" w:rsidRDefault="006E5981" w:rsidP="002D6DD7">
            <w:pPr>
              <w:jc w:val="both"/>
              <w:rPr>
                <w:rFonts w:cs="Times New Roman"/>
                <w:b/>
                <w:bCs/>
                <w:szCs w:val="24"/>
              </w:rPr>
            </w:pPr>
            <w:r w:rsidRPr="00055AD8">
              <w:rPr>
                <w:rFonts w:cs="Times New Roman"/>
                <w:szCs w:val="24"/>
              </w:rPr>
              <w:t>Up to 80mg/kg daily in 5 – 6 divided doses, increased in an acute exacerbation to 130mg/kg. Doses should be taken after food.</w:t>
            </w:r>
          </w:p>
        </w:tc>
      </w:tr>
      <w:tr w:rsidR="006E5981" w:rsidRPr="00055AD8" w14:paraId="3A5EAD7D" w14:textId="77777777" w:rsidTr="002D6DD7">
        <w:tc>
          <w:tcPr>
            <w:tcW w:w="2610" w:type="dxa"/>
          </w:tcPr>
          <w:p w14:paraId="02018C4E" w14:textId="77777777" w:rsidR="006E5981" w:rsidRPr="00055AD8" w:rsidRDefault="006E5981" w:rsidP="002D6DD7">
            <w:pPr>
              <w:jc w:val="both"/>
              <w:rPr>
                <w:rFonts w:cs="Times New Roman"/>
                <w:szCs w:val="24"/>
              </w:rPr>
            </w:pPr>
            <w:r w:rsidRPr="00055AD8">
              <w:rPr>
                <w:rFonts w:cs="Times New Roman"/>
                <w:szCs w:val="24"/>
              </w:rPr>
              <w:t>Contraindications</w:t>
            </w:r>
          </w:p>
        </w:tc>
        <w:tc>
          <w:tcPr>
            <w:tcW w:w="6750" w:type="dxa"/>
          </w:tcPr>
          <w:p w14:paraId="10702C43" w14:textId="77777777" w:rsidR="006E5981" w:rsidRPr="00055AD8" w:rsidRDefault="006E5981" w:rsidP="002D6DD7">
            <w:pPr>
              <w:jc w:val="both"/>
              <w:rPr>
                <w:rFonts w:cs="Times New Roman"/>
                <w:szCs w:val="24"/>
              </w:rPr>
            </w:pPr>
            <w:r>
              <w:rPr>
                <w:rFonts w:cs="Times New Roman"/>
                <w:szCs w:val="24"/>
              </w:rPr>
              <w:t>H</w:t>
            </w:r>
            <w:r w:rsidRPr="00055AD8">
              <w:rPr>
                <w:rFonts w:cs="Times New Roman"/>
                <w:szCs w:val="24"/>
              </w:rPr>
              <w:t xml:space="preserve">ypersensitivity reactions </w:t>
            </w:r>
            <w:r>
              <w:rPr>
                <w:rFonts w:cs="Times New Roman"/>
                <w:szCs w:val="24"/>
              </w:rPr>
              <w:t>to the drug, a</w:t>
            </w:r>
            <w:r w:rsidRPr="00055AD8">
              <w:rPr>
                <w:rFonts w:cs="Times New Roman"/>
                <w:szCs w:val="24"/>
              </w:rPr>
              <w:t>ctive peptic ulceration, bleeding disorders, child under 16 years, haemophilia, previous peptic ulceration, severe cardiac failure</w:t>
            </w:r>
          </w:p>
        </w:tc>
      </w:tr>
      <w:tr w:rsidR="006E5981" w:rsidRPr="00055AD8" w14:paraId="517C0ED4" w14:textId="77777777" w:rsidTr="002D6DD7">
        <w:tc>
          <w:tcPr>
            <w:tcW w:w="2610" w:type="dxa"/>
          </w:tcPr>
          <w:p w14:paraId="5D3266DE" w14:textId="77777777" w:rsidR="006E5981" w:rsidRPr="00055AD8" w:rsidRDefault="006E5981" w:rsidP="002D6DD7">
            <w:pPr>
              <w:jc w:val="both"/>
              <w:rPr>
                <w:rFonts w:cs="Times New Roman"/>
                <w:szCs w:val="24"/>
              </w:rPr>
            </w:pPr>
            <w:r w:rsidRPr="00055AD8">
              <w:rPr>
                <w:rFonts w:cs="Times New Roman"/>
                <w:szCs w:val="24"/>
              </w:rPr>
              <w:t>Drug interactions</w:t>
            </w:r>
          </w:p>
        </w:tc>
        <w:tc>
          <w:tcPr>
            <w:tcW w:w="6750" w:type="dxa"/>
          </w:tcPr>
          <w:p w14:paraId="71A13BB2" w14:textId="77777777" w:rsidR="006E5981" w:rsidRPr="00055AD8" w:rsidRDefault="006E5981" w:rsidP="002D6DD7">
            <w:pPr>
              <w:jc w:val="both"/>
              <w:rPr>
                <w:rFonts w:cs="Times New Roman"/>
                <w:szCs w:val="24"/>
              </w:rPr>
            </w:pPr>
            <w:r w:rsidRPr="00055AD8">
              <w:rPr>
                <w:rFonts w:cs="Times New Roman"/>
                <w:szCs w:val="24"/>
              </w:rPr>
              <w:t>Heparin, ibuprofen, methotrexate, warfarin, dexamethasone, hydrocortisone, prednisolone, fluoxetine, metoclopramide, phenytoin, spironolactone, valproic Acid</w:t>
            </w:r>
          </w:p>
        </w:tc>
      </w:tr>
      <w:tr w:rsidR="006E5981" w:rsidRPr="00055AD8" w14:paraId="73C11D8B" w14:textId="77777777" w:rsidTr="002D6DD7">
        <w:tc>
          <w:tcPr>
            <w:tcW w:w="2610" w:type="dxa"/>
          </w:tcPr>
          <w:p w14:paraId="1F51BBE6" w14:textId="77777777" w:rsidR="006E5981" w:rsidRPr="00055AD8" w:rsidRDefault="006E5981" w:rsidP="002D6DD7">
            <w:pPr>
              <w:jc w:val="both"/>
              <w:rPr>
                <w:rFonts w:cs="Times New Roman"/>
                <w:szCs w:val="24"/>
              </w:rPr>
            </w:pPr>
            <w:r w:rsidRPr="00055AD8">
              <w:rPr>
                <w:rFonts w:cs="Times New Roman"/>
                <w:szCs w:val="24"/>
              </w:rPr>
              <w:t>Side effects</w:t>
            </w:r>
          </w:p>
        </w:tc>
        <w:tc>
          <w:tcPr>
            <w:tcW w:w="6750" w:type="dxa"/>
          </w:tcPr>
          <w:p w14:paraId="1DA23B14" w14:textId="77777777" w:rsidR="006E5981" w:rsidRPr="00055AD8" w:rsidRDefault="006E5981" w:rsidP="002D6DD7">
            <w:pPr>
              <w:jc w:val="both"/>
              <w:rPr>
                <w:rFonts w:cs="Times New Roman"/>
                <w:szCs w:val="24"/>
              </w:rPr>
            </w:pPr>
            <w:r w:rsidRPr="00055AD8">
              <w:rPr>
                <w:rFonts w:cs="Times New Roman"/>
                <w:szCs w:val="24"/>
              </w:rPr>
              <w:t>Nausea, dyspepsia, GI ulceration or bleeding, tinnitus, vertigo, confusion, iron deficiency anemia, major hemorrhage</w:t>
            </w:r>
            <w:r>
              <w:rPr>
                <w:rFonts w:cs="Times New Roman"/>
                <w:szCs w:val="24"/>
              </w:rPr>
              <w:t xml:space="preserve">, </w:t>
            </w:r>
            <w:r w:rsidRPr="00055AD8">
              <w:rPr>
                <w:rFonts w:cs="Times New Roman"/>
                <w:szCs w:val="24"/>
              </w:rPr>
              <w:t>blood dyscrasias, edema, myocarditis, Reye syndrome with subsequent encephalopathy and severe hepatic injury.</w:t>
            </w:r>
          </w:p>
        </w:tc>
      </w:tr>
      <w:tr w:rsidR="006E5981" w:rsidRPr="00055AD8" w14:paraId="7A3D88B2" w14:textId="77777777" w:rsidTr="002D6DD7">
        <w:tc>
          <w:tcPr>
            <w:tcW w:w="2610" w:type="dxa"/>
          </w:tcPr>
          <w:p w14:paraId="52974EF0" w14:textId="77777777" w:rsidR="006E5981" w:rsidRPr="00055AD8" w:rsidRDefault="006E5981" w:rsidP="002D6DD7">
            <w:pPr>
              <w:jc w:val="both"/>
              <w:rPr>
                <w:rFonts w:cs="Times New Roman"/>
                <w:szCs w:val="24"/>
              </w:rPr>
            </w:pPr>
            <w:r w:rsidRPr="00055AD8">
              <w:rPr>
                <w:rFonts w:cs="Times New Roman"/>
                <w:szCs w:val="24"/>
              </w:rPr>
              <w:t xml:space="preserve">Cautions </w:t>
            </w:r>
          </w:p>
        </w:tc>
        <w:tc>
          <w:tcPr>
            <w:tcW w:w="6750" w:type="dxa"/>
          </w:tcPr>
          <w:p w14:paraId="11BC2754" w14:textId="77777777" w:rsidR="006E5981" w:rsidRPr="00055AD8" w:rsidRDefault="006E5981" w:rsidP="002D6DD7">
            <w:pPr>
              <w:jc w:val="both"/>
              <w:rPr>
                <w:rFonts w:cs="Times New Roman"/>
                <w:szCs w:val="24"/>
              </w:rPr>
            </w:pPr>
            <w:r w:rsidRPr="00055AD8">
              <w:rPr>
                <w:rFonts w:cs="Times New Roman"/>
                <w:szCs w:val="24"/>
              </w:rPr>
              <w:t>Allergic disease, anemia, asthma, dehydration, elderly, G6PD deficiency, hypertension, hepatic impairment, renal impairment, increased risk of sodium and water retention</w:t>
            </w:r>
          </w:p>
        </w:tc>
      </w:tr>
      <w:tr w:rsidR="006E5981" w:rsidRPr="00055AD8" w14:paraId="758A39C2" w14:textId="77777777" w:rsidTr="002D6DD7">
        <w:tc>
          <w:tcPr>
            <w:tcW w:w="2610" w:type="dxa"/>
          </w:tcPr>
          <w:p w14:paraId="25B203EF" w14:textId="77777777" w:rsidR="006E5981" w:rsidRPr="00055AD8" w:rsidRDefault="006E5981" w:rsidP="002D6DD7">
            <w:pPr>
              <w:jc w:val="both"/>
              <w:rPr>
                <w:rFonts w:cs="Times New Roman"/>
                <w:szCs w:val="24"/>
              </w:rPr>
            </w:pPr>
            <w:r w:rsidRPr="00055AD8">
              <w:rPr>
                <w:rFonts w:cs="Times New Roman"/>
                <w:szCs w:val="24"/>
              </w:rPr>
              <w:t>Storage condition</w:t>
            </w:r>
          </w:p>
        </w:tc>
        <w:tc>
          <w:tcPr>
            <w:tcW w:w="6750" w:type="dxa"/>
          </w:tcPr>
          <w:p w14:paraId="394DB7A0" w14:textId="77777777" w:rsidR="006E5981" w:rsidRPr="00055AD8" w:rsidRDefault="006E5981" w:rsidP="002D6DD7">
            <w:pPr>
              <w:jc w:val="both"/>
              <w:rPr>
                <w:rFonts w:cs="Times New Roman"/>
                <w:szCs w:val="24"/>
              </w:rPr>
            </w:pPr>
            <w:r w:rsidRPr="00055AD8">
              <w:rPr>
                <w:rFonts w:cs="Times New Roman"/>
                <w:szCs w:val="24"/>
              </w:rPr>
              <w:t>Store below 30</w:t>
            </w:r>
            <w:r w:rsidRPr="00055AD8">
              <w:rPr>
                <w:rFonts w:cs="Times New Roman"/>
                <w:szCs w:val="24"/>
                <w:vertAlign w:val="superscript"/>
              </w:rPr>
              <w:t>0</w:t>
            </w:r>
            <w:r w:rsidRPr="00055AD8">
              <w:rPr>
                <w:rFonts w:cs="Times New Roman"/>
                <w:szCs w:val="24"/>
              </w:rPr>
              <w:t>C</w:t>
            </w:r>
          </w:p>
        </w:tc>
      </w:tr>
      <w:tr w:rsidR="006E5981" w:rsidRPr="00055AD8" w14:paraId="112AD8D4" w14:textId="77777777" w:rsidTr="002D6DD7">
        <w:tc>
          <w:tcPr>
            <w:tcW w:w="9360" w:type="dxa"/>
            <w:gridSpan w:val="2"/>
          </w:tcPr>
          <w:p w14:paraId="52D6B000" w14:textId="77777777" w:rsidR="006E5981" w:rsidRPr="00055AD8" w:rsidRDefault="006E5981" w:rsidP="002D6DD7">
            <w:pPr>
              <w:jc w:val="both"/>
              <w:rPr>
                <w:rFonts w:cs="Times New Roman"/>
                <w:b/>
                <w:bCs/>
                <w:szCs w:val="24"/>
              </w:rPr>
            </w:pPr>
            <w:r w:rsidRPr="00055AD8">
              <w:rPr>
                <w:rFonts w:cs="Times New Roman"/>
                <w:szCs w:val="24"/>
              </w:rPr>
              <w:br w:type="page"/>
            </w:r>
            <w:bookmarkStart w:id="109" w:name="_Toc168337709"/>
            <w:r w:rsidRPr="00055AD8">
              <w:rPr>
                <w:rFonts w:cs="Times New Roman"/>
                <w:b/>
                <w:bCs/>
                <w:szCs w:val="24"/>
              </w:rPr>
              <w:t>Adalimumab</w:t>
            </w:r>
            <w:bookmarkEnd w:id="109"/>
          </w:p>
        </w:tc>
      </w:tr>
      <w:tr w:rsidR="006E5981" w:rsidRPr="00055AD8" w14:paraId="1D86CD5B" w14:textId="77777777" w:rsidTr="002D6DD7">
        <w:tc>
          <w:tcPr>
            <w:tcW w:w="2610" w:type="dxa"/>
          </w:tcPr>
          <w:p w14:paraId="33CCF4EA" w14:textId="77777777" w:rsidR="006E5981" w:rsidRPr="00055AD8" w:rsidRDefault="006E5981" w:rsidP="002D6DD7">
            <w:pPr>
              <w:jc w:val="both"/>
              <w:rPr>
                <w:rFonts w:cs="Times New Roman"/>
                <w:szCs w:val="24"/>
              </w:rPr>
            </w:pPr>
            <w:r w:rsidRPr="00055AD8">
              <w:rPr>
                <w:rFonts w:cs="Times New Roman"/>
                <w:szCs w:val="24"/>
              </w:rPr>
              <w:t>Pharmacological class</w:t>
            </w:r>
          </w:p>
        </w:tc>
        <w:tc>
          <w:tcPr>
            <w:tcW w:w="6750" w:type="dxa"/>
          </w:tcPr>
          <w:p w14:paraId="58DC7BD0" w14:textId="77777777" w:rsidR="006E5981" w:rsidRPr="00055AD8" w:rsidRDefault="006E5981" w:rsidP="002D6DD7">
            <w:pPr>
              <w:jc w:val="both"/>
              <w:rPr>
                <w:rFonts w:cs="Times New Roman"/>
                <w:szCs w:val="24"/>
              </w:rPr>
            </w:pPr>
            <w:r>
              <w:rPr>
                <w:rFonts w:cs="Times New Roman"/>
                <w:szCs w:val="24"/>
              </w:rPr>
              <w:t>Immuno</w:t>
            </w:r>
            <w:r w:rsidRPr="00055AD8">
              <w:rPr>
                <w:rFonts w:cs="Times New Roman"/>
                <w:szCs w:val="24"/>
              </w:rPr>
              <w:t>modulator</w:t>
            </w:r>
          </w:p>
        </w:tc>
      </w:tr>
      <w:tr w:rsidR="006E5981" w:rsidRPr="00055AD8" w14:paraId="75E88D21" w14:textId="77777777" w:rsidTr="002D6DD7">
        <w:tc>
          <w:tcPr>
            <w:tcW w:w="2610" w:type="dxa"/>
          </w:tcPr>
          <w:p w14:paraId="5780DA06" w14:textId="77777777" w:rsidR="006E5981" w:rsidRPr="00055AD8" w:rsidRDefault="006E5981" w:rsidP="002D6DD7">
            <w:pPr>
              <w:jc w:val="both"/>
              <w:rPr>
                <w:rFonts w:cs="Times New Roman"/>
                <w:szCs w:val="24"/>
              </w:rPr>
            </w:pPr>
            <w:r w:rsidRPr="00055AD8">
              <w:rPr>
                <w:rFonts w:cs="Times New Roman"/>
                <w:szCs w:val="24"/>
              </w:rPr>
              <w:t>Dosage form</w:t>
            </w:r>
          </w:p>
        </w:tc>
        <w:tc>
          <w:tcPr>
            <w:tcW w:w="6750" w:type="dxa"/>
          </w:tcPr>
          <w:p w14:paraId="0538FA57" w14:textId="77777777" w:rsidR="006E5981" w:rsidRPr="00055AD8" w:rsidRDefault="006E5981" w:rsidP="002D6DD7">
            <w:pPr>
              <w:jc w:val="both"/>
              <w:rPr>
                <w:rFonts w:cs="Times New Roman"/>
                <w:szCs w:val="24"/>
              </w:rPr>
            </w:pPr>
            <w:r w:rsidRPr="00055AD8">
              <w:rPr>
                <w:rFonts w:cs="Times New Roman"/>
                <w:szCs w:val="24"/>
              </w:rPr>
              <w:t>Injection: 10 mg/0.2 ml, 20 mg/0.4 ml, 40 mg/0.8 ml, 40 mg/0.4 ml</w:t>
            </w:r>
          </w:p>
        </w:tc>
      </w:tr>
      <w:tr w:rsidR="006E5981" w:rsidRPr="00055AD8" w14:paraId="680F49D0" w14:textId="77777777" w:rsidTr="002D6DD7">
        <w:tc>
          <w:tcPr>
            <w:tcW w:w="2610" w:type="dxa"/>
          </w:tcPr>
          <w:p w14:paraId="757B2DA9" w14:textId="77777777" w:rsidR="006E5981" w:rsidRPr="00055AD8" w:rsidRDefault="006E5981" w:rsidP="002D6DD7">
            <w:pPr>
              <w:jc w:val="both"/>
              <w:rPr>
                <w:rFonts w:cs="Times New Roman"/>
                <w:bCs/>
                <w:szCs w:val="24"/>
              </w:rPr>
            </w:pPr>
            <w:r w:rsidRPr="00055AD8">
              <w:rPr>
                <w:rFonts w:cs="Times New Roman"/>
                <w:bCs/>
                <w:szCs w:val="24"/>
              </w:rPr>
              <w:t>Indications</w:t>
            </w:r>
          </w:p>
        </w:tc>
        <w:tc>
          <w:tcPr>
            <w:tcW w:w="6750" w:type="dxa"/>
          </w:tcPr>
          <w:p w14:paraId="1193A435" w14:textId="77777777" w:rsidR="006E5981" w:rsidRPr="00055AD8" w:rsidRDefault="006E5981" w:rsidP="002D6DD7">
            <w:pPr>
              <w:jc w:val="both"/>
              <w:rPr>
                <w:rFonts w:cs="Times New Roman"/>
                <w:szCs w:val="24"/>
              </w:rPr>
            </w:pPr>
            <w:r w:rsidRPr="00055AD8">
              <w:rPr>
                <w:rFonts w:cs="Times New Roman"/>
                <w:iCs/>
                <w:szCs w:val="24"/>
              </w:rPr>
              <w:t>Moderate to severe active rheumatoid arthritis, active and progressive psoriatic arthritis, severe active ankylosing spondylitis, inflammatory bowel disease, plaque psoriasis</w:t>
            </w:r>
          </w:p>
        </w:tc>
      </w:tr>
      <w:tr w:rsidR="006E5981" w:rsidRPr="00055AD8" w14:paraId="664A64CB" w14:textId="77777777" w:rsidTr="002D6DD7">
        <w:tc>
          <w:tcPr>
            <w:tcW w:w="2610" w:type="dxa"/>
          </w:tcPr>
          <w:p w14:paraId="2D8F921F" w14:textId="77777777" w:rsidR="006E5981" w:rsidRPr="00055AD8" w:rsidRDefault="006E5981" w:rsidP="002D6DD7">
            <w:pPr>
              <w:rPr>
                <w:rFonts w:cs="Times New Roman"/>
                <w:szCs w:val="24"/>
              </w:rPr>
            </w:pPr>
            <w:r w:rsidRPr="00055AD8">
              <w:rPr>
                <w:rFonts w:eastAsia="Times New Roman" w:cs="Times New Roman"/>
                <w:szCs w:val="24"/>
              </w:rPr>
              <w:t>Dose and administration</w:t>
            </w:r>
          </w:p>
        </w:tc>
        <w:tc>
          <w:tcPr>
            <w:tcW w:w="6750" w:type="dxa"/>
          </w:tcPr>
          <w:p w14:paraId="77E575C4" w14:textId="77777777" w:rsidR="006E5981" w:rsidRPr="00055AD8" w:rsidRDefault="006E5981" w:rsidP="002D6DD7">
            <w:pPr>
              <w:jc w:val="both"/>
              <w:rPr>
                <w:rFonts w:cs="Times New Roman"/>
                <w:b/>
                <w:szCs w:val="24"/>
              </w:rPr>
            </w:pPr>
            <w:r>
              <w:rPr>
                <w:rFonts w:cs="Times New Roman"/>
                <w:b/>
                <w:szCs w:val="24"/>
              </w:rPr>
              <w:t>JIA</w:t>
            </w:r>
            <w:r w:rsidR="007624E8">
              <w:rPr>
                <w:rFonts w:cs="Times New Roman"/>
                <w:b/>
                <w:szCs w:val="24"/>
              </w:rPr>
              <w:t>:</w:t>
            </w:r>
          </w:p>
          <w:p w14:paraId="38E3DD7C" w14:textId="77777777" w:rsidR="006E5981" w:rsidRPr="00055AD8" w:rsidRDefault="006E5981" w:rsidP="002D6DD7">
            <w:pPr>
              <w:jc w:val="both"/>
              <w:rPr>
                <w:rFonts w:cs="Times New Roman"/>
                <w:bCs/>
                <w:szCs w:val="24"/>
              </w:rPr>
            </w:pPr>
            <w:r w:rsidRPr="00055AD8">
              <w:rPr>
                <w:rFonts w:cs="Times New Roman"/>
                <w:b/>
                <w:szCs w:val="24"/>
              </w:rPr>
              <w:lastRenderedPageBreak/>
              <w:t>Child 2 Years and Older (10 kg to &lt;30 kg):</w:t>
            </w:r>
            <w:r w:rsidRPr="00055AD8">
              <w:rPr>
                <w:rFonts w:cs="Times New Roman"/>
                <w:bCs/>
                <w:szCs w:val="24"/>
              </w:rPr>
              <w:t xml:space="preserve"> 20 mg SC </w:t>
            </w:r>
            <w:r>
              <w:rPr>
                <w:rFonts w:cs="Times New Roman"/>
                <w:bCs/>
                <w:szCs w:val="24"/>
              </w:rPr>
              <w:t xml:space="preserve">for </w:t>
            </w:r>
            <w:r w:rsidRPr="00055AD8">
              <w:rPr>
                <w:rFonts w:cs="Times New Roman"/>
                <w:bCs/>
                <w:szCs w:val="24"/>
              </w:rPr>
              <w:t>2</w:t>
            </w:r>
            <w:r>
              <w:rPr>
                <w:rFonts w:cs="Times New Roman"/>
                <w:bCs/>
                <w:szCs w:val="24"/>
              </w:rPr>
              <w:t xml:space="preserve"> </w:t>
            </w:r>
            <w:r w:rsidRPr="00055AD8">
              <w:rPr>
                <w:rFonts w:cs="Times New Roman"/>
                <w:bCs/>
                <w:szCs w:val="24"/>
              </w:rPr>
              <w:t>week</w:t>
            </w:r>
            <w:r>
              <w:rPr>
                <w:rFonts w:cs="Times New Roman"/>
                <w:bCs/>
                <w:szCs w:val="24"/>
              </w:rPr>
              <w:t>s</w:t>
            </w:r>
            <w:r w:rsidRPr="00055AD8">
              <w:rPr>
                <w:rFonts w:cs="Times New Roman"/>
                <w:bCs/>
                <w:szCs w:val="24"/>
              </w:rPr>
              <w:t>, review treatment if no response withing 12 weeks.</w:t>
            </w:r>
          </w:p>
          <w:p w14:paraId="18B4AC80" w14:textId="77777777" w:rsidR="006E5981" w:rsidRPr="00055AD8" w:rsidRDefault="006E5981" w:rsidP="002D6DD7">
            <w:pPr>
              <w:jc w:val="both"/>
              <w:rPr>
                <w:rFonts w:cs="Times New Roman"/>
                <w:bCs/>
                <w:szCs w:val="24"/>
              </w:rPr>
            </w:pPr>
            <w:r w:rsidRPr="00055AD8">
              <w:rPr>
                <w:rFonts w:cs="Times New Roman"/>
                <w:b/>
                <w:szCs w:val="24"/>
              </w:rPr>
              <w:t>Child 2 Years and Older (≥30 kg):</w:t>
            </w:r>
            <w:r w:rsidRPr="00055AD8">
              <w:rPr>
                <w:rFonts w:cs="Times New Roman"/>
                <w:bCs/>
                <w:szCs w:val="24"/>
              </w:rPr>
              <w:t xml:space="preserve"> 40 mg SC </w:t>
            </w:r>
            <w:r>
              <w:rPr>
                <w:rFonts w:cs="Times New Roman"/>
                <w:bCs/>
                <w:szCs w:val="24"/>
              </w:rPr>
              <w:t xml:space="preserve">for </w:t>
            </w:r>
            <w:r w:rsidRPr="00055AD8">
              <w:rPr>
                <w:rFonts w:cs="Times New Roman"/>
                <w:bCs/>
                <w:szCs w:val="24"/>
              </w:rPr>
              <w:t>2 week</w:t>
            </w:r>
            <w:r>
              <w:rPr>
                <w:rFonts w:cs="Times New Roman"/>
                <w:bCs/>
                <w:szCs w:val="24"/>
              </w:rPr>
              <w:t>s</w:t>
            </w:r>
            <w:r w:rsidRPr="00055AD8">
              <w:rPr>
                <w:rFonts w:cs="Times New Roman"/>
                <w:bCs/>
                <w:szCs w:val="24"/>
              </w:rPr>
              <w:t>, review treatment if no response withing 12 weeks.</w:t>
            </w:r>
          </w:p>
        </w:tc>
      </w:tr>
      <w:tr w:rsidR="006E5981" w:rsidRPr="00055AD8" w14:paraId="483AE3EF" w14:textId="77777777" w:rsidTr="002D6DD7">
        <w:tc>
          <w:tcPr>
            <w:tcW w:w="2610" w:type="dxa"/>
          </w:tcPr>
          <w:p w14:paraId="4F09A5B9" w14:textId="77777777" w:rsidR="006E5981" w:rsidRPr="00055AD8" w:rsidRDefault="006E5981" w:rsidP="002D6DD7">
            <w:pPr>
              <w:jc w:val="both"/>
              <w:rPr>
                <w:rFonts w:cs="Times New Roman"/>
                <w:szCs w:val="24"/>
              </w:rPr>
            </w:pPr>
            <w:r w:rsidRPr="00055AD8">
              <w:rPr>
                <w:rFonts w:cs="Times New Roman"/>
                <w:szCs w:val="24"/>
              </w:rPr>
              <w:lastRenderedPageBreak/>
              <w:t>Contraindications</w:t>
            </w:r>
          </w:p>
        </w:tc>
        <w:tc>
          <w:tcPr>
            <w:tcW w:w="6750" w:type="dxa"/>
          </w:tcPr>
          <w:p w14:paraId="40278C37" w14:textId="77777777" w:rsidR="006E5981" w:rsidRPr="00055AD8" w:rsidRDefault="006E5981" w:rsidP="002D6DD7">
            <w:pPr>
              <w:jc w:val="both"/>
              <w:rPr>
                <w:rFonts w:cs="Times New Roman"/>
                <w:szCs w:val="24"/>
              </w:rPr>
            </w:pPr>
            <w:r w:rsidRPr="00055AD8">
              <w:rPr>
                <w:rFonts w:cs="Times New Roman"/>
                <w:szCs w:val="24"/>
              </w:rPr>
              <w:t>Moderate or severe heart failure, severe infections</w:t>
            </w:r>
          </w:p>
        </w:tc>
      </w:tr>
      <w:tr w:rsidR="006E5981" w:rsidRPr="00055AD8" w14:paraId="60B3A3B7" w14:textId="77777777" w:rsidTr="002D6DD7">
        <w:tc>
          <w:tcPr>
            <w:tcW w:w="2610" w:type="dxa"/>
          </w:tcPr>
          <w:p w14:paraId="16472C61" w14:textId="77777777" w:rsidR="006E5981" w:rsidRPr="00055AD8" w:rsidRDefault="006E5981" w:rsidP="002D6DD7">
            <w:pPr>
              <w:jc w:val="both"/>
              <w:rPr>
                <w:rFonts w:cs="Times New Roman"/>
                <w:szCs w:val="24"/>
              </w:rPr>
            </w:pPr>
            <w:r w:rsidRPr="00055AD8">
              <w:rPr>
                <w:rFonts w:cs="Times New Roman"/>
                <w:szCs w:val="24"/>
              </w:rPr>
              <w:t>Drug interactions</w:t>
            </w:r>
          </w:p>
        </w:tc>
        <w:tc>
          <w:tcPr>
            <w:tcW w:w="6750" w:type="dxa"/>
          </w:tcPr>
          <w:p w14:paraId="437E55F0" w14:textId="77777777" w:rsidR="006E5981" w:rsidRPr="00055AD8" w:rsidRDefault="006E5981" w:rsidP="002D6DD7">
            <w:pPr>
              <w:jc w:val="both"/>
              <w:rPr>
                <w:rFonts w:cs="Times New Roman"/>
                <w:szCs w:val="24"/>
              </w:rPr>
            </w:pPr>
            <w:r w:rsidRPr="00055AD8">
              <w:rPr>
                <w:rFonts w:cs="Times New Roman"/>
                <w:szCs w:val="24"/>
              </w:rPr>
              <w:t xml:space="preserve">Azathioprine, </w:t>
            </w:r>
            <w:r>
              <w:rPr>
                <w:rFonts w:cs="Times New Roman"/>
                <w:szCs w:val="24"/>
              </w:rPr>
              <w:t xml:space="preserve">live </w:t>
            </w:r>
            <w:r w:rsidRPr="00055AD8">
              <w:rPr>
                <w:rFonts w:cs="Times New Roman"/>
                <w:szCs w:val="24"/>
              </w:rPr>
              <w:t xml:space="preserve">vaccines, betamethasone, dexamethasone, hydrocortisone, prednisolone, carboplatin, cyclosporine, linezolid, primaquine, etanercept, infliximab, abatacept, </w:t>
            </w:r>
            <w:r>
              <w:rPr>
                <w:rFonts w:cs="Times New Roman"/>
                <w:szCs w:val="24"/>
              </w:rPr>
              <w:t>a</w:t>
            </w:r>
            <w:r w:rsidRPr="00055AD8">
              <w:rPr>
                <w:rFonts w:cs="Times New Roman"/>
                <w:szCs w:val="24"/>
              </w:rPr>
              <w:t>nakinra</w:t>
            </w:r>
          </w:p>
        </w:tc>
      </w:tr>
      <w:tr w:rsidR="006E5981" w:rsidRPr="00055AD8" w14:paraId="369A5702" w14:textId="77777777" w:rsidTr="002D6DD7">
        <w:tc>
          <w:tcPr>
            <w:tcW w:w="2610" w:type="dxa"/>
          </w:tcPr>
          <w:p w14:paraId="669C80EA" w14:textId="77777777" w:rsidR="006E5981" w:rsidRPr="00055AD8" w:rsidRDefault="006E5981" w:rsidP="002D6DD7">
            <w:pPr>
              <w:jc w:val="both"/>
              <w:rPr>
                <w:rFonts w:cs="Times New Roman"/>
                <w:szCs w:val="24"/>
              </w:rPr>
            </w:pPr>
            <w:r w:rsidRPr="00055AD8">
              <w:rPr>
                <w:rFonts w:cs="Times New Roman"/>
                <w:szCs w:val="24"/>
              </w:rPr>
              <w:t>Side effects</w:t>
            </w:r>
          </w:p>
        </w:tc>
        <w:tc>
          <w:tcPr>
            <w:tcW w:w="6750" w:type="dxa"/>
          </w:tcPr>
          <w:p w14:paraId="1D0A7E41" w14:textId="77777777" w:rsidR="006E5981" w:rsidRPr="00055AD8" w:rsidRDefault="006E5981" w:rsidP="002D6DD7">
            <w:pPr>
              <w:jc w:val="both"/>
              <w:rPr>
                <w:rFonts w:cs="Times New Roman"/>
                <w:szCs w:val="24"/>
              </w:rPr>
            </w:pPr>
            <w:r w:rsidRPr="00055AD8">
              <w:rPr>
                <w:rFonts w:cs="Times New Roman"/>
                <w:szCs w:val="24"/>
              </w:rPr>
              <w:t>Headache, cold symptoms such as stuffy nose, sinus pain, sneezing, sore throat, rash or redness, bruising, itching, or swelling at the injection site</w:t>
            </w:r>
          </w:p>
        </w:tc>
      </w:tr>
      <w:tr w:rsidR="006E5981" w:rsidRPr="00055AD8" w14:paraId="5B2CBD6D" w14:textId="77777777" w:rsidTr="002D6DD7">
        <w:tc>
          <w:tcPr>
            <w:tcW w:w="2610" w:type="dxa"/>
          </w:tcPr>
          <w:p w14:paraId="5A08C7EF" w14:textId="77777777" w:rsidR="006E5981" w:rsidRPr="00055AD8" w:rsidRDefault="006E5981" w:rsidP="002D6DD7">
            <w:pPr>
              <w:jc w:val="both"/>
              <w:rPr>
                <w:rFonts w:cs="Times New Roman"/>
                <w:szCs w:val="24"/>
              </w:rPr>
            </w:pPr>
            <w:r w:rsidRPr="00055AD8">
              <w:rPr>
                <w:rFonts w:cs="Times New Roman"/>
                <w:szCs w:val="24"/>
              </w:rPr>
              <w:t xml:space="preserve">Cautions </w:t>
            </w:r>
          </w:p>
        </w:tc>
        <w:tc>
          <w:tcPr>
            <w:tcW w:w="6750" w:type="dxa"/>
          </w:tcPr>
          <w:p w14:paraId="1DEAFE5B" w14:textId="77777777" w:rsidR="006E5981" w:rsidRPr="00055AD8" w:rsidRDefault="006E5981" w:rsidP="002D6DD7">
            <w:pPr>
              <w:jc w:val="both"/>
              <w:rPr>
                <w:rFonts w:cs="Times New Roman"/>
                <w:szCs w:val="24"/>
              </w:rPr>
            </w:pPr>
            <w:r w:rsidRPr="00055AD8">
              <w:rPr>
                <w:rFonts w:cs="Times New Roman"/>
                <w:szCs w:val="24"/>
              </w:rPr>
              <w:t>Active infections, immunosuppression, history of malignancy or taking concomitant immunosuppressants, demyelinating disorders, hepatitis B virus</w:t>
            </w:r>
          </w:p>
        </w:tc>
      </w:tr>
      <w:tr w:rsidR="006E5981" w:rsidRPr="00055AD8" w14:paraId="111FDB4B" w14:textId="77777777" w:rsidTr="002D6DD7">
        <w:tc>
          <w:tcPr>
            <w:tcW w:w="2610" w:type="dxa"/>
          </w:tcPr>
          <w:p w14:paraId="5E6BECAA" w14:textId="77777777" w:rsidR="006E5981" w:rsidRPr="00055AD8" w:rsidRDefault="006E5981" w:rsidP="002D6DD7">
            <w:pPr>
              <w:jc w:val="both"/>
              <w:rPr>
                <w:rFonts w:cs="Times New Roman"/>
                <w:szCs w:val="24"/>
              </w:rPr>
            </w:pPr>
            <w:r w:rsidRPr="00055AD8">
              <w:rPr>
                <w:rFonts w:cs="Times New Roman"/>
                <w:szCs w:val="24"/>
              </w:rPr>
              <w:t>Storage condition</w:t>
            </w:r>
          </w:p>
        </w:tc>
        <w:tc>
          <w:tcPr>
            <w:tcW w:w="6750" w:type="dxa"/>
          </w:tcPr>
          <w:p w14:paraId="6D632F70" w14:textId="77777777" w:rsidR="006E5981" w:rsidRPr="00055AD8" w:rsidRDefault="006E5981" w:rsidP="002D6DD7">
            <w:pPr>
              <w:jc w:val="both"/>
              <w:rPr>
                <w:rFonts w:cs="Times New Roman"/>
                <w:szCs w:val="24"/>
              </w:rPr>
            </w:pPr>
            <w:r w:rsidRPr="00055AD8">
              <w:rPr>
                <w:rFonts w:cs="Times New Roman"/>
                <w:szCs w:val="24"/>
              </w:rPr>
              <w:t>Store below 30</w:t>
            </w:r>
            <w:r w:rsidRPr="00055AD8">
              <w:rPr>
                <w:rFonts w:cs="Times New Roman"/>
                <w:szCs w:val="24"/>
                <w:vertAlign w:val="superscript"/>
              </w:rPr>
              <w:t>O</w:t>
            </w:r>
            <w:r w:rsidRPr="00055AD8">
              <w:rPr>
                <w:rFonts w:cs="Times New Roman"/>
                <w:szCs w:val="24"/>
              </w:rPr>
              <w:t>C</w:t>
            </w:r>
          </w:p>
        </w:tc>
      </w:tr>
      <w:tr w:rsidR="006E5981" w:rsidRPr="00055AD8" w14:paraId="5E1B17A2" w14:textId="77777777" w:rsidTr="002D6DD7">
        <w:tc>
          <w:tcPr>
            <w:tcW w:w="9360" w:type="dxa"/>
            <w:gridSpan w:val="2"/>
          </w:tcPr>
          <w:p w14:paraId="0E2C8C9D" w14:textId="77777777" w:rsidR="006E5981" w:rsidRPr="00055AD8" w:rsidRDefault="006E5981" w:rsidP="002D6DD7">
            <w:pPr>
              <w:jc w:val="both"/>
              <w:rPr>
                <w:rFonts w:cs="Times New Roman"/>
                <w:b/>
                <w:bCs/>
                <w:szCs w:val="24"/>
              </w:rPr>
            </w:pPr>
            <w:r w:rsidRPr="00055AD8">
              <w:rPr>
                <w:rFonts w:cs="Times New Roman"/>
                <w:szCs w:val="24"/>
              </w:rPr>
              <w:br w:type="page"/>
            </w:r>
            <w:bookmarkStart w:id="110" w:name="_Toc168337710"/>
            <w:r w:rsidRPr="00055AD8">
              <w:rPr>
                <w:rFonts w:cs="Times New Roman"/>
                <w:b/>
                <w:bCs/>
                <w:szCs w:val="24"/>
              </w:rPr>
              <w:t>Methotrexate</w:t>
            </w:r>
            <w:bookmarkEnd w:id="110"/>
          </w:p>
        </w:tc>
      </w:tr>
      <w:tr w:rsidR="006E5981" w:rsidRPr="00055AD8" w14:paraId="39BCB733" w14:textId="77777777" w:rsidTr="002D6DD7">
        <w:tc>
          <w:tcPr>
            <w:tcW w:w="2610" w:type="dxa"/>
          </w:tcPr>
          <w:p w14:paraId="50668F52" w14:textId="77777777" w:rsidR="006E5981" w:rsidRPr="00055AD8" w:rsidRDefault="006E5981" w:rsidP="002D6DD7">
            <w:pPr>
              <w:jc w:val="both"/>
              <w:rPr>
                <w:rFonts w:cs="Times New Roman"/>
                <w:szCs w:val="24"/>
              </w:rPr>
            </w:pPr>
            <w:r w:rsidRPr="00055AD8">
              <w:rPr>
                <w:rFonts w:cs="Times New Roman"/>
                <w:szCs w:val="24"/>
              </w:rPr>
              <w:t>Pharmacological class</w:t>
            </w:r>
          </w:p>
        </w:tc>
        <w:tc>
          <w:tcPr>
            <w:tcW w:w="6750" w:type="dxa"/>
          </w:tcPr>
          <w:p w14:paraId="09952518" w14:textId="77777777" w:rsidR="006E5981" w:rsidRPr="00055AD8" w:rsidRDefault="006E5981" w:rsidP="002D6DD7">
            <w:pPr>
              <w:rPr>
                <w:rFonts w:cs="Times New Roman"/>
                <w:szCs w:val="24"/>
              </w:rPr>
            </w:pPr>
            <w:r w:rsidRPr="00055AD8">
              <w:rPr>
                <w:rFonts w:cs="Times New Roman"/>
                <w:szCs w:val="24"/>
              </w:rPr>
              <w:t>Antimetabolite</w:t>
            </w:r>
          </w:p>
        </w:tc>
      </w:tr>
      <w:tr w:rsidR="006E5981" w:rsidRPr="00055AD8" w14:paraId="2B08ED5B" w14:textId="77777777" w:rsidTr="002D6DD7">
        <w:tc>
          <w:tcPr>
            <w:tcW w:w="2610" w:type="dxa"/>
          </w:tcPr>
          <w:p w14:paraId="17CD032F" w14:textId="77777777" w:rsidR="006E5981" w:rsidRPr="00055AD8" w:rsidRDefault="006E5981" w:rsidP="002D6DD7">
            <w:pPr>
              <w:jc w:val="both"/>
              <w:rPr>
                <w:rFonts w:cs="Times New Roman"/>
                <w:szCs w:val="24"/>
              </w:rPr>
            </w:pPr>
            <w:r w:rsidRPr="00055AD8">
              <w:rPr>
                <w:rFonts w:cs="Times New Roman"/>
                <w:szCs w:val="24"/>
              </w:rPr>
              <w:t>Dosage form</w:t>
            </w:r>
          </w:p>
        </w:tc>
        <w:tc>
          <w:tcPr>
            <w:tcW w:w="6750" w:type="dxa"/>
          </w:tcPr>
          <w:p w14:paraId="2EFFEBE1" w14:textId="77777777" w:rsidR="006E5981" w:rsidRPr="00055AD8" w:rsidRDefault="006E5981" w:rsidP="002D6DD7">
            <w:pPr>
              <w:jc w:val="both"/>
              <w:rPr>
                <w:rFonts w:cs="Times New Roman"/>
                <w:szCs w:val="24"/>
              </w:rPr>
            </w:pPr>
            <w:r w:rsidRPr="00055AD8">
              <w:rPr>
                <w:rFonts w:cs="Times New Roman"/>
                <w:szCs w:val="24"/>
              </w:rPr>
              <w:t>Tablet: 2.5 mg</w:t>
            </w:r>
          </w:p>
        </w:tc>
      </w:tr>
      <w:tr w:rsidR="006E5981" w:rsidRPr="00055AD8" w14:paraId="557815C5" w14:textId="77777777" w:rsidTr="002D6DD7">
        <w:tc>
          <w:tcPr>
            <w:tcW w:w="2610" w:type="dxa"/>
          </w:tcPr>
          <w:p w14:paraId="10869500" w14:textId="77777777" w:rsidR="006E5981" w:rsidRPr="00055AD8" w:rsidRDefault="006E5981" w:rsidP="002D6DD7">
            <w:pPr>
              <w:jc w:val="both"/>
              <w:rPr>
                <w:rFonts w:cs="Times New Roman"/>
                <w:szCs w:val="24"/>
              </w:rPr>
            </w:pPr>
            <w:r w:rsidRPr="00055AD8">
              <w:rPr>
                <w:rFonts w:cs="Times New Roman"/>
                <w:szCs w:val="24"/>
              </w:rPr>
              <w:t>Indications</w:t>
            </w:r>
          </w:p>
        </w:tc>
        <w:tc>
          <w:tcPr>
            <w:tcW w:w="6750" w:type="dxa"/>
          </w:tcPr>
          <w:p w14:paraId="160EEBC8" w14:textId="77777777" w:rsidR="006E5981" w:rsidRPr="00055AD8" w:rsidRDefault="006E5981" w:rsidP="002D6DD7">
            <w:pPr>
              <w:jc w:val="both"/>
              <w:rPr>
                <w:rFonts w:cs="Times New Roman"/>
                <w:szCs w:val="24"/>
              </w:rPr>
            </w:pPr>
            <w:r w:rsidRPr="007B2EEB">
              <w:rPr>
                <w:rFonts w:cs="Times New Roman"/>
                <w:bCs/>
                <w:szCs w:val="24"/>
              </w:rPr>
              <w:t>Juvenile idiopathic arthritis</w:t>
            </w:r>
            <w:r>
              <w:rPr>
                <w:rFonts w:cs="Times New Roman"/>
                <w:bCs/>
                <w:szCs w:val="24"/>
              </w:rPr>
              <w:t xml:space="preserve"> and</w:t>
            </w:r>
            <w:r w:rsidRPr="00055AD8">
              <w:rPr>
                <w:rFonts w:cs="Times New Roman"/>
                <w:szCs w:val="24"/>
              </w:rPr>
              <w:t xml:space="preserve"> other autoimmune diseases </w:t>
            </w:r>
            <w:r>
              <w:rPr>
                <w:rFonts w:cs="Times New Roman"/>
                <w:szCs w:val="24"/>
              </w:rPr>
              <w:t>such as</w:t>
            </w:r>
            <w:r w:rsidRPr="00055AD8">
              <w:rPr>
                <w:rFonts w:cs="Times New Roman"/>
                <w:szCs w:val="24"/>
              </w:rPr>
              <w:t xml:space="preserve"> rheumatoid arthritis, psoriasis</w:t>
            </w:r>
          </w:p>
        </w:tc>
      </w:tr>
      <w:tr w:rsidR="006E5981" w:rsidRPr="00055AD8" w14:paraId="3710A4B4" w14:textId="77777777" w:rsidTr="002D6DD7">
        <w:tc>
          <w:tcPr>
            <w:tcW w:w="2610" w:type="dxa"/>
          </w:tcPr>
          <w:p w14:paraId="7AE816A8" w14:textId="77777777" w:rsidR="006E5981" w:rsidRPr="00055AD8" w:rsidRDefault="006E5981" w:rsidP="002D6DD7">
            <w:pPr>
              <w:rPr>
                <w:rFonts w:cs="Times New Roman"/>
                <w:szCs w:val="24"/>
              </w:rPr>
            </w:pPr>
            <w:r w:rsidRPr="00055AD8">
              <w:rPr>
                <w:rFonts w:eastAsia="Times New Roman" w:cs="Times New Roman"/>
                <w:szCs w:val="24"/>
              </w:rPr>
              <w:t>Dose and administration</w:t>
            </w:r>
          </w:p>
        </w:tc>
        <w:tc>
          <w:tcPr>
            <w:tcW w:w="6750" w:type="dxa"/>
          </w:tcPr>
          <w:p w14:paraId="34BA210B" w14:textId="77777777" w:rsidR="006E5981" w:rsidRPr="00055AD8" w:rsidRDefault="006E5981" w:rsidP="002D6DD7">
            <w:pPr>
              <w:jc w:val="both"/>
              <w:rPr>
                <w:rFonts w:cs="Times New Roman"/>
                <w:b/>
                <w:bCs/>
                <w:szCs w:val="24"/>
              </w:rPr>
            </w:pPr>
            <w:r w:rsidRPr="00055AD8">
              <w:rPr>
                <w:rFonts w:cs="Times New Roman"/>
                <w:b/>
                <w:bCs/>
                <w:szCs w:val="24"/>
              </w:rPr>
              <w:t>JIA</w:t>
            </w:r>
            <w:r w:rsidR="007624E8">
              <w:rPr>
                <w:rFonts w:cs="Times New Roman"/>
                <w:b/>
                <w:bCs/>
                <w:szCs w:val="24"/>
              </w:rPr>
              <w:t>:</w:t>
            </w:r>
          </w:p>
          <w:p w14:paraId="63928021" w14:textId="77777777" w:rsidR="006E5981" w:rsidRPr="00055AD8" w:rsidRDefault="006E5981" w:rsidP="002D6DD7">
            <w:pPr>
              <w:jc w:val="both"/>
              <w:rPr>
                <w:rFonts w:cs="Times New Roman"/>
                <w:szCs w:val="24"/>
              </w:rPr>
            </w:pPr>
            <w:r w:rsidRPr="00055AD8">
              <w:rPr>
                <w:rFonts w:cs="Times New Roman"/>
                <w:szCs w:val="24"/>
              </w:rPr>
              <w:t xml:space="preserve">Initial </w:t>
            </w:r>
            <w:r>
              <w:rPr>
                <w:rFonts w:cs="Times New Roman"/>
                <w:szCs w:val="24"/>
              </w:rPr>
              <w:t>d</w:t>
            </w:r>
            <w:r w:rsidRPr="00055AD8">
              <w:rPr>
                <w:rFonts w:cs="Times New Roman"/>
                <w:szCs w:val="24"/>
              </w:rPr>
              <w:t>ose: 10-15 mg/m² (body surface area) once weekly.</w:t>
            </w:r>
          </w:p>
          <w:p w14:paraId="064A69BA" w14:textId="77777777" w:rsidR="006E5981" w:rsidRPr="00055AD8" w:rsidRDefault="006E5981" w:rsidP="002D6DD7">
            <w:pPr>
              <w:jc w:val="both"/>
              <w:rPr>
                <w:rFonts w:cs="Times New Roman"/>
                <w:szCs w:val="24"/>
              </w:rPr>
            </w:pPr>
            <w:r w:rsidRPr="00055AD8">
              <w:rPr>
                <w:rFonts w:cs="Times New Roman"/>
                <w:szCs w:val="24"/>
              </w:rPr>
              <w:t xml:space="preserve">Maintenance </w:t>
            </w:r>
            <w:r>
              <w:rPr>
                <w:rFonts w:cs="Times New Roman"/>
                <w:szCs w:val="24"/>
              </w:rPr>
              <w:t>d</w:t>
            </w:r>
            <w:r w:rsidRPr="00055AD8">
              <w:rPr>
                <w:rFonts w:cs="Times New Roman"/>
                <w:szCs w:val="24"/>
              </w:rPr>
              <w:t>ose: Adjust based on clinical response and tolerance. The usual dose range is 10-20 mg/m² once weekly.</w:t>
            </w:r>
          </w:p>
          <w:p w14:paraId="6FC6C215" w14:textId="77777777" w:rsidR="006E5981" w:rsidRPr="00055AD8" w:rsidRDefault="006E5981" w:rsidP="002D6DD7">
            <w:pPr>
              <w:jc w:val="both"/>
              <w:rPr>
                <w:rFonts w:cs="Times New Roman"/>
                <w:szCs w:val="24"/>
              </w:rPr>
            </w:pPr>
            <w:r w:rsidRPr="00055AD8">
              <w:rPr>
                <w:rFonts w:cs="Times New Roman"/>
                <w:szCs w:val="24"/>
              </w:rPr>
              <w:t xml:space="preserve">Maximum </w:t>
            </w:r>
            <w:r>
              <w:rPr>
                <w:rFonts w:cs="Times New Roman"/>
                <w:szCs w:val="24"/>
              </w:rPr>
              <w:t>d</w:t>
            </w:r>
            <w:r w:rsidRPr="00055AD8">
              <w:rPr>
                <w:rFonts w:cs="Times New Roman"/>
                <w:szCs w:val="24"/>
              </w:rPr>
              <w:t>ose: 25 mg/week</w:t>
            </w:r>
          </w:p>
        </w:tc>
      </w:tr>
      <w:tr w:rsidR="006E5981" w:rsidRPr="00055AD8" w14:paraId="754E1FF0" w14:textId="77777777" w:rsidTr="002D6DD7">
        <w:tc>
          <w:tcPr>
            <w:tcW w:w="2610" w:type="dxa"/>
          </w:tcPr>
          <w:p w14:paraId="148B57A6" w14:textId="77777777" w:rsidR="006E5981" w:rsidRPr="00055AD8" w:rsidRDefault="006E5981" w:rsidP="002D6DD7">
            <w:pPr>
              <w:jc w:val="both"/>
              <w:rPr>
                <w:rFonts w:cs="Times New Roman"/>
                <w:szCs w:val="24"/>
              </w:rPr>
            </w:pPr>
            <w:r w:rsidRPr="00055AD8">
              <w:rPr>
                <w:rFonts w:cs="Times New Roman"/>
                <w:szCs w:val="24"/>
              </w:rPr>
              <w:t>Contraindications</w:t>
            </w:r>
          </w:p>
        </w:tc>
        <w:tc>
          <w:tcPr>
            <w:tcW w:w="6750" w:type="dxa"/>
          </w:tcPr>
          <w:p w14:paraId="40AE2F01" w14:textId="77777777" w:rsidR="006E5981" w:rsidRPr="00055AD8" w:rsidRDefault="006E5981" w:rsidP="002D6DD7">
            <w:pPr>
              <w:jc w:val="both"/>
              <w:rPr>
                <w:rFonts w:cs="Times New Roman"/>
                <w:szCs w:val="24"/>
              </w:rPr>
            </w:pPr>
            <w:r w:rsidRPr="00055AD8">
              <w:rPr>
                <w:rFonts w:cs="Times New Roman"/>
                <w:szCs w:val="24"/>
              </w:rPr>
              <w:t>Immunodeficiency syndromes</w:t>
            </w:r>
          </w:p>
        </w:tc>
      </w:tr>
      <w:tr w:rsidR="006E5981" w:rsidRPr="00055AD8" w14:paraId="143D7E17" w14:textId="77777777" w:rsidTr="002D6DD7">
        <w:tc>
          <w:tcPr>
            <w:tcW w:w="2610" w:type="dxa"/>
          </w:tcPr>
          <w:p w14:paraId="512C2D94" w14:textId="77777777" w:rsidR="006E5981" w:rsidRPr="00055AD8" w:rsidRDefault="006E5981" w:rsidP="002D6DD7">
            <w:pPr>
              <w:jc w:val="both"/>
              <w:rPr>
                <w:rFonts w:cs="Times New Roman"/>
                <w:szCs w:val="24"/>
              </w:rPr>
            </w:pPr>
            <w:r w:rsidRPr="00055AD8">
              <w:rPr>
                <w:rFonts w:cs="Times New Roman"/>
                <w:szCs w:val="24"/>
              </w:rPr>
              <w:t>Drug interactions</w:t>
            </w:r>
          </w:p>
        </w:tc>
        <w:tc>
          <w:tcPr>
            <w:tcW w:w="6750" w:type="dxa"/>
          </w:tcPr>
          <w:p w14:paraId="26DD561E" w14:textId="77777777" w:rsidR="006E5981" w:rsidRPr="00055AD8" w:rsidRDefault="006E5981" w:rsidP="002D6DD7">
            <w:pPr>
              <w:jc w:val="both"/>
              <w:rPr>
                <w:rFonts w:cs="Times New Roman"/>
                <w:szCs w:val="24"/>
              </w:rPr>
            </w:pPr>
            <w:r w:rsidRPr="00743134">
              <w:rPr>
                <w:rFonts w:cs="Times New Roman"/>
                <w:szCs w:val="24"/>
              </w:rPr>
              <w:t>Refer to Methotrexate under medicines for sarcoidosis and ILD</w:t>
            </w:r>
          </w:p>
        </w:tc>
      </w:tr>
      <w:tr w:rsidR="006E5981" w:rsidRPr="00055AD8" w14:paraId="35D8C295" w14:textId="77777777" w:rsidTr="002D6DD7">
        <w:tc>
          <w:tcPr>
            <w:tcW w:w="2610" w:type="dxa"/>
          </w:tcPr>
          <w:p w14:paraId="161AECE2" w14:textId="77777777" w:rsidR="006E5981" w:rsidRPr="00055AD8" w:rsidRDefault="006E5981" w:rsidP="002D6DD7">
            <w:pPr>
              <w:jc w:val="both"/>
              <w:rPr>
                <w:rFonts w:cs="Times New Roman"/>
                <w:szCs w:val="24"/>
              </w:rPr>
            </w:pPr>
            <w:r w:rsidRPr="00055AD8">
              <w:rPr>
                <w:rFonts w:cs="Times New Roman"/>
                <w:szCs w:val="24"/>
              </w:rPr>
              <w:t xml:space="preserve">Side effects </w:t>
            </w:r>
          </w:p>
        </w:tc>
        <w:tc>
          <w:tcPr>
            <w:tcW w:w="6750" w:type="dxa"/>
          </w:tcPr>
          <w:p w14:paraId="21FE5A3E" w14:textId="77777777" w:rsidR="006E5981" w:rsidRPr="00055AD8" w:rsidRDefault="006E5981" w:rsidP="002D6DD7">
            <w:pPr>
              <w:jc w:val="both"/>
              <w:rPr>
                <w:rFonts w:cs="Times New Roman"/>
                <w:szCs w:val="24"/>
              </w:rPr>
            </w:pPr>
            <w:r w:rsidRPr="00743134">
              <w:rPr>
                <w:rFonts w:cs="Times New Roman"/>
                <w:szCs w:val="24"/>
              </w:rPr>
              <w:t>Refer to Methotrexate under medicines for sarcoidosis and ILD</w:t>
            </w:r>
          </w:p>
        </w:tc>
      </w:tr>
      <w:tr w:rsidR="006E5981" w:rsidRPr="00055AD8" w14:paraId="6ED65DE2" w14:textId="77777777" w:rsidTr="002D6DD7">
        <w:tc>
          <w:tcPr>
            <w:tcW w:w="2610" w:type="dxa"/>
          </w:tcPr>
          <w:p w14:paraId="57ADA199" w14:textId="77777777" w:rsidR="006E5981" w:rsidRPr="00055AD8" w:rsidRDefault="006E5981" w:rsidP="002D6DD7">
            <w:pPr>
              <w:jc w:val="both"/>
              <w:rPr>
                <w:rFonts w:cs="Times New Roman"/>
                <w:szCs w:val="24"/>
              </w:rPr>
            </w:pPr>
            <w:r w:rsidRPr="00055AD8">
              <w:rPr>
                <w:rFonts w:cs="Times New Roman"/>
                <w:szCs w:val="24"/>
              </w:rPr>
              <w:t>Cautions</w:t>
            </w:r>
          </w:p>
        </w:tc>
        <w:tc>
          <w:tcPr>
            <w:tcW w:w="6750" w:type="dxa"/>
          </w:tcPr>
          <w:p w14:paraId="3B1D51C2" w14:textId="77777777" w:rsidR="006E5981" w:rsidRPr="00055AD8" w:rsidRDefault="006E5981" w:rsidP="002D6DD7">
            <w:pPr>
              <w:jc w:val="both"/>
              <w:rPr>
                <w:rFonts w:cs="Times New Roman"/>
                <w:szCs w:val="24"/>
              </w:rPr>
            </w:pPr>
            <w:r w:rsidRPr="00743134">
              <w:rPr>
                <w:rFonts w:cs="Times New Roman"/>
                <w:szCs w:val="24"/>
              </w:rPr>
              <w:t>Refer to Methotrexate under medicines for sarcoidosis and ILD</w:t>
            </w:r>
          </w:p>
        </w:tc>
      </w:tr>
      <w:tr w:rsidR="006E5981" w:rsidRPr="00055AD8" w14:paraId="29193E6C" w14:textId="77777777" w:rsidTr="002D6DD7">
        <w:tc>
          <w:tcPr>
            <w:tcW w:w="2610" w:type="dxa"/>
          </w:tcPr>
          <w:p w14:paraId="30DCA236" w14:textId="77777777" w:rsidR="006E5981" w:rsidRPr="00055AD8" w:rsidRDefault="006E5981" w:rsidP="002D6DD7">
            <w:pPr>
              <w:jc w:val="both"/>
              <w:rPr>
                <w:rFonts w:cs="Times New Roman"/>
                <w:szCs w:val="24"/>
              </w:rPr>
            </w:pPr>
            <w:r w:rsidRPr="00055AD8">
              <w:rPr>
                <w:rFonts w:cs="Times New Roman"/>
                <w:szCs w:val="24"/>
              </w:rPr>
              <w:t>Storage condition</w:t>
            </w:r>
          </w:p>
        </w:tc>
        <w:tc>
          <w:tcPr>
            <w:tcW w:w="6750" w:type="dxa"/>
          </w:tcPr>
          <w:p w14:paraId="1B47B5E1" w14:textId="77777777" w:rsidR="006E5981" w:rsidRPr="00055AD8" w:rsidRDefault="006E5981" w:rsidP="002D6DD7">
            <w:pPr>
              <w:jc w:val="both"/>
              <w:rPr>
                <w:rFonts w:cs="Times New Roman"/>
                <w:szCs w:val="24"/>
              </w:rPr>
            </w:pPr>
            <w:r w:rsidRPr="00055AD8">
              <w:rPr>
                <w:rFonts w:cs="Times New Roman"/>
                <w:szCs w:val="24"/>
              </w:rPr>
              <w:t>Store below 30</w:t>
            </w:r>
            <w:r w:rsidRPr="00055AD8">
              <w:rPr>
                <w:rFonts w:cs="Times New Roman"/>
                <w:szCs w:val="24"/>
                <w:vertAlign w:val="superscript"/>
              </w:rPr>
              <w:t>O</w:t>
            </w:r>
            <w:r w:rsidRPr="00055AD8">
              <w:rPr>
                <w:rFonts w:cs="Times New Roman"/>
                <w:szCs w:val="24"/>
              </w:rPr>
              <w:t>C. Protect from light, moisture and heat.</w:t>
            </w:r>
          </w:p>
        </w:tc>
      </w:tr>
      <w:tr w:rsidR="006E5981" w:rsidRPr="00055AD8" w14:paraId="6D1C627C" w14:textId="77777777" w:rsidTr="002D6DD7">
        <w:tc>
          <w:tcPr>
            <w:tcW w:w="9360" w:type="dxa"/>
            <w:gridSpan w:val="2"/>
            <w:hideMark/>
          </w:tcPr>
          <w:p w14:paraId="487C8C3A" w14:textId="77777777" w:rsidR="006E5981" w:rsidRPr="00055AD8" w:rsidRDefault="006E5981" w:rsidP="002D6DD7">
            <w:pPr>
              <w:jc w:val="both"/>
              <w:rPr>
                <w:rFonts w:cs="Times New Roman"/>
                <w:b/>
                <w:bCs/>
                <w:color w:val="ED7D31" w:themeColor="accent2"/>
                <w:szCs w:val="24"/>
              </w:rPr>
            </w:pPr>
            <w:bookmarkStart w:id="111" w:name="_Toc168337712"/>
            <w:r w:rsidRPr="00055AD8">
              <w:rPr>
                <w:rFonts w:cs="Times New Roman"/>
                <w:b/>
                <w:bCs/>
                <w:szCs w:val="24"/>
              </w:rPr>
              <w:lastRenderedPageBreak/>
              <w:t>Triamcinolone acetonide</w:t>
            </w:r>
            <w:bookmarkEnd w:id="111"/>
          </w:p>
        </w:tc>
      </w:tr>
      <w:tr w:rsidR="006E5981" w:rsidRPr="00055AD8" w14:paraId="2398AA23" w14:textId="77777777" w:rsidTr="002D6DD7">
        <w:tc>
          <w:tcPr>
            <w:tcW w:w="2610" w:type="dxa"/>
            <w:hideMark/>
          </w:tcPr>
          <w:p w14:paraId="74FB31F2" w14:textId="77777777" w:rsidR="006E5981" w:rsidRPr="00055AD8" w:rsidRDefault="006E5981" w:rsidP="002D6DD7">
            <w:pPr>
              <w:jc w:val="both"/>
              <w:rPr>
                <w:rFonts w:cs="Times New Roman"/>
                <w:szCs w:val="24"/>
              </w:rPr>
            </w:pPr>
            <w:r w:rsidRPr="00055AD8">
              <w:rPr>
                <w:rFonts w:cs="Times New Roman"/>
                <w:szCs w:val="24"/>
              </w:rPr>
              <w:t>Pharmacological class</w:t>
            </w:r>
          </w:p>
        </w:tc>
        <w:tc>
          <w:tcPr>
            <w:tcW w:w="6750" w:type="dxa"/>
          </w:tcPr>
          <w:p w14:paraId="63B7F757" w14:textId="77777777" w:rsidR="006E5981" w:rsidRPr="00055AD8" w:rsidRDefault="006E5981" w:rsidP="002D6DD7">
            <w:pPr>
              <w:jc w:val="both"/>
              <w:rPr>
                <w:rFonts w:cs="Times New Roman"/>
                <w:szCs w:val="24"/>
              </w:rPr>
            </w:pPr>
            <w:r w:rsidRPr="00055AD8">
              <w:rPr>
                <w:rFonts w:cs="Times New Roman"/>
                <w:szCs w:val="24"/>
              </w:rPr>
              <w:t>Corticosteroid</w:t>
            </w:r>
          </w:p>
        </w:tc>
      </w:tr>
      <w:tr w:rsidR="006E5981" w:rsidRPr="00055AD8" w14:paraId="58F0C555" w14:textId="77777777" w:rsidTr="002D6DD7">
        <w:tc>
          <w:tcPr>
            <w:tcW w:w="2610" w:type="dxa"/>
            <w:hideMark/>
          </w:tcPr>
          <w:p w14:paraId="32C3B8EA" w14:textId="77777777" w:rsidR="006E5981" w:rsidRPr="00055AD8" w:rsidRDefault="006E5981" w:rsidP="002D6DD7">
            <w:pPr>
              <w:jc w:val="both"/>
              <w:rPr>
                <w:rFonts w:cs="Times New Roman"/>
                <w:szCs w:val="24"/>
              </w:rPr>
            </w:pPr>
            <w:r w:rsidRPr="00055AD8">
              <w:rPr>
                <w:rFonts w:cs="Times New Roman"/>
                <w:szCs w:val="24"/>
              </w:rPr>
              <w:t>Dosage form</w:t>
            </w:r>
          </w:p>
        </w:tc>
        <w:tc>
          <w:tcPr>
            <w:tcW w:w="6750" w:type="dxa"/>
          </w:tcPr>
          <w:p w14:paraId="1999A554" w14:textId="77777777" w:rsidR="006E5981" w:rsidRPr="00055AD8" w:rsidRDefault="006E5981" w:rsidP="002D6DD7">
            <w:pPr>
              <w:jc w:val="both"/>
              <w:rPr>
                <w:rFonts w:cs="Times New Roman"/>
                <w:szCs w:val="24"/>
              </w:rPr>
            </w:pPr>
            <w:r w:rsidRPr="00055AD8">
              <w:rPr>
                <w:rFonts w:cs="Times New Roman"/>
                <w:szCs w:val="24"/>
              </w:rPr>
              <w:t>Injection: 10 mg/ml, 40 mg/ml in vial</w:t>
            </w:r>
          </w:p>
          <w:p w14:paraId="36684376" w14:textId="77777777" w:rsidR="006E5981" w:rsidRPr="00055AD8" w:rsidRDefault="006E5981" w:rsidP="002D6DD7">
            <w:pPr>
              <w:jc w:val="both"/>
              <w:rPr>
                <w:rFonts w:cs="Times New Roman"/>
                <w:szCs w:val="24"/>
              </w:rPr>
            </w:pPr>
            <w:r w:rsidRPr="00055AD8">
              <w:rPr>
                <w:rFonts w:cs="Times New Roman"/>
                <w:szCs w:val="24"/>
              </w:rPr>
              <w:t>Topical: Cream, Ointment, Lotion (0.025%, 0.5%, 0.1%)</w:t>
            </w:r>
          </w:p>
        </w:tc>
      </w:tr>
      <w:tr w:rsidR="006E5981" w:rsidRPr="00055AD8" w14:paraId="16E7BAC4" w14:textId="77777777" w:rsidTr="002D6DD7">
        <w:tc>
          <w:tcPr>
            <w:tcW w:w="2610" w:type="dxa"/>
            <w:hideMark/>
          </w:tcPr>
          <w:p w14:paraId="27CF21F3" w14:textId="77777777" w:rsidR="006E5981" w:rsidRPr="00055AD8" w:rsidRDefault="006E5981" w:rsidP="002D6DD7">
            <w:pPr>
              <w:jc w:val="both"/>
              <w:rPr>
                <w:rFonts w:cs="Times New Roman"/>
                <w:szCs w:val="24"/>
              </w:rPr>
            </w:pPr>
            <w:r w:rsidRPr="00055AD8">
              <w:rPr>
                <w:rFonts w:cs="Times New Roman"/>
                <w:szCs w:val="24"/>
              </w:rPr>
              <w:t>Indications</w:t>
            </w:r>
          </w:p>
        </w:tc>
        <w:tc>
          <w:tcPr>
            <w:tcW w:w="6750" w:type="dxa"/>
          </w:tcPr>
          <w:p w14:paraId="50563979" w14:textId="77777777" w:rsidR="006E5981" w:rsidRPr="00055AD8" w:rsidRDefault="006E5981" w:rsidP="002D6DD7">
            <w:pPr>
              <w:jc w:val="both"/>
              <w:rPr>
                <w:rFonts w:cs="Times New Roman"/>
                <w:szCs w:val="24"/>
              </w:rPr>
            </w:pPr>
            <w:r w:rsidRPr="00055AD8">
              <w:rPr>
                <w:rFonts w:cs="Times New Roman"/>
                <w:szCs w:val="24"/>
              </w:rPr>
              <w:t xml:space="preserve">Juvenile idiopathic arthritis </w:t>
            </w:r>
            <w:r>
              <w:rPr>
                <w:rFonts w:cs="Times New Roman"/>
                <w:szCs w:val="24"/>
              </w:rPr>
              <w:t>and o</w:t>
            </w:r>
            <w:r w:rsidRPr="00055AD8">
              <w:rPr>
                <w:rFonts w:cs="Times New Roman"/>
                <w:szCs w:val="24"/>
              </w:rPr>
              <w:t>ther inflammatory conditions</w:t>
            </w:r>
          </w:p>
        </w:tc>
      </w:tr>
      <w:tr w:rsidR="006E5981" w:rsidRPr="00055AD8" w14:paraId="7AFE4407" w14:textId="77777777" w:rsidTr="002D6DD7">
        <w:tc>
          <w:tcPr>
            <w:tcW w:w="2610" w:type="dxa"/>
            <w:hideMark/>
          </w:tcPr>
          <w:p w14:paraId="52F4A294" w14:textId="77777777" w:rsidR="006E5981" w:rsidRPr="00055AD8" w:rsidRDefault="006E5981" w:rsidP="002D6DD7">
            <w:pPr>
              <w:rPr>
                <w:rFonts w:cs="Times New Roman"/>
                <w:szCs w:val="24"/>
              </w:rPr>
            </w:pPr>
            <w:r w:rsidRPr="00055AD8">
              <w:rPr>
                <w:rFonts w:eastAsia="Times New Roman" w:cs="Times New Roman"/>
                <w:szCs w:val="24"/>
              </w:rPr>
              <w:t>Dose and administration</w:t>
            </w:r>
          </w:p>
        </w:tc>
        <w:tc>
          <w:tcPr>
            <w:tcW w:w="6750" w:type="dxa"/>
          </w:tcPr>
          <w:p w14:paraId="0E0DFC82" w14:textId="77777777" w:rsidR="006E5981" w:rsidRPr="00055AD8" w:rsidRDefault="006E5981" w:rsidP="002D6DD7">
            <w:pPr>
              <w:jc w:val="both"/>
              <w:rPr>
                <w:rFonts w:cs="Times New Roman"/>
                <w:b/>
                <w:bCs/>
                <w:szCs w:val="24"/>
              </w:rPr>
            </w:pPr>
            <w:r w:rsidRPr="00055AD8">
              <w:rPr>
                <w:rFonts w:cs="Times New Roman"/>
                <w:b/>
                <w:bCs/>
                <w:szCs w:val="24"/>
              </w:rPr>
              <w:t>JIA</w:t>
            </w:r>
            <w:r w:rsidR="007624E8">
              <w:rPr>
                <w:rFonts w:cs="Times New Roman"/>
                <w:b/>
                <w:bCs/>
                <w:szCs w:val="24"/>
              </w:rPr>
              <w:t>:</w:t>
            </w:r>
          </w:p>
          <w:p w14:paraId="499CBA8D" w14:textId="77777777" w:rsidR="006E5981" w:rsidRPr="00105797" w:rsidRDefault="006E5981" w:rsidP="002D6DD7">
            <w:pPr>
              <w:jc w:val="both"/>
              <w:rPr>
                <w:rFonts w:cs="Times New Roman"/>
                <w:b/>
                <w:bCs/>
                <w:szCs w:val="24"/>
              </w:rPr>
            </w:pPr>
            <w:r w:rsidRPr="00105797">
              <w:rPr>
                <w:rFonts w:cs="Times New Roman"/>
                <w:b/>
                <w:bCs/>
                <w:szCs w:val="24"/>
              </w:rPr>
              <w:t>Intra-articular Injection</w:t>
            </w:r>
            <w:r w:rsidR="007624E8">
              <w:rPr>
                <w:rFonts w:cs="Times New Roman"/>
                <w:b/>
                <w:bCs/>
                <w:szCs w:val="24"/>
              </w:rPr>
              <w:t>:</w:t>
            </w:r>
          </w:p>
          <w:p w14:paraId="1CAD9D53" w14:textId="77777777" w:rsidR="006E5981" w:rsidRPr="00055AD8" w:rsidRDefault="006E5981" w:rsidP="002D6DD7">
            <w:pPr>
              <w:jc w:val="both"/>
              <w:rPr>
                <w:rFonts w:cs="Times New Roman"/>
                <w:szCs w:val="24"/>
              </w:rPr>
            </w:pPr>
            <w:r w:rsidRPr="00055AD8">
              <w:rPr>
                <w:rFonts w:cs="Times New Roman"/>
                <w:szCs w:val="24"/>
              </w:rPr>
              <w:t>Dose: 1-2 mg/kg per joint, not to exceed 40 mg per joint.</w:t>
            </w:r>
          </w:p>
          <w:p w14:paraId="4B79346C" w14:textId="77777777" w:rsidR="006E5981" w:rsidRPr="00055AD8" w:rsidRDefault="006E5981" w:rsidP="002D6DD7">
            <w:pPr>
              <w:jc w:val="both"/>
              <w:rPr>
                <w:rFonts w:cs="Times New Roman"/>
                <w:szCs w:val="24"/>
              </w:rPr>
            </w:pPr>
            <w:r w:rsidRPr="00055AD8">
              <w:rPr>
                <w:rFonts w:cs="Times New Roman"/>
                <w:szCs w:val="24"/>
              </w:rPr>
              <w:t>Frequency: Can be repeated every 3-6 months, depending on clinical response and tolerance.</w:t>
            </w:r>
          </w:p>
          <w:p w14:paraId="03DCE0B7" w14:textId="77777777" w:rsidR="006E5981" w:rsidRPr="00105797" w:rsidRDefault="006E5981" w:rsidP="002D6DD7">
            <w:pPr>
              <w:jc w:val="both"/>
              <w:rPr>
                <w:rFonts w:cs="Times New Roman"/>
                <w:b/>
                <w:bCs/>
                <w:szCs w:val="24"/>
              </w:rPr>
            </w:pPr>
            <w:r w:rsidRPr="00105797">
              <w:rPr>
                <w:rFonts w:cs="Times New Roman"/>
                <w:b/>
                <w:bCs/>
                <w:szCs w:val="24"/>
              </w:rPr>
              <w:t>IM Injection</w:t>
            </w:r>
            <w:r w:rsidR="007624E8">
              <w:rPr>
                <w:rFonts w:cs="Times New Roman"/>
                <w:b/>
                <w:bCs/>
                <w:szCs w:val="24"/>
              </w:rPr>
              <w:t>:</w:t>
            </w:r>
          </w:p>
          <w:p w14:paraId="4BA578EA" w14:textId="77777777" w:rsidR="006E5981" w:rsidRPr="00055AD8" w:rsidRDefault="006E5981" w:rsidP="002D6DD7">
            <w:pPr>
              <w:jc w:val="both"/>
              <w:rPr>
                <w:rFonts w:cs="Times New Roman"/>
                <w:szCs w:val="24"/>
              </w:rPr>
            </w:pPr>
            <w:r w:rsidRPr="00055AD8">
              <w:rPr>
                <w:rFonts w:cs="Times New Roman"/>
                <w:szCs w:val="24"/>
              </w:rPr>
              <w:t>Dose: 0.11-1.6 mg/kg (usually 0.11-0.22 mg/kg) as a single dose.</w:t>
            </w:r>
          </w:p>
          <w:p w14:paraId="261C77D6" w14:textId="77777777" w:rsidR="006E5981" w:rsidRPr="00055AD8" w:rsidRDefault="006E5981" w:rsidP="002D6DD7">
            <w:pPr>
              <w:jc w:val="both"/>
              <w:rPr>
                <w:rFonts w:cs="Times New Roman"/>
                <w:szCs w:val="24"/>
              </w:rPr>
            </w:pPr>
            <w:r w:rsidRPr="00055AD8">
              <w:rPr>
                <w:rFonts w:cs="Times New Roman"/>
                <w:szCs w:val="24"/>
              </w:rPr>
              <w:t>Frequency: Can be repeated every 3-6 months based on clinical response and tolerance.</w:t>
            </w:r>
          </w:p>
          <w:p w14:paraId="2D2E0384" w14:textId="77777777" w:rsidR="006E5981" w:rsidRPr="00055AD8" w:rsidRDefault="006E5981" w:rsidP="002D6DD7">
            <w:pPr>
              <w:jc w:val="both"/>
              <w:rPr>
                <w:rFonts w:cs="Times New Roman"/>
                <w:b/>
                <w:bCs/>
                <w:szCs w:val="24"/>
              </w:rPr>
            </w:pPr>
            <w:r w:rsidRPr="00055AD8">
              <w:rPr>
                <w:rFonts w:cs="Times New Roman"/>
                <w:b/>
                <w:bCs/>
                <w:szCs w:val="24"/>
              </w:rPr>
              <w:t>Topical Application (not typically used for JIA)</w:t>
            </w:r>
            <w:r w:rsidR="007624E8">
              <w:rPr>
                <w:rFonts w:cs="Times New Roman"/>
                <w:b/>
                <w:bCs/>
                <w:szCs w:val="24"/>
              </w:rPr>
              <w:t>:</w:t>
            </w:r>
          </w:p>
          <w:p w14:paraId="5949B053" w14:textId="77777777" w:rsidR="006E5981" w:rsidRPr="00EC2731" w:rsidRDefault="006E5981" w:rsidP="002D6DD7">
            <w:pPr>
              <w:jc w:val="both"/>
              <w:rPr>
                <w:rFonts w:cs="Times New Roman"/>
                <w:szCs w:val="24"/>
              </w:rPr>
            </w:pPr>
            <w:r w:rsidRPr="00055AD8">
              <w:rPr>
                <w:rFonts w:cs="Times New Roman"/>
                <w:szCs w:val="24"/>
              </w:rPr>
              <w:t>Dose: Apply a thin layer to the affected area 2-4 times daily.</w:t>
            </w:r>
          </w:p>
        </w:tc>
      </w:tr>
      <w:tr w:rsidR="006E5981" w:rsidRPr="00055AD8" w14:paraId="48BEC8BB" w14:textId="77777777" w:rsidTr="002D6DD7">
        <w:tc>
          <w:tcPr>
            <w:tcW w:w="2610" w:type="dxa"/>
            <w:hideMark/>
          </w:tcPr>
          <w:p w14:paraId="0784C59F" w14:textId="77777777" w:rsidR="006E5981" w:rsidRPr="00055AD8" w:rsidRDefault="006E5981" w:rsidP="002D6DD7">
            <w:pPr>
              <w:jc w:val="both"/>
              <w:rPr>
                <w:rFonts w:cs="Times New Roman"/>
                <w:szCs w:val="24"/>
              </w:rPr>
            </w:pPr>
            <w:r w:rsidRPr="00055AD8">
              <w:rPr>
                <w:rFonts w:cs="Times New Roman"/>
                <w:szCs w:val="24"/>
              </w:rPr>
              <w:t>Contraindications</w:t>
            </w:r>
          </w:p>
        </w:tc>
        <w:tc>
          <w:tcPr>
            <w:tcW w:w="6750" w:type="dxa"/>
          </w:tcPr>
          <w:p w14:paraId="0B9E08A8" w14:textId="77777777" w:rsidR="006E5981" w:rsidRPr="00EC2731" w:rsidRDefault="006E5981" w:rsidP="002D6DD7">
            <w:pPr>
              <w:jc w:val="both"/>
              <w:rPr>
                <w:rFonts w:cs="Times New Roman"/>
                <w:szCs w:val="24"/>
              </w:rPr>
            </w:pPr>
            <w:r w:rsidRPr="007731AF">
              <w:rPr>
                <w:rFonts w:cs="Times New Roman"/>
                <w:szCs w:val="24"/>
              </w:rPr>
              <w:t xml:space="preserve">Refer </w:t>
            </w:r>
            <w:r>
              <w:rPr>
                <w:rFonts w:cs="Times New Roman"/>
                <w:szCs w:val="24"/>
              </w:rPr>
              <w:t>to</w:t>
            </w:r>
            <w:r w:rsidRPr="007731AF">
              <w:rPr>
                <w:rFonts w:cs="Times New Roman"/>
                <w:szCs w:val="24"/>
              </w:rPr>
              <w:t xml:space="preserve"> triamcinolone acetonide</w:t>
            </w:r>
            <w:r>
              <w:rPr>
                <w:rFonts w:cs="Times New Roman"/>
                <w:szCs w:val="24"/>
              </w:rPr>
              <w:t xml:space="preserve"> under medicines used for Gout section</w:t>
            </w:r>
          </w:p>
        </w:tc>
      </w:tr>
      <w:tr w:rsidR="006E5981" w:rsidRPr="00055AD8" w14:paraId="3397A6C0" w14:textId="77777777" w:rsidTr="002D6DD7">
        <w:tc>
          <w:tcPr>
            <w:tcW w:w="2610" w:type="dxa"/>
            <w:hideMark/>
          </w:tcPr>
          <w:p w14:paraId="5A279482" w14:textId="77777777" w:rsidR="006E5981" w:rsidRPr="00055AD8" w:rsidRDefault="006E5981" w:rsidP="002D6DD7">
            <w:pPr>
              <w:jc w:val="both"/>
              <w:rPr>
                <w:rFonts w:cs="Times New Roman"/>
                <w:szCs w:val="24"/>
              </w:rPr>
            </w:pPr>
            <w:r w:rsidRPr="00055AD8">
              <w:rPr>
                <w:rFonts w:cs="Times New Roman"/>
                <w:szCs w:val="24"/>
              </w:rPr>
              <w:t>Drug interactions</w:t>
            </w:r>
          </w:p>
        </w:tc>
        <w:tc>
          <w:tcPr>
            <w:tcW w:w="6750" w:type="dxa"/>
          </w:tcPr>
          <w:p w14:paraId="3B79329E" w14:textId="77777777" w:rsidR="006E5981" w:rsidRPr="00055AD8" w:rsidRDefault="006E5981" w:rsidP="002D6DD7">
            <w:pPr>
              <w:jc w:val="both"/>
              <w:rPr>
                <w:rFonts w:cs="Times New Roman"/>
                <w:color w:val="ED7D31" w:themeColor="accent2"/>
                <w:szCs w:val="24"/>
                <w:highlight w:val="yellow"/>
              </w:rPr>
            </w:pPr>
            <w:r w:rsidRPr="00625288">
              <w:rPr>
                <w:rFonts w:cs="Times New Roman"/>
                <w:szCs w:val="24"/>
              </w:rPr>
              <w:t>Refer to triamcinolone acetonide under medicines used for Gout section</w:t>
            </w:r>
          </w:p>
        </w:tc>
      </w:tr>
      <w:tr w:rsidR="006E5981" w:rsidRPr="00055AD8" w14:paraId="7E267D67" w14:textId="77777777" w:rsidTr="002D6DD7">
        <w:tc>
          <w:tcPr>
            <w:tcW w:w="2610" w:type="dxa"/>
            <w:hideMark/>
          </w:tcPr>
          <w:p w14:paraId="5BE4D4F0" w14:textId="77777777" w:rsidR="006E5981" w:rsidRPr="00055AD8" w:rsidRDefault="006E5981" w:rsidP="002D6DD7">
            <w:pPr>
              <w:jc w:val="both"/>
              <w:rPr>
                <w:rFonts w:cs="Times New Roman"/>
                <w:szCs w:val="24"/>
              </w:rPr>
            </w:pPr>
            <w:r w:rsidRPr="00055AD8">
              <w:rPr>
                <w:rFonts w:cs="Times New Roman"/>
                <w:szCs w:val="24"/>
              </w:rPr>
              <w:t>Side effects</w:t>
            </w:r>
          </w:p>
        </w:tc>
        <w:tc>
          <w:tcPr>
            <w:tcW w:w="6750" w:type="dxa"/>
          </w:tcPr>
          <w:p w14:paraId="74C9D613" w14:textId="77777777" w:rsidR="006E5981" w:rsidRPr="00055AD8" w:rsidRDefault="006E5981" w:rsidP="002D6DD7">
            <w:pPr>
              <w:jc w:val="both"/>
              <w:rPr>
                <w:rFonts w:cs="Times New Roman"/>
                <w:szCs w:val="24"/>
                <w:highlight w:val="yellow"/>
              </w:rPr>
            </w:pPr>
            <w:r w:rsidRPr="00625288">
              <w:rPr>
                <w:rFonts w:cs="Times New Roman"/>
                <w:szCs w:val="24"/>
              </w:rPr>
              <w:t>Refer to triamcinolone acetonide under medicines used for Gout section</w:t>
            </w:r>
          </w:p>
        </w:tc>
      </w:tr>
      <w:tr w:rsidR="006E5981" w:rsidRPr="00055AD8" w14:paraId="56FFB173" w14:textId="77777777" w:rsidTr="002D6DD7">
        <w:trPr>
          <w:trHeight w:val="296"/>
        </w:trPr>
        <w:tc>
          <w:tcPr>
            <w:tcW w:w="2610" w:type="dxa"/>
            <w:hideMark/>
          </w:tcPr>
          <w:p w14:paraId="25A5C4D7" w14:textId="77777777" w:rsidR="006E5981" w:rsidRPr="00055AD8" w:rsidRDefault="006E5981" w:rsidP="002D6DD7">
            <w:pPr>
              <w:jc w:val="both"/>
              <w:rPr>
                <w:rFonts w:cs="Times New Roman"/>
                <w:szCs w:val="24"/>
              </w:rPr>
            </w:pPr>
            <w:r w:rsidRPr="00055AD8">
              <w:rPr>
                <w:rFonts w:cs="Times New Roman"/>
                <w:szCs w:val="24"/>
              </w:rPr>
              <w:t xml:space="preserve">Cautions </w:t>
            </w:r>
          </w:p>
        </w:tc>
        <w:tc>
          <w:tcPr>
            <w:tcW w:w="6750" w:type="dxa"/>
          </w:tcPr>
          <w:p w14:paraId="637D3FA6" w14:textId="77777777" w:rsidR="006E5981" w:rsidRPr="00055AD8" w:rsidRDefault="006E5981" w:rsidP="002D6DD7">
            <w:pPr>
              <w:jc w:val="both"/>
              <w:rPr>
                <w:rFonts w:cs="Times New Roman"/>
                <w:szCs w:val="24"/>
                <w:highlight w:val="yellow"/>
              </w:rPr>
            </w:pPr>
            <w:r w:rsidRPr="00625288">
              <w:rPr>
                <w:rFonts w:cs="Times New Roman"/>
                <w:szCs w:val="24"/>
              </w:rPr>
              <w:t>Refer to triamcinolone acetonide under medicines used for Gout section</w:t>
            </w:r>
          </w:p>
        </w:tc>
      </w:tr>
      <w:tr w:rsidR="006E5981" w:rsidRPr="00055AD8" w14:paraId="7B381C45" w14:textId="77777777" w:rsidTr="002D6DD7">
        <w:tc>
          <w:tcPr>
            <w:tcW w:w="2610" w:type="dxa"/>
            <w:hideMark/>
          </w:tcPr>
          <w:p w14:paraId="2A476311" w14:textId="77777777" w:rsidR="006E5981" w:rsidRPr="00055AD8" w:rsidRDefault="006E5981" w:rsidP="002D6DD7">
            <w:pPr>
              <w:jc w:val="both"/>
              <w:rPr>
                <w:rFonts w:cs="Times New Roman"/>
                <w:szCs w:val="24"/>
              </w:rPr>
            </w:pPr>
            <w:r w:rsidRPr="00055AD8">
              <w:rPr>
                <w:rFonts w:cs="Times New Roman"/>
                <w:szCs w:val="24"/>
              </w:rPr>
              <w:t>Storage condition</w:t>
            </w:r>
          </w:p>
        </w:tc>
        <w:tc>
          <w:tcPr>
            <w:tcW w:w="6750" w:type="dxa"/>
          </w:tcPr>
          <w:p w14:paraId="0FB0584C" w14:textId="77777777" w:rsidR="006E5981" w:rsidRPr="00055AD8" w:rsidRDefault="006E5981" w:rsidP="002D6DD7">
            <w:pPr>
              <w:jc w:val="both"/>
              <w:rPr>
                <w:rFonts w:cs="Times New Roman"/>
                <w:color w:val="ED7D31" w:themeColor="accent2"/>
                <w:szCs w:val="24"/>
                <w:highlight w:val="yellow"/>
              </w:rPr>
            </w:pPr>
            <w:r w:rsidRPr="00055AD8">
              <w:rPr>
                <w:rFonts w:cs="Times New Roman"/>
                <w:szCs w:val="24"/>
              </w:rPr>
              <w:t>Store below 30</w:t>
            </w:r>
            <w:r w:rsidRPr="00055AD8">
              <w:rPr>
                <w:rFonts w:cs="Times New Roman"/>
                <w:szCs w:val="24"/>
                <w:vertAlign w:val="superscript"/>
              </w:rPr>
              <w:t>O</w:t>
            </w:r>
            <w:r w:rsidRPr="00055AD8">
              <w:rPr>
                <w:rFonts w:cs="Times New Roman"/>
                <w:szCs w:val="24"/>
              </w:rPr>
              <w:t>C. Protect from light, moisture and heat.</w:t>
            </w:r>
          </w:p>
        </w:tc>
      </w:tr>
      <w:tr w:rsidR="006E5981" w:rsidRPr="00055AD8" w14:paraId="77CE700D" w14:textId="77777777" w:rsidTr="002D6DD7">
        <w:tc>
          <w:tcPr>
            <w:tcW w:w="9360" w:type="dxa"/>
            <w:gridSpan w:val="2"/>
          </w:tcPr>
          <w:p w14:paraId="32A179E7" w14:textId="77777777" w:rsidR="006E5981" w:rsidRPr="00055AD8" w:rsidRDefault="006E5981" w:rsidP="002D6DD7">
            <w:pPr>
              <w:jc w:val="both"/>
              <w:rPr>
                <w:rFonts w:cs="Times New Roman"/>
                <w:b/>
                <w:bCs/>
                <w:szCs w:val="24"/>
              </w:rPr>
            </w:pPr>
            <w:bookmarkStart w:id="112" w:name="_Toc168337711"/>
            <w:r w:rsidRPr="00055AD8">
              <w:rPr>
                <w:rFonts w:cs="Times New Roman"/>
                <w:b/>
                <w:bCs/>
                <w:szCs w:val="24"/>
              </w:rPr>
              <w:t>Triamcinolone Hexacetonide</w:t>
            </w:r>
            <w:bookmarkEnd w:id="112"/>
          </w:p>
        </w:tc>
      </w:tr>
      <w:tr w:rsidR="006E5981" w:rsidRPr="00055AD8" w14:paraId="3F36740D" w14:textId="77777777" w:rsidTr="002D6DD7">
        <w:tc>
          <w:tcPr>
            <w:tcW w:w="2610" w:type="dxa"/>
          </w:tcPr>
          <w:p w14:paraId="45AD9A75" w14:textId="77777777" w:rsidR="006E5981" w:rsidRPr="00055AD8" w:rsidRDefault="006E5981" w:rsidP="002D6DD7">
            <w:pPr>
              <w:jc w:val="both"/>
              <w:rPr>
                <w:rFonts w:cs="Times New Roman"/>
                <w:szCs w:val="24"/>
              </w:rPr>
            </w:pPr>
            <w:r w:rsidRPr="00055AD8">
              <w:rPr>
                <w:rFonts w:cs="Times New Roman"/>
                <w:szCs w:val="24"/>
              </w:rPr>
              <w:t>Pharmacological class</w:t>
            </w:r>
          </w:p>
        </w:tc>
        <w:tc>
          <w:tcPr>
            <w:tcW w:w="6750" w:type="dxa"/>
          </w:tcPr>
          <w:p w14:paraId="300B5E89" w14:textId="77777777" w:rsidR="006E5981" w:rsidRPr="00055AD8" w:rsidRDefault="006E5981" w:rsidP="002D6DD7">
            <w:pPr>
              <w:jc w:val="both"/>
              <w:rPr>
                <w:rFonts w:cs="Times New Roman"/>
                <w:szCs w:val="24"/>
              </w:rPr>
            </w:pPr>
            <w:r w:rsidRPr="00055AD8">
              <w:rPr>
                <w:rFonts w:cs="Times New Roman"/>
                <w:szCs w:val="24"/>
              </w:rPr>
              <w:t>Corticosteroid</w:t>
            </w:r>
          </w:p>
        </w:tc>
      </w:tr>
      <w:tr w:rsidR="006E5981" w:rsidRPr="00055AD8" w14:paraId="64F5FCB9" w14:textId="77777777" w:rsidTr="002D6DD7">
        <w:tc>
          <w:tcPr>
            <w:tcW w:w="2610" w:type="dxa"/>
          </w:tcPr>
          <w:p w14:paraId="270EFF1A" w14:textId="77777777" w:rsidR="006E5981" w:rsidRPr="00055AD8" w:rsidRDefault="006E5981" w:rsidP="002D6DD7">
            <w:pPr>
              <w:jc w:val="both"/>
              <w:rPr>
                <w:rFonts w:cs="Times New Roman"/>
                <w:szCs w:val="24"/>
              </w:rPr>
            </w:pPr>
            <w:r w:rsidRPr="00055AD8">
              <w:rPr>
                <w:rFonts w:cs="Times New Roman"/>
                <w:szCs w:val="24"/>
              </w:rPr>
              <w:t>Dosage form</w:t>
            </w:r>
          </w:p>
        </w:tc>
        <w:tc>
          <w:tcPr>
            <w:tcW w:w="6750" w:type="dxa"/>
          </w:tcPr>
          <w:p w14:paraId="055D3CE6" w14:textId="77777777" w:rsidR="006E5981" w:rsidRPr="00055AD8" w:rsidRDefault="006E5981" w:rsidP="002D6DD7">
            <w:pPr>
              <w:jc w:val="both"/>
              <w:rPr>
                <w:rFonts w:cs="Times New Roman"/>
                <w:szCs w:val="24"/>
              </w:rPr>
            </w:pPr>
            <w:r w:rsidRPr="00055AD8">
              <w:rPr>
                <w:rFonts w:cs="Times New Roman"/>
                <w:szCs w:val="24"/>
              </w:rPr>
              <w:t>Injection: 20 mg/ml in vial.</w:t>
            </w:r>
          </w:p>
        </w:tc>
      </w:tr>
      <w:tr w:rsidR="006E5981" w:rsidRPr="00055AD8" w14:paraId="6E391E2A" w14:textId="77777777" w:rsidTr="002D6DD7">
        <w:tc>
          <w:tcPr>
            <w:tcW w:w="2610" w:type="dxa"/>
          </w:tcPr>
          <w:p w14:paraId="4BED35C0" w14:textId="77777777" w:rsidR="006E5981" w:rsidRPr="00055AD8" w:rsidRDefault="006E5981" w:rsidP="002D6DD7">
            <w:pPr>
              <w:jc w:val="both"/>
              <w:rPr>
                <w:rFonts w:cs="Times New Roman"/>
                <w:szCs w:val="24"/>
              </w:rPr>
            </w:pPr>
            <w:r w:rsidRPr="00055AD8">
              <w:rPr>
                <w:rFonts w:cs="Times New Roman"/>
                <w:szCs w:val="24"/>
              </w:rPr>
              <w:t>Indications</w:t>
            </w:r>
          </w:p>
        </w:tc>
        <w:tc>
          <w:tcPr>
            <w:tcW w:w="6750" w:type="dxa"/>
          </w:tcPr>
          <w:p w14:paraId="6633D9D8" w14:textId="77777777" w:rsidR="006E5981" w:rsidRPr="00055AD8" w:rsidRDefault="006E5981" w:rsidP="002D6DD7">
            <w:pPr>
              <w:jc w:val="both"/>
              <w:rPr>
                <w:rFonts w:cs="Times New Roman"/>
                <w:szCs w:val="24"/>
                <w:highlight w:val="yellow"/>
              </w:rPr>
            </w:pPr>
            <w:r w:rsidRPr="00055AD8">
              <w:rPr>
                <w:rFonts w:cs="Times New Roman"/>
                <w:szCs w:val="24"/>
              </w:rPr>
              <w:t>Rheumatoid arthritis, osteoarthritis, JIA, synovitis, bursitis, tendinitis, and other inflammatory joint conditions</w:t>
            </w:r>
          </w:p>
        </w:tc>
      </w:tr>
      <w:tr w:rsidR="006E5981" w:rsidRPr="00055AD8" w14:paraId="5C1E3F15" w14:textId="77777777" w:rsidTr="002D6DD7">
        <w:tc>
          <w:tcPr>
            <w:tcW w:w="2610" w:type="dxa"/>
          </w:tcPr>
          <w:p w14:paraId="20472446" w14:textId="77777777" w:rsidR="006E5981" w:rsidRPr="00055AD8" w:rsidRDefault="006E5981" w:rsidP="002D6DD7">
            <w:pPr>
              <w:rPr>
                <w:rFonts w:cs="Times New Roman"/>
                <w:szCs w:val="24"/>
              </w:rPr>
            </w:pPr>
            <w:r w:rsidRPr="00055AD8">
              <w:rPr>
                <w:rFonts w:eastAsia="Times New Roman" w:cs="Times New Roman"/>
                <w:szCs w:val="24"/>
              </w:rPr>
              <w:lastRenderedPageBreak/>
              <w:t>Dose and administration</w:t>
            </w:r>
          </w:p>
        </w:tc>
        <w:tc>
          <w:tcPr>
            <w:tcW w:w="6750" w:type="dxa"/>
          </w:tcPr>
          <w:p w14:paraId="64476460" w14:textId="77777777" w:rsidR="006E5981" w:rsidRPr="00055AD8" w:rsidRDefault="006E5981" w:rsidP="002D6DD7">
            <w:pPr>
              <w:jc w:val="both"/>
              <w:rPr>
                <w:rFonts w:cs="Times New Roman"/>
                <w:b/>
                <w:szCs w:val="24"/>
              </w:rPr>
            </w:pPr>
            <w:r w:rsidRPr="00055AD8">
              <w:rPr>
                <w:rFonts w:cs="Times New Roman"/>
                <w:b/>
                <w:szCs w:val="24"/>
              </w:rPr>
              <w:t>JIA</w:t>
            </w:r>
            <w:r w:rsidR="007624E8">
              <w:rPr>
                <w:rFonts w:cs="Times New Roman"/>
                <w:b/>
                <w:szCs w:val="24"/>
              </w:rPr>
              <w:t>:</w:t>
            </w:r>
          </w:p>
          <w:p w14:paraId="21E293A3" w14:textId="77777777" w:rsidR="006E5981" w:rsidRPr="00055AD8" w:rsidRDefault="006E5981" w:rsidP="002D6DD7">
            <w:pPr>
              <w:jc w:val="both"/>
              <w:rPr>
                <w:rFonts w:cs="Times New Roman"/>
                <w:bCs/>
                <w:szCs w:val="24"/>
              </w:rPr>
            </w:pPr>
            <w:r w:rsidRPr="00055AD8">
              <w:rPr>
                <w:rFonts w:cs="Times New Roman"/>
                <w:bCs/>
                <w:szCs w:val="24"/>
              </w:rPr>
              <w:t>Dose: small joints: 2-6 mg per joint; medium joints: 5-10 mg per joint; and large joints: 10-20 mg per joint.</w:t>
            </w:r>
          </w:p>
          <w:p w14:paraId="0C46A91D" w14:textId="77777777" w:rsidR="006E5981" w:rsidRPr="00055AD8" w:rsidRDefault="006E5981" w:rsidP="002D6DD7">
            <w:pPr>
              <w:jc w:val="both"/>
              <w:rPr>
                <w:rFonts w:cs="Times New Roman"/>
                <w:bCs/>
                <w:szCs w:val="24"/>
              </w:rPr>
            </w:pPr>
            <w:r w:rsidRPr="00055AD8">
              <w:rPr>
                <w:rFonts w:cs="Times New Roman"/>
                <w:bCs/>
                <w:szCs w:val="24"/>
              </w:rPr>
              <w:t xml:space="preserve">Maximum </w:t>
            </w:r>
            <w:r>
              <w:rPr>
                <w:rFonts w:cs="Times New Roman"/>
                <w:bCs/>
                <w:szCs w:val="24"/>
              </w:rPr>
              <w:t>d</w:t>
            </w:r>
            <w:r w:rsidRPr="00055AD8">
              <w:rPr>
                <w:rFonts w:cs="Times New Roman"/>
                <w:bCs/>
                <w:szCs w:val="24"/>
              </w:rPr>
              <w:t>ose: Do not exceed 1 mg/kg or 30 mg per joint.</w:t>
            </w:r>
          </w:p>
          <w:p w14:paraId="0DD2694C" w14:textId="77777777" w:rsidR="006E5981" w:rsidRPr="00055AD8" w:rsidRDefault="006E5981" w:rsidP="002D6DD7">
            <w:pPr>
              <w:jc w:val="both"/>
              <w:rPr>
                <w:rFonts w:cs="Times New Roman"/>
                <w:szCs w:val="24"/>
              </w:rPr>
            </w:pPr>
            <w:r w:rsidRPr="00055AD8">
              <w:rPr>
                <w:rFonts w:cs="Times New Roman"/>
                <w:bCs/>
                <w:szCs w:val="24"/>
              </w:rPr>
              <w:t>Frequency: Can be repeated every 3-6 months, depending on clinical response and tolerance.</w:t>
            </w:r>
          </w:p>
        </w:tc>
      </w:tr>
      <w:tr w:rsidR="006E5981" w:rsidRPr="00055AD8" w14:paraId="53C42024" w14:textId="77777777" w:rsidTr="002D6DD7">
        <w:tc>
          <w:tcPr>
            <w:tcW w:w="2610" w:type="dxa"/>
          </w:tcPr>
          <w:p w14:paraId="0F66E47F" w14:textId="77777777" w:rsidR="006E5981" w:rsidRPr="00055AD8" w:rsidRDefault="006E5981" w:rsidP="002D6DD7">
            <w:pPr>
              <w:jc w:val="both"/>
              <w:rPr>
                <w:rFonts w:cs="Times New Roman"/>
                <w:szCs w:val="24"/>
              </w:rPr>
            </w:pPr>
            <w:r w:rsidRPr="00055AD8">
              <w:rPr>
                <w:rFonts w:cs="Times New Roman"/>
                <w:szCs w:val="24"/>
              </w:rPr>
              <w:t>Contraindications</w:t>
            </w:r>
          </w:p>
        </w:tc>
        <w:tc>
          <w:tcPr>
            <w:tcW w:w="6750" w:type="dxa"/>
          </w:tcPr>
          <w:p w14:paraId="795883C5" w14:textId="77777777" w:rsidR="006E5981" w:rsidRPr="00055AD8" w:rsidRDefault="006E5981" w:rsidP="002D6DD7">
            <w:pPr>
              <w:jc w:val="both"/>
              <w:rPr>
                <w:rFonts w:cs="Times New Roman"/>
                <w:szCs w:val="24"/>
              </w:rPr>
            </w:pPr>
            <w:r w:rsidRPr="000C5CD1">
              <w:rPr>
                <w:rFonts w:cs="Times New Roman"/>
                <w:szCs w:val="24"/>
              </w:rPr>
              <w:t>Refer to triamcinolone acetonide under medicines used for Gout section</w:t>
            </w:r>
          </w:p>
        </w:tc>
      </w:tr>
      <w:tr w:rsidR="006E5981" w:rsidRPr="00055AD8" w14:paraId="3644CC93" w14:textId="77777777" w:rsidTr="002D6DD7">
        <w:tc>
          <w:tcPr>
            <w:tcW w:w="2610" w:type="dxa"/>
          </w:tcPr>
          <w:p w14:paraId="2611DD6C" w14:textId="77777777" w:rsidR="006E5981" w:rsidRPr="00055AD8" w:rsidRDefault="006E5981" w:rsidP="002D6DD7">
            <w:pPr>
              <w:jc w:val="both"/>
              <w:rPr>
                <w:rFonts w:cs="Times New Roman"/>
                <w:szCs w:val="24"/>
              </w:rPr>
            </w:pPr>
            <w:r w:rsidRPr="00055AD8">
              <w:rPr>
                <w:rFonts w:cs="Times New Roman"/>
                <w:szCs w:val="24"/>
              </w:rPr>
              <w:t>Drug interactions</w:t>
            </w:r>
          </w:p>
        </w:tc>
        <w:tc>
          <w:tcPr>
            <w:tcW w:w="6750" w:type="dxa"/>
          </w:tcPr>
          <w:p w14:paraId="166831A2" w14:textId="77777777" w:rsidR="006E5981" w:rsidRPr="00055AD8" w:rsidRDefault="006E5981" w:rsidP="002D6DD7">
            <w:pPr>
              <w:jc w:val="both"/>
              <w:rPr>
                <w:rFonts w:cs="Times New Roman"/>
                <w:szCs w:val="24"/>
              </w:rPr>
            </w:pPr>
            <w:r w:rsidRPr="000C5CD1">
              <w:rPr>
                <w:rFonts w:cs="Times New Roman"/>
                <w:szCs w:val="24"/>
              </w:rPr>
              <w:t>Refer to triamcinolone acetonide under medicines used for Gout section</w:t>
            </w:r>
          </w:p>
        </w:tc>
      </w:tr>
      <w:tr w:rsidR="006E5981" w:rsidRPr="00055AD8" w14:paraId="4258AE6F" w14:textId="77777777" w:rsidTr="002D6DD7">
        <w:tc>
          <w:tcPr>
            <w:tcW w:w="2610" w:type="dxa"/>
          </w:tcPr>
          <w:p w14:paraId="0868EA23" w14:textId="77777777" w:rsidR="006E5981" w:rsidRPr="00055AD8" w:rsidRDefault="006E5981" w:rsidP="002D6DD7">
            <w:pPr>
              <w:jc w:val="both"/>
              <w:rPr>
                <w:rFonts w:cs="Times New Roman"/>
                <w:szCs w:val="24"/>
              </w:rPr>
            </w:pPr>
            <w:r w:rsidRPr="00055AD8">
              <w:rPr>
                <w:rFonts w:cs="Times New Roman"/>
                <w:szCs w:val="24"/>
              </w:rPr>
              <w:t>Side effects</w:t>
            </w:r>
          </w:p>
        </w:tc>
        <w:tc>
          <w:tcPr>
            <w:tcW w:w="6750" w:type="dxa"/>
          </w:tcPr>
          <w:p w14:paraId="3BEB062D" w14:textId="77777777" w:rsidR="006E5981" w:rsidRPr="00055AD8" w:rsidRDefault="006E5981" w:rsidP="002D6DD7">
            <w:pPr>
              <w:jc w:val="both"/>
              <w:rPr>
                <w:rFonts w:cs="Times New Roman"/>
                <w:szCs w:val="24"/>
              </w:rPr>
            </w:pPr>
            <w:r w:rsidRPr="000C5CD1">
              <w:rPr>
                <w:rFonts w:cs="Times New Roman"/>
                <w:szCs w:val="24"/>
              </w:rPr>
              <w:t>Refer to triamcinolone acetonide under medicines used for Gout section</w:t>
            </w:r>
          </w:p>
        </w:tc>
      </w:tr>
      <w:tr w:rsidR="006E5981" w:rsidRPr="00055AD8" w14:paraId="00CF4A44" w14:textId="77777777" w:rsidTr="002D6DD7">
        <w:tc>
          <w:tcPr>
            <w:tcW w:w="2610" w:type="dxa"/>
          </w:tcPr>
          <w:p w14:paraId="5F28BA1B" w14:textId="77777777" w:rsidR="006E5981" w:rsidRPr="00055AD8" w:rsidRDefault="006E5981" w:rsidP="002D6DD7">
            <w:pPr>
              <w:jc w:val="both"/>
              <w:rPr>
                <w:rFonts w:cs="Times New Roman"/>
                <w:szCs w:val="24"/>
              </w:rPr>
            </w:pPr>
            <w:r w:rsidRPr="00055AD8">
              <w:rPr>
                <w:rFonts w:cs="Times New Roman"/>
                <w:szCs w:val="24"/>
              </w:rPr>
              <w:t xml:space="preserve">Cautions </w:t>
            </w:r>
          </w:p>
        </w:tc>
        <w:tc>
          <w:tcPr>
            <w:tcW w:w="6750" w:type="dxa"/>
          </w:tcPr>
          <w:p w14:paraId="38787939" w14:textId="77777777" w:rsidR="006E5981" w:rsidRPr="00055AD8" w:rsidRDefault="006E5981" w:rsidP="002D6DD7">
            <w:pPr>
              <w:jc w:val="both"/>
              <w:rPr>
                <w:rFonts w:cs="Times New Roman"/>
                <w:szCs w:val="24"/>
              </w:rPr>
            </w:pPr>
            <w:r w:rsidRPr="000C5CD1">
              <w:rPr>
                <w:rFonts w:cs="Times New Roman"/>
                <w:szCs w:val="24"/>
              </w:rPr>
              <w:t>Refer to triamcinolone acetonide under medicines used for Gout section</w:t>
            </w:r>
          </w:p>
        </w:tc>
      </w:tr>
      <w:tr w:rsidR="006E5981" w:rsidRPr="00055AD8" w14:paraId="15C37D79" w14:textId="77777777" w:rsidTr="002D6DD7">
        <w:tc>
          <w:tcPr>
            <w:tcW w:w="2610" w:type="dxa"/>
          </w:tcPr>
          <w:p w14:paraId="2B60BBEA" w14:textId="77777777" w:rsidR="006E5981" w:rsidRPr="00055AD8" w:rsidRDefault="006E5981" w:rsidP="002D6DD7">
            <w:pPr>
              <w:jc w:val="both"/>
              <w:rPr>
                <w:rFonts w:cs="Times New Roman"/>
                <w:szCs w:val="24"/>
              </w:rPr>
            </w:pPr>
            <w:r w:rsidRPr="00055AD8">
              <w:rPr>
                <w:rFonts w:cs="Times New Roman"/>
                <w:szCs w:val="24"/>
              </w:rPr>
              <w:t>Storage condition</w:t>
            </w:r>
          </w:p>
        </w:tc>
        <w:tc>
          <w:tcPr>
            <w:tcW w:w="6750" w:type="dxa"/>
          </w:tcPr>
          <w:p w14:paraId="3915D61A" w14:textId="77777777" w:rsidR="006E5981" w:rsidRPr="00055AD8" w:rsidRDefault="006E5981" w:rsidP="002D6DD7">
            <w:pPr>
              <w:jc w:val="both"/>
              <w:rPr>
                <w:rFonts w:cs="Times New Roman"/>
                <w:szCs w:val="24"/>
              </w:rPr>
            </w:pPr>
            <w:r w:rsidRPr="00055AD8">
              <w:rPr>
                <w:rFonts w:cs="Times New Roman"/>
                <w:szCs w:val="24"/>
              </w:rPr>
              <w:t>Store below 30</w:t>
            </w:r>
            <w:r w:rsidRPr="00055AD8">
              <w:rPr>
                <w:rFonts w:cs="Times New Roman"/>
                <w:szCs w:val="24"/>
                <w:vertAlign w:val="superscript"/>
              </w:rPr>
              <w:t>O</w:t>
            </w:r>
            <w:r w:rsidRPr="00055AD8">
              <w:rPr>
                <w:rFonts w:cs="Times New Roman"/>
                <w:szCs w:val="24"/>
              </w:rPr>
              <w:t>C. Protect from light, moisture and heat.</w:t>
            </w:r>
          </w:p>
        </w:tc>
      </w:tr>
    </w:tbl>
    <w:p w14:paraId="07B15AD6" w14:textId="77777777" w:rsidR="00265BA6" w:rsidRDefault="00265BA6" w:rsidP="00E837DD">
      <w:pPr>
        <w:spacing w:after="0"/>
        <w:jc w:val="both"/>
        <w:rPr>
          <w:rFonts w:cs="Times New Roman"/>
          <w:szCs w:val="24"/>
        </w:rPr>
      </w:pPr>
    </w:p>
    <w:p w14:paraId="39F668FB" w14:textId="77777777" w:rsidR="00265BA6" w:rsidRDefault="00265BA6" w:rsidP="00E837DD">
      <w:pPr>
        <w:spacing w:after="0"/>
        <w:jc w:val="both"/>
        <w:rPr>
          <w:rFonts w:cs="Times New Roman"/>
          <w:szCs w:val="24"/>
        </w:rPr>
      </w:pPr>
    </w:p>
    <w:p w14:paraId="3D264997" w14:textId="77777777" w:rsidR="00265BA6" w:rsidRDefault="00265BA6" w:rsidP="00E837DD">
      <w:pPr>
        <w:spacing w:after="0"/>
        <w:jc w:val="both"/>
        <w:rPr>
          <w:rFonts w:cs="Times New Roman"/>
          <w:szCs w:val="24"/>
        </w:rPr>
      </w:pPr>
    </w:p>
    <w:p w14:paraId="00E1E89F" w14:textId="77777777" w:rsidR="00214907" w:rsidRDefault="00214907" w:rsidP="00E837DD">
      <w:pPr>
        <w:spacing w:after="0"/>
        <w:jc w:val="both"/>
        <w:rPr>
          <w:rFonts w:cs="Times New Roman"/>
          <w:szCs w:val="24"/>
        </w:rPr>
      </w:pPr>
    </w:p>
    <w:p w14:paraId="75A5C92A" w14:textId="77777777" w:rsidR="00214907" w:rsidRDefault="00214907" w:rsidP="00E837DD">
      <w:pPr>
        <w:spacing w:after="0"/>
        <w:jc w:val="both"/>
        <w:rPr>
          <w:rFonts w:cs="Times New Roman"/>
          <w:szCs w:val="24"/>
        </w:rPr>
      </w:pPr>
    </w:p>
    <w:p w14:paraId="7423534E" w14:textId="77777777" w:rsidR="00214907" w:rsidRDefault="00214907" w:rsidP="00E837DD">
      <w:pPr>
        <w:spacing w:after="0"/>
        <w:jc w:val="both"/>
        <w:rPr>
          <w:rFonts w:cs="Times New Roman"/>
          <w:szCs w:val="24"/>
        </w:rPr>
      </w:pPr>
    </w:p>
    <w:p w14:paraId="0A3FD73E" w14:textId="77777777" w:rsidR="00214907" w:rsidRDefault="00214907" w:rsidP="00E837DD">
      <w:pPr>
        <w:spacing w:after="0"/>
        <w:jc w:val="both"/>
        <w:rPr>
          <w:rFonts w:cs="Times New Roman"/>
          <w:szCs w:val="24"/>
        </w:rPr>
      </w:pPr>
    </w:p>
    <w:p w14:paraId="4E311B65" w14:textId="77777777" w:rsidR="00214907" w:rsidRDefault="00214907" w:rsidP="00E837DD">
      <w:pPr>
        <w:spacing w:after="0"/>
        <w:jc w:val="both"/>
        <w:rPr>
          <w:rFonts w:cs="Times New Roman"/>
          <w:szCs w:val="24"/>
        </w:rPr>
      </w:pPr>
    </w:p>
    <w:p w14:paraId="4CF4E288" w14:textId="77777777" w:rsidR="00214907" w:rsidRDefault="00214907" w:rsidP="00E837DD">
      <w:pPr>
        <w:spacing w:after="0"/>
        <w:jc w:val="both"/>
        <w:rPr>
          <w:rFonts w:cs="Times New Roman"/>
          <w:szCs w:val="24"/>
        </w:rPr>
      </w:pPr>
    </w:p>
    <w:p w14:paraId="69A36A5F" w14:textId="77777777" w:rsidR="00214907" w:rsidRDefault="00214907" w:rsidP="00E837DD">
      <w:pPr>
        <w:spacing w:after="0"/>
        <w:jc w:val="both"/>
        <w:rPr>
          <w:rFonts w:cs="Times New Roman"/>
          <w:szCs w:val="24"/>
        </w:rPr>
      </w:pPr>
    </w:p>
    <w:p w14:paraId="3D34BF17" w14:textId="77777777" w:rsidR="00214907" w:rsidRDefault="00214907" w:rsidP="00E837DD">
      <w:pPr>
        <w:spacing w:after="0"/>
        <w:jc w:val="both"/>
        <w:rPr>
          <w:rFonts w:cs="Times New Roman"/>
          <w:szCs w:val="24"/>
        </w:rPr>
      </w:pPr>
    </w:p>
    <w:p w14:paraId="2B93A382" w14:textId="77777777" w:rsidR="00214907" w:rsidRDefault="00214907" w:rsidP="00E837DD">
      <w:pPr>
        <w:spacing w:after="0"/>
        <w:jc w:val="both"/>
        <w:rPr>
          <w:rFonts w:cs="Times New Roman"/>
          <w:szCs w:val="24"/>
        </w:rPr>
      </w:pPr>
    </w:p>
    <w:p w14:paraId="59F47702" w14:textId="77777777" w:rsidR="00214907" w:rsidRDefault="00214907" w:rsidP="00E837DD">
      <w:pPr>
        <w:spacing w:after="0"/>
        <w:jc w:val="both"/>
        <w:rPr>
          <w:rFonts w:cs="Times New Roman"/>
          <w:szCs w:val="24"/>
        </w:rPr>
      </w:pPr>
    </w:p>
    <w:p w14:paraId="12867E31" w14:textId="77777777" w:rsidR="00214907" w:rsidRDefault="00214907" w:rsidP="00E837DD">
      <w:pPr>
        <w:spacing w:after="0"/>
        <w:jc w:val="both"/>
        <w:rPr>
          <w:rFonts w:cs="Times New Roman"/>
          <w:szCs w:val="24"/>
        </w:rPr>
      </w:pPr>
    </w:p>
    <w:p w14:paraId="4CA3D7F2" w14:textId="77777777" w:rsidR="00214907" w:rsidRDefault="00214907" w:rsidP="00E837DD">
      <w:pPr>
        <w:spacing w:after="0"/>
        <w:jc w:val="both"/>
        <w:rPr>
          <w:rFonts w:cs="Times New Roman"/>
          <w:szCs w:val="24"/>
        </w:rPr>
      </w:pPr>
    </w:p>
    <w:p w14:paraId="44A036F4" w14:textId="77777777" w:rsidR="00214907" w:rsidRDefault="00214907" w:rsidP="00E837DD">
      <w:pPr>
        <w:spacing w:after="0"/>
        <w:jc w:val="both"/>
        <w:rPr>
          <w:rFonts w:cs="Times New Roman"/>
          <w:szCs w:val="24"/>
        </w:rPr>
      </w:pPr>
    </w:p>
    <w:p w14:paraId="516918E3" w14:textId="77777777" w:rsidR="00214907" w:rsidRPr="007624E8" w:rsidRDefault="00214907" w:rsidP="007624E8">
      <w:pPr>
        <w:pStyle w:val="Heading1"/>
        <w:numPr>
          <w:ilvl w:val="0"/>
          <w:numId w:val="25"/>
        </w:numPr>
        <w:spacing w:after="240"/>
      </w:pPr>
      <w:bookmarkStart w:id="113" w:name="_Toc179490359"/>
      <w:r w:rsidRPr="007624E8">
        <w:lastRenderedPageBreak/>
        <w:t>Vitamins and Minerals</w:t>
      </w:r>
      <w:bookmarkEnd w:id="113"/>
    </w:p>
    <w:p w14:paraId="47ECAC08" w14:textId="77777777" w:rsidR="00214907" w:rsidRPr="007624E8" w:rsidRDefault="00214907" w:rsidP="007624E8">
      <w:pPr>
        <w:pStyle w:val="Heading2"/>
        <w:spacing w:before="240" w:after="240"/>
      </w:pPr>
      <w:bookmarkStart w:id="114" w:name="_Toc179490360"/>
      <w:r w:rsidRPr="007624E8">
        <w:t>Vitamins</w:t>
      </w:r>
      <w:bookmarkEnd w:id="114"/>
    </w:p>
    <w:p w14:paraId="5D909A80" w14:textId="77777777" w:rsidR="00214907" w:rsidRPr="009B7776" w:rsidRDefault="00214907" w:rsidP="00214907">
      <w:pPr>
        <w:jc w:val="both"/>
        <w:rPr>
          <w:rFonts w:cs="Times New Roman"/>
          <w:szCs w:val="24"/>
        </w:rPr>
      </w:pPr>
      <w:r w:rsidRPr="009B7776">
        <w:rPr>
          <w:rFonts w:cs="Times New Roman"/>
          <w:szCs w:val="24"/>
        </w:rPr>
        <w:t xml:space="preserve">Vitamins are used for the prevention and treatment of specific deficiency states or when the diet is known to be inadequate. They are broadly categorized into fat-soluble and water-soluble vitamins.  The water-soluble vitamins comprise the B complex and vitamin C and function as enzyme cofactors. The lipid-soluble vitamins </w:t>
      </w:r>
      <w:r>
        <w:rPr>
          <w:rFonts w:cs="Times New Roman"/>
          <w:szCs w:val="24"/>
        </w:rPr>
        <w:t xml:space="preserve">such as vitamin A, D, E and K </w:t>
      </w:r>
      <w:r w:rsidRPr="009B7776">
        <w:rPr>
          <w:rFonts w:cs="Times New Roman"/>
          <w:szCs w:val="24"/>
        </w:rPr>
        <w:t xml:space="preserve">are nonpolar hydrophobic compounds that can only be absorbed efficiently when there is normal fat absorption. Excessive intakes of most water-soluble vitamins have little effects due to their rapid excretion in urine, but excessive intakes of fat-soluble vitamins accumulate in the body and are potentially dangerous. </w:t>
      </w:r>
    </w:p>
    <w:tbl>
      <w:tblPr>
        <w:tblStyle w:val="TableGrid"/>
        <w:tblW w:w="9579" w:type="dxa"/>
        <w:jc w:val="center"/>
        <w:tblLook w:val="04A0" w:firstRow="1" w:lastRow="0" w:firstColumn="1" w:lastColumn="0" w:noHBand="0" w:noVBand="1"/>
      </w:tblPr>
      <w:tblGrid>
        <w:gridCol w:w="2605"/>
        <w:gridCol w:w="6974"/>
      </w:tblGrid>
      <w:tr w:rsidR="00214907" w:rsidRPr="00944B15" w14:paraId="59F5F5ED" w14:textId="77777777" w:rsidTr="002D6DD7">
        <w:trPr>
          <w:jc w:val="center"/>
        </w:trPr>
        <w:tc>
          <w:tcPr>
            <w:tcW w:w="9579" w:type="dxa"/>
            <w:gridSpan w:val="2"/>
            <w:tcBorders>
              <w:top w:val="single" w:sz="4" w:space="0" w:color="auto"/>
              <w:left w:val="single" w:sz="4" w:space="0" w:color="auto"/>
              <w:bottom w:val="single" w:sz="4" w:space="0" w:color="auto"/>
              <w:right w:val="single" w:sz="4" w:space="0" w:color="auto"/>
            </w:tcBorders>
          </w:tcPr>
          <w:p w14:paraId="0F841A69" w14:textId="77777777" w:rsidR="00214907" w:rsidRPr="00944B15" w:rsidRDefault="00214907" w:rsidP="002D6DD7">
            <w:pPr>
              <w:jc w:val="both"/>
              <w:rPr>
                <w:rFonts w:eastAsia="Times New Roman" w:cs="Times New Roman"/>
                <w:b/>
                <w:bCs/>
                <w:color w:val="ED7D31"/>
                <w:szCs w:val="24"/>
              </w:rPr>
            </w:pPr>
            <w:r w:rsidRPr="00944B15">
              <w:rPr>
                <w:rFonts w:eastAsia="Times New Roman" w:cs="Times New Roman"/>
                <w:b/>
                <w:bCs/>
                <w:color w:val="000000"/>
                <w:szCs w:val="24"/>
              </w:rPr>
              <w:t xml:space="preserve">Alfacalcidol </w:t>
            </w:r>
          </w:p>
        </w:tc>
      </w:tr>
      <w:tr w:rsidR="00214907" w:rsidRPr="00944B15" w14:paraId="1814C2A8"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4BE85F6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2CA02E16" w14:textId="77777777" w:rsidR="00214907" w:rsidRPr="00944B15" w:rsidRDefault="00214907" w:rsidP="002D6DD7">
            <w:pPr>
              <w:jc w:val="both"/>
              <w:rPr>
                <w:rFonts w:eastAsia="Times New Roman" w:cs="Times New Roman"/>
                <w:color w:val="000000"/>
                <w:szCs w:val="24"/>
              </w:rPr>
            </w:pPr>
            <w:r>
              <w:rPr>
                <w:rFonts w:cs="Times New Roman"/>
                <w:szCs w:val="24"/>
              </w:rPr>
              <w:t>V</w:t>
            </w:r>
            <w:r w:rsidRPr="00944B15">
              <w:rPr>
                <w:rFonts w:cs="Times New Roman"/>
                <w:szCs w:val="24"/>
              </w:rPr>
              <w:t>itamin D3 derivative</w:t>
            </w:r>
          </w:p>
        </w:tc>
      </w:tr>
      <w:tr w:rsidR="00214907" w:rsidRPr="00944B15" w14:paraId="57D6AE7B"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F7C7780" w14:textId="77777777" w:rsidR="00214907" w:rsidRPr="00944B15" w:rsidRDefault="00214907" w:rsidP="002D6DD7">
            <w:pPr>
              <w:jc w:val="both"/>
              <w:rPr>
                <w:rFonts w:eastAsia="Times New Roman" w:cs="Times New Roman"/>
                <w:color w:val="000000" w:themeColor="text1"/>
                <w:szCs w:val="24"/>
              </w:rPr>
            </w:pPr>
            <w:r w:rsidRPr="00944B15">
              <w:rPr>
                <w:rFonts w:eastAsia="Times New Roman" w:cs="Times New Roman"/>
                <w:color w:val="000000" w:themeColor="text1"/>
                <w:szCs w:val="24"/>
              </w:rPr>
              <w:t>Dosage form</w:t>
            </w:r>
          </w:p>
        </w:tc>
        <w:tc>
          <w:tcPr>
            <w:tcW w:w="6974" w:type="dxa"/>
          </w:tcPr>
          <w:p w14:paraId="15016CDA" w14:textId="77777777" w:rsidR="00214907" w:rsidRDefault="00214907" w:rsidP="002D6DD7">
            <w:pPr>
              <w:jc w:val="both"/>
              <w:rPr>
                <w:rFonts w:eastAsia="Times New Roman" w:cs="Times New Roman"/>
                <w:color w:val="000000" w:themeColor="text1"/>
                <w:szCs w:val="24"/>
              </w:rPr>
            </w:pPr>
            <w:r>
              <w:rPr>
                <w:rFonts w:eastAsia="Times New Roman" w:cs="Times New Roman"/>
                <w:color w:val="000000" w:themeColor="text1"/>
                <w:szCs w:val="24"/>
              </w:rPr>
              <w:t>Capsule: 0.25mcg</w:t>
            </w:r>
          </w:p>
          <w:p w14:paraId="72B9AAB4" w14:textId="77777777" w:rsidR="00214907" w:rsidRPr="00944B15" w:rsidRDefault="00214907" w:rsidP="002D6DD7">
            <w:pPr>
              <w:jc w:val="both"/>
              <w:rPr>
                <w:rFonts w:eastAsia="Times New Roman" w:cs="Times New Roman"/>
                <w:color w:val="000000" w:themeColor="text1"/>
                <w:szCs w:val="24"/>
              </w:rPr>
            </w:pPr>
            <w:r w:rsidRPr="00944B15">
              <w:rPr>
                <w:rFonts w:eastAsia="Times New Roman" w:cs="Times New Roman"/>
                <w:color w:val="000000" w:themeColor="text1"/>
                <w:szCs w:val="24"/>
              </w:rPr>
              <w:t xml:space="preserve"> Injection</w:t>
            </w:r>
            <w:r>
              <w:rPr>
                <w:rFonts w:eastAsia="Times New Roman" w:cs="Times New Roman"/>
                <w:color w:val="000000" w:themeColor="text1"/>
                <w:szCs w:val="24"/>
              </w:rPr>
              <w:t>: 2mcg/ml</w:t>
            </w:r>
          </w:p>
        </w:tc>
      </w:tr>
      <w:tr w:rsidR="00214907" w:rsidRPr="00944B15" w14:paraId="4D0AD216"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1F07E8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6232AC5A"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w:t>
            </w:r>
            <w:r w:rsidRPr="00944B15">
              <w:rPr>
                <w:rFonts w:eastAsia="Times New Roman" w:cs="Times New Roman"/>
                <w:color w:val="000000"/>
                <w:szCs w:val="24"/>
              </w:rPr>
              <w:t>itamin D deficiency, including hypocalcaemia and hypophosphatemia associa</w:t>
            </w:r>
            <w:r>
              <w:rPr>
                <w:rFonts w:eastAsia="Times New Roman" w:cs="Times New Roman"/>
                <w:color w:val="000000"/>
                <w:szCs w:val="24"/>
              </w:rPr>
              <w:t xml:space="preserve">ted with chronic kidney disease, </w:t>
            </w:r>
            <w:r w:rsidRPr="00944B15">
              <w:rPr>
                <w:rFonts w:eastAsia="Times New Roman" w:cs="Times New Roman"/>
                <w:color w:val="000000"/>
                <w:szCs w:val="24"/>
              </w:rPr>
              <w:t xml:space="preserve">hypoparathyroidism. </w:t>
            </w:r>
          </w:p>
        </w:tc>
      </w:tr>
      <w:tr w:rsidR="00214907" w:rsidRPr="00944B15" w14:paraId="7DE59BC1"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332A643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7C538418" w14:textId="77777777" w:rsidR="00214907" w:rsidRPr="007D6F9B" w:rsidRDefault="00214907"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Patients with severe renal impairment requiring vitamin D therapy</w:t>
            </w:r>
            <w:r>
              <w:rPr>
                <w:rFonts w:eastAsia="Calibri" w:cs="Times New Roman"/>
                <w:b/>
                <w:color w:val="000000"/>
                <w:szCs w:val="24"/>
              </w:rPr>
              <w:t xml:space="preserve">: </w:t>
            </w:r>
            <w:r w:rsidRPr="005F32AF">
              <w:rPr>
                <w:rFonts w:eastAsia="Calibri" w:cs="Times New Roman"/>
                <w:color w:val="000000"/>
                <w:szCs w:val="24"/>
              </w:rPr>
              <w:t>oral or IV injection</w:t>
            </w:r>
          </w:p>
          <w:p w14:paraId="2AFF7F10"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sidRPr="00944B15">
              <w:rPr>
                <w:rFonts w:eastAsia="Calibri" w:cs="Times New Roman"/>
                <w:color w:val="000000"/>
                <w:szCs w:val="24"/>
              </w:rPr>
              <w:t xml:space="preserve">: Initially 1 </w:t>
            </w:r>
            <w:r>
              <w:rPr>
                <w:rFonts w:eastAsia="Times New Roman" w:cs="Times New Roman"/>
                <w:color w:val="000000" w:themeColor="text1"/>
                <w:szCs w:val="24"/>
              </w:rPr>
              <w:t>mcg</w:t>
            </w:r>
            <w:r w:rsidRPr="00944B15">
              <w:rPr>
                <w:rFonts w:eastAsia="Calibri" w:cs="Times New Roman"/>
                <w:color w:val="000000"/>
                <w:szCs w:val="24"/>
              </w:rPr>
              <w:t xml:space="preserve"> daily, dose to be adjusted to avoid hypercalcaemia; maintenance 0.25–1 </w:t>
            </w:r>
            <w:r>
              <w:rPr>
                <w:rFonts w:eastAsia="Times New Roman" w:cs="Times New Roman"/>
                <w:color w:val="000000" w:themeColor="text1"/>
                <w:szCs w:val="24"/>
              </w:rPr>
              <w:t>mcg</w:t>
            </w:r>
            <w:r w:rsidRPr="00944B15">
              <w:rPr>
                <w:rFonts w:eastAsia="Calibri" w:cs="Times New Roman"/>
                <w:color w:val="000000"/>
                <w:szCs w:val="24"/>
              </w:rPr>
              <w:t xml:space="preserve"> daily</w:t>
            </w:r>
          </w:p>
          <w:p w14:paraId="26BA437C"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Elderly</w:t>
            </w:r>
            <w:r w:rsidRPr="00944B15">
              <w:rPr>
                <w:rFonts w:eastAsia="Calibri" w:cs="Times New Roman"/>
                <w:color w:val="000000"/>
                <w:szCs w:val="24"/>
              </w:rPr>
              <w:t xml:space="preserve">: Initially 500 </w:t>
            </w:r>
            <w:r>
              <w:rPr>
                <w:rFonts w:eastAsia="Calibri" w:cs="Times New Roman"/>
                <w:color w:val="000000"/>
                <w:szCs w:val="24"/>
              </w:rPr>
              <w:t>ng</w:t>
            </w:r>
            <w:r w:rsidRPr="00944B15">
              <w:rPr>
                <w:rFonts w:eastAsia="Calibri" w:cs="Times New Roman"/>
                <w:color w:val="000000"/>
                <w:szCs w:val="24"/>
              </w:rPr>
              <w:t xml:space="preserve"> daily, dose adjusted to avoid hypercalcaemia; maintenance 0.25–1 </w:t>
            </w:r>
            <w:r>
              <w:rPr>
                <w:rFonts w:eastAsia="Times New Roman" w:cs="Times New Roman"/>
                <w:color w:val="000000" w:themeColor="text1"/>
                <w:szCs w:val="24"/>
              </w:rPr>
              <w:t>mcg</w:t>
            </w:r>
            <w:r w:rsidRPr="00944B15">
              <w:rPr>
                <w:rFonts w:eastAsia="Calibri" w:cs="Times New Roman"/>
                <w:color w:val="000000"/>
                <w:szCs w:val="24"/>
              </w:rPr>
              <w:t xml:space="preserve"> daily</w:t>
            </w:r>
          </w:p>
          <w:p w14:paraId="52BBA823" w14:textId="77777777" w:rsidR="00214907" w:rsidRPr="005F32AF"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H</w:t>
            </w:r>
            <w:r>
              <w:rPr>
                <w:rFonts w:eastAsia="Calibri" w:cs="Times New Roman"/>
                <w:b/>
                <w:color w:val="000000"/>
                <w:szCs w:val="24"/>
              </w:rPr>
              <w:t>ypophosphatemia rickets, p</w:t>
            </w:r>
            <w:r w:rsidRPr="00944B15">
              <w:rPr>
                <w:rFonts w:eastAsia="Calibri" w:cs="Times New Roman"/>
                <w:b/>
                <w:color w:val="000000"/>
                <w:szCs w:val="24"/>
              </w:rPr>
              <w:t>ersistent hypocalcaemia due to hypoparathyroidism or pseudohypoparathyroidism</w:t>
            </w:r>
            <w:r>
              <w:rPr>
                <w:rFonts w:eastAsia="Calibri" w:cs="Times New Roman"/>
                <w:b/>
                <w:color w:val="000000"/>
                <w:szCs w:val="24"/>
              </w:rPr>
              <w:t xml:space="preserve">: </w:t>
            </w:r>
            <w:r w:rsidRPr="005F32AF">
              <w:rPr>
                <w:rFonts w:eastAsia="Calibri" w:cs="Times New Roman"/>
                <w:color w:val="000000"/>
                <w:szCs w:val="24"/>
              </w:rPr>
              <w:t>oral or IV injection</w:t>
            </w:r>
          </w:p>
          <w:p w14:paraId="042E3A7C"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Child 1 month–11 years</w:t>
            </w:r>
            <w:r w:rsidRPr="00944B15">
              <w:rPr>
                <w:rFonts w:eastAsia="Calibri" w:cs="Times New Roman"/>
                <w:color w:val="000000"/>
                <w:szCs w:val="24"/>
              </w:rPr>
              <w:t xml:space="preserve">: 25–50 </w:t>
            </w:r>
            <w:r>
              <w:rPr>
                <w:rFonts w:eastAsia="Calibri" w:cs="Times New Roman"/>
                <w:color w:val="000000"/>
                <w:szCs w:val="24"/>
              </w:rPr>
              <w:t>ng</w:t>
            </w:r>
            <w:r w:rsidRPr="00944B15">
              <w:rPr>
                <w:rFonts w:eastAsia="Calibri" w:cs="Times New Roman"/>
                <w:color w:val="000000"/>
                <w:szCs w:val="24"/>
              </w:rPr>
              <w:t xml:space="preserve"> /kg once daily, dose to be adjusted as necessary; maximum 1 </w:t>
            </w:r>
            <w:r>
              <w:rPr>
                <w:rFonts w:eastAsia="Times New Roman" w:cs="Times New Roman"/>
                <w:color w:val="000000" w:themeColor="text1"/>
                <w:szCs w:val="24"/>
              </w:rPr>
              <w:t>mcg</w:t>
            </w:r>
            <w:r w:rsidRPr="00944B15">
              <w:rPr>
                <w:rFonts w:eastAsia="Calibri" w:cs="Times New Roman"/>
                <w:color w:val="000000"/>
                <w:szCs w:val="24"/>
              </w:rPr>
              <w:t xml:space="preserve"> per day</w:t>
            </w:r>
          </w:p>
          <w:p w14:paraId="7C864C82"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Child 12–17 years</w:t>
            </w:r>
            <w:r w:rsidRPr="00944B15">
              <w:rPr>
                <w:rFonts w:eastAsia="Calibri" w:cs="Times New Roman"/>
                <w:color w:val="000000"/>
                <w:szCs w:val="24"/>
              </w:rPr>
              <w:t xml:space="preserve">: 1 </w:t>
            </w:r>
            <w:r>
              <w:rPr>
                <w:rFonts w:eastAsia="Times New Roman" w:cs="Times New Roman"/>
                <w:color w:val="000000" w:themeColor="text1"/>
                <w:szCs w:val="24"/>
              </w:rPr>
              <w:t>mcg</w:t>
            </w:r>
            <w:r w:rsidRPr="00944B15">
              <w:rPr>
                <w:rFonts w:eastAsia="Calibri" w:cs="Times New Roman"/>
                <w:color w:val="000000"/>
                <w:szCs w:val="24"/>
              </w:rPr>
              <w:t xml:space="preserve"> once daily, dose to be adjusted as </w:t>
            </w:r>
            <w:r w:rsidRPr="00944B15">
              <w:rPr>
                <w:rFonts w:eastAsia="Calibri" w:cs="Times New Roman"/>
                <w:color w:val="000000"/>
                <w:szCs w:val="24"/>
              </w:rPr>
              <w:lastRenderedPageBreak/>
              <w:t>necessary</w:t>
            </w:r>
          </w:p>
          <w:p w14:paraId="47321089" w14:textId="77777777" w:rsidR="00214907" w:rsidRPr="007D6F9B" w:rsidRDefault="00214907"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Prevention of vitamin D deficiency in renal or cholestatic liver disease</w:t>
            </w:r>
            <w:r>
              <w:rPr>
                <w:rFonts w:eastAsia="Calibri" w:cs="Times New Roman"/>
                <w:b/>
                <w:color w:val="000000"/>
                <w:szCs w:val="24"/>
              </w:rPr>
              <w:t xml:space="preserve">: </w:t>
            </w:r>
            <w:r w:rsidRPr="005F32AF">
              <w:rPr>
                <w:rFonts w:eastAsia="Calibri" w:cs="Times New Roman"/>
                <w:color w:val="000000"/>
                <w:szCs w:val="24"/>
              </w:rPr>
              <w:t>oral or IV injection</w:t>
            </w:r>
          </w:p>
          <w:p w14:paraId="66B1349B"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Child 1 month–11 years (body weight up to 20 kg)</w:t>
            </w:r>
            <w:r w:rsidRPr="00944B15">
              <w:rPr>
                <w:rFonts w:eastAsia="Calibri" w:cs="Times New Roman"/>
                <w:color w:val="000000"/>
                <w:szCs w:val="24"/>
              </w:rPr>
              <w:t xml:space="preserve">: 15–30 </w:t>
            </w:r>
            <w:r>
              <w:rPr>
                <w:rFonts w:eastAsia="Calibri" w:cs="Times New Roman"/>
                <w:color w:val="000000"/>
                <w:szCs w:val="24"/>
              </w:rPr>
              <w:t>ng</w:t>
            </w:r>
            <w:r w:rsidRPr="00944B15">
              <w:rPr>
                <w:rFonts w:eastAsia="Calibri" w:cs="Times New Roman"/>
                <w:color w:val="000000"/>
                <w:szCs w:val="24"/>
              </w:rPr>
              <w:t xml:space="preserve">/kg once daily (max. per dose 500 </w:t>
            </w:r>
            <w:r>
              <w:rPr>
                <w:rFonts w:eastAsia="Calibri" w:cs="Times New Roman"/>
                <w:color w:val="000000"/>
                <w:szCs w:val="24"/>
              </w:rPr>
              <w:t>ng</w:t>
            </w:r>
            <w:r w:rsidRPr="00944B15">
              <w:rPr>
                <w:rFonts w:eastAsia="Calibri" w:cs="Times New Roman"/>
                <w:color w:val="000000"/>
                <w:szCs w:val="24"/>
              </w:rPr>
              <w:t>)</w:t>
            </w:r>
          </w:p>
          <w:p w14:paraId="373BFA2C"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Child 1 month–11 years (body weight 20 kg and above)</w:t>
            </w:r>
            <w:r w:rsidRPr="00944B15">
              <w:rPr>
                <w:rFonts w:eastAsia="Calibri" w:cs="Times New Roman"/>
                <w:color w:val="000000"/>
                <w:szCs w:val="24"/>
              </w:rPr>
              <w:t xml:space="preserve">: 250–500 </w:t>
            </w:r>
            <w:r>
              <w:rPr>
                <w:rFonts w:eastAsia="Calibri" w:cs="Times New Roman"/>
                <w:color w:val="000000"/>
                <w:szCs w:val="24"/>
              </w:rPr>
              <w:t>ng</w:t>
            </w:r>
            <w:r w:rsidRPr="00944B15">
              <w:rPr>
                <w:rFonts w:eastAsia="Calibri" w:cs="Times New Roman"/>
                <w:color w:val="000000"/>
                <w:szCs w:val="24"/>
              </w:rPr>
              <w:t xml:space="preserve"> once daily, dose to be adjusted as necessary</w:t>
            </w:r>
          </w:p>
          <w:p w14:paraId="12F937FD"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Child 12–17 years</w:t>
            </w:r>
            <w:r w:rsidRPr="00944B15">
              <w:rPr>
                <w:rFonts w:eastAsia="Calibri" w:cs="Times New Roman"/>
                <w:color w:val="000000"/>
                <w:szCs w:val="24"/>
              </w:rPr>
              <w:t xml:space="preserve">: 250–500 </w:t>
            </w:r>
            <w:r>
              <w:rPr>
                <w:rFonts w:eastAsia="Calibri" w:cs="Times New Roman"/>
                <w:color w:val="000000"/>
                <w:szCs w:val="24"/>
              </w:rPr>
              <w:t>ng</w:t>
            </w:r>
            <w:r w:rsidRPr="00944B15">
              <w:rPr>
                <w:rFonts w:eastAsia="Calibri" w:cs="Times New Roman"/>
                <w:color w:val="000000"/>
                <w:szCs w:val="24"/>
              </w:rPr>
              <w:t xml:space="preserve"> once daily, dose to be adjusted as necessary</w:t>
            </w:r>
          </w:p>
        </w:tc>
      </w:tr>
      <w:tr w:rsidR="00214907" w:rsidRPr="00944B15" w14:paraId="7CBC869A"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C9539D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974" w:type="dxa"/>
          </w:tcPr>
          <w:p w14:paraId="33D7E6C3" w14:textId="77777777" w:rsidR="00214907" w:rsidRPr="00944B15" w:rsidRDefault="00214907" w:rsidP="002D6DD7">
            <w:pPr>
              <w:jc w:val="both"/>
              <w:rPr>
                <w:rFonts w:eastAsia="Times New Roman" w:cs="Times New Roman"/>
                <w:color w:val="ED7D31"/>
                <w:szCs w:val="24"/>
              </w:rPr>
            </w:pPr>
            <w:r>
              <w:rPr>
                <w:rFonts w:eastAsia="Times New Roman" w:cs="Times New Roman"/>
                <w:color w:val="000000" w:themeColor="text1"/>
                <w:szCs w:val="24"/>
              </w:rPr>
              <w:t>H</w:t>
            </w:r>
            <w:r w:rsidRPr="00944B15">
              <w:rPr>
                <w:rFonts w:eastAsia="Times New Roman" w:cs="Times New Roman"/>
                <w:color w:val="000000" w:themeColor="text1"/>
                <w:szCs w:val="24"/>
              </w:rPr>
              <w:t xml:space="preserve">ypersensitivity to </w:t>
            </w:r>
            <w:r>
              <w:rPr>
                <w:rFonts w:eastAsia="Times New Roman" w:cs="Times New Roman"/>
                <w:color w:val="000000" w:themeColor="text1"/>
                <w:szCs w:val="24"/>
              </w:rPr>
              <w:t>the drug,</w:t>
            </w:r>
            <w:r w:rsidRPr="00944B15">
              <w:rPr>
                <w:rFonts w:eastAsia="Times New Roman" w:cs="Times New Roman"/>
                <w:color w:val="000000" w:themeColor="text1"/>
                <w:szCs w:val="24"/>
              </w:rPr>
              <w:t xml:space="preserve"> </w:t>
            </w:r>
            <w:r>
              <w:rPr>
                <w:rFonts w:eastAsia="Times New Roman" w:cs="Times New Roman"/>
                <w:color w:val="000000" w:themeColor="text1"/>
                <w:szCs w:val="24"/>
              </w:rPr>
              <w:t>hypercalcemia, v</w:t>
            </w:r>
            <w:r w:rsidRPr="00944B15">
              <w:rPr>
                <w:rFonts w:eastAsia="Times New Roman" w:cs="Times New Roman"/>
                <w:color w:val="000000" w:themeColor="text1"/>
                <w:szCs w:val="24"/>
              </w:rPr>
              <w:t xml:space="preserve">itamin D toxicity, </w:t>
            </w:r>
            <w:r>
              <w:rPr>
                <w:rFonts w:eastAsia="Times New Roman" w:cs="Times New Roman"/>
                <w:color w:val="000000" w:themeColor="text1"/>
                <w:szCs w:val="24"/>
              </w:rPr>
              <w:t>hyperphosphotemia.</w:t>
            </w:r>
          </w:p>
        </w:tc>
      </w:tr>
      <w:tr w:rsidR="00214907" w:rsidRPr="00944B15" w14:paraId="3F17082D"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6784B1E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68A939B0"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Other vitamin D</w:t>
            </w:r>
            <w:r>
              <w:rPr>
                <w:rFonts w:eastAsia="Times New Roman" w:cs="Times New Roman"/>
                <w:color w:val="000000" w:themeColor="text1"/>
                <w:szCs w:val="24"/>
              </w:rPr>
              <w:t xml:space="preserve"> analogs, thiazide diuretics, </w:t>
            </w:r>
            <w:r w:rsidRPr="00944B15">
              <w:rPr>
                <w:rFonts w:eastAsia="Times New Roman" w:cs="Times New Roman"/>
                <w:color w:val="000000" w:themeColor="text1"/>
                <w:szCs w:val="24"/>
              </w:rPr>
              <w:t xml:space="preserve">calcium supplements, as </w:t>
            </w:r>
            <w:r>
              <w:rPr>
                <w:rFonts w:eastAsia="Times New Roman" w:cs="Times New Roman"/>
                <w:color w:val="000000" w:themeColor="text1"/>
                <w:szCs w:val="24"/>
              </w:rPr>
              <w:t>p</w:t>
            </w:r>
            <w:r w:rsidRPr="00944B15">
              <w:rPr>
                <w:rFonts w:eastAsia="Times New Roman" w:cs="Times New Roman"/>
                <w:color w:val="000000" w:themeColor="text1"/>
                <w:szCs w:val="24"/>
              </w:rPr>
              <w:t xml:space="preserve">henytoin, </w:t>
            </w:r>
            <w:r>
              <w:rPr>
                <w:rFonts w:eastAsia="Times New Roman" w:cs="Times New Roman"/>
                <w:color w:val="000000" w:themeColor="text1"/>
                <w:szCs w:val="24"/>
              </w:rPr>
              <w:t>c</w:t>
            </w:r>
            <w:r w:rsidRPr="00944B15">
              <w:rPr>
                <w:rFonts w:eastAsia="Times New Roman" w:cs="Times New Roman"/>
                <w:color w:val="000000" w:themeColor="text1"/>
                <w:szCs w:val="24"/>
              </w:rPr>
              <w:t xml:space="preserve">arbamazepine, </w:t>
            </w:r>
            <w:r>
              <w:rPr>
                <w:rFonts w:eastAsia="Times New Roman" w:cs="Times New Roman"/>
                <w:color w:val="000000" w:themeColor="text1"/>
                <w:szCs w:val="24"/>
              </w:rPr>
              <w:t>p</w:t>
            </w:r>
            <w:r w:rsidRPr="00944B15">
              <w:rPr>
                <w:rFonts w:eastAsia="Times New Roman" w:cs="Times New Roman"/>
                <w:color w:val="000000" w:themeColor="text1"/>
                <w:szCs w:val="24"/>
              </w:rPr>
              <w:t xml:space="preserve">henobarbital, </w:t>
            </w:r>
            <w:r>
              <w:rPr>
                <w:rFonts w:eastAsia="Times New Roman" w:cs="Times New Roman"/>
                <w:color w:val="000000" w:themeColor="text1"/>
                <w:szCs w:val="24"/>
              </w:rPr>
              <w:t>r</w:t>
            </w:r>
            <w:r w:rsidRPr="00944B15">
              <w:rPr>
                <w:rFonts w:eastAsia="Times New Roman" w:cs="Times New Roman"/>
                <w:color w:val="000000" w:themeColor="text1"/>
                <w:szCs w:val="24"/>
              </w:rPr>
              <w:t>ifampin</w:t>
            </w:r>
            <w:r>
              <w:rPr>
                <w:rFonts w:eastAsia="Times New Roman" w:cs="Times New Roman"/>
                <w:color w:val="000000" w:themeColor="text1"/>
                <w:szCs w:val="24"/>
              </w:rPr>
              <w:t>, m</w:t>
            </w:r>
            <w:r w:rsidRPr="00944B15">
              <w:rPr>
                <w:rFonts w:eastAsia="Times New Roman" w:cs="Times New Roman"/>
                <w:color w:val="000000" w:themeColor="text1"/>
                <w:szCs w:val="24"/>
              </w:rPr>
              <w:t>agnesium</w:t>
            </w:r>
            <w:r>
              <w:rPr>
                <w:rFonts w:eastAsia="Times New Roman" w:cs="Times New Roman"/>
                <w:color w:val="000000" w:themeColor="text1"/>
                <w:szCs w:val="24"/>
              </w:rPr>
              <w:t xml:space="preserve"> </w:t>
            </w:r>
            <w:r w:rsidRPr="00944B15">
              <w:rPr>
                <w:rFonts w:eastAsia="Times New Roman" w:cs="Times New Roman"/>
                <w:color w:val="000000" w:themeColor="text1"/>
                <w:szCs w:val="24"/>
              </w:rPr>
              <w:t>co</w:t>
            </w:r>
            <w:r>
              <w:rPr>
                <w:rFonts w:eastAsia="Times New Roman" w:cs="Times New Roman"/>
                <w:color w:val="000000" w:themeColor="text1"/>
                <w:szCs w:val="24"/>
              </w:rPr>
              <w:t>ntaining drugs (e.g. antacids).</w:t>
            </w:r>
          </w:p>
        </w:tc>
      </w:tr>
      <w:tr w:rsidR="00214907" w:rsidRPr="00944B15" w14:paraId="7C3E923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71A18E1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5DD62B0E"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Hypercalcemia, hypercalciuria, nausea, vomiting, constipation, arrhythmias, renal dysfunction, metastatic calcification, hyperphosphatemia, rash pustular</w:t>
            </w:r>
            <w:r>
              <w:rPr>
                <w:rFonts w:eastAsia="Times New Roman" w:cs="Times New Roman"/>
                <w:szCs w:val="24"/>
              </w:rPr>
              <w:t xml:space="preserve"> and u</w:t>
            </w:r>
            <w:r w:rsidRPr="00944B15">
              <w:rPr>
                <w:rFonts w:eastAsia="Times New Roman" w:cs="Times New Roman"/>
                <w:szCs w:val="24"/>
              </w:rPr>
              <w:t xml:space="preserve">rinary tract infection </w:t>
            </w:r>
          </w:p>
        </w:tc>
      </w:tr>
      <w:tr w:rsidR="00214907" w:rsidRPr="00944B15" w14:paraId="14F53DC9"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077C824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4E9DC0AB"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Impaired liver or kidney function, granulomatous diseases, nephrolithiasis</w:t>
            </w:r>
            <w:r>
              <w:rPr>
                <w:rFonts w:eastAsia="Times New Roman" w:cs="Times New Roman"/>
                <w:szCs w:val="24"/>
              </w:rPr>
              <w:t xml:space="preserve">, </w:t>
            </w:r>
            <w:r w:rsidRPr="00944B15">
              <w:rPr>
                <w:rFonts w:eastAsia="Times New Roman" w:cs="Times New Roman"/>
                <w:szCs w:val="24"/>
              </w:rPr>
              <w:t>infants</w:t>
            </w:r>
            <w:r>
              <w:rPr>
                <w:rFonts w:eastAsia="Times New Roman" w:cs="Times New Roman"/>
                <w:szCs w:val="24"/>
              </w:rPr>
              <w:t>.</w:t>
            </w:r>
          </w:p>
        </w:tc>
      </w:tr>
      <w:tr w:rsidR="00214907" w:rsidRPr="00944B15" w14:paraId="4A3587BF" w14:textId="77777777" w:rsidTr="002D6DD7">
        <w:trPr>
          <w:jc w:val="center"/>
        </w:trPr>
        <w:tc>
          <w:tcPr>
            <w:tcW w:w="2605" w:type="dxa"/>
            <w:tcBorders>
              <w:top w:val="single" w:sz="4" w:space="0" w:color="auto"/>
              <w:left w:val="single" w:sz="4" w:space="0" w:color="auto"/>
              <w:bottom w:val="single" w:sz="4" w:space="0" w:color="auto"/>
              <w:right w:val="single" w:sz="4" w:space="0" w:color="auto"/>
            </w:tcBorders>
            <w:hideMark/>
          </w:tcPr>
          <w:p w14:paraId="1F4FFD7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5ABAC572" w14:textId="77777777" w:rsidR="00214907" w:rsidRPr="00944B15" w:rsidRDefault="00214907" w:rsidP="002D6DD7">
            <w:pPr>
              <w:jc w:val="both"/>
              <w:rPr>
                <w:rFonts w:eastAsia="Times New Roman" w:cs="Times New Roman"/>
                <w:color w:val="000000" w:themeColor="text1"/>
                <w:szCs w:val="24"/>
              </w:rPr>
            </w:pPr>
            <w:r>
              <w:rPr>
                <w:rFonts w:eastAsia="Times New Roman" w:cs="Times New Roman"/>
                <w:color w:val="000000" w:themeColor="text1"/>
                <w:szCs w:val="24"/>
              </w:rPr>
              <w:t xml:space="preserve">Store between </w:t>
            </w:r>
            <w:r w:rsidRPr="00944B15">
              <w:rPr>
                <w:rFonts w:eastAsia="Times New Roman" w:cs="Times New Roman"/>
                <w:color w:val="000000" w:themeColor="text1"/>
                <w:szCs w:val="24"/>
              </w:rPr>
              <w:t xml:space="preserve">15°C </w:t>
            </w:r>
            <w:r>
              <w:rPr>
                <w:rFonts w:eastAsia="Times New Roman" w:cs="Times New Roman"/>
                <w:color w:val="000000" w:themeColor="text1"/>
                <w:szCs w:val="24"/>
              </w:rPr>
              <w:t>and 30°C. Protect</w:t>
            </w:r>
            <w:r w:rsidRPr="00944B15">
              <w:rPr>
                <w:rFonts w:eastAsia="Times New Roman" w:cs="Times New Roman"/>
                <w:color w:val="000000" w:themeColor="text1"/>
                <w:szCs w:val="24"/>
              </w:rPr>
              <w:t xml:space="preserve"> from light and moisture. </w:t>
            </w:r>
          </w:p>
        </w:tc>
      </w:tr>
      <w:tr w:rsidR="00214907" w:rsidRPr="00944B15" w14:paraId="228699FA" w14:textId="77777777" w:rsidTr="002D6DD7">
        <w:trPr>
          <w:jc w:val="center"/>
        </w:trPr>
        <w:tc>
          <w:tcPr>
            <w:tcW w:w="9579" w:type="dxa"/>
            <w:gridSpan w:val="2"/>
            <w:tcBorders>
              <w:top w:val="single" w:sz="4" w:space="0" w:color="auto"/>
              <w:left w:val="single" w:sz="4" w:space="0" w:color="auto"/>
              <w:bottom w:val="single" w:sz="4" w:space="0" w:color="auto"/>
            </w:tcBorders>
          </w:tcPr>
          <w:p w14:paraId="02A5825B" w14:textId="77777777" w:rsidR="00214907" w:rsidRPr="00944B15" w:rsidRDefault="00214907" w:rsidP="002D6DD7">
            <w:pPr>
              <w:jc w:val="both"/>
              <w:rPr>
                <w:rFonts w:eastAsia="Times New Roman" w:cs="Times New Roman"/>
                <w:b/>
                <w:color w:val="000000" w:themeColor="text1"/>
                <w:szCs w:val="24"/>
              </w:rPr>
            </w:pPr>
            <w:r>
              <w:rPr>
                <w:rFonts w:eastAsia="Times New Roman" w:cs="Times New Roman"/>
                <w:b/>
                <w:color w:val="000000"/>
                <w:szCs w:val="24"/>
              </w:rPr>
              <w:t>Ascorbic Acid (v</w:t>
            </w:r>
            <w:r w:rsidRPr="00944B15">
              <w:rPr>
                <w:rFonts w:eastAsia="Times New Roman" w:cs="Times New Roman"/>
                <w:b/>
                <w:color w:val="000000"/>
                <w:szCs w:val="24"/>
              </w:rPr>
              <w:t>itamin C)</w:t>
            </w:r>
          </w:p>
        </w:tc>
      </w:tr>
      <w:tr w:rsidR="00214907" w:rsidRPr="00944B15" w14:paraId="53A6081F" w14:textId="77777777" w:rsidTr="002D6DD7">
        <w:trPr>
          <w:jc w:val="center"/>
        </w:trPr>
        <w:tc>
          <w:tcPr>
            <w:tcW w:w="2605" w:type="dxa"/>
            <w:hideMark/>
          </w:tcPr>
          <w:p w14:paraId="20CDD92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141062AB"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2AAC4F5F" w14:textId="77777777" w:rsidTr="002D6DD7">
        <w:trPr>
          <w:jc w:val="center"/>
        </w:trPr>
        <w:tc>
          <w:tcPr>
            <w:tcW w:w="2605" w:type="dxa"/>
            <w:hideMark/>
          </w:tcPr>
          <w:p w14:paraId="23926A7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430B7C4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Tablet: 100mg, 500mg</w:t>
            </w:r>
          </w:p>
        </w:tc>
      </w:tr>
      <w:tr w:rsidR="00214907" w:rsidRPr="00944B15" w14:paraId="374242DE" w14:textId="77777777" w:rsidTr="002D6DD7">
        <w:trPr>
          <w:jc w:val="center"/>
        </w:trPr>
        <w:tc>
          <w:tcPr>
            <w:tcW w:w="2605" w:type="dxa"/>
            <w:hideMark/>
          </w:tcPr>
          <w:p w14:paraId="2F6DA83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1CDBCC8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szCs w:val="24"/>
              </w:rPr>
              <w:t>For prophylaxis and treatment of vitamin C (ascorbic acid) deficiency.</w:t>
            </w:r>
          </w:p>
        </w:tc>
      </w:tr>
      <w:tr w:rsidR="00214907" w:rsidRPr="00944B15" w14:paraId="1B0F6096" w14:textId="77777777" w:rsidTr="002D6DD7">
        <w:trPr>
          <w:jc w:val="center"/>
        </w:trPr>
        <w:tc>
          <w:tcPr>
            <w:tcW w:w="2605" w:type="dxa"/>
            <w:hideMark/>
          </w:tcPr>
          <w:p w14:paraId="040C00B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5B850E14" w14:textId="77777777" w:rsidR="00214907" w:rsidRPr="00944B15" w:rsidRDefault="00214907" w:rsidP="002D6DD7">
            <w:pPr>
              <w:jc w:val="both"/>
              <w:rPr>
                <w:rFonts w:eastAsia="Times New Roman" w:cs="Times New Roman"/>
                <w:szCs w:val="24"/>
              </w:rPr>
            </w:pPr>
            <w:r w:rsidRPr="00944B15">
              <w:rPr>
                <w:rFonts w:eastAsia="Times New Roman" w:cs="Times New Roman"/>
                <w:b/>
                <w:szCs w:val="24"/>
              </w:rPr>
              <w:t>Adult:</w:t>
            </w:r>
            <w:r w:rsidRPr="00944B15">
              <w:rPr>
                <w:rFonts w:eastAsia="Times New Roman" w:cs="Times New Roman"/>
                <w:szCs w:val="24"/>
              </w:rPr>
              <w:t xml:space="preserve"> </w:t>
            </w:r>
          </w:p>
          <w:p w14:paraId="1A79F0AE" w14:textId="77777777" w:rsidR="00214907" w:rsidRPr="00944B15" w:rsidRDefault="00214907" w:rsidP="002D6DD7">
            <w:pPr>
              <w:jc w:val="both"/>
              <w:rPr>
                <w:rFonts w:eastAsia="Times New Roman" w:cs="Times New Roman"/>
                <w:szCs w:val="24"/>
              </w:rPr>
            </w:pPr>
            <w:r w:rsidRPr="00944B15">
              <w:rPr>
                <w:rFonts w:eastAsia="Times New Roman" w:cs="Times New Roman"/>
                <w:b/>
                <w:szCs w:val="24"/>
              </w:rPr>
              <w:t>Treatment of scurvy</w:t>
            </w:r>
            <w:r w:rsidRPr="00944B15">
              <w:rPr>
                <w:rFonts w:eastAsia="Times New Roman" w:cs="Times New Roman"/>
                <w:szCs w:val="24"/>
              </w:rPr>
              <w:t>: Oral 1 to 2 g for the first 2 days, then 500 mg daily for a week. Alternative dose: 250mg four times daily for a week</w:t>
            </w:r>
          </w:p>
          <w:p w14:paraId="53130DC4" w14:textId="77777777" w:rsidR="00214907" w:rsidRPr="00944B15" w:rsidRDefault="00214907" w:rsidP="002D6DD7">
            <w:pPr>
              <w:jc w:val="both"/>
              <w:rPr>
                <w:rFonts w:eastAsia="Times New Roman" w:cs="Times New Roman"/>
                <w:b/>
                <w:szCs w:val="24"/>
              </w:rPr>
            </w:pPr>
            <w:r>
              <w:rPr>
                <w:rFonts w:eastAsia="Times New Roman" w:cs="Times New Roman"/>
                <w:b/>
                <w:szCs w:val="24"/>
              </w:rPr>
              <w:t>Prophylaxis of scurvy, oral r</w:t>
            </w:r>
            <w:r w:rsidRPr="00944B15">
              <w:rPr>
                <w:rFonts w:eastAsia="Times New Roman" w:cs="Times New Roman"/>
                <w:b/>
                <w:szCs w:val="24"/>
              </w:rPr>
              <w:t>ecommended daily intake</w:t>
            </w:r>
            <w:r>
              <w:rPr>
                <w:rFonts w:eastAsia="Times New Roman" w:cs="Times New Roman"/>
                <w:b/>
                <w:szCs w:val="24"/>
              </w:rPr>
              <w:t>:</w:t>
            </w:r>
          </w:p>
          <w:p w14:paraId="1D03E7C8"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Males: 90mg/day        Females: 75mg/day</w:t>
            </w:r>
          </w:p>
          <w:p w14:paraId="39DF9363"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Pregnancy: 85mg/day; not to exceed 2000mg/day (80mg if less than 18years old; not to exceed 1800mg/day)</w:t>
            </w:r>
          </w:p>
          <w:p w14:paraId="51260B7D" w14:textId="77777777" w:rsidR="00214907" w:rsidRPr="00944B15" w:rsidRDefault="00214907" w:rsidP="002D6DD7">
            <w:pPr>
              <w:jc w:val="both"/>
              <w:rPr>
                <w:rFonts w:eastAsia="Times New Roman" w:cs="Times New Roman"/>
                <w:b/>
                <w:szCs w:val="24"/>
              </w:rPr>
            </w:pPr>
            <w:r w:rsidRPr="00944B15">
              <w:rPr>
                <w:rFonts w:eastAsia="Times New Roman" w:cs="Times New Roman"/>
                <w:b/>
                <w:szCs w:val="24"/>
              </w:rPr>
              <w:lastRenderedPageBreak/>
              <w:t xml:space="preserve">Pediatric: </w:t>
            </w:r>
          </w:p>
          <w:p w14:paraId="3B93A209" w14:textId="77777777" w:rsidR="00214907" w:rsidRDefault="00214907" w:rsidP="002D6DD7">
            <w:pPr>
              <w:jc w:val="both"/>
              <w:rPr>
                <w:rFonts w:eastAsia="Times New Roman" w:cs="Times New Roman"/>
                <w:b/>
                <w:szCs w:val="24"/>
              </w:rPr>
            </w:pPr>
            <w:r w:rsidRPr="00944B15">
              <w:rPr>
                <w:rFonts w:eastAsia="Times New Roman" w:cs="Times New Roman"/>
                <w:b/>
                <w:szCs w:val="24"/>
              </w:rPr>
              <w:t>Treatment of scurvy</w:t>
            </w:r>
            <w:r>
              <w:rPr>
                <w:rFonts w:eastAsia="Times New Roman" w:cs="Times New Roman"/>
                <w:szCs w:val="24"/>
              </w:rPr>
              <w:t>:</w:t>
            </w:r>
            <w:r w:rsidRPr="00944B15">
              <w:rPr>
                <w:rFonts w:eastAsia="Times New Roman" w:cs="Times New Roman"/>
                <w:szCs w:val="24"/>
              </w:rPr>
              <w:t xml:space="preserve"> not less than 250 mg daily oral in 1–2 divided doses until</w:t>
            </w:r>
            <w:r w:rsidRPr="00944B15">
              <w:rPr>
                <w:rFonts w:eastAsia="Times New Roman" w:cs="Times New Roman"/>
                <w:b/>
                <w:szCs w:val="24"/>
              </w:rPr>
              <w:t xml:space="preserve"> </w:t>
            </w:r>
            <w:r w:rsidRPr="00944B15">
              <w:rPr>
                <w:rFonts w:eastAsia="Times New Roman" w:cs="Times New Roman"/>
                <w:szCs w:val="24"/>
              </w:rPr>
              <w:t>clinical signs of scurvy disappear.</w:t>
            </w:r>
            <w:r w:rsidRPr="00944B15">
              <w:rPr>
                <w:rFonts w:eastAsia="Times New Roman" w:cs="Times New Roman"/>
                <w:b/>
                <w:szCs w:val="24"/>
              </w:rPr>
              <w:t xml:space="preserve"> </w:t>
            </w:r>
          </w:p>
          <w:p w14:paraId="29BC1521" w14:textId="77777777" w:rsidR="00214907" w:rsidRPr="00944B15" w:rsidRDefault="00214907" w:rsidP="002D6DD7">
            <w:pPr>
              <w:jc w:val="both"/>
              <w:rPr>
                <w:rFonts w:eastAsia="Times New Roman" w:cs="Times New Roman"/>
                <w:b/>
                <w:szCs w:val="24"/>
              </w:rPr>
            </w:pPr>
            <w:r w:rsidRPr="00944B15">
              <w:rPr>
                <w:rFonts w:eastAsia="Times New Roman" w:cs="Times New Roman"/>
                <w:b/>
                <w:szCs w:val="24"/>
              </w:rPr>
              <w:t>Prophylaxis of scurvy</w:t>
            </w:r>
            <w:r>
              <w:rPr>
                <w:rFonts w:eastAsia="Times New Roman" w:cs="Times New Roman"/>
                <w:szCs w:val="24"/>
              </w:rPr>
              <w:t>:</w:t>
            </w:r>
            <w:r w:rsidRPr="00944B15">
              <w:rPr>
                <w:rFonts w:eastAsia="Times New Roman" w:cs="Times New Roman"/>
                <w:szCs w:val="24"/>
              </w:rPr>
              <w:t xml:space="preserve"> 25–75 mg oral daily. </w:t>
            </w:r>
          </w:p>
          <w:p w14:paraId="2F834F02" w14:textId="77777777" w:rsidR="00214907" w:rsidRPr="00944B15" w:rsidRDefault="00214907" w:rsidP="002D6DD7">
            <w:pPr>
              <w:jc w:val="both"/>
              <w:rPr>
                <w:rFonts w:eastAsia="Times New Roman" w:cs="Times New Roman"/>
                <w:b/>
                <w:szCs w:val="24"/>
              </w:rPr>
            </w:pPr>
            <w:r w:rsidRPr="00944B15">
              <w:rPr>
                <w:rFonts w:eastAsia="Times New Roman" w:cs="Times New Roman"/>
                <w:b/>
                <w:szCs w:val="24"/>
              </w:rPr>
              <w:t>Recommended daily intake</w:t>
            </w:r>
            <w:r>
              <w:rPr>
                <w:rFonts w:eastAsia="Times New Roman" w:cs="Times New Roman"/>
                <w:b/>
                <w:szCs w:val="24"/>
              </w:rPr>
              <w:t>:</w:t>
            </w:r>
          </w:p>
          <w:p w14:paraId="5B7AC628" w14:textId="77777777" w:rsidR="00214907" w:rsidRDefault="00214907" w:rsidP="002D6DD7">
            <w:pPr>
              <w:jc w:val="both"/>
              <w:rPr>
                <w:rFonts w:eastAsia="Times New Roman" w:cs="Times New Roman"/>
                <w:szCs w:val="24"/>
              </w:rPr>
            </w:pPr>
            <w:r w:rsidRPr="00944B15">
              <w:rPr>
                <w:rFonts w:eastAsia="Times New Roman" w:cs="Times New Roman"/>
                <w:szCs w:val="24"/>
              </w:rPr>
              <w:t>Infa</w:t>
            </w:r>
            <w:r>
              <w:rPr>
                <w:rFonts w:eastAsia="Times New Roman" w:cs="Times New Roman"/>
                <w:szCs w:val="24"/>
              </w:rPr>
              <w:t>nt 0–6 months: 25 mg/day</w:t>
            </w:r>
            <w:r w:rsidRPr="00944B15">
              <w:rPr>
                <w:rFonts w:eastAsia="Times New Roman" w:cs="Times New Roman"/>
                <w:szCs w:val="24"/>
              </w:rPr>
              <w:t xml:space="preserve"> </w:t>
            </w:r>
          </w:p>
          <w:p w14:paraId="1010E2D9" w14:textId="77777777" w:rsidR="00214907" w:rsidRDefault="00214907" w:rsidP="002D6DD7">
            <w:pPr>
              <w:jc w:val="both"/>
              <w:rPr>
                <w:rFonts w:eastAsia="Times New Roman" w:cs="Times New Roman"/>
                <w:szCs w:val="24"/>
              </w:rPr>
            </w:pPr>
            <w:r>
              <w:rPr>
                <w:rFonts w:eastAsia="Times New Roman" w:cs="Times New Roman"/>
                <w:szCs w:val="24"/>
              </w:rPr>
              <w:t>Child 7–12 months: 30 mg/day</w:t>
            </w:r>
          </w:p>
          <w:p w14:paraId="72DB4B09" w14:textId="77777777" w:rsidR="00214907" w:rsidRDefault="00214907" w:rsidP="002D6DD7">
            <w:pPr>
              <w:jc w:val="both"/>
              <w:rPr>
                <w:rFonts w:eastAsia="Calibri" w:cs="Times New Roman"/>
                <w:color w:val="000000"/>
                <w:szCs w:val="24"/>
              </w:rPr>
            </w:pPr>
            <w:r>
              <w:rPr>
                <w:rFonts w:eastAsia="Times New Roman" w:cs="Times New Roman"/>
                <w:szCs w:val="24"/>
              </w:rPr>
              <w:t>Child 1–8 years: 35 mg/day</w:t>
            </w:r>
            <w:r w:rsidRPr="00944B15">
              <w:rPr>
                <w:rFonts w:eastAsia="Times New Roman" w:cs="Times New Roman"/>
                <w:szCs w:val="24"/>
              </w:rPr>
              <w:t xml:space="preserve"> </w:t>
            </w:r>
          </w:p>
          <w:p w14:paraId="61DA9EEA" w14:textId="77777777" w:rsidR="00214907" w:rsidRPr="00573026" w:rsidRDefault="00214907" w:rsidP="002D6DD7">
            <w:pPr>
              <w:jc w:val="both"/>
              <w:rPr>
                <w:rFonts w:eastAsia="Times New Roman" w:cs="Times New Roman"/>
                <w:szCs w:val="24"/>
              </w:rPr>
            </w:pPr>
            <w:r w:rsidRPr="00944B15">
              <w:rPr>
                <w:rFonts w:eastAsia="Calibri" w:cs="Times New Roman"/>
                <w:color w:val="000000"/>
                <w:szCs w:val="24"/>
              </w:rPr>
              <w:t>Child over 9 years: 40 mg/day.</w:t>
            </w:r>
          </w:p>
        </w:tc>
      </w:tr>
      <w:tr w:rsidR="00214907" w:rsidRPr="00944B15" w14:paraId="5818226B" w14:textId="77777777" w:rsidTr="002D6DD7">
        <w:trPr>
          <w:jc w:val="center"/>
        </w:trPr>
        <w:tc>
          <w:tcPr>
            <w:tcW w:w="2605" w:type="dxa"/>
            <w:hideMark/>
          </w:tcPr>
          <w:p w14:paraId="37F90B5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974" w:type="dxa"/>
          </w:tcPr>
          <w:p w14:paraId="6835194A"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Hypersensitivity</w:t>
            </w:r>
            <w:r>
              <w:rPr>
                <w:rFonts w:eastAsia="Times New Roman" w:cs="Times New Roman"/>
                <w:color w:val="000000"/>
                <w:szCs w:val="24"/>
              </w:rPr>
              <w:t xml:space="preserve"> to the drug.</w:t>
            </w:r>
          </w:p>
        </w:tc>
      </w:tr>
      <w:tr w:rsidR="00214907" w:rsidRPr="00944B15" w14:paraId="25C4DDE0" w14:textId="77777777" w:rsidTr="002D6DD7">
        <w:trPr>
          <w:jc w:val="center"/>
        </w:trPr>
        <w:tc>
          <w:tcPr>
            <w:tcW w:w="2605" w:type="dxa"/>
            <w:hideMark/>
          </w:tcPr>
          <w:p w14:paraId="30ED4A5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1A4A0C41" w14:textId="77777777" w:rsidR="00214907" w:rsidRPr="00944B15" w:rsidRDefault="00214907" w:rsidP="002D6DD7">
            <w:pPr>
              <w:rPr>
                <w:rFonts w:eastAsia="Times New Roman" w:cs="Times New Roman"/>
                <w:color w:val="ED7D31"/>
                <w:szCs w:val="24"/>
              </w:rPr>
            </w:pPr>
            <w:r w:rsidRPr="00944B15">
              <w:rPr>
                <w:rFonts w:eastAsia="Times New Roman" w:cs="Times New Roman"/>
                <w:szCs w:val="24"/>
              </w:rPr>
              <w:t>Deferoxamine, alum</w:t>
            </w:r>
            <w:r>
              <w:rPr>
                <w:rFonts w:eastAsia="Times New Roman" w:cs="Times New Roman"/>
                <w:szCs w:val="24"/>
              </w:rPr>
              <w:t xml:space="preserve">inium hydroxide, disulfiram, </w:t>
            </w:r>
            <w:r w:rsidRPr="00944B15">
              <w:rPr>
                <w:rFonts w:eastAsia="Times New Roman" w:cs="Times New Roman"/>
                <w:szCs w:val="24"/>
              </w:rPr>
              <w:t xml:space="preserve">vitamin B12 </w:t>
            </w:r>
          </w:p>
        </w:tc>
      </w:tr>
      <w:tr w:rsidR="00214907" w:rsidRPr="00944B15" w14:paraId="53FA6278" w14:textId="77777777" w:rsidTr="002D6DD7">
        <w:trPr>
          <w:jc w:val="center"/>
        </w:trPr>
        <w:tc>
          <w:tcPr>
            <w:tcW w:w="2605" w:type="dxa"/>
            <w:hideMark/>
          </w:tcPr>
          <w:p w14:paraId="0C80A01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3D893671"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 xml:space="preserve">Faintness, </w:t>
            </w:r>
            <w:r>
              <w:rPr>
                <w:rFonts w:eastAsia="Times New Roman" w:cs="Times New Roman"/>
                <w:szCs w:val="24"/>
              </w:rPr>
              <w:t>d</w:t>
            </w:r>
            <w:r w:rsidRPr="00944B15">
              <w:rPr>
                <w:rFonts w:eastAsia="Times New Roman" w:cs="Times New Roman"/>
                <w:szCs w:val="24"/>
              </w:rPr>
              <w:t>iarrhea, dyspepsia, nausea, vomiting, kidney stones (oxalate nephrolithiasis)</w:t>
            </w:r>
            <w:r>
              <w:rPr>
                <w:rFonts w:eastAsia="Times New Roman" w:cs="Times New Roman"/>
                <w:szCs w:val="24"/>
              </w:rPr>
              <w:t>, hyperoxolaurea.</w:t>
            </w:r>
          </w:p>
        </w:tc>
      </w:tr>
      <w:tr w:rsidR="00214907" w:rsidRPr="00944B15" w14:paraId="55C8E217" w14:textId="77777777" w:rsidTr="002D6DD7">
        <w:trPr>
          <w:jc w:val="center"/>
        </w:trPr>
        <w:tc>
          <w:tcPr>
            <w:tcW w:w="2605" w:type="dxa"/>
            <w:hideMark/>
          </w:tcPr>
          <w:p w14:paraId="47A0722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71474256" w14:textId="77777777" w:rsidR="00214907" w:rsidRPr="00944B15" w:rsidRDefault="00214907" w:rsidP="002D6DD7">
            <w:pPr>
              <w:jc w:val="both"/>
              <w:rPr>
                <w:rFonts w:eastAsia="Times New Roman" w:cs="Times New Roman"/>
                <w:szCs w:val="24"/>
                <w:vertAlign w:val="superscript"/>
              </w:rPr>
            </w:pPr>
            <w:r>
              <w:rPr>
                <w:rFonts w:eastAsia="Times New Roman" w:cs="Times New Roman"/>
                <w:szCs w:val="24"/>
              </w:rPr>
              <w:t>P</w:t>
            </w:r>
            <w:r w:rsidRPr="00944B15">
              <w:rPr>
                <w:rFonts w:eastAsia="Times New Roman" w:cs="Times New Roman"/>
                <w:szCs w:val="24"/>
              </w:rPr>
              <w:t>regnancy, renal insufficiency, diabetes,</w:t>
            </w:r>
            <w:r>
              <w:rPr>
                <w:rFonts w:eastAsia="Times New Roman" w:cs="Times New Roman"/>
                <w:szCs w:val="24"/>
              </w:rPr>
              <w:t xml:space="preserve"> g</w:t>
            </w:r>
            <w:r w:rsidRPr="00944B15">
              <w:rPr>
                <w:rFonts w:eastAsia="Times New Roman" w:cs="Times New Roman"/>
                <w:szCs w:val="24"/>
              </w:rPr>
              <w:t>lucose-6-phosphate dehydrogenase deficiency/defect</w:t>
            </w:r>
            <w:r>
              <w:rPr>
                <w:rFonts w:eastAsia="Times New Roman" w:cs="Times New Roman"/>
                <w:szCs w:val="24"/>
              </w:rPr>
              <w:t>.</w:t>
            </w:r>
            <w:r w:rsidRPr="00944B15">
              <w:rPr>
                <w:rFonts w:eastAsia="Times New Roman" w:cs="Times New Roman"/>
                <w:szCs w:val="24"/>
              </w:rPr>
              <w:t xml:space="preserve"> </w:t>
            </w:r>
          </w:p>
        </w:tc>
      </w:tr>
      <w:tr w:rsidR="00214907" w:rsidRPr="00944B15" w14:paraId="07D2754B" w14:textId="77777777" w:rsidTr="002D6DD7">
        <w:trPr>
          <w:jc w:val="center"/>
        </w:trPr>
        <w:tc>
          <w:tcPr>
            <w:tcW w:w="2605" w:type="dxa"/>
            <w:hideMark/>
          </w:tcPr>
          <w:p w14:paraId="1696682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23261A7A"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 xml:space="preserve">Store below 30°C. </w:t>
            </w:r>
          </w:p>
        </w:tc>
      </w:tr>
      <w:tr w:rsidR="00214907" w:rsidRPr="00944B15" w14:paraId="4FD1BB1D" w14:textId="77777777" w:rsidTr="002D6DD7">
        <w:trPr>
          <w:jc w:val="center"/>
        </w:trPr>
        <w:tc>
          <w:tcPr>
            <w:tcW w:w="9579" w:type="dxa"/>
            <w:gridSpan w:val="2"/>
          </w:tcPr>
          <w:p w14:paraId="2FEA6FDA" w14:textId="77777777" w:rsidR="00214907" w:rsidRPr="00944B15" w:rsidRDefault="00214907" w:rsidP="002D6DD7">
            <w:pPr>
              <w:jc w:val="both"/>
              <w:rPr>
                <w:rFonts w:eastAsia="Times New Roman" w:cs="Times New Roman"/>
                <w:b/>
                <w:szCs w:val="24"/>
              </w:rPr>
            </w:pPr>
            <w:r w:rsidRPr="00944B15">
              <w:rPr>
                <w:rFonts w:eastAsia="Times New Roman" w:cs="Times New Roman"/>
                <w:b/>
                <w:color w:val="000000"/>
                <w:szCs w:val="24"/>
              </w:rPr>
              <w:t>Calcitriol (Vitamin D3)</w:t>
            </w:r>
          </w:p>
        </w:tc>
      </w:tr>
      <w:tr w:rsidR="00214907" w:rsidRPr="00944B15" w14:paraId="58678D82" w14:textId="77777777" w:rsidTr="002D6DD7">
        <w:trPr>
          <w:jc w:val="center"/>
        </w:trPr>
        <w:tc>
          <w:tcPr>
            <w:tcW w:w="2605" w:type="dxa"/>
          </w:tcPr>
          <w:p w14:paraId="3C0414DD"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 xml:space="preserve">Pharmacologic class </w:t>
            </w:r>
          </w:p>
        </w:tc>
        <w:tc>
          <w:tcPr>
            <w:tcW w:w="6974" w:type="dxa"/>
          </w:tcPr>
          <w:p w14:paraId="03A1272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Vitamin</w:t>
            </w:r>
            <w:r>
              <w:rPr>
                <w:rFonts w:eastAsia="Times New Roman" w:cs="Times New Roman"/>
                <w:color w:val="000000"/>
                <w:szCs w:val="24"/>
              </w:rPr>
              <w:t xml:space="preserve"> D</w:t>
            </w:r>
          </w:p>
        </w:tc>
      </w:tr>
      <w:tr w:rsidR="00214907" w:rsidRPr="00944B15" w14:paraId="6FAEF0D3" w14:textId="77777777" w:rsidTr="002D6DD7">
        <w:trPr>
          <w:jc w:val="center"/>
        </w:trPr>
        <w:tc>
          <w:tcPr>
            <w:tcW w:w="2605" w:type="dxa"/>
          </w:tcPr>
          <w:p w14:paraId="17AC909E"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 xml:space="preserve">Dosage form </w:t>
            </w:r>
          </w:p>
        </w:tc>
        <w:tc>
          <w:tcPr>
            <w:tcW w:w="6974" w:type="dxa"/>
          </w:tcPr>
          <w:p w14:paraId="5234AF73"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Capsule:</w:t>
            </w:r>
            <w:r w:rsidRPr="00944B15">
              <w:rPr>
                <w:rFonts w:eastAsia="Times New Roman" w:cs="Times New Roman"/>
                <w:color w:val="000000"/>
                <w:szCs w:val="24"/>
              </w:rPr>
              <w:t xml:space="preserve"> 250 m</w:t>
            </w:r>
            <w:r>
              <w:rPr>
                <w:rFonts w:eastAsia="Times New Roman" w:cs="Times New Roman"/>
                <w:color w:val="000000"/>
                <w:szCs w:val="24"/>
              </w:rPr>
              <w:t>cg</w:t>
            </w:r>
          </w:p>
          <w:p w14:paraId="4A3BB581"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 xml:space="preserve"> Injection: 1 microgram/ml</w:t>
            </w:r>
          </w:p>
        </w:tc>
      </w:tr>
      <w:tr w:rsidR="00214907" w:rsidRPr="00944B15" w14:paraId="62B41D07" w14:textId="77777777" w:rsidTr="002D6DD7">
        <w:trPr>
          <w:jc w:val="center"/>
        </w:trPr>
        <w:tc>
          <w:tcPr>
            <w:tcW w:w="2605" w:type="dxa"/>
          </w:tcPr>
          <w:p w14:paraId="2559BC20"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7E92D9A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Hypocalcaemia due to hypoparathyroidism (postsurgical or idiopathic), pseudo hypoparathyroidism</w:t>
            </w:r>
            <w:r>
              <w:rPr>
                <w:rFonts w:eastAsia="Times New Roman" w:cs="Times New Roman"/>
                <w:color w:val="000000"/>
                <w:szCs w:val="24"/>
              </w:rPr>
              <w:t>, h</w:t>
            </w:r>
            <w:r w:rsidRPr="00944B15">
              <w:rPr>
                <w:rFonts w:eastAsia="Times New Roman" w:cs="Times New Roman"/>
                <w:color w:val="000000"/>
                <w:szCs w:val="24"/>
              </w:rPr>
              <w:t>ypocalcaemia in patients undergoing chronic renal dialysis</w:t>
            </w:r>
            <w:r>
              <w:rPr>
                <w:rFonts w:eastAsia="Times New Roman" w:cs="Times New Roman"/>
                <w:color w:val="000000"/>
                <w:szCs w:val="24"/>
              </w:rPr>
              <w:t>.</w:t>
            </w:r>
          </w:p>
        </w:tc>
      </w:tr>
      <w:tr w:rsidR="00214907" w:rsidRPr="00944B15" w14:paraId="6E2A3A98" w14:textId="77777777" w:rsidTr="002D6DD7">
        <w:trPr>
          <w:jc w:val="center"/>
        </w:trPr>
        <w:tc>
          <w:tcPr>
            <w:tcW w:w="2605" w:type="dxa"/>
          </w:tcPr>
          <w:p w14:paraId="32CA7514"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1BFA4A72" w14:textId="77777777" w:rsidR="00214907" w:rsidRPr="00944B15" w:rsidRDefault="00214907" w:rsidP="002D6DD7">
            <w:pPr>
              <w:tabs>
                <w:tab w:val="center" w:pos="3379"/>
              </w:tabs>
              <w:jc w:val="both"/>
              <w:rPr>
                <w:rFonts w:eastAsia="Times New Roman" w:cs="Times New Roman"/>
                <w:b/>
                <w:color w:val="000000"/>
                <w:szCs w:val="24"/>
              </w:rPr>
            </w:pPr>
            <w:r w:rsidRPr="00944B15">
              <w:rPr>
                <w:rFonts w:eastAsia="Times New Roman" w:cs="Times New Roman"/>
                <w:b/>
                <w:color w:val="000000"/>
                <w:szCs w:val="24"/>
              </w:rPr>
              <w:t>Adult</w:t>
            </w:r>
            <w:r w:rsidR="004139DA">
              <w:rPr>
                <w:rFonts w:eastAsia="Times New Roman" w:cs="Times New Roman"/>
                <w:b/>
                <w:color w:val="000000"/>
                <w:szCs w:val="24"/>
              </w:rPr>
              <w:t>:</w:t>
            </w:r>
            <w:r>
              <w:rPr>
                <w:rFonts w:eastAsia="Times New Roman" w:cs="Times New Roman"/>
                <w:b/>
                <w:color w:val="000000"/>
                <w:szCs w:val="24"/>
              </w:rPr>
              <w:tab/>
            </w:r>
          </w:p>
          <w:p w14:paraId="6C06CA82"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Hypocalcaemia,</w:t>
            </w:r>
            <w:r w:rsidR="004139DA">
              <w:rPr>
                <w:rFonts w:eastAsia="Times New Roman" w:cs="Times New Roman"/>
                <w:b/>
                <w:color w:val="000000"/>
                <w:szCs w:val="24"/>
              </w:rPr>
              <w:t xml:space="preserve"> </w:t>
            </w:r>
            <w:r w:rsidR="004139DA" w:rsidRPr="00944B15">
              <w:rPr>
                <w:rFonts w:eastAsia="Times New Roman" w:cs="Times New Roman"/>
                <w:b/>
                <w:color w:val="000000"/>
                <w:szCs w:val="24"/>
              </w:rPr>
              <w:t>hypoparathyroidism,</w:t>
            </w:r>
            <w:r w:rsidR="004139DA">
              <w:rPr>
                <w:rFonts w:eastAsia="Times New Roman" w:cs="Times New Roman"/>
                <w:b/>
                <w:color w:val="000000"/>
                <w:szCs w:val="24"/>
              </w:rPr>
              <w:t xml:space="preserve">  </w:t>
            </w:r>
            <w:r w:rsidRPr="00944B15">
              <w:rPr>
                <w:rFonts w:eastAsia="Times New Roman" w:cs="Times New Roman"/>
                <w:b/>
                <w:color w:val="000000"/>
                <w:szCs w:val="24"/>
              </w:rPr>
              <w:t>pseudohypoparathyroidism,</w:t>
            </w:r>
            <w:r>
              <w:rPr>
                <w:rFonts w:eastAsia="Times New Roman" w:cs="Times New Roman"/>
                <w:b/>
                <w:color w:val="000000"/>
                <w:szCs w:val="24"/>
              </w:rPr>
              <w:t xml:space="preserve"> postsurgical or idiopathic</w:t>
            </w:r>
            <w:r w:rsidR="004139DA">
              <w:rPr>
                <w:rFonts w:eastAsia="Times New Roman" w:cs="Times New Roman"/>
                <w:b/>
                <w:color w:val="000000"/>
                <w:szCs w:val="24"/>
              </w:rPr>
              <w:t>,</w:t>
            </w:r>
            <w:r>
              <w:rPr>
                <w:rFonts w:eastAsia="Times New Roman" w:cs="Times New Roman"/>
                <w:b/>
                <w:color w:val="000000"/>
                <w:szCs w:val="24"/>
              </w:rPr>
              <w:t xml:space="preserve"> </w:t>
            </w:r>
            <w:r w:rsidRPr="00B8571F">
              <w:rPr>
                <w:rFonts w:eastAsia="Times New Roman" w:cs="Times New Roman"/>
                <w:color w:val="000000"/>
                <w:szCs w:val="24"/>
              </w:rPr>
              <w:t>oral</w:t>
            </w:r>
            <w:r w:rsidR="004139DA">
              <w:rPr>
                <w:rFonts w:eastAsia="Times New Roman" w:cs="Times New Roman"/>
                <w:color w:val="000000"/>
                <w:szCs w:val="24"/>
              </w:rPr>
              <w:t>:</w:t>
            </w:r>
          </w:p>
          <w:p w14:paraId="5B93C7E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Initial, 0.25 m</w:t>
            </w:r>
            <w:r>
              <w:rPr>
                <w:rFonts w:eastAsia="Times New Roman" w:cs="Times New Roman"/>
                <w:color w:val="000000"/>
                <w:szCs w:val="24"/>
              </w:rPr>
              <w:t>cg</w:t>
            </w:r>
            <w:r w:rsidRPr="00944B15">
              <w:rPr>
                <w:rFonts w:eastAsia="Times New Roman" w:cs="Times New Roman"/>
                <w:color w:val="000000"/>
                <w:szCs w:val="24"/>
              </w:rPr>
              <w:t>/day in the morning, dose may be increased at 2- to 4-wk intervals, usual dose range, 0.5 to 2 m</w:t>
            </w:r>
            <w:r>
              <w:rPr>
                <w:rFonts w:eastAsia="Times New Roman" w:cs="Times New Roman"/>
                <w:color w:val="000000"/>
                <w:szCs w:val="24"/>
              </w:rPr>
              <w:t xml:space="preserve">cg </w:t>
            </w:r>
            <w:r w:rsidRPr="00944B15">
              <w:rPr>
                <w:rFonts w:eastAsia="Times New Roman" w:cs="Times New Roman"/>
                <w:color w:val="000000"/>
                <w:szCs w:val="24"/>
              </w:rPr>
              <w:t>once daily.</w:t>
            </w:r>
          </w:p>
          <w:p w14:paraId="4F699BC0"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Hypocalca</w:t>
            </w:r>
            <w:r>
              <w:rPr>
                <w:rFonts w:eastAsia="Times New Roman" w:cs="Times New Roman"/>
                <w:b/>
                <w:color w:val="000000"/>
                <w:szCs w:val="24"/>
              </w:rPr>
              <w:t>emia – renal dialysis (chronic)</w:t>
            </w:r>
            <w:r w:rsidR="00601A4D">
              <w:rPr>
                <w:rFonts w:eastAsia="Times New Roman" w:cs="Times New Roman"/>
                <w:b/>
                <w:color w:val="000000"/>
                <w:szCs w:val="24"/>
              </w:rPr>
              <w:t>,</w:t>
            </w:r>
            <w:r w:rsidRPr="00944B15">
              <w:rPr>
                <w:rFonts w:eastAsia="Times New Roman" w:cs="Times New Roman"/>
                <w:b/>
                <w:color w:val="000000"/>
                <w:szCs w:val="24"/>
              </w:rPr>
              <w:t xml:space="preserve"> </w:t>
            </w:r>
            <w:r w:rsidRPr="00B8571F">
              <w:rPr>
                <w:rFonts w:eastAsia="Times New Roman" w:cs="Times New Roman"/>
                <w:color w:val="000000"/>
                <w:szCs w:val="24"/>
              </w:rPr>
              <w:t>oral</w:t>
            </w:r>
            <w:r w:rsidR="00601A4D">
              <w:rPr>
                <w:rFonts w:eastAsia="Times New Roman" w:cs="Times New Roman"/>
                <w:color w:val="000000"/>
                <w:szCs w:val="24"/>
              </w:rPr>
              <w:t>:</w:t>
            </w:r>
          </w:p>
          <w:p w14:paraId="2188E79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Initial, 0.25 </w:t>
            </w:r>
            <w:r>
              <w:rPr>
                <w:rFonts w:eastAsia="Times New Roman" w:cs="Times New Roman"/>
                <w:color w:val="000000"/>
                <w:szCs w:val="24"/>
              </w:rPr>
              <w:t>mcg</w:t>
            </w:r>
            <w:r w:rsidRPr="00944B15">
              <w:rPr>
                <w:rFonts w:eastAsia="Times New Roman" w:cs="Times New Roman"/>
                <w:color w:val="000000"/>
                <w:szCs w:val="24"/>
              </w:rPr>
              <w:t xml:space="preserve"> daily or every other day (may require 0.5 to 1 </w:t>
            </w:r>
            <w:r>
              <w:rPr>
                <w:rFonts w:eastAsia="Times New Roman" w:cs="Times New Roman"/>
                <w:color w:val="000000"/>
                <w:szCs w:val="24"/>
              </w:rPr>
              <w:t>mcg</w:t>
            </w:r>
            <w:r w:rsidRPr="00944B15">
              <w:rPr>
                <w:rFonts w:eastAsia="Times New Roman" w:cs="Times New Roman"/>
                <w:color w:val="000000"/>
                <w:szCs w:val="24"/>
              </w:rPr>
              <w:t xml:space="preserve"> /day); increases of 0.25 </w:t>
            </w:r>
            <w:r>
              <w:rPr>
                <w:rFonts w:eastAsia="Times New Roman" w:cs="Times New Roman"/>
                <w:color w:val="000000"/>
                <w:szCs w:val="24"/>
              </w:rPr>
              <w:t>mcg</w:t>
            </w:r>
            <w:r w:rsidRPr="00944B15">
              <w:rPr>
                <w:rFonts w:eastAsia="Times New Roman" w:cs="Times New Roman"/>
                <w:color w:val="000000"/>
                <w:szCs w:val="24"/>
              </w:rPr>
              <w:t xml:space="preserve"> /day may be made at 4 to 8 wk. intervals.</w:t>
            </w:r>
          </w:p>
          <w:p w14:paraId="1C2A948F" w14:textId="77777777" w:rsidR="00214907" w:rsidRDefault="00214907" w:rsidP="002D6DD7">
            <w:pPr>
              <w:jc w:val="both"/>
              <w:rPr>
                <w:rFonts w:eastAsia="Times New Roman" w:cs="Times New Roman"/>
                <w:color w:val="000000"/>
                <w:szCs w:val="24"/>
              </w:rPr>
            </w:pPr>
            <w:r w:rsidRPr="00944B15">
              <w:rPr>
                <w:rFonts w:eastAsia="Times New Roman" w:cs="Times New Roman"/>
                <w:b/>
                <w:color w:val="000000"/>
                <w:szCs w:val="24"/>
              </w:rPr>
              <w:lastRenderedPageBreak/>
              <w:t>Hypocalcaemia – renal dial</w:t>
            </w:r>
            <w:r>
              <w:rPr>
                <w:rFonts w:eastAsia="Times New Roman" w:cs="Times New Roman"/>
                <w:b/>
                <w:color w:val="000000"/>
                <w:szCs w:val="24"/>
              </w:rPr>
              <w:t>ysis (chronic)</w:t>
            </w:r>
            <w:r w:rsidR="00601A4D">
              <w:rPr>
                <w:rFonts w:eastAsia="Times New Roman" w:cs="Times New Roman"/>
                <w:b/>
                <w:color w:val="000000"/>
                <w:szCs w:val="24"/>
              </w:rPr>
              <w:t xml:space="preserve">, </w:t>
            </w:r>
            <w:r w:rsidRPr="00B8571F">
              <w:rPr>
                <w:rFonts w:eastAsia="Times New Roman" w:cs="Times New Roman"/>
                <w:color w:val="000000"/>
                <w:szCs w:val="24"/>
              </w:rPr>
              <w:t>IV</w:t>
            </w:r>
            <w:r w:rsidR="00601A4D">
              <w:rPr>
                <w:rFonts w:eastAsia="Times New Roman" w:cs="Times New Roman"/>
                <w:color w:val="000000"/>
                <w:szCs w:val="24"/>
              </w:rPr>
              <w:t>:</w:t>
            </w:r>
          </w:p>
          <w:p w14:paraId="2891E49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1 to 2 </w:t>
            </w:r>
            <w:r>
              <w:rPr>
                <w:rFonts w:eastAsia="Times New Roman" w:cs="Times New Roman"/>
                <w:color w:val="000000"/>
                <w:szCs w:val="24"/>
              </w:rPr>
              <w:t>mcg</w:t>
            </w:r>
            <w:r w:rsidRPr="00944B15">
              <w:rPr>
                <w:rFonts w:eastAsia="Times New Roman" w:cs="Times New Roman"/>
                <w:color w:val="000000"/>
                <w:szCs w:val="24"/>
              </w:rPr>
              <w:t xml:space="preserve"> /day 3 times/wk. on approximately every other day (may require 0.5 to 4 </w:t>
            </w:r>
            <w:r>
              <w:rPr>
                <w:rFonts w:eastAsia="Times New Roman" w:cs="Times New Roman"/>
                <w:color w:val="000000"/>
                <w:szCs w:val="24"/>
              </w:rPr>
              <w:t>mcg</w:t>
            </w:r>
            <w:r w:rsidRPr="00944B15">
              <w:rPr>
                <w:rFonts w:eastAsia="Times New Roman" w:cs="Times New Roman"/>
                <w:color w:val="000000"/>
                <w:szCs w:val="24"/>
              </w:rPr>
              <w:t xml:space="preserve"> /day 3 times/wk.), may increase by 0.5 to 1 </w:t>
            </w:r>
            <w:r>
              <w:rPr>
                <w:rFonts w:eastAsia="Times New Roman" w:cs="Times New Roman"/>
                <w:color w:val="000000"/>
                <w:szCs w:val="24"/>
              </w:rPr>
              <w:t>mcg</w:t>
            </w:r>
            <w:r w:rsidRPr="00944B15">
              <w:rPr>
                <w:rFonts w:eastAsia="Times New Roman" w:cs="Times New Roman"/>
                <w:color w:val="000000"/>
                <w:szCs w:val="24"/>
              </w:rPr>
              <w:t xml:space="preserve"> /dose at 2 to 4 wk. intervals to optimal response.</w:t>
            </w:r>
          </w:p>
          <w:p w14:paraId="7FFBB9B0"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Pediatric:</w:t>
            </w:r>
          </w:p>
          <w:p w14:paraId="770F9BA8" w14:textId="77777777" w:rsidR="00214907" w:rsidRDefault="00214907" w:rsidP="002D6DD7">
            <w:pPr>
              <w:jc w:val="both"/>
              <w:rPr>
                <w:rFonts w:eastAsia="Times New Roman" w:cs="Times New Roman"/>
                <w:b/>
                <w:color w:val="000000"/>
                <w:szCs w:val="24"/>
              </w:rPr>
            </w:pPr>
            <w:r w:rsidRPr="00944B15">
              <w:rPr>
                <w:rFonts w:eastAsia="Times New Roman" w:cs="Times New Roman"/>
                <w:b/>
                <w:color w:val="000000"/>
                <w:szCs w:val="24"/>
              </w:rPr>
              <w:t>Hypocalcaemia - hypoparathyroidism, p</w:t>
            </w:r>
            <w:r>
              <w:rPr>
                <w:rFonts w:eastAsia="Times New Roman" w:cs="Times New Roman"/>
                <w:b/>
                <w:color w:val="000000"/>
                <w:szCs w:val="24"/>
              </w:rPr>
              <w:t xml:space="preserve">ostsurgical or idiopathic: </w:t>
            </w:r>
            <w:r w:rsidRPr="00B8571F">
              <w:rPr>
                <w:rFonts w:eastAsia="Times New Roman" w:cs="Times New Roman"/>
                <w:color w:val="000000"/>
                <w:szCs w:val="24"/>
              </w:rPr>
              <w:t>oral</w:t>
            </w:r>
          </w:p>
          <w:p w14:paraId="2CD36CA6" w14:textId="77777777" w:rsidR="00214907" w:rsidRPr="009C4BE7" w:rsidRDefault="00214907" w:rsidP="002D6DD7">
            <w:pPr>
              <w:jc w:val="both"/>
              <w:rPr>
                <w:rFonts w:eastAsia="Times New Roman" w:cs="Times New Roman"/>
                <w:b/>
                <w:color w:val="000000"/>
                <w:szCs w:val="24"/>
              </w:rPr>
            </w:pPr>
            <w:r w:rsidRPr="00944B15">
              <w:rPr>
                <w:rFonts w:eastAsia="Times New Roman" w:cs="Times New Roman"/>
                <w:b/>
                <w:color w:val="000000"/>
                <w:szCs w:val="24"/>
              </w:rPr>
              <w:t>Child 1 to 5 years</w:t>
            </w:r>
            <w:r w:rsidRPr="00944B15">
              <w:rPr>
                <w:rFonts w:eastAsia="Times New Roman" w:cs="Times New Roman"/>
                <w:color w:val="000000"/>
                <w:szCs w:val="24"/>
              </w:rPr>
              <w:t xml:space="preserve">: 0.25 </w:t>
            </w:r>
            <w:r>
              <w:rPr>
                <w:rFonts w:eastAsia="Times New Roman" w:cs="Times New Roman"/>
                <w:color w:val="000000"/>
                <w:szCs w:val="24"/>
              </w:rPr>
              <w:t>mcg</w:t>
            </w:r>
            <w:r w:rsidRPr="00944B15">
              <w:rPr>
                <w:rFonts w:eastAsia="Times New Roman" w:cs="Times New Roman"/>
                <w:color w:val="000000"/>
                <w:szCs w:val="24"/>
              </w:rPr>
              <w:t xml:space="preserve"> /day orally in the morning, dose may be increased at 2- to 4-wk intervals, usual dose range, 0.25 to 0.75 </w:t>
            </w:r>
            <w:r>
              <w:rPr>
                <w:rFonts w:eastAsia="Times New Roman" w:cs="Times New Roman"/>
                <w:color w:val="000000"/>
                <w:szCs w:val="24"/>
              </w:rPr>
              <w:t>mcg</w:t>
            </w:r>
            <w:r w:rsidRPr="00944B15">
              <w:rPr>
                <w:rFonts w:eastAsia="Times New Roman" w:cs="Times New Roman"/>
                <w:color w:val="000000"/>
                <w:szCs w:val="24"/>
              </w:rPr>
              <w:t xml:space="preserve"> orally once daily.</w:t>
            </w:r>
          </w:p>
          <w:p w14:paraId="45FBF67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6 years of age and older</w:t>
            </w:r>
            <w:r w:rsidRPr="00944B15">
              <w:rPr>
                <w:rFonts w:eastAsia="Times New Roman" w:cs="Times New Roman"/>
                <w:color w:val="000000"/>
                <w:szCs w:val="24"/>
              </w:rPr>
              <w:t xml:space="preserve">: initial, 0.25 </w:t>
            </w:r>
            <w:r>
              <w:rPr>
                <w:rFonts w:eastAsia="Times New Roman" w:cs="Times New Roman"/>
                <w:color w:val="000000"/>
                <w:szCs w:val="24"/>
              </w:rPr>
              <w:t>mcg</w:t>
            </w:r>
            <w:r w:rsidRPr="00944B15">
              <w:rPr>
                <w:rFonts w:eastAsia="Times New Roman" w:cs="Times New Roman"/>
                <w:color w:val="000000"/>
                <w:szCs w:val="24"/>
              </w:rPr>
              <w:t xml:space="preserve"> /day orally in morning, dose may be increased at 2- to 4-wk intervals, usual dose range, 0.5 to 2 </w:t>
            </w:r>
            <w:r>
              <w:rPr>
                <w:rFonts w:eastAsia="Times New Roman" w:cs="Times New Roman"/>
                <w:color w:val="000000"/>
                <w:szCs w:val="24"/>
              </w:rPr>
              <w:t>mcg</w:t>
            </w:r>
            <w:r w:rsidRPr="00944B15">
              <w:rPr>
                <w:rFonts w:eastAsia="Times New Roman" w:cs="Times New Roman"/>
                <w:color w:val="000000"/>
                <w:szCs w:val="24"/>
              </w:rPr>
              <w:t xml:space="preserve"> orally once daily.</w:t>
            </w:r>
          </w:p>
        </w:tc>
      </w:tr>
      <w:tr w:rsidR="00214907" w:rsidRPr="00944B15" w14:paraId="0CB76341" w14:textId="77777777" w:rsidTr="002D6DD7">
        <w:trPr>
          <w:jc w:val="center"/>
        </w:trPr>
        <w:tc>
          <w:tcPr>
            <w:tcW w:w="2605" w:type="dxa"/>
          </w:tcPr>
          <w:p w14:paraId="6516C87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974" w:type="dxa"/>
          </w:tcPr>
          <w:p w14:paraId="36163336" w14:textId="77777777" w:rsidR="00214907" w:rsidRPr="00944B15" w:rsidRDefault="00214907" w:rsidP="002D6DD7">
            <w:pPr>
              <w:jc w:val="both"/>
              <w:rPr>
                <w:rFonts w:eastAsia="Times New Roman" w:cs="Times New Roman"/>
                <w:bCs/>
                <w:color w:val="000000" w:themeColor="text1"/>
                <w:szCs w:val="24"/>
              </w:rPr>
            </w:pPr>
            <w:r>
              <w:rPr>
                <w:rFonts w:eastAsia="Times New Roman" w:cs="Times New Roman"/>
                <w:bCs/>
                <w:color w:val="000000" w:themeColor="text1"/>
                <w:szCs w:val="24"/>
              </w:rPr>
              <w:t>H</w:t>
            </w:r>
            <w:r w:rsidRPr="00944B15">
              <w:rPr>
                <w:rFonts w:eastAsia="Times New Roman" w:cs="Times New Roman"/>
                <w:bCs/>
                <w:color w:val="000000" w:themeColor="text1"/>
                <w:szCs w:val="24"/>
              </w:rPr>
              <w:t xml:space="preserve">ypersensitivity to </w:t>
            </w:r>
            <w:r>
              <w:rPr>
                <w:rFonts w:eastAsia="Times New Roman" w:cs="Times New Roman"/>
                <w:bCs/>
                <w:color w:val="000000" w:themeColor="text1"/>
                <w:szCs w:val="24"/>
              </w:rPr>
              <w:t>the drug and to other vitamin D,</w:t>
            </w:r>
            <w:r w:rsidRPr="00944B15">
              <w:rPr>
                <w:rFonts w:eastAsia="Times New Roman" w:cs="Times New Roman"/>
                <w:bCs/>
                <w:color w:val="000000" w:themeColor="text1"/>
                <w:szCs w:val="24"/>
              </w:rPr>
              <w:t xml:space="preserve"> </w:t>
            </w:r>
            <w:r>
              <w:rPr>
                <w:rFonts w:eastAsia="Times New Roman" w:cs="Times New Roman"/>
                <w:bCs/>
                <w:color w:val="000000" w:themeColor="text1"/>
                <w:szCs w:val="24"/>
              </w:rPr>
              <w:t>p</w:t>
            </w:r>
            <w:r w:rsidRPr="00944B15">
              <w:rPr>
                <w:rFonts w:eastAsia="Times New Roman" w:cs="Times New Roman"/>
                <w:bCs/>
                <w:color w:val="000000" w:themeColor="text1"/>
                <w:szCs w:val="24"/>
              </w:rPr>
              <w:t xml:space="preserve">re-existing hypercalcemia, </w:t>
            </w:r>
          </w:p>
        </w:tc>
      </w:tr>
      <w:tr w:rsidR="00214907" w:rsidRPr="00944B15" w14:paraId="0AF054A8" w14:textId="77777777" w:rsidTr="002D6DD7">
        <w:trPr>
          <w:jc w:val="center"/>
        </w:trPr>
        <w:tc>
          <w:tcPr>
            <w:tcW w:w="2605" w:type="dxa"/>
          </w:tcPr>
          <w:p w14:paraId="726776C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064472AF" w14:textId="77777777" w:rsidR="00214907" w:rsidRPr="00944B15" w:rsidRDefault="00214907" w:rsidP="002D6DD7">
            <w:pPr>
              <w:jc w:val="both"/>
              <w:rPr>
                <w:rFonts w:eastAsia="Times New Roman" w:cs="Times New Roman"/>
                <w:bCs/>
                <w:color w:val="000000" w:themeColor="text1"/>
                <w:szCs w:val="24"/>
              </w:rPr>
            </w:pPr>
            <w:r w:rsidRPr="00944B15">
              <w:rPr>
                <w:rFonts w:eastAsia="Times New Roman" w:cs="Times New Roman"/>
                <w:bCs/>
                <w:color w:val="000000" w:themeColor="text1"/>
                <w:szCs w:val="24"/>
              </w:rPr>
              <w:t xml:space="preserve">Thiazide diuretics, digoxin, phenytoin, corticosteroids calcium supplements, antacids, cholestyramine </w:t>
            </w:r>
            <w:r>
              <w:rPr>
                <w:rFonts w:eastAsia="Times New Roman" w:cs="Times New Roman"/>
                <w:bCs/>
                <w:color w:val="000000" w:themeColor="text1"/>
                <w:szCs w:val="24"/>
              </w:rPr>
              <w:t>and magnesium containing products.</w:t>
            </w:r>
          </w:p>
        </w:tc>
      </w:tr>
      <w:tr w:rsidR="00214907" w:rsidRPr="00944B15" w14:paraId="430E105E" w14:textId="77777777" w:rsidTr="002D6DD7">
        <w:trPr>
          <w:jc w:val="center"/>
        </w:trPr>
        <w:tc>
          <w:tcPr>
            <w:tcW w:w="2605" w:type="dxa"/>
          </w:tcPr>
          <w:p w14:paraId="40EC638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47B34294" w14:textId="77777777" w:rsidR="00214907" w:rsidRPr="00944B15" w:rsidRDefault="00214907" w:rsidP="002D6DD7">
            <w:pPr>
              <w:jc w:val="both"/>
              <w:rPr>
                <w:rFonts w:eastAsia="Times New Roman" w:cs="Times New Roman"/>
                <w:bCs/>
                <w:color w:val="000000" w:themeColor="text1"/>
                <w:szCs w:val="24"/>
              </w:rPr>
            </w:pPr>
            <w:r w:rsidRPr="00944B15">
              <w:rPr>
                <w:rFonts w:eastAsia="Times New Roman" w:cs="Times New Roman"/>
                <w:bCs/>
                <w:color w:val="000000" w:themeColor="text1"/>
                <w:szCs w:val="24"/>
              </w:rPr>
              <w:t>Uppe</w:t>
            </w:r>
            <w:r>
              <w:rPr>
                <w:rFonts w:eastAsia="Times New Roman" w:cs="Times New Roman"/>
                <w:bCs/>
                <w:color w:val="000000" w:themeColor="text1"/>
                <w:szCs w:val="24"/>
              </w:rPr>
              <w:t>r abdominal pain</w:t>
            </w:r>
            <w:r w:rsidRPr="00944B15">
              <w:rPr>
                <w:rFonts w:eastAsia="Times New Roman" w:cs="Times New Roman"/>
                <w:bCs/>
                <w:color w:val="000000" w:themeColor="text1"/>
                <w:szCs w:val="24"/>
              </w:rPr>
              <w:t xml:space="preserve">, apathy, dehydration, drowsiness, fever, growth </w:t>
            </w:r>
            <w:r>
              <w:rPr>
                <w:rFonts w:eastAsia="Times New Roman" w:cs="Times New Roman"/>
                <w:bCs/>
                <w:color w:val="000000" w:themeColor="text1"/>
                <w:szCs w:val="24"/>
              </w:rPr>
              <w:t>retardation mu</w:t>
            </w:r>
            <w:r w:rsidRPr="00944B15">
              <w:rPr>
                <w:rFonts w:eastAsia="Times New Roman" w:cs="Times New Roman"/>
                <w:bCs/>
                <w:color w:val="000000" w:themeColor="text1"/>
                <w:szCs w:val="24"/>
              </w:rPr>
              <w:t>scle weakness, paralytic ileus, pol</w:t>
            </w:r>
            <w:r>
              <w:rPr>
                <w:rFonts w:eastAsia="Times New Roman" w:cs="Times New Roman"/>
                <w:bCs/>
                <w:color w:val="000000" w:themeColor="text1"/>
                <w:szCs w:val="24"/>
              </w:rPr>
              <w:t xml:space="preserve">ydipsia, psychiatric disorder, </w:t>
            </w:r>
            <w:r w:rsidRPr="00944B15">
              <w:rPr>
                <w:rFonts w:eastAsia="Times New Roman" w:cs="Times New Roman"/>
                <w:bCs/>
                <w:color w:val="000000" w:themeColor="text1"/>
                <w:szCs w:val="24"/>
              </w:rPr>
              <w:t xml:space="preserve">sensory disorder, thirst </w:t>
            </w:r>
            <w:r>
              <w:rPr>
                <w:rFonts w:eastAsia="Times New Roman" w:cs="Times New Roman"/>
                <w:bCs/>
                <w:color w:val="000000" w:themeColor="text1"/>
                <w:szCs w:val="24"/>
              </w:rPr>
              <w:t>and</w:t>
            </w:r>
            <w:r w:rsidRPr="00944B15">
              <w:rPr>
                <w:rFonts w:eastAsia="Times New Roman" w:cs="Times New Roman"/>
                <w:bCs/>
                <w:color w:val="000000" w:themeColor="text1"/>
                <w:szCs w:val="24"/>
              </w:rPr>
              <w:t xml:space="preserve"> urinary disorders</w:t>
            </w:r>
            <w:r>
              <w:rPr>
                <w:rFonts w:eastAsia="Times New Roman" w:cs="Times New Roman"/>
                <w:bCs/>
                <w:color w:val="000000" w:themeColor="text1"/>
                <w:szCs w:val="24"/>
              </w:rPr>
              <w:t>.</w:t>
            </w:r>
          </w:p>
        </w:tc>
      </w:tr>
      <w:tr w:rsidR="00214907" w:rsidRPr="00944B15" w14:paraId="372F1393" w14:textId="77777777" w:rsidTr="002D6DD7">
        <w:trPr>
          <w:jc w:val="center"/>
        </w:trPr>
        <w:tc>
          <w:tcPr>
            <w:tcW w:w="2605" w:type="dxa"/>
          </w:tcPr>
          <w:p w14:paraId="0D96AF8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68D7BB08" w14:textId="77777777" w:rsidR="00214907" w:rsidRPr="00944B15" w:rsidRDefault="00214907" w:rsidP="002D6DD7">
            <w:pPr>
              <w:jc w:val="both"/>
              <w:rPr>
                <w:rFonts w:eastAsia="Times New Roman" w:cs="Times New Roman"/>
                <w:bCs/>
                <w:color w:val="000000" w:themeColor="text1"/>
                <w:szCs w:val="24"/>
              </w:rPr>
            </w:pPr>
            <w:r>
              <w:rPr>
                <w:rFonts w:eastAsia="Times New Roman" w:cs="Times New Roman"/>
                <w:bCs/>
                <w:color w:val="000000" w:themeColor="text1"/>
                <w:szCs w:val="24"/>
              </w:rPr>
              <w:t>H</w:t>
            </w:r>
            <w:r w:rsidRPr="00944B15">
              <w:rPr>
                <w:rFonts w:eastAsia="Times New Roman" w:cs="Times New Roman"/>
                <w:bCs/>
                <w:color w:val="000000" w:themeColor="text1"/>
                <w:szCs w:val="24"/>
              </w:rPr>
              <w:t>ypercalcemia, hypercalciuria, and hyperphosphatemia</w:t>
            </w:r>
            <w:r>
              <w:rPr>
                <w:rFonts w:eastAsia="Times New Roman" w:cs="Times New Roman"/>
                <w:bCs/>
                <w:color w:val="000000" w:themeColor="text1"/>
                <w:szCs w:val="24"/>
              </w:rPr>
              <w:t xml:space="preserve"> (e</w:t>
            </w:r>
            <w:r w:rsidRPr="00944B15">
              <w:rPr>
                <w:rFonts w:eastAsia="Times New Roman" w:cs="Times New Roman"/>
                <w:bCs/>
                <w:color w:val="000000" w:themeColor="text1"/>
                <w:szCs w:val="24"/>
              </w:rPr>
              <w:t>xcessive dosage</w:t>
            </w:r>
            <w:r>
              <w:rPr>
                <w:rFonts w:eastAsia="Times New Roman" w:cs="Times New Roman"/>
                <w:bCs/>
                <w:color w:val="000000" w:themeColor="text1"/>
                <w:szCs w:val="24"/>
              </w:rPr>
              <w:t>)</w:t>
            </w:r>
            <w:r w:rsidRPr="00944B15">
              <w:rPr>
                <w:rFonts w:eastAsia="Times New Roman" w:cs="Times New Roman"/>
                <w:bCs/>
                <w:color w:val="000000" w:themeColor="text1"/>
                <w:szCs w:val="24"/>
              </w:rPr>
              <w:t>, patients receiving calcium supplements or high doses of vitamin D.</w:t>
            </w:r>
            <w:r w:rsidRPr="00944B15">
              <w:rPr>
                <w:rFonts w:cs="Times New Roman"/>
                <w:szCs w:val="24"/>
              </w:rPr>
              <w:t xml:space="preserve"> </w:t>
            </w:r>
          </w:p>
        </w:tc>
      </w:tr>
      <w:tr w:rsidR="00214907" w:rsidRPr="00944B15" w14:paraId="29FDFED0" w14:textId="77777777" w:rsidTr="002D6DD7">
        <w:trPr>
          <w:jc w:val="center"/>
        </w:trPr>
        <w:tc>
          <w:tcPr>
            <w:tcW w:w="2605" w:type="dxa"/>
          </w:tcPr>
          <w:p w14:paraId="240EB6E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638CC211" w14:textId="77777777" w:rsidR="00214907" w:rsidRPr="00944B15" w:rsidRDefault="00214907" w:rsidP="002D6DD7">
            <w:pPr>
              <w:jc w:val="both"/>
              <w:rPr>
                <w:rFonts w:eastAsia="Times New Roman" w:cs="Times New Roman"/>
                <w:bCs/>
                <w:color w:val="000000" w:themeColor="text1"/>
                <w:szCs w:val="24"/>
              </w:rPr>
            </w:pPr>
            <w:r w:rsidRPr="00944B15">
              <w:rPr>
                <w:rFonts w:eastAsia="Times New Roman" w:cs="Times New Roman"/>
                <w:bCs/>
                <w:color w:val="000000" w:themeColor="text1"/>
                <w:szCs w:val="24"/>
              </w:rPr>
              <w:t xml:space="preserve">Store </w:t>
            </w:r>
            <w:r>
              <w:rPr>
                <w:rFonts w:eastAsia="Times New Roman" w:cs="Times New Roman"/>
                <w:bCs/>
                <w:color w:val="000000" w:themeColor="text1"/>
                <w:szCs w:val="24"/>
              </w:rPr>
              <w:t>below 30</w:t>
            </w:r>
            <w:r w:rsidRPr="00944B15">
              <w:rPr>
                <w:rFonts w:eastAsia="Times New Roman" w:cs="Times New Roman"/>
                <w:bCs/>
                <w:color w:val="000000" w:themeColor="text1"/>
                <w:szCs w:val="24"/>
              </w:rPr>
              <w:t xml:space="preserve"> </w:t>
            </w:r>
            <w:r w:rsidRPr="00944B15">
              <w:rPr>
                <w:rFonts w:eastAsia="Times New Roman" w:cs="Times New Roman"/>
                <w:bCs/>
                <w:color w:val="000000" w:themeColor="text1"/>
                <w:szCs w:val="24"/>
                <w:vertAlign w:val="superscript"/>
              </w:rPr>
              <w:t>0</w:t>
            </w:r>
            <w:r>
              <w:rPr>
                <w:rFonts w:eastAsia="Times New Roman" w:cs="Times New Roman"/>
                <w:bCs/>
                <w:color w:val="000000" w:themeColor="text1"/>
                <w:szCs w:val="24"/>
              </w:rPr>
              <w:t>C.</w:t>
            </w:r>
            <w:r w:rsidRPr="00944B15">
              <w:rPr>
                <w:rFonts w:eastAsia="Times New Roman" w:cs="Times New Roman"/>
                <w:bCs/>
                <w:color w:val="000000" w:themeColor="text1"/>
                <w:szCs w:val="24"/>
              </w:rPr>
              <w:t xml:space="preserve"> </w:t>
            </w:r>
          </w:p>
        </w:tc>
      </w:tr>
      <w:tr w:rsidR="00214907" w:rsidRPr="00944B15" w14:paraId="7E946513" w14:textId="77777777" w:rsidTr="002D6DD7">
        <w:trPr>
          <w:jc w:val="center"/>
        </w:trPr>
        <w:tc>
          <w:tcPr>
            <w:tcW w:w="9579" w:type="dxa"/>
            <w:gridSpan w:val="2"/>
          </w:tcPr>
          <w:p w14:paraId="102535FA" w14:textId="77777777" w:rsidR="00214907" w:rsidRPr="00944B15" w:rsidRDefault="00214907" w:rsidP="002D6DD7">
            <w:pPr>
              <w:jc w:val="both"/>
              <w:rPr>
                <w:rFonts w:eastAsia="Times New Roman" w:cs="Times New Roman"/>
                <w:b/>
                <w:bCs/>
                <w:color w:val="000000" w:themeColor="text1"/>
                <w:szCs w:val="24"/>
              </w:rPr>
            </w:pPr>
            <w:r w:rsidRPr="00944B15">
              <w:rPr>
                <w:rFonts w:eastAsia="Times New Roman" w:cs="Times New Roman"/>
                <w:b/>
                <w:color w:val="000000"/>
                <w:szCs w:val="24"/>
              </w:rPr>
              <w:t>Cholecalciferol (Vitamin D3)</w:t>
            </w:r>
          </w:p>
        </w:tc>
      </w:tr>
      <w:tr w:rsidR="00214907" w:rsidRPr="00944B15" w14:paraId="30CF9320" w14:textId="77777777" w:rsidTr="002D6DD7">
        <w:trPr>
          <w:trHeight w:val="575"/>
          <w:jc w:val="center"/>
        </w:trPr>
        <w:tc>
          <w:tcPr>
            <w:tcW w:w="2605" w:type="dxa"/>
            <w:hideMark/>
          </w:tcPr>
          <w:p w14:paraId="1DF67F0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147392B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Vitamins</w:t>
            </w:r>
            <w:r>
              <w:rPr>
                <w:rFonts w:eastAsia="Times New Roman" w:cs="Times New Roman"/>
                <w:color w:val="000000"/>
                <w:szCs w:val="24"/>
              </w:rPr>
              <w:t xml:space="preserve"> D</w:t>
            </w:r>
          </w:p>
        </w:tc>
      </w:tr>
      <w:tr w:rsidR="00214907" w:rsidRPr="00944B15" w14:paraId="4D8AA0EE" w14:textId="77777777" w:rsidTr="002D6DD7">
        <w:trPr>
          <w:jc w:val="center"/>
        </w:trPr>
        <w:tc>
          <w:tcPr>
            <w:tcW w:w="2605" w:type="dxa"/>
            <w:hideMark/>
          </w:tcPr>
          <w:p w14:paraId="264C120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4F5BB955"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Capsule: 10,000IU, 50,000IU</w:t>
            </w:r>
          </w:p>
          <w:p w14:paraId="0CE1CD38"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 Inje</w:t>
            </w:r>
            <w:r>
              <w:rPr>
                <w:rFonts w:eastAsia="Times New Roman" w:cs="Times New Roman"/>
                <w:color w:val="000000"/>
                <w:szCs w:val="24"/>
              </w:rPr>
              <w:t>ction: 300,000IU</w:t>
            </w:r>
            <w:r w:rsidRPr="00944B15">
              <w:rPr>
                <w:rFonts w:eastAsia="Times New Roman" w:cs="Times New Roman"/>
                <w:color w:val="000000"/>
                <w:szCs w:val="24"/>
              </w:rPr>
              <w:t>/</w:t>
            </w:r>
            <w:r>
              <w:rPr>
                <w:rFonts w:eastAsia="Times New Roman" w:cs="Times New Roman"/>
                <w:color w:val="000000"/>
                <w:szCs w:val="24"/>
              </w:rPr>
              <w:t>ml</w:t>
            </w:r>
          </w:p>
        </w:tc>
      </w:tr>
      <w:tr w:rsidR="00214907" w:rsidRPr="00944B15" w14:paraId="15337B4D" w14:textId="77777777" w:rsidTr="002D6DD7">
        <w:trPr>
          <w:jc w:val="center"/>
        </w:trPr>
        <w:tc>
          <w:tcPr>
            <w:tcW w:w="2605" w:type="dxa"/>
            <w:hideMark/>
          </w:tcPr>
          <w:p w14:paraId="5A4C9E2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485C3A40"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Pre</w:t>
            </w:r>
            <w:r w:rsidRPr="00944B15">
              <w:rPr>
                <w:rFonts w:eastAsia="Times New Roman" w:cs="Times New Roman"/>
                <w:color w:val="000000"/>
                <w:szCs w:val="24"/>
              </w:rPr>
              <w:t>vention and tre</w:t>
            </w:r>
            <w:r>
              <w:rPr>
                <w:rFonts w:eastAsia="Times New Roman" w:cs="Times New Roman"/>
                <w:color w:val="000000"/>
                <w:szCs w:val="24"/>
              </w:rPr>
              <w:t xml:space="preserve">atment of vitamin D deficiency, </w:t>
            </w:r>
            <w:r w:rsidRPr="00944B15">
              <w:rPr>
                <w:rFonts w:eastAsia="Times New Roman" w:cs="Times New Roman"/>
                <w:color w:val="000000"/>
                <w:szCs w:val="24"/>
              </w:rPr>
              <w:t>tre</w:t>
            </w:r>
            <w:r>
              <w:rPr>
                <w:rFonts w:eastAsia="Times New Roman" w:cs="Times New Roman"/>
                <w:color w:val="000000"/>
                <w:szCs w:val="24"/>
              </w:rPr>
              <w:t xml:space="preserve">atment of </w:t>
            </w:r>
            <w:r>
              <w:rPr>
                <w:rFonts w:eastAsia="Times New Roman" w:cs="Times New Roman"/>
                <w:color w:val="000000"/>
                <w:szCs w:val="24"/>
              </w:rPr>
              <w:lastRenderedPageBreak/>
              <w:t>chronic hypocalcaemia</w:t>
            </w:r>
            <w:r w:rsidRPr="00944B15">
              <w:rPr>
                <w:rFonts w:eastAsia="Times New Roman" w:cs="Times New Roman"/>
                <w:color w:val="000000"/>
                <w:szCs w:val="24"/>
              </w:rPr>
              <w:t xml:space="preserve"> associated with various medical conditions including chronic renal fai</w:t>
            </w:r>
            <w:r>
              <w:rPr>
                <w:rFonts w:eastAsia="Times New Roman" w:cs="Times New Roman"/>
                <w:color w:val="000000"/>
                <w:szCs w:val="24"/>
              </w:rPr>
              <w:t>lure, familial hypophosphatemia</w:t>
            </w:r>
            <w:r w:rsidRPr="00944B15">
              <w:rPr>
                <w:rFonts w:eastAsia="Times New Roman" w:cs="Times New Roman"/>
                <w:color w:val="000000"/>
                <w:szCs w:val="24"/>
              </w:rPr>
              <w:t xml:space="preserve"> and hypoparathyroidism </w:t>
            </w:r>
          </w:p>
        </w:tc>
      </w:tr>
      <w:tr w:rsidR="00214907" w:rsidRPr="00944B15" w14:paraId="66493DBB" w14:textId="77777777" w:rsidTr="002D6DD7">
        <w:trPr>
          <w:jc w:val="center"/>
        </w:trPr>
        <w:tc>
          <w:tcPr>
            <w:tcW w:w="2605" w:type="dxa"/>
            <w:hideMark/>
          </w:tcPr>
          <w:p w14:paraId="730DE879"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lastRenderedPageBreak/>
              <w:t>Dose and administration</w:t>
            </w:r>
          </w:p>
        </w:tc>
        <w:tc>
          <w:tcPr>
            <w:tcW w:w="6974" w:type="dxa"/>
          </w:tcPr>
          <w:p w14:paraId="779C704D"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Primary p</w:t>
            </w:r>
            <w:r>
              <w:rPr>
                <w:rFonts w:eastAsia="Times New Roman" w:cs="Times New Roman"/>
                <w:b/>
                <w:color w:val="000000"/>
                <w:szCs w:val="24"/>
              </w:rPr>
              <w:t>revention of vitamin deficiency</w:t>
            </w:r>
            <w:r w:rsidR="00601A4D">
              <w:rPr>
                <w:rFonts w:eastAsia="Times New Roman" w:cs="Times New Roman"/>
                <w:b/>
                <w:color w:val="000000"/>
                <w:szCs w:val="24"/>
              </w:rPr>
              <w:t>,</w:t>
            </w:r>
            <w:r w:rsidRPr="00944B15">
              <w:rPr>
                <w:rFonts w:eastAsia="Times New Roman" w:cs="Times New Roman"/>
                <w:b/>
                <w:color w:val="000000"/>
                <w:szCs w:val="24"/>
              </w:rPr>
              <w:t xml:space="preserve"> </w:t>
            </w:r>
            <w:r w:rsidRPr="00657EC9">
              <w:rPr>
                <w:rFonts w:eastAsia="Times New Roman" w:cs="Times New Roman"/>
                <w:color w:val="000000"/>
                <w:szCs w:val="24"/>
              </w:rPr>
              <w:t>oral</w:t>
            </w:r>
            <w:r w:rsidR="00601A4D">
              <w:rPr>
                <w:rFonts w:eastAsia="Times New Roman" w:cs="Times New Roman"/>
                <w:color w:val="000000"/>
                <w:szCs w:val="24"/>
              </w:rPr>
              <w:t>:</w:t>
            </w:r>
          </w:p>
          <w:p w14:paraId="478D2E0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Adult</w:t>
            </w:r>
            <w:r w:rsidRPr="00944B15">
              <w:rPr>
                <w:rFonts w:eastAsia="Times New Roman" w:cs="Times New Roman"/>
                <w:color w:val="000000"/>
                <w:szCs w:val="24"/>
              </w:rPr>
              <w:t>: 400 units daily</w:t>
            </w:r>
          </w:p>
          <w:p w14:paraId="0E2BF70C"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1 mcg = 40 international units (IU)</w:t>
            </w:r>
          </w:p>
          <w:p w14:paraId="47B150CA"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Treatment of chronic h</w:t>
            </w:r>
            <w:r w:rsidRPr="00944B15">
              <w:rPr>
                <w:rFonts w:eastAsia="Times New Roman" w:cs="Times New Roman"/>
                <w:b/>
                <w:color w:val="000000"/>
                <w:szCs w:val="24"/>
              </w:rPr>
              <w:t>ypocalcaemia</w:t>
            </w:r>
            <w:r>
              <w:rPr>
                <w:rFonts w:eastAsia="Times New Roman" w:cs="Times New Roman"/>
                <w:b/>
                <w:color w:val="000000"/>
                <w:szCs w:val="24"/>
              </w:rPr>
              <w:t>:</w:t>
            </w:r>
          </w:p>
          <w:p w14:paraId="78752F85"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Trea</w:t>
            </w:r>
            <w:r>
              <w:rPr>
                <w:rFonts w:eastAsia="Times New Roman" w:cs="Times New Roman"/>
                <w:b/>
                <w:color w:val="000000"/>
                <w:szCs w:val="24"/>
              </w:rPr>
              <w:t>tment of vitamin D deficiency [loading dose]</w:t>
            </w:r>
            <w:r w:rsidR="00601A4D">
              <w:rPr>
                <w:rFonts w:eastAsia="Times New Roman" w:cs="Times New Roman"/>
                <w:b/>
                <w:color w:val="000000"/>
                <w:szCs w:val="24"/>
              </w:rPr>
              <w:t>,</w:t>
            </w:r>
            <w:r>
              <w:rPr>
                <w:rFonts w:eastAsia="Times New Roman" w:cs="Times New Roman"/>
                <w:b/>
                <w:color w:val="000000"/>
                <w:szCs w:val="24"/>
              </w:rPr>
              <w:t xml:space="preserve"> </w:t>
            </w:r>
            <w:r w:rsidRPr="00657EC9">
              <w:rPr>
                <w:rFonts w:eastAsia="Times New Roman" w:cs="Times New Roman"/>
                <w:color w:val="000000"/>
                <w:szCs w:val="24"/>
              </w:rPr>
              <w:t>oral</w:t>
            </w:r>
            <w:r w:rsidR="00601A4D">
              <w:rPr>
                <w:rFonts w:eastAsia="Times New Roman" w:cs="Times New Roman"/>
                <w:color w:val="000000"/>
                <w:szCs w:val="24"/>
              </w:rPr>
              <w:t>:</w:t>
            </w:r>
          </w:p>
          <w:p w14:paraId="42ACEED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Adult</w:t>
            </w:r>
            <w:r w:rsidRPr="00944B15">
              <w:rPr>
                <w:rFonts w:eastAsia="Times New Roman" w:cs="Times New Roman"/>
                <w:color w:val="000000"/>
                <w:szCs w:val="24"/>
              </w:rPr>
              <w:t>: 50,000 units once weekly for 6 weeks, alternatively 40 000 once weekly for 7 weeks, alternatively 4000 units daily for 10 weeks, different loading regimens can be used to achieve a cumulative total of approximately 300 000 units divided into daily or weekly doses over 6–10 weeks</w:t>
            </w:r>
          </w:p>
          <w:p w14:paraId="7F545D56"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 xml:space="preserve">Treatment of vitamin D </w:t>
            </w:r>
            <w:r>
              <w:rPr>
                <w:rFonts w:eastAsia="Times New Roman" w:cs="Times New Roman"/>
                <w:b/>
                <w:color w:val="000000"/>
                <w:szCs w:val="24"/>
              </w:rPr>
              <w:t>deficiency [</w:t>
            </w:r>
            <w:r w:rsidR="00601A4D">
              <w:rPr>
                <w:rFonts w:eastAsia="Times New Roman" w:cs="Times New Roman"/>
                <w:b/>
                <w:color w:val="000000"/>
                <w:szCs w:val="24"/>
              </w:rPr>
              <w:t>m</w:t>
            </w:r>
            <w:r>
              <w:rPr>
                <w:rFonts w:eastAsia="Times New Roman" w:cs="Times New Roman"/>
                <w:b/>
                <w:color w:val="000000"/>
                <w:szCs w:val="24"/>
              </w:rPr>
              <w:t>aintenance dose]</w:t>
            </w:r>
            <w:r w:rsidR="00601A4D">
              <w:rPr>
                <w:rFonts w:eastAsia="Times New Roman" w:cs="Times New Roman"/>
                <w:b/>
                <w:color w:val="000000"/>
                <w:szCs w:val="24"/>
              </w:rPr>
              <w:t xml:space="preserve">, </w:t>
            </w:r>
            <w:r w:rsidRPr="00657EC9">
              <w:rPr>
                <w:rFonts w:eastAsia="Times New Roman" w:cs="Times New Roman"/>
                <w:color w:val="000000"/>
                <w:szCs w:val="24"/>
              </w:rPr>
              <w:t>oral</w:t>
            </w:r>
            <w:r w:rsidR="00601A4D">
              <w:rPr>
                <w:rFonts w:eastAsia="Times New Roman" w:cs="Times New Roman"/>
                <w:color w:val="000000"/>
                <w:szCs w:val="24"/>
              </w:rPr>
              <w:t>:</w:t>
            </w:r>
            <w:r w:rsidRPr="00657EC9">
              <w:rPr>
                <w:rFonts w:eastAsia="Times New Roman" w:cs="Times New Roman"/>
                <w:color w:val="000000"/>
                <w:szCs w:val="24"/>
              </w:rPr>
              <w:t xml:space="preserve"> </w:t>
            </w:r>
          </w:p>
          <w:p w14:paraId="628DB04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Adult</w:t>
            </w:r>
            <w:r w:rsidRPr="00944B15">
              <w:rPr>
                <w:rFonts w:eastAsia="Times New Roman" w:cs="Times New Roman"/>
                <w:color w:val="000000"/>
                <w:szCs w:val="24"/>
              </w:rPr>
              <w:t xml:space="preserve">: 800–2000 units daily, maintenance dosing maybe given daily, or the equivalent dose given intermittently. Maintenance to be started one month after loading dose completed, or if correction of vitamin D deficiency is less urgent, maintenance may be started without the use of loading doses. Higher maintenance doses may be necessary in those at high risk of vitamin D deficiency; maximum 4000 units per day </w:t>
            </w:r>
          </w:p>
          <w:p w14:paraId="70AFFCA3"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Pediatrics:</w:t>
            </w:r>
          </w:p>
          <w:p w14:paraId="2A7BF48C"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Vitamin D-</w:t>
            </w:r>
            <w:r w:rsidR="00601A4D">
              <w:rPr>
                <w:rFonts w:eastAsia="Times New Roman" w:cs="Times New Roman"/>
                <w:b/>
                <w:color w:val="000000"/>
                <w:szCs w:val="24"/>
              </w:rPr>
              <w:t>r</w:t>
            </w:r>
            <w:r w:rsidRPr="00944B15">
              <w:rPr>
                <w:rFonts w:eastAsia="Times New Roman" w:cs="Times New Roman"/>
                <w:b/>
                <w:color w:val="000000"/>
                <w:szCs w:val="24"/>
              </w:rPr>
              <w:t xml:space="preserve">esistant </w:t>
            </w:r>
            <w:r w:rsidR="00601A4D">
              <w:rPr>
                <w:rFonts w:eastAsia="Times New Roman" w:cs="Times New Roman"/>
                <w:b/>
                <w:color w:val="000000"/>
                <w:szCs w:val="24"/>
              </w:rPr>
              <w:t>r</w:t>
            </w:r>
            <w:r w:rsidRPr="00944B15">
              <w:rPr>
                <w:rFonts w:eastAsia="Times New Roman" w:cs="Times New Roman"/>
                <w:b/>
                <w:color w:val="000000"/>
                <w:szCs w:val="24"/>
              </w:rPr>
              <w:t xml:space="preserve">ickets: </w:t>
            </w:r>
            <w:r w:rsidRPr="00944B15">
              <w:rPr>
                <w:rFonts w:eastAsia="Times New Roman" w:cs="Times New Roman"/>
                <w:color w:val="000000"/>
                <w:szCs w:val="24"/>
              </w:rPr>
              <w:t xml:space="preserve">12,000-500,000 IU (0.3-12.5 mg) </w:t>
            </w:r>
            <w:r>
              <w:rPr>
                <w:rFonts w:eastAsia="Times New Roman" w:cs="Times New Roman"/>
                <w:color w:val="000000"/>
                <w:szCs w:val="24"/>
              </w:rPr>
              <w:t>orally</w:t>
            </w:r>
            <w:r w:rsidRPr="00944B15">
              <w:rPr>
                <w:rFonts w:eastAsia="Times New Roman" w:cs="Times New Roman"/>
                <w:color w:val="000000"/>
                <w:szCs w:val="24"/>
              </w:rPr>
              <w:t xml:space="preserve"> once daily</w:t>
            </w:r>
            <w:r w:rsidR="00601A4D">
              <w:rPr>
                <w:rFonts w:eastAsia="Times New Roman" w:cs="Times New Roman"/>
                <w:color w:val="000000"/>
                <w:szCs w:val="24"/>
              </w:rPr>
              <w:t>.</w:t>
            </w:r>
          </w:p>
          <w:p w14:paraId="70617819"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 xml:space="preserve">Familial </w:t>
            </w:r>
            <w:r w:rsidR="00601A4D">
              <w:rPr>
                <w:rFonts w:eastAsia="Times New Roman" w:cs="Times New Roman"/>
                <w:b/>
                <w:color w:val="000000"/>
                <w:szCs w:val="24"/>
              </w:rPr>
              <w:t>h</w:t>
            </w:r>
            <w:r w:rsidRPr="00944B15">
              <w:rPr>
                <w:rFonts w:eastAsia="Times New Roman" w:cs="Times New Roman"/>
                <w:b/>
                <w:color w:val="000000"/>
                <w:szCs w:val="24"/>
              </w:rPr>
              <w:t xml:space="preserve">ypophosphatemia: </w:t>
            </w:r>
            <w:r>
              <w:rPr>
                <w:rFonts w:eastAsia="Times New Roman" w:cs="Times New Roman"/>
                <w:color w:val="000000"/>
                <w:szCs w:val="24"/>
              </w:rPr>
              <w:t>40,000-80,000 IU (1-2 mg) orally</w:t>
            </w:r>
            <w:r w:rsidRPr="00944B15">
              <w:rPr>
                <w:rFonts w:eastAsia="Times New Roman" w:cs="Times New Roman"/>
                <w:color w:val="000000"/>
                <w:szCs w:val="24"/>
              </w:rPr>
              <w:t xml:space="preserve"> once daily with phosphate supplements; may be reduced after stage of growth is complete</w:t>
            </w:r>
            <w:r w:rsidR="00601A4D">
              <w:rPr>
                <w:rFonts w:eastAsia="Times New Roman" w:cs="Times New Roman"/>
                <w:color w:val="000000"/>
                <w:szCs w:val="24"/>
              </w:rPr>
              <w:t>.</w:t>
            </w:r>
          </w:p>
        </w:tc>
      </w:tr>
      <w:tr w:rsidR="00214907" w:rsidRPr="00944B15" w14:paraId="76DDF6A9" w14:textId="77777777" w:rsidTr="002D6DD7">
        <w:trPr>
          <w:jc w:val="center"/>
        </w:trPr>
        <w:tc>
          <w:tcPr>
            <w:tcW w:w="2605" w:type="dxa"/>
            <w:hideMark/>
          </w:tcPr>
          <w:p w14:paraId="22D2297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738CAD36" w14:textId="77777777" w:rsidR="00214907" w:rsidRPr="00944B15" w:rsidRDefault="00214907" w:rsidP="002D6DD7">
            <w:pPr>
              <w:jc w:val="both"/>
              <w:rPr>
                <w:rFonts w:eastAsia="Times New Roman" w:cs="Times New Roman"/>
                <w:color w:val="000000" w:themeColor="text1"/>
                <w:szCs w:val="24"/>
              </w:rPr>
            </w:pPr>
            <w:r w:rsidRPr="00944B15">
              <w:rPr>
                <w:rFonts w:eastAsia="Times New Roman" w:cs="Times New Roman"/>
                <w:color w:val="000000" w:themeColor="text1"/>
                <w:szCs w:val="24"/>
              </w:rPr>
              <w:t>Hypersensit</w:t>
            </w:r>
            <w:r>
              <w:rPr>
                <w:rFonts w:eastAsia="Times New Roman" w:cs="Times New Roman"/>
                <w:color w:val="000000" w:themeColor="text1"/>
                <w:szCs w:val="24"/>
              </w:rPr>
              <w:t>ivity to the drug, h</w:t>
            </w:r>
            <w:r w:rsidRPr="00944B15">
              <w:rPr>
                <w:rFonts w:eastAsia="Times New Roman" w:cs="Times New Roman"/>
                <w:color w:val="000000" w:themeColor="text1"/>
                <w:szCs w:val="24"/>
              </w:rPr>
              <w:t xml:space="preserve">ypercalcemia, metastatic calcification, </w:t>
            </w:r>
            <w:r>
              <w:rPr>
                <w:rFonts w:eastAsia="Times New Roman" w:cs="Times New Roman"/>
                <w:color w:val="000000" w:themeColor="text1"/>
                <w:szCs w:val="24"/>
              </w:rPr>
              <w:t xml:space="preserve">nephrolithiasis (renal calculi) and </w:t>
            </w:r>
            <w:r w:rsidRPr="00944B15">
              <w:rPr>
                <w:rFonts w:eastAsia="Times New Roman" w:cs="Times New Roman"/>
                <w:color w:val="000000" w:themeColor="text1"/>
                <w:szCs w:val="24"/>
              </w:rPr>
              <w:t>severe renal impairment</w:t>
            </w:r>
            <w:r>
              <w:rPr>
                <w:rFonts w:eastAsia="Times New Roman" w:cs="Times New Roman"/>
                <w:color w:val="000000" w:themeColor="text1"/>
                <w:szCs w:val="24"/>
              </w:rPr>
              <w:t>.</w:t>
            </w:r>
          </w:p>
        </w:tc>
      </w:tr>
      <w:tr w:rsidR="00214907" w:rsidRPr="00944B15" w14:paraId="5146B947" w14:textId="77777777" w:rsidTr="002D6DD7">
        <w:trPr>
          <w:jc w:val="center"/>
        </w:trPr>
        <w:tc>
          <w:tcPr>
            <w:tcW w:w="2605" w:type="dxa"/>
            <w:hideMark/>
          </w:tcPr>
          <w:p w14:paraId="3C4CAFF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6506CF2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Antacids (magnesium containing), cal</w:t>
            </w:r>
            <w:r>
              <w:rPr>
                <w:rFonts w:eastAsia="Times New Roman" w:cs="Times New Roman"/>
                <w:color w:val="000000"/>
                <w:szCs w:val="24"/>
              </w:rPr>
              <w:t xml:space="preserve">cium containing preparations, </w:t>
            </w:r>
            <w:r w:rsidRPr="00944B15">
              <w:rPr>
                <w:rFonts w:eastAsia="Times New Roman" w:cs="Times New Roman"/>
                <w:color w:val="000000"/>
                <w:szCs w:val="24"/>
              </w:rPr>
              <w:t>diuretics (thiazide), cholestyramine</w:t>
            </w:r>
            <w:r>
              <w:rPr>
                <w:rFonts w:eastAsia="Times New Roman" w:cs="Times New Roman"/>
                <w:color w:val="000000"/>
                <w:szCs w:val="24"/>
              </w:rPr>
              <w:t xml:space="preserve"> and</w:t>
            </w:r>
            <w:r w:rsidRPr="00944B15">
              <w:rPr>
                <w:rFonts w:eastAsia="Times New Roman" w:cs="Times New Roman"/>
                <w:color w:val="000000"/>
                <w:szCs w:val="24"/>
              </w:rPr>
              <w:t xml:space="preserve"> </w:t>
            </w:r>
            <w:r>
              <w:rPr>
                <w:rFonts w:eastAsia="Times New Roman" w:cs="Times New Roman"/>
                <w:color w:val="000000"/>
                <w:szCs w:val="24"/>
              </w:rPr>
              <w:t xml:space="preserve">other </w:t>
            </w:r>
            <w:r w:rsidRPr="00944B15">
              <w:rPr>
                <w:rFonts w:eastAsia="Times New Roman" w:cs="Times New Roman"/>
                <w:color w:val="000000"/>
                <w:szCs w:val="24"/>
              </w:rPr>
              <w:t xml:space="preserve">vitamin D </w:t>
            </w:r>
            <w:r>
              <w:rPr>
                <w:rFonts w:eastAsia="Times New Roman" w:cs="Times New Roman"/>
                <w:color w:val="000000"/>
                <w:szCs w:val="24"/>
              </w:rPr>
              <w:t>analogue</w:t>
            </w:r>
            <w:r w:rsidRPr="00944B15">
              <w:rPr>
                <w:rFonts w:eastAsia="Times New Roman" w:cs="Times New Roman"/>
                <w:color w:val="000000"/>
                <w:szCs w:val="24"/>
              </w:rPr>
              <w:t>.</w:t>
            </w:r>
          </w:p>
        </w:tc>
      </w:tr>
      <w:tr w:rsidR="00214907" w:rsidRPr="00944B15" w14:paraId="5F9DD313" w14:textId="77777777" w:rsidTr="002D6DD7">
        <w:trPr>
          <w:jc w:val="center"/>
        </w:trPr>
        <w:tc>
          <w:tcPr>
            <w:tcW w:w="2605" w:type="dxa"/>
            <w:hideMark/>
          </w:tcPr>
          <w:p w14:paraId="213EC10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974" w:type="dxa"/>
          </w:tcPr>
          <w:p w14:paraId="7F7FA9B0"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A</w:t>
            </w:r>
            <w:r w:rsidRPr="00944B15">
              <w:rPr>
                <w:rFonts w:eastAsia="Times New Roman" w:cs="Times New Roman"/>
                <w:color w:val="000000"/>
                <w:szCs w:val="24"/>
              </w:rPr>
              <w:t>norexia, tiredness, nausea and vomiting, diarrhea, weight loss, polyuria, sweating, headache, thirst, vertigo</w:t>
            </w:r>
            <w:r>
              <w:rPr>
                <w:rFonts w:eastAsia="Times New Roman" w:cs="Times New Roman"/>
                <w:color w:val="000000"/>
                <w:szCs w:val="24"/>
              </w:rPr>
              <w:t>,</w:t>
            </w:r>
            <w:r w:rsidRPr="00944B15">
              <w:rPr>
                <w:rFonts w:eastAsia="Times New Roman" w:cs="Times New Roman"/>
                <w:color w:val="000000"/>
                <w:szCs w:val="24"/>
              </w:rPr>
              <w:t xml:space="preserve"> </w:t>
            </w:r>
            <w:r>
              <w:rPr>
                <w:rFonts w:eastAsia="Times New Roman" w:cs="Times New Roman"/>
                <w:color w:val="000000"/>
                <w:szCs w:val="24"/>
              </w:rPr>
              <w:t>h</w:t>
            </w:r>
            <w:r w:rsidRPr="00944B15">
              <w:rPr>
                <w:rFonts w:eastAsia="Times New Roman" w:cs="Times New Roman"/>
                <w:color w:val="000000"/>
                <w:szCs w:val="24"/>
              </w:rPr>
              <w:t>yperphosphatemia, soft tissue calcification, raise the concentrations of calcium level in urine and increased risk of kidney stones</w:t>
            </w:r>
            <w:r>
              <w:rPr>
                <w:rFonts w:eastAsia="Times New Roman" w:cs="Times New Roman"/>
                <w:color w:val="000000"/>
                <w:szCs w:val="24"/>
              </w:rPr>
              <w:t>.</w:t>
            </w:r>
          </w:p>
        </w:tc>
      </w:tr>
      <w:tr w:rsidR="00214907" w:rsidRPr="00944B15" w14:paraId="76AAE4E8" w14:textId="77777777" w:rsidTr="002D6DD7">
        <w:trPr>
          <w:jc w:val="center"/>
        </w:trPr>
        <w:tc>
          <w:tcPr>
            <w:tcW w:w="2605" w:type="dxa"/>
            <w:hideMark/>
          </w:tcPr>
          <w:p w14:paraId="44B76FC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4C47B9AC" w14:textId="77777777" w:rsidR="00214907" w:rsidRPr="00944B15" w:rsidRDefault="00214907" w:rsidP="002D6DD7">
            <w:pPr>
              <w:jc w:val="both"/>
              <w:rPr>
                <w:rFonts w:eastAsia="Times New Roman" w:cs="Times New Roman"/>
                <w:szCs w:val="24"/>
                <w:vertAlign w:val="superscript"/>
              </w:rPr>
            </w:pPr>
            <w:r>
              <w:rPr>
                <w:rFonts w:eastAsia="Times New Roman" w:cs="Times New Roman"/>
                <w:color w:val="000000"/>
                <w:szCs w:val="24"/>
              </w:rPr>
              <w:t>Impaired renal function, heart disease, renal stones,</w:t>
            </w:r>
            <w:r w:rsidRPr="00944B15">
              <w:rPr>
                <w:rFonts w:eastAsia="Times New Roman" w:cs="Times New Roman"/>
                <w:color w:val="000000"/>
                <w:szCs w:val="24"/>
              </w:rPr>
              <w:t xml:space="preserve"> arteriosclerosis</w:t>
            </w:r>
            <w:r>
              <w:rPr>
                <w:rFonts w:eastAsia="Times New Roman" w:cs="Times New Roman"/>
                <w:color w:val="000000"/>
                <w:szCs w:val="24"/>
              </w:rPr>
              <w:t>, breastfeeding and sa</w:t>
            </w:r>
            <w:r w:rsidRPr="00944B15">
              <w:rPr>
                <w:rFonts w:eastAsia="Times New Roman" w:cs="Times New Roman"/>
                <w:color w:val="000000"/>
                <w:szCs w:val="24"/>
              </w:rPr>
              <w:t>rcoidosis</w:t>
            </w:r>
            <w:r>
              <w:rPr>
                <w:rFonts w:eastAsia="Times New Roman" w:cs="Times New Roman"/>
                <w:color w:val="000000"/>
                <w:szCs w:val="24"/>
              </w:rPr>
              <w:t>.</w:t>
            </w:r>
          </w:p>
        </w:tc>
      </w:tr>
      <w:tr w:rsidR="00214907" w:rsidRPr="00944B15" w14:paraId="039C2824" w14:textId="77777777" w:rsidTr="002D6DD7">
        <w:trPr>
          <w:jc w:val="center"/>
        </w:trPr>
        <w:tc>
          <w:tcPr>
            <w:tcW w:w="2605" w:type="dxa"/>
            <w:hideMark/>
          </w:tcPr>
          <w:p w14:paraId="151C87E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02975B74"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Store below 30°C. </w:t>
            </w:r>
          </w:p>
        </w:tc>
      </w:tr>
      <w:tr w:rsidR="00214907" w:rsidRPr="00944B15" w14:paraId="19457AC9" w14:textId="77777777" w:rsidTr="002D6DD7">
        <w:trPr>
          <w:jc w:val="center"/>
        </w:trPr>
        <w:tc>
          <w:tcPr>
            <w:tcW w:w="9579" w:type="dxa"/>
            <w:gridSpan w:val="2"/>
          </w:tcPr>
          <w:p w14:paraId="18BCACFF"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Cyanocobalamin (Vitamin B 12)</w:t>
            </w:r>
          </w:p>
        </w:tc>
      </w:tr>
      <w:tr w:rsidR="00214907" w:rsidRPr="00944B15" w14:paraId="5DDB9D57" w14:textId="77777777" w:rsidTr="002D6DD7">
        <w:trPr>
          <w:trHeight w:val="368"/>
          <w:jc w:val="center"/>
        </w:trPr>
        <w:tc>
          <w:tcPr>
            <w:tcW w:w="2605" w:type="dxa"/>
            <w:hideMark/>
          </w:tcPr>
          <w:p w14:paraId="1984388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0079DB38"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 B</w:t>
            </w:r>
          </w:p>
        </w:tc>
      </w:tr>
      <w:tr w:rsidR="00214907" w:rsidRPr="00944B15" w14:paraId="3D652833" w14:textId="77777777" w:rsidTr="002D6DD7">
        <w:trPr>
          <w:jc w:val="center"/>
        </w:trPr>
        <w:tc>
          <w:tcPr>
            <w:tcW w:w="2605" w:type="dxa"/>
            <w:hideMark/>
          </w:tcPr>
          <w:p w14:paraId="4D2FF85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44564A17"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b/>
                <w:color w:val="000000"/>
                <w:szCs w:val="24"/>
              </w:rPr>
              <w:t>Injection</w:t>
            </w:r>
            <w:r w:rsidRPr="00944B15">
              <w:rPr>
                <w:rFonts w:eastAsia="Times New Roman" w:cs="Times New Roman"/>
                <w:color w:val="000000"/>
                <w:szCs w:val="24"/>
              </w:rPr>
              <w:t>: 1mg/</w:t>
            </w:r>
            <w:r>
              <w:rPr>
                <w:rFonts w:eastAsia="Times New Roman" w:cs="Times New Roman"/>
                <w:color w:val="000000"/>
                <w:szCs w:val="24"/>
              </w:rPr>
              <w:t>ml</w:t>
            </w:r>
            <w:r w:rsidRPr="00944B15">
              <w:rPr>
                <w:rFonts w:eastAsia="Times New Roman" w:cs="Times New Roman"/>
                <w:color w:val="000000"/>
                <w:szCs w:val="24"/>
              </w:rPr>
              <w:t xml:space="preserve"> in 1</w:t>
            </w:r>
            <w:r>
              <w:rPr>
                <w:rFonts w:eastAsia="Times New Roman" w:cs="Times New Roman"/>
                <w:color w:val="000000"/>
                <w:szCs w:val="24"/>
              </w:rPr>
              <w:t>ml</w:t>
            </w:r>
            <w:r w:rsidRPr="00944B15">
              <w:rPr>
                <w:rFonts w:eastAsia="Times New Roman" w:cs="Times New Roman"/>
                <w:color w:val="000000"/>
                <w:szCs w:val="24"/>
              </w:rPr>
              <w:t xml:space="preserve"> ampoule</w:t>
            </w:r>
          </w:p>
        </w:tc>
      </w:tr>
      <w:tr w:rsidR="00214907" w:rsidRPr="00944B15" w14:paraId="789B226D" w14:textId="77777777" w:rsidTr="002D6DD7">
        <w:trPr>
          <w:jc w:val="center"/>
        </w:trPr>
        <w:tc>
          <w:tcPr>
            <w:tcW w:w="2605" w:type="dxa"/>
            <w:hideMark/>
          </w:tcPr>
          <w:p w14:paraId="6CC4102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38ADA4E1"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Treatment of pernicious anemia, n</w:t>
            </w:r>
            <w:r w:rsidRPr="00944B15">
              <w:rPr>
                <w:rFonts w:eastAsia="Times New Roman" w:cs="Times New Roman"/>
                <w:color w:val="000000"/>
                <w:szCs w:val="24"/>
              </w:rPr>
              <w:t>utritional Supplementation</w:t>
            </w:r>
            <w:r>
              <w:rPr>
                <w:rFonts w:eastAsia="Times New Roman" w:cs="Times New Roman"/>
                <w:color w:val="000000"/>
                <w:szCs w:val="24"/>
              </w:rPr>
              <w:t xml:space="preserve">, anemia related to vitamin </w:t>
            </w:r>
            <w:r>
              <w:rPr>
                <w:rFonts w:eastAsia="Calibri" w:cs="Times New Roman"/>
                <w:color w:val="000000"/>
                <w:szCs w:val="24"/>
              </w:rPr>
              <w:t>B12 d</w:t>
            </w:r>
            <w:r w:rsidRPr="00542B50">
              <w:rPr>
                <w:rFonts w:eastAsia="Calibri" w:cs="Times New Roman"/>
                <w:color w:val="000000"/>
                <w:szCs w:val="24"/>
              </w:rPr>
              <w:t>eficiency</w:t>
            </w:r>
          </w:p>
        </w:tc>
      </w:tr>
      <w:tr w:rsidR="00214907" w:rsidRPr="00944B15" w14:paraId="15D12732" w14:textId="77777777" w:rsidTr="002D6DD7">
        <w:trPr>
          <w:jc w:val="center"/>
        </w:trPr>
        <w:tc>
          <w:tcPr>
            <w:tcW w:w="2605" w:type="dxa"/>
            <w:hideMark/>
          </w:tcPr>
          <w:p w14:paraId="7284B5D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p w14:paraId="6841F2AB" w14:textId="77777777" w:rsidR="00214907" w:rsidRPr="00944B15" w:rsidRDefault="00214907" w:rsidP="002D6DD7">
            <w:pPr>
              <w:rPr>
                <w:rFonts w:eastAsia="Times New Roman" w:cs="Times New Roman"/>
                <w:szCs w:val="24"/>
              </w:rPr>
            </w:pPr>
          </w:p>
          <w:p w14:paraId="45076F0D" w14:textId="77777777" w:rsidR="00214907" w:rsidRPr="00944B15" w:rsidRDefault="00214907" w:rsidP="002D6DD7">
            <w:pPr>
              <w:rPr>
                <w:rFonts w:eastAsia="Times New Roman" w:cs="Times New Roman"/>
                <w:szCs w:val="24"/>
              </w:rPr>
            </w:pPr>
          </w:p>
          <w:p w14:paraId="493C12E6" w14:textId="77777777" w:rsidR="00214907" w:rsidRPr="00944B15" w:rsidRDefault="00214907" w:rsidP="002D6DD7">
            <w:pPr>
              <w:rPr>
                <w:rFonts w:eastAsia="Times New Roman" w:cs="Times New Roman"/>
                <w:szCs w:val="24"/>
              </w:rPr>
            </w:pPr>
          </w:p>
          <w:p w14:paraId="20ADDED8" w14:textId="77777777" w:rsidR="00214907" w:rsidRPr="00944B15" w:rsidRDefault="00214907" w:rsidP="002D6DD7">
            <w:pPr>
              <w:jc w:val="center"/>
              <w:rPr>
                <w:rFonts w:eastAsia="Times New Roman" w:cs="Times New Roman"/>
                <w:szCs w:val="24"/>
              </w:rPr>
            </w:pPr>
          </w:p>
        </w:tc>
        <w:tc>
          <w:tcPr>
            <w:tcW w:w="6974" w:type="dxa"/>
          </w:tcPr>
          <w:p w14:paraId="494ABD6A" w14:textId="77777777" w:rsidR="00214907" w:rsidRPr="000B48D1" w:rsidRDefault="00214907" w:rsidP="002D6DD7">
            <w:pPr>
              <w:contextualSpacing/>
              <w:jc w:val="both"/>
              <w:rPr>
                <w:rFonts w:eastAsia="Times New Roman" w:cs="Times New Roman"/>
                <w:b/>
                <w:color w:val="000000"/>
                <w:szCs w:val="24"/>
              </w:rPr>
            </w:pPr>
            <w:r w:rsidRPr="00542B50">
              <w:rPr>
                <w:rFonts w:eastAsia="Times New Roman" w:cs="Times New Roman"/>
                <w:b/>
                <w:color w:val="000000"/>
                <w:szCs w:val="24"/>
              </w:rPr>
              <w:t>Nut</w:t>
            </w:r>
            <w:r>
              <w:rPr>
                <w:rFonts w:eastAsia="Times New Roman" w:cs="Times New Roman"/>
                <w:b/>
                <w:color w:val="000000"/>
                <w:szCs w:val="24"/>
              </w:rPr>
              <w:t xml:space="preserve">ritional Supplementation: </w:t>
            </w:r>
            <w:r>
              <w:rPr>
                <w:rFonts w:eastAsia="Times New Roman" w:cs="Times New Roman"/>
                <w:color w:val="000000"/>
                <w:szCs w:val="24"/>
              </w:rPr>
              <w:t>re</w:t>
            </w:r>
            <w:r w:rsidRPr="00944B15">
              <w:rPr>
                <w:rFonts w:eastAsia="Times New Roman" w:cs="Times New Roman"/>
                <w:color w:val="000000"/>
                <w:szCs w:val="24"/>
              </w:rPr>
              <w:t>commended daily allowance (RDA)</w:t>
            </w:r>
          </w:p>
          <w:p w14:paraId="53516725"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Age &gt;19 years: 2.4 mcg</w:t>
            </w:r>
          </w:p>
          <w:p w14:paraId="74EED5E6"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Pregnant women: 2.6 mcg</w:t>
            </w:r>
          </w:p>
          <w:p w14:paraId="0990C222"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Breastfeeding women: 2.8 mcg</w:t>
            </w:r>
            <w:r w:rsidRPr="00944B15">
              <w:rPr>
                <w:rFonts w:eastAsia="Times New Roman" w:cs="Times New Roman"/>
                <w:color w:val="000000"/>
                <w:szCs w:val="24"/>
              </w:rPr>
              <w:t xml:space="preserve"> </w:t>
            </w:r>
          </w:p>
          <w:p w14:paraId="1174434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Dietary supplement: 50-6,000 mcg/day</w:t>
            </w:r>
          </w:p>
          <w:p w14:paraId="3445EC16"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Pernicious Anemia</w:t>
            </w:r>
            <w:r>
              <w:rPr>
                <w:rFonts w:eastAsia="Times New Roman" w:cs="Times New Roman"/>
                <w:b/>
                <w:color w:val="000000"/>
                <w:szCs w:val="24"/>
              </w:rPr>
              <w:t>:</w:t>
            </w:r>
          </w:p>
          <w:p w14:paraId="797ED40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100 mcg IM/SC once daily for 6-7 days, then every other day for 7 doses, then every 3-4 days for 2-3 weeks, then monthly</w:t>
            </w:r>
          </w:p>
          <w:p w14:paraId="119991DA"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Alternative parenteral dosing:</w:t>
            </w:r>
            <w:r w:rsidRPr="00944B15">
              <w:rPr>
                <w:rFonts w:eastAsia="Calibri" w:cs="Times New Roman"/>
                <w:color w:val="000000"/>
                <w:szCs w:val="24"/>
              </w:rPr>
              <w:t xml:space="preserve"> 1000 mcg IM/SC once daily for 7 days, then weekly for 1 month, then monthly </w:t>
            </w:r>
          </w:p>
          <w:p w14:paraId="4B7D0261" w14:textId="77777777" w:rsidR="00214907" w:rsidRPr="00944B15" w:rsidRDefault="00214907" w:rsidP="002D6DD7">
            <w:pPr>
              <w:autoSpaceDE w:val="0"/>
              <w:autoSpaceDN w:val="0"/>
              <w:adjustRightInd w:val="0"/>
              <w:jc w:val="both"/>
              <w:rPr>
                <w:rFonts w:eastAsia="Calibri" w:cs="Times New Roman"/>
                <w:b/>
                <w:color w:val="000000"/>
                <w:szCs w:val="24"/>
              </w:rPr>
            </w:pPr>
            <w:r>
              <w:rPr>
                <w:rFonts w:eastAsia="Calibri" w:cs="Times New Roman"/>
                <w:b/>
                <w:color w:val="000000"/>
                <w:szCs w:val="24"/>
              </w:rPr>
              <w:t>Vitamin B12 Deficiency:</w:t>
            </w:r>
            <w:r w:rsidRPr="00944B15">
              <w:rPr>
                <w:rFonts w:eastAsia="Calibri" w:cs="Times New Roman"/>
                <w:b/>
                <w:color w:val="000000"/>
                <w:szCs w:val="24"/>
              </w:rPr>
              <w:t xml:space="preserve"> </w:t>
            </w:r>
            <w:r w:rsidRPr="00944B15">
              <w:rPr>
                <w:rFonts w:eastAsia="Calibri" w:cs="Times New Roman"/>
                <w:color w:val="000000"/>
                <w:szCs w:val="24"/>
              </w:rPr>
              <w:t>Initial: 30 mcg IM once daily for 5-10 days</w:t>
            </w:r>
            <w:r w:rsidRPr="00944B15">
              <w:rPr>
                <w:rFonts w:eastAsia="Calibri" w:cs="Times New Roman"/>
                <w:b/>
                <w:color w:val="000000"/>
                <w:szCs w:val="24"/>
              </w:rPr>
              <w:t xml:space="preserve">; </w:t>
            </w:r>
            <w:r w:rsidRPr="00944B15">
              <w:rPr>
                <w:rFonts w:eastAsia="Calibri" w:cs="Times New Roman"/>
                <w:color w:val="000000"/>
                <w:szCs w:val="24"/>
              </w:rPr>
              <w:t>Maintenance: 100-200 mcg IM monthly</w:t>
            </w:r>
          </w:p>
        </w:tc>
      </w:tr>
      <w:tr w:rsidR="00214907" w:rsidRPr="00944B15" w14:paraId="46B4B85D" w14:textId="77777777" w:rsidTr="002D6DD7">
        <w:trPr>
          <w:jc w:val="center"/>
        </w:trPr>
        <w:tc>
          <w:tcPr>
            <w:tcW w:w="2605" w:type="dxa"/>
            <w:hideMark/>
          </w:tcPr>
          <w:p w14:paraId="13D9687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1689FCD2"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p>
        </w:tc>
      </w:tr>
      <w:tr w:rsidR="00214907" w:rsidRPr="00944B15" w14:paraId="2834740D" w14:textId="77777777" w:rsidTr="002D6DD7">
        <w:trPr>
          <w:jc w:val="center"/>
        </w:trPr>
        <w:tc>
          <w:tcPr>
            <w:tcW w:w="2605" w:type="dxa"/>
            <w:hideMark/>
          </w:tcPr>
          <w:p w14:paraId="1E11AAD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26D3D8E4"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Ethanol, chloramphenicol, cim</w:t>
            </w:r>
            <w:r>
              <w:rPr>
                <w:rFonts w:eastAsia="Times New Roman" w:cs="Times New Roman"/>
                <w:color w:val="000000"/>
                <w:szCs w:val="24"/>
              </w:rPr>
              <w:t xml:space="preserve">etidine, colchicine, potassium, </w:t>
            </w:r>
            <w:r w:rsidRPr="00944B15">
              <w:rPr>
                <w:rFonts w:eastAsia="Times New Roman" w:cs="Times New Roman"/>
                <w:color w:val="000000"/>
                <w:szCs w:val="24"/>
              </w:rPr>
              <w:t>warfarin, phenothiazines, metformin</w:t>
            </w:r>
          </w:p>
        </w:tc>
      </w:tr>
      <w:tr w:rsidR="00214907" w:rsidRPr="00944B15" w14:paraId="6A423BC5" w14:textId="77777777" w:rsidTr="002D6DD7">
        <w:trPr>
          <w:jc w:val="center"/>
        </w:trPr>
        <w:tc>
          <w:tcPr>
            <w:tcW w:w="2605" w:type="dxa"/>
            <w:hideMark/>
          </w:tcPr>
          <w:p w14:paraId="7F54ECA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78081CB5" w14:textId="77777777" w:rsidR="00214907" w:rsidRPr="00944B15" w:rsidRDefault="00214907" w:rsidP="002D6DD7">
            <w:pPr>
              <w:jc w:val="both"/>
              <w:rPr>
                <w:rFonts w:eastAsia="Times New Roman" w:cs="Times New Roman"/>
                <w:szCs w:val="24"/>
              </w:rPr>
            </w:pPr>
            <w:r w:rsidRPr="00944B15">
              <w:rPr>
                <w:rFonts w:cs="Times New Roman"/>
                <w:szCs w:val="24"/>
              </w:rPr>
              <w:t>Injection site reactions</w:t>
            </w:r>
            <w:r w:rsidRPr="00944B15">
              <w:rPr>
                <w:rFonts w:eastAsia="Times New Roman" w:cs="Times New Roman"/>
                <w:color w:val="000000"/>
                <w:szCs w:val="24"/>
              </w:rPr>
              <w:t xml:space="preserve">, </w:t>
            </w:r>
            <w:r>
              <w:rPr>
                <w:rFonts w:eastAsia="Times New Roman" w:cs="Times New Roman"/>
                <w:color w:val="000000"/>
                <w:szCs w:val="24"/>
              </w:rPr>
              <w:t>d</w:t>
            </w:r>
            <w:r w:rsidRPr="00944B15">
              <w:rPr>
                <w:rFonts w:eastAsia="Times New Roman" w:cs="Times New Roman"/>
                <w:color w:val="000000"/>
                <w:szCs w:val="24"/>
              </w:rPr>
              <w:t xml:space="preserve">izziness, </w:t>
            </w:r>
            <w:r>
              <w:rPr>
                <w:rFonts w:eastAsia="Times New Roman" w:cs="Times New Roman"/>
                <w:color w:val="000000"/>
                <w:szCs w:val="24"/>
              </w:rPr>
              <w:t>h</w:t>
            </w:r>
            <w:r w:rsidRPr="00944B15">
              <w:rPr>
                <w:rFonts w:eastAsia="Times New Roman" w:cs="Times New Roman"/>
                <w:color w:val="000000"/>
                <w:szCs w:val="24"/>
              </w:rPr>
              <w:t>eadache</w:t>
            </w:r>
            <w:r>
              <w:rPr>
                <w:rFonts w:eastAsia="Times New Roman" w:cs="Times New Roman"/>
                <w:color w:val="000000"/>
                <w:szCs w:val="24"/>
              </w:rPr>
              <w:t xml:space="preserve"> and a</w:t>
            </w:r>
            <w:r w:rsidRPr="00944B15">
              <w:rPr>
                <w:rFonts w:eastAsia="Times New Roman" w:cs="Times New Roman"/>
                <w:color w:val="000000"/>
                <w:szCs w:val="24"/>
              </w:rPr>
              <w:t>naphylactic shock</w:t>
            </w:r>
          </w:p>
        </w:tc>
      </w:tr>
      <w:tr w:rsidR="00214907" w:rsidRPr="00944B15" w14:paraId="71A1DD7A" w14:textId="77777777" w:rsidTr="002D6DD7">
        <w:trPr>
          <w:jc w:val="center"/>
        </w:trPr>
        <w:tc>
          <w:tcPr>
            <w:tcW w:w="2605" w:type="dxa"/>
            <w:hideMark/>
          </w:tcPr>
          <w:p w14:paraId="09FBE3B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1F5A98BA" w14:textId="77777777" w:rsidR="00214907" w:rsidRPr="00944B15" w:rsidRDefault="00214907" w:rsidP="002D6DD7">
            <w:pPr>
              <w:contextualSpacing/>
              <w:jc w:val="both"/>
              <w:rPr>
                <w:rFonts w:eastAsia="Times New Roman" w:cs="Times New Roman"/>
                <w:color w:val="000000"/>
                <w:szCs w:val="24"/>
              </w:rPr>
            </w:pPr>
            <w:r>
              <w:rPr>
                <w:rFonts w:eastAsia="Times New Roman" w:cs="Times New Roman"/>
                <w:color w:val="000000"/>
                <w:szCs w:val="24"/>
              </w:rPr>
              <w:t xml:space="preserve">History of anaphylactic shock, </w:t>
            </w:r>
            <w:r w:rsidRPr="00944B15">
              <w:rPr>
                <w:rFonts w:eastAsia="Times New Roman" w:cs="Times New Roman"/>
                <w:color w:val="000000"/>
                <w:szCs w:val="24"/>
              </w:rPr>
              <w:t>concurrent iron or folic acid deficiency, cyanocobalamin</w:t>
            </w:r>
            <w:r>
              <w:rPr>
                <w:rFonts w:eastAsia="Times New Roman" w:cs="Times New Roman"/>
                <w:color w:val="000000"/>
                <w:szCs w:val="24"/>
              </w:rPr>
              <w:t>, hypokalaemia and thrombocytosis.</w:t>
            </w:r>
          </w:p>
        </w:tc>
      </w:tr>
      <w:tr w:rsidR="00214907" w:rsidRPr="00944B15" w14:paraId="0B30A4B8" w14:textId="77777777" w:rsidTr="002D6DD7">
        <w:trPr>
          <w:jc w:val="center"/>
        </w:trPr>
        <w:tc>
          <w:tcPr>
            <w:tcW w:w="2605" w:type="dxa"/>
            <w:hideMark/>
          </w:tcPr>
          <w:p w14:paraId="69BA7D3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Storage condition</w:t>
            </w:r>
          </w:p>
        </w:tc>
        <w:tc>
          <w:tcPr>
            <w:tcW w:w="6974" w:type="dxa"/>
          </w:tcPr>
          <w:p w14:paraId="32629666" w14:textId="77777777" w:rsidR="00214907" w:rsidRPr="00944B15" w:rsidRDefault="00214907" w:rsidP="002D6DD7">
            <w:pPr>
              <w:pStyle w:val="NormalWeb"/>
              <w:spacing w:before="0" w:beforeAutospacing="0" w:after="0" w:afterAutospacing="0" w:line="360" w:lineRule="auto"/>
            </w:pPr>
            <w:r>
              <w:t>Store below 30</w:t>
            </w:r>
            <w:r w:rsidRPr="00944B15">
              <w:t>° C. Protect from light.</w:t>
            </w:r>
          </w:p>
        </w:tc>
      </w:tr>
      <w:tr w:rsidR="00214907" w:rsidRPr="00944B15" w14:paraId="01AE0A1A" w14:textId="77777777" w:rsidTr="002D6DD7">
        <w:trPr>
          <w:trHeight w:val="46"/>
          <w:jc w:val="center"/>
        </w:trPr>
        <w:tc>
          <w:tcPr>
            <w:tcW w:w="9579" w:type="dxa"/>
            <w:gridSpan w:val="2"/>
          </w:tcPr>
          <w:p w14:paraId="642BDC44" w14:textId="77777777" w:rsidR="00214907" w:rsidRPr="00944B15" w:rsidRDefault="00214907" w:rsidP="002D6DD7">
            <w:pPr>
              <w:pStyle w:val="NormalWeb"/>
              <w:spacing w:before="0" w:beforeAutospacing="0" w:after="0" w:afterAutospacing="0" w:line="360" w:lineRule="auto"/>
              <w:rPr>
                <w:b/>
              </w:rPr>
            </w:pPr>
            <w:r>
              <w:rPr>
                <w:b/>
                <w:color w:val="000000"/>
                <w:kern w:val="2"/>
                <w:lang w:eastAsia="ko-KR"/>
              </w:rPr>
              <w:t>Folic a</w:t>
            </w:r>
            <w:r w:rsidRPr="00944B15">
              <w:rPr>
                <w:b/>
                <w:color w:val="000000"/>
                <w:kern w:val="2"/>
                <w:lang w:eastAsia="ko-KR"/>
              </w:rPr>
              <w:t>cid</w:t>
            </w:r>
          </w:p>
        </w:tc>
      </w:tr>
      <w:tr w:rsidR="00214907" w:rsidRPr="00944B15" w14:paraId="5C8E803B" w14:textId="77777777" w:rsidTr="002D6DD7">
        <w:trPr>
          <w:jc w:val="center"/>
        </w:trPr>
        <w:tc>
          <w:tcPr>
            <w:tcW w:w="2605" w:type="dxa"/>
            <w:hideMark/>
          </w:tcPr>
          <w:p w14:paraId="0CC6426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2CEEB47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Vitamin</w:t>
            </w:r>
          </w:p>
        </w:tc>
      </w:tr>
      <w:tr w:rsidR="00214907" w:rsidRPr="00944B15" w14:paraId="3661F5A9" w14:textId="77777777" w:rsidTr="002D6DD7">
        <w:trPr>
          <w:jc w:val="center"/>
        </w:trPr>
        <w:tc>
          <w:tcPr>
            <w:tcW w:w="2605" w:type="dxa"/>
            <w:hideMark/>
          </w:tcPr>
          <w:p w14:paraId="61DA32C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0ADC096B"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Tablet: 0.4mg ,1mg, 5mg</w:t>
            </w:r>
          </w:p>
        </w:tc>
      </w:tr>
      <w:tr w:rsidR="00214907" w:rsidRPr="00944B15" w14:paraId="3CFEEAB5" w14:textId="77777777" w:rsidTr="002D6DD7">
        <w:trPr>
          <w:jc w:val="center"/>
        </w:trPr>
        <w:tc>
          <w:tcPr>
            <w:tcW w:w="2605" w:type="dxa"/>
            <w:hideMark/>
          </w:tcPr>
          <w:p w14:paraId="671A192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6F44C9C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szCs w:val="24"/>
              </w:rPr>
              <w:t>For prevention and treatment of folic acid deficiency states, including megaloblastic anemia and in anemia of nutritional origin, pregnancy, infancy, or childhood</w:t>
            </w:r>
          </w:p>
        </w:tc>
      </w:tr>
      <w:tr w:rsidR="00214907" w:rsidRPr="00944B15" w14:paraId="2311E7ED" w14:textId="77777777" w:rsidTr="002D6DD7">
        <w:trPr>
          <w:jc w:val="center"/>
        </w:trPr>
        <w:tc>
          <w:tcPr>
            <w:tcW w:w="2605" w:type="dxa"/>
            <w:hideMark/>
          </w:tcPr>
          <w:p w14:paraId="1A7EF9CC"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1441CAFF"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Adult</w:t>
            </w:r>
          </w:p>
          <w:p w14:paraId="3B1561D8" w14:textId="77777777" w:rsidR="00214907"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Folate-de</w:t>
            </w:r>
            <w:r>
              <w:rPr>
                <w:rFonts w:eastAsia="Times New Roman" w:cs="Times New Roman"/>
                <w:b/>
                <w:color w:val="000000"/>
                <w:szCs w:val="24"/>
              </w:rPr>
              <w:t xml:space="preserve">ficiency, megaloblastic anemia: </w:t>
            </w:r>
          </w:p>
          <w:p w14:paraId="3E5760B4" w14:textId="77777777" w:rsidR="00214907" w:rsidRPr="00944B15" w:rsidRDefault="00214907" w:rsidP="002D6DD7">
            <w:pPr>
              <w:contextualSpacing/>
              <w:jc w:val="both"/>
              <w:rPr>
                <w:rFonts w:eastAsia="Times New Roman" w:cs="Times New Roman"/>
                <w:color w:val="000000"/>
                <w:szCs w:val="24"/>
              </w:rPr>
            </w:pPr>
            <w:r>
              <w:rPr>
                <w:rFonts w:eastAsia="Times New Roman" w:cs="Times New Roman"/>
                <w:color w:val="000000"/>
                <w:szCs w:val="24"/>
              </w:rPr>
              <w:t>O</w:t>
            </w:r>
            <w:r w:rsidRPr="00AC2E8C">
              <w:rPr>
                <w:rFonts w:eastAsia="Times New Roman" w:cs="Times New Roman"/>
                <w:color w:val="000000"/>
                <w:szCs w:val="24"/>
              </w:rPr>
              <w:t>ral</w:t>
            </w:r>
            <w:r>
              <w:rPr>
                <w:rFonts w:eastAsia="Times New Roman" w:cs="Times New Roman"/>
                <w:color w:val="000000"/>
                <w:szCs w:val="24"/>
              </w:rPr>
              <w:t xml:space="preserve">: </w:t>
            </w:r>
            <w:r w:rsidRPr="00944B15">
              <w:rPr>
                <w:rFonts w:eastAsia="Times New Roman" w:cs="Times New Roman"/>
                <w:color w:val="000000"/>
                <w:szCs w:val="24"/>
              </w:rPr>
              <w:t>5 mg daily for 4 months (in pregnancy continued to term), up to 15mg daily may be necessary in malabsorption states</w:t>
            </w:r>
          </w:p>
          <w:p w14:paraId="3925ACF0" w14:textId="77777777" w:rsidR="00214907"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Prevention of first occ</w:t>
            </w:r>
            <w:r>
              <w:rPr>
                <w:rFonts w:eastAsia="Times New Roman" w:cs="Times New Roman"/>
                <w:b/>
                <w:color w:val="000000"/>
                <w:szCs w:val="24"/>
              </w:rPr>
              <w:t>urrence of neural tube defects:</w:t>
            </w:r>
          </w:p>
          <w:p w14:paraId="75683AF7" w14:textId="77777777" w:rsidR="00214907" w:rsidRPr="00944B15" w:rsidRDefault="00214907" w:rsidP="002D6DD7">
            <w:pPr>
              <w:contextualSpacing/>
              <w:jc w:val="both"/>
              <w:rPr>
                <w:rFonts w:eastAsia="Times New Roman" w:cs="Times New Roman"/>
                <w:color w:val="000000"/>
                <w:szCs w:val="24"/>
              </w:rPr>
            </w:pPr>
            <w:r>
              <w:rPr>
                <w:rFonts w:eastAsia="Times New Roman" w:cs="Times New Roman"/>
                <w:color w:val="000000"/>
                <w:szCs w:val="24"/>
              </w:rPr>
              <w:t>O</w:t>
            </w:r>
            <w:r w:rsidRPr="00AC2E8C">
              <w:rPr>
                <w:rFonts w:eastAsia="Times New Roman" w:cs="Times New Roman"/>
                <w:color w:val="000000"/>
                <w:szCs w:val="24"/>
              </w:rPr>
              <w:t>ral:</w:t>
            </w:r>
            <w:r>
              <w:rPr>
                <w:rFonts w:eastAsia="Times New Roman" w:cs="Times New Roman"/>
                <w:color w:val="000000"/>
                <w:szCs w:val="24"/>
              </w:rPr>
              <w:t xml:space="preserve"> </w:t>
            </w:r>
            <w:r w:rsidRPr="00944B15">
              <w:rPr>
                <w:rFonts w:eastAsia="Times New Roman" w:cs="Times New Roman"/>
                <w:color w:val="000000"/>
                <w:szCs w:val="24"/>
              </w:rPr>
              <w:t>400 m</w:t>
            </w:r>
            <w:r>
              <w:rPr>
                <w:rFonts w:eastAsia="Times New Roman" w:cs="Times New Roman"/>
                <w:color w:val="000000"/>
                <w:szCs w:val="24"/>
              </w:rPr>
              <w:t>cg</w:t>
            </w:r>
            <w:r w:rsidRPr="00944B15">
              <w:rPr>
                <w:rFonts w:eastAsia="Times New Roman" w:cs="Times New Roman"/>
                <w:color w:val="000000"/>
                <w:szCs w:val="24"/>
              </w:rPr>
              <w:t xml:space="preserve"> daily before conception and during the first 12 weeks of pregnancy</w:t>
            </w:r>
          </w:p>
          <w:p w14:paraId="3AAB1662" w14:textId="77777777" w:rsidR="00214907" w:rsidRDefault="00214907" w:rsidP="002D6DD7">
            <w:pPr>
              <w:contextualSpacing/>
              <w:jc w:val="both"/>
              <w:rPr>
                <w:rFonts w:eastAsia="Times New Roman" w:cs="Times New Roman"/>
                <w:b/>
                <w:color w:val="000000"/>
                <w:szCs w:val="24"/>
              </w:rPr>
            </w:pPr>
            <w:r w:rsidRPr="00944B15">
              <w:rPr>
                <w:rFonts w:eastAsia="Times New Roman" w:cs="Times New Roman"/>
                <w:color w:val="000000"/>
                <w:szCs w:val="24"/>
              </w:rPr>
              <w:t>Pr</w:t>
            </w:r>
            <w:r w:rsidRPr="00944B15">
              <w:rPr>
                <w:rFonts w:eastAsia="Times New Roman" w:cs="Times New Roman"/>
                <w:b/>
                <w:color w:val="000000"/>
                <w:szCs w:val="24"/>
              </w:rPr>
              <w:t>evention of re</w:t>
            </w:r>
            <w:r>
              <w:rPr>
                <w:rFonts w:eastAsia="Times New Roman" w:cs="Times New Roman"/>
                <w:b/>
                <w:color w:val="000000"/>
                <w:szCs w:val="24"/>
              </w:rPr>
              <w:t>currence of neural tube defects:</w:t>
            </w:r>
          </w:p>
          <w:p w14:paraId="508682CB" w14:textId="77777777" w:rsidR="00214907" w:rsidRPr="00944B15" w:rsidRDefault="00214907" w:rsidP="002D6DD7">
            <w:pPr>
              <w:contextualSpacing/>
              <w:jc w:val="both"/>
              <w:rPr>
                <w:rFonts w:eastAsia="Times New Roman" w:cs="Times New Roman"/>
                <w:color w:val="000000"/>
                <w:szCs w:val="24"/>
              </w:rPr>
            </w:pPr>
            <w:r w:rsidRPr="00AC2E8C">
              <w:rPr>
                <w:rFonts w:eastAsia="Times New Roman" w:cs="Times New Roman"/>
                <w:color w:val="000000"/>
                <w:szCs w:val="24"/>
              </w:rPr>
              <w:t>Oral:</w:t>
            </w:r>
            <w:r>
              <w:rPr>
                <w:rFonts w:eastAsia="Times New Roman" w:cs="Times New Roman"/>
                <w:color w:val="000000"/>
                <w:szCs w:val="24"/>
              </w:rPr>
              <w:t xml:space="preserve"> </w:t>
            </w:r>
            <w:r w:rsidRPr="00944B15">
              <w:rPr>
                <w:rFonts w:eastAsia="Times New Roman" w:cs="Times New Roman"/>
                <w:color w:val="000000"/>
                <w:szCs w:val="24"/>
              </w:rPr>
              <w:t>5mg daily (reduce to 4 mg daily, if suitable preparation available) from at least 4 weeks before conception until 12th week of pregnancy</w:t>
            </w:r>
          </w:p>
          <w:p w14:paraId="535493BD" w14:textId="77777777" w:rsidR="00214907" w:rsidRPr="00944B15" w:rsidRDefault="00214907" w:rsidP="002D6DD7">
            <w:pPr>
              <w:widowControl w:val="0"/>
              <w:autoSpaceDE w:val="0"/>
              <w:autoSpaceDN w:val="0"/>
              <w:ind w:left="360" w:hanging="360"/>
              <w:jc w:val="both"/>
              <w:rPr>
                <w:rFonts w:eastAsia="Times New Roman" w:cs="Times New Roman"/>
                <w:color w:val="000000"/>
                <w:szCs w:val="24"/>
              </w:rPr>
            </w:pPr>
            <w:r w:rsidRPr="00944B15">
              <w:rPr>
                <w:rFonts w:eastAsia="Times New Roman" w:cs="Times New Roman"/>
                <w:b/>
                <w:color w:val="000000"/>
                <w:szCs w:val="24"/>
              </w:rPr>
              <w:t>Pediatric</w:t>
            </w:r>
            <w:r w:rsidRPr="00944B15">
              <w:rPr>
                <w:rFonts w:eastAsia="Times New Roman" w:cs="Times New Roman"/>
                <w:color w:val="000000"/>
                <w:szCs w:val="24"/>
              </w:rPr>
              <w:t>:</w:t>
            </w:r>
          </w:p>
          <w:p w14:paraId="6EB4AC5F"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Folate d</w:t>
            </w:r>
            <w:r>
              <w:rPr>
                <w:rFonts w:eastAsia="Times New Roman" w:cs="Times New Roman"/>
                <w:b/>
                <w:color w:val="000000"/>
                <w:szCs w:val="24"/>
              </w:rPr>
              <w:t>eficiency, megaloblastic anemia:</w:t>
            </w:r>
            <w:r w:rsidRPr="00944B15">
              <w:rPr>
                <w:rFonts w:eastAsia="Times New Roman" w:cs="Times New Roman"/>
                <w:b/>
                <w:color w:val="000000"/>
                <w:szCs w:val="24"/>
              </w:rPr>
              <w:t xml:space="preserve"> </w:t>
            </w:r>
            <w:r w:rsidRPr="00AC2E8C">
              <w:rPr>
                <w:rFonts w:eastAsia="Times New Roman" w:cs="Times New Roman"/>
                <w:color w:val="000000"/>
                <w:szCs w:val="24"/>
              </w:rPr>
              <w:t xml:space="preserve">oral </w:t>
            </w:r>
          </w:p>
          <w:p w14:paraId="2445BC3D" w14:textId="77777777" w:rsidR="00214907" w:rsidRPr="00944B15" w:rsidRDefault="00214907" w:rsidP="002D6DD7">
            <w:pPr>
              <w:jc w:val="both"/>
              <w:rPr>
                <w:rFonts w:eastAsia="Times New Roman" w:cs="Times New Roman"/>
                <w:color w:val="000000"/>
                <w:szCs w:val="24"/>
              </w:rPr>
            </w:pPr>
            <w:r w:rsidRPr="00AC2E8C">
              <w:rPr>
                <w:rFonts w:eastAsia="Times New Roman" w:cs="Times New Roman"/>
                <w:b/>
                <w:color w:val="000000"/>
                <w:szCs w:val="24"/>
              </w:rPr>
              <w:t>Neonate to child 1 year:</w:t>
            </w:r>
            <w:r>
              <w:rPr>
                <w:rFonts w:eastAsia="Times New Roman" w:cs="Times New Roman"/>
                <w:color w:val="000000"/>
                <w:szCs w:val="24"/>
              </w:rPr>
              <w:t xml:space="preserve"> i</w:t>
            </w:r>
            <w:r w:rsidRPr="00944B15">
              <w:rPr>
                <w:rFonts w:eastAsia="Times New Roman" w:cs="Times New Roman"/>
                <w:color w:val="000000"/>
                <w:szCs w:val="24"/>
              </w:rPr>
              <w:t>nitially 500 m</w:t>
            </w:r>
            <w:r>
              <w:rPr>
                <w:rFonts w:eastAsia="Times New Roman" w:cs="Times New Roman"/>
                <w:color w:val="000000"/>
                <w:szCs w:val="24"/>
              </w:rPr>
              <w:t>cg</w:t>
            </w:r>
            <w:r w:rsidRPr="00944B15">
              <w:rPr>
                <w:rFonts w:eastAsia="Times New Roman" w:cs="Times New Roman"/>
                <w:color w:val="000000"/>
                <w:szCs w:val="24"/>
              </w:rPr>
              <w:t>/kg (maximum 5 mg) once daily for up to 4 months; up to 10 mg once daily may be required in malabsorption states</w:t>
            </w:r>
          </w:p>
          <w:p w14:paraId="2253303A" w14:textId="77777777" w:rsidR="00214907" w:rsidRPr="00944B15" w:rsidRDefault="00214907" w:rsidP="002D6DD7">
            <w:pPr>
              <w:jc w:val="both"/>
              <w:rPr>
                <w:rFonts w:eastAsia="Times New Roman" w:cs="Times New Roman"/>
                <w:color w:val="000000"/>
                <w:szCs w:val="24"/>
              </w:rPr>
            </w:pPr>
            <w:r w:rsidRPr="00AC2E8C">
              <w:rPr>
                <w:rFonts w:eastAsia="Times New Roman" w:cs="Times New Roman"/>
                <w:b/>
                <w:color w:val="000000"/>
                <w:szCs w:val="24"/>
              </w:rPr>
              <w:t>Child over 1 year:</w:t>
            </w:r>
            <w:r w:rsidRPr="00944B15">
              <w:rPr>
                <w:rFonts w:eastAsia="Times New Roman" w:cs="Times New Roman"/>
                <w:color w:val="000000"/>
                <w:szCs w:val="24"/>
              </w:rPr>
              <w:t xml:space="preserve"> 5 mg daily for 4 months; up to 15 mg daily may be required in malabsorption states</w:t>
            </w:r>
          </w:p>
          <w:p w14:paraId="6C6DE028"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Hemolyt</w:t>
            </w:r>
            <w:r>
              <w:rPr>
                <w:rFonts w:eastAsia="Times New Roman" w:cs="Times New Roman"/>
                <w:b/>
                <w:color w:val="000000"/>
                <w:szCs w:val="24"/>
              </w:rPr>
              <w:t>ic anemia:</w:t>
            </w:r>
            <w:r w:rsidRPr="00944B15">
              <w:rPr>
                <w:rFonts w:eastAsia="Times New Roman" w:cs="Times New Roman"/>
                <w:b/>
                <w:color w:val="000000"/>
                <w:szCs w:val="24"/>
              </w:rPr>
              <w:t xml:space="preserve"> </w:t>
            </w:r>
            <w:r w:rsidRPr="00AC2E8C">
              <w:rPr>
                <w:rFonts w:eastAsia="Times New Roman" w:cs="Times New Roman"/>
                <w:color w:val="000000"/>
                <w:szCs w:val="24"/>
              </w:rPr>
              <w:t>oral</w:t>
            </w:r>
          </w:p>
          <w:p w14:paraId="4E3D5C7C" w14:textId="77777777" w:rsidR="00214907" w:rsidRPr="00944B15" w:rsidRDefault="00214907" w:rsidP="002D6DD7">
            <w:pPr>
              <w:contextualSpacing/>
              <w:jc w:val="both"/>
              <w:rPr>
                <w:rFonts w:eastAsia="Times New Roman" w:cs="Times New Roman"/>
                <w:b/>
                <w:color w:val="000000"/>
                <w:szCs w:val="24"/>
              </w:rPr>
            </w:pPr>
            <w:r w:rsidRPr="00AC2E8C">
              <w:rPr>
                <w:rFonts w:eastAsia="Calibri" w:cs="Times New Roman"/>
                <w:b/>
                <w:color w:val="000000"/>
                <w:szCs w:val="24"/>
              </w:rPr>
              <w:t>Child 1 month–12 years:</w:t>
            </w:r>
            <w:r w:rsidRPr="00944B15">
              <w:rPr>
                <w:rFonts w:eastAsia="Calibri" w:cs="Times New Roman"/>
                <w:color w:val="000000"/>
                <w:szCs w:val="24"/>
              </w:rPr>
              <w:t xml:space="preserve"> 2.5–5 mg once daily</w:t>
            </w:r>
          </w:p>
        </w:tc>
      </w:tr>
      <w:tr w:rsidR="00214907" w:rsidRPr="00944B15" w14:paraId="437F5D51" w14:textId="77777777" w:rsidTr="002D6DD7">
        <w:trPr>
          <w:jc w:val="center"/>
        </w:trPr>
        <w:tc>
          <w:tcPr>
            <w:tcW w:w="2605" w:type="dxa"/>
            <w:hideMark/>
          </w:tcPr>
          <w:p w14:paraId="00FB31A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3FABF914" w14:textId="77777777" w:rsidR="00214907" w:rsidRPr="00944B15" w:rsidRDefault="00214907" w:rsidP="002D6DD7">
            <w:pPr>
              <w:autoSpaceDE w:val="0"/>
              <w:autoSpaceDN w:val="0"/>
              <w:adjustRightInd w:val="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xml:space="preserve">, patients with malignant disease. </w:t>
            </w:r>
          </w:p>
        </w:tc>
      </w:tr>
      <w:tr w:rsidR="00214907" w:rsidRPr="00944B15" w14:paraId="4688BC8F" w14:textId="77777777" w:rsidTr="002D6DD7">
        <w:trPr>
          <w:jc w:val="center"/>
        </w:trPr>
        <w:tc>
          <w:tcPr>
            <w:tcW w:w="2605" w:type="dxa"/>
            <w:hideMark/>
          </w:tcPr>
          <w:p w14:paraId="082BC4B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12259318" w14:textId="77777777" w:rsidR="00214907" w:rsidRPr="00944B15" w:rsidRDefault="00214907" w:rsidP="002D6DD7">
            <w:pPr>
              <w:autoSpaceDE w:val="0"/>
              <w:autoSpaceDN w:val="0"/>
              <w:adjustRightInd w:val="0"/>
              <w:jc w:val="both"/>
              <w:rPr>
                <w:rFonts w:cs="Times New Roman"/>
                <w:szCs w:val="24"/>
              </w:rPr>
            </w:pPr>
            <w:r w:rsidRPr="00944B15">
              <w:rPr>
                <w:rFonts w:cs="Times New Roman"/>
                <w:szCs w:val="24"/>
              </w:rPr>
              <w:t>Phenobarbital, phenytoin, sulfasalazine, cholestyramine, trimethoprim, sulphonamides, cotrimoxazole and zinc.</w:t>
            </w:r>
          </w:p>
        </w:tc>
      </w:tr>
      <w:tr w:rsidR="00214907" w:rsidRPr="00944B15" w14:paraId="2950F4ED" w14:textId="77777777" w:rsidTr="002D6DD7">
        <w:trPr>
          <w:jc w:val="center"/>
        </w:trPr>
        <w:tc>
          <w:tcPr>
            <w:tcW w:w="2605" w:type="dxa"/>
            <w:hideMark/>
          </w:tcPr>
          <w:p w14:paraId="06B6A6A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2824DD77" w14:textId="77777777" w:rsidR="00214907" w:rsidRPr="00944B15" w:rsidRDefault="00214907" w:rsidP="002D6DD7">
            <w:pPr>
              <w:autoSpaceDE w:val="0"/>
              <w:autoSpaceDN w:val="0"/>
              <w:adjustRightInd w:val="0"/>
              <w:jc w:val="both"/>
              <w:rPr>
                <w:rFonts w:cs="Times New Roman"/>
                <w:szCs w:val="24"/>
              </w:rPr>
            </w:pPr>
            <w:r w:rsidRPr="00944B15">
              <w:rPr>
                <w:rFonts w:cs="Times New Roman"/>
                <w:szCs w:val="24"/>
              </w:rPr>
              <w:t xml:space="preserve">Allergic reactions including erythema, rash, pruritus, urticaria, </w:t>
            </w:r>
            <w:r w:rsidRPr="00944B15">
              <w:rPr>
                <w:rFonts w:cs="Times New Roman"/>
                <w:szCs w:val="24"/>
              </w:rPr>
              <w:lastRenderedPageBreak/>
              <w:t>dyspnoea, and anaphylactic reactions; abdominal distension, appetite decreased, flatulence and nausea.</w:t>
            </w:r>
          </w:p>
        </w:tc>
      </w:tr>
      <w:tr w:rsidR="00214907" w:rsidRPr="00944B15" w14:paraId="2AE0FB70" w14:textId="77777777" w:rsidTr="002D6DD7">
        <w:trPr>
          <w:jc w:val="center"/>
        </w:trPr>
        <w:tc>
          <w:tcPr>
            <w:tcW w:w="2605" w:type="dxa"/>
            <w:hideMark/>
          </w:tcPr>
          <w:p w14:paraId="21D0E1A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974" w:type="dxa"/>
          </w:tcPr>
          <w:p w14:paraId="656D3D99" w14:textId="77777777" w:rsidR="00214907" w:rsidRPr="00944B15" w:rsidRDefault="00214907" w:rsidP="002D6DD7">
            <w:pPr>
              <w:jc w:val="both"/>
              <w:rPr>
                <w:rFonts w:cs="Times New Roman"/>
                <w:szCs w:val="24"/>
              </w:rPr>
            </w:pPr>
            <w:r w:rsidRPr="00944B15">
              <w:rPr>
                <w:rFonts w:cs="Times New Roman"/>
                <w:szCs w:val="24"/>
              </w:rPr>
              <w:t>Pernicious anaemia or undiagnosed megaloblastic anaemia, in patients receiving coronary stents, hereditary problems of galactose intolerance or glucose-galactose malabsorption.</w:t>
            </w:r>
          </w:p>
        </w:tc>
      </w:tr>
      <w:tr w:rsidR="00214907" w:rsidRPr="00944B15" w14:paraId="063C5B85" w14:textId="77777777" w:rsidTr="002D6DD7">
        <w:trPr>
          <w:jc w:val="center"/>
        </w:trPr>
        <w:tc>
          <w:tcPr>
            <w:tcW w:w="2605" w:type="dxa"/>
            <w:hideMark/>
          </w:tcPr>
          <w:p w14:paraId="141ABDE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60F3DB99" w14:textId="77777777" w:rsidR="00214907" w:rsidRPr="00944B15" w:rsidRDefault="00214907" w:rsidP="002D6DD7">
            <w:pPr>
              <w:jc w:val="both"/>
              <w:rPr>
                <w:rFonts w:eastAsia="Times New Roman" w:cs="Times New Roman"/>
                <w:szCs w:val="24"/>
              </w:rPr>
            </w:pPr>
            <w:r>
              <w:rPr>
                <w:rFonts w:eastAsia="Times New Roman" w:cs="Times New Roman"/>
                <w:szCs w:val="24"/>
              </w:rPr>
              <w:t>Store below 30°</w:t>
            </w:r>
            <w:r w:rsidRPr="00944B15">
              <w:rPr>
                <w:rFonts w:eastAsia="Times New Roman" w:cs="Times New Roman"/>
                <w:szCs w:val="24"/>
              </w:rPr>
              <w:t>C</w:t>
            </w:r>
            <w:r>
              <w:rPr>
                <w:rFonts w:eastAsia="Times New Roman" w:cs="Times New Roman"/>
                <w:szCs w:val="24"/>
              </w:rPr>
              <w:t>.</w:t>
            </w:r>
          </w:p>
        </w:tc>
      </w:tr>
      <w:tr w:rsidR="00214907" w:rsidRPr="00944B15" w14:paraId="284A443D" w14:textId="77777777" w:rsidTr="002D6DD7">
        <w:trPr>
          <w:jc w:val="center"/>
        </w:trPr>
        <w:tc>
          <w:tcPr>
            <w:tcW w:w="9579" w:type="dxa"/>
            <w:gridSpan w:val="2"/>
          </w:tcPr>
          <w:p w14:paraId="548FB61C" w14:textId="77777777" w:rsidR="00214907" w:rsidRPr="00944B15" w:rsidRDefault="00214907" w:rsidP="002D6DD7">
            <w:pPr>
              <w:jc w:val="both"/>
              <w:rPr>
                <w:rFonts w:eastAsia="Times New Roman" w:cs="Times New Roman"/>
                <w:b/>
                <w:szCs w:val="24"/>
              </w:rPr>
            </w:pPr>
            <w:r w:rsidRPr="00944B15">
              <w:rPr>
                <w:rFonts w:eastAsia="Times New Roman" w:cs="Times New Roman"/>
                <w:b/>
                <w:color w:val="000000"/>
                <w:szCs w:val="24"/>
              </w:rPr>
              <w:t>Nicotinamide (vitamin B3)</w:t>
            </w:r>
          </w:p>
        </w:tc>
      </w:tr>
      <w:tr w:rsidR="00214907" w:rsidRPr="00944B15" w14:paraId="57410CA0" w14:textId="77777777" w:rsidTr="002D6DD7">
        <w:trPr>
          <w:trHeight w:val="46"/>
          <w:jc w:val="center"/>
        </w:trPr>
        <w:tc>
          <w:tcPr>
            <w:tcW w:w="2605" w:type="dxa"/>
            <w:hideMark/>
          </w:tcPr>
          <w:p w14:paraId="4428997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649585F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Vitamin </w:t>
            </w:r>
          </w:p>
        </w:tc>
      </w:tr>
      <w:tr w:rsidR="00214907" w:rsidRPr="00944B15" w14:paraId="5B214899" w14:textId="77777777" w:rsidTr="002D6DD7">
        <w:trPr>
          <w:jc w:val="center"/>
        </w:trPr>
        <w:tc>
          <w:tcPr>
            <w:tcW w:w="2605" w:type="dxa"/>
            <w:hideMark/>
          </w:tcPr>
          <w:p w14:paraId="758E434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6DB88709"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 xml:space="preserve">Tablet: 50 mg. </w:t>
            </w:r>
          </w:p>
        </w:tc>
      </w:tr>
      <w:tr w:rsidR="00214907" w:rsidRPr="00944B15" w14:paraId="536F986D" w14:textId="77777777" w:rsidTr="002D6DD7">
        <w:trPr>
          <w:jc w:val="center"/>
        </w:trPr>
        <w:tc>
          <w:tcPr>
            <w:tcW w:w="2605" w:type="dxa"/>
            <w:hideMark/>
          </w:tcPr>
          <w:p w14:paraId="26EAF7D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1F31C56D" w14:textId="77777777" w:rsidR="00214907" w:rsidRPr="00944B15" w:rsidRDefault="00214907" w:rsidP="002D6DD7">
            <w:pPr>
              <w:jc w:val="both"/>
              <w:rPr>
                <w:rFonts w:eastAsia="Times New Roman" w:cs="Times New Roman"/>
                <w:color w:val="000000"/>
                <w:szCs w:val="24"/>
              </w:rPr>
            </w:pPr>
            <w:r>
              <w:rPr>
                <w:rFonts w:eastAsia="Times New Roman" w:cs="Times New Roman"/>
                <w:szCs w:val="24"/>
              </w:rPr>
              <w:t xml:space="preserve">Supplement in </w:t>
            </w:r>
            <w:r w:rsidRPr="00944B15">
              <w:rPr>
                <w:rFonts w:eastAsia="Times New Roman" w:cs="Times New Roman"/>
                <w:szCs w:val="24"/>
              </w:rPr>
              <w:t xml:space="preserve">nutrition in order to meet the daily requirements of the water-soluble vitamins in adults, adolescents, children and infants and used to treat pellagra. </w:t>
            </w:r>
          </w:p>
        </w:tc>
      </w:tr>
      <w:tr w:rsidR="00214907" w:rsidRPr="00944B15" w14:paraId="01978C6C" w14:textId="77777777" w:rsidTr="002D6DD7">
        <w:trPr>
          <w:jc w:val="center"/>
        </w:trPr>
        <w:tc>
          <w:tcPr>
            <w:tcW w:w="2605" w:type="dxa"/>
            <w:hideMark/>
          </w:tcPr>
          <w:p w14:paraId="7B375F6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16547333" w14:textId="77777777" w:rsidR="00214907" w:rsidRPr="00944B15" w:rsidRDefault="00214907" w:rsidP="002D6DD7">
            <w:pPr>
              <w:contextualSpacing/>
              <w:jc w:val="both"/>
              <w:rPr>
                <w:rFonts w:eastAsia="Times New Roman" w:cs="Times New Roman"/>
                <w:b/>
                <w:szCs w:val="24"/>
              </w:rPr>
            </w:pPr>
            <w:r w:rsidRPr="00944B15">
              <w:rPr>
                <w:rFonts w:eastAsia="Times New Roman" w:cs="Times New Roman"/>
                <w:b/>
                <w:szCs w:val="24"/>
              </w:rPr>
              <w:t>Deficiency (prophylaxis),</w:t>
            </w:r>
            <w:r w:rsidRPr="00944B15">
              <w:rPr>
                <w:rFonts w:eastAsia="Times New Roman" w:cs="Times New Roman"/>
                <w:szCs w:val="24"/>
              </w:rPr>
              <w:t xml:space="preserve"> </w:t>
            </w:r>
            <w:r w:rsidRPr="00944B15">
              <w:rPr>
                <w:rFonts w:eastAsia="Times New Roman" w:cs="Times New Roman"/>
                <w:b/>
                <w:szCs w:val="24"/>
              </w:rPr>
              <w:t xml:space="preserve">amount based on normal daily- recommended intakes: </w:t>
            </w:r>
            <w:r>
              <w:rPr>
                <w:rFonts w:eastAsia="Times New Roman" w:cs="Times New Roman"/>
                <w:b/>
                <w:szCs w:val="24"/>
              </w:rPr>
              <w:t>o</w:t>
            </w:r>
            <w:r w:rsidRPr="00944B15">
              <w:rPr>
                <w:rFonts w:eastAsia="Times New Roman" w:cs="Times New Roman"/>
                <w:b/>
                <w:szCs w:val="24"/>
              </w:rPr>
              <w:t>ral</w:t>
            </w:r>
          </w:p>
          <w:p w14:paraId="40D43196"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 xml:space="preserve">Adolescent and adult males: 15 – 20mg, Adolescent and adult males: 3 – 15mg, Pregnant female: 17mg, Breast feeding females: 20mg, Birth to 3 years of age: 5-9mg, 4 to 6 years of age: 12mg , 7 to 10 years of age: 13mg </w:t>
            </w:r>
          </w:p>
          <w:p w14:paraId="277F1AF7" w14:textId="77777777" w:rsidR="00214907" w:rsidRPr="00944B15" w:rsidRDefault="00214907" w:rsidP="002D6DD7">
            <w:pPr>
              <w:jc w:val="both"/>
              <w:rPr>
                <w:rFonts w:eastAsia="Times New Roman" w:cs="Times New Roman"/>
                <w:szCs w:val="24"/>
              </w:rPr>
            </w:pPr>
            <w:r w:rsidRPr="00944B15">
              <w:rPr>
                <w:rFonts w:eastAsia="Times New Roman" w:cs="Times New Roman"/>
                <w:b/>
                <w:szCs w:val="24"/>
              </w:rPr>
              <w:t>Parenteral</w:t>
            </w:r>
            <w:r w:rsidRPr="00944B15">
              <w:rPr>
                <w:rFonts w:eastAsia="Times New Roman" w:cs="Times New Roman"/>
                <w:szCs w:val="24"/>
              </w:rPr>
              <w:t xml:space="preserve">: </w:t>
            </w:r>
          </w:p>
          <w:p w14:paraId="523A368B" w14:textId="77777777" w:rsidR="00214907" w:rsidRPr="00944B15" w:rsidRDefault="00214907" w:rsidP="002D6DD7">
            <w:pPr>
              <w:contextualSpacing/>
              <w:jc w:val="both"/>
              <w:rPr>
                <w:rFonts w:eastAsia="Times New Roman" w:cs="Times New Roman"/>
                <w:color w:val="ED7D31"/>
                <w:szCs w:val="24"/>
              </w:rPr>
            </w:pPr>
            <w:r w:rsidRPr="00944B15">
              <w:rPr>
                <w:rFonts w:eastAsia="Times New Roman" w:cs="Times New Roman"/>
                <w:b/>
                <w:szCs w:val="24"/>
              </w:rPr>
              <w:t>Deficiency (prophylaxis),</w:t>
            </w:r>
            <w:r w:rsidRPr="00944B15">
              <w:rPr>
                <w:rFonts w:eastAsia="Times New Roman" w:cs="Times New Roman"/>
                <w:szCs w:val="24"/>
              </w:rPr>
              <w:t xml:space="preserve"> </w:t>
            </w:r>
            <w:r w:rsidRPr="00944B15">
              <w:rPr>
                <w:rFonts w:eastAsia="Times New Roman" w:cs="Times New Roman"/>
                <w:b/>
                <w:szCs w:val="24"/>
              </w:rPr>
              <w:t>IV infusion</w:t>
            </w:r>
            <w:r w:rsidRPr="00944B15">
              <w:rPr>
                <w:rFonts w:eastAsia="Times New Roman" w:cs="Times New Roman"/>
                <w:szCs w:val="24"/>
              </w:rPr>
              <w:t xml:space="preserve">: as part of total parenteral nutrition (TPN) solutions, the specific amount determined by individual patient need. </w:t>
            </w:r>
          </w:p>
          <w:p w14:paraId="1E4B50E8" w14:textId="77777777" w:rsidR="00214907" w:rsidRPr="00944B15" w:rsidRDefault="00214907" w:rsidP="002D6DD7">
            <w:pPr>
              <w:contextualSpacing/>
              <w:jc w:val="both"/>
              <w:rPr>
                <w:rFonts w:eastAsia="Times New Roman" w:cs="Times New Roman"/>
                <w:szCs w:val="24"/>
              </w:rPr>
            </w:pPr>
            <w:r w:rsidRPr="00944B15">
              <w:rPr>
                <w:rFonts w:eastAsia="Times New Roman" w:cs="Times New Roman"/>
                <w:b/>
                <w:szCs w:val="24"/>
              </w:rPr>
              <w:t>Treatment</w:t>
            </w:r>
            <w:r>
              <w:rPr>
                <w:rFonts w:eastAsia="Times New Roman" w:cs="Times New Roman"/>
                <w:b/>
                <w:szCs w:val="24"/>
              </w:rPr>
              <w:t xml:space="preserve"> of deficiency of </w:t>
            </w:r>
            <w:r w:rsidRPr="00944B15">
              <w:rPr>
                <w:rFonts w:eastAsia="Times New Roman" w:cs="Times New Roman"/>
                <w:b/>
                <w:color w:val="000000"/>
                <w:szCs w:val="24"/>
              </w:rPr>
              <w:t>vitamin B3</w:t>
            </w:r>
            <w:r w:rsidRPr="00944B15">
              <w:rPr>
                <w:rFonts w:eastAsia="Times New Roman" w:cs="Times New Roman"/>
                <w:b/>
                <w:szCs w:val="24"/>
              </w:rPr>
              <w:t xml:space="preserve"> (</w:t>
            </w:r>
            <w:r>
              <w:rPr>
                <w:rFonts w:eastAsia="Times New Roman" w:cs="Times New Roman"/>
                <w:b/>
                <w:szCs w:val="24"/>
              </w:rPr>
              <w:t>pellagra</w:t>
            </w:r>
            <w:r w:rsidRPr="00944B15">
              <w:rPr>
                <w:rFonts w:eastAsia="Times New Roman" w:cs="Times New Roman"/>
                <w:b/>
                <w:szCs w:val="24"/>
              </w:rPr>
              <w:t>)</w:t>
            </w:r>
          </w:p>
          <w:p w14:paraId="4A6BA906" w14:textId="77777777" w:rsidR="00214907" w:rsidRDefault="00214907" w:rsidP="002D6DD7">
            <w:pPr>
              <w:jc w:val="both"/>
              <w:rPr>
                <w:rFonts w:eastAsia="Times New Roman" w:cs="Times New Roman"/>
                <w:szCs w:val="24"/>
              </w:rPr>
            </w:pPr>
            <w:r w:rsidRPr="00944B15">
              <w:rPr>
                <w:rFonts w:eastAsia="Times New Roman" w:cs="Times New Roman"/>
                <w:b/>
                <w:szCs w:val="24"/>
              </w:rPr>
              <w:t>Adult: IM</w:t>
            </w:r>
            <w:r w:rsidRPr="00944B15">
              <w:rPr>
                <w:rFonts w:eastAsia="Times New Roman" w:cs="Times New Roman"/>
                <w:szCs w:val="24"/>
              </w:rPr>
              <w:t xml:space="preserve">: 50 to 100 mg five to more times a day; </w:t>
            </w:r>
          </w:p>
          <w:p w14:paraId="1F4035BB" w14:textId="77777777" w:rsidR="00214907" w:rsidRDefault="00214907" w:rsidP="002D6DD7">
            <w:pPr>
              <w:jc w:val="both"/>
              <w:rPr>
                <w:rFonts w:eastAsia="Times New Roman" w:cs="Times New Roman"/>
                <w:szCs w:val="24"/>
              </w:rPr>
            </w:pPr>
            <w:r w:rsidRPr="00944B15">
              <w:rPr>
                <w:rFonts w:eastAsia="Times New Roman" w:cs="Times New Roman"/>
                <w:b/>
                <w:szCs w:val="24"/>
              </w:rPr>
              <w:t>IV (slow)</w:t>
            </w:r>
            <w:r w:rsidRPr="00944B15">
              <w:rPr>
                <w:rFonts w:eastAsia="Times New Roman" w:cs="Times New Roman"/>
                <w:szCs w:val="24"/>
              </w:rPr>
              <w:t xml:space="preserve">: 25 to 100 mg 2 or more times a day; </w:t>
            </w:r>
          </w:p>
          <w:p w14:paraId="7D5A05A5" w14:textId="77777777" w:rsidR="00214907" w:rsidRPr="00944B15" w:rsidRDefault="00214907" w:rsidP="002D6DD7">
            <w:pPr>
              <w:jc w:val="both"/>
              <w:rPr>
                <w:rFonts w:eastAsia="Times New Roman" w:cs="Times New Roman"/>
                <w:color w:val="ED7D31"/>
                <w:szCs w:val="24"/>
              </w:rPr>
            </w:pPr>
            <w:r w:rsidRPr="00944B15">
              <w:rPr>
                <w:rFonts w:eastAsia="Calibri" w:cs="Times New Roman"/>
                <w:b/>
                <w:color w:val="000000"/>
                <w:szCs w:val="24"/>
              </w:rPr>
              <w:t>Child</w:t>
            </w:r>
            <w:r w:rsidRPr="00944B15">
              <w:rPr>
                <w:rFonts w:eastAsia="Calibri" w:cs="Times New Roman"/>
                <w:color w:val="000000"/>
                <w:szCs w:val="24"/>
              </w:rPr>
              <w:t xml:space="preserve">, </w:t>
            </w:r>
            <w:r w:rsidRPr="00944B15">
              <w:rPr>
                <w:rFonts w:eastAsia="Calibri" w:cs="Times New Roman"/>
                <w:b/>
                <w:color w:val="000000"/>
                <w:szCs w:val="24"/>
              </w:rPr>
              <w:t>IV (slow):</w:t>
            </w:r>
            <w:r w:rsidRPr="00944B15">
              <w:rPr>
                <w:rFonts w:eastAsia="Calibri" w:cs="Times New Roman"/>
                <w:color w:val="000000"/>
                <w:szCs w:val="24"/>
              </w:rPr>
              <w:t xml:space="preserve"> up to 300 mg a day</w:t>
            </w:r>
          </w:p>
        </w:tc>
      </w:tr>
      <w:tr w:rsidR="00214907" w:rsidRPr="00944B15" w14:paraId="66683A45" w14:textId="77777777" w:rsidTr="002D6DD7">
        <w:trPr>
          <w:jc w:val="center"/>
        </w:trPr>
        <w:tc>
          <w:tcPr>
            <w:tcW w:w="2605" w:type="dxa"/>
            <w:hideMark/>
          </w:tcPr>
          <w:p w14:paraId="2DF2B9E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53D32611"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Hypersensitivity</w:t>
            </w:r>
            <w:r>
              <w:rPr>
                <w:rFonts w:eastAsia="Times New Roman" w:cs="Times New Roman"/>
                <w:szCs w:val="24"/>
              </w:rPr>
              <w:t xml:space="preserve"> to the drug</w:t>
            </w:r>
            <w:r w:rsidRPr="00944B15">
              <w:rPr>
                <w:rFonts w:eastAsia="Times New Roman" w:cs="Times New Roman"/>
                <w:szCs w:val="24"/>
              </w:rPr>
              <w:t xml:space="preserve">  </w:t>
            </w:r>
          </w:p>
        </w:tc>
      </w:tr>
      <w:tr w:rsidR="00214907" w:rsidRPr="00944B15" w14:paraId="58ACBD8E" w14:textId="77777777" w:rsidTr="002D6DD7">
        <w:trPr>
          <w:jc w:val="center"/>
        </w:trPr>
        <w:tc>
          <w:tcPr>
            <w:tcW w:w="2605" w:type="dxa"/>
            <w:hideMark/>
          </w:tcPr>
          <w:p w14:paraId="4790545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070151D3" w14:textId="77777777" w:rsidR="00214907" w:rsidRPr="00944B15" w:rsidRDefault="00214907" w:rsidP="002D6DD7">
            <w:pPr>
              <w:rPr>
                <w:rFonts w:eastAsia="Times New Roman" w:cs="Times New Roman"/>
                <w:color w:val="000000" w:themeColor="text1"/>
                <w:szCs w:val="24"/>
              </w:rPr>
            </w:pPr>
            <w:r w:rsidRPr="001120AC">
              <w:rPr>
                <w:rFonts w:eastAsia="Times New Roman" w:cs="Times New Roman"/>
                <w:szCs w:val="24"/>
              </w:rPr>
              <w:t xml:space="preserve">Anti-diabetic medications, </w:t>
            </w:r>
            <w:r w:rsidRPr="00944B15">
              <w:rPr>
                <w:rFonts w:eastAsia="Times New Roman" w:cs="Times New Roman"/>
                <w:color w:val="000000" w:themeColor="text1"/>
                <w:szCs w:val="24"/>
              </w:rPr>
              <w:t>statins, tetracycline antibiotics</w:t>
            </w:r>
          </w:p>
        </w:tc>
      </w:tr>
      <w:tr w:rsidR="00214907" w:rsidRPr="00944B15" w14:paraId="55CF2AFC" w14:textId="77777777" w:rsidTr="002D6DD7">
        <w:trPr>
          <w:jc w:val="center"/>
        </w:trPr>
        <w:tc>
          <w:tcPr>
            <w:tcW w:w="2605" w:type="dxa"/>
            <w:hideMark/>
          </w:tcPr>
          <w:p w14:paraId="75F0C95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316A4B15"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Anaphy</w:t>
            </w:r>
            <w:r>
              <w:rPr>
                <w:rFonts w:eastAsia="Times New Roman" w:cs="Times New Roman"/>
                <w:szCs w:val="24"/>
              </w:rPr>
              <w:t>lactic reaction (injection)</w:t>
            </w:r>
            <w:r w:rsidRPr="00944B15">
              <w:rPr>
                <w:rFonts w:eastAsia="Times New Roman" w:cs="Times New Roman"/>
                <w:szCs w:val="24"/>
              </w:rPr>
              <w:t>, hepatotoxicity</w:t>
            </w:r>
          </w:p>
        </w:tc>
      </w:tr>
      <w:tr w:rsidR="00214907" w:rsidRPr="00944B15" w14:paraId="2F6DBF3A" w14:textId="77777777" w:rsidTr="002D6DD7">
        <w:trPr>
          <w:jc w:val="center"/>
        </w:trPr>
        <w:tc>
          <w:tcPr>
            <w:tcW w:w="2605" w:type="dxa"/>
            <w:hideMark/>
          </w:tcPr>
          <w:p w14:paraId="07B0F4E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2AAFA586" w14:textId="77777777" w:rsidR="00214907" w:rsidRPr="00944B15" w:rsidRDefault="00214907" w:rsidP="002D6DD7">
            <w:pPr>
              <w:jc w:val="both"/>
              <w:rPr>
                <w:rFonts w:eastAsia="Times New Roman" w:cs="Times New Roman"/>
                <w:szCs w:val="24"/>
                <w:vertAlign w:val="superscript"/>
              </w:rPr>
            </w:pPr>
            <w:r w:rsidRPr="00944B15">
              <w:rPr>
                <w:rFonts w:eastAsia="Times New Roman" w:cs="Times New Roman"/>
                <w:szCs w:val="24"/>
              </w:rPr>
              <w:t xml:space="preserve">Gallbladder disease or a history of jaundice or liver disease, diabetes </w:t>
            </w:r>
            <w:r w:rsidRPr="00944B15">
              <w:rPr>
                <w:rFonts w:eastAsia="Times New Roman" w:cs="Times New Roman"/>
                <w:szCs w:val="24"/>
              </w:rPr>
              <w:lastRenderedPageBreak/>
              <w:t xml:space="preserve">mellitus, gout, peptic ulcer, allergy or pregnant. </w:t>
            </w:r>
          </w:p>
        </w:tc>
      </w:tr>
      <w:tr w:rsidR="00214907" w:rsidRPr="00944B15" w14:paraId="031679CF" w14:textId="77777777" w:rsidTr="002D6DD7">
        <w:trPr>
          <w:jc w:val="center"/>
        </w:trPr>
        <w:tc>
          <w:tcPr>
            <w:tcW w:w="2605" w:type="dxa"/>
            <w:hideMark/>
          </w:tcPr>
          <w:p w14:paraId="204DDAB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Storage condition</w:t>
            </w:r>
          </w:p>
        </w:tc>
        <w:tc>
          <w:tcPr>
            <w:tcW w:w="6974" w:type="dxa"/>
          </w:tcPr>
          <w:p w14:paraId="65CCF66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 xml:space="preserve">Store below 30°C. </w:t>
            </w:r>
          </w:p>
        </w:tc>
      </w:tr>
      <w:tr w:rsidR="00214907" w:rsidRPr="00944B15" w14:paraId="4374EA76" w14:textId="77777777" w:rsidTr="002D6DD7">
        <w:trPr>
          <w:jc w:val="center"/>
        </w:trPr>
        <w:tc>
          <w:tcPr>
            <w:tcW w:w="9579" w:type="dxa"/>
            <w:gridSpan w:val="2"/>
          </w:tcPr>
          <w:p w14:paraId="104BB53F" w14:textId="77777777" w:rsidR="00214907" w:rsidRPr="00944B15" w:rsidRDefault="00214907" w:rsidP="002D6DD7">
            <w:pPr>
              <w:jc w:val="both"/>
              <w:rPr>
                <w:rFonts w:eastAsia="Times New Roman" w:cs="Times New Roman"/>
                <w:b/>
                <w:szCs w:val="24"/>
              </w:rPr>
            </w:pPr>
            <w:r w:rsidRPr="00944B15">
              <w:rPr>
                <w:rFonts w:eastAsia="Times New Roman" w:cs="Times New Roman"/>
                <w:b/>
                <w:color w:val="000000"/>
                <w:szCs w:val="24"/>
              </w:rPr>
              <w:t>Phytomenadiaone (Vitamin k1)</w:t>
            </w:r>
          </w:p>
        </w:tc>
      </w:tr>
      <w:tr w:rsidR="00214907" w:rsidRPr="00944B15" w14:paraId="0103A8A4" w14:textId="77777777" w:rsidTr="002D6DD7">
        <w:trPr>
          <w:jc w:val="center"/>
        </w:trPr>
        <w:tc>
          <w:tcPr>
            <w:tcW w:w="2605" w:type="dxa"/>
            <w:hideMark/>
          </w:tcPr>
          <w:p w14:paraId="775380A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597BE4C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Vitamin</w:t>
            </w:r>
            <w:r>
              <w:rPr>
                <w:rFonts w:eastAsia="Times New Roman" w:cs="Times New Roman"/>
                <w:color w:val="000000"/>
                <w:szCs w:val="24"/>
              </w:rPr>
              <w:t xml:space="preserve"> K</w:t>
            </w:r>
          </w:p>
        </w:tc>
      </w:tr>
      <w:tr w:rsidR="00214907" w:rsidRPr="00944B15" w14:paraId="14941D68" w14:textId="77777777" w:rsidTr="002D6DD7">
        <w:trPr>
          <w:jc w:val="center"/>
        </w:trPr>
        <w:tc>
          <w:tcPr>
            <w:tcW w:w="2605" w:type="dxa"/>
            <w:hideMark/>
          </w:tcPr>
          <w:p w14:paraId="04695DF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5946A40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Injection, 1mg/0.5</w:t>
            </w:r>
            <w:r>
              <w:rPr>
                <w:rFonts w:eastAsia="Times New Roman" w:cs="Times New Roman"/>
                <w:color w:val="000000"/>
                <w:szCs w:val="24"/>
              </w:rPr>
              <w:t>ml</w:t>
            </w:r>
            <w:r w:rsidRPr="00944B15">
              <w:rPr>
                <w:rFonts w:eastAsia="Times New Roman" w:cs="Times New Roman"/>
                <w:color w:val="000000"/>
                <w:szCs w:val="24"/>
              </w:rPr>
              <w:t>, 10mg/</w:t>
            </w:r>
            <w:r>
              <w:rPr>
                <w:rFonts w:eastAsia="Times New Roman" w:cs="Times New Roman"/>
                <w:color w:val="000000"/>
                <w:szCs w:val="24"/>
              </w:rPr>
              <w:t>ml</w:t>
            </w:r>
            <w:r w:rsidRPr="00944B15">
              <w:rPr>
                <w:rFonts w:eastAsia="Times New Roman" w:cs="Times New Roman"/>
                <w:color w:val="000000"/>
                <w:szCs w:val="24"/>
              </w:rPr>
              <w:t xml:space="preserve"> in 1</w:t>
            </w:r>
            <w:r>
              <w:rPr>
                <w:rFonts w:eastAsia="Times New Roman" w:cs="Times New Roman"/>
                <w:color w:val="000000"/>
                <w:szCs w:val="24"/>
              </w:rPr>
              <w:t>ml</w:t>
            </w:r>
            <w:r w:rsidRPr="00944B15">
              <w:rPr>
                <w:rFonts w:eastAsia="Times New Roman" w:cs="Times New Roman"/>
                <w:color w:val="000000"/>
                <w:szCs w:val="24"/>
              </w:rPr>
              <w:t xml:space="preserve"> ampoule</w:t>
            </w:r>
          </w:p>
          <w:p w14:paraId="060F509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Tablet, 10mg</w:t>
            </w:r>
          </w:p>
        </w:tc>
      </w:tr>
      <w:tr w:rsidR="00214907" w:rsidRPr="00944B15" w14:paraId="63CD6E17" w14:textId="77777777" w:rsidTr="002D6DD7">
        <w:trPr>
          <w:jc w:val="center"/>
        </w:trPr>
        <w:tc>
          <w:tcPr>
            <w:tcW w:w="2605" w:type="dxa"/>
            <w:hideMark/>
          </w:tcPr>
          <w:p w14:paraId="1138E31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4E6DC28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 </w:t>
            </w:r>
            <w:r>
              <w:rPr>
                <w:rFonts w:eastAsia="Times New Roman" w:cs="Times New Roman"/>
                <w:color w:val="000000"/>
                <w:szCs w:val="24"/>
              </w:rPr>
              <w:t xml:space="preserve">Reverse </w:t>
            </w:r>
            <w:r w:rsidRPr="00944B15">
              <w:rPr>
                <w:rFonts w:eastAsia="Times New Roman" w:cs="Times New Roman"/>
                <w:color w:val="000000"/>
                <w:szCs w:val="24"/>
              </w:rPr>
              <w:t>warfarin</w:t>
            </w:r>
            <w:r>
              <w:rPr>
                <w:rFonts w:eastAsia="Times New Roman" w:cs="Times New Roman"/>
                <w:color w:val="000000"/>
                <w:szCs w:val="24"/>
              </w:rPr>
              <w:t xml:space="preserve"> toxicity</w:t>
            </w:r>
            <w:r w:rsidRPr="00944B15">
              <w:rPr>
                <w:rFonts w:eastAsia="Times New Roman" w:cs="Times New Roman"/>
                <w:color w:val="000000"/>
                <w:szCs w:val="24"/>
              </w:rPr>
              <w:t>; treatment and prophylaxis against haemorrhagic disease of the newborn</w:t>
            </w:r>
          </w:p>
        </w:tc>
      </w:tr>
      <w:tr w:rsidR="00214907" w:rsidRPr="00944B15" w14:paraId="4FBC3A2B" w14:textId="77777777" w:rsidTr="002D6DD7">
        <w:trPr>
          <w:jc w:val="center"/>
        </w:trPr>
        <w:tc>
          <w:tcPr>
            <w:tcW w:w="2605" w:type="dxa"/>
            <w:hideMark/>
          </w:tcPr>
          <w:p w14:paraId="5B056483"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78EDCE9A" w14:textId="77777777" w:rsidR="00214907" w:rsidRPr="00944B15" w:rsidRDefault="00214907" w:rsidP="002D6DD7">
            <w:pPr>
              <w:jc w:val="both"/>
              <w:rPr>
                <w:rFonts w:eastAsia="Times New Roman" w:cs="Times New Roman"/>
                <w:color w:val="000000"/>
                <w:szCs w:val="24"/>
              </w:rPr>
            </w:pPr>
            <w:r>
              <w:rPr>
                <w:rFonts w:eastAsia="Times New Roman" w:cs="Times New Roman"/>
                <w:b/>
                <w:color w:val="000000"/>
                <w:szCs w:val="24"/>
              </w:rPr>
              <w:t xml:space="preserve">Reversal of warfarin toxicity: </w:t>
            </w:r>
            <w:r w:rsidRPr="00944B15">
              <w:rPr>
                <w:rFonts w:eastAsia="Times New Roman" w:cs="Times New Roman"/>
                <w:color w:val="000000"/>
                <w:szCs w:val="24"/>
              </w:rPr>
              <w:t xml:space="preserve">IM or slow IV:  </w:t>
            </w:r>
            <w:r w:rsidRPr="00944B15">
              <w:rPr>
                <w:rFonts w:eastAsia="Times New Roman" w:cs="Times New Roman"/>
                <w:b/>
                <w:color w:val="000000"/>
                <w:szCs w:val="24"/>
              </w:rPr>
              <w:t>Adult</w:t>
            </w:r>
            <w:r w:rsidRPr="00944B15">
              <w:rPr>
                <w:rFonts w:eastAsia="Times New Roman" w:cs="Times New Roman"/>
                <w:color w:val="000000"/>
                <w:szCs w:val="24"/>
              </w:rPr>
              <w:t>: 10 mg</w:t>
            </w:r>
          </w:p>
          <w:p w14:paraId="561BE20E"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Warfarin-induced hypoprothrombinaemia with no or minor bleeding</w:t>
            </w:r>
            <w:r w:rsidRPr="00944B15">
              <w:rPr>
                <w:rFonts w:eastAsia="Times New Roman" w:cs="Times New Roman"/>
                <w:color w:val="000000"/>
                <w:szCs w:val="24"/>
              </w:rPr>
              <w:t xml:space="preserve">, </w:t>
            </w:r>
            <w:r w:rsidRPr="00944B15">
              <w:rPr>
                <w:rFonts w:eastAsia="Times New Roman" w:cs="Times New Roman"/>
                <w:b/>
                <w:color w:val="000000"/>
                <w:szCs w:val="24"/>
              </w:rPr>
              <w:t>IV</w:t>
            </w:r>
          </w:p>
          <w:p w14:paraId="06BC1386" w14:textId="77777777" w:rsidR="00214907" w:rsidRPr="00944B15" w:rsidRDefault="00214907" w:rsidP="002D6DD7">
            <w:pPr>
              <w:jc w:val="both"/>
              <w:rPr>
                <w:rFonts w:eastAsia="Times New Roman" w:cs="Times New Roman"/>
                <w:color w:val="000000"/>
                <w:szCs w:val="24"/>
              </w:rPr>
            </w:pPr>
            <w:r w:rsidRPr="00EF24B0">
              <w:rPr>
                <w:rFonts w:eastAsia="Times New Roman" w:cs="Times New Roman"/>
                <w:b/>
                <w:color w:val="000000"/>
                <w:szCs w:val="24"/>
              </w:rPr>
              <w:t>Child 1 month–12 years:</w:t>
            </w:r>
            <w:r>
              <w:rPr>
                <w:rFonts w:eastAsia="Times New Roman" w:cs="Times New Roman"/>
                <w:color w:val="000000"/>
                <w:szCs w:val="24"/>
              </w:rPr>
              <w:t xml:space="preserve"> 15–30 mcg</w:t>
            </w:r>
            <w:r w:rsidRPr="00944B15">
              <w:rPr>
                <w:rFonts w:eastAsia="Times New Roman" w:cs="Times New Roman"/>
                <w:color w:val="000000"/>
                <w:szCs w:val="24"/>
              </w:rPr>
              <w:t>/kg (maximum 1 mg) as a single dose, repeated as necessary</w:t>
            </w:r>
          </w:p>
          <w:p w14:paraId="7845A66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Warfarin-induced hypoprothrombinaemia; Reversal of anticoagulation or if significant bleeding</w:t>
            </w:r>
            <w:r w:rsidRPr="00944B15">
              <w:rPr>
                <w:rFonts w:eastAsia="Times New Roman" w:cs="Times New Roman"/>
                <w:color w:val="000000"/>
                <w:szCs w:val="24"/>
              </w:rPr>
              <w:t>, t</w:t>
            </w:r>
            <w:r w:rsidRPr="00944B15">
              <w:rPr>
                <w:rFonts w:eastAsia="Times New Roman" w:cs="Times New Roman"/>
                <w:b/>
                <w:color w:val="000000"/>
                <w:szCs w:val="24"/>
              </w:rPr>
              <w:t>reatment of hemorrhage associated with vitamin K deficiency, IV</w:t>
            </w:r>
          </w:p>
          <w:p w14:paraId="230D1256" w14:textId="77777777" w:rsidR="00214907" w:rsidRPr="00944B15" w:rsidRDefault="00214907" w:rsidP="002D6DD7">
            <w:pPr>
              <w:jc w:val="both"/>
              <w:rPr>
                <w:rFonts w:eastAsia="Times New Roman" w:cs="Times New Roman"/>
                <w:color w:val="000000"/>
                <w:szCs w:val="24"/>
              </w:rPr>
            </w:pPr>
            <w:r w:rsidRPr="00EF24B0">
              <w:rPr>
                <w:rFonts w:eastAsia="Times New Roman" w:cs="Times New Roman"/>
                <w:b/>
                <w:color w:val="000000"/>
                <w:szCs w:val="24"/>
              </w:rPr>
              <w:t>Child 1 month–12 years:</w:t>
            </w:r>
            <w:r w:rsidRPr="00944B15">
              <w:rPr>
                <w:rFonts w:eastAsia="Times New Roman" w:cs="Times New Roman"/>
                <w:color w:val="000000"/>
                <w:szCs w:val="24"/>
              </w:rPr>
              <w:t xml:space="preserve"> 250–300 </w:t>
            </w:r>
            <w:r>
              <w:rPr>
                <w:rFonts w:eastAsia="Times New Roman" w:cs="Times New Roman"/>
                <w:color w:val="000000"/>
                <w:szCs w:val="24"/>
              </w:rPr>
              <w:t>mcg</w:t>
            </w:r>
            <w:r w:rsidRPr="00944B15">
              <w:rPr>
                <w:rFonts w:eastAsia="Times New Roman" w:cs="Times New Roman"/>
                <w:color w:val="000000"/>
                <w:szCs w:val="24"/>
              </w:rPr>
              <w:t xml:space="preserve"> /kg (maximum 10 mg) as a single dose</w:t>
            </w:r>
          </w:p>
          <w:p w14:paraId="47853626"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 xml:space="preserve">Prophylaxis of haemorrhagic disease of the newborn </w:t>
            </w:r>
          </w:p>
          <w:p w14:paraId="5C7B1F87" w14:textId="77777777" w:rsidR="00214907" w:rsidRDefault="00214907" w:rsidP="002D6DD7">
            <w:pPr>
              <w:jc w:val="both"/>
              <w:rPr>
                <w:rFonts w:eastAsia="Times New Roman" w:cs="Times New Roman"/>
                <w:color w:val="000000"/>
                <w:szCs w:val="24"/>
              </w:rPr>
            </w:pPr>
            <w:r w:rsidRPr="00944B15">
              <w:rPr>
                <w:rFonts w:eastAsia="Times New Roman" w:cs="Times New Roman"/>
                <w:b/>
                <w:color w:val="000000"/>
                <w:szCs w:val="24"/>
              </w:rPr>
              <w:t>IM</w:t>
            </w:r>
            <w:r w:rsidRPr="00944B15">
              <w:rPr>
                <w:rFonts w:eastAsia="Times New Roman" w:cs="Times New Roman"/>
                <w:color w:val="000000"/>
                <w:szCs w:val="24"/>
              </w:rPr>
              <w:t>: 0.</w:t>
            </w:r>
            <w:r>
              <w:rPr>
                <w:rFonts w:eastAsia="Times New Roman" w:cs="Times New Roman"/>
                <w:color w:val="000000"/>
                <w:szCs w:val="24"/>
              </w:rPr>
              <w:t>5–1 mg as single dose at birth.</w:t>
            </w:r>
          </w:p>
          <w:p w14:paraId="7A756212" w14:textId="77777777" w:rsidR="00214907" w:rsidRDefault="00214907" w:rsidP="002D6DD7">
            <w:pPr>
              <w:jc w:val="both"/>
              <w:rPr>
                <w:rFonts w:eastAsia="Times New Roman" w:cs="Times New Roman"/>
                <w:color w:val="000000"/>
                <w:szCs w:val="24"/>
              </w:rPr>
            </w:pPr>
            <w:r w:rsidRPr="00944B15">
              <w:rPr>
                <w:rFonts w:eastAsia="Times New Roman" w:cs="Times New Roman"/>
                <w:b/>
                <w:color w:val="000000"/>
                <w:szCs w:val="24"/>
              </w:rPr>
              <w:t>Oral</w:t>
            </w:r>
            <w:r w:rsidRPr="00944B15">
              <w:rPr>
                <w:rFonts w:eastAsia="Times New Roman" w:cs="Times New Roman"/>
                <w:color w:val="000000"/>
                <w:szCs w:val="24"/>
              </w:rPr>
              <w:t xml:space="preserve">: 2 mg followed by a second dose after 4–7 days and, for breastfed babies, a third dose after 1 month; </w:t>
            </w:r>
          </w:p>
          <w:p w14:paraId="0440393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IV</w:t>
            </w:r>
            <w:r w:rsidRPr="00944B15">
              <w:rPr>
                <w:rFonts w:eastAsia="Times New Roman" w:cs="Times New Roman"/>
                <w:color w:val="000000"/>
                <w:szCs w:val="24"/>
              </w:rPr>
              <w:t xml:space="preserve">: Pre-term neonate: 400 </w:t>
            </w:r>
            <w:r>
              <w:rPr>
                <w:rFonts w:eastAsia="Times New Roman" w:cs="Times New Roman"/>
                <w:color w:val="000000"/>
                <w:szCs w:val="24"/>
              </w:rPr>
              <w:t>mcg</w:t>
            </w:r>
            <w:r w:rsidRPr="00944B15">
              <w:rPr>
                <w:rFonts w:eastAsia="Times New Roman" w:cs="Times New Roman"/>
                <w:color w:val="000000"/>
                <w:szCs w:val="24"/>
              </w:rPr>
              <w:t xml:space="preserve"> /kg (maximum 1 mg)</w:t>
            </w:r>
          </w:p>
          <w:p w14:paraId="2EDEA89A" w14:textId="77777777" w:rsidR="00214907" w:rsidRDefault="00214907" w:rsidP="002D6DD7">
            <w:pPr>
              <w:jc w:val="both"/>
              <w:rPr>
                <w:rFonts w:eastAsia="Times New Roman" w:cs="Times New Roman"/>
                <w:b/>
                <w:color w:val="000000"/>
                <w:szCs w:val="24"/>
              </w:rPr>
            </w:pPr>
            <w:r w:rsidRPr="00944B15">
              <w:rPr>
                <w:rFonts w:eastAsia="Times New Roman" w:cs="Times New Roman"/>
                <w:b/>
                <w:color w:val="000000"/>
                <w:szCs w:val="24"/>
              </w:rPr>
              <w:t>Treatment of Haem</w:t>
            </w:r>
            <w:r>
              <w:rPr>
                <w:rFonts w:eastAsia="Times New Roman" w:cs="Times New Roman"/>
                <w:b/>
                <w:color w:val="000000"/>
                <w:szCs w:val="24"/>
              </w:rPr>
              <w:t>orrhagic disease of the newborn</w:t>
            </w:r>
          </w:p>
          <w:p w14:paraId="2EF6DE55"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 xml:space="preserve"> IV: </w:t>
            </w:r>
            <w:r w:rsidRPr="00944B15">
              <w:rPr>
                <w:rFonts w:eastAsia="Times New Roman" w:cs="Times New Roman"/>
                <w:color w:val="000000"/>
                <w:szCs w:val="24"/>
              </w:rPr>
              <w:t>1 mg with further doses if necessary, every 8 hours</w:t>
            </w:r>
          </w:p>
        </w:tc>
      </w:tr>
      <w:tr w:rsidR="00214907" w:rsidRPr="00944B15" w14:paraId="2FCF844E" w14:textId="77777777" w:rsidTr="002D6DD7">
        <w:trPr>
          <w:jc w:val="center"/>
        </w:trPr>
        <w:tc>
          <w:tcPr>
            <w:tcW w:w="2605" w:type="dxa"/>
            <w:hideMark/>
          </w:tcPr>
          <w:p w14:paraId="031074E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29620110"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r w:rsidRPr="00944B15">
              <w:rPr>
                <w:rFonts w:eastAsia="Times New Roman" w:cs="Times New Roman"/>
                <w:color w:val="000000"/>
                <w:szCs w:val="24"/>
              </w:rPr>
              <w:t xml:space="preserve"> </w:t>
            </w:r>
          </w:p>
        </w:tc>
      </w:tr>
      <w:tr w:rsidR="00214907" w:rsidRPr="00944B15" w14:paraId="77D1ED65" w14:textId="77777777" w:rsidTr="002D6DD7">
        <w:trPr>
          <w:jc w:val="center"/>
        </w:trPr>
        <w:tc>
          <w:tcPr>
            <w:tcW w:w="2605" w:type="dxa"/>
            <w:hideMark/>
          </w:tcPr>
          <w:p w14:paraId="4713656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4E24E0D3" w14:textId="77777777" w:rsidR="00214907" w:rsidRPr="00944B15" w:rsidRDefault="00214907" w:rsidP="002D6DD7">
            <w:pPr>
              <w:rPr>
                <w:rFonts w:eastAsia="Times New Roman" w:cs="Times New Roman"/>
                <w:color w:val="ED7D31"/>
                <w:szCs w:val="24"/>
              </w:rPr>
            </w:pPr>
            <w:r w:rsidRPr="00944B15">
              <w:rPr>
                <w:rFonts w:eastAsia="Times New Roman" w:cs="Times New Roman"/>
                <w:color w:val="000000"/>
                <w:szCs w:val="24"/>
              </w:rPr>
              <w:t xml:space="preserve">Warfarin, certain antibiotics (e.g., cephalosporins), cholestyramine, anticonvulsants </w:t>
            </w:r>
          </w:p>
        </w:tc>
      </w:tr>
      <w:tr w:rsidR="00214907" w:rsidRPr="00944B15" w14:paraId="0E712E82" w14:textId="77777777" w:rsidTr="002D6DD7">
        <w:trPr>
          <w:jc w:val="center"/>
        </w:trPr>
        <w:tc>
          <w:tcPr>
            <w:tcW w:w="2605" w:type="dxa"/>
            <w:hideMark/>
          </w:tcPr>
          <w:p w14:paraId="4B8D275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012BF56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Flushing, dyspnea, bronchospasm, dizziness, hypotension, and respiratory or circulatory collapse.</w:t>
            </w:r>
          </w:p>
        </w:tc>
      </w:tr>
      <w:tr w:rsidR="00214907" w:rsidRPr="00944B15" w14:paraId="6CA50B29" w14:textId="77777777" w:rsidTr="002D6DD7">
        <w:trPr>
          <w:jc w:val="center"/>
        </w:trPr>
        <w:tc>
          <w:tcPr>
            <w:tcW w:w="2605" w:type="dxa"/>
            <w:hideMark/>
          </w:tcPr>
          <w:p w14:paraId="2711E16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7401304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Hepatic impairment, elderly</w:t>
            </w:r>
            <w:r>
              <w:rPr>
                <w:rFonts w:eastAsia="Times New Roman" w:cs="Times New Roman"/>
                <w:color w:val="000000"/>
                <w:szCs w:val="24"/>
              </w:rPr>
              <w:t xml:space="preserve"> and</w:t>
            </w:r>
            <w:r w:rsidRPr="00944B15">
              <w:rPr>
                <w:rFonts w:eastAsia="Times New Roman" w:cs="Times New Roman"/>
                <w:color w:val="000000"/>
                <w:szCs w:val="24"/>
              </w:rPr>
              <w:t xml:space="preserve"> pregnancy. </w:t>
            </w:r>
          </w:p>
        </w:tc>
      </w:tr>
      <w:tr w:rsidR="00214907" w:rsidRPr="00944B15" w14:paraId="0083019D" w14:textId="77777777" w:rsidTr="002D6DD7">
        <w:trPr>
          <w:jc w:val="center"/>
        </w:trPr>
        <w:tc>
          <w:tcPr>
            <w:tcW w:w="2605" w:type="dxa"/>
            <w:hideMark/>
          </w:tcPr>
          <w:p w14:paraId="12AA088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Storage condition</w:t>
            </w:r>
          </w:p>
        </w:tc>
        <w:tc>
          <w:tcPr>
            <w:tcW w:w="6974" w:type="dxa"/>
          </w:tcPr>
          <w:p w14:paraId="2015D46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Store below 30°C. Protect from light </w:t>
            </w:r>
          </w:p>
        </w:tc>
      </w:tr>
      <w:tr w:rsidR="00214907" w:rsidRPr="00944B15" w14:paraId="35788E86" w14:textId="77777777" w:rsidTr="002D6DD7">
        <w:trPr>
          <w:jc w:val="center"/>
        </w:trPr>
        <w:tc>
          <w:tcPr>
            <w:tcW w:w="9579" w:type="dxa"/>
            <w:gridSpan w:val="2"/>
          </w:tcPr>
          <w:p w14:paraId="3CE1975D"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Pyridoxine h</w:t>
            </w:r>
            <w:r w:rsidRPr="00944B15">
              <w:rPr>
                <w:rFonts w:eastAsia="Times New Roman" w:cs="Times New Roman"/>
                <w:b/>
                <w:color w:val="000000"/>
                <w:szCs w:val="24"/>
              </w:rPr>
              <w:t>ydrochloride (Vitamin B6)</w:t>
            </w:r>
          </w:p>
        </w:tc>
      </w:tr>
      <w:tr w:rsidR="00214907" w:rsidRPr="00944B15" w14:paraId="6D2A5041" w14:textId="77777777" w:rsidTr="002D6DD7">
        <w:trPr>
          <w:jc w:val="center"/>
        </w:trPr>
        <w:tc>
          <w:tcPr>
            <w:tcW w:w="2605" w:type="dxa"/>
            <w:hideMark/>
          </w:tcPr>
          <w:p w14:paraId="6D00716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450BB4F7"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6503BAEF" w14:textId="77777777" w:rsidTr="002D6DD7">
        <w:trPr>
          <w:jc w:val="center"/>
        </w:trPr>
        <w:tc>
          <w:tcPr>
            <w:tcW w:w="2605" w:type="dxa"/>
            <w:hideMark/>
          </w:tcPr>
          <w:p w14:paraId="0B55B65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7241E539"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Tablet: 25mg, 50mg</w:t>
            </w:r>
          </w:p>
        </w:tc>
      </w:tr>
      <w:tr w:rsidR="00214907" w:rsidRPr="00944B15" w14:paraId="38C5B04C" w14:textId="77777777" w:rsidTr="002D6DD7">
        <w:trPr>
          <w:jc w:val="center"/>
        </w:trPr>
        <w:tc>
          <w:tcPr>
            <w:tcW w:w="2605" w:type="dxa"/>
            <w:hideMark/>
          </w:tcPr>
          <w:p w14:paraId="5B274D2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0DC77AFB" w14:textId="77777777" w:rsidR="00214907" w:rsidRPr="00944B15" w:rsidRDefault="00214907" w:rsidP="002D6DD7">
            <w:pPr>
              <w:jc w:val="both"/>
              <w:rPr>
                <w:rFonts w:eastAsia="Times New Roman" w:cs="Times New Roman"/>
                <w:color w:val="000000"/>
                <w:szCs w:val="24"/>
              </w:rPr>
            </w:pPr>
            <w:r>
              <w:rPr>
                <w:rFonts w:eastAsia="Times New Roman" w:cs="Times New Roman"/>
                <w:szCs w:val="24"/>
              </w:rPr>
              <w:t>P</w:t>
            </w:r>
            <w:r w:rsidRPr="00944B15">
              <w:rPr>
                <w:rFonts w:eastAsia="Times New Roman" w:cs="Times New Roman"/>
                <w:szCs w:val="24"/>
              </w:rPr>
              <w:t>revention and treatment of pyri</w:t>
            </w:r>
            <w:r>
              <w:rPr>
                <w:rFonts w:eastAsia="Times New Roman" w:cs="Times New Roman"/>
                <w:szCs w:val="24"/>
              </w:rPr>
              <w:t>doxine deficiency states, treatment of i</w:t>
            </w:r>
            <w:r w:rsidRPr="008269C4">
              <w:rPr>
                <w:rFonts w:eastAsia="Times New Roman" w:cs="Times New Roman"/>
                <w:szCs w:val="24"/>
              </w:rPr>
              <w:t>diopathic sideroblastic anemia</w:t>
            </w:r>
            <w:r>
              <w:rPr>
                <w:rFonts w:eastAsia="Times New Roman" w:cs="Times New Roman"/>
                <w:szCs w:val="24"/>
              </w:rPr>
              <w:t xml:space="preserve">, prevention </w:t>
            </w:r>
            <w:r w:rsidRPr="00944B15">
              <w:rPr>
                <w:rFonts w:eastAsia="Times New Roman" w:cs="Times New Roman"/>
                <w:szCs w:val="24"/>
              </w:rPr>
              <w:t>neuropathy associated with isoniazid poisoning</w:t>
            </w:r>
            <w:r>
              <w:rPr>
                <w:rFonts w:eastAsia="Times New Roman" w:cs="Times New Roman"/>
                <w:szCs w:val="24"/>
              </w:rPr>
              <w:t xml:space="preserve"> and for nausea in p</w:t>
            </w:r>
            <w:r w:rsidRPr="00944B15">
              <w:rPr>
                <w:rFonts w:eastAsia="Times New Roman" w:cs="Times New Roman"/>
                <w:szCs w:val="24"/>
              </w:rPr>
              <w:t>regnancy</w:t>
            </w:r>
          </w:p>
        </w:tc>
      </w:tr>
      <w:tr w:rsidR="00214907" w:rsidRPr="00944B15" w14:paraId="163BB96E" w14:textId="77777777" w:rsidTr="002D6DD7">
        <w:trPr>
          <w:jc w:val="center"/>
        </w:trPr>
        <w:tc>
          <w:tcPr>
            <w:tcW w:w="2605" w:type="dxa"/>
            <w:hideMark/>
          </w:tcPr>
          <w:p w14:paraId="1309278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613E50AA" w14:textId="77777777" w:rsidR="00214907" w:rsidRPr="00944B15" w:rsidRDefault="00214907" w:rsidP="002D6DD7">
            <w:pPr>
              <w:jc w:val="both"/>
              <w:rPr>
                <w:rFonts w:eastAsia="Times New Roman" w:cs="Times New Roman"/>
                <w:b/>
                <w:szCs w:val="24"/>
              </w:rPr>
            </w:pPr>
            <w:r w:rsidRPr="00944B15">
              <w:rPr>
                <w:rFonts w:eastAsia="Times New Roman" w:cs="Times New Roman"/>
                <w:b/>
                <w:szCs w:val="24"/>
              </w:rPr>
              <w:t>Adult:</w:t>
            </w:r>
          </w:p>
          <w:p w14:paraId="2EA975CE" w14:textId="77777777" w:rsidR="00214907" w:rsidRPr="00944B15" w:rsidRDefault="00214907" w:rsidP="002D6DD7">
            <w:pPr>
              <w:contextualSpacing/>
              <w:jc w:val="both"/>
              <w:rPr>
                <w:rFonts w:eastAsia="Times New Roman" w:cs="Times New Roman"/>
                <w:szCs w:val="24"/>
              </w:rPr>
            </w:pPr>
            <w:r w:rsidRPr="00D76338">
              <w:rPr>
                <w:rFonts w:eastAsia="Times New Roman" w:cs="Times New Roman"/>
                <w:b/>
                <w:szCs w:val="24"/>
              </w:rPr>
              <w:t>Pyridoxine deficiency, oral,</w:t>
            </w:r>
            <w:r w:rsidRPr="00944B15">
              <w:rPr>
                <w:rFonts w:eastAsia="Times New Roman" w:cs="Times New Roman"/>
                <w:szCs w:val="24"/>
              </w:rPr>
              <w:t xml:space="preserve"> 20 – 50 mg 1 – 3 times a day</w:t>
            </w:r>
          </w:p>
          <w:p w14:paraId="361936D4" w14:textId="77777777" w:rsidR="00214907" w:rsidRPr="00944B15" w:rsidRDefault="00214907" w:rsidP="002D6DD7">
            <w:pPr>
              <w:contextualSpacing/>
              <w:jc w:val="both"/>
              <w:rPr>
                <w:rFonts w:eastAsia="Times New Roman" w:cs="Times New Roman"/>
                <w:szCs w:val="24"/>
              </w:rPr>
            </w:pPr>
            <w:r w:rsidRPr="007C6C55">
              <w:rPr>
                <w:rFonts w:eastAsia="Times New Roman" w:cs="Times New Roman"/>
                <w:b/>
                <w:szCs w:val="24"/>
              </w:rPr>
              <w:t>Nausea in Pregnancy, oral:</w:t>
            </w:r>
            <w:r w:rsidRPr="00944B15">
              <w:rPr>
                <w:rFonts w:eastAsia="Times New Roman" w:cs="Times New Roman"/>
                <w:szCs w:val="24"/>
              </w:rPr>
              <w:t xml:space="preserve"> 10–25 mg every 8 hours</w:t>
            </w:r>
          </w:p>
          <w:p w14:paraId="00593870" w14:textId="77777777" w:rsidR="00214907" w:rsidRPr="00944B15" w:rsidRDefault="00214907" w:rsidP="002D6DD7">
            <w:pPr>
              <w:contextualSpacing/>
              <w:jc w:val="both"/>
              <w:rPr>
                <w:rFonts w:eastAsia="Times New Roman" w:cs="Times New Roman"/>
                <w:szCs w:val="24"/>
              </w:rPr>
            </w:pPr>
            <w:r w:rsidRPr="00D76338">
              <w:rPr>
                <w:rFonts w:eastAsia="Times New Roman" w:cs="Times New Roman"/>
                <w:b/>
                <w:szCs w:val="24"/>
              </w:rPr>
              <w:t>Isoniazid-induced neuropathy (prophylaxis), oral:</w:t>
            </w:r>
            <w:r w:rsidRPr="00944B15">
              <w:rPr>
                <w:rFonts w:eastAsia="Times New Roman" w:cs="Times New Roman"/>
                <w:szCs w:val="24"/>
              </w:rPr>
              <w:t xml:space="preserve"> 10 – 20 mg daily</w:t>
            </w:r>
          </w:p>
          <w:p w14:paraId="79D6D6DC" w14:textId="77777777" w:rsidR="00214907" w:rsidRPr="00944B15" w:rsidRDefault="00214907" w:rsidP="002D6DD7">
            <w:pPr>
              <w:contextualSpacing/>
              <w:jc w:val="both"/>
              <w:rPr>
                <w:rFonts w:eastAsia="Times New Roman" w:cs="Times New Roman"/>
                <w:szCs w:val="24"/>
              </w:rPr>
            </w:pPr>
            <w:r w:rsidRPr="00D76338">
              <w:rPr>
                <w:rFonts w:eastAsia="Times New Roman" w:cs="Times New Roman"/>
                <w:b/>
                <w:szCs w:val="24"/>
              </w:rPr>
              <w:t>Isoniazid-induced neuropathy (treatment), oral:</w:t>
            </w:r>
            <w:r w:rsidRPr="00944B15">
              <w:rPr>
                <w:rFonts w:eastAsia="Times New Roman" w:cs="Times New Roman"/>
                <w:szCs w:val="24"/>
              </w:rPr>
              <w:t xml:space="preserve"> 50 mg 3 times a day</w:t>
            </w:r>
          </w:p>
          <w:p w14:paraId="41FD9C47" w14:textId="77777777" w:rsidR="00214907" w:rsidRPr="00944B15" w:rsidRDefault="00214907" w:rsidP="002D6DD7">
            <w:pPr>
              <w:contextualSpacing/>
              <w:jc w:val="both"/>
              <w:rPr>
                <w:rFonts w:eastAsia="Times New Roman" w:cs="Times New Roman"/>
                <w:szCs w:val="24"/>
              </w:rPr>
            </w:pPr>
            <w:r w:rsidRPr="007C6C55">
              <w:rPr>
                <w:rFonts w:eastAsia="Times New Roman" w:cs="Times New Roman"/>
                <w:b/>
                <w:szCs w:val="24"/>
              </w:rPr>
              <w:t>Idiopathic sideroblastic anemia, oral:</w:t>
            </w:r>
            <w:r w:rsidRPr="00944B15">
              <w:rPr>
                <w:rFonts w:eastAsia="Times New Roman" w:cs="Times New Roman"/>
                <w:szCs w:val="24"/>
              </w:rPr>
              <w:t xml:space="preserve"> 100 – 400 mg daily in divided doses</w:t>
            </w:r>
          </w:p>
          <w:p w14:paraId="3961164D" w14:textId="77777777" w:rsidR="00214907" w:rsidRPr="00944B15" w:rsidRDefault="00214907" w:rsidP="002D6DD7">
            <w:pPr>
              <w:contextualSpacing/>
              <w:jc w:val="both"/>
              <w:rPr>
                <w:rFonts w:eastAsia="Times New Roman" w:cs="Times New Roman"/>
                <w:szCs w:val="24"/>
              </w:rPr>
            </w:pPr>
            <w:r w:rsidRPr="00944B15">
              <w:rPr>
                <w:rFonts w:eastAsia="Times New Roman" w:cs="Times New Roman"/>
                <w:b/>
                <w:szCs w:val="24"/>
              </w:rPr>
              <w:t>Pediatric:</w:t>
            </w:r>
          </w:p>
          <w:p w14:paraId="5CA15EE3" w14:textId="77777777" w:rsidR="00214907" w:rsidRPr="00944B15" w:rsidRDefault="00214907" w:rsidP="002D6DD7">
            <w:pPr>
              <w:contextualSpacing/>
              <w:jc w:val="both"/>
              <w:rPr>
                <w:rFonts w:eastAsia="Times New Roman" w:cs="Times New Roman"/>
                <w:b/>
                <w:szCs w:val="24"/>
              </w:rPr>
            </w:pPr>
            <w:r w:rsidRPr="00944B15">
              <w:rPr>
                <w:rFonts w:eastAsia="Times New Roman" w:cs="Times New Roman"/>
                <w:b/>
                <w:szCs w:val="24"/>
              </w:rPr>
              <w:t>Metabolic disorders responsive to pyrid</w:t>
            </w:r>
            <w:r>
              <w:rPr>
                <w:rFonts w:eastAsia="Times New Roman" w:cs="Times New Roman"/>
                <w:b/>
                <w:szCs w:val="24"/>
              </w:rPr>
              <w:t>oxine, sideroblastic anemia:</w:t>
            </w:r>
            <w:r w:rsidRPr="00F761A7">
              <w:rPr>
                <w:rFonts w:eastAsia="Times New Roman" w:cs="Times New Roman"/>
                <w:szCs w:val="24"/>
              </w:rPr>
              <w:t xml:space="preserve"> oral</w:t>
            </w:r>
          </w:p>
          <w:p w14:paraId="35C21F47" w14:textId="77777777" w:rsidR="00214907" w:rsidRPr="00944B15" w:rsidRDefault="00214907" w:rsidP="002D6DD7">
            <w:pPr>
              <w:contextualSpacing/>
              <w:jc w:val="both"/>
              <w:rPr>
                <w:rFonts w:eastAsia="Times New Roman" w:cs="Times New Roman"/>
                <w:szCs w:val="24"/>
              </w:rPr>
            </w:pPr>
            <w:r w:rsidRPr="007C6C55">
              <w:rPr>
                <w:rFonts w:eastAsia="Times New Roman" w:cs="Times New Roman"/>
                <w:b/>
                <w:szCs w:val="24"/>
              </w:rPr>
              <w:t>Neonate:</w:t>
            </w:r>
            <w:r w:rsidRPr="00944B15">
              <w:rPr>
                <w:rFonts w:eastAsia="Times New Roman" w:cs="Times New Roman"/>
                <w:szCs w:val="24"/>
              </w:rPr>
              <w:t xml:space="preserve"> 50–100 mg 1–2 times daily; Infant or child: 50–250 mg 1–2 times daily.</w:t>
            </w:r>
          </w:p>
          <w:p w14:paraId="7336C773" w14:textId="77777777" w:rsidR="00214907" w:rsidRPr="00944B15" w:rsidRDefault="00214907" w:rsidP="002D6DD7">
            <w:pPr>
              <w:contextualSpacing/>
              <w:jc w:val="both"/>
              <w:rPr>
                <w:rFonts w:eastAsia="Times New Roman" w:cs="Times New Roman"/>
                <w:b/>
                <w:szCs w:val="24"/>
              </w:rPr>
            </w:pPr>
            <w:r w:rsidRPr="00944B15">
              <w:rPr>
                <w:rFonts w:eastAsia="Times New Roman" w:cs="Times New Roman"/>
                <w:b/>
                <w:szCs w:val="24"/>
              </w:rPr>
              <w:t xml:space="preserve">Treatment </w:t>
            </w:r>
            <w:r>
              <w:rPr>
                <w:rFonts w:eastAsia="Times New Roman" w:cs="Times New Roman"/>
                <w:b/>
                <w:szCs w:val="24"/>
              </w:rPr>
              <w:t>of isoniazid-induced neuropathy:</w:t>
            </w:r>
            <w:r w:rsidRPr="00944B15">
              <w:rPr>
                <w:rFonts w:eastAsia="Times New Roman" w:cs="Times New Roman"/>
                <w:b/>
                <w:szCs w:val="24"/>
              </w:rPr>
              <w:t xml:space="preserve"> </w:t>
            </w:r>
            <w:r>
              <w:rPr>
                <w:rFonts w:eastAsia="Times New Roman" w:cs="Times New Roman"/>
                <w:szCs w:val="24"/>
              </w:rPr>
              <w:t>oral</w:t>
            </w:r>
          </w:p>
          <w:p w14:paraId="178E6CC2" w14:textId="77777777" w:rsidR="00214907" w:rsidRPr="00944B15" w:rsidRDefault="00214907" w:rsidP="002D6DD7">
            <w:pPr>
              <w:widowControl w:val="0"/>
              <w:autoSpaceDE w:val="0"/>
              <w:autoSpaceDN w:val="0"/>
              <w:ind w:left="360" w:hanging="360"/>
              <w:jc w:val="both"/>
              <w:rPr>
                <w:rFonts w:eastAsia="Times New Roman" w:cs="Times New Roman"/>
                <w:szCs w:val="24"/>
              </w:rPr>
            </w:pPr>
            <w:r w:rsidRPr="007C6C55">
              <w:rPr>
                <w:rFonts w:eastAsia="Times New Roman" w:cs="Times New Roman"/>
                <w:b/>
                <w:szCs w:val="24"/>
              </w:rPr>
              <w:t>Neonate:</w:t>
            </w:r>
            <w:r w:rsidRPr="00944B15">
              <w:rPr>
                <w:rFonts w:eastAsia="Times New Roman" w:cs="Times New Roman"/>
                <w:szCs w:val="24"/>
              </w:rPr>
              <w:t xml:space="preserve"> 5–10 mg daily; Infant or child: 10–20 mg 2–3 times daily.</w:t>
            </w:r>
          </w:p>
          <w:p w14:paraId="4DEF0A32" w14:textId="77777777" w:rsidR="00214907" w:rsidRPr="00944B15" w:rsidRDefault="00214907" w:rsidP="002D6DD7">
            <w:pPr>
              <w:contextualSpacing/>
              <w:jc w:val="both"/>
              <w:rPr>
                <w:rFonts w:eastAsia="Times New Roman" w:cs="Times New Roman"/>
                <w:b/>
                <w:szCs w:val="24"/>
              </w:rPr>
            </w:pPr>
            <w:r w:rsidRPr="00944B15">
              <w:rPr>
                <w:rFonts w:eastAsia="Times New Roman" w:cs="Times New Roman"/>
                <w:b/>
                <w:szCs w:val="24"/>
              </w:rPr>
              <w:t>Prevention of iso</w:t>
            </w:r>
            <w:r>
              <w:rPr>
                <w:rFonts w:eastAsia="Times New Roman" w:cs="Times New Roman"/>
                <w:b/>
                <w:szCs w:val="24"/>
              </w:rPr>
              <w:t xml:space="preserve">niazid-induced neuropathy: </w:t>
            </w:r>
            <w:r>
              <w:rPr>
                <w:rFonts w:eastAsia="Times New Roman" w:cs="Times New Roman"/>
                <w:szCs w:val="24"/>
              </w:rPr>
              <w:t>o</w:t>
            </w:r>
            <w:r w:rsidRPr="00F761A7">
              <w:rPr>
                <w:rFonts w:eastAsia="Times New Roman" w:cs="Times New Roman"/>
                <w:szCs w:val="24"/>
              </w:rPr>
              <w:t>ral</w:t>
            </w:r>
          </w:p>
          <w:p w14:paraId="6666F116" w14:textId="77777777" w:rsidR="00214907" w:rsidRPr="00944B15" w:rsidRDefault="00214907" w:rsidP="002D6DD7">
            <w:pPr>
              <w:widowControl w:val="0"/>
              <w:autoSpaceDE w:val="0"/>
              <w:autoSpaceDN w:val="0"/>
              <w:ind w:left="360" w:hanging="360"/>
              <w:jc w:val="both"/>
              <w:rPr>
                <w:rFonts w:eastAsia="Times New Roman" w:cs="Times New Roman"/>
                <w:szCs w:val="24"/>
              </w:rPr>
            </w:pPr>
            <w:r>
              <w:rPr>
                <w:rFonts w:eastAsia="Times New Roman" w:cs="Times New Roman"/>
                <w:szCs w:val="24"/>
              </w:rPr>
              <w:t xml:space="preserve"> </w:t>
            </w:r>
            <w:r w:rsidRPr="007C6C55">
              <w:rPr>
                <w:rFonts w:eastAsia="Times New Roman" w:cs="Times New Roman"/>
                <w:b/>
                <w:szCs w:val="24"/>
              </w:rPr>
              <w:t>Neonate:</w:t>
            </w:r>
            <w:r w:rsidRPr="00944B15">
              <w:rPr>
                <w:rFonts w:eastAsia="Times New Roman" w:cs="Times New Roman"/>
                <w:szCs w:val="24"/>
              </w:rPr>
              <w:t xml:space="preserve"> 5 mg daily; </w:t>
            </w:r>
            <w:r w:rsidRPr="00944B15">
              <w:rPr>
                <w:rFonts w:eastAsia="Calibri" w:cs="Times New Roman"/>
                <w:color w:val="000000"/>
                <w:szCs w:val="24"/>
              </w:rPr>
              <w:t>Infant or child: 5–10 mg daily.</w:t>
            </w:r>
          </w:p>
        </w:tc>
      </w:tr>
      <w:tr w:rsidR="00214907" w:rsidRPr="00944B15" w14:paraId="6CD8B39A" w14:textId="77777777" w:rsidTr="002D6DD7">
        <w:trPr>
          <w:jc w:val="center"/>
        </w:trPr>
        <w:tc>
          <w:tcPr>
            <w:tcW w:w="2605" w:type="dxa"/>
            <w:hideMark/>
          </w:tcPr>
          <w:p w14:paraId="0C455BA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5BDA9D7D"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p>
        </w:tc>
      </w:tr>
      <w:tr w:rsidR="00214907" w:rsidRPr="00944B15" w14:paraId="4CC27C82" w14:textId="77777777" w:rsidTr="002D6DD7">
        <w:trPr>
          <w:jc w:val="center"/>
        </w:trPr>
        <w:tc>
          <w:tcPr>
            <w:tcW w:w="2605" w:type="dxa"/>
            <w:hideMark/>
          </w:tcPr>
          <w:p w14:paraId="506F0A1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4EE1F00A"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Levodopa, isoniazid, phenytoin</w:t>
            </w:r>
            <w:r>
              <w:rPr>
                <w:rFonts w:eastAsia="Times New Roman" w:cs="Times New Roman"/>
                <w:color w:val="000000" w:themeColor="text1"/>
                <w:szCs w:val="24"/>
              </w:rPr>
              <w:t xml:space="preserve"> and</w:t>
            </w:r>
            <w:r w:rsidRPr="00944B15">
              <w:rPr>
                <w:rFonts w:eastAsia="Times New Roman" w:cs="Times New Roman"/>
                <w:color w:val="000000" w:themeColor="text1"/>
                <w:szCs w:val="24"/>
              </w:rPr>
              <w:t xml:space="preserve"> corticosteroids  </w:t>
            </w:r>
          </w:p>
        </w:tc>
      </w:tr>
      <w:tr w:rsidR="00214907" w:rsidRPr="00944B15" w14:paraId="11893FE3" w14:textId="77777777" w:rsidTr="002D6DD7">
        <w:trPr>
          <w:jc w:val="center"/>
        </w:trPr>
        <w:tc>
          <w:tcPr>
            <w:tcW w:w="2605" w:type="dxa"/>
            <w:hideMark/>
          </w:tcPr>
          <w:p w14:paraId="5C2F6F0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22C242CC" w14:textId="77777777" w:rsidR="00214907" w:rsidRPr="00944B15" w:rsidRDefault="00214907" w:rsidP="002D6DD7">
            <w:pPr>
              <w:jc w:val="both"/>
              <w:rPr>
                <w:rFonts w:eastAsia="Times New Roman" w:cs="Times New Roman"/>
                <w:szCs w:val="24"/>
              </w:rPr>
            </w:pPr>
            <w:r>
              <w:rPr>
                <w:rFonts w:eastAsia="Times New Roman" w:cs="Times New Roman"/>
                <w:szCs w:val="24"/>
              </w:rPr>
              <w:t>Peripheral neuropathies,</w:t>
            </w:r>
            <w:r w:rsidRPr="00944B15">
              <w:rPr>
                <w:rFonts w:eastAsia="Times New Roman" w:cs="Times New Roman"/>
                <w:szCs w:val="24"/>
              </w:rPr>
              <w:t xml:space="preserve"> GI</w:t>
            </w:r>
            <w:r w:rsidRPr="00944B15">
              <w:rPr>
                <w:rFonts w:cs="Times New Roman"/>
                <w:szCs w:val="24"/>
              </w:rPr>
              <w:t xml:space="preserve"> disturbances </w:t>
            </w:r>
            <w:r>
              <w:rPr>
                <w:rFonts w:cs="Times New Roman"/>
                <w:szCs w:val="24"/>
              </w:rPr>
              <w:t>and seizure</w:t>
            </w:r>
          </w:p>
        </w:tc>
      </w:tr>
      <w:tr w:rsidR="00214907" w:rsidRPr="00944B15" w14:paraId="655BEA57" w14:textId="77777777" w:rsidTr="002D6DD7">
        <w:trPr>
          <w:jc w:val="center"/>
        </w:trPr>
        <w:tc>
          <w:tcPr>
            <w:tcW w:w="2605" w:type="dxa"/>
            <w:hideMark/>
          </w:tcPr>
          <w:p w14:paraId="5964AEA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068CDF37" w14:textId="77777777" w:rsidR="00214907" w:rsidRPr="00944B15" w:rsidRDefault="00214907" w:rsidP="002D6DD7">
            <w:pPr>
              <w:jc w:val="both"/>
              <w:rPr>
                <w:rFonts w:eastAsia="Times New Roman" w:cs="Times New Roman"/>
                <w:szCs w:val="24"/>
                <w:vertAlign w:val="superscript"/>
              </w:rPr>
            </w:pPr>
            <w:r>
              <w:rPr>
                <w:rFonts w:eastAsia="Times New Roman" w:cs="Times New Roman"/>
                <w:szCs w:val="24"/>
              </w:rPr>
              <w:t>I</w:t>
            </w:r>
            <w:r w:rsidRPr="00944B15">
              <w:rPr>
                <w:rFonts w:eastAsia="Times New Roman" w:cs="Times New Roman"/>
                <w:szCs w:val="24"/>
              </w:rPr>
              <w:t>mpai</w:t>
            </w:r>
            <w:r>
              <w:rPr>
                <w:rFonts w:eastAsia="Times New Roman" w:cs="Times New Roman"/>
                <w:szCs w:val="24"/>
              </w:rPr>
              <w:t>red renal function and neonates.</w:t>
            </w:r>
          </w:p>
        </w:tc>
      </w:tr>
      <w:tr w:rsidR="00214907" w:rsidRPr="00944B15" w14:paraId="63251E83" w14:textId="77777777" w:rsidTr="002D6DD7">
        <w:trPr>
          <w:jc w:val="center"/>
        </w:trPr>
        <w:tc>
          <w:tcPr>
            <w:tcW w:w="2605" w:type="dxa"/>
            <w:hideMark/>
          </w:tcPr>
          <w:p w14:paraId="1239EFA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53AB067F"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Store below 30°C. Protect from light.</w:t>
            </w:r>
          </w:p>
        </w:tc>
      </w:tr>
      <w:tr w:rsidR="00214907" w:rsidRPr="00944B15" w14:paraId="699BE8F3" w14:textId="77777777" w:rsidTr="002D6DD7">
        <w:trPr>
          <w:jc w:val="center"/>
        </w:trPr>
        <w:tc>
          <w:tcPr>
            <w:tcW w:w="9579" w:type="dxa"/>
            <w:gridSpan w:val="2"/>
          </w:tcPr>
          <w:p w14:paraId="22106268" w14:textId="77777777" w:rsidR="00214907" w:rsidRPr="00944B15" w:rsidRDefault="00214907" w:rsidP="002D6DD7">
            <w:pPr>
              <w:jc w:val="both"/>
              <w:rPr>
                <w:rFonts w:eastAsia="Times New Roman" w:cs="Times New Roman"/>
                <w:b/>
                <w:szCs w:val="24"/>
              </w:rPr>
            </w:pPr>
            <w:r>
              <w:rPr>
                <w:rFonts w:eastAsia="Times New Roman" w:cs="Times New Roman"/>
                <w:b/>
                <w:color w:val="000000"/>
                <w:szCs w:val="24"/>
              </w:rPr>
              <w:lastRenderedPageBreak/>
              <w:t>Riboflavin (v</w:t>
            </w:r>
            <w:r w:rsidRPr="00944B15">
              <w:rPr>
                <w:rFonts w:eastAsia="Times New Roman" w:cs="Times New Roman"/>
                <w:b/>
                <w:color w:val="000000"/>
                <w:szCs w:val="24"/>
              </w:rPr>
              <w:t>itamin B2)</w:t>
            </w:r>
          </w:p>
        </w:tc>
      </w:tr>
      <w:tr w:rsidR="00214907" w:rsidRPr="00944B15" w14:paraId="11D20B4D" w14:textId="77777777" w:rsidTr="002D6DD7">
        <w:trPr>
          <w:jc w:val="center"/>
        </w:trPr>
        <w:tc>
          <w:tcPr>
            <w:tcW w:w="2605" w:type="dxa"/>
            <w:hideMark/>
          </w:tcPr>
          <w:p w14:paraId="1D44A2D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6D272562"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5824E56E" w14:textId="77777777" w:rsidTr="002D6DD7">
        <w:trPr>
          <w:jc w:val="center"/>
        </w:trPr>
        <w:tc>
          <w:tcPr>
            <w:tcW w:w="2605" w:type="dxa"/>
            <w:hideMark/>
          </w:tcPr>
          <w:p w14:paraId="420855A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54C9ADFF" w14:textId="77777777" w:rsidR="00214907" w:rsidRPr="00944B15" w:rsidRDefault="00214907" w:rsidP="002D6DD7">
            <w:pPr>
              <w:jc w:val="both"/>
              <w:rPr>
                <w:rFonts w:eastAsia="Times New Roman" w:cs="Times New Roman"/>
                <w:color w:val="ED7D31"/>
                <w:szCs w:val="24"/>
              </w:rPr>
            </w:pPr>
            <w:r>
              <w:rPr>
                <w:rFonts w:eastAsia="Times New Roman" w:cs="Times New Roman"/>
                <w:color w:val="000000"/>
                <w:szCs w:val="24"/>
              </w:rPr>
              <w:t>Tablet:</w:t>
            </w:r>
            <w:r w:rsidRPr="00944B15">
              <w:rPr>
                <w:rFonts w:eastAsia="Times New Roman" w:cs="Times New Roman"/>
                <w:color w:val="000000"/>
                <w:szCs w:val="24"/>
              </w:rPr>
              <w:t xml:space="preserve"> 5 mg</w:t>
            </w:r>
          </w:p>
        </w:tc>
      </w:tr>
      <w:tr w:rsidR="00214907" w:rsidRPr="00944B15" w14:paraId="5AC23008" w14:textId="77777777" w:rsidTr="002D6DD7">
        <w:trPr>
          <w:jc w:val="center"/>
        </w:trPr>
        <w:tc>
          <w:tcPr>
            <w:tcW w:w="2605" w:type="dxa"/>
            <w:hideMark/>
          </w:tcPr>
          <w:p w14:paraId="1A8285F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1C5A9992"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 B2 deficiency (</w:t>
            </w:r>
            <w:r w:rsidRPr="008269C4">
              <w:rPr>
                <w:rFonts w:eastAsia="Times New Roman" w:cs="Times New Roman"/>
                <w:szCs w:val="24"/>
              </w:rPr>
              <w:t>ariboflavinosis</w:t>
            </w:r>
            <w:r>
              <w:rPr>
                <w:rFonts w:eastAsia="Times New Roman" w:cs="Times New Roman"/>
                <w:szCs w:val="24"/>
              </w:rPr>
              <w:t>)</w:t>
            </w:r>
          </w:p>
        </w:tc>
      </w:tr>
      <w:tr w:rsidR="00214907" w:rsidRPr="00944B15" w14:paraId="5014F0F0" w14:textId="77777777" w:rsidTr="002D6DD7">
        <w:trPr>
          <w:jc w:val="center"/>
        </w:trPr>
        <w:tc>
          <w:tcPr>
            <w:tcW w:w="2605" w:type="dxa"/>
            <w:hideMark/>
          </w:tcPr>
          <w:p w14:paraId="66B9935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78579600"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 xml:space="preserve">Adult and child: </w:t>
            </w:r>
          </w:p>
          <w:p w14:paraId="53226CD1" w14:textId="77777777" w:rsidR="00214907" w:rsidRPr="00944B15" w:rsidRDefault="00214907" w:rsidP="002D6DD7">
            <w:pPr>
              <w:contextualSpacing/>
              <w:jc w:val="both"/>
              <w:rPr>
                <w:rFonts w:eastAsia="Times New Roman" w:cs="Times New Roman"/>
                <w:color w:val="000000"/>
                <w:szCs w:val="24"/>
              </w:rPr>
            </w:pPr>
            <w:r w:rsidRPr="008269C4">
              <w:rPr>
                <w:rFonts w:eastAsia="Times New Roman" w:cs="Times New Roman"/>
                <w:b/>
                <w:color w:val="000000"/>
                <w:szCs w:val="24"/>
              </w:rPr>
              <w:t>Treatment of vitamin B 2 deficiency:</w:t>
            </w:r>
            <w:r w:rsidRPr="00944B15">
              <w:rPr>
                <w:rFonts w:eastAsia="Times New Roman" w:cs="Times New Roman"/>
                <w:color w:val="000000"/>
                <w:szCs w:val="24"/>
              </w:rPr>
              <w:t xml:space="preserve"> up to 30 mg daily in divided doses. </w:t>
            </w:r>
          </w:p>
          <w:p w14:paraId="6AB580A4" w14:textId="77777777" w:rsidR="00214907" w:rsidRPr="00944B15" w:rsidRDefault="00214907" w:rsidP="002D6DD7">
            <w:pPr>
              <w:autoSpaceDE w:val="0"/>
              <w:autoSpaceDN w:val="0"/>
              <w:adjustRightInd w:val="0"/>
              <w:jc w:val="both"/>
              <w:rPr>
                <w:rFonts w:eastAsia="Calibri" w:cs="Times New Roman"/>
                <w:color w:val="000000"/>
                <w:szCs w:val="24"/>
              </w:rPr>
            </w:pPr>
            <w:r w:rsidRPr="008269C4">
              <w:rPr>
                <w:rFonts w:eastAsia="Calibri" w:cs="Times New Roman"/>
                <w:b/>
                <w:color w:val="000000"/>
                <w:szCs w:val="24"/>
              </w:rPr>
              <w:t>Prophylaxis of vitamin B 2 deficiency:</w:t>
            </w:r>
            <w:r w:rsidRPr="00944B15">
              <w:rPr>
                <w:rFonts w:eastAsia="Calibri" w:cs="Times New Roman"/>
                <w:color w:val="000000"/>
                <w:szCs w:val="24"/>
              </w:rPr>
              <w:t xml:space="preserve"> 1 to 2 mg daily.</w:t>
            </w:r>
          </w:p>
        </w:tc>
      </w:tr>
      <w:tr w:rsidR="00214907" w:rsidRPr="00944B15" w14:paraId="0E453039" w14:textId="77777777" w:rsidTr="002D6DD7">
        <w:trPr>
          <w:jc w:val="center"/>
        </w:trPr>
        <w:tc>
          <w:tcPr>
            <w:tcW w:w="2605" w:type="dxa"/>
            <w:hideMark/>
          </w:tcPr>
          <w:p w14:paraId="4E6C0D7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224D65C0"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Hypersensitivity </w:t>
            </w:r>
            <w:r>
              <w:rPr>
                <w:rFonts w:eastAsia="Times New Roman" w:cs="Times New Roman"/>
                <w:color w:val="000000"/>
                <w:szCs w:val="24"/>
              </w:rPr>
              <w:t>to the drug</w:t>
            </w:r>
          </w:p>
        </w:tc>
      </w:tr>
      <w:tr w:rsidR="00214907" w:rsidRPr="00944B15" w14:paraId="342B6EF5" w14:textId="77777777" w:rsidTr="002D6DD7">
        <w:trPr>
          <w:jc w:val="center"/>
        </w:trPr>
        <w:tc>
          <w:tcPr>
            <w:tcW w:w="2605" w:type="dxa"/>
            <w:hideMark/>
          </w:tcPr>
          <w:p w14:paraId="0F57BA6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33969DAB"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 xml:space="preserve">Anticholinergic drugs, tetracyclines, tricyclic antidepressants </w:t>
            </w:r>
          </w:p>
        </w:tc>
      </w:tr>
      <w:tr w:rsidR="00214907" w:rsidRPr="00944B15" w14:paraId="61815444" w14:textId="77777777" w:rsidTr="002D6DD7">
        <w:trPr>
          <w:jc w:val="center"/>
        </w:trPr>
        <w:tc>
          <w:tcPr>
            <w:tcW w:w="2605" w:type="dxa"/>
            <w:hideMark/>
          </w:tcPr>
          <w:p w14:paraId="014C6B9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6BC78D36" w14:textId="77777777" w:rsidR="00214907" w:rsidRPr="00944B15" w:rsidRDefault="00214907" w:rsidP="002D6DD7">
            <w:pPr>
              <w:jc w:val="both"/>
              <w:rPr>
                <w:rFonts w:eastAsia="Times New Roman" w:cs="Times New Roman"/>
                <w:szCs w:val="24"/>
              </w:rPr>
            </w:pPr>
            <w:r w:rsidRPr="00944B15">
              <w:rPr>
                <w:rFonts w:eastAsia="Times New Roman" w:cs="Times New Roman"/>
                <w:color w:val="000000"/>
                <w:szCs w:val="24"/>
              </w:rPr>
              <w:t>Swelling of lips, face</w:t>
            </w:r>
            <w:r>
              <w:rPr>
                <w:rFonts w:eastAsia="Times New Roman" w:cs="Times New Roman"/>
                <w:color w:val="000000"/>
                <w:szCs w:val="24"/>
              </w:rPr>
              <w:t>,</w:t>
            </w:r>
            <w:r>
              <w:t xml:space="preserve"> </w:t>
            </w:r>
            <w:r>
              <w:rPr>
                <w:rFonts w:eastAsia="Times New Roman" w:cs="Times New Roman"/>
                <w:color w:val="000000"/>
                <w:szCs w:val="24"/>
              </w:rPr>
              <w:t>d</w:t>
            </w:r>
            <w:r w:rsidRPr="00FF0C89">
              <w:rPr>
                <w:rFonts w:eastAsia="Times New Roman" w:cs="Times New Roman"/>
                <w:color w:val="000000"/>
                <w:szCs w:val="24"/>
              </w:rPr>
              <w:t>ark yellow disc</w:t>
            </w:r>
            <w:r>
              <w:rPr>
                <w:rFonts w:eastAsia="Times New Roman" w:cs="Times New Roman"/>
                <w:color w:val="000000"/>
                <w:szCs w:val="24"/>
              </w:rPr>
              <w:t>olorations of urine (harmless),</w:t>
            </w:r>
            <w:r w:rsidRPr="00944B15">
              <w:rPr>
                <w:rFonts w:eastAsia="Times New Roman" w:cs="Times New Roman"/>
                <w:color w:val="000000"/>
                <w:szCs w:val="24"/>
              </w:rPr>
              <w:t xml:space="preserve"> and tongue and difficulty in breathing. </w:t>
            </w:r>
          </w:p>
        </w:tc>
      </w:tr>
      <w:tr w:rsidR="00214907" w:rsidRPr="00944B15" w14:paraId="16466616" w14:textId="77777777" w:rsidTr="002D6DD7">
        <w:trPr>
          <w:jc w:val="center"/>
        </w:trPr>
        <w:tc>
          <w:tcPr>
            <w:tcW w:w="2605" w:type="dxa"/>
            <w:hideMark/>
          </w:tcPr>
          <w:p w14:paraId="398A9FA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161A9EAF" w14:textId="77777777" w:rsidR="00214907" w:rsidRPr="00944B15" w:rsidRDefault="00214907" w:rsidP="002D6DD7">
            <w:pPr>
              <w:jc w:val="both"/>
              <w:rPr>
                <w:rFonts w:eastAsia="Times New Roman" w:cs="Times New Roman"/>
                <w:szCs w:val="24"/>
                <w:vertAlign w:val="superscript"/>
              </w:rPr>
            </w:pPr>
            <w:r>
              <w:rPr>
                <w:rFonts w:eastAsia="Times New Roman" w:cs="Times New Roman"/>
                <w:color w:val="000000"/>
                <w:szCs w:val="24"/>
              </w:rPr>
              <w:t>P</w:t>
            </w:r>
            <w:r w:rsidRPr="00944B15">
              <w:rPr>
                <w:rFonts w:eastAsia="Times New Roman" w:cs="Times New Roman"/>
                <w:color w:val="000000"/>
                <w:szCs w:val="24"/>
              </w:rPr>
              <w:t xml:space="preserve">regnancy and breastfeeding. </w:t>
            </w:r>
          </w:p>
        </w:tc>
      </w:tr>
      <w:tr w:rsidR="00214907" w:rsidRPr="00944B15" w14:paraId="0BDD965C" w14:textId="77777777" w:rsidTr="002D6DD7">
        <w:trPr>
          <w:jc w:val="center"/>
        </w:trPr>
        <w:tc>
          <w:tcPr>
            <w:tcW w:w="2605" w:type="dxa"/>
            <w:hideMark/>
          </w:tcPr>
          <w:p w14:paraId="25C70A8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5FEC6B4F"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Store below 30°C. Protect from light.</w:t>
            </w:r>
          </w:p>
        </w:tc>
      </w:tr>
      <w:tr w:rsidR="00214907" w:rsidRPr="00944B15" w14:paraId="36C0C647" w14:textId="77777777" w:rsidTr="002D6DD7">
        <w:trPr>
          <w:jc w:val="center"/>
        </w:trPr>
        <w:tc>
          <w:tcPr>
            <w:tcW w:w="9579" w:type="dxa"/>
            <w:gridSpan w:val="2"/>
          </w:tcPr>
          <w:p w14:paraId="4EDE0709" w14:textId="77777777" w:rsidR="00214907" w:rsidRPr="00944B15" w:rsidRDefault="00214907" w:rsidP="002D6DD7">
            <w:pPr>
              <w:jc w:val="both"/>
              <w:rPr>
                <w:rFonts w:eastAsia="Times New Roman" w:cs="Times New Roman"/>
                <w:b/>
                <w:szCs w:val="24"/>
              </w:rPr>
            </w:pPr>
            <w:r>
              <w:rPr>
                <w:rFonts w:eastAsia="Times New Roman" w:cs="Times New Roman"/>
                <w:b/>
                <w:color w:val="000000"/>
                <w:szCs w:val="24"/>
              </w:rPr>
              <w:t>Thiamine h</w:t>
            </w:r>
            <w:r w:rsidRPr="00944B15">
              <w:rPr>
                <w:rFonts w:eastAsia="Times New Roman" w:cs="Times New Roman"/>
                <w:b/>
                <w:color w:val="000000"/>
                <w:szCs w:val="24"/>
              </w:rPr>
              <w:t>ydrochloride (Vitamin B1)</w:t>
            </w:r>
          </w:p>
        </w:tc>
      </w:tr>
      <w:tr w:rsidR="00214907" w:rsidRPr="00944B15" w14:paraId="6508F83F" w14:textId="77777777" w:rsidTr="002D6DD7">
        <w:trPr>
          <w:jc w:val="center"/>
        </w:trPr>
        <w:tc>
          <w:tcPr>
            <w:tcW w:w="2605" w:type="dxa"/>
            <w:hideMark/>
          </w:tcPr>
          <w:p w14:paraId="1C835BC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766392F0"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55635A86" w14:textId="77777777" w:rsidTr="002D6DD7">
        <w:trPr>
          <w:jc w:val="center"/>
        </w:trPr>
        <w:tc>
          <w:tcPr>
            <w:tcW w:w="2605" w:type="dxa"/>
            <w:hideMark/>
          </w:tcPr>
          <w:p w14:paraId="24287AD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3FFDE199"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Tablet: 50mg, 100mg</w:t>
            </w:r>
          </w:p>
          <w:p w14:paraId="09C493B6"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Injection, 50mg/</w:t>
            </w:r>
            <w:r>
              <w:rPr>
                <w:rFonts w:eastAsia="Times New Roman" w:cs="Times New Roman"/>
                <w:szCs w:val="24"/>
              </w:rPr>
              <w:t>ml</w:t>
            </w:r>
            <w:r w:rsidRPr="00944B15">
              <w:rPr>
                <w:rFonts w:eastAsia="Times New Roman" w:cs="Times New Roman"/>
                <w:szCs w:val="24"/>
              </w:rPr>
              <w:t xml:space="preserve"> in 2</w:t>
            </w:r>
            <w:r>
              <w:rPr>
                <w:rFonts w:eastAsia="Times New Roman" w:cs="Times New Roman"/>
                <w:szCs w:val="24"/>
              </w:rPr>
              <w:t>ml</w:t>
            </w:r>
            <w:r w:rsidRPr="00944B15">
              <w:rPr>
                <w:rFonts w:eastAsia="Times New Roman" w:cs="Times New Roman"/>
                <w:szCs w:val="24"/>
              </w:rPr>
              <w:t xml:space="preserve"> ampoule</w:t>
            </w:r>
          </w:p>
        </w:tc>
      </w:tr>
      <w:tr w:rsidR="00214907" w:rsidRPr="00944B15" w14:paraId="56B77E25" w14:textId="77777777" w:rsidTr="002D6DD7">
        <w:trPr>
          <w:jc w:val="center"/>
        </w:trPr>
        <w:tc>
          <w:tcPr>
            <w:tcW w:w="2605" w:type="dxa"/>
            <w:hideMark/>
          </w:tcPr>
          <w:p w14:paraId="5F94A35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644C1B1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szCs w:val="24"/>
              </w:rPr>
              <w:t xml:space="preserve">For prevention and treatment of thiamine deficiency states that may occur as a result of inadequate nutrition or intestinal malabsorption. </w:t>
            </w:r>
          </w:p>
        </w:tc>
      </w:tr>
      <w:tr w:rsidR="00214907" w:rsidRPr="00944B15" w14:paraId="0F6BAABC" w14:textId="77777777" w:rsidTr="002D6DD7">
        <w:trPr>
          <w:jc w:val="center"/>
        </w:trPr>
        <w:tc>
          <w:tcPr>
            <w:tcW w:w="2605" w:type="dxa"/>
            <w:hideMark/>
          </w:tcPr>
          <w:p w14:paraId="586F2DE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3C40D64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Adult</w:t>
            </w:r>
            <w:r w:rsidRPr="00944B15">
              <w:rPr>
                <w:rFonts w:eastAsia="Times New Roman" w:cs="Times New Roman"/>
                <w:color w:val="000000"/>
                <w:szCs w:val="24"/>
              </w:rPr>
              <w:t>:</w:t>
            </w:r>
          </w:p>
          <w:p w14:paraId="1E6A2A95" w14:textId="77777777" w:rsidR="00214907"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For the prevention and treatment of vi</w:t>
            </w:r>
            <w:r>
              <w:rPr>
                <w:rFonts w:eastAsia="Times New Roman" w:cs="Times New Roman"/>
                <w:b/>
                <w:color w:val="000000"/>
                <w:szCs w:val="24"/>
              </w:rPr>
              <w:t>tamin B1 deficiency or beriberi:</w:t>
            </w:r>
          </w:p>
          <w:p w14:paraId="69F04B1A" w14:textId="77777777" w:rsidR="00214907" w:rsidRPr="00944B15" w:rsidRDefault="00214907" w:rsidP="002D6DD7">
            <w:pPr>
              <w:contextualSpacing/>
              <w:jc w:val="both"/>
              <w:rPr>
                <w:rFonts w:eastAsia="Times New Roman" w:cs="Times New Roman"/>
                <w:color w:val="000000"/>
                <w:szCs w:val="24"/>
              </w:rPr>
            </w:pPr>
            <w:r w:rsidRPr="00F64A51">
              <w:rPr>
                <w:rFonts w:eastAsia="Times New Roman" w:cs="Times New Roman"/>
                <w:color w:val="000000"/>
                <w:szCs w:val="24"/>
              </w:rPr>
              <w:t>IM or slow IV infusion</w:t>
            </w:r>
            <w:r>
              <w:rPr>
                <w:rFonts w:eastAsia="Times New Roman" w:cs="Times New Roman"/>
                <w:color w:val="000000"/>
                <w:szCs w:val="24"/>
              </w:rPr>
              <w:t xml:space="preserve">: </w:t>
            </w:r>
            <w:r w:rsidRPr="00944B15">
              <w:rPr>
                <w:rFonts w:eastAsia="Times New Roman" w:cs="Times New Roman"/>
                <w:color w:val="000000"/>
                <w:szCs w:val="24"/>
              </w:rPr>
              <w:t>10–20 mg 3 times/day for up to 2 weeks, then oral maintenance with therapeutic multivitamin preparation containing 5–10 mg thiamine daily for 1 month: 5–10 mg orally 3 times/day</w:t>
            </w:r>
          </w:p>
          <w:p w14:paraId="427E0E65" w14:textId="77777777" w:rsidR="00214907"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Thiamine defici</w:t>
            </w:r>
            <w:r>
              <w:rPr>
                <w:rFonts w:eastAsia="Times New Roman" w:cs="Times New Roman"/>
                <w:b/>
                <w:color w:val="000000"/>
                <w:szCs w:val="24"/>
              </w:rPr>
              <w:t>ency, treatment and prophylaxis:</w:t>
            </w:r>
            <w:r w:rsidRPr="00944B15">
              <w:rPr>
                <w:rFonts w:eastAsia="Times New Roman" w:cs="Times New Roman"/>
                <w:b/>
                <w:color w:val="000000"/>
                <w:szCs w:val="24"/>
              </w:rPr>
              <w:t xml:space="preserve"> </w:t>
            </w:r>
          </w:p>
          <w:p w14:paraId="78FB0C62" w14:textId="77777777" w:rsidR="00214907" w:rsidRPr="00944B15" w:rsidRDefault="00214907" w:rsidP="002D6DD7">
            <w:pPr>
              <w:contextualSpacing/>
              <w:jc w:val="both"/>
              <w:rPr>
                <w:rFonts w:eastAsia="Times New Roman" w:cs="Times New Roman"/>
                <w:color w:val="000000"/>
                <w:szCs w:val="24"/>
              </w:rPr>
            </w:pPr>
            <w:r w:rsidRPr="00F64A51">
              <w:rPr>
                <w:rFonts w:eastAsia="Times New Roman" w:cs="Times New Roman"/>
                <w:color w:val="000000"/>
                <w:szCs w:val="24"/>
              </w:rPr>
              <w:t>Oral:</w:t>
            </w:r>
            <w:r w:rsidRPr="00944B15">
              <w:rPr>
                <w:rFonts w:eastAsia="Times New Roman" w:cs="Times New Roman"/>
                <w:color w:val="000000"/>
                <w:szCs w:val="24"/>
              </w:rPr>
              <w:t xml:space="preserve"> Dietary supplement, 100 mg daily</w:t>
            </w:r>
          </w:p>
          <w:p w14:paraId="521707AF" w14:textId="77777777" w:rsidR="00214907" w:rsidRPr="00944B15" w:rsidRDefault="00214907" w:rsidP="002D6DD7">
            <w:pPr>
              <w:jc w:val="both"/>
              <w:rPr>
                <w:rFonts w:eastAsia="Times New Roman" w:cs="Times New Roman"/>
                <w:color w:val="000000"/>
                <w:szCs w:val="24"/>
              </w:rPr>
            </w:pPr>
            <w:r>
              <w:rPr>
                <w:rFonts w:eastAsia="Times New Roman" w:cs="Times New Roman"/>
                <w:b/>
                <w:color w:val="000000"/>
                <w:szCs w:val="24"/>
              </w:rPr>
              <w:t>Pediatric</w:t>
            </w:r>
            <w:r w:rsidRPr="00944B15">
              <w:rPr>
                <w:rFonts w:eastAsia="Times New Roman" w:cs="Times New Roman"/>
                <w:color w:val="000000"/>
                <w:szCs w:val="24"/>
              </w:rPr>
              <w:t>:</w:t>
            </w:r>
          </w:p>
          <w:p w14:paraId="588E969F"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lastRenderedPageBreak/>
              <w:t>Pre</w:t>
            </w:r>
            <w:r>
              <w:rPr>
                <w:rFonts w:eastAsia="Times New Roman" w:cs="Times New Roman"/>
                <w:b/>
                <w:color w:val="000000"/>
                <w:szCs w:val="24"/>
              </w:rPr>
              <w:t xml:space="preserve">vention of thiamine deficiency: </w:t>
            </w:r>
            <w:r>
              <w:rPr>
                <w:rFonts w:eastAsia="Times New Roman" w:cs="Times New Roman"/>
                <w:color w:val="000000"/>
                <w:szCs w:val="24"/>
              </w:rPr>
              <w:t>oral</w:t>
            </w:r>
          </w:p>
          <w:p w14:paraId="713527A0"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 xml:space="preserve"> </w:t>
            </w:r>
            <w:r w:rsidRPr="00C10C25">
              <w:rPr>
                <w:rFonts w:eastAsia="Times New Roman" w:cs="Times New Roman"/>
                <w:b/>
                <w:color w:val="000000"/>
                <w:szCs w:val="24"/>
              </w:rPr>
              <w:t>Infant:</w:t>
            </w:r>
            <w:r w:rsidRPr="00944B15">
              <w:rPr>
                <w:rFonts w:eastAsia="Times New Roman" w:cs="Times New Roman"/>
                <w:color w:val="000000"/>
                <w:szCs w:val="24"/>
              </w:rPr>
              <w:t xml:space="preserve"> 0.3–0.5 mg/day; Child: 0.5–1 mg/day</w:t>
            </w:r>
          </w:p>
          <w:p w14:paraId="1F3E2B79"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Treatment of</w:t>
            </w:r>
            <w:r>
              <w:rPr>
                <w:rFonts w:eastAsia="Times New Roman" w:cs="Times New Roman"/>
                <w:b/>
                <w:color w:val="000000"/>
                <w:szCs w:val="24"/>
              </w:rPr>
              <w:t xml:space="preserve"> thiamine deficiency (beriberi):</w:t>
            </w:r>
            <w:r w:rsidRPr="00944B15">
              <w:rPr>
                <w:rFonts w:eastAsia="Times New Roman" w:cs="Times New Roman"/>
                <w:b/>
                <w:color w:val="000000"/>
                <w:szCs w:val="24"/>
              </w:rPr>
              <w:t xml:space="preserve"> </w:t>
            </w:r>
            <w:r>
              <w:rPr>
                <w:rFonts w:eastAsia="Times New Roman" w:cs="Times New Roman"/>
                <w:color w:val="000000"/>
                <w:szCs w:val="24"/>
              </w:rPr>
              <w:t>oral</w:t>
            </w:r>
          </w:p>
          <w:p w14:paraId="2F168EA9"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color w:val="000000"/>
                <w:szCs w:val="24"/>
              </w:rPr>
              <w:t xml:space="preserve"> </w:t>
            </w:r>
            <w:r w:rsidRPr="00C10C25">
              <w:rPr>
                <w:rFonts w:eastAsia="Calibri" w:cs="Times New Roman"/>
                <w:b/>
                <w:color w:val="000000"/>
                <w:szCs w:val="24"/>
              </w:rPr>
              <w:t>Child:</w:t>
            </w:r>
            <w:r w:rsidRPr="00944B15">
              <w:rPr>
                <w:rFonts w:eastAsia="Calibri" w:cs="Times New Roman"/>
                <w:color w:val="000000"/>
                <w:szCs w:val="24"/>
              </w:rPr>
              <w:t xml:space="preserve"> 10–50 mg/dose daily for 2 weeks, then 5–10 mg/dose daily for 1 month.</w:t>
            </w:r>
          </w:p>
        </w:tc>
      </w:tr>
      <w:tr w:rsidR="00214907" w:rsidRPr="00944B15" w14:paraId="57C87977" w14:textId="77777777" w:rsidTr="002D6DD7">
        <w:trPr>
          <w:jc w:val="center"/>
        </w:trPr>
        <w:tc>
          <w:tcPr>
            <w:tcW w:w="2605" w:type="dxa"/>
            <w:hideMark/>
          </w:tcPr>
          <w:p w14:paraId="3081B0C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974" w:type="dxa"/>
          </w:tcPr>
          <w:p w14:paraId="7A66E0BC" w14:textId="77777777" w:rsidR="00214907" w:rsidRPr="00944B15" w:rsidRDefault="00214907" w:rsidP="002D6DD7">
            <w:pPr>
              <w:jc w:val="both"/>
              <w:rPr>
                <w:rFonts w:eastAsia="Times New Roman" w:cs="Times New Roman"/>
                <w:color w:val="ED7D31"/>
                <w:szCs w:val="24"/>
              </w:rPr>
            </w:pPr>
            <w:r>
              <w:rPr>
                <w:rFonts w:eastAsia="Times New Roman" w:cs="Times New Roman"/>
                <w:color w:val="000000"/>
                <w:szCs w:val="24"/>
              </w:rPr>
              <w:t>H</w:t>
            </w:r>
            <w:r w:rsidRPr="00944B15">
              <w:rPr>
                <w:rFonts w:eastAsia="Times New Roman" w:cs="Times New Roman"/>
                <w:color w:val="000000"/>
                <w:szCs w:val="24"/>
              </w:rPr>
              <w:t xml:space="preserve">ypersensitivity to </w:t>
            </w:r>
            <w:r>
              <w:rPr>
                <w:rFonts w:eastAsia="Times New Roman" w:cs="Times New Roman"/>
                <w:color w:val="000000"/>
                <w:szCs w:val="24"/>
              </w:rPr>
              <w:t>the drug.</w:t>
            </w:r>
            <w:r w:rsidRPr="00944B15">
              <w:rPr>
                <w:rFonts w:eastAsia="Times New Roman" w:cs="Times New Roman"/>
                <w:color w:val="000000"/>
                <w:szCs w:val="24"/>
              </w:rPr>
              <w:t xml:space="preserve"> </w:t>
            </w:r>
          </w:p>
        </w:tc>
      </w:tr>
      <w:tr w:rsidR="00214907" w:rsidRPr="00944B15" w14:paraId="30EAD07D" w14:textId="77777777" w:rsidTr="002D6DD7">
        <w:trPr>
          <w:jc w:val="center"/>
        </w:trPr>
        <w:tc>
          <w:tcPr>
            <w:tcW w:w="2605" w:type="dxa"/>
            <w:hideMark/>
          </w:tcPr>
          <w:p w14:paraId="40E8BD1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3BAB2D04"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 xml:space="preserve">Alcohol, antacids, diuretics (furosemide) </w:t>
            </w:r>
          </w:p>
        </w:tc>
      </w:tr>
      <w:tr w:rsidR="00214907" w:rsidRPr="00944B15" w14:paraId="58E05C6B" w14:textId="77777777" w:rsidTr="002D6DD7">
        <w:trPr>
          <w:jc w:val="center"/>
        </w:trPr>
        <w:tc>
          <w:tcPr>
            <w:tcW w:w="2605" w:type="dxa"/>
            <w:hideMark/>
          </w:tcPr>
          <w:p w14:paraId="3B4D23A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195E7CA4"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Anaphylactic reaction (coughing, difficulty in swallowing; hives; itching of the skin, swelling of face, lips or eyelids, or wheezing or difficulty in breathing).</w:t>
            </w:r>
          </w:p>
        </w:tc>
      </w:tr>
      <w:tr w:rsidR="00214907" w:rsidRPr="00944B15" w14:paraId="0C3EF439" w14:textId="77777777" w:rsidTr="002D6DD7">
        <w:trPr>
          <w:jc w:val="center"/>
        </w:trPr>
        <w:tc>
          <w:tcPr>
            <w:tcW w:w="2605" w:type="dxa"/>
            <w:hideMark/>
          </w:tcPr>
          <w:p w14:paraId="3246619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511ACD33"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 xml:space="preserve">Pregnancy, </w:t>
            </w:r>
            <w:r>
              <w:rPr>
                <w:rFonts w:eastAsia="Times New Roman" w:cs="Times New Roman"/>
                <w:szCs w:val="24"/>
              </w:rPr>
              <w:t>dextrose administration.</w:t>
            </w:r>
          </w:p>
        </w:tc>
      </w:tr>
      <w:tr w:rsidR="00214907" w:rsidRPr="00944B15" w14:paraId="049E57ED" w14:textId="77777777" w:rsidTr="002D6DD7">
        <w:trPr>
          <w:jc w:val="center"/>
        </w:trPr>
        <w:tc>
          <w:tcPr>
            <w:tcW w:w="2605" w:type="dxa"/>
            <w:hideMark/>
          </w:tcPr>
          <w:p w14:paraId="662BE84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3D79CC45"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Store below 30°C. Protect from light.</w:t>
            </w:r>
          </w:p>
        </w:tc>
      </w:tr>
      <w:tr w:rsidR="00214907" w:rsidRPr="00944B15" w14:paraId="106D04F6" w14:textId="77777777" w:rsidTr="002D6DD7">
        <w:trPr>
          <w:jc w:val="center"/>
        </w:trPr>
        <w:tc>
          <w:tcPr>
            <w:tcW w:w="9579" w:type="dxa"/>
            <w:gridSpan w:val="2"/>
          </w:tcPr>
          <w:p w14:paraId="499FBEF1" w14:textId="77777777" w:rsidR="00214907" w:rsidRPr="00944B15" w:rsidRDefault="00214907" w:rsidP="002D6DD7">
            <w:pPr>
              <w:jc w:val="both"/>
              <w:rPr>
                <w:rFonts w:eastAsia="Times New Roman" w:cs="Times New Roman"/>
                <w:b/>
                <w:szCs w:val="24"/>
              </w:rPr>
            </w:pPr>
            <w:r w:rsidRPr="00944B15">
              <w:rPr>
                <w:rFonts w:eastAsia="Times New Roman" w:cs="Times New Roman"/>
                <w:b/>
                <w:color w:val="000000"/>
                <w:szCs w:val="24"/>
              </w:rPr>
              <w:t>Vitamin A</w:t>
            </w:r>
          </w:p>
        </w:tc>
      </w:tr>
      <w:tr w:rsidR="00214907" w:rsidRPr="00944B15" w14:paraId="24CBF309" w14:textId="77777777" w:rsidTr="002D6DD7">
        <w:trPr>
          <w:jc w:val="center"/>
        </w:trPr>
        <w:tc>
          <w:tcPr>
            <w:tcW w:w="2605" w:type="dxa"/>
            <w:hideMark/>
          </w:tcPr>
          <w:p w14:paraId="416409F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35DE1B59"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28420BD8" w14:textId="77777777" w:rsidTr="002D6DD7">
        <w:trPr>
          <w:jc w:val="center"/>
        </w:trPr>
        <w:tc>
          <w:tcPr>
            <w:tcW w:w="2605" w:type="dxa"/>
            <w:hideMark/>
          </w:tcPr>
          <w:p w14:paraId="3F37619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4AA86022"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Capsule: 50,000IU, 100,000IU, 200,000IU</w:t>
            </w:r>
          </w:p>
          <w:p w14:paraId="387CD69D"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Injection: 50,000IU/</w:t>
            </w:r>
            <w:r>
              <w:rPr>
                <w:rFonts w:eastAsia="Times New Roman" w:cs="Times New Roman"/>
                <w:color w:val="000000"/>
                <w:szCs w:val="24"/>
              </w:rPr>
              <w:t>ml</w:t>
            </w:r>
          </w:p>
        </w:tc>
      </w:tr>
      <w:tr w:rsidR="00214907" w:rsidRPr="00944B15" w14:paraId="747F4278" w14:textId="77777777" w:rsidTr="002D6DD7">
        <w:trPr>
          <w:jc w:val="center"/>
        </w:trPr>
        <w:tc>
          <w:tcPr>
            <w:tcW w:w="2605" w:type="dxa"/>
            <w:hideMark/>
          </w:tcPr>
          <w:p w14:paraId="08CD29E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41CD1A8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szCs w:val="24"/>
              </w:rPr>
              <w:t xml:space="preserve">For prevention or treatment of vitamin A deficiency states, causing keratomalacia, xerophthalmia and nyctalopia (night blindness). </w:t>
            </w:r>
          </w:p>
        </w:tc>
      </w:tr>
      <w:tr w:rsidR="00214907" w:rsidRPr="00944B15" w14:paraId="4225F22A" w14:textId="77777777" w:rsidTr="002D6DD7">
        <w:trPr>
          <w:jc w:val="center"/>
        </w:trPr>
        <w:tc>
          <w:tcPr>
            <w:tcW w:w="2605" w:type="dxa"/>
            <w:hideMark/>
          </w:tcPr>
          <w:p w14:paraId="5125F3D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3808A838"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 xml:space="preserve">Vitamin A deficiency: </w:t>
            </w:r>
            <w:r w:rsidRPr="00BC03AD">
              <w:rPr>
                <w:rFonts w:eastAsia="Times New Roman" w:cs="Times New Roman"/>
                <w:color w:val="000000"/>
                <w:szCs w:val="24"/>
              </w:rPr>
              <w:t>oral</w:t>
            </w:r>
          </w:p>
          <w:p w14:paraId="3F2A44C2" w14:textId="77777777" w:rsidR="00214907"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 xml:space="preserve">Adult: </w:t>
            </w:r>
            <w:r w:rsidRPr="00944B15">
              <w:rPr>
                <w:rFonts w:eastAsia="Times New Roman" w:cs="Times New Roman"/>
                <w:color w:val="000000"/>
                <w:szCs w:val="24"/>
              </w:rPr>
              <w:t>Prophylaxis: 50,000 IU once per day</w:t>
            </w:r>
          </w:p>
          <w:p w14:paraId="539CAD34" w14:textId="77777777" w:rsidR="00214907" w:rsidRPr="009C7EFE" w:rsidRDefault="00214907" w:rsidP="002D6DD7">
            <w:pPr>
              <w:contextualSpacing/>
              <w:jc w:val="both"/>
              <w:rPr>
                <w:rFonts w:eastAsia="Times New Roman" w:cs="Times New Roman"/>
                <w:color w:val="000000"/>
                <w:szCs w:val="24"/>
              </w:rPr>
            </w:pPr>
            <w:r>
              <w:rPr>
                <w:rFonts w:eastAsia="Times New Roman" w:cs="Times New Roman"/>
                <w:b/>
                <w:color w:val="000000"/>
                <w:szCs w:val="24"/>
              </w:rPr>
              <w:t>Preg</w:t>
            </w:r>
            <w:r w:rsidRPr="00D76338">
              <w:rPr>
                <w:rFonts w:eastAsia="Times New Roman" w:cs="Times New Roman"/>
                <w:b/>
                <w:color w:val="000000"/>
                <w:szCs w:val="24"/>
              </w:rPr>
              <w:t>nant women:</w:t>
            </w:r>
            <w:r w:rsidRPr="009C7EFE">
              <w:rPr>
                <w:rFonts w:eastAsia="Times New Roman" w:cs="Times New Roman"/>
                <w:color w:val="000000"/>
                <w:szCs w:val="24"/>
              </w:rPr>
              <w:t xml:space="preserve"> up</w:t>
            </w:r>
            <w:r>
              <w:rPr>
                <w:rFonts w:eastAsia="Times New Roman" w:cs="Times New Roman"/>
                <w:color w:val="000000"/>
                <w:szCs w:val="24"/>
              </w:rPr>
              <w:t xml:space="preserve"> </w:t>
            </w:r>
            <w:r w:rsidRPr="009C7EFE">
              <w:rPr>
                <w:rFonts w:eastAsia="Times New Roman" w:cs="Times New Roman"/>
                <w:color w:val="000000"/>
                <w:szCs w:val="24"/>
              </w:rPr>
              <w:t>to 10,000 units daily or 25,000 units once weekly</w:t>
            </w:r>
          </w:p>
          <w:p w14:paraId="3CAD7EDB" w14:textId="77777777" w:rsidR="00214907" w:rsidRPr="00944B15" w:rsidRDefault="00214907" w:rsidP="002D6DD7">
            <w:pPr>
              <w:contextualSpacing/>
              <w:jc w:val="both"/>
              <w:rPr>
                <w:rFonts w:eastAsia="Times New Roman" w:cs="Times New Roman"/>
                <w:color w:val="000000"/>
                <w:szCs w:val="24"/>
              </w:rPr>
            </w:pPr>
            <w:r w:rsidRPr="00D76338">
              <w:rPr>
                <w:rFonts w:eastAsia="Times New Roman" w:cs="Times New Roman"/>
                <w:b/>
                <w:color w:val="000000"/>
                <w:szCs w:val="24"/>
              </w:rPr>
              <w:t>Postpartum females:</w:t>
            </w:r>
            <w:r w:rsidRPr="009C7EFE">
              <w:rPr>
                <w:rFonts w:eastAsia="Times New Roman" w:cs="Times New Roman"/>
                <w:color w:val="000000"/>
                <w:szCs w:val="24"/>
              </w:rPr>
              <w:t xml:space="preserve"> 200,000 units at delivery or within 8 weeks of delivery</w:t>
            </w:r>
          </w:p>
          <w:p w14:paraId="66E85EAA" w14:textId="77777777" w:rsidR="00214907" w:rsidRDefault="00214907" w:rsidP="002D6DD7">
            <w:pPr>
              <w:contextualSpacing/>
              <w:jc w:val="both"/>
              <w:rPr>
                <w:rFonts w:eastAsia="Times New Roman" w:cs="Times New Roman"/>
                <w:color w:val="000000"/>
                <w:szCs w:val="24"/>
              </w:rPr>
            </w:pPr>
            <w:r>
              <w:rPr>
                <w:rFonts w:eastAsia="Times New Roman" w:cs="Times New Roman"/>
                <w:b/>
                <w:color w:val="000000"/>
                <w:szCs w:val="24"/>
              </w:rPr>
              <w:t xml:space="preserve">Xerophthalmia: </w:t>
            </w:r>
            <w:r w:rsidRPr="00BC03AD">
              <w:rPr>
                <w:rFonts w:eastAsia="Times New Roman" w:cs="Times New Roman"/>
                <w:color w:val="000000"/>
                <w:szCs w:val="24"/>
              </w:rPr>
              <w:t xml:space="preserve">oral </w:t>
            </w:r>
          </w:p>
          <w:p w14:paraId="7B84880E" w14:textId="77777777" w:rsidR="00214907" w:rsidRPr="00BC03AD" w:rsidRDefault="00214907" w:rsidP="002D6DD7">
            <w:pPr>
              <w:contextualSpacing/>
              <w:jc w:val="both"/>
              <w:rPr>
                <w:rFonts w:eastAsia="Times New Roman" w:cs="Times New Roman"/>
                <w:b/>
                <w:color w:val="000000"/>
                <w:szCs w:val="24"/>
              </w:rPr>
            </w:pPr>
            <w:r w:rsidRPr="00944B15">
              <w:rPr>
                <w:rFonts w:eastAsia="Times New Roman" w:cs="Times New Roman"/>
                <w:color w:val="000000"/>
                <w:szCs w:val="24"/>
              </w:rPr>
              <w:t>Recommended dose except for females of reproductive age: 200,000 units orally once daily for 2 days. Repeat dose again after 2 weeks</w:t>
            </w:r>
          </w:p>
          <w:p w14:paraId="26647B4C"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Females of reproductive age with night blindness or</w:t>
            </w:r>
            <w:r w:rsidRPr="00944B15">
              <w:rPr>
                <w:rFonts w:eastAsia="Times New Roman" w:cs="Times New Roman"/>
                <w:b/>
                <w:szCs w:val="24"/>
              </w:rPr>
              <w:t xml:space="preserve"> </w:t>
            </w:r>
            <w:r w:rsidRPr="00944B15">
              <w:rPr>
                <w:rFonts w:eastAsia="Times New Roman" w:cs="Times New Roman"/>
                <w:b/>
                <w:color w:val="000000"/>
                <w:szCs w:val="24"/>
              </w:rPr>
              <w:t>Bitot’s spots</w:t>
            </w:r>
            <w:r w:rsidRPr="00944B15">
              <w:rPr>
                <w:rFonts w:eastAsia="Times New Roman" w:cs="Times New Roman"/>
                <w:color w:val="000000"/>
                <w:szCs w:val="24"/>
              </w:rPr>
              <w:t>: 5,000-10,000 units per day; 10,000 units per day maximum of 25,000 units once weekly for no more than 4 weeks</w:t>
            </w:r>
          </w:p>
          <w:p w14:paraId="77DACFF9"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Pediatrics:</w:t>
            </w:r>
          </w:p>
          <w:p w14:paraId="20697A98"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lastRenderedPageBreak/>
              <w:t>Prevention of vitamin A deficiency (universal or targeted distribution programme</w:t>
            </w:r>
            <w:r>
              <w:rPr>
                <w:rFonts w:eastAsia="Times New Roman" w:cs="Times New Roman"/>
                <w:b/>
                <w:color w:val="000000"/>
                <w:szCs w:val="24"/>
              </w:rPr>
              <w:t>s):</w:t>
            </w:r>
            <w:r w:rsidRPr="00944B15">
              <w:rPr>
                <w:rFonts w:eastAsia="Times New Roman" w:cs="Times New Roman"/>
                <w:b/>
                <w:color w:val="000000"/>
                <w:szCs w:val="24"/>
              </w:rPr>
              <w:t xml:space="preserve"> </w:t>
            </w:r>
            <w:r w:rsidRPr="00BC03AD">
              <w:rPr>
                <w:rFonts w:eastAsia="Times New Roman" w:cs="Times New Roman"/>
                <w:color w:val="000000"/>
                <w:szCs w:val="24"/>
              </w:rPr>
              <w:t>oral</w:t>
            </w:r>
          </w:p>
          <w:p w14:paraId="0990EBDE" w14:textId="77777777" w:rsidR="00214907" w:rsidRPr="00944B15" w:rsidRDefault="00214907" w:rsidP="002D6DD7">
            <w:pPr>
              <w:contextualSpacing/>
              <w:jc w:val="both"/>
              <w:rPr>
                <w:rFonts w:eastAsia="Times New Roman" w:cs="Times New Roman"/>
                <w:color w:val="000000"/>
                <w:szCs w:val="24"/>
              </w:rPr>
            </w:pPr>
            <w:r w:rsidRPr="00BC03AD">
              <w:rPr>
                <w:rFonts w:eastAsia="Times New Roman" w:cs="Times New Roman"/>
                <w:b/>
                <w:color w:val="000000"/>
                <w:szCs w:val="24"/>
              </w:rPr>
              <w:t>Infant under 6 months:</w:t>
            </w:r>
            <w:r w:rsidRPr="00944B15">
              <w:rPr>
                <w:rFonts w:eastAsia="Times New Roman" w:cs="Times New Roman"/>
                <w:color w:val="000000"/>
                <w:szCs w:val="24"/>
              </w:rPr>
              <w:t xml:space="preserve"> 50 000 IU single dose.</w:t>
            </w:r>
          </w:p>
          <w:p w14:paraId="17B5648A" w14:textId="77777777" w:rsidR="00214907" w:rsidRPr="00944B15" w:rsidRDefault="00214907" w:rsidP="002D6DD7">
            <w:pPr>
              <w:contextualSpacing/>
              <w:jc w:val="both"/>
              <w:rPr>
                <w:rFonts w:eastAsia="Times New Roman" w:cs="Times New Roman"/>
                <w:color w:val="000000"/>
                <w:szCs w:val="24"/>
              </w:rPr>
            </w:pPr>
            <w:r w:rsidRPr="00BC03AD">
              <w:rPr>
                <w:rFonts w:eastAsia="Times New Roman" w:cs="Times New Roman"/>
                <w:b/>
                <w:color w:val="000000"/>
                <w:szCs w:val="24"/>
              </w:rPr>
              <w:t>Infant 6–12 months:</w:t>
            </w:r>
            <w:r w:rsidRPr="00944B15">
              <w:rPr>
                <w:rFonts w:eastAsia="Times New Roman" w:cs="Times New Roman"/>
                <w:color w:val="000000"/>
                <w:szCs w:val="24"/>
              </w:rPr>
              <w:t xml:space="preserve"> 100 000 IU every 4–6 months.</w:t>
            </w:r>
          </w:p>
          <w:p w14:paraId="24DEC126" w14:textId="77777777" w:rsidR="00214907" w:rsidRPr="00944B15" w:rsidRDefault="00214907" w:rsidP="002D6DD7">
            <w:pPr>
              <w:contextualSpacing/>
              <w:jc w:val="both"/>
              <w:rPr>
                <w:rFonts w:eastAsia="Times New Roman" w:cs="Times New Roman"/>
                <w:color w:val="000000"/>
                <w:szCs w:val="24"/>
              </w:rPr>
            </w:pPr>
            <w:r w:rsidRPr="00BC03AD">
              <w:rPr>
                <w:rFonts w:eastAsia="Times New Roman" w:cs="Times New Roman"/>
                <w:b/>
                <w:color w:val="000000"/>
                <w:szCs w:val="24"/>
              </w:rPr>
              <w:t>Child over 12 months:</w:t>
            </w:r>
            <w:r w:rsidRPr="00944B15">
              <w:rPr>
                <w:rFonts w:eastAsia="Times New Roman" w:cs="Times New Roman"/>
                <w:color w:val="000000"/>
                <w:szCs w:val="24"/>
              </w:rPr>
              <w:t xml:space="preserve"> 200 000 units every 4–6 months.</w:t>
            </w:r>
          </w:p>
          <w:p w14:paraId="10A49F6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A dose should preferably be administered with measles vaccination.</w:t>
            </w:r>
          </w:p>
          <w:p w14:paraId="16850386"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Treatment of xerophthalmia cau</w:t>
            </w:r>
            <w:r>
              <w:rPr>
                <w:rFonts w:eastAsia="Times New Roman" w:cs="Times New Roman"/>
                <w:b/>
                <w:color w:val="000000"/>
                <w:szCs w:val="24"/>
              </w:rPr>
              <w:t>sed by vitamin A deficiency:</w:t>
            </w:r>
            <w:r w:rsidRPr="00944B15">
              <w:rPr>
                <w:rFonts w:eastAsia="Times New Roman" w:cs="Times New Roman"/>
                <w:b/>
                <w:color w:val="000000"/>
                <w:szCs w:val="24"/>
              </w:rPr>
              <w:t xml:space="preserve"> </w:t>
            </w:r>
            <w:r w:rsidRPr="00BC03AD">
              <w:rPr>
                <w:rFonts w:eastAsia="Times New Roman" w:cs="Times New Roman"/>
                <w:color w:val="000000"/>
                <w:szCs w:val="24"/>
              </w:rPr>
              <w:t>oral</w:t>
            </w:r>
          </w:p>
          <w:p w14:paraId="07E4E6E0"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Infant under 6 months:</w:t>
            </w:r>
            <w:r w:rsidRPr="00944B15">
              <w:rPr>
                <w:rFonts w:eastAsia="Times New Roman" w:cs="Times New Roman"/>
                <w:color w:val="000000"/>
                <w:szCs w:val="24"/>
              </w:rPr>
              <w:t xml:space="preserve"> 50,000IU on diagnosis, repeated the next day and then after 2 weeks.</w:t>
            </w:r>
          </w:p>
          <w:p w14:paraId="7379E5E1"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Infant 6–12 months:</w:t>
            </w:r>
            <w:r w:rsidRPr="00944B15">
              <w:rPr>
                <w:rFonts w:eastAsia="Times New Roman" w:cs="Times New Roman"/>
                <w:color w:val="000000"/>
                <w:szCs w:val="24"/>
              </w:rPr>
              <w:t xml:space="preserve"> 100 000 IU immediately on diagnosis, repeated next day and then after 2 weeks.</w:t>
            </w:r>
          </w:p>
          <w:p w14:paraId="2674E605"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Child over 12 months:</w:t>
            </w:r>
            <w:r w:rsidRPr="00944B15">
              <w:rPr>
                <w:rFonts w:eastAsia="Times New Roman" w:cs="Times New Roman"/>
                <w:color w:val="000000"/>
                <w:szCs w:val="24"/>
              </w:rPr>
              <w:t xml:space="preserve"> 200 000 IU on diagnosis, repeated next day and then after 2 weeks.</w:t>
            </w:r>
          </w:p>
          <w:p w14:paraId="6DA91C44"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Measles (unless the child has already had adequate trea</w:t>
            </w:r>
            <w:r>
              <w:rPr>
                <w:rFonts w:eastAsia="Times New Roman" w:cs="Times New Roman"/>
                <w:b/>
                <w:color w:val="000000"/>
                <w:szCs w:val="24"/>
              </w:rPr>
              <w:t>tment with retinol for measles):</w:t>
            </w:r>
            <w:r w:rsidRPr="00944B15">
              <w:rPr>
                <w:rFonts w:eastAsia="Times New Roman" w:cs="Times New Roman"/>
                <w:b/>
                <w:color w:val="000000"/>
                <w:szCs w:val="24"/>
              </w:rPr>
              <w:t xml:space="preserve"> </w:t>
            </w:r>
            <w:r w:rsidRPr="00BC03AD">
              <w:rPr>
                <w:rFonts w:eastAsia="Times New Roman" w:cs="Times New Roman"/>
                <w:color w:val="000000"/>
                <w:szCs w:val="24"/>
              </w:rPr>
              <w:t>oral</w:t>
            </w:r>
          </w:p>
          <w:p w14:paraId="0BAE3D5D"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 xml:space="preserve">Infant under 6 months: </w:t>
            </w:r>
            <w:r w:rsidRPr="00944B15">
              <w:rPr>
                <w:rFonts w:eastAsia="Times New Roman" w:cs="Times New Roman"/>
                <w:color w:val="000000"/>
                <w:szCs w:val="24"/>
              </w:rPr>
              <w:t>50 000IU daily for 2 days.</w:t>
            </w:r>
          </w:p>
          <w:p w14:paraId="3674D88D"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Infant 6–11 months:</w:t>
            </w:r>
            <w:r w:rsidRPr="00944B15">
              <w:rPr>
                <w:rFonts w:eastAsia="Times New Roman" w:cs="Times New Roman"/>
                <w:color w:val="000000"/>
                <w:szCs w:val="24"/>
              </w:rPr>
              <w:t xml:space="preserve"> 100 000 IU daily for 2 days.</w:t>
            </w:r>
          </w:p>
          <w:p w14:paraId="3BA462CE" w14:textId="77777777" w:rsidR="00214907" w:rsidRPr="00944B15" w:rsidRDefault="00214907" w:rsidP="002D6DD7">
            <w:pPr>
              <w:contextualSpacing/>
              <w:jc w:val="both"/>
              <w:rPr>
                <w:rFonts w:eastAsia="Times New Roman" w:cs="Times New Roman"/>
                <w:color w:val="000000"/>
                <w:szCs w:val="24"/>
              </w:rPr>
            </w:pPr>
            <w:r w:rsidRPr="00B80F7A">
              <w:rPr>
                <w:rFonts w:eastAsia="Times New Roman" w:cs="Times New Roman"/>
                <w:b/>
                <w:color w:val="000000"/>
                <w:szCs w:val="24"/>
              </w:rPr>
              <w:t>Infant or child 11 months–5 years:</w:t>
            </w:r>
            <w:r w:rsidRPr="00944B15">
              <w:rPr>
                <w:rFonts w:eastAsia="Times New Roman" w:cs="Times New Roman"/>
                <w:color w:val="000000"/>
                <w:szCs w:val="24"/>
              </w:rPr>
              <w:t xml:space="preserve"> 200 000 IU daily for 2 days.</w:t>
            </w:r>
          </w:p>
          <w:p w14:paraId="2C6F3A8D"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color w:val="000000"/>
                <w:szCs w:val="24"/>
              </w:rPr>
              <w:t>If the child shows any eye signs of vitamin A deficiency or is severely malnourished, a third dose must be given 2–4 weeks after the second dose.</w:t>
            </w:r>
          </w:p>
        </w:tc>
      </w:tr>
      <w:tr w:rsidR="00214907" w:rsidRPr="00944B15" w14:paraId="3F4B841F" w14:textId="77777777" w:rsidTr="002D6DD7">
        <w:trPr>
          <w:jc w:val="center"/>
        </w:trPr>
        <w:tc>
          <w:tcPr>
            <w:tcW w:w="2605" w:type="dxa"/>
            <w:hideMark/>
          </w:tcPr>
          <w:p w14:paraId="44C7FEE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974" w:type="dxa"/>
          </w:tcPr>
          <w:p w14:paraId="478B1FB0" w14:textId="77777777" w:rsidR="00214907" w:rsidRPr="00944B15" w:rsidRDefault="00214907" w:rsidP="002D6DD7">
            <w:pPr>
              <w:jc w:val="both"/>
              <w:rPr>
                <w:rFonts w:eastAsia="Times New Roman" w:cs="Times New Roman"/>
                <w:color w:val="ED7D31"/>
                <w:szCs w:val="24"/>
              </w:rPr>
            </w:pPr>
            <w:r>
              <w:rPr>
                <w:rFonts w:eastAsia="Times New Roman" w:cs="Times New Roman"/>
                <w:szCs w:val="24"/>
              </w:rPr>
              <w:t>Hypersensitivity to the drug,</w:t>
            </w:r>
            <w:r w:rsidRPr="00944B15">
              <w:rPr>
                <w:rFonts w:eastAsia="Times New Roman" w:cs="Times New Roman"/>
                <w:szCs w:val="24"/>
              </w:rPr>
              <w:t xml:space="preserve"> </w:t>
            </w:r>
            <w:r>
              <w:rPr>
                <w:rFonts w:eastAsia="Times New Roman" w:cs="Times New Roman"/>
                <w:szCs w:val="24"/>
              </w:rPr>
              <w:t>pregnancy</w:t>
            </w:r>
            <w:r w:rsidRPr="00944B15">
              <w:rPr>
                <w:rFonts w:eastAsia="Times New Roman" w:cs="Times New Roman"/>
                <w:szCs w:val="24"/>
              </w:rPr>
              <w:t xml:space="preserve"> </w:t>
            </w:r>
          </w:p>
        </w:tc>
      </w:tr>
      <w:tr w:rsidR="00214907" w:rsidRPr="00944B15" w14:paraId="7B5DD75B" w14:textId="77777777" w:rsidTr="002D6DD7">
        <w:trPr>
          <w:jc w:val="center"/>
        </w:trPr>
        <w:tc>
          <w:tcPr>
            <w:tcW w:w="2605" w:type="dxa"/>
            <w:hideMark/>
          </w:tcPr>
          <w:p w14:paraId="4F18634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75A5F967"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Retinoids (such as acitretin, alitretinoin, isotretinoin)</w:t>
            </w:r>
          </w:p>
        </w:tc>
      </w:tr>
      <w:tr w:rsidR="00214907" w:rsidRPr="00944B15" w14:paraId="11782A79" w14:textId="77777777" w:rsidTr="002D6DD7">
        <w:trPr>
          <w:jc w:val="center"/>
        </w:trPr>
        <w:tc>
          <w:tcPr>
            <w:tcW w:w="2605" w:type="dxa"/>
            <w:hideMark/>
          </w:tcPr>
          <w:p w14:paraId="5A1BB07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734DF9E1" w14:textId="77777777" w:rsidR="00214907" w:rsidRPr="00944B15" w:rsidRDefault="00214907" w:rsidP="002D6DD7">
            <w:pPr>
              <w:jc w:val="both"/>
              <w:rPr>
                <w:rFonts w:eastAsia="Times New Roman" w:cs="Times New Roman"/>
                <w:szCs w:val="24"/>
              </w:rPr>
            </w:pPr>
            <w:r>
              <w:rPr>
                <w:rFonts w:eastAsia="Times New Roman" w:cs="Times New Roman"/>
                <w:szCs w:val="24"/>
              </w:rPr>
              <w:t>R</w:t>
            </w:r>
            <w:r w:rsidRPr="00944B15">
              <w:rPr>
                <w:rFonts w:eastAsia="Times New Roman" w:cs="Times New Roman"/>
                <w:szCs w:val="24"/>
              </w:rPr>
              <w:t>ough skin, dry hair, an enlarged liver, and increases in erythrocyte sedimentation rate, serum calcium and serum alk</w:t>
            </w:r>
            <w:r>
              <w:rPr>
                <w:rFonts w:eastAsia="Times New Roman" w:cs="Times New Roman"/>
                <w:szCs w:val="24"/>
              </w:rPr>
              <w:t>aline phosphatase concentration,</w:t>
            </w:r>
            <w:r w:rsidRPr="00944B15">
              <w:rPr>
                <w:rFonts w:eastAsia="Times New Roman" w:cs="Times New Roman"/>
                <w:szCs w:val="24"/>
              </w:rPr>
              <w:t xml:space="preserve"> diarrhea, dizziness, or drowsiness, double vision, headache, irritability, peeling of skin, especially on lips and </w:t>
            </w:r>
            <w:r w:rsidR="00601A4D" w:rsidRPr="00944B15">
              <w:rPr>
                <w:rFonts w:eastAsia="Times New Roman" w:cs="Times New Roman"/>
                <w:szCs w:val="24"/>
              </w:rPr>
              <w:t>palms, vomiting</w:t>
            </w:r>
            <w:r>
              <w:rPr>
                <w:rFonts w:eastAsia="Times New Roman" w:cs="Times New Roman"/>
                <w:szCs w:val="24"/>
              </w:rPr>
              <w:t>.</w:t>
            </w:r>
          </w:p>
        </w:tc>
      </w:tr>
      <w:tr w:rsidR="00214907" w:rsidRPr="00944B15" w14:paraId="56FBE165" w14:textId="77777777" w:rsidTr="002D6DD7">
        <w:trPr>
          <w:jc w:val="center"/>
        </w:trPr>
        <w:tc>
          <w:tcPr>
            <w:tcW w:w="2605" w:type="dxa"/>
            <w:hideMark/>
          </w:tcPr>
          <w:p w14:paraId="4A020FA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4C1EDC72"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Young children, elderly, chronic renal failure, chronic alcoholism, cirrhosis, hepatic disease and viral hepatitis, choking (capsules)</w:t>
            </w:r>
          </w:p>
        </w:tc>
      </w:tr>
      <w:tr w:rsidR="00214907" w:rsidRPr="00944B15" w14:paraId="1D67FC80" w14:textId="77777777" w:rsidTr="002D6DD7">
        <w:trPr>
          <w:jc w:val="center"/>
        </w:trPr>
        <w:tc>
          <w:tcPr>
            <w:tcW w:w="2605" w:type="dxa"/>
            <w:hideMark/>
          </w:tcPr>
          <w:p w14:paraId="1802D3A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3F7F9AF2"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 xml:space="preserve">Store </w:t>
            </w:r>
            <w:r>
              <w:rPr>
                <w:rFonts w:eastAsia="Times New Roman" w:cs="Times New Roman"/>
                <w:szCs w:val="24"/>
              </w:rPr>
              <w:t>below 30</w:t>
            </w:r>
            <w:r w:rsidRPr="00944B15">
              <w:rPr>
                <w:rFonts w:eastAsia="Times New Roman" w:cs="Times New Roman"/>
                <w:szCs w:val="24"/>
              </w:rPr>
              <w:t xml:space="preserve">°C. Protect from light. </w:t>
            </w:r>
          </w:p>
        </w:tc>
      </w:tr>
      <w:tr w:rsidR="00214907" w:rsidRPr="00944B15" w14:paraId="11791A83" w14:textId="77777777" w:rsidTr="002D6DD7">
        <w:trPr>
          <w:jc w:val="center"/>
        </w:trPr>
        <w:tc>
          <w:tcPr>
            <w:tcW w:w="9579" w:type="dxa"/>
            <w:gridSpan w:val="2"/>
          </w:tcPr>
          <w:p w14:paraId="394E7206" w14:textId="77777777" w:rsidR="00214907" w:rsidRPr="00944B15" w:rsidRDefault="00214907" w:rsidP="002D6DD7">
            <w:pPr>
              <w:jc w:val="both"/>
              <w:rPr>
                <w:rFonts w:eastAsia="Times New Roman" w:cs="Times New Roman"/>
                <w:b/>
                <w:szCs w:val="24"/>
              </w:rPr>
            </w:pPr>
            <w:r w:rsidRPr="00944B15">
              <w:rPr>
                <w:rFonts w:eastAsia="Times New Roman" w:cs="Times New Roman"/>
                <w:b/>
                <w:color w:val="000000"/>
                <w:szCs w:val="24"/>
              </w:rPr>
              <w:lastRenderedPageBreak/>
              <w:t>Vitamin B1 + B6 + B12</w:t>
            </w:r>
          </w:p>
        </w:tc>
      </w:tr>
      <w:tr w:rsidR="00214907" w:rsidRPr="00944B15" w14:paraId="09C91BE1" w14:textId="77777777" w:rsidTr="002D6DD7">
        <w:trPr>
          <w:jc w:val="center"/>
        </w:trPr>
        <w:tc>
          <w:tcPr>
            <w:tcW w:w="2605" w:type="dxa"/>
            <w:hideMark/>
          </w:tcPr>
          <w:p w14:paraId="6DFACE4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49C79C6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Vitamins</w:t>
            </w:r>
          </w:p>
        </w:tc>
      </w:tr>
      <w:tr w:rsidR="00214907" w:rsidRPr="00944B15" w14:paraId="2436732C" w14:textId="77777777" w:rsidTr="002D6DD7">
        <w:trPr>
          <w:jc w:val="center"/>
        </w:trPr>
        <w:tc>
          <w:tcPr>
            <w:tcW w:w="2605" w:type="dxa"/>
            <w:hideMark/>
          </w:tcPr>
          <w:p w14:paraId="033F3A2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2BA641C8"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Tablet/Injection: 100mg +200mg+1000mcg</w:t>
            </w:r>
          </w:p>
        </w:tc>
      </w:tr>
      <w:tr w:rsidR="00214907" w:rsidRPr="00944B15" w14:paraId="4C11F773" w14:textId="77777777" w:rsidTr="002D6DD7">
        <w:trPr>
          <w:jc w:val="center"/>
        </w:trPr>
        <w:tc>
          <w:tcPr>
            <w:tcW w:w="2605" w:type="dxa"/>
            <w:hideMark/>
          </w:tcPr>
          <w:p w14:paraId="57ED1D7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3E909787"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Prevention and</w:t>
            </w:r>
            <w:r w:rsidRPr="00944B15">
              <w:rPr>
                <w:rFonts w:eastAsia="Times New Roman" w:cs="Times New Roman"/>
                <w:color w:val="000000"/>
                <w:szCs w:val="24"/>
              </w:rPr>
              <w:t xml:space="preserve"> treat</w:t>
            </w:r>
            <w:r>
              <w:rPr>
                <w:rFonts w:eastAsia="Times New Roman" w:cs="Times New Roman"/>
                <w:color w:val="000000"/>
                <w:szCs w:val="24"/>
              </w:rPr>
              <w:t>ment</w:t>
            </w:r>
            <w:r w:rsidRPr="00944B15">
              <w:rPr>
                <w:rFonts w:eastAsia="Times New Roman" w:cs="Times New Roman"/>
                <w:color w:val="000000"/>
                <w:szCs w:val="24"/>
              </w:rPr>
              <w:t xml:space="preserve"> vitamin B deficiencies </w:t>
            </w:r>
            <w:r>
              <w:rPr>
                <w:rFonts w:eastAsia="Times New Roman" w:cs="Times New Roman"/>
                <w:color w:val="000000"/>
                <w:szCs w:val="24"/>
              </w:rPr>
              <w:t>in p</w:t>
            </w:r>
            <w:r w:rsidRPr="00944B15">
              <w:rPr>
                <w:rFonts w:eastAsia="Times New Roman" w:cs="Times New Roman"/>
                <w:color w:val="000000"/>
                <w:szCs w:val="24"/>
              </w:rPr>
              <w:t>eople with a higher risk of vitamin B deficiencies include those who are pregnant, over the age of 50, gastric bypass surgeries</w:t>
            </w:r>
            <w:r>
              <w:rPr>
                <w:rFonts w:eastAsia="Times New Roman" w:cs="Times New Roman"/>
                <w:color w:val="000000"/>
                <w:szCs w:val="24"/>
              </w:rPr>
              <w:t xml:space="preserve"> and nutritional deficiency.</w:t>
            </w:r>
          </w:p>
        </w:tc>
      </w:tr>
      <w:tr w:rsidR="00214907" w:rsidRPr="00944B15" w14:paraId="72511F7E" w14:textId="77777777" w:rsidTr="002D6DD7">
        <w:trPr>
          <w:jc w:val="center"/>
        </w:trPr>
        <w:tc>
          <w:tcPr>
            <w:tcW w:w="2605" w:type="dxa"/>
            <w:hideMark/>
          </w:tcPr>
          <w:p w14:paraId="684ED5B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33698647" w14:textId="77777777" w:rsidR="00214907" w:rsidRPr="00147CC9" w:rsidRDefault="00214907" w:rsidP="002D6DD7">
            <w:pPr>
              <w:jc w:val="both"/>
              <w:rPr>
                <w:rFonts w:eastAsia="Calibri" w:cs="Times New Roman"/>
                <w:color w:val="000000"/>
                <w:szCs w:val="24"/>
              </w:rPr>
            </w:pPr>
            <w:r w:rsidRPr="00944B15">
              <w:rPr>
                <w:rFonts w:eastAsia="Times New Roman" w:cs="Times New Roman"/>
                <w:b/>
                <w:color w:val="000000"/>
                <w:szCs w:val="24"/>
              </w:rPr>
              <w:t>Daily Dietary Supplement</w:t>
            </w:r>
            <w:r w:rsidRPr="00944B15">
              <w:rPr>
                <w:rFonts w:eastAsia="Times New Roman" w:cs="Times New Roman"/>
                <w:color w:val="000000"/>
                <w:szCs w:val="24"/>
              </w:rPr>
              <w:t xml:space="preserve">: </w:t>
            </w:r>
            <w:r w:rsidR="00601A4D" w:rsidRPr="00944B15">
              <w:rPr>
                <w:rFonts w:eastAsia="Calibri" w:cs="Times New Roman"/>
                <w:color w:val="000000"/>
                <w:szCs w:val="24"/>
              </w:rPr>
              <w:t>1-2-tab</w:t>
            </w:r>
            <w:r w:rsidRPr="00944B15">
              <w:rPr>
                <w:rFonts w:eastAsia="Calibri" w:cs="Times New Roman"/>
                <w:color w:val="000000"/>
                <w:szCs w:val="24"/>
              </w:rPr>
              <w:t xml:space="preserve"> PO Q Day, or as recommended by healthcare professional</w:t>
            </w:r>
          </w:p>
        </w:tc>
      </w:tr>
      <w:tr w:rsidR="00214907" w:rsidRPr="00944B15" w14:paraId="7414E4EA" w14:textId="77777777" w:rsidTr="002D6DD7">
        <w:trPr>
          <w:jc w:val="center"/>
        </w:trPr>
        <w:tc>
          <w:tcPr>
            <w:tcW w:w="2605" w:type="dxa"/>
            <w:hideMark/>
          </w:tcPr>
          <w:p w14:paraId="2D320C7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741566C7" w14:textId="77777777" w:rsidR="00214907" w:rsidRPr="00944B15" w:rsidRDefault="00214907" w:rsidP="002D6DD7">
            <w:pPr>
              <w:jc w:val="both"/>
              <w:rPr>
                <w:rFonts w:eastAsia="Times New Roman" w:cs="Times New Roman"/>
                <w:color w:val="000000" w:themeColor="text1"/>
                <w:szCs w:val="24"/>
              </w:rPr>
            </w:pPr>
            <w:r>
              <w:rPr>
                <w:rFonts w:cs="Times New Roman"/>
                <w:szCs w:val="24"/>
              </w:rPr>
              <w:t xml:space="preserve">There </w:t>
            </w:r>
            <w:r w:rsidR="00601A4D">
              <w:rPr>
                <w:rFonts w:cs="Times New Roman"/>
                <w:szCs w:val="24"/>
              </w:rPr>
              <w:t>is</w:t>
            </w:r>
            <w:r>
              <w:rPr>
                <w:rFonts w:cs="Times New Roman"/>
                <w:szCs w:val="24"/>
              </w:rPr>
              <w:t xml:space="preserve"> no known significant drug interaction.</w:t>
            </w:r>
          </w:p>
        </w:tc>
      </w:tr>
      <w:tr w:rsidR="00214907" w:rsidRPr="00944B15" w14:paraId="05CC05B3" w14:textId="77777777" w:rsidTr="002D6DD7">
        <w:trPr>
          <w:jc w:val="center"/>
        </w:trPr>
        <w:tc>
          <w:tcPr>
            <w:tcW w:w="2605" w:type="dxa"/>
            <w:hideMark/>
          </w:tcPr>
          <w:p w14:paraId="609ED25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47F7BAF4" w14:textId="77777777" w:rsidR="00214907" w:rsidRPr="00944B15" w:rsidRDefault="00214907" w:rsidP="002D6DD7">
            <w:pPr>
              <w:tabs>
                <w:tab w:val="left" w:pos="1708"/>
              </w:tabs>
              <w:rPr>
                <w:rFonts w:eastAsia="Times New Roman" w:cs="Times New Roman"/>
                <w:color w:val="000000" w:themeColor="text1"/>
                <w:szCs w:val="24"/>
              </w:rPr>
            </w:pPr>
            <w:r w:rsidRPr="00944B15">
              <w:rPr>
                <w:rFonts w:eastAsia="Times New Roman" w:cs="Times New Roman"/>
                <w:color w:val="000000" w:themeColor="text1"/>
                <w:szCs w:val="24"/>
              </w:rPr>
              <w:t xml:space="preserve">See above under each vitamin  </w:t>
            </w:r>
          </w:p>
        </w:tc>
      </w:tr>
      <w:tr w:rsidR="00214907" w:rsidRPr="00944B15" w14:paraId="4374CAF1" w14:textId="77777777" w:rsidTr="002D6DD7">
        <w:trPr>
          <w:jc w:val="center"/>
        </w:trPr>
        <w:tc>
          <w:tcPr>
            <w:tcW w:w="2605" w:type="dxa"/>
            <w:hideMark/>
          </w:tcPr>
          <w:p w14:paraId="7F035C7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3EFE7900" w14:textId="77777777" w:rsidR="00214907" w:rsidRPr="00944B15" w:rsidRDefault="00214907" w:rsidP="002D6DD7">
            <w:pPr>
              <w:jc w:val="both"/>
              <w:rPr>
                <w:rFonts w:eastAsia="Times New Roman" w:cs="Times New Roman"/>
                <w:szCs w:val="24"/>
              </w:rPr>
            </w:pPr>
            <w:r w:rsidRPr="00944B15">
              <w:rPr>
                <w:rFonts w:eastAsia="Times New Roman" w:cs="Times New Roman"/>
                <w:color w:val="000000"/>
                <w:szCs w:val="24"/>
              </w:rPr>
              <w:t>Excessive urination, nausea, vomiting, diarrhea, nerve damage</w:t>
            </w:r>
          </w:p>
        </w:tc>
      </w:tr>
      <w:tr w:rsidR="00214907" w:rsidRPr="00944B15" w14:paraId="4CC1F354" w14:textId="77777777" w:rsidTr="002D6DD7">
        <w:trPr>
          <w:jc w:val="center"/>
        </w:trPr>
        <w:tc>
          <w:tcPr>
            <w:tcW w:w="2605" w:type="dxa"/>
            <w:hideMark/>
          </w:tcPr>
          <w:p w14:paraId="729A668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974" w:type="dxa"/>
          </w:tcPr>
          <w:p w14:paraId="285B2C5F" w14:textId="77777777" w:rsidR="00214907" w:rsidRPr="00944B15" w:rsidRDefault="00214907" w:rsidP="002D6DD7">
            <w:pPr>
              <w:jc w:val="both"/>
              <w:rPr>
                <w:rFonts w:eastAsia="Times New Roman" w:cs="Times New Roman"/>
                <w:szCs w:val="24"/>
                <w:vertAlign w:val="superscript"/>
              </w:rPr>
            </w:pPr>
            <w:r>
              <w:rPr>
                <w:rFonts w:cs="Times New Roman"/>
                <w:szCs w:val="24"/>
              </w:rPr>
              <w:t>Impaired kidney function, p</w:t>
            </w:r>
            <w:r w:rsidRPr="00944B15">
              <w:rPr>
                <w:rFonts w:cs="Times New Roman"/>
                <w:szCs w:val="24"/>
              </w:rPr>
              <w:t>regnancy and breastfeeding</w:t>
            </w:r>
          </w:p>
        </w:tc>
      </w:tr>
      <w:tr w:rsidR="00214907" w:rsidRPr="00944B15" w14:paraId="77123369" w14:textId="77777777" w:rsidTr="002D6DD7">
        <w:trPr>
          <w:jc w:val="center"/>
        </w:trPr>
        <w:tc>
          <w:tcPr>
            <w:tcW w:w="2605" w:type="dxa"/>
            <w:hideMark/>
          </w:tcPr>
          <w:p w14:paraId="47A0CDE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7F0828CD"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Store below 30°C. </w:t>
            </w:r>
          </w:p>
        </w:tc>
      </w:tr>
      <w:tr w:rsidR="00214907" w:rsidRPr="00944B15" w14:paraId="305296E0" w14:textId="77777777" w:rsidTr="002D6DD7">
        <w:trPr>
          <w:jc w:val="center"/>
        </w:trPr>
        <w:tc>
          <w:tcPr>
            <w:tcW w:w="9579" w:type="dxa"/>
            <w:gridSpan w:val="2"/>
          </w:tcPr>
          <w:p w14:paraId="104B3590" w14:textId="77777777" w:rsidR="00214907" w:rsidRPr="00944B15" w:rsidRDefault="00214907" w:rsidP="002D6DD7">
            <w:pPr>
              <w:jc w:val="both"/>
              <w:rPr>
                <w:rFonts w:eastAsia="Times New Roman" w:cs="Times New Roman"/>
                <w:b/>
                <w:color w:val="000000"/>
                <w:szCs w:val="24"/>
              </w:rPr>
            </w:pPr>
            <w:r w:rsidRPr="00944B15">
              <w:rPr>
                <w:rFonts w:eastAsia="Times New Roman" w:cs="Times New Roman"/>
                <w:b/>
                <w:color w:val="000000"/>
                <w:szCs w:val="24"/>
              </w:rPr>
              <w:t>Vitamin E (Tocopherol)</w:t>
            </w:r>
          </w:p>
        </w:tc>
      </w:tr>
      <w:tr w:rsidR="00214907" w:rsidRPr="00944B15" w14:paraId="65309DBD" w14:textId="77777777" w:rsidTr="002D6DD7">
        <w:trPr>
          <w:jc w:val="center"/>
        </w:trPr>
        <w:tc>
          <w:tcPr>
            <w:tcW w:w="2605" w:type="dxa"/>
            <w:hideMark/>
          </w:tcPr>
          <w:p w14:paraId="6B72E6B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974" w:type="dxa"/>
          </w:tcPr>
          <w:p w14:paraId="320AD8EC"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Vitamin</w:t>
            </w:r>
          </w:p>
        </w:tc>
      </w:tr>
      <w:tr w:rsidR="00214907" w:rsidRPr="00944B15" w14:paraId="6281F136" w14:textId="77777777" w:rsidTr="002D6DD7">
        <w:trPr>
          <w:jc w:val="center"/>
        </w:trPr>
        <w:tc>
          <w:tcPr>
            <w:tcW w:w="2605" w:type="dxa"/>
            <w:hideMark/>
          </w:tcPr>
          <w:p w14:paraId="15204AD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974" w:type="dxa"/>
          </w:tcPr>
          <w:p w14:paraId="12E47C51"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Capsule: 10mg</w:t>
            </w:r>
          </w:p>
        </w:tc>
      </w:tr>
      <w:tr w:rsidR="00214907" w:rsidRPr="00944B15" w14:paraId="0A4FF8D8" w14:textId="77777777" w:rsidTr="002D6DD7">
        <w:trPr>
          <w:jc w:val="center"/>
        </w:trPr>
        <w:tc>
          <w:tcPr>
            <w:tcW w:w="2605" w:type="dxa"/>
            <w:hideMark/>
          </w:tcPr>
          <w:p w14:paraId="2E0F90E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974" w:type="dxa"/>
          </w:tcPr>
          <w:p w14:paraId="2636405D"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szCs w:val="24"/>
              </w:rPr>
              <w:t xml:space="preserve">Dietary supplement and vitamin E deficiency </w:t>
            </w:r>
          </w:p>
        </w:tc>
      </w:tr>
      <w:tr w:rsidR="00214907" w:rsidRPr="00944B15" w14:paraId="2881DA0A" w14:textId="77777777" w:rsidTr="002D6DD7">
        <w:trPr>
          <w:jc w:val="center"/>
        </w:trPr>
        <w:tc>
          <w:tcPr>
            <w:tcW w:w="2605" w:type="dxa"/>
            <w:hideMark/>
          </w:tcPr>
          <w:p w14:paraId="390A2DC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974" w:type="dxa"/>
          </w:tcPr>
          <w:p w14:paraId="568A93FD" w14:textId="77777777" w:rsidR="00214907" w:rsidRPr="00944B15" w:rsidRDefault="00214907" w:rsidP="002D6DD7">
            <w:pPr>
              <w:contextualSpacing/>
              <w:jc w:val="both"/>
              <w:rPr>
                <w:rFonts w:eastAsia="Times New Roman" w:cs="Times New Roman"/>
                <w:szCs w:val="24"/>
              </w:rPr>
            </w:pPr>
            <w:r w:rsidRPr="00944B15">
              <w:rPr>
                <w:rFonts w:eastAsia="Times New Roman" w:cs="Times New Roman"/>
                <w:b/>
                <w:szCs w:val="24"/>
              </w:rPr>
              <w:t>Recommended daily allowance</w:t>
            </w:r>
            <w:r w:rsidRPr="00944B15">
              <w:rPr>
                <w:rFonts w:eastAsia="Times New Roman" w:cs="Times New Roman"/>
                <w:szCs w:val="24"/>
              </w:rPr>
              <w:t>: 15 mg PO Q Day; not to exceed 1000 mg/day</w:t>
            </w:r>
          </w:p>
          <w:p w14:paraId="1D5C3E4F" w14:textId="77777777" w:rsidR="00214907" w:rsidRPr="00726E85" w:rsidRDefault="00214907" w:rsidP="002D6DD7">
            <w:pPr>
              <w:contextualSpacing/>
              <w:jc w:val="both"/>
              <w:rPr>
                <w:rFonts w:eastAsia="Times New Roman" w:cs="Times New Roman"/>
                <w:b/>
                <w:szCs w:val="24"/>
              </w:rPr>
            </w:pPr>
            <w:r w:rsidRPr="00726E85">
              <w:rPr>
                <w:rFonts w:eastAsia="Times New Roman" w:cs="Times New Roman"/>
                <w:b/>
                <w:szCs w:val="24"/>
              </w:rPr>
              <w:t>Pregnant women</w:t>
            </w:r>
          </w:p>
          <w:p w14:paraId="76CF17AA" w14:textId="77777777" w:rsidR="00214907" w:rsidRPr="00944B15" w:rsidRDefault="00214907" w:rsidP="002D6DD7">
            <w:pPr>
              <w:jc w:val="both"/>
              <w:rPr>
                <w:rFonts w:eastAsia="Times New Roman" w:cs="Times New Roman"/>
                <w:szCs w:val="24"/>
              </w:rPr>
            </w:pPr>
            <w:r w:rsidRPr="00944B15">
              <w:rPr>
                <w:rFonts w:eastAsia="Times New Roman" w:cs="Times New Roman"/>
                <w:szCs w:val="24"/>
              </w:rPr>
              <w:t>&lt;18 years: 15 mg PO Q Day; not to exceed 800 mg/day; &gt;18 years: 15 mg PO Q Day; not to exceed 1000 mg/day</w:t>
            </w:r>
          </w:p>
          <w:p w14:paraId="01CBD317" w14:textId="77777777" w:rsidR="00214907" w:rsidRPr="00726E85" w:rsidRDefault="00214907" w:rsidP="002D6DD7">
            <w:pPr>
              <w:contextualSpacing/>
              <w:jc w:val="both"/>
              <w:rPr>
                <w:rFonts w:eastAsia="Times New Roman" w:cs="Times New Roman"/>
                <w:b/>
                <w:szCs w:val="24"/>
              </w:rPr>
            </w:pPr>
            <w:r w:rsidRPr="00726E85">
              <w:rPr>
                <w:rFonts w:eastAsia="Times New Roman" w:cs="Times New Roman"/>
                <w:b/>
                <w:szCs w:val="24"/>
              </w:rPr>
              <w:t>Lactating women</w:t>
            </w:r>
          </w:p>
          <w:p w14:paraId="036DD66D" w14:textId="77777777" w:rsidR="00214907" w:rsidRDefault="00214907" w:rsidP="002D6DD7">
            <w:pPr>
              <w:jc w:val="both"/>
              <w:rPr>
                <w:rFonts w:eastAsia="Times New Roman" w:cs="Times New Roman"/>
                <w:szCs w:val="24"/>
              </w:rPr>
            </w:pPr>
            <w:r w:rsidRPr="00726E85">
              <w:rPr>
                <w:rFonts w:eastAsia="Times New Roman" w:cs="Times New Roman"/>
                <w:b/>
                <w:szCs w:val="24"/>
              </w:rPr>
              <w:t>Age &lt;18 years:</w:t>
            </w:r>
            <w:r w:rsidRPr="00944B15">
              <w:rPr>
                <w:rFonts w:eastAsia="Times New Roman" w:cs="Times New Roman"/>
                <w:szCs w:val="24"/>
              </w:rPr>
              <w:t xml:space="preserve"> 19 mg PO </w:t>
            </w:r>
            <w:r>
              <w:rPr>
                <w:rFonts w:eastAsia="Times New Roman" w:cs="Times New Roman"/>
                <w:szCs w:val="24"/>
              </w:rPr>
              <w:t>Q Day; not to exceed 800 mg/day</w:t>
            </w:r>
          </w:p>
          <w:p w14:paraId="27C7C880" w14:textId="77777777" w:rsidR="00214907" w:rsidRPr="00944B15" w:rsidRDefault="00214907" w:rsidP="002D6DD7">
            <w:pPr>
              <w:jc w:val="both"/>
              <w:rPr>
                <w:rFonts w:eastAsia="Times New Roman" w:cs="Times New Roman"/>
                <w:szCs w:val="24"/>
              </w:rPr>
            </w:pPr>
            <w:r w:rsidRPr="00726E85">
              <w:rPr>
                <w:rFonts w:eastAsia="Times New Roman" w:cs="Times New Roman"/>
                <w:b/>
                <w:szCs w:val="24"/>
              </w:rPr>
              <w:t>Age &gt;18 years:</w:t>
            </w:r>
            <w:r w:rsidRPr="00944B15">
              <w:rPr>
                <w:rFonts w:eastAsia="Times New Roman" w:cs="Times New Roman"/>
                <w:szCs w:val="24"/>
              </w:rPr>
              <w:t xml:space="preserve"> 19 mg/day PO Q Day; not to exceed 1000 mg/day</w:t>
            </w:r>
          </w:p>
          <w:p w14:paraId="3663AA1D" w14:textId="77777777" w:rsidR="00214907" w:rsidRPr="00944B15" w:rsidRDefault="00214907" w:rsidP="002D6DD7">
            <w:pPr>
              <w:contextualSpacing/>
              <w:jc w:val="both"/>
              <w:rPr>
                <w:rFonts w:eastAsia="Times New Roman" w:cs="Times New Roman"/>
                <w:szCs w:val="24"/>
              </w:rPr>
            </w:pPr>
            <w:r w:rsidRPr="00944B15">
              <w:rPr>
                <w:rFonts w:eastAsia="Times New Roman" w:cs="Times New Roman"/>
                <w:b/>
                <w:szCs w:val="24"/>
              </w:rPr>
              <w:t>Vitamin E Deficiency</w:t>
            </w:r>
            <w:r w:rsidRPr="00944B15">
              <w:rPr>
                <w:rFonts w:eastAsia="Times New Roman" w:cs="Times New Roman"/>
                <w:szCs w:val="24"/>
              </w:rPr>
              <w:t xml:space="preserve">: </w:t>
            </w:r>
            <w:r w:rsidRPr="00944B15">
              <w:rPr>
                <w:rFonts w:eastAsia="Calibri" w:cs="Times New Roman"/>
                <w:color w:val="000000"/>
                <w:szCs w:val="24"/>
              </w:rPr>
              <w:t>60-75 units PO Q Day</w:t>
            </w:r>
          </w:p>
        </w:tc>
      </w:tr>
      <w:tr w:rsidR="00214907" w:rsidRPr="00944B15" w14:paraId="1456AD43" w14:textId="77777777" w:rsidTr="002D6DD7">
        <w:trPr>
          <w:jc w:val="center"/>
        </w:trPr>
        <w:tc>
          <w:tcPr>
            <w:tcW w:w="2605" w:type="dxa"/>
            <w:hideMark/>
          </w:tcPr>
          <w:p w14:paraId="189675F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974" w:type="dxa"/>
          </w:tcPr>
          <w:p w14:paraId="5F3877BE"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szCs w:val="24"/>
              </w:rPr>
              <w:t xml:space="preserve">Hypersensitivity to </w:t>
            </w:r>
            <w:r>
              <w:rPr>
                <w:rFonts w:eastAsia="Times New Roman" w:cs="Times New Roman"/>
                <w:szCs w:val="24"/>
              </w:rPr>
              <w:t>the drug.</w:t>
            </w:r>
          </w:p>
        </w:tc>
      </w:tr>
      <w:tr w:rsidR="00214907" w:rsidRPr="00944B15" w14:paraId="09C0EDE1" w14:textId="77777777" w:rsidTr="002D6DD7">
        <w:trPr>
          <w:jc w:val="center"/>
        </w:trPr>
        <w:tc>
          <w:tcPr>
            <w:tcW w:w="2605" w:type="dxa"/>
            <w:hideMark/>
          </w:tcPr>
          <w:p w14:paraId="5C4192C5"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974" w:type="dxa"/>
          </w:tcPr>
          <w:p w14:paraId="5AA86894" w14:textId="77777777" w:rsidR="00214907" w:rsidRPr="00944B15" w:rsidRDefault="00214907" w:rsidP="002D6DD7">
            <w:pPr>
              <w:jc w:val="both"/>
              <w:rPr>
                <w:rFonts w:eastAsia="Times New Roman" w:cs="Times New Roman"/>
                <w:color w:val="ED7D31"/>
                <w:szCs w:val="24"/>
              </w:rPr>
            </w:pPr>
            <w:r>
              <w:rPr>
                <w:rFonts w:eastAsia="Times New Roman" w:cs="Times New Roman"/>
                <w:szCs w:val="24"/>
              </w:rPr>
              <w:t>W</w:t>
            </w:r>
            <w:r w:rsidRPr="00944B15">
              <w:rPr>
                <w:rFonts w:eastAsia="Times New Roman" w:cs="Times New Roman"/>
                <w:szCs w:val="24"/>
              </w:rPr>
              <w:t>arfarin, aspirin, iron-containing medicines, vitamin K,</w:t>
            </w:r>
            <w:r>
              <w:rPr>
                <w:rFonts w:eastAsia="Times New Roman" w:cs="Times New Roman"/>
                <w:szCs w:val="24"/>
              </w:rPr>
              <w:t xml:space="preserve"> </w:t>
            </w:r>
            <w:r>
              <w:rPr>
                <w:rFonts w:cs="Times New Roman"/>
                <w:szCs w:val="24"/>
              </w:rPr>
              <w:t>c</w:t>
            </w:r>
            <w:r w:rsidRPr="00944B15">
              <w:rPr>
                <w:rFonts w:cs="Times New Roman"/>
                <w:szCs w:val="24"/>
              </w:rPr>
              <w:t>holestyramine</w:t>
            </w:r>
            <w:r w:rsidRPr="00944B15">
              <w:rPr>
                <w:rFonts w:eastAsia="Times New Roman" w:cs="Times New Roman"/>
                <w:szCs w:val="24"/>
              </w:rPr>
              <w:t xml:space="preserve"> and colestipol</w:t>
            </w:r>
          </w:p>
        </w:tc>
      </w:tr>
      <w:tr w:rsidR="00214907" w:rsidRPr="00944B15" w14:paraId="3E51F38C" w14:textId="77777777" w:rsidTr="002D6DD7">
        <w:trPr>
          <w:jc w:val="center"/>
        </w:trPr>
        <w:tc>
          <w:tcPr>
            <w:tcW w:w="2605" w:type="dxa"/>
            <w:hideMark/>
          </w:tcPr>
          <w:p w14:paraId="49728AB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974" w:type="dxa"/>
          </w:tcPr>
          <w:p w14:paraId="4A411867" w14:textId="77777777" w:rsidR="00214907" w:rsidRPr="00944B15" w:rsidRDefault="00214907" w:rsidP="002D6DD7">
            <w:pPr>
              <w:jc w:val="both"/>
              <w:rPr>
                <w:rFonts w:eastAsia="Times New Roman" w:cs="Times New Roman"/>
                <w:szCs w:val="24"/>
              </w:rPr>
            </w:pPr>
            <w:r>
              <w:rPr>
                <w:rFonts w:eastAsia="Times New Roman" w:cs="Times New Roman"/>
                <w:szCs w:val="24"/>
              </w:rPr>
              <w:t>Diarrhea, blurred vision,</w:t>
            </w:r>
            <w:r w:rsidRPr="00944B15">
              <w:rPr>
                <w:rFonts w:eastAsia="Times New Roman" w:cs="Times New Roman"/>
                <w:szCs w:val="24"/>
              </w:rPr>
              <w:t xml:space="preserve"> abdominal pain with doses more than 1 g </w:t>
            </w:r>
            <w:r w:rsidRPr="00944B15">
              <w:rPr>
                <w:rFonts w:eastAsia="Times New Roman" w:cs="Times New Roman"/>
                <w:szCs w:val="24"/>
              </w:rPr>
              <w:lastRenderedPageBreak/>
              <w:t>daily</w:t>
            </w:r>
          </w:p>
        </w:tc>
      </w:tr>
      <w:tr w:rsidR="00214907" w:rsidRPr="00944B15" w14:paraId="649B7CC8" w14:textId="77777777" w:rsidTr="002D6DD7">
        <w:trPr>
          <w:jc w:val="center"/>
        </w:trPr>
        <w:tc>
          <w:tcPr>
            <w:tcW w:w="2605" w:type="dxa"/>
            <w:hideMark/>
          </w:tcPr>
          <w:p w14:paraId="68F90A5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974" w:type="dxa"/>
          </w:tcPr>
          <w:p w14:paraId="350D91B4" w14:textId="77777777" w:rsidR="00214907" w:rsidRPr="00944B15" w:rsidRDefault="00214907" w:rsidP="002D6DD7">
            <w:pPr>
              <w:jc w:val="both"/>
              <w:rPr>
                <w:rFonts w:eastAsia="Times New Roman" w:cs="Times New Roman"/>
                <w:szCs w:val="24"/>
                <w:vertAlign w:val="superscript"/>
              </w:rPr>
            </w:pPr>
            <w:r>
              <w:rPr>
                <w:rFonts w:cs="Times New Roman"/>
                <w:szCs w:val="24"/>
              </w:rPr>
              <w:t>Use of l</w:t>
            </w:r>
            <w:r w:rsidRPr="00944B15">
              <w:rPr>
                <w:rFonts w:cs="Times New Roman"/>
                <w:szCs w:val="24"/>
              </w:rPr>
              <w:t>arge doses</w:t>
            </w:r>
            <w:r w:rsidRPr="00944B15">
              <w:rPr>
                <w:rFonts w:eastAsia="Times New Roman" w:cs="Times New Roman"/>
                <w:szCs w:val="24"/>
              </w:rPr>
              <w:t>, ne</w:t>
            </w:r>
            <w:r>
              <w:rPr>
                <w:rFonts w:eastAsia="Times New Roman" w:cs="Times New Roman"/>
                <w:szCs w:val="24"/>
              </w:rPr>
              <w:t>onate weighing less than 1.5 kg,</w:t>
            </w:r>
            <w:r w:rsidRPr="00944B15">
              <w:rPr>
                <w:rFonts w:eastAsia="Times New Roman" w:cs="Times New Roman"/>
                <w:szCs w:val="24"/>
              </w:rPr>
              <w:t xml:space="preserve"> pregnancy, hepatic and renal failure </w:t>
            </w:r>
          </w:p>
        </w:tc>
      </w:tr>
      <w:tr w:rsidR="00214907" w:rsidRPr="00944B15" w14:paraId="264F6B6D" w14:textId="77777777" w:rsidTr="002D6DD7">
        <w:trPr>
          <w:jc w:val="center"/>
        </w:trPr>
        <w:tc>
          <w:tcPr>
            <w:tcW w:w="2605" w:type="dxa"/>
            <w:hideMark/>
          </w:tcPr>
          <w:p w14:paraId="3C0EEF0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974" w:type="dxa"/>
          </w:tcPr>
          <w:p w14:paraId="23F5C33B" w14:textId="77777777" w:rsidR="00214907" w:rsidRPr="00944B15" w:rsidRDefault="00214907" w:rsidP="002D6DD7">
            <w:pPr>
              <w:jc w:val="both"/>
              <w:rPr>
                <w:rFonts w:eastAsia="Times New Roman" w:cs="Times New Roman"/>
                <w:color w:val="ED7D31"/>
                <w:szCs w:val="24"/>
              </w:rPr>
            </w:pPr>
            <w:r>
              <w:rPr>
                <w:rFonts w:eastAsia="Times New Roman" w:cs="Times New Roman"/>
                <w:szCs w:val="24"/>
              </w:rPr>
              <w:t>Store below 30</w:t>
            </w:r>
            <w:r w:rsidRPr="00944B15">
              <w:rPr>
                <w:rFonts w:eastAsia="Times New Roman" w:cs="Times New Roman"/>
                <w:szCs w:val="24"/>
              </w:rPr>
              <w:t>°C. Protect from light.</w:t>
            </w:r>
          </w:p>
        </w:tc>
      </w:tr>
    </w:tbl>
    <w:p w14:paraId="4FD908E4" w14:textId="77777777" w:rsidR="00214907" w:rsidRPr="00944B15" w:rsidRDefault="00214907" w:rsidP="00214907">
      <w:pPr>
        <w:spacing w:after="0"/>
        <w:jc w:val="both"/>
        <w:rPr>
          <w:rFonts w:cs="Times New Roman"/>
          <w:szCs w:val="24"/>
        </w:rPr>
      </w:pPr>
    </w:p>
    <w:p w14:paraId="5436F9EE" w14:textId="77777777" w:rsidR="00214907" w:rsidRPr="00601A4D" w:rsidRDefault="00214907" w:rsidP="00601A4D">
      <w:pPr>
        <w:pStyle w:val="Heading2"/>
        <w:spacing w:before="240" w:after="240"/>
      </w:pPr>
      <w:bookmarkStart w:id="115" w:name="_Toc179490361"/>
      <w:r w:rsidRPr="00601A4D">
        <w:t>Minerals</w:t>
      </w:r>
      <w:bookmarkEnd w:id="115"/>
    </w:p>
    <w:p w14:paraId="5C1EF6E7" w14:textId="77777777" w:rsidR="00214907" w:rsidRPr="001B7158" w:rsidRDefault="00214907" w:rsidP="00214907">
      <w:pPr>
        <w:spacing w:before="240" w:after="0"/>
        <w:contextualSpacing/>
        <w:jc w:val="both"/>
        <w:rPr>
          <w:rFonts w:eastAsia="Times New Roman" w:cs="Times New Roman"/>
          <w:szCs w:val="24"/>
        </w:rPr>
      </w:pPr>
      <w:r w:rsidRPr="001B7158">
        <w:rPr>
          <w:rFonts w:eastAsia="Times New Roman" w:cs="Times New Roman"/>
          <w:szCs w:val="24"/>
        </w:rPr>
        <w:t>Minerals play a crucial role in healthcare and are used for various medical purposes. They are classified into two main categories based on the amounts needed by the body: macro minerals</w:t>
      </w:r>
      <w:r>
        <w:rPr>
          <w:rFonts w:eastAsia="Times New Roman" w:cs="Times New Roman"/>
          <w:szCs w:val="24"/>
        </w:rPr>
        <w:t xml:space="preserve"> (</w:t>
      </w:r>
      <w:r w:rsidRPr="00171A60">
        <w:rPr>
          <w:rFonts w:eastAsia="Times New Roman" w:cs="Times New Roman"/>
          <w:szCs w:val="24"/>
        </w:rPr>
        <w:t>sodium, potassium, calcium, magnesium and chloride</w:t>
      </w:r>
      <w:r>
        <w:rPr>
          <w:rFonts w:eastAsia="Times New Roman" w:cs="Times New Roman"/>
          <w:szCs w:val="24"/>
        </w:rPr>
        <w:t>)</w:t>
      </w:r>
      <w:r w:rsidRPr="001B7158">
        <w:rPr>
          <w:rFonts w:eastAsia="Times New Roman" w:cs="Times New Roman"/>
          <w:szCs w:val="24"/>
        </w:rPr>
        <w:t xml:space="preserve"> and micro minerals (also known as trace minerals). </w:t>
      </w:r>
      <w:r w:rsidRPr="00C66A9E">
        <w:rPr>
          <w:rFonts w:eastAsia="Times New Roman" w:cs="Times New Roman"/>
          <w:szCs w:val="24"/>
        </w:rPr>
        <w:t>Minerals are esse</w:t>
      </w:r>
      <w:r>
        <w:rPr>
          <w:rFonts w:eastAsia="Times New Roman" w:cs="Times New Roman"/>
          <w:szCs w:val="24"/>
        </w:rPr>
        <w:t xml:space="preserve">ntial for the normal growth and </w:t>
      </w:r>
      <w:r w:rsidRPr="00C66A9E">
        <w:rPr>
          <w:rFonts w:eastAsia="Times New Roman" w:cs="Times New Roman"/>
          <w:szCs w:val="24"/>
        </w:rPr>
        <w:t>maintance of the body. If the daily requirement is more than 100mg/day they are called major elements and if the daily requirements is less than 100mg/day they are called minor elements. The</w:t>
      </w:r>
      <w:r>
        <w:rPr>
          <w:rFonts w:eastAsia="Times New Roman" w:cs="Times New Roman"/>
          <w:szCs w:val="24"/>
        </w:rPr>
        <w:t>y</w:t>
      </w:r>
      <w:r w:rsidRPr="00C66A9E">
        <w:rPr>
          <w:rFonts w:eastAsia="Times New Roman" w:cs="Times New Roman"/>
          <w:szCs w:val="24"/>
        </w:rPr>
        <w:t xml:space="preserve"> </w:t>
      </w:r>
      <w:r>
        <w:rPr>
          <w:rFonts w:eastAsia="Times New Roman" w:cs="Times New Roman"/>
          <w:szCs w:val="24"/>
        </w:rPr>
        <w:t>are responsible</w:t>
      </w:r>
      <w:r w:rsidRPr="00C66A9E">
        <w:rPr>
          <w:rFonts w:eastAsia="Times New Roman" w:cs="Times New Roman"/>
          <w:szCs w:val="24"/>
        </w:rPr>
        <w:t xml:space="preserve"> in the maintenance of homeostatic balance and mediation of metabolic reactions in the skeleton, tissues, body fluids, digestive juices, etc.</w:t>
      </w:r>
    </w:p>
    <w:tbl>
      <w:tblPr>
        <w:tblStyle w:val="TableGrid"/>
        <w:tblW w:w="9540" w:type="dxa"/>
        <w:jc w:val="center"/>
        <w:tblLook w:val="04A0" w:firstRow="1" w:lastRow="0" w:firstColumn="1" w:lastColumn="0" w:noHBand="0" w:noVBand="1"/>
      </w:tblPr>
      <w:tblGrid>
        <w:gridCol w:w="2695"/>
        <w:gridCol w:w="6845"/>
      </w:tblGrid>
      <w:tr w:rsidR="00214907" w:rsidRPr="00944B15" w14:paraId="40D9E6D4" w14:textId="77777777" w:rsidTr="002D6DD7">
        <w:trPr>
          <w:jc w:val="center"/>
        </w:trPr>
        <w:tc>
          <w:tcPr>
            <w:tcW w:w="9540" w:type="dxa"/>
            <w:gridSpan w:val="2"/>
            <w:tcBorders>
              <w:top w:val="single" w:sz="4" w:space="0" w:color="auto"/>
              <w:left w:val="single" w:sz="4" w:space="0" w:color="auto"/>
              <w:bottom w:val="single" w:sz="4" w:space="0" w:color="auto"/>
              <w:right w:val="single" w:sz="4" w:space="0" w:color="auto"/>
            </w:tcBorders>
          </w:tcPr>
          <w:p w14:paraId="2AF2D4C9" w14:textId="77777777" w:rsidR="00214907" w:rsidRPr="00944B15" w:rsidRDefault="00214907" w:rsidP="002D6DD7">
            <w:pPr>
              <w:jc w:val="both"/>
              <w:rPr>
                <w:rFonts w:eastAsia="Times New Roman" w:cs="Times New Roman"/>
                <w:b/>
                <w:bCs/>
                <w:color w:val="ED7D31"/>
                <w:szCs w:val="24"/>
              </w:rPr>
            </w:pPr>
            <w:r w:rsidRPr="00944B15">
              <w:rPr>
                <w:rFonts w:eastAsia="Times New Roman" w:cs="Times New Roman"/>
                <w:b/>
                <w:bCs/>
                <w:color w:val="000000"/>
                <w:szCs w:val="24"/>
              </w:rPr>
              <w:t>Calcium</w:t>
            </w:r>
          </w:p>
        </w:tc>
      </w:tr>
      <w:tr w:rsidR="00214907" w:rsidRPr="00944B15" w14:paraId="57AAF049" w14:textId="77777777" w:rsidTr="002D6DD7">
        <w:trPr>
          <w:trHeight w:val="323"/>
          <w:jc w:val="center"/>
        </w:trPr>
        <w:tc>
          <w:tcPr>
            <w:tcW w:w="2695" w:type="dxa"/>
            <w:tcBorders>
              <w:top w:val="single" w:sz="4" w:space="0" w:color="auto"/>
              <w:left w:val="single" w:sz="4" w:space="0" w:color="auto"/>
              <w:bottom w:val="single" w:sz="4" w:space="0" w:color="auto"/>
              <w:right w:val="single" w:sz="4" w:space="0" w:color="auto"/>
            </w:tcBorders>
            <w:hideMark/>
          </w:tcPr>
          <w:p w14:paraId="02793B9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845" w:type="dxa"/>
          </w:tcPr>
          <w:p w14:paraId="7FF0E5C0" w14:textId="77777777" w:rsidR="00214907" w:rsidRPr="00944B15" w:rsidRDefault="00214907" w:rsidP="002D6DD7">
            <w:pPr>
              <w:rPr>
                <w:rFonts w:eastAsia="Times New Roman" w:cs="Times New Roman"/>
                <w:color w:val="000000"/>
                <w:szCs w:val="24"/>
              </w:rPr>
            </w:pPr>
            <w:r>
              <w:rPr>
                <w:rFonts w:eastAsia="Times New Roman" w:cs="Times New Roman"/>
                <w:color w:val="000000"/>
                <w:szCs w:val="24"/>
              </w:rPr>
              <w:t>Mineral</w:t>
            </w:r>
          </w:p>
        </w:tc>
      </w:tr>
      <w:tr w:rsidR="00214907" w:rsidRPr="00944B15" w14:paraId="1FBE32A5"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3D102E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845" w:type="dxa"/>
          </w:tcPr>
          <w:p w14:paraId="14691E5B" w14:textId="77777777" w:rsidR="00214907" w:rsidRPr="00944B15" w:rsidRDefault="00214907" w:rsidP="002D6DD7">
            <w:pPr>
              <w:jc w:val="both"/>
              <w:rPr>
                <w:rFonts w:eastAsia="Times New Roman" w:cs="Times New Roman"/>
                <w:color w:val="ED7D31"/>
                <w:szCs w:val="24"/>
              </w:rPr>
            </w:pPr>
            <w:r>
              <w:rPr>
                <w:rFonts w:eastAsia="Times New Roman" w:cs="Times New Roman"/>
                <w:color w:val="000000"/>
                <w:szCs w:val="24"/>
              </w:rPr>
              <w:t>Tablet: 500 mg</w:t>
            </w:r>
          </w:p>
        </w:tc>
      </w:tr>
      <w:tr w:rsidR="00214907" w:rsidRPr="00944B15" w14:paraId="31C11783"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EA9B68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845" w:type="dxa"/>
          </w:tcPr>
          <w:p w14:paraId="2FCB9FE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Used as calcium </w:t>
            </w:r>
            <w:r>
              <w:rPr>
                <w:rFonts w:eastAsia="Times New Roman" w:cs="Times New Roman"/>
                <w:color w:val="000000"/>
                <w:szCs w:val="24"/>
              </w:rPr>
              <w:t xml:space="preserve">supplementation (pregnant, </w:t>
            </w:r>
            <w:r w:rsidRPr="00944B15">
              <w:rPr>
                <w:rFonts w:eastAsia="Times New Roman" w:cs="Times New Roman"/>
                <w:color w:val="000000"/>
                <w:szCs w:val="24"/>
              </w:rPr>
              <w:t>lactating women and in growing children</w:t>
            </w:r>
            <w:r>
              <w:rPr>
                <w:rFonts w:eastAsia="Times New Roman" w:cs="Times New Roman"/>
                <w:color w:val="000000"/>
                <w:szCs w:val="24"/>
              </w:rPr>
              <w:t>),</w:t>
            </w:r>
            <w:r w:rsidRPr="00944B15">
              <w:rPr>
                <w:rFonts w:eastAsia="Times New Roman" w:cs="Times New Roman"/>
                <w:color w:val="000000"/>
                <w:szCs w:val="24"/>
              </w:rPr>
              <w:t xml:space="preserve"> ricke</w:t>
            </w:r>
            <w:r>
              <w:rPr>
                <w:rFonts w:eastAsia="Times New Roman" w:cs="Times New Roman"/>
                <w:color w:val="000000"/>
                <w:szCs w:val="24"/>
              </w:rPr>
              <w:t>ts, p</w:t>
            </w:r>
            <w:r w:rsidRPr="00944B15">
              <w:rPr>
                <w:rFonts w:eastAsia="Times New Roman" w:cs="Times New Roman"/>
                <w:color w:val="000000"/>
                <w:szCs w:val="24"/>
              </w:rPr>
              <w:t>revention of pre-and postme</w:t>
            </w:r>
            <w:r>
              <w:rPr>
                <w:rFonts w:eastAsia="Times New Roman" w:cs="Times New Roman"/>
                <w:color w:val="000000"/>
                <w:szCs w:val="24"/>
              </w:rPr>
              <w:t xml:space="preserve">nopausal bone demineralisation and </w:t>
            </w:r>
            <w:r w:rsidRPr="00944B15">
              <w:rPr>
                <w:rFonts w:eastAsia="Times New Roman" w:cs="Times New Roman"/>
                <w:color w:val="000000"/>
                <w:szCs w:val="24"/>
              </w:rPr>
              <w:t>osteoporosis</w:t>
            </w:r>
          </w:p>
        </w:tc>
      </w:tr>
      <w:tr w:rsidR="00214907" w:rsidRPr="00944B15" w14:paraId="7A7CF145"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7AFCCD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845" w:type="dxa"/>
          </w:tcPr>
          <w:p w14:paraId="0E521C31" w14:textId="77777777" w:rsidR="00214907" w:rsidRPr="00944B15" w:rsidRDefault="00214907" w:rsidP="002D6DD7">
            <w:pPr>
              <w:autoSpaceDE w:val="0"/>
              <w:autoSpaceDN w:val="0"/>
              <w:adjustRightInd w:val="0"/>
              <w:rPr>
                <w:rFonts w:eastAsia="Calibri" w:cs="Times New Roman"/>
                <w:color w:val="000000"/>
                <w:szCs w:val="24"/>
              </w:rPr>
            </w:pPr>
            <w:r w:rsidRPr="00944B15">
              <w:rPr>
                <w:rFonts w:eastAsia="Calibri" w:cs="Times New Roman"/>
                <w:b/>
                <w:color w:val="000000"/>
                <w:szCs w:val="24"/>
              </w:rPr>
              <w:t xml:space="preserve">Hypocalcaemia (prophylaxis): </w:t>
            </w:r>
            <w:r>
              <w:rPr>
                <w:rFonts w:eastAsia="Calibri" w:cs="Times New Roman"/>
                <w:color w:val="000000"/>
                <w:szCs w:val="24"/>
              </w:rPr>
              <w:t>o</w:t>
            </w:r>
            <w:r w:rsidRPr="00AF4175">
              <w:rPr>
                <w:rFonts w:eastAsia="Calibri" w:cs="Times New Roman"/>
                <w:color w:val="000000"/>
                <w:szCs w:val="24"/>
              </w:rPr>
              <w:t>ral</w:t>
            </w:r>
          </w:p>
          <w:p w14:paraId="7F102D3C" w14:textId="77777777" w:rsidR="00214907" w:rsidRPr="00944B15" w:rsidRDefault="00214907" w:rsidP="002D6DD7">
            <w:pPr>
              <w:autoSpaceDE w:val="0"/>
              <w:autoSpaceDN w:val="0"/>
              <w:adjustRightInd w:val="0"/>
              <w:rPr>
                <w:rFonts w:eastAsia="Calibri" w:cs="Times New Roman"/>
                <w:color w:val="000000"/>
                <w:szCs w:val="24"/>
              </w:rPr>
            </w:pPr>
            <w:r w:rsidRPr="00944B15">
              <w:rPr>
                <w:rFonts w:eastAsia="Calibri" w:cs="Times New Roman"/>
                <w:b/>
                <w:color w:val="000000"/>
                <w:szCs w:val="24"/>
              </w:rPr>
              <w:t>Amount based on normal daily-recommended intakes:</w:t>
            </w:r>
            <w:r w:rsidRPr="00944B15">
              <w:rPr>
                <w:rFonts w:eastAsia="Calibri" w:cs="Times New Roman"/>
                <w:color w:val="000000"/>
                <w:szCs w:val="24"/>
              </w:rPr>
              <w:t xml:space="preserve"> Adolescent and adult males/females:</w:t>
            </w:r>
            <w:r w:rsidRPr="00944B15">
              <w:rPr>
                <w:rFonts w:eastAsia="Calibri" w:cs="Times New Roman"/>
                <w:color w:val="000000"/>
                <w:szCs w:val="24"/>
              </w:rPr>
              <w:tab/>
              <w:t xml:space="preserve"> 800 – 1200mg; Pregnant females and Breast-feeding: 1200 mg; Birth to 3 years of age: 400 – 800 mg; 4 to 10 years of age: 800mg </w:t>
            </w:r>
          </w:p>
          <w:p w14:paraId="2AA441CC" w14:textId="77777777" w:rsidR="00214907" w:rsidRPr="00944B15"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Hypocalcaemia (treatment):</w:t>
            </w:r>
            <w:r>
              <w:rPr>
                <w:rFonts w:eastAsia="Calibri" w:cs="Times New Roman"/>
                <w:color w:val="000000"/>
                <w:szCs w:val="24"/>
              </w:rPr>
              <w:t xml:space="preserve"> t</w:t>
            </w:r>
            <w:r w:rsidRPr="00944B15">
              <w:rPr>
                <w:rFonts w:eastAsia="Calibri" w:cs="Times New Roman"/>
                <w:color w:val="000000"/>
                <w:szCs w:val="24"/>
              </w:rPr>
              <w:t>reatment dose is individualized based on severity of deficiency: 1,000 to 2,000 mg of elemental calcium per day divided into 2 to 4 doses.</w:t>
            </w:r>
          </w:p>
        </w:tc>
      </w:tr>
      <w:tr w:rsidR="00214907" w:rsidRPr="00944B15" w14:paraId="1BB80004"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2640CCD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845" w:type="dxa"/>
          </w:tcPr>
          <w:p w14:paraId="1EFE455F"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Hypersensitivity to the drug, hypercalcaemia, severe renal failure, </w:t>
            </w:r>
            <w:r w:rsidRPr="00944B15">
              <w:rPr>
                <w:rFonts w:eastAsia="Times New Roman" w:cs="Times New Roman"/>
                <w:color w:val="000000"/>
                <w:szCs w:val="24"/>
              </w:rPr>
              <w:lastRenderedPageBreak/>
              <w:t>and renal calculi.</w:t>
            </w:r>
          </w:p>
        </w:tc>
      </w:tr>
      <w:tr w:rsidR="00214907" w:rsidRPr="00944B15" w14:paraId="2331D5E8"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7CE55D4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Drug interactions</w:t>
            </w:r>
          </w:p>
        </w:tc>
        <w:tc>
          <w:tcPr>
            <w:tcW w:w="6845" w:type="dxa"/>
          </w:tcPr>
          <w:p w14:paraId="0637BBF2" w14:textId="77777777" w:rsidR="00214907" w:rsidRPr="00944B15" w:rsidRDefault="00214907" w:rsidP="002D6DD7">
            <w:pPr>
              <w:contextualSpacing/>
              <w:jc w:val="both"/>
              <w:rPr>
                <w:rFonts w:eastAsia="Times New Roman" w:cs="Times New Roman"/>
                <w:color w:val="ED7D31"/>
                <w:szCs w:val="24"/>
              </w:rPr>
            </w:pPr>
            <w:r>
              <w:rPr>
                <w:rFonts w:eastAsia="Times New Roman" w:cs="Times New Roman"/>
                <w:color w:val="000000"/>
                <w:szCs w:val="24"/>
              </w:rPr>
              <w:t>Fluoroquinolone, tetracycline, l</w:t>
            </w:r>
            <w:r w:rsidRPr="00944B15">
              <w:rPr>
                <w:rFonts w:eastAsia="Times New Roman" w:cs="Times New Roman"/>
                <w:color w:val="000000"/>
                <w:szCs w:val="24"/>
              </w:rPr>
              <w:t xml:space="preserve">evothyroxine, </w:t>
            </w:r>
            <w:r>
              <w:rPr>
                <w:rFonts w:cs="Times New Roman"/>
                <w:szCs w:val="24"/>
              </w:rPr>
              <w:t>i</w:t>
            </w:r>
            <w:r w:rsidRPr="00944B15">
              <w:rPr>
                <w:rFonts w:cs="Times New Roman"/>
                <w:szCs w:val="24"/>
              </w:rPr>
              <w:t xml:space="preserve">ron, zinc and strontium ranelate, </w:t>
            </w:r>
            <w:r>
              <w:rPr>
                <w:rFonts w:eastAsia="Times New Roman" w:cs="Times New Roman"/>
                <w:color w:val="000000"/>
                <w:szCs w:val="24"/>
              </w:rPr>
              <w:t>c</w:t>
            </w:r>
            <w:r w:rsidRPr="00944B15">
              <w:rPr>
                <w:rFonts w:eastAsia="Times New Roman" w:cs="Times New Roman"/>
                <w:color w:val="000000"/>
                <w:szCs w:val="24"/>
              </w:rPr>
              <w:t>ardiac glycosides, calcium channel blockers, phenytoin, and thiazides,</w:t>
            </w:r>
            <w:r w:rsidRPr="00944B15">
              <w:rPr>
                <w:rFonts w:cs="Times New Roman"/>
                <w:szCs w:val="24"/>
              </w:rPr>
              <w:t xml:space="preserve"> </w:t>
            </w:r>
            <w:r>
              <w:rPr>
                <w:rFonts w:eastAsia="Times New Roman" w:cs="Times New Roman"/>
                <w:color w:val="000000"/>
                <w:szCs w:val="24"/>
              </w:rPr>
              <w:t>n</w:t>
            </w:r>
            <w:r w:rsidRPr="00944B15">
              <w:rPr>
                <w:rFonts w:eastAsia="Times New Roman" w:cs="Times New Roman"/>
                <w:color w:val="000000"/>
                <w:szCs w:val="24"/>
              </w:rPr>
              <w:t xml:space="preserve">utrients (such as milk), </w:t>
            </w:r>
            <w:r w:rsidRPr="00944B15">
              <w:rPr>
                <w:rFonts w:cs="Times New Roman"/>
                <w:szCs w:val="24"/>
              </w:rPr>
              <w:t>bisphosphonates</w:t>
            </w:r>
          </w:p>
        </w:tc>
      </w:tr>
      <w:tr w:rsidR="00214907" w:rsidRPr="00944B15" w14:paraId="40FBEEF2"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49E7F87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845" w:type="dxa"/>
          </w:tcPr>
          <w:p w14:paraId="63334571" w14:textId="77777777" w:rsidR="00214907" w:rsidRPr="00944B15" w:rsidRDefault="00214907" w:rsidP="002D6DD7">
            <w:pPr>
              <w:jc w:val="both"/>
              <w:rPr>
                <w:rFonts w:eastAsia="Times New Roman" w:cs="Times New Roman"/>
                <w:szCs w:val="24"/>
              </w:rPr>
            </w:pPr>
            <w:r w:rsidRPr="00944B15">
              <w:rPr>
                <w:rFonts w:eastAsia="Times New Roman" w:cs="Times New Roman"/>
                <w:color w:val="000000"/>
                <w:szCs w:val="24"/>
              </w:rPr>
              <w:t>Hypotension (dizziness), flushing and /or sensation of warmt</w:t>
            </w:r>
            <w:r>
              <w:rPr>
                <w:rFonts w:eastAsia="Times New Roman" w:cs="Times New Roman"/>
                <w:color w:val="000000"/>
                <w:szCs w:val="24"/>
              </w:rPr>
              <w:t>h or heat, irregular heartbeat, hypercalcaemia/hypercalciuria, co</w:t>
            </w:r>
            <w:r w:rsidRPr="00944B15">
              <w:rPr>
                <w:rFonts w:eastAsia="Times New Roman" w:cs="Times New Roman"/>
                <w:color w:val="000000"/>
                <w:szCs w:val="24"/>
              </w:rPr>
              <w:t>nstipation, dyspepsia, flatulence, nausea, abdominal pain and diarrhea.</w:t>
            </w:r>
          </w:p>
        </w:tc>
      </w:tr>
      <w:tr w:rsidR="00214907" w:rsidRPr="00944B15" w14:paraId="4302A608"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1C0A8D2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845" w:type="dxa"/>
          </w:tcPr>
          <w:p w14:paraId="5BD6302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Sarcoidosis, renal or cardiac disease, a</w:t>
            </w:r>
            <w:r>
              <w:rPr>
                <w:rFonts w:eastAsia="Times New Roman" w:cs="Times New Roman"/>
                <w:color w:val="000000"/>
                <w:szCs w:val="24"/>
              </w:rPr>
              <w:t xml:space="preserve"> high doses of vitamin D, hy</w:t>
            </w:r>
            <w:r w:rsidRPr="00944B15">
              <w:rPr>
                <w:rFonts w:eastAsia="Times New Roman" w:cs="Times New Roman"/>
                <w:color w:val="000000"/>
                <w:szCs w:val="24"/>
              </w:rPr>
              <w:t xml:space="preserve">perphosphatemia  </w:t>
            </w:r>
          </w:p>
        </w:tc>
      </w:tr>
      <w:tr w:rsidR="00214907" w:rsidRPr="00944B15" w14:paraId="22AF7AEA"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7A8548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845" w:type="dxa"/>
          </w:tcPr>
          <w:p w14:paraId="6FBF8DCA"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Store below 30°</w:t>
            </w:r>
            <w:r w:rsidRPr="00944B15">
              <w:rPr>
                <w:rFonts w:eastAsia="Times New Roman" w:cs="Times New Roman"/>
                <w:color w:val="000000"/>
                <w:szCs w:val="24"/>
              </w:rPr>
              <w:t xml:space="preserve">C. </w:t>
            </w:r>
            <w:r>
              <w:rPr>
                <w:rFonts w:eastAsia="Times New Roman" w:cs="Times New Roman"/>
                <w:color w:val="000000"/>
                <w:szCs w:val="24"/>
              </w:rPr>
              <w:t>P</w:t>
            </w:r>
            <w:r w:rsidRPr="00944B15">
              <w:rPr>
                <w:rFonts w:eastAsia="Times New Roman" w:cs="Times New Roman"/>
                <w:color w:val="000000"/>
                <w:szCs w:val="24"/>
              </w:rPr>
              <w:t>rotect from moisture.</w:t>
            </w:r>
          </w:p>
        </w:tc>
      </w:tr>
      <w:tr w:rsidR="00214907" w:rsidRPr="00944B15" w14:paraId="668929BE" w14:textId="77777777" w:rsidTr="002D6DD7">
        <w:trPr>
          <w:jc w:val="center"/>
        </w:trPr>
        <w:tc>
          <w:tcPr>
            <w:tcW w:w="9540" w:type="dxa"/>
            <w:gridSpan w:val="2"/>
            <w:tcBorders>
              <w:top w:val="single" w:sz="4" w:space="0" w:color="auto"/>
              <w:left w:val="single" w:sz="4" w:space="0" w:color="auto"/>
              <w:bottom w:val="single" w:sz="4" w:space="0" w:color="auto"/>
              <w:right w:val="single" w:sz="4" w:space="0" w:color="auto"/>
            </w:tcBorders>
          </w:tcPr>
          <w:p w14:paraId="410B38A7" w14:textId="77777777" w:rsidR="00214907" w:rsidRPr="00944B15" w:rsidRDefault="00214907" w:rsidP="002D6DD7">
            <w:pPr>
              <w:jc w:val="both"/>
              <w:rPr>
                <w:rFonts w:eastAsia="Times New Roman" w:cs="Times New Roman"/>
                <w:b/>
                <w:bCs/>
                <w:color w:val="ED7D31"/>
                <w:szCs w:val="24"/>
              </w:rPr>
            </w:pPr>
            <w:r w:rsidRPr="00944B15">
              <w:rPr>
                <w:rFonts w:eastAsia="Times New Roman" w:cs="Times New Roman"/>
                <w:b/>
                <w:bCs/>
                <w:color w:val="000000"/>
                <w:szCs w:val="24"/>
              </w:rPr>
              <w:t>Calcium Gluconate</w:t>
            </w:r>
          </w:p>
        </w:tc>
      </w:tr>
      <w:tr w:rsidR="00214907" w:rsidRPr="00944B15" w14:paraId="2C6D2E32"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37135E6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845" w:type="dxa"/>
          </w:tcPr>
          <w:p w14:paraId="7D18687B"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Calcium salt, antidote</w:t>
            </w:r>
          </w:p>
        </w:tc>
      </w:tr>
      <w:tr w:rsidR="00214907" w:rsidRPr="00944B15" w14:paraId="57FBB88D"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7392033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845" w:type="dxa"/>
          </w:tcPr>
          <w:p w14:paraId="439220A8"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Injection: 100 mg/</w:t>
            </w:r>
            <w:r>
              <w:rPr>
                <w:rFonts w:eastAsia="Times New Roman" w:cs="Times New Roman"/>
                <w:color w:val="000000"/>
                <w:szCs w:val="24"/>
              </w:rPr>
              <w:t>ml</w:t>
            </w:r>
            <w:r w:rsidRPr="00944B15">
              <w:rPr>
                <w:rFonts w:eastAsia="Times New Roman" w:cs="Times New Roman"/>
                <w:color w:val="000000"/>
                <w:szCs w:val="24"/>
              </w:rPr>
              <w:t xml:space="preserve"> in 10 </w:t>
            </w:r>
            <w:r>
              <w:rPr>
                <w:rFonts w:eastAsia="Times New Roman" w:cs="Times New Roman"/>
                <w:color w:val="000000"/>
                <w:szCs w:val="24"/>
              </w:rPr>
              <w:t>ml</w:t>
            </w:r>
            <w:r w:rsidRPr="00944B15">
              <w:rPr>
                <w:rFonts w:eastAsia="Times New Roman" w:cs="Times New Roman"/>
                <w:color w:val="000000"/>
                <w:szCs w:val="24"/>
              </w:rPr>
              <w:t xml:space="preserve"> ampoule</w:t>
            </w:r>
          </w:p>
        </w:tc>
      </w:tr>
      <w:tr w:rsidR="00214907" w:rsidRPr="00944B15" w14:paraId="309CA5E2"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6EE3EC2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845" w:type="dxa"/>
          </w:tcPr>
          <w:p w14:paraId="38E7D32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To decrease or reverse the cardiac depressant effect of hyperkalemia on electrocardiographic (ECG) function and as an aid in the treatment of CNS depressi</w:t>
            </w:r>
            <w:r>
              <w:rPr>
                <w:rFonts w:eastAsia="Times New Roman" w:cs="Times New Roman"/>
                <w:color w:val="000000"/>
                <w:szCs w:val="24"/>
              </w:rPr>
              <w:t xml:space="preserve">on, </w:t>
            </w:r>
            <w:r w:rsidRPr="00944B15">
              <w:rPr>
                <w:rFonts w:cs="Times New Roman"/>
                <w:szCs w:val="24"/>
              </w:rPr>
              <w:t xml:space="preserve">for </w:t>
            </w:r>
            <w:r w:rsidRPr="00944B15">
              <w:rPr>
                <w:rFonts w:eastAsia="Times New Roman" w:cs="Times New Roman"/>
                <w:color w:val="000000"/>
                <w:szCs w:val="24"/>
              </w:rPr>
              <w:t>treatment of hypocalcaemia.</w:t>
            </w:r>
          </w:p>
        </w:tc>
      </w:tr>
      <w:tr w:rsidR="00214907" w:rsidRPr="00944B15" w14:paraId="186B7922"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0494AEB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845" w:type="dxa"/>
          </w:tcPr>
          <w:p w14:paraId="56FF4D43"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Calcium Supplementation</w:t>
            </w:r>
            <w:r w:rsidR="00601A4D">
              <w:rPr>
                <w:rFonts w:eastAsia="Times New Roman" w:cs="Times New Roman"/>
                <w:b/>
                <w:color w:val="000000"/>
                <w:szCs w:val="24"/>
              </w:rPr>
              <w:t>:</w:t>
            </w:r>
          </w:p>
          <w:p w14:paraId="1B43F8AE"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19-50 years old</w:t>
            </w:r>
            <w:r w:rsidRPr="00944B15">
              <w:rPr>
                <w:rFonts w:eastAsia="Times New Roman" w:cs="Times New Roman"/>
                <w:color w:val="000000"/>
                <w:szCs w:val="24"/>
              </w:rPr>
              <w:t>: 1000 mg/day PO divided q8-12hr, preferably 1-2 hours after meals</w:t>
            </w:r>
          </w:p>
          <w:p w14:paraId="19A7EFEC"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color w:val="000000"/>
                <w:szCs w:val="24"/>
              </w:rPr>
              <w:t>&gt;</w:t>
            </w:r>
            <w:r w:rsidRPr="00944B15">
              <w:rPr>
                <w:rFonts w:eastAsia="Times New Roman" w:cs="Times New Roman"/>
                <w:b/>
                <w:color w:val="000000"/>
                <w:szCs w:val="24"/>
              </w:rPr>
              <w:t>50 years old</w:t>
            </w:r>
            <w:r w:rsidRPr="00944B15">
              <w:rPr>
                <w:rFonts w:eastAsia="Times New Roman" w:cs="Times New Roman"/>
                <w:color w:val="000000"/>
                <w:szCs w:val="24"/>
              </w:rPr>
              <w:t>: 1200 mg/day PO divided q8-12hr, preferably 1-2 hours after meals</w:t>
            </w:r>
          </w:p>
          <w:p w14:paraId="5AABF9DD"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Pregnant or breastfeeding patient</w:t>
            </w:r>
            <w:r w:rsidRPr="00944B15">
              <w:rPr>
                <w:rFonts w:eastAsia="Times New Roman" w:cs="Times New Roman"/>
                <w:color w:val="000000"/>
                <w:szCs w:val="24"/>
              </w:rPr>
              <w:t>: 1000mg/day PO divided q8-12hr, preferably 1-2 hours after meals</w:t>
            </w:r>
          </w:p>
          <w:p w14:paraId="129D77EB" w14:textId="77777777" w:rsidR="00214907" w:rsidRPr="00944B15"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 xml:space="preserve">Hypocalcaemia: </w:t>
            </w:r>
          </w:p>
          <w:p w14:paraId="3E0E23AD" w14:textId="77777777" w:rsidR="00214907" w:rsidRPr="00B24439" w:rsidRDefault="00214907" w:rsidP="002D6DD7">
            <w:pPr>
              <w:contextualSpacing/>
              <w:jc w:val="both"/>
              <w:rPr>
                <w:rFonts w:eastAsia="Times New Roman" w:cs="Times New Roman"/>
                <w:b/>
                <w:color w:val="000000"/>
                <w:szCs w:val="24"/>
              </w:rPr>
            </w:pPr>
            <w:r w:rsidRPr="00B24439">
              <w:rPr>
                <w:rFonts w:eastAsia="Times New Roman" w:cs="Times New Roman"/>
                <w:b/>
                <w:color w:val="000000"/>
                <w:szCs w:val="24"/>
              </w:rPr>
              <w:t>Treatment of conditions arising from calcium deficiency (e.g., hypocalcemic tetany, hypoparathyroidism)</w:t>
            </w:r>
            <w:r>
              <w:rPr>
                <w:rFonts w:eastAsia="Times New Roman" w:cs="Times New Roman"/>
                <w:b/>
                <w:color w:val="000000"/>
                <w:szCs w:val="24"/>
              </w:rPr>
              <w:t>:</w:t>
            </w:r>
          </w:p>
          <w:p w14:paraId="3F7B6B41" w14:textId="77777777" w:rsidR="00601A4D" w:rsidRDefault="00214907" w:rsidP="002D6DD7">
            <w:pPr>
              <w:contextualSpacing/>
              <w:jc w:val="both"/>
              <w:rPr>
                <w:rFonts w:eastAsia="Times New Roman" w:cs="Times New Roman"/>
                <w:b/>
                <w:color w:val="000000"/>
                <w:szCs w:val="24"/>
              </w:rPr>
            </w:pPr>
            <w:r w:rsidRPr="00944B15">
              <w:rPr>
                <w:rFonts w:eastAsia="Times New Roman" w:cs="Times New Roman"/>
                <w:b/>
                <w:color w:val="000000"/>
                <w:szCs w:val="24"/>
              </w:rPr>
              <w:t>Mild (ionized calcium 1-1.2 mmol/L), management of non-life-threatening symptoms</w:t>
            </w:r>
          </w:p>
          <w:p w14:paraId="7CCE7A6C" w14:textId="77777777" w:rsidR="00214907" w:rsidRPr="00601A4D" w:rsidRDefault="00601A4D" w:rsidP="002D6DD7">
            <w:pPr>
              <w:contextualSpacing/>
              <w:jc w:val="both"/>
              <w:rPr>
                <w:rFonts w:eastAsia="Times New Roman" w:cs="Times New Roman"/>
                <w:b/>
                <w:color w:val="000000"/>
                <w:szCs w:val="24"/>
              </w:rPr>
            </w:pPr>
            <w:r w:rsidRPr="00601A4D">
              <w:rPr>
                <w:rFonts w:eastAsia="Times New Roman" w:cs="Times New Roman"/>
                <w:b/>
                <w:color w:val="000000"/>
                <w:szCs w:val="24"/>
              </w:rPr>
              <w:t>Oral</w:t>
            </w:r>
            <w:r w:rsidR="00214907" w:rsidRPr="00944B15">
              <w:rPr>
                <w:rFonts w:eastAsia="Times New Roman" w:cs="Times New Roman"/>
                <w:color w:val="000000"/>
                <w:szCs w:val="24"/>
              </w:rPr>
              <w:t>: 1-3 g/day in divided doses; oral repletion may be considered and a</w:t>
            </w:r>
            <w:r w:rsidR="00214907">
              <w:rPr>
                <w:rFonts w:eastAsia="Times New Roman" w:cs="Times New Roman"/>
                <w:color w:val="000000"/>
                <w:szCs w:val="24"/>
              </w:rPr>
              <w:t>dministered on outpatient basis</w:t>
            </w:r>
          </w:p>
          <w:p w14:paraId="183B6AF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 </w:t>
            </w:r>
            <w:r w:rsidRPr="00944B15">
              <w:rPr>
                <w:rFonts w:eastAsia="Times New Roman" w:cs="Times New Roman"/>
                <w:b/>
                <w:color w:val="000000"/>
                <w:szCs w:val="24"/>
              </w:rPr>
              <w:t>IV</w:t>
            </w:r>
            <w:r w:rsidRPr="00944B15">
              <w:rPr>
                <w:rFonts w:eastAsia="Times New Roman" w:cs="Times New Roman"/>
                <w:color w:val="000000"/>
                <w:szCs w:val="24"/>
              </w:rPr>
              <w:t>: 1-2 g over 2 hours</w:t>
            </w:r>
          </w:p>
          <w:p w14:paraId="3A831E3C"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Severe (ionized calcium &lt;1 mmol/L</w:t>
            </w:r>
            <w:r w:rsidRPr="00944B15">
              <w:rPr>
                <w:rFonts w:eastAsia="Times New Roman" w:cs="Times New Roman"/>
                <w:color w:val="000000"/>
                <w:szCs w:val="24"/>
              </w:rPr>
              <w:t xml:space="preserve">), </w:t>
            </w:r>
            <w:r w:rsidRPr="00944B15">
              <w:rPr>
                <w:rFonts w:eastAsia="Times New Roman" w:cs="Times New Roman"/>
                <w:b/>
                <w:color w:val="000000"/>
                <w:szCs w:val="24"/>
              </w:rPr>
              <w:t>without seizure or tetany</w:t>
            </w:r>
            <w:r w:rsidRPr="00944B15">
              <w:rPr>
                <w:rFonts w:eastAsia="Times New Roman" w:cs="Times New Roman"/>
                <w:color w:val="000000"/>
                <w:szCs w:val="24"/>
              </w:rPr>
              <w:t xml:space="preserve">: </w:t>
            </w:r>
          </w:p>
          <w:p w14:paraId="532BA67B"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IV</w:t>
            </w:r>
            <w:r w:rsidRPr="00944B15">
              <w:rPr>
                <w:rFonts w:eastAsia="Times New Roman" w:cs="Times New Roman"/>
                <w:color w:val="000000"/>
                <w:szCs w:val="24"/>
              </w:rPr>
              <w:t>: 0.5 mg/kg/hr; may be increased to 2 mg/kg/hr; not to exceed 3-4 g over 4 hours</w:t>
            </w:r>
          </w:p>
          <w:p w14:paraId="4C9EAFD9" w14:textId="77777777" w:rsidR="00214907"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Hypocalcemic tetany</w:t>
            </w:r>
            <w:r>
              <w:rPr>
                <w:rFonts w:eastAsia="Times New Roman" w:cs="Times New Roman"/>
                <w:color w:val="000000"/>
                <w:szCs w:val="24"/>
              </w:rPr>
              <w:t>:</w:t>
            </w:r>
          </w:p>
          <w:p w14:paraId="7ECCF8A3"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b/>
                <w:color w:val="000000"/>
                <w:szCs w:val="24"/>
              </w:rPr>
              <w:t>IV</w:t>
            </w:r>
            <w:r w:rsidRPr="00944B15">
              <w:rPr>
                <w:rFonts w:eastAsia="Times New Roman" w:cs="Times New Roman"/>
                <w:color w:val="000000"/>
                <w:szCs w:val="24"/>
              </w:rPr>
              <w:t>: 100-300 mg elemental calcium (~3 g calcium gluconate) over 5-10 minutes, followed by continuous IV infusion at 0.5 mg/kg/hr. (may be increased to 2 mg/kg/hr)</w:t>
            </w:r>
          </w:p>
        </w:tc>
      </w:tr>
      <w:tr w:rsidR="00214907" w:rsidRPr="00944B15" w14:paraId="1D16777B"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6E12C0D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845" w:type="dxa"/>
          </w:tcPr>
          <w:p w14:paraId="607C56B0"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Hypersensitivity</w:t>
            </w:r>
            <w:r>
              <w:rPr>
                <w:rFonts w:eastAsia="Times New Roman" w:cs="Times New Roman"/>
                <w:color w:val="000000"/>
                <w:szCs w:val="24"/>
              </w:rPr>
              <w:t xml:space="preserve"> to the drug</w:t>
            </w:r>
            <w:r w:rsidRPr="00944B15">
              <w:rPr>
                <w:rFonts w:eastAsia="Times New Roman" w:cs="Times New Roman"/>
                <w:color w:val="000000"/>
                <w:szCs w:val="24"/>
              </w:rPr>
              <w:t>, IM administrat</w:t>
            </w:r>
            <w:r>
              <w:rPr>
                <w:rFonts w:eastAsia="Times New Roman" w:cs="Times New Roman"/>
                <w:color w:val="000000"/>
                <w:szCs w:val="24"/>
              </w:rPr>
              <w:t>ion, ventricular fibrillation, hypercalcemia, di</w:t>
            </w:r>
            <w:r w:rsidRPr="00944B15">
              <w:rPr>
                <w:rFonts w:eastAsia="Times New Roman" w:cs="Times New Roman"/>
                <w:color w:val="000000"/>
                <w:szCs w:val="24"/>
              </w:rPr>
              <w:t xml:space="preserve">goxin poisonings, </w:t>
            </w:r>
            <w:r>
              <w:rPr>
                <w:rFonts w:cs="Times New Roman"/>
                <w:szCs w:val="24"/>
              </w:rPr>
              <w:t>severe h</w:t>
            </w:r>
            <w:r w:rsidRPr="00944B15">
              <w:rPr>
                <w:rFonts w:cs="Times New Roman"/>
                <w:szCs w:val="24"/>
              </w:rPr>
              <w:t>yperphosphatemia</w:t>
            </w:r>
            <w:r>
              <w:rPr>
                <w:rFonts w:cs="Times New Roman"/>
                <w:szCs w:val="24"/>
              </w:rPr>
              <w:t>.</w:t>
            </w:r>
          </w:p>
        </w:tc>
      </w:tr>
      <w:tr w:rsidR="00214907" w:rsidRPr="00944B15" w14:paraId="7504C9AD"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01F25F7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845" w:type="dxa"/>
          </w:tcPr>
          <w:p w14:paraId="4A45DB8F"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Calcium and magnesium containing medications, milk and milk products, iron preparations, </w:t>
            </w:r>
            <w:r>
              <w:rPr>
                <w:rFonts w:eastAsia="Times New Roman" w:cs="Times New Roman"/>
                <w:color w:val="000000"/>
                <w:szCs w:val="24"/>
              </w:rPr>
              <w:t>oral tetracyclines, vitamin D, c</w:t>
            </w:r>
            <w:r w:rsidRPr="00944B15">
              <w:rPr>
                <w:rFonts w:eastAsia="Times New Roman" w:cs="Times New Roman"/>
                <w:color w:val="000000"/>
                <w:szCs w:val="24"/>
              </w:rPr>
              <w:t>eftriaxone, beta-blockers, ciprofloxa</w:t>
            </w:r>
            <w:r>
              <w:rPr>
                <w:rFonts w:eastAsia="Times New Roman" w:cs="Times New Roman"/>
                <w:color w:val="000000"/>
                <w:szCs w:val="24"/>
              </w:rPr>
              <w:t>cin, calcium channel blockers, l</w:t>
            </w:r>
            <w:r w:rsidRPr="00944B15">
              <w:rPr>
                <w:rFonts w:eastAsia="Times New Roman" w:cs="Times New Roman"/>
                <w:color w:val="000000"/>
                <w:szCs w:val="24"/>
              </w:rPr>
              <w:t>evothyroxine</w:t>
            </w:r>
          </w:p>
        </w:tc>
      </w:tr>
      <w:tr w:rsidR="00214907" w:rsidRPr="00944B15" w14:paraId="64DD263C"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3B9E2B0"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845" w:type="dxa"/>
          </w:tcPr>
          <w:p w14:paraId="1D3A690F" w14:textId="77777777" w:rsidR="00214907" w:rsidRPr="00944B15" w:rsidRDefault="00214907" w:rsidP="002D6DD7">
            <w:pPr>
              <w:jc w:val="both"/>
              <w:rPr>
                <w:rFonts w:eastAsia="Times New Roman" w:cs="Times New Roman"/>
                <w:szCs w:val="24"/>
              </w:rPr>
            </w:pPr>
            <w:r w:rsidRPr="00944B15">
              <w:rPr>
                <w:rFonts w:eastAsia="Times New Roman" w:cs="Times New Roman"/>
                <w:color w:val="000000"/>
                <w:szCs w:val="24"/>
              </w:rPr>
              <w:t>Hypotension (esp., rapid infusion), flushing and/or sensation of warmth or heat, irregular heartbeat; nausea or vomiting, skin redness, rash, pain, or burning at injection site, sweating, tingling sensation.</w:t>
            </w:r>
            <w:r w:rsidRPr="00944B15">
              <w:rPr>
                <w:rFonts w:eastAsia="Times New Roman" w:cs="Times New Roman"/>
                <w:szCs w:val="24"/>
              </w:rPr>
              <w:t xml:space="preserve"> </w:t>
            </w:r>
            <w:r>
              <w:rPr>
                <w:rFonts w:eastAsia="Times New Roman" w:cs="Times New Roman"/>
                <w:color w:val="000000"/>
                <w:szCs w:val="24"/>
              </w:rPr>
              <w:t>bradycardia, constipation, diarrhea, flatulence, and e</w:t>
            </w:r>
            <w:r w:rsidRPr="00944B15">
              <w:rPr>
                <w:rFonts w:eastAsia="Times New Roman" w:cs="Times New Roman"/>
                <w:color w:val="000000"/>
                <w:szCs w:val="24"/>
              </w:rPr>
              <w:t>xtravasation necrosis</w:t>
            </w:r>
          </w:p>
        </w:tc>
      </w:tr>
      <w:tr w:rsidR="00214907" w:rsidRPr="00944B15" w14:paraId="5376B1F5"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1310B81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845" w:type="dxa"/>
          </w:tcPr>
          <w:p w14:paraId="03725014"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color w:val="000000"/>
                <w:szCs w:val="24"/>
              </w:rPr>
              <w:t>Rapid IV infusion, hepatic or renal impairment, cardiovascular disease, history of renal cal</w:t>
            </w:r>
            <w:r>
              <w:rPr>
                <w:rFonts w:eastAsia="Times New Roman" w:cs="Times New Roman"/>
                <w:color w:val="000000"/>
                <w:szCs w:val="24"/>
              </w:rPr>
              <w:t>culi, severe hyperphosphatemia</w:t>
            </w:r>
          </w:p>
        </w:tc>
      </w:tr>
      <w:tr w:rsidR="00214907" w:rsidRPr="00944B15" w14:paraId="47774BE4"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0B95E1A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845" w:type="dxa"/>
          </w:tcPr>
          <w:p w14:paraId="0FFF128C"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xml:space="preserve">Store below 30°C. </w:t>
            </w:r>
            <w:r>
              <w:rPr>
                <w:rFonts w:eastAsia="Times New Roman" w:cs="Times New Roman"/>
                <w:color w:val="000000"/>
                <w:szCs w:val="24"/>
              </w:rPr>
              <w:t>P</w:t>
            </w:r>
            <w:r w:rsidRPr="00944B15">
              <w:rPr>
                <w:rFonts w:eastAsia="Times New Roman" w:cs="Times New Roman"/>
                <w:color w:val="000000"/>
                <w:szCs w:val="24"/>
              </w:rPr>
              <w:t>rotect from moisture.</w:t>
            </w:r>
          </w:p>
        </w:tc>
      </w:tr>
      <w:tr w:rsidR="00214907" w:rsidRPr="00944B15" w14:paraId="1AFB3BDD" w14:textId="77777777" w:rsidTr="002D6DD7">
        <w:trPr>
          <w:jc w:val="center"/>
        </w:trPr>
        <w:tc>
          <w:tcPr>
            <w:tcW w:w="9540" w:type="dxa"/>
            <w:gridSpan w:val="2"/>
            <w:tcBorders>
              <w:top w:val="single" w:sz="4" w:space="0" w:color="auto"/>
              <w:left w:val="single" w:sz="4" w:space="0" w:color="auto"/>
              <w:bottom w:val="single" w:sz="4" w:space="0" w:color="auto"/>
              <w:right w:val="single" w:sz="4" w:space="0" w:color="auto"/>
            </w:tcBorders>
          </w:tcPr>
          <w:p w14:paraId="46A74B29" w14:textId="77777777" w:rsidR="00214907" w:rsidRPr="00944B15" w:rsidRDefault="00214907" w:rsidP="002D6DD7">
            <w:pPr>
              <w:jc w:val="both"/>
              <w:rPr>
                <w:rFonts w:eastAsia="Times New Roman" w:cs="Times New Roman"/>
                <w:b/>
                <w:bCs/>
                <w:color w:val="ED7D31"/>
                <w:szCs w:val="24"/>
              </w:rPr>
            </w:pPr>
            <w:r w:rsidRPr="00944B15">
              <w:rPr>
                <w:rFonts w:eastAsia="Times New Roman" w:cs="Times New Roman"/>
                <w:b/>
                <w:bCs/>
                <w:color w:val="000000"/>
                <w:szCs w:val="24"/>
              </w:rPr>
              <w:t>Iodine</w:t>
            </w:r>
          </w:p>
        </w:tc>
      </w:tr>
      <w:tr w:rsidR="00214907" w:rsidRPr="00944B15" w14:paraId="04D07B35"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33344A3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845" w:type="dxa"/>
          </w:tcPr>
          <w:p w14:paraId="780F7A3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Mineral </w:t>
            </w:r>
          </w:p>
        </w:tc>
      </w:tr>
      <w:tr w:rsidR="00214907" w:rsidRPr="00944B15" w14:paraId="0DBCCE63"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4D13510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845" w:type="dxa"/>
          </w:tcPr>
          <w:p w14:paraId="79188342" w14:textId="77777777" w:rsidR="00214907" w:rsidRDefault="00214907" w:rsidP="002D6DD7">
            <w:pPr>
              <w:jc w:val="both"/>
              <w:rPr>
                <w:rFonts w:eastAsia="Times New Roman" w:cs="Times New Roman"/>
                <w:color w:val="000000"/>
                <w:szCs w:val="24"/>
              </w:rPr>
            </w:pPr>
            <w:r>
              <w:rPr>
                <w:rFonts w:eastAsia="Times New Roman" w:cs="Times New Roman"/>
                <w:color w:val="000000"/>
                <w:szCs w:val="24"/>
              </w:rPr>
              <w:t>Capsule: 190 mg</w:t>
            </w:r>
          </w:p>
          <w:p w14:paraId="3C7075A2" w14:textId="77777777" w:rsidR="00214907" w:rsidRDefault="00214907" w:rsidP="002D6DD7">
            <w:pPr>
              <w:jc w:val="both"/>
              <w:rPr>
                <w:rFonts w:eastAsia="Times New Roman" w:cs="Times New Roman"/>
                <w:color w:val="000000"/>
                <w:szCs w:val="24"/>
              </w:rPr>
            </w:pPr>
            <w:r w:rsidRPr="00944B15">
              <w:rPr>
                <w:rFonts w:eastAsia="Times New Roman" w:cs="Times New Roman"/>
                <w:color w:val="000000"/>
                <w:szCs w:val="24"/>
              </w:rPr>
              <w:t>Io</w:t>
            </w:r>
            <w:r>
              <w:rPr>
                <w:rFonts w:eastAsia="Times New Roman" w:cs="Times New Roman"/>
                <w:color w:val="000000"/>
                <w:szCs w:val="24"/>
              </w:rPr>
              <w:t>dized oil: 1 ml (480 mg iodine)</w:t>
            </w:r>
          </w:p>
          <w:p w14:paraId="415DAF07" w14:textId="77777777" w:rsidR="00214907"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0.5 </w:t>
            </w:r>
            <w:r>
              <w:rPr>
                <w:rFonts w:eastAsia="Times New Roman" w:cs="Times New Roman"/>
                <w:color w:val="000000"/>
                <w:szCs w:val="24"/>
              </w:rPr>
              <w:t>ml</w:t>
            </w:r>
            <w:r w:rsidRPr="00944B15">
              <w:rPr>
                <w:rFonts w:eastAsia="Times New Roman" w:cs="Times New Roman"/>
                <w:color w:val="000000"/>
                <w:szCs w:val="24"/>
              </w:rPr>
              <w:t xml:space="preserve"> (240 mg iodine) in</w:t>
            </w:r>
            <w:r>
              <w:rPr>
                <w:rFonts w:eastAsia="Times New Roman" w:cs="Times New Roman"/>
                <w:color w:val="000000"/>
                <w:szCs w:val="24"/>
              </w:rPr>
              <w:t xml:space="preserve"> ampoule (oral or injectable);</w:t>
            </w:r>
          </w:p>
          <w:p w14:paraId="42107DF4" w14:textId="77777777" w:rsidR="00214907" w:rsidRPr="00B24439"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0.57 </w:t>
            </w:r>
            <w:r>
              <w:rPr>
                <w:rFonts w:eastAsia="Times New Roman" w:cs="Times New Roman"/>
                <w:color w:val="000000"/>
                <w:szCs w:val="24"/>
              </w:rPr>
              <w:t>ml</w:t>
            </w:r>
            <w:r w:rsidRPr="00944B15">
              <w:rPr>
                <w:rFonts w:eastAsia="Times New Roman" w:cs="Times New Roman"/>
                <w:color w:val="000000"/>
                <w:szCs w:val="24"/>
              </w:rPr>
              <w:t xml:space="preserve"> (308 mg iodine) ampoule in dispenser bottle</w:t>
            </w:r>
          </w:p>
        </w:tc>
      </w:tr>
      <w:tr w:rsidR="00214907" w:rsidRPr="00944B15" w14:paraId="52312737"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1F46702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845" w:type="dxa"/>
          </w:tcPr>
          <w:p w14:paraId="6C4946E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Prevent</w:t>
            </w:r>
            <w:r>
              <w:rPr>
                <w:rFonts w:eastAsia="Times New Roman" w:cs="Times New Roman"/>
                <w:color w:val="000000"/>
                <w:szCs w:val="24"/>
              </w:rPr>
              <w:t xml:space="preserve">ion </w:t>
            </w:r>
            <w:r w:rsidRPr="00944B15">
              <w:rPr>
                <w:rFonts w:eastAsia="Times New Roman" w:cs="Times New Roman"/>
                <w:color w:val="000000"/>
                <w:szCs w:val="24"/>
              </w:rPr>
              <w:t>and treat</w:t>
            </w:r>
            <w:r>
              <w:rPr>
                <w:rFonts w:eastAsia="Times New Roman" w:cs="Times New Roman"/>
                <w:color w:val="000000"/>
                <w:szCs w:val="24"/>
              </w:rPr>
              <w:t>ment</w:t>
            </w:r>
            <w:r w:rsidRPr="00944B15">
              <w:rPr>
                <w:rFonts w:eastAsia="Times New Roman" w:cs="Times New Roman"/>
                <w:color w:val="000000"/>
                <w:szCs w:val="24"/>
              </w:rPr>
              <w:t xml:space="preserve"> iodine deficiency including goiter</w:t>
            </w:r>
            <w:r>
              <w:rPr>
                <w:rFonts w:eastAsia="Times New Roman" w:cs="Times New Roman"/>
                <w:color w:val="000000"/>
                <w:szCs w:val="24"/>
              </w:rPr>
              <w:t xml:space="preserve">, </w:t>
            </w:r>
            <w:r w:rsidRPr="00944B15">
              <w:rPr>
                <w:rFonts w:eastAsia="Times New Roman" w:cs="Times New Roman"/>
                <w:color w:val="000000"/>
                <w:szCs w:val="24"/>
              </w:rPr>
              <w:t>prevent</w:t>
            </w:r>
            <w:r>
              <w:rPr>
                <w:rFonts w:eastAsia="Times New Roman" w:cs="Times New Roman"/>
                <w:color w:val="000000"/>
                <w:szCs w:val="24"/>
              </w:rPr>
              <w:t>ion of</w:t>
            </w:r>
            <w:r w:rsidRPr="00944B15">
              <w:rPr>
                <w:rFonts w:eastAsia="Times New Roman" w:cs="Times New Roman"/>
                <w:color w:val="000000"/>
                <w:szCs w:val="24"/>
              </w:rPr>
              <w:t xml:space="preserve"> thyroid damage aft</w:t>
            </w:r>
            <w:r>
              <w:rPr>
                <w:rFonts w:eastAsia="Times New Roman" w:cs="Times New Roman"/>
                <w:color w:val="000000"/>
                <w:szCs w:val="24"/>
              </w:rPr>
              <w:t>er a radioactive accident, m</w:t>
            </w:r>
            <w:r w:rsidRPr="00944B15">
              <w:rPr>
                <w:rFonts w:eastAsia="Times New Roman" w:cs="Times New Roman"/>
                <w:color w:val="000000"/>
                <w:szCs w:val="24"/>
              </w:rPr>
              <w:t>ana</w:t>
            </w:r>
            <w:r>
              <w:rPr>
                <w:rFonts w:eastAsia="Times New Roman" w:cs="Times New Roman"/>
                <w:color w:val="000000"/>
                <w:szCs w:val="24"/>
              </w:rPr>
              <w:t xml:space="preserve">ging </w:t>
            </w:r>
            <w:r>
              <w:rPr>
                <w:rFonts w:eastAsia="Times New Roman" w:cs="Times New Roman"/>
                <w:color w:val="000000"/>
                <w:szCs w:val="24"/>
              </w:rPr>
              <w:lastRenderedPageBreak/>
              <w:t xml:space="preserve">overactive thyroid gland, treating thyroid cancer and for prevention of neurodevelopmental disorders </w:t>
            </w:r>
            <w:r w:rsidRPr="00944B15">
              <w:rPr>
                <w:rFonts w:eastAsia="Times New Roman" w:cs="Times New Roman"/>
                <w:color w:val="000000"/>
                <w:szCs w:val="24"/>
              </w:rPr>
              <w:t>during pregnancy</w:t>
            </w:r>
          </w:p>
        </w:tc>
      </w:tr>
      <w:tr w:rsidR="00214907" w:rsidRPr="00944B15" w14:paraId="1B8C1313"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42BA3E06"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Dose and administration</w:t>
            </w:r>
          </w:p>
        </w:tc>
        <w:tc>
          <w:tcPr>
            <w:tcW w:w="6845" w:type="dxa"/>
          </w:tcPr>
          <w:p w14:paraId="7DEA4C3C" w14:textId="77777777" w:rsidR="00214907" w:rsidRPr="007312F0" w:rsidRDefault="00214907" w:rsidP="002D6DD7">
            <w:pPr>
              <w:autoSpaceDE w:val="0"/>
              <w:autoSpaceDN w:val="0"/>
              <w:adjustRightInd w:val="0"/>
              <w:jc w:val="both"/>
              <w:rPr>
                <w:rFonts w:eastAsia="Calibri" w:cs="Times New Roman"/>
                <w:b/>
                <w:szCs w:val="24"/>
              </w:rPr>
            </w:pPr>
            <w:r w:rsidRPr="007312F0">
              <w:rPr>
                <w:rFonts w:eastAsia="Calibri" w:cs="Times New Roman"/>
                <w:b/>
                <w:szCs w:val="24"/>
              </w:rPr>
              <w:t>Prevention: the recommended intake of iodine</w:t>
            </w:r>
            <w:r>
              <w:rPr>
                <w:rFonts w:eastAsia="Calibri" w:cs="Times New Roman"/>
                <w:b/>
                <w:szCs w:val="24"/>
              </w:rPr>
              <w:t>, oral</w:t>
            </w:r>
            <w:r w:rsidRPr="007312F0">
              <w:rPr>
                <w:rFonts w:eastAsia="Calibri" w:cs="Times New Roman"/>
                <w:b/>
                <w:szCs w:val="24"/>
              </w:rPr>
              <w:t xml:space="preserve"> </w:t>
            </w:r>
          </w:p>
          <w:p w14:paraId="207B94C2" w14:textId="77777777" w:rsidR="00214907" w:rsidRPr="007312F0" w:rsidRDefault="00214907" w:rsidP="002D6DD7">
            <w:pPr>
              <w:autoSpaceDE w:val="0"/>
              <w:autoSpaceDN w:val="0"/>
              <w:adjustRightInd w:val="0"/>
              <w:jc w:val="both"/>
              <w:rPr>
                <w:rFonts w:eastAsia="Calibri" w:cs="Times New Roman"/>
                <w:szCs w:val="24"/>
              </w:rPr>
            </w:pPr>
            <w:r w:rsidRPr="007312F0">
              <w:rPr>
                <w:rFonts w:eastAsia="Calibri" w:cs="Times New Roman"/>
                <w:b/>
                <w:szCs w:val="24"/>
              </w:rPr>
              <w:t>Adult:</w:t>
            </w:r>
            <w:r w:rsidRPr="007312F0">
              <w:rPr>
                <w:rFonts w:eastAsia="Calibri" w:cs="Times New Roman"/>
                <w:szCs w:val="24"/>
              </w:rPr>
              <w:t xml:space="preserve"> 150 µg daily;</w:t>
            </w:r>
          </w:p>
          <w:p w14:paraId="40068CCD" w14:textId="77777777" w:rsidR="00214907" w:rsidRDefault="00214907" w:rsidP="002D6DD7">
            <w:pPr>
              <w:autoSpaceDE w:val="0"/>
              <w:autoSpaceDN w:val="0"/>
              <w:adjustRightInd w:val="0"/>
              <w:jc w:val="both"/>
              <w:rPr>
                <w:rFonts w:eastAsia="Calibri" w:cs="Times New Roman"/>
                <w:szCs w:val="24"/>
              </w:rPr>
            </w:pPr>
            <w:r w:rsidRPr="007312F0">
              <w:rPr>
                <w:rFonts w:eastAsia="Calibri" w:cs="Times New Roman"/>
                <w:b/>
                <w:szCs w:val="24"/>
              </w:rPr>
              <w:t>Pregnant and lactation women:</w:t>
            </w:r>
            <w:r w:rsidRPr="007312F0">
              <w:rPr>
                <w:rFonts w:eastAsia="Calibri" w:cs="Times New Roman"/>
                <w:szCs w:val="24"/>
              </w:rPr>
              <w:t xml:space="preserve"> 200 µg daily </w:t>
            </w:r>
          </w:p>
          <w:p w14:paraId="56546266" w14:textId="77777777" w:rsidR="00214907" w:rsidRPr="007312F0" w:rsidRDefault="00214907" w:rsidP="002D6DD7">
            <w:pPr>
              <w:autoSpaceDE w:val="0"/>
              <w:autoSpaceDN w:val="0"/>
              <w:adjustRightInd w:val="0"/>
              <w:jc w:val="both"/>
              <w:rPr>
                <w:rFonts w:eastAsia="Calibri" w:cs="Times New Roman"/>
                <w:szCs w:val="24"/>
              </w:rPr>
            </w:pPr>
            <w:r w:rsidRPr="007312F0">
              <w:rPr>
                <w:rFonts w:eastAsia="Calibri" w:cs="Times New Roman"/>
                <w:b/>
                <w:szCs w:val="24"/>
              </w:rPr>
              <w:t>Infants under 1 year:</w:t>
            </w:r>
            <w:r w:rsidRPr="007312F0">
              <w:rPr>
                <w:rFonts w:eastAsia="Calibri" w:cs="Times New Roman"/>
                <w:szCs w:val="24"/>
              </w:rPr>
              <w:t xml:space="preserve"> 50 mcg daily for, </w:t>
            </w:r>
          </w:p>
          <w:p w14:paraId="7E4FB94B" w14:textId="77777777" w:rsidR="00214907" w:rsidRDefault="00214907" w:rsidP="002D6DD7">
            <w:pPr>
              <w:autoSpaceDE w:val="0"/>
              <w:autoSpaceDN w:val="0"/>
              <w:adjustRightInd w:val="0"/>
              <w:jc w:val="both"/>
              <w:rPr>
                <w:rFonts w:eastAsia="Calibri" w:cs="Times New Roman"/>
                <w:szCs w:val="24"/>
              </w:rPr>
            </w:pPr>
            <w:r w:rsidRPr="007312F0">
              <w:rPr>
                <w:rFonts w:eastAsia="Calibri" w:cs="Times New Roman"/>
                <w:b/>
                <w:szCs w:val="24"/>
              </w:rPr>
              <w:t>Children aged 2–6 years:</w:t>
            </w:r>
            <w:r w:rsidRPr="007312F0">
              <w:rPr>
                <w:rFonts w:eastAsia="Calibri" w:cs="Times New Roman"/>
                <w:szCs w:val="24"/>
              </w:rPr>
              <w:t xml:space="preserve"> 90 m</w:t>
            </w:r>
            <w:r>
              <w:rPr>
                <w:rFonts w:eastAsia="Calibri" w:cs="Times New Roman"/>
                <w:szCs w:val="24"/>
              </w:rPr>
              <w:t>cg</w:t>
            </w:r>
            <w:r w:rsidRPr="007312F0">
              <w:rPr>
                <w:rFonts w:eastAsia="Calibri" w:cs="Times New Roman"/>
                <w:szCs w:val="24"/>
              </w:rPr>
              <w:t xml:space="preserve"> daily </w:t>
            </w:r>
          </w:p>
          <w:p w14:paraId="53847512" w14:textId="77777777" w:rsidR="00214907" w:rsidRPr="00944B15" w:rsidRDefault="00214907" w:rsidP="002D6DD7">
            <w:pPr>
              <w:autoSpaceDE w:val="0"/>
              <w:autoSpaceDN w:val="0"/>
              <w:adjustRightInd w:val="0"/>
              <w:jc w:val="both"/>
              <w:rPr>
                <w:rFonts w:eastAsia="Calibri" w:cs="Times New Roman"/>
                <w:color w:val="000000"/>
                <w:szCs w:val="24"/>
              </w:rPr>
            </w:pPr>
            <w:r>
              <w:rPr>
                <w:rFonts w:eastAsia="Calibri" w:cs="Times New Roman"/>
                <w:b/>
                <w:szCs w:val="24"/>
              </w:rPr>
              <w:t>C</w:t>
            </w:r>
            <w:r w:rsidRPr="007312F0">
              <w:rPr>
                <w:rFonts w:eastAsia="Calibri" w:cs="Times New Roman"/>
                <w:b/>
                <w:szCs w:val="24"/>
              </w:rPr>
              <w:t>hildren aged 7–12 years:</w:t>
            </w:r>
            <w:r w:rsidRPr="007312F0">
              <w:rPr>
                <w:rFonts w:eastAsia="Calibri" w:cs="Times New Roman"/>
                <w:szCs w:val="24"/>
              </w:rPr>
              <w:t xml:space="preserve"> 120m</w:t>
            </w:r>
            <w:r>
              <w:rPr>
                <w:rFonts w:eastAsia="Calibri" w:cs="Times New Roman"/>
                <w:szCs w:val="24"/>
              </w:rPr>
              <w:t>cg</w:t>
            </w:r>
            <w:r w:rsidRPr="007312F0">
              <w:rPr>
                <w:rFonts w:eastAsia="Calibri" w:cs="Times New Roman"/>
                <w:szCs w:val="24"/>
              </w:rPr>
              <w:t xml:space="preserve"> daily </w:t>
            </w:r>
          </w:p>
        </w:tc>
      </w:tr>
      <w:tr w:rsidR="00214907" w:rsidRPr="00944B15" w14:paraId="57F815E7"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67C48A1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845" w:type="dxa"/>
          </w:tcPr>
          <w:p w14:paraId="79F21AB9"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Hypers</w:t>
            </w:r>
            <w:r>
              <w:rPr>
                <w:rFonts w:eastAsia="Times New Roman" w:cs="Times New Roman"/>
                <w:color w:val="000000"/>
                <w:szCs w:val="24"/>
              </w:rPr>
              <w:t>ensitivity to drug.</w:t>
            </w:r>
          </w:p>
        </w:tc>
      </w:tr>
      <w:tr w:rsidR="00214907" w:rsidRPr="00944B15" w14:paraId="70ED3274" w14:textId="77777777" w:rsidTr="002D6DD7">
        <w:trPr>
          <w:trHeight w:val="899"/>
          <w:jc w:val="center"/>
        </w:trPr>
        <w:tc>
          <w:tcPr>
            <w:tcW w:w="2695" w:type="dxa"/>
            <w:tcBorders>
              <w:top w:val="single" w:sz="4" w:space="0" w:color="auto"/>
              <w:left w:val="single" w:sz="4" w:space="0" w:color="auto"/>
              <w:bottom w:val="single" w:sz="4" w:space="0" w:color="auto"/>
              <w:right w:val="single" w:sz="4" w:space="0" w:color="auto"/>
            </w:tcBorders>
            <w:hideMark/>
          </w:tcPr>
          <w:p w14:paraId="636D31E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845" w:type="dxa"/>
          </w:tcPr>
          <w:p w14:paraId="6F2170B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Propylthiouracil, amiloride, iod</w:t>
            </w:r>
            <w:r>
              <w:rPr>
                <w:rFonts w:eastAsia="Times New Roman" w:cs="Times New Roman"/>
                <w:color w:val="000000"/>
                <w:szCs w:val="24"/>
              </w:rPr>
              <w:t>ine (radioactive), amiodarone, l</w:t>
            </w:r>
            <w:r w:rsidRPr="00944B15">
              <w:rPr>
                <w:rFonts w:eastAsia="Times New Roman" w:cs="Times New Roman"/>
                <w:color w:val="000000"/>
                <w:szCs w:val="24"/>
              </w:rPr>
              <w:t>ithium, methimazole, potassium acid phosphate, potassium chloride, Spironolactone</w:t>
            </w:r>
          </w:p>
        </w:tc>
      </w:tr>
      <w:tr w:rsidR="00214907" w:rsidRPr="00944B15" w14:paraId="11E772EF"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56B58B9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845" w:type="dxa"/>
          </w:tcPr>
          <w:p w14:paraId="0DB91F03" w14:textId="77777777" w:rsidR="00214907" w:rsidRPr="00944B15" w:rsidRDefault="00214907" w:rsidP="002D6DD7">
            <w:pPr>
              <w:jc w:val="both"/>
              <w:rPr>
                <w:rFonts w:eastAsia="Times New Roman" w:cs="Times New Roman"/>
                <w:szCs w:val="24"/>
              </w:rPr>
            </w:pPr>
            <w:r>
              <w:rPr>
                <w:rFonts w:eastAsia="Times New Roman" w:cs="Times New Roman"/>
                <w:color w:val="000000"/>
                <w:szCs w:val="24"/>
              </w:rPr>
              <w:t>Metallic taste, fever, arthralgia, d</w:t>
            </w:r>
            <w:r w:rsidRPr="00944B15">
              <w:rPr>
                <w:rFonts w:eastAsia="Times New Roman" w:cs="Times New Roman"/>
                <w:color w:val="000000"/>
                <w:szCs w:val="24"/>
              </w:rPr>
              <w:t>i</w:t>
            </w:r>
            <w:r>
              <w:rPr>
                <w:rFonts w:eastAsia="Times New Roman" w:cs="Times New Roman"/>
                <w:color w:val="000000"/>
                <w:szCs w:val="24"/>
              </w:rPr>
              <w:t>arrhea, angioedema, urticaria, eosinophilia, headache, pulmonary edema, thyroid suppression and a</w:t>
            </w:r>
            <w:r w:rsidRPr="00944B15">
              <w:rPr>
                <w:rFonts w:eastAsia="Times New Roman" w:cs="Times New Roman"/>
                <w:color w:val="000000"/>
                <w:szCs w:val="24"/>
              </w:rPr>
              <w:t>cne (high dose)</w:t>
            </w:r>
          </w:p>
        </w:tc>
      </w:tr>
      <w:tr w:rsidR="00214907" w:rsidRPr="00944B15" w14:paraId="64F1BCED"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7731012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845" w:type="dxa"/>
          </w:tcPr>
          <w:p w14:paraId="2E07310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Hypothyroidism, renal impairment</w:t>
            </w:r>
          </w:p>
        </w:tc>
      </w:tr>
      <w:tr w:rsidR="00214907" w:rsidRPr="00944B15" w14:paraId="75419B1E"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28E9BDF2"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845" w:type="dxa"/>
          </w:tcPr>
          <w:p w14:paraId="2A28AB55" w14:textId="77777777" w:rsidR="00214907" w:rsidRPr="00944B15" w:rsidRDefault="00214907" w:rsidP="002D6DD7">
            <w:pPr>
              <w:jc w:val="both"/>
              <w:rPr>
                <w:rFonts w:eastAsia="Times New Roman" w:cs="Times New Roman"/>
                <w:color w:val="ED7D31"/>
                <w:szCs w:val="24"/>
              </w:rPr>
            </w:pPr>
            <w:r w:rsidRPr="00944B15">
              <w:rPr>
                <w:rFonts w:cs="Times New Roman"/>
                <w:szCs w:val="24"/>
              </w:rPr>
              <w:t xml:space="preserve">Store </w:t>
            </w:r>
            <w:r>
              <w:rPr>
                <w:rFonts w:cs="Times New Roman"/>
                <w:szCs w:val="24"/>
              </w:rPr>
              <w:t>between 20°C to 30°C. Protect from l</w:t>
            </w:r>
            <w:r w:rsidRPr="00944B15">
              <w:rPr>
                <w:rFonts w:cs="Times New Roman"/>
                <w:szCs w:val="24"/>
              </w:rPr>
              <w:t xml:space="preserve">ight. </w:t>
            </w:r>
          </w:p>
        </w:tc>
      </w:tr>
      <w:tr w:rsidR="00214907" w:rsidRPr="00944B15" w14:paraId="2A383B3C" w14:textId="77777777" w:rsidTr="002D6DD7">
        <w:trPr>
          <w:jc w:val="center"/>
        </w:trPr>
        <w:tc>
          <w:tcPr>
            <w:tcW w:w="9540" w:type="dxa"/>
            <w:gridSpan w:val="2"/>
            <w:tcBorders>
              <w:top w:val="single" w:sz="4" w:space="0" w:color="auto"/>
              <w:left w:val="single" w:sz="4" w:space="0" w:color="auto"/>
              <w:bottom w:val="single" w:sz="4" w:space="0" w:color="auto"/>
            </w:tcBorders>
          </w:tcPr>
          <w:p w14:paraId="70E8B36C" w14:textId="77777777" w:rsidR="00214907" w:rsidRPr="00944B15" w:rsidRDefault="00214907" w:rsidP="002D6DD7">
            <w:pPr>
              <w:jc w:val="both"/>
              <w:rPr>
                <w:rFonts w:cs="Times New Roman"/>
                <w:b/>
                <w:szCs w:val="24"/>
              </w:rPr>
            </w:pPr>
            <w:r w:rsidRPr="00944B15">
              <w:rPr>
                <w:rFonts w:eastAsia="Times New Roman" w:cs="Times New Roman"/>
                <w:b/>
                <w:color w:val="000000"/>
                <w:szCs w:val="24"/>
              </w:rPr>
              <w:t>Multiple micronutrient powder (MNPs)</w:t>
            </w:r>
          </w:p>
        </w:tc>
      </w:tr>
      <w:tr w:rsidR="00214907" w:rsidRPr="00944B15" w14:paraId="737842A7" w14:textId="77777777" w:rsidTr="002D6DD7">
        <w:trPr>
          <w:jc w:val="center"/>
        </w:trPr>
        <w:tc>
          <w:tcPr>
            <w:tcW w:w="2695" w:type="dxa"/>
            <w:hideMark/>
          </w:tcPr>
          <w:p w14:paraId="4A453028"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845" w:type="dxa"/>
          </w:tcPr>
          <w:p w14:paraId="5B5553AF"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Minerals</w:t>
            </w:r>
          </w:p>
        </w:tc>
      </w:tr>
      <w:tr w:rsidR="00214907" w:rsidRPr="00944B15" w14:paraId="5C8FFBA4" w14:textId="77777777" w:rsidTr="002D6DD7">
        <w:trPr>
          <w:jc w:val="center"/>
        </w:trPr>
        <w:tc>
          <w:tcPr>
            <w:tcW w:w="2695" w:type="dxa"/>
            <w:hideMark/>
          </w:tcPr>
          <w:p w14:paraId="67A1F7F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845" w:type="dxa"/>
          </w:tcPr>
          <w:p w14:paraId="4BB22C13"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Sachets containing: </w:t>
            </w:r>
          </w:p>
          <w:p w14:paraId="0D51A5F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 Iron (elemental) 12.5 mg (as coated ferrous fumarate) </w:t>
            </w:r>
          </w:p>
          <w:p w14:paraId="10592FD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 Zinc (elemental) 5 mg </w:t>
            </w:r>
          </w:p>
          <w:p w14:paraId="488CA0D9"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Vitamin A 300 m</w:t>
            </w:r>
            <w:r>
              <w:rPr>
                <w:rFonts w:eastAsia="Times New Roman" w:cs="Times New Roman"/>
                <w:color w:val="000000"/>
                <w:szCs w:val="24"/>
              </w:rPr>
              <w:t>cg</w:t>
            </w:r>
          </w:p>
          <w:p w14:paraId="56036D96" w14:textId="77777777" w:rsidR="00214907" w:rsidRPr="00944B15" w:rsidRDefault="00214907" w:rsidP="002D6DD7">
            <w:pPr>
              <w:jc w:val="both"/>
              <w:rPr>
                <w:rFonts w:eastAsia="Times New Roman" w:cs="Times New Roman"/>
                <w:color w:val="ED7D31"/>
                <w:szCs w:val="24"/>
              </w:rPr>
            </w:pPr>
            <w:r w:rsidRPr="00944B15">
              <w:rPr>
                <w:rFonts w:eastAsia="Times New Roman" w:cs="Times New Roman"/>
                <w:color w:val="000000"/>
                <w:szCs w:val="24"/>
              </w:rPr>
              <w:t>- with or without other micronutrients at recommended daily values</w:t>
            </w:r>
          </w:p>
        </w:tc>
      </w:tr>
      <w:tr w:rsidR="00214907" w:rsidRPr="00944B15" w14:paraId="25661CFE" w14:textId="77777777" w:rsidTr="002D6DD7">
        <w:trPr>
          <w:jc w:val="center"/>
        </w:trPr>
        <w:tc>
          <w:tcPr>
            <w:tcW w:w="2695" w:type="dxa"/>
            <w:hideMark/>
          </w:tcPr>
          <w:p w14:paraId="1AB5AED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845" w:type="dxa"/>
          </w:tcPr>
          <w:p w14:paraId="4701A6BB"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To increase the micronutrient content of a child's diet without changing their usual dietary habits. </w:t>
            </w:r>
          </w:p>
        </w:tc>
      </w:tr>
      <w:tr w:rsidR="00214907" w:rsidRPr="00944B15" w14:paraId="0FAB3245" w14:textId="77777777" w:rsidTr="002D6DD7">
        <w:trPr>
          <w:jc w:val="center"/>
        </w:trPr>
        <w:tc>
          <w:tcPr>
            <w:tcW w:w="2695" w:type="dxa"/>
            <w:hideMark/>
          </w:tcPr>
          <w:p w14:paraId="5972F392"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845" w:type="dxa"/>
          </w:tcPr>
          <w:p w14:paraId="29F703D4"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b/>
                <w:color w:val="000000"/>
                <w:szCs w:val="24"/>
              </w:rPr>
              <w:t>Dosage</w:t>
            </w:r>
            <w:r w:rsidRPr="00944B15">
              <w:rPr>
                <w:rFonts w:eastAsia="Times New Roman" w:cs="Times New Roman"/>
                <w:color w:val="000000"/>
                <w:szCs w:val="24"/>
              </w:rPr>
              <w:t>: The standard dose for MNPs is one single-dose sachet per day.</w:t>
            </w:r>
          </w:p>
          <w:p w14:paraId="045AA30D" w14:textId="77777777" w:rsidR="00214907" w:rsidRDefault="00214907"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Administration</w:t>
            </w:r>
            <w:r w:rsidRPr="00944B15">
              <w:rPr>
                <w:rFonts w:eastAsia="Calibri" w:cs="Times New Roman"/>
                <w:color w:val="000000"/>
                <w:szCs w:val="24"/>
              </w:rPr>
              <w:t xml:space="preserve">: MNPs are typically administered by mixing the powder into semi-solid or liquid foods, such as porridge, mashed </w:t>
            </w:r>
            <w:r w:rsidRPr="00944B15">
              <w:rPr>
                <w:rFonts w:eastAsia="Calibri" w:cs="Times New Roman"/>
                <w:color w:val="000000"/>
                <w:szCs w:val="24"/>
              </w:rPr>
              <w:lastRenderedPageBreak/>
              <w:t xml:space="preserve">vegetables, or milk. </w:t>
            </w:r>
          </w:p>
          <w:p w14:paraId="242DE4B1" w14:textId="77777777" w:rsidR="00214907" w:rsidRPr="00001A14" w:rsidRDefault="00214907" w:rsidP="002D6DD7">
            <w:pPr>
              <w:autoSpaceDE w:val="0"/>
              <w:autoSpaceDN w:val="0"/>
              <w:adjustRightInd w:val="0"/>
              <w:jc w:val="both"/>
              <w:rPr>
                <w:rFonts w:eastAsia="Calibri" w:cs="Times New Roman"/>
                <w:i/>
                <w:color w:val="000000"/>
                <w:szCs w:val="24"/>
              </w:rPr>
            </w:pPr>
            <w:r w:rsidRPr="00001A14">
              <w:rPr>
                <w:rFonts w:eastAsia="Calibri" w:cs="Times New Roman"/>
                <w:i/>
                <w:color w:val="000000"/>
                <w:szCs w:val="24"/>
              </w:rPr>
              <w:t>Note: it should not be cooked, as high temperatures can destroy some of the nutrients.</w:t>
            </w:r>
          </w:p>
        </w:tc>
      </w:tr>
      <w:tr w:rsidR="00214907" w:rsidRPr="00944B15" w14:paraId="3C798B3C" w14:textId="77777777" w:rsidTr="002D6DD7">
        <w:trPr>
          <w:jc w:val="center"/>
        </w:trPr>
        <w:tc>
          <w:tcPr>
            <w:tcW w:w="2695" w:type="dxa"/>
            <w:hideMark/>
          </w:tcPr>
          <w:p w14:paraId="35B43DFC"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845" w:type="dxa"/>
          </w:tcPr>
          <w:p w14:paraId="5EBAB9DF" w14:textId="77777777" w:rsidR="00214907" w:rsidRPr="00944B15" w:rsidRDefault="00214907" w:rsidP="002D6DD7">
            <w:pPr>
              <w:contextualSpacing/>
              <w:jc w:val="both"/>
              <w:rPr>
                <w:rFonts w:eastAsia="Times New Roman" w:cs="Times New Roman"/>
                <w:color w:val="000000"/>
                <w:szCs w:val="24"/>
              </w:rPr>
            </w:pPr>
            <w:r w:rsidRPr="00944B15">
              <w:rPr>
                <w:rFonts w:eastAsia="Times New Roman" w:cs="Times New Roman"/>
                <w:color w:val="000000"/>
                <w:szCs w:val="24"/>
              </w:rPr>
              <w:t xml:space="preserve">Individuals with known allergies to any of the components of the MNP </w:t>
            </w:r>
          </w:p>
        </w:tc>
      </w:tr>
      <w:tr w:rsidR="00214907" w:rsidRPr="00944B15" w14:paraId="0F959BE7" w14:textId="77777777" w:rsidTr="002D6DD7">
        <w:trPr>
          <w:jc w:val="center"/>
        </w:trPr>
        <w:tc>
          <w:tcPr>
            <w:tcW w:w="2695" w:type="dxa"/>
            <w:hideMark/>
          </w:tcPr>
          <w:p w14:paraId="1DDF53DE"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845" w:type="dxa"/>
          </w:tcPr>
          <w:p w14:paraId="1BA121AD" w14:textId="77777777" w:rsidR="00214907" w:rsidRPr="00944B15" w:rsidRDefault="00214907" w:rsidP="002D6DD7">
            <w:pPr>
              <w:rPr>
                <w:rFonts w:eastAsia="Times New Roman" w:cs="Times New Roman"/>
                <w:color w:val="000000" w:themeColor="text1"/>
                <w:szCs w:val="24"/>
              </w:rPr>
            </w:pPr>
            <w:r w:rsidRPr="00944B15">
              <w:rPr>
                <w:rFonts w:eastAsia="Times New Roman" w:cs="Times New Roman"/>
                <w:color w:val="000000" w:themeColor="text1"/>
                <w:szCs w:val="24"/>
              </w:rPr>
              <w:t xml:space="preserve">Refer drug interactions under each vitamin and minerals </w:t>
            </w:r>
          </w:p>
        </w:tc>
      </w:tr>
      <w:tr w:rsidR="00214907" w:rsidRPr="00944B15" w14:paraId="57C13284" w14:textId="77777777" w:rsidTr="002D6DD7">
        <w:trPr>
          <w:jc w:val="center"/>
        </w:trPr>
        <w:tc>
          <w:tcPr>
            <w:tcW w:w="2695" w:type="dxa"/>
            <w:hideMark/>
          </w:tcPr>
          <w:p w14:paraId="798AAD47"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845" w:type="dxa"/>
          </w:tcPr>
          <w:p w14:paraId="58267E1E"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Abdominal discomfort</w:t>
            </w:r>
          </w:p>
        </w:tc>
      </w:tr>
      <w:tr w:rsidR="00214907" w:rsidRPr="00944B15" w14:paraId="057032D3" w14:textId="77777777" w:rsidTr="002D6DD7">
        <w:trPr>
          <w:jc w:val="center"/>
        </w:trPr>
        <w:tc>
          <w:tcPr>
            <w:tcW w:w="2695" w:type="dxa"/>
            <w:hideMark/>
          </w:tcPr>
          <w:p w14:paraId="29BBE831"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845" w:type="dxa"/>
          </w:tcPr>
          <w:p w14:paraId="28C76B68" w14:textId="77777777" w:rsidR="00214907" w:rsidRPr="00944B15" w:rsidRDefault="00214907" w:rsidP="002D6DD7">
            <w:pPr>
              <w:jc w:val="both"/>
              <w:rPr>
                <w:rFonts w:eastAsia="Times New Roman" w:cs="Times New Roman"/>
                <w:color w:val="000000"/>
                <w:szCs w:val="24"/>
              </w:rPr>
            </w:pPr>
            <w:r>
              <w:rPr>
                <w:rFonts w:eastAsia="Times New Roman" w:cs="Times New Roman"/>
                <w:color w:val="000000"/>
                <w:szCs w:val="24"/>
              </w:rPr>
              <w:t>Kidney disease, liver disease, hemochromatosis, thyroid disorders, mal-absorption disorders, pregnancy and b</w:t>
            </w:r>
            <w:r w:rsidRPr="00944B15">
              <w:rPr>
                <w:rFonts w:eastAsia="Times New Roman" w:cs="Times New Roman"/>
                <w:color w:val="000000"/>
                <w:szCs w:val="24"/>
              </w:rPr>
              <w:t>reastfeeding</w:t>
            </w:r>
          </w:p>
        </w:tc>
      </w:tr>
      <w:tr w:rsidR="00214907" w:rsidRPr="00944B15" w14:paraId="283FC17B" w14:textId="77777777" w:rsidTr="002D6DD7">
        <w:trPr>
          <w:jc w:val="center"/>
        </w:trPr>
        <w:tc>
          <w:tcPr>
            <w:tcW w:w="2695" w:type="dxa"/>
            <w:hideMark/>
          </w:tcPr>
          <w:p w14:paraId="3C5A8B6A" w14:textId="77777777" w:rsidR="00214907" w:rsidRPr="00944B15" w:rsidRDefault="00214907"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845" w:type="dxa"/>
          </w:tcPr>
          <w:p w14:paraId="78A33546" w14:textId="77777777" w:rsidR="00214907" w:rsidRPr="00944B15" w:rsidRDefault="00214907" w:rsidP="002D6DD7">
            <w:pPr>
              <w:jc w:val="both"/>
              <w:rPr>
                <w:rFonts w:eastAsia="Times New Roman" w:cs="Times New Roman"/>
                <w:color w:val="000000"/>
                <w:szCs w:val="24"/>
              </w:rPr>
            </w:pPr>
            <w:r w:rsidRPr="00944B15">
              <w:rPr>
                <w:rFonts w:cs="Times New Roman"/>
                <w:szCs w:val="24"/>
              </w:rPr>
              <w:t xml:space="preserve">Store </w:t>
            </w:r>
            <w:r>
              <w:rPr>
                <w:rFonts w:cs="Times New Roman"/>
                <w:szCs w:val="24"/>
              </w:rPr>
              <w:t>between 30°C. Protect from l</w:t>
            </w:r>
            <w:r w:rsidRPr="00944B15">
              <w:rPr>
                <w:rFonts w:cs="Times New Roman"/>
                <w:szCs w:val="24"/>
              </w:rPr>
              <w:t>ight.</w:t>
            </w:r>
          </w:p>
        </w:tc>
      </w:tr>
      <w:tr w:rsidR="00214907" w:rsidRPr="00944B15" w14:paraId="42F36BC9" w14:textId="77777777" w:rsidTr="002D6DD7">
        <w:trPr>
          <w:jc w:val="center"/>
        </w:trPr>
        <w:tc>
          <w:tcPr>
            <w:tcW w:w="9540" w:type="dxa"/>
            <w:gridSpan w:val="2"/>
          </w:tcPr>
          <w:p w14:paraId="30EE59AF" w14:textId="77777777" w:rsidR="00214907" w:rsidRPr="00944B15" w:rsidRDefault="00214907" w:rsidP="002D6DD7">
            <w:pPr>
              <w:jc w:val="both"/>
              <w:rPr>
                <w:rFonts w:eastAsia="Times New Roman" w:cs="Times New Roman"/>
                <w:b/>
                <w:color w:val="000000"/>
                <w:szCs w:val="24"/>
              </w:rPr>
            </w:pPr>
            <w:r>
              <w:rPr>
                <w:rFonts w:eastAsia="Times New Roman" w:cs="Times New Roman"/>
                <w:b/>
                <w:color w:val="000000"/>
                <w:szCs w:val="24"/>
              </w:rPr>
              <w:t>Zinc s</w:t>
            </w:r>
            <w:r w:rsidRPr="00944B15">
              <w:rPr>
                <w:rFonts w:eastAsia="Times New Roman" w:cs="Times New Roman"/>
                <w:b/>
                <w:color w:val="000000"/>
                <w:szCs w:val="24"/>
              </w:rPr>
              <w:t>ulphate</w:t>
            </w:r>
          </w:p>
        </w:tc>
      </w:tr>
      <w:tr w:rsidR="00214907" w:rsidRPr="00944B15" w14:paraId="6A492ECB" w14:textId="77777777" w:rsidTr="002D6DD7">
        <w:trPr>
          <w:jc w:val="center"/>
        </w:trPr>
        <w:tc>
          <w:tcPr>
            <w:tcW w:w="2695" w:type="dxa"/>
          </w:tcPr>
          <w:p w14:paraId="0F7AD65D"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Pharmacologic class</w:t>
            </w:r>
          </w:p>
        </w:tc>
        <w:tc>
          <w:tcPr>
            <w:tcW w:w="6845" w:type="dxa"/>
          </w:tcPr>
          <w:p w14:paraId="767E672D" w14:textId="77777777" w:rsidR="00214907" w:rsidRPr="00944B15" w:rsidRDefault="00214907" w:rsidP="002D6DD7">
            <w:pPr>
              <w:rPr>
                <w:rFonts w:cs="Times New Roman"/>
                <w:szCs w:val="24"/>
              </w:rPr>
            </w:pPr>
            <w:r w:rsidRPr="00944B15">
              <w:rPr>
                <w:rFonts w:cs="Times New Roman"/>
                <w:szCs w:val="24"/>
              </w:rPr>
              <w:t>Mineral</w:t>
            </w:r>
          </w:p>
        </w:tc>
      </w:tr>
      <w:tr w:rsidR="00214907" w:rsidRPr="00944B15" w14:paraId="426C8B70" w14:textId="77777777" w:rsidTr="002D6DD7">
        <w:trPr>
          <w:jc w:val="center"/>
        </w:trPr>
        <w:tc>
          <w:tcPr>
            <w:tcW w:w="2695" w:type="dxa"/>
          </w:tcPr>
          <w:p w14:paraId="14950EEB"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Dosage form</w:t>
            </w:r>
          </w:p>
        </w:tc>
        <w:tc>
          <w:tcPr>
            <w:tcW w:w="6845" w:type="dxa"/>
          </w:tcPr>
          <w:p w14:paraId="356A19CD" w14:textId="77777777" w:rsidR="00214907" w:rsidRPr="00944B15" w:rsidRDefault="00214907" w:rsidP="002D6DD7">
            <w:pPr>
              <w:rPr>
                <w:rFonts w:cs="Times New Roman"/>
                <w:szCs w:val="24"/>
              </w:rPr>
            </w:pPr>
            <w:r w:rsidRPr="00944B15">
              <w:rPr>
                <w:rFonts w:cs="Times New Roman"/>
                <w:szCs w:val="24"/>
              </w:rPr>
              <w:t>Tablet: 20 mg</w:t>
            </w:r>
          </w:p>
        </w:tc>
      </w:tr>
      <w:tr w:rsidR="00214907" w:rsidRPr="00944B15" w14:paraId="610E74BB" w14:textId="77777777" w:rsidTr="002D6DD7">
        <w:trPr>
          <w:jc w:val="center"/>
        </w:trPr>
        <w:tc>
          <w:tcPr>
            <w:tcW w:w="2695" w:type="dxa"/>
          </w:tcPr>
          <w:p w14:paraId="592E29D8"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Indications</w:t>
            </w:r>
          </w:p>
        </w:tc>
        <w:tc>
          <w:tcPr>
            <w:tcW w:w="6845" w:type="dxa"/>
          </w:tcPr>
          <w:p w14:paraId="5B081B5C" w14:textId="77777777" w:rsidR="00214907" w:rsidRPr="00944B15" w:rsidRDefault="00214907" w:rsidP="002D6DD7">
            <w:pPr>
              <w:rPr>
                <w:rFonts w:cs="Times New Roman"/>
                <w:szCs w:val="24"/>
              </w:rPr>
            </w:pPr>
            <w:r>
              <w:rPr>
                <w:rFonts w:cs="Times New Roman"/>
                <w:szCs w:val="24"/>
              </w:rPr>
              <w:t>Zinc deficiency, prevention of diarrhea in i</w:t>
            </w:r>
            <w:r w:rsidRPr="00944B15">
              <w:rPr>
                <w:rFonts w:cs="Times New Roman"/>
                <w:szCs w:val="24"/>
              </w:rPr>
              <w:t>nfants</w:t>
            </w:r>
          </w:p>
        </w:tc>
      </w:tr>
      <w:tr w:rsidR="00214907" w:rsidRPr="00944B15" w14:paraId="20CB1EEB" w14:textId="77777777" w:rsidTr="002D6DD7">
        <w:trPr>
          <w:jc w:val="center"/>
        </w:trPr>
        <w:tc>
          <w:tcPr>
            <w:tcW w:w="2695" w:type="dxa"/>
          </w:tcPr>
          <w:p w14:paraId="02A121BF" w14:textId="77777777" w:rsidR="00214907" w:rsidRPr="00944B15" w:rsidRDefault="00214907" w:rsidP="002D6DD7">
            <w:pPr>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845" w:type="dxa"/>
          </w:tcPr>
          <w:p w14:paraId="7A9860DE" w14:textId="77777777" w:rsidR="00214907" w:rsidRPr="00944B15" w:rsidRDefault="00214907" w:rsidP="002D6DD7">
            <w:pPr>
              <w:rPr>
                <w:rFonts w:cs="Times New Roman"/>
                <w:b/>
                <w:szCs w:val="24"/>
              </w:rPr>
            </w:pPr>
            <w:r w:rsidRPr="00944B15">
              <w:rPr>
                <w:rFonts w:cs="Times New Roman"/>
                <w:b/>
                <w:szCs w:val="24"/>
              </w:rPr>
              <w:t>Adult</w:t>
            </w:r>
          </w:p>
          <w:p w14:paraId="42C9259A" w14:textId="77777777" w:rsidR="00214907" w:rsidRPr="00944B15" w:rsidRDefault="00214907" w:rsidP="002D6DD7">
            <w:pPr>
              <w:rPr>
                <w:rFonts w:cs="Times New Roman"/>
                <w:szCs w:val="24"/>
              </w:rPr>
            </w:pPr>
            <w:r>
              <w:rPr>
                <w:rFonts w:cs="Times New Roman"/>
                <w:b/>
                <w:szCs w:val="24"/>
              </w:rPr>
              <w:t>Mild z</w:t>
            </w:r>
            <w:r w:rsidRPr="00944B15">
              <w:rPr>
                <w:rFonts w:cs="Times New Roman"/>
                <w:b/>
                <w:szCs w:val="24"/>
              </w:rPr>
              <w:t>inc deficiency</w:t>
            </w:r>
            <w:r w:rsidRPr="00944B15">
              <w:rPr>
                <w:rFonts w:cs="Times New Roman"/>
                <w:szCs w:val="24"/>
              </w:rPr>
              <w:t xml:space="preserve">, </w:t>
            </w:r>
            <w:r w:rsidRPr="00944B15">
              <w:rPr>
                <w:rFonts w:cs="Times New Roman"/>
                <w:b/>
                <w:szCs w:val="24"/>
              </w:rPr>
              <w:t>oral</w:t>
            </w:r>
            <w:r w:rsidRPr="00944B15">
              <w:rPr>
                <w:rFonts w:cs="Times New Roman"/>
                <w:szCs w:val="24"/>
              </w:rPr>
              <w:t>: two to three times the RDA of zinc for 6 months.</w:t>
            </w:r>
          </w:p>
          <w:p w14:paraId="39B46694" w14:textId="77777777" w:rsidR="00214907" w:rsidRPr="00944B15" w:rsidRDefault="00214907" w:rsidP="002D6DD7">
            <w:pPr>
              <w:rPr>
                <w:rFonts w:cs="Times New Roman"/>
                <w:szCs w:val="24"/>
              </w:rPr>
            </w:pPr>
            <w:r>
              <w:rPr>
                <w:rFonts w:cs="Times New Roman"/>
                <w:b/>
                <w:szCs w:val="24"/>
              </w:rPr>
              <w:t>Moderate to severe deficiency z</w:t>
            </w:r>
            <w:r w:rsidRPr="00944B15">
              <w:rPr>
                <w:rFonts w:cs="Times New Roman"/>
                <w:b/>
                <w:szCs w:val="24"/>
              </w:rPr>
              <w:t>inc deficiency</w:t>
            </w:r>
            <w:r w:rsidRPr="00944B15">
              <w:rPr>
                <w:rFonts w:cs="Times New Roman"/>
                <w:szCs w:val="24"/>
              </w:rPr>
              <w:t xml:space="preserve">, </w:t>
            </w:r>
            <w:r w:rsidRPr="00944B15">
              <w:rPr>
                <w:rFonts w:cs="Times New Roman"/>
                <w:b/>
                <w:szCs w:val="24"/>
              </w:rPr>
              <w:t>oral</w:t>
            </w:r>
            <w:r w:rsidRPr="00944B15">
              <w:rPr>
                <w:rFonts w:cs="Times New Roman"/>
                <w:szCs w:val="24"/>
              </w:rPr>
              <w:t>: four to five times the RDA for 6 months.</w:t>
            </w:r>
          </w:p>
          <w:p w14:paraId="58D0093E" w14:textId="77777777" w:rsidR="00214907" w:rsidRPr="004D3462" w:rsidRDefault="00214907" w:rsidP="002D6DD7">
            <w:pPr>
              <w:jc w:val="both"/>
              <w:rPr>
                <w:rFonts w:cs="Times New Roman"/>
                <w:szCs w:val="24"/>
              </w:rPr>
            </w:pPr>
            <w:r w:rsidRPr="004D3462">
              <w:rPr>
                <w:rFonts w:cs="Times New Roman"/>
                <w:b/>
                <w:szCs w:val="24"/>
              </w:rPr>
              <w:t xml:space="preserve">For diarrhea: </w:t>
            </w:r>
            <w:r w:rsidRPr="004D3462">
              <w:rPr>
                <w:rFonts w:cs="Times New Roman"/>
                <w:szCs w:val="24"/>
              </w:rPr>
              <w:t>to prevent diarrhea in infants</w:t>
            </w:r>
          </w:p>
          <w:p w14:paraId="3FFF6252" w14:textId="77777777" w:rsidR="00214907" w:rsidRPr="004D3462" w:rsidRDefault="00214907" w:rsidP="002D6DD7">
            <w:pPr>
              <w:jc w:val="both"/>
              <w:rPr>
                <w:rFonts w:cs="Times New Roman"/>
                <w:szCs w:val="24"/>
              </w:rPr>
            </w:pPr>
            <w:r w:rsidRPr="004D3462">
              <w:rPr>
                <w:rFonts w:cs="Times New Roman"/>
                <w:szCs w:val="24"/>
              </w:rPr>
              <w:t>Pregnant women</w:t>
            </w:r>
            <w:r>
              <w:rPr>
                <w:rFonts w:cs="Times New Roman"/>
                <w:szCs w:val="24"/>
              </w:rPr>
              <w:t xml:space="preserve"> </w:t>
            </w:r>
            <w:r w:rsidRPr="004D3462">
              <w:rPr>
                <w:rFonts w:cs="Times New Roman"/>
                <w:szCs w:val="24"/>
              </w:rPr>
              <w:t>have used 15 mg of zinc, 15 mg of zinc, with or without 60 mg of iron and 250 micrograms of folic acid, starting 10–24 weeks into pregnancy through one month after giving birth.</w:t>
            </w:r>
          </w:p>
          <w:p w14:paraId="436BB29D" w14:textId="77777777" w:rsidR="00214907" w:rsidRDefault="00214907" w:rsidP="002D6DD7">
            <w:pPr>
              <w:rPr>
                <w:rFonts w:cs="Times New Roman"/>
                <w:szCs w:val="24"/>
              </w:rPr>
            </w:pPr>
            <w:r w:rsidRPr="00944B15">
              <w:rPr>
                <w:rFonts w:cs="Times New Roman"/>
                <w:b/>
                <w:szCs w:val="24"/>
              </w:rPr>
              <w:t>Adult RDA</w:t>
            </w:r>
            <w:r w:rsidRPr="00944B15">
              <w:rPr>
                <w:rFonts w:cs="Times New Roman"/>
                <w:szCs w:val="24"/>
              </w:rPr>
              <w:t xml:space="preserve">: 8- 12 mg/day; </w:t>
            </w:r>
          </w:p>
          <w:p w14:paraId="15B00E2D" w14:textId="77777777" w:rsidR="00214907" w:rsidRDefault="00214907" w:rsidP="002D6DD7">
            <w:pPr>
              <w:rPr>
                <w:rFonts w:cs="Times New Roman"/>
                <w:szCs w:val="24"/>
              </w:rPr>
            </w:pPr>
            <w:r>
              <w:rPr>
                <w:rFonts w:cs="Times New Roman"/>
                <w:b/>
                <w:szCs w:val="24"/>
              </w:rPr>
              <w:t>child</w:t>
            </w:r>
            <w:r w:rsidRPr="00944B15">
              <w:rPr>
                <w:rFonts w:cs="Times New Roman"/>
                <w:b/>
                <w:szCs w:val="24"/>
              </w:rPr>
              <w:t xml:space="preserve"> RDA</w:t>
            </w:r>
            <w:r>
              <w:rPr>
                <w:rFonts w:cs="Times New Roman"/>
                <w:szCs w:val="24"/>
              </w:rPr>
              <w:t>: 2 - 11 mg/day</w:t>
            </w:r>
          </w:p>
          <w:p w14:paraId="1E1C7F5C" w14:textId="77777777" w:rsidR="00214907" w:rsidRPr="009A168D" w:rsidRDefault="00214907" w:rsidP="002D6DD7">
            <w:pPr>
              <w:rPr>
                <w:rFonts w:cs="Times New Roman"/>
                <w:b/>
                <w:szCs w:val="24"/>
              </w:rPr>
            </w:pPr>
            <w:r w:rsidRPr="009A168D">
              <w:rPr>
                <w:rFonts w:cs="Times New Roman"/>
                <w:b/>
                <w:szCs w:val="24"/>
              </w:rPr>
              <w:t>Pediatrics</w:t>
            </w:r>
            <w:r>
              <w:rPr>
                <w:rFonts w:cs="Times New Roman"/>
                <w:b/>
                <w:szCs w:val="24"/>
              </w:rPr>
              <w:t>:</w:t>
            </w:r>
          </w:p>
          <w:p w14:paraId="464EA9F0" w14:textId="77777777" w:rsidR="00214907" w:rsidRPr="00944B15" w:rsidRDefault="00214907" w:rsidP="002D6DD7">
            <w:pPr>
              <w:rPr>
                <w:rFonts w:cs="Times New Roman"/>
                <w:szCs w:val="24"/>
              </w:rPr>
            </w:pPr>
            <w:r w:rsidRPr="00944B15">
              <w:rPr>
                <w:rFonts w:cs="Times New Roman"/>
                <w:b/>
                <w:szCs w:val="24"/>
              </w:rPr>
              <w:t>Ad</w:t>
            </w:r>
            <w:r>
              <w:rPr>
                <w:rFonts w:cs="Times New Roman"/>
                <w:b/>
                <w:szCs w:val="24"/>
              </w:rPr>
              <w:t>junct in management of diarrhea;</w:t>
            </w:r>
            <w:r w:rsidRPr="00151CCE">
              <w:rPr>
                <w:rFonts w:cs="Times New Roman"/>
                <w:szCs w:val="24"/>
              </w:rPr>
              <w:t xml:space="preserve"> oral</w:t>
            </w:r>
          </w:p>
          <w:p w14:paraId="52DA3AE5" w14:textId="77777777" w:rsidR="00214907" w:rsidRPr="00944B15" w:rsidRDefault="00214907" w:rsidP="002D6DD7">
            <w:pPr>
              <w:rPr>
                <w:rFonts w:cs="Times New Roman"/>
                <w:szCs w:val="24"/>
              </w:rPr>
            </w:pPr>
            <w:r w:rsidRPr="00944B15">
              <w:rPr>
                <w:rFonts w:cs="Times New Roman"/>
                <w:szCs w:val="24"/>
              </w:rPr>
              <w:t>Infant under 6 months: 10 mg (elemental zinc) daily for 10–14 days,</w:t>
            </w:r>
          </w:p>
          <w:p w14:paraId="191253D0" w14:textId="77777777" w:rsidR="00214907" w:rsidRPr="00944B15" w:rsidRDefault="00214907" w:rsidP="002D6DD7">
            <w:pPr>
              <w:rPr>
                <w:rFonts w:cs="Times New Roman"/>
                <w:szCs w:val="24"/>
              </w:rPr>
            </w:pPr>
            <w:r w:rsidRPr="00944B15">
              <w:rPr>
                <w:rFonts w:cs="Times New Roman"/>
                <w:szCs w:val="24"/>
              </w:rPr>
              <w:t>Child 6 months–5 years: 20 mg (elemental zinc) daily for 10–14 days.</w:t>
            </w:r>
          </w:p>
          <w:p w14:paraId="6F260643" w14:textId="77777777" w:rsidR="00214907" w:rsidRPr="00AE515E" w:rsidRDefault="00214907" w:rsidP="002D6DD7">
            <w:pPr>
              <w:jc w:val="both"/>
              <w:rPr>
                <w:rFonts w:cs="Times New Roman"/>
                <w:i/>
                <w:szCs w:val="24"/>
              </w:rPr>
            </w:pPr>
            <w:r w:rsidRPr="00AE515E">
              <w:rPr>
                <w:rFonts w:cs="Times New Roman"/>
                <w:b/>
                <w:i/>
                <w:szCs w:val="24"/>
              </w:rPr>
              <w:t xml:space="preserve">Note: </w:t>
            </w:r>
            <w:r w:rsidRPr="00AE515E">
              <w:rPr>
                <w:rFonts w:cs="Times New Roman"/>
                <w:i/>
                <w:szCs w:val="24"/>
              </w:rPr>
              <w:t xml:space="preserve">Zinc sulphate tablets may be dispersed in breast milk, in oral </w:t>
            </w:r>
            <w:r w:rsidRPr="00AE515E">
              <w:rPr>
                <w:rFonts w:cs="Times New Roman"/>
                <w:i/>
                <w:szCs w:val="24"/>
              </w:rPr>
              <w:lastRenderedPageBreak/>
              <w:t>rehydration solution, or in water on a small spoon; older children may chew the tablets or swallow them with water.</w:t>
            </w:r>
          </w:p>
        </w:tc>
      </w:tr>
      <w:tr w:rsidR="00214907" w:rsidRPr="00944B15" w14:paraId="633632DC" w14:textId="77777777" w:rsidTr="002D6DD7">
        <w:trPr>
          <w:jc w:val="center"/>
        </w:trPr>
        <w:tc>
          <w:tcPr>
            <w:tcW w:w="2695" w:type="dxa"/>
          </w:tcPr>
          <w:p w14:paraId="2B6DEA79" w14:textId="77777777" w:rsidR="00214907" w:rsidRPr="00944B15" w:rsidRDefault="00214907" w:rsidP="002D6DD7">
            <w:pPr>
              <w:rPr>
                <w:rFonts w:eastAsia="Times New Roman" w:cs="Times New Roman"/>
                <w:bCs/>
                <w:color w:val="000000"/>
                <w:szCs w:val="24"/>
              </w:rPr>
            </w:pPr>
            <w:r w:rsidRPr="00944B15">
              <w:rPr>
                <w:rFonts w:eastAsia="Times New Roman" w:cs="Times New Roman"/>
                <w:bCs/>
                <w:color w:val="000000"/>
                <w:szCs w:val="24"/>
              </w:rPr>
              <w:lastRenderedPageBreak/>
              <w:t>Contraindication</w:t>
            </w:r>
          </w:p>
        </w:tc>
        <w:tc>
          <w:tcPr>
            <w:tcW w:w="6845" w:type="dxa"/>
          </w:tcPr>
          <w:p w14:paraId="32C8FA47" w14:textId="77777777" w:rsidR="00214907" w:rsidRPr="00944B15" w:rsidRDefault="00214907" w:rsidP="002D6DD7">
            <w:pPr>
              <w:rPr>
                <w:rFonts w:eastAsia="Times New Roman" w:cs="Times New Roman"/>
                <w:bCs/>
                <w:color w:val="000000" w:themeColor="text1"/>
                <w:szCs w:val="24"/>
              </w:rPr>
            </w:pPr>
            <w:r>
              <w:rPr>
                <w:rFonts w:eastAsia="Times New Roman" w:cs="Times New Roman"/>
                <w:bCs/>
                <w:color w:val="000000" w:themeColor="text1"/>
                <w:szCs w:val="24"/>
              </w:rPr>
              <w:t>Hypersensitivity</w:t>
            </w:r>
            <w:r w:rsidRPr="00944B15">
              <w:rPr>
                <w:rFonts w:eastAsia="Times New Roman" w:cs="Times New Roman"/>
                <w:bCs/>
                <w:color w:val="000000" w:themeColor="text1"/>
                <w:szCs w:val="24"/>
              </w:rPr>
              <w:t xml:space="preserve"> to</w:t>
            </w:r>
            <w:r>
              <w:rPr>
                <w:rFonts w:eastAsia="Times New Roman" w:cs="Times New Roman"/>
                <w:bCs/>
                <w:color w:val="000000" w:themeColor="text1"/>
                <w:szCs w:val="24"/>
              </w:rPr>
              <w:t xml:space="preserve"> the drug</w:t>
            </w:r>
          </w:p>
        </w:tc>
      </w:tr>
      <w:tr w:rsidR="00214907" w:rsidRPr="00944B15" w14:paraId="7C810BE6" w14:textId="77777777" w:rsidTr="002D6DD7">
        <w:trPr>
          <w:jc w:val="center"/>
        </w:trPr>
        <w:tc>
          <w:tcPr>
            <w:tcW w:w="2695" w:type="dxa"/>
          </w:tcPr>
          <w:p w14:paraId="3149FD30" w14:textId="77777777" w:rsidR="00214907" w:rsidRPr="00944B15" w:rsidRDefault="00214907" w:rsidP="002D6DD7">
            <w:pPr>
              <w:rPr>
                <w:rFonts w:eastAsia="Times New Roman" w:cs="Times New Roman"/>
                <w:bCs/>
                <w:color w:val="000000"/>
                <w:szCs w:val="24"/>
              </w:rPr>
            </w:pPr>
            <w:r w:rsidRPr="00944B15">
              <w:rPr>
                <w:rFonts w:eastAsia="Times New Roman" w:cs="Times New Roman"/>
                <w:bCs/>
                <w:color w:val="000000"/>
                <w:szCs w:val="24"/>
              </w:rPr>
              <w:t>Precautions</w:t>
            </w:r>
          </w:p>
        </w:tc>
        <w:tc>
          <w:tcPr>
            <w:tcW w:w="6845" w:type="dxa"/>
          </w:tcPr>
          <w:p w14:paraId="7E82D70D" w14:textId="77777777" w:rsidR="00214907" w:rsidRPr="00944B15" w:rsidRDefault="00214907" w:rsidP="002D6DD7">
            <w:pPr>
              <w:rPr>
                <w:rFonts w:eastAsia="Times New Roman" w:cs="Times New Roman"/>
                <w:bCs/>
                <w:color w:val="000000" w:themeColor="text1"/>
                <w:szCs w:val="24"/>
              </w:rPr>
            </w:pPr>
            <w:r>
              <w:rPr>
                <w:rFonts w:eastAsia="Times New Roman" w:cs="Times New Roman"/>
                <w:bCs/>
                <w:color w:val="000000" w:themeColor="text1"/>
                <w:szCs w:val="24"/>
              </w:rPr>
              <w:t>Renal impairment, p</w:t>
            </w:r>
            <w:r w:rsidRPr="00944B15">
              <w:rPr>
                <w:rFonts w:eastAsia="Times New Roman" w:cs="Times New Roman"/>
                <w:bCs/>
                <w:color w:val="000000" w:themeColor="text1"/>
                <w:szCs w:val="24"/>
              </w:rPr>
              <w:t>regnancy, copper deficiency</w:t>
            </w:r>
          </w:p>
        </w:tc>
      </w:tr>
      <w:tr w:rsidR="00214907" w:rsidRPr="00944B15" w14:paraId="54E113B3" w14:textId="77777777" w:rsidTr="002D6DD7">
        <w:trPr>
          <w:jc w:val="center"/>
        </w:trPr>
        <w:tc>
          <w:tcPr>
            <w:tcW w:w="2695" w:type="dxa"/>
          </w:tcPr>
          <w:p w14:paraId="7DB27242" w14:textId="77777777" w:rsidR="00214907" w:rsidRPr="00944B15" w:rsidRDefault="00214907" w:rsidP="002D6DD7">
            <w:pPr>
              <w:rPr>
                <w:rFonts w:eastAsia="Times New Roman" w:cs="Times New Roman"/>
                <w:bCs/>
                <w:color w:val="000000"/>
                <w:szCs w:val="24"/>
              </w:rPr>
            </w:pPr>
            <w:r w:rsidRPr="00944B15">
              <w:rPr>
                <w:rFonts w:eastAsia="Times New Roman" w:cs="Times New Roman"/>
                <w:bCs/>
                <w:color w:val="000000"/>
                <w:szCs w:val="24"/>
              </w:rPr>
              <w:t>Side effects</w:t>
            </w:r>
          </w:p>
        </w:tc>
        <w:tc>
          <w:tcPr>
            <w:tcW w:w="6845" w:type="dxa"/>
          </w:tcPr>
          <w:p w14:paraId="41D649FC" w14:textId="77777777" w:rsidR="00214907" w:rsidRPr="00944B15" w:rsidRDefault="00214907" w:rsidP="002D6DD7">
            <w:pPr>
              <w:rPr>
                <w:rFonts w:eastAsia="Times New Roman" w:cs="Times New Roman"/>
                <w:bCs/>
                <w:color w:val="000000" w:themeColor="text1"/>
                <w:szCs w:val="24"/>
              </w:rPr>
            </w:pPr>
            <w:r w:rsidRPr="00944B15">
              <w:rPr>
                <w:rFonts w:eastAsia="Times New Roman" w:cs="Times New Roman"/>
                <w:bCs/>
                <w:color w:val="000000" w:themeColor="text1"/>
                <w:szCs w:val="24"/>
              </w:rPr>
              <w:t>Abdominal pain, dyspepsia, nausea, vomiting, diarrhoea, gastric irritation, gastritis, irritability, headache, lethargy.</w:t>
            </w:r>
          </w:p>
        </w:tc>
      </w:tr>
      <w:tr w:rsidR="00214907" w:rsidRPr="00944B15" w14:paraId="569BD7CA" w14:textId="77777777" w:rsidTr="002D6DD7">
        <w:trPr>
          <w:jc w:val="center"/>
        </w:trPr>
        <w:tc>
          <w:tcPr>
            <w:tcW w:w="2695" w:type="dxa"/>
          </w:tcPr>
          <w:p w14:paraId="59BD9AFC" w14:textId="77777777" w:rsidR="00214907" w:rsidRPr="00944B15" w:rsidRDefault="00214907" w:rsidP="002D6DD7">
            <w:pPr>
              <w:rPr>
                <w:rFonts w:eastAsia="Times New Roman" w:cs="Times New Roman"/>
                <w:bCs/>
                <w:color w:val="000000"/>
                <w:szCs w:val="24"/>
              </w:rPr>
            </w:pPr>
            <w:r w:rsidRPr="00944B15">
              <w:rPr>
                <w:rFonts w:eastAsia="Times New Roman" w:cs="Times New Roman"/>
                <w:bCs/>
                <w:color w:val="000000"/>
                <w:szCs w:val="24"/>
              </w:rPr>
              <w:t>Interactions</w:t>
            </w:r>
          </w:p>
        </w:tc>
        <w:tc>
          <w:tcPr>
            <w:tcW w:w="6845" w:type="dxa"/>
          </w:tcPr>
          <w:p w14:paraId="59EF9108" w14:textId="77777777" w:rsidR="00214907" w:rsidRPr="00944B15" w:rsidRDefault="00214907" w:rsidP="002D6DD7">
            <w:pPr>
              <w:rPr>
                <w:rFonts w:eastAsia="Times New Roman" w:cs="Times New Roman"/>
                <w:bCs/>
                <w:color w:val="000000" w:themeColor="text1"/>
                <w:szCs w:val="24"/>
              </w:rPr>
            </w:pPr>
            <w:r w:rsidRPr="00944B15">
              <w:rPr>
                <w:rFonts w:eastAsia="Times New Roman" w:cs="Times New Roman"/>
                <w:bCs/>
                <w:color w:val="000000" w:themeColor="text1"/>
                <w:szCs w:val="24"/>
              </w:rPr>
              <w:t>Tetracycline, Quinolone antibacterials, Calcium Salts, Iron, Penicillamine, bisphosphonates, diets high in phytates</w:t>
            </w:r>
          </w:p>
        </w:tc>
      </w:tr>
      <w:tr w:rsidR="00214907" w:rsidRPr="00944B15" w14:paraId="674BB5A3" w14:textId="77777777" w:rsidTr="002D6DD7">
        <w:trPr>
          <w:jc w:val="center"/>
        </w:trPr>
        <w:tc>
          <w:tcPr>
            <w:tcW w:w="2695" w:type="dxa"/>
          </w:tcPr>
          <w:p w14:paraId="33B25233" w14:textId="77777777" w:rsidR="00214907" w:rsidRPr="00944B15" w:rsidRDefault="00214907" w:rsidP="002D6DD7">
            <w:pPr>
              <w:rPr>
                <w:rFonts w:eastAsia="Times New Roman" w:cs="Times New Roman"/>
                <w:bCs/>
                <w:color w:val="000000"/>
                <w:szCs w:val="24"/>
              </w:rPr>
            </w:pPr>
            <w:r w:rsidRPr="00944B15">
              <w:rPr>
                <w:rFonts w:eastAsia="Times New Roman" w:cs="Times New Roman"/>
                <w:bCs/>
                <w:color w:val="000000"/>
                <w:szCs w:val="24"/>
              </w:rPr>
              <w:t>Storage condition</w:t>
            </w:r>
          </w:p>
        </w:tc>
        <w:tc>
          <w:tcPr>
            <w:tcW w:w="6845" w:type="dxa"/>
          </w:tcPr>
          <w:p w14:paraId="5B0844FE" w14:textId="77777777" w:rsidR="00214907" w:rsidRPr="00944B15" w:rsidRDefault="00214907" w:rsidP="002D6DD7">
            <w:pPr>
              <w:rPr>
                <w:rFonts w:eastAsia="Times New Roman" w:cs="Times New Roman"/>
                <w:bCs/>
                <w:color w:val="000000" w:themeColor="text1"/>
                <w:szCs w:val="24"/>
              </w:rPr>
            </w:pPr>
            <w:r w:rsidRPr="00944B15">
              <w:rPr>
                <w:rFonts w:cs="Times New Roman"/>
                <w:szCs w:val="24"/>
              </w:rPr>
              <w:t xml:space="preserve">Store </w:t>
            </w:r>
            <w:r>
              <w:rPr>
                <w:rFonts w:cs="Times New Roman"/>
                <w:szCs w:val="24"/>
              </w:rPr>
              <w:t>between 30°C. Protect from l</w:t>
            </w:r>
            <w:r w:rsidRPr="00944B15">
              <w:rPr>
                <w:rFonts w:cs="Times New Roman"/>
                <w:szCs w:val="24"/>
              </w:rPr>
              <w:t>ight.</w:t>
            </w:r>
          </w:p>
        </w:tc>
      </w:tr>
    </w:tbl>
    <w:p w14:paraId="5E842799" w14:textId="77777777" w:rsidR="00214907" w:rsidRDefault="00214907" w:rsidP="00214907"/>
    <w:p w14:paraId="0EEFFC51" w14:textId="77777777" w:rsidR="00214907" w:rsidRDefault="00214907" w:rsidP="00E837DD">
      <w:pPr>
        <w:spacing w:after="0"/>
        <w:jc w:val="both"/>
        <w:rPr>
          <w:rFonts w:cs="Times New Roman"/>
          <w:szCs w:val="24"/>
        </w:rPr>
      </w:pPr>
    </w:p>
    <w:p w14:paraId="27AF59D6" w14:textId="77777777" w:rsidR="00265BA6" w:rsidRDefault="00265BA6" w:rsidP="00E837DD">
      <w:pPr>
        <w:spacing w:after="0"/>
        <w:jc w:val="both"/>
        <w:rPr>
          <w:rFonts w:cs="Times New Roman"/>
          <w:szCs w:val="24"/>
        </w:rPr>
      </w:pPr>
    </w:p>
    <w:p w14:paraId="0D16393E" w14:textId="77777777" w:rsidR="00265BA6" w:rsidRDefault="00265BA6" w:rsidP="00E837DD">
      <w:pPr>
        <w:spacing w:after="0"/>
        <w:jc w:val="both"/>
        <w:rPr>
          <w:rFonts w:cs="Times New Roman"/>
          <w:szCs w:val="24"/>
        </w:rPr>
      </w:pPr>
    </w:p>
    <w:p w14:paraId="289EB27A" w14:textId="77777777" w:rsidR="00D20CB2" w:rsidRDefault="00D20CB2" w:rsidP="00E837DD">
      <w:pPr>
        <w:spacing w:after="0"/>
        <w:jc w:val="both"/>
        <w:rPr>
          <w:rFonts w:cs="Times New Roman"/>
          <w:szCs w:val="24"/>
        </w:rPr>
      </w:pPr>
    </w:p>
    <w:p w14:paraId="6B31B993" w14:textId="77777777" w:rsidR="00D20CB2" w:rsidRDefault="00D20CB2" w:rsidP="00E837DD">
      <w:pPr>
        <w:spacing w:after="0"/>
        <w:jc w:val="both"/>
        <w:rPr>
          <w:rFonts w:cs="Times New Roman"/>
          <w:szCs w:val="24"/>
        </w:rPr>
      </w:pPr>
    </w:p>
    <w:p w14:paraId="6DA932A3" w14:textId="77777777" w:rsidR="00D20CB2" w:rsidRDefault="00D20CB2" w:rsidP="00E837DD">
      <w:pPr>
        <w:spacing w:after="0"/>
        <w:jc w:val="both"/>
        <w:rPr>
          <w:rFonts w:cs="Times New Roman"/>
          <w:szCs w:val="24"/>
        </w:rPr>
      </w:pPr>
    </w:p>
    <w:p w14:paraId="0F088955" w14:textId="77777777" w:rsidR="00D20CB2" w:rsidRDefault="00D20CB2" w:rsidP="00E837DD">
      <w:pPr>
        <w:spacing w:after="0"/>
        <w:jc w:val="both"/>
        <w:rPr>
          <w:rFonts w:cs="Times New Roman"/>
          <w:szCs w:val="24"/>
        </w:rPr>
      </w:pPr>
    </w:p>
    <w:p w14:paraId="55894DEE" w14:textId="77777777" w:rsidR="00D20CB2" w:rsidRDefault="00D20CB2" w:rsidP="00E837DD">
      <w:pPr>
        <w:spacing w:after="0"/>
        <w:jc w:val="both"/>
        <w:rPr>
          <w:rFonts w:cs="Times New Roman"/>
          <w:szCs w:val="24"/>
        </w:rPr>
      </w:pPr>
    </w:p>
    <w:p w14:paraId="0F7F8B51" w14:textId="77777777" w:rsidR="00D20CB2" w:rsidRDefault="00D20CB2" w:rsidP="00E837DD">
      <w:pPr>
        <w:spacing w:after="0"/>
        <w:jc w:val="both"/>
        <w:rPr>
          <w:rFonts w:cs="Times New Roman"/>
          <w:szCs w:val="24"/>
        </w:rPr>
      </w:pPr>
    </w:p>
    <w:p w14:paraId="2B104C76" w14:textId="77777777" w:rsidR="00D20CB2" w:rsidRDefault="00D20CB2" w:rsidP="00E837DD">
      <w:pPr>
        <w:spacing w:after="0"/>
        <w:jc w:val="both"/>
        <w:rPr>
          <w:rFonts w:cs="Times New Roman"/>
          <w:szCs w:val="24"/>
        </w:rPr>
      </w:pPr>
    </w:p>
    <w:p w14:paraId="2B5220E3" w14:textId="77777777" w:rsidR="00D20CB2" w:rsidRDefault="00D20CB2" w:rsidP="00E837DD">
      <w:pPr>
        <w:spacing w:after="0"/>
        <w:jc w:val="both"/>
        <w:rPr>
          <w:rFonts w:cs="Times New Roman"/>
          <w:szCs w:val="24"/>
        </w:rPr>
      </w:pPr>
    </w:p>
    <w:p w14:paraId="08C46C06" w14:textId="77777777" w:rsidR="00D20CB2" w:rsidRDefault="00D20CB2" w:rsidP="00E837DD">
      <w:pPr>
        <w:spacing w:after="0"/>
        <w:jc w:val="both"/>
        <w:rPr>
          <w:rFonts w:cs="Times New Roman"/>
          <w:szCs w:val="24"/>
        </w:rPr>
      </w:pPr>
    </w:p>
    <w:p w14:paraId="7270E78F" w14:textId="77777777" w:rsidR="00D20CB2" w:rsidRDefault="00D20CB2" w:rsidP="00E837DD">
      <w:pPr>
        <w:spacing w:after="0"/>
        <w:jc w:val="both"/>
        <w:rPr>
          <w:rFonts w:cs="Times New Roman"/>
          <w:szCs w:val="24"/>
        </w:rPr>
      </w:pPr>
    </w:p>
    <w:p w14:paraId="707060CB" w14:textId="77777777" w:rsidR="00D20CB2" w:rsidRDefault="00D20CB2" w:rsidP="00E837DD">
      <w:pPr>
        <w:spacing w:after="0"/>
        <w:jc w:val="both"/>
        <w:rPr>
          <w:rFonts w:cs="Times New Roman"/>
          <w:szCs w:val="24"/>
        </w:rPr>
      </w:pPr>
    </w:p>
    <w:p w14:paraId="223E31BA" w14:textId="77777777" w:rsidR="00D20CB2" w:rsidRDefault="00D20CB2" w:rsidP="00E837DD">
      <w:pPr>
        <w:spacing w:after="0"/>
        <w:jc w:val="both"/>
        <w:rPr>
          <w:rFonts w:cs="Times New Roman"/>
          <w:szCs w:val="24"/>
        </w:rPr>
      </w:pPr>
    </w:p>
    <w:p w14:paraId="4706684A" w14:textId="77777777" w:rsidR="00D20CB2" w:rsidRDefault="00D20CB2" w:rsidP="00E837DD">
      <w:pPr>
        <w:spacing w:after="0"/>
        <w:jc w:val="both"/>
        <w:rPr>
          <w:rFonts w:cs="Times New Roman"/>
          <w:szCs w:val="24"/>
        </w:rPr>
      </w:pPr>
    </w:p>
    <w:p w14:paraId="5BDBAFCE" w14:textId="77777777" w:rsidR="00D20CB2" w:rsidRDefault="00D20CB2" w:rsidP="00E837DD">
      <w:pPr>
        <w:spacing w:after="0"/>
        <w:jc w:val="both"/>
        <w:rPr>
          <w:rFonts w:cs="Times New Roman"/>
          <w:szCs w:val="24"/>
        </w:rPr>
      </w:pPr>
    </w:p>
    <w:p w14:paraId="15F45246" w14:textId="77777777" w:rsidR="00D20CB2" w:rsidRDefault="00D20CB2" w:rsidP="00E837DD">
      <w:pPr>
        <w:spacing w:after="0"/>
        <w:jc w:val="both"/>
        <w:rPr>
          <w:rFonts w:cs="Times New Roman"/>
          <w:szCs w:val="24"/>
        </w:rPr>
      </w:pPr>
    </w:p>
    <w:p w14:paraId="5904F223" w14:textId="77777777" w:rsidR="00D20CB2" w:rsidRDefault="00D20CB2" w:rsidP="00E837DD">
      <w:pPr>
        <w:spacing w:after="0"/>
        <w:jc w:val="both"/>
        <w:rPr>
          <w:rFonts w:cs="Times New Roman"/>
          <w:szCs w:val="24"/>
        </w:rPr>
      </w:pPr>
    </w:p>
    <w:p w14:paraId="2DCA1716" w14:textId="77777777" w:rsidR="00D20CB2" w:rsidRDefault="00D20CB2" w:rsidP="00E837DD">
      <w:pPr>
        <w:spacing w:after="0"/>
        <w:jc w:val="both"/>
        <w:rPr>
          <w:rFonts w:cs="Times New Roman"/>
          <w:szCs w:val="24"/>
        </w:rPr>
      </w:pPr>
    </w:p>
    <w:p w14:paraId="3CE46FD3" w14:textId="77777777" w:rsidR="00D20CB2" w:rsidRDefault="00D20CB2" w:rsidP="00E837DD">
      <w:pPr>
        <w:spacing w:after="0"/>
        <w:jc w:val="both"/>
        <w:rPr>
          <w:rFonts w:cs="Times New Roman"/>
          <w:szCs w:val="24"/>
        </w:rPr>
      </w:pPr>
    </w:p>
    <w:p w14:paraId="22A2BA69" w14:textId="77777777" w:rsidR="00D20CB2" w:rsidRDefault="00D20CB2" w:rsidP="00E837DD">
      <w:pPr>
        <w:spacing w:after="0"/>
        <w:jc w:val="both"/>
        <w:rPr>
          <w:rFonts w:cs="Times New Roman"/>
          <w:szCs w:val="24"/>
        </w:rPr>
      </w:pPr>
    </w:p>
    <w:p w14:paraId="57D60FEE" w14:textId="77777777" w:rsidR="00D20CB2" w:rsidRDefault="00D20CB2" w:rsidP="00E837DD">
      <w:pPr>
        <w:spacing w:after="0"/>
        <w:jc w:val="both"/>
        <w:rPr>
          <w:rFonts w:cs="Times New Roman"/>
          <w:szCs w:val="24"/>
        </w:rPr>
      </w:pPr>
    </w:p>
    <w:p w14:paraId="4A2E09BB" w14:textId="77777777" w:rsidR="00D20CB2" w:rsidRDefault="00D20CB2" w:rsidP="00E837DD">
      <w:pPr>
        <w:spacing w:after="0"/>
        <w:jc w:val="both"/>
        <w:rPr>
          <w:rFonts w:cs="Times New Roman"/>
          <w:szCs w:val="24"/>
        </w:rPr>
      </w:pPr>
    </w:p>
    <w:p w14:paraId="633836D4" w14:textId="77777777" w:rsidR="00D20CB2" w:rsidRDefault="00D20CB2" w:rsidP="00E837DD">
      <w:pPr>
        <w:spacing w:after="0"/>
        <w:jc w:val="both"/>
        <w:rPr>
          <w:rFonts w:cs="Times New Roman"/>
          <w:szCs w:val="24"/>
        </w:rPr>
      </w:pPr>
    </w:p>
    <w:p w14:paraId="7E9C526E" w14:textId="77777777" w:rsidR="00D20CB2" w:rsidRPr="00601A4D" w:rsidRDefault="00D20CB2" w:rsidP="00601A4D">
      <w:pPr>
        <w:pStyle w:val="Heading1"/>
        <w:numPr>
          <w:ilvl w:val="0"/>
          <w:numId w:val="25"/>
        </w:numPr>
        <w:spacing w:after="240"/>
      </w:pPr>
      <w:bookmarkStart w:id="116" w:name="_Toc179490362"/>
      <w:r w:rsidRPr="00601A4D">
        <w:t xml:space="preserve">Antiallergics and </w:t>
      </w:r>
      <w:r w:rsidR="00601A4D">
        <w:t>M</w:t>
      </w:r>
      <w:r w:rsidRPr="00601A4D">
        <w:t xml:space="preserve">edicines </w:t>
      </w:r>
      <w:r w:rsidR="00601A4D">
        <w:t>U</w:t>
      </w:r>
      <w:r w:rsidRPr="00601A4D">
        <w:t xml:space="preserve">sed in </w:t>
      </w:r>
      <w:r w:rsidR="00601A4D">
        <w:t>A</w:t>
      </w:r>
      <w:r w:rsidRPr="00601A4D">
        <w:t>naphylaxis</w:t>
      </w:r>
      <w:bookmarkEnd w:id="116"/>
    </w:p>
    <w:p w14:paraId="4E1349FC" w14:textId="77777777" w:rsidR="00D20CB2" w:rsidRPr="001B0836" w:rsidRDefault="00D20CB2" w:rsidP="00D20CB2">
      <w:pPr>
        <w:spacing w:after="0"/>
        <w:jc w:val="both"/>
        <w:rPr>
          <w:rFonts w:cs="Times New Roman"/>
          <w:color w:val="0D0D0D"/>
          <w:szCs w:val="24"/>
          <w:shd w:val="clear" w:color="auto" w:fill="FFFFFF"/>
        </w:rPr>
      </w:pPr>
      <w:r w:rsidRPr="001B0836">
        <w:rPr>
          <w:rFonts w:cs="Times New Roman"/>
          <w:color w:val="0D0D0D"/>
          <w:szCs w:val="24"/>
          <w:shd w:val="clear" w:color="auto" w:fill="FFFFFF"/>
        </w:rPr>
        <w:t>Antiallergics and anaphylaxis medicines manage allergic reactions, from mild symptoms to life-threatening emergencies. Antiallergics like chlorpheniramine (first-generation antihistamine) and loratadine, desloratadine, and cetirizine (second-generation antihistamines) reduce symptoms such as itching, swelling, and hives. First-generation antihistamines like promethazine provide additional sedation for severe reactions.</w:t>
      </w:r>
    </w:p>
    <w:p w14:paraId="550A247C" w14:textId="77777777" w:rsidR="00D20CB2" w:rsidRDefault="00D20CB2" w:rsidP="00D20CB2">
      <w:pPr>
        <w:spacing w:before="240" w:after="0"/>
        <w:jc w:val="both"/>
        <w:rPr>
          <w:rFonts w:cs="Times New Roman"/>
          <w:color w:val="0D0D0D"/>
          <w:szCs w:val="24"/>
          <w:shd w:val="clear" w:color="auto" w:fill="FFFFFF"/>
        </w:rPr>
      </w:pPr>
      <w:r w:rsidRPr="001B0836">
        <w:rPr>
          <w:rFonts w:cs="Times New Roman"/>
          <w:color w:val="0D0D0D"/>
          <w:szCs w:val="24"/>
          <w:shd w:val="clear" w:color="auto" w:fill="FFFFFF"/>
        </w:rPr>
        <w:t>For anaphylaxis, immediate intervention with adrenaline (epinephrine), a first-line treatment, is crucial for vasoconstriction, bronchodilation, and increasing heart rate. Dexamethasone and hydrocortisone (injectable corticosteroids) reduce inflammation and prevent late-phase reactions, while prednisolone (oral corticosteroid) helps manage symptoms and prevent recurrence after adrenaline administration.</w:t>
      </w:r>
    </w:p>
    <w:p w14:paraId="01267E05" w14:textId="77777777" w:rsidR="00D20CB2" w:rsidRPr="00944B15" w:rsidRDefault="00D20CB2" w:rsidP="00D20CB2">
      <w:pPr>
        <w:spacing w:before="240" w:after="0"/>
        <w:jc w:val="both"/>
        <w:rPr>
          <w:rFonts w:cs="Times New Roman"/>
          <w:color w:val="0D0D0D"/>
          <w:szCs w:val="24"/>
          <w:shd w:val="clear" w:color="auto" w:fill="FFFFFF"/>
        </w:rPr>
      </w:pPr>
      <w:r w:rsidRPr="001B0836">
        <w:rPr>
          <w:rFonts w:cs="Times New Roman"/>
          <w:color w:val="0D0D0D"/>
          <w:szCs w:val="24"/>
          <w:shd w:val="clear" w:color="auto" w:fill="FFFFFF"/>
        </w:rPr>
        <w:t>Antiallergics control mild to moderate reactions, while adrenaline and corticosteroids are vital for severe allergic reactions like anaphylaxis. Proper understanding of their use ensures effective treatment.</w:t>
      </w:r>
      <w:r w:rsidRPr="00944B15">
        <w:rPr>
          <w:rFonts w:cs="Times New Roman"/>
          <w:color w:val="0D0D0D"/>
          <w:szCs w:val="24"/>
          <w:shd w:val="clear" w:color="auto" w:fill="FFFFFF"/>
        </w:rPr>
        <w:t xml:space="preserve"> </w:t>
      </w:r>
    </w:p>
    <w:p w14:paraId="3CBD388B" w14:textId="77777777" w:rsidR="00D20CB2" w:rsidRPr="005013E8" w:rsidRDefault="00D20CB2" w:rsidP="005013E8">
      <w:pPr>
        <w:pStyle w:val="Heading2"/>
        <w:spacing w:before="240" w:after="240"/>
      </w:pPr>
      <w:bookmarkStart w:id="117" w:name="_Toc179490363"/>
      <w:r w:rsidRPr="005013E8">
        <w:t>Antiallergics</w:t>
      </w:r>
      <w:bookmarkEnd w:id="117"/>
    </w:p>
    <w:p w14:paraId="422F0536" w14:textId="77777777" w:rsidR="00D20CB2" w:rsidRPr="00944B15" w:rsidRDefault="00D20CB2" w:rsidP="00D20CB2">
      <w:pPr>
        <w:spacing w:after="0"/>
        <w:jc w:val="both"/>
        <w:rPr>
          <w:rFonts w:cs="Times New Roman"/>
          <w:color w:val="0D0D0D"/>
          <w:szCs w:val="24"/>
          <w:shd w:val="clear" w:color="auto" w:fill="FFFFFF"/>
        </w:rPr>
      </w:pPr>
      <w:r w:rsidRPr="00944B15">
        <w:rPr>
          <w:rFonts w:cs="Times New Roman"/>
          <w:color w:val="0D0D0D"/>
          <w:szCs w:val="24"/>
          <w:shd w:val="clear" w:color="auto" w:fill="FFFFFF"/>
        </w:rPr>
        <w:t>Antiallergics</w:t>
      </w:r>
      <w:r w:rsidRPr="00B47F3A">
        <w:rPr>
          <w:rFonts w:cs="Times New Roman"/>
          <w:color w:val="0D0D0D"/>
          <w:szCs w:val="24"/>
          <w:shd w:val="clear" w:color="auto" w:fill="FFFFFF"/>
        </w:rPr>
        <w:t xml:space="preserve"> relieve symptoms of allergic reactions such as itching, swelling, runny nose, and hives. Chlorpheniramine maleate, a first-generation antihistamine available in tablet and syrup forms, blocks histamine receptors but often causes sedation. Loratadine, a second-generation antihistamine in syrup and tablet forms, provides effective relief with less sedation by selectively blocking peripheral histamine receptors. Desloratadine and Cetirizine are similar second-generation options with a favorable side effect profile. Promethazine hydrochloride, a first-generation antihistamine in elixir and tablet forms, offers additional sedative properties, making it useful for severe reactions and allergy-related insomnia.</w:t>
      </w:r>
    </w:p>
    <w:p w14:paraId="20E7D052" w14:textId="77777777" w:rsidR="00D20CB2" w:rsidRPr="00944B15" w:rsidRDefault="00D20CB2" w:rsidP="00D20CB2">
      <w:pPr>
        <w:spacing w:after="0"/>
        <w:jc w:val="both"/>
        <w:rPr>
          <w:rFonts w:cs="Times New Roman"/>
          <w:szCs w:val="24"/>
        </w:rPr>
      </w:pPr>
    </w:p>
    <w:tbl>
      <w:tblPr>
        <w:tblStyle w:val="TableGrid"/>
        <w:tblW w:w="9322" w:type="dxa"/>
        <w:tblLook w:val="04A0" w:firstRow="1" w:lastRow="0" w:firstColumn="1" w:lastColumn="0" w:noHBand="0" w:noVBand="1"/>
      </w:tblPr>
      <w:tblGrid>
        <w:gridCol w:w="2695"/>
        <w:gridCol w:w="6627"/>
      </w:tblGrid>
      <w:tr w:rsidR="00D20CB2" w:rsidRPr="00B47F3A" w14:paraId="558A2182" w14:textId="77777777" w:rsidTr="002D6DD7">
        <w:tc>
          <w:tcPr>
            <w:tcW w:w="9322" w:type="dxa"/>
            <w:gridSpan w:val="2"/>
          </w:tcPr>
          <w:p w14:paraId="782F9C3F" w14:textId="77777777" w:rsidR="00D20CB2" w:rsidRPr="00B47F3A" w:rsidRDefault="00D20CB2" w:rsidP="002D6DD7">
            <w:pPr>
              <w:jc w:val="both"/>
              <w:rPr>
                <w:rFonts w:cs="Times New Roman"/>
                <w:b/>
                <w:bCs/>
                <w:color w:val="FFFFFF" w:themeColor="background1"/>
                <w:szCs w:val="24"/>
              </w:rPr>
            </w:pPr>
            <w:bookmarkStart w:id="118" w:name="_Toc168315281"/>
            <w:r w:rsidRPr="00B47F3A">
              <w:rPr>
                <w:rFonts w:cs="Times New Roman"/>
                <w:b/>
                <w:bCs/>
                <w:szCs w:val="24"/>
              </w:rPr>
              <w:t>Adrenaline (Epinephrine)</w:t>
            </w:r>
            <w:bookmarkEnd w:id="118"/>
          </w:p>
        </w:tc>
      </w:tr>
      <w:tr w:rsidR="00D20CB2" w:rsidRPr="00B47F3A" w14:paraId="15B214CC" w14:textId="77777777" w:rsidTr="002D6DD7">
        <w:trPr>
          <w:trHeight w:val="40"/>
        </w:trPr>
        <w:tc>
          <w:tcPr>
            <w:tcW w:w="2695" w:type="dxa"/>
          </w:tcPr>
          <w:p w14:paraId="2F34658C" w14:textId="77777777" w:rsidR="00D20CB2" w:rsidRPr="00B47F3A" w:rsidRDefault="00D20CB2" w:rsidP="002D6DD7">
            <w:pPr>
              <w:jc w:val="both"/>
              <w:rPr>
                <w:rFonts w:cs="Times New Roman"/>
                <w:color w:val="FFFFFF" w:themeColor="background1"/>
                <w:szCs w:val="24"/>
              </w:rPr>
            </w:pPr>
            <w:r w:rsidRPr="00B47F3A">
              <w:rPr>
                <w:rFonts w:cs="Times New Roman"/>
                <w:color w:val="000000" w:themeColor="text1"/>
                <w:szCs w:val="24"/>
              </w:rPr>
              <w:t>Pharmacological class</w:t>
            </w:r>
          </w:p>
        </w:tc>
        <w:tc>
          <w:tcPr>
            <w:tcW w:w="6627" w:type="dxa"/>
          </w:tcPr>
          <w:p w14:paraId="0828863A" w14:textId="77777777" w:rsidR="00D20CB2" w:rsidRPr="00B47F3A" w:rsidRDefault="00EA5977" w:rsidP="002D6DD7">
            <w:pPr>
              <w:jc w:val="both"/>
              <w:rPr>
                <w:rFonts w:cs="Times New Roman"/>
                <w:szCs w:val="24"/>
              </w:rPr>
            </w:pPr>
            <w:hyperlink r:id="rId29" w:history="1">
              <w:r w:rsidR="00D20CB2" w:rsidRPr="00B47F3A">
                <w:rPr>
                  <w:rStyle w:val="Hyperlink"/>
                  <w:rFonts w:cs="Times New Roman"/>
                  <w:color w:val="auto"/>
                  <w:szCs w:val="24"/>
                  <w:u w:val="none"/>
                  <w:shd w:val="clear" w:color="auto" w:fill="FFFFFF"/>
                </w:rPr>
                <w:t>Adrenergic bronchodilator</w:t>
              </w:r>
            </w:hyperlink>
            <w:r w:rsidR="00D20CB2" w:rsidRPr="00B47F3A">
              <w:rPr>
                <w:rFonts w:cs="Times New Roman"/>
                <w:szCs w:val="24"/>
                <w:shd w:val="clear" w:color="auto" w:fill="FFFFFF"/>
              </w:rPr>
              <w:t>, </w:t>
            </w:r>
            <w:hyperlink r:id="rId30" w:history="1">
              <w:r w:rsidR="00D20CB2" w:rsidRPr="00B47F3A">
                <w:rPr>
                  <w:rStyle w:val="Hyperlink"/>
                  <w:rFonts w:cs="Times New Roman"/>
                  <w:color w:val="auto"/>
                  <w:szCs w:val="24"/>
                  <w:u w:val="none"/>
                  <w:shd w:val="clear" w:color="auto" w:fill="FFFFFF"/>
                </w:rPr>
                <w:t>Catecholamine</w:t>
              </w:r>
            </w:hyperlink>
            <w:r w:rsidR="00D20CB2" w:rsidRPr="00B47F3A">
              <w:rPr>
                <w:rFonts w:cs="Times New Roman"/>
                <w:szCs w:val="24"/>
                <w:shd w:val="clear" w:color="auto" w:fill="FFFFFF"/>
              </w:rPr>
              <w:t>, </w:t>
            </w:r>
            <w:hyperlink r:id="rId31" w:history="1">
              <w:r w:rsidR="00D20CB2" w:rsidRPr="00B47F3A">
                <w:rPr>
                  <w:rStyle w:val="Hyperlink"/>
                  <w:rFonts w:cs="Times New Roman"/>
                  <w:color w:val="auto"/>
                  <w:szCs w:val="24"/>
                  <w:u w:val="none"/>
                  <w:shd w:val="clear" w:color="auto" w:fill="FFFFFF"/>
                </w:rPr>
                <w:t>Vasopressor</w:t>
              </w:r>
            </w:hyperlink>
          </w:p>
        </w:tc>
      </w:tr>
      <w:tr w:rsidR="00D20CB2" w:rsidRPr="00B47F3A" w14:paraId="1D7A5E7F" w14:textId="77777777" w:rsidTr="002D6DD7">
        <w:trPr>
          <w:trHeight w:val="40"/>
        </w:trPr>
        <w:tc>
          <w:tcPr>
            <w:tcW w:w="2695" w:type="dxa"/>
          </w:tcPr>
          <w:p w14:paraId="6BD492A6"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550AE184" w14:textId="77777777" w:rsidR="00D20CB2" w:rsidRPr="00B47F3A" w:rsidRDefault="00D20CB2" w:rsidP="002D6DD7">
            <w:pPr>
              <w:jc w:val="both"/>
              <w:rPr>
                <w:rFonts w:cs="Times New Roman"/>
                <w:szCs w:val="24"/>
              </w:rPr>
            </w:pPr>
            <w:r w:rsidRPr="00B47F3A">
              <w:rPr>
                <w:rFonts w:cs="Times New Roman"/>
                <w:szCs w:val="24"/>
              </w:rPr>
              <w:t>Injection (1mg/1ml)</w:t>
            </w:r>
          </w:p>
        </w:tc>
      </w:tr>
      <w:tr w:rsidR="00D20CB2" w:rsidRPr="00B47F3A" w14:paraId="19BEE1D3" w14:textId="77777777" w:rsidTr="002D6DD7">
        <w:trPr>
          <w:trHeight w:val="40"/>
        </w:trPr>
        <w:tc>
          <w:tcPr>
            <w:tcW w:w="2695" w:type="dxa"/>
          </w:tcPr>
          <w:p w14:paraId="7A87E3EF"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4A4031B3" w14:textId="77777777" w:rsidR="00D20CB2" w:rsidRPr="006806B5" w:rsidRDefault="00D20CB2" w:rsidP="002D6DD7">
            <w:pPr>
              <w:autoSpaceDE w:val="0"/>
              <w:autoSpaceDN w:val="0"/>
              <w:adjustRightInd w:val="0"/>
              <w:jc w:val="both"/>
              <w:rPr>
                <w:rFonts w:cs="Times New Roman"/>
                <w:szCs w:val="24"/>
              </w:rPr>
            </w:pPr>
            <w:r w:rsidRPr="006806B5">
              <w:rPr>
                <w:rFonts w:cs="Times New Roman"/>
                <w:szCs w:val="24"/>
              </w:rPr>
              <w:t xml:space="preserve">Emergency treatment of acute anaphylaxis or angioedema, </w:t>
            </w:r>
          </w:p>
          <w:p w14:paraId="1BBF6CD5" w14:textId="77777777" w:rsidR="00D20CB2" w:rsidRPr="00B47F3A" w:rsidRDefault="00D20CB2" w:rsidP="002D6DD7">
            <w:pPr>
              <w:autoSpaceDE w:val="0"/>
              <w:autoSpaceDN w:val="0"/>
              <w:adjustRightInd w:val="0"/>
              <w:jc w:val="both"/>
              <w:rPr>
                <w:rFonts w:cs="Times New Roman"/>
                <w:szCs w:val="24"/>
              </w:rPr>
            </w:pPr>
            <w:r w:rsidRPr="006806B5">
              <w:rPr>
                <w:rFonts w:cs="Times New Roman"/>
                <w:szCs w:val="24"/>
              </w:rPr>
              <w:t>Cardiopulmonary resuscitation</w:t>
            </w:r>
          </w:p>
        </w:tc>
      </w:tr>
      <w:tr w:rsidR="00D20CB2" w:rsidRPr="00B47F3A" w14:paraId="07DB5B11" w14:textId="77777777" w:rsidTr="002D6DD7">
        <w:tc>
          <w:tcPr>
            <w:tcW w:w="2695" w:type="dxa"/>
          </w:tcPr>
          <w:p w14:paraId="4AEA2934" w14:textId="77777777" w:rsidR="00D20CB2" w:rsidRPr="00B47F3A" w:rsidRDefault="00D20CB2" w:rsidP="002D6DD7">
            <w:pPr>
              <w:rPr>
                <w:rFonts w:cs="Times New Roman"/>
                <w:szCs w:val="24"/>
              </w:rPr>
            </w:pPr>
            <w:r w:rsidRPr="00B47F3A">
              <w:rPr>
                <w:rFonts w:eastAsia="Times New Roman" w:cs="Times New Roman"/>
                <w:szCs w:val="24"/>
              </w:rPr>
              <w:t>Dose and administration</w:t>
            </w:r>
          </w:p>
        </w:tc>
        <w:tc>
          <w:tcPr>
            <w:tcW w:w="6627" w:type="dxa"/>
          </w:tcPr>
          <w:p w14:paraId="143B89A8" w14:textId="77777777" w:rsidR="00D20CB2" w:rsidRDefault="00D20CB2" w:rsidP="002D6DD7">
            <w:pPr>
              <w:autoSpaceDE w:val="0"/>
              <w:autoSpaceDN w:val="0"/>
              <w:adjustRightInd w:val="0"/>
              <w:jc w:val="both"/>
              <w:rPr>
                <w:rFonts w:eastAsia="Candara-Italic" w:cs="Times New Roman"/>
                <w:b/>
                <w:bCs/>
                <w:iCs/>
                <w:szCs w:val="24"/>
              </w:rPr>
            </w:pPr>
            <w:r w:rsidRPr="006806B5">
              <w:rPr>
                <w:rFonts w:eastAsia="Candara-Italic" w:cs="Times New Roman"/>
                <w:b/>
                <w:bCs/>
                <w:iCs/>
                <w:szCs w:val="24"/>
              </w:rPr>
              <w:t>Emergency treatment of acute anaphylaxis or angioedema (if laryngeal oedema is present)</w:t>
            </w:r>
          </w:p>
          <w:p w14:paraId="4B1CBCBC" w14:textId="77777777" w:rsidR="00D20CB2" w:rsidRPr="006806B5" w:rsidRDefault="00D20CB2" w:rsidP="002D6DD7">
            <w:pPr>
              <w:autoSpaceDE w:val="0"/>
              <w:autoSpaceDN w:val="0"/>
              <w:adjustRightInd w:val="0"/>
              <w:jc w:val="both"/>
              <w:rPr>
                <w:rFonts w:cs="Times New Roman"/>
                <w:b/>
                <w:bCs/>
                <w:szCs w:val="24"/>
              </w:rPr>
            </w:pPr>
            <w:r w:rsidRPr="00B47F3A">
              <w:rPr>
                <w:rFonts w:cs="Times New Roman"/>
                <w:b/>
                <w:bCs/>
                <w:szCs w:val="24"/>
              </w:rPr>
              <w:t>Adult</w:t>
            </w:r>
            <w:r w:rsidR="005013E8">
              <w:rPr>
                <w:rFonts w:cs="Times New Roman"/>
                <w:b/>
                <w:bCs/>
                <w:szCs w:val="24"/>
              </w:rPr>
              <w:t>:</w:t>
            </w:r>
          </w:p>
          <w:p w14:paraId="288155CF" w14:textId="77777777" w:rsidR="00D20CB2" w:rsidRPr="00B47F3A" w:rsidRDefault="00D20CB2" w:rsidP="002D6DD7">
            <w:pPr>
              <w:autoSpaceDE w:val="0"/>
              <w:autoSpaceDN w:val="0"/>
              <w:adjustRightInd w:val="0"/>
              <w:jc w:val="both"/>
              <w:rPr>
                <w:rFonts w:cs="Times New Roman"/>
                <w:szCs w:val="24"/>
              </w:rPr>
            </w:pPr>
            <w:r w:rsidRPr="005013E8">
              <w:rPr>
                <w:rFonts w:eastAsia="Candara-Italic" w:cs="Times New Roman"/>
                <w:bCs/>
                <w:iCs/>
                <w:szCs w:val="24"/>
              </w:rPr>
              <w:t>IM injection</w:t>
            </w:r>
            <w:r w:rsidRPr="00B47F3A">
              <w:rPr>
                <w:rFonts w:eastAsia="Candara-Italic" w:cs="Times New Roman"/>
                <w:b/>
                <w:bCs/>
                <w:iCs/>
                <w:szCs w:val="24"/>
              </w:rPr>
              <w:t>:</w:t>
            </w:r>
            <w:r w:rsidRPr="00B47F3A">
              <w:rPr>
                <w:rFonts w:eastAsia="Candara-Italic" w:cs="Times New Roman"/>
                <w:iCs/>
                <w:szCs w:val="24"/>
              </w:rPr>
              <w:t xml:space="preserve"> </w:t>
            </w:r>
            <w:r w:rsidRPr="00B47F3A">
              <w:rPr>
                <w:rFonts w:cs="Times New Roman"/>
                <w:szCs w:val="24"/>
              </w:rPr>
              <w:t>500 mcg (0.5 mg), to be injected preferably into the anterolateral aspect of the middle third of the thigh. Doses may be repeated several times, if necessary, at 5-minute intervals according to blood pressure, pulse, and respiratory function.</w:t>
            </w:r>
          </w:p>
          <w:p w14:paraId="04C5B40E" w14:textId="77777777" w:rsidR="00D20CB2" w:rsidRPr="00BF47AC" w:rsidRDefault="00D20CB2" w:rsidP="002D6DD7">
            <w:pPr>
              <w:autoSpaceDE w:val="0"/>
              <w:autoSpaceDN w:val="0"/>
              <w:adjustRightInd w:val="0"/>
              <w:jc w:val="both"/>
              <w:rPr>
                <w:rFonts w:eastAsia="Candara-Italic" w:cs="Times New Roman"/>
                <w:i/>
                <w:szCs w:val="24"/>
              </w:rPr>
            </w:pPr>
            <w:r w:rsidRPr="005013E8">
              <w:rPr>
                <w:rFonts w:eastAsia="Candara-Italic" w:cs="Times New Roman"/>
                <w:bCs/>
                <w:i/>
                <w:szCs w:val="24"/>
              </w:rPr>
              <w:t>Note:</w:t>
            </w:r>
            <w:r w:rsidRPr="00BF47AC">
              <w:rPr>
                <w:rFonts w:eastAsia="Candara-Italic" w:cs="Times New Roman"/>
                <w:i/>
                <w:szCs w:val="24"/>
              </w:rPr>
              <w:t xml:space="preserve"> Acute anaphylaxis when there is doubt as to the adequacy of the circulation (specialist use only), angioedema (if laryngeal oedema is present) (specialist use only)</w:t>
            </w:r>
          </w:p>
          <w:p w14:paraId="2F992600" w14:textId="77777777" w:rsidR="00D20CB2" w:rsidRPr="00B47F3A" w:rsidRDefault="00D20CB2" w:rsidP="002D6DD7">
            <w:pPr>
              <w:rPr>
                <w:rFonts w:cs="Times New Roman"/>
                <w:szCs w:val="24"/>
              </w:rPr>
            </w:pPr>
            <w:r w:rsidRPr="005013E8">
              <w:rPr>
                <w:rFonts w:cs="Times New Roman"/>
                <w:bCs/>
                <w:szCs w:val="24"/>
              </w:rPr>
              <w:t>Slow IV injection</w:t>
            </w:r>
            <w:r w:rsidRPr="00B47F3A">
              <w:rPr>
                <w:rFonts w:cs="Times New Roman"/>
                <w:b/>
                <w:bCs/>
                <w:szCs w:val="24"/>
              </w:rPr>
              <w:t>:</w:t>
            </w:r>
            <w:r w:rsidRPr="00B47F3A">
              <w:rPr>
                <w:rFonts w:cs="Times New Roman"/>
                <w:szCs w:val="24"/>
              </w:rPr>
              <w:t xml:space="preserve"> `50 micrograms, using 0.5 ml of the dilute 1 in 10,000 epinephrine injection; dose to be repeated according to response; if multiple doses required, epinephrine should be given as a slow IV infusion, stopping when a response has been obtained.</w:t>
            </w:r>
          </w:p>
          <w:p w14:paraId="21538839" w14:textId="77777777" w:rsidR="00D20CB2" w:rsidRDefault="00D20CB2" w:rsidP="002D6DD7">
            <w:pPr>
              <w:autoSpaceDE w:val="0"/>
              <w:autoSpaceDN w:val="0"/>
              <w:adjustRightInd w:val="0"/>
              <w:jc w:val="both"/>
              <w:rPr>
                <w:rFonts w:eastAsia="Candara-Italic" w:cs="Times New Roman"/>
                <w:b/>
                <w:bCs/>
                <w:iCs/>
                <w:szCs w:val="24"/>
              </w:rPr>
            </w:pPr>
            <w:r w:rsidRPr="00BF47AC">
              <w:rPr>
                <w:rFonts w:eastAsia="Candara-Italic" w:cs="Times New Roman"/>
                <w:b/>
                <w:bCs/>
                <w:iCs/>
                <w:szCs w:val="24"/>
              </w:rPr>
              <w:t>Anaphylaxis</w:t>
            </w:r>
            <w:r w:rsidRPr="00BF47AC">
              <w:rPr>
                <w:rFonts w:cs="Times New Roman"/>
                <w:b/>
                <w:bCs/>
                <w:szCs w:val="24"/>
              </w:rPr>
              <w:t xml:space="preserve">, </w:t>
            </w:r>
            <w:r w:rsidRPr="00BF47AC">
              <w:rPr>
                <w:rFonts w:eastAsia="Candara-Italic" w:cs="Times New Roman"/>
                <w:b/>
                <w:bCs/>
                <w:iCs/>
                <w:szCs w:val="24"/>
              </w:rPr>
              <w:t>by IM injection</w:t>
            </w:r>
            <w:r w:rsidR="005013E8">
              <w:rPr>
                <w:rFonts w:eastAsia="Candara-Italic" w:cs="Times New Roman"/>
                <w:b/>
                <w:bCs/>
                <w:iCs/>
                <w:szCs w:val="24"/>
              </w:rPr>
              <w:t>:</w:t>
            </w:r>
          </w:p>
          <w:p w14:paraId="1C9DAB5B"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Infant under 6 months:</w:t>
            </w:r>
            <w:r w:rsidRPr="00B47F3A">
              <w:rPr>
                <w:rFonts w:cs="Times New Roman"/>
                <w:szCs w:val="24"/>
              </w:rPr>
              <w:t xml:space="preserve"> 0.05 ml of 1 mg/ml solution</w:t>
            </w:r>
          </w:p>
          <w:p w14:paraId="67C381D2"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Infant or child 6 months to 6 years:</w:t>
            </w:r>
            <w:r w:rsidRPr="00B47F3A">
              <w:rPr>
                <w:rFonts w:cs="Times New Roman"/>
                <w:szCs w:val="24"/>
              </w:rPr>
              <w:t xml:space="preserve"> 150 mcg (0.15 ml of 1 mg/ml solution)</w:t>
            </w:r>
          </w:p>
          <w:p w14:paraId="5258453B"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6 to 12 years:</w:t>
            </w:r>
            <w:r w:rsidRPr="00B47F3A">
              <w:rPr>
                <w:rFonts w:cs="Times New Roman"/>
                <w:szCs w:val="24"/>
              </w:rPr>
              <w:t xml:space="preserve"> 0.3 ml of 1 mg/ml solution; these doses may be repeated at 5-minute intervals, several times if necessary, depending on blood pressure, pulse, and respiratory function.</w:t>
            </w:r>
          </w:p>
          <w:p w14:paraId="1F64D083" w14:textId="77777777" w:rsidR="00D20CB2" w:rsidRPr="00BF47AC" w:rsidRDefault="00D20CB2" w:rsidP="002D6DD7">
            <w:pPr>
              <w:autoSpaceDE w:val="0"/>
              <w:autoSpaceDN w:val="0"/>
              <w:adjustRightInd w:val="0"/>
              <w:jc w:val="both"/>
              <w:rPr>
                <w:rFonts w:eastAsia="Candara-Italic" w:cs="Times New Roman"/>
                <w:b/>
                <w:bCs/>
                <w:iCs/>
                <w:szCs w:val="24"/>
              </w:rPr>
            </w:pPr>
            <w:r w:rsidRPr="00BF47AC">
              <w:rPr>
                <w:rFonts w:eastAsia="Candara-Italic" w:cs="Times New Roman"/>
                <w:b/>
                <w:bCs/>
                <w:iCs/>
                <w:szCs w:val="24"/>
              </w:rPr>
              <w:t>Anaphylaxis, by slow IV injection</w:t>
            </w:r>
            <w:r w:rsidR="005013E8">
              <w:rPr>
                <w:rFonts w:eastAsia="Candara-Italic" w:cs="Times New Roman"/>
                <w:b/>
                <w:bCs/>
                <w:iCs/>
                <w:szCs w:val="24"/>
              </w:rPr>
              <w:t>:</w:t>
            </w:r>
          </w:p>
          <w:p w14:paraId="799FF087"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Infant or child:</w:t>
            </w:r>
            <w:r w:rsidRPr="00B47F3A">
              <w:rPr>
                <w:rFonts w:cs="Times New Roman"/>
                <w:szCs w:val="24"/>
              </w:rPr>
              <w:t xml:space="preserve"> 0.1 ml/kg of the dilute 1 mg/10 ml solution) given over several minutes</w:t>
            </w:r>
          </w:p>
        </w:tc>
      </w:tr>
      <w:tr w:rsidR="00D20CB2" w:rsidRPr="00B47F3A" w14:paraId="680F49EC" w14:textId="77777777" w:rsidTr="002D6DD7">
        <w:trPr>
          <w:trHeight w:val="40"/>
        </w:trPr>
        <w:tc>
          <w:tcPr>
            <w:tcW w:w="2695" w:type="dxa"/>
          </w:tcPr>
          <w:p w14:paraId="05413D92" w14:textId="77777777" w:rsidR="00D20CB2" w:rsidRPr="00B47F3A" w:rsidRDefault="00D20CB2" w:rsidP="002D6DD7">
            <w:pPr>
              <w:jc w:val="both"/>
              <w:rPr>
                <w:rFonts w:cs="Times New Roman"/>
                <w:szCs w:val="24"/>
              </w:rPr>
            </w:pPr>
            <w:r w:rsidRPr="00B47F3A">
              <w:rPr>
                <w:rFonts w:cs="Times New Roman"/>
                <w:szCs w:val="24"/>
              </w:rPr>
              <w:lastRenderedPageBreak/>
              <w:t>Contraindications</w:t>
            </w:r>
          </w:p>
        </w:tc>
        <w:tc>
          <w:tcPr>
            <w:tcW w:w="6627" w:type="dxa"/>
          </w:tcPr>
          <w:p w14:paraId="32E3CBD4"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Closed-angle glaucoma, Use during halothane or cyclopropane anesthesia</w:t>
            </w:r>
          </w:p>
        </w:tc>
      </w:tr>
      <w:tr w:rsidR="00D20CB2" w:rsidRPr="00B47F3A" w14:paraId="1202D2F2" w14:textId="77777777" w:rsidTr="002D6DD7">
        <w:tc>
          <w:tcPr>
            <w:tcW w:w="2695" w:type="dxa"/>
          </w:tcPr>
          <w:p w14:paraId="2D93CEA2"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1A6AE5E9"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Amitriptyline, cyclopropane, ergot derivatives, fluoxetine, halothane</w:t>
            </w:r>
          </w:p>
        </w:tc>
      </w:tr>
      <w:tr w:rsidR="00D20CB2" w:rsidRPr="00B47F3A" w14:paraId="34CC798C" w14:textId="77777777" w:rsidTr="002D6DD7">
        <w:tc>
          <w:tcPr>
            <w:tcW w:w="2695" w:type="dxa"/>
          </w:tcPr>
          <w:p w14:paraId="11634357"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281B27A4"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Nausea, vomiting, anxiety, headache, fear, palpitations, tachycardia, restlessness, tremor, dizziness, dyspnea, weakness, sweating, pallor, hyperglycemia, excessive increase in blood pressure, ventricular arrhythmias, pulmonary oedema, angina, cold extremities, peripheral ischemia and necrosis, allergic reaction. arrhythmias (ventricular and supraventricular), severe hypertension, cerebral hemorrhage, pulmonary oedema</w:t>
            </w:r>
          </w:p>
        </w:tc>
      </w:tr>
      <w:tr w:rsidR="00D20CB2" w:rsidRPr="00B47F3A" w14:paraId="0A9FBA27" w14:textId="77777777" w:rsidTr="002D6DD7">
        <w:tc>
          <w:tcPr>
            <w:tcW w:w="2695" w:type="dxa"/>
          </w:tcPr>
          <w:p w14:paraId="235FC7D4"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2C81CCEF"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Hyperthyroidism, diabetes mellitus, heart disease, hypertension, arrhythmias, cerebrovascular disease, angle-closure glaucoma, second stage of labor, elderly patients.</w:t>
            </w:r>
          </w:p>
        </w:tc>
      </w:tr>
      <w:tr w:rsidR="00D20CB2" w:rsidRPr="00B47F3A" w14:paraId="6DD69B0E" w14:textId="77777777" w:rsidTr="002D6DD7">
        <w:tc>
          <w:tcPr>
            <w:tcW w:w="2695" w:type="dxa"/>
          </w:tcPr>
          <w:p w14:paraId="2CB52F07"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3DD9F69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Store below 30</w:t>
            </w:r>
            <w:r w:rsidRPr="00B47F3A">
              <w:rPr>
                <w:rFonts w:cs="Times New Roman"/>
                <w:color w:val="231F20"/>
                <w:szCs w:val="24"/>
                <w:vertAlign w:val="superscript"/>
              </w:rPr>
              <w:t>0</w:t>
            </w:r>
            <w:r w:rsidRPr="00B47F3A">
              <w:rPr>
                <w:rFonts w:cs="Times New Roman"/>
                <w:color w:val="231F20"/>
                <w:szCs w:val="24"/>
              </w:rPr>
              <w:t>C</w:t>
            </w:r>
            <w:r>
              <w:rPr>
                <w:rFonts w:cs="Times New Roman"/>
                <w:color w:val="231F20"/>
                <w:szCs w:val="24"/>
              </w:rPr>
              <w:t>. P</w:t>
            </w:r>
            <w:r w:rsidRPr="00B47F3A">
              <w:rPr>
                <w:rFonts w:cs="Times New Roman"/>
                <w:color w:val="231F20"/>
                <w:szCs w:val="24"/>
              </w:rPr>
              <w:t>rotect from light</w:t>
            </w:r>
          </w:p>
        </w:tc>
      </w:tr>
      <w:tr w:rsidR="00D20CB2" w:rsidRPr="00B47F3A" w14:paraId="00021304" w14:textId="77777777" w:rsidTr="002D6DD7">
        <w:tc>
          <w:tcPr>
            <w:tcW w:w="9322" w:type="dxa"/>
            <w:gridSpan w:val="2"/>
          </w:tcPr>
          <w:p w14:paraId="5D0766DD" w14:textId="77777777" w:rsidR="00D20CB2" w:rsidRPr="00B47F3A" w:rsidRDefault="00D20CB2" w:rsidP="002D6DD7">
            <w:pPr>
              <w:jc w:val="both"/>
              <w:rPr>
                <w:rFonts w:cs="Times New Roman"/>
                <w:b/>
                <w:bCs/>
                <w:szCs w:val="24"/>
              </w:rPr>
            </w:pPr>
            <w:r w:rsidRPr="00B47F3A">
              <w:rPr>
                <w:rFonts w:cs="Times New Roman"/>
                <w:b/>
                <w:bCs/>
                <w:szCs w:val="24"/>
              </w:rPr>
              <w:t>Cetirizine</w:t>
            </w:r>
          </w:p>
        </w:tc>
      </w:tr>
      <w:tr w:rsidR="00D20CB2" w:rsidRPr="00B47F3A" w14:paraId="2EA64AF7" w14:textId="77777777" w:rsidTr="002D6DD7">
        <w:trPr>
          <w:trHeight w:val="62"/>
        </w:trPr>
        <w:tc>
          <w:tcPr>
            <w:tcW w:w="2695" w:type="dxa"/>
          </w:tcPr>
          <w:p w14:paraId="6AA0350D" w14:textId="77777777" w:rsidR="00D20CB2" w:rsidRPr="00B47F3A" w:rsidRDefault="00D20CB2" w:rsidP="002D6DD7">
            <w:pPr>
              <w:jc w:val="both"/>
              <w:rPr>
                <w:rFonts w:cs="Times New Roman"/>
                <w:szCs w:val="24"/>
              </w:rPr>
            </w:pPr>
            <w:r w:rsidRPr="00B47F3A">
              <w:rPr>
                <w:rFonts w:cs="Times New Roman"/>
                <w:szCs w:val="24"/>
              </w:rPr>
              <w:t xml:space="preserve">Pharmacological class </w:t>
            </w:r>
          </w:p>
        </w:tc>
        <w:tc>
          <w:tcPr>
            <w:tcW w:w="6627" w:type="dxa"/>
          </w:tcPr>
          <w:p w14:paraId="1F202132" w14:textId="77777777" w:rsidR="00D20CB2" w:rsidRPr="00B47F3A" w:rsidRDefault="00EA5977" w:rsidP="002D6DD7">
            <w:pPr>
              <w:jc w:val="both"/>
              <w:rPr>
                <w:rFonts w:cs="Times New Roman"/>
                <w:szCs w:val="24"/>
              </w:rPr>
            </w:pPr>
            <w:hyperlink r:id="rId32" w:history="1">
              <w:r w:rsidR="00D20CB2" w:rsidRPr="00B47F3A">
                <w:rPr>
                  <w:rStyle w:val="Hyperlink"/>
                  <w:rFonts w:cs="Times New Roman"/>
                  <w:color w:val="auto"/>
                  <w:szCs w:val="24"/>
                  <w:u w:val="none"/>
                  <w:shd w:val="clear" w:color="auto" w:fill="FFFFFF"/>
                </w:rPr>
                <w:t>Antihistamine</w:t>
              </w:r>
            </w:hyperlink>
            <w:r w:rsidR="00D20CB2" w:rsidRPr="00B47F3A">
              <w:rPr>
                <w:rStyle w:val="Hyperlink"/>
                <w:rFonts w:cs="Times New Roman"/>
                <w:color w:val="auto"/>
                <w:szCs w:val="24"/>
                <w:u w:val="none"/>
                <w:shd w:val="clear" w:color="auto" w:fill="FFFFFF"/>
              </w:rPr>
              <w:t xml:space="preserve"> (H1-receptor antagonist)</w:t>
            </w:r>
          </w:p>
        </w:tc>
      </w:tr>
      <w:tr w:rsidR="00D20CB2" w:rsidRPr="00BD4E51" w14:paraId="62C26038" w14:textId="77777777" w:rsidTr="002D6DD7">
        <w:trPr>
          <w:trHeight w:val="40"/>
        </w:trPr>
        <w:tc>
          <w:tcPr>
            <w:tcW w:w="2695" w:type="dxa"/>
          </w:tcPr>
          <w:p w14:paraId="3C96AA5E"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7B129A4F" w14:textId="77777777" w:rsidR="00D20CB2" w:rsidRDefault="00D20CB2" w:rsidP="002D6DD7">
            <w:pPr>
              <w:jc w:val="both"/>
              <w:rPr>
                <w:rFonts w:cs="Times New Roman"/>
                <w:szCs w:val="24"/>
                <w:lang w:val="sv-SE"/>
              </w:rPr>
            </w:pPr>
            <w:r w:rsidRPr="00B47F3A">
              <w:rPr>
                <w:rFonts w:cs="Times New Roman"/>
                <w:szCs w:val="24"/>
                <w:lang w:val="sv-SE"/>
              </w:rPr>
              <w:t>Syrup (1mg/ml)</w:t>
            </w:r>
          </w:p>
          <w:p w14:paraId="13B6B174" w14:textId="77777777" w:rsidR="00D20CB2" w:rsidRPr="00B47F3A" w:rsidRDefault="00D20CB2" w:rsidP="002D6DD7">
            <w:pPr>
              <w:jc w:val="both"/>
              <w:rPr>
                <w:rFonts w:cs="Times New Roman"/>
                <w:szCs w:val="24"/>
                <w:lang w:val="sv-SE"/>
              </w:rPr>
            </w:pPr>
            <w:r w:rsidRPr="00B47F3A">
              <w:rPr>
                <w:rFonts w:cs="Times New Roman"/>
                <w:color w:val="000000" w:themeColor="text1"/>
                <w:szCs w:val="24"/>
                <w:lang w:val="sv-SE"/>
              </w:rPr>
              <w:t>Tablet (10mg)</w:t>
            </w:r>
          </w:p>
        </w:tc>
      </w:tr>
      <w:tr w:rsidR="00D20CB2" w:rsidRPr="00B47F3A" w14:paraId="67B49232" w14:textId="77777777" w:rsidTr="002D6DD7">
        <w:tc>
          <w:tcPr>
            <w:tcW w:w="2695" w:type="dxa"/>
          </w:tcPr>
          <w:p w14:paraId="55F21D35"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4457646D" w14:textId="77777777" w:rsidR="00D20CB2" w:rsidRPr="00BF47AC" w:rsidRDefault="00D20CB2" w:rsidP="002D6DD7">
            <w:pPr>
              <w:autoSpaceDE w:val="0"/>
              <w:autoSpaceDN w:val="0"/>
              <w:adjustRightInd w:val="0"/>
              <w:jc w:val="both"/>
              <w:rPr>
                <w:rFonts w:eastAsia="Candara-Italic" w:cs="Times New Roman"/>
                <w:iCs/>
                <w:szCs w:val="24"/>
              </w:rPr>
            </w:pPr>
            <w:r w:rsidRPr="00BF47AC">
              <w:rPr>
                <w:rFonts w:cs="Times New Roman"/>
                <w:szCs w:val="24"/>
              </w:rPr>
              <w:t>Symptomatic relief of hypersensitivity reactions, including allergic rhinitis (hay fever), chronic urticaria (hives), other allergic conditions</w:t>
            </w:r>
          </w:p>
        </w:tc>
      </w:tr>
      <w:tr w:rsidR="00D20CB2" w:rsidRPr="00B47F3A" w14:paraId="3766D39D" w14:textId="77777777" w:rsidTr="002D6DD7">
        <w:tc>
          <w:tcPr>
            <w:tcW w:w="2695" w:type="dxa"/>
          </w:tcPr>
          <w:p w14:paraId="155977E3" w14:textId="77777777" w:rsidR="00D20CB2" w:rsidRPr="00B47F3A" w:rsidRDefault="00D20CB2" w:rsidP="002D6DD7">
            <w:pPr>
              <w:rPr>
                <w:rFonts w:cs="Times New Roman"/>
                <w:szCs w:val="24"/>
              </w:rPr>
            </w:pPr>
            <w:r w:rsidRPr="00B47F3A">
              <w:rPr>
                <w:rFonts w:eastAsia="Times New Roman" w:cs="Times New Roman"/>
                <w:szCs w:val="24"/>
              </w:rPr>
              <w:t>Dose and administration</w:t>
            </w:r>
          </w:p>
        </w:tc>
        <w:tc>
          <w:tcPr>
            <w:tcW w:w="6627" w:type="dxa"/>
          </w:tcPr>
          <w:p w14:paraId="2458EC46" w14:textId="77777777" w:rsidR="00D20CB2" w:rsidRPr="00BF47AC" w:rsidRDefault="00D20CB2" w:rsidP="002D6DD7">
            <w:pPr>
              <w:autoSpaceDE w:val="0"/>
              <w:autoSpaceDN w:val="0"/>
              <w:adjustRightInd w:val="0"/>
              <w:jc w:val="both"/>
              <w:rPr>
                <w:rFonts w:cs="Times New Roman"/>
                <w:b/>
                <w:bCs/>
                <w:szCs w:val="24"/>
              </w:rPr>
            </w:pPr>
            <w:r w:rsidRPr="00B47F3A">
              <w:rPr>
                <w:rFonts w:cs="Times New Roman"/>
                <w:b/>
                <w:bCs/>
                <w:szCs w:val="24"/>
              </w:rPr>
              <w:t>Adults and Child 12 Years and Older</w:t>
            </w:r>
            <w:r>
              <w:rPr>
                <w:rFonts w:cs="Times New Roman"/>
                <w:b/>
                <w:bCs/>
                <w:szCs w:val="24"/>
              </w:rPr>
              <w:t xml:space="preserve">: </w:t>
            </w:r>
            <w:r w:rsidRPr="00B47F3A">
              <w:rPr>
                <w:rFonts w:cs="Times New Roman"/>
                <w:szCs w:val="24"/>
              </w:rPr>
              <w:t>10 mg once daily</w:t>
            </w:r>
            <w:r>
              <w:rPr>
                <w:rFonts w:cs="Times New Roman"/>
                <w:szCs w:val="24"/>
              </w:rPr>
              <w:t xml:space="preserve"> or </w:t>
            </w:r>
            <w:r w:rsidRPr="00B47F3A">
              <w:rPr>
                <w:rFonts w:cs="Times New Roman"/>
                <w:szCs w:val="24"/>
              </w:rPr>
              <w:t>5 mg once daily may be sufficient for some patients and can be taken to reduce the risk of drowsiness.</w:t>
            </w:r>
          </w:p>
          <w:p w14:paraId="026D04BD" w14:textId="77777777" w:rsidR="00D20CB2" w:rsidRPr="00BF47AC" w:rsidRDefault="00D20CB2" w:rsidP="002D6DD7">
            <w:pPr>
              <w:autoSpaceDE w:val="0"/>
              <w:autoSpaceDN w:val="0"/>
              <w:adjustRightInd w:val="0"/>
              <w:jc w:val="both"/>
              <w:rPr>
                <w:rFonts w:cs="Times New Roman"/>
                <w:b/>
                <w:bCs/>
                <w:szCs w:val="24"/>
              </w:rPr>
            </w:pPr>
            <w:r w:rsidRPr="00B47F3A">
              <w:rPr>
                <w:rFonts w:cs="Times New Roman"/>
                <w:b/>
                <w:bCs/>
                <w:szCs w:val="24"/>
              </w:rPr>
              <w:t>Child 6 to 11 Years</w:t>
            </w:r>
            <w:r>
              <w:rPr>
                <w:rFonts w:cs="Times New Roman"/>
                <w:b/>
                <w:bCs/>
                <w:szCs w:val="24"/>
              </w:rPr>
              <w:t xml:space="preserve">: </w:t>
            </w:r>
            <w:r w:rsidRPr="00B47F3A">
              <w:rPr>
                <w:rFonts w:cs="Times New Roman"/>
                <w:szCs w:val="24"/>
              </w:rPr>
              <w:t>5-10 mg once daily, depending on the severity of symptoms</w:t>
            </w:r>
            <w:r>
              <w:rPr>
                <w:rFonts w:cs="Times New Roman"/>
                <w:szCs w:val="24"/>
              </w:rPr>
              <w:t xml:space="preserve"> or </w:t>
            </w:r>
            <w:r w:rsidRPr="00B47F3A">
              <w:rPr>
                <w:rFonts w:cs="Times New Roman"/>
                <w:szCs w:val="24"/>
              </w:rPr>
              <w:t>5 mg once daily or 2.5 mg twice daily.</w:t>
            </w:r>
          </w:p>
          <w:p w14:paraId="2B5B68D4"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2 to 5 Years</w:t>
            </w:r>
            <w:r>
              <w:rPr>
                <w:rFonts w:cs="Times New Roman"/>
                <w:b/>
                <w:bCs/>
                <w:szCs w:val="24"/>
              </w:rPr>
              <w:t xml:space="preserve">: </w:t>
            </w:r>
            <w:r w:rsidRPr="00B47F3A">
              <w:rPr>
                <w:rFonts w:cs="Times New Roman"/>
                <w:szCs w:val="24"/>
              </w:rPr>
              <w:t>2.5 mg twice daily</w:t>
            </w:r>
            <w:r>
              <w:rPr>
                <w:rFonts w:cs="Times New Roman"/>
                <w:szCs w:val="24"/>
              </w:rPr>
              <w:t xml:space="preserve"> or </w:t>
            </w:r>
            <w:r w:rsidRPr="00B47F3A">
              <w:rPr>
                <w:rFonts w:cs="Times New Roman"/>
                <w:szCs w:val="24"/>
              </w:rPr>
              <w:t>5 mg once daily may be considered.</w:t>
            </w:r>
          </w:p>
          <w:p w14:paraId="6CD16043"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6 Months to 2 Years</w:t>
            </w:r>
            <w:r>
              <w:rPr>
                <w:rFonts w:cs="Times New Roman"/>
                <w:b/>
                <w:bCs/>
                <w:szCs w:val="24"/>
              </w:rPr>
              <w:t xml:space="preserve">: </w:t>
            </w:r>
            <w:r w:rsidRPr="00B47F3A">
              <w:rPr>
                <w:rFonts w:cs="Times New Roman"/>
                <w:szCs w:val="24"/>
              </w:rPr>
              <w:t>2.5 mg once daily.</w:t>
            </w:r>
            <w:r>
              <w:rPr>
                <w:rFonts w:cs="Times New Roman"/>
                <w:szCs w:val="24"/>
              </w:rPr>
              <w:t xml:space="preserve"> </w:t>
            </w:r>
            <w:r w:rsidRPr="00B47F3A">
              <w:rPr>
                <w:rFonts w:cs="Times New Roman"/>
                <w:szCs w:val="24"/>
              </w:rPr>
              <w:t xml:space="preserve">In cases of severe symptoms, the dose may be increased to 2.5 mg twice daily under </w:t>
            </w:r>
            <w:r w:rsidRPr="00B47F3A">
              <w:rPr>
                <w:rFonts w:cs="Times New Roman"/>
                <w:szCs w:val="24"/>
              </w:rPr>
              <w:lastRenderedPageBreak/>
              <w:t>medical supervision.</w:t>
            </w:r>
          </w:p>
        </w:tc>
      </w:tr>
      <w:tr w:rsidR="00D20CB2" w:rsidRPr="00B47F3A" w14:paraId="240BF429" w14:textId="77777777" w:rsidTr="002D6DD7">
        <w:trPr>
          <w:trHeight w:val="40"/>
        </w:trPr>
        <w:tc>
          <w:tcPr>
            <w:tcW w:w="2695" w:type="dxa"/>
          </w:tcPr>
          <w:p w14:paraId="7ED10FD0" w14:textId="77777777" w:rsidR="00D20CB2" w:rsidRPr="00B47F3A" w:rsidRDefault="00D20CB2" w:rsidP="002D6DD7">
            <w:pPr>
              <w:jc w:val="both"/>
              <w:rPr>
                <w:rFonts w:cs="Times New Roman"/>
                <w:szCs w:val="24"/>
              </w:rPr>
            </w:pPr>
            <w:r w:rsidRPr="00B47F3A">
              <w:rPr>
                <w:rFonts w:cs="Times New Roman"/>
                <w:szCs w:val="24"/>
              </w:rPr>
              <w:lastRenderedPageBreak/>
              <w:t>Contraindications</w:t>
            </w:r>
          </w:p>
        </w:tc>
        <w:tc>
          <w:tcPr>
            <w:tcW w:w="6627" w:type="dxa"/>
          </w:tcPr>
          <w:p w14:paraId="3558A057"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Hypersensitivity to </w:t>
            </w:r>
            <w:r>
              <w:rPr>
                <w:rFonts w:cs="Times New Roman"/>
                <w:szCs w:val="24"/>
              </w:rPr>
              <w:t>the drug</w:t>
            </w:r>
          </w:p>
        </w:tc>
      </w:tr>
      <w:tr w:rsidR="00D20CB2" w:rsidRPr="00B47F3A" w14:paraId="7B407389" w14:textId="77777777" w:rsidTr="002D6DD7">
        <w:tc>
          <w:tcPr>
            <w:tcW w:w="2695" w:type="dxa"/>
          </w:tcPr>
          <w:p w14:paraId="79A29877"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6DC009AF" w14:textId="77777777" w:rsidR="00D20CB2" w:rsidRPr="00B47F3A" w:rsidRDefault="00D20CB2" w:rsidP="002D6DD7">
            <w:pPr>
              <w:autoSpaceDE w:val="0"/>
              <w:autoSpaceDN w:val="0"/>
              <w:adjustRightInd w:val="0"/>
              <w:jc w:val="both"/>
              <w:rPr>
                <w:rFonts w:cs="Times New Roman"/>
                <w:b/>
                <w:bCs/>
                <w:szCs w:val="24"/>
              </w:rPr>
            </w:pPr>
            <w:r w:rsidRPr="00B47F3A">
              <w:rPr>
                <w:rFonts w:cs="Times New Roman"/>
                <w:szCs w:val="24"/>
              </w:rPr>
              <w:t>Olopatadine (intranasal), metoclopramide (intranasal), isocarboxazid, alcohol, sedatives, and tranquilizers</w:t>
            </w:r>
          </w:p>
        </w:tc>
      </w:tr>
      <w:tr w:rsidR="00D20CB2" w:rsidRPr="00B47F3A" w14:paraId="731278E8" w14:textId="77777777" w:rsidTr="002D6DD7">
        <w:tc>
          <w:tcPr>
            <w:tcW w:w="2695" w:type="dxa"/>
          </w:tcPr>
          <w:p w14:paraId="729D3D70"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154AD678"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Somnolence, headache, agitation, fatigue, dry oral, aggression, malaise, diarrhea, paresthesia, skin reactions, bronchospasms and epistaxis, stomach pain, angioedema, tongue discoloration and tremors</w:t>
            </w:r>
          </w:p>
        </w:tc>
      </w:tr>
      <w:tr w:rsidR="00D20CB2" w:rsidRPr="00B47F3A" w14:paraId="41AEECFD" w14:textId="77777777" w:rsidTr="002D6DD7">
        <w:tc>
          <w:tcPr>
            <w:tcW w:w="2695" w:type="dxa"/>
          </w:tcPr>
          <w:p w14:paraId="26B548C7"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13B5D4B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Epilepsy and convulsions, driving, hepatic and renal impairment</w:t>
            </w:r>
          </w:p>
        </w:tc>
      </w:tr>
      <w:tr w:rsidR="00D20CB2" w:rsidRPr="00B47F3A" w14:paraId="5A66E768" w14:textId="77777777" w:rsidTr="002D6DD7">
        <w:tc>
          <w:tcPr>
            <w:tcW w:w="2695" w:type="dxa"/>
          </w:tcPr>
          <w:p w14:paraId="6EC684B1"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50DD71E3"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Store below 30</w:t>
            </w:r>
            <w:r w:rsidRPr="00B47F3A">
              <w:rPr>
                <w:rFonts w:cs="Times New Roman"/>
                <w:color w:val="231F20"/>
                <w:szCs w:val="24"/>
                <w:vertAlign w:val="superscript"/>
              </w:rPr>
              <w:t>0</w:t>
            </w:r>
            <w:r w:rsidRPr="00B47F3A">
              <w:rPr>
                <w:rFonts w:cs="Times New Roman"/>
                <w:color w:val="231F20"/>
                <w:szCs w:val="24"/>
              </w:rPr>
              <w:t>C</w:t>
            </w:r>
            <w:r>
              <w:rPr>
                <w:rFonts w:cs="Times New Roman"/>
                <w:color w:val="231F20"/>
                <w:szCs w:val="24"/>
              </w:rPr>
              <w:t>. P</w:t>
            </w:r>
            <w:r w:rsidRPr="00B47F3A">
              <w:rPr>
                <w:rFonts w:cs="Times New Roman"/>
                <w:color w:val="231F20"/>
                <w:szCs w:val="24"/>
              </w:rPr>
              <w:t>rotect from light and moisture</w:t>
            </w:r>
          </w:p>
        </w:tc>
      </w:tr>
      <w:tr w:rsidR="00D20CB2" w:rsidRPr="00B47F3A" w14:paraId="7B4060CC" w14:textId="77777777" w:rsidTr="002D6DD7">
        <w:tc>
          <w:tcPr>
            <w:tcW w:w="9322" w:type="dxa"/>
            <w:gridSpan w:val="2"/>
          </w:tcPr>
          <w:p w14:paraId="38C867BC" w14:textId="77777777" w:rsidR="00D20CB2" w:rsidRPr="00B47F3A" w:rsidRDefault="00D20CB2" w:rsidP="002D6DD7">
            <w:pPr>
              <w:jc w:val="both"/>
              <w:rPr>
                <w:rFonts w:cs="Times New Roman"/>
                <w:szCs w:val="24"/>
              </w:rPr>
            </w:pPr>
            <w:bookmarkStart w:id="119" w:name="_Toc168315276"/>
            <w:r w:rsidRPr="00B47F3A">
              <w:rPr>
                <w:rStyle w:val="Strong"/>
                <w:rFonts w:cs="Times New Roman"/>
                <w:szCs w:val="24"/>
              </w:rPr>
              <w:t>Chlorpheniramine malate</w:t>
            </w:r>
            <w:bookmarkEnd w:id="119"/>
          </w:p>
        </w:tc>
      </w:tr>
      <w:tr w:rsidR="00D20CB2" w:rsidRPr="00B47F3A" w14:paraId="2BAF7D28" w14:textId="77777777" w:rsidTr="002D6DD7">
        <w:tc>
          <w:tcPr>
            <w:tcW w:w="2695" w:type="dxa"/>
          </w:tcPr>
          <w:p w14:paraId="6FCE7994" w14:textId="77777777" w:rsidR="00D20CB2" w:rsidRPr="00B47F3A" w:rsidRDefault="00D20CB2" w:rsidP="002D6DD7">
            <w:pPr>
              <w:jc w:val="both"/>
              <w:rPr>
                <w:rFonts w:cs="Times New Roman"/>
                <w:szCs w:val="24"/>
              </w:rPr>
            </w:pPr>
            <w:r w:rsidRPr="00B47F3A">
              <w:rPr>
                <w:rFonts w:cs="Times New Roman"/>
                <w:szCs w:val="24"/>
              </w:rPr>
              <w:t>pharmacological class</w:t>
            </w:r>
          </w:p>
        </w:tc>
        <w:tc>
          <w:tcPr>
            <w:tcW w:w="6627" w:type="dxa"/>
          </w:tcPr>
          <w:p w14:paraId="5F1B0C30" w14:textId="77777777" w:rsidR="00D20CB2" w:rsidRPr="00B47F3A" w:rsidRDefault="00EA5977" w:rsidP="002D6DD7">
            <w:pPr>
              <w:jc w:val="both"/>
              <w:rPr>
                <w:rFonts w:cs="Times New Roman"/>
                <w:szCs w:val="24"/>
              </w:rPr>
            </w:pPr>
            <w:hyperlink r:id="rId33" w:history="1">
              <w:r w:rsidR="00D20CB2" w:rsidRPr="00B47F3A">
                <w:rPr>
                  <w:rStyle w:val="Hyperlink"/>
                  <w:rFonts w:cs="Times New Roman"/>
                  <w:color w:val="auto"/>
                  <w:szCs w:val="24"/>
                  <w:u w:val="none"/>
                  <w:shd w:val="clear" w:color="auto" w:fill="FFFFFF"/>
                </w:rPr>
                <w:t>Antihistamine</w:t>
              </w:r>
            </w:hyperlink>
            <w:r w:rsidR="00D20CB2" w:rsidRPr="00B47F3A">
              <w:rPr>
                <w:rStyle w:val="Hyperlink"/>
                <w:rFonts w:cs="Times New Roman"/>
                <w:color w:val="auto"/>
                <w:szCs w:val="24"/>
                <w:u w:val="none"/>
                <w:shd w:val="clear" w:color="auto" w:fill="FFFFFF"/>
              </w:rPr>
              <w:t xml:space="preserve"> (H1-receptor antagonist)</w:t>
            </w:r>
          </w:p>
        </w:tc>
      </w:tr>
      <w:tr w:rsidR="00D20CB2" w:rsidRPr="00B47F3A" w14:paraId="20EAD869" w14:textId="77777777" w:rsidTr="002D6DD7">
        <w:trPr>
          <w:trHeight w:val="40"/>
        </w:trPr>
        <w:tc>
          <w:tcPr>
            <w:tcW w:w="2695" w:type="dxa"/>
          </w:tcPr>
          <w:p w14:paraId="06613AB5"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5B15D6B1" w14:textId="77777777" w:rsidR="00D20CB2" w:rsidRDefault="00D20CB2" w:rsidP="002D6DD7">
            <w:pPr>
              <w:jc w:val="both"/>
              <w:rPr>
                <w:rFonts w:cs="Times New Roman"/>
                <w:szCs w:val="24"/>
                <w:lang w:val="sv-SE"/>
              </w:rPr>
            </w:pPr>
            <w:r w:rsidRPr="00B47F3A">
              <w:rPr>
                <w:rFonts w:cs="Times New Roman"/>
                <w:szCs w:val="24"/>
                <w:lang w:val="sv-SE"/>
              </w:rPr>
              <w:t>Tablet (2mg, 4mg, 6mg), Syrup (2mg/5ml)</w:t>
            </w:r>
          </w:p>
          <w:p w14:paraId="6FDA3331" w14:textId="77777777" w:rsidR="00D20CB2" w:rsidRPr="00B47F3A" w:rsidRDefault="00D20CB2" w:rsidP="002D6DD7">
            <w:pPr>
              <w:jc w:val="both"/>
              <w:rPr>
                <w:rFonts w:cs="Times New Roman"/>
                <w:szCs w:val="24"/>
                <w:lang w:val="sv-SE"/>
              </w:rPr>
            </w:pPr>
            <w:r w:rsidRPr="00B47F3A">
              <w:rPr>
                <w:rFonts w:cs="Times New Roman"/>
                <w:szCs w:val="24"/>
                <w:lang w:val="sv-SE"/>
              </w:rPr>
              <w:t>Injec</w:t>
            </w:r>
            <w:r w:rsidRPr="00B47F3A">
              <w:rPr>
                <w:rFonts w:cs="Times New Roman"/>
                <w:szCs w:val="24"/>
              </w:rPr>
              <w:t>tion (10mg)</w:t>
            </w:r>
          </w:p>
        </w:tc>
      </w:tr>
      <w:tr w:rsidR="00D20CB2" w:rsidRPr="00B47F3A" w14:paraId="1EDA36D2" w14:textId="77777777" w:rsidTr="002D6DD7">
        <w:tc>
          <w:tcPr>
            <w:tcW w:w="2695" w:type="dxa"/>
          </w:tcPr>
          <w:p w14:paraId="6C7D067D"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136EDB28" w14:textId="77777777" w:rsidR="00D20CB2" w:rsidRPr="006D30E4" w:rsidRDefault="00D20CB2" w:rsidP="002D6DD7">
            <w:pPr>
              <w:autoSpaceDE w:val="0"/>
              <w:autoSpaceDN w:val="0"/>
              <w:adjustRightInd w:val="0"/>
              <w:jc w:val="both"/>
              <w:rPr>
                <w:rFonts w:cs="Times New Roman"/>
                <w:szCs w:val="24"/>
              </w:rPr>
            </w:pPr>
            <w:r w:rsidRPr="006D30E4">
              <w:rPr>
                <w:rFonts w:cs="Times New Roman"/>
                <w:szCs w:val="24"/>
              </w:rPr>
              <w:t>Symptomatic relief of allergies such as hay fever, urticaria, food allergies, and drug reactions, relief of itch associated with chickenpox, emergency treatment of anaphylactic reactions</w:t>
            </w:r>
          </w:p>
        </w:tc>
      </w:tr>
      <w:tr w:rsidR="00D20CB2" w:rsidRPr="00B47F3A" w14:paraId="0C02D7A7" w14:textId="77777777" w:rsidTr="002D6DD7">
        <w:tc>
          <w:tcPr>
            <w:tcW w:w="2695" w:type="dxa"/>
          </w:tcPr>
          <w:p w14:paraId="3475CCFD" w14:textId="77777777" w:rsidR="00D20CB2" w:rsidRPr="00B47F3A" w:rsidRDefault="00D20CB2" w:rsidP="002D6DD7">
            <w:pPr>
              <w:rPr>
                <w:rFonts w:cs="Times New Roman"/>
                <w:szCs w:val="24"/>
              </w:rPr>
            </w:pPr>
            <w:r w:rsidRPr="00B47F3A">
              <w:rPr>
                <w:rFonts w:eastAsia="Times New Roman" w:cs="Times New Roman"/>
                <w:szCs w:val="24"/>
              </w:rPr>
              <w:t>dose and administration</w:t>
            </w:r>
          </w:p>
        </w:tc>
        <w:tc>
          <w:tcPr>
            <w:tcW w:w="6627" w:type="dxa"/>
          </w:tcPr>
          <w:p w14:paraId="2645D051"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under 1 year:</w:t>
            </w:r>
            <w:r w:rsidRPr="00B47F3A">
              <w:rPr>
                <w:rFonts w:cs="Times New Roman"/>
                <w:szCs w:val="24"/>
              </w:rPr>
              <w:t xml:space="preserve"> Not recommended</w:t>
            </w:r>
          </w:p>
          <w:p w14:paraId="5F557510"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1-2 years:</w:t>
            </w:r>
            <w:r w:rsidRPr="00B47F3A">
              <w:rPr>
                <w:rFonts w:cs="Times New Roman"/>
                <w:szCs w:val="24"/>
              </w:rPr>
              <w:t xml:space="preserve"> 1 mg orally twice daily</w:t>
            </w:r>
          </w:p>
          <w:p w14:paraId="6C78C525"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2–5 years:</w:t>
            </w:r>
            <w:r w:rsidRPr="00B47F3A">
              <w:rPr>
                <w:rFonts w:cs="Times New Roman"/>
                <w:szCs w:val="24"/>
              </w:rPr>
              <w:t xml:space="preserve"> 1 mg orally every 4–6 hours; maximum 6 mg per day</w:t>
            </w:r>
          </w:p>
          <w:p w14:paraId="70301094"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6–11 years:</w:t>
            </w:r>
            <w:r w:rsidRPr="00B47F3A">
              <w:rPr>
                <w:rFonts w:cs="Times New Roman"/>
                <w:szCs w:val="24"/>
              </w:rPr>
              <w:t xml:space="preserve"> 2 mg orally every 4–6 hours; maximum 12 mg per day</w:t>
            </w:r>
          </w:p>
          <w:p w14:paraId="7EF8EC95"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12–17 years:</w:t>
            </w:r>
            <w:r w:rsidRPr="00B47F3A">
              <w:rPr>
                <w:rFonts w:cs="Times New Roman"/>
                <w:szCs w:val="24"/>
              </w:rPr>
              <w:t xml:space="preserve"> 4 mg orally every 4–6 hours; maximum 24 mg per day</w:t>
            </w:r>
          </w:p>
          <w:p w14:paraId="2E9902D8"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Adult:</w:t>
            </w:r>
            <w:r w:rsidRPr="00B47F3A">
              <w:rPr>
                <w:rFonts w:cs="Times New Roman"/>
                <w:szCs w:val="24"/>
              </w:rPr>
              <w:t xml:space="preserve"> 4 mg orally very 4–6 hours; maximum 24 mg per day</w:t>
            </w:r>
          </w:p>
          <w:p w14:paraId="3F0EF5E8"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Elderly:</w:t>
            </w:r>
            <w:r w:rsidRPr="00B47F3A">
              <w:rPr>
                <w:rFonts w:cs="Times New Roman"/>
                <w:szCs w:val="24"/>
              </w:rPr>
              <w:t xml:space="preserve"> 4 mg orally every 4–6 hours; maximum 12 mg per day</w:t>
            </w:r>
          </w:p>
          <w:p w14:paraId="3BFC8C2A" w14:textId="77777777" w:rsidR="00D20CB2" w:rsidRPr="00B47F3A" w:rsidRDefault="00D20CB2" w:rsidP="002D6DD7">
            <w:pPr>
              <w:autoSpaceDE w:val="0"/>
              <w:autoSpaceDN w:val="0"/>
              <w:adjustRightInd w:val="0"/>
              <w:jc w:val="both"/>
              <w:rPr>
                <w:rFonts w:cs="Times New Roman"/>
                <w:b/>
                <w:bCs/>
                <w:szCs w:val="24"/>
              </w:rPr>
            </w:pPr>
            <w:r w:rsidRPr="00B47F3A">
              <w:rPr>
                <w:rFonts w:cs="Times New Roman"/>
                <w:b/>
                <w:bCs/>
                <w:szCs w:val="24"/>
              </w:rPr>
              <w:t>IM or intravenous Injection</w:t>
            </w:r>
          </w:p>
          <w:p w14:paraId="6299FAA7"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1–5 years:</w:t>
            </w:r>
            <w:r w:rsidRPr="00B47F3A">
              <w:rPr>
                <w:rFonts w:cs="Times New Roman"/>
                <w:szCs w:val="24"/>
              </w:rPr>
              <w:t xml:space="preserve"> 2.5 mg, repeated if necessary. maximum 10mg per day</w:t>
            </w:r>
          </w:p>
          <w:p w14:paraId="4831B8E0"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6–11 years:</w:t>
            </w:r>
            <w:r w:rsidRPr="00B47F3A">
              <w:rPr>
                <w:rFonts w:cs="Times New Roman"/>
                <w:szCs w:val="24"/>
              </w:rPr>
              <w:t xml:space="preserve"> 5 mg, repeated if necessary; maximum 20mg </w:t>
            </w:r>
            <w:r w:rsidRPr="00B47F3A">
              <w:rPr>
                <w:rFonts w:cs="Times New Roman"/>
                <w:szCs w:val="24"/>
              </w:rPr>
              <w:lastRenderedPageBreak/>
              <w:t>per day</w:t>
            </w:r>
          </w:p>
          <w:p w14:paraId="368E4BE8"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12 years and above:</w:t>
            </w:r>
            <w:r w:rsidRPr="00B47F3A">
              <w:rPr>
                <w:rFonts w:cs="Times New Roman"/>
                <w:szCs w:val="24"/>
              </w:rPr>
              <w:t>10 mg, repeated if necessary; maximum 40mg per day</w:t>
            </w:r>
          </w:p>
        </w:tc>
      </w:tr>
      <w:tr w:rsidR="00D20CB2" w:rsidRPr="00B47F3A" w14:paraId="12C5E668" w14:textId="77777777" w:rsidTr="002D6DD7">
        <w:trPr>
          <w:trHeight w:val="40"/>
        </w:trPr>
        <w:tc>
          <w:tcPr>
            <w:tcW w:w="2695" w:type="dxa"/>
          </w:tcPr>
          <w:p w14:paraId="6417E95F" w14:textId="77777777" w:rsidR="00D20CB2" w:rsidRPr="00B47F3A" w:rsidRDefault="00D20CB2" w:rsidP="002D6DD7">
            <w:pPr>
              <w:jc w:val="both"/>
              <w:rPr>
                <w:rFonts w:cs="Times New Roman"/>
                <w:szCs w:val="24"/>
              </w:rPr>
            </w:pPr>
            <w:r w:rsidRPr="00B47F3A">
              <w:rPr>
                <w:rFonts w:cs="Times New Roman"/>
                <w:szCs w:val="24"/>
              </w:rPr>
              <w:lastRenderedPageBreak/>
              <w:t>contraindications</w:t>
            </w:r>
          </w:p>
        </w:tc>
        <w:tc>
          <w:tcPr>
            <w:tcW w:w="6627" w:type="dxa"/>
          </w:tcPr>
          <w:p w14:paraId="0460DB33"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Hypersensitivity to </w:t>
            </w:r>
            <w:r>
              <w:rPr>
                <w:rFonts w:cs="Times New Roman"/>
                <w:szCs w:val="24"/>
              </w:rPr>
              <w:t>the drug</w:t>
            </w:r>
            <w:r w:rsidRPr="00B47F3A">
              <w:rPr>
                <w:rFonts w:cs="Times New Roman"/>
                <w:szCs w:val="24"/>
              </w:rPr>
              <w:t xml:space="preserve"> or dexchlorpheniramine</w:t>
            </w:r>
          </w:p>
        </w:tc>
      </w:tr>
      <w:tr w:rsidR="00D20CB2" w:rsidRPr="00B47F3A" w14:paraId="27F40500" w14:textId="77777777" w:rsidTr="002D6DD7">
        <w:tc>
          <w:tcPr>
            <w:tcW w:w="2695" w:type="dxa"/>
          </w:tcPr>
          <w:p w14:paraId="4D24E412"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1B4E5A89"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Tricyclic antidepressants, anticholinergics, benzodiazepines, protease inhibitors, alcohol</w:t>
            </w:r>
          </w:p>
        </w:tc>
      </w:tr>
      <w:tr w:rsidR="00D20CB2" w:rsidRPr="00B47F3A" w14:paraId="43B6661C" w14:textId="77777777" w:rsidTr="002D6DD7">
        <w:tc>
          <w:tcPr>
            <w:tcW w:w="2695" w:type="dxa"/>
          </w:tcPr>
          <w:p w14:paraId="57709290"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14B375AF"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Drowsiness, impaired concentration, abnormal coordination, dizziness, dry </w:t>
            </w:r>
            <w:r>
              <w:rPr>
                <w:rFonts w:cs="Times New Roman"/>
                <w:szCs w:val="24"/>
              </w:rPr>
              <w:t>mouth</w:t>
            </w:r>
            <w:r w:rsidRPr="00B47F3A">
              <w:rPr>
                <w:rFonts w:cs="Times New Roman"/>
                <w:szCs w:val="24"/>
              </w:rPr>
              <w:t>, fatigue, headache, nausea, blurred vision, agitation, decreased appetite, blood disorders, increased bronchial secretion viscosity, depression, diarrhea, hemolytic anemia, hypotension, irritability, muscle twitching, muscle weakness, nightmares, palpitations, photosensitivity reaction, skin reactions, tinnitus, urinary retention, vomiting</w:t>
            </w:r>
          </w:p>
        </w:tc>
      </w:tr>
      <w:tr w:rsidR="00D20CB2" w:rsidRPr="00B47F3A" w14:paraId="21D5545D" w14:textId="77777777" w:rsidTr="002D6DD7">
        <w:tc>
          <w:tcPr>
            <w:tcW w:w="2695" w:type="dxa"/>
          </w:tcPr>
          <w:p w14:paraId="4778081A"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62DBB5AB"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Epilepsy, asthma, urinary retention, bladder neck obstruction, hepatic insufficiency, narrow-angle glaucoma, pyloroduodenal obstruction, sedative effects, stenosing peptic ulcer, symptomatic prostatic hypertrophy, renal and hepatic impairment</w:t>
            </w:r>
          </w:p>
        </w:tc>
      </w:tr>
      <w:tr w:rsidR="00D20CB2" w:rsidRPr="00B47F3A" w14:paraId="1437C725" w14:textId="77777777" w:rsidTr="002D6DD7">
        <w:tc>
          <w:tcPr>
            <w:tcW w:w="2695" w:type="dxa"/>
          </w:tcPr>
          <w:p w14:paraId="10123533"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258FAEF6" w14:textId="77777777" w:rsidR="00D20CB2" w:rsidRPr="00B47F3A" w:rsidRDefault="00D20CB2" w:rsidP="002D6DD7">
            <w:pPr>
              <w:autoSpaceDE w:val="0"/>
              <w:autoSpaceDN w:val="0"/>
              <w:adjustRightInd w:val="0"/>
              <w:jc w:val="both"/>
              <w:rPr>
                <w:rFonts w:cs="Times New Roman"/>
                <w:szCs w:val="24"/>
              </w:rPr>
            </w:pPr>
            <w:r w:rsidRPr="00B47F3A">
              <w:rPr>
                <w:rFonts w:cs="Times New Roman"/>
                <w:color w:val="231F20"/>
                <w:szCs w:val="24"/>
              </w:rPr>
              <w:t>Store below 30</w:t>
            </w:r>
            <w:r w:rsidRPr="00B47F3A">
              <w:rPr>
                <w:rFonts w:cs="Times New Roman"/>
                <w:color w:val="231F20"/>
                <w:szCs w:val="24"/>
                <w:vertAlign w:val="superscript"/>
              </w:rPr>
              <w:t>0</w:t>
            </w:r>
            <w:r w:rsidRPr="00B47F3A">
              <w:rPr>
                <w:rFonts w:cs="Times New Roman"/>
                <w:color w:val="231F20"/>
                <w:szCs w:val="24"/>
              </w:rPr>
              <w:t>C</w:t>
            </w:r>
            <w:r w:rsidRPr="00B47F3A">
              <w:rPr>
                <w:rFonts w:cs="Times New Roman"/>
                <w:szCs w:val="24"/>
              </w:rPr>
              <w:t>.</w:t>
            </w:r>
          </w:p>
        </w:tc>
      </w:tr>
      <w:tr w:rsidR="00D20CB2" w:rsidRPr="00B47F3A" w14:paraId="2FAECC08" w14:textId="77777777" w:rsidTr="002D6DD7">
        <w:tc>
          <w:tcPr>
            <w:tcW w:w="9322" w:type="dxa"/>
            <w:gridSpan w:val="2"/>
          </w:tcPr>
          <w:p w14:paraId="3ADF9DA0" w14:textId="77777777" w:rsidR="00D20CB2" w:rsidRPr="00B47F3A" w:rsidRDefault="00D20CB2" w:rsidP="002D6DD7">
            <w:pPr>
              <w:jc w:val="both"/>
              <w:rPr>
                <w:rFonts w:cs="Times New Roman"/>
                <w:b/>
                <w:bCs/>
                <w:color w:val="FFFFFF" w:themeColor="background1"/>
                <w:szCs w:val="24"/>
              </w:rPr>
            </w:pPr>
            <w:r w:rsidRPr="00B47F3A">
              <w:rPr>
                <w:rFonts w:cs="Times New Roman"/>
                <w:b/>
                <w:bCs/>
                <w:szCs w:val="24"/>
                <w:shd w:val="clear" w:color="auto" w:fill="FFFFFF" w:themeFill="background1"/>
              </w:rPr>
              <w:t>Desloratadine</w:t>
            </w:r>
          </w:p>
        </w:tc>
      </w:tr>
      <w:tr w:rsidR="00D20CB2" w:rsidRPr="00B47F3A" w14:paraId="2B6EB69A" w14:textId="77777777" w:rsidTr="002D6DD7">
        <w:tc>
          <w:tcPr>
            <w:tcW w:w="2695" w:type="dxa"/>
          </w:tcPr>
          <w:p w14:paraId="5FD61EA1" w14:textId="77777777" w:rsidR="00D20CB2" w:rsidRPr="00B47F3A" w:rsidRDefault="00D20CB2" w:rsidP="002D6DD7">
            <w:pPr>
              <w:jc w:val="both"/>
              <w:rPr>
                <w:rFonts w:cs="Times New Roman"/>
                <w:color w:val="FFFFFF" w:themeColor="background1"/>
                <w:szCs w:val="24"/>
              </w:rPr>
            </w:pPr>
            <w:r w:rsidRPr="00B47F3A">
              <w:rPr>
                <w:rFonts w:cs="Times New Roman"/>
                <w:color w:val="000000" w:themeColor="text1"/>
                <w:szCs w:val="24"/>
              </w:rPr>
              <w:t>Pharmacological class</w:t>
            </w:r>
          </w:p>
        </w:tc>
        <w:tc>
          <w:tcPr>
            <w:tcW w:w="6627" w:type="dxa"/>
          </w:tcPr>
          <w:p w14:paraId="3461EA85" w14:textId="77777777" w:rsidR="00D20CB2" w:rsidRPr="00B47F3A" w:rsidRDefault="00EA5977" w:rsidP="002D6DD7">
            <w:pPr>
              <w:jc w:val="both"/>
              <w:rPr>
                <w:rFonts w:cs="Times New Roman"/>
                <w:szCs w:val="24"/>
              </w:rPr>
            </w:pPr>
            <w:hyperlink r:id="rId34" w:history="1">
              <w:r w:rsidR="00D20CB2" w:rsidRPr="00B47F3A">
                <w:rPr>
                  <w:rStyle w:val="Hyperlink"/>
                  <w:rFonts w:cs="Times New Roman"/>
                  <w:color w:val="auto"/>
                  <w:szCs w:val="24"/>
                  <w:u w:val="none"/>
                  <w:shd w:val="clear" w:color="auto" w:fill="FFFFFF"/>
                </w:rPr>
                <w:t>Antihistamine</w:t>
              </w:r>
            </w:hyperlink>
            <w:r w:rsidR="00D20CB2" w:rsidRPr="00B47F3A">
              <w:rPr>
                <w:rStyle w:val="Hyperlink"/>
                <w:rFonts w:cs="Times New Roman"/>
                <w:color w:val="auto"/>
                <w:szCs w:val="24"/>
                <w:u w:val="none"/>
                <w:shd w:val="clear" w:color="auto" w:fill="FFFFFF"/>
              </w:rPr>
              <w:t xml:space="preserve"> (H1-receptor antagonist)</w:t>
            </w:r>
          </w:p>
        </w:tc>
      </w:tr>
      <w:tr w:rsidR="00D20CB2" w:rsidRPr="00BD4E51" w14:paraId="0021DE0D" w14:textId="77777777" w:rsidTr="002D6DD7">
        <w:trPr>
          <w:trHeight w:val="40"/>
        </w:trPr>
        <w:tc>
          <w:tcPr>
            <w:tcW w:w="2695" w:type="dxa"/>
          </w:tcPr>
          <w:p w14:paraId="515FF3F5"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691ED8D1" w14:textId="77777777" w:rsidR="00D20CB2" w:rsidRDefault="00D20CB2" w:rsidP="002D6DD7">
            <w:pPr>
              <w:jc w:val="both"/>
              <w:rPr>
                <w:rFonts w:cs="Times New Roman"/>
                <w:szCs w:val="24"/>
                <w:lang w:val="sv-SE"/>
              </w:rPr>
            </w:pPr>
            <w:r w:rsidRPr="00B47F3A">
              <w:rPr>
                <w:rFonts w:cs="Times New Roman"/>
                <w:szCs w:val="24"/>
                <w:lang w:val="sv-SE"/>
              </w:rPr>
              <w:t>Syrup (0.5mg/ml)</w:t>
            </w:r>
          </w:p>
          <w:p w14:paraId="5F70A975" w14:textId="77777777" w:rsidR="00D20CB2" w:rsidRPr="00B47F3A" w:rsidRDefault="00D20CB2" w:rsidP="002D6DD7">
            <w:pPr>
              <w:jc w:val="both"/>
              <w:rPr>
                <w:rFonts w:cs="Times New Roman"/>
                <w:szCs w:val="24"/>
                <w:lang w:val="sv-SE"/>
              </w:rPr>
            </w:pPr>
            <w:r w:rsidRPr="00B47F3A">
              <w:rPr>
                <w:rFonts w:cs="Times New Roman"/>
                <w:szCs w:val="24"/>
                <w:lang w:val="sv-SE"/>
              </w:rPr>
              <w:t>Tablet (5mg)</w:t>
            </w:r>
          </w:p>
        </w:tc>
      </w:tr>
      <w:tr w:rsidR="00D20CB2" w:rsidRPr="00B47F3A" w14:paraId="0F6DDC26" w14:textId="77777777" w:rsidTr="002D6DD7">
        <w:trPr>
          <w:trHeight w:val="40"/>
        </w:trPr>
        <w:tc>
          <w:tcPr>
            <w:tcW w:w="2695" w:type="dxa"/>
          </w:tcPr>
          <w:p w14:paraId="2E504575"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58855DD7" w14:textId="77777777" w:rsidR="00D20CB2" w:rsidRPr="00A808A8" w:rsidRDefault="00D20CB2" w:rsidP="002D6DD7">
            <w:pPr>
              <w:autoSpaceDE w:val="0"/>
              <w:autoSpaceDN w:val="0"/>
              <w:adjustRightInd w:val="0"/>
              <w:jc w:val="both"/>
              <w:rPr>
                <w:rFonts w:cs="Times New Roman"/>
                <w:szCs w:val="24"/>
              </w:rPr>
            </w:pPr>
            <w:r w:rsidRPr="00A808A8">
              <w:rPr>
                <w:rFonts w:cs="Times New Roman"/>
                <w:szCs w:val="24"/>
              </w:rPr>
              <w:t>Symptomatic relief of nasal and non-nasal symptoms of seasonal allergic rhinitis and perennial allergic rhinitis, treatment of chronic idiopathic urticaria</w:t>
            </w:r>
          </w:p>
        </w:tc>
      </w:tr>
      <w:tr w:rsidR="00D20CB2" w:rsidRPr="00B47F3A" w14:paraId="5EC509EB" w14:textId="77777777" w:rsidTr="002D6DD7">
        <w:trPr>
          <w:trHeight w:val="449"/>
        </w:trPr>
        <w:tc>
          <w:tcPr>
            <w:tcW w:w="2695" w:type="dxa"/>
          </w:tcPr>
          <w:p w14:paraId="04A34585" w14:textId="77777777" w:rsidR="00D20CB2" w:rsidRPr="00B47F3A" w:rsidRDefault="00D20CB2" w:rsidP="002D6DD7">
            <w:pPr>
              <w:rPr>
                <w:rFonts w:cs="Times New Roman"/>
                <w:szCs w:val="24"/>
              </w:rPr>
            </w:pPr>
            <w:r w:rsidRPr="00B47F3A">
              <w:rPr>
                <w:rFonts w:eastAsia="Times New Roman" w:cs="Times New Roman"/>
                <w:szCs w:val="24"/>
              </w:rPr>
              <w:t>Dose and administration</w:t>
            </w:r>
          </w:p>
        </w:tc>
        <w:tc>
          <w:tcPr>
            <w:tcW w:w="6627" w:type="dxa"/>
          </w:tcPr>
          <w:p w14:paraId="06AEBD23" w14:textId="77777777" w:rsidR="00D20CB2" w:rsidRPr="00B47F3A" w:rsidRDefault="00D20CB2" w:rsidP="002D6DD7">
            <w:pPr>
              <w:autoSpaceDE w:val="0"/>
              <w:autoSpaceDN w:val="0"/>
              <w:adjustRightInd w:val="0"/>
              <w:jc w:val="both"/>
              <w:rPr>
                <w:rFonts w:cs="Times New Roman"/>
                <w:b/>
                <w:bCs/>
                <w:szCs w:val="24"/>
              </w:rPr>
            </w:pPr>
            <w:r w:rsidRPr="00B47F3A">
              <w:rPr>
                <w:rFonts w:cs="Times New Roman"/>
                <w:b/>
                <w:bCs/>
                <w:szCs w:val="24"/>
              </w:rPr>
              <w:t xml:space="preserve">Child 6 to 11 Months: </w:t>
            </w:r>
            <w:r w:rsidRPr="00B47F3A">
              <w:rPr>
                <w:rFonts w:cs="Times New Roman"/>
                <w:szCs w:val="24"/>
              </w:rPr>
              <w:t>1 mg orally once daily</w:t>
            </w:r>
          </w:p>
          <w:p w14:paraId="789A9591"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1–5 years:</w:t>
            </w:r>
            <w:r w:rsidRPr="00B47F3A">
              <w:rPr>
                <w:rFonts w:cs="Times New Roman"/>
                <w:szCs w:val="24"/>
              </w:rPr>
              <w:t xml:space="preserve"> 1.25 mg orally once daily</w:t>
            </w:r>
          </w:p>
          <w:p w14:paraId="5D68E22C"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6–11 years:</w:t>
            </w:r>
            <w:r w:rsidRPr="00B47F3A">
              <w:rPr>
                <w:rFonts w:cs="Times New Roman"/>
                <w:szCs w:val="24"/>
              </w:rPr>
              <w:t xml:space="preserve"> 2.5 mg orally once daily</w:t>
            </w:r>
          </w:p>
          <w:p w14:paraId="1BB98DA0"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Child 12–17 years:</w:t>
            </w:r>
            <w:r w:rsidRPr="00B47F3A">
              <w:rPr>
                <w:rFonts w:cs="Times New Roman"/>
                <w:szCs w:val="24"/>
              </w:rPr>
              <w:t xml:space="preserve"> 5 mg orally once daily</w:t>
            </w:r>
          </w:p>
          <w:p w14:paraId="387AEC39" w14:textId="77777777" w:rsidR="00D20CB2" w:rsidRPr="00B47F3A" w:rsidRDefault="00D20CB2" w:rsidP="002D6DD7">
            <w:pPr>
              <w:autoSpaceDE w:val="0"/>
              <w:autoSpaceDN w:val="0"/>
              <w:adjustRightInd w:val="0"/>
              <w:jc w:val="both"/>
              <w:rPr>
                <w:rFonts w:cs="Times New Roman"/>
                <w:szCs w:val="24"/>
              </w:rPr>
            </w:pPr>
            <w:r w:rsidRPr="00B47F3A">
              <w:rPr>
                <w:rFonts w:cs="Times New Roman"/>
                <w:b/>
                <w:bCs/>
                <w:szCs w:val="24"/>
              </w:rPr>
              <w:t>Adult:</w:t>
            </w:r>
            <w:r w:rsidRPr="00B47F3A">
              <w:rPr>
                <w:rFonts w:cs="Times New Roman"/>
                <w:szCs w:val="24"/>
              </w:rPr>
              <w:t xml:space="preserve"> 5 mg orally once daily</w:t>
            </w:r>
          </w:p>
        </w:tc>
      </w:tr>
      <w:tr w:rsidR="00D20CB2" w:rsidRPr="00B47F3A" w14:paraId="30D1A11A" w14:textId="77777777" w:rsidTr="002D6DD7">
        <w:trPr>
          <w:trHeight w:val="40"/>
        </w:trPr>
        <w:tc>
          <w:tcPr>
            <w:tcW w:w="2695" w:type="dxa"/>
          </w:tcPr>
          <w:p w14:paraId="481A5396" w14:textId="77777777" w:rsidR="00D20CB2" w:rsidRPr="00B47F3A" w:rsidRDefault="00D20CB2" w:rsidP="002D6DD7">
            <w:pPr>
              <w:jc w:val="both"/>
              <w:rPr>
                <w:rFonts w:cs="Times New Roman"/>
                <w:szCs w:val="24"/>
              </w:rPr>
            </w:pPr>
            <w:r w:rsidRPr="00B47F3A">
              <w:rPr>
                <w:rFonts w:cs="Times New Roman"/>
                <w:szCs w:val="24"/>
              </w:rPr>
              <w:lastRenderedPageBreak/>
              <w:t>Contraindications</w:t>
            </w:r>
          </w:p>
        </w:tc>
        <w:tc>
          <w:tcPr>
            <w:tcW w:w="6627" w:type="dxa"/>
          </w:tcPr>
          <w:p w14:paraId="35058BD1"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Hypersensitivity to </w:t>
            </w:r>
            <w:r>
              <w:rPr>
                <w:rFonts w:cs="Times New Roman"/>
                <w:szCs w:val="24"/>
              </w:rPr>
              <w:t>the drug or</w:t>
            </w:r>
            <w:r w:rsidRPr="00B47F3A">
              <w:rPr>
                <w:rFonts w:cs="Times New Roman"/>
                <w:szCs w:val="24"/>
              </w:rPr>
              <w:t xml:space="preserve"> loratadine</w:t>
            </w:r>
          </w:p>
        </w:tc>
      </w:tr>
      <w:tr w:rsidR="00D20CB2" w:rsidRPr="00B47F3A" w14:paraId="5DC64745" w14:textId="77777777" w:rsidTr="002D6DD7">
        <w:tc>
          <w:tcPr>
            <w:tcW w:w="2695" w:type="dxa"/>
          </w:tcPr>
          <w:p w14:paraId="751E238E"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2046F8DF"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Erythromycin, ketoconazole</w:t>
            </w:r>
          </w:p>
        </w:tc>
      </w:tr>
      <w:tr w:rsidR="00D20CB2" w:rsidRPr="00B47F3A" w14:paraId="2D6B2176" w14:textId="77777777" w:rsidTr="002D6DD7">
        <w:tc>
          <w:tcPr>
            <w:tcW w:w="2695" w:type="dxa"/>
          </w:tcPr>
          <w:p w14:paraId="1AA90E1E"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628F4586"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Asthenia, dry oral, headache, akathisia, arrhythmias, diarrhea, dizziness, drowsiness, gastrointestinal discomfort, hallucination, hepatic disorders, insomnia, myalgia, nausea, palpitations, seizure, vomiting</w:t>
            </w:r>
          </w:p>
        </w:tc>
      </w:tr>
      <w:tr w:rsidR="00D20CB2" w:rsidRPr="00B47F3A" w14:paraId="7D8D0D0D" w14:textId="77777777" w:rsidTr="002D6DD7">
        <w:tc>
          <w:tcPr>
            <w:tcW w:w="2695" w:type="dxa"/>
          </w:tcPr>
          <w:p w14:paraId="01EF8868"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5D50BDC5" w14:textId="77777777" w:rsidR="00D20CB2" w:rsidRPr="00B47F3A" w:rsidRDefault="00D20CB2" w:rsidP="002D6DD7">
            <w:pPr>
              <w:autoSpaceDE w:val="0"/>
              <w:autoSpaceDN w:val="0"/>
              <w:adjustRightInd w:val="0"/>
              <w:jc w:val="both"/>
              <w:rPr>
                <w:rFonts w:cs="Times New Roman"/>
                <w:szCs w:val="24"/>
              </w:rPr>
            </w:pPr>
            <w:r>
              <w:rPr>
                <w:rFonts w:cs="Times New Roman"/>
                <w:szCs w:val="24"/>
              </w:rPr>
              <w:t>A</w:t>
            </w:r>
            <w:r w:rsidRPr="00B47F3A">
              <w:rPr>
                <w:rFonts w:cs="Times New Roman"/>
                <w:szCs w:val="24"/>
              </w:rPr>
              <w:t>llergic reactions, a history of cardiovascular issues, hepatic and renal impairment</w:t>
            </w:r>
            <w:r>
              <w:rPr>
                <w:rFonts w:cs="Times New Roman"/>
                <w:szCs w:val="24"/>
              </w:rPr>
              <w:t>, p</w:t>
            </w:r>
            <w:r w:rsidRPr="00B47F3A">
              <w:rPr>
                <w:rFonts w:cs="Times New Roman"/>
                <w:szCs w:val="24"/>
              </w:rPr>
              <w:t>regnancy, breastfeeding</w:t>
            </w:r>
          </w:p>
        </w:tc>
      </w:tr>
      <w:tr w:rsidR="00D20CB2" w:rsidRPr="00B47F3A" w14:paraId="5126EE82" w14:textId="77777777" w:rsidTr="002D6DD7">
        <w:tc>
          <w:tcPr>
            <w:tcW w:w="2695" w:type="dxa"/>
          </w:tcPr>
          <w:p w14:paraId="273A9E71"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0EDD0C20" w14:textId="77777777" w:rsidR="00D20CB2" w:rsidRPr="00B47F3A" w:rsidRDefault="00D20CB2" w:rsidP="002D6DD7">
            <w:pPr>
              <w:autoSpaceDE w:val="0"/>
              <w:autoSpaceDN w:val="0"/>
              <w:adjustRightInd w:val="0"/>
              <w:jc w:val="both"/>
              <w:rPr>
                <w:rFonts w:cs="Times New Roman"/>
                <w:szCs w:val="24"/>
              </w:rPr>
            </w:pPr>
            <w:r w:rsidRPr="00B47F3A">
              <w:rPr>
                <w:rFonts w:cs="Times New Roman"/>
                <w:color w:val="231F20"/>
                <w:szCs w:val="24"/>
              </w:rPr>
              <w:t>Store below 30</w:t>
            </w:r>
            <w:r w:rsidRPr="00B47F3A">
              <w:rPr>
                <w:rFonts w:cs="Times New Roman"/>
                <w:color w:val="231F20"/>
                <w:szCs w:val="24"/>
                <w:vertAlign w:val="superscript"/>
              </w:rPr>
              <w:t>0</w:t>
            </w:r>
            <w:r w:rsidRPr="00B47F3A">
              <w:rPr>
                <w:rFonts w:cs="Times New Roman"/>
                <w:color w:val="231F20"/>
                <w:szCs w:val="24"/>
              </w:rPr>
              <w:t>C</w:t>
            </w:r>
            <w:r>
              <w:rPr>
                <w:rFonts w:cs="Times New Roman"/>
                <w:color w:val="231F20"/>
                <w:szCs w:val="24"/>
              </w:rPr>
              <w:t>.</w:t>
            </w:r>
          </w:p>
        </w:tc>
      </w:tr>
      <w:tr w:rsidR="00D20CB2" w:rsidRPr="00B47F3A" w14:paraId="48BBE7F8" w14:textId="77777777" w:rsidTr="002D6DD7">
        <w:trPr>
          <w:trHeight w:val="323"/>
        </w:trPr>
        <w:tc>
          <w:tcPr>
            <w:tcW w:w="9322" w:type="dxa"/>
            <w:gridSpan w:val="2"/>
          </w:tcPr>
          <w:p w14:paraId="5D98C49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szCs w:val="24"/>
              </w:rPr>
              <w:t>Dexamethasone</w:t>
            </w:r>
          </w:p>
        </w:tc>
      </w:tr>
      <w:tr w:rsidR="00D20CB2" w:rsidRPr="00B47F3A" w14:paraId="4C5D94FE" w14:textId="77777777" w:rsidTr="002D6DD7">
        <w:tc>
          <w:tcPr>
            <w:tcW w:w="2695" w:type="dxa"/>
          </w:tcPr>
          <w:p w14:paraId="6BBEF79F" w14:textId="77777777" w:rsidR="00D20CB2" w:rsidRPr="00B47F3A" w:rsidRDefault="00D20CB2" w:rsidP="002D6DD7">
            <w:pPr>
              <w:jc w:val="both"/>
              <w:rPr>
                <w:rFonts w:cs="Times New Roman"/>
                <w:szCs w:val="24"/>
              </w:rPr>
            </w:pPr>
            <w:r w:rsidRPr="00B47F3A">
              <w:rPr>
                <w:rFonts w:cs="Times New Roman"/>
                <w:szCs w:val="24"/>
              </w:rPr>
              <w:t>Pharmacological class</w:t>
            </w:r>
          </w:p>
        </w:tc>
        <w:tc>
          <w:tcPr>
            <w:tcW w:w="6627" w:type="dxa"/>
          </w:tcPr>
          <w:p w14:paraId="182E897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Corticosteroid (Glucocorticoid)</w:t>
            </w:r>
          </w:p>
        </w:tc>
      </w:tr>
      <w:tr w:rsidR="00D20CB2" w:rsidRPr="00B47F3A" w14:paraId="3EF79DD2" w14:textId="77777777" w:rsidTr="002D6DD7">
        <w:tc>
          <w:tcPr>
            <w:tcW w:w="2695" w:type="dxa"/>
          </w:tcPr>
          <w:p w14:paraId="3D29B588"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0425F368" w14:textId="77777777" w:rsidR="00D20CB2" w:rsidRPr="008F6A04" w:rsidRDefault="00D20CB2" w:rsidP="002D6DD7">
            <w:pPr>
              <w:autoSpaceDE w:val="0"/>
              <w:autoSpaceDN w:val="0"/>
              <w:adjustRightInd w:val="0"/>
              <w:jc w:val="both"/>
              <w:rPr>
                <w:rFonts w:cs="Times New Roman"/>
                <w:color w:val="231F20"/>
                <w:szCs w:val="24"/>
              </w:rPr>
            </w:pPr>
            <w:r w:rsidRPr="008F6A04">
              <w:rPr>
                <w:rFonts w:cs="Times New Roman"/>
                <w:szCs w:val="24"/>
              </w:rPr>
              <w:t>Injection: 4 mg/ml (as disodium phosphate salt) in 1 ml ampoule</w:t>
            </w:r>
          </w:p>
        </w:tc>
      </w:tr>
      <w:tr w:rsidR="00D20CB2" w:rsidRPr="00B47F3A" w14:paraId="4D115197" w14:textId="77777777" w:rsidTr="002D6DD7">
        <w:tc>
          <w:tcPr>
            <w:tcW w:w="2695" w:type="dxa"/>
          </w:tcPr>
          <w:p w14:paraId="3C6E4E3E"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6EBC68E7"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Adjunct in the emergency treatment of anaphylaxis, short-term suppression of inflammation in allergic disorders</w:t>
            </w:r>
          </w:p>
        </w:tc>
      </w:tr>
      <w:tr w:rsidR="00D20CB2" w:rsidRPr="00B47F3A" w14:paraId="0BF7BFA0" w14:textId="77777777" w:rsidTr="002D6DD7">
        <w:tc>
          <w:tcPr>
            <w:tcW w:w="2695" w:type="dxa"/>
          </w:tcPr>
          <w:p w14:paraId="2C73E872" w14:textId="77777777" w:rsidR="00D20CB2" w:rsidRPr="00B47F3A" w:rsidRDefault="00D20CB2" w:rsidP="002D6DD7">
            <w:pPr>
              <w:jc w:val="both"/>
              <w:rPr>
                <w:rFonts w:cs="Times New Roman"/>
                <w:szCs w:val="24"/>
              </w:rPr>
            </w:pPr>
            <w:r w:rsidRPr="00B47F3A">
              <w:rPr>
                <w:rFonts w:cs="Times New Roman"/>
                <w:szCs w:val="24"/>
              </w:rPr>
              <w:t>Dose and Administration</w:t>
            </w:r>
          </w:p>
        </w:tc>
        <w:tc>
          <w:tcPr>
            <w:tcW w:w="6627" w:type="dxa"/>
          </w:tcPr>
          <w:p w14:paraId="75A9280A" w14:textId="77777777" w:rsidR="00D20CB2" w:rsidRPr="008F6A04" w:rsidRDefault="00D20CB2" w:rsidP="002D6DD7">
            <w:pPr>
              <w:autoSpaceDE w:val="0"/>
              <w:autoSpaceDN w:val="0"/>
              <w:adjustRightInd w:val="0"/>
              <w:jc w:val="both"/>
              <w:rPr>
                <w:rFonts w:cs="Times New Roman"/>
                <w:b/>
                <w:bCs/>
                <w:szCs w:val="24"/>
              </w:rPr>
            </w:pPr>
            <w:r w:rsidRPr="008F6A04">
              <w:rPr>
                <w:rFonts w:cs="Times New Roman"/>
                <w:b/>
                <w:bCs/>
                <w:szCs w:val="24"/>
              </w:rPr>
              <w:t xml:space="preserve">Allergy (short-term use), oral: </w:t>
            </w:r>
          </w:p>
          <w:p w14:paraId="75720489" w14:textId="77777777" w:rsidR="00D20CB2" w:rsidRDefault="00D20CB2" w:rsidP="002D6DD7">
            <w:pPr>
              <w:autoSpaceDE w:val="0"/>
              <w:autoSpaceDN w:val="0"/>
              <w:adjustRightInd w:val="0"/>
              <w:jc w:val="both"/>
              <w:rPr>
                <w:rFonts w:cs="Times New Roman"/>
                <w:szCs w:val="24"/>
              </w:rPr>
            </w:pPr>
            <w:r w:rsidRPr="008F6A04">
              <w:rPr>
                <w:rFonts w:cs="Times New Roman"/>
                <w:b/>
                <w:bCs/>
                <w:szCs w:val="24"/>
              </w:rPr>
              <w:t>Adult:</w:t>
            </w:r>
            <w:r>
              <w:rPr>
                <w:rFonts w:cs="Times New Roman"/>
                <w:szCs w:val="24"/>
              </w:rPr>
              <w:t xml:space="preserve"> </w:t>
            </w:r>
            <w:r w:rsidRPr="00B47F3A">
              <w:rPr>
                <w:rFonts w:cs="Times New Roman"/>
                <w:szCs w:val="24"/>
              </w:rPr>
              <w:t>Usual range 0.5–10 mg daily as a single dose in the morning</w:t>
            </w:r>
          </w:p>
          <w:p w14:paraId="3224F42E" w14:textId="77777777" w:rsidR="00D20CB2" w:rsidRPr="008F6A04" w:rsidRDefault="00D20CB2" w:rsidP="002D6DD7">
            <w:pPr>
              <w:autoSpaceDE w:val="0"/>
              <w:autoSpaceDN w:val="0"/>
              <w:adjustRightInd w:val="0"/>
              <w:jc w:val="both"/>
              <w:rPr>
                <w:rFonts w:cs="Times New Roman"/>
                <w:b/>
                <w:bCs/>
                <w:szCs w:val="24"/>
              </w:rPr>
            </w:pPr>
            <w:r w:rsidRPr="008F6A04">
              <w:rPr>
                <w:rFonts w:cs="Times New Roman"/>
                <w:b/>
                <w:bCs/>
                <w:szCs w:val="24"/>
              </w:rPr>
              <w:t xml:space="preserve">Anaphylaxis (adjunct), by slow IV injection or infusion (as </w:t>
            </w:r>
          </w:p>
          <w:p w14:paraId="4EB85EA7" w14:textId="77777777" w:rsidR="00D20CB2" w:rsidRDefault="00D20CB2" w:rsidP="002D6DD7">
            <w:pPr>
              <w:autoSpaceDE w:val="0"/>
              <w:autoSpaceDN w:val="0"/>
              <w:adjustRightInd w:val="0"/>
              <w:jc w:val="both"/>
              <w:rPr>
                <w:rFonts w:cs="Times New Roman"/>
                <w:b/>
                <w:bCs/>
                <w:szCs w:val="24"/>
              </w:rPr>
            </w:pPr>
            <w:r w:rsidRPr="008F6A04">
              <w:rPr>
                <w:rFonts w:cs="Times New Roman"/>
                <w:b/>
                <w:bCs/>
                <w:szCs w:val="24"/>
              </w:rPr>
              <w:t>dexamethasone phosphate)</w:t>
            </w:r>
          </w:p>
          <w:p w14:paraId="1214139F" w14:textId="77777777" w:rsidR="00D20CB2" w:rsidRPr="00B47F3A" w:rsidRDefault="00D20CB2" w:rsidP="002D6DD7">
            <w:pPr>
              <w:autoSpaceDE w:val="0"/>
              <w:autoSpaceDN w:val="0"/>
              <w:adjustRightInd w:val="0"/>
              <w:jc w:val="both"/>
              <w:rPr>
                <w:rFonts w:cs="Times New Roman"/>
                <w:szCs w:val="24"/>
              </w:rPr>
            </w:pPr>
            <w:r>
              <w:rPr>
                <w:rFonts w:cs="Times New Roman"/>
                <w:b/>
                <w:bCs/>
                <w:szCs w:val="24"/>
              </w:rPr>
              <w:t>Adult:</w:t>
            </w:r>
            <w:r w:rsidRPr="00B47F3A">
              <w:rPr>
                <w:rFonts w:cs="Times New Roman"/>
                <w:szCs w:val="24"/>
              </w:rPr>
              <w:t xml:space="preserve"> 0.5–24 mg</w:t>
            </w:r>
          </w:p>
          <w:p w14:paraId="27418445" w14:textId="77777777" w:rsidR="00D20CB2" w:rsidRPr="008F6A04" w:rsidRDefault="00D20CB2" w:rsidP="002D6DD7">
            <w:pPr>
              <w:autoSpaceDE w:val="0"/>
              <w:autoSpaceDN w:val="0"/>
              <w:adjustRightInd w:val="0"/>
              <w:jc w:val="both"/>
              <w:rPr>
                <w:rFonts w:cs="Times New Roman"/>
                <w:b/>
                <w:bCs/>
                <w:szCs w:val="24"/>
              </w:rPr>
            </w:pPr>
            <w:r w:rsidRPr="008F6A04">
              <w:rPr>
                <w:rFonts w:cs="Times New Roman"/>
                <w:b/>
                <w:bCs/>
                <w:szCs w:val="24"/>
              </w:rPr>
              <w:t>Inflammatory and allergic disorders, IM or slow IV injection or infusion</w:t>
            </w:r>
          </w:p>
          <w:p w14:paraId="177C05D0" w14:textId="77777777" w:rsidR="00D20CB2" w:rsidRPr="00B47F3A" w:rsidRDefault="00D20CB2" w:rsidP="002D6DD7">
            <w:pPr>
              <w:autoSpaceDE w:val="0"/>
              <w:autoSpaceDN w:val="0"/>
              <w:adjustRightInd w:val="0"/>
              <w:jc w:val="both"/>
              <w:rPr>
                <w:rFonts w:cs="Times New Roman"/>
                <w:color w:val="231F20"/>
                <w:szCs w:val="24"/>
              </w:rPr>
            </w:pPr>
            <w:r w:rsidRPr="008F6A04">
              <w:rPr>
                <w:rFonts w:cs="Times New Roman"/>
                <w:b/>
                <w:bCs/>
                <w:szCs w:val="24"/>
              </w:rPr>
              <w:t>Child</w:t>
            </w:r>
            <w:r>
              <w:rPr>
                <w:rFonts w:cs="Times New Roman"/>
                <w:szCs w:val="24"/>
              </w:rPr>
              <w:t>:</w:t>
            </w:r>
            <w:r w:rsidRPr="00B47F3A">
              <w:rPr>
                <w:rFonts w:cs="Times New Roman"/>
                <w:szCs w:val="24"/>
              </w:rPr>
              <w:t xml:space="preserve">100–400 </w:t>
            </w:r>
            <w:r>
              <w:rPr>
                <w:rFonts w:cs="Times New Roman"/>
                <w:szCs w:val="24"/>
              </w:rPr>
              <w:t>mcg</w:t>
            </w:r>
            <w:r w:rsidRPr="00B47F3A">
              <w:rPr>
                <w:rFonts w:cs="Times New Roman"/>
                <w:szCs w:val="24"/>
              </w:rPr>
              <w:t>/kg in 1–2 divided doses (maximum 24 mg daily</w:t>
            </w:r>
          </w:p>
        </w:tc>
      </w:tr>
      <w:tr w:rsidR="00D20CB2" w:rsidRPr="00B47F3A" w14:paraId="51CAA5F8" w14:textId="77777777" w:rsidTr="002D6DD7">
        <w:tc>
          <w:tcPr>
            <w:tcW w:w="2695" w:type="dxa"/>
          </w:tcPr>
          <w:p w14:paraId="3A7F2668" w14:textId="77777777" w:rsidR="00D20CB2" w:rsidRPr="00B47F3A" w:rsidRDefault="00D20CB2" w:rsidP="002D6DD7">
            <w:pPr>
              <w:jc w:val="both"/>
              <w:rPr>
                <w:rFonts w:cs="Times New Roman"/>
                <w:szCs w:val="24"/>
              </w:rPr>
            </w:pPr>
            <w:r w:rsidRPr="00B47F3A">
              <w:rPr>
                <w:rFonts w:cs="Times New Roman"/>
                <w:szCs w:val="24"/>
              </w:rPr>
              <w:t>Contraindications</w:t>
            </w:r>
          </w:p>
        </w:tc>
        <w:tc>
          <w:tcPr>
            <w:tcW w:w="6627" w:type="dxa"/>
          </w:tcPr>
          <w:p w14:paraId="3AF12FF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Not relevant to emergency use</w:t>
            </w:r>
          </w:p>
        </w:tc>
      </w:tr>
      <w:tr w:rsidR="00D20CB2" w:rsidRPr="00B47F3A" w14:paraId="264DA0AA" w14:textId="77777777" w:rsidTr="002D6DD7">
        <w:tc>
          <w:tcPr>
            <w:tcW w:w="2695" w:type="dxa"/>
          </w:tcPr>
          <w:p w14:paraId="664E099C"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5AD3A2CD"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Acetylsalicylic acid, albendazole, amphotericin B, carbamazepine, contraceptives (oral), digoxin, enalapril, erythromycin, furosemide, </w:t>
            </w:r>
          </w:p>
          <w:p w14:paraId="0419795A"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hydrochlorothiazide, ibuprofen, insulins, lopinavir, metformin, methotrexate, phenobarbital, phenytoin, praziquantel, propranolol, </w:t>
            </w:r>
            <w:r w:rsidRPr="00B47F3A">
              <w:rPr>
                <w:rFonts w:cs="Times New Roman"/>
                <w:szCs w:val="24"/>
              </w:rPr>
              <w:lastRenderedPageBreak/>
              <w:t xml:space="preserve">rifampicin, ritonavir, salbutamol, saquinavir, spironolactone, </w:t>
            </w:r>
          </w:p>
          <w:p w14:paraId="6051343B"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infuenza vaccine, live vaccines, warfarin</w:t>
            </w:r>
          </w:p>
        </w:tc>
      </w:tr>
      <w:tr w:rsidR="00D20CB2" w:rsidRPr="00B47F3A" w14:paraId="785174C9" w14:textId="77777777" w:rsidTr="002D6DD7">
        <w:tc>
          <w:tcPr>
            <w:tcW w:w="2695" w:type="dxa"/>
          </w:tcPr>
          <w:p w14:paraId="0B195C73" w14:textId="77777777" w:rsidR="00D20CB2" w:rsidRPr="00B47F3A" w:rsidRDefault="00D20CB2" w:rsidP="002D6DD7">
            <w:pPr>
              <w:jc w:val="both"/>
              <w:rPr>
                <w:rFonts w:cs="Times New Roman"/>
                <w:szCs w:val="24"/>
              </w:rPr>
            </w:pPr>
            <w:r w:rsidRPr="00B47F3A">
              <w:rPr>
                <w:rFonts w:cs="Times New Roman"/>
                <w:szCs w:val="24"/>
              </w:rPr>
              <w:lastRenderedPageBreak/>
              <w:t>Side effects</w:t>
            </w:r>
          </w:p>
        </w:tc>
        <w:tc>
          <w:tcPr>
            <w:tcW w:w="6627" w:type="dxa"/>
          </w:tcPr>
          <w:p w14:paraId="66FC4E37"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Fluid retention, hypertension, electrolyte imbalance, osteoporosis, gastrointestinal bleeding, delayed wound healing, immunosuppression, psychiatric disturbances, hyperglycemia, increased risk of infections</w:t>
            </w:r>
          </w:p>
        </w:tc>
      </w:tr>
      <w:tr w:rsidR="00D20CB2" w:rsidRPr="00B47F3A" w14:paraId="47F31C5A" w14:textId="77777777" w:rsidTr="002D6DD7">
        <w:tc>
          <w:tcPr>
            <w:tcW w:w="2695" w:type="dxa"/>
          </w:tcPr>
          <w:p w14:paraId="67FA36EE" w14:textId="77777777" w:rsidR="00D20CB2" w:rsidRPr="00B47F3A" w:rsidRDefault="00D20CB2" w:rsidP="002D6DD7">
            <w:pPr>
              <w:jc w:val="both"/>
              <w:rPr>
                <w:rFonts w:cs="Times New Roman"/>
                <w:szCs w:val="24"/>
              </w:rPr>
            </w:pPr>
            <w:r w:rsidRPr="00B47F3A">
              <w:rPr>
                <w:rFonts w:cs="Times New Roman"/>
                <w:szCs w:val="24"/>
              </w:rPr>
              <w:t>Cautions</w:t>
            </w:r>
          </w:p>
        </w:tc>
        <w:tc>
          <w:tcPr>
            <w:tcW w:w="6627" w:type="dxa"/>
          </w:tcPr>
          <w:p w14:paraId="051A48AB"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Increased susceptibility to and severity of infection, activation or exacerbation of TB, amoebiasis, strongyloidiasis, risk of severe chickenpox in nonimmune patients (varicella zoster immunoglobulin required if exposed to chickenpox); avoid exposure to measles (normal immunoglobulin possibly required if </w:t>
            </w:r>
          </w:p>
          <w:p w14:paraId="5C62736E"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exposed); diabetes mellitus, peptic ulcer, hypertension, corneal perforation, osteoporosis, myasthenia gravis</w:t>
            </w:r>
          </w:p>
        </w:tc>
      </w:tr>
      <w:tr w:rsidR="00D20CB2" w:rsidRPr="00B47F3A" w14:paraId="719A1262" w14:textId="77777777" w:rsidTr="002D6DD7">
        <w:tc>
          <w:tcPr>
            <w:tcW w:w="2695" w:type="dxa"/>
          </w:tcPr>
          <w:p w14:paraId="549376EB"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3846077D"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Store below 30°</w:t>
            </w:r>
            <w:r>
              <w:rPr>
                <w:rFonts w:cs="Times New Roman"/>
                <w:szCs w:val="24"/>
              </w:rPr>
              <w:t>C. P</w:t>
            </w:r>
            <w:r w:rsidRPr="00B47F3A">
              <w:rPr>
                <w:rFonts w:cs="Times New Roman"/>
                <w:szCs w:val="24"/>
              </w:rPr>
              <w:t>rotect from light.</w:t>
            </w:r>
          </w:p>
        </w:tc>
      </w:tr>
      <w:tr w:rsidR="00D20CB2" w:rsidRPr="00B47F3A" w14:paraId="7084996C" w14:textId="77777777" w:rsidTr="002D6DD7">
        <w:trPr>
          <w:trHeight w:val="233"/>
        </w:trPr>
        <w:tc>
          <w:tcPr>
            <w:tcW w:w="9322" w:type="dxa"/>
            <w:gridSpan w:val="2"/>
          </w:tcPr>
          <w:p w14:paraId="3EC040D9"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Hydrocortisone</w:t>
            </w:r>
          </w:p>
        </w:tc>
      </w:tr>
      <w:tr w:rsidR="00D20CB2" w:rsidRPr="00B47F3A" w14:paraId="15A0C6C5" w14:textId="77777777" w:rsidTr="002D6DD7">
        <w:tc>
          <w:tcPr>
            <w:tcW w:w="2695" w:type="dxa"/>
          </w:tcPr>
          <w:p w14:paraId="29FEC736" w14:textId="77777777" w:rsidR="00D20CB2" w:rsidRPr="00B47F3A" w:rsidRDefault="00D20CB2" w:rsidP="002D6DD7">
            <w:pPr>
              <w:jc w:val="both"/>
              <w:rPr>
                <w:rFonts w:cs="Times New Roman"/>
                <w:szCs w:val="24"/>
              </w:rPr>
            </w:pPr>
            <w:r w:rsidRPr="00B47F3A">
              <w:rPr>
                <w:rFonts w:cs="Times New Roman"/>
                <w:szCs w:val="24"/>
              </w:rPr>
              <w:t>Pharmacological Class</w:t>
            </w:r>
          </w:p>
        </w:tc>
        <w:tc>
          <w:tcPr>
            <w:tcW w:w="6627" w:type="dxa"/>
          </w:tcPr>
          <w:p w14:paraId="2E2D2993"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Corticosteroid</w:t>
            </w:r>
          </w:p>
        </w:tc>
      </w:tr>
      <w:tr w:rsidR="00D20CB2" w:rsidRPr="00B47F3A" w14:paraId="4161BC3B" w14:textId="77777777" w:rsidTr="002D6DD7">
        <w:tc>
          <w:tcPr>
            <w:tcW w:w="2695" w:type="dxa"/>
          </w:tcPr>
          <w:p w14:paraId="53F6294A"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259ADECA"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Powder for injection: 100 mg (as sodium succinate) in vial</w:t>
            </w:r>
          </w:p>
        </w:tc>
      </w:tr>
      <w:tr w:rsidR="00D20CB2" w:rsidRPr="00B47F3A" w14:paraId="2D600562" w14:textId="77777777" w:rsidTr="002D6DD7">
        <w:tc>
          <w:tcPr>
            <w:tcW w:w="2695" w:type="dxa"/>
          </w:tcPr>
          <w:p w14:paraId="5D7EFCE6"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6BB8D8B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Acute hypersensitivity reactions, such as angioedema of the upper respiratory tract and anaphylaxis</w:t>
            </w:r>
          </w:p>
        </w:tc>
      </w:tr>
      <w:tr w:rsidR="00D20CB2" w:rsidRPr="00B47F3A" w14:paraId="55F84B8E" w14:textId="77777777" w:rsidTr="002D6DD7">
        <w:tc>
          <w:tcPr>
            <w:tcW w:w="2695" w:type="dxa"/>
          </w:tcPr>
          <w:p w14:paraId="57BB4CF4" w14:textId="77777777" w:rsidR="00D20CB2" w:rsidRPr="00B47F3A" w:rsidRDefault="00D20CB2" w:rsidP="002D6DD7">
            <w:pPr>
              <w:jc w:val="both"/>
              <w:rPr>
                <w:rFonts w:cs="Times New Roman"/>
                <w:szCs w:val="24"/>
              </w:rPr>
            </w:pPr>
            <w:r w:rsidRPr="00B47F3A">
              <w:rPr>
                <w:rFonts w:cs="Times New Roman"/>
                <w:szCs w:val="24"/>
              </w:rPr>
              <w:t>Dose and Administration</w:t>
            </w:r>
          </w:p>
        </w:tc>
        <w:tc>
          <w:tcPr>
            <w:tcW w:w="6627" w:type="dxa"/>
          </w:tcPr>
          <w:p w14:paraId="47840A00" w14:textId="77777777" w:rsidR="00D20CB2" w:rsidRPr="00F2361E" w:rsidRDefault="00D20CB2" w:rsidP="002D6DD7">
            <w:pPr>
              <w:autoSpaceDE w:val="0"/>
              <w:autoSpaceDN w:val="0"/>
              <w:adjustRightInd w:val="0"/>
              <w:jc w:val="both"/>
              <w:rPr>
                <w:rFonts w:cs="Times New Roman"/>
                <w:b/>
                <w:bCs/>
                <w:color w:val="231F20"/>
                <w:szCs w:val="24"/>
              </w:rPr>
            </w:pPr>
            <w:r w:rsidRPr="00F2361E">
              <w:rPr>
                <w:rFonts w:cs="Times New Roman"/>
                <w:b/>
                <w:bCs/>
                <w:color w:val="231F20"/>
                <w:szCs w:val="24"/>
              </w:rPr>
              <w:t>Adjunct to epinephrine) IV injection</w:t>
            </w:r>
          </w:p>
          <w:p w14:paraId="2F808847"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Adult:</w:t>
            </w:r>
            <w:r>
              <w:rPr>
                <w:rFonts w:cs="Times New Roman"/>
                <w:b/>
                <w:bCs/>
                <w:color w:val="231F20"/>
                <w:szCs w:val="24"/>
              </w:rPr>
              <w:t xml:space="preserve"> </w:t>
            </w:r>
            <w:r w:rsidRPr="00B47F3A">
              <w:rPr>
                <w:rFonts w:cs="Times New Roman"/>
                <w:color w:val="231F20"/>
                <w:szCs w:val="24"/>
              </w:rPr>
              <w:t>100 to 300 mg, to be administered as sodium succinate</w:t>
            </w:r>
          </w:p>
          <w:p w14:paraId="70F8E34E" w14:textId="77777777" w:rsidR="00D20CB2" w:rsidRPr="00F2361E" w:rsidRDefault="00D20CB2" w:rsidP="002D6DD7">
            <w:pPr>
              <w:autoSpaceDE w:val="0"/>
              <w:autoSpaceDN w:val="0"/>
              <w:adjustRightInd w:val="0"/>
              <w:jc w:val="both"/>
              <w:rPr>
                <w:rFonts w:cs="Times New Roman"/>
                <w:b/>
                <w:bCs/>
                <w:color w:val="231F20"/>
                <w:szCs w:val="24"/>
              </w:rPr>
            </w:pPr>
            <w:r w:rsidRPr="00F2361E">
              <w:rPr>
                <w:rFonts w:cs="Times New Roman"/>
                <w:b/>
                <w:bCs/>
                <w:color w:val="231F20"/>
                <w:szCs w:val="24"/>
              </w:rPr>
              <w:t>Adjunct in the emergency treatment of anaphylaxis, IM injection or IV injection.</w:t>
            </w:r>
          </w:p>
          <w:p w14:paraId="17352D89" w14:textId="77777777" w:rsidR="00D20CB2" w:rsidRPr="00B47F3A" w:rsidRDefault="00D20CB2" w:rsidP="002D6DD7">
            <w:pPr>
              <w:autoSpaceDE w:val="0"/>
              <w:autoSpaceDN w:val="0"/>
              <w:adjustRightInd w:val="0"/>
              <w:jc w:val="both"/>
              <w:rPr>
                <w:rFonts w:cs="Times New Roman"/>
                <w:color w:val="231F20"/>
                <w:szCs w:val="24"/>
              </w:rPr>
            </w:pPr>
            <w:r>
              <w:rPr>
                <w:rFonts w:cs="Times New Roman"/>
                <w:b/>
                <w:bCs/>
                <w:color w:val="231F20"/>
                <w:szCs w:val="24"/>
              </w:rPr>
              <w:t>Child</w:t>
            </w:r>
            <w:r w:rsidRPr="00F2361E">
              <w:rPr>
                <w:rFonts w:cs="Times New Roman"/>
                <w:b/>
                <w:bCs/>
                <w:color w:val="231F20"/>
                <w:szCs w:val="24"/>
              </w:rPr>
              <w:t xml:space="preserve"> under 6 months:</w:t>
            </w:r>
            <w:r w:rsidRPr="00B47F3A">
              <w:rPr>
                <w:rFonts w:cs="Times New Roman"/>
                <w:color w:val="231F20"/>
                <w:szCs w:val="24"/>
              </w:rPr>
              <w:t xml:space="preserve"> Initially 25 mg up to 4 times daily adjusted according to response.</w:t>
            </w:r>
          </w:p>
          <w:p w14:paraId="6E20A088" w14:textId="77777777" w:rsidR="00D20CB2" w:rsidRPr="00B47F3A" w:rsidRDefault="00D20CB2" w:rsidP="002D6DD7">
            <w:pPr>
              <w:autoSpaceDE w:val="0"/>
              <w:autoSpaceDN w:val="0"/>
              <w:adjustRightInd w:val="0"/>
              <w:jc w:val="both"/>
              <w:rPr>
                <w:rFonts w:cs="Times New Roman"/>
                <w:color w:val="231F20"/>
                <w:szCs w:val="24"/>
              </w:rPr>
            </w:pPr>
            <w:r>
              <w:rPr>
                <w:rFonts w:cs="Times New Roman"/>
                <w:b/>
                <w:bCs/>
                <w:color w:val="231F20"/>
                <w:szCs w:val="24"/>
              </w:rPr>
              <w:t>C</w:t>
            </w:r>
            <w:r w:rsidRPr="00F2361E">
              <w:rPr>
                <w:rFonts w:cs="Times New Roman"/>
                <w:b/>
                <w:bCs/>
                <w:color w:val="231F20"/>
                <w:szCs w:val="24"/>
              </w:rPr>
              <w:t>hild 6 months to 6 years:</w:t>
            </w:r>
            <w:r w:rsidRPr="00B47F3A">
              <w:rPr>
                <w:rFonts w:cs="Times New Roman"/>
                <w:color w:val="231F20"/>
                <w:szCs w:val="24"/>
              </w:rPr>
              <w:t xml:space="preserve"> Initially 50 mg up to 4 times daily adjusted according to response.</w:t>
            </w:r>
          </w:p>
          <w:p w14:paraId="74BB7159" w14:textId="77777777" w:rsidR="00D20CB2" w:rsidRPr="00B47F3A" w:rsidRDefault="00D20CB2" w:rsidP="002D6DD7">
            <w:pPr>
              <w:autoSpaceDE w:val="0"/>
              <w:autoSpaceDN w:val="0"/>
              <w:adjustRightInd w:val="0"/>
              <w:jc w:val="both"/>
              <w:rPr>
                <w:rFonts w:cs="Times New Roman"/>
                <w:color w:val="231F20"/>
                <w:szCs w:val="24"/>
              </w:rPr>
            </w:pPr>
            <w:r w:rsidRPr="00F2361E">
              <w:rPr>
                <w:rFonts w:cs="Times New Roman"/>
                <w:b/>
                <w:bCs/>
                <w:color w:val="231F20"/>
                <w:szCs w:val="24"/>
              </w:rPr>
              <w:t>Child 6 to 12 years:</w:t>
            </w:r>
            <w:r w:rsidRPr="00B47F3A">
              <w:rPr>
                <w:rFonts w:cs="Times New Roman"/>
                <w:color w:val="231F20"/>
                <w:szCs w:val="24"/>
              </w:rPr>
              <w:t xml:space="preserve"> Initially 100 mg up to 4 times daily adjusted according to response.</w:t>
            </w:r>
          </w:p>
        </w:tc>
      </w:tr>
      <w:tr w:rsidR="00D20CB2" w:rsidRPr="00B47F3A" w14:paraId="56975E48" w14:textId="77777777" w:rsidTr="002D6DD7">
        <w:tc>
          <w:tcPr>
            <w:tcW w:w="2695" w:type="dxa"/>
          </w:tcPr>
          <w:p w14:paraId="317779E7" w14:textId="77777777" w:rsidR="00D20CB2" w:rsidRPr="00B47F3A" w:rsidRDefault="00D20CB2" w:rsidP="002D6DD7">
            <w:pPr>
              <w:jc w:val="both"/>
              <w:rPr>
                <w:rFonts w:cs="Times New Roman"/>
                <w:szCs w:val="24"/>
              </w:rPr>
            </w:pPr>
            <w:r w:rsidRPr="00B47F3A">
              <w:rPr>
                <w:rFonts w:cs="Times New Roman"/>
                <w:szCs w:val="24"/>
              </w:rPr>
              <w:t>Contraindications</w:t>
            </w:r>
          </w:p>
        </w:tc>
        <w:tc>
          <w:tcPr>
            <w:tcW w:w="6627" w:type="dxa"/>
          </w:tcPr>
          <w:p w14:paraId="4F8C5B4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Not relevant to emergency use</w:t>
            </w:r>
          </w:p>
        </w:tc>
      </w:tr>
      <w:tr w:rsidR="00D20CB2" w:rsidRPr="00B47F3A" w14:paraId="3297221B" w14:textId="77777777" w:rsidTr="002D6DD7">
        <w:tc>
          <w:tcPr>
            <w:tcW w:w="2695" w:type="dxa"/>
          </w:tcPr>
          <w:p w14:paraId="0808CAAC"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5453EC25"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Refer under anti-asthmatic Medicines</w:t>
            </w:r>
          </w:p>
        </w:tc>
      </w:tr>
      <w:tr w:rsidR="00D20CB2" w:rsidRPr="00B47F3A" w14:paraId="57C0943C" w14:textId="77777777" w:rsidTr="002D6DD7">
        <w:tc>
          <w:tcPr>
            <w:tcW w:w="2695" w:type="dxa"/>
          </w:tcPr>
          <w:p w14:paraId="6B043767" w14:textId="77777777" w:rsidR="00D20CB2" w:rsidRPr="00B47F3A" w:rsidRDefault="00D20CB2" w:rsidP="002D6DD7">
            <w:pPr>
              <w:jc w:val="both"/>
              <w:rPr>
                <w:rFonts w:cs="Times New Roman"/>
                <w:szCs w:val="24"/>
              </w:rPr>
            </w:pPr>
            <w:r w:rsidRPr="00B47F3A">
              <w:rPr>
                <w:rFonts w:cs="Times New Roman"/>
                <w:szCs w:val="24"/>
              </w:rPr>
              <w:lastRenderedPageBreak/>
              <w:t>Side Effects</w:t>
            </w:r>
          </w:p>
        </w:tc>
        <w:tc>
          <w:tcPr>
            <w:tcW w:w="6627" w:type="dxa"/>
          </w:tcPr>
          <w:p w14:paraId="1BCE6334"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Refer under anti-asthmatic Medicines</w:t>
            </w:r>
          </w:p>
        </w:tc>
      </w:tr>
      <w:tr w:rsidR="00D20CB2" w:rsidRPr="00B47F3A" w14:paraId="5BEC09F9" w14:textId="77777777" w:rsidTr="002D6DD7">
        <w:tc>
          <w:tcPr>
            <w:tcW w:w="2695" w:type="dxa"/>
          </w:tcPr>
          <w:p w14:paraId="1203B38B" w14:textId="77777777" w:rsidR="00D20CB2" w:rsidRPr="00B47F3A" w:rsidRDefault="00D20CB2" w:rsidP="002D6DD7">
            <w:pPr>
              <w:jc w:val="both"/>
              <w:rPr>
                <w:rFonts w:cs="Times New Roman"/>
                <w:szCs w:val="24"/>
              </w:rPr>
            </w:pPr>
            <w:r w:rsidRPr="00B47F3A">
              <w:rPr>
                <w:rFonts w:cs="Times New Roman"/>
                <w:szCs w:val="24"/>
              </w:rPr>
              <w:t>Cautions</w:t>
            </w:r>
          </w:p>
        </w:tc>
        <w:tc>
          <w:tcPr>
            <w:tcW w:w="6627" w:type="dxa"/>
          </w:tcPr>
          <w:p w14:paraId="330B84A2"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Not relevant to emergency use</w:t>
            </w:r>
          </w:p>
        </w:tc>
      </w:tr>
      <w:tr w:rsidR="00D20CB2" w:rsidRPr="00B47F3A" w14:paraId="14361E11" w14:textId="77777777" w:rsidTr="002D6DD7">
        <w:tc>
          <w:tcPr>
            <w:tcW w:w="2695" w:type="dxa"/>
          </w:tcPr>
          <w:p w14:paraId="09478E78"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1931527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szCs w:val="24"/>
              </w:rPr>
              <w:t>Store below 30</w:t>
            </w:r>
            <w:r w:rsidRPr="00B37E39">
              <w:rPr>
                <w:rFonts w:cs="Times New Roman"/>
                <w:szCs w:val="24"/>
                <w:vertAlign w:val="superscript"/>
              </w:rPr>
              <w:t>0</w:t>
            </w:r>
            <w:r>
              <w:rPr>
                <w:rFonts w:cs="Times New Roman"/>
                <w:szCs w:val="24"/>
              </w:rPr>
              <w:t>C. P</w:t>
            </w:r>
            <w:r w:rsidRPr="00B47F3A">
              <w:rPr>
                <w:rFonts w:cs="Times New Roman"/>
                <w:szCs w:val="24"/>
              </w:rPr>
              <w:t>rotect from light.</w:t>
            </w:r>
          </w:p>
        </w:tc>
      </w:tr>
      <w:tr w:rsidR="00D20CB2" w:rsidRPr="00B47F3A" w14:paraId="664BB93F" w14:textId="77777777" w:rsidTr="002D6DD7">
        <w:trPr>
          <w:trHeight w:val="40"/>
        </w:trPr>
        <w:tc>
          <w:tcPr>
            <w:tcW w:w="9322" w:type="dxa"/>
            <w:gridSpan w:val="2"/>
          </w:tcPr>
          <w:p w14:paraId="7B2C1C6F" w14:textId="77777777" w:rsidR="00D20CB2" w:rsidRPr="00B47F3A" w:rsidRDefault="00D20CB2" w:rsidP="002D6DD7">
            <w:pPr>
              <w:jc w:val="both"/>
              <w:rPr>
                <w:rFonts w:cs="Times New Roman"/>
                <w:b/>
                <w:bCs/>
                <w:color w:val="FFFFFF" w:themeColor="background1"/>
                <w:szCs w:val="24"/>
              </w:rPr>
            </w:pPr>
            <w:bookmarkStart w:id="120" w:name="_Toc168315277"/>
            <w:bookmarkStart w:id="121" w:name="_Hlk170470632"/>
            <w:r w:rsidRPr="00B47F3A">
              <w:rPr>
                <w:rFonts w:cs="Times New Roman"/>
                <w:b/>
                <w:bCs/>
                <w:szCs w:val="24"/>
              </w:rPr>
              <w:t>Loratadine</w:t>
            </w:r>
            <w:bookmarkEnd w:id="120"/>
          </w:p>
        </w:tc>
      </w:tr>
      <w:tr w:rsidR="00D20CB2" w:rsidRPr="00B47F3A" w14:paraId="61E42C8B" w14:textId="77777777" w:rsidTr="002D6DD7">
        <w:trPr>
          <w:trHeight w:val="62"/>
        </w:trPr>
        <w:tc>
          <w:tcPr>
            <w:tcW w:w="2695" w:type="dxa"/>
          </w:tcPr>
          <w:p w14:paraId="020E8786" w14:textId="77777777" w:rsidR="00D20CB2" w:rsidRPr="00B47F3A" w:rsidRDefault="00D20CB2" w:rsidP="002D6DD7">
            <w:pPr>
              <w:jc w:val="both"/>
              <w:rPr>
                <w:rFonts w:cs="Times New Roman"/>
                <w:szCs w:val="24"/>
              </w:rPr>
            </w:pPr>
            <w:r w:rsidRPr="00B47F3A">
              <w:rPr>
                <w:rFonts w:cs="Times New Roman"/>
                <w:szCs w:val="24"/>
              </w:rPr>
              <w:t>Pharmacological class</w:t>
            </w:r>
          </w:p>
        </w:tc>
        <w:tc>
          <w:tcPr>
            <w:tcW w:w="6627" w:type="dxa"/>
          </w:tcPr>
          <w:p w14:paraId="0271C6CC" w14:textId="77777777" w:rsidR="00D20CB2" w:rsidRPr="00B47F3A" w:rsidRDefault="00EA5977" w:rsidP="002D6DD7">
            <w:pPr>
              <w:jc w:val="both"/>
              <w:rPr>
                <w:rFonts w:cs="Times New Roman"/>
                <w:szCs w:val="24"/>
              </w:rPr>
            </w:pPr>
            <w:hyperlink r:id="rId35" w:history="1">
              <w:r w:rsidR="00D20CB2" w:rsidRPr="00B47F3A">
                <w:rPr>
                  <w:rStyle w:val="Hyperlink"/>
                  <w:rFonts w:cs="Times New Roman"/>
                  <w:color w:val="auto"/>
                  <w:szCs w:val="24"/>
                  <w:u w:val="none"/>
                  <w:shd w:val="clear" w:color="auto" w:fill="FFFFFF"/>
                </w:rPr>
                <w:t>Antihistamine</w:t>
              </w:r>
            </w:hyperlink>
            <w:r w:rsidR="00D20CB2" w:rsidRPr="00B47F3A">
              <w:rPr>
                <w:rStyle w:val="Hyperlink"/>
                <w:rFonts w:cs="Times New Roman"/>
                <w:color w:val="auto"/>
                <w:szCs w:val="24"/>
                <w:u w:val="none"/>
                <w:shd w:val="clear" w:color="auto" w:fill="FFFFFF"/>
              </w:rPr>
              <w:t xml:space="preserve">  (H1-receptor antagonist)</w:t>
            </w:r>
          </w:p>
        </w:tc>
      </w:tr>
      <w:tr w:rsidR="00D20CB2" w:rsidRPr="00BD4E51" w14:paraId="16180650" w14:textId="77777777" w:rsidTr="002D6DD7">
        <w:trPr>
          <w:trHeight w:val="40"/>
        </w:trPr>
        <w:tc>
          <w:tcPr>
            <w:tcW w:w="2695" w:type="dxa"/>
          </w:tcPr>
          <w:p w14:paraId="098DB653"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1C983438" w14:textId="77777777" w:rsidR="00D20CB2" w:rsidRPr="00B47F3A" w:rsidRDefault="00D20CB2" w:rsidP="002D6DD7">
            <w:pPr>
              <w:jc w:val="both"/>
              <w:rPr>
                <w:rFonts w:cs="Times New Roman"/>
                <w:szCs w:val="24"/>
                <w:lang w:val="sv-SE"/>
              </w:rPr>
            </w:pPr>
            <w:r w:rsidRPr="00B47F3A">
              <w:rPr>
                <w:rFonts w:cs="Times New Roman"/>
                <w:szCs w:val="24"/>
                <w:lang w:val="sv-SE"/>
              </w:rPr>
              <w:t>Syrup (5mg/5ml)</w:t>
            </w:r>
            <w:r w:rsidRPr="00B47F3A">
              <w:rPr>
                <w:rFonts w:cs="Times New Roman"/>
                <w:color w:val="000000" w:themeColor="text1"/>
                <w:szCs w:val="24"/>
                <w:lang w:val="sv-SE"/>
              </w:rPr>
              <w:t>, Tablet (10mg)</w:t>
            </w:r>
          </w:p>
        </w:tc>
      </w:tr>
      <w:tr w:rsidR="00D20CB2" w:rsidRPr="00B47F3A" w14:paraId="35331317" w14:textId="77777777" w:rsidTr="002D6DD7">
        <w:tc>
          <w:tcPr>
            <w:tcW w:w="2695" w:type="dxa"/>
          </w:tcPr>
          <w:p w14:paraId="32B6E6DB"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2DC33773" w14:textId="77777777" w:rsidR="00D20CB2" w:rsidRPr="00F2361E" w:rsidRDefault="00D20CB2" w:rsidP="002D6DD7">
            <w:pPr>
              <w:autoSpaceDE w:val="0"/>
              <w:autoSpaceDN w:val="0"/>
              <w:adjustRightInd w:val="0"/>
              <w:jc w:val="both"/>
              <w:rPr>
                <w:rFonts w:cs="Times New Roman"/>
                <w:szCs w:val="24"/>
              </w:rPr>
            </w:pPr>
            <w:r w:rsidRPr="00F2361E">
              <w:rPr>
                <w:rFonts w:cs="Times New Roman"/>
                <w:szCs w:val="24"/>
              </w:rPr>
              <w:t>Symptomatic relief of allergies such as hay fever and urticaria</w:t>
            </w:r>
          </w:p>
        </w:tc>
      </w:tr>
      <w:tr w:rsidR="00D20CB2" w:rsidRPr="00B47F3A" w14:paraId="5C690AA7" w14:textId="77777777" w:rsidTr="002D6DD7">
        <w:tc>
          <w:tcPr>
            <w:tcW w:w="2695" w:type="dxa"/>
          </w:tcPr>
          <w:p w14:paraId="03702ACE" w14:textId="77777777" w:rsidR="00D20CB2" w:rsidRPr="00B47F3A" w:rsidRDefault="00D20CB2" w:rsidP="002D6DD7">
            <w:pPr>
              <w:rPr>
                <w:rFonts w:cs="Times New Roman"/>
                <w:szCs w:val="24"/>
              </w:rPr>
            </w:pPr>
            <w:r w:rsidRPr="00B47F3A">
              <w:rPr>
                <w:rFonts w:eastAsia="Times New Roman" w:cs="Times New Roman"/>
                <w:szCs w:val="24"/>
              </w:rPr>
              <w:t>Dose and administration</w:t>
            </w:r>
          </w:p>
        </w:tc>
        <w:tc>
          <w:tcPr>
            <w:tcW w:w="6627" w:type="dxa"/>
          </w:tcPr>
          <w:p w14:paraId="0126E553"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Child 2–11 years (body weight up to 31 kg):</w:t>
            </w:r>
            <w:r w:rsidRPr="00B47F3A">
              <w:rPr>
                <w:rFonts w:cs="Times New Roman"/>
                <w:color w:val="231F20"/>
                <w:szCs w:val="24"/>
              </w:rPr>
              <w:t xml:space="preserve"> 5 mg orally once daily</w:t>
            </w:r>
          </w:p>
          <w:p w14:paraId="4C385560"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Child 2–11 years (body weight 31 kg and above):</w:t>
            </w:r>
            <w:r w:rsidRPr="00B47F3A">
              <w:rPr>
                <w:rFonts w:cs="Times New Roman"/>
                <w:color w:val="231F20"/>
                <w:szCs w:val="24"/>
              </w:rPr>
              <w:t xml:space="preserve"> 10 mg orally once daily</w:t>
            </w:r>
          </w:p>
          <w:p w14:paraId="283034D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Child 12 years and beyond:</w:t>
            </w:r>
            <w:r w:rsidRPr="00B47F3A">
              <w:rPr>
                <w:rFonts w:cs="Times New Roman"/>
                <w:color w:val="231F20"/>
                <w:szCs w:val="24"/>
              </w:rPr>
              <w:t xml:space="preserve"> 10 mg orally once daily</w:t>
            </w:r>
          </w:p>
        </w:tc>
      </w:tr>
      <w:tr w:rsidR="00D20CB2" w:rsidRPr="00B47F3A" w14:paraId="7EB11624" w14:textId="77777777" w:rsidTr="002D6DD7">
        <w:trPr>
          <w:trHeight w:val="40"/>
        </w:trPr>
        <w:tc>
          <w:tcPr>
            <w:tcW w:w="2695" w:type="dxa"/>
          </w:tcPr>
          <w:p w14:paraId="44CA98FC" w14:textId="77777777" w:rsidR="00D20CB2" w:rsidRPr="00B47F3A" w:rsidRDefault="00D20CB2" w:rsidP="002D6DD7">
            <w:pPr>
              <w:jc w:val="both"/>
              <w:rPr>
                <w:rFonts w:cs="Times New Roman"/>
                <w:szCs w:val="24"/>
              </w:rPr>
            </w:pPr>
            <w:r w:rsidRPr="00B47F3A">
              <w:rPr>
                <w:rFonts w:cs="Times New Roman"/>
                <w:szCs w:val="24"/>
              </w:rPr>
              <w:t>Contraindications</w:t>
            </w:r>
          </w:p>
        </w:tc>
        <w:tc>
          <w:tcPr>
            <w:tcW w:w="6627" w:type="dxa"/>
          </w:tcPr>
          <w:p w14:paraId="2B5BE01A"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Hypersensitivity to loratadine or any component of the formulation</w:t>
            </w:r>
          </w:p>
        </w:tc>
      </w:tr>
      <w:tr w:rsidR="00D20CB2" w:rsidRPr="00B47F3A" w14:paraId="52E0A74A" w14:textId="77777777" w:rsidTr="002D6DD7">
        <w:tc>
          <w:tcPr>
            <w:tcW w:w="2695" w:type="dxa"/>
          </w:tcPr>
          <w:p w14:paraId="6AAB54F8"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49E78B87" w14:textId="77777777" w:rsidR="00D20CB2" w:rsidRPr="00B47F3A" w:rsidRDefault="00D20CB2" w:rsidP="002D6DD7">
            <w:pPr>
              <w:autoSpaceDE w:val="0"/>
              <w:autoSpaceDN w:val="0"/>
              <w:adjustRightInd w:val="0"/>
              <w:jc w:val="both"/>
              <w:rPr>
                <w:rFonts w:cs="Times New Roman"/>
                <w:color w:val="232323"/>
                <w:szCs w:val="24"/>
              </w:rPr>
            </w:pPr>
            <w:r w:rsidRPr="00B47F3A">
              <w:rPr>
                <w:rFonts w:cs="Times New Roman"/>
                <w:color w:val="232323"/>
                <w:szCs w:val="24"/>
              </w:rPr>
              <w:t>Ketoconazole (systemic), erythromycin, cimetidine, alcohol (ethyl), amitriptyline, clozapine</w:t>
            </w:r>
          </w:p>
        </w:tc>
      </w:tr>
      <w:tr w:rsidR="00D20CB2" w:rsidRPr="00B47F3A" w14:paraId="3993D388" w14:textId="77777777" w:rsidTr="002D6DD7">
        <w:tc>
          <w:tcPr>
            <w:tcW w:w="2695" w:type="dxa"/>
          </w:tcPr>
          <w:p w14:paraId="0F7E9548"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0631A501"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Headache, fatigue, drowsiness, nervousness (in child), insomnia, alopecia, angioedema, dizziness, dry oral, gastritis, hepatic function abnormalities, nausea, palpitations, rash, seizure, tachycardia</w:t>
            </w:r>
          </w:p>
        </w:tc>
      </w:tr>
      <w:tr w:rsidR="00D20CB2" w:rsidRPr="00B47F3A" w14:paraId="2E518166" w14:textId="77777777" w:rsidTr="002D6DD7">
        <w:tc>
          <w:tcPr>
            <w:tcW w:w="2695" w:type="dxa"/>
          </w:tcPr>
          <w:p w14:paraId="7726DCC6"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28F08600"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Pregnancy, lactation, allergic reactions, enlarged prostate gland, liver or kidney disease, alcohol consumption</w:t>
            </w:r>
          </w:p>
        </w:tc>
      </w:tr>
      <w:tr w:rsidR="00D20CB2" w:rsidRPr="00B47F3A" w14:paraId="5E76E95C" w14:textId="77777777" w:rsidTr="002D6DD7">
        <w:tc>
          <w:tcPr>
            <w:tcW w:w="2695" w:type="dxa"/>
          </w:tcPr>
          <w:p w14:paraId="07DDDFE7"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65E35D15"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Store below 30</w:t>
            </w:r>
            <w:r w:rsidRPr="00F2361E">
              <w:rPr>
                <w:rFonts w:cs="Times New Roman"/>
                <w:color w:val="231F20"/>
                <w:szCs w:val="24"/>
                <w:vertAlign w:val="superscript"/>
              </w:rPr>
              <w:t>0</w:t>
            </w:r>
            <w:r w:rsidRPr="00B47F3A">
              <w:rPr>
                <w:rFonts w:cs="Times New Roman"/>
                <w:color w:val="231F20"/>
                <w:szCs w:val="24"/>
              </w:rPr>
              <w:t>C</w:t>
            </w:r>
            <w:r>
              <w:rPr>
                <w:rFonts w:cs="Times New Roman"/>
                <w:color w:val="231F20"/>
                <w:szCs w:val="24"/>
              </w:rPr>
              <w:t>. P</w:t>
            </w:r>
            <w:r w:rsidRPr="00B47F3A">
              <w:rPr>
                <w:rFonts w:cs="Times New Roman"/>
                <w:color w:val="231F20"/>
                <w:szCs w:val="24"/>
              </w:rPr>
              <w:t>rotect from moisture and light.</w:t>
            </w:r>
          </w:p>
        </w:tc>
      </w:tr>
      <w:tr w:rsidR="00D20CB2" w:rsidRPr="00B47F3A" w14:paraId="37602118" w14:textId="77777777" w:rsidTr="002D6DD7">
        <w:tc>
          <w:tcPr>
            <w:tcW w:w="9322" w:type="dxa"/>
            <w:gridSpan w:val="2"/>
          </w:tcPr>
          <w:p w14:paraId="12E35C7F" w14:textId="77777777" w:rsidR="00D20CB2" w:rsidRPr="00B47F3A" w:rsidRDefault="00D20CB2" w:rsidP="002D6DD7">
            <w:pPr>
              <w:jc w:val="both"/>
              <w:rPr>
                <w:rFonts w:cs="Times New Roman"/>
                <w:b/>
                <w:bCs/>
                <w:color w:val="FFFFFF" w:themeColor="background1"/>
                <w:szCs w:val="24"/>
              </w:rPr>
            </w:pPr>
            <w:bookmarkStart w:id="122" w:name="_Toc168315280"/>
            <w:bookmarkEnd w:id="121"/>
            <w:r w:rsidRPr="00B47F3A">
              <w:rPr>
                <w:rFonts w:cs="Times New Roman"/>
                <w:b/>
                <w:bCs/>
                <w:szCs w:val="24"/>
              </w:rPr>
              <w:t>Promethazine hydrochloride</w:t>
            </w:r>
            <w:bookmarkEnd w:id="122"/>
          </w:p>
        </w:tc>
      </w:tr>
      <w:tr w:rsidR="00D20CB2" w:rsidRPr="00B47F3A" w14:paraId="6D78682C" w14:textId="77777777" w:rsidTr="002D6DD7">
        <w:trPr>
          <w:trHeight w:val="242"/>
        </w:trPr>
        <w:tc>
          <w:tcPr>
            <w:tcW w:w="2695" w:type="dxa"/>
          </w:tcPr>
          <w:p w14:paraId="7DE26EF4" w14:textId="77777777" w:rsidR="00D20CB2" w:rsidRPr="00B47F3A" w:rsidRDefault="00D20CB2" w:rsidP="002D6DD7">
            <w:pPr>
              <w:jc w:val="both"/>
              <w:rPr>
                <w:rFonts w:cs="Times New Roman"/>
                <w:color w:val="FFFFFF" w:themeColor="background1"/>
                <w:szCs w:val="24"/>
              </w:rPr>
            </w:pPr>
            <w:r w:rsidRPr="00B47F3A">
              <w:rPr>
                <w:rFonts w:cs="Times New Roman"/>
                <w:color w:val="000000" w:themeColor="text1"/>
                <w:szCs w:val="24"/>
              </w:rPr>
              <w:t>Pharmacological class</w:t>
            </w:r>
          </w:p>
        </w:tc>
        <w:tc>
          <w:tcPr>
            <w:tcW w:w="6627" w:type="dxa"/>
          </w:tcPr>
          <w:p w14:paraId="72C793A7" w14:textId="77777777" w:rsidR="00D20CB2" w:rsidRPr="00B47F3A" w:rsidRDefault="00EA5977" w:rsidP="002D6DD7">
            <w:pPr>
              <w:jc w:val="both"/>
              <w:rPr>
                <w:rFonts w:cs="Times New Roman"/>
                <w:szCs w:val="24"/>
              </w:rPr>
            </w:pPr>
            <w:hyperlink r:id="rId36" w:history="1">
              <w:r w:rsidR="00D20CB2" w:rsidRPr="00B47F3A">
                <w:rPr>
                  <w:rStyle w:val="Hyperlink"/>
                  <w:rFonts w:cs="Times New Roman"/>
                  <w:color w:val="auto"/>
                  <w:szCs w:val="24"/>
                  <w:u w:val="none"/>
                  <w:shd w:val="clear" w:color="auto" w:fill="FFFFFF"/>
                </w:rPr>
                <w:t>Antihistamine</w:t>
              </w:r>
            </w:hyperlink>
            <w:r w:rsidR="00D20CB2" w:rsidRPr="00B47F3A">
              <w:rPr>
                <w:rFonts w:cs="Times New Roman"/>
                <w:szCs w:val="24"/>
                <w:shd w:val="clear" w:color="auto" w:fill="FFFFFF"/>
              </w:rPr>
              <w:t>, </w:t>
            </w:r>
            <w:hyperlink r:id="rId37" w:history="1">
              <w:r w:rsidR="00D20CB2" w:rsidRPr="00B47F3A">
                <w:rPr>
                  <w:rStyle w:val="Hyperlink"/>
                  <w:rFonts w:cs="Times New Roman"/>
                  <w:color w:val="auto"/>
                  <w:szCs w:val="24"/>
                  <w:u w:val="none"/>
                  <w:shd w:val="clear" w:color="auto" w:fill="FFFFFF"/>
                </w:rPr>
                <w:t>phenothiazine antiemetic</w:t>
              </w:r>
            </w:hyperlink>
          </w:p>
        </w:tc>
      </w:tr>
      <w:tr w:rsidR="00D20CB2" w:rsidRPr="00B47F3A" w14:paraId="05CC1350" w14:textId="77777777" w:rsidTr="002D6DD7">
        <w:trPr>
          <w:trHeight w:val="40"/>
        </w:trPr>
        <w:tc>
          <w:tcPr>
            <w:tcW w:w="2695" w:type="dxa"/>
          </w:tcPr>
          <w:p w14:paraId="3F415F96" w14:textId="77777777" w:rsidR="00D20CB2" w:rsidRPr="00B47F3A" w:rsidRDefault="00D20CB2" w:rsidP="002D6DD7">
            <w:pPr>
              <w:jc w:val="both"/>
              <w:rPr>
                <w:rFonts w:cs="Times New Roman"/>
                <w:szCs w:val="24"/>
              </w:rPr>
            </w:pPr>
            <w:r w:rsidRPr="00B47F3A">
              <w:rPr>
                <w:rFonts w:cs="Times New Roman"/>
                <w:szCs w:val="24"/>
              </w:rPr>
              <w:t>Dosage form</w:t>
            </w:r>
          </w:p>
        </w:tc>
        <w:tc>
          <w:tcPr>
            <w:tcW w:w="6627" w:type="dxa"/>
          </w:tcPr>
          <w:p w14:paraId="49FCE438" w14:textId="77777777" w:rsidR="00D20CB2" w:rsidRPr="00B47F3A" w:rsidRDefault="00D20CB2" w:rsidP="002D6DD7">
            <w:pPr>
              <w:jc w:val="both"/>
              <w:rPr>
                <w:rFonts w:cs="Times New Roman"/>
                <w:szCs w:val="24"/>
                <w:lang w:val="sv-SE"/>
              </w:rPr>
            </w:pPr>
            <w:r w:rsidRPr="00B47F3A">
              <w:rPr>
                <w:rFonts w:cs="Times New Roman"/>
                <w:szCs w:val="24"/>
                <w:lang w:val="sv-SE"/>
              </w:rPr>
              <w:t>Elixir (5mg/5ml), Tablet (25mg), Injection (25 mg/ml, 50 mg/ml)</w:t>
            </w:r>
          </w:p>
        </w:tc>
      </w:tr>
      <w:tr w:rsidR="00D20CB2" w:rsidRPr="00B47F3A" w14:paraId="43940190" w14:textId="77777777" w:rsidTr="002D6DD7">
        <w:tc>
          <w:tcPr>
            <w:tcW w:w="2695" w:type="dxa"/>
          </w:tcPr>
          <w:p w14:paraId="010D84CF" w14:textId="77777777" w:rsidR="00D20CB2" w:rsidRPr="00B47F3A" w:rsidRDefault="00D20CB2" w:rsidP="002D6DD7">
            <w:pPr>
              <w:jc w:val="both"/>
              <w:rPr>
                <w:rFonts w:cs="Times New Roman"/>
                <w:szCs w:val="24"/>
              </w:rPr>
            </w:pPr>
            <w:r w:rsidRPr="00B47F3A">
              <w:rPr>
                <w:rFonts w:cs="Times New Roman"/>
                <w:szCs w:val="24"/>
              </w:rPr>
              <w:t>Indications</w:t>
            </w:r>
          </w:p>
        </w:tc>
        <w:tc>
          <w:tcPr>
            <w:tcW w:w="6627" w:type="dxa"/>
          </w:tcPr>
          <w:p w14:paraId="7EACBB22"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 xml:space="preserve">Symptomatic relief of allergies such as hay fever and urticaria, Premedication, </w:t>
            </w:r>
            <w:r>
              <w:rPr>
                <w:rFonts w:cs="Times New Roman"/>
                <w:szCs w:val="24"/>
              </w:rPr>
              <w:t>e</w:t>
            </w:r>
            <w:r w:rsidRPr="00B47F3A">
              <w:rPr>
                <w:rFonts w:cs="Times New Roman"/>
                <w:szCs w:val="24"/>
              </w:rPr>
              <w:t xml:space="preserve">mergency treatment of anaphylactic reactions, sedation, </w:t>
            </w:r>
            <w:r>
              <w:rPr>
                <w:rFonts w:cs="Times New Roman"/>
                <w:szCs w:val="24"/>
              </w:rPr>
              <w:t>m</w:t>
            </w:r>
            <w:r w:rsidRPr="00B47F3A">
              <w:rPr>
                <w:rFonts w:cs="Times New Roman"/>
                <w:szCs w:val="24"/>
              </w:rPr>
              <w:t xml:space="preserve">otion sickness, Insomnia associated with urticaria and pruritus, </w:t>
            </w:r>
            <w:r>
              <w:rPr>
                <w:rFonts w:cs="Times New Roman"/>
                <w:szCs w:val="24"/>
              </w:rPr>
              <w:t>n</w:t>
            </w:r>
            <w:r w:rsidRPr="00B47F3A">
              <w:rPr>
                <w:rFonts w:cs="Times New Roman"/>
                <w:szCs w:val="24"/>
              </w:rPr>
              <w:t>ausea, vomiting, vertigo, and labyrinthine disorders</w:t>
            </w:r>
          </w:p>
        </w:tc>
      </w:tr>
      <w:tr w:rsidR="00D20CB2" w:rsidRPr="00B47F3A" w14:paraId="73FE6495" w14:textId="77777777" w:rsidTr="002D6DD7">
        <w:tc>
          <w:tcPr>
            <w:tcW w:w="2695" w:type="dxa"/>
          </w:tcPr>
          <w:p w14:paraId="200CBA38" w14:textId="77777777" w:rsidR="00D20CB2" w:rsidRPr="00B47F3A" w:rsidRDefault="00D20CB2" w:rsidP="002D6DD7">
            <w:pPr>
              <w:rPr>
                <w:rFonts w:cs="Times New Roman"/>
                <w:szCs w:val="24"/>
              </w:rPr>
            </w:pPr>
            <w:r w:rsidRPr="00B47F3A">
              <w:rPr>
                <w:rFonts w:eastAsia="Times New Roman" w:cs="Times New Roman"/>
                <w:szCs w:val="24"/>
              </w:rPr>
              <w:lastRenderedPageBreak/>
              <w:t>Dose and administration</w:t>
            </w:r>
          </w:p>
        </w:tc>
        <w:tc>
          <w:tcPr>
            <w:tcW w:w="6627" w:type="dxa"/>
          </w:tcPr>
          <w:p w14:paraId="2350C612" w14:textId="77777777" w:rsidR="00D20CB2"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Elixir (5 mg/5 ml)</w:t>
            </w:r>
          </w:p>
          <w:p w14:paraId="6CCB5E34" w14:textId="77777777" w:rsidR="00D20CB2"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Adult and Child 12 years and older</w:t>
            </w:r>
          </w:p>
          <w:p w14:paraId="50E9DD89" w14:textId="77777777" w:rsidR="00D20CB2" w:rsidRPr="00F119E6"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Pr>
                <w:rFonts w:cs="Times New Roman"/>
                <w:b/>
                <w:bCs/>
                <w:color w:val="231F20"/>
                <w:szCs w:val="24"/>
              </w:rPr>
              <w:t xml:space="preserve">: </w:t>
            </w:r>
            <w:r w:rsidRPr="00B47F3A">
              <w:rPr>
                <w:rFonts w:cs="Times New Roman"/>
                <w:color w:val="231F20"/>
                <w:szCs w:val="24"/>
              </w:rPr>
              <w:t>25 mg (25 ml) at bedtime or 12.5 mg (12.5 ml) before meals and at bedtime as needed. Maximum: 50 mg (50 ml) per day.</w:t>
            </w:r>
          </w:p>
          <w:p w14:paraId="36E4B94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25 mg (25 ml) 30 to 60 minutes before travel, then 12.5 mg (12.5 ml) to 25 mg (25 ml) every 12 hours as needed. Maximum: 50 mg (50 ml) per day.</w:t>
            </w:r>
          </w:p>
          <w:p w14:paraId="7FA55AFE"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xml:space="preserve"> 12.5 mg (12.5 ml) to 25 mg (25 ml) every 4 to 6 hours as needed. Maximum: 100 mg (100 ml) per day.</w:t>
            </w:r>
          </w:p>
          <w:p w14:paraId="05A0BFEF"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6 to 11 Years</w:t>
            </w:r>
          </w:p>
          <w:p w14:paraId="02EFD878"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sidRPr="00B47F3A">
              <w:rPr>
                <w:rFonts w:cs="Times New Roman"/>
                <w:color w:val="231F20"/>
                <w:szCs w:val="24"/>
              </w:rPr>
              <w:t xml:space="preserve"> 12.5 mg (12.5 ml) at bedtime or 6.25 mg (6.25 ml) before meals and at bedtime as needed. Maximum: 25 mg (25 ml) per day.</w:t>
            </w:r>
          </w:p>
          <w:p w14:paraId="46502040"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12.5 mg (12.5 ml) 30 to 60 minutes before travel, then 6.25 mg (6.25 ml) to 12.5 mg (12.5 ml) every 12 hours as needed. Maximum: 25 mg (25 ml) per day.</w:t>
            </w:r>
          </w:p>
          <w:p w14:paraId="0AF21AF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xml:space="preserve"> 6.25 mg (6.25 ml) to 12.5 mg (12.5 ml) every 4 to 6 hours as needed. Maximum: 50 mg (50 ml) per day.</w:t>
            </w:r>
          </w:p>
          <w:p w14:paraId="0501F6F7"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2 to 5 Years</w:t>
            </w:r>
            <w:r w:rsidR="005013E8">
              <w:rPr>
                <w:rFonts w:cs="Times New Roman"/>
                <w:b/>
                <w:bCs/>
                <w:color w:val="231F20"/>
                <w:szCs w:val="24"/>
              </w:rPr>
              <w:t>:</w:t>
            </w:r>
          </w:p>
          <w:p w14:paraId="376C04CC"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sidRPr="00B47F3A">
              <w:rPr>
                <w:rFonts w:cs="Times New Roman"/>
                <w:color w:val="231F20"/>
                <w:szCs w:val="24"/>
              </w:rPr>
              <w:t xml:space="preserve"> 6.25 mg (6.25 ml) at bedtime or 3.125 mg (3.125 ml) before meals and at bedtime as needed. Maximum: 12.5 mg (12.5 ml) per day.</w:t>
            </w:r>
          </w:p>
          <w:p w14:paraId="4600E040"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6.25 mg (6.25 ml) 30 to 60 minutes before travel, then 3.125 mg (3.125 ml) to 6.25 mg (6.25 ml) every 12 hours as needed. Maximum: 12.5 mg (12.5 ml) per day.</w:t>
            </w:r>
          </w:p>
          <w:p w14:paraId="2AA7BE6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xml:space="preserve"> 3.125 mg (3.125 ml) to 6.25 mg (6.25 ml) every 4 to 6 hours as needed. Maximum: 25 mg (25 ml) per day.</w:t>
            </w:r>
          </w:p>
          <w:p w14:paraId="0041713C"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Under 2 Years</w:t>
            </w:r>
            <w:r w:rsidR="005013E8">
              <w:rPr>
                <w:rFonts w:cs="Times New Roman"/>
                <w:b/>
                <w:bCs/>
                <w:color w:val="231F20"/>
                <w:szCs w:val="24"/>
              </w:rPr>
              <w:t>:</w:t>
            </w:r>
          </w:p>
          <w:p w14:paraId="69A1B428"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Contraindicated:</w:t>
            </w:r>
            <w:r w:rsidRPr="00B47F3A">
              <w:rPr>
                <w:rFonts w:cs="Times New Roman"/>
                <w:color w:val="231F20"/>
                <w:szCs w:val="24"/>
              </w:rPr>
              <w:t xml:space="preserve"> Promethazine should not be used due to the risk of severe respiratory depression.</w:t>
            </w:r>
          </w:p>
          <w:p w14:paraId="7B89468F"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lastRenderedPageBreak/>
              <w:t>Tablets (25 mg)</w:t>
            </w:r>
            <w:r w:rsidR="005013E8">
              <w:rPr>
                <w:rFonts w:cs="Times New Roman"/>
                <w:b/>
                <w:bCs/>
                <w:color w:val="231F20"/>
                <w:szCs w:val="24"/>
              </w:rPr>
              <w:t>:</w:t>
            </w:r>
          </w:p>
          <w:p w14:paraId="5C64D6FB"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Adults and Child 12 Years and Older</w:t>
            </w:r>
            <w:r w:rsidR="005013E8">
              <w:rPr>
                <w:rFonts w:cs="Times New Roman"/>
                <w:b/>
                <w:bCs/>
                <w:color w:val="231F20"/>
                <w:szCs w:val="24"/>
              </w:rPr>
              <w:t>:</w:t>
            </w:r>
          </w:p>
          <w:p w14:paraId="23983EEA"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sidRPr="00B47F3A">
              <w:rPr>
                <w:rFonts w:cs="Times New Roman"/>
                <w:color w:val="231F20"/>
                <w:szCs w:val="24"/>
              </w:rPr>
              <w:t xml:space="preserve"> 25 mg at bedtime or 12.5 mg before meals and at bedtime as needed. Maximum: 50 mg per day.</w:t>
            </w:r>
          </w:p>
          <w:p w14:paraId="22B267C8"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25 mg taken 30 to 60 minutes before travel, then 12.5 mg to 25 mg every 12 hours as needed. Maximum: 50 mg per day.</w:t>
            </w:r>
          </w:p>
          <w:p w14:paraId="31443627"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xml:space="preserve"> 12.5 mg to 25 mg every 4 to 6 hours as needed. Maximum: 100 mg per day.</w:t>
            </w:r>
          </w:p>
          <w:p w14:paraId="20DE4F7C"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6 to 11 Years</w:t>
            </w:r>
          </w:p>
          <w:p w14:paraId="0B9C0F4F"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sidRPr="00B47F3A">
              <w:rPr>
                <w:rFonts w:cs="Times New Roman"/>
                <w:color w:val="231F20"/>
                <w:szCs w:val="24"/>
              </w:rPr>
              <w:t xml:space="preserve"> 12.5 mg at bedtime or 6.25 mg before meals and at bedtime as needed. Maximum: 25 mg per day.</w:t>
            </w:r>
          </w:p>
          <w:p w14:paraId="7D03F335"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12.5 mg taken 30 to 60 minutes before travel, then 6.25 mg to 12.5 mg every 12 hours as needed. Maximum: 25 mg per day.</w:t>
            </w:r>
          </w:p>
          <w:p w14:paraId="1B962A39"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6.25 mg to 12.5 mg every 4 to 6 hours as needed. Maximum: 50 mg per day.</w:t>
            </w:r>
          </w:p>
          <w:p w14:paraId="6ADE8AD2"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2 to 5 Years</w:t>
            </w:r>
          </w:p>
          <w:p w14:paraId="76808A61"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Allergic Conditions:</w:t>
            </w:r>
            <w:r w:rsidRPr="00B47F3A">
              <w:rPr>
                <w:rFonts w:cs="Times New Roman"/>
                <w:color w:val="231F20"/>
                <w:szCs w:val="24"/>
              </w:rPr>
              <w:t xml:space="preserve"> 6.25 mg at bedtime or 3.125 mg before meals and at bedtime as needed. Maximum: 12.5 mg per day.</w:t>
            </w:r>
          </w:p>
          <w:p w14:paraId="3C49A140"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Motion Sickness:</w:t>
            </w:r>
            <w:r w:rsidRPr="00B47F3A">
              <w:rPr>
                <w:rFonts w:cs="Times New Roman"/>
                <w:color w:val="231F20"/>
                <w:szCs w:val="24"/>
              </w:rPr>
              <w:t xml:space="preserve"> 6.25 mg taken 30 to 60 minutes before travel, then 3.125 mg to 6.25 mg every 12 hours as needed. Maximum: 12.5 mg per day.</w:t>
            </w:r>
          </w:p>
          <w:p w14:paraId="6FBBF162"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Nausea and Vomiting:</w:t>
            </w:r>
            <w:r w:rsidRPr="00B47F3A">
              <w:rPr>
                <w:rFonts w:cs="Times New Roman"/>
                <w:color w:val="231F20"/>
                <w:szCs w:val="24"/>
              </w:rPr>
              <w:t xml:space="preserve"> 3.125 mg to 6.25 mg every 4 to 6 hours as needed. Maximum: 25 mg per day.</w:t>
            </w:r>
          </w:p>
          <w:p w14:paraId="18283457" w14:textId="77777777" w:rsidR="00D20CB2" w:rsidRPr="00B47F3A"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Injection (25 mg/ml, 50 mg/ml)</w:t>
            </w:r>
          </w:p>
          <w:p w14:paraId="596CAB45" w14:textId="77777777" w:rsidR="00D20CB2" w:rsidRPr="00AC08CF"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Adults and Child 12 years and older</w:t>
            </w:r>
            <w:r>
              <w:rPr>
                <w:rFonts w:cs="Times New Roman"/>
                <w:b/>
                <w:bCs/>
                <w:color w:val="231F20"/>
                <w:szCs w:val="24"/>
              </w:rPr>
              <w:t xml:space="preserve">: </w:t>
            </w:r>
            <w:r w:rsidRPr="00B47F3A">
              <w:rPr>
                <w:rFonts w:cs="Times New Roman"/>
                <w:color w:val="231F20"/>
                <w:szCs w:val="24"/>
              </w:rPr>
              <w:t xml:space="preserve">12.5 mg to 25 mg by deep IM injection or slow </w:t>
            </w:r>
            <w:r>
              <w:rPr>
                <w:rFonts w:cs="Times New Roman"/>
                <w:color w:val="231F20"/>
                <w:szCs w:val="24"/>
              </w:rPr>
              <w:t>IV</w:t>
            </w:r>
            <w:r w:rsidRPr="00B47F3A">
              <w:rPr>
                <w:rFonts w:cs="Times New Roman"/>
                <w:color w:val="231F20"/>
                <w:szCs w:val="24"/>
              </w:rPr>
              <w:t xml:space="preserve"> injection. Maximum: 50 mg per day.</w:t>
            </w:r>
          </w:p>
          <w:p w14:paraId="38F362B7" w14:textId="77777777" w:rsidR="00D20CB2" w:rsidRPr="00AC08CF" w:rsidRDefault="00D20CB2" w:rsidP="002D6DD7">
            <w:pPr>
              <w:autoSpaceDE w:val="0"/>
              <w:autoSpaceDN w:val="0"/>
              <w:adjustRightInd w:val="0"/>
              <w:jc w:val="both"/>
              <w:rPr>
                <w:rFonts w:cs="Times New Roman"/>
                <w:b/>
                <w:bCs/>
                <w:color w:val="231F20"/>
                <w:szCs w:val="24"/>
              </w:rPr>
            </w:pPr>
            <w:r w:rsidRPr="00B47F3A">
              <w:rPr>
                <w:rFonts w:cs="Times New Roman"/>
                <w:b/>
                <w:bCs/>
                <w:color w:val="231F20"/>
                <w:szCs w:val="24"/>
              </w:rPr>
              <w:t>Child 6 to 11 years</w:t>
            </w:r>
            <w:r>
              <w:rPr>
                <w:rFonts w:cs="Times New Roman"/>
                <w:b/>
                <w:bCs/>
                <w:color w:val="231F20"/>
                <w:szCs w:val="24"/>
              </w:rPr>
              <w:t xml:space="preserve">: </w:t>
            </w:r>
            <w:r w:rsidRPr="00B47F3A">
              <w:rPr>
                <w:rFonts w:cs="Times New Roman"/>
                <w:color w:val="231F20"/>
                <w:szCs w:val="24"/>
              </w:rPr>
              <w:t>6.25 mg to 12.5 mg by deep IM injection or slow intravenous injection. Maximum: 25 mg per day.</w:t>
            </w:r>
          </w:p>
          <w:p w14:paraId="6C1EC87D" w14:textId="77777777" w:rsidR="00D20CB2" w:rsidRPr="00AC08CF" w:rsidRDefault="00D20CB2" w:rsidP="002D6DD7">
            <w:pPr>
              <w:autoSpaceDE w:val="0"/>
              <w:autoSpaceDN w:val="0"/>
              <w:adjustRightInd w:val="0"/>
              <w:jc w:val="both"/>
              <w:rPr>
                <w:rFonts w:cs="Times New Roman"/>
                <w:color w:val="231F20"/>
                <w:szCs w:val="24"/>
              </w:rPr>
            </w:pPr>
            <w:r w:rsidRPr="00B47F3A">
              <w:rPr>
                <w:rFonts w:cs="Times New Roman"/>
                <w:b/>
                <w:bCs/>
                <w:color w:val="231F20"/>
                <w:szCs w:val="24"/>
              </w:rPr>
              <w:t>Child 2 to 5 years</w:t>
            </w:r>
            <w:r>
              <w:rPr>
                <w:rFonts w:cs="Times New Roman"/>
                <w:b/>
                <w:bCs/>
                <w:color w:val="231F20"/>
                <w:szCs w:val="24"/>
              </w:rPr>
              <w:t xml:space="preserve">: </w:t>
            </w:r>
            <w:r w:rsidRPr="00B47F3A">
              <w:rPr>
                <w:rFonts w:cs="Times New Roman"/>
                <w:color w:val="231F20"/>
                <w:szCs w:val="24"/>
              </w:rPr>
              <w:t xml:space="preserve">3.125 mg to 6.25 mg by deep IM injection or </w:t>
            </w:r>
            <w:r w:rsidRPr="00B47F3A">
              <w:rPr>
                <w:rFonts w:cs="Times New Roman"/>
                <w:color w:val="231F20"/>
                <w:szCs w:val="24"/>
              </w:rPr>
              <w:lastRenderedPageBreak/>
              <w:t xml:space="preserve">slow </w:t>
            </w:r>
            <w:r>
              <w:rPr>
                <w:rFonts w:cs="Times New Roman"/>
                <w:color w:val="231F20"/>
                <w:szCs w:val="24"/>
              </w:rPr>
              <w:t>IV</w:t>
            </w:r>
            <w:r w:rsidRPr="00B47F3A">
              <w:rPr>
                <w:rFonts w:cs="Times New Roman"/>
                <w:color w:val="231F20"/>
                <w:szCs w:val="24"/>
              </w:rPr>
              <w:t xml:space="preserve"> injection. Maximum: 12.5 mg per day.</w:t>
            </w:r>
          </w:p>
        </w:tc>
      </w:tr>
      <w:tr w:rsidR="00D20CB2" w:rsidRPr="00B47F3A" w14:paraId="7941C82C" w14:textId="77777777" w:rsidTr="002D6DD7">
        <w:trPr>
          <w:trHeight w:val="40"/>
        </w:trPr>
        <w:tc>
          <w:tcPr>
            <w:tcW w:w="2695" w:type="dxa"/>
          </w:tcPr>
          <w:p w14:paraId="0165AE08" w14:textId="77777777" w:rsidR="00D20CB2" w:rsidRPr="00B47F3A" w:rsidRDefault="00D20CB2" w:rsidP="002D6DD7">
            <w:pPr>
              <w:jc w:val="both"/>
              <w:rPr>
                <w:rFonts w:cs="Times New Roman"/>
                <w:szCs w:val="24"/>
              </w:rPr>
            </w:pPr>
            <w:r w:rsidRPr="00B47F3A">
              <w:rPr>
                <w:rFonts w:cs="Times New Roman"/>
                <w:szCs w:val="24"/>
              </w:rPr>
              <w:lastRenderedPageBreak/>
              <w:t>Contraindications</w:t>
            </w:r>
          </w:p>
        </w:tc>
        <w:tc>
          <w:tcPr>
            <w:tcW w:w="6627" w:type="dxa"/>
          </w:tcPr>
          <w:p w14:paraId="34D20CCC"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Child under 2 years, porphyria, severe hepatic disease</w:t>
            </w:r>
          </w:p>
        </w:tc>
      </w:tr>
      <w:tr w:rsidR="00D20CB2" w:rsidRPr="00B47F3A" w14:paraId="7316BA0D" w14:textId="77777777" w:rsidTr="002D6DD7">
        <w:trPr>
          <w:trHeight w:val="80"/>
        </w:trPr>
        <w:tc>
          <w:tcPr>
            <w:tcW w:w="2695" w:type="dxa"/>
          </w:tcPr>
          <w:p w14:paraId="6BA9320F" w14:textId="77777777" w:rsidR="00D20CB2" w:rsidRPr="00B47F3A" w:rsidRDefault="00D20CB2" w:rsidP="002D6DD7">
            <w:pPr>
              <w:jc w:val="both"/>
              <w:rPr>
                <w:rFonts w:cs="Times New Roman"/>
                <w:szCs w:val="24"/>
              </w:rPr>
            </w:pPr>
            <w:r w:rsidRPr="00B47F3A">
              <w:rPr>
                <w:rFonts w:cs="Times New Roman"/>
                <w:szCs w:val="24"/>
              </w:rPr>
              <w:t>Drug interactions</w:t>
            </w:r>
          </w:p>
        </w:tc>
        <w:tc>
          <w:tcPr>
            <w:tcW w:w="6627" w:type="dxa"/>
          </w:tcPr>
          <w:p w14:paraId="54F26B99" w14:textId="77777777" w:rsidR="00D20CB2" w:rsidRPr="00B47F3A" w:rsidRDefault="00D20CB2" w:rsidP="002D6DD7">
            <w:pPr>
              <w:autoSpaceDE w:val="0"/>
              <w:autoSpaceDN w:val="0"/>
              <w:adjustRightInd w:val="0"/>
              <w:jc w:val="both"/>
              <w:rPr>
                <w:rFonts w:cs="Times New Roman"/>
                <w:szCs w:val="24"/>
              </w:rPr>
            </w:pPr>
            <w:r w:rsidRPr="00B47F3A">
              <w:rPr>
                <w:rFonts w:cs="Times New Roman"/>
                <w:szCs w:val="24"/>
              </w:rPr>
              <w:t>Alcohol, barbiturates, hypnotics, opioid analgesics, anxiolytic sedatives, neuroleptics, MAOIs, tricyclic antidepressants, ototoxic drugs (e.g., aminoglycoside antibiotics)</w:t>
            </w:r>
          </w:p>
        </w:tc>
      </w:tr>
      <w:tr w:rsidR="00D20CB2" w:rsidRPr="00B47F3A" w14:paraId="62C0F0D5" w14:textId="77777777" w:rsidTr="002D6DD7">
        <w:tc>
          <w:tcPr>
            <w:tcW w:w="2695" w:type="dxa"/>
          </w:tcPr>
          <w:p w14:paraId="49EC6D06" w14:textId="77777777" w:rsidR="00D20CB2" w:rsidRPr="00B47F3A" w:rsidRDefault="00D20CB2" w:rsidP="002D6DD7">
            <w:pPr>
              <w:jc w:val="both"/>
              <w:rPr>
                <w:rFonts w:cs="Times New Roman"/>
                <w:szCs w:val="24"/>
              </w:rPr>
            </w:pPr>
            <w:r w:rsidRPr="00B47F3A">
              <w:rPr>
                <w:rFonts w:cs="Times New Roman"/>
                <w:szCs w:val="24"/>
              </w:rPr>
              <w:t>Side effects</w:t>
            </w:r>
          </w:p>
        </w:tc>
        <w:tc>
          <w:tcPr>
            <w:tcW w:w="6627" w:type="dxa"/>
          </w:tcPr>
          <w:p w14:paraId="0E1F5307"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Drowsiness, dizziness, dry oral, headache, hypotension, urinary retention, blurred vision, confusion, jaundice, movement disorders, photosensitivity reaction, palpitations, arrhythmia, blood disorders</w:t>
            </w:r>
          </w:p>
        </w:tc>
      </w:tr>
      <w:tr w:rsidR="00D20CB2" w:rsidRPr="00B47F3A" w14:paraId="4D99B142" w14:textId="77777777" w:rsidTr="002D6DD7">
        <w:tc>
          <w:tcPr>
            <w:tcW w:w="2695" w:type="dxa"/>
          </w:tcPr>
          <w:p w14:paraId="1EE40B8D" w14:textId="77777777" w:rsidR="00D20CB2" w:rsidRPr="00B47F3A" w:rsidRDefault="00D20CB2" w:rsidP="002D6DD7">
            <w:pPr>
              <w:jc w:val="both"/>
              <w:rPr>
                <w:rFonts w:cs="Times New Roman"/>
                <w:szCs w:val="24"/>
              </w:rPr>
            </w:pPr>
            <w:r w:rsidRPr="00B47F3A">
              <w:rPr>
                <w:rFonts w:cs="Times New Roman"/>
                <w:szCs w:val="24"/>
              </w:rPr>
              <w:t xml:space="preserve">Cautions </w:t>
            </w:r>
          </w:p>
        </w:tc>
        <w:tc>
          <w:tcPr>
            <w:tcW w:w="6627" w:type="dxa"/>
          </w:tcPr>
          <w:p w14:paraId="2D9BD07A"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 xml:space="preserve">Epilepsy, prostatic hypertrophy (in adults), pyloroduodenal obstruction, severe coronary artery disease, angle-closure glaucoma, urinary retention, child under 6 years </w:t>
            </w:r>
          </w:p>
        </w:tc>
      </w:tr>
      <w:tr w:rsidR="00D20CB2" w:rsidRPr="00B47F3A" w14:paraId="0994FBF9" w14:textId="77777777" w:rsidTr="002D6DD7">
        <w:tc>
          <w:tcPr>
            <w:tcW w:w="2695" w:type="dxa"/>
          </w:tcPr>
          <w:p w14:paraId="1C32221F" w14:textId="77777777" w:rsidR="00D20CB2" w:rsidRPr="00B47F3A" w:rsidRDefault="00D20CB2" w:rsidP="002D6DD7">
            <w:pPr>
              <w:jc w:val="both"/>
              <w:rPr>
                <w:rFonts w:cs="Times New Roman"/>
                <w:szCs w:val="24"/>
              </w:rPr>
            </w:pPr>
            <w:r w:rsidRPr="00B47F3A">
              <w:rPr>
                <w:rFonts w:cs="Times New Roman"/>
                <w:szCs w:val="24"/>
              </w:rPr>
              <w:t>Storage condition</w:t>
            </w:r>
          </w:p>
        </w:tc>
        <w:tc>
          <w:tcPr>
            <w:tcW w:w="6627" w:type="dxa"/>
          </w:tcPr>
          <w:p w14:paraId="4A53BD61" w14:textId="77777777" w:rsidR="00D20CB2" w:rsidRPr="00B47F3A" w:rsidRDefault="00D20CB2" w:rsidP="002D6DD7">
            <w:pPr>
              <w:autoSpaceDE w:val="0"/>
              <w:autoSpaceDN w:val="0"/>
              <w:adjustRightInd w:val="0"/>
              <w:jc w:val="both"/>
              <w:rPr>
                <w:rFonts w:cs="Times New Roman"/>
                <w:color w:val="231F20"/>
                <w:szCs w:val="24"/>
              </w:rPr>
            </w:pPr>
            <w:r w:rsidRPr="00B47F3A">
              <w:rPr>
                <w:rFonts w:cs="Times New Roman"/>
                <w:color w:val="231F20"/>
                <w:szCs w:val="24"/>
              </w:rPr>
              <w:t>Store below 30</w:t>
            </w:r>
            <w:r w:rsidRPr="00D94A4E">
              <w:rPr>
                <w:rFonts w:cs="Times New Roman"/>
                <w:color w:val="231F20"/>
                <w:szCs w:val="24"/>
                <w:vertAlign w:val="superscript"/>
              </w:rPr>
              <w:t>0</w:t>
            </w:r>
            <w:r w:rsidRPr="00B47F3A">
              <w:rPr>
                <w:rFonts w:cs="Times New Roman"/>
                <w:color w:val="231F20"/>
                <w:szCs w:val="24"/>
              </w:rPr>
              <w:t>C</w:t>
            </w:r>
            <w:r>
              <w:rPr>
                <w:rFonts w:cs="Times New Roman"/>
                <w:color w:val="231F20"/>
                <w:szCs w:val="24"/>
              </w:rPr>
              <w:t>. P</w:t>
            </w:r>
            <w:r w:rsidRPr="00B47F3A">
              <w:rPr>
                <w:rFonts w:cs="Times New Roman"/>
                <w:color w:val="231F20"/>
                <w:szCs w:val="24"/>
              </w:rPr>
              <w:t>rotect from light and moisture</w:t>
            </w:r>
            <w:r>
              <w:rPr>
                <w:rFonts w:cs="Times New Roman"/>
                <w:color w:val="231F20"/>
                <w:szCs w:val="24"/>
              </w:rPr>
              <w:t>.</w:t>
            </w:r>
          </w:p>
        </w:tc>
      </w:tr>
    </w:tbl>
    <w:p w14:paraId="339328BE" w14:textId="77777777" w:rsidR="00D20CB2" w:rsidRPr="00944B15" w:rsidRDefault="00D20CB2" w:rsidP="00D20CB2">
      <w:pPr>
        <w:spacing w:after="0"/>
        <w:jc w:val="both"/>
        <w:rPr>
          <w:rFonts w:cs="Times New Roman"/>
          <w:szCs w:val="24"/>
        </w:rPr>
      </w:pPr>
    </w:p>
    <w:p w14:paraId="2F8EDE16" w14:textId="77777777" w:rsidR="00D20CB2" w:rsidRPr="005013E8" w:rsidRDefault="00D20CB2" w:rsidP="005013E8">
      <w:pPr>
        <w:pStyle w:val="Heading2"/>
        <w:spacing w:before="240" w:after="240"/>
      </w:pPr>
      <w:bookmarkStart w:id="123" w:name="_Toc179490364"/>
      <w:r w:rsidRPr="005013E8">
        <w:t xml:space="preserve">Medicines </w:t>
      </w:r>
      <w:r w:rsidR="005013E8">
        <w:t>u</w:t>
      </w:r>
      <w:r w:rsidRPr="005013E8">
        <w:t xml:space="preserve">sed in </w:t>
      </w:r>
      <w:r w:rsidR="005013E8">
        <w:t>a</w:t>
      </w:r>
      <w:r w:rsidRPr="005013E8">
        <w:t>naphylaxis</w:t>
      </w:r>
      <w:bookmarkEnd w:id="123"/>
    </w:p>
    <w:p w14:paraId="16EABC66" w14:textId="77777777" w:rsidR="00D20CB2" w:rsidRPr="001C6B2F" w:rsidRDefault="00D20CB2" w:rsidP="00D20CB2">
      <w:pPr>
        <w:spacing w:after="0"/>
        <w:jc w:val="both"/>
        <w:rPr>
          <w:rFonts w:cs="Times New Roman"/>
          <w:szCs w:val="24"/>
        </w:rPr>
      </w:pPr>
      <w:r w:rsidRPr="001C6B2F">
        <w:rPr>
          <w:rFonts w:cs="Times New Roman"/>
          <w:szCs w:val="24"/>
        </w:rPr>
        <w:t>Anaphylaxis is a severe allergic reaction requiring immediate treatment. Adrenaline (Epinephrine), the first-line treatment, is administered via injection and stimulates alpha and beta-adrenergic receptors, causing vasoconstriction, bronchodilation, and increased heart rate to counteract anaphylaxis. Dexamethasone and hydrocortisone (injectable corticosteroids) reduce inflammation and prevent late-phase allergic reactions. Prednisolone, available as an oral liquid and in tablet form, provides anti-inflammatory effects to manage allergic reactions and prevent recurrence after adrenaline administration.</w:t>
      </w:r>
    </w:p>
    <w:p w14:paraId="464A56B1" w14:textId="77777777" w:rsidR="00D20CB2" w:rsidRPr="00944B15" w:rsidRDefault="00D20CB2" w:rsidP="00D20CB2">
      <w:pPr>
        <w:spacing w:after="0"/>
        <w:jc w:val="both"/>
        <w:rPr>
          <w:rFonts w:cs="Times New Roman"/>
          <w:szCs w:val="24"/>
        </w:rPr>
      </w:pPr>
    </w:p>
    <w:tbl>
      <w:tblPr>
        <w:tblStyle w:val="TableGrid"/>
        <w:tblW w:w="9322" w:type="dxa"/>
        <w:tblLook w:val="04A0" w:firstRow="1" w:lastRow="0" w:firstColumn="1" w:lastColumn="0" w:noHBand="0" w:noVBand="1"/>
      </w:tblPr>
      <w:tblGrid>
        <w:gridCol w:w="2695"/>
        <w:gridCol w:w="6627"/>
      </w:tblGrid>
      <w:tr w:rsidR="00D20CB2" w:rsidRPr="001C6B2F" w14:paraId="0D2814FE" w14:textId="77777777" w:rsidTr="002D6DD7">
        <w:tc>
          <w:tcPr>
            <w:tcW w:w="9322" w:type="dxa"/>
            <w:gridSpan w:val="2"/>
          </w:tcPr>
          <w:p w14:paraId="2CECA2A3" w14:textId="77777777" w:rsidR="00D20CB2" w:rsidRPr="001C6B2F" w:rsidRDefault="00D20CB2" w:rsidP="002D6DD7">
            <w:pPr>
              <w:jc w:val="both"/>
              <w:rPr>
                <w:rFonts w:cs="Times New Roman"/>
                <w:b/>
                <w:bCs/>
                <w:color w:val="FFFFFF" w:themeColor="background1"/>
                <w:szCs w:val="24"/>
              </w:rPr>
            </w:pPr>
            <w:bookmarkStart w:id="124" w:name="_Toc168315282"/>
            <w:r w:rsidRPr="001C6B2F">
              <w:rPr>
                <w:rFonts w:cs="Times New Roman"/>
                <w:b/>
                <w:bCs/>
                <w:szCs w:val="24"/>
              </w:rPr>
              <w:t>Dexamethasone</w:t>
            </w:r>
            <w:bookmarkEnd w:id="124"/>
          </w:p>
        </w:tc>
      </w:tr>
      <w:tr w:rsidR="00D20CB2" w:rsidRPr="001C6B2F" w14:paraId="4554603A" w14:textId="77777777" w:rsidTr="002D6DD7">
        <w:tc>
          <w:tcPr>
            <w:tcW w:w="2695" w:type="dxa"/>
          </w:tcPr>
          <w:p w14:paraId="55BA1C94" w14:textId="77777777" w:rsidR="00D20CB2" w:rsidRPr="001C6B2F" w:rsidRDefault="00D20CB2" w:rsidP="002D6DD7">
            <w:pPr>
              <w:jc w:val="both"/>
              <w:rPr>
                <w:rFonts w:cs="Times New Roman"/>
                <w:szCs w:val="24"/>
              </w:rPr>
            </w:pPr>
            <w:r w:rsidRPr="001C6B2F">
              <w:rPr>
                <w:rFonts w:cs="Times New Roman"/>
                <w:szCs w:val="24"/>
              </w:rPr>
              <w:t>Pharmacological class</w:t>
            </w:r>
          </w:p>
        </w:tc>
        <w:tc>
          <w:tcPr>
            <w:tcW w:w="6627" w:type="dxa"/>
          </w:tcPr>
          <w:p w14:paraId="5FE73E78" w14:textId="77777777" w:rsidR="00D20CB2" w:rsidRPr="001C6B2F" w:rsidRDefault="00D20CB2" w:rsidP="002D6DD7">
            <w:pPr>
              <w:jc w:val="both"/>
              <w:rPr>
                <w:rFonts w:cs="Times New Roman"/>
                <w:color w:val="000000" w:themeColor="text1"/>
                <w:szCs w:val="24"/>
              </w:rPr>
            </w:pPr>
            <w:r w:rsidRPr="001C6B2F">
              <w:rPr>
                <w:rFonts w:cs="Times New Roman"/>
                <w:color w:val="202227"/>
                <w:szCs w:val="24"/>
                <w:shd w:val="clear" w:color="auto" w:fill="FFFFFF"/>
              </w:rPr>
              <w:t>Glucocorticoid</w:t>
            </w:r>
          </w:p>
        </w:tc>
      </w:tr>
      <w:tr w:rsidR="00D20CB2" w:rsidRPr="001C6B2F" w14:paraId="7BD2C9BE" w14:textId="77777777" w:rsidTr="002D6DD7">
        <w:trPr>
          <w:trHeight w:val="40"/>
        </w:trPr>
        <w:tc>
          <w:tcPr>
            <w:tcW w:w="2695" w:type="dxa"/>
          </w:tcPr>
          <w:p w14:paraId="50FC7AB8" w14:textId="77777777" w:rsidR="00D20CB2" w:rsidRPr="001C6B2F" w:rsidRDefault="00D20CB2" w:rsidP="002D6DD7">
            <w:pPr>
              <w:jc w:val="both"/>
              <w:rPr>
                <w:rFonts w:cs="Times New Roman"/>
                <w:szCs w:val="24"/>
              </w:rPr>
            </w:pPr>
            <w:r w:rsidRPr="001C6B2F">
              <w:rPr>
                <w:rFonts w:cs="Times New Roman"/>
                <w:szCs w:val="24"/>
              </w:rPr>
              <w:t>Dosage form</w:t>
            </w:r>
          </w:p>
        </w:tc>
        <w:tc>
          <w:tcPr>
            <w:tcW w:w="6627" w:type="dxa"/>
          </w:tcPr>
          <w:p w14:paraId="00FCC308" w14:textId="77777777" w:rsidR="00D20CB2" w:rsidRPr="001C6B2F" w:rsidRDefault="00D20CB2" w:rsidP="002D6DD7">
            <w:pPr>
              <w:jc w:val="both"/>
              <w:rPr>
                <w:rFonts w:cs="Times New Roman"/>
                <w:szCs w:val="24"/>
              </w:rPr>
            </w:pPr>
            <w:r w:rsidRPr="001C6B2F">
              <w:rPr>
                <w:rFonts w:cs="Times New Roman"/>
                <w:szCs w:val="24"/>
              </w:rPr>
              <w:t>Injection (4mg/ml)</w:t>
            </w:r>
          </w:p>
        </w:tc>
      </w:tr>
      <w:tr w:rsidR="00D20CB2" w:rsidRPr="001C6B2F" w14:paraId="36F2BBED" w14:textId="77777777" w:rsidTr="002D6DD7">
        <w:tc>
          <w:tcPr>
            <w:tcW w:w="2695" w:type="dxa"/>
          </w:tcPr>
          <w:p w14:paraId="609274EF" w14:textId="77777777" w:rsidR="00D20CB2" w:rsidRPr="001C6B2F" w:rsidRDefault="00D20CB2" w:rsidP="002D6DD7">
            <w:pPr>
              <w:jc w:val="both"/>
              <w:rPr>
                <w:rFonts w:cs="Times New Roman"/>
                <w:szCs w:val="24"/>
              </w:rPr>
            </w:pPr>
            <w:r w:rsidRPr="001C6B2F">
              <w:rPr>
                <w:rFonts w:cs="Times New Roman"/>
                <w:szCs w:val="24"/>
              </w:rPr>
              <w:t>Indications</w:t>
            </w:r>
          </w:p>
        </w:tc>
        <w:tc>
          <w:tcPr>
            <w:tcW w:w="6627" w:type="dxa"/>
          </w:tcPr>
          <w:p w14:paraId="6D9CE464" w14:textId="77777777" w:rsidR="00D20CB2" w:rsidRPr="001C6B2F" w:rsidRDefault="00D20CB2" w:rsidP="002D6DD7">
            <w:pPr>
              <w:autoSpaceDE w:val="0"/>
              <w:autoSpaceDN w:val="0"/>
              <w:adjustRightInd w:val="0"/>
              <w:jc w:val="both"/>
              <w:rPr>
                <w:rFonts w:cs="Times New Roman"/>
                <w:iCs/>
                <w:szCs w:val="24"/>
              </w:rPr>
            </w:pPr>
            <w:r w:rsidRPr="00B37E39">
              <w:rPr>
                <w:rFonts w:cs="Times New Roman"/>
                <w:iCs/>
                <w:szCs w:val="24"/>
              </w:rPr>
              <w:t>Allergic reactions, adjunct in the emergency treatment of anaphylaxis</w:t>
            </w:r>
            <w:r>
              <w:rPr>
                <w:rFonts w:cs="Times New Roman"/>
                <w:iCs/>
                <w:szCs w:val="24"/>
              </w:rPr>
              <w:t xml:space="preserve">, </w:t>
            </w:r>
            <w:r w:rsidRPr="00B37E39">
              <w:rPr>
                <w:rFonts w:cs="Times New Roman"/>
                <w:iCs/>
                <w:szCs w:val="24"/>
              </w:rPr>
              <w:t>short-term suppression of inflammation in allergic disorders</w:t>
            </w:r>
          </w:p>
        </w:tc>
      </w:tr>
      <w:tr w:rsidR="00D20CB2" w:rsidRPr="001C6B2F" w14:paraId="46DDB608" w14:textId="77777777" w:rsidTr="002D6DD7">
        <w:tc>
          <w:tcPr>
            <w:tcW w:w="2695" w:type="dxa"/>
          </w:tcPr>
          <w:p w14:paraId="192046A5" w14:textId="77777777" w:rsidR="00D20CB2" w:rsidRPr="001C6B2F" w:rsidRDefault="00D20CB2" w:rsidP="002D6DD7">
            <w:pPr>
              <w:rPr>
                <w:rFonts w:cs="Times New Roman"/>
                <w:szCs w:val="24"/>
              </w:rPr>
            </w:pPr>
            <w:r w:rsidRPr="001C6B2F">
              <w:rPr>
                <w:rFonts w:eastAsia="Times New Roman" w:cs="Times New Roman"/>
                <w:szCs w:val="24"/>
              </w:rPr>
              <w:lastRenderedPageBreak/>
              <w:t>Dose and administration</w:t>
            </w:r>
          </w:p>
        </w:tc>
        <w:tc>
          <w:tcPr>
            <w:tcW w:w="6627" w:type="dxa"/>
          </w:tcPr>
          <w:p w14:paraId="0642EFBA" w14:textId="77777777" w:rsidR="00D20CB2" w:rsidRPr="005026F3" w:rsidRDefault="00D20CB2" w:rsidP="002D6DD7">
            <w:pPr>
              <w:autoSpaceDE w:val="0"/>
              <w:autoSpaceDN w:val="0"/>
              <w:adjustRightInd w:val="0"/>
              <w:jc w:val="both"/>
              <w:rPr>
                <w:rFonts w:cs="Times New Roman"/>
                <w:b/>
                <w:szCs w:val="24"/>
              </w:rPr>
            </w:pPr>
            <w:r w:rsidRPr="005026F3">
              <w:rPr>
                <w:rFonts w:cs="Times New Roman"/>
                <w:b/>
                <w:szCs w:val="24"/>
              </w:rPr>
              <w:t>Oral Administration (Tablets and Elixir)</w:t>
            </w:r>
            <w:r w:rsidR="005026F3">
              <w:rPr>
                <w:rFonts w:cs="Times New Roman"/>
                <w:b/>
                <w:szCs w:val="24"/>
              </w:rPr>
              <w:t>:</w:t>
            </w:r>
          </w:p>
          <w:p w14:paraId="50F3667F"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Allergic Reactions and Short-term Inflammation:</w:t>
            </w:r>
          </w:p>
          <w:p w14:paraId="24AFEB42" w14:textId="77777777" w:rsidR="00D20CB2" w:rsidRPr="001C6B2F" w:rsidRDefault="00D20CB2" w:rsidP="002D6DD7">
            <w:pPr>
              <w:autoSpaceDE w:val="0"/>
              <w:autoSpaceDN w:val="0"/>
              <w:adjustRightInd w:val="0"/>
              <w:jc w:val="both"/>
              <w:rPr>
                <w:rFonts w:cs="Times New Roman"/>
                <w:szCs w:val="24"/>
              </w:rPr>
            </w:pPr>
            <w:r w:rsidRPr="001C6B2F">
              <w:rPr>
                <w:rFonts w:cs="Times New Roman"/>
                <w:b/>
                <w:bCs/>
                <w:szCs w:val="24"/>
              </w:rPr>
              <w:t>Adult</w:t>
            </w:r>
            <w:r w:rsidR="005013E8">
              <w:rPr>
                <w:rFonts w:cs="Times New Roman"/>
                <w:b/>
                <w:bCs/>
                <w:szCs w:val="24"/>
              </w:rPr>
              <w:t xml:space="preserve">: </w:t>
            </w:r>
            <w:r w:rsidRPr="001C6B2F">
              <w:rPr>
                <w:rFonts w:cs="Times New Roman"/>
                <w:szCs w:val="24"/>
              </w:rPr>
              <w:t xml:space="preserve">Initial </w:t>
            </w:r>
            <w:r>
              <w:rPr>
                <w:rFonts w:cs="Times New Roman"/>
                <w:szCs w:val="24"/>
              </w:rPr>
              <w:t>d</w:t>
            </w:r>
            <w:r w:rsidRPr="001C6B2F">
              <w:rPr>
                <w:rFonts w:cs="Times New Roman"/>
                <w:szCs w:val="24"/>
              </w:rPr>
              <w:t>ose: 4 mg to 8 mg per day in divided doses.</w:t>
            </w:r>
          </w:p>
          <w:p w14:paraId="0BE103A5"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Maintenance </w:t>
            </w:r>
            <w:r>
              <w:rPr>
                <w:rFonts w:cs="Times New Roman"/>
                <w:szCs w:val="24"/>
              </w:rPr>
              <w:t>d</w:t>
            </w:r>
            <w:r w:rsidRPr="001C6B2F">
              <w:rPr>
                <w:rFonts w:cs="Times New Roman"/>
                <w:szCs w:val="24"/>
              </w:rPr>
              <w:t>ose: Adjust based on response, usually 0.5 mg to 4 mg per day.</w:t>
            </w:r>
          </w:p>
          <w:p w14:paraId="52557B0D"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Duration: Short courses (e.g., 3 to 7 days) for acute flare-ups.</w:t>
            </w:r>
          </w:p>
          <w:p w14:paraId="345E7EB6"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Child</w:t>
            </w:r>
            <w:r w:rsidR="005013E8">
              <w:rPr>
                <w:rFonts w:cs="Times New Roman"/>
                <w:b/>
                <w:bCs/>
                <w:szCs w:val="24"/>
              </w:rPr>
              <w:t>:</w:t>
            </w:r>
          </w:p>
          <w:p w14:paraId="282FCF8E"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 xml:space="preserve">Allergic </w:t>
            </w:r>
            <w:r w:rsidR="005026F3">
              <w:rPr>
                <w:rFonts w:cs="Times New Roman"/>
                <w:b/>
                <w:bCs/>
                <w:szCs w:val="24"/>
              </w:rPr>
              <w:t>r</w:t>
            </w:r>
            <w:r w:rsidRPr="001C6B2F">
              <w:rPr>
                <w:rFonts w:cs="Times New Roman"/>
                <w:b/>
                <w:bCs/>
                <w:szCs w:val="24"/>
              </w:rPr>
              <w:t xml:space="preserve">eactions and </w:t>
            </w:r>
            <w:r w:rsidR="005026F3">
              <w:rPr>
                <w:rFonts w:cs="Times New Roman"/>
                <w:b/>
                <w:bCs/>
                <w:szCs w:val="24"/>
              </w:rPr>
              <w:t>s</w:t>
            </w:r>
            <w:r w:rsidRPr="001C6B2F">
              <w:rPr>
                <w:rFonts w:cs="Times New Roman"/>
                <w:b/>
                <w:bCs/>
                <w:szCs w:val="24"/>
              </w:rPr>
              <w:t xml:space="preserve">hort-term </w:t>
            </w:r>
            <w:r w:rsidR="005026F3">
              <w:rPr>
                <w:rFonts w:cs="Times New Roman"/>
                <w:b/>
                <w:bCs/>
                <w:szCs w:val="24"/>
              </w:rPr>
              <w:t>i</w:t>
            </w:r>
            <w:r w:rsidRPr="001C6B2F">
              <w:rPr>
                <w:rFonts w:cs="Times New Roman"/>
                <w:b/>
                <w:bCs/>
                <w:szCs w:val="24"/>
              </w:rPr>
              <w:t xml:space="preserve">nflammation: </w:t>
            </w:r>
            <w:r w:rsidRPr="001C6B2F">
              <w:rPr>
                <w:rFonts w:cs="Times New Roman"/>
                <w:szCs w:val="24"/>
              </w:rPr>
              <w:t>0.02 mg to 0.3 mg/kg/day in divided doses for short courses (e.g., 3 to 7 days) for acute flare-ups.</w:t>
            </w:r>
          </w:p>
          <w:p w14:paraId="4D3A4058"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 xml:space="preserve">Injection </w:t>
            </w:r>
            <w:r w:rsidR="005026F3">
              <w:rPr>
                <w:rFonts w:cs="Times New Roman"/>
                <w:b/>
                <w:bCs/>
                <w:szCs w:val="24"/>
              </w:rPr>
              <w:t>a</w:t>
            </w:r>
            <w:r w:rsidRPr="001C6B2F">
              <w:rPr>
                <w:rFonts w:cs="Times New Roman"/>
                <w:b/>
                <w:bCs/>
                <w:szCs w:val="24"/>
              </w:rPr>
              <w:t>dministration (4 mg/ml, 10 mg/ml)</w:t>
            </w:r>
          </w:p>
          <w:p w14:paraId="4EC34DEE"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Adult</w:t>
            </w:r>
            <w:r w:rsidR="005026F3">
              <w:rPr>
                <w:rFonts w:cs="Times New Roman"/>
                <w:b/>
                <w:bCs/>
                <w:szCs w:val="24"/>
              </w:rPr>
              <w:t>:</w:t>
            </w:r>
          </w:p>
          <w:p w14:paraId="359174C2"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Allergic Reactions and Anaphylaxis:</w:t>
            </w:r>
          </w:p>
          <w:p w14:paraId="28391364"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Initial </w:t>
            </w:r>
            <w:r>
              <w:rPr>
                <w:rFonts w:cs="Times New Roman"/>
                <w:szCs w:val="24"/>
              </w:rPr>
              <w:t>d</w:t>
            </w:r>
            <w:r w:rsidRPr="001C6B2F">
              <w:rPr>
                <w:rFonts w:cs="Times New Roman"/>
                <w:szCs w:val="24"/>
              </w:rPr>
              <w:t>ose: 4 mg to 10 mg intravenously or IM.</w:t>
            </w:r>
          </w:p>
          <w:p w14:paraId="30A99FCC"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Maintenance </w:t>
            </w:r>
            <w:r>
              <w:rPr>
                <w:rFonts w:cs="Times New Roman"/>
                <w:szCs w:val="24"/>
              </w:rPr>
              <w:t>d</w:t>
            </w:r>
            <w:r w:rsidRPr="001C6B2F">
              <w:rPr>
                <w:rFonts w:cs="Times New Roman"/>
                <w:szCs w:val="24"/>
              </w:rPr>
              <w:t>ose: Adjust based on response, usually 0.5 mg to 4 mg per day orally or via injection.</w:t>
            </w:r>
          </w:p>
          <w:p w14:paraId="76641EFC" w14:textId="77777777" w:rsidR="00D20CB2" w:rsidRDefault="00D20CB2" w:rsidP="002D6DD7">
            <w:pPr>
              <w:autoSpaceDE w:val="0"/>
              <w:autoSpaceDN w:val="0"/>
              <w:adjustRightInd w:val="0"/>
              <w:jc w:val="both"/>
              <w:rPr>
                <w:rFonts w:cs="Times New Roman"/>
                <w:b/>
                <w:bCs/>
                <w:szCs w:val="24"/>
              </w:rPr>
            </w:pPr>
            <w:r w:rsidRPr="001C6B2F">
              <w:rPr>
                <w:rFonts w:cs="Times New Roman"/>
                <w:b/>
                <w:bCs/>
                <w:szCs w:val="24"/>
              </w:rPr>
              <w:t>Allergic Reactions and Anaphylaxis</w:t>
            </w:r>
          </w:p>
          <w:p w14:paraId="7A05AD7E" w14:textId="77777777" w:rsidR="00D20CB2" w:rsidRPr="00B37E39" w:rsidRDefault="00D20CB2" w:rsidP="002D6DD7">
            <w:pPr>
              <w:autoSpaceDE w:val="0"/>
              <w:autoSpaceDN w:val="0"/>
              <w:adjustRightInd w:val="0"/>
              <w:jc w:val="both"/>
              <w:rPr>
                <w:rFonts w:cs="Times New Roman"/>
                <w:b/>
                <w:bCs/>
                <w:szCs w:val="24"/>
              </w:rPr>
            </w:pPr>
            <w:r w:rsidRPr="001C6B2F">
              <w:rPr>
                <w:rFonts w:cs="Times New Roman"/>
                <w:b/>
                <w:bCs/>
                <w:szCs w:val="24"/>
              </w:rPr>
              <w:t>Child</w:t>
            </w:r>
            <w:r>
              <w:rPr>
                <w:rFonts w:cs="Times New Roman"/>
                <w:b/>
                <w:bCs/>
                <w:szCs w:val="24"/>
              </w:rPr>
              <w:t xml:space="preserve">: </w:t>
            </w:r>
            <w:r w:rsidRPr="001C6B2F">
              <w:rPr>
                <w:rFonts w:cs="Times New Roman"/>
                <w:szCs w:val="24"/>
              </w:rPr>
              <w:t>0.02 mg to 0.3 mg/kg intravenously or IM.</w:t>
            </w:r>
          </w:p>
        </w:tc>
      </w:tr>
      <w:tr w:rsidR="00D20CB2" w:rsidRPr="001C6B2F" w14:paraId="5B3CEEFD" w14:textId="77777777" w:rsidTr="002D6DD7">
        <w:trPr>
          <w:trHeight w:val="611"/>
        </w:trPr>
        <w:tc>
          <w:tcPr>
            <w:tcW w:w="2695" w:type="dxa"/>
          </w:tcPr>
          <w:p w14:paraId="429D231A" w14:textId="77777777" w:rsidR="00D20CB2" w:rsidRPr="001C6B2F" w:rsidRDefault="00D20CB2" w:rsidP="002D6DD7">
            <w:pPr>
              <w:jc w:val="both"/>
              <w:rPr>
                <w:rFonts w:cs="Times New Roman"/>
                <w:szCs w:val="24"/>
              </w:rPr>
            </w:pPr>
            <w:r w:rsidRPr="001C6B2F">
              <w:rPr>
                <w:rFonts w:cs="Times New Roman"/>
                <w:szCs w:val="24"/>
              </w:rPr>
              <w:t>Contraindications</w:t>
            </w:r>
          </w:p>
        </w:tc>
        <w:tc>
          <w:tcPr>
            <w:tcW w:w="6627" w:type="dxa"/>
          </w:tcPr>
          <w:p w14:paraId="21588041"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Untreated systemic infection (unless condition is life-threatening), administration of live virus vaccines</w:t>
            </w:r>
          </w:p>
        </w:tc>
      </w:tr>
      <w:tr w:rsidR="00D20CB2" w:rsidRPr="001C6B2F" w14:paraId="28542360" w14:textId="77777777" w:rsidTr="002D6DD7">
        <w:tc>
          <w:tcPr>
            <w:tcW w:w="2695" w:type="dxa"/>
          </w:tcPr>
          <w:p w14:paraId="4BA954A6" w14:textId="77777777" w:rsidR="00D20CB2" w:rsidRPr="001C6B2F" w:rsidRDefault="00D20CB2" w:rsidP="002D6DD7">
            <w:pPr>
              <w:jc w:val="both"/>
              <w:rPr>
                <w:rFonts w:cs="Times New Roman"/>
                <w:szCs w:val="24"/>
              </w:rPr>
            </w:pPr>
            <w:r w:rsidRPr="001C6B2F">
              <w:rPr>
                <w:rFonts w:cs="Times New Roman"/>
                <w:szCs w:val="24"/>
              </w:rPr>
              <w:t>Drug interactions</w:t>
            </w:r>
          </w:p>
        </w:tc>
        <w:tc>
          <w:tcPr>
            <w:tcW w:w="6627" w:type="dxa"/>
          </w:tcPr>
          <w:p w14:paraId="3A213DFF"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Refer under Corticosteroids Preparation</w:t>
            </w:r>
          </w:p>
        </w:tc>
      </w:tr>
      <w:tr w:rsidR="00D20CB2" w:rsidRPr="001C6B2F" w14:paraId="37573F2B" w14:textId="77777777" w:rsidTr="002D6DD7">
        <w:tc>
          <w:tcPr>
            <w:tcW w:w="2695" w:type="dxa"/>
          </w:tcPr>
          <w:p w14:paraId="3EDDD525" w14:textId="77777777" w:rsidR="00D20CB2" w:rsidRPr="001C6B2F" w:rsidRDefault="00D20CB2" w:rsidP="002D6DD7">
            <w:pPr>
              <w:jc w:val="both"/>
              <w:rPr>
                <w:rFonts w:cs="Times New Roman"/>
                <w:szCs w:val="24"/>
              </w:rPr>
            </w:pPr>
            <w:r w:rsidRPr="001C6B2F">
              <w:rPr>
                <w:rFonts w:cs="Times New Roman"/>
                <w:szCs w:val="24"/>
              </w:rPr>
              <w:t>Side effects</w:t>
            </w:r>
          </w:p>
        </w:tc>
        <w:tc>
          <w:tcPr>
            <w:tcW w:w="6627" w:type="dxa"/>
          </w:tcPr>
          <w:p w14:paraId="5F46B9EA"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Refer under Corticosteroids Preparation </w:t>
            </w:r>
          </w:p>
        </w:tc>
      </w:tr>
      <w:tr w:rsidR="00D20CB2" w:rsidRPr="001C6B2F" w14:paraId="4A385798" w14:textId="77777777" w:rsidTr="002D6DD7">
        <w:tc>
          <w:tcPr>
            <w:tcW w:w="2695" w:type="dxa"/>
          </w:tcPr>
          <w:p w14:paraId="291F2373" w14:textId="77777777" w:rsidR="00D20CB2" w:rsidRPr="001C6B2F" w:rsidRDefault="00D20CB2" w:rsidP="002D6DD7">
            <w:pPr>
              <w:jc w:val="both"/>
              <w:rPr>
                <w:rFonts w:cs="Times New Roman"/>
                <w:szCs w:val="24"/>
              </w:rPr>
            </w:pPr>
            <w:r w:rsidRPr="001C6B2F">
              <w:rPr>
                <w:rFonts w:cs="Times New Roman"/>
                <w:szCs w:val="24"/>
              </w:rPr>
              <w:t xml:space="preserve">Cautions </w:t>
            </w:r>
          </w:p>
        </w:tc>
        <w:tc>
          <w:tcPr>
            <w:tcW w:w="6627" w:type="dxa"/>
          </w:tcPr>
          <w:p w14:paraId="2A9FA98D"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Refer under Corticosteroids Preparation </w:t>
            </w:r>
          </w:p>
        </w:tc>
      </w:tr>
      <w:tr w:rsidR="00D20CB2" w:rsidRPr="001C6B2F" w14:paraId="4CD43500" w14:textId="77777777" w:rsidTr="002D6DD7">
        <w:tc>
          <w:tcPr>
            <w:tcW w:w="2695" w:type="dxa"/>
          </w:tcPr>
          <w:p w14:paraId="6E854618" w14:textId="77777777" w:rsidR="00D20CB2" w:rsidRPr="001C6B2F" w:rsidRDefault="00D20CB2" w:rsidP="002D6DD7">
            <w:pPr>
              <w:jc w:val="both"/>
              <w:rPr>
                <w:rFonts w:cs="Times New Roman"/>
                <w:szCs w:val="24"/>
              </w:rPr>
            </w:pPr>
            <w:r w:rsidRPr="001C6B2F">
              <w:rPr>
                <w:rFonts w:cs="Times New Roman"/>
                <w:szCs w:val="24"/>
              </w:rPr>
              <w:t>Storage condition</w:t>
            </w:r>
          </w:p>
        </w:tc>
        <w:tc>
          <w:tcPr>
            <w:tcW w:w="6627" w:type="dxa"/>
          </w:tcPr>
          <w:p w14:paraId="09DF0BCC" w14:textId="77777777" w:rsidR="00D20CB2" w:rsidRPr="001C6B2F" w:rsidRDefault="00D20CB2" w:rsidP="002D6DD7">
            <w:pPr>
              <w:autoSpaceDE w:val="0"/>
              <w:autoSpaceDN w:val="0"/>
              <w:adjustRightInd w:val="0"/>
              <w:jc w:val="both"/>
              <w:rPr>
                <w:rFonts w:cs="Times New Roman"/>
                <w:color w:val="231F20"/>
                <w:szCs w:val="24"/>
              </w:rPr>
            </w:pPr>
            <w:r w:rsidRPr="001C6B2F">
              <w:rPr>
                <w:rFonts w:cs="Times New Roman"/>
                <w:color w:val="231F20"/>
                <w:szCs w:val="24"/>
              </w:rPr>
              <w:t>Store below 30</w:t>
            </w:r>
            <w:r w:rsidRPr="00B37E39">
              <w:rPr>
                <w:rFonts w:cs="Times New Roman"/>
                <w:color w:val="231F20"/>
                <w:szCs w:val="24"/>
                <w:vertAlign w:val="superscript"/>
              </w:rPr>
              <w:t>0</w:t>
            </w:r>
            <w:r>
              <w:rPr>
                <w:rFonts w:cs="Times New Roman"/>
                <w:color w:val="231F20"/>
                <w:szCs w:val="24"/>
              </w:rPr>
              <w:t>C. P</w:t>
            </w:r>
            <w:r w:rsidRPr="001C6B2F">
              <w:rPr>
                <w:rFonts w:cs="Times New Roman"/>
                <w:color w:val="231F20"/>
                <w:szCs w:val="24"/>
              </w:rPr>
              <w:t>rotect from light and moisture</w:t>
            </w:r>
          </w:p>
        </w:tc>
      </w:tr>
      <w:tr w:rsidR="00D20CB2" w:rsidRPr="001C6B2F" w14:paraId="5FD51B63" w14:textId="77777777" w:rsidTr="002D6DD7">
        <w:trPr>
          <w:trHeight w:val="40"/>
        </w:trPr>
        <w:tc>
          <w:tcPr>
            <w:tcW w:w="9322" w:type="dxa"/>
            <w:gridSpan w:val="2"/>
          </w:tcPr>
          <w:p w14:paraId="04021B11" w14:textId="77777777" w:rsidR="00D20CB2" w:rsidRPr="001C6B2F" w:rsidRDefault="00D20CB2" w:rsidP="002D6DD7">
            <w:pPr>
              <w:jc w:val="both"/>
              <w:rPr>
                <w:rFonts w:cs="Times New Roman"/>
                <w:b/>
                <w:bCs/>
                <w:color w:val="FFFFFF" w:themeColor="background1"/>
                <w:szCs w:val="24"/>
              </w:rPr>
            </w:pPr>
            <w:bookmarkStart w:id="125" w:name="_Toc168315283"/>
            <w:r w:rsidRPr="001C6B2F">
              <w:rPr>
                <w:rFonts w:cs="Times New Roman"/>
                <w:b/>
                <w:bCs/>
                <w:szCs w:val="24"/>
              </w:rPr>
              <w:t>Hydrocortisone</w:t>
            </w:r>
            <w:bookmarkEnd w:id="125"/>
          </w:p>
        </w:tc>
      </w:tr>
      <w:tr w:rsidR="00D20CB2" w:rsidRPr="001C6B2F" w14:paraId="411B3F55" w14:textId="77777777" w:rsidTr="002D6DD7">
        <w:trPr>
          <w:trHeight w:val="40"/>
        </w:trPr>
        <w:tc>
          <w:tcPr>
            <w:tcW w:w="2695" w:type="dxa"/>
          </w:tcPr>
          <w:p w14:paraId="0D88985C" w14:textId="77777777" w:rsidR="00D20CB2" w:rsidRPr="001C6B2F" w:rsidRDefault="00D20CB2" w:rsidP="002D6DD7">
            <w:pPr>
              <w:jc w:val="both"/>
              <w:rPr>
                <w:rFonts w:cs="Times New Roman"/>
                <w:color w:val="FFFFFF" w:themeColor="background1"/>
                <w:szCs w:val="24"/>
              </w:rPr>
            </w:pPr>
            <w:r w:rsidRPr="001C6B2F">
              <w:rPr>
                <w:rFonts w:cs="Times New Roman"/>
                <w:color w:val="000000" w:themeColor="text1"/>
                <w:szCs w:val="24"/>
              </w:rPr>
              <w:t>Pharmacological class</w:t>
            </w:r>
          </w:p>
        </w:tc>
        <w:tc>
          <w:tcPr>
            <w:tcW w:w="6627" w:type="dxa"/>
          </w:tcPr>
          <w:p w14:paraId="4C49AA68" w14:textId="77777777" w:rsidR="00D20CB2" w:rsidRPr="001C6B2F" w:rsidRDefault="00D20CB2" w:rsidP="002D6DD7">
            <w:pPr>
              <w:jc w:val="both"/>
              <w:rPr>
                <w:rFonts w:cs="Times New Roman"/>
                <w:szCs w:val="24"/>
              </w:rPr>
            </w:pPr>
            <w:r w:rsidRPr="001C6B2F">
              <w:rPr>
                <w:rFonts w:cs="Times New Roman"/>
                <w:szCs w:val="24"/>
                <w:shd w:val="clear" w:color="auto" w:fill="FFFFFF"/>
              </w:rPr>
              <w:t>Mineralocorticoid</w:t>
            </w:r>
          </w:p>
        </w:tc>
      </w:tr>
      <w:tr w:rsidR="00D20CB2" w:rsidRPr="001C6B2F" w14:paraId="76285CF3" w14:textId="77777777" w:rsidTr="002D6DD7">
        <w:trPr>
          <w:trHeight w:val="40"/>
        </w:trPr>
        <w:tc>
          <w:tcPr>
            <w:tcW w:w="2695" w:type="dxa"/>
          </w:tcPr>
          <w:p w14:paraId="4D597AC4" w14:textId="77777777" w:rsidR="00D20CB2" w:rsidRPr="001C6B2F" w:rsidRDefault="00D20CB2" w:rsidP="002D6DD7">
            <w:pPr>
              <w:jc w:val="both"/>
              <w:rPr>
                <w:rFonts w:cs="Times New Roman"/>
                <w:szCs w:val="24"/>
              </w:rPr>
            </w:pPr>
            <w:r w:rsidRPr="001C6B2F">
              <w:rPr>
                <w:rFonts w:cs="Times New Roman"/>
                <w:szCs w:val="24"/>
              </w:rPr>
              <w:t>Dosage form</w:t>
            </w:r>
          </w:p>
        </w:tc>
        <w:tc>
          <w:tcPr>
            <w:tcW w:w="6627" w:type="dxa"/>
          </w:tcPr>
          <w:p w14:paraId="7CC797B4" w14:textId="77777777" w:rsidR="00D20CB2" w:rsidRPr="001C6B2F" w:rsidRDefault="00D20CB2" w:rsidP="002D6DD7">
            <w:pPr>
              <w:jc w:val="both"/>
              <w:rPr>
                <w:rFonts w:cs="Times New Roman"/>
                <w:szCs w:val="24"/>
              </w:rPr>
            </w:pPr>
            <w:r w:rsidRPr="001C6B2F">
              <w:rPr>
                <w:rFonts w:cs="Times New Roman"/>
                <w:szCs w:val="24"/>
              </w:rPr>
              <w:t>Oral Tablets: 5 mg, 10 mg, 20 mg</w:t>
            </w:r>
          </w:p>
          <w:p w14:paraId="1013C0D1" w14:textId="77777777" w:rsidR="00D20CB2" w:rsidRPr="001C6B2F" w:rsidRDefault="00D20CB2" w:rsidP="002D6DD7">
            <w:pPr>
              <w:jc w:val="both"/>
              <w:rPr>
                <w:rFonts w:cs="Times New Roman"/>
                <w:szCs w:val="24"/>
              </w:rPr>
            </w:pPr>
            <w:r w:rsidRPr="001C6B2F">
              <w:rPr>
                <w:rFonts w:cs="Times New Roman"/>
                <w:szCs w:val="24"/>
              </w:rPr>
              <w:t>Injection: 100 mg/ml, 250 mg/ml, 500 mg/ml</w:t>
            </w:r>
          </w:p>
          <w:p w14:paraId="60D8BF1B" w14:textId="77777777" w:rsidR="00D20CB2" w:rsidRPr="001C6B2F" w:rsidRDefault="00D20CB2" w:rsidP="002D6DD7">
            <w:pPr>
              <w:jc w:val="both"/>
              <w:rPr>
                <w:rFonts w:cs="Times New Roman"/>
                <w:szCs w:val="24"/>
              </w:rPr>
            </w:pPr>
            <w:r w:rsidRPr="001C6B2F">
              <w:rPr>
                <w:rFonts w:cs="Times New Roman"/>
                <w:szCs w:val="24"/>
              </w:rPr>
              <w:t>Topical Cream/Ointment: 0.5%, 1%, 2.5%</w:t>
            </w:r>
          </w:p>
        </w:tc>
      </w:tr>
      <w:tr w:rsidR="00D20CB2" w:rsidRPr="001C6B2F" w14:paraId="44561DAA" w14:textId="77777777" w:rsidTr="002D6DD7">
        <w:tc>
          <w:tcPr>
            <w:tcW w:w="2695" w:type="dxa"/>
          </w:tcPr>
          <w:p w14:paraId="0582D6EF" w14:textId="77777777" w:rsidR="00D20CB2" w:rsidRPr="001C6B2F" w:rsidRDefault="00D20CB2" w:rsidP="002D6DD7">
            <w:pPr>
              <w:jc w:val="both"/>
              <w:rPr>
                <w:rFonts w:cs="Times New Roman"/>
                <w:szCs w:val="24"/>
              </w:rPr>
            </w:pPr>
            <w:r w:rsidRPr="001C6B2F">
              <w:rPr>
                <w:rFonts w:cs="Times New Roman"/>
                <w:szCs w:val="24"/>
              </w:rPr>
              <w:t>Indications</w:t>
            </w:r>
          </w:p>
        </w:tc>
        <w:tc>
          <w:tcPr>
            <w:tcW w:w="6627" w:type="dxa"/>
          </w:tcPr>
          <w:p w14:paraId="077C3DA8" w14:textId="77777777" w:rsidR="00D20CB2" w:rsidRPr="001C6B2F" w:rsidRDefault="00D20CB2" w:rsidP="002D6DD7">
            <w:pPr>
              <w:autoSpaceDE w:val="0"/>
              <w:autoSpaceDN w:val="0"/>
              <w:adjustRightInd w:val="0"/>
              <w:jc w:val="both"/>
              <w:rPr>
                <w:rFonts w:eastAsia="Candara-Italic" w:cs="Times New Roman"/>
                <w:iCs/>
                <w:szCs w:val="24"/>
              </w:rPr>
            </w:pPr>
            <w:r w:rsidRPr="001C6B2F">
              <w:rPr>
                <w:rFonts w:eastAsia="Candara-Italic" w:cs="Times New Roman"/>
                <w:iCs/>
                <w:szCs w:val="24"/>
              </w:rPr>
              <w:t>Acute hypersensitivity reactions, such as angioedema of the upper respiratory tract and anaphylaxis (adjunct to epinephrine)</w:t>
            </w:r>
          </w:p>
        </w:tc>
      </w:tr>
      <w:tr w:rsidR="00D20CB2" w:rsidRPr="001C6B2F" w14:paraId="33977D20" w14:textId="77777777" w:rsidTr="002D6DD7">
        <w:trPr>
          <w:trHeight w:val="50"/>
        </w:trPr>
        <w:tc>
          <w:tcPr>
            <w:tcW w:w="2695" w:type="dxa"/>
          </w:tcPr>
          <w:p w14:paraId="36BCCF1C" w14:textId="77777777" w:rsidR="00D20CB2" w:rsidRPr="001C6B2F" w:rsidRDefault="00D20CB2" w:rsidP="002D6DD7">
            <w:pPr>
              <w:rPr>
                <w:rFonts w:cs="Times New Roman"/>
                <w:szCs w:val="24"/>
              </w:rPr>
            </w:pPr>
            <w:r w:rsidRPr="001C6B2F">
              <w:rPr>
                <w:rFonts w:eastAsia="Times New Roman" w:cs="Times New Roman"/>
                <w:szCs w:val="24"/>
              </w:rPr>
              <w:lastRenderedPageBreak/>
              <w:t>Dose and administration</w:t>
            </w:r>
          </w:p>
        </w:tc>
        <w:tc>
          <w:tcPr>
            <w:tcW w:w="6627" w:type="dxa"/>
          </w:tcPr>
          <w:p w14:paraId="04624289"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Oral Administration (Tablets)</w:t>
            </w:r>
          </w:p>
          <w:p w14:paraId="489F41AF" w14:textId="77777777" w:rsidR="00D20CB2" w:rsidRDefault="00D20CB2" w:rsidP="002D6DD7">
            <w:pPr>
              <w:autoSpaceDE w:val="0"/>
              <w:autoSpaceDN w:val="0"/>
              <w:adjustRightInd w:val="0"/>
              <w:jc w:val="both"/>
              <w:rPr>
                <w:rFonts w:cs="Times New Roman"/>
                <w:b/>
                <w:bCs/>
                <w:szCs w:val="24"/>
              </w:rPr>
            </w:pPr>
            <w:r w:rsidRPr="001C6B2F">
              <w:rPr>
                <w:rFonts w:cs="Times New Roman"/>
                <w:b/>
                <w:bCs/>
                <w:szCs w:val="24"/>
              </w:rPr>
              <w:t>Allergic Reactions</w:t>
            </w:r>
          </w:p>
          <w:p w14:paraId="20A7AE18" w14:textId="77777777" w:rsidR="00D20CB2" w:rsidRPr="00B37E39" w:rsidRDefault="00D20CB2" w:rsidP="002D6DD7">
            <w:pPr>
              <w:autoSpaceDE w:val="0"/>
              <w:autoSpaceDN w:val="0"/>
              <w:adjustRightInd w:val="0"/>
              <w:jc w:val="both"/>
              <w:rPr>
                <w:rFonts w:cs="Times New Roman"/>
                <w:b/>
                <w:bCs/>
                <w:szCs w:val="24"/>
              </w:rPr>
            </w:pPr>
            <w:r w:rsidRPr="001C6B2F">
              <w:rPr>
                <w:rFonts w:cs="Times New Roman"/>
                <w:b/>
                <w:bCs/>
                <w:szCs w:val="24"/>
              </w:rPr>
              <w:t>Adult</w:t>
            </w:r>
            <w:r>
              <w:rPr>
                <w:rFonts w:cs="Times New Roman"/>
                <w:b/>
                <w:bCs/>
                <w:szCs w:val="24"/>
              </w:rPr>
              <w:t xml:space="preserve">: </w:t>
            </w:r>
            <w:r w:rsidRPr="001C6B2F">
              <w:rPr>
                <w:rFonts w:cs="Times New Roman"/>
                <w:szCs w:val="24"/>
              </w:rPr>
              <w:t>20 mg to 240 mg per day in divided doses, depending on the severity of the condition. Maintenance dose: Adjust based on clinical response, usually 20 mg to 60 mg per day.</w:t>
            </w:r>
          </w:p>
          <w:p w14:paraId="5BCE8830" w14:textId="77777777" w:rsidR="00D20CB2" w:rsidRDefault="00D20CB2" w:rsidP="002D6DD7">
            <w:pPr>
              <w:autoSpaceDE w:val="0"/>
              <w:autoSpaceDN w:val="0"/>
              <w:adjustRightInd w:val="0"/>
              <w:jc w:val="both"/>
              <w:rPr>
                <w:rFonts w:cs="Times New Roman"/>
                <w:b/>
                <w:bCs/>
                <w:szCs w:val="24"/>
              </w:rPr>
            </w:pPr>
            <w:r w:rsidRPr="001C6B2F">
              <w:rPr>
                <w:rFonts w:cs="Times New Roman"/>
                <w:b/>
                <w:bCs/>
                <w:szCs w:val="24"/>
              </w:rPr>
              <w:t xml:space="preserve">Allergic Reactions: </w:t>
            </w:r>
          </w:p>
          <w:p w14:paraId="1D4B7F7E" w14:textId="77777777" w:rsidR="00D20CB2" w:rsidRPr="001C6B2F" w:rsidRDefault="00D20CB2" w:rsidP="002D6DD7">
            <w:pPr>
              <w:autoSpaceDE w:val="0"/>
              <w:autoSpaceDN w:val="0"/>
              <w:adjustRightInd w:val="0"/>
              <w:jc w:val="both"/>
              <w:rPr>
                <w:rFonts w:cs="Times New Roman"/>
                <w:szCs w:val="24"/>
              </w:rPr>
            </w:pPr>
            <w:r w:rsidRPr="001C6B2F">
              <w:rPr>
                <w:rFonts w:cs="Times New Roman"/>
                <w:b/>
                <w:bCs/>
                <w:szCs w:val="24"/>
              </w:rPr>
              <w:t>Child</w:t>
            </w:r>
            <w:r>
              <w:rPr>
                <w:rFonts w:cs="Times New Roman"/>
                <w:b/>
                <w:bCs/>
                <w:szCs w:val="24"/>
              </w:rPr>
              <w:t xml:space="preserve">: </w:t>
            </w:r>
            <w:r w:rsidRPr="001C6B2F">
              <w:rPr>
                <w:rFonts w:cs="Times New Roman"/>
                <w:szCs w:val="24"/>
              </w:rPr>
              <w:t>0.5 mg to 2 mg/kg/day in divided doses. Maximum dose: Up to 10 mg/day for severe cases.</w:t>
            </w:r>
          </w:p>
          <w:p w14:paraId="7466C762"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Injection Administration (100 mg/ml, 250 mg/ml, 500 mg/ml)</w:t>
            </w:r>
          </w:p>
          <w:p w14:paraId="25FBE6CD" w14:textId="77777777" w:rsidR="00D20CB2" w:rsidRDefault="00D20CB2" w:rsidP="002D6DD7">
            <w:pPr>
              <w:autoSpaceDE w:val="0"/>
              <w:autoSpaceDN w:val="0"/>
              <w:adjustRightInd w:val="0"/>
              <w:jc w:val="both"/>
              <w:rPr>
                <w:rFonts w:cs="Times New Roman"/>
                <w:b/>
                <w:bCs/>
                <w:szCs w:val="24"/>
              </w:rPr>
            </w:pPr>
            <w:r w:rsidRPr="001C6B2F">
              <w:rPr>
                <w:rFonts w:cs="Times New Roman"/>
                <w:b/>
                <w:bCs/>
                <w:szCs w:val="24"/>
              </w:rPr>
              <w:t>Emergency Anaphylaxi</w:t>
            </w:r>
            <w:r>
              <w:rPr>
                <w:rFonts w:cs="Times New Roman"/>
                <w:b/>
                <w:bCs/>
                <w:szCs w:val="24"/>
              </w:rPr>
              <w:t>s</w:t>
            </w:r>
          </w:p>
          <w:p w14:paraId="4BD2050A"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Adult</w:t>
            </w:r>
          </w:p>
          <w:p w14:paraId="53181DCF"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Initial dose: 100 mg to 500 mg </w:t>
            </w:r>
            <w:r>
              <w:rPr>
                <w:rFonts w:cs="Times New Roman"/>
                <w:szCs w:val="24"/>
              </w:rPr>
              <w:t>IV</w:t>
            </w:r>
            <w:r w:rsidRPr="001C6B2F">
              <w:rPr>
                <w:rFonts w:cs="Times New Roman"/>
                <w:szCs w:val="24"/>
              </w:rPr>
              <w:t xml:space="preserve"> or IM, repeated every 2 to 6 hours as needed.</w:t>
            </w:r>
            <w:r>
              <w:rPr>
                <w:rFonts w:cs="Times New Roman"/>
                <w:szCs w:val="24"/>
              </w:rPr>
              <w:t xml:space="preserve"> </w:t>
            </w:r>
            <w:r w:rsidRPr="001C6B2F">
              <w:rPr>
                <w:rFonts w:cs="Times New Roman"/>
                <w:szCs w:val="24"/>
              </w:rPr>
              <w:t xml:space="preserve">Maintenance </w:t>
            </w:r>
            <w:r>
              <w:rPr>
                <w:rFonts w:cs="Times New Roman"/>
                <w:szCs w:val="24"/>
              </w:rPr>
              <w:t>d</w:t>
            </w:r>
            <w:r w:rsidRPr="001C6B2F">
              <w:rPr>
                <w:rFonts w:cs="Times New Roman"/>
                <w:szCs w:val="24"/>
              </w:rPr>
              <w:t>ose: Adjust based on clinical response, typically 100 mg every 8 hours intravenously or IM.</w:t>
            </w:r>
          </w:p>
          <w:p w14:paraId="5F3C6B7C"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Emergency Anaphylaxis</w:t>
            </w:r>
          </w:p>
          <w:p w14:paraId="2BF4535B" w14:textId="77777777" w:rsidR="00D20CB2" w:rsidRPr="001C6B2F" w:rsidRDefault="00D20CB2" w:rsidP="002D6DD7">
            <w:pPr>
              <w:autoSpaceDE w:val="0"/>
              <w:autoSpaceDN w:val="0"/>
              <w:adjustRightInd w:val="0"/>
              <w:jc w:val="both"/>
              <w:rPr>
                <w:rFonts w:cs="Times New Roman"/>
                <w:b/>
                <w:bCs/>
                <w:szCs w:val="24"/>
              </w:rPr>
            </w:pPr>
            <w:r w:rsidRPr="001C6B2F">
              <w:rPr>
                <w:rFonts w:cs="Times New Roman"/>
                <w:b/>
                <w:bCs/>
                <w:szCs w:val="24"/>
              </w:rPr>
              <w:t>Child</w:t>
            </w:r>
          </w:p>
          <w:p w14:paraId="572EA5B2"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Initial </w:t>
            </w:r>
            <w:r>
              <w:rPr>
                <w:rFonts w:cs="Times New Roman"/>
                <w:szCs w:val="24"/>
              </w:rPr>
              <w:t>d</w:t>
            </w:r>
            <w:r w:rsidRPr="001C6B2F">
              <w:rPr>
                <w:rFonts w:cs="Times New Roman"/>
                <w:szCs w:val="24"/>
              </w:rPr>
              <w:t xml:space="preserve">ose: 1 to 2 mg/kg iv. or </w:t>
            </w:r>
            <w:r>
              <w:rPr>
                <w:rFonts w:cs="Times New Roman"/>
                <w:szCs w:val="24"/>
              </w:rPr>
              <w:t>IM</w:t>
            </w:r>
            <w:r w:rsidRPr="001C6B2F">
              <w:rPr>
                <w:rFonts w:cs="Times New Roman"/>
                <w:szCs w:val="24"/>
              </w:rPr>
              <w:t>., repeated every 2 to 6 hours as needed. Maximum dose: Typically, up to 100 mg per dose.</w:t>
            </w:r>
          </w:p>
        </w:tc>
      </w:tr>
      <w:tr w:rsidR="00D20CB2" w:rsidRPr="001C6B2F" w14:paraId="302DD854" w14:textId="77777777" w:rsidTr="002D6DD7">
        <w:trPr>
          <w:trHeight w:val="40"/>
        </w:trPr>
        <w:tc>
          <w:tcPr>
            <w:tcW w:w="2695" w:type="dxa"/>
          </w:tcPr>
          <w:p w14:paraId="55A7F7D6" w14:textId="77777777" w:rsidR="00D20CB2" w:rsidRPr="001C6B2F" w:rsidRDefault="00D20CB2" w:rsidP="002D6DD7">
            <w:pPr>
              <w:jc w:val="both"/>
              <w:rPr>
                <w:rFonts w:cs="Times New Roman"/>
                <w:szCs w:val="24"/>
              </w:rPr>
            </w:pPr>
            <w:r w:rsidRPr="001C6B2F">
              <w:rPr>
                <w:rFonts w:cs="Times New Roman"/>
                <w:szCs w:val="24"/>
              </w:rPr>
              <w:t>Contraindications</w:t>
            </w:r>
          </w:p>
        </w:tc>
        <w:tc>
          <w:tcPr>
            <w:tcW w:w="6627" w:type="dxa"/>
          </w:tcPr>
          <w:p w14:paraId="27DBA3F6"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Refer under Corticosteroids Preparation</w:t>
            </w:r>
          </w:p>
        </w:tc>
      </w:tr>
      <w:tr w:rsidR="00D20CB2" w:rsidRPr="001C6B2F" w14:paraId="37CFCF6E" w14:textId="77777777" w:rsidTr="002D6DD7">
        <w:tc>
          <w:tcPr>
            <w:tcW w:w="2695" w:type="dxa"/>
          </w:tcPr>
          <w:p w14:paraId="69D0DEB0" w14:textId="77777777" w:rsidR="00D20CB2" w:rsidRPr="001C6B2F" w:rsidRDefault="00D20CB2" w:rsidP="002D6DD7">
            <w:pPr>
              <w:jc w:val="both"/>
              <w:rPr>
                <w:rFonts w:cs="Times New Roman"/>
                <w:szCs w:val="24"/>
              </w:rPr>
            </w:pPr>
            <w:r w:rsidRPr="001C6B2F">
              <w:rPr>
                <w:rFonts w:cs="Times New Roman"/>
                <w:szCs w:val="24"/>
              </w:rPr>
              <w:t>Drug interactions</w:t>
            </w:r>
          </w:p>
        </w:tc>
        <w:tc>
          <w:tcPr>
            <w:tcW w:w="6627" w:type="dxa"/>
          </w:tcPr>
          <w:p w14:paraId="0CFBED6B"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Refer under Corticosteroids Preparation </w:t>
            </w:r>
          </w:p>
        </w:tc>
      </w:tr>
      <w:tr w:rsidR="00D20CB2" w:rsidRPr="001C6B2F" w14:paraId="4BB82E52" w14:textId="77777777" w:rsidTr="002D6DD7">
        <w:tc>
          <w:tcPr>
            <w:tcW w:w="2695" w:type="dxa"/>
          </w:tcPr>
          <w:p w14:paraId="3A557339" w14:textId="77777777" w:rsidR="00D20CB2" w:rsidRPr="001C6B2F" w:rsidRDefault="00D20CB2" w:rsidP="002D6DD7">
            <w:pPr>
              <w:jc w:val="both"/>
              <w:rPr>
                <w:rFonts w:cs="Times New Roman"/>
                <w:szCs w:val="24"/>
              </w:rPr>
            </w:pPr>
            <w:r w:rsidRPr="001C6B2F">
              <w:rPr>
                <w:rFonts w:cs="Times New Roman"/>
                <w:szCs w:val="24"/>
              </w:rPr>
              <w:t>Side effects</w:t>
            </w:r>
          </w:p>
        </w:tc>
        <w:tc>
          <w:tcPr>
            <w:tcW w:w="6627" w:type="dxa"/>
          </w:tcPr>
          <w:p w14:paraId="7B321763"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Refer under Corticosteroids Preparation </w:t>
            </w:r>
          </w:p>
        </w:tc>
      </w:tr>
      <w:tr w:rsidR="00D20CB2" w:rsidRPr="001C6B2F" w14:paraId="32934BA0" w14:textId="77777777" w:rsidTr="002D6DD7">
        <w:tc>
          <w:tcPr>
            <w:tcW w:w="2695" w:type="dxa"/>
          </w:tcPr>
          <w:p w14:paraId="73D5D548" w14:textId="77777777" w:rsidR="00D20CB2" w:rsidRPr="001C6B2F" w:rsidRDefault="00D20CB2" w:rsidP="002D6DD7">
            <w:pPr>
              <w:jc w:val="both"/>
              <w:rPr>
                <w:rFonts w:cs="Times New Roman"/>
                <w:szCs w:val="24"/>
              </w:rPr>
            </w:pPr>
            <w:r w:rsidRPr="001C6B2F">
              <w:rPr>
                <w:rFonts w:cs="Times New Roman"/>
                <w:szCs w:val="24"/>
              </w:rPr>
              <w:t xml:space="preserve">Cautions </w:t>
            </w:r>
          </w:p>
        </w:tc>
        <w:tc>
          <w:tcPr>
            <w:tcW w:w="6627" w:type="dxa"/>
          </w:tcPr>
          <w:p w14:paraId="6D640EA9"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 xml:space="preserve">Refer under Corticosteroids Preparation </w:t>
            </w:r>
          </w:p>
        </w:tc>
      </w:tr>
      <w:tr w:rsidR="00D20CB2" w:rsidRPr="001C6B2F" w14:paraId="79B1EC5F" w14:textId="77777777" w:rsidTr="002D6DD7">
        <w:tc>
          <w:tcPr>
            <w:tcW w:w="2695" w:type="dxa"/>
          </w:tcPr>
          <w:p w14:paraId="57C9180F" w14:textId="77777777" w:rsidR="00D20CB2" w:rsidRPr="001C6B2F" w:rsidRDefault="00D20CB2" w:rsidP="002D6DD7">
            <w:pPr>
              <w:jc w:val="both"/>
              <w:rPr>
                <w:rFonts w:cs="Times New Roman"/>
                <w:szCs w:val="24"/>
              </w:rPr>
            </w:pPr>
            <w:r w:rsidRPr="001C6B2F">
              <w:rPr>
                <w:rFonts w:cs="Times New Roman"/>
                <w:szCs w:val="24"/>
              </w:rPr>
              <w:t>Storage condition</w:t>
            </w:r>
          </w:p>
        </w:tc>
        <w:tc>
          <w:tcPr>
            <w:tcW w:w="6627" w:type="dxa"/>
          </w:tcPr>
          <w:p w14:paraId="58ACD69B" w14:textId="77777777" w:rsidR="00D20CB2" w:rsidRPr="001C6B2F" w:rsidRDefault="00D20CB2" w:rsidP="002D6DD7">
            <w:pPr>
              <w:autoSpaceDE w:val="0"/>
              <w:autoSpaceDN w:val="0"/>
              <w:adjustRightInd w:val="0"/>
              <w:jc w:val="both"/>
              <w:rPr>
                <w:rFonts w:cs="Times New Roman"/>
                <w:color w:val="231F20"/>
                <w:szCs w:val="24"/>
              </w:rPr>
            </w:pPr>
            <w:r w:rsidRPr="001C6B2F">
              <w:rPr>
                <w:rFonts w:cs="Times New Roman"/>
                <w:color w:val="231F20"/>
                <w:szCs w:val="24"/>
              </w:rPr>
              <w:t>Store below 30C</w:t>
            </w:r>
            <w:r w:rsidRPr="001C6B2F">
              <w:rPr>
                <w:rFonts w:cs="Times New Roman"/>
                <w:color w:val="231F20"/>
                <w:szCs w:val="24"/>
                <w:vertAlign w:val="superscript"/>
              </w:rPr>
              <w:t>0</w:t>
            </w:r>
            <w:r w:rsidRPr="001C6B2F">
              <w:rPr>
                <w:rFonts w:cs="Times New Roman"/>
                <w:color w:val="231F20"/>
                <w:szCs w:val="24"/>
              </w:rPr>
              <w:t>, protected from light and moisture</w:t>
            </w:r>
          </w:p>
        </w:tc>
      </w:tr>
      <w:tr w:rsidR="00D20CB2" w:rsidRPr="001C6B2F" w14:paraId="77376070" w14:textId="77777777" w:rsidTr="002D6DD7">
        <w:tc>
          <w:tcPr>
            <w:tcW w:w="9322" w:type="dxa"/>
            <w:gridSpan w:val="2"/>
          </w:tcPr>
          <w:p w14:paraId="39C5E037" w14:textId="77777777" w:rsidR="00D20CB2" w:rsidRPr="001C6B2F" w:rsidRDefault="00D20CB2" w:rsidP="002D6DD7">
            <w:pPr>
              <w:jc w:val="both"/>
              <w:rPr>
                <w:rFonts w:cs="Times New Roman"/>
                <w:b/>
                <w:bCs/>
                <w:color w:val="FFFFFF" w:themeColor="background1"/>
                <w:szCs w:val="24"/>
              </w:rPr>
            </w:pPr>
            <w:bookmarkStart w:id="126" w:name="_Toc168315284"/>
            <w:r w:rsidRPr="001C6B2F">
              <w:rPr>
                <w:rFonts w:cs="Times New Roman"/>
                <w:b/>
                <w:bCs/>
                <w:szCs w:val="24"/>
              </w:rPr>
              <w:t>Prednisolone</w:t>
            </w:r>
            <w:bookmarkEnd w:id="126"/>
          </w:p>
        </w:tc>
      </w:tr>
      <w:tr w:rsidR="00D20CB2" w:rsidRPr="001C6B2F" w14:paraId="14F8A32F" w14:textId="77777777" w:rsidTr="002D6DD7">
        <w:trPr>
          <w:trHeight w:val="152"/>
        </w:trPr>
        <w:tc>
          <w:tcPr>
            <w:tcW w:w="2695" w:type="dxa"/>
          </w:tcPr>
          <w:p w14:paraId="227BAD50" w14:textId="77777777" w:rsidR="00D20CB2" w:rsidRPr="001C6B2F" w:rsidRDefault="00D20CB2" w:rsidP="002D6DD7">
            <w:pPr>
              <w:jc w:val="both"/>
              <w:rPr>
                <w:rFonts w:cs="Times New Roman"/>
                <w:szCs w:val="24"/>
              </w:rPr>
            </w:pPr>
            <w:r w:rsidRPr="001C6B2F">
              <w:rPr>
                <w:rFonts w:cs="Times New Roman"/>
                <w:szCs w:val="24"/>
              </w:rPr>
              <w:t>Pharmacological class</w:t>
            </w:r>
          </w:p>
        </w:tc>
        <w:tc>
          <w:tcPr>
            <w:tcW w:w="6627" w:type="dxa"/>
          </w:tcPr>
          <w:p w14:paraId="7DB49D04" w14:textId="77777777" w:rsidR="00D20CB2" w:rsidRPr="001C6B2F" w:rsidRDefault="00D20CB2" w:rsidP="002D6DD7">
            <w:pPr>
              <w:jc w:val="both"/>
              <w:rPr>
                <w:rFonts w:cs="Times New Roman"/>
                <w:color w:val="000000" w:themeColor="text1"/>
                <w:szCs w:val="24"/>
              </w:rPr>
            </w:pPr>
            <w:r w:rsidRPr="001C6B2F">
              <w:rPr>
                <w:rFonts w:cs="Times New Roman"/>
                <w:color w:val="202227"/>
                <w:szCs w:val="24"/>
                <w:shd w:val="clear" w:color="auto" w:fill="FFFFFF"/>
              </w:rPr>
              <w:t>Glucocorticoid</w:t>
            </w:r>
          </w:p>
        </w:tc>
      </w:tr>
      <w:tr w:rsidR="00D20CB2" w:rsidRPr="001C6B2F" w14:paraId="6236AE15" w14:textId="77777777" w:rsidTr="002D6DD7">
        <w:trPr>
          <w:trHeight w:val="40"/>
        </w:trPr>
        <w:tc>
          <w:tcPr>
            <w:tcW w:w="2695" w:type="dxa"/>
          </w:tcPr>
          <w:p w14:paraId="2198F7F3" w14:textId="77777777" w:rsidR="00D20CB2" w:rsidRPr="001C6B2F" w:rsidRDefault="00D20CB2" w:rsidP="002D6DD7">
            <w:pPr>
              <w:jc w:val="both"/>
              <w:rPr>
                <w:rFonts w:cs="Times New Roman"/>
                <w:szCs w:val="24"/>
              </w:rPr>
            </w:pPr>
            <w:r w:rsidRPr="001C6B2F">
              <w:rPr>
                <w:rFonts w:cs="Times New Roman"/>
                <w:szCs w:val="24"/>
              </w:rPr>
              <w:t>Dosage form</w:t>
            </w:r>
          </w:p>
        </w:tc>
        <w:tc>
          <w:tcPr>
            <w:tcW w:w="6627" w:type="dxa"/>
          </w:tcPr>
          <w:p w14:paraId="046CEFC3" w14:textId="77777777" w:rsidR="00D20CB2" w:rsidRPr="001C6B2F" w:rsidRDefault="00D20CB2" w:rsidP="002D6DD7">
            <w:pPr>
              <w:jc w:val="both"/>
              <w:rPr>
                <w:rFonts w:cs="Times New Roman"/>
                <w:szCs w:val="24"/>
                <w:lang w:val="nb-NO"/>
              </w:rPr>
            </w:pPr>
            <w:r w:rsidRPr="001C6B2F">
              <w:rPr>
                <w:rFonts w:cs="Times New Roman"/>
                <w:szCs w:val="24"/>
                <w:lang w:val="nb-NO"/>
              </w:rPr>
              <w:t>Oral liquid (15 mg/5 ml), Tablet (5 mg)</w:t>
            </w:r>
          </w:p>
        </w:tc>
      </w:tr>
      <w:tr w:rsidR="00D20CB2" w:rsidRPr="001C6B2F" w14:paraId="0BE9318D" w14:textId="77777777" w:rsidTr="002D6DD7">
        <w:tc>
          <w:tcPr>
            <w:tcW w:w="2695" w:type="dxa"/>
          </w:tcPr>
          <w:p w14:paraId="66C135D7" w14:textId="77777777" w:rsidR="00D20CB2" w:rsidRPr="001C6B2F" w:rsidRDefault="00D20CB2" w:rsidP="002D6DD7">
            <w:pPr>
              <w:jc w:val="both"/>
              <w:rPr>
                <w:rFonts w:cs="Times New Roman"/>
                <w:szCs w:val="24"/>
              </w:rPr>
            </w:pPr>
            <w:r w:rsidRPr="001C6B2F">
              <w:rPr>
                <w:rFonts w:cs="Times New Roman"/>
                <w:szCs w:val="24"/>
              </w:rPr>
              <w:t>Indications</w:t>
            </w:r>
          </w:p>
        </w:tc>
        <w:tc>
          <w:tcPr>
            <w:tcW w:w="6627" w:type="dxa"/>
          </w:tcPr>
          <w:p w14:paraId="1D3B6D9F" w14:textId="77777777" w:rsidR="00D20CB2" w:rsidRPr="00B37E39" w:rsidRDefault="00D20CB2" w:rsidP="002D6DD7">
            <w:pPr>
              <w:autoSpaceDE w:val="0"/>
              <w:autoSpaceDN w:val="0"/>
              <w:adjustRightInd w:val="0"/>
              <w:jc w:val="both"/>
              <w:rPr>
                <w:rFonts w:cs="Times New Roman"/>
                <w:iCs/>
                <w:szCs w:val="24"/>
              </w:rPr>
            </w:pPr>
            <w:r w:rsidRPr="00B37E39">
              <w:rPr>
                <w:rFonts w:cs="Times New Roman"/>
                <w:iCs/>
                <w:szCs w:val="24"/>
              </w:rPr>
              <w:t>Suppression of inflammation in allergic disorders</w:t>
            </w:r>
          </w:p>
        </w:tc>
      </w:tr>
      <w:tr w:rsidR="00D20CB2" w:rsidRPr="001C6B2F" w14:paraId="2B3321F5" w14:textId="77777777" w:rsidTr="005026F3">
        <w:trPr>
          <w:trHeight w:val="1160"/>
        </w:trPr>
        <w:tc>
          <w:tcPr>
            <w:tcW w:w="2695" w:type="dxa"/>
          </w:tcPr>
          <w:p w14:paraId="0C1E97F6" w14:textId="77777777" w:rsidR="00D20CB2" w:rsidRPr="001C6B2F" w:rsidRDefault="00D20CB2" w:rsidP="002D6DD7">
            <w:pPr>
              <w:rPr>
                <w:rFonts w:cs="Times New Roman"/>
                <w:szCs w:val="24"/>
              </w:rPr>
            </w:pPr>
            <w:r w:rsidRPr="001C6B2F">
              <w:rPr>
                <w:rFonts w:eastAsia="Times New Roman" w:cs="Times New Roman"/>
                <w:szCs w:val="24"/>
              </w:rPr>
              <w:t>Dose and Administration</w:t>
            </w:r>
          </w:p>
        </w:tc>
        <w:tc>
          <w:tcPr>
            <w:tcW w:w="6627" w:type="dxa"/>
          </w:tcPr>
          <w:p w14:paraId="0CB87284" w14:textId="77777777" w:rsidR="00D20CB2" w:rsidRDefault="00D20CB2" w:rsidP="002D6DD7">
            <w:pPr>
              <w:autoSpaceDE w:val="0"/>
              <w:autoSpaceDN w:val="0"/>
              <w:adjustRightInd w:val="0"/>
              <w:jc w:val="both"/>
              <w:rPr>
                <w:rFonts w:eastAsia="Candara-Italic" w:cs="Times New Roman"/>
                <w:b/>
                <w:bCs/>
                <w:iCs/>
                <w:szCs w:val="24"/>
              </w:rPr>
            </w:pPr>
            <w:r w:rsidRPr="001C6B2F">
              <w:rPr>
                <w:rFonts w:eastAsia="Candara-Italic" w:cs="Times New Roman"/>
                <w:b/>
                <w:bCs/>
                <w:iCs/>
                <w:szCs w:val="24"/>
              </w:rPr>
              <w:t xml:space="preserve">Allergy (short-term use), oral: </w:t>
            </w:r>
          </w:p>
          <w:p w14:paraId="1B0DE3A2" w14:textId="77777777" w:rsidR="00D20CB2" w:rsidRPr="001C6B2F" w:rsidRDefault="00D20CB2" w:rsidP="002D6DD7">
            <w:pPr>
              <w:autoSpaceDE w:val="0"/>
              <w:autoSpaceDN w:val="0"/>
              <w:adjustRightInd w:val="0"/>
              <w:jc w:val="both"/>
              <w:rPr>
                <w:rFonts w:eastAsia="Candara-Italic" w:cs="Times New Roman"/>
                <w:b/>
                <w:bCs/>
                <w:iCs/>
                <w:szCs w:val="24"/>
              </w:rPr>
            </w:pPr>
            <w:r w:rsidRPr="001C6B2F">
              <w:rPr>
                <w:rFonts w:cs="Times New Roman"/>
                <w:b/>
                <w:bCs/>
                <w:szCs w:val="24"/>
              </w:rPr>
              <w:t>Adult</w:t>
            </w:r>
            <w:r>
              <w:rPr>
                <w:rFonts w:cs="Times New Roman"/>
                <w:b/>
                <w:bCs/>
                <w:szCs w:val="24"/>
              </w:rPr>
              <w:t xml:space="preserve">: </w:t>
            </w:r>
            <w:r w:rsidRPr="001C6B2F">
              <w:rPr>
                <w:rFonts w:eastAsia="Candara-Italic" w:cs="Times New Roman"/>
                <w:szCs w:val="24"/>
              </w:rPr>
              <w:t>Initially up to 10 to 20 mg daily as a single dose in the morning (in severe allergy, up to 60 mg daily as a short course of 5 to 10 days)</w:t>
            </w:r>
          </w:p>
          <w:p w14:paraId="7EE281BC" w14:textId="77777777" w:rsidR="00D20CB2" w:rsidRDefault="00D20CB2" w:rsidP="002D6DD7">
            <w:pPr>
              <w:autoSpaceDE w:val="0"/>
              <w:autoSpaceDN w:val="0"/>
              <w:adjustRightInd w:val="0"/>
              <w:jc w:val="both"/>
              <w:rPr>
                <w:rFonts w:eastAsia="Candara-Italic" w:cs="Times New Roman"/>
                <w:b/>
                <w:bCs/>
                <w:iCs/>
                <w:szCs w:val="24"/>
              </w:rPr>
            </w:pPr>
            <w:r w:rsidRPr="001C6B2F">
              <w:rPr>
                <w:rFonts w:eastAsia="Candara-Italic" w:cs="Times New Roman"/>
                <w:b/>
                <w:bCs/>
                <w:iCs/>
                <w:szCs w:val="24"/>
              </w:rPr>
              <w:lastRenderedPageBreak/>
              <w:t>Allergy, oral:</w:t>
            </w:r>
          </w:p>
          <w:p w14:paraId="5297F8DD" w14:textId="77777777" w:rsidR="00D20CB2" w:rsidRPr="00B37E39" w:rsidRDefault="00D20CB2" w:rsidP="002D6DD7">
            <w:pPr>
              <w:autoSpaceDE w:val="0"/>
              <w:autoSpaceDN w:val="0"/>
              <w:adjustRightInd w:val="0"/>
              <w:jc w:val="both"/>
              <w:rPr>
                <w:rFonts w:cs="Times New Roman"/>
                <w:b/>
                <w:bCs/>
                <w:szCs w:val="24"/>
              </w:rPr>
            </w:pPr>
            <w:r>
              <w:rPr>
                <w:rFonts w:cs="Times New Roman"/>
                <w:b/>
                <w:bCs/>
                <w:szCs w:val="24"/>
              </w:rPr>
              <w:t xml:space="preserve">Child: </w:t>
            </w:r>
            <w:r w:rsidRPr="001C6B2F">
              <w:rPr>
                <w:rFonts w:cs="Times New Roman"/>
                <w:szCs w:val="24"/>
              </w:rPr>
              <w:t>1 to 2 mg/kg once daily (usual maximum 60 mg), reducing after a few days if appropriate; increased frequency may be required in certain clinical indications.</w:t>
            </w:r>
          </w:p>
        </w:tc>
      </w:tr>
      <w:tr w:rsidR="00D20CB2" w:rsidRPr="001C6B2F" w14:paraId="6E181C7B" w14:textId="77777777" w:rsidTr="002D6DD7">
        <w:trPr>
          <w:trHeight w:val="152"/>
        </w:trPr>
        <w:tc>
          <w:tcPr>
            <w:tcW w:w="2695" w:type="dxa"/>
          </w:tcPr>
          <w:p w14:paraId="63AA8E84" w14:textId="77777777" w:rsidR="00D20CB2" w:rsidRPr="001C6B2F" w:rsidRDefault="00D20CB2" w:rsidP="002D6DD7">
            <w:pPr>
              <w:jc w:val="both"/>
              <w:rPr>
                <w:rFonts w:cs="Times New Roman"/>
                <w:szCs w:val="24"/>
              </w:rPr>
            </w:pPr>
            <w:r w:rsidRPr="001C6B2F">
              <w:rPr>
                <w:rFonts w:cs="Times New Roman"/>
                <w:szCs w:val="24"/>
              </w:rPr>
              <w:lastRenderedPageBreak/>
              <w:t>Contraindications</w:t>
            </w:r>
          </w:p>
        </w:tc>
        <w:tc>
          <w:tcPr>
            <w:tcW w:w="6627" w:type="dxa"/>
          </w:tcPr>
          <w:p w14:paraId="212A47FB"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Untreated systemic infection, administration of live vaccines (usually not relevant to emergency treatment)</w:t>
            </w:r>
            <w:r w:rsidR="005026F3">
              <w:rPr>
                <w:rFonts w:cs="Times New Roman"/>
                <w:szCs w:val="24"/>
              </w:rPr>
              <w:t>.</w:t>
            </w:r>
          </w:p>
        </w:tc>
      </w:tr>
      <w:tr w:rsidR="00D20CB2" w:rsidRPr="001C6B2F" w14:paraId="2ED72001" w14:textId="77777777" w:rsidTr="002D6DD7">
        <w:trPr>
          <w:trHeight w:val="40"/>
        </w:trPr>
        <w:tc>
          <w:tcPr>
            <w:tcW w:w="2695" w:type="dxa"/>
          </w:tcPr>
          <w:p w14:paraId="2E0992A5" w14:textId="77777777" w:rsidR="00D20CB2" w:rsidRPr="001C6B2F" w:rsidRDefault="00D20CB2" w:rsidP="002D6DD7">
            <w:pPr>
              <w:jc w:val="both"/>
              <w:rPr>
                <w:rFonts w:cs="Times New Roman"/>
                <w:szCs w:val="24"/>
              </w:rPr>
            </w:pPr>
            <w:r w:rsidRPr="001C6B2F">
              <w:rPr>
                <w:rFonts w:cs="Times New Roman"/>
                <w:szCs w:val="24"/>
              </w:rPr>
              <w:t>Drug interactions</w:t>
            </w:r>
          </w:p>
        </w:tc>
        <w:tc>
          <w:tcPr>
            <w:tcW w:w="6627" w:type="dxa"/>
          </w:tcPr>
          <w:p w14:paraId="404B9670" w14:textId="77777777" w:rsidR="00D20CB2" w:rsidRPr="001C6B2F" w:rsidRDefault="00D20CB2" w:rsidP="002D6DD7">
            <w:pPr>
              <w:autoSpaceDE w:val="0"/>
              <w:autoSpaceDN w:val="0"/>
              <w:adjustRightInd w:val="0"/>
              <w:jc w:val="both"/>
              <w:rPr>
                <w:rFonts w:cs="Times New Roman"/>
                <w:i/>
                <w:iCs/>
                <w:szCs w:val="24"/>
              </w:rPr>
            </w:pPr>
            <w:r w:rsidRPr="001C6B2F">
              <w:rPr>
                <w:rFonts w:cs="Times New Roman"/>
                <w:szCs w:val="24"/>
              </w:rPr>
              <w:t>Refer under Corticosteroids Preparation</w:t>
            </w:r>
            <w:r w:rsidR="005026F3">
              <w:rPr>
                <w:rFonts w:cs="Times New Roman"/>
                <w:szCs w:val="24"/>
              </w:rPr>
              <w:t>.</w:t>
            </w:r>
          </w:p>
        </w:tc>
      </w:tr>
      <w:tr w:rsidR="00D20CB2" w:rsidRPr="001C6B2F" w14:paraId="5DF924D1" w14:textId="77777777" w:rsidTr="002D6DD7">
        <w:tc>
          <w:tcPr>
            <w:tcW w:w="2695" w:type="dxa"/>
          </w:tcPr>
          <w:p w14:paraId="0DF38DA0" w14:textId="77777777" w:rsidR="00D20CB2" w:rsidRPr="001C6B2F" w:rsidRDefault="00D20CB2" w:rsidP="002D6DD7">
            <w:pPr>
              <w:jc w:val="both"/>
              <w:rPr>
                <w:rFonts w:cs="Times New Roman"/>
                <w:szCs w:val="24"/>
              </w:rPr>
            </w:pPr>
            <w:r w:rsidRPr="001C6B2F">
              <w:rPr>
                <w:rFonts w:cs="Times New Roman"/>
                <w:szCs w:val="24"/>
              </w:rPr>
              <w:t>Side effects</w:t>
            </w:r>
          </w:p>
        </w:tc>
        <w:tc>
          <w:tcPr>
            <w:tcW w:w="6627" w:type="dxa"/>
          </w:tcPr>
          <w:p w14:paraId="538CDCA2"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Refer under Corticosteroids Preparation</w:t>
            </w:r>
            <w:r w:rsidR="005026F3">
              <w:rPr>
                <w:rFonts w:cs="Times New Roman"/>
                <w:szCs w:val="24"/>
              </w:rPr>
              <w:t>.</w:t>
            </w:r>
          </w:p>
        </w:tc>
      </w:tr>
      <w:tr w:rsidR="00D20CB2" w:rsidRPr="001C6B2F" w14:paraId="25D4A45A" w14:textId="77777777" w:rsidTr="002D6DD7">
        <w:tc>
          <w:tcPr>
            <w:tcW w:w="2695" w:type="dxa"/>
          </w:tcPr>
          <w:p w14:paraId="3A064A55" w14:textId="77777777" w:rsidR="00D20CB2" w:rsidRPr="001C6B2F" w:rsidRDefault="00D20CB2" w:rsidP="002D6DD7">
            <w:pPr>
              <w:jc w:val="both"/>
              <w:rPr>
                <w:rFonts w:cs="Times New Roman"/>
                <w:szCs w:val="24"/>
              </w:rPr>
            </w:pPr>
            <w:r w:rsidRPr="001C6B2F">
              <w:rPr>
                <w:rFonts w:cs="Times New Roman"/>
                <w:szCs w:val="24"/>
              </w:rPr>
              <w:t xml:space="preserve">Cautions </w:t>
            </w:r>
          </w:p>
        </w:tc>
        <w:tc>
          <w:tcPr>
            <w:tcW w:w="6627" w:type="dxa"/>
          </w:tcPr>
          <w:p w14:paraId="1E5E61A4"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Refer under Corticosteroids Preparation</w:t>
            </w:r>
            <w:r w:rsidR="005026F3">
              <w:rPr>
                <w:rFonts w:cs="Times New Roman"/>
                <w:szCs w:val="24"/>
              </w:rPr>
              <w:t>.</w:t>
            </w:r>
          </w:p>
        </w:tc>
      </w:tr>
      <w:tr w:rsidR="00D20CB2" w:rsidRPr="001C6B2F" w14:paraId="2783C745" w14:textId="77777777" w:rsidTr="002D6DD7">
        <w:tc>
          <w:tcPr>
            <w:tcW w:w="2695" w:type="dxa"/>
          </w:tcPr>
          <w:p w14:paraId="69B1C704" w14:textId="77777777" w:rsidR="00D20CB2" w:rsidRPr="001C6B2F" w:rsidRDefault="00D20CB2" w:rsidP="002D6DD7">
            <w:pPr>
              <w:jc w:val="both"/>
              <w:rPr>
                <w:rFonts w:cs="Times New Roman"/>
                <w:szCs w:val="24"/>
              </w:rPr>
            </w:pPr>
            <w:r w:rsidRPr="001C6B2F">
              <w:rPr>
                <w:rFonts w:cs="Times New Roman"/>
                <w:szCs w:val="24"/>
              </w:rPr>
              <w:t>Storage condition</w:t>
            </w:r>
          </w:p>
        </w:tc>
        <w:tc>
          <w:tcPr>
            <w:tcW w:w="6627" w:type="dxa"/>
          </w:tcPr>
          <w:p w14:paraId="642CD8BD" w14:textId="77777777" w:rsidR="00D20CB2" w:rsidRPr="001C6B2F" w:rsidRDefault="00D20CB2" w:rsidP="002D6DD7">
            <w:pPr>
              <w:autoSpaceDE w:val="0"/>
              <w:autoSpaceDN w:val="0"/>
              <w:adjustRightInd w:val="0"/>
              <w:jc w:val="both"/>
              <w:rPr>
                <w:rFonts w:cs="Times New Roman"/>
                <w:szCs w:val="24"/>
              </w:rPr>
            </w:pPr>
            <w:r w:rsidRPr="001C6B2F">
              <w:rPr>
                <w:rFonts w:cs="Times New Roman"/>
                <w:szCs w:val="24"/>
              </w:rPr>
              <w:t>Store below 30</w:t>
            </w:r>
            <w:r w:rsidRPr="00A077BD">
              <w:rPr>
                <w:rFonts w:cs="Times New Roman"/>
                <w:szCs w:val="24"/>
                <w:vertAlign w:val="superscript"/>
              </w:rPr>
              <w:t>0</w:t>
            </w:r>
            <w:r w:rsidRPr="001C6B2F">
              <w:rPr>
                <w:rFonts w:cs="Times New Roman"/>
                <w:szCs w:val="24"/>
              </w:rPr>
              <w:t>C</w:t>
            </w:r>
            <w:r>
              <w:rPr>
                <w:rFonts w:cs="Times New Roman"/>
                <w:szCs w:val="24"/>
              </w:rPr>
              <w:t>. P</w:t>
            </w:r>
            <w:r w:rsidRPr="001C6B2F">
              <w:rPr>
                <w:rFonts w:cs="Times New Roman"/>
                <w:szCs w:val="24"/>
              </w:rPr>
              <w:t>rotect from light and moisture.</w:t>
            </w:r>
          </w:p>
        </w:tc>
      </w:tr>
    </w:tbl>
    <w:p w14:paraId="0580582B" w14:textId="77777777" w:rsidR="00D20CB2" w:rsidRDefault="00D20CB2" w:rsidP="00D20CB2"/>
    <w:p w14:paraId="27C322A5" w14:textId="77777777" w:rsidR="005026F3" w:rsidRDefault="005026F3">
      <w:pPr>
        <w:spacing w:line="259" w:lineRule="auto"/>
        <w:rPr>
          <w:rFonts w:eastAsiaTheme="majorEastAsia" w:cs="Times New Roman"/>
          <w:b/>
          <w:bCs/>
          <w:kern w:val="0"/>
          <w:sz w:val="28"/>
          <w:szCs w:val="28"/>
          <w:lang w:val="en-US" w:eastAsia="en-US"/>
        </w:rPr>
      </w:pPr>
      <w:r>
        <w:rPr>
          <w:rFonts w:cs="Times New Roman"/>
        </w:rPr>
        <w:br w:type="page"/>
      </w:r>
    </w:p>
    <w:p w14:paraId="0414D030" w14:textId="77777777" w:rsidR="00D20CB2" w:rsidRPr="005026F3" w:rsidRDefault="00D20CB2" w:rsidP="00FC2704">
      <w:pPr>
        <w:pStyle w:val="Heading1"/>
        <w:numPr>
          <w:ilvl w:val="0"/>
          <w:numId w:val="25"/>
        </w:numPr>
        <w:spacing w:after="240"/>
      </w:pPr>
      <w:bookmarkStart w:id="127" w:name="_Toc179490365"/>
      <w:r w:rsidRPr="005026F3">
        <w:lastRenderedPageBreak/>
        <w:t xml:space="preserve">Medicines </w:t>
      </w:r>
      <w:r w:rsidR="005026F3" w:rsidRPr="005026F3">
        <w:t>U</w:t>
      </w:r>
      <w:r w:rsidRPr="005026F3">
        <w:t xml:space="preserve">sed in </w:t>
      </w:r>
      <w:r w:rsidR="005026F3" w:rsidRPr="005026F3">
        <w:t>E</w:t>
      </w:r>
      <w:r w:rsidRPr="005026F3">
        <w:t xml:space="preserve">ndocrine </w:t>
      </w:r>
      <w:r w:rsidR="005026F3" w:rsidRPr="005026F3">
        <w:t>D</w:t>
      </w:r>
      <w:r w:rsidRPr="005026F3">
        <w:t>isorders</w:t>
      </w:r>
      <w:bookmarkEnd w:id="127"/>
      <w:r w:rsidRPr="005026F3">
        <w:t xml:space="preserve"> </w:t>
      </w:r>
    </w:p>
    <w:p w14:paraId="2D83766A" w14:textId="77777777" w:rsidR="00D20CB2" w:rsidRDefault="00D20CB2" w:rsidP="00D20CB2">
      <w:pPr>
        <w:spacing w:after="0"/>
        <w:jc w:val="both"/>
        <w:rPr>
          <w:rFonts w:cs="Times New Roman"/>
          <w:szCs w:val="24"/>
        </w:rPr>
      </w:pPr>
      <w:r w:rsidRPr="00944B15">
        <w:rPr>
          <w:rFonts w:cs="Times New Roman"/>
          <w:szCs w:val="24"/>
        </w:rPr>
        <w:t xml:space="preserve">Maintaining </w:t>
      </w:r>
      <w:r w:rsidRPr="00B60796">
        <w:rPr>
          <w:rFonts w:cs="Times New Roman"/>
          <w:szCs w:val="24"/>
        </w:rPr>
        <w:t>Managing endocrine disorders involves medications targeting specific hormonal imbalances. Corticosteroids (e.g., betamethasone, dexamethasone, hydrocortisone, prednisolone) mimic cortisol to control inflammation, immune responses, and metabolism, essential for conditions like asthma, rheumatoid arthritis, and lupus. Fludrocortisone, mimicking aldosterone, is used for Addison’s disease to regulate sodium and water balance.</w:t>
      </w:r>
    </w:p>
    <w:p w14:paraId="27628418" w14:textId="77777777" w:rsidR="00D20CB2" w:rsidRDefault="00D20CB2" w:rsidP="00D20CB2">
      <w:pPr>
        <w:spacing w:before="240" w:after="0"/>
        <w:jc w:val="both"/>
        <w:rPr>
          <w:rFonts w:cs="Times New Roman"/>
          <w:szCs w:val="24"/>
        </w:rPr>
      </w:pPr>
      <w:r w:rsidRPr="00B60796">
        <w:rPr>
          <w:rFonts w:cs="Times New Roman"/>
          <w:szCs w:val="24"/>
        </w:rPr>
        <w:t>Thyroid and anti-thyroid medications manage metabolic disorders. Lugol’s solution, carbimazole, and propylthiouracil (PTU) treat hyperthyroidism by reducing thyroid hormone production, while levothyroxine treats hypothyroidism by restoring normal metabolism. Propranolol, a beta-blocker, alleviates hyperthyroidism symptoms.</w:t>
      </w:r>
    </w:p>
    <w:p w14:paraId="0972606B" w14:textId="77777777" w:rsidR="00D20CB2" w:rsidRDefault="00D20CB2" w:rsidP="00D20CB2">
      <w:pPr>
        <w:spacing w:before="240" w:after="0"/>
        <w:jc w:val="both"/>
        <w:rPr>
          <w:rFonts w:cs="Times New Roman"/>
          <w:szCs w:val="24"/>
        </w:rPr>
      </w:pPr>
      <w:r w:rsidRPr="00B60796">
        <w:rPr>
          <w:rFonts w:cs="Times New Roman"/>
          <w:szCs w:val="24"/>
        </w:rPr>
        <w:t>Diabetes management includes oral hypoglycemic agents like sulfonylureas (glibenclamide, gliclazide, glimepiride) to stimulate insulin secretion, metformin to enhance insulin sensitivity, and dapagliflozin to promote glucose excretion. Insulin therapy is essential for type 1 and advanced type 2 diabetes.</w:t>
      </w:r>
    </w:p>
    <w:p w14:paraId="03E9983B" w14:textId="77777777" w:rsidR="00D20CB2" w:rsidRPr="00944B15" w:rsidRDefault="00D20CB2" w:rsidP="00D20CB2">
      <w:pPr>
        <w:spacing w:before="240" w:after="0"/>
        <w:jc w:val="both"/>
        <w:rPr>
          <w:rFonts w:cs="Times New Roman"/>
          <w:szCs w:val="24"/>
        </w:rPr>
      </w:pPr>
      <w:r w:rsidRPr="00B60796">
        <w:rPr>
          <w:rFonts w:cs="Times New Roman"/>
          <w:szCs w:val="24"/>
        </w:rPr>
        <w:t>For hypoglycemia and pituitary disorders, glucagon injections rapidly increase blood sugar, while diazoxide prevents recurrent hypoglycemia. Dopamine agonists (bromocriptine, cabergoline) reduce prolactin secretion, treating prolactinomas by alleviating symptoms and reducing tumor size.</w:t>
      </w:r>
      <w:r w:rsidRPr="00944B15">
        <w:rPr>
          <w:rFonts w:cs="Times New Roman"/>
          <w:szCs w:val="24"/>
        </w:rPr>
        <w:t xml:space="preserve"> </w:t>
      </w:r>
    </w:p>
    <w:p w14:paraId="3381BB1E" w14:textId="77777777" w:rsidR="00D20CB2" w:rsidRPr="00FC2704" w:rsidRDefault="00D20CB2" w:rsidP="00FC2704">
      <w:pPr>
        <w:pStyle w:val="Heading2"/>
        <w:spacing w:before="240" w:after="240"/>
      </w:pPr>
      <w:bookmarkStart w:id="128" w:name="_Toc179490366"/>
      <w:r w:rsidRPr="00FC2704">
        <w:t>Corticosteroid preparations</w:t>
      </w:r>
      <w:bookmarkEnd w:id="128"/>
    </w:p>
    <w:p w14:paraId="12F443C5" w14:textId="77777777" w:rsidR="00D20CB2" w:rsidRPr="00944B15" w:rsidRDefault="00D20CB2" w:rsidP="00D20CB2">
      <w:pPr>
        <w:spacing w:after="0"/>
        <w:jc w:val="both"/>
        <w:rPr>
          <w:rFonts w:cs="Times New Roman"/>
          <w:szCs w:val="24"/>
        </w:rPr>
      </w:pPr>
      <w:r w:rsidRPr="00944B15">
        <w:rPr>
          <w:rFonts w:cs="Times New Roman"/>
          <w:szCs w:val="24"/>
        </w:rPr>
        <w:t>Corticosteroids</w:t>
      </w:r>
      <w:r w:rsidRPr="006914EA">
        <w:rPr>
          <w:rFonts w:cs="Times New Roman"/>
          <w:szCs w:val="24"/>
        </w:rPr>
        <w:t xml:space="preserve"> are vital for managing inflammatory, autoimmune conditions, and adrenal insufficiency. Commonly used corticosteroids include betamethasone, dexamethasone, hydrocortisone, methylprednisolone, prednisolone, and triamcinolone acetonide, available in various forms such as tablets and injections. These medications mimic cortisol, reducing inflammation, suppressing the immune system, and regulating metabolism by binding to glucocorticoid receptors. They are effective for conditions like asthma, rheumatoid arthritis, lupus, and inflammatory bowel disease. Fludrocortisone, which mimics aldosterone, is used in Addison’s disease to regulate sodium and water balance and maintain blood pressure.</w:t>
      </w:r>
    </w:p>
    <w:p w14:paraId="3FD89630" w14:textId="77777777" w:rsidR="00D20CB2" w:rsidRDefault="00D20CB2" w:rsidP="00D20CB2">
      <w:pPr>
        <w:spacing w:after="0"/>
        <w:jc w:val="both"/>
        <w:rPr>
          <w:rFonts w:cs="Times New Roman"/>
          <w:szCs w:val="24"/>
        </w:rPr>
      </w:pPr>
    </w:p>
    <w:p w14:paraId="73067D0F" w14:textId="77777777" w:rsidR="00D20CB2" w:rsidRPr="00944B15" w:rsidRDefault="00D20CB2" w:rsidP="00D20CB2">
      <w:pPr>
        <w:spacing w:after="0"/>
        <w:jc w:val="both"/>
        <w:rPr>
          <w:rFonts w:cs="Times New Roman"/>
          <w:szCs w:val="24"/>
        </w:rPr>
      </w:pPr>
    </w:p>
    <w:tbl>
      <w:tblPr>
        <w:tblStyle w:val="TableGrid"/>
        <w:tblW w:w="9355" w:type="dxa"/>
        <w:tblLook w:val="04A0" w:firstRow="1" w:lastRow="0" w:firstColumn="1" w:lastColumn="0" w:noHBand="0" w:noVBand="1"/>
      </w:tblPr>
      <w:tblGrid>
        <w:gridCol w:w="2695"/>
        <w:gridCol w:w="6660"/>
      </w:tblGrid>
      <w:tr w:rsidR="00D20CB2" w:rsidRPr="00B51149" w14:paraId="11735485" w14:textId="77777777" w:rsidTr="002D6DD7">
        <w:tc>
          <w:tcPr>
            <w:tcW w:w="9355" w:type="dxa"/>
            <w:gridSpan w:val="2"/>
          </w:tcPr>
          <w:p w14:paraId="5AF8AF8B" w14:textId="77777777" w:rsidR="00D20CB2" w:rsidRPr="00B51149" w:rsidRDefault="00D20CB2" w:rsidP="002D6DD7">
            <w:pPr>
              <w:rPr>
                <w:rFonts w:cs="Times New Roman"/>
                <w:b/>
                <w:bCs/>
                <w:szCs w:val="24"/>
              </w:rPr>
            </w:pPr>
            <w:bookmarkStart w:id="129" w:name="_Toc168316989"/>
            <w:r w:rsidRPr="00B51149">
              <w:rPr>
                <w:rFonts w:cs="Times New Roman"/>
                <w:b/>
                <w:bCs/>
                <w:szCs w:val="24"/>
              </w:rPr>
              <w:t>Betamethasone</w:t>
            </w:r>
            <w:bookmarkEnd w:id="129"/>
          </w:p>
        </w:tc>
      </w:tr>
      <w:tr w:rsidR="00D20CB2" w:rsidRPr="00B51149" w14:paraId="66AAE630" w14:textId="77777777" w:rsidTr="002D6DD7">
        <w:tc>
          <w:tcPr>
            <w:tcW w:w="2695" w:type="dxa"/>
          </w:tcPr>
          <w:p w14:paraId="107E30CF"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54233B68" w14:textId="77777777" w:rsidR="00D20CB2" w:rsidRPr="00B51149" w:rsidRDefault="00D20CB2" w:rsidP="002D6DD7">
            <w:pPr>
              <w:rPr>
                <w:rFonts w:cs="Times New Roman"/>
                <w:szCs w:val="24"/>
              </w:rPr>
            </w:pPr>
            <w:r w:rsidRPr="00B51149">
              <w:rPr>
                <w:rFonts w:cs="Times New Roman"/>
                <w:szCs w:val="24"/>
              </w:rPr>
              <w:t>Corticosteroid</w:t>
            </w:r>
          </w:p>
        </w:tc>
      </w:tr>
      <w:tr w:rsidR="00D20CB2" w:rsidRPr="00B51149" w14:paraId="6456BAAE" w14:textId="77777777" w:rsidTr="002D6DD7">
        <w:tc>
          <w:tcPr>
            <w:tcW w:w="2695" w:type="dxa"/>
          </w:tcPr>
          <w:p w14:paraId="454D9E5F"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4DC181AC" w14:textId="77777777" w:rsidR="00D20CB2" w:rsidRPr="00B51149" w:rsidRDefault="00D20CB2" w:rsidP="002D6DD7">
            <w:pPr>
              <w:rPr>
                <w:rFonts w:cs="Times New Roman"/>
                <w:szCs w:val="24"/>
              </w:rPr>
            </w:pPr>
            <w:r w:rsidRPr="00B51149">
              <w:rPr>
                <w:rFonts w:cs="Times New Roman"/>
                <w:szCs w:val="24"/>
              </w:rPr>
              <w:t>Oral Tablets: 0.5 mg, 0.6 mg</w:t>
            </w:r>
          </w:p>
          <w:p w14:paraId="13987130" w14:textId="77777777" w:rsidR="00D20CB2" w:rsidRPr="00B51149" w:rsidRDefault="00D20CB2" w:rsidP="002D6DD7">
            <w:pPr>
              <w:rPr>
                <w:rFonts w:cs="Times New Roman"/>
                <w:szCs w:val="24"/>
              </w:rPr>
            </w:pPr>
            <w:r w:rsidRPr="00B51149">
              <w:rPr>
                <w:rFonts w:cs="Times New Roman"/>
                <w:szCs w:val="24"/>
              </w:rPr>
              <w:t>Oral Solution: 0.6 mg/5 ml</w:t>
            </w:r>
          </w:p>
          <w:p w14:paraId="5A3AFFC6" w14:textId="77777777" w:rsidR="00D20CB2" w:rsidRPr="00B51149" w:rsidRDefault="00D20CB2" w:rsidP="002D6DD7">
            <w:pPr>
              <w:rPr>
                <w:rFonts w:cs="Times New Roman"/>
                <w:szCs w:val="24"/>
              </w:rPr>
            </w:pPr>
            <w:r w:rsidRPr="00B51149">
              <w:rPr>
                <w:rFonts w:cs="Times New Roman"/>
                <w:szCs w:val="24"/>
              </w:rPr>
              <w:t>Injection: 4 mg/ml, 6 mg/ml, 9 mg/ml</w:t>
            </w:r>
          </w:p>
          <w:p w14:paraId="247337C2" w14:textId="77777777" w:rsidR="00D20CB2" w:rsidRPr="00B51149" w:rsidRDefault="00D20CB2" w:rsidP="002D6DD7">
            <w:pPr>
              <w:rPr>
                <w:rFonts w:cs="Times New Roman"/>
                <w:szCs w:val="24"/>
              </w:rPr>
            </w:pPr>
            <w:r w:rsidRPr="00B51149">
              <w:rPr>
                <w:rFonts w:cs="Times New Roman"/>
                <w:szCs w:val="24"/>
              </w:rPr>
              <w:t>Topical Cream/Ointment: 0.05%, 0.1%</w:t>
            </w:r>
          </w:p>
          <w:p w14:paraId="732EC55F" w14:textId="77777777" w:rsidR="00D20CB2" w:rsidRPr="00B51149" w:rsidRDefault="00D20CB2" w:rsidP="002D6DD7">
            <w:pPr>
              <w:pStyle w:val="NormalWeb"/>
              <w:spacing w:before="0" w:beforeAutospacing="0" w:after="0" w:afterAutospacing="0" w:line="360" w:lineRule="auto"/>
              <w:rPr>
                <w:rFonts w:eastAsiaTheme="minorEastAsia"/>
                <w:color w:val="000000"/>
                <w:kern w:val="2"/>
                <w:lang w:eastAsia="ko-KR"/>
              </w:rPr>
            </w:pPr>
            <w:r w:rsidRPr="00B51149">
              <w:rPr>
                <w:rFonts w:eastAsiaTheme="minorEastAsia"/>
                <w:kern w:val="2"/>
                <w:lang w:eastAsia="ko-KR"/>
              </w:rPr>
              <w:t>Topical Lotion: 0.1%</w:t>
            </w:r>
          </w:p>
        </w:tc>
      </w:tr>
      <w:tr w:rsidR="00D20CB2" w:rsidRPr="00B51149" w14:paraId="66FA0E8F" w14:textId="77777777" w:rsidTr="002D6DD7">
        <w:tc>
          <w:tcPr>
            <w:tcW w:w="2695" w:type="dxa"/>
          </w:tcPr>
          <w:p w14:paraId="6E449813"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588AFC33" w14:textId="77777777" w:rsidR="00D20CB2" w:rsidRPr="00B51149" w:rsidRDefault="00D20CB2" w:rsidP="002D6DD7">
            <w:pPr>
              <w:jc w:val="both"/>
              <w:rPr>
                <w:rFonts w:cs="Times New Roman"/>
                <w:szCs w:val="24"/>
                <w:shd w:val="clear" w:color="auto" w:fill="FFFFFF"/>
              </w:rPr>
            </w:pPr>
            <w:r w:rsidRPr="00B51149">
              <w:rPr>
                <w:rFonts w:cs="Times New Roman"/>
                <w:szCs w:val="24"/>
              </w:rPr>
              <w:t>Adrenocortical insufficiency, hypersensitivity reactions including anaphylactic shock, inflammatory bowel disease, asthma, perineal trauma, joint inflammation, seborrheic dermatitis, allergic reactions, inflammatory conditions, autoimmune disorders, congenital adrenal hyperplasia, severe asthma, rheumatic disorders, dermatologic conditions, gastrointestinal disorders, respiratory diseases, shock, cerebral edema, organ transplantation, neoplastic diseases.</w:t>
            </w:r>
          </w:p>
        </w:tc>
      </w:tr>
      <w:tr w:rsidR="00D20CB2" w:rsidRPr="00B51149" w14:paraId="0E5922B5" w14:textId="77777777" w:rsidTr="002D6DD7">
        <w:tc>
          <w:tcPr>
            <w:tcW w:w="2695" w:type="dxa"/>
          </w:tcPr>
          <w:p w14:paraId="220D8295"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7B57408D" w14:textId="77777777" w:rsidR="00D20CB2" w:rsidRPr="00C27A54" w:rsidRDefault="00D20CB2" w:rsidP="002D6DD7">
            <w:pPr>
              <w:rPr>
                <w:rFonts w:cs="Times New Roman"/>
                <w:b/>
                <w:bCs/>
                <w:szCs w:val="24"/>
              </w:rPr>
            </w:pPr>
            <w:r w:rsidRPr="00C27A54">
              <w:rPr>
                <w:rFonts w:cs="Times New Roman"/>
                <w:b/>
                <w:bCs/>
                <w:szCs w:val="24"/>
              </w:rPr>
              <w:t xml:space="preserve">Adrenal </w:t>
            </w:r>
            <w:r w:rsidR="00FC2704">
              <w:rPr>
                <w:rFonts w:cs="Times New Roman"/>
                <w:b/>
                <w:bCs/>
                <w:szCs w:val="24"/>
              </w:rPr>
              <w:t>i</w:t>
            </w:r>
            <w:r w:rsidRPr="00C27A54">
              <w:rPr>
                <w:rFonts w:cs="Times New Roman"/>
                <w:b/>
                <w:bCs/>
                <w:szCs w:val="24"/>
              </w:rPr>
              <w:t>nsufficiency</w:t>
            </w:r>
            <w:r w:rsidR="00FC2704">
              <w:rPr>
                <w:rFonts w:cs="Times New Roman"/>
                <w:b/>
                <w:bCs/>
                <w:szCs w:val="24"/>
              </w:rPr>
              <w:t>:</w:t>
            </w:r>
          </w:p>
          <w:p w14:paraId="5D546ACA" w14:textId="77777777" w:rsidR="00D20CB2" w:rsidRPr="00C27A54" w:rsidRDefault="00D20CB2" w:rsidP="002D6DD7">
            <w:pPr>
              <w:rPr>
                <w:rFonts w:cs="Times New Roman"/>
                <w:szCs w:val="24"/>
              </w:rPr>
            </w:pPr>
            <w:r w:rsidRPr="00C27A54">
              <w:rPr>
                <w:rFonts w:cs="Times New Roman"/>
                <w:b/>
                <w:bCs/>
                <w:szCs w:val="24"/>
              </w:rPr>
              <w:t>Adult:</w:t>
            </w:r>
            <w:r w:rsidRPr="00C27A54">
              <w:rPr>
                <w:rFonts w:cs="Times New Roman"/>
                <w:szCs w:val="24"/>
              </w:rPr>
              <w:t xml:space="preserve"> Oral or IM, 0.6–7.2 mg/day in divided doses, depending on severity.</w:t>
            </w:r>
          </w:p>
          <w:p w14:paraId="0A91B41B" w14:textId="77777777" w:rsidR="00D20CB2" w:rsidRPr="00C27A54" w:rsidRDefault="00D20CB2" w:rsidP="002D6DD7">
            <w:pPr>
              <w:rPr>
                <w:rFonts w:cs="Times New Roman"/>
                <w:szCs w:val="24"/>
              </w:rPr>
            </w:pPr>
            <w:r w:rsidRPr="00C27A54">
              <w:rPr>
                <w:rFonts w:cs="Times New Roman"/>
                <w:b/>
                <w:bCs/>
                <w:szCs w:val="24"/>
              </w:rPr>
              <w:t>Child:</w:t>
            </w:r>
            <w:r w:rsidRPr="00C27A54">
              <w:rPr>
                <w:rFonts w:cs="Times New Roman"/>
                <w:szCs w:val="24"/>
              </w:rPr>
              <w:t xml:space="preserve"> 0.0175–0.25 mg/kg/day in divided doses, depending on severity and clinical response.</w:t>
            </w:r>
          </w:p>
          <w:p w14:paraId="12B738CB" w14:textId="77777777" w:rsidR="00D20CB2" w:rsidRPr="00C27A54" w:rsidRDefault="00D20CB2" w:rsidP="002D6DD7">
            <w:pPr>
              <w:rPr>
                <w:rFonts w:cs="Times New Roman"/>
                <w:b/>
                <w:bCs/>
                <w:szCs w:val="24"/>
              </w:rPr>
            </w:pPr>
            <w:r w:rsidRPr="00C27A54">
              <w:rPr>
                <w:rFonts w:cs="Times New Roman"/>
                <w:b/>
                <w:bCs/>
                <w:szCs w:val="24"/>
              </w:rPr>
              <w:t xml:space="preserve">Congenital </w:t>
            </w:r>
            <w:r w:rsidR="00FC2704">
              <w:rPr>
                <w:rFonts w:cs="Times New Roman"/>
                <w:b/>
                <w:bCs/>
                <w:szCs w:val="24"/>
              </w:rPr>
              <w:t>a</w:t>
            </w:r>
            <w:r w:rsidRPr="00C27A54">
              <w:rPr>
                <w:rFonts w:cs="Times New Roman"/>
                <w:b/>
                <w:bCs/>
                <w:szCs w:val="24"/>
              </w:rPr>
              <w:t xml:space="preserve">drenal </w:t>
            </w:r>
            <w:r w:rsidR="00FC2704">
              <w:rPr>
                <w:rFonts w:cs="Times New Roman"/>
                <w:b/>
                <w:bCs/>
                <w:szCs w:val="24"/>
              </w:rPr>
              <w:t>h</w:t>
            </w:r>
            <w:r w:rsidRPr="00C27A54">
              <w:rPr>
                <w:rFonts w:cs="Times New Roman"/>
                <w:b/>
                <w:bCs/>
                <w:szCs w:val="24"/>
              </w:rPr>
              <w:t>yperplasia</w:t>
            </w:r>
          </w:p>
          <w:p w14:paraId="1A0A7414" w14:textId="77777777" w:rsidR="00D20CB2" w:rsidRPr="00C27A54" w:rsidRDefault="00D20CB2" w:rsidP="002D6DD7">
            <w:pPr>
              <w:rPr>
                <w:rFonts w:cs="Times New Roman"/>
                <w:szCs w:val="24"/>
              </w:rPr>
            </w:pPr>
            <w:r w:rsidRPr="00C27A54">
              <w:rPr>
                <w:rFonts w:cs="Times New Roman"/>
                <w:b/>
                <w:bCs/>
                <w:szCs w:val="24"/>
              </w:rPr>
              <w:t>Adult:</w:t>
            </w:r>
            <w:r w:rsidRPr="00C27A54">
              <w:rPr>
                <w:rFonts w:cs="Times New Roman"/>
                <w:szCs w:val="24"/>
              </w:rPr>
              <w:t xml:space="preserve"> 0.6–7.2 mg/day, adjusted based on response.</w:t>
            </w:r>
          </w:p>
          <w:p w14:paraId="1E13DCD0" w14:textId="77777777" w:rsidR="00D20CB2" w:rsidRPr="00C27A54" w:rsidRDefault="00D20CB2" w:rsidP="002D6DD7">
            <w:pPr>
              <w:rPr>
                <w:rFonts w:cs="Times New Roman"/>
                <w:szCs w:val="24"/>
              </w:rPr>
            </w:pPr>
            <w:r w:rsidRPr="00C27A54">
              <w:rPr>
                <w:rFonts w:cs="Times New Roman"/>
                <w:b/>
                <w:bCs/>
                <w:szCs w:val="24"/>
              </w:rPr>
              <w:t>Child:</w:t>
            </w:r>
            <w:r w:rsidRPr="00C27A54">
              <w:rPr>
                <w:rFonts w:cs="Times New Roman"/>
                <w:szCs w:val="24"/>
              </w:rPr>
              <w:t xml:space="preserve"> 0.0175–0.25 mg/kg/day, adjusted based on response.</w:t>
            </w:r>
          </w:p>
          <w:p w14:paraId="7B0ADE37" w14:textId="77777777" w:rsidR="00D20CB2" w:rsidRPr="00C27A54" w:rsidRDefault="00D20CB2" w:rsidP="002D6DD7">
            <w:pPr>
              <w:rPr>
                <w:rFonts w:cs="Times New Roman"/>
                <w:b/>
                <w:bCs/>
                <w:szCs w:val="24"/>
              </w:rPr>
            </w:pPr>
            <w:r w:rsidRPr="00C27A54">
              <w:rPr>
                <w:rFonts w:cs="Times New Roman"/>
                <w:b/>
                <w:bCs/>
                <w:szCs w:val="24"/>
              </w:rPr>
              <w:t xml:space="preserve">Acute </w:t>
            </w:r>
            <w:r w:rsidR="00FC2704">
              <w:rPr>
                <w:rFonts w:cs="Times New Roman"/>
                <w:b/>
                <w:bCs/>
                <w:szCs w:val="24"/>
              </w:rPr>
              <w:t>a</w:t>
            </w:r>
            <w:r w:rsidRPr="00C27A54">
              <w:rPr>
                <w:rFonts w:cs="Times New Roman"/>
                <w:b/>
                <w:bCs/>
                <w:szCs w:val="24"/>
              </w:rPr>
              <w:t xml:space="preserve">drenal </w:t>
            </w:r>
            <w:r w:rsidR="00FC2704">
              <w:rPr>
                <w:rFonts w:cs="Times New Roman"/>
                <w:b/>
                <w:bCs/>
                <w:szCs w:val="24"/>
              </w:rPr>
              <w:t>c</w:t>
            </w:r>
            <w:r w:rsidRPr="00C27A54">
              <w:rPr>
                <w:rFonts w:cs="Times New Roman"/>
                <w:b/>
                <w:bCs/>
                <w:szCs w:val="24"/>
              </w:rPr>
              <w:t>risis</w:t>
            </w:r>
          </w:p>
          <w:p w14:paraId="6AFBEF32" w14:textId="77777777" w:rsidR="00D20CB2" w:rsidRPr="00C27A54" w:rsidRDefault="00D20CB2" w:rsidP="002D6DD7">
            <w:pPr>
              <w:rPr>
                <w:rFonts w:cs="Times New Roman"/>
                <w:szCs w:val="24"/>
              </w:rPr>
            </w:pPr>
            <w:r w:rsidRPr="00C27A54">
              <w:rPr>
                <w:rFonts w:cs="Times New Roman"/>
                <w:b/>
                <w:bCs/>
                <w:szCs w:val="24"/>
              </w:rPr>
              <w:t>Adult:</w:t>
            </w:r>
            <w:r w:rsidRPr="00C27A54">
              <w:rPr>
                <w:rFonts w:cs="Times New Roman"/>
                <w:szCs w:val="24"/>
              </w:rPr>
              <w:t xml:space="preserve"> IM or IV, 4–20 mg initially, followed by lower doses based on clinical response.</w:t>
            </w:r>
          </w:p>
          <w:p w14:paraId="5E143DE2" w14:textId="77777777" w:rsidR="00D20CB2" w:rsidRPr="00C27A54" w:rsidRDefault="00D20CB2" w:rsidP="002D6DD7">
            <w:pPr>
              <w:rPr>
                <w:rFonts w:cs="Times New Roman"/>
                <w:szCs w:val="24"/>
              </w:rPr>
            </w:pPr>
            <w:r w:rsidRPr="00C27A54">
              <w:rPr>
                <w:rFonts w:cs="Times New Roman"/>
                <w:b/>
                <w:bCs/>
                <w:szCs w:val="24"/>
              </w:rPr>
              <w:t>Child:</w:t>
            </w:r>
            <w:r w:rsidRPr="00C27A54">
              <w:rPr>
                <w:rFonts w:cs="Times New Roman"/>
                <w:szCs w:val="24"/>
              </w:rPr>
              <w:t xml:space="preserve"> Initial IV or IM dose, 0.025–0.1 mg/kg/day, followed by lower doses based on clinical response.</w:t>
            </w:r>
          </w:p>
          <w:p w14:paraId="4996F685" w14:textId="77777777" w:rsidR="00D20CB2" w:rsidRPr="00C27A54" w:rsidRDefault="00D20CB2" w:rsidP="002D6DD7">
            <w:pPr>
              <w:rPr>
                <w:rFonts w:cs="Times New Roman"/>
                <w:szCs w:val="24"/>
              </w:rPr>
            </w:pPr>
            <w:r w:rsidRPr="00C27A54">
              <w:rPr>
                <w:rFonts w:cs="Times New Roman"/>
                <w:szCs w:val="24"/>
              </w:rPr>
              <w:t xml:space="preserve">Maximum </w:t>
            </w:r>
            <w:r>
              <w:rPr>
                <w:rFonts w:cs="Times New Roman"/>
                <w:szCs w:val="24"/>
              </w:rPr>
              <w:t>d</w:t>
            </w:r>
            <w:r w:rsidRPr="00C27A54">
              <w:rPr>
                <w:rFonts w:cs="Times New Roman"/>
                <w:szCs w:val="24"/>
              </w:rPr>
              <w:t>ose</w:t>
            </w:r>
            <w:r>
              <w:rPr>
                <w:rFonts w:cs="Times New Roman"/>
                <w:szCs w:val="24"/>
              </w:rPr>
              <w:t xml:space="preserve">: </w:t>
            </w:r>
          </w:p>
          <w:p w14:paraId="3F7C29FA" w14:textId="77777777" w:rsidR="00D20CB2" w:rsidRPr="00C27A54" w:rsidRDefault="00D20CB2" w:rsidP="002D6DD7">
            <w:pPr>
              <w:rPr>
                <w:rFonts w:cs="Times New Roman"/>
                <w:szCs w:val="24"/>
              </w:rPr>
            </w:pPr>
            <w:r w:rsidRPr="0081287F">
              <w:rPr>
                <w:rFonts w:cs="Times New Roman"/>
                <w:b/>
                <w:bCs/>
                <w:szCs w:val="24"/>
              </w:rPr>
              <w:lastRenderedPageBreak/>
              <w:t>Adult: 7</w:t>
            </w:r>
            <w:r w:rsidRPr="00C27A54">
              <w:rPr>
                <w:rFonts w:cs="Times New Roman"/>
                <w:szCs w:val="24"/>
              </w:rPr>
              <w:t>.2 mg/day.</w:t>
            </w:r>
          </w:p>
          <w:p w14:paraId="1963379C" w14:textId="77777777" w:rsidR="00D20CB2" w:rsidRPr="00C27A54" w:rsidRDefault="00D20CB2" w:rsidP="002D6DD7">
            <w:pPr>
              <w:rPr>
                <w:rFonts w:cs="Times New Roman"/>
                <w:szCs w:val="24"/>
              </w:rPr>
            </w:pPr>
            <w:r w:rsidRPr="0081287F">
              <w:rPr>
                <w:rFonts w:cs="Times New Roman"/>
                <w:b/>
                <w:bCs/>
                <w:szCs w:val="24"/>
              </w:rPr>
              <w:t>Child:</w:t>
            </w:r>
            <w:r w:rsidRPr="00C27A54">
              <w:rPr>
                <w:rFonts w:cs="Times New Roman"/>
                <w:szCs w:val="24"/>
              </w:rPr>
              <w:t xml:space="preserve"> 0.25 mg/kg/day.</w:t>
            </w:r>
          </w:p>
        </w:tc>
      </w:tr>
      <w:tr w:rsidR="00D20CB2" w:rsidRPr="00B51149" w14:paraId="52DFFC43" w14:textId="77777777" w:rsidTr="002D6DD7">
        <w:tc>
          <w:tcPr>
            <w:tcW w:w="2695" w:type="dxa"/>
          </w:tcPr>
          <w:p w14:paraId="0C9534BA"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5314752C" w14:textId="77777777" w:rsidR="00D20CB2" w:rsidRPr="00B51149" w:rsidRDefault="00D20CB2" w:rsidP="002D6DD7">
            <w:pPr>
              <w:rPr>
                <w:rFonts w:cs="Times New Roman"/>
                <w:bCs/>
                <w:szCs w:val="24"/>
              </w:rPr>
            </w:pPr>
            <w:r w:rsidRPr="00B51149">
              <w:rPr>
                <w:rFonts w:cs="Times New Roman"/>
                <w:bCs/>
                <w:szCs w:val="24"/>
              </w:rPr>
              <w:t>Systemic infection (unless life-threatening specific antimicrobial therapy given); live virus vaccines</w:t>
            </w:r>
          </w:p>
        </w:tc>
      </w:tr>
      <w:tr w:rsidR="00D20CB2" w:rsidRPr="00B51149" w14:paraId="11BA4B59" w14:textId="77777777" w:rsidTr="002D6DD7">
        <w:tc>
          <w:tcPr>
            <w:tcW w:w="2695" w:type="dxa"/>
          </w:tcPr>
          <w:p w14:paraId="75DD8A07"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4F0519C4" w14:textId="77777777" w:rsidR="00D20CB2" w:rsidRPr="00B51149" w:rsidRDefault="00D20CB2" w:rsidP="002D6DD7">
            <w:pPr>
              <w:rPr>
                <w:rFonts w:cs="Times New Roman"/>
                <w:szCs w:val="24"/>
              </w:rPr>
            </w:pPr>
            <w:r w:rsidRPr="00B51149">
              <w:rPr>
                <w:rFonts w:cs="Times New Roman"/>
                <w:bCs/>
                <w:szCs w:val="24"/>
              </w:rPr>
              <w:t>Calcitriol, clioquinol, clotrimazole, fusidic acid, salicylic acid, neomycin</w:t>
            </w:r>
          </w:p>
        </w:tc>
      </w:tr>
      <w:tr w:rsidR="00D20CB2" w:rsidRPr="00B51149" w14:paraId="1C1F1285" w14:textId="77777777" w:rsidTr="002D6DD7">
        <w:tc>
          <w:tcPr>
            <w:tcW w:w="2695" w:type="dxa"/>
          </w:tcPr>
          <w:p w14:paraId="32E95253"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3C080E72" w14:textId="77777777" w:rsidR="00D20CB2" w:rsidRPr="00B51149" w:rsidRDefault="00D20CB2" w:rsidP="002D6DD7">
            <w:pPr>
              <w:rPr>
                <w:rFonts w:cs="Times New Roman"/>
                <w:bCs/>
                <w:szCs w:val="24"/>
              </w:rPr>
            </w:pPr>
            <w:r w:rsidRPr="00B51149">
              <w:rPr>
                <w:rFonts w:cs="Times New Roman"/>
                <w:bCs/>
                <w:szCs w:val="24"/>
              </w:rPr>
              <w:t>Hiccups, edema, myocardial rupture (following recent myocardial infarction), stevens-Johnson syndrome</w:t>
            </w:r>
          </w:p>
        </w:tc>
      </w:tr>
      <w:tr w:rsidR="00D20CB2" w:rsidRPr="00B51149" w14:paraId="473991E9" w14:textId="77777777" w:rsidTr="002D6DD7">
        <w:tc>
          <w:tcPr>
            <w:tcW w:w="2695" w:type="dxa"/>
          </w:tcPr>
          <w:p w14:paraId="6F162964"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403EE08F" w14:textId="77777777" w:rsidR="00D20CB2" w:rsidRPr="00B51149" w:rsidRDefault="00D20CB2" w:rsidP="002D6DD7">
            <w:pPr>
              <w:rPr>
                <w:rFonts w:cs="Times New Roman"/>
                <w:bCs/>
                <w:szCs w:val="24"/>
              </w:rPr>
            </w:pPr>
            <w:r w:rsidRPr="00B51149">
              <w:rPr>
                <w:rFonts w:cs="Times New Roman"/>
                <w:bCs/>
                <w:szCs w:val="24"/>
              </w:rPr>
              <w:t xml:space="preserve">Prolonged treatment, elderly, child and adolescents, pregnancy, lactation, </w:t>
            </w:r>
            <w:r w:rsidRPr="00B51149">
              <w:rPr>
                <w:rFonts w:cs="Times New Roman"/>
                <w:szCs w:val="24"/>
              </w:rPr>
              <w:t>d</w:t>
            </w:r>
            <w:r w:rsidRPr="00B51149">
              <w:rPr>
                <w:rFonts w:cs="Times New Roman"/>
                <w:bCs/>
                <w:szCs w:val="24"/>
              </w:rPr>
              <w:t>iabetes, hypertension, psychosis, osteoporosis, gastric ulceration</w:t>
            </w:r>
          </w:p>
        </w:tc>
      </w:tr>
      <w:tr w:rsidR="00D20CB2" w:rsidRPr="00B51149" w14:paraId="45D5D756" w14:textId="77777777" w:rsidTr="002D6DD7">
        <w:tc>
          <w:tcPr>
            <w:tcW w:w="2695" w:type="dxa"/>
          </w:tcPr>
          <w:p w14:paraId="069F67D2"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2C5EA467" w14:textId="77777777" w:rsidR="00D20CB2" w:rsidRPr="00B51149" w:rsidRDefault="00D20CB2" w:rsidP="002D6DD7">
            <w:pPr>
              <w:rPr>
                <w:rFonts w:cs="Times New Roman"/>
                <w:color w:val="FF0000"/>
                <w:szCs w:val="24"/>
              </w:rPr>
            </w:pPr>
            <w:r w:rsidRPr="00B51149">
              <w:rPr>
                <w:rFonts w:cs="Times New Roman"/>
                <w:szCs w:val="24"/>
                <w:shd w:val="clear" w:color="auto" w:fill="FFFFFF"/>
              </w:rPr>
              <w:t xml:space="preserve">Store </w:t>
            </w:r>
            <w:r>
              <w:rPr>
                <w:rFonts w:cs="Times New Roman"/>
                <w:szCs w:val="24"/>
                <w:shd w:val="clear" w:color="auto" w:fill="FFFFFF"/>
              </w:rPr>
              <w:t>below</w:t>
            </w:r>
            <w:r w:rsidRPr="00B51149">
              <w:rPr>
                <w:rFonts w:cs="Times New Roman"/>
                <w:szCs w:val="24"/>
                <w:shd w:val="clear" w:color="auto" w:fill="FFFFFF"/>
              </w:rPr>
              <w:t xml:space="preserve"> 30°C. Protect from light.</w:t>
            </w:r>
          </w:p>
        </w:tc>
      </w:tr>
      <w:tr w:rsidR="00D20CB2" w:rsidRPr="00B51149" w14:paraId="659C5254" w14:textId="77777777" w:rsidTr="002D6DD7">
        <w:tc>
          <w:tcPr>
            <w:tcW w:w="9355" w:type="dxa"/>
            <w:gridSpan w:val="2"/>
          </w:tcPr>
          <w:p w14:paraId="37B2E8DE" w14:textId="77777777" w:rsidR="00D20CB2" w:rsidRPr="00B51149" w:rsidRDefault="00D20CB2" w:rsidP="002D6DD7">
            <w:pPr>
              <w:rPr>
                <w:rFonts w:cs="Times New Roman"/>
                <w:b/>
                <w:bCs/>
                <w:szCs w:val="24"/>
              </w:rPr>
            </w:pPr>
            <w:bookmarkStart w:id="130" w:name="_Toc168316990"/>
            <w:r w:rsidRPr="00B51149">
              <w:rPr>
                <w:rFonts w:cs="Times New Roman"/>
                <w:b/>
                <w:bCs/>
                <w:szCs w:val="24"/>
              </w:rPr>
              <w:t>Dexamethasone</w:t>
            </w:r>
            <w:bookmarkEnd w:id="130"/>
          </w:p>
        </w:tc>
      </w:tr>
      <w:tr w:rsidR="00D20CB2" w:rsidRPr="00B51149" w14:paraId="60239D7F" w14:textId="77777777" w:rsidTr="002D6DD7">
        <w:tc>
          <w:tcPr>
            <w:tcW w:w="2695" w:type="dxa"/>
          </w:tcPr>
          <w:p w14:paraId="390F5DDF"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1D91096F" w14:textId="77777777" w:rsidR="00D20CB2" w:rsidRPr="00B51149" w:rsidRDefault="00D20CB2" w:rsidP="002D6DD7">
            <w:pPr>
              <w:rPr>
                <w:rFonts w:cs="Times New Roman"/>
                <w:szCs w:val="24"/>
              </w:rPr>
            </w:pPr>
            <w:r w:rsidRPr="00B51149">
              <w:rPr>
                <w:rFonts w:cs="Times New Roman"/>
                <w:szCs w:val="24"/>
              </w:rPr>
              <w:t xml:space="preserve">Corticosteroid </w:t>
            </w:r>
          </w:p>
        </w:tc>
      </w:tr>
      <w:tr w:rsidR="00D20CB2" w:rsidRPr="00B51149" w14:paraId="03557488" w14:textId="77777777" w:rsidTr="002D6DD7">
        <w:tc>
          <w:tcPr>
            <w:tcW w:w="2695" w:type="dxa"/>
          </w:tcPr>
          <w:p w14:paraId="515DF77D"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1CEC54E6" w14:textId="77777777" w:rsidR="00D20CB2" w:rsidRPr="00B51149" w:rsidRDefault="00D20CB2" w:rsidP="002D6DD7">
            <w:pPr>
              <w:rPr>
                <w:rFonts w:cs="Times New Roman"/>
                <w:szCs w:val="24"/>
                <w:lang w:val="sv-SE"/>
              </w:rPr>
            </w:pPr>
            <w:r w:rsidRPr="00B51149">
              <w:rPr>
                <w:rFonts w:cs="Times New Roman"/>
                <w:szCs w:val="24"/>
                <w:lang w:val="sv-SE"/>
              </w:rPr>
              <w:t>Oral Tablets: 0.5 mg, 0.75 mg, 1 mg, 1.5 mg, 2 mg, 4 mg, 6 mg</w:t>
            </w:r>
          </w:p>
          <w:p w14:paraId="3181B0E8" w14:textId="77777777" w:rsidR="00D20CB2" w:rsidRPr="00B51149" w:rsidRDefault="00D20CB2" w:rsidP="002D6DD7">
            <w:pPr>
              <w:rPr>
                <w:rFonts w:cs="Times New Roman"/>
                <w:szCs w:val="24"/>
              </w:rPr>
            </w:pPr>
            <w:r w:rsidRPr="00B51149">
              <w:rPr>
                <w:rFonts w:cs="Times New Roman"/>
                <w:szCs w:val="24"/>
              </w:rPr>
              <w:t>Oral Solution: 0.5 mg/5 ml, 1 mg/ml</w:t>
            </w:r>
          </w:p>
          <w:p w14:paraId="576C7458" w14:textId="77777777" w:rsidR="00D20CB2" w:rsidRPr="00B51149" w:rsidRDefault="00D20CB2" w:rsidP="002D6DD7">
            <w:pPr>
              <w:rPr>
                <w:rFonts w:cs="Times New Roman"/>
                <w:szCs w:val="24"/>
              </w:rPr>
            </w:pPr>
            <w:r w:rsidRPr="00B51149">
              <w:rPr>
                <w:rFonts w:cs="Times New Roman"/>
                <w:szCs w:val="24"/>
              </w:rPr>
              <w:t>Injection: 4 mg/ml, 10 mg/ml</w:t>
            </w:r>
          </w:p>
          <w:p w14:paraId="76B8396B" w14:textId="77777777" w:rsidR="00D20CB2" w:rsidRPr="00B51149" w:rsidRDefault="00D20CB2" w:rsidP="002D6DD7">
            <w:pPr>
              <w:rPr>
                <w:rFonts w:cs="Times New Roman"/>
                <w:szCs w:val="24"/>
              </w:rPr>
            </w:pPr>
            <w:r w:rsidRPr="00B51149">
              <w:rPr>
                <w:rFonts w:cs="Times New Roman"/>
                <w:szCs w:val="24"/>
              </w:rPr>
              <w:t>Ophthalmic Solution: 0.1%</w:t>
            </w:r>
          </w:p>
          <w:p w14:paraId="147FBBD4" w14:textId="77777777" w:rsidR="00D20CB2" w:rsidRPr="00B51149" w:rsidRDefault="00D20CB2" w:rsidP="002D6DD7">
            <w:pPr>
              <w:rPr>
                <w:rFonts w:cs="Times New Roman"/>
                <w:szCs w:val="24"/>
              </w:rPr>
            </w:pPr>
            <w:r w:rsidRPr="00B51149">
              <w:rPr>
                <w:rFonts w:cs="Times New Roman"/>
                <w:szCs w:val="24"/>
                <w:lang w:val="sv-SE"/>
              </w:rPr>
              <w:t>Topical Cream/Ointment: 0.05%, 0.1%</w:t>
            </w:r>
          </w:p>
        </w:tc>
      </w:tr>
      <w:tr w:rsidR="00D20CB2" w:rsidRPr="00B51149" w14:paraId="126B3459" w14:textId="77777777" w:rsidTr="002D6DD7">
        <w:tc>
          <w:tcPr>
            <w:tcW w:w="2695" w:type="dxa"/>
          </w:tcPr>
          <w:p w14:paraId="006447F2"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2228CDC8" w14:textId="77777777" w:rsidR="00D20CB2" w:rsidRPr="00B51149" w:rsidRDefault="00D20CB2" w:rsidP="002D6DD7">
            <w:pPr>
              <w:jc w:val="both"/>
              <w:rPr>
                <w:rFonts w:cs="Times New Roman"/>
                <w:color w:val="2F5496" w:themeColor="accent1" w:themeShade="BF"/>
                <w:szCs w:val="24"/>
              </w:rPr>
            </w:pPr>
            <w:r w:rsidRPr="00B51149">
              <w:rPr>
                <w:rFonts w:cs="Times New Roman"/>
                <w:szCs w:val="24"/>
              </w:rPr>
              <w:t>Adrenal insufficiency, congenital adrenal hyperplasia, acute adrenal crisis, suppression of ACTH secretion in Cushing's syndrome diagnosis, anti-inflammatory therapy for endocrine disorders.</w:t>
            </w:r>
          </w:p>
        </w:tc>
      </w:tr>
      <w:tr w:rsidR="00D20CB2" w:rsidRPr="00B51149" w14:paraId="6203E29E" w14:textId="77777777" w:rsidTr="002D6DD7">
        <w:tc>
          <w:tcPr>
            <w:tcW w:w="2695" w:type="dxa"/>
          </w:tcPr>
          <w:p w14:paraId="35C3EF28"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38BAAD8B" w14:textId="77777777" w:rsidR="00D20CB2" w:rsidRPr="00B51149" w:rsidRDefault="00D20CB2" w:rsidP="002D6DD7">
            <w:pPr>
              <w:rPr>
                <w:rFonts w:cs="Times New Roman"/>
                <w:b/>
                <w:bCs/>
                <w:color w:val="231F20"/>
                <w:szCs w:val="24"/>
              </w:rPr>
            </w:pPr>
            <w:r w:rsidRPr="00B51149">
              <w:rPr>
                <w:rFonts w:cs="Times New Roman"/>
                <w:b/>
                <w:bCs/>
                <w:color w:val="231F20"/>
                <w:szCs w:val="24"/>
              </w:rPr>
              <w:t>Adrenal insufficiency</w:t>
            </w:r>
            <w:r w:rsidR="00FC2704">
              <w:rPr>
                <w:rFonts w:cs="Times New Roman"/>
                <w:b/>
                <w:bCs/>
                <w:color w:val="231F20"/>
                <w:szCs w:val="24"/>
              </w:rPr>
              <w:t>:</w:t>
            </w:r>
          </w:p>
          <w:p w14:paraId="6CA0896E" w14:textId="77777777" w:rsidR="00D20CB2" w:rsidRPr="00B51149" w:rsidRDefault="00D20CB2" w:rsidP="002D6DD7">
            <w:pPr>
              <w:rPr>
                <w:rFonts w:cs="Times New Roman"/>
                <w:color w:val="231F20"/>
                <w:szCs w:val="24"/>
              </w:rPr>
            </w:pPr>
            <w:r w:rsidRPr="00D12059">
              <w:rPr>
                <w:rFonts w:cs="Times New Roman"/>
                <w:b/>
                <w:bCs/>
                <w:color w:val="231F20"/>
                <w:szCs w:val="24"/>
              </w:rPr>
              <w:t>Adult:</w:t>
            </w:r>
            <w:r w:rsidRPr="00B51149">
              <w:rPr>
                <w:rFonts w:cs="Times New Roman"/>
                <w:color w:val="231F20"/>
                <w:szCs w:val="24"/>
              </w:rPr>
              <w:t xml:space="preserve"> 0.5–9 mg/day orally or intramuscularly, divided based on the severity of the condition.</w:t>
            </w:r>
          </w:p>
          <w:p w14:paraId="65C53C4A" w14:textId="77777777" w:rsidR="00D20CB2" w:rsidRPr="00B51149" w:rsidRDefault="00D20CB2" w:rsidP="002D6DD7">
            <w:pPr>
              <w:jc w:val="both"/>
              <w:rPr>
                <w:rFonts w:cs="Times New Roman"/>
                <w:color w:val="231F20"/>
                <w:szCs w:val="24"/>
              </w:rPr>
            </w:pPr>
            <w:r w:rsidRPr="00D12059">
              <w:rPr>
                <w:rFonts w:cs="Times New Roman"/>
                <w:b/>
                <w:bCs/>
                <w:color w:val="231F20"/>
                <w:szCs w:val="24"/>
              </w:rPr>
              <w:t>Child:</w:t>
            </w:r>
            <w:r w:rsidRPr="00B51149">
              <w:rPr>
                <w:rFonts w:cs="Times New Roman"/>
                <w:color w:val="231F20"/>
                <w:szCs w:val="24"/>
              </w:rPr>
              <w:t xml:space="preserve"> 0.02–0.3 mg/kg/day orally or intramuscularly in divided doses, adjusted according to clinical response.</w:t>
            </w:r>
          </w:p>
          <w:p w14:paraId="5AA6E27C"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Congenital adrenal hyperplasia</w:t>
            </w:r>
            <w:r w:rsidR="00FC2704">
              <w:rPr>
                <w:rFonts w:cs="Times New Roman"/>
                <w:b/>
                <w:bCs/>
                <w:color w:val="231F20"/>
                <w:szCs w:val="24"/>
              </w:rPr>
              <w:t>:</w:t>
            </w:r>
          </w:p>
          <w:p w14:paraId="4F4B95B3" w14:textId="77777777" w:rsidR="00D20CB2" w:rsidRPr="00B51149" w:rsidRDefault="00D20CB2" w:rsidP="002D6DD7">
            <w:pPr>
              <w:jc w:val="both"/>
              <w:rPr>
                <w:rFonts w:cs="Times New Roman"/>
                <w:color w:val="231F20"/>
                <w:szCs w:val="24"/>
              </w:rPr>
            </w:pPr>
            <w:r w:rsidRPr="00D12059">
              <w:rPr>
                <w:rFonts w:cs="Times New Roman"/>
                <w:b/>
                <w:bCs/>
                <w:color w:val="231F20"/>
                <w:szCs w:val="24"/>
              </w:rPr>
              <w:t>Adult:</w:t>
            </w:r>
            <w:r w:rsidRPr="00B51149">
              <w:rPr>
                <w:rFonts w:cs="Times New Roman"/>
                <w:color w:val="231F20"/>
                <w:szCs w:val="24"/>
              </w:rPr>
              <w:t xml:space="preserve"> 0.5–9 mg/day orally or intramuscularly, adjusted based on clinical response.</w:t>
            </w:r>
          </w:p>
          <w:p w14:paraId="21BAC806" w14:textId="77777777" w:rsidR="00D20CB2" w:rsidRPr="00B51149" w:rsidRDefault="00D20CB2" w:rsidP="002D6DD7">
            <w:pPr>
              <w:jc w:val="both"/>
              <w:rPr>
                <w:rFonts w:cs="Times New Roman"/>
                <w:color w:val="231F20"/>
                <w:szCs w:val="24"/>
              </w:rPr>
            </w:pPr>
            <w:r w:rsidRPr="00D12059">
              <w:rPr>
                <w:rFonts w:cs="Times New Roman"/>
                <w:b/>
                <w:bCs/>
                <w:color w:val="231F20"/>
                <w:szCs w:val="24"/>
              </w:rPr>
              <w:lastRenderedPageBreak/>
              <w:t>Child:</w:t>
            </w:r>
            <w:r w:rsidRPr="00B51149">
              <w:rPr>
                <w:rFonts w:cs="Times New Roman"/>
                <w:color w:val="231F20"/>
                <w:szCs w:val="24"/>
              </w:rPr>
              <w:t xml:space="preserve"> 0.02–0.3 mg/kg/day orally or intramuscularly, adjusted according to clinical response.</w:t>
            </w:r>
          </w:p>
          <w:p w14:paraId="15985969"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Acute adrenal crisis</w:t>
            </w:r>
            <w:r w:rsidR="00FC2704">
              <w:rPr>
                <w:rFonts w:cs="Times New Roman"/>
                <w:b/>
                <w:bCs/>
                <w:color w:val="231F20"/>
                <w:szCs w:val="24"/>
              </w:rPr>
              <w:t>:</w:t>
            </w:r>
          </w:p>
          <w:p w14:paraId="10AAD2B6" w14:textId="77777777" w:rsidR="00D20CB2" w:rsidRPr="00B51149" w:rsidRDefault="00D20CB2" w:rsidP="002D6DD7">
            <w:pPr>
              <w:jc w:val="both"/>
              <w:rPr>
                <w:rFonts w:cs="Times New Roman"/>
                <w:color w:val="231F20"/>
                <w:szCs w:val="24"/>
              </w:rPr>
            </w:pPr>
            <w:r w:rsidRPr="00814241">
              <w:rPr>
                <w:rFonts w:cs="Times New Roman"/>
                <w:b/>
                <w:bCs/>
                <w:color w:val="231F20"/>
                <w:szCs w:val="24"/>
              </w:rPr>
              <w:t>Adult</w:t>
            </w:r>
            <w:r w:rsidRPr="00B51149">
              <w:rPr>
                <w:rFonts w:cs="Times New Roman"/>
                <w:color w:val="231F20"/>
                <w:szCs w:val="24"/>
              </w:rPr>
              <w:t xml:space="preserve">: 4–20 mg initially via </w:t>
            </w:r>
            <w:r>
              <w:rPr>
                <w:rFonts w:cs="Times New Roman"/>
                <w:color w:val="231F20"/>
                <w:szCs w:val="24"/>
              </w:rPr>
              <w:t>IV</w:t>
            </w:r>
            <w:r w:rsidRPr="00B51149">
              <w:rPr>
                <w:rFonts w:cs="Times New Roman"/>
                <w:color w:val="231F20"/>
                <w:szCs w:val="24"/>
              </w:rPr>
              <w:t xml:space="preserve"> or </w:t>
            </w:r>
            <w:r>
              <w:rPr>
                <w:rFonts w:cs="Times New Roman"/>
                <w:color w:val="231F20"/>
                <w:szCs w:val="24"/>
              </w:rPr>
              <w:t>IM</w:t>
            </w:r>
            <w:r w:rsidRPr="00B51149">
              <w:rPr>
                <w:rFonts w:cs="Times New Roman"/>
                <w:color w:val="231F20"/>
                <w:szCs w:val="24"/>
              </w:rPr>
              <w:t>, followed by maintenance doses based on clinical response.</w:t>
            </w:r>
          </w:p>
          <w:p w14:paraId="04624120" w14:textId="77777777" w:rsidR="00D20CB2" w:rsidRPr="00B51149" w:rsidRDefault="00D20CB2" w:rsidP="002D6DD7">
            <w:pPr>
              <w:jc w:val="both"/>
              <w:rPr>
                <w:rFonts w:cs="Times New Roman"/>
                <w:color w:val="231F20"/>
                <w:szCs w:val="24"/>
              </w:rPr>
            </w:pPr>
            <w:r w:rsidRPr="00814241">
              <w:rPr>
                <w:rFonts w:cs="Times New Roman"/>
                <w:b/>
                <w:bCs/>
                <w:color w:val="231F20"/>
                <w:szCs w:val="24"/>
              </w:rPr>
              <w:t>Child:</w:t>
            </w:r>
            <w:r w:rsidRPr="00B51149">
              <w:rPr>
                <w:rFonts w:cs="Times New Roman"/>
                <w:color w:val="231F20"/>
                <w:szCs w:val="24"/>
              </w:rPr>
              <w:t xml:space="preserve"> 0.05–0.2 mg/kg/day via </w:t>
            </w:r>
            <w:r>
              <w:rPr>
                <w:rFonts w:cs="Times New Roman"/>
                <w:color w:val="231F20"/>
                <w:szCs w:val="24"/>
              </w:rPr>
              <w:t>IV</w:t>
            </w:r>
            <w:r w:rsidRPr="00B51149">
              <w:rPr>
                <w:rFonts w:cs="Times New Roman"/>
                <w:color w:val="231F20"/>
                <w:szCs w:val="24"/>
              </w:rPr>
              <w:t xml:space="preserve"> or </w:t>
            </w:r>
            <w:r>
              <w:rPr>
                <w:rFonts w:cs="Times New Roman"/>
                <w:color w:val="231F20"/>
                <w:szCs w:val="24"/>
              </w:rPr>
              <w:t>IM</w:t>
            </w:r>
            <w:r w:rsidRPr="00B51149">
              <w:rPr>
                <w:rFonts w:cs="Times New Roman"/>
                <w:color w:val="231F20"/>
                <w:szCs w:val="24"/>
              </w:rPr>
              <w:t xml:space="preserve"> initially, followed by maintenance doses adjusted based on the patient's condition.</w:t>
            </w:r>
          </w:p>
          <w:p w14:paraId="48691428" w14:textId="77777777" w:rsidR="00D20CB2" w:rsidRPr="00814241" w:rsidRDefault="00D20CB2" w:rsidP="002D6DD7">
            <w:pPr>
              <w:jc w:val="both"/>
              <w:rPr>
                <w:rFonts w:cs="Times New Roman"/>
                <w:b/>
                <w:bCs/>
                <w:color w:val="231F20"/>
                <w:szCs w:val="24"/>
              </w:rPr>
            </w:pPr>
            <w:r w:rsidRPr="00814241">
              <w:rPr>
                <w:rFonts w:cs="Times New Roman"/>
                <w:b/>
                <w:bCs/>
                <w:color w:val="231F20"/>
                <w:szCs w:val="24"/>
              </w:rPr>
              <w:t>Maximum dose:</w:t>
            </w:r>
          </w:p>
          <w:p w14:paraId="023730D4" w14:textId="77777777" w:rsidR="00D20CB2" w:rsidRPr="00B51149" w:rsidRDefault="00D20CB2" w:rsidP="002D6DD7">
            <w:pPr>
              <w:jc w:val="both"/>
              <w:rPr>
                <w:rFonts w:cs="Times New Roman"/>
                <w:color w:val="231F20"/>
                <w:szCs w:val="24"/>
              </w:rPr>
            </w:pPr>
            <w:r w:rsidRPr="00814241">
              <w:rPr>
                <w:rFonts w:cs="Times New Roman"/>
                <w:b/>
                <w:bCs/>
                <w:color w:val="231F20"/>
                <w:szCs w:val="24"/>
              </w:rPr>
              <w:t>Adult</w:t>
            </w:r>
            <w:r w:rsidRPr="00B51149">
              <w:rPr>
                <w:rFonts w:cs="Times New Roman"/>
                <w:color w:val="231F20"/>
                <w:szCs w:val="24"/>
              </w:rPr>
              <w:t>: 9 mg/day</w:t>
            </w:r>
          </w:p>
          <w:p w14:paraId="1A58F6E1" w14:textId="77777777" w:rsidR="00D20CB2" w:rsidRPr="00B51149" w:rsidRDefault="00D20CB2" w:rsidP="002D6DD7">
            <w:pPr>
              <w:jc w:val="both"/>
              <w:rPr>
                <w:rFonts w:cs="Times New Roman"/>
                <w:color w:val="231F20"/>
                <w:szCs w:val="24"/>
              </w:rPr>
            </w:pPr>
            <w:r w:rsidRPr="00814241">
              <w:rPr>
                <w:rFonts w:cs="Times New Roman"/>
                <w:b/>
                <w:bCs/>
                <w:color w:val="231F20"/>
                <w:szCs w:val="24"/>
              </w:rPr>
              <w:t>Child:</w:t>
            </w:r>
            <w:r w:rsidRPr="00B51149">
              <w:rPr>
                <w:rFonts w:cs="Times New Roman"/>
                <w:color w:val="231F20"/>
                <w:szCs w:val="24"/>
              </w:rPr>
              <w:t xml:space="preserve"> 0.3 mg/kg/day</w:t>
            </w:r>
          </w:p>
        </w:tc>
      </w:tr>
      <w:tr w:rsidR="00D20CB2" w:rsidRPr="00B51149" w14:paraId="3E4752D9" w14:textId="77777777" w:rsidTr="002D6DD7">
        <w:tc>
          <w:tcPr>
            <w:tcW w:w="2695" w:type="dxa"/>
          </w:tcPr>
          <w:p w14:paraId="4A199FD0"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5414D54A" w14:textId="77777777" w:rsidR="00D20CB2" w:rsidRPr="00B51149" w:rsidRDefault="00D20CB2" w:rsidP="002D6DD7">
            <w:pPr>
              <w:jc w:val="both"/>
              <w:rPr>
                <w:rFonts w:cs="Times New Roman"/>
                <w:bCs/>
                <w:szCs w:val="24"/>
              </w:rPr>
            </w:pPr>
            <w:r w:rsidRPr="00B51149">
              <w:rPr>
                <w:rFonts w:cs="Times New Roman"/>
                <w:szCs w:val="24"/>
              </w:rPr>
              <w:t>Peptic ulcer, osteoporosis, psychoses, congestive heart failure, hypertension, diabetes mellitus, epilepsy, glaucoma, chickenpox, severe herpes zoster, ocular herpes simplex, chronic renal failure, uraemia in elderly persons, tuberculosis (except as adjuncts to treatment with tubercular drugs), live virus vaccines, pregnancy</w:t>
            </w:r>
          </w:p>
        </w:tc>
      </w:tr>
      <w:tr w:rsidR="00D20CB2" w:rsidRPr="00B51149" w14:paraId="7E5E0F40" w14:textId="77777777" w:rsidTr="002D6DD7">
        <w:tc>
          <w:tcPr>
            <w:tcW w:w="2695" w:type="dxa"/>
          </w:tcPr>
          <w:p w14:paraId="514215F0"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6F50807C" w14:textId="77777777" w:rsidR="00D20CB2" w:rsidRPr="00B51149" w:rsidRDefault="00D20CB2" w:rsidP="002D6DD7">
            <w:pPr>
              <w:jc w:val="both"/>
              <w:rPr>
                <w:rFonts w:cs="Times New Roman"/>
                <w:szCs w:val="24"/>
              </w:rPr>
            </w:pPr>
            <w:r w:rsidRPr="00B51149">
              <w:rPr>
                <w:rFonts w:cs="Times New Roman"/>
                <w:szCs w:val="24"/>
              </w:rPr>
              <w:t>Barbiturates, carbamazepine, phenytoin, primidone, rifampicin, potassium-depleting diuretics, anticoagulants, antidiabetics, antihypertensives, salicylates, antimuscarinics, somatotropin, somatrem, NSAIDs, carbenoxolone, chloroquine, hydroxychloroquine, mefloquine, antacids, activated charcoal, inhibitors of CYP3A4</w:t>
            </w:r>
          </w:p>
        </w:tc>
      </w:tr>
      <w:tr w:rsidR="00D20CB2" w:rsidRPr="00B51149" w14:paraId="38CDDF77" w14:textId="77777777" w:rsidTr="002D6DD7">
        <w:tc>
          <w:tcPr>
            <w:tcW w:w="2695" w:type="dxa"/>
          </w:tcPr>
          <w:p w14:paraId="797C1457"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282544D1" w14:textId="77777777" w:rsidR="00D20CB2" w:rsidRPr="00B51149" w:rsidRDefault="00D20CB2" w:rsidP="002D6DD7">
            <w:pPr>
              <w:jc w:val="both"/>
              <w:rPr>
                <w:rFonts w:cs="Times New Roman"/>
                <w:szCs w:val="24"/>
              </w:rPr>
            </w:pPr>
            <w:r w:rsidRPr="00B51149">
              <w:rPr>
                <w:rFonts w:cs="Times New Roman"/>
                <w:szCs w:val="24"/>
              </w:rPr>
              <w:t>Weight gain, fluid retention, hypertension, hyperglycemia, increased risk of infections, osteoporosis, muscle weakness, peptic ulcers, mood changes (e.g., depression, euphoria), adrenal suppression, delayed wound healing, glaucoma, cataracts.</w:t>
            </w:r>
          </w:p>
        </w:tc>
      </w:tr>
      <w:tr w:rsidR="00D20CB2" w:rsidRPr="00B51149" w14:paraId="5A5E799E" w14:textId="77777777" w:rsidTr="002D6DD7">
        <w:tc>
          <w:tcPr>
            <w:tcW w:w="2695" w:type="dxa"/>
          </w:tcPr>
          <w:p w14:paraId="4D02B464"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7BCF4A33" w14:textId="77777777" w:rsidR="00D20CB2" w:rsidRPr="00B51149" w:rsidRDefault="00D20CB2" w:rsidP="002D6DD7">
            <w:pPr>
              <w:jc w:val="both"/>
              <w:rPr>
                <w:rFonts w:cs="Times New Roman"/>
                <w:b/>
                <w:szCs w:val="24"/>
              </w:rPr>
            </w:pPr>
            <w:r w:rsidRPr="00B51149">
              <w:rPr>
                <w:rFonts w:cs="Times New Roman"/>
                <w:szCs w:val="24"/>
              </w:rPr>
              <w:t>Pre-existing hypertension, diabetes, heart failure, osteoporosis, history of peptic ulcers, increased risk of infections, psychiatric disorders, glaucoma, cataracts, adrenal suppression, active or latent tuberculosis, pregnancy, breastfeeding.</w:t>
            </w:r>
          </w:p>
        </w:tc>
      </w:tr>
      <w:tr w:rsidR="00D20CB2" w:rsidRPr="00B51149" w14:paraId="023E21EC" w14:textId="77777777" w:rsidTr="002D6DD7">
        <w:tc>
          <w:tcPr>
            <w:tcW w:w="2695" w:type="dxa"/>
          </w:tcPr>
          <w:p w14:paraId="756C7C3C"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5DE701D5" w14:textId="77777777" w:rsidR="00D20CB2" w:rsidRPr="00B51149" w:rsidRDefault="00D20CB2" w:rsidP="002D6DD7">
            <w:pPr>
              <w:rPr>
                <w:rFonts w:cs="Times New Roman"/>
                <w:color w:val="FF0000"/>
                <w:szCs w:val="24"/>
              </w:rPr>
            </w:pPr>
            <w:r w:rsidRPr="00B51149">
              <w:rPr>
                <w:rFonts w:cs="Times New Roman"/>
                <w:szCs w:val="24"/>
                <w:shd w:val="clear" w:color="auto" w:fill="FFFFFF"/>
              </w:rPr>
              <w:t>Store below 30°C.</w:t>
            </w:r>
          </w:p>
        </w:tc>
      </w:tr>
      <w:tr w:rsidR="00D20CB2" w:rsidRPr="00B51149" w14:paraId="5E8F1B48" w14:textId="77777777" w:rsidTr="002D6DD7">
        <w:tc>
          <w:tcPr>
            <w:tcW w:w="9355" w:type="dxa"/>
            <w:gridSpan w:val="2"/>
          </w:tcPr>
          <w:p w14:paraId="24A81089" w14:textId="77777777" w:rsidR="00D20CB2" w:rsidRPr="00B51149" w:rsidRDefault="00D20CB2" w:rsidP="002D6DD7">
            <w:pPr>
              <w:rPr>
                <w:rFonts w:cs="Times New Roman"/>
                <w:b/>
                <w:bCs/>
                <w:szCs w:val="24"/>
              </w:rPr>
            </w:pPr>
            <w:bookmarkStart w:id="131" w:name="_Toc168316992"/>
            <w:r w:rsidRPr="00B51149">
              <w:rPr>
                <w:rFonts w:cs="Times New Roman"/>
                <w:b/>
                <w:bCs/>
                <w:szCs w:val="24"/>
              </w:rPr>
              <w:t>Fludrocortisone</w:t>
            </w:r>
            <w:bookmarkEnd w:id="131"/>
          </w:p>
        </w:tc>
      </w:tr>
      <w:tr w:rsidR="00D20CB2" w:rsidRPr="00B51149" w14:paraId="28EAB3A8" w14:textId="77777777" w:rsidTr="002D6DD7">
        <w:tc>
          <w:tcPr>
            <w:tcW w:w="2695" w:type="dxa"/>
          </w:tcPr>
          <w:p w14:paraId="33167CE3" w14:textId="77777777" w:rsidR="00D20CB2" w:rsidRPr="00B51149" w:rsidRDefault="00D20CB2" w:rsidP="002D6DD7">
            <w:pPr>
              <w:rPr>
                <w:rFonts w:cs="Times New Roman"/>
                <w:szCs w:val="24"/>
              </w:rPr>
            </w:pPr>
            <w:r w:rsidRPr="00B51149">
              <w:rPr>
                <w:rFonts w:cs="Times New Roman"/>
                <w:szCs w:val="24"/>
              </w:rPr>
              <w:lastRenderedPageBreak/>
              <w:t xml:space="preserve">Pharmacological class </w:t>
            </w:r>
          </w:p>
        </w:tc>
        <w:tc>
          <w:tcPr>
            <w:tcW w:w="6660" w:type="dxa"/>
          </w:tcPr>
          <w:p w14:paraId="00C1E13E" w14:textId="77777777" w:rsidR="00D20CB2" w:rsidRPr="00B51149" w:rsidRDefault="00D20CB2" w:rsidP="002D6DD7">
            <w:pPr>
              <w:rPr>
                <w:rFonts w:cs="Times New Roman"/>
                <w:szCs w:val="24"/>
              </w:rPr>
            </w:pPr>
            <w:r w:rsidRPr="00B51149">
              <w:rPr>
                <w:rFonts w:cs="Times New Roman"/>
                <w:szCs w:val="24"/>
              </w:rPr>
              <w:t xml:space="preserve">Corticosteroid </w:t>
            </w:r>
          </w:p>
        </w:tc>
      </w:tr>
      <w:tr w:rsidR="00D20CB2" w:rsidRPr="00B51149" w14:paraId="645D6AEA" w14:textId="77777777" w:rsidTr="002D6DD7">
        <w:tc>
          <w:tcPr>
            <w:tcW w:w="2695" w:type="dxa"/>
          </w:tcPr>
          <w:p w14:paraId="4EFB0D59"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103BE218" w14:textId="77777777" w:rsidR="00D20CB2" w:rsidRPr="00B51149" w:rsidRDefault="00D20CB2" w:rsidP="002D6DD7">
            <w:pPr>
              <w:rPr>
                <w:rFonts w:cs="Times New Roman"/>
                <w:szCs w:val="24"/>
              </w:rPr>
            </w:pPr>
            <w:r w:rsidRPr="00B51149">
              <w:rPr>
                <w:rFonts w:cs="Times New Roman"/>
                <w:szCs w:val="24"/>
              </w:rPr>
              <w:t>Tablet: 0.1mg (acetate)</w:t>
            </w:r>
          </w:p>
        </w:tc>
      </w:tr>
      <w:tr w:rsidR="00D20CB2" w:rsidRPr="00B51149" w14:paraId="26D5075A" w14:textId="77777777" w:rsidTr="002D6DD7">
        <w:tc>
          <w:tcPr>
            <w:tcW w:w="2695" w:type="dxa"/>
          </w:tcPr>
          <w:p w14:paraId="6EDB75B0"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743EC33E" w14:textId="77777777" w:rsidR="00D20CB2" w:rsidRPr="00B51149" w:rsidRDefault="00D20CB2" w:rsidP="002D6DD7">
            <w:pPr>
              <w:rPr>
                <w:rFonts w:cs="Times New Roman"/>
                <w:szCs w:val="24"/>
              </w:rPr>
            </w:pPr>
            <w:r w:rsidRPr="00B51149">
              <w:rPr>
                <w:rFonts w:cs="Times New Roman"/>
                <w:szCs w:val="24"/>
              </w:rPr>
              <w:t>Adrenocortical insufficiency (Addison’s disease), congenital adrenal hyperplasia, orthostatic hypotension</w:t>
            </w:r>
          </w:p>
        </w:tc>
      </w:tr>
      <w:tr w:rsidR="00D20CB2" w:rsidRPr="00B51149" w14:paraId="3786933E" w14:textId="77777777" w:rsidTr="002D6DD7">
        <w:tc>
          <w:tcPr>
            <w:tcW w:w="2695" w:type="dxa"/>
          </w:tcPr>
          <w:p w14:paraId="5587DBD7"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5809A045" w14:textId="77777777" w:rsidR="00D20CB2" w:rsidRPr="00264522" w:rsidRDefault="00D20CB2" w:rsidP="002D6DD7">
            <w:pPr>
              <w:rPr>
                <w:rFonts w:cs="Times New Roman"/>
                <w:b/>
                <w:szCs w:val="24"/>
              </w:rPr>
            </w:pPr>
            <w:r w:rsidRPr="00264522">
              <w:rPr>
                <w:rFonts w:cs="Times New Roman"/>
                <w:b/>
                <w:szCs w:val="24"/>
              </w:rPr>
              <w:t xml:space="preserve">Adrenocortical </w:t>
            </w:r>
            <w:r w:rsidR="00DB52C7">
              <w:rPr>
                <w:rFonts w:cs="Times New Roman"/>
                <w:b/>
                <w:szCs w:val="24"/>
              </w:rPr>
              <w:t>i</w:t>
            </w:r>
            <w:r w:rsidRPr="00264522">
              <w:rPr>
                <w:rFonts w:cs="Times New Roman"/>
                <w:b/>
                <w:szCs w:val="24"/>
              </w:rPr>
              <w:t xml:space="preserve">nsufficiency (Addison's </w:t>
            </w:r>
            <w:r w:rsidR="00DB52C7">
              <w:rPr>
                <w:rFonts w:cs="Times New Roman"/>
                <w:b/>
                <w:szCs w:val="24"/>
              </w:rPr>
              <w:t>d</w:t>
            </w:r>
            <w:r w:rsidRPr="00264522">
              <w:rPr>
                <w:rFonts w:cs="Times New Roman"/>
                <w:b/>
                <w:szCs w:val="24"/>
              </w:rPr>
              <w:t>isease)</w:t>
            </w:r>
            <w:r w:rsidR="00DB52C7">
              <w:rPr>
                <w:rFonts w:cs="Times New Roman"/>
                <w:b/>
                <w:szCs w:val="24"/>
              </w:rPr>
              <w:t>:</w:t>
            </w:r>
          </w:p>
          <w:p w14:paraId="045656C1" w14:textId="77777777" w:rsidR="00D20CB2" w:rsidRPr="00264522" w:rsidRDefault="00D20CB2" w:rsidP="002D6DD7">
            <w:pPr>
              <w:rPr>
                <w:rFonts w:cs="Times New Roman"/>
                <w:b/>
                <w:szCs w:val="24"/>
              </w:rPr>
            </w:pPr>
            <w:r w:rsidRPr="00264522">
              <w:rPr>
                <w:rFonts w:cs="Times New Roman"/>
                <w:b/>
                <w:szCs w:val="24"/>
              </w:rPr>
              <w:t>Adult:</w:t>
            </w:r>
          </w:p>
          <w:p w14:paraId="7F4ADBDD" w14:textId="77777777" w:rsidR="00D20CB2" w:rsidRPr="00264522" w:rsidRDefault="00D20CB2" w:rsidP="002D6DD7">
            <w:pPr>
              <w:rPr>
                <w:rFonts w:cs="Times New Roman"/>
                <w:bCs/>
                <w:szCs w:val="24"/>
              </w:rPr>
            </w:pPr>
            <w:r w:rsidRPr="00264522">
              <w:rPr>
                <w:rFonts w:cs="Times New Roman"/>
                <w:bCs/>
                <w:szCs w:val="24"/>
              </w:rPr>
              <w:t>Oral: 0.05 mg to 0.2 mg per day.</w:t>
            </w:r>
          </w:p>
          <w:p w14:paraId="75E19E80" w14:textId="77777777" w:rsidR="00D20CB2" w:rsidRPr="00264522" w:rsidRDefault="00D20CB2" w:rsidP="002D6DD7">
            <w:pPr>
              <w:rPr>
                <w:rFonts w:cs="Times New Roman"/>
                <w:bCs/>
                <w:szCs w:val="24"/>
              </w:rPr>
            </w:pPr>
            <w:r w:rsidRPr="00264522">
              <w:rPr>
                <w:rFonts w:cs="Times New Roman"/>
                <w:bCs/>
                <w:szCs w:val="24"/>
              </w:rPr>
              <w:t>Injection: 1-2 mg IM or IV daily in divided doses based on severity.</w:t>
            </w:r>
          </w:p>
          <w:p w14:paraId="6B8A8005" w14:textId="77777777" w:rsidR="00D20CB2" w:rsidRPr="00264522" w:rsidRDefault="00D20CB2" w:rsidP="002D6DD7">
            <w:pPr>
              <w:rPr>
                <w:rFonts w:cs="Times New Roman"/>
                <w:bCs/>
                <w:szCs w:val="24"/>
              </w:rPr>
            </w:pPr>
            <w:r w:rsidRPr="00264522">
              <w:rPr>
                <w:rFonts w:cs="Times New Roman"/>
                <w:bCs/>
                <w:szCs w:val="24"/>
              </w:rPr>
              <w:t xml:space="preserve">Maintenance </w:t>
            </w:r>
            <w:r>
              <w:rPr>
                <w:rFonts w:cs="Times New Roman"/>
                <w:bCs/>
                <w:szCs w:val="24"/>
              </w:rPr>
              <w:t>d</w:t>
            </w:r>
            <w:r w:rsidRPr="00264522">
              <w:rPr>
                <w:rFonts w:cs="Times New Roman"/>
                <w:bCs/>
                <w:szCs w:val="24"/>
              </w:rPr>
              <w:t>ose: Adjust based on clinical response and electrolyte levels.</w:t>
            </w:r>
          </w:p>
          <w:p w14:paraId="3B5E32D5" w14:textId="77777777" w:rsidR="00D20CB2" w:rsidRPr="00264522" w:rsidRDefault="00D20CB2" w:rsidP="002D6DD7">
            <w:pPr>
              <w:rPr>
                <w:rFonts w:cs="Times New Roman"/>
                <w:b/>
                <w:szCs w:val="24"/>
              </w:rPr>
            </w:pPr>
            <w:r w:rsidRPr="00264522">
              <w:rPr>
                <w:rFonts w:cs="Times New Roman"/>
                <w:b/>
                <w:szCs w:val="24"/>
              </w:rPr>
              <w:t>Child:</w:t>
            </w:r>
          </w:p>
          <w:p w14:paraId="27D0E854" w14:textId="77777777" w:rsidR="00D20CB2" w:rsidRPr="00264522" w:rsidRDefault="00D20CB2" w:rsidP="002D6DD7">
            <w:pPr>
              <w:rPr>
                <w:rFonts w:cs="Times New Roman"/>
                <w:bCs/>
                <w:szCs w:val="24"/>
              </w:rPr>
            </w:pPr>
            <w:r w:rsidRPr="00264522">
              <w:rPr>
                <w:rFonts w:cs="Times New Roman"/>
                <w:bCs/>
                <w:szCs w:val="24"/>
              </w:rPr>
              <w:t>Oral: 0.05 mg to 0.2 mg per day.</w:t>
            </w:r>
          </w:p>
          <w:p w14:paraId="146D94EB" w14:textId="77777777" w:rsidR="00D20CB2" w:rsidRPr="00264522" w:rsidRDefault="00D20CB2" w:rsidP="002D6DD7">
            <w:pPr>
              <w:rPr>
                <w:rFonts w:cs="Times New Roman"/>
                <w:bCs/>
                <w:szCs w:val="24"/>
              </w:rPr>
            </w:pPr>
            <w:r w:rsidRPr="00264522">
              <w:rPr>
                <w:rFonts w:cs="Times New Roman"/>
                <w:bCs/>
                <w:szCs w:val="24"/>
              </w:rPr>
              <w:t>Injection: 0.05-0.2 mg/kg IM or IV daily in divided doses.</w:t>
            </w:r>
          </w:p>
          <w:p w14:paraId="4AF6A9E7" w14:textId="77777777" w:rsidR="00D20CB2" w:rsidRPr="00264522" w:rsidRDefault="00D20CB2" w:rsidP="002D6DD7">
            <w:pPr>
              <w:rPr>
                <w:rFonts w:cs="Times New Roman"/>
                <w:bCs/>
                <w:szCs w:val="24"/>
              </w:rPr>
            </w:pPr>
            <w:r w:rsidRPr="00264522">
              <w:rPr>
                <w:rFonts w:cs="Times New Roman"/>
                <w:bCs/>
                <w:szCs w:val="24"/>
              </w:rPr>
              <w:t xml:space="preserve">Maintenance </w:t>
            </w:r>
            <w:r>
              <w:rPr>
                <w:rFonts w:cs="Times New Roman"/>
                <w:bCs/>
                <w:szCs w:val="24"/>
              </w:rPr>
              <w:t>d</w:t>
            </w:r>
            <w:r w:rsidRPr="00264522">
              <w:rPr>
                <w:rFonts w:cs="Times New Roman"/>
                <w:bCs/>
                <w:szCs w:val="24"/>
              </w:rPr>
              <w:t>ose: Adjust based on clinical response and electrolyte levels.</w:t>
            </w:r>
          </w:p>
          <w:p w14:paraId="73E0D509" w14:textId="77777777" w:rsidR="00D20CB2" w:rsidRPr="00264522" w:rsidRDefault="00D20CB2" w:rsidP="002D6DD7">
            <w:pPr>
              <w:rPr>
                <w:rFonts w:cs="Times New Roman"/>
                <w:b/>
                <w:szCs w:val="24"/>
              </w:rPr>
            </w:pPr>
            <w:r w:rsidRPr="00264522">
              <w:rPr>
                <w:rFonts w:cs="Times New Roman"/>
                <w:b/>
                <w:szCs w:val="24"/>
              </w:rPr>
              <w:t xml:space="preserve">Congenital </w:t>
            </w:r>
            <w:r w:rsidR="00DB52C7">
              <w:rPr>
                <w:rFonts w:cs="Times New Roman"/>
                <w:b/>
                <w:szCs w:val="24"/>
              </w:rPr>
              <w:t>a</w:t>
            </w:r>
            <w:r w:rsidRPr="00264522">
              <w:rPr>
                <w:rFonts w:cs="Times New Roman"/>
                <w:b/>
                <w:szCs w:val="24"/>
              </w:rPr>
              <w:t xml:space="preserve">drenal </w:t>
            </w:r>
            <w:r w:rsidR="00DB52C7">
              <w:rPr>
                <w:rFonts w:cs="Times New Roman"/>
                <w:b/>
                <w:szCs w:val="24"/>
              </w:rPr>
              <w:t>h</w:t>
            </w:r>
            <w:r w:rsidRPr="00264522">
              <w:rPr>
                <w:rFonts w:cs="Times New Roman"/>
                <w:b/>
                <w:szCs w:val="24"/>
              </w:rPr>
              <w:t>yperplasia</w:t>
            </w:r>
            <w:r w:rsidR="00DB52C7">
              <w:rPr>
                <w:rFonts w:cs="Times New Roman"/>
                <w:b/>
                <w:szCs w:val="24"/>
              </w:rPr>
              <w:t>:</w:t>
            </w:r>
          </w:p>
          <w:p w14:paraId="1359BD79" w14:textId="77777777" w:rsidR="00D20CB2" w:rsidRPr="00264522" w:rsidRDefault="00D20CB2" w:rsidP="002D6DD7">
            <w:pPr>
              <w:rPr>
                <w:rFonts w:cs="Times New Roman"/>
                <w:b/>
                <w:szCs w:val="24"/>
              </w:rPr>
            </w:pPr>
            <w:r w:rsidRPr="00264522">
              <w:rPr>
                <w:rFonts w:cs="Times New Roman"/>
                <w:b/>
                <w:szCs w:val="24"/>
              </w:rPr>
              <w:t>Adult:</w:t>
            </w:r>
          </w:p>
          <w:p w14:paraId="74C68087" w14:textId="77777777" w:rsidR="00D20CB2" w:rsidRPr="00264522" w:rsidRDefault="00D20CB2" w:rsidP="002D6DD7">
            <w:pPr>
              <w:rPr>
                <w:rFonts w:cs="Times New Roman"/>
                <w:bCs/>
                <w:szCs w:val="24"/>
              </w:rPr>
            </w:pPr>
            <w:r w:rsidRPr="00264522">
              <w:rPr>
                <w:rFonts w:cs="Times New Roman"/>
                <w:bCs/>
                <w:szCs w:val="24"/>
              </w:rPr>
              <w:t>Oral: 0.05 mg to 0.2 mg per day.</w:t>
            </w:r>
          </w:p>
          <w:p w14:paraId="7E3DB65F" w14:textId="77777777" w:rsidR="00D20CB2" w:rsidRPr="00264522" w:rsidRDefault="00D20CB2" w:rsidP="002D6DD7">
            <w:pPr>
              <w:rPr>
                <w:rFonts w:cs="Times New Roman"/>
                <w:bCs/>
                <w:szCs w:val="24"/>
              </w:rPr>
            </w:pPr>
            <w:r w:rsidRPr="00264522">
              <w:rPr>
                <w:rFonts w:cs="Times New Roman"/>
                <w:bCs/>
                <w:szCs w:val="24"/>
              </w:rPr>
              <w:t>Injection: 1-2 mg IM or IV daily in divided doses based on response.</w:t>
            </w:r>
          </w:p>
          <w:p w14:paraId="208A5A1E" w14:textId="77777777" w:rsidR="00D20CB2" w:rsidRPr="00264522" w:rsidRDefault="00D20CB2" w:rsidP="002D6DD7">
            <w:pPr>
              <w:rPr>
                <w:rFonts w:cs="Times New Roman"/>
                <w:bCs/>
                <w:szCs w:val="24"/>
              </w:rPr>
            </w:pPr>
            <w:r w:rsidRPr="00264522">
              <w:rPr>
                <w:rFonts w:cs="Times New Roman"/>
                <w:bCs/>
                <w:szCs w:val="24"/>
              </w:rPr>
              <w:t xml:space="preserve">Maintenance </w:t>
            </w:r>
            <w:r>
              <w:rPr>
                <w:rFonts w:cs="Times New Roman"/>
                <w:bCs/>
                <w:szCs w:val="24"/>
              </w:rPr>
              <w:t>d</w:t>
            </w:r>
            <w:r w:rsidRPr="00264522">
              <w:rPr>
                <w:rFonts w:cs="Times New Roman"/>
                <w:bCs/>
                <w:szCs w:val="24"/>
              </w:rPr>
              <w:t>ose: Adjust based on clinical response and electrolyte levels.</w:t>
            </w:r>
          </w:p>
          <w:p w14:paraId="76AFF142" w14:textId="77777777" w:rsidR="00D20CB2" w:rsidRPr="00264522" w:rsidRDefault="00D20CB2" w:rsidP="002D6DD7">
            <w:pPr>
              <w:rPr>
                <w:rFonts w:cs="Times New Roman"/>
                <w:b/>
                <w:szCs w:val="24"/>
              </w:rPr>
            </w:pPr>
            <w:r w:rsidRPr="00264522">
              <w:rPr>
                <w:rFonts w:cs="Times New Roman"/>
                <w:b/>
                <w:szCs w:val="24"/>
              </w:rPr>
              <w:t>Child:</w:t>
            </w:r>
          </w:p>
          <w:p w14:paraId="56C7724D" w14:textId="77777777" w:rsidR="00D20CB2" w:rsidRPr="00264522" w:rsidRDefault="00D20CB2" w:rsidP="002D6DD7">
            <w:pPr>
              <w:rPr>
                <w:rFonts w:cs="Times New Roman"/>
                <w:bCs/>
                <w:szCs w:val="24"/>
              </w:rPr>
            </w:pPr>
            <w:r w:rsidRPr="00264522">
              <w:rPr>
                <w:rFonts w:cs="Times New Roman"/>
                <w:bCs/>
                <w:szCs w:val="24"/>
              </w:rPr>
              <w:t>Oral: 0.05 mg to 0.2 mg per day.</w:t>
            </w:r>
          </w:p>
          <w:p w14:paraId="3C78E198" w14:textId="77777777" w:rsidR="00D20CB2" w:rsidRPr="00264522" w:rsidRDefault="00D20CB2" w:rsidP="002D6DD7">
            <w:pPr>
              <w:rPr>
                <w:rFonts w:cs="Times New Roman"/>
                <w:bCs/>
                <w:szCs w:val="24"/>
              </w:rPr>
            </w:pPr>
            <w:r w:rsidRPr="00264522">
              <w:rPr>
                <w:rFonts w:cs="Times New Roman"/>
                <w:bCs/>
                <w:szCs w:val="24"/>
              </w:rPr>
              <w:t>Injection: 0.05-0.2 mg/kg IM or IV daily in divided doses.</w:t>
            </w:r>
          </w:p>
          <w:p w14:paraId="04735419" w14:textId="77777777" w:rsidR="00D20CB2" w:rsidRPr="00264522" w:rsidRDefault="00D20CB2" w:rsidP="002D6DD7">
            <w:pPr>
              <w:rPr>
                <w:rFonts w:cs="Times New Roman"/>
                <w:bCs/>
                <w:szCs w:val="24"/>
              </w:rPr>
            </w:pPr>
            <w:r w:rsidRPr="00264522">
              <w:rPr>
                <w:rFonts w:cs="Times New Roman"/>
                <w:bCs/>
                <w:szCs w:val="24"/>
              </w:rPr>
              <w:t xml:space="preserve">Maintenance </w:t>
            </w:r>
            <w:r>
              <w:rPr>
                <w:rFonts w:cs="Times New Roman"/>
                <w:bCs/>
                <w:szCs w:val="24"/>
              </w:rPr>
              <w:t>d</w:t>
            </w:r>
            <w:r w:rsidRPr="00264522">
              <w:rPr>
                <w:rFonts w:cs="Times New Roman"/>
                <w:bCs/>
                <w:szCs w:val="24"/>
              </w:rPr>
              <w:t>ose: Adjust based on clinical response and electrolyte levels.</w:t>
            </w:r>
          </w:p>
          <w:p w14:paraId="576DE852" w14:textId="77777777" w:rsidR="00D20CB2" w:rsidRPr="00264522" w:rsidRDefault="00D20CB2" w:rsidP="002D6DD7">
            <w:pPr>
              <w:rPr>
                <w:rFonts w:cs="Times New Roman"/>
                <w:b/>
                <w:szCs w:val="24"/>
              </w:rPr>
            </w:pPr>
            <w:r w:rsidRPr="00264522">
              <w:rPr>
                <w:rFonts w:cs="Times New Roman"/>
                <w:b/>
                <w:szCs w:val="24"/>
              </w:rPr>
              <w:t xml:space="preserve">Orthostatic </w:t>
            </w:r>
            <w:r w:rsidR="00DB52C7">
              <w:rPr>
                <w:rFonts w:cs="Times New Roman"/>
                <w:b/>
                <w:szCs w:val="24"/>
              </w:rPr>
              <w:t>h</w:t>
            </w:r>
            <w:r w:rsidRPr="00264522">
              <w:rPr>
                <w:rFonts w:cs="Times New Roman"/>
                <w:b/>
                <w:szCs w:val="24"/>
              </w:rPr>
              <w:t>ypotension</w:t>
            </w:r>
            <w:r w:rsidR="00DB52C7">
              <w:rPr>
                <w:rFonts w:cs="Times New Roman"/>
                <w:b/>
                <w:szCs w:val="24"/>
              </w:rPr>
              <w:t>:</w:t>
            </w:r>
          </w:p>
          <w:p w14:paraId="2E767632" w14:textId="77777777" w:rsidR="00D20CB2" w:rsidRPr="00264522" w:rsidRDefault="00D20CB2" w:rsidP="002D6DD7">
            <w:pPr>
              <w:rPr>
                <w:rFonts w:cs="Times New Roman"/>
                <w:b/>
                <w:szCs w:val="24"/>
              </w:rPr>
            </w:pPr>
            <w:r w:rsidRPr="00264522">
              <w:rPr>
                <w:rFonts w:cs="Times New Roman"/>
                <w:b/>
                <w:szCs w:val="24"/>
              </w:rPr>
              <w:t>Adult:</w:t>
            </w:r>
          </w:p>
          <w:p w14:paraId="11A11EEE" w14:textId="77777777" w:rsidR="00D20CB2" w:rsidRPr="00264522" w:rsidRDefault="00D20CB2" w:rsidP="002D6DD7">
            <w:pPr>
              <w:rPr>
                <w:rFonts w:cs="Times New Roman"/>
                <w:bCs/>
                <w:szCs w:val="24"/>
              </w:rPr>
            </w:pPr>
            <w:r w:rsidRPr="00264522">
              <w:rPr>
                <w:rFonts w:cs="Times New Roman"/>
                <w:bCs/>
                <w:szCs w:val="24"/>
              </w:rPr>
              <w:t>Oral: 0.1 mg to 0.2 mg per day.</w:t>
            </w:r>
          </w:p>
          <w:p w14:paraId="6D2C3DDD" w14:textId="77777777" w:rsidR="00D20CB2" w:rsidRPr="00264522" w:rsidRDefault="00D20CB2" w:rsidP="002D6DD7">
            <w:pPr>
              <w:rPr>
                <w:rFonts w:cs="Times New Roman"/>
                <w:bCs/>
                <w:szCs w:val="24"/>
              </w:rPr>
            </w:pPr>
            <w:r w:rsidRPr="00264522">
              <w:rPr>
                <w:rFonts w:cs="Times New Roman"/>
                <w:bCs/>
                <w:szCs w:val="24"/>
              </w:rPr>
              <w:lastRenderedPageBreak/>
              <w:t>Injection: 1-2 mg IM or IV in divided doses, as needed.</w:t>
            </w:r>
          </w:p>
          <w:p w14:paraId="554E4A55" w14:textId="77777777" w:rsidR="00D20CB2" w:rsidRPr="00264522" w:rsidRDefault="00D20CB2" w:rsidP="002D6DD7">
            <w:pPr>
              <w:rPr>
                <w:rFonts w:cs="Times New Roman"/>
                <w:bCs/>
                <w:szCs w:val="24"/>
              </w:rPr>
            </w:pPr>
            <w:r w:rsidRPr="00264522">
              <w:rPr>
                <w:rFonts w:cs="Times New Roman"/>
                <w:bCs/>
                <w:szCs w:val="24"/>
              </w:rPr>
              <w:t xml:space="preserve">Maintenance </w:t>
            </w:r>
            <w:r>
              <w:rPr>
                <w:rFonts w:cs="Times New Roman"/>
                <w:bCs/>
                <w:szCs w:val="24"/>
              </w:rPr>
              <w:t>d</w:t>
            </w:r>
            <w:r w:rsidRPr="00264522">
              <w:rPr>
                <w:rFonts w:cs="Times New Roman"/>
                <w:bCs/>
                <w:szCs w:val="24"/>
              </w:rPr>
              <w:t>ose: Adjust based on clinical response and blood pressure levels.</w:t>
            </w:r>
          </w:p>
        </w:tc>
      </w:tr>
      <w:tr w:rsidR="00D20CB2" w:rsidRPr="00B51149" w14:paraId="294C3EFA" w14:textId="77777777" w:rsidTr="002D6DD7">
        <w:tc>
          <w:tcPr>
            <w:tcW w:w="2695" w:type="dxa"/>
          </w:tcPr>
          <w:p w14:paraId="40CB8EBC"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5C2F9AA3" w14:textId="77777777" w:rsidR="00D20CB2" w:rsidRPr="00B51149" w:rsidRDefault="00D20CB2" w:rsidP="002D6DD7">
            <w:pPr>
              <w:jc w:val="both"/>
              <w:rPr>
                <w:rFonts w:cs="Times New Roman"/>
                <w:szCs w:val="24"/>
                <w:shd w:val="clear" w:color="auto" w:fill="FFFFFF"/>
              </w:rPr>
            </w:pPr>
            <w:r>
              <w:rPr>
                <w:rFonts w:cs="Times New Roman"/>
                <w:szCs w:val="24"/>
                <w:shd w:val="clear" w:color="auto" w:fill="FFFFFF"/>
              </w:rPr>
              <w:t>H</w:t>
            </w:r>
            <w:r w:rsidRPr="00B51149">
              <w:rPr>
                <w:rFonts w:cs="Times New Roman"/>
                <w:szCs w:val="24"/>
                <w:shd w:val="clear" w:color="auto" w:fill="FFFFFF"/>
              </w:rPr>
              <w:t xml:space="preserve">ypersensitivity to </w:t>
            </w:r>
            <w:r>
              <w:rPr>
                <w:rFonts w:cs="Times New Roman"/>
                <w:szCs w:val="24"/>
                <w:shd w:val="clear" w:color="auto" w:fill="FFFFFF"/>
              </w:rPr>
              <w:t>the drug</w:t>
            </w:r>
            <w:r w:rsidRPr="00B51149">
              <w:rPr>
                <w:rFonts w:cs="Times New Roman"/>
                <w:szCs w:val="24"/>
                <w:shd w:val="clear" w:color="auto" w:fill="FFFFFF"/>
              </w:rPr>
              <w:t xml:space="preserve">, congestive </w:t>
            </w:r>
            <w:r>
              <w:rPr>
                <w:rFonts w:cs="Times New Roman"/>
                <w:szCs w:val="24"/>
                <w:shd w:val="clear" w:color="auto" w:fill="FFFFFF"/>
              </w:rPr>
              <w:t>heart</w:t>
            </w:r>
            <w:r w:rsidRPr="00B51149">
              <w:rPr>
                <w:rFonts w:cs="Times New Roman"/>
                <w:szCs w:val="24"/>
                <w:shd w:val="clear" w:color="auto" w:fill="FFFFFF"/>
              </w:rPr>
              <w:t xml:space="preserve"> failure, systemic fungal infections.</w:t>
            </w:r>
          </w:p>
        </w:tc>
      </w:tr>
      <w:tr w:rsidR="00D20CB2" w:rsidRPr="00B51149" w14:paraId="645408E4" w14:textId="77777777" w:rsidTr="002D6DD7">
        <w:tc>
          <w:tcPr>
            <w:tcW w:w="2695" w:type="dxa"/>
          </w:tcPr>
          <w:p w14:paraId="6D18B58A"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67F95C3A" w14:textId="77777777" w:rsidR="00D20CB2" w:rsidRPr="00B51149" w:rsidRDefault="00D20CB2" w:rsidP="002D6DD7">
            <w:pPr>
              <w:rPr>
                <w:rFonts w:cs="Times New Roman"/>
                <w:szCs w:val="24"/>
              </w:rPr>
            </w:pPr>
            <w:r w:rsidRPr="00B51149">
              <w:rPr>
                <w:rFonts w:cs="Times New Roman"/>
                <w:szCs w:val="24"/>
              </w:rPr>
              <w:t xml:space="preserve">BCG, desmopressin, leflunomide, antacids, aprepitant, </w:t>
            </w:r>
            <w:r>
              <w:rPr>
                <w:rFonts w:cs="Times New Roman"/>
                <w:szCs w:val="24"/>
              </w:rPr>
              <w:t>m</w:t>
            </w:r>
            <w:r w:rsidRPr="00B51149">
              <w:rPr>
                <w:rFonts w:cs="Times New Roman"/>
                <w:szCs w:val="24"/>
              </w:rPr>
              <w:t>ifepristone, phenytoin, rifampicin, warfarin</w:t>
            </w:r>
          </w:p>
        </w:tc>
      </w:tr>
      <w:tr w:rsidR="00D20CB2" w:rsidRPr="00B51149" w14:paraId="6A4D46D0" w14:textId="77777777" w:rsidTr="002D6DD7">
        <w:tc>
          <w:tcPr>
            <w:tcW w:w="2695" w:type="dxa"/>
          </w:tcPr>
          <w:p w14:paraId="06E5FB48"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3FE5B493"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Sodium and water retention, edema, hypokalemia, hypertension, bruising, impaired wound healing, petechiae, drug-induced myopathy, muscle weakness, vertigo, headache, irregular periods, peptic ulcer disease, swollen abdomen.</w:t>
            </w:r>
          </w:p>
        </w:tc>
      </w:tr>
      <w:tr w:rsidR="00D20CB2" w:rsidRPr="00B51149" w14:paraId="07249A13" w14:textId="77777777" w:rsidTr="002D6DD7">
        <w:tc>
          <w:tcPr>
            <w:tcW w:w="2695" w:type="dxa"/>
          </w:tcPr>
          <w:p w14:paraId="31A28A7B"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43A76042" w14:textId="77777777" w:rsidR="00D20CB2" w:rsidRPr="00B51149" w:rsidRDefault="00D20CB2" w:rsidP="002D6DD7">
            <w:pPr>
              <w:jc w:val="both"/>
              <w:rPr>
                <w:rFonts w:cs="Times New Roman"/>
                <w:szCs w:val="24"/>
                <w:shd w:val="clear" w:color="auto" w:fill="FFFFFF"/>
              </w:rPr>
            </w:pPr>
            <w:r w:rsidRPr="00B51149">
              <w:rPr>
                <w:rFonts w:cs="Times New Roman"/>
                <w:szCs w:val="24"/>
                <w:shd w:val="clear" w:color="auto" w:fill="FFFFFF"/>
              </w:rPr>
              <w:t>Abrupt withdrawal, electrolyte imbalance, hypertension, diabetes, edema, renal impairment, seizure disorders, osteoporosis, active infections</w:t>
            </w:r>
          </w:p>
        </w:tc>
      </w:tr>
      <w:tr w:rsidR="00D20CB2" w:rsidRPr="00B51149" w14:paraId="4F8AEE8B" w14:textId="77777777" w:rsidTr="002D6DD7">
        <w:tc>
          <w:tcPr>
            <w:tcW w:w="2695" w:type="dxa"/>
          </w:tcPr>
          <w:p w14:paraId="22377311"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44461470" w14:textId="77777777" w:rsidR="00D20CB2" w:rsidRPr="00B51149" w:rsidRDefault="00D20CB2" w:rsidP="002D6DD7">
            <w:pPr>
              <w:rPr>
                <w:rFonts w:cs="Times New Roman"/>
                <w:color w:val="FF0000"/>
                <w:szCs w:val="24"/>
              </w:rPr>
            </w:pPr>
            <w:r w:rsidRPr="00B51149">
              <w:rPr>
                <w:rFonts w:cs="Times New Roman"/>
                <w:szCs w:val="24"/>
                <w:shd w:val="clear" w:color="auto" w:fill="FFFFFF"/>
              </w:rPr>
              <w:t>Store below 30°C.</w:t>
            </w:r>
          </w:p>
        </w:tc>
      </w:tr>
      <w:tr w:rsidR="00D20CB2" w:rsidRPr="00B51149" w14:paraId="0F3C7A2D" w14:textId="77777777" w:rsidTr="002D6DD7">
        <w:tc>
          <w:tcPr>
            <w:tcW w:w="9355" w:type="dxa"/>
            <w:gridSpan w:val="2"/>
          </w:tcPr>
          <w:p w14:paraId="1FEE2CE1" w14:textId="77777777" w:rsidR="00D20CB2" w:rsidRPr="00B51149" w:rsidRDefault="00D20CB2" w:rsidP="002D6DD7">
            <w:pPr>
              <w:rPr>
                <w:rFonts w:cs="Times New Roman"/>
                <w:b/>
                <w:bCs/>
                <w:szCs w:val="24"/>
              </w:rPr>
            </w:pPr>
            <w:bookmarkStart w:id="132" w:name="_Toc168316991"/>
            <w:r w:rsidRPr="00B51149">
              <w:rPr>
                <w:rFonts w:cs="Times New Roman"/>
                <w:b/>
                <w:bCs/>
                <w:szCs w:val="24"/>
                <w:lang w:val="it-IT"/>
              </w:rPr>
              <w:t>Hydrocortisone</w:t>
            </w:r>
            <w:bookmarkEnd w:id="132"/>
            <w:r w:rsidRPr="00B51149">
              <w:rPr>
                <w:rFonts w:cs="Times New Roman"/>
                <w:b/>
                <w:bCs/>
                <w:szCs w:val="24"/>
                <w:lang w:val="it-IT"/>
              </w:rPr>
              <w:t xml:space="preserve">    </w:t>
            </w:r>
          </w:p>
        </w:tc>
      </w:tr>
      <w:tr w:rsidR="00D20CB2" w:rsidRPr="00B51149" w14:paraId="3BBE7AFA" w14:textId="77777777" w:rsidTr="002D6DD7">
        <w:tc>
          <w:tcPr>
            <w:tcW w:w="2695" w:type="dxa"/>
          </w:tcPr>
          <w:p w14:paraId="1E27B9EF"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7514D864" w14:textId="77777777" w:rsidR="00D20CB2" w:rsidRPr="00B51149" w:rsidRDefault="00D20CB2" w:rsidP="002D6DD7">
            <w:pPr>
              <w:rPr>
                <w:rFonts w:cs="Times New Roman"/>
                <w:szCs w:val="24"/>
              </w:rPr>
            </w:pPr>
            <w:r w:rsidRPr="00B51149">
              <w:rPr>
                <w:rFonts w:cs="Times New Roman"/>
                <w:szCs w:val="24"/>
              </w:rPr>
              <w:t>Corticosteroid</w:t>
            </w:r>
          </w:p>
        </w:tc>
      </w:tr>
      <w:tr w:rsidR="00D20CB2" w:rsidRPr="00B51149" w14:paraId="3A68239C" w14:textId="77777777" w:rsidTr="002D6DD7">
        <w:tc>
          <w:tcPr>
            <w:tcW w:w="2695" w:type="dxa"/>
          </w:tcPr>
          <w:p w14:paraId="15808C09"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7F88E61F" w14:textId="77777777" w:rsidR="00D20CB2" w:rsidRPr="00B51149" w:rsidRDefault="00D20CB2" w:rsidP="002D6DD7">
            <w:pPr>
              <w:rPr>
                <w:rFonts w:cs="Times New Roman"/>
                <w:color w:val="000000"/>
                <w:szCs w:val="24"/>
                <w:lang w:val="it-IT"/>
              </w:rPr>
            </w:pPr>
            <w:r w:rsidRPr="00B51149">
              <w:rPr>
                <w:rFonts w:cs="Times New Roman"/>
                <w:color w:val="000000"/>
                <w:szCs w:val="24"/>
                <w:lang w:val="it-IT"/>
              </w:rPr>
              <w:t>Oral Tablets: 5 mg, 10 mg, 20 mg</w:t>
            </w:r>
          </w:p>
          <w:p w14:paraId="41F11D96" w14:textId="77777777" w:rsidR="00D20CB2" w:rsidRPr="00B51149" w:rsidRDefault="00D20CB2" w:rsidP="002D6DD7">
            <w:pPr>
              <w:rPr>
                <w:rFonts w:cs="Times New Roman"/>
                <w:color w:val="000000"/>
                <w:szCs w:val="24"/>
                <w:lang w:val="it-IT"/>
              </w:rPr>
            </w:pPr>
            <w:r w:rsidRPr="00B51149">
              <w:rPr>
                <w:rFonts w:cs="Times New Roman"/>
                <w:color w:val="000000"/>
                <w:szCs w:val="24"/>
                <w:lang w:val="it-IT"/>
              </w:rPr>
              <w:t>Oral Suspension: 5 mg/5 ml</w:t>
            </w:r>
          </w:p>
          <w:p w14:paraId="5A08D3BD" w14:textId="77777777" w:rsidR="00D20CB2" w:rsidRPr="00B51149" w:rsidRDefault="00D20CB2" w:rsidP="002D6DD7">
            <w:pPr>
              <w:rPr>
                <w:rFonts w:cs="Times New Roman"/>
                <w:color w:val="000000"/>
                <w:szCs w:val="24"/>
                <w:lang w:val="it-IT"/>
              </w:rPr>
            </w:pPr>
            <w:r w:rsidRPr="00B51149">
              <w:rPr>
                <w:rFonts w:cs="Times New Roman"/>
                <w:color w:val="000000"/>
                <w:szCs w:val="24"/>
                <w:lang w:val="it-IT"/>
              </w:rPr>
              <w:t>Injection: 100 mg/ml, 250 mg/ml, 500 mg/ml</w:t>
            </w:r>
          </w:p>
          <w:p w14:paraId="1FAFE81B" w14:textId="77777777" w:rsidR="00D20CB2" w:rsidRPr="00B51149" w:rsidRDefault="00D20CB2" w:rsidP="002D6DD7">
            <w:pPr>
              <w:rPr>
                <w:rFonts w:cs="Times New Roman"/>
                <w:color w:val="000000"/>
                <w:szCs w:val="24"/>
                <w:lang w:val="it-IT"/>
              </w:rPr>
            </w:pPr>
            <w:r w:rsidRPr="00B51149">
              <w:rPr>
                <w:rFonts w:cs="Times New Roman"/>
                <w:color w:val="000000"/>
                <w:szCs w:val="24"/>
                <w:lang w:val="it-IT"/>
              </w:rPr>
              <w:t>Topical Cream/Ointment: 0.5%, 1%, 2.5%</w:t>
            </w:r>
          </w:p>
        </w:tc>
      </w:tr>
      <w:tr w:rsidR="00D20CB2" w:rsidRPr="00B51149" w14:paraId="0BBFD4AD" w14:textId="77777777" w:rsidTr="002D6DD7">
        <w:tc>
          <w:tcPr>
            <w:tcW w:w="2695" w:type="dxa"/>
          </w:tcPr>
          <w:p w14:paraId="482ADC4E"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2F5284DD" w14:textId="77777777" w:rsidR="00D20CB2" w:rsidRPr="00B51149" w:rsidRDefault="00D20CB2" w:rsidP="002D6DD7">
            <w:pPr>
              <w:jc w:val="both"/>
              <w:rPr>
                <w:rFonts w:cs="Times New Roman"/>
                <w:iCs/>
                <w:szCs w:val="24"/>
              </w:rPr>
            </w:pPr>
            <w:r w:rsidRPr="00B51149">
              <w:rPr>
                <w:rFonts w:cs="Times New Roman"/>
                <w:iCs/>
                <w:szCs w:val="24"/>
              </w:rPr>
              <w:t>Adrenal insufficiency (primary and secondary), congenital adrenal hyperplasia, adrenal crisis.</w:t>
            </w:r>
          </w:p>
        </w:tc>
      </w:tr>
      <w:tr w:rsidR="00D20CB2" w:rsidRPr="00B51149" w14:paraId="3A5CAAA9" w14:textId="77777777" w:rsidTr="002D6DD7">
        <w:tc>
          <w:tcPr>
            <w:tcW w:w="2695" w:type="dxa"/>
          </w:tcPr>
          <w:p w14:paraId="594EA1C6"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38A11A39" w14:textId="77777777" w:rsidR="00D20CB2" w:rsidRPr="00F57E9E" w:rsidRDefault="00D20CB2" w:rsidP="002D6DD7">
            <w:pPr>
              <w:rPr>
                <w:rFonts w:cs="Times New Roman"/>
                <w:b/>
                <w:color w:val="231F20"/>
                <w:szCs w:val="24"/>
              </w:rPr>
            </w:pPr>
            <w:r w:rsidRPr="00F57E9E">
              <w:rPr>
                <w:rFonts w:cs="Times New Roman"/>
                <w:b/>
                <w:color w:val="231F20"/>
                <w:szCs w:val="24"/>
              </w:rPr>
              <w:t>Adrenal insufficiency (maintenance therapy)</w:t>
            </w:r>
            <w:r w:rsidR="00DB52C7">
              <w:rPr>
                <w:rFonts w:cs="Times New Roman"/>
                <w:b/>
                <w:color w:val="231F20"/>
                <w:szCs w:val="24"/>
              </w:rPr>
              <w:t>:</w:t>
            </w:r>
          </w:p>
          <w:p w14:paraId="1777C8C3"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15–30 mg/day orally in divided doses (2/3 in the morning and 1/3 in the afternoon).</w:t>
            </w:r>
            <w:r>
              <w:rPr>
                <w:rFonts w:cs="Times New Roman"/>
                <w:bCs/>
                <w:color w:val="231F20"/>
                <w:szCs w:val="24"/>
              </w:rPr>
              <w:t xml:space="preserve"> </w:t>
            </w:r>
          </w:p>
          <w:p w14:paraId="695DA253" w14:textId="77777777" w:rsidR="00D20CB2" w:rsidRPr="00F57E9E" w:rsidRDefault="00D20CB2" w:rsidP="002D6DD7">
            <w:pPr>
              <w:rPr>
                <w:rFonts w:cs="Times New Roman"/>
                <w:bCs/>
                <w:color w:val="231F20"/>
                <w:szCs w:val="24"/>
              </w:rPr>
            </w:pPr>
            <w:r w:rsidRPr="00F57E9E">
              <w:rPr>
                <w:rFonts w:cs="Times New Roman"/>
                <w:bCs/>
                <w:color w:val="231F20"/>
                <w:szCs w:val="24"/>
              </w:rPr>
              <w:t xml:space="preserve">Maximum </w:t>
            </w:r>
            <w:r>
              <w:rPr>
                <w:rFonts w:cs="Times New Roman"/>
                <w:bCs/>
                <w:color w:val="231F20"/>
                <w:szCs w:val="24"/>
              </w:rPr>
              <w:t>d</w:t>
            </w:r>
            <w:r w:rsidRPr="00F57E9E">
              <w:rPr>
                <w:rFonts w:cs="Times New Roman"/>
                <w:bCs/>
                <w:color w:val="231F20"/>
                <w:szCs w:val="24"/>
              </w:rPr>
              <w:t>ose: 40 mg/day.</w:t>
            </w:r>
          </w:p>
          <w:p w14:paraId="482940EA"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8–10 mg/m²/day orally in divided doses.</w:t>
            </w:r>
          </w:p>
          <w:p w14:paraId="71AC2706" w14:textId="77777777" w:rsidR="00D20CB2" w:rsidRPr="00F57E9E" w:rsidRDefault="00D20CB2" w:rsidP="002D6DD7">
            <w:pPr>
              <w:rPr>
                <w:rFonts w:cs="Times New Roman"/>
                <w:bCs/>
                <w:color w:val="231F20"/>
                <w:szCs w:val="24"/>
              </w:rPr>
            </w:pPr>
            <w:r w:rsidRPr="00F57E9E">
              <w:rPr>
                <w:rFonts w:cs="Times New Roman"/>
                <w:bCs/>
                <w:color w:val="231F20"/>
                <w:szCs w:val="24"/>
              </w:rPr>
              <w:t xml:space="preserve">Maximum </w:t>
            </w:r>
            <w:r>
              <w:rPr>
                <w:rFonts w:cs="Times New Roman"/>
                <w:bCs/>
                <w:color w:val="231F20"/>
                <w:szCs w:val="24"/>
              </w:rPr>
              <w:t>d</w:t>
            </w:r>
            <w:r w:rsidRPr="00F57E9E">
              <w:rPr>
                <w:rFonts w:cs="Times New Roman"/>
                <w:bCs/>
                <w:color w:val="231F20"/>
                <w:szCs w:val="24"/>
              </w:rPr>
              <w:t>ose: 15 mg/m²/day.</w:t>
            </w:r>
          </w:p>
          <w:p w14:paraId="7461FF19" w14:textId="77777777" w:rsidR="00D20CB2" w:rsidRPr="00F57E9E" w:rsidRDefault="00D20CB2" w:rsidP="002D6DD7">
            <w:pPr>
              <w:rPr>
                <w:rFonts w:cs="Times New Roman"/>
                <w:b/>
                <w:color w:val="231F20"/>
                <w:szCs w:val="24"/>
              </w:rPr>
            </w:pPr>
            <w:r w:rsidRPr="00F57E9E">
              <w:rPr>
                <w:rFonts w:cs="Times New Roman"/>
                <w:b/>
                <w:color w:val="231F20"/>
                <w:szCs w:val="24"/>
              </w:rPr>
              <w:t>Congenital adrenal hyperplasia</w:t>
            </w:r>
            <w:r w:rsidR="00DB52C7">
              <w:rPr>
                <w:rFonts w:cs="Times New Roman"/>
                <w:b/>
                <w:color w:val="231F20"/>
                <w:szCs w:val="24"/>
              </w:rPr>
              <w:t>:</w:t>
            </w:r>
          </w:p>
          <w:p w14:paraId="6E844DE7"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10–20 mg/m²/day orally in divided doses.</w:t>
            </w:r>
          </w:p>
          <w:p w14:paraId="64AD7F71" w14:textId="77777777" w:rsidR="00D20CB2" w:rsidRPr="00F57E9E" w:rsidRDefault="00D20CB2" w:rsidP="002D6DD7">
            <w:pPr>
              <w:rPr>
                <w:rFonts w:cs="Times New Roman"/>
                <w:bCs/>
                <w:color w:val="231F20"/>
                <w:szCs w:val="24"/>
              </w:rPr>
            </w:pPr>
            <w:r w:rsidRPr="00F57E9E">
              <w:rPr>
                <w:rFonts w:cs="Times New Roman"/>
                <w:bCs/>
                <w:color w:val="231F20"/>
                <w:szCs w:val="24"/>
              </w:rPr>
              <w:lastRenderedPageBreak/>
              <w:t xml:space="preserve">Maximum </w:t>
            </w:r>
            <w:r>
              <w:rPr>
                <w:rFonts w:cs="Times New Roman"/>
                <w:bCs/>
                <w:color w:val="231F20"/>
                <w:szCs w:val="24"/>
              </w:rPr>
              <w:t>d</w:t>
            </w:r>
            <w:r w:rsidRPr="00F57E9E">
              <w:rPr>
                <w:rFonts w:cs="Times New Roman"/>
                <w:bCs/>
                <w:color w:val="231F20"/>
                <w:szCs w:val="24"/>
              </w:rPr>
              <w:t>ose: 30 mg/m²/day.</w:t>
            </w:r>
          </w:p>
          <w:p w14:paraId="6EFEFADF"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10–20 mg/m²/day orally in divided doses.</w:t>
            </w:r>
          </w:p>
          <w:p w14:paraId="46EB41A2" w14:textId="77777777" w:rsidR="00D20CB2" w:rsidRPr="00F57E9E" w:rsidRDefault="00D20CB2" w:rsidP="002D6DD7">
            <w:pPr>
              <w:rPr>
                <w:rFonts w:cs="Times New Roman"/>
                <w:bCs/>
                <w:color w:val="231F20"/>
                <w:szCs w:val="24"/>
              </w:rPr>
            </w:pPr>
            <w:r w:rsidRPr="00F57E9E">
              <w:rPr>
                <w:rFonts w:cs="Times New Roman"/>
                <w:bCs/>
                <w:color w:val="231F20"/>
                <w:szCs w:val="24"/>
              </w:rPr>
              <w:t xml:space="preserve">Maximum </w:t>
            </w:r>
            <w:r>
              <w:rPr>
                <w:rFonts w:cs="Times New Roman"/>
                <w:bCs/>
                <w:color w:val="231F20"/>
                <w:szCs w:val="24"/>
              </w:rPr>
              <w:t>d</w:t>
            </w:r>
            <w:r w:rsidRPr="00F57E9E">
              <w:rPr>
                <w:rFonts w:cs="Times New Roman"/>
                <w:bCs/>
                <w:color w:val="231F20"/>
                <w:szCs w:val="24"/>
              </w:rPr>
              <w:t>ose: 25 mg/m²/day.</w:t>
            </w:r>
          </w:p>
          <w:p w14:paraId="4A41D12C" w14:textId="77777777" w:rsidR="00D20CB2" w:rsidRPr="00F57E9E" w:rsidRDefault="00D20CB2" w:rsidP="002D6DD7">
            <w:pPr>
              <w:rPr>
                <w:rFonts w:cs="Times New Roman"/>
                <w:b/>
                <w:color w:val="231F20"/>
                <w:szCs w:val="24"/>
              </w:rPr>
            </w:pPr>
            <w:r w:rsidRPr="00F57E9E">
              <w:rPr>
                <w:rFonts w:cs="Times New Roman"/>
                <w:b/>
                <w:color w:val="231F20"/>
                <w:szCs w:val="24"/>
              </w:rPr>
              <w:t>Adrenal crisis</w:t>
            </w:r>
          </w:p>
          <w:p w14:paraId="5A025F59"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100 mg IV every 6–8 hours.</w:t>
            </w:r>
          </w:p>
          <w:p w14:paraId="2810B56C" w14:textId="77777777" w:rsidR="00D20CB2" w:rsidRPr="00F57E9E" w:rsidRDefault="00D20CB2" w:rsidP="002D6DD7">
            <w:pPr>
              <w:rPr>
                <w:rFonts w:cs="Times New Roman"/>
                <w:bCs/>
                <w:color w:val="231F20"/>
                <w:szCs w:val="24"/>
              </w:rPr>
            </w:pPr>
            <w:r w:rsidRPr="00F57E9E">
              <w:rPr>
                <w:rFonts w:cs="Times New Roman"/>
                <w:bCs/>
                <w:color w:val="231F20"/>
                <w:szCs w:val="24"/>
              </w:rPr>
              <w:t xml:space="preserve">Maximum </w:t>
            </w:r>
            <w:r>
              <w:rPr>
                <w:rFonts w:cs="Times New Roman"/>
                <w:bCs/>
                <w:color w:val="231F20"/>
                <w:szCs w:val="24"/>
              </w:rPr>
              <w:t>d</w:t>
            </w:r>
            <w:r w:rsidRPr="00F57E9E">
              <w:rPr>
                <w:rFonts w:cs="Times New Roman"/>
                <w:bCs/>
                <w:color w:val="231F20"/>
                <w:szCs w:val="24"/>
              </w:rPr>
              <w:t>ose: 400 mg/day IV in emergencies.</w:t>
            </w:r>
          </w:p>
          <w:p w14:paraId="240CACC7"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1–2 mg/kg IV every 6–8 hours.</w:t>
            </w:r>
          </w:p>
          <w:p w14:paraId="154D1F25" w14:textId="77777777" w:rsidR="00D20CB2" w:rsidRPr="00F57E9E" w:rsidRDefault="00D20CB2" w:rsidP="002D6DD7">
            <w:pPr>
              <w:rPr>
                <w:rFonts w:cs="Times New Roman"/>
                <w:bCs/>
                <w:color w:val="231F20"/>
                <w:szCs w:val="24"/>
              </w:rPr>
            </w:pPr>
            <w:r w:rsidRPr="00F57E9E">
              <w:rPr>
                <w:rFonts w:cs="Times New Roman"/>
                <w:bCs/>
                <w:color w:val="231F20"/>
                <w:szCs w:val="24"/>
              </w:rPr>
              <w:t xml:space="preserve">Maximum </w:t>
            </w:r>
            <w:r>
              <w:rPr>
                <w:rFonts w:cs="Times New Roman"/>
                <w:bCs/>
                <w:color w:val="231F20"/>
                <w:szCs w:val="24"/>
              </w:rPr>
              <w:t>d</w:t>
            </w:r>
            <w:r w:rsidRPr="00F57E9E">
              <w:rPr>
                <w:rFonts w:cs="Times New Roman"/>
                <w:bCs/>
                <w:color w:val="231F20"/>
                <w:szCs w:val="24"/>
              </w:rPr>
              <w:t>ose: 6 mg/kg/day IV in emergencies.</w:t>
            </w:r>
          </w:p>
          <w:p w14:paraId="4AB0818B" w14:textId="77777777" w:rsidR="00D20CB2" w:rsidRPr="00F57E9E" w:rsidRDefault="00D20CB2" w:rsidP="002D6DD7">
            <w:pPr>
              <w:rPr>
                <w:rFonts w:cs="Times New Roman"/>
                <w:b/>
                <w:color w:val="231F20"/>
                <w:szCs w:val="24"/>
              </w:rPr>
            </w:pPr>
            <w:r w:rsidRPr="00F57E9E">
              <w:rPr>
                <w:rFonts w:cs="Times New Roman"/>
                <w:b/>
                <w:color w:val="231F20"/>
                <w:szCs w:val="24"/>
              </w:rPr>
              <w:t>Secondary adrenal insufficiency</w:t>
            </w:r>
            <w:r w:rsidR="00DB52C7">
              <w:rPr>
                <w:rFonts w:cs="Times New Roman"/>
                <w:b/>
                <w:color w:val="231F20"/>
                <w:szCs w:val="24"/>
              </w:rPr>
              <w:t>:</w:t>
            </w:r>
          </w:p>
          <w:p w14:paraId="706686B0"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15–30 mg/day orally in divided doses (2/3 in the morning and 1/3 in the afternoon).</w:t>
            </w:r>
          </w:p>
          <w:p w14:paraId="2849FBEF"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8–10 mg/m²/day orally in divided doses.</w:t>
            </w:r>
          </w:p>
          <w:p w14:paraId="3952CC2D" w14:textId="77777777" w:rsidR="00D20CB2" w:rsidRPr="00F57E9E" w:rsidRDefault="00D20CB2" w:rsidP="002D6DD7">
            <w:pPr>
              <w:rPr>
                <w:rFonts w:cs="Times New Roman"/>
                <w:b/>
                <w:color w:val="231F20"/>
                <w:szCs w:val="24"/>
              </w:rPr>
            </w:pPr>
            <w:r w:rsidRPr="00F57E9E">
              <w:rPr>
                <w:rFonts w:cs="Times New Roman"/>
                <w:b/>
                <w:color w:val="231F20"/>
                <w:szCs w:val="24"/>
              </w:rPr>
              <w:t>Thyroid storm</w:t>
            </w:r>
            <w:r w:rsidR="00DB52C7">
              <w:rPr>
                <w:rFonts w:cs="Times New Roman"/>
                <w:b/>
                <w:color w:val="231F20"/>
                <w:szCs w:val="24"/>
              </w:rPr>
              <w:t>:</w:t>
            </w:r>
          </w:p>
          <w:p w14:paraId="386FB7B6"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100 mg IV every 8 hours until improvement, then taper.</w:t>
            </w:r>
          </w:p>
          <w:p w14:paraId="30E78108"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1–2 mg/kg IV every 8 hours until improvement, then taper.</w:t>
            </w:r>
          </w:p>
          <w:p w14:paraId="3C4DE76C" w14:textId="77777777" w:rsidR="00D20CB2" w:rsidRPr="00F57E9E" w:rsidRDefault="00D20CB2" w:rsidP="002D6DD7">
            <w:pPr>
              <w:rPr>
                <w:rFonts w:cs="Times New Roman"/>
                <w:b/>
                <w:color w:val="231F20"/>
                <w:szCs w:val="24"/>
              </w:rPr>
            </w:pPr>
            <w:r w:rsidRPr="00F57E9E">
              <w:rPr>
                <w:rFonts w:cs="Times New Roman"/>
                <w:b/>
                <w:color w:val="231F20"/>
                <w:szCs w:val="24"/>
              </w:rPr>
              <w:t>Hypopituitarism</w:t>
            </w:r>
            <w:r w:rsidR="00DB52C7">
              <w:rPr>
                <w:rFonts w:cs="Times New Roman"/>
                <w:b/>
                <w:color w:val="231F20"/>
                <w:szCs w:val="24"/>
              </w:rPr>
              <w:t>:</w:t>
            </w:r>
          </w:p>
          <w:p w14:paraId="13B3FA12"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15–30 mg/day orally in divided doses (2/3 in the morning and 1/3 in the afternoon).</w:t>
            </w:r>
          </w:p>
          <w:p w14:paraId="7A8D443A"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8–10 mg/m²/day orally in divided doses.</w:t>
            </w:r>
          </w:p>
          <w:p w14:paraId="187F4E0C" w14:textId="77777777" w:rsidR="00D20CB2" w:rsidRPr="00F57E9E" w:rsidRDefault="00D20CB2" w:rsidP="002D6DD7">
            <w:pPr>
              <w:rPr>
                <w:rFonts w:cs="Times New Roman"/>
                <w:b/>
                <w:color w:val="231F20"/>
                <w:szCs w:val="24"/>
              </w:rPr>
            </w:pPr>
            <w:r w:rsidRPr="00F57E9E">
              <w:rPr>
                <w:rFonts w:cs="Times New Roman"/>
                <w:b/>
                <w:color w:val="231F20"/>
                <w:szCs w:val="24"/>
              </w:rPr>
              <w:t>Adrenalectomy (pre- and postoperative management)</w:t>
            </w:r>
            <w:r w:rsidR="00DB52C7">
              <w:rPr>
                <w:rFonts w:cs="Times New Roman"/>
                <w:b/>
                <w:color w:val="231F20"/>
                <w:szCs w:val="24"/>
              </w:rPr>
              <w:t>:</w:t>
            </w:r>
          </w:p>
          <w:p w14:paraId="66E1E844" w14:textId="77777777" w:rsidR="00D20CB2" w:rsidRPr="00F57E9E" w:rsidRDefault="00D20CB2" w:rsidP="002D6DD7">
            <w:pPr>
              <w:rPr>
                <w:rFonts w:cs="Times New Roman"/>
                <w:bCs/>
                <w:color w:val="231F20"/>
                <w:szCs w:val="24"/>
              </w:rPr>
            </w:pPr>
            <w:r w:rsidRPr="00F57E9E">
              <w:rPr>
                <w:rFonts w:cs="Times New Roman"/>
                <w:b/>
                <w:color w:val="231F20"/>
                <w:szCs w:val="24"/>
              </w:rPr>
              <w:t>Adult:</w:t>
            </w:r>
            <w:r w:rsidRPr="00F57E9E">
              <w:rPr>
                <w:rFonts w:cs="Times New Roman"/>
                <w:bCs/>
                <w:color w:val="231F20"/>
                <w:szCs w:val="24"/>
              </w:rPr>
              <w:t xml:space="preserve"> 100 mg IV every 6–8 hours during and after surgery, then taper gradually.</w:t>
            </w:r>
          </w:p>
          <w:p w14:paraId="0398649B" w14:textId="77777777" w:rsidR="00D20CB2" w:rsidRPr="00F57E9E" w:rsidRDefault="00D20CB2" w:rsidP="002D6DD7">
            <w:pPr>
              <w:rPr>
                <w:rFonts w:cs="Times New Roman"/>
                <w:bCs/>
                <w:color w:val="231F20"/>
                <w:szCs w:val="24"/>
              </w:rPr>
            </w:pPr>
            <w:r w:rsidRPr="00F57E9E">
              <w:rPr>
                <w:rFonts w:cs="Times New Roman"/>
                <w:b/>
                <w:color w:val="231F20"/>
                <w:szCs w:val="24"/>
              </w:rPr>
              <w:t>Child:</w:t>
            </w:r>
            <w:r w:rsidRPr="00F57E9E">
              <w:rPr>
                <w:rFonts w:cs="Times New Roman"/>
                <w:bCs/>
                <w:color w:val="231F20"/>
                <w:szCs w:val="24"/>
              </w:rPr>
              <w:t xml:space="preserve"> 1–2 mg/kg IV every 6–8 hours, taper gradually post-surgery.</w:t>
            </w:r>
          </w:p>
          <w:p w14:paraId="08583101" w14:textId="77777777" w:rsidR="00D20CB2" w:rsidRPr="00552B4D" w:rsidRDefault="00D20CB2" w:rsidP="002D6DD7">
            <w:pPr>
              <w:rPr>
                <w:rFonts w:cs="Times New Roman"/>
                <w:bCs/>
                <w:i/>
                <w:iCs/>
                <w:color w:val="231F20"/>
                <w:szCs w:val="24"/>
              </w:rPr>
            </w:pPr>
            <w:r w:rsidRPr="00DB52C7">
              <w:rPr>
                <w:rFonts w:cs="Times New Roman"/>
                <w:i/>
                <w:iCs/>
                <w:color w:val="231F20"/>
                <w:szCs w:val="24"/>
              </w:rPr>
              <w:t>Note:</w:t>
            </w:r>
            <w:r w:rsidRPr="00552B4D">
              <w:rPr>
                <w:rFonts w:cs="Times New Roman"/>
                <w:bCs/>
                <w:i/>
                <w:iCs/>
                <w:color w:val="231F20"/>
                <w:szCs w:val="24"/>
              </w:rPr>
              <w:t xml:space="preserve"> Doses should be adjusted based on the patient’s clinical response, and monitoring of serum electrolytes, glucose levels, and symptoms is recommended during treatment.</w:t>
            </w:r>
          </w:p>
        </w:tc>
      </w:tr>
      <w:tr w:rsidR="00D20CB2" w:rsidRPr="00B51149" w14:paraId="1BBD7025" w14:textId="77777777" w:rsidTr="002D6DD7">
        <w:tc>
          <w:tcPr>
            <w:tcW w:w="2695" w:type="dxa"/>
          </w:tcPr>
          <w:p w14:paraId="100BF12F"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35305F1B" w14:textId="77777777" w:rsidR="00D20CB2" w:rsidRPr="00B51149" w:rsidRDefault="00D20CB2" w:rsidP="002D6DD7">
            <w:pPr>
              <w:rPr>
                <w:rFonts w:cs="Times New Roman"/>
                <w:szCs w:val="24"/>
              </w:rPr>
            </w:pPr>
            <w:r w:rsidRPr="00B51149">
              <w:rPr>
                <w:rFonts w:cs="Times New Roman"/>
                <w:szCs w:val="24"/>
              </w:rPr>
              <w:t>Systemic infection (unless specific therapy given); live virus vaccines in patients receiving immunosuppressive doses.</w:t>
            </w:r>
          </w:p>
        </w:tc>
      </w:tr>
      <w:tr w:rsidR="00D20CB2" w:rsidRPr="00B51149" w14:paraId="2D434B1F" w14:textId="77777777" w:rsidTr="002D6DD7">
        <w:tc>
          <w:tcPr>
            <w:tcW w:w="2695" w:type="dxa"/>
          </w:tcPr>
          <w:p w14:paraId="4D83ED0B"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5929A246" w14:textId="77777777" w:rsidR="00D20CB2" w:rsidRPr="00B51149" w:rsidRDefault="00D20CB2" w:rsidP="002D6DD7">
            <w:pPr>
              <w:jc w:val="both"/>
              <w:rPr>
                <w:rFonts w:cs="Times New Roman"/>
                <w:szCs w:val="24"/>
              </w:rPr>
            </w:pPr>
            <w:r w:rsidRPr="00B51149">
              <w:rPr>
                <w:rFonts w:cs="Times New Roman"/>
                <w:szCs w:val="24"/>
              </w:rPr>
              <w:t xml:space="preserve">Acetylsalicylic acid, amiloride, amphotericin B, atenolol, calcium salts, carbamazepine, contraceptives, digoxin, enalapril, </w:t>
            </w:r>
            <w:r w:rsidRPr="00B51149">
              <w:rPr>
                <w:rFonts w:cs="Times New Roman"/>
                <w:szCs w:val="24"/>
              </w:rPr>
              <w:lastRenderedPageBreak/>
              <w:t>erythromycin, furosemide, glibenclamide, hydralazine, ibuprofen, insulins, metformin, methotrexate, nifedipine, phenobarbital, phenytoin, propranolol, rifampicin, ritonavir, salbutamol, spironolactone, influenza vaccine, live vaccines, warfarin</w:t>
            </w:r>
          </w:p>
        </w:tc>
      </w:tr>
      <w:tr w:rsidR="00D20CB2" w:rsidRPr="00B51149" w14:paraId="00B22FE8" w14:textId="77777777" w:rsidTr="002D6DD7">
        <w:tc>
          <w:tcPr>
            <w:tcW w:w="2695" w:type="dxa"/>
          </w:tcPr>
          <w:p w14:paraId="09A5A920" w14:textId="77777777" w:rsidR="00D20CB2" w:rsidRPr="00B51149" w:rsidRDefault="00D20CB2" w:rsidP="002D6DD7">
            <w:pPr>
              <w:rPr>
                <w:rFonts w:cs="Times New Roman"/>
                <w:szCs w:val="24"/>
              </w:rPr>
            </w:pPr>
            <w:r w:rsidRPr="00B51149">
              <w:rPr>
                <w:rFonts w:cs="Times New Roman"/>
                <w:szCs w:val="24"/>
              </w:rPr>
              <w:lastRenderedPageBreak/>
              <w:t>Side effects</w:t>
            </w:r>
          </w:p>
        </w:tc>
        <w:tc>
          <w:tcPr>
            <w:tcW w:w="6660" w:type="dxa"/>
          </w:tcPr>
          <w:p w14:paraId="3355E154" w14:textId="77777777" w:rsidR="00D20CB2" w:rsidRPr="00B51149" w:rsidRDefault="00D20CB2" w:rsidP="002D6DD7">
            <w:pPr>
              <w:jc w:val="both"/>
              <w:rPr>
                <w:rFonts w:cs="Times New Roman"/>
                <w:szCs w:val="24"/>
              </w:rPr>
            </w:pPr>
            <w:r w:rsidRPr="00B51149">
              <w:rPr>
                <w:rFonts w:cs="Times New Roman"/>
                <w:szCs w:val="24"/>
              </w:rPr>
              <w:t>Weight gain, fluid retention, hypertension, hyperglycemia, increased risk of infections, osteoporosis, muscle weakness, peptic ulcers, gastrointestinal discomfort, mood swings, anxiety, depression, adrenal suppression, delayed wound healing, cataracts, glaucoma.</w:t>
            </w:r>
          </w:p>
        </w:tc>
      </w:tr>
      <w:tr w:rsidR="00D20CB2" w:rsidRPr="00B51149" w14:paraId="233AE8BD" w14:textId="77777777" w:rsidTr="002D6DD7">
        <w:tc>
          <w:tcPr>
            <w:tcW w:w="2695" w:type="dxa"/>
          </w:tcPr>
          <w:p w14:paraId="4EE48955"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3075689C" w14:textId="77777777" w:rsidR="00D20CB2" w:rsidRPr="00B51149" w:rsidRDefault="00D20CB2" w:rsidP="002D6DD7">
            <w:pPr>
              <w:jc w:val="both"/>
              <w:rPr>
                <w:rFonts w:cs="Times New Roman"/>
                <w:szCs w:val="24"/>
              </w:rPr>
            </w:pPr>
            <w:r w:rsidRPr="00B51149">
              <w:rPr>
                <w:rFonts w:cs="Times New Roman"/>
                <w:szCs w:val="24"/>
              </w:rPr>
              <w:t xml:space="preserve">Weight gain, fluid retention, hypertension, hyperglycemia, increased risk of infections, osteoporosis, muscle weakness, peptic ulcers, </w:t>
            </w:r>
            <w:r>
              <w:rPr>
                <w:rFonts w:cs="Times New Roman"/>
                <w:szCs w:val="24"/>
              </w:rPr>
              <w:t>GI</w:t>
            </w:r>
            <w:r w:rsidRPr="00B51149">
              <w:rPr>
                <w:rFonts w:cs="Times New Roman"/>
                <w:szCs w:val="24"/>
              </w:rPr>
              <w:t xml:space="preserve"> discomfort, mood swings, anxiety, depression, adrenal suppression, delayed wound healing, cataracts, glaucoma.</w:t>
            </w:r>
          </w:p>
        </w:tc>
      </w:tr>
      <w:tr w:rsidR="00D20CB2" w:rsidRPr="00B51149" w14:paraId="67B7DA68" w14:textId="77777777" w:rsidTr="002D6DD7">
        <w:tc>
          <w:tcPr>
            <w:tcW w:w="2695" w:type="dxa"/>
          </w:tcPr>
          <w:p w14:paraId="25FF59C0"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5022F257" w14:textId="77777777" w:rsidR="00D20CB2" w:rsidRPr="00B51149" w:rsidRDefault="00D20CB2" w:rsidP="002D6DD7">
            <w:pPr>
              <w:rPr>
                <w:rFonts w:cs="Times New Roman"/>
                <w:color w:val="FF0000"/>
                <w:szCs w:val="24"/>
              </w:rPr>
            </w:pPr>
            <w:r w:rsidRPr="00B51149">
              <w:rPr>
                <w:rFonts w:cs="Times New Roman"/>
                <w:szCs w:val="24"/>
              </w:rPr>
              <w:t xml:space="preserve">Store below </w:t>
            </w:r>
            <w:r w:rsidRPr="000A489D">
              <w:rPr>
                <w:rFonts w:cs="Times New Roman"/>
                <w:szCs w:val="24"/>
              </w:rPr>
              <w:t>30</w:t>
            </w:r>
            <w:r w:rsidRPr="000A489D">
              <w:rPr>
                <w:rFonts w:cs="Times New Roman"/>
                <w:szCs w:val="24"/>
                <w:vertAlign w:val="superscript"/>
              </w:rPr>
              <w:t>0</w:t>
            </w:r>
            <w:r w:rsidRPr="000A489D">
              <w:rPr>
                <w:rFonts w:cs="Times New Roman"/>
                <w:szCs w:val="24"/>
              </w:rPr>
              <w:t>C</w:t>
            </w:r>
            <w:r>
              <w:rPr>
                <w:rFonts w:cs="Times New Roman"/>
                <w:szCs w:val="24"/>
              </w:rPr>
              <w:t xml:space="preserve">. </w:t>
            </w:r>
            <w:r w:rsidRPr="000A489D">
              <w:rPr>
                <w:rFonts w:cs="Times New Roman"/>
                <w:szCs w:val="24"/>
              </w:rPr>
              <w:t>Protect</w:t>
            </w:r>
            <w:r w:rsidRPr="00B51149">
              <w:rPr>
                <w:rFonts w:cs="Times New Roman"/>
                <w:szCs w:val="24"/>
              </w:rPr>
              <w:t xml:space="preserve"> from freezing.</w:t>
            </w:r>
          </w:p>
        </w:tc>
      </w:tr>
      <w:tr w:rsidR="00D20CB2" w:rsidRPr="00B51149" w14:paraId="7F759476" w14:textId="77777777" w:rsidTr="002D6DD7">
        <w:tc>
          <w:tcPr>
            <w:tcW w:w="9355" w:type="dxa"/>
            <w:gridSpan w:val="2"/>
          </w:tcPr>
          <w:p w14:paraId="1342A9B7" w14:textId="77777777" w:rsidR="00D20CB2" w:rsidRPr="00B51149" w:rsidRDefault="00D20CB2" w:rsidP="002D6DD7">
            <w:pPr>
              <w:rPr>
                <w:rFonts w:cs="Times New Roman"/>
                <w:b/>
                <w:bCs/>
                <w:szCs w:val="24"/>
              </w:rPr>
            </w:pPr>
            <w:bookmarkStart w:id="133" w:name="_Toc168316994"/>
            <w:r w:rsidRPr="00B51149">
              <w:rPr>
                <w:rFonts w:cs="Times New Roman"/>
                <w:b/>
                <w:bCs/>
                <w:szCs w:val="24"/>
                <w:lang w:val="it-IT"/>
              </w:rPr>
              <w:t>Methylprednisolone</w:t>
            </w:r>
            <w:bookmarkEnd w:id="133"/>
          </w:p>
        </w:tc>
      </w:tr>
      <w:tr w:rsidR="00D20CB2" w:rsidRPr="00B51149" w14:paraId="5FFEF63A" w14:textId="77777777" w:rsidTr="002D6DD7">
        <w:trPr>
          <w:trHeight w:val="50"/>
        </w:trPr>
        <w:tc>
          <w:tcPr>
            <w:tcW w:w="2695" w:type="dxa"/>
          </w:tcPr>
          <w:p w14:paraId="5CCD81E7"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52FD71AE" w14:textId="77777777" w:rsidR="00D20CB2" w:rsidRPr="00B51149" w:rsidRDefault="00D20CB2" w:rsidP="002D6DD7">
            <w:pPr>
              <w:rPr>
                <w:rFonts w:cs="Times New Roman"/>
                <w:szCs w:val="24"/>
              </w:rPr>
            </w:pPr>
            <w:r w:rsidRPr="00B51149">
              <w:rPr>
                <w:rFonts w:cs="Times New Roman"/>
                <w:szCs w:val="24"/>
              </w:rPr>
              <w:t xml:space="preserve">Corticosteroid </w:t>
            </w:r>
          </w:p>
        </w:tc>
      </w:tr>
      <w:tr w:rsidR="00D20CB2" w:rsidRPr="00B51149" w14:paraId="76054B83" w14:textId="77777777" w:rsidTr="002D6DD7">
        <w:tc>
          <w:tcPr>
            <w:tcW w:w="2695" w:type="dxa"/>
          </w:tcPr>
          <w:p w14:paraId="5338FCFD"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4C4E61A8" w14:textId="77777777" w:rsidR="00D20CB2" w:rsidRPr="00B51149" w:rsidRDefault="00D20CB2" w:rsidP="002D6DD7">
            <w:pPr>
              <w:rPr>
                <w:rFonts w:cs="Times New Roman"/>
                <w:szCs w:val="24"/>
              </w:rPr>
            </w:pPr>
            <w:r w:rsidRPr="00B51149">
              <w:rPr>
                <w:rFonts w:cs="Times New Roman"/>
                <w:szCs w:val="24"/>
              </w:rPr>
              <w:t>Injection: 40 mg/ml, 80 mg/ml in 1ml and 2ml ampoules</w:t>
            </w:r>
          </w:p>
        </w:tc>
      </w:tr>
      <w:tr w:rsidR="00D20CB2" w:rsidRPr="00B51149" w14:paraId="7682BBA3" w14:textId="77777777" w:rsidTr="002D6DD7">
        <w:tc>
          <w:tcPr>
            <w:tcW w:w="2695" w:type="dxa"/>
          </w:tcPr>
          <w:p w14:paraId="442EC67E"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5181AAD0" w14:textId="77777777" w:rsidR="00D20CB2" w:rsidRPr="00B51149" w:rsidRDefault="00D20CB2" w:rsidP="002D6DD7">
            <w:pPr>
              <w:jc w:val="both"/>
              <w:rPr>
                <w:rFonts w:cs="Times New Roman"/>
                <w:szCs w:val="24"/>
              </w:rPr>
            </w:pPr>
            <w:r w:rsidRPr="00B51149">
              <w:rPr>
                <w:rFonts w:cs="Times New Roman"/>
                <w:szCs w:val="24"/>
              </w:rPr>
              <w:t>Adrenocortical insufficiency, hypersensitivity reactions including anaphylactic shock, inflammatory bowel disease, asthma, perineal trauma, joint inflammation, seborrheic dermatitis, allergic reactions, inflammatory conditions, autoimmune disorders, congenital adrenal hyperplasia, severe asthma, rheumatic disorders, dermatologic conditions, gastrointestinal disorders, respiratory diseases, shock, cerebral edema, organ transplantation, neoplastic diseases.</w:t>
            </w:r>
          </w:p>
        </w:tc>
      </w:tr>
      <w:tr w:rsidR="00D20CB2" w:rsidRPr="00B51149" w14:paraId="21DF96B7" w14:textId="77777777" w:rsidTr="002D6DD7">
        <w:tc>
          <w:tcPr>
            <w:tcW w:w="2695" w:type="dxa"/>
          </w:tcPr>
          <w:p w14:paraId="10654066"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176436FD" w14:textId="77777777" w:rsidR="00D20CB2" w:rsidRPr="00C762C3" w:rsidRDefault="00D20CB2" w:rsidP="002D6DD7">
            <w:pPr>
              <w:rPr>
                <w:rFonts w:cs="Times New Roman"/>
                <w:b/>
                <w:color w:val="231F20"/>
                <w:szCs w:val="24"/>
              </w:rPr>
            </w:pPr>
            <w:r w:rsidRPr="00C762C3">
              <w:rPr>
                <w:rFonts w:cs="Times New Roman"/>
                <w:b/>
                <w:color w:val="231F20"/>
                <w:szCs w:val="24"/>
              </w:rPr>
              <w:t xml:space="preserve">Adrenal </w:t>
            </w:r>
            <w:r w:rsidR="00DB52C7">
              <w:rPr>
                <w:rFonts w:cs="Times New Roman"/>
                <w:b/>
                <w:color w:val="231F20"/>
                <w:szCs w:val="24"/>
              </w:rPr>
              <w:t>c</w:t>
            </w:r>
            <w:r w:rsidRPr="00C762C3">
              <w:rPr>
                <w:rFonts w:cs="Times New Roman"/>
                <w:b/>
                <w:color w:val="231F20"/>
                <w:szCs w:val="24"/>
              </w:rPr>
              <w:t>risis (</w:t>
            </w:r>
            <w:r w:rsidR="00DB52C7">
              <w:rPr>
                <w:rFonts w:cs="Times New Roman"/>
                <w:b/>
                <w:color w:val="231F20"/>
                <w:szCs w:val="24"/>
              </w:rPr>
              <w:t>a</w:t>
            </w:r>
            <w:r w:rsidRPr="00C762C3">
              <w:rPr>
                <w:rFonts w:cs="Times New Roman"/>
                <w:b/>
                <w:color w:val="231F20"/>
                <w:szCs w:val="24"/>
              </w:rPr>
              <w:t>cute)</w:t>
            </w:r>
            <w:r w:rsidR="00DB52C7">
              <w:rPr>
                <w:rFonts w:cs="Times New Roman"/>
                <w:b/>
                <w:color w:val="231F20"/>
                <w:szCs w:val="24"/>
              </w:rPr>
              <w:t>:</w:t>
            </w:r>
          </w:p>
          <w:p w14:paraId="7A9E48A5" w14:textId="77777777" w:rsidR="00D20CB2" w:rsidRPr="00C762C3" w:rsidRDefault="00D20CB2" w:rsidP="002D6DD7">
            <w:pPr>
              <w:rPr>
                <w:rFonts w:cs="Times New Roman"/>
                <w:bCs/>
                <w:color w:val="231F20"/>
                <w:szCs w:val="24"/>
              </w:rPr>
            </w:pPr>
            <w:r w:rsidRPr="00C762C3">
              <w:rPr>
                <w:rFonts w:cs="Times New Roman"/>
                <w:b/>
                <w:color w:val="231F20"/>
                <w:szCs w:val="24"/>
              </w:rPr>
              <w:t>Adult:</w:t>
            </w:r>
            <w:r w:rsidRPr="00C762C3">
              <w:rPr>
                <w:rFonts w:cs="Times New Roman"/>
                <w:bCs/>
                <w:color w:val="231F20"/>
                <w:szCs w:val="24"/>
              </w:rPr>
              <w:t xml:space="preserve"> 40 mg to 250 mg IV or IM, repeated every 4 to 6 hours as needed.</w:t>
            </w:r>
            <w:r>
              <w:rPr>
                <w:rFonts w:cs="Times New Roman"/>
                <w:bCs/>
                <w:color w:val="231F20"/>
                <w:szCs w:val="24"/>
              </w:rPr>
              <w:t xml:space="preserve"> </w:t>
            </w:r>
            <w:r w:rsidRPr="00C762C3">
              <w:rPr>
                <w:rFonts w:cs="Times New Roman"/>
                <w:bCs/>
                <w:color w:val="231F20"/>
                <w:szCs w:val="24"/>
              </w:rPr>
              <w:t>Maximum dose: 1 g/day.</w:t>
            </w:r>
          </w:p>
          <w:p w14:paraId="2555DFBF" w14:textId="77777777" w:rsidR="00D20CB2" w:rsidRPr="00C762C3" w:rsidRDefault="00D20CB2" w:rsidP="002D6DD7">
            <w:pPr>
              <w:rPr>
                <w:rFonts w:cs="Times New Roman"/>
                <w:bCs/>
                <w:color w:val="231F20"/>
                <w:szCs w:val="24"/>
              </w:rPr>
            </w:pPr>
            <w:r w:rsidRPr="00C762C3">
              <w:rPr>
                <w:rFonts w:cs="Times New Roman"/>
                <w:b/>
                <w:color w:val="231F20"/>
                <w:szCs w:val="24"/>
              </w:rPr>
              <w:t>Child:</w:t>
            </w:r>
            <w:r w:rsidRPr="00C762C3">
              <w:rPr>
                <w:rFonts w:cs="Times New Roman"/>
                <w:bCs/>
                <w:color w:val="231F20"/>
                <w:szCs w:val="24"/>
              </w:rPr>
              <w:t xml:space="preserve"> 1 mg to 2 mg/kg IV or IM, repeated every 4 to 6 hours as needed.</w:t>
            </w:r>
            <w:r>
              <w:rPr>
                <w:rFonts w:cs="Times New Roman"/>
                <w:bCs/>
                <w:color w:val="231F20"/>
                <w:szCs w:val="24"/>
              </w:rPr>
              <w:t xml:space="preserve"> </w:t>
            </w:r>
            <w:r w:rsidRPr="00C762C3">
              <w:rPr>
                <w:rFonts w:cs="Times New Roman"/>
                <w:bCs/>
                <w:color w:val="231F20"/>
                <w:szCs w:val="24"/>
              </w:rPr>
              <w:t xml:space="preserve">Maximum </w:t>
            </w:r>
            <w:r>
              <w:rPr>
                <w:rFonts w:cs="Times New Roman"/>
                <w:bCs/>
                <w:color w:val="231F20"/>
                <w:szCs w:val="24"/>
              </w:rPr>
              <w:t>d</w:t>
            </w:r>
            <w:r w:rsidRPr="00C762C3">
              <w:rPr>
                <w:rFonts w:cs="Times New Roman"/>
                <w:bCs/>
                <w:color w:val="231F20"/>
                <w:szCs w:val="24"/>
              </w:rPr>
              <w:t>ose: 60 mg/dose.</w:t>
            </w:r>
          </w:p>
          <w:p w14:paraId="6A757B53" w14:textId="77777777" w:rsidR="00D20CB2" w:rsidRPr="00C762C3" w:rsidRDefault="00D20CB2" w:rsidP="002D6DD7">
            <w:pPr>
              <w:rPr>
                <w:rFonts w:cs="Times New Roman"/>
                <w:b/>
                <w:color w:val="231F20"/>
                <w:szCs w:val="24"/>
              </w:rPr>
            </w:pPr>
            <w:r w:rsidRPr="00C762C3">
              <w:rPr>
                <w:rFonts w:cs="Times New Roman"/>
                <w:b/>
                <w:color w:val="231F20"/>
                <w:szCs w:val="24"/>
              </w:rPr>
              <w:t xml:space="preserve">Secondary </w:t>
            </w:r>
            <w:r w:rsidR="00DB52C7">
              <w:rPr>
                <w:rFonts w:cs="Times New Roman"/>
                <w:b/>
                <w:color w:val="231F20"/>
                <w:szCs w:val="24"/>
              </w:rPr>
              <w:t>a</w:t>
            </w:r>
            <w:r w:rsidRPr="00C762C3">
              <w:rPr>
                <w:rFonts w:cs="Times New Roman"/>
                <w:b/>
                <w:color w:val="231F20"/>
                <w:szCs w:val="24"/>
              </w:rPr>
              <w:t xml:space="preserve">drenal </w:t>
            </w:r>
            <w:r w:rsidR="00DB52C7">
              <w:rPr>
                <w:rFonts w:cs="Times New Roman"/>
                <w:b/>
                <w:color w:val="231F20"/>
                <w:szCs w:val="24"/>
              </w:rPr>
              <w:t>i</w:t>
            </w:r>
            <w:r w:rsidRPr="00C762C3">
              <w:rPr>
                <w:rFonts w:cs="Times New Roman"/>
                <w:b/>
                <w:color w:val="231F20"/>
                <w:szCs w:val="24"/>
              </w:rPr>
              <w:t>nsufficiency</w:t>
            </w:r>
            <w:r w:rsidR="00DB52C7">
              <w:rPr>
                <w:rFonts w:cs="Times New Roman"/>
                <w:b/>
                <w:color w:val="231F20"/>
                <w:szCs w:val="24"/>
              </w:rPr>
              <w:t>:</w:t>
            </w:r>
          </w:p>
          <w:p w14:paraId="3809104B" w14:textId="77777777" w:rsidR="00D20CB2" w:rsidRPr="00C762C3" w:rsidRDefault="00D20CB2" w:rsidP="002D6DD7">
            <w:pPr>
              <w:rPr>
                <w:rFonts w:cs="Times New Roman"/>
                <w:bCs/>
                <w:color w:val="231F20"/>
                <w:szCs w:val="24"/>
              </w:rPr>
            </w:pPr>
            <w:r w:rsidRPr="00C762C3">
              <w:rPr>
                <w:rFonts w:cs="Times New Roman"/>
                <w:b/>
                <w:color w:val="231F20"/>
                <w:szCs w:val="24"/>
              </w:rPr>
              <w:lastRenderedPageBreak/>
              <w:t>Adult:</w:t>
            </w:r>
            <w:r w:rsidRPr="00C762C3">
              <w:rPr>
                <w:rFonts w:cs="Times New Roman"/>
                <w:bCs/>
                <w:color w:val="231F20"/>
                <w:szCs w:val="24"/>
              </w:rPr>
              <w:t xml:space="preserve"> 4 mg to 48 mg/day IV in divided doses.</w:t>
            </w:r>
          </w:p>
          <w:p w14:paraId="4EC2F1B9" w14:textId="77777777" w:rsidR="00D20CB2" w:rsidRPr="00C762C3" w:rsidRDefault="00D20CB2" w:rsidP="002D6DD7">
            <w:pPr>
              <w:rPr>
                <w:rFonts w:cs="Times New Roman"/>
                <w:bCs/>
                <w:color w:val="231F20"/>
                <w:szCs w:val="24"/>
              </w:rPr>
            </w:pPr>
            <w:r w:rsidRPr="00C762C3">
              <w:rPr>
                <w:rFonts w:cs="Times New Roman"/>
                <w:b/>
                <w:color w:val="231F20"/>
                <w:szCs w:val="24"/>
              </w:rPr>
              <w:t>Child:</w:t>
            </w:r>
            <w:r w:rsidRPr="00C762C3">
              <w:rPr>
                <w:rFonts w:cs="Times New Roman"/>
                <w:bCs/>
                <w:color w:val="231F20"/>
                <w:szCs w:val="24"/>
              </w:rPr>
              <w:t xml:space="preserve"> 0.5 mg to 2 mg/kg/day IV in divided doses.</w:t>
            </w:r>
          </w:p>
          <w:p w14:paraId="27C0364D" w14:textId="77777777" w:rsidR="00D20CB2" w:rsidRPr="00C762C3" w:rsidRDefault="00D20CB2" w:rsidP="002D6DD7">
            <w:pPr>
              <w:rPr>
                <w:rFonts w:cs="Times New Roman"/>
                <w:b/>
                <w:color w:val="231F20"/>
                <w:szCs w:val="24"/>
              </w:rPr>
            </w:pPr>
            <w:r w:rsidRPr="00C762C3">
              <w:rPr>
                <w:rFonts w:cs="Times New Roman"/>
                <w:b/>
                <w:color w:val="231F20"/>
                <w:szCs w:val="24"/>
              </w:rPr>
              <w:t>Hypopituitarism</w:t>
            </w:r>
            <w:r w:rsidR="00DB52C7">
              <w:rPr>
                <w:rFonts w:cs="Times New Roman"/>
                <w:b/>
                <w:color w:val="231F20"/>
                <w:szCs w:val="24"/>
              </w:rPr>
              <w:t>:</w:t>
            </w:r>
          </w:p>
          <w:p w14:paraId="13EFF7A0" w14:textId="77777777" w:rsidR="00D20CB2" w:rsidRPr="00C762C3" w:rsidRDefault="00D20CB2" w:rsidP="002D6DD7">
            <w:pPr>
              <w:rPr>
                <w:rFonts w:cs="Times New Roman"/>
                <w:bCs/>
                <w:color w:val="231F20"/>
                <w:szCs w:val="24"/>
              </w:rPr>
            </w:pPr>
            <w:r w:rsidRPr="00C762C3">
              <w:rPr>
                <w:rFonts w:cs="Times New Roman"/>
                <w:b/>
                <w:color w:val="231F20"/>
                <w:szCs w:val="24"/>
              </w:rPr>
              <w:t>Adult:</w:t>
            </w:r>
            <w:r w:rsidRPr="00C762C3">
              <w:rPr>
                <w:rFonts w:cs="Times New Roman"/>
                <w:bCs/>
                <w:color w:val="231F20"/>
                <w:szCs w:val="24"/>
              </w:rPr>
              <w:t xml:space="preserve"> 4 mg to 48 mg/day IV in divided doses.</w:t>
            </w:r>
          </w:p>
          <w:p w14:paraId="77FB6BD2" w14:textId="77777777" w:rsidR="00D20CB2" w:rsidRPr="00C762C3" w:rsidRDefault="00D20CB2" w:rsidP="002D6DD7">
            <w:pPr>
              <w:rPr>
                <w:rFonts w:cs="Times New Roman"/>
                <w:bCs/>
                <w:color w:val="231F20"/>
                <w:szCs w:val="24"/>
              </w:rPr>
            </w:pPr>
            <w:r w:rsidRPr="00C762C3">
              <w:rPr>
                <w:rFonts w:cs="Times New Roman"/>
                <w:b/>
                <w:color w:val="231F20"/>
                <w:szCs w:val="24"/>
              </w:rPr>
              <w:t>Child:</w:t>
            </w:r>
            <w:r w:rsidRPr="00C762C3">
              <w:rPr>
                <w:rFonts w:cs="Times New Roman"/>
                <w:bCs/>
                <w:color w:val="231F20"/>
                <w:szCs w:val="24"/>
              </w:rPr>
              <w:t xml:space="preserve"> 0.5 mg to 2 mg/kg/day IV in divided doses.</w:t>
            </w:r>
          </w:p>
          <w:p w14:paraId="0364480F" w14:textId="77777777" w:rsidR="00D20CB2" w:rsidRPr="00C762C3" w:rsidRDefault="00D20CB2" w:rsidP="002D6DD7">
            <w:pPr>
              <w:rPr>
                <w:rFonts w:cs="Times New Roman"/>
                <w:b/>
                <w:color w:val="231F20"/>
                <w:szCs w:val="24"/>
              </w:rPr>
            </w:pPr>
            <w:r w:rsidRPr="00C762C3">
              <w:rPr>
                <w:rFonts w:cs="Times New Roman"/>
                <w:b/>
                <w:color w:val="231F20"/>
                <w:szCs w:val="24"/>
              </w:rPr>
              <w:t>Adrenalectomy (</w:t>
            </w:r>
            <w:r w:rsidR="00DB52C7">
              <w:rPr>
                <w:rFonts w:cs="Times New Roman"/>
                <w:b/>
                <w:color w:val="231F20"/>
                <w:szCs w:val="24"/>
              </w:rPr>
              <w:t>p</w:t>
            </w:r>
            <w:r w:rsidRPr="00C762C3">
              <w:rPr>
                <w:rFonts w:cs="Times New Roman"/>
                <w:b/>
                <w:color w:val="231F20"/>
                <w:szCs w:val="24"/>
              </w:rPr>
              <w:t>ostoperative)</w:t>
            </w:r>
            <w:r w:rsidR="00DB52C7">
              <w:rPr>
                <w:rFonts w:cs="Times New Roman"/>
                <w:b/>
                <w:color w:val="231F20"/>
                <w:szCs w:val="24"/>
              </w:rPr>
              <w:t>:</w:t>
            </w:r>
          </w:p>
          <w:p w14:paraId="392D2929" w14:textId="77777777" w:rsidR="00D20CB2" w:rsidRPr="00C762C3" w:rsidRDefault="00D20CB2" w:rsidP="002D6DD7">
            <w:pPr>
              <w:rPr>
                <w:rFonts w:cs="Times New Roman"/>
                <w:bCs/>
                <w:color w:val="231F20"/>
                <w:szCs w:val="24"/>
              </w:rPr>
            </w:pPr>
            <w:r w:rsidRPr="00C762C3">
              <w:rPr>
                <w:rFonts w:cs="Times New Roman"/>
                <w:b/>
                <w:color w:val="231F20"/>
                <w:szCs w:val="24"/>
              </w:rPr>
              <w:t>Adult:</w:t>
            </w:r>
            <w:r w:rsidRPr="00C762C3">
              <w:rPr>
                <w:rFonts w:cs="Times New Roman"/>
                <w:bCs/>
                <w:color w:val="231F20"/>
                <w:szCs w:val="24"/>
              </w:rPr>
              <w:t xml:space="preserve"> 40 mg to 250 mg IV every 6 to 8 hours, then taper as needed.</w:t>
            </w:r>
          </w:p>
          <w:p w14:paraId="1490EF33" w14:textId="77777777" w:rsidR="00D20CB2" w:rsidRPr="00C762C3" w:rsidRDefault="00D20CB2" w:rsidP="002D6DD7">
            <w:pPr>
              <w:rPr>
                <w:rFonts w:cs="Times New Roman"/>
                <w:bCs/>
                <w:color w:val="231F20"/>
                <w:szCs w:val="24"/>
              </w:rPr>
            </w:pPr>
            <w:r w:rsidRPr="00C762C3">
              <w:rPr>
                <w:rFonts w:cs="Times New Roman"/>
                <w:b/>
                <w:color w:val="231F20"/>
                <w:szCs w:val="24"/>
              </w:rPr>
              <w:t>Child:</w:t>
            </w:r>
            <w:r w:rsidRPr="00C762C3">
              <w:rPr>
                <w:rFonts w:cs="Times New Roman"/>
                <w:bCs/>
                <w:color w:val="231F20"/>
                <w:szCs w:val="24"/>
              </w:rPr>
              <w:t xml:space="preserve"> 1 mg to 2 mg/kg IV every 6 to 8 hours, then taper as needed.</w:t>
            </w:r>
          </w:p>
          <w:p w14:paraId="1735412F" w14:textId="77777777" w:rsidR="00D20CB2" w:rsidRPr="00C762C3" w:rsidRDefault="00D20CB2" w:rsidP="002D6DD7">
            <w:pPr>
              <w:rPr>
                <w:rFonts w:cs="Times New Roman"/>
                <w:bCs/>
                <w:color w:val="231F20"/>
                <w:szCs w:val="24"/>
              </w:rPr>
            </w:pPr>
            <w:r w:rsidRPr="00C762C3">
              <w:rPr>
                <w:rFonts w:cs="Times New Roman"/>
                <w:bCs/>
                <w:color w:val="231F20"/>
                <w:szCs w:val="24"/>
              </w:rPr>
              <w:t xml:space="preserve">Maximum </w:t>
            </w:r>
            <w:r>
              <w:rPr>
                <w:rFonts w:cs="Times New Roman"/>
                <w:bCs/>
                <w:color w:val="231F20"/>
                <w:szCs w:val="24"/>
              </w:rPr>
              <w:t>d</w:t>
            </w:r>
            <w:r w:rsidRPr="00C762C3">
              <w:rPr>
                <w:rFonts w:cs="Times New Roman"/>
                <w:bCs/>
                <w:color w:val="231F20"/>
                <w:szCs w:val="24"/>
              </w:rPr>
              <w:t>oses</w:t>
            </w:r>
          </w:p>
          <w:p w14:paraId="711270C1" w14:textId="77777777" w:rsidR="00D20CB2" w:rsidRPr="00C762C3" w:rsidRDefault="00D20CB2" w:rsidP="002D6DD7">
            <w:pPr>
              <w:rPr>
                <w:rFonts w:cs="Times New Roman"/>
                <w:bCs/>
                <w:color w:val="231F20"/>
                <w:szCs w:val="24"/>
              </w:rPr>
            </w:pPr>
            <w:r w:rsidRPr="00C762C3">
              <w:rPr>
                <w:rFonts w:cs="Times New Roman"/>
                <w:b/>
                <w:color w:val="231F20"/>
                <w:szCs w:val="24"/>
              </w:rPr>
              <w:t>Adult:</w:t>
            </w:r>
            <w:r w:rsidRPr="00C762C3">
              <w:rPr>
                <w:rFonts w:cs="Times New Roman"/>
                <w:bCs/>
                <w:color w:val="231F20"/>
                <w:szCs w:val="24"/>
              </w:rPr>
              <w:t xml:space="preserve"> 1 g/day IV.</w:t>
            </w:r>
          </w:p>
          <w:p w14:paraId="6B7C7D4B" w14:textId="77777777" w:rsidR="00D20CB2" w:rsidRPr="00DD0340" w:rsidRDefault="00D20CB2" w:rsidP="002D6DD7">
            <w:pPr>
              <w:rPr>
                <w:rFonts w:cs="Times New Roman"/>
                <w:bCs/>
                <w:color w:val="231F20"/>
                <w:szCs w:val="24"/>
              </w:rPr>
            </w:pPr>
            <w:r w:rsidRPr="00C762C3">
              <w:rPr>
                <w:rFonts w:cs="Times New Roman"/>
                <w:b/>
                <w:color w:val="231F20"/>
                <w:szCs w:val="24"/>
              </w:rPr>
              <w:t>Child:</w:t>
            </w:r>
            <w:r w:rsidRPr="00C762C3">
              <w:rPr>
                <w:rFonts w:cs="Times New Roman"/>
                <w:bCs/>
                <w:color w:val="231F20"/>
                <w:szCs w:val="24"/>
              </w:rPr>
              <w:t xml:space="preserve"> 60 mg/dose IV.</w:t>
            </w:r>
          </w:p>
        </w:tc>
      </w:tr>
      <w:tr w:rsidR="00D20CB2" w:rsidRPr="00B51149" w14:paraId="080AF329" w14:textId="77777777" w:rsidTr="002D6DD7">
        <w:tc>
          <w:tcPr>
            <w:tcW w:w="2695" w:type="dxa"/>
          </w:tcPr>
          <w:p w14:paraId="19A5B6AF"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055E2701" w14:textId="77777777" w:rsidR="00D20CB2" w:rsidRPr="00B51149" w:rsidRDefault="00D20CB2" w:rsidP="002D6DD7">
            <w:pPr>
              <w:jc w:val="both"/>
              <w:rPr>
                <w:rFonts w:cs="Times New Roman"/>
                <w:szCs w:val="24"/>
              </w:rPr>
            </w:pPr>
            <w:r>
              <w:rPr>
                <w:rFonts w:cs="Times New Roman"/>
                <w:szCs w:val="24"/>
              </w:rPr>
              <w:t>H</w:t>
            </w:r>
            <w:r w:rsidRPr="00B51149">
              <w:rPr>
                <w:rFonts w:cs="Times New Roman"/>
                <w:szCs w:val="24"/>
              </w:rPr>
              <w:t xml:space="preserve">ypersensitivity </w:t>
            </w:r>
            <w:r>
              <w:rPr>
                <w:rFonts w:cs="Times New Roman"/>
                <w:szCs w:val="24"/>
              </w:rPr>
              <w:t>to the drug, s</w:t>
            </w:r>
            <w:r w:rsidRPr="00B51149">
              <w:rPr>
                <w:rFonts w:cs="Times New Roman"/>
                <w:szCs w:val="24"/>
              </w:rPr>
              <w:t>ystemic fungal infection (unless specific antimicrobial therapy given)</w:t>
            </w:r>
            <w:r>
              <w:rPr>
                <w:rFonts w:cs="Times New Roman"/>
                <w:szCs w:val="24"/>
              </w:rPr>
              <w:t>,</w:t>
            </w:r>
            <w:r w:rsidRPr="00B51149">
              <w:rPr>
                <w:rFonts w:cs="Times New Roman"/>
                <w:szCs w:val="24"/>
              </w:rPr>
              <w:t xml:space="preserve"> live virus vaccines in those receiving immunosuppressive doses (serum antibody response diminishes)</w:t>
            </w:r>
          </w:p>
        </w:tc>
      </w:tr>
      <w:tr w:rsidR="00D20CB2" w:rsidRPr="00B51149" w14:paraId="21075BF3" w14:textId="77777777" w:rsidTr="002D6DD7">
        <w:tc>
          <w:tcPr>
            <w:tcW w:w="2695" w:type="dxa"/>
          </w:tcPr>
          <w:p w14:paraId="271F1C4D"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6F8D767C" w14:textId="77777777" w:rsidR="00D20CB2" w:rsidRPr="00B51149" w:rsidRDefault="00D20CB2" w:rsidP="002D6DD7">
            <w:pPr>
              <w:rPr>
                <w:rFonts w:cs="Times New Roman"/>
                <w:color w:val="231F20"/>
                <w:szCs w:val="24"/>
              </w:rPr>
            </w:pPr>
            <w:r w:rsidRPr="00B51149">
              <w:rPr>
                <w:rFonts w:cs="Times New Roman"/>
                <w:color w:val="231F20"/>
                <w:szCs w:val="24"/>
              </w:rPr>
              <w:t>Refer under other corticosteroids above</w:t>
            </w:r>
          </w:p>
        </w:tc>
      </w:tr>
      <w:tr w:rsidR="00D20CB2" w:rsidRPr="00B51149" w14:paraId="49670CCA" w14:textId="77777777" w:rsidTr="002D6DD7">
        <w:tc>
          <w:tcPr>
            <w:tcW w:w="2695" w:type="dxa"/>
          </w:tcPr>
          <w:p w14:paraId="325F3825"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09F9A622" w14:textId="77777777" w:rsidR="00D20CB2" w:rsidRPr="00B51149" w:rsidRDefault="00D20CB2" w:rsidP="002D6DD7">
            <w:pPr>
              <w:jc w:val="both"/>
              <w:rPr>
                <w:rFonts w:cs="Times New Roman"/>
                <w:color w:val="231F20"/>
                <w:szCs w:val="24"/>
              </w:rPr>
            </w:pPr>
            <w:r w:rsidRPr="00B51149">
              <w:rPr>
                <w:rFonts w:cs="Times New Roman"/>
                <w:color w:val="231F20"/>
                <w:szCs w:val="24"/>
              </w:rPr>
              <w:t>Adrenal suppression, confusion, delusions, dyslipidemia, muscle weakness, schizophrenia, suicidal ideation, withdrawal syndrome, myocardial rupture (following recent myocardial infarction), Kaposi’s sarcoma</w:t>
            </w:r>
          </w:p>
        </w:tc>
      </w:tr>
      <w:tr w:rsidR="00D20CB2" w:rsidRPr="00B51149" w14:paraId="4D3BD975" w14:textId="77777777" w:rsidTr="002D6DD7">
        <w:tc>
          <w:tcPr>
            <w:tcW w:w="2695" w:type="dxa"/>
          </w:tcPr>
          <w:p w14:paraId="11628231"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0B295F5B" w14:textId="77777777" w:rsidR="00D20CB2" w:rsidRPr="00B51149" w:rsidRDefault="00D20CB2" w:rsidP="002D6DD7">
            <w:pPr>
              <w:rPr>
                <w:rFonts w:cs="Times New Roman"/>
                <w:color w:val="231F20"/>
                <w:szCs w:val="24"/>
              </w:rPr>
            </w:pPr>
            <w:r w:rsidRPr="00B51149">
              <w:rPr>
                <w:rFonts w:cs="Times New Roman"/>
                <w:color w:val="231F20"/>
                <w:szCs w:val="24"/>
              </w:rPr>
              <w:t xml:space="preserve">Refer under other corticosteroids above </w:t>
            </w:r>
          </w:p>
        </w:tc>
      </w:tr>
      <w:tr w:rsidR="00D20CB2" w:rsidRPr="00B51149" w14:paraId="4EEA3313" w14:textId="77777777" w:rsidTr="002D6DD7">
        <w:tc>
          <w:tcPr>
            <w:tcW w:w="2695" w:type="dxa"/>
          </w:tcPr>
          <w:p w14:paraId="0C124E93"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355D148D" w14:textId="77777777" w:rsidR="00D20CB2" w:rsidRPr="00B51149" w:rsidRDefault="00D20CB2" w:rsidP="002D6DD7">
            <w:pPr>
              <w:rPr>
                <w:rFonts w:cs="Times New Roman"/>
                <w:color w:val="FF0000"/>
                <w:szCs w:val="24"/>
              </w:rPr>
            </w:pPr>
            <w:r w:rsidRPr="00B51149">
              <w:rPr>
                <w:rFonts w:cs="Times New Roman"/>
                <w:szCs w:val="24"/>
              </w:rPr>
              <w:t xml:space="preserve">Store </w:t>
            </w:r>
            <w:r>
              <w:rPr>
                <w:rFonts w:cs="Times New Roman"/>
                <w:szCs w:val="24"/>
              </w:rPr>
              <w:t>below</w:t>
            </w:r>
            <w:r w:rsidRPr="00B51149">
              <w:rPr>
                <w:rFonts w:cs="Times New Roman"/>
                <w:szCs w:val="24"/>
              </w:rPr>
              <w:t xml:space="preserve"> 30°C. </w:t>
            </w:r>
            <w:r>
              <w:rPr>
                <w:rFonts w:cs="Times New Roman"/>
                <w:szCs w:val="24"/>
              </w:rPr>
              <w:t>Protect from light.</w:t>
            </w:r>
          </w:p>
        </w:tc>
      </w:tr>
      <w:tr w:rsidR="00D20CB2" w:rsidRPr="00B51149" w14:paraId="2D3CB1EF" w14:textId="77777777" w:rsidTr="002D6DD7">
        <w:tc>
          <w:tcPr>
            <w:tcW w:w="9355" w:type="dxa"/>
            <w:gridSpan w:val="2"/>
          </w:tcPr>
          <w:p w14:paraId="09B62F2E" w14:textId="77777777" w:rsidR="00D20CB2" w:rsidRPr="00B51149" w:rsidRDefault="00D20CB2" w:rsidP="002D6DD7">
            <w:pPr>
              <w:rPr>
                <w:rFonts w:cs="Times New Roman"/>
                <w:b/>
                <w:bCs/>
                <w:szCs w:val="24"/>
              </w:rPr>
            </w:pPr>
            <w:bookmarkStart w:id="134" w:name="_Toc168316993"/>
            <w:r w:rsidRPr="00B51149">
              <w:rPr>
                <w:rFonts w:cs="Times New Roman"/>
                <w:b/>
                <w:bCs/>
                <w:szCs w:val="24"/>
                <w:lang w:val="sv-SE"/>
              </w:rPr>
              <w:t>Prednisolone</w:t>
            </w:r>
            <w:bookmarkEnd w:id="134"/>
            <w:r w:rsidRPr="00B51149">
              <w:rPr>
                <w:rFonts w:cs="Times New Roman"/>
                <w:b/>
                <w:bCs/>
                <w:szCs w:val="24"/>
                <w:lang w:val="sv-SE"/>
              </w:rPr>
              <w:t xml:space="preserve">  </w:t>
            </w:r>
          </w:p>
        </w:tc>
      </w:tr>
      <w:tr w:rsidR="00D20CB2" w:rsidRPr="00B51149" w14:paraId="1F7E45CA" w14:textId="77777777" w:rsidTr="002D6DD7">
        <w:tc>
          <w:tcPr>
            <w:tcW w:w="2695" w:type="dxa"/>
          </w:tcPr>
          <w:p w14:paraId="0C82D679"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126A9FB9" w14:textId="77777777" w:rsidR="00D20CB2" w:rsidRPr="00B51149" w:rsidRDefault="00D20CB2" w:rsidP="002D6DD7">
            <w:pPr>
              <w:rPr>
                <w:rFonts w:cs="Times New Roman"/>
                <w:szCs w:val="24"/>
              </w:rPr>
            </w:pPr>
            <w:r w:rsidRPr="00B51149">
              <w:rPr>
                <w:rFonts w:cs="Times New Roman"/>
                <w:szCs w:val="24"/>
              </w:rPr>
              <w:t xml:space="preserve">Corticosteroid </w:t>
            </w:r>
          </w:p>
        </w:tc>
      </w:tr>
      <w:tr w:rsidR="00D20CB2" w:rsidRPr="00B51149" w14:paraId="7440D36B" w14:textId="77777777" w:rsidTr="002D6DD7">
        <w:tc>
          <w:tcPr>
            <w:tcW w:w="2695" w:type="dxa"/>
          </w:tcPr>
          <w:p w14:paraId="4A481818"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4AD13605" w14:textId="77777777" w:rsidR="00D20CB2" w:rsidRPr="00B51149" w:rsidRDefault="00D20CB2" w:rsidP="002D6DD7">
            <w:pPr>
              <w:rPr>
                <w:rFonts w:cs="Times New Roman"/>
                <w:color w:val="000000"/>
                <w:szCs w:val="24"/>
              </w:rPr>
            </w:pPr>
            <w:r w:rsidRPr="00B51149">
              <w:rPr>
                <w:rFonts w:cs="Times New Roman"/>
                <w:color w:val="000000"/>
                <w:szCs w:val="24"/>
              </w:rPr>
              <w:t>Tablet:  5mg</w:t>
            </w:r>
          </w:p>
          <w:p w14:paraId="57124DD5" w14:textId="77777777" w:rsidR="00D20CB2" w:rsidRPr="00B51149" w:rsidRDefault="00D20CB2" w:rsidP="002D6DD7">
            <w:pPr>
              <w:rPr>
                <w:rFonts w:cs="Times New Roman"/>
                <w:szCs w:val="24"/>
              </w:rPr>
            </w:pPr>
            <w:r w:rsidRPr="00B51149">
              <w:rPr>
                <w:rFonts w:cs="Times New Roman"/>
                <w:color w:val="000000"/>
                <w:szCs w:val="24"/>
              </w:rPr>
              <w:t xml:space="preserve">Injection (Sodium Phosphate): 10mg/ml, 25mg/ml in 2ml ampoule </w:t>
            </w:r>
          </w:p>
        </w:tc>
      </w:tr>
      <w:tr w:rsidR="00D20CB2" w:rsidRPr="00B51149" w14:paraId="3D943C06" w14:textId="77777777" w:rsidTr="002D6DD7">
        <w:tc>
          <w:tcPr>
            <w:tcW w:w="2695" w:type="dxa"/>
          </w:tcPr>
          <w:p w14:paraId="75FBB76A"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54B84DF9" w14:textId="77777777" w:rsidR="00D20CB2" w:rsidRPr="00B51149" w:rsidRDefault="00D20CB2" w:rsidP="002D6DD7">
            <w:pPr>
              <w:jc w:val="both"/>
              <w:rPr>
                <w:rFonts w:cs="Times New Roman"/>
                <w:szCs w:val="24"/>
              </w:rPr>
            </w:pPr>
            <w:r w:rsidRPr="00B51149">
              <w:rPr>
                <w:rFonts w:cs="Times New Roman"/>
                <w:szCs w:val="24"/>
              </w:rPr>
              <w:t xml:space="preserve">Severe allergies, chronic urticaria (hives), allergic rhinitis, asthma, chronic obstructive pulmonary disease (COPD), inflammatory bowel disease (Crohn’s disease, ulcerative colitis), rheumatoid </w:t>
            </w:r>
            <w:r w:rsidRPr="00B51149">
              <w:rPr>
                <w:rFonts w:cs="Times New Roman"/>
                <w:szCs w:val="24"/>
              </w:rPr>
              <w:lastRenderedPageBreak/>
              <w:t>arthritis, systemic lupus erythematosus (SLE), psoriatic arthritis, acute gouty arthritis, autoimmune hepatitis, multiple sclerosis, myasthenia gravis, autoimmune hemolytic anemia, Addison's disease, secondary adrenal insufficiency, severe psoriasis, severe eczema, dermatitis, idiopathic thrombocytopenic purpura (ITP), leukaemia, lymphoma, part of chemotherapy regimens for certain cancers, uveitis, iritis, allergic conjunctivitis, acute exacerbations of multiple sclerosis, cerebral edema associated with brain tumours or neurosurgery, nephrotic syndrome, sarcoidosis, prevention and treatment of organ transplant rejection.</w:t>
            </w:r>
          </w:p>
        </w:tc>
      </w:tr>
      <w:tr w:rsidR="00D20CB2" w:rsidRPr="00B51149" w14:paraId="26626B0E" w14:textId="77777777" w:rsidTr="002D6DD7">
        <w:tc>
          <w:tcPr>
            <w:tcW w:w="2695" w:type="dxa"/>
          </w:tcPr>
          <w:p w14:paraId="7ACF819A" w14:textId="77777777" w:rsidR="00D20CB2" w:rsidRPr="00B51149" w:rsidRDefault="00D20CB2" w:rsidP="002D6DD7">
            <w:pPr>
              <w:rPr>
                <w:rFonts w:cs="Times New Roman"/>
                <w:szCs w:val="24"/>
              </w:rPr>
            </w:pPr>
            <w:r w:rsidRPr="00B51149">
              <w:rPr>
                <w:rFonts w:cs="Times New Roman"/>
                <w:szCs w:val="24"/>
              </w:rPr>
              <w:lastRenderedPageBreak/>
              <w:t>Dose and administration</w:t>
            </w:r>
          </w:p>
        </w:tc>
        <w:tc>
          <w:tcPr>
            <w:tcW w:w="6660" w:type="dxa"/>
          </w:tcPr>
          <w:p w14:paraId="05ABDF78" w14:textId="77777777" w:rsidR="00D20CB2" w:rsidRPr="002F7A1A" w:rsidRDefault="00D20CB2" w:rsidP="002D6DD7">
            <w:pPr>
              <w:rPr>
                <w:rFonts w:cs="Times New Roman"/>
                <w:b/>
                <w:bCs/>
                <w:szCs w:val="24"/>
              </w:rPr>
            </w:pPr>
            <w:r w:rsidRPr="002F7A1A">
              <w:rPr>
                <w:rFonts w:cs="Times New Roman"/>
                <w:b/>
                <w:bCs/>
                <w:szCs w:val="24"/>
              </w:rPr>
              <w:t>Thyroiditis (</w:t>
            </w:r>
            <w:r w:rsidR="00DB52C7">
              <w:rPr>
                <w:rFonts w:cs="Times New Roman"/>
                <w:b/>
                <w:bCs/>
                <w:szCs w:val="24"/>
              </w:rPr>
              <w:t>s</w:t>
            </w:r>
            <w:r w:rsidRPr="002F7A1A">
              <w:rPr>
                <w:rFonts w:cs="Times New Roman"/>
                <w:b/>
                <w:bCs/>
                <w:szCs w:val="24"/>
              </w:rPr>
              <w:t xml:space="preserve">ubacute </w:t>
            </w:r>
            <w:r w:rsidR="00DB52C7">
              <w:rPr>
                <w:rFonts w:cs="Times New Roman"/>
                <w:b/>
                <w:bCs/>
                <w:szCs w:val="24"/>
              </w:rPr>
              <w:t>t</w:t>
            </w:r>
            <w:r w:rsidRPr="002F7A1A">
              <w:rPr>
                <w:rFonts w:cs="Times New Roman"/>
                <w:b/>
                <w:bCs/>
                <w:szCs w:val="24"/>
              </w:rPr>
              <w:t>hyroiditis)</w:t>
            </w:r>
            <w:r w:rsidR="00DB52C7">
              <w:rPr>
                <w:rFonts w:cs="Times New Roman"/>
                <w:b/>
                <w:bCs/>
                <w:szCs w:val="24"/>
              </w:rPr>
              <w:t>:</w:t>
            </w:r>
          </w:p>
          <w:p w14:paraId="2DA8AF13" w14:textId="77777777" w:rsidR="00D20CB2" w:rsidRPr="002F7A1A" w:rsidRDefault="00D20CB2" w:rsidP="002D6DD7">
            <w:pPr>
              <w:rPr>
                <w:rFonts w:cs="Times New Roman"/>
                <w:szCs w:val="24"/>
              </w:rPr>
            </w:pPr>
            <w:r w:rsidRPr="002F7A1A">
              <w:rPr>
                <w:rFonts w:cs="Times New Roman"/>
                <w:b/>
                <w:bCs/>
                <w:szCs w:val="24"/>
              </w:rPr>
              <w:t>Adult:</w:t>
            </w:r>
            <w:r w:rsidRPr="002F7A1A">
              <w:rPr>
                <w:rFonts w:cs="Times New Roman"/>
                <w:szCs w:val="24"/>
              </w:rPr>
              <w:t xml:space="preserve"> 20 mg to 40 mg per day orally for 1-2 weeks, followed by tapering based on clinical response.</w:t>
            </w:r>
          </w:p>
          <w:p w14:paraId="3B513362" w14:textId="77777777" w:rsidR="00D20CB2" w:rsidRPr="002F7A1A" w:rsidRDefault="00D20CB2" w:rsidP="002D6DD7">
            <w:pPr>
              <w:rPr>
                <w:rFonts w:cs="Times New Roman"/>
                <w:szCs w:val="24"/>
              </w:rPr>
            </w:pPr>
            <w:r w:rsidRPr="002F7A1A">
              <w:rPr>
                <w:rFonts w:cs="Times New Roman"/>
                <w:b/>
                <w:bCs/>
                <w:szCs w:val="24"/>
              </w:rPr>
              <w:t>Child:</w:t>
            </w:r>
            <w:r w:rsidRPr="002F7A1A">
              <w:rPr>
                <w:rFonts w:cs="Times New Roman"/>
                <w:szCs w:val="24"/>
              </w:rPr>
              <w:t xml:space="preserve"> 0.5 mg to 2 mg/kg/day orally in divided doses, tapering based on clinical response.</w:t>
            </w:r>
          </w:p>
          <w:p w14:paraId="352D1B62" w14:textId="77777777" w:rsidR="00D20CB2" w:rsidRPr="002F7A1A" w:rsidRDefault="00D20CB2" w:rsidP="002D6DD7">
            <w:pPr>
              <w:rPr>
                <w:rFonts w:cs="Times New Roman"/>
                <w:b/>
                <w:bCs/>
                <w:szCs w:val="24"/>
              </w:rPr>
            </w:pPr>
            <w:r w:rsidRPr="002F7A1A">
              <w:rPr>
                <w:rFonts w:cs="Times New Roman"/>
                <w:b/>
                <w:bCs/>
                <w:szCs w:val="24"/>
              </w:rPr>
              <w:t xml:space="preserve">Hypercalcemia of </w:t>
            </w:r>
            <w:r w:rsidR="00DB52C7">
              <w:rPr>
                <w:rFonts w:cs="Times New Roman"/>
                <w:b/>
                <w:bCs/>
                <w:szCs w:val="24"/>
              </w:rPr>
              <w:t>m</w:t>
            </w:r>
            <w:r w:rsidRPr="002F7A1A">
              <w:rPr>
                <w:rFonts w:cs="Times New Roman"/>
                <w:b/>
                <w:bCs/>
                <w:szCs w:val="24"/>
              </w:rPr>
              <w:t>alignancy</w:t>
            </w:r>
            <w:r w:rsidR="00DB52C7">
              <w:rPr>
                <w:rFonts w:cs="Times New Roman"/>
                <w:b/>
                <w:bCs/>
                <w:szCs w:val="24"/>
              </w:rPr>
              <w:t>:</w:t>
            </w:r>
          </w:p>
          <w:p w14:paraId="1E803DD8" w14:textId="77777777" w:rsidR="00D20CB2" w:rsidRPr="002F7A1A" w:rsidRDefault="00D20CB2" w:rsidP="002D6DD7">
            <w:pPr>
              <w:rPr>
                <w:rFonts w:cs="Times New Roman"/>
                <w:szCs w:val="24"/>
              </w:rPr>
            </w:pPr>
            <w:r w:rsidRPr="002F7A1A">
              <w:rPr>
                <w:rFonts w:cs="Times New Roman"/>
                <w:b/>
                <w:bCs/>
                <w:szCs w:val="24"/>
              </w:rPr>
              <w:t>Adult:</w:t>
            </w:r>
            <w:r w:rsidRPr="002F7A1A">
              <w:rPr>
                <w:rFonts w:cs="Times New Roman"/>
                <w:szCs w:val="24"/>
              </w:rPr>
              <w:t xml:space="preserve"> 30 mg to 60 mg per day orally in divided doses until the hypercalcemia resolves, then taper based on clinical response.</w:t>
            </w:r>
          </w:p>
          <w:p w14:paraId="38D146A2" w14:textId="77777777" w:rsidR="00D20CB2" w:rsidRPr="002F7A1A" w:rsidRDefault="00D20CB2" w:rsidP="002D6DD7">
            <w:pPr>
              <w:rPr>
                <w:rFonts w:cs="Times New Roman"/>
                <w:szCs w:val="24"/>
              </w:rPr>
            </w:pPr>
            <w:r w:rsidRPr="002F7A1A">
              <w:rPr>
                <w:rFonts w:cs="Times New Roman"/>
                <w:b/>
                <w:bCs/>
                <w:szCs w:val="24"/>
              </w:rPr>
              <w:t>Child:</w:t>
            </w:r>
            <w:r w:rsidRPr="002F7A1A">
              <w:rPr>
                <w:rFonts w:cs="Times New Roman"/>
                <w:szCs w:val="24"/>
              </w:rPr>
              <w:t xml:space="preserve"> 1 mg to 2 mg/kg/day orally in divided doses.</w:t>
            </w:r>
            <w:r>
              <w:rPr>
                <w:rFonts w:cs="Times New Roman"/>
                <w:szCs w:val="24"/>
              </w:rPr>
              <w:t xml:space="preserve"> </w:t>
            </w:r>
            <w:r w:rsidRPr="002F7A1A">
              <w:rPr>
                <w:rFonts w:cs="Times New Roman"/>
                <w:szCs w:val="24"/>
              </w:rPr>
              <w:t xml:space="preserve">Maximum </w:t>
            </w:r>
            <w:r>
              <w:rPr>
                <w:rFonts w:cs="Times New Roman"/>
                <w:szCs w:val="24"/>
              </w:rPr>
              <w:t>d</w:t>
            </w:r>
            <w:r w:rsidRPr="002F7A1A">
              <w:rPr>
                <w:rFonts w:cs="Times New Roman"/>
                <w:szCs w:val="24"/>
              </w:rPr>
              <w:t>ose (Adult and Child): Up to 60 mg/day.</w:t>
            </w:r>
          </w:p>
          <w:p w14:paraId="4F8F9369" w14:textId="77777777" w:rsidR="00D20CB2" w:rsidRPr="00B1496A" w:rsidRDefault="00D20CB2" w:rsidP="002D6DD7">
            <w:pPr>
              <w:rPr>
                <w:rFonts w:cs="Times New Roman"/>
                <w:b/>
                <w:bCs/>
                <w:szCs w:val="24"/>
              </w:rPr>
            </w:pPr>
            <w:r w:rsidRPr="00B1496A">
              <w:rPr>
                <w:rFonts w:cs="Times New Roman"/>
                <w:b/>
                <w:bCs/>
                <w:szCs w:val="24"/>
              </w:rPr>
              <w:t xml:space="preserve">Primary </w:t>
            </w:r>
            <w:r w:rsidR="00DB52C7">
              <w:rPr>
                <w:rFonts w:cs="Times New Roman"/>
                <w:b/>
                <w:bCs/>
                <w:szCs w:val="24"/>
              </w:rPr>
              <w:t>h</w:t>
            </w:r>
            <w:r w:rsidRPr="00B1496A">
              <w:rPr>
                <w:rFonts w:cs="Times New Roman"/>
                <w:b/>
                <w:bCs/>
                <w:szCs w:val="24"/>
              </w:rPr>
              <w:t>yperaldosteronism (Pre-treatment before surgery)</w:t>
            </w:r>
          </w:p>
          <w:p w14:paraId="521705D3" w14:textId="77777777" w:rsidR="00D20CB2" w:rsidRPr="002F7A1A" w:rsidRDefault="00D20CB2" w:rsidP="002D6DD7">
            <w:pPr>
              <w:rPr>
                <w:rFonts w:cs="Times New Roman"/>
                <w:szCs w:val="24"/>
              </w:rPr>
            </w:pPr>
            <w:r w:rsidRPr="00B1496A">
              <w:rPr>
                <w:rFonts w:cs="Times New Roman"/>
                <w:b/>
                <w:bCs/>
                <w:szCs w:val="24"/>
              </w:rPr>
              <w:t>Adult:</w:t>
            </w:r>
            <w:r w:rsidRPr="002F7A1A">
              <w:rPr>
                <w:rFonts w:cs="Times New Roman"/>
                <w:szCs w:val="24"/>
              </w:rPr>
              <w:t xml:space="preserve"> 10 mg to 30 mg per day orally for 1-2 weeks before surgery, then taper postoperatively based on clinical response.</w:t>
            </w:r>
          </w:p>
          <w:p w14:paraId="584751F5" w14:textId="77777777" w:rsidR="00D20CB2" w:rsidRPr="002F7A1A" w:rsidRDefault="00D20CB2" w:rsidP="002D6DD7">
            <w:pPr>
              <w:rPr>
                <w:rFonts w:cs="Times New Roman"/>
                <w:szCs w:val="24"/>
              </w:rPr>
            </w:pPr>
            <w:r w:rsidRPr="00B1496A">
              <w:rPr>
                <w:rFonts w:cs="Times New Roman"/>
                <w:b/>
                <w:bCs/>
                <w:szCs w:val="24"/>
              </w:rPr>
              <w:t>Child:</w:t>
            </w:r>
            <w:r w:rsidRPr="002F7A1A">
              <w:rPr>
                <w:rFonts w:cs="Times New Roman"/>
                <w:szCs w:val="24"/>
              </w:rPr>
              <w:t xml:space="preserve"> Use under specialist advice, dosing individualized based on weight and clinical condition.</w:t>
            </w:r>
          </w:p>
          <w:p w14:paraId="432009D5" w14:textId="77777777" w:rsidR="00D20CB2" w:rsidRPr="00B1496A" w:rsidRDefault="00D20CB2" w:rsidP="002D6DD7">
            <w:pPr>
              <w:rPr>
                <w:rFonts w:cs="Times New Roman"/>
                <w:b/>
                <w:bCs/>
                <w:szCs w:val="24"/>
              </w:rPr>
            </w:pPr>
            <w:r w:rsidRPr="00B1496A">
              <w:rPr>
                <w:rFonts w:cs="Times New Roman"/>
                <w:b/>
                <w:bCs/>
                <w:szCs w:val="24"/>
              </w:rPr>
              <w:t xml:space="preserve">Cushing’s </w:t>
            </w:r>
            <w:r w:rsidR="00DB52C7">
              <w:rPr>
                <w:rFonts w:cs="Times New Roman"/>
                <w:b/>
                <w:bCs/>
                <w:szCs w:val="24"/>
              </w:rPr>
              <w:t>s</w:t>
            </w:r>
            <w:r w:rsidRPr="00B1496A">
              <w:rPr>
                <w:rFonts w:cs="Times New Roman"/>
                <w:b/>
                <w:bCs/>
                <w:szCs w:val="24"/>
              </w:rPr>
              <w:t>yndrome (</w:t>
            </w:r>
            <w:r w:rsidR="00DB52C7">
              <w:rPr>
                <w:rFonts w:cs="Times New Roman"/>
                <w:b/>
                <w:bCs/>
                <w:szCs w:val="24"/>
              </w:rPr>
              <w:t>m</w:t>
            </w:r>
            <w:r w:rsidRPr="00B1496A">
              <w:rPr>
                <w:rFonts w:cs="Times New Roman"/>
                <w:b/>
                <w:bCs/>
                <w:szCs w:val="24"/>
              </w:rPr>
              <w:t xml:space="preserve">anagement </w:t>
            </w:r>
            <w:r w:rsidR="00DB52C7">
              <w:rPr>
                <w:rFonts w:cs="Times New Roman"/>
                <w:b/>
                <w:bCs/>
                <w:szCs w:val="24"/>
              </w:rPr>
              <w:t>b</w:t>
            </w:r>
            <w:r w:rsidRPr="00B1496A">
              <w:rPr>
                <w:rFonts w:cs="Times New Roman"/>
                <w:b/>
                <w:bCs/>
                <w:szCs w:val="24"/>
              </w:rPr>
              <w:t xml:space="preserve">efore </w:t>
            </w:r>
            <w:r w:rsidR="00DB52C7">
              <w:rPr>
                <w:rFonts w:cs="Times New Roman"/>
                <w:b/>
                <w:bCs/>
                <w:szCs w:val="24"/>
              </w:rPr>
              <w:t>s</w:t>
            </w:r>
            <w:r w:rsidRPr="00B1496A">
              <w:rPr>
                <w:rFonts w:cs="Times New Roman"/>
                <w:b/>
                <w:bCs/>
                <w:szCs w:val="24"/>
              </w:rPr>
              <w:t xml:space="preserve">urgery or </w:t>
            </w:r>
            <w:r w:rsidR="00DB52C7">
              <w:rPr>
                <w:rFonts w:cs="Times New Roman"/>
                <w:b/>
                <w:bCs/>
                <w:szCs w:val="24"/>
              </w:rPr>
              <w:t>l</w:t>
            </w:r>
            <w:r w:rsidRPr="00B1496A">
              <w:rPr>
                <w:rFonts w:cs="Times New Roman"/>
                <w:b/>
                <w:bCs/>
                <w:szCs w:val="24"/>
              </w:rPr>
              <w:t>ong-</w:t>
            </w:r>
            <w:r w:rsidR="00DB52C7">
              <w:rPr>
                <w:rFonts w:cs="Times New Roman"/>
                <w:b/>
                <w:bCs/>
                <w:szCs w:val="24"/>
              </w:rPr>
              <w:t>t</w:t>
            </w:r>
            <w:r w:rsidRPr="00B1496A">
              <w:rPr>
                <w:rFonts w:cs="Times New Roman"/>
                <w:b/>
                <w:bCs/>
                <w:szCs w:val="24"/>
              </w:rPr>
              <w:t>erm)</w:t>
            </w:r>
            <w:r w:rsidR="00DB52C7">
              <w:rPr>
                <w:rFonts w:cs="Times New Roman"/>
                <w:b/>
                <w:bCs/>
                <w:szCs w:val="24"/>
              </w:rPr>
              <w:t>:</w:t>
            </w:r>
          </w:p>
          <w:p w14:paraId="3F260473" w14:textId="77777777" w:rsidR="00D20CB2" w:rsidRPr="002F7A1A" w:rsidRDefault="00D20CB2" w:rsidP="002D6DD7">
            <w:pPr>
              <w:rPr>
                <w:rFonts w:cs="Times New Roman"/>
                <w:szCs w:val="24"/>
              </w:rPr>
            </w:pPr>
            <w:r w:rsidRPr="00B1496A">
              <w:rPr>
                <w:rFonts w:cs="Times New Roman"/>
                <w:b/>
                <w:bCs/>
                <w:szCs w:val="24"/>
              </w:rPr>
              <w:t>Adult:</w:t>
            </w:r>
            <w:r w:rsidRPr="002F7A1A">
              <w:rPr>
                <w:rFonts w:cs="Times New Roman"/>
                <w:szCs w:val="24"/>
              </w:rPr>
              <w:t xml:space="preserve"> 20 mg to 40 mg per day orally in divided doses, adjusted based on clinical response and cortisol levels.</w:t>
            </w:r>
          </w:p>
          <w:p w14:paraId="308581FA" w14:textId="77777777" w:rsidR="00D20CB2" w:rsidRPr="002F7A1A" w:rsidRDefault="00D20CB2" w:rsidP="002D6DD7">
            <w:pPr>
              <w:rPr>
                <w:rFonts w:cs="Times New Roman"/>
                <w:szCs w:val="24"/>
              </w:rPr>
            </w:pPr>
            <w:r w:rsidRPr="00B1496A">
              <w:rPr>
                <w:rFonts w:cs="Times New Roman"/>
                <w:b/>
                <w:bCs/>
                <w:szCs w:val="24"/>
              </w:rPr>
              <w:t>Child:</w:t>
            </w:r>
            <w:r w:rsidRPr="002F7A1A">
              <w:rPr>
                <w:rFonts w:cs="Times New Roman"/>
                <w:szCs w:val="24"/>
              </w:rPr>
              <w:t xml:space="preserve"> 0.5 mg to 2 mg/kg/day orally, adjusted based on clinical response.</w:t>
            </w:r>
          </w:p>
          <w:p w14:paraId="0CD81144" w14:textId="77777777" w:rsidR="00D20CB2" w:rsidRPr="00B1496A" w:rsidRDefault="00D20CB2" w:rsidP="002D6DD7">
            <w:pPr>
              <w:rPr>
                <w:rFonts w:cs="Times New Roman"/>
                <w:b/>
                <w:bCs/>
                <w:szCs w:val="24"/>
              </w:rPr>
            </w:pPr>
            <w:r w:rsidRPr="00B1496A">
              <w:rPr>
                <w:rFonts w:cs="Times New Roman"/>
                <w:b/>
                <w:bCs/>
                <w:szCs w:val="24"/>
              </w:rPr>
              <w:lastRenderedPageBreak/>
              <w:t xml:space="preserve">Glucocorticoid </w:t>
            </w:r>
            <w:r w:rsidR="00DB52C7">
              <w:rPr>
                <w:rFonts w:cs="Times New Roman"/>
                <w:b/>
                <w:bCs/>
                <w:szCs w:val="24"/>
              </w:rPr>
              <w:t>r</w:t>
            </w:r>
            <w:r w:rsidRPr="00B1496A">
              <w:rPr>
                <w:rFonts w:cs="Times New Roman"/>
                <w:b/>
                <w:bCs/>
                <w:szCs w:val="24"/>
              </w:rPr>
              <w:t xml:space="preserve">eplacement in HPA Axis </w:t>
            </w:r>
            <w:r w:rsidR="00DB52C7">
              <w:rPr>
                <w:rFonts w:cs="Times New Roman"/>
                <w:b/>
                <w:bCs/>
                <w:szCs w:val="24"/>
              </w:rPr>
              <w:t>s</w:t>
            </w:r>
            <w:r w:rsidRPr="00B1496A">
              <w:rPr>
                <w:rFonts w:cs="Times New Roman"/>
                <w:b/>
                <w:bCs/>
                <w:szCs w:val="24"/>
              </w:rPr>
              <w:t>uppression</w:t>
            </w:r>
            <w:r w:rsidR="00DB52C7">
              <w:rPr>
                <w:rFonts w:cs="Times New Roman"/>
                <w:b/>
                <w:bCs/>
                <w:szCs w:val="24"/>
              </w:rPr>
              <w:t>:</w:t>
            </w:r>
          </w:p>
          <w:p w14:paraId="581B0F14" w14:textId="77777777" w:rsidR="00D20CB2" w:rsidRPr="002F7A1A" w:rsidRDefault="00D20CB2" w:rsidP="002D6DD7">
            <w:pPr>
              <w:rPr>
                <w:rFonts w:cs="Times New Roman"/>
                <w:szCs w:val="24"/>
              </w:rPr>
            </w:pPr>
            <w:r w:rsidRPr="00B1496A">
              <w:rPr>
                <w:rFonts w:cs="Times New Roman"/>
                <w:b/>
                <w:bCs/>
                <w:szCs w:val="24"/>
              </w:rPr>
              <w:t>Adult:</w:t>
            </w:r>
            <w:r w:rsidRPr="002F7A1A">
              <w:rPr>
                <w:rFonts w:cs="Times New Roman"/>
                <w:szCs w:val="24"/>
              </w:rPr>
              <w:t xml:space="preserve"> 5 mg to 20 mg per day orally, divided into morning and afternoon doses. Adjust based on clinical response and serum cortisol levels.</w:t>
            </w:r>
          </w:p>
          <w:p w14:paraId="211E6702" w14:textId="77777777" w:rsidR="00D20CB2" w:rsidRPr="002F7A1A" w:rsidRDefault="00D20CB2" w:rsidP="002D6DD7">
            <w:pPr>
              <w:jc w:val="both"/>
              <w:rPr>
                <w:rFonts w:cs="Times New Roman"/>
                <w:szCs w:val="24"/>
              </w:rPr>
            </w:pPr>
            <w:r w:rsidRPr="00B1496A">
              <w:rPr>
                <w:rFonts w:cs="Times New Roman"/>
                <w:b/>
                <w:bCs/>
                <w:szCs w:val="24"/>
              </w:rPr>
              <w:t>Child:</w:t>
            </w:r>
            <w:r w:rsidRPr="002F7A1A">
              <w:rPr>
                <w:rFonts w:cs="Times New Roman"/>
                <w:szCs w:val="24"/>
              </w:rPr>
              <w:t xml:space="preserve"> 0.14 mg to 2 mg/kg/day orally in divided doses, adjusted based on clinical response.</w:t>
            </w:r>
          </w:p>
        </w:tc>
      </w:tr>
      <w:tr w:rsidR="00D20CB2" w:rsidRPr="00B51149" w14:paraId="3F1D5336" w14:textId="77777777" w:rsidTr="002D6DD7">
        <w:tc>
          <w:tcPr>
            <w:tcW w:w="2695" w:type="dxa"/>
          </w:tcPr>
          <w:p w14:paraId="28B1BBD3"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457F48EC" w14:textId="77777777" w:rsidR="00D20CB2" w:rsidRPr="00B51149" w:rsidRDefault="00D20CB2" w:rsidP="002D6DD7">
            <w:pPr>
              <w:jc w:val="both"/>
              <w:rPr>
                <w:rFonts w:cs="Times New Roman"/>
                <w:szCs w:val="24"/>
              </w:rPr>
            </w:pPr>
            <w:r w:rsidRPr="00B51149">
              <w:rPr>
                <w:rFonts w:cs="Times New Roman"/>
                <w:szCs w:val="24"/>
              </w:rPr>
              <w:t>Systemic infection (unless life-threatening or specific antimicrobial therapy given)</w:t>
            </w:r>
            <w:r>
              <w:rPr>
                <w:rFonts w:cs="Times New Roman"/>
                <w:szCs w:val="24"/>
              </w:rPr>
              <w:t>,</w:t>
            </w:r>
            <w:r w:rsidRPr="00B51149">
              <w:rPr>
                <w:rFonts w:cs="Times New Roman"/>
                <w:szCs w:val="24"/>
              </w:rPr>
              <w:t xml:space="preserve"> live virus vaccines in those receiving immunosuppressive doses (serum antibody response diminished)</w:t>
            </w:r>
            <w:r>
              <w:rPr>
                <w:rFonts w:cs="Times New Roman"/>
                <w:szCs w:val="24"/>
              </w:rPr>
              <w:t xml:space="preserve">, </w:t>
            </w:r>
            <w:r w:rsidRPr="00B51149">
              <w:rPr>
                <w:rFonts w:cs="Times New Roman"/>
                <w:szCs w:val="24"/>
              </w:rPr>
              <w:t>blood clotting disorders, intra-articular fracture, osteoporosis, unstable joint</w:t>
            </w:r>
          </w:p>
        </w:tc>
      </w:tr>
      <w:tr w:rsidR="00D20CB2" w:rsidRPr="00B51149" w14:paraId="0E644005" w14:textId="77777777" w:rsidTr="002D6DD7">
        <w:tc>
          <w:tcPr>
            <w:tcW w:w="2695" w:type="dxa"/>
          </w:tcPr>
          <w:p w14:paraId="630E1169"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2DBEDE55" w14:textId="77777777" w:rsidR="00D20CB2" w:rsidRPr="00B51149" w:rsidRDefault="00D20CB2" w:rsidP="002D6DD7">
            <w:pPr>
              <w:rPr>
                <w:rFonts w:cs="Times New Roman"/>
                <w:szCs w:val="24"/>
              </w:rPr>
            </w:pPr>
            <w:r w:rsidRPr="00B51149">
              <w:rPr>
                <w:rFonts w:cs="Times New Roman"/>
                <w:szCs w:val="24"/>
                <w:shd w:val="clear" w:color="auto" w:fill="FFFFFF"/>
              </w:rPr>
              <w:t>Refer under other corticosteroids</w:t>
            </w:r>
            <w:r w:rsidRPr="00B51149">
              <w:rPr>
                <w:rFonts w:cs="Times New Roman"/>
                <w:szCs w:val="24"/>
              </w:rPr>
              <w:t xml:space="preserve"> above</w:t>
            </w:r>
            <w:r w:rsidR="00DB52C7">
              <w:rPr>
                <w:rFonts w:cs="Times New Roman"/>
                <w:szCs w:val="24"/>
              </w:rPr>
              <w:t>.</w:t>
            </w:r>
          </w:p>
        </w:tc>
      </w:tr>
      <w:tr w:rsidR="00D20CB2" w:rsidRPr="00B51149" w14:paraId="2A57F41E" w14:textId="77777777" w:rsidTr="002D6DD7">
        <w:tc>
          <w:tcPr>
            <w:tcW w:w="2695" w:type="dxa"/>
          </w:tcPr>
          <w:p w14:paraId="36F8AAD3"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660" w:type="dxa"/>
          </w:tcPr>
          <w:p w14:paraId="7CBE4487"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Refer under other Corticosteroids above</w:t>
            </w:r>
            <w:r w:rsidR="00DB52C7">
              <w:rPr>
                <w:rFonts w:cs="Times New Roman"/>
                <w:szCs w:val="24"/>
                <w:shd w:val="clear" w:color="auto" w:fill="FFFFFF"/>
              </w:rPr>
              <w:t>.</w:t>
            </w:r>
          </w:p>
        </w:tc>
      </w:tr>
      <w:tr w:rsidR="00D20CB2" w:rsidRPr="00B51149" w14:paraId="581B7D02" w14:textId="77777777" w:rsidTr="002D6DD7">
        <w:tc>
          <w:tcPr>
            <w:tcW w:w="2695" w:type="dxa"/>
          </w:tcPr>
          <w:p w14:paraId="0B3CED28"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3B62CB3B" w14:textId="77777777" w:rsidR="00D20CB2" w:rsidRPr="00B51149" w:rsidRDefault="00D20CB2" w:rsidP="002D6DD7">
            <w:pPr>
              <w:rPr>
                <w:rFonts w:cs="Times New Roman"/>
                <w:szCs w:val="24"/>
              </w:rPr>
            </w:pPr>
            <w:r w:rsidRPr="00B51149">
              <w:rPr>
                <w:rFonts w:cs="Times New Roman"/>
                <w:szCs w:val="24"/>
                <w:shd w:val="clear" w:color="auto" w:fill="FFFFFF"/>
              </w:rPr>
              <w:t>Refer under other Corticosteroids above</w:t>
            </w:r>
            <w:r w:rsidR="00DB52C7">
              <w:rPr>
                <w:rFonts w:cs="Times New Roman"/>
                <w:szCs w:val="24"/>
                <w:shd w:val="clear" w:color="auto" w:fill="FFFFFF"/>
              </w:rPr>
              <w:t>.</w:t>
            </w:r>
          </w:p>
        </w:tc>
      </w:tr>
      <w:tr w:rsidR="00D20CB2" w:rsidRPr="00B51149" w14:paraId="00CC5F71" w14:textId="77777777" w:rsidTr="002D6DD7">
        <w:tc>
          <w:tcPr>
            <w:tcW w:w="2695" w:type="dxa"/>
          </w:tcPr>
          <w:p w14:paraId="3197A91E"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223FB340" w14:textId="77777777" w:rsidR="00D20CB2" w:rsidRPr="00B51149" w:rsidRDefault="00D20CB2" w:rsidP="002D6DD7">
            <w:pPr>
              <w:rPr>
                <w:rFonts w:cs="Times New Roman"/>
                <w:color w:val="FF0000"/>
                <w:szCs w:val="24"/>
              </w:rPr>
            </w:pPr>
            <w:r w:rsidRPr="005F3551">
              <w:rPr>
                <w:rFonts w:cs="Times New Roman"/>
                <w:szCs w:val="24"/>
              </w:rPr>
              <w:t>Store below 30°C. Protect from light.</w:t>
            </w:r>
          </w:p>
        </w:tc>
      </w:tr>
      <w:tr w:rsidR="00D20CB2" w:rsidRPr="00B51149" w14:paraId="3EB2BBE8" w14:textId="77777777" w:rsidTr="002D6DD7">
        <w:tc>
          <w:tcPr>
            <w:tcW w:w="9355" w:type="dxa"/>
            <w:gridSpan w:val="2"/>
          </w:tcPr>
          <w:p w14:paraId="3B762693" w14:textId="77777777" w:rsidR="00D20CB2" w:rsidRPr="00B51149" w:rsidRDefault="00D20CB2" w:rsidP="002D6DD7">
            <w:pPr>
              <w:rPr>
                <w:rFonts w:cs="Times New Roman"/>
                <w:b/>
                <w:bCs/>
                <w:szCs w:val="24"/>
              </w:rPr>
            </w:pPr>
            <w:bookmarkStart w:id="135" w:name="_Toc168316995"/>
            <w:r w:rsidRPr="00B51149">
              <w:rPr>
                <w:rFonts w:cs="Times New Roman"/>
                <w:b/>
                <w:bCs/>
                <w:szCs w:val="24"/>
              </w:rPr>
              <w:t>Triamcinolone Acetonide</w:t>
            </w:r>
            <w:bookmarkEnd w:id="135"/>
            <w:r w:rsidRPr="00B51149">
              <w:rPr>
                <w:rFonts w:cs="Times New Roman"/>
                <w:b/>
                <w:bCs/>
                <w:szCs w:val="24"/>
              </w:rPr>
              <w:t xml:space="preserve">  </w:t>
            </w:r>
          </w:p>
        </w:tc>
      </w:tr>
      <w:tr w:rsidR="00D20CB2" w:rsidRPr="00B51149" w14:paraId="1623535A" w14:textId="77777777" w:rsidTr="002D6DD7">
        <w:tc>
          <w:tcPr>
            <w:tcW w:w="2695" w:type="dxa"/>
          </w:tcPr>
          <w:p w14:paraId="69DF84CD"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3EF69E4A" w14:textId="77777777" w:rsidR="00D20CB2" w:rsidRPr="00B51149" w:rsidRDefault="00D20CB2" w:rsidP="002D6DD7">
            <w:pPr>
              <w:rPr>
                <w:rFonts w:cs="Times New Roman"/>
                <w:szCs w:val="24"/>
              </w:rPr>
            </w:pPr>
            <w:r w:rsidRPr="00B51149">
              <w:rPr>
                <w:rFonts w:cs="Times New Roman"/>
                <w:szCs w:val="24"/>
              </w:rPr>
              <w:t>Corticosteroid</w:t>
            </w:r>
          </w:p>
        </w:tc>
      </w:tr>
      <w:tr w:rsidR="00D20CB2" w:rsidRPr="00B51149" w14:paraId="4C6CAF21" w14:textId="77777777" w:rsidTr="002D6DD7">
        <w:tc>
          <w:tcPr>
            <w:tcW w:w="2695" w:type="dxa"/>
          </w:tcPr>
          <w:p w14:paraId="64416EB2"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3D409C0C" w14:textId="77777777" w:rsidR="00D20CB2" w:rsidRDefault="00D20CB2" w:rsidP="002D6DD7">
            <w:pPr>
              <w:rPr>
                <w:rFonts w:cs="Times New Roman"/>
                <w:color w:val="000000"/>
                <w:szCs w:val="24"/>
              </w:rPr>
            </w:pPr>
            <w:r w:rsidRPr="00B51149">
              <w:rPr>
                <w:rFonts w:cs="Times New Roman"/>
                <w:color w:val="000000"/>
                <w:szCs w:val="24"/>
              </w:rPr>
              <w:t xml:space="preserve">Injection: 10mg/ml, 40mg/ml in vial, </w:t>
            </w:r>
          </w:p>
          <w:p w14:paraId="72AF5C16" w14:textId="77777777" w:rsidR="00D20CB2" w:rsidRPr="00B51149" w:rsidRDefault="00D20CB2" w:rsidP="002D6DD7">
            <w:pPr>
              <w:rPr>
                <w:rFonts w:cs="Times New Roman"/>
                <w:color w:val="000000"/>
                <w:szCs w:val="24"/>
              </w:rPr>
            </w:pPr>
            <w:r w:rsidRPr="00B51149">
              <w:rPr>
                <w:rFonts w:cs="Times New Roman"/>
                <w:color w:val="000000"/>
                <w:szCs w:val="24"/>
              </w:rPr>
              <w:t xml:space="preserve">Topical Cream/Ointment: 0.025%, 0.1%, 0.5%, </w:t>
            </w:r>
          </w:p>
        </w:tc>
      </w:tr>
      <w:tr w:rsidR="00D20CB2" w:rsidRPr="00B51149" w14:paraId="3AE4CFD3" w14:textId="77777777" w:rsidTr="002D6DD7">
        <w:tc>
          <w:tcPr>
            <w:tcW w:w="2695" w:type="dxa"/>
          </w:tcPr>
          <w:p w14:paraId="008757A3"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6339C91A" w14:textId="77777777" w:rsidR="00D20CB2" w:rsidRPr="00B51149" w:rsidRDefault="00D20CB2" w:rsidP="002D6DD7">
            <w:pPr>
              <w:rPr>
                <w:rFonts w:cs="Times New Roman"/>
                <w:iCs/>
                <w:szCs w:val="24"/>
              </w:rPr>
            </w:pPr>
            <w:r w:rsidRPr="00B51149">
              <w:rPr>
                <w:rFonts w:cs="Times New Roman"/>
                <w:szCs w:val="24"/>
              </w:rPr>
              <w:t>Allergic reactions, inflammatory conditions, autoimmune disorders, dermatologic conditions, joint and soft tissue injections</w:t>
            </w:r>
            <w:r w:rsidR="00DB52C7">
              <w:rPr>
                <w:rFonts w:cs="Times New Roman"/>
                <w:szCs w:val="24"/>
              </w:rPr>
              <w:t>.</w:t>
            </w:r>
          </w:p>
        </w:tc>
      </w:tr>
      <w:tr w:rsidR="00D20CB2" w:rsidRPr="00B51149" w14:paraId="4CFEDC9A" w14:textId="77777777" w:rsidTr="002D6DD7">
        <w:tc>
          <w:tcPr>
            <w:tcW w:w="2695" w:type="dxa"/>
          </w:tcPr>
          <w:p w14:paraId="7705ADBC"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2FE70E91" w14:textId="77777777" w:rsidR="00D20CB2" w:rsidRPr="00B55859" w:rsidRDefault="00D20CB2" w:rsidP="002D6DD7">
            <w:pPr>
              <w:rPr>
                <w:rFonts w:cs="Times New Roman"/>
                <w:b/>
                <w:bCs/>
                <w:color w:val="231F20"/>
                <w:szCs w:val="24"/>
              </w:rPr>
            </w:pPr>
            <w:r w:rsidRPr="00B55859">
              <w:rPr>
                <w:rFonts w:cs="Times New Roman"/>
                <w:b/>
                <w:bCs/>
                <w:color w:val="231F20"/>
                <w:szCs w:val="24"/>
              </w:rPr>
              <w:t xml:space="preserve">Adrenal </w:t>
            </w:r>
            <w:r w:rsidR="00DB52C7">
              <w:rPr>
                <w:rFonts w:cs="Times New Roman"/>
                <w:b/>
                <w:bCs/>
                <w:color w:val="231F20"/>
                <w:szCs w:val="24"/>
              </w:rPr>
              <w:t>i</w:t>
            </w:r>
            <w:r w:rsidRPr="00B55859">
              <w:rPr>
                <w:rFonts w:cs="Times New Roman"/>
                <w:b/>
                <w:bCs/>
                <w:color w:val="231F20"/>
                <w:szCs w:val="24"/>
              </w:rPr>
              <w:t xml:space="preserve">nsufficiency, </w:t>
            </w:r>
            <w:r w:rsidR="00DB52C7">
              <w:rPr>
                <w:rFonts w:cs="Times New Roman"/>
                <w:b/>
                <w:bCs/>
                <w:color w:val="231F20"/>
                <w:szCs w:val="24"/>
              </w:rPr>
              <w:t>s</w:t>
            </w:r>
            <w:r w:rsidRPr="00B55859">
              <w:rPr>
                <w:rFonts w:cs="Times New Roman"/>
                <w:b/>
                <w:bCs/>
                <w:color w:val="231F20"/>
                <w:szCs w:val="24"/>
              </w:rPr>
              <w:t xml:space="preserve">econdary </w:t>
            </w:r>
            <w:r w:rsidR="00DB52C7">
              <w:rPr>
                <w:rFonts w:cs="Times New Roman"/>
                <w:b/>
                <w:bCs/>
                <w:color w:val="231F20"/>
                <w:szCs w:val="24"/>
              </w:rPr>
              <w:t>a</w:t>
            </w:r>
            <w:r w:rsidRPr="00B55859">
              <w:rPr>
                <w:rFonts w:cs="Times New Roman"/>
                <w:b/>
                <w:bCs/>
                <w:color w:val="231F20"/>
                <w:szCs w:val="24"/>
              </w:rPr>
              <w:t xml:space="preserve">drenal </w:t>
            </w:r>
            <w:r w:rsidR="00DB52C7">
              <w:rPr>
                <w:rFonts w:cs="Times New Roman"/>
                <w:b/>
                <w:bCs/>
                <w:color w:val="231F20"/>
                <w:szCs w:val="24"/>
              </w:rPr>
              <w:t>i</w:t>
            </w:r>
            <w:r w:rsidRPr="00B55859">
              <w:rPr>
                <w:rFonts w:cs="Times New Roman"/>
                <w:b/>
                <w:bCs/>
                <w:color w:val="231F20"/>
                <w:szCs w:val="24"/>
              </w:rPr>
              <w:t>nsufficiency</w:t>
            </w:r>
            <w:r w:rsidR="00DB52C7">
              <w:rPr>
                <w:rFonts w:cs="Times New Roman"/>
                <w:b/>
                <w:bCs/>
                <w:color w:val="231F20"/>
                <w:szCs w:val="24"/>
              </w:rPr>
              <w:t xml:space="preserve">: </w:t>
            </w:r>
            <w:r>
              <w:rPr>
                <w:rFonts w:cs="Times New Roman"/>
                <w:b/>
                <w:bCs/>
                <w:color w:val="231F20"/>
                <w:szCs w:val="24"/>
              </w:rPr>
              <w:t>Parenteral:</w:t>
            </w:r>
          </w:p>
          <w:p w14:paraId="4E26A186" w14:textId="77777777" w:rsidR="00D20CB2" w:rsidRPr="00B55859" w:rsidRDefault="00D20CB2" w:rsidP="002D6DD7">
            <w:pPr>
              <w:rPr>
                <w:rFonts w:cs="Times New Roman"/>
                <w:color w:val="231F20"/>
                <w:szCs w:val="24"/>
              </w:rPr>
            </w:pPr>
            <w:r w:rsidRPr="00B55859">
              <w:rPr>
                <w:rFonts w:cs="Times New Roman"/>
                <w:b/>
                <w:bCs/>
                <w:color w:val="231F20"/>
                <w:szCs w:val="24"/>
              </w:rPr>
              <w:t>Adult:</w:t>
            </w:r>
            <w:r>
              <w:rPr>
                <w:rFonts w:cs="Times New Roman"/>
                <w:color w:val="231F20"/>
                <w:szCs w:val="24"/>
              </w:rPr>
              <w:t xml:space="preserve"> </w:t>
            </w:r>
            <w:r w:rsidRPr="00B55859">
              <w:rPr>
                <w:rFonts w:cs="Times New Roman"/>
                <w:color w:val="231F20"/>
                <w:szCs w:val="24"/>
              </w:rPr>
              <w:t>5 mg to 60 mg IM or intra-articularly, depending on the severity of the condition and clinical need.</w:t>
            </w:r>
          </w:p>
          <w:p w14:paraId="3B0F6B25" w14:textId="77777777" w:rsidR="00D20CB2" w:rsidRPr="00B55859" w:rsidRDefault="00D20CB2" w:rsidP="002D6DD7">
            <w:pPr>
              <w:rPr>
                <w:rFonts w:cs="Times New Roman"/>
                <w:color w:val="231F20"/>
                <w:szCs w:val="24"/>
              </w:rPr>
            </w:pPr>
            <w:r w:rsidRPr="00B55859">
              <w:rPr>
                <w:rFonts w:cs="Times New Roman"/>
                <w:color w:val="231F20"/>
                <w:szCs w:val="24"/>
              </w:rPr>
              <w:t>Frequency: Typically, every 1 to 4 weeks, adjusted based on response and clinical need.</w:t>
            </w:r>
          </w:p>
          <w:p w14:paraId="598E3FA2" w14:textId="77777777" w:rsidR="00D20CB2" w:rsidRPr="00B55859" w:rsidRDefault="00D20CB2" w:rsidP="002D6DD7">
            <w:pPr>
              <w:rPr>
                <w:rFonts w:cs="Times New Roman"/>
                <w:color w:val="231F20"/>
                <w:szCs w:val="24"/>
              </w:rPr>
            </w:pPr>
            <w:r w:rsidRPr="00B55859">
              <w:rPr>
                <w:rFonts w:cs="Times New Roman"/>
                <w:b/>
                <w:bCs/>
                <w:color w:val="231F20"/>
                <w:szCs w:val="24"/>
              </w:rPr>
              <w:t>Child:</w:t>
            </w:r>
            <w:r>
              <w:rPr>
                <w:rFonts w:cs="Times New Roman"/>
                <w:color w:val="231F20"/>
                <w:szCs w:val="24"/>
              </w:rPr>
              <w:t xml:space="preserve"> </w:t>
            </w:r>
            <w:r w:rsidRPr="00B55859">
              <w:rPr>
                <w:rFonts w:cs="Times New Roman"/>
                <w:color w:val="231F20"/>
                <w:szCs w:val="24"/>
              </w:rPr>
              <w:t>0.11 mg to 1.6 mg/kg IM or intra-articularly, depending on severity and clinical need.</w:t>
            </w:r>
          </w:p>
          <w:p w14:paraId="412C17D9" w14:textId="77777777" w:rsidR="00D20CB2" w:rsidRPr="00B55859" w:rsidRDefault="00D20CB2" w:rsidP="002D6DD7">
            <w:pPr>
              <w:rPr>
                <w:rFonts w:cs="Times New Roman"/>
                <w:color w:val="231F20"/>
                <w:szCs w:val="24"/>
              </w:rPr>
            </w:pPr>
            <w:r w:rsidRPr="00B55859">
              <w:rPr>
                <w:rFonts w:cs="Times New Roman"/>
                <w:color w:val="231F20"/>
                <w:szCs w:val="24"/>
              </w:rPr>
              <w:t>Frequency: Typically, every 1 to 4 weeks, adjusted based on response and clinical need.</w:t>
            </w:r>
          </w:p>
          <w:p w14:paraId="539BAC2F" w14:textId="77777777" w:rsidR="00D20CB2" w:rsidRPr="00B44785" w:rsidRDefault="00D20CB2" w:rsidP="002D6DD7">
            <w:pPr>
              <w:rPr>
                <w:rFonts w:cs="Times New Roman"/>
                <w:b/>
                <w:bCs/>
                <w:color w:val="231F20"/>
                <w:szCs w:val="24"/>
              </w:rPr>
            </w:pPr>
            <w:r w:rsidRPr="00B44785">
              <w:rPr>
                <w:rFonts w:cs="Times New Roman"/>
                <w:b/>
                <w:bCs/>
                <w:color w:val="231F20"/>
                <w:szCs w:val="24"/>
              </w:rPr>
              <w:lastRenderedPageBreak/>
              <w:t>Adrenal Insufficiency with Skin Manifestations, Topical:</w:t>
            </w:r>
          </w:p>
          <w:p w14:paraId="16296470" w14:textId="77777777" w:rsidR="00D20CB2" w:rsidRPr="00B44785" w:rsidRDefault="00D20CB2" w:rsidP="002D6DD7">
            <w:pPr>
              <w:rPr>
                <w:rFonts w:cs="Times New Roman"/>
                <w:b/>
                <w:bCs/>
                <w:color w:val="231F20"/>
                <w:szCs w:val="24"/>
              </w:rPr>
            </w:pPr>
            <w:r w:rsidRPr="00B44785">
              <w:rPr>
                <w:rFonts w:cs="Times New Roman"/>
                <w:b/>
                <w:bCs/>
                <w:color w:val="231F20"/>
                <w:szCs w:val="24"/>
              </w:rPr>
              <w:t>Adult and Child</w:t>
            </w:r>
            <w:r>
              <w:rPr>
                <w:rFonts w:cs="Times New Roman"/>
                <w:b/>
                <w:bCs/>
                <w:color w:val="231F20"/>
                <w:szCs w:val="24"/>
              </w:rPr>
              <w:t xml:space="preserve">: </w:t>
            </w:r>
            <w:r w:rsidRPr="00B55859">
              <w:rPr>
                <w:rFonts w:cs="Times New Roman"/>
                <w:color w:val="231F20"/>
                <w:szCs w:val="24"/>
              </w:rPr>
              <w:t>Apply a thin layer to the affected area 2 to 4 times daily.</w:t>
            </w:r>
            <w:r>
              <w:rPr>
                <w:rFonts w:cs="Times New Roman"/>
                <w:color w:val="231F20"/>
                <w:szCs w:val="24"/>
              </w:rPr>
              <w:t xml:space="preserve"> </w:t>
            </w:r>
            <w:r w:rsidRPr="00B55859">
              <w:rPr>
                <w:rFonts w:cs="Times New Roman"/>
                <w:color w:val="231F20"/>
                <w:szCs w:val="24"/>
              </w:rPr>
              <w:t>Use as directed by a healthcare provider, typically for a short duration to minimize side effects.</w:t>
            </w:r>
          </w:p>
        </w:tc>
      </w:tr>
      <w:tr w:rsidR="00D20CB2" w:rsidRPr="00B51149" w14:paraId="17E21E15" w14:textId="77777777" w:rsidTr="002D6DD7">
        <w:tc>
          <w:tcPr>
            <w:tcW w:w="2695" w:type="dxa"/>
          </w:tcPr>
          <w:p w14:paraId="6861D776"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0C93A9B4" w14:textId="77777777" w:rsidR="00D20CB2" w:rsidRPr="00B51149" w:rsidRDefault="00D20CB2" w:rsidP="002D6DD7">
            <w:pPr>
              <w:rPr>
                <w:rFonts w:cs="Times New Roman"/>
                <w:szCs w:val="24"/>
              </w:rPr>
            </w:pPr>
            <w:r w:rsidRPr="00B51149">
              <w:rPr>
                <w:rFonts w:cs="Times New Roman"/>
                <w:szCs w:val="24"/>
                <w:shd w:val="clear" w:color="auto" w:fill="FFFFFF"/>
              </w:rPr>
              <w:t>Refer under other corticosteroids.</w:t>
            </w:r>
          </w:p>
        </w:tc>
      </w:tr>
      <w:tr w:rsidR="00D20CB2" w:rsidRPr="00B51149" w14:paraId="271E15FD" w14:textId="77777777" w:rsidTr="002D6DD7">
        <w:tc>
          <w:tcPr>
            <w:tcW w:w="2695" w:type="dxa"/>
          </w:tcPr>
          <w:p w14:paraId="58A8CE3D"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5EFCE65B"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Refer under other corticosteroids.</w:t>
            </w:r>
          </w:p>
        </w:tc>
      </w:tr>
      <w:tr w:rsidR="00D20CB2" w:rsidRPr="00B51149" w14:paraId="3DF7801A" w14:textId="77777777" w:rsidTr="002D6DD7">
        <w:tc>
          <w:tcPr>
            <w:tcW w:w="2695" w:type="dxa"/>
          </w:tcPr>
          <w:p w14:paraId="483E5816"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1AC62148" w14:textId="77777777" w:rsidR="00D20CB2" w:rsidRPr="00B51149" w:rsidRDefault="00D20CB2" w:rsidP="002D6DD7">
            <w:pPr>
              <w:rPr>
                <w:rFonts w:cs="Times New Roman"/>
                <w:szCs w:val="24"/>
              </w:rPr>
            </w:pPr>
            <w:r w:rsidRPr="00B51149">
              <w:rPr>
                <w:rFonts w:cs="Times New Roman"/>
                <w:szCs w:val="24"/>
              </w:rPr>
              <w:t>Local irritation at the site of application or injection, dry skin, itching, redness; systemic effects such as adrenal suppression, increased susceptibility to infection, osteoporosis, cataracts, glaucoma, hyperglycemia</w:t>
            </w:r>
          </w:p>
        </w:tc>
      </w:tr>
      <w:tr w:rsidR="00D20CB2" w:rsidRPr="00B51149" w14:paraId="001A0F92" w14:textId="77777777" w:rsidTr="002D6DD7">
        <w:tc>
          <w:tcPr>
            <w:tcW w:w="2695" w:type="dxa"/>
          </w:tcPr>
          <w:p w14:paraId="5AFA4115"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4D9FA216" w14:textId="77777777" w:rsidR="00D20CB2" w:rsidRPr="00B51149" w:rsidRDefault="00D20CB2" w:rsidP="002D6DD7">
            <w:pPr>
              <w:rPr>
                <w:rFonts w:cs="Times New Roman"/>
                <w:color w:val="231F20"/>
                <w:szCs w:val="24"/>
              </w:rPr>
            </w:pPr>
            <w:r w:rsidRPr="00B51149">
              <w:rPr>
                <w:rFonts w:cs="Times New Roman"/>
                <w:color w:val="231F20"/>
                <w:szCs w:val="24"/>
              </w:rPr>
              <w:t>High dosage, chronic therapy</w:t>
            </w:r>
          </w:p>
        </w:tc>
      </w:tr>
      <w:tr w:rsidR="00D20CB2" w:rsidRPr="00B51149" w14:paraId="33B67BB8" w14:textId="77777777" w:rsidTr="002D6DD7">
        <w:tc>
          <w:tcPr>
            <w:tcW w:w="2695" w:type="dxa"/>
          </w:tcPr>
          <w:p w14:paraId="02D404E5"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1ACC8928" w14:textId="77777777" w:rsidR="00D20CB2" w:rsidRPr="00B51149" w:rsidRDefault="00D20CB2" w:rsidP="002D6DD7">
            <w:pPr>
              <w:rPr>
                <w:rFonts w:cs="Times New Roman"/>
                <w:color w:val="FF0000"/>
                <w:szCs w:val="24"/>
              </w:rPr>
            </w:pPr>
            <w:r w:rsidRPr="00B51149">
              <w:rPr>
                <w:rFonts w:cs="Times New Roman"/>
                <w:szCs w:val="24"/>
              </w:rPr>
              <w:t xml:space="preserve">Store </w:t>
            </w:r>
            <w:r>
              <w:rPr>
                <w:rFonts w:cs="Times New Roman"/>
                <w:szCs w:val="24"/>
              </w:rPr>
              <w:t>below</w:t>
            </w:r>
            <w:r w:rsidRPr="00B51149">
              <w:rPr>
                <w:rFonts w:cs="Times New Roman"/>
                <w:szCs w:val="24"/>
              </w:rPr>
              <w:t xml:space="preserve"> 30°C. </w:t>
            </w:r>
            <w:r>
              <w:rPr>
                <w:rFonts w:cs="Times New Roman"/>
                <w:szCs w:val="24"/>
              </w:rPr>
              <w:t>Protect from light.</w:t>
            </w:r>
          </w:p>
        </w:tc>
      </w:tr>
    </w:tbl>
    <w:p w14:paraId="7AB4FE45" w14:textId="77777777" w:rsidR="00D20CB2" w:rsidRDefault="00D20CB2" w:rsidP="00D20CB2">
      <w:pPr>
        <w:pStyle w:val="ListParagraph"/>
        <w:spacing w:line="360" w:lineRule="auto"/>
        <w:ind w:left="1080" w:firstLine="0"/>
        <w:rPr>
          <w:rFonts w:eastAsiaTheme="minorHAnsi"/>
          <w:b/>
          <w:bCs/>
          <w:color w:val="000000"/>
          <w:szCs w:val="24"/>
        </w:rPr>
      </w:pPr>
    </w:p>
    <w:p w14:paraId="0C8B9D03" w14:textId="77777777" w:rsidR="00D20CB2" w:rsidRPr="00DB52C7" w:rsidRDefault="00D20CB2" w:rsidP="00DB52C7">
      <w:pPr>
        <w:pStyle w:val="Heading2"/>
        <w:spacing w:before="240" w:after="240"/>
        <w:rPr>
          <w:rFonts w:eastAsiaTheme="minorHAnsi"/>
        </w:rPr>
      </w:pPr>
      <w:bookmarkStart w:id="136" w:name="_Toc179490367"/>
      <w:r w:rsidRPr="00DB52C7">
        <w:rPr>
          <w:rFonts w:eastAsiaTheme="minorHAnsi"/>
        </w:rPr>
        <w:t xml:space="preserve">Thyroid </w:t>
      </w:r>
      <w:r w:rsidR="00DB52C7">
        <w:rPr>
          <w:rFonts w:eastAsiaTheme="minorHAnsi"/>
        </w:rPr>
        <w:t>h</w:t>
      </w:r>
      <w:r w:rsidRPr="00DB52C7">
        <w:rPr>
          <w:rFonts w:eastAsiaTheme="minorHAnsi"/>
        </w:rPr>
        <w:t xml:space="preserve">ormone and </w:t>
      </w:r>
      <w:r w:rsidR="00DB52C7">
        <w:rPr>
          <w:rFonts w:eastAsiaTheme="minorHAnsi"/>
        </w:rPr>
        <w:t>a</w:t>
      </w:r>
      <w:r w:rsidRPr="00DB52C7">
        <w:rPr>
          <w:rFonts w:eastAsiaTheme="minorHAnsi"/>
        </w:rPr>
        <w:t xml:space="preserve">nti-thyroid </w:t>
      </w:r>
      <w:r w:rsidR="00DB52C7">
        <w:rPr>
          <w:rFonts w:eastAsiaTheme="minorHAnsi"/>
        </w:rPr>
        <w:t>m</w:t>
      </w:r>
      <w:r w:rsidRPr="00DB52C7">
        <w:rPr>
          <w:rFonts w:eastAsiaTheme="minorHAnsi"/>
        </w:rPr>
        <w:t>edicines</w:t>
      </w:r>
      <w:bookmarkEnd w:id="136"/>
    </w:p>
    <w:p w14:paraId="6313223A" w14:textId="77777777" w:rsidR="00D20CB2" w:rsidRPr="00944B15" w:rsidRDefault="00D20CB2" w:rsidP="00D20CB2">
      <w:pPr>
        <w:spacing w:after="0"/>
        <w:jc w:val="both"/>
        <w:rPr>
          <w:rFonts w:eastAsiaTheme="minorHAnsi" w:cs="Times New Roman"/>
          <w:color w:val="000000"/>
          <w:szCs w:val="24"/>
          <w:lang w:eastAsia="en-US"/>
        </w:rPr>
      </w:pPr>
      <w:r w:rsidRPr="00944B15">
        <w:rPr>
          <w:rFonts w:eastAsiaTheme="minorHAnsi" w:cs="Times New Roman"/>
          <w:color w:val="000000"/>
          <w:szCs w:val="24"/>
          <w:lang w:eastAsia="en-US"/>
        </w:rPr>
        <w:t>Thyroid hormone and anti-thyroid medications are vital in managing thyroid disorders, which can significantly impact metabolism and overall health. Lugol’s solution contains iodine, which inhibits the release of thyroid hormones, making it useful in preoperative preparation for thyroidectomy. Anti-thyroid drugs like carbimazole and propylthiouracil (PTU) inhibit thyroid peroxidase, an enzyme essential for thyroid hormone synthesis, thereby reducing thyroid hormone levels in hyperthyroidism. Levothyroxine, a synthetic form of thyroxine (T4), is used to treat hypothyroidism by supplementing low levels of thyroid hormone, thus normalizing metabolic processes. Propranolol, a non-selective beta-blocker, alleviates symptoms of hyperthyroidism such as tachycardia and tremors by blocking the effects of excessive thyroid hormones on the cardiovascular system, providing symptomatic relief.</w:t>
      </w:r>
    </w:p>
    <w:tbl>
      <w:tblPr>
        <w:tblStyle w:val="TableGrid"/>
        <w:tblW w:w="9355" w:type="dxa"/>
        <w:tblLook w:val="04A0" w:firstRow="1" w:lastRow="0" w:firstColumn="1" w:lastColumn="0" w:noHBand="0" w:noVBand="1"/>
      </w:tblPr>
      <w:tblGrid>
        <w:gridCol w:w="2695"/>
        <w:gridCol w:w="6660"/>
      </w:tblGrid>
      <w:tr w:rsidR="00D20CB2" w:rsidRPr="00B51149" w14:paraId="6F3C522E" w14:textId="77777777" w:rsidTr="002D6DD7">
        <w:tc>
          <w:tcPr>
            <w:tcW w:w="9355" w:type="dxa"/>
            <w:gridSpan w:val="2"/>
          </w:tcPr>
          <w:p w14:paraId="7014F65D" w14:textId="77777777" w:rsidR="00D20CB2" w:rsidRPr="00B51149" w:rsidRDefault="00D20CB2" w:rsidP="002D6DD7">
            <w:pPr>
              <w:rPr>
                <w:rFonts w:cs="Times New Roman"/>
                <w:b/>
                <w:bCs/>
                <w:szCs w:val="24"/>
              </w:rPr>
            </w:pPr>
            <w:bookmarkStart w:id="137" w:name="_Toc168316997"/>
            <w:r w:rsidRPr="00B51149">
              <w:rPr>
                <w:rFonts w:cs="Times New Roman"/>
                <w:b/>
                <w:bCs/>
                <w:szCs w:val="24"/>
                <w:lang w:val="fr-FR"/>
              </w:rPr>
              <w:t>Carbimazole</w:t>
            </w:r>
            <w:bookmarkEnd w:id="137"/>
          </w:p>
        </w:tc>
      </w:tr>
      <w:tr w:rsidR="00D20CB2" w:rsidRPr="00B51149" w14:paraId="69CA3EBB" w14:textId="77777777" w:rsidTr="002D6DD7">
        <w:tc>
          <w:tcPr>
            <w:tcW w:w="2695" w:type="dxa"/>
          </w:tcPr>
          <w:p w14:paraId="7829AD69"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71EE9B57" w14:textId="77777777" w:rsidR="00D20CB2" w:rsidRPr="00B51149" w:rsidRDefault="00D20CB2" w:rsidP="002D6DD7">
            <w:pPr>
              <w:rPr>
                <w:rFonts w:cs="Times New Roman"/>
                <w:b/>
                <w:bCs/>
                <w:szCs w:val="24"/>
              </w:rPr>
            </w:pPr>
            <w:r w:rsidRPr="00B51149">
              <w:rPr>
                <w:rStyle w:val="Strong"/>
                <w:rFonts w:cs="Times New Roman"/>
                <w:color w:val="111111"/>
                <w:szCs w:val="24"/>
              </w:rPr>
              <w:t>Imidazole</w:t>
            </w:r>
          </w:p>
        </w:tc>
      </w:tr>
      <w:tr w:rsidR="00D20CB2" w:rsidRPr="00B51149" w14:paraId="55A912F8" w14:textId="77777777" w:rsidTr="002D6DD7">
        <w:tc>
          <w:tcPr>
            <w:tcW w:w="2695" w:type="dxa"/>
          </w:tcPr>
          <w:p w14:paraId="0ED57BF4"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2F010853" w14:textId="77777777" w:rsidR="00D20CB2" w:rsidRPr="00B51149" w:rsidRDefault="00D20CB2" w:rsidP="002D6DD7">
            <w:pPr>
              <w:rPr>
                <w:rFonts w:cs="Times New Roman"/>
                <w:color w:val="000000"/>
                <w:szCs w:val="24"/>
                <w:lang w:val="sv-SE"/>
              </w:rPr>
            </w:pPr>
            <w:r w:rsidRPr="00B51149">
              <w:rPr>
                <w:rFonts w:cs="Times New Roman"/>
                <w:color w:val="000000"/>
                <w:szCs w:val="24"/>
                <w:lang w:val="fr-FR"/>
              </w:rPr>
              <w:t>Tablet</w:t>
            </w:r>
            <w:r>
              <w:rPr>
                <w:rFonts w:cs="Times New Roman"/>
                <w:color w:val="000000"/>
                <w:szCs w:val="24"/>
                <w:lang w:val="fr-FR"/>
              </w:rPr>
              <w:t xml:space="preserve"> : </w:t>
            </w:r>
            <w:r w:rsidRPr="00B51149">
              <w:rPr>
                <w:rFonts w:cs="Times New Roman"/>
                <w:color w:val="000000"/>
                <w:szCs w:val="24"/>
                <w:lang w:val="fr-FR"/>
              </w:rPr>
              <w:t>5 mg, 10 mg, 20 mg</w:t>
            </w:r>
          </w:p>
        </w:tc>
      </w:tr>
      <w:tr w:rsidR="00D20CB2" w:rsidRPr="00B51149" w14:paraId="7879F19D" w14:textId="77777777" w:rsidTr="002D6DD7">
        <w:tc>
          <w:tcPr>
            <w:tcW w:w="2695" w:type="dxa"/>
          </w:tcPr>
          <w:p w14:paraId="5249A47C"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6E381491" w14:textId="77777777" w:rsidR="00D20CB2" w:rsidRPr="00B51149" w:rsidRDefault="00D20CB2" w:rsidP="002D6DD7">
            <w:pPr>
              <w:rPr>
                <w:rFonts w:cs="Times New Roman"/>
                <w:iCs/>
                <w:szCs w:val="24"/>
              </w:rPr>
            </w:pPr>
            <w:r w:rsidRPr="00B51149">
              <w:rPr>
                <w:rFonts w:cs="Times New Roman"/>
                <w:szCs w:val="24"/>
              </w:rPr>
              <w:t>Hyperthyroidism, Graves' disease, preparation for thyroid surgery, thyrotoxic crisis (thyroid storm).</w:t>
            </w:r>
          </w:p>
        </w:tc>
      </w:tr>
      <w:tr w:rsidR="00D20CB2" w:rsidRPr="00B51149" w14:paraId="28BF37F5" w14:textId="77777777" w:rsidTr="002D6DD7">
        <w:tc>
          <w:tcPr>
            <w:tcW w:w="2695" w:type="dxa"/>
          </w:tcPr>
          <w:p w14:paraId="79370673" w14:textId="77777777" w:rsidR="00D20CB2" w:rsidRPr="00B51149" w:rsidRDefault="00D20CB2" w:rsidP="002D6DD7">
            <w:pPr>
              <w:rPr>
                <w:rFonts w:cs="Times New Roman"/>
                <w:szCs w:val="24"/>
              </w:rPr>
            </w:pPr>
            <w:r w:rsidRPr="00B51149">
              <w:rPr>
                <w:rFonts w:cs="Times New Roman"/>
                <w:szCs w:val="24"/>
              </w:rPr>
              <w:lastRenderedPageBreak/>
              <w:t>Dose and Administration</w:t>
            </w:r>
          </w:p>
        </w:tc>
        <w:tc>
          <w:tcPr>
            <w:tcW w:w="6660" w:type="dxa"/>
          </w:tcPr>
          <w:p w14:paraId="4EFF51B4" w14:textId="77777777" w:rsidR="00D20CB2" w:rsidRPr="00DB52C7" w:rsidRDefault="00D20CB2" w:rsidP="002D6DD7">
            <w:pPr>
              <w:rPr>
                <w:rFonts w:cs="Times New Roman"/>
                <w:b/>
                <w:szCs w:val="24"/>
              </w:rPr>
            </w:pPr>
            <w:r w:rsidRPr="00DB52C7">
              <w:rPr>
                <w:rFonts w:cs="Times New Roman"/>
                <w:b/>
                <w:szCs w:val="24"/>
              </w:rPr>
              <w:t>Hyperthyroidism</w:t>
            </w:r>
            <w:r w:rsidR="00DB52C7">
              <w:rPr>
                <w:rFonts w:cs="Times New Roman"/>
                <w:b/>
                <w:szCs w:val="24"/>
              </w:rPr>
              <w:t>:</w:t>
            </w:r>
          </w:p>
          <w:p w14:paraId="33EE3DD5" w14:textId="77777777" w:rsidR="00D20CB2" w:rsidRPr="00DB52C7" w:rsidRDefault="00D20CB2" w:rsidP="002D6DD7">
            <w:pPr>
              <w:rPr>
                <w:rFonts w:cs="Times New Roman"/>
                <w:b/>
                <w:szCs w:val="24"/>
              </w:rPr>
            </w:pPr>
            <w:r w:rsidRPr="00DB52C7">
              <w:rPr>
                <w:rFonts w:cs="Times New Roman"/>
                <w:b/>
                <w:szCs w:val="24"/>
              </w:rPr>
              <w:t>Adult</w:t>
            </w:r>
            <w:r w:rsidR="00DB52C7">
              <w:rPr>
                <w:rFonts w:cs="Times New Roman"/>
                <w:b/>
                <w:szCs w:val="24"/>
              </w:rPr>
              <w:t>:</w:t>
            </w:r>
          </w:p>
          <w:p w14:paraId="55C6ED3E" w14:textId="77777777" w:rsidR="00D20CB2" w:rsidRPr="00890657" w:rsidRDefault="00D20CB2" w:rsidP="002D6DD7">
            <w:pPr>
              <w:rPr>
                <w:rFonts w:cs="Times New Roman"/>
                <w:szCs w:val="24"/>
              </w:rPr>
            </w:pPr>
            <w:r w:rsidRPr="00890657">
              <w:rPr>
                <w:rFonts w:cs="Times New Roman"/>
                <w:szCs w:val="24"/>
              </w:rPr>
              <w:t xml:space="preserve">Initial </w:t>
            </w:r>
            <w:r>
              <w:rPr>
                <w:rFonts w:cs="Times New Roman"/>
                <w:szCs w:val="24"/>
              </w:rPr>
              <w:t>d</w:t>
            </w:r>
            <w:r w:rsidRPr="00890657">
              <w:rPr>
                <w:rFonts w:cs="Times New Roman"/>
                <w:szCs w:val="24"/>
              </w:rPr>
              <w:t>ose: 20 mg to 60 mg per day orally in divided doses.</w:t>
            </w:r>
          </w:p>
          <w:p w14:paraId="4B884DB2" w14:textId="77777777" w:rsidR="00D20CB2" w:rsidRPr="00890657" w:rsidRDefault="00D20CB2" w:rsidP="002D6DD7">
            <w:pPr>
              <w:rPr>
                <w:rFonts w:cs="Times New Roman"/>
                <w:szCs w:val="24"/>
              </w:rPr>
            </w:pPr>
            <w:r w:rsidRPr="00890657">
              <w:rPr>
                <w:rFonts w:cs="Times New Roman"/>
                <w:szCs w:val="24"/>
              </w:rPr>
              <w:t xml:space="preserve">Maintenance </w:t>
            </w:r>
            <w:r>
              <w:rPr>
                <w:rFonts w:cs="Times New Roman"/>
                <w:szCs w:val="24"/>
              </w:rPr>
              <w:t>d</w:t>
            </w:r>
            <w:r w:rsidRPr="00890657">
              <w:rPr>
                <w:rFonts w:cs="Times New Roman"/>
                <w:szCs w:val="24"/>
              </w:rPr>
              <w:t>ose: 5 mg to 15 mg per day once euthyroid state is achieved.</w:t>
            </w:r>
          </w:p>
          <w:p w14:paraId="47198E44" w14:textId="77777777" w:rsidR="00D20CB2" w:rsidRPr="00890657" w:rsidRDefault="00D20CB2" w:rsidP="002D6DD7">
            <w:pPr>
              <w:rPr>
                <w:rFonts w:cs="Times New Roman"/>
                <w:b/>
                <w:bCs/>
                <w:szCs w:val="24"/>
              </w:rPr>
            </w:pPr>
            <w:r w:rsidRPr="00890657">
              <w:rPr>
                <w:rFonts w:cs="Times New Roman"/>
                <w:b/>
                <w:bCs/>
                <w:szCs w:val="24"/>
              </w:rPr>
              <w:t>Child</w:t>
            </w:r>
            <w:r w:rsidR="00DB52C7">
              <w:rPr>
                <w:rFonts w:cs="Times New Roman"/>
                <w:b/>
                <w:bCs/>
                <w:szCs w:val="24"/>
              </w:rPr>
              <w:t>:</w:t>
            </w:r>
          </w:p>
          <w:p w14:paraId="3A73900F" w14:textId="77777777" w:rsidR="00D20CB2" w:rsidRPr="00DB52C7" w:rsidRDefault="00D20CB2" w:rsidP="002D6DD7">
            <w:pPr>
              <w:rPr>
                <w:rFonts w:cs="Times New Roman"/>
                <w:szCs w:val="24"/>
              </w:rPr>
            </w:pPr>
            <w:r w:rsidRPr="00DB52C7">
              <w:rPr>
                <w:rFonts w:cs="Times New Roman"/>
                <w:bCs/>
                <w:szCs w:val="24"/>
              </w:rPr>
              <w:t>Initial dose:</w:t>
            </w:r>
            <w:r w:rsidRPr="00DB52C7">
              <w:rPr>
                <w:rFonts w:cs="Times New Roman"/>
                <w:szCs w:val="24"/>
              </w:rPr>
              <w:t xml:space="preserve"> 0.5 mg/kg/day orally in divided doses.</w:t>
            </w:r>
          </w:p>
          <w:p w14:paraId="7E6A629E" w14:textId="77777777" w:rsidR="00D20CB2" w:rsidRPr="00890657" w:rsidRDefault="00D20CB2" w:rsidP="002D6DD7">
            <w:pPr>
              <w:rPr>
                <w:rFonts w:cs="Times New Roman"/>
                <w:szCs w:val="24"/>
              </w:rPr>
            </w:pPr>
            <w:r w:rsidRPr="00DB52C7">
              <w:rPr>
                <w:rFonts w:cs="Times New Roman"/>
                <w:bCs/>
                <w:szCs w:val="24"/>
              </w:rPr>
              <w:t>Maintenance dose:</w:t>
            </w:r>
            <w:r w:rsidRPr="00890657">
              <w:rPr>
                <w:rFonts w:cs="Times New Roman"/>
                <w:szCs w:val="24"/>
              </w:rPr>
              <w:t xml:space="preserve"> Adjust based on clinical response and thyroid function tests.</w:t>
            </w:r>
          </w:p>
          <w:p w14:paraId="52563910" w14:textId="77777777" w:rsidR="00D20CB2" w:rsidRPr="00890657" w:rsidRDefault="00D20CB2" w:rsidP="002D6DD7">
            <w:pPr>
              <w:rPr>
                <w:rFonts w:cs="Times New Roman"/>
                <w:b/>
                <w:bCs/>
                <w:szCs w:val="24"/>
              </w:rPr>
            </w:pPr>
            <w:r w:rsidRPr="00890657">
              <w:rPr>
                <w:rFonts w:cs="Times New Roman"/>
                <w:b/>
                <w:bCs/>
                <w:szCs w:val="24"/>
              </w:rPr>
              <w:t>Graves' Disease</w:t>
            </w:r>
            <w:r w:rsidR="00DB52C7">
              <w:rPr>
                <w:rFonts w:cs="Times New Roman"/>
                <w:b/>
                <w:bCs/>
                <w:szCs w:val="24"/>
              </w:rPr>
              <w:t>:</w:t>
            </w:r>
          </w:p>
          <w:p w14:paraId="50D809C8" w14:textId="77777777" w:rsidR="00FD05F1" w:rsidRDefault="00D20CB2" w:rsidP="002D6DD7">
            <w:pPr>
              <w:rPr>
                <w:rFonts w:cs="Times New Roman"/>
                <w:b/>
                <w:bCs/>
                <w:szCs w:val="24"/>
              </w:rPr>
            </w:pPr>
            <w:r w:rsidRPr="00890657">
              <w:rPr>
                <w:rFonts w:cs="Times New Roman"/>
                <w:b/>
                <w:bCs/>
                <w:szCs w:val="24"/>
              </w:rPr>
              <w:t>Adult</w:t>
            </w:r>
            <w:r w:rsidR="00DB52C7">
              <w:rPr>
                <w:rFonts w:cs="Times New Roman"/>
                <w:b/>
                <w:bCs/>
                <w:szCs w:val="24"/>
              </w:rPr>
              <w:t>:</w:t>
            </w:r>
          </w:p>
          <w:p w14:paraId="0AFC17E0" w14:textId="77777777" w:rsidR="00D20CB2" w:rsidRPr="00890657" w:rsidRDefault="00D20CB2" w:rsidP="002D6DD7">
            <w:pPr>
              <w:rPr>
                <w:rFonts w:cs="Times New Roman"/>
                <w:szCs w:val="24"/>
              </w:rPr>
            </w:pPr>
            <w:r w:rsidRPr="00DB52C7">
              <w:rPr>
                <w:rFonts w:cs="Times New Roman"/>
                <w:bCs/>
                <w:szCs w:val="24"/>
              </w:rPr>
              <w:t>Initial dose:</w:t>
            </w:r>
            <w:r w:rsidRPr="00890657">
              <w:rPr>
                <w:rFonts w:cs="Times New Roman"/>
                <w:szCs w:val="24"/>
              </w:rPr>
              <w:t xml:space="preserve"> 20 mg to 60 mg per day orally in divided doses until euthyroid, then reduce to 5 mg to 15 mg per day.</w:t>
            </w:r>
          </w:p>
          <w:p w14:paraId="042C942A" w14:textId="77777777" w:rsidR="00D20CB2" w:rsidRPr="00890657" w:rsidRDefault="00D20CB2" w:rsidP="002D6DD7">
            <w:pPr>
              <w:rPr>
                <w:rFonts w:cs="Times New Roman"/>
                <w:b/>
                <w:bCs/>
                <w:szCs w:val="24"/>
              </w:rPr>
            </w:pPr>
            <w:r w:rsidRPr="00890657">
              <w:rPr>
                <w:rFonts w:cs="Times New Roman"/>
                <w:b/>
                <w:bCs/>
                <w:szCs w:val="24"/>
              </w:rPr>
              <w:t>Child</w:t>
            </w:r>
            <w:r w:rsidR="00FD05F1">
              <w:rPr>
                <w:rFonts w:cs="Times New Roman"/>
                <w:b/>
                <w:bCs/>
                <w:szCs w:val="24"/>
              </w:rPr>
              <w:t>:</w:t>
            </w:r>
          </w:p>
          <w:p w14:paraId="3D3CD40B" w14:textId="77777777" w:rsidR="00D20CB2" w:rsidRPr="00FD05F1" w:rsidRDefault="00D20CB2" w:rsidP="002D6DD7">
            <w:pPr>
              <w:rPr>
                <w:rFonts w:cs="Times New Roman"/>
                <w:szCs w:val="24"/>
              </w:rPr>
            </w:pPr>
            <w:r w:rsidRPr="00FD05F1">
              <w:rPr>
                <w:rFonts w:cs="Times New Roman"/>
                <w:bCs/>
                <w:szCs w:val="24"/>
              </w:rPr>
              <w:t>Initial dose:</w:t>
            </w:r>
            <w:r w:rsidRPr="00FD05F1">
              <w:rPr>
                <w:rFonts w:cs="Times New Roman"/>
                <w:szCs w:val="24"/>
              </w:rPr>
              <w:t xml:space="preserve"> 0.5 mg/kg/day orally in divided doses.</w:t>
            </w:r>
          </w:p>
          <w:p w14:paraId="619F7A18" w14:textId="77777777" w:rsidR="00D20CB2" w:rsidRPr="00890657" w:rsidRDefault="00D20CB2" w:rsidP="002D6DD7">
            <w:pPr>
              <w:rPr>
                <w:rFonts w:cs="Times New Roman"/>
                <w:szCs w:val="24"/>
              </w:rPr>
            </w:pPr>
            <w:r w:rsidRPr="00FD05F1">
              <w:rPr>
                <w:rFonts w:cs="Times New Roman"/>
                <w:bCs/>
                <w:szCs w:val="24"/>
              </w:rPr>
              <w:t>Maintenance Dose:</w:t>
            </w:r>
            <w:r w:rsidRPr="00890657">
              <w:rPr>
                <w:rFonts w:cs="Times New Roman"/>
                <w:szCs w:val="24"/>
              </w:rPr>
              <w:t xml:space="preserve"> Adjust based on clinical response and thyroid function tests.</w:t>
            </w:r>
          </w:p>
          <w:p w14:paraId="3E1BCB3A" w14:textId="77777777" w:rsidR="00D20CB2" w:rsidRPr="00890657" w:rsidRDefault="00D20CB2" w:rsidP="002D6DD7">
            <w:pPr>
              <w:rPr>
                <w:rFonts w:cs="Times New Roman"/>
                <w:b/>
                <w:bCs/>
                <w:szCs w:val="24"/>
              </w:rPr>
            </w:pPr>
            <w:r w:rsidRPr="00890657">
              <w:rPr>
                <w:rFonts w:cs="Times New Roman"/>
                <w:b/>
                <w:bCs/>
                <w:szCs w:val="24"/>
              </w:rPr>
              <w:t xml:space="preserve">Preparation for </w:t>
            </w:r>
            <w:r w:rsidR="00FD05F1">
              <w:rPr>
                <w:rFonts w:cs="Times New Roman"/>
                <w:b/>
                <w:bCs/>
                <w:szCs w:val="24"/>
              </w:rPr>
              <w:t>t</w:t>
            </w:r>
            <w:r w:rsidRPr="00890657">
              <w:rPr>
                <w:rFonts w:cs="Times New Roman"/>
                <w:b/>
                <w:bCs/>
                <w:szCs w:val="24"/>
              </w:rPr>
              <w:t xml:space="preserve">hyroid </w:t>
            </w:r>
            <w:r w:rsidR="00FD05F1">
              <w:rPr>
                <w:rFonts w:cs="Times New Roman"/>
                <w:b/>
                <w:bCs/>
                <w:szCs w:val="24"/>
              </w:rPr>
              <w:t>s</w:t>
            </w:r>
            <w:r w:rsidRPr="00890657">
              <w:rPr>
                <w:rFonts w:cs="Times New Roman"/>
                <w:b/>
                <w:bCs/>
                <w:szCs w:val="24"/>
              </w:rPr>
              <w:t>urgery</w:t>
            </w:r>
            <w:r w:rsidR="00FD05F1">
              <w:rPr>
                <w:rFonts w:cs="Times New Roman"/>
                <w:b/>
                <w:bCs/>
                <w:szCs w:val="24"/>
              </w:rPr>
              <w:t>:</w:t>
            </w:r>
          </w:p>
          <w:p w14:paraId="4B50481C" w14:textId="77777777" w:rsidR="00D20CB2" w:rsidRPr="00890657" w:rsidRDefault="00D20CB2" w:rsidP="002D6DD7">
            <w:pPr>
              <w:rPr>
                <w:rFonts w:cs="Times New Roman"/>
                <w:b/>
                <w:bCs/>
                <w:szCs w:val="24"/>
              </w:rPr>
            </w:pPr>
            <w:r w:rsidRPr="00890657">
              <w:rPr>
                <w:rFonts w:cs="Times New Roman"/>
                <w:b/>
                <w:bCs/>
                <w:szCs w:val="24"/>
              </w:rPr>
              <w:t>Adult</w:t>
            </w:r>
            <w:r>
              <w:rPr>
                <w:rFonts w:cs="Times New Roman"/>
                <w:b/>
                <w:bCs/>
                <w:szCs w:val="24"/>
              </w:rPr>
              <w:t xml:space="preserve">: </w:t>
            </w:r>
            <w:r w:rsidRPr="00890657">
              <w:rPr>
                <w:rFonts w:cs="Times New Roman"/>
                <w:szCs w:val="24"/>
              </w:rPr>
              <w:t>20 mg to 60 mg per day orally in divided doses for 6 to 8 weeks before surgery.</w:t>
            </w:r>
          </w:p>
          <w:p w14:paraId="61EB446B" w14:textId="77777777" w:rsidR="00D20CB2" w:rsidRPr="00890657" w:rsidRDefault="00D20CB2" w:rsidP="002D6DD7">
            <w:pPr>
              <w:rPr>
                <w:rFonts w:cs="Times New Roman"/>
                <w:b/>
                <w:bCs/>
                <w:szCs w:val="24"/>
              </w:rPr>
            </w:pPr>
            <w:r w:rsidRPr="00890657">
              <w:rPr>
                <w:rFonts w:cs="Times New Roman"/>
                <w:b/>
                <w:bCs/>
                <w:szCs w:val="24"/>
              </w:rPr>
              <w:t>Child</w:t>
            </w:r>
            <w:r>
              <w:rPr>
                <w:rFonts w:cs="Times New Roman"/>
                <w:b/>
                <w:bCs/>
                <w:szCs w:val="24"/>
              </w:rPr>
              <w:t xml:space="preserve">: </w:t>
            </w:r>
            <w:r w:rsidRPr="00890657">
              <w:rPr>
                <w:rFonts w:cs="Times New Roman"/>
                <w:szCs w:val="24"/>
              </w:rPr>
              <w:t>0.5 mg/kg/day orally in divided doses, adjusted based on clinical response and thyroid function tests.</w:t>
            </w:r>
          </w:p>
          <w:p w14:paraId="19ACAC71" w14:textId="77777777" w:rsidR="00D20CB2" w:rsidRPr="00890657" w:rsidRDefault="00D20CB2" w:rsidP="002D6DD7">
            <w:pPr>
              <w:rPr>
                <w:rFonts w:cs="Times New Roman"/>
                <w:b/>
                <w:bCs/>
                <w:szCs w:val="24"/>
              </w:rPr>
            </w:pPr>
            <w:r w:rsidRPr="00890657">
              <w:rPr>
                <w:rFonts w:cs="Times New Roman"/>
                <w:b/>
                <w:bCs/>
                <w:szCs w:val="24"/>
              </w:rPr>
              <w:t xml:space="preserve">Thyrotoxic </w:t>
            </w:r>
            <w:r w:rsidR="00FD05F1">
              <w:rPr>
                <w:rFonts w:cs="Times New Roman"/>
                <w:b/>
                <w:bCs/>
                <w:szCs w:val="24"/>
              </w:rPr>
              <w:t>c</w:t>
            </w:r>
            <w:r w:rsidRPr="00890657">
              <w:rPr>
                <w:rFonts w:cs="Times New Roman"/>
                <w:b/>
                <w:bCs/>
                <w:szCs w:val="24"/>
              </w:rPr>
              <w:t>risis (</w:t>
            </w:r>
            <w:r w:rsidR="00FD05F1">
              <w:rPr>
                <w:rFonts w:cs="Times New Roman"/>
                <w:b/>
                <w:bCs/>
                <w:szCs w:val="24"/>
              </w:rPr>
              <w:t>t</w:t>
            </w:r>
            <w:r w:rsidRPr="00890657">
              <w:rPr>
                <w:rFonts w:cs="Times New Roman"/>
                <w:b/>
                <w:bCs/>
                <w:szCs w:val="24"/>
              </w:rPr>
              <w:t xml:space="preserve">hyroid </w:t>
            </w:r>
            <w:r w:rsidR="00FD05F1">
              <w:rPr>
                <w:rFonts w:cs="Times New Roman"/>
                <w:b/>
                <w:bCs/>
                <w:szCs w:val="24"/>
              </w:rPr>
              <w:t>s</w:t>
            </w:r>
            <w:r w:rsidRPr="00890657">
              <w:rPr>
                <w:rFonts w:cs="Times New Roman"/>
                <w:b/>
                <w:bCs/>
                <w:szCs w:val="24"/>
              </w:rPr>
              <w:t>torm)</w:t>
            </w:r>
            <w:r w:rsidR="00FD05F1">
              <w:rPr>
                <w:rFonts w:cs="Times New Roman"/>
                <w:b/>
                <w:bCs/>
                <w:szCs w:val="24"/>
              </w:rPr>
              <w:t>:</w:t>
            </w:r>
          </w:p>
          <w:p w14:paraId="1060304A" w14:textId="77777777" w:rsidR="00D20CB2" w:rsidRPr="00890657" w:rsidRDefault="00D20CB2" w:rsidP="002D6DD7">
            <w:pPr>
              <w:rPr>
                <w:rFonts w:cs="Times New Roman"/>
                <w:szCs w:val="24"/>
              </w:rPr>
            </w:pPr>
            <w:r w:rsidRPr="00890657">
              <w:rPr>
                <w:rFonts w:cs="Times New Roman"/>
                <w:b/>
                <w:bCs/>
                <w:szCs w:val="24"/>
              </w:rPr>
              <w:t>Adult:</w:t>
            </w:r>
            <w:r>
              <w:rPr>
                <w:rFonts w:cs="Times New Roman"/>
                <w:szCs w:val="24"/>
              </w:rPr>
              <w:t xml:space="preserve"> </w:t>
            </w:r>
            <w:r w:rsidRPr="00890657">
              <w:rPr>
                <w:rFonts w:cs="Times New Roman"/>
                <w:szCs w:val="24"/>
              </w:rPr>
              <w:t>60 mg to 80 mg per day orally in divided doses.</w:t>
            </w:r>
          </w:p>
          <w:p w14:paraId="55293410" w14:textId="77777777" w:rsidR="00D20CB2" w:rsidRPr="00890657" w:rsidRDefault="00D20CB2" w:rsidP="002D6DD7">
            <w:pPr>
              <w:rPr>
                <w:rFonts w:cs="Times New Roman"/>
                <w:szCs w:val="24"/>
              </w:rPr>
            </w:pPr>
            <w:r w:rsidRPr="00890657">
              <w:rPr>
                <w:rFonts w:cs="Times New Roman"/>
                <w:b/>
                <w:bCs/>
                <w:szCs w:val="24"/>
              </w:rPr>
              <w:t>Child</w:t>
            </w:r>
            <w:r>
              <w:rPr>
                <w:rFonts w:cs="Times New Roman"/>
                <w:b/>
                <w:bCs/>
                <w:szCs w:val="24"/>
              </w:rPr>
              <w:t xml:space="preserve">: </w:t>
            </w:r>
            <w:r w:rsidRPr="00890657">
              <w:rPr>
                <w:rFonts w:cs="Times New Roman"/>
                <w:szCs w:val="24"/>
              </w:rPr>
              <w:t>1 mg/kg/day orally in divided doses, adjusted based on clinical response and thyroid function tests.</w:t>
            </w:r>
          </w:p>
        </w:tc>
      </w:tr>
      <w:tr w:rsidR="00D20CB2" w:rsidRPr="00B51149" w14:paraId="2A314CD0" w14:textId="77777777" w:rsidTr="002D6DD7">
        <w:tc>
          <w:tcPr>
            <w:tcW w:w="2695" w:type="dxa"/>
          </w:tcPr>
          <w:p w14:paraId="4AD28C4B" w14:textId="77777777" w:rsidR="00D20CB2" w:rsidRPr="00B51149" w:rsidRDefault="00D20CB2" w:rsidP="002D6DD7">
            <w:pPr>
              <w:rPr>
                <w:rFonts w:cs="Times New Roman"/>
                <w:szCs w:val="24"/>
              </w:rPr>
            </w:pPr>
            <w:r w:rsidRPr="00B51149">
              <w:rPr>
                <w:rFonts w:cs="Times New Roman"/>
                <w:szCs w:val="24"/>
              </w:rPr>
              <w:t>Contraindications</w:t>
            </w:r>
          </w:p>
        </w:tc>
        <w:tc>
          <w:tcPr>
            <w:tcW w:w="6660" w:type="dxa"/>
          </w:tcPr>
          <w:p w14:paraId="0A5CEE5E" w14:textId="77777777" w:rsidR="00D20CB2" w:rsidRPr="00B51149" w:rsidRDefault="00D20CB2" w:rsidP="002D6DD7">
            <w:pPr>
              <w:rPr>
                <w:rFonts w:cs="Times New Roman"/>
                <w:szCs w:val="24"/>
              </w:rPr>
            </w:pPr>
            <w:r w:rsidRPr="00B51149">
              <w:rPr>
                <w:rFonts w:cs="Times New Roman"/>
                <w:szCs w:val="24"/>
              </w:rPr>
              <w:t xml:space="preserve">Hypersensitivity to </w:t>
            </w:r>
            <w:r>
              <w:rPr>
                <w:rFonts w:cs="Times New Roman"/>
                <w:szCs w:val="24"/>
              </w:rPr>
              <w:t>the drug</w:t>
            </w:r>
          </w:p>
        </w:tc>
      </w:tr>
      <w:tr w:rsidR="00D20CB2" w:rsidRPr="00B51149" w14:paraId="582F9D69" w14:textId="77777777" w:rsidTr="002D6DD7">
        <w:tc>
          <w:tcPr>
            <w:tcW w:w="2695" w:type="dxa"/>
          </w:tcPr>
          <w:p w14:paraId="405C9809"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3B416E42" w14:textId="77777777" w:rsidR="00D20CB2" w:rsidRPr="00B51149" w:rsidRDefault="00D20CB2" w:rsidP="002D6DD7">
            <w:pPr>
              <w:rPr>
                <w:rFonts w:cs="Times New Roman"/>
                <w:szCs w:val="24"/>
              </w:rPr>
            </w:pPr>
            <w:r w:rsidRPr="00B51149">
              <w:rPr>
                <w:rFonts w:cs="Times New Roman"/>
                <w:szCs w:val="24"/>
              </w:rPr>
              <w:t>Oral anticoagulants and heparin</w:t>
            </w:r>
          </w:p>
        </w:tc>
      </w:tr>
      <w:tr w:rsidR="00D20CB2" w:rsidRPr="00B51149" w14:paraId="7AB85A0D" w14:textId="77777777" w:rsidTr="002D6DD7">
        <w:tc>
          <w:tcPr>
            <w:tcW w:w="2695" w:type="dxa"/>
          </w:tcPr>
          <w:p w14:paraId="35B6B144"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3CBB5BAA" w14:textId="77777777" w:rsidR="00D20CB2" w:rsidRPr="00B51149" w:rsidRDefault="00D20CB2" w:rsidP="002D6DD7">
            <w:pPr>
              <w:jc w:val="both"/>
              <w:rPr>
                <w:rFonts w:cs="Times New Roman"/>
                <w:szCs w:val="24"/>
              </w:rPr>
            </w:pPr>
            <w:r w:rsidRPr="00B51149">
              <w:rPr>
                <w:rFonts w:cs="Times New Roman"/>
                <w:szCs w:val="24"/>
              </w:rPr>
              <w:t xml:space="preserve">Pruritus, skin rashes, non-specific gastrointestinal disturbances, headache, mild arthralgia, urticaria, alopecia, drug-induced agranulocytosis, cholestatic hepatitis with jaundice, blood </w:t>
            </w:r>
            <w:r w:rsidRPr="00B51149">
              <w:rPr>
                <w:rFonts w:cs="Times New Roman"/>
                <w:szCs w:val="24"/>
              </w:rPr>
              <w:lastRenderedPageBreak/>
              <w:t>dyscrasias, and "drug-fever" reactions.</w:t>
            </w:r>
          </w:p>
        </w:tc>
      </w:tr>
      <w:tr w:rsidR="00D20CB2" w:rsidRPr="00B51149" w14:paraId="40EDF979" w14:textId="77777777" w:rsidTr="002D6DD7">
        <w:tc>
          <w:tcPr>
            <w:tcW w:w="2695" w:type="dxa"/>
          </w:tcPr>
          <w:p w14:paraId="0D63A800" w14:textId="77777777" w:rsidR="00D20CB2" w:rsidRPr="00B51149" w:rsidRDefault="00D20CB2" w:rsidP="002D6DD7">
            <w:pPr>
              <w:rPr>
                <w:rFonts w:cs="Times New Roman"/>
                <w:szCs w:val="24"/>
              </w:rPr>
            </w:pPr>
            <w:r w:rsidRPr="00B51149">
              <w:rPr>
                <w:rFonts w:cs="Times New Roman"/>
                <w:szCs w:val="24"/>
              </w:rPr>
              <w:lastRenderedPageBreak/>
              <w:t xml:space="preserve">Cautions </w:t>
            </w:r>
          </w:p>
        </w:tc>
        <w:tc>
          <w:tcPr>
            <w:tcW w:w="6660" w:type="dxa"/>
          </w:tcPr>
          <w:p w14:paraId="4330C478" w14:textId="77777777" w:rsidR="00D20CB2" w:rsidRPr="00B51149" w:rsidRDefault="00D20CB2" w:rsidP="002D6DD7">
            <w:pPr>
              <w:rPr>
                <w:rFonts w:cs="Times New Roman"/>
                <w:szCs w:val="24"/>
              </w:rPr>
            </w:pPr>
            <w:r>
              <w:rPr>
                <w:rFonts w:cs="Times New Roman"/>
                <w:szCs w:val="24"/>
              </w:rPr>
              <w:t>Hepatic i</w:t>
            </w:r>
            <w:r w:rsidRPr="00B51149">
              <w:rPr>
                <w:rFonts w:cs="Times New Roman"/>
                <w:szCs w:val="24"/>
              </w:rPr>
              <w:t>mpairm</w:t>
            </w:r>
            <w:r>
              <w:rPr>
                <w:rFonts w:cs="Times New Roman"/>
                <w:szCs w:val="24"/>
              </w:rPr>
              <w:t>ent</w:t>
            </w:r>
            <w:r w:rsidRPr="00B51149">
              <w:rPr>
                <w:rFonts w:cs="Times New Roman"/>
                <w:szCs w:val="24"/>
              </w:rPr>
              <w:t xml:space="preserve">, tracheal obstruction, bone marrow suppression, pregnancy, </w:t>
            </w:r>
            <w:r>
              <w:rPr>
                <w:rFonts w:cs="Times New Roman"/>
                <w:szCs w:val="24"/>
              </w:rPr>
              <w:t>breastfeeding</w:t>
            </w:r>
          </w:p>
        </w:tc>
      </w:tr>
      <w:tr w:rsidR="00D20CB2" w:rsidRPr="00B51149" w14:paraId="4E306794" w14:textId="77777777" w:rsidTr="002D6DD7">
        <w:tc>
          <w:tcPr>
            <w:tcW w:w="2695" w:type="dxa"/>
          </w:tcPr>
          <w:p w14:paraId="0488748C"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01EBCD52" w14:textId="77777777" w:rsidR="00D20CB2" w:rsidRPr="00B51149" w:rsidRDefault="00D20CB2" w:rsidP="002D6DD7">
            <w:pPr>
              <w:rPr>
                <w:rFonts w:cs="Times New Roman"/>
                <w:color w:val="FF0000"/>
                <w:szCs w:val="24"/>
              </w:rPr>
            </w:pPr>
            <w:r w:rsidRPr="00B51149">
              <w:rPr>
                <w:rFonts w:cs="Times New Roman"/>
                <w:szCs w:val="24"/>
              </w:rPr>
              <w:t xml:space="preserve">Store </w:t>
            </w:r>
            <w:r>
              <w:rPr>
                <w:rFonts w:cs="Times New Roman"/>
                <w:szCs w:val="24"/>
              </w:rPr>
              <w:t>below</w:t>
            </w:r>
            <w:r w:rsidRPr="00B51149">
              <w:rPr>
                <w:rFonts w:cs="Times New Roman"/>
                <w:szCs w:val="24"/>
              </w:rPr>
              <w:t xml:space="preserve"> 30°C. </w:t>
            </w:r>
            <w:r>
              <w:rPr>
                <w:rFonts w:cs="Times New Roman"/>
                <w:szCs w:val="24"/>
              </w:rPr>
              <w:t>Protect from light.</w:t>
            </w:r>
          </w:p>
        </w:tc>
      </w:tr>
      <w:tr w:rsidR="00D20CB2" w:rsidRPr="00B51149" w14:paraId="2404A0B3" w14:textId="77777777" w:rsidTr="002D6DD7">
        <w:tc>
          <w:tcPr>
            <w:tcW w:w="9355" w:type="dxa"/>
            <w:gridSpan w:val="2"/>
          </w:tcPr>
          <w:p w14:paraId="320279BA" w14:textId="77777777" w:rsidR="00D20CB2" w:rsidRPr="00B51149" w:rsidRDefault="00D20CB2" w:rsidP="002D6DD7">
            <w:pPr>
              <w:rPr>
                <w:rFonts w:cs="Times New Roman"/>
                <w:b/>
                <w:bCs/>
                <w:szCs w:val="24"/>
              </w:rPr>
            </w:pPr>
            <w:r w:rsidRPr="00B51149">
              <w:rPr>
                <w:rFonts w:cs="Times New Roman"/>
                <w:b/>
                <w:bCs/>
                <w:szCs w:val="24"/>
                <w:lang w:val="fr-FR"/>
              </w:rPr>
              <w:t>Levothyroxine</w:t>
            </w:r>
          </w:p>
        </w:tc>
      </w:tr>
      <w:tr w:rsidR="00D20CB2" w:rsidRPr="00B51149" w14:paraId="0384568C" w14:textId="77777777" w:rsidTr="002D6DD7">
        <w:tc>
          <w:tcPr>
            <w:tcW w:w="2695" w:type="dxa"/>
          </w:tcPr>
          <w:p w14:paraId="6095BB7B"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6B465052" w14:textId="77777777" w:rsidR="00D20CB2" w:rsidRPr="00B51149" w:rsidRDefault="00D20CB2" w:rsidP="002D6DD7">
            <w:pPr>
              <w:rPr>
                <w:rFonts w:cs="Times New Roman"/>
                <w:szCs w:val="24"/>
              </w:rPr>
            </w:pPr>
            <w:r w:rsidRPr="00B51149">
              <w:rPr>
                <w:rFonts w:cs="Times New Roman"/>
                <w:color w:val="111111"/>
                <w:szCs w:val="24"/>
                <w:shd w:val="clear" w:color="auto" w:fill="FFFFFF"/>
              </w:rPr>
              <w:t>Thyroid preparation</w:t>
            </w:r>
          </w:p>
        </w:tc>
      </w:tr>
      <w:tr w:rsidR="00D20CB2" w:rsidRPr="00B51149" w14:paraId="38FB6E20" w14:textId="77777777" w:rsidTr="002D6DD7">
        <w:tc>
          <w:tcPr>
            <w:tcW w:w="2695" w:type="dxa"/>
          </w:tcPr>
          <w:p w14:paraId="06F8FCF9"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190D9435" w14:textId="77777777" w:rsidR="00D20CB2" w:rsidRPr="00B51149" w:rsidRDefault="00D20CB2" w:rsidP="002D6DD7">
            <w:pPr>
              <w:rPr>
                <w:rFonts w:cs="Times New Roman"/>
                <w:color w:val="000000"/>
                <w:szCs w:val="24"/>
                <w:lang w:val="fr-FR"/>
              </w:rPr>
            </w:pPr>
            <w:r w:rsidRPr="00B51149">
              <w:rPr>
                <w:rFonts w:cs="Times New Roman"/>
                <w:color w:val="000000"/>
                <w:szCs w:val="24"/>
                <w:lang w:val="fr-FR"/>
              </w:rPr>
              <w:t xml:space="preserve">Tablet : 0.025mg, 0.05mg, 0.1 mg </w:t>
            </w:r>
          </w:p>
        </w:tc>
      </w:tr>
      <w:tr w:rsidR="00D20CB2" w:rsidRPr="00B51149" w14:paraId="607FEDDA" w14:textId="77777777" w:rsidTr="002D6DD7">
        <w:tc>
          <w:tcPr>
            <w:tcW w:w="2695" w:type="dxa"/>
          </w:tcPr>
          <w:p w14:paraId="20BC964C"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7DDE9ED3" w14:textId="77777777" w:rsidR="00D20CB2" w:rsidRPr="00B51149" w:rsidRDefault="00D20CB2" w:rsidP="002D6DD7">
            <w:pPr>
              <w:rPr>
                <w:rFonts w:cs="Times New Roman"/>
                <w:iCs/>
                <w:szCs w:val="24"/>
              </w:rPr>
            </w:pPr>
            <w:r w:rsidRPr="00B51149">
              <w:rPr>
                <w:rFonts w:cs="Times New Roman"/>
                <w:szCs w:val="24"/>
              </w:rPr>
              <w:t>Primary hypothyroidism, secondary (pituitary) hypothyroidism, tertiary (hypothalamic) hypothyroidism, subclinical hypothyroidism, goiter, thyroid cancer (as part of thyroid hormone suppression therapy).</w:t>
            </w:r>
          </w:p>
        </w:tc>
      </w:tr>
      <w:tr w:rsidR="00D20CB2" w:rsidRPr="00B51149" w14:paraId="4D80C0D8" w14:textId="77777777" w:rsidTr="002D6DD7">
        <w:tc>
          <w:tcPr>
            <w:tcW w:w="2695" w:type="dxa"/>
          </w:tcPr>
          <w:p w14:paraId="26D49EEF"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45E20F64" w14:textId="77777777" w:rsidR="00D20CB2" w:rsidRPr="00B916D6" w:rsidRDefault="00D20CB2" w:rsidP="002D6DD7">
            <w:pPr>
              <w:rPr>
                <w:rFonts w:cs="Times New Roman"/>
                <w:b/>
                <w:bCs/>
                <w:szCs w:val="24"/>
              </w:rPr>
            </w:pPr>
            <w:r w:rsidRPr="00B916D6">
              <w:rPr>
                <w:rFonts w:cs="Times New Roman"/>
                <w:b/>
                <w:bCs/>
                <w:szCs w:val="24"/>
              </w:rPr>
              <w:t>Primary Hypothyroidism, Secondary (Pituitary)</w:t>
            </w:r>
            <w:r w:rsidR="00E731CA">
              <w:rPr>
                <w:rFonts w:cs="Times New Roman"/>
                <w:b/>
                <w:bCs/>
                <w:szCs w:val="24"/>
              </w:rPr>
              <w:t>,</w:t>
            </w:r>
            <w:r w:rsidRPr="00B916D6">
              <w:rPr>
                <w:rFonts w:cs="Times New Roman"/>
                <w:b/>
                <w:bCs/>
                <w:szCs w:val="24"/>
              </w:rPr>
              <w:t xml:space="preserve"> Hypothyroidism, Tertiary (Hypothalamic) Hypothyroidism</w:t>
            </w:r>
          </w:p>
          <w:p w14:paraId="0C753DA2" w14:textId="77777777" w:rsidR="00D20CB2" w:rsidRPr="00B916D6" w:rsidRDefault="00D20CB2" w:rsidP="002D6DD7">
            <w:pPr>
              <w:rPr>
                <w:rFonts w:cs="Times New Roman"/>
                <w:szCs w:val="24"/>
              </w:rPr>
            </w:pPr>
            <w:r w:rsidRPr="00B916D6">
              <w:rPr>
                <w:rFonts w:cs="Times New Roman"/>
                <w:b/>
                <w:bCs/>
                <w:szCs w:val="24"/>
              </w:rPr>
              <w:t>Adult</w:t>
            </w:r>
            <w:r>
              <w:rPr>
                <w:rFonts w:cs="Times New Roman"/>
                <w:b/>
                <w:bCs/>
                <w:szCs w:val="24"/>
              </w:rPr>
              <w:t xml:space="preserve">: </w:t>
            </w:r>
            <w:r w:rsidRPr="00B916D6">
              <w:rPr>
                <w:rFonts w:cs="Times New Roman"/>
                <w:szCs w:val="24"/>
              </w:rPr>
              <w:t>Initial</w:t>
            </w:r>
            <w:r>
              <w:rPr>
                <w:rFonts w:cs="Times New Roman"/>
                <w:szCs w:val="24"/>
              </w:rPr>
              <w:t xml:space="preserve">ly </w:t>
            </w:r>
            <w:r w:rsidRPr="00B916D6">
              <w:rPr>
                <w:rFonts w:cs="Times New Roman"/>
                <w:szCs w:val="24"/>
              </w:rPr>
              <w:t>50 mcg to 100 mcg per day orally.</w:t>
            </w:r>
          </w:p>
          <w:p w14:paraId="08CA1C36" w14:textId="77777777" w:rsidR="00D20CB2" w:rsidRPr="00B916D6" w:rsidRDefault="00D20CB2" w:rsidP="002D6DD7">
            <w:pPr>
              <w:rPr>
                <w:rFonts w:cs="Times New Roman"/>
                <w:szCs w:val="24"/>
              </w:rPr>
            </w:pPr>
            <w:r w:rsidRPr="00B916D6">
              <w:rPr>
                <w:rFonts w:cs="Times New Roman"/>
                <w:b/>
                <w:bCs/>
                <w:szCs w:val="24"/>
              </w:rPr>
              <w:t>Severe Hypothyroidism:</w:t>
            </w:r>
            <w:r w:rsidRPr="00B916D6">
              <w:rPr>
                <w:rFonts w:cs="Times New Roman"/>
                <w:szCs w:val="24"/>
              </w:rPr>
              <w:t xml:space="preserve"> Start with 12.5 mcg to 25 mcg per day orally.</w:t>
            </w:r>
          </w:p>
          <w:p w14:paraId="4CA90B79" w14:textId="77777777" w:rsidR="00D20CB2" w:rsidRPr="00B916D6" w:rsidRDefault="00D20CB2" w:rsidP="002D6DD7">
            <w:pPr>
              <w:rPr>
                <w:rFonts w:cs="Times New Roman"/>
                <w:szCs w:val="24"/>
              </w:rPr>
            </w:pPr>
            <w:r w:rsidRPr="00B916D6">
              <w:rPr>
                <w:rFonts w:cs="Times New Roman"/>
                <w:szCs w:val="24"/>
              </w:rPr>
              <w:t xml:space="preserve">Maintenance </w:t>
            </w:r>
            <w:r>
              <w:rPr>
                <w:rFonts w:cs="Times New Roman"/>
                <w:szCs w:val="24"/>
              </w:rPr>
              <w:t>d</w:t>
            </w:r>
            <w:r w:rsidRPr="00B916D6">
              <w:rPr>
                <w:rFonts w:cs="Times New Roman"/>
                <w:szCs w:val="24"/>
              </w:rPr>
              <w:t>ose: 100 mcg to 200 mcg per day, adjusted based on thyroid function tests.</w:t>
            </w:r>
          </w:p>
          <w:p w14:paraId="0C2A0238" w14:textId="77777777" w:rsidR="00D20CB2" w:rsidRPr="00B916D6" w:rsidRDefault="00D20CB2" w:rsidP="002D6DD7">
            <w:pPr>
              <w:rPr>
                <w:rFonts w:cs="Times New Roman"/>
                <w:b/>
                <w:bCs/>
                <w:szCs w:val="24"/>
              </w:rPr>
            </w:pPr>
            <w:r w:rsidRPr="00B916D6">
              <w:rPr>
                <w:rFonts w:cs="Times New Roman"/>
                <w:b/>
                <w:bCs/>
                <w:szCs w:val="24"/>
              </w:rPr>
              <w:t>Child</w:t>
            </w:r>
            <w:r w:rsidR="00E731CA">
              <w:rPr>
                <w:rFonts w:cs="Times New Roman"/>
                <w:b/>
                <w:bCs/>
                <w:szCs w:val="24"/>
              </w:rPr>
              <w:t>:</w:t>
            </w:r>
          </w:p>
          <w:p w14:paraId="42A3C8FA" w14:textId="77777777" w:rsidR="00D20CB2" w:rsidRPr="00B916D6" w:rsidRDefault="00D20CB2" w:rsidP="002D6DD7">
            <w:pPr>
              <w:rPr>
                <w:rFonts w:cs="Times New Roman"/>
                <w:szCs w:val="24"/>
              </w:rPr>
            </w:pPr>
            <w:r w:rsidRPr="00B916D6">
              <w:rPr>
                <w:rFonts w:cs="Times New Roman"/>
                <w:b/>
                <w:bCs/>
                <w:szCs w:val="24"/>
              </w:rPr>
              <w:t>Neonates and Infants (0-3 months):</w:t>
            </w:r>
            <w:r w:rsidRPr="00B916D6">
              <w:rPr>
                <w:rFonts w:cs="Times New Roman"/>
                <w:szCs w:val="24"/>
              </w:rPr>
              <w:t xml:space="preserve"> 10 mcg to 15 mcg/kg/day orally.</w:t>
            </w:r>
          </w:p>
          <w:p w14:paraId="20620639" w14:textId="77777777" w:rsidR="00D20CB2" w:rsidRPr="00B916D6" w:rsidRDefault="00D20CB2" w:rsidP="002D6DD7">
            <w:pPr>
              <w:rPr>
                <w:rFonts w:cs="Times New Roman"/>
                <w:szCs w:val="24"/>
              </w:rPr>
            </w:pPr>
            <w:r w:rsidRPr="00B916D6">
              <w:rPr>
                <w:rFonts w:cs="Times New Roman"/>
                <w:b/>
                <w:bCs/>
                <w:szCs w:val="24"/>
              </w:rPr>
              <w:t>Infants (3-6 months):</w:t>
            </w:r>
            <w:r w:rsidRPr="00B916D6">
              <w:rPr>
                <w:rFonts w:cs="Times New Roman"/>
                <w:szCs w:val="24"/>
              </w:rPr>
              <w:t xml:space="preserve"> 8 mcg to 10 mcg/kg/day orally.</w:t>
            </w:r>
          </w:p>
          <w:p w14:paraId="6B9585A8" w14:textId="77777777" w:rsidR="00D20CB2" w:rsidRPr="00B916D6" w:rsidRDefault="00D20CB2" w:rsidP="002D6DD7">
            <w:pPr>
              <w:rPr>
                <w:rFonts w:cs="Times New Roman"/>
                <w:szCs w:val="24"/>
              </w:rPr>
            </w:pPr>
            <w:r w:rsidRPr="00B916D6">
              <w:rPr>
                <w:rFonts w:cs="Times New Roman"/>
                <w:b/>
                <w:bCs/>
                <w:szCs w:val="24"/>
              </w:rPr>
              <w:t>Child (6 months - 1 year):</w:t>
            </w:r>
            <w:r w:rsidRPr="00B916D6">
              <w:rPr>
                <w:rFonts w:cs="Times New Roman"/>
                <w:szCs w:val="24"/>
              </w:rPr>
              <w:t xml:space="preserve"> 6 mcg to 8 mcg/kg/day orally.</w:t>
            </w:r>
          </w:p>
          <w:p w14:paraId="62356CC6" w14:textId="77777777" w:rsidR="00D20CB2" w:rsidRPr="00B916D6" w:rsidRDefault="00D20CB2" w:rsidP="002D6DD7">
            <w:pPr>
              <w:rPr>
                <w:rFonts w:cs="Times New Roman"/>
                <w:szCs w:val="24"/>
              </w:rPr>
            </w:pPr>
            <w:r w:rsidRPr="00B916D6">
              <w:rPr>
                <w:rFonts w:cs="Times New Roman"/>
                <w:b/>
                <w:bCs/>
                <w:szCs w:val="24"/>
              </w:rPr>
              <w:t>Child (1-5 years):</w:t>
            </w:r>
            <w:r w:rsidRPr="00B916D6">
              <w:rPr>
                <w:rFonts w:cs="Times New Roman"/>
                <w:szCs w:val="24"/>
              </w:rPr>
              <w:t xml:space="preserve"> 5 mcg to 6 mcg/kg/day orally.</w:t>
            </w:r>
          </w:p>
          <w:p w14:paraId="369AD3C1" w14:textId="77777777" w:rsidR="00D20CB2" w:rsidRPr="00B916D6" w:rsidRDefault="00D20CB2" w:rsidP="002D6DD7">
            <w:pPr>
              <w:rPr>
                <w:rFonts w:cs="Times New Roman"/>
                <w:szCs w:val="24"/>
              </w:rPr>
            </w:pPr>
            <w:r w:rsidRPr="00B916D6">
              <w:rPr>
                <w:rFonts w:cs="Times New Roman"/>
                <w:b/>
                <w:bCs/>
                <w:szCs w:val="24"/>
              </w:rPr>
              <w:t>Child (6-12 years):</w:t>
            </w:r>
            <w:r w:rsidRPr="00B916D6">
              <w:rPr>
                <w:rFonts w:cs="Times New Roman"/>
                <w:szCs w:val="24"/>
              </w:rPr>
              <w:t xml:space="preserve"> 4 mcg to 5 mcg/kg/day orally.</w:t>
            </w:r>
          </w:p>
          <w:p w14:paraId="6CBA5533" w14:textId="77777777" w:rsidR="00D20CB2" w:rsidRPr="00B916D6" w:rsidRDefault="00D20CB2" w:rsidP="002D6DD7">
            <w:pPr>
              <w:rPr>
                <w:rFonts w:cs="Times New Roman"/>
                <w:szCs w:val="24"/>
              </w:rPr>
            </w:pPr>
            <w:r w:rsidRPr="00B916D6">
              <w:rPr>
                <w:rFonts w:cs="Times New Roman"/>
                <w:b/>
                <w:bCs/>
                <w:szCs w:val="24"/>
              </w:rPr>
              <w:t>Child (Over 12 years):</w:t>
            </w:r>
            <w:r w:rsidRPr="00B916D6">
              <w:rPr>
                <w:rFonts w:cs="Times New Roman"/>
                <w:szCs w:val="24"/>
              </w:rPr>
              <w:t xml:space="preserve"> 2 mcg to 3 mcg/kg/day orally.</w:t>
            </w:r>
          </w:p>
          <w:p w14:paraId="4363674F" w14:textId="77777777" w:rsidR="00D20CB2" w:rsidRPr="00B916D6" w:rsidRDefault="00D20CB2" w:rsidP="002D6DD7">
            <w:pPr>
              <w:rPr>
                <w:rFonts w:cs="Times New Roman"/>
                <w:b/>
                <w:bCs/>
                <w:szCs w:val="24"/>
              </w:rPr>
            </w:pPr>
            <w:r w:rsidRPr="00B916D6">
              <w:rPr>
                <w:rFonts w:cs="Times New Roman"/>
                <w:b/>
                <w:bCs/>
                <w:szCs w:val="24"/>
              </w:rPr>
              <w:t>Maintenance dose: Adjust based on thyroid function tests.</w:t>
            </w:r>
          </w:p>
          <w:p w14:paraId="577F1D30" w14:textId="77777777" w:rsidR="00D20CB2" w:rsidRPr="00B916D6" w:rsidRDefault="00D20CB2" w:rsidP="002D6DD7">
            <w:pPr>
              <w:rPr>
                <w:rFonts w:cs="Times New Roman"/>
                <w:b/>
                <w:bCs/>
                <w:szCs w:val="24"/>
              </w:rPr>
            </w:pPr>
            <w:r w:rsidRPr="00B916D6">
              <w:rPr>
                <w:rFonts w:cs="Times New Roman"/>
                <w:b/>
                <w:bCs/>
                <w:szCs w:val="24"/>
              </w:rPr>
              <w:t>Subclinical Hypothyroidism</w:t>
            </w:r>
          </w:p>
          <w:p w14:paraId="428F8BF6" w14:textId="77777777" w:rsidR="00D20CB2" w:rsidRPr="00B916D6" w:rsidRDefault="00D20CB2" w:rsidP="002D6DD7">
            <w:pPr>
              <w:rPr>
                <w:rFonts w:cs="Times New Roman"/>
                <w:szCs w:val="24"/>
              </w:rPr>
            </w:pPr>
            <w:r w:rsidRPr="00B916D6">
              <w:rPr>
                <w:rFonts w:cs="Times New Roman"/>
                <w:b/>
                <w:bCs/>
                <w:szCs w:val="24"/>
              </w:rPr>
              <w:t>Adult:</w:t>
            </w:r>
            <w:r>
              <w:rPr>
                <w:rFonts w:cs="Times New Roman"/>
                <w:szCs w:val="24"/>
              </w:rPr>
              <w:t xml:space="preserve"> </w:t>
            </w:r>
            <w:r w:rsidRPr="00B916D6">
              <w:rPr>
                <w:rFonts w:cs="Times New Roman"/>
                <w:szCs w:val="24"/>
              </w:rPr>
              <w:t>25 mcg to 75 mcg per day orally, adjusted based on thyroid function tests.</w:t>
            </w:r>
          </w:p>
          <w:p w14:paraId="17F927D3" w14:textId="77777777" w:rsidR="00D20CB2" w:rsidRPr="00B916D6" w:rsidRDefault="00D20CB2" w:rsidP="002D6DD7">
            <w:pPr>
              <w:rPr>
                <w:rFonts w:cs="Times New Roman"/>
                <w:b/>
                <w:bCs/>
                <w:szCs w:val="24"/>
              </w:rPr>
            </w:pPr>
            <w:r w:rsidRPr="00B916D6">
              <w:rPr>
                <w:rFonts w:cs="Times New Roman"/>
                <w:b/>
                <w:bCs/>
                <w:szCs w:val="24"/>
              </w:rPr>
              <w:t>Child</w:t>
            </w:r>
            <w:r>
              <w:rPr>
                <w:rFonts w:cs="Times New Roman"/>
                <w:b/>
                <w:bCs/>
                <w:szCs w:val="24"/>
              </w:rPr>
              <w:t xml:space="preserve">: </w:t>
            </w:r>
            <w:r w:rsidRPr="00B916D6">
              <w:rPr>
                <w:rFonts w:cs="Times New Roman"/>
                <w:szCs w:val="24"/>
              </w:rPr>
              <w:t xml:space="preserve">As per age and weight, adjusted based on thyroid function </w:t>
            </w:r>
            <w:r w:rsidRPr="00B916D6">
              <w:rPr>
                <w:rFonts w:cs="Times New Roman"/>
                <w:szCs w:val="24"/>
              </w:rPr>
              <w:lastRenderedPageBreak/>
              <w:t>tests.</w:t>
            </w:r>
          </w:p>
          <w:p w14:paraId="4C7979C2" w14:textId="77777777" w:rsidR="00D20CB2" w:rsidRPr="00B916D6" w:rsidRDefault="00D20CB2" w:rsidP="002D6DD7">
            <w:pPr>
              <w:rPr>
                <w:rFonts w:cs="Times New Roman"/>
                <w:b/>
                <w:bCs/>
                <w:szCs w:val="24"/>
              </w:rPr>
            </w:pPr>
            <w:r w:rsidRPr="00B916D6">
              <w:rPr>
                <w:rFonts w:cs="Times New Roman"/>
                <w:b/>
                <w:bCs/>
                <w:szCs w:val="24"/>
              </w:rPr>
              <w:t>Goiter</w:t>
            </w:r>
            <w:r w:rsidR="00E731CA">
              <w:rPr>
                <w:rFonts w:cs="Times New Roman"/>
                <w:b/>
                <w:bCs/>
                <w:szCs w:val="24"/>
              </w:rPr>
              <w:t>:</w:t>
            </w:r>
          </w:p>
          <w:p w14:paraId="6B40D27A" w14:textId="77777777" w:rsidR="00D20CB2" w:rsidRPr="00B916D6" w:rsidRDefault="00D20CB2" w:rsidP="002D6DD7">
            <w:pPr>
              <w:rPr>
                <w:rFonts w:cs="Times New Roman"/>
                <w:szCs w:val="24"/>
              </w:rPr>
            </w:pPr>
            <w:r w:rsidRPr="00B916D6">
              <w:rPr>
                <w:rFonts w:cs="Times New Roman"/>
                <w:b/>
                <w:bCs/>
                <w:szCs w:val="24"/>
              </w:rPr>
              <w:t>Adult</w:t>
            </w:r>
            <w:r>
              <w:rPr>
                <w:rFonts w:cs="Times New Roman"/>
                <w:b/>
                <w:bCs/>
                <w:szCs w:val="24"/>
              </w:rPr>
              <w:t xml:space="preserve">: </w:t>
            </w:r>
            <w:r w:rsidRPr="00B916D6">
              <w:rPr>
                <w:rFonts w:cs="Times New Roman"/>
                <w:szCs w:val="24"/>
              </w:rPr>
              <w:t>100 mcg to 200 mcg per day orally.</w:t>
            </w:r>
          </w:p>
          <w:p w14:paraId="30D78BB5" w14:textId="77777777" w:rsidR="00D20CB2" w:rsidRPr="00B916D6" w:rsidRDefault="00D20CB2" w:rsidP="002D6DD7">
            <w:pPr>
              <w:rPr>
                <w:rFonts w:cs="Times New Roman"/>
                <w:szCs w:val="24"/>
              </w:rPr>
            </w:pPr>
            <w:r w:rsidRPr="00B916D6">
              <w:rPr>
                <w:rFonts w:cs="Times New Roman"/>
                <w:szCs w:val="24"/>
              </w:rPr>
              <w:t xml:space="preserve">Maintenance </w:t>
            </w:r>
            <w:r>
              <w:rPr>
                <w:rFonts w:cs="Times New Roman"/>
                <w:szCs w:val="24"/>
              </w:rPr>
              <w:t>d</w:t>
            </w:r>
            <w:r w:rsidRPr="00B916D6">
              <w:rPr>
                <w:rFonts w:cs="Times New Roman"/>
                <w:szCs w:val="24"/>
              </w:rPr>
              <w:t>ose: Adjust based on thyroid function tests.</w:t>
            </w:r>
          </w:p>
          <w:p w14:paraId="58175C1E" w14:textId="77777777" w:rsidR="00D20CB2" w:rsidRPr="00B916D6" w:rsidRDefault="00D20CB2" w:rsidP="002D6DD7">
            <w:pPr>
              <w:rPr>
                <w:rFonts w:cs="Times New Roman"/>
                <w:szCs w:val="24"/>
              </w:rPr>
            </w:pPr>
            <w:r w:rsidRPr="00B916D6">
              <w:rPr>
                <w:rFonts w:cs="Times New Roman"/>
                <w:b/>
                <w:bCs/>
                <w:szCs w:val="24"/>
              </w:rPr>
              <w:t>Child:</w:t>
            </w:r>
            <w:r>
              <w:rPr>
                <w:rFonts w:cs="Times New Roman"/>
                <w:szCs w:val="24"/>
              </w:rPr>
              <w:t xml:space="preserve"> </w:t>
            </w:r>
            <w:r w:rsidRPr="00B916D6">
              <w:rPr>
                <w:rFonts w:cs="Times New Roman"/>
                <w:szCs w:val="24"/>
              </w:rPr>
              <w:t>As per age and weight, adjusted based on thyroid function tests.</w:t>
            </w:r>
          </w:p>
          <w:p w14:paraId="1335E20A" w14:textId="77777777" w:rsidR="00D20CB2" w:rsidRPr="00B916D6" w:rsidRDefault="00D20CB2" w:rsidP="002D6DD7">
            <w:pPr>
              <w:rPr>
                <w:rFonts w:cs="Times New Roman"/>
                <w:b/>
                <w:bCs/>
                <w:szCs w:val="24"/>
              </w:rPr>
            </w:pPr>
            <w:r w:rsidRPr="00B916D6">
              <w:rPr>
                <w:rFonts w:cs="Times New Roman"/>
                <w:b/>
                <w:bCs/>
                <w:szCs w:val="24"/>
              </w:rPr>
              <w:t>Thyroid Cancer (as part of thyroid hormone suppression therapy)</w:t>
            </w:r>
          </w:p>
          <w:p w14:paraId="152D45C5" w14:textId="77777777" w:rsidR="00D20CB2" w:rsidRPr="00B916D6" w:rsidRDefault="00D20CB2" w:rsidP="002D6DD7">
            <w:pPr>
              <w:rPr>
                <w:rFonts w:cs="Times New Roman"/>
                <w:szCs w:val="24"/>
              </w:rPr>
            </w:pPr>
            <w:r w:rsidRPr="00B916D6">
              <w:rPr>
                <w:rFonts w:cs="Times New Roman"/>
                <w:b/>
                <w:bCs/>
                <w:szCs w:val="24"/>
              </w:rPr>
              <w:t>Adult:</w:t>
            </w:r>
            <w:r>
              <w:rPr>
                <w:rFonts w:cs="Times New Roman"/>
                <w:szCs w:val="24"/>
              </w:rPr>
              <w:t xml:space="preserve"> </w:t>
            </w:r>
            <w:r w:rsidRPr="00B916D6">
              <w:rPr>
                <w:rFonts w:cs="Times New Roman"/>
                <w:szCs w:val="24"/>
              </w:rPr>
              <w:t>2 mcg/kg/day orally, typically 150 mcg to 300 mcg per day.</w:t>
            </w:r>
          </w:p>
          <w:p w14:paraId="04DA4986" w14:textId="77777777" w:rsidR="00D20CB2" w:rsidRPr="00B916D6" w:rsidRDefault="00D20CB2" w:rsidP="002D6DD7">
            <w:pPr>
              <w:rPr>
                <w:rFonts w:cs="Times New Roman"/>
                <w:szCs w:val="24"/>
              </w:rPr>
            </w:pPr>
            <w:r w:rsidRPr="00B916D6">
              <w:rPr>
                <w:rFonts w:cs="Times New Roman"/>
                <w:szCs w:val="24"/>
              </w:rPr>
              <w:t xml:space="preserve">Maintenance </w:t>
            </w:r>
            <w:r>
              <w:rPr>
                <w:rFonts w:cs="Times New Roman"/>
                <w:szCs w:val="24"/>
              </w:rPr>
              <w:t>d</w:t>
            </w:r>
            <w:r w:rsidRPr="00B916D6">
              <w:rPr>
                <w:rFonts w:cs="Times New Roman"/>
                <w:szCs w:val="24"/>
              </w:rPr>
              <w:t>ose: Adjust based on thyroid function tests.</w:t>
            </w:r>
          </w:p>
          <w:p w14:paraId="45433A93" w14:textId="77777777" w:rsidR="00D20CB2" w:rsidRPr="00B916D6" w:rsidRDefault="00D20CB2" w:rsidP="002D6DD7">
            <w:pPr>
              <w:rPr>
                <w:rFonts w:cs="Times New Roman"/>
                <w:szCs w:val="24"/>
              </w:rPr>
            </w:pPr>
            <w:r w:rsidRPr="00B916D6">
              <w:rPr>
                <w:rFonts w:cs="Times New Roman"/>
                <w:b/>
                <w:bCs/>
                <w:szCs w:val="24"/>
              </w:rPr>
              <w:t>Child:</w:t>
            </w:r>
            <w:r>
              <w:rPr>
                <w:rFonts w:cs="Times New Roman"/>
                <w:szCs w:val="24"/>
              </w:rPr>
              <w:t xml:space="preserve"> </w:t>
            </w:r>
            <w:r w:rsidRPr="00B916D6">
              <w:rPr>
                <w:rFonts w:cs="Times New Roman"/>
                <w:szCs w:val="24"/>
              </w:rPr>
              <w:t>As per age and weight, adjusted based on thyroid function tests.</w:t>
            </w:r>
          </w:p>
          <w:p w14:paraId="3F2AE947" w14:textId="77777777" w:rsidR="00D20CB2" w:rsidRPr="00B916D6" w:rsidRDefault="00D20CB2" w:rsidP="002D6DD7">
            <w:pPr>
              <w:rPr>
                <w:rFonts w:cs="Times New Roman"/>
                <w:b/>
                <w:bCs/>
                <w:szCs w:val="24"/>
              </w:rPr>
            </w:pPr>
            <w:r w:rsidRPr="00B916D6">
              <w:rPr>
                <w:rFonts w:cs="Times New Roman"/>
                <w:b/>
                <w:bCs/>
                <w:szCs w:val="24"/>
              </w:rPr>
              <w:t>Elderly and Cardiac Patients</w:t>
            </w:r>
          </w:p>
          <w:p w14:paraId="6C441465" w14:textId="77777777" w:rsidR="00D20CB2" w:rsidRPr="00B916D6" w:rsidRDefault="00D20CB2" w:rsidP="002D6DD7">
            <w:pPr>
              <w:rPr>
                <w:rFonts w:cs="Times New Roman"/>
                <w:szCs w:val="24"/>
              </w:rPr>
            </w:pPr>
            <w:r w:rsidRPr="00B916D6">
              <w:rPr>
                <w:rFonts w:cs="Times New Roman"/>
                <w:b/>
                <w:bCs/>
                <w:szCs w:val="24"/>
              </w:rPr>
              <w:t>Adult:</w:t>
            </w:r>
            <w:r>
              <w:rPr>
                <w:rFonts w:cs="Times New Roman"/>
                <w:szCs w:val="24"/>
              </w:rPr>
              <w:t xml:space="preserve"> </w:t>
            </w:r>
            <w:r w:rsidRPr="00B916D6">
              <w:rPr>
                <w:rFonts w:cs="Times New Roman"/>
                <w:szCs w:val="24"/>
              </w:rPr>
              <w:t>12.5 mcg to 25 mcg per day orally.</w:t>
            </w:r>
          </w:p>
          <w:p w14:paraId="0ACF4B19" w14:textId="77777777" w:rsidR="00D20CB2" w:rsidRPr="00B916D6" w:rsidRDefault="00D20CB2" w:rsidP="002D6DD7">
            <w:pPr>
              <w:rPr>
                <w:rFonts w:cs="Times New Roman"/>
                <w:szCs w:val="24"/>
                <w:highlight w:val="yellow"/>
              </w:rPr>
            </w:pPr>
            <w:r w:rsidRPr="00B916D6">
              <w:rPr>
                <w:rFonts w:cs="Times New Roman"/>
                <w:szCs w:val="24"/>
              </w:rPr>
              <w:t xml:space="preserve">Maintenance </w:t>
            </w:r>
            <w:r>
              <w:rPr>
                <w:rFonts w:cs="Times New Roman"/>
                <w:szCs w:val="24"/>
              </w:rPr>
              <w:t>d</w:t>
            </w:r>
            <w:r w:rsidRPr="00B916D6">
              <w:rPr>
                <w:rFonts w:cs="Times New Roman"/>
                <w:szCs w:val="24"/>
              </w:rPr>
              <w:t>ose: 75 mcg to 125 mcg per day, adjusted based on clinical response and thyroid function tests.</w:t>
            </w:r>
          </w:p>
        </w:tc>
      </w:tr>
      <w:tr w:rsidR="00D20CB2" w:rsidRPr="00B51149" w14:paraId="121554C3" w14:textId="77777777" w:rsidTr="002D6DD7">
        <w:tc>
          <w:tcPr>
            <w:tcW w:w="2695" w:type="dxa"/>
          </w:tcPr>
          <w:p w14:paraId="5F72F23D"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57C3EAD8" w14:textId="77777777" w:rsidR="00D20CB2" w:rsidRPr="00B51149" w:rsidRDefault="00D20CB2" w:rsidP="002D6DD7">
            <w:pPr>
              <w:rPr>
                <w:rFonts w:cs="Times New Roman"/>
                <w:szCs w:val="24"/>
              </w:rPr>
            </w:pPr>
            <w:r w:rsidRPr="00B51149">
              <w:rPr>
                <w:rFonts w:cs="Times New Roman"/>
                <w:szCs w:val="24"/>
              </w:rPr>
              <w:t>Thyrotoxicosis, concurrent use of cholestyramine or colestipol, sympathomimetics</w:t>
            </w:r>
          </w:p>
        </w:tc>
      </w:tr>
      <w:tr w:rsidR="00D20CB2" w:rsidRPr="00B51149" w14:paraId="157CAEB9" w14:textId="77777777" w:rsidTr="002D6DD7">
        <w:tc>
          <w:tcPr>
            <w:tcW w:w="2695" w:type="dxa"/>
          </w:tcPr>
          <w:p w14:paraId="57616CB8"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4F94AB4E" w14:textId="77777777" w:rsidR="00D20CB2" w:rsidRPr="00B51149" w:rsidRDefault="00D20CB2" w:rsidP="002D6DD7">
            <w:pPr>
              <w:rPr>
                <w:rFonts w:cs="Times New Roman"/>
                <w:szCs w:val="24"/>
              </w:rPr>
            </w:pPr>
            <w:r w:rsidRPr="00B51149">
              <w:rPr>
                <w:rFonts w:cs="Times New Roman"/>
                <w:szCs w:val="24"/>
              </w:rPr>
              <w:t>Warfarin</w:t>
            </w:r>
          </w:p>
        </w:tc>
      </w:tr>
      <w:tr w:rsidR="00D20CB2" w:rsidRPr="00B51149" w14:paraId="25EDE090" w14:textId="77777777" w:rsidTr="002D6DD7">
        <w:tc>
          <w:tcPr>
            <w:tcW w:w="2695" w:type="dxa"/>
          </w:tcPr>
          <w:p w14:paraId="6B47AB72"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3789361E" w14:textId="77777777" w:rsidR="00D20CB2" w:rsidRPr="00B51149" w:rsidRDefault="00D20CB2" w:rsidP="002D6DD7">
            <w:pPr>
              <w:jc w:val="both"/>
              <w:rPr>
                <w:rFonts w:cs="Times New Roman"/>
                <w:szCs w:val="24"/>
              </w:rPr>
            </w:pPr>
            <w:r w:rsidRPr="00B51149">
              <w:rPr>
                <w:rFonts w:cs="Times New Roman"/>
                <w:szCs w:val="24"/>
              </w:rPr>
              <w:t>Headache, sleep problems (insomnia), nervousness, irritability, fever, hot flashes, sweating, changes in menstrual periods, appetite changes, weight changes, chest pain, irregular heartbeats, shortness of breath, tremors, leg cramps, headache, nervousness, irritability, severe allergic reactions (rash, itching/swelling, severe dizziness, trouble breathing). Seek immediate medical attention if serious side effects occur.</w:t>
            </w:r>
          </w:p>
        </w:tc>
      </w:tr>
      <w:tr w:rsidR="00D20CB2" w:rsidRPr="00B51149" w14:paraId="6620F945" w14:textId="77777777" w:rsidTr="002D6DD7">
        <w:tc>
          <w:tcPr>
            <w:tcW w:w="2695" w:type="dxa"/>
          </w:tcPr>
          <w:p w14:paraId="31CCA89D"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136D60A3" w14:textId="77777777" w:rsidR="00D20CB2" w:rsidRPr="00B51149" w:rsidRDefault="00D20CB2" w:rsidP="002D6DD7">
            <w:pPr>
              <w:jc w:val="both"/>
              <w:rPr>
                <w:rFonts w:cs="Times New Roman"/>
                <w:szCs w:val="24"/>
              </w:rPr>
            </w:pPr>
            <w:r w:rsidRPr="00B51149">
              <w:rPr>
                <w:rFonts w:cs="Times New Roman"/>
                <w:szCs w:val="24"/>
              </w:rPr>
              <w:t xml:space="preserve">Cardiovascular disorders (myocardial insufficiency or ECG evidence of myocardial infarction), hypopituitarism or predisposition to adrenal insufficiency elderly, long-standing hypothyroidism, diabetes </w:t>
            </w:r>
            <w:r>
              <w:rPr>
                <w:rFonts w:cs="Times New Roman"/>
                <w:szCs w:val="24"/>
              </w:rPr>
              <w:t>and</w:t>
            </w:r>
            <w:r w:rsidRPr="00B51149">
              <w:rPr>
                <w:rFonts w:cs="Times New Roman"/>
                <w:szCs w:val="24"/>
              </w:rPr>
              <w:t xml:space="preserve"> mellitus, pregnancy, breastfeeding</w:t>
            </w:r>
          </w:p>
        </w:tc>
      </w:tr>
      <w:tr w:rsidR="00D20CB2" w:rsidRPr="00B51149" w14:paraId="34BC82FC" w14:textId="77777777" w:rsidTr="002D6DD7">
        <w:tc>
          <w:tcPr>
            <w:tcW w:w="2695" w:type="dxa"/>
          </w:tcPr>
          <w:p w14:paraId="1A07C4C7" w14:textId="77777777" w:rsidR="00D20CB2" w:rsidRPr="00B51149" w:rsidRDefault="00D20CB2" w:rsidP="002D6DD7">
            <w:pPr>
              <w:rPr>
                <w:rFonts w:cs="Times New Roman"/>
                <w:szCs w:val="24"/>
              </w:rPr>
            </w:pPr>
            <w:r w:rsidRPr="00B51149">
              <w:rPr>
                <w:rFonts w:cs="Times New Roman"/>
                <w:szCs w:val="24"/>
              </w:rPr>
              <w:lastRenderedPageBreak/>
              <w:t>Storage condition</w:t>
            </w:r>
          </w:p>
        </w:tc>
        <w:tc>
          <w:tcPr>
            <w:tcW w:w="6660" w:type="dxa"/>
          </w:tcPr>
          <w:p w14:paraId="3714D1AC" w14:textId="77777777" w:rsidR="00D20CB2" w:rsidRPr="00B51149" w:rsidRDefault="00D20CB2" w:rsidP="002D6DD7">
            <w:pPr>
              <w:rPr>
                <w:rFonts w:cs="Times New Roman"/>
                <w:color w:val="FF0000"/>
                <w:szCs w:val="24"/>
              </w:rPr>
            </w:pPr>
            <w:r w:rsidRPr="00B51149">
              <w:rPr>
                <w:rFonts w:cs="Times New Roman"/>
                <w:szCs w:val="24"/>
              </w:rPr>
              <w:t xml:space="preserve">Store </w:t>
            </w:r>
            <w:r>
              <w:rPr>
                <w:rFonts w:cs="Times New Roman"/>
                <w:szCs w:val="24"/>
              </w:rPr>
              <w:t>below</w:t>
            </w:r>
            <w:r w:rsidRPr="00B51149">
              <w:rPr>
                <w:rFonts w:cs="Times New Roman"/>
                <w:szCs w:val="24"/>
              </w:rPr>
              <w:t xml:space="preserve"> 30°C. </w:t>
            </w:r>
            <w:r>
              <w:rPr>
                <w:rFonts w:cs="Times New Roman"/>
                <w:szCs w:val="24"/>
              </w:rPr>
              <w:t>Protect from light.</w:t>
            </w:r>
          </w:p>
        </w:tc>
      </w:tr>
      <w:tr w:rsidR="00D20CB2" w:rsidRPr="00B51149" w14:paraId="102DB522" w14:textId="77777777" w:rsidTr="002D6DD7">
        <w:tc>
          <w:tcPr>
            <w:tcW w:w="9355" w:type="dxa"/>
            <w:gridSpan w:val="2"/>
          </w:tcPr>
          <w:p w14:paraId="3EF9CCAC" w14:textId="77777777" w:rsidR="00D20CB2" w:rsidRPr="00B51149" w:rsidRDefault="00D20CB2" w:rsidP="002D6DD7">
            <w:pPr>
              <w:rPr>
                <w:rFonts w:cs="Times New Roman"/>
                <w:b/>
                <w:bCs/>
                <w:szCs w:val="24"/>
              </w:rPr>
            </w:pPr>
            <w:bookmarkStart w:id="138" w:name="_Toc168316996"/>
            <w:r w:rsidRPr="00B51149">
              <w:rPr>
                <w:rFonts w:eastAsia="Calibri" w:cs="Times New Roman"/>
                <w:b/>
                <w:bCs/>
                <w:szCs w:val="24"/>
                <w:lang w:val="fr-FR"/>
              </w:rPr>
              <w:t>Lugol’s solution (</w:t>
            </w:r>
            <w:r w:rsidRPr="00B51149">
              <w:rPr>
                <w:rFonts w:cs="Times New Roman"/>
                <w:b/>
                <w:bCs/>
                <w:szCs w:val="24"/>
              </w:rPr>
              <w:t>Iodine + Potassium Iodide</w:t>
            </w:r>
            <w:r w:rsidRPr="00B51149">
              <w:rPr>
                <w:rFonts w:eastAsia="Calibri" w:cs="Times New Roman"/>
                <w:b/>
                <w:bCs/>
                <w:szCs w:val="24"/>
                <w:lang w:val="fr-FR"/>
              </w:rPr>
              <w:t>)</w:t>
            </w:r>
            <w:bookmarkEnd w:id="138"/>
          </w:p>
        </w:tc>
      </w:tr>
      <w:tr w:rsidR="00D20CB2" w:rsidRPr="00B51149" w14:paraId="41FDADC2" w14:textId="77777777" w:rsidTr="002D6DD7">
        <w:tc>
          <w:tcPr>
            <w:tcW w:w="2695" w:type="dxa"/>
          </w:tcPr>
          <w:p w14:paraId="448A9A3D"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144BFB8B" w14:textId="77777777" w:rsidR="00D20CB2" w:rsidRPr="00E731CA" w:rsidRDefault="00D20CB2" w:rsidP="002D6DD7">
            <w:pPr>
              <w:rPr>
                <w:rFonts w:cs="Times New Roman"/>
                <w:b/>
                <w:bCs/>
                <w:szCs w:val="24"/>
              </w:rPr>
            </w:pPr>
            <w:r w:rsidRPr="00E731CA">
              <w:rPr>
                <w:rStyle w:val="Strong"/>
                <w:rFonts w:cs="Times New Roman"/>
                <w:b w:val="0"/>
                <w:color w:val="111111"/>
                <w:szCs w:val="24"/>
              </w:rPr>
              <w:t>Antithyroid agent and iodine supplement</w:t>
            </w:r>
          </w:p>
        </w:tc>
      </w:tr>
      <w:tr w:rsidR="00D20CB2" w:rsidRPr="00B51149" w14:paraId="3CA4CD86" w14:textId="77777777" w:rsidTr="002D6DD7">
        <w:tc>
          <w:tcPr>
            <w:tcW w:w="2695" w:type="dxa"/>
          </w:tcPr>
          <w:p w14:paraId="3BFFB009"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5B112AD3" w14:textId="77777777" w:rsidR="00D20CB2" w:rsidRPr="00B51149" w:rsidRDefault="00D20CB2" w:rsidP="002D6DD7">
            <w:pPr>
              <w:rPr>
                <w:rFonts w:cs="Times New Roman"/>
                <w:iCs/>
                <w:szCs w:val="24"/>
              </w:rPr>
            </w:pPr>
            <w:r w:rsidRPr="00B51149">
              <w:rPr>
                <w:rFonts w:cs="Times New Roman"/>
                <w:iCs/>
                <w:szCs w:val="24"/>
              </w:rPr>
              <w:t>Solution: 130 mg total iodine/ml (typically contains 5% iodine and 10% potassium iodide).</w:t>
            </w:r>
          </w:p>
        </w:tc>
      </w:tr>
      <w:tr w:rsidR="00D20CB2" w:rsidRPr="00B51149" w14:paraId="1AA8E391" w14:textId="77777777" w:rsidTr="002D6DD7">
        <w:tc>
          <w:tcPr>
            <w:tcW w:w="2695" w:type="dxa"/>
          </w:tcPr>
          <w:p w14:paraId="196D6499"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14B91009" w14:textId="77777777" w:rsidR="00D20CB2" w:rsidRPr="00B51149" w:rsidRDefault="00D20CB2" w:rsidP="002D6DD7">
            <w:pPr>
              <w:rPr>
                <w:rFonts w:cs="Times New Roman"/>
                <w:iCs/>
                <w:szCs w:val="24"/>
              </w:rPr>
            </w:pPr>
            <w:r w:rsidRPr="00B51149">
              <w:rPr>
                <w:rFonts w:cs="Times New Roman"/>
                <w:szCs w:val="24"/>
              </w:rPr>
              <w:t>Hyperthyroidism, preparation for thyroid surgery, thyroid storm, iodine deficiency, radiation emergency (to block radioactive iodine uptake), antiseptic use.</w:t>
            </w:r>
          </w:p>
        </w:tc>
      </w:tr>
      <w:tr w:rsidR="00D20CB2" w:rsidRPr="00B51149" w14:paraId="2EE39E8D" w14:textId="77777777" w:rsidTr="002D6DD7">
        <w:tc>
          <w:tcPr>
            <w:tcW w:w="2695" w:type="dxa"/>
          </w:tcPr>
          <w:p w14:paraId="5C2EF14A"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0FEB85E4" w14:textId="77777777" w:rsidR="00D20CB2" w:rsidRPr="00C26648" w:rsidRDefault="00D20CB2" w:rsidP="002D6DD7">
            <w:pPr>
              <w:rPr>
                <w:rFonts w:cs="Times New Roman"/>
                <w:b/>
                <w:bCs/>
                <w:iCs/>
                <w:szCs w:val="24"/>
              </w:rPr>
            </w:pPr>
            <w:r w:rsidRPr="00C26648">
              <w:rPr>
                <w:rFonts w:cs="Times New Roman"/>
                <w:b/>
                <w:bCs/>
                <w:iCs/>
                <w:szCs w:val="24"/>
              </w:rPr>
              <w:t>Hyperthyroidism and Preparation for Thyroid Surgery</w:t>
            </w:r>
            <w:r w:rsidR="00E731CA">
              <w:rPr>
                <w:rFonts w:cs="Times New Roman"/>
                <w:b/>
                <w:bCs/>
                <w:iCs/>
                <w:szCs w:val="24"/>
              </w:rPr>
              <w:t>:</w:t>
            </w:r>
          </w:p>
          <w:p w14:paraId="597C45C8" w14:textId="77777777" w:rsidR="00D20CB2" w:rsidRPr="00C26648" w:rsidRDefault="00D20CB2" w:rsidP="002D6DD7">
            <w:pPr>
              <w:rPr>
                <w:rFonts w:cs="Times New Roman"/>
                <w:iCs/>
                <w:szCs w:val="24"/>
              </w:rPr>
            </w:pPr>
            <w:r w:rsidRPr="00C26648">
              <w:rPr>
                <w:rFonts w:cs="Times New Roman"/>
                <w:b/>
                <w:bCs/>
                <w:iCs/>
                <w:szCs w:val="24"/>
              </w:rPr>
              <w:t>Adult:</w:t>
            </w:r>
            <w:r>
              <w:rPr>
                <w:rFonts w:cs="Times New Roman"/>
                <w:iCs/>
                <w:szCs w:val="24"/>
              </w:rPr>
              <w:t xml:space="preserve"> </w:t>
            </w:r>
            <w:r w:rsidRPr="00C26648">
              <w:rPr>
                <w:rFonts w:cs="Times New Roman"/>
                <w:iCs/>
                <w:szCs w:val="24"/>
              </w:rPr>
              <w:t>0.1 ml to 0.3 ml (8 to 24 drops) orally three times daily for 10 days before surgery.</w:t>
            </w:r>
          </w:p>
          <w:p w14:paraId="0F8DEE37" w14:textId="77777777" w:rsidR="00D20CB2" w:rsidRPr="00C26648" w:rsidRDefault="00D20CB2" w:rsidP="002D6DD7">
            <w:pPr>
              <w:rPr>
                <w:rFonts w:cs="Times New Roman"/>
                <w:iCs/>
                <w:szCs w:val="24"/>
              </w:rPr>
            </w:pPr>
            <w:r w:rsidRPr="00C26648">
              <w:rPr>
                <w:rFonts w:cs="Times New Roman"/>
                <w:b/>
                <w:bCs/>
                <w:iCs/>
                <w:szCs w:val="24"/>
              </w:rPr>
              <w:t>Child:</w:t>
            </w:r>
            <w:r>
              <w:rPr>
                <w:rFonts w:cs="Times New Roman"/>
                <w:iCs/>
                <w:szCs w:val="24"/>
              </w:rPr>
              <w:t xml:space="preserve"> </w:t>
            </w:r>
            <w:r w:rsidRPr="00C26648">
              <w:rPr>
                <w:rFonts w:cs="Times New Roman"/>
                <w:iCs/>
                <w:szCs w:val="24"/>
              </w:rPr>
              <w:t>0.05 ml to 0.15 ml (4 to 12 drops) orally three times daily for 10 days before surgery.</w:t>
            </w:r>
          </w:p>
          <w:p w14:paraId="52F85E50" w14:textId="77777777" w:rsidR="00D20CB2" w:rsidRPr="00C26648" w:rsidRDefault="00D20CB2" w:rsidP="002D6DD7">
            <w:pPr>
              <w:rPr>
                <w:rFonts w:cs="Times New Roman"/>
                <w:b/>
                <w:bCs/>
                <w:iCs/>
                <w:szCs w:val="24"/>
              </w:rPr>
            </w:pPr>
            <w:r w:rsidRPr="00C26648">
              <w:rPr>
                <w:rFonts w:cs="Times New Roman"/>
                <w:b/>
                <w:bCs/>
                <w:iCs/>
                <w:szCs w:val="24"/>
              </w:rPr>
              <w:t xml:space="preserve">Thyroid </w:t>
            </w:r>
            <w:r w:rsidR="00E731CA">
              <w:rPr>
                <w:rFonts w:cs="Times New Roman"/>
                <w:b/>
                <w:bCs/>
                <w:iCs/>
                <w:szCs w:val="24"/>
              </w:rPr>
              <w:t>s</w:t>
            </w:r>
            <w:r w:rsidRPr="00C26648">
              <w:rPr>
                <w:rFonts w:cs="Times New Roman"/>
                <w:b/>
                <w:bCs/>
                <w:iCs/>
                <w:szCs w:val="24"/>
              </w:rPr>
              <w:t>torm</w:t>
            </w:r>
            <w:r w:rsidR="00E731CA">
              <w:rPr>
                <w:rFonts w:cs="Times New Roman"/>
                <w:b/>
                <w:bCs/>
                <w:iCs/>
                <w:szCs w:val="24"/>
              </w:rPr>
              <w:t>:</w:t>
            </w:r>
          </w:p>
          <w:p w14:paraId="1D4714F5" w14:textId="77777777" w:rsidR="00D20CB2" w:rsidRPr="00C26648" w:rsidRDefault="00D20CB2" w:rsidP="002D6DD7">
            <w:pPr>
              <w:rPr>
                <w:rFonts w:cs="Times New Roman"/>
                <w:iCs/>
                <w:szCs w:val="24"/>
              </w:rPr>
            </w:pPr>
            <w:r w:rsidRPr="00C26648">
              <w:rPr>
                <w:rFonts w:cs="Times New Roman"/>
                <w:b/>
                <w:bCs/>
                <w:iCs/>
                <w:szCs w:val="24"/>
              </w:rPr>
              <w:t>Adult:</w:t>
            </w:r>
            <w:r>
              <w:rPr>
                <w:rFonts w:cs="Times New Roman"/>
                <w:iCs/>
                <w:szCs w:val="24"/>
              </w:rPr>
              <w:t xml:space="preserve"> </w:t>
            </w:r>
            <w:r w:rsidRPr="00C26648">
              <w:rPr>
                <w:rFonts w:cs="Times New Roman"/>
                <w:iCs/>
                <w:szCs w:val="24"/>
              </w:rPr>
              <w:t>0.1 ml (8 drops) orally every 6 to 8 hours.</w:t>
            </w:r>
          </w:p>
          <w:p w14:paraId="4AFBB213" w14:textId="77777777" w:rsidR="00D20CB2" w:rsidRPr="00C26648" w:rsidRDefault="00D20CB2" w:rsidP="002D6DD7">
            <w:pPr>
              <w:rPr>
                <w:rFonts w:cs="Times New Roman"/>
                <w:iCs/>
                <w:szCs w:val="24"/>
              </w:rPr>
            </w:pPr>
            <w:r w:rsidRPr="00C26648">
              <w:rPr>
                <w:rFonts w:cs="Times New Roman"/>
                <w:b/>
                <w:bCs/>
                <w:iCs/>
                <w:szCs w:val="24"/>
              </w:rPr>
              <w:t>Child:</w:t>
            </w:r>
            <w:r>
              <w:rPr>
                <w:rFonts w:cs="Times New Roman"/>
                <w:iCs/>
                <w:szCs w:val="24"/>
              </w:rPr>
              <w:t xml:space="preserve"> </w:t>
            </w:r>
            <w:r w:rsidRPr="00C26648">
              <w:rPr>
                <w:rFonts w:cs="Times New Roman"/>
                <w:iCs/>
                <w:szCs w:val="24"/>
              </w:rPr>
              <w:t>0.05 ml (4 drops) orally every 6 to 8 hours.</w:t>
            </w:r>
          </w:p>
          <w:p w14:paraId="34EB7026" w14:textId="77777777" w:rsidR="00D20CB2" w:rsidRPr="00C26648" w:rsidRDefault="00D20CB2" w:rsidP="002D6DD7">
            <w:pPr>
              <w:rPr>
                <w:rFonts w:cs="Times New Roman"/>
                <w:b/>
                <w:bCs/>
                <w:iCs/>
                <w:szCs w:val="24"/>
              </w:rPr>
            </w:pPr>
            <w:r w:rsidRPr="00C26648">
              <w:rPr>
                <w:rFonts w:cs="Times New Roman"/>
                <w:b/>
                <w:bCs/>
                <w:iCs/>
                <w:szCs w:val="24"/>
              </w:rPr>
              <w:t xml:space="preserve">Iodine </w:t>
            </w:r>
            <w:r w:rsidR="00E731CA">
              <w:rPr>
                <w:rFonts w:cs="Times New Roman"/>
                <w:b/>
                <w:bCs/>
                <w:iCs/>
                <w:szCs w:val="24"/>
              </w:rPr>
              <w:t>d</w:t>
            </w:r>
            <w:r w:rsidRPr="00C26648">
              <w:rPr>
                <w:rFonts w:cs="Times New Roman"/>
                <w:b/>
                <w:bCs/>
                <w:iCs/>
                <w:szCs w:val="24"/>
              </w:rPr>
              <w:t>eficiency</w:t>
            </w:r>
            <w:r w:rsidR="00E731CA">
              <w:rPr>
                <w:rFonts w:cs="Times New Roman"/>
                <w:b/>
                <w:bCs/>
                <w:iCs/>
                <w:szCs w:val="24"/>
              </w:rPr>
              <w:t>:</w:t>
            </w:r>
          </w:p>
          <w:p w14:paraId="473A3533" w14:textId="77777777" w:rsidR="00D20CB2" w:rsidRPr="00C26648" w:rsidRDefault="00D20CB2" w:rsidP="002D6DD7">
            <w:pPr>
              <w:rPr>
                <w:rFonts w:cs="Times New Roman"/>
                <w:iCs/>
                <w:szCs w:val="24"/>
              </w:rPr>
            </w:pPr>
            <w:r w:rsidRPr="00C26648">
              <w:rPr>
                <w:rFonts w:cs="Times New Roman"/>
                <w:b/>
                <w:bCs/>
                <w:iCs/>
                <w:szCs w:val="24"/>
              </w:rPr>
              <w:t>Adult:</w:t>
            </w:r>
            <w:r>
              <w:rPr>
                <w:rFonts w:cs="Times New Roman"/>
                <w:iCs/>
                <w:szCs w:val="24"/>
              </w:rPr>
              <w:t xml:space="preserve"> </w:t>
            </w:r>
            <w:r w:rsidRPr="00C26648">
              <w:rPr>
                <w:rFonts w:cs="Times New Roman"/>
                <w:iCs/>
                <w:szCs w:val="24"/>
              </w:rPr>
              <w:t>0.05 ml (4 drops) orally daily.</w:t>
            </w:r>
          </w:p>
          <w:p w14:paraId="1F17C5BD" w14:textId="77777777" w:rsidR="00D20CB2" w:rsidRPr="00C26648" w:rsidRDefault="00D20CB2" w:rsidP="002D6DD7">
            <w:pPr>
              <w:rPr>
                <w:rFonts w:cs="Times New Roman"/>
                <w:iCs/>
                <w:szCs w:val="24"/>
              </w:rPr>
            </w:pPr>
            <w:r w:rsidRPr="00C26648">
              <w:rPr>
                <w:rFonts w:cs="Times New Roman"/>
                <w:b/>
                <w:bCs/>
                <w:iCs/>
                <w:szCs w:val="24"/>
              </w:rPr>
              <w:t>Child:</w:t>
            </w:r>
            <w:r>
              <w:rPr>
                <w:rFonts w:cs="Times New Roman"/>
                <w:iCs/>
                <w:szCs w:val="24"/>
              </w:rPr>
              <w:t xml:space="preserve"> </w:t>
            </w:r>
            <w:r w:rsidRPr="00C26648">
              <w:rPr>
                <w:rFonts w:cs="Times New Roman"/>
                <w:iCs/>
                <w:szCs w:val="24"/>
              </w:rPr>
              <w:t>0.025 ml (2 drops) orally daily.</w:t>
            </w:r>
          </w:p>
          <w:p w14:paraId="6E099FD3" w14:textId="77777777" w:rsidR="00D20CB2" w:rsidRPr="00C26648" w:rsidRDefault="00D20CB2" w:rsidP="002D6DD7">
            <w:pPr>
              <w:rPr>
                <w:rFonts w:cs="Times New Roman"/>
                <w:b/>
                <w:bCs/>
                <w:iCs/>
                <w:szCs w:val="24"/>
              </w:rPr>
            </w:pPr>
            <w:r w:rsidRPr="00C26648">
              <w:rPr>
                <w:rFonts w:cs="Times New Roman"/>
                <w:b/>
                <w:bCs/>
                <w:iCs/>
                <w:szCs w:val="24"/>
              </w:rPr>
              <w:t xml:space="preserve">Radiation </w:t>
            </w:r>
            <w:r w:rsidR="00E731CA">
              <w:rPr>
                <w:rFonts w:cs="Times New Roman"/>
                <w:b/>
                <w:bCs/>
                <w:iCs/>
                <w:szCs w:val="24"/>
              </w:rPr>
              <w:t>e</w:t>
            </w:r>
            <w:r w:rsidRPr="00C26648">
              <w:rPr>
                <w:rFonts w:cs="Times New Roman"/>
                <w:b/>
                <w:bCs/>
                <w:iCs/>
                <w:szCs w:val="24"/>
              </w:rPr>
              <w:t>mergency (to block radioactive iodine uptake)</w:t>
            </w:r>
            <w:r w:rsidR="00E731CA">
              <w:rPr>
                <w:rFonts w:cs="Times New Roman"/>
                <w:b/>
                <w:bCs/>
                <w:iCs/>
                <w:szCs w:val="24"/>
              </w:rPr>
              <w:t>:</w:t>
            </w:r>
          </w:p>
          <w:p w14:paraId="02455C64" w14:textId="77777777" w:rsidR="00D20CB2" w:rsidRPr="00C26648" w:rsidRDefault="00D20CB2" w:rsidP="002D6DD7">
            <w:pPr>
              <w:rPr>
                <w:rFonts w:cs="Times New Roman"/>
                <w:iCs/>
                <w:szCs w:val="24"/>
              </w:rPr>
            </w:pPr>
            <w:r w:rsidRPr="00C26648">
              <w:rPr>
                <w:rFonts w:cs="Times New Roman"/>
                <w:b/>
                <w:bCs/>
                <w:iCs/>
                <w:szCs w:val="24"/>
              </w:rPr>
              <w:t>Adult:</w:t>
            </w:r>
            <w:r>
              <w:rPr>
                <w:rFonts w:cs="Times New Roman"/>
                <w:iCs/>
                <w:szCs w:val="24"/>
              </w:rPr>
              <w:t xml:space="preserve"> </w:t>
            </w:r>
            <w:r w:rsidRPr="00C26648">
              <w:rPr>
                <w:rFonts w:cs="Times New Roman"/>
                <w:iCs/>
                <w:szCs w:val="24"/>
              </w:rPr>
              <w:t>0.1 ml (8 drops) orally daily.</w:t>
            </w:r>
          </w:p>
          <w:p w14:paraId="39F609D2" w14:textId="77777777" w:rsidR="00D20CB2" w:rsidRPr="00C26648" w:rsidRDefault="00D20CB2" w:rsidP="002D6DD7">
            <w:pPr>
              <w:rPr>
                <w:rFonts w:cs="Times New Roman"/>
                <w:iCs/>
                <w:szCs w:val="24"/>
              </w:rPr>
            </w:pPr>
            <w:r w:rsidRPr="00C26648">
              <w:rPr>
                <w:rFonts w:cs="Times New Roman"/>
                <w:b/>
                <w:bCs/>
                <w:iCs/>
                <w:szCs w:val="24"/>
              </w:rPr>
              <w:t>Child:</w:t>
            </w:r>
            <w:r>
              <w:rPr>
                <w:rFonts w:cs="Times New Roman"/>
                <w:iCs/>
                <w:szCs w:val="24"/>
              </w:rPr>
              <w:t xml:space="preserve"> </w:t>
            </w:r>
            <w:r w:rsidRPr="00C26648">
              <w:rPr>
                <w:rFonts w:cs="Times New Roman"/>
                <w:iCs/>
                <w:szCs w:val="24"/>
              </w:rPr>
              <w:t>0.05 ml (4 drops) orally daily.</w:t>
            </w:r>
          </w:p>
        </w:tc>
      </w:tr>
      <w:tr w:rsidR="00D20CB2" w:rsidRPr="00B51149" w14:paraId="2FD7F7D4" w14:textId="77777777" w:rsidTr="002D6DD7">
        <w:tc>
          <w:tcPr>
            <w:tcW w:w="2695" w:type="dxa"/>
          </w:tcPr>
          <w:p w14:paraId="6D4648DB" w14:textId="77777777" w:rsidR="00D20CB2" w:rsidRPr="00B51149" w:rsidRDefault="00D20CB2" w:rsidP="002D6DD7">
            <w:pPr>
              <w:rPr>
                <w:rFonts w:cs="Times New Roman"/>
                <w:szCs w:val="24"/>
              </w:rPr>
            </w:pPr>
            <w:r w:rsidRPr="00B51149">
              <w:rPr>
                <w:rFonts w:cs="Times New Roman"/>
                <w:szCs w:val="24"/>
              </w:rPr>
              <w:t>Contraindications</w:t>
            </w:r>
          </w:p>
        </w:tc>
        <w:tc>
          <w:tcPr>
            <w:tcW w:w="6660" w:type="dxa"/>
          </w:tcPr>
          <w:p w14:paraId="3C65FE42" w14:textId="77777777" w:rsidR="00D20CB2" w:rsidRPr="00B51149" w:rsidRDefault="00D20CB2" w:rsidP="002D6DD7">
            <w:pPr>
              <w:rPr>
                <w:rFonts w:cs="Times New Roman"/>
                <w:szCs w:val="24"/>
              </w:rPr>
            </w:pPr>
            <w:r>
              <w:rPr>
                <w:rFonts w:cs="Times New Roman"/>
                <w:szCs w:val="24"/>
              </w:rPr>
              <w:t>P</w:t>
            </w:r>
            <w:r w:rsidRPr="00B51149">
              <w:rPr>
                <w:rFonts w:cs="Times New Roman"/>
                <w:szCs w:val="24"/>
              </w:rPr>
              <w:t>ulmonary edema, hyperthyroidism, severe renal impairment</w:t>
            </w:r>
            <w:r>
              <w:rPr>
                <w:rFonts w:cs="Times New Roman"/>
                <w:szCs w:val="24"/>
              </w:rPr>
              <w:t xml:space="preserve">, </w:t>
            </w:r>
            <w:r w:rsidRPr="00B51149">
              <w:rPr>
                <w:rFonts w:cs="Times New Roman"/>
                <w:szCs w:val="24"/>
              </w:rPr>
              <w:t xml:space="preserve">pregnancy, </w:t>
            </w:r>
            <w:r>
              <w:rPr>
                <w:rFonts w:cs="Times New Roman"/>
                <w:szCs w:val="24"/>
              </w:rPr>
              <w:t>b</w:t>
            </w:r>
            <w:r w:rsidRPr="00B51149">
              <w:rPr>
                <w:rFonts w:cs="Times New Roman"/>
                <w:szCs w:val="24"/>
              </w:rPr>
              <w:t>reastfeeding</w:t>
            </w:r>
          </w:p>
        </w:tc>
      </w:tr>
      <w:tr w:rsidR="00D20CB2" w:rsidRPr="00B51149" w14:paraId="69F1763D" w14:textId="77777777" w:rsidTr="002D6DD7">
        <w:tc>
          <w:tcPr>
            <w:tcW w:w="2695" w:type="dxa"/>
          </w:tcPr>
          <w:p w14:paraId="0B4B4F4B"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632DAA77" w14:textId="77777777" w:rsidR="00D20CB2" w:rsidRPr="00B51149" w:rsidRDefault="00D20CB2" w:rsidP="002D6DD7">
            <w:pPr>
              <w:rPr>
                <w:rFonts w:cs="Times New Roman"/>
                <w:szCs w:val="24"/>
              </w:rPr>
            </w:pPr>
            <w:r w:rsidRPr="00B51149">
              <w:rPr>
                <w:rFonts w:cs="Times New Roman"/>
                <w:szCs w:val="24"/>
              </w:rPr>
              <w:t>Sodium iodide (iodine-131), enalapril</w:t>
            </w:r>
          </w:p>
        </w:tc>
      </w:tr>
      <w:tr w:rsidR="00D20CB2" w:rsidRPr="00B51149" w14:paraId="75A21F17" w14:textId="77777777" w:rsidTr="002D6DD7">
        <w:tc>
          <w:tcPr>
            <w:tcW w:w="2695" w:type="dxa"/>
          </w:tcPr>
          <w:p w14:paraId="6F51E849"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34492877" w14:textId="77777777" w:rsidR="00D20CB2" w:rsidRPr="00B51149" w:rsidRDefault="00D20CB2" w:rsidP="002D6DD7">
            <w:pPr>
              <w:jc w:val="both"/>
              <w:rPr>
                <w:rFonts w:cs="Times New Roman"/>
                <w:szCs w:val="24"/>
              </w:rPr>
            </w:pPr>
            <w:r w:rsidRPr="00B51149">
              <w:rPr>
                <w:rFonts w:cs="Times New Roman"/>
                <w:szCs w:val="24"/>
              </w:rPr>
              <w:t>Hypersensitivity reactions including coryza-like symptoms, headache, lacrimation, conjunctivitis, pain in salivary glands, laryngitis, bronchitis, rashes, on prolonged treatment (depression, insomnia, impotence; goiter in infants of mothers taking iodides).</w:t>
            </w:r>
          </w:p>
        </w:tc>
      </w:tr>
      <w:tr w:rsidR="00D20CB2" w:rsidRPr="00B51149" w14:paraId="79D5DDCE" w14:textId="77777777" w:rsidTr="002D6DD7">
        <w:tc>
          <w:tcPr>
            <w:tcW w:w="2695" w:type="dxa"/>
          </w:tcPr>
          <w:p w14:paraId="678FA898"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0D43B726" w14:textId="77777777" w:rsidR="00D20CB2" w:rsidRPr="00B51149" w:rsidRDefault="00D20CB2" w:rsidP="002D6DD7">
            <w:pPr>
              <w:jc w:val="both"/>
              <w:rPr>
                <w:rFonts w:cs="Times New Roman"/>
                <w:szCs w:val="24"/>
              </w:rPr>
            </w:pPr>
            <w:r w:rsidRPr="00B51149">
              <w:rPr>
                <w:rFonts w:cs="Times New Roman"/>
                <w:szCs w:val="24"/>
              </w:rPr>
              <w:t xml:space="preserve">Pre-existing thyroid disorders (hyperthyroidism or hypothyroidism), iodine sensitivity, dermatitis herpetiformis, </w:t>
            </w:r>
            <w:r w:rsidRPr="00B51149">
              <w:rPr>
                <w:rFonts w:cs="Times New Roman"/>
                <w:szCs w:val="24"/>
              </w:rPr>
              <w:lastRenderedPageBreak/>
              <w:t>hypocomplementemic vasculitis, renal impairment, pregnancy, breastfeeding, prolonged use (may lead to iodine toxicity or thyroid dysfunction).</w:t>
            </w:r>
          </w:p>
        </w:tc>
      </w:tr>
      <w:tr w:rsidR="00D20CB2" w:rsidRPr="00B51149" w14:paraId="1D176630" w14:textId="77777777" w:rsidTr="002D6DD7">
        <w:tc>
          <w:tcPr>
            <w:tcW w:w="2695" w:type="dxa"/>
          </w:tcPr>
          <w:p w14:paraId="1CAB2019" w14:textId="77777777" w:rsidR="00D20CB2" w:rsidRPr="00B51149" w:rsidRDefault="00D20CB2" w:rsidP="002D6DD7">
            <w:pPr>
              <w:rPr>
                <w:rFonts w:cs="Times New Roman"/>
                <w:szCs w:val="24"/>
              </w:rPr>
            </w:pPr>
            <w:r w:rsidRPr="00B51149">
              <w:rPr>
                <w:rFonts w:cs="Times New Roman"/>
                <w:szCs w:val="24"/>
              </w:rPr>
              <w:lastRenderedPageBreak/>
              <w:t>Storage condition</w:t>
            </w:r>
          </w:p>
        </w:tc>
        <w:tc>
          <w:tcPr>
            <w:tcW w:w="6660" w:type="dxa"/>
          </w:tcPr>
          <w:p w14:paraId="6BFB2716" w14:textId="77777777" w:rsidR="00D20CB2" w:rsidRPr="00B51149" w:rsidRDefault="00D20CB2" w:rsidP="002D6DD7">
            <w:pPr>
              <w:rPr>
                <w:rFonts w:cs="Times New Roman"/>
                <w:szCs w:val="24"/>
              </w:rPr>
            </w:pPr>
            <w:r w:rsidRPr="00B51149">
              <w:rPr>
                <w:rFonts w:cs="Times New Roman"/>
                <w:szCs w:val="24"/>
                <w:shd w:val="clear" w:color="auto" w:fill="FFFFFF"/>
              </w:rPr>
              <w:t>Store below 30°C</w:t>
            </w:r>
            <w:r>
              <w:rPr>
                <w:rFonts w:cs="Times New Roman"/>
                <w:szCs w:val="24"/>
                <w:shd w:val="clear" w:color="auto" w:fill="FFFFFF"/>
              </w:rPr>
              <w:t>. P</w:t>
            </w:r>
            <w:r w:rsidRPr="00B51149">
              <w:rPr>
                <w:rFonts w:cs="Times New Roman"/>
                <w:szCs w:val="24"/>
                <w:shd w:val="clear" w:color="auto" w:fill="FFFFFF"/>
              </w:rPr>
              <w:t>rotect from light.</w:t>
            </w:r>
          </w:p>
        </w:tc>
      </w:tr>
      <w:tr w:rsidR="00D20CB2" w:rsidRPr="00B51149" w14:paraId="201F27F4" w14:textId="77777777" w:rsidTr="002D6DD7">
        <w:tc>
          <w:tcPr>
            <w:tcW w:w="9355" w:type="dxa"/>
            <w:gridSpan w:val="2"/>
          </w:tcPr>
          <w:p w14:paraId="25B80832" w14:textId="77777777" w:rsidR="00D20CB2" w:rsidRPr="00B51149" w:rsidRDefault="00D20CB2" w:rsidP="002D6DD7">
            <w:pPr>
              <w:rPr>
                <w:rFonts w:cs="Times New Roman"/>
                <w:b/>
                <w:bCs/>
                <w:szCs w:val="24"/>
              </w:rPr>
            </w:pPr>
            <w:bookmarkStart w:id="139" w:name="_Toc168316998"/>
            <w:r w:rsidRPr="00B51149">
              <w:rPr>
                <w:rFonts w:eastAsia="Times New Roman" w:cs="Times New Roman"/>
                <w:b/>
                <w:bCs/>
                <w:szCs w:val="24"/>
                <w:lang w:val="fr-FR"/>
              </w:rPr>
              <w:t>Methimazole</w:t>
            </w:r>
            <w:bookmarkEnd w:id="139"/>
          </w:p>
        </w:tc>
      </w:tr>
      <w:tr w:rsidR="00D20CB2" w:rsidRPr="00B51149" w14:paraId="0AECB289" w14:textId="77777777" w:rsidTr="002D6DD7">
        <w:tc>
          <w:tcPr>
            <w:tcW w:w="2695" w:type="dxa"/>
          </w:tcPr>
          <w:p w14:paraId="664C818C"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2012C3C2" w14:textId="77777777" w:rsidR="00D20CB2" w:rsidRPr="00B51149" w:rsidRDefault="00D20CB2" w:rsidP="002D6DD7">
            <w:pPr>
              <w:rPr>
                <w:rFonts w:cs="Times New Roman"/>
                <w:b/>
                <w:bCs/>
                <w:szCs w:val="24"/>
              </w:rPr>
            </w:pPr>
            <w:r w:rsidRPr="00B51149">
              <w:rPr>
                <w:rStyle w:val="Strong"/>
                <w:rFonts w:cs="Times New Roman"/>
                <w:color w:val="111111"/>
                <w:szCs w:val="24"/>
              </w:rPr>
              <w:t>Imidazole</w:t>
            </w:r>
          </w:p>
        </w:tc>
      </w:tr>
      <w:tr w:rsidR="00D20CB2" w:rsidRPr="00B51149" w14:paraId="6A6126C3" w14:textId="77777777" w:rsidTr="002D6DD7">
        <w:tc>
          <w:tcPr>
            <w:tcW w:w="2695" w:type="dxa"/>
          </w:tcPr>
          <w:p w14:paraId="3589E911"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06BF0CF7" w14:textId="77777777" w:rsidR="00D20CB2" w:rsidRPr="00B51149" w:rsidRDefault="00D20CB2" w:rsidP="002D6DD7">
            <w:pPr>
              <w:rPr>
                <w:rFonts w:cs="Times New Roman"/>
                <w:color w:val="000000"/>
                <w:szCs w:val="24"/>
              </w:rPr>
            </w:pPr>
            <w:r w:rsidRPr="00B51149">
              <w:rPr>
                <w:rFonts w:cs="Times New Roman"/>
                <w:color w:val="000000"/>
                <w:szCs w:val="24"/>
                <w:lang w:val="fr-FR"/>
              </w:rPr>
              <w:t>Tablet</w:t>
            </w:r>
            <w:r>
              <w:rPr>
                <w:rFonts w:cs="Times New Roman"/>
                <w:color w:val="000000"/>
                <w:szCs w:val="24"/>
                <w:lang w:val="fr-FR"/>
              </w:rPr>
              <w:t xml:space="preserve"> : </w:t>
            </w:r>
            <w:r w:rsidRPr="00B51149">
              <w:rPr>
                <w:rFonts w:cs="Times New Roman"/>
                <w:color w:val="000000"/>
                <w:szCs w:val="24"/>
                <w:lang w:val="fr-FR"/>
              </w:rPr>
              <w:t>5 mg, 10 mg</w:t>
            </w:r>
          </w:p>
        </w:tc>
      </w:tr>
      <w:tr w:rsidR="00D20CB2" w:rsidRPr="00B51149" w14:paraId="6E90C88E" w14:textId="77777777" w:rsidTr="002D6DD7">
        <w:tc>
          <w:tcPr>
            <w:tcW w:w="2695" w:type="dxa"/>
          </w:tcPr>
          <w:p w14:paraId="2C18E82C"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528FB7F3" w14:textId="77777777" w:rsidR="00D20CB2" w:rsidRPr="00B51149" w:rsidRDefault="00D20CB2" w:rsidP="002D6DD7">
            <w:pPr>
              <w:rPr>
                <w:rFonts w:cs="Times New Roman"/>
                <w:iCs/>
                <w:szCs w:val="24"/>
              </w:rPr>
            </w:pPr>
            <w:r w:rsidRPr="00B51149">
              <w:rPr>
                <w:rFonts w:cs="Times New Roman"/>
                <w:color w:val="202227"/>
                <w:szCs w:val="24"/>
              </w:rPr>
              <w:t xml:space="preserve">Hyperthyroidism, Graves' disease, preparation for thyroid surgery, thyroid storm. </w:t>
            </w:r>
          </w:p>
        </w:tc>
      </w:tr>
      <w:tr w:rsidR="00D20CB2" w:rsidRPr="00B51149" w14:paraId="18DFDF81" w14:textId="77777777" w:rsidTr="002D6DD7">
        <w:tc>
          <w:tcPr>
            <w:tcW w:w="2695" w:type="dxa"/>
          </w:tcPr>
          <w:p w14:paraId="436AE346"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769DDFA6" w14:textId="77777777" w:rsidR="00D20CB2" w:rsidRPr="00B51149" w:rsidRDefault="00D20CB2" w:rsidP="002D6DD7">
            <w:pPr>
              <w:jc w:val="both"/>
              <w:rPr>
                <w:rFonts w:cs="Times New Roman"/>
                <w:b/>
                <w:bCs/>
                <w:color w:val="202227"/>
                <w:szCs w:val="24"/>
              </w:rPr>
            </w:pPr>
            <w:r w:rsidRPr="00B51149">
              <w:rPr>
                <w:rFonts w:cs="Times New Roman"/>
                <w:b/>
                <w:bCs/>
                <w:color w:val="202227"/>
                <w:szCs w:val="24"/>
              </w:rPr>
              <w:t>Hyperthyroidism</w:t>
            </w:r>
            <w:r w:rsidR="00E731CA">
              <w:rPr>
                <w:rFonts w:cs="Times New Roman"/>
                <w:b/>
                <w:bCs/>
                <w:color w:val="202227"/>
                <w:szCs w:val="24"/>
              </w:rPr>
              <w:t>:</w:t>
            </w:r>
          </w:p>
          <w:p w14:paraId="2199E0BD" w14:textId="77777777" w:rsidR="00D20CB2" w:rsidRPr="00B51149" w:rsidRDefault="00D20CB2" w:rsidP="002D6DD7">
            <w:pPr>
              <w:jc w:val="both"/>
              <w:rPr>
                <w:rFonts w:cs="Times New Roman"/>
                <w:b/>
                <w:bCs/>
                <w:color w:val="202227"/>
                <w:szCs w:val="24"/>
              </w:rPr>
            </w:pPr>
            <w:r w:rsidRPr="00B51149">
              <w:rPr>
                <w:rFonts w:cs="Times New Roman"/>
                <w:b/>
                <w:bCs/>
                <w:color w:val="202227"/>
                <w:szCs w:val="24"/>
              </w:rPr>
              <w:t>Adult</w:t>
            </w:r>
            <w:r>
              <w:rPr>
                <w:rFonts w:cs="Times New Roman"/>
                <w:b/>
                <w:bCs/>
                <w:color w:val="202227"/>
                <w:szCs w:val="24"/>
              </w:rPr>
              <w:t>, initially</w:t>
            </w:r>
            <w:r w:rsidRPr="00B51149">
              <w:rPr>
                <w:rFonts w:cs="Times New Roman"/>
                <w:b/>
                <w:bCs/>
                <w:color w:val="202227"/>
                <w:szCs w:val="24"/>
              </w:rPr>
              <w:t>:</w:t>
            </w:r>
          </w:p>
          <w:p w14:paraId="274F68D6" w14:textId="77777777" w:rsidR="00D20CB2" w:rsidRPr="00B51149" w:rsidRDefault="00D20CB2" w:rsidP="002D6DD7">
            <w:pPr>
              <w:jc w:val="both"/>
              <w:rPr>
                <w:rFonts w:cs="Times New Roman"/>
                <w:color w:val="202227"/>
                <w:szCs w:val="24"/>
              </w:rPr>
            </w:pPr>
            <w:r w:rsidRPr="00B51149">
              <w:rPr>
                <w:rFonts w:cs="Times New Roman"/>
                <w:b/>
                <w:bCs/>
                <w:color w:val="202227"/>
                <w:szCs w:val="24"/>
              </w:rPr>
              <w:t>Mild:</w:t>
            </w:r>
            <w:r w:rsidRPr="00B51149">
              <w:rPr>
                <w:rFonts w:cs="Times New Roman"/>
                <w:color w:val="202227"/>
                <w:szCs w:val="24"/>
              </w:rPr>
              <w:t xml:space="preserve"> 15 mg per day (5 mg three times a day).</w:t>
            </w:r>
          </w:p>
          <w:p w14:paraId="2C7599BC" w14:textId="77777777" w:rsidR="00D20CB2" w:rsidRPr="00B51149" w:rsidRDefault="00D20CB2" w:rsidP="002D6DD7">
            <w:pPr>
              <w:jc w:val="both"/>
              <w:rPr>
                <w:rFonts w:cs="Times New Roman"/>
                <w:color w:val="202227"/>
                <w:szCs w:val="24"/>
              </w:rPr>
            </w:pPr>
            <w:r w:rsidRPr="00B51149">
              <w:rPr>
                <w:rFonts w:cs="Times New Roman"/>
                <w:b/>
                <w:bCs/>
                <w:color w:val="202227"/>
                <w:szCs w:val="24"/>
              </w:rPr>
              <w:t>Moderate:</w:t>
            </w:r>
            <w:r w:rsidRPr="00B51149">
              <w:rPr>
                <w:rFonts w:cs="Times New Roman"/>
                <w:color w:val="202227"/>
                <w:szCs w:val="24"/>
              </w:rPr>
              <w:t xml:space="preserve"> 30 mg to 40 mg per day divided into three doses.</w:t>
            </w:r>
          </w:p>
          <w:p w14:paraId="3697796B" w14:textId="77777777" w:rsidR="00D20CB2" w:rsidRDefault="00D20CB2" w:rsidP="002D6DD7">
            <w:pPr>
              <w:jc w:val="both"/>
              <w:rPr>
                <w:rFonts w:cs="Times New Roman"/>
                <w:color w:val="202227"/>
                <w:szCs w:val="24"/>
              </w:rPr>
            </w:pPr>
            <w:r w:rsidRPr="00B51149">
              <w:rPr>
                <w:rFonts w:cs="Times New Roman"/>
                <w:b/>
                <w:bCs/>
                <w:color w:val="202227"/>
                <w:szCs w:val="24"/>
              </w:rPr>
              <w:t>Severe:</w:t>
            </w:r>
            <w:r w:rsidRPr="00B51149">
              <w:rPr>
                <w:rFonts w:cs="Times New Roman"/>
                <w:color w:val="202227"/>
                <w:szCs w:val="24"/>
              </w:rPr>
              <w:t xml:space="preserve"> 60 mg per day divided into three doses.</w:t>
            </w:r>
          </w:p>
          <w:p w14:paraId="6C19D995" w14:textId="77777777" w:rsidR="00D20CB2" w:rsidRPr="00B51149" w:rsidRDefault="00D20CB2" w:rsidP="002D6DD7">
            <w:pPr>
              <w:jc w:val="both"/>
              <w:rPr>
                <w:rFonts w:cs="Times New Roman"/>
                <w:color w:val="202227"/>
                <w:szCs w:val="24"/>
              </w:rPr>
            </w:pPr>
            <w:r w:rsidRPr="003C3AB2">
              <w:rPr>
                <w:rFonts w:cs="Times New Roman"/>
                <w:color w:val="202227"/>
                <w:szCs w:val="24"/>
              </w:rPr>
              <w:t>Maintenance dose: 5 mg to 15 mg per day once euthyroid state is achieved.</w:t>
            </w:r>
          </w:p>
          <w:p w14:paraId="36BD0F8F" w14:textId="77777777" w:rsidR="00D20CB2" w:rsidRDefault="00D20CB2" w:rsidP="002D6DD7">
            <w:pPr>
              <w:jc w:val="both"/>
              <w:rPr>
                <w:rFonts w:cs="Times New Roman"/>
                <w:color w:val="202227"/>
                <w:szCs w:val="24"/>
              </w:rPr>
            </w:pPr>
            <w:r w:rsidRPr="00B51149">
              <w:rPr>
                <w:rFonts w:cs="Times New Roman"/>
                <w:b/>
                <w:bCs/>
                <w:color w:val="202227"/>
                <w:szCs w:val="24"/>
              </w:rPr>
              <w:t>Child:</w:t>
            </w:r>
            <w:r w:rsidRPr="00B51149">
              <w:rPr>
                <w:rFonts w:cs="Times New Roman"/>
                <w:color w:val="202227"/>
                <w:szCs w:val="24"/>
              </w:rPr>
              <w:t xml:space="preserve"> 0.4 mg/kg/day divided into three doses. </w:t>
            </w:r>
          </w:p>
          <w:p w14:paraId="0E0AA01E" w14:textId="77777777" w:rsidR="00D20CB2" w:rsidRPr="00B51149" w:rsidRDefault="00D20CB2" w:rsidP="002D6DD7">
            <w:pPr>
              <w:jc w:val="both"/>
              <w:rPr>
                <w:rFonts w:cs="Times New Roman"/>
                <w:color w:val="202227"/>
                <w:szCs w:val="24"/>
              </w:rPr>
            </w:pPr>
            <w:r w:rsidRPr="003C3AB2">
              <w:rPr>
                <w:rFonts w:cs="Times New Roman"/>
                <w:color w:val="202227"/>
                <w:szCs w:val="24"/>
              </w:rPr>
              <w:t>Maintenance dose: 0.2 mg/kg/day divided into two or three doses, adjusted based on clinical response and thyroid function tests.</w:t>
            </w:r>
          </w:p>
          <w:p w14:paraId="48AD5718" w14:textId="77777777" w:rsidR="00D20CB2" w:rsidRPr="00B51149" w:rsidRDefault="00D20CB2" w:rsidP="002D6DD7">
            <w:pPr>
              <w:jc w:val="both"/>
              <w:rPr>
                <w:rFonts w:cs="Times New Roman"/>
                <w:b/>
                <w:bCs/>
                <w:color w:val="202227"/>
                <w:szCs w:val="24"/>
              </w:rPr>
            </w:pPr>
            <w:r w:rsidRPr="00B51149">
              <w:rPr>
                <w:rFonts w:cs="Times New Roman"/>
                <w:b/>
                <w:bCs/>
                <w:color w:val="202227"/>
                <w:szCs w:val="24"/>
              </w:rPr>
              <w:t>Graves' Disease</w:t>
            </w:r>
            <w:r w:rsidR="00E731CA">
              <w:rPr>
                <w:rFonts w:cs="Times New Roman"/>
                <w:b/>
                <w:bCs/>
                <w:color w:val="202227"/>
                <w:szCs w:val="24"/>
              </w:rPr>
              <w:t>:</w:t>
            </w:r>
          </w:p>
          <w:p w14:paraId="3CF31666" w14:textId="77777777" w:rsidR="00D20CB2" w:rsidRPr="00B51149" w:rsidRDefault="00D20CB2" w:rsidP="002D6DD7">
            <w:pPr>
              <w:jc w:val="both"/>
              <w:rPr>
                <w:rFonts w:cs="Times New Roman"/>
                <w:color w:val="202227"/>
                <w:szCs w:val="24"/>
              </w:rPr>
            </w:pPr>
            <w:r w:rsidRPr="00B51149">
              <w:rPr>
                <w:rFonts w:cs="Times New Roman"/>
                <w:b/>
                <w:bCs/>
                <w:color w:val="202227"/>
                <w:szCs w:val="24"/>
              </w:rPr>
              <w:t>Adult:</w:t>
            </w:r>
            <w:r w:rsidRPr="00B51149">
              <w:rPr>
                <w:rFonts w:cs="Times New Roman"/>
                <w:color w:val="202227"/>
                <w:szCs w:val="24"/>
              </w:rPr>
              <w:t xml:space="preserve"> 15 mg to 60 mg per day divided into three doses until euthyroid state is achieved, then maintain on 5 mg to 15 mg per day.</w:t>
            </w:r>
          </w:p>
          <w:p w14:paraId="54AF295C" w14:textId="77777777" w:rsidR="00D20CB2" w:rsidRPr="00B51149" w:rsidRDefault="00D20CB2" w:rsidP="002D6DD7">
            <w:pPr>
              <w:jc w:val="both"/>
              <w:rPr>
                <w:rFonts w:cs="Times New Roman"/>
                <w:color w:val="202227"/>
                <w:szCs w:val="24"/>
              </w:rPr>
            </w:pPr>
            <w:r w:rsidRPr="00B51149">
              <w:rPr>
                <w:rFonts w:cs="Times New Roman"/>
                <w:b/>
                <w:bCs/>
                <w:color w:val="202227"/>
                <w:szCs w:val="24"/>
              </w:rPr>
              <w:t>Child:</w:t>
            </w:r>
            <w:r w:rsidRPr="00B51149">
              <w:rPr>
                <w:rFonts w:cs="Times New Roman"/>
                <w:color w:val="202227"/>
                <w:szCs w:val="24"/>
              </w:rPr>
              <w:t xml:space="preserve"> 0.4 mg/kg/day divided into three doses. Adjust based on clinical response and thyroid function tests.</w:t>
            </w:r>
          </w:p>
          <w:p w14:paraId="5ED2943F" w14:textId="77777777" w:rsidR="00D20CB2" w:rsidRPr="00B51149" w:rsidRDefault="00D20CB2" w:rsidP="002D6DD7">
            <w:pPr>
              <w:jc w:val="both"/>
              <w:rPr>
                <w:rFonts w:cs="Times New Roman"/>
                <w:b/>
                <w:bCs/>
                <w:color w:val="202227"/>
                <w:szCs w:val="24"/>
              </w:rPr>
            </w:pPr>
            <w:r w:rsidRPr="00B51149">
              <w:rPr>
                <w:rFonts w:cs="Times New Roman"/>
                <w:b/>
                <w:bCs/>
                <w:color w:val="202227"/>
                <w:szCs w:val="24"/>
              </w:rPr>
              <w:t>Preparation for Thyroid Surgery</w:t>
            </w:r>
            <w:r w:rsidR="00E731CA">
              <w:rPr>
                <w:rFonts w:cs="Times New Roman"/>
                <w:b/>
                <w:bCs/>
                <w:color w:val="202227"/>
                <w:szCs w:val="24"/>
              </w:rPr>
              <w:t>:</w:t>
            </w:r>
          </w:p>
          <w:p w14:paraId="4F8E2F52" w14:textId="77777777" w:rsidR="00D20CB2" w:rsidRPr="00B51149" w:rsidRDefault="00D20CB2" w:rsidP="002D6DD7">
            <w:pPr>
              <w:jc w:val="both"/>
              <w:rPr>
                <w:rFonts w:cs="Times New Roman"/>
                <w:color w:val="202227"/>
                <w:szCs w:val="24"/>
              </w:rPr>
            </w:pPr>
            <w:r w:rsidRPr="00B51149">
              <w:rPr>
                <w:rFonts w:cs="Times New Roman"/>
                <w:b/>
                <w:bCs/>
                <w:color w:val="202227"/>
                <w:szCs w:val="24"/>
              </w:rPr>
              <w:t>Adult:</w:t>
            </w:r>
            <w:r w:rsidRPr="00B51149">
              <w:rPr>
                <w:rFonts w:cs="Times New Roman"/>
                <w:color w:val="202227"/>
                <w:szCs w:val="24"/>
              </w:rPr>
              <w:t xml:space="preserve"> 15 mg to 60 mg per day divided into three doses for several weeks before surgery.</w:t>
            </w:r>
          </w:p>
          <w:p w14:paraId="1CBA2EFD" w14:textId="77777777" w:rsidR="00D20CB2" w:rsidRPr="00B51149" w:rsidRDefault="00D20CB2" w:rsidP="002D6DD7">
            <w:pPr>
              <w:jc w:val="both"/>
              <w:rPr>
                <w:rFonts w:cs="Times New Roman"/>
                <w:color w:val="202227"/>
                <w:szCs w:val="24"/>
              </w:rPr>
            </w:pPr>
            <w:r w:rsidRPr="00B51149">
              <w:rPr>
                <w:rFonts w:cs="Times New Roman"/>
                <w:b/>
                <w:bCs/>
                <w:color w:val="202227"/>
                <w:szCs w:val="24"/>
              </w:rPr>
              <w:t>Child:</w:t>
            </w:r>
            <w:r w:rsidRPr="00B51149">
              <w:rPr>
                <w:rFonts w:cs="Times New Roman"/>
                <w:color w:val="202227"/>
                <w:szCs w:val="24"/>
              </w:rPr>
              <w:t xml:space="preserve"> 0.4 mg/kg/day divided into three doses. Adjust based on clinical response and thyroid function tests.</w:t>
            </w:r>
          </w:p>
          <w:p w14:paraId="2DA95D5A" w14:textId="77777777" w:rsidR="00D20CB2" w:rsidRPr="00B51149" w:rsidRDefault="00D20CB2" w:rsidP="002D6DD7">
            <w:pPr>
              <w:jc w:val="both"/>
              <w:rPr>
                <w:rFonts w:cs="Times New Roman"/>
                <w:b/>
                <w:bCs/>
                <w:color w:val="202227"/>
                <w:szCs w:val="24"/>
              </w:rPr>
            </w:pPr>
            <w:r w:rsidRPr="00B51149">
              <w:rPr>
                <w:rFonts w:cs="Times New Roman"/>
                <w:b/>
                <w:bCs/>
                <w:color w:val="202227"/>
                <w:szCs w:val="24"/>
              </w:rPr>
              <w:t>Thyroid Storm</w:t>
            </w:r>
            <w:r w:rsidR="00E731CA">
              <w:rPr>
                <w:rFonts w:cs="Times New Roman"/>
                <w:b/>
                <w:bCs/>
                <w:color w:val="202227"/>
                <w:szCs w:val="24"/>
              </w:rPr>
              <w:t>:</w:t>
            </w:r>
          </w:p>
          <w:p w14:paraId="556F1D6F" w14:textId="77777777" w:rsidR="00D20CB2" w:rsidRPr="00B51149" w:rsidRDefault="00D20CB2" w:rsidP="002D6DD7">
            <w:pPr>
              <w:jc w:val="both"/>
              <w:rPr>
                <w:rFonts w:cs="Times New Roman"/>
                <w:color w:val="202227"/>
                <w:szCs w:val="24"/>
              </w:rPr>
            </w:pPr>
            <w:r w:rsidRPr="00B51149">
              <w:rPr>
                <w:rFonts w:cs="Times New Roman"/>
                <w:b/>
                <w:bCs/>
                <w:color w:val="202227"/>
                <w:szCs w:val="24"/>
              </w:rPr>
              <w:lastRenderedPageBreak/>
              <w:t>Adult:</w:t>
            </w:r>
            <w:r w:rsidRPr="00B51149">
              <w:rPr>
                <w:rFonts w:cs="Times New Roman"/>
                <w:color w:val="202227"/>
                <w:szCs w:val="24"/>
              </w:rPr>
              <w:t xml:space="preserve"> 20 mg every 4 to 6 hours orally.</w:t>
            </w:r>
          </w:p>
          <w:p w14:paraId="22C92011" w14:textId="77777777" w:rsidR="00D20CB2" w:rsidRPr="00B51149" w:rsidRDefault="00D20CB2" w:rsidP="002D6DD7">
            <w:pPr>
              <w:jc w:val="both"/>
              <w:rPr>
                <w:rFonts w:cs="Times New Roman"/>
                <w:color w:val="202227"/>
                <w:szCs w:val="24"/>
              </w:rPr>
            </w:pPr>
            <w:r w:rsidRPr="00B51149">
              <w:rPr>
                <w:rFonts w:cs="Times New Roman"/>
                <w:b/>
                <w:bCs/>
                <w:color w:val="202227"/>
                <w:szCs w:val="24"/>
              </w:rPr>
              <w:t>Child:</w:t>
            </w:r>
            <w:r w:rsidRPr="00B51149">
              <w:rPr>
                <w:rFonts w:cs="Times New Roman"/>
                <w:color w:val="202227"/>
                <w:szCs w:val="24"/>
              </w:rPr>
              <w:t xml:space="preserve"> 0.2 mg/kg every 4 to 6 hours orally. Adjust based on clinical response and thyroid function tests.</w:t>
            </w:r>
          </w:p>
        </w:tc>
      </w:tr>
      <w:tr w:rsidR="00D20CB2" w:rsidRPr="00B51149" w14:paraId="5D537174" w14:textId="77777777" w:rsidTr="002D6DD7">
        <w:tc>
          <w:tcPr>
            <w:tcW w:w="2695" w:type="dxa"/>
          </w:tcPr>
          <w:p w14:paraId="5F8E1B99"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69C59E36" w14:textId="77777777" w:rsidR="00D20CB2" w:rsidRPr="00B51149" w:rsidRDefault="00D20CB2" w:rsidP="002D6DD7">
            <w:pPr>
              <w:rPr>
                <w:rFonts w:cs="Times New Roman"/>
                <w:szCs w:val="24"/>
              </w:rPr>
            </w:pPr>
            <w:r w:rsidRPr="00B51149">
              <w:rPr>
                <w:rFonts w:cs="Times New Roman"/>
                <w:color w:val="111111"/>
                <w:szCs w:val="24"/>
              </w:rPr>
              <w:t xml:space="preserve">Hypersensitivity to </w:t>
            </w:r>
            <w:r>
              <w:rPr>
                <w:rFonts w:cs="Times New Roman"/>
                <w:color w:val="111111"/>
                <w:szCs w:val="24"/>
              </w:rPr>
              <w:t>the drug</w:t>
            </w:r>
            <w:r w:rsidRPr="00B51149">
              <w:rPr>
                <w:rFonts w:cs="Times New Roman"/>
                <w:color w:val="111111"/>
                <w:szCs w:val="24"/>
              </w:rPr>
              <w:t>, hematologic disorders, renal failure, history of acute pancreatitis.</w:t>
            </w:r>
          </w:p>
        </w:tc>
      </w:tr>
      <w:tr w:rsidR="00D20CB2" w:rsidRPr="00B51149" w14:paraId="4F010F3F" w14:textId="77777777" w:rsidTr="002D6DD7">
        <w:tc>
          <w:tcPr>
            <w:tcW w:w="2695" w:type="dxa"/>
          </w:tcPr>
          <w:p w14:paraId="6534684C"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269220CD" w14:textId="77777777" w:rsidR="00D20CB2" w:rsidRPr="00B51149" w:rsidRDefault="00D20CB2" w:rsidP="002D6DD7">
            <w:pPr>
              <w:jc w:val="both"/>
              <w:rPr>
                <w:rFonts w:cs="Times New Roman"/>
                <w:szCs w:val="24"/>
              </w:rPr>
            </w:pPr>
            <w:r w:rsidRPr="00B51149">
              <w:rPr>
                <w:rFonts w:cs="Times New Roman"/>
                <w:szCs w:val="24"/>
              </w:rPr>
              <w:t>Digoxin, theophylline, warfarin, beta-blockers</w:t>
            </w:r>
          </w:p>
        </w:tc>
      </w:tr>
      <w:tr w:rsidR="00D20CB2" w:rsidRPr="00B51149" w14:paraId="00EF1859" w14:textId="77777777" w:rsidTr="002D6DD7">
        <w:tc>
          <w:tcPr>
            <w:tcW w:w="2695" w:type="dxa"/>
          </w:tcPr>
          <w:p w14:paraId="76B2B541"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40E088DB" w14:textId="77777777" w:rsidR="00D20CB2" w:rsidRPr="00B51149" w:rsidRDefault="00D20CB2" w:rsidP="002D6DD7">
            <w:pPr>
              <w:jc w:val="both"/>
              <w:rPr>
                <w:rFonts w:cs="Times New Roman"/>
                <w:szCs w:val="24"/>
              </w:rPr>
            </w:pPr>
            <w:r w:rsidRPr="00B51149">
              <w:rPr>
                <w:rFonts w:cs="Times New Roman"/>
                <w:szCs w:val="24"/>
              </w:rPr>
              <w:t>Nausea, vomiting, upset stomach, headache, dizziness, drowsiness, numbness or tingly feeling, rash, itching, skin discoloration, muscle or joint pain.</w:t>
            </w:r>
          </w:p>
        </w:tc>
      </w:tr>
      <w:tr w:rsidR="00D20CB2" w:rsidRPr="00B51149" w14:paraId="40BF0597" w14:textId="77777777" w:rsidTr="002D6DD7">
        <w:tc>
          <w:tcPr>
            <w:tcW w:w="2695" w:type="dxa"/>
          </w:tcPr>
          <w:p w14:paraId="6F85B930"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781E62BE" w14:textId="77777777" w:rsidR="00D20CB2" w:rsidRPr="00B51149" w:rsidRDefault="00D20CB2" w:rsidP="002D6DD7">
            <w:pPr>
              <w:rPr>
                <w:rFonts w:cs="Times New Roman"/>
                <w:szCs w:val="24"/>
              </w:rPr>
            </w:pPr>
            <w:r>
              <w:rPr>
                <w:rFonts w:cs="Times New Roman"/>
                <w:color w:val="111111"/>
                <w:szCs w:val="24"/>
              </w:rPr>
              <w:t>Hepatic</w:t>
            </w:r>
            <w:r w:rsidRPr="00B51149">
              <w:rPr>
                <w:rFonts w:cs="Times New Roman"/>
                <w:color w:val="111111"/>
                <w:szCs w:val="24"/>
              </w:rPr>
              <w:t xml:space="preserve"> impairment, bone marrow suppression, signs of agranulocytosis such as sore throat and fever</w:t>
            </w:r>
            <w:r>
              <w:rPr>
                <w:rFonts w:cs="Times New Roman"/>
                <w:color w:val="111111"/>
                <w:szCs w:val="24"/>
              </w:rPr>
              <w:t>,</w:t>
            </w:r>
            <w:r w:rsidRPr="00B51149">
              <w:rPr>
                <w:rFonts w:cs="Times New Roman"/>
                <w:color w:val="111111"/>
                <w:szCs w:val="24"/>
              </w:rPr>
              <w:t xml:space="preserve"> pregnancy, breastfeeding</w:t>
            </w:r>
          </w:p>
        </w:tc>
      </w:tr>
      <w:tr w:rsidR="00D20CB2" w:rsidRPr="00B51149" w14:paraId="07C150B9" w14:textId="77777777" w:rsidTr="002D6DD7">
        <w:tc>
          <w:tcPr>
            <w:tcW w:w="2695" w:type="dxa"/>
          </w:tcPr>
          <w:p w14:paraId="7B46415A"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51460F2F" w14:textId="77777777" w:rsidR="00D20CB2" w:rsidRPr="001F796F" w:rsidRDefault="00D20CB2" w:rsidP="002D6DD7">
            <w:pPr>
              <w:rPr>
                <w:rFonts w:cs="Times New Roman"/>
                <w:b/>
                <w:bCs/>
                <w:szCs w:val="24"/>
              </w:rPr>
            </w:pPr>
            <w:r w:rsidRPr="001F796F">
              <w:rPr>
                <w:rStyle w:val="Strong"/>
                <w:rFonts w:cs="Times New Roman"/>
                <w:b w:val="0"/>
                <w:bCs w:val="0"/>
                <w:color w:val="111111"/>
                <w:szCs w:val="24"/>
                <w:shd w:val="clear" w:color="auto" w:fill="FFFFFF"/>
              </w:rPr>
              <w:t>Store below 30°C. Protect from heat, moisture, and light.</w:t>
            </w:r>
          </w:p>
        </w:tc>
      </w:tr>
      <w:tr w:rsidR="00D20CB2" w:rsidRPr="00B51149" w14:paraId="79B8A018" w14:textId="77777777" w:rsidTr="002D6DD7">
        <w:tc>
          <w:tcPr>
            <w:tcW w:w="9355" w:type="dxa"/>
            <w:gridSpan w:val="2"/>
          </w:tcPr>
          <w:p w14:paraId="1E428A19" w14:textId="77777777" w:rsidR="00D20CB2" w:rsidRPr="00B51149" w:rsidRDefault="00D20CB2" w:rsidP="002D6DD7">
            <w:pPr>
              <w:rPr>
                <w:rFonts w:cs="Times New Roman"/>
                <w:b/>
                <w:bCs/>
                <w:szCs w:val="24"/>
              </w:rPr>
            </w:pPr>
            <w:r w:rsidRPr="00B51149">
              <w:rPr>
                <w:rFonts w:cs="Times New Roman"/>
                <w:b/>
                <w:bCs/>
                <w:szCs w:val="24"/>
                <w:lang w:val="fr-FR"/>
              </w:rPr>
              <w:t>Propranolol</w:t>
            </w:r>
          </w:p>
        </w:tc>
      </w:tr>
      <w:tr w:rsidR="00D20CB2" w:rsidRPr="00B51149" w14:paraId="0C9D199F" w14:textId="77777777" w:rsidTr="002D6DD7">
        <w:tc>
          <w:tcPr>
            <w:tcW w:w="2695" w:type="dxa"/>
          </w:tcPr>
          <w:p w14:paraId="3AE2AFB5"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257B7751" w14:textId="77777777" w:rsidR="00D20CB2" w:rsidRPr="00E731CA" w:rsidRDefault="00D20CB2" w:rsidP="002D6DD7">
            <w:pPr>
              <w:rPr>
                <w:rFonts w:cs="Times New Roman"/>
                <w:b/>
                <w:bCs/>
                <w:szCs w:val="24"/>
              </w:rPr>
            </w:pPr>
            <w:r w:rsidRPr="00E731CA">
              <w:rPr>
                <w:rStyle w:val="Strong"/>
                <w:rFonts w:cs="Times New Roman"/>
                <w:b w:val="0"/>
                <w:color w:val="111111"/>
                <w:szCs w:val="24"/>
              </w:rPr>
              <w:t>Beta blocker</w:t>
            </w:r>
          </w:p>
        </w:tc>
      </w:tr>
      <w:tr w:rsidR="00D20CB2" w:rsidRPr="00B51149" w14:paraId="5A848F85" w14:textId="77777777" w:rsidTr="002D6DD7">
        <w:tc>
          <w:tcPr>
            <w:tcW w:w="2695" w:type="dxa"/>
          </w:tcPr>
          <w:p w14:paraId="01ECAF46"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700CC0FB" w14:textId="77777777" w:rsidR="00D20CB2" w:rsidRPr="00B51149" w:rsidRDefault="00D20CB2" w:rsidP="002D6DD7">
            <w:pPr>
              <w:rPr>
                <w:rFonts w:cs="Times New Roman"/>
                <w:color w:val="000000"/>
                <w:szCs w:val="24"/>
                <w:lang w:val="fr-FR"/>
              </w:rPr>
            </w:pPr>
            <w:r w:rsidRPr="00B51149">
              <w:rPr>
                <w:rFonts w:cs="Times New Roman"/>
                <w:color w:val="000000"/>
                <w:szCs w:val="24"/>
                <w:lang w:val="fr-FR"/>
              </w:rPr>
              <w:t>Tablet : 10 mg, 20 mg, 40 mg</w:t>
            </w:r>
          </w:p>
          <w:p w14:paraId="34545200" w14:textId="77777777" w:rsidR="00D20CB2" w:rsidRPr="00B51149" w:rsidRDefault="00D20CB2" w:rsidP="002D6DD7">
            <w:pPr>
              <w:rPr>
                <w:rFonts w:cs="Times New Roman"/>
                <w:color w:val="000000"/>
                <w:szCs w:val="24"/>
                <w:lang w:val="fr-FR"/>
              </w:rPr>
            </w:pPr>
            <w:r w:rsidRPr="00B51149">
              <w:rPr>
                <w:rFonts w:cs="Times New Roman"/>
                <w:color w:val="000000"/>
                <w:szCs w:val="24"/>
                <w:lang w:val="fr-FR"/>
              </w:rPr>
              <w:t>Oral Extended-Release Capsule : 60 mg, 80 mg, 120 mg, 160 mg</w:t>
            </w:r>
          </w:p>
          <w:p w14:paraId="21DA9B4D" w14:textId="77777777" w:rsidR="00D20CB2" w:rsidRPr="00B51149" w:rsidRDefault="00D20CB2" w:rsidP="002D6DD7">
            <w:pPr>
              <w:rPr>
                <w:rFonts w:cs="Times New Roman"/>
                <w:color w:val="000000"/>
                <w:szCs w:val="24"/>
                <w:lang w:val="fr-FR"/>
              </w:rPr>
            </w:pPr>
            <w:r w:rsidRPr="00B51149">
              <w:rPr>
                <w:rFonts w:cs="Times New Roman"/>
                <w:color w:val="000000"/>
                <w:szCs w:val="24"/>
                <w:lang w:val="fr-FR"/>
              </w:rPr>
              <w:t>Injection : 1 mg/ml</w:t>
            </w:r>
          </w:p>
        </w:tc>
      </w:tr>
      <w:tr w:rsidR="00D20CB2" w:rsidRPr="00B51149" w14:paraId="567FAA29" w14:textId="77777777" w:rsidTr="002D6DD7">
        <w:tc>
          <w:tcPr>
            <w:tcW w:w="2695" w:type="dxa"/>
          </w:tcPr>
          <w:p w14:paraId="2A82C426"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75ABAFAE" w14:textId="77777777" w:rsidR="00D20CB2" w:rsidRPr="00B51149" w:rsidRDefault="00D20CB2" w:rsidP="002D6DD7">
            <w:pPr>
              <w:rPr>
                <w:rFonts w:cs="Times New Roman"/>
                <w:iCs/>
                <w:szCs w:val="24"/>
              </w:rPr>
            </w:pPr>
            <w:r w:rsidRPr="00B51149">
              <w:rPr>
                <w:rFonts w:cs="Times New Roman"/>
                <w:szCs w:val="24"/>
              </w:rPr>
              <w:t>Hypertension, angina pectoris, arrhythmias, myocardial infarction, migraine prophylaxis, essential tremor, pheochromocytoma (adjunctive treatment), hyperthyroidism (symptomatic relief), anxiety, hypertrophic subaortic stenosis, portal hypertension.</w:t>
            </w:r>
          </w:p>
        </w:tc>
      </w:tr>
      <w:tr w:rsidR="00D20CB2" w:rsidRPr="00B51149" w14:paraId="0C5DAD4F" w14:textId="77777777" w:rsidTr="002D6DD7">
        <w:tc>
          <w:tcPr>
            <w:tcW w:w="2695" w:type="dxa"/>
          </w:tcPr>
          <w:p w14:paraId="7AAFBBC9"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42C40681" w14:textId="77777777" w:rsidR="00D20CB2" w:rsidRPr="00B51149" w:rsidRDefault="00D20CB2" w:rsidP="002D6DD7">
            <w:pPr>
              <w:rPr>
                <w:rFonts w:cs="Times New Roman"/>
                <w:b/>
                <w:bCs/>
                <w:szCs w:val="24"/>
              </w:rPr>
            </w:pPr>
            <w:r w:rsidRPr="00B51149">
              <w:rPr>
                <w:rFonts w:cs="Times New Roman"/>
                <w:b/>
                <w:bCs/>
                <w:szCs w:val="24"/>
              </w:rPr>
              <w:t>Tachyarrhythmia:</w:t>
            </w:r>
          </w:p>
          <w:p w14:paraId="753A5FB2" w14:textId="77777777" w:rsidR="00D20CB2" w:rsidRPr="00B51149" w:rsidRDefault="00D20CB2" w:rsidP="002D6DD7">
            <w:pPr>
              <w:rPr>
                <w:rFonts w:cs="Times New Roman"/>
                <w:b/>
                <w:bCs/>
                <w:szCs w:val="24"/>
              </w:rPr>
            </w:pPr>
            <w:r w:rsidRPr="00B51149">
              <w:rPr>
                <w:rFonts w:cs="Times New Roman"/>
                <w:b/>
                <w:bCs/>
                <w:szCs w:val="24"/>
              </w:rPr>
              <w:t>Adult:</w:t>
            </w:r>
          </w:p>
          <w:p w14:paraId="5B7631E3" w14:textId="77777777" w:rsidR="00D20CB2" w:rsidRPr="00B51149" w:rsidRDefault="00D20CB2" w:rsidP="002D6DD7">
            <w:pPr>
              <w:jc w:val="both"/>
              <w:rPr>
                <w:rFonts w:cs="Times New Roman"/>
                <w:szCs w:val="24"/>
              </w:rPr>
            </w:pPr>
            <w:r w:rsidRPr="00B51149">
              <w:rPr>
                <w:rFonts w:cs="Times New Roman"/>
                <w:szCs w:val="24"/>
              </w:rPr>
              <w:t>Oral: 10 to 30 mg/dose every 6-8 hours.</w:t>
            </w:r>
          </w:p>
          <w:p w14:paraId="6064C5FA" w14:textId="77777777" w:rsidR="00D20CB2" w:rsidRPr="00B51149" w:rsidRDefault="00D20CB2" w:rsidP="002D6DD7">
            <w:pPr>
              <w:jc w:val="both"/>
              <w:rPr>
                <w:rFonts w:cs="Times New Roman"/>
                <w:szCs w:val="24"/>
              </w:rPr>
            </w:pPr>
            <w:r w:rsidRPr="00B51149">
              <w:rPr>
                <w:rFonts w:cs="Times New Roman"/>
                <w:szCs w:val="24"/>
              </w:rPr>
              <w:t>IV: 1 to 3 mg/dose slow IV push; repeat every 2-5 minutes up to a total of 5 mg; titrate initial dose to desired response or 0.5 to 1 mg over 1 minute; may repeat, if necessary, up to a total maximum dose of 0.1 mg/kg.</w:t>
            </w:r>
          </w:p>
          <w:p w14:paraId="150BF2F9" w14:textId="77777777" w:rsidR="00D20CB2" w:rsidRPr="00B51149" w:rsidRDefault="00D20CB2" w:rsidP="002D6DD7">
            <w:pPr>
              <w:rPr>
                <w:rFonts w:cs="Times New Roman"/>
                <w:b/>
                <w:bCs/>
                <w:szCs w:val="24"/>
              </w:rPr>
            </w:pPr>
            <w:r w:rsidRPr="00B51149">
              <w:rPr>
                <w:rFonts w:cs="Times New Roman"/>
                <w:b/>
                <w:bCs/>
                <w:szCs w:val="24"/>
              </w:rPr>
              <w:t>Thyroid storm:</w:t>
            </w:r>
          </w:p>
          <w:p w14:paraId="0674E432" w14:textId="77777777" w:rsidR="00D20CB2" w:rsidRDefault="00D20CB2" w:rsidP="002D6DD7">
            <w:pPr>
              <w:jc w:val="both"/>
              <w:rPr>
                <w:rFonts w:cs="Times New Roman"/>
                <w:b/>
                <w:bCs/>
                <w:szCs w:val="24"/>
              </w:rPr>
            </w:pPr>
            <w:r w:rsidRPr="00E955C3">
              <w:rPr>
                <w:rFonts w:cs="Times New Roman"/>
                <w:b/>
                <w:bCs/>
                <w:szCs w:val="24"/>
              </w:rPr>
              <w:t>Adult</w:t>
            </w:r>
          </w:p>
          <w:p w14:paraId="4D630C4F" w14:textId="77777777" w:rsidR="00D20CB2" w:rsidRPr="00B51149" w:rsidRDefault="00D20CB2" w:rsidP="002D6DD7">
            <w:pPr>
              <w:jc w:val="both"/>
              <w:rPr>
                <w:rFonts w:cs="Times New Roman"/>
                <w:szCs w:val="24"/>
              </w:rPr>
            </w:pPr>
            <w:r w:rsidRPr="001C4F07">
              <w:rPr>
                <w:rFonts w:cs="Times New Roman"/>
                <w:szCs w:val="24"/>
              </w:rPr>
              <w:lastRenderedPageBreak/>
              <w:t>Oral:</w:t>
            </w:r>
            <w:r w:rsidRPr="00B51149">
              <w:rPr>
                <w:rFonts w:cs="Times New Roman"/>
                <w:szCs w:val="24"/>
              </w:rPr>
              <w:t xml:space="preserve"> 60-80 mg every 4 hours; may consider the use of an intravenous shorter-acting beta-blocker (i.e., esmolol).</w:t>
            </w:r>
          </w:p>
          <w:p w14:paraId="6BDC0ABD" w14:textId="77777777" w:rsidR="00D20CB2" w:rsidRDefault="00D20CB2" w:rsidP="002D6DD7">
            <w:pPr>
              <w:jc w:val="both"/>
              <w:rPr>
                <w:rFonts w:cs="Times New Roman"/>
                <w:szCs w:val="24"/>
              </w:rPr>
            </w:pPr>
            <w:r w:rsidRPr="00B51149">
              <w:rPr>
                <w:rFonts w:cs="Times New Roman"/>
                <w:szCs w:val="24"/>
              </w:rPr>
              <w:t>IV: 0.5-1 mg administered over 10 minutes every 3 hours.</w:t>
            </w:r>
          </w:p>
          <w:p w14:paraId="7394DEE8" w14:textId="77777777" w:rsidR="00D20CB2" w:rsidRPr="00B51149" w:rsidRDefault="00D20CB2" w:rsidP="002D6DD7">
            <w:pPr>
              <w:jc w:val="both"/>
              <w:rPr>
                <w:rFonts w:cs="Times New Roman"/>
                <w:szCs w:val="24"/>
              </w:rPr>
            </w:pPr>
            <w:r w:rsidRPr="00420D10">
              <w:rPr>
                <w:rFonts w:cs="Times New Roman"/>
                <w:b/>
                <w:bCs/>
                <w:szCs w:val="24"/>
              </w:rPr>
              <w:t>Child:</w:t>
            </w:r>
            <w:r w:rsidRPr="00420D10">
              <w:rPr>
                <w:rFonts w:cs="Times New Roman"/>
                <w:szCs w:val="24"/>
              </w:rPr>
              <w:t xml:space="preserve"> 0.5 mg to 1 mg/kg/day orally in divided doses every 6-8 hours, titrate dosage upward every 3-7 days based on clinical response.</w:t>
            </w:r>
            <w:r>
              <w:rPr>
                <w:rFonts w:cs="Times New Roman"/>
                <w:szCs w:val="24"/>
              </w:rPr>
              <w:t xml:space="preserve"> </w:t>
            </w:r>
            <w:r w:rsidRPr="00420D10">
              <w:rPr>
                <w:rFonts w:cs="Times New Roman"/>
                <w:szCs w:val="24"/>
              </w:rPr>
              <w:t xml:space="preserve">Maximum </w:t>
            </w:r>
            <w:r>
              <w:rPr>
                <w:rFonts w:cs="Times New Roman"/>
                <w:szCs w:val="24"/>
              </w:rPr>
              <w:t>d</w:t>
            </w:r>
            <w:r w:rsidRPr="00420D10">
              <w:rPr>
                <w:rFonts w:cs="Times New Roman"/>
                <w:szCs w:val="24"/>
              </w:rPr>
              <w:t>ose: Do not exceed 16 mg/kg/day or 60 mg/day.</w:t>
            </w:r>
          </w:p>
          <w:p w14:paraId="31385A00" w14:textId="77777777" w:rsidR="00D20CB2" w:rsidRPr="00B51149" w:rsidRDefault="00D20CB2" w:rsidP="002D6DD7">
            <w:pPr>
              <w:rPr>
                <w:rFonts w:cs="Times New Roman"/>
                <w:b/>
                <w:bCs/>
                <w:szCs w:val="24"/>
              </w:rPr>
            </w:pPr>
            <w:r w:rsidRPr="00B51149">
              <w:rPr>
                <w:rFonts w:cs="Times New Roman"/>
                <w:b/>
                <w:bCs/>
                <w:szCs w:val="24"/>
              </w:rPr>
              <w:t>Thyrotoxicosis:</w:t>
            </w:r>
          </w:p>
          <w:p w14:paraId="59E1853E" w14:textId="77777777" w:rsidR="00D20CB2" w:rsidRPr="00B51149" w:rsidRDefault="00D20CB2" w:rsidP="002D6DD7">
            <w:pPr>
              <w:jc w:val="both"/>
              <w:rPr>
                <w:rFonts w:cs="Times New Roman"/>
                <w:szCs w:val="24"/>
              </w:rPr>
            </w:pPr>
            <w:r w:rsidRPr="00E955C3">
              <w:rPr>
                <w:rFonts w:cs="Times New Roman"/>
                <w:b/>
                <w:bCs/>
                <w:szCs w:val="24"/>
              </w:rPr>
              <w:t>Adult, Oral:</w:t>
            </w:r>
            <w:r w:rsidRPr="00B51149">
              <w:rPr>
                <w:rFonts w:cs="Times New Roman"/>
                <w:szCs w:val="24"/>
              </w:rPr>
              <w:t xml:space="preserve"> 10-40 mg/dose every 6-8 hours; may also consider administering extended or sustained release formulations.</w:t>
            </w:r>
          </w:p>
          <w:p w14:paraId="3BC19429" w14:textId="77777777" w:rsidR="00D20CB2" w:rsidRPr="00B51149" w:rsidRDefault="00D20CB2" w:rsidP="002D6DD7">
            <w:pPr>
              <w:rPr>
                <w:rFonts w:cs="Times New Roman"/>
                <w:szCs w:val="24"/>
              </w:rPr>
            </w:pPr>
            <w:r w:rsidRPr="00B51149">
              <w:rPr>
                <w:rFonts w:cs="Times New Roman"/>
                <w:b/>
                <w:bCs/>
                <w:szCs w:val="24"/>
              </w:rPr>
              <w:t>Child:</w:t>
            </w:r>
            <w:r>
              <w:rPr>
                <w:rFonts w:cs="Times New Roman"/>
                <w:b/>
                <w:bCs/>
                <w:szCs w:val="24"/>
              </w:rPr>
              <w:t xml:space="preserve"> </w:t>
            </w:r>
            <w:r w:rsidRPr="00B51149">
              <w:rPr>
                <w:rFonts w:cs="Times New Roman"/>
                <w:b/>
                <w:bCs/>
                <w:szCs w:val="24"/>
              </w:rPr>
              <w:t>Initial</w:t>
            </w:r>
            <w:r>
              <w:rPr>
                <w:rFonts w:cs="Times New Roman"/>
                <w:b/>
                <w:bCs/>
                <w:szCs w:val="24"/>
              </w:rPr>
              <w:t>ly</w:t>
            </w:r>
            <w:r w:rsidRPr="00B51149">
              <w:rPr>
                <w:rFonts w:cs="Times New Roman"/>
                <w:szCs w:val="24"/>
              </w:rPr>
              <w:t xml:space="preserve"> 0.5 to 1 mg/kg/day in divided doses every 6-8 hours; titrate dosage upward every 3-7 days; usual dose: 2-6 mg/kg/day; higher doses may be needed; do not exceed 16 mg/kg/day or 60 mg/day.</w:t>
            </w:r>
          </w:p>
        </w:tc>
      </w:tr>
      <w:tr w:rsidR="00D20CB2" w:rsidRPr="00B51149" w14:paraId="75D74F47" w14:textId="77777777" w:rsidTr="002D6DD7">
        <w:tc>
          <w:tcPr>
            <w:tcW w:w="2695" w:type="dxa"/>
          </w:tcPr>
          <w:p w14:paraId="00CE5CF6"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660" w:type="dxa"/>
          </w:tcPr>
          <w:p w14:paraId="07D0F1C2" w14:textId="77777777" w:rsidR="00D20CB2" w:rsidRPr="00B51149" w:rsidRDefault="00D20CB2" w:rsidP="002D6DD7">
            <w:pPr>
              <w:jc w:val="both"/>
              <w:rPr>
                <w:rFonts w:cs="Times New Roman"/>
                <w:szCs w:val="24"/>
              </w:rPr>
            </w:pPr>
            <w:r w:rsidRPr="00B51149">
              <w:rPr>
                <w:rFonts w:cs="Times New Roman"/>
                <w:szCs w:val="24"/>
              </w:rPr>
              <w:t>Hypersensitivity to propranolol</w:t>
            </w:r>
            <w:r w:rsidR="00E731CA">
              <w:rPr>
                <w:rFonts w:cs="Times New Roman"/>
                <w:szCs w:val="24"/>
              </w:rPr>
              <w:t xml:space="preserve"> or other </w:t>
            </w:r>
            <w:r w:rsidRPr="00B51149">
              <w:rPr>
                <w:rFonts w:cs="Times New Roman"/>
                <w:szCs w:val="24"/>
              </w:rPr>
              <w:t>beta-blockers, uncompensated congestive heart failure (unless the failure is due to tachyarrhythmia being treated with propranolol), cardiogenic shock, severe sinus bradycardia or heart block greater than first-degree (except in patients with a functioning artificial pacemaker), severe hyperactive airway disease (asthma or COPD).</w:t>
            </w:r>
          </w:p>
        </w:tc>
      </w:tr>
      <w:tr w:rsidR="00D20CB2" w:rsidRPr="00B51149" w14:paraId="28EDEE74" w14:textId="77777777" w:rsidTr="002D6DD7">
        <w:tc>
          <w:tcPr>
            <w:tcW w:w="2695" w:type="dxa"/>
          </w:tcPr>
          <w:p w14:paraId="60095E26"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626DCA12" w14:textId="77777777" w:rsidR="00D20CB2" w:rsidRPr="00B51149" w:rsidRDefault="00D20CB2" w:rsidP="002D6DD7">
            <w:pPr>
              <w:jc w:val="both"/>
              <w:rPr>
                <w:rFonts w:cs="Times New Roman"/>
                <w:szCs w:val="24"/>
              </w:rPr>
            </w:pPr>
            <w:r w:rsidRPr="00B51149">
              <w:rPr>
                <w:rFonts w:cs="Times New Roman"/>
                <w:szCs w:val="24"/>
              </w:rPr>
              <w:t>Chlorpromazine, phenothiazines, thioxanthenes, lidocaine, cimetidine, hepatic enzyme inducers (barbiturates, phenytoin, rifampicin), non-steroidal anti-inflammatory agents, digoxin, verapamil, neuromuscular blocking agents, anesthetic agents, insulin or oral antidiabetic agents</w:t>
            </w:r>
          </w:p>
        </w:tc>
      </w:tr>
      <w:tr w:rsidR="00D20CB2" w:rsidRPr="00B51149" w14:paraId="0E4DFBB3" w14:textId="77777777" w:rsidTr="002D6DD7">
        <w:tc>
          <w:tcPr>
            <w:tcW w:w="2695" w:type="dxa"/>
          </w:tcPr>
          <w:p w14:paraId="4AE1B0C8" w14:textId="77777777" w:rsidR="00D20CB2" w:rsidRPr="00B51149" w:rsidRDefault="00D20CB2" w:rsidP="002D6DD7">
            <w:pPr>
              <w:rPr>
                <w:rFonts w:cs="Times New Roman"/>
                <w:szCs w:val="24"/>
              </w:rPr>
            </w:pPr>
            <w:r w:rsidRPr="00B51149">
              <w:rPr>
                <w:rFonts w:cs="Times New Roman"/>
                <w:szCs w:val="24"/>
              </w:rPr>
              <w:t>Side effects</w:t>
            </w:r>
          </w:p>
        </w:tc>
        <w:tc>
          <w:tcPr>
            <w:tcW w:w="6660" w:type="dxa"/>
          </w:tcPr>
          <w:p w14:paraId="4F47BDED" w14:textId="77777777" w:rsidR="00D20CB2" w:rsidRPr="00B51149" w:rsidRDefault="00D20CB2" w:rsidP="002D6DD7">
            <w:pPr>
              <w:jc w:val="both"/>
              <w:rPr>
                <w:rFonts w:cs="Times New Roman"/>
                <w:szCs w:val="24"/>
              </w:rPr>
            </w:pPr>
            <w:r w:rsidRPr="00B51149">
              <w:rPr>
                <w:rFonts w:cs="Times New Roman"/>
                <w:szCs w:val="24"/>
              </w:rPr>
              <w:t xml:space="preserve">Heart failure, heart block, hypotension, bronchospasm, fatigue and coldness of the extremities, headache, depression, dizziness, confusion, sleep disturbances, dry </w:t>
            </w:r>
            <w:r>
              <w:rPr>
                <w:rFonts w:cs="Times New Roman"/>
                <w:szCs w:val="24"/>
              </w:rPr>
              <w:t>m</w:t>
            </w:r>
            <w:r>
              <w:t>outh</w:t>
            </w:r>
            <w:r w:rsidRPr="00B51149">
              <w:rPr>
                <w:rFonts w:cs="Times New Roman"/>
                <w:szCs w:val="24"/>
              </w:rPr>
              <w:t>, nausea, vomiting, diarrhea, impotence, or decreased libido.</w:t>
            </w:r>
          </w:p>
        </w:tc>
      </w:tr>
      <w:tr w:rsidR="00D20CB2" w:rsidRPr="00B51149" w14:paraId="1C37DFE0" w14:textId="77777777" w:rsidTr="002D6DD7">
        <w:tc>
          <w:tcPr>
            <w:tcW w:w="2695" w:type="dxa"/>
          </w:tcPr>
          <w:p w14:paraId="60BDCA42"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6C0523B6" w14:textId="77777777" w:rsidR="00D20CB2" w:rsidRPr="00B51149" w:rsidRDefault="00D20CB2" w:rsidP="002D6DD7">
            <w:pPr>
              <w:jc w:val="both"/>
              <w:rPr>
                <w:rFonts w:cs="Times New Roman"/>
                <w:szCs w:val="24"/>
              </w:rPr>
            </w:pPr>
            <w:r w:rsidRPr="00B51149">
              <w:rPr>
                <w:rFonts w:cs="Times New Roman"/>
                <w:szCs w:val="24"/>
              </w:rPr>
              <w:t xml:space="preserve">Peripheral arterial insufficiency, first-degree </w:t>
            </w:r>
            <w:r>
              <w:rPr>
                <w:rFonts w:cs="Times New Roman"/>
                <w:szCs w:val="24"/>
              </w:rPr>
              <w:t>A</w:t>
            </w:r>
            <w:r>
              <w:t>V</w:t>
            </w:r>
            <w:r w:rsidRPr="00B51149">
              <w:rPr>
                <w:rFonts w:cs="Times New Roman"/>
                <w:szCs w:val="24"/>
              </w:rPr>
              <w:t xml:space="preserve"> block, major surgery, renal and hepatic impairment, diabetes, myasthenia </w:t>
            </w:r>
            <w:r w:rsidRPr="00B51149">
              <w:rPr>
                <w:rFonts w:cs="Times New Roman"/>
                <w:szCs w:val="24"/>
              </w:rPr>
              <w:lastRenderedPageBreak/>
              <w:t>gravis, abrupt withdrawal, ischemic heart disease, pregnancy, neonate</w:t>
            </w:r>
          </w:p>
        </w:tc>
      </w:tr>
      <w:tr w:rsidR="00D20CB2" w:rsidRPr="00B51149" w14:paraId="1028F24D" w14:textId="77777777" w:rsidTr="002D6DD7">
        <w:tc>
          <w:tcPr>
            <w:tcW w:w="2695" w:type="dxa"/>
          </w:tcPr>
          <w:p w14:paraId="26945770" w14:textId="77777777" w:rsidR="00D20CB2" w:rsidRPr="00B51149" w:rsidRDefault="00D20CB2" w:rsidP="002D6DD7">
            <w:pPr>
              <w:rPr>
                <w:rFonts w:cs="Times New Roman"/>
                <w:szCs w:val="24"/>
              </w:rPr>
            </w:pPr>
            <w:r w:rsidRPr="00B51149">
              <w:rPr>
                <w:rFonts w:cs="Times New Roman"/>
                <w:szCs w:val="24"/>
              </w:rPr>
              <w:lastRenderedPageBreak/>
              <w:t>Storage condition</w:t>
            </w:r>
          </w:p>
        </w:tc>
        <w:tc>
          <w:tcPr>
            <w:tcW w:w="6660" w:type="dxa"/>
          </w:tcPr>
          <w:p w14:paraId="23EB2CF8" w14:textId="77777777" w:rsidR="00D20CB2" w:rsidRPr="00B51149" w:rsidRDefault="00D20CB2" w:rsidP="002D6DD7">
            <w:pPr>
              <w:rPr>
                <w:rFonts w:cs="Times New Roman"/>
                <w:color w:val="FF0000"/>
                <w:szCs w:val="24"/>
              </w:rPr>
            </w:pPr>
            <w:r w:rsidRPr="00B51149">
              <w:rPr>
                <w:rFonts w:cs="Times New Roman"/>
                <w:szCs w:val="24"/>
              </w:rPr>
              <w:t>Store below 30°C</w:t>
            </w:r>
            <w:r>
              <w:rPr>
                <w:rFonts w:cs="Times New Roman"/>
                <w:szCs w:val="24"/>
              </w:rPr>
              <w:t>.</w:t>
            </w:r>
          </w:p>
        </w:tc>
      </w:tr>
      <w:tr w:rsidR="00D20CB2" w:rsidRPr="00B51149" w14:paraId="033AAA6E" w14:textId="77777777" w:rsidTr="002D6DD7">
        <w:tc>
          <w:tcPr>
            <w:tcW w:w="9355" w:type="dxa"/>
            <w:gridSpan w:val="2"/>
          </w:tcPr>
          <w:p w14:paraId="0DE41D09" w14:textId="77777777" w:rsidR="00D20CB2" w:rsidRPr="00B51149" w:rsidRDefault="00D20CB2" w:rsidP="002D6DD7">
            <w:pPr>
              <w:rPr>
                <w:rFonts w:cs="Times New Roman"/>
                <w:b/>
                <w:bCs/>
                <w:szCs w:val="24"/>
              </w:rPr>
            </w:pPr>
            <w:bookmarkStart w:id="140" w:name="_Toc168316999"/>
            <w:r w:rsidRPr="00B51149">
              <w:rPr>
                <w:rFonts w:eastAsia="Calibri" w:cs="Times New Roman"/>
                <w:b/>
                <w:bCs/>
                <w:szCs w:val="24"/>
                <w:lang w:val="fr-FR"/>
              </w:rPr>
              <w:t>Propyl Thiouracil (PTU)</w:t>
            </w:r>
            <w:bookmarkEnd w:id="140"/>
          </w:p>
        </w:tc>
      </w:tr>
      <w:tr w:rsidR="00D20CB2" w:rsidRPr="00B51149" w14:paraId="1A02EF4D" w14:textId="77777777" w:rsidTr="002D6DD7">
        <w:tc>
          <w:tcPr>
            <w:tcW w:w="2695" w:type="dxa"/>
          </w:tcPr>
          <w:p w14:paraId="7CA8EE5C"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660" w:type="dxa"/>
          </w:tcPr>
          <w:p w14:paraId="77CD4CA9" w14:textId="77777777" w:rsidR="00D20CB2" w:rsidRPr="00B51149" w:rsidRDefault="00D20CB2" w:rsidP="002D6DD7">
            <w:pPr>
              <w:rPr>
                <w:rFonts w:cs="Times New Roman"/>
                <w:szCs w:val="24"/>
              </w:rPr>
            </w:pPr>
            <w:r w:rsidRPr="00B51149">
              <w:rPr>
                <w:rFonts w:cs="Times New Roman"/>
                <w:color w:val="111111"/>
                <w:szCs w:val="24"/>
                <w:shd w:val="clear" w:color="auto" w:fill="FFFFFF"/>
              </w:rPr>
              <w:t>Antithyroid agent</w:t>
            </w:r>
          </w:p>
        </w:tc>
      </w:tr>
      <w:tr w:rsidR="00D20CB2" w:rsidRPr="00B51149" w14:paraId="2B9B9AD2" w14:textId="77777777" w:rsidTr="002D6DD7">
        <w:tc>
          <w:tcPr>
            <w:tcW w:w="2695" w:type="dxa"/>
          </w:tcPr>
          <w:p w14:paraId="7DA312D8" w14:textId="77777777" w:rsidR="00D20CB2" w:rsidRPr="00B51149" w:rsidRDefault="00D20CB2" w:rsidP="002D6DD7">
            <w:pPr>
              <w:rPr>
                <w:rFonts w:cs="Times New Roman"/>
                <w:szCs w:val="24"/>
              </w:rPr>
            </w:pPr>
            <w:r w:rsidRPr="00B51149">
              <w:rPr>
                <w:rFonts w:cs="Times New Roman"/>
                <w:szCs w:val="24"/>
              </w:rPr>
              <w:t>Dosage form</w:t>
            </w:r>
          </w:p>
        </w:tc>
        <w:tc>
          <w:tcPr>
            <w:tcW w:w="6660" w:type="dxa"/>
          </w:tcPr>
          <w:p w14:paraId="7416D94F" w14:textId="77777777" w:rsidR="00D20CB2" w:rsidRPr="00B51149" w:rsidRDefault="00D20CB2" w:rsidP="002D6DD7">
            <w:pPr>
              <w:rPr>
                <w:rFonts w:cs="Times New Roman"/>
                <w:color w:val="000000"/>
                <w:szCs w:val="24"/>
              </w:rPr>
            </w:pPr>
            <w:r w:rsidRPr="00B51149">
              <w:rPr>
                <w:rFonts w:cs="Times New Roman"/>
                <w:color w:val="000000"/>
                <w:szCs w:val="24"/>
                <w:lang w:val="fr-FR"/>
              </w:rPr>
              <w:t>Tablet : 50 mg, 100 mg</w:t>
            </w:r>
          </w:p>
        </w:tc>
      </w:tr>
      <w:tr w:rsidR="00D20CB2" w:rsidRPr="00B51149" w14:paraId="50380AC5" w14:textId="77777777" w:rsidTr="002D6DD7">
        <w:tc>
          <w:tcPr>
            <w:tcW w:w="2695" w:type="dxa"/>
          </w:tcPr>
          <w:p w14:paraId="0B8F2C28" w14:textId="77777777" w:rsidR="00D20CB2" w:rsidRPr="00B51149" w:rsidRDefault="00D20CB2" w:rsidP="002D6DD7">
            <w:pPr>
              <w:rPr>
                <w:rFonts w:cs="Times New Roman"/>
                <w:szCs w:val="24"/>
              </w:rPr>
            </w:pPr>
            <w:r w:rsidRPr="00B51149">
              <w:rPr>
                <w:rFonts w:cs="Times New Roman"/>
                <w:szCs w:val="24"/>
              </w:rPr>
              <w:t>Indications</w:t>
            </w:r>
          </w:p>
        </w:tc>
        <w:tc>
          <w:tcPr>
            <w:tcW w:w="6660" w:type="dxa"/>
          </w:tcPr>
          <w:p w14:paraId="0E9DA10C" w14:textId="77777777" w:rsidR="00D20CB2" w:rsidRPr="00B51149" w:rsidRDefault="00D20CB2" w:rsidP="002D6DD7">
            <w:pPr>
              <w:rPr>
                <w:rFonts w:cs="Times New Roman"/>
                <w:iCs/>
                <w:szCs w:val="24"/>
              </w:rPr>
            </w:pPr>
            <w:r w:rsidRPr="00B51149">
              <w:rPr>
                <w:rFonts w:cs="Times New Roman"/>
                <w:szCs w:val="24"/>
              </w:rPr>
              <w:t>Hyperthyroidism, Graves' disease, preparation for thyroid surgery, thyroid storm.</w:t>
            </w:r>
          </w:p>
        </w:tc>
      </w:tr>
      <w:tr w:rsidR="00D20CB2" w:rsidRPr="00B51149" w14:paraId="2448C68A" w14:textId="77777777" w:rsidTr="002D6DD7">
        <w:tc>
          <w:tcPr>
            <w:tcW w:w="2695" w:type="dxa"/>
          </w:tcPr>
          <w:p w14:paraId="1102175D" w14:textId="77777777" w:rsidR="00D20CB2" w:rsidRPr="00B51149" w:rsidRDefault="00D20CB2" w:rsidP="002D6DD7">
            <w:pPr>
              <w:rPr>
                <w:rFonts w:cs="Times New Roman"/>
                <w:szCs w:val="24"/>
              </w:rPr>
            </w:pPr>
            <w:r w:rsidRPr="00B51149">
              <w:rPr>
                <w:rFonts w:cs="Times New Roman"/>
                <w:szCs w:val="24"/>
              </w:rPr>
              <w:t>Dose and administration</w:t>
            </w:r>
          </w:p>
        </w:tc>
        <w:tc>
          <w:tcPr>
            <w:tcW w:w="6660" w:type="dxa"/>
          </w:tcPr>
          <w:p w14:paraId="1846FE90"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Hyperthyroidism</w:t>
            </w:r>
            <w:r w:rsidR="00E731CA">
              <w:rPr>
                <w:rFonts w:cs="Times New Roman"/>
                <w:b/>
                <w:bCs/>
                <w:color w:val="231F20"/>
                <w:szCs w:val="24"/>
              </w:rPr>
              <w:t>:</w:t>
            </w:r>
          </w:p>
          <w:p w14:paraId="76A0A17E" w14:textId="77777777" w:rsidR="00D20CB2" w:rsidRPr="00B51149" w:rsidRDefault="00D20CB2" w:rsidP="002D6DD7">
            <w:pPr>
              <w:jc w:val="both"/>
              <w:rPr>
                <w:rFonts w:cs="Times New Roman"/>
                <w:color w:val="231F20"/>
                <w:szCs w:val="24"/>
              </w:rPr>
            </w:pPr>
            <w:r w:rsidRPr="00B51149">
              <w:rPr>
                <w:rFonts w:cs="Times New Roman"/>
                <w:b/>
                <w:bCs/>
                <w:color w:val="231F20"/>
                <w:szCs w:val="24"/>
              </w:rPr>
              <w:t>Adult:</w:t>
            </w:r>
            <w:r w:rsidRPr="00B51149">
              <w:rPr>
                <w:rFonts w:cs="Times New Roman"/>
                <w:color w:val="231F20"/>
                <w:szCs w:val="24"/>
              </w:rPr>
              <w:t xml:space="preserve"> 300 mg to 450 mg per day orally in divided doses every 8 hours until the patient becomes euthyroid. Once euthyroid, reduce to a maintenance dose of 100 mg to 150 mg per day.</w:t>
            </w:r>
          </w:p>
          <w:p w14:paraId="0B604E0C" w14:textId="77777777" w:rsidR="00D20CB2" w:rsidRPr="00B51149" w:rsidRDefault="00D20CB2" w:rsidP="002D6DD7">
            <w:pPr>
              <w:jc w:val="both"/>
              <w:rPr>
                <w:rFonts w:cs="Times New Roman"/>
                <w:color w:val="231F20"/>
                <w:szCs w:val="24"/>
              </w:rPr>
            </w:pPr>
            <w:r w:rsidRPr="00B51149">
              <w:rPr>
                <w:rFonts w:cs="Times New Roman"/>
                <w:b/>
                <w:bCs/>
                <w:color w:val="231F20"/>
                <w:szCs w:val="24"/>
              </w:rPr>
              <w:t>Child:</w:t>
            </w:r>
            <w:r w:rsidRPr="00B51149">
              <w:rPr>
                <w:rFonts w:cs="Times New Roman"/>
                <w:color w:val="231F20"/>
                <w:szCs w:val="24"/>
              </w:rPr>
              <w:t xml:space="preserve"> 5 mg to 7 mg/kg/day orally in divided doses every 8 hours. Adjust based on clinical response and thyroid function tests.</w:t>
            </w:r>
          </w:p>
          <w:p w14:paraId="089ECBCC"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Graves' Disease</w:t>
            </w:r>
            <w:r w:rsidR="00E731CA">
              <w:rPr>
                <w:rFonts w:cs="Times New Roman"/>
                <w:b/>
                <w:bCs/>
                <w:color w:val="231F20"/>
                <w:szCs w:val="24"/>
              </w:rPr>
              <w:t>:</w:t>
            </w:r>
          </w:p>
          <w:p w14:paraId="4EFD15BE" w14:textId="77777777" w:rsidR="00D20CB2" w:rsidRPr="00B51149" w:rsidRDefault="00D20CB2" w:rsidP="002D6DD7">
            <w:pPr>
              <w:jc w:val="both"/>
              <w:rPr>
                <w:rFonts w:cs="Times New Roman"/>
                <w:color w:val="231F20"/>
                <w:szCs w:val="24"/>
              </w:rPr>
            </w:pPr>
            <w:r w:rsidRPr="00B51149">
              <w:rPr>
                <w:rFonts w:cs="Times New Roman"/>
                <w:b/>
                <w:bCs/>
                <w:color w:val="231F20"/>
                <w:szCs w:val="24"/>
              </w:rPr>
              <w:t>Adult:</w:t>
            </w:r>
            <w:r w:rsidRPr="00B51149">
              <w:rPr>
                <w:rFonts w:cs="Times New Roman"/>
                <w:color w:val="231F20"/>
                <w:szCs w:val="24"/>
              </w:rPr>
              <w:t xml:space="preserve"> 300 mg to 450 mg per day orally in divided doses every 8 hours until euthyroid state is achieved, then maintain on 100 mg to 150 mg per day.</w:t>
            </w:r>
          </w:p>
          <w:p w14:paraId="5E38028C" w14:textId="77777777" w:rsidR="00D20CB2" w:rsidRPr="00B51149" w:rsidRDefault="00D20CB2" w:rsidP="002D6DD7">
            <w:pPr>
              <w:jc w:val="both"/>
              <w:rPr>
                <w:rFonts w:cs="Times New Roman"/>
                <w:color w:val="231F20"/>
                <w:szCs w:val="24"/>
              </w:rPr>
            </w:pPr>
            <w:r w:rsidRPr="00B51149">
              <w:rPr>
                <w:rFonts w:cs="Times New Roman"/>
                <w:b/>
                <w:bCs/>
                <w:color w:val="231F20"/>
                <w:szCs w:val="24"/>
              </w:rPr>
              <w:t>Child:</w:t>
            </w:r>
            <w:r w:rsidRPr="00B51149">
              <w:rPr>
                <w:rFonts w:cs="Times New Roman"/>
                <w:color w:val="231F20"/>
                <w:szCs w:val="24"/>
              </w:rPr>
              <w:t xml:space="preserve"> 5 mg to 7 mg/kg/day orally in divided doses every 8 hours. Adjust based on clinical response and thyroid function tests.</w:t>
            </w:r>
          </w:p>
          <w:p w14:paraId="25C69D9C"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Preparation for Thyroid Surgery</w:t>
            </w:r>
            <w:r w:rsidR="00E731CA">
              <w:rPr>
                <w:rFonts w:cs="Times New Roman"/>
                <w:b/>
                <w:bCs/>
                <w:color w:val="231F20"/>
                <w:szCs w:val="24"/>
              </w:rPr>
              <w:t>:</w:t>
            </w:r>
          </w:p>
          <w:p w14:paraId="4F9940F6" w14:textId="77777777" w:rsidR="00D20CB2" w:rsidRPr="00B51149" w:rsidRDefault="00D20CB2" w:rsidP="002D6DD7">
            <w:pPr>
              <w:jc w:val="both"/>
              <w:rPr>
                <w:rFonts w:cs="Times New Roman"/>
                <w:color w:val="231F20"/>
                <w:szCs w:val="24"/>
              </w:rPr>
            </w:pPr>
            <w:r w:rsidRPr="00B51149">
              <w:rPr>
                <w:rFonts w:cs="Times New Roman"/>
                <w:b/>
                <w:bCs/>
                <w:color w:val="231F20"/>
                <w:szCs w:val="24"/>
              </w:rPr>
              <w:t>Adult:</w:t>
            </w:r>
            <w:r w:rsidRPr="00B51149">
              <w:rPr>
                <w:rFonts w:cs="Times New Roman"/>
                <w:color w:val="231F20"/>
                <w:szCs w:val="24"/>
              </w:rPr>
              <w:t xml:space="preserve"> 300 mg to 450 mg per day orally in divided doses every 8 hours for several weeks before surgery.</w:t>
            </w:r>
          </w:p>
          <w:p w14:paraId="455E0EA9" w14:textId="77777777" w:rsidR="00D20CB2" w:rsidRPr="00B51149" w:rsidRDefault="00D20CB2" w:rsidP="002D6DD7">
            <w:pPr>
              <w:jc w:val="both"/>
              <w:rPr>
                <w:rFonts w:cs="Times New Roman"/>
                <w:color w:val="231F20"/>
                <w:szCs w:val="24"/>
              </w:rPr>
            </w:pPr>
            <w:r w:rsidRPr="00B51149">
              <w:rPr>
                <w:rFonts w:cs="Times New Roman"/>
                <w:b/>
                <w:bCs/>
                <w:color w:val="231F20"/>
                <w:szCs w:val="24"/>
              </w:rPr>
              <w:t>Child:</w:t>
            </w:r>
            <w:r w:rsidRPr="00B51149">
              <w:rPr>
                <w:rFonts w:cs="Times New Roman"/>
                <w:color w:val="231F20"/>
                <w:szCs w:val="24"/>
              </w:rPr>
              <w:t xml:space="preserve"> 5 mg to 7 mg/kg/day orally in divided doses every 8 hours. Adjust based on clinical response and thyroid function tests.</w:t>
            </w:r>
          </w:p>
          <w:p w14:paraId="44653572" w14:textId="77777777" w:rsidR="00D20CB2" w:rsidRPr="00B51149" w:rsidRDefault="00D20CB2" w:rsidP="002D6DD7">
            <w:pPr>
              <w:jc w:val="both"/>
              <w:rPr>
                <w:rFonts w:cs="Times New Roman"/>
                <w:b/>
                <w:bCs/>
                <w:color w:val="231F20"/>
                <w:szCs w:val="24"/>
              </w:rPr>
            </w:pPr>
            <w:r w:rsidRPr="00B51149">
              <w:rPr>
                <w:rFonts w:cs="Times New Roman"/>
                <w:b/>
                <w:bCs/>
                <w:color w:val="231F20"/>
                <w:szCs w:val="24"/>
              </w:rPr>
              <w:t>Thyroid Storm</w:t>
            </w:r>
            <w:r w:rsidR="00E731CA">
              <w:rPr>
                <w:rFonts w:cs="Times New Roman"/>
                <w:b/>
                <w:bCs/>
                <w:color w:val="231F20"/>
                <w:szCs w:val="24"/>
              </w:rPr>
              <w:t>:</w:t>
            </w:r>
          </w:p>
          <w:p w14:paraId="79C03E43" w14:textId="77777777" w:rsidR="00D20CB2" w:rsidRPr="00B51149" w:rsidRDefault="00D20CB2" w:rsidP="002D6DD7">
            <w:pPr>
              <w:jc w:val="both"/>
              <w:rPr>
                <w:rFonts w:cs="Times New Roman"/>
                <w:color w:val="231F20"/>
                <w:szCs w:val="24"/>
              </w:rPr>
            </w:pPr>
            <w:r w:rsidRPr="00B51149">
              <w:rPr>
                <w:rFonts w:cs="Times New Roman"/>
                <w:b/>
                <w:bCs/>
                <w:color w:val="231F20"/>
                <w:szCs w:val="24"/>
              </w:rPr>
              <w:t>Adult:</w:t>
            </w:r>
            <w:r w:rsidRPr="00B51149">
              <w:rPr>
                <w:rFonts w:cs="Times New Roman"/>
                <w:color w:val="231F20"/>
                <w:szCs w:val="24"/>
              </w:rPr>
              <w:t xml:space="preserve"> 200 mg every 4 to 6 hours orally.</w:t>
            </w:r>
          </w:p>
          <w:p w14:paraId="5F21871A" w14:textId="77777777" w:rsidR="00D20CB2" w:rsidRPr="00B51149" w:rsidRDefault="00D20CB2" w:rsidP="002D6DD7">
            <w:pPr>
              <w:jc w:val="both"/>
              <w:rPr>
                <w:rFonts w:cs="Times New Roman"/>
                <w:color w:val="231F20"/>
                <w:szCs w:val="24"/>
              </w:rPr>
            </w:pPr>
            <w:r w:rsidRPr="00B51149">
              <w:rPr>
                <w:rFonts w:cs="Times New Roman"/>
                <w:b/>
                <w:bCs/>
                <w:color w:val="231F20"/>
                <w:szCs w:val="24"/>
              </w:rPr>
              <w:t>Child:</w:t>
            </w:r>
            <w:r w:rsidRPr="00B51149">
              <w:rPr>
                <w:rFonts w:cs="Times New Roman"/>
                <w:color w:val="231F20"/>
                <w:szCs w:val="24"/>
              </w:rPr>
              <w:t xml:space="preserve"> 5 mg to 7 mg/kg/day orally in divided doses every 4 to 6 hours. Adjust based on clinical response and thyroid function tests.</w:t>
            </w:r>
          </w:p>
        </w:tc>
      </w:tr>
      <w:tr w:rsidR="00D20CB2" w:rsidRPr="00B51149" w14:paraId="6AE58CE3" w14:textId="77777777" w:rsidTr="002D6DD7">
        <w:tc>
          <w:tcPr>
            <w:tcW w:w="2695" w:type="dxa"/>
          </w:tcPr>
          <w:p w14:paraId="16F56AA9" w14:textId="77777777" w:rsidR="00D20CB2" w:rsidRPr="00B51149" w:rsidRDefault="00D20CB2" w:rsidP="002D6DD7">
            <w:pPr>
              <w:rPr>
                <w:rFonts w:cs="Times New Roman"/>
                <w:szCs w:val="24"/>
              </w:rPr>
            </w:pPr>
            <w:r w:rsidRPr="00B51149">
              <w:rPr>
                <w:rFonts w:cs="Times New Roman"/>
                <w:szCs w:val="24"/>
              </w:rPr>
              <w:t>Contraindications</w:t>
            </w:r>
          </w:p>
        </w:tc>
        <w:tc>
          <w:tcPr>
            <w:tcW w:w="6660" w:type="dxa"/>
          </w:tcPr>
          <w:p w14:paraId="600996A8" w14:textId="77777777" w:rsidR="00D20CB2" w:rsidRPr="00B573A9" w:rsidRDefault="00D20CB2" w:rsidP="002D6DD7">
            <w:pPr>
              <w:rPr>
                <w:rFonts w:cs="Times New Roman"/>
                <w:b/>
                <w:szCs w:val="24"/>
              </w:rPr>
            </w:pPr>
            <w:r w:rsidRPr="00B573A9">
              <w:rPr>
                <w:rFonts w:cs="Times New Roman"/>
                <w:color w:val="111111"/>
                <w:szCs w:val="24"/>
              </w:rPr>
              <w:t>Hypersensitivity to t</w:t>
            </w:r>
            <w:r w:rsidRPr="00B573A9">
              <w:rPr>
                <w:rFonts w:cs="Times New Roman"/>
                <w:szCs w:val="24"/>
              </w:rPr>
              <w:t>he drug</w:t>
            </w:r>
            <w:r w:rsidRPr="00B573A9">
              <w:rPr>
                <w:rFonts w:cs="Times New Roman"/>
                <w:color w:val="111111"/>
                <w:szCs w:val="24"/>
              </w:rPr>
              <w:t>, hepatic impairment.</w:t>
            </w:r>
          </w:p>
        </w:tc>
      </w:tr>
      <w:tr w:rsidR="00D20CB2" w:rsidRPr="00B51149" w14:paraId="152C7186" w14:textId="77777777" w:rsidTr="002D6DD7">
        <w:tc>
          <w:tcPr>
            <w:tcW w:w="2695" w:type="dxa"/>
          </w:tcPr>
          <w:p w14:paraId="035AC2DA" w14:textId="77777777" w:rsidR="00D20CB2" w:rsidRPr="00B51149" w:rsidRDefault="00D20CB2" w:rsidP="002D6DD7">
            <w:pPr>
              <w:rPr>
                <w:rFonts w:cs="Times New Roman"/>
                <w:szCs w:val="24"/>
              </w:rPr>
            </w:pPr>
            <w:r w:rsidRPr="00B51149">
              <w:rPr>
                <w:rFonts w:cs="Times New Roman"/>
                <w:szCs w:val="24"/>
              </w:rPr>
              <w:t>Drug interactions</w:t>
            </w:r>
          </w:p>
        </w:tc>
        <w:tc>
          <w:tcPr>
            <w:tcW w:w="6660" w:type="dxa"/>
          </w:tcPr>
          <w:p w14:paraId="4BF1C557" w14:textId="77777777" w:rsidR="00D20CB2" w:rsidRPr="00B51149" w:rsidRDefault="00D20CB2" w:rsidP="002D6DD7">
            <w:pPr>
              <w:rPr>
                <w:rFonts w:cs="Times New Roman"/>
                <w:szCs w:val="24"/>
              </w:rPr>
            </w:pPr>
            <w:r w:rsidRPr="00B51149">
              <w:rPr>
                <w:rFonts w:cs="Times New Roman"/>
                <w:szCs w:val="24"/>
              </w:rPr>
              <w:t>Sodium iodide (iodine-131), warfarin</w:t>
            </w:r>
          </w:p>
        </w:tc>
      </w:tr>
      <w:tr w:rsidR="00D20CB2" w:rsidRPr="00B51149" w14:paraId="4C5A59EB" w14:textId="77777777" w:rsidTr="002D6DD7">
        <w:tc>
          <w:tcPr>
            <w:tcW w:w="2695" w:type="dxa"/>
          </w:tcPr>
          <w:p w14:paraId="650BF021" w14:textId="77777777" w:rsidR="00D20CB2" w:rsidRPr="00B51149" w:rsidRDefault="00D20CB2" w:rsidP="002D6DD7">
            <w:pPr>
              <w:rPr>
                <w:rFonts w:cs="Times New Roman"/>
                <w:szCs w:val="24"/>
              </w:rPr>
            </w:pPr>
            <w:r w:rsidRPr="00B51149">
              <w:rPr>
                <w:rFonts w:cs="Times New Roman"/>
                <w:szCs w:val="24"/>
              </w:rPr>
              <w:lastRenderedPageBreak/>
              <w:t>Side effects</w:t>
            </w:r>
          </w:p>
        </w:tc>
        <w:tc>
          <w:tcPr>
            <w:tcW w:w="6660" w:type="dxa"/>
          </w:tcPr>
          <w:p w14:paraId="160802A6" w14:textId="77777777" w:rsidR="00D20CB2" w:rsidRPr="00B51149" w:rsidRDefault="00D20CB2" w:rsidP="002D6DD7">
            <w:pPr>
              <w:jc w:val="both"/>
              <w:rPr>
                <w:rFonts w:cs="Times New Roman"/>
                <w:szCs w:val="24"/>
              </w:rPr>
            </w:pPr>
            <w:r w:rsidRPr="00B51149">
              <w:rPr>
                <w:rFonts w:cs="Times New Roman"/>
                <w:szCs w:val="24"/>
              </w:rPr>
              <w:t xml:space="preserve">Nausea, mild </w:t>
            </w:r>
            <w:r>
              <w:rPr>
                <w:rFonts w:cs="Times New Roman"/>
                <w:szCs w:val="24"/>
              </w:rPr>
              <w:t>G</w:t>
            </w:r>
            <w:r>
              <w:t>I</w:t>
            </w:r>
            <w:r w:rsidRPr="00B51149">
              <w:rPr>
                <w:rFonts w:cs="Times New Roman"/>
                <w:szCs w:val="24"/>
              </w:rPr>
              <w:t xml:space="preserve"> disturbances, headache, rashes, pruritus, arthralgia</w:t>
            </w:r>
            <w:r>
              <w:rPr>
                <w:rFonts w:cs="Times New Roman"/>
                <w:szCs w:val="24"/>
              </w:rPr>
              <w:t>,</w:t>
            </w:r>
            <w:r w:rsidRPr="00B51149">
              <w:rPr>
                <w:rFonts w:cs="Times New Roman"/>
                <w:szCs w:val="24"/>
              </w:rPr>
              <w:t xml:space="preserve"> alopecia, bone marrow suppression, urticaria, leucopenia</w:t>
            </w:r>
            <w:r>
              <w:rPr>
                <w:rFonts w:cs="Times New Roman"/>
                <w:szCs w:val="24"/>
              </w:rPr>
              <w:t xml:space="preserve">, </w:t>
            </w:r>
            <w:r w:rsidRPr="00B51149">
              <w:rPr>
                <w:rFonts w:cs="Times New Roman"/>
                <w:szCs w:val="24"/>
              </w:rPr>
              <w:t>cutaneous vasculitis, thrombocytopenia, aplastic anemia, hepatitis, lupus erythematosus-like syndromes.</w:t>
            </w:r>
          </w:p>
        </w:tc>
      </w:tr>
      <w:tr w:rsidR="00D20CB2" w:rsidRPr="00B51149" w14:paraId="72D7C15A" w14:textId="77777777" w:rsidTr="002D6DD7">
        <w:tc>
          <w:tcPr>
            <w:tcW w:w="2695" w:type="dxa"/>
          </w:tcPr>
          <w:p w14:paraId="41386E61" w14:textId="77777777" w:rsidR="00D20CB2" w:rsidRPr="00B51149" w:rsidRDefault="00D20CB2" w:rsidP="002D6DD7">
            <w:pPr>
              <w:rPr>
                <w:rFonts w:cs="Times New Roman"/>
                <w:szCs w:val="24"/>
              </w:rPr>
            </w:pPr>
            <w:r w:rsidRPr="00B51149">
              <w:rPr>
                <w:rFonts w:cs="Times New Roman"/>
                <w:szCs w:val="24"/>
              </w:rPr>
              <w:t xml:space="preserve">Cautions </w:t>
            </w:r>
          </w:p>
        </w:tc>
        <w:tc>
          <w:tcPr>
            <w:tcW w:w="6660" w:type="dxa"/>
          </w:tcPr>
          <w:p w14:paraId="2CEF4932" w14:textId="77777777" w:rsidR="00D20CB2" w:rsidRPr="00B51149" w:rsidRDefault="00D20CB2" w:rsidP="002D6DD7">
            <w:pPr>
              <w:rPr>
                <w:rFonts w:cs="Times New Roman"/>
                <w:szCs w:val="24"/>
              </w:rPr>
            </w:pPr>
            <w:r>
              <w:rPr>
                <w:rFonts w:cs="Times New Roman"/>
                <w:szCs w:val="24"/>
              </w:rPr>
              <w:t>Hepatic and</w:t>
            </w:r>
            <w:r w:rsidRPr="00B51149">
              <w:rPr>
                <w:rFonts w:cs="Times New Roman"/>
                <w:szCs w:val="24"/>
              </w:rPr>
              <w:t xml:space="preserve"> renal impairmen</w:t>
            </w:r>
            <w:r>
              <w:rPr>
                <w:rFonts w:cs="Times New Roman"/>
                <w:szCs w:val="24"/>
              </w:rPr>
              <w:t xml:space="preserve">t, </w:t>
            </w:r>
            <w:r w:rsidRPr="00B51149">
              <w:rPr>
                <w:rFonts w:cs="Times New Roman"/>
                <w:szCs w:val="24"/>
              </w:rPr>
              <w:t>pregnancy, breastfeeding</w:t>
            </w:r>
          </w:p>
        </w:tc>
      </w:tr>
      <w:tr w:rsidR="00D20CB2" w:rsidRPr="00B51149" w14:paraId="2BE399AC" w14:textId="77777777" w:rsidTr="002D6DD7">
        <w:tc>
          <w:tcPr>
            <w:tcW w:w="2695" w:type="dxa"/>
          </w:tcPr>
          <w:p w14:paraId="5A2190C1" w14:textId="77777777" w:rsidR="00D20CB2" w:rsidRPr="00B51149" w:rsidRDefault="00D20CB2" w:rsidP="002D6DD7">
            <w:pPr>
              <w:rPr>
                <w:rFonts w:cs="Times New Roman"/>
                <w:szCs w:val="24"/>
              </w:rPr>
            </w:pPr>
            <w:r w:rsidRPr="00B51149">
              <w:rPr>
                <w:rFonts w:cs="Times New Roman"/>
                <w:szCs w:val="24"/>
              </w:rPr>
              <w:t>Storage condition</w:t>
            </w:r>
          </w:p>
        </w:tc>
        <w:tc>
          <w:tcPr>
            <w:tcW w:w="6660" w:type="dxa"/>
          </w:tcPr>
          <w:p w14:paraId="54BB2E14" w14:textId="77777777" w:rsidR="00D20CB2" w:rsidRPr="00B51149" w:rsidRDefault="00D20CB2" w:rsidP="002D6DD7">
            <w:pPr>
              <w:rPr>
                <w:rFonts w:cs="Times New Roman"/>
                <w:color w:val="FF0000"/>
                <w:szCs w:val="24"/>
              </w:rPr>
            </w:pPr>
            <w:r w:rsidRPr="00B51149">
              <w:rPr>
                <w:rFonts w:cs="Times New Roman"/>
                <w:szCs w:val="24"/>
              </w:rPr>
              <w:t>Store below 30°C</w:t>
            </w:r>
            <w:r>
              <w:rPr>
                <w:rFonts w:cs="Times New Roman"/>
                <w:szCs w:val="24"/>
              </w:rPr>
              <w:t>.</w:t>
            </w:r>
          </w:p>
        </w:tc>
      </w:tr>
    </w:tbl>
    <w:p w14:paraId="558B1E3F" w14:textId="77777777" w:rsidR="00D20CB2" w:rsidRDefault="00D20CB2" w:rsidP="00D20CB2">
      <w:pPr>
        <w:spacing w:after="0"/>
        <w:rPr>
          <w:rFonts w:cs="Times New Roman"/>
          <w:b/>
          <w:bCs/>
          <w:szCs w:val="24"/>
        </w:rPr>
      </w:pPr>
    </w:p>
    <w:p w14:paraId="55142AA8" w14:textId="77777777" w:rsidR="00D20CB2" w:rsidRPr="00E731CA" w:rsidRDefault="00D20CB2" w:rsidP="00E731CA">
      <w:pPr>
        <w:pStyle w:val="Heading2"/>
        <w:spacing w:before="240" w:after="240"/>
      </w:pPr>
      <w:bookmarkStart w:id="141" w:name="_Toc179490368"/>
      <w:r w:rsidRPr="00E731CA">
        <w:t>Medicines used for diabetes mellitus</w:t>
      </w:r>
      <w:bookmarkEnd w:id="141"/>
    </w:p>
    <w:p w14:paraId="01B54BB9" w14:textId="77777777" w:rsidR="00D20CB2" w:rsidRPr="00944B15" w:rsidRDefault="00D20CB2" w:rsidP="00D20CB2">
      <w:pPr>
        <w:spacing w:after="0"/>
        <w:jc w:val="both"/>
        <w:rPr>
          <w:rFonts w:cs="Times New Roman"/>
          <w:szCs w:val="24"/>
        </w:rPr>
      </w:pPr>
      <w:r w:rsidRPr="006230BD">
        <w:rPr>
          <w:rFonts w:cs="Times New Roman"/>
          <w:szCs w:val="24"/>
        </w:rPr>
        <w:t>The management of diabetes involves both oral hypoglycemic agents and insulin therapy. Oral medications such as glibenclamide, gliclazide, glimepiride, metformin, and dapagliflozin help control blood sugar levels in type 2 diabetes. Sulfonylureas (glibenclamide, gliclazide, glimepiride) stimulate insulin release from pancreatic beta cells, while metformin increases insulin sensitivity and reduces hepatic glucose production. Dapagliflozin, an SGLT2 inhibitor, promotes glucose excretion via the urine. Insulin therapy (short-acting, intermediate-acting, and long-acting insulin analogues) is essential for type 1 diabetes and advanced type 2 diabetes to regulate blood sugar effectively.</w:t>
      </w:r>
    </w:p>
    <w:p w14:paraId="23269FC5" w14:textId="77777777" w:rsidR="00D20CB2" w:rsidRPr="00944B15" w:rsidRDefault="00D20CB2" w:rsidP="00D20CB2">
      <w:pPr>
        <w:spacing w:after="0"/>
        <w:rPr>
          <w:rFonts w:cs="Times New Roman"/>
          <w:szCs w:val="24"/>
        </w:rPr>
      </w:pPr>
    </w:p>
    <w:p w14:paraId="1BCC1ED0" w14:textId="77777777" w:rsidR="00D20CB2" w:rsidRPr="00E731CA" w:rsidRDefault="00D20CB2" w:rsidP="00E731CA">
      <w:pPr>
        <w:rPr>
          <w:b/>
        </w:rPr>
      </w:pPr>
      <w:r w:rsidRPr="00E731CA">
        <w:rPr>
          <w:b/>
        </w:rPr>
        <w:t>Oral hypoglycemic agents</w:t>
      </w:r>
    </w:p>
    <w:p w14:paraId="00C6DEAB" w14:textId="77777777" w:rsidR="00D20CB2" w:rsidRPr="00944B15" w:rsidRDefault="00D20CB2" w:rsidP="00D20CB2">
      <w:pPr>
        <w:spacing w:after="0"/>
        <w:jc w:val="both"/>
        <w:rPr>
          <w:rFonts w:cs="Times New Roman"/>
          <w:szCs w:val="24"/>
        </w:rPr>
      </w:pPr>
      <w:r w:rsidRPr="00944B15">
        <w:rPr>
          <w:rFonts w:cs="Times New Roman"/>
          <w:szCs w:val="24"/>
        </w:rPr>
        <w:t>Oral</w:t>
      </w:r>
      <w:r w:rsidRPr="006B14B7">
        <w:rPr>
          <w:rFonts w:cs="Times New Roman"/>
          <w:szCs w:val="24"/>
        </w:rPr>
        <w:t xml:space="preserve"> hypoglycemic agents are used to manage blood glucose levels in type 2 diabetes. Medications like glibenclamide, gliclazide, glimepiride, and metformin improve insulin sensitivity, stimulate insulin secretion, and reduce liver glucose production. SGLT2 inhibitors such as dapagliflozin increase glucose excretion via the urine. These agents are vital for achieving glycaemic control and preventing diabetes-related complications.</w:t>
      </w:r>
    </w:p>
    <w:p w14:paraId="6858F613" w14:textId="77777777" w:rsidR="00D20CB2" w:rsidRPr="00944B15" w:rsidRDefault="00D20CB2" w:rsidP="00D20CB2">
      <w:pPr>
        <w:spacing w:after="0"/>
        <w:rPr>
          <w:rFonts w:cs="Times New Roman"/>
          <w:szCs w:val="24"/>
        </w:rPr>
      </w:pPr>
    </w:p>
    <w:tbl>
      <w:tblPr>
        <w:tblStyle w:val="TableGrid"/>
        <w:tblW w:w="0" w:type="auto"/>
        <w:tblLook w:val="04A0" w:firstRow="1" w:lastRow="0" w:firstColumn="1" w:lastColumn="0" w:noHBand="0" w:noVBand="1"/>
      </w:tblPr>
      <w:tblGrid>
        <w:gridCol w:w="2695"/>
        <w:gridCol w:w="6321"/>
      </w:tblGrid>
      <w:tr w:rsidR="00D20CB2" w:rsidRPr="00B51149" w14:paraId="6B30159A" w14:textId="77777777" w:rsidTr="002D6DD7">
        <w:tc>
          <w:tcPr>
            <w:tcW w:w="9016" w:type="dxa"/>
            <w:gridSpan w:val="2"/>
          </w:tcPr>
          <w:p w14:paraId="37E51A56" w14:textId="77777777" w:rsidR="00D20CB2" w:rsidRPr="00B51149" w:rsidRDefault="00D20CB2" w:rsidP="002D6DD7">
            <w:pPr>
              <w:rPr>
                <w:rFonts w:cs="Times New Roman"/>
                <w:b/>
                <w:bCs/>
                <w:szCs w:val="24"/>
              </w:rPr>
            </w:pPr>
            <w:r w:rsidRPr="00B51149">
              <w:rPr>
                <w:rFonts w:cs="Times New Roman"/>
                <w:b/>
                <w:bCs/>
                <w:szCs w:val="24"/>
              </w:rPr>
              <w:t>Canagliflozin</w:t>
            </w:r>
          </w:p>
        </w:tc>
      </w:tr>
      <w:tr w:rsidR="00D20CB2" w:rsidRPr="00B51149" w14:paraId="7BE0C9CF" w14:textId="77777777" w:rsidTr="002D6DD7">
        <w:tc>
          <w:tcPr>
            <w:tcW w:w="2695" w:type="dxa"/>
          </w:tcPr>
          <w:p w14:paraId="2EB9B646"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259262B0"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Sodium-glucose co-transporter 2 (SGLT2) inhibitor</w:t>
            </w:r>
          </w:p>
        </w:tc>
      </w:tr>
      <w:tr w:rsidR="00D20CB2" w:rsidRPr="00B51149" w14:paraId="11670B78" w14:textId="77777777" w:rsidTr="002D6DD7">
        <w:tc>
          <w:tcPr>
            <w:tcW w:w="2695" w:type="dxa"/>
          </w:tcPr>
          <w:p w14:paraId="79AAFC29"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2F98BBBD" w14:textId="77777777" w:rsidR="00D20CB2" w:rsidRPr="00B51149" w:rsidRDefault="00D20CB2" w:rsidP="002D6DD7">
            <w:pPr>
              <w:rPr>
                <w:rFonts w:cs="Times New Roman"/>
                <w:szCs w:val="24"/>
              </w:rPr>
            </w:pPr>
            <w:r w:rsidRPr="00B51149">
              <w:rPr>
                <w:rFonts w:cs="Times New Roman"/>
                <w:szCs w:val="24"/>
              </w:rPr>
              <w:t>Tablet: 100mg, 300mg</w:t>
            </w:r>
          </w:p>
        </w:tc>
      </w:tr>
      <w:tr w:rsidR="00D20CB2" w:rsidRPr="00B51149" w14:paraId="2361B9B6" w14:textId="77777777" w:rsidTr="002D6DD7">
        <w:tc>
          <w:tcPr>
            <w:tcW w:w="2695" w:type="dxa"/>
          </w:tcPr>
          <w:p w14:paraId="392FAAD9"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74BA1FC5" w14:textId="77777777" w:rsidR="00D20CB2" w:rsidRPr="00B51149" w:rsidRDefault="00D20CB2" w:rsidP="002D6DD7">
            <w:pPr>
              <w:jc w:val="both"/>
              <w:rPr>
                <w:rFonts w:cs="Times New Roman"/>
                <w:szCs w:val="24"/>
              </w:rPr>
            </w:pPr>
            <w:r w:rsidRPr="00B51149">
              <w:rPr>
                <w:rFonts w:cs="Times New Roman"/>
                <w:szCs w:val="24"/>
              </w:rPr>
              <w:t xml:space="preserve">Type 2 diabetes mellitus as monotherapy (if metformin inappropriate) in combination with insulin or other antidiabetic </w:t>
            </w:r>
            <w:r w:rsidRPr="00B51149">
              <w:rPr>
                <w:rFonts w:cs="Times New Roman"/>
                <w:szCs w:val="24"/>
              </w:rPr>
              <w:lastRenderedPageBreak/>
              <w:t>drugs (if existing treatment fails to achieve adequate glycaemic control), reduction of risk of cardiovascular events in adults with type 2 diabetes and established cardiovascular disease, reduction of risk of end-stage kidney disease, doubling of serum creatinine, cardiovascular disease risk reduction and hospitalization for heart failure in adults with type 2 diabetes and diabetic nephropathy with albuminuria.</w:t>
            </w:r>
          </w:p>
        </w:tc>
      </w:tr>
      <w:tr w:rsidR="00D20CB2" w:rsidRPr="00B51149" w14:paraId="2F341D48" w14:textId="77777777" w:rsidTr="002D6DD7">
        <w:tc>
          <w:tcPr>
            <w:tcW w:w="2695" w:type="dxa"/>
          </w:tcPr>
          <w:p w14:paraId="771E3961" w14:textId="77777777" w:rsidR="00D20CB2" w:rsidRPr="00B51149" w:rsidRDefault="00D20CB2" w:rsidP="002D6DD7">
            <w:pPr>
              <w:rPr>
                <w:rFonts w:cs="Times New Roman"/>
                <w:szCs w:val="24"/>
              </w:rPr>
            </w:pPr>
            <w:r w:rsidRPr="00B51149">
              <w:rPr>
                <w:rFonts w:cs="Times New Roman"/>
                <w:szCs w:val="24"/>
              </w:rPr>
              <w:lastRenderedPageBreak/>
              <w:t>Dose and Administration</w:t>
            </w:r>
          </w:p>
        </w:tc>
        <w:tc>
          <w:tcPr>
            <w:tcW w:w="6321" w:type="dxa"/>
          </w:tcPr>
          <w:p w14:paraId="5D8C3C44" w14:textId="77777777" w:rsidR="00D20CB2" w:rsidRPr="00122896" w:rsidRDefault="00D20CB2" w:rsidP="002D6DD7">
            <w:pPr>
              <w:jc w:val="both"/>
              <w:rPr>
                <w:rFonts w:cs="Times New Roman"/>
                <w:b/>
                <w:bCs/>
                <w:szCs w:val="24"/>
              </w:rPr>
            </w:pPr>
            <w:r w:rsidRPr="00122896">
              <w:rPr>
                <w:rFonts w:cs="Times New Roman"/>
                <w:b/>
                <w:bCs/>
                <w:szCs w:val="24"/>
              </w:rPr>
              <w:t>Type 2 diabetes mellitus</w:t>
            </w:r>
            <w:r w:rsidR="00E731CA">
              <w:rPr>
                <w:rFonts w:cs="Times New Roman"/>
                <w:b/>
                <w:bCs/>
                <w:szCs w:val="24"/>
              </w:rPr>
              <w:t>:</w:t>
            </w:r>
          </w:p>
          <w:p w14:paraId="67F0EA9F" w14:textId="77777777" w:rsidR="00D20CB2" w:rsidRPr="00122896" w:rsidRDefault="00D20CB2" w:rsidP="002D6DD7">
            <w:pPr>
              <w:jc w:val="both"/>
              <w:rPr>
                <w:rFonts w:cs="Times New Roman"/>
                <w:b/>
                <w:bCs/>
                <w:szCs w:val="24"/>
              </w:rPr>
            </w:pPr>
            <w:r w:rsidRPr="00122896">
              <w:rPr>
                <w:rFonts w:cs="Times New Roman"/>
                <w:b/>
                <w:bCs/>
                <w:szCs w:val="24"/>
              </w:rPr>
              <w:t>Adult:</w:t>
            </w:r>
          </w:p>
          <w:p w14:paraId="2065C183" w14:textId="77777777" w:rsidR="00D20CB2" w:rsidRPr="0088379B" w:rsidRDefault="00D20CB2" w:rsidP="002D6DD7">
            <w:pPr>
              <w:jc w:val="both"/>
              <w:rPr>
                <w:rFonts w:cs="Times New Roman"/>
                <w:szCs w:val="24"/>
              </w:rPr>
            </w:pPr>
            <w:r w:rsidRPr="0088379B">
              <w:rPr>
                <w:rFonts w:cs="Times New Roman"/>
                <w:szCs w:val="24"/>
              </w:rPr>
              <w:t xml:space="preserve">Initial </w:t>
            </w:r>
            <w:r>
              <w:rPr>
                <w:rFonts w:cs="Times New Roman"/>
                <w:szCs w:val="24"/>
              </w:rPr>
              <w:t>d</w:t>
            </w:r>
            <w:r w:rsidRPr="0088379B">
              <w:rPr>
                <w:rFonts w:cs="Times New Roman"/>
                <w:szCs w:val="24"/>
              </w:rPr>
              <w:t>ose: 100 mg once daily, taken before the first meal of the day.</w:t>
            </w:r>
          </w:p>
          <w:p w14:paraId="7ABD79B4" w14:textId="77777777" w:rsidR="00D20CB2" w:rsidRPr="0088379B" w:rsidRDefault="00D20CB2" w:rsidP="002D6DD7">
            <w:pPr>
              <w:jc w:val="both"/>
              <w:rPr>
                <w:rFonts w:cs="Times New Roman"/>
                <w:szCs w:val="24"/>
              </w:rPr>
            </w:pPr>
            <w:r w:rsidRPr="0088379B">
              <w:rPr>
                <w:rFonts w:cs="Times New Roman"/>
                <w:szCs w:val="24"/>
              </w:rPr>
              <w:t xml:space="preserve">Maintenance </w:t>
            </w:r>
            <w:r>
              <w:rPr>
                <w:rFonts w:cs="Times New Roman"/>
                <w:szCs w:val="24"/>
              </w:rPr>
              <w:t>d</w:t>
            </w:r>
            <w:r w:rsidRPr="0088379B">
              <w:rPr>
                <w:rFonts w:cs="Times New Roman"/>
                <w:szCs w:val="24"/>
              </w:rPr>
              <w:t>ose: May increase to 300 mg once daily for additional glycemic control if needed and tolerated.</w:t>
            </w:r>
          </w:p>
          <w:p w14:paraId="51F2FAA8" w14:textId="77777777" w:rsidR="00D20CB2" w:rsidRPr="00222500" w:rsidRDefault="00D20CB2" w:rsidP="002D6DD7">
            <w:pPr>
              <w:jc w:val="both"/>
              <w:rPr>
                <w:rFonts w:cs="Times New Roman"/>
                <w:b/>
                <w:bCs/>
                <w:szCs w:val="24"/>
              </w:rPr>
            </w:pPr>
            <w:r w:rsidRPr="00222500">
              <w:rPr>
                <w:rFonts w:cs="Times New Roman"/>
                <w:b/>
                <w:bCs/>
                <w:szCs w:val="24"/>
              </w:rPr>
              <w:t xml:space="preserve">Cardiovascular and </w:t>
            </w:r>
            <w:r>
              <w:rPr>
                <w:rFonts w:cs="Times New Roman"/>
                <w:b/>
                <w:bCs/>
                <w:szCs w:val="24"/>
              </w:rPr>
              <w:t>r</w:t>
            </w:r>
            <w:r w:rsidRPr="00222500">
              <w:rPr>
                <w:rFonts w:cs="Times New Roman"/>
                <w:b/>
                <w:bCs/>
                <w:szCs w:val="24"/>
              </w:rPr>
              <w:t xml:space="preserve">enal </w:t>
            </w:r>
            <w:r>
              <w:rPr>
                <w:rFonts w:cs="Times New Roman"/>
                <w:b/>
                <w:bCs/>
                <w:szCs w:val="24"/>
              </w:rPr>
              <w:t>i</w:t>
            </w:r>
            <w:r w:rsidRPr="00222500">
              <w:rPr>
                <w:rFonts w:cs="Times New Roman"/>
                <w:b/>
                <w:bCs/>
                <w:szCs w:val="24"/>
              </w:rPr>
              <w:t>ndications</w:t>
            </w:r>
            <w:r w:rsidR="00E731CA">
              <w:rPr>
                <w:rFonts w:cs="Times New Roman"/>
                <w:b/>
                <w:bCs/>
                <w:szCs w:val="24"/>
              </w:rPr>
              <w:t>:</w:t>
            </w:r>
          </w:p>
          <w:p w14:paraId="7186DA11" w14:textId="77777777" w:rsidR="00D20CB2" w:rsidRPr="00222500" w:rsidRDefault="00D20CB2" w:rsidP="002D6DD7">
            <w:pPr>
              <w:jc w:val="both"/>
              <w:rPr>
                <w:rFonts w:cs="Times New Roman"/>
                <w:b/>
                <w:bCs/>
                <w:szCs w:val="24"/>
              </w:rPr>
            </w:pPr>
            <w:r w:rsidRPr="00222500">
              <w:rPr>
                <w:rFonts w:cs="Times New Roman"/>
                <w:b/>
                <w:bCs/>
                <w:szCs w:val="24"/>
              </w:rPr>
              <w:t>Adult:</w:t>
            </w:r>
          </w:p>
          <w:p w14:paraId="5D68B29D" w14:textId="77777777" w:rsidR="00D20CB2" w:rsidRPr="0088379B" w:rsidRDefault="00D20CB2" w:rsidP="002D6DD7">
            <w:pPr>
              <w:jc w:val="both"/>
              <w:rPr>
                <w:rFonts w:cs="Times New Roman"/>
                <w:szCs w:val="24"/>
              </w:rPr>
            </w:pPr>
            <w:r w:rsidRPr="0088379B">
              <w:rPr>
                <w:rFonts w:cs="Times New Roman"/>
                <w:szCs w:val="24"/>
              </w:rPr>
              <w:t xml:space="preserve">Initial </w:t>
            </w:r>
            <w:r>
              <w:rPr>
                <w:rFonts w:cs="Times New Roman"/>
                <w:szCs w:val="24"/>
              </w:rPr>
              <w:t>d</w:t>
            </w:r>
            <w:r w:rsidRPr="0088379B">
              <w:rPr>
                <w:rFonts w:cs="Times New Roman"/>
                <w:szCs w:val="24"/>
              </w:rPr>
              <w:t>ose: 100 mg once daily, taken before the first meal of the day.</w:t>
            </w:r>
          </w:p>
          <w:p w14:paraId="1499155E" w14:textId="77777777" w:rsidR="00D20CB2" w:rsidRPr="0088379B" w:rsidRDefault="00D20CB2" w:rsidP="002D6DD7">
            <w:pPr>
              <w:jc w:val="both"/>
              <w:rPr>
                <w:rFonts w:cs="Times New Roman"/>
                <w:szCs w:val="24"/>
              </w:rPr>
            </w:pPr>
            <w:r w:rsidRPr="0088379B">
              <w:rPr>
                <w:rFonts w:cs="Times New Roman"/>
                <w:szCs w:val="24"/>
              </w:rPr>
              <w:t xml:space="preserve">Maintenance </w:t>
            </w:r>
            <w:r>
              <w:rPr>
                <w:rFonts w:cs="Times New Roman"/>
                <w:szCs w:val="24"/>
              </w:rPr>
              <w:t>d</w:t>
            </w:r>
            <w:r w:rsidRPr="0088379B">
              <w:rPr>
                <w:rFonts w:cs="Times New Roman"/>
                <w:szCs w:val="24"/>
              </w:rPr>
              <w:t>ose: May increase to 300 mg once daily for additional benefits in cardiovascular and renal outcomes if tolerated.</w:t>
            </w:r>
          </w:p>
          <w:p w14:paraId="4FD572F1" w14:textId="77777777" w:rsidR="00D20CB2" w:rsidRPr="00222500" w:rsidRDefault="00D20CB2" w:rsidP="002D6DD7">
            <w:pPr>
              <w:jc w:val="both"/>
              <w:rPr>
                <w:rFonts w:cs="Times New Roman"/>
                <w:b/>
                <w:bCs/>
                <w:szCs w:val="24"/>
              </w:rPr>
            </w:pPr>
            <w:r w:rsidRPr="00222500">
              <w:rPr>
                <w:rFonts w:cs="Times New Roman"/>
                <w:b/>
                <w:bCs/>
                <w:szCs w:val="24"/>
              </w:rPr>
              <w:t>Reduction of risk of cardiovascular events</w:t>
            </w:r>
            <w:r w:rsidR="00E731CA">
              <w:rPr>
                <w:rFonts w:cs="Times New Roman"/>
                <w:b/>
                <w:bCs/>
                <w:szCs w:val="24"/>
              </w:rPr>
              <w:t>:</w:t>
            </w:r>
          </w:p>
          <w:p w14:paraId="4AA75F71" w14:textId="77777777" w:rsidR="00D20CB2" w:rsidRPr="0088379B" w:rsidRDefault="00D20CB2" w:rsidP="002D6DD7">
            <w:pPr>
              <w:jc w:val="both"/>
              <w:rPr>
                <w:rFonts w:cs="Times New Roman"/>
                <w:szCs w:val="24"/>
              </w:rPr>
            </w:pPr>
            <w:r w:rsidRPr="00222500">
              <w:rPr>
                <w:rFonts w:cs="Times New Roman"/>
                <w:b/>
                <w:bCs/>
                <w:szCs w:val="24"/>
              </w:rPr>
              <w:t>Adult:</w:t>
            </w:r>
            <w:r w:rsidRPr="0088379B">
              <w:rPr>
                <w:rFonts w:cs="Times New Roman"/>
                <w:szCs w:val="24"/>
              </w:rPr>
              <w:t xml:space="preserve"> 100 mg to 300 mg once daily, depending on the patient's response and tolerance, taken before the first meal of the day.</w:t>
            </w:r>
          </w:p>
          <w:p w14:paraId="12054E5E" w14:textId="77777777" w:rsidR="00D20CB2" w:rsidRPr="00122896" w:rsidRDefault="00D20CB2" w:rsidP="002D6DD7">
            <w:pPr>
              <w:jc w:val="both"/>
              <w:rPr>
                <w:rFonts w:cs="Times New Roman"/>
                <w:b/>
                <w:bCs/>
                <w:szCs w:val="24"/>
              </w:rPr>
            </w:pPr>
            <w:r w:rsidRPr="00122896">
              <w:rPr>
                <w:rFonts w:cs="Times New Roman"/>
                <w:b/>
                <w:bCs/>
                <w:szCs w:val="24"/>
              </w:rPr>
              <w:t>Reduction of risk of end-stage kidney disease and other renal outcomes</w:t>
            </w:r>
            <w:r w:rsidR="00E731CA">
              <w:rPr>
                <w:rFonts w:cs="Times New Roman"/>
                <w:b/>
                <w:bCs/>
                <w:szCs w:val="24"/>
              </w:rPr>
              <w:t>:</w:t>
            </w:r>
          </w:p>
          <w:p w14:paraId="709C173B" w14:textId="77777777" w:rsidR="00D20CB2" w:rsidRPr="0088379B" w:rsidRDefault="00D20CB2" w:rsidP="002D6DD7">
            <w:pPr>
              <w:jc w:val="both"/>
              <w:rPr>
                <w:rFonts w:cs="Times New Roman"/>
                <w:szCs w:val="24"/>
              </w:rPr>
            </w:pPr>
            <w:r w:rsidRPr="00122896">
              <w:rPr>
                <w:rFonts w:cs="Times New Roman"/>
                <w:b/>
                <w:bCs/>
                <w:szCs w:val="24"/>
              </w:rPr>
              <w:t>Adult:</w:t>
            </w:r>
            <w:r w:rsidRPr="0088379B">
              <w:rPr>
                <w:rFonts w:cs="Times New Roman"/>
                <w:szCs w:val="24"/>
              </w:rPr>
              <w:t xml:space="preserve"> 100 mg to 300 mg once daily, depending on the patient's response and tolerance, taken before the first meal of the day.</w:t>
            </w:r>
          </w:p>
        </w:tc>
      </w:tr>
      <w:tr w:rsidR="00D20CB2" w:rsidRPr="00B51149" w14:paraId="1AB21AEE" w14:textId="77777777" w:rsidTr="002D6DD7">
        <w:tc>
          <w:tcPr>
            <w:tcW w:w="2695" w:type="dxa"/>
          </w:tcPr>
          <w:p w14:paraId="7D542DE4"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217182C2" w14:textId="77777777" w:rsidR="00D20CB2" w:rsidRPr="00B51149" w:rsidRDefault="00D20CB2" w:rsidP="002D6DD7">
            <w:pPr>
              <w:jc w:val="both"/>
              <w:rPr>
                <w:rFonts w:cs="Times New Roman"/>
                <w:szCs w:val="24"/>
              </w:rPr>
            </w:pPr>
            <w:r>
              <w:rPr>
                <w:rFonts w:cs="Times New Roman"/>
                <w:szCs w:val="24"/>
              </w:rPr>
              <w:t>H</w:t>
            </w:r>
            <w:r w:rsidRPr="00B51149">
              <w:rPr>
                <w:rFonts w:cs="Times New Roman"/>
                <w:szCs w:val="24"/>
              </w:rPr>
              <w:t xml:space="preserve">ypersensitivity to </w:t>
            </w:r>
            <w:r>
              <w:rPr>
                <w:rFonts w:cs="Times New Roman"/>
                <w:szCs w:val="24"/>
              </w:rPr>
              <w:t>the drug, d</w:t>
            </w:r>
            <w:r w:rsidRPr="00B51149">
              <w:rPr>
                <w:rFonts w:cs="Times New Roman"/>
                <w:szCs w:val="24"/>
              </w:rPr>
              <w:t xml:space="preserve">iabetic ketoacidosis, severe renal impairment (eGFR &lt;30 ml/min/1.73 m²), patients on dialysis, </w:t>
            </w:r>
            <w:r>
              <w:rPr>
                <w:rFonts w:cs="Times New Roman"/>
                <w:szCs w:val="24"/>
              </w:rPr>
              <w:lastRenderedPageBreak/>
              <w:t>t</w:t>
            </w:r>
            <w:r w:rsidRPr="00B51149">
              <w:rPr>
                <w:rFonts w:cs="Times New Roman"/>
                <w:szCs w:val="24"/>
              </w:rPr>
              <w:t>ype 1 diabetes mellitus</w:t>
            </w:r>
          </w:p>
        </w:tc>
      </w:tr>
      <w:tr w:rsidR="00D20CB2" w:rsidRPr="00B51149" w14:paraId="750AA45C" w14:textId="77777777" w:rsidTr="002D6DD7">
        <w:tc>
          <w:tcPr>
            <w:tcW w:w="2695" w:type="dxa"/>
          </w:tcPr>
          <w:p w14:paraId="3DBFD6C1" w14:textId="77777777" w:rsidR="00D20CB2" w:rsidRPr="00B51149" w:rsidRDefault="00D20CB2" w:rsidP="002D6DD7">
            <w:pPr>
              <w:rPr>
                <w:rFonts w:cs="Times New Roman"/>
                <w:szCs w:val="24"/>
              </w:rPr>
            </w:pPr>
            <w:r w:rsidRPr="00B51149">
              <w:rPr>
                <w:rFonts w:cs="Times New Roman"/>
                <w:szCs w:val="24"/>
              </w:rPr>
              <w:lastRenderedPageBreak/>
              <w:t>Drug interactions</w:t>
            </w:r>
          </w:p>
        </w:tc>
        <w:tc>
          <w:tcPr>
            <w:tcW w:w="6321" w:type="dxa"/>
          </w:tcPr>
          <w:p w14:paraId="039E9018"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Alcohol, diuretics, insulin and insulin secretagogues, UGT inducers (e.g., rifampin, phenytoin)</w:t>
            </w:r>
          </w:p>
        </w:tc>
      </w:tr>
      <w:tr w:rsidR="00D20CB2" w:rsidRPr="00B51149" w14:paraId="66205E8C" w14:textId="77777777" w:rsidTr="002D6DD7">
        <w:tc>
          <w:tcPr>
            <w:tcW w:w="2695" w:type="dxa"/>
          </w:tcPr>
          <w:p w14:paraId="34504DBE"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07C3304B"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 xml:space="preserve">Balanoposthitis, constipation, dyslipidaemia (increased LDL cholesterol), hypoglycemia (in combination with insulin or sulfonylurea), increased risk of infection, Urinary tract infections, genital mycotic infections, increased urination, thirst, hypotension, hyperkalemia, urinary disorders, urosepsis </w:t>
            </w:r>
          </w:p>
        </w:tc>
      </w:tr>
      <w:tr w:rsidR="00D20CB2" w:rsidRPr="00B51149" w14:paraId="25359156" w14:textId="77777777" w:rsidTr="002D6DD7">
        <w:tc>
          <w:tcPr>
            <w:tcW w:w="2695" w:type="dxa"/>
          </w:tcPr>
          <w:p w14:paraId="02D80EA2"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35B6144D"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 xml:space="preserve">Hepatic impairment, </w:t>
            </w:r>
            <w:r>
              <w:rPr>
                <w:rFonts w:eastAsiaTheme="minorHAnsi" w:cs="Times New Roman"/>
                <w:color w:val="231F20"/>
                <w:szCs w:val="24"/>
              </w:rPr>
              <w:t>r</w:t>
            </w:r>
            <w:r w:rsidRPr="00B51149">
              <w:rPr>
                <w:rFonts w:eastAsiaTheme="minorHAnsi" w:cs="Times New Roman"/>
                <w:color w:val="231F20"/>
                <w:szCs w:val="24"/>
              </w:rPr>
              <w:t>enal impairment, ketoacidosis, dehydration, h</w:t>
            </w:r>
            <w:r w:rsidRPr="00B51149">
              <w:rPr>
                <w:rFonts w:cs="Times New Roman"/>
                <w:szCs w:val="24"/>
              </w:rPr>
              <w:t>istory of fractures, volume depletion, elderly patients, elevated haematocrit, hypotension</w:t>
            </w:r>
            <w:r>
              <w:rPr>
                <w:rFonts w:cs="Times New Roman"/>
                <w:szCs w:val="24"/>
              </w:rPr>
              <w:t xml:space="preserve">, </w:t>
            </w:r>
            <w:r w:rsidRPr="00B51149">
              <w:rPr>
                <w:rFonts w:cs="Times New Roman"/>
                <w:szCs w:val="24"/>
              </w:rPr>
              <w:t>pregnancy</w:t>
            </w:r>
            <w:r>
              <w:rPr>
                <w:rFonts w:cs="Times New Roman"/>
                <w:szCs w:val="24"/>
              </w:rPr>
              <w:t xml:space="preserve">, </w:t>
            </w:r>
            <w:r w:rsidRPr="00B51149">
              <w:rPr>
                <w:rFonts w:cs="Times New Roman"/>
                <w:szCs w:val="24"/>
              </w:rPr>
              <w:t>breast feeding</w:t>
            </w:r>
          </w:p>
        </w:tc>
      </w:tr>
      <w:tr w:rsidR="00D20CB2" w:rsidRPr="00B51149" w14:paraId="6CC70244" w14:textId="77777777" w:rsidTr="002D6DD7">
        <w:tc>
          <w:tcPr>
            <w:tcW w:w="2695" w:type="dxa"/>
          </w:tcPr>
          <w:p w14:paraId="1315660A"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36F84049" w14:textId="77777777" w:rsidR="00D20CB2" w:rsidRPr="00B51149" w:rsidRDefault="00D20CB2" w:rsidP="002D6DD7">
            <w:pPr>
              <w:rPr>
                <w:rFonts w:cs="Times New Roman"/>
                <w:szCs w:val="24"/>
              </w:rPr>
            </w:pPr>
            <w:r w:rsidRPr="00B51149">
              <w:rPr>
                <w:rFonts w:cs="Times New Roman"/>
                <w:szCs w:val="24"/>
              </w:rPr>
              <w:t>Store below 30°C</w:t>
            </w:r>
            <w:r>
              <w:rPr>
                <w:rFonts w:cs="Times New Roman"/>
                <w:szCs w:val="24"/>
              </w:rPr>
              <w:t>. P</w:t>
            </w:r>
            <w:r w:rsidRPr="00B51149">
              <w:rPr>
                <w:rFonts w:cs="Times New Roman"/>
                <w:szCs w:val="24"/>
              </w:rPr>
              <w:t>rotect from moisture and light.</w:t>
            </w:r>
          </w:p>
        </w:tc>
      </w:tr>
      <w:tr w:rsidR="00D20CB2" w:rsidRPr="00B51149" w14:paraId="31B0EF11" w14:textId="77777777" w:rsidTr="002D6DD7">
        <w:tc>
          <w:tcPr>
            <w:tcW w:w="9016" w:type="dxa"/>
            <w:gridSpan w:val="2"/>
          </w:tcPr>
          <w:p w14:paraId="29AECB10" w14:textId="77777777" w:rsidR="00D20CB2" w:rsidRPr="00B51149" w:rsidRDefault="00D20CB2" w:rsidP="002D6DD7">
            <w:pPr>
              <w:rPr>
                <w:rFonts w:cs="Times New Roman"/>
                <w:b/>
                <w:bCs/>
                <w:szCs w:val="24"/>
              </w:rPr>
            </w:pPr>
            <w:r w:rsidRPr="00B51149">
              <w:rPr>
                <w:rFonts w:cs="Times New Roman"/>
                <w:b/>
                <w:bCs/>
                <w:szCs w:val="24"/>
              </w:rPr>
              <w:t>Dapagliflozin</w:t>
            </w:r>
          </w:p>
        </w:tc>
      </w:tr>
      <w:tr w:rsidR="00D20CB2" w:rsidRPr="00B51149" w14:paraId="1F3882C4" w14:textId="77777777" w:rsidTr="002D6DD7">
        <w:tc>
          <w:tcPr>
            <w:tcW w:w="2695" w:type="dxa"/>
          </w:tcPr>
          <w:p w14:paraId="6BD0393D"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2E30BFBD"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Sodium-glucose co-transporter 2 (SGLT2) inhibitor</w:t>
            </w:r>
          </w:p>
        </w:tc>
      </w:tr>
      <w:tr w:rsidR="00D20CB2" w:rsidRPr="00B51149" w14:paraId="3836C6A1" w14:textId="77777777" w:rsidTr="002D6DD7">
        <w:tc>
          <w:tcPr>
            <w:tcW w:w="2695" w:type="dxa"/>
          </w:tcPr>
          <w:p w14:paraId="55FD4928"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70EC66F5" w14:textId="77777777" w:rsidR="00D20CB2" w:rsidRPr="00B51149" w:rsidRDefault="00D20CB2" w:rsidP="002D6DD7">
            <w:pPr>
              <w:rPr>
                <w:rFonts w:cs="Times New Roman"/>
                <w:szCs w:val="24"/>
              </w:rPr>
            </w:pPr>
            <w:r w:rsidRPr="00B51149">
              <w:rPr>
                <w:rFonts w:cs="Times New Roman"/>
                <w:szCs w:val="24"/>
              </w:rPr>
              <w:t>Tablet: 5mg, 10mg</w:t>
            </w:r>
          </w:p>
        </w:tc>
      </w:tr>
      <w:tr w:rsidR="00D20CB2" w:rsidRPr="00B51149" w14:paraId="5B364545" w14:textId="77777777" w:rsidTr="002D6DD7">
        <w:tc>
          <w:tcPr>
            <w:tcW w:w="2695" w:type="dxa"/>
          </w:tcPr>
          <w:p w14:paraId="286EF19F"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43382027" w14:textId="77777777" w:rsidR="00D20CB2" w:rsidRPr="00B51149" w:rsidRDefault="00D20CB2" w:rsidP="002D6DD7">
            <w:pPr>
              <w:jc w:val="both"/>
              <w:rPr>
                <w:rFonts w:cs="Times New Roman"/>
                <w:szCs w:val="24"/>
              </w:rPr>
            </w:pPr>
            <w:r w:rsidRPr="00B51149">
              <w:rPr>
                <w:rFonts w:cs="Times New Roman"/>
                <w:szCs w:val="24"/>
              </w:rPr>
              <w:t>Type 2 diabetes mellitus, heart failure with reduced ejection fraction, chronic kidney disease (CKD).</w:t>
            </w:r>
          </w:p>
        </w:tc>
      </w:tr>
      <w:tr w:rsidR="00D20CB2" w:rsidRPr="00B51149" w14:paraId="6CD9B89C" w14:textId="77777777" w:rsidTr="002D6DD7">
        <w:tc>
          <w:tcPr>
            <w:tcW w:w="2695" w:type="dxa"/>
          </w:tcPr>
          <w:p w14:paraId="4C0C3E62"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0CC21909" w14:textId="77777777" w:rsidR="00D20CB2" w:rsidRPr="00B51149" w:rsidRDefault="00D20CB2" w:rsidP="002D6DD7">
            <w:pPr>
              <w:rPr>
                <w:rFonts w:cs="Times New Roman"/>
                <w:b/>
                <w:bCs/>
                <w:szCs w:val="24"/>
              </w:rPr>
            </w:pPr>
            <w:r w:rsidRPr="00B51149">
              <w:rPr>
                <w:rFonts w:cs="Times New Roman"/>
                <w:b/>
                <w:bCs/>
                <w:szCs w:val="24"/>
              </w:rPr>
              <w:t>Type 2 diabetes mellitus:</w:t>
            </w:r>
          </w:p>
          <w:p w14:paraId="0D47232C" w14:textId="77777777" w:rsidR="00D20CB2" w:rsidRPr="00B51149" w:rsidRDefault="00D20CB2" w:rsidP="002D6DD7">
            <w:pPr>
              <w:rPr>
                <w:rFonts w:cs="Times New Roman"/>
                <w:b/>
                <w:bCs/>
                <w:szCs w:val="24"/>
              </w:rPr>
            </w:pPr>
            <w:r w:rsidRPr="00B51149">
              <w:rPr>
                <w:rFonts w:cs="Times New Roman"/>
                <w:b/>
                <w:bCs/>
                <w:szCs w:val="24"/>
              </w:rPr>
              <w:t>Adult</w:t>
            </w:r>
            <w:r>
              <w:rPr>
                <w:rFonts w:cs="Times New Roman"/>
                <w:b/>
                <w:bCs/>
                <w:szCs w:val="24"/>
              </w:rPr>
              <w:t>:</w:t>
            </w:r>
          </w:p>
          <w:p w14:paraId="7D1D0B99" w14:textId="77777777" w:rsidR="00D20CB2" w:rsidRPr="00B51149" w:rsidRDefault="00D20CB2" w:rsidP="002D6DD7">
            <w:pPr>
              <w:rPr>
                <w:rFonts w:cs="Times New Roman"/>
                <w:szCs w:val="24"/>
              </w:rPr>
            </w:pPr>
            <w:r w:rsidRPr="00B51149">
              <w:rPr>
                <w:rFonts w:cs="Times New Roman"/>
                <w:szCs w:val="24"/>
              </w:rPr>
              <w:t xml:space="preserve">Initial </w:t>
            </w:r>
            <w:r>
              <w:rPr>
                <w:rFonts w:cs="Times New Roman"/>
                <w:szCs w:val="24"/>
              </w:rPr>
              <w:t>d</w:t>
            </w:r>
            <w:r w:rsidRPr="00B51149">
              <w:rPr>
                <w:rFonts w:cs="Times New Roman"/>
                <w:szCs w:val="24"/>
              </w:rPr>
              <w:t>ose: 5 mg once daily in the morning, with or without food.</w:t>
            </w:r>
          </w:p>
          <w:p w14:paraId="5E52EAC2" w14:textId="77777777" w:rsidR="00D20CB2" w:rsidRPr="00B51149" w:rsidRDefault="00D20CB2" w:rsidP="002D6DD7">
            <w:pPr>
              <w:rPr>
                <w:rFonts w:cs="Times New Roman"/>
                <w:szCs w:val="24"/>
              </w:rPr>
            </w:pPr>
            <w:r w:rsidRPr="00B51149">
              <w:rPr>
                <w:rFonts w:cs="Times New Roman"/>
                <w:szCs w:val="24"/>
              </w:rPr>
              <w:t xml:space="preserve">Maintenance </w:t>
            </w:r>
            <w:r>
              <w:rPr>
                <w:rFonts w:cs="Times New Roman"/>
                <w:szCs w:val="24"/>
              </w:rPr>
              <w:t>d</w:t>
            </w:r>
            <w:r w:rsidRPr="00B51149">
              <w:rPr>
                <w:rFonts w:cs="Times New Roman"/>
                <w:szCs w:val="24"/>
              </w:rPr>
              <w:t xml:space="preserve">ose: May increase to 10 mg once daily if </w:t>
            </w:r>
            <w:r>
              <w:rPr>
                <w:rFonts w:cs="Times New Roman"/>
                <w:szCs w:val="24"/>
              </w:rPr>
              <w:t>a</w:t>
            </w:r>
            <w:r w:rsidRPr="00B51149">
              <w:rPr>
                <w:rFonts w:cs="Times New Roman"/>
                <w:szCs w:val="24"/>
              </w:rPr>
              <w:t>dditional glycemic control is needed and the patient is tolerating the initial dose well.</w:t>
            </w:r>
          </w:p>
          <w:p w14:paraId="2E05102F" w14:textId="77777777" w:rsidR="00D20CB2" w:rsidRPr="00B51149" w:rsidRDefault="00D20CB2" w:rsidP="002D6DD7">
            <w:pPr>
              <w:rPr>
                <w:rFonts w:cs="Times New Roman"/>
                <w:b/>
                <w:bCs/>
                <w:szCs w:val="24"/>
              </w:rPr>
            </w:pPr>
            <w:r w:rsidRPr="00B51149">
              <w:rPr>
                <w:rFonts w:cs="Times New Roman"/>
                <w:b/>
                <w:bCs/>
                <w:szCs w:val="24"/>
              </w:rPr>
              <w:t>Heart failure with reduced ejection fraction:</w:t>
            </w:r>
          </w:p>
          <w:p w14:paraId="134AB0A5" w14:textId="77777777" w:rsidR="00D20CB2" w:rsidRPr="00B51149" w:rsidRDefault="00D20CB2" w:rsidP="002D6DD7">
            <w:pPr>
              <w:rPr>
                <w:rFonts w:cs="Times New Roman"/>
                <w:szCs w:val="24"/>
              </w:rPr>
            </w:pPr>
            <w:r w:rsidRPr="00456948">
              <w:rPr>
                <w:rFonts w:cs="Times New Roman"/>
                <w:b/>
                <w:bCs/>
                <w:szCs w:val="24"/>
              </w:rPr>
              <w:t>Adult:</w:t>
            </w:r>
            <w:r w:rsidRPr="00B51149">
              <w:rPr>
                <w:rFonts w:cs="Times New Roman"/>
                <w:szCs w:val="24"/>
              </w:rPr>
              <w:t xml:space="preserve"> 10 mg once daily, with or without food.</w:t>
            </w:r>
          </w:p>
          <w:p w14:paraId="33676E0D" w14:textId="77777777" w:rsidR="00D20CB2" w:rsidRPr="00B51149" w:rsidRDefault="00D20CB2" w:rsidP="002D6DD7">
            <w:pPr>
              <w:rPr>
                <w:rFonts w:cs="Times New Roman"/>
                <w:b/>
                <w:bCs/>
                <w:szCs w:val="24"/>
              </w:rPr>
            </w:pPr>
            <w:r w:rsidRPr="00B51149">
              <w:rPr>
                <w:rFonts w:cs="Times New Roman"/>
                <w:b/>
                <w:bCs/>
                <w:szCs w:val="24"/>
              </w:rPr>
              <w:t>CKD:</w:t>
            </w:r>
          </w:p>
          <w:p w14:paraId="21F5C6D6" w14:textId="77777777" w:rsidR="00D20CB2" w:rsidRPr="00B51149" w:rsidRDefault="00D20CB2" w:rsidP="002D6DD7">
            <w:pPr>
              <w:rPr>
                <w:rFonts w:cs="Times New Roman"/>
                <w:szCs w:val="24"/>
              </w:rPr>
            </w:pPr>
            <w:r w:rsidRPr="00456948">
              <w:rPr>
                <w:rFonts w:cs="Times New Roman"/>
                <w:b/>
                <w:bCs/>
                <w:szCs w:val="24"/>
              </w:rPr>
              <w:t>Adult:</w:t>
            </w:r>
            <w:r w:rsidRPr="00B51149">
              <w:rPr>
                <w:rFonts w:cs="Times New Roman"/>
                <w:szCs w:val="24"/>
              </w:rPr>
              <w:t xml:space="preserve"> 10 mg once daily, with or without food.</w:t>
            </w:r>
          </w:p>
        </w:tc>
      </w:tr>
      <w:tr w:rsidR="00D20CB2" w:rsidRPr="00B51149" w14:paraId="4F15CA1C" w14:textId="77777777" w:rsidTr="002D6DD7">
        <w:tc>
          <w:tcPr>
            <w:tcW w:w="2695" w:type="dxa"/>
          </w:tcPr>
          <w:p w14:paraId="778C33B3"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58A8641E" w14:textId="77777777" w:rsidR="00D20CB2" w:rsidRPr="00B51149" w:rsidRDefault="00D20CB2" w:rsidP="002D6DD7">
            <w:pPr>
              <w:jc w:val="both"/>
              <w:rPr>
                <w:rFonts w:cs="Times New Roman"/>
                <w:szCs w:val="24"/>
              </w:rPr>
            </w:pPr>
            <w:r>
              <w:rPr>
                <w:rFonts w:cs="Times New Roman"/>
                <w:szCs w:val="24"/>
              </w:rPr>
              <w:t xml:space="preserve">Refer to Contraindications to Canagliflozin </w:t>
            </w:r>
          </w:p>
        </w:tc>
      </w:tr>
      <w:tr w:rsidR="00D20CB2" w:rsidRPr="00B51149" w14:paraId="192F12C7" w14:textId="77777777" w:rsidTr="002D6DD7">
        <w:tc>
          <w:tcPr>
            <w:tcW w:w="2695" w:type="dxa"/>
          </w:tcPr>
          <w:p w14:paraId="11F76DA4" w14:textId="77777777" w:rsidR="00D20CB2" w:rsidRPr="00B51149" w:rsidRDefault="00D20CB2" w:rsidP="002D6DD7">
            <w:pPr>
              <w:rPr>
                <w:rFonts w:cs="Times New Roman"/>
                <w:szCs w:val="24"/>
              </w:rPr>
            </w:pPr>
            <w:r w:rsidRPr="00B51149">
              <w:rPr>
                <w:rFonts w:cs="Times New Roman"/>
                <w:szCs w:val="24"/>
              </w:rPr>
              <w:lastRenderedPageBreak/>
              <w:t>Drug interactions</w:t>
            </w:r>
          </w:p>
        </w:tc>
        <w:tc>
          <w:tcPr>
            <w:tcW w:w="6321" w:type="dxa"/>
          </w:tcPr>
          <w:p w14:paraId="5C35DB68" w14:textId="77777777" w:rsidR="00D20CB2" w:rsidRPr="00B51149" w:rsidRDefault="00D20CB2" w:rsidP="002D6DD7">
            <w:pPr>
              <w:rPr>
                <w:rFonts w:eastAsiaTheme="minorHAnsi" w:cs="Times New Roman"/>
                <w:color w:val="231F20"/>
                <w:szCs w:val="24"/>
              </w:rPr>
            </w:pPr>
            <w:r>
              <w:rPr>
                <w:rFonts w:eastAsiaTheme="minorHAnsi" w:cs="Times New Roman"/>
                <w:color w:val="231F20"/>
                <w:szCs w:val="24"/>
              </w:rPr>
              <w:t>Refer to Drug Interactions with Canagliflozin</w:t>
            </w:r>
          </w:p>
        </w:tc>
      </w:tr>
      <w:tr w:rsidR="00D20CB2" w:rsidRPr="00B51149" w14:paraId="5341B340" w14:textId="77777777" w:rsidTr="002D6DD7">
        <w:tc>
          <w:tcPr>
            <w:tcW w:w="2695" w:type="dxa"/>
          </w:tcPr>
          <w:p w14:paraId="3DF028A5"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41541F4D"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 xml:space="preserve">Urinary tract infections, genital mycotic infections, </w:t>
            </w:r>
            <w:r>
              <w:rPr>
                <w:rFonts w:eastAsiaTheme="minorHAnsi" w:cs="Times New Roman"/>
                <w:color w:val="231F20"/>
                <w:szCs w:val="24"/>
              </w:rPr>
              <w:t>nasopharyngitis</w:t>
            </w:r>
            <w:r w:rsidRPr="00B51149">
              <w:rPr>
                <w:rFonts w:eastAsiaTheme="minorHAnsi" w:cs="Times New Roman"/>
                <w:color w:val="231F20"/>
                <w:szCs w:val="24"/>
              </w:rPr>
              <w:t>, hypotension, increased urination, dyslipidemia, back pain</w:t>
            </w:r>
          </w:p>
        </w:tc>
      </w:tr>
      <w:tr w:rsidR="00D20CB2" w:rsidRPr="00B51149" w14:paraId="21B3FF53" w14:textId="77777777" w:rsidTr="002D6DD7">
        <w:tc>
          <w:tcPr>
            <w:tcW w:w="2695" w:type="dxa"/>
          </w:tcPr>
          <w:p w14:paraId="1A8675C5"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3360C00A" w14:textId="77777777" w:rsidR="00D20CB2" w:rsidRPr="00B51149" w:rsidRDefault="00D20CB2" w:rsidP="002D6DD7">
            <w:pPr>
              <w:rPr>
                <w:rFonts w:eastAsiaTheme="minorHAnsi" w:cs="Times New Roman"/>
                <w:color w:val="231F20"/>
                <w:szCs w:val="24"/>
              </w:rPr>
            </w:pPr>
            <w:r w:rsidRPr="0041082E">
              <w:rPr>
                <w:rFonts w:eastAsiaTheme="minorHAnsi" w:cs="Times New Roman"/>
                <w:color w:val="231F20"/>
                <w:szCs w:val="24"/>
              </w:rPr>
              <w:t>Refer to cautions to Canagliflozin</w:t>
            </w:r>
          </w:p>
        </w:tc>
      </w:tr>
      <w:tr w:rsidR="00D20CB2" w:rsidRPr="00B51149" w14:paraId="5E49EC32" w14:textId="77777777" w:rsidTr="002D6DD7">
        <w:tc>
          <w:tcPr>
            <w:tcW w:w="2695" w:type="dxa"/>
          </w:tcPr>
          <w:p w14:paraId="1156D5C4"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4B538609" w14:textId="77777777" w:rsidR="00D20CB2" w:rsidRPr="00B51149" w:rsidRDefault="00D20CB2" w:rsidP="002D6DD7">
            <w:pPr>
              <w:rPr>
                <w:rFonts w:cs="Times New Roman"/>
                <w:color w:val="FF0000"/>
                <w:szCs w:val="24"/>
              </w:rPr>
            </w:pPr>
            <w:r w:rsidRPr="00B51149">
              <w:rPr>
                <w:rFonts w:cs="Times New Roman"/>
                <w:szCs w:val="24"/>
              </w:rPr>
              <w:t>Store below 30°C</w:t>
            </w:r>
            <w:r>
              <w:rPr>
                <w:rFonts w:cs="Times New Roman"/>
                <w:szCs w:val="24"/>
              </w:rPr>
              <w:t>. P</w:t>
            </w:r>
            <w:r w:rsidRPr="00B51149">
              <w:rPr>
                <w:rFonts w:cs="Times New Roman"/>
                <w:szCs w:val="24"/>
              </w:rPr>
              <w:t>rotect from moisture and light.</w:t>
            </w:r>
          </w:p>
        </w:tc>
      </w:tr>
      <w:tr w:rsidR="00D20CB2" w:rsidRPr="00B51149" w14:paraId="29A12FAE" w14:textId="77777777" w:rsidTr="002D6DD7">
        <w:tc>
          <w:tcPr>
            <w:tcW w:w="9016" w:type="dxa"/>
            <w:gridSpan w:val="2"/>
          </w:tcPr>
          <w:p w14:paraId="54F72DB4" w14:textId="77777777" w:rsidR="00D20CB2" w:rsidRPr="00B51149" w:rsidRDefault="00D20CB2" w:rsidP="002D6DD7">
            <w:pPr>
              <w:rPr>
                <w:rFonts w:cs="Times New Roman"/>
                <w:b/>
                <w:bCs/>
                <w:szCs w:val="24"/>
              </w:rPr>
            </w:pPr>
            <w:r w:rsidRPr="00B51149">
              <w:rPr>
                <w:rFonts w:cs="Times New Roman"/>
                <w:b/>
                <w:bCs/>
                <w:szCs w:val="24"/>
              </w:rPr>
              <w:t>Empagliflozin</w:t>
            </w:r>
          </w:p>
        </w:tc>
      </w:tr>
      <w:tr w:rsidR="00D20CB2" w:rsidRPr="00B51149" w14:paraId="61389A14" w14:textId="77777777" w:rsidTr="002D6DD7">
        <w:tc>
          <w:tcPr>
            <w:tcW w:w="2695" w:type="dxa"/>
          </w:tcPr>
          <w:p w14:paraId="27AEDF29"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7AB3DD2A"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Sodium-glucose co-transporter 2 (SGLT2) inhibitor</w:t>
            </w:r>
          </w:p>
        </w:tc>
      </w:tr>
      <w:tr w:rsidR="00D20CB2" w:rsidRPr="00B51149" w14:paraId="296EA4E5" w14:textId="77777777" w:rsidTr="002D6DD7">
        <w:tc>
          <w:tcPr>
            <w:tcW w:w="2695" w:type="dxa"/>
          </w:tcPr>
          <w:p w14:paraId="537BDAFD"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518D0110" w14:textId="77777777" w:rsidR="00D20CB2" w:rsidRPr="00B51149" w:rsidRDefault="00D20CB2" w:rsidP="002D6DD7">
            <w:pPr>
              <w:rPr>
                <w:rFonts w:cs="Times New Roman"/>
                <w:szCs w:val="24"/>
              </w:rPr>
            </w:pPr>
            <w:r w:rsidRPr="00B51149">
              <w:rPr>
                <w:rFonts w:cs="Times New Roman"/>
                <w:szCs w:val="24"/>
              </w:rPr>
              <w:t>Tablet: 10mg, 25mg</w:t>
            </w:r>
          </w:p>
        </w:tc>
      </w:tr>
      <w:tr w:rsidR="00D20CB2" w:rsidRPr="00B51149" w14:paraId="6C28392A" w14:textId="77777777" w:rsidTr="002D6DD7">
        <w:tc>
          <w:tcPr>
            <w:tcW w:w="2695" w:type="dxa"/>
          </w:tcPr>
          <w:p w14:paraId="14B8B61E"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0D2F56F9" w14:textId="77777777" w:rsidR="00D20CB2" w:rsidRPr="00B51149" w:rsidRDefault="00D20CB2" w:rsidP="002D6DD7">
            <w:pPr>
              <w:jc w:val="both"/>
              <w:rPr>
                <w:rFonts w:cs="Times New Roman"/>
                <w:szCs w:val="24"/>
              </w:rPr>
            </w:pPr>
            <w:r w:rsidRPr="00B51149">
              <w:rPr>
                <w:rFonts w:cs="Times New Roman"/>
                <w:szCs w:val="24"/>
              </w:rPr>
              <w:t>Type 2 diabetes mellitus, heart failure with reduced ejection fraction, reduction of cardiovascular death in adults with type 2 diabetes and established cardiovascular disease.</w:t>
            </w:r>
          </w:p>
        </w:tc>
      </w:tr>
      <w:tr w:rsidR="00D20CB2" w:rsidRPr="00B51149" w14:paraId="59CEB825" w14:textId="77777777" w:rsidTr="002D6DD7">
        <w:tc>
          <w:tcPr>
            <w:tcW w:w="2695" w:type="dxa"/>
          </w:tcPr>
          <w:p w14:paraId="5E25EEA0"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70405F64" w14:textId="77777777" w:rsidR="00D20CB2" w:rsidRPr="00B51149" w:rsidRDefault="00D20CB2" w:rsidP="002D6DD7">
            <w:pPr>
              <w:jc w:val="both"/>
              <w:rPr>
                <w:rFonts w:cs="Times New Roman"/>
                <w:b/>
                <w:bCs/>
                <w:szCs w:val="24"/>
              </w:rPr>
            </w:pPr>
            <w:r w:rsidRPr="00B51149">
              <w:rPr>
                <w:rFonts w:cs="Times New Roman"/>
                <w:b/>
                <w:bCs/>
                <w:szCs w:val="24"/>
              </w:rPr>
              <w:t>Type 2 diabetes mellitus:</w:t>
            </w:r>
          </w:p>
          <w:p w14:paraId="7098756A" w14:textId="77777777" w:rsidR="00D20CB2" w:rsidRPr="00866432" w:rsidRDefault="00D20CB2" w:rsidP="002D6DD7">
            <w:pPr>
              <w:jc w:val="both"/>
              <w:rPr>
                <w:rFonts w:cs="Times New Roman"/>
                <w:b/>
                <w:bCs/>
                <w:szCs w:val="24"/>
              </w:rPr>
            </w:pPr>
            <w:r w:rsidRPr="00866432">
              <w:rPr>
                <w:rFonts w:cs="Times New Roman"/>
                <w:b/>
                <w:bCs/>
                <w:szCs w:val="24"/>
              </w:rPr>
              <w:t>Adult:</w:t>
            </w:r>
          </w:p>
          <w:p w14:paraId="23DD478A" w14:textId="77777777" w:rsidR="00D20CB2" w:rsidRPr="00B51149" w:rsidRDefault="00D20CB2" w:rsidP="002D6DD7">
            <w:pPr>
              <w:jc w:val="both"/>
              <w:rPr>
                <w:rFonts w:cs="Times New Roman"/>
                <w:szCs w:val="24"/>
              </w:rPr>
            </w:pPr>
            <w:r w:rsidRPr="00B51149">
              <w:rPr>
                <w:rFonts w:cs="Times New Roman"/>
                <w:szCs w:val="24"/>
              </w:rPr>
              <w:t xml:space="preserve">Initial </w:t>
            </w:r>
            <w:r>
              <w:rPr>
                <w:rFonts w:cs="Times New Roman"/>
                <w:szCs w:val="24"/>
              </w:rPr>
              <w:t>d</w:t>
            </w:r>
            <w:r w:rsidRPr="00B51149">
              <w:rPr>
                <w:rFonts w:cs="Times New Roman"/>
                <w:szCs w:val="24"/>
              </w:rPr>
              <w:t>ose: 10 mg once daily in the morning, with or without food.</w:t>
            </w:r>
          </w:p>
          <w:p w14:paraId="7B0E3F7D" w14:textId="77777777" w:rsidR="00D20CB2" w:rsidRPr="00B51149" w:rsidRDefault="00D20CB2" w:rsidP="002D6DD7">
            <w:pPr>
              <w:jc w:val="both"/>
              <w:rPr>
                <w:rFonts w:cs="Times New Roman"/>
                <w:szCs w:val="24"/>
              </w:rPr>
            </w:pPr>
            <w:r w:rsidRPr="00B51149">
              <w:rPr>
                <w:rFonts w:cs="Times New Roman"/>
                <w:szCs w:val="24"/>
              </w:rPr>
              <w:t xml:space="preserve">Maintenance </w:t>
            </w:r>
            <w:r>
              <w:rPr>
                <w:rFonts w:cs="Times New Roman"/>
                <w:szCs w:val="24"/>
              </w:rPr>
              <w:t>d</w:t>
            </w:r>
            <w:r w:rsidRPr="00B51149">
              <w:rPr>
                <w:rFonts w:cs="Times New Roman"/>
                <w:szCs w:val="24"/>
              </w:rPr>
              <w:t>ose: May increase to 25 mg once daily if additional glycemic control is needed and the patient is tolerating the initial dose well.</w:t>
            </w:r>
          </w:p>
          <w:p w14:paraId="6CA68DC0" w14:textId="77777777" w:rsidR="00D20CB2" w:rsidRPr="00B51149" w:rsidRDefault="00D20CB2" w:rsidP="002D6DD7">
            <w:pPr>
              <w:jc w:val="both"/>
              <w:rPr>
                <w:rFonts w:cs="Times New Roman"/>
                <w:b/>
                <w:bCs/>
                <w:szCs w:val="24"/>
              </w:rPr>
            </w:pPr>
            <w:r w:rsidRPr="00B51149">
              <w:rPr>
                <w:rFonts w:cs="Times New Roman"/>
                <w:b/>
                <w:bCs/>
                <w:szCs w:val="24"/>
              </w:rPr>
              <w:t>Heart failure with reduced ejection fraction:</w:t>
            </w:r>
          </w:p>
          <w:p w14:paraId="4C98FBF4" w14:textId="77777777" w:rsidR="00D20CB2" w:rsidRPr="00B51149" w:rsidRDefault="00D20CB2" w:rsidP="002D6DD7">
            <w:pPr>
              <w:jc w:val="both"/>
              <w:rPr>
                <w:rFonts w:cs="Times New Roman"/>
                <w:szCs w:val="24"/>
              </w:rPr>
            </w:pPr>
            <w:r w:rsidRPr="00866432">
              <w:rPr>
                <w:rFonts w:cs="Times New Roman"/>
                <w:b/>
                <w:bCs/>
                <w:szCs w:val="24"/>
              </w:rPr>
              <w:t>Adult:</w:t>
            </w:r>
            <w:r w:rsidRPr="00B51149">
              <w:rPr>
                <w:rFonts w:cs="Times New Roman"/>
                <w:szCs w:val="24"/>
              </w:rPr>
              <w:t xml:space="preserve"> 10 mg once daily, with or without food.</w:t>
            </w:r>
          </w:p>
          <w:p w14:paraId="2406AD90" w14:textId="77777777" w:rsidR="00D20CB2" w:rsidRPr="00B51149" w:rsidRDefault="00D20CB2" w:rsidP="002D6DD7">
            <w:pPr>
              <w:jc w:val="both"/>
              <w:rPr>
                <w:rFonts w:cs="Times New Roman"/>
                <w:b/>
                <w:bCs/>
                <w:szCs w:val="24"/>
              </w:rPr>
            </w:pPr>
            <w:r w:rsidRPr="00B51149">
              <w:rPr>
                <w:rFonts w:cs="Times New Roman"/>
                <w:b/>
                <w:bCs/>
                <w:szCs w:val="24"/>
              </w:rPr>
              <w:t>Reduction of cardiovascular death:</w:t>
            </w:r>
          </w:p>
          <w:p w14:paraId="2F3D32B3" w14:textId="77777777" w:rsidR="00D20CB2" w:rsidRPr="00B51149" w:rsidRDefault="00D20CB2" w:rsidP="002D6DD7">
            <w:pPr>
              <w:jc w:val="both"/>
              <w:rPr>
                <w:rFonts w:cs="Times New Roman"/>
                <w:szCs w:val="24"/>
              </w:rPr>
            </w:pPr>
            <w:r w:rsidRPr="00866432">
              <w:rPr>
                <w:rFonts w:cs="Times New Roman"/>
                <w:b/>
                <w:bCs/>
                <w:szCs w:val="24"/>
              </w:rPr>
              <w:t>Adult:</w:t>
            </w:r>
            <w:r w:rsidRPr="00B51149">
              <w:rPr>
                <w:rFonts w:cs="Times New Roman"/>
                <w:szCs w:val="24"/>
              </w:rPr>
              <w:t xml:space="preserve"> 10 mg once daily, with or without food.</w:t>
            </w:r>
          </w:p>
        </w:tc>
      </w:tr>
      <w:tr w:rsidR="00D20CB2" w:rsidRPr="00B51149" w14:paraId="67D66ACD" w14:textId="77777777" w:rsidTr="002D6DD7">
        <w:tc>
          <w:tcPr>
            <w:tcW w:w="2695" w:type="dxa"/>
          </w:tcPr>
          <w:p w14:paraId="6A7B4957"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16B99002" w14:textId="77777777" w:rsidR="00D20CB2" w:rsidRPr="00B51149" w:rsidRDefault="00D20CB2" w:rsidP="002D6DD7">
            <w:pPr>
              <w:jc w:val="both"/>
              <w:rPr>
                <w:rFonts w:cs="Times New Roman"/>
                <w:szCs w:val="24"/>
              </w:rPr>
            </w:pPr>
            <w:r>
              <w:rPr>
                <w:rFonts w:cs="Times New Roman"/>
                <w:szCs w:val="24"/>
              </w:rPr>
              <w:t>Refer to contraindications to Canagliflozin</w:t>
            </w:r>
          </w:p>
        </w:tc>
      </w:tr>
      <w:tr w:rsidR="00D20CB2" w:rsidRPr="00B51149" w14:paraId="69B4A498" w14:textId="77777777" w:rsidTr="002D6DD7">
        <w:tc>
          <w:tcPr>
            <w:tcW w:w="2695" w:type="dxa"/>
          </w:tcPr>
          <w:p w14:paraId="27CC1EA7" w14:textId="77777777" w:rsidR="00D20CB2" w:rsidRPr="00B51149" w:rsidRDefault="00D20CB2" w:rsidP="002D6DD7">
            <w:pPr>
              <w:rPr>
                <w:rFonts w:cs="Times New Roman"/>
                <w:szCs w:val="24"/>
              </w:rPr>
            </w:pPr>
            <w:r w:rsidRPr="00B51149">
              <w:rPr>
                <w:rFonts w:cs="Times New Roman"/>
                <w:szCs w:val="24"/>
              </w:rPr>
              <w:t>Drug interactions</w:t>
            </w:r>
          </w:p>
        </w:tc>
        <w:tc>
          <w:tcPr>
            <w:tcW w:w="6321" w:type="dxa"/>
          </w:tcPr>
          <w:p w14:paraId="5CC0C0E3" w14:textId="77777777" w:rsidR="00D20CB2" w:rsidRPr="00B51149" w:rsidRDefault="00D20CB2" w:rsidP="002D6DD7">
            <w:pPr>
              <w:rPr>
                <w:rFonts w:eastAsiaTheme="minorHAnsi" w:cs="Times New Roman"/>
                <w:color w:val="231F20"/>
                <w:szCs w:val="24"/>
              </w:rPr>
            </w:pPr>
            <w:r w:rsidRPr="00ED52C9">
              <w:rPr>
                <w:rFonts w:cs="Times New Roman"/>
                <w:szCs w:val="24"/>
              </w:rPr>
              <w:t xml:space="preserve">Refer to </w:t>
            </w:r>
            <w:r>
              <w:rPr>
                <w:rFonts w:cs="Times New Roman"/>
                <w:szCs w:val="24"/>
              </w:rPr>
              <w:t>d</w:t>
            </w:r>
            <w:r w:rsidRPr="00ED52C9">
              <w:rPr>
                <w:rFonts w:cs="Times New Roman"/>
                <w:szCs w:val="24"/>
              </w:rPr>
              <w:t xml:space="preserve">rug </w:t>
            </w:r>
            <w:r>
              <w:rPr>
                <w:rFonts w:cs="Times New Roman"/>
                <w:szCs w:val="24"/>
              </w:rPr>
              <w:t>i</w:t>
            </w:r>
            <w:r w:rsidRPr="00ED52C9">
              <w:rPr>
                <w:rFonts w:cs="Times New Roman"/>
                <w:szCs w:val="24"/>
              </w:rPr>
              <w:t>nteractions with Canagliflozin</w:t>
            </w:r>
          </w:p>
        </w:tc>
      </w:tr>
      <w:tr w:rsidR="00D20CB2" w:rsidRPr="00B51149" w14:paraId="39B59428" w14:textId="77777777" w:rsidTr="002D6DD7">
        <w:tc>
          <w:tcPr>
            <w:tcW w:w="2695" w:type="dxa"/>
          </w:tcPr>
          <w:p w14:paraId="521B5D25"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7ED12CEE" w14:textId="77777777" w:rsidR="00D20CB2" w:rsidRPr="00B51149" w:rsidRDefault="00D20CB2" w:rsidP="002D6DD7">
            <w:pPr>
              <w:rPr>
                <w:rFonts w:eastAsiaTheme="minorHAnsi" w:cs="Times New Roman"/>
                <w:color w:val="231F20"/>
                <w:szCs w:val="24"/>
              </w:rPr>
            </w:pPr>
            <w:r>
              <w:rPr>
                <w:rFonts w:eastAsiaTheme="minorHAnsi" w:cs="Times New Roman"/>
                <w:color w:val="231F20"/>
                <w:szCs w:val="24"/>
              </w:rPr>
              <w:t>Refer to side effects from Canagliflozin</w:t>
            </w:r>
          </w:p>
        </w:tc>
      </w:tr>
      <w:tr w:rsidR="00D20CB2" w:rsidRPr="00B51149" w14:paraId="086AEAD7" w14:textId="77777777" w:rsidTr="002D6DD7">
        <w:tc>
          <w:tcPr>
            <w:tcW w:w="2695" w:type="dxa"/>
          </w:tcPr>
          <w:p w14:paraId="06019961"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0665BF5C" w14:textId="77777777" w:rsidR="00D20CB2" w:rsidRPr="00B51149" w:rsidRDefault="00D20CB2" w:rsidP="002D6DD7">
            <w:pPr>
              <w:rPr>
                <w:rFonts w:eastAsiaTheme="minorHAnsi" w:cs="Times New Roman"/>
                <w:color w:val="231F20"/>
                <w:szCs w:val="24"/>
              </w:rPr>
            </w:pPr>
            <w:r>
              <w:rPr>
                <w:rFonts w:eastAsiaTheme="minorHAnsi" w:cs="Times New Roman"/>
                <w:color w:val="231F20"/>
                <w:szCs w:val="24"/>
              </w:rPr>
              <w:t>Refer to cautions to Canagliflozin</w:t>
            </w:r>
          </w:p>
        </w:tc>
      </w:tr>
      <w:tr w:rsidR="00D20CB2" w:rsidRPr="00B51149" w14:paraId="334708B3" w14:textId="77777777" w:rsidTr="002D6DD7">
        <w:tc>
          <w:tcPr>
            <w:tcW w:w="2695" w:type="dxa"/>
          </w:tcPr>
          <w:p w14:paraId="08BFF959"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47CD8A7F" w14:textId="77777777" w:rsidR="00D20CB2" w:rsidRPr="00B51149" w:rsidRDefault="00D20CB2" w:rsidP="002D6DD7">
            <w:pPr>
              <w:rPr>
                <w:rFonts w:cs="Times New Roman"/>
                <w:color w:val="FF0000"/>
                <w:szCs w:val="24"/>
              </w:rPr>
            </w:pPr>
            <w:r w:rsidRPr="00B51149">
              <w:rPr>
                <w:rFonts w:cs="Times New Roman"/>
                <w:szCs w:val="24"/>
              </w:rPr>
              <w:t>Store below 30°C</w:t>
            </w:r>
            <w:r>
              <w:rPr>
                <w:rFonts w:cs="Times New Roman"/>
                <w:szCs w:val="24"/>
              </w:rPr>
              <w:t>. P</w:t>
            </w:r>
            <w:r w:rsidRPr="00B51149">
              <w:rPr>
                <w:rFonts w:cs="Times New Roman"/>
                <w:szCs w:val="24"/>
              </w:rPr>
              <w:t>rotect from moisture and light.</w:t>
            </w:r>
          </w:p>
        </w:tc>
      </w:tr>
      <w:tr w:rsidR="00D20CB2" w:rsidRPr="00B51149" w14:paraId="03604D47" w14:textId="77777777" w:rsidTr="002D6DD7">
        <w:tc>
          <w:tcPr>
            <w:tcW w:w="9016" w:type="dxa"/>
            <w:gridSpan w:val="2"/>
          </w:tcPr>
          <w:p w14:paraId="47257758" w14:textId="77777777" w:rsidR="00D20CB2" w:rsidRPr="00B51149" w:rsidRDefault="00D20CB2" w:rsidP="002D6DD7">
            <w:pPr>
              <w:rPr>
                <w:rFonts w:cs="Times New Roman"/>
                <w:b/>
                <w:bCs/>
                <w:szCs w:val="24"/>
              </w:rPr>
            </w:pPr>
            <w:bookmarkStart w:id="142" w:name="_Toc168317007"/>
            <w:r w:rsidRPr="00B51149">
              <w:rPr>
                <w:rFonts w:eastAsia="Calibri" w:cs="Times New Roman"/>
                <w:b/>
                <w:bCs/>
                <w:szCs w:val="24"/>
              </w:rPr>
              <w:t>Glibenclamide</w:t>
            </w:r>
            <w:bookmarkEnd w:id="142"/>
          </w:p>
        </w:tc>
      </w:tr>
      <w:tr w:rsidR="00D20CB2" w:rsidRPr="00B51149" w14:paraId="7C1CB28D" w14:textId="77777777" w:rsidTr="002D6DD7">
        <w:tc>
          <w:tcPr>
            <w:tcW w:w="2695" w:type="dxa"/>
          </w:tcPr>
          <w:p w14:paraId="20815C42"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1DBD240C" w14:textId="77777777" w:rsidR="00D20CB2" w:rsidRPr="00B51149" w:rsidRDefault="00D20CB2" w:rsidP="002D6DD7">
            <w:pPr>
              <w:rPr>
                <w:rFonts w:eastAsiaTheme="minorHAnsi" w:cs="Times New Roman"/>
                <w:color w:val="231F20"/>
                <w:szCs w:val="24"/>
              </w:rPr>
            </w:pPr>
            <w:r w:rsidRPr="00B51149">
              <w:rPr>
                <w:rFonts w:cs="Times New Roman"/>
                <w:szCs w:val="24"/>
              </w:rPr>
              <w:t>Sulfonylurea</w:t>
            </w:r>
          </w:p>
        </w:tc>
      </w:tr>
      <w:tr w:rsidR="00D20CB2" w:rsidRPr="00BD4E51" w14:paraId="3FD5C1FD" w14:textId="77777777" w:rsidTr="002D6DD7">
        <w:tc>
          <w:tcPr>
            <w:tcW w:w="2695" w:type="dxa"/>
          </w:tcPr>
          <w:p w14:paraId="73FAD563" w14:textId="77777777" w:rsidR="00D20CB2" w:rsidRPr="00B51149" w:rsidRDefault="00D20CB2" w:rsidP="002D6DD7">
            <w:pPr>
              <w:rPr>
                <w:rFonts w:cs="Times New Roman"/>
                <w:szCs w:val="24"/>
              </w:rPr>
            </w:pPr>
            <w:r w:rsidRPr="00B51149">
              <w:rPr>
                <w:rFonts w:cs="Times New Roman"/>
                <w:szCs w:val="24"/>
              </w:rPr>
              <w:lastRenderedPageBreak/>
              <w:t>Dosage form</w:t>
            </w:r>
          </w:p>
        </w:tc>
        <w:tc>
          <w:tcPr>
            <w:tcW w:w="6321" w:type="dxa"/>
          </w:tcPr>
          <w:p w14:paraId="78D93511" w14:textId="77777777" w:rsidR="00D20CB2" w:rsidRPr="00B51149" w:rsidRDefault="00D20CB2" w:rsidP="002D6DD7">
            <w:pPr>
              <w:rPr>
                <w:rFonts w:cs="Times New Roman"/>
                <w:szCs w:val="24"/>
                <w:lang w:val="sv-SE"/>
              </w:rPr>
            </w:pPr>
            <w:r w:rsidRPr="00B51149">
              <w:rPr>
                <w:rFonts w:cs="Times New Roman"/>
                <w:szCs w:val="24"/>
                <w:lang w:val="sv-SE"/>
              </w:rPr>
              <w:t>Oral Tablets: 1.25 mg, 2.5 mg, 5 mg</w:t>
            </w:r>
          </w:p>
        </w:tc>
      </w:tr>
      <w:tr w:rsidR="00D20CB2" w:rsidRPr="00B51149" w14:paraId="69B7D190" w14:textId="77777777" w:rsidTr="002D6DD7">
        <w:tc>
          <w:tcPr>
            <w:tcW w:w="2695" w:type="dxa"/>
          </w:tcPr>
          <w:p w14:paraId="067FE7A5"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73E66B85" w14:textId="77777777" w:rsidR="00D20CB2" w:rsidRPr="00B51149" w:rsidRDefault="00D20CB2" w:rsidP="002D6DD7">
            <w:pPr>
              <w:rPr>
                <w:rFonts w:cs="Times New Roman"/>
                <w:szCs w:val="24"/>
              </w:rPr>
            </w:pPr>
            <w:r w:rsidRPr="00B51149">
              <w:rPr>
                <w:rFonts w:eastAsiaTheme="minorHAnsi" w:cs="Times New Roman"/>
                <w:color w:val="231F20"/>
                <w:szCs w:val="24"/>
              </w:rPr>
              <w:t>Type 2 diabetes mellitus</w:t>
            </w:r>
          </w:p>
        </w:tc>
      </w:tr>
      <w:tr w:rsidR="00D20CB2" w:rsidRPr="00B51149" w14:paraId="56A1F57B" w14:textId="77777777" w:rsidTr="002D6DD7">
        <w:tc>
          <w:tcPr>
            <w:tcW w:w="2695" w:type="dxa"/>
          </w:tcPr>
          <w:p w14:paraId="4BEF7214"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3BF85144" w14:textId="77777777" w:rsidR="00D20CB2" w:rsidRPr="00B51149" w:rsidRDefault="00D20CB2" w:rsidP="002D6DD7">
            <w:pPr>
              <w:jc w:val="both"/>
              <w:rPr>
                <w:rFonts w:eastAsiaTheme="minorHAnsi" w:cs="Times New Roman"/>
                <w:b/>
                <w:bCs/>
                <w:color w:val="231F20"/>
                <w:szCs w:val="24"/>
              </w:rPr>
            </w:pPr>
            <w:r w:rsidRPr="00B51149">
              <w:rPr>
                <w:rFonts w:eastAsiaTheme="minorHAnsi" w:cs="Times New Roman"/>
                <w:b/>
                <w:bCs/>
                <w:color w:val="231F20"/>
                <w:szCs w:val="24"/>
              </w:rPr>
              <w:t>Adult:</w:t>
            </w:r>
          </w:p>
          <w:p w14:paraId="40527C0A" w14:textId="77777777" w:rsidR="00D20CB2" w:rsidRPr="00B51149" w:rsidRDefault="00D20CB2" w:rsidP="002D6DD7">
            <w:pPr>
              <w:jc w:val="both"/>
              <w:rPr>
                <w:rFonts w:eastAsiaTheme="minorHAnsi" w:cs="Times New Roman"/>
                <w:color w:val="231F20"/>
                <w:szCs w:val="24"/>
              </w:rPr>
            </w:pPr>
            <w:r w:rsidRPr="00B51149">
              <w:rPr>
                <w:rFonts w:eastAsiaTheme="minorHAnsi" w:cs="Times New Roman"/>
                <w:color w:val="231F20"/>
                <w:szCs w:val="24"/>
              </w:rPr>
              <w:t xml:space="preserve">Initial </w:t>
            </w:r>
            <w:r>
              <w:rPr>
                <w:rFonts w:eastAsiaTheme="minorHAnsi" w:cs="Times New Roman"/>
                <w:color w:val="231F20"/>
                <w:szCs w:val="24"/>
              </w:rPr>
              <w:t>d</w:t>
            </w:r>
            <w:r w:rsidRPr="00B51149">
              <w:rPr>
                <w:rFonts w:eastAsiaTheme="minorHAnsi" w:cs="Times New Roman"/>
                <w:color w:val="231F20"/>
                <w:szCs w:val="24"/>
              </w:rPr>
              <w:t>ose: 2.5 mg to 5 mg once daily with breakfast or the first main meal. For elderly or sensitive patients, start with 1.25 mg once daily.</w:t>
            </w:r>
          </w:p>
          <w:p w14:paraId="376D5969" w14:textId="77777777" w:rsidR="00D20CB2" w:rsidRPr="00B51149" w:rsidRDefault="00D20CB2" w:rsidP="002D6DD7">
            <w:pPr>
              <w:jc w:val="both"/>
              <w:rPr>
                <w:rFonts w:eastAsiaTheme="minorHAnsi" w:cs="Times New Roman"/>
                <w:color w:val="231F20"/>
                <w:szCs w:val="24"/>
              </w:rPr>
            </w:pPr>
            <w:r w:rsidRPr="00B51149">
              <w:rPr>
                <w:rFonts w:eastAsiaTheme="minorHAnsi" w:cs="Times New Roman"/>
                <w:color w:val="231F20"/>
                <w:szCs w:val="24"/>
              </w:rPr>
              <w:t xml:space="preserve">Maintenance </w:t>
            </w:r>
            <w:r>
              <w:rPr>
                <w:rFonts w:eastAsiaTheme="minorHAnsi" w:cs="Times New Roman"/>
                <w:color w:val="231F20"/>
                <w:szCs w:val="24"/>
              </w:rPr>
              <w:t>d</w:t>
            </w:r>
            <w:r w:rsidRPr="00B51149">
              <w:rPr>
                <w:rFonts w:eastAsiaTheme="minorHAnsi" w:cs="Times New Roman"/>
                <w:color w:val="231F20"/>
                <w:szCs w:val="24"/>
              </w:rPr>
              <w:t>ose: Adjust based on blood glucose response, typically 1.25 mg to 20 mg per day. If the dose exceeds 10 mg per day, divide into two doses.</w:t>
            </w:r>
          </w:p>
          <w:p w14:paraId="790BD972" w14:textId="77777777" w:rsidR="00D20CB2" w:rsidRPr="0036086A" w:rsidRDefault="00D20CB2" w:rsidP="002D6DD7">
            <w:pPr>
              <w:jc w:val="both"/>
              <w:rPr>
                <w:rFonts w:eastAsiaTheme="minorHAnsi" w:cs="Times New Roman"/>
                <w:color w:val="231F20"/>
                <w:szCs w:val="24"/>
              </w:rPr>
            </w:pPr>
            <w:r w:rsidRPr="00B51149">
              <w:rPr>
                <w:rFonts w:eastAsiaTheme="minorHAnsi" w:cs="Times New Roman"/>
                <w:color w:val="231F20"/>
                <w:szCs w:val="24"/>
              </w:rPr>
              <w:t xml:space="preserve">Maximum </w:t>
            </w:r>
            <w:r>
              <w:rPr>
                <w:rFonts w:eastAsiaTheme="minorHAnsi" w:cs="Times New Roman"/>
                <w:color w:val="231F20"/>
                <w:szCs w:val="24"/>
              </w:rPr>
              <w:t>d</w:t>
            </w:r>
            <w:r w:rsidRPr="00B51149">
              <w:rPr>
                <w:rFonts w:eastAsiaTheme="minorHAnsi" w:cs="Times New Roman"/>
                <w:color w:val="231F20"/>
                <w:szCs w:val="24"/>
              </w:rPr>
              <w:t>ose: 20 mg per day.</w:t>
            </w:r>
          </w:p>
        </w:tc>
      </w:tr>
      <w:tr w:rsidR="00D20CB2" w:rsidRPr="00B51149" w14:paraId="2D15AE17" w14:textId="77777777" w:rsidTr="002D6DD7">
        <w:tc>
          <w:tcPr>
            <w:tcW w:w="2695" w:type="dxa"/>
          </w:tcPr>
          <w:p w14:paraId="1E534E52"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7CF06312" w14:textId="77777777" w:rsidR="00D20CB2" w:rsidRPr="00B51149" w:rsidRDefault="00D20CB2" w:rsidP="002D6DD7">
            <w:pPr>
              <w:jc w:val="both"/>
              <w:rPr>
                <w:rFonts w:eastAsiaTheme="minorHAnsi" w:cs="Times New Roman"/>
                <w:color w:val="231F20"/>
                <w:szCs w:val="24"/>
              </w:rPr>
            </w:pPr>
            <w:r w:rsidRPr="00B51149">
              <w:rPr>
                <w:rFonts w:eastAsiaTheme="minorHAnsi" w:cs="Times New Roman"/>
                <w:color w:val="231F20"/>
                <w:szCs w:val="24"/>
              </w:rPr>
              <w:t>Type 1 diabetes mellitus, diabetic ketoacidosis, diabetic coma or pre-coma, severe renal and hepatic impairment.</w:t>
            </w:r>
          </w:p>
        </w:tc>
      </w:tr>
      <w:tr w:rsidR="00D20CB2" w:rsidRPr="00B51149" w14:paraId="216091F7" w14:textId="77777777" w:rsidTr="002D6DD7">
        <w:tc>
          <w:tcPr>
            <w:tcW w:w="2695" w:type="dxa"/>
          </w:tcPr>
          <w:p w14:paraId="33C46845" w14:textId="77777777" w:rsidR="00D20CB2" w:rsidRPr="00B51149" w:rsidRDefault="00D20CB2" w:rsidP="002D6DD7">
            <w:pPr>
              <w:rPr>
                <w:rFonts w:cs="Times New Roman"/>
                <w:szCs w:val="24"/>
              </w:rPr>
            </w:pPr>
            <w:r w:rsidRPr="00B51149">
              <w:rPr>
                <w:rFonts w:cs="Times New Roman"/>
                <w:szCs w:val="24"/>
              </w:rPr>
              <w:t>Drug interactions</w:t>
            </w:r>
          </w:p>
        </w:tc>
        <w:tc>
          <w:tcPr>
            <w:tcW w:w="6321" w:type="dxa"/>
          </w:tcPr>
          <w:p w14:paraId="10E0F696"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NSAIDs (e.g., azapropazone, phenylbutazone), antibacterial agents, antifungals, uricosurics</w:t>
            </w:r>
          </w:p>
        </w:tc>
      </w:tr>
      <w:tr w:rsidR="00D20CB2" w:rsidRPr="00B51149" w14:paraId="6FAAC7AA" w14:textId="77777777" w:rsidTr="002D6DD7">
        <w:tc>
          <w:tcPr>
            <w:tcW w:w="2695" w:type="dxa"/>
          </w:tcPr>
          <w:p w14:paraId="10CC706C"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0E01A1D9"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Hypoglycemia, nausea, heartburn, vomiting, diarrhea, abdominal pain, weight gain, bloating, abdominal fullness, skin reactions (rash, hives, itching, photosensitivity).</w:t>
            </w:r>
          </w:p>
        </w:tc>
      </w:tr>
      <w:tr w:rsidR="00D20CB2" w:rsidRPr="00B51149" w14:paraId="2E511FB1" w14:textId="77777777" w:rsidTr="002D6DD7">
        <w:tc>
          <w:tcPr>
            <w:tcW w:w="2695" w:type="dxa"/>
          </w:tcPr>
          <w:p w14:paraId="05BAA9B1"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650C9230" w14:textId="77777777" w:rsidR="00D20CB2" w:rsidRPr="00B51149" w:rsidRDefault="00D20CB2" w:rsidP="002D6DD7">
            <w:pPr>
              <w:rPr>
                <w:rFonts w:eastAsiaTheme="minorHAnsi" w:cs="Times New Roman"/>
                <w:color w:val="231F20"/>
                <w:szCs w:val="24"/>
              </w:rPr>
            </w:pPr>
            <w:r w:rsidRPr="00B51149">
              <w:rPr>
                <w:rFonts w:eastAsiaTheme="minorHAnsi" w:cs="Times New Roman"/>
                <w:color w:val="231F20"/>
                <w:szCs w:val="24"/>
              </w:rPr>
              <w:t xml:space="preserve">Hypersensitivity to </w:t>
            </w:r>
            <w:r>
              <w:rPr>
                <w:rFonts w:eastAsiaTheme="minorHAnsi" w:cs="Times New Roman"/>
                <w:color w:val="231F20"/>
                <w:szCs w:val="24"/>
              </w:rPr>
              <w:t>the drug</w:t>
            </w:r>
            <w:r w:rsidRPr="00B51149">
              <w:rPr>
                <w:rFonts w:eastAsiaTheme="minorHAnsi" w:cs="Times New Roman"/>
                <w:color w:val="231F20"/>
                <w:szCs w:val="24"/>
              </w:rPr>
              <w:t>, severe renal or hepatic impairment, elderly patients, conditions that predispose to hypoglycemia (e.g., adrenal insufficiency), porphyria, stress-related states, pregnancy.</w:t>
            </w:r>
          </w:p>
        </w:tc>
      </w:tr>
      <w:tr w:rsidR="00D20CB2" w:rsidRPr="00B51149" w14:paraId="3E56AA2C" w14:textId="77777777" w:rsidTr="002D6DD7">
        <w:tc>
          <w:tcPr>
            <w:tcW w:w="2695" w:type="dxa"/>
          </w:tcPr>
          <w:p w14:paraId="7939A47C"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33682B6C" w14:textId="77777777" w:rsidR="00D20CB2" w:rsidRPr="00B51149" w:rsidRDefault="00D20CB2" w:rsidP="002D6DD7">
            <w:pPr>
              <w:rPr>
                <w:rFonts w:cs="Times New Roman"/>
                <w:color w:val="FF0000"/>
                <w:szCs w:val="24"/>
              </w:rPr>
            </w:pPr>
            <w:r w:rsidRPr="00B51149">
              <w:rPr>
                <w:rFonts w:cs="Times New Roman"/>
                <w:szCs w:val="24"/>
              </w:rPr>
              <w:t>Store below 30°C</w:t>
            </w:r>
            <w:r>
              <w:rPr>
                <w:rFonts w:cs="Times New Roman"/>
                <w:szCs w:val="24"/>
              </w:rPr>
              <w:t>. P</w:t>
            </w:r>
            <w:r w:rsidRPr="00B51149">
              <w:rPr>
                <w:rFonts w:cs="Times New Roman"/>
                <w:szCs w:val="24"/>
              </w:rPr>
              <w:t>rotect from sunlight.</w:t>
            </w:r>
          </w:p>
        </w:tc>
      </w:tr>
      <w:tr w:rsidR="00D20CB2" w:rsidRPr="00B51149" w14:paraId="16D51FBC" w14:textId="77777777" w:rsidTr="002D6DD7">
        <w:tc>
          <w:tcPr>
            <w:tcW w:w="9016" w:type="dxa"/>
            <w:gridSpan w:val="2"/>
          </w:tcPr>
          <w:p w14:paraId="1DCB2EF5" w14:textId="77777777" w:rsidR="00D20CB2" w:rsidRPr="00B51149" w:rsidRDefault="00D20CB2" w:rsidP="002D6DD7">
            <w:pPr>
              <w:rPr>
                <w:rFonts w:cs="Times New Roman"/>
                <w:b/>
                <w:bCs/>
                <w:szCs w:val="24"/>
              </w:rPr>
            </w:pPr>
            <w:bookmarkStart w:id="143" w:name="_Toc168317004"/>
            <w:r w:rsidRPr="00B51149">
              <w:rPr>
                <w:rFonts w:cs="Times New Roman"/>
                <w:b/>
                <w:bCs/>
                <w:szCs w:val="24"/>
              </w:rPr>
              <w:t>Gliclazide</w:t>
            </w:r>
            <w:bookmarkEnd w:id="143"/>
          </w:p>
        </w:tc>
      </w:tr>
      <w:tr w:rsidR="00D20CB2" w:rsidRPr="00B51149" w14:paraId="321CD3FA" w14:textId="77777777" w:rsidTr="002D6DD7">
        <w:tc>
          <w:tcPr>
            <w:tcW w:w="2695" w:type="dxa"/>
          </w:tcPr>
          <w:p w14:paraId="092F21A7"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702AB98A" w14:textId="77777777" w:rsidR="00D20CB2" w:rsidRPr="00B51149" w:rsidRDefault="00D20CB2" w:rsidP="002D6DD7">
            <w:pPr>
              <w:rPr>
                <w:rFonts w:cs="Times New Roman"/>
                <w:szCs w:val="24"/>
              </w:rPr>
            </w:pPr>
            <w:r w:rsidRPr="00B51149">
              <w:rPr>
                <w:rFonts w:cs="Times New Roman"/>
                <w:color w:val="111111"/>
                <w:szCs w:val="24"/>
                <w:shd w:val="clear" w:color="auto" w:fill="FFFFFF"/>
              </w:rPr>
              <w:t>Sulfonylurea</w:t>
            </w:r>
          </w:p>
        </w:tc>
      </w:tr>
      <w:tr w:rsidR="00D20CB2" w:rsidRPr="00B51149" w14:paraId="06EDABC0" w14:textId="77777777" w:rsidTr="002D6DD7">
        <w:tc>
          <w:tcPr>
            <w:tcW w:w="2695" w:type="dxa"/>
          </w:tcPr>
          <w:p w14:paraId="16FCE694"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7F267D8D" w14:textId="77777777" w:rsidR="00D20CB2" w:rsidRPr="00B51149" w:rsidRDefault="00D20CB2" w:rsidP="002D6DD7">
            <w:pPr>
              <w:rPr>
                <w:rFonts w:cs="Times New Roman"/>
                <w:szCs w:val="24"/>
              </w:rPr>
            </w:pPr>
            <w:r w:rsidRPr="00B51149">
              <w:rPr>
                <w:rFonts w:cs="Times New Roman"/>
                <w:szCs w:val="24"/>
              </w:rPr>
              <w:t>Tablet: 30 mg, 60 mg, 80 mg</w:t>
            </w:r>
          </w:p>
          <w:p w14:paraId="02AB7680" w14:textId="77777777" w:rsidR="00D20CB2" w:rsidRPr="00B51149" w:rsidRDefault="00D20CB2" w:rsidP="002D6DD7">
            <w:pPr>
              <w:rPr>
                <w:rFonts w:cs="Times New Roman"/>
                <w:szCs w:val="24"/>
              </w:rPr>
            </w:pPr>
            <w:r w:rsidRPr="00B51149">
              <w:rPr>
                <w:rFonts w:cs="Times New Roman"/>
                <w:szCs w:val="24"/>
              </w:rPr>
              <w:t>Oral modified-release tablet: 30 mg, 60 mg</w:t>
            </w:r>
          </w:p>
        </w:tc>
      </w:tr>
      <w:tr w:rsidR="00D20CB2" w:rsidRPr="00B51149" w14:paraId="32D0D106" w14:textId="77777777" w:rsidTr="002D6DD7">
        <w:trPr>
          <w:trHeight w:val="50"/>
        </w:trPr>
        <w:tc>
          <w:tcPr>
            <w:tcW w:w="2695" w:type="dxa"/>
          </w:tcPr>
          <w:p w14:paraId="66E28E69"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1C7E42AE" w14:textId="77777777" w:rsidR="00D20CB2" w:rsidRPr="00B51149" w:rsidRDefault="00D20CB2" w:rsidP="002D6DD7">
            <w:pPr>
              <w:rPr>
                <w:rFonts w:cs="Times New Roman"/>
                <w:color w:val="231F20"/>
                <w:szCs w:val="24"/>
              </w:rPr>
            </w:pPr>
            <w:r w:rsidRPr="00B51149">
              <w:rPr>
                <w:rFonts w:cs="Times New Roman"/>
                <w:color w:val="231F20"/>
                <w:szCs w:val="24"/>
              </w:rPr>
              <w:t>Type 2 diabetes mellitus</w:t>
            </w:r>
          </w:p>
        </w:tc>
      </w:tr>
      <w:tr w:rsidR="00D20CB2" w:rsidRPr="00B51149" w14:paraId="0F15D5CD" w14:textId="77777777" w:rsidTr="002D6DD7">
        <w:tc>
          <w:tcPr>
            <w:tcW w:w="2695" w:type="dxa"/>
          </w:tcPr>
          <w:p w14:paraId="0FEF956B"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7543F339" w14:textId="77777777" w:rsidR="00D20CB2" w:rsidRPr="00B51149" w:rsidRDefault="00D20CB2" w:rsidP="002D6DD7">
            <w:pPr>
              <w:rPr>
                <w:rFonts w:cs="Times New Roman"/>
                <w:b/>
                <w:bCs/>
                <w:color w:val="231F20"/>
                <w:szCs w:val="24"/>
              </w:rPr>
            </w:pPr>
            <w:r w:rsidRPr="00B51149">
              <w:rPr>
                <w:rFonts w:cs="Times New Roman"/>
                <w:b/>
                <w:bCs/>
                <w:color w:val="231F20"/>
                <w:szCs w:val="24"/>
              </w:rPr>
              <w:t>Adult:</w:t>
            </w:r>
          </w:p>
          <w:p w14:paraId="4AD6CB3E" w14:textId="77777777" w:rsidR="00D20CB2" w:rsidRPr="00B51149" w:rsidRDefault="00D20CB2" w:rsidP="002D6DD7">
            <w:pPr>
              <w:rPr>
                <w:rFonts w:cs="Times New Roman"/>
                <w:b/>
                <w:bCs/>
                <w:color w:val="231F20"/>
                <w:szCs w:val="24"/>
              </w:rPr>
            </w:pPr>
            <w:r w:rsidRPr="00B51149">
              <w:rPr>
                <w:rFonts w:cs="Times New Roman"/>
                <w:b/>
                <w:bCs/>
                <w:color w:val="231F20"/>
                <w:szCs w:val="24"/>
              </w:rPr>
              <w:t>Immediate-Release Tablets:</w:t>
            </w:r>
          </w:p>
          <w:p w14:paraId="2D3FD4FA" w14:textId="77777777" w:rsidR="00D20CB2" w:rsidRPr="00B51149" w:rsidRDefault="00D20CB2" w:rsidP="002D6DD7">
            <w:pPr>
              <w:rPr>
                <w:rFonts w:cs="Times New Roman"/>
                <w:color w:val="231F20"/>
                <w:szCs w:val="24"/>
              </w:rPr>
            </w:pPr>
            <w:r w:rsidRPr="00B51149">
              <w:rPr>
                <w:rFonts w:cs="Times New Roman"/>
                <w:color w:val="231F20"/>
                <w:szCs w:val="24"/>
              </w:rPr>
              <w:t xml:space="preserve">Initial </w:t>
            </w:r>
            <w:r>
              <w:rPr>
                <w:rFonts w:cs="Times New Roman"/>
                <w:color w:val="231F20"/>
                <w:szCs w:val="24"/>
              </w:rPr>
              <w:t>d</w:t>
            </w:r>
            <w:r w:rsidRPr="00B51149">
              <w:rPr>
                <w:rFonts w:cs="Times New Roman"/>
                <w:color w:val="231F20"/>
                <w:szCs w:val="24"/>
              </w:rPr>
              <w:t>ose: 40 mg to 80 mg once daily.</w:t>
            </w:r>
          </w:p>
          <w:p w14:paraId="04DA514B" w14:textId="77777777" w:rsidR="00D20CB2" w:rsidRPr="00B51149" w:rsidRDefault="00D20CB2" w:rsidP="002D6DD7">
            <w:pPr>
              <w:rPr>
                <w:rFonts w:cs="Times New Roman"/>
                <w:color w:val="231F20"/>
                <w:szCs w:val="24"/>
              </w:rPr>
            </w:pPr>
            <w:r w:rsidRPr="00B51149">
              <w:rPr>
                <w:rFonts w:cs="Times New Roman"/>
                <w:color w:val="231F20"/>
                <w:szCs w:val="24"/>
              </w:rPr>
              <w:lastRenderedPageBreak/>
              <w:t xml:space="preserve">Maintenance </w:t>
            </w:r>
            <w:r>
              <w:rPr>
                <w:rFonts w:cs="Times New Roman"/>
                <w:color w:val="231F20"/>
                <w:szCs w:val="24"/>
              </w:rPr>
              <w:t>d</w:t>
            </w:r>
            <w:r w:rsidRPr="00B51149">
              <w:rPr>
                <w:rFonts w:cs="Times New Roman"/>
                <w:color w:val="231F20"/>
                <w:szCs w:val="24"/>
              </w:rPr>
              <w:t>ose: 40 mg to 320 mg per day. If the dose exceeds 160 mg per day, divide into two doses.</w:t>
            </w:r>
          </w:p>
          <w:p w14:paraId="466D4EE3" w14:textId="77777777" w:rsidR="00D20CB2" w:rsidRPr="00B51149" w:rsidRDefault="00D20CB2" w:rsidP="002D6DD7">
            <w:pPr>
              <w:rPr>
                <w:rFonts w:cs="Times New Roman"/>
                <w:color w:val="231F20"/>
                <w:szCs w:val="24"/>
              </w:rPr>
            </w:pPr>
            <w:r w:rsidRPr="00B51149">
              <w:rPr>
                <w:rFonts w:cs="Times New Roman"/>
                <w:color w:val="231F20"/>
                <w:szCs w:val="24"/>
              </w:rPr>
              <w:t xml:space="preserve">Maximum </w:t>
            </w:r>
            <w:r>
              <w:rPr>
                <w:rFonts w:cs="Times New Roman"/>
                <w:color w:val="231F20"/>
                <w:szCs w:val="24"/>
              </w:rPr>
              <w:t>d</w:t>
            </w:r>
            <w:r w:rsidRPr="00B51149">
              <w:rPr>
                <w:rFonts w:cs="Times New Roman"/>
                <w:color w:val="231F20"/>
                <w:szCs w:val="24"/>
              </w:rPr>
              <w:t>ose: 320 mg per day.</w:t>
            </w:r>
          </w:p>
          <w:p w14:paraId="6A782D7C" w14:textId="77777777" w:rsidR="00D20CB2" w:rsidRPr="00B51149" w:rsidRDefault="00D20CB2" w:rsidP="002D6DD7">
            <w:pPr>
              <w:rPr>
                <w:rFonts w:cs="Times New Roman"/>
                <w:b/>
                <w:bCs/>
                <w:color w:val="231F20"/>
                <w:szCs w:val="24"/>
              </w:rPr>
            </w:pPr>
            <w:r w:rsidRPr="00B51149">
              <w:rPr>
                <w:rFonts w:cs="Times New Roman"/>
                <w:b/>
                <w:bCs/>
                <w:color w:val="231F20"/>
                <w:szCs w:val="24"/>
              </w:rPr>
              <w:t>Modified-Release Tablets:</w:t>
            </w:r>
          </w:p>
          <w:p w14:paraId="1F75D1C7" w14:textId="77777777" w:rsidR="00D20CB2" w:rsidRPr="00B51149" w:rsidRDefault="00D20CB2" w:rsidP="002D6DD7">
            <w:pPr>
              <w:rPr>
                <w:rFonts w:cs="Times New Roman"/>
                <w:color w:val="231F20"/>
                <w:szCs w:val="24"/>
              </w:rPr>
            </w:pPr>
            <w:r w:rsidRPr="00B51149">
              <w:rPr>
                <w:rFonts w:cs="Times New Roman"/>
                <w:color w:val="231F20"/>
                <w:szCs w:val="24"/>
              </w:rPr>
              <w:t xml:space="preserve">Initial </w:t>
            </w:r>
            <w:r>
              <w:rPr>
                <w:rFonts w:cs="Times New Roman"/>
                <w:color w:val="231F20"/>
                <w:szCs w:val="24"/>
              </w:rPr>
              <w:t>d</w:t>
            </w:r>
            <w:r w:rsidRPr="00B51149">
              <w:rPr>
                <w:rFonts w:cs="Times New Roman"/>
                <w:color w:val="231F20"/>
                <w:szCs w:val="24"/>
              </w:rPr>
              <w:t>ose: 30 mg once daily.</w:t>
            </w:r>
          </w:p>
          <w:p w14:paraId="05FD9012" w14:textId="77777777" w:rsidR="00D20CB2" w:rsidRPr="00B51149" w:rsidRDefault="00D20CB2" w:rsidP="002D6DD7">
            <w:pPr>
              <w:rPr>
                <w:rFonts w:cs="Times New Roman"/>
                <w:color w:val="231F20"/>
                <w:szCs w:val="24"/>
              </w:rPr>
            </w:pPr>
            <w:r w:rsidRPr="00B51149">
              <w:rPr>
                <w:rFonts w:cs="Times New Roman"/>
                <w:color w:val="231F20"/>
                <w:szCs w:val="24"/>
              </w:rPr>
              <w:t xml:space="preserve">Maintenance </w:t>
            </w:r>
            <w:r>
              <w:rPr>
                <w:rFonts w:cs="Times New Roman"/>
                <w:color w:val="231F20"/>
                <w:szCs w:val="24"/>
              </w:rPr>
              <w:t>d</w:t>
            </w:r>
            <w:r w:rsidRPr="00B51149">
              <w:rPr>
                <w:rFonts w:cs="Times New Roman"/>
                <w:color w:val="231F20"/>
                <w:szCs w:val="24"/>
              </w:rPr>
              <w:t>ose: 30 mg to 120 mg once daily.</w:t>
            </w:r>
          </w:p>
          <w:p w14:paraId="6B8CAEAB" w14:textId="77777777" w:rsidR="00D20CB2" w:rsidRPr="00B51149" w:rsidRDefault="00D20CB2" w:rsidP="002D6DD7">
            <w:pPr>
              <w:jc w:val="both"/>
              <w:rPr>
                <w:rFonts w:cs="Times New Roman"/>
                <w:color w:val="231F20"/>
                <w:szCs w:val="24"/>
              </w:rPr>
            </w:pPr>
            <w:r w:rsidRPr="00B51149">
              <w:rPr>
                <w:rFonts w:cs="Times New Roman"/>
                <w:color w:val="231F20"/>
                <w:szCs w:val="24"/>
              </w:rPr>
              <w:t xml:space="preserve">Maximum </w:t>
            </w:r>
            <w:r>
              <w:rPr>
                <w:rFonts w:cs="Times New Roman"/>
                <w:color w:val="231F20"/>
                <w:szCs w:val="24"/>
              </w:rPr>
              <w:t>d</w:t>
            </w:r>
            <w:r w:rsidRPr="00B51149">
              <w:rPr>
                <w:rFonts w:cs="Times New Roman"/>
                <w:color w:val="231F20"/>
                <w:szCs w:val="24"/>
              </w:rPr>
              <w:t>ose: 120 mg per day.</w:t>
            </w:r>
          </w:p>
        </w:tc>
      </w:tr>
      <w:tr w:rsidR="00D20CB2" w:rsidRPr="00B51149" w14:paraId="245E11CE" w14:textId="77777777" w:rsidTr="002D6DD7">
        <w:tc>
          <w:tcPr>
            <w:tcW w:w="2695" w:type="dxa"/>
          </w:tcPr>
          <w:p w14:paraId="53B7E0BB" w14:textId="77777777" w:rsidR="00D20CB2" w:rsidRPr="00B51149" w:rsidRDefault="00D20CB2" w:rsidP="002D6DD7">
            <w:pPr>
              <w:rPr>
                <w:rFonts w:cs="Times New Roman"/>
                <w:szCs w:val="24"/>
              </w:rPr>
            </w:pPr>
            <w:r w:rsidRPr="00B51149">
              <w:rPr>
                <w:rFonts w:cs="Times New Roman"/>
                <w:szCs w:val="24"/>
              </w:rPr>
              <w:lastRenderedPageBreak/>
              <w:t>Contraindications</w:t>
            </w:r>
          </w:p>
        </w:tc>
        <w:tc>
          <w:tcPr>
            <w:tcW w:w="6321" w:type="dxa"/>
          </w:tcPr>
          <w:p w14:paraId="503535CE" w14:textId="77777777" w:rsidR="00D20CB2" w:rsidRPr="00B51149" w:rsidRDefault="00D20CB2" w:rsidP="002D6DD7">
            <w:pPr>
              <w:rPr>
                <w:rFonts w:cs="Times New Roman"/>
                <w:color w:val="231F20"/>
                <w:szCs w:val="24"/>
              </w:rPr>
            </w:pPr>
            <w:r w:rsidRPr="00B51149">
              <w:rPr>
                <w:rFonts w:cs="Times New Roman"/>
                <w:color w:val="231F20"/>
                <w:szCs w:val="24"/>
              </w:rPr>
              <w:t>Acute porphyria</w:t>
            </w:r>
          </w:p>
        </w:tc>
      </w:tr>
      <w:tr w:rsidR="00D20CB2" w:rsidRPr="00B51149" w14:paraId="02A62546" w14:textId="77777777" w:rsidTr="002D6DD7">
        <w:tc>
          <w:tcPr>
            <w:tcW w:w="2695" w:type="dxa"/>
          </w:tcPr>
          <w:p w14:paraId="47DDC9E0" w14:textId="77777777" w:rsidR="00D20CB2" w:rsidRPr="00B51149" w:rsidRDefault="00D20CB2" w:rsidP="002D6DD7">
            <w:pPr>
              <w:rPr>
                <w:rFonts w:cs="Times New Roman"/>
                <w:szCs w:val="24"/>
              </w:rPr>
            </w:pPr>
            <w:r w:rsidRPr="00B51149">
              <w:rPr>
                <w:rFonts w:cs="Times New Roman"/>
                <w:szCs w:val="24"/>
              </w:rPr>
              <w:t>Drug interactions</w:t>
            </w:r>
          </w:p>
        </w:tc>
        <w:tc>
          <w:tcPr>
            <w:tcW w:w="6321" w:type="dxa"/>
          </w:tcPr>
          <w:p w14:paraId="22967F80" w14:textId="77777777" w:rsidR="00D20CB2" w:rsidRPr="00B51149" w:rsidRDefault="00D20CB2" w:rsidP="002D6DD7">
            <w:pPr>
              <w:rPr>
                <w:rFonts w:cs="Times New Roman"/>
                <w:color w:val="111111"/>
                <w:szCs w:val="24"/>
              </w:rPr>
            </w:pPr>
            <w:r w:rsidRPr="00B51149">
              <w:rPr>
                <w:rFonts w:cs="Times New Roman"/>
                <w:color w:val="111111"/>
                <w:szCs w:val="24"/>
              </w:rPr>
              <w:t>Sulfonamide antibiotics, anticoagulants (e.g., warfarin), antidepressants, aspirin, propranolol</w:t>
            </w:r>
          </w:p>
        </w:tc>
      </w:tr>
      <w:tr w:rsidR="00D20CB2" w:rsidRPr="00B51149" w14:paraId="76D7C2E0" w14:textId="77777777" w:rsidTr="002D6DD7">
        <w:tc>
          <w:tcPr>
            <w:tcW w:w="2695" w:type="dxa"/>
          </w:tcPr>
          <w:p w14:paraId="3AF0A4C1"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3CED4E0B" w14:textId="77777777" w:rsidR="00D20CB2" w:rsidRPr="00B51149" w:rsidRDefault="00D20CB2" w:rsidP="002D6DD7">
            <w:pPr>
              <w:jc w:val="both"/>
              <w:rPr>
                <w:rFonts w:cs="Times New Roman"/>
                <w:color w:val="231F20"/>
                <w:szCs w:val="24"/>
              </w:rPr>
            </w:pPr>
            <w:r w:rsidRPr="00B51149">
              <w:rPr>
                <w:rFonts w:cs="Times New Roman"/>
                <w:color w:val="231F20"/>
                <w:szCs w:val="24"/>
              </w:rPr>
              <w:t xml:space="preserve">Hypoglycemia, </w:t>
            </w:r>
            <w:r>
              <w:rPr>
                <w:rFonts w:cs="Times New Roman"/>
                <w:color w:val="231F20"/>
                <w:szCs w:val="24"/>
              </w:rPr>
              <w:t>GI</w:t>
            </w:r>
            <w:r w:rsidRPr="00B51149">
              <w:rPr>
                <w:rFonts w:cs="Times New Roman"/>
                <w:color w:val="231F20"/>
                <w:szCs w:val="24"/>
              </w:rPr>
              <w:t xml:space="preserve"> disorders (dyspepsia, nausea), anemia, angioedema, hypersensitivity vasculitis, hyponatremia, severe cutaneous adverse reactions.</w:t>
            </w:r>
          </w:p>
        </w:tc>
      </w:tr>
      <w:tr w:rsidR="00D20CB2" w:rsidRPr="00B51149" w14:paraId="4C6D355A" w14:textId="77777777" w:rsidTr="002D6DD7">
        <w:tc>
          <w:tcPr>
            <w:tcW w:w="2695" w:type="dxa"/>
          </w:tcPr>
          <w:p w14:paraId="4E5C0522"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3B3DC9A3" w14:textId="77777777" w:rsidR="00D20CB2" w:rsidRPr="00B51149" w:rsidRDefault="00D20CB2" w:rsidP="002D6DD7">
            <w:pPr>
              <w:rPr>
                <w:rFonts w:cs="Times New Roman"/>
                <w:color w:val="231F20"/>
                <w:szCs w:val="24"/>
              </w:rPr>
            </w:pPr>
            <w:r>
              <w:rPr>
                <w:rFonts w:cs="Times New Roman"/>
                <w:color w:val="231F20"/>
                <w:szCs w:val="24"/>
              </w:rPr>
              <w:t>R</w:t>
            </w:r>
            <w:r w:rsidRPr="00B51149">
              <w:rPr>
                <w:rFonts w:cs="Times New Roman"/>
                <w:color w:val="231F20"/>
                <w:szCs w:val="24"/>
              </w:rPr>
              <w:t xml:space="preserve">enal </w:t>
            </w:r>
            <w:r>
              <w:rPr>
                <w:rFonts w:cs="Times New Roman"/>
                <w:color w:val="231F20"/>
                <w:szCs w:val="24"/>
              </w:rPr>
              <w:t xml:space="preserve">impairment, </w:t>
            </w:r>
            <w:r w:rsidRPr="00B51149">
              <w:rPr>
                <w:rFonts w:cs="Times New Roman"/>
                <w:color w:val="231F20"/>
                <w:szCs w:val="24"/>
              </w:rPr>
              <w:t xml:space="preserve">hepatic impairment, cardiovascular risk, G6PD </w:t>
            </w:r>
            <w:r>
              <w:rPr>
                <w:rFonts w:cs="Times New Roman"/>
                <w:color w:val="231F20"/>
                <w:szCs w:val="24"/>
              </w:rPr>
              <w:t>d</w:t>
            </w:r>
            <w:r w:rsidRPr="00B51149">
              <w:rPr>
                <w:rFonts w:cs="Times New Roman"/>
                <w:color w:val="231F20"/>
                <w:szCs w:val="24"/>
              </w:rPr>
              <w:t>eficiency</w:t>
            </w:r>
            <w:r>
              <w:rPr>
                <w:rFonts w:cs="Times New Roman"/>
                <w:color w:val="231F20"/>
                <w:szCs w:val="24"/>
              </w:rPr>
              <w:t>, p</w:t>
            </w:r>
            <w:r w:rsidRPr="00B51149">
              <w:rPr>
                <w:rFonts w:cs="Times New Roman"/>
                <w:color w:val="231F20"/>
                <w:szCs w:val="24"/>
              </w:rPr>
              <w:t>regnancy, breastfeeding</w:t>
            </w:r>
          </w:p>
        </w:tc>
      </w:tr>
      <w:tr w:rsidR="00D20CB2" w:rsidRPr="00B51149" w14:paraId="27F1BA70" w14:textId="77777777" w:rsidTr="002D6DD7">
        <w:tc>
          <w:tcPr>
            <w:tcW w:w="2695" w:type="dxa"/>
          </w:tcPr>
          <w:p w14:paraId="14A48DF2"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07E64500" w14:textId="77777777" w:rsidR="00D20CB2" w:rsidRPr="00B51149" w:rsidRDefault="00D20CB2" w:rsidP="002D6DD7">
            <w:pPr>
              <w:rPr>
                <w:rFonts w:cs="Times New Roman"/>
                <w:color w:val="FF0000"/>
                <w:szCs w:val="24"/>
              </w:rPr>
            </w:pPr>
            <w:r w:rsidRPr="00B51149">
              <w:rPr>
                <w:rFonts w:cs="Times New Roman"/>
                <w:szCs w:val="24"/>
                <w:shd w:val="clear" w:color="auto" w:fill="FFFFFF"/>
              </w:rPr>
              <w:t>Store below 30°C</w:t>
            </w:r>
            <w:r>
              <w:rPr>
                <w:rFonts w:cs="Times New Roman"/>
                <w:szCs w:val="24"/>
                <w:shd w:val="clear" w:color="auto" w:fill="FFFFFF"/>
              </w:rPr>
              <w:t>. P</w:t>
            </w:r>
            <w:r w:rsidRPr="00B51149">
              <w:rPr>
                <w:rFonts w:cs="Times New Roman"/>
                <w:szCs w:val="24"/>
                <w:shd w:val="clear" w:color="auto" w:fill="FFFFFF"/>
              </w:rPr>
              <w:t>rotect from light.</w:t>
            </w:r>
          </w:p>
        </w:tc>
      </w:tr>
      <w:tr w:rsidR="00D20CB2" w:rsidRPr="00B51149" w14:paraId="70E07550" w14:textId="77777777" w:rsidTr="002D6DD7">
        <w:tc>
          <w:tcPr>
            <w:tcW w:w="9016" w:type="dxa"/>
            <w:gridSpan w:val="2"/>
          </w:tcPr>
          <w:p w14:paraId="7F8A1F51" w14:textId="77777777" w:rsidR="00D20CB2" w:rsidRPr="00B51149" w:rsidRDefault="00D20CB2" w:rsidP="002D6DD7">
            <w:pPr>
              <w:rPr>
                <w:rFonts w:cs="Times New Roman"/>
                <w:b/>
                <w:bCs/>
                <w:szCs w:val="24"/>
              </w:rPr>
            </w:pPr>
            <w:r w:rsidRPr="00B51149">
              <w:rPr>
                <w:rFonts w:cs="Times New Roman"/>
                <w:b/>
                <w:bCs/>
                <w:szCs w:val="24"/>
              </w:rPr>
              <w:t xml:space="preserve">Glimepiride </w:t>
            </w:r>
          </w:p>
        </w:tc>
      </w:tr>
      <w:tr w:rsidR="00D20CB2" w:rsidRPr="00B51149" w14:paraId="7226B652" w14:textId="77777777" w:rsidTr="002D6DD7">
        <w:tc>
          <w:tcPr>
            <w:tcW w:w="2695" w:type="dxa"/>
          </w:tcPr>
          <w:p w14:paraId="6E0166E2"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46D4F0CD" w14:textId="77777777" w:rsidR="00D20CB2" w:rsidRPr="00B51149" w:rsidRDefault="00D20CB2" w:rsidP="002D6DD7">
            <w:pPr>
              <w:rPr>
                <w:rFonts w:cs="Times New Roman"/>
                <w:szCs w:val="24"/>
              </w:rPr>
            </w:pPr>
            <w:r w:rsidRPr="00B51149">
              <w:rPr>
                <w:rFonts w:cs="Times New Roman"/>
                <w:color w:val="111111"/>
                <w:szCs w:val="24"/>
                <w:shd w:val="clear" w:color="auto" w:fill="FFFFFF"/>
              </w:rPr>
              <w:t>Sulfonylurea</w:t>
            </w:r>
          </w:p>
        </w:tc>
      </w:tr>
      <w:tr w:rsidR="00D20CB2" w:rsidRPr="00BD4E51" w14:paraId="31012676" w14:textId="77777777" w:rsidTr="002D6DD7">
        <w:tc>
          <w:tcPr>
            <w:tcW w:w="2695" w:type="dxa"/>
          </w:tcPr>
          <w:p w14:paraId="522D5D6D"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3165FF55" w14:textId="77777777" w:rsidR="00D20CB2" w:rsidRPr="00B51149" w:rsidRDefault="00D20CB2" w:rsidP="002D6DD7">
            <w:pPr>
              <w:rPr>
                <w:rFonts w:cs="Times New Roman"/>
                <w:szCs w:val="24"/>
                <w:lang w:val="sv-SE"/>
              </w:rPr>
            </w:pPr>
            <w:r w:rsidRPr="00B51149">
              <w:rPr>
                <w:rFonts w:cs="Times New Roman"/>
                <w:color w:val="000000"/>
                <w:szCs w:val="24"/>
                <w:lang w:val="sv-SE"/>
              </w:rPr>
              <w:t>Tablet: 1 mg, 2 mg, 3 mg, 4 mg</w:t>
            </w:r>
          </w:p>
        </w:tc>
      </w:tr>
      <w:tr w:rsidR="00D20CB2" w:rsidRPr="00B51149" w14:paraId="23569816" w14:textId="77777777" w:rsidTr="002D6DD7">
        <w:tc>
          <w:tcPr>
            <w:tcW w:w="2695" w:type="dxa"/>
          </w:tcPr>
          <w:p w14:paraId="142D5AC1"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2AFF6872" w14:textId="77777777" w:rsidR="00D20CB2" w:rsidRPr="00B51149" w:rsidRDefault="00D20CB2" w:rsidP="002D6DD7">
            <w:pPr>
              <w:rPr>
                <w:rFonts w:cs="Times New Roman"/>
                <w:szCs w:val="24"/>
              </w:rPr>
            </w:pPr>
            <w:r>
              <w:rPr>
                <w:rFonts w:cs="Times New Roman"/>
                <w:szCs w:val="24"/>
              </w:rPr>
              <w:t>T</w:t>
            </w:r>
            <w:r w:rsidRPr="00B51149">
              <w:rPr>
                <w:rFonts w:cs="Times New Roman"/>
                <w:szCs w:val="24"/>
              </w:rPr>
              <w:t xml:space="preserve">ype 2 diabetes mellitus </w:t>
            </w:r>
          </w:p>
        </w:tc>
      </w:tr>
      <w:tr w:rsidR="00D20CB2" w:rsidRPr="00B51149" w14:paraId="133C88CE" w14:textId="77777777" w:rsidTr="002D6DD7">
        <w:tc>
          <w:tcPr>
            <w:tcW w:w="2695" w:type="dxa"/>
          </w:tcPr>
          <w:p w14:paraId="4C154016"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66485964" w14:textId="77777777" w:rsidR="00D20CB2" w:rsidRPr="00B51149" w:rsidRDefault="00D20CB2" w:rsidP="002D6DD7">
            <w:pPr>
              <w:jc w:val="both"/>
              <w:rPr>
                <w:rFonts w:cs="Times New Roman"/>
                <w:b/>
                <w:bCs/>
                <w:szCs w:val="24"/>
              </w:rPr>
            </w:pPr>
            <w:r w:rsidRPr="00B51149">
              <w:rPr>
                <w:rFonts w:cs="Times New Roman"/>
                <w:b/>
                <w:bCs/>
                <w:szCs w:val="24"/>
              </w:rPr>
              <w:t>Adult:</w:t>
            </w:r>
          </w:p>
          <w:p w14:paraId="009A4386" w14:textId="77777777" w:rsidR="00D20CB2" w:rsidRPr="00B51149" w:rsidRDefault="00D20CB2" w:rsidP="002D6DD7">
            <w:pPr>
              <w:jc w:val="both"/>
              <w:rPr>
                <w:rFonts w:cs="Times New Roman"/>
                <w:szCs w:val="24"/>
              </w:rPr>
            </w:pPr>
            <w:r w:rsidRPr="00B51149">
              <w:rPr>
                <w:rFonts w:cs="Times New Roman"/>
                <w:szCs w:val="24"/>
              </w:rPr>
              <w:t xml:space="preserve">Initial </w:t>
            </w:r>
            <w:r>
              <w:rPr>
                <w:rFonts w:cs="Times New Roman"/>
                <w:szCs w:val="24"/>
              </w:rPr>
              <w:t>d</w:t>
            </w:r>
            <w:r w:rsidRPr="00B51149">
              <w:rPr>
                <w:rFonts w:cs="Times New Roman"/>
                <w:szCs w:val="24"/>
              </w:rPr>
              <w:t>ose: 1 mg to 2 mg once daily with breakfast or the first main meal.</w:t>
            </w:r>
          </w:p>
          <w:p w14:paraId="391D1843" w14:textId="77777777" w:rsidR="00D20CB2" w:rsidRPr="00B51149" w:rsidRDefault="00D20CB2" w:rsidP="002D6DD7">
            <w:pPr>
              <w:jc w:val="both"/>
              <w:rPr>
                <w:rFonts w:cs="Times New Roman"/>
                <w:szCs w:val="24"/>
              </w:rPr>
            </w:pPr>
            <w:r w:rsidRPr="00B51149">
              <w:rPr>
                <w:rFonts w:cs="Times New Roman"/>
                <w:szCs w:val="24"/>
              </w:rPr>
              <w:t xml:space="preserve">Maintenance </w:t>
            </w:r>
            <w:r>
              <w:rPr>
                <w:rFonts w:cs="Times New Roman"/>
                <w:szCs w:val="24"/>
              </w:rPr>
              <w:t>d</w:t>
            </w:r>
            <w:r w:rsidRPr="00B51149">
              <w:rPr>
                <w:rFonts w:cs="Times New Roman"/>
                <w:szCs w:val="24"/>
              </w:rPr>
              <w:t>ose: Adjust based on blood glucose response, typically 1 mg to 4 mg once daily.</w:t>
            </w:r>
          </w:p>
          <w:p w14:paraId="2C389F1B" w14:textId="77777777" w:rsidR="00D20CB2" w:rsidRPr="00B51149" w:rsidRDefault="00D20CB2" w:rsidP="002D6DD7">
            <w:pPr>
              <w:jc w:val="both"/>
              <w:rPr>
                <w:rFonts w:cs="Times New Roman"/>
                <w:szCs w:val="24"/>
              </w:rPr>
            </w:pPr>
            <w:r w:rsidRPr="00B51149">
              <w:rPr>
                <w:rFonts w:cs="Times New Roman"/>
                <w:szCs w:val="24"/>
              </w:rPr>
              <w:t xml:space="preserve">Maximum </w:t>
            </w:r>
            <w:r>
              <w:rPr>
                <w:rFonts w:cs="Times New Roman"/>
                <w:szCs w:val="24"/>
              </w:rPr>
              <w:t>d</w:t>
            </w:r>
            <w:r w:rsidRPr="00B51149">
              <w:rPr>
                <w:rFonts w:cs="Times New Roman"/>
                <w:szCs w:val="24"/>
              </w:rPr>
              <w:t>ose: 8 mg per day.</w:t>
            </w:r>
          </w:p>
        </w:tc>
      </w:tr>
      <w:tr w:rsidR="00D20CB2" w:rsidRPr="00B51149" w14:paraId="693F10AA" w14:textId="77777777" w:rsidTr="002D6DD7">
        <w:tc>
          <w:tcPr>
            <w:tcW w:w="2695" w:type="dxa"/>
          </w:tcPr>
          <w:p w14:paraId="145910F1"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37EBB9AE" w14:textId="77777777" w:rsidR="00D20CB2" w:rsidRPr="00B51149" w:rsidRDefault="00D20CB2" w:rsidP="002D6DD7">
            <w:pPr>
              <w:jc w:val="both"/>
              <w:rPr>
                <w:rFonts w:cs="Times New Roman"/>
                <w:szCs w:val="24"/>
              </w:rPr>
            </w:pPr>
            <w:r w:rsidRPr="00B51149">
              <w:rPr>
                <w:rFonts w:cs="Times New Roman"/>
                <w:szCs w:val="24"/>
              </w:rPr>
              <w:t xml:space="preserve">Hypersensitivity to </w:t>
            </w:r>
            <w:r>
              <w:rPr>
                <w:rFonts w:cs="Times New Roman"/>
                <w:szCs w:val="24"/>
              </w:rPr>
              <w:t>the drug</w:t>
            </w:r>
            <w:r w:rsidRPr="00B51149">
              <w:rPr>
                <w:rFonts w:cs="Times New Roman"/>
                <w:szCs w:val="24"/>
              </w:rPr>
              <w:t>, other sulfonylureas or sulfonamides, insulin-dependent diabetes, ketoacidosis (with or without coma), severe renal or hepatic function disorders.</w:t>
            </w:r>
          </w:p>
        </w:tc>
      </w:tr>
      <w:tr w:rsidR="00D20CB2" w:rsidRPr="00B51149" w14:paraId="66915ECF" w14:textId="77777777" w:rsidTr="002D6DD7">
        <w:tc>
          <w:tcPr>
            <w:tcW w:w="2695" w:type="dxa"/>
          </w:tcPr>
          <w:p w14:paraId="336F3C66" w14:textId="77777777" w:rsidR="00D20CB2" w:rsidRPr="00B51149" w:rsidRDefault="00D20CB2" w:rsidP="002D6DD7">
            <w:pPr>
              <w:rPr>
                <w:rFonts w:cs="Times New Roman"/>
                <w:szCs w:val="24"/>
              </w:rPr>
            </w:pPr>
            <w:r w:rsidRPr="00B51149">
              <w:rPr>
                <w:rFonts w:cs="Times New Roman"/>
                <w:szCs w:val="24"/>
              </w:rPr>
              <w:t>Drug interactions</w:t>
            </w:r>
          </w:p>
        </w:tc>
        <w:tc>
          <w:tcPr>
            <w:tcW w:w="6321" w:type="dxa"/>
          </w:tcPr>
          <w:p w14:paraId="4D6CEB72" w14:textId="77777777" w:rsidR="00D20CB2" w:rsidRPr="00B51149" w:rsidRDefault="00D20CB2" w:rsidP="002D6DD7">
            <w:pPr>
              <w:rPr>
                <w:rFonts w:cs="Times New Roman"/>
                <w:szCs w:val="24"/>
              </w:rPr>
            </w:pPr>
            <w:r w:rsidRPr="00B51149">
              <w:rPr>
                <w:rFonts w:cs="Times New Roman"/>
                <w:szCs w:val="24"/>
              </w:rPr>
              <w:t xml:space="preserve">CYP2C8/9 inhibitors, beta blockers, chloramphenicol, </w:t>
            </w:r>
            <w:r w:rsidRPr="00B51149">
              <w:rPr>
                <w:rFonts w:cs="Times New Roman"/>
                <w:szCs w:val="24"/>
              </w:rPr>
              <w:lastRenderedPageBreak/>
              <w:t xml:space="preserve">cimetidine, fluconazole, salicylates, sulfonamides, tricyclic antidepressants, CYP2C8/9 inducers </w:t>
            </w:r>
          </w:p>
        </w:tc>
      </w:tr>
      <w:tr w:rsidR="00D20CB2" w:rsidRPr="00B51149" w14:paraId="409AC7D5" w14:textId="77777777" w:rsidTr="002D6DD7">
        <w:tc>
          <w:tcPr>
            <w:tcW w:w="2695" w:type="dxa"/>
          </w:tcPr>
          <w:p w14:paraId="71EF28B4"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lastRenderedPageBreak/>
              <w:t>Side effects</w:t>
            </w:r>
          </w:p>
        </w:tc>
        <w:tc>
          <w:tcPr>
            <w:tcW w:w="6321" w:type="dxa"/>
          </w:tcPr>
          <w:p w14:paraId="7EF964BE" w14:textId="77777777" w:rsidR="00D20CB2" w:rsidRPr="00B51149" w:rsidRDefault="00D20CB2" w:rsidP="002D6DD7">
            <w:pPr>
              <w:rPr>
                <w:rFonts w:cs="Times New Roman"/>
                <w:szCs w:val="24"/>
              </w:rPr>
            </w:pPr>
            <w:r w:rsidRPr="00B51149">
              <w:rPr>
                <w:rFonts w:cs="Times New Roman"/>
                <w:szCs w:val="24"/>
              </w:rPr>
              <w:t xml:space="preserve">Dizziness, headache, hypoglycaemia, </w:t>
            </w:r>
            <w:r>
              <w:rPr>
                <w:rFonts w:cs="Times New Roman"/>
                <w:szCs w:val="24"/>
              </w:rPr>
              <w:t>GI</w:t>
            </w:r>
            <w:r w:rsidRPr="00B51149">
              <w:rPr>
                <w:rFonts w:cs="Times New Roman"/>
                <w:szCs w:val="24"/>
              </w:rPr>
              <w:t xml:space="preserve"> discomfort, hypersensitivity vasculitis, nausea, weakness, anorexia, heartburn, vomiting.</w:t>
            </w:r>
          </w:p>
        </w:tc>
      </w:tr>
      <w:tr w:rsidR="00D20CB2" w:rsidRPr="00B51149" w14:paraId="69266906" w14:textId="77777777" w:rsidTr="002D6DD7">
        <w:tc>
          <w:tcPr>
            <w:tcW w:w="2695" w:type="dxa"/>
          </w:tcPr>
          <w:p w14:paraId="0CF10522"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155E9929" w14:textId="77777777" w:rsidR="00D20CB2" w:rsidRPr="00B51149" w:rsidRDefault="00D20CB2" w:rsidP="002D6DD7">
            <w:pPr>
              <w:rPr>
                <w:rFonts w:cs="Times New Roman"/>
                <w:bCs/>
                <w:szCs w:val="24"/>
              </w:rPr>
            </w:pPr>
            <w:r>
              <w:rPr>
                <w:rFonts w:cs="Times New Roman"/>
                <w:szCs w:val="24"/>
              </w:rPr>
              <w:t xml:space="preserve">Refer to cautions to </w:t>
            </w:r>
            <w:r w:rsidRPr="00175B15">
              <w:rPr>
                <w:rFonts w:cs="Times New Roman"/>
                <w:szCs w:val="24"/>
              </w:rPr>
              <w:t>Gliclazide</w:t>
            </w:r>
          </w:p>
        </w:tc>
      </w:tr>
      <w:tr w:rsidR="00D20CB2" w:rsidRPr="00B51149" w14:paraId="43626AB2" w14:textId="77777777" w:rsidTr="002D6DD7">
        <w:tc>
          <w:tcPr>
            <w:tcW w:w="2695" w:type="dxa"/>
          </w:tcPr>
          <w:p w14:paraId="0197EEB0"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3CAC91CE" w14:textId="77777777" w:rsidR="00D20CB2" w:rsidRPr="00B51149" w:rsidRDefault="00D20CB2" w:rsidP="002D6DD7">
            <w:pPr>
              <w:rPr>
                <w:rFonts w:cs="Times New Roman"/>
                <w:color w:val="FF0000"/>
                <w:szCs w:val="24"/>
              </w:rPr>
            </w:pPr>
            <w:r w:rsidRPr="00B51149">
              <w:rPr>
                <w:rFonts w:cs="Times New Roman"/>
                <w:szCs w:val="24"/>
                <w:shd w:val="clear" w:color="auto" w:fill="FFFFFF"/>
              </w:rPr>
              <w:t>Store below 30°</w:t>
            </w:r>
            <w:r>
              <w:rPr>
                <w:rFonts w:cs="Times New Roman"/>
                <w:szCs w:val="24"/>
                <w:shd w:val="clear" w:color="auto" w:fill="FFFFFF"/>
              </w:rPr>
              <w:t>C. Pr</w:t>
            </w:r>
            <w:r w:rsidRPr="00B51149">
              <w:rPr>
                <w:rFonts w:cs="Times New Roman"/>
                <w:szCs w:val="24"/>
                <w:shd w:val="clear" w:color="auto" w:fill="FFFFFF"/>
              </w:rPr>
              <w:t>otect from light.</w:t>
            </w:r>
          </w:p>
        </w:tc>
      </w:tr>
      <w:tr w:rsidR="00D20CB2" w:rsidRPr="00B51149" w14:paraId="7E5F9D97" w14:textId="77777777" w:rsidTr="002D6DD7">
        <w:tc>
          <w:tcPr>
            <w:tcW w:w="9016" w:type="dxa"/>
            <w:gridSpan w:val="2"/>
          </w:tcPr>
          <w:p w14:paraId="31A41252" w14:textId="77777777" w:rsidR="00D20CB2" w:rsidRPr="00B51149" w:rsidRDefault="00D20CB2" w:rsidP="002D6DD7">
            <w:pPr>
              <w:rPr>
                <w:rFonts w:cs="Times New Roman"/>
                <w:b/>
                <w:bCs/>
                <w:szCs w:val="24"/>
              </w:rPr>
            </w:pPr>
            <w:bookmarkStart w:id="144" w:name="_Toc168317005"/>
            <w:r w:rsidRPr="00B51149">
              <w:rPr>
                <w:rFonts w:cs="Times New Roman"/>
                <w:b/>
                <w:bCs/>
                <w:szCs w:val="24"/>
              </w:rPr>
              <w:t>Metformin</w:t>
            </w:r>
            <w:bookmarkEnd w:id="144"/>
          </w:p>
        </w:tc>
      </w:tr>
      <w:tr w:rsidR="00D20CB2" w:rsidRPr="00B51149" w14:paraId="73995C5A" w14:textId="77777777" w:rsidTr="002D6DD7">
        <w:tc>
          <w:tcPr>
            <w:tcW w:w="2695" w:type="dxa"/>
          </w:tcPr>
          <w:p w14:paraId="352DA6D6" w14:textId="77777777" w:rsidR="00D20CB2" w:rsidRPr="00B51149" w:rsidRDefault="00D20CB2" w:rsidP="002D6DD7">
            <w:pPr>
              <w:rPr>
                <w:rFonts w:cs="Times New Roman"/>
                <w:szCs w:val="24"/>
              </w:rPr>
            </w:pPr>
            <w:r w:rsidRPr="00B51149">
              <w:rPr>
                <w:rFonts w:cs="Times New Roman"/>
                <w:szCs w:val="24"/>
              </w:rPr>
              <w:t xml:space="preserve">Pharmacological class </w:t>
            </w:r>
          </w:p>
        </w:tc>
        <w:tc>
          <w:tcPr>
            <w:tcW w:w="6321" w:type="dxa"/>
          </w:tcPr>
          <w:p w14:paraId="336638AF" w14:textId="77777777" w:rsidR="00D20CB2" w:rsidRPr="00B51149" w:rsidRDefault="00D20CB2" w:rsidP="002D6DD7">
            <w:pPr>
              <w:rPr>
                <w:rFonts w:cs="Times New Roman"/>
                <w:szCs w:val="24"/>
              </w:rPr>
            </w:pPr>
            <w:r w:rsidRPr="00B51149">
              <w:rPr>
                <w:rFonts w:cs="Times New Roman"/>
                <w:szCs w:val="24"/>
              </w:rPr>
              <w:t>Biguanide</w:t>
            </w:r>
          </w:p>
        </w:tc>
      </w:tr>
      <w:tr w:rsidR="00D20CB2" w:rsidRPr="00B51149" w14:paraId="0709F6F7" w14:textId="77777777" w:rsidTr="002D6DD7">
        <w:tc>
          <w:tcPr>
            <w:tcW w:w="2695" w:type="dxa"/>
          </w:tcPr>
          <w:p w14:paraId="5D78CD2C" w14:textId="77777777" w:rsidR="00D20CB2" w:rsidRPr="00B51149" w:rsidRDefault="00D20CB2" w:rsidP="002D6DD7">
            <w:pPr>
              <w:rPr>
                <w:rFonts w:cs="Times New Roman"/>
                <w:szCs w:val="24"/>
              </w:rPr>
            </w:pPr>
            <w:r w:rsidRPr="00B51149">
              <w:rPr>
                <w:rFonts w:cs="Times New Roman"/>
                <w:szCs w:val="24"/>
              </w:rPr>
              <w:t>Dosage form</w:t>
            </w:r>
          </w:p>
        </w:tc>
        <w:tc>
          <w:tcPr>
            <w:tcW w:w="6321" w:type="dxa"/>
          </w:tcPr>
          <w:p w14:paraId="7E640126" w14:textId="77777777" w:rsidR="00D20CB2" w:rsidRPr="00B51149" w:rsidRDefault="00D20CB2" w:rsidP="002D6DD7">
            <w:pPr>
              <w:rPr>
                <w:rFonts w:cs="Times New Roman"/>
                <w:color w:val="000000"/>
                <w:szCs w:val="24"/>
              </w:rPr>
            </w:pPr>
            <w:r w:rsidRPr="00B51149">
              <w:rPr>
                <w:rFonts w:cs="Times New Roman"/>
                <w:color w:val="000000"/>
                <w:szCs w:val="24"/>
              </w:rPr>
              <w:t>Oral Tablet: 500 mg, 850 mg, 1000 mg</w:t>
            </w:r>
          </w:p>
          <w:p w14:paraId="5D8D0BC9" w14:textId="77777777" w:rsidR="00D20CB2" w:rsidRPr="00B51149" w:rsidRDefault="00D20CB2" w:rsidP="002D6DD7">
            <w:pPr>
              <w:rPr>
                <w:rFonts w:cs="Times New Roman"/>
                <w:szCs w:val="24"/>
              </w:rPr>
            </w:pPr>
            <w:r w:rsidRPr="00B51149">
              <w:rPr>
                <w:rFonts w:cs="Times New Roman"/>
                <w:color w:val="000000"/>
                <w:szCs w:val="24"/>
              </w:rPr>
              <w:t>Oral Extended-Release Tablet: 500 mg, 750 mg, 1000 mg</w:t>
            </w:r>
          </w:p>
        </w:tc>
      </w:tr>
      <w:tr w:rsidR="00D20CB2" w:rsidRPr="00B51149" w14:paraId="35C33077" w14:textId="77777777" w:rsidTr="002D6DD7">
        <w:tc>
          <w:tcPr>
            <w:tcW w:w="2695" w:type="dxa"/>
          </w:tcPr>
          <w:p w14:paraId="24540626" w14:textId="77777777" w:rsidR="00D20CB2" w:rsidRPr="00B51149" w:rsidRDefault="00D20CB2" w:rsidP="002D6DD7">
            <w:pPr>
              <w:rPr>
                <w:rFonts w:cs="Times New Roman"/>
                <w:szCs w:val="24"/>
              </w:rPr>
            </w:pPr>
            <w:r w:rsidRPr="00B51149">
              <w:rPr>
                <w:rFonts w:cs="Times New Roman"/>
                <w:szCs w:val="24"/>
              </w:rPr>
              <w:t>Indications</w:t>
            </w:r>
          </w:p>
        </w:tc>
        <w:tc>
          <w:tcPr>
            <w:tcW w:w="6321" w:type="dxa"/>
          </w:tcPr>
          <w:p w14:paraId="467C9DEC" w14:textId="77777777" w:rsidR="00D20CB2" w:rsidRPr="00B51149" w:rsidRDefault="00D20CB2" w:rsidP="002D6DD7">
            <w:pPr>
              <w:rPr>
                <w:rFonts w:cs="Times New Roman"/>
                <w:szCs w:val="24"/>
              </w:rPr>
            </w:pPr>
            <w:r w:rsidRPr="00B51149">
              <w:rPr>
                <w:rFonts w:cs="Times New Roman"/>
                <w:szCs w:val="24"/>
              </w:rPr>
              <w:t xml:space="preserve">Type 2 diabetes mellitus.  </w:t>
            </w:r>
          </w:p>
        </w:tc>
      </w:tr>
      <w:tr w:rsidR="00D20CB2" w:rsidRPr="00B51149" w14:paraId="466E2A15" w14:textId="77777777" w:rsidTr="002D6DD7">
        <w:tc>
          <w:tcPr>
            <w:tcW w:w="2695" w:type="dxa"/>
          </w:tcPr>
          <w:p w14:paraId="1C2714E2" w14:textId="77777777" w:rsidR="00D20CB2" w:rsidRPr="00B51149" w:rsidRDefault="00D20CB2" w:rsidP="002D6DD7">
            <w:pPr>
              <w:rPr>
                <w:rFonts w:cs="Times New Roman"/>
                <w:szCs w:val="24"/>
              </w:rPr>
            </w:pPr>
            <w:r w:rsidRPr="00B51149">
              <w:rPr>
                <w:rFonts w:cs="Times New Roman"/>
                <w:szCs w:val="24"/>
              </w:rPr>
              <w:t>Dose and administration</w:t>
            </w:r>
          </w:p>
        </w:tc>
        <w:tc>
          <w:tcPr>
            <w:tcW w:w="6321" w:type="dxa"/>
          </w:tcPr>
          <w:p w14:paraId="2258D8CD" w14:textId="77777777" w:rsidR="00D20CB2" w:rsidRPr="00B51149" w:rsidRDefault="00D20CB2" w:rsidP="002D6DD7">
            <w:pPr>
              <w:jc w:val="both"/>
              <w:rPr>
                <w:rFonts w:cs="Times New Roman"/>
                <w:b/>
                <w:bCs/>
                <w:szCs w:val="24"/>
              </w:rPr>
            </w:pPr>
            <w:r w:rsidRPr="00B51149">
              <w:rPr>
                <w:rFonts w:cs="Times New Roman"/>
                <w:b/>
                <w:bCs/>
                <w:szCs w:val="24"/>
              </w:rPr>
              <w:t>Adult:</w:t>
            </w:r>
          </w:p>
          <w:p w14:paraId="4581FAE0" w14:textId="77777777" w:rsidR="00D20CB2" w:rsidRPr="00B51149" w:rsidRDefault="00D20CB2" w:rsidP="002D6DD7">
            <w:pPr>
              <w:jc w:val="both"/>
              <w:rPr>
                <w:rFonts w:cs="Times New Roman"/>
                <w:szCs w:val="24"/>
              </w:rPr>
            </w:pPr>
            <w:r w:rsidRPr="00B51149">
              <w:rPr>
                <w:rFonts w:cs="Times New Roman"/>
                <w:szCs w:val="24"/>
              </w:rPr>
              <w:t>Immediate-Release Tablets: Start with 500 mg twice daily or 850 mg once daily with meals. Adjust to a maintenance dose of 1</w:t>
            </w:r>
            <w:r>
              <w:rPr>
                <w:rFonts w:cs="Times New Roman"/>
                <w:szCs w:val="24"/>
              </w:rPr>
              <w:t xml:space="preserve">.5 </w:t>
            </w:r>
            <w:r w:rsidRPr="00B51149">
              <w:rPr>
                <w:rFonts w:cs="Times New Roman"/>
                <w:szCs w:val="24"/>
              </w:rPr>
              <w:t>g to 2</w:t>
            </w:r>
            <w:r>
              <w:rPr>
                <w:rFonts w:cs="Times New Roman"/>
                <w:szCs w:val="24"/>
              </w:rPr>
              <w:t xml:space="preserve">.55 </w:t>
            </w:r>
            <w:r w:rsidRPr="00B51149">
              <w:rPr>
                <w:rFonts w:cs="Times New Roman"/>
                <w:szCs w:val="24"/>
              </w:rPr>
              <w:t>g per day in divided doses. Maximum dose is 2</w:t>
            </w:r>
            <w:r>
              <w:rPr>
                <w:rFonts w:cs="Times New Roman"/>
                <w:szCs w:val="24"/>
              </w:rPr>
              <w:t xml:space="preserve">.55 g </w:t>
            </w:r>
            <w:r w:rsidRPr="00B51149">
              <w:rPr>
                <w:rFonts w:cs="Times New Roman"/>
                <w:szCs w:val="24"/>
              </w:rPr>
              <w:t>per day.</w:t>
            </w:r>
          </w:p>
          <w:p w14:paraId="26824B61" w14:textId="77777777" w:rsidR="00D20CB2" w:rsidRPr="00B51149" w:rsidRDefault="00D20CB2" w:rsidP="002D6DD7">
            <w:pPr>
              <w:jc w:val="both"/>
              <w:rPr>
                <w:rFonts w:cs="Times New Roman"/>
                <w:szCs w:val="24"/>
              </w:rPr>
            </w:pPr>
            <w:r w:rsidRPr="00B51149">
              <w:rPr>
                <w:rFonts w:cs="Times New Roman"/>
                <w:szCs w:val="24"/>
              </w:rPr>
              <w:t>Extended-Release Tablets: Start with 500 mg to 1g once daily with the evening meal. Adjust to a maintenance dose of 1</w:t>
            </w:r>
            <w:r>
              <w:rPr>
                <w:rFonts w:cs="Times New Roman"/>
                <w:szCs w:val="24"/>
              </w:rPr>
              <w:t>.5 g</w:t>
            </w:r>
            <w:r w:rsidRPr="00B51149">
              <w:rPr>
                <w:rFonts w:cs="Times New Roman"/>
                <w:szCs w:val="24"/>
              </w:rPr>
              <w:t xml:space="preserve"> </w:t>
            </w:r>
            <w:r>
              <w:rPr>
                <w:rFonts w:cs="Times New Roman"/>
                <w:szCs w:val="24"/>
              </w:rPr>
              <w:t>to</w:t>
            </w:r>
            <w:r w:rsidRPr="00B51149">
              <w:rPr>
                <w:rFonts w:cs="Times New Roman"/>
                <w:szCs w:val="24"/>
              </w:rPr>
              <w:t xml:space="preserve"> 2</w:t>
            </w:r>
            <w:r>
              <w:rPr>
                <w:rFonts w:cs="Times New Roman"/>
                <w:szCs w:val="24"/>
              </w:rPr>
              <w:t xml:space="preserve"> </w:t>
            </w:r>
            <w:r w:rsidRPr="00B51149">
              <w:rPr>
                <w:rFonts w:cs="Times New Roman"/>
                <w:szCs w:val="24"/>
              </w:rPr>
              <w:t>g once daily. Maximum dose is 2</w:t>
            </w:r>
            <w:r>
              <w:rPr>
                <w:rFonts w:cs="Times New Roman"/>
                <w:szCs w:val="24"/>
              </w:rPr>
              <w:t xml:space="preserve"> </w:t>
            </w:r>
            <w:r w:rsidRPr="00B51149">
              <w:rPr>
                <w:rFonts w:cs="Times New Roman"/>
                <w:szCs w:val="24"/>
              </w:rPr>
              <w:t>g per day.</w:t>
            </w:r>
          </w:p>
          <w:p w14:paraId="6F928035" w14:textId="77777777" w:rsidR="00D20CB2" w:rsidRPr="00B51149" w:rsidRDefault="00D20CB2" w:rsidP="002D6DD7">
            <w:pPr>
              <w:jc w:val="both"/>
              <w:rPr>
                <w:rFonts w:cs="Times New Roman"/>
                <w:b/>
                <w:bCs/>
                <w:szCs w:val="24"/>
              </w:rPr>
            </w:pPr>
            <w:r w:rsidRPr="00B51149">
              <w:rPr>
                <w:rFonts w:cs="Times New Roman"/>
                <w:b/>
                <w:bCs/>
                <w:szCs w:val="24"/>
              </w:rPr>
              <w:t>Child (10 years and older):</w:t>
            </w:r>
          </w:p>
          <w:p w14:paraId="624D6564" w14:textId="77777777" w:rsidR="00D20CB2" w:rsidRPr="00B51149" w:rsidRDefault="00D20CB2" w:rsidP="002D6DD7">
            <w:pPr>
              <w:jc w:val="both"/>
              <w:rPr>
                <w:rFonts w:cs="Times New Roman"/>
                <w:szCs w:val="24"/>
              </w:rPr>
            </w:pPr>
            <w:r w:rsidRPr="00B51149">
              <w:rPr>
                <w:rFonts w:cs="Times New Roman"/>
                <w:szCs w:val="24"/>
              </w:rPr>
              <w:t>Immediate-Release Tablets: Start with 500 mg twice daily with meals. Adjust to a maintenance dose of 1</w:t>
            </w:r>
            <w:r>
              <w:rPr>
                <w:rFonts w:cs="Times New Roman"/>
                <w:szCs w:val="24"/>
              </w:rPr>
              <w:t xml:space="preserve"> </w:t>
            </w:r>
            <w:r w:rsidRPr="00B51149">
              <w:rPr>
                <w:rFonts w:cs="Times New Roman"/>
                <w:szCs w:val="24"/>
              </w:rPr>
              <w:t>g to 2</w:t>
            </w:r>
            <w:r>
              <w:rPr>
                <w:rFonts w:cs="Times New Roman"/>
                <w:szCs w:val="24"/>
              </w:rPr>
              <w:t xml:space="preserve"> </w:t>
            </w:r>
            <w:r w:rsidRPr="00B51149">
              <w:rPr>
                <w:rFonts w:cs="Times New Roman"/>
                <w:szCs w:val="24"/>
              </w:rPr>
              <w:t>g per day in divided doses. Maximum dose is 2</w:t>
            </w:r>
            <w:r>
              <w:rPr>
                <w:rFonts w:cs="Times New Roman"/>
                <w:szCs w:val="24"/>
              </w:rPr>
              <w:t xml:space="preserve"> </w:t>
            </w:r>
            <w:r w:rsidRPr="00B51149">
              <w:rPr>
                <w:rFonts w:cs="Times New Roman"/>
                <w:szCs w:val="24"/>
              </w:rPr>
              <w:t>g per day.</w:t>
            </w:r>
          </w:p>
          <w:p w14:paraId="4E379C26" w14:textId="77777777" w:rsidR="00D20CB2" w:rsidRPr="00B51149" w:rsidRDefault="00D20CB2" w:rsidP="002D6DD7">
            <w:pPr>
              <w:jc w:val="both"/>
              <w:rPr>
                <w:rFonts w:cs="Times New Roman"/>
                <w:szCs w:val="24"/>
              </w:rPr>
            </w:pPr>
            <w:r w:rsidRPr="00B51149">
              <w:rPr>
                <w:rFonts w:cs="Times New Roman"/>
                <w:szCs w:val="24"/>
              </w:rPr>
              <w:t>Extended-Release Tablets: Start with 500 mg once daily with the evening meal. Adjust based on clinical response. Maximum dose is 2</w:t>
            </w:r>
            <w:r>
              <w:rPr>
                <w:rFonts w:cs="Times New Roman"/>
                <w:szCs w:val="24"/>
              </w:rPr>
              <w:t xml:space="preserve"> </w:t>
            </w:r>
            <w:r w:rsidRPr="00B51149">
              <w:rPr>
                <w:rFonts w:cs="Times New Roman"/>
                <w:szCs w:val="24"/>
              </w:rPr>
              <w:t>g per day.</w:t>
            </w:r>
          </w:p>
        </w:tc>
      </w:tr>
      <w:tr w:rsidR="00D20CB2" w:rsidRPr="00B51149" w14:paraId="15D78520" w14:textId="77777777" w:rsidTr="002D6DD7">
        <w:tc>
          <w:tcPr>
            <w:tcW w:w="2695" w:type="dxa"/>
          </w:tcPr>
          <w:p w14:paraId="0B513E06" w14:textId="77777777" w:rsidR="00D20CB2" w:rsidRPr="00B51149" w:rsidRDefault="00D20CB2" w:rsidP="002D6DD7">
            <w:pPr>
              <w:rPr>
                <w:rFonts w:cs="Times New Roman"/>
                <w:szCs w:val="24"/>
              </w:rPr>
            </w:pPr>
            <w:r w:rsidRPr="00B51149">
              <w:rPr>
                <w:rFonts w:cs="Times New Roman"/>
                <w:szCs w:val="24"/>
              </w:rPr>
              <w:t>Contraindications</w:t>
            </w:r>
          </w:p>
        </w:tc>
        <w:tc>
          <w:tcPr>
            <w:tcW w:w="6321" w:type="dxa"/>
          </w:tcPr>
          <w:p w14:paraId="46C53037" w14:textId="77777777" w:rsidR="00D20CB2" w:rsidRPr="00B51149" w:rsidRDefault="00D20CB2" w:rsidP="002D6DD7">
            <w:pPr>
              <w:jc w:val="both"/>
              <w:rPr>
                <w:rFonts w:cs="Times New Roman"/>
                <w:szCs w:val="24"/>
              </w:rPr>
            </w:pPr>
            <w:r w:rsidRPr="00B51149">
              <w:rPr>
                <w:rFonts w:cs="Times New Roman"/>
                <w:szCs w:val="24"/>
              </w:rPr>
              <w:t xml:space="preserve">Predisposition to lactic acidosis, </w:t>
            </w:r>
            <w:r>
              <w:rPr>
                <w:rFonts w:cs="Times New Roman"/>
                <w:szCs w:val="24"/>
              </w:rPr>
              <w:t>r</w:t>
            </w:r>
            <w:r w:rsidRPr="00B51149">
              <w:rPr>
                <w:rFonts w:cs="Times New Roman"/>
                <w:szCs w:val="24"/>
              </w:rPr>
              <w:t>enal or hepatic impairment, heart failure, severe infections or trauma, dehydration, ketoacidosis, use of general anesthesia, alcohol dependence, pregnancy, use of iodine-containing X-ray contrast media.</w:t>
            </w:r>
          </w:p>
        </w:tc>
      </w:tr>
      <w:tr w:rsidR="00D20CB2" w:rsidRPr="00B51149" w14:paraId="78D9AB66" w14:textId="77777777" w:rsidTr="002D6DD7">
        <w:tc>
          <w:tcPr>
            <w:tcW w:w="2695" w:type="dxa"/>
          </w:tcPr>
          <w:p w14:paraId="081AD99F" w14:textId="77777777" w:rsidR="00D20CB2" w:rsidRPr="00B51149" w:rsidRDefault="00D20CB2" w:rsidP="002D6DD7">
            <w:pPr>
              <w:rPr>
                <w:rFonts w:cs="Times New Roman"/>
                <w:szCs w:val="24"/>
              </w:rPr>
            </w:pPr>
            <w:r w:rsidRPr="00B51149">
              <w:rPr>
                <w:rFonts w:cs="Times New Roman"/>
                <w:szCs w:val="24"/>
              </w:rPr>
              <w:lastRenderedPageBreak/>
              <w:t>Drug interactions</w:t>
            </w:r>
          </w:p>
        </w:tc>
        <w:tc>
          <w:tcPr>
            <w:tcW w:w="6321" w:type="dxa"/>
          </w:tcPr>
          <w:p w14:paraId="091B56B2" w14:textId="77777777" w:rsidR="00D20CB2" w:rsidRPr="00B51149" w:rsidRDefault="00D20CB2" w:rsidP="002D6DD7">
            <w:pPr>
              <w:rPr>
                <w:rFonts w:cs="Times New Roman"/>
                <w:szCs w:val="24"/>
              </w:rPr>
            </w:pPr>
            <w:r w:rsidRPr="00B51149">
              <w:rPr>
                <w:rFonts w:cs="Times New Roman"/>
                <w:szCs w:val="24"/>
              </w:rPr>
              <w:t>Alcohol, cimetidine, furosemide, vitamin B12</w:t>
            </w:r>
          </w:p>
        </w:tc>
      </w:tr>
      <w:tr w:rsidR="00D20CB2" w:rsidRPr="00B51149" w14:paraId="056BC611" w14:textId="77777777" w:rsidTr="002D6DD7">
        <w:tc>
          <w:tcPr>
            <w:tcW w:w="2695" w:type="dxa"/>
          </w:tcPr>
          <w:p w14:paraId="519165DC" w14:textId="77777777" w:rsidR="00D20CB2" w:rsidRPr="00B51149" w:rsidRDefault="00D20CB2" w:rsidP="002D6DD7">
            <w:pPr>
              <w:rPr>
                <w:rFonts w:cs="Times New Roman"/>
                <w:szCs w:val="24"/>
                <w:shd w:val="clear" w:color="auto" w:fill="FFFFFF"/>
              </w:rPr>
            </w:pPr>
            <w:r w:rsidRPr="00B51149">
              <w:rPr>
                <w:rFonts w:cs="Times New Roman"/>
                <w:szCs w:val="24"/>
                <w:shd w:val="clear" w:color="auto" w:fill="FFFFFF"/>
              </w:rPr>
              <w:t>Side effects</w:t>
            </w:r>
          </w:p>
        </w:tc>
        <w:tc>
          <w:tcPr>
            <w:tcW w:w="6321" w:type="dxa"/>
          </w:tcPr>
          <w:p w14:paraId="51FD81DC" w14:textId="77777777" w:rsidR="00D20CB2" w:rsidRPr="00B51149" w:rsidRDefault="00D20CB2" w:rsidP="002D6DD7">
            <w:pPr>
              <w:rPr>
                <w:rFonts w:cs="Times New Roman"/>
                <w:szCs w:val="24"/>
              </w:rPr>
            </w:pPr>
            <w:r>
              <w:rPr>
                <w:rFonts w:cs="Times New Roman"/>
                <w:szCs w:val="24"/>
              </w:rPr>
              <w:t>GI</w:t>
            </w:r>
            <w:r w:rsidRPr="00B51149">
              <w:rPr>
                <w:rFonts w:cs="Times New Roman"/>
                <w:szCs w:val="24"/>
              </w:rPr>
              <w:t xml:space="preserve"> disturbances (nausea, vomiting, diarrhea, abdominal discomfort), metallic taste, decreased appetite, decreased or malabsorption of vitamin B</w:t>
            </w:r>
            <w:r w:rsidRPr="00B51149">
              <w:rPr>
                <w:rFonts w:cs="Times New Roman"/>
                <w:szCs w:val="24"/>
                <w:vertAlign w:val="subscript"/>
              </w:rPr>
              <w:t>12</w:t>
            </w:r>
            <w:r w:rsidRPr="00B51149">
              <w:rPr>
                <w:rFonts w:cs="Times New Roman"/>
                <w:szCs w:val="24"/>
              </w:rPr>
              <w:t>, lactic acidosis (symptoms include malaise, myalgia, respiratory distress, increased somnolence, and abdominal pain)</w:t>
            </w:r>
          </w:p>
        </w:tc>
      </w:tr>
      <w:tr w:rsidR="00D20CB2" w:rsidRPr="00B51149" w14:paraId="423E6C78" w14:textId="77777777" w:rsidTr="002D6DD7">
        <w:tc>
          <w:tcPr>
            <w:tcW w:w="2695" w:type="dxa"/>
          </w:tcPr>
          <w:p w14:paraId="129A384B" w14:textId="77777777" w:rsidR="00D20CB2" w:rsidRPr="00B51149" w:rsidRDefault="00D20CB2" w:rsidP="002D6DD7">
            <w:pPr>
              <w:rPr>
                <w:rFonts w:cs="Times New Roman"/>
                <w:szCs w:val="24"/>
              </w:rPr>
            </w:pPr>
            <w:r w:rsidRPr="00B51149">
              <w:rPr>
                <w:rFonts w:cs="Times New Roman"/>
                <w:szCs w:val="24"/>
              </w:rPr>
              <w:t xml:space="preserve">Cautions </w:t>
            </w:r>
          </w:p>
        </w:tc>
        <w:tc>
          <w:tcPr>
            <w:tcW w:w="6321" w:type="dxa"/>
          </w:tcPr>
          <w:p w14:paraId="416E5EFA" w14:textId="77777777" w:rsidR="00D20CB2" w:rsidRPr="00B51149" w:rsidRDefault="00D20CB2" w:rsidP="002D6DD7">
            <w:pPr>
              <w:jc w:val="both"/>
              <w:rPr>
                <w:rFonts w:cs="Times New Roman"/>
                <w:szCs w:val="24"/>
              </w:rPr>
            </w:pPr>
            <w:r w:rsidRPr="00B51149">
              <w:rPr>
                <w:rFonts w:cs="Times New Roman"/>
                <w:szCs w:val="24"/>
              </w:rPr>
              <w:t>Renal impairment, lactic acidosis, severe infection, trauma, surgery, pregnancy, breastfeeding</w:t>
            </w:r>
          </w:p>
        </w:tc>
      </w:tr>
      <w:tr w:rsidR="00D20CB2" w:rsidRPr="00B51149" w14:paraId="66D9F966" w14:textId="77777777" w:rsidTr="002D6DD7">
        <w:tc>
          <w:tcPr>
            <w:tcW w:w="2695" w:type="dxa"/>
          </w:tcPr>
          <w:p w14:paraId="6FD414A7" w14:textId="77777777" w:rsidR="00D20CB2" w:rsidRPr="00B51149" w:rsidRDefault="00D20CB2" w:rsidP="002D6DD7">
            <w:pPr>
              <w:rPr>
                <w:rFonts w:cs="Times New Roman"/>
                <w:szCs w:val="24"/>
              </w:rPr>
            </w:pPr>
            <w:r w:rsidRPr="00B51149">
              <w:rPr>
                <w:rFonts w:cs="Times New Roman"/>
                <w:szCs w:val="24"/>
              </w:rPr>
              <w:t>Storage condition</w:t>
            </w:r>
          </w:p>
        </w:tc>
        <w:tc>
          <w:tcPr>
            <w:tcW w:w="6321" w:type="dxa"/>
          </w:tcPr>
          <w:p w14:paraId="36293B70" w14:textId="77777777" w:rsidR="00D20CB2" w:rsidRPr="00B51149" w:rsidRDefault="00D20CB2" w:rsidP="002D6DD7">
            <w:pPr>
              <w:jc w:val="both"/>
              <w:rPr>
                <w:rFonts w:cs="Times New Roman"/>
                <w:color w:val="FF0000"/>
                <w:szCs w:val="24"/>
              </w:rPr>
            </w:pPr>
            <w:r w:rsidRPr="00B51149">
              <w:rPr>
                <w:rFonts w:cs="Times New Roman"/>
                <w:szCs w:val="24"/>
              </w:rPr>
              <w:t>Store below 30°C</w:t>
            </w:r>
            <w:r>
              <w:rPr>
                <w:rFonts w:cs="Times New Roman"/>
                <w:szCs w:val="24"/>
              </w:rPr>
              <w:t>.</w:t>
            </w:r>
          </w:p>
        </w:tc>
      </w:tr>
    </w:tbl>
    <w:p w14:paraId="5341A35B" w14:textId="77777777" w:rsidR="00D20CB2" w:rsidRPr="00944B15" w:rsidRDefault="00D20CB2" w:rsidP="00D20CB2">
      <w:pPr>
        <w:spacing w:after="0"/>
        <w:jc w:val="both"/>
        <w:rPr>
          <w:rFonts w:cs="Times New Roman"/>
          <w:b/>
          <w:bCs/>
          <w:color w:val="000000"/>
          <w:szCs w:val="24"/>
          <w:lang w:val="am-ET"/>
        </w:rPr>
      </w:pPr>
    </w:p>
    <w:p w14:paraId="1824CA14" w14:textId="77777777" w:rsidR="00D20CB2" w:rsidRPr="007625AA" w:rsidRDefault="00D20CB2" w:rsidP="007625AA">
      <w:pPr>
        <w:rPr>
          <w:b/>
          <w:bCs/>
          <w:lang w:val="am-ET"/>
        </w:rPr>
      </w:pPr>
      <w:r w:rsidRPr="007625AA">
        <w:rPr>
          <w:b/>
          <w:lang w:val="am-ET"/>
        </w:rPr>
        <w:t>Insulin</w:t>
      </w:r>
    </w:p>
    <w:p w14:paraId="566929F2" w14:textId="77777777" w:rsidR="00D20CB2" w:rsidRPr="00944B15" w:rsidRDefault="00D20CB2" w:rsidP="00D20CB2">
      <w:pPr>
        <w:spacing w:after="0"/>
        <w:jc w:val="both"/>
        <w:rPr>
          <w:rFonts w:cs="Times New Roman"/>
          <w:color w:val="000000"/>
          <w:szCs w:val="24"/>
          <w:lang w:val="am-ET"/>
        </w:rPr>
      </w:pPr>
      <w:r w:rsidRPr="00944B15">
        <w:rPr>
          <w:rFonts w:cs="Times New Roman"/>
          <w:color w:val="000000"/>
          <w:szCs w:val="24"/>
          <w:lang w:val="am-ET"/>
        </w:rPr>
        <w:t>Insulin therapy is crucial for individuals with type 1 diabetes and those with advanced type 2 diabetes. Insulin preparations include short-acting, intermediate-acting, and long-acting analogues, each with specific onset and duration of action profiles. These medicines are adminstered through injections and are essential for regulating blood glucose levels, preventing hyperglycemia, and managing acute diabetic complications. Proper insulin management requires individualized dosing and regular monitoring.</w:t>
      </w:r>
    </w:p>
    <w:p w14:paraId="1B7B0A19" w14:textId="77777777" w:rsidR="00D20CB2" w:rsidRPr="00944B15" w:rsidRDefault="00D20CB2" w:rsidP="00D20CB2">
      <w:pPr>
        <w:spacing w:after="0"/>
        <w:jc w:val="both"/>
        <w:rPr>
          <w:rFonts w:cs="Times New Roman"/>
          <w:color w:val="000000"/>
          <w:szCs w:val="24"/>
          <w:lang w:val="am-ET"/>
        </w:rPr>
      </w:pPr>
    </w:p>
    <w:tbl>
      <w:tblPr>
        <w:tblStyle w:val="TableGrid"/>
        <w:tblW w:w="9355" w:type="dxa"/>
        <w:tblLook w:val="04A0" w:firstRow="1" w:lastRow="0" w:firstColumn="1" w:lastColumn="0" w:noHBand="0" w:noVBand="1"/>
      </w:tblPr>
      <w:tblGrid>
        <w:gridCol w:w="2695"/>
        <w:gridCol w:w="6660"/>
      </w:tblGrid>
      <w:tr w:rsidR="00D20CB2" w:rsidRPr="00052F5F" w14:paraId="4465BCB2" w14:textId="77777777" w:rsidTr="002D6DD7">
        <w:tc>
          <w:tcPr>
            <w:tcW w:w="9355" w:type="dxa"/>
            <w:gridSpan w:val="2"/>
          </w:tcPr>
          <w:p w14:paraId="5A3F2B1C" w14:textId="77777777" w:rsidR="00D20CB2" w:rsidRPr="00052F5F" w:rsidRDefault="00D20CB2" w:rsidP="002D6DD7">
            <w:pPr>
              <w:rPr>
                <w:rFonts w:cs="Times New Roman"/>
                <w:b/>
                <w:bCs/>
                <w:szCs w:val="24"/>
              </w:rPr>
            </w:pPr>
            <w:r w:rsidRPr="00052F5F">
              <w:rPr>
                <w:rFonts w:cs="Times New Roman"/>
                <w:b/>
                <w:bCs/>
                <w:szCs w:val="24"/>
              </w:rPr>
              <w:t>Long-acting Insulin (e.g., Insulin Glargine, Insulin Detemir)</w:t>
            </w:r>
          </w:p>
        </w:tc>
      </w:tr>
      <w:tr w:rsidR="00D20CB2" w:rsidRPr="00052F5F" w14:paraId="3B96DA83" w14:textId="77777777" w:rsidTr="002D6DD7">
        <w:tc>
          <w:tcPr>
            <w:tcW w:w="2695" w:type="dxa"/>
          </w:tcPr>
          <w:p w14:paraId="0E04C53F"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660" w:type="dxa"/>
          </w:tcPr>
          <w:p w14:paraId="680FA76C" w14:textId="77777777" w:rsidR="00D20CB2" w:rsidRPr="00052F5F" w:rsidRDefault="00D20CB2" w:rsidP="002D6DD7">
            <w:pPr>
              <w:rPr>
                <w:rFonts w:cs="Times New Roman"/>
                <w:szCs w:val="24"/>
              </w:rPr>
            </w:pPr>
            <w:r w:rsidRPr="00052F5F">
              <w:rPr>
                <w:rFonts w:cs="Times New Roman"/>
                <w:color w:val="111111"/>
                <w:szCs w:val="24"/>
                <w:shd w:val="clear" w:color="auto" w:fill="FFFFFF"/>
              </w:rPr>
              <w:t>Long-acting insulin</w:t>
            </w:r>
          </w:p>
        </w:tc>
      </w:tr>
      <w:tr w:rsidR="00D20CB2" w:rsidRPr="00052F5F" w14:paraId="3DC85585" w14:textId="77777777" w:rsidTr="002D6DD7">
        <w:tc>
          <w:tcPr>
            <w:tcW w:w="2695" w:type="dxa"/>
          </w:tcPr>
          <w:p w14:paraId="2549AC3B" w14:textId="77777777" w:rsidR="00D20CB2" w:rsidRPr="00052F5F" w:rsidRDefault="00D20CB2" w:rsidP="002D6DD7">
            <w:pPr>
              <w:rPr>
                <w:rFonts w:cs="Times New Roman"/>
                <w:szCs w:val="24"/>
              </w:rPr>
            </w:pPr>
            <w:r w:rsidRPr="00052F5F">
              <w:rPr>
                <w:rFonts w:cs="Times New Roman"/>
                <w:szCs w:val="24"/>
              </w:rPr>
              <w:t>Dosage form</w:t>
            </w:r>
          </w:p>
        </w:tc>
        <w:tc>
          <w:tcPr>
            <w:tcW w:w="6660" w:type="dxa"/>
          </w:tcPr>
          <w:p w14:paraId="166128B4" w14:textId="77777777" w:rsidR="00D20CB2" w:rsidRPr="00052F5F" w:rsidRDefault="00D20CB2" w:rsidP="002D6DD7">
            <w:pPr>
              <w:rPr>
                <w:rFonts w:cs="Times New Roman"/>
                <w:b/>
                <w:bCs/>
                <w:spacing w:val="-2"/>
                <w:szCs w:val="24"/>
              </w:rPr>
            </w:pPr>
            <w:r w:rsidRPr="00052F5F">
              <w:rPr>
                <w:rFonts w:cs="Times New Roman"/>
                <w:b/>
                <w:bCs/>
                <w:spacing w:val="-2"/>
                <w:szCs w:val="24"/>
              </w:rPr>
              <w:t>Insulin Glargine:</w:t>
            </w:r>
          </w:p>
          <w:p w14:paraId="28634FFE" w14:textId="77777777" w:rsidR="00D20CB2" w:rsidRPr="00052F5F" w:rsidRDefault="00D20CB2" w:rsidP="002D6DD7">
            <w:pPr>
              <w:rPr>
                <w:rFonts w:cs="Times New Roman"/>
                <w:spacing w:val="-2"/>
                <w:szCs w:val="24"/>
              </w:rPr>
            </w:pPr>
            <w:r w:rsidRPr="00052F5F">
              <w:rPr>
                <w:rFonts w:cs="Times New Roman"/>
                <w:spacing w:val="-2"/>
                <w:szCs w:val="24"/>
              </w:rPr>
              <w:t>Injection: 100 units/ml (U-100) in 10 ml vials, 3 ml prefilled pens</w:t>
            </w:r>
          </w:p>
          <w:p w14:paraId="05008B82" w14:textId="77777777" w:rsidR="00D20CB2" w:rsidRPr="00052F5F" w:rsidRDefault="00D20CB2" w:rsidP="002D6DD7">
            <w:pPr>
              <w:rPr>
                <w:rFonts w:cs="Times New Roman"/>
                <w:spacing w:val="-2"/>
                <w:szCs w:val="24"/>
              </w:rPr>
            </w:pPr>
            <w:r w:rsidRPr="00052F5F">
              <w:rPr>
                <w:rFonts w:cs="Times New Roman"/>
                <w:spacing w:val="-2"/>
                <w:szCs w:val="24"/>
              </w:rPr>
              <w:t>Injection: 300 units/ml (U-300) in 1.5 ml prefilled pens</w:t>
            </w:r>
          </w:p>
          <w:p w14:paraId="00F4B19A" w14:textId="77777777" w:rsidR="00D20CB2" w:rsidRPr="00052F5F" w:rsidRDefault="00D20CB2" w:rsidP="002D6DD7">
            <w:pPr>
              <w:rPr>
                <w:rFonts w:cs="Times New Roman"/>
                <w:b/>
                <w:bCs/>
                <w:spacing w:val="-2"/>
                <w:szCs w:val="24"/>
              </w:rPr>
            </w:pPr>
            <w:r w:rsidRPr="00052F5F">
              <w:rPr>
                <w:rFonts w:cs="Times New Roman"/>
                <w:b/>
                <w:bCs/>
                <w:spacing w:val="-2"/>
                <w:szCs w:val="24"/>
              </w:rPr>
              <w:t>Insulin Detemir:</w:t>
            </w:r>
          </w:p>
          <w:p w14:paraId="464E1D56" w14:textId="77777777" w:rsidR="00D20CB2" w:rsidRPr="00052F5F" w:rsidRDefault="00D20CB2" w:rsidP="002D6DD7">
            <w:pPr>
              <w:rPr>
                <w:rFonts w:cs="Times New Roman"/>
                <w:spacing w:val="-2"/>
                <w:szCs w:val="24"/>
              </w:rPr>
            </w:pPr>
            <w:r w:rsidRPr="00052F5F">
              <w:rPr>
                <w:rFonts w:cs="Times New Roman"/>
                <w:spacing w:val="-2"/>
                <w:szCs w:val="24"/>
              </w:rPr>
              <w:t>Injection: 100 units/ml (U-100) in 10 ml vials, 3 ml prefilled pens</w:t>
            </w:r>
          </w:p>
        </w:tc>
      </w:tr>
      <w:tr w:rsidR="00D20CB2" w:rsidRPr="00052F5F" w14:paraId="50A3D50D" w14:textId="77777777" w:rsidTr="002D6DD7">
        <w:tc>
          <w:tcPr>
            <w:tcW w:w="2695" w:type="dxa"/>
          </w:tcPr>
          <w:p w14:paraId="49859620" w14:textId="77777777" w:rsidR="00D20CB2" w:rsidRPr="00052F5F" w:rsidRDefault="00D20CB2" w:rsidP="002D6DD7">
            <w:pPr>
              <w:rPr>
                <w:rFonts w:cs="Times New Roman"/>
                <w:szCs w:val="24"/>
              </w:rPr>
            </w:pPr>
            <w:r w:rsidRPr="00052F5F">
              <w:rPr>
                <w:rFonts w:cs="Times New Roman"/>
                <w:szCs w:val="24"/>
              </w:rPr>
              <w:t>Indications</w:t>
            </w:r>
          </w:p>
        </w:tc>
        <w:tc>
          <w:tcPr>
            <w:tcW w:w="6660" w:type="dxa"/>
          </w:tcPr>
          <w:p w14:paraId="24DD160E" w14:textId="77777777" w:rsidR="00D20CB2" w:rsidRPr="00052F5F" w:rsidRDefault="00D20CB2" w:rsidP="002D6DD7">
            <w:pPr>
              <w:rPr>
                <w:rFonts w:cs="Times New Roman"/>
                <w:szCs w:val="24"/>
                <w:lang w:val="nb-NO"/>
              </w:rPr>
            </w:pPr>
            <w:r w:rsidRPr="00052F5F">
              <w:rPr>
                <w:rFonts w:cs="Times New Roman"/>
                <w:szCs w:val="24"/>
                <w:lang w:val="nb-NO"/>
              </w:rPr>
              <w:t xml:space="preserve">Type 1 diabetes mellitus, </w:t>
            </w:r>
            <w:r>
              <w:rPr>
                <w:rFonts w:cs="Times New Roman"/>
                <w:szCs w:val="24"/>
                <w:lang w:val="nb-NO"/>
              </w:rPr>
              <w:t>t</w:t>
            </w:r>
            <w:r w:rsidRPr="00052F5F">
              <w:rPr>
                <w:rFonts w:cs="Times New Roman"/>
                <w:szCs w:val="24"/>
                <w:lang w:val="nb-NO"/>
              </w:rPr>
              <w:t>ype 2 diabetes mellitus requiring insulin</w:t>
            </w:r>
          </w:p>
        </w:tc>
      </w:tr>
      <w:tr w:rsidR="00D20CB2" w:rsidRPr="00052F5F" w14:paraId="06D454B0" w14:textId="77777777" w:rsidTr="002D6DD7">
        <w:tc>
          <w:tcPr>
            <w:tcW w:w="2695" w:type="dxa"/>
          </w:tcPr>
          <w:p w14:paraId="383135E1" w14:textId="77777777" w:rsidR="00D20CB2" w:rsidRPr="00052F5F" w:rsidRDefault="00D20CB2" w:rsidP="002D6DD7">
            <w:pPr>
              <w:rPr>
                <w:rFonts w:cs="Times New Roman"/>
                <w:szCs w:val="24"/>
              </w:rPr>
            </w:pPr>
            <w:r w:rsidRPr="00052F5F">
              <w:rPr>
                <w:rFonts w:cs="Times New Roman"/>
                <w:szCs w:val="24"/>
              </w:rPr>
              <w:t>Dose and Administration</w:t>
            </w:r>
          </w:p>
        </w:tc>
        <w:tc>
          <w:tcPr>
            <w:tcW w:w="6660" w:type="dxa"/>
          </w:tcPr>
          <w:p w14:paraId="52ECD0A1" w14:textId="77777777" w:rsidR="00D20CB2" w:rsidRPr="00052F5F" w:rsidRDefault="00D20CB2" w:rsidP="002D6DD7">
            <w:pPr>
              <w:rPr>
                <w:rFonts w:cs="Times New Roman"/>
                <w:b/>
                <w:bCs/>
                <w:iCs/>
                <w:szCs w:val="24"/>
              </w:rPr>
            </w:pPr>
            <w:r w:rsidRPr="00052F5F">
              <w:rPr>
                <w:rFonts w:cs="Times New Roman"/>
                <w:b/>
                <w:bCs/>
                <w:iCs/>
                <w:szCs w:val="24"/>
              </w:rPr>
              <w:t>Type 1 DM</w:t>
            </w:r>
          </w:p>
          <w:p w14:paraId="620C8CCC" w14:textId="77777777" w:rsidR="00D20CB2" w:rsidRDefault="00D20CB2" w:rsidP="002D6DD7">
            <w:pPr>
              <w:rPr>
                <w:rFonts w:cs="Times New Roman"/>
                <w:iCs/>
                <w:szCs w:val="24"/>
              </w:rPr>
            </w:pPr>
            <w:r w:rsidRPr="00052F5F">
              <w:rPr>
                <w:rFonts w:cs="Times New Roman"/>
                <w:b/>
                <w:bCs/>
                <w:iCs/>
                <w:szCs w:val="24"/>
              </w:rPr>
              <w:t>Adult</w:t>
            </w:r>
            <w:r>
              <w:rPr>
                <w:rFonts w:cs="Times New Roman"/>
                <w:b/>
                <w:bCs/>
                <w:iCs/>
                <w:szCs w:val="24"/>
              </w:rPr>
              <w:t xml:space="preserve">: </w:t>
            </w:r>
            <w:r w:rsidRPr="00052F5F">
              <w:rPr>
                <w:rFonts w:cs="Times New Roman"/>
                <w:iCs/>
                <w:szCs w:val="24"/>
              </w:rPr>
              <w:t>For insulin-na</w:t>
            </w:r>
            <w:r>
              <w:rPr>
                <w:rFonts w:cs="Times New Roman"/>
                <w:iCs/>
                <w:szCs w:val="24"/>
              </w:rPr>
              <w:t>i</w:t>
            </w:r>
            <w:r w:rsidRPr="00052F5F">
              <w:rPr>
                <w:rFonts w:cs="Times New Roman"/>
                <w:iCs/>
                <w:szCs w:val="24"/>
              </w:rPr>
              <w:t xml:space="preserve">ve, SC injection: 1/3 of individual insulin requirements, of which daily insulin requirements are estimated at 0.1-0.2 units/kg. The remaining 2/3 of daily insulin dose is used on </w:t>
            </w:r>
            <w:r w:rsidRPr="00052F5F">
              <w:rPr>
                <w:rFonts w:cs="Times New Roman"/>
                <w:iCs/>
                <w:szCs w:val="24"/>
              </w:rPr>
              <w:lastRenderedPageBreak/>
              <w:t>short-acting, premeal insulin.</w:t>
            </w:r>
          </w:p>
          <w:p w14:paraId="168265EC" w14:textId="77777777" w:rsidR="00D20CB2" w:rsidRPr="00052F5F" w:rsidRDefault="00D20CB2" w:rsidP="002D6DD7">
            <w:pPr>
              <w:jc w:val="both"/>
              <w:rPr>
                <w:rFonts w:cs="Times New Roman"/>
                <w:iCs/>
                <w:szCs w:val="24"/>
              </w:rPr>
            </w:pPr>
            <w:r w:rsidRPr="00052F5F">
              <w:rPr>
                <w:rFonts w:cs="Times New Roman"/>
                <w:b/>
                <w:bCs/>
                <w:iCs/>
                <w:szCs w:val="24"/>
              </w:rPr>
              <w:t>Child &lt; 2 years:</w:t>
            </w:r>
            <w:r w:rsidRPr="00052F5F">
              <w:rPr>
                <w:rFonts w:cs="Times New Roman"/>
                <w:iCs/>
                <w:szCs w:val="24"/>
              </w:rPr>
              <w:t xml:space="preserve"> Safety and efficacy not established</w:t>
            </w:r>
          </w:p>
          <w:p w14:paraId="238CD339" w14:textId="77777777" w:rsidR="00D20CB2" w:rsidRPr="00AD3AF3" w:rsidRDefault="00D20CB2" w:rsidP="002D6DD7">
            <w:pPr>
              <w:rPr>
                <w:rFonts w:cs="Times New Roman"/>
                <w:b/>
                <w:bCs/>
                <w:szCs w:val="24"/>
              </w:rPr>
            </w:pPr>
            <w:r w:rsidRPr="00052F5F">
              <w:rPr>
                <w:rFonts w:cs="Times New Roman"/>
                <w:b/>
                <w:bCs/>
                <w:iCs/>
                <w:szCs w:val="24"/>
              </w:rPr>
              <w:t>Child 2-17 years:</w:t>
            </w:r>
            <w:r w:rsidRPr="00052F5F">
              <w:rPr>
                <w:rFonts w:cs="Times New Roman"/>
                <w:iCs/>
                <w:szCs w:val="24"/>
              </w:rPr>
              <w:t xml:space="preserve"> By SC injection, approx. 1/3 of individual insulin requirements, of which daily insulin requirements are estimated at 0.1-0.2 units/kg. The remaining 2/3 of daily insulin dose is used on short-acting, premeal insulin.</w:t>
            </w:r>
          </w:p>
          <w:p w14:paraId="6C8FE5EE" w14:textId="77777777" w:rsidR="00D20CB2" w:rsidRPr="00052F5F" w:rsidRDefault="00D20CB2" w:rsidP="002D6DD7">
            <w:pPr>
              <w:rPr>
                <w:rFonts w:cs="Times New Roman"/>
                <w:b/>
                <w:bCs/>
                <w:iCs/>
                <w:szCs w:val="24"/>
              </w:rPr>
            </w:pPr>
            <w:r w:rsidRPr="00052F5F">
              <w:rPr>
                <w:rFonts w:cs="Times New Roman"/>
                <w:b/>
                <w:bCs/>
                <w:iCs/>
                <w:szCs w:val="24"/>
              </w:rPr>
              <w:t>Type 2 diabetes mellitus:</w:t>
            </w:r>
          </w:p>
          <w:p w14:paraId="6774CC73" w14:textId="77777777" w:rsidR="00D20CB2" w:rsidRPr="00AD3AF3" w:rsidRDefault="00D20CB2" w:rsidP="002D6DD7">
            <w:pPr>
              <w:jc w:val="both"/>
              <w:rPr>
                <w:rFonts w:cs="Times New Roman"/>
                <w:iCs/>
                <w:szCs w:val="24"/>
              </w:rPr>
            </w:pPr>
            <w:r w:rsidRPr="00AD3AF3">
              <w:rPr>
                <w:rFonts w:cs="Times New Roman"/>
                <w:b/>
                <w:bCs/>
                <w:iCs/>
                <w:szCs w:val="24"/>
              </w:rPr>
              <w:t>Adult:</w:t>
            </w:r>
            <w:r>
              <w:rPr>
                <w:rFonts w:cs="Times New Roman"/>
                <w:iCs/>
                <w:szCs w:val="24"/>
              </w:rPr>
              <w:t xml:space="preserve"> </w:t>
            </w:r>
            <w:r w:rsidRPr="00052F5F">
              <w:rPr>
                <w:rFonts w:cs="Times New Roman"/>
                <w:iCs/>
                <w:szCs w:val="24"/>
              </w:rPr>
              <w:t>SC injection: 10 units or 0.1–0.2 units/kg once daily with the evening meal or divided into a twice daily regimen and titrate accordingly.</w:t>
            </w:r>
          </w:p>
        </w:tc>
      </w:tr>
      <w:tr w:rsidR="00D20CB2" w:rsidRPr="00052F5F" w14:paraId="13D24295" w14:textId="77777777" w:rsidTr="002D6DD7">
        <w:tc>
          <w:tcPr>
            <w:tcW w:w="2695" w:type="dxa"/>
          </w:tcPr>
          <w:p w14:paraId="1AC18F8C" w14:textId="77777777" w:rsidR="00D20CB2" w:rsidRPr="00052F5F" w:rsidRDefault="00D20CB2" w:rsidP="002D6DD7">
            <w:pPr>
              <w:rPr>
                <w:rFonts w:cs="Times New Roman"/>
                <w:szCs w:val="24"/>
              </w:rPr>
            </w:pPr>
            <w:r w:rsidRPr="00052F5F">
              <w:rPr>
                <w:rFonts w:cs="Times New Roman"/>
                <w:szCs w:val="24"/>
              </w:rPr>
              <w:lastRenderedPageBreak/>
              <w:t>Contraindications</w:t>
            </w:r>
          </w:p>
        </w:tc>
        <w:tc>
          <w:tcPr>
            <w:tcW w:w="6660" w:type="dxa"/>
          </w:tcPr>
          <w:p w14:paraId="0EACBCC3" w14:textId="77777777" w:rsidR="00D20CB2" w:rsidRPr="00052F5F" w:rsidRDefault="00D20CB2" w:rsidP="002D6DD7">
            <w:pPr>
              <w:rPr>
                <w:rFonts w:cs="Times New Roman"/>
                <w:szCs w:val="24"/>
              </w:rPr>
            </w:pPr>
            <w:r w:rsidRPr="00052F5F">
              <w:rPr>
                <w:rFonts w:cs="Times New Roman"/>
                <w:szCs w:val="24"/>
              </w:rPr>
              <w:t xml:space="preserve">Hypersensitivity to </w:t>
            </w:r>
            <w:r>
              <w:rPr>
                <w:rFonts w:cs="Times New Roman"/>
                <w:szCs w:val="24"/>
              </w:rPr>
              <w:t xml:space="preserve">the drug </w:t>
            </w:r>
            <w:r w:rsidRPr="00052F5F">
              <w:rPr>
                <w:rFonts w:cs="Times New Roman"/>
                <w:szCs w:val="24"/>
              </w:rPr>
              <w:t xml:space="preserve">or any of </w:t>
            </w:r>
            <w:r>
              <w:rPr>
                <w:rFonts w:cs="Times New Roman"/>
                <w:szCs w:val="24"/>
              </w:rPr>
              <w:t>long acting insulins</w:t>
            </w:r>
            <w:r w:rsidRPr="00052F5F">
              <w:rPr>
                <w:rFonts w:cs="Times New Roman"/>
                <w:szCs w:val="24"/>
              </w:rPr>
              <w:t>.</w:t>
            </w:r>
          </w:p>
        </w:tc>
      </w:tr>
      <w:tr w:rsidR="00D20CB2" w:rsidRPr="00052F5F" w14:paraId="6FE188F5" w14:textId="77777777" w:rsidTr="002D6DD7">
        <w:tc>
          <w:tcPr>
            <w:tcW w:w="2695" w:type="dxa"/>
          </w:tcPr>
          <w:p w14:paraId="04511B62" w14:textId="77777777" w:rsidR="00D20CB2" w:rsidRPr="00052F5F" w:rsidRDefault="00D20CB2" w:rsidP="002D6DD7">
            <w:pPr>
              <w:rPr>
                <w:rFonts w:cs="Times New Roman"/>
                <w:szCs w:val="24"/>
              </w:rPr>
            </w:pPr>
            <w:r w:rsidRPr="00052F5F">
              <w:rPr>
                <w:rFonts w:cs="Times New Roman"/>
                <w:szCs w:val="24"/>
              </w:rPr>
              <w:t>Drug interactions</w:t>
            </w:r>
          </w:p>
        </w:tc>
        <w:tc>
          <w:tcPr>
            <w:tcW w:w="6660" w:type="dxa"/>
          </w:tcPr>
          <w:p w14:paraId="36943C7E" w14:textId="77777777" w:rsidR="00D20CB2" w:rsidRPr="00052F5F" w:rsidRDefault="00D20CB2" w:rsidP="002D6DD7">
            <w:pPr>
              <w:rPr>
                <w:rFonts w:cs="Times New Roman"/>
                <w:szCs w:val="24"/>
              </w:rPr>
            </w:pPr>
            <w:r w:rsidRPr="00052F5F">
              <w:rPr>
                <w:rFonts w:cs="Times New Roman"/>
                <w:szCs w:val="24"/>
              </w:rPr>
              <w:t>Alcohol, beta-blockers, thiazolidinediones, corticosteroids</w:t>
            </w:r>
          </w:p>
        </w:tc>
      </w:tr>
      <w:tr w:rsidR="00D20CB2" w:rsidRPr="00052F5F" w14:paraId="154C2D52" w14:textId="77777777" w:rsidTr="002D6DD7">
        <w:tc>
          <w:tcPr>
            <w:tcW w:w="2695" w:type="dxa"/>
          </w:tcPr>
          <w:p w14:paraId="3A502161"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660" w:type="dxa"/>
          </w:tcPr>
          <w:p w14:paraId="2F1D622D" w14:textId="77777777" w:rsidR="00D20CB2" w:rsidRPr="00052F5F" w:rsidRDefault="00D20CB2" w:rsidP="002D6DD7">
            <w:pPr>
              <w:rPr>
                <w:rFonts w:cs="Times New Roman"/>
                <w:szCs w:val="24"/>
              </w:rPr>
            </w:pPr>
            <w:r w:rsidRPr="00052F5F">
              <w:rPr>
                <w:rFonts w:cs="Times New Roman"/>
                <w:szCs w:val="24"/>
              </w:rPr>
              <w:t>Hypoglycemia, injection site reactions (e.g., pain, redness, swelling), weight gain, allergic reactions (e.g., rash, itching, swelling, severe dizziness, trouble breathing).</w:t>
            </w:r>
          </w:p>
        </w:tc>
      </w:tr>
      <w:tr w:rsidR="00D20CB2" w:rsidRPr="00052F5F" w14:paraId="0F0F595C" w14:textId="77777777" w:rsidTr="002D6DD7">
        <w:tc>
          <w:tcPr>
            <w:tcW w:w="2695" w:type="dxa"/>
          </w:tcPr>
          <w:p w14:paraId="26735584" w14:textId="77777777" w:rsidR="00D20CB2" w:rsidRPr="00052F5F" w:rsidRDefault="00D20CB2" w:rsidP="002D6DD7">
            <w:pPr>
              <w:rPr>
                <w:rFonts w:cs="Times New Roman"/>
                <w:szCs w:val="24"/>
              </w:rPr>
            </w:pPr>
            <w:r w:rsidRPr="00052F5F">
              <w:rPr>
                <w:rFonts w:cs="Times New Roman"/>
                <w:szCs w:val="24"/>
              </w:rPr>
              <w:t xml:space="preserve">Cautions </w:t>
            </w:r>
          </w:p>
        </w:tc>
        <w:tc>
          <w:tcPr>
            <w:tcW w:w="6660" w:type="dxa"/>
          </w:tcPr>
          <w:p w14:paraId="31A481AB" w14:textId="77777777" w:rsidR="00D20CB2" w:rsidRPr="00052F5F" w:rsidRDefault="00D20CB2" w:rsidP="002D6DD7">
            <w:pPr>
              <w:rPr>
                <w:rFonts w:cs="Times New Roman"/>
                <w:bCs/>
                <w:szCs w:val="24"/>
              </w:rPr>
            </w:pPr>
            <w:r w:rsidRPr="00052F5F">
              <w:rPr>
                <w:rFonts w:cs="Times New Roman"/>
                <w:szCs w:val="24"/>
              </w:rPr>
              <w:t xml:space="preserve">Hypoglycemia, renal </w:t>
            </w:r>
            <w:r>
              <w:rPr>
                <w:rFonts w:cs="Times New Roman"/>
                <w:szCs w:val="24"/>
              </w:rPr>
              <w:t xml:space="preserve">impairment, </w:t>
            </w:r>
            <w:r w:rsidRPr="00052F5F">
              <w:rPr>
                <w:rFonts w:cs="Times New Roman"/>
                <w:szCs w:val="24"/>
              </w:rPr>
              <w:t>hepatic impairment, illness and stress, lipodystrophy</w:t>
            </w:r>
          </w:p>
        </w:tc>
      </w:tr>
      <w:tr w:rsidR="00D20CB2" w:rsidRPr="00052F5F" w14:paraId="3BB624E5" w14:textId="77777777" w:rsidTr="002D6DD7">
        <w:tc>
          <w:tcPr>
            <w:tcW w:w="2695" w:type="dxa"/>
          </w:tcPr>
          <w:p w14:paraId="5AE3E8E6" w14:textId="77777777" w:rsidR="00D20CB2" w:rsidRPr="00052F5F" w:rsidRDefault="00D20CB2" w:rsidP="002D6DD7">
            <w:pPr>
              <w:rPr>
                <w:rFonts w:cs="Times New Roman"/>
                <w:szCs w:val="24"/>
              </w:rPr>
            </w:pPr>
            <w:r w:rsidRPr="00052F5F">
              <w:rPr>
                <w:rFonts w:cs="Times New Roman"/>
                <w:szCs w:val="24"/>
              </w:rPr>
              <w:t>Storage condition</w:t>
            </w:r>
          </w:p>
        </w:tc>
        <w:tc>
          <w:tcPr>
            <w:tcW w:w="6660" w:type="dxa"/>
          </w:tcPr>
          <w:p w14:paraId="746AAE85" w14:textId="77777777" w:rsidR="00D20CB2" w:rsidRPr="00052F5F" w:rsidRDefault="00D20CB2" w:rsidP="002D6DD7">
            <w:pPr>
              <w:rPr>
                <w:rFonts w:cs="Times New Roman"/>
                <w:color w:val="FF0000"/>
                <w:szCs w:val="24"/>
              </w:rPr>
            </w:pPr>
            <w:r w:rsidRPr="00052F5F">
              <w:rPr>
                <w:rFonts w:cs="Times New Roman"/>
                <w:szCs w:val="24"/>
              </w:rPr>
              <w:t>Store in a refrigerator (2-8°C). Do not freeze. Once in use, can be kept at room temperature (up to 25°C) for up to 28 days.</w:t>
            </w:r>
          </w:p>
        </w:tc>
      </w:tr>
      <w:tr w:rsidR="00D20CB2" w:rsidRPr="00052F5F" w14:paraId="30687BC1" w14:textId="77777777" w:rsidTr="002D6DD7">
        <w:tc>
          <w:tcPr>
            <w:tcW w:w="9355" w:type="dxa"/>
            <w:gridSpan w:val="2"/>
          </w:tcPr>
          <w:p w14:paraId="55B23357" w14:textId="77777777" w:rsidR="00D20CB2" w:rsidRPr="00052F5F" w:rsidRDefault="00D20CB2" w:rsidP="002D6DD7">
            <w:pPr>
              <w:rPr>
                <w:rFonts w:cs="Times New Roman"/>
                <w:b/>
                <w:bCs/>
                <w:szCs w:val="24"/>
              </w:rPr>
            </w:pPr>
            <w:r w:rsidRPr="00052F5F">
              <w:rPr>
                <w:rFonts w:cs="Times New Roman"/>
                <w:b/>
                <w:bCs/>
                <w:szCs w:val="24"/>
              </w:rPr>
              <w:t>NPH Insulin (Neutral Protamine Hagedorn)</w:t>
            </w:r>
          </w:p>
        </w:tc>
      </w:tr>
      <w:tr w:rsidR="00D20CB2" w:rsidRPr="00052F5F" w14:paraId="6932BEAA" w14:textId="77777777" w:rsidTr="002D6DD7">
        <w:tc>
          <w:tcPr>
            <w:tcW w:w="2695" w:type="dxa"/>
          </w:tcPr>
          <w:p w14:paraId="33606B36"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660" w:type="dxa"/>
          </w:tcPr>
          <w:p w14:paraId="14FDD721" w14:textId="77777777" w:rsidR="00D20CB2" w:rsidRPr="00052F5F" w:rsidRDefault="00D20CB2" w:rsidP="002D6DD7">
            <w:pPr>
              <w:rPr>
                <w:rFonts w:cs="Times New Roman"/>
                <w:szCs w:val="24"/>
              </w:rPr>
            </w:pPr>
            <w:r w:rsidRPr="00052F5F">
              <w:rPr>
                <w:rFonts w:cs="Times New Roman"/>
                <w:color w:val="111111"/>
                <w:szCs w:val="24"/>
                <w:shd w:val="clear" w:color="auto" w:fill="FFFFFF"/>
              </w:rPr>
              <w:t>Intermediate-acting insulin</w:t>
            </w:r>
          </w:p>
        </w:tc>
      </w:tr>
      <w:tr w:rsidR="00D20CB2" w:rsidRPr="00052F5F" w14:paraId="7175710E" w14:textId="77777777" w:rsidTr="002D6DD7">
        <w:tc>
          <w:tcPr>
            <w:tcW w:w="2695" w:type="dxa"/>
          </w:tcPr>
          <w:p w14:paraId="5AC96A01" w14:textId="77777777" w:rsidR="00D20CB2" w:rsidRPr="00052F5F" w:rsidRDefault="00D20CB2" w:rsidP="002D6DD7">
            <w:pPr>
              <w:rPr>
                <w:rFonts w:cs="Times New Roman"/>
                <w:szCs w:val="24"/>
              </w:rPr>
            </w:pPr>
            <w:r w:rsidRPr="00052F5F">
              <w:rPr>
                <w:rFonts w:cs="Times New Roman"/>
                <w:szCs w:val="24"/>
              </w:rPr>
              <w:t>Dosage form</w:t>
            </w:r>
          </w:p>
        </w:tc>
        <w:tc>
          <w:tcPr>
            <w:tcW w:w="6660" w:type="dxa"/>
          </w:tcPr>
          <w:p w14:paraId="7BF497EE" w14:textId="77777777" w:rsidR="00D20CB2" w:rsidRPr="00052F5F" w:rsidRDefault="00D20CB2" w:rsidP="002D6DD7">
            <w:pPr>
              <w:rPr>
                <w:rFonts w:cs="Times New Roman"/>
                <w:szCs w:val="24"/>
              </w:rPr>
            </w:pPr>
            <w:r w:rsidRPr="00052F5F">
              <w:rPr>
                <w:rFonts w:cs="Times New Roman"/>
                <w:spacing w:val="-2"/>
                <w:szCs w:val="24"/>
              </w:rPr>
              <w:t>Injection: 40 IU/ml in 10 ml vial; 100 IU/ml in 10 ml vial; 100 IU/ml in 3 ml cartridge or pre-filled pen (as compound insulin zinc suspension or isophane insulin).</w:t>
            </w:r>
          </w:p>
        </w:tc>
      </w:tr>
      <w:tr w:rsidR="00D20CB2" w:rsidRPr="00052F5F" w14:paraId="760C6007" w14:textId="77777777" w:rsidTr="002D6DD7">
        <w:tc>
          <w:tcPr>
            <w:tcW w:w="2695" w:type="dxa"/>
          </w:tcPr>
          <w:p w14:paraId="417F1FFF" w14:textId="77777777" w:rsidR="00D20CB2" w:rsidRPr="00052F5F" w:rsidRDefault="00D20CB2" w:rsidP="002D6DD7">
            <w:pPr>
              <w:rPr>
                <w:rFonts w:cs="Times New Roman"/>
                <w:szCs w:val="24"/>
              </w:rPr>
            </w:pPr>
            <w:r w:rsidRPr="00052F5F">
              <w:rPr>
                <w:rFonts w:cs="Times New Roman"/>
                <w:szCs w:val="24"/>
              </w:rPr>
              <w:t>Indications</w:t>
            </w:r>
          </w:p>
        </w:tc>
        <w:tc>
          <w:tcPr>
            <w:tcW w:w="6660" w:type="dxa"/>
          </w:tcPr>
          <w:p w14:paraId="44FB417E" w14:textId="77777777" w:rsidR="00D20CB2" w:rsidRPr="00052F5F" w:rsidRDefault="00D20CB2" w:rsidP="002D6DD7">
            <w:pPr>
              <w:rPr>
                <w:rFonts w:cs="Times New Roman"/>
                <w:b/>
                <w:bCs/>
                <w:szCs w:val="24"/>
                <w:lang w:val="nb-NO"/>
              </w:rPr>
            </w:pPr>
            <w:r w:rsidRPr="00052F5F">
              <w:rPr>
                <w:rFonts w:cs="Times New Roman"/>
                <w:szCs w:val="24"/>
                <w:lang w:val="nb-NO"/>
              </w:rPr>
              <w:t>Type 1 diabetes mellitus</w:t>
            </w:r>
            <w:r>
              <w:rPr>
                <w:rFonts w:cs="Times New Roman"/>
                <w:szCs w:val="24"/>
                <w:lang w:val="nb-NO"/>
              </w:rPr>
              <w:t>, t</w:t>
            </w:r>
            <w:r w:rsidRPr="00052F5F">
              <w:rPr>
                <w:rFonts w:cs="Times New Roman"/>
                <w:szCs w:val="24"/>
                <w:lang w:val="nb-NO"/>
              </w:rPr>
              <w:t>ype 2 diabetes mellitus requiring insulin</w:t>
            </w:r>
          </w:p>
        </w:tc>
      </w:tr>
      <w:tr w:rsidR="00D20CB2" w:rsidRPr="00052F5F" w14:paraId="0785DFE9" w14:textId="77777777" w:rsidTr="002D6DD7">
        <w:tc>
          <w:tcPr>
            <w:tcW w:w="2695" w:type="dxa"/>
          </w:tcPr>
          <w:p w14:paraId="53CCE3E7" w14:textId="77777777" w:rsidR="00D20CB2" w:rsidRPr="00052F5F" w:rsidRDefault="00D20CB2" w:rsidP="002D6DD7">
            <w:pPr>
              <w:rPr>
                <w:rFonts w:cs="Times New Roman"/>
                <w:szCs w:val="24"/>
              </w:rPr>
            </w:pPr>
            <w:r w:rsidRPr="00052F5F">
              <w:rPr>
                <w:rFonts w:cs="Times New Roman"/>
                <w:szCs w:val="24"/>
              </w:rPr>
              <w:t>Dose and administration</w:t>
            </w:r>
          </w:p>
        </w:tc>
        <w:tc>
          <w:tcPr>
            <w:tcW w:w="6660" w:type="dxa"/>
          </w:tcPr>
          <w:p w14:paraId="764FFC64" w14:textId="77777777" w:rsidR="00D20CB2" w:rsidRPr="00834904" w:rsidRDefault="00D20CB2" w:rsidP="002D6DD7">
            <w:pPr>
              <w:rPr>
                <w:rFonts w:cs="Times New Roman"/>
                <w:b/>
                <w:bCs/>
                <w:szCs w:val="24"/>
              </w:rPr>
            </w:pPr>
            <w:r w:rsidRPr="00834904">
              <w:rPr>
                <w:rFonts w:cs="Times New Roman"/>
                <w:b/>
                <w:bCs/>
                <w:szCs w:val="24"/>
              </w:rPr>
              <w:t>Type 1 diabetes mellitus</w:t>
            </w:r>
          </w:p>
          <w:p w14:paraId="7592829C" w14:textId="77777777" w:rsidR="00D20CB2" w:rsidRPr="00834904" w:rsidRDefault="00D20CB2" w:rsidP="002D6DD7">
            <w:pPr>
              <w:rPr>
                <w:rFonts w:cs="Times New Roman"/>
                <w:b/>
                <w:bCs/>
                <w:szCs w:val="24"/>
              </w:rPr>
            </w:pPr>
            <w:r w:rsidRPr="00834904">
              <w:rPr>
                <w:rFonts w:cs="Times New Roman"/>
                <w:b/>
                <w:bCs/>
                <w:szCs w:val="24"/>
              </w:rPr>
              <w:t>NPH with pre-breakfast and pre-dinner regular insulin</w:t>
            </w:r>
          </w:p>
          <w:p w14:paraId="10A9854C" w14:textId="77777777" w:rsidR="00D20CB2" w:rsidRPr="00834904" w:rsidRDefault="00D20CB2" w:rsidP="002D6DD7">
            <w:pPr>
              <w:rPr>
                <w:rFonts w:cs="Times New Roman"/>
                <w:szCs w:val="24"/>
              </w:rPr>
            </w:pPr>
            <w:r w:rsidRPr="00834904">
              <w:rPr>
                <w:rFonts w:cs="Times New Roman"/>
                <w:b/>
                <w:bCs/>
                <w:szCs w:val="24"/>
              </w:rPr>
              <w:t>Adult:</w:t>
            </w:r>
            <w:r w:rsidRPr="00834904">
              <w:rPr>
                <w:rFonts w:cs="Times New Roman"/>
                <w:szCs w:val="24"/>
              </w:rPr>
              <w:t xml:space="preserve"> Mixed NPH and regular insulin (70/30; 70% NPH &amp; 30% regular insulin), administered twice daily before breakfast and before dinner.</w:t>
            </w:r>
          </w:p>
          <w:p w14:paraId="526B7A5E" w14:textId="77777777" w:rsidR="00D20CB2" w:rsidRPr="00834904" w:rsidRDefault="00D20CB2" w:rsidP="002D6DD7">
            <w:pPr>
              <w:rPr>
                <w:rFonts w:cs="Times New Roman"/>
                <w:b/>
                <w:bCs/>
                <w:szCs w:val="24"/>
              </w:rPr>
            </w:pPr>
            <w:r w:rsidRPr="00834904">
              <w:rPr>
                <w:rFonts w:cs="Times New Roman"/>
                <w:b/>
                <w:bCs/>
                <w:szCs w:val="24"/>
              </w:rPr>
              <w:t xml:space="preserve">Twice daily </w:t>
            </w:r>
            <w:r>
              <w:rPr>
                <w:rFonts w:cs="Times New Roman"/>
                <w:b/>
                <w:bCs/>
                <w:szCs w:val="24"/>
              </w:rPr>
              <w:t>NPH</w:t>
            </w:r>
            <w:r w:rsidRPr="00834904">
              <w:rPr>
                <w:rFonts w:cs="Times New Roman"/>
                <w:b/>
                <w:bCs/>
                <w:szCs w:val="24"/>
              </w:rPr>
              <w:t xml:space="preserve"> injections only</w:t>
            </w:r>
          </w:p>
          <w:p w14:paraId="0042461D" w14:textId="77777777" w:rsidR="00D20CB2" w:rsidRPr="00834904" w:rsidRDefault="00D20CB2" w:rsidP="002D6DD7">
            <w:pPr>
              <w:rPr>
                <w:rFonts w:cs="Times New Roman"/>
                <w:szCs w:val="24"/>
              </w:rPr>
            </w:pPr>
            <w:r w:rsidRPr="00834904">
              <w:rPr>
                <w:rFonts w:cs="Times New Roman"/>
                <w:b/>
                <w:bCs/>
                <w:szCs w:val="24"/>
              </w:rPr>
              <w:lastRenderedPageBreak/>
              <w:t>Adult:</w:t>
            </w:r>
            <w:r w:rsidRPr="00834904">
              <w:rPr>
                <w:rFonts w:cs="Times New Roman"/>
                <w:szCs w:val="24"/>
              </w:rPr>
              <w:t xml:space="preserve"> Administer NPH insulin before breakfast and before bedtime.</w:t>
            </w:r>
          </w:p>
          <w:p w14:paraId="09887179" w14:textId="77777777" w:rsidR="00D20CB2" w:rsidRPr="00834904" w:rsidRDefault="00D20CB2" w:rsidP="002D6DD7">
            <w:pPr>
              <w:rPr>
                <w:rFonts w:cs="Times New Roman"/>
                <w:b/>
                <w:bCs/>
                <w:szCs w:val="24"/>
              </w:rPr>
            </w:pPr>
            <w:r w:rsidRPr="00834904">
              <w:rPr>
                <w:rFonts w:cs="Times New Roman"/>
                <w:b/>
                <w:bCs/>
                <w:szCs w:val="24"/>
              </w:rPr>
              <w:t>Total insulin dose (type 1 diabetes mellitus)</w:t>
            </w:r>
          </w:p>
          <w:p w14:paraId="5275E581" w14:textId="77777777" w:rsidR="00D20CB2" w:rsidRPr="00834904" w:rsidRDefault="00D20CB2" w:rsidP="002D6DD7">
            <w:pPr>
              <w:rPr>
                <w:rFonts w:cs="Times New Roman"/>
                <w:szCs w:val="24"/>
              </w:rPr>
            </w:pPr>
            <w:r w:rsidRPr="00834904">
              <w:rPr>
                <w:rFonts w:cs="Times New Roman"/>
                <w:szCs w:val="24"/>
              </w:rPr>
              <w:t xml:space="preserve">Initiation </w:t>
            </w:r>
            <w:r>
              <w:rPr>
                <w:rFonts w:cs="Times New Roman"/>
                <w:szCs w:val="24"/>
              </w:rPr>
              <w:t>d</w:t>
            </w:r>
            <w:r w:rsidRPr="00834904">
              <w:rPr>
                <w:rFonts w:cs="Times New Roman"/>
                <w:szCs w:val="24"/>
              </w:rPr>
              <w:t>ose: 0.2 to 0.4 units/kg/day.</w:t>
            </w:r>
          </w:p>
          <w:p w14:paraId="0FF27713" w14:textId="77777777" w:rsidR="00D20CB2" w:rsidRPr="00834904" w:rsidRDefault="00D20CB2" w:rsidP="002D6DD7">
            <w:pPr>
              <w:rPr>
                <w:rFonts w:cs="Times New Roman"/>
                <w:szCs w:val="24"/>
              </w:rPr>
            </w:pPr>
            <w:r w:rsidRPr="00834904">
              <w:rPr>
                <w:rFonts w:cs="Times New Roman"/>
                <w:szCs w:val="24"/>
              </w:rPr>
              <w:t xml:space="preserve">Maintenance </w:t>
            </w:r>
            <w:r>
              <w:rPr>
                <w:rFonts w:cs="Times New Roman"/>
                <w:szCs w:val="24"/>
              </w:rPr>
              <w:t>d</w:t>
            </w:r>
            <w:r w:rsidRPr="00834904">
              <w:rPr>
                <w:rFonts w:cs="Times New Roman"/>
                <w:szCs w:val="24"/>
              </w:rPr>
              <w:t>ose: Highly variable, roughly 0.6 to 0.7 units/kg/day based on individual response and blood glucose monitoring.</w:t>
            </w:r>
          </w:p>
          <w:p w14:paraId="63CEC9B3" w14:textId="77777777" w:rsidR="00D20CB2" w:rsidRPr="00921F4A" w:rsidRDefault="00D20CB2" w:rsidP="002D6DD7">
            <w:pPr>
              <w:rPr>
                <w:rFonts w:cs="Times New Roman"/>
                <w:b/>
                <w:bCs/>
                <w:szCs w:val="24"/>
              </w:rPr>
            </w:pPr>
            <w:r w:rsidRPr="00921F4A">
              <w:rPr>
                <w:rFonts w:cs="Times New Roman"/>
                <w:b/>
                <w:bCs/>
                <w:szCs w:val="24"/>
              </w:rPr>
              <w:t>Type 2 diabetes mellitus requiring insulin</w:t>
            </w:r>
            <w:r>
              <w:rPr>
                <w:rFonts w:cs="Times New Roman"/>
                <w:b/>
                <w:bCs/>
                <w:szCs w:val="24"/>
              </w:rPr>
              <w:t xml:space="preserve"> - </w:t>
            </w:r>
            <w:r w:rsidRPr="00921F4A">
              <w:rPr>
                <w:rFonts w:cs="Times New Roman"/>
                <w:szCs w:val="24"/>
              </w:rPr>
              <w:t>dosing</w:t>
            </w:r>
            <w:r w:rsidRPr="00834904">
              <w:rPr>
                <w:rFonts w:cs="Times New Roman"/>
                <w:szCs w:val="24"/>
              </w:rPr>
              <w:t xml:space="preserve"> basal insulin in type 2 diabetes</w:t>
            </w:r>
          </w:p>
          <w:p w14:paraId="0F1CC1E8" w14:textId="77777777" w:rsidR="00D20CB2" w:rsidRPr="00834904" w:rsidRDefault="00D20CB2" w:rsidP="002D6DD7">
            <w:pPr>
              <w:rPr>
                <w:rFonts w:cs="Times New Roman"/>
                <w:b/>
                <w:bCs/>
                <w:szCs w:val="24"/>
              </w:rPr>
            </w:pPr>
            <w:r w:rsidRPr="00834904">
              <w:rPr>
                <w:rFonts w:cs="Times New Roman"/>
                <w:b/>
                <w:bCs/>
                <w:szCs w:val="24"/>
              </w:rPr>
              <w:t>As an add-on therapy to metformin</w:t>
            </w:r>
          </w:p>
          <w:p w14:paraId="5D4787A5" w14:textId="77777777" w:rsidR="00D20CB2" w:rsidRPr="00834904" w:rsidRDefault="00D20CB2" w:rsidP="002D6DD7">
            <w:pPr>
              <w:rPr>
                <w:rFonts w:cs="Times New Roman"/>
                <w:szCs w:val="24"/>
              </w:rPr>
            </w:pPr>
            <w:r w:rsidRPr="00834904">
              <w:rPr>
                <w:rFonts w:cs="Times New Roman"/>
                <w:b/>
                <w:bCs/>
                <w:szCs w:val="24"/>
              </w:rPr>
              <w:t>Adult:</w:t>
            </w:r>
            <w:r w:rsidRPr="00834904">
              <w:rPr>
                <w:rFonts w:cs="Times New Roman"/>
                <w:szCs w:val="24"/>
              </w:rPr>
              <w:t xml:space="preserve"> Starting dose of NPH 10 units at bedtime. Higher doses may be initiated for higher blood glucose levels. Adjust by increasing 2-4 units every 3-7 days based on self-monitoring of blood sugar.</w:t>
            </w:r>
          </w:p>
          <w:p w14:paraId="1C2B9EC8" w14:textId="77777777" w:rsidR="00D20CB2" w:rsidRPr="00834904" w:rsidRDefault="00D20CB2" w:rsidP="002D6DD7">
            <w:pPr>
              <w:rPr>
                <w:rFonts w:cs="Times New Roman"/>
                <w:b/>
                <w:bCs/>
                <w:szCs w:val="24"/>
              </w:rPr>
            </w:pPr>
            <w:r w:rsidRPr="00834904">
              <w:rPr>
                <w:rFonts w:cs="Times New Roman"/>
                <w:b/>
                <w:bCs/>
                <w:szCs w:val="24"/>
              </w:rPr>
              <w:t>As a replacement for oral agents</w:t>
            </w:r>
          </w:p>
          <w:p w14:paraId="50773054" w14:textId="77777777" w:rsidR="00D20CB2" w:rsidRPr="00834904" w:rsidRDefault="00D20CB2" w:rsidP="002D6DD7">
            <w:pPr>
              <w:rPr>
                <w:rFonts w:cs="Times New Roman"/>
                <w:szCs w:val="24"/>
              </w:rPr>
            </w:pPr>
            <w:r w:rsidRPr="00834904">
              <w:rPr>
                <w:rFonts w:cs="Times New Roman"/>
                <w:b/>
                <w:bCs/>
                <w:szCs w:val="24"/>
              </w:rPr>
              <w:t>Adult:</w:t>
            </w:r>
            <w:r w:rsidRPr="00834904">
              <w:rPr>
                <w:rFonts w:cs="Times New Roman"/>
                <w:szCs w:val="24"/>
              </w:rPr>
              <w:t xml:space="preserve"> Starting dose of NPH 15-20 units at bedtime. For doses exceeding 20 units, divide approximately 2/3 in the morning and 1/3 in the evening. Adjust by increasing 2-4 units every 3-7 days with self-monitoring of blood sugar.</w:t>
            </w:r>
          </w:p>
        </w:tc>
      </w:tr>
      <w:tr w:rsidR="00D20CB2" w:rsidRPr="00052F5F" w14:paraId="2E48D42A" w14:textId="77777777" w:rsidTr="002D6DD7">
        <w:tc>
          <w:tcPr>
            <w:tcW w:w="2695" w:type="dxa"/>
          </w:tcPr>
          <w:p w14:paraId="35EB9582" w14:textId="77777777" w:rsidR="00D20CB2" w:rsidRPr="00052F5F" w:rsidRDefault="00D20CB2" w:rsidP="002D6DD7">
            <w:pPr>
              <w:rPr>
                <w:rFonts w:cs="Times New Roman"/>
                <w:szCs w:val="24"/>
              </w:rPr>
            </w:pPr>
            <w:r w:rsidRPr="00052F5F">
              <w:rPr>
                <w:rFonts w:cs="Times New Roman"/>
                <w:szCs w:val="24"/>
              </w:rPr>
              <w:lastRenderedPageBreak/>
              <w:t>Contraindications</w:t>
            </w:r>
          </w:p>
        </w:tc>
        <w:tc>
          <w:tcPr>
            <w:tcW w:w="6660" w:type="dxa"/>
          </w:tcPr>
          <w:p w14:paraId="29D367FB" w14:textId="77777777" w:rsidR="00D20CB2" w:rsidRPr="00052F5F" w:rsidRDefault="00D20CB2" w:rsidP="002D6DD7">
            <w:pPr>
              <w:rPr>
                <w:rFonts w:cs="Times New Roman"/>
                <w:szCs w:val="24"/>
              </w:rPr>
            </w:pPr>
            <w:r w:rsidRPr="00052F5F">
              <w:rPr>
                <w:rFonts w:cs="Times New Roman"/>
                <w:szCs w:val="24"/>
              </w:rPr>
              <w:t xml:space="preserve">Hypersensitivity to </w:t>
            </w:r>
            <w:r>
              <w:rPr>
                <w:rFonts w:cs="Times New Roman"/>
                <w:szCs w:val="24"/>
              </w:rPr>
              <w:t>the drug</w:t>
            </w:r>
            <w:r w:rsidRPr="00052F5F">
              <w:rPr>
                <w:rFonts w:cs="Times New Roman"/>
                <w:szCs w:val="24"/>
              </w:rPr>
              <w:t xml:space="preserve"> or any of its components.</w:t>
            </w:r>
          </w:p>
        </w:tc>
      </w:tr>
      <w:tr w:rsidR="00D20CB2" w:rsidRPr="00052F5F" w14:paraId="5EFA6034" w14:textId="77777777" w:rsidTr="002D6DD7">
        <w:tc>
          <w:tcPr>
            <w:tcW w:w="2695" w:type="dxa"/>
          </w:tcPr>
          <w:p w14:paraId="3B0009C7" w14:textId="77777777" w:rsidR="00D20CB2" w:rsidRPr="00052F5F" w:rsidRDefault="00D20CB2" w:rsidP="002D6DD7">
            <w:pPr>
              <w:rPr>
                <w:rFonts w:cs="Times New Roman"/>
                <w:szCs w:val="24"/>
              </w:rPr>
            </w:pPr>
            <w:r w:rsidRPr="00052F5F">
              <w:rPr>
                <w:rFonts w:cs="Times New Roman"/>
                <w:szCs w:val="24"/>
              </w:rPr>
              <w:t>Drug interactions</w:t>
            </w:r>
          </w:p>
        </w:tc>
        <w:tc>
          <w:tcPr>
            <w:tcW w:w="6660" w:type="dxa"/>
          </w:tcPr>
          <w:p w14:paraId="0B83EBD1" w14:textId="77777777" w:rsidR="00D20CB2" w:rsidRPr="00052F5F" w:rsidRDefault="00D20CB2" w:rsidP="002D6DD7">
            <w:pPr>
              <w:rPr>
                <w:rFonts w:cs="Times New Roman"/>
                <w:szCs w:val="24"/>
              </w:rPr>
            </w:pPr>
            <w:r w:rsidRPr="00052F5F">
              <w:rPr>
                <w:rFonts w:cs="Times New Roman"/>
                <w:szCs w:val="24"/>
              </w:rPr>
              <w:t>Alcohol, beta-blockers, thiazolidinediones, corticosteroids</w:t>
            </w:r>
          </w:p>
        </w:tc>
      </w:tr>
      <w:tr w:rsidR="00D20CB2" w:rsidRPr="00052F5F" w14:paraId="2BB51E42" w14:textId="77777777" w:rsidTr="002D6DD7">
        <w:tc>
          <w:tcPr>
            <w:tcW w:w="2695" w:type="dxa"/>
          </w:tcPr>
          <w:p w14:paraId="46499C55"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660" w:type="dxa"/>
          </w:tcPr>
          <w:p w14:paraId="10FF42DF" w14:textId="77777777" w:rsidR="00D20CB2" w:rsidRPr="00052F5F" w:rsidRDefault="00D20CB2" w:rsidP="002D6DD7">
            <w:pPr>
              <w:rPr>
                <w:rFonts w:cs="Times New Roman"/>
                <w:szCs w:val="24"/>
              </w:rPr>
            </w:pPr>
            <w:r w:rsidRPr="00052F5F">
              <w:rPr>
                <w:rFonts w:cs="Times New Roman"/>
                <w:szCs w:val="24"/>
              </w:rPr>
              <w:t>Hypoglycemia, weight gain, injection site reactions, lipodystrophy, allergic reactions.</w:t>
            </w:r>
          </w:p>
        </w:tc>
      </w:tr>
      <w:tr w:rsidR="00D20CB2" w:rsidRPr="00052F5F" w14:paraId="34D37DA8" w14:textId="77777777" w:rsidTr="002D6DD7">
        <w:tc>
          <w:tcPr>
            <w:tcW w:w="2695" w:type="dxa"/>
          </w:tcPr>
          <w:p w14:paraId="5E569B1F" w14:textId="77777777" w:rsidR="00D20CB2" w:rsidRPr="00052F5F" w:rsidRDefault="00D20CB2" w:rsidP="002D6DD7">
            <w:pPr>
              <w:rPr>
                <w:rFonts w:cs="Times New Roman"/>
                <w:szCs w:val="24"/>
              </w:rPr>
            </w:pPr>
            <w:r w:rsidRPr="00052F5F">
              <w:rPr>
                <w:rFonts w:cs="Times New Roman"/>
                <w:szCs w:val="24"/>
              </w:rPr>
              <w:t xml:space="preserve">Cautions </w:t>
            </w:r>
          </w:p>
        </w:tc>
        <w:tc>
          <w:tcPr>
            <w:tcW w:w="6660" w:type="dxa"/>
          </w:tcPr>
          <w:p w14:paraId="3B89E99A" w14:textId="77777777" w:rsidR="00D20CB2" w:rsidRPr="00052F5F" w:rsidRDefault="00D20CB2" w:rsidP="002D6DD7">
            <w:pPr>
              <w:rPr>
                <w:rFonts w:cs="Times New Roman"/>
                <w:szCs w:val="24"/>
              </w:rPr>
            </w:pPr>
            <w:r w:rsidRPr="00052F5F">
              <w:rPr>
                <w:rFonts w:cs="Times New Roman"/>
                <w:szCs w:val="24"/>
              </w:rPr>
              <w:t>Severe hypoglycemia, similar injection sites</w:t>
            </w:r>
          </w:p>
        </w:tc>
      </w:tr>
      <w:tr w:rsidR="00D20CB2" w:rsidRPr="00052F5F" w14:paraId="6E96C858" w14:textId="77777777" w:rsidTr="002D6DD7">
        <w:tc>
          <w:tcPr>
            <w:tcW w:w="2695" w:type="dxa"/>
          </w:tcPr>
          <w:p w14:paraId="30885F2A" w14:textId="77777777" w:rsidR="00D20CB2" w:rsidRPr="00052F5F" w:rsidRDefault="00D20CB2" w:rsidP="002D6DD7">
            <w:pPr>
              <w:rPr>
                <w:rFonts w:cs="Times New Roman"/>
                <w:szCs w:val="24"/>
              </w:rPr>
            </w:pPr>
            <w:r w:rsidRPr="00052F5F">
              <w:rPr>
                <w:rFonts w:cs="Times New Roman"/>
                <w:szCs w:val="24"/>
              </w:rPr>
              <w:t>Storage condition</w:t>
            </w:r>
          </w:p>
        </w:tc>
        <w:tc>
          <w:tcPr>
            <w:tcW w:w="6660" w:type="dxa"/>
          </w:tcPr>
          <w:p w14:paraId="7AB78C85" w14:textId="77777777" w:rsidR="00D20CB2" w:rsidRPr="00052F5F" w:rsidRDefault="00D20CB2" w:rsidP="002D6DD7">
            <w:pPr>
              <w:rPr>
                <w:rFonts w:cs="Times New Roman"/>
                <w:color w:val="FF0000"/>
                <w:szCs w:val="24"/>
              </w:rPr>
            </w:pPr>
            <w:r w:rsidRPr="00052F5F">
              <w:rPr>
                <w:rFonts w:cs="Times New Roman"/>
                <w:szCs w:val="24"/>
              </w:rPr>
              <w:t>Store in a refrigerator (2-8°C). Do not freeze. Once in use, can be kept at room temperature (up to 25°C) for up to 28 days.</w:t>
            </w:r>
          </w:p>
        </w:tc>
      </w:tr>
      <w:tr w:rsidR="00D20CB2" w:rsidRPr="00052F5F" w14:paraId="3204814A" w14:textId="77777777" w:rsidTr="002D6DD7">
        <w:tc>
          <w:tcPr>
            <w:tcW w:w="9355" w:type="dxa"/>
            <w:gridSpan w:val="2"/>
          </w:tcPr>
          <w:p w14:paraId="2990C5E4" w14:textId="77777777" w:rsidR="00D20CB2" w:rsidRPr="00052F5F" w:rsidRDefault="00D20CB2" w:rsidP="002D6DD7">
            <w:pPr>
              <w:rPr>
                <w:rFonts w:cs="Times New Roman"/>
                <w:b/>
                <w:bCs/>
                <w:szCs w:val="24"/>
              </w:rPr>
            </w:pPr>
            <w:r w:rsidRPr="00052F5F">
              <w:rPr>
                <w:rFonts w:cs="Times New Roman"/>
                <w:b/>
                <w:bCs/>
                <w:szCs w:val="24"/>
              </w:rPr>
              <w:t>Regular insulin</w:t>
            </w:r>
          </w:p>
        </w:tc>
      </w:tr>
      <w:tr w:rsidR="00D20CB2" w:rsidRPr="00052F5F" w14:paraId="440D88DD" w14:textId="77777777" w:rsidTr="002D6DD7">
        <w:tc>
          <w:tcPr>
            <w:tcW w:w="2695" w:type="dxa"/>
          </w:tcPr>
          <w:p w14:paraId="71E0B5F8"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660" w:type="dxa"/>
          </w:tcPr>
          <w:p w14:paraId="54B1CCE0" w14:textId="77777777" w:rsidR="00D20CB2" w:rsidRPr="00052F5F" w:rsidRDefault="00D20CB2" w:rsidP="002D6DD7">
            <w:pPr>
              <w:rPr>
                <w:rFonts w:cs="Times New Roman"/>
                <w:szCs w:val="24"/>
              </w:rPr>
            </w:pPr>
            <w:r w:rsidRPr="00052F5F">
              <w:rPr>
                <w:rFonts w:cs="Times New Roman"/>
                <w:color w:val="111111"/>
                <w:szCs w:val="24"/>
                <w:shd w:val="clear" w:color="auto" w:fill="FFFFFF"/>
              </w:rPr>
              <w:t>Short-acting insulin</w:t>
            </w:r>
          </w:p>
        </w:tc>
      </w:tr>
      <w:tr w:rsidR="00D20CB2" w:rsidRPr="00052F5F" w14:paraId="0AF7BC24" w14:textId="77777777" w:rsidTr="002D6DD7">
        <w:tc>
          <w:tcPr>
            <w:tcW w:w="2695" w:type="dxa"/>
          </w:tcPr>
          <w:p w14:paraId="564857CE" w14:textId="77777777" w:rsidR="00D20CB2" w:rsidRPr="00052F5F" w:rsidRDefault="00D20CB2" w:rsidP="002D6DD7">
            <w:pPr>
              <w:rPr>
                <w:rFonts w:cs="Times New Roman"/>
                <w:szCs w:val="24"/>
              </w:rPr>
            </w:pPr>
            <w:r w:rsidRPr="00052F5F">
              <w:rPr>
                <w:rFonts w:cs="Times New Roman"/>
                <w:szCs w:val="24"/>
              </w:rPr>
              <w:t>Dosage form</w:t>
            </w:r>
          </w:p>
        </w:tc>
        <w:tc>
          <w:tcPr>
            <w:tcW w:w="6660" w:type="dxa"/>
          </w:tcPr>
          <w:p w14:paraId="305D6BA7" w14:textId="77777777" w:rsidR="00D20CB2" w:rsidRPr="00052F5F" w:rsidRDefault="00D20CB2" w:rsidP="002D6DD7">
            <w:pPr>
              <w:rPr>
                <w:rFonts w:cs="Times New Roman"/>
                <w:szCs w:val="24"/>
              </w:rPr>
            </w:pPr>
            <w:r w:rsidRPr="00052F5F">
              <w:rPr>
                <w:rFonts w:cs="Times New Roman"/>
                <w:spacing w:val="-2"/>
                <w:szCs w:val="24"/>
              </w:rPr>
              <w:t>Injection: 40 IU/ml in 10 ml vial; 100 IU/ml in 10 ml vial; 100 IU/ml in 3 ml cartridge or pre-filled pen.</w:t>
            </w:r>
          </w:p>
        </w:tc>
      </w:tr>
      <w:tr w:rsidR="00D20CB2" w:rsidRPr="00052F5F" w14:paraId="765D7003" w14:textId="77777777" w:rsidTr="002D6DD7">
        <w:tc>
          <w:tcPr>
            <w:tcW w:w="2695" w:type="dxa"/>
          </w:tcPr>
          <w:p w14:paraId="5CF955B7" w14:textId="77777777" w:rsidR="00D20CB2" w:rsidRPr="00052F5F" w:rsidRDefault="00D20CB2" w:rsidP="002D6DD7">
            <w:pPr>
              <w:rPr>
                <w:rFonts w:cs="Times New Roman"/>
                <w:szCs w:val="24"/>
              </w:rPr>
            </w:pPr>
            <w:r w:rsidRPr="00052F5F">
              <w:rPr>
                <w:rFonts w:cs="Times New Roman"/>
                <w:szCs w:val="24"/>
              </w:rPr>
              <w:t>Indications</w:t>
            </w:r>
          </w:p>
        </w:tc>
        <w:tc>
          <w:tcPr>
            <w:tcW w:w="6660" w:type="dxa"/>
          </w:tcPr>
          <w:p w14:paraId="645A46DD" w14:textId="77777777" w:rsidR="00D20CB2" w:rsidRPr="00052F5F" w:rsidRDefault="00D20CB2" w:rsidP="002D6DD7">
            <w:pPr>
              <w:rPr>
                <w:rFonts w:cs="Times New Roman"/>
                <w:b/>
                <w:bCs/>
                <w:szCs w:val="24"/>
              </w:rPr>
            </w:pPr>
            <w:r w:rsidRPr="00052F5F">
              <w:rPr>
                <w:rFonts w:cs="Times New Roman"/>
                <w:szCs w:val="24"/>
              </w:rPr>
              <w:t xml:space="preserve">Type 1 diabetes mellitus, type 2 diabetes mellitus requiring insulin, </w:t>
            </w:r>
            <w:r w:rsidRPr="00052F5F">
              <w:rPr>
                <w:rFonts w:cs="Times New Roman"/>
                <w:szCs w:val="24"/>
              </w:rPr>
              <w:lastRenderedPageBreak/>
              <w:t>diabetic Ketoacidosis (DKA) and Hyperglycaemic Hyperosmolar State (HHS)</w:t>
            </w:r>
          </w:p>
        </w:tc>
      </w:tr>
      <w:tr w:rsidR="00D20CB2" w:rsidRPr="00052F5F" w14:paraId="2BE8A402" w14:textId="77777777" w:rsidTr="002D6DD7">
        <w:tc>
          <w:tcPr>
            <w:tcW w:w="2695" w:type="dxa"/>
          </w:tcPr>
          <w:p w14:paraId="799F1A39" w14:textId="77777777" w:rsidR="00D20CB2" w:rsidRPr="00052F5F" w:rsidRDefault="00D20CB2" w:rsidP="002D6DD7">
            <w:pPr>
              <w:rPr>
                <w:rFonts w:cs="Times New Roman"/>
                <w:szCs w:val="24"/>
              </w:rPr>
            </w:pPr>
            <w:r w:rsidRPr="00052F5F">
              <w:rPr>
                <w:rFonts w:cs="Times New Roman"/>
                <w:szCs w:val="24"/>
              </w:rPr>
              <w:lastRenderedPageBreak/>
              <w:t>Dose and administration</w:t>
            </w:r>
          </w:p>
        </w:tc>
        <w:tc>
          <w:tcPr>
            <w:tcW w:w="6660" w:type="dxa"/>
          </w:tcPr>
          <w:p w14:paraId="67BDF5B7" w14:textId="77777777" w:rsidR="00D20CB2" w:rsidRPr="0025560D" w:rsidRDefault="00D20CB2" w:rsidP="002D6DD7">
            <w:pPr>
              <w:rPr>
                <w:rFonts w:cs="Times New Roman"/>
                <w:b/>
                <w:bCs/>
                <w:szCs w:val="24"/>
              </w:rPr>
            </w:pPr>
            <w:r w:rsidRPr="0025560D">
              <w:rPr>
                <w:rFonts w:cs="Times New Roman"/>
                <w:b/>
                <w:bCs/>
                <w:szCs w:val="24"/>
              </w:rPr>
              <w:t>Type 1 diabetes mellitus</w:t>
            </w:r>
            <w:r w:rsidR="007625AA">
              <w:rPr>
                <w:rFonts w:cs="Times New Roman"/>
                <w:b/>
                <w:bCs/>
                <w:szCs w:val="24"/>
              </w:rPr>
              <w:t>:</w:t>
            </w:r>
          </w:p>
          <w:p w14:paraId="7D8854CE" w14:textId="77777777" w:rsidR="00D20CB2" w:rsidRPr="0025560D" w:rsidRDefault="00D20CB2" w:rsidP="002D6DD7">
            <w:pPr>
              <w:rPr>
                <w:rFonts w:cs="Times New Roman"/>
                <w:szCs w:val="24"/>
              </w:rPr>
            </w:pPr>
            <w:r w:rsidRPr="0025560D">
              <w:rPr>
                <w:rFonts w:cs="Times New Roman"/>
                <w:szCs w:val="24"/>
              </w:rPr>
              <w:t>NPH with premeal regular insulin</w:t>
            </w:r>
          </w:p>
          <w:p w14:paraId="722A4F2E" w14:textId="77777777" w:rsidR="00D20CB2" w:rsidRPr="0025560D" w:rsidRDefault="00D20CB2" w:rsidP="002D6DD7">
            <w:pPr>
              <w:rPr>
                <w:rFonts w:cs="Times New Roman"/>
                <w:szCs w:val="24"/>
              </w:rPr>
            </w:pPr>
            <w:r w:rsidRPr="0025560D">
              <w:rPr>
                <w:rFonts w:cs="Times New Roman"/>
                <w:b/>
                <w:bCs/>
                <w:szCs w:val="24"/>
              </w:rPr>
              <w:t>Adult:</w:t>
            </w:r>
            <w:r w:rsidRPr="0025560D">
              <w:rPr>
                <w:rFonts w:cs="Times New Roman"/>
                <w:szCs w:val="24"/>
              </w:rPr>
              <w:t xml:space="preserve"> NPH before breakfast and at bedtime, plus regular insulin three times daily before breakfast, lunch, and dinner.</w:t>
            </w:r>
          </w:p>
          <w:p w14:paraId="5C2C8AB9" w14:textId="77777777" w:rsidR="00D20CB2" w:rsidRPr="0025560D" w:rsidRDefault="00D20CB2" w:rsidP="002D6DD7">
            <w:pPr>
              <w:rPr>
                <w:rFonts w:cs="Times New Roman"/>
                <w:b/>
                <w:bCs/>
                <w:szCs w:val="24"/>
              </w:rPr>
            </w:pPr>
            <w:r w:rsidRPr="0025560D">
              <w:rPr>
                <w:rFonts w:cs="Times New Roman"/>
                <w:b/>
                <w:bCs/>
                <w:szCs w:val="24"/>
              </w:rPr>
              <w:t>Type 2 diabetes mellitus requiring insulin</w:t>
            </w:r>
            <w:r w:rsidR="007625AA">
              <w:rPr>
                <w:rFonts w:cs="Times New Roman"/>
                <w:b/>
                <w:bCs/>
                <w:szCs w:val="24"/>
              </w:rPr>
              <w:t>:</w:t>
            </w:r>
          </w:p>
          <w:p w14:paraId="33D2D484" w14:textId="77777777" w:rsidR="00D20CB2" w:rsidRPr="0025560D" w:rsidRDefault="00D20CB2" w:rsidP="002D6DD7">
            <w:pPr>
              <w:rPr>
                <w:rFonts w:cs="Times New Roman"/>
                <w:szCs w:val="24"/>
              </w:rPr>
            </w:pPr>
            <w:r w:rsidRPr="0025560D">
              <w:rPr>
                <w:rFonts w:cs="Times New Roman"/>
                <w:szCs w:val="24"/>
              </w:rPr>
              <w:t>Dosing prandial regular insulin</w:t>
            </w:r>
          </w:p>
          <w:p w14:paraId="3A2FA8B7" w14:textId="77777777" w:rsidR="00D20CB2" w:rsidRPr="0025560D" w:rsidRDefault="00D20CB2" w:rsidP="002D6DD7">
            <w:pPr>
              <w:rPr>
                <w:rFonts w:cs="Times New Roman"/>
                <w:szCs w:val="24"/>
              </w:rPr>
            </w:pPr>
            <w:r w:rsidRPr="0025560D">
              <w:rPr>
                <w:rFonts w:cs="Times New Roman"/>
                <w:szCs w:val="24"/>
              </w:rPr>
              <w:t xml:space="preserve">Starting </w:t>
            </w:r>
            <w:r>
              <w:rPr>
                <w:rFonts w:cs="Times New Roman"/>
                <w:szCs w:val="24"/>
              </w:rPr>
              <w:t>d</w:t>
            </w:r>
            <w:r w:rsidRPr="0025560D">
              <w:rPr>
                <w:rFonts w:cs="Times New Roman"/>
                <w:szCs w:val="24"/>
              </w:rPr>
              <w:t>ose: Regular insulin 4 units before the largest meal of the day.</w:t>
            </w:r>
          </w:p>
          <w:p w14:paraId="51684960" w14:textId="77777777" w:rsidR="00D20CB2" w:rsidRPr="0025560D" w:rsidRDefault="00D20CB2" w:rsidP="002D6DD7">
            <w:pPr>
              <w:rPr>
                <w:rFonts w:cs="Times New Roman"/>
                <w:szCs w:val="24"/>
              </w:rPr>
            </w:pPr>
            <w:r w:rsidRPr="0025560D">
              <w:rPr>
                <w:rFonts w:cs="Times New Roman"/>
                <w:szCs w:val="24"/>
              </w:rPr>
              <w:t xml:space="preserve">Dose </w:t>
            </w:r>
            <w:r>
              <w:rPr>
                <w:rFonts w:cs="Times New Roman"/>
                <w:szCs w:val="24"/>
              </w:rPr>
              <w:t>i</w:t>
            </w:r>
            <w:r w:rsidRPr="0025560D">
              <w:rPr>
                <w:rFonts w:cs="Times New Roman"/>
                <w:szCs w:val="24"/>
              </w:rPr>
              <w:t>ncrement: Increase by 1-2 units every 2-3 days based on self-monitoring of the next pre-meal blood glucose.</w:t>
            </w:r>
          </w:p>
          <w:p w14:paraId="28D3BA00" w14:textId="77777777" w:rsidR="00D20CB2" w:rsidRPr="0025560D" w:rsidRDefault="00D20CB2" w:rsidP="002D6DD7">
            <w:pPr>
              <w:rPr>
                <w:rFonts w:cs="Times New Roman"/>
                <w:b/>
                <w:bCs/>
                <w:szCs w:val="24"/>
              </w:rPr>
            </w:pPr>
            <w:r w:rsidRPr="0025560D">
              <w:rPr>
                <w:rFonts w:cs="Times New Roman"/>
                <w:b/>
                <w:bCs/>
                <w:szCs w:val="24"/>
              </w:rPr>
              <w:t>Diabetic Ketoacidosis (DKA) and Hyperglycaemic Hyperosmolar State (HHS)</w:t>
            </w:r>
          </w:p>
          <w:p w14:paraId="5D934879" w14:textId="77777777" w:rsidR="00D20CB2" w:rsidRPr="0025560D" w:rsidRDefault="00D20CB2" w:rsidP="002D6DD7">
            <w:pPr>
              <w:rPr>
                <w:rFonts w:cs="Times New Roman"/>
                <w:szCs w:val="24"/>
              </w:rPr>
            </w:pPr>
            <w:r w:rsidRPr="0025560D">
              <w:rPr>
                <w:rFonts w:cs="Times New Roman"/>
                <w:szCs w:val="24"/>
              </w:rPr>
              <w:t xml:space="preserve">Initial </w:t>
            </w:r>
            <w:r>
              <w:rPr>
                <w:rFonts w:cs="Times New Roman"/>
                <w:szCs w:val="24"/>
              </w:rPr>
              <w:t>d</w:t>
            </w:r>
            <w:r w:rsidRPr="0025560D">
              <w:rPr>
                <w:rFonts w:cs="Times New Roman"/>
                <w:szCs w:val="24"/>
              </w:rPr>
              <w:t>ose: 10 units IV and 10 units IM, stat.</w:t>
            </w:r>
          </w:p>
          <w:p w14:paraId="765025D1" w14:textId="77777777" w:rsidR="00D20CB2" w:rsidRPr="0025560D" w:rsidRDefault="00D20CB2" w:rsidP="002D6DD7">
            <w:pPr>
              <w:rPr>
                <w:rFonts w:cs="Times New Roman"/>
                <w:szCs w:val="24"/>
              </w:rPr>
            </w:pPr>
            <w:r w:rsidRPr="0025560D">
              <w:rPr>
                <w:rFonts w:cs="Times New Roman"/>
                <w:szCs w:val="24"/>
              </w:rPr>
              <w:t xml:space="preserve">Continuous </w:t>
            </w:r>
            <w:r>
              <w:rPr>
                <w:rFonts w:cs="Times New Roman"/>
                <w:szCs w:val="24"/>
              </w:rPr>
              <w:t>i</w:t>
            </w:r>
            <w:r w:rsidRPr="0025560D">
              <w:rPr>
                <w:rFonts w:cs="Times New Roman"/>
                <w:szCs w:val="24"/>
              </w:rPr>
              <w:t>nfusion (if available): 0.1 units/kg per hour by continuous IV infusion.</w:t>
            </w:r>
          </w:p>
          <w:p w14:paraId="7BC7B749" w14:textId="77777777" w:rsidR="00D20CB2" w:rsidRPr="0025560D" w:rsidRDefault="00D20CB2" w:rsidP="002D6DD7">
            <w:pPr>
              <w:rPr>
                <w:rFonts w:cs="Times New Roman"/>
                <w:szCs w:val="24"/>
              </w:rPr>
            </w:pPr>
            <w:r w:rsidRPr="0025560D">
              <w:rPr>
                <w:rFonts w:cs="Times New Roman"/>
                <w:szCs w:val="24"/>
              </w:rPr>
              <w:t xml:space="preserve">Without </w:t>
            </w:r>
            <w:r>
              <w:rPr>
                <w:rFonts w:cs="Times New Roman"/>
                <w:szCs w:val="24"/>
              </w:rPr>
              <w:t>c</w:t>
            </w:r>
            <w:r w:rsidRPr="0025560D">
              <w:rPr>
                <w:rFonts w:cs="Times New Roman"/>
                <w:szCs w:val="24"/>
              </w:rPr>
              <w:t xml:space="preserve">ontinuous </w:t>
            </w:r>
            <w:r>
              <w:rPr>
                <w:rFonts w:cs="Times New Roman"/>
                <w:szCs w:val="24"/>
              </w:rPr>
              <w:t>i</w:t>
            </w:r>
            <w:r w:rsidRPr="0025560D">
              <w:rPr>
                <w:rFonts w:cs="Times New Roman"/>
                <w:szCs w:val="24"/>
              </w:rPr>
              <w:t>nfusion: 5 units IM every hour.</w:t>
            </w:r>
          </w:p>
          <w:p w14:paraId="37CF6F2B" w14:textId="77777777" w:rsidR="00D20CB2" w:rsidRPr="0025560D" w:rsidRDefault="00D20CB2" w:rsidP="002D6DD7">
            <w:pPr>
              <w:rPr>
                <w:rFonts w:cs="Times New Roman"/>
                <w:szCs w:val="24"/>
              </w:rPr>
            </w:pPr>
            <w:r w:rsidRPr="0025560D">
              <w:rPr>
                <w:rFonts w:cs="Times New Roman"/>
                <w:szCs w:val="24"/>
              </w:rPr>
              <w:t xml:space="preserve">Transition to </w:t>
            </w:r>
            <w:r>
              <w:rPr>
                <w:rFonts w:cs="Times New Roman"/>
                <w:szCs w:val="24"/>
              </w:rPr>
              <w:t>SC</w:t>
            </w:r>
            <w:r w:rsidRPr="0025560D">
              <w:rPr>
                <w:rFonts w:cs="Times New Roman"/>
                <w:szCs w:val="24"/>
              </w:rPr>
              <w:t xml:space="preserve"> </w:t>
            </w:r>
            <w:r>
              <w:rPr>
                <w:rFonts w:cs="Times New Roman"/>
                <w:szCs w:val="24"/>
              </w:rPr>
              <w:t>i</w:t>
            </w:r>
            <w:r w:rsidRPr="0025560D">
              <w:rPr>
                <w:rFonts w:cs="Times New Roman"/>
                <w:szCs w:val="24"/>
              </w:rPr>
              <w:t>nsulin: Once the patient can take oral feeding and acidosis has improved, reduce regular insulin to 2-3 units hourly (or 5 units every 2 hours), or reduce continuous infusion to 0.05 units/kg per hour.</w:t>
            </w:r>
          </w:p>
        </w:tc>
      </w:tr>
      <w:tr w:rsidR="00D20CB2" w:rsidRPr="00052F5F" w14:paraId="04D5B2EA" w14:textId="77777777" w:rsidTr="002D6DD7">
        <w:tc>
          <w:tcPr>
            <w:tcW w:w="2695" w:type="dxa"/>
          </w:tcPr>
          <w:p w14:paraId="16E89CF9" w14:textId="77777777" w:rsidR="00D20CB2" w:rsidRPr="00052F5F" w:rsidRDefault="00D20CB2" w:rsidP="002D6DD7">
            <w:pPr>
              <w:rPr>
                <w:rFonts w:cs="Times New Roman"/>
                <w:szCs w:val="24"/>
              </w:rPr>
            </w:pPr>
            <w:r w:rsidRPr="00052F5F">
              <w:rPr>
                <w:rFonts w:cs="Times New Roman"/>
                <w:szCs w:val="24"/>
              </w:rPr>
              <w:t>Contraindications</w:t>
            </w:r>
          </w:p>
        </w:tc>
        <w:tc>
          <w:tcPr>
            <w:tcW w:w="6660" w:type="dxa"/>
          </w:tcPr>
          <w:p w14:paraId="74DAB16E" w14:textId="77777777" w:rsidR="00D20CB2" w:rsidRPr="00052F5F" w:rsidRDefault="00D20CB2" w:rsidP="002D6DD7">
            <w:pPr>
              <w:rPr>
                <w:rFonts w:cs="Times New Roman"/>
                <w:szCs w:val="24"/>
              </w:rPr>
            </w:pPr>
            <w:r w:rsidRPr="00052F5F">
              <w:rPr>
                <w:rFonts w:cs="Times New Roman"/>
                <w:szCs w:val="24"/>
              </w:rPr>
              <w:t xml:space="preserve">Hypersensitivity to </w:t>
            </w:r>
            <w:r>
              <w:rPr>
                <w:rFonts w:cs="Times New Roman"/>
                <w:szCs w:val="24"/>
              </w:rPr>
              <w:t>the drug</w:t>
            </w:r>
            <w:r w:rsidRPr="00052F5F">
              <w:rPr>
                <w:rFonts w:cs="Times New Roman"/>
                <w:szCs w:val="24"/>
              </w:rPr>
              <w:t>.</w:t>
            </w:r>
          </w:p>
        </w:tc>
      </w:tr>
      <w:tr w:rsidR="00D20CB2" w:rsidRPr="00052F5F" w14:paraId="4224C0FB" w14:textId="77777777" w:rsidTr="002D6DD7">
        <w:tc>
          <w:tcPr>
            <w:tcW w:w="2695" w:type="dxa"/>
          </w:tcPr>
          <w:p w14:paraId="153D687E" w14:textId="77777777" w:rsidR="00D20CB2" w:rsidRPr="00052F5F" w:rsidRDefault="00D20CB2" w:rsidP="002D6DD7">
            <w:pPr>
              <w:rPr>
                <w:rFonts w:cs="Times New Roman"/>
                <w:szCs w:val="24"/>
              </w:rPr>
            </w:pPr>
            <w:r w:rsidRPr="00052F5F">
              <w:rPr>
                <w:rFonts w:cs="Times New Roman"/>
                <w:szCs w:val="24"/>
              </w:rPr>
              <w:t>Drug interactions</w:t>
            </w:r>
          </w:p>
        </w:tc>
        <w:tc>
          <w:tcPr>
            <w:tcW w:w="6660" w:type="dxa"/>
          </w:tcPr>
          <w:p w14:paraId="6FDE6710" w14:textId="77777777" w:rsidR="00D20CB2" w:rsidRPr="00052F5F" w:rsidRDefault="00D20CB2" w:rsidP="002D6DD7">
            <w:pPr>
              <w:rPr>
                <w:rFonts w:cs="Times New Roman"/>
                <w:szCs w:val="24"/>
              </w:rPr>
            </w:pPr>
            <w:r w:rsidRPr="00052F5F">
              <w:rPr>
                <w:rFonts w:cs="Times New Roman"/>
                <w:szCs w:val="24"/>
              </w:rPr>
              <w:t>Alcohol, beta-blockers, thiazolidinediones, corticosteroids</w:t>
            </w:r>
          </w:p>
        </w:tc>
      </w:tr>
      <w:tr w:rsidR="00D20CB2" w:rsidRPr="00052F5F" w14:paraId="06F7CF2E" w14:textId="77777777" w:rsidTr="002D6DD7">
        <w:tc>
          <w:tcPr>
            <w:tcW w:w="2695" w:type="dxa"/>
          </w:tcPr>
          <w:p w14:paraId="170C33E1"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660" w:type="dxa"/>
          </w:tcPr>
          <w:p w14:paraId="4A2EF848" w14:textId="77777777" w:rsidR="00D20CB2" w:rsidRPr="00052F5F" w:rsidRDefault="00D20CB2" w:rsidP="002D6DD7">
            <w:pPr>
              <w:rPr>
                <w:rFonts w:cs="Times New Roman"/>
                <w:szCs w:val="24"/>
              </w:rPr>
            </w:pPr>
            <w:r w:rsidRPr="00052F5F">
              <w:rPr>
                <w:rFonts w:cs="Times New Roman"/>
                <w:szCs w:val="24"/>
              </w:rPr>
              <w:t>Hypoglycemia, weight gain, injection site reactions, lipodystrophy, allergic reactions.</w:t>
            </w:r>
          </w:p>
        </w:tc>
      </w:tr>
      <w:tr w:rsidR="00D20CB2" w:rsidRPr="00052F5F" w14:paraId="37605391" w14:textId="77777777" w:rsidTr="002D6DD7">
        <w:tc>
          <w:tcPr>
            <w:tcW w:w="2695" w:type="dxa"/>
          </w:tcPr>
          <w:p w14:paraId="6BD3D633" w14:textId="77777777" w:rsidR="00D20CB2" w:rsidRPr="00052F5F" w:rsidRDefault="00D20CB2" w:rsidP="002D6DD7">
            <w:pPr>
              <w:rPr>
                <w:rFonts w:cs="Times New Roman"/>
                <w:szCs w:val="24"/>
              </w:rPr>
            </w:pPr>
            <w:r w:rsidRPr="00052F5F">
              <w:rPr>
                <w:rFonts w:cs="Times New Roman"/>
                <w:szCs w:val="24"/>
              </w:rPr>
              <w:t xml:space="preserve">Cautions </w:t>
            </w:r>
          </w:p>
        </w:tc>
        <w:tc>
          <w:tcPr>
            <w:tcW w:w="6660" w:type="dxa"/>
          </w:tcPr>
          <w:p w14:paraId="38CD4F19" w14:textId="77777777" w:rsidR="00D20CB2" w:rsidRPr="00052F5F" w:rsidRDefault="00D20CB2" w:rsidP="002D6DD7">
            <w:pPr>
              <w:rPr>
                <w:rFonts w:cs="Times New Roman"/>
                <w:szCs w:val="24"/>
              </w:rPr>
            </w:pPr>
            <w:r w:rsidRPr="00052F5F">
              <w:rPr>
                <w:rFonts w:cs="Times New Roman"/>
                <w:szCs w:val="24"/>
              </w:rPr>
              <w:t>Severe hypoglycemia, similar injection sites</w:t>
            </w:r>
          </w:p>
        </w:tc>
      </w:tr>
      <w:tr w:rsidR="00D20CB2" w:rsidRPr="00052F5F" w14:paraId="1A4B0BE5" w14:textId="77777777" w:rsidTr="002D6DD7">
        <w:tc>
          <w:tcPr>
            <w:tcW w:w="2695" w:type="dxa"/>
          </w:tcPr>
          <w:p w14:paraId="0572A138" w14:textId="77777777" w:rsidR="00D20CB2" w:rsidRPr="00052F5F" w:rsidRDefault="00D20CB2" w:rsidP="002D6DD7">
            <w:pPr>
              <w:rPr>
                <w:rFonts w:cs="Times New Roman"/>
                <w:szCs w:val="24"/>
              </w:rPr>
            </w:pPr>
            <w:r w:rsidRPr="00052F5F">
              <w:rPr>
                <w:rFonts w:cs="Times New Roman"/>
                <w:szCs w:val="24"/>
              </w:rPr>
              <w:t>Storage condition</w:t>
            </w:r>
          </w:p>
        </w:tc>
        <w:tc>
          <w:tcPr>
            <w:tcW w:w="6660" w:type="dxa"/>
          </w:tcPr>
          <w:p w14:paraId="199F9605" w14:textId="77777777" w:rsidR="00D20CB2" w:rsidRPr="00052F5F" w:rsidRDefault="00D20CB2" w:rsidP="007625AA">
            <w:pPr>
              <w:spacing w:before="240"/>
              <w:rPr>
                <w:rFonts w:cs="Times New Roman"/>
                <w:color w:val="FF0000"/>
                <w:szCs w:val="24"/>
              </w:rPr>
            </w:pPr>
            <w:r w:rsidRPr="00052F5F">
              <w:rPr>
                <w:rFonts w:cs="Times New Roman"/>
                <w:szCs w:val="24"/>
              </w:rPr>
              <w:t>Store in a refrigerator (2-8°C). Do not freeze. Once in use, can be kept at room temperature (up to 25°C) for up to 28 days.</w:t>
            </w:r>
          </w:p>
        </w:tc>
      </w:tr>
    </w:tbl>
    <w:p w14:paraId="4C140E02" w14:textId="77777777" w:rsidR="00D20CB2" w:rsidRPr="00944B15" w:rsidRDefault="00D20CB2" w:rsidP="00D20CB2">
      <w:pPr>
        <w:spacing w:after="0"/>
        <w:rPr>
          <w:rFonts w:cs="Times New Roman"/>
          <w:szCs w:val="24"/>
        </w:rPr>
      </w:pPr>
    </w:p>
    <w:p w14:paraId="386A36F2" w14:textId="77777777" w:rsidR="00D20CB2" w:rsidRPr="007625AA" w:rsidRDefault="00D20CB2" w:rsidP="007625AA">
      <w:pPr>
        <w:pStyle w:val="Heading2"/>
        <w:spacing w:after="240"/>
      </w:pPr>
      <w:bookmarkStart w:id="145" w:name="_Toc179490369"/>
      <w:r w:rsidRPr="007625AA">
        <w:lastRenderedPageBreak/>
        <w:t>Medicines for the management of hypoglycaemia</w:t>
      </w:r>
      <w:bookmarkEnd w:id="145"/>
    </w:p>
    <w:p w14:paraId="5DCAC20C" w14:textId="77777777" w:rsidR="00D20CB2" w:rsidRDefault="00D20CB2" w:rsidP="00D20CB2">
      <w:pPr>
        <w:spacing w:after="0"/>
        <w:jc w:val="both"/>
        <w:rPr>
          <w:rFonts w:cs="Times New Roman"/>
          <w:szCs w:val="24"/>
        </w:rPr>
      </w:pPr>
      <w:r w:rsidRPr="00944B15">
        <w:rPr>
          <w:rFonts w:cs="Times New Roman"/>
          <w:szCs w:val="24"/>
        </w:rPr>
        <w:t>Managing hypoglycaemia is crucial for diabetes patients, as low blood sugar levels can be life-threatening. Glucagon injections are used in emergencies to rapidly increase blood sugar levels by stimulating the liver to release glucose. Diazoxide, available in oral liquid and tablet forms, inhibits insulin release from the pancreas, preventing recurrent hypoglycaemia and providing a long-term solution for managing low blood sugar in conditions such as insulinoma or hyperinsulinism.</w:t>
      </w:r>
    </w:p>
    <w:p w14:paraId="468321EC" w14:textId="77777777" w:rsidR="00D20CB2" w:rsidRPr="00944B15" w:rsidRDefault="00D20CB2" w:rsidP="00D20CB2">
      <w:pPr>
        <w:spacing w:after="0"/>
        <w:jc w:val="both"/>
        <w:rPr>
          <w:rFonts w:cs="Times New Roman"/>
          <w:szCs w:val="24"/>
        </w:rPr>
      </w:pPr>
    </w:p>
    <w:tbl>
      <w:tblPr>
        <w:tblStyle w:val="TableGrid"/>
        <w:tblW w:w="0" w:type="auto"/>
        <w:tblLook w:val="04A0" w:firstRow="1" w:lastRow="0" w:firstColumn="1" w:lastColumn="0" w:noHBand="0" w:noVBand="1"/>
      </w:tblPr>
      <w:tblGrid>
        <w:gridCol w:w="2695"/>
        <w:gridCol w:w="6321"/>
      </w:tblGrid>
      <w:tr w:rsidR="00D20CB2" w:rsidRPr="00052F5F" w14:paraId="6EEEFF66" w14:textId="77777777" w:rsidTr="002D6DD7">
        <w:tc>
          <w:tcPr>
            <w:tcW w:w="9016" w:type="dxa"/>
            <w:gridSpan w:val="2"/>
          </w:tcPr>
          <w:p w14:paraId="2FB9333A" w14:textId="77777777" w:rsidR="00D20CB2" w:rsidRPr="00052F5F" w:rsidRDefault="00D20CB2" w:rsidP="002D6DD7">
            <w:pPr>
              <w:rPr>
                <w:rFonts w:cs="Times New Roman"/>
                <w:b/>
                <w:bCs/>
                <w:szCs w:val="24"/>
              </w:rPr>
            </w:pPr>
            <w:bookmarkStart w:id="146" w:name="_Toc168317012"/>
            <w:r w:rsidRPr="00052F5F">
              <w:rPr>
                <w:rFonts w:cs="Times New Roman"/>
                <w:b/>
                <w:bCs/>
                <w:szCs w:val="24"/>
              </w:rPr>
              <w:t>Diazoxide</w:t>
            </w:r>
            <w:bookmarkEnd w:id="146"/>
          </w:p>
        </w:tc>
      </w:tr>
      <w:tr w:rsidR="00D20CB2" w:rsidRPr="00052F5F" w14:paraId="47431AF0" w14:textId="77777777" w:rsidTr="002D6DD7">
        <w:tc>
          <w:tcPr>
            <w:tcW w:w="2695" w:type="dxa"/>
          </w:tcPr>
          <w:p w14:paraId="61C8E942"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321" w:type="dxa"/>
          </w:tcPr>
          <w:p w14:paraId="73A976E5" w14:textId="77777777" w:rsidR="00D20CB2" w:rsidRPr="00052F5F" w:rsidRDefault="00D20CB2" w:rsidP="002D6DD7">
            <w:pPr>
              <w:rPr>
                <w:rFonts w:cs="Times New Roman"/>
                <w:szCs w:val="24"/>
                <w:highlight w:val="yellow"/>
              </w:rPr>
            </w:pPr>
            <w:r w:rsidRPr="00052F5F">
              <w:rPr>
                <w:rFonts w:cs="Times New Roman"/>
                <w:szCs w:val="24"/>
              </w:rPr>
              <w:t>A</w:t>
            </w:r>
            <w:r w:rsidRPr="00EA71F5">
              <w:rPr>
                <w:rFonts w:cs="Times New Roman"/>
                <w:szCs w:val="24"/>
              </w:rPr>
              <w:t xml:space="preserve"> </w:t>
            </w:r>
            <w:r w:rsidRPr="00EA71F5">
              <w:rPr>
                <w:rFonts w:cs="Times New Roman"/>
                <w:b/>
                <w:bCs/>
                <w:szCs w:val="24"/>
              </w:rPr>
              <w:t>potassium channel activator</w:t>
            </w:r>
            <w:r w:rsidRPr="00EA71F5">
              <w:rPr>
                <w:rFonts w:cs="Times New Roman"/>
                <w:szCs w:val="24"/>
              </w:rPr>
              <w:t xml:space="preserve"> (for hypoglycemia) and a </w:t>
            </w:r>
            <w:r w:rsidRPr="00EA71F5">
              <w:rPr>
                <w:rFonts w:cs="Times New Roman"/>
                <w:b/>
                <w:bCs/>
                <w:szCs w:val="24"/>
              </w:rPr>
              <w:t>vasodilator</w:t>
            </w:r>
            <w:r w:rsidRPr="00EA71F5">
              <w:rPr>
                <w:rFonts w:cs="Times New Roman"/>
                <w:szCs w:val="24"/>
              </w:rPr>
              <w:t xml:space="preserve"> (for hypertension).</w:t>
            </w:r>
          </w:p>
        </w:tc>
      </w:tr>
      <w:tr w:rsidR="00D20CB2" w:rsidRPr="00052F5F" w14:paraId="62785790" w14:textId="77777777" w:rsidTr="002D6DD7">
        <w:tc>
          <w:tcPr>
            <w:tcW w:w="2695" w:type="dxa"/>
          </w:tcPr>
          <w:p w14:paraId="746D4AD1" w14:textId="77777777" w:rsidR="00D20CB2" w:rsidRPr="00052F5F" w:rsidRDefault="00D20CB2" w:rsidP="002D6DD7">
            <w:pPr>
              <w:rPr>
                <w:rFonts w:cs="Times New Roman"/>
                <w:szCs w:val="24"/>
              </w:rPr>
            </w:pPr>
            <w:r w:rsidRPr="00052F5F">
              <w:rPr>
                <w:rFonts w:cs="Times New Roman"/>
                <w:szCs w:val="24"/>
              </w:rPr>
              <w:t>Dosage form</w:t>
            </w:r>
          </w:p>
        </w:tc>
        <w:tc>
          <w:tcPr>
            <w:tcW w:w="6321" w:type="dxa"/>
          </w:tcPr>
          <w:p w14:paraId="1FDC27C4" w14:textId="77777777" w:rsidR="00D20CB2" w:rsidRPr="00052F5F" w:rsidRDefault="00D20CB2" w:rsidP="002D6DD7">
            <w:pPr>
              <w:rPr>
                <w:rFonts w:cs="Times New Roman"/>
                <w:szCs w:val="24"/>
              </w:rPr>
            </w:pPr>
            <w:r w:rsidRPr="00052F5F">
              <w:rPr>
                <w:rFonts w:cs="Times New Roman"/>
                <w:szCs w:val="24"/>
              </w:rPr>
              <w:t>Oral liquid: 50 mg/ml</w:t>
            </w:r>
          </w:p>
          <w:p w14:paraId="5BEE5D26" w14:textId="77777777" w:rsidR="00D20CB2" w:rsidRPr="00052F5F" w:rsidRDefault="00D20CB2" w:rsidP="002D6DD7">
            <w:pPr>
              <w:rPr>
                <w:rFonts w:cs="Times New Roman"/>
                <w:szCs w:val="24"/>
              </w:rPr>
            </w:pPr>
            <w:r w:rsidRPr="00052F5F">
              <w:rPr>
                <w:rFonts w:cs="Times New Roman"/>
                <w:szCs w:val="24"/>
              </w:rPr>
              <w:t>Tablet/Capsule: 25 mg, 50 mg</w:t>
            </w:r>
          </w:p>
        </w:tc>
      </w:tr>
      <w:tr w:rsidR="00D20CB2" w:rsidRPr="00052F5F" w14:paraId="50409BCC" w14:textId="77777777" w:rsidTr="002D6DD7">
        <w:tc>
          <w:tcPr>
            <w:tcW w:w="2695" w:type="dxa"/>
          </w:tcPr>
          <w:p w14:paraId="3DC42A92" w14:textId="77777777" w:rsidR="00D20CB2" w:rsidRPr="00052F5F" w:rsidRDefault="00D20CB2" w:rsidP="002D6DD7">
            <w:pPr>
              <w:rPr>
                <w:rFonts w:cs="Times New Roman"/>
                <w:szCs w:val="24"/>
              </w:rPr>
            </w:pPr>
            <w:r w:rsidRPr="00052F5F">
              <w:rPr>
                <w:rFonts w:cs="Times New Roman"/>
                <w:szCs w:val="24"/>
              </w:rPr>
              <w:t>Indications</w:t>
            </w:r>
          </w:p>
        </w:tc>
        <w:tc>
          <w:tcPr>
            <w:tcW w:w="6321" w:type="dxa"/>
          </w:tcPr>
          <w:p w14:paraId="29A1F52A" w14:textId="77777777" w:rsidR="00D20CB2" w:rsidRPr="00052F5F" w:rsidRDefault="00D20CB2" w:rsidP="002D6DD7">
            <w:pPr>
              <w:rPr>
                <w:rFonts w:cs="Times New Roman"/>
                <w:iCs/>
                <w:szCs w:val="24"/>
              </w:rPr>
            </w:pPr>
            <w:r w:rsidRPr="00052F5F">
              <w:rPr>
                <w:rFonts w:cs="Times New Roman"/>
                <w:iCs/>
                <w:szCs w:val="24"/>
              </w:rPr>
              <w:t>Severe hypoglycemia due to insulinoma or hyperinsulinism</w:t>
            </w:r>
          </w:p>
          <w:p w14:paraId="454702BB" w14:textId="77777777" w:rsidR="00D20CB2" w:rsidRPr="00052F5F" w:rsidRDefault="00D20CB2" w:rsidP="002D6DD7">
            <w:pPr>
              <w:rPr>
                <w:rFonts w:cs="Times New Roman"/>
                <w:iCs/>
                <w:szCs w:val="24"/>
              </w:rPr>
            </w:pPr>
            <w:r w:rsidRPr="00052F5F">
              <w:rPr>
                <w:rFonts w:cs="Times New Roman"/>
                <w:iCs/>
                <w:szCs w:val="24"/>
              </w:rPr>
              <w:t>Hypertensive emergencies</w:t>
            </w:r>
          </w:p>
        </w:tc>
      </w:tr>
      <w:tr w:rsidR="00D20CB2" w:rsidRPr="00052F5F" w14:paraId="62582D12" w14:textId="77777777" w:rsidTr="002D6DD7">
        <w:tc>
          <w:tcPr>
            <w:tcW w:w="2695" w:type="dxa"/>
          </w:tcPr>
          <w:p w14:paraId="59A5AF1C" w14:textId="77777777" w:rsidR="00D20CB2" w:rsidRPr="00052F5F" w:rsidRDefault="00D20CB2" w:rsidP="002D6DD7">
            <w:pPr>
              <w:rPr>
                <w:rFonts w:cs="Times New Roman"/>
                <w:szCs w:val="24"/>
              </w:rPr>
            </w:pPr>
            <w:r w:rsidRPr="00052F5F">
              <w:rPr>
                <w:rFonts w:cs="Times New Roman"/>
                <w:szCs w:val="24"/>
              </w:rPr>
              <w:t>Dose and Administration</w:t>
            </w:r>
          </w:p>
        </w:tc>
        <w:tc>
          <w:tcPr>
            <w:tcW w:w="6321" w:type="dxa"/>
          </w:tcPr>
          <w:p w14:paraId="443BA262" w14:textId="77777777" w:rsidR="00D20CB2" w:rsidRPr="00052F5F" w:rsidRDefault="00D20CB2" w:rsidP="002D6DD7">
            <w:pPr>
              <w:rPr>
                <w:rFonts w:cs="Times New Roman"/>
                <w:b/>
                <w:iCs/>
                <w:szCs w:val="24"/>
              </w:rPr>
            </w:pPr>
            <w:r w:rsidRPr="00052F5F">
              <w:rPr>
                <w:rFonts w:cs="Times New Roman"/>
                <w:b/>
                <w:iCs/>
                <w:szCs w:val="24"/>
              </w:rPr>
              <w:t>Severe hypoglycemia:</w:t>
            </w:r>
          </w:p>
          <w:p w14:paraId="3ED161F1" w14:textId="77777777" w:rsidR="00D20CB2" w:rsidRPr="00052F5F" w:rsidRDefault="00D20CB2" w:rsidP="002D6DD7">
            <w:pPr>
              <w:rPr>
                <w:rFonts w:cs="Times New Roman"/>
                <w:bCs/>
                <w:iCs/>
                <w:szCs w:val="24"/>
              </w:rPr>
            </w:pPr>
            <w:r w:rsidRPr="00052F5F">
              <w:rPr>
                <w:rFonts w:cs="Times New Roman"/>
                <w:b/>
                <w:iCs/>
                <w:szCs w:val="24"/>
              </w:rPr>
              <w:t>Adult:</w:t>
            </w:r>
            <w:r w:rsidRPr="00052F5F">
              <w:rPr>
                <w:rFonts w:cs="Times New Roman"/>
                <w:bCs/>
                <w:iCs/>
                <w:szCs w:val="24"/>
              </w:rPr>
              <w:t xml:space="preserve"> 3-8 mg/kg/day in divided doses every 8 or 12 hours.</w:t>
            </w:r>
          </w:p>
          <w:p w14:paraId="01A73A50" w14:textId="77777777" w:rsidR="00D20CB2" w:rsidRPr="00052F5F" w:rsidRDefault="00D20CB2" w:rsidP="002D6DD7">
            <w:pPr>
              <w:rPr>
                <w:rFonts w:cs="Times New Roman"/>
                <w:bCs/>
                <w:iCs/>
                <w:szCs w:val="24"/>
              </w:rPr>
            </w:pPr>
            <w:r w:rsidRPr="00052F5F">
              <w:rPr>
                <w:rFonts w:cs="Times New Roman"/>
                <w:b/>
                <w:iCs/>
                <w:szCs w:val="24"/>
              </w:rPr>
              <w:t>Child:</w:t>
            </w:r>
            <w:r w:rsidRPr="00052F5F">
              <w:rPr>
                <w:rFonts w:cs="Times New Roman"/>
                <w:bCs/>
                <w:iCs/>
                <w:szCs w:val="24"/>
              </w:rPr>
              <w:t xml:space="preserve"> 5-15 mg/kg/day in divided doses every 8 or 12 hours.</w:t>
            </w:r>
          </w:p>
          <w:p w14:paraId="0774C7C9" w14:textId="77777777" w:rsidR="00D20CB2" w:rsidRPr="00052F5F" w:rsidRDefault="00D20CB2" w:rsidP="002D6DD7">
            <w:pPr>
              <w:rPr>
                <w:rFonts w:cs="Times New Roman"/>
                <w:b/>
                <w:iCs/>
                <w:szCs w:val="24"/>
              </w:rPr>
            </w:pPr>
            <w:r w:rsidRPr="00052F5F">
              <w:rPr>
                <w:rFonts w:cs="Times New Roman"/>
                <w:b/>
                <w:iCs/>
                <w:szCs w:val="24"/>
              </w:rPr>
              <w:t>Hypertensive emergencies:</w:t>
            </w:r>
          </w:p>
          <w:p w14:paraId="262130C1" w14:textId="77777777" w:rsidR="00D20CB2" w:rsidRPr="00052F5F" w:rsidRDefault="00D20CB2" w:rsidP="002D6DD7">
            <w:pPr>
              <w:rPr>
                <w:rFonts w:cs="Times New Roman"/>
                <w:bCs/>
                <w:iCs/>
                <w:szCs w:val="24"/>
              </w:rPr>
            </w:pPr>
            <w:r w:rsidRPr="00052F5F">
              <w:rPr>
                <w:rFonts w:cs="Times New Roman"/>
                <w:b/>
                <w:iCs/>
                <w:szCs w:val="24"/>
              </w:rPr>
              <w:t>Adult:</w:t>
            </w:r>
            <w:r w:rsidRPr="00052F5F">
              <w:rPr>
                <w:rFonts w:cs="Times New Roman"/>
                <w:bCs/>
                <w:iCs/>
                <w:szCs w:val="24"/>
              </w:rPr>
              <w:t xml:space="preserve"> 1-3 mg/kg given intravenously over 30 minutes. Repeat as necessary.</w:t>
            </w:r>
          </w:p>
        </w:tc>
      </w:tr>
      <w:tr w:rsidR="00D20CB2" w:rsidRPr="00052F5F" w14:paraId="4D54598D" w14:textId="77777777" w:rsidTr="002D6DD7">
        <w:tc>
          <w:tcPr>
            <w:tcW w:w="2695" w:type="dxa"/>
          </w:tcPr>
          <w:p w14:paraId="6BC602A3" w14:textId="77777777" w:rsidR="00D20CB2" w:rsidRPr="00052F5F" w:rsidRDefault="00D20CB2" w:rsidP="002D6DD7">
            <w:pPr>
              <w:rPr>
                <w:rFonts w:cs="Times New Roman"/>
                <w:szCs w:val="24"/>
              </w:rPr>
            </w:pPr>
            <w:r w:rsidRPr="00052F5F">
              <w:rPr>
                <w:rFonts w:cs="Times New Roman"/>
                <w:szCs w:val="24"/>
              </w:rPr>
              <w:t>Contraindications</w:t>
            </w:r>
          </w:p>
        </w:tc>
        <w:tc>
          <w:tcPr>
            <w:tcW w:w="6321" w:type="dxa"/>
          </w:tcPr>
          <w:p w14:paraId="2660095F" w14:textId="77777777" w:rsidR="00D20CB2" w:rsidRPr="00052F5F" w:rsidRDefault="00D20CB2" w:rsidP="002D6DD7">
            <w:pPr>
              <w:rPr>
                <w:rFonts w:cs="Times New Roman"/>
                <w:szCs w:val="24"/>
              </w:rPr>
            </w:pPr>
            <w:r w:rsidRPr="00052F5F">
              <w:rPr>
                <w:rFonts w:cs="Times New Roman"/>
                <w:szCs w:val="24"/>
              </w:rPr>
              <w:t>Pheochromocytoma, hypersensitivity to diazoxide.</w:t>
            </w:r>
          </w:p>
        </w:tc>
      </w:tr>
      <w:tr w:rsidR="00D20CB2" w:rsidRPr="00052F5F" w14:paraId="7437CF7D" w14:textId="77777777" w:rsidTr="002D6DD7">
        <w:tc>
          <w:tcPr>
            <w:tcW w:w="2695" w:type="dxa"/>
          </w:tcPr>
          <w:p w14:paraId="37FC6079" w14:textId="77777777" w:rsidR="00D20CB2" w:rsidRPr="00052F5F" w:rsidRDefault="00D20CB2" w:rsidP="002D6DD7">
            <w:pPr>
              <w:rPr>
                <w:rFonts w:cs="Times New Roman"/>
                <w:szCs w:val="24"/>
              </w:rPr>
            </w:pPr>
            <w:r w:rsidRPr="00052F5F">
              <w:rPr>
                <w:rFonts w:cs="Times New Roman"/>
                <w:szCs w:val="24"/>
              </w:rPr>
              <w:t>Drug interactions</w:t>
            </w:r>
          </w:p>
        </w:tc>
        <w:tc>
          <w:tcPr>
            <w:tcW w:w="6321" w:type="dxa"/>
          </w:tcPr>
          <w:p w14:paraId="680DCB29" w14:textId="77777777" w:rsidR="00D20CB2" w:rsidRPr="00052F5F" w:rsidRDefault="00D20CB2" w:rsidP="002D6DD7">
            <w:pPr>
              <w:rPr>
                <w:rFonts w:cs="Times New Roman"/>
                <w:szCs w:val="24"/>
              </w:rPr>
            </w:pPr>
            <w:r w:rsidRPr="00052F5F">
              <w:rPr>
                <w:rFonts w:cs="Times New Roman"/>
                <w:szCs w:val="24"/>
              </w:rPr>
              <w:t>Anticoagulants, beta-blockers</w:t>
            </w:r>
          </w:p>
        </w:tc>
      </w:tr>
      <w:tr w:rsidR="00D20CB2" w:rsidRPr="00052F5F" w14:paraId="671BF032" w14:textId="77777777" w:rsidTr="002D6DD7">
        <w:tc>
          <w:tcPr>
            <w:tcW w:w="2695" w:type="dxa"/>
          </w:tcPr>
          <w:p w14:paraId="1C1FE852"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321" w:type="dxa"/>
          </w:tcPr>
          <w:p w14:paraId="0F2059A6" w14:textId="77777777" w:rsidR="00D20CB2" w:rsidRPr="00052F5F" w:rsidRDefault="00D20CB2" w:rsidP="002D6DD7">
            <w:pPr>
              <w:rPr>
                <w:rFonts w:cs="Times New Roman"/>
                <w:szCs w:val="24"/>
              </w:rPr>
            </w:pPr>
            <w:r w:rsidRPr="00052F5F">
              <w:rPr>
                <w:rFonts w:cs="Times New Roman"/>
                <w:szCs w:val="24"/>
              </w:rPr>
              <w:t xml:space="preserve">Abdominal pain, albuminuria, reduced appetite (long-term use), Nausea, vomiting, hyperglycemia, fluid retention, hypokalemia, hypotension, arrhythmia, cardiomegaly, </w:t>
            </w:r>
            <w:r>
              <w:rPr>
                <w:rFonts w:cs="Times New Roman"/>
                <w:szCs w:val="24"/>
              </w:rPr>
              <w:t>d</w:t>
            </w:r>
            <w:r w:rsidRPr="00052F5F">
              <w:rPr>
                <w:rFonts w:cs="Times New Roman"/>
                <w:szCs w:val="24"/>
              </w:rPr>
              <w:t>iabetic hyperosmolar coma, hypersensitivity reactions.</w:t>
            </w:r>
          </w:p>
        </w:tc>
      </w:tr>
      <w:tr w:rsidR="00D20CB2" w:rsidRPr="00052F5F" w14:paraId="2AF00B95" w14:textId="77777777" w:rsidTr="002D6DD7">
        <w:tc>
          <w:tcPr>
            <w:tcW w:w="2695" w:type="dxa"/>
          </w:tcPr>
          <w:p w14:paraId="35DAA587" w14:textId="77777777" w:rsidR="00D20CB2" w:rsidRPr="00052F5F" w:rsidRDefault="00D20CB2" w:rsidP="002D6DD7">
            <w:pPr>
              <w:rPr>
                <w:rFonts w:cs="Times New Roman"/>
                <w:szCs w:val="24"/>
              </w:rPr>
            </w:pPr>
            <w:r w:rsidRPr="00052F5F">
              <w:rPr>
                <w:rFonts w:cs="Times New Roman"/>
                <w:szCs w:val="24"/>
              </w:rPr>
              <w:t xml:space="preserve">Cautions </w:t>
            </w:r>
          </w:p>
        </w:tc>
        <w:tc>
          <w:tcPr>
            <w:tcW w:w="6321" w:type="dxa"/>
          </w:tcPr>
          <w:p w14:paraId="200CED15" w14:textId="77777777" w:rsidR="00D20CB2" w:rsidRPr="00052F5F" w:rsidRDefault="00D20CB2" w:rsidP="002D6DD7">
            <w:pPr>
              <w:rPr>
                <w:rFonts w:cs="Times New Roman"/>
                <w:szCs w:val="24"/>
              </w:rPr>
            </w:pPr>
            <w:r w:rsidRPr="00052F5F">
              <w:rPr>
                <w:rFonts w:cs="Times New Roman"/>
                <w:szCs w:val="24"/>
              </w:rPr>
              <w:t xml:space="preserve">Fluid retention and edema, heart failure, aortic stenosis, arteriovenous shunt, impaired cerebral circulation, electrolyte imbalance: hypotension, hyperuricemia, insulinoma, </w:t>
            </w:r>
            <w:r w:rsidRPr="00052F5F">
              <w:rPr>
                <w:rFonts w:cs="Times New Roman"/>
                <w:szCs w:val="24"/>
              </w:rPr>
              <w:lastRenderedPageBreak/>
              <w:t>glucagonoma, hepatic impairment (cautious up titration should be done, if indicated), renal impairment (dose reduction)</w:t>
            </w:r>
          </w:p>
        </w:tc>
      </w:tr>
      <w:tr w:rsidR="00D20CB2" w:rsidRPr="00052F5F" w14:paraId="539D9311" w14:textId="77777777" w:rsidTr="002D6DD7">
        <w:tc>
          <w:tcPr>
            <w:tcW w:w="2695" w:type="dxa"/>
          </w:tcPr>
          <w:p w14:paraId="55F91B82" w14:textId="77777777" w:rsidR="00D20CB2" w:rsidRPr="00052F5F" w:rsidRDefault="00D20CB2" w:rsidP="002D6DD7">
            <w:pPr>
              <w:rPr>
                <w:rFonts w:cs="Times New Roman"/>
                <w:szCs w:val="24"/>
              </w:rPr>
            </w:pPr>
            <w:r w:rsidRPr="00052F5F">
              <w:rPr>
                <w:rFonts w:cs="Times New Roman"/>
                <w:szCs w:val="24"/>
              </w:rPr>
              <w:lastRenderedPageBreak/>
              <w:t>Storage condition</w:t>
            </w:r>
          </w:p>
        </w:tc>
        <w:tc>
          <w:tcPr>
            <w:tcW w:w="6321" w:type="dxa"/>
          </w:tcPr>
          <w:p w14:paraId="50A135E6" w14:textId="77777777" w:rsidR="00D20CB2" w:rsidRPr="00052F5F" w:rsidRDefault="00D20CB2" w:rsidP="002D6DD7">
            <w:pPr>
              <w:rPr>
                <w:rFonts w:cs="Times New Roman"/>
                <w:szCs w:val="24"/>
              </w:rPr>
            </w:pPr>
            <w:r w:rsidRPr="00052F5F">
              <w:rPr>
                <w:rFonts w:cs="Times New Roman"/>
                <w:szCs w:val="24"/>
              </w:rPr>
              <w:t>Store below 30</w:t>
            </w:r>
            <w:r w:rsidRPr="00783812">
              <w:rPr>
                <w:rFonts w:cs="Times New Roman"/>
                <w:szCs w:val="24"/>
                <w:vertAlign w:val="superscript"/>
              </w:rPr>
              <w:t>0</w:t>
            </w:r>
            <w:r w:rsidRPr="00052F5F">
              <w:rPr>
                <w:rFonts w:cs="Times New Roman"/>
                <w:szCs w:val="24"/>
              </w:rPr>
              <w:t>C</w:t>
            </w:r>
            <w:r>
              <w:rPr>
                <w:rFonts w:cs="Times New Roman"/>
                <w:szCs w:val="24"/>
              </w:rPr>
              <w:t>. P</w:t>
            </w:r>
            <w:r w:rsidRPr="00052F5F">
              <w:rPr>
                <w:rFonts w:cs="Times New Roman"/>
                <w:szCs w:val="24"/>
              </w:rPr>
              <w:t>rotect from light.</w:t>
            </w:r>
          </w:p>
        </w:tc>
      </w:tr>
      <w:tr w:rsidR="00D20CB2" w:rsidRPr="00052F5F" w14:paraId="6475C830" w14:textId="77777777" w:rsidTr="002D6DD7">
        <w:tc>
          <w:tcPr>
            <w:tcW w:w="9016" w:type="dxa"/>
            <w:gridSpan w:val="2"/>
          </w:tcPr>
          <w:p w14:paraId="5F1FDD33" w14:textId="77777777" w:rsidR="00D20CB2" w:rsidRPr="00052F5F" w:rsidRDefault="00D20CB2" w:rsidP="002D6DD7">
            <w:pPr>
              <w:rPr>
                <w:rFonts w:cs="Times New Roman"/>
                <w:b/>
                <w:bCs/>
                <w:szCs w:val="24"/>
              </w:rPr>
            </w:pPr>
            <w:bookmarkStart w:id="147" w:name="_Toc168317011"/>
            <w:r w:rsidRPr="00052F5F">
              <w:rPr>
                <w:rFonts w:cs="Times New Roman"/>
                <w:b/>
                <w:bCs/>
                <w:szCs w:val="24"/>
              </w:rPr>
              <w:t>Glucagon</w:t>
            </w:r>
            <w:bookmarkEnd w:id="147"/>
          </w:p>
        </w:tc>
      </w:tr>
      <w:tr w:rsidR="00D20CB2" w:rsidRPr="00052F5F" w14:paraId="2EFD02AB" w14:textId="77777777" w:rsidTr="002D6DD7">
        <w:tc>
          <w:tcPr>
            <w:tcW w:w="2695" w:type="dxa"/>
          </w:tcPr>
          <w:p w14:paraId="158DD167"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321" w:type="dxa"/>
          </w:tcPr>
          <w:p w14:paraId="7CA70879" w14:textId="77777777" w:rsidR="00D20CB2" w:rsidRPr="00052F5F" w:rsidRDefault="00D20CB2" w:rsidP="002D6DD7">
            <w:pPr>
              <w:rPr>
                <w:rFonts w:cs="Times New Roman"/>
                <w:szCs w:val="24"/>
              </w:rPr>
            </w:pPr>
            <w:r w:rsidRPr="00052F5F">
              <w:rPr>
                <w:rFonts w:cs="Times New Roman"/>
                <w:szCs w:val="24"/>
              </w:rPr>
              <w:t>Hormone (Hyperglycaemic agent)</w:t>
            </w:r>
          </w:p>
        </w:tc>
      </w:tr>
      <w:tr w:rsidR="00D20CB2" w:rsidRPr="00052F5F" w14:paraId="61508C03" w14:textId="77777777" w:rsidTr="002D6DD7">
        <w:tc>
          <w:tcPr>
            <w:tcW w:w="2695" w:type="dxa"/>
          </w:tcPr>
          <w:p w14:paraId="3B5C2593" w14:textId="77777777" w:rsidR="00D20CB2" w:rsidRPr="00052F5F" w:rsidRDefault="00D20CB2" w:rsidP="002D6DD7">
            <w:pPr>
              <w:rPr>
                <w:rFonts w:cs="Times New Roman"/>
                <w:szCs w:val="24"/>
              </w:rPr>
            </w:pPr>
            <w:r w:rsidRPr="00052F5F">
              <w:rPr>
                <w:rFonts w:cs="Times New Roman"/>
                <w:szCs w:val="24"/>
              </w:rPr>
              <w:t>Dosage form</w:t>
            </w:r>
          </w:p>
        </w:tc>
        <w:tc>
          <w:tcPr>
            <w:tcW w:w="6321" w:type="dxa"/>
          </w:tcPr>
          <w:p w14:paraId="591A4EDE" w14:textId="77777777" w:rsidR="00D20CB2" w:rsidRPr="00052F5F" w:rsidRDefault="00D20CB2" w:rsidP="002D6DD7">
            <w:pPr>
              <w:rPr>
                <w:rFonts w:cs="Times New Roman"/>
                <w:szCs w:val="24"/>
              </w:rPr>
            </w:pPr>
            <w:r w:rsidRPr="00052F5F">
              <w:rPr>
                <w:rFonts w:cs="Times New Roman"/>
                <w:szCs w:val="24"/>
              </w:rPr>
              <w:t xml:space="preserve">Injection:1mg/ml </w:t>
            </w:r>
          </w:p>
        </w:tc>
      </w:tr>
      <w:tr w:rsidR="00D20CB2" w:rsidRPr="00052F5F" w14:paraId="026289B7" w14:textId="77777777" w:rsidTr="002D6DD7">
        <w:tc>
          <w:tcPr>
            <w:tcW w:w="2695" w:type="dxa"/>
          </w:tcPr>
          <w:p w14:paraId="6A184879" w14:textId="77777777" w:rsidR="00D20CB2" w:rsidRPr="00052F5F" w:rsidRDefault="00D20CB2" w:rsidP="002D6DD7">
            <w:pPr>
              <w:rPr>
                <w:rFonts w:cs="Times New Roman"/>
                <w:szCs w:val="24"/>
              </w:rPr>
            </w:pPr>
            <w:r w:rsidRPr="00052F5F">
              <w:rPr>
                <w:rFonts w:cs="Times New Roman"/>
                <w:szCs w:val="24"/>
              </w:rPr>
              <w:t>Indications</w:t>
            </w:r>
          </w:p>
        </w:tc>
        <w:tc>
          <w:tcPr>
            <w:tcW w:w="6321" w:type="dxa"/>
          </w:tcPr>
          <w:p w14:paraId="40A12DB0" w14:textId="77777777" w:rsidR="00D20CB2" w:rsidRPr="00052F5F" w:rsidRDefault="00D20CB2" w:rsidP="002D6DD7">
            <w:pPr>
              <w:rPr>
                <w:rFonts w:cs="Times New Roman"/>
                <w:iCs/>
                <w:szCs w:val="24"/>
              </w:rPr>
            </w:pPr>
            <w:r w:rsidRPr="00052F5F">
              <w:rPr>
                <w:rFonts w:cs="Times New Roman"/>
                <w:iCs/>
                <w:szCs w:val="24"/>
              </w:rPr>
              <w:t>Diabetic hypoglycemia, radiological examination of the gastrointestinal tract, diagnosis of pheochromocytoma</w:t>
            </w:r>
          </w:p>
        </w:tc>
      </w:tr>
      <w:tr w:rsidR="00D20CB2" w:rsidRPr="00052F5F" w14:paraId="324B36C8" w14:textId="77777777" w:rsidTr="002D6DD7">
        <w:tc>
          <w:tcPr>
            <w:tcW w:w="2695" w:type="dxa"/>
          </w:tcPr>
          <w:p w14:paraId="1949DD9E" w14:textId="77777777" w:rsidR="00D20CB2" w:rsidRPr="00052F5F" w:rsidRDefault="00D20CB2" w:rsidP="002D6DD7">
            <w:pPr>
              <w:rPr>
                <w:rFonts w:cs="Times New Roman"/>
                <w:szCs w:val="24"/>
              </w:rPr>
            </w:pPr>
            <w:r w:rsidRPr="00052F5F">
              <w:rPr>
                <w:rFonts w:cs="Times New Roman"/>
                <w:szCs w:val="24"/>
              </w:rPr>
              <w:t>Dose and administration</w:t>
            </w:r>
          </w:p>
        </w:tc>
        <w:tc>
          <w:tcPr>
            <w:tcW w:w="6321" w:type="dxa"/>
          </w:tcPr>
          <w:p w14:paraId="41C7A95A" w14:textId="77777777" w:rsidR="007625AA" w:rsidRDefault="00D20CB2" w:rsidP="002D6DD7">
            <w:pPr>
              <w:rPr>
                <w:rFonts w:cs="Times New Roman"/>
                <w:b/>
                <w:iCs/>
                <w:szCs w:val="24"/>
              </w:rPr>
            </w:pPr>
            <w:r w:rsidRPr="00052F5F">
              <w:rPr>
                <w:rFonts w:cs="Times New Roman"/>
                <w:b/>
                <w:iCs/>
                <w:szCs w:val="24"/>
              </w:rPr>
              <w:t>Severe hypoglycemia:</w:t>
            </w:r>
            <w:r>
              <w:rPr>
                <w:rFonts w:cs="Times New Roman"/>
                <w:b/>
                <w:iCs/>
                <w:szCs w:val="24"/>
              </w:rPr>
              <w:t xml:space="preserve"> </w:t>
            </w:r>
          </w:p>
          <w:p w14:paraId="23B8BFF5" w14:textId="77777777" w:rsidR="00D20CB2" w:rsidRPr="00052F5F" w:rsidRDefault="00D20CB2" w:rsidP="002D6DD7">
            <w:pPr>
              <w:rPr>
                <w:rFonts w:cs="Times New Roman"/>
                <w:bCs/>
                <w:iCs/>
                <w:szCs w:val="24"/>
              </w:rPr>
            </w:pPr>
            <w:r w:rsidRPr="00052F5F">
              <w:rPr>
                <w:rFonts w:cs="Times New Roman"/>
                <w:b/>
                <w:iCs/>
                <w:szCs w:val="24"/>
              </w:rPr>
              <w:t xml:space="preserve">Adult and child over 8 years </w:t>
            </w:r>
            <w:r w:rsidRPr="00C422FA">
              <w:rPr>
                <w:rFonts w:cs="Times New Roman"/>
                <w:bCs/>
                <w:iCs/>
                <w:szCs w:val="24"/>
              </w:rPr>
              <w:t xml:space="preserve">(or body weight over 25 kg): </w:t>
            </w:r>
            <w:r w:rsidRPr="00052F5F">
              <w:rPr>
                <w:rFonts w:cs="Times New Roman"/>
                <w:bCs/>
                <w:iCs/>
                <w:szCs w:val="24"/>
              </w:rPr>
              <w:t>1 mg by S</w:t>
            </w:r>
            <w:r>
              <w:rPr>
                <w:rFonts w:cs="Times New Roman"/>
                <w:bCs/>
                <w:iCs/>
                <w:szCs w:val="24"/>
              </w:rPr>
              <w:t>C</w:t>
            </w:r>
            <w:r w:rsidRPr="00052F5F">
              <w:rPr>
                <w:rFonts w:cs="Times New Roman"/>
                <w:bCs/>
                <w:iCs/>
                <w:szCs w:val="24"/>
              </w:rPr>
              <w:t xml:space="preserve">, IM, or </w:t>
            </w:r>
            <w:r>
              <w:rPr>
                <w:rFonts w:cs="Times New Roman"/>
                <w:bCs/>
                <w:iCs/>
                <w:szCs w:val="24"/>
              </w:rPr>
              <w:t>IV</w:t>
            </w:r>
            <w:r w:rsidRPr="00052F5F">
              <w:rPr>
                <w:rFonts w:cs="Times New Roman"/>
                <w:bCs/>
                <w:iCs/>
                <w:szCs w:val="24"/>
              </w:rPr>
              <w:t xml:space="preserve"> route.</w:t>
            </w:r>
          </w:p>
          <w:p w14:paraId="01A8E0D1" w14:textId="77777777" w:rsidR="00D20CB2" w:rsidRPr="00052F5F" w:rsidRDefault="00D20CB2" w:rsidP="002D6DD7">
            <w:pPr>
              <w:rPr>
                <w:rFonts w:cs="Times New Roman"/>
                <w:bCs/>
                <w:iCs/>
                <w:szCs w:val="24"/>
              </w:rPr>
            </w:pPr>
            <w:r w:rsidRPr="00052F5F">
              <w:rPr>
                <w:rFonts w:cs="Times New Roman"/>
                <w:b/>
                <w:iCs/>
                <w:szCs w:val="24"/>
              </w:rPr>
              <w:t xml:space="preserve">Child under 8 years </w:t>
            </w:r>
            <w:r w:rsidRPr="00C422FA">
              <w:rPr>
                <w:rFonts w:cs="Times New Roman"/>
                <w:bCs/>
                <w:iCs/>
                <w:szCs w:val="24"/>
              </w:rPr>
              <w:t>(or body weight under 25 kg):</w:t>
            </w:r>
            <w:r w:rsidRPr="00052F5F">
              <w:rPr>
                <w:rFonts w:cs="Times New Roman"/>
                <w:bCs/>
                <w:iCs/>
                <w:szCs w:val="24"/>
              </w:rPr>
              <w:t xml:space="preserve"> 500 µg, if no response within 10 minutes</w:t>
            </w:r>
            <w:r>
              <w:rPr>
                <w:rFonts w:cs="Times New Roman"/>
                <w:bCs/>
                <w:iCs/>
                <w:szCs w:val="24"/>
              </w:rPr>
              <w:t xml:space="preserve">, IV </w:t>
            </w:r>
            <w:r w:rsidRPr="00052F5F">
              <w:rPr>
                <w:rFonts w:cs="Times New Roman"/>
                <w:bCs/>
                <w:iCs/>
                <w:szCs w:val="24"/>
              </w:rPr>
              <w:t>glucose must be given.</w:t>
            </w:r>
          </w:p>
          <w:p w14:paraId="46C557FD" w14:textId="77777777" w:rsidR="00D20CB2" w:rsidRPr="00C422FA" w:rsidRDefault="00D20CB2" w:rsidP="002D6DD7">
            <w:pPr>
              <w:rPr>
                <w:rFonts w:cs="Times New Roman"/>
                <w:b/>
                <w:iCs/>
                <w:szCs w:val="24"/>
              </w:rPr>
            </w:pPr>
            <w:r w:rsidRPr="00052F5F">
              <w:rPr>
                <w:rFonts w:cs="Times New Roman"/>
                <w:b/>
                <w:iCs/>
                <w:szCs w:val="24"/>
              </w:rPr>
              <w:t xml:space="preserve">As diagnostic aid in </w:t>
            </w:r>
            <w:r>
              <w:rPr>
                <w:rFonts w:cs="Times New Roman"/>
                <w:b/>
                <w:iCs/>
                <w:szCs w:val="24"/>
              </w:rPr>
              <w:t>GI</w:t>
            </w:r>
            <w:r w:rsidRPr="00052F5F">
              <w:rPr>
                <w:rFonts w:cs="Times New Roman"/>
                <w:b/>
                <w:iCs/>
                <w:szCs w:val="24"/>
              </w:rPr>
              <w:t xml:space="preserve"> examination:</w:t>
            </w:r>
            <w:r>
              <w:rPr>
                <w:rFonts w:cs="Times New Roman"/>
                <w:b/>
                <w:iCs/>
                <w:szCs w:val="24"/>
              </w:rPr>
              <w:t xml:space="preserve"> </w:t>
            </w:r>
            <w:r w:rsidRPr="00052F5F">
              <w:rPr>
                <w:rFonts w:cs="Times New Roman"/>
                <w:bCs/>
                <w:iCs/>
                <w:szCs w:val="24"/>
              </w:rPr>
              <w:t xml:space="preserve">Adult: 1-2 mg by </w:t>
            </w:r>
            <w:r>
              <w:rPr>
                <w:rFonts w:cs="Times New Roman"/>
                <w:bCs/>
                <w:iCs/>
                <w:szCs w:val="24"/>
              </w:rPr>
              <w:t>IM</w:t>
            </w:r>
            <w:r w:rsidRPr="00052F5F">
              <w:rPr>
                <w:rFonts w:cs="Times New Roman"/>
                <w:bCs/>
                <w:iCs/>
                <w:szCs w:val="24"/>
              </w:rPr>
              <w:t xml:space="preserve"> or 0.2-2 mg by </w:t>
            </w:r>
            <w:r>
              <w:rPr>
                <w:rFonts w:cs="Times New Roman"/>
                <w:bCs/>
                <w:iCs/>
                <w:szCs w:val="24"/>
              </w:rPr>
              <w:t xml:space="preserve">IV </w:t>
            </w:r>
            <w:r w:rsidRPr="00052F5F">
              <w:rPr>
                <w:rFonts w:cs="Times New Roman"/>
                <w:bCs/>
                <w:iCs/>
                <w:szCs w:val="24"/>
              </w:rPr>
              <w:t>injection.</w:t>
            </w:r>
          </w:p>
          <w:p w14:paraId="1BCD693E" w14:textId="77777777" w:rsidR="00D20CB2" w:rsidRPr="00052F5F" w:rsidRDefault="00D20CB2" w:rsidP="002D6DD7">
            <w:pPr>
              <w:rPr>
                <w:rFonts w:cs="Times New Roman"/>
                <w:iCs/>
                <w:szCs w:val="24"/>
              </w:rPr>
            </w:pPr>
            <w:r w:rsidRPr="00052F5F">
              <w:rPr>
                <w:rFonts w:cs="Times New Roman"/>
                <w:b/>
                <w:iCs/>
                <w:szCs w:val="24"/>
              </w:rPr>
              <w:t>Diagnosis of pheochromocytoma:</w:t>
            </w:r>
            <w:r>
              <w:rPr>
                <w:rFonts w:cs="Times New Roman"/>
                <w:b/>
                <w:iCs/>
                <w:szCs w:val="24"/>
              </w:rPr>
              <w:t xml:space="preserve"> </w:t>
            </w:r>
            <w:r w:rsidRPr="00052F5F">
              <w:rPr>
                <w:rFonts w:cs="Times New Roman"/>
                <w:bCs/>
                <w:iCs/>
                <w:szCs w:val="24"/>
              </w:rPr>
              <w:t xml:space="preserve">Adult: 1 mg </w:t>
            </w:r>
            <w:r>
              <w:rPr>
                <w:rFonts w:cs="Times New Roman"/>
                <w:bCs/>
                <w:iCs/>
                <w:szCs w:val="24"/>
              </w:rPr>
              <w:t>IV</w:t>
            </w:r>
          </w:p>
        </w:tc>
      </w:tr>
      <w:tr w:rsidR="00D20CB2" w:rsidRPr="00052F5F" w14:paraId="44AFA021" w14:textId="77777777" w:rsidTr="002D6DD7">
        <w:tc>
          <w:tcPr>
            <w:tcW w:w="2695" w:type="dxa"/>
          </w:tcPr>
          <w:p w14:paraId="0A816689" w14:textId="77777777" w:rsidR="00D20CB2" w:rsidRPr="00052F5F" w:rsidRDefault="00D20CB2" w:rsidP="002D6DD7">
            <w:pPr>
              <w:rPr>
                <w:rFonts w:cs="Times New Roman"/>
                <w:szCs w:val="24"/>
              </w:rPr>
            </w:pPr>
            <w:r w:rsidRPr="00052F5F">
              <w:rPr>
                <w:rFonts w:cs="Times New Roman"/>
                <w:szCs w:val="24"/>
              </w:rPr>
              <w:t>Contraindications</w:t>
            </w:r>
          </w:p>
        </w:tc>
        <w:tc>
          <w:tcPr>
            <w:tcW w:w="6321" w:type="dxa"/>
          </w:tcPr>
          <w:p w14:paraId="21473B03" w14:textId="77777777" w:rsidR="00D20CB2" w:rsidRPr="00052F5F" w:rsidRDefault="00D20CB2" w:rsidP="002D6DD7">
            <w:pPr>
              <w:rPr>
                <w:rFonts w:cs="Times New Roman"/>
                <w:szCs w:val="24"/>
              </w:rPr>
            </w:pPr>
            <w:r>
              <w:rPr>
                <w:rFonts w:cs="Times New Roman"/>
                <w:szCs w:val="24"/>
              </w:rPr>
              <w:t>H</w:t>
            </w:r>
            <w:r w:rsidRPr="00052F5F">
              <w:rPr>
                <w:rFonts w:cs="Times New Roman"/>
                <w:szCs w:val="24"/>
              </w:rPr>
              <w:t xml:space="preserve">ypersensitivity to </w:t>
            </w:r>
            <w:r>
              <w:rPr>
                <w:rFonts w:cs="Times New Roman"/>
                <w:szCs w:val="24"/>
              </w:rPr>
              <w:t>the drug</w:t>
            </w:r>
            <w:r w:rsidRPr="00052F5F">
              <w:rPr>
                <w:rFonts w:cs="Times New Roman"/>
                <w:szCs w:val="24"/>
              </w:rPr>
              <w:t xml:space="preserve">, </w:t>
            </w:r>
            <w:r>
              <w:rPr>
                <w:rFonts w:cs="Times New Roman"/>
                <w:szCs w:val="24"/>
              </w:rPr>
              <w:t>p</w:t>
            </w:r>
            <w:r w:rsidRPr="00052F5F">
              <w:rPr>
                <w:rFonts w:cs="Times New Roman"/>
                <w:szCs w:val="24"/>
              </w:rPr>
              <w:t>heochromocytoma or glucagon-secreting tumors, use in neonates or child</w:t>
            </w:r>
          </w:p>
        </w:tc>
      </w:tr>
      <w:tr w:rsidR="00D20CB2" w:rsidRPr="00052F5F" w14:paraId="3DFF9C06" w14:textId="77777777" w:rsidTr="002D6DD7">
        <w:tc>
          <w:tcPr>
            <w:tcW w:w="2695" w:type="dxa"/>
          </w:tcPr>
          <w:p w14:paraId="209EFB1D" w14:textId="77777777" w:rsidR="00D20CB2" w:rsidRPr="00052F5F" w:rsidRDefault="00D20CB2" w:rsidP="002D6DD7">
            <w:pPr>
              <w:rPr>
                <w:rFonts w:cs="Times New Roman"/>
                <w:szCs w:val="24"/>
              </w:rPr>
            </w:pPr>
            <w:r w:rsidRPr="00052F5F">
              <w:rPr>
                <w:rFonts w:cs="Times New Roman"/>
                <w:szCs w:val="24"/>
              </w:rPr>
              <w:t>Drug interactions</w:t>
            </w:r>
          </w:p>
        </w:tc>
        <w:tc>
          <w:tcPr>
            <w:tcW w:w="6321" w:type="dxa"/>
          </w:tcPr>
          <w:p w14:paraId="0E145B4F" w14:textId="77777777" w:rsidR="00D20CB2" w:rsidRPr="00052F5F" w:rsidRDefault="00D20CB2" w:rsidP="002D6DD7">
            <w:pPr>
              <w:rPr>
                <w:rFonts w:cs="Times New Roman"/>
                <w:szCs w:val="24"/>
              </w:rPr>
            </w:pPr>
            <w:r w:rsidRPr="00052F5F">
              <w:rPr>
                <w:rFonts w:cs="Times New Roman"/>
                <w:szCs w:val="24"/>
              </w:rPr>
              <w:t>Anticoagulants, beta-blockers, anticholinergic</w:t>
            </w:r>
            <w:r>
              <w:rPr>
                <w:rFonts w:cs="Times New Roman"/>
                <w:szCs w:val="24"/>
              </w:rPr>
              <w:t>s</w:t>
            </w:r>
          </w:p>
        </w:tc>
      </w:tr>
      <w:tr w:rsidR="00D20CB2" w:rsidRPr="00052F5F" w14:paraId="15414930" w14:textId="77777777" w:rsidTr="002D6DD7">
        <w:tc>
          <w:tcPr>
            <w:tcW w:w="2695" w:type="dxa"/>
          </w:tcPr>
          <w:p w14:paraId="1211601C"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321" w:type="dxa"/>
          </w:tcPr>
          <w:p w14:paraId="3FA0C20D" w14:textId="77777777" w:rsidR="00D20CB2" w:rsidRPr="00052F5F" w:rsidRDefault="00D20CB2" w:rsidP="002D6DD7">
            <w:pPr>
              <w:rPr>
                <w:rFonts w:cs="Times New Roman"/>
                <w:szCs w:val="24"/>
              </w:rPr>
            </w:pPr>
            <w:r w:rsidRPr="00052F5F">
              <w:rPr>
                <w:rFonts w:cs="Times New Roman"/>
                <w:szCs w:val="24"/>
              </w:rPr>
              <w:t>Nausea, vomiting, transient changes in blood pressure, tachycardia, severe allergic reactions</w:t>
            </w:r>
          </w:p>
        </w:tc>
      </w:tr>
      <w:tr w:rsidR="00D20CB2" w:rsidRPr="00052F5F" w14:paraId="1BB31383" w14:textId="77777777" w:rsidTr="002D6DD7">
        <w:tc>
          <w:tcPr>
            <w:tcW w:w="2695" w:type="dxa"/>
          </w:tcPr>
          <w:p w14:paraId="04A16F76" w14:textId="77777777" w:rsidR="00D20CB2" w:rsidRPr="00052F5F" w:rsidRDefault="00D20CB2" w:rsidP="002D6DD7">
            <w:pPr>
              <w:rPr>
                <w:rFonts w:cs="Times New Roman"/>
                <w:szCs w:val="24"/>
              </w:rPr>
            </w:pPr>
            <w:r w:rsidRPr="00052F5F">
              <w:rPr>
                <w:rFonts w:cs="Times New Roman"/>
                <w:szCs w:val="24"/>
              </w:rPr>
              <w:t xml:space="preserve">Cautions </w:t>
            </w:r>
          </w:p>
        </w:tc>
        <w:tc>
          <w:tcPr>
            <w:tcW w:w="6321" w:type="dxa"/>
          </w:tcPr>
          <w:p w14:paraId="403DBE1C" w14:textId="77777777" w:rsidR="00D20CB2" w:rsidRPr="00052F5F" w:rsidRDefault="00D20CB2" w:rsidP="002D6DD7">
            <w:pPr>
              <w:rPr>
                <w:rFonts w:cs="Times New Roman"/>
                <w:szCs w:val="24"/>
              </w:rPr>
            </w:pPr>
            <w:r w:rsidRPr="00052F5F">
              <w:rPr>
                <w:rFonts w:cs="Times New Roman"/>
                <w:szCs w:val="24"/>
              </w:rPr>
              <w:t xml:space="preserve">Insulinoma, glucagonoma, pheochromocytoma, prolonged </w:t>
            </w:r>
            <w:r>
              <w:rPr>
                <w:rFonts w:cs="Times New Roman"/>
                <w:szCs w:val="24"/>
              </w:rPr>
              <w:t>f</w:t>
            </w:r>
            <w:r w:rsidRPr="00052F5F">
              <w:rPr>
                <w:rFonts w:cs="Times New Roman"/>
                <w:szCs w:val="24"/>
              </w:rPr>
              <w:t xml:space="preserve">asting or </w:t>
            </w:r>
            <w:r>
              <w:rPr>
                <w:rFonts w:cs="Times New Roman"/>
                <w:szCs w:val="24"/>
              </w:rPr>
              <w:t>m</w:t>
            </w:r>
            <w:r w:rsidRPr="00052F5F">
              <w:rPr>
                <w:rFonts w:cs="Times New Roman"/>
                <w:szCs w:val="24"/>
              </w:rPr>
              <w:t xml:space="preserve">alnutrition, adrenal insufficiency, chronic hypoglycemia, alcohol-induced hypoglycemia, pregnancy, </w:t>
            </w:r>
            <w:r>
              <w:rPr>
                <w:rFonts w:cs="Times New Roman"/>
                <w:szCs w:val="24"/>
              </w:rPr>
              <w:t>breastfeeding</w:t>
            </w:r>
          </w:p>
        </w:tc>
      </w:tr>
      <w:tr w:rsidR="00D20CB2" w:rsidRPr="00052F5F" w14:paraId="052E31B8" w14:textId="77777777" w:rsidTr="002D6DD7">
        <w:tc>
          <w:tcPr>
            <w:tcW w:w="2695" w:type="dxa"/>
          </w:tcPr>
          <w:p w14:paraId="40004C2D" w14:textId="77777777" w:rsidR="00D20CB2" w:rsidRPr="00052F5F" w:rsidRDefault="00D20CB2" w:rsidP="002D6DD7">
            <w:pPr>
              <w:rPr>
                <w:rFonts w:cs="Times New Roman"/>
                <w:szCs w:val="24"/>
              </w:rPr>
            </w:pPr>
            <w:r w:rsidRPr="00052F5F">
              <w:rPr>
                <w:rFonts w:cs="Times New Roman"/>
                <w:szCs w:val="24"/>
              </w:rPr>
              <w:t>Storage condition</w:t>
            </w:r>
          </w:p>
        </w:tc>
        <w:tc>
          <w:tcPr>
            <w:tcW w:w="6321" w:type="dxa"/>
          </w:tcPr>
          <w:p w14:paraId="66772E0A" w14:textId="77777777" w:rsidR="00D20CB2" w:rsidRPr="00052F5F" w:rsidRDefault="00D20CB2" w:rsidP="002D6DD7">
            <w:pPr>
              <w:rPr>
                <w:rFonts w:cs="Times New Roman"/>
                <w:szCs w:val="24"/>
              </w:rPr>
            </w:pPr>
            <w:r w:rsidRPr="00052F5F">
              <w:rPr>
                <w:rFonts w:cs="Times New Roman"/>
                <w:szCs w:val="24"/>
              </w:rPr>
              <w:t>Store in a refrigerator (2-8°C). Do not freeze. Protect from light. Once reconstituted, use immediately.</w:t>
            </w:r>
          </w:p>
        </w:tc>
      </w:tr>
    </w:tbl>
    <w:p w14:paraId="58360B87" w14:textId="77777777" w:rsidR="00D20CB2" w:rsidRPr="00944B15" w:rsidRDefault="00D20CB2" w:rsidP="00D20CB2">
      <w:pPr>
        <w:spacing w:after="0"/>
        <w:rPr>
          <w:rFonts w:cs="Times New Roman"/>
          <w:szCs w:val="24"/>
        </w:rPr>
      </w:pPr>
    </w:p>
    <w:p w14:paraId="2C650FEA" w14:textId="77777777" w:rsidR="00D20CB2" w:rsidRPr="007625AA" w:rsidRDefault="00D20CB2" w:rsidP="007625AA">
      <w:pPr>
        <w:pStyle w:val="Heading2"/>
        <w:spacing w:before="240" w:after="240"/>
      </w:pPr>
      <w:bookmarkStart w:id="148" w:name="_Toc179490370"/>
      <w:r w:rsidRPr="007625AA">
        <w:t>Medicines used for the disorders of the pituitary hormone system</w:t>
      </w:r>
      <w:bookmarkEnd w:id="148"/>
    </w:p>
    <w:p w14:paraId="3C203DA1" w14:textId="77777777" w:rsidR="00D20CB2" w:rsidRPr="00944B15" w:rsidRDefault="00D20CB2" w:rsidP="00D20CB2">
      <w:pPr>
        <w:spacing w:after="0"/>
        <w:jc w:val="both"/>
        <w:rPr>
          <w:rFonts w:cs="Times New Roman"/>
          <w:b/>
          <w:color w:val="000000"/>
          <w:szCs w:val="24"/>
        </w:rPr>
      </w:pPr>
      <w:r w:rsidRPr="00944B15">
        <w:rPr>
          <w:rFonts w:cs="Times New Roman"/>
          <w:bCs/>
          <w:color w:val="000000"/>
          <w:szCs w:val="24"/>
        </w:rPr>
        <w:lastRenderedPageBreak/>
        <w:t>Pituitary disorders can lead to significant hormonal imbalances, requiring specific treatments to manage these conditions. Bromocriptine and its alternative cabergoline are dopamine agonists used to treat conditions like prolactinomas, which are pituitary tumours that produce excess prolactin. These medications work by inhibiting prolactin secretion, thereby reducing tumour size and alleviating symptoms like galactorrhoea and infertility.</w:t>
      </w:r>
    </w:p>
    <w:p w14:paraId="3BE9171D" w14:textId="77777777" w:rsidR="00D20CB2" w:rsidRPr="00944B15" w:rsidRDefault="00D20CB2" w:rsidP="00D20CB2">
      <w:pPr>
        <w:spacing w:after="0"/>
        <w:rPr>
          <w:rFonts w:cs="Times New Roman"/>
          <w:b/>
          <w:color w:val="000000"/>
          <w:szCs w:val="24"/>
          <w:lang w:val="fr-FR"/>
        </w:rPr>
      </w:pPr>
    </w:p>
    <w:tbl>
      <w:tblPr>
        <w:tblStyle w:val="TableGrid"/>
        <w:tblW w:w="9355" w:type="dxa"/>
        <w:tblLook w:val="04A0" w:firstRow="1" w:lastRow="0" w:firstColumn="1" w:lastColumn="0" w:noHBand="0" w:noVBand="1"/>
      </w:tblPr>
      <w:tblGrid>
        <w:gridCol w:w="2695"/>
        <w:gridCol w:w="6660"/>
      </w:tblGrid>
      <w:tr w:rsidR="00D20CB2" w:rsidRPr="00052F5F" w14:paraId="47CCE1A6" w14:textId="77777777" w:rsidTr="002D6DD7">
        <w:tc>
          <w:tcPr>
            <w:tcW w:w="9355" w:type="dxa"/>
            <w:gridSpan w:val="2"/>
          </w:tcPr>
          <w:p w14:paraId="78289444" w14:textId="77777777" w:rsidR="00D20CB2" w:rsidRPr="00052F5F" w:rsidRDefault="00D20CB2" w:rsidP="002D6DD7">
            <w:pPr>
              <w:rPr>
                <w:rFonts w:cs="Times New Roman"/>
                <w:b/>
                <w:bCs/>
                <w:szCs w:val="24"/>
              </w:rPr>
            </w:pPr>
            <w:bookmarkStart w:id="149" w:name="_Toc168317013"/>
            <w:r w:rsidRPr="00052F5F">
              <w:rPr>
                <w:rFonts w:cs="Times New Roman"/>
                <w:b/>
                <w:bCs/>
                <w:szCs w:val="24"/>
              </w:rPr>
              <w:t>Bromocriptine</w:t>
            </w:r>
            <w:bookmarkEnd w:id="149"/>
          </w:p>
        </w:tc>
      </w:tr>
      <w:tr w:rsidR="00D20CB2" w:rsidRPr="00052F5F" w14:paraId="24AB93CE" w14:textId="77777777" w:rsidTr="002D6DD7">
        <w:tc>
          <w:tcPr>
            <w:tcW w:w="2695" w:type="dxa"/>
          </w:tcPr>
          <w:p w14:paraId="19F97B58"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660" w:type="dxa"/>
          </w:tcPr>
          <w:p w14:paraId="12FD90E0" w14:textId="77777777" w:rsidR="00D20CB2" w:rsidRPr="00052F5F" w:rsidRDefault="00D20CB2" w:rsidP="002D6DD7">
            <w:pPr>
              <w:rPr>
                <w:rFonts w:cs="Times New Roman"/>
                <w:szCs w:val="24"/>
              </w:rPr>
            </w:pPr>
            <w:r w:rsidRPr="00052F5F">
              <w:rPr>
                <w:rFonts w:cs="Times New Roman"/>
                <w:szCs w:val="24"/>
              </w:rPr>
              <w:t>Dopamine receptor agonist</w:t>
            </w:r>
          </w:p>
        </w:tc>
      </w:tr>
      <w:tr w:rsidR="00D20CB2" w:rsidRPr="00052F5F" w14:paraId="34C0C382" w14:textId="77777777" w:rsidTr="002D6DD7">
        <w:tc>
          <w:tcPr>
            <w:tcW w:w="2695" w:type="dxa"/>
          </w:tcPr>
          <w:p w14:paraId="655202AD" w14:textId="77777777" w:rsidR="00D20CB2" w:rsidRPr="00052F5F" w:rsidRDefault="00D20CB2" w:rsidP="002D6DD7">
            <w:pPr>
              <w:rPr>
                <w:rFonts w:cs="Times New Roman"/>
                <w:szCs w:val="24"/>
              </w:rPr>
            </w:pPr>
            <w:r w:rsidRPr="00052F5F">
              <w:rPr>
                <w:rFonts w:cs="Times New Roman"/>
                <w:szCs w:val="24"/>
              </w:rPr>
              <w:t>Dosage form</w:t>
            </w:r>
          </w:p>
        </w:tc>
        <w:tc>
          <w:tcPr>
            <w:tcW w:w="6660" w:type="dxa"/>
          </w:tcPr>
          <w:p w14:paraId="163D9392" w14:textId="77777777" w:rsidR="00D20CB2" w:rsidRPr="00052F5F" w:rsidRDefault="00D20CB2" w:rsidP="002D6DD7">
            <w:pPr>
              <w:rPr>
                <w:rFonts w:cs="Times New Roman"/>
                <w:szCs w:val="24"/>
              </w:rPr>
            </w:pPr>
            <w:r w:rsidRPr="00052F5F">
              <w:rPr>
                <w:rFonts w:cs="Times New Roman"/>
                <w:szCs w:val="24"/>
              </w:rPr>
              <w:t>Tablet: 2.5 mg</w:t>
            </w:r>
          </w:p>
          <w:p w14:paraId="53531105" w14:textId="77777777" w:rsidR="00D20CB2" w:rsidRPr="00052F5F" w:rsidRDefault="00D20CB2" w:rsidP="002D6DD7">
            <w:pPr>
              <w:rPr>
                <w:rFonts w:cs="Times New Roman"/>
                <w:szCs w:val="24"/>
              </w:rPr>
            </w:pPr>
            <w:r w:rsidRPr="00052F5F">
              <w:rPr>
                <w:rFonts w:cs="Times New Roman"/>
                <w:szCs w:val="24"/>
              </w:rPr>
              <w:t>Capsule: 5 mg</w:t>
            </w:r>
          </w:p>
        </w:tc>
      </w:tr>
      <w:tr w:rsidR="00D20CB2" w:rsidRPr="00052F5F" w14:paraId="0B17345E" w14:textId="77777777" w:rsidTr="002D6DD7">
        <w:tc>
          <w:tcPr>
            <w:tcW w:w="2695" w:type="dxa"/>
          </w:tcPr>
          <w:p w14:paraId="62193222" w14:textId="77777777" w:rsidR="00D20CB2" w:rsidRPr="00052F5F" w:rsidRDefault="00D20CB2" w:rsidP="002D6DD7">
            <w:pPr>
              <w:rPr>
                <w:rFonts w:cs="Times New Roman"/>
                <w:szCs w:val="24"/>
              </w:rPr>
            </w:pPr>
            <w:r w:rsidRPr="00052F5F">
              <w:rPr>
                <w:rFonts w:cs="Times New Roman"/>
                <w:szCs w:val="24"/>
              </w:rPr>
              <w:t>Indications</w:t>
            </w:r>
          </w:p>
        </w:tc>
        <w:tc>
          <w:tcPr>
            <w:tcW w:w="6660" w:type="dxa"/>
          </w:tcPr>
          <w:p w14:paraId="7BA52F5E" w14:textId="77777777" w:rsidR="00D20CB2" w:rsidRPr="00052F5F" w:rsidRDefault="00D20CB2" w:rsidP="002D6DD7">
            <w:pPr>
              <w:rPr>
                <w:rFonts w:cs="Times New Roman"/>
                <w:szCs w:val="24"/>
              </w:rPr>
            </w:pPr>
            <w:r w:rsidRPr="00052F5F">
              <w:rPr>
                <w:rFonts w:cs="Times New Roman"/>
                <w:szCs w:val="24"/>
              </w:rPr>
              <w:t>Treatment of Parkinson’s disease, prevention of lactation, suppression of lactation, hypogonadism, galactorrhea, infertility, acromegaly, prolactinoma</w:t>
            </w:r>
          </w:p>
        </w:tc>
      </w:tr>
      <w:tr w:rsidR="00D20CB2" w:rsidRPr="00052F5F" w14:paraId="7CEBAFDB" w14:textId="77777777" w:rsidTr="002D6DD7">
        <w:tc>
          <w:tcPr>
            <w:tcW w:w="2695" w:type="dxa"/>
          </w:tcPr>
          <w:p w14:paraId="1440C082" w14:textId="77777777" w:rsidR="00D20CB2" w:rsidRPr="00052F5F" w:rsidRDefault="00D20CB2" w:rsidP="002D6DD7">
            <w:pPr>
              <w:rPr>
                <w:rFonts w:cs="Times New Roman"/>
                <w:szCs w:val="24"/>
              </w:rPr>
            </w:pPr>
            <w:r w:rsidRPr="00052F5F">
              <w:rPr>
                <w:rFonts w:cs="Times New Roman"/>
                <w:szCs w:val="24"/>
              </w:rPr>
              <w:t>Dose and Administration</w:t>
            </w:r>
          </w:p>
        </w:tc>
        <w:tc>
          <w:tcPr>
            <w:tcW w:w="6660" w:type="dxa"/>
          </w:tcPr>
          <w:p w14:paraId="13260436" w14:textId="77777777" w:rsidR="00D20CB2" w:rsidRPr="00052F5F" w:rsidRDefault="00D20CB2" w:rsidP="002D6DD7">
            <w:pPr>
              <w:rPr>
                <w:rFonts w:cs="Times New Roman"/>
                <w:b/>
                <w:iCs/>
                <w:szCs w:val="24"/>
              </w:rPr>
            </w:pPr>
            <w:r w:rsidRPr="00052F5F">
              <w:rPr>
                <w:rFonts w:cs="Times New Roman"/>
                <w:b/>
                <w:iCs/>
                <w:szCs w:val="24"/>
              </w:rPr>
              <w:t>Parkinsonism:</w:t>
            </w:r>
          </w:p>
          <w:p w14:paraId="347C3BF2" w14:textId="77777777" w:rsidR="00D20CB2" w:rsidRPr="00052F5F"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1.25 mg twice daily, increased by 2.5 mg/day at 2-to-4-week intervals; usual dose range 30-90 mg/day in 3 divided doses.</w:t>
            </w:r>
          </w:p>
          <w:p w14:paraId="1D1492D3" w14:textId="77777777" w:rsidR="00D20CB2" w:rsidRPr="00052F5F" w:rsidRDefault="00D20CB2" w:rsidP="002D6DD7">
            <w:pPr>
              <w:rPr>
                <w:rFonts w:cs="Times New Roman"/>
                <w:b/>
                <w:iCs/>
                <w:szCs w:val="24"/>
              </w:rPr>
            </w:pPr>
            <w:r w:rsidRPr="00052F5F">
              <w:rPr>
                <w:rFonts w:cs="Times New Roman"/>
                <w:b/>
                <w:iCs/>
                <w:szCs w:val="24"/>
              </w:rPr>
              <w:t>Prevention of lactation:</w:t>
            </w:r>
          </w:p>
          <w:p w14:paraId="39516F4F" w14:textId="77777777" w:rsidR="00D20CB2" w:rsidRPr="00052F5F"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Initially 2.5 mg daily for 1 day, then 2.5 mg twice daily for 14 days.</w:t>
            </w:r>
          </w:p>
          <w:p w14:paraId="04280E8F" w14:textId="77777777" w:rsidR="00D20CB2" w:rsidRPr="00052F5F" w:rsidRDefault="00D20CB2" w:rsidP="002D6DD7">
            <w:pPr>
              <w:rPr>
                <w:rFonts w:cs="Times New Roman"/>
                <w:b/>
                <w:iCs/>
                <w:szCs w:val="24"/>
              </w:rPr>
            </w:pPr>
            <w:r w:rsidRPr="00052F5F">
              <w:rPr>
                <w:rFonts w:cs="Times New Roman"/>
                <w:b/>
                <w:iCs/>
                <w:szCs w:val="24"/>
              </w:rPr>
              <w:t>Suppression of lactation:</w:t>
            </w:r>
          </w:p>
          <w:p w14:paraId="0FC323CC" w14:textId="77777777" w:rsidR="00D20CB2" w:rsidRPr="00052F5F"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Initially 2.5 mg daily for 2-3 days, then 2.5 mg twice daily for 14 days.</w:t>
            </w:r>
          </w:p>
          <w:p w14:paraId="4C410427" w14:textId="77777777" w:rsidR="00D20CB2" w:rsidRPr="00052F5F" w:rsidRDefault="00D20CB2" w:rsidP="002D6DD7">
            <w:pPr>
              <w:rPr>
                <w:rFonts w:cs="Times New Roman"/>
                <w:b/>
                <w:iCs/>
                <w:szCs w:val="24"/>
              </w:rPr>
            </w:pPr>
            <w:r w:rsidRPr="00052F5F">
              <w:rPr>
                <w:rFonts w:cs="Times New Roman"/>
                <w:b/>
                <w:iCs/>
                <w:szCs w:val="24"/>
              </w:rPr>
              <w:t>Hypogonadism / Galactorrhea / Infertility:</w:t>
            </w:r>
          </w:p>
          <w:p w14:paraId="75492B19" w14:textId="77777777" w:rsidR="00D20CB2" w:rsidRPr="00052F5F"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Initially 1-1.25 mg daily at bedtime, increased gradually; usual dose 7.5 mg daily in divided doses, up to 30 mg daily if necessary.</w:t>
            </w:r>
          </w:p>
          <w:p w14:paraId="1307639B" w14:textId="77777777" w:rsidR="00D20CB2" w:rsidRPr="00052F5F" w:rsidRDefault="00D20CB2" w:rsidP="002D6DD7">
            <w:pPr>
              <w:rPr>
                <w:rFonts w:cs="Times New Roman"/>
                <w:b/>
                <w:iCs/>
                <w:szCs w:val="24"/>
              </w:rPr>
            </w:pPr>
            <w:r w:rsidRPr="00052F5F">
              <w:rPr>
                <w:rFonts w:cs="Times New Roman"/>
                <w:b/>
                <w:iCs/>
                <w:szCs w:val="24"/>
              </w:rPr>
              <w:t>Acromegaly:</w:t>
            </w:r>
          </w:p>
          <w:p w14:paraId="1D84FF29" w14:textId="77777777" w:rsidR="00D20CB2"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Initially 1-1.25 mg daily at bedtime, increased to 5 mg every 6 hours, increased gradually.</w:t>
            </w:r>
          </w:p>
          <w:p w14:paraId="123D972C" w14:textId="77777777" w:rsidR="00D20CB2" w:rsidRPr="00226D51" w:rsidRDefault="00D20CB2" w:rsidP="002D6DD7">
            <w:pPr>
              <w:jc w:val="both"/>
              <w:rPr>
                <w:rFonts w:cs="Times New Roman"/>
                <w:b/>
                <w:iCs/>
                <w:szCs w:val="24"/>
              </w:rPr>
            </w:pPr>
            <w:r w:rsidRPr="00226D51">
              <w:rPr>
                <w:rFonts w:cs="Times New Roman"/>
                <w:b/>
                <w:iCs/>
                <w:szCs w:val="24"/>
              </w:rPr>
              <w:t>Child</w:t>
            </w:r>
            <w:r w:rsidR="007625AA">
              <w:rPr>
                <w:rFonts w:cs="Times New Roman"/>
                <w:b/>
                <w:iCs/>
                <w:szCs w:val="24"/>
              </w:rPr>
              <w:t>:</w:t>
            </w:r>
          </w:p>
          <w:p w14:paraId="5FDD2D34" w14:textId="77777777" w:rsidR="00D20CB2" w:rsidRPr="00052F5F" w:rsidRDefault="00D20CB2" w:rsidP="002D6DD7">
            <w:pPr>
              <w:jc w:val="both"/>
              <w:rPr>
                <w:rFonts w:cs="Times New Roman"/>
                <w:bCs/>
                <w:szCs w:val="24"/>
              </w:rPr>
            </w:pPr>
            <w:r w:rsidRPr="00052F5F">
              <w:rPr>
                <w:rFonts w:cs="Times New Roman"/>
                <w:bCs/>
                <w:szCs w:val="24"/>
              </w:rPr>
              <w:t xml:space="preserve">Initial </w:t>
            </w:r>
            <w:r>
              <w:rPr>
                <w:rFonts w:cs="Times New Roman"/>
                <w:bCs/>
                <w:szCs w:val="24"/>
              </w:rPr>
              <w:t>d</w:t>
            </w:r>
            <w:r w:rsidRPr="00052F5F">
              <w:rPr>
                <w:rFonts w:cs="Times New Roman"/>
                <w:bCs/>
                <w:szCs w:val="24"/>
              </w:rPr>
              <w:t>ose: 1.25 mg once daily with food.</w:t>
            </w:r>
          </w:p>
          <w:p w14:paraId="431C02E6" w14:textId="77777777" w:rsidR="00D20CB2" w:rsidRPr="00052F5F" w:rsidRDefault="00D20CB2" w:rsidP="002D6DD7">
            <w:pPr>
              <w:jc w:val="both"/>
              <w:rPr>
                <w:rFonts w:cs="Times New Roman"/>
                <w:bCs/>
                <w:iCs/>
                <w:szCs w:val="24"/>
              </w:rPr>
            </w:pPr>
            <w:r w:rsidRPr="00052F5F">
              <w:rPr>
                <w:rFonts w:cs="Times New Roman"/>
                <w:bCs/>
                <w:szCs w:val="24"/>
              </w:rPr>
              <w:lastRenderedPageBreak/>
              <w:t xml:space="preserve">Maintenance </w:t>
            </w:r>
            <w:r>
              <w:rPr>
                <w:rFonts w:cs="Times New Roman"/>
                <w:bCs/>
                <w:szCs w:val="24"/>
              </w:rPr>
              <w:t>d</w:t>
            </w:r>
            <w:r w:rsidRPr="00052F5F">
              <w:rPr>
                <w:rFonts w:cs="Times New Roman"/>
                <w:bCs/>
                <w:szCs w:val="24"/>
              </w:rPr>
              <w:t>ose: Increase gradually by 1.25 mg to 2.5 mg every 3 to 7 days as tolerated. Typical maintenance dose ranges from 5 mg to 20 mg per day in divided doses.</w:t>
            </w:r>
          </w:p>
          <w:p w14:paraId="24A817AF" w14:textId="77777777" w:rsidR="00D20CB2" w:rsidRPr="00052F5F" w:rsidRDefault="00D20CB2" w:rsidP="002D6DD7">
            <w:pPr>
              <w:rPr>
                <w:rFonts w:cs="Times New Roman"/>
                <w:b/>
                <w:iCs/>
                <w:szCs w:val="24"/>
              </w:rPr>
            </w:pPr>
            <w:r w:rsidRPr="00052F5F">
              <w:rPr>
                <w:rFonts w:cs="Times New Roman"/>
                <w:b/>
                <w:iCs/>
                <w:szCs w:val="24"/>
              </w:rPr>
              <w:t>Prolactinoma:</w:t>
            </w:r>
          </w:p>
          <w:p w14:paraId="5FA15E27" w14:textId="77777777" w:rsidR="00D20CB2" w:rsidRPr="00052F5F" w:rsidRDefault="00D20CB2" w:rsidP="002D6DD7">
            <w:pPr>
              <w:jc w:val="both"/>
              <w:rPr>
                <w:rFonts w:cs="Times New Roman"/>
                <w:bCs/>
                <w:iCs/>
                <w:szCs w:val="24"/>
              </w:rPr>
            </w:pPr>
            <w:r w:rsidRPr="00052F5F">
              <w:rPr>
                <w:rFonts w:cs="Times New Roman"/>
                <w:b/>
                <w:iCs/>
                <w:szCs w:val="24"/>
              </w:rPr>
              <w:t>Adult:</w:t>
            </w:r>
            <w:r w:rsidRPr="00052F5F">
              <w:rPr>
                <w:rFonts w:cs="Times New Roman"/>
                <w:bCs/>
                <w:iCs/>
                <w:szCs w:val="24"/>
              </w:rPr>
              <w:t xml:space="preserve"> Initially 1-1.25 mg daily at bedtime, increased to 5 mg every 6 hours, increased gradually; up to 30 mg daily if necessary.</w:t>
            </w:r>
          </w:p>
          <w:p w14:paraId="4CA5E63E" w14:textId="77777777" w:rsidR="00D20CB2" w:rsidRPr="00052F5F" w:rsidRDefault="00D20CB2" w:rsidP="002D6DD7">
            <w:pPr>
              <w:jc w:val="both"/>
              <w:rPr>
                <w:rFonts w:cs="Times New Roman"/>
                <w:b/>
                <w:szCs w:val="24"/>
              </w:rPr>
            </w:pPr>
            <w:r w:rsidRPr="00052F5F">
              <w:rPr>
                <w:rFonts w:cs="Times New Roman"/>
                <w:b/>
                <w:szCs w:val="24"/>
              </w:rPr>
              <w:t>Amenorrhea and infertility associated with hyperprolactinemia:</w:t>
            </w:r>
          </w:p>
          <w:p w14:paraId="137EBDD4" w14:textId="77777777" w:rsidR="00D20CB2" w:rsidRPr="00052F5F" w:rsidRDefault="00D20CB2" w:rsidP="002D6DD7">
            <w:pPr>
              <w:jc w:val="both"/>
              <w:rPr>
                <w:rFonts w:cs="Times New Roman"/>
                <w:bCs/>
                <w:szCs w:val="24"/>
              </w:rPr>
            </w:pPr>
            <w:r w:rsidRPr="00052F5F">
              <w:rPr>
                <w:rFonts w:cs="Times New Roman"/>
                <w:bCs/>
                <w:szCs w:val="24"/>
              </w:rPr>
              <w:t xml:space="preserve">Initial </w:t>
            </w:r>
            <w:r>
              <w:rPr>
                <w:rFonts w:cs="Times New Roman"/>
                <w:bCs/>
                <w:szCs w:val="24"/>
              </w:rPr>
              <w:t>d</w:t>
            </w:r>
            <w:r w:rsidRPr="00052F5F">
              <w:rPr>
                <w:rFonts w:cs="Times New Roman"/>
                <w:bCs/>
                <w:szCs w:val="24"/>
              </w:rPr>
              <w:t>ose: 1.25 mg to 2.5 mg once daily with food.</w:t>
            </w:r>
          </w:p>
          <w:p w14:paraId="004537AD" w14:textId="77777777" w:rsidR="00D20CB2" w:rsidRPr="00052F5F" w:rsidRDefault="00D20CB2" w:rsidP="002D6DD7">
            <w:pPr>
              <w:jc w:val="both"/>
              <w:rPr>
                <w:rFonts w:cs="Times New Roman"/>
                <w:bCs/>
                <w:szCs w:val="24"/>
              </w:rPr>
            </w:pPr>
            <w:r w:rsidRPr="00052F5F">
              <w:rPr>
                <w:rFonts w:cs="Times New Roman"/>
                <w:bCs/>
                <w:szCs w:val="24"/>
              </w:rPr>
              <w:t xml:space="preserve">Maintenance </w:t>
            </w:r>
            <w:r>
              <w:rPr>
                <w:rFonts w:cs="Times New Roman"/>
                <w:bCs/>
                <w:szCs w:val="24"/>
              </w:rPr>
              <w:t>d</w:t>
            </w:r>
            <w:r w:rsidRPr="00052F5F">
              <w:rPr>
                <w:rFonts w:cs="Times New Roman"/>
                <w:bCs/>
                <w:szCs w:val="24"/>
              </w:rPr>
              <w:t>ose: Increase gradually by 2.5 mg every 3 to 7 days as tolerated. Typical maintenance dose ranges from 2.5 mg to 15 mg per day in divided doses.</w:t>
            </w:r>
          </w:p>
          <w:p w14:paraId="7A758A29" w14:textId="77777777" w:rsidR="00D20CB2" w:rsidRPr="00052F5F" w:rsidRDefault="00D20CB2" w:rsidP="002D6DD7">
            <w:pPr>
              <w:jc w:val="both"/>
              <w:rPr>
                <w:rFonts w:cs="Times New Roman"/>
                <w:b/>
                <w:szCs w:val="24"/>
              </w:rPr>
            </w:pPr>
            <w:r w:rsidRPr="00052F5F">
              <w:rPr>
                <w:rFonts w:cs="Times New Roman"/>
                <w:b/>
                <w:szCs w:val="24"/>
              </w:rPr>
              <w:t>Child</w:t>
            </w:r>
            <w:r w:rsidR="007625AA">
              <w:rPr>
                <w:rFonts w:cs="Times New Roman"/>
                <w:b/>
                <w:szCs w:val="24"/>
              </w:rPr>
              <w:t>:</w:t>
            </w:r>
          </w:p>
          <w:p w14:paraId="0A424E72" w14:textId="77777777" w:rsidR="00D20CB2" w:rsidRPr="00052F5F" w:rsidRDefault="00D20CB2" w:rsidP="002D6DD7">
            <w:pPr>
              <w:jc w:val="both"/>
              <w:rPr>
                <w:rFonts w:cs="Times New Roman"/>
                <w:b/>
                <w:szCs w:val="24"/>
              </w:rPr>
            </w:pPr>
            <w:r w:rsidRPr="00052F5F">
              <w:rPr>
                <w:rFonts w:cs="Times New Roman"/>
                <w:b/>
                <w:szCs w:val="24"/>
              </w:rPr>
              <w:t>Hyperprolactinemia:</w:t>
            </w:r>
          </w:p>
          <w:p w14:paraId="2CC81D8B" w14:textId="77777777" w:rsidR="00D20CB2" w:rsidRPr="00052F5F" w:rsidRDefault="00D20CB2" w:rsidP="002D6DD7">
            <w:pPr>
              <w:jc w:val="both"/>
              <w:rPr>
                <w:rFonts w:cs="Times New Roman"/>
                <w:bCs/>
                <w:szCs w:val="24"/>
              </w:rPr>
            </w:pPr>
            <w:r w:rsidRPr="00052F5F">
              <w:rPr>
                <w:rFonts w:cs="Times New Roman"/>
                <w:bCs/>
                <w:szCs w:val="24"/>
              </w:rPr>
              <w:t xml:space="preserve">Initial </w:t>
            </w:r>
            <w:r>
              <w:rPr>
                <w:rFonts w:cs="Times New Roman"/>
                <w:bCs/>
                <w:szCs w:val="24"/>
              </w:rPr>
              <w:t>d</w:t>
            </w:r>
            <w:r w:rsidRPr="00052F5F">
              <w:rPr>
                <w:rFonts w:cs="Times New Roman"/>
                <w:bCs/>
                <w:szCs w:val="24"/>
              </w:rPr>
              <w:t>ose: 1.25 mg once daily with food.</w:t>
            </w:r>
          </w:p>
          <w:p w14:paraId="142224D5" w14:textId="77777777" w:rsidR="00D20CB2" w:rsidRPr="00052F5F" w:rsidRDefault="00D20CB2" w:rsidP="002D6DD7">
            <w:pPr>
              <w:jc w:val="both"/>
              <w:rPr>
                <w:rFonts w:cs="Times New Roman"/>
                <w:bCs/>
                <w:szCs w:val="24"/>
              </w:rPr>
            </w:pPr>
            <w:r w:rsidRPr="00052F5F">
              <w:rPr>
                <w:rFonts w:cs="Times New Roman"/>
                <w:bCs/>
                <w:szCs w:val="24"/>
              </w:rPr>
              <w:t xml:space="preserve">Maintenance </w:t>
            </w:r>
            <w:r>
              <w:rPr>
                <w:rFonts w:cs="Times New Roman"/>
                <w:bCs/>
                <w:szCs w:val="24"/>
              </w:rPr>
              <w:t>d</w:t>
            </w:r>
            <w:r w:rsidRPr="00052F5F">
              <w:rPr>
                <w:rFonts w:cs="Times New Roman"/>
                <w:bCs/>
                <w:szCs w:val="24"/>
              </w:rPr>
              <w:t>ose: Increase gradually by 1.25 mg to 2.5 mg every 3 to 7 days as tolerated. Typical maintenance dose ranges from 2.5 mg to 10 mg per day in divided doses.</w:t>
            </w:r>
          </w:p>
        </w:tc>
      </w:tr>
      <w:tr w:rsidR="00D20CB2" w:rsidRPr="00052F5F" w14:paraId="151D0996" w14:textId="77777777" w:rsidTr="002D6DD7">
        <w:tc>
          <w:tcPr>
            <w:tcW w:w="2695" w:type="dxa"/>
          </w:tcPr>
          <w:p w14:paraId="78C65266" w14:textId="77777777" w:rsidR="00D20CB2" w:rsidRPr="00052F5F" w:rsidRDefault="00D20CB2" w:rsidP="002D6DD7">
            <w:pPr>
              <w:rPr>
                <w:rFonts w:cs="Times New Roman"/>
                <w:szCs w:val="24"/>
              </w:rPr>
            </w:pPr>
            <w:r w:rsidRPr="00052F5F">
              <w:rPr>
                <w:rFonts w:cs="Times New Roman"/>
                <w:szCs w:val="24"/>
              </w:rPr>
              <w:lastRenderedPageBreak/>
              <w:t>Contraindications</w:t>
            </w:r>
          </w:p>
        </w:tc>
        <w:tc>
          <w:tcPr>
            <w:tcW w:w="6660" w:type="dxa"/>
          </w:tcPr>
          <w:p w14:paraId="6B541E58" w14:textId="77777777" w:rsidR="00D20CB2" w:rsidRPr="00052F5F" w:rsidRDefault="00D20CB2" w:rsidP="002D6DD7">
            <w:pPr>
              <w:jc w:val="both"/>
              <w:rPr>
                <w:rFonts w:cs="Times New Roman"/>
                <w:szCs w:val="24"/>
              </w:rPr>
            </w:pPr>
            <w:r w:rsidRPr="00052F5F">
              <w:rPr>
                <w:rFonts w:cs="Times New Roman"/>
                <w:szCs w:val="24"/>
              </w:rPr>
              <w:t xml:space="preserve">Hypersensitivity to </w:t>
            </w:r>
            <w:r>
              <w:rPr>
                <w:rFonts w:cs="Times New Roman"/>
                <w:szCs w:val="24"/>
              </w:rPr>
              <w:t>the drug</w:t>
            </w:r>
            <w:r w:rsidRPr="00052F5F">
              <w:rPr>
                <w:rFonts w:cs="Times New Roman"/>
                <w:szCs w:val="24"/>
              </w:rPr>
              <w:t xml:space="preserve"> or other ergot alkaloids, ischemic heart disease, toxemia of pregnancy, hypertension in postpartum women or puerperium.</w:t>
            </w:r>
          </w:p>
        </w:tc>
      </w:tr>
      <w:tr w:rsidR="00D20CB2" w:rsidRPr="00052F5F" w14:paraId="1386D24A" w14:textId="77777777" w:rsidTr="002D6DD7">
        <w:tc>
          <w:tcPr>
            <w:tcW w:w="2695" w:type="dxa"/>
          </w:tcPr>
          <w:p w14:paraId="16057D76" w14:textId="77777777" w:rsidR="00D20CB2" w:rsidRPr="00052F5F" w:rsidRDefault="00D20CB2" w:rsidP="002D6DD7">
            <w:pPr>
              <w:rPr>
                <w:rFonts w:cs="Times New Roman"/>
                <w:szCs w:val="24"/>
              </w:rPr>
            </w:pPr>
            <w:r w:rsidRPr="00052F5F">
              <w:rPr>
                <w:rFonts w:cs="Times New Roman"/>
                <w:szCs w:val="24"/>
              </w:rPr>
              <w:t>Drug interactions</w:t>
            </w:r>
          </w:p>
        </w:tc>
        <w:tc>
          <w:tcPr>
            <w:tcW w:w="6660" w:type="dxa"/>
          </w:tcPr>
          <w:p w14:paraId="6BAAD3A8" w14:textId="77777777" w:rsidR="00D20CB2" w:rsidRPr="00052F5F" w:rsidRDefault="00D20CB2" w:rsidP="002D6DD7">
            <w:pPr>
              <w:rPr>
                <w:rFonts w:cs="Times New Roman"/>
                <w:szCs w:val="24"/>
              </w:rPr>
            </w:pPr>
            <w:r w:rsidRPr="00052F5F">
              <w:rPr>
                <w:rFonts w:cs="Times New Roman"/>
                <w:szCs w:val="24"/>
              </w:rPr>
              <w:t>Azole antifungals, clarithromycin, erythromycin, protease inhibitors, antihypertensive agents, levodopa</w:t>
            </w:r>
          </w:p>
        </w:tc>
      </w:tr>
      <w:tr w:rsidR="00D20CB2" w:rsidRPr="00052F5F" w14:paraId="63988564" w14:textId="77777777" w:rsidTr="002D6DD7">
        <w:tc>
          <w:tcPr>
            <w:tcW w:w="2695" w:type="dxa"/>
          </w:tcPr>
          <w:p w14:paraId="363E16E8"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660" w:type="dxa"/>
          </w:tcPr>
          <w:p w14:paraId="07019AB3" w14:textId="77777777" w:rsidR="00D20CB2" w:rsidRPr="00052F5F" w:rsidRDefault="00D20CB2" w:rsidP="002D6DD7">
            <w:pPr>
              <w:rPr>
                <w:rFonts w:cs="Times New Roman"/>
                <w:szCs w:val="24"/>
              </w:rPr>
            </w:pPr>
            <w:r w:rsidRPr="00052F5F">
              <w:rPr>
                <w:rFonts w:cs="Times New Roman"/>
                <w:szCs w:val="24"/>
              </w:rPr>
              <w:t>Nausea, constipation, headache, drowsiness, nasal congestion, vomiting, postural hypotension, fatigue, dizziness, dyskinesia, dry oral, leg cramps, constrictive pericarditis, pericardial effusion, pleural effusion, retroperitoneal fibrosis, hair loss, allergic skin reactions.</w:t>
            </w:r>
          </w:p>
        </w:tc>
      </w:tr>
      <w:tr w:rsidR="00D20CB2" w:rsidRPr="00052F5F" w14:paraId="7BE54111" w14:textId="77777777" w:rsidTr="002D6DD7">
        <w:tc>
          <w:tcPr>
            <w:tcW w:w="2695" w:type="dxa"/>
          </w:tcPr>
          <w:p w14:paraId="6D42284A" w14:textId="77777777" w:rsidR="00D20CB2" w:rsidRPr="00052F5F" w:rsidRDefault="00D20CB2" w:rsidP="002D6DD7">
            <w:pPr>
              <w:rPr>
                <w:rFonts w:cs="Times New Roman"/>
                <w:szCs w:val="24"/>
              </w:rPr>
            </w:pPr>
            <w:r w:rsidRPr="00052F5F">
              <w:rPr>
                <w:rFonts w:cs="Times New Roman"/>
                <w:szCs w:val="24"/>
              </w:rPr>
              <w:t xml:space="preserve">Cautions </w:t>
            </w:r>
          </w:p>
        </w:tc>
        <w:tc>
          <w:tcPr>
            <w:tcW w:w="6660" w:type="dxa"/>
          </w:tcPr>
          <w:p w14:paraId="1E108C5B" w14:textId="77777777" w:rsidR="00D20CB2" w:rsidRPr="00052F5F" w:rsidRDefault="00D20CB2" w:rsidP="002D6DD7">
            <w:pPr>
              <w:jc w:val="both"/>
              <w:rPr>
                <w:rFonts w:cs="Times New Roman"/>
                <w:szCs w:val="24"/>
              </w:rPr>
            </w:pPr>
            <w:r w:rsidRPr="00052F5F">
              <w:rPr>
                <w:rFonts w:cs="Times New Roman"/>
                <w:szCs w:val="24"/>
              </w:rPr>
              <w:t xml:space="preserve">Porphyria, hepatic impairment, cardiovascular disease, </w:t>
            </w:r>
            <w:r>
              <w:rPr>
                <w:rFonts w:cs="Times New Roman"/>
                <w:szCs w:val="24"/>
              </w:rPr>
              <w:t>h</w:t>
            </w:r>
            <w:r w:rsidRPr="00052F5F">
              <w:rPr>
                <w:rFonts w:cs="Times New Roman"/>
                <w:szCs w:val="24"/>
              </w:rPr>
              <w:t>ypotension, serious mental disorders, Raynaud's syndrome</w:t>
            </w:r>
          </w:p>
        </w:tc>
      </w:tr>
      <w:tr w:rsidR="00D20CB2" w:rsidRPr="00052F5F" w14:paraId="63E2079C" w14:textId="77777777" w:rsidTr="002D6DD7">
        <w:tc>
          <w:tcPr>
            <w:tcW w:w="2695" w:type="dxa"/>
          </w:tcPr>
          <w:p w14:paraId="24FE2A5B" w14:textId="77777777" w:rsidR="00D20CB2" w:rsidRPr="00052F5F" w:rsidRDefault="00D20CB2" w:rsidP="002D6DD7">
            <w:pPr>
              <w:rPr>
                <w:rFonts w:cs="Times New Roman"/>
                <w:szCs w:val="24"/>
              </w:rPr>
            </w:pPr>
            <w:r w:rsidRPr="00052F5F">
              <w:rPr>
                <w:rFonts w:cs="Times New Roman"/>
                <w:szCs w:val="24"/>
              </w:rPr>
              <w:t>Storage condition</w:t>
            </w:r>
          </w:p>
        </w:tc>
        <w:tc>
          <w:tcPr>
            <w:tcW w:w="6660" w:type="dxa"/>
          </w:tcPr>
          <w:p w14:paraId="45AB9E3B" w14:textId="77777777" w:rsidR="00D20CB2" w:rsidRPr="00052F5F" w:rsidRDefault="00D20CB2" w:rsidP="002D6DD7">
            <w:pPr>
              <w:rPr>
                <w:rFonts w:cs="Times New Roman"/>
                <w:szCs w:val="24"/>
              </w:rPr>
            </w:pPr>
            <w:r w:rsidRPr="00052F5F">
              <w:rPr>
                <w:rFonts w:cs="Times New Roman"/>
                <w:szCs w:val="24"/>
              </w:rPr>
              <w:t>Store below 30</w:t>
            </w:r>
            <w:r w:rsidRPr="00E338E8">
              <w:rPr>
                <w:rFonts w:cs="Times New Roman"/>
                <w:szCs w:val="24"/>
                <w:vertAlign w:val="superscript"/>
              </w:rPr>
              <w:t>0</w:t>
            </w:r>
            <w:r w:rsidRPr="00052F5F">
              <w:rPr>
                <w:rFonts w:cs="Times New Roman"/>
                <w:szCs w:val="24"/>
              </w:rPr>
              <w:t>C</w:t>
            </w:r>
            <w:r>
              <w:rPr>
                <w:rFonts w:cs="Times New Roman"/>
                <w:szCs w:val="24"/>
              </w:rPr>
              <w:t>. P</w:t>
            </w:r>
            <w:r w:rsidRPr="00052F5F">
              <w:rPr>
                <w:rFonts w:cs="Times New Roman"/>
                <w:szCs w:val="24"/>
              </w:rPr>
              <w:t>rotect from light.</w:t>
            </w:r>
          </w:p>
        </w:tc>
      </w:tr>
      <w:tr w:rsidR="00D20CB2" w:rsidRPr="00052F5F" w14:paraId="61450DAF" w14:textId="77777777" w:rsidTr="002D6DD7">
        <w:tc>
          <w:tcPr>
            <w:tcW w:w="9355" w:type="dxa"/>
            <w:gridSpan w:val="2"/>
          </w:tcPr>
          <w:p w14:paraId="714AE521" w14:textId="77777777" w:rsidR="00D20CB2" w:rsidRPr="00052F5F" w:rsidRDefault="00D20CB2" w:rsidP="002D6DD7">
            <w:pPr>
              <w:rPr>
                <w:rFonts w:cs="Times New Roman"/>
                <w:b/>
                <w:bCs/>
                <w:szCs w:val="24"/>
              </w:rPr>
            </w:pPr>
            <w:bookmarkStart w:id="150" w:name="_Toc168317014"/>
            <w:r w:rsidRPr="00052F5F">
              <w:rPr>
                <w:rFonts w:cs="Times New Roman"/>
                <w:b/>
                <w:bCs/>
                <w:szCs w:val="24"/>
              </w:rPr>
              <w:lastRenderedPageBreak/>
              <w:t>Cabergoline</w:t>
            </w:r>
            <w:bookmarkEnd w:id="150"/>
          </w:p>
        </w:tc>
      </w:tr>
      <w:tr w:rsidR="00D20CB2" w:rsidRPr="00052F5F" w14:paraId="5ADA495D" w14:textId="77777777" w:rsidTr="002D6DD7">
        <w:tc>
          <w:tcPr>
            <w:tcW w:w="2695" w:type="dxa"/>
          </w:tcPr>
          <w:p w14:paraId="312AE597" w14:textId="77777777" w:rsidR="00D20CB2" w:rsidRPr="00052F5F" w:rsidRDefault="00D20CB2" w:rsidP="002D6DD7">
            <w:pPr>
              <w:rPr>
                <w:rFonts w:cs="Times New Roman"/>
                <w:szCs w:val="24"/>
              </w:rPr>
            </w:pPr>
            <w:r w:rsidRPr="00052F5F">
              <w:rPr>
                <w:rFonts w:cs="Times New Roman"/>
                <w:szCs w:val="24"/>
              </w:rPr>
              <w:t xml:space="preserve">Pharmacological class </w:t>
            </w:r>
          </w:p>
        </w:tc>
        <w:tc>
          <w:tcPr>
            <w:tcW w:w="6660" w:type="dxa"/>
          </w:tcPr>
          <w:p w14:paraId="55B6A4BA" w14:textId="77777777" w:rsidR="00D20CB2" w:rsidRPr="00052F5F" w:rsidRDefault="00D20CB2" w:rsidP="002D6DD7">
            <w:pPr>
              <w:rPr>
                <w:rFonts w:cs="Times New Roman"/>
                <w:color w:val="231F20"/>
                <w:szCs w:val="24"/>
              </w:rPr>
            </w:pPr>
            <w:r w:rsidRPr="00052F5F">
              <w:rPr>
                <w:rFonts w:cs="Times New Roman"/>
                <w:color w:val="231F20"/>
                <w:szCs w:val="24"/>
              </w:rPr>
              <w:t>Dopamine receptor agonist</w:t>
            </w:r>
          </w:p>
        </w:tc>
      </w:tr>
      <w:tr w:rsidR="00D20CB2" w:rsidRPr="00052F5F" w14:paraId="305CDBB5" w14:textId="77777777" w:rsidTr="002D6DD7">
        <w:tc>
          <w:tcPr>
            <w:tcW w:w="2695" w:type="dxa"/>
          </w:tcPr>
          <w:p w14:paraId="033D4DCE" w14:textId="77777777" w:rsidR="00D20CB2" w:rsidRPr="00052F5F" w:rsidRDefault="00D20CB2" w:rsidP="002D6DD7">
            <w:pPr>
              <w:rPr>
                <w:rFonts w:cs="Times New Roman"/>
                <w:szCs w:val="24"/>
              </w:rPr>
            </w:pPr>
            <w:r w:rsidRPr="00052F5F">
              <w:rPr>
                <w:rFonts w:cs="Times New Roman"/>
                <w:szCs w:val="24"/>
              </w:rPr>
              <w:t>Dosage form</w:t>
            </w:r>
          </w:p>
        </w:tc>
        <w:tc>
          <w:tcPr>
            <w:tcW w:w="6660" w:type="dxa"/>
          </w:tcPr>
          <w:p w14:paraId="61DE8338" w14:textId="77777777" w:rsidR="00D20CB2" w:rsidRPr="00052F5F" w:rsidRDefault="00D20CB2" w:rsidP="002D6DD7">
            <w:pPr>
              <w:rPr>
                <w:rFonts w:cs="Times New Roman"/>
                <w:szCs w:val="24"/>
              </w:rPr>
            </w:pPr>
            <w:r w:rsidRPr="00052F5F">
              <w:rPr>
                <w:rFonts w:cs="Times New Roman"/>
                <w:szCs w:val="24"/>
              </w:rPr>
              <w:t>Tablet: 0.5 mg</w:t>
            </w:r>
          </w:p>
        </w:tc>
      </w:tr>
      <w:tr w:rsidR="00D20CB2" w:rsidRPr="00052F5F" w14:paraId="15A75BAC" w14:textId="77777777" w:rsidTr="002D6DD7">
        <w:tc>
          <w:tcPr>
            <w:tcW w:w="2695" w:type="dxa"/>
          </w:tcPr>
          <w:p w14:paraId="7565697F" w14:textId="77777777" w:rsidR="00D20CB2" w:rsidRPr="00052F5F" w:rsidRDefault="00D20CB2" w:rsidP="002D6DD7">
            <w:pPr>
              <w:rPr>
                <w:rFonts w:cs="Times New Roman"/>
                <w:szCs w:val="24"/>
              </w:rPr>
            </w:pPr>
            <w:r w:rsidRPr="00052F5F">
              <w:rPr>
                <w:rFonts w:cs="Times New Roman"/>
                <w:szCs w:val="24"/>
              </w:rPr>
              <w:t>Indications</w:t>
            </w:r>
          </w:p>
        </w:tc>
        <w:tc>
          <w:tcPr>
            <w:tcW w:w="6660" w:type="dxa"/>
          </w:tcPr>
          <w:p w14:paraId="4E8D168F" w14:textId="77777777" w:rsidR="00D20CB2" w:rsidRPr="00052F5F" w:rsidRDefault="00D20CB2" w:rsidP="002D6DD7">
            <w:pPr>
              <w:rPr>
                <w:rFonts w:cs="Times New Roman"/>
                <w:iCs/>
                <w:szCs w:val="24"/>
              </w:rPr>
            </w:pPr>
            <w:r w:rsidRPr="00052F5F">
              <w:rPr>
                <w:rFonts w:cs="Times New Roman"/>
                <w:iCs/>
                <w:szCs w:val="24"/>
              </w:rPr>
              <w:t>Hyperprolactinemia (including prolactin-secreting adenomas and idiopathic or post-traumatic hyperprolactinemia),</w:t>
            </w:r>
          </w:p>
        </w:tc>
      </w:tr>
      <w:tr w:rsidR="00D20CB2" w:rsidRPr="00052F5F" w14:paraId="3250356E" w14:textId="77777777" w:rsidTr="002D6DD7">
        <w:tc>
          <w:tcPr>
            <w:tcW w:w="2695" w:type="dxa"/>
          </w:tcPr>
          <w:p w14:paraId="5074824A" w14:textId="77777777" w:rsidR="00D20CB2" w:rsidRPr="00052F5F" w:rsidRDefault="00D20CB2" w:rsidP="002D6DD7">
            <w:pPr>
              <w:rPr>
                <w:rFonts w:cs="Times New Roman"/>
                <w:szCs w:val="24"/>
              </w:rPr>
            </w:pPr>
            <w:r w:rsidRPr="00052F5F">
              <w:rPr>
                <w:rFonts w:cs="Times New Roman"/>
                <w:szCs w:val="24"/>
              </w:rPr>
              <w:t>Dose and administration</w:t>
            </w:r>
          </w:p>
        </w:tc>
        <w:tc>
          <w:tcPr>
            <w:tcW w:w="6660" w:type="dxa"/>
          </w:tcPr>
          <w:p w14:paraId="20B7428D" w14:textId="77777777" w:rsidR="00D20CB2" w:rsidRPr="00052F5F" w:rsidRDefault="00D20CB2" w:rsidP="002D6DD7">
            <w:pPr>
              <w:rPr>
                <w:rFonts w:cs="Times New Roman"/>
                <w:b/>
                <w:bCs/>
                <w:color w:val="231F20"/>
                <w:szCs w:val="24"/>
              </w:rPr>
            </w:pPr>
            <w:r w:rsidRPr="00052F5F">
              <w:rPr>
                <w:rFonts w:cs="Times New Roman"/>
                <w:b/>
                <w:bCs/>
                <w:color w:val="231F20"/>
                <w:szCs w:val="24"/>
              </w:rPr>
              <w:t>Prevention of lactation:</w:t>
            </w:r>
          </w:p>
          <w:p w14:paraId="3180E3C1" w14:textId="77777777" w:rsidR="00D20CB2" w:rsidRPr="00052F5F" w:rsidRDefault="00D20CB2" w:rsidP="002D6DD7">
            <w:pPr>
              <w:rPr>
                <w:rFonts w:cs="Times New Roman"/>
                <w:color w:val="231F20"/>
                <w:szCs w:val="24"/>
              </w:rPr>
            </w:pPr>
            <w:r w:rsidRPr="00052F5F">
              <w:rPr>
                <w:rFonts w:cs="Times New Roman"/>
                <w:b/>
                <w:bCs/>
                <w:color w:val="231F20"/>
                <w:szCs w:val="24"/>
              </w:rPr>
              <w:t>Adult:</w:t>
            </w:r>
            <w:r w:rsidRPr="00052F5F">
              <w:rPr>
                <w:rFonts w:cs="Times New Roman"/>
                <w:color w:val="231F20"/>
                <w:szCs w:val="24"/>
              </w:rPr>
              <w:t xml:space="preserve"> 1 mg as a single dose on the first day postpartum.</w:t>
            </w:r>
          </w:p>
          <w:p w14:paraId="38AE365C" w14:textId="77777777" w:rsidR="00D20CB2" w:rsidRPr="00052F5F" w:rsidRDefault="00D20CB2" w:rsidP="002D6DD7">
            <w:pPr>
              <w:rPr>
                <w:rFonts w:cs="Times New Roman"/>
                <w:b/>
                <w:bCs/>
                <w:color w:val="231F20"/>
                <w:szCs w:val="24"/>
              </w:rPr>
            </w:pPr>
            <w:r w:rsidRPr="00052F5F">
              <w:rPr>
                <w:rFonts w:cs="Times New Roman"/>
                <w:b/>
                <w:bCs/>
                <w:color w:val="231F20"/>
                <w:szCs w:val="24"/>
              </w:rPr>
              <w:t>Suppression of established lactation:</w:t>
            </w:r>
          </w:p>
          <w:p w14:paraId="0E6839B2" w14:textId="77777777" w:rsidR="00D20CB2" w:rsidRPr="00052F5F" w:rsidRDefault="00D20CB2" w:rsidP="002D6DD7">
            <w:pPr>
              <w:rPr>
                <w:rFonts w:cs="Times New Roman"/>
                <w:color w:val="231F20"/>
                <w:szCs w:val="24"/>
              </w:rPr>
            </w:pPr>
            <w:r w:rsidRPr="00052F5F">
              <w:rPr>
                <w:rFonts w:cs="Times New Roman"/>
                <w:b/>
                <w:bCs/>
                <w:color w:val="231F20"/>
                <w:szCs w:val="24"/>
              </w:rPr>
              <w:t>Adult:</w:t>
            </w:r>
            <w:r w:rsidRPr="00052F5F">
              <w:rPr>
                <w:rFonts w:cs="Times New Roman"/>
                <w:color w:val="231F20"/>
                <w:szCs w:val="24"/>
              </w:rPr>
              <w:t xml:space="preserve"> 250 mcg</w:t>
            </w:r>
            <w:r>
              <w:rPr>
                <w:rFonts w:cs="Times New Roman"/>
                <w:color w:val="231F20"/>
                <w:szCs w:val="24"/>
              </w:rPr>
              <w:t xml:space="preserve"> </w:t>
            </w:r>
            <w:r w:rsidRPr="00052F5F">
              <w:rPr>
                <w:rFonts w:cs="Times New Roman"/>
                <w:color w:val="231F20"/>
                <w:szCs w:val="24"/>
              </w:rPr>
              <w:t>every 12 hours for 2 days.</w:t>
            </w:r>
          </w:p>
          <w:p w14:paraId="4F7A2613" w14:textId="77777777" w:rsidR="00D20CB2" w:rsidRPr="00052F5F" w:rsidRDefault="00D20CB2" w:rsidP="002D6DD7">
            <w:pPr>
              <w:rPr>
                <w:rFonts w:cs="Times New Roman"/>
                <w:b/>
                <w:bCs/>
                <w:color w:val="231F20"/>
                <w:szCs w:val="24"/>
              </w:rPr>
            </w:pPr>
            <w:r w:rsidRPr="00052F5F">
              <w:rPr>
                <w:rFonts w:cs="Times New Roman"/>
                <w:b/>
                <w:bCs/>
                <w:color w:val="231F20"/>
                <w:szCs w:val="24"/>
              </w:rPr>
              <w:t>Hyperprolactinemic disorders:</w:t>
            </w:r>
          </w:p>
          <w:p w14:paraId="1C137A86" w14:textId="77777777" w:rsidR="00D20CB2" w:rsidRPr="00052F5F" w:rsidRDefault="00D20CB2" w:rsidP="002D6DD7">
            <w:pPr>
              <w:jc w:val="both"/>
              <w:rPr>
                <w:rFonts w:cs="Times New Roman"/>
                <w:color w:val="231F20"/>
                <w:szCs w:val="24"/>
              </w:rPr>
            </w:pPr>
            <w:r w:rsidRPr="00052F5F">
              <w:rPr>
                <w:rFonts w:cs="Times New Roman"/>
                <w:b/>
                <w:bCs/>
                <w:color w:val="231F20"/>
                <w:szCs w:val="24"/>
              </w:rPr>
              <w:t>Adult:</w:t>
            </w:r>
            <w:r w:rsidRPr="00052F5F">
              <w:rPr>
                <w:rFonts w:cs="Times New Roman"/>
                <w:color w:val="231F20"/>
                <w:szCs w:val="24"/>
              </w:rPr>
              <w:t xml:space="preserve"> Initially 500 mcg</w:t>
            </w:r>
            <w:r>
              <w:rPr>
                <w:rFonts w:cs="Times New Roman"/>
                <w:color w:val="231F20"/>
                <w:szCs w:val="24"/>
              </w:rPr>
              <w:t xml:space="preserve"> once</w:t>
            </w:r>
            <w:r w:rsidRPr="00052F5F">
              <w:rPr>
                <w:rFonts w:cs="Times New Roman"/>
                <w:color w:val="231F20"/>
                <w:szCs w:val="24"/>
              </w:rPr>
              <w:t xml:space="preserve"> weekly, increased in steps of 500 mcg</w:t>
            </w:r>
            <w:r>
              <w:rPr>
                <w:rFonts w:cs="Times New Roman"/>
                <w:color w:val="231F20"/>
                <w:szCs w:val="24"/>
              </w:rPr>
              <w:t xml:space="preserve"> </w:t>
            </w:r>
            <w:r w:rsidRPr="00052F5F">
              <w:rPr>
                <w:rFonts w:cs="Times New Roman"/>
                <w:color w:val="231F20"/>
                <w:szCs w:val="24"/>
              </w:rPr>
              <w:t>every month until optimal therapeutic response is reached; usual dose 0.25-2 mg once weekly, maximum 4.5 mg per week.</w:t>
            </w:r>
          </w:p>
        </w:tc>
      </w:tr>
      <w:tr w:rsidR="00D20CB2" w:rsidRPr="00052F5F" w14:paraId="05A70831" w14:textId="77777777" w:rsidTr="002D6DD7">
        <w:tc>
          <w:tcPr>
            <w:tcW w:w="2695" w:type="dxa"/>
          </w:tcPr>
          <w:p w14:paraId="4A1E9321" w14:textId="77777777" w:rsidR="00D20CB2" w:rsidRPr="00052F5F" w:rsidRDefault="00D20CB2" w:rsidP="002D6DD7">
            <w:pPr>
              <w:rPr>
                <w:rFonts w:cs="Times New Roman"/>
                <w:szCs w:val="24"/>
              </w:rPr>
            </w:pPr>
            <w:r w:rsidRPr="00052F5F">
              <w:rPr>
                <w:rFonts w:cs="Times New Roman"/>
                <w:szCs w:val="24"/>
              </w:rPr>
              <w:t>Contraindications</w:t>
            </w:r>
          </w:p>
        </w:tc>
        <w:tc>
          <w:tcPr>
            <w:tcW w:w="6660" w:type="dxa"/>
          </w:tcPr>
          <w:p w14:paraId="11FF2E7C" w14:textId="77777777" w:rsidR="00D20CB2" w:rsidRPr="00052F5F" w:rsidRDefault="00D20CB2" w:rsidP="002D6DD7">
            <w:pPr>
              <w:jc w:val="both"/>
              <w:rPr>
                <w:rFonts w:cs="Times New Roman"/>
                <w:color w:val="231F20"/>
                <w:szCs w:val="24"/>
              </w:rPr>
            </w:pPr>
            <w:r w:rsidRPr="00052F5F">
              <w:rPr>
                <w:rFonts w:cs="Times New Roman"/>
                <w:color w:val="231F20"/>
                <w:szCs w:val="24"/>
              </w:rPr>
              <w:t>Cardiac valvulopathy, history of pericardial fibrotic disorders, history of pulmonary fibrotic disorders, history of retroperitoneal fibrotic disorders, puerperal psychosis.</w:t>
            </w:r>
          </w:p>
        </w:tc>
      </w:tr>
      <w:tr w:rsidR="00D20CB2" w:rsidRPr="00052F5F" w14:paraId="232F4E87" w14:textId="77777777" w:rsidTr="002D6DD7">
        <w:tc>
          <w:tcPr>
            <w:tcW w:w="2695" w:type="dxa"/>
          </w:tcPr>
          <w:p w14:paraId="73F1FBAA" w14:textId="77777777" w:rsidR="00D20CB2" w:rsidRPr="00052F5F" w:rsidRDefault="00D20CB2" w:rsidP="002D6DD7">
            <w:pPr>
              <w:rPr>
                <w:rFonts w:cs="Times New Roman"/>
                <w:szCs w:val="24"/>
              </w:rPr>
            </w:pPr>
            <w:r w:rsidRPr="00052F5F">
              <w:rPr>
                <w:rFonts w:cs="Times New Roman"/>
                <w:szCs w:val="24"/>
              </w:rPr>
              <w:t>Drug interactions</w:t>
            </w:r>
          </w:p>
        </w:tc>
        <w:tc>
          <w:tcPr>
            <w:tcW w:w="6660" w:type="dxa"/>
          </w:tcPr>
          <w:p w14:paraId="2550ADFB" w14:textId="77777777" w:rsidR="00D20CB2" w:rsidRPr="00052F5F" w:rsidRDefault="00D20CB2" w:rsidP="002D6DD7">
            <w:pPr>
              <w:rPr>
                <w:rFonts w:cs="Times New Roman"/>
                <w:szCs w:val="24"/>
              </w:rPr>
            </w:pPr>
            <w:r w:rsidRPr="00052F5F">
              <w:rPr>
                <w:rFonts w:cs="Times New Roman"/>
                <w:szCs w:val="24"/>
              </w:rPr>
              <w:t>Antipsychotics, macrolide antibiotics</w:t>
            </w:r>
            <w:r>
              <w:rPr>
                <w:rFonts w:cs="Times New Roman"/>
                <w:szCs w:val="24"/>
              </w:rPr>
              <w:t xml:space="preserve">, </w:t>
            </w:r>
            <w:r w:rsidRPr="00052F5F">
              <w:rPr>
                <w:rFonts w:cs="Times New Roman"/>
                <w:szCs w:val="24"/>
              </w:rPr>
              <w:t>antihypertensive agents, levodopa</w:t>
            </w:r>
          </w:p>
        </w:tc>
      </w:tr>
      <w:tr w:rsidR="00D20CB2" w:rsidRPr="00052F5F" w14:paraId="779A37A9" w14:textId="77777777" w:rsidTr="002D6DD7">
        <w:tc>
          <w:tcPr>
            <w:tcW w:w="2695" w:type="dxa"/>
          </w:tcPr>
          <w:p w14:paraId="68E44A70" w14:textId="77777777" w:rsidR="00D20CB2" w:rsidRPr="00052F5F" w:rsidRDefault="00D20CB2" w:rsidP="002D6DD7">
            <w:pPr>
              <w:rPr>
                <w:rFonts w:cs="Times New Roman"/>
                <w:szCs w:val="24"/>
                <w:shd w:val="clear" w:color="auto" w:fill="FFFFFF"/>
              </w:rPr>
            </w:pPr>
            <w:r w:rsidRPr="00052F5F">
              <w:rPr>
                <w:rFonts w:cs="Times New Roman"/>
                <w:szCs w:val="24"/>
                <w:shd w:val="clear" w:color="auto" w:fill="FFFFFF"/>
              </w:rPr>
              <w:t>Side effects</w:t>
            </w:r>
          </w:p>
        </w:tc>
        <w:tc>
          <w:tcPr>
            <w:tcW w:w="6660" w:type="dxa"/>
          </w:tcPr>
          <w:p w14:paraId="190889C6" w14:textId="77777777" w:rsidR="00D20CB2" w:rsidRPr="00052F5F" w:rsidRDefault="00D20CB2" w:rsidP="002D6DD7">
            <w:pPr>
              <w:jc w:val="both"/>
              <w:rPr>
                <w:rFonts w:cs="Times New Roman"/>
                <w:color w:val="231F20"/>
                <w:szCs w:val="24"/>
              </w:rPr>
            </w:pPr>
            <w:r w:rsidRPr="00052F5F">
              <w:rPr>
                <w:rFonts w:cs="Times New Roman"/>
                <w:color w:val="231F20"/>
                <w:szCs w:val="24"/>
              </w:rPr>
              <w:t>Nausea, vomiting, dizziness, headache, hypotension, angina pectoris, asthenia, cardiac valvulopathy, confusion, constipation, drowsiness, dyspepsia, dyspnea, gastritis, hallucinations, edema, pericardial effusion, pericarditis, sexual dysfunction, sleep disorders, vertigo.</w:t>
            </w:r>
          </w:p>
        </w:tc>
      </w:tr>
      <w:tr w:rsidR="00D20CB2" w:rsidRPr="00052F5F" w14:paraId="49F895B0" w14:textId="77777777" w:rsidTr="002D6DD7">
        <w:tc>
          <w:tcPr>
            <w:tcW w:w="2695" w:type="dxa"/>
          </w:tcPr>
          <w:p w14:paraId="72563A37" w14:textId="77777777" w:rsidR="00D20CB2" w:rsidRPr="00052F5F" w:rsidRDefault="00D20CB2" w:rsidP="002D6DD7">
            <w:pPr>
              <w:rPr>
                <w:rFonts w:cs="Times New Roman"/>
                <w:szCs w:val="24"/>
              </w:rPr>
            </w:pPr>
            <w:r w:rsidRPr="00052F5F">
              <w:rPr>
                <w:rFonts w:cs="Times New Roman"/>
                <w:szCs w:val="24"/>
              </w:rPr>
              <w:t xml:space="preserve">Cautions </w:t>
            </w:r>
          </w:p>
        </w:tc>
        <w:tc>
          <w:tcPr>
            <w:tcW w:w="6660" w:type="dxa"/>
          </w:tcPr>
          <w:p w14:paraId="71043881" w14:textId="77777777" w:rsidR="00D20CB2" w:rsidRPr="00052F5F" w:rsidRDefault="00D20CB2" w:rsidP="002D6DD7">
            <w:pPr>
              <w:jc w:val="both"/>
              <w:rPr>
                <w:rFonts w:cs="Times New Roman"/>
                <w:color w:val="231F20"/>
                <w:szCs w:val="24"/>
              </w:rPr>
            </w:pPr>
            <w:r w:rsidRPr="00052F5F">
              <w:rPr>
                <w:rFonts w:cs="Times New Roman"/>
                <w:color w:val="231F20"/>
                <w:szCs w:val="24"/>
              </w:rPr>
              <w:t>Cardiac valvulopathy (a history of valvular heart disease), fibrotic complications (e.g., pulmonary, retroperitoneal), orthostatic hypotension, psychiatric disorders (hallucinations and psychotic behaviours), hepatic impairment, peptic ulcers, raynaud’s syndrome, postpartum hypertension, pre-eclampsia, cardiovascular disease</w:t>
            </w:r>
          </w:p>
        </w:tc>
      </w:tr>
      <w:tr w:rsidR="00D20CB2" w:rsidRPr="00052F5F" w14:paraId="69858F8F" w14:textId="77777777" w:rsidTr="002D6DD7">
        <w:tc>
          <w:tcPr>
            <w:tcW w:w="2695" w:type="dxa"/>
          </w:tcPr>
          <w:p w14:paraId="60935F45" w14:textId="77777777" w:rsidR="00D20CB2" w:rsidRPr="00052F5F" w:rsidRDefault="00D20CB2" w:rsidP="002D6DD7">
            <w:pPr>
              <w:rPr>
                <w:rFonts w:cs="Times New Roman"/>
                <w:szCs w:val="24"/>
              </w:rPr>
            </w:pPr>
            <w:r w:rsidRPr="00052F5F">
              <w:rPr>
                <w:rFonts w:cs="Times New Roman"/>
                <w:szCs w:val="24"/>
              </w:rPr>
              <w:t>Storage condition</w:t>
            </w:r>
          </w:p>
        </w:tc>
        <w:tc>
          <w:tcPr>
            <w:tcW w:w="6660" w:type="dxa"/>
          </w:tcPr>
          <w:p w14:paraId="10BACE35" w14:textId="77777777" w:rsidR="00D20CB2" w:rsidRPr="00052F5F" w:rsidRDefault="00D20CB2" w:rsidP="002D6DD7">
            <w:pPr>
              <w:rPr>
                <w:rFonts w:cs="Times New Roman"/>
                <w:color w:val="FF0000"/>
                <w:szCs w:val="24"/>
              </w:rPr>
            </w:pPr>
            <w:r w:rsidRPr="00052F5F">
              <w:rPr>
                <w:rFonts w:cs="Times New Roman"/>
                <w:szCs w:val="24"/>
              </w:rPr>
              <w:t>Store below 30</w:t>
            </w:r>
            <w:r w:rsidRPr="00D2096D">
              <w:rPr>
                <w:rFonts w:cs="Times New Roman"/>
                <w:szCs w:val="24"/>
                <w:vertAlign w:val="superscript"/>
              </w:rPr>
              <w:t>0</w:t>
            </w:r>
            <w:r w:rsidRPr="00052F5F">
              <w:rPr>
                <w:rFonts w:cs="Times New Roman"/>
                <w:szCs w:val="24"/>
              </w:rPr>
              <w:t>C</w:t>
            </w:r>
            <w:r>
              <w:rPr>
                <w:rFonts w:cs="Times New Roman"/>
                <w:szCs w:val="24"/>
              </w:rPr>
              <w:t>. P</w:t>
            </w:r>
            <w:r w:rsidRPr="00052F5F">
              <w:rPr>
                <w:rFonts w:cs="Times New Roman"/>
                <w:szCs w:val="24"/>
              </w:rPr>
              <w:t>rotect from light.</w:t>
            </w:r>
          </w:p>
        </w:tc>
      </w:tr>
    </w:tbl>
    <w:p w14:paraId="43E145A7" w14:textId="77777777" w:rsidR="00D20CB2" w:rsidRDefault="00D20CB2" w:rsidP="00E837DD">
      <w:pPr>
        <w:spacing w:after="0"/>
        <w:jc w:val="both"/>
        <w:rPr>
          <w:rFonts w:cs="Times New Roman"/>
          <w:szCs w:val="24"/>
        </w:rPr>
      </w:pPr>
    </w:p>
    <w:p w14:paraId="3439F64E" w14:textId="77777777" w:rsidR="00D20CB2" w:rsidRDefault="00D20CB2" w:rsidP="00E837DD">
      <w:pPr>
        <w:spacing w:after="0"/>
        <w:jc w:val="both"/>
        <w:rPr>
          <w:rFonts w:cs="Times New Roman"/>
          <w:szCs w:val="24"/>
        </w:rPr>
      </w:pPr>
    </w:p>
    <w:p w14:paraId="2EAAD19F" w14:textId="77777777" w:rsidR="00D20CB2" w:rsidRDefault="00D20CB2" w:rsidP="00E837DD">
      <w:pPr>
        <w:spacing w:after="0"/>
        <w:jc w:val="both"/>
        <w:rPr>
          <w:rFonts w:cs="Times New Roman"/>
          <w:szCs w:val="24"/>
        </w:rPr>
      </w:pPr>
    </w:p>
    <w:p w14:paraId="6A389EF2" w14:textId="77777777" w:rsidR="00223CE8" w:rsidRDefault="00223CE8" w:rsidP="00E837DD">
      <w:pPr>
        <w:spacing w:after="0"/>
        <w:jc w:val="both"/>
        <w:rPr>
          <w:rFonts w:cs="Times New Roman"/>
          <w:szCs w:val="24"/>
        </w:rPr>
      </w:pPr>
    </w:p>
    <w:p w14:paraId="1936901E" w14:textId="77777777" w:rsidR="00223CE8" w:rsidRDefault="00223CE8" w:rsidP="00E837DD">
      <w:pPr>
        <w:spacing w:after="0"/>
        <w:jc w:val="both"/>
        <w:rPr>
          <w:rFonts w:cs="Times New Roman"/>
          <w:szCs w:val="24"/>
        </w:rPr>
      </w:pPr>
    </w:p>
    <w:p w14:paraId="5D439F72" w14:textId="77777777" w:rsidR="00223CE8" w:rsidRDefault="00223CE8" w:rsidP="00E837DD">
      <w:pPr>
        <w:spacing w:after="0"/>
        <w:jc w:val="both"/>
        <w:rPr>
          <w:rFonts w:cs="Times New Roman"/>
          <w:szCs w:val="24"/>
        </w:rPr>
      </w:pPr>
    </w:p>
    <w:p w14:paraId="0648BC5F" w14:textId="77777777" w:rsidR="00223CE8" w:rsidRDefault="00223CE8" w:rsidP="00E837DD">
      <w:pPr>
        <w:spacing w:after="0"/>
        <w:jc w:val="both"/>
        <w:rPr>
          <w:rFonts w:cs="Times New Roman"/>
          <w:szCs w:val="24"/>
        </w:rPr>
      </w:pPr>
    </w:p>
    <w:p w14:paraId="2F6F47D4" w14:textId="77777777" w:rsidR="00223CE8" w:rsidRDefault="00223CE8" w:rsidP="00E837DD">
      <w:pPr>
        <w:spacing w:after="0"/>
        <w:jc w:val="both"/>
        <w:rPr>
          <w:rFonts w:cs="Times New Roman"/>
          <w:szCs w:val="24"/>
        </w:rPr>
      </w:pPr>
    </w:p>
    <w:p w14:paraId="5B235626" w14:textId="77777777" w:rsidR="00223CE8" w:rsidRDefault="00223CE8" w:rsidP="00E837DD">
      <w:pPr>
        <w:spacing w:after="0"/>
        <w:jc w:val="both"/>
        <w:rPr>
          <w:rFonts w:cs="Times New Roman"/>
          <w:szCs w:val="24"/>
        </w:rPr>
      </w:pPr>
    </w:p>
    <w:p w14:paraId="75ACCA3D" w14:textId="77777777" w:rsidR="00223CE8" w:rsidRDefault="00223CE8" w:rsidP="00E837DD">
      <w:pPr>
        <w:spacing w:after="0"/>
        <w:jc w:val="both"/>
        <w:rPr>
          <w:rFonts w:cs="Times New Roman"/>
          <w:szCs w:val="24"/>
        </w:rPr>
      </w:pPr>
    </w:p>
    <w:p w14:paraId="00D78F95" w14:textId="77777777" w:rsidR="00223CE8" w:rsidRDefault="00223CE8" w:rsidP="00E837DD">
      <w:pPr>
        <w:spacing w:after="0"/>
        <w:jc w:val="both"/>
        <w:rPr>
          <w:rFonts w:cs="Times New Roman"/>
          <w:szCs w:val="24"/>
        </w:rPr>
      </w:pPr>
    </w:p>
    <w:p w14:paraId="68ABFFB3" w14:textId="77777777" w:rsidR="00223CE8" w:rsidRDefault="00223CE8" w:rsidP="00E837DD">
      <w:pPr>
        <w:spacing w:after="0"/>
        <w:jc w:val="both"/>
        <w:rPr>
          <w:rFonts w:cs="Times New Roman"/>
          <w:szCs w:val="24"/>
        </w:rPr>
      </w:pPr>
    </w:p>
    <w:p w14:paraId="297D5530" w14:textId="77777777" w:rsidR="00223CE8" w:rsidRDefault="00223CE8" w:rsidP="00E837DD">
      <w:pPr>
        <w:spacing w:after="0"/>
        <w:jc w:val="both"/>
        <w:rPr>
          <w:rFonts w:cs="Times New Roman"/>
          <w:szCs w:val="24"/>
        </w:rPr>
      </w:pPr>
    </w:p>
    <w:p w14:paraId="4839EB9A" w14:textId="77777777" w:rsidR="00223CE8" w:rsidRDefault="00223CE8" w:rsidP="00E837DD">
      <w:pPr>
        <w:spacing w:after="0"/>
        <w:jc w:val="both"/>
        <w:rPr>
          <w:rFonts w:cs="Times New Roman"/>
          <w:szCs w:val="24"/>
        </w:rPr>
      </w:pPr>
    </w:p>
    <w:p w14:paraId="711052A0" w14:textId="77777777" w:rsidR="00223CE8" w:rsidRDefault="00223CE8" w:rsidP="00E837DD">
      <w:pPr>
        <w:spacing w:after="0"/>
        <w:jc w:val="both"/>
        <w:rPr>
          <w:rFonts w:cs="Times New Roman"/>
          <w:szCs w:val="24"/>
        </w:rPr>
      </w:pPr>
    </w:p>
    <w:p w14:paraId="1A3EC29B" w14:textId="77777777" w:rsidR="00223CE8" w:rsidRDefault="00223CE8" w:rsidP="00E837DD">
      <w:pPr>
        <w:spacing w:after="0"/>
        <w:jc w:val="both"/>
        <w:rPr>
          <w:rFonts w:cs="Times New Roman"/>
          <w:szCs w:val="24"/>
        </w:rPr>
      </w:pPr>
    </w:p>
    <w:p w14:paraId="74BC7F29" w14:textId="77777777" w:rsidR="00223CE8" w:rsidRDefault="00223CE8" w:rsidP="00E837DD">
      <w:pPr>
        <w:spacing w:after="0"/>
        <w:jc w:val="both"/>
        <w:rPr>
          <w:rFonts w:cs="Times New Roman"/>
          <w:szCs w:val="24"/>
        </w:rPr>
      </w:pPr>
    </w:p>
    <w:p w14:paraId="7E673357" w14:textId="77777777" w:rsidR="00223CE8" w:rsidRDefault="00223CE8" w:rsidP="00E837DD">
      <w:pPr>
        <w:spacing w:after="0"/>
        <w:jc w:val="both"/>
        <w:rPr>
          <w:rFonts w:cs="Times New Roman"/>
          <w:szCs w:val="24"/>
        </w:rPr>
      </w:pPr>
    </w:p>
    <w:p w14:paraId="58297CBA" w14:textId="77777777" w:rsidR="00223CE8" w:rsidRDefault="00223CE8" w:rsidP="00E837DD">
      <w:pPr>
        <w:spacing w:after="0"/>
        <w:jc w:val="both"/>
        <w:rPr>
          <w:rFonts w:cs="Times New Roman"/>
          <w:szCs w:val="24"/>
        </w:rPr>
      </w:pPr>
    </w:p>
    <w:p w14:paraId="4AA2C99B" w14:textId="77777777" w:rsidR="00223CE8" w:rsidRDefault="00223CE8" w:rsidP="00E837DD">
      <w:pPr>
        <w:spacing w:after="0"/>
        <w:jc w:val="both"/>
        <w:rPr>
          <w:rFonts w:cs="Times New Roman"/>
          <w:szCs w:val="24"/>
        </w:rPr>
      </w:pPr>
    </w:p>
    <w:p w14:paraId="621D1793" w14:textId="77777777" w:rsidR="00223CE8" w:rsidRDefault="00223CE8" w:rsidP="00E837DD">
      <w:pPr>
        <w:spacing w:after="0"/>
        <w:jc w:val="both"/>
        <w:rPr>
          <w:rFonts w:cs="Times New Roman"/>
          <w:szCs w:val="24"/>
        </w:rPr>
      </w:pPr>
    </w:p>
    <w:p w14:paraId="111E3B32" w14:textId="77777777" w:rsidR="00223CE8" w:rsidRDefault="00223CE8" w:rsidP="00E837DD">
      <w:pPr>
        <w:spacing w:after="0"/>
        <w:jc w:val="both"/>
        <w:rPr>
          <w:rFonts w:cs="Times New Roman"/>
          <w:szCs w:val="24"/>
        </w:rPr>
      </w:pPr>
    </w:p>
    <w:p w14:paraId="4FD1AA01" w14:textId="77777777" w:rsidR="00223CE8" w:rsidRDefault="00223CE8" w:rsidP="00E837DD">
      <w:pPr>
        <w:spacing w:after="0"/>
        <w:jc w:val="both"/>
        <w:rPr>
          <w:rFonts w:cs="Times New Roman"/>
          <w:szCs w:val="24"/>
        </w:rPr>
      </w:pPr>
    </w:p>
    <w:p w14:paraId="3973D516" w14:textId="77777777" w:rsidR="00223CE8" w:rsidRDefault="00223CE8" w:rsidP="00E837DD">
      <w:pPr>
        <w:spacing w:after="0"/>
        <w:jc w:val="both"/>
        <w:rPr>
          <w:rFonts w:cs="Times New Roman"/>
          <w:szCs w:val="24"/>
        </w:rPr>
      </w:pPr>
    </w:p>
    <w:p w14:paraId="2BC275F9" w14:textId="77777777" w:rsidR="007625AA" w:rsidRDefault="007625AA">
      <w:pPr>
        <w:spacing w:line="259" w:lineRule="auto"/>
        <w:rPr>
          <w:rFonts w:eastAsiaTheme="majorEastAsia" w:cs="Times New Roman"/>
          <w:b/>
          <w:bCs/>
          <w:kern w:val="0"/>
          <w:sz w:val="28"/>
          <w:szCs w:val="28"/>
          <w:lang w:val="en-US" w:eastAsia="en-US"/>
        </w:rPr>
      </w:pPr>
      <w:r>
        <w:rPr>
          <w:rFonts w:cs="Times New Roman"/>
        </w:rPr>
        <w:br w:type="page"/>
      </w:r>
    </w:p>
    <w:p w14:paraId="5E34A826" w14:textId="77777777" w:rsidR="00223CE8" w:rsidRPr="007625AA" w:rsidRDefault="00223CE8" w:rsidP="007625AA">
      <w:pPr>
        <w:pStyle w:val="Heading1"/>
        <w:numPr>
          <w:ilvl w:val="0"/>
          <w:numId w:val="25"/>
        </w:numPr>
        <w:spacing w:after="240"/>
      </w:pPr>
      <w:bookmarkStart w:id="151" w:name="_Toc179490371"/>
      <w:r w:rsidRPr="007625AA">
        <w:lastRenderedPageBreak/>
        <w:t>Medicines Used for Reproductive Health and Perinatal Care</w:t>
      </w:r>
      <w:bookmarkEnd w:id="151"/>
      <w:r w:rsidRPr="007625AA">
        <w:t xml:space="preserve">  </w:t>
      </w:r>
    </w:p>
    <w:p w14:paraId="252399B7" w14:textId="77777777" w:rsidR="00223CE8" w:rsidRPr="007625AA" w:rsidRDefault="00223CE8" w:rsidP="007625AA">
      <w:pPr>
        <w:pStyle w:val="Heading2"/>
        <w:spacing w:before="240" w:after="240"/>
      </w:pPr>
      <w:bookmarkStart w:id="152" w:name="_Toc179490372"/>
      <w:r w:rsidRPr="007625AA">
        <w:t>Contraceptives</w:t>
      </w:r>
      <w:bookmarkEnd w:id="152"/>
    </w:p>
    <w:p w14:paraId="61CCC823" w14:textId="77777777" w:rsidR="00223CE8" w:rsidRPr="009D6548" w:rsidRDefault="00223CE8" w:rsidP="00223CE8">
      <w:pPr>
        <w:jc w:val="both"/>
        <w:rPr>
          <w:rFonts w:cs="Times New Roman"/>
          <w:szCs w:val="24"/>
        </w:rPr>
      </w:pPr>
      <w:r w:rsidRPr="009D6548">
        <w:rPr>
          <w:rFonts w:cs="Times New Roman"/>
          <w:szCs w:val="24"/>
        </w:rPr>
        <w:t>Contraceptives play a crucial role in reproductive health and perinatal care, providing individuals and couples with options to prevent unplanned pregnancies. Contraceptives provide protection against unintended pregnancies, which can have significant medical, social, and economic consequences. They encompass various methods, including oral hormonal contraceptives, injectable hormonal contraceptives, contraceptive devices and barriers, and implantable contraceptives. Choosing the right contraceptive method involves considering factors such as effectiveness, convenience, and individual preferences.</w:t>
      </w:r>
    </w:p>
    <w:p w14:paraId="0826CB92" w14:textId="77777777" w:rsidR="00223CE8" w:rsidRPr="0040651A" w:rsidRDefault="00223CE8" w:rsidP="0040651A">
      <w:pPr>
        <w:rPr>
          <w:b/>
        </w:rPr>
      </w:pPr>
      <w:r w:rsidRPr="0040651A">
        <w:rPr>
          <w:b/>
        </w:rPr>
        <w:t>Oral hormonal contraceptives</w:t>
      </w:r>
    </w:p>
    <w:tbl>
      <w:tblPr>
        <w:tblStyle w:val="TableGrid"/>
        <w:tblW w:w="0" w:type="auto"/>
        <w:jc w:val="center"/>
        <w:tblLook w:val="04A0" w:firstRow="1" w:lastRow="0" w:firstColumn="1" w:lastColumn="0" w:noHBand="0" w:noVBand="1"/>
      </w:tblPr>
      <w:tblGrid>
        <w:gridCol w:w="2695"/>
        <w:gridCol w:w="6655"/>
      </w:tblGrid>
      <w:tr w:rsidR="00223CE8" w:rsidRPr="00944B15" w14:paraId="1ACB604C" w14:textId="77777777" w:rsidTr="002D6DD7">
        <w:trPr>
          <w:jc w:val="center"/>
        </w:trPr>
        <w:tc>
          <w:tcPr>
            <w:tcW w:w="9350" w:type="dxa"/>
            <w:gridSpan w:val="2"/>
          </w:tcPr>
          <w:p w14:paraId="535C663F" w14:textId="77777777" w:rsidR="00223CE8" w:rsidRPr="00944B15" w:rsidRDefault="00223CE8" w:rsidP="002D6DD7">
            <w:pPr>
              <w:rPr>
                <w:rFonts w:eastAsia="Times New Roman" w:cs="Times New Roman"/>
                <w:b/>
                <w:szCs w:val="24"/>
              </w:rPr>
            </w:pPr>
            <w:r w:rsidRPr="00944B15">
              <w:rPr>
                <w:rFonts w:eastAsia="Times New Roman" w:cs="Times New Roman"/>
                <w:b/>
                <w:szCs w:val="24"/>
              </w:rPr>
              <w:t xml:space="preserve">Ethinylestradiol + Levonorgestrel (D-Norgestrel)  </w:t>
            </w:r>
          </w:p>
        </w:tc>
      </w:tr>
      <w:tr w:rsidR="00223CE8" w:rsidRPr="00944B15" w14:paraId="5FE0EBB6" w14:textId="77777777" w:rsidTr="002D6DD7">
        <w:trPr>
          <w:jc w:val="center"/>
        </w:trPr>
        <w:tc>
          <w:tcPr>
            <w:tcW w:w="2695" w:type="dxa"/>
          </w:tcPr>
          <w:p w14:paraId="0739FC2F" w14:textId="77777777" w:rsidR="00223CE8" w:rsidRPr="00944B15" w:rsidRDefault="00223CE8" w:rsidP="002D6DD7">
            <w:pPr>
              <w:rPr>
                <w:rFonts w:eastAsia="Times New Roman" w:cs="Times New Roman"/>
                <w:szCs w:val="24"/>
              </w:rPr>
            </w:pPr>
            <w:r w:rsidRPr="00944B15">
              <w:rPr>
                <w:rFonts w:eastAsia="Times New Roman" w:cs="Times New Roman"/>
                <w:szCs w:val="24"/>
              </w:rPr>
              <w:t>Pharmacological class</w:t>
            </w:r>
          </w:p>
        </w:tc>
        <w:tc>
          <w:tcPr>
            <w:tcW w:w="6655" w:type="dxa"/>
          </w:tcPr>
          <w:p w14:paraId="568C4FDE" w14:textId="77777777" w:rsidR="00223CE8" w:rsidRPr="00944B15" w:rsidRDefault="00223CE8" w:rsidP="002D6DD7">
            <w:pPr>
              <w:rPr>
                <w:rFonts w:eastAsia="Times New Roman" w:cs="Times New Roman"/>
                <w:szCs w:val="24"/>
              </w:rPr>
            </w:pPr>
            <w:r>
              <w:rPr>
                <w:rFonts w:eastAsia="Times New Roman" w:cs="Times New Roman"/>
                <w:szCs w:val="24"/>
              </w:rPr>
              <w:t>Combined oral c</w:t>
            </w:r>
            <w:r w:rsidRPr="00944B15">
              <w:rPr>
                <w:rFonts w:eastAsia="Times New Roman" w:cs="Times New Roman"/>
                <w:szCs w:val="24"/>
              </w:rPr>
              <w:t xml:space="preserve">ontraceptives </w:t>
            </w:r>
          </w:p>
        </w:tc>
      </w:tr>
      <w:tr w:rsidR="00223CE8" w:rsidRPr="00944B15" w14:paraId="6B4CC383" w14:textId="77777777" w:rsidTr="002D6DD7">
        <w:trPr>
          <w:jc w:val="center"/>
        </w:trPr>
        <w:tc>
          <w:tcPr>
            <w:tcW w:w="2695" w:type="dxa"/>
          </w:tcPr>
          <w:p w14:paraId="52BF8CD1" w14:textId="77777777" w:rsidR="00223CE8" w:rsidRPr="00944B15" w:rsidRDefault="00223CE8" w:rsidP="002D6DD7">
            <w:pPr>
              <w:rPr>
                <w:rFonts w:eastAsia="Times New Roman" w:cs="Times New Roman"/>
                <w:szCs w:val="24"/>
              </w:rPr>
            </w:pPr>
            <w:r w:rsidRPr="00944B15">
              <w:rPr>
                <w:rFonts w:eastAsia="Times New Roman" w:cs="Times New Roman"/>
                <w:szCs w:val="24"/>
              </w:rPr>
              <w:t>Dosage form</w:t>
            </w:r>
          </w:p>
        </w:tc>
        <w:tc>
          <w:tcPr>
            <w:tcW w:w="6655" w:type="dxa"/>
          </w:tcPr>
          <w:p w14:paraId="198A16C1" w14:textId="77777777" w:rsidR="00223CE8" w:rsidRPr="00944B15" w:rsidRDefault="00223CE8" w:rsidP="002D6DD7">
            <w:pPr>
              <w:rPr>
                <w:rFonts w:eastAsia="Times New Roman" w:cs="Times New Roman"/>
                <w:szCs w:val="24"/>
                <w:lang w:val="nb-NO"/>
              </w:rPr>
            </w:pPr>
            <w:r w:rsidRPr="00944B15">
              <w:rPr>
                <w:rFonts w:eastAsia="Times New Roman" w:cs="Times New Roman"/>
                <w:b/>
                <w:szCs w:val="24"/>
                <w:lang w:val="sv-SE"/>
              </w:rPr>
              <w:t>Tablet</w:t>
            </w:r>
            <w:r w:rsidRPr="00944B15">
              <w:rPr>
                <w:rFonts w:eastAsia="Times New Roman" w:cs="Times New Roman"/>
                <w:szCs w:val="24"/>
                <w:lang w:val="sv-SE"/>
              </w:rPr>
              <w:t>:  0.15mg + 0.03mg, 0.25mg + 0.05mg, 0.5mg + 0.05mg, 0.3mg + 0.03mg;</w:t>
            </w:r>
            <w:r w:rsidRPr="00944B15">
              <w:rPr>
                <w:rFonts w:eastAsia="Times New Roman" w:cs="Times New Roman"/>
                <w:szCs w:val="24"/>
                <w:lang w:val="nb-NO"/>
              </w:rPr>
              <w:t xml:space="preserve"> </w:t>
            </w:r>
          </w:p>
          <w:p w14:paraId="6197A202" w14:textId="77777777" w:rsidR="00223CE8" w:rsidRDefault="00223CE8" w:rsidP="002D6DD7">
            <w:pPr>
              <w:rPr>
                <w:rFonts w:eastAsia="Times New Roman" w:cs="Times New Roman"/>
                <w:szCs w:val="24"/>
                <w:lang w:val="sv-SE"/>
              </w:rPr>
            </w:pPr>
            <w:r>
              <w:rPr>
                <w:rFonts w:eastAsia="Times New Roman" w:cs="Times New Roman"/>
                <w:szCs w:val="24"/>
                <w:lang w:val="sv-SE"/>
              </w:rPr>
              <w:t>0.05mg + 0.03mg (6tablets)</w:t>
            </w:r>
          </w:p>
          <w:p w14:paraId="112F13E6" w14:textId="77777777" w:rsidR="00223CE8" w:rsidRDefault="00223CE8" w:rsidP="002D6DD7">
            <w:pPr>
              <w:rPr>
                <w:rFonts w:eastAsia="Times New Roman" w:cs="Times New Roman"/>
                <w:szCs w:val="24"/>
                <w:lang w:val="sv-SE"/>
              </w:rPr>
            </w:pPr>
            <w:r>
              <w:rPr>
                <w:rFonts w:eastAsia="Times New Roman" w:cs="Times New Roman"/>
                <w:szCs w:val="24"/>
                <w:lang w:val="sv-SE"/>
              </w:rPr>
              <w:t xml:space="preserve"> 0.075mg + 0.04mg (5tablets)</w:t>
            </w:r>
          </w:p>
          <w:p w14:paraId="561B2AFB" w14:textId="77777777" w:rsidR="00223CE8" w:rsidRPr="00BB3D9C" w:rsidRDefault="00223CE8" w:rsidP="002D6DD7">
            <w:pPr>
              <w:rPr>
                <w:rFonts w:eastAsia="Times New Roman" w:cs="Times New Roman"/>
                <w:szCs w:val="24"/>
                <w:lang w:val="nb-NO"/>
              </w:rPr>
            </w:pPr>
            <w:r w:rsidRPr="00944B15">
              <w:rPr>
                <w:rFonts w:eastAsia="Times New Roman" w:cs="Times New Roman"/>
                <w:szCs w:val="24"/>
                <w:lang w:val="sv-SE"/>
              </w:rPr>
              <w:t xml:space="preserve">0.125mg + 0.03mg (10tablets) </w:t>
            </w:r>
          </w:p>
        </w:tc>
      </w:tr>
      <w:tr w:rsidR="00223CE8" w:rsidRPr="00944B15" w14:paraId="74ED24EB" w14:textId="77777777" w:rsidTr="002D6DD7">
        <w:trPr>
          <w:jc w:val="center"/>
        </w:trPr>
        <w:tc>
          <w:tcPr>
            <w:tcW w:w="2695" w:type="dxa"/>
          </w:tcPr>
          <w:p w14:paraId="7AF55ABE" w14:textId="77777777" w:rsidR="00223CE8" w:rsidRPr="00944B15" w:rsidRDefault="00223CE8" w:rsidP="002D6DD7">
            <w:pPr>
              <w:rPr>
                <w:rFonts w:eastAsia="Times New Roman" w:cs="Times New Roman"/>
                <w:szCs w:val="24"/>
              </w:rPr>
            </w:pPr>
            <w:r w:rsidRPr="00944B15">
              <w:rPr>
                <w:rFonts w:eastAsia="Times New Roman" w:cs="Times New Roman"/>
                <w:szCs w:val="24"/>
              </w:rPr>
              <w:t>Indications</w:t>
            </w:r>
          </w:p>
        </w:tc>
        <w:tc>
          <w:tcPr>
            <w:tcW w:w="6655" w:type="dxa"/>
          </w:tcPr>
          <w:p w14:paraId="31A7296E" w14:textId="77777777" w:rsidR="00223CE8" w:rsidRPr="00944B15" w:rsidRDefault="00223CE8" w:rsidP="002D6DD7">
            <w:pPr>
              <w:rPr>
                <w:rFonts w:eastAsia="Times New Roman" w:cs="Times New Roman"/>
                <w:szCs w:val="24"/>
              </w:rPr>
            </w:pPr>
            <w:r w:rsidRPr="00944B15">
              <w:rPr>
                <w:rFonts w:eastAsia="Times New Roman" w:cs="Times New Roman"/>
                <w:szCs w:val="24"/>
              </w:rPr>
              <w:t>Contraception, menstrual symptoms, endometriosis</w:t>
            </w:r>
          </w:p>
        </w:tc>
      </w:tr>
      <w:tr w:rsidR="00223CE8" w:rsidRPr="00944B15" w14:paraId="54F68B7D" w14:textId="77777777" w:rsidTr="002D6DD7">
        <w:trPr>
          <w:jc w:val="center"/>
        </w:trPr>
        <w:tc>
          <w:tcPr>
            <w:tcW w:w="2695" w:type="dxa"/>
          </w:tcPr>
          <w:p w14:paraId="48AE41E8" w14:textId="77777777" w:rsidR="00223CE8" w:rsidRPr="00944B15" w:rsidRDefault="00223CE8" w:rsidP="002D6DD7">
            <w:pPr>
              <w:rPr>
                <w:rFonts w:eastAsia="Times New Roman"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655" w:type="dxa"/>
          </w:tcPr>
          <w:p w14:paraId="602348E8" w14:textId="77777777" w:rsidR="00223CE8" w:rsidRPr="00944B15" w:rsidRDefault="00223CE8" w:rsidP="002D6DD7">
            <w:pPr>
              <w:jc w:val="both"/>
              <w:rPr>
                <w:rFonts w:eastAsia="Times New Roman" w:cs="Times New Roman"/>
                <w:b/>
                <w:szCs w:val="24"/>
              </w:rPr>
            </w:pPr>
            <w:r w:rsidRPr="00944B15">
              <w:rPr>
                <w:rFonts w:eastAsia="Times New Roman" w:cs="Times New Roman"/>
                <w:b/>
                <w:szCs w:val="24"/>
              </w:rPr>
              <w:t>Contraception, oral (21-day regimen)</w:t>
            </w:r>
            <w:r w:rsidR="0040651A">
              <w:rPr>
                <w:rFonts w:eastAsia="Times New Roman" w:cs="Times New Roman"/>
                <w:b/>
                <w:szCs w:val="24"/>
              </w:rPr>
              <w:t>:</w:t>
            </w:r>
          </w:p>
          <w:p w14:paraId="44B0CE23" w14:textId="77777777" w:rsidR="00223CE8" w:rsidRPr="00944B15" w:rsidRDefault="00223CE8" w:rsidP="002D6DD7">
            <w:pPr>
              <w:jc w:val="both"/>
              <w:rPr>
                <w:rFonts w:eastAsia="Times New Roman" w:cs="Times New Roman"/>
                <w:szCs w:val="24"/>
              </w:rPr>
            </w:pPr>
            <w:r w:rsidRPr="00944B15">
              <w:rPr>
                <w:rFonts w:eastAsia="Times New Roman" w:cs="Times New Roman"/>
                <w:szCs w:val="24"/>
              </w:rPr>
              <w:t xml:space="preserve">1 tablet daily for 21 days, subsequent courses repeated after a 7-day interval (during which withdrawal bleeding occurs) </w:t>
            </w:r>
          </w:p>
          <w:p w14:paraId="4DE0F718" w14:textId="77777777" w:rsidR="00223CE8" w:rsidRPr="00944B15" w:rsidRDefault="00223CE8" w:rsidP="002D6DD7">
            <w:pPr>
              <w:jc w:val="both"/>
              <w:rPr>
                <w:rFonts w:eastAsia="Times New Roman" w:cs="Times New Roman"/>
                <w:szCs w:val="24"/>
              </w:rPr>
            </w:pPr>
            <w:r w:rsidRPr="00944B15">
              <w:rPr>
                <w:rFonts w:eastAsia="Times New Roman" w:cs="Times New Roman"/>
                <w:b/>
                <w:szCs w:val="24"/>
              </w:rPr>
              <w:t>Contraception, oral, everyday preparations</w:t>
            </w:r>
            <w:r w:rsidRPr="00944B15">
              <w:rPr>
                <w:rFonts w:eastAsia="Times New Roman" w:cs="Times New Roman"/>
                <w:szCs w:val="24"/>
              </w:rPr>
              <w:t>:</w:t>
            </w:r>
          </w:p>
          <w:p w14:paraId="4A744084" w14:textId="77777777" w:rsidR="00223CE8" w:rsidRDefault="00223CE8" w:rsidP="002D6DD7">
            <w:pPr>
              <w:jc w:val="both"/>
              <w:rPr>
                <w:rFonts w:eastAsia="Times New Roman" w:cs="Times New Roman"/>
                <w:szCs w:val="24"/>
              </w:rPr>
            </w:pPr>
            <w:r w:rsidRPr="00944B15">
              <w:rPr>
                <w:rFonts w:eastAsia="Times New Roman" w:cs="Times New Roman"/>
                <w:szCs w:val="24"/>
              </w:rPr>
              <w:t>1 active tablet daily started on day 1 of the cycle, subsequent courses repeated without interval (withdrawal bleeding occurs when inac</w:t>
            </w:r>
            <w:r>
              <w:rPr>
                <w:rFonts w:eastAsia="Times New Roman" w:cs="Times New Roman"/>
                <w:szCs w:val="24"/>
              </w:rPr>
              <w:t xml:space="preserve">tive tablets are being taken). </w:t>
            </w:r>
          </w:p>
          <w:p w14:paraId="68DBD7E6" w14:textId="77777777" w:rsidR="00223CE8" w:rsidRPr="00151CCE" w:rsidRDefault="00223CE8" w:rsidP="002D6DD7">
            <w:pPr>
              <w:jc w:val="both"/>
              <w:rPr>
                <w:rFonts w:eastAsia="Times New Roman" w:cs="Times New Roman"/>
                <w:i/>
                <w:szCs w:val="24"/>
              </w:rPr>
            </w:pPr>
            <w:r w:rsidRPr="00151CCE">
              <w:rPr>
                <w:rFonts w:eastAsia="Times New Roman" w:cs="Times New Roman"/>
                <w:i/>
                <w:szCs w:val="24"/>
              </w:rPr>
              <w:t xml:space="preserve">Note: If a woman forgets to take a pill, she should take it as soon as she remembers, and take the next one at the normal time. If the delay with any pill is 24 hours or longer, the pill may not work. </w:t>
            </w:r>
            <w:r w:rsidRPr="00151CCE">
              <w:rPr>
                <w:rFonts w:eastAsia="Times New Roman" w:cs="Times New Roman"/>
                <w:i/>
                <w:szCs w:val="24"/>
              </w:rPr>
              <w:lastRenderedPageBreak/>
              <w:t>She should still continue taking the pill normally but be aware that she will not be protected for the next 7 days and must therefore either not has sex or use another method of contraception, such as a condom.</w:t>
            </w:r>
          </w:p>
        </w:tc>
      </w:tr>
      <w:tr w:rsidR="00223CE8" w:rsidRPr="00944B15" w14:paraId="6FA145B8" w14:textId="77777777" w:rsidTr="002D6DD7">
        <w:trPr>
          <w:jc w:val="center"/>
        </w:trPr>
        <w:tc>
          <w:tcPr>
            <w:tcW w:w="2695" w:type="dxa"/>
          </w:tcPr>
          <w:p w14:paraId="11521AB2" w14:textId="77777777" w:rsidR="00223CE8" w:rsidRPr="00944B15" w:rsidRDefault="00223CE8" w:rsidP="002D6DD7">
            <w:pPr>
              <w:rPr>
                <w:rFonts w:eastAsia="Times New Roman" w:cs="Times New Roman"/>
                <w:szCs w:val="24"/>
              </w:rPr>
            </w:pPr>
            <w:r w:rsidRPr="00944B15">
              <w:rPr>
                <w:rFonts w:eastAsia="Times New Roman" w:cs="Times New Roman"/>
                <w:szCs w:val="24"/>
              </w:rPr>
              <w:lastRenderedPageBreak/>
              <w:t>Contraindications</w:t>
            </w:r>
          </w:p>
        </w:tc>
        <w:tc>
          <w:tcPr>
            <w:tcW w:w="6655" w:type="dxa"/>
          </w:tcPr>
          <w:p w14:paraId="15D6E1CD" w14:textId="77777777" w:rsidR="00223CE8" w:rsidRPr="00944B15" w:rsidRDefault="00223CE8" w:rsidP="002D6DD7">
            <w:pPr>
              <w:jc w:val="both"/>
              <w:rPr>
                <w:rFonts w:eastAsia="Times New Roman" w:cs="Times New Roman"/>
                <w:szCs w:val="24"/>
              </w:rPr>
            </w:pPr>
            <w:r>
              <w:rPr>
                <w:rFonts w:eastAsia="Times New Roman" w:cs="Times New Roman"/>
                <w:szCs w:val="24"/>
              </w:rPr>
              <w:t>Pregnancy,</w:t>
            </w:r>
            <w:r>
              <w:t xml:space="preserve"> </w:t>
            </w:r>
            <w:r>
              <w:rPr>
                <w:rFonts w:eastAsia="Times New Roman" w:cs="Times New Roman"/>
                <w:szCs w:val="24"/>
              </w:rPr>
              <w:t>arterial thromboembolic disease, deep vein thrombosis or pulmonary embolism (DVT)/PE, thrombogenic valvular disease, migraine with typical focal aura, history of sub-acute bacterial endocarditis, ischemic cerebrovascular disease, liver tumors, or liver disease, history of haemolytic uremic syndrome, estrogen dependent neoplasms, neoplasms of breast or genital tract, undiagnosed abnormal vaginal/uterine bleeding, uncontrolled hypertension, acute viral hepatitis, or severe (decompensated) cirrhosis, diabetes mellitus and over age 35, diabetes mellitus with hypertension, cholestatic jaundice of pregnancy or jaundice with prior pill use.</w:t>
            </w:r>
          </w:p>
        </w:tc>
      </w:tr>
      <w:tr w:rsidR="00223CE8" w:rsidRPr="00944B15" w14:paraId="0317EDF4" w14:textId="77777777" w:rsidTr="002D6DD7">
        <w:trPr>
          <w:jc w:val="center"/>
        </w:trPr>
        <w:tc>
          <w:tcPr>
            <w:tcW w:w="2695" w:type="dxa"/>
          </w:tcPr>
          <w:p w14:paraId="18FC924A" w14:textId="77777777" w:rsidR="00223CE8" w:rsidRPr="00944B15" w:rsidRDefault="00223CE8" w:rsidP="002D6DD7">
            <w:pPr>
              <w:rPr>
                <w:rFonts w:eastAsia="Times New Roman" w:cs="Times New Roman"/>
                <w:szCs w:val="24"/>
              </w:rPr>
            </w:pPr>
            <w:r w:rsidRPr="00944B15">
              <w:rPr>
                <w:rFonts w:eastAsia="Times New Roman" w:cs="Times New Roman"/>
                <w:szCs w:val="24"/>
              </w:rPr>
              <w:t>Drug interactions</w:t>
            </w:r>
          </w:p>
        </w:tc>
        <w:tc>
          <w:tcPr>
            <w:tcW w:w="6655" w:type="dxa"/>
          </w:tcPr>
          <w:p w14:paraId="2C84F0D5" w14:textId="77777777" w:rsidR="00223CE8" w:rsidRPr="00944B15" w:rsidRDefault="00223CE8" w:rsidP="002D6DD7">
            <w:pPr>
              <w:jc w:val="both"/>
              <w:rPr>
                <w:rFonts w:cs="Times New Roman"/>
                <w:szCs w:val="24"/>
              </w:rPr>
            </w:pPr>
            <w:r w:rsidRPr="00944B15">
              <w:rPr>
                <w:rFonts w:eastAsia="Times New Roman" w:cs="Times New Roman"/>
                <w:szCs w:val="24"/>
              </w:rPr>
              <w:t xml:space="preserve">Rifampicin and rifabutin, </w:t>
            </w:r>
            <w:r>
              <w:rPr>
                <w:rFonts w:eastAsia="Times New Roman" w:cs="Times New Roman"/>
                <w:szCs w:val="24"/>
              </w:rPr>
              <w:t>r</w:t>
            </w:r>
            <w:r w:rsidRPr="00944B15">
              <w:rPr>
                <w:rFonts w:eastAsia="Times New Roman" w:cs="Times New Roman"/>
                <w:szCs w:val="24"/>
              </w:rPr>
              <w:t>itonavir, tranexamic acid, artemether, betamethasone, bupropion, anti-epileptics, cyclosporine, darunavir, dexamethasone, isotretinoin, octreotide, St. John’s Wort, theophylline, diazepam, levothyroxine, prednisolone, selegiline, warfarin,</w:t>
            </w:r>
            <w:r w:rsidRPr="00944B15">
              <w:rPr>
                <w:rFonts w:cs="Times New Roman"/>
                <w:szCs w:val="24"/>
              </w:rPr>
              <w:t xml:space="preserve"> </w:t>
            </w:r>
            <w:r>
              <w:rPr>
                <w:rFonts w:cs="Times New Roman"/>
                <w:szCs w:val="24"/>
              </w:rPr>
              <w:t>e</w:t>
            </w:r>
            <w:r w:rsidRPr="00944B15">
              <w:rPr>
                <w:rFonts w:cs="Times New Roman"/>
                <w:szCs w:val="24"/>
              </w:rPr>
              <w:t xml:space="preserve">rythromycin, </w:t>
            </w:r>
            <w:r>
              <w:rPr>
                <w:rFonts w:cs="Times New Roman"/>
                <w:szCs w:val="24"/>
              </w:rPr>
              <w:t>c</w:t>
            </w:r>
            <w:r w:rsidRPr="00944B15">
              <w:rPr>
                <w:rFonts w:cs="Times New Roman"/>
                <w:szCs w:val="24"/>
              </w:rPr>
              <w:t xml:space="preserve">larithromycin, </w:t>
            </w:r>
            <w:r w:rsidRPr="00944B15">
              <w:rPr>
                <w:rFonts w:eastAsia="Times New Roman" w:cs="Times New Roman"/>
                <w:szCs w:val="24"/>
              </w:rPr>
              <w:t xml:space="preserve">atorvastatin, </w:t>
            </w:r>
            <w:r>
              <w:rPr>
                <w:rFonts w:cs="Times New Roman"/>
                <w:szCs w:val="24"/>
              </w:rPr>
              <w:t>l</w:t>
            </w:r>
            <w:r w:rsidRPr="00944B15">
              <w:rPr>
                <w:rFonts w:cs="Times New Roman"/>
                <w:szCs w:val="24"/>
              </w:rPr>
              <w:t xml:space="preserve">amotrigine, </w:t>
            </w:r>
            <w:r>
              <w:rPr>
                <w:rFonts w:cs="Times New Roman"/>
                <w:szCs w:val="24"/>
              </w:rPr>
              <w:t>p</w:t>
            </w:r>
            <w:r w:rsidRPr="00944B15">
              <w:rPr>
                <w:rFonts w:cs="Times New Roman"/>
                <w:szCs w:val="24"/>
              </w:rPr>
              <w:t>rednisolone</w:t>
            </w:r>
          </w:p>
        </w:tc>
      </w:tr>
      <w:tr w:rsidR="00223CE8" w:rsidRPr="00944B15" w14:paraId="1A767908" w14:textId="77777777" w:rsidTr="002D6DD7">
        <w:trPr>
          <w:jc w:val="center"/>
        </w:trPr>
        <w:tc>
          <w:tcPr>
            <w:tcW w:w="2695" w:type="dxa"/>
          </w:tcPr>
          <w:p w14:paraId="4810638F" w14:textId="77777777" w:rsidR="00223CE8" w:rsidRPr="00944B15" w:rsidRDefault="00223CE8" w:rsidP="002D6DD7">
            <w:pPr>
              <w:rPr>
                <w:rFonts w:eastAsia="Times New Roman" w:cs="Times New Roman"/>
                <w:szCs w:val="24"/>
              </w:rPr>
            </w:pPr>
            <w:r w:rsidRPr="00944B15">
              <w:rPr>
                <w:rFonts w:eastAsia="Times New Roman" w:cs="Times New Roman"/>
                <w:szCs w:val="24"/>
              </w:rPr>
              <w:t>Side effects</w:t>
            </w:r>
          </w:p>
        </w:tc>
        <w:tc>
          <w:tcPr>
            <w:tcW w:w="6655" w:type="dxa"/>
          </w:tcPr>
          <w:p w14:paraId="37C84E74" w14:textId="77777777" w:rsidR="00223CE8" w:rsidRPr="00944B15" w:rsidRDefault="00223CE8" w:rsidP="002D6DD7">
            <w:pPr>
              <w:jc w:val="both"/>
              <w:rPr>
                <w:rFonts w:eastAsia="Times New Roman" w:cs="Times New Roman"/>
                <w:szCs w:val="24"/>
              </w:rPr>
            </w:pPr>
            <w:r w:rsidRPr="00944B15">
              <w:rPr>
                <w:rFonts w:eastAsia="Times New Roman" w:cs="Times New Roman"/>
                <w:szCs w:val="24"/>
              </w:rPr>
              <w:t>Nausea, vomiting, headache/migraine, breast tenderness</w:t>
            </w:r>
            <w:r>
              <w:rPr>
                <w:rFonts w:eastAsia="Times New Roman" w:cs="Times New Roman"/>
                <w:szCs w:val="24"/>
              </w:rPr>
              <w:t xml:space="preserve"> and hypertrophy</w:t>
            </w:r>
            <w:r w:rsidRPr="00944B15">
              <w:rPr>
                <w:rFonts w:eastAsia="Times New Roman" w:cs="Times New Roman"/>
                <w:szCs w:val="24"/>
              </w:rPr>
              <w:t xml:space="preserve">, increase in body weight, thrombosis, changes in libido, </w:t>
            </w:r>
            <w:r>
              <w:rPr>
                <w:rFonts w:eastAsia="Times New Roman" w:cs="Times New Roman"/>
                <w:szCs w:val="24"/>
              </w:rPr>
              <w:t>m</w:t>
            </w:r>
            <w:r w:rsidRPr="00944B15">
              <w:rPr>
                <w:rFonts w:eastAsia="Times New Roman" w:cs="Times New Roman"/>
                <w:szCs w:val="24"/>
              </w:rPr>
              <w:t xml:space="preserve">ood changes including depression, </w:t>
            </w:r>
            <w:r>
              <w:rPr>
                <w:rFonts w:eastAsia="Times New Roman" w:cs="Times New Roman"/>
                <w:szCs w:val="24"/>
              </w:rPr>
              <w:t>a</w:t>
            </w:r>
            <w:r w:rsidRPr="00944B15">
              <w:rPr>
                <w:rFonts w:eastAsia="Times New Roman" w:cs="Times New Roman"/>
                <w:szCs w:val="24"/>
              </w:rPr>
              <w:t>cne, hypertension, impairment of liver function, “spotting” in early cycles, absence of withdrawal bleeding, irritation of contact lenses, photosensitivity reactions and hepatic tumors</w:t>
            </w:r>
            <w:r>
              <w:rPr>
                <w:rFonts w:eastAsia="Times New Roman" w:cs="Times New Roman"/>
                <w:szCs w:val="24"/>
              </w:rPr>
              <w:t>, v</w:t>
            </w:r>
            <w:r w:rsidRPr="00944B15">
              <w:rPr>
                <w:rFonts w:eastAsia="Times New Roman" w:cs="Times New Roman"/>
                <w:szCs w:val="24"/>
              </w:rPr>
              <w:t>agin</w:t>
            </w:r>
            <w:r>
              <w:rPr>
                <w:rFonts w:eastAsia="Times New Roman" w:cs="Times New Roman"/>
                <w:szCs w:val="24"/>
              </w:rPr>
              <w:t>al</w:t>
            </w:r>
            <w:r w:rsidRPr="00944B15">
              <w:rPr>
                <w:rFonts w:eastAsia="Times New Roman" w:cs="Times New Roman"/>
                <w:szCs w:val="24"/>
              </w:rPr>
              <w:t xml:space="preserve"> candidiasis</w:t>
            </w:r>
            <w:r>
              <w:rPr>
                <w:rFonts w:cs="Times New Roman"/>
                <w:szCs w:val="24"/>
              </w:rPr>
              <w:t xml:space="preserve"> and</w:t>
            </w:r>
            <w:r w:rsidRPr="00944B15">
              <w:rPr>
                <w:rFonts w:cs="Times New Roman"/>
                <w:szCs w:val="24"/>
              </w:rPr>
              <w:t xml:space="preserve"> </w:t>
            </w:r>
            <w:r w:rsidRPr="00944B15">
              <w:rPr>
                <w:rFonts w:eastAsia="Times New Roman" w:cs="Times New Roman"/>
                <w:szCs w:val="24"/>
              </w:rPr>
              <w:t>edema</w:t>
            </w:r>
            <w:r>
              <w:rPr>
                <w:rFonts w:eastAsia="Times New Roman" w:cs="Times New Roman"/>
                <w:szCs w:val="24"/>
              </w:rPr>
              <w:t>.</w:t>
            </w:r>
          </w:p>
        </w:tc>
      </w:tr>
      <w:tr w:rsidR="00223CE8" w:rsidRPr="00944B15" w14:paraId="4826D9FB" w14:textId="77777777" w:rsidTr="002D6DD7">
        <w:trPr>
          <w:jc w:val="center"/>
        </w:trPr>
        <w:tc>
          <w:tcPr>
            <w:tcW w:w="2695" w:type="dxa"/>
          </w:tcPr>
          <w:p w14:paraId="4E0DE6EC" w14:textId="77777777" w:rsidR="00223CE8" w:rsidRPr="00944B15" w:rsidRDefault="00223CE8" w:rsidP="002D6DD7">
            <w:pPr>
              <w:rPr>
                <w:rFonts w:eastAsia="Times New Roman" w:cs="Times New Roman"/>
                <w:szCs w:val="24"/>
              </w:rPr>
            </w:pPr>
            <w:r w:rsidRPr="00944B15">
              <w:rPr>
                <w:rFonts w:eastAsia="Times New Roman" w:cs="Times New Roman"/>
                <w:szCs w:val="24"/>
              </w:rPr>
              <w:t xml:space="preserve">Cautions </w:t>
            </w:r>
          </w:p>
        </w:tc>
        <w:tc>
          <w:tcPr>
            <w:tcW w:w="6655" w:type="dxa"/>
          </w:tcPr>
          <w:p w14:paraId="0660BC5C" w14:textId="77777777" w:rsidR="00223CE8" w:rsidRPr="00944B15" w:rsidRDefault="00223CE8" w:rsidP="002D6DD7">
            <w:pPr>
              <w:jc w:val="both"/>
              <w:rPr>
                <w:rFonts w:eastAsia="Times New Roman" w:cs="Times New Roman"/>
                <w:szCs w:val="24"/>
              </w:rPr>
            </w:pPr>
            <w:r>
              <w:rPr>
                <w:rFonts w:eastAsia="Times New Roman" w:cs="Times New Roman"/>
                <w:szCs w:val="24"/>
              </w:rPr>
              <w:t>V</w:t>
            </w:r>
            <w:r w:rsidRPr="00944B15">
              <w:rPr>
                <w:rFonts w:eastAsia="Times New Roman" w:cs="Times New Roman"/>
                <w:szCs w:val="24"/>
              </w:rPr>
              <w:t>enous thromboembolism</w:t>
            </w:r>
            <w:r>
              <w:rPr>
                <w:rFonts w:eastAsia="Times New Roman" w:cs="Times New Roman"/>
                <w:szCs w:val="24"/>
              </w:rPr>
              <w:t>,</w:t>
            </w:r>
            <w:r>
              <w:t xml:space="preserve"> </w:t>
            </w:r>
            <w:r w:rsidRPr="00017071">
              <w:rPr>
                <w:rFonts w:eastAsia="Times New Roman" w:cs="Times New Roman"/>
                <w:szCs w:val="24"/>
              </w:rPr>
              <w:t>family history of breast cancer,</w:t>
            </w:r>
            <w:r w:rsidRPr="00944B15">
              <w:rPr>
                <w:rFonts w:eastAsia="Times New Roman" w:cs="Times New Roman"/>
                <w:szCs w:val="24"/>
              </w:rPr>
              <w:t xml:space="preserve"> arterial disease, migraine without focal aura,</w:t>
            </w:r>
            <w:r>
              <w:rPr>
                <w:rFonts w:eastAsia="Times New Roman" w:cs="Times New Roman"/>
                <w:szCs w:val="24"/>
              </w:rPr>
              <w:t xml:space="preserve"> </w:t>
            </w:r>
            <w:r w:rsidRPr="00017071">
              <w:rPr>
                <w:rFonts w:eastAsia="Times New Roman" w:cs="Times New Roman"/>
                <w:szCs w:val="24"/>
              </w:rPr>
              <w:t>renal or hepatic impairment,</w:t>
            </w:r>
            <w:r w:rsidRPr="00944B15">
              <w:rPr>
                <w:rFonts w:eastAsia="Times New Roman" w:cs="Times New Roman"/>
                <w:szCs w:val="24"/>
              </w:rPr>
              <w:t xml:space="preserve"> hyperprolactinemia, hyperlipidemia, gallbladder disease, history of severe depression, long-term immobilization, sickle-cell disease, </w:t>
            </w:r>
            <w:r w:rsidRPr="00944B15">
              <w:rPr>
                <w:rFonts w:eastAsia="Times New Roman" w:cs="Times New Roman"/>
                <w:szCs w:val="24"/>
              </w:rPr>
              <w:lastRenderedPageBreak/>
              <w:t>inflammatory bowel dis</w:t>
            </w:r>
            <w:r>
              <w:rPr>
                <w:rFonts w:eastAsia="Times New Roman" w:cs="Times New Roman"/>
                <w:szCs w:val="24"/>
              </w:rPr>
              <w:t>ease</w:t>
            </w:r>
          </w:p>
        </w:tc>
      </w:tr>
      <w:tr w:rsidR="00223CE8" w:rsidRPr="00944B15" w14:paraId="596C4652" w14:textId="77777777" w:rsidTr="002D6DD7">
        <w:trPr>
          <w:jc w:val="center"/>
        </w:trPr>
        <w:tc>
          <w:tcPr>
            <w:tcW w:w="2695" w:type="dxa"/>
          </w:tcPr>
          <w:p w14:paraId="158553BE" w14:textId="77777777" w:rsidR="00223CE8" w:rsidRPr="00944B15" w:rsidRDefault="00223CE8" w:rsidP="002D6DD7">
            <w:pPr>
              <w:rPr>
                <w:rFonts w:eastAsia="Times New Roman" w:cs="Times New Roman"/>
                <w:szCs w:val="24"/>
              </w:rPr>
            </w:pPr>
            <w:r w:rsidRPr="00944B15">
              <w:rPr>
                <w:rFonts w:eastAsia="Times New Roman" w:cs="Times New Roman"/>
                <w:szCs w:val="24"/>
              </w:rPr>
              <w:lastRenderedPageBreak/>
              <w:t>Storage condition</w:t>
            </w:r>
          </w:p>
        </w:tc>
        <w:tc>
          <w:tcPr>
            <w:tcW w:w="6655" w:type="dxa"/>
          </w:tcPr>
          <w:p w14:paraId="36EA6688" w14:textId="77777777" w:rsidR="00223CE8" w:rsidRPr="00944B15" w:rsidRDefault="00223CE8" w:rsidP="002D6DD7">
            <w:pPr>
              <w:rPr>
                <w:rFonts w:eastAsia="Times New Roman" w:cs="Times New Roman"/>
                <w:szCs w:val="24"/>
              </w:rPr>
            </w:pPr>
            <w:r>
              <w:rPr>
                <w:rFonts w:eastAsia="Times New Roman" w:cs="Times New Roman"/>
                <w:szCs w:val="24"/>
              </w:rPr>
              <w:t>Store below 30°C.</w:t>
            </w:r>
          </w:p>
        </w:tc>
      </w:tr>
      <w:tr w:rsidR="00223CE8" w:rsidRPr="00944B15" w14:paraId="1234709B" w14:textId="77777777" w:rsidTr="002D6DD7">
        <w:trPr>
          <w:jc w:val="center"/>
        </w:trPr>
        <w:tc>
          <w:tcPr>
            <w:tcW w:w="9350" w:type="dxa"/>
            <w:gridSpan w:val="2"/>
          </w:tcPr>
          <w:p w14:paraId="29D2AC9B" w14:textId="77777777" w:rsidR="00223CE8" w:rsidRPr="00944B15" w:rsidRDefault="00223CE8" w:rsidP="002D6DD7">
            <w:pPr>
              <w:rPr>
                <w:rFonts w:cs="Times New Roman"/>
                <w:b/>
                <w:szCs w:val="24"/>
              </w:rPr>
            </w:pPr>
            <w:r w:rsidRPr="00944B15">
              <w:rPr>
                <w:rFonts w:cs="Times New Roman"/>
                <w:b/>
                <w:szCs w:val="24"/>
              </w:rPr>
              <w:t xml:space="preserve">Ethinylestradiol + </w:t>
            </w:r>
            <w:r>
              <w:rPr>
                <w:rFonts w:cs="Times New Roman"/>
                <w:b/>
                <w:szCs w:val="24"/>
              </w:rPr>
              <w:t>Norethisterone</w:t>
            </w:r>
          </w:p>
        </w:tc>
      </w:tr>
      <w:tr w:rsidR="00223CE8" w:rsidRPr="00944B15" w14:paraId="6CA3D6FA" w14:textId="77777777" w:rsidTr="002D6DD7">
        <w:trPr>
          <w:jc w:val="center"/>
        </w:trPr>
        <w:tc>
          <w:tcPr>
            <w:tcW w:w="2695" w:type="dxa"/>
          </w:tcPr>
          <w:p w14:paraId="00D0A9ED"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6013A4BD" w14:textId="77777777" w:rsidR="00223CE8" w:rsidRPr="00944B15" w:rsidRDefault="00223CE8" w:rsidP="002D6DD7">
            <w:pPr>
              <w:rPr>
                <w:rFonts w:cs="Times New Roman"/>
                <w:szCs w:val="24"/>
              </w:rPr>
            </w:pPr>
            <w:r>
              <w:rPr>
                <w:rFonts w:cs="Times New Roman"/>
                <w:szCs w:val="24"/>
              </w:rPr>
              <w:t>Combined oral c</w:t>
            </w:r>
            <w:r w:rsidRPr="00944B15">
              <w:rPr>
                <w:rFonts w:cs="Times New Roman"/>
                <w:szCs w:val="24"/>
              </w:rPr>
              <w:t>ontraceptives</w:t>
            </w:r>
          </w:p>
        </w:tc>
      </w:tr>
      <w:tr w:rsidR="00223CE8" w:rsidRPr="00944B15" w14:paraId="52CA2412" w14:textId="77777777" w:rsidTr="002D6DD7">
        <w:trPr>
          <w:jc w:val="center"/>
        </w:trPr>
        <w:tc>
          <w:tcPr>
            <w:tcW w:w="2695" w:type="dxa"/>
          </w:tcPr>
          <w:p w14:paraId="647B24D6"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634114DC" w14:textId="77777777" w:rsidR="00223CE8" w:rsidRPr="00944B15" w:rsidRDefault="00223CE8" w:rsidP="002D6DD7">
            <w:pPr>
              <w:rPr>
                <w:rFonts w:cs="Times New Roman"/>
                <w:szCs w:val="24"/>
              </w:rPr>
            </w:pPr>
            <w:r w:rsidRPr="00944B15">
              <w:rPr>
                <w:rFonts w:cs="Times New Roman"/>
                <w:spacing w:val="-2"/>
                <w:szCs w:val="24"/>
              </w:rPr>
              <w:t>Tablet:</w:t>
            </w:r>
            <w:r w:rsidRPr="00944B15">
              <w:rPr>
                <w:rFonts w:cs="Times New Roman"/>
                <w:spacing w:val="-9"/>
                <w:szCs w:val="24"/>
              </w:rPr>
              <w:t xml:space="preserve"> </w:t>
            </w:r>
            <w:r w:rsidRPr="00944B15">
              <w:rPr>
                <w:rFonts w:cs="Times New Roman"/>
                <w:spacing w:val="-2"/>
                <w:szCs w:val="24"/>
              </w:rPr>
              <w:t>35</w:t>
            </w:r>
            <w:r w:rsidRPr="00944B15">
              <w:rPr>
                <w:rFonts w:cs="Times New Roman"/>
                <w:spacing w:val="-10"/>
                <w:szCs w:val="24"/>
              </w:rPr>
              <w:t xml:space="preserve"> </w:t>
            </w:r>
            <w:r>
              <w:rPr>
                <w:rFonts w:cs="Times New Roman"/>
                <w:spacing w:val="-2"/>
                <w:szCs w:val="24"/>
              </w:rPr>
              <w:t>mcg</w:t>
            </w:r>
            <w:r w:rsidRPr="00944B15">
              <w:rPr>
                <w:rFonts w:cs="Times New Roman"/>
                <w:spacing w:val="-10"/>
                <w:szCs w:val="24"/>
              </w:rPr>
              <w:t xml:space="preserve"> </w:t>
            </w:r>
            <w:r w:rsidRPr="00944B15">
              <w:rPr>
                <w:rFonts w:cs="Times New Roman"/>
                <w:spacing w:val="-2"/>
                <w:szCs w:val="24"/>
              </w:rPr>
              <w:t>+</w:t>
            </w:r>
            <w:r w:rsidRPr="00944B15">
              <w:rPr>
                <w:rFonts w:cs="Times New Roman"/>
                <w:spacing w:val="-10"/>
                <w:szCs w:val="24"/>
              </w:rPr>
              <w:t xml:space="preserve"> </w:t>
            </w:r>
            <w:r w:rsidRPr="00944B15">
              <w:rPr>
                <w:rFonts w:cs="Times New Roman"/>
                <w:spacing w:val="-2"/>
                <w:szCs w:val="24"/>
              </w:rPr>
              <w:t>1</w:t>
            </w:r>
            <w:r w:rsidRPr="00944B15">
              <w:rPr>
                <w:rFonts w:cs="Times New Roman"/>
                <w:spacing w:val="-12"/>
                <w:szCs w:val="24"/>
              </w:rPr>
              <w:t xml:space="preserve"> </w:t>
            </w:r>
            <w:r w:rsidRPr="00944B15">
              <w:rPr>
                <w:rFonts w:cs="Times New Roman"/>
                <w:spacing w:val="-5"/>
                <w:szCs w:val="24"/>
              </w:rPr>
              <w:t>mg</w:t>
            </w:r>
          </w:p>
        </w:tc>
      </w:tr>
      <w:tr w:rsidR="00223CE8" w:rsidRPr="00944B15" w14:paraId="5EC8D723" w14:textId="77777777" w:rsidTr="002D6DD7">
        <w:trPr>
          <w:jc w:val="center"/>
        </w:trPr>
        <w:tc>
          <w:tcPr>
            <w:tcW w:w="2695" w:type="dxa"/>
          </w:tcPr>
          <w:p w14:paraId="2FD6B2D0"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5A969B18" w14:textId="77777777" w:rsidR="00223CE8" w:rsidRPr="00944B15" w:rsidRDefault="00223CE8" w:rsidP="002D6DD7">
            <w:pPr>
              <w:rPr>
                <w:rFonts w:cs="Times New Roman"/>
                <w:szCs w:val="24"/>
              </w:rPr>
            </w:pPr>
            <w:r w:rsidRPr="00944B15">
              <w:rPr>
                <w:rFonts w:cs="Times New Roman"/>
                <w:szCs w:val="24"/>
              </w:rPr>
              <w:t>contraception, menstrual symptoms, endometriosis</w:t>
            </w:r>
          </w:p>
        </w:tc>
      </w:tr>
      <w:tr w:rsidR="00223CE8" w:rsidRPr="00944B15" w14:paraId="1E6D27B8" w14:textId="77777777" w:rsidTr="002D6DD7">
        <w:trPr>
          <w:jc w:val="center"/>
        </w:trPr>
        <w:tc>
          <w:tcPr>
            <w:tcW w:w="2695" w:type="dxa"/>
          </w:tcPr>
          <w:p w14:paraId="59F23760"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3C4339AA" w14:textId="77777777" w:rsidR="00223CE8" w:rsidRPr="00944B15" w:rsidRDefault="00223CE8" w:rsidP="002D6DD7">
            <w:pPr>
              <w:jc w:val="both"/>
              <w:rPr>
                <w:rFonts w:cs="Times New Roman"/>
                <w:szCs w:val="24"/>
              </w:rPr>
            </w:pPr>
            <w:r w:rsidRPr="00944B15">
              <w:rPr>
                <w:rFonts w:cs="Times New Roman"/>
                <w:b/>
                <w:szCs w:val="24"/>
              </w:rPr>
              <w:t>Contraception, oral (21-day regimen)</w:t>
            </w:r>
            <w:r w:rsidRPr="00944B15">
              <w:rPr>
                <w:rFonts w:cs="Times New Roman"/>
                <w:szCs w:val="24"/>
              </w:rPr>
              <w:t xml:space="preserve">: 1 tablet daily for 21 days, subsequent courses repeated after a 7-day interval (during which withdrawal bleeding occurs) </w:t>
            </w:r>
          </w:p>
          <w:p w14:paraId="7A07F5C9" w14:textId="77777777" w:rsidR="00223CE8" w:rsidRPr="00151CCE" w:rsidRDefault="00223CE8" w:rsidP="002D6DD7">
            <w:pPr>
              <w:jc w:val="both"/>
              <w:rPr>
                <w:rFonts w:cs="Times New Roman"/>
                <w:szCs w:val="24"/>
              </w:rPr>
            </w:pPr>
            <w:r w:rsidRPr="00944B15">
              <w:rPr>
                <w:rFonts w:cs="Times New Roman"/>
                <w:b/>
                <w:szCs w:val="24"/>
              </w:rPr>
              <w:t>Contraception, oral, everyday preparations:</w:t>
            </w:r>
            <w:r w:rsidRPr="00944B15">
              <w:rPr>
                <w:rFonts w:cs="Times New Roman"/>
                <w:szCs w:val="24"/>
              </w:rPr>
              <w:t xml:space="preserve"> 1 active tablet daily started on day 1 of the cycle, subsequent courses repeated without interval (withdrawal bleeding occurs when inactive t</w:t>
            </w:r>
            <w:r>
              <w:rPr>
                <w:rFonts w:cs="Times New Roman"/>
                <w:szCs w:val="24"/>
              </w:rPr>
              <w:t xml:space="preserve">ablets are being taken). </w:t>
            </w:r>
          </w:p>
        </w:tc>
      </w:tr>
      <w:tr w:rsidR="00223CE8" w:rsidRPr="00944B15" w14:paraId="228C22E2" w14:textId="77777777" w:rsidTr="002D6DD7">
        <w:trPr>
          <w:trHeight w:val="350"/>
          <w:jc w:val="center"/>
        </w:trPr>
        <w:tc>
          <w:tcPr>
            <w:tcW w:w="2695" w:type="dxa"/>
          </w:tcPr>
          <w:p w14:paraId="5C996F85"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05582B92" w14:textId="77777777" w:rsidR="00223CE8" w:rsidRPr="009908B0" w:rsidRDefault="00223CE8" w:rsidP="002D6DD7">
            <w:r>
              <w:rPr>
                <w:rFonts w:eastAsia="Times New Roman" w:cs="Times New Roman"/>
                <w:szCs w:val="24"/>
              </w:rPr>
              <w:t>Refer to ethinylestradiol + levonorgestrel (D-n</w:t>
            </w:r>
            <w:r w:rsidRPr="009908B0">
              <w:rPr>
                <w:rFonts w:eastAsia="Times New Roman" w:cs="Times New Roman"/>
                <w:szCs w:val="24"/>
              </w:rPr>
              <w:t xml:space="preserve">orgestrel) </w:t>
            </w:r>
            <w:r>
              <w:rPr>
                <w:rFonts w:eastAsia="Times New Roman" w:cs="Times New Roman"/>
                <w:szCs w:val="24"/>
              </w:rPr>
              <w:t>above</w:t>
            </w:r>
            <w:r w:rsidRPr="009908B0">
              <w:rPr>
                <w:rFonts w:eastAsia="Times New Roman" w:cs="Times New Roman"/>
                <w:szCs w:val="24"/>
              </w:rPr>
              <w:t xml:space="preserve"> </w:t>
            </w:r>
          </w:p>
        </w:tc>
      </w:tr>
      <w:tr w:rsidR="00223CE8" w:rsidRPr="00944B15" w14:paraId="54C7D03D" w14:textId="77777777" w:rsidTr="002D6DD7">
        <w:trPr>
          <w:jc w:val="center"/>
        </w:trPr>
        <w:tc>
          <w:tcPr>
            <w:tcW w:w="2695" w:type="dxa"/>
          </w:tcPr>
          <w:p w14:paraId="7522FD55"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5A5D9FC9" w14:textId="77777777" w:rsidR="00223CE8" w:rsidRDefault="00223CE8" w:rsidP="002D6DD7">
            <w:r w:rsidRPr="000312B9">
              <w:rPr>
                <w:rFonts w:eastAsia="Times New Roman" w:cs="Times New Roman"/>
                <w:szCs w:val="24"/>
              </w:rPr>
              <w:t xml:space="preserve">Refer to ethinylestradiol + levonorgestrel (D-norgestrel) above </w:t>
            </w:r>
          </w:p>
        </w:tc>
      </w:tr>
      <w:tr w:rsidR="00223CE8" w:rsidRPr="00944B15" w14:paraId="3040FE0D" w14:textId="77777777" w:rsidTr="002D6DD7">
        <w:trPr>
          <w:jc w:val="center"/>
        </w:trPr>
        <w:tc>
          <w:tcPr>
            <w:tcW w:w="2695" w:type="dxa"/>
          </w:tcPr>
          <w:p w14:paraId="108C956C"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7C4CFADD" w14:textId="77777777" w:rsidR="00223CE8" w:rsidRDefault="00223CE8" w:rsidP="002D6DD7">
            <w:r w:rsidRPr="000312B9">
              <w:rPr>
                <w:rFonts w:eastAsia="Times New Roman" w:cs="Times New Roman"/>
                <w:szCs w:val="24"/>
              </w:rPr>
              <w:t xml:space="preserve">Refer to ethinylestradiol + levonorgestrel (D-norgestrel) above </w:t>
            </w:r>
          </w:p>
        </w:tc>
      </w:tr>
      <w:tr w:rsidR="00223CE8" w:rsidRPr="00944B15" w14:paraId="6B4F4ABD" w14:textId="77777777" w:rsidTr="002D6DD7">
        <w:trPr>
          <w:jc w:val="center"/>
        </w:trPr>
        <w:tc>
          <w:tcPr>
            <w:tcW w:w="2695" w:type="dxa"/>
          </w:tcPr>
          <w:p w14:paraId="485F05AD"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0069863C" w14:textId="77777777" w:rsidR="00223CE8" w:rsidRDefault="00223CE8" w:rsidP="002D6DD7">
            <w:r w:rsidRPr="000312B9">
              <w:rPr>
                <w:rFonts w:eastAsia="Times New Roman" w:cs="Times New Roman"/>
                <w:szCs w:val="24"/>
              </w:rPr>
              <w:t xml:space="preserve">Refer to ethinylestradiol + levonorgestrel (D-norgestrel) above </w:t>
            </w:r>
          </w:p>
        </w:tc>
      </w:tr>
      <w:tr w:rsidR="00223CE8" w:rsidRPr="00944B15" w14:paraId="3A54D794" w14:textId="77777777" w:rsidTr="002D6DD7">
        <w:trPr>
          <w:jc w:val="center"/>
        </w:trPr>
        <w:tc>
          <w:tcPr>
            <w:tcW w:w="2695" w:type="dxa"/>
          </w:tcPr>
          <w:p w14:paraId="5BF33589"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1C59C12F" w14:textId="77777777" w:rsidR="00223CE8" w:rsidRPr="00944B15" w:rsidRDefault="00223CE8" w:rsidP="002D6DD7">
            <w:pPr>
              <w:rPr>
                <w:rFonts w:cs="Times New Roman"/>
                <w:szCs w:val="24"/>
              </w:rPr>
            </w:pPr>
            <w:r>
              <w:rPr>
                <w:rFonts w:eastAsia="Times New Roman" w:cs="Times New Roman"/>
                <w:szCs w:val="24"/>
              </w:rPr>
              <w:t>Store below 30°C. P</w:t>
            </w:r>
            <w:r w:rsidRPr="00944B15">
              <w:rPr>
                <w:rFonts w:cs="Times New Roman"/>
                <w:szCs w:val="24"/>
              </w:rPr>
              <w:t xml:space="preserve">rotect from light and moisture. </w:t>
            </w:r>
          </w:p>
        </w:tc>
      </w:tr>
      <w:tr w:rsidR="00223CE8" w:rsidRPr="00944B15" w14:paraId="032B1B61" w14:textId="77777777" w:rsidTr="002D6DD7">
        <w:trPr>
          <w:jc w:val="center"/>
        </w:trPr>
        <w:tc>
          <w:tcPr>
            <w:tcW w:w="9350" w:type="dxa"/>
            <w:gridSpan w:val="2"/>
          </w:tcPr>
          <w:p w14:paraId="63DF28BF" w14:textId="77777777" w:rsidR="00223CE8" w:rsidRPr="00944B15" w:rsidRDefault="00223CE8" w:rsidP="002D6DD7">
            <w:pPr>
              <w:rPr>
                <w:rFonts w:cs="Times New Roman"/>
                <w:b/>
                <w:szCs w:val="24"/>
              </w:rPr>
            </w:pPr>
            <w:r w:rsidRPr="00944B15">
              <w:rPr>
                <w:rFonts w:cs="Times New Roman"/>
                <w:b/>
                <w:szCs w:val="24"/>
              </w:rPr>
              <w:t xml:space="preserve">Leovonorgestrel (D-Nongestrel) </w:t>
            </w:r>
          </w:p>
        </w:tc>
      </w:tr>
      <w:tr w:rsidR="00223CE8" w:rsidRPr="00944B15" w14:paraId="38D0FF81" w14:textId="77777777" w:rsidTr="002D6DD7">
        <w:trPr>
          <w:trHeight w:val="404"/>
          <w:jc w:val="center"/>
        </w:trPr>
        <w:tc>
          <w:tcPr>
            <w:tcW w:w="2695" w:type="dxa"/>
          </w:tcPr>
          <w:p w14:paraId="27C6129C"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74C4B141" w14:textId="77777777" w:rsidR="00223CE8" w:rsidRPr="00944B15" w:rsidRDefault="00223CE8" w:rsidP="002D6DD7">
            <w:pPr>
              <w:rPr>
                <w:rFonts w:cs="Times New Roman"/>
                <w:szCs w:val="24"/>
              </w:rPr>
            </w:pPr>
            <w:r>
              <w:rPr>
                <w:rFonts w:cs="Times New Roman"/>
                <w:szCs w:val="24"/>
              </w:rPr>
              <w:t>Progestogen-only oral contraceptive</w:t>
            </w:r>
          </w:p>
        </w:tc>
      </w:tr>
      <w:tr w:rsidR="00223CE8" w:rsidRPr="00944B15" w14:paraId="1019319D" w14:textId="77777777" w:rsidTr="002D6DD7">
        <w:trPr>
          <w:jc w:val="center"/>
        </w:trPr>
        <w:tc>
          <w:tcPr>
            <w:tcW w:w="2695" w:type="dxa"/>
          </w:tcPr>
          <w:p w14:paraId="44E6B920"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6258E27B" w14:textId="77777777" w:rsidR="00223CE8" w:rsidRPr="00944B15" w:rsidRDefault="00223CE8" w:rsidP="002D6DD7">
            <w:pPr>
              <w:rPr>
                <w:rFonts w:eastAsia="Times New Roman" w:cs="Times New Roman"/>
                <w:szCs w:val="24"/>
                <w:lang w:val="nb-NO"/>
              </w:rPr>
            </w:pPr>
            <w:r w:rsidRPr="00944B15">
              <w:rPr>
                <w:rFonts w:eastAsia="Times New Roman" w:cs="Times New Roman"/>
                <w:szCs w:val="24"/>
                <w:lang w:val="nb-NO"/>
              </w:rPr>
              <w:t>Tablet: 0.75mg, 1.5mg</w:t>
            </w:r>
          </w:p>
          <w:p w14:paraId="06F56B11" w14:textId="77777777" w:rsidR="00223CE8" w:rsidRPr="00944B15" w:rsidRDefault="00223CE8" w:rsidP="002D6DD7">
            <w:pPr>
              <w:rPr>
                <w:rFonts w:cs="Times New Roman"/>
                <w:szCs w:val="24"/>
                <w:lang w:val="nb-NO"/>
              </w:rPr>
            </w:pPr>
            <w:r w:rsidRPr="00944B15">
              <w:rPr>
                <w:rFonts w:eastAsia="Times New Roman" w:cs="Times New Roman"/>
                <w:szCs w:val="24"/>
                <w:lang w:val="nb-NO"/>
              </w:rPr>
              <w:t>Tablet</w:t>
            </w:r>
            <w:r>
              <w:rPr>
                <w:rFonts w:eastAsia="Times New Roman" w:cs="Times New Roman"/>
                <w:szCs w:val="24"/>
                <w:lang w:val="nb-NO"/>
              </w:rPr>
              <w:t>: 30 mcg</w:t>
            </w:r>
          </w:p>
        </w:tc>
      </w:tr>
      <w:tr w:rsidR="00223CE8" w:rsidRPr="00944B15" w14:paraId="20AD902A" w14:textId="77777777" w:rsidTr="002D6DD7">
        <w:trPr>
          <w:jc w:val="center"/>
        </w:trPr>
        <w:tc>
          <w:tcPr>
            <w:tcW w:w="2695" w:type="dxa"/>
          </w:tcPr>
          <w:p w14:paraId="3190FD9F"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225E8F56" w14:textId="77777777" w:rsidR="00223CE8" w:rsidRPr="00944B15" w:rsidRDefault="00223CE8" w:rsidP="002D6DD7">
            <w:pPr>
              <w:rPr>
                <w:rFonts w:cs="Times New Roman"/>
                <w:szCs w:val="24"/>
              </w:rPr>
            </w:pPr>
            <w:r>
              <w:rPr>
                <w:rFonts w:cs="Times New Roman"/>
                <w:szCs w:val="24"/>
              </w:rPr>
              <w:t>Emergency contraception, o</w:t>
            </w:r>
            <w:r w:rsidRPr="00944B15">
              <w:rPr>
                <w:rFonts w:cs="Times New Roman"/>
                <w:szCs w:val="24"/>
              </w:rPr>
              <w:t>ral contraception</w:t>
            </w:r>
          </w:p>
        </w:tc>
      </w:tr>
      <w:tr w:rsidR="00223CE8" w:rsidRPr="00944B15" w14:paraId="2D731FA7" w14:textId="77777777" w:rsidTr="002D6DD7">
        <w:trPr>
          <w:jc w:val="center"/>
        </w:trPr>
        <w:tc>
          <w:tcPr>
            <w:tcW w:w="2695" w:type="dxa"/>
          </w:tcPr>
          <w:p w14:paraId="3D805E65"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00B218F2" w14:textId="77777777" w:rsidR="00223CE8" w:rsidRDefault="00223CE8" w:rsidP="002D6DD7">
            <w:pPr>
              <w:rPr>
                <w:rFonts w:cs="Times New Roman"/>
                <w:szCs w:val="24"/>
              </w:rPr>
            </w:pPr>
            <w:r w:rsidRPr="00944B15">
              <w:rPr>
                <w:rFonts w:cs="Times New Roman"/>
                <w:b/>
                <w:szCs w:val="24"/>
              </w:rPr>
              <w:t>Emergency contraception</w:t>
            </w:r>
            <w:r w:rsidRPr="00944B15">
              <w:rPr>
                <w:rFonts w:cs="Times New Roman"/>
                <w:szCs w:val="24"/>
              </w:rPr>
              <w:t>: 1.5 mg for 1 dose, taken as soon as possible after coitus, preferably within 12 hours and no later than after 72 hours (may also be used between 72–96 hours after coitus but efficacy decreases with time), alternatively 3 mg for 1 dose, taken as soon as possible after coitus, preferably within 12 hours and no later than after 72 hours</w:t>
            </w:r>
            <w:r>
              <w:rPr>
                <w:rFonts w:cs="Times New Roman"/>
                <w:szCs w:val="24"/>
              </w:rPr>
              <w:t>.</w:t>
            </w:r>
          </w:p>
          <w:p w14:paraId="4B739DA2" w14:textId="77777777" w:rsidR="00223CE8" w:rsidRPr="00944B15" w:rsidRDefault="00223CE8" w:rsidP="002D6DD7">
            <w:pPr>
              <w:rPr>
                <w:rFonts w:cs="Times New Roman"/>
                <w:szCs w:val="24"/>
              </w:rPr>
            </w:pPr>
            <w:r w:rsidRPr="00944B15">
              <w:rPr>
                <w:rFonts w:cs="Times New Roman"/>
                <w:szCs w:val="24"/>
              </w:rPr>
              <w:t xml:space="preserve"> (</w:t>
            </w:r>
            <w:r w:rsidRPr="00944B15">
              <w:rPr>
                <w:rFonts w:cs="Times New Roman"/>
                <w:b/>
                <w:szCs w:val="24"/>
              </w:rPr>
              <w:t>Contraception (progestin only):</w:t>
            </w:r>
            <w:r w:rsidRPr="00944B15">
              <w:rPr>
                <w:rFonts w:cs="Times New Roman"/>
                <w:szCs w:val="24"/>
              </w:rPr>
              <w:t xml:space="preserve"> 30 </w:t>
            </w:r>
            <w:r>
              <w:rPr>
                <w:rFonts w:cs="Times New Roman"/>
                <w:szCs w:val="24"/>
              </w:rPr>
              <w:t xml:space="preserve">mcg </w:t>
            </w:r>
            <w:r w:rsidRPr="00944B15">
              <w:rPr>
                <w:rFonts w:cs="Times New Roman"/>
                <w:szCs w:val="24"/>
              </w:rPr>
              <w:t xml:space="preserve">daily starting on day 1 </w:t>
            </w:r>
            <w:r w:rsidRPr="00944B15">
              <w:rPr>
                <w:rFonts w:cs="Times New Roman"/>
                <w:szCs w:val="24"/>
              </w:rPr>
              <w:lastRenderedPageBreak/>
              <w:t>of the cycle then continuously, dose is to be taken a</w:t>
            </w:r>
            <w:r>
              <w:rPr>
                <w:rFonts w:cs="Times New Roman"/>
                <w:szCs w:val="24"/>
              </w:rPr>
              <w:t>t the same time each day.</w:t>
            </w:r>
          </w:p>
        </w:tc>
      </w:tr>
      <w:tr w:rsidR="00223CE8" w:rsidRPr="00944B15" w14:paraId="0905A229" w14:textId="77777777" w:rsidTr="002D6DD7">
        <w:trPr>
          <w:jc w:val="center"/>
        </w:trPr>
        <w:tc>
          <w:tcPr>
            <w:tcW w:w="2695" w:type="dxa"/>
          </w:tcPr>
          <w:p w14:paraId="349219C4"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655" w:type="dxa"/>
          </w:tcPr>
          <w:p w14:paraId="63F354B5" w14:textId="77777777" w:rsidR="00223CE8" w:rsidRPr="00944B15" w:rsidRDefault="00223CE8" w:rsidP="002D6DD7">
            <w:pPr>
              <w:jc w:val="both"/>
              <w:rPr>
                <w:rFonts w:cs="Times New Roman"/>
                <w:szCs w:val="24"/>
              </w:rPr>
            </w:pPr>
            <w:r w:rsidRPr="00944B15">
              <w:rPr>
                <w:rFonts w:cs="Times New Roman"/>
                <w:szCs w:val="24"/>
              </w:rPr>
              <w:t xml:space="preserve">Known or suspected pregnancy, </w:t>
            </w:r>
            <w:r>
              <w:rPr>
                <w:rFonts w:cs="Times New Roman"/>
                <w:szCs w:val="24"/>
              </w:rPr>
              <w:t>p</w:t>
            </w:r>
            <w:r w:rsidRPr="00944B15">
              <w:rPr>
                <w:rFonts w:cs="Times New Roman"/>
                <w:szCs w:val="24"/>
              </w:rPr>
              <w:t xml:space="preserve">resence or history of severe hepatic disease, </w:t>
            </w:r>
            <w:r>
              <w:rPr>
                <w:rFonts w:cs="Times New Roman"/>
                <w:szCs w:val="24"/>
              </w:rPr>
              <w:t>p</w:t>
            </w:r>
            <w:r w:rsidRPr="00944B15">
              <w:rPr>
                <w:rFonts w:cs="Times New Roman"/>
                <w:szCs w:val="24"/>
              </w:rPr>
              <w:t xml:space="preserve">resence or history of liver tumors (benign or malignant), </w:t>
            </w:r>
            <w:r>
              <w:rPr>
                <w:rFonts w:cs="Times New Roman"/>
                <w:szCs w:val="24"/>
              </w:rPr>
              <w:t>k</w:t>
            </w:r>
            <w:r w:rsidRPr="00944B15">
              <w:rPr>
                <w:rFonts w:cs="Times New Roman"/>
                <w:szCs w:val="24"/>
              </w:rPr>
              <w:t xml:space="preserve">nown or suspected sex- steroid influenced malignancies (e.g. current or history of breast cancer), </w:t>
            </w:r>
            <w:r>
              <w:rPr>
                <w:rFonts w:cs="Times New Roman"/>
                <w:szCs w:val="24"/>
              </w:rPr>
              <w:t>u</w:t>
            </w:r>
            <w:r w:rsidRPr="00944B15">
              <w:rPr>
                <w:rFonts w:cs="Times New Roman"/>
                <w:szCs w:val="24"/>
              </w:rPr>
              <w:t xml:space="preserve">ndiagnosed abnormal vaginal bleeding, </w:t>
            </w:r>
            <w:r>
              <w:rPr>
                <w:rFonts w:cs="Times New Roman"/>
                <w:szCs w:val="24"/>
              </w:rPr>
              <w:t>s</w:t>
            </w:r>
            <w:r w:rsidRPr="00944B15">
              <w:rPr>
                <w:rFonts w:cs="Times New Roman"/>
                <w:szCs w:val="24"/>
              </w:rPr>
              <w:t xml:space="preserve">evere diabetes with vascular changes, </w:t>
            </w:r>
            <w:r>
              <w:rPr>
                <w:rFonts w:cs="Times New Roman"/>
                <w:szCs w:val="24"/>
              </w:rPr>
              <w:t>h</w:t>
            </w:r>
            <w:r w:rsidRPr="00944B15">
              <w:rPr>
                <w:rFonts w:cs="Times New Roman"/>
                <w:szCs w:val="24"/>
              </w:rPr>
              <w:t>ypersensitivity to the active substance or to any of the excipients.</w:t>
            </w:r>
          </w:p>
        </w:tc>
      </w:tr>
      <w:tr w:rsidR="00223CE8" w:rsidRPr="00944B15" w14:paraId="3B285285" w14:textId="77777777" w:rsidTr="002D6DD7">
        <w:trPr>
          <w:jc w:val="center"/>
        </w:trPr>
        <w:tc>
          <w:tcPr>
            <w:tcW w:w="2695" w:type="dxa"/>
          </w:tcPr>
          <w:p w14:paraId="382AC2C8"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5B7F3BDC" w14:textId="77777777" w:rsidR="00223CE8" w:rsidRPr="00944B15" w:rsidRDefault="00223CE8" w:rsidP="002D6DD7">
            <w:pPr>
              <w:jc w:val="both"/>
              <w:rPr>
                <w:rFonts w:cs="Times New Roman"/>
                <w:szCs w:val="24"/>
              </w:rPr>
            </w:pPr>
            <w:r>
              <w:rPr>
                <w:rFonts w:cs="Times New Roman"/>
                <w:szCs w:val="24"/>
              </w:rPr>
              <w:t>Rifampicin and rifabutin, r</w:t>
            </w:r>
            <w:r w:rsidRPr="00944B15">
              <w:rPr>
                <w:rFonts w:cs="Times New Roman"/>
                <w:szCs w:val="24"/>
              </w:rPr>
              <w:t xml:space="preserve">itonavir, tranexamic acid, artemether, betamethasone, bupropion, anti-epileptics, cyclosporine, darunavir, dexamethasone, isotretinoin, ocreotide, St. John’s Wort, theophylline, diazepam, levothyroxine, prednisolone, selegiline, warfarin, </w:t>
            </w:r>
            <w:r>
              <w:rPr>
                <w:rFonts w:cs="Times New Roman"/>
                <w:szCs w:val="24"/>
              </w:rPr>
              <w:t>e</w:t>
            </w:r>
            <w:r w:rsidRPr="00944B15">
              <w:rPr>
                <w:rFonts w:cs="Times New Roman"/>
                <w:szCs w:val="24"/>
              </w:rPr>
              <w:t>rythromycin,</w:t>
            </w:r>
            <w:r>
              <w:rPr>
                <w:rFonts w:cs="Times New Roman"/>
                <w:szCs w:val="24"/>
              </w:rPr>
              <w:t xml:space="preserve"> Clarithromycin, atorvastatin, lamotrigine, p</w:t>
            </w:r>
            <w:r w:rsidRPr="00944B15">
              <w:rPr>
                <w:rFonts w:cs="Times New Roman"/>
                <w:szCs w:val="24"/>
              </w:rPr>
              <w:t xml:space="preserve">rednisolone </w:t>
            </w:r>
          </w:p>
        </w:tc>
      </w:tr>
      <w:tr w:rsidR="00223CE8" w:rsidRPr="00944B15" w14:paraId="02EE1778" w14:textId="77777777" w:rsidTr="002D6DD7">
        <w:trPr>
          <w:trHeight w:val="800"/>
          <w:jc w:val="center"/>
        </w:trPr>
        <w:tc>
          <w:tcPr>
            <w:tcW w:w="2695" w:type="dxa"/>
          </w:tcPr>
          <w:p w14:paraId="14F28BDD"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37EC6511" w14:textId="77777777" w:rsidR="00223CE8" w:rsidRPr="00944B15" w:rsidRDefault="00223CE8" w:rsidP="002D6DD7">
            <w:pPr>
              <w:jc w:val="both"/>
              <w:rPr>
                <w:rFonts w:cs="Times New Roman"/>
                <w:szCs w:val="24"/>
              </w:rPr>
            </w:pPr>
            <w:r w:rsidRPr="00944B15">
              <w:rPr>
                <w:rFonts w:cs="Times New Roman"/>
                <w:szCs w:val="24"/>
              </w:rPr>
              <w:t>Uterine/vaginal bleeding including spotting, menorrhagia and/or metrorrhagia and amenorrhea, nausea, vomiting, headache, dizziness, breast discomfort, depression, skin disord</w:t>
            </w:r>
            <w:r>
              <w:rPr>
                <w:rFonts w:cs="Times New Roman"/>
                <w:szCs w:val="24"/>
              </w:rPr>
              <w:t xml:space="preserve">ers, disturbances of appetite, </w:t>
            </w:r>
            <w:r w:rsidRPr="00944B15">
              <w:rPr>
                <w:rFonts w:cs="Times New Roman"/>
                <w:szCs w:val="24"/>
              </w:rPr>
              <w:t>weight increase, change in libido,</w:t>
            </w:r>
          </w:p>
        </w:tc>
      </w:tr>
      <w:tr w:rsidR="00223CE8" w:rsidRPr="00944B15" w14:paraId="22E4C6E5" w14:textId="77777777" w:rsidTr="002D6DD7">
        <w:trPr>
          <w:jc w:val="center"/>
        </w:trPr>
        <w:tc>
          <w:tcPr>
            <w:tcW w:w="2695" w:type="dxa"/>
          </w:tcPr>
          <w:p w14:paraId="0307055A"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3F650E5C" w14:textId="77777777" w:rsidR="00223CE8" w:rsidRPr="00944B15" w:rsidRDefault="00223CE8" w:rsidP="002D6DD7">
            <w:pPr>
              <w:jc w:val="both"/>
              <w:rPr>
                <w:rFonts w:eastAsia="Times New Roman" w:cs="Times New Roman"/>
                <w:szCs w:val="24"/>
              </w:rPr>
            </w:pPr>
            <w:r w:rsidRPr="00944B15">
              <w:rPr>
                <w:rFonts w:eastAsia="Times New Roman" w:cs="Times New Roman"/>
                <w:szCs w:val="24"/>
              </w:rPr>
              <w:t xml:space="preserve">Migraines </w:t>
            </w:r>
            <w:r>
              <w:rPr>
                <w:rFonts w:eastAsia="Times New Roman" w:cs="Times New Roman"/>
                <w:szCs w:val="24"/>
              </w:rPr>
              <w:t>headaches or severe headaches, v</w:t>
            </w:r>
            <w:r w:rsidRPr="00944B15">
              <w:rPr>
                <w:rFonts w:eastAsia="Times New Roman" w:cs="Times New Roman"/>
                <w:szCs w:val="24"/>
              </w:rPr>
              <w:t>ision, hearin</w:t>
            </w:r>
            <w:r>
              <w:rPr>
                <w:rFonts w:eastAsia="Times New Roman" w:cs="Times New Roman"/>
                <w:szCs w:val="24"/>
              </w:rPr>
              <w:t>g, or perceptual disturbances, p</w:t>
            </w:r>
            <w:r w:rsidRPr="00944B15">
              <w:rPr>
                <w:rFonts w:eastAsia="Times New Roman" w:cs="Times New Roman"/>
                <w:szCs w:val="24"/>
              </w:rPr>
              <w:t>hrombophlebit</w:t>
            </w:r>
            <w:r>
              <w:rPr>
                <w:rFonts w:eastAsia="Times New Roman" w:cs="Times New Roman"/>
                <w:szCs w:val="24"/>
              </w:rPr>
              <w:t>is or thromboembolic symptoms, m</w:t>
            </w:r>
            <w:r w:rsidRPr="00944B15">
              <w:rPr>
                <w:rFonts w:eastAsia="Times New Roman" w:cs="Times New Roman"/>
                <w:szCs w:val="24"/>
              </w:rPr>
              <w:t>ajor surgery or prolonge</w:t>
            </w:r>
            <w:r>
              <w:rPr>
                <w:rFonts w:eastAsia="Times New Roman" w:cs="Times New Roman"/>
                <w:szCs w:val="24"/>
              </w:rPr>
              <w:t>d immobilization, j</w:t>
            </w:r>
            <w:r w:rsidRPr="00944B15">
              <w:rPr>
                <w:rFonts w:eastAsia="Times New Roman" w:cs="Times New Roman"/>
                <w:szCs w:val="24"/>
              </w:rPr>
              <w:t>aundice, he</w:t>
            </w:r>
            <w:r>
              <w:rPr>
                <w:rFonts w:eastAsia="Times New Roman" w:cs="Times New Roman"/>
                <w:szCs w:val="24"/>
              </w:rPr>
              <w:t>patitis, or whole-body itching, m</w:t>
            </w:r>
            <w:r w:rsidRPr="00944B15">
              <w:rPr>
                <w:rFonts w:cs="Times New Roman"/>
                <w:szCs w:val="24"/>
              </w:rPr>
              <w:t>ultiple risk factors for cardiovascular disease</w:t>
            </w:r>
            <w:r w:rsidRPr="00944B15">
              <w:rPr>
                <w:rFonts w:eastAsia="Times New Roman" w:cs="Times New Roman"/>
                <w:szCs w:val="24"/>
              </w:rPr>
              <w:t xml:space="preserve">. </w:t>
            </w:r>
          </w:p>
        </w:tc>
      </w:tr>
      <w:tr w:rsidR="00223CE8" w:rsidRPr="00944B15" w14:paraId="66F93DF1" w14:textId="77777777" w:rsidTr="002D6DD7">
        <w:trPr>
          <w:jc w:val="center"/>
        </w:trPr>
        <w:tc>
          <w:tcPr>
            <w:tcW w:w="2695" w:type="dxa"/>
          </w:tcPr>
          <w:p w14:paraId="3DAF0B78"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7F57D0FC" w14:textId="77777777" w:rsidR="00223CE8" w:rsidRPr="00944B15" w:rsidRDefault="00223CE8" w:rsidP="002D6DD7">
            <w:pPr>
              <w:rPr>
                <w:rFonts w:cs="Times New Roman"/>
                <w:szCs w:val="24"/>
              </w:rPr>
            </w:pPr>
            <w:r>
              <w:rPr>
                <w:rFonts w:cs="Times New Roman"/>
                <w:szCs w:val="24"/>
              </w:rPr>
              <w:t>Store below 30</w:t>
            </w:r>
            <w:r w:rsidRPr="00944B15">
              <w:rPr>
                <w:rFonts w:cs="Times New Roman"/>
                <w:szCs w:val="24"/>
              </w:rPr>
              <w:t xml:space="preserve">° C. </w:t>
            </w:r>
            <w:r>
              <w:rPr>
                <w:rFonts w:cs="Times New Roman"/>
                <w:szCs w:val="24"/>
              </w:rPr>
              <w:t>P</w:t>
            </w:r>
            <w:r w:rsidRPr="00944B15">
              <w:rPr>
                <w:rFonts w:cs="Times New Roman"/>
                <w:szCs w:val="24"/>
              </w:rPr>
              <w:t xml:space="preserve">rotect from light. </w:t>
            </w:r>
          </w:p>
        </w:tc>
      </w:tr>
      <w:tr w:rsidR="00223CE8" w:rsidRPr="00944B15" w14:paraId="24A1B071" w14:textId="77777777" w:rsidTr="002D6DD7">
        <w:trPr>
          <w:jc w:val="center"/>
        </w:trPr>
        <w:tc>
          <w:tcPr>
            <w:tcW w:w="9350" w:type="dxa"/>
            <w:gridSpan w:val="2"/>
          </w:tcPr>
          <w:p w14:paraId="02CA440F" w14:textId="77777777" w:rsidR="00223CE8" w:rsidRPr="00944B15" w:rsidRDefault="00223CE8" w:rsidP="002D6DD7">
            <w:pPr>
              <w:rPr>
                <w:rFonts w:cs="Times New Roman"/>
                <w:szCs w:val="24"/>
              </w:rPr>
            </w:pPr>
            <w:r w:rsidRPr="00944B15">
              <w:rPr>
                <w:rFonts w:cs="Times New Roman"/>
                <w:b/>
                <w:szCs w:val="24"/>
              </w:rPr>
              <w:t xml:space="preserve">Norethindrone </w:t>
            </w:r>
          </w:p>
        </w:tc>
      </w:tr>
      <w:tr w:rsidR="00223CE8" w:rsidRPr="00944B15" w14:paraId="2F63E847" w14:textId="77777777" w:rsidTr="002D6DD7">
        <w:trPr>
          <w:jc w:val="center"/>
        </w:trPr>
        <w:tc>
          <w:tcPr>
            <w:tcW w:w="2695" w:type="dxa"/>
          </w:tcPr>
          <w:p w14:paraId="69FAB358"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51BF3513" w14:textId="77777777" w:rsidR="00223CE8" w:rsidRPr="00944B15" w:rsidRDefault="00223CE8" w:rsidP="002D6DD7">
            <w:pPr>
              <w:rPr>
                <w:rFonts w:cs="Times New Roman"/>
                <w:szCs w:val="24"/>
              </w:rPr>
            </w:pPr>
            <w:r>
              <w:rPr>
                <w:rFonts w:cs="Times New Roman"/>
                <w:szCs w:val="24"/>
              </w:rPr>
              <w:t>Progestogen-only oral contraceptive</w:t>
            </w:r>
          </w:p>
        </w:tc>
      </w:tr>
      <w:tr w:rsidR="00223CE8" w:rsidRPr="00944B15" w14:paraId="2E8B7F4A" w14:textId="77777777" w:rsidTr="002D6DD7">
        <w:trPr>
          <w:jc w:val="center"/>
        </w:trPr>
        <w:tc>
          <w:tcPr>
            <w:tcW w:w="2695" w:type="dxa"/>
          </w:tcPr>
          <w:p w14:paraId="26D2C57C"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7EEEE9C7" w14:textId="77777777" w:rsidR="00223CE8" w:rsidRPr="00944B15" w:rsidRDefault="00223CE8" w:rsidP="002D6DD7">
            <w:pPr>
              <w:rPr>
                <w:rFonts w:cs="Times New Roman"/>
                <w:szCs w:val="24"/>
              </w:rPr>
            </w:pPr>
            <w:r w:rsidRPr="00944B15">
              <w:rPr>
                <w:rFonts w:eastAsia="Times New Roman" w:cs="Times New Roman"/>
                <w:szCs w:val="24"/>
              </w:rPr>
              <w:t>Tablet: 0.35mg;</w:t>
            </w:r>
          </w:p>
        </w:tc>
      </w:tr>
      <w:tr w:rsidR="00223CE8" w:rsidRPr="00944B15" w14:paraId="6B35C80F" w14:textId="77777777" w:rsidTr="002D6DD7">
        <w:trPr>
          <w:jc w:val="center"/>
        </w:trPr>
        <w:tc>
          <w:tcPr>
            <w:tcW w:w="2695" w:type="dxa"/>
          </w:tcPr>
          <w:p w14:paraId="389F076F"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47ED0717" w14:textId="77777777" w:rsidR="00223CE8" w:rsidRPr="00944B15" w:rsidRDefault="00223CE8" w:rsidP="002D6DD7">
            <w:pPr>
              <w:rPr>
                <w:rFonts w:cs="Times New Roman"/>
                <w:szCs w:val="24"/>
              </w:rPr>
            </w:pPr>
            <w:r w:rsidRPr="00944B15">
              <w:rPr>
                <w:rFonts w:cs="Times New Roman"/>
                <w:szCs w:val="24"/>
              </w:rPr>
              <w:t xml:space="preserve">Contraception, </w:t>
            </w:r>
            <w:r>
              <w:rPr>
                <w:rFonts w:cs="Times New Roman"/>
                <w:szCs w:val="24"/>
              </w:rPr>
              <w:t>amenorrhea or uterine b</w:t>
            </w:r>
            <w:r w:rsidRPr="00F61153">
              <w:rPr>
                <w:rFonts w:cs="Times New Roman"/>
                <w:szCs w:val="24"/>
              </w:rPr>
              <w:t>leeding</w:t>
            </w:r>
            <w:r w:rsidRPr="00944B15">
              <w:rPr>
                <w:rFonts w:cs="Times New Roman"/>
                <w:szCs w:val="24"/>
              </w:rPr>
              <w:t>, endometriosis</w:t>
            </w:r>
          </w:p>
        </w:tc>
      </w:tr>
      <w:tr w:rsidR="00223CE8" w:rsidRPr="00944B15" w14:paraId="68AB29F2" w14:textId="77777777" w:rsidTr="002D6DD7">
        <w:trPr>
          <w:trHeight w:val="2330"/>
          <w:jc w:val="center"/>
        </w:trPr>
        <w:tc>
          <w:tcPr>
            <w:tcW w:w="2695" w:type="dxa"/>
          </w:tcPr>
          <w:p w14:paraId="0948C4F7" w14:textId="77777777" w:rsidR="00223CE8" w:rsidRPr="00944B15" w:rsidRDefault="00223CE8" w:rsidP="002D6DD7">
            <w:pPr>
              <w:rPr>
                <w:rFonts w:cs="Times New Roman"/>
                <w:szCs w:val="24"/>
              </w:rPr>
            </w:pPr>
            <w:r w:rsidRPr="00944B15">
              <w:rPr>
                <w:rFonts w:cs="Times New Roman"/>
                <w:szCs w:val="24"/>
              </w:rPr>
              <w:lastRenderedPageBreak/>
              <w:t>Dose and administration</w:t>
            </w:r>
          </w:p>
        </w:tc>
        <w:tc>
          <w:tcPr>
            <w:tcW w:w="6655" w:type="dxa"/>
          </w:tcPr>
          <w:p w14:paraId="47B8DF38" w14:textId="77777777" w:rsidR="00223CE8" w:rsidRDefault="00223CE8" w:rsidP="002D6DD7">
            <w:pPr>
              <w:jc w:val="both"/>
              <w:rPr>
                <w:rFonts w:cs="Times New Roman"/>
                <w:b/>
                <w:szCs w:val="24"/>
              </w:rPr>
            </w:pPr>
            <w:r>
              <w:rPr>
                <w:rFonts w:cs="Times New Roman"/>
                <w:b/>
                <w:szCs w:val="24"/>
              </w:rPr>
              <w:t>Adult:</w:t>
            </w:r>
          </w:p>
          <w:p w14:paraId="1A58369F" w14:textId="77777777" w:rsidR="00223CE8" w:rsidRDefault="00223CE8" w:rsidP="002D6DD7">
            <w:pPr>
              <w:jc w:val="both"/>
              <w:rPr>
                <w:rFonts w:cs="Times New Roman"/>
                <w:szCs w:val="24"/>
              </w:rPr>
            </w:pPr>
            <w:r w:rsidRPr="00944B15">
              <w:rPr>
                <w:rFonts w:cs="Times New Roman"/>
                <w:b/>
                <w:szCs w:val="24"/>
              </w:rPr>
              <w:t>Contraception</w:t>
            </w:r>
            <w:r>
              <w:rPr>
                <w:rFonts w:cs="Times New Roman"/>
                <w:szCs w:val="24"/>
              </w:rPr>
              <w:t>:</w:t>
            </w:r>
            <w:r w:rsidRPr="00944B15">
              <w:rPr>
                <w:rFonts w:cs="Times New Roman"/>
                <w:szCs w:val="24"/>
              </w:rPr>
              <w:t xml:space="preserve"> </w:t>
            </w:r>
            <w:r>
              <w:rPr>
                <w:rFonts w:cs="Times New Roman"/>
                <w:szCs w:val="24"/>
              </w:rPr>
              <w:t xml:space="preserve">oral </w:t>
            </w:r>
          </w:p>
          <w:p w14:paraId="45342BFB" w14:textId="77777777" w:rsidR="00223CE8" w:rsidRPr="00944B15" w:rsidRDefault="00223CE8" w:rsidP="002D6DD7">
            <w:pPr>
              <w:jc w:val="both"/>
              <w:rPr>
                <w:rFonts w:cs="Times New Roman"/>
                <w:szCs w:val="24"/>
              </w:rPr>
            </w:pPr>
            <w:r>
              <w:rPr>
                <w:rFonts w:cs="Times New Roman"/>
                <w:szCs w:val="24"/>
              </w:rPr>
              <w:t>0.35mg</w:t>
            </w:r>
            <w:r w:rsidRPr="00944B15">
              <w:rPr>
                <w:rFonts w:cs="Times New Roman"/>
                <w:szCs w:val="24"/>
              </w:rPr>
              <w:t xml:space="preserve"> daily, dose to be taken at same time each day, starting on day 1 of cycle then continuously</w:t>
            </w:r>
            <w:r>
              <w:rPr>
                <w:rFonts w:cs="Times New Roman"/>
                <w:szCs w:val="24"/>
              </w:rPr>
              <w:t>.</w:t>
            </w:r>
            <w:r w:rsidRPr="00944B15">
              <w:rPr>
                <w:rFonts w:cs="Times New Roman"/>
                <w:szCs w:val="24"/>
              </w:rPr>
              <w:t xml:space="preserve"> </w:t>
            </w:r>
          </w:p>
          <w:p w14:paraId="7D881B30" w14:textId="77777777" w:rsidR="00223CE8" w:rsidRDefault="00223CE8" w:rsidP="002D6DD7">
            <w:pPr>
              <w:jc w:val="both"/>
              <w:rPr>
                <w:rFonts w:cs="Times New Roman"/>
                <w:szCs w:val="24"/>
              </w:rPr>
            </w:pPr>
            <w:r w:rsidRPr="00944B15">
              <w:rPr>
                <w:rFonts w:cs="Times New Roman"/>
                <w:b/>
                <w:szCs w:val="24"/>
              </w:rPr>
              <w:t>Endometriosis</w:t>
            </w:r>
            <w:r>
              <w:rPr>
                <w:rFonts w:cs="Times New Roman"/>
                <w:szCs w:val="24"/>
              </w:rPr>
              <w:t>:</w:t>
            </w:r>
            <w:r w:rsidRPr="00944B15">
              <w:rPr>
                <w:rFonts w:cs="Times New Roman"/>
                <w:szCs w:val="24"/>
              </w:rPr>
              <w:t xml:space="preserve"> </w:t>
            </w:r>
          </w:p>
          <w:p w14:paraId="69880CED" w14:textId="77777777" w:rsidR="00223CE8" w:rsidRDefault="00223CE8" w:rsidP="002D6DD7">
            <w:pPr>
              <w:jc w:val="both"/>
              <w:rPr>
                <w:rFonts w:cs="Times New Roman"/>
                <w:szCs w:val="24"/>
              </w:rPr>
            </w:pPr>
            <w:r>
              <w:rPr>
                <w:rFonts w:cs="Times New Roman"/>
                <w:szCs w:val="24"/>
              </w:rPr>
              <w:t xml:space="preserve">Ora: </w:t>
            </w:r>
            <w:r w:rsidRPr="00944B15">
              <w:rPr>
                <w:rFonts w:cs="Times New Roman"/>
                <w:szCs w:val="24"/>
              </w:rPr>
              <w:t>10–15 mg daily for 4–6 months or longer, to be started on day 5 of cycle; increased to 20–25 mg daily if required, dose only increased if spotting occurs and reduced once bleeding has stopped</w:t>
            </w:r>
          </w:p>
          <w:p w14:paraId="2364D01E" w14:textId="77777777" w:rsidR="00223CE8" w:rsidRPr="00D76338" w:rsidRDefault="00223CE8" w:rsidP="002D6DD7">
            <w:pPr>
              <w:jc w:val="both"/>
              <w:rPr>
                <w:rFonts w:cs="Times New Roman"/>
                <w:b/>
                <w:szCs w:val="24"/>
              </w:rPr>
            </w:pPr>
            <w:r w:rsidRPr="00AC374E">
              <w:rPr>
                <w:rFonts w:cs="Times New Roman"/>
                <w:b/>
                <w:szCs w:val="24"/>
              </w:rPr>
              <w:t>Amenorrhea or uterine b</w:t>
            </w:r>
            <w:r w:rsidRPr="00D76338">
              <w:rPr>
                <w:rFonts w:cs="Times New Roman"/>
                <w:b/>
                <w:szCs w:val="24"/>
              </w:rPr>
              <w:t>leeding</w:t>
            </w:r>
            <w:r>
              <w:rPr>
                <w:rFonts w:cs="Times New Roman"/>
                <w:b/>
                <w:szCs w:val="24"/>
              </w:rPr>
              <w:t>:</w:t>
            </w:r>
          </w:p>
          <w:p w14:paraId="6D90D794" w14:textId="77777777" w:rsidR="00223CE8" w:rsidRPr="00944B15" w:rsidRDefault="00223CE8" w:rsidP="002D6DD7">
            <w:pPr>
              <w:jc w:val="both"/>
              <w:rPr>
                <w:rFonts w:cs="Times New Roman"/>
                <w:szCs w:val="24"/>
              </w:rPr>
            </w:pPr>
            <w:r>
              <w:rPr>
                <w:rFonts w:cs="Times New Roman"/>
                <w:szCs w:val="24"/>
              </w:rPr>
              <w:t xml:space="preserve">Oral: </w:t>
            </w:r>
            <w:r w:rsidRPr="00F61153">
              <w:rPr>
                <w:rFonts w:cs="Times New Roman"/>
                <w:szCs w:val="24"/>
              </w:rPr>
              <w:t>2.5–10 mg daily for 5–10 days.</w:t>
            </w:r>
          </w:p>
        </w:tc>
      </w:tr>
      <w:tr w:rsidR="00223CE8" w:rsidRPr="00944B15" w14:paraId="0FCC1E64" w14:textId="77777777" w:rsidTr="002D6DD7">
        <w:trPr>
          <w:jc w:val="center"/>
        </w:trPr>
        <w:tc>
          <w:tcPr>
            <w:tcW w:w="2695" w:type="dxa"/>
          </w:tcPr>
          <w:p w14:paraId="09751963"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6C5B90BA" w14:textId="77777777" w:rsidR="00223CE8" w:rsidRPr="00944B15" w:rsidRDefault="00223CE8"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w:t>
            </w:r>
            <w:r w:rsidRPr="00944B15">
              <w:rPr>
                <w:rFonts w:cs="Times New Roman"/>
                <w:szCs w:val="24"/>
              </w:rPr>
              <w:t>,</w:t>
            </w:r>
            <w:r>
              <w:rPr>
                <w:rFonts w:cs="Times New Roman"/>
                <w:szCs w:val="24"/>
              </w:rPr>
              <w:t xml:space="preserve"> k</w:t>
            </w:r>
            <w:r w:rsidRPr="00944B15">
              <w:rPr>
                <w:rFonts w:cs="Times New Roman"/>
                <w:szCs w:val="24"/>
              </w:rPr>
              <w:t xml:space="preserve">nown or suspected pregnancy, </w:t>
            </w:r>
            <w:r>
              <w:rPr>
                <w:rFonts w:cs="Times New Roman"/>
                <w:szCs w:val="24"/>
              </w:rPr>
              <w:t>k</w:t>
            </w:r>
            <w:r w:rsidRPr="00944B15">
              <w:rPr>
                <w:rFonts w:cs="Times New Roman"/>
                <w:szCs w:val="24"/>
              </w:rPr>
              <w:t xml:space="preserve">nown or suspected carcinoma of the breast, </w:t>
            </w:r>
            <w:r>
              <w:rPr>
                <w:rFonts w:cs="Times New Roman"/>
                <w:szCs w:val="24"/>
              </w:rPr>
              <w:t>un</w:t>
            </w:r>
            <w:r w:rsidRPr="00944B15">
              <w:rPr>
                <w:rFonts w:cs="Times New Roman"/>
                <w:szCs w:val="24"/>
              </w:rPr>
              <w:t xml:space="preserve">diagnosed abnormal genital bleeding, </w:t>
            </w:r>
            <w:r>
              <w:rPr>
                <w:rFonts w:cs="Times New Roman"/>
                <w:szCs w:val="24"/>
              </w:rPr>
              <w:t>b</w:t>
            </w:r>
            <w:r w:rsidRPr="00944B15">
              <w:rPr>
                <w:rFonts w:cs="Times New Roman"/>
                <w:szCs w:val="24"/>
              </w:rPr>
              <w:t>enign or malignant liver tumors</w:t>
            </w:r>
            <w:r>
              <w:rPr>
                <w:rFonts w:cs="Times New Roman"/>
                <w:szCs w:val="24"/>
              </w:rPr>
              <w:t xml:space="preserve"> and</w:t>
            </w:r>
            <w:r w:rsidRPr="00944B15">
              <w:rPr>
                <w:rFonts w:cs="Times New Roman"/>
                <w:szCs w:val="24"/>
              </w:rPr>
              <w:t xml:space="preserve"> </w:t>
            </w:r>
            <w:r>
              <w:rPr>
                <w:rFonts w:cs="Times New Roman"/>
                <w:szCs w:val="24"/>
              </w:rPr>
              <w:t>a</w:t>
            </w:r>
            <w:r w:rsidRPr="00944B15">
              <w:rPr>
                <w:rFonts w:cs="Times New Roman"/>
                <w:szCs w:val="24"/>
              </w:rPr>
              <w:t xml:space="preserve">cute liver disease </w:t>
            </w:r>
          </w:p>
        </w:tc>
      </w:tr>
      <w:tr w:rsidR="00223CE8" w:rsidRPr="00944B15" w14:paraId="43CC9551" w14:textId="77777777" w:rsidTr="002D6DD7">
        <w:trPr>
          <w:jc w:val="center"/>
        </w:trPr>
        <w:tc>
          <w:tcPr>
            <w:tcW w:w="2695" w:type="dxa"/>
          </w:tcPr>
          <w:p w14:paraId="24B6AEAF"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0F582693" w14:textId="77777777" w:rsidR="00223CE8" w:rsidRPr="00944B15" w:rsidRDefault="00223CE8" w:rsidP="002D6DD7">
            <w:pPr>
              <w:contextualSpacing/>
              <w:jc w:val="both"/>
              <w:rPr>
                <w:rFonts w:cs="Times New Roman"/>
                <w:szCs w:val="24"/>
              </w:rPr>
            </w:pPr>
            <w:r w:rsidRPr="00944B15">
              <w:rPr>
                <w:rFonts w:cs="Times New Roman"/>
                <w:szCs w:val="24"/>
              </w:rPr>
              <w:t>Anticonvulsants such as phenytoin, carbamazepine, and barbiturates, rifampin, griseofulvin, modafinil, ritonavir, St. John's wort, nelfinavir, nevirapine</w:t>
            </w:r>
          </w:p>
        </w:tc>
      </w:tr>
      <w:tr w:rsidR="00223CE8" w:rsidRPr="00944B15" w14:paraId="750AB1A7" w14:textId="77777777" w:rsidTr="002D6DD7">
        <w:trPr>
          <w:jc w:val="center"/>
        </w:trPr>
        <w:tc>
          <w:tcPr>
            <w:tcW w:w="2695" w:type="dxa"/>
          </w:tcPr>
          <w:p w14:paraId="1A891BF2" w14:textId="77777777" w:rsidR="00223CE8" w:rsidRPr="00944B15" w:rsidRDefault="00223CE8" w:rsidP="002D6DD7">
            <w:pPr>
              <w:contextualSpacing/>
              <w:rPr>
                <w:rFonts w:cs="Times New Roman"/>
                <w:szCs w:val="24"/>
              </w:rPr>
            </w:pPr>
            <w:r w:rsidRPr="00944B15">
              <w:rPr>
                <w:rFonts w:cs="Times New Roman"/>
                <w:szCs w:val="24"/>
              </w:rPr>
              <w:t>Side effects</w:t>
            </w:r>
          </w:p>
        </w:tc>
        <w:tc>
          <w:tcPr>
            <w:tcW w:w="6655" w:type="dxa"/>
          </w:tcPr>
          <w:p w14:paraId="1901CC63" w14:textId="77777777" w:rsidR="00223CE8" w:rsidRPr="00944B15" w:rsidRDefault="00223CE8" w:rsidP="002D6DD7">
            <w:pPr>
              <w:pStyle w:val="NormalWeb"/>
              <w:spacing w:before="0" w:beforeAutospacing="0" w:after="0" w:afterAutospacing="0" w:line="360" w:lineRule="auto"/>
              <w:contextualSpacing/>
              <w:jc w:val="both"/>
            </w:pPr>
            <w:r>
              <w:t>Edema, weakness, anorexia, amenorrhea, c</w:t>
            </w:r>
            <w:r w:rsidRPr="00944B15">
              <w:t xml:space="preserve">hange in menstrual flow, Spotting, headaches, tender </w:t>
            </w:r>
            <w:r>
              <w:t xml:space="preserve">breasts, nausea and dizziness, dizziness, headache, nervousness, somnolence, galactorrhea, abdominal pain, nausea, vomiting, cholestatic jaundice, </w:t>
            </w:r>
            <w:r w:rsidRPr="00944B15">
              <w:t xml:space="preserve">acne, hirsutism, and weight gain. </w:t>
            </w:r>
          </w:p>
        </w:tc>
      </w:tr>
      <w:tr w:rsidR="00223CE8" w:rsidRPr="00944B15" w14:paraId="325FAFBB" w14:textId="77777777" w:rsidTr="002D6DD7">
        <w:trPr>
          <w:jc w:val="center"/>
        </w:trPr>
        <w:tc>
          <w:tcPr>
            <w:tcW w:w="2695" w:type="dxa"/>
          </w:tcPr>
          <w:p w14:paraId="364E3CA5"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72794BD9" w14:textId="77777777" w:rsidR="00223CE8" w:rsidRPr="00944B15" w:rsidRDefault="00223CE8" w:rsidP="002D6DD7">
            <w:pPr>
              <w:jc w:val="both"/>
              <w:rPr>
                <w:rFonts w:cs="Times New Roman"/>
                <w:szCs w:val="24"/>
              </w:rPr>
            </w:pPr>
            <w:r>
              <w:rPr>
                <w:rFonts w:cs="Times New Roman"/>
                <w:szCs w:val="24"/>
              </w:rPr>
              <w:t>F</w:t>
            </w:r>
            <w:r w:rsidRPr="001D394D">
              <w:rPr>
                <w:rFonts w:cs="Times New Roman"/>
                <w:szCs w:val="24"/>
              </w:rPr>
              <w:t xml:space="preserve">amily history of breast cancer and or DVT/PE, current/history </w:t>
            </w:r>
            <w:r>
              <w:rPr>
                <w:rFonts w:cs="Times New Roman"/>
                <w:szCs w:val="24"/>
              </w:rPr>
              <w:t>of depression, endometriosis, diabetic mellitus, hypertension</w:t>
            </w:r>
            <w:r w:rsidRPr="001D394D">
              <w:rPr>
                <w:rFonts w:cs="Times New Roman"/>
                <w:szCs w:val="24"/>
              </w:rPr>
              <w:t>, bone mineral density chan</w:t>
            </w:r>
            <w:r>
              <w:rPr>
                <w:rFonts w:cs="Times New Roman"/>
                <w:szCs w:val="24"/>
              </w:rPr>
              <w:t>ges, renal/hepatic impairment, systemic lupus errythromatos (</w:t>
            </w:r>
            <w:r w:rsidRPr="001D394D">
              <w:rPr>
                <w:rFonts w:cs="Times New Roman"/>
                <w:szCs w:val="24"/>
              </w:rPr>
              <w:t>SLE</w:t>
            </w:r>
            <w:r>
              <w:rPr>
                <w:rFonts w:cs="Times New Roman"/>
                <w:szCs w:val="24"/>
              </w:rPr>
              <w:t>)</w:t>
            </w:r>
            <w:r w:rsidRPr="001D394D">
              <w:rPr>
                <w:rFonts w:cs="Times New Roman"/>
                <w:szCs w:val="24"/>
              </w:rPr>
              <w:t>;</w:t>
            </w:r>
            <w:r w:rsidRPr="001D394D" w:rsidDel="001D394D">
              <w:rPr>
                <w:rFonts w:cs="Times New Roman"/>
                <w:szCs w:val="24"/>
              </w:rPr>
              <w:t xml:space="preserve"> </w:t>
            </w:r>
            <w:r>
              <w:rPr>
                <w:rFonts w:cs="Times New Roman"/>
                <w:szCs w:val="24"/>
              </w:rPr>
              <w:t>e</w:t>
            </w:r>
            <w:r w:rsidRPr="00944B15">
              <w:rPr>
                <w:rFonts w:cs="Times New Roman"/>
                <w:szCs w:val="24"/>
              </w:rPr>
              <w:t xml:space="preserve">ctopic </w:t>
            </w:r>
            <w:r>
              <w:rPr>
                <w:rFonts w:cs="Times New Roman"/>
                <w:szCs w:val="24"/>
              </w:rPr>
              <w:t>p</w:t>
            </w:r>
            <w:r w:rsidRPr="00944B15">
              <w:rPr>
                <w:rFonts w:cs="Times New Roman"/>
                <w:szCs w:val="24"/>
              </w:rPr>
              <w:t xml:space="preserve">regnancy. Cigarette smoking, </w:t>
            </w:r>
            <w:r w:rsidRPr="000D0208">
              <w:rPr>
                <w:rFonts w:cs="Times New Roman"/>
                <w:szCs w:val="24"/>
              </w:rPr>
              <w:t>migraine, proptosis, diplopia, or other visual disturbances</w:t>
            </w:r>
            <w:r>
              <w:rPr>
                <w:rFonts w:cs="Times New Roman"/>
                <w:szCs w:val="24"/>
              </w:rPr>
              <w:t>.</w:t>
            </w:r>
          </w:p>
        </w:tc>
      </w:tr>
      <w:tr w:rsidR="00223CE8" w:rsidRPr="00944B15" w14:paraId="24D530D4" w14:textId="77777777" w:rsidTr="002D6DD7">
        <w:trPr>
          <w:jc w:val="center"/>
        </w:trPr>
        <w:tc>
          <w:tcPr>
            <w:tcW w:w="2695" w:type="dxa"/>
          </w:tcPr>
          <w:p w14:paraId="1BE561FE"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49ED0492"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below30</w:t>
            </w:r>
            <w:r w:rsidRPr="00944B15">
              <w:rPr>
                <w:rFonts w:cs="Times New Roman"/>
                <w:szCs w:val="24"/>
                <w:vertAlign w:val="superscript"/>
              </w:rPr>
              <w:t>o</w:t>
            </w:r>
            <w:r>
              <w:rPr>
                <w:rFonts w:cs="Times New Roman"/>
                <w:szCs w:val="24"/>
              </w:rPr>
              <w:t>C.</w:t>
            </w:r>
            <w:r w:rsidRPr="00944B15">
              <w:rPr>
                <w:rFonts w:cs="Times New Roman"/>
                <w:szCs w:val="24"/>
              </w:rPr>
              <w:t xml:space="preserve"> </w:t>
            </w:r>
          </w:p>
        </w:tc>
      </w:tr>
    </w:tbl>
    <w:p w14:paraId="21BEFC0D" w14:textId="77777777" w:rsidR="00223CE8" w:rsidRPr="00944B15" w:rsidRDefault="00223CE8" w:rsidP="00223CE8">
      <w:pPr>
        <w:spacing w:after="0"/>
        <w:rPr>
          <w:rFonts w:eastAsia="Times New Roman" w:cs="Times New Roman"/>
          <w:b/>
          <w:szCs w:val="24"/>
        </w:rPr>
      </w:pPr>
    </w:p>
    <w:p w14:paraId="36D839B1" w14:textId="77777777" w:rsidR="00223CE8" w:rsidRPr="0040651A" w:rsidRDefault="00223CE8" w:rsidP="0040651A">
      <w:pPr>
        <w:rPr>
          <w:b/>
        </w:rPr>
      </w:pPr>
      <w:r w:rsidRPr="0040651A">
        <w:rPr>
          <w:b/>
        </w:rPr>
        <w:t>Injectable Hormonal contraceptives</w:t>
      </w:r>
    </w:p>
    <w:tbl>
      <w:tblPr>
        <w:tblStyle w:val="TableGrid"/>
        <w:tblW w:w="0" w:type="auto"/>
        <w:jc w:val="center"/>
        <w:tblLook w:val="04A0" w:firstRow="1" w:lastRow="0" w:firstColumn="1" w:lastColumn="0" w:noHBand="0" w:noVBand="1"/>
      </w:tblPr>
      <w:tblGrid>
        <w:gridCol w:w="2695"/>
        <w:gridCol w:w="6655"/>
      </w:tblGrid>
      <w:tr w:rsidR="00223CE8" w:rsidRPr="00944B15" w14:paraId="0931FAFD" w14:textId="77777777" w:rsidTr="002D6DD7">
        <w:trPr>
          <w:jc w:val="center"/>
        </w:trPr>
        <w:tc>
          <w:tcPr>
            <w:tcW w:w="9350" w:type="dxa"/>
            <w:gridSpan w:val="2"/>
          </w:tcPr>
          <w:p w14:paraId="202A1345" w14:textId="77777777" w:rsidR="00223CE8" w:rsidRPr="00944B15" w:rsidRDefault="00223CE8" w:rsidP="002D6DD7">
            <w:pPr>
              <w:rPr>
                <w:rFonts w:cs="Times New Roman"/>
                <w:b/>
                <w:szCs w:val="24"/>
              </w:rPr>
            </w:pPr>
            <w:r w:rsidRPr="00944B15">
              <w:rPr>
                <w:rFonts w:cs="Times New Roman"/>
                <w:b/>
                <w:szCs w:val="24"/>
              </w:rPr>
              <w:lastRenderedPageBreak/>
              <w:t>Estradiol cypionate + medroxyprogesterone acetate</w:t>
            </w:r>
          </w:p>
        </w:tc>
      </w:tr>
      <w:tr w:rsidR="00223CE8" w:rsidRPr="00944B15" w14:paraId="41FC04DD" w14:textId="77777777" w:rsidTr="002D6DD7">
        <w:trPr>
          <w:jc w:val="center"/>
        </w:trPr>
        <w:tc>
          <w:tcPr>
            <w:tcW w:w="2695" w:type="dxa"/>
          </w:tcPr>
          <w:p w14:paraId="5D7662DF"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21BBF03C" w14:textId="77777777" w:rsidR="00223CE8" w:rsidRPr="00944B15" w:rsidRDefault="00223CE8" w:rsidP="002D6DD7">
            <w:pPr>
              <w:rPr>
                <w:rFonts w:cs="Times New Roman"/>
                <w:szCs w:val="24"/>
              </w:rPr>
            </w:pPr>
            <w:r w:rsidRPr="00944B15">
              <w:rPr>
                <w:rFonts w:cs="Times New Roman"/>
                <w:szCs w:val="24"/>
              </w:rPr>
              <w:t>Injectable combined hormonal contraceptive</w:t>
            </w:r>
          </w:p>
        </w:tc>
      </w:tr>
      <w:tr w:rsidR="00223CE8" w:rsidRPr="00944B15" w14:paraId="7B622247" w14:textId="77777777" w:rsidTr="002D6DD7">
        <w:trPr>
          <w:jc w:val="center"/>
        </w:trPr>
        <w:tc>
          <w:tcPr>
            <w:tcW w:w="2695" w:type="dxa"/>
          </w:tcPr>
          <w:p w14:paraId="7C536EAB"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27C994E7" w14:textId="77777777" w:rsidR="00223CE8" w:rsidRPr="00944B15" w:rsidRDefault="00223CE8" w:rsidP="002D6DD7">
            <w:pPr>
              <w:rPr>
                <w:rFonts w:cs="Times New Roman"/>
                <w:szCs w:val="24"/>
              </w:rPr>
            </w:pPr>
            <w:r w:rsidRPr="00944B15">
              <w:rPr>
                <w:rFonts w:cs="Times New Roman"/>
                <w:szCs w:val="24"/>
              </w:rPr>
              <w:t>Injection: 5 mg + 25 mg.</w:t>
            </w:r>
          </w:p>
        </w:tc>
      </w:tr>
      <w:tr w:rsidR="00223CE8" w:rsidRPr="00944B15" w14:paraId="75593143" w14:textId="77777777" w:rsidTr="002D6DD7">
        <w:trPr>
          <w:jc w:val="center"/>
        </w:trPr>
        <w:tc>
          <w:tcPr>
            <w:tcW w:w="2695" w:type="dxa"/>
          </w:tcPr>
          <w:p w14:paraId="7EC9FF1E"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264D0F85" w14:textId="77777777" w:rsidR="00223CE8" w:rsidRPr="00944B15" w:rsidRDefault="00223CE8" w:rsidP="002D6DD7">
            <w:pPr>
              <w:rPr>
                <w:rFonts w:cs="Times New Roman"/>
                <w:szCs w:val="24"/>
              </w:rPr>
            </w:pPr>
            <w:r w:rsidRPr="00944B15">
              <w:rPr>
                <w:rFonts w:cs="Times New Roman"/>
                <w:szCs w:val="24"/>
              </w:rPr>
              <w:t xml:space="preserve">Contraception </w:t>
            </w:r>
          </w:p>
        </w:tc>
      </w:tr>
      <w:tr w:rsidR="00223CE8" w:rsidRPr="00944B15" w14:paraId="45C7086F" w14:textId="77777777" w:rsidTr="002D6DD7">
        <w:trPr>
          <w:jc w:val="center"/>
        </w:trPr>
        <w:tc>
          <w:tcPr>
            <w:tcW w:w="2695" w:type="dxa"/>
          </w:tcPr>
          <w:p w14:paraId="79C3D045"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6819EDDC" w14:textId="77777777" w:rsidR="00223CE8" w:rsidRPr="00944B15" w:rsidRDefault="00223CE8" w:rsidP="002D6DD7">
            <w:pPr>
              <w:rPr>
                <w:rFonts w:cs="Times New Roman"/>
                <w:szCs w:val="24"/>
              </w:rPr>
            </w:pPr>
            <w:r w:rsidRPr="00944B15">
              <w:rPr>
                <w:rFonts w:cs="Times New Roman"/>
                <w:szCs w:val="24"/>
              </w:rPr>
              <w:t xml:space="preserve">Administered </w:t>
            </w:r>
            <w:r>
              <w:rPr>
                <w:rFonts w:cs="Times New Roman"/>
                <w:szCs w:val="24"/>
              </w:rPr>
              <w:t xml:space="preserve">once </w:t>
            </w:r>
            <w:r w:rsidRPr="00944B15">
              <w:rPr>
                <w:rFonts w:cs="Times New Roman"/>
                <w:szCs w:val="24"/>
              </w:rPr>
              <w:t>at 28-day intervals</w:t>
            </w:r>
          </w:p>
        </w:tc>
      </w:tr>
      <w:tr w:rsidR="00223CE8" w:rsidRPr="00944B15" w14:paraId="573D39C7" w14:textId="77777777" w:rsidTr="002D6DD7">
        <w:trPr>
          <w:jc w:val="center"/>
        </w:trPr>
        <w:tc>
          <w:tcPr>
            <w:tcW w:w="2695" w:type="dxa"/>
          </w:tcPr>
          <w:p w14:paraId="7F9B594C"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05BDA3B0" w14:textId="77777777" w:rsidR="00223CE8" w:rsidRPr="00944B15" w:rsidRDefault="00223CE8" w:rsidP="002D6DD7">
            <w:pPr>
              <w:pStyle w:val="NormalWeb"/>
              <w:spacing w:before="0" w:beforeAutospacing="0" w:after="0" w:afterAutospacing="0" w:line="360" w:lineRule="auto"/>
              <w:jc w:val="both"/>
            </w:pPr>
            <w:r w:rsidRPr="00944B15">
              <w:t xml:space="preserve">Undiagnosed abnormal genital bleeding, </w:t>
            </w:r>
            <w:r>
              <w:t>k</w:t>
            </w:r>
            <w:r w:rsidRPr="00944B15">
              <w:t xml:space="preserve">nown, suspected, or history of breast cancer, </w:t>
            </w:r>
            <w:r>
              <w:t>k</w:t>
            </w:r>
            <w:r w:rsidRPr="00944B15">
              <w:t>nown or suspected estrogen- or pro</w:t>
            </w:r>
            <w:r>
              <w:t>gesterone-dependent neoplasia, a</w:t>
            </w:r>
            <w:r w:rsidRPr="00944B15">
              <w:t xml:space="preserve">ctive DVT, PE, </w:t>
            </w:r>
            <w:r>
              <w:t>a</w:t>
            </w:r>
            <w:r w:rsidRPr="00944B15">
              <w:t>ctive arterial thromboe</w:t>
            </w:r>
            <w:r>
              <w:t>mbolic disease (e.g., stroke, myocardial infraction),</w:t>
            </w:r>
            <w:r w:rsidRPr="00944B15">
              <w:t xml:space="preserve"> </w:t>
            </w:r>
            <w:r>
              <w:t>k</w:t>
            </w:r>
            <w:r w:rsidRPr="00944B15">
              <w:t xml:space="preserve">nown anaphylactic reaction or angioedema, </w:t>
            </w:r>
            <w:r>
              <w:t>k</w:t>
            </w:r>
            <w:r w:rsidRPr="00944B15">
              <w:t>nown or suspected pregnancy</w:t>
            </w:r>
          </w:p>
        </w:tc>
      </w:tr>
      <w:tr w:rsidR="00223CE8" w:rsidRPr="00944B15" w14:paraId="5DB2F2A8" w14:textId="77777777" w:rsidTr="002D6DD7">
        <w:trPr>
          <w:trHeight w:val="1268"/>
          <w:jc w:val="center"/>
        </w:trPr>
        <w:tc>
          <w:tcPr>
            <w:tcW w:w="2695" w:type="dxa"/>
          </w:tcPr>
          <w:p w14:paraId="62DE72E3"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0AEA6860" w14:textId="77777777" w:rsidR="00223CE8" w:rsidRPr="00944B15" w:rsidRDefault="00223CE8" w:rsidP="002D6DD7">
            <w:pPr>
              <w:jc w:val="both"/>
              <w:rPr>
                <w:rFonts w:eastAsia="Times New Roman" w:cs="Times New Roman"/>
                <w:szCs w:val="24"/>
                <w:lang w:eastAsia="en-GB"/>
              </w:rPr>
            </w:pPr>
            <w:r w:rsidRPr="00944B15">
              <w:rPr>
                <w:rFonts w:cs="Times New Roman"/>
                <w:szCs w:val="24"/>
              </w:rPr>
              <w:t>Rifampin/rifabutin, anticonvulsants, gr</w:t>
            </w:r>
            <w:r>
              <w:rPr>
                <w:rFonts w:cs="Times New Roman"/>
                <w:szCs w:val="24"/>
              </w:rPr>
              <w:t>i</w:t>
            </w:r>
            <w:r w:rsidRPr="00944B15">
              <w:rPr>
                <w:rFonts w:cs="Times New Roman"/>
                <w:szCs w:val="24"/>
              </w:rPr>
              <w:t>s</w:t>
            </w:r>
            <w:r>
              <w:rPr>
                <w:rFonts w:cs="Times New Roman"/>
                <w:szCs w:val="24"/>
              </w:rPr>
              <w:t>e</w:t>
            </w:r>
            <w:r w:rsidRPr="00944B15">
              <w:rPr>
                <w:rFonts w:cs="Times New Roman"/>
                <w:szCs w:val="24"/>
              </w:rPr>
              <w:t xml:space="preserve">ofulvin, nevirapine, St john’s wart, </w:t>
            </w:r>
            <w:r w:rsidRPr="00944B15">
              <w:rPr>
                <w:rFonts w:eastAsia="Times New Roman" w:cs="Times New Roman"/>
                <w:szCs w:val="24"/>
                <w:lang w:eastAsia="en-GB"/>
              </w:rPr>
              <w:t>mifepristone, ritonavir, saquinavir, voriconazole, warfarin, levothyroxine, corticosteroids</w:t>
            </w:r>
            <w:r>
              <w:rPr>
                <w:rFonts w:eastAsia="Times New Roman" w:cs="Times New Roman"/>
                <w:szCs w:val="24"/>
                <w:lang w:eastAsia="en-GB"/>
              </w:rPr>
              <w:t xml:space="preserve"> and</w:t>
            </w:r>
            <w:r w:rsidRPr="00944B15">
              <w:rPr>
                <w:rFonts w:eastAsia="Times New Roman" w:cs="Times New Roman"/>
                <w:szCs w:val="24"/>
                <w:lang w:eastAsia="en-GB"/>
              </w:rPr>
              <w:t xml:space="preserve"> theophylline</w:t>
            </w:r>
            <w:r>
              <w:rPr>
                <w:rFonts w:eastAsia="Times New Roman" w:cs="Times New Roman"/>
                <w:szCs w:val="24"/>
                <w:lang w:eastAsia="en-GB"/>
              </w:rPr>
              <w:t>.</w:t>
            </w:r>
            <w:r w:rsidRPr="00944B15">
              <w:rPr>
                <w:rFonts w:eastAsia="Times New Roman" w:cs="Times New Roman"/>
                <w:szCs w:val="24"/>
                <w:lang w:eastAsia="en-GB"/>
              </w:rPr>
              <w:t xml:space="preserve"> </w:t>
            </w:r>
          </w:p>
        </w:tc>
      </w:tr>
      <w:tr w:rsidR="00223CE8" w:rsidRPr="00944B15" w14:paraId="6258CA4E" w14:textId="77777777" w:rsidTr="002D6DD7">
        <w:trPr>
          <w:jc w:val="center"/>
        </w:trPr>
        <w:tc>
          <w:tcPr>
            <w:tcW w:w="2695" w:type="dxa"/>
          </w:tcPr>
          <w:p w14:paraId="3513F152"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591DABE8" w14:textId="77777777" w:rsidR="00223CE8" w:rsidRPr="00944B15" w:rsidRDefault="00223CE8" w:rsidP="002D6DD7">
            <w:pPr>
              <w:jc w:val="both"/>
              <w:rPr>
                <w:rFonts w:eastAsia="Times New Roman" w:cs="Times New Roman"/>
                <w:szCs w:val="24"/>
                <w:lang w:eastAsia="en-GB"/>
              </w:rPr>
            </w:pPr>
            <w:r w:rsidRPr="00944B15">
              <w:rPr>
                <w:rFonts w:eastAsia="Times New Roman" w:cs="Times New Roman"/>
                <w:szCs w:val="24"/>
                <w:lang w:eastAsia="en-GB"/>
              </w:rPr>
              <w:t>Menstrual irregularities (irregular, increase, decrease, spotting), headache, increased weight, amenorrhea, injection site reactions, vagin</w:t>
            </w:r>
            <w:r>
              <w:rPr>
                <w:rFonts w:eastAsia="Times New Roman" w:cs="Times New Roman"/>
                <w:szCs w:val="24"/>
                <w:lang w:eastAsia="en-GB"/>
              </w:rPr>
              <w:t xml:space="preserve">al </w:t>
            </w:r>
            <w:r w:rsidRPr="00944B15">
              <w:rPr>
                <w:rFonts w:eastAsia="Times New Roman" w:cs="Times New Roman"/>
                <w:szCs w:val="24"/>
                <w:lang w:eastAsia="en-GB"/>
              </w:rPr>
              <w:t>candidiasis</w:t>
            </w:r>
            <w:r>
              <w:rPr>
                <w:rFonts w:eastAsia="Times New Roman" w:cs="Times New Roman"/>
                <w:szCs w:val="24"/>
                <w:lang w:eastAsia="en-GB"/>
              </w:rPr>
              <w:t xml:space="preserve">, </w:t>
            </w:r>
            <w:r w:rsidRPr="00944B15">
              <w:rPr>
                <w:rFonts w:eastAsia="Times New Roman" w:cs="Times New Roman"/>
                <w:szCs w:val="24"/>
                <w:lang w:eastAsia="en-GB"/>
              </w:rPr>
              <w:t>abdominal pain, urinary tract infections, acne, depression, decreased libido, nausea, back pain, breast pain/tenderness, fatigue, anxiety, irritability, dizziness</w:t>
            </w:r>
          </w:p>
        </w:tc>
      </w:tr>
      <w:tr w:rsidR="00223CE8" w:rsidRPr="00944B15" w14:paraId="2EAD48E5" w14:textId="77777777" w:rsidTr="002D6DD7">
        <w:trPr>
          <w:jc w:val="center"/>
        </w:trPr>
        <w:tc>
          <w:tcPr>
            <w:tcW w:w="2695" w:type="dxa"/>
          </w:tcPr>
          <w:p w14:paraId="0356092D"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16AAB9F9" w14:textId="77777777" w:rsidR="00223CE8" w:rsidRPr="00944B15" w:rsidRDefault="00223CE8" w:rsidP="002D6DD7">
            <w:pPr>
              <w:jc w:val="both"/>
              <w:rPr>
                <w:rFonts w:cs="Times New Roman"/>
                <w:szCs w:val="24"/>
              </w:rPr>
            </w:pPr>
            <w:r w:rsidRPr="00944B15">
              <w:rPr>
                <w:rFonts w:cs="Times New Roman"/>
                <w:szCs w:val="24"/>
              </w:rPr>
              <w:t xml:space="preserve">History of DVT, </w:t>
            </w:r>
            <w:r>
              <w:rPr>
                <w:rFonts w:cs="Times New Roman"/>
                <w:szCs w:val="24"/>
              </w:rPr>
              <w:t>cardio vascular diseases (</w:t>
            </w:r>
            <w:r w:rsidRPr="00944B15">
              <w:rPr>
                <w:rFonts w:cs="Times New Roman"/>
                <w:szCs w:val="24"/>
              </w:rPr>
              <w:t>CVDs</w:t>
            </w:r>
            <w:r>
              <w:rPr>
                <w:rFonts w:cs="Times New Roman"/>
                <w:szCs w:val="24"/>
              </w:rPr>
              <w:t>)</w:t>
            </w:r>
            <w:r w:rsidRPr="00944B15">
              <w:rPr>
                <w:rFonts w:cs="Times New Roman"/>
                <w:szCs w:val="24"/>
              </w:rPr>
              <w:t xml:space="preserve">, liver diseases, breast and reproductive cancers, migraine, diabetes, gallbladder disease, renal impairment, hypertension, smoking, visual disturbances </w:t>
            </w:r>
          </w:p>
        </w:tc>
      </w:tr>
      <w:tr w:rsidR="00223CE8" w:rsidRPr="00944B15" w14:paraId="7385CB74" w14:textId="77777777" w:rsidTr="002D6DD7">
        <w:trPr>
          <w:jc w:val="center"/>
        </w:trPr>
        <w:tc>
          <w:tcPr>
            <w:tcW w:w="2695" w:type="dxa"/>
          </w:tcPr>
          <w:p w14:paraId="48D23EF3"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44C5CE3D"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between 20</w:t>
            </w:r>
            <w:r w:rsidRPr="00944B15">
              <w:rPr>
                <w:rFonts w:cs="Times New Roman"/>
                <w:szCs w:val="24"/>
                <w:vertAlign w:val="superscript"/>
              </w:rPr>
              <w:t>o</w:t>
            </w:r>
            <w:r>
              <w:rPr>
                <w:rFonts w:cs="Times New Roman"/>
                <w:szCs w:val="24"/>
              </w:rPr>
              <w:t>C and 30</w:t>
            </w:r>
            <w:r w:rsidRPr="00944B15">
              <w:rPr>
                <w:rFonts w:cs="Times New Roman"/>
                <w:szCs w:val="24"/>
                <w:vertAlign w:val="superscript"/>
              </w:rPr>
              <w:t>o</w:t>
            </w:r>
            <w:r>
              <w:rPr>
                <w:rFonts w:cs="Times New Roman"/>
                <w:szCs w:val="24"/>
              </w:rPr>
              <w:t>C. Pro</w:t>
            </w:r>
            <w:r w:rsidRPr="00944B15">
              <w:rPr>
                <w:rFonts w:cs="Times New Roman"/>
                <w:szCs w:val="24"/>
              </w:rPr>
              <w:t>tect from light</w:t>
            </w:r>
            <w:r>
              <w:rPr>
                <w:rFonts w:cs="Times New Roman"/>
                <w:szCs w:val="24"/>
              </w:rPr>
              <w:t>.</w:t>
            </w:r>
          </w:p>
        </w:tc>
      </w:tr>
      <w:tr w:rsidR="00223CE8" w:rsidRPr="00944B15" w14:paraId="6810D956" w14:textId="77777777" w:rsidTr="002D6DD7">
        <w:trPr>
          <w:jc w:val="center"/>
        </w:trPr>
        <w:tc>
          <w:tcPr>
            <w:tcW w:w="9350" w:type="dxa"/>
            <w:gridSpan w:val="2"/>
          </w:tcPr>
          <w:p w14:paraId="6EDB246A" w14:textId="77777777" w:rsidR="00223CE8" w:rsidRPr="00944B15" w:rsidRDefault="00223CE8" w:rsidP="002D6DD7">
            <w:pPr>
              <w:rPr>
                <w:rFonts w:cs="Times New Roman"/>
                <w:b/>
                <w:szCs w:val="24"/>
              </w:rPr>
            </w:pPr>
            <w:r>
              <w:rPr>
                <w:rFonts w:cs="Times New Roman"/>
                <w:b/>
                <w:szCs w:val="24"/>
              </w:rPr>
              <w:t>Medroxyprogesterone a</w:t>
            </w:r>
            <w:r w:rsidRPr="00944B15">
              <w:rPr>
                <w:rFonts w:cs="Times New Roman"/>
                <w:b/>
                <w:szCs w:val="24"/>
              </w:rPr>
              <w:t>cetate</w:t>
            </w:r>
            <w:r>
              <w:rPr>
                <w:rFonts w:cs="Times New Roman"/>
                <w:b/>
                <w:szCs w:val="24"/>
              </w:rPr>
              <w:t xml:space="preserve"> </w:t>
            </w:r>
            <w:r w:rsidRPr="009F2DF6">
              <w:rPr>
                <w:rFonts w:cs="Times New Roman"/>
                <w:b/>
                <w:szCs w:val="24"/>
              </w:rPr>
              <w:t>(provera)</w:t>
            </w:r>
          </w:p>
        </w:tc>
      </w:tr>
      <w:tr w:rsidR="00223CE8" w:rsidRPr="00944B15" w14:paraId="60ADD78F" w14:textId="77777777" w:rsidTr="002D6DD7">
        <w:trPr>
          <w:jc w:val="center"/>
        </w:trPr>
        <w:tc>
          <w:tcPr>
            <w:tcW w:w="2695" w:type="dxa"/>
          </w:tcPr>
          <w:p w14:paraId="696EA88F"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55455A81" w14:textId="77777777" w:rsidR="00223CE8" w:rsidRPr="00944B15" w:rsidRDefault="00223CE8" w:rsidP="002D6DD7">
            <w:pPr>
              <w:rPr>
                <w:rFonts w:cs="Times New Roman"/>
                <w:szCs w:val="24"/>
              </w:rPr>
            </w:pPr>
            <w:r w:rsidRPr="00944B15">
              <w:rPr>
                <w:rFonts w:cs="Times New Roman"/>
                <w:szCs w:val="24"/>
              </w:rPr>
              <w:t>Injectable hormonal contraceptive</w:t>
            </w:r>
          </w:p>
        </w:tc>
      </w:tr>
      <w:tr w:rsidR="00223CE8" w:rsidRPr="00944B15" w14:paraId="2B8A8AA3" w14:textId="77777777" w:rsidTr="002D6DD7">
        <w:trPr>
          <w:jc w:val="center"/>
        </w:trPr>
        <w:tc>
          <w:tcPr>
            <w:tcW w:w="2695" w:type="dxa"/>
          </w:tcPr>
          <w:p w14:paraId="08337AD8"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39FC678B" w14:textId="77777777" w:rsidR="00223CE8" w:rsidRPr="00944B15" w:rsidRDefault="00223CE8" w:rsidP="002D6DD7">
            <w:pPr>
              <w:rPr>
                <w:rFonts w:eastAsia="Times New Roman" w:cs="Times New Roman"/>
                <w:szCs w:val="24"/>
              </w:rPr>
            </w:pPr>
            <w:r w:rsidRPr="00944B15">
              <w:rPr>
                <w:rFonts w:eastAsia="Times New Roman" w:cs="Times New Roman"/>
                <w:szCs w:val="24"/>
              </w:rPr>
              <w:t>Injection (IM): 150mg/</w:t>
            </w:r>
            <w:r>
              <w:rPr>
                <w:rFonts w:eastAsia="Times New Roman" w:cs="Times New Roman"/>
                <w:szCs w:val="24"/>
              </w:rPr>
              <w:t>ml</w:t>
            </w:r>
            <w:r w:rsidRPr="00944B15">
              <w:rPr>
                <w:rFonts w:eastAsia="Times New Roman" w:cs="Times New Roman"/>
                <w:szCs w:val="24"/>
              </w:rPr>
              <w:t xml:space="preserve"> in 1</w:t>
            </w:r>
            <w:r>
              <w:rPr>
                <w:rFonts w:eastAsia="Times New Roman" w:cs="Times New Roman"/>
                <w:szCs w:val="24"/>
              </w:rPr>
              <w:t>ml</w:t>
            </w:r>
            <w:r w:rsidRPr="00944B15">
              <w:rPr>
                <w:rFonts w:eastAsia="Times New Roman" w:cs="Times New Roman"/>
                <w:szCs w:val="24"/>
              </w:rPr>
              <w:t xml:space="preserve"> vial</w:t>
            </w:r>
          </w:p>
          <w:p w14:paraId="231D0661" w14:textId="77777777" w:rsidR="00223CE8" w:rsidRPr="00944B15" w:rsidRDefault="00223CE8" w:rsidP="002D6DD7">
            <w:pPr>
              <w:rPr>
                <w:rFonts w:cs="Times New Roman"/>
                <w:szCs w:val="24"/>
              </w:rPr>
            </w:pPr>
            <w:r w:rsidRPr="00944B15">
              <w:rPr>
                <w:rFonts w:cs="Times New Roman"/>
                <w:szCs w:val="24"/>
              </w:rPr>
              <w:t>Injection (SC): 104mg/</w:t>
            </w:r>
            <w:r>
              <w:rPr>
                <w:rFonts w:cs="Times New Roman"/>
                <w:szCs w:val="24"/>
              </w:rPr>
              <w:t>ml</w:t>
            </w:r>
            <w:r w:rsidRPr="00944B15">
              <w:rPr>
                <w:rFonts w:cs="Times New Roman"/>
                <w:szCs w:val="24"/>
              </w:rPr>
              <w:t xml:space="preserve"> in 1</w:t>
            </w:r>
            <w:r>
              <w:rPr>
                <w:rFonts w:cs="Times New Roman"/>
                <w:szCs w:val="24"/>
              </w:rPr>
              <w:t>ml</w:t>
            </w:r>
            <w:r w:rsidRPr="00944B15">
              <w:rPr>
                <w:rFonts w:cs="Times New Roman"/>
                <w:szCs w:val="24"/>
              </w:rPr>
              <w:t xml:space="preserve"> vial </w:t>
            </w:r>
          </w:p>
        </w:tc>
      </w:tr>
      <w:tr w:rsidR="00223CE8" w:rsidRPr="00944B15" w14:paraId="5912BFA0" w14:textId="77777777" w:rsidTr="002D6DD7">
        <w:trPr>
          <w:jc w:val="center"/>
        </w:trPr>
        <w:tc>
          <w:tcPr>
            <w:tcW w:w="2695" w:type="dxa"/>
          </w:tcPr>
          <w:p w14:paraId="7CF5490E"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6900A6FA" w14:textId="77777777" w:rsidR="00223CE8" w:rsidRPr="00944B15" w:rsidRDefault="00223CE8" w:rsidP="002D6DD7">
            <w:pPr>
              <w:rPr>
                <w:rFonts w:cs="Times New Roman"/>
                <w:szCs w:val="24"/>
              </w:rPr>
            </w:pPr>
            <w:r w:rsidRPr="00944B15">
              <w:rPr>
                <w:rFonts w:cs="Times New Roman"/>
                <w:szCs w:val="24"/>
              </w:rPr>
              <w:t xml:space="preserve">Contraception, long acting </w:t>
            </w:r>
          </w:p>
        </w:tc>
      </w:tr>
      <w:tr w:rsidR="00223CE8" w:rsidRPr="00944B15" w14:paraId="3C700007" w14:textId="77777777" w:rsidTr="002D6DD7">
        <w:trPr>
          <w:jc w:val="center"/>
        </w:trPr>
        <w:tc>
          <w:tcPr>
            <w:tcW w:w="2695" w:type="dxa"/>
          </w:tcPr>
          <w:p w14:paraId="3F4E522A"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3AB2E475" w14:textId="77777777" w:rsidR="00223CE8" w:rsidRPr="00944B15" w:rsidRDefault="00223CE8" w:rsidP="002D6DD7">
            <w:pPr>
              <w:jc w:val="both"/>
              <w:rPr>
                <w:rFonts w:cs="Times New Roman"/>
                <w:szCs w:val="24"/>
              </w:rPr>
            </w:pPr>
            <w:r w:rsidRPr="00944B15">
              <w:rPr>
                <w:rFonts w:cs="Times New Roman"/>
                <w:b/>
                <w:szCs w:val="24"/>
              </w:rPr>
              <w:t>Deep IM injection</w:t>
            </w:r>
            <w:r w:rsidRPr="00944B15">
              <w:rPr>
                <w:rFonts w:cs="Times New Roman"/>
                <w:szCs w:val="24"/>
              </w:rPr>
              <w:t xml:space="preserve">, 150 mg within the first 7 days of cycle or </w:t>
            </w:r>
            <w:r w:rsidRPr="00944B15">
              <w:rPr>
                <w:rFonts w:cs="Times New Roman"/>
                <w:szCs w:val="24"/>
              </w:rPr>
              <w:lastRenderedPageBreak/>
              <w:t>within the first 5 days after parturition (delay until 6 weeks after parturition if breastfeeding), repeated every 3 months.</w:t>
            </w:r>
          </w:p>
          <w:p w14:paraId="7BF3361D" w14:textId="77777777" w:rsidR="00223CE8" w:rsidRPr="00944B15" w:rsidRDefault="00223CE8" w:rsidP="002D6DD7">
            <w:pPr>
              <w:jc w:val="both"/>
              <w:rPr>
                <w:rFonts w:cs="Times New Roman"/>
                <w:szCs w:val="24"/>
              </w:rPr>
            </w:pPr>
            <w:r w:rsidRPr="00944B15">
              <w:rPr>
                <w:rFonts w:cs="Times New Roman"/>
                <w:b/>
                <w:szCs w:val="24"/>
              </w:rPr>
              <w:t>SC injection</w:t>
            </w:r>
            <w:r w:rsidRPr="00944B15">
              <w:rPr>
                <w:rFonts w:cs="Times New Roman"/>
                <w:szCs w:val="24"/>
              </w:rPr>
              <w:t>: 104 mg every 3 months), repeated every 3 months.</w:t>
            </w:r>
          </w:p>
        </w:tc>
      </w:tr>
      <w:tr w:rsidR="00223CE8" w:rsidRPr="00944B15" w14:paraId="3E24F853" w14:textId="77777777" w:rsidTr="002D6DD7">
        <w:trPr>
          <w:jc w:val="center"/>
        </w:trPr>
        <w:tc>
          <w:tcPr>
            <w:tcW w:w="2695" w:type="dxa"/>
          </w:tcPr>
          <w:p w14:paraId="2FBDF25F"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655" w:type="dxa"/>
          </w:tcPr>
          <w:p w14:paraId="2507FA95" w14:textId="77777777" w:rsidR="00223CE8" w:rsidRPr="00944B15" w:rsidRDefault="00223CE8" w:rsidP="002D6DD7">
            <w:pPr>
              <w:jc w:val="both"/>
              <w:rPr>
                <w:rFonts w:cs="Times New Roman"/>
                <w:szCs w:val="24"/>
              </w:rPr>
            </w:pPr>
            <w:r w:rsidRPr="00944B15">
              <w:rPr>
                <w:rFonts w:cs="Times New Roman"/>
                <w:szCs w:val="24"/>
              </w:rPr>
              <w:t xml:space="preserve">Pregnancy, </w:t>
            </w:r>
            <w:r>
              <w:rPr>
                <w:rFonts w:cs="Times New Roman"/>
                <w:szCs w:val="24"/>
              </w:rPr>
              <w:t>k</w:t>
            </w:r>
            <w:r w:rsidRPr="00523800">
              <w:rPr>
                <w:rFonts w:cs="Times New Roman"/>
                <w:szCs w:val="24"/>
              </w:rPr>
              <w:t>nown, suspected, or history</w:t>
            </w:r>
            <w:r w:rsidRPr="00944B15">
              <w:rPr>
                <w:rFonts w:cs="Times New Roman"/>
                <w:szCs w:val="24"/>
              </w:rPr>
              <w:t xml:space="preserve"> of breast cancer, undiagnosed vaginal bleeding, </w:t>
            </w:r>
            <w:r>
              <w:rPr>
                <w:rFonts w:cs="Times New Roman"/>
                <w:szCs w:val="24"/>
              </w:rPr>
              <w:t>k</w:t>
            </w:r>
            <w:r w:rsidRPr="00523800">
              <w:rPr>
                <w:rFonts w:cs="Times New Roman"/>
                <w:szCs w:val="24"/>
              </w:rPr>
              <w:t>nown or suspected estrogen or progesterone-dependent neoplasia</w:t>
            </w:r>
            <w:r>
              <w:rPr>
                <w:rFonts w:cs="Times New Roman"/>
                <w:szCs w:val="24"/>
              </w:rPr>
              <w:t>,</w:t>
            </w:r>
            <w:r w:rsidRPr="00944B15">
              <w:rPr>
                <w:rFonts w:cs="Times New Roman"/>
                <w:szCs w:val="24"/>
              </w:rPr>
              <w:t xml:space="preserve"> active liver disease, severe arterial disease, </w:t>
            </w:r>
            <w:r>
              <w:rPr>
                <w:rFonts w:cs="Times New Roman"/>
                <w:szCs w:val="24"/>
              </w:rPr>
              <w:t>a</w:t>
            </w:r>
            <w:r w:rsidRPr="00523800">
              <w:rPr>
                <w:rFonts w:cs="Times New Roman"/>
                <w:szCs w:val="24"/>
              </w:rPr>
              <w:t>ctive DVT, PE,</w:t>
            </w:r>
            <w:r w:rsidRPr="00944B15">
              <w:rPr>
                <w:rFonts w:cs="Times New Roman"/>
                <w:szCs w:val="24"/>
              </w:rPr>
              <w:t xml:space="preserve"> </w:t>
            </w:r>
            <w:r>
              <w:rPr>
                <w:rFonts w:cs="Times New Roman"/>
                <w:szCs w:val="24"/>
              </w:rPr>
              <w:t>a</w:t>
            </w:r>
            <w:r w:rsidRPr="00523800">
              <w:rPr>
                <w:rFonts w:cs="Times New Roman"/>
                <w:szCs w:val="24"/>
              </w:rPr>
              <w:t>ctive arterial thromboe</w:t>
            </w:r>
            <w:r>
              <w:rPr>
                <w:rFonts w:cs="Times New Roman"/>
                <w:szCs w:val="24"/>
              </w:rPr>
              <w:t>mbolic disease (eg, stroke, MI) and k</w:t>
            </w:r>
            <w:r w:rsidRPr="000162B5">
              <w:rPr>
                <w:rFonts w:cs="Times New Roman"/>
                <w:szCs w:val="24"/>
              </w:rPr>
              <w:t>nown anaphylactic reaction or angioedema</w:t>
            </w:r>
            <w:r>
              <w:rPr>
                <w:rFonts w:cs="Times New Roman"/>
                <w:szCs w:val="24"/>
              </w:rPr>
              <w:t>.</w:t>
            </w:r>
          </w:p>
        </w:tc>
      </w:tr>
      <w:tr w:rsidR="00223CE8" w:rsidRPr="00944B15" w14:paraId="3DE006C3" w14:textId="77777777" w:rsidTr="002D6DD7">
        <w:trPr>
          <w:jc w:val="center"/>
        </w:trPr>
        <w:tc>
          <w:tcPr>
            <w:tcW w:w="2695" w:type="dxa"/>
          </w:tcPr>
          <w:p w14:paraId="2B576BF5"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53D56DBE" w14:textId="77777777" w:rsidR="00223CE8" w:rsidRPr="00944B15" w:rsidRDefault="00223CE8" w:rsidP="002D6DD7">
            <w:pPr>
              <w:jc w:val="both"/>
              <w:rPr>
                <w:rFonts w:cs="Times New Roman"/>
                <w:szCs w:val="24"/>
              </w:rPr>
            </w:pPr>
            <w:r w:rsidRPr="002A14E0">
              <w:rPr>
                <w:rFonts w:cs="Times New Roman"/>
                <w:szCs w:val="24"/>
              </w:rPr>
              <w:t>Tranexamic acid, azole antifungals, macrolides, anti-epileptics, protease inhibitors and non-nucleoside reverse transcriptase inhibitors, dexamethasone, griseofulvin, isotretinoin, prednisolone, rifampicin, rifabutin, and St. John’s Wort.</w:t>
            </w:r>
          </w:p>
        </w:tc>
      </w:tr>
      <w:tr w:rsidR="00223CE8" w:rsidRPr="00944B15" w14:paraId="5EFCF7B5" w14:textId="77777777" w:rsidTr="002D6DD7">
        <w:trPr>
          <w:jc w:val="center"/>
        </w:trPr>
        <w:tc>
          <w:tcPr>
            <w:tcW w:w="2695" w:type="dxa"/>
          </w:tcPr>
          <w:p w14:paraId="56704087"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2B686525" w14:textId="77777777" w:rsidR="00223CE8" w:rsidRPr="00944B15" w:rsidRDefault="00223CE8" w:rsidP="002D6DD7">
            <w:pPr>
              <w:jc w:val="both"/>
              <w:rPr>
                <w:rFonts w:cs="Times New Roman"/>
                <w:szCs w:val="24"/>
              </w:rPr>
            </w:pPr>
            <w:r w:rsidRPr="00944B15">
              <w:rPr>
                <w:rFonts w:cs="Times New Roman"/>
                <w:szCs w:val="24"/>
              </w:rPr>
              <w:t>Menstrual irregularities, delayed return to fertility, reduction in bone mineral density, weight gain, depression, anaphylaxis, injection-site reactions, acne, abdominal pain, headache</w:t>
            </w:r>
            <w:r>
              <w:rPr>
                <w:rFonts w:cs="Times New Roman"/>
                <w:szCs w:val="24"/>
              </w:rPr>
              <w:t xml:space="preserve"> and</w:t>
            </w:r>
            <w:r w:rsidRPr="00944B15">
              <w:rPr>
                <w:rFonts w:cs="Times New Roman"/>
                <w:szCs w:val="24"/>
              </w:rPr>
              <w:t xml:space="preserve"> nervousness</w:t>
            </w:r>
            <w:r>
              <w:rPr>
                <w:rFonts w:cs="Times New Roman"/>
                <w:szCs w:val="24"/>
              </w:rPr>
              <w:t>.</w:t>
            </w:r>
          </w:p>
        </w:tc>
      </w:tr>
      <w:tr w:rsidR="00223CE8" w:rsidRPr="00944B15" w14:paraId="663F1847" w14:textId="77777777" w:rsidTr="002D6DD7">
        <w:trPr>
          <w:jc w:val="center"/>
        </w:trPr>
        <w:tc>
          <w:tcPr>
            <w:tcW w:w="2695" w:type="dxa"/>
          </w:tcPr>
          <w:p w14:paraId="29B7CE98"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0B7D7005" w14:textId="77777777" w:rsidR="00223CE8" w:rsidRPr="00944B15" w:rsidRDefault="00223CE8" w:rsidP="002D6DD7">
            <w:pPr>
              <w:jc w:val="both"/>
              <w:rPr>
                <w:rFonts w:cs="Times New Roman"/>
                <w:szCs w:val="24"/>
              </w:rPr>
            </w:pPr>
            <w:r w:rsidRPr="00944B15">
              <w:rPr>
                <w:rFonts w:cs="Times New Roman"/>
                <w:szCs w:val="24"/>
              </w:rPr>
              <w:t>Liver disease, thromboembolic or coronary vascular disease,</w:t>
            </w:r>
            <w:r>
              <w:rPr>
                <w:rFonts w:cs="Times New Roman"/>
                <w:szCs w:val="24"/>
              </w:rPr>
              <w:t xml:space="preserve"> </w:t>
            </w:r>
            <w:r w:rsidRPr="00944B15">
              <w:rPr>
                <w:rFonts w:cs="Times New Roman"/>
                <w:szCs w:val="24"/>
              </w:rPr>
              <w:t xml:space="preserve">diabetes mellitus, </w:t>
            </w:r>
            <w:r w:rsidRPr="006D2347">
              <w:rPr>
                <w:rFonts w:cs="Times New Roman"/>
                <w:szCs w:val="24"/>
              </w:rPr>
              <w:t xml:space="preserve">asthma, </w:t>
            </w:r>
            <w:r w:rsidRPr="00944B15">
              <w:rPr>
                <w:rFonts w:cs="Times New Roman"/>
                <w:szCs w:val="24"/>
              </w:rPr>
              <w:t xml:space="preserve">hypertension, renal disease, epilepsy, </w:t>
            </w:r>
            <w:r w:rsidRPr="006D2347">
              <w:rPr>
                <w:rFonts w:cs="Times New Roman"/>
                <w:szCs w:val="24"/>
              </w:rPr>
              <w:t>migraine, porphyria, systemic lupus erythematosus, and hepatic hemangiomas</w:t>
            </w:r>
            <w:r>
              <w:rPr>
                <w:rFonts w:cs="Times New Roman"/>
                <w:szCs w:val="24"/>
              </w:rPr>
              <w:t>.</w:t>
            </w:r>
          </w:p>
        </w:tc>
      </w:tr>
      <w:tr w:rsidR="00223CE8" w:rsidRPr="00944B15" w14:paraId="5EFA7642" w14:textId="77777777" w:rsidTr="002D6DD7">
        <w:trPr>
          <w:jc w:val="center"/>
        </w:trPr>
        <w:tc>
          <w:tcPr>
            <w:tcW w:w="2695" w:type="dxa"/>
          </w:tcPr>
          <w:p w14:paraId="1D9338EE"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33FBD3D6"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between 20</w:t>
            </w:r>
            <w:r w:rsidRPr="00944B15">
              <w:rPr>
                <w:rFonts w:cs="Times New Roman"/>
                <w:szCs w:val="24"/>
                <w:vertAlign w:val="superscript"/>
              </w:rPr>
              <w:t>o</w:t>
            </w:r>
            <w:r>
              <w:rPr>
                <w:rFonts w:cs="Times New Roman"/>
                <w:szCs w:val="24"/>
              </w:rPr>
              <w:t>C and 30</w:t>
            </w:r>
            <w:r w:rsidRPr="00944B15">
              <w:rPr>
                <w:rFonts w:cs="Times New Roman"/>
                <w:szCs w:val="24"/>
                <w:vertAlign w:val="superscript"/>
              </w:rPr>
              <w:t>o</w:t>
            </w:r>
            <w:r>
              <w:rPr>
                <w:rFonts w:cs="Times New Roman"/>
                <w:szCs w:val="24"/>
              </w:rPr>
              <w:t>C. Pro</w:t>
            </w:r>
            <w:r w:rsidRPr="00944B15">
              <w:rPr>
                <w:rFonts w:cs="Times New Roman"/>
                <w:szCs w:val="24"/>
              </w:rPr>
              <w:t>tect from light</w:t>
            </w:r>
            <w:r>
              <w:rPr>
                <w:rFonts w:cs="Times New Roman"/>
                <w:szCs w:val="24"/>
              </w:rPr>
              <w:t>.</w:t>
            </w:r>
          </w:p>
        </w:tc>
      </w:tr>
      <w:tr w:rsidR="00223CE8" w:rsidRPr="00944B15" w14:paraId="58FC4A31" w14:textId="77777777" w:rsidTr="002D6DD7">
        <w:trPr>
          <w:jc w:val="center"/>
        </w:trPr>
        <w:tc>
          <w:tcPr>
            <w:tcW w:w="9350" w:type="dxa"/>
            <w:gridSpan w:val="2"/>
          </w:tcPr>
          <w:p w14:paraId="4997A0B0" w14:textId="77777777" w:rsidR="00223CE8" w:rsidRPr="00944B15" w:rsidRDefault="00223CE8" w:rsidP="002D6DD7">
            <w:pPr>
              <w:rPr>
                <w:rFonts w:cs="Times New Roman"/>
                <w:szCs w:val="24"/>
              </w:rPr>
            </w:pPr>
            <w:r w:rsidRPr="00944B15">
              <w:rPr>
                <w:rFonts w:cs="Times New Roman"/>
                <w:b/>
                <w:szCs w:val="24"/>
              </w:rPr>
              <w:t>Norethisterone enantate</w:t>
            </w:r>
          </w:p>
        </w:tc>
      </w:tr>
      <w:tr w:rsidR="00223CE8" w:rsidRPr="00944B15" w14:paraId="5E424A4F" w14:textId="77777777" w:rsidTr="002D6DD7">
        <w:trPr>
          <w:trHeight w:val="548"/>
          <w:jc w:val="center"/>
        </w:trPr>
        <w:tc>
          <w:tcPr>
            <w:tcW w:w="2695" w:type="dxa"/>
          </w:tcPr>
          <w:p w14:paraId="61B713DD"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4781EBDD" w14:textId="77777777" w:rsidR="00223CE8" w:rsidRPr="00944B15" w:rsidRDefault="00223CE8" w:rsidP="002D6DD7">
            <w:pPr>
              <w:rPr>
                <w:rFonts w:cs="Times New Roman"/>
                <w:szCs w:val="24"/>
              </w:rPr>
            </w:pPr>
            <w:r w:rsidRPr="00944B15">
              <w:rPr>
                <w:rFonts w:cs="Times New Roman"/>
                <w:szCs w:val="24"/>
              </w:rPr>
              <w:t xml:space="preserve">Progestin only contraceptive </w:t>
            </w:r>
          </w:p>
        </w:tc>
      </w:tr>
      <w:tr w:rsidR="00223CE8" w:rsidRPr="00944B15" w14:paraId="1CF05C8E" w14:textId="77777777" w:rsidTr="002D6DD7">
        <w:trPr>
          <w:jc w:val="center"/>
        </w:trPr>
        <w:tc>
          <w:tcPr>
            <w:tcW w:w="2695" w:type="dxa"/>
          </w:tcPr>
          <w:p w14:paraId="3029AE6A"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4A14D9B2" w14:textId="77777777" w:rsidR="00223CE8" w:rsidRPr="00944B15" w:rsidRDefault="00223CE8" w:rsidP="002D6DD7">
            <w:pPr>
              <w:rPr>
                <w:rFonts w:cs="Times New Roman"/>
                <w:szCs w:val="24"/>
              </w:rPr>
            </w:pPr>
            <w:r>
              <w:rPr>
                <w:rFonts w:cs="Times New Roman"/>
                <w:szCs w:val="24"/>
              </w:rPr>
              <w:t>Oily solution: 200 mg/ml in 1 ml</w:t>
            </w:r>
            <w:r w:rsidRPr="00944B15">
              <w:rPr>
                <w:rFonts w:cs="Times New Roman"/>
                <w:szCs w:val="24"/>
              </w:rPr>
              <w:t xml:space="preserve"> ampoule.</w:t>
            </w:r>
          </w:p>
        </w:tc>
      </w:tr>
      <w:tr w:rsidR="00223CE8" w:rsidRPr="00944B15" w14:paraId="53DB2FF5" w14:textId="77777777" w:rsidTr="002D6DD7">
        <w:trPr>
          <w:jc w:val="center"/>
        </w:trPr>
        <w:tc>
          <w:tcPr>
            <w:tcW w:w="2695" w:type="dxa"/>
          </w:tcPr>
          <w:p w14:paraId="4C1B73B9"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54336CA1" w14:textId="77777777" w:rsidR="00223CE8" w:rsidRPr="00944B15" w:rsidRDefault="00223CE8" w:rsidP="002D6DD7">
            <w:pPr>
              <w:rPr>
                <w:rFonts w:cs="Times New Roman"/>
                <w:szCs w:val="24"/>
              </w:rPr>
            </w:pPr>
            <w:r w:rsidRPr="00944B15">
              <w:rPr>
                <w:rFonts w:cs="Times New Roman"/>
                <w:szCs w:val="24"/>
              </w:rPr>
              <w:t xml:space="preserve">Contraception, long acting  </w:t>
            </w:r>
          </w:p>
        </w:tc>
      </w:tr>
      <w:tr w:rsidR="00223CE8" w:rsidRPr="00944B15" w14:paraId="5ACC4A01" w14:textId="77777777" w:rsidTr="002D6DD7">
        <w:trPr>
          <w:jc w:val="center"/>
        </w:trPr>
        <w:tc>
          <w:tcPr>
            <w:tcW w:w="2695" w:type="dxa"/>
          </w:tcPr>
          <w:p w14:paraId="1ACBB12F"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13591020" w14:textId="77777777" w:rsidR="00223CE8" w:rsidRPr="00944B15" w:rsidRDefault="00223CE8" w:rsidP="002D6DD7">
            <w:pPr>
              <w:jc w:val="both"/>
              <w:rPr>
                <w:rFonts w:cs="Times New Roman"/>
                <w:szCs w:val="24"/>
              </w:rPr>
            </w:pPr>
            <w:r w:rsidRPr="00944B15">
              <w:rPr>
                <w:rFonts w:cs="Times New Roman"/>
                <w:b/>
                <w:szCs w:val="24"/>
              </w:rPr>
              <w:t>Deep intramuscular injection (into the gluteal muscle</w:t>
            </w:r>
            <w:r w:rsidRPr="00944B15">
              <w:rPr>
                <w:rFonts w:cs="Times New Roman"/>
                <w:szCs w:val="24"/>
              </w:rPr>
              <w:t xml:space="preserve">): 200 mg within 5 days of cycle or immediately after parturition; repeated after 2 months. If interval between injections is greater than 2 months and 14 days, exclude </w:t>
            </w:r>
            <w:r>
              <w:rPr>
                <w:rFonts w:cs="Times New Roman"/>
                <w:szCs w:val="24"/>
              </w:rPr>
              <w:t>pregnancy before next injection.</w:t>
            </w:r>
          </w:p>
        </w:tc>
      </w:tr>
      <w:tr w:rsidR="00223CE8" w:rsidRPr="00944B15" w14:paraId="441FC952" w14:textId="77777777" w:rsidTr="002D6DD7">
        <w:trPr>
          <w:jc w:val="center"/>
        </w:trPr>
        <w:tc>
          <w:tcPr>
            <w:tcW w:w="2695" w:type="dxa"/>
          </w:tcPr>
          <w:p w14:paraId="6A3FF2E9"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655" w:type="dxa"/>
          </w:tcPr>
          <w:p w14:paraId="3256B9B9" w14:textId="77777777" w:rsidR="00223CE8" w:rsidRPr="00944B15" w:rsidRDefault="00223CE8" w:rsidP="002D6DD7">
            <w:pPr>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 p</w:t>
            </w:r>
            <w:r w:rsidRPr="00944B15">
              <w:rPr>
                <w:rFonts w:cs="Times New Roman"/>
                <w:szCs w:val="24"/>
              </w:rPr>
              <w:t>regnanc</w:t>
            </w:r>
            <w:r>
              <w:rPr>
                <w:rFonts w:cs="Times New Roman"/>
                <w:szCs w:val="24"/>
              </w:rPr>
              <w:t>y; breast or endometrial cancer,</w:t>
            </w:r>
            <w:r w:rsidRPr="00944B15">
              <w:rPr>
                <w:rFonts w:cs="Times New Roman"/>
                <w:szCs w:val="24"/>
              </w:rPr>
              <w:t xml:space="preserve"> severe liver disease (Dubin-Johnson or Rotor’s syndromes); history of jaundice, active thromboembolic disease</w:t>
            </w:r>
            <w:r>
              <w:rPr>
                <w:rFonts w:cs="Times New Roman"/>
                <w:szCs w:val="24"/>
              </w:rPr>
              <w:t>, s</w:t>
            </w:r>
            <w:r w:rsidRPr="002F5D8E">
              <w:rPr>
                <w:rFonts w:cs="Times New Roman"/>
                <w:szCs w:val="24"/>
              </w:rPr>
              <w:t>evere diabetes with vascular c</w:t>
            </w:r>
            <w:r>
              <w:rPr>
                <w:rFonts w:cs="Times New Roman"/>
                <w:szCs w:val="24"/>
              </w:rPr>
              <w:t>hanges,</w:t>
            </w:r>
            <w:r w:rsidRPr="002F5D8E">
              <w:rPr>
                <w:rFonts w:cs="Times New Roman"/>
                <w:szCs w:val="24"/>
              </w:rPr>
              <w:t xml:space="preserve"> </w:t>
            </w:r>
            <w:r w:rsidRPr="00944B15">
              <w:rPr>
                <w:rFonts w:cs="Times New Roman"/>
                <w:szCs w:val="24"/>
              </w:rPr>
              <w:t>und</w:t>
            </w:r>
            <w:r>
              <w:rPr>
                <w:rFonts w:cs="Times New Roman"/>
                <w:szCs w:val="24"/>
              </w:rPr>
              <w:t>iagnosed vaginal bleeding, porphyria,</w:t>
            </w:r>
            <w:r w:rsidRPr="00944B15">
              <w:rPr>
                <w:rFonts w:cs="Times New Roman"/>
                <w:szCs w:val="24"/>
              </w:rPr>
              <w:t xml:space="preserve"> hepatitis</w:t>
            </w:r>
            <w:r>
              <w:rPr>
                <w:rFonts w:cs="Times New Roman"/>
                <w:szCs w:val="24"/>
              </w:rPr>
              <w:t>.</w:t>
            </w:r>
            <w:r w:rsidRPr="00944B15">
              <w:rPr>
                <w:rFonts w:cs="Times New Roman"/>
                <w:szCs w:val="24"/>
              </w:rPr>
              <w:t xml:space="preserve"> </w:t>
            </w:r>
          </w:p>
        </w:tc>
      </w:tr>
      <w:tr w:rsidR="00223CE8" w:rsidRPr="00944B15" w14:paraId="290AD749" w14:textId="77777777" w:rsidTr="002D6DD7">
        <w:trPr>
          <w:jc w:val="center"/>
        </w:trPr>
        <w:tc>
          <w:tcPr>
            <w:tcW w:w="2695" w:type="dxa"/>
          </w:tcPr>
          <w:p w14:paraId="127B23D6"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191A8271" w14:textId="77777777" w:rsidR="00223CE8" w:rsidRPr="00944B15" w:rsidRDefault="00223CE8" w:rsidP="002D6DD7">
            <w:pPr>
              <w:jc w:val="both"/>
              <w:rPr>
                <w:rFonts w:cs="Times New Roman"/>
                <w:szCs w:val="24"/>
              </w:rPr>
            </w:pPr>
            <w:r>
              <w:rPr>
                <w:rFonts w:cs="Times New Roman"/>
                <w:szCs w:val="24"/>
              </w:rPr>
              <w:t>T</w:t>
            </w:r>
            <w:r w:rsidRPr="00944B15">
              <w:rPr>
                <w:rFonts w:cs="Times New Roman"/>
                <w:szCs w:val="24"/>
              </w:rPr>
              <w:t xml:space="preserve">ranexamic acid, </w:t>
            </w:r>
            <w:r w:rsidRPr="00A5538C">
              <w:rPr>
                <w:rFonts w:cs="Times New Roman"/>
                <w:szCs w:val="24"/>
              </w:rPr>
              <w:t>azole antifungals</w:t>
            </w:r>
            <w:r>
              <w:rPr>
                <w:rFonts w:cs="Times New Roman"/>
                <w:szCs w:val="24"/>
              </w:rPr>
              <w:t>, macrolides,</w:t>
            </w:r>
            <w:r w:rsidRPr="00A5538C" w:rsidDel="00A5538C">
              <w:rPr>
                <w:rFonts w:cs="Times New Roman"/>
                <w:szCs w:val="24"/>
              </w:rPr>
              <w:t xml:space="preserve"> </w:t>
            </w:r>
            <w:r w:rsidRPr="00944B15">
              <w:rPr>
                <w:rFonts w:cs="Times New Roman"/>
                <w:szCs w:val="24"/>
              </w:rPr>
              <w:t xml:space="preserve">anti-epileptics, </w:t>
            </w:r>
            <w:r w:rsidRPr="00A5538C">
              <w:rPr>
                <w:rFonts w:cs="Times New Roman"/>
                <w:szCs w:val="24"/>
              </w:rPr>
              <w:t>protease inhibitors and non-nucleoside reverse transcriptase inhibitors</w:t>
            </w:r>
            <w:r>
              <w:rPr>
                <w:rFonts w:cs="Times New Roman"/>
                <w:szCs w:val="24"/>
              </w:rPr>
              <w:t>,</w:t>
            </w:r>
            <w:r w:rsidRPr="00944B15">
              <w:rPr>
                <w:rFonts w:cs="Times New Roman"/>
                <w:szCs w:val="24"/>
              </w:rPr>
              <w:t xml:space="preserve"> dexamethason</w:t>
            </w:r>
            <w:r>
              <w:rPr>
                <w:rFonts w:cs="Times New Roman"/>
                <w:szCs w:val="24"/>
              </w:rPr>
              <w:t xml:space="preserve">e, griseofulvin, isotretinoin, </w:t>
            </w:r>
            <w:r w:rsidRPr="00944B15">
              <w:rPr>
                <w:rFonts w:cs="Times New Roman"/>
                <w:szCs w:val="24"/>
              </w:rPr>
              <w:t xml:space="preserve">prednisolone, rifampicin, rifabutin, </w:t>
            </w:r>
            <w:r>
              <w:rPr>
                <w:rFonts w:cs="Times New Roman"/>
                <w:szCs w:val="24"/>
              </w:rPr>
              <w:t xml:space="preserve">and </w:t>
            </w:r>
            <w:r w:rsidRPr="00944B15">
              <w:rPr>
                <w:rFonts w:cs="Times New Roman"/>
                <w:szCs w:val="24"/>
              </w:rPr>
              <w:t>St. John’s Wort</w:t>
            </w:r>
            <w:r>
              <w:rPr>
                <w:rFonts w:cs="Times New Roman"/>
                <w:szCs w:val="24"/>
              </w:rPr>
              <w:t>.</w:t>
            </w:r>
          </w:p>
        </w:tc>
      </w:tr>
      <w:tr w:rsidR="00223CE8" w:rsidRPr="00944B15" w14:paraId="5014140B" w14:textId="77777777" w:rsidTr="002D6DD7">
        <w:trPr>
          <w:jc w:val="center"/>
        </w:trPr>
        <w:tc>
          <w:tcPr>
            <w:tcW w:w="2695" w:type="dxa"/>
          </w:tcPr>
          <w:p w14:paraId="1FF1C1C5"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18A36987" w14:textId="77777777" w:rsidR="00223CE8" w:rsidRPr="00944B15" w:rsidRDefault="00223CE8" w:rsidP="002D6DD7">
            <w:pPr>
              <w:jc w:val="both"/>
              <w:rPr>
                <w:rFonts w:cs="Times New Roman"/>
                <w:szCs w:val="24"/>
              </w:rPr>
            </w:pPr>
            <w:r>
              <w:rPr>
                <w:rFonts w:cs="Times New Roman"/>
                <w:szCs w:val="24"/>
              </w:rPr>
              <w:t>Uterine / v</w:t>
            </w:r>
            <w:r w:rsidRPr="002A14E0">
              <w:rPr>
                <w:rFonts w:cs="Times New Roman"/>
                <w:szCs w:val="24"/>
              </w:rPr>
              <w:t>aginal bleeding includ</w:t>
            </w:r>
            <w:r>
              <w:rPr>
                <w:rFonts w:cs="Times New Roman"/>
                <w:szCs w:val="24"/>
              </w:rPr>
              <w:t>ing spotting, a</w:t>
            </w:r>
            <w:r w:rsidRPr="002A14E0">
              <w:rPr>
                <w:rFonts w:cs="Times New Roman"/>
                <w:szCs w:val="24"/>
              </w:rPr>
              <w:t>menorrhoea (short lasting)</w:t>
            </w:r>
            <w:r>
              <w:rPr>
                <w:rFonts w:cs="Times New Roman"/>
                <w:szCs w:val="24"/>
              </w:rPr>
              <w:t>, h</w:t>
            </w:r>
            <w:r w:rsidRPr="002A14E0">
              <w:rPr>
                <w:rFonts w:cs="Times New Roman"/>
                <w:szCs w:val="24"/>
              </w:rPr>
              <w:t>ypersensitivity reaction</w:t>
            </w:r>
            <w:r>
              <w:rPr>
                <w:rFonts w:cs="Times New Roman"/>
                <w:szCs w:val="24"/>
              </w:rPr>
              <w:t>, dizziness, h</w:t>
            </w:r>
            <w:r w:rsidRPr="002A14E0">
              <w:rPr>
                <w:rFonts w:cs="Times New Roman"/>
                <w:szCs w:val="24"/>
              </w:rPr>
              <w:t>eadache</w:t>
            </w:r>
            <w:r>
              <w:rPr>
                <w:rFonts w:cs="Times New Roman"/>
                <w:szCs w:val="24"/>
              </w:rPr>
              <w:t>, weight gain, s</w:t>
            </w:r>
            <w:r w:rsidRPr="002A14E0">
              <w:rPr>
                <w:rFonts w:cs="Times New Roman"/>
                <w:szCs w:val="24"/>
              </w:rPr>
              <w:t>kin disorder</w:t>
            </w:r>
            <w:r>
              <w:rPr>
                <w:rFonts w:cs="Times New Roman"/>
                <w:szCs w:val="24"/>
              </w:rPr>
              <w:t>, nausea and injection site reaction.</w:t>
            </w:r>
          </w:p>
        </w:tc>
      </w:tr>
      <w:tr w:rsidR="00223CE8" w:rsidRPr="00944B15" w14:paraId="7F86B69D" w14:textId="77777777" w:rsidTr="002D6DD7">
        <w:trPr>
          <w:jc w:val="center"/>
        </w:trPr>
        <w:tc>
          <w:tcPr>
            <w:tcW w:w="2695" w:type="dxa"/>
          </w:tcPr>
          <w:p w14:paraId="2D51C616"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3528F689" w14:textId="77777777" w:rsidR="00223CE8" w:rsidRPr="00944B15" w:rsidRDefault="00223CE8" w:rsidP="002D6DD7">
            <w:pPr>
              <w:jc w:val="both"/>
              <w:rPr>
                <w:rFonts w:cs="Times New Roman"/>
                <w:szCs w:val="24"/>
              </w:rPr>
            </w:pPr>
            <w:r w:rsidRPr="00D16B6F">
              <w:rPr>
                <w:rFonts w:cs="Times New Roman"/>
                <w:szCs w:val="24"/>
              </w:rPr>
              <w:t>History of ectopic pregnancy</w:t>
            </w:r>
            <w:r>
              <w:rPr>
                <w:rFonts w:cs="Times New Roman"/>
                <w:szCs w:val="24"/>
              </w:rPr>
              <w:t>, t</w:t>
            </w:r>
            <w:r w:rsidRPr="00D16B6F">
              <w:rPr>
                <w:rFonts w:cs="Times New Roman"/>
                <w:szCs w:val="24"/>
              </w:rPr>
              <w:t>obacco smoking</w:t>
            </w:r>
            <w:r>
              <w:rPr>
                <w:rFonts w:cs="Times New Roman"/>
                <w:szCs w:val="24"/>
              </w:rPr>
              <w:t xml:space="preserve">, </w:t>
            </w:r>
            <w:r w:rsidRPr="00944B15">
              <w:rPr>
                <w:rFonts w:cs="Times New Roman"/>
                <w:szCs w:val="24"/>
              </w:rPr>
              <w:t>migraine</w:t>
            </w:r>
            <w:r>
              <w:rPr>
                <w:rFonts w:cs="Times New Roman"/>
                <w:szCs w:val="24"/>
              </w:rPr>
              <w:t>,</w:t>
            </w:r>
            <w:r w:rsidRPr="00944B15">
              <w:rPr>
                <w:rFonts w:cs="Times New Roman"/>
                <w:szCs w:val="24"/>
              </w:rPr>
              <w:t xml:space="preserve"> liver</w:t>
            </w:r>
            <w:r>
              <w:rPr>
                <w:rFonts w:cs="Times New Roman"/>
                <w:szCs w:val="24"/>
              </w:rPr>
              <w:t xml:space="preserve"> </w:t>
            </w:r>
            <w:r w:rsidRPr="00944B15">
              <w:rPr>
                <w:rFonts w:cs="Times New Roman"/>
                <w:szCs w:val="24"/>
              </w:rPr>
              <w:t>dysfunction</w:t>
            </w:r>
            <w:r>
              <w:rPr>
                <w:rFonts w:cs="Times New Roman"/>
                <w:szCs w:val="24"/>
              </w:rPr>
              <w:t>,</w:t>
            </w:r>
            <w:r w:rsidRPr="00944B15">
              <w:rPr>
                <w:rFonts w:cs="Times New Roman"/>
                <w:szCs w:val="24"/>
              </w:rPr>
              <w:t xml:space="preserve"> diabetes mellitus</w:t>
            </w:r>
            <w:r>
              <w:rPr>
                <w:rFonts w:cs="Times New Roman"/>
                <w:szCs w:val="24"/>
              </w:rPr>
              <w:t>,</w:t>
            </w:r>
            <w:r>
              <w:t xml:space="preserve"> </w:t>
            </w:r>
            <w:r>
              <w:rPr>
                <w:rFonts w:cs="Times New Roman"/>
                <w:szCs w:val="24"/>
              </w:rPr>
              <w:t>h</w:t>
            </w:r>
            <w:r w:rsidRPr="00D16B6F">
              <w:rPr>
                <w:rFonts w:cs="Times New Roman"/>
                <w:szCs w:val="24"/>
              </w:rPr>
              <w:t>istory of depression</w:t>
            </w:r>
            <w:r>
              <w:rPr>
                <w:rFonts w:cs="Times New Roman"/>
                <w:szCs w:val="24"/>
              </w:rPr>
              <w:t>,</w:t>
            </w:r>
            <w:r w:rsidRPr="00944B15">
              <w:rPr>
                <w:rFonts w:cs="Times New Roman"/>
                <w:szCs w:val="24"/>
              </w:rPr>
              <w:t xml:space="preserve"> cardiac and renal disease</w:t>
            </w:r>
            <w:r>
              <w:rPr>
                <w:rFonts w:cs="Times New Roman"/>
                <w:szCs w:val="24"/>
              </w:rPr>
              <w:t>,</w:t>
            </w:r>
            <w:r w:rsidRPr="00944B15">
              <w:rPr>
                <w:rFonts w:cs="Times New Roman"/>
                <w:szCs w:val="24"/>
              </w:rPr>
              <w:t xml:space="preserve"> interactions</w:t>
            </w:r>
            <w:r>
              <w:rPr>
                <w:rFonts w:cs="Times New Roman"/>
                <w:szCs w:val="24"/>
              </w:rPr>
              <w:t>,</w:t>
            </w:r>
            <w:r w:rsidRPr="00944B15">
              <w:rPr>
                <w:rFonts w:cs="Times New Roman"/>
                <w:szCs w:val="24"/>
              </w:rPr>
              <w:t xml:space="preserve"> vaginal bleeding</w:t>
            </w:r>
            <w:r>
              <w:rPr>
                <w:rFonts w:cs="Times New Roman"/>
                <w:szCs w:val="24"/>
              </w:rPr>
              <w:t>,</w:t>
            </w:r>
            <w:r w:rsidRPr="00944B15">
              <w:rPr>
                <w:rFonts w:cs="Times New Roman"/>
                <w:szCs w:val="24"/>
              </w:rPr>
              <w:t xml:space="preserve"> blood clots</w:t>
            </w:r>
            <w:r>
              <w:rPr>
                <w:rFonts w:cs="Times New Roman"/>
                <w:szCs w:val="24"/>
              </w:rPr>
              <w:t>,</w:t>
            </w:r>
            <w:r w:rsidRPr="00944B15">
              <w:rPr>
                <w:rFonts w:cs="Times New Roman"/>
                <w:szCs w:val="24"/>
              </w:rPr>
              <w:t xml:space="preserve"> seizures</w:t>
            </w:r>
            <w:r>
              <w:rPr>
                <w:rFonts w:cs="Times New Roman"/>
                <w:szCs w:val="24"/>
              </w:rPr>
              <w:t xml:space="preserve"> and u</w:t>
            </w:r>
            <w:r w:rsidRPr="003A5885">
              <w:rPr>
                <w:rFonts w:cs="Times New Roman"/>
                <w:szCs w:val="24"/>
              </w:rPr>
              <w:t>nilateral fallopian tube</w:t>
            </w:r>
            <w:r>
              <w:rPr>
                <w:rFonts w:cs="Times New Roman"/>
                <w:szCs w:val="24"/>
              </w:rPr>
              <w:t>.</w:t>
            </w:r>
          </w:p>
        </w:tc>
      </w:tr>
      <w:tr w:rsidR="00223CE8" w:rsidRPr="00944B15" w14:paraId="4B550122" w14:textId="77777777" w:rsidTr="002D6DD7">
        <w:trPr>
          <w:jc w:val="center"/>
        </w:trPr>
        <w:tc>
          <w:tcPr>
            <w:tcW w:w="2695" w:type="dxa"/>
          </w:tcPr>
          <w:p w14:paraId="6E18A4DC"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427987A1" w14:textId="77777777" w:rsidR="00223CE8" w:rsidRPr="00944B15" w:rsidRDefault="00223CE8" w:rsidP="002D6DD7">
            <w:pPr>
              <w:rPr>
                <w:rFonts w:cs="Times New Roman"/>
                <w:szCs w:val="24"/>
              </w:rPr>
            </w:pPr>
            <w:r w:rsidRPr="00944B15">
              <w:rPr>
                <w:rFonts w:cs="Times New Roman"/>
                <w:szCs w:val="24"/>
              </w:rPr>
              <w:t xml:space="preserve">Store </w:t>
            </w:r>
            <w:r w:rsidR="007A6A02">
              <w:rPr>
                <w:rFonts w:cs="Times New Roman"/>
                <w:szCs w:val="24"/>
              </w:rPr>
              <w:t xml:space="preserve">between </w:t>
            </w:r>
            <w:r w:rsidRPr="00944B15">
              <w:rPr>
                <w:rFonts w:cs="Times New Roman"/>
                <w:szCs w:val="24"/>
              </w:rPr>
              <w:t xml:space="preserve">20 to </w:t>
            </w:r>
            <w:r w:rsidR="007A6A02">
              <w:rPr>
                <w:rFonts w:cs="Times New Roman"/>
                <w:szCs w:val="24"/>
              </w:rPr>
              <w:t>30</w:t>
            </w:r>
            <w:r w:rsidRPr="00944B15">
              <w:rPr>
                <w:rFonts w:cs="Times New Roman"/>
                <w:szCs w:val="24"/>
              </w:rPr>
              <w:t xml:space="preserve"> </w:t>
            </w:r>
            <w:r w:rsidRPr="00944B15">
              <w:rPr>
                <w:rFonts w:cs="Times New Roman"/>
                <w:szCs w:val="24"/>
                <w:vertAlign w:val="superscript"/>
              </w:rPr>
              <w:t>0</w:t>
            </w:r>
            <w:r w:rsidR="007A6A02">
              <w:rPr>
                <w:rFonts w:cs="Times New Roman"/>
                <w:szCs w:val="24"/>
              </w:rPr>
              <w:t>C</w:t>
            </w:r>
            <w:r w:rsidRPr="00944B15">
              <w:rPr>
                <w:rFonts w:cs="Times New Roman"/>
                <w:szCs w:val="24"/>
              </w:rPr>
              <w:t>, protect from light</w:t>
            </w:r>
            <w:r w:rsidR="007A6A02">
              <w:rPr>
                <w:rFonts w:cs="Times New Roman"/>
                <w:szCs w:val="24"/>
              </w:rPr>
              <w:t>.</w:t>
            </w:r>
            <w:r w:rsidRPr="00944B15">
              <w:rPr>
                <w:rFonts w:cs="Times New Roman"/>
                <w:szCs w:val="24"/>
              </w:rPr>
              <w:t xml:space="preserve"> </w:t>
            </w:r>
          </w:p>
        </w:tc>
      </w:tr>
    </w:tbl>
    <w:p w14:paraId="1719406F" w14:textId="77777777" w:rsidR="00223CE8" w:rsidRPr="00FC5824" w:rsidRDefault="007A6A02" w:rsidP="00FC5824">
      <w:pPr>
        <w:spacing w:before="240"/>
        <w:rPr>
          <w:b/>
        </w:rPr>
      </w:pPr>
      <w:r w:rsidRPr="00FC5824">
        <w:rPr>
          <w:b/>
        </w:rPr>
        <w:t>Contraceptive devices and barriers</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95"/>
        <w:gridCol w:w="6655"/>
      </w:tblGrid>
      <w:tr w:rsidR="00223CE8" w:rsidRPr="00944B15" w14:paraId="568A6AE3" w14:textId="77777777" w:rsidTr="002D6DD7">
        <w:tc>
          <w:tcPr>
            <w:tcW w:w="9350" w:type="dxa"/>
            <w:gridSpan w:val="2"/>
          </w:tcPr>
          <w:p w14:paraId="3EC995F3" w14:textId="77777777" w:rsidR="00223CE8" w:rsidRPr="00944B15" w:rsidRDefault="00223CE8" w:rsidP="002D6DD7">
            <w:pPr>
              <w:rPr>
                <w:rFonts w:cs="Times New Roman"/>
                <w:b/>
                <w:szCs w:val="24"/>
              </w:rPr>
            </w:pPr>
            <w:r>
              <w:rPr>
                <w:rFonts w:cs="Times New Roman"/>
                <w:b/>
                <w:szCs w:val="24"/>
              </w:rPr>
              <w:t xml:space="preserve">Male </w:t>
            </w:r>
            <w:r w:rsidRPr="00944B15">
              <w:rPr>
                <w:rFonts w:cs="Times New Roman"/>
                <w:b/>
                <w:szCs w:val="24"/>
              </w:rPr>
              <w:t>Condoms</w:t>
            </w:r>
          </w:p>
        </w:tc>
      </w:tr>
      <w:tr w:rsidR="00223CE8" w:rsidRPr="00944B15" w14:paraId="638EC4CC" w14:textId="77777777" w:rsidTr="002D6DD7">
        <w:tc>
          <w:tcPr>
            <w:tcW w:w="2695" w:type="dxa"/>
          </w:tcPr>
          <w:p w14:paraId="1733579D"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27B4F103" w14:textId="77777777" w:rsidR="00223CE8" w:rsidRPr="00944B15" w:rsidRDefault="00223CE8" w:rsidP="002D6DD7">
            <w:pPr>
              <w:rPr>
                <w:rFonts w:cs="Times New Roman"/>
                <w:szCs w:val="24"/>
              </w:rPr>
            </w:pPr>
            <w:r w:rsidRPr="00944B15">
              <w:rPr>
                <w:rFonts w:cs="Times New Roman"/>
                <w:szCs w:val="24"/>
              </w:rPr>
              <w:t>Barrier Contraceptive</w:t>
            </w:r>
          </w:p>
        </w:tc>
      </w:tr>
      <w:tr w:rsidR="00223CE8" w:rsidRPr="00944B15" w14:paraId="07531426" w14:textId="77777777" w:rsidTr="002D6DD7">
        <w:tc>
          <w:tcPr>
            <w:tcW w:w="2695" w:type="dxa"/>
          </w:tcPr>
          <w:p w14:paraId="7720B59A"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3CE3B993" w14:textId="77777777" w:rsidR="00223CE8" w:rsidRPr="00944B15" w:rsidRDefault="00223CE8" w:rsidP="002D6DD7">
            <w:pPr>
              <w:rPr>
                <w:rFonts w:cs="Times New Roman"/>
                <w:szCs w:val="24"/>
              </w:rPr>
            </w:pPr>
            <w:r w:rsidRPr="00944B15">
              <w:rPr>
                <w:rFonts w:cs="Times New Roman"/>
                <w:szCs w:val="24"/>
              </w:rPr>
              <w:t>-</w:t>
            </w:r>
          </w:p>
        </w:tc>
      </w:tr>
      <w:tr w:rsidR="00223CE8" w:rsidRPr="00944B15" w14:paraId="44EE5522" w14:textId="77777777" w:rsidTr="002D6DD7">
        <w:tc>
          <w:tcPr>
            <w:tcW w:w="2695" w:type="dxa"/>
          </w:tcPr>
          <w:p w14:paraId="19389DD2"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2C0B349E" w14:textId="77777777" w:rsidR="00223CE8" w:rsidRPr="00944B15" w:rsidRDefault="00223CE8" w:rsidP="002D6DD7">
            <w:pPr>
              <w:jc w:val="both"/>
              <w:rPr>
                <w:rFonts w:cs="Times New Roman"/>
                <w:szCs w:val="24"/>
              </w:rPr>
            </w:pPr>
            <w:r>
              <w:rPr>
                <w:rFonts w:cs="Times New Roman"/>
                <w:szCs w:val="24"/>
              </w:rPr>
              <w:t xml:space="preserve">To </w:t>
            </w:r>
            <w:r w:rsidRPr="00944B15">
              <w:rPr>
                <w:rFonts w:cs="Times New Roman"/>
                <w:szCs w:val="24"/>
              </w:rPr>
              <w:t>prevent pregnancy at times when oral contraceptives or intrauterine devices may not be effective or are contraindicated or as an adjuvant to the periodic abstinence (rhythm) method of contraception</w:t>
            </w:r>
            <w:r>
              <w:rPr>
                <w:rFonts w:cs="Times New Roman"/>
                <w:szCs w:val="24"/>
              </w:rPr>
              <w:t xml:space="preserve"> and for </w:t>
            </w:r>
            <w:r w:rsidRPr="00944B15">
              <w:rPr>
                <w:rFonts w:cs="Times New Roman"/>
                <w:szCs w:val="24"/>
              </w:rPr>
              <w:t>prevention of se</w:t>
            </w:r>
            <w:r>
              <w:rPr>
                <w:rFonts w:cs="Times New Roman"/>
                <w:szCs w:val="24"/>
              </w:rPr>
              <w:t>xually transmitted infections (STI</w:t>
            </w:r>
            <w:r w:rsidRPr="00944B15">
              <w:rPr>
                <w:rFonts w:cs="Times New Roman"/>
                <w:szCs w:val="24"/>
              </w:rPr>
              <w:t>s)</w:t>
            </w:r>
            <w:r>
              <w:rPr>
                <w:rFonts w:cs="Times New Roman"/>
                <w:szCs w:val="24"/>
              </w:rPr>
              <w:t>.</w:t>
            </w:r>
          </w:p>
        </w:tc>
      </w:tr>
      <w:tr w:rsidR="00223CE8" w:rsidRPr="00944B15" w14:paraId="790967F6" w14:textId="77777777" w:rsidTr="002D6DD7">
        <w:trPr>
          <w:trHeight w:val="50"/>
        </w:trPr>
        <w:tc>
          <w:tcPr>
            <w:tcW w:w="2695" w:type="dxa"/>
          </w:tcPr>
          <w:p w14:paraId="0644DAFD"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1A91C306" w14:textId="77777777" w:rsidR="00223CE8" w:rsidRPr="006845B2" w:rsidRDefault="00223CE8" w:rsidP="003D3F76">
            <w:pPr>
              <w:pStyle w:val="ListParagraph"/>
              <w:numPr>
                <w:ilvl w:val="0"/>
                <w:numId w:val="30"/>
              </w:numPr>
              <w:spacing w:line="360" w:lineRule="auto"/>
              <w:rPr>
                <w:szCs w:val="24"/>
              </w:rPr>
            </w:pPr>
            <w:r w:rsidRPr="006845B2">
              <w:rPr>
                <w:szCs w:val="24"/>
              </w:rPr>
              <w:t>Make sure the penis is fully erect.</w:t>
            </w:r>
          </w:p>
          <w:p w14:paraId="64F38FF9" w14:textId="77777777" w:rsidR="00223CE8" w:rsidRPr="006845B2" w:rsidRDefault="00223CE8" w:rsidP="003D3F76">
            <w:pPr>
              <w:pStyle w:val="ListParagraph"/>
              <w:numPr>
                <w:ilvl w:val="0"/>
                <w:numId w:val="30"/>
              </w:numPr>
              <w:spacing w:line="360" w:lineRule="auto"/>
              <w:rPr>
                <w:szCs w:val="24"/>
              </w:rPr>
            </w:pPr>
            <w:r w:rsidRPr="006845B2">
              <w:rPr>
                <w:szCs w:val="24"/>
              </w:rPr>
              <w:t>Open the packet carefully so you do not damage the condom.</w:t>
            </w:r>
          </w:p>
          <w:p w14:paraId="6EE738A4" w14:textId="77777777" w:rsidR="00223CE8" w:rsidRPr="006845B2" w:rsidRDefault="00223CE8" w:rsidP="003D3F76">
            <w:pPr>
              <w:pStyle w:val="ListParagraph"/>
              <w:numPr>
                <w:ilvl w:val="0"/>
                <w:numId w:val="30"/>
              </w:numPr>
              <w:spacing w:line="360" w:lineRule="auto"/>
              <w:rPr>
                <w:szCs w:val="24"/>
              </w:rPr>
            </w:pPr>
            <w:r w:rsidRPr="006845B2">
              <w:rPr>
                <w:szCs w:val="24"/>
              </w:rPr>
              <w:t>Hold the tip of the condom to squeeze out any air.</w:t>
            </w:r>
          </w:p>
          <w:p w14:paraId="3774EF14" w14:textId="77777777" w:rsidR="00223CE8" w:rsidRPr="006845B2" w:rsidRDefault="00223CE8" w:rsidP="003D3F76">
            <w:pPr>
              <w:pStyle w:val="ListParagraph"/>
              <w:numPr>
                <w:ilvl w:val="0"/>
                <w:numId w:val="30"/>
              </w:numPr>
              <w:spacing w:line="360" w:lineRule="auto"/>
              <w:rPr>
                <w:szCs w:val="24"/>
              </w:rPr>
            </w:pPr>
            <w:r w:rsidRPr="006845B2">
              <w:rPr>
                <w:szCs w:val="24"/>
              </w:rPr>
              <w:lastRenderedPageBreak/>
              <w:t>Roll the condom all the way down to the base of the penis.</w:t>
            </w:r>
          </w:p>
          <w:p w14:paraId="1C04A3B7" w14:textId="77777777" w:rsidR="00223CE8" w:rsidRPr="006845B2" w:rsidRDefault="00223CE8" w:rsidP="003D3F76">
            <w:pPr>
              <w:pStyle w:val="ListParagraph"/>
              <w:numPr>
                <w:ilvl w:val="0"/>
                <w:numId w:val="30"/>
              </w:numPr>
              <w:spacing w:line="360" w:lineRule="auto"/>
              <w:rPr>
                <w:szCs w:val="24"/>
              </w:rPr>
            </w:pPr>
            <w:r w:rsidRPr="006845B2">
              <w:rPr>
                <w:szCs w:val="24"/>
              </w:rPr>
              <w:t>Keep the condom on until you finish having sex</w:t>
            </w:r>
          </w:p>
        </w:tc>
      </w:tr>
      <w:tr w:rsidR="00223CE8" w:rsidRPr="00944B15" w14:paraId="13E8545D" w14:textId="77777777" w:rsidTr="002D6DD7">
        <w:tc>
          <w:tcPr>
            <w:tcW w:w="2695" w:type="dxa"/>
          </w:tcPr>
          <w:p w14:paraId="78E64951"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655" w:type="dxa"/>
          </w:tcPr>
          <w:p w14:paraId="3597997E" w14:textId="77777777" w:rsidR="00223CE8" w:rsidRPr="00944B15" w:rsidRDefault="00223CE8" w:rsidP="002D6DD7">
            <w:pPr>
              <w:rPr>
                <w:rFonts w:cs="Times New Roman"/>
                <w:szCs w:val="24"/>
              </w:rPr>
            </w:pPr>
            <w:r w:rsidRPr="00944B15">
              <w:rPr>
                <w:rFonts w:cs="Times New Roman"/>
                <w:szCs w:val="24"/>
              </w:rPr>
              <w:t>Sensitivity to latex condom</w:t>
            </w:r>
          </w:p>
        </w:tc>
      </w:tr>
      <w:tr w:rsidR="00223CE8" w:rsidRPr="00944B15" w14:paraId="2B0020CE" w14:textId="77777777" w:rsidTr="002D6DD7">
        <w:tc>
          <w:tcPr>
            <w:tcW w:w="2695" w:type="dxa"/>
          </w:tcPr>
          <w:p w14:paraId="52F9223D"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3AA36FAD" w14:textId="77777777" w:rsidR="00223CE8" w:rsidRPr="00944B15" w:rsidRDefault="00223CE8" w:rsidP="002D6DD7">
            <w:pPr>
              <w:jc w:val="both"/>
              <w:rPr>
                <w:rFonts w:cs="Times New Roman"/>
                <w:szCs w:val="24"/>
              </w:rPr>
            </w:pPr>
            <w:r w:rsidRPr="00944B15">
              <w:rPr>
                <w:rFonts w:cs="Times New Roman"/>
                <w:szCs w:val="24"/>
              </w:rPr>
              <w:t xml:space="preserve">Oil based lubricants such as petroleum jelly, baby oil and certain lotions can degrade latex condoms </w:t>
            </w:r>
          </w:p>
        </w:tc>
      </w:tr>
      <w:tr w:rsidR="00223CE8" w:rsidRPr="00944B15" w14:paraId="66A0FF4C" w14:textId="77777777" w:rsidTr="002D6DD7">
        <w:tc>
          <w:tcPr>
            <w:tcW w:w="2695" w:type="dxa"/>
          </w:tcPr>
          <w:p w14:paraId="3EF75A53"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3250F3AD" w14:textId="77777777" w:rsidR="00223CE8" w:rsidRPr="00944B15" w:rsidRDefault="00223CE8" w:rsidP="002D6DD7">
            <w:pPr>
              <w:jc w:val="both"/>
              <w:rPr>
                <w:rFonts w:cs="Times New Roman"/>
                <w:szCs w:val="24"/>
              </w:rPr>
            </w:pPr>
            <w:r w:rsidRPr="00944B15">
              <w:rPr>
                <w:rFonts w:cs="Times New Roman"/>
                <w:szCs w:val="24"/>
              </w:rPr>
              <w:t>Burning, stinging, warmth, itching, other irritation of the skin, penis, rectum</w:t>
            </w:r>
            <w:r>
              <w:rPr>
                <w:rFonts w:cs="Times New Roman"/>
                <w:szCs w:val="24"/>
              </w:rPr>
              <w:t xml:space="preserve"> or </w:t>
            </w:r>
            <w:r w:rsidRPr="00944B15">
              <w:rPr>
                <w:rFonts w:cs="Times New Roman"/>
                <w:szCs w:val="24"/>
              </w:rPr>
              <w:t>contact dermatitis.</w:t>
            </w:r>
          </w:p>
        </w:tc>
      </w:tr>
      <w:tr w:rsidR="00223CE8" w:rsidRPr="00944B15" w14:paraId="38D7D91B" w14:textId="77777777" w:rsidTr="002D6DD7">
        <w:tc>
          <w:tcPr>
            <w:tcW w:w="2695" w:type="dxa"/>
          </w:tcPr>
          <w:p w14:paraId="496F0371"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42E3D10E" w14:textId="77777777" w:rsidR="00223CE8" w:rsidRPr="00944B15" w:rsidRDefault="00223CE8" w:rsidP="002D6DD7">
            <w:pPr>
              <w:jc w:val="both"/>
              <w:rPr>
                <w:rFonts w:cs="Times New Roman"/>
                <w:szCs w:val="24"/>
              </w:rPr>
            </w:pPr>
            <w:r>
              <w:rPr>
                <w:rFonts w:cs="Times New Roman"/>
                <w:szCs w:val="24"/>
              </w:rPr>
              <w:t xml:space="preserve">Breakage </w:t>
            </w:r>
          </w:p>
        </w:tc>
      </w:tr>
      <w:tr w:rsidR="00223CE8" w:rsidRPr="00944B15" w14:paraId="198C40C8" w14:textId="77777777" w:rsidTr="002D6DD7">
        <w:tc>
          <w:tcPr>
            <w:tcW w:w="2695" w:type="dxa"/>
          </w:tcPr>
          <w:p w14:paraId="4BB0C48A"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5770B2E8" w14:textId="77777777" w:rsidR="00223CE8" w:rsidRPr="00944B15" w:rsidRDefault="00223CE8" w:rsidP="002D6DD7">
            <w:pPr>
              <w:jc w:val="both"/>
              <w:rPr>
                <w:rFonts w:cs="Times New Roman"/>
                <w:szCs w:val="24"/>
              </w:rPr>
            </w:pPr>
            <w:r w:rsidRPr="00E14337">
              <w:rPr>
                <w:rFonts w:cs="Times New Roman"/>
                <w:szCs w:val="24"/>
              </w:rPr>
              <w:t>Store below 30</w:t>
            </w:r>
            <w:r w:rsidRPr="00D76338">
              <w:rPr>
                <w:rFonts w:cs="Times New Roman"/>
                <w:szCs w:val="24"/>
                <w:vertAlign w:val="superscript"/>
              </w:rPr>
              <w:t>O</w:t>
            </w:r>
            <w:r>
              <w:rPr>
                <w:rFonts w:cs="Times New Roman"/>
                <w:szCs w:val="24"/>
              </w:rPr>
              <w:t xml:space="preserve">C. </w:t>
            </w:r>
            <w:r w:rsidRPr="00E14337">
              <w:rPr>
                <w:rFonts w:cs="Times New Roman"/>
                <w:szCs w:val="24"/>
              </w:rPr>
              <w:t>protect from light</w:t>
            </w:r>
            <w:r w:rsidRPr="00944B15">
              <w:rPr>
                <w:rFonts w:cs="Times New Roman"/>
                <w:szCs w:val="24"/>
              </w:rPr>
              <w:t>.</w:t>
            </w:r>
            <w:r>
              <w:rPr>
                <w:rFonts w:cs="Times New Roman"/>
                <w:szCs w:val="24"/>
              </w:rPr>
              <w:t xml:space="preserve"> </w:t>
            </w:r>
          </w:p>
        </w:tc>
      </w:tr>
      <w:tr w:rsidR="00223CE8" w:rsidRPr="00944B15" w14:paraId="296486EE" w14:textId="77777777" w:rsidTr="002D6DD7">
        <w:tc>
          <w:tcPr>
            <w:tcW w:w="9350" w:type="dxa"/>
            <w:gridSpan w:val="2"/>
          </w:tcPr>
          <w:p w14:paraId="349DEB9C" w14:textId="77777777" w:rsidR="00223CE8" w:rsidRPr="00D76338" w:rsidRDefault="00223CE8" w:rsidP="002D6DD7">
            <w:pPr>
              <w:jc w:val="both"/>
              <w:rPr>
                <w:rFonts w:cs="Times New Roman"/>
                <w:b/>
                <w:szCs w:val="24"/>
              </w:rPr>
            </w:pPr>
            <w:r w:rsidRPr="00D76338">
              <w:rPr>
                <w:rFonts w:cs="Times New Roman"/>
                <w:b/>
                <w:szCs w:val="24"/>
              </w:rPr>
              <w:t xml:space="preserve">Female condom </w:t>
            </w:r>
          </w:p>
        </w:tc>
      </w:tr>
      <w:tr w:rsidR="00223CE8" w:rsidRPr="00944B15" w14:paraId="361DE0E0" w14:textId="77777777" w:rsidTr="002D6DD7">
        <w:tc>
          <w:tcPr>
            <w:tcW w:w="2695" w:type="dxa"/>
          </w:tcPr>
          <w:p w14:paraId="10992856" w14:textId="77777777" w:rsidR="00223CE8" w:rsidRPr="00944B15" w:rsidRDefault="00223CE8" w:rsidP="002D6DD7">
            <w:pPr>
              <w:rPr>
                <w:rFonts w:cs="Times New Roman"/>
                <w:szCs w:val="24"/>
              </w:rPr>
            </w:pPr>
            <w:r>
              <w:rPr>
                <w:rFonts w:cs="Times New Roman"/>
                <w:szCs w:val="24"/>
              </w:rPr>
              <w:t>Pharmacological class</w:t>
            </w:r>
          </w:p>
        </w:tc>
        <w:tc>
          <w:tcPr>
            <w:tcW w:w="6655" w:type="dxa"/>
          </w:tcPr>
          <w:p w14:paraId="5EAD36D8" w14:textId="77777777" w:rsidR="00223CE8" w:rsidRPr="00944B15" w:rsidRDefault="00223CE8" w:rsidP="002D6DD7">
            <w:pPr>
              <w:jc w:val="both"/>
              <w:rPr>
                <w:rFonts w:cs="Times New Roman"/>
                <w:szCs w:val="24"/>
              </w:rPr>
            </w:pPr>
            <w:r w:rsidRPr="00375579">
              <w:rPr>
                <w:rFonts w:cs="Times New Roman"/>
                <w:szCs w:val="24"/>
              </w:rPr>
              <w:t>Barrier Contraceptive</w:t>
            </w:r>
          </w:p>
        </w:tc>
      </w:tr>
      <w:tr w:rsidR="00223CE8" w:rsidRPr="00944B15" w14:paraId="5C554FBB" w14:textId="77777777" w:rsidTr="002D6DD7">
        <w:tc>
          <w:tcPr>
            <w:tcW w:w="2695" w:type="dxa"/>
          </w:tcPr>
          <w:p w14:paraId="3348B423" w14:textId="77777777" w:rsidR="00223CE8" w:rsidRPr="00944B15" w:rsidRDefault="00223CE8" w:rsidP="002D6DD7">
            <w:pPr>
              <w:rPr>
                <w:rFonts w:cs="Times New Roman"/>
                <w:szCs w:val="24"/>
              </w:rPr>
            </w:pPr>
            <w:r>
              <w:rPr>
                <w:rFonts w:cs="Times New Roman"/>
                <w:szCs w:val="24"/>
              </w:rPr>
              <w:t>Dosage form</w:t>
            </w:r>
          </w:p>
        </w:tc>
        <w:tc>
          <w:tcPr>
            <w:tcW w:w="6655" w:type="dxa"/>
          </w:tcPr>
          <w:p w14:paraId="0733767D" w14:textId="77777777" w:rsidR="00223CE8" w:rsidRPr="00944B15" w:rsidRDefault="00223CE8" w:rsidP="002D6DD7">
            <w:pPr>
              <w:jc w:val="both"/>
              <w:rPr>
                <w:rFonts w:cs="Times New Roman"/>
                <w:szCs w:val="24"/>
              </w:rPr>
            </w:pPr>
            <w:r>
              <w:rPr>
                <w:rFonts w:cs="Times New Roman"/>
                <w:szCs w:val="24"/>
              </w:rPr>
              <w:t>-</w:t>
            </w:r>
          </w:p>
        </w:tc>
      </w:tr>
      <w:tr w:rsidR="00223CE8" w:rsidRPr="00944B15" w14:paraId="4855FBBD" w14:textId="77777777" w:rsidTr="002D6DD7">
        <w:tc>
          <w:tcPr>
            <w:tcW w:w="2695" w:type="dxa"/>
          </w:tcPr>
          <w:p w14:paraId="4FE0AD39" w14:textId="77777777" w:rsidR="00223CE8" w:rsidRPr="00944B15" w:rsidRDefault="00223CE8" w:rsidP="002D6DD7">
            <w:pPr>
              <w:rPr>
                <w:rFonts w:cs="Times New Roman"/>
                <w:szCs w:val="24"/>
              </w:rPr>
            </w:pPr>
            <w:r>
              <w:rPr>
                <w:rFonts w:cs="Times New Roman"/>
                <w:szCs w:val="24"/>
              </w:rPr>
              <w:t xml:space="preserve">Indication </w:t>
            </w:r>
          </w:p>
        </w:tc>
        <w:tc>
          <w:tcPr>
            <w:tcW w:w="6655" w:type="dxa"/>
          </w:tcPr>
          <w:p w14:paraId="796239F2" w14:textId="77777777" w:rsidR="00223CE8" w:rsidRPr="00944B15" w:rsidRDefault="00223CE8" w:rsidP="002D6DD7">
            <w:pPr>
              <w:jc w:val="both"/>
              <w:rPr>
                <w:rFonts w:cs="Times New Roman"/>
                <w:szCs w:val="24"/>
              </w:rPr>
            </w:pPr>
            <w:r>
              <w:rPr>
                <w:rFonts w:cs="Times New Roman"/>
                <w:szCs w:val="24"/>
              </w:rPr>
              <w:t>To prevent pregnancy and STI</w:t>
            </w:r>
            <w:r w:rsidRPr="00375579">
              <w:rPr>
                <w:rFonts w:cs="Times New Roman"/>
                <w:szCs w:val="24"/>
              </w:rPr>
              <w:t>s (including HIV) during vaginal intercourse for women whose partne</w:t>
            </w:r>
            <w:r>
              <w:rPr>
                <w:rFonts w:cs="Times New Roman"/>
                <w:szCs w:val="24"/>
              </w:rPr>
              <w:t>rs don't use latex male condom.</w:t>
            </w:r>
          </w:p>
        </w:tc>
      </w:tr>
      <w:tr w:rsidR="00223CE8" w:rsidRPr="00944B15" w14:paraId="4FD98765" w14:textId="77777777" w:rsidTr="002D6DD7">
        <w:tc>
          <w:tcPr>
            <w:tcW w:w="2695" w:type="dxa"/>
          </w:tcPr>
          <w:p w14:paraId="25A76132" w14:textId="77777777" w:rsidR="00223CE8" w:rsidRPr="00944B15" w:rsidRDefault="00223CE8" w:rsidP="002D6DD7">
            <w:pPr>
              <w:rPr>
                <w:rFonts w:cs="Times New Roman"/>
                <w:szCs w:val="24"/>
              </w:rPr>
            </w:pPr>
            <w:r>
              <w:rPr>
                <w:rFonts w:cs="Times New Roman"/>
                <w:szCs w:val="24"/>
              </w:rPr>
              <w:t xml:space="preserve">Dose and administration </w:t>
            </w:r>
          </w:p>
        </w:tc>
        <w:tc>
          <w:tcPr>
            <w:tcW w:w="6655" w:type="dxa"/>
          </w:tcPr>
          <w:p w14:paraId="21488558" w14:textId="77777777" w:rsidR="00223CE8" w:rsidRPr="00B02B85" w:rsidRDefault="00223CE8" w:rsidP="003D3F76">
            <w:pPr>
              <w:pStyle w:val="ListParagraph"/>
              <w:numPr>
                <w:ilvl w:val="0"/>
                <w:numId w:val="31"/>
              </w:numPr>
              <w:spacing w:line="360" w:lineRule="auto"/>
              <w:rPr>
                <w:szCs w:val="24"/>
              </w:rPr>
            </w:pPr>
            <w:r w:rsidRPr="00B02B85">
              <w:rPr>
                <w:szCs w:val="24"/>
              </w:rPr>
              <w:t xml:space="preserve">Hold the inner ring and insert the condom into the vagina. </w:t>
            </w:r>
          </w:p>
          <w:p w14:paraId="76305410" w14:textId="77777777" w:rsidR="00223CE8" w:rsidRPr="00B02B85" w:rsidRDefault="00223CE8" w:rsidP="003D3F76">
            <w:pPr>
              <w:pStyle w:val="ListParagraph"/>
              <w:numPr>
                <w:ilvl w:val="0"/>
                <w:numId w:val="31"/>
              </w:numPr>
              <w:spacing w:line="360" w:lineRule="auto"/>
              <w:rPr>
                <w:szCs w:val="24"/>
              </w:rPr>
            </w:pPr>
            <w:r w:rsidRPr="00B02B85">
              <w:rPr>
                <w:szCs w:val="24"/>
              </w:rPr>
              <w:t>Put a finger into the condom and push it as far into the vagina as possible. Make sure the outer ring stays outside the vagina.</w:t>
            </w:r>
          </w:p>
          <w:p w14:paraId="3715D483" w14:textId="77777777" w:rsidR="00223CE8" w:rsidRPr="00B02B85" w:rsidRDefault="00223CE8" w:rsidP="003D3F76">
            <w:pPr>
              <w:pStyle w:val="ListParagraph"/>
              <w:numPr>
                <w:ilvl w:val="0"/>
                <w:numId w:val="31"/>
              </w:numPr>
              <w:spacing w:line="360" w:lineRule="auto"/>
              <w:rPr>
                <w:szCs w:val="24"/>
              </w:rPr>
            </w:pPr>
            <w:r w:rsidRPr="00B02B85">
              <w:rPr>
                <w:szCs w:val="24"/>
              </w:rPr>
              <w:t>During sex, make sure the penis goes inside the condom.</w:t>
            </w:r>
          </w:p>
          <w:p w14:paraId="5B86723D" w14:textId="77777777" w:rsidR="00223CE8" w:rsidRPr="00B02B85" w:rsidRDefault="00223CE8" w:rsidP="003D3F76">
            <w:pPr>
              <w:pStyle w:val="ListParagraph"/>
              <w:numPr>
                <w:ilvl w:val="0"/>
                <w:numId w:val="31"/>
              </w:numPr>
              <w:spacing w:line="360" w:lineRule="auto"/>
              <w:rPr>
                <w:szCs w:val="24"/>
              </w:rPr>
            </w:pPr>
            <w:r w:rsidRPr="00B02B85">
              <w:rPr>
                <w:szCs w:val="24"/>
              </w:rPr>
              <w:t>After sex, twist the outer ring a few times to prevent semen leaking out when you remove the condom.</w:t>
            </w:r>
          </w:p>
        </w:tc>
      </w:tr>
      <w:tr w:rsidR="00223CE8" w:rsidRPr="00944B15" w14:paraId="5C93888F" w14:textId="77777777" w:rsidTr="002D6DD7">
        <w:tc>
          <w:tcPr>
            <w:tcW w:w="2695" w:type="dxa"/>
          </w:tcPr>
          <w:p w14:paraId="672C037B" w14:textId="77777777" w:rsidR="00223CE8" w:rsidRPr="00944B15" w:rsidRDefault="00223CE8" w:rsidP="002D6DD7">
            <w:pPr>
              <w:rPr>
                <w:rFonts w:cs="Times New Roman"/>
                <w:szCs w:val="24"/>
              </w:rPr>
            </w:pPr>
            <w:r>
              <w:rPr>
                <w:rFonts w:cs="Times New Roman"/>
                <w:szCs w:val="24"/>
              </w:rPr>
              <w:t xml:space="preserve">Contraindication  </w:t>
            </w:r>
          </w:p>
        </w:tc>
        <w:tc>
          <w:tcPr>
            <w:tcW w:w="6655" w:type="dxa"/>
          </w:tcPr>
          <w:p w14:paraId="1E8E8510" w14:textId="77777777" w:rsidR="00223CE8" w:rsidRPr="00944B15" w:rsidRDefault="00223CE8" w:rsidP="002D6DD7">
            <w:pPr>
              <w:jc w:val="both"/>
              <w:rPr>
                <w:rFonts w:cs="Times New Roman"/>
                <w:szCs w:val="24"/>
              </w:rPr>
            </w:pPr>
            <w:r>
              <w:rPr>
                <w:rFonts w:cs="Times New Roman"/>
                <w:szCs w:val="24"/>
              </w:rPr>
              <w:t>C</w:t>
            </w:r>
            <w:r w:rsidRPr="00302544">
              <w:rPr>
                <w:rFonts w:cs="Times New Roman"/>
                <w:szCs w:val="24"/>
              </w:rPr>
              <w:t>an't be used with dia</w:t>
            </w:r>
            <w:r>
              <w:rPr>
                <w:rFonts w:cs="Times New Roman"/>
                <w:szCs w:val="24"/>
              </w:rPr>
              <w:t>phragms, cervical caps or sponges.</w:t>
            </w:r>
          </w:p>
        </w:tc>
      </w:tr>
      <w:tr w:rsidR="00223CE8" w:rsidRPr="00944B15" w14:paraId="1784B0F7" w14:textId="77777777" w:rsidTr="002D6DD7">
        <w:tc>
          <w:tcPr>
            <w:tcW w:w="2695" w:type="dxa"/>
          </w:tcPr>
          <w:p w14:paraId="22EAB64F" w14:textId="77777777" w:rsidR="00223CE8" w:rsidRPr="00944B15" w:rsidRDefault="00223CE8" w:rsidP="002D6DD7">
            <w:pPr>
              <w:rPr>
                <w:rFonts w:cs="Times New Roman"/>
                <w:szCs w:val="24"/>
              </w:rPr>
            </w:pPr>
            <w:r>
              <w:rPr>
                <w:rFonts w:cs="Times New Roman"/>
                <w:szCs w:val="24"/>
              </w:rPr>
              <w:t xml:space="preserve">Drug interactions </w:t>
            </w:r>
          </w:p>
        </w:tc>
        <w:tc>
          <w:tcPr>
            <w:tcW w:w="6655" w:type="dxa"/>
          </w:tcPr>
          <w:p w14:paraId="2160BECE" w14:textId="77777777" w:rsidR="00223CE8" w:rsidRPr="00944B15" w:rsidRDefault="00223CE8" w:rsidP="002D6DD7">
            <w:pPr>
              <w:jc w:val="both"/>
              <w:rPr>
                <w:rFonts w:cs="Times New Roman"/>
                <w:szCs w:val="24"/>
              </w:rPr>
            </w:pPr>
            <w:r>
              <w:rPr>
                <w:rFonts w:cs="Times New Roman"/>
                <w:szCs w:val="24"/>
              </w:rPr>
              <w:t xml:space="preserve">There </w:t>
            </w:r>
            <w:r w:rsidR="007A6A02">
              <w:rPr>
                <w:rFonts w:cs="Times New Roman"/>
                <w:szCs w:val="24"/>
              </w:rPr>
              <w:t>is</w:t>
            </w:r>
            <w:r>
              <w:rPr>
                <w:rFonts w:cs="Times New Roman"/>
                <w:szCs w:val="24"/>
              </w:rPr>
              <w:t xml:space="preserve"> no significant interaction</w:t>
            </w:r>
            <w:r w:rsidR="007A6A02">
              <w:rPr>
                <w:rFonts w:cs="Times New Roman"/>
                <w:szCs w:val="24"/>
              </w:rPr>
              <w:t>.</w:t>
            </w:r>
          </w:p>
        </w:tc>
      </w:tr>
      <w:tr w:rsidR="00223CE8" w:rsidRPr="00944B15" w14:paraId="69C5C7DF" w14:textId="77777777" w:rsidTr="002D6DD7">
        <w:tc>
          <w:tcPr>
            <w:tcW w:w="2695" w:type="dxa"/>
          </w:tcPr>
          <w:p w14:paraId="5885BC2F" w14:textId="77777777" w:rsidR="00223CE8" w:rsidRPr="00944B15" w:rsidRDefault="00223CE8" w:rsidP="002D6DD7">
            <w:pPr>
              <w:rPr>
                <w:rFonts w:cs="Times New Roman"/>
                <w:szCs w:val="24"/>
              </w:rPr>
            </w:pPr>
            <w:r>
              <w:rPr>
                <w:rFonts w:cs="Times New Roman"/>
                <w:szCs w:val="24"/>
              </w:rPr>
              <w:t>Side effects</w:t>
            </w:r>
          </w:p>
        </w:tc>
        <w:tc>
          <w:tcPr>
            <w:tcW w:w="6655" w:type="dxa"/>
          </w:tcPr>
          <w:p w14:paraId="1D9149B8" w14:textId="77777777" w:rsidR="00223CE8" w:rsidRPr="00944B15" w:rsidRDefault="00223CE8" w:rsidP="002D6DD7">
            <w:pPr>
              <w:jc w:val="both"/>
              <w:rPr>
                <w:rFonts w:cs="Times New Roman"/>
                <w:szCs w:val="24"/>
              </w:rPr>
            </w:pPr>
            <w:r w:rsidRPr="00302544">
              <w:rPr>
                <w:rFonts w:cs="Times New Roman"/>
                <w:szCs w:val="24"/>
              </w:rPr>
              <w:t>Burning, stinging, warmth, itching, other irritation of the skin, rectum, or vagina, vaginal dryness</w:t>
            </w:r>
            <w:r>
              <w:rPr>
                <w:rFonts w:cs="Times New Roman"/>
                <w:szCs w:val="24"/>
              </w:rPr>
              <w:t xml:space="preserve"> or malodor, allergic vaginitis and </w:t>
            </w:r>
            <w:r w:rsidRPr="00302544">
              <w:rPr>
                <w:rFonts w:cs="Times New Roman"/>
                <w:szCs w:val="24"/>
              </w:rPr>
              <w:t>contact dermatitis.</w:t>
            </w:r>
          </w:p>
        </w:tc>
      </w:tr>
      <w:tr w:rsidR="00223CE8" w:rsidRPr="00944B15" w14:paraId="42C1DAE0" w14:textId="77777777" w:rsidTr="002D6DD7">
        <w:tc>
          <w:tcPr>
            <w:tcW w:w="2695" w:type="dxa"/>
          </w:tcPr>
          <w:p w14:paraId="6391A068" w14:textId="77777777" w:rsidR="00223CE8" w:rsidRDefault="00223CE8" w:rsidP="002D6DD7">
            <w:pPr>
              <w:rPr>
                <w:rFonts w:cs="Times New Roman"/>
                <w:szCs w:val="24"/>
              </w:rPr>
            </w:pPr>
            <w:r>
              <w:rPr>
                <w:rFonts w:cs="Times New Roman"/>
                <w:szCs w:val="24"/>
              </w:rPr>
              <w:t xml:space="preserve">Caution </w:t>
            </w:r>
          </w:p>
        </w:tc>
        <w:tc>
          <w:tcPr>
            <w:tcW w:w="6655" w:type="dxa"/>
          </w:tcPr>
          <w:p w14:paraId="64C3B349" w14:textId="77777777" w:rsidR="00223CE8" w:rsidRPr="00944B15" w:rsidRDefault="00223CE8" w:rsidP="002D6DD7">
            <w:pPr>
              <w:jc w:val="both"/>
              <w:rPr>
                <w:rFonts w:cs="Times New Roman"/>
                <w:szCs w:val="24"/>
              </w:rPr>
            </w:pPr>
            <w:r w:rsidRPr="00302544">
              <w:rPr>
                <w:rFonts w:cs="Times New Roman"/>
                <w:szCs w:val="24"/>
              </w:rPr>
              <w:t xml:space="preserve">Persons must be sufficiently counselled regarding the need for consistent and correct use of condoms if they are to be effective in preventing pregnancy. Condoms should be completely unrolled into the </w:t>
            </w:r>
            <w:r>
              <w:rPr>
                <w:rFonts w:cs="Times New Roman"/>
                <w:szCs w:val="24"/>
              </w:rPr>
              <w:t xml:space="preserve">vagina </w:t>
            </w:r>
            <w:r w:rsidRPr="00302544">
              <w:rPr>
                <w:rFonts w:cs="Times New Roman"/>
                <w:szCs w:val="24"/>
              </w:rPr>
              <w:t xml:space="preserve">before any genital contact occurs and remain intact </w:t>
            </w:r>
            <w:r w:rsidRPr="00302544">
              <w:rPr>
                <w:rFonts w:cs="Times New Roman"/>
                <w:szCs w:val="24"/>
              </w:rPr>
              <w:lastRenderedPageBreak/>
              <w:t>throughout intercourse</w:t>
            </w:r>
          </w:p>
        </w:tc>
      </w:tr>
      <w:tr w:rsidR="00223CE8" w:rsidRPr="00944B15" w14:paraId="1135FC27" w14:textId="77777777" w:rsidTr="002D6DD7">
        <w:tc>
          <w:tcPr>
            <w:tcW w:w="2695" w:type="dxa"/>
          </w:tcPr>
          <w:p w14:paraId="21F697AC" w14:textId="77777777" w:rsidR="00223CE8" w:rsidRDefault="00223CE8" w:rsidP="002D6DD7">
            <w:pPr>
              <w:rPr>
                <w:rFonts w:cs="Times New Roman"/>
                <w:szCs w:val="24"/>
              </w:rPr>
            </w:pPr>
            <w:r>
              <w:rPr>
                <w:rFonts w:cs="Times New Roman"/>
                <w:szCs w:val="24"/>
              </w:rPr>
              <w:lastRenderedPageBreak/>
              <w:t>Storage condition</w:t>
            </w:r>
          </w:p>
        </w:tc>
        <w:tc>
          <w:tcPr>
            <w:tcW w:w="6655" w:type="dxa"/>
          </w:tcPr>
          <w:p w14:paraId="0C25623A" w14:textId="77777777" w:rsidR="00223CE8" w:rsidRPr="00944B15" w:rsidRDefault="00223CE8" w:rsidP="002D6DD7">
            <w:pPr>
              <w:jc w:val="both"/>
              <w:rPr>
                <w:rFonts w:cs="Times New Roman"/>
                <w:szCs w:val="24"/>
              </w:rPr>
            </w:pPr>
            <w:r>
              <w:rPr>
                <w:rFonts w:cs="Times New Roman"/>
                <w:szCs w:val="24"/>
              </w:rPr>
              <w:t>Store below 30</w:t>
            </w:r>
            <w:r w:rsidRPr="00D76338">
              <w:rPr>
                <w:rFonts w:cs="Times New Roman"/>
                <w:szCs w:val="24"/>
                <w:vertAlign w:val="superscript"/>
              </w:rPr>
              <w:t>O</w:t>
            </w:r>
            <w:r>
              <w:rPr>
                <w:rFonts w:cs="Times New Roman"/>
                <w:szCs w:val="24"/>
              </w:rPr>
              <w:t>C. Protect from light.</w:t>
            </w:r>
          </w:p>
        </w:tc>
      </w:tr>
      <w:tr w:rsidR="00223CE8" w:rsidRPr="00944B15" w14:paraId="13CD884C" w14:textId="77777777" w:rsidTr="002D6DD7">
        <w:tc>
          <w:tcPr>
            <w:tcW w:w="9350" w:type="dxa"/>
            <w:gridSpan w:val="2"/>
          </w:tcPr>
          <w:p w14:paraId="5F1716AB" w14:textId="77777777" w:rsidR="00223CE8" w:rsidRPr="00944B15" w:rsidRDefault="00223CE8" w:rsidP="002D6DD7">
            <w:pPr>
              <w:rPr>
                <w:rFonts w:cs="Times New Roman"/>
                <w:szCs w:val="24"/>
              </w:rPr>
            </w:pPr>
            <w:r w:rsidRPr="00944B15">
              <w:rPr>
                <w:rFonts w:cs="Times New Roman"/>
                <w:b/>
                <w:szCs w:val="24"/>
              </w:rPr>
              <w:t xml:space="preserve">Levonorgestrel-releasing intrauterine system </w:t>
            </w:r>
          </w:p>
        </w:tc>
      </w:tr>
      <w:tr w:rsidR="00223CE8" w:rsidRPr="00944B15" w14:paraId="75A70F9B" w14:textId="77777777" w:rsidTr="002D6DD7">
        <w:tc>
          <w:tcPr>
            <w:tcW w:w="2695" w:type="dxa"/>
          </w:tcPr>
          <w:p w14:paraId="4EF28DD8"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4A388730" w14:textId="77777777" w:rsidR="00223CE8" w:rsidRPr="00944B15" w:rsidRDefault="00223CE8" w:rsidP="002D6DD7">
            <w:pPr>
              <w:rPr>
                <w:rFonts w:cs="Times New Roman"/>
                <w:szCs w:val="24"/>
              </w:rPr>
            </w:pPr>
            <w:r w:rsidRPr="00944B15">
              <w:rPr>
                <w:rFonts w:cs="Times New Roman"/>
                <w:szCs w:val="24"/>
              </w:rPr>
              <w:t>Progestin based contraceptive with device</w:t>
            </w:r>
          </w:p>
        </w:tc>
      </w:tr>
      <w:tr w:rsidR="00223CE8" w:rsidRPr="00944B15" w14:paraId="36D820D0" w14:textId="77777777" w:rsidTr="002D6DD7">
        <w:tc>
          <w:tcPr>
            <w:tcW w:w="2695" w:type="dxa"/>
          </w:tcPr>
          <w:p w14:paraId="250E9EFA"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3CF5A56D" w14:textId="77777777" w:rsidR="00223CE8" w:rsidRPr="00944B15" w:rsidRDefault="00223CE8" w:rsidP="002D6DD7">
            <w:pPr>
              <w:rPr>
                <w:rFonts w:cs="Times New Roman"/>
                <w:szCs w:val="24"/>
              </w:rPr>
            </w:pPr>
            <w:r w:rsidRPr="00944B15">
              <w:rPr>
                <w:rFonts w:eastAsia="Times New Roman" w:cs="Times New Roman"/>
                <w:szCs w:val="24"/>
              </w:rPr>
              <w:t>Intrauterine with reservoir containing 52mg of levonorestrel</w:t>
            </w:r>
          </w:p>
        </w:tc>
      </w:tr>
      <w:tr w:rsidR="00223CE8" w:rsidRPr="00944B15" w14:paraId="4E8AEECD" w14:textId="77777777" w:rsidTr="002D6DD7">
        <w:tc>
          <w:tcPr>
            <w:tcW w:w="2695" w:type="dxa"/>
          </w:tcPr>
          <w:p w14:paraId="1C6F99B7"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0068C645" w14:textId="77777777" w:rsidR="00223CE8" w:rsidRPr="00944B15" w:rsidRDefault="00223CE8" w:rsidP="002D6DD7">
            <w:pPr>
              <w:rPr>
                <w:rFonts w:cs="Times New Roman"/>
                <w:szCs w:val="24"/>
              </w:rPr>
            </w:pPr>
            <w:r w:rsidRPr="00944B15">
              <w:rPr>
                <w:rFonts w:cs="Times New Roman"/>
                <w:szCs w:val="24"/>
              </w:rPr>
              <w:t>Contraception</w:t>
            </w:r>
          </w:p>
        </w:tc>
      </w:tr>
      <w:tr w:rsidR="00223CE8" w:rsidRPr="00944B15" w14:paraId="2508DB20" w14:textId="77777777" w:rsidTr="002D6DD7">
        <w:tc>
          <w:tcPr>
            <w:tcW w:w="2695" w:type="dxa"/>
          </w:tcPr>
          <w:p w14:paraId="42F80EFB"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4163999C" w14:textId="77777777" w:rsidR="00223CE8" w:rsidRPr="00944B15" w:rsidRDefault="00223CE8" w:rsidP="002D6DD7">
            <w:pPr>
              <w:rPr>
                <w:rFonts w:cs="Times New Roman"/>
                <w:szCs w:val="24"/>
              </w:rPr>
            </w:pPr>
            <w:r w:rsidRPr="00944B15">
              <w:rPr>
                <w:rFonts w:cs="Times New Roman"/>
                <w:b/>
                <w:szCs w:val="24"/>
              </w:rPr>
              <w:t>Contraception</w:t>
            </w:r>
            <w:r w:rsidRPr="00944B15">
              <w:rPr>
                <w:rFonts w:cs="Times New Roman"/>
                <w:szCs w:val="24"/>
              </w:rPr>
              <w:t>: To be inserted into uterine cavity, within 7 days of onset of menstruation or immediately after 1st trimester abortion. If insertion occurs &gt;7 days after menstrual bleeding has started, a barrier method of contraception must be used for 7 days unless the patient abstains from sexual intercourse. It releases 20 micrograms of levonorgestrel/day over 5 years. May be removed and replaced with a new unit at any time during menstrual cycle.</w:t>
            </w:r>
          </w:p>
        </w:tc>
      </w:tr>
      <w:tr w:rsidR="00223CE8" w:rsidRPr="00944B15" w14:paraId="1DA53097" w14:textId="77777777" w:rsidTr="002D6DD7">
        <w:tc>
          <w:tcPr>
            <w:tcW w:w="2695" w:type="dxa"/>
          </w:tcPr>
          <w:p w14:paraId="5FCB3237"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11524EC9" w14:textId="77777777" w:rsidR="00223CE8" w:rsidRPr="00944B15" w:rsidRDefault="00223CE8" w:rsidP="002D6DD7">
            <w:pPr>
              <w:jc w:val="both"/>
              <w:rPr>
                <w:rFonts w:cs="Times New Roman"/>
                <w:szCs w:val="24"/>
              </w:rPr>
            </w:pPr>
            <w:r w:rsidRPr="00944B15">
              <w:rPr>
                <w:rFonts w:cs="Times New Roman"/>
                <w:szCs w:val="24"/>
              </w:rPr>
              <w:t>Pregnancy, active/history of pelvic inflammatory disease (PID), uterine anomalies or fibroids, abnormal uterine bleeding of unknown cause, cervitis, vaginitis, known breast cancer, active viral hepatitis, severe liver disease, liver tumors.</w:t>
            </w:r>
          </w:p>
        </w:tc>
      </w:tr>
      <w:tr w:rsidR="00223CE8" w:rsidRPr="00944B15" w14:paraId="2AE913FB" w14:textId="77777777" w:rsidTr="002D6DD7">
        <w:tc>
          <w:tcPr>
            <w:tcW w:w="2695" w:type="dxa"/>
          </w:tcPr>
          <w:p w14:paraId="6545D3D7"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42DCC7C8" w14:textId="77777777" w:rsidR="00223CE8" w:rsidRPr="00944B15" w:rsidRDefault="00223CE8" w:rsidP="002D6DD7">
            <w:pPr>
              <w:jc w:val="both"/>
              <w:rPr>
                <w:rFonts w:cs="Times New Roman"/>
                <w:szCs w:val="24"/>
              </w:rPr>
            </w:pPr>
            <w:r w:rsidRPr="00A85F23">
              <w:rPr>
                <w:rFonts w:cs="Times New Roman"/>
                <w:szCs w:val="24"/>
              </w:rPr>
              <w:t>Tranexamic acid, azole antifungals, macrolides, anti-epileptics, protease inhibitors and non-nucleoside reverse transcriptase inhibitors, dexamethason</w:t>
            </w:r>
            <w:r>
              <w:rPr>
                <w:rFonts w:cs="Times New Roman"/>
                <w:szCs w:val="24"/>
              </w:rPr>
              <w:t xml:space="preserve">e, griseofulvin, isotretinoin, </w:t>
            </w:r>
            <w:r w:rsidRPr="00A85F23">
              <w:rPr>
                <w:rFonts w:cs="Times New Roman"/>
                <w:szCs w:val="24"/>
              </w:rPr>
              <w:t>prednisolone, rifampicin, rifabutin, and St. John’s Wort.</w:t>
            </w:r>
          </w:p>
        </w:tc>
      </w:tr>
      <w:tr w:rsidR="00223CE8" w:rsidRPr="00944B15" w14:paraId="6C973D54" w14:textId="77777777" w:rsidTr="002D6DD7">
        <w:tc>
          <w:tcPr>
            <w:tcW w:w="2695" w:type="dxa"/>
          </w:tcPr>
          <w:p w14:paraId="4AB0533C"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6975F079" w14:textId="77777777" w:rsidR="00223CE8" w:rsidRPr="00944B15" w:rsidRDefault="00223CE8" w:rsidP="002D6DD7">
            <w:pPr>
              <w:jc w:val="both"/>
              <w:rPr>
                <w:rFonts w:cs="Times New Roman"/>
                <w:szCs w:val="24"/>
              </w:rPr>
            </w:pPr>
            <w:r w:rsidRPr="00944B15">
              <w:rPr>
                <w:rFonts w:cs="Times New Roman"/>
                <w:szCs w:val="24"/>
              </w:rPr>
              <w:t>Menstrual irregularities, headache, dizziness, lower abdominal pain, weight gain, acne, nausea, mood changes, breast tenderness, and loss of libido. Uterine perforation during insertion</w:t>
            </w:r>
          </w:p>
        </w:tc>
      </w:tr>
      <w:tr w:rsidR="00223CE8" w:rsidRPr="00944B15" w14:paraId="3C3DC609" w14:textId="77777777" w:rsidTr="002D6DD7">
        <w:tc>
          <w:tcPr>
            <w:tcW w:w="2695" w:type="dxa"/>
          </w:tcPr>
          <w:p w14:paraId="0118A486"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296C5676" w14:textId="77777777" w:rsidR="00223CE8" w:rsidRPr="00944B15" w:rsidRDefault="00223CE8" w:rsidP="002D6DD7">
            <w:pPr>
              <w:jc w:val="both"/>
              <w:rPr>
                <w:rFonts w:cs="Times New Roman"/>
                <w:szCs w:val="24"/>
              </w:rPr>
            </w:pPr>
            <w:r w:rsidRPr="00944B15">
              <w:rPr>
                <w:rFonts w:cs="Times New Roman"/>
                <w:szCs w:val="24"/>
              </w:rPr>
              <w:t>History of thromboembolism, migraine without aura, depression, gallbladder disease, diabetes mellitus, elevated cholesterol or triglycerides, breast nodules, breastfeeding (until weaning or for the first and less 6 months after birth)</w:t>
            </w:r>
            <w:r>
              <w:rPr>
                <w:rFonts w:cs="Times New Roman"/>
                <w:szCs w:val="24"/>
              </w:rPr>
              <w:t>,</w:t>
            </w:r>
            <w:r w:rsidRPr="00944B15">
              <w:rPr>
                <w:rFonts w:cs="Times New Roman"/>
                <w:szCs w:val="24"/>
              </w:rPr>
              <w:t xml:space="preserve"> Infections, pain or cramping </w:t>
            </w:r>
          </w:p>
        </w:tc>
      </w:tr>
      <w:tr w:rsidR="00223CE8" w:rsidRPr="00944B15" w14:paraId="0B59A177" w14:textId="77777777" w:rsidTr="002D6DD7">
        <w:tc>
          <w:tcPr>
            <w:tcW w:w="2695" w:type="dxa"/>
          </w:tcPr>
          <w:p w14:paraId="28E30C18"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2953B529" w14:textId="77777777" w:rsidR="00223CE8" w:rsidRPr="00944B15" w:rsidRDefault="00223CE8" w:rsidP="002D6DD7">
            <w:pPr>
              <w:rPr>
                <w:rFonts w:cs="Times New Roman"/>
                <w:szCs w:val="24"/>
              </w:rPr>
            </w:pPr>
            <w:r>
              <w:rPr>
                <w:rFonts w:cs="Times New Roman"/>
                <w:szCs w:val="24"/>
              </w:rPr>
              <w:t>Store below 30</w:t>
            </w:r>
            <w:r w:rsidRPr="00D76338">
              <w:rPr>
                <w:rFonts w:cs="Times New Roman"/>
                <w:szCs w:val="24"/>
                <w:vertAlign w:val="superscript"/>
              </w:rPr>
              <w:t>O</w:t>
            </w:r>
            <w:r>
              <w:rPr>
                <w:rFonts w:cs="Times New Roman"/>
                <w:szCs w:val="24"/>
              </w:rPr>
              <w:t>C. Protect from light and moisture.</w:t>
            </w:r>
          </w:p>
        </w:tc>
      </w:tr>
      <w:tr w:rsidR="00223CE8" w:rsidRPr="00944B15" w14:paraId="33FEC7A8" w14:textId="77777777" w:rsidTr="002D6DD7">
        <w:trPr>
          <w:trHeight w:val="350"/>
        </w:trPr>
        <w:tc>
          <w:tcPr>
            <w:tcW w:w="9350" w:type="dxa"/>
            <w:gridSpan w:val="2"/>
          </w:tcPr>
          <w:p w14:paraId="08941538" w14:textId="77777777" w:rsidR="00223CE8" w:rsidRPr="00944B15" w:rsidRDefault="00223CE8" w:rsidP="002D6DD7">
            <w:pPr>
              <w:rPr>
                <w:rFonts w:cs="Times New Roman"/>
                <w:b/>
                <w:szCs w:val="24"/>
              </w:rPr>
            </w:pPr>
            <w:r w:rsidRPr="00944B15">
              <w:rPr>
                <w:rFonts w:cs="Times New Roman"/>
                <w:b/>
                <w:szCs w:val="24"/>
              </w:rPr>
              <w:lastRenderedPageBreak/>
              <w:t>Copper T380A</w:t>
            </w:r>
          </w:p>
        </w:tc>
      </w:tr>
      <w:tr w:rsidR="00223CE8" w:rsidRPr="00944B15" w14:paraId="14A6EFDA" w14:textId="77777777" w:rsidTr="002D6DD7">
        <w:tc>
          <w:tcPr>
            <w:tcW w:w="2695" w:type="dxa"/>
          </w:tcPr>
          <w:p w14:paraId="503E485B"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006A9A1D" w14:textId="77777777" w:rsidR="00223CE8" w:rsidRPr="00944B15" w:rsidRDefault="00223CE8" w:rsidP="002D6DD7">
            <w:pPr>
              <w:rPr>
                <w:rFonts w:cs="Times New Roman"/>
                <w:szCs w:val="24"/>
              </w:rPr>
            </w:pPr>
            <w:r>
              <w:rPr>
                <w:rFonts w:cs="Times New Roman"/>
                <w:szCs w:val="24"/>
              </w:rPr>
              <w:t>Intrauterine device (IUD), n</w:t>
            </w:r>
            <w:r w:rsidRPr="00944B15">
              <w:rPr>
                <w:rFonts w:cs="Times New Roman"/>
                <w:szCs w:val="24"/>
              </w:rPr>
              <w:t xml:space="preserve">on-hormonal contraceptive </w:t>
            </w:r>
          </w:p>
        </w:tc>
      </w:tr>
      <w:tr w:rsidR="00223CE8" w:rsidRPr="00944B15" w14:paraId="46BD8F72" w14:textId="77777777" w:rsidTr="002D6DD7">
        <w:tc>
          <w:tcPr>
            <w:tcW w:w="2695" w:type="dxa"/>
          </w:tcPr>
          <w:p w14:paraId="634C4334"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7FBB1264" w14:textId="77777777" w:rsidR="00223CE8" w:rsidRPr="00944B15" w:rsidRDefault="00223CE8" w:rsidP="002D6DD7">
            <w:pPr>
              <w:rPr>
                <w:rFonts w:cs="Times New Roman"/>
                <w:szCs w:val="24"/>
              </w:rPr>
            </w:pPr>
            <w:r w:rsidRPr="00944B15">
              <w:rPr>
                <w:rFonts w:cs="Times New Roman"/>
                <w:szCs w:val="24"/>
              </w:rPr>
              <w:t>-</w:t>
            </w:r>
          </w:p>
        </w:tc>
      </w:tr>
      <w:tr w:rsidR="00223CE8" w:rsidRPr="00944B15" w14:paraId="70193850" w14:textId="77777777" w:rsidTr="002D6DD7">
        <w:tc>
          <w:tcPr>
            <w:tcW w:w="2695" w:type="dxa"/>
          </w:tcPr>
          <w:p w14:paraId="7134F1D6"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172E8E63" w14:textId="77777777" w:rsidR="00223CE8" w:rsidRPr="00944B15" w:rsidRDefault="00223CE8" w:rsidP="002D6DD7">
            <w:pPr>
              <w:jc w:val="both"/>
              <w:rPr>
                <w:rFonts w:cs="Times New Roman"/>
                <w:szCs w:val="24"/>
              </w:rPr>
            </w:pPr>
            <w:r w:rsidRPr="00944B15">
              <w:rPr>
                <w:rFonts w:cs="Times New Roman"/>
                <w:szCs w:val="24"/>
              </w:rPr>
              <w:t>For prevention of pregnancy</w:t>
            </w:r>
          </w:p>
        </w:tc>
      </w:tr>
      <w:tr w:rsidR="00223CE8" w:rsidRPr="00944B15" w14:paraId="245BE3DE" w14:textId="77777777" w:rsidTr="002D6DD7">
        <w:tc>
          <w:tcPr>
            <w:tcW w:w="2695" w:type="dxa"/>
          </w:tcPr>
          <w:p w14:paraId="129258CA"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1364FD73" w14:textId="77777777" w:rsidR="00223CE8" w:rsidRPr="00944B15" w:rsidRDefault="00223CE8" w:rsidP="002D6DD7">
            <w:pPr>
              <w:rPr>
                <w:rFonts w:cs="Times New Roman"/>
                <w:szCs w:val="24"/>
              </w:rPr>
            </w:pPr>
            <w:r w:rsidRPr="00944B15">
              <w:rPr>
                <w:rFonts w:cs="Times New Roman"/>
                <w:szCs w:val="24"/>
              </w:rPr>
              <w:t>The device is inserted into the uterine cavity via the cervical canal. Provides contraception for up to 10 years</w:t>
            </w:r>
          </w:p>
        </w:tc>
      </w:tr>
      <w:tr w:rsidR="00223CE8" w:rsidRPr="00944B15" w14:paraId="15B2CC4D" w14:textId="77777777" w:rsidTr="002D6DD7">
        <w:tc>
          <w:tcPr>
            <w:tcW w:w="2695" w:type="dxa"/>
          </w:tcPr>
          <w:p w14:paraId="7441933D"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12BA71F7" w14:textId="77777777" w:rsidR="00223CE8" w:rsidRPr="00944B15" w:rsidRDefault="00223CE8" w:rsidP="002D6DD7">
            <w:pPr>
              <w:jc w:val="both"/>
              <w:rPr>
                <w:rFonts w:cs="Times New Roman"/>
                <w:szCs w:val="24"/>
              </w:rPr>
            </w:pPr>
            <w:r w:rsidRPr="00944B15">
              <w:rPr>
                <w:rFonts w:cs="Times New Roman"/>
                <w:szCs w:val="24"/>
              </w:rPr>
              <w:t xml:space="preserve">Pregnancy, active pelvic inflammatory disease (PID), postpartum endometritis or infected abortion in the past 3 months, </w:t>
            </w:r>
            <w:r>
              <w:rPr>
                <w:rFonts w:cs="Times New Roman"/>
                <w:szCs w:val="24"/>
              </w:rPr>
              <w:t>k</w:t>
            </w:r>
            <w:r w:rsidRPr="00944B15">
              <w:rPr>
                <w:rFonts w:cs="Times New Roman"/>
                <w:szCs w:val="24"/>
              </w:rPr>
              <w:t xml:space="preserve">nown or suspected uterine or cervical cancer, </w:t>
            </w:r>
            <w:r>
              <w:rPr>
                <w:rFonts w:cs="Times New Roman"/>
                <w:szCs w:val="24"/>
              </w:rPr>
              <w:t>u</w:t>
            </w:r>
            <w:r w:rsidRPr="00944B15">
              <w:rPr>
                <w:rFonts w:cs="Times New Roman"/>
                <w:szCs w:val="24"/>
              </w:rPr>
              <w:t>nexplained vaginal bleeding</w:t>
            </w:r>
            <w:r>
              <w:rPr>
                <w:rFonts w:cs="Times New Roman"/>
                <w:szCs w:val="24"/>
              </w:rPr>
              <w:t>,</w:t>
            </w:r>
            <w:r w:rsidRPr="00944B15">
              <w:rPr>
                <w:rFonts w:cs="Times New Roman"/>
                <w:szCs w:val="24"/>
              </w:rPr>
              <w:t xml:space="preserve"> </w:t>
            </w:r>
            <w:r>
              <w:rPr>
                <w:rFonts w:cs="Times New Roman"/>
                <w:szCs w:val="24"/>
              </w:rPr>
              <w:t>u</w:t>
            </w:r>
            <w:r w:rsidRPr="00944B15">
              <w:rPr>
                <w:rFonts w:cs="Times New Roman"/>
                <w:szCs w:val="24"/>
              </w:rPr>
              <w:t xml:space="preserve">terine abnormalities (e.g., fibroids) that distort the uterine cavity, </w:t>
            </w:r>
            <w:r>
              <w:rPr>
                <w:rFonts w:cs="Times New Roman"/>
                <w:szCs w:val="24"/>
              </w:rPr>
              <w:t>w</w:t>
            </w:r>
            <w:r w:rsidRPr="00944B15">
              <w:rPr>
                <w:rFonts w:cs="Times New Roman"/>
                <w:szCs w:val="24"/>
              </w:rPr>
              <w:t xml:space="preserve">ilson's disease or copper allergy, </w:t>
            </w:r>
            <w:r>
              <w:rPr>
                <w:rFonts w:cs="Times New Roman"/>
                <w:szCs w:val="24"/>
              </w:rPr>
              <w:t>a</w:t>
            </w:r>
            <w:r w:rsidRPr="00944B15">
              <w:rPr>
                <w:rFonts w:cs="Times New Roman"/>
                <w:szCs w:val="24"/>
              </w:rPr>
              <w:t>ctive sexually transmitted infections (STIs) such as mucopurulent cervicitis</w:t>
            </w:r>
          </w:p>
        </w:tc>
      </w:tr>
      <w:tr w:rsidR="00223CE8" w:rsidRPr="00944B15" w14:paraId="03D54E8A" w14:textId="77777777" w:rsidTr="002D6DD7">
        <w:tc>
          <w:tcPr>
            <w:tcW w:w="2695" w:type="dxa"/>
          </w:tcPr>
          <w:p w14:paraId="075468F6"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4C4B67AE" w14:textId="77777777" w:rsidR="00223CE8" w:rsidRPr="00944B15" w:rsidRDefault="00223CE8" w:rsidP="002D6DD7">
            <w:pPr>
              <w:rPr>
                <w:rFonts w:cs="Times New Roman"/>
                <w:szCs w:val="24"/>
              </w:rPr>
            </w:pPr>
            <w:r>
              <w:rPr>
                <w:rFonts w:cs="Times New Roman"/>
                <w:szCs w:val="24"/>
              </w:rPr>
              <w:t>There are no</w:t>
            </w:r>
            <w:r w:rsidRPr="00944B15">
              <w:rPr>
                <w:rFonts w:cs="Times New Roman"/>
                <w:szCs w:val="24"/>
              </w:rPr>
              <w:t xml:space="preserve"> known drug interactions </w:t>
            </w:r>
          </w:p>
        </w:tc>
      </w:tr>
      <w:tr w:rsidR="00223CE8" w:rsidRPr="00944B15" w14:paraId="21FD521B" w14:textId="77777777" w:rsidTr="002D6DD7">
        <w:tc>
          <w:tcPr>
            <w:tcW w:w="2695" w:type="dxa"/>
          </w:tcPr>
          <w:p w14:paraId="2932ACD2"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181CBFF8" w14:textId="77777777" w:rsidR="00223CE8" w:rsidRPr="00944B15" w:rsidRDefault="00223CE8" w:rsidP="002D6DD7">
            <w:pPr>
              <w:jc w:val="both"/>
              <w:rPr>
                <w:rFonts w:cs="Times New Roman"/>
                <w:szCs w:val="24"/>
              </w:rPr>
            </w:pPr>
            <w:r w:rsidRPr="00944B15">
              <w:rPr>
                <w:rFonts w:cs="Times New Roman"/>
                <w:szCs w:val="24"/>
              </w:rPr>
              <w:t>Uterine or cervical perforation, displacement, pelvic infection may be exacerbated, some pain on</w:t>
            </w:r>
            <w:r>
              <w:rPr>
                <w:rFonts w:cs="Times New Roman"/>
                <w:szCs w:val="24"/>
              </w:rPr>
              <w:t xml:space="preserve"> insertion</w:t>
            </w:r>
            <w:r w:rsidRPr="00944B15">
              <w:rPr>
                <w:rFonts w:cs="Times New Roman"/>
                <w:szCs w:val="24"/>
              </w:rPr>
              <w:t xml:space="preserve">, </w:t>
            </w:r>
            <w:r>
              <w:rPr>
                <w:rFonts w:cs="Times New Roman"/>
                <w:szCs w:val="24"/>
              </w:rPr>
              <w:t>occasional</w:t>
            </w:r>
            <w:r w:rsidRPr="00944B15">
              <w:rPr>
                <w:rFonts w:cs="Times New Roman"/>
                <w:szCs w:val="24"/>
              </w:rPr>
              <w:t xml:space="preserve"> bleeding, seizures</w:t>
            </w:r>
            <w:r>
              <w:rPr>
                <w:rFonts w:cs="Times New Roman"/>
                <w:szCs w:val="24"/>
              </w:rPr>
              <w:t xml:space="preserve"> and </w:t>
            </w:r>
            <w:r w:rsidRPr="00944B15">
              <w:rPr>
                <w:rFonts w:cs="Times New Roman"/>
                <w:szCs w:val="24"/>
              </w:rPr>
              <w:t>vasovagal attack</w:t>
            </w:r>
            <w:r>
              <w:t xml:space="preserve">, </w:t>
            </w:r>
            <w:r w:rsidRPr="00514303">
              <w:rPr>
                <w:rFonts w:cs="Times New Roman"/>
                <w:szCs w:val="24"/>
              </w:rPr>
              <w:t xml:space="preserve">lower </w:t>
            </w:r>
            <w:r>
              <w:rPr>
                <w:rFonts w:cs="Times New Roman"/>
                <w:szCs w:val="24"/>
              </w:rPr>
              <w:t>a</w:t>
            </w:r>
            <w:r w:rsidRPr="00514303">
              <w:rPr>
                <w:rFonts w:cs="Times New Roman"/>
                <w:szCs w:val="24"/>
              </w:rPr>
              <w:t>bdominal pain</w:t>
            </w:r>
            <w:r>
              <w:rPr>
                <w:rFonts w:cs="Times New Roman"/>
                <w:szCs w:val="24"/>
              </w:rPr>
              <w:t>, anaemia,</w:t>
            </w:r>
            <w:r w:rsidRPr="00514303">
              <w:rPr>
                <w:rFonts w:cs="Times New Roman"/>
                <w:szCs w:val="24"/>
              </w:rPr>
              <w:t xml:space="preserve"> back pain; device complications; menstrual cycle irregulariti</w:t>
            </w:r>
            <w:r>
              <w:rPr>
                <w:rFonts w:cs="Times New Roman"/>
                <w:szCs w:val="24"/>
              </w:rPr>
              <w:t>es; pelvic inflammatory disease,</w:t>
            </w:r>
            <w:r w:rsidRPr="00514303">
              <w:rPr>
                <w:rFonts w:cs="Times New Roman"/>
                <w:szCs w:val="24"/>
              </w:rPr>
              <w:t xml:space="preserve"> uterine injuries</w:t>
            </w:r>
            <w:r>
              <w:rPr>
                <w:rFonts w:cs="Times New Roman"/>
                <w:szCs w:val="24"/>
              </w:rPr>
              <w:t xml:space="preserve"> and allergy.</w:t>
            </w:r>
          </w:p>
        </w:tc>
      </w:tr>
      <w:tr w:rsidR="00223CE8" w:rsidRPr="00944B15" w14:paraId="6EA8DDE6" w14:textId="77777777" w:rsidTr="002D6DD7">
        <w:tc>
          <w:tcPr>
            <w:tcW w:w="2695" w:type="dxa"/>
          </w:tcPr>
          <w:p w14:paraId="0E439474"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51A2D3EC" w14:textId="77777777" w:rsidR="00223CE8" w:rsidRPr="00944B15" w:rsidRDefault="00223CE8" w:rsidP="002D6DD7">
            <w:pPr>
              <w:jc w:val="both"/>
              <w:rPr>
                <w:rFonts w:cs="Times New Roman"/>
                <w:szCs w:val="24"/>
              </w:rPr>
            </w:pPr>
            <w:r w:rsidRPr="00944B15">
              <w:rPr>
                <w:rFonts w:cs="Times New Roman"/>
                <w:szCs w:val="24"/>
              </w:rPr>
              <w:t>Anemia, heavy menses, history of PID, diabetes, valvular heart disease</w:t>
            </w:r>
            <w:r>
              <w:rPr>
                <w:rFonts w:cs="Times New Roman"/>
                <w:szCs w:val="24"/>
              </w:rPr>
              <w:t>, endometriosis,</w:t>
            </w:r>
            <w:r w:rsidRPr="00514303">
              <w:rPr>
                <w:rFonts w:cs="Times New Roman"/>
                <w:szCs w:val="24"/>
              </w:rPr>
              <w:t xml:space="preserve"> epilepsy, </w:t>
            </w:r>
            <w:r w:rsidRPr="00D76338">
              <w:rPr>
                <w:rFonts w:cs="Times New Roman"/>
                <w:szCs w:val="24"/>
              </w:rPr>
              <w:t>s</w:t>
            </w:r>
            <w:r w:rsidRPr="00514303">
              <w:rPr>
                <w:rFonts w:cs="Times New Roman"/>
                <w:szCs w:val="24"/>
              </w:rPr>
              <w:t>evere primary dysmenorrhoea</w:t>
            </w:r>
            <w:r w:rsidRPr="00514303" w:rsidDel="00514303">
              <w:rPr>
                <w:rFonts w:cs="Times New Roman"/>
                <w:szCs w:val="24"/>
              </w:rPr>
              <w:t xml:space="preserve"> </w:t>
            </w:r>
          </w:p>
        </w:tc>
      </w:tr>
      <w:tr w:rsidR="00223CE8" w:rsidRPr="00944B15" w14:paraId="26D97A85" w14:textId="77777777" w:rsidTr="002D6DD7">
        <w:tc>
          <w:tcPr>
            <w:tcW w:w="2695" w:type="dxa"/>
          </w:tcPr>
          <w:p w14:paraId="5F55A03D"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72F11C59" w14:textId="77777777" w:rsidR="00223CE8" w:rsidRPr="00944B15" w:rsidRDefault="00223CE8" w:rsidP="002D6DD7">
            <w:pPr>
              <w:rPr>
                <w:rFonts w:cs="Times New Roman"/>
                <w:szCs w:val="24"/>
              </w:rPr>
            </w:pPr>
            <w:r>
              <w:rPr>
                <w:rFonts w:cs="Times New Roman"/>
                <w:szCs w:val="24"/>
              </w:rPr>
              <w:t>Store below 30</w:t>
            </w:r>
            <w:r w:rsidRPr="00D76338">
              <w:rPr>
                <w:rFonts w:cs="Times New Roman"/>
                <w:szCs w:val="24"/>
                <w:vertAlign w:val="superscript"/>
              </w:rPr>
              <w:t>O</w:t>
            </w:r>
            <w:r>
              <w:rPr>
                <w:rFonts w:cs="Times New Roman"/>
                <w:szCs w:val="24"/>
              </w:rPr>
              <w:t>C. Protect from light.</w:t>
            </w:r>
          </w:p>
        </w:tc>
      </w:tr>
    </w:tbl>
    <w:p w14:paraId="003E0149" w14:textId="77777777" w:rsidR="00223CE8" w:rsidRDefault="00223CE8" w:rsidP="00223CE8">
      <w:pPr>
        <w:spacing w:after="0"/>
        <w:rPr>
          <w:rFonts w:cs="Times New Roman"/>
          <w:b/>
          <w:szCs w:val="24"/>
        </w:rPr>
      </w:pPr>
    </w:p>
    <w:p w14:paraId="65C3ED23" w14:textId="77777777" w:rsidR="00223CE8" w:rsidRPr="007A6A02" w:rsidRDefault="00223CE8" w:rsidP="007A6A02">
      <w:pPr>
        <w:rPr>
          <w:b/>
        </w:rPr>
      </w:pPr>
      <w:r w:rsidRPr="007A6A02">
        <w:rPr>
          <w:b/>
        </w:rPr>
        <w:t>Implantable contraceptives</w:t>
      </w:r>
    </w:p>
    <w:tbl>
      <w:tblPr>
        <w:tblStyle w:val="TableGrid"/>
        <w:tblW w:w="0" w:type="auto"/>
        <w:jc w:val="center"/>
        <w:tblLook w:val="04A0" w:firstRow="1" w:lastRow="0" w:firstColumn="1" w:lastColumn="0" w:noHBand="0" w:noVBand="1"/>
      </w:tblPr>
      <w:tblGrid>
        <w:gridCol w:w="2695"/>
        <w:gridCol w:w="6655"/>
      </w:tblGrid>
      <w:tr w:rsidR="00223CE8" w:rsidRPr="00944B15" w14:paraId="03D30974" w14:textId="77777777" w:rsidTr="002D6DD7">
        <w:trPr>
          <w:jc w:val="center"/>
        </w:trPr>
        <w:tc>
          <w:tcPr>
            <w:tcW w:w="9350" w:type="dxa"/>
            <w:gridSpan w:val="2"/>
          </w:tcPr>
          <w:p w14:paraId="286D4A95" w14:textId="77777777" w:rsidR="00223CE8" w:rsidRPr="00944B15" w:rsidRDefault="00223CE8" w:rsidP="002D6DD7">
            <w:pPr>
              <w:rPr>
                <w:rFonts w:cs="Times New Roman"/>
                <w:b/>
                <w:szCs w:val="24"/>
              </w:rPr>
            </w:pPr>
            <w:r w:rsidRPr="00944B15">
              <w:rPr>
                <w:rFonts w:cs="Times New Roman"/>
                <w:b/>
                <w:szCs w:val="24"/>
              </w:rPr>
              <w:t xml:space="preserve">Etonogestrel-releasing implant </w:t>
            </w:r>
          </w:p>
        </w:tc>
      </w:tr>
      <w:tr w:rsidR="00223CE8" w:rsidRPr="00944B15" w14:paraId="783F09CD" w14:textId="77777777" w:rsidTr="002D6DD7">
        <w:trPr>
          <w:trHeight w:val="710"/>
          <w:jc w:val="center"/>
        </w:trPr>
        <w:tc>
          <w:tcPr>
            <w:tcW w:w="2695" w:type="dxa"/>
          </w:tcPr>
          <w:p w14:paraId="521E5A04"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7170321A" w14:textId="77777777" w:rsidR="00223CE8" w:rsidRPr="00944B15" w:rsidRDefault="00223CE8" w:rsidP="002D6DD7">
            <w:pPr>
              <w:rPr>
                <w:rFonts w:cs="Times New Roman"/>
                <w:szCs w:val="24"/>
              </w:rPr>
            </w:pPr>
            <w:r w:rsidRPr="00944B15">
              <w:rPr>
                <w:rFonts w:cs="Times New Roman"/>
                <w:szCs w:val="24"/>
              </w:rPr>
              <w:t>Progestin-only contraceptive</w:t>
            </w:r>
          </w:p>
        </w:tc>
      </w:tr>
      <w:tr w:rsidR="00223CE8" w:rsidRPr="00944B15" w14:paraId="0E7D13CB" w14:textId="77777777" w:rsidTr="002D6DD7">
        <w:trPr>
          <w:jc w:val="center"/>
        </w:trPr>
        <w:tc>
          <w:tcPr>
            <w:tcW w:w="2695" w:type="dxa"/>
          </w:tcPr>
          <w:p w14:paraId="2567EF24"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1F4E00B0" w14:textId="77777777" w:rsidR="00223CE8" w:rsidRPr="00944B15" w:rsidRDefault="00223CE8" w:rsidP="002D6DD7">
            <w:pPr>
              <w:rPr>
                <w:rFonts w:cs="Times New Roman"/>
                <w:szCs w:val="24"/>
              </w:rPr>
            </w:pPr>
            <w:r w:rsidRPr="00944B15">
              <w:rPr>
                <w:rFonts w:eastAsia="Times New Roman" w:cs="Times New Roman"/>
                <w:szCs w:val="24"/>
              </w:rPr>
              <w:t>Single-rod shaped etonogestrel-releasing implant; containing 68 mg of etonogestrel.</w:t>
            </w:r>
          </w:p>
        </w:tc>
      </w:tr>
      <w:tr w:rsidR="00223CE8" w:rsidRPr="00944B15" w14:paraId="5EA4FDD5" w14:textId="77777777" w:rsidTr="002D6DD7">
        <w:trPr>
          <w:jc w:val="center"/>
        </w:trPr>
        <w:tc>
          <w:tcPr>
            <w:tcW w:w="2695" w:type="dxa"/>
          </w:tcPr>
          <w:p w14:paraId="6F6CFA88"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42D41E8E" w14:textId="77777777" w:rsidR="00223CE8" w:rsidRPr="00944B15" w:rsidRDefault="00223CE8" w:rsidP="002D6DD7">
            <w:pPr>
              <w:rPr>
                <w:rFonts w:cs="Times New Roman"/>
                <w:szCs w:val="24"/>
              </w:rPr>
            </w:pPr>
            <w:r w:rsidRPr="00944B15">
              <w:rPr>
                <w:rFonts w:cs="Times New Roman"/>
                <w:szCs w:val="24"/>
              </w:rPr>
              <w:t>Contraception (long term)</w:t>
            </w:r>
          </w:p>
        </w:tc>
      </w:tr>
      <w:tr w:rsidR="00223CE8" w:rsidRPr="00944B15" w14:paraId="31E26EDA" w14:textId="77777777" w:rsidTr="002D6DD7">
        <w:trPr>
          <w:jc w:val="center"/>
        </w:trPr>
        <w:tc>
          <w:tcPr>
            <w:tcW w:w="2695" w:type="dxa"/>
          </w:tcPr>
          <w:p w14:paraId="7AAAC2D2"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0400E874" w14:textId="77777777" w:rsidR="00223CE8" w:rsidRPr="00944B15" w:rsidRDefault="00223CE8" w:rsidP="002D6DD7">
            <w:pPr>
              <w:jc w:val="both"/>
              <w:rPr>
                <w:rFonts w:cs="Times New Roman"/>
                <w:szCs w:val="24"/>
              </w:rPr>
            </w:pPr>
            <w:r w:rsidRPr="00944B15">
              <w:rPr>
                <w:rFonts w:cs="Times New Roman"/>
                <w:b/>
                <w:szCs w:val="24"/>
              </w:rPr>
              <w:t>Subdermal implantation</w:t>
            </w:r>
            <w:r w:rsidRPr="00944B15">
              <w:rPr>
                <w:rFonts w:cs="Times New Roman"/>
                <w:szCs w:val="24"/>
              </w:rPr>
              <w:t xml:space="preserve">: 1 implant inserted during first 5 days </w:t>
            </w:r>
            <w:r w:rsidRPr="00944B15">
              <w:rPr>
                <w:rFonts w:cs="Times New Roman"/>
                <w:szCs w:val="24"/>
              </w:rPr>
              <w:lastRenderedPageBreak/>
              <w:t>of cycle. It must be removed no later than by the end of the third year.</w:t>
            </w:r>
          </w:p>
        </w:tc>
      </w:tr>
      <w:tr w:rsidR="00223CE8" w:rsidRPr="00944B15" w14:paraId="30868E53" w14:textId="77777777" w:rsidTr="002D6DD7">
        <w:trPr>
          <w:jc w:val="center"/>
        </w:trPr>
        <w:tc>
          <w:tcPr>
            <w:tcW w:w="2695" w:type="dxa"/>
          </w:tcPr>
          <w:p w14:paraId="56C36A53"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655" w:type="dxa"/>
          </w:tcPr>
          <w:p w14:paraId="21D2D6C9" w14:textId="77777777" w:rsidR="00223CE8" w:rsidRPr="00944B15" w:rsidRDefault="00223CE8" w:rsidP="002D6DD7">
            <w:pPr>
              <w:jc w:val="both"/>
              <w:rPr>
                <w:rFonts w:cs="Times New Roman"/>
                <w:szCs w:val="24"/>
              </w:rPr>
            </w:pPr>
            <w:r w:rsidRPr="00944B15">
              <w:rPr>
                <w:rFonts w:cs="Times New Roman"/>
                <w:szCs w:val="24"/>
              </w:rPr>
              <w:t>Pregnancy, thromboembolic disorders, unexplained vaginal bleeding, breast cancer, active viral hepatitis, severe liver disease, liver tumors, Allergic reaction to any of the components</w:t>
            </w:r>
          </w:p>
        </w:tc>
      </w:tr>
      <w:tr w:rsidR="00223CE8" w:rsidRPr="00944B15" w14:paraId="16B93034" w14:textId="77777777" w:rsidTr="002D6DD7">
        <w:trPr>
          <w:jc w:val="center"/>
        </w:trPr>
        <w:tc>
          <w:tcPr>
            <w:tcW w:w="2695" w:type="dxa"/>
          </w:tcPr>
          <w:p w14:paraId="350ECD8F"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13F0C4C3" w14:textId="77777777" w:rsidR="00223CE8" w:rsidRPr="00944B15" w:rsidRDefault="00223CE8" w:rsidP="002D6DD7">
            <w:pPr>
              <w:jc w:val="both"/>
              <w:rPr>
                <w:rFonts w:cs="Times New Roman"/>
                <w:szCs w:val="24"/>
              </w:rPr>
            </w:pPr>
            <w:r w:rsidRPr="00944B15">
              <w:rPr>
                <w:rFonts w:cs="Times New Roman"/>
                <w:szCs w:val="24"/>
              </w:rPr>
              <w:t>Barbiturates,</w:t>
            </w:r>
            <w:r>
              <w:rPr>
                <w:rFonts w:cs="Times New Roman"/>
                <w:szCs w:val="24"/>
              </w:rPr>
              <w:t xml:space="preserve"> azole antifungals,</w:t>
            </w:r>
            <w:r w:rsidRPr="00944B15">
              <w:rPr>
                <w:rFonts w:cs="Times New Roman"/>
                <w:szCs w:val="24"/>
              </w:rPr>
              <w:t xml:space="preserve"> carbamazepine, phenytoin, primidone, rifampicin,</w:t>
            </w:r>
            <w:r>
              <w:rPr>
                <w:rFonts w:cs="Times New Roman"/>
                <w:szCs w:val="24"/>
              </w:rPr>
              <w:t xml:space="preserve"> </w:t>
            </w:r>
            <w:r w:rsidRPr="00944B15">
              <w:rPr>
                <w:rFonts w:cs="Times New Roman"/>
                <w:szCs w:val="24"/>
              </w:rPr>
              <w:t>ritonavir, efavirenz, nevirapine felbamate, griseofulvin, oxcarbazepine, topiramate</w:t>
            </w:r>
            <w:r>
              <w:rPr>
                <w:rFonts w:cs="Times New Roman"/>
                <w:szCs w:val="24"/>
              </w:rPr>
              <w:t xml:space="preserve">, </w:t>
            </w:r>
            <w:r w:rsidRPr="00944B15">
              <w:rPr>
                <w:rFonts w:cs="Times New Roman"/>
                <w:szCs w:val="24"/>
              </w:rPr>
              <w:t>St. John's Wort, clarithromycin</w:t>
            </w:r>
            <w:r>
              <w:rPr>
                <w:rFonts w:cs="Times New Roman"/>
                <w:szCs w:val="24"/>
              </w:rPr>
              <w:t xml:space="preserve">, </w:t>
            </w:r>
            <w:r w:rsidRPr="00944B15">
              <w:rPr>
                <w:rFonts w:cs="Times New Roman"/>
                <w:szCs w:val="24"/>
              </w:rPr>
              <w:t xml:space="preserve">erythromycin </w:t>
            </w:r>
            <w:r>
              <w:rPr>
                <w:rFonts w:cs="Times New Roman"/>
                <w:szCs w:val="24"/>
              </w:rPr>
              <w:t xml:space="preserve">and </w:t>
            </w:r>
            <w:r w:rsidRPr="00944B15">
              <w:rPr>
                <w:rFonts w:cs="Times New Roman"/>
                <w:szCs w:val="24"/>
              </w:rPr>
              <w:t>diltiazem</w:t>
            </w:r>
            <w:r>
              <w:rPr>
                <w:rFonts w:cs="Times New Roman"/>
                <w:szCs w:val="24"/>
              </w:rPr>
              <w:t>.</w:t>
            </w:r>
          </w:p>
        </w:tc>
      </w:tr>
      <w:tr w:rsidR="00223CE8" w:rsidRPr="00944B15" w14:paraId="12FF902C" w14:textId="77777777" w:rsidTr="002D6DD7">
        <w:trPr>
          <w:jc w:val="center"/>
        </w:trPr>
        <w:tc>
          <w:tcPr>
            <w:tcW w:w="2695" w:type="dxa"/>
          </w:tcPr>
          <w:p w14:paraId="597AF9AE"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5DC96A4A" w14:textId="77777777" w:rsidR="00223CE8" w:rsidRPr="00944B15" w:rsidRDefault="00223CE8" w:rsidP="002D6DD7">
            <w:pPr>
              <w:jc w:val="both"/>
              <w:rPr>
                <w:rFonts w:cs="Times New Roman"/>
                <w:szCs w:val="24"/>
              </w:rPr>
            </w:pPr>
            <w:r w:rsidRPr="006B57FE">
              <w:rPr>
                <w:rFonts w:cs="Times New Roman"/>
                <w:szCs w:val="24"/>
              </w:rPr>
              <w:t>Amenorrhea</w:t>
            </w:r>
            <w:r>
              <w:rPr>
                <w:rFonts w:cs="Times New Roman"/>
                <w:szCs w:val="24"/>
              </w:rPr>
              <w:t>,</w:t>
            </w:r>
            <w:r w:rsidRPr="006B57FE">
              <w:rPr>
                <w:rFonts w:cs="Times New Roman"/>
                <w:szCs w:val="24"/>
              </w:rPr>
              <w:t xml:space="preserve"> </w:t>
            </w:r>
            <w:r>
              <w:rPr>
                <w:rFonts w:cs="Times New Roman"/>
                <w:szCs w:val="24"/>
              </w:rPr>
              <w:t>o</w:t>
            </w:r>
            <w:r w:rsidRPr="006B57FE">
              <w:rPr>
                <w:rFonts w:cs="Times New Roman"/>
                <w:szCs w:val="24"/>
              </w:rPr>
              <w:t>ligomenorrhea</w:t>
            </w:r>
            <w:r>
              <w:rPr>
                <w:rFonts w:cs="Times New Roman"/>
                <w:szCs w:val="24"/>
              </w:rPr>
              <w:t>,</w:t>
            </w:r>
            <w:r>
              <w:t xml:space="preserve"> </w:t>
            </w:r>
            <w:r>
              <w:rPr>
                <w:rFonts w:cs="Times New Roman"/>
                <w:szCs w:val="24"/>
              </w:rPr>
              <w:t xml:space="preserve">dysmenorrhea, </w:t>
            </w:r>
            <w:r w:rsidRPr="00944B15">
              <w:rPr>
                <w:rFonts w:cs="Times New Roman"/>
                <w:szCs w:val="24"/>
              </w:rPr>
              <w:t xml:space="preserve">headache, vaginitis, weight </w:t>
            </w:r>
            <w:r>
              <w:rPr>
                <w:rFonts w:cs="Times New Roman"/>
                <w:szCs w:val="24"/>
              </w:rPr>
              <w:t>gain</w:t>
            </w:r>
            <w:r w:rsidRPr="00944B15">
              <w:rPr>
                <w:rFonts w:cs="Times New Roman"/>
                <w:szCs w:val="24"/>
              </w:rPr>
              <w:t>, acne, breast pain, abdominal pain</w:t>
            </w:r>
            <w:r>
              <w:rPr>
                <w:rFonts w:cs="Times New Roman"/>
                <w:szCs w:val="24"/>
              </w:rPr>
              <w:t>, u</w:t>
            </w:r>
            <w:r w:rsidRPr="006B57FE">
              <w:rPr>
                <w:rFonts w:cs="Times New Roman"/>
                <w:szCs w:val="24"/>
              </w:rPr>
              <w:t>pper resp</w:t>
            </w:r>
            <w:r>
              <w:rPr>
                <w:rFonts w:cs="Times New Roman"/>
                <w:szCs w:val="24"/>
              </w:rPr>
              <w:t>iratory</w:t>
            </w:r>
            <w:r w:rsidRPr="006B57FE">
              <w:rPr>
                <w:rFonts w:cs="Times New Roman"/>
                <w:szCs w:val="24"/>
              </w:rPr>
              <w:t xml:space="preserve"> tract infection</w:t>
            </w:r>
            <w:r>
              <w:rPr>
                <w:rFonts w:cs="Times New Roman"/>
                <w:szCs w:val="24"/>
              </w:rPr>
              <w:t>, l</w:t>
            </w:r>
            <w:r w:rsidRPr="006B57FE">
              <w:rPr>
                <w:rFonts w:cs="Times New Roman"/>
                <w:szCs w:val="24"/>
              </w:rPr>
              <w:t>eucorrhea</w:t>
            </w:r>
            <w:r>
              <w:rPr>
                <w:rFonts w:cs="Times New Roman"/>
                <w:szCs w:val="24"/>
              </w:rPr>
              <w:t>, d</w:t>
            </w:r>
            <w:r w:rsidRPr="00E70B2F">
              <w:rPr>
                <w:rFonts w:cs="Times New Roman"/>
                <w:szCs w:val="24"/>
              </w:rPr>
              <w:t>epression</w:t>
            </w:r>
            <w:r>
              <w:rPr>
                <w:rFonts w:cs="Times New Roman"/>
                <w:szCs w:val="24"/>
              </w:rPr>
              <w:t>, seizure, n</w:t>
            </w:r>
            <w:r w:rsidRPr="00E70B2F">
              <w:rPr>
                <w:rFonts w:cs="Times New Roman"/>
                <w:szCs w:val="24"/>
              </w:rPr>
              <w:t>ervousness</w:t>
            </w:r>
            <w:r w:rsidRPr="00944B15">
              <w:rPr>
                <w:rFonts w:cs="Times New Roman"/>
                <w:szCs w:val="24"/>
              </w:rPr>
              <w:t xml:space="preserve"> and pharyngitis.</w:t>
            </w:r>
          </w:p>
        </w:tc>
      </w:tr>
      <w:tr w:rsidR="00223CE8" w:rsidRPr="00944B15" w14:paraId="116D210E" w14:textId="77777777" w:rsidTr="002D6DD7">
        <w:trPr>
          <w:jc w:val="center"/>
        </w:trPr>
        <w:tc>
          <w:tcPr>
            <w:tcW w:w="2695" w:type="dxa"/>
          </w:tcPr>
          <w:p w14:paraId="714AA20D"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5737C428" w14:textId="77777777" w:rsidR="00223CE8" w:rsidRPr="00944B15" w:rsidRDefault="00223CE8" w:rsidP="002D6DD7">
            <w:pPr>
              <w:jc w:val="both"/>
              <w:rPr>
                <w:rFonts w:cs="Times New Roman"/>
                <w:szCs w:val="24"/>
              </w:rPr>
            </w:pPr>
            <w:r>
              <w:rPr>
                <w:rFonts w:cs="Times New Roman"/>
                <w:szCs w:val="24"/>
              </w:rPr>
              <w:t>H</w:t>
            </w:r>
            <w:r w:rsidRPr="001E080D">
              <w:rPr>
                <w:rFonts w:cs="Times New Roman"/>
                <w:szCs w:val="24"/>
              </w:rPr>
              <w:t xml:space="preserve">istory of DVT/PE, current/history of depression, endometriosis, DM, HTN, bone mineral density changes, renal/hepatic impairment, </w:t>
            </w:r>
            <w:r>
              <w:rPr>
                <w:rFonts w:cs="Times New Roman"/>
                <w:szCs w:val="24"/>
              </w:rPr>
              <w:t>SLE,</w:t>
            </w:r>
            <w:r w:rsidRPr="001E080D">
              <w:rPr>
                <w:rFonts w:cs="Times New Roman"/>
                <w:szCs w:val="24"/>
              </w:rPr>
              <w:t xml:space="preserve"> migrai</w:t>
            </w:r>
            <w:r>
              <w:rPr>
                <w:rFonts w:cs="Times New Roman"/>
                <w:szCs w:val="24"/>
              </w:rPr>
              <w:t>ne, asthma, epilepsy,</w:t>
            </w:r>
            <w:r w:rsidRPr="001E080D">
              <w:rPr>
                <w:rFonts w:cs="Times New Roman"/>
                <w:szCs w:val="24"/>
              </w:rPr>
              <w:t xml:space="preserve"> </w:t>
            </w:r>
            <w:r>
              <w:rPr>
                <w:rFonts w:cs="Times New Roman"/>
                <w:szCs w:val="24"/>
              </w:rPr>
              <w:t>e</w:t>
            </w:r>
            <w:r w:rsidRPr="00944B15">
              <w:rPr>
                <w:rFonts w:cs="Times New Roman"/>
                <w:szCs w:val="24"/>
              </w:rPr>
              <w:t>ctopic pregnanc</w:t>
            </w:r>
            <w:r>
              <w:rPr>
                <w:rFonts w:cs="Times New Roman"/>
                <w:szCs w:val="24"/>
              </w:rPr>
              <w:t>y</w:t>
            </w:r>
            <w:r w:rsidRPr="00944B15">
              <w:rPr>
                <w:rFonts w:cs="Times New Roman"/>
                <w:szCs w:val="24"/>
              </w:rPr>
              <w:t xml:space="preserve"> </w:t>
            </w:r>
            <w:r>
              <w:rPr>
                <w:rFonts w:cs="Times New Roman"/>
                <w:szCs w:val="24"/>
              </w:rPr>
              <w:t>and t</w:t>
            </w:r>
            <w:r w:rsidRPr="00944B15">
              <w:rPr>
                <w:rFonts w:cs="Times New Roman"/>
                <w:szCs w:val="24"/>
              </w:rPr>
              <w:t>hrombotic and other vascular events</w:t>
            </w:r>
            <w:r>
              <w:rPr>
                <w:rFonts w:cs="Times New Roman"/>
                <w:szCs w:val="24"/>
              </w:rPr>
              <w:t>.</w:t>
            </w:r>
          </w:p>
        </w:tc>
      </w:tr>
      <w:tr w:rsidR="00223CE8" w:rsidRPr="00944B15" w14:paraId="138C296C" w14:textId="77777777" w:rsidTr="002D6DD7">
        <w:trPr>
          <w:jc w:val="center"/>
        </w:trPr>
        <w:tc>
          <w:tcPr>
            <w:tcW w:w="2695" w:type="dxa"/>
          </w:tcPr>
          <w:p w14:paraId="2299C67E"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0060904A" w14:textId="77777777" w:rsidR="00223CE8" w:rsidRPr="00944B15" w:rsidRDefault="00223CE8" w:rsidP="002D6DD7">
            <w:pPr>
              <w:rPr>
                <w:rFonts w:cs="Times New Roman"/>
                <w:szCs w:val="24"/>
              </w:rPr>
            </w:pPr>
            <w:r>
              <w:rPr>
                <w:rFonts w:cs="Times New Roman"/>
                <w:szCs w:val="24"/>
              </w:rPr>
              <w:t>Store below 30</w:t>
            </w:r>
            <w:r w:rsidRPr="00D76338">
              <w:rPr>
                <w:rFonts w:cs="Times New Roman"/>
                <w:szCs w:val="24"/>
                <w:vertAlign w:val="superscript"/>
              </w:rPr>
              <w:t>O</w:t>
            </w:r>
            <w:r>
              <w:rPr>
                <w:rFonts w:cs="Times New Roman"/>
                <w:szCs w:val="24"/>
              </w:rPr>
              <w:t>C. Protect from light. D</w:t>
            </w:r>
            <w:r w:rsidRPr="00944B15">
              <w:rPr>
                <w:rFonts w:cs="Times New Roman"/>
                <w:szCs w:val="24"/>
              </w:rPr>
              <w:t xml:space="preserve">o not freeze </w:t>
            </w:r>
          </w:p>
        </w:tc>
      </w:tr>
      <w:tr w:rsidR="00223CE8" w:rsidRPr="00944B15" w14:paraId="2A385D80" w14:textId="77777777" w:rsidTr="002D6DD7">
        <w:trPr>
          <w:trHeight w:val="440"/>
          <w:jc w:val="center"/>
        </w:trPr>
        <w:tc>
          <w:tcPr>
            <w:tcW w:w="9350" w:type="dxa"/>
            <w:gridSpan w:val="2"/>
          </w:tcPr>
          <w:p w14:paraId="031DD31B" w14:textId="77777777" w:rsidR="00223CE8" w:rsidRPr="00944B15" w:rsidRDefault="00223CE8" w:rsidP="002D6DD7">
            <w:pPr>
              <w:rPr>
                <w:rFonts w:cs="Times New Roman"/>
                <w:szCs w:val="24"/>
              </w:rPr>
            </w:pPr>
            <w:r w:rsidRPr="00944B15">
              <w:rPr>
                <w:rFonts w:cs="Times New Roman"/>
                <w:b/>
                <w:szCs w:val="24"/>
              </w:rPr>
              <w:t>Levonorgestrel-releasing implant</w:t>
            </w:r>
          </w:p>
        </w:tc>
      </w:tr>
      <w:tr w:rsidR="00223CE8" w:rsidRPr="00944B15" w14:paraId="5419479E" w14:textId="77777777" w:rsidTr="002D6DD7">
        <w:trPr>
          <w:trHeight w:val="458"/>
          <w:jc w:val="center"/>
        </w:trPr>
        <w:tc>
          <w:tcPr>
            <w:tcW w:w="2695" w:type="dxa"/>
          </w:tcPr>
          <w:p w14:paraId="4F67C75B"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5B57D87E" w14:textId="77777777" w:rsidR="00223CE8" w:rsidRPr="00944B15" w:rsidRDefault="00223CE8" w:rsidP="002D6DD7">
            <w:pPr>
              <w:rPr>
                <w:rFonts w:cs="Times New Roman"/>
                <w:szCs w:val="24"/>
              </w:rPr>
            </w:pPr>
            <w:r w:rsidRPr="00944B15">
              <w:rPr>
                <w:rFonts w:cs="Times New Roman"/>
                <w:szCs w:val="24"/>
              </w:rPr>
              <w:t>Progestin-only contraceptive (long term)</w:t>
            </w:r>
          </w:p>
        </w:tc>
      </w:tr>
      <w:tr w:rsidR="00223CE8" w:rsidRPr="00944B15" w14:paraId="01FC8BCF" w14:textId="77777777" w:rsidTr="002D6DD7">
        <w:trPr>
          <w:jc w:val="center"/>
        </w:trPr>
        <w:tc>
          <w:tcPr>
            <w:tcW w:w="2695" w:type="dxa"/>
          </w:tcPr>
          <w:p w14:paraId="68DD5D2D"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0F4C6CF4" w14:textId="77777777" w:rsidR="00223CE8" w:rsidRPr="00944B15" w:rsidRDefault="00223CE8" w:rsidP="002D6DD7">
            <w:pPr>
              <w:rPr>
                <w:rFonts w:cs="Times New Roman"/>
                <w:szCs w:val="24"/>
              </w:rPr>
            </w:pPr>
            <w:r w:rsidRPr="00944B15">
              <w:rPr>
                <w:rFonts w:eastAsia="Times New Roman" w:cs="Times New Roman"/>
                <w:szCs w:val="24"/>
              </w:rPr>
              <w:t>Two-rod levonorgestrel-releasing implant; each rod containing 75 mg of levonorgestrel (150 mg total).</w:t>
            </w:r>
          </w:p>
        </w:tc>
      </w:tr>
      <w:tr w:rsidR="00223CE8" w:rsidRPr="00944B15" w14:paraId="276E22D3" w14:textId="77777777" w:rsidTr="002D6DD7">
        <w:trPr>
          <w:jc w:val="center"/>
        </w:trPr>
        <w:tc>
          <w:tcPr>
            <w:tcW w:w="2695" w:type="dxa"/>
          </w:tcPr>
          <w:p w14:paraId="508C3C65"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2EF5D160" w14:textId="77777777" w:rsidR="00223CE8" w:rsidRPr="00944B15" w:rsidRDefault="00223CE8" w:rsidP="002D6DD7">
            <w:pPr>
              <w:rPr>
                <w:rFonts w:cs="Times New Roman"/>
                <w:szCs w:val="24"/>
              </w:rPr>
            </w:pPr>
            <w:r w:rsidRPr="00944B15">
              <w:rPr>
                <w:rFonts w:cs="Times New Roman"/>
                <w:szCs w:val="24"/>
              </w:rPr>
              <w:t>Long-term contraception, for up to 5 years</w:t>
            </w:r>
          </w:p>
        </w:tc>
      </w:tr>
      <w:tr w:rsidR="00223CE8" w:rsidRPr="00944B15" w14:paraId="72533184" w14:textId="77777777" w:rsidTr="002D6DD7">
        <w:trPr>
          <w:jc w:val="center"/>
        </w:trPr>
        <w:tc>
          <w:tcPr>
            <w:tcW w:w="2695" w:type="dxa"/>
          </w:tcPr>
          <w:p w14:paraId="473AAF0D"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315A5A9E" w14:textId="77777777" w:rsidR="00223CE8" w:rsidRPr="00944B15" w:rsidRDefault="00223CE8" w:rsidP="002D6DD7">
            <w:pPr>
              <w:jc w:val="both"/>
              <w:rPr>
                <w:rFonts w:cs="Times New Roman"/>
                <w:szCs w:val="24"/>
              </w:rPr>
            </w:pPr>
            <w:r w:rsidRPr="00944B15">
              <w:rPr>
                <w:rFonts w:cs="Times New Roman"/>
                <w:szCs w:val="24"/>
              </w:rPr>
              <w:t>Insert 2 implants of 75 mg each; insert in non-dominant upper arm 6–8 cm above the elbow within the first 7 days of the menstrual cycle or immediately following first- or second</w:t>
            </w:r>
            <w:r>
              <w:rPr>
                <w:rFonts w:cs="Times New Roman"/>
                <w:szCs w:val="24"/>
              </w:rPr>
              <w:t>-trimester abortion or delivery,</w:t>
            </w:r>
            <w:r w:rsidRPr="00944B15">
              <w:rPr>
                <w:rFonts w:cs="Times New Roman"/>
                <w:szCs w:val="24"/>
              </w:rPr>
              <w:t xml:space="preserve"> use additional non-hormonal contraception if inserted at other time during menstrual cycle or later than 21 days after delivery</w:t>
            </w:r>
          </w:p>
        </w:tc>
      </w:tr>
      <w:tr w:rsidR="00223CE8" w:rsidRPr="00944B15" w14:paraId="4C1A9CDA" w14:textId="77777777" w:rsidTr="002D6DD7">
        <w:trPr>
          <w:jc w:val="center"/>
        </w:trPr>
        <w:tc>
          <w:tcPr>
            <w:tcW w:w="2695" w:type="dxa"/>
          </w:tcPr>
          <w:p w14:paraId="7C9F9826"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119CEC1C" w14:textId="77777777" w:rsidR="00223CE8" w:rsidRPr="00944B15" w:rsidRDefault="00223CE8" w:rsidP="002D6DD7">
            <w:pPr>
              <w:jc w:val="both"/>
              <w:rPr>
                <w:rFonts w:cs="Times New Roman"/>
                <w:szCs w:val="24"/>
              </w:rPr>
            </w:pPr>
            <w:r>
              <w:rPr>
                <w:rFonts w:cs="Times New Roman"/>
                <w:szCs w:val="24"/>
              </w:rPr>
              <w:t>Known or suspected pregnancy, c</w:t>
            </w:r>
            <w:r w:rsidRPr="00944B15">
              <w:rPr>
                <w:rFonts w:cs="Times New Roman"/>
                <w:szCs w:val="24"/>
              </w:rPr>
              <w:t>urrent or past histor</w:t>
            </w:r>
            <w:r>
              <w:rPr>
                <w:rFonts w:cs="Times New Roman"/>
                <w:szCs w:val="24"/>
              </w:rPr>
              <w:t xml:space="preserve">y of </w:t>
            </w:r>
            <w:r>
              <w:rPr>
                <w:rFonts w:cs="Times New Roman"/>
                <w:szCs w:val="24"/>
              </w:rPr>
              <w:lastRenderedPageBreak/>
              <w:t>thromboembolic disorders, l</w:t>
            </w:r>
            <w:r w:rsidRPr="00944B15">
              <w:rPr>
                <w:rFonts w:cs="Times New Roman"/>
                <w:szCs w:val="24"/>
              </w:rPr>
              <w:t>iver tumors, benign or malig</w:t>
            </w:r>
            <w:r>
              <w:rPr>
                <w:rFonts w:cs="Times New Roman"/>
                <w:szCs w:val="24"/>
              </w:rPr>
              <w:t>nant, or active liver disease, u</w:t>
            </w:r>
            <w:r w:rsidRPr="00944B15">
              <w:rPr>
                <w:rFonts w:cs="Times New Roman"/>
                <w:szCs w:val="24"/>
              </w:rPr>
              <w:t>ndiagnosed abnormal genital bleeding, Known or suspected breast cancer or other progestin-sensitive cancer, Allergic reaction to any components of the implant</w:t>
            </w:r>
          </w:p>
        </w:tc>
      </w:tr>
      <w:tr w:rsidR="00223CE8" w:rsidRPr="00944B15" w14:paraId="51BA06DD" w14:textId="77777777" w:rsidTr="002D6DD7">
        <w:trPr>
          <w:jc w:val="center"/>
        </w:trPr>
        <w:tc>
          <w:tcPr>
            <w:tcW w:w="2695" w:type="dxa"/>
          </w:tcPr>
          <w:p w14:paraId="34003741" w14:textId="77777777" w:rsidR="00223CE8" w:rsidRPr="00944B15" w:rsidRDefault="00223CE8" w:rsidP="002D6DD7">
            <w:pPr>
              <w:rPr>
                <w:rFonts w:cs="Times New Roman"/>
                <w:szCs w:val="24"/>
              </w:rPr>
            </w:pPr>
            <w:r w:rsidRPr="00944B15">
              <w:rPr>
                <w:rFonts w:cs="Times New Roman"/>
                <w:szCs w:val="24"/>
              </w:rPr>
              <w:lastRenderedPageBreak/>
              <w:t>Drug interactions</w:t>
            </w:r>
          </w:p>
        </w:tc>
        <w:tc>
          <w:tcPr>
            <w:tcW w:w="6655" w:type="dxa"/>
          </w:tcPr>
          <w:p w14:paraId="07548D36" w14:textId="77777777" w:rsidR="00223CE8" w:rsidRPr="00944B15" w:rsidRDefault="00223CE8" w:rsidP="002D6DD7">
            <w:pPr>
              <w:jc w:val="both"/>
              <w:rPr>
                <w:rFonts w:cs="Times New Roman"/>
                <w:szCs w:val="24"/>
              </w:rPr>
            </w:pPr>
            <w:r w:rsidRPr="00944B15">
              <w:rPr>
                <w:rFonts w:cs="Times New Roman"/>
                <w:szCs w:val="24"/>
              </w:rPr>
              <w:t>Barbiturates, bosentan, carbamazepine, phenytoin, primidone, rifampicin, and HIV/HCV medication like ritonavir, efavirenz, boceprevir, nevirapine and possibly also felbamate, griseofulvin, oxcarbazepine, topiramate and products containing the herbal remedy St. John's Wort, ketoconazole, itraconazole, clarithromycin) or moderate (e.g. fluconazole, diltiazem, erythromycin</w:t>
            </w:r>
          </w:p>
        </w:tc>
      </w:tr>
      <w:tr w:rsidR="00223CE8" w:rsidRPr="00944B15" w14:paraId="3BD1A792" w14:textId="77777777" w:rsidTr="002D6DD7">
        <w:trPr>
          <w:jc w:val="center"/>
        </w:trPr>
        <w:tc>
          <w:tcPr>
            <w:tcW w:w="2695" w:type="dxa"/>
          </w:tcPr>
          <w:p w14:paraId="68A6399A"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4BFCC9AC" w14:textId="77777777" w:rsidR="00223CE8" w:rsidRPr="00944B15" w:rsidRDefault="00223CE8" w:rsidP="002D6DD7">
            <w:pPr>
              <w:jc w:val="both"/>
              <w:rPr>
                <w:rFonts w:cs="Times New Roman"/>
                <w:szCs w:val="24"/>
              </w:rPr>
            </w:pPr>
            <w:r w:rsidRPr="00944B15">
              <w:rPr>
                <w:rFonts w:cs="Times New Roman"/>
                <w:szCs w:val="24"/>
              </w:rPr>
              <w:t>Irregular menstrual bleeding or spotting, Amenorrhea (absence of menstruation), Headache, Weight gain, Breast tenderness, Acne, whitish discharge from the vagina, whitish discharge from the vagina (leukorrhea)</w:t>
            </w:r>
          </w:p>
        </w:tc>
      </w:tr>
      <w:tr w:rsidR="00223CE8" w:rsidRPr="00944B15" w14:paraId="54C8B461" w14:textId="77777777" w:rsidTr="002D6DD7">
        <w:trPr>
          <w:jc w:val="center"/>
        </w:trPr>
        <w:tc>
          <w:tcPr>
            <w:tcW w:w="2695" w:type="dxa"/>
          </w:tcPr>
          <w:p w14:paraId="75166EF1"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78AB0AC2" w14:textId="77777777" w:rsidR="00223CE8" w:rsidRPr="00944B15" w:rsidRDefault="00223CE8" w:rsidP="002D6DD7">
            <w:pPr>
              <w:jc w:val="both"/>
              <w:rPr>
                <w:rFonts w:cs="Times New Roman"/>
                <w:szCs w:val="24"/>
              </w:rPr>
            </w:pPr>
            <w:r w:rsidRPr="00944B15">
              <w:rPr>
                <w:rFonts w:cs="Times New Roman"/>
                <w:szCs w:val="24"/>
              </w:rPr>
              <w:t xml:space="preserve">History of thromboembolism, </w:t>
            </w:r>
            <w:r w:rsidR="007A6A02">
              <w:rPr>
                <w:rFonts w:cs="Times New Roman"/>
                <w:szCs w:val="24"/>
              </w:rPr>
              <w:t>e</w:t>
            </w:r>
            <w:r w:rsidRPr="00944B15">
              <w:rPr>
                <w:rFonts w:cs="Times New Roman"/>
                <w:szCs w:val="24"/>
              </w:rPr>
              <w:t xml:space="preserve">levated blood pressure, depression, gallbladder disease, diabetes mellitus, elevated cholesterol or triglycerides, breast nodules, breastfeeding (until weaning or for the frst and less 6 months after birth), </w:t>
            </w:r>
            <w:r w:rsidR="007A6A02">
              <w:rPr>
                <w:rFonts w:cs="Times New Roman"/>
                <w:szCs w:val="24"/>
              </w:rPr>
              <w:t>decreased b</w:t>
            </w:r>
            <w:r w:rsidRPr="00944B15">
              <w:rPr>
                <w:rFonts w:cs="Times New Roman"/>
                <w:szCs w:val="24"/>
              </w:rPr>
              <w:t xml:space="preserve">one </w:t>
            </w:r>
            <w:r w:rsidR="007A6A02">
              <w:rPr>
                <w:rFonts w:cs="Times New Roman"/>
                <w:szCs w:val="24"/>
              </w:rPr>
              <w:t>d</w:t>
            </w:r>
            <w:r w:rsidRPr="00944B15">
              <w:rPr>
                <w:rFonts w:cs="Times New Roman"/>
                <w:szCs w:val="24"/>
              </w:rPr>
              <w:t xml:space="preserve">ensity, </w:t>
            </w:r>
            <w:r w:rsidR="007A6A02">
              <w:rPr>
                <w:rFonts w:cs="Times New Roman"/>
                <w:szCs w:val="24"/>
              </w:rPr>
              <w:t>b</w:t>
            </w:r>
            <w:r w:rsidRPr="00944B15">
              <w:rPr>
                <w:rFonts w:cs="Times New Roman"/>
                <w:szCs w:val="24"/>
              </w:rPr>
              <w:t xml:space="preserve">reastfeeding, </w:t>
            </w:r>
            <w:r w:rsidR="007A6A02">
              <w:rPr>
                <w:rFonts w:cs="Times New Roman"/>
                <w:szCs w:val="24"/>
              </w:rPr>
              <w:t>i</w:t>
            </w:r>
            <w:r w:rsidRPr="00944B15">
              <w:rPr>
                <w:rFonts w:cs="Times New Roman"/>
                <w:szCs w:val="24"/>
              </w:rPr>
              <w:t>nsertion and removal complications</w:t>
            </w:r>
            <w:r w:rsidR="007A6A02">
              <w:rPr>
                <w:rFonts w:cs="Times New Roman"/>
                <w:szCs w:val="24"/>
              </w:rPr>
              <w:t xml:space="preserve"> (p</w:t>
            </w:r>
            <w:r w:rsidRPr="00944B15">
              <w:rPr>
                <w:rFonts w:cs="Times New Roman"/>
                <w:szCs w:val="24"/>
              </w:rPr>
              <w:t>ain, edema, bruising scarring and infection</w:t>
            </w:r>
            <w:r w:rsidR="007A6A02">
              <w:rPr>
                <w:rFonts w:cs="Times New Roman"/>
                <w:szCs w:val="24"/>
              </w:rPr>
              <w:t>)</w:t>
            </w:r>
            <w:r w:rsidRPr="00944B15">
              <w:rPr>
                <w:rFonts w:cs="Times New Roman"/>
                <w:szCs w:val="24"/>
              </w:rPr>
              <w:t xml:space="preserve">, </w:t>
            </w:r>
            <w:r w:rsidR="007A6A02">
              <w:rPr>
                <w:rFonts w:cs="Times New Roman"/>
                <w:szCs w:val="24"/>
              </w:rPr>
              <w:t>e</w:t>
            </w:r>
            <w:r w:rsidRPr="00944B15">
              <w:rPr>
                <w:rFonts w:cs="Times New Roman"/>
                <w:szCs w:val="24"/>
              </w:rPr>
              <w:t>ctopic pregnancies</w:t>
            </w:r>
          </w:p>
        </w:tc>
      </w:tr>
      <w:tr w:rsidR="00223CE8" w:rsidRPr="00944B15" w14:paraId="3FBFDC14" w14:textId="77777777" w:rsidTr="002D6DD7">
        <w:trPr>
          <w:jc w:val="center"/>
        </w:trPr>
        <w:tc>
          <w:tcPr>
            <w:tcW w:w="2695" w:type="dxa"/>
          </w:tcPr>
          <w:p w14:paraId="32BCC97A"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0F8A17CD" w14:textId="77777777" w:rsidR="00223CE8" w:rsidRPr="00944B15" w:rsidRDefault="00223CE8" w:rsidP="002D6DD7">
            <w:pPr>
              <w:rPr>
                <w:rFonts w:cs="Times New Roman"/>
                <w:szCs w:val="24"/>
              </w:rPr>
            </w:pPr>
            <w:r w:rsidRPr="00944B15">
              <w:rPr>
                <w:rFonts w:cs="Times New Roman"/>
                <w:szCs w:val="24"/>
              </w:rPr>
              <w:t>Store at between 15°C and 30°C</w:t>
            </w:r>
          </w:p>
        </w:tc>
      </w:tr>
    </w:tbl>
    <w:p w14:paraId="3E6AC57B" w14:textId="77777777" w:rsidR="00223CE8" w:rsidRPr="00DD69EC" w:rsidRDefault="00223CE8" w:rsidP="00223CE8">
      <w:pPr>
        <w:pStyle w:val="Heading2"/>
        <w:ind w:left="720"/>
        <w:rPr>
          <w:b w:val="0"/>
          <w:i/>
          <w:iCs w:val="0"/>
        </w:rPr>
      </w:pPr>
    </w:p>
    <w:p w14:paraId="2126CDD6" w14:textId="77777777" w:rsidR="00223CE8" w:rsidRDefault="00223CE8" w:rsidP="00223CE8">
      <w:pPr>
        <w:pStyle w:val="Heading2"/>
        <w:rPr>
          <w:i/>
          <w:iCs w:val="0"/>
          <w:szCs w:val="26"/>
        </w:rPr>
      </w:pPr>
    </w:p>
    <w:p w14:paraId="68B34F86" w14:textId="77777777" w:rsidR="00223CE8" w:rsidRDefault="00223CE8" w:rsidP="00223CE8">
      <w:pPr>
        <w:pStyle w:val="Heading2"/>
        <w:rPr>
          <w:i/>
          <w:iCs w:val="0"/>
          <w:szCs w:val="26"/>
        </w:rPr>
      </w:pPr>
    </w:p>
    <w:p w14:paraId="41FEBE24" w14:textId="77777777" w:rsidR="00223CE8" w:rsidRPr="007A6A02" w:rsidRDefault="00223CE8" w:rsidP="007A6A02">
      <w:pPr>
        <w:pStyle w:val="Heading2"/>
        <w:spacing w:before="240" w:after="240"/>
      </w:pPr>
      <w:bookmarkStart w:id="153" w:name="_Toc179490373"/>
      <w:r w:rsidRPr="007A6A02">
        <w:t xml:space="preserve">Ovulation </w:t>
      </w:r>
      <w:r w:rsidR="007A6A02">
        <w:t>i</w:t>
      </w:r>
      <w:r w:rsidRPr="007A6A02">
        <w:t>nducers</w:t>
      </w:r>
      <w:bookmarkEnd w:id="153"/>
    </w:p>
    <w:p w14:paraId="64D14B95" w14:textId="77777777" w:rsidR="00223CE8" w:rsidRPr="00944B15" w:rsidRDefault="00223CE8" w:rsidP="00223CE8">
      <w:pPr>
        <w:spacing w:after="0"/>
        <w:jc w:val="both"/>
        <w:rPr>
          <w:rFonts w:cs="Times New Roman"/>
          <w:szCs w:val="24"/>
        </w:rPr>
      </w:pPr>
      <w:r w:rsidRPr="00944B15">
        <w:rPr>
          <w:rFonts w:eastAsia="Times New Roman" w:cs="Times New Roman"/>
          <w:szCs w:val="24"/>
        </w:rPr>
        <w:t xml:space="preserve">Ovulation inducers are medications used to stimulate ovulation in women with ovulatory dysfunction or infertility issues. These medications are commonly prescribed as part of fertility treatments to help regulate ovulation and improve the chances of achieving pregnancy. </w:t>
      </w:r>
      <w:r w:rsidRPr="00944B15">
        <w:rPr>
          <w:rFonts w:cs="Times New Roman"/>
          <w:szCs w:val="24"/>
        </w:rPr>
        <w:t xml:space="preserve">These medication acts as an anti-estrogen by binding to estrogen receptors in the hypothalamus, thereby </w:t>
      </w:r>
      <w:r w:rsidRPr="00944B15">
        <w:rPr>
          <w:rFonts w:cs="Times New Roman"/>
          <w:szCs w:val="24"/>
        </w:rPr>
        <w:lastRenderedPageBreak/>
        <w:t xml:space="preserve">blocking the negative feedback effect of estrogen on the release of gonadotropin-releasing hormone (GnRH); which in turn stimulates the pituitary gland to produce more follicle-stimulating hormone (FSH) and luteinizing hormone (LH). This increased hormonal activity triggers the ovaries to mature and release eggs. Two primary ovulation inducers include clomiphene citrate and letrozole. </w:t>
      </w:r>
    </w:p>
    <w:tbl>
      <w:tblPr>
        <w:tblStyle w:val="TableGrid"/>
        <w:tblW w:w="0" w:type="auto"/>
        <w:jc w:val="center"/>
        <w:tblLook w:val="04A0" w:firstRow="1" w:lastRow="0" w:firstColumn="1" w:lastColumn="0" w:noHBand="0" w:noVBand="1"/>
      </w:tblPr>
      <w:tblGrid>
        <w:gridCol w:w="2695"/>
        <w:gridCol w:w="6655"/>
      </w:tblGrid>
      <w:tr w:rsidR="00223CE8" w:rsidRPr="00944B15" w14:paraId="56D4F8A7" w14:textId="77777777" w:rsidTr="002D6DD7">
        <w:trPr>
          <w:jc w:val="center"/>
        </w:trPr>
        <w:tc>
          <w:tcPr>
            <w:tcW w:w="9350" w:type="dxa"/>
            <w:gridSpan w:val="2"/>
          </w:tcPr>
          <w:p w14:paraId="4C4D9188" w14:textId="77777777" w:rsidR="00223CE8" w:rsidRPr="00944B15" w:rsidRDefault="00223CE8" w:rsidP="002D6DD7">
            <w:pPr>
              <w:rPr>
                <w:rFonts w:cs="Times New Roman"/>
                <w:b/>
                <w:szCs w:val="24"/>
              </w:rPr>
            </w:pPr>
            <w:r w:rsidRPr="00944B15">
              <w:rPr>
                <w:rFonts w:cs="Times New Roman"/>
                <w:b/>
                <w:szCs w:val="24"/>
              </w:rPr>
              <w:t>Clomifene citrate</w:t>
            </w:r>
          </w:p>
        </w:tc>
      </w:tr>
      <w:tr w:rsidR="00223CE8" w:rsidRPr="00944B15" w14:paraId="0FFC993D" w14:textId="77777777" w:rsidTr="002D6DD7">
        <w:trPr>
          <w:trHeight w:val="341"/>
          <w:jc w:val="center"/>
        </w:trPr>
        <w:tc>
          <w:tcPr>
            <w:tcW w:w="2695" w:type="dxa"/>
          </w:tcPr>
          <w:p w14:paraId="43540E3C"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0AB2FF66" w14:textId="77777777" w:rsidR="00223CE8" w:rsidRPr="00944B15" w:rsidRDefault="00223CE8" w:rsidP="002D6DD7">
            <w:pPr>
              <w:rPr>
                <w:rFonts w:cs="Times New Roman"/>
                <w:szCs w:val="24"/>
              </w:rPr>
            </w:pPr>
            <w:r w:rsidRPr="00944B15">
              <w:rPr>
                <w:rFonts w:cs="Times New Roman"/>
                <w:szCs w:val="24"/>
              </w:rPr>
              <w:t>Ovulatory stimulant, selective estrogen receptor modulator</w:t>
            </w:r>
          </w:p>
        </w:tc>
      </w:tr>
      <w:tr w:rsidR="00223CE8" w:rsidRPr="00944B15" w14:paraId="4ACC4839" w14:textId="77777777" w:rsidTr="002D6DD7">
        <w:trPr>
          <w:jc w:val="center"/>
        </w:trPr>
        <w:tc>
          <w:tcPr>
            <w:tcW w:w="2695" w:type="dxa"/>
          </w:tcPr>
          <w:p w14:paraId="688F80F0"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645277D6" w14:textId="77777777" w:rsidR="00223CE8" w:rsidRPr="00944B15" w:rsidRDefault="00223CE8" w:rsidP="002D6DD7">
            <w:pPr>
              <w:rPr>
                <w:rFonts w:cs="Times New Roman"/>
                <w:szCs w:val="24"/>
              </w:rPr>
            </w:pPr>
            <w:r w:rsidRPr="00944B15">
              <w:rPr>
                <w:rFonts w:eastAsia="Times New Roman" w:cs="Times New Roman"/>
                <w:szCs w:val="24"/>
                <w:lang w:val="fr-FR"/>
              </w:rPr>
              <w:t>Tablet : 50mg</w:t>
            </w:r>
          </w:p>
        </w:tc>
      </w:tr>
      <w:tr w:rsidR="00223CE8" w:rsidRPr="00944B15" w14:paraId="5BF60F8D" w14:textId="77777777" w:rsidTr="002D6DD7">
        <w:trPr>
          <w:jc w:val="center"/>
        </w:trPr>
        <w:tc>
          <w:tcPr>
            <w:tcW w:w="2695" w:type="dxa"/>
          </w:tcPr>
          <w:p w14:paraId="19FB99BC"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644591C5" w14:textId="77777777" w:rsidR="00223CE8" w:rsidRPr="00944B15" w:rsidRDefault="00223CE8" w:rsidP="002D6DD7">
            <w:pPr>
              <w:rPr>
                <w:rFonts w:cs="Times New Roman"/>
                <w:szCs w:val="24"/>
              </w:rPr>
            </w:pPr>
            <w:r w:rsidRPr="00944B15">
              <w:rPr>
                <w:rFonts w:cs="Times New Roman"/>
                <w:szCs w:val="24"/>
              </w:rPr>
              <w:t xml:space="preserve">Anovulatory infertility or ovulatory failure </w:t>
            </w:r>
          </w:p>
        </w:tc>
      </w:tr>
      <w:tr w:rsidR="00223CE8" w:rsidRPr="00944B15" w14:paraId="7FE9E225" w14:textId="77777777" w:rsidTr="002D6DD7">
        <w:trPr>
          <w:jc w:val="center"/>
        </w:trPr>
        <w:tc>
          <w:tcPr>
            <w:tcW w:w="2695" w:type="dxa"/>
          </w:tcPr>
          <w:p w14:paraId="09BF7E06"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125271F1" w14:textId="77777777" w:rsidR="00223CE8" w:rsidRPr="00944B15" w:rsidRDefault="00223CE8" w:rsidP="002D6DD7">
            <w:pPr>
              <w:jc w:val="both"/>
              <w:rPr>
                <w:rFonts w:cs="Times New Roman"/>
                <w:szCs w:val="24"/>
              </w:rPr>
            </w:pPr>
            <w:r w:rsidRPr="00944B15">
              <w:rPr>
                <w:rFonts w:cs="Times New Roman"/>
                <w:szCs w:val="24"/>
              </w:rPr>
              <w:t>50 mg once daily for 5 days, to be started at any time if no recent uterine bleeding or on or around the 5</w:t>
            </w:r>
            <w:r w:rsidRPr="00944B15">
              <w:rPr>
                <w:rFonts w:cs="Times New Roman"/>
                <w:szCs w:val="24"/>
                <w:vertAlign w:val="superscript"/>
              </w:rPr>
              <w:t>th</w:t>
            </w:r>
            <w:r w:rsidRPr="00944B15">
              <w:rPr>
                <w:rFonts w:cs="Times New Roman"/>
                <w:szCs w:val="24"/>
              </w:rPr>
              <w:t xml:space="preserve"> day of cycle if progestogen-induced bleeding is planned or if spontaneous uterine bleeding occurs, then 100 mg once daily if required for 5 days, this second course to be given at least 30 days after the first course, only in the absence of ovulation. </w:t>
            </w:r>
          </w:p>
        </w:tc>
      </w:tr>
      <w:tr w:rsidR="00223CE8" w:rsidRPr="00944B15" w14:paraId="146124C3" w14:textId="77777777" w:rsidTr="002D6DD7">
        <w:trPr>
          <w:jc w:val="center"/>
        </w:trPr>
        <w:tc>
          <w:tcPr>
            <w:tcW w:w="2695" w:type="dxa"/>
          </w:tcPr>
          <w:p w14:paraId="4A959D1A"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68B8CB6E" w14:textId="77777777" w:rsidR="00223CE8" w:rsidRPr="00944B15" w:rsidRDefault="00223CE8" w:rsidP="002D6DD7">
            <w:pPr>
              <w:jc w:val="both"/>
              <w:rPr>
                <w:rFonts w:cs="Times New Roman"/>
                <w:szCs w:val="24"/>
              </w:rPr>
            </w:pPr>
            <w:r w:rsidRPr="00944B15">
              <w:rPr>
                <w:rFonts w:cs="Times New Roman"/>
                <w:szCs w:val="24"/>
              </w:rPr>
              <w:t>Hepatic disease, ovarian cysts, hormone dependent tumors or uterine bleeding of undetermined cause, pregnancy</w:t>
            </w:r>
            <w:r>
              <w:rPr>
                <w:rFonts w:cs="Times New Roman"/>
                <w:szCs w:val="24"/>
              </w:rPr>
              <w:t>, v</w:t>
            </w:r>
            <w:r w:rsidRPr="00944B15">
              <w:rPr>
                <w:rFonts w:cs="Times New Roman"/>
                <w:szCs w:val="24"/>
              </w:rPr>
              <w:t>isual disorders</w:t>
            </w:r>
          </w:p>
        </w:tc>
      </w:tr>
      <w:tr w:rsidR="00223CE8" w:rsidRPr="00944B15" w14:paraId="13C886F2" w14:textId="77777777" w:rsidTr="002D6DD7">
        <w:trPr>
          <w:trHeight w:val="440"/>
          <w:jc w:val="center"/>
        </w:trPr>
        <w:tc>
          <w:tcPr>
            <w:tcW w:w="2695" w:type="dxa"/>
          </w:tcPr>
          <w:p w14:paraId="6DCC1298"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48F2558B" w14:textId="77777777" w:rsidR="00223CE8" w:rsidRPr="00944B15" w:rsidRDefault="00223CE8" w:rsidP="002D6DD7">
            <w:pPr>
              <w:jc w:val="both"/>
              <w:rPr>
                <w:rFonts w:cs="Times New Roman"/>
                <w:szCs w:val="24"/>
              </w:rPr>
            </w:pPr>
            <w:r w:rsidRPr="00944B15">
              <w:rPr>
                <w:rFonts w:cs="Times New Roman"/>
                <w:szCs w:val="24"/>
              </w:rPr>
              <w:t>Estrogenic agents, rifampicin, phenytoin, phenobarbital, tamoxifen, raloxifene</w:t>
            </w:r>
          </w:p>
        </w:tc>
      </w:tr>
      <w:tr w:rsidR="00223CE8" w:rsidRPr="00944B15" w14:paraId="23922192" w14:textId="77777777" w:rsidTr="002D6DD7">
        <w:trPr>
          <w:jc w:val="center"/>
        </w:trPr>
        <w:tc>
          <w:tcPr>
            <w:tcW w:w="2695" w:type="dxa"/>
          </w:tcPr>
          <w:p w14:paraId="0EEDB667"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507B41A4" w14:textId="77777777" w:rsidR="00223CE8" w:rsidRPr="00944B15" w:rsidRDefault="00223CE8" w:rsidP="002D6DD7">
            <w:pPr>
              <w:jc w:val="both"/>
              <w:rPr>
                <w:rFonts w:cs="Times New Roman"/>
                <w:szCs w:val="24"/>
              </w:rPr>
            </w:pPr>
            <w:r>
              <w:rPr>
                <w:rFonts w:cs="Times New Roman"/>
                <w:szCs w:val="24"/>
              </w:rPr>
              <w:t>A</w:t>
            </w:r>
            <w:r w:rsidRPr="00944B15">
              <w:rPr>
                <w:rFonts w:cs="Times New Roman"/>
                <w:szCs w:val="24"/>
              </w:rPr>
              <w:t>bdominal distension, breast tenderness, mood alterations, nausea, visual disturbances (discontinue and initiate ophthalmological examination), angioedema, cataract, cerebral thrombosis, depression, disorientation, fatigue, headache, hot flush, hypertriglyceridemia, insomnia, jaundice cholestatic, menstrual cycle irregularities, neoplasms, nervous system disorders, optic neuritis, ovarian and fallopian tube disorders, palpitations, pancreatitis, psychosis, seizure, skin reactions, stroke, syncope, tachycardia, uterine disorders, vertigo, vomiting</w:t>
            </w:r>
          </w:p>
        </w:tc>
      </w:tr>
      <w:tr w:rsidR="00223CE8" w:rsidRPr="00944B15" w14:paraId="3578D659" w14:textId="77777777" w:rsidTr="002D6DD7">
        <w:trPr>
          <w:jc w:val="center"/>
        </w:trPr>
        <w:tc>
          <w:tcPr>
            <w:tcW w:w="2695" w:type="dxa"/>
          </w:tcPr>
          <w:p w14:paraId="381EB495"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0D028A1B" w14:textId="77777777" w:rsidR="00223CE8" w:rsidRPr="00944B15" w:rsidRDefault="00223CE8" w:rsidP="002D6DD7">
            <w:pPr>
              <w:jc w:val="both"/>
              <w:rPr>
                <w:rFonts w:cs="Times New Roman"/>
                <w:szCs w:val="24"/>
              </w:rPr>
            </w:pPr>
            <w:r w:rsidRPr="00944B15">
              <w:rPr>
                <w:rFonts w:cs="Times New Roman"/>
                <w:szCs w:val="24"/>
              </w:rPr>
              <w:t>Ectopic pregnancy, ovarian hyperstimulation syndr</w:t>
            </w:r>
            <w:r>
              <w:rPr>
                <w:rFonts w:cs="Times New Roman"/>
                <w:szCs w:val="24"/>
              </w:rPr>
              <w:t>ome, polycystic ovary syndrome, uterine fibroid, breast</w:t>
            </w:r>
            <w:r w:rsidRPr="00944B15">
              <w:rPr>
                <w:rFonts w:cs="Times New Roman"/>
                <w:szCs w:val="24"/>
              </w:rPr>
              <w:t xml:space="preserve">feeding </w:t>
            </w:r>
          </w:p>
        </w:tc>
      </w:tr>
      <w:tr w:rsidR="00223CE8" w:rsidRPr="00944B15" w14:paraId="0B2FEC80" w14:textId="77777777" w:rsidTr="002D6DD7">
        <w:trPr>
          <w:jc w:val="center"/>
        </w:trPr>
        <w:tc>
          <w:tcPr>
            <w:tcW w:w="2695" w:type="dxa"/>
          </w:tcPr>
          <w:p w14:paraId="77C3D212" w14:textId="77777777" w:rsidR="00223CE8" w:rsidRPr="00944B15" w:rsidRDefault="00223CE8" w:rsidP="002D6DD7">
            <w:pPr>
              <w:rPr>
                <w:rFonts w:cs="Times New Roman"/>
                <w:szCs w:val="24"/>
              </w:rPr>
            </w:pPr>
            <w:r w:rsidRPr="00944B15">
              <w:rPr>
                <w:rFonts w:cs="Times New Roman"/>
                <w:szCs w:val="24"/>
              </w:rPr>
              <w:lastRenderedPageBreak/>
              <w:t>Storage condition</w:t>
            </w:r>
          </w:p>
        </w:tc>
        <w:tc>
          <w:tcPr>
            <w:tcW w:w="6655" w:type="dxa"/>
          </w:tcPr>
          <w:p w14:paraId="2E5EF028"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below 30</w:t>
            </w:r>
            <w:r w:rsidRPr="00944B15">
              <w:rPr>
                <w:rFonts w:cs="Times New Roman"/>
                <w:szCs w:val="24"/>
              </w:rPr>
              <w:t>° C.</w:t>
            </w:r>
          </w:p>
        </w:tc>
      </w:tr>
      <w:tr w:rsidR="00223CE8" w:rsidRPr="00944B15" w14:paraId="70486322" w14:textId="77777777" w:rsidTr="002D6DD7">
        <w:trPr>
          <w:jc w:val="center"/>
        </w:trPr>
        <w:tc>
          <w:tcPr>
            <w:tcW w:w="9350" w:type="dxa"/>
            <w:gridSpan w:val="2"/>
          </w:tcPr>
          <w:p w14:paraId="4890A64B" w14:textId="77777777" w:rsidR="00223CE8" w:rsidRPr="00944B15" w:rsidRDefault="00223CE8" w:rsidP="002D6DD7">
            <w:pPr>
              <w:rPr>
                <w:rFonts w:cs="Times New Roman"/>
                <w:b/>
                <w:szCs w:val="24"/>
              </w:rPr>
            </w:pPr>
            <w:r w:rsidRPr="00944B15">
              <w:rPr>
                <w:rFonts w:cs="Times New Roman"/>
                <w:b/>
                <w:szCs w:val="24"/>
              </w:rPr>
              <w:t xml:space="preserve">Letrozole </w:t>
            </w:r>
          </w:p>
        </w:tc>
      </w:tr>
      <w:tr w:rsidR="00223CE8" w:rsidRPr="00944B15" w14:paraId="19F23FC3" w14:textId="77777777" w:rsidTr="002D6DD7">
        <w:trPr>
          <w:trHeight w:val="422"/>
          <w:jc w:val="center"/>
        </w:trPr>
        <w:tc>
          <w:tcPr>
            <w:tcW w:w="2695" w:type="dxa"/>
          </w:tcPr>
          <w:p w14:paraId="24101207"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179067FE" w14:textId="77777777" w:rsidR="00223CE8" w:rsidRPr="00944B15" w:rsidRDefault="00223CE8" w:rsidP="002D6DD7">
            <w:pPr>
              <w:rPr>
                <w:rFonts w:cs="Times New Roman"/>
                <w:szCs w:val="24"/>
              </w:rPr>
            </w:pPr>
            <w:r w:rsidRPr="00944B15">
              <w:rPr>
                <w:rFonts w:cs="Times New Roman"/>
                <w:szCs w:val="24"/>
              </w:rPr>
              <w:t>Ovulatory stimulant, aromatase inhibitor</w:t>
            </w:r>
          </w:p>
        </w:tc>
      </w:tr>
      <w:tr w:rsidR="00223CE8" w:rsidRPr="00944B15" w14:paraId="01594362" w14:textId="77777777" w:rsidTr="002D6DD7">
        <w:trPr>
          <w:jc w:val="center"/>
        </w:trPr>
        <w:tc>
          <w:tcPr>
            <w:tcW w:w="2695" w:type="dxa"/>
          </w:tcPr>
          <w:p w14:paraId="7D84D010"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6B2EE6CD" w14:textId="77777777" w:rsidR="00223CE8" w:rsidRPr="00944B15" w:rsidRDefault="00223CE8" w:rsidP="002D6DD7">
            <w:pPr>
              <w:rPr>
                <w:rFonts w:cs="Times New Roman"/>
                <w:szCs w:val="24"/>
              </w:rPr>
            </w:pPr>
            <w:r w:rsidRPr="00944B15">
              <w:rPr>
                <w:rFonts w:eastAsia="Times New Roman" w:cs="Times New Roman"/>
                <w:szCs w:val="24"/>
                <w:lang w:val="fr-FR"/>
              </w:rPr>
              <w:t>Tablet : 2.5mg</w:t>
            </w:r>
          </w:p>
        </w:tc>
      </w:tr>
      <w:tr w:rsidR="00223CE8" w:rsidRPr="00944B15" w14:paraId="55E27169" w14:textId="77777777" w:rsidTr="002D6DD7">
        <w:trPr>
          <w:jc w:val="center"/>
        </w:trPr>
        <w:tc>
          <w:tcPr>
            <w:tcW w:w="2695" w:type="dxa"/>
          </w:tcPr>
          <w:p w14:paraId="587AB249"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76167063" w14:textId="77777777" w:rsidR="00223CE8" w:rsidRPr="00944B15" w:rsidRDefault="00223CE8" w:rsidP="002D6DD7">
            <w:pPr>
              <w:rPr>
                <w:rFonts w:cs="Times New Roman"/>
                <w:szCs w:val="24"/>
              </w:rPr>
            </w:pPr>
            <w:r w:rsidRPr="00944B15">
              <w:rPr>
                <w:rFonts w:cs="Times New Roman"/>
                <w:szCs w:val="24"/>
              </w:rPr>
              <w:t>Ovulation induction in anovulatory females with polycystic ovary syndrome</w:t>
            </w:r>
          </w:p>
        </w:tc>
      </w:tr>
      <w:tr w:rsidR="00223CE8" w:rsidRPr="00944B15" w14:paraId="60D67E34" w14:textId="77777777" w:rsidTr="002D6DD7">
        <w:trPr>
          <w:jc w:val="center"/>
        </w:trPr>
        <w:tc>
          <w:tcPr>
            <w:tcW w:w="2695" w:type="dxa"/>
          </w:tcPr>
          <w:p w14:paraId="6B25B544" w14:textId="77777777" w:rsidR="00223CE8" w:rsidRPr="00944B15" w:rsidRDefault="00223CE8" w:rsidP="002D6DD7">
            <w:pPr>
              <w:rPr>
                <w:rFonts w:cs="Times New Roman"/>
                <w:szCs w:val="24"/>
              </w:rPr>
            </w:pPr>
            <w:r w:rsidRPr="00944B15">
              <w:rPr>
                <w:rFonts w:cs="Times New Roman"/>
                <w:szCs w:val="24"/>
              </w:rPr>
              <w:t>Dose and administration</w:t>
            </w:r>
          </w:p>
        </w:tc>
        <w:tc>
          <w:tcPr>
            <w:tcW w:w="6655" w:type="dxa"/>
          </w:tcPr>
          <w:p w14:paraId="20A7CFAA" w14:textId="77777777" w:rsidR="00223CE8" w:rsidRPr="00944B15" w:rsidRDefault="00223CE8" w:rsidP="002D6DD7">
            <w:pPr>
              <w:rPr>
                <w:rFonts w:cs="Times New Roman"/>
                <w:szCs w:val="24"/>
              </w:rPr>
            </w:pPr>
            <w:r>
              <w:rPr>
                <w:rFonts w:cs="Times New Roman"/>
                <w:szCs w:val="24"/>
              </w:rPr>
              <w:t xml:space="preserve">Oral: </w:t>
            </w:r>
            <w:r w:rsidRPr="00944B15">
              <w:rPr>
                <w:rFonts w:cs="Times New Roman"/>
                <w:szCs w:val="24"/>
              </w:rPr>
              <w:t>2.5 mg – 5 mg daily for 5 days</w:t>
            </w:r>
          </w:p>
        </w:tc>
      </w:tr>
      <w:tr w:rsidR="00223CE8" w:rsidRPr="00944B15" w14:paraId="7E3D4DE0" w14:textId="77777777" w:rsidTr="002D6DD7">
        <w:trPr>
          <w:jc w:val="center"/>
        </w:trPr>
        <w:tc>
          <w:tcPr>
            <w:tcW w:w="2695" w:type="dxa"/>
          </w:tcPr>
          <w:p w14:paraId="1FB47BBE"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69FBDC3F" w14:textId="77777777" w:rsidR="00223CE8" w:rsidRPr="00944B15" w:rsidRDefault="00223CE8" w:rsidP="002D6DD7">
            <w:pPr>
              <w:rPr>
                <w:rFonts w:cs="Times New Roman"/>
                <w:szCs w:val="24"/>
              </w:rPr>
            </w:pPr>
            <w:r w:rsidRPr="00944B15">
              <w:rPr>
                <w:rFonts w:cs="Times New Roman"/>
                <w:szCs w:val="24"/>
              </w:rPr>
              <w:t>Pregnancy, lactation, known hypersensitivity to letrozole</w:t>
            </w:r>
          </w:p>
        </w:tc>
      </w:tr>
      <w:tr w:rsidR="00223CE8" w:rsidRPr="00944B15" w14:paraId="6E8E4BC2" w14:textId="77777777" w:rsidTr="002D6DD7">
        <w:trPr>
          <w:jc w:val="center"/>
        </w:trPr>
        <w:tc>
          <w:tcPr>
            <w:tcW w:w="2695" w:type="dxa"/>
          </w:tcPr>
          <w:p w14:paraId="10E18749"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370FA734" w14:textId="77777777" w:rsidR="00223CE8" w:rsidRPr="00944B15" w:rsidRDefault="00223CE8" w:rsidP="002D6DD7">
            <w:pPr>
              <w:rPr>
                <w:rFonts w:cs="Times New Roman"/>
                <w:szCs w:val="24"/>
              </w:rPr>
            </w:pPr>
            <w:r w:rsidRPr="00944B15">
              <w:rPr>
                <w:rFonts w:cs="Times New Roman"/>
                <w:szCs w:val="24"/>
              </w:rPr>
              <w:t>Ceritinib, clarithromycin, methadone, Estr</w:t>
            </w:r>
            <w:r>
              <w:rPr>
                <w:rFonts w:cs="Times New Roman"/>
                <w:szCs w:val="24"/>
              </w:rPr>
              <w:t xml:space="preserve">ogen-containing </w:t>
            </w:r>
            <w:r w:rsidRPr="00944B15">
              <w:rPr>
                <w:rFonts w:cs="Times New Roman"/>
                <w:szCs w:val="24"/>
              </w:rPr>
              <w:t xml:space="preserve">medications, Tamoxifen </w:t>
            </w:r>
          </w:p>
        </w:tc>
      </w:tr>
      <w:tr w:rsidR="00223CE8" w:rsidRPr="00944B15" w14:paraId="79962760" w14:textId="77777777" w:rsidTr="002D6DD7">
        <w:trPr>
          <w:jc w:val="center"/>
        </w:trPr>
        <w:tc>
          <w:tcPr>
            <w:tcW w:w="2695" w:type="dxa"/>
          </w:tcPr>
          <w:p w14:paraId="63FD3175"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035F4992" w14:textId="77777777" w:rsidR="00223CE8" w:rsidRPr="00944B15" w:rsidRDefault="00223CE8" w:rsidP="002D6DD7">
            <w:pPr>
              <w:jc w:val="both"/>
              <w:rPr>
                <w:rFonts w:cs="Times New Roman"/>
                <w:szCs w:val="24"/>
              </w:rPr>
            </w:pPr>
            <w:r w:rsidRPr="00944B15">
              <w:rPr>
                <w:rFonts w:cs="Times New Roman"/>
                <w:szCs w:val="24"/>
              </w:rPr>
              <w:t>Edema, sweating, hot flashes, arthralgia, hypercholesterolemia, constipation, diarrhea, loss of appetite, nausea, vomiting, asthenia, dizziness, headache, insomnia, somnolence, dyspnea, fatigue, heart failure, MI, pancytopenia, thromboembolic disorder, decreased bone density, bone fracture, pleural effusion, pulmonary embolism</w:t>
            </w:r>
          </w:p>
        </w:tc>
      </w:tr>
      <w:tr w:rsidR="00223CE8" w:rsidRPr="00944B15" w14:paraId="13FFB090" w14:textId="77777777" w:rsidTr="002D6DD7">
        <w:trPr>
          <w:jc w:val="center"/>
        </w:trPr>
        <w:tc>
          <w:tcPr>
            <w:tcW w:w="2695" w:type="dxa"/>
          </w:tcPr>
          <w:p w14:paraId="107176B4"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6BE38F5C" w14:textId="77777777" w:rsidR="00223CE8" w:rsidRPr="00944B15" w:rsidRDefault="00223CE8" w:rsidP="002D6DD7">
            <w:pPr>
              <w:rPr>
                <w:rFonts w:cs="Times New Roman"/>
                <w:szCs w:val="24"/>
              </w:rPr>
            </w:pPr>
            <w:r w:rsidRPr="00944B15">
              <w:rPr>
                <w:rFonts w:cs="Times New Roman"/>
                <w:szCs w:val="24"/>
              </w:rPr>
              <w:t>Hypercholesterolemia, cirrhosis, severe hepatic impairment, and osteoporosis</w:t>
            </w:r>
          </w:p>
        </w:tc>
      </w:tr>
      <w:tr w:rsidR="00223CE8" w:rsidRPr="00944B15" w14:paraId="46F74DDC" w14:textId="77777777" w:rsidTr="002D6DD7">
        <w:trPr>
          <w:jc w:val="center"/>
        </w:trPr>
        <w:tc>
          <w:tcPr>
            <w:tcW w:w="2695" w:type="dxa"/>
          </w:tcPr>
          <w:p w14:paraId="53254CC4"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58FEEDD8"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between 20°C and 30°C</w:t>
            </w:r>
            <w:r w:rsidRPr="00944B15">
              <w:rPr>
                <w:rFonts w:cs="Times New Roman"/>
                <w:szCs w:val="24"/>
              </w:rPr>
              <w:t>.</w:t>
            </w:r>
          </w:p>
        </w:tc>
      </w:tr>
    </w:tbl>
    <w:p w14:paraId="1872DB53" w14:textId="77777777" w:rsidR="00223CE8" w:rsidRPr="00944B15" w:rsidRDefault="00223CE8" w:rsidP="00223CE8">
      <w:pPr>
        <w:spacing w:after="0"/>
        <w:rPr>
          <w:rFonts w:eastAsia="Times New Roman" w:cs="Times New Roman"/>
          <w:b/>
          <w:szCs w:val="24"/>
        </w:rPr>
      </w:pPr>
    </w:p>
    <w:p w14:paraId="0954AFEF" w14:textId="77777777" w:rsidR="007A6A02" w:rsidRPr="007A6A02" w:rsidRDefault="00223CE8" w:rsidP="007A6A02">
      <w:pPr>
        <w:pStyle w:val="Heading2"/>
        <w:spacing w:before="240" w:after="240"/>
      </w:pPr>
      <w:bookmarkStart w:id="154" w:name="_Toc179490374"/>
      <w:r w:rsidRPr="007A6A02">
        <w:t>Uterotonics</w:t>
      </w:r>
      <w:bookmarkEnd w:id="154"/>
    </w:p>
    <w:p w14:paraId="10EE20D2" w14:textId="77777777" w:rsidR="00223CE8" w:rsidRPr="007A6A02" w:rsidRDefault="00223CE8" w:rsidP="007A6A02">
      <w:pPr>
        <w:rPr>
          <w:rFonts w:eastAsia="Times New Roman" w:cs="Times New Roman"/>
          <w:szCs w:val="24"/>
        </w:rPr>
      </w:pPr>
      <w:r w:rsidRPr="007A6A02">
        <w:rPr>
          <w:rFonts w:eastAsia="Times New Roman" w:cs="Times New Roman"/>
          <w:szCs w:val="24"/>
        </w:rPr>
        <w:t>Uterotonics are a class of medications used to induce or augment uterine contractions. They are commonly used in obstetrics and gynaecology for various purposes, including induction or augmentation of labor, prevention and treatment of postpartum hemorrhage, and management of incomplete abortion. The most common uterotonic agents include oxytocin, ergometrine, and prostaglandins (such as misoprostol), which work by stimulating the smooth muscle cells in the uterus, leading to increased frequency and intensity of contractions.</w:t>
      </w:r>
    </w:p>
    <w:tbl>
      <w:tblPr>
        <w:tblStyle w:val="TableGrid"/>
        <w:tblW w:w="9813" w:type="dxa"/>
        <w:jc w:val="center"/>
        <w:tblLook w:val="04A0" w:firstRow="1" w:lastRow="0" w:firstColumn="1" w:lastColumn="0" w:noHBand="0" w:noVBand="1"/>
      </w:tblPr>
      <w:tblGrid>
        <w:gridCol w:w="2695"/>
        <w:gridCol w:w="6882"/>
        <w:gridCol w:w="236"/>
      </w:tblGrid>
      <w:tr w:rsidR="00223CE8" w:rsidRPr="00944B15" w14:paraId="005A3973" w14:textId="77777777" w:rsidTr="002D6DD7">
        <w:trPr>
          <w:gridAfter w:val="1"/>
          <w:wAfter w:w="236" w:type="dxa"/>
          <w:jc w:val="center"/>
        </w:trPr>
        <w:tc>
          <w:tcPr>
            <w:tcW w:w="9577" w:type="dxa"/>
            <w:gridSpan w:val="2"/>
          </w:tcPr>
          <w:p w14:paraId="1A6DC639" w14:textId="77777777" w:rsidR="00223CE8" w:rsidRPr="00944B15" w:rsidRDefault="00223CE8" w:rsidP="002D6DD7">
            <w:pPr>
              <w:tabs>
                <w:tab w:val="left" w:pos="1758"/>
              </w:tabs>
              <w:rPr>
                <w:rFonts w:cs="Times New Roman"/>
                <w:b/>
                <w:szCs w:val="24"/>
              </w:rPr>
            </w:pPr>
            <w:r w:rsidRPr="00944B15">
              <w:rPr>
                <w:rFonts w:cs="Times New Roman"/>
                <w:b/>
                <w:szCs w:val="24"/>
              </w:rPr>
              <w:t xml:space="preserve">Carbetocin </w:t>
            </w:r>
          </w:p>
        </w:tc>
      </w:tr>
      <w:tr w:rsidR="00223CE8" w:rsidRPr="00944B15" w14:paraId="30F552CC" w14:textId="77777777" w:rsidTr="002D6DD7">
        <w:trPr>
          <w:gridAfter w:val="1"/>
          <w:wAfter w:w="236" w:type="dxa"/>
          <w:jc w:val="center"/>
        </w:trPr>
        <w:tc>
          <w:tcPr>
            <w:tcW w:w="2695" w:type="dxa"/>
          </w:tcPr>
          <w:p w14:paraId="205AA1DC" w14:textId="77777777" w:rsidR="00223CE8" w:rsidRPr="00944B15" w:rsidRDefault="00223CE8" w:rsidP="002D6DD7">
            <w:pPr>
              <w:rPr>
                <w:rFonts w:cs="Times New Roman"/>
                <w:szCs w:val="24"/>
              </w:rPr>
            </w:pPr>
            <w:r w:rsidRPr="00944B15">
              <w:rPr>
                <w:rFonts w:cs="Times New Roman"/>
                <w:szCs w:val="24"/>
              </w:rPr>
              <w:t>Pharmacological class</w:t>
            </w:r>
          </w:p>
        </w:tc>
        <w:tc>
          <w:tcPr>
            <w:tcW w:w="6882" w:type="dxa"/>
          </w:tcPr>
          <w:p w14:paraId="5000276D" w14:textId="77777777" w:rsidR="00223CE8" w:rsidRPr="00944B15" w:rsidRDefault="00223CE8" w:rsidP="002D6DD7">
            <w:pPr>
              <w:rPr>
                <w:rFonts w:cs="Times New Roman"/>
                <w:szCs w:val="24"/>
              </w:rPr>
            </w:pPr>
            <w:r w:rsidRPr="00944B15">
              <w:rPr>
                <w:rFonts w:cs="Times New Roman"/>
                <w:szCs w:val="24"/>
              </w:rPr>
              <w:t>Uterotonic agent (long-acting oxytocin analog)</w:t>
            </w:r>
          </w:p>
        </w:tc>
      </w:tr>
      <w:tr w:rsidR="00223CE8" w:rsidRPr="00944B15" w14:paraId="73878B1A" w14:textId="77777777" w:rsidTr="002D6DD7">
        <w:trPr>
          <w:gridAfter w:val="1"/>
          <w:wAfter w:w="236" w:type="dxa"/>
          <w:jc w:val="center"/>
        </w:trPr>
        <w:tc>
          <w:tcPr>
            <w:tcW w:w="2695" w:type="dxa"/>
          </w:tcPr>
          <w:p w14:paraId="4E76198D" w14:textId="77777777" w:rsidR="00223CE8" w:rsidRPr="00944B15" w:rsidRDefault="00223CE8" w:rsidP="002D6DD7">
            <w:pPr>
              <w:rPr>
                <w:rFonts w:cs="Times New Roman"/>
                <w:szCs w:val="24"/>
              </w:rPr>
            </w:pPr>
            <w:r w:rsidRPr="00944B15">
              <w:rPr>
                <w:rFonts w:cs="Times New Roman"/>
                <w:szCs w:val="24"/>
              </w:rPr>
              <w:lastRenderedPageBreak/>
              <w:t>Dosage form</w:t>
            </w:r>
          </w:p>
        </w:tc>
        <w:tc>
          <w:tcPr>
            <w:tcW w:w="6882" w:type="dxa"/>
          </w:tcPr>
          <w:p w14:paraId="23BF0DF7" w14:textId="77777777" w:rsidR="00223CE8" w:rsidRPr="00944B15" w:rsidRDefault="00223CE8" w:rsidP="002D6DD7">
            <w:pPr>
              <w:rPr>
                <w:rFonts w:cs="Times New Roman"/>
                <w:szCs w:val="24"/>
              </w:rPr>
            </w:pPr>
            <w:r w:rsidRPr="00944B15">
              <w:rPr>
                <w:rFonts w:cs="Times New Roman"/>
                <w:szCs w:val="24"/>
              </w:rPr>
              <w:t>Injecti</w:t>
            </w:r>
            <w:r>
              <w:rPr>
                <w:rFonts w:cs="Times New Roman"/>
                <w:szCs w:val="24"/>
              </w:rPr>
              <w:t>on (heat stable): 100 mcg</w:t>
            </w:r>
            <w:r w:rsidRPr="00944B15">
              <w:rPr>
                <w:rFonts w:cs="Times New Roman"/>
                <w:szCs w:val="24"/>
              </w:rPr>
              <w:t>/</w:t>
            </w:r>
            <w:r>
              <w:rPr>
                <w:rFonts w:cs="Times New Roman"/>
                <w:szCs w:val="24"/>
              </w:rPr>
              <w:t>ml</w:t>
            </w:r>
          </w:p>
        </w:tc>
      </w:tr>
      <w:tr w:rsidR="00223CE8" w:rsidRPr="00944B15" w14:paraId="7F322D4C" w14:textId="77777777" w:rsidTr="002D6DD7">
        <w:trPr>
          <w:gridAfter w:val="1"/>
          <w:wAfter w:w="236" w:type="dxa"/>
          <w:jc w:val="center"/>
        </w:trPr>
        <w:tc>
          <w:tcPr>
            <w:tcW w:w="2695" w:type="dxa"/>
          </w:tcPr>
          <w:p w14:paraId="31F06480" w14:textId="77777777" w:rsidR="00223CE8" w:rsidRPr="00944B15" w:rsidRDefault="00223CE8" w:rsidP="002D6DD7">
            <w:pPr>
              <w:rPr>
                <w:rFonts w:cs="Times New Roman"/>
                <w:szCs w:val="24"/>
              </w:rPr>
            </w:pPr>
            <w:r w:rsidRPr="00944B15">
              <w:rPr>
                <w:rFonts w:cs="Times New Roman"/>
                <w:szCs w:val="24"/>
              </w:rPr>
              <w:t>Indications</w:t>
            </w:r>
          </w:p>
        </w:tc>
        <w:tc>
          <w:tcPr>
            <w:tcW w:w="6882" w:type="dxa"/>
          </w:tcPr>
          <w:p w14:paraId="6E4C464F" w14:textId="77777777" w:rsidR="00223CE8" w:rsidRPr="00944B15" w:rsidRDefault="00223CE8" w:rsidP="002D6DD7">
            <w:pPr>
              <w:jc w:val="both"/>
              <w:rPr>
                <w:rFonts w:cs="Times New Roman"/>
                <w:szCs w:val="24"/>
              </w:rPr>
            </w:pPr>
            <w:r w:rsidRPr="00944B15">
              <w:rPr>
                <w:rFonts w:cs="Times New Roman"/>
                <w:szCs w:val="24"/>
              </w:rPr>
              <w:t xml:space="preserve">Prevention of uterine atony and postpartum hemorrhage after caesarean section </w:t>
            </w:r>
          </w:p>
        </w:tc>
      </w:tr>
      <w:tr w:rsidR="00223CE8" w:rsidRPr="00944B15" w14:paraId="30D4E8F2" w14:textId="77777777" w:rsidTr="002D6DD7">
        <w:trPr>
          <w:gridAfter w:val="1"/>
          <w:wAfter w:w="236" w:type="dxa"/>
          <w:jc w:val="center"/>
        </w:trPr>
        <w:tc>
          <w:tcPr>
            <w:tcW w:w="2695" w:type="dxa"/>
          </w:tcPr>
          <w:p w14:paraId="4300AC54"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882" w:type="dxa"/>
          </w:tcPr>
          <w:p w14:paraId="0BDFE5C4" w14:textId="77777777" w:rsidR="00223CE8" w:rsidRPr="00944B15" w:rsidRDefault="00223CE8" w:rsidP="002D6DD7">
            <w:pPr>
              <w:jc w:val="both"/>
              <w:rPr>
                <w:rFonts w:cs="Times New Roman"/>
                <w:szCs w:val="24"/>
              </w:rPr>
            </w:pPr>
            <w:r w:rsidRPr="00944B15">
              <w:rPr>
                <w:rFonts w:cs="Times New Roman"/>
                <w:b/>
                <w:szCs w:val="24"/>
              </w:rPr>
              <w:t>Prevention of uterine atony after caesarean section</w:t>
            </w:r>
            <w:r w:rsidRPr="00944B15">
              <w:rPr>
                <w:rFonts w:cs="Times New Roman"/>
                <w:szCs w:val="24"/>
              </w:rPr>
              <w:t xml:space="preserve">, </w:t>
            </w:r>
            <w:r w:rsidRPr="00944B15">
              <w:rPr>
                <w:rFonts w:cs="Times New Roman"/>
                <w:b/>
                <w:szCs w:val="24"/>
              </w:rPr>
              <w:t>slow IV injection</w:t>
            </w:r>
            <w:r w:rsidRPr="00944B15">
              <w:rPr>
                <w:rFonts w:cs="Times New Roman"/>
                <w:szCs w:val="24"/>
              </w:rPr>
              <w:t xml:space="preserve">: 100 </w:t>
            </w:r>
            <w:r>
              <w:rPr>
                <w:rFonts w:cs="Times New Roman"/>
                <w:szCs w:val="24"/>
              </w:rPr>
              <w:t>mcg</w:t>
            </w:r>
            <w:r w:rsidRPr="00944B15">
              <w:rPr>
                <w:rFonts w:cs="Times New Roman"/>
                <w:szCs w:val="24"/>
              </w:rPr>
              <w:t xml:space="preserve"> for 1 dose, to be given over 1 minute; administer as soon as possible after delivery, preferably before removal of placenta. </w:t>
            </w:r>
          </w:p>
          <w:p w14:paraId="277E3C1D" w14:textId="77777777" w:rsidR="00223CE8" w:rsidRPr="005F6C99" w:rsidRDefault="00223CE8" w:rsidP="002D6DD7">
            <w:pPr>
              <w:jc w:val="both"/>
              <w:rPr>
                <w:rFonts w:cs="Times New Roman"/>
                <w:i/>
                <w:szCs w:val="24"/>
              </w:rPr>
            </w:pPr>
            <w:r w:rsidRPr="005F6C99">
              <w:rPr>
                <w:rFonts w:cs="Times New Roman"/>
                <w:i/>
                <w:szCs w:val="24"/>
              </w:rPr>
              <w:t xml:space="preserve">Note: </w:t>
            </w:r>
            <w:r>
              <w:rPr>
                <w:rFonts w:cs="Times New Roman"/>
                <w:i/>
                <w:szCs w:val="24"/>
              </w:rPr>
              <w:t>c</w:t>
            </w:r>
            <w:r w:rsidRPr="005F6C99">
              <w:rPr>
                <w:rFonts w:cs="Times New Roman"/>
                <w:i/>
                <w:szCs w:val="24"/>
              </w:rPr>
              <w:t>arbetocin is intended for single use only and no further doses should be administered.</w:t>
            </w:r>
          </w:p>
        </w:tc>
      </w:tr>
      <w:tr w:rsidR="00223CE8" w:rsidRPr="00944B15" w14:paraId="2AEF998F" w14:textId="77777777" w:rsidTr="002D6DD7">
        <w:trPr>
          <w:gridAfter w:val="1"/>
          <w:wAfter w:w="236" w:type="dxa"/>
          <w:jc w:val="center"/>
        </w:trPr>
        <w:tc>
          <w:tcPr>
            <w:tcW w:w="2695" w:type="dxa"/>
          </w:tcPr>
          <w:p w14:paraId="72F95F88" w14:textId="77777777" w:rsidR="00223CE8" w:rsidRPr="00944B15" w:rsidRDefault="00223CE8" w:rsidP="002D6DD7">
            <w:pPr>
              <w:rPr>
                <w:rFonts w:cs="Times New Roman"/>
                <w:szCs w:val="24"/>
              </w:rPr>
            </w:pPr>
            <w:r w:rsidRPr="00944B15">
              <w:rPr>
                <w:rFonts w:cs="Times New Roman"/>
                <w:szCs w:val="24"/>
              </w:rPr>
              <w:t>Contraindications</w:t>
            </w:r>
          </w:p>
        </w:tc>
        <w:tc>
          <w:tcPr>
            <w:tcW w:w="6882" w:type="dxa"/>
          </w:tcPr>
          <w:p w14:paraId="63D2D984" w14:textId="77777777" w:rsidR="00223CE8" w:rsidRPr="00944B15" w:rsidRDefault="00223CE8" w:rsidP="002D6DD7">
            <w:pPr>
              <w:jc w:val="both"/>
              <w:rPr>
                <w:rFonts w:cs="Times New Roman"/>
                <w:szCs w:val="24"/>
              </w:rPr>
            </w:pPr>
            <w:r w:rsidRPr="00944B15">
              <w:rPr>
                <w:rFonts w:cs="Times New Roman"/>
                <w:szCs w:val="24"/>
              </w:rPr>
              <w:t xml:space="preserve">Hypersensitivity to </w:t>
            </w:r>
            <w:r>
              <w:rPr>
                <w:rFonts w:cs="Times New Roman"/>
                <w:szCs w:val="24"/>
              </w:rPr>
              <w:t>the drug, e</w:t>
            </w:r>
            <w:r w:rsidRPr="00944B15">
              <w:rPr>
                <w:rFonts w:cs="Times New Roman"/>
                <w:szCs w:val="24"/>
              </w:rPr>
              <w:t>clampsia/epilepsy, pre-eclampsia, hepati</w:t>
            </w:r>
            <w:r>
              <w:rPr>
                <w:rFonts w:cs="Times New Roman"/>
                <w:szCs w:val="24"/>
              </w:rPr>
              <w:t>c impairment, renal impairment</w:t>
            </w:r>
          </w:p>
        </w:tc>
      </w:tr>
      <w:tr w:rsidR="00223CE8" w:rsidRPr="00944B15" w14:paraId="294B83A6" w14:textId="77777777" w:rsidTr="002D6DD7">
        <w:trPr>
          <w:gridAfter w:val="1"/>
          <w:wAfter w:w="236" w:type="dxa"/>
          <w:jc w:val="center"/>
        </w:trPr>
        <w:tc>
          <w:tcPr>
            <w:tcW w:w="2695" w:type="dxa"/>
          </w:tcPr>
          <w:p w14:paraId="44E2DF69" w14:textId="77777777" w:rsidR="00223CE8" w:rsidRPr="00944B15" w:rsidRDefault="00223CE8" w:rsidP="002D6DD7">
            <w:pPr>
              <w:rPr>
                <w:rFonts w:cs="Times New Roman"/>
                <w:szCs w:val="24"/>
              </w:rPr>
            </w:pPr>
            <w:r w:rsidRPr="00944B15">
              <w:rPr>
                <w:rFonts w:cs="Times New Roman"/>
                <w:szCs w:val="24"/>
              </w:rPr>
              <w:t>Drug interactions</w:t>
            </w:r>
          </w:p>
        </w:tc>
        <w:tc>
          <w:tcPr>
            <w:tcW w:w="6882" w:type="dxa"/>
          </w:tcPr>
          <w:p w14:paraId="4EA19E87" w14:textId="77777777" w:rsidR="00223CE8" w:rsidRPr="00944B15" w:rsidRDefault="00223CE8" w:rsidP="002D6DD7">
            <w:pPr>
              <w:jc w:val="both"/>
              <w:rPr>
                <w:rFonts w:cs="Times New Roman"/>
                <w:szCs w:val="24"/>
              </w:rPr>
            </w:pPr>
            <w:r w:rsidRPr="00944B15">
              <w:rPr>
                <w:rFonts w:cs="Times New Roman"/>
                <w:szCs w:val="24"/>
              </w:rPr>
              <w:t xml:space="preserve">Alfuzosin, barbiturates, </w:t>
            </w:r>
            <w:r>
              <w:rPr>
                <w:rFonts w:cs="Times New Roman"/>
                <w:szCs w:val="24"/>
              </w:rPr>
              <w:t>antihypertensive</w:t>
            </w:r>
            <w:r w:rsidRPr="00944B15">
              <w:rPr>
                <w:rFonts w:cs="Times New Roman"/>
                <w:szCs w:val="24"/>
              </w:rPr>
              <w:t xml:space="preserve"> agents, carboprost, tromethamine, dinoprostone, duloxetine, misoprostol, nitroprus</w:t>
            </w:r>
            <w:r>
              <w:rPr>
                <w:rFonts w:cs="Times New Roman"/>
                <w:szCs w:val="24"/>
              </w:rPr>
              <w:t>side, sildenafl, epoprostenol, s</w:t>
            </w:r>
            <w:r w:rsidRPr="00944B15">
              <w:rPr>
                <w:rFonts w:cs="Times New Roman"/>
                <w:szCs w:val="24"/>
              </w:rPr>
              <w:t>ympathomimetics</w:t>
            </w:r>
          </w:p>
        </w:tc>
      </w:tr>
      <w:tr w:rsidR="00223CE8" w:rsidRPr="00944B15" w14:paraId="7ECDD9BC" w14:textId="77777777" w:rsidTr="002D6DD7">
        <w:trPr>
          <w:gridAfter w:val="1"/>
          <w:wAfter w:w="236" w:type="dxa"/>
          <w:jc w:val="center"/>
        </w:trPr>
        <w:tc>
          <w:tcPr>
            <w:tcW w:w="2695" w:type="dxa"/>
          </w:tcPr>
          <w:p w14:paraId="510652A4" w14:textId="77777777" w:rsidR="00223CE8" w:rsidRPr="00944B15" w:rsidRDefault="00223CE8" w:rsidP="002D6DD7">
            <w:pPr>
              <w:rPr>
                <w:rFonts w:cs="Times New Roman"/>
                <w:szCs w:val="24"/>
              </w:rPr>
            </w:pPr>
            <w:r w:rsidRPr="00944B15">
              <w:rPr>
                <w:rFonts w:cs="Times New Roman"/>
                <w:szCs w:val="24"/>
              </w:rPr>
              <w:t>Side effects</w:t>
            </w:r>
          </w:p>
        </w:tc>
        <w:tc>
          <w:tcPr>
            <w:tcW w:w="6882" w:type="dxa"/>
          </w:tcPr>
          <w:p w14:paraId="7A9D4786" w14:textId="77777777" w:rsidR="00223CE8" w:rsidRPr="00944B15" w:rsidRDefault="00223CE8" w:rsidP="002D6DD7">
            <w:pPr>
              <w:jc w:val="both"/>
              <w:rPr>
                <w:rFonts w:cs="Times New Roman"/>
                <w:szCs w:val="24"/>
              </w:rPr>
            </w:pPr>
            <w:r w:rsidRPr="00944B15">
              <w:rPr>
                <w:rFonts w:cs="Times New Roman"/>
                <w:szCs w:val="24"/>
              </w:rPr>
              <w:t>Chest pain, chills, dizziness, dyspnea, feeling hot, flushing, headache, hypotension, nausea, pain, pruritus, taste metallic, tremor, vomiting, Hyperhidrosis, tachycardia, hypertension, anaphylaxis, uterine hyperstimulation, uterine rupture.</w:t>
            </w:r>
          </w:p>
        </w:tc>
      </w:tr>
      <w:tr w:rsidR="00223CE8" w:rsidRPr="00944B15" w14:paraId="2638C427" w14:textId="77777777" w:rsidTr="002D6DD7">
        <w:trPr>
          <w:gridAfter w:val="1"/>
          <w:wAfter w:w="236" w:type="dxa"/>
          <w:jc w:val="center"/>
        </w:trPr>
        <w:tc>
          <w:tcPr>
            <w:tcW w:w="2695" w:type="dxa"/>
          </w:tcPr>
          <w:p w14:paraId="3A26FD74" w14:textId="77777777" w:rsidR="00223CE8" w:rsidRPr="00944B15" w:rsidRDefault="00223CE8" w:rsidP="002D6DD7">
            <w:pPr>
              <w:rPr>
                <w:rFonts w:cs="Times New Roman"/>
                <w:szCs w:val="24"/>
              </w:rPr>
            </w:pPr>
            <w:r w:rsidRPr="00944B15">
              <w:rPr>
                <w:rFonts w:cs="Times New Roman"/>
                <w:szCs w:val="24"/>
              </w:rPr>
              <w:t xml:space="preserve">Cautions </w:t>
            </w:r>
          </w:p>
        </w:tc>
        <w:tc>
          <w:tcPr>
            <w:tcW w:w="6882" w:type="dxa"/>
          </w:tcPr>
          <w:p w14:paraId="04D6243C" w14:textId="77777777" w:rsidR="00223CE8" w:rsidRPr="00944B15" w:rsidRDefault="00223CE8" w:rsidP="002D6DD7">
            <w:pPr>
              <w:rPr>
                <w:rFonts w:cs="Times New Roman"/>
                <w:szCs w:val="24"/>
              </w:rPr>
            </w:pPr>
            <w:r w:rsidRPr="00944B15">
              <w:rPr>
                <w:rFonts w:cs="Times New Roman"/>
                <w:szCs w:val="24"/>
              </w:rPr>
              <w:t>Asthma, cardiovas</w:t>
            </w:r>
            <w:r>
              <w:rPr>
                <w:rFonts w:cs="Times New Roman"/>
                <w:szCs w:val="24"/>
              </w:rPr>
              <w:t>cular diseases</w:t>
            </w:r>
            <w:r w:rsidRPr="00944B15">
              <w:rPr>
                <w:rFonts w:cs="Times New Roman"/>
                <w:szCs w:val="24"/>
              </w:rPr>
              <w:t>, hyponatremia, migraine.</w:t>
            </w:r>
          </w:p>
        </w:tc>
      </w:tr>
      <w:tr w:rsidR="00223CE8" w:rsidRPr="00944B15" w14:paraId="1EA11314" w14:textId="77777777" w:rsidTr="002D6DD7">
        <w:trPr>
          <w:gridAfter w:val="1"/>
          <w:wAfter w:w="236" w:type="dxa"/>
          <w:jc w:val="center"/>
        </w:trPr>
        <w:tc>
          <w:tcPr>
            <w:tcW w:w="2695" w:type="dxa"/>
          </w:tcPr>
          <w:p w14:paraId="6AC9C20A" w14:textId="77777777" w:rsidR="00223CE8" w:rsidRPr="00944B15" w:rsidRDefault="00223CE8" w:rsidP="002D6DD7">
            <w:pPr>
              <w:rPr>
                <w:rFonts w:cs="Times New Roman"/>
                <w:szCs w:val="24"/>
              </w:rPr>
            </w:pPr>
            <w:r w:rsidRPr="00944B15">
              <w:rPr>
                <w:rFonts w:cs="Times New Roman"/>
                <w:szCs w:val="24"/>
              </w:rPr>
              <w:t>Storage condition</w:t>
            </w:r>
          </w:p>
        </w:tc>
        <w:tc>
          <w:tcPr>
            <w:tcW w:w="6882" w:type="dxa"/>
          </w:tcPr>
          <w:p w14:paraId="5925EA79" w14:textId="77777777" w:rsidR="00223CE8" w:rsidRPr="00944B15" w:rsidRDefault="00223CE8" w:rsidP="002D6DD7">
            <w:pPr>
              <w:rPr>
                <w:rFonts w:cs="Times New Roman"/>
                <w:szCs w:val="24"/>
              </w:rPr>
            </w:pPr>
            <w:r>
              <w:rPr>
                <w:rFonts w:cs="Times New Roman"/>
                <w:szCs w:val="24"/>
              </w:rPr>
              <w:t>Store</w:t>
            </w:r>
            <w:r w:rsidRPr="00944B15">
              <w:rPr>
                <w:rFonts w:cs="Times New Roman"/>
                <w:szCs w:val="24"/>
              </w:rPr>
              <w:t xml:space="preserve"> below 30°C.</w:t>
            </w:r>
          </w:p>
        </w:tc>
      </w:tr>
      <w:tr w:rsidR="00223CE8" w:rsidRPr="00944B15" w14:paraId="6AECE6FE" w14:textId="77777777" w:rsidTr="002D6DD7">
        <w:trPr>
          <w:gridAfter w:val="1"/>
          <w:wAfter w:w="236" w:type="dxa"/>
          <w:jc w:val="center"/>
        </w:trPr>
        <w:tc>
          <w:tcPr>
            <w:tcW w:w="9577" w:type="dxa"/>
            <w:gridSpan w:val="2"/>
          </w:tcPr>
          <w:p w14:paraId="2465A80E" w14:textId="77777777" w:rsidR="00223CE8" w:rsidRPr="00944B15" w:rsidRDefault="00223CE8" w:rsidP="002D6DD7">
            <w:pPr>
              <w:rPr>
                <w:rFonts w:cs="Times New Roman"/>
                <w:b/>
                <w:szCs w:val="24"/>
              </w:rPr>
            </w:pPr>
            <w:r w:rsidRPr="00944B15">
              <w:rPr>
                <w:rFonts w:cs="Times New Roman"/>
                <w:b/>
                <w:szCs w:val="24"/>
              </w:rPr>
              <w:t>Ergometrin</w:t>
            </w:r>
            <w:r>
              <w:rPr>
                <w:rFonts w:cs="Times New Roman"/>
                <w:b/>
                <w:szCs w:val="24"/>
              </w:rPr>
              <w:t>e</w:t>
            </w:r>
          </w:p>
        </w:tc>
      </w:tr>
      <w:tr w:rsidR="00223CE8" w:rsidRPr="00944B15" w14:paraId="10E2F44C" w14:textId="77777777" w:rsidTr="002D6DD7">
        <w:trPr>
          <w:gridAfter w:val="1"/>
          <w:wAfter w:w="236" w:type="dxa"/>
          <w:jc w:val="center"/>
        </w:trPr>
        <w:tc>
          <w:tcPr>
            <w:tcW w:w="2695" w:type="dxa"/>
          </w:tcPr>
          <w:p w14:paraId="1D668A2C" w14:textId="77777777" w:rsidR="00223CE8" w:rsidRPr="00944B15" w:rsidRDefault="00223CE8" w:rsidP="002D6DD7">
            <w:pPr>
              <w:rPr>
                <w:rFonts w:cs="Times New Roman"/>
                <w:szCs w:val="24"/>
              </w:rPr>
            </w:pPr>
            <w:r w:rsidRPr="00944B15">
              <w:rPr>
                <w:rFonts w:cs="Times New Roman"/>
                <w:szCs w:val="24"/>
              </w:rPr>
              <w:t>Pharmacological class</w:t>
            </w:r>
          </w:p>
        </w:tc>
        <w:tc>
          <w:tcPr>
            <w:tcW w:w="6882" w:type="dxa"/>
          </w:tcPr>
          <w:p w14:paraId="01CF830B" w14:textId="77777777" w:rsidR="00223CE8" w:rsidRPr="00944B15" w:rsidRDefault="00223CE8" w:rsidP="002D6DD7">
            <w:pPr>
              <w:rPr>
                <w:rFonts w:cs="Times New Roman"/>
                <w:szCs w:val="24"/>
              </w:rPr>
            </w:pPr>
            <w:r w:rsidRPr="00944B15">
              <w:rPr>
                <w:rFonts w:cs="Times New Roman"/>
                <w:szCs w:val="24"/>
              </w:rPr>
              <w:t xml:space="preserve">Uterotonic agent </w:t>
            </w:r>
          </w:p>
        </w:tc>
      </w:tr>
      <w:tr w:rsidR="00223CE8" w:rsidRPr="00944B15" w14:paraId="01DBE8AE" w14:textId="77777777" w:rsidTr="002D6DD7">
        <w:trPr>
          <w:gridAfter w:val="1"/>
          <w:wAfter w:w="236" w:type="dxa"/>
          <w:jc w:val="center"/>
        </w:trPr>
        <w:tc>
          <w:tcPr>
            <w:tcW w:w="2695" w:type="dxa"/>
          </w:tcPr>
          <w:p w14:paraId="6DC2BD08" w14:textId="77777777" w:rsidR="00223CE8" w:rsidRPr="00944B15" w:rsidRDefault="00223CE8" w:rsidP="002D6DD7">
            <w:pPr>
              <w:rPr>
                <w:rFonts w:cs="Times New Roman"/>
                <w:szCs w:val="24"/>
              </w:rPr>
            </w:pPr>
            <w:r w:rsidRPr="00944B15">
              <w:rPr>
                <w:rFonts w:cs="Times New Roman"/>
                <w:szCs w:val="24"/>
              </w:rPr>
              <w:t>Dosage form</w:t>
            </w:r>
          </w:p>
        </w:tc>
        <w:tc>
          <w:tcPr>
            <w:tcW w:w="6882" w:type="dxa"/>
          </w:tcPr>
          <w:p w14:paraId="62DAE04E" w14:textId="77777777" w:rsidR="00223CE8" w:rsidRPr="00944B15" w:rsidRDefault="00223CE8" w:rsidP="002D6DD7">
            <w:pPr>
              <w:rPr>
                <w:rFonts w:cs="Times New Roman"/>
                <w:szCs w:val="24"/>
              </w:rPr>
            </w:pPr>
            <w:r>
              <w:rPr>
                <w:rFonts w:eastAsia="Times New Roman" w:cs="Times New Roman"/>
                <w:szCs w:val="24"/>
                <w:lang w:val="fr-FR"/>
              </w:rPr>
              <w:t>Injection : 0.2mg/ml</w:t>
            </w:r>
          </w:p>
        </w:tc>
      </w:tr>
      <w:tr w:rsidR="00223CE8" w:rsidRPr="00944B15" w14:paraId="0B8CC96E" w14:textId="77777777" w:rsidTr="002D6DD7">
        <w:trPr>
          <w:gridAfter w:val="1"/>
          <w:wAfter w:w="236" w:type="dxa"/>
          <w:jc w:val="center"/>
        </w:trPr>
        <w:tc>
          <w:tcPr>
            <w:tcW w:w="2695" w:type="dxa"/>
          </w:tcPr>
          <w:p w14:paraId="6C7A149B" w14:textId="77777777" w:rsidR="00223CE8" w:rsidRPr="00944B15" w:rsidRDefault="00223CE8" w:rsidP="002D6DD7">
            <w:pPr>
              <w:rPr>
                <w:rFonts w:cs="Times New Roman"/>
                <w:szCs w:val="24"/>
              </w:rPr>
            </w:pPr>
            <w:r w:rsidRPr="00944B15">
              <w:rPr>
                <w:rFonts w:cs="Times New Roman"/>
                <w:szCs w:val="24"/>
              </w:rPr>
              <w:t>Indications</w:t>
            </w:r>
          </w:p>
        </w:tc>
        <w:tc>
          <w:tcPr>
            <w:tcW w:w="6882" w:type="dxa"/>
          </w:tcPr>
          <w:p w14:paraId="22755D66" w14:textId="77777777" w:rsidR="00223CE8" w:rsidRPr="00944B15" w:rsidRDefault="00223CE8" w:rsidP="002D6DD7">
            <w:pPr>
              <w:jc w:val="both"/>
              <w:rPr>
                <w:rFonts w:cs="Times New Roman"/>
                <w:szCs w:val="24"/>
              </w:rPr>
            </w:pPr>
            <w:r w:rsidRPr="00944B15">
              <w:rPr>
                <w:rFonts w:cs="Times New Roman"/>
                <w:szCs w:val="24"/>
              </w:rPr>
              <w:t>Prevention and treat</w:t>
            </w:r>
            <w:r>
              <w:rPr>
                <w:rFonts w:cs="Times New Roman"/>
                <w:szCs w:val="24"/>
              </w:rPr>
              <w:t>ment of postpartum hemorrhage, e</w:t>
            </w:r>
            <w:r w:rsidRPr="00944B15">
              <w:rPr>
                <w:rFonts w:cs="Times New Roman"/>
                <w:szCs w:val="24"/>
              </w:rPr>
              <w:t>xcessive uterine bleeding</w:t>
            </w:r>
          </w:p>
        </w:tc>
      </w:tr>
      <w:tr w:rsidR="00223CE8" w:rsidRPr="00944B15" w14:paraId="3F6709EB" w14:textId="77777777" w:rsidTr="002D6DD7">
        <w:trPr>
          <w:gridAfter w:val="1"/>
          <w:wAfter w:w="236" w:type="dxa"/>
          <w:jc w:val="center"/>
        </w:trPr>
        <w:tc>
          <w:tcPr>
            <w:tcW w:w="2695" w:type="dxa"/>
          </w:tcPr>
          <w:p w14:paraId="33183D5B" w14:textId="77777777" w:rsidR="00223CE8" w:rsidRPr="00944B15" w:rsidRDefault="00223CE8" w:rsidP="002D6DD7">
            <w:pPr>
              <w:rPr>
                <w:rFonts w:cs="Times New Roman"/>
                <w:szCs w:val="24"/>
              </w:rPr>
            </w:pPr>
            <w:r w:rsidRPr="00944B15">
              <w:rPr>
                <w:rFonts w:cs="Times New Roman"/>
                <w:szCs w:val="24"/>
              </w:rPr>
              <w:t>Dose and administration</w:t>
            </w:r>
          </w:p>
        </w:tc>
        <w:tc>
          <w:tcPr>
            <w:tcW w:w="6882" w:type="dxa"/>
          </w:tcPr>
          <w:p w14:paraId="43F68EF8" w14:textId="77777777" w:rsidR="00223CE8" w:rsidRPr="00944B15" w:rsidRDefault="00223CE8" w:rsidP="002D6DD7">
            <w:pPr>
              <w:jc w:val="both"/>
              <w:rPr>
                <w:rFonts w:cs="Times New Roman"/>
                <w:szCs w:val="24"/>
              </w:rPr>
            </w:pPr>
            <w:r w:rsidRPr="00944B15">
              <w:rPr>
                <w:rFonts w:cs="Times New Roman"/>
                <w:b/>
                <w:szCs w:val="24"/>
              </w:rPr>
              <w:t>Prevention and treatment of postpartum hemorrhage (PPH), IM injection</w:t>
            </w:r>
            <w:r w:rsidRPr="00944B15">
              <w:rPr>
                <w:rFonts w:cs="Times New Roman"/>
                <w:szCs w:val="24"/>
              </w:rPr>
              <w:t>: 200 m</w:t>
            </w:r>
            <w:r>
              <w:rPr>
                <w:rFonts w:cs="Times New Roman"/>
                <w:szCs w:val="24"/>
              </w:rPr>
              <w:t>cg</w:t>
            </w:r>
            <w:r w:rsidRPr="00944B15">
              <w:rPr>
                <w:rFonts w:cs="Times New Roman"/>
                <w:szCs w:val="24"/>
              </w:rPr>
              <w:t xml:space="preserve"> when the anterior shoulder is delivered or immediately after birth </w:t>
            </w:r>
          </w:p>
          <w:p w14:paraId="64D7A1CC" w14:textId="77777777" w:rsidR="00223CE8" w:rsidRPr="00944B15" w:rsidRDefault="00223CE8" w:rsidP="002D6DD7">
            <w:pPr>
              <w:jc w:val="both"/>
              <w:rPr>
                <w:rFonts w:cs="Times New Roman"/>
                <w:szCs w:val="24"/>
              </w:rPr>
            </w:pPr>
            <w:r w:rsidRPr="00944B15">
              <w:rPr>
                <w:rFonts w:cs="Times New Roman"/>
                <w:b/>
                <w:szCs w:val="24"/>
              </w:rPr>
              <w:t>Excessive uterine bleeding, by slow IV injection</w:t>
            </w:r>
            <w:r w:rsidRPr="00944B15">
              <w:rPr>
                <w:rFonts w:cs="Times New Roman"/>
                <w:szCs w:val="24"/>
              </w:rPr>
              <w:t>: 250–500 m</w:t>
            </w:r>
            <w:r>
              <w:rPr>
                <w:rFonts w:cs="Times New Roman"/>
                <w:szCs w:val="24"/>
              </w:rPr>
              <w:t>cg</w:t>
            </w:r>
            <w:r w:rsidRPr="00944B15">
              <w:rPr>
                <w:rFonts w:cs="Times New Roman"/>
                <w:szCs w:val="24"/>
              </w:rPr>
              <w:t xml:space="preserve"> when the anterior shoulder is delivered or immediately after birth</w:t>
            </w:r>
          </w:p>
        </w:tc>
      </w:tr>
      <w:tr w:rsidR="00223CE8" w:rsidRPr="00944B15" w14:paraId="08A079A4" w14:textId="77777777" w:rsidTr="002D6DD7">
        <w:trPr>
          <w:gridAfter w:val="1"/>
          <w:wAfter w:w="236" w:type="dxa"/>
          <w:jc w:val="center"/>
        </w:trPr>
        <w:tc>
          <w:tcPr>
            <w:tcW w:w="2695" w:type="dxa"/>
          </w:tcPr>
          <w:p w14:paraId="6EF44B0B" w14:textId="77777777" w:rsidR="00223CE8" w:rsidRPr="00944B15" w:rsidRDefault="00223CE8" w:rsidP="002D6DD7">
            <w:pPr>
              <w:rPr>
                <w:rFonts w:cs="Times New Roman"/>
                <w:szCs w:val="24"/>
              </w:rPr>
            </w:pPr>
            <w:r w:rsidRPr="00944B15">
              <w:rPr>
                <w:rFonts w:cs="Times New Roman"/>
                <w:szCs w:val="24"/>
              </w:rPr>
              <w:lastRenderedPageBreak/>
              <w:t>Contraindications</w:t>
            </w:r>
          </w:p>
        </w:tc>
        <w:tc>
          <w:tcPr>
            <w:tcW w:w="6882" w:type="dxa"/>
          </w:tcPr>
          <w:p w14:paraId="2CEFDA8F" w14:textId="77777777" w:rsidR="00223CE8" w:rsidRPr="00944B15" w:rsidRDefault="00223CE8" w:rsidP="002D6DD7">
            <w:pPr>
              <w:jc w:val="both"/>
              <w:rPr>
                <w:rFonts w:cs="Times New Roman"/>
                <w:szCs w:val="24"/>
              </w:rPr>
            </w:pPr>
            <w:r w:rsidRPr="00944B15">
              <w:rPr>
                <w:rFonts w:cs="Times New Roman"/>
                <w:szCs w:val="24"/>
              </w:rPr>
              <w:t>Vascular disease, severe cardiac disease especially angina pectoris, severe hypertension, severe renal and hepatic impairment, sepsis, eclampsia, any suspicion of retained placenta, severe or persistent sepsis, first and second stages of labor</w:t>
            </w:r>
          </w:p>
        </w:tc>
      </w:tr>
      <w:tr w:rsidR="00223CE8" w:rsidRPr="00944B15" w14:paraId="335ACC24" w14:textId="77777777" w:rsidTr="002D6DD7">
        <w:trPr>
          <w:gridAfter w:val="1"/>
          <w:wAfter w:w="236" w:type="dxa"/>
          <w:jc w:val="center"/>
        </w:trPr>
        <w:tc>
          <w:tcPr>
            <w:tcW w:w="2695" w:type="dxa"/>
          </w:tcPr>
          <w:p w14:paraId="0F674C51" w14:textId="77777777" w:rsidR="00223CE8" w:rsidRPr="00944B15" w:rsidRDefault="00223CE8" w:rsidP="002D6DD7">
            <w:pPr>
              <w:rPr>
                <w:rFonts w:cs="Times New Roman"/>
                <w:szCs w:val="24"/>
              </w:rPr>
            </w:pPr>
            <w:r w:rsidRPr="00944B15">
              <w:rPr>
                <w:rFonts w:cs="Times New Roman"/>
                <w:szCs w:val="24"/>
              </w:rPr>
              <w:t>Drug interactions</w:t>
            </w:r>
          </w:p>
        </w:tc>
        <w:tc>
          <w:tcPr>
            <w:tcW w:w="6882" w:type="dxa"/>
          </w:tcPr>
          <w:p w14:paraId="08E77AB3" w14:textId="77777777" w:rsidR="00223CE8" w:rsidRPr="00944B15" w:rsidRDefault="00223CE8" w:rsidP="002D6DD7">
            <w:pPr>
              <w:jc w:val="both"/>
              <w:rPr>
                <w:rFonts w:cs="Times New Roman"/>
                <w:szCs w:val="24"/>
              </w:rPr>
            </w:pPr>
            <w:r w:rsidRPr="00944B15">
              <w:rPr>
                <w:rFonts w:cs="Times New Roman"/>
                <w:szCs w:val="24"/>
              </w:rPr>
              <w:t>Sympathomimetics</w:t>
            </w:r>
            <w:r>
              <w:rPr>
                <w:rFonts w:cs="Times New Roman"/>
                <w:szCs w:val="24"/>
              </w:rPr>
              <w:t>, beta-b</w:t>
            </w:r>
            <w:r w:rsidRPr="00944B15">
              <w:rPr>
                <w:rFonts w:cs="Times New Roman"/>
                <w:szCs w:val="24"/>
              </w:rPr>
              <w:t>lockers</w:t>
            </w:r>
            <w:r>
              <w:rPr>
                <w:rFonts w:cs="Times New Roman"/>
                <w:szCs w:val="24"/>
              </w:rPr>
              <w:t>,</w:t>
            </w:r>
            <w:r w:rsidRPr="00944B15">
              <w:rPr>
                <w:rFonts w:cs="Times New Roman"/>
                <w:szCs w:val="24"/>
              </w:rPr>
              <w:t xml:space="preserve"> methoxamine, </w:t>
            </w:r>
            <w:r>
              <w:rPr>
                <w:rFonts w:cs="Times New Roman"/>
                <w:szCs w:val="24"/>
              </w:rPr>
              <w:t xml:space="preserve">ketamine, macrolides, </w:t>
            </w:r>
            <w:r w:rsidRPr="00944B15">
              <w:rPr>
                <w:rFonts w:cs="Times New Roman"/>
                <w:szCs w:val="24"/>
              </w:rPr>
              <w:t>protease inhibitors, anti-epileptics, antifungals (azoles), dronedarone, diltiazem, verapamil, sumatriptan, rifampicin, bromocriptine, efavirenz, nevirapine, imatinib, St. John’s Wort, grape juice, lamivudine, abacavir, nitroglycerine</w:t>
            </w:r>
          </w:p>
        </w:tc>
      </w:tr>
      <w:tr w:rsidR="00223CE8" w:rsidRPr="00944B15" w14:paraId="2E3B8CAA" w14:textId="77777777" w:rsidTr="002D6DD7">
        <w:trPr>
          <w:gridAfter w:val="1"/>
          <w:wAfter w:w="236" w:type="dxa"/>
          <w:jc w:val="center"/>
        </w:trPr>
        <w:tc>
          <w:tcPr>
            <w:tcW w:w="2695" w:type="dxa"/>
          </w:tcPr>
          <w:p w14:paraId="3D5653E0" w14:textId="77777777" w:rsidR="00223CE8" w:rsidRPr="00944B15" w:rsidRDefault="00223CE8" w:rsidP="002D6DD7">
            <w:pPr>
              <w:rPr>
                <w:rFonts w:cs="Times New Roman"/>
                <w:szCs w:val="24"/>
              </w:rPr>
            </w:pPr>
            <w:r w:rsidRPr="00944B15">
              <w:rPr>
                <w:rFonts w:cs="Times New Roman"/>
                <w:szCs w:val="24"/>
              </w:rPr>
              <w:t>Side effects</w:t>
            </w:r>
          </w:p>
        </w:tc>
        <w:tc>
          <w:tcPr>
            <w:tcW w:w="6882" w:type="dxa"/>
          </w:tcPr>
          <w:p w14:paraId="33DC8733" w14:textId="77777777" w:rsidR="00223CE8" w:rsidRPr="00944B15" w:rsidRDefault="00223CE8" w:rsidP="002D6DD7">
            <w:pPr>
              <w:jc w:val="both"/>
              <w:rPr>
                <w:rFonts w:cs="Times New Roman"/>
                <w:szCs w:val="24"/>
              </w:rPr>
            </w:pPr>
            <w:r w:rsidRPr="00944B15">
              <w:rPr>
                <w:rFonts w:cs="Times New Roman"/>
                <w:szCs w:val="24"/>
              </w:rPr>
              <w:t xml:space="preserve">Nausea, vomiting, headache, dizziness, tinnitus, abdominal pain, chest pain, palpitations, dyspnea, bradycardia, transient hypertension, vasoconstriction, stroke, MI and pulmonary edema. </w:t>
            </w:r>
          </w:p>
        </w:tc>
      </w:tr>
      <w:tr w:rsidR="00223CE8" w:rsidRPr="00944B15" w14:paraId="7240235B" w14:textId="77777777" w:rsidTr="002D6DD7">
        <w:trPr>
          <w:gridAfter w:val="1"/>
          <w:wAfter w:w="236" w:type="dxa"/>
          <w:jc w:val="center"/>
        </w:trPr>
        <w:tc>
          <w:tcPr>
            <w:tcW w:w="2695" w:type="dxa"/>
          </w:tcPr>
          <w:p w14:paraId="3D902721" w14:textId="77777777" w:rsidR="00223CE8" w:rsidRPr="00944B15" w:rsidRDefault="00223CE8" w:rsidP="002D6DD7">
            <w:pPr>
              <w:rPr>
                <w:rFonts w:cs="Times New Roman"/>
                <w:szCs w:val="24"/>
              </w:rPr>
            </w:pPr>
            <w:r w:rsidRPr="00944B15">
              <w:rPr>
                <w:rFonts w:cs="Times New Roman"/>
                <w:szCs w:val="24"/>
              </w:rPr>
              <w:t xml:space="preserve">Cautions </w:t>
            </w:r>
          </w:p>
        </w:tc>
        <w:tc>
          <w:tcPr>
            <w:tcW w:w="6882" w:type="dxa"/>
          </w:tcPr>
          <w:p w14:paraId="5E3A00DE" w14:textId="77777777" w:rsidR="00223CE8" w:rsidRPr="00944B15" w:rsidRDefault="00223CE8" w:rsidP="002D6DD7">
            <w:pPr>
              <w:jc w:val="both"/>
              <w:rPr>
                <w:rFonts w:cs="Times New Roman"/>
                <w:szCs w:val="24"/>
              </w:rPr>
            </w:pPr>
            <w:r w:rsidRPr="00944B15">
              <w:rPr>
                <w:rFonts w:cs="Times New Roman"/>
                <w:szCs w:val="24"/>
              </w:rPr>
              <w:t xml:space="preserve">Hepatic impairment, renal impairment, </w:t>
            </w:r>
            <w:r>
              <w:rPr>
                <w:rFonts w:cs="Times New Roman"/>
                <w:szCs w:val="24"/>
              </w:rPr>
              <w:t>multiple pregnancy, porphyria, h</w:t>
            </w:r>
            <w:r w:rsidRPr="00944B15">
              <w:rPr>
                <w:rFonts w:cs="Times New Roman"/>
                <w:szCs w:val="24"/>
              </w:rPr>
              <w:t>ypercholesterolemia, osteoporosis, angina or myocardial infarction calcium deficiency, con</w:t>
            </w:r>
            <w:r>
              <w:rPr>
                <w:rFonts w:cs="Times New Roman"/>
                <w:szCs w:val="24"/>
              </w:rPr>
              <w:t>vulsions and gangrene.</w:t>
            </w:r>
          </w:p>
        </w:tc>
      </w:tr>
      <w:tr w:rsidR="00223CE8" w:rsidRPr="00944B15" w14:paraId="7CA9B917" w14:textId="77777777" w:rsidTr="002D6DD7">
        <w:trPr>
          <w:gridAfter w:val="1"/>
          <w:wAfter w:w="236" w:type="dxa"/>
          <w:jc w:val="center"/>
        </w:trPr>
        <w:tc>
          <w:tcPr>
            <w:tcW w:w="2695" w:type="dxa"/>
          </w:tcPr>
          <w:p w14:paraId="21994AAE" w14:textId="77777777" w:rsidR="00223CE8" w:rsidRPr="00944B15" w:rsidRDefault="00223CE8" w:rsidP="002D6DD7">
            <w:pPr>
              <w:rPr>
                <w:rFonts w:cs="Times New Roman"/>
                <w:szCs w:val="24"/>
              </w:rPr>
            </w:pPr>
            <w:r w:rsidRPr="00944B15">
              <w:rPr>
                <w:rFonts w:cs="Times New Roman"/>
                <w:szCs w:val="24"/>
              </w:rPr>
              <w:t>Storage condition</w:t>
            </w:r>
          </w:p>
        </w:tc>
        <w:tc>
          <w:tcPr>
            <w:tcW w:w="6882" w:type="dxa"/>
          </w:tcPr>
          <w:p w14:paraId="10D2A8FD" w14:textId="77777777" w:rsidR="00223CE8" w:rsidRPr="00944B15" w:rsidRDefault="00223CE8" w:rsidP="002D6DD7">
            <w:pPr>
              <w:rPr>
                <w:rFonts w:cs="Times New Roman"/>
                <w:szCs w:val="24"/>
              </w:rPr>
            </w:pPr>
            <w:r>
              <w:rPr>
                <w:rFonts w:cs="Times New Roman"/>
                <w:szCs w:val="24"/>
              </w:rPr>
              <w:t>Store below</w:t>
            </w:r>
            <w:r w:rsidRPr="00944B15">
              <w:rPr>
                <w:rFonts w:cs="Times New Roman"/>
                <w:szCs w:val="24"/>
              </w:rPr>
              <w:t xml:space="preserve"> </w:t>
            </w:r>
            <w:r>
              <w:rPr>
                <w:rFonts w:cs="Times New Roman"/>
                <w:szCs w:val="24"/>
              </w:rPr>
              <w:t>between 2-8°C. Protect</w:t>
            </w:r>
            <w:r w:rsidRPr="00944B15">
              <w:rPr>
                <w:rFonts w:cs="Times New Roman"/>
                <w:szCs w:val="24"/>
              </w:rPr>
              <w:t xml:space="preserve"> from light.</w:t>
            </w:r>
          </w:p>
        </w:tc>
      </w:tr>
      <w:tr w:rsidR="00223CE8" w:rsidRPr="00944B15" w14:paraId="145547ED" w14:textId="77777777" w:rsidTr="002D6DD7">
        <w:trPr>
          <w:gridAfter w:val="2"/>
          <w:wAfter w:w="7118" w:type="dxa"/>
          <w:jc w:val="center"/>
        </w:trPr>
        <w:tc>
          <w:tcPr>
            <w:tcW w:w="2695" w:type="dxa"/>
          </w:tcPr>
          <w:p w14:paraId="162E96A0" w14:textId="77777777" w:rsidR="00223CE8" w:rsidRPr="00944B15" w:rsidRDefault="00223CE8" w:rsidP="002D6DD7">
            <w:pPr>
              <w:rPr>
                <w:rFonts w:cs="Times New Roman"/>
                <w:b/>
                <w:szCs w:val="24"/>
              </w:rPr>
            </w:pPr>
            <w:r w:rsidRPr="00944B15">
              <w:rPr>
                <w:rFonts w:cs="Times New Roman"/>
                <w:b/>
                <w:szCs w:val="24"/>
              </w:rPr>
              <w:t xml:space="preserve">Misoprostol </w:t>
            </w:r>
          </w:p>
        </w:tc>
      </w:tr>
      <w:tr w:rsidR="00223CE8" w:rsidRPr="00944B15" w14:paraId="4C83D241" w14:textId="77777777" w:rsidTr="002D6DD7">
        <w:trPr>
          <w:gridAfter w:val="1"/>
          <w:wAfter w:w="236" w:type="dxa"/>
          <w:jc w:val="center"/>
        </w:trPr>
        <w:tc>
          <w:tcPr>
            <w:tcW w:w="2695" w:type="dxa"/>
          </w:tcPr>
          <w:p w14:paraId="26B513BC" w14:textId="77777777" w:rsidR="00223CE8" w:rsidRPr="00944B15" w:rsidRDefault="00223CE8" w:rsidP="002D6DD7">
            <w:pPr>
              <w:rPr>
                <w:rFonts w:cs="Times New Roman"/>
                <w:szCs w:val="24"/>
              </w:rPr>
            </w:pPr>
            <w:r w:rsidRPr="00944B15">
              <w:rPr>
                <w:rFonts w:cs="Times New Roman"/>
                <w:szCs w:val="24"/>
              </w:rPr>
              <w:t>Pharmacological class</w:t>
            </w:r>
          </w:p>
        </w:tc>
        <w:tc>
          <w:tcPr>
            <w:tcW w:w="6882" w:type="dxa"/>
          </w:tcPr>
          <w:p w14:paraId="0BC2D576" w14:textId="77777777" w:rsidR="00223CE8" w:rsidRPr="00944B15" w:rsidRDefault="00223CE8" w:rsidP="002D6DD7">
            <w:pPr>
              <w:rPr>
                <w:rFonts w:cs="Times New Roman"/>
                <w:szCs w:val="24"/>
              </w:rPr>
            </w:pPr>
            <w:r w:rsidRPr="00944B15">
              <w:rPr>
                <w:rFonts w:cs="Times New Roman"/>
                <w:szCs w:val="24"/>
              </w:rPr>
              <w:t>Urotonic agent, Synthetic prostaglandin E1 analogue</w:t>
            </w:r>
          </w:p>
        </w:tc>
      </w:tr>
      <w:tr w:rsidR="00223CE8" w:rsidRPr="00944B15" w14:paraId="19869BF9" w14:textId="77777777" w:rsidTr="002D6DD7">
        <w:trPr>
          <w:jc w:val="center"/>
        </w:trPr>
        <w:tc>
          <w:tcPr>
            <w:tcW w:w="2695" w:type="dxa"/>
          </w:tcPr>
          <w:p w14:paraId="7825DEE7" w14:textId="77777777" w:rsidR="00223CE8" w:rsidRPr="00944B15" w:rsidRDefault="00223CE8" w:rsidP="002D6DD7">
            <w:pPr>
              <w:rPr>
                <w:rFonts w:cs="Times New Roman"/>
                <w:szCs w:val="24"/>
              </w:rPr>
            </w:pPr>
            <w:r w:rsidRPr="00944B15">
              <w:rPr>
                <w:rFonts w:cs="Times New Roman"/>
                <w:szCs w:val="24"/>
              </w:rPr>
              <w:t>Dosage form</w:t>
            </w:r>
          </w:p>
        </w:tc>
        <w:tc>
          <w:tcPr>
            <w:tcW w:w="6882" w:type="dxa"/>
          </w:tcPr>
          <w:p w14:paraId="5FE53535" w14:textId="77777777" w:rsidR="00223CE8" w:rsidRPr="00944B15" w:rsidRDefault="00223CE8" w:rsidP="002D6DD7">
            <w:pPr>
              <w:rPr>
                <w:rFonts w:eastAsia="Times New Roman" w:cs="Times New Roman"/>
                <w:szCs w:val="24"/>
              </w:rPr>
            </w:pPr>
            <w:r w:rsidRPr="00944B15">
              <w:rPr>
                <w:rFonts w:eastAsia="Times New Roman" w:cs="Times New Roman"/>
                <w:szCs w:val="24"/>
                <w:lang w:val="fr-FR"/>
              </w:rPr>
              <w:t>Vaginal Tablet : 0.025mg</w:t>
            </w:r>
          </w:p>
        </w:tc>
        <w:tc>
          <w:tcPr>
            <w:tcW w:w="236" w:type="dxa"/>
          </w:tcPr>
          <w:p w14:paraId="773724AB" w14:textId="77777777" w:rsidR="00223CE8" w:rsidRPr="00944B15" w:rsidRDefault="00223CE8" w:rsidP="002D6DD7">
            <w:pPr>
              <w:rPr>
                <w:rFonts w:eastAsia="Times New Roman" w:cs="Times New Roman"/>
                <w:szCs w:val="24"/>
              </w:rPr>
            </w:pPr>
          </w:p>
        </w:tc>
      </w:tr>
      <w:tr w:rsidR="00223CE8" w:rsidRPr="00944B15" w14:paraId="43C39B1B" w14:textId="77777777" w:rsidTr="002D6DD7">
        <w:trPr>
          <w:gridAfter w:val="1"/>
          <w:wAfter w:w="236" w:type="dxa"/>
          <w:jc w:val="center"/>
        </w:trPr>
        <w:tc>
          <w:tcPr>
            <w:tcW w:w="2695" w:type="dxa"/>
          </w:tcPr>
          <w:p w14:paraId="5C1A7001" w14:textId="77777777" w:rsidR="00223CE8" w:rsidRPr="00944B15" w:rsidRDefault="00223CE8" w:rsidP="002D6DD7">
            <w:pPr>
              <w:rPr>
                <w:rFonts w:cs="Times New Roman"/>
                <w:szCs w:val="24"/>
              </w:rPr>
            </w:pPr>
            <w:r w:rsidRPr="00944B15">
              <w:rPr>
                <w:rFonts w:cs="Times New Roman"/>
                <w:szCs w:val="24"/>
              </w:rPr>
              <w:t>Indications</w:t>
            </w:r>
          </w:p>
        </w:tc>
        <w:tc>
          <w:tcPr>
            <w:tcW w:w="6882" w:type="dxa"/>
          </w:tcPr>
          <w:p w14:paraId="7D47BA50" w14:textId="77777777" w:rsidR="00223CE8" w:rsidRPr="00944B15" w:rsidRDefault="00223CE8" w:rsidP="002D6DD7">
            <w:pPr>
              <w:rPr>
                <w:rFonts w:cs="Times New Roman"/>
                <w:szCs w:val="24"/>
              </w:rPr>
            </w:pPr>
            <w:r w:rsidRPr="005C1DC3">
              <w:rPr>
                <w:rFonts w:cs="Times New Roman"/>
                <w:szCs w:val="24"/>
              </w:rPr>
              <w:t>Cervical ripening and labor induction</w:t>
            </w:r>
          </w:p>
        </w:tc>
      </w:tr>
      <w:tr w:rsidR="00223CE8" w:rsidRPr="00944B15" w14:paraId="2D5811DC" w14:textId="77777777" w:rsidTr="002D6DD7">
        <w:trPr>
          <w:gridAfter w:val="1"/>
          <w:wAfter w:w="236" w:type="dxa"/>
          <w:jc w:val="center"/>
        </w:trPr>
        <w:tc>
          <w:tcPr>
            <w:tcW w:w="2695" w:type="dxa"/>
          </w:tcPr>
          <w:p w14:paraId="42222104" w14:textId="77777777" w:rsidR="00223CE8" w:rsidRPr="00944B15" w:rsidRDefault="00223CE8" w:rsidP="002D6DD7">
            <w:pPr>
              <w:rPr>
                <w:rFonts w:cs="Times New Roman"/>
                <w:szCs w:val="24"/>
              </w:rPr>
            </w:pPr>
            <w:r w:rsidRPr="00944B15">
              <w:rPr>
                <w:rFonts w:cs="Times New Roman"/>
                <w:szCs w:val="24"/>
              </w:rPr>
              <w:t>Dose and administration</w:t>
            </w:r>
          </w:p>
        </w:tc>
        <w:tc>
          <w:tcPr>
            <w:tcW w:w="6882" w:type="dxa"/>
          </w:tcPr>
          <w:p w14:paraId="325977DC" w14:textId="77777777" w:rsidR="00223CE8" w:rsidRPr="00944B15" w:rsidRDefault="00223CE8" w:rsidP="002D6DD7">
            <w:pPr>
              <w:rPr>
                <w:rFonts w:cs="Times New Roman"/>
                <w:szCs w:val="24"/>
              </w:rPr>
            </w:pPr>
            <w:r w:rsidRPr="00944B15">
              <w:rPr>
                <w:rFonts w:cs="Times New Roman"/>
                <w:b/>
                <w:szCs w:val="24"/>
              </w:rPr>
              <w:t>Induction of labor</w:t>
            </w:r>
            <w:r w:rsidRPr="00944B15">
              <w:rPr>
                <w:rFonts w:cs="Times New Roman"/>
                <w:szCs w:val="24"/>
              </w:rPr>
              <w:t>: Initially 25 m</w:t>
            </w:r>
            <w:r>
              <w:rPr>
                <w:rFonts w:cs="Times New Roman"/>
                <w:szCs w:val="24"/>
              </w:rPr>
              <w:t xml:space="preserve">cg </w:t>
            </w:r>
            <w:r w:rsidRPr="00944B15">
              <w:rPr>
                <w:rFonts w:cs="Times New Roman"/>
                <w:szCs w:val="24"/>
              </w:rPr>
              <w:t>vaginally, repeated after 6 hours if necessary; if still no response, increase to 50 m</w:t>
            </w:r>
            <w:r>
              <w:rPr>
                <w:rFonts w:cs="Times New Roman"/>
                <w:szCs w:val="24"/>
              </w:rPr>
              <w:t xml:space="preserve">cg </w:t>
            </w:r>
            <w:r w:rsidRPr="00944B15">
              <w:rPr>
                <w:rFonts w:cs="Times New Roman"/>
                <w:szCs w:val="24"/>
              </w:rPr>
              <w:t>every 6 hours for up to 4 doses</w:t>
            </w:r>
          </w:p>
        </w:tc>
      </w:tr>
      <w:tr w:rsidR="00223CE8" w:rsidRPr="00944B15" w14:paraId="0BDC2133" w14:textId="77777777" w:rsidTr="002D6DD7">
        <w:trPr>
          <w:gridAfter w:val="1"/>
          <w:wAfter w:w="236" w:type="dxa"/>
          <w:jc w:val="center"/>
        </w:trPr>
        <w:tc>
          <w:tcPr>
            <w:tcW w:w="2695" w:type="dxa"/>
          </w:tcPr>
          <w:p w14:paraId="26B1DDB8" w14:textId="77777777" w:rsidR="00223CE8" w:rsidRPr="00944B15" w:rsidRDefault="00223CE8" w:rsidP="002D6DD7">
            <w:pPr>
              <w:rPr>
                <w:rFonts w:cs="Times New Roman"/>
                <w:szCs w:val="24"/>
              </w:rPr>
            </w:pPr>
            <w:r w:rsidRPr="00944B15">
              <w:rPr>
                <w:rFonts w:cs="Times New Roman"/>
                <w:szCs w:val="24"/>
              </w:rPr>
              <w:t>Contraindications</w:t>
            </w:r>
          </w:p>
        </w:tc>
        <w:tc>
          <w:tcPr>
            <w:tcW w:w="6882" w:type="dxa"/>
          </w:tcPr>
          <w:p w14:paraId="1093A98C" w14:textId="77777777" w:rsidR="00223CE8" w:rsidRPr="00944B15" w:rsidRDefault="00223CE8" w:rsidP="002D6DD7">
            <w:pPr>
              <w:jc w:val="both"/>
              <w:rPr>
                <w:rFonts w:cs="Times New Roman"/>
                <w:szCs w:val="24"/>
              </w:rPr>
            </w:pPr>
            <w:r w:rsidRPr="00944B15">
              <w:rPr>
                <w:rFonts w:cs="Times New Roman"/>
                <w:szCs w:val="24"/>
              </w:rPr>
              <w:t>Placenta praevia or unexplained vaginal bleeding during pregnancy, ruptured membranes, major cephalo</w:t>
            </w:r>
            <w:r>
              <w:rPr>
                <w:rFonts w:cs="Times New Roman"/>
                <w:szCs w:val="24"/>
              </w:rPr>
              <w:t>-</w:t>
            </w:r>
            <w:r w:rsidRPr="00944B15">
              <w:rPr>
                <w:rFonts w:cs="Times New Roman"/>
                <w:szCs w:val="24"/>
              </w:rPr>
              <w:t>pelvic disproportion or fetal malpresentation, history of caesarean section or major uterine surgery, untreated pelvic infection, fetal distress, grand multiparas and multiple pregnancy, history of difficult or traumatic delivery.</w:t>
            </w:r>
          </w:p>
        </w:tc>
      </w:tr>
      <w:tr w:rsidR="00223CE8" w:rsidRPr="00944B15" w14:paraId="5A9CC1CA" w14:textId="77777777" w:rsidTr="002D6DD7">
        <w:trPr>
          <w:gridAfter w:val="1"/>
          <w:wAfter w:w="236" w:type="dxa"/>
          <w:jc w:val="center"/>
        </w:trPr>
        <w:tc>
          <w:tcPr>
            <w:tcW w:w="2695" w:type="dxa"/>
          </w:tcPr>
          <w:p w14:paraId="16F263FE" w14:textId="77777777" w:rsidR="00223CE8" w:rsidRPr="00944B15" w:rsidRDefault="00223CE8" w:rsidP="002D6DD7">
            <w:pPr>
              <w:rPr>
                <w:rFonts w:cs="Times New Roman"/>
                <w:szCs w:val="24"/>
              </w:rPr>
            </w:pPr>
            <w:r w:rsidRPr="00944B15">
              <w:rPr>
                <w:rFonts w:cs="Times New Roman"/>
                <w:szCs w:val="24"/>
              </w:rPr>
              <w:t>Drug interactions</w:t>
            </w:r>
          </w:p>
        </w:tc>
        <w:tc>
          <w:tcPr>
            <w:tcW w:w="6882" w:type="dxa"/>
          </w:tcPr>
          <w:p w14:paraId="6BF2BF2B" w14:textId="77777777" w:rsidR="00223CE8" w:rsidRPr="00944B15" w:rsidRDefault="00223CE8" w:rsidP="002D6DD7">
            <w:pPr>
              <w:rPr>
                <w:rFonts w:cs="Times New Roman"/>
                <w:szCs w:val="24"/>
              </w:rPr>
            </w:pPr>
            <w:r>
              <w:rPr>
                <w:rFonts w:cs="Times New Roman"/>
                <w:szCs w:val="24"/>
              </w:rPr>
              <w:t>Magnesium-containing antacids, o</w:t>
            </w:r>
            <w:r w:rsidRPr="00944B15">
              <w:rPr>
                <w:rFonts w:cs="Times New Roman"/>
                <w:szCs w:val="24"/>
              </w:rPr>
              <w:t>xytocic agents, NSAIDs</w:t>
            </w:r>
          </w:p>
        </w:tc>
      </w:tr>
      <w:tr w:rsidR="00223CE8" w:rsidRPr="00944B15" w14:paraId="17FA121D" w14:textId="77777777" w:rsidTr="002D6DD7">
        <w:trPr>
          <w:gridAfter w:val="1"/>
          <w:wAfter w:w="236" w:type="dxa"/>
          <w:jc w:val="center"/>
        </w:trPr>
        <w:tc>
          <w:tcPr>
            <w:tcW w:w="2695" w:type="dxa"/>
          </w:tcPr>
          <w:p w14:paraId="4AC3553F" w14:textId="77777777" w:rsidR="00223CE8" w:rsidRPr="00944B15" w:rsidRDefault="00223CE8" w:rsidP="002D6DD7">
            <w:pPr>
              <w:rPr>
                <w:rFonts w:cs="Times New Roman"/>
                <w:szCs w:val="24"/>
              </w:rPr>
            </w:pPr>
            <w:r w:rsidRPr="00944B15">
              <w:rPr>
                <w:rFonts w:cs="Times New Roman"/>
                <w:szCs w:val="24"/>
              </w:rPr>
              <w:t>Side effects</w:t>
            </w:r>
          </w:p>
        </w:tc>
        <w:tc>
          <w:tcPr>
            <w:tcW w:w="6882" w:type="dxa"/>
          </w:tcPr>
          <w:p w14:paraId="42AA3D2F" w14:textId="77777777" w:rsidR="00223CE8" w:rsidRPr="00944B15" w:rsidRDefault="00223CE8" w:rsidP="002D6DD7">
            <w:pPr>
              <w:jc w:val="both"/>
              <w:rPr>
                <w:rFonts w:cs="Times New Roman"/>
                <w:szCs w:val="24"/>
              </w:rPr>
            </w:pPr>
            <w:r w:rsidRPr="00944B15">
              <w:rPr>
                <w:rFonts w:cs="Times New Roman"/>
                <w:szCs w:val="24"/>
              </w:rPr>
              <w:t xml:space="preserve">Chills, constipation, diarrhea, dizziness, fever, flatulence, </w:t>
            </w:r>
            <w:r w:rsidRPr="00944B15">
              <w:rPr>
                <w:rFonts w:cs="Times New Roman"/>
                <w:szCs w:val="24"/>
              </w:rPr>
              <w:lastRenderedPageBreak/>
              <w:t>gastrointestinal discomfort, headache, nau</w:t>
            </w:r>
            <w:r>
              <w:rPr>
                <w:rFonts w:cs="Times New Roman"/>
                <w:szCs w:val="24"/>
              </w:rPr>
              <w:t>sea, skin reactions, vomiting, h</w:t>
            </w:r>
            <w:r w:rsidRPr="00944B15">
              <w:rPr>
                <w:rFonts w:cs="Times New Roman"/>
                <w:szCs w:val="24"/>
              </w:rPr>
              <w:t>emorrhage, menstrual cycle irregularities, postmenopausal hemorrhage, uterine cramp</w:t>
            </w:r>
          </w:p>
        </w:tc>
      </w:tr>
      <w:tr w:rsidR="00223CE8" w:rsidRPr="00944B15" w14:paraId="517DDC99" w14:textId="77777777" w:rsidTr="002D6DD7">
        <w:trPr>
          <w:gridAfter w:val="1"/>
          <w:wAfter w:w="236" w:type="dxa"/>
          <w:jc w:val="center"/>
        </w:trPr>
        <w:tc>
          <w:tcPr>
            <w:tcW w:w="2695" w:type="dxa"/>
          </w:tcPr>
          <w:p w14:paraId="6F95946F" w14:textId="77777777" w:rsidR="00223CE8" w:rsidRPr="00944B15" w:rsidRDefault="00223CE8" w:rsidP="002D6DD7">
            <w:pPr>
              <w:rPr>
                <w:rFonts w:cs="Times New Roman"/>
                <w:szCs w:val="24"/>
              </w:rPr>
            </w:pPr>
            <w:r w:rsidRPr="00944B15">
              <w:rPr>
                <w:rFonts w:cs="Times New Roman"/>
                <w:szCs w:val="24"/>
              </w:rPr>
              <w:lastRenderedPageBreak/>
              <w:t xml:space="preserve">Cautions </w:t>
            </w:r>
          </w:p>
        </w:tc>
        <w:tc>
          <w:tcPr>
            <w:tcW w:w="6882" w:type="dxa"/>
          </w:tcPr>
          <w:p w14:paraId="586C657A" w14:textId="77777777" w:rsidR="00223CE8" w:rsidRPr="00944B15" w:rsidRDefault="00223CE8" w:rsidP="002D6DD7">
            <w:pPr>
              <w:jc w:val="both"/>
              <w:rPr>
                <w:rFonts w:cs="Times New Roman"/>
                <w:szCs w:val="24"/>
              </w:rPr>
            </w:pPr>
            <w:r>
              <w:rPr>
                <w:rFonts w:cs="Times New Roman"/>
                <w:szCs w:val="24"/>
              </w:rPr>
              <w:t>H</w:t>
            </w:r>
            <w:r w:rsidRPr="00944B15">
              <w:rPr>
                <w:rFonts w:cs="Times New Roman"/>
                <w:szCs w:val="24"/>
              </w:rPr>
              <w:t>ypot</w:t>
            </w:r>
            <w:r>
              <w:rPr>
                <w:rFonts w:cs="Times New Roman"/>
                <w:szCs w:val="24"/>
              </w:rPr>
              <w:t>ension, active pelvic infection</w:t>
            </w:r>
          </w:p>
        </w:tc>
      </w:tr>
      <w:tr w:rsidR="00223CE8" w:rsidRPr="00944B15" w14:paraId="50F4DCF3" w14:textId="77777777" w:rsidTr="002D6DD7">
        <w:trPr>
          <w:gridAfter w:val="1"/>
          <w:wAfter w:w="236" w:type="dxa"/>
          <w:jc w:val="center"/>
        </w:trPr>
        <w:tc>
          <w:tcPr>
            <w:tcW w:w="2695" w:type="dxa"/>
          </w:tcPr>
          <w:p w14:paraId="6484CD45" w14:textId="77777777" w:rsidR="00223CE8" w:rsidRPr="00944B15" w:rsidRDefault="00223CE8" w:rsidP="002D6DD7">
            <w:pPr>
              <w:rPr>
                <w:rFonts w:cs="Times New Roman"/>
                <w:szCs w:val="24"/>
              </w:rPr>
            </w:pPr>
            <w:r w:rsidRPr="00944B15">
              <w:rPr>
                <w:rFonts w:cs="Times New Roman"/>
                <w:szCs w:val="24"/>
              </w:rPr>
              <w:t>Storage condition</w:t>
            </w:r>
          </w:p>
        </w:tc>
        <w:tc>
          <w:tcPr>
            <w:tcW w:w="6882" w:type="dxa"/>
          </w:tcPr>
          <w:p w14:paraId="55C3BB4A" w14:textId="77777777" w:rsidR="00223CE8" w:rsidRPr="00944B15" w:rsidRDefault="00223CE8" w:rsidP="002D6DD7">
            <w:pPr>
              <w:rPr>
                <w:rFonts w:cs="Times New Roman"/>
                <w:szCs w:val="24"/>
              </w:rPr>
            </w:pPr>
            <w:r w:rsidRPr="00944B15">
              <w:rPr>
                <w:rFonts w:cs="Times New Roman"/>
                <w:szCs w:val="24"/>
              </w:rPr>
              <w:t>Store</w:t>
            </w:r>
            <w:r>
              <w:rPr>
                <w:rFonts w:cs="Times New Roman"/>
                <w:szCs w:val="24"/>
              </w:rPr>
              <w:t xml:space="preserve"> below 30°C.</w:t>
            </w:r>
          </w:p>
        </w:tc>
      </w:tr>
      <w:tr w:rsidR="00223CE8" w:rsidRPr="00944B15" w14:paraId="471D7C2C" w14:textId="77777777" w:rsidTr="002D6DD7">
        <w:trPr>
          <w:gridAfter w:val="1"/>
          <w:wAfter w:w="236" w:type="dxa"/>
          <w:jc w:val="center"/>
        </w:trPr>
        <w:tc>
          <w:tcPr>
            <w:tcW w:w="9577" w:type="dxa"/>
            <w:gridSpan w:val="2"/>
          </w:tcPr>
          <w:p w14:paraId="5CCD32AA" w14:textId="77777777" w:rsidR="00223CE8" w:rsidRPr="00944B15" w:rsidRDefault="00223CE8" w:rsidP="002D6DD7">
            <w:pPr>
              <w:rPr>
                <w:rFonts w:cs="Times New Roman"/>
                <w:b/>
                <w:szCs w:val="24"/>
              </w:rPr>
            </w:pPr>
            <w:r w:rsidRPr="00944B15">
              <w:rPr>
                <w:rFonts w:cs="Times New Roman"/>
                <w:b/>
                <w:szCs w:val="24"/>
              </w:rPr>
              <w:t>Misoprostol + Mifepristone</w:t>
            </w:r>
          </w:p>
        </w:tc>
      </w:tr>
      <w:tr w:rsidR="00223CE8" w:rsidRPr="00944B15" w14:paraId="365143BD" w14:textId="77777777" w:rsidTr="002D6DD7">
        <w:trPr>
          <w:gridAfter w:val="1"/>
          <w:wAfter w:w="236" w:type="dxa"/>
          <w:jc w:val="center"/>
        </w:trPr>
        <w:tc>
          <w:tcPr>
            <w:tcW w:w="2695" w:type="dxa"/>
          </w:tcPr>
          <w:p w14:paraId="51318AB6" w14:textId="77777777" w:rsidR="00223CE8" w:rsidRPr="00944B15" w:rsidRDefault="00223CE8" w:rsidP="002D6DD7">
            <w:pPr>
              <w:rPr>
                <w:rFonts w:cs="Times New Roman"/>
                <w:szCs w:val="24"/>
              </w:rPr>
            </w:pPr>
            <w:r w:rsidRPr="00944B15">
              <w:rPr>
                <w:rFonts w:cs="Times New Roman"/>
                <w:szCs w:val="24"/>
              </w:rPr>
              <w:t>Pharmacological class</w:t>
            </w:r>
          </w:p>
        </w:tc>
        <w:tc>
          <w:tcPr>
            <w:tcW w:w="6882" w:type="dxa"/>
          </w:tcPr>
          <w:p w14:paraId="74A34314" w14:textId="77777777" w:rsidR="00223CE8" w:rsidRPr="00944B15" w:rsidRDefault="00223CE8" w:rsidP="002D6DD7">
            <w:pPr>
              <w:pStyle w:val="NormalWeb"/>
              <w:spacing w:before="0" w:beforeAutospacing="0" w:after="0" w:afterAutospacing="0" w:line="360" w:lineRule="auto"/>
            </w:pPr>
            <w:r w:rsidRPr="00944B15">
              <w:t xml:space="preserve">Prostaglandin E1 analog </w:t>
            </w:r>
            <w:r>
              <w:t>+</w:t>
            </w:r>
            <w:r w:rsidRPr="00944B15">
              <w:t xml:space="preserve"> antiprogestogen</w:t>
            </w:r>
          </w:p>
        </w:tc>
      </w:tr>
      <w:tr w:rsidR="00223CE8" w:rsidRPr="00944B15" w14:paraId="0BF9C325" w14:textId="77777777" w:rsidTr="002D6DD7">
        <w:trPr>
          <w:gridAfter w:val="1"/>
          <w:wAfter w:w="236" w:type="dxa"/>
          <w:jc w:val="center"/>
        </w:trPr>
        <w:tc>
          <w:tcPr>
            <w:tcW w:w="2695" w:type="dxa"/>
          </w:tcPr>
          <w:p w14:paraId="66A06BAC" w14:textId="77777777" w:rsidR="00223CE8" w:rsidRPr="00944B15" w:rsidRDefault="00223CE8" w:rsidP="002D6DD7">
            <w:pPr>
              <w:rPr>
                <w:rFonts w:cs="Times New Roman"/>
                <w:szCs w:val="24"/>
              </w:rPr>
            </w:pPr>
            <w:r w:rsidRPr="00944B15">
              <w:rPr>
                <w:rFonts w:cs="Times New Roman"/>
                <w:szCs w:val="24"/>
              </w:rPr>
              <w:t>Dosage form</w:t>
            </w:r>
          </w:p>
        </w:tc>
        <w:tc>
          <w:tcPr>
            <w:tcW w:w="6882" w:type="dxa"/>
          </w:tcPr>
          <w:p w14:paraId="334F804C" w14:textId="77777777" w:rsidR="00223CE8" w:rsidRPr="00944B15" w:rsidRDefault="00223CE8" w:rsidP="002D6DD7">
            <w:pPr>
              <w:rPr>
                <w:rFonts w:cs="Times New Roman"/>
                <w:szCs w:val="24"/>
              </w:rPr>
            </w:pPr>
            <w:r w:rsidRPr="00944B15">
              <w:rPr>
                <w:rFonts w:eastAsia="Times New Roman" w:cs="Times New Roman"/>
                <w:szCs w:val="24"/>
                <w:lang w:val="fr-FR"/>
              </w:rPr>
              <w:t>Tablet : 200mcg + 200mg</w:t>
            </w:r>
          </w:p>
        </w:tc>
      </w:tr>
      <w:tr w:rsidR="00223CE8" w:rsidRPr="00944B15" w14:paraId="32809642" w14:textId="77777777" w:rsidTr="002D6DD7">
        <w:trPr>
          <w:gridAfter w:val="1"/>
          <w:wAfter w:w="236" w:type="dxa"/>
          <w:jc w:val="center"/>
        </w:trPr>
        <w:tc>
          <w:tcPr>
            <w:tcW w:w="2695" w:type="dxa"/>
          </w:tcPr>
          <w:p w14:paraId="07C02CA0" w14:textId="77777777" w:rsidR="00223CE8" w:rsidRPr="00944B15" w:rsidRDefault="00223CE8" w:rsidP="002D6DD7">
            <w:pPr>
              <w:rPr>
                <w:rFonts w:cs="Times New Roman"/>
                <w:szCs w:val="24"/>
              </w:rPr>
            </w:pPr>
            <w:r w:rsidRPr="00944B15">
              <w:rPr>
                <w:rFonts w:cs="Times New Roman"/>
                <w:szCs w:val="24"/>
              </w:rPr>
              <w:t>Indications</w:t>
            </w:r>
          </w:p>
        </w:tc>
        <w:tc>
          <w:tcPr>
            <w:tcW w:w="6882" w:type="dxa"/>
          </w:tcPr>
          <w:p w14:paraId="727CA2DB" w14:textId="77777777" w:rsidR="00223CE8" w:rsidRPr="00944B15" w:rsidRDefault="00223CE8" w:rsidP="002D6DD7">
            <w:pPr>
              <w:rPr>
                <w:rFonts w:cs="Times New Roman"/>
                <w:szCs w:val="24"/>
              </w:rPr>
            </w:pPr>
            <w:r w:rsidRPr="00944B15">
              <w:rPr>
                <w:rFonts w:cs="Times New Roman"/>
                <w:szCs w:val="24"/>
              </w:rPr>
              <w:t>Medical termination of intrauterine pregnancy of up to 63 days gestation,</w:t>
            </w:r>
          </w:p>
        </w:tc>
      </w:tr>
      <w:tr w:rsidR="00223CE8" w:rsidRPr="00944B15" w14:paraId="5C0C0437" w14:textId="77777777" w:rsidTr="002D6DD7">
        <w:trPr>
          <w:gridAfter w:val="1"/>
          <w:wAfter w:w="236" w:type="dxa"/>
          <w:jc w:val="center"/>
        </w:trPr>
        <w:tc>
          <w:tcPr>
            <w:tcW w:w="2695" w:type="dxa"/>
          </w:tcPr>
          <w:p w14:paraId="0A112EA2" w14:textId="77777777" w:rsidR="00223CE8" w:rsidRPr="00944B15" w:rsidRDefault="00223CE8" w:rsidP="002D6DD7">
            <w:pPr>
              <w:rPr>
                <w:rFonts w:cs="Times New Roman"/>
                <w:szCs w:val="24"/>
              </w:rPr>
            </w:pPr>
            <w:r w:rsidRPr="00944B15">
              <w:rPr>
                <w:rFonts w:cs="Times New Roman"/>
                <w:szCs w:val="24"/>
              </w:rPr>
              <w:t>Dose and administration</w:t>
            </w:r>
          </w:p>
        </w:tc>
        <w:tc>
          <w:tcPr>
            <w:tcW w:w="6882" w:type="dxa"/>
          </w:tcPr>
          <w:p w14:paraId="5036A95C" w14:textId="77777777" w:rsidR="00223CE8" w:rsidRPr="00944B15" w:rsidRDefault="00223CE8" w:rsidP="002D6DD7">
            <w:pPr>
              <w:jc w:val="both"/>
              <w:rPr>
                <w:rFonts w:cs="Times New Roman"/>
                <w:szCs w:val="24"/>
              </w:rPr>
            </w:pPr>
            <w:r w:rsidRPr="00DB7E3F">
              <w:rPr>
                <w:rFonts w:cs="Times New Roman"/>
                <w:szCs w:val="24"/>
              </w:rPr>
              <w:t>Oral:</w:t>
            </w:r>
            <w:r w:rsidRPr="00944B15">
              <w:rPr>
                <w:rFonts w:cs="Times New Roman"/>
                <w:szCs w:val="24"/>
              </w:rPr>
              <w:t xml:space="preserve"> Mifepristone 200 mg as a single dose, followed 24–48 hours later (unless abortion already complete) by misoprostol 800 m</w:t>
            </w:r>
            <w:r>
              <w:rPr>
                <w:rFonts w:cs="Times New Roman"/>
                <w:szCs w:val="24"/>
              </w:rPr>
              <w:t>cg</w:t>
            </w:r>
            <w:r w:rsidRPr="00944B15">
              <w:rPr>
                <w:rFonts w:cs="Times New Roman"/>
                <w:szCs w:val="24"/>
              </w:rPr>
              <w:t xml:space="preserve"> </w:t>
            </w:r>
            <w:r>
              <w:rPr>
                <w:rFonts w:cs="Times New Roman"/>
                <w:szCs w:val="24"/>
              </w:rPr>
              <w:t>orally, buccally, or vaginally.</w:t>
            </w:r>
          </w:p>
        </w:tc>
      </w:tr>
      <w:tr w:rsidR="00223CE8" w:rsidRPr="00944B15" w14:paraId="49FDD1F6" w14:textId="77777777" w:rsidTr="002D6DD7">
        <w:trPr>
          <w:gridAfter w:val="1"/>
          <w:wAfter w:w="236" w:type="dxa"/>
          <w:jc w:val="center"/>
        </w:trPr>
        <w:tc>
          <w:tcPr>
            <w:tcW w:w="2695" w:type="dxa"/>
          </w:tcPr>
          <w:p w14:paraId="540A8AFF" w14:textId="77777777" w:rsidR="00223CE8" w:rsidRPr="00944B15" w:rsidRDefault="00223CE8" w:rsidP="002D6DD7">
            <w:pPr>
              <w:rPr>
                <w:rFonts w:cs="Times New Roman"/>
                <w:szCs w:val="24"/>
              </w:rPr>
            </w:pPr>
            <w:r w:rsidRPr="00944B15">
              <w:rPr>
                <w:rFonts w:cs="Times New Roman"/>
                <w:szCs w:val="24"/>
              </w:rPr>
              <w:t>Contraindications</w:t>
            </w:r>
          </w:p>
        </w:tc>
        <w:tc>
          <w:tcPr>
            <w:tcW w:w="6882" w:type="dxa"/>
          </w:tcPr>
          <w:p w14:paraId="33832A62" w14:textId="77777777" w:rsidR="00223CE8" w:rsidRPr="00944B15" w:rsidRDefault="00223CE8" w:rsidP="002D6DD7">
            <w:pPr>
              <w:jc w:val="both"/>
              <w:rPr>
                <w:rFonts w:cs="Times New Roman"/>
                <w:szCs w:val="24"/>
              </w:rPr>
            </w:pPr>
            <w:r w:rsidRPr="00944B15">
              <w:rPr>
                <w:rFonts w:cs="Times New Roman"/>
                <w:szCs w:val="24"/>
              </w:rPr>
              <w:t>Uncontrolled severe asthma, suspected ectopic pregnancy (use other specific means of termination), chronic adrenal failure, porphyria.</w:t>
            </w:r>
          </w:p>
        </w:tc>
      </w:tr>
      <w:tr w:rsidR="00223CE8" w:rsidRPr="00944B15" w14:paraId="2824BE73" w14:textId="77777777" w:rsidTr="002D6DD7">
        <w:trPr>
          <w:gridAfter w:val="1"/>
          <w:wAfter w:w="236" w:type="dxa"/>
          <w:jc w:val="center"/>
        </w:trPr>
        <w:tc>
          <w:tcPr>
            <w:tcW w:w="2695" w:type="dxa"/>
          </w:tcPr>
          <w:p w14:paraId="296C9479" w14:textId="77777777" w:rsidR="00223CE8" w:rsidRPr="00944B15" w:rsidRDefault="00223CE8" w:rsidP="002D6DD7">
            <w:pPr>
              <w:rPr>
                <w:rFonts w:cs="Times New Roman"/>
                <w:szCs w:val="24"/>
              </w:rPr>
            </w:pPr>
            <w:r w:rsidRPr="00944B15">
              <w:rPr>
                <w:rFonts w:cs="Times New Roman"/>
                <w:szCs w:val="24"/>
              </w:rPr>
              <w:t>Drug interactions</w:t>
            </w:r>
          </w:p>
        </w:tc>
        <w:tc>
          <w:tcPr>
            <w:tcW w:w="6882" w:type="dxa"/>
          </w:tcPr>
          <w:p w14:paraId="4588B216" w14:textId="77777777" w:rsidR="00223CE8" w:rsidRPr="00944B15" w:rsidRDefault="00223CE8" w:rsidP="002D6DD7">
            <w:pPr>
              <w:jc w:val="both"/>
              <w:rPr>
                <w:rFonts w:cs="Times New Roman"/>
                <w:szCs w:val="24"/>
              </w:rPr>
            </w:pPr>
            <w:r w:rsidRPr="00944B15">
              <w:rPr>
                <w:rFonts w:cs="Times New Roman"/>
                <w:szCs w:val="24"/>
              </w:rPr>
              <w:t>Magnesium-containing antacids, NSAIDs, alprazolam, amiodarone, a</w:t>
            </w:r>
            <w:r>
              <w:rPr>
                <w:rFonts w:cs="Times New Roman"/>
                <w:szCs w:val="24"/>
              </w:rPr>
              <w:t>ml</w:t>
            </w:r>
            <w:r w:rsidRPr="00944B15">
              <w:rPr>
                <w:rFonts w:cs="Times New Roman"/>
                <w:szCs w:val="24"/>
              </w:rPr>
              <w:t>odipine, anticoagulants (e.g., warfarin), aprepitant, aripiprazole, artemether lumefantrine, atorvastatin, bromocriptine, corticosteroids, hormonal contraceptives, ketamine, midazolam, nimodipine, oxytocin, salmetrol, quetiapine, quinidine, grapefruit juice</w:t>
            </w:r>
          </w:p>
        </w:tc>
      </w:tr>
      <w:tr w:rsidR="00223CE8" w:rsidRPr="00944B15" w14:paraId="2CAA03B8" w14:textId="77777777" w:rsidTr="002D6DD7">
        <w:trPr>
          <w:gridAfter w:val="1"/>
          <w:wAfter w:w="236" w:type="dxa"/>
          <w:jc w:val="center"/>
        </w:trPr>
        <w:tc>
          <w:tcPr>
            <w:tcW w:w="2695" w:type="dxa"/>
          </w:tcPr>
          <w:p w14:paraId="24AB0E0E" w14:textId="77777777" w:rsidR="00223CE8" w:rsidRPr="00944B15" w:rsidRDefault="00223CE8" w:rsidP="002D6DD7">
            <w:pPr>
              <w:rPr>
                <w:rFonts w:cs="Times New Roman"/>
                <w:szCs w:val="24"/>
              </w:rPr>
            </w:pPr>
            <w:r w:rsidRPr="00944B15">
              <w:rPr>
                <w:rFonts w:cs="Times New Roman"/>
                <w:szCs w:val="24"/>
              </w:rPr>
              <w:t>Side effects</w:t>
            </w:r>
          </w:p>
        </w:tc>
        <w:tc>
          <w:tcPr>
            <w:tcW w:w="6882" w:type="dxa"/>
          </w:tcPr>
          <w:p w14:paraId="5147057A" w14:textId="77777777" w:rsidR="00223CE8" w:rsidRPr="00944B15" w:rsidRDefault="00223CE8" w:rsidP="002D6DD7">
            <w:pPr>
              <w:jc w:val="both"/>
              <w:rPr>
                <w:rFonts w:cs="Times New Roman"/>
                <w:szCs w:val="24"/>
              </w:rPr>
            </w:pPr>
            <w:r w:rsidRPr="00944B15">
              <w:rPr>
                <w:rFonts w:cs="Times New Roman"/>
                <w:szCs w:val="24"/>
              </w:rPr>
              <w:t>Nausea, vomiting, GI cramps, uterine</w:t>
            </w:r>
            <w:r>
              <w:rPr>
                <w:rFonts w:cs="Times New Roman"/>
                <w:szCs w:val="24"/>
              </w:rPr>
              <w:t xml:space="preserve"> contractions, vaginal bleeding, </w:t>
            </w:r>
            <w:r w:rsidRPr="00944B15">
              <w:rPr>
                <w:rFonts w:cs="Times New Roman"/>
                <w:szCs w:val="24"/>
              </w:rPr>
              <w:t>pain, dizziness, diarrhea, fever, weakness, chills, hypersensitivity reactions including rash, urticaria, and facial oedema, septic shock, infection, breast tenderness, endometritis.</w:t>
            </w:r>
          </w:p>
        </w:tc>
      </w:tr>
      <w:tr w:rsidR="00223CE8" w:rsidRPr="00944B15" w14:paraId="2B234037" w14:textId="77777777" w:rsidTr="002D6DD7">
        <w:trPr>
          <w:gridAfter w:val="1"/>
          <w:wAfter w:w="236" w:type="dxa"/>
          <w:jc w:val="center"/>
        </w:trPr>
        <w:tc>
          <w:tcPr>
            <w:tcW w:w="2695" w:type="dxa"/>
          </w:tcPr>
          <w:p w14:paraId="115D80FD" w14:textId="77777777" w:rsidR="00223CE8" w:rsidRPr="00944B15" w:rsidRDefault="00223CE8" w:rsidP="002D6DD7">
            <w:pPr>
              <w:rPr>
                <w:rFonts w:cs="Times New Roman"/>
                <w:szCs w:val="24"/>
              </w:rPr>
            </w:pPr>
            <w:r w:rsidRPr="00944B15">
              <w:rPr>
                <w:rFonts w:cs="Times New Roman"/>
                <w:szCs w:val="24"/>
              </w:rPr>
              <w:t xml:space="preserve">Cautions </w:t>
            </w:r>
          </w:p>
        </w:tc>
        <w:tc>
          <w:tcPr>
            <w:tcW w:w="6882" w:type="dxa"/>
          </w:tcPr>
          <w:p w14:paraId="4B2A26E7" w14:textId="77777777" w:rsidR="00223CE8" w:rsidRPr="00944B15" w:rsidRDefault="00223CE8" w:rsidP="002D6DD7">
            <w:pPr>
              <w:jc w:val="both"/>
              <w:rPr>
                <w:rFonts w:cs="Times New Roman"/>
                <w:szCs w:val="24"/>
              </w:rPr>
            </w:pPr>
            <w:r>
              <w:rPr>
                <w:rFonts w:cs="Times New Roman"/>
                <w:szCs w:val="24"/>
              </w:rPr>
              <w:t xml:space="preserve">Asthma, </w:t>
            </w:r>
            <w:r w:rsidRPr="00944B15">
              <w:rPr>
                <w:rFonts w:cs="Times New Roman"/>
                <w:szCs w:val="24"/>
              </w:rPr>
              <w:t>hemorrhagic disorders and anticoagulant therapy, prosthetic heart valve or history of endocarditis, smokers aged over 35 years, adrenal suppression, hepatic or r</w:t>
            </w:r>
            <w:r>
              <w:rPr>
                <w:rFonts w:cs="Times New Roman"/>
                <w:szCs w:val="24"/>
              </w:rPr>
              <w:t>enal impairment, breastfeeding.</w:t>
            </w:r>
          </w:p>
        </w:tc>
      </w:tr>
      <w:tr w:rsidR="00223CE8" w:rsidRPr="00944B15" w14:paraId="5F33F963" w14:textId="77777777" w:rsidTr="002D6DD7">
        <w:trPr>
          <w:gridAfter w:val="1"/>
          <w:wAfter w:w="236" w:type="dxa"/>
          <w:jc w:val="center"/>
        </w:trPr>
        <w:tc>
          <w:tcPr>
            <w:tcW w:w="2695" w:type="dxa"/>
          </w:tcPr>
          <w:p w14:paraId="02633EB9" w14:textId="77777777" w:rsidR="00223CE8" w:rsidRPr="00944B15" w:rsidRDefault="00223CE8" w:rsidP="002D6DD7">
            <w:pPr>
              <w:rPr>
                <w:rFonts w:cs="Times New Roman"/>
                <w:szCs w:val="24"/>
              </w:rPr>
            </w:pPr>
            <w:r w:rsidRPr="00944B15">
              <w:rPr>
                <w:rFonts w:cs="Times New Roman"/>
                <w:szCs w:val="24"/>
              </w:rPr>
              <w:t>Storage condition</w:t>
            </w:r>
          </w:p>
        </w:tc>
        <w:tc>
          <w:tcPr>
            <w:tcW w:w="6882" w:type="dxa"/>
          </w:tcPr>
          <w:p w14:paraId="3469F049"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between 20°C and 30°C</w:t>
            </w:r>
            <w:r w:rsidRPr="00944B15">
              <w:rPr>
                <w:rFonts w:cs="Times New Roman"/>
                <w:szCs w:val="24"/>
              </w:rPr>
              <w:t xml:space="preserve">. </w:t>
            </w:r>
          </w:p>
        </w:tc>
      </w:tr>
      <w:tr w:rsidR="00223CE8" w:rsidRPr="00944B15" w14:paraId="75FD22D3" w14:textId="77777777" w:rsidTr="002D6DD7">
        <w:trPr>
          <w:gridAfter w:val="1"/>
          <w:wAfter w:w="236" w:type="dxa"/>
          <w:jc w:val="center"/>
        </w:trPr>
        <w:tc>
          <w:tcPr>
            <w:tcW w:w="9577" w:type="dxa"/>
            <w:gridSpan w:val="2"/>
          </w:tcPr>
          <w:p w14:paraId="67F325C7" w14:textId="77777777" w:rsidR="00223CE8" w:rsidRPr="00944B15" w:rsidRDefault="00223CE8" w:rsidP="002D6DD7">
            <w:pPr>
              <w:rPr>
                <w:rFonts w:cs="Times New Roman"/>
                <w:b/>
                <w:szCs w:val="24"/>
              </w:rPr>
            </w:pPr>
            <w:r w:rsidRPr="00944B15">
              <w:rPr>
                <w:rFonts w:cs="Times New Roman"/>
                <w:b/>
                <w:szCs w:val="24"/>
              </w:rPr>
              <w:t>Oxytocin</w:t>
            </w:r>
          </w:p>
        </w:tc>
      </w:tr>
      <w:tr w:rsidR="00223CE8" w:rsidRPr="00944B15" w14:paraId="7894EC6A" w14:textId="77777777" w:rsidTr="002D6DD7">
        <w:trPr>
          <w:gridAfter w:val="1"/>
          <w:wAfter w:w="236" w:type="dxa"/>
          <w:jc w:val="center"/>
        </w:trPr>
        <w:tc>
          <w:tcPr>
            <w:tcW w:w="2695" w:type="dxa"/>
          </w:tcPr>
          <w:p w14:paraId="0B2DE933" w14:textId="77777777" w:rsidR="00223CE8" w:rsidRPr="00944B15" w:rsidRDefault="00223CE8" w:rsidP="002D6DD7">
            <w:pPr>
              <w:rPr>
                <w:rFonts w:cs="Times New Roman"/>
                <w:szCs w:val="24"/>
              </w:rPr>
            </w:pPr>
            <w:r w:rsidRPr="00944B15">
              <w:rPr>
                <w:rFonts w:cs="Times New Roman"/>
                <w:szCs w:val="24"/>
              </w:rPr>
              <w:t>Pharmacological class</w:t>
            </w:r>
          </w:p>
        </w:tc>
        <w:tc>
          <w:tcPr>
            <w:tcW w:w="6882" w:type="dxa"/>
          </w:tcPr>
          <w:p w14:paraId="7B57F668" w14:textId="77777777" w:rsidR="00223CE8" w:rsidRPr="00944B15" w:rsidRDefault="00223CE8" w:rsidP="002D6DD7">
            <w:pPr>
              <w:rPr>
                <w:rFonts w:cs="Times New Roman"/>
                <w:szCs w:val="24"/>
              </w:rPr>
            </w:pPr>
            <w:r w:rsidRPr="00944B15">
              <w:rPr>
                <w:rFonts w:cs="Times New Roman"/>
                <w:szCs w:val="24"/>
              </w:rPr>
              <w:t xml:space="preserve">Uterotonic Agent </w:t>
            </w:r>
          </w:p>
        </w:tc>
      </w:tr>
      <w:tr w:rsidR="00223CE8" w:rsidRPr="00944B15" w14:paraId="07DAEEB3" w14:textId="77777777" w:rsidTr="002D6DD7">
        <w:trPr>
          <w:gridAfter w:val="1"/>
          <w:wAfter w:w="236" w:type="dxa"/>
          <w:jc w:val="center"/>
        </w:trPr>
        <w:tc>
          <w:tcPr>
            <w:tcW w:w="2695" w:type="dxa"/>
          </w:tcPr>
          <w:p w14:paraId="043E896F" w14:textId="77777777" w:rsidR="00223CE8" w:rsidRPr="00944B15" w:rsidRDefault="00223CE8" w:rsidP="002D6DD7">
            <w:pPr>
              <w:rPr>
                <w:rFonts w:cs="Times New Roman"/>
                <w:szCs w:val="24"/>
              </w:rPr>
            </w:pPr>
            <w:r w:rsidRPr="00944B15">
              <w:rPr>
                <w:rFonts w:cs="Times New Roman"/>
                <w:szCs w:val="24"/>
              </w:rPr>
              <w:lastRenderedPageBreak/>
              <w:t>Dosage form</w:t>
            </w:r>
          </w:p>
        </w:tc>
        <w:tc>
          <w:tcPr>
            <w:tcW w:w="6882" w:type="dxa"/>
          </w:tcPr>
          <w:p w14:paraId="6E2B2297" w14:textId="77777777" w:rsidR="00223CE8" w:rsidRPr="00944B15" w:rsidRDefault="00DB7E3F" w:rsidP="002D6DD7">
            <w:pPr>
              <w:rPr>
                <w:rFonts w:cs="Times New Roman"/>
                <w:szCs w:val="24"/>
              </w:rPr>
            </w:pPr>
            <w:r>
              <w:rPr>
                <w:rFonts w:eastAsia="Times New Roman" w:cs="Times New Roman"/>
                <w:szCs w:val="24"/>
                <w:lang w:val="fr-FR"/>
              </w:rPr>
              <w:t>Injection :</w:t>
            </w:r>
            <w:r w:rsidR="00223CE8">
              <w:rPr>
                <w:rFonts w:eastAsia="Times New Roman" w:cs="Times New Roman"/>
                <w:color w:val="000000"/>
                <w:szCs w:val="24"/>
                <w:lang w:val="sv-SE"/>
              </w:rPr>
              <w:t xml:space="preserve"> </w:t>
            </w:r>
            <w:r w:rsidR="00223CE8" w:rsidRPr="000A494E">
              <w:rPr>
                <w:rFonts w:eastAsia="Times New Roman" w:cs="Times New Roman"/>
                <w:color w:val="000000"/>
                <w:szCs w:val="24"/>
                <w:lang w:val="sv-SE"/>
              </w:rPr>
              <w:t>10unit/</w:t>
            </w:r>
            <w:r w:rsidR="00223CE8">
              <w:rPr>
                <w:rFonts w:eastAsia="Times New Roman" w:cs="Times New Roman"/>
                <w:color w:val="000000"/>
                <w:szCs w:val="24"/>
                <w:lang w:val="sv-SE"/>
              </w:rPr>
              <w:t>ml</w:t>
            </w:r>
          </w:p>
        </w:tc>
      </w:tr>
      <w:tr w:rsidR="00223CE8" w:rsidRPr="00944B15" w14:paraId="6F51FD5E" w14:textId="77777777" w:rsidTr="002D6DD7">
        <w:trPr>
          <w:gridAfter w:val="1"/>
          <w:wAfter w:w="236" w:type="dxa"/>
          <w:jc w:val="center"/>
        </w:trPr>
        <w:tc>
          <w:tcPr>
            <w:tcW w:w="2695" w:type="dxa"/>
          </w:tcPr>
          <w:p w14:paraId="7503F59B" w14:textId="77777777" w:rsidR="00223CE8" w:rsidRPr="00944B15" w:rsidRDefault="00223CE8" w:rsidP="002D6DD7">
            <w:pPr>
              <w:rPr>
                <w:rFonts w:cs="Times New Roman"/>
                <w:szCs w:val="24"/>
              </w:rPr>
            </w:pPr>
            <w:r w:rsidRPr="00944B15">
              <w:rPr>
                <w:rFonts w:cs="Times New Roman"/>
                <w:szCs w:val="24"/>
              </w:rPr>
              <w:t>Indications</w:t>
            </w:r>
          </w:p>
        </w:tc>
        <w:tc>
          <w:tcPr>
            <w:tcW w:w="6882" w:type="dxa"/>
          </w:tcPr>
          <w:p w14:paraId="33F23E6F" w14:textId="77777777" w:rsidR="00223CE8" w:rsidRPr="00944B15" w:rsidRDefault="00223CE8" w:rsidP="002D6DD7">
            <w:pPr>
              <w:rPr>
                <w:rFonts w:cs="Times New Roman"/>
                <w:szCs w:val="24"/>
              </w:rPr>
            </w:pPr>
            <w:r w:rsidRPr="00944B15">
              <w:rPr>
                <w:rFonts w:cs="Times New Roman"/>
                <w:szCs w:val="24"/>
              </w:rPr>
              <w:t xml:space="preserve">Induction of labor, prevention and treatment of </w:t>
            </w:r>
            <w:r>
              <w:rPr>
                <w:rFonts w:cs="Times New Roman"/>
                <w:szCs w:val="24"/>
              </w:rPr>
              <w:t>postpartum h</w:t>
            </w:r>
            <w:r w:rsidRPr="00F6722F">
              <w:rPr>
                <w:rFonts w:cs="Times New Roman"/>
                <w:szCs w:val="24"/>
              </w:rPr>
              <w:t xml:space="preserve">emorrhage </w:t>
            </w:r>
            <w:r>
              <w:rPr>
                <w:rFonts w:cs="Times New Roman"/>
                <w:szCs w:val="24"/>
              </w:rPr>
              <w:t>(</w:t>
            </w:r>
            <w:r w:rsidRPr="00944B15">
              <w:rPr>
                <w:rFonts w:cs="Times New Roman"/>
                <w:szCs w:val="24"/>
              </w:rPr>
              <w:t>PPH</w:t>
            </w:r>
            <w:r>
              <w:rPr>
                <w:rFonts w:cs="Times New Roman"/>
                <w:szCs w:val="24"/>
              </w:rPr>
              <w:t>)</w:t>
            </w:r>
            <w:r w:rsidRPr="00944B15">
              <w:rPr>
                <w:rFonts w:cs="Times New Roman"/>
                <w:szCs w:val="24"/>
              </w:rPr>
              <w:t xml:space="preserve"> </w:t>
            </w:r>
          </w:p>
        </w:tc>
      </w:tr>
      <w:tr w:rsidR="00223CE8" w:rsidRPr="00944B15" w14:paraId="74EB653F" w14:textId="77777777" w:rsidTr="002D6DD7">
        <w:trPr>
          <w:gridAfter w:val="1"/>
          <w:wAfter w:w="236" w:type="dxa"/>
          <w:jc w:val="center"/>
        </w:trPr>
        <w:tc>
          <w:tcPr>
            <w:tcW w:w="2695" w:type="dxa"/>
          </w:tcPr>
          <w:p w14:paraId="3771DF35" w14:textId="77777777" w:rsidR="00223CE8" w:rsidRPr="00944B15" w:rsidRDefault="00223CE8" w:rsidP="002D6DD7">
            <w:pPr>
              <w:rPr>
                <w:rFonts w:cs="Times New Roman"/>
                <w:szCs w:val="24"/>
              </w:rPr>
            </w:pPr>
            <w:r w:rsidRPr="00944B15">
              <w:rPr>
                <w:rFonts w:cs="Times New Roman"/>
                <w:szCs w:val="24"/>
              </w:rPr>
              <w:t>Dose and administration</w:t>
            </w:r>
          </w:p>
        </w:tc>
        <w:tc>
          <w:tcPr>
            <w:tcW w:w="6882" w:type="dxa"/>
          </w:tcPr>
          <w:p w14:paraId="268CC900" w14:textId="77777777" w:rsidR="00223CE8" w:rsidRPr="005C1DC3" w:rsidRDefault="00223CE8" w:rsidP="002D6DD7">
            <w:pPr>
              <w:jc w:val="both"/>
              <w:rPr>
                <w:rFonts w:cs="Times New Roman"/>
                <w:szCs w:val="24"/>
              </w:rPr>
            </w:pPr>
            <w:r w:rsidRPr="00944B15">
              <w:rPr>
                <w:rFonts w:cs="Times New Roman"/>
                <w:b/>
                <w:szCs w:val="24"/>
              </w:rPr>
              <w:t>Induction of labor</w:t>
            </w:r>
            <w:r w:rsidRPr="00944B15">
              <w:rPr>
                <w:rFonts w:cs="Times New Roman"/>
                <w:szCs w:val="24"/>
              </w:rPr>
              <w:t xml:space="preserve">, </w:t>
            </w:r>
            <w:r w:rsidRPr="00944B15">
              <w:rPr>
                <w:rFonts w:cs="Times New Roman"/>
                <w:b/>
                <w:szCs w:val="24"/>
              </w:rPr>
              <w:t>by IV infusion</w:t>
            </w:r>
            <w:r w:rsidRPr="00944B15">
              <w:rPr>
                <w:rFonts w:cs="Times New Roman"/>
                <w:szCs w:val="24"/>
              </w:rPr>
              <w:t xml:space="preserve">: </w:t>
            </w:r>
            <w:r w:rsidRPr="005C1DC3">
              <w:rPr>
                <w:rFonts w:cs="Times New Roman"/>
                <w:szCs w:val="24"/>
              </w:rPr>
              <w:t>Low dose regimen</w:t>
            </w:r>
          </w:p>
          <w:p w14:paraId="0207C930" w14:textId="77777777" w:rsidR="00223CE8" w:rsidRDefault="00223CE8" w:rsidP="002D6DD7">
            <w:pPr>
              <w:jc w:val="both"/>
              <w:rPr>
                <w:rFonts w:cs="Times New Roman"/>
                <w:szCs w:val="24"/>
              </w:rPr>
            </w:pPr>
            <w:r w:rsidRPr="00D76338">
              <w:rPr>
                <w:rFonts w:cs="Times New Roman"/>
                <w:b/>
                <w:szCs w:val="24"/>
              </w:rPr>
              <w:t>For primigravida</w:t>
            </w:r>
            <w:r w:rsidR="00DB7E3F">
              <w:rPr>
                <w:rFonts w:cs="Times New Roman"/>
                <w:b/>
                <w:szCs w:val="24"/>
              </w:rPr>
              <w:t>:</w:t>
            </w:r>
            <w:r w:rsidRPr="005C1DC3">
              <w:rPr>
                <w:rFonts w:cs="Times New Roman"/>
                <w:szCs w:val="24"/>
              </w:rPr>
              <w:t xml:space="preserve"> </w:t>
            </w:r>
          </w:p>
          <w:p w14:paraId="7FBDF526" w14:textId="77777777" w:rsidR="00223CE8" w:rsidRPr="005C1DC3" w:rsidRDefault="00223CE8" w:rsidP="002D6DD7">
            <w:pPr>
              <w:jc w:val="both"/>
              <w:rPr>
                <w:rFonts w:cs="Times New Roman"/>
                <w:szCs w:val="24"/>
              </w:rPr>
            </w:pPr>
            <w:r w:rsidRPr="005C1DC3">
              <w:rPr>
                <w:rFonts w:cs="Times New Roman"/>
                <w:szCs w:val="24"/>
              </w:rPr>
              <w:t>5 units in 1000</w:t>
            </w:r>
            <w:r>
              <w:rPr>
                <w:rFonts w:cs="Times New Roman"/>
                <w:szCs w:val="24"/>
              </w:rPr>
              <w:t>ml</w:t>
            </w:r>
            <w:r w:rsidRPr="005C1DC3">
              <w:rPr>
                <w:rFonts w:cs="Times New Roman"/>
                <w:szCs w:val="24"/>
              </w:rPr>
              <w:t xml:space="preserve"> N/S to run a</w:t>
            </w:r>
            <w:r>
              <w:rPr>
                <w:rFonts w:cs="Times New Roman"/>
                <w:szCs w:val="24"/>
              </w:rPr>
              <w:t>t 20drops/min (2mU/min), double t</w:t>
            </w:r>
            <w:r w:rsidRPr="005C1DC3">
              <w:rPr>
                <w:rFonts w:cs="Times New Roman"/>
                <w:szCs w:val="24"/>
              </w:rPr>
              <w:t>he drop every 20 minutes until adequate contracti</w:t>
            </w:r>
            <w:r>
              <w:rPr>
                <w:rFonts w:cs="Times New Roman"/>
                <w:szCs w:val="24"/>
              </w:rPr>
              <w:t xml:space="preserve">on is achieved to maximum of 80 </w:t>
            </w:r>
            <w:r w:rsidRPr="005C1DC3">
              <w:rPr>
                <w:rFonts w:cs="Times New Roman"/>
                <w:szCs w:val="24"/>
              </w:rPr>
              <w:t>drops/minute, if adequate contraction could n</w:t>
            </w:r>
            <w:r>
              <w:rPr>
                <w:rFonts w:cs="Times New Roman"/>
                <w:szCs w:val="24"/>
              </w:rPr>
              <w:t xml:space="preserve">ot be achieved with the maximum </w:t>
            </w:r>
            <w:r w:rsidRPr="005C1DC3">
              <w:rPr>
                <w:rFonts w:cs="Times New Roman"/>
                <w:szCs w:val="24"/>
              </w:rPr>
              <w:t>dose add 5 units to the same bag and start the drop</w:t>
            </w:r>
            <w:r>
              <w:rPr>
                <w:rFonts w:cs="Times New Roman"/>
                <w:szCs w:val="24"/>
              </w:rPr>
              <w:t xml:space="preserve"> from 40/minute, if there is no </w:t>
            </w:r>
            <w:r w:rsidRPr="005C1DC3">
              <w:rPr>
                <w:rFonts w:cs="Times New Roman"/>
                <w:szCs w:val="24"/>
              </w:rPr>
              <w:t>adequate contraction with this dose add 5 units mo</w:t>
            </w:r>
            <w:r>
              <w:rPr>
                <w:rFonts w:cs="Times New Roman"/>
                <w:szCs w:val="24"/>
              </w:rPr>
              <w:t xml:space="preserve">re to the same bag to a maximum dosage of </w:t>
            </w:r>
            <w:r w:rsidRPr="00666A51">
              <w:rPr>
                <w:rFonts w:cs="Times New Roman"/>
                <w:szCs w:val="24"/>
              </w:rPr>
              <w:t>64mU/min.</w:t>
            </w:r>
          </w:p>
          <w:p w14:paraId="3572B449" w14:textId="77777777" w:rsidR="00223CE8" w:rsidRPr="005C1DC3" w:rsidRDefault="00223CE8" w:rsidP="002D6DD7">
            <w:pPr>
              <w:jc w:val="both"/>
              <w:rPr>
                <w:rFonts w:cs="Times New Roman"/>
                <w:szCs w:val="24"/>
              </w:rPr>
            </w:pPr>
            <w:r w:rsidRPr="00D76338">
              <w:rPr>
                <w:rFonts w:cs="Times New Roman"/>
                <w:b/>
                <w:szCs w:val="24"/>
              </w:rPr>
              <w:t>For Multigravida:</w:t>
            </w:r>
            <w:r w:rsidRPr="005C1DC3">
              <w:rPr>
                <w:rFonts w:cs="Times New Roman"/>
                <w:szCs w:val="24"/>
              </w:rPr>
              <w:t xml:space="preserve"> Use half of the dose for primigravida women.</w:t>
            </w:r>
          </w:p>
          <w:p w14:paraId="0C7B1A48" w14:textId="77777777" w:rsidR="00223CE8" w:rsidRPr="00DB7E3F" w:rsidRDefault="00223CE8" w:rsidP="002D6DD7">
            <w:pPr>
              <w:jc w:val="both"/>
              <w:rPr>
                <w:rFonts w:cs="Times New Roman"/>
                <w:szCs w:val="24"/>
              </w:rPr>
            </w:pPr>
            <w:r w:rsidRPr="00DB7E3F">
              <w:rPr>
                <w:rFonts w:cs="Times New Roman"/>
                <w:szCs w:val="24"/>
              </w:rPr>
              <w:t>High dose regimen</w:t>
            </w:r>
            <w:r w:rsidR="00DB7E3F" w:rsidRPr="00DB7E3F">
              <w:rPr>
                <w:rFonts w:cs="Times New Roman"/>
                <w:szCs w:val="24"/>
              </w:rPr>
              <w:t>:</w:t>
            </w:r>
          </w:p>
          <w:p w14:paraId="69ABF3C0" w14:textId="77777777" w:rsidR="00223CE8" w:rsidRDefault="00223CE8" w:rsidP="002D6DD7">
            <w:pPr>
              <w:jc w:val="both"/>
              <w:rPr>
                <w:rFonts w:cs="Times New Roman"/>
                <w:szCs w:val="24"/>
              </w:rPr>
            </w:pPr>
            <w:r w:rsidRPr="005C1DC3">
              <w:rPr>
                <w:rFonts w:cs="Times New Roman"/>
                <w:szCs w:val="24"/>
              </w:rPr>
              <w:t>Start with 6mU/min and increase the dosage by</w:t>
            </w:r>
            <w:r>
              <w:rPr>
                <w:rFonts w:cs="Times New Roman"/>
                <w:szCs w:val="24"/>
              </w:rPr>
              <w:t xml:space="preserve"> 6mU/min every 15 minutes until </w:t>
            </w:r>
            <w:r w:rsidRPr="005C1DC3">
              <w:rPr>
                <w:rFonts w:cs="Times New Roman"/>
                <w:szCs w:val="24"/>
              </w:rPr>
              <w:t>adequate contraction is achieved to maximum o</w:t>
            </w:r>
            <w:r>
              <w:rPr>
                <w:rFonts w:cs="Times New Roman"/>
                <w:szCs w:val="24"/>
              </w:rPr>
              <w:t xml:space="preserve">f 64mU/min for primigravida and </w:t>
            </w:r>
            <w:r w:rsidRPr="005C1DC3">
              <w:rPr>
                <w:rFonts w:cs="Times New Roman"/>
                <w:szCs w:val="24"/>
              </w:rPr>
              <w:t>32mU/min for multigravida.</w:t>
            </w:r>
          </w:p>
          <w:p w14:paraId="04B3046A" w14:textId="77777777" w:rsidR="00223CE8" w:rsidRPr="00944B15" w:rsidRDefault="00223CE8" w:rsidP="002D6DD7">
            <w:pPr>
              <w:jc w:val="both"/>
              <w:rPr>
                <w:rFonts w:cs="Times New Roman"/>
                <w:szCs w:val="24"/>
              </w:rPr>
            </w:pPr>
            <w:r w:rsidRPr="00944B15">
              <w:rPr>
                <w:rFonts w:cs="Times New Roman"/>
                <w:b/>
                <w:szCs w:val="24"/>
              </w:rPr>
              <w:t>Prevention of PPH, by IM injection</w:t>
            </w:r>
            <w:r w:rsidRPr="00944B15">
              <w:rPr>
                <w:rFonts w:cs="Times New Roman"/>
                <w:szCs w:val="24"/>
              </w:rPr>
              <w:t xml:space="preserve">: 10 IU when the anterior shoulder is delivered or immediately after birth </w:t>
            </w:r>
          </w:p>
          <w:p w14:paraId="62BD0D0E" w14:textId="77777777" w:rsidR="00223CE8" w:rsidRPr="00944B15" w:rsidRDefault="00223CE8" w:rsidP="002D6DD7">
            <w:pPr>
              <w:jc w:val="both"/>
              <w:rPr>
                <w:rFonts w:cs="Times New Roman"/>
                <w:szCs w:val="24"/>
              </w:rPr>
            </w:pPr>
            <w:r w:rsidRPr="00944B15">
              <w:rPr>
                <w:rFonts w:cs="Times New Roman"/>
                <w:b/>
                <w:szCs w:val="24"/>
              </w:rPr>
              <w:t>Prevention of PPH, by slow IV injection</w:t>
            </w:r>
            <w:r w:rsidRPr="00944B15">
              <w:rPr>
                <w:rFonts w:cs="Times New Roman"/>
                <w:szCs w:val="24"/>
              </w:rPr>
              <w:t xml:space="preserve">: 5 IU when the anterior shoulder is delivered or immediately after birth </w:t>
            </w:r>
          </w:p>
          <w:p w14:paraId="09AAB4EC" w14:textId="77777777" w:rsidR="00223CE8" w:rsidRPr="00944B15" w:rsidRDefault="00223CE8" w:rsidP="002D6DD7">
            <w:pPr>
              <w:jc w:val="both"/>
              <w:rPr>
                <w:rFonts w:cs="Times New Roman"/>
                <w:szCs w:val="24"/>
              </w:rPr>
            </w:pPr>
            <w:r w:rsidRPr="00944B15">
              <w:rPr>
                <w:rFonts w:cs="Times New Roman"/>
                <w:b/>
                <w:szCs w:val="24"/>
              </w:rPr>
              <w:t>Treatment of PPH</w:t>
            </w:r>
            <w:r w:rsidRPr="00944B15">
              <w:rPr>
                <w:rFonts w:cs="Times New Roman"/>
                <w:szCs w:val="24"/>
              </w:rPr>
              <w:t>: By slow IV injection 5–10 IU, or by IM injection 10 IU, followed in severe cases by a total of 40 IU by IV infusion, at a rate of 0.02–0.04 IU/min, which should be started after the placenta is delivered</w:t>
            </w:r>
          </w:p>
        </w:tc>
      </w:tr>
      <w:tr w:rsidR="00223CE8" w:rsidRPr="00944B15" w14:paraId="775EDA55" w14:textId="77777777" w:rsidTr="002D6DD7">
        <w:trPr>
          <w:gridAfter w:val="1"/>
          <w:wAfter w:w="236" w:type="dxa"/>
          <w:jc w:val="center"/>
        </w:trPr>
        <w:tc>
          <w:tcPr>
            <w:tcW w:w="2695" w:type="dxa"/>
          </w:tcPr>
          <w:p w14:paraId="059825D7" w14:textId="77777777" w:rsidR="00223CE8" w:rsidRPr="00944B15" w:rsidRDefault="00223CE8" w:rsidP="002D6DD7">
            <w:pPr>
              <w:rPr>
                <w:rFonts w:cs="Times New Roman"/>
                <w:szCs w:val="24"/>
              </w:rPr>
            </w:pPr>
            <w:r w:rsidRPr="00944B15">
              <w:rPr>
                <w:rFonts w:cs="Times New Roman"/>
                <w:szCs w:val="24"/>
              </w:rPr>
              <w:t>Contraindications</w:t>
            </w:r>
          </w:p>
        </w:tc>
        <w:tc>
          <w:tcPr>
            <w:tcW w:w="6882" w:type="dxa"/>
          </w:tcPr>
          <w:p w14:paraId="38F057A3" w14:textId="77777777" w:rsidR="00223CE8" w:rsidRPr="00944B15" w:rsidRDefault="00223CE8" w:rsidP="002D6DD7">
            <w:pPr>
              <w:jc w:val="both"/>
              <w:rPr>
                <w:rFonts w:cs="Times New Roman"/>
                <w:szCs w:val="24"/>
              </w:rPr>
            </w:pPr>
            <w:r w:rsidRPr="00944B15">
              <w:rPr>
                <w:rFonts w:cs="Times New Roman"/>
                <w:szCs w:val="24"/>
              </w:rPr>
              <w:t xml:space="preserve">Hypersensitivity to </w:t>
            </w:r>
            <w:r>
              <w:rPr>
                <w:rFonts w:cs="Times New Roman"/>
                <w:szCs w:val="24"/>
              </w:rPr>
              <w:t>the drug, h</w:t>
            </w:r>
            <w:r w:rsidRPr="00944B15">
              <w:rPr>
                <w:rFonts w:cs="Times New Roman"/>
                <w:szCs w:val="24"/>
              </w:rPr>
              <w:t xml:space="preserve">ypertonic uterine contractions, mechanical obstruction to delivery, fetal distress, oxytocin-resistant uterine </w:t>
            </w:r>
            <w:r>
              <w:rPr>
                <w:rFonts w:cs="Times New Roman"/>
                <w:szCs w:val="24"/>
              </w:rPr>
              <w:t>inertia,</w:t>
            </w:r>
            <w:r w:rsidRPr="00944B15">
              <w:rPr>
                <w:rFonts w:cs="Times New Roman"/>
                <w:szCs w:val="24"/>
              </w:rPr>
              <w:t xml:space="preserve"> se</w:t>
            </w:r>
            <w:r>
              <w:rPr>
                <w:rFonts w:cs="Times New Roman"/>
                <w:szCs w:val="24"/>
              </w:rPr>
              <w:t>vere preeclampsia toxemia, or</w:t>
            </w:r>
            <w:r w:rsidRPr="00944B15">
              <w:rPr>
                <w:rFonts w:cs="Times New Roman"/>
                <w:szCs w:val="24"/>
              </w:rPr>
              <w:t xml:space="preserve"> severe cardiovascular disease, maj</w:t>
            </w:r>
            <w:r>
              <w:rPr>
                <w:rFonts w:cs="Times New Roman"/>
                <w:szCs w:val="24"/>
              </w:rPr>
              <w:t>or cephalopelvic disproportion</w:t>
            </w:r>
          </w:p>
        </w:tc>
      </w:tr>
      <w:tr w:rsidR="00223CE8" w:rsidRPr="00944B15" w14:paraId="717B30DB" w14:textId="77777777" w:rsidTr="002D6DD7">
        <w:trPr>
          <w:gridAfter w:val="1"/>
          <w:wAfter w:w="236" w:type="dxa"/>
          <w:jc w:val="center"/>
        </w:trPr>
        <w:tc>
          <w:tcPr>
            <w:tcW w:w="2695" w:type="dxa"/>
          </w:tcPr>
          <w:p w14:paraId="0CEAF215" w14:textId="77777777" w:rsidR="00223CE8" w:rsidRPr="00944B15" w:rsidRDefault="00223CE8" w:rsidP="002D6DD7">
            <w:pPr>
              <w:rPr>
                <w:rFonts w:cs="Times New Roman"/>
                <w:szCs w:val="24"/>
              </w:rPr>
            </w:pPr>
            <w:r w:rsidRPr="00944B15">
              <w:rPr>
                <w:rFonts w:cs="Times New Roman"/>
                <w:szCs w:val="24"/>
              </w:rPr>
              <w:t>Drug interactions</w:t>
            </w:r>
          </w:p>
        </w:tc>
        <w:tc>
          <w:tcPr>
            <w:tcW w:w="6882" w:type="dxa"/>
          </w:tcPr>
          <w:p w14:paraId="2C55C534" w14:textId="77777777" w:rsidR="00223CE8" w:rsidRPr="00944B15" w:rsidRDefault="00223CE8" w:rsidP="002D6DD7">
            <w:pPr>
              <w:rPr>
                <w:rFonts w:cs="Times New Roman"/>
                <w:szCs w:val="24"/>
              </w:rPr>
            </w:pPr>
            <w:r w:rsidRPr="00944B15">
              <w:rPr>
                <w:rFonts w:cs="Times New Roman"/>
                <w:szCs w:val="24"/>
              </w:rPr>
              <w:t>D</w:t>
            </w:r>
            <w:r>
              <w:rPr>
                <w:rFonts w:cs="Times New Roman"/>
                <w:szCs w:val="24"/>
              </w:rPr>
              <w:t>inoprostone, sympathomimetics, e</w:t>
            </w:r>
            <w:r w:rsidRPr="00944B15">
              <w:rPr>
                <w:rFonts w:cs="Times New Roman"/>
                <w:szCs w:val="24"/>
              </w:rPr>
              <w:t>phedrine (nasal and systemic), carboprost tromethamine, misoprostol, succinylcholine.</w:t>
            </w:r>
          </w:p>
        </w:tc>
      </w:tr>
      <w:tr w:rsidR="00223CE8" w:rsidRPr="00944B15" w14:paraId="0652E2F2" w14:textId="77777777" w:rsidTr="002D6DD7">
        <w:trPr>
          <w:gridAfter w:val="1"/>
          <w:wAfter w:w="236" w:type="dxa"/>
          <w:jc w:val="center"/>
        </w:trPr>
        <w:tc>
          <w:tcPr>
            <w:tcW w:w="2695" w:type="dxa"/>
          </w:tcPr>
          <w:p w14:paraId="1E0E4104" w14:textId="77777777" w:rsidR="00223CE8" w:rsidRPr="00944B15" w:rsidRDefault="00223CE8" w:rsidP="002D6DD7">
            <w:pPr>
              <w:rPr>
                <w:rFonts w:cs="Times New Roman"/>
                <w:szCs w:val="24"/>
              </w:rPr>
            </w:pPr>
            <w:r w:rsidRPr="00944B15">
              <w:rPr>
                <w:rFonts w:cs="Times New Roman"/>
                <w:szCs w:val="24"/>
              </w:rPr>
              <w:lastRenderedPageBreak/>
              <w:t>Side effects</w:t>
            </w:r>
          </w:p>
        </w:tc>
        <w:tc>
          <w:tcPr>
            <w:tcW w:w="6882" w:type="dxa"/>
          </w:tcPr>
          <w:p w14:paraId="23E0E8E2" w14:textId="77777777" w:rsidR="00223CE8" w:rsidRPr="00944B15" w:rsidRDefault="00223CE8" w:rsidP="002D6DD7">
            <w:pPr>
              <w:jc w:val="both"/>
              <w:rPr>
                <w:rFonts w:cs="Times New Roman"/>
                <w:szCs w:val="24"/>
              </w:rPr>
            </w:pPr>
            <w:r w:rsidRPr="00944B15">
              <w:rPr>
                <w:rFonts w:cs="Times New Roman"/>
                <w:szCs w:val="24"/>
              </w:rPr>
              <w:t>Uterine spasm</w:t>
            </w:r>
            <w:r>
              <w:rPr>
                <w:rFonts w:cs="Times New Roman"/>
                <w:szCs w:val="24"/>
              </w:rPr>
              <w:t>, and uterine hyperstimulation</w:t>
            </w:r>
            <w:r w:rsidRPr="00944B15">
              <w:rPr>
                <w:rFonts w:cs="Times New Roman"/>
                <w:szCs w:val="24"/>
              </w:rPr>
              <w:t>, may cause fetal distress, asphyxia and death, hypertonicity, tetanic contractions, soft tissue damage, or uterine rupture, water intoxicati</w:t>
            </w:r>
            <w:r>
              <w:rPr>
                <w:rFonts w:cs="Times New Roman"/>
                <w:szCs w:val="24"/>
              </w:rPr>
              <w:t>on and hyponatremia</w:t>
            </w:r>
            <w:r w:rsidRPr="00944B15">
              <w:rPr>
                <w:rFonts w:cs="Times New Roman"/>
                <w:szCs w:val="24"/>
              </w:rPr>
              <w:t>, nausea, vomiting, arrhythmias, rash and anaphylactoid reactions</w:t>
            </w:r>
          </w:p>
        </w:tc>
      </w:tr>
      <w:tr w:rsidR="00223CE8" w:rsidRPr="00944B15" w14:paraId="110644D7" w14:textId="77777777" w:rsidTr="002D6DD7">
        <w:trPr>
          <w:gridAfter w:val="1"/>
          <w:wAfter w:w="236" w:type="dxa"/>
          <w:jc w:val="center"/>
        </w:trPr>
        <w:tc>
          <w:tcPr>
            <w:tcW w:w="2695" w:type="dxa"/>
          </w:tcPr>
          <w:p w14:paraId="34D92446" w14:textId="77777777" w:rsidR="00223CE8" w:rsidRPr="00944B15" w:rsidRDefault="00223CE8" w:rsidP="002D6DD7">
            <w:pPr>
              <w:rPr>
                <w:rFonts w:cs="Times New Roman"/>
                <w:szCs w:val="24"/>
              </w:rPr>
            </w:pPr>
            <w:r w:rsidRPr="00944B15">
              <w:rPr>
                <w:rFonts w:cs="Times New Roman"/>
                <w:szCs w:val="24"/>
              </w:rPr>
              <w:t xml:space="preserve">Cautions </w:t>
            </w:r>
          </w:p>
        </w:tc>
        <w:tc>
          <w:tcPr>
            <w:tcW w:w="6882" w:type="dxa"/>
          </w:tcPr>
          <w:p w14:paraId="09515A6A" w14:textId="77777777" w:rsidR="00223CE8" w:rsidRPr="00944B15" w:rsidRDefault="00223CE8" w:rsidP="002D6DD7">
            <w:pPr>
              <w:jc w:val="both"/>
              <w:rPr>
                <w:rFonts w:cs="Times New Roman"/>
                <w:szCs w:val="24"/>
              </w:rPr>
            </w:pPr>
            <w:r>
              <w:rPr>
                <w:rFonts w:cs="Times New Roman"/>
                <w:szCs w:val="24"/>
              </w:rPr>
              <w:t>P</w:t>
            </w:r>
            <w:r w:rsidRPr="00944B15">
              <w:rPr>
                <w:rFonts w:cs="Times New Roman"/>
                <w:szCs w:val="24"/>
              </w:rPr>
              <w:t>regnancy associated hypertension or cardiac disease, age over 35 years, history of low-uterine segment caesarean section, fetal death or m</w:t>
            </w:r>
            <w:r>
              <w:rPr>
                <w:rFonts w:cs="Times New Roman"/>
                <w:szCs w:val="24"/>
              </w:rPr>
              <w:t>econium-stained amniotic fluid</w:t>
            </w:r>
            <w:r w:rsidRPr="00944B15">
              <w:rPr>
                <w:rFonts w:cs="Times New Roman"/>
                <w:szCs w:val="24"/>
              </w:rPr>
              <w:t>, wate</w:t>
            </w:r>
            <w:r>
              <w:rPr>
                <w:rFonts w:cs="Times New Roman"/>
                <w:szCs w:val="24"/>
              </w:rPr>
              <w:t>r intoxication, hyponatremia, caudal block anesthesia</w:t>
            </w:r>
          </w:p>
        </w:tc>
      </w:tr>
      <w:tr w:rsidR="00223CE8" w:rsidRPr="00944B15" w14:paraId="2DB85B02" w14:textId="77777777" w:rsidTr="002D6DD7">
        <w:trPr>
          <w:gridAfter w:val="1"/>
          <w:wAfter w:w="236" w:type="dxa"/>
          <w:jc w:val="center"/>
        </w:trPr>
        <w:tc>
          <w:tcPr>
            <w:tcW w:w="2695" w:type="dxa"/>
          </w:tcPr>
          <w:p w14:paraId="388BA5A7" w14:textId="77777777" w:rsidR="00223CE8" w:rsidRPr="00944B15" w:rsidRDefault="00223CE8" w:rsidP="002D6DD7">
            <w:pPr>
              <w:rPr>
                <w:rFonts w:cs="Times New Roman"/>
                <w:szCs w:val="24"/>
              </w:rPr>
            </w:pPr>
            <w:r w:rsidRPr="00944B15">
              <w:rPr>
                <w:rFonts w:cs="Times New Roman"/>
                <w:szCs w:val="24"/>
              </w:rPr>
              <w:t>Storage condition</w:t>
            </w:r>
          </w:p>
        </w:tc>
        <w:tc>
          <w:tcPr>
            <w:tcW w:w="6882" w:type="dxa"/>
          </w:tcPr>
          <w:p w14:paraId="605EBE53" w14:textId="77777777" w:rsidR="00223CE8" w:rsidRPr="00944B15" w:rsidRDefault="00223CE8" w:rsidP="002D6DD7">
            <w:pPr>
              <w:rPr>
                <w:rFonts w:cs="Times New Roman"/>
                <w:szCs w:val="24"/>
              </w:rPr>
            </w:pPr>
            <w:r>
              <w:rPr>
                <w:rFonts w:cs="Times New Roman"/>
                <w:szCs w:val="24"/>
              </w:rPr>
              <w:t>Store between 2°C and 8</w:t>
            </w:r>
            <w:r w:rsidRPr="00944B15">
              <w:rPr>
                <w:rFonts w:cs="Times New Roman"/>
                <w:szCs w:val="24"/>
              </w:rPr>
              <w:t>°C. Do not freeze</w:t>
            </w:r>
          </w:p>
        </w:tc>
      </w:tr>
    </w:tbl>
    <w:p w14:paraId="148821F0" w14:textId="77777777" w:rsidR="00223CE8" w:rsidRPr="00944B15" w:rsidRDefault="00223CE8" w:rsidP="00223CE8">
      <w:pPr>
        <w:spacing w:after="0"/>
        <w:jc w:val="both"/>
        <w:rPr>
          <w:rFonts w:cs="Times New Roman"/>
          <w:szCs w:val="24"/>
        </w:rPr>
      </w:pPr>
    </w:p>
    <w:p w14:paraId="458AAF3B" w14:textId="77777777" w:rsidR="00223CE8" w:rsidRPr="00DB7E3F" w:rsidRDefault="00223CE8" w:rsidP="00DB7E3F">
      <w:pPr>
        <w:pStyle w:val="Heading2"/>
        <w:spacing w:before="240" w:after="240"/>
      </w:pPr>
      <w:bookmarkStart w:id="155" w:name="_Toc179490375"/>
      <w:r w:rsidRPr="00DB7E3F">
        <w:t>Antioxytocics (Tocolytics)</w:t>
      </w:r>
      <w:bookmarkEnd w:id="155"/>
    </w:p>
    <w:p w14:paraId="7471495D" w14:textId="77777777" w:rsidR="00223CE8" w:rsidRPr="00944B15" w:rsidRDefault="00223CE8" w:rsidP="00223CE8">
      <w:pPr>
        <w:spacing w:after="0"/>
        <w:jc w:val="both"/>
        <w:rPr>
          <w:rFonts w:cs="Times New Roman"/>
          <w:szCs w:val="24"/>
        </w:rPr>
      </w:pPr>
      <w:r w:rsidRPr="00944B15">
        <w:rPr>
          <w:rFonts w:cs="Times New Roman"/>
          <w:szCs w:val="24"/>
        </w:rPr>
        <w:t xml:space="preserve">Antioxytocics, or tocolytics, are medications used to delay premature labor and prevent preterm birth by inhibiting uterine contractions. They target various pathways involved in uterine contraction, including calcium channels, prostaglandins, and oxytocin receptors. By interfering with these different mechanisms, they help to relax the uterine muscle and delay the onset of preterm labor, providing valuable time for the fetus to mature and potentially improve outcomes. </w:t>
      </w:r>
      <w:r w:rsidRPr="00FC64D2">
        <w:rPr>
          <w:rFonts w:cs="Times New Roman"/>
          <w:szCs w:val="24"/>
        </w:rPr>
        <w:t xml:space="preserve">Because tocolytic therapy is generally effective for up to 48 hours, only women with fetuses that would benefit from a </w:t>
      </w:r>
      <w:r w:rsidR="00DB7E3F" w:rsidRPr="00FC64D2">
        <w:rPr>
          <w:rFonts w:cs="Times New Roman"/>
          <w:szCs w:val="24"/>
        </w:rPr>
        <w:t>48-hour</w:t>
      </w:r>
      <w:r w:rsidRPr="00FC64D2">
        <w:rPr>
          <w:rFonts w:cs="Times New Roman"/>
          <w:szCs w:val="24"/>
        </w:rPr>
        <w:t xml:space="preserve"> delay in delivery should receive tocolytic treatment</w:t>
      </w:r>
    </w:p>
    <w:p w14:paraId="39187A4F" w14:textId="77777777" w:rsidR="00223CE8" w:rsidRPr="00944B15" w:rsidRDefault="00223CE8" w:rsidP="00223CE8">
      <w:pPr>
        <w:spacing w:after="0"/>
        <w:jc w:val="both"/>
        <w:rPr>
          <w:rFonts w:cs="Times New Roman"/>
          <w:szCs w:val="24"/>
        </w:rPr>
      </w:pPr>
    </w:p>
    <w:tbl>
      <w:tblPr>
        <w:tblStyle w:val="TableGrid"/>
        <w:tblW w:w="0" w:type="auto"/>
        <w:jc w:val="center"/>
        <w:tblLook w:val="04A0" w:firstRow="1" w:lastRow="0" w:firstColumn="1" w:lastColumn="0" w:noHBand="0" w:noVBand="1"/>
      </w:tblPr>
      <w:tblGrid>
        <w:gridCol w:w="2695"/>
        <w:gridCol w:w="6655"/>
      </w:tblGrid>
      <w:tr w:rsidR="00223CE8" w:rsidRPr="00944B15" w14:paraId="07B74E80" w14:textId="77777777" w:rsidTr="002D6DD7">
        <w:trPr>
          <w:jc w:val="center"/>
        </w:trPr>
        <w:tc>
          <w:tcPr>
            <w:tcW w:w="9350" w:type="dxa"/>
            <w:gridSpan w:val="2"/>
          </w:tcPr>
          <w:p w14:paraId="7B18F68C" w14:textId="77777777" w:rsidR="00223CE8" w:rsidRPr="00944B15" w:rsidRDefault="00223CE8" w:rsidP="002D6DD7">
            <w:pPr>
              <w:rPr>
                <w:rFonts w:cs="Times New Roman"/>
                <w:b/>
                <w:szCs w:val="24"/>
              </w:rPr>
            </w:pPr>
            <w:r w:rsidRPr="00944B15">
              <w:rPr>
                <w:rFonts w:cs="Times New Roman"/>
                <w:b/>
                <w:szCs w:val="24"/>
              </w:rPr>
              <w:t>Nifedipine</w:t>
            </w:r>
          </w:p>
        </w:tc>
      </w:tr>
      <w:tr w:rsidR="00223CE8" w:rsidRPr="00944B15" w14:paraId="6E0B201A" w14:textId="77777777" w:rsidTr="002D6DD7">
        <w:trPr>
          <w:jc w:val="center"/>
        </w:trPr>
        <w:tc>
          <w:tcPr>
            <w:tcW w:w="2695" w:type="dxa"/>
          </w:tcPr>
          <w:p w14:paraId="1E4B3EDF"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47B7B798" w14:textId="77777777" w:rsidR="00223CE8" w:rsidRPr="00944B15" w:rsidRDefault="00223CE8" w:rsidP="002D6DD7">
            <w:pPr>
              <w:jc w:val="both"/>
              <w:rPr>
                <w:rFonts w:cs="Times New Roman"/>
                <w:szCs w:val="24"/>
              </w:rPr>
            </w:pPr>
            <w:r w:rsidRPr="00944B15">
              <w:rPr>
                <w:rFonts w:cs="Times New Roman"/>
                <w:szCs w:val="24"/>
              </w:rPr>
              <w:t>Cal</w:t>
            </w:r>
            <w:r>
              <w:rPr>
                <w:rFonts w:cs="Times New Roman"/>
                <w:szCs w:val="24"/>
              </w:rPr>
              <w:t>cium channel blocker, tocolytic</w:t>
            </w:r>
            <w:r w:rsidRPr="00944B15">
              <w:rPr>
                <w:rFonts w:cs="Times New Roman"/>
                <w:szCs w:val="24"/>
              </w:rPr>
              <w:t xml:space="preserve"> </w:t>
            </w:r>
          </w:p>
        </w:tc>
      </w:tr>
      <w:tr w:rsidR="00223CE8" w:rsidRPr="00944B15" w14:paraId="30C66AD8" w14:textId="77777777" w:rsidTr="002D6DD7">
        <w:trPr>
          <w:jc w:val="center"/>
        </w:trPr>
        <w:tc>
          <w:tcPr>
            <w:tcW w:w="2695" w:type="dxa"/>
          </w:tcPr>
          <w:p w14:paraId="3BDB7623"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6D4FFDBF" w14:textId="77777777" w:rsidR="00223CE8" w:rsidRPr="00944B15" w:rsidRDefault="00223CE8" w:rsidP="002D6DD7">
            <w:pPr>
              <w:jc w:val="both"/>
              <w:rPr>
                <w:rFonts w:cs="Times New Roman"/>
                <w:szCs w:val="24"/>
              </w:rPr>
            </w:pPr>
            <w:r w:rsidRPr="00944B15">
              <w:rPr>
                <w:rFonts w:eastAsia="Times New Roman" w:cs="Times New Roman"/>
                <w:szCs w:val="24"/>
                <w:lang w:val="fr-FR"/>
              </w:rPr>
              <w:t>Tablet : 10mg</w:t>
            </w:r>
          </w:p>
        </w:tc>
      </w:tr>
      <w:tr w:rsidR="00223CE8" w:rsidRPr="00944B15" w14:paraId="4C6D51D5" w14:textId="77777777" w:rsidTr="002D6DD7">
        <w:trPr>
          <w:jc w:val="center"/>
        </w:trPr>
        <w:tc>
          <w:tcPr>
            <w:tcW w:w="2695" w:type="dxa"/>
          </w:tcPr>
          <w:p w14:paraId="46FDAE05"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0D09CF95" w14:textId="77777777" w:rsidR="00223CE8" w:rsidRPr="00944B15" w:rsidRDefault="00223CE8" w:rsidP="002D6DD7">
            <w:pPr>
              <w:jc w:val="both"/>
              <w:rPr>
                <w:rFonts w:cs="Times New Roman"/>
                <w:szCs w:val="24"/>
              </w:rPr>
            </w:pPr>
            <w:r w:rsidRPr="00944B15">
              <w:rPr>
                <w:rFonts w:cs="Times New Roman"/>
                <w:szCs w:val="24"/>
              </w:rPr>
              <w:t>To prevent preterm labor and delay delivery</w:t>
            </w:r>
          </w:p>
        </w:tc>
      </w:tr>
      <w:tr w:rsidR="00223CE8" w:rsidRPr="00944B15" w14:paraId="3A42977C" w14:textId="77777777" w:rsidTr="002D6DD7">
        <w:trPr>
          <w:jc w:val="center"/>
        </w:trPr>
        <w:tc>
          <w:tcPr>
            <w:tcW w:w="2695" w:type="dxa"/>
          </w:tcPr>
          <w:p w14:paraId="18E935E4"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45C539AE" w14:textId="77777777" w:rsidR="00223CE8" w:rsidRPr="00944B15" w:rsidRDefault="00223CE8" w:rsidP="002D6DD7">
            <w:pPr>
              <w:jc w:val="both"/>
              <w:rPr>
                <w:rFonts w:cs="Times New Roman"/>
                <w:szCs w:val="24"/>
              </w:rPr>
            </w:pPr>
            <w:r w:rsidRPr="00D76338">
              <w:rPr>
                <w:rFonts w:cs="Times New Roman"/>
                <w:b/>
                <w:szCs w:val="24"/>
              </w:rPr>
              <w:t xml:space="preserve">Immediate release: </w:t>
            </w:r>
            <w:r w:rsidRPr="00944B15">
              <w:rPr>
                <w:rFonts w:cs="Times New Roman"/>
                <w:szCs w:val="24"/>
              </w:rPr>
              <w:t>Initial dose of 20</w:t>
            </w:r>
            <w:r>
              <w:rPr>
                <w:rFonts w:cs="Times New Roman"/>
                <w:szCs w:val="24"/>
              </w:rPr>
              <w:t>-30</w:t>
            </w:r>
            <w:r w:rsidRPr="00944B15">
              <w:rPr>
                <w:rFonts w:cs="Times New Roman"/>
                <w:szCs w:val="24"/>
              </w:rPr>
              <w:t>mg, followed by three further doses of 20mg every 30 minutes if contractions continue. Maintenance dose is 20-40mg orally four hourly for 48 hours (no more than 1</w:t>
            </w:r>
            <w:r>
              <w:rPr>
                <w:rFonts w:cs="Times New Roman"/>
                <w:szCs w:val="24"/>
              </w:rPr>
              <w:t>8</w:t>
            </w:r>
            <w:r w:rsidRPr="00944B15">
              <w:rPr>
                <w:rFonts w:cs="Times New Roman"/>
                <w:szCs w:val="24"/>
              </w:rPr>
              <w:t>0mg/24 hours)</w:t>
            </w:r>
          </w:p>
        </w:tc>
      </w:tr>
      <w:tr w:rsidR="00223CE8" w:rsidRPr="00944B15" w14:paraId="63C36143" w14:textId="77777777" w:rsidTr="002D6DD7">
        <w:trPr>
          <w:jc w:val="center"/>
        </w:trPr>
        <w:tc>
          <w:tcPr>
            <w:tcW w:w="2695" w:type="dxa"/>
          </w:tcPr>
          <w:p w14:paraId="27BA50A2"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31B40F80" w14:textId="77777777" w:rsidR="00223CE8" w:rsidRPr="00944B15" w:rsidRDefault="00223CE8" w:rsidP="002D6DD7">
            <w:pPr>
              <w:jc w:val="both"/>
              <w:rPr>
                <w:rFonts w:cs="Times New Roman"/>
                <w:szCs w:val="24"/>
              </w:rPr>
            </w:pPr>
            <w:r>
              <w:rPr>
                <w:rFonts w:cs="Times New Roman"/>
                <w:szCs w:val="24"/>
              </w:rPr>
              <w:t>Refer to nifedipine under antihypertensive medicines</w:t>
            </w:r>
          </w:p>
        </w:tc>
      </w:tr>
      <w:tr w:rsidR="00223CE8" w:rsidRPr="00944B15" w14:paraId="425295BD" w14:textId="77777777" w:rsidTr="002D6DD7">
        <w:trPr>
          <w:jc w:val="center"/>
        </w:trPr>
        <w:tc>
          <w:tcPr>
            <w:tcW w:w="2695" w:type="dxa"/>
          </w:tcPr>
          <w:p w14:paraId="59773748" w14:textId="77777777" w:rsidR="00223CE8" w:rsidRPr="00944B15" w:rsidRDefault="00223CE8" w:rsidP="002D6DD7">
            <w:pPr>
              <w:rPr>
                <w:rFonts w:cs="Times New Roman"/>
                <w:szCs w:val="24"/>
              </w:rPr>
            </w:pPr>
            <w:r w:rsidRPr="00944B15">
              <w:rPr>
                <w:rFonts w:cs="Times New Roman"/>
                <w:szCs w:val="24"/>
              </w:rPr>
              <w:lastRenderedPageBreak/>
              <w:t>Drug interactions</w:t>
            </w:r>
          </w:p>
        </w:tc>
        <w:tc>
          <w:tcPr>
            <w:tcW w:w="6655" w:type="dxa"/>
          </w:tcPr>
          <w:p w14:paraId="4D90AD3B" w14:textId="77777777" w:rsidR="00223CE8" w:rsidRDefault="00223CE8" w:rsidP="002D6DD7">
            <w:r w:rsidRPr="009018AE">
              <w:rPr>
                <w:rFonts w:cs="Times New Roman"/>
                <w:szCs w:val="24"/>
              </w:rPr>
              <w:t>Refer to nifedipine under antihypertensive medicines</w:t>
            </w:r>
          </w:p>
        </w:tc>
      </w:tr>
      <w:tr w:rsidR="00223CE8" w:rsidRPr="00944B15" w14:paraId="561E8E24" w14:textId="77777777" w:rsidTr="002D6DD7">
        <w:trPr>
          <w:jc w:val="center"/>
        </w:trPr>
        <w:tc>
          <w:tcPr>
            <w:tcW w:w="2695" w:type="dxa"/>
          </w:tcPr>
          <w:p w14:paraId="75473D50" w14:textId="77777777" w:rsidR="00223CE8" w:rsidRPr="00944B15" w:rsidRDefault="00223CE8" w:rsidP="002D6DD7">
            <w:pPr>
              <w:rPr>
                <w:rFonts w:cs="Times New Roman"/>
                <w:szCs w:val="24"/>
              </w:rPr>
            </w:pPr>
            <w:r w:rsidRPr="00944B15">
              <w:rPr>
                <w:rFonts w:cs="Times New Roman"/>
                <w:szCs w:val="24"/>
              </w:rPr>
              <w:t>Side effects</w:t>
            </w:r>
          </w:p>
        </w:tc>
        <w:tc>
          <w:tcPr>
            <w:tcW w:w="6655" w:type="dxa"/>
          </w:tcPr>
          <w:p w14:paraId="4908151B" w14:textId="77777777" w:rsidR="00223CE8" w:rsidRDefault="00223CE8" w:rsidP="002D6DD7">
            <w:r w:rsidRPr="009018AE">
              <w:rPr>
                <w:rFonts w:cs="Times New Roman"/>
                <w:szCs w:val="24"/>
              </w:rPr>
              <w:t>Refer to nifedipine under antihypertensive medicines</w:t>
            </w:r>
          </w:p>
        </w:tc>
      </w:tr>
      <w:tr w:rsidR="00223CE8" w:rsidRPr="00944B15" w14:paraId="6A98E131" w14:textId="77777777" w:rsidTr="002D6DD7">
        <w:trPr>
          <w:jc w:val="center"/>
        </w:trPr>
        <w:tc>
          <w:tcPr>
            <w:tcW w:w="2695" w:type="dxa"/>
          </w:tcPr>
          <w:p w14:paraId="6D3FD30B"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44903047" w14:textId="77777777" w:rsidR="00223CE8" w:rsidRDefault="00223CE8" w:rsidP="002D6DD7">
            <w:r w:rsidRPr="009018AE">
              <w:rPr>
                <w:rFonts w:cs="Times New Roman"/>
                <w:szCs w:val="24"/>
              </w:rPr>
              <w:t>Refer to nifedipine under antihypertensive medicines</w:t>
            </w:r>
          </w:p>
        </w:tc>
      </w:tr>
      <w:tr w:rsidR="00223CE8" w:rsidRPr="00944B15" w14:paraId="35DA6E1B" w14:textId="77777777" w:rsidTr="002D6DD7">
        <w:trPr>
          <w:jc w:val="center"/>
        </w:trPr>
        <w:tc>
          <w:tcPr>
            <w:tcW w:w="2695" w:type="dxa"/>
          </w:tcPr>
          <w:p w14:paraId="060406FF"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638D1138" w14:textId="77777777" w:rsidR="00223CE8" w:rsidRPr="00944B15" w:rsidRDefault="00223CE8" w:rsidP="002D6DD7">
            <w:pPr>
              <w:rPr>
                <w:rFonts w:cs="Times New Roman"/>
                <w:szCs w:val="24"/>
              </w:rPr>
            </w:pPr>
            <w:r w:rsidRPr="00944B15">
              <w:rPr>
                <w:rFonts w:cs="Times New Roman"/>
                <w:szCs w:val="24"/>
              </w:rPr>
              <w:t xml:space="preserve">Store </w:t>
            </w:r>
            <w:r>
              <w:rPr>
                <w:rFonts w:cs="Times New Roman"/>
                <w:szCs w:val="24"/>
              </w:rPr>
              <w:t>between 20°C and 30°C. P</w:t>
            </w:r>
            <w:r w:rsidRPr="00944B15">
              <w:rPr>
                <w:rFonts w:cs="Times New Roman"/>
                <w:szCs w:val="24"/>
              </w:rPr>
              <w:t>rotect from moisture and light</w:t>
            </w:r>
            <w:r>
              <w:rPr>
                <w:rFonts w:cs="Times New Roman"/>
                <w:szCs w:val="24"/>
              </w:rPr>
              <w:t>.</w:t>
            </w:r>
            <w:r w:rsidRPr="00944B15">
              <w:rPr>
                <w:rFonts w:cs="Times New Roman"/>
                <w:szCs w:val="24"/>
              </w:rPr>
              <w:t xml:space="preserve"> </w:t>
            </w:r>
          </w:p>
        </w:tc>
      </w:tr>
    </w:tbl>
    <w:p w14:paraId="17BED6B5" w14:textId="77777777" w:rsidR="00223CE8" w:rsidRPr="00944B15" w:rsidRDefault="00223CE8" w:rsidP="00223CE8">
      <w:pPr>
        <w:spacing w:after="0"/>
        <w:jc w:val="both"/>
        <w:rPr>
          <w:rFonts w:cs="Times New Roman"/>
          <w:szCs w:val="24"/>
        </w:rPr>
      </w:pPr>
    </w:p>
    <w:p w14:paraId="0F3F8984" w14:textId="77777777" w:rsidR="00223CE8" w:rsidRPr="00DB7E3F" w:rsidRDefault="00223CE8" w:rsidP="00DB7E3F">
      <w:pPr>
        <w:pStyle w:val="Heading2"/>
        <w:spacing w:before="240" w:after="240"/>
      </w:pPr>
      <w:bookmarkStart w:id="156" w:name="_Toc179490376"/>
      <w:r w:rsidRPr="00DB7E3F">
        <w:t>Other medicines administered to the mother</w:t>
      </w:r>
      <w:bookmarkEnd w:id="156"/>
    </w:p>
    <w:p w14:paraId="138B436E" w14:textId="77777777" w:rsidR="00223CE8" w:rsidRPr="00A00FEF" w:rsidRDefault="00223CE8" w:rsidP="008741B7">
      <w:pPr>
        <w:jc w:val="both"/>
        <w:rPr>
          <w:rFonts w:eastAsia="Times New Roman" w:cs="Times New Roman"/>
          <w:szCs w:val="24"/>
        </w:rPr>
      </w:pPr>
      <w:r w:rsidRPr="00A00FEF">
        <w:rPr>
          <w:rFonts w:eastAsia="Times New Roman" w:cs="Times New Roman"/>
          <w:szCs w:val="24"/>
        </w:rPr>
        <w:t>Different drugs are administered to the pregnant mother including antifibrinolytic agent, opioid analgesic, corticosteroids, prostaglandins and topical estrogen replacement in addition to the conventional agents. Antifibrinolytic agent used to control and prevent postpartum hemorrhage by inhibiting the breakdown of blood clots. An opioid analgesic used to provide pain relief during labor and delivery. In addition, prostaglandin is used for cervical ripening and induction of labor, particularly in cases of post-term pregnancy or when labor is not progressing naturally. Corticosteroids administered to pregnant women at risk of preterm birth to accelerate fetal lung maturation and reduce the risk of respiratory distress syndrome in the newborn. Furthermore, a topical estrogen replacement therapy used to treat vaginal atrophy and dryness, a common issue in postmenopausal women, including those who have recently given birth.</w:t>
      </w:r>
    </w:p>
    <w:tbl>
      <w:tblPr>
        <w:tblStyle w:val="TableGrid"/>
        <w:tblW w:w="0" w:type="auto"/>
        <w:jc w:val="center"/>
        <w:tblLook w:val="04A0" w:firstRow="1" w:lastRow="0" w:firstColumn="1" w:lastColumn="0" w:noHBand="0" w:noVBand="1"/>
      </w:tblPr>
      <w:tblGrid>
        <w:gridCol w:w="2695"/>
        <w:gridCol w:w="6655"/>
      </w:tblGrid>
      <w:tr w:rsidR="00223CE8" w:rsidRPr="00944B15" w14:paraId="6FCDE4DD" w14:textId="77777777" w:rsidTr="002D6DD7">
        <w:trPr>
          <w:jc w:val="center"/>
        </w:trPr>
        <w:tc>
          <w:tcPr>
            <w:tcW w:w="9350" w:type="dxa"/>
            <w:gridSpan w:val="2"/>
          </w:tcPr>
          <w:p w14:paraId="60A68875" w14:textId="77777777" w:rsidR="00223CE8" w:rsidRPr="00944B15" w:rsidRDefault="00223CE8" w:rsidP="002D6DD7">
            <w:pPr>
              <w:rPr>
                <w:rFonts w:cs="Times New Roman"/>
                <w:b/>
                <w:szCs w:val="24"/>
              </w:rPr>
            </w:pPr>
            <w:r w:rsidRPr="00944B15">
              <w:rPr>
                <w:rFonts w:cs="Times New Roman"/>
                <w:b/>
                <w:szCs w:val="24"/>
              </w:rPr>
              <w:t xml:space="preserve">Betamethasone </w:t>
            </w:r>
          </w:p>
        </w:tc>
      </w:tr>
      <w:tr w:rsidR="00223CE8" w:rsidRPr="00944B15" w14:paraId="4155D719" w14:textId="77777777" w:rsidTr="002D6DD7">
        <w:trPr>
          <w:jc w:val="center"/>
        </w:trPr>
        <w:tc>
          <w:tcPr>
            <w:tcW w:w="2695" w:type="dxa"/>
          </w:tcPr>
          <w:p w14:paraId="48D1F5DC"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39D1D143" w14:textId="77777777" w:rsidR="00223CE8" w:rsidRPr="00944B15" w:rsidRDefault="00223CE8" w:rsidP="002D6DD7">
            <w:pPr>
              <w:rPr>
                <w:rFonts w:cs="Times New Roman"/>
                <w:szCs w:val="24"/>
              </w:rPr>
            </w:pPr>
            <w:r>
              <w:rPr>
                <w:rFonts w:cs="Times New Roman"/>
                <w:szCs w:val="24"/>
              </w:rPr>
              <w:t>corticosteroid</w:t>
            </w:r>
            <w:r w:rsidRPr="00944B15">
              <w:rPr>
                <w:rFonts w:cs="Times New Roman"/>
                <w:szCs w:val="24"/>
              </w:rPr>
              <w:t xml:space="preserve"> </w:t>
            </w:r>
          </w:p>
        </w:tc>
      </w:tr>
      <w:tr w:rsidR="00223CE8" w:rsidRPr="00944B15" w14:paraId="3DBD0185" w14:textId="77777777" w:rsidTr="002D6DD7">
        <w:trPr>
          <w:jc w:val="center"/>
        </w:trPr>
        <w:tc>
          <w:tcPr>
            <w:tcW w:w="2695" w:type="dxa"/>
          </w:tcPr>
          <w:p w14:paraId="1529B92B"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7CB16D5A" w14:textId="77777777" w:rsidR="00223CE8" w:rsidRPr="00944B15" w:rsidRDefault="00223CE8" w:rsidP="002D6DD7">
            <w:pPr>
              <w:rPr>
                <w:rFonts w:cs="Times New Roman"/>
                <w:szCs w:val="24"/>
              </w:rPr>
            </w:pPr>
            <w:r w:rsidRPr="00944B15">
              <w:rPr>
                <w:rFonts w:eastAsia="Times New Roman" w:cs="Times New Roman"/>
                <w:szCs w:val="24"/>
                <w:lang w:val="it-IT"/>
              </w:rPr>
              <w:t>Injectable suspension: 4mg/</w:t>
            </w:r>
            <w:r>
              <w:rPr>
                <w:rFonts w:eastAsia="Times New Roman" w:cs="Times New Roman"/>
                <w:szCs w:val="24"/>
                <w:lang w:val="it-IT"/>
              </w:rPr>
              <w:t>ml</w:t>
            </w:r>
          </w:p>
        </w:tc>
      </w:tr>
      <w:tr w:rsidR="00223CE8" w:rsidRPr="00944B15" w14:paraId="05BD8BD6" w14:textId="77777777" w:rsidTr="002D6DD7">
        <w:trPr>
          <w:jc w:val="center"/>
        </w:trPr>
        <w:tc>
          <w:tcPr>
            <w:tcW w:w="2695" w:type="dxa"/>
          </w:tcPr>
          <w:p w14:paraId="16F00D7B"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1241EA13" w14:textId="77777777" w:rsidR="00223CE8" w:rsidRPr="00944B15" w:rsidRDefault="00223CE8" w:rsidP="002D6DD7">
            <w:pPr>
              <w:jc w:val="both"/>
              <w:rPr>
                <w:rFonts w:cs="Times New Roman"/>
                <w:szCs w:val="24"/>
              </w:rPr>
            </w:pPr>
            <w:r w:rsidRPr="00944B15">
              <w:rPr>
                <w:rFonts w:cs="Times New Roman"/>
                <w:szCs w:val="24"/>
              </w:rPr>
              <w:t xml:space="preserve">Reduction of neonatal morbidity and mortality from preterm delivery to accelerate fetal lung maturation </w:t>
            </w:r>
          </w:p>
        </w:tc>
      </w:tr>
      <w:tr w:rsidR="00223CE8" w:rsidRPr="00944B15" w14:paraId="7FED2499" w14:textId="77777777" w:rsidTr="002D6DD7">
        <w:trPr>
          <w:jc w:val="center"/>
        </w:trPr>
        <w:tc>
          <w:tcPr>
            <w:tcW w:w="2695" w:type="dxa"/>
          </w:tcPr>
          <w:p w14:paraId="53AA354E" w14:textId="77777777" w:rsidR="00223CE8" w:rsidRPr="00944B15" w:rsidRDefault="00223CE8"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655" w:type="dxa"/>
          </w:tcPr>
          <w:p w14:paraId="43CBE3C0" w14:textId="77777777" w:rsidR="00223CE8" w:rsidRPr="00944B15" w:rsidRDefault="00223CE8" w:rsidP="002D6DD7">
            <w:pPr>
              <w:jc w:val="both"/>
              <w:rPr>
                <w:rFonts w:cs="Times New Roman"/>
                <w:szCs w:val="24"/>
              </w:rPr>
            </w:pPr>
            <w:r w:rsidRPr="00944B15">
              <w:rPr>
                <w:rFonts w:cs="Times New Roman"/>
                <w:b/>
                <w:szCs w:val="24"/>
              </w:rPr>
              <w:t>IM</w:t>
            </w:r>
            <w:r w:rsidRPr="00944B15">
              <w:rPr>
                <w:rFonts w:cs="Times New Roman"/>
                <w:szCs w:val="24"/>
              </w:rPr>
              <w:t xml:space="preserve">: 12 mg every 24 hours for 2 doses, usually administered between 24 and 34 weeks of gestation </w:t>
            </w:r>
          </w:p>
        </w:tc>
      </w:tr>
      <w:tr w:rsidR="00223CE8" w:rsidRPr="00944B15" w14:paraId="2AAB1A57" w14:textId="77777777" w:rsidTr="002D6DD7">
        <w:trPr>
          <w:jc w:val="center"/>
        </w:trPr>
        <w:tc>
          <w:tcPr>
            <w:tcW w:w="2695" w:type="dxa"/>
          </w:tcPr>
          <w:p w14:paraId="47A1F858" w14:textId="77777777" w:rsidR="00223CE8" w:rsidRPr="00944B15" w:rsidRDefault="00223CE8" w:rsidP="002D6DD7">
            <w:pPr>
              <w:rPr>
                <w:rFonts w:cs="Times New Roman"/>
                <w:szCs w:val="24"/>
              </w:rPr>
            </w:pPr>
            <w:r w:rsidRPr="00944B15">
              <w:rPr>
                <w:rFonts w:cs="Times New Roman"/>
                <w:szCs w:val="24"/>
              </w:rPr>
              <w:t>Contraindications</w:t>
            </w:r>
          </w:p>
        </w:tc>
        <w:tc>
          <w:tcPr>
            <w:tcW w:w="6655" w:type="dxa"/>
          </w:tcPr>
          <w:p w14:paraId="2BC11E10" w14:textId="77777777" w:rsidR="00223CE8" w:rsidRPr="00944B15" w:rsidRDefault="00223CE8" w:rsidP="002D6DD7">
            <w:pPr>
              <w:rPr>
                <w:rFonts w:cs="Times New Roman"/>
                <w:szCs w:val="24"/>
              </w:rPr>
            </w:pPr>
            <w:r>
              <w:rPr>
                <w:rFonts w:cs="Times New Roman"/>
                <w:szCs w:val="24"/>
              </w:rPr>
              <w:t>H</w:t>
            </w:r>
            <w:r w:rsidRPr="00944B15">
              <w:rPr>
                <w:rFonts w:cs="Times New Roman"/>
                <w:szCs w:val="24"/>
              </w:rPr>
              <w:t>ypersensitivity</w:t>
            </w:r>
            <w:r>
              <w:rPr>
                <w:rFonts w:cs="Times New Roman"/>
                <w:szCs w:val="24"/>
              </w:rPr>
              <w:t xml:space="preserve"> to the drug, s</w:t>
            </w:r>
            <w:r w:rsidRPr="00944B15">
              <w:rPr>
                <w:rFonts w:cs="Times New Roman"/>
                <w:szCs w:val="24"/>
              </w:rPr>
              <w:t xml:space="preserve">ystemic fungal infections, </w:t>
            </w:r>
          </w:p>
        </w:tc>
      </w:tr>
      <w:tr w:rsidR="00223CE8" w:rsidRPr="00944B15" w14:paraId="4B91213F" w14:textId="77777777" w:rsidTr="002D6DD7">
        <w:trPr>
          <w:jc w:val="center"/>
        </w:trPr>
        <w:tc>
          <w:tcPr>
            <w:tcW w:w="2695" w:type="dxa"/>
          </w:tcPr>
          <w:p w14:paraId="011E3CDF" w14:textId="77777777" w:rsidR="00223CE8" w:rsidRPr="00944B15" w:rsidRDefault="00223CE8" w:rsidP="002D6DD7">
            <w:pPr>
              <w:rPr>
                <w:rFonts w:cs="Times New Roman"/>
                <w:szCs w:val="24"/>
              </w:rPr>
            </w:pPr>
            <w:r w:rsidRPr="00944B15">
              <w:rPr>
                <w:rFonts w:cs="Times New Roman"/>
                <w:szCs w:val="24"/>
              </w:rPr>
              <w:t>Drug interactions</w:t>
            </w:r>
          </w:p>
        </w:tc>
        <w:tc>
          <w:tcPr>
            <w:tcW w:w="6655" w:type="dxa"/>
          </w:tcPr>
          <w:p w14:paraId="0011F282" w14:textId="77777777" w:rsidR="00223CE8" w:rsidRPr="00944B15" w:rsidRDefault="00223CE8" w:rsidP="002D6DD7">
            <w:pPr>
              <w:jc w:val="both"/>
              <w:rPr>
                <w:rFonts w:cs="Times New Roman"/>
                <w:szCs w:val="24"/>
              </w:rPr>
            </w:pPr>
            <w:r w:rsidRPr="00944B15">
              <w:rPr>
                <w:rFonts w:cs="Times New Roman"/>
                <w:szCs w:val="24"/>
              </w:rPr>
              <w:t xml:space="preserve">NSAIDs, warfarin, </w:t>
            </w:r>
            <w:r w:rsidR="008741B7">
              <w:rPr>
                <w:rFonts w:cs="Times New Roman"/>
                <w:szCs w:val="24"/>
              </w:rPr>
              <w:t>a</w:t>
            </w:r>
            <w:r w:rsidRPr="00944B15">
              <w:rPr>
                <w:rFonts w:cs="Times New Roman"/>
                <w:szCs w:val="24"/>
              </w:rPr>
              <w:t xml:space="preserve">rtemether, </w:t>
            </w:r>
            <w:r w:rsidR="008741B7">
              <w:rPr>
                <w:rFonts w:cs="Times New Roman"/>
                <w:szCs w:val="24"/>
              </w:rPr>
              <w:t>d</w:t>
            </w:r>
            <w:r w:rsidRPr="00944B15">
              <w:rPr>
                <w:rFonts w:cs="Times New Roman"/>
                <w:szCs w:val="24"/>
              </w:rPr>
              <w:t xml:space="preserve">esmopressin, </w:t>
            </w:r>
            <w:r w:rsidR="008741B7">
              <w:rPr>
                <w:rFonts w:cs="Times New Roman"/>
                <w:szCs w:val="24"/>
              </w:rPr>
              <w:t>d</w:t>
            </w:r>
            <w:r w:rsidRPr="00944B15">
              <w:rPr>
                <w:rFonts w:cs="Times New Roman"/>
                <w:szCs w:val="24"/>
              </w:rPr>
              <w:t xml:space="preserve">isulfram, </w:t>
            </w:r>
            <w:r w:rsidR="008741B7">
              <w:rPr>
                <w:rFonts w:cs="Times New Roman"/>
                <w:szCs w:val="24"/>
              </w:rPr>
              <w:t>p</w:t>
            </w:r>
            <w:r w:rsidRPr="00944B15">
              <w:rPr>
                <w:rFonts w:cs="Times New Roman"/>
                <w:szCs w:val="24"/>
              </w:rPr>
              <w:t xml:space="preserve">raziquantel, live/attenuated vaccines (e.g.  </w:t>
            </w:r>
            <w:r w:rsidR="008741B7">
              <w:rPr>
                <w:rFonts w:cs="Times New Roman"/>
                <w:szCs w:val="24"/>
              </w:rPr>
              <w:t>r</w:t>
            </w:r>
            <w:r w:rsidRPr="00944B15">
              <w:rPr>
                <w:rFonts w:cs="Times New Roman"/>
                <w:szCs w:val="24"/>
              </w:rPr>
              <w:t xml:space="preserve">otavirus vaccine, </w:t>
            </w:r>
            <w:r w:rsidR="008741B7">
              <w:rPr>
                <w:rFonts w:cs="Times New Roman"/>
                <w:szCs w:val="24"/>
              </w:rPr>
              <w:t>a</w:t>
            </w:r>
            <w:r w:rsidRPr="00944B15">
              <w:rPr>
                <w:rFonts w:cs="Times New Roman"/>
                <w:szCs w:val="24"/>
              </w:rPr>
              <w:t xml:space="preserve">miodarone, </w:t>
            </w:r>
            <w:r w:rsidR="008741B7">
              <w:rPr>
                <w:rFonts w:cs="Times New Roman"/>
                <w:szCs w:val="24"/>
              </w:rPr>
              <w:t>d</w:t>
            </w:r>
            <w:r w:rsidRPr="00944B15">
              <w:rPr>
                <w:rFonts w:cs="Times New Roman"/>
                <w:szCs w:val="24"/>
              </w:rPr>
              <w:t xml:space="preserve">ronedarone, </w:t>
            </w:r>
            <w:r w:rsidR="008741B7">
              <w:rPr>
                <w:rFonts w:cs="Times New Roman"/>
                <w:szCs w:val="24"/>
              </w:rPr>
              <w:t>e</w:t>
            </w:r>
            <w:r w:rsidRPr="00944B15">
              <w:rPr>
                <w:rFonts w:cs="Times New Roman"/>
                <w:szCs w:val="24"/>
              </w:rPr>
              <w:t xml:space="preserve">noxacin, </w:t>
            </w:r>
            <w:r w:rsidR="008741B7">
              <w:rPr>
                <w:rFonts w:cs="Times New Roman"/>
                <w:szCs w:val="24"/>
              </w:rPr>
              <w:t>f</w:t>
            </w:r>
            <w:r w:rsidRPr="00944B15">
              <w:rPr>
                <w:rFonts w:cs="Times New Roman"/>
                <w:szCs w:val="24"/>
              </w:rPr>
              <w:t xml:space="preserve">entanyl, </w:t>
            </w:r>
            <w:r w:rsidR="008741B7">
              <w:rPr>
                <w:rFonts w:cs="Times New Roman"/>
                <w:szCs w:val="24"/>
              </w:rPr>
              <w:t>f</w:t>
            </w:r>
            <w:r w:rsidRPr="00944B15">
              <w:rPr>
                <w:rFonts w:cs="Times New Roman"/>
                <w:szCs w:val="24"/>
              </w:rPr>
              <w:t xml:space="preserve">lumequine, </w:t>
            </w:r>
            <w:r w:rsidR="008741B7">
              <w:rPr>
                <w:rFonts w:cs="Times New Roman"/>
                <w:szCs w:val="24"/>
              </w:rPr>
              <w:t>n</w:t>
            </w:r>
            <w:r w:rsidRPr="00944B15">
              <w:rPr>
                <w:rFonts w:cs="Times New Roman"/>
                <w:szCs w:val="24"/>
              </w:rPr>
              <w:t xml:space="preserve">ifedipine, </w:t>
            </w:r>
            <w:r>
              <w:rPr>
                <w:rFonts w:cs="Times New Roman"/>
                <w:szCs w:val="24"/>
              </w:rPr>
              <w:t>fluroquinolones</w:t>
            </w:r>
            <w:r w:rsidRPr="00944B15">
              <w:rPr>
                <w:rFonts w:cs="Times New Roman"/>
                <w:szCs w:val="24"/>
              </w:rPr>
              <w:t xml:space="preserve">, </w:t>
            </w:r>
            <w:r w:rsidR="008741B7">
              <w:rPr>
                <w:rFonts w:cs="Times New Roman"/>
                <w:szCs w:val="24"/>
              </w:rPr>
              <w:t>p</w:t>
            </w:r>
            <w:r w:rsidRPr="00944B15">
              <w:rPr>
                <w:rFonts w:cs="Times New Roman"/>
                <w:szCs w:val="24"/>
              </w:rPr>
              <w:t xml:space="preserve">ancuronium, </w:t>
            </w:r>
            <w:r w:rsidR="008741B7">
              <w:rPr>
                <w:rFonts w:cs="Times New Roman"/>
                <w:szCs w:val="24"/>
              </w:rPr>
              <w:t>p</w:t>
            </w:r>
            <w:r w:rsidRPr="00944B15">
              <w:rPr>
                <w:rFonts w:cs="Times New Roman"/>
                <w:szCs w:val="24"/>
              </w:rPr>
              <w:t>henobarbital</w:t>
            </w:r>
            <w:r>
              <w:rPr>
                <w:rFonts w:cs="Times New Roman"/>
                <w:szCs w:val="24"/>
              </w:rPr>
              <w:t xml:space="preserve"> and </w:t>
            </w:r>
            <w:r w:rsidR="008741B7">
              <w:rPr>
                <w:rFonts w:cs="Times New Roman"/>
                <w:szCs w:val="24"/>
              </w:rPr>
              <w:t>v</w:t>
            </w:r>
            <w:r w:rsidRPr="00944B15">
              <w:rPr>
                <w:rFonts w:cs="Times New Roman"/>
                <w:szCs w:val="24"/>
              </w:rPr>
              <w:t>ecuronium</w:t>
            </w:r>
            <w:r w:rsidR="008741B7">
              <w:rPr>
                <w:rFonts w:cs="Times New Roman"/>
                <w:szCs w:val="24"/>
              </w:rPr>
              <w:t>.</w:t>
            </w:r>
          </w:p>
        </w:tc>
      </w:tr>
      <w:tr w:rsidR="00223CE8" w:rsidRPr="00944B15" w14:paraId="0BBF0078" w14:textId="77777777" w:rsidTr="002D6DD7">
        <w:trPr>
          <w:jc w:val="center"/>
        </w:trPr>
        <w:tc>
          <w:tcPr>
            <w:tcW w:w="2695" w:type="dxa"/>
          </w:tcPr>
          <w:p w14:paraId="19B53FD2" w14:textId="77777777" w:rsidR="00223CE8" w:rsidRPr="00944B15" w:rsidRDefault="00223CE8" w:rsidP="002D6DD7">
            <w:pPr>
              <w:rPr>
                <w:rFonts w:cs="Times New Roman"/>
                <w:szCs w:val="24"/>
              </w:rPr>
            </w:pPr>
            <w:r w:rsidRPr="00944B15">
              <w:rPr>
                <w:rFonts w:cs="Times New Roman"/>
                <w:szCs w:val="24"/>
              </w:rPr>
              <w:lastRenderedPageBreak/>
              <w:t>Side effects</w:t>
            </w:r>
          </w:p>
        </w:tc>
        <w:tc>
          <w:tcPr>
            <w:tcW w:w="6655" w:type="dxa"/>
          </w:tcPr>
          <w:p w14:paraId="595E2504" w14:textId="77777777" w:rsidR="00223CE8" w:rsidRPr="00944B15" w:rsidRDefault="00223CE8" w:rsidP="002D6DD7">
            <w:pPr>
              <w:jc w:val="both"/>
              <w:rPr>
                <w:rFonts w:cs="Times New Roman"/>
                <w:szCs w:val="24"/>
              </w:rPr>
            </w:pPr>
            <w:r w:rsidRPr="00944B15">
              <w:rPr>
                <w:rFonts w:cs="Times New Roman"/>
                <w:szCs w:val="24"/>
              </w:rPr>
              <w:t>Body fluid retention, hyperglycemia, weight gain, mood swings, insomnia, infections, adrenal suppression</w:t>
            </w:r>
            <w:r w:rsidR="008741B7">
              <w:rPr>
                <w:rFonts w:cs="Times New Roman"/>
                <w:szCs w:val="24"/>
              </w:rPr>
              <w:t>.</w:t>
            </w:r>
          </w:p>
        </w:tc>
      </w:tr>
      <w:tr w:rsidR="00223CE8" w:rsidRPr="00944B15" w14:paraId="3929154E" w14:textId="77777777" w:rsidTr="002D6DD7">
        <w:trPr>
          <w:jc w:val="center"/>
        </w:trPr>
        <w:tc>
          <w:tcPr>
            <w:tcW w:w="2695" w:type="dxa"/>
          </w:tcPr>
          <w:p w14:paraId="3981B24B" w14:textId="77777777" w:rsidR="00223CE8" w:rsidRPr="00944B15" w:rsidRDefault="00223CE8" w:rsidP="002D6DD7">
            <w:pPr>
              <w:rPr>
                <w:rFonts w:cs="Times New Roman"/>
                <w:szCs w:val="24"/>
              </w:rPr>
            </w:pPr>
            <w:r w:rsidRPr="00944B15">
              <w:rPr>
                <w:rFonts w:cs="Times New Roman"/>
                <w:szCs w:val="24"/>
              </w:rPr>
              <w:t xml:space="preserve">Cautions </w:t>
            </w:r>
          </w:p>
        </w:tc>
        <w:tc>
          <w:tcPr>
            <w:tcW w:w="6655" w:type="dxa"/>
          </w:tcPr>
          <w:p w14:paraId="3FA1B1A6" w14:textId="77777777" w:rsidR="00223CE8" w:rsidRPr="00944B15" w:rsidRDefault="00223CE8" w:rsidP="002D6DD7">
            <w:pPr>
              <w:jc w:val="both"/>
              <w:rPr>
                <w:rFonts w:cs="Times New Roman"/>
                <w:szCs w:val="24"/>
              </w:rPr>
            </w:pPr>
            <w:r w:rsidRPr="00944B15">
              <w:rPr>
                <w:rFonts w:cs="Times New Roman"/>
                <w:szCs w:val="24"/>
              </w:rPr>
              <w:t xml:space="preserve">Cerebral malaria, cirrhosis, concomitant use with live vaccines, GI disorders, hypertension, myasthenia gravis, renal insufficiency, </w:t>
            </w:r>
            <w:r>
              <w:rPr>
                <w:rFonts w:cs="Times New Roman"/>
                <w:szCs w:val="24"/>
              </w:rPr>
              <w:t>tuberclusosis</w:t>
            </w:r>
            <w:r w:rsidR="008741B7">
              <w:rPr>
                <w:rFonts w:cs="Times New Roman"/>
                <w:szCs w:val="24"/>
              </w:rPr>
              <w:t xml:space="preserve"> </w:t>
            </w:r>
            <w:r>
              <w:rPr>
                <w:rFonts w:cs="Times New Roman"/>
                <w:szCs w:val="24"/>
              </w:rPr>
              <w:t>(</w:t>
            </w:r>
            <w:r w:rsidRPr="00944B15">
              <w:rPr>
                <w:rFonts w:cs="Times New Roman"/>
                <w:szCs w:val="24"/>
              </w:rPr>
              <w:t>TB</w:t>
            </w:r>
            <w:r>
              <w:rPr>
                <w:rFonts w:cs="Times New Roman"/>
                <w:szCs w:val="24"/>
              </w:rPr>
              <w:t>)</w:t>
            </w:r>
            <w:r w:rsidRPr="00944B15">
              <w:rPr>
                <w:rFonts w:cs="Times New Roman"/>
                <w:szCs w:val="24"/>
              </w:rPr>
              <w:t xml:space="preserve">, </w:t>
            </w:r>
            <w:r>
              <w:rPr>
                <w:rFonts w:cs="Times New Roman"/>
                <w:szCs w:val="24"/>
              </w:rPr>
              <w:t>peptic ulcer disease (</w:t>
            </w:r>
            <w:r w:rsidRPr="00944B15">
              <w:rPr>
                <w:rFonts w:cs="Times New Roman"/>
                <w:szCs w:val="24"/>
              </w:rPr>
              <w:t>PUD</w:t>
            </w:r>
            <w:r>
              <w:rPr>
                <w:rFonts w:cs="Times New Roman"/>
                <w:szCs w:val="24"/>
              </w:rPr>
              <w:t>), infections, latent or active amoebiasis, p</w:t>
            </w:r>
            <w:r w:rsidRPr="00944B15">
              <w:rPr>
                <w:rFonts w:cs="Times New Roman"/>
                <w:szCs w:val="24"/>
              </w:rPr>
              <w:t>remature rupture of membranes</w:t>
            </w:r>
            <w:r w:rsidR="008741B7">
              <w:rPr>
                <w:rFonts w:cs="Times New Roman"/>
                <w:szCs w:val="24"/>
              </w:rPr>
              <w:t>.</w:t>
            </w:r>
            <w:r w:rsidRPr="00944B15">
              <w:rPr>
                <w:rFonts w:cs="Times New Roman"/>
                <w:szCs w:val="24"/>
              </w:rPr>
              <w:t xml:space="preserve"> </w:t>
            </w:r>
          </w:p>
        </w:tc>
      </w:tr>
      <w:tr w:rsidR="00223CE8" w:rsidRPr="00944B15" w14:paraId="10657DCC" w14:textId="77777777" w:rsidTr="002D6DD7">
        <w:trPr>
          <w:jc w:val="center"/>
        </w:trPr>
        <w:tc>
          <w:tcPr>
            <w:tcW w:w="2695" w:type="dxa"/>
          </w:tcPr>
          <w:p w14:paraId="78232FAB" w14:textId="77777777" w:rsidR="00223CE8" w:rsidRPr="00944B15" w:rsidRDefault="00223CE8" w:rsidP="002D6DD7">
            <w:pPr>
              <w:rPr>
                <w:rFonts w:cs="Times New Roman"/>
                <w:szCs w:val="24"/>
              </w:rPr>
            </w:pPr>
            <w:r w:rsidRPr="00944B15">
              <w:rPr>
                <w:rFonts w:cs="Times New Roman"/>
                <w:szCs w:val="24"/>
              </w:rPr>
              <w:t>Storage condition</w:t>
            </w:r>
          </w:p>
        </w:tc>
        <w:tc>
          <w:tcPr>
            <w:tcW w:w="6655" w:type="dxa"/>
          </w:tcPr>
          <w:p w14:paraId="78E8A742" w14:textId="77777777" w:rsidR="00223CE8" w:rsidRPr="00944B15" w:rsidRDefault="00223CE8" w:rsidP="002D6DD7">
            <w:pPr>
              <w:rPr>
                <w:rFonts w:cs="Times New Roman"/>
                <w:szCs w:val="24"/>
              </w:rPr>
            </w:pPr>
            <w:r w:rsidRPr="00944B15">
              <w:rPr>
                <w:rFonts w:cs="Times New Roman"/>
                <w:szCs w:val="24"/>
              </w:rPr>
              <w:t xml:space="preserve">Store </w:t>
            </w:r>
            <w:r w:rsidRPr="00FC64D2">
              <w:rPr>
                <w:rFonts w:cs="Times New Roman"/>
                <w:szCs w:val="24"/>
              </w:rPr>
              <w:t>below 30</w:t>
            </w:r>
            <w:r w:rsidRPr="00D76338">
              <w:rPr>
                <w:rFonts w:cs="Times New Roman"/>
                <w:szCs w:val="24"/>
                <w:vertAlign w:val="superscript"/>
              </w:rPr>
              <w:t>0</w:t>
            </w:r>
            <w:r>
              <w:rPr>
                <w:rFonts w:cs="Times New Roman"/>
                <w:szCs w:val="24"/>
              </w:rPr>
              <w:t>C.</w:t>
            </w:r>
          </w:p>
        </w:tc>
      </w:tr>
      <w:tr w:rsidR="00223CE8" w:rsidRPr="00944B15" w14:paraId="79CBD73A" w14:textId="77777777" w:rsidTr="002D6DD7">
        <w:trPr>
          <w:jc w:val="center"/>
        </w:trPr>
        <w:tc>
          <w:tcPr>
            <w:tcW w:w="9350" w:type="dxa"/>
            <w:gridSpan w:val="2"/>
          </w:tcPr>
          <w:p w14:paraId="2097C777" w14:textId="77777777" w:rsidR="00223CE8" w:rsidRPr="00944B15" w:rsidRDefault="00223CE8" w:rsidP="002D6DD7">
            <w:pPr>
              <w:rPr>
                <w:rFonts w:cs="Times New Roman"/>
                <w:b/>
                <w:szCs w:val="24"/>
              </w:rPr>
            </w:pPr>
            <w:r w:rsidRPr="00944B15">
              <w:rPr>
                <w:rFonts w:cs="Times New Roman"/>
                <w:b/>
                <w:szCs w:val="24"/>
              </w:rPr>
              <w:t>Dexamethasone</w:t>
            </w:r>
          </w:p>
        </w:tc>
      </w:tr>
      <w:tr w:rsidR="00223CE8" w:rsidRPr="00944B15" w14:paraId="09C25F8A" w14:textId="77777777" w:rsidTr="002D6DD7">
        <w:trPr>
          <w:trHeight w:val="215"/>
          <w:jc w:val="center"/>
        </w:trPr>
        <w:tc>
          <w:tcPr>
            <w:tcW w:w="2695" w:type="dxa"/>
          </w:tcPr>
          <w:p w14:paraId="1C0CB25A" w14:textId="77777777" w:rsidR="00223CE8" w:rsidRPr="00944B15" w:rsidRDefault="00223CE8" w:rsidP="002D6DD7">
            <w:pPr>
              <w:rPr>
                <w:rFonts w:cs="Times New Roman"/>
                <w:szCs w:val="24"/>
              </w:rPr>
            </w:pPr>
            <w:r w:rsidRPr="00944B15">
              <w:rPr>
                <w:rFonts w:cs="Times New Roman"/>
                <w:szCs w:val="24"/>
              </w:rPr>
              <w:t>Pharmacological class</w:t>
            </w:r>
          </w:p>
        </w:tc>
        <w:tc>
          <w:tcPr>
            <w:tcW w:w="6655" w:type="dxa"/>
          </w:tcPr>
          <w:p w14:paraId="2E22D7ED" w14:textId="77777777" w:rsidR="00223CE8" w:rsidRPr="00944B15" w:rsidRDefault="00223CE8" w:rsidP="002D6DD7">
            <w:pPr>
              <w:rPr>
                <w:rFonts w:cs="Times New Roman"/>
                <w:szCs w:val="24"/>
              </w:rPr>
            </w:pPr>
            <w:r>
              <w:rPr>
                <w:rFonts w:cs="Times New Roman"/>
                <w:szCs w:val="24"/>
              </w:rPr>
              <w:t>Corticosteroid</w:t>
            </w:r>
          </w:p>
        </w:tc>
      </w:tr>
      <w:tr w:rsidR="00223CE8" w:rsidRPr="00944B15" w14:paraId="0536E38E" w14:textId="77777777" w:rsidTr="002D6DD7">
        <w:trPr>
          <w:jc w:val="center"/>
        </w:trPr>
        <w:tc>
          <w:tcPr>
            <w:tcW w:w="2695" w:type="dxa"/>
          </w:tcPr>
          <w:p w14:paraId="00D7ECB4" w14:textId="77777777" w:rsidR="00223CE8" w:rsidRPr="00944B15" w:rsidRDefault="00223CE8" w:rsidP="002D6DD7">
            <w:pPr>
              <w:rPr>
                <w:rFonts w:cs="Times New Roman"/>
                <w:szCs w:val="24"/>
              </w:rPr>
            </w:pPr>
            <w:r w:rsidRPr="00944B15">
              <w:rPr>
                <w:rFonts w:cs="Times New Roman"/>
                <w:szCs w:val="24"/>
              </w:rPr>
              <w:t>Dosage form</w:t>
            </w:r>
          </w:p>
        </w:tc>
        <w:tc>
          <w:tcPr>
            <w:tcW w:w="6655" w:type="dxa"/>
          </w:tcPr>
          <w:p w14:paraId="76A07860" w14:textId="77777777" w:rsidR="00223CE8" w:rsidRPr="00944B15" w:rsidRDefault="00223CE8" w:rsidP="002D6DD7">
            <w:pPr>
              <w:rPr>
                <w:rFonts w:eastAsia="Times New Roman" w:cs="Times New Roman"/>
                <w:szCs w:val="24"/>
              </w:rPr>
            </w:pPr>
            <w:r w:rsidRPr="00944B15">
              <w:rPr>
                <w:rFonts w:eastAsia="Times New Roman" w:cs="Times New Roman"/>
                <w:szCs w:val="24"/>
              </w:rPr>
              <w:t>Injection: 4mg/</w:t>
            </w:r>
            <w:r>
              <w:rPr>
                <w:rFonts w:eastAsia="Times New Roman" w:cs="Times New Roman"/>
                <w:szCs w:val="24"/>
              </w:rPr>
              <w:t>ml</w:t>
            </w:r>
            <w:r>
              <w:t xml:space="preserve"> </w:t>
            </w:r>
            <w:r w:rsidRPr="001748C4">
              <w:rPr>
                <w:rFonts w:eastAsia="Times New Roman" w:cs="Times New Roman"/>
                <w:szCs w:val="24"/>
              </w:rPr>
              <w:t xml:space="preserve">in 1 </w:t>
            </w:r>
            <w:r>
              <w:rPr>
                <w:rFonts w:eastAsia="Times New Roman" w:cs="Times New Roman"/>
                <w:szCs w:val="24"/>
              </w:rPr>
              <w:t>ml</w:t>
            </w:r>
            <w:r w:rsidRPr="001748C4">
              <w:rPr>
                <w:rFonts w:eastAsia="Times New Roman" w:cs="Times New Roman"/>
                <w:szCs w:val="24"/>
              </w:rPr>
              <w:t xml:space="preserve"> or 2 </w:t>
            </w:r>
            <w:r>
              <w:rPr>
                <w:rFonts w:eastAsia="Times New Roman" w:cs="Times New Roman"/>
                <w:szCs w:val="24"/>
              </w:rPr>
              <w:t>ml</w:t>
            </w:r>
            <w:r w:rsidRPr="001748C4">
              <w:rPr>
                <w:rFonts w:eastAsia="Times New Roman" w:cs="Times New Roman"/>
                <w:szCs w:val="24"/>
              </w:rPr>
              <w:t xml:space="preserve"> ampule</w:t>
            </w:r>
          </w:p>
        </w:tc>
      </w:tr>
      <w:tr w:rsidR="00223CE8" w:rsidRPr="00944B15" w14:paraId="7EEB805F" w14:textId="77777777" w:rsidTr="002D6DD7">
        <w:trPr>
          <w:jc w:val="center"/>
        </w:trPr>
        <w:tc>
          <w:tcPr>
            <w:tcW w:w="2695" w:type="dxa"/>
          </w:tcPr>
          <w:p w14:paraId="25C47429" w14:textId="77777777" w:rsidR="00223CE8" w:rsidRPr="00944B15" w:rsidRDefault="00223CE8" w:rsidP="002D6DD7">
            <w:pPr>
              <w:rPr>
                <w:rFonts w:cs="Times New Roman"/>
                <w:szCs w:val="24"/>
              </w:rPr>
            </w:pPr>
            <w:r w:rsidRPr="00944B15">
              <w:rPr>
                <w:rFonts w:cs="Times New Roman"/>
                <w:szCs w:val="24"/>
              </w:rPr>
              <w:t>Indications</w:t>
            </w:r>
          </w:p>
        </w:tc>
        <w:tc>
          <w:tcPr>
            <w:tcW w:w="6655" w:type="dxa"/>
          </w:tcPr>
          <w:p w14:paraId="7CA91DDC" w14:textId="77777777" w:rsidR="00223CE8" w:rsidRPr="00944B15" w:rsidRDefault="00223CE8" w:rsidP="002D6DD7">
            <w:pPr>
              <w:jc w:val="both"/>
              <w:rPr>
                <w:rFonts w:cs="Times New Roman"/>
                <w:szCs w:val="24"/>
              </w:rPr>
            </w:pPr>
            <w:r w:rsidRPr="00944B15">
              <w:rPr>
                <w:rFonts w:cs="Times New Roman"/>
                <w:szCs w:val="24"/>
              </w:rPr>
              <w:t xml:space="preserve">Reduction of neonatal morbidity and mortality from preterm delivery to accelerate fetal lung maturation </w:t>
            </w:r>
            <w:r w:rsidRPr="001748C4">
              <w:rPr>
                <w:rFonts w:cs="Times New Roman"/>
                <w:szCs w:val="24"/>
              </w:rPr>
              <w:t>between</w:t>
            </w:r>
            <w:r>
              <w:rPr>
                <w:rFonts w:cs="Times New Roman"/>
                <w:szCs w:val="24"/>
              </w:rPr>
              <w:t xml:space="preserve"> 24 and 34 weeks of gestation.</w:t>
            </w:r>
          </w:p>
        </w:tc>
      </w:tr>
      <w:tr w:rsidR="00223CE8" w:rsidRPr="000526F7" w14:paraId="0855E8F6" w14:textId="77777777" w:rsidTr="002D6DD7">
        <w:trPr>
          <w:jc w:val="center"/>
        </w:trPr>
        <w:tc>
          <w:tcPr>
            <w:tcW w:w="2695" w:type="dxa"/>
          </w:tcPr>
          <w:p w14:paraId="2BA8BBAB" w14:textId="77777777" w:rsidR="00223CE8" w:rsidRPr="000526F7" w:rsidRDefault="00223CE8" w:rsidP="002D6DD7">
            <w:pPr>
              <w:jc w:val="both"/>
              <w:rPr>
                <w:rFonts w:cs="Times New Roman"/>
                <w:szCs w:val="24"/>
              </w:rPr>
            </w:pPr>
            <w:r w:rsidRPr="000526F7">
              <w:rPr>
                <w:rFonts w:cs="Times New Roman"/>
                <w:szCs w:val="24"/>
              </w:rPr>
              <w:t>Dose and administration</w:t>
            </w:r>
          </w:p>
        </w:tc>
        <w:tc>
          <w:tcPr>
            <w:tcW w:w="6655" w:type="dxa"/>
          </w:tcPr>
          <w:p w14:paraId="03344C0B" w14:textId="77777777" w:rsidR="00223CE8" w:rsidRPr="000526F7" w:rsidRDefault="00223CE8" w:rsidP="002D6DD7">
            <w:pPr>
              <w:jc w:val="both"/>
              <w:rPr>
                <w:rFonts w:cs="Times New Roman"/>
                <w:szCs w:val="24"/>
              </w:rPr>
            </w:pPr>
            <w:r w:rsidRPr="008741B7">
              <w:rPr>
                <w:rFonts w:cs="Times New Roman"/>
                <w:szCs w:val="24"/>
              </w:rPr>
              <w:t>IM:</w:t>
            </w:r>
            <w:r w:rsidRPr="000526F7">
              <w:rPr>
                <w:rFonts w:cs="Times New Roman"/>
                <w:szCs w:val="24"/>
              </w:rPr>
              <w:t xml:space="preserve"> 6 mg every 12 hours for 4 doses (total 24 mg); first dose may be administered even if ability to give second dose is unlikely based on clinical scenario</w:t>
            </w:r>
          </w:p>
        </w:tc>
      </w:tr>
      <w:tr w:rsidR="00223CE8" w:rsidRPr="000526F7" w14:paraId="03065964" w14:textId="77777777" w:rsidTr="002D6DD7">
        <w:trPr>
          <w:jc w:val="center"/>
        </w:trPr>
        <w:tc>
          <w:tcPr>
            <w:tcW w:w="2695" w:type="dxa"/>
          </w:tcPr>
          <w:p w14:paraId="62D6EA3A" w14:textId="77777777" w:rsidR="00223CE8" w:rsidRPr="000526F7" w:rsidRDefault="00223CE8" w:rsidP="002D6DD7">
            <w:pPr>
              <w:jc w:val="both"/>
              <w:rPr>
                <w:rFonts w:cs="Times New Roman"/>
                <w:szCs w:val="24"/>
              </w:rPr>
            </w:pPr>
            <w:r w:rsidRPr="000526F7">
              <w:rPr>
                <w:rFonts w:cs="Times New Roman"/>
                <w:szCs w:val="24"/>
              </w:rPr>
              <w:t>Contraindications</w:t>
            </w:r>
          </w:p>
        </w:tc>
        <w:tc>
          <w:tcPr>
            <w:tcW w:w="6655" w:type="dxa"/>
          </w:tcPr>
          <w:p w14:paraId="69E4A121" w14:textId="77777777" w:rsidR="00223CE8" w:rsidRPr="000526F7" w:rsidRDefault="00223CE8" w:rsidP="002D6DD7">
            <w:pPr>
              <w:jc w:val="both"/>
              <w:rPr>
                <w:rFonts w:cs="Times New Roman"/>
                <w:szCs w:val="24"/>
              </w:rPr>
            </w:pPr>
            <w:r w:rsidRPr="000526F7">
              <w:rPr>
                <w:rFonts w:cs="Times New Roman"/>
                <w:szCs w:val="24"/>
              </w:rPr>
              <w:t xml:space="preserve">Hypersensitivity to </w:t>
            </w:r>
            <w:r>
              <w:rPr>
                <w:rFonts w:cs="Times New Roman"/>
                <w:szCs w:val="24"/>
              </w:rPr>
              <w:t>the drug</w:t>
            </w:r>
            <w:r w:rsidRPr="000526F7">
              <w:rPr>
                <w:rFonts w:cs="Times New Roman"/>
                <w:szCs w:val="24"/>
              </w:rPr>
              <w:t>, sulphites, systemic fungal infections</w:t>
            </w:r>
          </w:p>
        </w:tc>
      </w:tr>
      <w:tr w:rsidR="00223CE8" w:rsidRPr="000526F7" w14:paraId="1DCF9B8F" w14:textId="77777777" w:rsidTr="002D6DD7">
        <w:trPr>
          <w:trHeight w:val="404"/>
          <w:jc w:val="center"/>
        </w:trPr>
        <w:tc>
          <w:tcPr>
            <w:tcW w:w="2695" w:type="dxa"/>
          </w:tcPr>
          <w:p w14:paraId="25A0021C" w14:textId="77777777" w:rsidR="00223CE8" w:rsidRPr="000526F7" w:rsidRDefault="00223CE8" w:rsidP="002D6DD7">
            <w:pPr>
              <w:jc w:val="both"/>
              <w:rPr>
                <w:rFonts w:cs="Times New Roman"/>
                <w:szCs w:val="24"/>
              </w:rPr>
            </w:pPr>
            <w:r w:rsidRPr="000526F7">
              <w:rPr>
                <w:rFonts w:cs="Times New Roman"/>
                <w:szCs w:val="24"/>
              </w:rPr>
              <w:t>Drug interactions</w:t>
            </w:r>
          </w:p>
        </w:tc>
        <w:tc>
          <w:tcPr>
            <w:tcW w:w="6655" w:type="dxa"/>
          </w:tcPr>
          <w:p w14:paraId="067DA92B" w14:textId="77777777" w:rsidR="00223CE8" w:rsidRPr="000526F7" w:rsidRDefault="00223CE8" w:rsidP="002D6DD7">
            <w:pPr>
              <w:jc w:val="both"/>
              <w:rPr>
                <w:rFonts w:cs="Times New Roman"/>
                <w:szCs w:val="24"/>
              </w:rPr>
            </w:pPr>
            <w:r>
              <w:rPr>
                <w:rFonts w:cs="Times New Roman"/>
                <w:szCs w:val="24"/>
              </w:rPr>
              <w:t>Refer to betamethasone above</w:t>
            </w:r>
          </w:p>
        </w:tc>
      </w:tr>
      <w:tr w:rsidR="00223CE8" w:rsidRPr="000526F7" w14:paraId="0E2E7556" w14:textId="77777777" w:rsidTr="002D6DD7">
        <w:trPr>
          <w:jc w:val="center"/>
        </w:trPr>
        <w:tc>
          <w:tcPr>
            <w:tcW w:w="2695" w:type="dxa"/>
          </w:tcPr>
          <w:p w14:paraId="408F749F"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5A79D007" w14:textId="77777777" w:rsidR="00223CE8" w:rsidRPr="000526F7" w:rsidRDefault="00223CE8" w:rsidP="002D6DD7">
            <w:pPr>
              <w:jc w:val="both"/>
              <w:rPr>
                <w:rFonts w:cs="Times New Roman"/>
                <w:szCs w:val="24"/>
              </w:rPr>
            </w:pPr>
            <w:r>
              <w:rPr>
                <w:rFonts w:cs="Times New Roman"/>
                <w:szCs w:val="24"/>
              </w:rPr>
              <w:t>Refer to betamethasone above</w:t>
            </w:r>
          </w:p>
        </w:tc>
      </w:tr>
      <w:tr w:rsidR="00223CE8" w:rsidRPr="000526F7" w14:paraId="662BB8AC" w14:textId="77777777" w:rsidTr="002D6DD7">
        <w:trPr>
          <w:jc w:val="center"/>
        </w:trPr>
        <w:tc>
          <w:tcPr>
            <w:tcW w:w="2695" w:type="dxa"/>
          </w:tcPr>
          <w:p w14:paraId="27582116" w14:textId="77777777" w:rsidR="00223CE8" w:rsidRPr="000526F7" w:rsidRDefault="00223CE8" w:rsidP="002D6DD7">
            <w:pPr>
              <w:jc w:val="both"/>
              <w:rPr>
                <w:rFonts w:cs="Times New Roman"/>
                <w:szCs w:val="24"/>
              </w:rPr>
            </w:pPr>
            <w:r w:rsidRPr="000526F7">
              <w:rPr>
                <w:rFonts w:cs="Times New Roman"/>
                <w:szCs w:val="24"/>
              </w:rPr>
              <w:t xml:space="preserve">Cautions </w:t>
            </w:r>
          </w:p>
        </w:tc>
        <w:tc>
          <w:tcPr>
            <w:tcW w:w="6655" w:type="dxa"/>
          </w:tcPr>
          <w:p w14:paraId="7AFA0F59" w14:textId="77777777" w:rsidR="00223CE8" w:rsidRPr="000526F7" w:rsidRDefault="00223CE8" w:rsidP="002D6DD7">
            <w:pPr>
              <w:jc w:val="both"/>
              <w:rPr>
                <w:rFonts w:cs="Times New Roman"/>
                <w:szCs w:val="24"/>
              </w:rPr>
            </w:pPr>
            <w:r>
              <w:rPr>
                <w:rFonts w:cs="Times New Roman"/>
                <w:szCs w:val="24"/>
              </w:rPr>
              <w:t>Refer to betamethasone above</w:t>
            </w:r>
          </w:p>
        </w:tc>
      </w:tr>
      <w:tr w:rsidR="00223CE8" w:rsidRPr="000526F7" w14:paraId="08E08970" w14:textId="77777777" w:rsidTr="002D6DD7">
        <w:trPr>
          <w:jc w:val="center"/>
        </w:trPr>
        <w:tc>
          <w:tcPr>
            <w:tcW w:w="2695" w:type="dxa"/>
          </w:tcPr>
          <w:p w14:paraId="36589BB1"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00599CC9" w14:textId="77777777" w:rsidR="00223CE8" w:rsidRPr="000526F7" w:rsidRDefault="00223CE8" w:rsidP="002D6DD7">
            <w:pPr>
              <w:jc w:val="both"/>
              <w:rPr>
                <w:rFonts w:cs="Times New Roman"/>
                <w:szCs w:val="24"/>
              </w:rPr>
            </w:pPr>
            <w:r w:rsidRPr="000526F7">
              <w:rPr>
                <w:rFonts w:cs="Times New Roman"/>
                <w:szCs w:val="24"/>
              </w:rPr>
              <w:t xml:space="preserve">Store below 30 </w:t>
            </w:r>
            <w:r w:rsidRPr="000526F7">
              <w:rPr>
                <w:rFonts w:cs="Times New Roman"/>
                <w:szCs w:val="24"/>
                <w:vertAlign w:val="superscript"/>
              </w:rPr>
              <w:t>0</w:t>
            </w:r>
            <w:r>
              <w:rPr>
                <w:rFonts w:cs="Times New Roman"/>
                <w:szCs w:val="24"/>
              </w:rPr>
              <w:t>C.</w:t>
            </w:r>
          </w:p>
        </w:tc>
      </w:tr>
      <w:tr w:rsidR="00223CE8" w:rsidRPr="000526F7" w14:paraId="4B651401" w14:textId="77777777" w:rsidTr="002D6DD7">
        <w:trPr>
          <w:jc w:val="center"/>
        </w:trPr>
        <w:tc>
          <w:tcPr>
            <w:tcW w:w="9350" w:type="dxa"/>
            <w:gridSpan w:val="2"/>
          </w:tcPr>
          <w:p w14:paraId="29054CEE" w14:textId="77777777" w:rsidR="00223CE8" w:rsidRPr="000526F7" w:rsidRDefault="00223CE8" w:rsidP="002D6DD7">
            <w:pPr>
              <w:jc w:val="both"/>
              <w:rPr>
                <w:rFonts w:cs="Times New Roman"/>
                <w:b/>
                <w:szCs w:val="24"/>
              </w:rPr>
            </w:pPr>
            <w:r w:rsidRPr="000526F7">
              <w:rPr>
                <w:rFonts w:cs="Times New Roman"/>
                <w:b/>
                <w:szCs w:val="24"/>
              </w:rPr>
              <w:t>Dinoprostone (Prostaglandin E2)</w:t>
            </w:r>
          </w:p>
        </w:tc>
      </w:tr>
      <w:tr w:rsidR="00223CE8" w:rsidRPr="000526F7" w14:paraId="2C575700" w14:textId="77777777" w:rsidTr="002D6DD7">
        <w:trPr>
          <w:jc w:val="center"/>
        </w:trPr>
        <w:tc>
          <w:tcPr>
            <w:tcW w:w="2695" w:type="dxa"/>
          </w:tcPr>
          <w:p w14:paraId="7FBD34E0" w14:textId="77777777" w:rsidR="00223CE8" w:rsidRPr="000526F7" w:rsidRDefault="00223CE8" w:rsidP="002D6DD7">
            <w:pPr>
              <w:jc w:val="both"/>
              <w:rPr>
                <w:rFonts w:cs="Times New Roman"/>
                <w:szCs w:val="24"/>
              </w:rPr>
            </w:pPr>
            <w:r w:rsidRPr="000526F7">
              <w:rPr>
                <w:rFonts w:cs="Times New Roman"/>
                <w:szCs w:val="24"/>
              </w:rPr>
              <w:t>Pharmacological class</w:t>
            </w:r>
          </w:p>
        </w:tc>
        <w:tc>
          <w:tcPr>
            <w:tcW w:w="6655" w:type="dxa"/>
          </w:tcPr>
          <w:p w14:paraId="18A27B0D" w14:textId="77777777" w:rsidR="00223CE8" w:rsidRPr="000526F7" w:rsidRDefault="00223CE8" w:rsidP="002D6DD7">
            <w:pPr>
              <w:jc w:val="both"/>
              <w:rPr>
                <w:rFonts w:cs="Times New Roman"/>
                <w:szCs w:val="24"/>
              </w:rPr>
            </w:pPr>
            <w:r w:rsidRPr="000526F7">
              <w:rPr>
                <w:rFonts w:cs="Times New Roman"/>
                <w:szCs w:val="24"/>
              </w:rPr>
              <w:t xml:space="preserve">Prostaglandin, oxytocic agent </w:t>
            </w:r>
          </w:p>
        </w:tc>
      </w:tr>
      <w:tr w:rsidR="00223CE8" w:rsidRPr="000526F7" w14:paraId="5AA24276" w14:textId="77777777" w:rsidTr="002D6DD7">
        <w:trPr>
          <w:jc w:val="center"/>
        </w:trPr>
        <w:tc>
          <w:tcPr>
            <w:tcW w:w="2695" w:type="dxa"/>
          </w:tcPr>
          <w:p w14:paraId="2DB15419" w14:textId="77777777" w:rsidR="00223CE8" w:rsidRPr="000526F7" w:rsidRDefault="00223CE8" w:rsidP="002D6DD7">
            <w:pPr>
              <w:jc w:val="both"/>
              <w:rPr>
                <w:rFonts w:cs="Times New Roman"/>
                <w:szCs w:val="24"/>
              </w:rPr>
            </w:pPr>
            <w:r w:rsidRPr="000526F7">
              <w:rPr>
                <w:rFonts w:cs="Times New Roman"/>
                <w:szCs w:val="24"/>
              </w:rPr>
              <w:t>Dosage form</w:t>
            </w:r>
          </w:p>
        </w:tc>
        <w:tc>
          <w:tcPr>
            <w:tcW w:w="6655" w:type="dxa"/>
          </w:tcPr>
          <w:p w14:paraId="06F4064C" w14:textId="77777777" w:rsidR="00223CE8" w:rsidRPr="000526F7" w:rsidRDefault="00223CE8" w:rsidP="002D6DD7">
            <w:pPr>
              <w:jc w:val="both"/>
              <w:rPr>
                <w:rFonts w:cs="Times New Roman"/>
                <w:szCs w:val="24"/>
              </w:rPr>
            </w:pPr>
            <w:r>
              <w:rPr>
                <w:rFonts w:eastAsia="Times New Roman" w:cs="Times New Roman"/>
                <w:kern w:val="24"/>
                <w:szCs w:val="24"/>
              </w:rPr>
              <w:t>Vaginal t</w:t>
            </w:r>
            <w:r w:rsidRPr="000526F7">
              <w:rPr>
                <w:rFonts w:eastAsia="Times New Roman" w:cs="Times New Roman"/>
                <w:kern w:val="24"/>
                <w:szCs w:val="24"/>
              </w:rPr>
              <w:t>ablet: 3mg</w:t>
            </w:r>
          </w:p>
        </w:tc>
      </w:tr>
      <w:tr w:rsidR="00223CE8" w:rsidRPr="000526F7" w14:paraId="6704CDEE" w14:textId="77777777" w:rsidTr="002D6DD7">
        <w:trPr>
          <w:jc w:val="center"/>
        </w:trPr>
        <w:tc>
          <w:tcPr>
            <w:tcW w:w="2695" w:type="dxa"/>
          </w:tcPr>
          <w:p w14:paraId="1DDC9331" w14:textId="77777777" w:rsidR="00223CE8" w:rsidRPr="000526F7" w:rsidRDefault="00223CE8" w:rsidP="002D6DD7">
            <w:pPr>
              <w:jc w:val="both"/>
              <w:rPr>
                <w:rFonts w:cs="Times New Roman"/>
                <w:szCs w:val="24"/>
              </w:rPr>
            </w:pPr>
            <w:r w:rsidRPr="000526F7">
              <w:rPr>
                <w:rFonts w:cs="Times New Roman"/>
                <w:szCs w:val="24"/>
              </w:rPr>
              <w:t>Indications</w:t>
            </w:r>
          </w:p>
        </w:tc>
        <w:tc>
          <w:tcPr>
            <w:tcW w:w="6655" w:type="dxa"/>
          </w:tcPr>
          <w:p w14:paraId="32078EFA" w14:textId="77777777" w:rsidR="00223CE8" w:rsidRPr="000526F7" w:rsidRDefault="00223CE8" w:rsidP="002D6DD7">
            <w:pPr>
              <w:jc w:val="both"/>
              <w:rPr>
                <w:rFonts w:cs="Times New Roman"/>
                <w:szCs w:val="24"/>
              </w:rPr>
            </w:pPr>
            <w:r w:rsidRPr="000526F7">
              <w:rPr>
                <w:rFonts w:cs="Times New Roman"/>
                <w:szCs w:val="24"/>
              </w:rPr>
              <w:t>Cervical ripening and induction of labor at term</w:t>
            </w:r>
          </w:p>
        </w:tc>
      </w:tr>
      <w:tr w:rsidR="00223CE8" w:rsidRPr="000526F7" w14:paraId="766561FC" w14:textId="77777777" w:rsidTr="002D6DD7">
        <w:trPr>
          <w:jc w:val="center"/>
        </w:trPr>
        <w:tc>
          <w:tcPr>
            <w:tcW w:w="2695" w:type="dxa"/>
          </w:tcPr>
          <w:p w14:paraId="3E5D1DBF" w14:textId="77777777" w:rsidR="00223CE8" w:rsidRPr="000526F7" w:rsidRDefault="00223CE8" w:rsidP="002D6DD7">
            <w:pPr>
              <w:jc w:val="both"/>
              <w:rPr>
                <w:rFonts w:cs="Times New Roman"/>
                <w:szCs w:val="24"/>
              </w:rPr>
            </w:pPr>
            <w:r w:rsidRPr="000526F7">
              <w:rPr>
                <w:rFonts w:cs="Times New Roman"/>
                <w:szCs w:val="24"/>
              </w:rPr>
              <w:t>Dose and administration</w:t>
            </w:r>
          </w:p>
        </w:tc>
        <w:tc>
          <w:tcPr>
            <w:tcW w:w="6655" w:type="dxa"/>
          </w:tcPr>
          <w:p w14:paraId="154AECA6" w14:textId="77777777" w:rsidR="00223CE8" w:rsidRPr="000526F7" w:rsidRDefault="00223CE8" w:rsidP="002D6DD7">
            <w:pPr>
              <w:jc w:val="both"/>
              <w:rPr>
                <w:rFonts w:cs="Times New Roman"/>
                <w:szCs w:val="24"/>
              </w:rPr>
            </w:pPr>
            <w:r w:rsidRPr="000526F7">
              <w:rPr>
                <w:rFonts w:cs="Times New Roman"/>
                <w:szCs w:val="24"/>
              </w:rPr>
              <w:t xml:space="preserve">Insert 3 mg </w:t>
            </w:r>
            <w:r>
              <w:rPr>
                <w:rFonts w:cs="Times New Roman"/>
                <w:szCs w:val="24"/>
              </w:rPr>
              <w:t xml:space="preserve">of tablet </w:t>
            </w:r>
            <w:r w:rsidRPr="000526F7">
              <w:rPr>
                <w:rFonts w:cs="Times New Roman"/>
                <w:szCs w:val="24"/>
              </w:rPr>
              <w:t>high into</w:t>
            </w:r>
            <w:r>
              <w:rPr>
                <w:rFonts w:cs="Times New Roman"/>
                <w:szCs w:val="24"/>
              </w:rPr>
              <w:t xml:space="preserve"> posterior fornix of the vagina</w:t>
            </w:r>
            <w:r w:rsidRPr="000526F7">
              <w:rPr>
                <w:rFonts w:cs="Times New Roman"/>
                <w:szCs w:val="24"/>
              </w:rPr>
              <w:t xml:space="preserve"> followed by 3 mg </w:t>
            </w:r>
            <w:r>
              <w:rPr>
                <w:rFonts w:cs="Times New Roman"/>
                <w:szCs w:val="24"/>
              </w:rPr>
              <w:t xml:space="preserve">after </w:t>
            </w:r>
            <w:r w:rsidRPr="000526F7">
              <w:rPr>
                <w:rFonts w:cs="Times New Roman"/>
                <w:szCs w:val="24"/>
              </w:rPr>
              <w:t>6–8 hours if labor is not established; maximum 6 mg/24 hours.</w:t>
            </w:r>
          </w:p>
        </w:tc>
      </w:tr>
      <w:tr w:rsidR="00223CE8" w:rsidRPr="000526F7" w14:paraId="0FC70BA7" w14:textId="77777777" w:rsidTr="002D6DD7">
        <w:trPr>
          <w:jc w:val="center"/>
        </w:trPr>
        <w:tc>
          <w:tcPr>
            <w:tcW w:w="2695" w:type="dxa"/>
          </w:tcPr>
          <w:p w14:paraId="2A6CFDE7" w14:textId="77777777" w:rsidR="00223CE8" w:rsidRPr="000526F7" w:rsidRDefault="00223CE8" w:rsidP="002D6DD7">
            <w:pPr>
              <w:jc w:val="both"/>
              <w:rPr>
                <w:rFonts w:cs="Times New Roman"/>
                <w:szCs w:val="24"/>
              </w:rPr>
            </w:pPr>
            <w:r w:rsidRPr="000526F7">
              <w:rPr>
                <w:rFonts w:cs="Times New Roman"/>
                <w:szCs w:val="24"/>
              </w:rPr>
              <w:t>Contraindications</w:t>
            </w:r>
          </w:p>
        </w:tc>
        <w:tc>
          <w:tcPr>
            <w:tcW w:w="6655" w:type="dxa"/>
          </w:tcPr>
          <w:p w14:paraId="32555C6A" w14:textId="77777777" w:rsidR="00223CE8" w:rsidRPr="000526F7" w:rsidRDefault="00223CE8" w:rsidP="002D6DD7">
            <w:pPr>
              <w:jc w:val="both"/>
              <w:rPr>
                <w:rFonts w:cs="Times New Roman"/>
                <w:szCs w:val="24"/>
              </w:rPr>
            </w:pPr>
            <w:r w:rsidRPr="000526F7">
              <w:rPr>
                <w:rFonts w:cs="Times New Roman"/>
                <w:szCs w:val="24"/>
              </w:rPr>
              <w:t xml:space="preserve">Hypersensitivity to </w:t>
            </w:r>
            <w:r>
              <w:rPr>
                <w:rFonts w:cs="Times New Roman"/>
                <w:szCs w:val="24"/>
              </w:rPr>
              <w:t>the drug or other prostaglandin analogue</w:t>
            </w:r>
            <w:r w:rsidRPr="000526F7">
              <w:rPr>
                <w:rFonts w:cs="Times New Roman"/>
                <w:szCs w:val="24"/>
              </w:rPr>
              <w:t xml:space="preserve">, fetal distress, unexplained vaginal bleeding during this pregnancy, acute </w:t>
            </w:r>
            <w:r w:rsidRPr="000526F7">
              <w:rPr>
                <w:rFonts w:cs="Times New Roman"/>
                <w:szCs w:val="24"/>
              </w:rPr>
              <w:lastRenderedPageBreak/>
              <w:t>pelvic inflammatory</w:t>
            </w:r>
            <w:r>
              <w:rPr>
                <w:rFonts w:cs="Times New Roman"/>
                <w:szCs w:val="24"/>
              </w:rPr>
              <w:t xml:space="preserve"> disease, uterine fibroids, </w:t>
            </w:r>
            <w:r w:rsidRPr="000526F7">
              <w:rPr>
                <w:rFonts w:cs="Times New Roman"/>
                <w:szCs w:val="24"/>
              </w:rPr>
              <w:t>cervical stenosis, history o</w:t>
            </w:r>
            <w:r>
              <w:rPr>
                <w:rFonts w:cs="Times New Roman"/>
                <w:szCs w:val="24"/>
              </w:rPr>
              <w:t>f c</w:t>
            </w:r>
            <w:r w:rsidRPr="000526F7">
              <w:rPr>
                <w:rFonts w:cs="Times New Roman"/>
                <w:szCs w:val="24"/>
              </w:rPr>
              <w:t xml:space="preserve">esarean section or major uterine surgery, cephalopelvic disproportion, foetal malpresentation is present, </w:t>
            </w:r>
            <w:r>
              <w:rPr>
                <w:rFonts w:cs="Times New Roman"/>
                <w:szCs w:val="24"/>
              </w:rPr>
              <w:t>fetal distress, placenta praevia,</w:t>
            </w:r>
            <w:r w:rsidRPr="000526F7">
              <w:rPr>
                <w:rFonts w:cs="Times New Roman"/>
                <w:szCs w:val="24"/>
              </w:rPr>
              <w:t xml:space="preserve"> unexplained vaginal bleeding.</w:t>
            </w:r>
          </w:p>
        </w:tc>
      </w:tr>
      <w:tr w:rsidR="00223CE8" w:rsidRPr="000526F7" w14:paraId="3AC58FAE" w14:textId="77777777" w:rsidTr="002D6DD7">
        <w:trPr>
          <w:jc w:val="center"/>
        </w:trPr>
        <w:tc>
          <w:tcPr>
            <w:tcW w:w="2695" w:type="dxa"/>
          </w:tcPr>
          <w:p w14:paraId="6216C189" w14:textId="77777777" w:rsidR="00223CE8" w:rsidRPr="000526F7" w:rsidRDefault="00223CE8" w:rsidP="002D6DD7">
            <w:pPr>
              <w:jc w:val="both"/>
              <w:rPr>
                <w:rFonts w:cs="Times New Roman"/>
                <w:szCs w:val="24"/>
              </w:rPr>
            </w:pPr>
            <w:r w:rsidRPr="000526F7">
              <w:rPr>
                <w:rFonts w:cs="Times New Roman"/>
                <w:szCs w:val="24"/>
              </w:rPr>
              <w:lastRenderedPageBreak/>
              <w:t>Drug interactions</w:t>
            </w:r>
          </w:p>
        </w:tc>
        <w:tc>
          <w:tcPr>
            <w:tcW w:w="6655" w:type="dxa"/>
          </w:tcPr>
          <w:p w14:paraId="1E0B83A2" w14:textId="77777777" w:rsidR="00223CE8" w:rsidRPr="000526F7" w:rsidRDefault="00223CE8" w:rsidP="002D6DD7">
            <w:pPr>
              <w:jc w:val="both"/>
              <w:rPr>
                <w:rFonts w:cs="Times New Roman"/>
                <w:szCs w:val="24"/>
              </w:rPr>
            </w:pPr>
            <w:r w:rsidRPr="000526F7">
              <w:rPr>
                <w:rFonts w:cs="Times New Roman"/>
                <w:szCs w:val="24"/>
              </w:rPr>
              <w:t>Oxytocin, ergometrine, ephedrine, carbetocin, carboprost tromethamine, NSAIDs</w:t>
            </w:r>
          </w:p>
        </w:tc>
      </w:tr>
      <w:tr w:rsidR="00223CE8" w:rsidRPr="000526F7" w14:paraId="453FCDC8" w14:textId="77777777" w:rsidTr="002D6DD7">
        <w:trPr>
          <w:jc w:val="center"/>
        </w:trPr>
        <w:tc>
          <w:tcPr>
            <w:tcW w:w="2695" w:type="dxa"/>
          </w:tcPr>
          <w:p w14:paraId="4825D808"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6EDD923B" w14:textId="77777777" w:rsidR="00223CE8" w:rsidRPr="000526F7" w:rsidRDefault="00223CE8" w:rsidP="002D6DD7">
            <w:pPr>
              <w:jc w:val="both"/>
              <w:rPr>
                <w:rFonts w:cs="Times New Roman"/>
                <w:szCs w:val="24"/>
              </w:rPr>
            </w:pPr>
            <w:r w:rsidRPr="000526F7">
              <w:rPr>
                <w:rFonts w:cs="Times New Roman"/>
                <w:szCs w:val="24"/>
              </w:rPr>
              <w:t xml:space="preserve">Vomiting, diarrhea, nausea, fever, headache, bradycardia, back pain, bronchospasm, cardiac arrhythmia, chills, cough, dizziness, dyspnea, flushing, hot flushes, hypotension, shivering, syncope, tightness of the chest, vasomotor and vasovagal reactions, wheezing, uterine rupture, fetal distress </w:t>
            </w:r>
          </w:p>
        </w:tc>
      </w:tr>
      <w:tr w:rsidR="00223CE8" w:rsidRPr="000526F7" w14:paraId="289AC9D5" w14:textId="77777777" w:rsidTr="002D6DD7">
        <w:trPr>
          <w:jc w:val="center"/>
        </w:trPr>
        <w:tc>
          <w:tcPr>
            <w:tcW w:w="2695" w:type="dxa"/>
          </w:tcPr>
          <w:p w14:paraId="3BC63E4F" w14:textId="77777777" w:rsidR="00223CE8" w:rsidRPr="000526F7" w:rsidRDefault="00223CE8" w:rsidP="002D6DD7">
            <w:pPr>
              <w:jc w:val="both"/>
              <w:rPr>
                <w:rFonts w:cs="Times New Roman"/>
                <w:szCs w:val="24"/>
              </w:rPr>
            </w:pPr>
            <w:r w:rsidRPr="000526F7">
              <w:rPr>
                <w:rFonts w:cs="Times New Roman"/>
                <w:szCs w:val="24"/>
              </w:rPr>
              <w:t xml:space="preserve">Cautions </w:t>
            </w:r>
          </w:p>
        </w:tc>
        <w:tc>
          <w:tcPr>
            <w:tcW w:w="6655" w:type="dxa"/>
          </w:tcPr>
          <w:p w14:paraId="3F512F92" w14:textId="77777777" w:rsidR="00223CE8" w:rsidRPr="000526F7" w:rsidRDefault="00223CE8" w:rsidP="002D6DD7">
            <w:pPr>
              <w:jc w:val="both"/>
              <w:rPr>
                <w:rFonts w:cs="Times New Roman"/>
                <w:szCs w:val="24"/>
              </w:rPr>
            </w:pPr>
            <w:r w:rsidRPr="000526F7">
              <w:rPr>
                <w:rFonts w:cs="Times New Roman"/>
                <w:szCs w:val="24"/>
              </w:rPr>
              <w:t>Cervicitis, infected endocervical lesions, acute vaginitis, compromised</w:t>
            </w:r>
            <w:r>
              <w:rPr>
                <w:rFonts w:cs="Times New Roman"/>
                <w:szCs w:val="24"/>
              </w:rPr>
              <w:t xml:space="preserve"> (scarred) uterus or </w:t>
            </w:r>
            <w:r w:rsidRPr="000526F7">
              <w:rPr>
                <w:rFonts w:cs="Times New Roman"/>
                <w:szCs w:val="24"/>
              </w:rPr>
              <w:t>asthma, glaucoma, hypertension or hypotension, epilepsy, diabetes mellitus, anemia, jaundice, cardiovascular, renal, or hepatic disease.</w:t>
            </w:r>
          </w:p>
        </w:tc>
      </w:tr>
      <w:tr w:rsidR="00223CE8" w:rsidRPr="000526F7" w14:paraId="1C651E0C" w14:textId="77777777" w:rsidTr="002D6DD7">
        <w:trPr>
          <w:jc w:val="center"/>
        </w:trPr>
        <w:tc>
          <w:tcPr>
            <w:tcW w:w="2695" w:type="dxa"/>
          </w:tcPr>
          <w:p w14:paraId="553DC965"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3E63F970" w14:textId="77777777" w:rsidR="00223CE8" w:rsidRPr="000526F7" w:rsidRDefault="00223CE8" w:rsidP="002D6DD7">
            <w:pPr>
              <w:jc w:val="both"/>
              <w:rPr>
                <w:rFonts w:cs="Times New Roman"/>
                <w:szCs w:val="24"/>
              </w:rPr>
            </w:pPr>
            <w:r w:rsidRPr="000526F7">
              <w:rPr>
                <w:rFonts w:cs="Times New Roman"/>
                <w:szCs w:val="24"/>
              </w:rPr>
              <w:t xml:space="preserve">Store in a refrigerator at 2 to 8 </w:t>
            </w:r>
            <w:r w:rsidRPr="000526F7">
              <w:rPr>
                <w:rFonts w:cs="Times New Roman"/>
                <w:szCs w:val="24"/>
                <w:vertAlign w:val="superscript"/>
              </w:rPr>
              <w:t>0</w:t>
            </w:r>
            <w:r>
              <w:rPr>
                <w:rFonts w:cs="Times New Roman"/>
                <w:szCs w:val="24"/>
              </w:rPr>
              <w:t>C.</w:t>
            </w:r>
            <w:r w:rsidRPr="000526F7">
              <w:rPr>
                <w:rFonts w:cs="Times New Roman"/>
                <w:szCs w:val="24"/>
              </w:rPr>
              <w:t xml:space="preserve"> </w:t>
            </w:r>
          </w:p>
        </w:tc>
      </w:tr>
      <w:tr w:rsidR="00223CE8" w:rsidRPr="000526F7" w14:paraId="6E39AD5B" w14:textId="77777777" w:rsidTr="002D6DD7">
        <w:trPr>
          <w:jc w:val="center"/>
        </w:trPr>
        <w:tc>
          <w:tcPr>
            <w:tcW w:w="9350" w:type="dxa"/>
            <w:gridSpan w:val="2"/>
          </w:tcPr>
          <w:p w14:paraId="6E3E7C76" w14:textId="77777777" w:rsidR="00223CE8" w:rsidRPr="000526F7" w:rsidRDefault="00223CE8" w:rsidP="002D6DD7">
            <w:pPr>
              <w:jc w:val="both"/>
              <w:rPr>
                <w:rFonts w:cs="Times New Roman"/>
                <w:b/>
                <w:szCs w:val="24"/>
              </w:rPr>
            </w:pPr>
            <w:r w:rsidRPr="000526F7">
              <w:rPr>
                <w:rFonts w:cs="Times New Roman"/>
                <w:b/>
                <w:szCs w:val="24"/>
              </w:rPr>
              <w:t>Estradiol</w:t>
            </w:r>
          </w:p>
        </w:tc>
      </w:tr>
      <w:tr w:rsidR="00223CE8" w:rsidRPr="000526F7" w14:paraId="43BF7DB7" w14:textId="77777777" w:rsidTr="002D6DD7">
        <w:trPr>
          <w:jc w:val="center"/>
        </w:trPr>
        <w:tc>
          <w:tcPr>
            <w:tcW w:w="2695" w:type="dxa"/>
          </w:tcPr>
          <w:p w14:paraId="35BC6AE1" w14:textId="77777777" w:rsidR="00223CE8" w:rsidRPr="000526F7" w:rsidRDefault="00223CE8" w:rsidP="002D6DD7">
            <w:pPr>
              <w:jc w:val="both"/>
              <w:rPr>
                <w:rFonts w:cs="Times New Roman"/>
                <w:szCs w:val="24"/>
              </w:rPr>
            </w:pPr>
            <w:r w:rsidRPr="000526F7">
              <w:rPr>
                <w:rFonts w:cs="Times New Roman"/>
                <w:szCs w:val="24"/>
              </w:rPr>
              <w:t>Pharmacological class</w:t>
            </w:r>
          </w:p>
        </w:tc>
        <w:tc>
          <w:tcPr>
            <w:tcW w:w="6655" w:type="dxa"/>
          </w:tcPr>
          <w:p w14:paraId="185D0618" w14:textId="77777777" w:rsidR="00223CE8" w:rsidRPr="000526F7" w:rsidRDefault="00223CE8" w:rsidP="002D6DD7">
            <w:pPr>
              <w:jc w:val="both"/>
              <w:rPr>
                <w:rFonts w:cs="Times New Roman"/>
                <w:szCs w:val="24"/>
              </w:rPr>
            </w:pPr>
            <w:r w:rsidRPr="000526F7">
              <w:rPr>
                <w:rFonts w:cs="Times New Roman"/>
                <w:szCs w:val="24"/>
              </w:rPr>
              <w:t>Estrogen analogue</w:t>
            </w:r>
          </w:p>
        </w:tc>
      </w:tr>
      <w:tr w:rsidR="00223CE8" w:rsidRPr="000526F7" w14:paraId="6A9A681B" w14:textId="77777777" w:rsidTr="002D6DD7">
        <w:trPr>
          <w:jc w:val="center"/>
        </w:trPr>
        <w:tc>
          <w:tcPr>
            <w:tcW w:w="2695" w:type="dxa"/>
          </w:tcPr>
          <w:p w14:paraId="2446BBC2" w14:textId="77777777" w:rsidR="00223CE8" w:rsidRPr="000526F7" w:rsidRDefault="00223CE8" w:rsidP="002D6DD7">
            <w:pPr>
              <w:jc w:val="both"/>
              <w:rPr>
                <w:rFonts w:cs="Times New Roman"/>
                <w:szCs w:val="24"/>
              </w:rPr>
            </w:pPr>
            <w:r w:rsidRPr="000526F7">
              <w:rPr>
                <w:rFonts w:cs="Times New Roman"/>
                <w:szCs w:val="24"/>
              </w:rPr>
              <w:t>Dosage form</w:t>
            </w:r>
          </w:p>
        </w:tc>
        <w:tc>
          <w:tcPr>
            <w:tcW w:w="6655" w:type="dxa"/>
          </w:tcPr>
          <w:p w14:paraId="489DD8FE" w14:textId="77777777" w:rsidR="00223CE8" w:rsidRPr="000526F7" w:rsidRDefault="00223CE8" w:rsidP="002D6DD7">
            <w:pPr>
              <w:jc w:val="both"/>
              <w:rPr>
                <w:rFonts w:cs="Times New Roman"/>
                <w:szCs w:val="24"/>
              </w:rPr>
            </w:pPr>
            <w:r w:rsidRPr="000526F7">
              <w:rPr>
                <w:rFonts w:cs="Times New Roman"/>
                <w:szCs w:val="24"/>
              </w:rPr>
              <w:t>Vaginal cream</w:t>
            </w:r>
            <w:r>
              <w:rPr>
                <w:rFonts w:cs="Times New Roman"/>
                <w:szCs w:val="24"/>
              </w:rPr>
              <w:t>:</w:t>
            </w:r>
            <w:r w:rsidRPr="000526F7">
              <w:rPr>
                <w:rFonts w:cs="Times New Roman"/>
                <w:szCs w:val="24"/>
              </w:rPr>
              <w:t xml:space="preserve"> 0.01% </w:t>
            </w:r>
          </w:p>
        </w:tc>
      </w:tr>
      <w:tr w:rsidR="00223CE8" w:rsidRPr="000526F7" w14:paraId="4997DE63" w14:textId="77777777" w:rsidTr="002D6DD7">
        <w:trPr>
          <w:jc w:val="center"/>
        </w:trPr>
        <w:tc>
          <w:tcPr>
            <w:tcW w:w="2695" w:type="dxa"/>
          </w:tcPr>
          <w:p w14:paraId="4098B9DC" w14:textId="77777777" w:rsidR="00223CE8" w:rsidRPr="000526F7" w:rsidRDefault="00223CE8" w:rsidP="002D6DD7">
            <w:pPr>
              <w:jc w:val="both"/>
              <w:rPr>
                <w:rFonts w:cs="Times New Roman"/>
                <w:szCs w:val="24"/>
              </w:rPr>
            </w:pPr>
            <w:r w:rsidRPr="000526F7">
              <w:rPr>
                <w:rFonts w:cs="Times New Roman"/>
                <w:szCs w:val="24"/>
              </w:rPr>
              <w:t>Indications</w:t>
            </w:r>
          </w:p>
        </w:tc>
        <w:tc>
          <w:tcPr>
            <w:tcW w:w="6655" w:type="dxa"/>
          </w:tcPr>
          <w:p w14:paraId="3E1F15E6" w14:textId="77777777" w:rsidR="00223CE8" w:rsidRPr="000526F7" w:rsidRDefault="00223CE8" w:rsidP="002D6DD7">
            <w:pPr>
              <w:jc w:val="both"/>
              <w:rPr>
                <w:rFonts w:cs="Times New Roman"/>
                <w:szCs w:val="24"/>
              </w:rPr>
            </w:pPr>
            <w:r w:rsidRPr="000526F7">
              <w:rPr>
                <w:rFonts w:cs="Times New Roman"/>
                <w:szCs w:val="24"/>
              </w:rPr>
              <w:t xml:space="preserve">Atrophic vaginitis, atrophic urethritis, moderate to severe dyspareunia  </w:t>
            </w:r>
          </w:p>
        </w:tc>
      </w:tr>
      <w:tr w:rsidR="00223CE8" w:rsidRPr="000526F7" w14:paraId="102B3970" w14:textId="77777777" w:rsidTr="002D6DD7">
        <w:trPr>
          <w:jc w:val="center"/>
        </w:trPr>
        <w:tc>
          <w:tcPr>
            <w:tcW w:w="2695" w:type="dxa"/>
          </w:tcPr>
          <w:p w14:paraId="623B60E4" w14:textId="77777777" w:rsidR="00223CE8" w:rsidRPr="000526F7" w:rsidRDefault="00223CE8" w:rsidP="002D6DD7">
            <w:pPr>
              <w:jc w:val="both"/>
              <w:rPr>
                <w:rFonts w:cs="Times New Roman"/>
                <w:szCs w:val="24"/>
              </w:rPr>
            </w:pPr>
            <w:r w:rsidRPr="000526F7">
              <w:rPr>
                <w:rFonts w:cs="Times New Roman"/>
                <w:szCs w:val="24"/>
              </w:rPr>
              <w:t>Dose and administration</w:t>
            </w:r>
          </w:p>
        </w:tc>
        <w:tc>
          <w:tcPr>
            <w:tcW w:w="6655" w:type="dxa"/>
          </w:tcPr>
          <w:p w14:paraId="1B00FE5F" w14:textId="77777777" w:rsidR="00223CE8" w:rsidRPr="000526F7" w:rsidRDefault="00223CE8" w:rsidP="002D6DD7">
            <w:pPr>
              <w:jc w:val="both"/>
              <w:rPr>
                <w:rFonts w:cs="Times New Roman"/>
                <w:szCs w:val="24"/>
              </w:rPr>
            </w:pPr>
            <w:r w:rsidRPr="003D150E">
              <w:rPr>
                <w:rFonts w:cs="Times New Roman"/>
                <w:szCs w:val="24"/>
              </w:rPr>
              <w:t>Intravaginal using applicator:</w:t>
            </w:r>
            <w:r w:rsidRPr="000526F7">
              <w:rPr>
                <w:rFonts w:cs="Times New Roman"/>
                <w:szCs w:val="24"/>
              </w:rPr>
              <w:t xml:space="preserve"> 2 to 4 grams daily for 1 to 2 weeks, then 1 to 3 grams 1 to 3 times per week.</w:t>
            </w:r>
          </w:p>
        </w:tc>
      </w:tr>
      <w:tr w:rsidR="00223CE8" w:rsidRPr="000526F7" w14:paraId="5C705ADE" w14:textId="77777777" w:rsidTr="002D6DD7">
        <w:trPr>
          <w:jc w:val="center"/>
        </w:trPr>
        <w:tc>
          <w:tcPr>
            <w:tcW w:w="2695" w:type="dxa"/>
          </w:tcPr>
          <w:p w14:paraId="654736A2" w14:textId="77777777" w:rsidR="00223CE8" w:rsidRPr="000526F7" w:rsidRDefault="00223CE8" w:rsidP="002D6DD7">
            <w:pPr>
              <w:jc w:val="both"/>
              <w:rPr>
                <w:rFonts w:cs="Times New Roman"/>
                <w:szCs w:val="24"/>
              </w:rPr>
            </w:pPr>
            <w:r w:rsidRPr="000526F7">
              <w:rPr>
                <w:rFonts w:cs="Times New Roman"/>
                <w:szCs w:val="24"/>
              </w:rPr>
              <w:t>Contraindications</w:t>
            </w:r>
          </w:p>
        </w:tc>
        <w:tc>
          <w:tcPr>
            <w:tcW w:w="6655" w:type="dxa"/>
          </w:tcPr>
          <w:p w14:paraId="7807C07C" w14:textId="77777777" w:rsidR="00223CE8" w:rsidRPr="000526F7" w:rsidRDefault="00223CE8" w:rsidP="002D6DD7">
            <w:pPr>
              <w:jc w:val="both"/>
              <w:rPr>
                <w:rFonts w:cs="Times New Roman"/>
                <w:szCs w:val="24"/>
              </w:rPr>
            </w:pPr>
            <w:r w:rsidRPr="000526F7">
              <w:rPr>
                <w:rFonts w:cs="Times New Roman"/>
                <w:szCs w:val="24"/>
              </w:rPr>
              <w:t>Hypersensitivity</w:t>
            </w:r>
            <w:r>
              <w:rPr>
                <w:rFonts w:cs="Times New Roman"/>
                <w:szCs w:val="24"/>
              </w:rPr>
              <w:t xml:space="preserve"> to the drug</w:t>
            </w:r>
            <w:r w:rsidRPr="000526F7">
              <w:rPr>
                <w:rFonts w:cs="Times New Roman"/>
                <w:szCs w:val="24"/>
              </w:rPr>
              <w:t xml:space="preserve">, </w:t>
            </w:r>
            <w:r>
              <w:rPr>
                <w:rFonts w:cs="Times New Roman"/>
                <w:szCs w:val="24"/>
              </w:rPr>
              <w:t>u</w:t>
            </w:r>
            <w:r w:rsidRPr="000526F7">
              <w:rPr>
                <w:rFonts w:cs="Times New Roman"/>
                <w:szCs w:val="24"/>
              </w:rPr>
              <w:t xml:space="preserve">ndiagnosed abnormal genital bleeding, known estrogen dependent neoplasia, history of VTE/thromboembolic diseases, liver dysfunction, pregnancy </w:t>
            </w:r>
          </w:p>
        </w:tc>
      </w:tr>
      <w:tr w:rsidR="00223CE8" w:rsidRPr="000526F7" w14:paraId="7EA138D6" w14:textId="77777777" w:rsidTr="002D6DD7">
        <w:trPr>
          <w:jc w:val="center"/>
        </w:trPr>
        <w:tc>
          <w:tcPr>
            <w:tcW w:w="2695" w:type="dxa"/>
          </w:tcPr>
          <w:p w14:paraId="5D5AE05F" w14:textId="77777777" w:rsidR="00223CE8" w:rsidRPr="000526F7" w:rsidRDefault="00223CE8" w:rsidP="002D6DD7">
            <w:pPr>
              <w:jc w:val="both"/>
              <w:rPr>
                <w:rFonts w:cs="Times New Roman"/>
                <w:szCs w:val="24"/>
              </w:rPr>
            </w:pPr>
            <w:r w:rsidRPr="000526F7">
              <w:rPr>
                <w:rFonts w:cs="Times New Roman"/>
                <w:szCs w:val="24"/>
              </w:rPr>
              <w:t>Drug interactions</w:t>
            </w:r>
          </w:p>
        </w:tc>
        <w:tc>
          <w:tcPr>
            <w:tcW w:w="6655" w:type="dxa"/>
          </w:tcPr>
          <w:p w14:paraId="025E81AB" w14:textId="77777777" w:rsidR="00223CE8" w:rsidRPr="000526F7" w:rsidRDefault="00223CE8" w:rsidP="002D6DD7">
            <w:pPr>
              <w:jc w:val="both"/>
              <w:rPr>
                <w:rFonts w:cs="Times New Roman"/>
                <w:szCs w:val="24"/>
              </w:rPr>
            </w:pPr>
            <w:r w:rsidRPr="000526F7">
              <w:rPr>
                <w:rFonts w:cs="Times New Roman"/>
                <w:szCs w:val="24"/>
              </w:rPr>
              <w:t xml:space="preserve">Warfarin, ketoconazole, erythromycin, rifampin, carbamazepine, levothyroxine </w:t>
            </w:r>
          </w:p>
        </w:tc>
      </w:tr>
      <w:tr w:rsidR="00223CE8" w:rsidRPr="000526F7" w14:paraId="65A5850F" w14:textId="77777777" w:rsidTr="002D6DD7">
        <w:trPr>
          <w:jc w:val="center"/>
        </w:trPr>
        <w:tc>
          <w:tcPr>
            <w:tcW w:w="2695" w:type="dxa"/>
          </w:tcPr>
          <w:p w14:paraId="0A0E6109"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64AD410D" w14:textId="77777777" w:rsidR="00223CE8" w:rsidRPr="000526F7" w:rsidRDefault="00223CE8" w:rsidP="002D6DD7">
            <w:pPr>
              <w:jc w:val="both"/>
              <w:rPr>
                <w:rFonts w:cs="Times New Roman"/>
                <w:szCs w:val="24"/>
              </w:rPr>
            </w:pPr>
            <w:r w:rsidRPr="000526F7">
              <w:rPr>
                <w:rFonts w:cs="Times New Roman"/>
                <w:spacing w:val="-4"/>
                <w:szCs w:val="24"/>
                <w:shd w:val="clear" w:color="auto" w:fill="FFFFFF" w:themeFill="background1"/>
              </w:rPr>
              <w:t>Nausea/vomiting, breast tenderness, headache</w:t>
            </w:r>
            <w:r w:rsidRPr="000526F7">
              <w:rPr>
                <w:rFonts w:cs="Times New Roman"/>
                <w:spacing w:val="-4"/>
                <w:szCs w:val="24"/>
                <w:shd w:val="clear" w:color="auto" w:fill="F8F8F8"/>
              </w:rPr>
              <w:t xml:space="preserve">, </w:t>
            </w:r>
            <w:r>
              <w:rPr>
                <w:rFonts w:cs="Times New Roman"/>
                <w:szCs w:val="24"/>
              </w:rPr>
              <w:t>s</w:t>
            </w:r>
            <w:r w:rsidRPr="000526F7">
              <w:rPr>
                <w:rFonts w:cs="Times New Roman"/>
                <w:szCs w:val="24"/>
              </w:rPr>
              <w:t>odium and water retention with edema, vaginal discharge, localized irritation</w:t>
            </w:r>
          </w:p>
        </w:tc>
      </w:tr>
      <w:tr w:rsidR="00223CE8" w:rsidRPr="000526F7" w14:paraId="08F7C5D5" w14:textId="77777777" w:rsidTr="002D6DD7">
        <w:trPr>
          <w:jc w:val="center"/>
        </w:trPr>
        <w:tc>
          <w:tcPr>
            <w:tcW w:w="2695" w:type="dxa"/>
          </w:tcPr>
          <w:p w14:paraId="19EE7B86" w14:textId="77777777" w:rsidR="00223CE8" w:rsidRPr="000526F7" w:rsidRDefault="00223CE8" w:rsidP="002D6DD7">
            <w:pPr>
              <w:jc w:val="both"/>
              <w:rPr>
                <w:rFonts w:cs="Times New Roman"/>
                <w:szCs w:val="24"/>
              </w:rPr>
            </w:pPr>
            <w:r w:rsidRPr="000526F7">
              <w:rPr>
                <w:rFonts w:cs="Times New Roman"/>
                <w:szCs w:val="24"/>
              </w:rPr>
              <w:lastRenderedPageBreak/>
              <w:t xml:space="preserve">Cautions </w:t>
            </w:r>
          </w:p>
        </w:tc>
        <w:tc>
          <w:tcPr>
            <w:tcW w:w="6655" w:type="dxa"/>
          </w:tcPr>
          <w:p w14:paraId="6D058CCF" w14:textId="77777777" w:rsidR="00223CE8" w:rsidRPr="000526F7" w:rsidRDefault="00223CE8" w:rsidP="002D6DD7">
            <w:pPr>
              <w:jc w:val="both"/>
              <w:rPr>
                <w:rFonts w:cs="Times New Roman"/>
                <w:szCs w:val="24"/>
              </w:rPr>
            </w:pPr>
            <w:r w:rsidRPr="000526F7">
              <w:rPr>
                <w:rFonts w:cs="Times New Roman"/>
                <w:szCs w:val="24"/>
              </w:rPr>
              <w:t>History of thromboembolic disorders, risk o</w:t>
            </w:r>
            <w:r>
              <w:rPr>
                <w:rFonts w:cs="Times New Roman"/>
                <w:szCs w:val="24"/>
              </w:rPr>
              <w:t xml:space="preserve">f estrogen dependent tumors, </w:t>
            </w:r>
            <w:r w:rsidRPr="000526F7">
              <w:rPr>
                <w:rFonts w:cs="Times New Roman"/>
                <w:szCs w:val="24"/>
              </w:rPr>
              <w:t>hypertension, liver disorders, migraine</w:t>
            </w:r>
          </w:p>
        </w:tc>
      </w:tr>
      <w:tr w:rsidR="00223CE8" w:rsidRPr="000526F7" w14:paraId="779539E2" w14:textId="77777777" w:rsidTr="002D6DD7">
        <w:trPr>
          <w:jc w:val="center"/>
        </w:trPr>
        <w:tc>
          <w:tcPr>
            <w:tcW w:w="2695" w:type="dxa"/>
          </w:tcPr>
          <w:p w14:paraId="246D2DC2"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0B8139DB" w14:textId="77777777" w:rsidR="00223CE8" w:rsidRPr="000526F7" w:rsidRDefault="00223CE8" w:rsidP="002D6DD7">
            <w:pPr>
              <w:jc w:val="both"/>
              <w:rPr>
                <w:rFonts w:cs="Times New Roman"/>
                <w:szCs w:val="24"/>
              </w:rPr>
            </w:pPr>
            <w:r>
              <w:rPr>
                <w:rFonts w:cs="Times New Roman"/>
                <w:szCs w:val="24"/>
              </w:rPr>
              <w:t>Store below</w:t>
            </w:r>
            <w:r w:rsidRPr="000526F7">
              <w:rPr>
                <w:rFonts w:cs="Times New Roman"/>
                <w:szCs w:val="24"/>
              </w:rPr>
              <w:t xml:space="preserve"> 30˚C. Do not freeze.</w:t>
            </w:r>
          </w:p>
        </w:tc>
      </w:tr>
      <w:tr w:rsidR="00223CE8" w:rsidRPr="000526F7" w14:paraId="0301EF2A" w14:textId="77777777" w:rsidTr="002D6DD7">
        <w:trPr>
          <w:jc w:val="center"/>
        </w:trPr>
        <w:tc>
          <w:tcPr>
            <w:tcW w:w="9350" w:type="dxa"/>
            <w:gridSpan w:val="2"/>
          </w:tcPr>
          <w:p w14:paraId="32DA7D33" w14:textId="77777777" w:rsidR="00223CE8" w:rsidRPr="000526F7" w:rsidRDefault="00223CE8" w:rsidP="002D6DD7">
            <w:pPr>
              <w:jc w:val="both"/>
              <w:rPr>
                <w:rFonts w:cs="Times New Roman"/>
                <w:b/>
                <w:szCs w:val="24"/>
              </w:rPr>
            </w:pPr>
            <w:r w:rsidRPr="000526F7">
              <w:rPr>
                <w:rFonts w:cs="Times New Roman"/>
                <w:b/>
                <w:szCs w:val="24"/>
              </w:rPr>
              <w:t>Magnesium sulphate</w:t>
            </w:r>
          </w:p>
        </w:tc>
      </w:tr>
      <w:tr w:rsidR="00223CE8" w:rsidRPr="000526F7" w14:paraId="5372DC87" w14:textId="77777777" w:rsidTr="002D6DD7">
        <w:trPr>
          <w:trHeight w:val="422"/>
          <w:jc w:val="center"/>
        </w:trPr>
        <w:tc>
          <w:tcPr>
            <w:tcW w:w="2695" w:type="dxa"/>
          </w:tcPr>
          <w:p w14:paraId="7C40C55E" w14:textId="77777777" w:rsidR="00223CE8" w:rsidRPr="000526F7" w:rsidRDefault="00223CE8" w:rsidP="002D6DD7">
            <w:pPr>
              <w:jc w:val="both"/>
              <w:rPr>
                <w:rFonts w:cs="Times New Roman"/>
                <w:szCs w:val="24"/>
              </w:rPr>
            </w:pPr>
            <w:r w:rsidRPr="000526F7">
              <w:rPr>
                <w:rFonts w:cs="Times New Roman"/>
                <w:szCs w:val="24"/>
              </w:rPr>
              <w:t>Pharmacological class</w:t>
            </w:r>
          </w:p>
        </w:tc>
        <w:tc>
          <w:tcPr>
            <w:tcW w:w="6655" w:type="dxa"/>
          </w:tcPr>
          <w:p w14:paraId="5BE0A04F" w14:textId="77777777" w:rsidR="00223CE8" w:rsidRPr="000526F7" w:rsidRDefault="00223CE8" w:rsidP="002D6DD7">
            <w:pPr>
              <w:tabs>
                <w:tab w:val="left" w:pos="988"/>
              </w:tabs>
              <w:jc w:val="both"/>
              <w:rPr>
                <w:rFonts w:cs="Times New Roman"/>
                <w:szCs w:val="24"/>
              </w:rPr>
            </w:pPr>
            <w:r w:rsidRPr="000526F7">
              <w:rPr>
                <w:rFonts w:cs="Times New Roman"/>
                <w:szCs w:val="24"/>
              </w:rPr>
              <w:t>Min</w:t>
            </w:r>
            <w:r>
              <w:rPr>
                <w:rFonts w:cs="Times New Roman"/>
                <w:szCs w:val="24"/>
              </w:rPr>
              <w:t>eral</w:t>
            </w:r>
            <w:r w:rsidRPr="000526F7">
              <w:rPr>
                <w:rFonts w:cs="Times New Roman"/>
                <w:szCs w:val="24"/>
              </w:rPr>
              <w:tab/>
            </w:r>
          </w:p>
        </w:tc>
      </w:tr>
      <w:tr w:rsidR="00223CE8" w:rsidRPr="000526F7" w14:paraId="13C73ED1" w14:textId="77777777" w:rsidTr="002D6DD7">
        <w:trPr>
          <w:jc w:val="center"/>
        </w:trPr>
        <w:tc>
          <w:tcPr>
            <w:tcW w:w="2695" w:type="dxa"/>
          </w:tcPr>
          <w:p w14:paraId="7882FB1C" w14:textId="77777777" w:rsidR="00223CE8" w:rsidRPr="000526F7" w:rsidRDefault="00223CE8" w:rsidP="002D6DD7">
            <w:pPr>
              <w:jc w:val="both"/>
              <w:rPr>
                <w:rFonts w:cs="Times New Roman"/>
                <w:szCs w:val="24"/>
              </w:rPr>
            </w:pPr>
            <w:r w:rsidRPr="000526F7">
              <w:rPr>
                <w:rFonts w:cs="Times New Roman"/>
                <w:szCs w:val="24"/>
              </w:rPr>
              <w:t>Dosage form</w:t>
            </w:r>
          </w:p>
        </w:tc>
        <w:tc>
          <w:tcPr>
            <w:tcW w:w="6655" w:type="dxa"/>
          </w:tcPr>
          <w:p w14:paraId="53E859BB" w14:textId="77777777" w:rsidR="00223CE8" w:rsidRPr="000526F7" w:rsidRDefault="00223CE8" w:rsidP="002D6DD7">
            <w:pPr>
              <w:jc w:val="both"/>
              <w:rPr>
                <w:rFonts w:cs="Times New Roman"/>
                <w:szCs w:val="24"/>
              </w:rPr>
            </w:pPr>
            <w:r w:rsidRPr="000526F7">
              <w:rPr>
                <w:rFonts w:eastAsia="Times New Roman" w:cs="Times New Roman"/>
                <w:szCs w:val="24"/>
                <w:lang w:val="fr-FR"/>
              </w:rPr>
              <w:t>Injection : 50% in 20</w:t>
            </w:r>
            <w:r>
              <w:rPr>
                <w:rFonts w:eastAsia="Times New Roman" w:cs="Times New Roman"/>
                <w:szCs w:val="24"/>
                <w:lang w:val="fr-FR"/>
              </w:rPr>
              <w:t>ml</w:t>
            </w:r>
          </w:p>
        </w:tc>
      </w:tr>
      <w:tr w:rsidR="00223CE8" w:rsidRPr="000526F7" w14:paraId="5B6FEEA3" w14:textId="77777777" w:rsidTr="002D6DD7">
        <w:trPr>
          <w:jc w:val="center"/>
        </w:trPr>
        <w:tc>
          <w:tcPr>
            <w:tcW w:w="2695" w:type="dxa"/>
          </w:tcPr>
          <w:p w14:paraId="5DC19045" w14:textId="77777777" w:rsidR="00223CE8" w:rsidRPr="000526F7" w:rsidRDefault="00223CE8" w:rsidP="002D6DD7">
            <w:pPr>
              <w:jc w:val="both"/>
              <w:rPr>
                <w:rFonts w:cs="Times New Roman"/>
                <w:szCs w:val="24"/>
              </w:rPr>
            </w:pPr>
            <w:r w:rsidRPr="000526F7">
              <w:rPr>
                <w:rFonts w:cs="Times New Roman"/>
                <w:szCs w:val="24"/>
              </w:rPr>
              <w:t>Indications</w:t>
            </w:r>
          </w:p>
        </w:tc>
        <w:tc>
          <w:tcPr>
            <w:tcW w:w="6655" w:type="dxa"/>
          </w:tcPr>
          <w:p w14:paraId="65C897AF" w14:textId="77777777" w:rsidR="00223CE8" w:rsidRPr="000526F7" w:rsidRDefault="00223CE8" w:rsidP="002D6DD7">
            <w:pPr>
              <w:jc w:val="both"/>
              <w:rPr>
                <w:rFonts w:cs="Times New Roman"/>
                <w:szCs w:val="24"/>
              </w:rPr>
            </w:pPr>
            <w:r w:rsidRPr="000526F7">
              <w:rPr>
                <w:rFonts w:cs="Times New Roman"/>
                <w:szCs w:val="24"/>
              </w:rPr>
              <w:t>Prevention and treatment of recurrent seizures in eclampsia; prevention of eclampsia in patients with severe pre-eclampsia</w:t>
            </w:r>
          </w:p>
        </w:tc>
      </w:tr>
      <w:tr w:rsidR="00223CE8" w:rsidRPr="000526F7" w14:paraId="55C51F58" w14:textId="77777777" w:rsidTr="002D6DD7">
        <w:trPr>
          <w:jc w:val="center"/>
        </w:trPr>
        <w:tc>
          <w:tcPr>
            <w:tcW w:w="2695" w:type="dxa"/>
          </w:tcPr>
          <w:p w14:paraId="7022C9CA" w14:textId="77777777" w:rsidR="00223CE8" w:rsidRPr="000526F7" w:rsidRDefault="00223CE8" w:rsidP="002D6DD7">
            <w:pPr>
              <w:jc w:val="both"/>
              <w:rPr>
                <w:rFonts w:cs="Times New Roman"/>
                <w:szCs w:val="24"/>
              </w:rPr>
            </w:pPr>
            <w:r w:rsidRPr="000526F7">
              <w:rPr>
                <w:rFonts w:cs="Times New Roman"/>
                <w:szCs w:val="24"/>
              </w:rPr>
              <w:t>Dose and administration</w:t>
            </w:r>
          </w:p>
        </w:tc>
        <w:tc>
          <w:tcPr>
            <w:tcW w:w="6655" w:type="dxa"/>
          </w:tcPr>
          <w:p w14:paraId="01A43DC7" w14:textId="77777777" w:rsidR="00223CE8" w:rsidRPr="000526F7" w:rsidRDefault="00223CE8" w:rsidP="002D6DD7">
            <w:pPr>
              <w:jc w:val="both"/>
              <w:rPr>
                <w:rFonts w:cs="Times New Roman"/>
                <w:szCs w:val="24"/>
              </w:rPr>
            </w:pPr>
            <w:r w:rsidRPr="003D150E">
              <w:rPr>
                <w:rFonts w:cs="Times New Roman"/>
                <w:szCs w:val="24"/>
              </w:rPr>
              <w:t>IV injection:</w:t>
            </w:r>
            <w:r w:rsidRPr="000526F7">
              <w:rPr>
                <w:rFonts w:cs="Times New Roman"/>
                <w:szCs w:val="24"/>
              </w:rPr>
              <w:t xml:space="preserve"> Initially 4 g over 5–15 minutes followed either by IV infusion 1 g/hour for at least 24 hours after the last seizure or delivery (whichever occurs later) or </w:t>
            </w:r>
          </w:p>
          <w:p w14:paraId="14E2A448" w14:textId="77777777" w:rsidR="00223CE8" w:rsidRPr="000526F7" w:rsidRDefault="00223CE8" w:rsidP="002D6DD7">
            <w:pPr>
              <w:jc w:val="both"/>
              <w:rPr>
                <w:rFonts w:cs="Times New Roman"/>
                <w:szCs w:val="24"/>
              </w:rPr>
            </w:pPr>
            <w:r w:rsidRPr="003D150E">
              <w:rPr>
                <w:rFonts w:cs="Times New Roman"/>
                <w:szCs w:val="24"/>
              </w:rPr>
              <w:t>Deep IM injection:</w:t>
            </w:r>
            <w:r w:rsidRPr="000526F7">
              <w:rPr>
                <w:rFonts w:cs="Times New Roman"/>
                <w:szCs w:val="24"/>
              </w:rPr>
              <w:t xml:space="preserve"> 5 g into each buttock, then 5 g every 4 hours into alternate buttocks for at least 24 hours after the last seizure or delivery (whichever occurs later); recurrence of seizures may require an additional IV injection of 2 g (4 g if body weight over 70 kg).</w:t>
            </w:r>
          </w:p>
        </w:tc>
      </w:tr>
      <w:tr w:rsidR="00223CE8" w:rsidRPr="000526F7" w14:paraId="141A6707" w14:textId="77777777" w:rsidTr="002D6DD7">
        <w:trPr>
          <w:jc w:val="center"/>
        </w:trPr>
        <w:tc>
          <w:tcPr>
            <w:tcW w:w="2695" w:type="dxa"/>
          </w:tcPr>
          <w:p w14:paraId="0650595D" w14:textId="77777777" w:rsidR="00223CE8" w:rsidRPr="000526F7" w:rsidRDefault="00223CE8" w:rsidP="002D6DD7">
            <w:pPr>
              <w:jc w:val="both"/>
              <w:rPr>
                <w:rFonts w:cs="Times New Roman"/>
                <w:szCs w:val="24"/>
              </w:rPr>
            </w:pPr>
            <w:r w:rsidRPr="000526F7">
              <w:rPr>
                <w:rFonts w:cs="Times New Roman"/>
                <w:szCs w:val="24"/>
              </w:rPr>
              <w:t>Contraindications</w:t>
            </w:r>
          </w:p>
        </w:tc>
        <w:tc>
          <w:tcPr>
            <w:tcW w:w="6655" w:type="dxa"/>
          </w:tcPr>
          <w:p w14:paraId="5380ED3F" w14:textId="77777777" w:rsidR="00223CE8" w:rsidRPr="000526F7" w:rsidRDefault="00223CE8" w:rsidP="002D6DD7">
            <w:pPr>
              <w:jc w:val="both"/>
              <w:rPr>
                <w:rFonts w:cs="Times New Roman"/>
                <w:szCs w:val="24"/>
              </w:rPr>
            </w:pPr>
            <w:r w:rsidRPr="000526F7">
              <w:rPr>
                <w:rFonts w:cs="Times New Roman"/>
                <w:szCs w:val="24"/>
              </w:rPr>
              <w:t>Hypersensitivity</w:t>
            </w:r>
            <w:r>
              <w:rPr>
                <w:rFonts w:cs="Times New Roman"/>
                <w:szCs w:val="24"/>
              </w:rPr>
              <w:t xml:space="preserve"> to the drug</w:t>
            </w:r>
            <w:r w:rsidRPr="000526F7">
              <w:rPr>
                <w:rFonts w:cs="Times New Roman"/>
                <w:szCs w:val="24"/>
              </w:rPr>
              <w:t>, myocardial damage, diabetic coma, heart block, h</w:t>
            </w:r>
            <w:r>
              <w:rPr>
                <w:rFonts w:cs="Times New Roman"/>
                <w:szCs w:val="24"/>
              </w:rPr>
              <w:t>ypermagnesemia, hypercalcemia, m</w:t>
            </w:r>
            <w:r w:rsidRPr="000526F7">
              <w:rPr>
                <w:rFonts w:cs="Times New Roman"/>
                <w:szCs w:val="24"/>
              </w:rPr>
              <w:t>yasthenia gravis and severely impaired renal function</w:t>
            </w:r>
          </w:p>
        </w:tc>
      </w:tr>
      <w:tr w:rsidR="00223CE8" w:rsidRPr="000526F7" w14:paraId="54064727" w14:textId="77777777" w:rsidTr="002D6DD7">
        <w:trPr>
          <w:jc w:val="center"/>
        </w:trPr>
        <w:tc>
          <w:tcPr>
            <w:tcW w:w="2695" w:type="dxa"/>
          </w:tcPr>
          <w:p w14:paraId="53EF228D" w14:textId="77777777" w:rsidR="00223CE8" w:rsidRPr="000526F7" w:rsidRDefault="00223CE8" w:rsidP="002D6DD7">
            <w:pPr>
              <w:jc w:val="both"/>
              <w:rPr>
                <w:rFonts w:cs="Times New Roman"/>
                <w:szCs w:val="24"/>
              </w:rPr>
            </w:pPr>
            <w:r w:rsidRPr="000526F7">
              <w:rPr>
                <w:rFonts w:cs="Times New Roman"/>
                <w:szCs w:val="24"/>
              </w:rPr>
              <w:t>Drug interactions</w:t>
            </w:r>
          </w:p>
        </w:tc>
        <w:tc>
          <w:tcPr>
            <w:tcW w:w="6655" w:type="dxa"/>
          </w:tcPr>
          <w:p w14:paraId="180D5F1B" w14:textId="77777777" w:rsidR="00223CE8" w:rsidRPr="000526F7" w:rsidRDefault="00223CE8" w:rsidP="002D6DD7">
            <w:pPr>
              <w:jc w:val="both"/>
              <w:rPr>
                <w:rFonts w:cs="Times New Roman"/>
                <w:szCs w:val="24"/>
              </w:rPr>
            </w:pPr>
            <w:r w:rsidRPr="000526F7">
              <w:rPr>
                <w:rFonts w:cs="Times New Roman"/>
                <w:szCs w:val="24"/>
              </w:rPr>
              <w:t xml:space="preserve"> Alcuronium, nifedipine, suxamethonium, vecuronium, respiratory depressants</w:t>
            </w:r>
          </w:p>
        </w:tc>
      </w:tr>
      <w:tr w:rsidR="00223CE8" w:rsidRPr="000526F7" w14:paraId="42A0EC35" w14:textId="77777777" w:rsidTr="002D6DD7">
        <w:trPr>
          <w:jc w:val="center"/>
        </w:trPr>
        <w:tc>
          <w:tcPr>
            <w:tcW w:w="2695" w:type="dxa"/>
          </w:tcPr>
          <w:p w14:paraId="0FE493CA"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4F066015" w14:textId="77777777" w:rsidR="00223CE8" w:rsidRPr="000526F7" w:rsidRDefault="00223CE8" w:rsidP="002D6DD7">
            <w:pPr>
              <w:jc w:val="both"/>
              <w:rPr>
                <w:rFonts w:cs="Times New Roman"/>
                <w:szCs w:val="24"/>
              </w:rPr>
            </w:pPr>
            <w:r>
              <w:rPr>
                <w:rFonts w:cs="Times New Roman"/>
                <w:szCs w:val="24"/>
              </w:rPr>
              <w:t>N</w:t>
            </w:r>
            <w:r w:rsidRPr="000526F7">
              <w:rPr>
                <w:rFonts w:cs="Times New Roman"/>
                <w:szCs w:val="24"/>
              </w:rPr>
              <w:t>ausea, vomiting, thirst, flushing of skin, hypotension, arrhythmias, coma, respiratory depression, drowsiness, con</w:t>
            </w:r>
            <w:r>
              <w:rPr>
                <w:rFonts w:cs="Times New Roman"/>
                <w:szCs w:val="24"/>
              </w:rPr>
              <w:t>fusion, loss of tendon reflexes</w:t>
            </w:r>
            <w:r w:rsidRPr="000526F7">
              <w:rPr>
                <w:rFonts w:cs="Times New Roman"/>
                <w:szCs w:val="24"/>
              </w:rPr>
              <w:t xml:space="preserve"> and muscle weakness</w:t>
            </w:r>
          </w:p>
        </w:tc>
      </w:tr>
      <w:tr w:rsidR="00223CE8" w:rsidRPr="000526F7" w14:paraId="527C9B6A" w14:textId="77777777" w:rsidTr="002D6DD7">
        <w:trPr>
          <w:jc w:val="center"/>
        </w:trPr>
        <w:tc>
          <w:tcPr>
            <w:tcW w:w="2695" w:type="dxa"/>
          </w:tcPr>
          <w:p w14:paraId="32927A48" w14:textId="77777777" w:rsidR="00223CE8" w:rsidRPr="000526F7" w:rsidRDefault="00223CE8" w:rsidP="002D6DD7">
            <w:pPr>
              <w:jc w:val="both"/>
              <w:rPr>
                <w:rFonts w:cs="Times New Roman"/>
                <w:szCs w:val="24"/>
              </w:rPr>
            </w:pPr>
            <w:r w:rsidRPr="000526F7">
              <w:rPr>
                <w:rFonts w:cs="Times New Roman"/>
                <w:szCs w:val="24"/>
              </w:rPr>
              <w:t xml:space="preserve">Cautions </w:t>
            </w:r>
          </w:p>
        </w:tc>
        <w:tc>
          <w:tcPr>
            <w:tcW w:w="6655" w:type="dxa"/>
          </w:tcPr>
          <w:p w14:paraId="3869EB82" w14:textId="77777777" w:rsidR="00223CE8" w:rsidRPr="000526F7" w:rsidRDefault="00223CE8" w:rsidP="002D6DD7">
            <w:pPr>
              <w:jc w:val="both"/>
              <w:rPr>
                <w:rFonts w:cs="Times New Roman"/>
                <w:szCs w:val="24"/>
              </w:rPr>
            </w:pPr>
            <w:r w:rsidRPr="000526F7">
              <w:rPr>
                <w:rFonts w:cs="Times New Roman"/>
                <w:szCs w:val="24"/>
              </w:rPr>
              <w:t>Myasthenia gravis, hepatic impairment, renal impairment</w:t>
            </w:r>
          </w:p>
        </w:tc>
      </w:tr>
      <w:tr w:rsidR="00223CE8" w:rsidRPr="000526F7" w14:paraId="5839F539" w14:textId="77777777" w:rsidTr="002D6DD7">
        <w:trPr>
          <w:jc w:val="center"/>
        </w:trPr>
        <w:tc>
          <w:tcPr>
            <w:tcW w:w="2695" w:type="dxa"/>
          </w:tcPr>
          <w:p w14:paraId="11630C66"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1FDF6532" w14:textId="77777777" w:rsidR="00223CE8" w:rsidRPr="000526F7" w:rsidRDefault="00223CE8" w:rsidP="002D6DD7">
            <w:pPr>
              <w:jc w:val="both"/>
              <w:rPr>
                <w:rFonts w:cs="Times New Roman"/>
                <w:szCs w:val="24"/>
              </w:rPr>
            </w:pPr>
            <w:r>
              <w:rPr>
                <w:rFonts w:cs="Times New Roman"/>
                <w:szCs w:val="24"/>
              </w:rPr>
              <w:t>Store below</w:t>
            </w:r>
            <w:r w:rsidRPr="000526F7">
              <w:rPr>
                <w:rFonts w:cs="Times New Roman"/>
                <w:szCs w:val="24"/>
              </w:rPr>
              <w:t xml:space="preserve"> 30˚C. Do not freeze.</w:t>
            </w:r>
          </w:p>
        </w:tc>
      </w:tr>
      <w:tr w:rsidR="00223CE8" w:rsidRPr="000526F7" w14:paraId="782D2885" w14:textId="77777777" w:rsidTr="002D6DD7">
        <w:trPr>
          <w:jc w:val="center"/>
        </w:trPr>
        <w:tc>
          <w:tcPr>
            <w:tcW w:w="9350" w:type="dxa"/>
            <w:gridSpan w:val="2"/>
          </w:tcPr>
          <w:p w14:paraId="42815F2D" w14:textId="77777777" w:rsidR="00223CE8" w:rsidRPr="000526F7" w:rsidRDefault="00223CE8" w:rsidP="002D6DD7">
            <w:pPr>
              <w:jc w:val="both"/>
              <w:rPr>
                <w:rFonts w:cs="Times New Roman"/>
                <w:b/>
                <w:szCs w:val="24"/>
              </w:rPr>
            </w:pPr>
            <w:r w:rsidRPr="000526F7">
              <w:rPr>
                <w:rFonts w:cs="Times New Roman"/>
                <w:b/>
                <w:szCs w:val="24"/>
              </w:rPr>
              <w:t xml:space="preserve">Pethidine hydrochloride                                  </w:t>
            </w:r>
          </w:p>
        </w:tc>
      </w:tr>
      <w:tr w:rsidR="00223CE8" w:rsidRPr="000526F7" w14:paraId="5FEC07B4" w14:textId="77777777" w:rsidTr="002D6DD7">
        <w:trPr>
          <w:jc w:val="center"/>
        </w:trPr>
        <w:tc>
          <w:tcPr>
            <w:tcW w:w="2695" w:type="dxa"/>
          </w:tcPr>
          <w:p w14:paraId="77787B16" w14:textId="77777777" w:rsidR="00223CE8" w:rsidRPr="000526F7" w:rsidRDefault="00223CE8" w:rsidP="002D6DD7">
            <w:pPr>
              <w:jc w:val="both"/>
              <w:rPr>
                <w:rFonts w:cs="Times New Roman"/>
                <w:szCs w:val="24"/>
              </w:rPr>
            </w:pPr>
            <w:r w:rsidRPr="000526F7">
              <w:rPr>
                <w:rFonts w:cs="Times New Roman"/>
                <w:szCs w:val="24"/>
              </w:rPr>
              <w:t>Pharmacological class</w:t>
            </w:r>
          </w:p>
        </w:tc>
        <w:tc>
          <w:tcPr>
            <w:tcW w:w="6655" w:type="dxa"/>
          </w:tcPr>
          <w:p w14:paraId="6416F619" w14:textId="77777777" w:rsidR="00223CE8" w:rsidRPr="000526F7" w:rsidRDefault="00223CE8" w:rsidP="002D6DD7">
            <w:pPr>
              <w:jc w:val="both"/>
              <w:rPr>
                <w:rFonts w:cs="Times New Roman"/>
                <w:szCs w:val="24"/>
              </w:rPr>
            </w:pPr>
            <w:r>
              <w:rPr>
                <w:rFonts w:cs="Times New Roman"/>
                <w:szCs w:val="24"/>
              </w:rPr>
              <w:t>Opioid analgesic</w:t>
            </w:r>
          </w:p>
        </w:tc>
      </w:tr>
      <w:tr w:rsidR="00223CE8" w:rsidRPr="000526F7" w14:paraId="05FB9BB5" w14:textId="77777777" w:rsidTr="002D6DD7">
        <w:trPr>
          <w:jc w:val="center"/>
        </w:trPr>
        <w:tc>
          <w:tcPr>
            <w:tcW w:w="2695" w:type="dxa"/>
          </w:tcPr>
          <w:p w14:paraId="7CF0706F" w14:textId="77777777" w:rsidR="00223CE8" w:rsidRPr="000526F7" w:rsidRDefault="00223CE8" w:rsidP="002D6DD7">
            <w:pPr>
              <w:jc w:val="both"/>
              <w:rPr>
                <w:rFonts w:cs="Times New Roman"/>
                <w:szCs w:val="24"/>
              </w:rPr>
            </w:pPr>
            <w:r w:rsidRPr="000526F7">
              <w:rPr>
                <w:rFonts w:cs="Times New Roman"/>
                <w:szCs w:val="24"/>
              </w:rPr>
              <w:t>Dosage form</w:t>
            </w:r>
          </w:p>
        </w:tc>
        <w:tc>
          <w:tcPr>
            <w:tcW w:w="6655" w:type="dxa"/>
          </w:tcPr>
          <w:p w14:paraId="2F164FAE" w14:textId="77777777" w:rsidR="00223CE8" w:rsidRPr="000526F7" w:rsidRDefault="00223CE8" w:rsidP="002D6DD7">
            <w:pPr>
              <w:jc w:val="both"/>
              <w:rPr>
                <w:rFonts w:cs="Times New Roman"/>
                <w:szCs w:val="24"/>
              </w:rPr>
            </w:pPr>
            <w:r w:rsidRPr="000526F7">
              <w:rPr>
                <w:rFonts w:eastAsia="Times New Roman" w:cs="Times New Roman"/>
                <w:szCs w:val="24"/>
              </w:rPr>
              <w:t>Injection: 50mg/</w:t>
            </w:r>
            <w:r>
              <w:rPr>
                <w:rFonts w:eastAsia="Times New Roman" w:cs="Times New Roman"/>
                <w:szCs w:val="24"/>
              </w:rPr>
              <w:t>ml</w:t>
            </w:r>
            <w:r w:rsidRPr="000526F7">
              <w:rPr>
                <w:rFonts w:cs="Times New Roman"/>
                <w:szCs w:val="24"/>
              </w:rPr>
              <w:t xml:space="preserve"> </w:t>
            </w:r>
            <w:r w:rsidRPr="000526F7">
              <w:rPr>
                <w:rFonts w:eastAsia="Times New Roman" w:cs="Times New Roman"/>
                <w:szCs w:val="24"/>
              </w:rPr>
              <w:t xml:space="preserve">in 1 </w:t>
            </w:r>
            <w:r>
              <w:rPr>
                <w:rFonts w:eastAsia="Times New Roman" w:cs="Times New Roman"/>
                <w:szCs w:val="24"/>
              </w:rPr>
              <w:t>ml</w:t>
            </w:r>
            <w:r w:rsidRPr="000526F7">
              <w:rPr>
                <w:rFonts w:eastAsia="Times New Roman" w:cs="Times New Roman"/>
                <w:szCs w:val="24"/>
              </w:rPr>
              <w:t xml:space="preserve"> and 2 </w:t>
            </w:r>
            <w:r>
              <w:rPr>
                <w:rFonts w:eastAsia="Times New Roman" w:cs="Times New Roman"/>
                <w:szCs w:val="24"/>
              </w:rPr>
              <w:t>ml</w:t>
            </w:r>
            <w:r w:rsidRPr="000526F7">
              <w:rPr>
                <w:rFonts w:eastAsia="Times New Roman" w:cs="Times New Roman"/>
                <w:szCs w:val="24"/>
              </w:rPr>
              <w:t xml:space="preserve"> ampule</w:t>
            </w:r>
          </w:p>
        </w:tc>
      </w:tr>
      <w:tr w:rsidR="00223CE8" w:rsidRPr="000526F7" w14:paraId="508E5818" w14:textId="77777777" w:rsidTr="002D6DD7">
        <w:trPr>
          <w:jc w:val="center"/>
        </w:trPr>
        <w:tc>
          <w:tcPr>
            <w:tcW w:w="2695" w:type="dxa"/>
          </w:tcPr>
          <w:p w14:paraId="20912BE6" w14:textId="77777777" w:rsidR="00223CE8" w:rsidRPr="000526F7" w:rsidRDefault="00223CE8" w:rsidP="002D6DD7">
            <w:pPr>
              <w:jc w:val="both"/>
              <w:rPr>
                <w:rFonts w:cs="Times New Roman"/>
                <w:szCs w:val="24"/>
              </w:rPr>
            </w:pPr>
            <w:r w:rsidRPr="000526F7">
              <w:rPr>
                <w:rFonts w:cs="Times New Roman"/>
                <w:szCs w:val="24"/>
              </w:rPr>
              <w:t>Indications</w:t>
            </w:r>
          </w:p>
        </w:tc>
        <w:tc>
          <w:tcPr>
            <w:tcW w:w="6655" w:type="dxa"/>
          </w:tcPr>
          <w:p w14:paraId="7C4DD26B" w14:textId="77777777" w:rsidR="00223CE8" w:rsidRPr="000526F7" w:rsidRDefault="00223CE8" w:rsidP="002D6DD7">
            <w:pPr>
              <w:jc w:val="both"/>
              <w:rPr>
                <w:rFonts w:cs="Times New Roman"/>
                <w:szCs w:val="24"/>
              </w:rPr>
            </w:pPr>
            <w:r w:rsidRPr="000526F7">
              <w:rPr>
                <w:rFonts w:cs="Times New Roman"/>
                <w:szCs w:val="24"/>
              </w:rPr>
              <w:t xml:space="preserve">Obstetric analgesia during labor </w:t>
            </w:r>
          </w:p>
        </w:tc>
      </w:tr>
      <w:tr w:rsidR="00223CE8" w:rsidRPr="000526F7" w14:paraId="300A847D" w14:textId="77777777" w:rsidTr="002D6DD7">
        <w:trPr>
          <w:jc w:val="center"/>
        </w:trPr>
        <w:tc>
          <w:tcPr>
            <w:tcW w:w="2695" w:type="dxa"/>
          </w:tcPr>
          <w:p w14:paraId="7FD6690E" w14:textId="77777777" w:rsidR="00223CE8" w:rsidRPr="000526F7" w:rsidRDefault="00223CE8" w:rsidP="002D6DD7">
            <w:pPr>
              <w:jc w:val="both"/>
              <w:rPr>
                <w:rFonts w:cs="Times New Roman"/>
                <w:szCs w:val="24"/>
              </w:rPr>
            </w:pPr>
            <w:r w:rsidRPr="000526F7">
              <w:rPr>
                <w:rFonts w:cs="Times New Roman"/>
                <w:szCs w:val="24"/>
              </w:rPr>
              <w:lastRenderedPageBreak/>
              <w:t>Dose and administration</w:t>
            </w:r>
          </w:p>
        </w:tc>
        <w:tc>
          <w:tcPr>
            <w:tcW w:w="6655" w:type="dxa"/>
          </w:tcPr>
          <w:p w14:paraId="5F894435" w14:textId="77777777" w:rsidR="00223CE8" w:rsidRPr="000526F7" w:rsidRDefault="00223CE8" w:rsidP="002D6DD7">
            <w:pPr>
              <w:jc w:val="both"/>
              <w:rPr>
                <w:rFonts w:cs="Times New Roman"/>
                <w:szCs w:val="24"/>
              </w:rPr>
            </w:pPr>
            <w:r w:rsidRPr="000526F7">
              <w:rPr>
                <w:rFonts w:cs="Times New Roman"/>
                <w:szCs w:val="24"/>
              </w:rPr>
              <w:t>50-100 mg IM/SC when contractions become regular, repeated q1-3hr PRN maximum 400 mg per day</w:t>
            </w:r>
          </w:p>
        </w:tc>
      </w:tr>
      <w:tr w:rsidR="00223CE8" w:rsidRPr="000526F7" w14:paraId="1E454BDD" w14:textId="77777777" w:rsidTr="002D6DD7">
        <w:trPr>
          <w:jc w:val="center"/>
        </w:trPr>
        <w:tc>
          <w:tcPr>
            <w:tcW w:w="2695" w:type="dxa"/>
          </w:tcPr>
          <w:p w14:paraId="1E898415" w14:textId="77777777" w:rsidR="00223CE8" w:rsidRPr="000526F7" w:rsidRDefault="00223CE8" w:rsidP="002D6DD7">
            <w:pPr>
              <w:jc w:val="both"/>
              <w:rPr>
                <w:rFonts w:cs="Times New Roman"/>
                <w:szCs w:val="24"/>
              </w:rPr>
            </w:pPr>
          </w:p>
          <w:p w14:paraId="1C9CD6D9" w14:textId="77777777" w:rsidR="00223CE8" w:rsidRPr="000526F7" w:rsidRDefault="00223CE8" w:rsidP="002D6DD7">
            <w:pPr>
              <w:jc w:val="both"/>
              <w:rPr>
                <w:rFonts w:cs="Times New Roman"/>
                <w:szCs w:val="24"/>
              </w:rPr>
            </w:pPr>
            <w:r w:rsidRPr="000526F7">
              <w:rPr>
                <w:rFonts w:cs="Times New Roman"/>
                <w:szCs w:val="24"/>
              </w:rPr>
              <w:t>Contraindications</w:t>
            </w:r>
          </w:p>
        </w:tc>
        <w:tc>
          <w:tcPr>
            <w:tcW w:w="6655" w:type="dxa"/>
          </w:tcPr>
          <w:p w14:paraId="47EB05AB" w14:textId="77777777" w:rsidR="00223CE8" w:rsidRPr="000526F7" w:rsidRDefault="00223CE8" w:rsidP="002D6DD7">
            <w:pPr>
              <w:jc w:val="both"/>
              <w:rPr>
                <w:rFonts w:cs="Times New Roman"/>
                <w:szCs w:val="24"/>
              </w:rPr>
            </w:pPr>
            <w:r w:rsidRPr="000526F7">
              <w:rPr>
                <w:rFonts w:cs="Times New Roman"/>
                <w:szCs w:val="24"/>
              </w:rPr>
              <w:t xml:space="preserve">Hypersensitivity to </w:t>
            </w:r>
            <w:r>
              <w:rPr>
                <w:rFonts w:cs="Times New Roman"/>
                <w:szCs w:val="24"/>
              </w:rPr>
              <w:t xml:space="preserve">the </w:t>
            </w:r>
            <w:r w:rsidRPr="000526F7">
              <w:rPr>
                <w:rFonts w:cs="Times New Roman"/>
                <w:szCs w:val="24"/>
              </w:rPr>
              <w:t>drug, a</w:t>
            </w:r>
            <w:r>
              <w:rPr>
                <w:rFonts w:cs="Times New Roman"/>
                <w:szCs w:val="24"/>
              </w:rPr>
              <w:t xml:space="preserve">cute or severe bronchial asthma, </w:t>
            </w:r>
            <w:r w:rsidRPr="000526F7">
              <w:rPr>
                <w:rFonts w:cs="Times New Roman"/>
                <w:szCs w:val="24"/>
              </w:rPr>
              <w:t>significant respiratory depression, known or suspected gastroin</w:t>
            </w:r>
            <w:r>
              <w:rPr>
                <w:rFonts w:cs="Times New Roman"/>
                <w:szCs w:val="24"/>
              </w:rPr>
              <w:t>testinal obstruction (</w:t>
            </w:r>
            <w:r w:rsidRPr="000526F7">
              <w:rPr>
                <w:rFonts w:cs="Times New Roman"/>
                <w:szCs w:val="24"/>
              </w:rPr>
              <w:t>paralytic ileus</w:t>
            </w:r>
            <w:r>
              <w:rPr>
                <w:rFonts w:cs="Times New Roman"/>
                <w:szCs w:val="24"/>
              </w:rPr>
              <w:t>)</w:t>
            </w:r>
            <w:r w:rsidRPr="000526F7">
              <w:rPr>
                <w:rFonts w:cs="Times New Roman"/>
                <w:szCs w:val="24"/>
              </w:rPr>
              <w:t xml:space="preserve">, severe hepatic impairment </w:t>
            </w:r>
          </w:p>
        </w:tc>
      </w:tr>
      <w:tr w:rsidR="00223CE8" w:rsidRPr="000526F7" w14:paraId="086DA4D7" w14:textId="77777777" w:rsidTr="002D6DD7">
        <w:trPr>
          <w:jc w:val="center"/>
        </w:trPr>
        <w:tc>
          <w:tcPr>
            <w:tcW w:w="2695" w:type="dxa"/>
          </w:tcPr>
          <w:p w14:paraId="637C0F7C" w14:textId="77777777" w:rsidR="00223CE8" w:rsidRPr="000526F7" w:rsidRDefault="00223CE8" w:rsidP="002D6DD7">
            <w:pPr>
              <w:jc w:val="both"/>
              <w:rPr>
                <w:rFonts w:cs="Times New Roman"/>
                <w:szCs w:val="24"/>
              </w:rPr>
            </w:pPr>
            <w:r w:rsidRPr="000526F7">
              <w:rPr>
                <w:rFonts w:cs="Times New Roman"/>
                <w:szCs w:val="24"/>
              </w:rPr>
              <w:t>Drug interactions</w:t>
            </w:r>
          </w:p>
        </w:tc>
        <w:tc>
          <w:tcPr>
            <w:tcW w:w="6655" w:type="dxa"/>
          </w:tcPr>
          <w:p w14:paraId="296AFCB6" w14:textId="77777777" w:rsidR="00223CE8" w:rsidRPr="000526F7" w:rsidRDefault="00223CE8" w:rsidP="002D6DD7">
            <w:pPr>
              <w:jc w:val="both"/>
              <w:rPr>
                <w:rFonts w:eastAsia="Times New Roman" w:cs="Times New Roman"/>
                <w:szCs w:val="24"/>
                <w:lang w:eastAsia="en-GB"/>
              </w:rPr>
            </w:pPr>
            <w:r w:rsidRPr="000526F7">
              <w:rPr>
                <w:rFonts w:eastAsia="Times New Roman" w:cs="Times New Roman"/>
                <w:szCs w:val="24"/>
                <w:lang w:eastAsia="en-GB"/>
              </w:rPr>
              <w:t>Serotonergic drugs (e.g., linezolid), olanzapine, phenelzine, procarbazine, selegiline, amitriptyline, amoxapine, benzhydrocodone/acetaminophen, buprenorphine, buspirone, calcium/magnesium/potassium/sodium oxybates cimetidine, citalopram, clomipramine, clonidine, fentanyl, fluoxetine, imipramine, paroxetine, sertraline, St J</w:t>
            </w:r>
            <w:r>
              <w:rPr>
                <w:rFonts w:eastAsia="Times New Roman" w:cs="Times New Roman"/>
                <w:szCs w:val="24"/>
                <w:lang w:eastAsia="en-GB"/>
              </w:rPr>
              <w:t>ohn's Wort</w:t>
            </w:r>
          </w:p>
        </w:tc>
      </w:tr>
      <w:tr w:rsidR="00223CE8" w:rsidRPr="000526F7" w14:paraId="2C463C46" w14:textId="77777777" w:rsidTr="002D6DD7">
        <w:trPr>
          <w:jc w:val="center"/>
        </w:trPr>
        <w:tc>
          <w:tcPr>
            <w:tcW w:w="2695" w:type="dxa"/>
          </w:tcPr>
          <w:p w14:paraId="715993F6"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148E25A1" w14:textId="77777777" w:rsidR="00223CE8" w:rsidRPr="000526F7" w:rsidRDefault="00223CE8" w:rsidP="002D6DD7">
            <w:pPr>
              <w:jc w:val="both"/>
              <w:rPr>
                <w:rFonts w:eastAsia="Times New Roman" w:cs="Times New Roman"/>
                <w:szCs w:val="24"/>
              </w:rPr>
            </w:pPr>
            <w:r w:rsidRPr="000526F7">
              <w:rPr>
                <w:rFonts w:eastAsia="Times New Roman" w:cs="Times New Roman"/>
                <w:szCs w:val="24"/>
              </w:rPr>
              <w:t>Agitation, angina, bradycardia, cardiac arrest, coma, constipation, dizziness, dry oral, dysphoria, euphoria, faintness, hypotension, mental clouding or depression, nausea, nervousness, palpitation, physical and psychological dependence, pruritus, urtic</w:t>
            </w:r>
            <w:r>
              <w:rPr>
                <w:rFonts w:eastAsia="Times New Roman" w:cs="Times New Roman"/>
                <w:szCs w:val="24"/>
              </w:rPr>
              <w:t xml:space="preserve">aria, QT-interval prolongation, </w:t>
            </w:r>
            <w:r w:rsidRPr="000526F7">
              <w:rPr>
                <w:rFonts w:eastAsia="Times New Roman" w:cs="Times New Roman"/>
                <w:szCs w:val="24"/>
              </w:rPr>
              <w:t>respiratory/circulatory depression, restlessness, sedation, seizures, sweating, flushing, warmness of face/neck/upper thorax, syncope, urinary retention, visual disturbances, vomiting, weakness</w:t>
            </w:r>
          </w:p>
        </w:tc>
      </w:tr>
      <w:tr w:rsidR="00223CE8" w:rsidRPr="000526F7" w14:paraId="066E34E8" w14:textId="77777777" w:rsidTr="002D6DD7">
        <w:trPr>
          <w:jc w:val="center"/>
        </w:trPr>
        <w:tc>
          <w:tcPr>
            <w:tcW w:w="2695" w:type="dxa"/>
          </w:tcPr>
          <w:p w14:paraId="1D831868" w14:textId="77777777" w:rsidR="00223CE8" w:rsidRPr="000526F7" w:rsidRDefault="00223CE8" w:rsidP="002D6DD7">
            <w:pPr>
              <w:jc w:val="both"/>
              <w:rPr>
                <w:rFonts w:cs="Times New Roman"/>
                <w:szCs w:val="24"/>
              </w:rPr>
            </w:pPr>
            <w:r w:rsidRPr="000526F7">
              <w:rPr>
                <w:rFonts w:cs="Times New Roman"/>
                <w:szCs w:val="24"/>
              </w:rPr>
              <w:t xml:space="preserve">Cautions </w:t>
            </w:r>
          </w:p>
        </w:tc>
        <w:tc>
          <w:tcPr>
            <w:tcW w:w="6655" w:type="dxa"/>
          </w:tcPr>
          <w:p w14:paraId="494C127E" w14:textId="77777777" w:rsidR="00223CE8" w:rsidRPr="000526F7" w:rsidRDefault="00223CE8" w:rsidP="002D6DD7">
            <w:pPr>
              <w:keepNext/>
              <w:keepLines/>
              <w:jc w:val="both"/>
              <w:outlineLvl w:val="3"/>
              <w:rPr>
                <w:rFonts w:eastAsiaTheme="majorEastAsia" w:cs="Times New Roman"/>
                <w:bCs/>
                <w:iCs/>
                <w:szCs w:val="24"/>
              </w:rPr>
            </w:pPr>
            <w:r w:rsidRPr="000526F7">
              <w:rPr>
                <w:rFonts w:eastAsiaTheme="majorEastAsia" w:cs="Times New Roman"/>
                <w:bCs/>
                <w:iCs/>
                <w:szCs w:val="24"/>
              </w:rPr>
              <w:t>Renal or hepatic impairment, elderly, history of substance</w:t>
            </w:r>
            <w:r>
              <w:rPr>
                <w:rFonts w:eastAsiaTheme="majorEastAsia" w:cs="Times New Roman"/>
                <w:bCs/>
                <w:iCs/>
                <w:szCs w:val="24"/>
              </w:rPr>
              <w:t xml:space="preserve"> use, mental health disorders, addiction, abuse</w:t>
            </w:r>
            <w:r w:rsidRPr="000526F7">
              <w:rPr>
                <w:rFonts w:eastAsiaTheme="majorEastAsia" w:cs="Times New Roman"/>
                <w:bCs/>
                <w:iCs/>
                <w:szCs w:val="24"/>
              </w:rPr>
              <w:t xml:space="preserve">, </w:t>
            </w:r>
            <w:r>
              <w:rPr>
                <w:rFonts w:eastAsiaTheme="majorEastAsia" w:cs="Times New Roman"/>
                <w:bCs/>
                <w:iCs/>
                <w:szCs w:val="24"/>
              </w:rPr>
              <w:t>respiratory depression, n</w:t>
            </w:r>
            <w:r w:rsidRPr="000526F7">
              <w:rPr>
                <w:rFonts w:eastAsiaTheme="majorEastAsia" w:cs="Times New Roman"/>
                <w:bCs/>
                <w:iCs/>
                <w:szCs w:val="24"/>
              </w:rPr>
              <w:t>eonatal opioid withdrawal syndrome</w:t>
            </w:r>
          </w:p>
        </w:tc>
      </w:tr>
      <w:tr w:rsidR="00223CE8" w:rsidRPr="000526F7" w14:paraId="79A46272" w14:textId="77777777" w:rsidTr="002D6DD7">
        <w:trPr>
          <w:jc w:val="center"/>
        </w:trPr>
        <w:tc>
          <w:tcPr>
            <w:tcW w:w="2695" w:type="dxa"/>
          </w:tcPr>
          <w:p w14:paraId="4CF0668C"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3D9AE087" w14:textId="77777777" w:rsidR="00223CE8" w:rsidRPr="000526F7" w:rsidRDefault="00223CE8" w:rsidP="002D6DD7">
            <w:pPr>
              <w:jc w:val="both"/>
              <w:rPr>
                <w:rFonts w:cs="Times New Roman"/>
                <w:szCs w:val="24"/>
              </w:rPr>
            </w:pPr>
            <w:r w:rsidRPr="000526F7">
              <w:rPr>
                <w:rFonts w:cs="Times New Roman"/>
                <w:szCs w:val="24"/>
              </w:rPr>
              <w:t>Store below 30</w:t>
            </w:r>
            <w:r w:rsidRPr="000526F7">
              <w:rPr>
                <w:rFonts w:cs="Times New Roman"/>
                <w:szCs w:val="24"/>
                <w:vertAlign w:val="superscript"/>
              </w:rPr>
              <w:t>o</w:t>
            </w:r>
            <w:r w:rsidRPr="000526F7">
              <w:rPr>
                <w:rFonts w:cs="Times New Roman"/>
                <w:szCs w:val="24"/>
              </w:rPr>
              <w:t>C.</w:t>
            </w:r>
          </w:p>
        </w:tc>
      </w:tr>
      <w:tr w:rsidR="00223CE8" w:rsidRPr="000526F7" w14:paraId="69336B37" w14:textId="77777777" w:rsidTr="002D6DD7">
        <w:trPr>
          <w:jc w:val="center"/>
        </w:trPr>
        <w:tc>
          <w:tcPr>
            <w:tcW w:w="9350" w:type="dxa"/>
            <w:gridSpan w:val="2"/>
          </w:tcPr>
          <w:p w14:paraId="3261B397" w14:textId="77777777" w:rsidR="00223CE8" w:rsidRPr="000526F7" w:rsidRDefault="00223CE8" w:rsidP="002D6DD7">
            <w:pPr>
              <w:jc w:val="both"/>
              <w:rPr>
                <w:rFonts w:cs="Times New Roman"/>
                <w:b/>
                <w:szCs w:val="24"/>
              </w:rPr>
            </w:pPr>
            <w:r w:rsidRPr="000526F7">
              <w:rPr>
                <w:rFonts w:cs="Times New Roman"/>
                <w:b/>
                <w:szCs w:val="24"/>
              </w:rPr>
              <w:t>Tranexamic acid</w:t>
            </w:r>
          </w:p>
        </w:tc>
      </w:tr>
      <w:tr w:rsidR="00223CE8" w:rsidRPr="000526F7" w14:paraId="01C9D753" w14:textId="77777777" w:rsidTr="002D6DD7">
        <w:trPr>
          <w:jc w:val="center"/>
        </w:trPr>
        <w:tc>
          <w:tcPr>
            <w:tcW w:w="2695" w:type="dxa"/>
          </w:tcPr>
          <w:p w14:paraId="74A50221" w14:textId="77777777" w:rsidR="00223CE8" w:rsidRPr="000526F7" w:rsidRDefault="00223CE8" w:rsidP="002D6DD7">
            <w:pPr>
              <w:jc w:val="both"/>
              <w:rPr>
                <w:rFonts w:cs="Times New Roman"/>
                <w:szCs w:val="24"/>
              </w:rPr>
            </w:pPr>
            <w:r w:rsidRPr="000526F7">
              <w:rPr>
                <w:rFonts w:cs="Times New Roman"/>
                <w:szCs w:val="24"/>
              </w:rPr>
              <w:t>Pharmacological class</w:t>
            </w:r>
          </w:p>
        </w:tc>
        <w:tc>
          <w:tcPr>
            <w:tcW w:w="6655" w:type="dxa"/>
          </w:tcPr>
          <w:p w14:paraId="794FB46E" w14:textId="77777777" w:rsidR="00223CE8" w:rsidRPr="000526F7" w:rsidRDefault="00223CE8" w:rsidP="002D6DD7">
            <w:pPr>
              <w:jc w:val="both"/>
              <w:rPr>
                <w:rFonts w:cs="Times New Roman"/>
                <w:szCs w:val="24"/>
              </w:rPr>
            </w:pPr>
            <w:r w:rsidRPr="000526F7">
              <w:rPr>
                <w:rFonts w:cs="Times New Roman"/>
                <w:szCs w:val="24"/>
              </w:rPr>
              <w:t>Antifibrinolytic</w:t>
            </w:r>
          </w:p>
        </w:tc>
      </w:tr>
      <w:tr w:rsidR="00223CE8" w:rsidRPr="000526F7" w14:paraId="39F6F563" w14:textId="77777777" w:rsidTr="002D6DD7">
        <w:trPr>
          <w:jc w:val="center"/>
        </w:trPr>
        <w:tc>
          <w:tcPr>
            <w:tcW w:w="2695" w:type="dxa"/>
          </w:tcPr>
          <w:p w14:paraId="37564C44" w14:textId="77777777" w:rsidR="00223CE8" w:rsidRPr="000526F7" w:rsidRDefault="00223CE8" w:rsidP="002D6DD7">
            <w:pPr>
              <w:jc w:val="both"/>
              <w:rPr>
                <w:rFonts w:cs="Times New Roman"/>
                <w:szCs w:val="24"/>
              </w:rPr>
            </w:pPr>
            <w:r w:rsidRPr="000526F7">
              <w:rPr>
                <w:rFonts w:cs="Times New Roman"/>
                <w:szCs w:val="24"/>
              </w:rPr>
              <w:t>Dosage form</w:t>
            </w:r>
          </w:p>
        </w:tc>
        <w:tc>
          <w:tcPr>
            <w:tcW w:w="6655" w:type="dxa"/>
          </w:tcPr>
          <w:p w14:paraId="04B8A0A1" w14:textId="77777777" w:rsidR="00223CE8" w:rsidRPr="000526F7" w:rsidRDefault="00223CE8" w:rsidP="002D6DD7">
            <w:pPr>
              <w:jc w:val="both"/>
              <w:rPr>
                <w:rFonts w:cs="Times New Roman"/>
                <w:szCs w:val="24"/>
              </w:rPr>
            </w:pPr>
            <w:r w:rsidRPr="000526F7">
              <w:rPr>
                <w:rFonts w:eastAsia="Times New Roman" w:cs="Times New Roman"/>
                <w:szCs w:val="24"/>
              </w:rPr>
              <w:t>Injection: 100mg/</w:t>
            </w:r>
            <w:r>
              <w:rPr>
                <w:rFonts w:eastAsia="Times New Roman" w:cs="Times New Roman"/>
                <w:szCs w:val="24"/>
              </w:rPr>
              <w:t>ml</w:t>
            </w:r>
            <w:r w:rsidRPr="000526F7">
              <w:rPr>
                <w:rFonts w:eastAsia="Times New Roman" w:cs="Times New Roman"/>
                <w:szCs w:val="24"/>
              </w:rPr>
              <w:t xml:space="preserve"> in 10</w:t>
            </w:r>
            <w:r>
              <w:rPr>
                <w:rFonts w:eastAsia="Times New Roman" w:cs="Times New Roman"/>
                <w:szCs w:val="24"/>
              </w:rPr>
              <w:t>ml</w:t>
            </w:r>
            <w:r w:rsidRPr="000526F7">
              <w:rPr>
                <w:rFonts w:eastAsia="Times New Roman" w:cs="Times New Roman"/>
                <w:szCs w:val="24"/>
              </w:rPr>
              <w:t xml:space="preserve"> ampule</w:t>
            </w:r>
          </w:p>
        </w:tc>
      </w:tr>
      <w:tr w:rsidR="00223CE8" w:rsidRPr="000526F7" w14:paraId="4DD7EB47" w14:textId="77777777" w:rsidTr="002D6DD7">
        <w:trPr>
          <w:jc w:val="center"/>
        </w:trPr>
        <w:tc>
          <w:tcPr>
            <w:tcW w:w="2695" w:type="dxa"/>
          </w:tcPr>
          <w:p w14:paraId="5230B9F2" w14:textId="77777777" w:rsidR="00223CE8" w:rsidRPr="000526F7" w:rsidRDefault="00223CE8" w:rsidP="002D6DD7">
            <w:pPr>
              <w:jc w:val="both"/>
              <w:rPr>
                <w:rFonts w:cs="Times New Roman"/>
                <w:szCs w:val="24"/>
              </w:rPr>
            </w:pPr>
            <w:r w:rsidRPr="000526F7">
              <w:rPr>
                <w:rFonts w:cs="Times New Roman"/>
                <w:szCs w:val="24"/>
              </w:rPr>
              <w:t>Indications</w:t>
            </w:r>
          </w:p>
        </w:tc>
        <w:tc>
          <w:tcPr>
            <w:tcW w:w="6655" w:type="dxa"/>
          </w:tcPr>
          <w:p w14:paraId="325A50BB" w14:textId="77777777" w:rsidR="00223CE8" w:rsidRPr="000526F7" w:rsidRDefault="00223CE8" w:rsidP="002D6DD7">
            <w:pPr>
              <w:jc w:val="both"/>
              <w:rPr>
                <w:rFonts w:cs="Times New Roman"/>
                <w:szCs w:val="24"/>
              </w:rPr>
            </w:pPr>
            <w:r>
              <w:rPr>
                <w:rFonts w:cs="Times New Roman"/>
                <w:szCs w:val="24"/>
              </w:rPr>
              <w:t>H</w:t>
            </w:r>
            <w:r w:rsidRPr="000526F7">
              <w:rPr>
                <w:rFonts w:cs="Times New Roman"/>
                <w:szCs w:val="24"/>
              </w:rPr>
              <w:t>emorrhage in women with PPH</w:t>
            </w:r>
          </w:p>
        </w:tc>
      </w:tr>
      <w:tr w:rsidR="00223CE8" w:rsidRPr="000526F7" w14:paraId="6D281F13" w14:textId="77777777" w:rsidTr="002D6DD7">
        <w:trPr>
          <w:jc w:val="center"/>
        </w:trPr>
        <w:tc>
          <w:tcPr>
            <w:tcW w:w="2695" w:type="dxa"/>
          </w:tcPr>
          <w:p w14:paraId="6F69D85C" w14:textId="77777777" w:rsidR="00223CE8" w:rsidRPr="000526F7" w:rsidRDefault="00223CE8" w:rsidP="002D6DD7">
            <w:pPr>
              <w:jc w:val="both"/>
              <w:rPr>
                <w:rFonts w:cs="Times New Roman"/>
                <w:szCs w:val="24"/>
              </w:rPr>
            </w:pPr>
            <w:r w:rsidRPr="000526F7">
              <w:rPr>
                <w:rFonts w:cs="Times New Roman"/>
                <w:szCs w:val="24"/>
              </w:rPr>
              <w:t>Dose and administration</w:t>
            </w:r>
          </w:p>
        </w:tc>
        <w:tc>
          <w:tcPr>
            <w:tcW w:w="6655" w:type="dxa"/>
          </w:tcPr>
          <w:p w14:paraId="4A9E2BE5" w14:textId="77777777" w:rsidR="00223CE8" w:rsidRPr="000526F7" w:rsidRDefault="00223CE8" w:rsidP="002D6DD7">
            <w:pPr>
              <w:jc w:val="both"/>
              <w:rPr>
                <w:rFonts w:cs="Times New Roman"/>
                <w:szCs w:val="24"/>
              </w:rPr>
            </w:pPr>
            <w:r w:rsidRPr="000526F7">
              <w:rPr>
                <w:rFonts w:cs="Times New Roman"/>
                <w:szCs w:val="24"/>
              </w:rPr>
              <w:t xml:space="preserve">Administer at a fixed dose of 1 g in 10 </w:t>
            </w:r>
            <w:r>
              <w:rPr>
                <w:rFonts w:cs="Times New Roman"/>
                <w:szCs w:val="24"/>
              </w:rPr>
              <w:t>ml</w:t>
            </w:r>
            <w:r w:rsidRPr="000526F7">
              <w:rPr>
                <w:rFonts w:cs="Times New Roman"/>
                <w:szCs w:val="24"/>
              </w:rPr>
              <w:t xml:space="preserve"> (100 mg/</w:t>
            </w:r>
            <w:r>
              <w:rPr>
                <w:rFonts w:cs="Times New Roman"/>
                <w:szCs w:val="24"/>
              </w:rPr>
              <w:t>ml</w:t>
            </w:r>
            <w:r w:rsidRPr="000526F7">
              <w:rPr>
                <w:rFonts w:cs="Times New Roman"/>
                <w:szCs w:val="24"/>
              </w:rPr>
              <w:t xml:space="preserve">) IV at 1 </w:t>
            </w:r>
            <w:r>
              <w:rPr>
                <w:rFonts w:cs="Times New Roman"/>
                <w:szCs w:val="24"/>
              </w:rPr>
              <w:t>ml</w:t>
            </w:r>
            <w:r w:rsidRPr="000526F7">
              <w:rPr>
                <w:rFonts w:cs="Times New Roman"/>
                <w:szCs w:val="24"/>
              </w:rPr>
              <w:t xml:space="preserve"> per minute (i.e., administered over 10 minutes), with a second dose of 1 g IV if bleeding continues after 30 minutes</w:t>
            </w:r>
          </w:p>
          <w:p w14:paraId="3106CE61" w14:textId="77777777" w:rsidR="00223CE8" w:rsidRPr="000526F7" w:rsidRDefault="00223CE8" w:rsidP="002D6DD7">
            <w:pPr>
              <w:jc w:val="both"/>
              <w:rPr>
                <w:rFonts w:cs="Times New Roman"/>
                <w:szCs w:val="24"/>
              </w:rPr>
            </w:pPr>
            <w:r w:rsidRPr="000526F7">
              <w:rPr>
                <w:rFonts w:cs="Times New Roman"/>
                <w:szCs w:val="24"/>
              </w:rPr>
              <w:lastRenderedPageBreak/>
              <w:t>Use tranexamic acid injection within 3 hours and as early as possible after onset of PPH</w:t>
            </w:r>
          </w:p>
        </w:tc>
      </w:tr>
      <w:tr w:rsidR="00223CE8" w:rsidRPr="000526F7" w14:paraId="679C2280" w14:textId="77777777" w:rsidTr="002D6DD7">
        <w:trPr>
          <w:jc w:val="center"/>
        </w:trPr>
        <w:tc>
          <w:tcPr>
            <w:tcW w:w="2695" w:type="dxa"/>
          </w:tcPr>
          <w:p w14:paraId="373D12D0" w14:textId="77777777" w:rsidR="00223CE8" w:rsidRPr="000526F7" w:rsidRDefault="00223CE8" w:rsidP="002D6DD7">
            <w:pPr>
              <w:jc w:val="both"/>
              <w:rPr>
                <w:rFonts w:cs="Times New Roman"/>
                <w:szCs w:val="24"/>
              </w:rPr>
            </w:pPr>
            <w:r w:rsidRPr="000526F7">
              <w:rPr>
                <w:rFonts w:cs="Times New Roman"/>
                <w:szCs w:val="24"/>
              </w:rPr>
              <w:lastRenderedPageBreak/>
              <w:t>Contraindications</w:t>
            </w:r>
          </w:p>
        </w:tc>
        <w:tc>
          <w:tcPr>
            <w:tcW w:w="6655" w:type="dxa"/>
          </w:tcPr>
          <w:p w14:paraId="3D079998" w14:textId="77777777" w:rsidR="00223CE8" w:rsidRPr="000526F7" w:rsidRDefault="00223CE8" w:rsidP="002D6DD7">
            <w:pPr>
              <w:jc w:val="both"/>
              <w:rPr>
                <w:rFonts w:cs="Times New Roman"/>
                <w:szCs w:val="24"/>
              </w:rPr>
            </w:pPr>
            <w:r>
              <w:rPr>
                <w:rFonts w:cs="Times New Roman"/>
                <w:szCs w:val="24"/>
              </w:rPr>
              <w:t>Hy</w:t>
            </w:r>
            <w:r w:rsidRPr="000526F7">
              <w:rPr>
                <w:rFonts w:cs="Times New Roman"/>
                <w:szCs w:val="24"/>
              </w:rPr>
              <w:t xml:space="preserve">persensitivity to </w:t>
            </w:r>
            <w:r>
              <w:rPr>
                <w:rFonts w:cs="Times New Roman"/>
                <w:szCs w:val="24"/>
              </w:rPr>
              <w:t>the drug, k</w:t>
            </w:r>
            <w:r w:rsidRPr="000526F7">
              <w:rPr>
                <w:rFonts w:cs="Times New Roman"/>
                <w:szCs w:val="24"/>
              </w:rPr>
              <w:t>nown thromboembolic event during pregnancy, history of coagulopathy,</w:t>
            </w:r>
            <w:r>
              <w:rPr>
                <w:rFonts w:cs="Times New Roman"/>
                <w:szCs w:val="24"/>
              </w:rPr>
              <w:t xml:space="preserve"> active intravascular clotting, </w:t>
            </w:r>
            <w:r w:rsidRPr="000526F7">
              <w:rPr>
                <w:rFonts w:cs="Times New Roman"/>
                <w:szCs w:val="24"/>
              </w:rPr>
              <w:t>convulsions</w:t>
            </w:r>
          </w:p>
        </w:tc>
      </w:tr>
      <w:tr w:rsidR="00223CE8" w:rsidRPr="000526F7" w14:paraId="4C053CF8" w14:textId="77777777" w:rsidTr="002D6DD7">
        <w:trPr>
          <w:jc w:val="center"/>
        </w:trPr>
        <w:tc>
          <w:tcPr>
            <w:tcW w:w="2695" w:type="dxa"/>
          </w:tcPr>
          <w:p w14:paraId="6BE470DF" w14:textId="77777777" w:rsidR="00223CE8" w:rsidRPr="000526F7" w:rsidRDefault="00223CE8" w:rsidP="002D6DD7">
            <w:pPr>
              <w:jc w:val="both"/>
              <w:rPr>
                <w:rFonts w:cs="Times New Roman"/>
                <w:szCs w:val="24"/>
              </w:rPr>
            </w:pPr>
            <w:r w:rsidRPr="000526F7">
              <w:rPr>
                <w:rFonts w:cs="Times New Roman"/>
                <w:szCs w:val="24"/>
              </w:rPr>
              <w:t>Drug interactions</w:t>
            </w:r>
          </w:p>
        </w:tc>
        <w:tc>
          <w:tcPr>
            <w:tcW w:w="6655" w:type="dxa"/>
          </w:tcPr>
          <w:p w14:paraId="35CB1C30" w14:textId="77777777" w:rsidR="00223CE8" w:rsidRPr="000526F7" w:rsidRDefault="00223CE8" w:rsidP="002D6DD7">
            <w:pPr>
              <w:jc w:val="both"/>
              <w:rPr>
                <w:rFonts w:cs="Times New Roman"/>
                <w:szCs w:val="24"/>
              </w:rPr>
            </w:pPr>
            <w:r w:rsidRPr="000526F7">
              <w:rPr>
                <w:rFonts w:cs="Times New Roman"/>
                <w:szCs w:val="24"/>
              </w:rPr>
              <w:t xml:space="preserve">Anti-inhibitor coagulant </w:t>
            </w:r>
            <w:r>
              <w:rPr>
                <w:rFonts w:cs="Times New Roman"/>
                <w:szCs w:val="24"/>
              </w:rPr>
              <w:t>complex, estrogen derivatives, f</w:t>
            </w:r>
            <w:r w:rsidRPr="000526F7">
              <w:rPr>
                <w:rFonts w:cs="Times New Roman"/>
                <w:szCs w:val="24"/>
              </w:rPr>
              <w:t>actor IX complex, hormonal contraceptives,</w:t>
            </w:r>
            <w:r>
              <w:rPr>
                <w:rFonts w:cs="Times New Roman"/>
                <w:szCs w:val="24"/>
              </w:rPr>
              <w:t xml:space="preserve"> tretinoin, c</w:t>
            </w:r>
            <w:r w:rsidRPr="000526F7">
              <w:rPr>
                <w:rFonts w:cs="Times New Roman"/>
                <w:szCs w:val="24"/>
              </w:rPr>
              <w:t>hlorpromazine</w:t>
            </w:r>
          </w:p>
        </w:tc>
      </w:tr>
      <w:tr w:rsidR="00223CE8" w:rsidRPr="000526F7" w14:paraId="43A39766" w14:textId="77777777" w:rsidTr="002D6DD7">
        <w:trPr>
          <w:jc w:val="center"/>
        </w:trPr>
        <w:tc>
          <w:tcPr>
            <w:tcW w:w="2695" w:type="dxa"/>
          </w:tcPr>
          <w:p w14:paraId="0000E6A4" w14:textId="77777777" w:rsidR="00223CE8" w:rsidRPr="000526F7" w:rsidRDefault="00223CE8" w:rsidP="002D6DD7">
            <w:pPr>
              <w:jc w:val="both"/>
              <w:rPr>
                <w:rFonts w:cs="Times New Roman"/>
                <w:szCs w:val="24"/>
              </w:rPr>
            </w:pPr>
            <w:r w:rsidRPr="000526F7">
              <w:rPr>
                <w:rFonts w:cs="Times New Roman"/>
                <w:szCs w:val="24"/>
              </w:rPr>
              <w:t>Side effects</w:t>
            </w:r>
          </w:p>
        </w:tc>
        <w:tc>
          <w:tcPr>
            <w:tcW w:w="6655" w:type="dxa"/>
          </w:tcPr>
          <w:p w14:paraId="3D9CCE50" w14:textId="77777777" w:rsidR="00223CE8" w:rsidRPr="000526F7" w:rsidRDefault="00223CE8" w:rsidP="002D6DD7">
            <w:pPr>
              <w:jc w:val="both"/>
              <w:rPr>
                <w:rFonts w:cs="Times New Roman"/>
                <w:szCs w:val="24"/>
              </w:rPr>
            </w:pPr>
            <w:r w:rsidRPr="000526F7">
              <w:rPr>
                <w:rFonts w:cs="Times New Roman"/>
                <w:szCs w:val="24"/>
              </w:rPr>
              <w:t xml:space="preserve">Allergic dermatitis, dizziness, hypotension, nausea, vomiting, diarrhea, headache, respiratory problems, abdominal and musculoskeletal pain, </w:t>
            </w:r>
          </w:p>
        </w:tc>
      </w:tr>
      <w:tr w:rsidR="00223CE8" w:rsidRPr="000526F7" w14:paraId="6DE745F3" w14:textId="77777777" w:rsidTr="002D6DD7">
        <w:trPr>
          <w:jc w:val="center"/>
        </w:trPr>
        <w:tc>
          <w:tcPr>
            <w:tcW w:w="2695" w:type="dxa"/>
          </w:tcPr>
          <w:p w14:paraId="75F3FE7D" w14:textId="77777777" w:rsidR="00223CE8" w:rsidRPr="000526F7" w:rsidRDefault="00223CE8" w:rsidP="002D6DD7">
            <w:pPr>
              <w:jc w:val="both"/>
              <w:rPr>
                <w:rFonts w:cs="Times New Roman"/>
                <w:szCs w:val="24"/>
              </w:rPr>
            </w:pPr>
            <w:r w:rsidRPr="000526F7">
              <w:rPr>
                <w:rFonts w:cs="Times New Roman"/>
                <w:szCs w:val="24"/>
              </w:rPr>
              <w:t xml:space="preserve">Cautions </w:t>
            </w:r>
          </w:p>
        </w:tc>
        <w:tc>
          <w:tcPr>
            <w:tcW w:w="6655" w:type="dxa"/>
          </w:tcPr>
          <w:p w14:paraId="2C770AD5" w14:textId="77777777" w:rsidR="00223CE8" w:rsidRPr="000526F7" w:rsidRDefault="00223CE8" w:rsidP="002D6DD7">
            <w:pPr>
              <w:jc w:val="both"/>
              <w:rPr>
                <w:rFonts w:cs="Times New Roman"/>
                <w:szCs w:val="24"/>
              </w:rPr>
            </w:pPr>
            <w:r>
              <w:rPr>
                <w:rFonts w:cs="Times New Roman"/>
                <w:szCs w:val="24"/>
              </w:rPr>
              <w:t>T</w:t>
            </w:r>
            <w:r w:rsidRPr="000526F7">
              <w:rPr>
                <w:rFonts w:cs="Times New Roman"/>
                <w:szCs w:val="24"/>
              </w:rPr>
              <w:t xml:space="preserve">hromboembolic events, renal impairment, </w:t>
            </w:r>
            <w:r>
              <w:rPr>
                <w:rFonts w:cs="Times New Roman"/>
                <w:szCs w:val="24"/>
              </w:rPr>
              <w:t>r</w:t>
            </w:r>
            <w:r w:rsidRPr="000526F7">
              <w:rPr>
                <w:rFonts w:cs="Times New Roman"/>
                <w:szCs w:val="24"/>
              </w:rPr>
              <w:t xml:space="preserve">enal impairment, </w:t>
            </w:r>
            <w:r>
              <w:rPr>
                <w:rFonts w:cs="Times New Roman"/>
                <w:szCs w:val="24"/>
              </w:rPr>
              <w:t>p</w:t>
            </w:r>
            <w:r w:rsidRPr="000526F7">
              <w:rPr>
                <w:rFonts w:cs="Times New Roman"/>
                <w:szCs w:val="24"/>
              </w:rPr>
              <w:t xml:space="preserve">regnancy </w:t>
            </w:r>
          </w:p>
        </w:tc>
      </w:tr>
      <w:tr w:rsidR="00223CE8" w:rsidRPr="000526F7" w14:paraId="3F28A568" w14:textId="77777777" w:rsidTr="002D6DD7">
        <w:trPr>
          <w:jc w:val="center"/>
        </w:trPr>
        <w:tc>
          <w:tcPr>
            <w:tcW w:w="2695" w:type="dxa"/>
          </w:tcPr>
          <w:p w14:paraId="5C735A6F" w14:textId="77777777" w:rsidR="00223CE8" w:rsidRPr="000526F7" w:rsidRDefault="00223CE8" w:rsidP="002D6DD7">
            <w:pPr>
              <w:jc w:val="both"/>
              <w:rPr>
                <w:rFonts w:cs="Times New Roman"/>
                <w:szCs w:val="24"/>
              </w:rPr>
            </w:pPr>
            <w:r w:rsidRPr="000526F7">
              <w:rPr>
                <w:rFonts w:cs="Times New Roman"/>
                <w:szCs w:val="24"/>
              </w:rPr>
              <w:t>Storage condition</w:t>
            </w:r>
          </w:p>
        </w:tc>
        <w:tc>
          <w:tcPr>
            <w:tcW w:w="6655" w:type="dxa"/>
          </w:tcPr>
          <w:p w14:paraId="5061488A" w14:textId="77777777" w:rsidR="00223CE8" w:rsidRPr="000526F7" w:rsidRDefault="00223CE8" w:rsidP="002D6DD7">
            <w:pPr>
              <w:jc w:val="both"/>
              <w:rPr>
                <w:rFonts w:cs="Times New Roman"/>
                <w:szCs w:val="24"/>
              </w:rPr>
            </w:pPr>
            <w:r w:rsidRPr="000526F7">
              <w:rPr>
                <w:rFonts w:cs="Times New Roman"/>
                <w:szCs w:val="24"/>
              </w:rPr>
              <w:t xml:space="preserve">Store </w:t>
            </w:r>
            <w:r>
              <w:rPr>
                <w:rFonts w:cs="Times New Roman"/>
                <w:szCs w:val="24"/>
              </w:rPr>
              <w:t>between 20°C to 25°C</w:t>
            </w:r>
            <w:r w:rsidRPr="000526F7">
              <w:rPr>
                <w:rFonts w:cs="Times New Roman"/>
                <w:szCs w:val="24"/>
              </w:rPr>
              <w:t>.  Do not freeze</w:t>
            </w:r>
          </w:p>
        </w:tc>
      </w:tr>
    </w:tbl>
    <w:p w14:paraId="155E675E" w14:textId="77777777" w:rsidR="00223CE8" w:rsidRPr="000526F7" w:rsidRDefault="00223CE8" w:rsidP="00223CE8">
      <w:pPr>
        <w:pStyle w:val="Heading1"/>
        <w:spacing w:before="0"/>
        <w:jc w:val="both"/>
        <w:rPr>
          <w:rFonts w:cs="Times New Roman"/>
          <w:sz w:val="24"/>
          <w:szCs w:val="24"/>
        </w:rPr>
      </w:pPr>
    </w:p>
    <w:p w14:paraId="61B039CB" w14:textId="77777777" w:rsidR="00223CE8" w:rsidRDefault="00223CE8" w:rsidP="00223CE8">
      <w:pPr>
        <w:pStyle w:val="Heading1"/>
        <w:spacing w:before="0"/>
        <w:rPr>
          <w:rFonts w:cs="Times New Roman"/>
        </w:rPr>
      </w:pPr>
    </w:p>
    <w:p w14:paraId="40A606E0" w14:textId="77777777" w:rsidR="00223CE8" w:rsidRDefault="00223CE8" w:rsidP="00223CE8">
      <w:pPr>
        <w:rPr>
          <w:lang w:val="en-US" w:eastAsia="en-US"/>
        </w:rPr>
      </w:pPr>
    </w:p>
    <w:p w14:paraId="3C6288F5" w14:textId="77777777" w:rsidR="00223CE8" w:rsidRDefault="00223CE8" w:rsidP="00223CE8">
      <w:pPr>
        <w:rPr>
          <w:lang w:val="en-US" w:eastAsia="en-US"/>
        </w:rPr>
      </w:pPr>
    </w:p>
    <w:p w14:paraId="2B2CE0B8" w14:textId="77777777" w:rsidR="00223CE8" w:rsidRPr="006C6183" w:rsidRDefault="00223CE8" w:rsidP="00223CE8">
      <w:pPr>
        <w:rPr>
          <w:lang w:val="en-US" w:eastAsia="en-US"/>
        </w:rPr>
      </w:pPr>
    </w:p>
    <w:p w14:paraId="73B5B1C8" w14:textId="77777777" w:rsidR="003D150E" w:rsidRDefault="003D150E">
      <w:pPr>
        <w:spacing w:line="259" w:lineRule="auto"/>
        <w:rPr>
          <w:rFonts w:eastAsiaTheme="majorEastAsia" w:cs="Times New Roman"/>
          <w:b/>
          <w:bCs/>
          <w:kern w:val="0"/>
          <w:sz w:val="28"/>
          <w:szCs w:val="28"/>
          <w:lang w:val="en-US" w:eastAsia="en-US"/>
        </w:rPr>
      </w:pPr>
      <w:r>
        <w:rPr>
          <w:rFonts w:cs="Times New Roman"/>
        </w:rPr>
        <w:br w:type="page"/>
      </w:r>
    </w:p>
    <w:p w14:paraId="1C7235AD" w14:textId="77777777" w:rsidR="00223CE8" w:rsidRPr="003D150E" w:rsidRDefault="00223CE8" w:rsidP="003D150E">
      <w:pPr>
        <w:pStyle w:val="Heading1"/>
        <w:numPr>
          <w:ilvl w:val="0"/>
          <w:numId w:val="25"/>
        </w:numPr>
        <w:spacing w:after="240"/>
      </w:pPr>
      <w:bookmarkStart w:id="157" w:name="_Toc179490377"/>
      <w:r w:rsidRPr="003D150E">
        <w:lastRenderedPageBreak/>
        <w:t>Medicines Affecting the Blood</w:t>
      </w:r>
      <w:bookmarkEnd w:id="157"/>
    </w:p>
    <w:p w14:paraId="6481F69A" w14:textId="77777777" w:rsidR="00223CE8" w:rsidRPr="003D150E" w:rsidRDefault="00223CE8" w:rsidP="003D150E">
      <w:pPr>
        <w:pStyle w:val="Heading2"/>
        <w:spacing w:before="240" w:after="240"/>
      </w:pPr>
      <w:bookmarkStart w:id="158" w:name="_Toc179490378"/>
      <w:r w:rsidRPr="003D150E">
        <w:t>Antianemics</w:t>
      </w:r>
      <w:bookmarkEnd w:id="158"/>
    </w:p>
    <w:p w14:paraId="68DE5A18" w14:textId="77777777" w:rsidR="00223CE8" w:rsidRPr="00944B15" w:rsidRDefault="00223CE8" w:rsidP="00223CE8">
      <w:pPr>
        <w:spacing w:after="0"/>
        <w:jc w:val="both"/>
        <w:rPr>
          <w:rFonts w:cs="Times New Roman"/>
          <w:szCs w:val="24"/>
        </w:rPr>
      </w:pPr>
      <w:r w:rsidRPr="00944B15">
        <w:rPr>
          <w:rFonts w:eastAsia="Times New Roman" w:cs="Times New Roman"/>
          <w:szCs w:val="24"/>
        </w:rPr>
        <w:t xml:space="preserve">Antianemics </w:t>
      </w:r>
      <w:r w:rsidRPr="00944B15">
        <w:rPr>
          <w:rFonts w:cs="Times New Roman"/>
          <w:szCs w:val="24"/>
        </w:rPr>
        <w:t>are used to treat </w:t>
      </w:r>
      <w:hyperlink r:id="rId38" w:history="1">
        <w:r w:rsidRPr="00944B15">
          <w:rPr>
            <w:rStyle w:val="Hyperlink"/>
            <w:rFonts w:cs="Times New Roman"/>
            <w:color w:val="auto"/>
            <w:szCs w:val="24"/>
            <w:u w:val="none"/>
          </w:rPr>
          <w:t>anaemia</w:t>
        </w:r>
      </w:hyperlink>
      <w:r w:rsidRPr="00944B15">
        <w:rPr>
          <w:rFonts w:cs="Times New Roman"/>
          <w:szCs w:val="24"/>
        </w:rPr>
        <w:t xml:space="preserve">, a condition where </w:t>
      </w:r>
      <w:hyperlink r:id="rId39" w:history="1">
        <w:r w:rsidRPr="00944B15">
          <w:rPr>
            <w:rStyle w:val="Hyperlink"/>
            <w:rFonts w:cs="Times New Roman"/>
            <w:color w:val="auto"/>
            <w:szCs w:val="24"/>
            <w:u w:val="none"/>
          </w:rPr>
          <w:t>blood test</w:t>
        </w:r>
      </w:hyperlink>
      <w:r w:rsidRPr="00944B15">
        <w:rPr>
          <w:rFonts w:cs="Times New Roman"/>
          <w:szCs w:val="24"/>
        </w:rPr>
        <w:t> result shows a low </w:t>
      </w:r>
      <w:hyperlink r:id="rId40" w:history="1">
        <w:r w:rsidRPr="00944B15">
          <w:rPr>
            <w:rStyle w:val="Hyperlink"/>
            <w:rFonts w:cs="Times New Roman"/>
            <w:color w:val="auto"/>
            <w:szCs w:val="24"/>
            <w:u w:val="none"/>
          </w:rPr>
          <w:t>red blood cell</w:t>
        </w:r>
      </w:hyperlink>
      <w:r w:rsidRPr="00944B15">
        <w:rPr>
          <w:rFonts w:cs="Times New Roman"/>
          <w:szCs w:val="24"/>
        </w:rPr>
        <w:t> count or low haemoglobin level.  The medicine used to treat anaemia will depend on its cause. The most common type of anaemia is </w:t>
      </w:r>
      <w:hyperlink r:id="rId41" w:history="1">
        <w:r w:rsidRPr="00944B15">
          <w:rPr>
            <w:rStyle w:val="Hyperlink"/>
            <w:rFonts w:cs="Times New Roman"/>
            <w:color w:val="auto"/>
            <w:szCs w:val="24"/>
            <w:u w:val="none"/>
          </w:rPr>
          <w:t>iron-deficiency</w:t>
        </w:r>
      </w:hyperlink>
      <w:r w:rsidRPr="00944B15">
        <w:rPr>
          <w:rFonts w:cs="Times New Roman"/>
          <w:szCs w:val="24"/>
        </w:rPr>
        <w:t> anaemia, usually caused by</w:t>
      </w:r>
      <w:r w:rsidRPr="003417E6">
        <w:t xml:space="preserve"> </w:t>
      </w:r>
      <w:r>
        <w:rPr>
          <w:rFonts w:cs="Times New Roman"/>
          <w:szCs w:val="24"/>
        </w:rPr>
        <w:t>a</w:t>
      </w:r>
      <w:r w:rsidRPr="003417E6">
        <w:rPr>
          <w:rFonts w:cs="Times New Roman"/>
          <w:szCs w:val="24"/>
        </w:rPr>
        <w:t xml:space="preserve">cute or chronic blood loss, from insufficient intake </w:t>
      </w:r>
      <w:r>
        <w:rPr>
          <w:rFonts w:cs="Times New Roman"/>
          <w:szCs w:val="24"/>
        </w:rPr>
        <w:t xml:space="preserve">particularly </w:t>
      </w:r>
      <w:r w:rsidRPr="003417E6">
        <w:rPr>
          <w:rFonts w:cs="Times New Roman"/>
          <w:szCs w:val="24"/>
        </w:rPr>
        <w:t xml:space="preserve">during periods of accelerated growth in children, or in heavily menstruating or pregnant women. </w:t>
      </w:r>
      <w:r w:rsidRPr="00944B15">
        <w:rPr>
          <w:rFonts w:cs="Times New Roman"/>
          <w:szCs w:val="24"/>
        </w:rPr>
        <w:t xml:space="preserve"> Other types of anaemia can be caused by folate deficiency, which is usually treated with </w:t>
      </w:r>
      <w:hyperlink r:id="rId42" w:history="1">
        <w:r w:rsidRPr="00944B15">
          <w:rPr>
            <w:rStyle w:val="Hyperlink"/>
            <w:rFonts w:cs="Times New Roman"/>
            <w:color w:val="auto"/>
            <w:szCs w:val="24"/>
            <w:u w:val="none"/>
          </w:rPr>
          <w:t>folic acid</w:t>
        </w:r>
      </w:hyperlink>
      <w:r w:rsidRPr="00944B15">
        <w:rPr>
          <w:rFonts w:cs="Times New Roman"/>
          <w:szCs w:val="24"/>
        </w:rPr>
        <w:t> tablets or </w:t>
      </w:r>
      <w:hyperlink r:id="rId43" w:history="1">
        <w:r w:rsidRPr="00944B15">
          <w:rPr>
            <w:rStyle w:val="Hyperlink"/>
            <w:rFonts w:cs="Times New Roman"/>
            <w:color w:val="auto"/>
            <w:szCs w:val="24"/>
            <w:u w:val="none"/>
          </w:rPr>
          <w:t>vitamin b12 deficiency</w:t>
        </w:r>
      </w:hyperlink>
      <w:r w:rsidRPr="00944B15">
        <w:rPr>
          <w:rFonts w:cs="Times New Roman"/>
          <w:szCs w:val="24"/>
        </w:rPr>
        <w:t> which is usually treated with </w:t>
      </w:r>
      <w:hyperlink r:id="rId44" w:history="1">
        <w:r w:rsidRPr="00944B15">
          <w:rPr>
            <w:rStyle w:val="Hyperlink"/>
            <w:rFonts w:cs="Times New Roman"/>
            <w:color w:val="auto"/>
            <w:szCs w:val="24"/>
            <w:u w:val="none"/>
          </w:rPr>
          <w:t>hydroxycobalamin</w:t>
        </w:r>
      </w:hyperlink>
      <w:r w:rsidRPr="00944B15">
        <w:rPr>
          <w:rFonts w:cs="Times New Roman"/>
          <w:szCs w:val="24"/>
        </w:rPr>
        <w:t>. Anaemia caused by chronic kidney disease may need other </w:t>
      </w:r>
      <w:hyperlink r:id="rId45" w:tgtFrame="_blank" w:history="1">
        <w:r w:rsidRPr="00944B15">
          <w:rPr>
            <w:rStyle w:val="Hyperlink"/>
            <w:rFonts w:cs="Times New Roman"/>
            <w:color w:val="auto"/>
            <w:szCs w:val="24"/>
            <w:u w:val="none"/>
          </w:rPr>
          <w:t>treatments</w:t>
        </w:r>
      </w:hyperlink>
      <w:r w:rsidRPr="00944B15">
        <w:rPr>
          <w:rFonts w:cs="Times New Roman"/>
          <w:szCs w:val="24"/>
        </w:rPr>
        <w:t> such as erythropoiesis-stimulating agents. These are medicines that send a signal to your body to make more red blood cells.</w:t>
      </w:r>
    </w:p>
    <w:p w14:paraId="353336FE" w14:textId="77777777" w:rsidR="00223CE8" w:rsidRPr="00944B15" w:rsidRDefault="00223CE8" w:rsidP="003D150E">
      <w:pPr>
        <w:spacing w:before="240"/>
        <w:jc w:val="both"/>
        <w:rPr>
          <w:rFonts w:eastAsia="Times New Roman" w:cs="Times New Roman"/>
          <w:szCs w:val="24"/>
        </w:rPr>
      </w:pPr>
      <w:r w:rsidRPr="00944B15">
        <w:rPr>
          <w:rFonts w:eastAsia="Times New Roman" w:cs="Times New Roman"/>
          <w:szCs w:val="24"/>
        </w:rPr>
        <w:t>Before initiating treatment for anaemia, it is essential to determine which type is present. Iron salts may be harmful if given to patients with anaemias other than those due to iron deficiency.</w:t>
      </w:r>
    </w:p>
    <w:tbl>
      <w:tblPr>
        <w:tblW w:w="9805" w:type="dxa"/>
        <w:tblLook w:val="04A0" w:firstRow="1" w:lastRow="0" w:firstColumn="1" w:lastColumn="0" w:noHBand="0" w:noVBand="1"/>
      </w:tblPr>
      <w:tblGrid>
        <w:gridCol w:w="2605"/>
        <w:gridCol w:w="7200"/>
      </w:tblGrid>
      <w:tr w:rsidR="00223CE8" w:rsidRPr="00944B15" w14:paraId="66549541"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08D173D0" w14:textId="77777777" w:rsidR="00223CE8" w:rsidRPr="00944B15" w:rsidRDefault="00223CE8" w:rsidP="002D6DD7">
            <w:pPr>
              <w:spacing w:after="0"/>
              <w:jc w:val="both"/>
              <w:rPr>
                <w:rFonts w:cs="Times New Roman"/>
                <w:b/>
                <w:szCs w:val="24"/>
              </w:rPr>
            </w:pPr>
            <w:r w:rsidRPr="00944B15">
              <w:rPr>
                <w:rFonts w:cs="Times New Roman"/>
                <w:b/>
                <w:szCs w:val="24"/>
              </w:rPr>
              <w:t>Ferrous gluconate</w:t>
            </w:r>
          </w:p>
        </w:tc>
      </w:tr>
      <w:tr w:rsidR="00223CE8" w:rsidRPr="00944B15" w14:paraId="67041C60" w14:textId="77777777" w:rsidTr="002D6DD7">
        <w:trPr>
          <w:trHeight w:val="98"/>
        </w:trPr>
        <w:tc>
          <w:tcPr>
            <w:tcW w:w="2605" w:type="dxa"/>
            <w:tcBorders>
              <w:top w:val="single" w:sz="4" w:space="0" w:color="auto"/>
              <w:left w:val="single" w:sz="4" w:space="0" w:color="auto"/>
              <w:bottom w:val="single" w:sz="4" w:space="0" w:color="auto"/>
              <w:right w:val="single" w:sz="4" w:space="0" w:color="auto"/>
            </w:tcBorders>
            <w:hideMark/>
          </w:tcPr>
          <w:p w14:paraId="55EEBC46"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42B9A538" w14:textId="77777777" w:rsidR="00223CE8" w:rsidRPr="00944B15" w:rsidRDefault="00223CE8" w:rsidP="002D6DD7">
            <w:pPr>
              <w:spacing w:after="0"/>
              <w:jc w:val="both"/>
              <w:rPr>
                <w:rFonts w:cs="Times New Roman"/>
                <w:szCs w:val="24"/>
              </w:rPr>
            </w:pPr>
            <w:r>
              <w:rPr>
                <w:rFonts w:cs="Times New Roman"/>
                <w:szCs w:val="24"/>
              </w:rPr>
              <w:t>Iron product</w:t>
            </w:r>
          </w:p>
        </w:tc>
      </w:tr>
      <w:tr w:rsidR="00223CE8" w:rsidRPr="00944B15" w14:paraId="7A093C9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C17035"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4EFA7938" w14:textId="77777777" w:rsidR="00223CE8" w:rsidRPr="00944B15" w:rsidRDefault="00223CE8" w:rsidP="002D6DD7">
            <w:pPr>
              <w:spacing w:after="0"/>
              <w:jc w:val="both"/>
              <w:rPr>
                <w:rFonts w:cs="Times New Roman"/>
                <w:szCs w:val="24"/>
                <w:shd w:val="clear" w:color="auto" w:fill="FFFFFF"/>
              </w:rPr>
            </w:pPr>
            <w:r w:rsidRPr="00944B15">
              <w:rPr>
                <w:rFonts w:cs="Times New Roman"/>
                <w:szCs w:val="24"/>
                <w:shd w:val="clear" w:color="auto" w:fill="FFFFFF"/>
              </w:rPr>
              <w:t xml:space="preserve">Tablets: </w:t>
            </w:r>
            <w:r w:rsidRPr="00944B15">
              <w:rPr>
                <w:rFonts w:cs="Times New Roman"/>
                <w:szCs w:val="24"/>
              </w:rPr>
              <w:t>equivalent to 36 mg elemental iron</w:t>
            </w:r>
          </w:p>
        </w:tc>
      </w:tr>
      <w:tr w:rsidR="00223CE8" w:rsidRPr="00944B15" w14:paraId="6BA46D1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679373"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tcPr>
          <w:p w14:paraId="53908E0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Prophylaxis and treatment of iron-deficiency anaemia</w:t>
            </w:r>
          </w:p>
        </w:tc>
      </w:tr>
      <w:tr w:rsidR="00223CE8" w:rsidRPr="00944B15" w14:paraId="116A01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DF90191"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7200" w:type="dxa"/>
            <w:tcBorders>
              <w:top w:val="single" w:sz="4" w:space="0" w:color="auto"/>
              <w:left w:val="single" w:sz="4" w:space="0" w:color="auto"/>
              <w:bottom w:val="single" w:sz="4" w:space="0" w:color="auto"/>
              <w:right w:val="single" w:sz="4" w:space="0" w:color="auto"/>
            </w:tcBorders>
            <w:hideMark/>
          </w:tcPr>
          <w:p w14:paraId="74BDC9C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Prophylaxis of iron-deficiency anaemia by oral using tablets</w:t>
            </w:r>
            <w:r w:rsidR="003D150E">
              <w:rPr>
                <w:rFonts w:cs="Times New Roman"/>
                <w:b/>
                <w:szCs w:val="24"/>
              </w:rPr>
              <w:t xml:space="preserve"> </w:t>
            </w:r>
            <w:r>
              <w:rPr>
                <w:rFonts w:cs="Times New Roman"/>
                <w:szCs w:val="24"/>
              </w:rPr>
              <w:t>(elemental Fe 1- 2mg/kg/day)</w:t>
            </w:r>
            <w:r w:rsidR="003D150E">
              <w:rPr>
                <w:rFonts w:cs="Times New Roman"/>
                <w:szCs w:val="24"/>
              </w:rPr>
              <w:t>:</w:t>
            </w:r>
            <w:r w:rsidRPr="00944B15">
              <w:rPr>
                <w:rFonts w:cs="Times New Roman"/>
                <w:szCs w:val="24"/>
              </w:rPr>
              <w:t xml:space="preserve"> </w:t>
            </w:r>
          </w:p>
          <w:p w14:paraId="2FF3AB2B"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Child 6–11 years:</w:t>
            </w:r>
            <w:r w:rsidRPr="00944B15">
              <w:rPr>
                <w:rFonts w:cs="Times New Roman"/>
                <w:szCs w:val="24"/>
              </w:rPr>
              <w:t xml:space="preserve"> 300–900 mg daily</w:t>
            </w:r>
          </w:p>
          <w:p w14:paraId="31FA6777"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Child 12–17 years:</w:t>
            </w:r>
            <w:r w:rsidRPr="00944B15">
              <w:rPr>
                <w:rFonts w:cs="Times New Roman"/>
                <w:szCs w:val="24"/>
              </w:rPr>
              <w:t xml:space="preserve"> 600 mg daily</w:t>
            </w:r>
          </w:p>
          <w:p w14:paraId="6E6007B6"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Adult:</w:t>
            </w:r>
            <w:r w:rsidRPr="00944B15">
              <w:rPr>
                <w:rFonts w:cs="Times New Roman"/>
                <w:szCs w:val="24"/>
              </w:rPr>
              <w:t xml:space="preserve"> 600 mg daily</w:t>
            </w:r>
          </w:p>
          <w:p w14:paraId="7514B5E5"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iron-deficiency anaemia by oral using tablets</w:t>
            </w:r>
            <w:r>
              <w:rPr>
                <w:rFonts w:cs="Times New Roman"/>
                <w:b/>
                <w:szCs w:val="24"/>
              </w:rPr>
              <w:t xml:space="preserve"> (</w:t>
            </w:r>
            <w:r>
              <w:rPr>
                <w:rFonts w:cs="Times New Roman"/>
                <w:szCs w:val="24"/>
              </w:rPr>
              <w:t>elemental Fe 100- 200mg/day or 3-6mg/kg/day)</w:t>
            </w:r>
            <w:r w:rsidRPr="00944B15">
              <w:rPr>
                <w:rFonts w:cs="Times New Roman"/>
                <w:b/>
                <w:szCs w:val="24"/>
              </w:rPr>
              <w:t>:</w:t>
            </w:r>
          </w:p>
          <w:p w14:paraId="3692F7DF"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Child 6–11 years:</w:t>
            </w:r>
            <w:r w:rsidRPr="00944B15">
              <w:rPr>
                <w:rFonts w:cs="Times New Roman"/>
                <w:szCs w:val="24"/>
              </w:rPr>
              <w:t xml:space="preserve"> 300–900 mg daily</w:t>
            </w:r>
          </w:p>
          <w:p w14:paraId="3F3BEC38"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Child 12–17 years:</w:t>
            </w:r>
            <w:r w:rsidRPr="00944B15">
              <w:rPr>
                <w:rFonts w:cs="Times New Roman"/>
                <w:szCs w:val="24"/>
              </w:rPr>
              <w:t xml:space="preserve"> 1.2–1.8 g daily in divided doses</w:t>
            </w:r>
          </w:p>
          <w:p w14:paraId="78E201BF" w14:textId="77777777" w:rsidR="00223CE8" w:rsidRPr="00944B15" w:rsidRDefault="00223CE8" w:rsidP="002D6DD7">
            <w:pPr>
              <w:autoSpaceDE w:val="0"/>
              <w:autoSpaceDN w:val="0"/>
              <w:adjustRightInd w:val="0"/>
              <w:spacing w:after="0"/>
              <w:jc w:val="both"/>
              <w:rPr>
                <w:rFonts w:cs="Times New Roman"/>
                <w:szCs w:val="24"/>
              </w:rPr>
            </w:pPr>
            <w:r w:rsidRPr="003D150E">
              <w:rPr>
                <w:rFonts w:cs="Times New Roman"/>
                <w:b/>
                <w:szCs w:val="24"/>
              </w:rPr>
              <w:t>Adult:</w:t>
            </w:r>
            <w:r w:rsidRPr="00944B15">
              <w:rPr>
                <w:rFonts w:cs="Times New Roman"/>
                <w:szCs w:val="24"/>
              </w:rPr>
              <w:t xml:space="preserve"> 1.2–1.8 g daily in divided doses</w:t>
            </w:r>
          </w:p>
        </w:tc>
      </w:tr>
      <w:tr w:rsidR="00223CE8" w:rsidRPr="00944B15" w14:paraId="0D95DA3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CF75CF"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73E75AD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xml:space="preserve">, hemochromatosis, hemosiderosis, </w:t>
            </w:r>
            <w:r w:rsidRPr="00944B15">
              <w:rPr>
                <w:rFonts w:cs="Times New Roman"/>
                <w:szCs w:val="24"/>
              </w:rPr>
              <w:lastRenderedPageBreak/>
              <w:t>haemolytic anaemia and anaemia other than iron-deficiency anaemia</w:t>
            </w:r>
          </w:p>
        </w:tc>
      </w:tr>
      <w:tr w:rsidR="00223CE8" w:rsidRPr="00944B15" w14:paraId="730A1A4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E1CC58"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19692DAE" w14:textId="77777777" w:rsidR="00223CE8" w:rsidRPr="00944B15" w:rsidRDefault="00223CE8" w:rsidP="002D6DD7">
            <w:pPr>
              <w:shd w:val="clear" w:color="auto" w:fill="FFFFFF"/>
              <w:spacing w:after="0"/>
              <w:jc w:val="both"/>
              <w:rPr>
                <w:rFonts w:eastAsia="Times New Roman" w:cs="Times New Roman"/>
                <w:szCs w:val="24"/>
              </w:rPr>
            </w:pPr>
            <w:r w:rsidRPr="00944B15">
              <w:rPr>
                <w:rFonts w:eastAsia="Times New Roman" w:cs="Times New Roman"/>
                <w:bCs/>
                <w:szCs w:val="24"/>
              </w:rPr>
              <w:t>Tetracyclines, antacids, fluoroquinolones, levothyroxine and proton pump inhibitors</w:t>
            </w:r>
            <w:r>
              <w:rPr>
                <w:rFonts w:eastAsia="Times New Roman" w:cs="Times New Roman"/>
                <w:bCs/>
                <w:szCs w:val="24"/>
              </w:rPr>
              <w:t>.</w:t>
            </w:r>
            <w:r w:rsidRPr="00944B15">
              <w:rPr>
                <w:rFonts w:eastAsia="Times New Roman" w:cs="Times New Roman"/>
                <w:bCs/>
                <w:szCs w:val="24"/>
              </w:rPr>
              <w:t xml:space="preserve"> </w:t>
            </w:r>
          </w:p>
        </w:tc>
      </w:tr>
      <w:tr w:rsidR="00223CE8" w:rsidRPr="00944B15" w14:paraId="6EC08B2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59F7DEB"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32AE961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GI irritation, nausea, stomach cramping, staining of teeth, heartburn, vomiting, constipation, diarrhoea, discoloration of urine and dark stools colour.</w:t>
            </w:r>
          </w:p>
        </w:tc>
      </w:tr>
      <w:tr w:rsidR="00223CE8" w:rsidRPr="00944B15" w14:paraId="476DA3F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A83E99"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30765A29" w14:textId="77777777" w:rsidR="00223CE8" w:rsidRPr="00944B15" w:rsidRDefault="00223CE8" w:rsidP="002D6DD7">
            <w:pPr>
              <w:pStyle w:val="NormalWeb"/>
              <w:spacing w:before="0" w:beforeAutospacing="0" w:after="0" w:afterAutospacing="0" w:line="360" w:lineRule="auto"/>
              <w:jc w:val="both"/>
            </w:pPr>
            <w:r w:rsidRPr="00944B15">
              <w:t>Peptic ulcer, enteritis, or ulcerative colitis, premature infants with vitamin E deficiency and excessive blood transfusions.</w:t>
            </w:r>
          </w:p>
        </w:tc>
      </w:tr>
      <w:tr w:rsidR="00223CE8" w:rsidRPr="00944B15" w14:paraId="37AB4C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43943F4"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33F0CB12"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 and moisture</w:t>
            </w:r>
            <w:r w:rsidRPr="00944B15">
              <w:rPr>
                <w:rFonts w:cs="Times New Roman"/>
                <w:szCs w:val="24"/>
                <w:shd w:val="clear" w:color="auto" w:fill="FFFFFF"/>
              </w:rPr>
              <w:t xml:space="preserve">. </w:t>
            </w:r>
          </w:p>
        </w:tc>
      </w:tr>
      <w:tr w:rsidR="00223CE8" w:rsidRPr="00944B15" w14:paraId="539234F5"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41AE3774" w14:textId="77777777" w:rsidR="00223CE8" w:rsidRPr="00944B15" w:rsidRDefault="00223CE8" w:rsidP="002D6DD7">
            <w:pPr>
              <w:spacing w:after="0"/>
              <w:jc w:val="both"/>
              <w:rPr>
                <w:rFonts w:cs="Times New Roman"/>
                <w:szCs w:val="24"/>
              </w:rPr>
            </w:pPr>
            <w:r w:rsidRPr="00944B15">
              <w:rPr>
                <w:rFonts w:cs="Times New Roman"/>
                <w:b/>
                <w:szCs w:val="24"/>
              </w:rPr>
              <w:t>Ferrous sulfate</w:t>
            </w:r>
          </w:p>
        </w:tc>
      </w:tr>
      <w:tr w:rsidR="00223CE8" w:rsidRPr="00944B15" w14:paraId="6ED0F1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B067059"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3110DBE7" w14:textId="77777777" w:rsidR="00223CE8" w:rsidRPr="00944B15" w:rsidRDefault="00223CE8" w:rsidP="002D6DD7">
            <w:pPr>
              <w:spacing w:after="0"/>
              <w:jc w:val="both"/>
              <w:rPr>
                <w:rFonts w:cs="Times New Roman"/>
                <w:szCs w:val="24"/>
              </w:rPr>
            </w:pPr>
            <w:r>
              <w:rPr>
                <w:rFonts w:cs="Times New Roman"/>
                <w:szCs w:val="24"/>
              </w:rPr>
              <w:t>Iron product</w:t>
            </w:r>
          </w:p>
        </w:tc>
      </w:tr>
      <w:tr w:rsidR="00223CE8" w:rsidRPr="00944B15" w14:paraId="19BEE81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BB77A7"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12EA20E8" w14:textId="77777777" w:rsidR="00223CE8" w:rsidRPr="00944B15" w:rsidRDefault="00223CE8" w:rsidP="002D6DD7">
            <w:pPr>
              <w:spacing w:after="0"/>
              <w:jc w:val="both"/>
              <w:rPr>
                <w:rFonts w:cs="Times New Roman"/>
                <w:szCs w:val="24"/>
                <w:shd w:val="clear" w:color="auto" w:fill="FFFFFF"/>
              </w:rPr>
            </w:pPr>
            <w:r w:rsidRPr="00944B15">
              <w:rPr>
                <w:rFonts w:cs="Times New Roman"/>
                <w:szCs w:val="24"/>
                <w:shd w:val="clear" w:color="auto" w:fill="FFFFFF"/>
              </w:rPr>
              <w:t xml:space="preserve">Tablets: </w:t>
            </w:r>
            <w:r w:rsidRPr="00944B15">
              <w:rPr>
                <w:rFonts w:cs="Times New Roman"/>
                <w:szCs w:val="24"/>
              </w:rPr>
              <w:t>equivalent to 60 – 65 mg elemental iron</w:t>
            </w:r>
          </w:p>
          <w:p w14:paraId="3AFD1296"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 xml:space="preserve">Oral liquids: </w:t>
            </w:r>
            <w:r w:rsidRPr="00944B15">
              <w:rPr>
                <w:rFonts w:cs="Times New Roman"/>
                <w:szCs w:val="24"/>
              </w:rPr>
              <w:t>equivalent to 25 mg (iron as sulphate)/</w:t>
            </w:r>
            <w:r>
              <w:rPr>
                <w:rFonts w:cs="Times New Roman"/>
                <w:szCs w:val="24"/>
              </w:rPr>
              <w:t>ml</w:t>
            </w:r>
          </w:p>
        </w:tc>
      </w:tr>
      <w:tr w:rsidR="00223CE8" w:rsidRPr="00944B15" w14:paraId="5D69B59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D9E3BD"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0102A467" w14:textId="77777777" w:rsidR="00223CE8" w:rsidRPr="00944B15" w:rsidRDefault="00223CE8" w:rsidP="002D6DD7">
            <w:pPr>
              <w:spacing w:after="0"/>
              <w:jc w:val="both"/>
              <w:rPr>
                <w:rFonts w:cs="Times New Roman"/>
                <w:szCs w:val="24"/>
              </w:rPr>
            </w:pPr>
            <w:r w:rsidRPr="00944B15">
              <w:rPr>
                <w:rFonts w:cs="Times New Roman"/>
                <w:szCs w:val="24"/>
              </w:rPr>
              <w:t>Prevention and treatment of iron-deficiency anaemias</w:t>
            </w:r>
          </w:p>
        </w:tc>
      </w:tr>
      <w:tr w:rsidR="00223CE8" w:rsidRPr="00944B15" w14:paraId="2DB32BD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B696310"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550A3AFF"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cs="Times New Roman"/>
                <w:b/>
                <w:bCs/>
                <w:szCs w:val="24"/>
              </w:rPr>
              <w:t>Adult</w:t>
            </w:r>
            <w:r w:rsidR="003D150E">
              <w:rPr>
                <w:rFonts w:cs="Times New Roman"/>
                <w:b/>
                <w:bCs/>
                <w:szCs w:val="24"/>
              </w:rPr>
              <w:t>:</w:t>
            </w:r>
          </w:p>
          <w:p w14:paraId="04862ED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Iron-deficiency anaemia (prophylactic): </w:t>
            </w:r>
          </w:p>
          <w:p w14:paraId="2ABFBEA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Orally using tablets: Ferrous sulfate 200/325mg PO daily</w:t>
            </w:r>
          </w:p>
          <w:p w14:paraId="1901F0A0" w14:textId="77777777" w:rsidR="00223CE8" w:rsidRPr="00944B15" w:rsidRDefault="00223CE8" w:rsidP="002D6DD7">
            <w:pPr>
              <w:adjustRightInd w:val="0"/>
              <w:spacing w:after="0"/>
              <w:jc w:val="both"/>
              <w:rPr>
                <w:rFonts w:cs="Times New Roman"/>
                <w:szCs w:val="24"/>
              </w:rPr>
            </w:pPr>
            <w:r w:rsidRPr="00944B15">
              <w:rPr>
                <w:rFonts w:cs="Times New Roman"/>
                <w:szCs w:val="24"/>
              </w:rPr>
              <w:t xml:space="preserve">Orally using </w:t>
            </w:r>
            <w:r w:rsidRPr="00944B15">
              <w:rPr>
                <w:rFonts w:cs="Times New Roman"/>
                <w:szCs w:val="24"/>
                <w:shd w:val="clear" w:color="auto" w:fill="FFFFFF"/>
              </w:rPr>
              <w:t>oral liquids:</w:t>
            </w:r>
            <w:r w:rsidRPr="00944B15">
              <w:rPr>
                <w:rFonts w:cs="Times New Roman"/>
                <w:szCs w:val="24"/>
              </w:rPr>
              <w:t xml:space="preserve"> 2.4–4.8 </w:t>
            </w:r>
            <w:r>
              <w:rPr>
                <w:rFonts w:cs="Times New Roman"/>
                <w:szCs w:val="24"/>
              </w:rPr>
              <w:t>ml</w:t>
            </w:r>
            <w:r w:rsidRPr="00944B15">
              <w:rPr>
                <w:rFonts w:cs="Times New Roman"/>
                <w:szCs w:val="24"/>
              </w:rPr>
              <w:t xml:space="preserve"> daily</w:t>
            </w:r>
          </w:p>
          <w:p w14:paraId="7A78E970" w14:textId="77777777" w:rsidR="00223CE8" w:rsidRPr="00944B15" w:rsidRDefault="00223CE8" w:rsidP="002D6DD7">
            <w:pPr>
              <w:adjustRightInd w:val="0"/>
              <w:spacing w:after="0"/>
              <w:jc w:val="both"/>
              <w:rPr>
                <w:rFonts w:cs="Times New Roman"/>
                <w:b/>
                <w:szCs w:val="24"/>
              </w:rPr>
            </w:pPr>
            <w:r w:rsidRPr="00944B15">
              <w:rPr>
                <w:rFonts w:cs="Times New Roman"/>
                <w:b/>
                <w:szCs w:val="24"/>
              </w:rPr>
              <w:t xml:space="preserve">Iron-deficiency anaemia (therapeutic): </w:t>
            </w:r>
          </w:p>
          <w:p w14:paraId="0BA05A30" w14:textId="77777777" w:rsidR="00223CE8" w:rsidRPr="00944B15" w:rsidRDefault="00223CE8" w:rsidP="002D6DD7">
            <w:pPr>
              <w:adjustRightInd w:val="0"/>
              <w:spacing w:after="0"/>
              <w:jc w:val="both"/>
              <w:rPr>
                <w:rFonts w:cs="Times New Roman"/>
                <w:szCs w:val="24"/>
              </w:rPr>
            </w:pPr>
            <w:r w:rsidRPr="00944B15">
              <w:rPr>
                <w:rFonts w:cs="Times New Roman"/>
                <w:szCs w:val="24"/>
              </w:rPr>
              <w:t>Orally using tablets: Ferrous sulfate, 200/325mg PO, TID</w:t>
            </w:r>
          </w:p>
          <w:p w14:paraId="21B09784" w14:textId="77777777" w:rsidR="00223CE8" w:rsidRPr="00944B15" w:rsidRDefault="00223CE8" w:rsidP="002D6DD7">
            <w:pPr>
              <w:adjustRightInd w:val="0"/>
              <w:spacing w:after="0"/>
              <w:jc w:val="both"/>
              <w:rPr>
                <w:rFonts w:cs="Times New Roman"/>
                <w:szCs w:val="24"/>
              </w:rPr>
            </w:pPr>
            <w:r w:rsidRPr="00944B15">
              <w:rPr>
                <w:rFonts w:cs="Times New Roman"/>
                <w:szCs w:val="24"/>
              </w:rPr>
              <w:t xml:space="preserve">Orally using </w:t>
            </w:r>
            <w:r w:rsidRPr="00944B15">
              <w:rPr>
                <w:rFonts w:cs="Times New Roman"/>
                <w:szCs w:val="24"/>
                <w:shd w:val="clear" w:color="auto" w:fill="FFFFFF"/>
              </w:rPr>
              <w:t>oral liquids</w:t>
            </w:r>
            <w:r w:rsidRPr="00944B15">
              <w:rPr>
                <w:rFonts w:cs="Times New Roman"/>
                <w:szCs w:val="24"/>
              </w:rPr>
              <w:t xml:space="preserve">: 4 </w:t>
            </w:r>
            <w:r>
              <w:rPr>
                <w:rFonts w:cs="Times New Roman"/>
                <w:szCs w:val="24"/>
              </w:rPr>
              <w:t>ml</w:t>
            </w:r>
            <w:r w:rsidRPr="00944B15">
              <w:rPr>
                <w:rFonts w:cs="Times New Roman"/>
                <w:szCs w:val="24"/>
              </w:rPr>
              <w:t xml:space="preserve"> 1–2 times a day</w:t>
            </w:r>
          </w:p>
          <w:p w14:paraId="0EB15FA6" w14:textId="77777777" w:rsidR="00223CE8" w:rsidRPr="00944B15" w:rsidRDefault="00223CE8" w:rsidP="002D6DD7">
            <w:pPr>
              <w:adjustRightInd w:val="0"/>
              <w:spacing w:after="0"/>
              <w:jc w:val="both"/>
              <w:rPr>
                <w:rFonts w:cs="Times New Roman"/>
                <w:b/>
                <w:szCs w:val="24"/>
              </w:rPr>
            </w:pPr>
            <w:r>
              <w:rPr>
                <w:rFonts w:cs="Times New Roman"/>
                <w:b/>
                <w:szCs w:val="24"/>
              </w:rPr>
              <w:t>Pediatric:</w:t>
            </w:r>
          </w:p>
          <w:p w14:paraId="45AF1BBA" w14:textId="77777777" w:rsidR="00223CE8" w:rsidRPr="00944B15" w:rsidRDefault="00223CE8" w:rsidP="002D6DD7">
            <w:pPr>
              <w:adjustRightInd w:val="0"/>
              <w:spacing w:after="0"/>
              <w:jc w:val="both"/>
              <w:rPr>
                <w:rFonts w:cs="Times New Roman"/>
                <w:b/>
                <w:szCs w:val="24"/>
              </w:rPr>
            </w:pPr>
            <w:r w:rsidRPr="00944B15">
              <w:rPr>
                <w:rFonts w:cs="Times New Roman"/>
                <w:b/>
                <w:szCs w:val="24"/>
              </w:rPr>
              <w:t xml:space="preserve">Iron deficiency anaemia, </w:t>
            </w:r>
            <w:r w:rsidRPr="003D150E">
              <w:rPr>
                <w:rFonts w:cs="Times New Roman"/>
                <w:szCs w:val="24"/>
              </w:rPr>
              <w:t>oral</w:t>
            </w:r>
            <w:r w:rsidR="003D150E">
              <w:rPr>
                <w:rFonts w:cs="Times New Roman"/>
                <w:b/>
                <w:szCs w:val="24"/>
              </w:rPr>
              <w:t>:</w:t>
            </w:r>
          </w:p>
          <w:p w14:paraId="69C77FCA" w14:textId="77777777" w:rsidR="00223CE8" w:rsidRPr="00944B15" w:rsidRDefault="00223CE8" w:rsidP="002D6DD7">
            <w:pPr>
              <w:adjustRightInd w:val="0"/>
              <w:spacing w:after="0"/>
              <w:jc w:val="both"/>
              <w:rPr>
                <w:rFonts w:cs="Times New Roman"/>
                <w:b/>
                <w:szCs w:val="24"/>
              </w:rPr>
            </w:pPr>
            <w:r w:rsidRPr="00944B15">
              <w:rPr>
                <w:rFonts w:cs="Times New Roman"/>
                <w:b/>
                <w:szCs w:val="24"/>
              </w:rPr>
              <w:t xml:space="preserve">Neonate: </w:t>
            </w:r>
            <w:r w:rsidRPr="00944B15">
              <w:rPr>
                <w:rFonts w:cs="Times New Roman"/>
                <w:szCs w:val="24"/>
              </w:rPr>
              <w:t>2–4 mg/kg of elemental iron daily, given in 2–3 divided doses</w:t>
            </w:r>
          </w:p>
          <w:p w14:paraId="257E64B1" w14:textId="77777777" w:rsidR="00223CE8" w:rsidRPr="00944B15" w:rsidRDefault="00223CE8" w:rsidP="002D6DD7">
            <w:pPr>
              <w:adjustRightInd w:val="0"/>
              <w:spacing w:after="0"/>
              <w:jc w:val="both"/>
              <w:rPr>
                <w:rFonts w:cs="Times New Roman"/>
                <w:b/>
                <w:szCs w:val="24"/>
              </w:rPr>
            </w:pPr>
            <w:r w:rsidRPr="00944B15">
              <w:rPr>
                <w:rFonts w:cs="Times New Roman"/>
                <w:b/>
                <w:szCs w:val="24"/>
              </w:rPr>
              <w:t xml:space="preserve">Infant and child: </w:t>
            </w:r>
            <w:r w:rsidRPr="00944B15">
              <w:rPr>
                <w:rFonts w:cs="Times New Roman"/>
                <w:szCs w:val="24"/>
              </w:rPr>
              <w:t>3–6 mg/kg (maximum 200 mg) of elemental iron daily, given in 2–3 divided doses</w:t>
            </w:r>
          </w:p>
          <w:p w14:paraId="7CE99AE3" w14:textId="77777777" w:rsidR="00223CE8" w:rsidRPr="00944B15" w:rsidRDefault="00223CE8" w:rsidP="002D6DD7">
            <w:pPr>
              <w:adjustRightInd w:val="0"/>
              <w:spacing w:after="0"/>
              <w:jc w:val="both"/>
              <w:rPr>
                <w:rFonts w:cs="Times New Roman"/>
                <w:b/>
                <w:szCs w:val="24"/>
              </w:rPr>
            </w:pPr>
            <w:r w:rsidRPr="00944B15">
              <w:rPr>
                <w:rFonts w:cs="Times New Roman"/>
                <w:b/>
                <w:szCs w:val="24"/>
              </w:rPr>
              <w:t xml:space="preserve">Prevention of iron deficiency anaemia (in those at particular risk), </w:t>
            </w:r>
            <w:r w:rsidRPr="003D150E">
              <w:rPr>
                <w:rFonts w:cs="Times New Roman"/>
                <w:szCs w:val="24"/>
              </w:rPr>
              <w:t>oral</w:t>
            </w:r>
            <w:r w:rsidR="003D150E">
              <w:rPr>
                <w:rFonts w:cs="Times New Roman"/>
                <w:b/>
                <w:szCs w:val="24"/>
              </w:rPr>
              <w:t>:</w:t>
            </w:r>
          </w:p>
          <w:p w14:paraId="28E7E656" w14:textId="77777777" w:rsidR="00223CE8" w:rsidRPr="00944B15" w:rsidRDefault="00223CE8" w:rsidP="002D6DD7">
            <w:pPr>
              <w:adjustRightInd w:val="0"/>
              <w:spacing w:after="0"/>
              <w:jc w:val="both"/>
              <w:rPr>
                <w:rFonts w:cs="Times New Roman"/>
                <w:szCs w:val="24"/>
              </w:rPr>
            </w:pPr>
            <w:r w:rsidRPr="00944B15">
              <w:rPr>
                <w:rFonts w:cs="Times New Roman"/>
                <w:b/>
                <w:szCs w:val="24"/>
              </w:rPr>
              <w:t xml:space="preserve">Child under 5 years: </w:t>
            </w:r>
            <w:r w:rsidRPr="00944B15">
              <w:rPr>
                <w:rFonts w:cs="Times New Roman"/>
                <w:szCs w:val="24"/>
              </w:rPr>
              <w:t>1–2 mg/kg (maximum 30 mg) of elemental iron daily</w:t>
            </w:r>
          </w:p>
          <w:p w14:paraId="637C2C0F" w14:textId="77777777" w:rsidR="00223CE8" w:rsidRPr="00944B15" w:rsidRDefault="00223CE8" w:rsidP="002D6DD7">
            <w:pPr>
              <w:adjustRightInd w:val="0"/>
              <w:spacing w:after="0"/>
              <w:jc w:val="both"/>
              <w:rPr>
                <w:rFonts w:cs="Times New Roman"/>
                <w:szCs w:val="24"/>
              </w:rPr>
            </w:pPr>
            <w:r w:rsidRPr="00944B15">
              <w:rPr>
                <w:rFonts w:cs="Times New Roman"/>
                <w:b/>
                <w:szCs w:val="24"/>
              </w:rPr>
              <w:t xml:space="preserve">Child over 5 years: </w:t>
            </w:r>
            <w:r w:rsidRPr="00944B15">
              <w:rPr>
                <w:rFonts w:cs="Times New Roman"/>
                <w:szCs w:val="24"/>
              </w:rPr>
              <w:t xml:space="preserve">30–60 mg of elemental iron daily; folic acid may </w:t>
            </w:r>
            <w:r w:rsidRPr="00944B15">
              <w:rPr>
                <w:rFonts w:cs="Times New Roman"/>
                <w:szCs w:val="24"/>
              </w:rPr>
              <w:lastRenderedPageBreak/>
              <w:t>also be given.</w:t>
            </w:r>
          </w:p>
        </w:tc>
      </w:tr>
      <w:tr w:rsidR="00223CE8" w:rsidRPr="00944B15" w14:paraId="0806C31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A5C2A1"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6B28671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Haemochromatosis,</w:t>
            </w:r>
            <w:r>
              <w:rPr>
                <w:rFonts w:cs="Times New Roman"/>
                <w:szCs w:val="24"/>
              </w:rPr>
              <w:t xml:space="preserve"> hemosiderosis, </w:t>
            </w:r>
            <w:r w:rsidRPr="00944B15">
              <w:rPr>
                <w:rFonts w:cs="Times New Roman"/>
                <w:szCs w:val="24"/>
              </w:rPr>
              <w:t>haemolytic anaemia, patients receiving repeated blood transfusions and parenteral iron therapy.</w:t>
            </w:r>
          </w:p>
        </w:tc>
      </w:tr>
      <w:tr w:rsidR="00223CE8" w:rsidRPr="00944B15" w14:paraId="50BA94D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76B042"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12548D3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Calcium salts, antacids, ciprofloxacin, dimercaprol, doxycycline, levodopa, levofloxacin, histamine 2 blockers, PPIs, levothyroxine, methyldopa, ofloxacin, penicillamine and zinc sulphate</w:t>
            </w:r>
          </w:p>
        </w:tc>
      </w:tr>
      <w:tr w:rsidR="00223CE8" w:rsidRPr="00944B15" w14:paraId="20B757D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ED6489"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4E36A07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Constipation, diarrhoea, dark stools, nausea, GI irritation, GI haemorrhage and/or perforation, urine discoloration and abdominal pain.</w:t>
            </w:r>
          </w:p>
        </w:tc>
      </w:tr>
      <w:tr w:rsidR="00223CE8" w:rsidRPr="00944B15" w14:paraId="5263190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4B0AB31"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78A44E77" w14:textId="77777777" w:rsidR="00223CE8" w:rsidRPr="00944B15" w:rsidRDefault="00223CE8" w:rsidP="002D6DD7">
            <w:pPr>
              <w:spacing w:after="0"/>
              <w:jc w:val="both"/>
              <w:rPr>
                <w:rFonts w:cs="Times New Roman"/>
                <w:szCs w:val="24"/>
              </w:rPr>
            </w:pPr>
            <w:r w:rsidRPr="00944B15">
              <w:rPr>
                <w:rFonts w:cs="Times New Roman"/>
                <w:szCs w:val="24"/>
              </w:rPr>
              <w:t>Should not be administered for longer than 6 months, peptic ulcer, regional enteritis, ulcerative colitis, intestinal strictures and diverticular disease.</w:t>
            </w:r>
          </w:p>
        </w:tc>
      </w:tr>
      <w:tr w:rsidR="00223CE8" w:rsidRPr="00944B15" w14:paraId="2F7A24C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C2F2E3"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57ECB8CB"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 and moisture.</w:t>
            </w:r>
          </w:p>
        </w:tc>
      </w:tr>
      <w:tr w:rsidR="00223CE8" w:rsidRPr="00944B15" w14:paraId="1FDF3B27"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7BE1C8BF" w14:textId="77777777" w:rsidR="00223CE8" w:rsidRPr="00944B15" w:rsidRDefault="00223CE8" w:rsidP="002D6DD7">
            <w:pPr>
              <w:spacing w:after="0"/>
              <w:jc w:val="both"/>
              <w:rPr>
                <w:rFonts w:cs="Times New Roman"/>
                <w:b/>
                <w:szCs w:val="24"/>
              </w:rPr>
            </w:pPr>
            <w:r w:rsidRPr="00944B15">
              <w:rPr>
                <w:rFonts w:cs="Times New Roman"/>
                <w:b/>
                <w:szCs w:val="24"/>
              </w:rPr>
              <w:t xml:space="preserve">Ferrous </w:t>
            </w:r>
            <w:r>
              <w:rPr>
                <w:rFonts w:cs="Times New Roman"/>
                <w:b/>
                <w:szCs w:val="24"/>
              </w:rPr>
              <w:t>sulfate</w:t>
            </w:r>
            <w:r w:rsidRPr="00944B15">
              <w:rPr>
                <w:rFonts w:cs="Times New Roman"/>
                <w:b/>
                <w:szCs w:val="24"/>
              </w:rPr>
              <w:t xml:space="preserve"> + Folic acid</w:t>
            </w:r>
          </w:p>
        </w:tc>
      </w:tr>
      <w:tr w:rsidR="00223CE8" w:rsidRPr="00944B15" w14:paraId="45B701C8" w14:textId="77777777" w:rsidTr="002D6DD7">
        <w:trPr>
          <w:trHeight w:val="46"/>
        </w:trPr>
        <w:tc>
          <w:tcPr>
            <w:tcW w:w="2605" w:type="dxa"/>
            <w:tcBorders>
              <w:top w:val="single" w:sz="4" w:space="0" w:color="auto"/>
              <w:left w:val="single" w:sz="4" w:space="0" w:color="auto"/>
              <w:bottom w:val="single" w:sz="4" w:space="0" w:color="auto"/>
              <w:right w:val="single" w:sz="4" w:space="0" w:color="auto"/>
            </w:tcBorders>
            <w:hideMark/>
          </w:tcPr>
          <w:p w14:paraId="51ED1312"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0F017375" w14:textId="77777777" w:rsidR="00223CE8" w:rsidRPr="00944B15" w:rsidRDefault="00223CE8" w:rsidP="002D6DD7">
            <w:pPr>
              <w:spacing w:after="0"/>
              <w:jc w:val="both"/>
              <w:rPr>
                <w:rFonts w:cs="Times New Roman"/>
                <w:szCs w:val="24"/>
              </w:rPr>
            </w:pPr>
            <w:r>
              <w:rPr>
                <w:rFonts w:cs="Times New Roman"/>
                <w:szCs w:val="24"/>
              </w:rPr>
              <w:t>Iron product</w:t>
            </w:r>
          </w:p>
        </w:tc>
      </w:tr>
      <w:tr w:rsidR="00223CE8" w:rsidRPr="00944B15" w14:paraId="092FDCE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CC2AE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6B9794B2" w14:textId="77777777" w:rsidR="00223CE8" w:rsidRPr="00944B15" w:rsidRDefault="00223CE8" w:rsidP="002D6DD7">
            <w:pPr>
              <w:spacing w:after="0"/>
              <w:jc w:val="both"/>
              <w:rPr>
                <w:rFonts w:cs="Times New Roman"/>
                <w:szCs w:val="24"/>
              </w:rPr>
            </w:pPr>
            <w:r w:rsidRPr="00944B15">
              <w:rPr>
                <w:rFonts w:cs="Times New Roman"/>
                <w:szCs w:val="24"/>
              </w:rPr>
              <w:t xml:space="preserve">Tablet: equivalent to 60 mg elemental iron + 400 micrograms </w:t>
            </w:r>
          </w:p>
          <w:p w14:paraId="31305F42" w14:textId="77777777" w:rsidR="00223CE8" w:rsidRPr="00944B15" w:rsidRDefault="00223CE8" w:rsidP="002D6DD7">
            <w:pPr>
              <w:spacing w:after="0"/>
              <w:jc w:val="both"/>
              <w:rPr>
                <w:rFonts w:cs="Times New Roman"/>
                <w:szCs w:val="24"/>
              </w:rPr>
            </w:pPr>
            <w:r w:rsidRPr="00944B15">
              <w:rPr>
                <w:rFonts w:cs="Times New Roman"/>
                <w:szCs w:val="24"/>
              </w:rPr>
              <w:t>Folic acid; equivalent to 60 mg elemental iron + 2.8 mg folic acid.</w:t>
            </w:r>
          </w:p>
          <w:p w14:paraId="27C344B7" w14:textId="77777777" w:rsidR="00223CE8" w:rsidRPr="00944B15" w:rsidRDefault="00223CE8" w:rsidP="002D6DD7">
            <w:pPr>
              <w:spacing w:after="0"/>
              <w:jc w:val="both"/>
              <w:rPr>
                <w:rFonts w:cs="Times New Roman"/>
                <w:szCs w:val="24"/>
              </w:rPr>
            </w:pPr>
            <w:r w:rsidRPr="00944B15">
              <w:rPr>
                <w:rFonts w:cs="Times New Roman"/>
                <w:szCs w:val="24"/>
              </w:rPr>
              <w:t>Capsule: 150mg (as sulphate) + 0.5mg; 60mg + 400 mcg (Pregnant).</w:t>
            </w:r>
          </w:p>
        </w:tc>
      </w:tr>
      <w:tr w:rsidR="00223CE8" w:rsidRPr="00944B15" w14:paraId="191C0F84" w14:textId="77777777" w:rsidTr="002D6DD7">
        <w:trPr>
          <w:trHeight w:val="602"/>
        </w:trPr>
        <w:tc>
          <w:tcPr>
            <w:tcW w:w="2605" w:type="dxa"/>
            <w:tcBorders>
              <w:top w:val="single" w:sz="4" w:space="0" w:color="auto"/>
              <w:left w:val="single" w:sz="4" w:space="0" w:color="auto"/>
              <w:bottom w:val="single" w:sz="4" w:space="0" w:color="auto"/>
              <w:right w:val="single" w:sz="4" w:space="0" w:color="auto"/>
            </w:tcBorders>
            <w:hideMark/>
          </w:tcPr>
          <w:p w14:paraId="0C39404A"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0B64123B" w14:textId="77777777" w:rsidR="00223CE8" w:rsidRPr="00944B15" w:rsidRDefault="00223CE8" w:rsidP="002D6DD7">
            <w:pPr>
              <w:spacing w:after="0"/>
              <w:jc w:val="both"/>
              <w:rPr>
                <w:rFonts w:cs="Times New Roman"/>
                <w:szCs w:val="24"/>
              </w:rPr>
            </w:pPr>
            <w:r w:rsidRPr="00944B15">
              <w:rPr>
                <w:rFonts w:cs="Times New Roman"/>
                <w:szCs w:val="24"/>
              </w:rPr>
              <w:t>Treatment of anaemia and prevention of iron and folic acid deficiencies in pregnancy</w:t>
            </w:r>
            <w:r>
              <w:rPr>
                <w:rFonts w:cs="Times New Roman"/>
                <w:szCs w:val="24"/>
              </w:rPr>
              <w:t xml:space="preserve"> and pediatrics</w:t>
            </w:r>
            <w:r w:rsidRPr="00944B15">
              <w:rPr>
                <w:rFonts w:cs="Times New Roman"/>
                <w:szCs w:val="24"/>
              </w:rPr>
              <w:t>.</w:t>
            </w:r>
          </w:p>
        </w:tc>
      </w:tr>
      <w:tr w:rsidR="00223CE8" w:rsidRPr="00944B15" w14:paraId="79F4B83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48C09A0"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6B5A34AF"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p>
          <w:p w14:paraId="7EA41D8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Treatment of anaemia</w:t>
            </w:r>
            <w:r w:rsidRPr="00944B15">
              <w:rPr>
                <w:rFonts w:cs="Times New Roman"/>
                <w:szCs w:val="24"/>
              </w:rPr>
              <w:t xml:space="preserve">, oral: </w:t>
            </w:r>
          </w:p>
          <w:p w14:paraId="790E8D5A" w14:textId="77777777" w:rsidR="00223CE8" w:rsidRPr="00944B15" w:rsidRDefault="00223CE8" w:rsidP="002D6DD7">
            <w:pPr>
              <w:adjustRightInd w:val="0"/>
              <w:spacing w:after="0"/>
              <w:jc w:val="both"/>
              <w:rPr>
                <w:rFonts w:cs="Times New Roman"/>
                <w:szCs w:val="24"/>
              </w:rPr>
            </w:pPr>
            <w:r w:rsidRPr="00944B15">
              <w:rPr>
                <w:rFonts w:cs="Times New Roman"/>
                <w:szCs w:val="24"/>
              </w:rPr>
              <w:t>elemental iron 120 mg + folic acid 400 micrograms daily for 3 months</w:t>
            </w:r>
          </w:p>
          <w:p w14:paraId="3E519B8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Prevention of iron and folate deficiencies in pregnancy</w:t>
            </w:r>
            <w:r w:rsidRPr="00944B15">
              <w:rPr>
                <w:rFonts w:cs="Times New Roman"/>
                <w:szCs w:val="24"/>
              </w:rPr>
              <w:t xml:space="preserve">, oral: </w:t>
            </w:r>
          </w:p>
          <w:p w14:paraId="5BC837D3" w14:textId="77777777" w:rsidR="00223CE8" w:rsidRPr="00944B15" w:rsidRDefault="00223CE8" w:rsidP="002D6DD7">
            <w:pPr>
              <w:adjustRightInd w:val="0"/>
              <w:spacing w:after="0"/>
              <w:jc w:val="both"/>
              <w:rPr>
                <w:rFonts w:cs="Times New Roman"/>
                <w:szCs w:val="24"/>
              </w:rPr>
            </w:pPr>
            <w:r w:rsidRPr="00944B15">
              <w:rPr>
                <w:rFonts w:cs="Times New Roman"/>
                <w:szCs w:val="24"/>
              </w:rPr>
              <w:t>Elemental iron 100 mg + folic acid 350–400 micrograms daily throughout pregnancy</w:t>
            </w:r>
          </w:p>
          <w:p w14:paraId="2B1272D2"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7DCB9B9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Treatment of anaemia</w:t>
            </w:r>
            <w:r w:rsidRPr="00944B15">
              <w:rPr>
                <w:rFonts w:cs="Times New Roman"/>
                <w:szCs w:val="24"/>
              </w:rPr>
              <w:t>, oral</w:t>
            </w:r>
          </w:p>
          <w:p w14:paraId="071D87C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Child under 2 years</w:t>
            </w:r>
            <w:r w:rsidRPr="00944B15">
              <w:rPr>
                <w:rFonts w:cs="Times New Roman"/>
                <w:szCs w:val="24"/>
              </w:rPr>
              <w:t>: elemental iron 25 mg + folic acid 100–400 micrograms daily for 3 months</w:t>
            </w:r>
          </w:p>
          <w:p w14:paraId="12EF1B3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Child 2–12 years:</w:t>
            </w:r>
            <w:r w:rsidRPr="00944B15">
              <w:rPr>
                <w:rFonts w:cs="Times New Roman"/>
                <w:szCs w:val="24"/>
              </w:rPr>
              <w:t xml:space="preserve"> elemental iron 60 mg + folic acid 400 micrograms </w:t>
            </w:r>
            <w:r w:rsidRPr="00944B15">
              <w:rPr>
                <w:rFonts w:cs="Times New Roman"/>
                <w:szCs w:val="24"/>
              </w:rPr>
              <w:lastRenderedPageBreak/>
              <w:t>daily for 3 months</w:t>
            </w:r>
          </w:p>
        </w:tc>
      </w:tr>
      <w:tr w:rsidR="00223CE8" w:rsidRPr="00944B15" w14:paraId="5D8D544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C4D0E7F"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7331EE3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Hemochromatosis, hemosiderosis and haemolytic anaemia</w:t>
            </w:r>
          </w:p>
        </w:tc>
      </w:tr>
      <w:tr w:rsidR="00223CE8" w:rsidRPr="00944B15" w14:paraId="5577F9D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1E80C61"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0E2FA92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Penicillamine, chloramphenicol, quinolones</w:t>
            </w:r>
            <w:r>
              <w:rPr>
                <w:rFonts w:cs="Times New Roman"/>
                <w:szCs w:val="24"/>
              </w:rPr>
              <w:t xml:space="preserve">, </w:t>
            </w:r>
            <w:r w:rsidRPr="00944B15">
              <w:rPr>
                <w:rFonts w:cs="Times New Roman"/>
                <w:szCs w:val="24"/>
              </w:rPr>
              <w:t>bisphosphonates (e.g., alendronate), levodopa, methyldopa, thyroid replacement drugs (e.g., levothyroxine) antacids, histamine 2 blockers, PPIs, and phenytoin.</w:t>
            </w:r>
          </w:p>
        </w:tc>
      </w:tr>
      <w:tr w:rsidR="00223CE8" w:rsidRPr="00944B15" w14:paraId="2199DA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B8259C"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1187CB9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Constipation, diarrhoea, stomach cramps, or upset stomach, darkened stools, cough with blood, nausea and vomiting.</w:t>
            </w:r>
          </w:p>
        </w:tc>
      </w:tr>
      <w:tr w:rsidR="00223CE8" w:rsidRPr="00944B15" w14:paraId="182D6BC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72D6CE"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1EA76DD6" w14:textId="77777777" w:rsidR="00223CE8" w:rsidRPr="00944B15" w:rsidRDefault="00223CE8" w:rsidP="002D6DD7">
            <w:pPr>
              <w:spacing w:after="0"/>
              <w:jc w:val="both"/>
              <w:rPr>
                <w:rFonts w:cs="Times New Roman"/>
                <w:szCs w:val="24"/>
              </w:rPr>
            </w:pPr>
            <w:r w:rsidRPr="00944B15">
              <w:rPr>
                <w:rFonts w:cs="Times New Roman"/>
                <w:szCs w:val="24"/>
              </w:rPr>
              <w:t>Peptic ulcer, ulcerative colitis and diverticular disease.</w:t>
            </w:r>
          </w:p>
        </w:tc>
      </w:tr>
      <w:tr w:rsidR="00223CE8" w:rsidRPr="00944B15" w14:paraId="5DC8876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8CA49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2B93BD0E" w14:textId="77777777" w:rsidR="00223CE8" w:rsidRPr="00944B15" w:rsidRDefault="00223CE8" w:rsidP="002D6DD7">
            <w:pPr>
              <w:spacing w:after="0"/>
              <w:jc w:val="both"/>
              <w:rPr>
                <w:rFonts w:cs="Times New Roman"/>
                <w:szCs w:val="24"/>
              </w:rPr>
            </w:pPr>
            <w:r w:rsidRPr="00944B15">
              <w:rPr>
                <w:rFonts w:cs="Times New Roman"/>
                <w:szCs w:val="24"/>
              </w:rPr>
              <w:t>Store at temperature not exceeding 30°C. Protect from light and moisture.</w:t>
            </w:r>
          </w:p>
        </w:tc>
      </w:tr>
      <w:tr w:rsidR="00223CE8" w:rsidRPr="00944B15" w14:paraId="02EA9CEB"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70FF0834" w14:textId="77777777" w:rsidR="00223CE8" w:rsidRPr="00944B15" w:rsidRDefault="00223CE8" w:rsidP="002D6DD7">
            <w:pPr>
              <w:spacing w:after="0"/>
              <w:jc w:val="both"/>
              <w:rPr>
                <w:rFonts w:cs="Times New Roman"/>
                <w:b/>
                <w:szCs w:val="24"/>
              </w:rPr>
            </w:pPr>
            <w:r w:rsidRPr="00944B15">
              <w:rPr>
                <w:rFonts w:cs="Times New Roman"/>
                <w:b/>
                <w:szCs w:val="24"/>
              </w:rPr>
              <w:t>Folic acid</w:t>
            </w:r>
          </w:p>
        </w:tc>
      </w:tr>
      <w:tr w:rsidR="00223CE8" w:rsidRPr="00944B15" w14:paraId="1B7F4005" w14:textId="77777777" w:rsidTr="002D6DD7">
        <w:trPr>
          <w:trHeight w:val="46"/>
        </w:trPr>
        <w:tc>
          <w:tcPr>
            <w:tcW w:w="2605" w:type="dxa"/>
            <w:tcBorders>
              <w:top w:val="single" w:sz="4" w:space="0" w:color="auto"/>
              <w:left w:val="single" w:sz="4" w:space="0" w:color="auto"/>
              <w:bottom w:val="single" w:sz="4" w:space="0" w:color="auto"/>
              <w:right w:val="single" w:sz="4" w:space="0" w:color="auto"/>
            </w:tcBorders>
            <w:hideMark/>
          </w:tcPr>
          <w:p w14:paraId="7D9297BE"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7BD452F3" w14:textId="77777777" w:rsidR="00223CE8" w:rsidRPr="00944B15" w:rsidRDefault="00223CE8" w:rsidP="002D6DD7">
            <w:pPr>
              <w:spacing w:after="0"/>
              <w:jc w:val="both"/>
              <w:rPr>
                <w:rFonts w:cs="Times New Roman"/>
                <w:szCs w:val="24"/>
              </w:rPr>
            </w:pPr>
            <w:r w:rsidRPr="00944B15">
              <w:rPr>
                <w:rFonts w:cs="Times New Roman"/>
                <w:szCs w:val="24"/>
              </w:rPr>
              <w:t xml:space="preserve">Vitamin B, Anti-anaemic </w:t>
            </w:r>
          </w:p>
        </w:tc>
      </w:tr>
      <w:tr w:rsidR="00223CE8" w:rsidRPr="00944B15" w14:paraId="3039031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C7D083"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3B97237B" w14:textId="77777777" w:rsidR="00223CE8" w:rsidRPr="00944B15" w:rsidRDefault="00223CE8" w:rsidP="002D6DD7">
            <w:pPr>
              <w:spacing w:after="0"/>
              <w:jc w:val="both"/>
              <w:rPr>
                <w:rFonts w:cs="Times New Roman"/>
                <w:szCs w:val="24"/>
              </w:rPr>
            </w:pPr>
            <w:r w:rsidRPr="00944B15">
              <w:rPr>
                <w:rFonts w:cs="Times New Roman"/>
                <w:szCs w:val="24"/>
              </w:rPr>
              <w:t>Tablet: 400 micrograms, 800mcg,1 mg; 5 mg</w:t>
            </w:r>
          </w:p>
        </w:tc>
      </w:tr>
      <w:tr w:rsidR="00223CE8" w:rsidRPr="00944B15" w14:paraId="50ABF2F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39832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3768F5D6" w14:textId="77777777" w:rsidR="00223CE8" w:rsidRPr="00944B15" w:rsidRDefault="00223CE8" w:rsidP="002D6DD7">
            <w:pPr>
              <w:spacing w:after="0"/>
              <w:jc w:val="both"/>
              <w:rPr>
                <w:rFonts w:cs="Times New Roman"/>
                <w:szCs w:val="24"/>
              </w:rPr>
            </w:pPr>
            <w:r w:rsidRPr="00944B15">
              <w:rPr>
                <w:rFonts w:cs="Times New Roman"/>
                <w:szCs w:val="24"/>
              </w:rPr>
              <w:t>Treatment of megaloblastic anaemia due to folic acid deficiency, prevention of neural tube defect in pregnancy and prophylaxis in chronic haemolytic states in renal dialysis, and in drug induced folate deficiency.</w:t>
            </w:r>
          </w:p>
        </w:tc>
      </w:tr>
      <w:tr w:rsidR="00223CE8" w:rsidRPr="00944B15" w14:paraId="512250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9436CE"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24077792"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p>
          <w:p w14:paraId="4D82E3E5"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Folate-deficiency, megaloblastic anaemia, oral</w:t>
            </w:r>
            <w:r w:rsidRPr="00944B15">
              <w:rPr>
                <w:rFonts w:eastAsia="Candara-Italic" w:cs="Times New Roman"/>
                <w:iCs/>
                <w:szCs w:val="24"/>
              </w:rPr>
              <w:t>:</w:t>
            </w:r>
          </w:p>
          <w:p w14:paraId="316DA973" w14:textId="77777777" w:rsidR="00223CE8" w:rsidRPr="00944B15" w:rsidRDefault="00223CE8" w:rsidP="002D6DD7">
            <w:pPr>
              <w:adjustRightInd w:val="0"/>
              <w:spacing w:after="0"/>
              <w:jc w:val="both"/>
              <w:rPr>
                <w:rFonts w:cs="Times New Roman"/>
                <w:szCs w:val="24"/>
              </w:rPr>
            </w:pPr>
            <w:r w:rsidRPr="00944B15">
              <w:rPr>
                <w:rFonts w:cs="Times New Roman"/>
                <w:szCs w:val="24"/>
              </w:rPr>
              <w:t>5 mg daily for 4 months (in pregnancy continued to term), up to 15mg daily may be necessary in malabsorption states</w:t>
            </w:r>
          </w:p>
          <w:p w14:paraId="570A71C6"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iCs/>
                <w:szCs w:val="24"/>
              </w:rPr>
              <w:t>Prevention of first occurrence of neural tube defects, oral</w:t>
            </w:r>
            <w:r w:rsidRPr="00944B15">
              <w:rPr>
                <w:rFonts w:eastAsia="Candara-Italic" w:cs="Times New Roman"/>
                <w:szCs w:val="24"/>
              </w:rPr>
              <w:t>:</w:t>
            </w:r>
          </w:p>
          <w:p w14:paraId="46BBA055"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szCs w:val="24"/>
              </w:rPr>
              <w:t xml:space="preserve"> 400 micrograms daily before conception and during the first 12 weeks of pregnancy</w:t>
            </w:r>
            <w:r>
              <w:rPr>
                <w:rFonts w:eastAsia="Candara-Italic" w:cs="Times New Roman"/>
                <w:szCs w:val="24"/>
              </w:rPr>
              <w:t xml:space="preserve"> for </w:t>
            </w:r>
            <w:r w:rsidRPr="00944B15">
              <w:rPr>
                <w:rFonts w:eastAsia="Candara-Italic" w:cs="Times New Roman"/>
                <w:szCs w:val="24"/>
              </w:rPr>
              <w:t>at least 4 weeks before conception until 12th week of pregnancy</w:t>
            </w:r>
            <w:r>
              <w:rPr>
                <w:rFonts w:eastAsia="Candara-Italic" w:cs="Times New Roman"/>
                <w:szCs w:val="24"/>
              </w:rPr>
              <w:t>.</w:t>
            </w:r>
          </w:p>
          <w:p w14:paraId="2702A9D5"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Prevention of recurrence of neural tube defects, oral</w:t>
            </w:r>
            <w:r w:rsidRPr="00944B15">
              <w:rPr>
                <w:rFonts w:eastAsia="Candara-Italic" w:cs="Times New Roman"/>
                <w:iCs/>
                <w:szCs w:val="24"/>
              </w:rPr>
              <w:t xml:space="preserve">: </w:t>
            </w:r>
          </w:p>
          <w:p w14:paraId="2C3A18C3"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5 mg daily (reduce to 4 mg daily, if suitable preparation available) f</w:t>
            </w:r>
            <w:r>
              <w:rPr>
                <w:rFonts w:eastAsia="Candara-Italic" w:cs="Times New Roman"/>
                <w:szCs w:val="24"/>
              </w:rPr>
              <w:t>or</w:t>
            </w:r>
            <w:r w:rsidRPr="00944B15">
              <w:rPr>
                <w:rFonts w:eastAsia="Candara-Italic" w:cs="Times New Roman"/>
                <w:szCs w:val="24"/>
              </w:rPr>
              <w:t xml:space="preserve"> at least 4 weeks before conception until 12th week of pregnancy</w:t>
            </w:r>
          </w:p>
          <w:p w14:paraId="4BD4B626"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in chronic haemolytic states, oral</w:t>
            </w:r>
          </w:p>
          <w:p w14:paraId="3A5CAA52"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5 mg every 1–7 days, frequency dependent on underlying disease</w:t>
            </w:r>
          </w:p>
          <w:p w14:paraId="0FFECF74"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of folate deficiency in dialysis, oral</w:t>
            </w:r>
          </w:p>
          <w:p w14:paraId="3D694971"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lastRenderedPageBreak/>
              <w:t>5 mg every 1–7 days</w:t>
            </w:r>
          </w:p>
          <w:p w14:paraId="0B3345A7"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of folate deficiency in patients receiving parenteral nutrition, IV infusion</w:t>
            </w:r>
          </w:p>
          <w:p w14:paraId="4903C3BA"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15 mg 1–2 times a week, usually given by IV infusion in the parenteral nutrition solution</w:t>
            </w:r>
          </w:p>
          <w:p w14:paraId="307888EB"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1B296AC0"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Folate deficiency, megaloblastic anaemia, oral</w:t>
            </w:r>
            <w:r w:rsidRPr="00944B15">
              <w:rPr>
                <w:rFonts w:eastAsia="Candara-Italic" w:cs="Times New Roman"/>
                <w:iCs/>
                <w:szCs w:val="24"/>
              </w:rPr>
              <w:t>:</w:t>
            </w:r>
          </w:p>
          <w:p w14:paraId="1EF1174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Neonate </w:t>
            </w:r>
            <w:r w:rsidRPr="00944B15">
              <w:rPr>
                <w:rFonts w:cs="Times New Roman"/>
                <w:b/>
                <w:szCs w:val="24"/>
              </w:rPr>
              <w:t xml:space="preserve">to </w:t>
            </w:r>
            <w:r w:rsidRPr="00944B15">
              <w:rPr>
                <w:rFonts w:cs="Times New Roman"/>
                <w:b/>
                <w:bCs/>
                <w:szCs w:val="24"/>
              </w:rPr>
              <w:t>child 1 year</w:t>
            </w:r>
            <w:r w:rsidRPr="00944B15">
              <w:rPr>
                <w:rFonts w:cs="Times New Roman"/>
                <w:szCs w:val="24"/>
              </w:rPr>
              <w:t>: Initially 500 micrograms/ kg (maximum 5 mg) once daily for up to 4 months; up to 10 mg once daily may be required in malabsorption states</w:t>
            </w:r>
          </w:p>
          <w:p w14:paraId="2215C16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over 1 year: </w:t>
            </w:r>
            <w:r w:rsidRPr="00944B15">
              <w:rPr>
                <w:rFonts w:cs="Times New Roman"/>
                <w:szCs w:val="24"/>
              </w:rPr>
              <w:t>5 mg daily for 4 months; up to 15 mg daily may be required in malabsorption states</w:t>
            </w:r>
          </w:p>
          <w:p w14:paraId="37A85286"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Haemolytic anaemia, oral:</w:t>
            </w:r>
          </w:p>
          <w:p w14:paraId="4F729F91"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cs="Times New Roman"/>
                <w:b/>
                <w:bCs/>
                <w:szCs w:val="24"/>
              </w:rPr>
              <w:t xml:space="preserve">Child 1 month–12 years: </w:t>
            </w:r>
            <w:r w:rsidRPr="00944B15">
              <w:rPr>
                <w:rFonts w:cs="Times New Roman"/>
                <w:szCs w:val="24"/>
              </w:rPr>
              <w:t>2.5–5 mg once daily</w:t>
            </w:r>
          </w:p>
          <w:p w14:paraId="7B60630D"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of folate deficiency in dialysis</w:t>
            </w:r>
          </w:p>
          <w:p w14:paraId="3BC4E0B6"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Child 1 month–11 years:</w:t>
            </w:r>
            <w:r w:rsidRPr="00944B15">
              <w:rPr>
                <w:rFonts w:eastAsia="Candara-Italic" w:cs="Times New Roman"/>
                <w:szCs w:val="24"/>
              </w:rPr>
              <w:t xml:space="preserve"> 250 micrograms/kg once daily (max. per dose 10 mg)</w:t>
            </w:r>
          </w:p>
          <w:p w14:paraId="0AED6AAE"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Child 12–17 years:</w:t>
            </w:r>
            <w:r w:rsidRPr="00944B15">
              <w:rPr>
                <w:rFonts w:eastAsia="Candara-Italic" w:cs="Times New Roman"/>
                <w:szCs w:val="24"/>
              </w:rPr>
              <w:t xml:space="preserve"> 5–10 mg once daily</w:t>
            </w:r>
          </w:p>
        </w:tc>
      </w:tr>
      <w:tr w:rsidR="00223CE8" w:rsidRPr="00944B15" w14:paraId="31666BE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736C4A"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tcPr>
          <w:p w14:paraId="630E29C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Refer to folic acid under vitamins and minerals</w:t>
            </w:r>
          </w:p>
        </w:tc>
      </w:tr>
      <w:tr w:rsidR="00223CE8" w:rsidRPr="00944B15" w14:paraId="7C04715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471D64"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tcPr>
          <w:p w14:paraId="603F6B4E" w14:textId="77777777" w:rsidR="00223CE8" w:rsidRDefault="00223CE8" w:rsidP="002D6DD7">
            <w:r w:rsidRPr="0056582B">
              <w:rPr>
                <w:rFonts w:cs="Times New Roman"/>
                <w:szCs w:val="24"/>
              </w:rPr>
              <w:t>Refer to folic acid under vitamins and minerals</w:t>
            </w:r>
          </w:p>
        </w:tc>
      </w:tr>
      <w:tr w:rsidR="00223CE8" w:rsidRPr="00944B15" w14:paraId="6806777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17D06EC"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tcPr>
          <w:p w14:paraId="447F705D" w14:textId="77777777" w:rsidR="00223CE8" w:rsidRDefault="00223CE8" w:rsidP="002D6DD7">
            <w:r w:rsidRPr="0056582B">
              <w:rPr>
                <w:rFonts w:cs="Times New Roman"/>
                <w:szCs w:val="24"/>
              </w:rPr>
              <w:t>Refer to folic acid under vitamins and minerals</w:t>
            </w:r>
          </w:p>
        </w:tc>
      </w:tr>
      <w:tr w:rsidR="00223CE8" w:rsidRPr="00944B15" w14:paraId="4C8D85D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21648C"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tcPr>
          <w:p w14:paraId="2B1B2CAC" w14:textId="77777777" w:rsidR="00223CE8" w:rsidRDefault="00223CE8" w:rsidP="002D6DD7">
            <w:r w:rsidRPr="0056582B">
              <w:rPr>
                <w:rFonts w:cs="Times New Roman"/>
                <w:szCs w:val="24"/>
              </w:rPr>
              <w:t>Refer to folic acid under vitamins and minerals</w:t>
            </w:r>
          </w:p>
        </w:tc>
      </w:tr>
      <w:tr w:rsidR="00223CE8" w:rsidRPr="00944B15" w14:paraId="560D247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C54949F"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03D679D9" w14:textId="77777777" w:rsidR="00223CE8" w:rsidRPr="00944B15" w:rsidRDefault="00223CE8" w:rsidP="002D6DD7">
            <w:pPr>
              <w:spacing w:after="0"/>
              <w:jc w:val="both"/>
              <w:rPr>
                <w:rFonts w:cs="Times New Roman"/>
                <w:szCs w:val="24"/>
              </w:rPr>
            </w:pPr>
            <w:r>
              <w:rPr>
                <w:rFonts w:cs="Times New Roman"/>
                <w:szCs w:val="24"/>
              </w:rPr>
              <w:t>Store below 30°C. Pr</w:t>
            </w:r>
            <w:r w:rsidRPr="00944B15">
              <w:rPr>
                <w:rFonts w:cs="Times New Roman"/>
                <w:szCs w:val="24"/>
              </w:rPr>
              <w:t xml:space="preserve">otect from light and moisture. </w:t>
            </w:r>
          </w:p>
        </w:tc>
      </w:tr>
      <w:tr w:rsidR="00223CE8" w:rsidRPr="00944B15" w14:paraId="251CA3CE" w14:textId="77777777" w:rsidTr="002D6DD7">
        <w:trPr>
          <w:trHeight w:val="46"/>
        </w:trPr>
        <w:tc>
          <w:tcPr>
            <w:tcW w:w="9805" w:type="dxa"/>
            <w:gridSpan w:val="2"/>
            <w:tcBorders>
              <w:top w:val="single" w:sz="4" w:space="0" w:color="auto"/>
              <w:left w:val="single" w:sz="4" w:space="0" w:color="auto"/>
              <w:bottom w:val="single" w:sz="4" w:space="0" w:color="auto"/>
              <w:right w:val="single" w:sz="4" w:space="0" w:color="auto"/>
            </w:tcBorders>
            <w:hideMark/>
          </w:tcPr>
          <w:p w14:paraId="513CD0A1" w14:textId="77777777" w:rsidR="00223CE8" w:rsidRPr="00944B15" w:rsidRDefault="00223CE8" w:rsidP="002D6DD7">
            <w:pPr>
              <w:spacing w:after="0"/>
              <w:jc w:val="both"/>
              <w:rPr>
                <w:rFonts w:cs="Times New Roman"/>
                <w:b/>
                <w:szCs w:val="24"/>
              </w:rPr>
            </w:pPr>
            <w:r w:rsidRPr="00944B15">
              <w:rPr>
                <w:rFonts w:cs="Times New Roman"/>
                <w:b/>
                <w:szCs w:val="24"/>
              </w:rPr>
              <w:t>Iron dextran</w:t>
            </w:r>
          </w:p>
        </w:tc>
      </w:tr>
      <w:tr w:rsidR="00223CE8" w:rsidRPr="00944B15" w14:paraId="3064142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6C4DE37"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598DCFA7" w14:textId="77777777" w:rsidR="00223CE8" w:rsidRPr="00944B15" w:rsidRDefault="00223CE8" w:rsidP="002D6DD7">
            <w:pPr>
              <w:spacing w:after="0"/>
              <w:jc w:val="both"/>
              <w:rPr>
                <w:rFonts w:cs="Times New Roman"/>
                <w:szCs w:val="24"/>
              </w:rPr>
            </w:pPr>
            <w:r>
              <w:rPr>
                <w:rFonts w:cs="Times New Roman"/>
                <w:szCs w:val="24"/>
              </w:rPr>
              <w:t>Iron products, a</w:t>
            </w:r>
            <w:r w:rsidRPr="00944B15">
              <w:rPr>
                <w:rFonts w:cs="Times New Roman"/>
                <w:szCs w:val="24"/>
              </w:rPr>
              <w:t>nti-anaemics</w:t>
            </w:r>
          </w:p>
        </w:tc>
      </w:tr>
      <w:tr w:rsidR="00223CE8" w:rsidRPr="00944B15" w14:paraId="4133FEF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6712B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2F4690F6" w14:textId="77777777" w:rsidR="00223CE8" w:rsidRPr="00944B15" w:rsidRDefault="00223CE8" w:rsidP="002D6DD7">
            <w:pPr>
              <w:spacing w:after="0"/>
              <w:jc w:val="both"/>
              <w:rPr>
                <w:rFonts w:cs="Times New Roman"/>
                <w:szCs w:val="24"/>
              </w:rPr>
            </w:pPr>
            <w:r w:rsidRPr="00944B15">
              <w:rPr>
                <w:rFonts w:cs="Times New Roman"/>
                <w:bCs/>
                <w:szCs w:val="24"/>
              </w:rPr>
              <w:t>Injection, 50mg/</w:t>
            </w:r>
            <w:r>
              <w:rPr>
                <w:rFonts w:cs="Times New Roman"/>
                <w:bCs/>
                <w:szCs w:val="24"/>
              </w:rPr>
              <w:t>ml</w:t>
            </w:r>
            <w:r w:rsidRPr="00944B15">
              <w:rPr>
                <w:rFonts w:cs="Times New Roman"/>
                <w:bCs/>
                <w:szCs w:val="24"/>
              </w:rPr>
              <w:t xml:space="preserve"> </w:t>
            </w:r>
          </w:p>
        </w:tc>
      </w:tr>
      <w:tr w:rsidR="00223CE8" w:rsidRPr="00944B15" w14:paraId="43B7515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C91C28"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7849D683"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For the treatment of iron deficiency anaemia.</w:t>
            </w:r>
          </w:p>
        </w:tc>
      </w:tr>
      <w:tr w:rsidR="00223CE8" w:rsidRPr="00944B15" w14:paraId="45B2FD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B81074"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325C2588"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 xml:space="preserve">Adult: </w:t>
            </w:r>
          </w:p>
          <w:p w14:paraId="1418A1C2"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Doses calculated according to body weight and iron deficit </w:t>
            </w:r>
          </w:p>
          <w:p w14:paraId="100250AB"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lastRenderedPageBreak/>
              <w:t xml:space="preserve">IV: 25-100 mg, not to exceed 100 mg (2 </w:t>
            </w:r>
            <w:r>
              <w:rPr>
                <w:rFonts w:eastAsia="Candara-Italic" w:cs="Times New Roman"/>
                <w:szCs w:val="24"/>
              </w:rPr>
              <w:t>ml</w:t>
            </w:r>
            <w:r w:rsidRPr="00944B15">
              <w:rPr>
                <w:rFonts w:eastAsia="Candara-Italic" w:cs="Times New Roman"/>
                <w:szCs w:val="24"/>
              </w:rPr>
              <w:t>)/day</w:t>
            </w:r>
          </w:p>
          <w:p w14:paraId="43DD64A5"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IM (deep) :25-100 mg qDay PRN, not to exceed 100 mg (2 </w:t>
            </w:r>
            <w:r>
              <w:rPr>
                <w:rFonts w:eastAsia="Candara-Italic" w:cs="Times New Roman"/>
                <w:szCs w:val="24"/>
              </w:rPr>
              <w:t>ml</w:t>
            </w:r>
            <w:r w:rsidRPr="00944B15">
              <w:rPr>
                <w:rFonts w:eastAsia="Candara-Italic" w:cs="Times New Roman"/>
                <w:szCs w:val="24"/>
              </w:rPr>
              <w:t>)/day</w:t>
            </w:r>
          </w:p>
          <w:p w14:paraId="1F6AF472"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The normal recommended dosage schedule is 100-200 mg iron corresponding to 2-4 </w:t>
            </w:r>
            <w:r>
              <w:rPr>
                <w:rFonts w:eastAsia="Candara-Italic" w:cs="Times New Roman"/>
                <w:szCs w:val="24"/>
              </w:rPr>
              <w:t>ml</w:t>
            </w:r>
            <w:r w:rsidRPr="00944B15">
              <w:rPr>
                <w:rFonts w:eastAsia="Candara-Italic" w:cs="Times New Roman"/>
                <w:szCs w:val="24"/>
              </w:rPr>
              <w:t>, two or three times a week depending on the haemoglobin level.</w:t>
            </w:r>
          </w:p>
          <w:p w14:paraId="65307F78" w14:textId="77777777" w:rsidR="00223CE8" w:rsidRPr="00944B15" w:rsidRDefault="00223CE8" w:rsidP="002D6DD7">
            <w:pPr>
              <w:pStyle w:val="ListParagraph"/>
              <w:adjustRightInd w:val="0"/>
              <w:spacing w:line="360" w:lineRule="auto"/>
              <w:ind w:left="0" w:firstLine="0"/>
              <w:rPr>
                <w:rFonts w:eastAsia="Candara-Italic"/>
                <w:szCs w:val="24"/>
              </w:rPr>
            </w:pPr>
            <w:r w:rsidRPr="00944B15">
              <w:rPr>
                <w:rFonts w:eastAsia="Candara-Italic"/>
                <w:b/>
                <w:szCs w:val="24"/>
              </w:rPr>
              <w:t xml:space="preserve">Total dose (mg Fe) – </w:t>
            </w:r>
            <w:r w:rsidRPr="00944B15">
              <w:rPr>
                <w:rFonts w:eastAsia="Candara-Italic"/>
                <w:szCs w:val="24"/>
              </w:rPr>
              <w:t>Hb in g/</w:t>
            </w:r>
            <w:r>
              <w:rPr>
                <w:rFonts w:eastAsia="Candara-Italic"/>
                <w:szCs w:val="24"/>
              </w:rPr>
              <w:t>dl</w:t>
            </w:r>
            <w:r w:rsidRPr="00944B15">
              <w:rPr>
                <w:rFonts w:eastAsia="Candara-Italic"/>
                <w:szCs w:val="24"/>
              </w:rPr>
              <w:t>: (Body weight (kg) x (target Hb - actual Hb) (g/</w:t>
            </w:r>
            <w:r>
              <w:rPr>
                <w:rFonts w:eastAsia="Candara-Italic"/>
                <w:szCs w:val="24"/>
              </w:rPr>
              <w:t>d</w:t>
            </w:r>
            <w:r w:rsidRPr="00944B15">
              <w:rPr>
                <w:rFonts w:eastAsia="Candara-Italic"/>
                <w:szCs w:val="24"/>
              </w:rPr>
              <w:t>l) x 0.24) + mg iron for iron stores</w:t>
            </w:r>
          </w:p>
          <w:p w14:paraId="1097186E" w14:textId="77777777" w:rsidR="00223CE8" w:rsidRDefault="00223CE8" w:rsidP="002D6DD7">
            <w:pPr>
              <w:pStyle w:val="ListParagraph"/>
              <w:adjustRightInd w:val="0"/>
              <w:spacing w:line="360" w:lineRule="auto"/>
              <w:ind w:left="0" w:firstLine="0"/>
              <w:rPr>
                <w:rFonts w:eastAsia="Candara-Italic"/>
                <w:szCs w:val="24"/>
              </w:rPr>
            </w:pPr>
            <w:r w:rsidRPr="00944B15">
              <w:rPr>
                <w:rFonts w:eastAsia="Candara-Italic"/>
                <w:b/>
                <w:szCs w:val="24"/>
              </w:rPr>
              <w:t>Total dose (mg Fe)</w:t>
            </w:r>
            <w:r w:rsidRPr="00944B15">
              <w:rPr>
                <w:rFonts w:eastAsia="Candara-Italic"/>
                <w:szCs w:val="24"/>
              </w:rPr>
              <w:t xml:space="preserve"> – Hb in mmol/l: Body weight in kg x (target Hb in mmol/l – actual Hb in mmol/l) x 3.84 + mg iron for iron stores.</w:t>
            </w:r>
          </w:p>
          <w:p w14:paraId="0F90F4C7" w14:textId="77777777" w:rsidR="00223CE8" w:rsidRDefault="00223CE8" w:rsidP="002D6DD7">
            <w:pPr>
              <w:pStyle w:val="ListParagraph"/>
              <w:adjustRightInd w:val="0"/>
              <w:spacing w:line="360" w:lineRule="auto"/>
              <w:ind w:left="0" w:firstLine="0"/>
              <w:rPr>
                <w:rFonts w:eastAsia="Candara-Italic"/>
                <w:b/>
                <w:szCs w:val="24"/>
              </w:rPr>
            </w:pPr>
            <w:r>
              <w:rPr>
                <w:rFonts w:eastAsia="Candara-Italic"/>
                <w:b/>
                <w:szCs w:val="24"/>
              </w:rPr>
              <w:t xml:space="preserve">Pediatric: </w:t>
            </w:r>
          </w:p>
          <w:p w14:paraId="470B2E57" w14:textId="77777777" w:rsidR="00223CE8" w:rsidRDefault="00223CE8" w:rsidP="002D6DD7">
            <w:pPr>
              <w:pStyle w:val="ListParagraph"/>
              <w:adjustRightInd w:val="0"/>
              <w:spacing w:line="360" w:lineRule="auto"/>
              <w:ind w:left="0" w:firstLine="0"/>
              <w:rPr>
                <w:rFonts w:eastAsia="Candara-Italic"/>
                <w:szCs w:val="24"/>
              </w:rPr>
            </w:pPr>
            <w:r w:rsidRPr="00D76338">
              <w:rPr>
                <w:rFonts w:eastAsia="Candara-Italic"/>
                <w:b/>
                <w:szCs w:val="24"/>
              </w:rPr>
              <w:t xml:space="preserve">Age </w:t>
            </w:r>
            <w:r w:rsidRPr="00D76338">
              <w:rPr>
                <w:rFonts w:eastAsia="Candara-Italic"/>
                <w:b/>
                <w:szCs w:val="24"/>
                <w:u w:val="single"/>
              </w:rPr>
              <w:t>&gt;</w:t>
            </w:r>
            <w:r w:rsidRPr="00D76338">
              <w:rPr>
                <w:rFonts w:eastAsia="Candara-Italic"/>
                <w:b/>
                <w:szCs w:val="24"/>
              </w:rPr>
              <w:t xml:space="preserve"> 4month (&lt;10kg):</w:t>
            </w:r>
            <w:r>
              <w:rPr>
                <w:rFonts w:eastAsia="Candara-Italic"/>
                <w:szCs w:val="24"/>
              </w:rPr>
              <w:t xml:space="preserve"> 10mg (0.2ml)</w:t>
            </w:r>
          </w:p>
          <w:p w14:paraId="12FD945A" w14:textId="77777777" w:rsidR="00223CE8" w:rsidRDefault="00223CE8" w:rsidP="002D6DD7">
            <w:pPr>
              <w:pStyle w:val="ListParagraph"/>
              <w:adjustRightInd w:val="0"/>
              <w:spacing w:line="360" w:lineRule="auto"/>
              <w:ind w:left="0" w:firstLine="0"/>
              <w:rPr>
                <w:rFonts w:eastAsia="Candara-Italic"/>
                <w:szCs w:val="24"/>
              </w:rPr>
            </w:pPr>
            <w:r w:rsidRPr="00D76338">
              <w:rPr>
                <w:rFonts w:eastAsia="Candara-Italic"/>
                <w:b/>
                <w:szCs w:val="24"/>
              </w:rPr>
              <w:t>Children:</w:t>
            </w:r>
            <w:r>
              <w:rPr>
                <w:rFonts w:eastAsia="Candara-Italic"/>
                <w:szCs w:val="24"/>
              </w:rPr>
              <w:t xml:space="preserve"> 10- 20kg: 15mg</w:t>
            </w:r>
            <w:r w:rsidR="00933933">
              <w:rPr>
                <w:rFonts w:eastAsia="Candara-Italic"/>
                <w:szCs w:val="24"/>
              </w:rPr>
              <w:t xml:space="preserve"> </w:t>
            </w:r>
            <w:r>
              <w:rPr>
                <w:rFonts w:eastAsia="Candara-Italic"/>
                <w:szCs w:val="24"/>
              </w:rPr>
              <w:t>(0.3ml)</w:t>
            </w:r>
          </w:p>
          <w:p w14:paraId="253104E2" w14:textId="77777777" w:rsidR="00223CE8" w:rsidRDefault="00223CE8" w:rsidP="002D6DD7">
            <w:pPr>
              <w:pStyle w:val="ListParagraph"/>
              <w:adjustRightInd w:val="0"/>
              <w:spacing w:line="360" w:lineRule="auto"/>
              <w:ind w:left="0" w:firstLine="0"/>
              <w:rPr>
                <w:rFonts w:eastAsia="Candara-Italic"/>
                <w:szCs w:val="24"/>
              </w:rPr>
            </w:pPr>
            <w:r w:rsidRPr="00D76338">
              <w:rPr>
                <w:rFonts w:eastAsia="Candara-Italic"/>
                <w:b/>
                <w:szCs w:val="24"/>
              </w:rPr>
              <w:t>Children &gt; 20kg and adolescent:</w:t>
            </w:r>
            <w:r>
              <w:rPr>
                <w:rFonts w:eastAsia="Candara-Italic"/>
                <w:szCs w:val="24"/>
              </w:rPr>
              <w:t xml:space="preserve"> 25mg (0.5ml).</w:t>
            </w:r>
          </w:p>
          <w:p w14:paraId="649510D1" w14:textId="77777777" w:rsidR="00223CE8" w:rsidRPr="00AC374E" w:rsidRDefault="00223CE8" w:rsidP="002D6DD7">
            <w:pPr>
              <w:pStyle w:val="ListParagraph"/>
              <w:adjustRightInd w:val="0"/>
              <w:spacing w:line="360" w:lineRule="auto"/>
              <w:ind w:left="0" w:firstLine="0"/>
              <w:rPr>
                <w:rFonts w:eastAsia="Candara-Italic"/>
                <w:szCs w:val="24"/>
              </w:rPr>
            </w:pPr>
            <w:r w:rsidRPr="00D76338">
              <w:rPr>
                <w:rFonts w:eastAsia="Candara-Italic"/>
                <w:b/>
                <w:szCs w:val="24"/>
              </w:rPr>
              <w:t>Test dose:</w:t>
            </w:r>
            <w:r>
              <w:rPr>
                <w:rFonts w:eastAsia="Candara-Italic"/>
                <w:szCs w:val="24"/>
              </w:rPr>
              <w:t xml:space="preserve"> 10- 2mg (0.2 -0.5ml) administered prior to optimal dose</w:t>
            </w:r>
          </w:p>
        </w:tc>
      </w:tr>
      <w:tr w:rsidR="00223CE8" w:rsidRPr="00944B15" w14:paraId="71FA9A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EA23DAC"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3124F5E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Known hypersensitivity </w:t>
            </w:r>
            <w:r>
              <w:rPr>
                <w:rFonts w:cs="Times New Roman"/>
                <w:szCs w:val="24"/>
              </w:rPr>
              <w:t>the drug</w:t>
            </w:r>
            <w:r w:rsidRPr="00944B15">
              <w:rPr>
                <w:rFonts w:cs="Times New Roman"/>
                <w:szCs w:val="24"/>
              </w:rPr>
              <w:t>, haemolytic anaemia, haemochromatosis, hemosiderosis, decompensated liver cirrhosis and hepatitis, acute or chronic infection and acute renal failure.</w:t>
            </w:r>
          </w:p>
        </w:tc>
      </w:tr>
      <w:tr w:rsidR="00223CE8" w:rsidRPr="00944B15" w14:paraId="16B0012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F3C2BB"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63823EC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O</w:t>
            </w:r>
            <w:r w:rsidRPr="00944B15">
              <w:rPr>
                <w:rFonts w:cs="Times New Roman"/>
                <w:szCs w:val="24"/>
              </w:rPr>
              <w:t>ral iron preparations</w:t>
            </w:r>
          </w:p>
        </w:tc>
      </w:tr>
      <w:tr w:rsidR="00223CE8" w:rsidRPr="00944B15" w14:paraId="296F668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9294EB1"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40BCE37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Acute, severe anaphylactic reactions, haemolysis, arrhythmia, tachycardia, diarrhoea, myalgia, headache, paraesthesia, chest pain, angioedema, sweating, hypotension, brown discoloration of skin, urticaria, arthritis and muscle soreness.</w:t>
            </w:r>
          </w:p>
        </w:tc>
      </w:tr>
      <w:tr w:rsidR="00223CE8" w:rsidRPr="00944B15" w14:paraId="484A785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BC62FE"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232E74FB" w14:textId="77777777" w:rsidR="00223CE8" w:rsidRPr="00944B15" w:rsidRDefault="00223CE8" w:rsidP="002D6DD7">
            <w:pPr>
              <w:spacing w:after="0"/>
              <w:jc w:val="both"/>
              <w:rPr>
                <w:rFonts w:cs="Times New Roman"/>
                <w:szCs w:val="24"/>
              </w:rPr>
            </w:pPr>
            <w:r>
              <w:rPr>
                <w:rFonts w:cs="Times New Roman"/>
                <w:szCs w:val="24"/>
              </w:rPr>
              <w:t>S</w:t>
            </w:r>
            <w:r w:rsidRPr="00944B15">
              <w:rPr>
                <w:rFonts w:cs="Times New Roman"/>
                <w:szCs w:val="24"/>
              </w:rPr>
              <w:t>evere asthma, eczema or other atopic allergy, preg</w:t>
            </w:r>
            <w:r>
              <w:rPr>
                <w:rFonts w:cs="Times New Roman"/>
                <w:szCs w:val="24"/>
              </w:rPr>
              <w:t>nancy</w:t>
            </w:r>
            <w:r w:rsidRPr="00944B15">
              <w:rPr>
                <w:rFonts w:cs="Times New Roman"/>
                <w:szCs w:val="24"/>
              </w:rPr>
              <w:t>, systemic lupus erythematosus and rheumatoid arthritis.</w:t>
            </w:r>
          </w:p>
        </w:tc>
      </w:tr>
      <w:tr w:rsidR="00223CE8" w:rsidRPr="00944B15" w14:paraId="1FABE4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BF722BA"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02FC2F36" w14:textId="77777777" w:rsidR="00223CE8" w:rsidRPr="00944B15" w:rsidRDefault="00223CE8" w:rsidP="002D6DD7">
            <w:pPr>
              <w:spacing w:after="0"/>
              <w:jc w:val="both"/>
              <w:rPr>
                <w:rFonts w:cs="Times New Roman"/>
                <w:szCs w:val="24"/>
              </w:rPr>
            </w:pPr>
            <w:r w:rsidRPr="00944B15">
              <w:rPr>
                <w:rFonts w:cs="Times New Roman"/>
                <w:szCs w:val="24"/>
              </w:rPr>
              <w:t>Store below 30° C. Do not freeze.</w:t>
            </w:r>
          </w:p>
        </w:tc>
      </w:tr>
      <w:tr w:rsidR="00223CE8" w:rsidRPr="00944B15" w14:paraId="63F3CAA9"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207C847F" w14:textId="77777777" w:rsidR="00223CE8" w:rsidRPr="00944B15" w:rsidRDefault="00223CE8" w:rsidP="002D6DD7">
            <w:pPr>
              <w:spacing w:after="0"/>
              <w:jc w:val="both"/>
              <w:rPr>
                <w:rFonts w:cs="Times New Roman"/>
                <w:b/>
                <w:szCs w:val="24"/>
              </w:rPr>
            </w:pPr>
            <w:r w:rsidRPr="00944B15">
              <w:rPr>
                <w:rFonts w:cs="Times New Roman"/>
                <w:b/>
                <w:szCs w:val="24"/>
              </w:rPr>
              <w:t>Iron sucrose</w:t>
            </w:r>
          </w:p>
        </w:tc>
      </w:tr>
      <w:tr w:rsidR="00223CE8" w:rsidRPr="00944B15" w14:paraId="6C266ADD" w14:textId="77777777" w:rsidTr="002D6DD7">
        <w:trPr>
          <w:trHeight w:val="46"/>
        </w:trPr>
        <w:tc>
          <w:tcPr>
            <w:tcW w:w="2605" w:type="dxa"/>
            <w:tcBorders>
              <w:top w:val="single" w:sz="4" w:space="0" w:color="auto"/>
              <w:left w:val="single" w:sz="4" w:space="0" w:color="auto"/>
              <w:bottom w:val="single" w:sz="4" w:space="0" w:color="auto"/>
              <w:right w:val="single" w:sz="4" w:space="0" w:color="auto"/>
            </w:tcBorders>
            <w:hideMark/>
          </w:tcPr>
          <w:p w14:paraId="1AB29D06"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513EAAAC" w14:textId="77777777" w:rsidR="00223CE8" w:rsidRPr="00944B15" w:rsidRDefault="00223CE8" w:rsidP="002D6DD7">
            <w:pPr>
              <w:spacing w:after="0"/>
              <w:jc w:val="both"/>
              <w:rPr>
                <w:rFonts w:cs="Times New Roman"/>
                <w:szCs w:val="24"/>
              </w:rPr>
            </w:pPr>
            <w:r>
              <w:rPr>
                <w:rFonts w:cs="Times New Roman"/>
                <w:szCs w:val="24"/>
              </w:rPr>
              <w:t>Iron product</w:t>
            </w:r>
          </w:p>
        </w:tc>
      </w:tr>
      <w:tr w:rsidR="00223CE8" w:rsidRPr="00944B15" w14:paraId="5622B65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8DE8D15"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2CD72E94" w14:textId="77777777" w:rsidR="00223CE8" w:rsidRPr="00944B15" w:rsidRDefault="00223CE8" w:rsidP="002D6DD7">
            <w:pPr>
              <w:spacing w:after="0"/>
              <w:jc w:val="both"/>
              <w:rPr>
                <w:rFonts w:cs="Times New Roman"/>
                <w:szCs w:val="24"/>
              </w:rPr>
            </w:pPr>
            <w:r w:rsidRPr="00944B15">
              <w:rPr>
                <w:rFonts w:cs="Times New Roman"/>
                <w:szCs w:val="24"/>
              </w:rPr>
              <w:t>Injection: 20 mg/</w:t>
            </w:r>
            <w:r>
              <w:rPr>
                <w:rFonts w:cs="Times New Roman"/>
                <w:szCs w:val="24"/>
              </w:rPr>
              <w:t>ml</w:t>
            </w:r>
            <w:r w:rsidRPr="00944B15">
              <w:rPr>
                <w:rFonts w:cs="Times New Roman"/>
                <w:szCs w:val="24"/>
              </w:rPr>
              <w:t xml:space="preserve"> in 5</w:t>
            </w:r>
            <w:r>
              <w:rPr>
                <w:rFonts w:cs="Times New Roman"/>
                <w:szCs w:val="24"/>
              </w:rPr>
              <w:t>ml</w:t>
            </w:r>
            <w:r w:rsidRPr="00944B15">
              <w:rPr>
                <w:rFonts w:cs="Times New Roman"/>
                <w:szCs w:val="24"/>
              </w:rPr>
              <w:t xml:space="preserve"> vials</w:t>
            </w:r>
          </w:p>
        </w:tc>
      </w:tr>
      <w:tr w:rsidR="00223CE8" w:rsidRPr="00944B15" w14:paraId="73D2A3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B9E187"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520DBB2E" w14:textId="77777777" w:rsidR="00223CE8" w:rsidRPr="00944B15" w:rsidRDefault="00223CE8" w:rsidP="002D6DD7">
            <w:pPr>
              <w:spacing w:after="0"/>
              <w:jc w:val="both"/>
              <w:rPr>
                <w:rFonts w:cs="Times New Roman"/>
                <w:szCs w:val="24"/>
              </w:rPr>
            </w:pPr>
            <w:r w:rsidRPr="00944B15">
              <w:rPr>
                <w:rFonts w:cs="Times New Roman"/>
                <w:szCs w:val="24"/>
              </w:rPr>
              <w:t>For the treatment of iron deficiency in active inflammatory bowel disease and in chronic kidney disease when oral iron preparations are ineffective or less effective.</w:t>
            </w:r>
          </w:p>
        </w:tc>
      </w:tr>
      <w:tr w:rsidR="00223CE8" w:rsidRPr="00944B15" w14:paraId="689A4DA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E8DC72" w14:textId="77777777" w:rsidR="00223CE8" w:rsidRPr="00944B15" w:rsidRDefault="00223CE8" w:rsidP="002D6DD7">
            <w:pPr>
              <w:spacing w:after="0"/>
              <w:jc w:val="both"/>
              <w:rPr>
                <w:rFonts w:cs="Times New Roman"/>
                <w:szCs w:val="24"/>
              </w:rPr>
            </w:pPr>
            <w:r w:rsidRPr="00944B15">
              <w:rPr>
                <w:rFonts w:eastAsia="Times New Roman" w:cs="Times New Roman"/>
                <w:szCs w:val="24"/>
              </w:rPr>
              <w:lastRenderedPageBreak/>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6A5DF7B9"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Adult</w:t>
            </w:r>
            <w:r>
              <w:rPr>
                <w:rFonts w:eastAsia="Candara-Italic" w:cs="Times New Roman"/>
                <w:b/>
                <w:szCs w:val="24"/>
              </w:rPr>
              <w:t>:</w:t>
            </w:r>
          </w:p>
          <w:p w14:paraId="31F56D38" w14:textId="77777777" w:rsidR="00223CE8"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Complex of ferric hydroxide with sucrose containing 2% (20 mg/</w:t>
            </w:r>
            <w:r>
              <w:rPr>
                <w:rFonts w:eastAsia="Candara-Italic" w:cs="Times New Roman"/>
                <w:szCs w:val="24"/>
              </w:rPr>
              <w:t>ml</w:t>
            </w:r>
            <w:r w:rsidRPr="00944B15">
              <w:rPr>
                <w:rFonts w:eastAsia="Candara-Italic" w:cs="Times New Roman"/>
                <w:szCs w:val="24"/>
              </w:rPr>
              <w:t>) of iron</w:t>
            </w:r>
          </w:p>
          <w:p w14:paraId="2F6BBE3C" w14:textId="77777777" w:rsidR="00223CE8" w:rsidRPr="00D76338" w:rsidRDefault="00223CE8" w:rsidP="002D6DD7">
            <w:pPr>
              <w:autoSpaceDE w:val="0"/>
              <w:autoSpaceDN w:val="0"/>
              <w:adjustRightInd w:val="0"/>
              <w:spacing w:after="0"/>
              <w:jc w:val="both"/>
              <w:rPr>
                <w:rFonts w:eastAsia="Candara-Italic" w:cs="Times New Roman"/>
                <w:szCs w:val="24"/>
              </w:rPr>
            </w:pPr>
            <w:r w:rsidRPr="003E537A">
              <w:rPr>
                <w:rFonts w:eastAsia="Candara-Italic" w:cs="Times New Roman"/>
                <w:b/>
                <w:szCs w:val="24"/>
              </w:rPr>
              <w:t xml:space="preserve">Hemodialysis-dependent chronic kidney disease: </w:t>
            </w:r>
            <w:r w:rsidRPr="00D76338">
              <w:rPr>
                <w:rFonts w:eastAsia="Candara-Italic" w:cs="Times New Roman"/>
                <w:szCs w:val="24"/>
              </w:rPr>
              <w:t>100 mg administered during consecutive dialysis sessions; the usual cumulative total dose is 1,000 mg (10 doses); may repeat treatment if clinically indicated.</w:t>
            </w:r>
          </w:p>
          <w:p w14:paraId="536DC2D0" w14:textId="77777777" w:rsidR="00223CE8" w:rsidRDefault="00223CE8" w:rsidP="002D6DD7">
            <w:pPr>
              <w:autoSpaceDE w:val="0"/>
              <w:autoSpaceDN w:val="0"/>
              <w:adjustRightInd w:val="0"/>
              <w:spacing w:after="0"/>
              <w:jc w:val="both"/>
              <w:rPr>
                <w:rFonts w:eastAsia="Candara-Italic" w:cs="Times New Roman"/>
                <w:szCs w:val="24"/>
              </w:rPr>
            </w:pPr>
            <w:r w:rsidRPr="003E537A">
              <w:rPr>
                <w:rFonts w:eastAsia="Candara-Italic" w:cs="Times New Roman"/>
                <w:b/>
                <w:szCs w:val="24"/>
              </w:rPr>
              <w:t xml:space="preserve">Non-dialysis-dependent chronic kidney disease: </w:t>
            </w:r>
            <w:r w:rsidRPr="00D76338">
              <w:rPr>
                <w:rFonts w:eastAsia="Candara-Italic" w:cs="Times New Roman"/>
                <w:szCs w:val="24"/>
              </w:rPr>
              <w:t>200 mg administered on 5 different occasions within a 14-day period (total cumulative dose: 1,000 mg in 14-day period); may repeat treatment if clinically indicated.</w:t>
            </w:r>
            <w:r w:rsidRPr="003E537A">
              <w:rPr>
                <w:rFonts w:eastAsia="Candara-Italic" w:cs="Times New Roman"/>
                <w:b/>
                <w:szCs w:val="24"/>
              </w:rPr>
              <w:t xml:space="preserve"> </w:t>
            </w:r>
            <w:r w:rsidRPr="00944B15">
              <w:rPr>
                <w:rFonts w:eastAsia="Candara-Italic" w:cs="Times New Roman"/>
                <w:b/>
                <w:szCs w:val="24"/>
              </w:rPr>
              <w:t>Iron-deficiency anaemia</w:t>
            </w:r>
            <w:r w:rsidRPr="00944B15">
              <w:rPr>
                <w:rFonts w:eastAsia="Candara-Italic" w:cs="Times New Roman"/>
                <w:szCs w:val="24"/>
              </w:rPr>
              <w:t>, by slow IV injection or IV infusion: Doses calculated according to body weight and iron deficit.</w:t>
            </w:r>
          </w:p>
          <w:p w14:paraId="34D77630" w14:textId="77777777" w:rsidR="00223CE8" w:rsidRDefault="00223CE8" w:rsidP="002D6DD7">
            <w:pPr>
              <w:pStyle w:val="ListParagraph"/>
              <w:adjustRightInd w:val="0"/>
              <w:spacing w:line="360" w:lineRule="auto"/>
              <w:ind w:left="360" w:firstLine="0"/>
              <w:rPr>
                <w:rFonts w:eastAsia="Candara-Italic"/>
                <w:szCs w:val="24"/>
              </w:rPr>
            </w:pPr>
            <w:r w:rsidRPr="00944B15">
              <w:rPr>
                <w:rFonts w:eastAsia="Candara-Italic"/>
                <w:b/>
                <w:szCs w:val="24"/>
              </w:rPr>
              <w:t xml:space="preserve">Total dose (mg Fe) – </w:t>
            </w:r>
            <w:r w:rsidRPr="00944B15">
              <w:rPr>
                <w:rFonts w:eastAsia="Candara-Italic"/>
                <w:szCs w:val="24"/>
              </w:rPr>
              <w:t>Hb in g/</w:t>
            </w:r>
            <w:r>
              <w:rPr>
                <w:rFonts w:eastAsia="Candara-Italic"/>
                <w:szCs w:val="24"/>
              </w:rPr>
              <w:t>d</w:t>
            </w:r>
            <w:r w:rsidRPr="00944B15">
              <w:rPr>
                <w:rFonts w:eastAsia="Candara-Italic"/>
                <w:szCs w:val="24"/>
              </w:rPr>
              <w:t>l: (Body weight (kg) x (target Hb - actual Hb) (g/</w:t>
            </w:r>
            <w:r>
              <w:rPr>
                <w:rFonts w:eastAsia="Candara-Italic"/>
                <w:szCs w:val="24"/>
              </w:rPr>
              <w:t>d</w:t>
            </w:r>
            <w:r w:rsidRPr="00944B15">
              <w:rPr>
                <w:rFonts w:eastAsia="Candara-Italic"/>
                <w:szCs w:val="24"/>
              </w:rPr>
              <w:t>l) x 0.24) + mg iron for iron stores</w:t>
            </w:r>
          </w:p>
          <w:p w14:paraId="48DDD3FF" w14:textId="77777777" w:rsidR="00223CE8" w:rsidRPr="00944B15" w:rsidRDefault="00223CE8" w:rsidP="002D6DD7">
            <w:pPr>
              <w:pStyle w:val="ListParagraph"/>
              <w:adjustRightInd w:val="0"/>
              <w:spacing w:line="360" w:lineRule="auto"/>
              <w:ind w:left="360" w:firstLine="0"/>
              <w:rPr>
                <w:rFonts w:eastAsia="Candara-Italic"/>
                <w:szCs w:val="24"/>
              </w:rPr>
            </w:pPr>
            <w:r w:rsidRPr="00944B15">
              <w:rPr>
                <w:rFonts w:eastAsia="Candara-Italic"/>
                <w:b/>
                <w:szCs w:val="24"/>
              </w:rPr>
              <w:t>Total dose (mg Fe)</w:t>
            </w:r>
            <w:r w:rsidRPr="00944B15">
              <w:rPr>
                <w:rFonts w:eastAsia="Candara-Italic"/>
                <w:szCs w:val="24"/>
              </w:rPr>
              <w:t xml:space="preserve"> – Hb in mmol/l: Body weight in kg x (target Hb in mmol/l – actual Hb in mmol/l) x 3.84 + mg iron for iron stores.</w:t>
            </w:r>
          </w:p>
          <w:p w14:paraId="011ABF33" w14:textId="77777777" w:rsidR="00223CE8" w:rsidRPr="00944B15" w:rsidRDefault="00223CE8" w:rsidP="002D6DD7">
            <w:pPr>
              <w:pStyle w:val="ListParagraph"/>
              <w:adjustRightInd w:val="0"/>
              <w:spacing w:line="360" w:lineRule="auto"/>
              <w:ind w:left="0" w:firstLine="0"/>
              <w:rPr>
                <w:rFonts w:eastAsia="Candara-Italic"/>
                <w:szCs w:val="24"/>
              </w:rPr>
            </w:pPr>
            <w:r w:rsidRPr="00944B15">
              <w:rPr>
                <w:rFonts w:eastAsia="Candara-Italic"/>
                <w:szCs w:val="24"/>
              </w:rPr>
              <w:t>For intermittent IV infusion: dilute to a concentration of 1 mg/</w:t>
            </w:r>
            <w:r>
              <w:rPr>
                <w:rFonts w:eastAsia="Candara-Italic"/>
                <w:szCs w:val="24"/>
              </w:rPr>
              <w:t>ml</w:t>
            </w:r>
            <w:r w:rsidRPr="00944B15">
              <w:rPr>
                <w:rFonts w:eastAsia="Candara-Italic"/>
                <w:szCs w:val="24"/>
              </w:rPr>
              <w:t xml:space="preserve"> with sodium chloride 0.9%, give at a rate not exceeding 6.67 mg/min.</w:t>
            </w:r>
          </w:p>
          <w:p w14:paraId="7A25A7AB" w14:textId="77777777" w:rsidR="00223CE8" w:rsidRDefault="00223CE8" w:rsidP="002D6DD7">
            <w:pPr>
              <w:pStyle w:val="ListParagraph"/>
              <w:adjustRightInd w:val="0"/>
              <w:spacing w:line="360" w:lineRule="auto"/>
              <w:ind w:left="0" w:firstLine="0"/>
              <w:rPr>
                <w:rFonts w:eastAsia="Candara-Italic"/>
                <w:szCs w:val="24"/>
              </w:rPr>
            </w:pPr>
            <w:r w:rsidRPr="00944B15">
              <w:rPr>
                <w:rFonts w:eastAsia="Candara-Italic"/>
                <w:szCs w:val="24"/>
              </w:rPr>
              <w:t xml:space="preserve">For slow IV injection: give undiluted at a rate of 1 </w:t>
            </w:r>
            <w:r>
              <w:rPr>
                <w:rFonts w:eastAsia="Candara-Italic"/>
                <w:szCs w:val="24"/>
              </w:rPr>
              <w:t>ml</w:t>
            </w:r>
            <w:r w:rsidRPr="00944B15">
              <w:rPr>
                <w:rFonts w:eastAsia="Candara-Italic"/>
                <w:szCs w:val="24"/>
              </w:rPr>
              <w:t xml:space="preserve">/min, do not exceed 10 </w:t>
            </w:r>
            <w:r>
              <w:rPr>
                <w:rFonts w:eastAsia="Candara-Italic"/>
                <w:szCs w:val="24"/>
              </w:rPr>
              <w:t>ml</w:t>
            </w:r>
            <w:r w:rsidRPr="00944B15">
              <w:rPr>
                <w:rFonts w:eastAsia="Candara-Italic"/>
                <w:szCs w:val="24"/>
              </w:rPr>
              <w:t xml:space="preserve"> (200 mg iron) per injection.</w:t>
            </w:r>
          </w:p>
          <w:p w14:paraId="119E4868" w14:textId="77777777" w:rsidR="00223CE8" w:rsidRDefault="00223CE8" w:rsidP="002D6DD7">
            <w:pPr>
              <w:pStyle w:val="ListParagraph"/>
              <w:adjustRightInd w:val="0"/>
              <w:spacing w:line="360" w:lineRule="auto"/>
              <w:ind w:left="0" w:firstLine="0"/>
              <w:rPr>
                <w:rFonts w:eastAsia="Candara-Italic"/>
                <w:b/>
                <w:szCs w:val="24"/>
              </w:rPr>
            </w:pPr>
            <w:r>
              <w:rPr>
                <w:rFonts w:eastAsia="Candara-Italic"/>
                <w:b/>
                <w:szCs w:val="24"/>
              </w:rPr>
              <w:t>Pediatric:</w:t>
            </w:r>
          </w:p>
          <w:p w14:paraId="004C7169" w14:textId="77777777" w:rsidR="00223CE8" w:rsidRPr="00D76338" w:rsidRDefault="00223CE8" w:rsidP="002D6DD7">
            <w:pPr>
              <w:adjustRightInd w:val="0"/>
              <w:spacing w:after="0"/>
              <w:jc w:val="both"/>
              <w:rPr>
                <w:rFonts w:eastAsia="Candara-Italic"/>
                <w:b/>
                <w:szCs w:val="24"/>
              </w:rPr>
            </w:pPr>
            <w:r w:rsidRPr="00D76338">
              <w:rPr>
                <w:rFonts w:eastAsia="Candara-Italic" w:cs="Times New Roman"/>
                <w:b/>
                <w:szCs w:val="24"/>
              </w:rPr>
              <w:t>Iron-deficiency anemia in chronic kidney disease (CKD):</w:t>
            </w:r>
          </w:p>
          <w:p w14:paraId="0FA78265" w14:textId="77777777" w:rsidR="00223CE8" w:rsidRPr="00D76338" w:rsidRDefault="00223CE8" w:rsidP="002D6DD7">
            <w:pPr>
              <w:adjustRightInd w:val="0"/>
              <w:spacing w:after="0"/>
              <w:jc w:val="both"/>
              <w:rPr>
                <w:rFonts w:eastAsia="Candara-Italic"/>
                <w:szCs w:val="24"/>
              </w:rPr>
            </w:pPr>
            <w:r w:rsidRPr="00D76338">
              <w:rPr>
                <w:rFonts w:eastAsia="Candara-Italic" w:cs="Times New Roman"/>
                <w:szCs w:val="24"/>
              </w:rPr>
              <w:t>Children &gt;2 yrs and adolescents &lt; 15 yrs: 1mg/kg/dose per dialysis session</w:t>
            </w:r>
          </w:p>
          <w:p w14:paraId="2842077B" w14:textId="77777777" w:rsidR="00223CE8" w:rsidRPr="00D76338" w:rsidRDefault="00223CE8" w:rsidP="002D6DD7">
            <w:pPr>
              <w:adjustRightInd w:val="0"/>
              <w:spacing w:after="0"/>
              <w:jc w:val="both"/>
              <w:rPr>
                <w:rFonts w:eastAsia="Candara-Italic"/>
                <w:szCs w:val="24"/>
              </w:rPr>
            </w:pPr>
            <w:r w:rsidRPr="00D76338">
              <w:rPr>
                <w:rFonts w:eastAsia="Candara-Italic" w:cs="Times New Roman"/>
                <w:szCs w:val="24"/>
              </w:rPr>
              <w:t>Maintenance therapy:</w:t>
            </w:r>
          </w:p>
          <w:p w14:paraId="0825B0AA" w14:textId="77777777" w:rsidR="00223CE8" w:rsidRPr="00D76338" w:rsidRDefault="00223CE8" w:rsidP="002D6DD7">
            <w:pPr>
              <w:adjustRightInd w:val="0"/>
              <w:spacing w:after="0"/>
              <w:jc w:val="both"/>
              <w:rPr>
                <w:rFonts w:eastAsia="Candara-Italic"/>
                <w:szCs w:val="24"/>
              </w:rPr>
            </w:pPr>
            <w:r w:rsidRPr="00D76338">
              <w:rPr>
                <w:rFonts w:eastAsia="Candara-Italic" w:cs="Times New Roman"/>
                <w:b/>
                <w:szCs w:val="24"/>
              </w:rPr>
              <w:t>Hemodialysis-dependent chronic kidney disease IV:</w:t>
            </w:r>
            <w:r w:rsidRPr="00D76338">
              <w:rPr>
                <w:rFonts w:eastAsia="Candara-Italic" w:cs="Times New Roman"/>
                <w:szCs w:val="24"/>
              </w:rPr>
              <w:t xml:space="preserve"> 0.5 mg/kg/dose every 2 weeks for 12 weeks (6 doses) maximum dose 100 mg/dose</w:t>
            </w:r>
          </w:p>
          <w:p w14:paraId="28F7318A" w14:textId="77777777" w:rsidR="00223CE8" w:rsidRPr="00D76338" w:rsidRDefault="00223CE8" w:rsidP="002D6DD7">
            <w:pPr>
              <w:adjustRightInd w:val="0"/>
              <w:spacing w:after="0"/>
              <w:jc w:val="both"/>
              <w:rPr>
                <w:rFonts w:eastAsia="Candara-Italic"/>
                <w:szCs w:val="24"/>
              </w:rPr>
            </w:pPr>
            <w:r w:rsidRPr="00D76338">
              <w:rPr>
                <w:rFonts w:eastAsia="Candara-Italic" w:cs="Times New Roman"/>
                <w:b/>
                <w:szCs w:val="24"/>
              </w:rPr>
              <w:t>Non-dialysis-dependent chronic kidney disease:</w:t>
            </w:r>
            <w:r w:rsidRPr="00D76338">
              <w:rPr>
                <w:rFonts w:eastAsia="Candara-Italic" w:cs="Times New Roman"/>
                <w:szCs w:val="24"/>
              </w:rPr>
              <w:t xml:space="preserve"> (in combination with erythropoietin therapy): IV: 0.5 mg/kg/dose every 4 weeks for 12 weeks (3 doses); maximum dose: 100 mg/dose; may repeat if clinically indicated.</w:t>
            </w:r>
          </w:p>
          <w:p w14:paraId="2E34556C" w14:textId="77777777" w:rsidR="00223CE8" w:rsidRPr="00382F99" w:rsidRDefault="00223CE8" w:rsidP="002D6DD7">
            <w:pPr>
              <w:adjustRightInd w:val="0"/>
              <w:spacing w:after="0"/>
              <w:jc w:val="both"/>
              <w:rPr>
                <w:rFonts w:eastAsia="Candara-Italic"/>
                <w:b/>
                <w:szCs w:val="24"/>
              </w:rPr>
            </w:pPr>
            <w:r w:rsidRPr="00D76338">
              <w:rPr>
                <w:rFonts w:eastAsia="Candara-Italic" w:cs="Times New Roman"/>
                <w:b/>
                <w:szCs w:val="24"/>
              </w:rPr>
              <w:lastRenderedPageBreak/>
              <w:t>Iron-deficiency anemia without chronic kidney disease (CKD):</w:t>
            </w:r>
          </w:p>
          <w:p w14:paraId="28BDE55B" w14:textId="77777777" w:rsidR="00223CE8" w:rsidRPr="00D76338" w:rsidRDefault="00223CE8" w:rsidP="002D6DD7">
            <w:pPr>
              <w:adjustRightInd w:val="0"/>
              <w:spacing w:after="0"/>
              <w:jc w:val="both"/>
              <w:rPr>
                <w:rFonts w:eastAsia="Candara-Italic"/>
                <w:szCs w:val="24"/>
              </w:rPr>
            </w:pPr>
            <w:r w:rsidRPr="00D76338">
              <w:rPr>
                <w:rFonts w:eastAsia="Candara-Italic" w:cs="Times New Roman"/>
                <w:szCs w:val="24"/>
              </w:rPr>
              <w:t>Infants, Children, and Adolescents: IV: 2.5 to 7 mg/kg/dose; repeat every 3 to 7 days until patient-specific goals are met</w:t>
            </w:r>
          </w:p>
          <w:p w14:paraId="181494B9" w14:textId="77777777" w:rsidR="00223CE8" w:rsidRPr="00D66056" w:rsidRDefault="00223CE8" w:rsidP="002D6DD7">
            <w:pPr>
              <w:pStyle w:val="ListParagraph"/>
              <w:adjustRightInd w:val="0"/>
              <w:spacing w:line="360" w:lineRule="auto"/>
              <w:ind w:left="0" w:firstLine="0"/>
              <w:rPr>
                <w:rFonts w:eastAsia="Candara-Italic"/>
                <w:i/>
                <w:szCs w:val="24"/>
              </w:rPr>
            </w:pPr>
            <w:r w:rsidRPr="00D66056">
              <w:rPr>
                <w:rFonts w:eastAsia="Candara-Italic"/>
                <w:i/>
                <w:szCs w:val="24"/>
              </w:rPr>
              <w:t xml:space="preserve">Note: </w:t>
            </w:r>
            <w:r w:rsidRPr="00D66056">
              <w:rPr>
                <w:i/>
                <w:szCs w:val="24"/>
              </w:rPr>
              <w:t>Should be used immediately after dilution with sterile 0.9% M/V sodium chloride solution.</w:t>
            </w:r>
          </w:p>
        </w:tc>
      </w:tr>
      <w:tr w:rsidR="00223CE8" w:rsidRPr="00944B15" w14:paraId="27D3257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A2E933"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3ED90CF7"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w:t>
            </w:r>
            <w:r w:rsidRPr="00944B15">
              <w:rPr>
                <w:rFonts w:cs="Times New Roman"/>
                <w:szCs w:val="24"/>
              </w:rPr>
              <w:t xml:space="preserve">ypersensitivity to </w:t>
            </w:r>
            <w:r>
              <w:rPr>
                <w:rFonts w:cs="Times New Roman"/>
                <w:szCs w:val="24"/>
              </w:rPr>
              <w:t>the drug, hypotension</w:t>
            </w:r>
            <w:r w:rsidRPr="00944B15">
              <w:rPr>
                <w:rFonts w:cs="Times New Roman"/>
                <w:szCs w:val="24"/>
              </w:rPr>
              <w:t>, evidence of iron overload or hereditary disturba</w:t>
            </w:r>
            <w:r>
              <w:rPr>
                <w:rFonts w:cs="Times New Roman"/>
                <w:szCs w:val="24"/>
              </w:rPr>
              <w:t>nces in utilisation of iron</w:t>
            </w:r>
          </w:p>
        </w:tc>
      </w:tr>
      <w:tr w:rsidR="00223CE8" w:rsidRPr="00944B15" w14:paraId="382A718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A52215F"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6BD7281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iron preparations</w:t>
            </w:r>
          </w:p>
        </w:tc>
      </w:tr>
      <w:tr w:rsidR="00223CE8" w:rsidRPr="00944B15" w14:paraId="5643C44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52C453"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3542946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 asthenia, hypotension, hypertension, drowsiness, urine discolouration, cold sweat, confusion, decreased level of consciousness, thrombophlebitis, muscle cramps, nausea, vomiting, strange taste, diarrhoea, constipation, headache, cough, back pain, joint pain, dizziness and swelling of the arms/legs.</w:t>
            </w:r>
          </w:p>
        </w:tc>
      </w:tr>
      <w:tr w:rsidR="00223CE8" w:rsidRPr="00944B15" w14:paraId="28E9E86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CDAC9E"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6D63CE30" w14:textId="77777777" w:rsidR="00223CE8" w:rsidRPr="00944B15" w:rsidRDefault="00223CE8" w:rsidP="002D6DD7">
            <w:pPr>
              <w:spacing w:after="0"/>
              <w:jc w:val="both"/>
              <w:rPr>
                <w:rFonts w:cs="Times New Roman"/>
                <w:szCs w:val="24"/>
              </w:rPr>
            </w:pPr>
            <w:r w:rsidRPr="00944B15">
              <w:rPr>
                <w:rFonts w:cs="Times New Roman"/>
                <w:szCs w:val="24"/>
              </w:rPr>
              <w:t>Liver dysfunction, acute or chronic in</w:t>
            </w:r>
            <w:r>
              <w:rPr>
                <w:rFonts w:cs="Times New Roman"/>
                <w:szCs w:val="24"/>
              </w:rPr>
              <w:t>fection, and pregnancy (</w:t>
            </w:r>
            <w:r w:rsidRPr="00944B15">
              <w:rPr>
                <w:rFonts w:cs="Times New Roman"/>
                <w:szCs w:val="24"/>
              </w:rPr>
              <w:t>first trimester).</w:t>
            </w:r>
          </w:p>
        </w:tc>
      </w:tr>
      <w:tr w:rsidR="00223CE8" w:rsidRPr="00944B15" w14:paraId="06E0F5F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08551B8"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059CD052" w14:textId="77777777" w:rsidR="00223CE8" w:rsidRPr="00944B15" w:rsidRDefault="00223CE8" w:rsidP="002D6DD7">
            <w:pPr>
              <w:spacing w:after="0"/>
              <w:jc w:val="both"/>
              <w:rPr>
                <w:rFonts w:cs="Times New Roman"/>
                <w:szCs w:val="24"/>
              </w:rPr>
            </w:pPr>
            <w:r w:rsidRPr="00944B15">
              <w:rPr>
                <w:rFonts w:cs="Times New Roman"/>
                <w:szCs w:val="24"/>
              </w:rPr>
              <w:t>Do not store above 25° C. Do not freeze.</w:t>
            </w:r>
          </w:p>
          <w:p w14:paraId="6BF09069" w14:textId="77777777" w:rsidR="00223CE8" w:rsidRPr="00944B15" w:rsidRDefault="00223CE8" w:rsidP="002D6DD7">
            <w:pPr>
              <w:spacing w:after="0"/>
              <w:jc w:val="both"/>
              <w:rPr>
                <w:rFonts w:cs="Times New Roman"/>
                <w:szCs w:val="24"/>
              </w:rPr>
            </w:pPr>
          </w:p>
        </w:tc>
      </w:tr>
      <w:tr w:rsidR="00223CE8" w:rsidRPr="00944B15" w14:paraId="09CE4673"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7F480AAB" w14:textId="77777777" w:rsidR="00223CE8" w:rsidRPr="00944B15" w:rsidRDefault="00223CE8" w:rsidP="002D6DD7">
            <w:pPr>
              <w:spacing w:after="0"/>
              <w:jc w:val="both"/>
              <w:rPr>
                <w:rFonts w:cs="Times New Roman"/>
                <w:b/>
                <w:szCs w:val="24"/>
              </w:rPr>
            </w:pPr>
            <w:r w:rsidRPr="00944B15">
              <w:rPr>
                <w:rFonts w:cs="Times New Roman"/>
                <w:b/>
                <w:szCs w:val="24"/>
              </w:rPr>
              <w:t xml:space="preserve">Cyanocobalamin  </w:t>
            </w:r>
          </w:p>
        </w:tc>
      </w:tr>
      <w:tr w:rsidR="00223CE8" w:rsidRPr="00944B15" w14:paraId="4B606E2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7154DC"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1BD166C6" w14:textId="77777777" w:rsidR="00223CE8" w:rsidRPr="00944B15" w:rsidRDefault="00223CE8" w:rsidP="002D6DD7">
            <w:pPr>
              <w:spacing w:after="0"/>
              <w:jc w:val="both"/>
              <w:rPr>
                <w:rFonts w:cs="Times New Roman"/>
                <w:szCs w:val="24"/>
              </w:rPr>
            </w:pPr>
            <w:r w:rsidRPr="00944B15">
              <w:rPr>
                <w:rFonts w:cs="Times New Roman"/>
                <w:szCs w:val="24"/>
              </w:rPr>
              <w:t xml:space="preserve">Vitamin </w:t>
            </w:r>
            <w:r>
              <w:rPr>
                <w:rFonts w:cs="Times New Roman"/>
                <w:szCs w:val="24"/>
              </w:rPr>
              <w:t>B, a</w:t>
            </w:r>
            <w:r w:rsidRPr="00944B15">
              <w:rPr>
                <w:rFonts w:cs="Times New Roman"/>
                <w:szCs w:val="24"/>
              </w:rPr>
              <w:t xml:space="preserve">nti-anaemic </w:t>
            </w:r>
          </w:p>
        </w:tc>
      </w:tr>
      <w:tr w:rsidR="00223CE8" w:rsidRPr="00944B15" w14:paraId="66F9B8F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6EBF29"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2CA85E70" w14:textId="77777777" w:rsidR="00223CE8" w:rsidRPr="00944B15" w:rsidRDefault="00223CE8" w:rsidP="002D6DD7">
            <w:pPr>
              <w:spacing w:after="0"/>
              <w:jc w:val="both"/>
              <w:rPr>
                <w:rFonts w:cs="Times New Roman"/>
                <w:szCs w:val="24"/>
              </w:rPr>
            </w:pPr>
            <w:r w:rsidRPr="00944B15">
              <w:rPr>
                <w:rFonts w:cs="Times New Roman"/>
                <w:szCs w:val="24"/>
              </w:rPr>
              <w:t>Injection, 1000mcg/</w:t>
            </w:r>
            <w:r>
              <w:rPr>
                <w:rFonts w:cs="Times New Roman"/>
                <w:szCs w:val="24"/>
              </w:rPr>
              <w:t>ml</w:t>
            </w:r>
            <w:r w:rsidRPr="00944B15">
              <w:rPr>
                <w:rFonts w:cs="Times New Roman"/>
                <w:szCs w:val="24"/>
              </w:rPr>
              <w:t xml:space="preserve"> </w:t>
            </w:r>
          </w:p>
          <w:p w14:paraId="523BC0A9" w14:textId="77777777" w:rsidR="00223CE8" w:rsidRPr="00944B15" w:rsidRDefault="00223CE8" w:rsidP="002D6DD7">
            <w:pPr>
              <w:spacing w:after="0"/>
              <w:jc w:val="both"/>
              <w:rPr>
                <w:rFonts w:cs="Times New Roman"/>
                <w:szCs w:val="24"/>
              </w:rPr>
            </w:pPr>
            <w:r w:rsidRPr="00944B15">
              <w:rPr>
                <w:rFonts w:cs="Times New Roman"/>
                <w:szCs w:val="24"/>
              </w:rPr>
              <w:t>Tablets (Film-coated), 1000 mcg</w:t>
            </w:r>
          </w:p>
          <w:p w14:paraId="595AE24B" w14:textId="77777777" w:rsidR="00223CE8" w:rsidRPr="00944B15" w:rsidRDefault="00223CE8" w:rsidP="002D6DD7">
            <w:pPr>
              <w:spacing w:after="0"/>
              <w:jc w:val="both"/>
              <w:rPr>
                <w:rFonts w:cs="Times New Roman"/>
                <w:szCs w:val="24"/>
              </w:rPr>
            </w:pPr>
            <w:r w:rsidRPr="00944B15">
              <w:rPr>
                <w:rFonts w:cs="Times New Roman"/>
                <w:szCs w:val="24"/>
              </w:rPr>
              <w:t>Tablet (sublingual),2500mcg</w:t>
            </w:r>
          </w:p>
          <w:p w14:paraId="0EA83B5B" w14:textId="77777777" w:rsidR="00223CE8" w:rsidRPr="00944B15" w:rsidRDefault="00223CE8" w:rsidP="002D6DD7">
            <w:pPr>
              <w:spacing w:after="0"/>
              <w:jc w:val="both"/>
              <w:rPr>
                <w:rFonts w:cs="Times New Roman"/>
                <w:szCs w:val="24"/>
              </w:rPr>
            </w:pPr>
            <w:r w:rsidRPr="00944B15">
              <w:rPr>
                <w:rFonts w:cs="Times New Roman"/>
                <w:szCs w:val="24"/>
              </w:rPr>
              <w:t>Nasal spray: 500mcg/spray</w:t>
            </w:r>
          </w:p>
        </w:tc>
      </w:tr>
      <w:tr w:rsidR="00223CE8" w:rsidRPr="00944B15" w14:paraId="0D377D3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539002C"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46C84CCF"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Prophylaxis and treatment of macrocytic anaemia associated with vitamin B12 deficiency.</w:t>
            </w:r>
          </w:p>
        </w:tc>
      </w:tr>
      <w:tr w:rsidR="00223CE8" w:rsidRPr="00944B15" w14:paraId="3BA645C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4CB5C8E"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28AA888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Nutritional Supplementation</w:t>
            </w:r>
          </w:p>
          <w:p w14:paraId="314588A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Recommended daily allowance (RDA)</w:t>
            </w:r>
          </w:p>
          <w:p w14:paraId="53992D9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Adult &gt;19 years: 2.4 mcg</w:t>
            </w:r>
          </w:p>
          <w:p w14:paraId="3675C98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Pregnant women: 2.6 mcg</w:t>
            </w:r>
          </w:p>
          <w:p w14:paraId="5FC1F0B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Breastfeeding women: 2.8 mcg</w:t>
            </w:r>
          </w:p>
          <w:p w14:paraId="2E3BF1F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Dietary supplement: 50</w:t>
            </w:r>
            <w:r>
              <w:rPr>
                <w:rFonts w:cs="Times New Roman"/>
                <w:szCs w:val="24"/>
              </w:rPr>
              <w:t xml:space="preserve"> </w:t>
            </w:r>
            <w:r w:rsidRPr="00944B15">
              <w:rPr>
                <w:rFonts w:cs="Times New Roman"/>
                <w:szCs w:val="24"/>
              </w:rPr>
              <w:t>-</w:t>
            </w:r>
            <w:r>
              <w:rPr>
                <w:rFonts w:cs="Times New Roman"/>
                <w:szCs w:val="24"/>
              </w:rPr>
              <w:t xml:space="preserve"> </w:t>
            </w:r>
            <w:r w:rsidRPr="00944B15">
              <w:rPr>
                <w:rFonts w:cs="Times New Roman"/>
                <w:szCs w:val="24"/>
              </w:rPr>
              <w:t>6,000 mcg/day</w:t>
            </w:r>
          </w:p>
          <w:p w14:paraId="4CBF9DD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lastRenderedPageBreak/>
              <w:t>Treatment of pernicious Anaemia</w:t>
            </w:r>
            <w:r>
              <w:rPr>
                <w:rFonts w:cs="Times New Roman"/>
                <w:b/>
                <w:szCs w:val="24"/>
              </w:rPr>
              <w:t>:</w:t>
            </w:r>
          </w:p>
          <w:p w14:paraId="6E17825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Adult </w:t>
            </w:r>
            <w:r>
              <w:rPr>
                <w:rFonts w:cs="Times New Roman"/>
                <w:b/>
                <w:szCs w:val="24"/>
              </w:rPr>
              <w:t>:</w:t>
            </w:r>
          </w:p>
          <w:p w14:paraId="16F0551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IM/SC: 100 mcg once daily for 6-7 days, then every other day for 7 doses, then every 3-4 days for 2-3 weeks, then monthly</w:t>
            </w:r>
          </w:p>
          <w:p w14:paraId="1CFE302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Alternative parenteral dosing: </w:t>
            </w:r>
          </w:p>
          <w:p w14:paraId="5E89E9E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IM/SC: 1000 mcg once daily for 7 days, then weekly for 1 month, then monthly</w:t>
            </w:r>
          </w:p>
          <w:p w14:paraId="6BDE7943"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50DEEA5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30-50 mcg IM/SC once daily for age 2 weeks for total dose of 1,000 mcg to 5,000 mcg administer concomitantly with 1 mg/day of folic acid for 1 month.</w:t>
            </w:r>
          </w:p>
          <w:p w14:paraId="12D0CDC5"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Vitamin B12 Deficiency</w:t>
            </w:r>
            <w:r>
              <w:rPr>
                <w:rFonts w:cs="Times New Roman"/>
                <w:b/>
                <w:szCs w:val="24"/>
              </w:rPr>
              <w:t>:</w:t>
            </w:r>
          </w:p>
          <w:p w14:paraId="6F72C0F3"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206127E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Initial: 30 mcg IM once daily for 5-10 days</w:t>
            </w:r>
          </w:p>
          <w:p w14:paraId="4A45C6D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Maintenance: 100-200 mcg IM monthly</w:t>
            </w:r>
          </w:p>
          <w:p w14:paraId="71E9860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Nasal dose: 500 mcg once weekly</w:t>
            </w:r>
          </w:p>
          <w:p w14:paraId="26C7EB00"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5E8F2FD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30-50 mcg IM/SC once daily for &amp;ge2 weeks for total dose of 1,000 mcg to 5,000 mcg administer concomitantly with 1 mg/day of folic acid for 1 month</w:t>
            </w:r>
          </w:p>
          <w:p w14:paraId="362B714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Maintenance: 100 mcg IM/SC monthly.</w:t>
            </w:r>
          </w:p>
        </w:tc>
      </w:tr>
      <w:tr w:rsidR="00223CE8" w:rsidRPr="00944B15" w14:paraId="5EE41B5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4D0B777"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061B42F3" w14:textId="77777777" w:rsidR="00223CE8" w:rsidRPr="00933933" w:rsidRDefault="00223CE8" w:rsidP="002D6DD7">
            <w:pPr>
              <w:autoSpaceDE w:val="0"/>
              <w:autoSpaceDN w:val="0"/>
              <w:adjustRightInd w:val="0"/>
              <w:spacing w:after="0"/>
              <w:jc w:val="both"/>
              <w:rPr>
                <w:rFonts w:cs="Times New Roman"/>
                <w:szCs w:val="24"/>
              </w:rPr>
            </w:pPr>
            <w:r w:rsidRPr="00933933">
              <w:rPr>
                <w:rFonts w:cs="Times New Roman"/>
                <w:szCs w:val="24"/>
              </w:rPr>
              <w:t xml:space="preserve">Refer to </w:t>
            </w:r>
            <w:r w:rsidR="00933933" w:rsidRPr="00933933">
              <w:rPr>
                <w:rFonts w:cs="Times New Roman"/>
                <w:szCs w:val="24"/>
              </w:rPr>
              <w:t>cyanocobalamin under</w:t>
            </w:r>
            <w:r w:rsidRPr="00933933">
              <w:rPr>
                <w:rFonts w:cs="Times New Roman"/>
                <w:szCs w:val="24"/>
              </w:rPr>
              <w:t xml:space="preserve"> vitamins and minerals</w:t>
            </w:r>
          </w:p>
        </w:tc>
      </w:tr>
      <w:tr w:rsidR="00223CE8" w:rsidRPr="00944B15" w14:paraId="2192842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FA1293"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67A78B29" w14:textId="77777777" w:rsidR="00223CE8" w:rsidRPr="00933933" w:rsidRDefault="00223CE8" w:rsidP="002D6DD7">
            <w:pPr>
              <w:autoSpaceDE w:val="0"/>
              <w:autoSpaceDN w:val="0"/>
              <w:adjustRightInd w:val="0"/>
              <w:spacing w:after="0"/>
              <w:jc w:val="both"/>
              <w:rPr>
                <w:rFonts w:cs="Times New Roman"/>
                <w:szCs w:val="24"/>
              </w:rPr>
            </w:pPr>
            <w:r w:rsidRPr="00933933">
              <w:rPr>
                <w:rFonts w:cs="Times New Roman"/>
                <w:szCs w:val="24"/>
              </w:rPr>
              <w:t xml:space="preserve">Refer to </w:t>
            </w:r>
            <w:r w:rsidR="00933933" w:rsidRPr="00933933">
              <w:rPr>
                <w:rFonts w:cs="Times New Roman"/>
                <w:szCs w:val="24"/>
              </w:rPr>
              <w:t>cyanocobalamin under</w:t>
            </w:r>
            <w:r w:rsidRPr="00933933">
              <w:rPr>
                <w:rFonts w:cs="Times New Roman"/>
                <w:szCs w:val="24"/>
              </w:rPr>
              <w:t xml:space="preserve"> vitamins and minerals</w:t>
            </w:r>
          </w:p>
        </w:tc>
      </w:tr>
      <w:tr w:rsidR="00223CE8" w:rsidRPr="00944B15" w14:paraId="7DDB81B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E59BDA"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5F98A414" w14:textId="77777777" w:rsidR="00223CE8" w:rsidRPr="00933933" w:rsidRDefault="00223CE8" w:rsidP="002D6DD7">
            <w:pPr>
              <w:autoSpaceDE w:val="0"/>
              <w:autoSpaceDN w:val="0"/>
              <w:adjustRightInd w:val="0"/>
              <w:spacing w:after="0"/>
              <w:jc w:val="both"/>
              <w:rPr>
                <w:rFonts w:cs="Times New Roman"/>
                <w:szCs w:val="24"/>
              </w:rPr>
            </w:pPr>
            <w:r w:rsidRPr="00933933">
              <w:rPr>
                <w:rFonts w:cs="Times New Roman"/>
                <w:szCs w:val="24"/>
              </w:rPr>
              <w:t>Refer to cyanocobalamin under vitamins and minerals</w:t>
            </w:r>
          </w:p>
        </w:tc>
      </w:tr>
      <w:tr w:rsidR="00223CE8" w:rsidRPr="00944B15" w14:paraId="74F17CC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90BF2E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0A72E615" w14:textId="77777777" w:rsidR="00223CE8" w:rsidRPr="00933933" w:rsidRDefault="00223CE8" w:rsidP="002D6DD7">
            <w:pPr>
              <w:pStyle w:val="NormalWeb"/>
              <w:spacing w:before="0" w:beforeAutospacing="0" w:after="0" w:afterAutospacing="0" w:line="360" w:lineRule="auto"/>
              <w:jc w:val="both"/>
            </w:pPr>
            <w:r w:rsidRPr="00933933">
              <w:t xml:space="preserve">Refer to </w:t>
            </w:r>
            <w:r w:rsidR="00933933" w:rsidRPr="00933933">
              <w:t>cyanocobalamin under</w:t>
            </w:r>
            <w:r w:rsidRPr="00933933">
              <w:t xml:space="preserve"> vitamins and minerals</w:t>
            </w:r>
          </w:p>
        </w:tc>
      </w:tr>
      <w:tr w:rsidR="00223CE8" w:rsidRPr="00944B15" w14:paraId="2FDBC1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4C031A"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521FFA8D" w14:textId="77777777" w:rsidR="00223CE8" w:rsidRPr="00944B15" w:rsidRDefault="00223CE8" w:rsidP="002D6DD7">
            <w:pPr>
              <w:spacing w:after="0"/>
              <w:jc w:val="both"/>
              <w:rPr>
                <w:rFonts w:cs="Times New Roman"/>
                <w:szCs w:val="24"/>
              </w:rPr>
            </w:pPr>
            <w:r>
              <w:rPr>
                <w:rFonts w:cs="Times New Roman"/>
                <w:szCs w:val="24"/>
              </w:rPr>
              <w:t>Store below 30ºC. Pr</w:t>
            </w:r>
            <w:r w:rsidRPr="00944B15">
              <w:rPr>
                <w:rFonts w:cs="Times New Roman"/>
                <w:szCs w:val="24"/>
              </w:rPr>
              <w:t>otected from light and heat.</w:t>
            </w:r>
          </w:p>
        </w:tc>
      </w:tr>
      <w:tr w:rsidR="00223CE8" w:rsidRPr="00944B15" w14:paraId="04EE7F0F"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1CA1C425" w14:textId="77777777" w:rsidR="00223CE8" w:rsidRPr="00944B15" w:rsidRDefault="00223CE8" w:rsidP="002D6DD7">
            <w:pPr>
              <w:spacing w:after="0"/>
              <w:jc w:val="both"/>
              <w:rPr>
                <w:rFonts w:cs="Times New Roman"/>
                <w:b/>
                <w:szCs w:val="24"/>
              </w:rPr>
            </w:pPr>
            <w:r w:rsidRPr="00944B15">
              <w:rPr>
                <w:rFonts w:cs="Times New Roman"/>
                <w:b/>
                <w:szCs w:val="24"/>
              </w:rPr>
              <w:t>Hydroxycobalamin (Vitamin B12)</w:t>
            </w:r>
          </w:p>
        </w:tc>
      </w:tr>
      <w:tr w:rsidR="00223CE8" w:rsidRPr="00944B15" w14:paraId="0A98D3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8D1E17"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5CC848AC" w14:textId="77777777" w:rsidR="00223CE8" w:rsidRPr="00944B15" w:rsidRDefault="00223CE8" w:rsidP="002D6DD7">
            <w:pPr>
              <w:spacing w:after="0"/>
              <w:jc w:val="both"/>
              <w:rPr>
                <w:rFonts w:cs="Times New Roman"/>
                <w:szCs w:val="24"/>
              </w:rPr>
            </w:pPr>
            <w:r w:rsidRPr="00944B15">
              <w:rPr>
                <w:rFonts w:cs="Times New Roman"/>
                <w:szCs w:val="24"/>
              </w:rPr>
              <w:t xml:space="preserve">Vitamin B, Anti-anaemics </w:t>
            </w:r>
          </w:p>
        </w:tc>
      </w:tr>
      <w:tr w:rsidR="00223CE8" w:rsidRPr="00944B15" w14:paraId="3FB3CA3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3E4F755"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00" w:type="dxa"/>
            <w:tcBorders>
              <w:top w:val="single" w:sz="4" w:space="0" w:color="auto"/>
              <w:left w:val="single" w:sz="4" w:space="0" w:color="auto"/>
              <w:bottom w:val="single" w:sz="4" w:space="0" w:color="auto"/>
              <w:right w:val="single" w:sz="4" w:space="0" w:color="auto"/>
            </w:tcBorders>
            <w:hideMark/>
          </w:tcPr>
          <w:p w14:paraId="21F14369" w14:textId="77777777" w:rsidR="00223CE8" w:rsidRPr="00944B15" w:rsidRDefault="00223CE8" w:rsidP="002D6DD7">
            <w:pPr>
              <w:spacing w:after="0"/>
              <w:jc w:val="both"/>
              <w:rPr>
                <w:rFonts w:cs="Times New Roman"/>
                <w:szCs w:val="24"/>
              </w:rPr>
            </w:pPr>
            <w:r w:rsidRPr="00944B15">
              <w:rPr>
                <w:rFonts w:cs="Times New Roman"/>
                <w:szCs w:val="24"/>
              </w:rPr>
              <w:t>Injection: 1 mg/</w:t>
            </w:r>
            <w:r>
              <w:rPr>
                <w:rFonts w:cs="Times New Roman"/>
                <w:szCs w:val="24"/>
              </w:rPr>
              <w:t>ml</w:t>
            </w:r>
            <w:r w:rsidRPr="00944B15">
              <w:rPr>
                <w:rFonts w:cs="Times New Roman"/>
                <w:szCs w:val="24"/>
              </w:rPr>
              <w:t xml:space="preserve"> (as acetate, as hydrochloride or as sulphate) in 1 </w:t>
            </w:r>
            <w:r>
              <w:rPr>
                <w:rFonts w:cs="Times New Roman"/>
                <w:szCs w:val="24"/>
              </w:rPr>
              <w:t>ml</w:t>
            </w:r>
            <w:r w:rsidRPr="00944B15">
              <w:rPr>
                <w:rFonts w:cs="Times New Roman"/>
                <w:szCs w:val="24"/>
              </w:rPr>
              <w:t xml:space="preserve"> ampoule</w:t>
            </w:r>
          </w:p>
        </w:tc>
      </w:tr>
      <w:tr w:rsidR="00223CE8" w:rsidRPr="00944B15" w14:paraId="4F385E8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F618D39"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0C73BD78"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szCs w:val="24"/>
              </w:rPr>
              <w:t xml:space="preserve">Used in the treatment and prophylaxis of megaloblastic anaemia due to </w:t>
            </w:r>
            <w:r w:rsidRPr="00944B15">
              <w:rPr>
                <w:rFonts w:cs="Times New Roman"/>
                <w:szCs w:val="24"/>
              </w:rPr>
              <w:lastRenderedPageBreak/>
              <w:t>vitamin B12 deficiency (pernicious anaemia).</w:t>
            </w:r>
          </w:p>
        </w:tc>
      </w:tr>
      <w:tr w:rsidR="00223CE8" w:rsidRPr="00944B15" w14:paraId="7335D7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08EB117" w14:textId="77777777" w:rsidR="00223CE8" w:rsidRPr="00944B15" w:rsidRDefault="00223CE8" w:rsidP="002D6DD7">
            <w:pPr>
              <w:spacing w:after="0"/>
              <w:jc w:val="both"/>
              <w:rPr>
                <w:rFonts w:cs="Times New Roman"/>
                <w:szCs w:val="24"/>
              </w:rPr>
            </w:pPr>
            <w:r w:rsidRPr="00944B15">
              <w:rPr>
                <w:rFonts w:eastAsia="Times New Roman" w:cs="Times New Roman"/>
                <w:szCs w:val="24"/>
              </w:rPr>
              <w:lastRenderedPageBreak/>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3D2C8F9B"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r>
              <w:rPr>
                <w:rFonts w:cs="Times New Roman"/>
                <w:b/>
                <w:bCs/>
                <w:szCs w:val="24"/>
              </w:rPr>
              <w:t>:</w:t>
            </w:r>
          </w:p>
          <w:p w14:paraId="718DF563"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 xml:space="preserve">Megaloblastic anaemia without neurological involvement, </w:t>
            </w:r>
            <w:r w:rsidRPr="009A6173">
              <w:rPr>
                <w:rFonts w:eastAsia="Candara-Italic" w:cs="Times New Roman"/>
                <w:iCs/>
                <w:szCs w:val="24"/>
              </w:rPr>
              <w:t>by IM:</w:t>
            </w:r>
            <w:r w:rsidRPr="00944B15">
              <w:rPr>
                <w:rFonts w:eastAsia="Candara-Italic" w:cs="Times New Roman"/>
                <w:iCs/>
                <w:szCs w:val="24"/>
              </w:rPr>
              <w:t xml:space="preserve"> </w:t>
            </w:r>
          </w:p>
          <w:p w14:paraId="6E0BCD20"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cs="Times New Roman"/>
                <w:szCs w:val="24"/>
              </w:rPr>
              <w:t xml:space="preserve">Initially 1 mg </w:t>
            </w:r>
            <w:r>
              <w:rPr>
                <w:rFonts w:cs="Times New Roman"/>
                <w:szCs w:val="24"/>
              </w:rPr>
              <w:t>weekly for 4 weeks</w:t>
            </w:r>
            <w:r w:rsidRPr="00944B15">
              <w:rPr>
                <w:rFonts w:cs="Times New Roman"/>
                <w:szCs w:val="24"/>
              </w:rPr>
              <w:t>, then 1 mg every 2–3 months</w:t>
            </w:r>
          </w:p>
          <w:p w14:paraId="55C92FB2"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 xml:space="preserve">Megaloblastic anaemia with neurological involvement, </w:t>
            </w:r>
            <w:r w:rsidRPr="009A6173">
              <w:rPr>
                <w:rFonts w:eastAsia="Candara-Italic" w:cs="Times New Roman"/>
                <w:iCs/>
                <w:szCs w:val="24"/>
              </w:rPr>
              <w:t>by IM</w:t>
            </w:r>
            <w:r w:rsidRPr="00944B15">
              <w:rPr>
                <w:rFonts w:eastAsia="Candara-Italic" w:cs="Times New Roman"/>
                <w:iCs/>
                <w:szCs w:val="24"/>
              </w:rPr>
              <w:t>:</w:t>
            </w:r>
          </w:p>
          <w:p w14:paraId="2237AF3C"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 xml:space="preserve"> </w:t>
            </w:r>
            <w:r w:rsidRPr="00944B15">
              <w:rPr>
                <w:rFonts w:cs="Times New Roman"/>
                <w:szCs w:val="24"/>
              </w:rPr>
              <w:t xml:space="preserve">Initially 1 mg </w:t>
            </w:r>
            <w:r>
              <w:rPr>
                <w:rFonts w:cs="Times New Roman"/>
                <w:szCs w:val="24"/>
              </w:rPr>
              <w:t>every other day or daily for 1- 2 weeks</w:t>
            </w:r>
            <w:r w:rsidRPr="00944B15">
              <w:rPr>
                <w:rFonts w:cs="Times New Roman"/>
                <w:szCs w:val="24"/>
              </w:rPr>
              <w:t>,</w:t>
            </w:r>
            <w:r>
              <w:rPr>
                <w:rFonts w:cs="Times New Roman"/>
                <w:szCs w:val="24"/>
              </w:rPr>
              <w:t xml:space="preserve"> then 1mg weekly for 4- weeks,</w:t>
            </w:r>
            <w:r w:rsidRPr="00944B15">
              <w:rPr>
                <w:rFonts w:cs="Times New Roman"/>
                <w:szCs w:val="24"/>
              </w:rPr>
              <w:t xml:space="preserve"> then 1 mg every 2 months.</w:t>
            </w:r>
          </w:p>
          <w:p w14:paraId="4D4A5608" w14:textId="77777777" w:rsidR="00223CE8" w:rsidRPr="00944B15" w:rsidRDefault="00223CE8" w:rsidP="002D6DD7">
            <w:pPr>
              <w:autoSpaceDE w:val="0"/>
              <w:autoSpaceDN w:val="0"/>
              <w:adjustRightInd w:val="0"/>
              <w:spacing w:after="0"/>
              <w:jc w:val="both"/>
              <w:rPr>
                <w:rFonts w:cs="Times New Roman"/>
                <w:szCs w:val="24"/>
              </w:rPr>
            </w:pPr>
            <w:r w:rsidRPr="00944B15">
              <w:rPr>
                <w:rFonts w:eastAsia="Candara-Italic" w:cs="Times New Roman"/>
                <w:b/>
                <w:iCs/>
                <w:szCs w:val="24"/>
              </w:rPr>
              <w:t xml:space="preserve">Prophylaxis of macrocytic anaemia, </w:t>
            </w:r>
            <w:r w:rsidRPr="009A6173">
              <w:rPr>
                <w:rFonts w:eastAsia="Candara-Italic" w:cs="Times New Roman"/>
                <w:iCs/>
                <w:szCs w:val="24"/>
              </w:rPr>
              <w:t>by IM</w:t>
            </w:r>
            <w:r w:rsidRPr="009A6173">
              <w:rPr>
                <w:rFonts w:cs="Times New Roman"/>
                <w:szCs w:val="24"/>
              </w:rPr>
              <w:t>:</w:t>
            </w:r>
            <w:r w:rsidRPr="00944B15">
              <w:rPr>
                <w:rFonts w:cs="Times New Roman"/>
                <w:szCs w:val="24"/>
              </w:rPr>
              <w:t xml:space="preserve"> 1 mg every 2–3 months.</w:t>
            </w:r>
          </w:p>
          <w:p w14:paraId="37D34474"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3EF5DDEC"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Megaloblastic anaemia without neurological involvement, by IM injection</w:t>
            </w:r>
            <w:r w:rsidRPr="00944B15">
              <w:rPr>
                <w:rFonts w:eastAsia="Candara-Italic" w:cs="Times New Roman"/>
                <w:iCs/>
                <w:szCs w:val="24"/>
              </w:rPr>
              <w:t>:</w:t>
            </w:r>
          </w:p>
          <w:p w14:paraId="794F810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1 month–12 years: </w:t>
            </w:r>
            <w:r w:rsidRPr="00944B15">
              <w:rPr>
                <w:rFonts w:cs="Times New Roman"/>
                <w:szCs w:val="24"/>
              </w:rPr>
              <w:t>initially 250 micrograms–1 mg 3 times weekly for 2 weeks, then 250 micrograms 1 weekly until the blood count is normal, then 1 mg every 3 months if required.</w:t>
            </w:r>
          </w:p>
          <w:p w14:paraId="7A15984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over 12 years: </w:t>
            </w:r>
            <w:r w:rsidRPr="00944B15">
              <w:rPr>
                <w:rFonts w:cs="Times New Roman"/>
                <w:szCs w:val="24"/>
              </w:rPr>
              <w:t xml:space="preserve">initially 1 mg </w:t>
            </w:r>
            <w:r>
              <w:rPr>
                <w:rFonts w:cs="Times New Roman"/>
                <w:szCs w:val="24"/>
              </w:rPr>
              <w:t>weekly for 4weeks</w:t>
            </w:r>
            <w:r w:rsidRPr="00944B15">
              <w:rPr>
                <w:rFonts w:cs="Times New Roman"/>
                <w:szCs w:val="24"/>
              </w:rPr>
              <w:t>, then 1 mg every 3 months.</w:t>
            </w:r>
          </w:p>
          <w:p w14:paraId="298082A3"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Megaloblastic anaemia with neurological involvement, by IM injection</w:t>
            </w:r>
            <w:r w:rsidR="009A6173">
              <w:rPr>
                <w:rFonts w:eastAsia="Candara-Italic" w:cs="Times New Roman"/>
                <w:b/>
                <w:iCs/>
                <w:szCs w:val="24"/>
              </w:rPr>
              <w:t>:</w:t>
            </w:r>
          </w:p>
          <w:p w14:paraId="422077C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1 month–12 years: </w:t>
            </w:r>
            <w:r w:rsidRPr="00944B15">
              <w:rPr>
                <w:rFonts w:cs="Times New Roman"/>
                <w:szCs w:val="24"/>
              </w:rPr>
              <w:t xml:space="preserve">initially 1 mg </w:t>
            </w:r>
            <w:r>
              <w:rPr>
                <w:rFonts w:cs="Times New Roman"/>
                <w:szCs w:val="24"/>
              </w:rPr>
              <w:t>daily for 7 days or every other day for 7- 14 days</w:t>
            </w:r>
            <w:r w:rsidRPr="00944B15">
              <w:rPr>
                <w:rFonts w:cs="Times New Roman"/>
                <w:szCs w:val="24"/>
              </w:rPr>
              <w:t>, then 1 mg every 2</w:t>
            </w:r>
            <w:r>
              <w:rPr>
                <w:rFonts w:cs="Times New Roman"/>
                <w:szCs w:val="24"/>
              </w:rPr>
              <w:t>-3</w:t>
            </w:r>
            <w:r w:rsidRPr="00944B15">
              <w:rPr>
                <w:rFonts w:cs="Times New Roman"/>
                <w:szCs w:val="24"/>
              </w:rPr>
              <w:t xml:space="preserve"> months.</w:t>
            </w:r>
          </w:p>
          <w:p w14:paraId="729F57CB"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 xml:space="preserve">Prophylaxis of macrocytic anaemias, </w:t>
            </w:r>
            <w:r w:rsidRPr="009A6173">
              <w:rPr>
                <w:rFonts w:eastAsia="Candara-Italic" w:cs="Times New Roman"/>
                <w:iCs/>
                <w:szCs w:val="24"/>
              </w:rPr>
              <w:t>by IM injection</w:t>
            </w:r>
            <w:r w:rsidR="009A6173">
              <w:rPr>
                <w:rFonts w:eastAsia="Candara-Italic" w:cs="Times New Roman"/>
                <w:b/>
                <w:iCs/>
                <w:szCs w:val="24"/>
              </w:rPr>
              <w:t>:</w:t>
            </w:r>
          </w:p>
          <w:p w14:paraId="65F7EC6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w:t>
            </w:r>
            <w:r w:rsidRPr="00944B15">
              <w:rPr>
                <w:rFonts w:cs="Times New Roman"/>
                <w:szCs w:val="24"/>
              </w:rPr>
              <w:t>1 mg every 2–3 months.</w:t>
            </w:r>
          </w:p>
        </w:tc>
      </w:tr>
      <w:tr w:rsidR="00223CE8" w:rsidRPr="00944B15" w14:paraId="23603FB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3A4DB3D"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167BB87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w:t>
            </w:r>
          </w:p>
        </w:tc>
      </w:tr>
      <w:tr w:rsidR="00223CE8" w:rsidRPr="00944B15" w14:paraId="58A1ADE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7A0A54"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6AEB1C1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Chloramphenicol: response to hydroxycobalamin reduced.</w:t>
            </w:r>
          </w:p>
        </w:tc>
      </w:tr>
      <w:tr w:rsidR="00223CE8" w:rsidRPr="00944B15" w14:paraId="5D2E45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99EB1C"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24DD69B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Nausea, headache, dizziness, pain at injection site, </w:t>
            </w:r>
            <w:r w:rsidRPr="00944B15">
              <w:rPr>
                <w:rFonts w:cs="Times New Roman"/>
                <w:bCs/>
                <w:szCs w:val="24"/>
              </w:rPr>
              <w:t>f</w:t>
            </w:r>
            <w:r w:rsidRPr="00944B15">
              <w:rPr>
                <w:rFonts w:cs="Times New Roman"/>
                <w:szCs w:val="24"/>
              </w:rPr>
              <w:t>ever, chills, hot flushes, hypokalaemia during initial treatment, hypersensitivity reactions, hypertension and decrease in lymphocytes.</w:t>
            </w:r>
          </w:p>
        </w:tc>
      </w:tr>
      <w:tr w:rsidR="00223CE8" w:rsidRPr="00944B15" w14:paraId="085893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33EC116"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29825737" w14:textId="77777777" w:rsidR="00223CE8" w:rsidRPr="00944B15" w:rsidRDefault="00223CE8" w:rsidP="002D6DD7">
            <w:pPr>
              <w:pStyle w:val="NormalWeb"/>
              <w:spacing w:before="0" w:beforeAutospacing="0" w:after="0" w:afterAutospacing="0" w:line="360" w:lineRule="auto"/>
              <w:jc w:val="both"/>
            </w:pPr>
            <w:r w:rsidRPr="00944B15">
              <w:t>Hypokalaemia and acute renal failure.</w:t>
            </w:r>
          </w:p>
        </w:tc>
      </w:tr>
      <w:tr w:rsidR="00223CE8" w:rsidRPr="00944B15" w14:paraId="349565F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2DC95F"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7C9328E9" w14:textId="77777777" w:rsidR="00223CE8" w:rsidRPr="00944B15" w:rsidRDefault="00223CE8" w:rsidP="002D6DD7">
            <w:pPr>
              <w:spacing w:after="0"/>
              <w:jc w:val="both"/>
              <w:rPr>
                <w:rFonts w:cs="Times New Roman"/>
                <w:szCs w:val="24"/>
              </w:rPr>
            </w:pPr>
            <w:r w:rsidRPr="00944B15">
              <w:rPr>
                <w:rFonts w:cs="Times New Roman"/>
                <w:szCs w:val="24"/>
              </w:rPr>
              <w:t xml:space="preserve">Store below </w:t>
            </w:r>
            <w:r w:rsidR="009A6173">
              <w:rPr>
                <w:rFonts w:cs="Times New Roman"/>
                <w:szCs w:val="24"/>
              </w:rPr>
              <w:t>30</w:t>
            </w:r>
            <w:r w:rsidRPr="00944B15">
              <w:rPr>
                <w:rFonts w:cs="Times New Roman"/>
                <w:szCs w:val="24"/>
              </w:rPr>
              <w:t>° C. Protect from light.</w:t>
            </w:r>
          </w:p>
        </w:tc>
      </w:tr>
      <w:tr w:rsidR="00223CE8" w:rsidRPr="00944B15" w14:paraId="4A90A8EE" w14:textId="77777777" w:rsidTr="002D6DD7">
        <w:tc>
          <w:tcPr>
            <w:tcW w:w="9805" w:type="dxa"/>
            <w:gridSpan w:val="2"/>
            <w:tcBorders>
              <w:top w:val="single" w:sz="4" w:space="0" w:color="auto"/>
              <w:left w:val="single" w:sz="4" w:space="0" w:color="auto"/>
              <w:bottom w:val="single" w:sz="4" w:space="0" w:color="auto"/>
              <w:right w:val="single" w:sz="4" w:space="0" w:color="auto"/>
            </w:tcBorders>
            <w:hideMark/>
          </w:tcPr>
          <w:p w14:paraId="627556D2" w14:textId="77777777" w:rsidR="00223CE8" w:rsidRPr="00944B15" w:rsidRDefault="00223CE8" w:rsidP="002D6DD7">
            <w:pPr>
              <w:spacing w:after="0"/>
              <w:jc w:val="both"/>
              <w:rPr>
                <w:rFonts w:cs="Times New Roman"/>
                <w:b/>
                <w:szCs w:val="24"/>
              </w:rPr>
            </w:pPr>
            <w:r w:rsidRPr="00944B15">
              <w:rPr>
                <w:rFonts w:cs="Times New Roman"/>
                <w:b/>
                <w:szCs w:val="24"/>
              </w:rPr>
              <w:t xml:space="preserve">Folinic </w:t>
            </w:r>
            <w:r w:rsidRPr="00944B15">
              <w:rPr>
                <w:rFonts w:cs="Times New Roman"/>
                <w:b/>
                <w:spacing w:val="-5"/>
                <w:szCs w:val="24"/>
              </w:rPr>
              <w:t>a</w:t>
            </w:r>
            <w:r w:rsidRPr="00944B15">
              <w:rPr>
                <w:rFonts w:cs="Times New Roman"/>
                <w:b/>
                <w:szCs w:val="24"/>
              </w:rPr>
              <w:t>cid</w:t>
            </w:r>
            <w:r>
              <w:rPr>
                <w:rFonts w:cs="Times New Roman"/>
                <w:b/>
                <w:szCs w:val="24"/>
              </w:rPr>
              <w:t xml:space="preserve">/ </w:t>
            </w:r>
            <w:r w:rsidRPr="001B652B">
              <w:rPr>
                <w:rFonts w:cs="Times New Roman"/>
                <w:b/>
                <w:szCs w:val="24"/>
              </w:rPr>
              <w:t>Leucovorin</w:t>
            </w:r>
          </w:p>
        </w:tc>
      </w:tr>
      <w:tr w:rsidR="00223CE8" w:rsidRPr="00944B15" w14:paraId="5678875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AD88DB"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00" w:type="dxa"/>
            <w:tcBorders>
              <w:top w:val="single" w:sz="4" w:space="0" w:color="auto"/>
              <w:left w:val="single" w:sz="4" w:space="0" w:color="auto"/>
              <w:bottom w:val="single" w:sz="4" w:space="0" w:color="auto"/>
              <w:right w:val="single" w:sz="4" w:space="0" w:color="auto"/>
            </w:tcBorders>
            <w:hideMark/>
          </w:tcPr>
          <w:p w14:paraId="5E67FD98" w14:textId="77777777" w:rsidR="00223CE8" w:rsidRPr="00944B15" w:rsidRDefault="00223CE8" w:rsidP="002D6DD7">
            <w:pPr>
              <w:spacing w:after="0"/>
              <w:jc w:val="both"/>
              <w:rPr>
                <w:rFonts w:cs="Times New Roman"/>
                <w:szCs w:val="24"/>
              </w:rPr>
            </w:pPr>
            <w:r w:rsidRPr="00944B15">
              <w:rPr>
                <w:rFonts w:cs="Times New Roman"/>
                <w:szCs w:val="24"/>
              </w:rPr>
              <w:t xml:space="preserve">B </w:t>
            </w:r>
            <w:r>
              <w:rPr>
                <w:rFonts w:cs="Times New Roman"/>
                <w:szCs w:val="24"/>
              </w:rPr>
              <w:t>vitamin, a</w:t>
            </w:r>
            <w:r w:rsidRPr="00944B15">
              <w:rPr>
                <w:rFonts w:cs="Times New Roman"/>
                <w:szCs w:val="24"/>
              </w:rPr>
              <w:t>nti-anaemic</w:t>
            </w:r>
          </w:p>
        </w:tc>
      </w:tr>
      <w:tr w:rsidR="00223CE8" w:rsidRPr="00944B15" w14:paraId="6727774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EDB7C6" w14:textId="77777777" w:rsidR="00223CE8" w:rsidRPr="00944B15" w:rsidRDefault="00223CE8" w:rsidP="002D6DD7">
            <w:pPr>
              <w:spacing w:after="0"/>
              <w:jc w:val="both"/>
              <w:rPr>
                <w:rFonts w:cs="Times New Roman"/>
                <w:szCs w:val="24"/>
              </w:rPr>
            </w:pPr>
            <w:r w:rsidRPr="00944B15">
              <w:rPr>
                <w:rFonts w:cs="Times New Roman"/>
                <w:szCs w:val="24"/>
              </w:rPr>
              <w:lastRenderedPageBreak/>
              <w:t>Dosage form</w:t>
            </w:r>
          </w:p>
        </w:tc>
        <w:tc>
          <w:tcPr>
            <w:tcW w:w="7200" w:type="dxa"/>
            <w:tcBorders>
              <w:top w:val="single" w:sz="4" w:space="0" w:color="auto"/>
              <w:left w:val="single" w:sz="4" w:space="0" w:color="auto"/>
              <w:bottom w:val="single" w:sz="4" w:space="0" w:color="auto"/>
              <w:right w:val="single" w:sz="4" w:space="0" w:color="auto"/>
            </w:tcBorders>
            <w:hideMark/>
          </w:tcPr>
          <w:p w14:paraId="02B02197" w14:textId="77777777" w:rsidR="00223CE8" w:rsidRPr="00944B15" w:rsidRDefault="00223CE8" w:rsidP="002D6DD7">
            <w:pPr>
              <w:spacing w:after="0"/>
              <w:jc w:val="both"/>
              <w:rPr>
                <w:rFonts w:cs="Times New Roman"/>
                <w:szCs w:val="24"/>
              </w:rPr>
            </w:pPr>
            <w:r w:rsidRPr="00944B15">
              <w:rPr>
                <w:rFonts w:cs="Times New Roman"/>
                <w:szCs w:val="24"/>
              </w:rPr>
              <w:t>Tablet: 5mg;15mg; 25 mg (as calcium folinate)</w:t>
            </w:r>
          </w:p>
          <w:p w14:paraId="3A055E98" w14:textId="77777777" w:rsidR="00223CE8" w:rsidRPr="00944B15" w:rsidRDefault="00223CE8" w:rsidP="002D6DD7">
            <w:pPr>
              <w:spacing w:after="0"/>
              <w:jc w:val="both"/>
              <w:rPr>
                <w:rFonts w:cs="Times New Roman"/>
                <w:szCs w:val="24"/>
              </w:rPr>
            </w:pPr>
            <w:r w:rsidRPr="00944B15">
              <w:rPr>
                <w:rFonts w:cs="Times New Roman"/>
                <w:szCs w:val="24"/>
              </w:rPr>
              <w:t xml:space="preserve">Capsule: 5 mg; 25 mg  </w:t>
            </w:r>
          </w:p>
          <w:p w14:paraId="7B0AC4A9" w14:textId="77777777" w:rsidR="00223CE8" w:rsidRPr="00944B15" w:rsidRDefault="00223CE8" w:rsidP="002D6DD7">
            <w:pPr>
              <w:spacing w:after="0"/>
              <w:jc w:val="both"/>
              <w:rPr>
                <w:rFonts w:cs="Times New Roman"/>
                <w:szCs w:val="24"/>
              </w:rPr>
            </w:pPr>
            <w:r w:rsidRPr="00944B15">
              <w:rPr>
                <w:rFonts w:cs="Times New Roman"/>
                <w:szCs w:val="24"/>
              </w:rPr>
              <w:t>Solution for injection:  3 mg/</w:t>
            </w:r>
            <w:r>
              <w:rPr>
                <w:rFonts w:cs="Times New Roman"/>
                <w:szCs w:val="24"/>
              </w:rPr>
              <w:t>ml</w:t>
            </w:r>
            <w:r w:rsidRPr="00944B15">
              <w:rPr>
                <w:rFonts w:cs="Times New Roman"/>
                <w:szCs w:val="24"/>
              </w:rPr>
              <w:t xml:space="preserve"> in 10 </w:t>
            </w:r>
            <w:r>
              <w:rPr>
                <w:rFonts w:cs="Times New Roman"/>
                <w:szCs w:val="24"/>
              </w:rPr>
              <w:t>ml</w:t>
            </w:r>
            <w:r w:rsidRPr="00944B15">
              <w:rPr>
                <w:rFonts w:cs="Times New Roman"/>
                <w:szCs w:val="24"/>
              </w:rPr>
              <w:t xml:space="preserve"> ampoule; 7.5 mg/</w:t>
            </w:r>
            <w:r>
              <w:rPr>
                <w:rFonts w:cs="Times New Roman"/>
                <w:szCs w:val="24"/>
              </w:rPr>
              <w:t>ml</w:t>
            </w:r>
            <w:r w:rsidRPr="00944B15">
              <w:rPr>
                <w:rFonts w:cs="Times New Roman"/>
                <w:szCs w:val="24"/>
              </w:rPr>
              <w:t xml:space="preserve"> in 2 </w:t>
            </w:r>
            <w:r>
              <w:rPr>
                <w:rFonts w:cs="Times New Roman"/>
                <w:szCs w:val="24"/>
              </w:rPr>
              <w:t>ml</w:t>
            </w:r>
            <w:r w:rsidRPr="00944B15">
              <w:rPr>
                <w:rFonts w:cs="Times New Roman"/>
                <w:szCs w:val="24"/>
              </w:rPr>
              <w:t xml:space="preserve"> ampoule; 10 mg/</w:t>
            </w:r>
            <w:r>
              <w:rPr>
                <w:rFonts w:cs="Times New Roman"/>
                <w:szCs w:val="24"/>
              </w:rPr>
              <w:t>ml</w:t>
            </w:r>
            <w:r w:rsidRPr="00944B15">
              <w:rPr>
                <w:rFonts w:cs="Times New Roman"/>
                <w:szCs w:val="24"/>
              </w:rPr>
              <w:t xml:space="preserve"> in 5 </w:t>
            </w:r>
            <w:r>
              <w:rPr>
                <w:rFonts w:cs="Times New Roman"/>
                <w:szCs w:val="24"/>
              </w:rPr>
              <w:t>ml</w:t>
            </w:r>
            <w:r w:rsidRPr="00944B15">
              <w:rPr>
                <w:rFonts w:cs="Times New Roman"/>
                <w:szCs w:val="24"/>
              </w:rPr>
              <w:t xml:space="preserve"> ampoule</w:t>
            </w:r>
          </w:p>
        </w:tc>
      </w:tr>
      <w:tr w:rsidR="00223CE8" w:rsidRPr="00944B15" w14:paraId="4A47874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172685"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00" w:type="dxa"/>
            <w:tcBorders>
              <w:top w:val="single" w:sz="4" w:space="0" w:color="auto"/>
              <w:left w:val="single" w:sz="4" w:space="0" w:color="auto"/>
              <w:bottom w:val="single" w:sz="4" w:space="0" w:color="auto"/>
              <w:right w:val="single" w:sz="4" w:space="0" w:color="auto"/>
            </w:tcBorders>
            <w:hideMark/>
          </w:tcPr>
          <w:p w14:paraId="432DACB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To diminish the toxicity and counteract the action of folic acid antagonists such as methotrexate in cytotoxic therapy and in combination with 5-fluorouracil in cytotoxic therapy.</w:t>
            </w:r>
          </w:p>
        </w:tc>
      </w:tr>
      <w:tr w:rsidR="00223CE8" w:rsidRPr="00944B15" w14:paraId="4627DBA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1D7B5F"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200" w:type="dxa"/>
            <w:tcBorders>
              <w:top w:val="single" w:sz="4" w:space="0" w:color="auto"/>
              <w:left w:val="single" w:sz="4" w:space="0" w:color="auto"/>
              <w:bottom w:val="single" w:sz="4" w:space="0" w:color="auto"/>
              <w:right w:val="single" w:sz="4" w:space="0" w:color="auto"/>
            </w:tcBorders>
            <w:hideMark/>
          </w:tcPr>
          <w:p w14:paraId="4712B76A"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Antidote to methotrexate (usually started 12 to 24 hours after administration of methotrexate)</w:t>
            </w:r>
            <w:r>
              <w:rPr>
                <w:rFonts w:eastAsia="Candara-Italic" w:cs="Times New Roman"/>
                <w:b/>
                <w:szCs w:val="24"/>
              </w:rPr>
              <w:t>:</w:t>
            </w:r>
          </w:p>
          <w:p w14:paraId="3413376C"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Adult</w:t>
            </w:r>
            <w:r>
              <w:rPr>
                <w:rFonts w:eastAsia="Candara-Italic" w:cs="Times New Roman"/>
                <w:b/>
                <w:szCs w:val="24"/>
              </w:rPr>
              <w:t>:</w:t>
            </w:r>
          </w:p>
          <w:p w14:paraId="604202D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IM/IV injection or IV infusion: Up to 120 mg</w:t>
            </w:r>
            <w:r>
              <w:rPr>
                <w:rFonts w:eastAsia="Candara-Italic" w:cs="Times New Roman"/>
                <w:szCs w:val="24"/>
              </w:rPr>
              <w:t xml:space="preserve"> (10mg/m</w:t>
            </w:r>
            <w:r w:rsidRPr="00D76338">
              <w:rPr>
                <w:rFonts w:eastAsia="Candara-Italic" w:cs="Times New Roman"/>
                <w:szCs w:val="24"/>
                <w:vertAlign w:val="superscript"/>
              </w:rPr>
              <w:t>2</w:t>
            </w:r>
            <w:r>
              <w:rPr>
                <w:rFonts w:eastAsia="Candara-Italic" w:cs="Times New Roman"/>
                <w:szCs w:val="24"/>
              </w:rPr>
              <w:t>)</w:t>
            </w:r>
            <w:r w:rsidRPr="00944B15">
              <w:rPr>
                <w:rFonts w:eastAsia="Candara-Italic" w:cs="Times New Roman"/>
                <w:szCs w:val="24"/>
              </w:rPr>
              <w:t xml:space="preserve"> in divided doses over 12–24 hours, then 12–15 mg by IM injection, or </w:t>
            </w:r>
          </w:p>
          <w:p w14:paraId="5F7520A4"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15</w:t>
            </w:r>
            <w:r w:rsidRPr="00944B15">
              <w:rPr>
                <w:rFonts w:cs="Times New Roman"/>
                <w:szCs w:val="24"/>
              </w:rPr>
              <w:t xml:space="preserve"> </w:t>
            </w:r>
            <w:r w:rsidRPr="00944B15">
              <w:rPr>
                <w:rFonts w:eastAsia="Candara-Italic" w:cs="Times New Roman"/>
                <w:szCs w:val="24"/>
              </w:rPr>
              <w:t>mg every 6 hours for 48–72 hours.</w:t>
            </w:r>
          </w:p>
          <w:p w14:paraId="2B72288B" w14:textId="77777777" w:rsidR="00223CE8" w:rsidRPr="00944B15" w:rsidRDefault="00223CE8" w:rsidP="002D6DD7">
            <w:pPr>
              <w:autoSpaceDE w:val="0"/>
              <w:autoSpaceDN w:val="0"/>
              <w:adjustRightInd w:val="0"/>
              <w:spacing w:after="0"/>
              <w:jc w:val="both"/>
              <w:rPr>
                <w:rFonts w:eastAsia="Candara-Italic" w:cs="Times New Roman"/>
                <w:b/>
                <w:szCs w:val="24"/>
              </w:rPr>
            </w:pPr>
            <w:r>
              <w:rPr>
                <w:rFonts w:eastAsia="Candara-Italic" w:cs="Times New Roman"/>
                <w:b/>
                <w:szCs w:val="24"/>
              </w:rPr>
              <w:t>Pediatric:</w:t>
            </w:r>
          </w:p>
          <w:p w14:paraId="558A24BA"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IM or IV injection or IV infusion: Up to 120 mg</w:t>
            </w:r>
            <w:r>
              <w:rPr>
                <w:rFonts w:eastAsia="Candara-Italic" w:cs="Times New Roman"/>
                <w:szCs w:val="24"/>
              </w:rPr>
              <w:t xml:space="preserve"> (10mg/m</w:t>
            </w:r>
            <w:r w:rsidRPr="00BC7064">
              <w:rPr>
                <w:rFonts w:eastAsia="Candara-Italic" w:cs="Times New Roman"/>
                <w:szCs w:val="24"/>
                <w:vertAlign w:val="superscript"/>
              </w:rPr>
              <w:t>2</w:t>
            </w:r>
            <w:r>
              <w:rPr>
                <w:rFonts w:eastAsia="Candara-Italic" w:cs="Times New Roman"/>
                <w:szCs w:val="24"/>
              </w:rPr>
              <w:t>)</w:t>
            </w:r>
            <w:r w:rsidRPr="00944B15">
              <w:rPr>
                <w:rFonts w:eastAsia="Candara-Italic" w:cs="Times New Roman"/>
                <w:szCs w:val="24"/>
              </w:rPr>
              <w:t xml:space="preserve"> in divided doses over 12–24 hours, then 12–15 mg by IM injection, or </w:t>
            </w:r>
          </w:p>
          <w:p w14:paraId="2FAFD14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15 mg every 6 hours for 48–72 hours.</w:t>
            </w:r>
          </w:p>
          <w:p w14:paraId="06FD8018" w14:textId="77777777" w:rsidR="00223CE8" w:rsidRPr="00944B15" w:rsidRDefault="00223CE8" w:rsidP="009A6173">
            <w:pPr>
              <w:autoSpaceDE w:val="0"/>
              <w:autoSpaceDN w:val="0"/>
              <w:adjustRightInd w:val="0"/>
              <w:spacing w:after="0"/>
              <w:jc w:val="both"/>
              <w:rPr>
                <w:rFonts w:eastAsia="Candara-Italic" w:cs="Times New Roman"/>
                <w:szCs w:val="24"/>
              </w:rPr>
            </w:pPr>
            <w:r w:rsidRPr="00944B15">
              <w:rPr>
                <w:rFonts w:eastAsia="Candara-Italic" w:cs="Times New Roman"/>
                <w:b/>
                <w:szCs w:val="24"/>
              </w:rPr>
              <w:t>Methotrexate over dosage (started as soon as possible, preferably within 1 hour of administration of methotrexate)</w:t>
            </w:r>
            <w:r w:rsidR="009A6173">
              <w:rPr>
                <w:rFonts w:eastAsia="Candara-Italic" w:cs="Times New Roman"/>
                <w:b/>
                <w:szCs w:val="24"/>
              </w:rPr>
              <w:t xml:space="preserve">, </w:t>
            </w:r>
            <w:r w:rsidR="009A6173" w:rsidRPr="009A6173">
              <w:rPr>
                <w:rFonts w:eastAsia="Candara-Italic" w:cs="Times New Roman"/>
                <w:szCs w:val="24"/>
              </w:rPr>
              <w:t>b</w:t>
            </w:r>
            <w:r w:rsidRPr="00944B15">
              <w:rPr>
                <w:rFonts w:eastAsia="Candara-Italic" w:cs="Times New Roman"/>
                <w:szCs w:val="24"/>
              </w:rPr>
              <w:t>y IV injection or infusion: Dose equal to or higher than that of methotrexate, at rate not exceeding 160 mg/min</w:t>
            </w:r>
          </w:p>
        </w:tc>
      </w:tr>
      <w:tr w:rsidR="00223CE8" w:rsidRPr="00944B15" w14:paraId="1919D25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219133"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200" w:type="dxa"/>
            <w:tcBorders>
              <w:top w:val="single" w:sz="4" w:space="0" w:color="auto"/>
              <w:left w:val="single" w:sz="4" w:space="0" w:color="auto"/>
              <w:bottom w:val="single" w:sz="4" w:space="0" w:color="auto"/>
              <w:right w:val="single" w:sz="4" w:space="0" w:color="auto"/>
            </w:tcBorders>
            <w:hideMark/>
          </w:tcPr>
          <w:p w14:paraId="5CCBFF9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Vitamin B12 deficiency anaemia and pernicious anaemia.</w:t>
            </w:r>
          </w:p>
        </w:tc>
      </w:tr>
      <w:tr w:rsidR="00223CE8" w:rsidRPr="00944B15" w14:paraId="12BC3562"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0EA7868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200" w:type="dxa"/>
            <w:tcBorders>
              <w:top w:val="single" w:sz="4" w:space="0" w:color="auto"/>
              <w:left w:val="single" w:sz="4" w:space="0" w:color="auto"/>
              <w:bottom w:val="single" w:sz="4" w:space="0" w:color="auto"/>
              <w:right w:val="single" w:sz="4" w:space="0" w:color="auto"/>
            </w:tcBorders>
            <w:hideMark/>
          </w:tcPr>
          <w:p w14:paraId="4BE10651" w14:textId="77777777" w:rsidR="00223CE8" w:rsidRPr="00944B15" w:rsidRDefault="00223CE8" w:rsidP="002D6DD7">
            <w:pPr>
              <w:pStyle w:val="Default"/>
              <w:spacing w:line="360" w:lineRule="auto"/>
              <w:jc w:val="both"/>
              <w:rPr>
                <w:color w:val="auto"/>
              </w:rPr>
            </w:pPr>
            <w:r w:rsidRPr="00944B15">
              <w:rPr>
                <w:color w:val="auto"/>
              </w:rPr>
              <w:t>Phenobarbital, phenytoin, fluorouracil and trimethoprim.</w:t>
            </w:r>
          </w:p>
        </w:tc>
      </w:tr>
      <w:tr w:rsidR="00223CE8" w:rsidRPr="00944B15" w14:paraId="4BF17F4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58AFEA"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00" w:type="dxa"/>
            <w:tcBorders>
              <w:top w:val="single" w:sz="4" w:space="0" w:color="auto"/>
              <w:left w:val="single" w:sz="4" w:space="0" w:color="auto"/>
              <w:bottom w:val="single" w:sz="4" w:space="0" w:color="auto"/>
              <w:right w:val="single" w:sz="4" w:space="0" w:color="auto"/>
            </w:tcBorders>
            <w:hideMark/>
          </w:tcPr>
          <w:p w14:paraId="3A619081" w14:textId="77777777" w:rsidR="00223CE8" w:rsidRPr="00944B15" w:rsidRDefault="00223CE8" w:rsidP="002D6DD7">
            <w:pPr>
              <w:pStyle w:val="Default"/>
              <w:spacing w:line="360" w:lineRule="auto"/>
              <w:jc w:val="both"/>
              <w:rPr>
                <w:color w:val="auto"/>
              </w:rPr>
            </w:pPr>
            <w:r w:rsidRPr="00944B15">
              <w:rPr>
                <w:color w:val="auto"/>
              </w:rPr>
              <w:t>Allergic reactions, fever, seizures, fainting, diarrhea, nausea, vomiting, wheezing, thrombocytosis, stomatitis and urticaria.</w:t>
            </w:r>
          </w:p>
        </w:tc>
      </w:tr>
      <w:tr w:rsidR="00223CE8" w:rsidRPr="00944B15" w14:paraId="759FD6B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AAD9008"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00" w:type="dxa"/>
            <w:tcBorders>
              <w:top w:val="single" w:sz="4" w:space="0" w:color="auto"/>
              <w:left w:val="single" w:sz="4" w:space="0" w:color="auto"/>
              <w:bottom w:val="single" w:sz="4" w:space="0" w:color="auto"/>
              <w:right w:val="single" w:sz="4" w:space="0" w:color="auto"/>
            </w:tcBorders>
            <w:hideMark/>
          </w:tcPr>
          <w:p w14:paraId="3F7B3B54" w14:textId="77777777" w:rsidR="00223CE8" w:rsidRPr="00944B15" w:rsidRDefault="00223CE8" w:rsidP="002D6DD7">
            <w:pPr>
              <w:pStyle w:val="Default"/>
              <w:spacing w:line="360" w:lineRule="auto"/>
              <w:jc w:val="both"/>
              <w:rPr>
                <w:color w:val="auto"/>
              </w:rPr>
            </w:pPr>
            <w:r w:rsidRPr="00944B15">
              <w:rPr>
                <w:color w:val="auto"/>
              </w:rPr>
              <w:t>Undiagnosed anemia, geriatrics, diarrhea and cancer.</w:t>
            </w:r>
          </w:p>
        </w:tc>
      </w:tr>
      <w:tr w:rsidR="00223CE8" w:rsidRPr="00944B15" w14:paraId="698788E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FDE69B"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00" w:type="dxa"/>
            <w:tcBorders>
              <w:top w:val="single" w:sz="4" w:space="0" w:color="auto"/>
              <w:left w:val="single" w:sz="4" w:space="0" w:color="auto"/>
              <w:bottom w:val="single" w:sz="4" w:space="0" w:color="auto"/>
              <w:right w:val="single" w:sz="4" w:space="0" w:color="auto"/>
            </w:tcBorders>
            <w:hideMark/>
          </w:tcPr>
          <w:p w14:paraId="1A8488F9" w14:textId="77777777" w:rsidR="00223CE8" w:rsidRPr="00944B15" w:rsidRDefault="00223CE8" w:rsidP="002D6DD7">
            <w:pPr>
              <w:spacing w:after="0"/>
              <w:jc w:val="both"/>
              <w:rPr>
                <w:rFonts w:cs="Times New Roman"/>
                <w:szCs w:val="24"/>
              </w:rPr>
            </w:pPr>
            <w:r w:rsidRPr="00944B15">
              <w:rPr>
                <w:rFonts w:cs="Times New Roman"/>
                <w:szCs w:val="24"/>
              </w:rPr>
              <w:t>S</w:t>
            </w:r>
            <w:r>
              <w:rPr>
                <w:rFonts w:cs="Times New Roman"/>
                <w:szCs w:val="24"/>
              </w:rPr>
              <w:t>tore in a refrigerator at 2-8°C. P</w:t>
            </w:r>
            <w:r w:rsidRPr="00944B15">
              <w:rPr>
                <w:rFonts w:cs="Times New Roman"/>
                <w:szCs w:val="24"/>
              </w:rPr>
              <w:t>rotect from light</w:t>
            </w:r>
            <w:r>
              <w:rPr>
                <w:rFonts w:cs="Times New Roman"/>
                <w:szCs w:val="24"/>
              </w:rPr>
              <w:t>.</w:t>
            </w:r>
          </w:p>
        </w:tc>
      </w:tr>
    </w:tbl>
    <w:p w14:paraId="0F9CEF73" w14:textId="77777777" w:rsidR="00223CE8" w:rsidRPr="00944B15" w:rsidRDefault="00223CE8" w:rsidP="00223CE8">
      <w:pPr>
        <w:tabs>
          <w:tab w:val="left" w:pos="3479"/>
        </w:tabs>
        <w:spacing w:after="0"/>
        <w:jc w:val="both"/>
        <w:rPr>
          <w:rFonts w:cs="Times New Roman"/>
          <w:szCs w:val="24"/>
        </w:rPr>
      </w:pPr>
      <w:r w:rsidRPr="00944B15">
        <w:rPr>
          <w:rFonts w:cs="Times New Roman"/>
          <w:szCs w:val="24"/>
        </w:rPr>
        <w:tab/>
      </w:r>
    </w:p>
    <w:p w14:paraId="129AD237" w14:textId="77777777" w:rsidR="00223CE8" w:rsidRPr="00D76338" w:rsidRDefault="00223CE8" w:rsidP="009A6173">
      <w:pPr>
        <w:pStyle w:val="Heading2"/>
        <w:spacing w:before="240" w:after="240"/>
      </w:pPr>
      <w:bookmarkStart w:id="159" w:name="_Toc179490379"/>
      <w:r w:rsidRPr="00D76338">
        <w:t xml:space="preserve">Erythropoietin </w:t>
      </w:r>
      <w:r w:rsidR="009A6173">
        <w:t>s</w:t>
      </w:r>
      <w:r w:rsidRPr="00D76338">
        <w:t xml:space="preserve">timulating </w:t>
      </w:r>
      <w:r w:rsidR="009A6173">
        <w:t>a</w:t>
      </w:r>
      <w:r w:rsidRPr="00D76338">
        <w:t>gents</w:t>
      </w:r>
      <w:bookmarkEnd w:id="159"/>
      <w:r w:rsidRPr="00D76338" w:rsidDel="000A34F2">
        <w:t xml:space="preserve"> </w:t>
      </w:r>
    </w:p>
    <w:p w14:paraId="587F4DBD" w14:textId="77777777" w:rsidR="00223CE8" w:rsidRPr="004E178D" w:rsidRDefault="00223CE8" w:rsidP="00223CE8">
      <w:pPr>
        <w:spacing w:after="0"/>
        <w:jc w:val="both"/>
        <w:rPr>
          <w:rFonts w:cs="Times New Roman"/>
          <w:szCs w:val="24"/>
        </w:rPr>
      </w:pPr>
      <w:r w:rsidRPr="00A14207">
        <w:rPr>
          <w:rFonts w:cs="Times New Roman"/>
          <w:szCs w:val="24"/>
        </w:rPr>
        <w:lastRenderedPageBreak/>
        <w:t>Erythropoietin (EPO) is a glycoprotein hormone that is essential to the body's erythropoietin (RH) production. EPO is a crucial oxygen-carrying molecule that is mostly produced by the kidneys in reaction to low blood oxygen levels. It helps to keep tissues and organs supplied with enough oxygen. Epoetins are used to treat anaemia associated with erythropoietin deficiency in chronic renal failure, to increase the yield of autologous blood in normal individuals and to shorten the period of symptomatic anaemia in patients receiving cytotoxic chemotherapy</w:t>
      </w:r>
      <w:r w:rsidRPr="00AC374E">
        <w:rPr>
          <w:rFonts w:cs="Times New Roman"/>
          <w:szCs w:val="24"/>
        </w:rPr>
        <w:t>.</w:t>
      </w:r>
    </w:p>
    <w:p w14:paraId="26D6299F" w14:textId="77777777" w:rsidR="00223CE8" w:rsidRPr="00944B15" w:rsidRDefault="00223CE8" w:rsidP="00223CE8">
      <w:pPr>
        <w:spacing w:after="0"/>
        <w:jc w:val="both"/>
        <w:rPr>
          <w:rFonts w:cs="Times New Roman"/>
          <w:szCs w:val="24"/>
        </w:rPr>
      </w:pPr>
    </w:p>
    <w:tbl>
      <w:tblPr>
        <w:tblW w:w="9918" w:type="dxa"/>
        <w:tblLook w:val="04A0" w:firstRow="1" w:lastRow="0" w:firstColumn="1" w:lastColumn="0" w:noHBand="0" w:noVBand="1"/>
      </w:tblPr>
      <w:tblGrid>
        <w:gridCol w:w="2605"/>
        <w:gridCol w:w="7313"/>
      </w:tblGrid>
      <w:tr w:rsidR="00223CE8" w:rsidRPr="00944B15" w14:paraId="19483E5D" w14:textId="77777777" w:rsidTr="002D6DD7">
        <w:tc>
          <w:tcPr>
            <w:tcW w:w="9918" w:type="dxa"/>
            <w:gridSpan w:val="2"/>
            <w:tcBorders>
              <w:top w:val="single" w:sz="4" w:space="0" w:color="auto"/>
              <w:left w:val="single" w:sz="4" w:space="0" w:color="auto"/>
              <w:bottom w:val="single" w:sz="4" w:space="0" w:color="auto"/>
              <w:right w:val="single" w:sz="4" w:space="0" w:color="auto"/>
            </w:tcBorders>
            <w:hideMark/>
          </w:tcPr>
          <w:p w14:paraId="01078A10" w14:textId="77777777" w:rsidR="00223CE8" w:rsidRPr="00944B15" w:rsidRDefault="00223CE8" w:rsidP="002D6DD7">
            <w:pPr>
              <w:spacing w:after="0"/>
              <w:jc w:val="both"/>
              <w:rPr>
                <w:rFonts w:cs="Times New Roman"/>
                <w:b/>
                <w:szCs w:val="24"/>
              </w:rPr>
            </w:pPr>
            <w:r w:rsidRPr="00944B15">
              <w:rPr>
                <w:rFonts w:cs="Times New Roman"/>
                <w:b/>
                <w:szCs w:val="24"/>
              </w:rPr>
              <w:t>Darbepoetin alfa</w:t>
            </w:r>
          </w:p>
        </w:tc>
      </w:tr>
      <w:tr w:rsidR="00223CE8" w:rsidRPr="00944B15" w14:paraId="21D84882" w14:textId="77777777" w:rsidTr="002D6DD7">
        <w:trPr>
          <w:trHeight w:val="46"/>
        </w:trPr>
        <w:tc>
          <w:tcPr>
            <w:tcW w:w="2605" w:type="dxa"/>
            <w:tcBorders>
              <w:top w:val="single" w:sz="4" w:space="0" w:color="auto"/>
              <w:left w:val="single" w:sz="4" w:space="0" w:color="auto"/>
              <w:bottom w:val="single" w:sz="4" w:space="0" w:color="auto"/>
              <w:right w:val="single" w:sz="4" w:space="0" w:color="auto"/>
            </w:tcBorders>
            <w:hideMark/>
          </w:tcPr>
          <w:p w14:paraId="038D3242"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tcBorders>
              <w:top w:val="single" w:sz="4" w:space="0" w:color="auto"/>
              <w:left w:val="single" w:sz="4" w:space="0" w:color="auto"/>
              <w:bottom w:val="single" w:sz="4" w:space="0" w:color="auto"/>
              <w:right w:val="single" w:sz="4" w:space="0" w:color="auto"/>
            </w:tcBorders>
            <w:hideMark/>
          </w:tcPr>
          <w:p w14:paraId="5ACDBCFE" w14:textId="77777777" w:rsidR="00223CE8" w:rsidRPr="00944B15" w:rsidRDefault="00223CE8" w:rsidP="002D6DD7">
            <w:pPr>
              <w:spacing w:after="0"/>
              <w:jc w:val="both"/>
              <w:rPr>
                <w:rFonts w:cs="Times New Roman"/>
                <w:szCs w:val="24"/>
              </w:rPr>
            </w:pPr>
            <w:r w:rsidRPr="00944B15">
              <w:rPr>
                <w:rFonts w:cs="Times New Roman"/>
                <w:szCs w:val="24"/>
              </w:rPr>
              <w:t>E</w:t>
            </w:r>
            <w:r>
              <w:rPr>
                <w:rFonts w:cs="Times New Roman"/>
                <w:szCs w:val="24"/>
              </w:rPr>
              <w:t>rythropoietin Stimulating Agent</w:t>
            </w:r>
          </w:p>
        </w:tc>
      </w:tr>
      <w:tr w:rsidR="00223CE8" w:rsidRPr="00944B15" w14:paraId="006610E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627880"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tcBorders>
              <w:top w:val="single" w:sz="4" w:space="0" w:color="auto"/>
              <w:left w:val="single" w:sz="4" w:space="0" w:color="auto"/>
              <w:bottom w:val="single" w:sz="4" w:space="0" w:color="auto"/>
              <w:right w:val="single" w:sz="4" w:space="0" w:color="auto"/>
            </w:tcBorders>
            <w:hideMark/>
          </w:tcPr>
          <w:p w14:paraId="39B56EBD" w14:textId="77777777" w:rsidR="00223CE8" w:rsidRPr="00944B15" w:rsidRDefault="00223CE8" w:rsidP="002D6DD7">
            <w:pPr>
              <w:spacing w:after="0"/>
              <w:jc w:val="both"/>
              <w:rPr>
                <w:rFonts w:cs="Times New Roman"/>
                <w:szCs w:val="24"/>
              </w:rPr>
            </w:pPr>
            <w:r w:rsidRPr="00944B15">
              <w:rPr>
                <w:rFonts w:cs="Times New Roman"/>
                <w:szCs w:val="24"/>
              </w:rPr>
              <w:t>Injection, 10mcg/0.4</w:t>
            </w:r>
            <w:r>
              <w:rPr>
                <w:rFonts w:cs="Times New Roman"/>
                <w:szCs w:val="24"/>
              </w:rPr>
              <w:t>ml</w:t>
            </w:r>
            <w:r w:rsidRPr="00944B15">
              <w:rPr>
                <w:rFonts w:cs="Times New Roman"/>
                <w:szCs w:val="24"/>
              </w:rPr>
              <w:t>,15mcg/0.375</w:t>
            </w:r>
            <w:r>
              <w:rPr>
                <w:rFonts w:cs="Times New Roman"/>
                <w:szCs w:val="24"/>
              </w:rPr>
              <w:t>ml</w:t>
            </w:r>
            <w:r w:rsidRPr="00944B15">
              <w:rPr>
                <w:rFonts w:cs="Times New Roman"/>
                <w:szCs w:val="24"/>
              </w:rPr>
              <w:t>, 20mcg/0.5</w:t>
            </w:r>
            <w:r>
              <w:rPr>
                <w:rFonts w:cs="Times New Roman"/>
                <w:szCs w:val="24"/>
              </w:rPr>
              <w:t>ml</w:t>
            </w:r>
            <w:r w:rsidRPr="00944B15">
              <w:rPr>
                <w:rFonts w:cs="Times New Roman"/>
                <w:szCs w:val="24"/>
              </w:rPr>
              <w:t>, 25mcg/0.42</w:t>
            </w:r>
            <w:r>
              <w:rPr>
                <w:rFonts w:cs="Times New Roman"/>
                <w:szCs w:val="24"/>
              </w:rPr>
              <w:t>ml</w:t>
            </w:r>
            <w:r w:rsidRPr="00944B15">
              <w:rPr>
                <w:rFonts w:cs="Times New Roman"/>
                <w:szCs w:val="24"/>
              </w:rPr>
              <w:t>, 40mcg/0.4</w:t>
            </w:r>
            <w:r>
              <w:rPr>
                <w:rFonts w:cs="Times New Roman"/>
                <w:szCs w:val="24"/>
              </w:rPr>
              <w:t>ml</w:t>
            </w:r>
            <w:r w:rsidRPr="00944B15">
              <w:rPr>
                <w:rFonts w:cs="Times New Roman"/>
                <w:szCs w:val="24"/>
              </w:rPr>
              <w:t>,</w:t>
            </w:r>
            <w:r>
              <w:rPr>
                <w:rFonts w:cs="Times New Roman"/>
                <w:szCs w:val="24"/>
              </w:rPr>
              <w:t xml:space="preserve"> </w:t>
            </w:r>
            <w:r w:rsidRPr="00944B15">
              <w:rPr>
                <w:rFonts w:cs="Times New Roman"/>
                <w:szCs w:val="24"/>
              </w:rPr>
              <w:t>60mcg/0.3</w:t>
            </w:r>
            <w:r>
              <w:rPr>
                <w:rFonts w:cs="Times New Roman"/>
                <w:szCs w:val="24"/>
              </w:rPr>
              <w:t>ml</w:t>
            </w:r>
            <w:r w:rsidRPr="00944B15">
              <w:rPr>
                <w:rFonts w:cs="Times New Roman"/>
                <w:szCs w:val="24"/>
              </w:rPr>
              <w:t>,100mcg/0.5</w:t>
            </w:r>
            <w:r>
              <w:rPr>
                <w:rFonts w:cs="Times New Roman"/>
                <w:szCs w:val="24"/>
              </w:rPr>
              <w:t>ml</w:t>
            </w:r>
            <w:r w:rsidRPr="00944B15">
              <w:rPr>
                <w:rFonts w:cs="Times New Roman"/>
                <w:szCs w:val="24"/>
              </w:rPr>
              <w:t>, 150mcg/0.3</w:t>
            </w:r>
            <w:r>
              <w:rPr>
                <w:rFonts w:cs="Times New Roman"/>
                <w:szCs w:val="24"/>
              </w:rPr>
              <w:t>ml</w:t>
            </w:r>
            <w:r w:rsidRPr="00944B15">
              <w:rPr>
                <w:rFonts w:cs="Times New Roman"/>
                <w:szCs w:val="24"/>
              </w:rPr>
              <w:t>,</w:t>
            </w:r>
            <w:r>
              <w:rPr>
                <w:rFonts w:cs="Times New Roman"/>
                <w:szCs w:val="24"/>
              </w:rPr>
              <w:t xml:space="preserve"> </w:t>
            </w:r>
            <w:r w:rsidRPr="00944B15">
              <w:rPr>
                <w:rFonts w:cs="Times New Roman"/>
                <w:szCs w:val="24"/>
              </w:rPr>
              <w:t>200mcg/0.4</w:t>
            </w:r>
            <w:r>
              <w:rPr>
                <w:rFonts w:cs="Times New Roman"/>
                <w:szCs w:val="24"/>
              </w:rPr>
              <w:t>ml</w:t>
            </w:r>
            <w:r w:rsidRPr="00944B15">
              <w:rPr>
                <w:rFonts w:cs="Times New Roman"/>
                <w:szCs w:val="24"/>
              </w:rPr>
              <w:t>, 300mcg/0.6</w:t>
            </w:r>
            <w:r>
              <w:rPr>
                <w:rFonts w:cs="Times New Roman"/>
                <w:szCs w:val="24"/>
              </w:rPr>
              <w:t>ml</w:t>
            </w:r>
            <w:r w:rsidRPr="00944B15">
              <w:rPr>
                <w:rFonts w:cs="Times New Roman"/>
                <w:szCs w:val="24"/>
              </w:rPr>
              <w:t xml:space="preserve"> and 500mcg/1</w:t>
            </w:r>
            <w:r>
              <w:rPr>
                <w:rFonts w:cs="Times New Roman"/>
                <w:szCs w:val="24"/>
              </w:rPr>
              <w:t>Ml</w:t>
            </w:r>
          </w:p>
        </w:tc>
      </w:tr>
      <w:tr w:rsidR="00223CE8" w:rsidRPr="00944B15" w14:paraId="73A7A01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6A2E407"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tcBorders>
              <w:top w:val="single" w:sz="4" w:space="0" w:color="auto"/>
              <w:left w:val="single" w:sz="4" w:space="0" w:color="auto"/>
              <w:bottom w:val="single" w:sz="4" w:space="0" w:color="auto"/>
              <w:right w:val="single" w:sz="4" w:space="0" w:color="auto"/>
            </w:tcBorders>
            <w:hideMark/>
          </w:tcPr>
          <w:p w14:paraId="1212BB4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with chronic renal failure including patients on dialysis and patients not on dialysis and symptomatic anaemia in adult cancer patients with non-myeloid malignancies receiving chemotherapy.</w:t>
            </w:r>
          </w:p>
        </w:tc>
      </w:tr>
      <w:tr w:rsidR="00223CE8" w:rsidRPr="00944B15" w14:paraId="786A8B6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B61BAE"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7313" w:type="dxa"/>
            <w:tcBorders>
              <w:top w:val="single" w:sz="4" w:space="0" w:color="auto"/>
              <w:left w:val="single" w:sz="4" w:space="0" w:color="auto"/>
              <w:bottom w:val="single" w:sz="4" w:space="0" w:color="auto"/>
              <w:right w:val="single" w:sz="4" w:space="0" w:color="auto"/>
            </w:tcBorders>
            <w:hideMark/>
          </w:tcPr>
          <w:p w14:paraId="65509D07" w14:textId="77777777" w:rsidR="00223CE8" w:rsidRPr="00944B15" w:rsidRDefault="00223CE8" w:rsidP="002D6DD7">
            <w:pPr>
              <w:adjustRightInd w:val="0"/>
              <w:spacing w:after="0"/>
              <w:jc w:val="both"/>
              <w:rPr>
                <w:rFonts w:eastAsia="Candara-Italic" w:cs="Times New Roman"/>
                <w:b/>
                <w:szCs w:val="24"/>
              </w:rPr>
            </w:pPr>
            <w:r>
              <w:rPr>
                <w:rFonts w:eastAsia="Candara-Italic" w:cs="Times New Roman"/>
                <w:b/>
                <w:szCs w:val="24"/>
              </w:rPr>
              <w:t>Adult:</w:t>
            </w:r>
          </w:p>
          <w:p w14:paraId="60A505EF"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associated with chronic renal failure in patients on dialysis</w:t>
            </w:r>
            <w:r>
              <w:rPr>
                <w:rFonts w:eastAsia="Candara-Italic" w:cs="Times New Roman"/>
                <w:b/>
                <w:szCs w:val="24"/>
              </w:rPr>
              <w:t>:</w:t>
            </w:r>
          </w:p>
          <w:p w14:paraId="35E198D0"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IV</w:t>
            </w:r>
            <w:r>
              <w:rPr>
                <w:rFonts w:eastAsia="Candara-Italic" w:cs="Times New Roman"/>
                <w:szCs w:val="24"/>
              </w:rPr>
              <w:t>/</w:t>
            </w:r>
            <w:r w:rsidRPr="00944B15">
              <w:rPr>
                <w:rFonts w:eastAsia="Candara-Italic" w:cs="Times New Roman"/>
                <w:szCs w:val="24"/>
              </w:rPr>
              <w:t xml:space="preserve">SC: initially </w:t>
            </w:r>
            <w:r>
              <w:rPr>
                <w:rFonts w:eastAsia="Candara-Italic" w:cs="Times New Roman"/>
                <w:szCs w:val="24"/>
              </w:rPr>
              <w:t>0.45microgram</w:t>
            </w:r>
            <w:r w:rsidRPr="00944B15">
              <w:rPr>
                <w:rFonts w:eastAsia="Candara-Italic" w:cs="Times New Roman"/>
                <w:szCs w:val="24"/>
              </w:rPr>
              <w:t>/kg once weekly, dose to be adjusted according to response by approximately 25% at intervals of at least 4 weeks.</w:t>
            </w:r>
          </w:p>
          <w:p w14:paraId="2AB02820"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Maintenance dose to be given once weekly or once every 2 weeks, reduce dose by approximately 25%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exceeds 12 g/100 </w:t>
            </w:r>
            <w:r>
              <w:rPr>
                <w:rFonts w:eastAsia="Candara-Italic" w:cs="Times New Roman"/>
                <w:szCs w:val="24"/>
              </w:rPr>
              <w:t>ml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w:t>
            </w:r>
            <w:r>
              <w:rPr>
                <w:rFonts w:eastAsia="Candara-Italic" w:cs="Times New Roman"/>
                <w:szCs w:val="24"/>
              </w:rPr>
              <w:t>.</w:t>
            </w:r>
            <w:r w:rsidRPr="00944B15">
              <w:rPr>
                <w:rFonts w:eastAsia="Candara-Italic" w:cs="Times New Roman"/>
                <w:szCs w:val="24"/>
              </w:rPr>
              <w:t xml:space="preserve"> </w:t>
            </w:r>
            <w:r>
              <w:rPr>
                <w:rFonts w:eastAsia="Candara-Italic" w:cs="Times New Roman"/>
                <w:szCs w:val="24"/>
              </w:rPr>
              <w:t>W</w:t>
            </w:r>
            <w:r w:rsidRPr="00944B15">
              <w:rPr>
                <w:rFonts w:eastAsia="Candara-Italic" w:cs="Times New Roman"/>
                <w:szCs w:val="24"/>
              </w:rPr>
              <w:t>hen changing route give same dose then adjust according to weekly or fortnightly haemoglobin measurements, adjust doses not more frequently than every 2 weeks during maintenance treatment.</w:t>
            </w:r>
          </w:p>
          <w:p w14:paraId="43000ED2"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 xml:space="preserve">Symptomatic anaemia associated with chronic renal failure in </w:t>
            </w:r>
            <w:r w:rsidRPr="00944B15">
              <w:rPr>
                <w:rFonts w:eastAsia="Candara-Italic" w:cs="Times New Roman"/>
                <w:b/>
                <w:szCs w:val="24"/>
              </w:rPr>
              <w:lastRenderedPageBreak/>
              <w:t>patients not on dialysis</w:t>
            </w:r>
            <w:r>
              <w:rPr>
                <w:rFonts w:eastAsia="Candara-Italic" w:cs="Times New Roman"/>
                <w:b/>
                <w:szCs w:val="24"/>
              </w:rPr>
              <w:t>:</w:t>
            </w:r>
          </w:p>
          <w:p w14:paraId="744554CB"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By </w:t>
            </w:r>
            <w:r>
              <w:rPr>
                <w:rFonts w:eastAsia="Candara-Italic" w:cs="Times New Roman"/>
                <w:szCs w:val="24"/>
              </w:rPr>
              <w:t>IV/SC</w:t>
            </w:r>
            <w:r w:rsidRPr="00944B15">
              <w:rPr>
                <w:rFonts w:eastAsia="Candara-Italic" w:cs="Times New Roman"/>
                <w:szCs w:val="24"/>
              </w:rPr>
              <w:t xml:space="preserve">: Initially </w:t>
            </w:r>
            <w:r>
              <w:rPr>
                <w:rFonts w:eastAsia="Candara-Italic" w:cs="Times New Roman"/>
                <w:szCs w:val="24"/>
              </w:rPr>
              <w:t>0.45microgram</w:t>
            </w:r>
            <w:r w:rsidRPr="00944B15">
              <w:rPr>
                <w:rFonts w:eastAsia="Candara-Italic" w:cs="Times New Roman"/>
                <w:szCs w:val="24"/>
              </w:rPr>
              <w:t xml:space="preserve">/kg once weekly, alternatively initially </w:t>
            </w:r>
            <w:r>
              <w:rPr>
                <w:rFonts w:eastAsia="Candara-Italic" w:cs="Times New Roman"/>
                <w:szCs w:val="24"/>
              </w:rPr>
              <w:t>0.75microgram</w:t>
            </w:r>
            <w:r w:rsidRPr="00944B15">
              <w:rPr>
                <w:rFonts w:eastAsia="Candara-Italic" w:cs="Times New Roman"/>
                <w:szCs w:val="24"/>
              </w:rPr>
              <w:t>/kg every 2 weeks, dose to be adjusted according to response by approximately 25% at intervals of at least 4 weeks.</w:t>
            </w:r>
          </w:p>
          <w:p w14:paraId="22D2ED07"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 Maintenance dose can be given once weekly, every 2 weeks, or once a month, subcutaneous route preferred in patients not on haemodialysis, reduce dose by approximately 25%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exceeds 12 g/100 </w:t>
            </w:r>
            <w:r>
              <w:rPr>
                <w:rFonts w:eastAsia="Candara-Italic" w:cs="Times New Roman"/>
                <w:szCs w:val="24"/>
              </w:rPr>
              <w:t>ml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w:t>
            </w:r>
            <w:r>
              <w:rPr>
                <w:rFonts w:eastAsia="Candara-Italic" w:cs="Times New Roman"/>
                <w:szCs w:val="24"/>
              </w:rPr>
              <w:t>.</w:t>
            </w:r>
            <w:r w:rsidRPr="00944B15">
              <w:rPr>
                <w:rFonts w:eastAsia="Candara-Italic" w:cs="Times New Roman"/>
                <w:szCs w:val="24"/>
              </w:rPr>
              <w:t xml:space="preserve"> When changing route give same dose then adjust according to weekly or fortnightly haemoglobin measurements, adjust doses not more frequently than every 2 weeks during maintenance treatment.</w:t>
            </w:r>
          </w:p>
          <w:p w14:paraId="10DBF3FF"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in adults with non-myeloid malignancies receiving chemotherapy</w:t>
            </w:r>
            <w:r>
              <w:rPr>
                <w:rFonts w:eastAsia="Candara-Italic" w:cs="Times New Roman"/>
                <w:b/>
                <w:szCs w:val="24"/>
              </w:rPr>
              <w:t>:</w:t>
            </w:r>
          </w:p>
          <w:p w14:paraId="612C37EE"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By SC: Initially 6.75 micrograms/kg every 3 weeks, alternatively initially 2.25 micrograms/kg once weekly, if response inadequate after 9 weeks further treatment may not be effective; if adequate response obtained then reduce dose by 25–50%, reduce dose by approximately 25–50%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exceeds 12 g/100 </w:t>
            </w:r>
            <w:r>
              <w:rPr>
                <w:rFonts w:eastAsia="Candara-Italic" w:cs="Times New Roman"/>
                <w:szCs w:val="24"/>
              </w:rPr>
              <w:t>ml</w:t>
            </w:r>
            <w:r w:rsidRPr="00944B15">
              <w:rPr>
                <w:rFonts w:eastAsia="Candara-Italic" w:cs="Times New Roman"/>
                <w:szCs w:val="24"/>
              </w:rPr>
              <w:t>; if haemoglobin concentration continues to rise, despite dose reduction, suspend treatment until haemoglobin concentration decreases and restart at a dose approximately 25% lower than the previous dose. Discontinue approximately 4 weeks after ending chemotherapy.</w:t>
            </w:r>
          </w:p>
        </w:tc>
      </w:tr>
      <w:tr w:rsidR="00223CE8" w:rsidRPr="00944B15" w14:paraId="0277A0F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7429B2"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tcBorders>
              <w:top w:val="single" w:sz="4" w:space="0" w:color="auto"/>
              <w:left w:val="single" w:sz="4" w:space="0" w:color="auto"/>
              <w:bottom w:val="single" w:sz="4" w:space="0" w:color="auto"/>
              <w:right w:val="single" w:sz="4" w:space="0" w:color="auto"/>
            </w:tcBorders>
            <w:hideMark/>
          </w:tcPr>
          <w:p w14:paraId="45705B9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 to the active substance or to any of the excipients, patients who develop pure red cell aplasia following treatment with any erythropoietin and uncontrolled hypertension.</w:t>
            </w:r>
          </w:p>
        </w:tc>
      </w:tr>
      <w:tr w:rsidR="00223CE8" w:rsidRPr="00944B15" w14:paraId="57CAB6CA"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42668157"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tcBorders>
              <w:top w:val="single" w:sz="4" w:space="0" w:color="auto"/>
              <w:left w:val="single" w:sz="4" w:space="0" w:color="auto"/>
              <w:bottom w:val="single" w:sz="4" w:space="0" w:color="auto"/>
              <w:right w:val="single" w:sz="4" w:space="0" w:color="auto"/>
            </w:tcBorders>
            <w:hideMark/>
          </w:tcPr>
          <w:p w14:paraId="717CB222" w14:textId="77777777" w:rsidR="00223CE8" w:rsidRPr="00944B15" w:rsidRDefault="00223CE8" w:rsidP="002D6DD7">
            <w:pPr>
              <w:spacing w:after="0"/>
              <w:jc w:val="both"/>
              <w:rPr>
                <w:rFonts w:cs="Times New Roman"/>
                <w:szCs w:val="24"/>
              </w:rPr>
            </w:pPr>
            <w:r>
              <w:rPr>
                <w:rFonts w:cs="Times New Roman"/>
                <w:szCs w:val="24"/>
              </w:rPr>
              <w:t>There are no significant drug interactions</w:t>
            </w:r>
          </w:p>
        </w:tc>
      </w:tr>
      <w:tr w:rsidR="00223CE8" w:rsidRPr="00944B15" w14:paraId="4EEB9C5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6D347B7" w14:textId="77777777" w:rsidR="00223CE8" w:rsidRPr="00944B15" w:rsidRDefault="00223CE8" w:rsidP="002D6DD7">
            <w:pPr>
              <w:spacing w:after="0"/>
              <w:jc w:val="both"/>
              <w:rPr>
                <w:rFonts w:cs="Times New Roman"/>
                <w:szCs w:val="24"/>
              </w:rPr>
            </w:pPr>
            <w:r w:rsidRPr="00944B15">
              <w:rPr>
                <w:rFonts w:cs="Times New Roman"/>
                <w:szCs w:val="24"/>
              </w:rPr>
              <w:lastRenderedPageBreak/>
              <w:t>Side effects</w:t>
            </w:r>
          </w:p>
        </w:tc>
        <w:tc>
          <w:tcPr>
            <w:tcW w:w="7313" w:type="dxa"/>
            <w:tcBorders>
              <w:top w:val="single" w:sz="4" w:space="0" w:color="auto"/>
              <w:left w:val="single" w:sz="4" w:space="0" w:color="auto"/>
              <w:bottom w:val="single" w:sz="4" w:space="0" w:color="auto"/>
              <w:right w:val="single" w:sz="4" w:space="0" w:color="auto"/>
            </w:tcBorders>
            <w:hideMark/>
          </w:tcPr>
          <w:p w14:paraId="4272F346" w14:textId="77777777" w:rsidR="00223CE8" w:rsidRPr="00944B15" w:rsidRDefault="00223CE8" w:rsidP="002D6DD7">
            <w:pPr>
              <w:spacing w:after="0"/>
              <w:jc w:val="both"/>
              <w:rPr>
                <w:rFonts w:cs="Times New Roman"/>
                <w:szCs w:val="24"/>
              </w:rPr>
            </w:pPr>
            <w:r w:rsidRPr="00944B15">
              <w:rPr>
                <w:rFonts w:cs="Times New Roman"/>
                <w:szCs w:val="24"/>
              </w:rPr>
              <w:t>Serious allergic reactions, fatigue, headache, peripheral oedema, fever, arthralgia, dizziness, hyper/hypotension, diarrhoea, vomiting, dyspnoea, pneumonia, pulmonary embolism, cough and myocardial infraction.</w:t>
            </w:r>
          </w:p>
        </w:tc>
      </w:tr>
      <w:tr w:rsidR="00223CE8" w:rsidRPr="00944B15" w14:paraId="4D8C15A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D8D21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tcBorders>
              <w:top w:val="single" w:sz="4" w:space="0" w:color="auto"/>
              <w:left w:val="single" w:sz="4" w:space="0" w:color="auto"/>
              <w:bottom w:val="single" w:sz="4" w:space="0" w:color="auto"/>
              <w:right w:val="single" w:sz="4" w:space="0" w:color="auto"/>
            </w:tcBorders>
            <w:hideMark/>
          </w:tcPr>
          <w:p w14:paraId="7C0100E4" w14:textId="77777777" w:rsidR="00223CE8" w:rsidRPr="00944B15" w:rsidRDefault="00223CE8" w:rsidP="002D6DD7">
            <w:pPr>
              <w:spacing w:after="0"/>
              <w:jc w:val="both"/>
              <w:rPr>
                <w:rFonts w:cs="Times New Roman"/>
                <w:szCs w:val="24"/>
              </w:rPr>
            </w:pPr>
            <w:r w:rsidRPr="00944B15">
              <w:rPr>
                <w:rFonts w:cs="Times New Roman"/>
                <w:szCs w:val="24"/>
              </w:rPr>
              <w:t>In patients undergoing coronary artery bypass graft surgery (CABG), orthopaedic procedure; serious cardiovascular disorders, thromboembolic events, epilepsy, known porphyria, sickle cell anaemia and thalassemia.</w:t>
            </w:r>
          </w:p>
        </w:tc>
      </w:tr>
      <w:tr w:rsidR="00223CE8" w:rsidRPr="00944B15" w14:paraId="63B7DCB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2286897"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tcBorders>
              <w:top w:val="single" w:sz="4" w:space="0" w:color="auto"/>
              <w:left w:val="single" w:sz="4" w:space="0" w:color="auto"/>
              <w:bottom w:val="single" w:sz="4" w:space="0" w:color="auto"/>
              <w:right w:val="single" w:sz="4" w:space="0" w:color="auto"/>
            </w:tcBorders>
            <w:hideMark/>
          </w:tcPr>
          <w:p w14:paraId="33411B0F" w14:textId="77777777" w:rsidR="00223CE8" w:rsidRPr="00944B15" w:rsidRDefault="00223CE8" w:rsidP="002D6DD7">
            <w:pPr>
              <w:spacing w:after="0"/>
              <w:jc w:val="both"/>
              <w:rPr>
                <w:rFonts w:cs="Times New Roman"/>
                <w:szCs w:val="24"/>
              </w:rPr>
            </w:pPr>
            <w:r w:rsidRPr="00944B15">
              <w:rPr>
                <w:rFonts w:cs="Times New Roman"/>
                <w:szCs w:val="24"/>
              </w:rPr>
              <w:t>Store in a refrigerator at 2-8°C. Do not freeze or shake</w:t>
            </w:r>
          </w:p>
        </w:tc>
      </w:tr>
      <w:tr w:rsidR="00223CE8" w:rsidRPr="00944B15" w14:paraId="5292DDD0" w14:textId="77777777" w:rsidTr="002D6DD7">
        <w:tc>
          <w:tcPr>
            <w:tcW w:w="9918" w:type="dxa"/>
            <w:gridSpan w:val="2"/>
            <w:tcBorders>
              <w:top w:val="single" w:sz="4" w:space="0" w:color="auto"/>
              <w:left w:val="single" w:sz="4" w:space="0" w:color="auto"/>
              <w:bottom w:val="single" w:sz="4" w:space="0" w:color="auto"/>
              <w:right w:val="single" w:sz="4" w:space="0" w:color="auto"/>
            </w:tcBorders>
            <w:hideMark/>
          </w:tcPr>
          <w:p w14:paraId="1F9C8479" w14:textId="77777777" w:rsidR="00223CE8" w:rsidRPr="00944B15" w:rsidRDefault="00223CE8" w:rsidP="002D6DD7">
            <w:pPr>
              <w:spacing w:after="0"/>
              <w:jc w:val="both"/>
              <w:rPr>
                <w:rFonts w:cs="Times New Roman"/>
                <w:b/>
                <w:szCs w:val="24"/>
              </w:rPr>
            </w:pPr>
            <w:r w:rsidRPr="00944B15">
              <w:rPr>
                <w:rFonts w:cs="Times New Roman"/>
                <w:b/>
                <w:szCs w:val="24"/>
              </w:rPr>
              <w:t>Epoetin alfa</w:t>
            </w:r>
          </w:p>
        </w:tc>
      </w:tr>
      <w:tr w:rsidR="00223CE8" w:rsidRPr="00944B15" w14:paraId="5BFC19E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75455D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tcBorders>
              <w:top w:val="single" w:sz="4" w:space="0" w:color="auto"/>
              <w:left w:val="single" w:sz="4" w:space="0" w:color="auto"/>
              <w:bottom w:val="single" w:sz="4" w:space="0" w:color="auto"/>
              <w:right w:val="single" w:sz="4" w:space="0" w:color="auto"/>
            </w:tcBorders>
            <w:hideMark/>
          </w:tcPr>
          <w:p w14:paraId="296D2A4A" w14:textId="77777777" w:rsidR="00223CE8" w:rsidRPr="00944B15" w:rsidRDefault="00223CE8" w:rsidP="002D6DD7">
            <w:pPr>
              <w:spacing w:after="0"/>
              <w:jc w:val="both"/>
              <w:rPr>
                <w:rFonts w:cs="Times New Roman"/>
                <w:szCs w:val="24"/>
              </w:rPr>
            </w:pPr>
            <w:r w:rsidRPr="00944B15">
              <w:rPr>
                <w:rFonts w:cs="Times New Roman"/>
                <w:szCs w:val="24"/>
              </w:rPr>
              <w:t>E</w:t>
            </w:r>
            <w:r>
              <w:rPr>
                <w:rFonts w:cs="Times New Roman"/>
                <w:szCs w:val="24"/>
              </w:rPr>
              <w:t>rythropoietin Stimulating Agent</w:t>
            </w:r>
          </w:p>
        </w:tc>
      </w:tr>
      <w:tr w:rsidR="00223CE8" w:rsidRPr="00944B15" w14:paraId="608A0E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17B3FAF"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tcBorders>
              <w:top w:val="single" w:sz="4" w:space="0" w:color="auto"/>
              <w:left w:val="single" w:sz="4" w:space="0" w:color="auto"/>
              <w:bottom w:val="single" w:sz="4" w:space="0" w:color="auto"/>
              <w:right w:val="single" w:sz="4" w:space="0" w:color="auto"/>
            </w:tcBorders>
            <w:hideMark/>
          </w:tcPr>
          <w:p w14:paraId="20470B52" w14:textId="77777777" w:rsidR="00223CE8" w:rsidRPr="00944B15" w:rsidRDefault="00223CE8" w:rsidP="002D6DD7">
            <w:pPr>
              <w:spacing w:after="0"/>
              <w:jc w:val="both"/>
              <w:rPr>
                <w:rFonts w:cs="Times New Roman"/>
                <w:szCs w:val="24"/>
              </w:rPr>
            </w:pPr>
            <w:r w:rsidRPr="00944B15">
              <w:rPr>
                <w:rFonts w:cs="Times New Roman"/>
                <w:szCs w:val="24"/>
              </w:rPr>
              <w:t xml:space="preserve">Injection (prefilled syringe), 1 000 IU/0.5 </w:t>
            </w:r>
            <w:r>
              <w:rPr>
                <w:rFonts w:cs="Times New Roman"/>
                <w:szCs w:val="24"/>
              </w:rPr>
              <w:t>ml</w:t>
            </w:r>
            <w:r w:rsidRPr="00944B15">
              <w:rPr>
                <w:rFonts w:cs="Times New Roman"/>
                <w:szCs w:val="24"/>
              </w:rPr>
              <w:t xml:space="preserve">, 2 000 IU/1 </w:t>
            </w:r>
            <w:r>
              <w:rPr>
                <w:rFonts w:cs="Times New Roman"/>
                <w:szCs w:val="24"/>
              </w:rPr>
              <w:t>ml</w:t>
            </w:r>
            <w:r w:rsidRPr="00944B15">
              <w:rPr>
                <w:rFonts w:cs="Times New Roman"/>
                <w:szCs w:val="24"/>
              </w:rPr>
              <w:t xml:space="preserve"> , 3 000 IU/0.3 </w:t>
            </w:r>
            <w:r>
              <w:rPr>
                <w:rFonts w:cs="Times New Roman"/>
                <w:szCs w:val="24"/>
              </w:rPr>
              <w:t>ml</w:t>
            </w:r>
            <w:r w:rsidRPr="00944B15">
              <w:rPr>
                <w:rFonts w:cs="Times New Roman"/>
                <w:szCs w:val="24"/>
              </w:rPr>
              <w:t xml:space="preserve">, 4 000 IU/0.4 </w:t>
            </w:r>
            <w:r>
              <w:rPr>
                <w:rFonts w:cs="Times New Roman"/>
                <w:szCs w:val="24"/>
              </w:rPr>
              <w:t>ml</w:t>
            </w:r>
            <w:r w:rsidRPr="00944B15">
              <w:rPr>
                <w:rFonts w:cs="Times New Roman"/>
                <w:szCs w:val="24"/>
              </w:rPr>
              <w:t xml:space="preserve">, 5 000 IU/0.5 </w:t>
            </w:r>
            <w:r>
              <w:rPr>
                <w:rFonts w:cs="Times New Roman"/>
                <w:szCs w:val="24"/>
              </w:rPr>
              <w:t>ml</w:t>
            </w:r>
            <w:r w:rsidRPr="00944B15">
              <w:rPr>
                <w:rFonts w:cs="Times New Roman"/>
                <w:szCs w:val="24"/>
              </w:rPr>
              <w:t xml:space="preserve">, 6 000 IU/0.6 </w:t>
            </w:r>
            <w:r>
              <w:rPr>
                <w:rFonts w:cs="Times New Roman"/>
                <w:szCs w:val="24"/>
              </w:rPr>
              <w:t>ml</w:t>
            </w:r>
            <w:r w:rsidRPr="00944B15">
              <w:rPr>
                <w:rFonts w:cs="Times New Roman"/>
                <w:szCs w:val="24"/>
              </w:rPr>
              <w:t xml:space="preserve">, 7 000 IU/0.7 </w:t>
            </w:r>
            <w:r>
              <w:rPr>
                <w:rFonts w:cs="Times New Roman"/>
                <w:szCs w:val="24"/>
              </w:rPr>
              <w:t>ml</w:t>
            </w:r>
            <w:r w:rsidRPr="00944B15">
              <w:rPr>
                <w:rFonts w:cs="Times New Roman"/>
                <w:szCs w:val="24"/>
              </w:rPr>
              <w:t xml:space="preserve">, 8 000 IU/0.8 </w:t>
            </w:r>
            <w:r>
              <w:rPr>
                <w:rFonts w:cs="Times New Roman"/>
                <w:szCs w:val="24"/>
              </w:rPr>
              <w:t>ml</w:t>
            </w:r>
            <w:r w:rsidRPr="00944B15">
              <w:rPr>
                <w:rFonts w:cs="Times New Roman"/>
                <w:szCs w:val="24"/>
              </w:rPr>
              <w:t xml:space="preserve">, 9 000 IU/0.9 </w:t>
            </w:r>
            <w:r>
              <w:rPr>
                <w:rFonts w:cs="Times New Roman"/>
                <w:szCs w:val="24"/>
              </w:rPr>
              <w:t>ml</w:t>
            </w:r>
            <w:r w:rsidRPr="00944B15">
              <w:rPr>
                <w:rFonts w:cs="Times New Roman"/>
                <w:szCs w:val="24"/>
              </w:rPr>
              <w:t xml:space="preserve">, 10 000 IU/1 </w:t>
            </w:r>
            <w:r>
              <w:rPr>
                <w:rFonts w:cs="Times New Roman"/>
                <w:szCs w:val="24"/>
              </w:rPr>
              <w:t>ml</w:t>
            </w:r>
            <w:r w:rsidRPr="00944B15">
              <w:rPr>
                <w:rFonts w:cs="Times New Roman"/>
                <w:szCs w:val="24"/>
              </w:rPr>
              <w:t xml:space="preserve">, 20 000 IU/0.5 </w:t>
            </w:r>
            <w:r>
              <w:rPr>
                <w:rFonts w:cs="Times New Roman"/>
                <w:szCs w:val="24"/>
              </w:rPr>
              <w:t>ml</w:t>
            </w:r>
            <w:r w:rsidRPr="00944B15">
              <w:rPr>
                <w:rFonts w:cs="Times New Roman"/>
                <w:szCs w:val="24"/>
              </w:rPr>
              <w:t xml:space="preserve">, 30 000 IU/0.75 </w:t>
            </w:r>
            <w:r>
              <w:rPr>
                <w:rFonts w:cs="Times New Roman"/>
                <w:szCs w:val="24"/>
              </w:rPr>
              <w:t>ml</w:t>
            </w:r>
            <w:r w:rsidRPr="00944B15">
              <w:rPr>
                <w:rFonts w:cs="Times New Roman"/>
                <w:szCs w:val="24"/>
              </w:rPr>
              <w:t xml:space="preserve">, 40 000 IU/1 </w:t>
            </w:r>
            <w:r>
              <w:rPr>
                <w:rFonts w:cs="Times New Roman"/>
                <w:szCs w:val="24"/>
              </w:rPr>
              <w:t>ml</w:t>
            </w:r>
            <w:r w:rsidRPr="00944B15">
              <w:rPr>
                <w:rFonts w:cs="Times New Roman"/>
                <w:szCs w:val="24"/>
              </w:rPr>
              <w:t xml:space="preserve"> </w:t>
            </w:r>
          </w:p>
        </w:tc>
      </w:tr>
      <w:tr w:rsidR="00223CE8" w:rsidRPr="00944B15" w14:paraId="398B799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B516F57"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tcBorders>
              <w:top w:val="single" w:sz="4" w:space="0" w:color="auto"/>
              <w:left w:val="single" w:sz="4" w:space="0" w:color="auto"/>
              <w:bottom w:val="single" w:sz="4" w:space="0" w:color="auto"/>
              <w:right w:val="single" w:sz="4" w:space="0" w:color="auto"/>
            </w:tcBorders>
            <w:hideMark/>
          </w:tcPr>
          <w:p w14:paraId="6E29180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due to end stage kidney disease, chemotherapy, major surgery, or other chronic illnesses.</w:t>
            </w:r>
          </w:p>
        </w:tc>
      </w:tr>
      <w:tr w:rsidR="00223CE8" w:rsidRPr="00944B15" w14:paraId="028125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6C486C6"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tcBorders>
              <w:top w:val="single" w:sz="4" w:space="0" w:color="auto"/>
              <w:left w:val="single" w:sz="4" w:space="0" w:color="auto"/>
              <w:bottom w:val="single" w:sz="4" w:space="0" w:color="auto"/>
              <w:right w:val="single" w:sz="4" w:space="0" w:color="auto"/>
            </w:tcBorders>
            <w:hideMark/>
          </w:tcPr>
          <w:p w14:paraId="2C732981"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 xml:space="preserve">Adult: </w:t>
            </w:r>
          </w:p>
          <w:p w14:paraId="590C0FF4" w14:textId="77777777" w:rsidR="00223CE8"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 xml:space="preserve">Symptomatic anaemia associated with chronic renal failure in patients on haemodialysis: </w:t>
            </w:r>
          </w:p>
          <w:p w14:paraId="3ECCF887"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IV/SC injection</w:t>
            </w:r>
            <w:r>
              <w:rPr>
                <w:rFonts w:eastAsia="Candara-Italic" w:cs="Times New Roman"/>
                <w:szCs w:val="24"/>
              </w:rPr>
              <w:t xml:space="preserve">: </w:t>
            </w:r>
            <w:r w:rsidRPr="00944B15">
              <w:rPr>
                <w:rFonts w:eastAsia="Candara-Italic" w:cs="Times New Roman"/>
                <w:szCs w:val="24"/>
              </w:rPr>
              <w:t>Initially 50 units/kg 3 times a week, adjusted in steps of 25 units/kg 3 times a week, dose adjusted according to response at intervals of at</w:t>
            </w:r>
            <w:r w:rsidRPr="00944B15">
              <w:rPr>
                <w:rFonts w:cs="Times New Roman"/>
                <w:szCs w:val="24"/>
              </w:rPr>
              <w:t xml:space="preserve"> </w:t>
            </w:r>
            <w:r w:rsidRPr="00944B15">
              <w:rPr>
                <w:rFonts w:eastAsia="Candara-Italic" w:cs="Times New Roman"/>
                <w:szCs w:val="24"/>
              </w:rPr>
              <w:t xml:space="preserve">least 4 weeks; maintenance 75–300 units/kg once weekly, intravenous route preferred, intravenous injection to be given over 1–5 minutes, subcutaneous injection, maximum 1 </w:t>
            </w:r>
            <w:r>
              <w:rPr>
                <w:rFonts w:eastAsia="Candara-Italic" w:cs="Times New Roman"/>
                <w:szCs w:val="24"/>
              </w:rPr>
              <w:t>ml</w:t>
            </w:r>
            <w:r w:rsidRPr="00944B15">
              <w:rPr>
                <w:rFonts w:eastAsia="Candara-Italic" w:cs="Times New Roman"/>
                <w:szCs w:val="24"/>
              </w:rPr>
              <w:t xml:space="preserve"> per injection site.</w:t>
            </w:r>
          </w:p>
          <w:p w14:paraId="58673AAB"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Maintenance dose can be given as a single dose or in divided doses, reduce dose by approximately 25%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exceeds 1</w:t>
            </w:r>
            <w:r>
              <w:rPr>
                <w:rFonts w:eastAsia="Candara-Italic" w:cs="Times New Roman"/>
                <w:szCs w:val="24"/>
              </w:rPr>
              <w:t>1.5</w:t>
            </w:r>
            <w:r w:rsidRPr="00944B15">
              <w:rPr>
                <w:rFonts w:eastAsia="Candara-Italic" w:cs="Times New Roman"/>
                <w:szCs w:val="24"/>
              </w:rPr>
              <w:t xml:space="preserve"> g/</w:t>
            </w:r>
            <w:r>
              <w:rPr>
                <w:rFonts w:eastAsia="Candara-Italic" w:cs="Times New Roman"/>
                <w:szCs w:val="24"/>
              </w:rPr>
              <w:t>dl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w:t>
            </w:r>
          </w:p>
          <w:p w14:paraId="0B4293FB" w14:textId="77777777" w:rsidR="00223CE8" w:rsidRDefault="00223CE8" w:rsidP="002D6DD7">
            <w:pPr>
              <w:adjustRightInd w:val="0"/>
              <w:spacing w:after="0"/>
              <w:jc w:val="both"/>
              <w:rPr>
                <w:rFonts w:eastAsia="Candara-Italic" w:cs="Times New Roman"/>
                <w:szCs w:val="24"/>
              </w:rPr>
            </w:pPr>
            <w:r w:rsidRPr="00944B15">
              <w:rPr>
                <w:rFonts w:eastAsia="Candara-Italic" w:cs="Times New Roman"/>
                <w:b/>
                <w:szCs w:val="24"/>
              </w:rPr>
              <w:t xml:space="preserve">Severe symptomatic anaemia of renal origin in adults with renal </w:t>
            </w:r>
            <w:r w:rsidRPr="00944B15">
              <w:rPr>
                <w:rFonts w:eastAsia="Candara-Italic" w:cs="Times New Roman"/>
                <w:b/>
                <w:szCs w:val="24"/>
              </w:rPr>
              <w:lastRenderedPageBreak/>
              <w:t>insufficiency not yet on dialysis:</w:t>
            </w:r>
            <w:r w:rsidRPr="00944B15">
              <w:rPr>
                <w:rFonts w:eastAsia="Candara-Italic" w:cs="Times New Roman"/>
                <w:szCs w:val="24"/>
              </w:rPr>
              <w:t xml:space="preserve"> </w:t>
            </w:r>
          </w:p>
          <w:p w14:paraId="1433C034"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IV/SC injection</w:t>
            </w:r>
            <w:r>
              <w:rPr>
                <w:rFonts w:eastAsia="Candara-Italic" w:cs="Times New Roman"/>
                <w:szCs w:val="24"/>
              </w:rPr>
              <w:t xml:space="preserve">: </w:t>
            </w:r>
            <w:r w:rsidRPr="00944B15">
              <w:rPr>
                <w:rFonts w:eastAsia="Candara-Italic" w:cs="Times New Roman"/>
                <w:szCs w:val="24"/>
              </w:rPr>
              <w:t xml:space="preserve">Initially 50 units/kg 3 times a week, increased in steps of 25 units/kg 3 times a week, adjusted according to response, dose to be increased at intervals of at least 4 weeks; maintenance 17–33 units/kg 3 times a week (max. per dose 200 units/kg 3 times a week), IV route preferred, intravenous injection to be given over 1–5 minutes, subcutaneous injection, maximum 1 </w:t>
            </w:r>
            <w:r>
              <w:rPr>
                <w:rFonts w:eastAsia="Candara-Italic" w:cs="Times New Roman"/>
                <w:szCs w:val="24"/>
              </w:rPr>
              <w:t>ml</w:t>
            </w:r>
            <w:r w:rsidRPr="00944B15">
              <w:rPr>
                <w:rFonts w:eastAsia="Candara-Italic" w:cs="Times New Roman"/>
                <w:szCs w:val="24"/>
              </w:rPr>
              <w:t xml:space="preserve"> per injection site.</w:t>
            </w:r>
          </w:p>
          <w:p w14:paraId="20615153"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Reduce dose by approximately 25% if rise in hemoglobin concentration exceeds 2 g/100 </w:t>
            </w:r>
            <w:r>
              <w:rPr>
                <w:rFonts w:eastAsia="Candara-Italic" w:cs="Times New Roman"/>
                <w:szCs w:val="24"/>
              </w:rPr>
              <w:t>ml</w:t>
            </w:r>
            <w:r w:rsidRPr="00944B15">
              <w:rPr>
                <w:rFonts w:eastAsia="Candara-Italic" w:cs="Times New Roman"/>
                <w:szCs w:val="24"/>
              </w:rPr>
              <w:t xml:space="preserve"> over 4 weeks or if hemoglobin concentration exceeds</w:t>
            </w:r>
            <w:r>
              <w:rPr>
                <w:rFonts w:eastAsia="Candara-Italic" w:cs="Times New Roman"/>
                <w:szCs w:val="24"/>
              </w:rPr>
              <w:t xml:space="preserve"> 11.5 g/dl</w:t>
            </w:r>
            <w:r w:rsidRPr="00944B15">
              <w:rPr>
                <w:rFonts w:eastAsia="Candara-Italic" w:cs="Times New Roman"/>
                <w:szCs w:val="24"/>
              </w:rPr>
              <w:t>; if hemoglobin concentration continues to rise, despite dose reduction, suspend treatment until hemoglobin concentration decreases and then restart at a dose approximately 25% lower than the previous dose.</w:t>
            </w:r>
          </w:p>
          <w:p w14:paraId="5079AD1A"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b/>
                <w:szCs w:val="24"/>
              </w:rPr>
              <w:t>Symptomatic anaemia in adults receiving cancer chemotherapy:</w:t>
            </w:r>
            <w:r w:rsidRPr="00944B15">
              <w:rPr>
                <w:rFonts w:eastAsia="Candara-Italic" w:cs="Times New Roman"/>
                <w:szCs w:val="24"/>
              </w:rPr>
              <w:t xml:space="preserve"> By IV/SC injection</w:t>
            </w:r>
            <w:r>
              <w:rPr>
                <w:rFonts w:eastAsia="Candara-Italic" w:cs="Times New Roman"/>
                <w:szCs w:val="24"/>
              </w:rPr>
              <w:t xml:space="preserve">: </w:t>
            </w:r>
            <w:r w:rsidRPr="00944B15">
              <w:rPr>
                <w:rFonts w:eastAsia="Candara-Italic" w:cs="Times New Roman"/>
                <w:szCs w:val="24"/>
              </w:rPr>
              <w:t xml:space="preserve">Initially 150 units/kg 3 times a week, alternatively initially 450 units/kg once weekly, increased to 300 units/kg 3 times a week, increased if appropriate rise in haemoglobin (or reticulocyte count) not achieved after 4 weeks; discontinue if inadequate response after 4 weeks at higher dose, subcutaneous injection maximum 1 </w:t>
            </w:r>
            <w:r>
              <w:rPr>
                <w:rFonts w:eastAsia="Candara-Italic" w:cs="Times New Roman"/>
                <w:szCs w:val="24"/>
              </w:rPr>
              <w:t>ml</w:t>
            </w:r>
            <w:r w:rsidRPr="00944B15">
              <w:rPr>
                <w:rFonts w:eastAsia="Candara-Italic" w:cs="Times New Roman"/>
                <w:szCs w:val="24"/>
              </w:rPr>
              <w:t xml:space="preserve"> per injection site.</w:t>
            </w:r>
          </w:p>
          <w:p w14:paraId="66F29104"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Reduce dose by approximately 25–50% if rise in hemoglobin concentration exceeds 2 g/100 </w:t>
            </w:r>
            <w:r>
              <w:rPr>
                <w:rFonts w:eastAsia="Candara-Italic" w:cs="Times New Roman"/>
                <w:szCs w:val="24"/>
              </w:rPr>
              <w:t>ml</w:t>
            </w:r>
            <w:r w:rsidRPr="00944B15">
              <w:rPr>
                <w:rFonts w:eastAsia="Candara-Italic" w:cs="Times New Roman"/>
                <w:szCs w:val="24"/>
              </w:rPr>
              <w:t xml:space="preserve"> over 4 weeks or if hemoglobin concentration exceeds</w:t>
            </w:r>
            <w:r>
              <w:rPr>
                <w:rFonts w:eastAsia="Candara-Italic" w:cs="Times New Roman"/>
                <w:szCs w:val="24"/>
              </w:rPr>
              <w:t xml:space="preserve"> 11.5 g/dl</w:t>
            </w:r>
            <w:r w:rsidRPr="00944B15">
              <w:rPr>
                <w:rFonts w:eastAsia="Candara-Italic" w:cs="Times New Roman"/>
                <w:szCs w:val="24"/>
              </w:rPr>
              <w:t>; if hemoglobin concentration continues to rise, despite dose reduction, suspend treatment until hemoglobin concentration decreases and then restart at a dose approximately 25% lower than the previous dose. Discontinue approximately 4 weeks after ending chemotherapy.</w:t>
            </w:r>
          </w:p>
          <w:p w14:paraId="02B226BD"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 xml:space="preserve">Moderate anaemia (haemoglobin concentration 10–13 g/100 </w:t>
            </w:r>
            <w:r>
              <w:rPr>
                <w:rFonts w:eastAsia="Candara-Italic" w:cs="Times New Roman"/>
                <w:b/>
                <w:szCs w:val="24"/>
              </w:rPr>
              <w:t>ml</w:t>
            </w:r>
            <w:r w:rsidRPr="00944B15">
              <w:rPr>
                <w:rFonts w:eastAsia="Candara-Italic" w:cs="Times New Roman"/>
                <w:b/>
                <w:szCs w:val="24"/>
              </w:rPr>
              <w:t>) before elective orthopaedic surgery in adults with expected moderate blood loss to reduce exposure to allogeneic blood transfusion or if autologous transfusion unavailable</w:t>
            </w:r>
            <w:r>
              <w:rPr>
                <w:rFonts w:eastAsia="Candara-Italic" w:cs="Times New Roman"/>
                <w:b/>
                <w:szCs w:val="24"/>
              </w:rPr>
              <w:t>:</w:t>
            </w:r>
          </w:p>
          <w:p w14:paraId="0784E3CD" w14:textId="77777777" w:rsidR="00223CE8" w:rsidRDefault="00223CE8" w:rsidP="002D6DD7">
            <w:pPr>
              <w:adjustRightInd w:val="0"/>
              <w:spacing w:after="0"/>
              <w:jc w:val="both"/>
              <w:rPr>
                <w:rFonts w:eastAsia="Candara-Italic" w:cs="Times New Roman"/>
                <w:szCs w:val="24"/>
              </w:rPr>
            </w:pPr>
            <w:r w:rsidRPr="00944B15">
              <w:rPr>
                <w:rFonts w:eastAsia="Candara-Italic" w:cs="Times New Roman"/>
                <w:szCs w:val="24"/>
              </w:rPr>
              <w:lastRenderedPageBreak/>
              <w:t xml:space="preserve">600 units/kg </w:t>
            </w:r>
            <w:r w:rsidRPr="006F3ECA">
              <w:rPr>
                <w:rFonts w:eastAsia="Candara-Italic" w:cs="Times New Roman"/>
                <w:szCs w:val="24"/>
              </w:rPr>
              <w:t>once weekly for 4 doses, given 21-, 14-, and 7 days before surgery</w:t>
            </w:r>
            <w:r>
              <w:rPr>
                <w:rFonts w:eastAsia="Candara-Italic" w:cs="Times New Roman"/>
                <w:szCs w:val="24"/>
              </w:rPr>
              <w:t xml:space="preserve"> </w:t>
            </w:r>
            <w:r w:rsidRPr="00944B15">
              <w:rPr>
                <w:rFonts w:eastAsia="Candara-Italic" w:cs="Times New Roman"/>
                <w:szCs w:val="24"/>
              </w:rPr>
              <w:t xml:space="preserve">and on day of surgery, alternatively 300 units/kg daily for 15 days starting 10 days before surgery, subcutaneous injection maximum 1 </w:t>
            </w:r>
            <w:r>
              <w:rPr>
                <w:rFonts w:eastAsia="Candara-Italic" w:cs="Times New Roman"/>
                <w:szCs w:val="24"/>
              </w:rPr>
              <w:t>ml</w:t>
            </w:r>
            <w:r w:rsidRPr="00944B15">
              <w:rPr>
                <w:rFonts w:eastAsia="Candara-Italic" w:cs="Times New Roman"/>
                <w:szCs w:val="24"/>
              </w:rPr>
              <w:t xml:space="preserve"> per injection site.</w:t>
            </w:r>
          </w:p>
          <w:p w14:paraId="1023D95D" w14:textId="77777777" w:rsidR="00223CE8" w:rsidRDefault="00223CE8" w:rsidP="002D6DD7">
            <w:pPr>
              <w:adjustRightInd w:val="0"/>
              <w:spacing w:after="0"/>
              <w:jc w:val="both"/>
              <w:rPr>
                <w:rFonts w:eastAsia="Candara-Italic" w:cs="Times New Roman"/>
                <w:b/>
                <w:szCs w:val="24"/>
              </w:rPr>
            </w:pPr>
            <w:r>
              <w:rPr>
                <w:rFonts w:eastAsia="Candara-Italic" w:cs="Times New Roman"/>
                <w:b/>
                <w:szCs w:val="24"/>
              </w:rPr>
              <w:t>Pediatric:</w:t>
            </w:r>
          </w:p>
          <w:p w14:paraId="4A567D7F"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b/>
                <w:szCs w:val="24"/>
              </w:rPr>
              <w:t>Anemi</w:t>
            </w:r>
            <w:r>
              <w:rPr>
                <w:rFonts w:eastAsia="Candara-Italic" w:cs="Times New Roman"/>
                <w:b/>
                <w:szCs w:val="24"/>
              </w:rPr>
              <w:t xml:space="preserve">a in chronic kidney disease, on </w:t>
            </w:r>
            <w:r w:rsidRPr="003C719A">
              <w:rPr>
                <w:rFonts w:eastAsia="Candara-Italic" w:cs="Times New Roman"/>
                <w:b/>
                <w:szCs w:val="24"/>
              </w:rPr>
              <w:t xml:space="preserve">dialysis: </w:t>
            </w:r>
          </w:p>
          <w:p w14:paraId="73194EFB"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b/>
                <w:szCs w:val="24"/>
              </w:rPr>
              <w:t>Initial dose:</w:t>
            </w:r>
          </w:p>
          <w:p w14:paraId="2CF7F39D" w14:textId="77777777" w:rsidR="00223CE8" w:rsidRPr="00D76338" w:rsidRDefault="00223CE8" w:rsidP="002D6DD7">
            <w:pPr>
              <w:adjustRightInd w:val="0"/>
              <w:spacing w:after="0"/>
              <w:jc w:val="both"/>
              <w:rPr>
                <w:rFonts w:eastAsia="Candara-Italic" w:cs="Times New Roman"/>
                <w:szCs w:val="24"/>
              </w:rPr>
            </w:pPr>
            <w:r w:rsidRPr="003C719A">
              <w:rPr>
                <w:rFonts w:eastAsia="Candara-Italic" w:cs="Times New Roman" w:hint="eastAsia"/>
                <w:b/>
                <w:szCs w:val="24"/>
              </w:rPr>
              <w:t xml:space="preserve">Infants, Children, and Adolescents </w:t>
            </w:r>
            <w:r w:rsidRPr="00D76338">
              <w:rPr>
                <w:rFonts w:eastAsia="Candara-Italic" w:cs="Times New Roman"/>
                <w:szCs w:val="24"/>
              </w:rPr>
              <w:t>≤16 years: IV, SubQ: 50 units/kg/dose 3 times weekly.</w:t>
            </w:r>
          </w:p>
          <w:p w14:paraId="3F498E66" w14:textId="77777777" w:rsidR="00223CE8" w:rsidRPr="00D76338" w:rsidRDefault="00223CE8" w:rsidP="002D6DD7">
            <w:pPr>
              <w:adjustRightInd w:val="0"/>
              <w:spacing w:after="0"/>
              <w:jc w:val="both"/>
              <w:rPr>
                <w:rFonts w:eastAsia="Candara-Italic" w:cs="Times New Roman"/>
                <w:szCs w:val="24"/>
              </w:rPr>
            </w:pPr>
            <w:r w:rsidRPr="003C719A">
              <w:rPr>
                <w:rFonts w:eastAsia="Candara-Italic" w:cs="Times New Roman"/>
                <w:b/>
                <w:szCs w:val="24"/>
              </w:rPr>
              <w:t xml:space="preserve">Adolescents &gt;16 years: </w:t>
            </w:r>
            <w:r w:rsidRPr="00D76338">
              <w:rPr>
                <w:rFonts w:eastAsia="Candara-Italic" w:cs="Times New Roman"/>
                <w:szCs w:val="24"/>
              </w:rPr>
              <w:t>IV, SubQ: 50 to 100 units/kg/dose 3 times weekly.</w:t>
            </w:r>
          </w:p>
          <w:p w14:paraId="03E8BA06"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b/>
                <w:szCs w:val="24"/>
              </w:rPr>
              <w:t xml:space="preserve">Anemia in chronic kidney disease, NO dialysis: </w:t>
            </w:r>
          </w:p>
          <w:p w14:paraId="123518ED"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b/>
                <w:szCs w:val="24"/>
              </w:rPr>
              <w:t>Initial dose:</w:t>
            </w:r>
          </w:p>
          <w:p w14:paraId="1A09FE0A" w14:textId="77777777" w:rsidR="00223CE8" w:rsidRPr="00D76338" w:rsidRDefault="00223CE8" w:rsidP="002D6DD7">
            <w:pPr>
              <w:adjustRightInd w:val="0"/>
              <w:spacing w:after="0"/>
              <w:jc w:val="both"/>
              <w:rPr>
                <w:rFonts w:eastAsia="Candara-Italic" w:cs="Times New Roman"/>
                <w:szCs w:val="24"/>
              </w:rPr>
            </w:pPr>
            <w:r w:rsidRPr="00AC374E">
              <w:rPr>
                <w:rFonts w:eastAsia="Candara-Italic" w:cs="Times New Roman" w:hint="eastAsia"/>
                <w:b/>
                <w:szCs w:val="24"/>
              </w:rPr>
              <w:t xml:space="preserve">Infants, Children, and Adolescents </w:t>
            </w:r>
            <w:r w:rsidRPr="003C719A">
              <w:rPr>
                <w:rFonts w:eastAsia="Candara-Italic" w:cs="Times New Roman"/>
                <w:b/>
                <w:szCs w:val="24"/>
              </w:rPr>
              <w:t>≤16 years:</w:t>
            </w:r>
            <w:r w:rsidRPr="00D76338">
              <w:rPr>
                <w:rFonts w:eastAsia="Candara-Italic" w:cs="Times New Roman"/>
                <w:szCs w:val="24"/>
              </w:rPr>
              <w:t xml:space="preserve"> IV, SubQ: 50 units/kg/dose 3 times weekly</w:t>
            </w:r>
          </w:p>
          <w:p w14:paraId="0C63731E" w14:textId="77777777" w:rsidR="00223CE8" w:rsidRPr="00D76338" w:rsidRDefault="00223CE8" w:rsidP="002D6DD7">
            <w:pPr>
              <w:adjustRightInd w:val="0"/>
              <w:spacing w:after="0"/>
              <w:jc w:val="both"/>
              <w:rPr>
                <w:rFonts w:eastAsia="Candara-Italic" w:cs="Times New Roman"/>
                <w:szCs w:val="24"/>
              </w:rPr>
            </w:pPr>
            <w:r w:rsidRPr="003C719A">
              <w:rPr>
                <w:rFonts w:eastAsia="Candara-Italic" w:cs="Times New Roman"/>
                <w:b/>
                <w:szCs w:val="24"/>
              </w:rPr>
              <w:t>Adolescents &gt;16 years:</w:t>
            </w:r>
            <w:r w:rsidRPr="00D76338">
              <w:rPr>
                <w:rFonts w:eastAsia="Candara-Italic" w:cs="Times New Roman"/>
                <w:szCs w:val="24"/>
              </w:rPr>
              <w:t xml:space="preserve"> IV, SubQ: 50 to 100 units/kg/dose 3 times weekly</w:t>
            </w:r>
          </w:p>
          <w:p w14:paraId="5E440330"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b/>
                <w:szCs w:val="24"/>
              </w:rPr>
              <w:t xml:space="preserve">Anemia due to myelosuppressive chemotherapy in cancer patients: </w:t>
            </w:r>
          </w:p>
          <w:p w14:paraId="723B389A" w14:textId="77777777" w:rsidR="00223CE8" w:rsidRPr="003C719A" w:rsidRDefault="00223CE8" w:rsidP="002D6DD7">
            <w:pPr>
              <w:adjustRightInd w:val="0"/>
              <w:spacing w:after="0"/>
              <w:jc w:val="both"/>
              <w:rPr>
                <w:rFonts w:eastAsia="Candara-Italic" w:cs="Times New Roman"/>
                <w:b/>
                <w:szCs w:val="24"/>
              </w:rPr>
            </w:pPr>
            <w:r w:rsidRPr="003C719A">
              <w:rPr>
                <w:rFonts w:eastAsia="Candara-Italic" w:cs="Times New Roman" w:hint="eastAsia"/>
                <w:b/>
                <w:szCs w:val="24"/>
              </w:rPr>
              <w:t xml:space="preserve">Children </w:t>
            </w:r>
            <w:r w:rsidRPr="003C719A">
              <w:rPr>
                <w:rFonts w:eastAsia="Candara-Italic" w:cs="Times New Roman" w:hint="eastAsia"/>
                <w:b/>
                <w:szCs w:val="24"/>
              </w:rPr>
              <w:t>≥</w:t>
            </w:r>
            <w:r w:rsidRPr="003C719A">
              <w:rPr>
                <w:rFonts w:eastAsia="Candara-Italic" w:cs="Times New Roman" w:hint="eastAsia"/>
                <w:b/>
                <w:szCs w:val="24"/>
              </w:rPr>
              <w:t>5 years and Adolescents:</w:t>
            </w:r>
          </w:p>
          <w:p w14:paraId="64F768EC" w14:textId="77777777" w:rsidR="00223CE8" w:rsidRPr="00AC374E" w:rsidRDefault="00223CE8" w:rsidP="002D6DD7">
            <w:pPr>
              <w:adjustRightInd w:val="0"/>
              <w:spacing w:after="0"/>
              <w:jc w:val="both"/>
              <w:rPr>
                <w:rFonts w:eastAsia="Candara-Italic" w:cs="Times New Roman"/>
                <w:szCs w:val="24"/>
              </w:rPr>
            </w:pPr>
            <w:r w:rsidRPr="00D76338">
              <w:rPr>
                <w:rFonts w:eastAsia="Candara-Italic" w:cs="Times New Roman"/>
                <w:szCs w:val="24"/>
              </w:rPr>
              <w:t>Initial dose: IV: 600 units/kg/dose once weekly until completion of chemotherapy; titrate dosage to use the minimum effective dose that will maintain a hemoglobin level sufficient to avoid red blood cell transfusions.</w:t>
            </w:r>
          </w:p>
        </w:tc>
      </w:tr>
      <w:tr w:rsidR="00223CE8" w:rsidRPr="00944B15" w14:paraId="2592CDD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76BB6A"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tcBorders>
              <w:top w:val="single" w:sz="4" w:space="0" w:color="auto"/>
              <w:left w:val="single" w:sz="4" w:space="0" w:color="auto"/>
              <w:bottom w:val="single" w:sz="4" w:space="0" w:color="auto"/>
              <w:right w:val="single" w:sz="4" w:space="0" w:color="auto"/>
            </w:tcBorders>
            <w:hideMark/>
          </w:tcPr>
          <w:p w14:paraId="79008F9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the </w:t>
            </w:r>
            <w:r>
              <w:rPr>
                <w:rFonts w:cs="Times New Roman"/>
                <w:szCs w:val="24"/>
              </w:rPr>
              <w:t>drug</w:t>
            </w:r>
            <w:r w:rsidRPr="00944B15">
              <w:rPr>
                <w:rFonts w:cs="Times New Roman"/>
                <w:szCs w:val="24"/>
              </w:rPr>
              <w:t>, patients who develop pure red cell aplasia following treatment with any erythropoietin and uncontrolled hypertension.</w:t>
            </w:r>
          </w:p>
        </w:tc>
      </w:tr>
      <w:tr w:rsidR="00223CE8" w:rsidRPr="00944B15" w14:paraId="6CC452F8"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0BF03795"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tcBorders>
              <w:top w:val="single" w:sz="4" w:space="0" w:color="auto"/>
              <w:left w:val="single" w:sz="4" w:space="0" w:color="auto"/>
              <w:bottom w:val="single" w:sz="4" w:space="0" w:color="auto"/>
              <w:right w:val="single" w:sz="4" w:space="0" w:color="auto"/>
            </w:tcBorders>
            <w:hideMark/>
          </w:tcPr>
          <w:p w14:paraId="19910D9F" w14:textId="77777777" w:rsidR="00223CE8" w:rsidRPr="00944B15" w:rsidRDefault="00223CE8" w:rsidP="002D6DD7">
            <w:pPr>
              <w:pStyle w:val="Default"/>
              <w:spacing w:line="360" w:lineRule="auto"/>
              <w:jc w:val="both"/>
              <w:rPr>
                <w:color w:val="auto"/>
              </w:rPr>
            </w:pPr>
            <w:r>
              <w:t>There are no significant drug interactions</w:t>
            </w:r>
          </w:p>
        </w:tc>
      </w:tr>
      <w:tr w:rsidR="00223CE8" w:rsidRPr="00944B15" w14:paraId="4EFF777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2AFD580"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tcBorders>
              <w:top w:val="single" w:sz="4" w:space="0" w:color="auto"/>
              <w:left w:val="single" w:sz="4" w:space="0" w:color="auto"/>
              <w:bottom w:val="single" w:sz="4" w:space="0" w:color="auto"/>
              <w:right w:val="single" w:sz="4" w:space="0" w:color="auto"/>
            </w:tcBorders>
            <w:hideMark/>
          </w:tcPr>
          <w:p w14:paraId="6E9E6E6E" w14:textId="77777777" w:rsidR="00223CE8" w:rsidRPr="00944B15" w:rsidRDefault="00223CE8" w:rsidP="002D6DD7">
            <w:pPr>
              <w:pStyle w:val="Default"/>
              <w:spacing w:line="360" w:lineRule="auto"/>
              <w:jc w:val="both"/>
              <w:rPr>
                <w:color w:val="auto"/>
              </w:rPr>
            </w:pPr>
            <w:r w:rsidRPr="00944B15">
              <w:rPr>
                <w:color w:val="auto"/>
              </w:rPr>
              <w:t xml:space="preserve">Allergic reaction, chills, hypertension, myalgia, stomatitis, vomiting, chest pain, headache, cough, diarrhea, fever, arthralgia, nausea, pain at injection site, peripheral edema, vomiting, seizure, porphyria, and </w:t>
            </w:r>
            <w:r w:rsidRPr="00944B15">
              <w:rPr>
                <w:color w:val="auto"/>
              </w:rPr>
              <w:lastRenderedPageBreak/>
              <w:t xml:space="preserve">dizziness. </w:t>
            </w:r>
          </w:p>
        </w:tc>
      </w:tr>
      <w:tr w:rsidR="00223CE8" w:rsidRPr="00944B15" w14:paraId="49B0589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979DE6"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Cautions </w:t>
            </w:r>
          </w:p>
        </w:tc>
        <w:tc>
          <w:tcPr>
            <w:tcW w:w="7313" w:type="dxa"/>
            <w:tcBorders>
              <w:top w:val="single" w:sz="4" w:space="0" w:color="auto"/>
              <w:left w:val="single" w:sz="4" w:space="0" w:color="auto"/>
              <w:bottom w:val="single" w:sz="4" w:space="0" w:color="auto"/>
              <w:right w:val="single" w:sz="4" w:space="0" w:color="auto"/>
            </w:tcBorders>
            <w:hideMark/>
          </w:tcPr>
          <w:p w14:paraId="08914FD5" w14:textId="77777777" w:rsidR="00223CE8" w:rsidRPr="00944B15" w:rsidRDefault="00223CE8" w:rsidP="002D6DD7">
            <w:pPr>
              <w:pStyle w:val="Default"/>
              <w:spacing w:line="360" w:lineRule="auto"/>
              <w:jc w:val="both"/>
              <w:rPr>
                <w:color w:val="auto"/>
              </w:rPr>
            </w:pPr>
            <w:r w:rsidRPr="00944B15">
              <w:rPr>
                <w:color w:val="auto"/>
              </w:rPr>
              <w:t xml:space="preserve">Hypertension, iron deficiency, folate or B12 deficiency, congestive heart failure (CHF), </w:t>
            </w:r>
            <w:r>
              <w:rPr>
                <w:color w:val="auto"/>
              </w:rPr>
              <w:t>cardiovascular events,</w:t>
            </w:r>
            <w:r w:rsidRPr="00944B15">
              <w:rPr>
                <w:color w:val="auto"/>
              </w:rPr>
              <w:t xml:space="preserve"> seizure disorder, sickle-cell disease, hemolytic anemia, porphyria and hematologic disorders.</w:t>
            </w:r>
          </w:p>
        </w:tc>
      </w:tr>
      <w:tr w:rsidR="00223CE8" w:rsidRPr="00944B15" w14:paraId="6AE71F2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D43C498"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tcBorders>
              <w:top w:val="single" w:sz="4" w:space="0" w:color="auto"/>
              <w:left w:val="single" w:sz="4" w:space="0" w:color="auto"/>
              <w:bottom w:val="single" w:sz="4" w:space="0" w:color="auto"/>
              <w:right w:val="single" w:sz="4" w:space="0" w:color="auto"/>
            </w:tcBorders>
            <w:hideMark/>
          </w:tcPr>
          <w:p w14:paraId="7BD9BAFB" w14:textId="77777777" w:rsidR="00223CE8" w:rsidRPr="00944B15" w:rsidRDefault="00223CE8" w:rsidP="002D6DD7">
            <w:pPr>
              <w:spacing w:after="0"/>
              <w:jc w:val="both"/>
              <w:rPr>
                <w:rFonts w:cs="Times New Roman"/>
                <w:szCs w:val="24"/>
              </w:rPr>
            </w:pPr>
            <w:r w:rsidRPr="00944B15">
              <w:rPr>
                <w:rFonts w:cs="Times New Roman"/>
                <w:szCs w:val="24"/>
              </w:rPr>
              <w:t>Store in a refrigerator at 2-8°C. Do not freeze or shake</w:t>
            </w:r>
          </w:p>
        </w:tc>
      </w:tr>
      <w:tr w:rsidR="00223CE8" w:rsidRPr="00944B15" w14:paraId="4387D626" w14:textId="77777777" w:rsidTr="002D6DD7">
        <w:tc>
          <w:tcPr>
            <w:tcW w:w="9918" w:type="dxa"/>
            <w:gridSpan w:val="2"/>
            <w:tcBorders>
              <w:top w:val="single" w:sz="4" w:space="0" w:color="auto"/>
              <w:left w:val="single" w:sz="4" w:space="0" w:color="auto"/>
              <w:bottom w:val="single" w:sz="4" w:space="0" w:color="auto"/>
              <w:right w:val="single" w:sz="4" w:space="0" w:color="auto"/>
            </w:tcBorders>
            <w:hideMark/>
          </w:tcPr>
          <w:p w14:paraId="3FA1F6DA" w14:textId="77777777" w:rsidR="00223CE8" w:rsidRPr="00944B15" w:rsidRDefault="00223CE8" w:rsidP="002D6DD7">
            <w:pPr>
              <w:spacing w:after="0"/>
              <w:jc w:val="both"/>
              <w:rPr>
                <w:rFonts w:cs="Times New Roman"/>
                <w:b/>
                <w:szCs w:val="24"/>
              </w:rPr>
            </w:pPr>
            <w:r w:rsidRPr="00944B15">
              <w:rPr>
                <w:rFonts w:cs="Times New Roman"/>
                <w:b/>
                <w:szCs w:val="24"/>
              </w:rPr>
              <w:t>Epoetin beta</w:t>
            </w:r>
          </w:p>
        </w:tc>
      </w:tr>
      <w:tr w:rsidR="00223CE8" w:rsidRPr="00944B15" w14:paraId="2658CFE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D2F382F"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tcBorders>
              <w:top w:val="single" w:sz="4" w:space="0" w:color="auto"/>
              <w:left w:val="single" w:sz="4" w:space="0" w:color="auto"/>
              <w:bottom w:val="single" w:sz="4" w:space="0" w:color="auto"/>
              <w:right w:val="single" w:sz="4" w:space="0" w:color="auto"/>
            </w:tcBorders>
            <w:hideMark/>
          </w:tcPr>
          <w:p w14:paraId="278B4EBF" w14:textId="77777777" w:rsidR="00223CE8" w:rsidRPr="00944B15" w:rsidRDefault="00223CE8" w:rsidP="002D6DD7">
            <w:pPr>
              <w:spacing w:after="0"/>
              <w:jc w:val="both"/>
              <w:rPr>
                <w:rFonts w:cs="Times New Roman"/>
                <w:szCs w:val="24"/>
              </w:rPr>
            </w:pPr>
            <w:r w:rsidRPr="00944B15">
              <w:rPr>
                <w:rFonts w:cs="Times New Roman"/>
                <w:szCs w:val="24"/>
              </w:rPr>
              <w:t>E</w:t>
            </w:r>
            <w:r>
              <w:rPr>
                <w:rFonts w:cs="Times New Roman"/>
                <w:szCs w:val="24"/>
              </w:rPr>
              <w:t>rythropoietin Stimulating Agent</w:t>
            </w:r>
          </w:p>
        </w:tc>
      </w:tr>
      <w:tr w:rsidR="00223CE8" w:rsidRPr="00944B15" w14:paraId="1A4B698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2C9494"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tcBorders>
              <w:top w:val="single" w:sz="4" w:space="0" w:color="auto"/>
              <w:left w:val="single" w:sz="4" w:space="0" w:color="auto"/>
              <w:bottom w:val="single" w:sz="4" w:space="0" w:color="auto"/>
              <w:right w:val="single" w:sz="4" w:space="0" w:color="auto"/>
            </w:tcBorders>
            <w:hideMark/>
          </w:tcPr>
          <w:p w14:paraId="214CCC6E" w14:textId="77777777" w:rsidR="00223CE8" w:rsidRPr="00944B15" w:rsidRDefault="00223CE8" w:rsidP="002D6DD7">
            <w:pPr>
              <w:spacing w:after="0"/>
              <w:jc w:val="both"/>
              <w:rPr>
                <w:rFonts w:cs="Times New Roman"/>
                <w:szCs w:val="24"/>
              </w:rPr>
            </w:pPr>
            <w:r w:rsidRPr="00944B15">
              <w:rPr>
                <w:rFonts w:cs="Times New Roman"/>
                <w:szCs w:val="24"/>
              </w:rPr>
              <w:t xml:space="preserve">Injection: 1000 IU/0.5 </w:t>
            </w:r>
            <w:r>
              <w:rPr>
                <w:rFonts w:cs="Times New Roman"/>
                <w:szCs w:val="24"/>
              </w:rPr>
              <w:t>ml</w:t>
            </w:r>
            <w:r w:rsidRPr="00944B15">
              <w:rPr>
                <w:rFonts w:cs="Times New Roman"/>
                <w:szCs w:val="24"/>
              </w:rPr>
              <w:t xml:space="preserve">, 2000 IU/0.5 </w:t>
            </w:r>
            <w:r>
              <w:rPr>
                <w:rFonts w:cs="Times New Roman"/>
                <w:szCs w:val="24"/>
              </w:rPr>
              <w:t>ml</w:t>
            </w:r>
            <w:r w:rsidRPr="00944B15">
              <w:rPr>
                <w:rFonts w:cs="Times New Roman"/>
                <w:szCs w:val="24"/>
              </w:rPr>
              <w:t xml:space="preserve">, 3000 IU/0.3 </w:t>
            </w:r>
            <w:r>
              <w:rPr>
                <w:rFonts w:cs="Times New Roman"/>
                <w:szCs w:val="24"/>
              </w:rPr>
              <w:t>ml</w:t>
            </w:r>
            <w:r w:rsidRPr="00944B15">
              <w:rPr>
                <w:rFonts w:cs="Times New Roman"/>
                <w:szCs w:val="24"/>
              </w:rPr>
              <w:t xml:space="preserve">, 4000 IU/0.4 </w:t>
            </w:r>
            <w:r>
              <w:rPr>
                <w:rFonts w:cs="Times New Roman"/>
                <w:szCs w:val="24"/>
              </w:rPr>
              <w:t>ml</w:t>
            </w:r>
            <w:r w:rsidRPr="00944B15">
              <w:rPr>
                <w:rFonts w:cs="Times New Roman"/>
                <w:szCs w:val="24"/>
              </w:rPr>
              <w:t xml:space="preserve">, 5000 IU/0.5 </w:t>
            </w:r>
            <w:r>
              <w:rPr>
                <w:rFonts w:cs="Times New Roman"/>
                <w:szCs w:val="24"/>
              </w:rPr>
              <w:t>ml</w:t>
            </w:r>
            <w:r w:rsidRPr="00944B15">
              <w:rPr>
                <w:rFonts w:cs="Times New Roman"/>
                <w:szCs w:val="24"/>
              </w:rPr>
              <w:t xml:space="preserve">, 6000 IU/0.6 </w:t>
            </w:r>
            <w:r>
              <w:rPr>
                <w:rFonts w:cs="Times New Roman"/>
                <w:szCs w:val="24"/>
              </w:rPr>
              <w:t>ml</w:t>
            </w:r>
            <w:r w:rsidRPr="00944B15">
              <w:rPr>
                <w:rFonts w:cs="Times New Roman"/>
                <w:szCs w:val="24"/>
              </w:rPr>
              <w:t>, 8000 IU/0.8</w:t>
            </w:r>
            <w:r>
              <w:rPr>
                <w:rFonts w:cs="Times New Roman"/>
                <w:szCs w:val="24"/>
              </w:rPr>
              <w:t>ml</w:t>
            </w:r>
            <w:r w:rsidRPr="00944B15">
              <w:rPr>
                <w:rFonts w:cs="Times New Roman"/>
                <w:szCs w:val="24"/>
              </w:rPr>
              <w:t xml:space="preserve">, 10 000 IU/1 </w:t>
            </w:r>
            <w:r>
              <w:rPr>
                <w:rFonts w:cs="Times New Roman"/>
                <w:szCs w:val="24"/>
              </w:rPr>
              <w:t>ml</w:t>
            </w:r>
            <w:r w:rsidRPr="00944B15">
              <w:rPr>
                <w:rFonts w:cs="Times New Roman"/>
                <w:szCs w:val="24"/>
              </w:rPr>
              <w:t xml:space="preserve">, 20 000 IU/0.5 </w:t>
            </w:r>
            <w:r>
              <w:rPr>
                <w:rFonts w:cs="Times New Roman"/>
                <w:szCs w:val="24"/>
              </w:rPr>
              <w:t>ml</w:t>
            </w:r>
            <w:r w:rsidRPr="00944B15">
              <w:rPr>
                <w:rFonts w:cs="Times New Roman"/>
                <w:szCs w:val="24"/>
              </w:rPr>
              <w:t xml:space="preserve">,30 000 IU/1 </w:t>
            </w:r>
            <w:r>
              <w:rPr>
                <w:rFonts w:cs="Times New Roman"/>
                <w:szCs w:val="24"/>
              </w:rPr>
              <w:t>ml</w:t>
            </w:r>
          </w:p>
        </w:tc>
      </w:tr>
      <w:tr w:rsidR="00223CE8" w:rsidRPr="00944B15" w14:paraId="47BB264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A1D655E"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tcBorders>
              <w:top w:val="single" w:sz="4" w:space="0" w:color="auto"/>
              <w:left w:val="single" w:sz="4" w:space="0" w:color="auto"/>
              <w:bottom w:val="single" w:sz="4" w:space="0" w:color="auto"/>
              <w:right w:val="single" w:sz="4" w:space="0" w:color="auto"/>
            </w:tcBorders>
            <w:hideMark/>
          </w:tcPr>
          <w:p w14:paraId="34C6BFD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due to end stage kidney disease, chemotherapy, major surgery, or other chronic illnesses.</w:t>
            </w:r>
          </w:p>
        </w:tc>
      </w:tr>
      <w:tr w:rsidR="00223CE8" w:rsidRPr="00944B15" w14:paraId="4F64A69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1B92778"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tcBorders>
              <w:top w:val="single" w:sz="4" w:space="0" w:color="auto"/>
              <w:left w:val="single" w:sz="4" w:space="0" w:color="auto"/>
              <w:bottom w:val="single" w:sz="4" w:space="0" w:color="auto"/>
              <w:right w:val="single" w:sz="4" w:space="0" w:color="auto"/>
            </w:tcBorders>
            <w:hideMark/>
          </w:tcPr>
          <w:p w14:paraId="672C1C14"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Adult:</w:t>
            </w:r>
          </w:p>
          <w:p w14:paraId="223E2447"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 xml:space="preserve">Symptomatic anaemia associated with chronic renal failure: </w:t>
            </w:r>
          </w:p>
          <w:p w14:paraId="450278AE"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SC injection: initially 20 units/kg 3 times a week for 4 weeks, increased in steps of 20 units/kg 3 times a week, according to response at intervals of 4 weeks, total weekly dose may be divided into daily doses.</w:t>
            </w:r>
          </w:p>
          <w:p w14:paraId="0ADC9098"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Maintenance dose, initially reduce dose by half then adjust according to response at intervals of 1–2 weeks, total weekly maintenance dose may be given as a single dose or in 3 or 7 divided doses. </w:t>
            </w:r>
          </w:p>
          <w:p w14:paraId="4AA3C17A"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Reduce dose by approximately 25%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approaches or exceeds </w:t>
            </w:r>
            <w:r>
              <w:rPr>
                <w:rFonts w:eastAsia="Candara-Italic" w:cs="Times New Roman"/>
                <w:szCs w:val="24"/>
              </w:rPr>
              <w:t>11.5g/dl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 maximum 720 units/kg per week.</w:t>
            </w:r>
          </w:p>
          <w:p w14:paraId="0742503F"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By IV injection: Initially 40 units/kg 3 times a week for 4 weeks, then increased to 80 units/kg 3 times a week, then increased in steps of 20 units/kg 3 times a week if required, at intervals of 4 weeks; maintenance dose, initially reduce dose by half then adjust according to response at intervals of 1–2 weeks. </w:t>
            </w:r>
          </w:p>
          <w:p w14:paraId="160D3C15"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lastRenderedPageBreak/>
              <w:t xml:space="preserve">Reduce dose by approximately 25%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approaches or exceeds</w:t>
            </w:r>
            <w:r>
              <w:rPr>
                <w:rFonts w:eastAsia="Candara-Italic" w:cs="Times New Roman"/>
                <w:szCs w:val="24"/>
              </w:rPr>
              <w:t xml:space="preserve"> </w:t>
            </w:r>
            <w:r w:rsidRPr="003C719A">
              <w:rPr>
                <w:rFonts w:eastAsia="Candara-Italic" w:cs="Times New Roman"/>
                <w:szCs w:val="24"/>
              </w:rPr>
              <w:t>11.5g/dl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 maximum 720 units/kg per week.</w:t>
            </w:r>
          </w:p>
          <w:p w14:paraId="14C6B824"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in adults with non-myeloid malignancies receiving chemotherapy</w:t>
            </w:r>
            <w:r>
              <w:rPr>
                <w:rFonts w:eastAsia="Candara-Italic" w:cs="Times New Roman"/>
                <w:b/>
                <w:szCs w:val="24"/>
              </w:rPr>
              <w:t>:</w:t>
            </w:r>
          </w:p>
          <w:p w14:paraId="2692EDA2"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By SC injection: Initially 450 units/kg once weekly for 4 weeks, dose to be given weekly as a single dose or in 3–7 divided doses, increase dose after 4 weeks (if a rise in haemoglobin of at least 1g/100 </w:t>
            </w:r>
            <w:r>
              <w:rPr>
                <w:rFonts w:eastAsia="Candara-Italic" w:cs="Times New Roman"/>
                <w:szCs w:val="24"/>
              </w:rPr>
              <w:t>ml</w:t>
            </w:r>
            <w:r w:rsidRPr="00944B15">
              <w:rPr>
                <w:rFonts w:eastAsia="Candara-Italic" w:cs="Times New Roman"/>
                <w:szCs w:val="24"/>
              </w:rPr>
              <w:t xml:space="preserve"> not achieved), increased to 900 units/kg once weekly, dose to be given weekly as a single dose or in 3–7 divided doses, if adequate response obtained reduce dose by 25–50%, discontinue treatment if haemoglobin concentration does not increase by at least 1 g/100 </w:t>
            </w:r>
            <w:r>
              <w:rPr>
                <w:rFonts w:eastAsia="Candara-Italic" w:cs="Times New Roman"/>
                <w:szCs w:val="24"/>
              </w:rPr>
              <w:t>ml</w:t>
            </w:r>
            <w:r w:rsidRPr="00944B15">
              <w:rPr>
                <w:rFonts w:eastAsia="Candara-Italic" w:cs="Times New Roman"/>
                <w:szCs w:val="24"/>
              </w:rPr>
              <w:t xml:space="preserve"> after 8 weeks of therapy (response unlikely). </w:t>
            </w:r>
          </w:p>
          <w:p w14:paraId="6DB32E4D"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Reduce dose by approximately 25–50% if rise in haemoglobin concentration exceeds 2 g/100 </w:t>
            </w:r>
            <w:r>
              <w:rPr>
                <w:rFonts w:eastAsia="Candara-Italic" w:cs="Times New Roman"/>
                <w:szCs w:val="24"/>
              </w:rPr>
              <w:t>ml</w:t>
            </w:r>
            <w:r w:rsidRPr="00944B15">
              <w:rPr>
                <w:rFonts w:eastAsia="Candara-Italic" w:cs="Times New Roman"/>
                <w:szCs w:val="24"/>
              </w:rPr>
              <w:t xml:space="preserve"> over 4 weeks or if haemoglobin concentration exceeds</w:t>
            </w:r>
            <w:r>
              <w:rPr>
                <w:rFonts w:eastAsia="Candara-Italic" w:cs="Times New Roman"/>
                <w:szCs w:val="24"/>
              </w:rPr>
              <w:t xml:space="preserve"> </w:t>
            </w:r>
            <w:r w:rsidRPr="003C719A">
              <w:rPr>
                <w:rFonts w:eastAsia="Candara-Italic" w:cs="Times New Roman"/>
                <w:szCs w:val="24"/>
              </w:rPr>
              <w:t>11.5g/dl</w:t>
            </w:r>
            <w:r w:rsidRPr="00944B15">
              <w:rPr>
                <w:rFonts w:eastAsia="Candara-Italic" w:cs="Times New Roman"/>
                <w:szCs w:val="24"/>
              </w:rPr>
              <w:t xml:space="preserve">; if haemoglobin concentration continues to rise, despite dose reduction, suspend treatment until haemoglobin concentration decreases and then restart at a dose approximately 25% lower than the previous dose. </w:t>
            </w:r>
          </w:p>
          <w:p w14:paraId="0E0420A2"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Discontinue approximately 4 weeks after ending chemotherapy; maximum 60 000 units per week.</w:t>
            </w:r>
          </w:p>
        </w:tc>
      </w:tr>
      <w:tr w:rsidR="00223CE8" w:rsidRPr="00944B15" w14:paraId="3BD5407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58C4FA"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tcBorders>
              <w:top w:val="single" w:sz="4" w:space="0" w:color="auto"/>
              <w:left w:val="single" w:sz="4" w:space="0" w:color="auto"/>
              <w:bottom w:val="single" w:sz="4" w:space="0" w:color="auto"/>
              <w:right w:val="single" w:sz="4" w:space="0" w:color="auto"/>
            </w:tcBorders>
            <w:hideMark/>
          </w:tcPr>
          <w:p w14:paraId="5F8992E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Refer to epoetin alpha</w:t>
            </w:r>
          </w:p>
        </w:tc>
      </w:tr>
      <w:tr w:rsidR="00223CE8" w:rsidRPr="00944B15" w14:paraId="20F973EF"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7F1811C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tcBorders>
              <w:top w:val="single" w:sz="4" w:space="0" w:color="auto"/>
              <w:left w:val="single" w:sz="4" w:space="0" w:color="auto"/>
              <w:bottom w:val="single" w:sz="4" w:space="0" w:color="auto"/>
              <w:right w:val="single" w:sz="4" w:space="0" w:color="auto"/>
            </w:tcBorders>
            <w:hideMark/>
          </w:tcPr>
          <w:p w14:paraId="596F616D" w14:textId="77777777" w:rsidR="00223CE8" w:rsidRPr="00944B15" w:rsidRDefault="00223CE8" w:rsidP="002D6DD7">
            <w:pPr>
              <w:spacing w:after="0"/>
              <w:jc w:val="both"/>
              <w:rPr>
                <w:rFonts w:cs="Times New Roman"/>
                <w:szCs w:val="24"/>
              </w:rPr>
            </w:pPr>
            <w:r w:rsidRPr="00944B15">
              <w:rPr>
                <w:rFonts w:cs="Times New Roman"/>
                <w:szCs w:val="24"/>
              </w:rPr>
              <w:t>Refer to epoetin alpha</w:t>
            </w:r>
          </w:p>
        </w:tc>
      </w:tr>
      <w:tr w:rsidR="00223CE8" w:rsidRPr="00944B15" w14:paraId="41E32E1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CE1496E"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tcBorders>
              <w:top w:val="single" w:sz="4" w:space="0" w:color="auto"/>
              <w:left w:val="single" w:sz="4" w:space="0" w:color="auto"/>
              <w:bottom w:val="single" w:sz="4" w:space="0" w:color="auto"/>
              <w:right w:val="single" w:sz="4" w:space="0" w:color="auto"/>
            </w:tcBorders>
            <w:hideMark/>
          </w:tcPr>
          <w:p w14:paraId="09CABDE2" w14:textId="77777777" w:rsidR="00223CE8" w:rsidRPr="00944B15" w:rsidRDefault="00223CE8" w:rsidP="002D6DD7">
            <w:pPr>
              <w:spacing w:after="0"/>
              <w:jc w:val="both"/>
              <w:rPr>
                <w:rFonts w:cs="Times New Roman"/>
                <w:szCs w:val="24"/>
              </w:rPr>
            </w:pPr>
            <w:r w:rsidRPr="00944B15">
              <w:rPr>
                <w:rFonts w:cs="Times New Roman"/>
                <w:szCs w:val="24"/>
              </w:rPr>
              <w:t>Refer to epoetin alpha</w:t>
            </w:r>
          </w:p>
        </w:tc>
      </w:tr>
      <w:tr w:rsidR="00223CE8" w:rsidRPr="00944B15" w14:paraId="3694AEA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6B0709"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tcBorders>
              <w:top w:val="single" w:sz="4" w:space="0" w:color="auto"/>
              <w:left w:val="single" w:sz="4" w:space="0" w:color="auto"/>
              <w:bottom w:val="single" w:sz="4" w:space="0" w:color="auto"/>
              <w:right w:val="single" w:sz="4" w:space="0" w:color="auto"/>
            </w:tcBorders>
            <w:hideMark/>
          </w:tcPr>
          <w:p w14:paraId="7BF9BB55" w14:textId="77777777" w:rsidR="00223CE8" w:rsidRPr="00944B15" w:rsidRDefault="00223CE8" w:rsidP="002D6DD7">
            <w:pPr>
              <w:spacing w:after="0"/>
              <w:jc w:val="both"/>
              <w:rPr>
                <w:rFonts w:cs="Times New Roman"/>
                <w:szCs w:val="24"/>
              </w:rPr>
            </w:pPr>
            <w:r w:rsidRPr="00944B15">
              <w:rPr>
                <w:rFonts w:cs="Times New Roman"/>
                <w:szCs w:val="24"/>
              </w:rPr>
              <w:t>Refer to epoetin alpha</w:t>
            </w:r>
          </w:p>
        </w:tc>
      </w:tr>
      <w:tr w:rsidR="00223CE8" w:rsidRPr="00944B15" w14:paraId="3D3D10C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0FC2EF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tcBorders>
              <w:top w:val="single" w:sz="4" w:space="0" w:color="auto"/>
              <w:left w:val="single" w:sz="4" w:space="0" w:color="auto"/>
              <w:bottom w:val="single" w:sz="4" w:space="0" w:color="auto"/>
              <w:right w:val="single" w:sz="4" w:space="0" w:color="auto"/>
            </w:tcBorders>
            <w:hideMark/>
          </w:tcPr>
          <w:p w14:paraId="65A31A83" w14:textId="77777777" w:rsidR="00223CE8" w:rsidRPr="00944B15" w:rsidRDefault="00223CE8" w:rsidP="002D6DD7">
            <w:pPr>
              <w:spacing w:after="0"/>
              <w:jc w:val="both"/>
              <w:rPr>
                <w:rFonts w:cs="Times New Roman"/>
                <w:szCs w:val="24"/>
              </w:rPr>
            </w:pPr>
            <w:r w:rsidRPr="00944B15">
              <w:rPr>
                <w:rFonts w:cs="Times New Roman"/>
                <w:szCs w:val="24"/>
              </w:rPr>
              <w:t>Store in a refrigerator at 2-8°C. Do not freeze or shake</w:t>
            </w:r>
          </w:p>
        </w:tc>
      </w:tr>
      <w:tr w:rsidR="00223CE8" w:rsidRPr="00944B15" w14:paraId="049236DA" w14:textId="77777777" w:rsidTr="002D6DD7">
        <w:tc>
          <w:tcPr>
            <w:tcW w:w="9918" w:type="dxa"/>
            <w:gridSpan w:val="2"/>
            <w:tcBorders>
              <w:top w:val="single" w:sz="4" w:space="0" w:color="auto"/>
              <w:left w:val="single" w:sz="4" w:space="0" w:color="auto"/>
              <w:bottom w:val="single" w:sz="4" w:space="0" w:color="auto"/>
              <w:right w:val="single" w:sz="4" w:space="0" w:color="auto"/>
            </w:tcBorders>
            <w:hideMark/>
          </w:tcPr>
          <w:p w14:paraId="6ABA350D" w14:textId="77777777" w:rsidR="00223CE8" w:rsidRPr="00944B15" w:rsidRDefault="00223CE8" w:rsidP="002D6DD7">
            <w:pPr>
              <w:spacing w:after="0"/>
              <w:jc w:val="both"/>
              <w:rPr>
                <w:rFonts w:cs="Times New Roman"/>
                <w:b/>
                <w:szCs w:val="24"/>
              </w:rPr>
            </w:pPr>
            <w:r w:rsidRPr="00944B15">
              <w:rPr>
                <w:rFonts w:cs="Times New Roman"/>
                <w:b/>
                <w:szCs w:val="24"/>
              </w:rPr>
              <w:t>Epoetin Zeta</w:t>
            </w:r>
          </w:p>
        </w:tc>
      </w:tr>
      <w:tr w:rsidR="00223CE8" w:rsidRPr="00944B15" w14:paraId="0E909F2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4EF7B9" w14:textId="77777777" w:rsidR="00223CE8" w:rsidRPr="00944B15" w:rsidRDefault="00223CE8" w:rsidP="002D6DD7">
            <w:pPr>
              <w:spacing w:after="0"/>
              <w:jc w:val="both"/>
              <w:rPr>
                <w:rFonts w:cs="Times New Roman"/>
                <w:szCs w:val="24"/>
              </w:rPr>
            </w:pPr>
            <w:r w:rsidRPr="00944B15">
              <w:rPr>
                <w:rFonts w:cs="Times New Roman"/>
                <w:szCs w:val="24"/>
              </w:rPr>
              <w:lastRenderedPageBreak/>
              <w:t>Pharmacological class</w:t>
            </w:r>
          </w:p>
        </w:tc>
        <w:tc>
          <w:tcPr>
            <w:tcW w:w="7313" w:type="dxa"/>
            <w:tcBorders>
              <w:top w:val="single" w:sz="4" w:space="0" w:color="auto"/>
              <w:left w:val="single" w:sz="4" w:space="0" w:color="auto"/>
              <w:bottom w:val="single" w:sz="4" w:space="0" w:color="auto"/>
              <w:right w:val="single" w:sz="4" w:space="0" w:color="auto"/>
            </w:tcBorders>
            <w:hideMark/>
          </w:tcPr>
          <w:p w14:paraId="08826CB2" w14:textId="77777777" w:rsidR="00223CE8" w:rsidRPr="00944B15" w:rsidRDefault="00223CE8" w:rsidP="002D6DD7">
            <w:pPr>
              <w:spacing w:after="0"/>
              <w:jc w:val="both"/>
              <w:rPr>
                <w:rFonts w:cs="Times New Roman"/>
                <w:szCs w:val="24"/>
              </w:rPr>
            </w:pPr>
            <w:r w:rsidRPr="00944B15">
              <w:rPr>
                <w:rFonts w:cs="Times New Roman"/>
                <w:szCs w:val="24"/>
              </w:rPr>
              <w:t>E</w:t>
            </w:r>
            <w:r>
              <w:rPr>
                <w:rFonts w:cs="Times New Roman"/>
                <w:szCs w:val="24"/>
              </w:rPr>
              <w:t>rythropoietin stimulating agent</w:t>
            </w:r>
          </w:p>
        </w:tc>
      </w:tr>
      <w:tr w:rsidR="00223CE8" w:rsidRPr="00944B15" w14:paraId="7E94F06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D35DD93"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tcBorders>
              <w:top w:val="single" w:sz="4" w:space="0" w:color="auto"/>
              <w:left w:val="single" w:sz="4" w:space="0" w:color="auto"/>
              <w:bottom w:val="single" w:sz="4" w:space="0" w:color="auto"/>
              <w:right w:val="single" w:sz="4" w:space="0" w:color="auto"/>
            </w:tcBorders>
            <w:hideMark/>
          </w:tcPr>
          <w:p w14:paraId="768244C3" w14:textId="77777777" w:rsidR="00223CE8" w:rsidRPr="00944B15" w:rsidRDefault="00223CE8" w:rsidP="002D6DD7">
            <w:pPr>
              <w:spacing w:after="0"/>
              <w:jc w:val="both"/>
              <w:rPr>
                <w:rFonts w:cs="Times New Roman"/>
                <w:szCs w:val="24"/>
              </w:rPr>
            </w:pPr>
            <w:r w:rsidRPr="00944B15">
              <w:rPr>
                <w:rFonts w:cs="Times New Roman"/>
                <w:szCs w:val="24"/>
              </w:rPr>
              <w:t xml:space="preserve">Injection (prefilled syringe), 30 000 IU/0.75 </w:t>
            </w:r>
            <w:r>
              <w:rPr>
                <w:rFonts w:cs="Times New Roman"/>
                <w:szCs w:val="24"/>
              </w:rPr>
              <w:t>ml</w:t>
            </w:r>
            <w:r w:rsidRPr="00944B15">
              <w:rPr>
                <w:rFonts w:cs="Times New Roman"/>
                <w:szCs w:val="24"/>
              </w:rPr>
              <w:t xml:space="preserve"> </w:t>
            </w:r>
          </w:p>
        </w:tc>
      </w:tr>
      <w:tr w:rsidR="00223CE8" w:rsidRPr="00944B15" w14:paraId="20C46DD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D7EAD9"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tcBorders>
              <w:top w:val="single" w:sz="4" w:space="0" w:color="auto"/>
              <w:left w:val="single" w:sz="4" w:space="0" w:color="auto"/>
              <w:bottom w:val="single" w:sz="4" w:space="0" w:color="auto"/>
              <w:right w:val="single" w:sz="4" w:space="0" w:color="auto"/>
            </w:tcBorders>
            <w:hideMark/>
          </w:tcPr>
          <w:p w14:paraId="205966A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due to end stage kidney disease, chemotherapy, major surgery, or other chronic illnesses.</w:t>
            </w:r>
          </w:p>
        </w:tc>
      </w:tr>
      <w:tr w:rsidR="00223CE8" w:rsidRPr="00944B15" w14:paraId="00FAB50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B5872D"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tcBorders>
              <w:top w:val="single" w:sz="4" w:space="0" w:color="auto"/>
              <w:left w:val="single" w:sz="4" w:space="0" w:color="auto"/>
              <w:bottom w:val="single" w:sz="4" w:space="0" w:color="auto"/>
              <w:right w:val="single" w:sz="4" w:space="0" w:color="auto"/>
            </w:tcBorders>
            <w:hideMark/>
          </w:tcPr>
          <w:p w14:paraId="110F8F2F"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Adult:</w:t>
            </w:r>
          </w:p>
          <w:p w14:paraId="1CF4BCA4"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associated with chronic renal failure in patients on haemodialysis</w:t>
            </w:r>
            <w:r>
              <w:rPr>
                <w:rFonts w:eastAsia="Candara-Italic" w:cs="Times New Roman"/>
                <w:b/>
                <w:szCs w:val="24"/>
              </w:rPr>
              <w:t>:</w:t>
            </w:r>
          </w:p>
          <w:p w14:paraId="73F5ACC0"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IV/SC injection: Initially 50 units/kg 3 times a week, adjusted according to response, adjusted in steps of 25 units/kg 3 times a week, dose to be adjusted at intervals of at least 4 weeks; maintenance 25–100 units/kg 3 times a week, intravenous injection to be given over 1–5 minutes, if given by subcutaneous injection, a maximum of 1</w:t>
            </w:r>
            <w:r>
              <w:rPr>
                <w:rFonts w:eastAsia="Candara-Italic" w:cs="Times New Roman"/>
                <w:szCs w:val="24"/>
              </w:rPr>
              <w:t>ml</w:t>
            </w:r>
            <w:r w:rsidRPr="00944B15">
              <w:rPr>
                <w:rFonts w:eastAsia="Candara-Italic" w:cs="Times New Roman"/>
                <w:szCs w:val="24"/>
              </w:rPr>
              <w:t xml:space="preserve"> can be given per injection site, avoid increasing haemoglobin concentration at a rate exceeding 2 g/100</w:t>
            </w:r>
            <w:r>
              <w:rPr>
                <w:rFonts w:eastAsia="Candara-Italic" w:cs="Times New Roman"/>
                <w:szCs w:val="24"/>
              </w:rPr>
              <w:t>ml</w:t>
            </w:r>
            <w:r w:rsidRPr="00944B15">
              <w:rPr>
                <w:rFonts w:eastAsia="Candara-Italic" w:cs="Times New Roman"/>
                <w:szCs w:val="24"/>
              </w:rPr>
              <w:t xml:space="preserve"> over 4 weeks.</w:t>
            </w:r>
          </w:p>
          <w:p w14:paraId="32F14566"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associated with chronic renal failure in adults on peritoneal dialysis</w:t>
            </w:r>
            <w:r>
              <w:rPr>
                <w:rFonts w:eastAsia="Candara-Italic" w:cs="Times New Roman"/>
                <w:b/>
                <w:szCs w:val="24"/>
              </w:rPr>
              <w:t>:</w:t>
            </w:r>
          </w:p>
          <w:p w14:paraId="6D003970"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IV/SC injection: Initially 50 units/kg twice weekly; maintenance 25–50 units/kg twice weekly, intravenous injection to be given over 1–5 minutes, if given by subcutaneous injection, a maximum of 1</w:t>
            </w:r>
            <w:r>
              <w:rPr>
                <w:rFonts w:eastAsia="Candara-Italic" w:cs="Times New Roman"/>
                <w:szCs w:val="24"/>
              </w:rPr>
              <w:t>ml</w:t>
            </w:r>
            <w:r w:rsidRPr="00944B15">
              <w:rPr>
                <w:rFonts w:eastAsia="Candara-Italic" w:cs="Times New Roman"/>
                <w:szCs w:val="24"/>
              </w:rPr>
              <w:t xml:space="preserve"> can be given per injection site, avoid increasing haemoglobin concentration at a rate exceeding 2g/100</w:t>
            </w:r>
            <w:r>
              <w:rPr>
                <w:rFonts w:eastAsia="Candara-Italic" w:cs="Times New Roman"/>
                <w:szCs w:val="24"/>
              </w:rPr>
              <w:t>ml</w:t>
            </w:r>
            <w:r w:rsidRPr="00944B15">
              <w:rPr>
                <w:rFonts w:eastAsia="Candara-Italic" w:cs="Times New Roman"/>
                <w:szCs w:val="24"/>
              </w:rPr>
              <w:t xml:space="preserve"> over 4 weeks.</w:t>
            </w:r>
          </w:p>
          <w:p w14:paraId="3CA8604B"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Severe symptomatic anaemia of renal origin in adults with renal insufficiency not yet on dialysis</w:t>
            </w:r>
            <w:r>
              <w:rPr>
                <w:rFonts w:eastAsia="Candara-Italic" w:cs="Times New Roman"/>
                <w:b/>
                <w:szCs w:val="24"/>
              </w:rPr>
              <w:t>:</w:t>
            </w:r>
          </w:p>
          <w:p w14:paraId="2282F896"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IV/SC injection: Initially 50 units/kg 3 times a week, adjusted according to response, adjusted in steps of 25 units/kg 3 times a week, dose to be increased at intervals of at least 4 weeks; maintenance 17–33 units/kg 3 times a week (max. per dose 200 units/kg 3 times a week), intravenous injection to be given over 1–5 minutes, if given by subcutaneous injection, a maximum of 1</w:t>
            </w:r>
            <w:r>
              <w:rPr>
                <w:rFonts w:eastAsia="Candara-Italic" w:cs="Times New Roman"/>
                <w:szCs w:val="24"/>
              </w:rPr>
              <w:t>ml</w:t>
            </w:r>
            <w:r w:rsidRPr="00944B15">
              <w:rPr>
                <w:rFonts w:eastAsia="Candara-Italic" w:cs="Times New Roman"/>
                <w:szCs w:val="24"/>
              </w:rPr>
              <w:t xml:space="preserve"> can be given per injection site, avoid increasing haemoglobin concentration at a rate exceeding 2g/100 </w:t>
            </w:r>
            <w:r>
              <w:rPr>
                <w:rFonts w:eastAsia="Candara-Italic" w:cs="Times New Roman"/>
                <w:szCs w:val="24"/>
              </w:rPr>
              <w:t>ml</w:t>
            </w:r>
            <w:r w:rsidRPr="00944B15">
              <w:rPr>
                <w:rFonts w:eastAsia="Candara-Italic" w:cs="Times New Roman"/>
                <w:szCs w:val="24"/>
              </w:rPr>
              <w:t xml:space="preserve"> over 4 weeks.</w:t>
            </w:r>
          </w:p>
          <w:p w14:paraId="15875615"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lastRenderedPageBreak/>
              <w:t>Symptomatic anaemia in adults receiving cancer chemotherapy</w:t>
            </w:r>
            <w:r>
              <w:rPr>
                <w:rFonts w:eastAsia="Candara-Italic" w:cs="Times New Roman"/>
                <w:b/>
                <w:szCs w:val="24"/>
              </w:rPr>
              <w:t>:</w:t>
            </w:r>
          </w:p>
          <w:p w14:paraId="03FE10F7"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SC injection: Initially 150 units/kg 3 times a week, alternatively initially 450 units/kg once weekly, increased to 300 units/kg 3 times a week, only increase dose if appropriate rise in haemoglobin (or reticulocyte count) not achieved after 4 weeks; discontinue if inadequate response after 4 weeks at higher dose,</w:t>
            </w:r>
          </w:p>
          <w:p w14:paraId="44DD8316"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maximum 1</w:t>
            </w:r>
            <w:r>
              <w:rPr>
                <w:rFonts w:eastAsia="Candara-Italic" w:cs="Times New Roman"/>
                <w:szCs w:val="24"/>
              </w:rPr>
              <w:t>ml</w:t>
            </w:r>
            <w:r w:rsidRPr="00944B15">
              <w:rPr>
                <w:rFonts w:eastAsia="Candara-Italic" w:cs="Times New Roman"/>
                <w:szCs w:val="24"/>
              </w:rPr>
              <w:t xml:space="preserve"> per injection site, reduce dose by approximately 25–50% if rise in haemoglobin concentration exceeds 2g/100 </w:t>
            </w:r>
            <w:r>
              <w:rPr>
                <w:rFonts w:eastAsia="Candara-Italic" w:cs="Times New Roman"/>
                <w:szCs w:val="24"/>
              </w:rPr>
              <w:t>ml</w:t>
            </w:r>
            <w:r w:rsidRPr="00944B15">
              <w:rPr>
                <w:rFonts w:eastAsia="Candara-Italic" w:cs="Times New Roman"/>
                <w:szCs w:val="24"/>
              </w:rPr>
              <w:t xml:space="preserve"> over 4 weeks or if haemoglobin concentration exceeds 12 g/100</w:t>
            </w:r>
            <w:r>
              <w:rPr>
                <w:rFonts w:eastAsia="Candara-Italic" w:cs="Times New Roman"/>
                <w:szCs w:val="24"/>
              </w:rPr>
              <w:t>ml</w:t>
            </w:r>
            <w:r w:rsidRPr="00944B15">
              <w:rPr>
                <w:rFonts w:eastAsia="Candara-Italic" w:cs="Times New Roman"/>
                <w:szCs w:val="24"/>
              </w:rPr>
              <w:t>; if haemoglobin concentration continues to rise, despite dose reduction, suspend treatment until haemoglobin concentration decreases and then restart at a dose approximately 25% lower than the previous dose. Discontinue approximately 4 weeks after ending chemotherapy</w:t>
            </w:r>
          </w:p>
        </w:tc>
      </w:tr>
      <w:tr w:rsidR="00223CE8" w:rsidRPr="00944B15" w14:paraId="0727CA2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001681"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tcBorders>
              <w:top w:val="single" w:sz="4" w:space="0" w:color="auto"/>
              <w:left w:val="single" w:sz="4" w:space="0" w:color="auto"/>
              <w:bottom w:val="single" w:sz="4" w:space="0" w:color="auto"/>
              <w:right w:val="single" w:sz="4" w:space="0" w:color="auto"/>
            </w:tcBorders>
            <w:hideMark/>
          </w:tcPr>
          <w:p w14:paraId="776C0C7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the </w:t>
            </w:r>
            <w:r>
              <w:rPr>
                <w:rFonts w:cs="Times New Roman"/>
                <w:szCs w:val="24"/>
              </w:rPr>
              <w:t>drug, p</w:t>
            </w:r>
            <w:r w:rsidRPr="00944B15">
              <w:rPr>
                <w:rFonts w:cs="Times New Roman"/>
                <w:szCs w:val="24"/>
              </w:rPr>
              <w:t>atients who develop pure red cell aplasia following treatment with any erythropoietin and uncontrolled hypertension.</w:t>
            </w:r>
          </w:p>
        </w:tc>
      </w:tr>
      <w:tr w:rsidR="00223CE8" w:rsidRPr="00944B15" w14:paraId="455CC50E"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1C83E968"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tcBorders>
              <w:top w:val="single" w:sz="4" w:space="0" w:color="auto"/>
              <w:left w:val="single" w:sz="4" w:space="0" w:color="auto"/>
              <w:bottom w:val="single" w:sz="4" w:space="0" w:color="auto"/>
              <w:right w:val="single" w:sz="4" w:space="0" w:color="auto"/>
            </w:tcBorders>
            <w:hideMark/>
          </w:tcPr>
          <w:p w14:paraId="0B9DF215" w14:textId="77777777" w:rsidR="00223CE8" w:rsidRPr="00944B15" w:rsidRDefault="00223CE8" w:rsidP="002D6DD7">
            <w:pPr>
              <w:spacing w:after="0"/>
              <w:jc w:val="both"/>
              <w:rPr>
                <w:rFonts w:cs="Times New Roman"/>
                <w:szCs w:val="24"/>
              </w:rPr>
            </w:pPr>
            <w:r>
              <w:rPr>
                <w:rFonts w:cs="Times New Roman"/>
                <w:szCs w:val="24"/>
              </w:rPr>
              <w:t>There are no significant drug interactions</w:t>
            </w:r>
          </w:p>
        </w:tc>
      </w:tr>
      <w:tr w:rsidR="00223CE8" w:rsidRPr="00944B15" w14:paraId="126B486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300711F"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tcBorders>
              <w:top w:val="single" w:sz="4" w:space="0" w:color="auto"/>
              <w:left w:val="single" w:sz="4" w:space="0" w:color="auto"/>
              <w:bottom w:val="single" w:sz="4" w:space="0" w:color="auto"/>
              <w:right w:val="single" w:sz="4" w:space="0" w:color="auto"/>
            </w:tcBorders>
            <w:hideMark/>
          </w:tcPr>
          <w:p w14:paraId="13006D3C" w14:textId="77777777" w:rsidR="00223CE8" w:rsidRPr="00944B15" w:rsidRDefault="00223CE8" w:rsidP="002D6DD7">
            <w:pPr>
              <w:spacing w:after="0"/>
              <w:jc w:val="both"/>
              <w:rPr>
                <w:rFonts w:cs="Times New Roman"/>
                <w:szCs w:val="24"/>
              </w:rPr>
            </w:pPr>
            <w:r w:rsidRPr="00944B15">
              <w:rPr>
                <w:rFonts w:cs="Times New Roman"/>
                <w:szCs w:val="24"/>
              </w:rPr>
              <w:t>Asthenia, dizziness, intracranial haemorrhage and angioedema</w:t>
            </w:r>
          </w:p>
        </w:tc>
      </w:tr>
      <w:tr w:rsidR="00223CE8" w:rsidRPr="00944B15" w14:paraId="318A89E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C55456"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tcBorders>
              <w:top w:val="single" w:sz="4" w:space="0" w:color="auto"/>
              <w:left w:val="single" w:sz="4" w:space="0" w:color="auto"/>
              <w:bottom w:val="single" w:sz="4" w:space="0" w:color="auto"/>
              <w:right w:val="single" w:sz="4" w:space="0" w:color="auto"/>
            </w:tcBorders>
            <w:hideMark/>
          </w:tcPr>
          <w:p w14:paraId="05413492" w14:textId="77777777" w:rsidR="00223CE8" w:rsidRPr="00944B15" w:rsidRDefault="00223CE8" w:rsidP="002D6DD7">
            <w:pPr>
              <w:spacing w:after="0"/>
              <w:jc w:val="both"/>
              <w:rPr>
                <w:rFonts w:cs="Times New Roman"/>
                <w:szCs w:val="24"/>
              </w:rPr>
            </w:pPr>
            <w:r w:rsidRPr="00944B15">
              <w:rPr>
                <w:rFonts w:cs="Times New Roman"/>
                <w:szCs w:val="24"/>
              </w:rPr>
              <w:t>Epilepsy, history of seizures, acute infections and brain metastases, chronic liver failure and thrombotic vascular events.</w:t>
            </w:r>
          </w:p>
        </w:tc>
      </w:tr>
      <w:tr w:rsidR="00223CE8" w:rsidRPr="00944B15" w14:paraId="7DFD653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AD9139F"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tcBorders>
              <w:top w:val="single" w:sz="4" w:space="0" w:color="auto"/>
              <w:left w:val="single" w:sz="4" w:space="0" w:color="auto"/>
              <w:bottom w:val="single" w:sz="4" w:space="0" w:color="auto"/>
              <w:right w:val="single" w:sz="4" w:space="0" w:color="auto"/>
            </w:tcBorders>
            <w:hideMark/>
          </w:tcPr>
          <w:p w14:paraId="64D29725" w14:textId="77777777" w:rsidR="00223CE8" w:rsidRPr="00944B15" w:rsidRDefault="00223CE8" w:rsidP="002D6DD7">
            <w:pPr>
              <w:spacing w:after="0"/>
              <w:jc w:val="both"/>
              <w:rPr>
                <w:rFonts w:cs="Times New Roman"/>
                <w:szCs w:val="24"/>
              </w:rPr>
            </w:pPr>
            <w:r w:rsidRPr="00944B15">
              <w:rPr>
                <w:rFonts w:cs="Times New Roman"/>
                <w:szCs w:val="24"/>
              </w:rPr>
              <w:t>Store in a refrigerator at 2-8°C. Do not freeze or shake</w:t>
            </w:r>
          </w:p>
        </w:tc>
      </w:tr>
      <w:tr w:rsidR="00223CE8" w:rsidRPr="00944B15" w14:paraId="75731993" w14:textId="77777777" w:rsidTr="002D6DD7">
        <w:tc>
          <w:tcPr>
            <w:tcW w:w="9918" w:type="dxa"/>
            <w:gridSpan w:val="2"/>
            <w:tcBorders>
              <w:top w:val="single" w:sz="4" w:space="0" w:color="auto"/>
              <w:left w:val="single" w:sz="4" w:space="0" w:color="auto"/>
              <w:bottom w:val="single" w:sz="4" w:space="0" w:color="auto"/>
              <w:right w:val="single" w:sz="4" w:space="0" w:color="auto"/>
            </w:tcBorders>
            <w:hideMark/>
          </w:tcPr>
          <w:p w14:paraId="7D20FC11" w14:textId="77777777" w:rsidR="00223CE8" w:rsidRPr="00944B15" w:rsidRDefault="00223CE8" w:rsidP="002D6DD7">
            <w:pPr>
              <w:spacing w:after="0"/>
              <w:jc w:val="both"/>
              <w:rPr>
                <w:rFonts w:cs="Times New Roman"/>
                <w:b/>
                <w:szCs w:val="24"/>
              </w:rPr>
            </w:pPr>
            <w:r w:rsidRPr="00944B15">
              <w:rPr>
                <w:rFonts w:cs="Times New Roman"/>
                <w:b/>
                <w:szCs w:val="24"/>
              </w:rPr>
              <w:t>Methoxy polyethylene glycol-epoetin beta</w:t>
            </w:r>
          </w:p>
        </w:tc>
      </w:tr>
      <w:tr w:rsidR="00223CE8" w:rsidRPr="00944B15" w14:paraId="5379CA8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BA910EA"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tcBorders>
              <w:top w:val="single" w:sz="4" w:space="0" w:color="auto"/>
              <w:left w:val="single" w:sz="4" w:space="0" w:color="auto"/>
              <w:bottom w:val="single" w:sz="4" w:space="0" w:color="auto"/>
              <w:right w:val="single" w:sz="4" w:space="0" w:color="auto"/>
            </w:tcBorders>
            <w:hideMark/>
          </w:tcPr>
          <w:p w14:paraId="7FFACC3A" w14:textId="77777777" w:rsidR="00223CE8" w:rsidRPr="00944B15" w:rsidRDefault="00223CE8" w:rsidP="002D6DD7">
            <w:pPr>
              <w:spacing w:after="0"/>
              <w:jc w:val="both"/>
              <w:rPr>
                <w:rFonts w:cs="Times New Roman"/>
                <w:szCs w:val="24"/>
              </w:rPr>
            </w:pPr>
            <w:r w:rsidRPr="00944B15">
              <w:rPr>
                <w:rFonts w:cs="Times New Roman"/>
                <w:szCs w:val="24"/>
              </w:rPr>
              <w:t>E</w:t>
            </w:r>
            <w:r>
              <w:rPr>
                <w:rFonts w:cs="Times New Roman"/>
                <w:szCs w:val="24"/>
              </w:rPr>
              <w:t>rythropoietin stimulating agent</w:t>
            </w:r>
          </w:p>
        </w:tc>
      </w:tr>
      <w:tr w:rsidR="00223CE8" w:rsidRPr="00944B15" w14:paraId="7B242A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5A6D0A"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tcBorders>
              <w:top w:val="single" w:sz="4" w:space="0" w:color="auto"/>
              <w:left w:val="single" w:sz="4" w:space="0" w:color="auto"/>
              <w:bottom w:val="single" w:sz="4" w:space="0" w:color="auto"/>
              <w:right w:val="single" w:sz="4" w:space="0" w:color="auto"/>
            </w:tcBorders>
            <w:hideMark/>
          </w:tcPr>
          <w:p w14:paraId="6215D89F" w14:textId="77777777" w:rsidR="00223CE8" w:rsidRPr="00944B15" w:rsidRDefault="00223CE8" w:rsidP="002D6DD7">
            <w:pPr>
              <w:spacing w:after="0"/>
              <w:jc w:val="both"/>
              <w:rPr>
                <w:rFonts w:cs="Times New Roman"/>
                <w:szCs w:val="24"/>
              </w:rPr>
            </w:pPr>
            <w:r w:rsidRPr="00944B15">
              <w:rPr>
                <w:rFonts w:cs="Times New Roman"/>
                <w:szCs w:val="24"/>
              </w:rPr>
              <w:t xml:space="preserve">Injection (pre-filled syringe), 50 micrograms/0.3 </w:t>
            </w:r>
            <w:r>
              <w:rPr>
                <w:rFonts w:cs="Times New Roman"/>
                <w:szCs w:val="24"/>
              </w:rPr>
              <w:t>ml</w:t>
            </w:r>
            <w:r w:rsidRPr="00944B15">
              <w:rPr>
                <w:rFonts w:cs="Times New Roman"/>
                <w:szCs w:val="24"/>
              </w:rPr>
              <w:t xml:space="preserve">  </w:t>
            </w:r>
          </w:p>
        </w:tc>
      </w:tr>
      <w:tr w:rsidR="00223CE8" w:rsidRPr="00944B15" w14:paraId="3C1F907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575A59A"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tcBorders>
              <w:top w:val="single" w:sz="4" w:space="0" w:color="auto"/>
              <w:left w:val="single" w:sz="4" w:space="0" w:color="auto"/>
              <w:bottom w:val="single" w:sz="4" w:space="0" w:color="auto"/>
              <w:right w:val="single" w:sz="4" w:space="0" w:color="auto"/>
            </w:tcBorders>
            <w:hideMark/>
          </w:tcPr>
          <w:p w14:paraId="7D5EE26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Treatment of symptomatic anaemia associated with chronic kidney disease (CKD) in adult patients.</w:t>
            </w:r>
          </w:p>
        </w:tc>
      </w:tr>
      <w:tr w:rsidR="00223CE8" w:rsidRPr="00944B15" w14:paraId="40FABA4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F6B898"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tcBorders>
              <w:top w:val="single" w:sz="4" w:space="0" w:color="auto"/>
              <w:left w:val="single" w:sz="4" w:space="0" w:color="auto"/>
              <w:bottom w:val="single" w:sz="4" w:space="0" w:color="auto"/>
              <w:right w:val="single" w:sz="4" w:space="0" w:color="auto"/>
            </w:tcBorders>
            <w:hideMark/>
          </w:tcPr>
          <w:p w14:paraId="11146701"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Adult</w:t>
            </w:r>
            <w:r>
              <w:rPr>
                <w:rFonts w:eastAsia="Candara-Italic" w:cs="Times New Roman"/>
                <w:b/>
                <w:szCs w:val="24"/>
              </w:rPr>
              <w:t>:</w:t>
            </w:r>
          </w:p>
          <w:p w14:paraId="56C0454A"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associated with chronic kidney disease in patients on dialysis and not currently treated with erythropoietin</w:t>
            </w:r>
            <w:r>
              <w:rPr>
                <w:rFonts w:eastAsia="Candara-Italic" w:cs="Times New Roman"/>
                <w:b/>
                <w:szCs w:val="24"/>
              </w:rPr>
              <w:t>:</w:t>
            </w:r>
          </w:p>
          <w:p w14:paraId="292EFD01"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By IV or SC: Initially 600 nanograms/kg every 2 weeks, subcutaneous </w:t>
            </w:r>
            <w:r w:rsidRPr="00944B15">
              <w:rPr>
                <w:rFonts w:eastAsia="Candara-Italic" w:cs="Times New Roman"/>
                <w:szCs w:val="24"/>
              </w:rPr>
              <w:lastRenderedPageBreak/>
              <w:t>route preferred in patients not on haemodialysis, dose to be adjusted according to response at intervals of at least 1 month, maintenance dose of double the previous fortnightly dose may be given once a month if haemoglobin concentration is above 10 g/100</w:t>
            </w:r>
            <w:r>
              <w:rPr>
                <w:rFonts w:eastAsia="Candara-Italic" w:cs="Times New Roman"/>
                <w:szCs w:val="24"/>
              </w:rPr>
              <w:t>ml</w:t>
            </w:r>
            <w:r w:rsidRPr="00944B15">
              <w:rPr>
                <w:rFonts w:eastAsia="Candara-Italic" w:cs="Times New Roman"/>
                <w:szCs w:val="24"/>
              </w:rPr>
              <w:t xml:space="preserve">, reduce dose by approximately 25% if rate of rise in haemoglobin concentration exceeds 2 g/100 </w:t>
            </w:r>
            <w:r>
              <w:rPr>
                <w:rFonts w:eastAsia="Candara-Italic" w:cs="Times New Roman"/>
                <w:szCs w:val="24"/>
              </w:rPr>
              <w:t>ml</w:t>
            </w:r>
            <w:r w:rsidRPr="00944B15">
              <w:rPr>
                <w:rFonts w:eastAsia="Candara-Italic" w:cs="Times New Roman"/>
                <w:szCs w:val="24"/>
              </w:rPr>
              <w:t xml:space="preserve"> in 1 month or if haemoglobin concentration is increasing or approaching</w:t>
            </w:r>
            <w:r>
              <w:rPr>
                <w:rFonts w:eastAsia="Candara-Italic" w:cs="Times New Roman"/>
                <w:szCs w:val="24"/>
              </w:rPr>
              <w:t xml:space="preserve"> </w:t>
            </w:r>
            <w:r w:rsidRPr="005F5066">
              <w:rPr>
                <w:rFonts w:eastAsia="Candara-Italic" w:cs="Times New Roman"/>
                <w:szCs w:val="24"/>
              </w:rPr>
              <w:t>11.5g/dl</w:t>
            </w:r>
            <w:r w:rsidRPr="00944B15">
              <w:rPr>
                <w:rFonts w:eastAsia="Candara-Italic" w:cs="Times New Roman"/>
                <w:szCs w:val="24"/>
              </w:rPr>
              <w:t xml:space="preserve">; if haemoglobin concentration continues to rise, despite dose reduction, suspend treatment until haemoglobin concentration decreases and then restart at a dose approximately 25% lower than the previous dose, dose may be increased by approximately 25% if the rate of rise in haemoglobin concentration is less than 1 g/100 </w:t>
            </w:r>
            <w:r>
              <w:rPr>
                <w:rFonts w:eastAsia="Candara-Italic" w:cs="Times New Roman"/>
                <w:szCs w:val="24"/>
              </w:rPr>
              <w:t>ml</w:t>
            </w:r>
            <w:r w:rsidRPr="00944B15">
              <w:rPr>
                <w:rFonts w:eastAsia="Candara-Italic" w:cs="Times New Roman"/>
                <w:szCs w:val="24"/>
              </w:rPr>
              <w:t xml:space="preserve"> over 1 month; further increases of approximately 25% may be made at monthly intervals until the individual target haemoglobin concentration is obtained.</w:t>
            </w:r>
          </w:p>
          <w:p w14:paraId="0AACD008" w14:textId="77777777" w:rsidR="00223CE8" w:rsidRPr="00944B15" w:rsidRDefault="00223CE8" w:rsidP="002D6DD7">
            <w:pPr>
              <w:adjustRightInd w:val="0"/>
              <w:spacing w:after="0"/>
              <w:jc w:val="both"/>
              <w:rPr>
                <w:rFonts w:eastAsia="Candara-Italic" w:cs="Times New Roman"/>
                <w:b/>
                <w:szCs w:val="24"/>
              </w:rPr>
            </w:pPr>
            <w:r w:rsidRPr="00944B15">
              <w:rPr>
                <w:rFonts w:eastAsia="Candara-Italic" w:cs="Times New Roman"/>
                <w:b/>
                <w:szCs w:val="24"/>
              </w:rPr>
              <w:t>Symptomatic anaemia associated with chronic kidney disease in patients not on dialysis and not currently treated with erythropoietin</w:t>
            </w:r>
            <w:r>
              <w:rPr>
                <w:rFonts w:eastAsia="Candara-Italic" w:cs="Times New Roman"/>
                <w:b/>
                <w:szCs w:val="24"/>
              </w:rPr>
              <w:t>:</w:t>
            </w:r>
          </w:p>
          <w:p w14:paraId="22B56D05"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By SC: Initially 1.2 micrograms/kg every month, alternatively (by subcutaneous injection or by intravenous injection) initially 600 nanograms/kg every 2 weeks, subcutaneous route preferred in patients not on haemodialysis, dose to be adjusted</w:t>
            </w:r>
          </w:p>
          <w:p w14:paraId="25240F71"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according to response at intervals of at least 1 month, patients treated once every 2 weeks may be given a maintenance dose of double the previous fortnightly</w:t>
            </w:r>
          </w:p>
          <w:p w14:paraId="7371257C"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dose once a month if haemoglobin concentration is above 10 g/100 </w:t>
            </w:r>
            <w:r>
              <w:rPr>
                <w:rFonts w:eastAsia="Candara-Italic" w:cs="Times New Roman"/>
                <w:szCs w:val="24"/>
              </w:rPr>
              <w:t>ml</w:t>
            </w:r>
            <w:r w:rsidRPr="00944B15">
              <w:rPr>
                <w:rFonts w:eastAsia="Candara-Italic" w:cs="Times New Roman"/>
                <w:szCs w:val="24"/>
              </w:rPr>
              <w:t>, reduce dose by approximately 25% if rate of rise in haemoglobin concentration exceeds</w:t>
            </w:r>
          </w:p>
          <w:p w14:paraId="56B7F22B"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2 g/100 </w:t>
            </w:r>
            <w:r>
              <w:rPr>
                <w:rFonts w:eastAsia="Candara-Italic" w:cs="Times New Roman"/>
                <w:szCs w:val="24"/>
              </w:rPr>
              <w:t>ml</w:t>
            </w:r>
            <w:r w:rsidRPr="00944B15">
              <w:rPr>
                <w:rFonts w:eastAsia="Candara-Italic" w:cs="Times New Roman"/>
                <w:szCs w:val="24"/>
              </w:rPr>
              <w:t xml:space="preserve"> in 1 month or if haemoglobin concentration is increasing or approaching</w:t>
            </w:r>
            <w:r>
              <w:rPr>
                <w:rFonts w:eastAsia="Candara-Italic" w:cs="Times New Roman"/>
                <w:szCs w:val="24"/>
              </w:rPr>
              <w:t xml:space="preserve"> </w:t>
            </w:r>
            <w:r w:rsidRPr="005F5066">
              <w:rPr>
                <w:rFonts w:eastAsia="Candara-Italic" w:cs="Times New Roman"/>
                <w:szCs w:val="24"/>
              </w:rPr>
              <w:t>11.5g/dl</w:t>
            </w:r>
            <w:r w:rsidRPr="00944B15">
              <w:rPr>
                <w:rFonts w:eastAsia="Candara-Italic" w:cs="Times New Roman"/>
                <w:szCs w:val="24"/>
              </w:rPr>
              <w:t>; if haemoglobin concentration continues to rise, despite</w:t>
            </w:r>
          </w:p>
          <w:p w14:paraId="69D239A7" w14:textId="77777777" w:rsidR="00223CE8" w:rsidRPr="00944B15" w:rsidRDefault="00223CE8" w:rsidP="002D6DD7">
            <w:pPr>
              <w:adjustRightInd w:val="0"/>
              <w:spacing w:after="0"/>
              <w:jc w:val="both"/>
              <w:rPr>
                <w:rFonts w:eastAsia="Candara-Italic" w:cs="Times New Roman"/>
                <w:szCs w:val="24"/>
              </w:rPr>
            </w:pPr>
            <w:r w:rsidRPr="00944B15">
              <w:rPr>
                <w:rFonts w:eastAsia="Candara-Italic" w:cs="Times New Roman"/>
                <w:szCs w:val="24"/>
              </w:rPr>
              <w:t xml:space="preserve">dose reduction, suspend treatment until haemoglobin concentration </w:t>
            </w:r>
            <w:r w:rsidRPr="00944B15">
              <w:rPr>
                <w:rFonts w:eastAsia="Candara-Italic" w:cs="Times New Roman"/>
                <w:szCs w:val="24"/>
              </w:rPr>
              <w:lastRenderedPageBreak/>
              <w:t xml:space="preserve">decreases and then restart at a dose approximately 25% lower than the previous dose, dose may be increased by approximately 25% if the rate of rise in haemoglobin concentration is less than 1 g/100 </w:t>
            </w:r>
            <w:r>
              <w:rPr>
                <w:rFonts w:eastAsia="Candara-Italic" w:cs="Times New Roman"/>
                <w:szCs w:val="24"/>
              </w:rPr>
              <w:t>ml</w:t>
            </w:r>
            <w:r w:rsidRPr="00944B15">
              <w:rPr>
                <w:rFonts w:eastAsia="Candara-Italic" w:cs="Times New Roman"/>
                <w:szCs w:val="24"/>
              </w:rPr>
              <w:t xml:space="preserve"> over 1 month; further increases of approximately 25% may be made at monthly intervals until the individual target haemoglobin concentration is obtained</w:t>
            </w:r>
          </w:p>
        </w:tc>
      </w:tr>
      <w:tr w:rsidR="00223CE8" w:rsidRPr="00944B15" w14:paraId="05638AB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DC9CE66"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tcBorders>
              <w:top w:val="single" w:sz="4" w:space="0" w:color="auto"/>
              <w:left w:val="single" w:sz="4" w:space="0" w:color="auto"/>
              <w:bottom w:val="single" w:sz="4" w:space="0" w:color="auto"/>
              <w:right w:val="single" w:sz="4" w:space="0" w:color="auto"/>
            </w:tcBorders>
            <w:hideMark/>
          </w:tcPr>
          <w:p w14:paraId="7200024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the </w:t>
            </w:r>
            <w:r>
              <w:rPr>
                <w:rFonts w:cs="Times New Roman"/>
                <w:szCs w:val="24"/>
              </w:rPr>
              <w:t>drug,</w:t>
            </w:r>
            <w:r w:rsidRPr="00944B15">
              <w:rPr>
                <w:rFonts w:cs="Times New Roman"/>
                <w:szCs w:val="24"/>
              </w:rPr>
              <w:t xml:space="preserve"> patients who develop pure red cell aplasia following treatment with any erythropoietin and uncontrolled hypertension.</w:t>
            </w:r>
          </w:p>
        </w:tc>
      </w:tr>
      <w:tr w:rsidR="00223CE8" w:rsidRPr="00944B15" w14:paraId="616237AB" w14:textId="77777777" w:rsidTr="002D6DD7">
        <w:trPr>
          <w:trHeight w:val="467"/>
        </w:trPr>
        <w:tc>
          <w:tcPr>
            <w:tcW w:w="2605" w:type="dxa"/>
            <w:tcBorders>
              <w:top w:val="single" w:sz="4" w:space="0" w:color="auto"/>
              <w:left w:val="single" w:sz="4" w:space="0" w:color="auto"/>
              <w:bottom w:val="single" w:sz="4" w:space="0" w:color="auto"/>
              <w:right w:val="single" w:sz="4" w:space="0" w:color="auto"/>
            </w:tcBorders>
            <w:hideMark/>
          </w:tcPr>
          <w:p w14:paraId="56CCBE15"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tcBorders>
              <w:top w:val="single" w:sz="4" w:space="0" w:color="auto"/>
              <w:left w:val="single" w:sz="4" w:space="0" w:color="auto"/>
              <w:bottom w:val="single" w:sz="4" w:space="0" w:color="auto"/>
              <w:right w:val="single" w:sz="4" w:space="0" w:color="auto"/>
            </w:tcBorders>
            <w:hideMark/>
          </w:tcPr>
          <w:p w14:paraId="07A5094B" w14:textId="77777777" w:rsidR="00223CE8" w:rsidRPr="00944B15" w:rsidRDefault="00223CE8" w:rsidP="002D6DD7">
            <w:pPr>
              <w:spacing w:after="0"/>
              <w:jc w:val="both"/>
              <w:rPr>
                <w:rFonts w:cs="Times New Roman"/>
                <w:szCs w:val="24"/>
              </w:rPr>
            </w:pPr>
            <w:r>
              <w:rPr>
                <w:rFonts w:cs="Times New Roman"/>
                <w:szCs w:val="24"/>
              </w:rPr>
              <w:t>There are no significant drug interactions</w:t>
            </w:r>
          </w:p>
        </w:tc>
      </w:tr>
      <w:tr w:rsidR="00223CE8" w:rsidRPr="00944B15" w14:paraId="404BF57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FE8885"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tcBorders>
              <w:top w:val="single" w:sz="4" w:space="0" w:color="auto"/>
              <w:left w:val="single" w:sz="4" w:space="0" w:color="auto"/>
              <w:bottom w:val="single" w:sz="4" w:space="0" w:color="auto"/>
              <w:right w:val="single" w:sz="4" w:space="0" w:color="auto"/>
            </w:tcBorders>
            <w:hideMark/>
          </w:tcPr>
          <w:p w14:paraId="32C81149" w14:textId="77777777" w:rsidR="00223CE8" w:rsidRPr="00944B15" w:rsidRDefault="00223CE8" w:rsidP="002D6DD7">
            <w:pPr>
              <w:spacing w:after="0"/>
              <w:jc w:val="both"/>
              <w:rPr>
                <w:rFonts w:cs="Times New Roman"/>
                <w:szCs w:val="24"/>
              </w:rPr>
            </w:pPr>
            <w:r w:rsidRPr="00944B15">
              <w:rPr>
                <w:rFonts w:cs="Times New Roman"/>
                <w:szCs w:val="24"/>
              </w:rPr>
              <w:t>Hypertension, hot flush, hypertensive encephalopathy, maculopapular rash, diarrhoea, nasopharyngitis, headache, muscle spasm, fluid overload, back pain, cough, urinary tract infection, pain in extremity, stevens-Johnson syndrome and toxic epidermal necrolysis.</w:t>
            </w:r>
          </w:p>
        </w:tc>
      </w:tr>
      <w:tr w:rsidR="00223CE8" w:rsidRPr="00944B15" w14:paraId="4F491B5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D157954"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tcBorders>
              <w:top w:val="single" w:sz="4" w:space="0" w:color="auto"/>
              <w:left w:val="single" w:sz="4" w:space="0" w:color="auto"/>
              <w:bottom w:val="single" w:sz="4" w:space="0" w:color="auto"/>
              <w:right w:val="single" w:sz="4" w:space="0" w:color="auto"/>
            </w:tcBorders>
            <w:hideMark/>
          </w:tcPr>
          <w:p w14:paraId="7BDC58D7" w14:textId="77777777" w:rsidR="00223CE8" w:rsidRPr="00944B15" w:rsidRDefault="00223CE8" w:rsidP="002D6DD7">
            <w:pPr>
              <w:spacing w:after="0"/>
              <w:jc w:val="both"/>
              <w:rPr>
                <w:rFonts w:cs="Times New Roman"/>
                <w:szCs w:val="24"/>
              </w:rPr>
            </w:pPr>
            <w:r w:rsidRPr="00944B15">
              <w:rPr>
                <w:rFonts w:cs="Times New Roman"/>
                <w:szCs w:val="24"/>
              </w:rPr>
              <w:t>Bone marrow fibrosis, concurrent infection, haematological disease, haemolysis, inflammatory or traumatic episodes, cardiovascular disease or HTN.</w:t>
            </w:r>
          </w:p>
        </w:tc>
      </w:tr>
      <w:tr w:rsidR="00223CE8" w:rsidRPr="00944B15" w14:paraId="6844964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2AA3CA8"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tcBorders>
              <w:top w:val="single" w:sz="4" w:space="0" w:color="auto"/>
              <w:left w:val="single" w:sz="4" w:space="0" w:color="auto"/>
              <w:bottom w:val="single" w:sz="4" w:space="0" w:color="auto"/>
              <w:right w:val="single" w:sz="4" w:space="0" w:color="auto"/>
            </w:tcBorders>
            <w:hideMark/>
          </w:tcPr>
          <w:p w14:paraId="17E5DC64" w14:textId="77777777" w:rsidR="00223CE8" w:rsidRPr="00944B15" w:rsidRDefault="00223CE8" w:rsidP="002D6DD7">
            <w:pPr>
              <w:spacing w:after="0"/>
              <w:jc w:val="both"/>
              <w:rPr>
                <w:rFonts w:cs="Times New Roman"/>
                <w:szCs w:val="24"/>
              </w:rPr>
            </w:pPr>
            <w:r w:rsidRPr="00944B15">
              <w:rPr>
                <w:rFonts w:cs="Times New Roman"/>
                <w:szCs w:val="24"/>
              </w:rPr>
              <w:t>Store in a refrigerator at 2-8°C. Do not freeze or shake</w:t>
            </w:r>
          </w:p>
        </w:tc>
      </w:tr>
    </w:tbl>
    <w:p w14:paraId="2A454914" w14:textId="77777777" w:rsidR="00223CE8" w:rsidRPr="00A0498F" w:rsidRDefault="00223CE8" w:rsidP="00A0498F">
      <w:pPr>
        <w:pStyle w:val="Heading2"/>
        <w:spacing w:before="240" w:after="240"/>
      </w:pPr>
      <w:bookmarkStart w:id="160" w:name="_Toc179490380"/>
      <w:r w:rsidRPr="00A0498F">
        <w:t xml:space="preserve">Medicines </w:t>
      </w:r>
      <w:r w:rsidR="00A0498F" w:rsidRPr="00A0498F">
        <w:t>a</w:t>
      </w:r>
      <w:r w:rsidRPr="00A0498F">
        <w:t xml:space="preserve">ffecting </w:t>
      </w:r>
      <w:r w:rsidR="00A0498F" w:rsidRPr="00A0498F">
        <w:t>c</w:t>
      </w:r>
      <w:r w:rsidRPr="00A0498F">
        <w:t>oagulation</w:t>
      </w:r>
      <w:bookmarkEnd w:id="160"/>
    </w:p>
    <w:p w14:paraId="3F115BB5" w14:textId="77777777" w:rsidR="00223CE8" w:rsidRPr="00944B15" w:rsidRDefault="00223CE8" w:rsidP="00223CE8">
      <w:pPr>
        <w:spacing w:after="0"/>
        <w:jc w:val="both"/>
        <w:rPr>
          <w:rFonts w:cs="Times New Roman"/>
          <w:szCs w:val="24"/>
        </w:rPr>
      </w:pPr>
      <w:r w:rsidRPr="00944B15">
        <w:rPr>
          <w:rFonts w:cs="Times New Roman"/>
          <w:szCs w:val="24"/>
        </w:rPr>
        <w:t>Medicines affecting coagulation, also known as anticoagulants and antiplatelet drugs, play a crucial role in the prevention and treatment of various cardiovascular and thromboembolic disorders. Coagulation is the process by which blood forms clots to stop bleeding, but abnormalities in this process can lead to dangerous conditions such as thrombosis or embolism. Medicines that affect coagulation are designed to either inhibit clot formation (anticoagulants) or prevent platelet aggregation (antiplatelet drugs), thereby reducing the risk of blood clots and associated complications.</w:t>
      </w:r>
    </w:p>
    <w:p w14:paraId="17F8079F" w14:textId="77777777" w:rsidR="00223CE8" w:rsidRPr="00944B15" w:rsidRDefault="00223CE8" w:rsidP="00223CE8">
      <w:pPr>
        <w:spacing w:before="240" w:after="0"/>
        <w:jc w:val="both"/>
        <w:rPr>
          <w:rFonts w:cs="Times New Roman"/>
          <w:szCs w:val="24"/>
          <w:shd w:val="clear" w:color="auto" w:fill="FFFFFF"/>
        </w:rPr>
      </w:pPr>
      <w:r w:rsidRPr="00944B15">
        <w:rPr>
          <w:rFonts w:cs="Times New Roman"/>
          <w:szCs w:val="24"/>
          <w:shd w:val="clear" w:color="auto" w:fill="FFFFFF"/>
        </w:rPr>
        <w:t xml:space="preserve">Anticoagulants are medications that inhibit the formation of blood clots, thereby preventing thrombosis (the formation of clots within blood vessels) and reducing the risk of embolism (the movement of clots to other parts of the body where they can cause blockages). These drugs are </w:t>
      </w:r>
      <w:r w:rsidRPr="00944B15">
        <w:rPr>
          <w:rFonts w:cs="Times New Roman"/>
          <w:szCs w:val="24"/>
          <w:shd w:val="clear" w:color="auto" w:fill="FFFFFF"/>
        </w:rPr>
        <w:lastRenderedPageBreak/>
        <w:t>commonly used in the prevention and treatment of various cardiovascular and thromboembolic disorders.</w:t>
      </w:r>
    </w:p>
    <w:tbl>
      <w:tblPr>
        <w:tblW w:w="10008" w:type="dxa"/>
        <w:tblLook w:val="04A0" w:firstRow="1" w:lastRow="0" w:firstColumn="1" w:lastColumn="0" w:noHBand="0" w:noVBand="1"/>
      </w:tblPr>
      <w:tblGrid>
        <w:gridCol w:w="2605"/>
        <w:gridCol w:w="7290"/>
        <w:gridCol w:w="23"/>
        <w:gridCol w:w="90"/>
      </w:tblGrid>
      <w:tr w:rsidR="00223CE8" w:rsidRPr="00944B15" w14:paraId="0DC023A4" w14:textId="77777777" w:rsidTr="002D6DD7">
        <w:trPr>
          <w:gridAfter w:val="2"/>
          <w:wAfter w:w="113" w:type="dxa"/>
        </w:trPr>
        <w:tc>
          <w:tcPr>
            <w:tcW w:w="9895" w:type="dxa"/>
            <w:gridSpan w:val="2"/>
            <w:tcBorders>
              <w:top w:val="single" w:sz="4" w:space="0" w:color="auto"/>
              <w:left w:val="single" w:sz="4" w:space="0" w:color="auto"/>
              <w:bottom w:val="single" w:sz="4" w:space="0" w:color="auto"/>
              <w:right w:val="single" w:sz="4" w:space="0" w:color="auto"/>
            </w:tcBorders>
            <w:hideMark/>
          </w:tcPr>
          <w:p w14:paraId="21492293" w14:textId="77777777" w:rsidR="00223CE8" w:rsidRPr="00944B15" w:rsidRDefault="00223CE8" w:rsidP="002D6DD7">
            <w:pPr>
              <w:spacing w:after="0"/>
              <w:jc w:val="both"/>
              <w:rPr>
                <w:rFonts w:cs="Times New Roman"/>
                <w:b/>
                <w:szCs w:val="24"/>
              </w:rPr>
            </w:pPr>
            <w:r w:rsidRPr="00944B15">
              <w:rPr>
                <w:rFonts w:cs="Times New Roman"/>
                <w:b/>
                <w:szCs w:val="24"/>
              </w:rPr>
              <w:t>Apixaban</w:t>
            </w:r>
          </w:p>
        </w:tc>
      </w:tr>
      <w:tr w:rsidR="00223CE8" w:rsidRPr="00944B15" w14:paraId="766A23F0"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1F2413EF"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290" w:type="dxa"/>
            <w:tcBorders>
              <w:top w:val="single" w:sz="4" w:space="0" w:color="auto"/>
              <w:left w:val="single" w:sz="4" w:space="0" w:color="auto"/>
              <w:bottom w:val="single" w:sz="4" w:space="0" w:color="auto"/>
              <w:right w:val="single" w:sz="4" w:space="0" w:color="auto"/>
            </w:tcBorders>
            <w:hideMark/>
          </w:tcPr>
          <w:p w14:paraId="461D8AFF" w14:textId="77777777" w:rsidR="00223CE8" w:rsidRPr="00944B15" w:rsidRDefault="00223CE8" w:rsidP="002D6DD7">
            <w:pPr>
              <w:spacing w:after="0"/>
              <w:jc w:val="both"/>
              <w:rPr>
                <w:rFonts w:cs="Times New Roman"/>
                <w:szCs w:val="24"/>
              </w:rPr>
            </w:pPr>
            <w:r>
              <w:rPr>
                <w:rFonts w:cs="Times New Roman"/>
                <w:szCs w:val="24"/>
                <w:shd w:val="clear" w:color="auto" w:fill="FFFFFF"/>
              </w:rPr>
              <w:t>Anticoagulants: f</w:t>
            </w:r>
            <w:r w:rsidRPr="00944B15">
              <w:rPr>
                <w:rFonts w:cs="Times New Roman"/>
                <w:szCs w:val="24"/>
                <w:shd w:val="clear" w:color="auto" w:fill="FFFFFF"/>
              </w:rPr>
              <w:t>actor Xa inhibitors</w:t>
            </w:r>
          </w:p>
        </w:tc>
      </w:tr>
      <w:tr w:rsidR="00223CE8" w:rsidRPr="00944B15" w14:paraId="7068C0A5"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60F19D14"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290" w:type="dxa"/>
            <w:tcBorders>
              <w:top w:val="single" w:sz="4" w:space="0" w:color="auto"/>
              <w:left w:val="single" w:sz="4" w:space="0" w:color="auto"/>
              <w:bottom w:val="single" w:sz="4" w:space="0" w:color="auto"/>
              <w:right w:val="single" w:sz="4" w:space="0" w:color="auto"/>
            </w:tcBorders>
            <w:hideMark/>
          </w:tcPr>
          <w:p w14:paraId="302401E0" w14:textId="77777777" w:rsidR="00223CE8" w:rsidRPr="00944B15" w:rsidRDefault="00223CE8" w:rsidP="002D6DD7">
            <w:pPr>
              <w:spacing w:after="0"/>
              <w:jc w:val="both"/>
              <w:rPr>
                <w:rFonts w:cs="Times New Roman"/>
                <w:szCs w:val="24"/>
              </w:rPr>
            </w:pPr>
            <w:r>
              <w:rPr>
                <w:rFonts w:cs="Times New Roman"/>
                <w:szCs w:val="24"/>
              </w:rPr>
              <w:t xml:space="preserve">Tablet: </w:t>
            </w:r>
            <w:r w:rsidRPr="00944B15">
              <w:rPr>
                <w:rFonts w:cs="Times New Roman"/>
                <w:szCs w:val="24"/>
              </w:rPr>
              <w:t>5mg</w:t>
            </w:r>
          </w:p>
        </w:tc>
      </w:tr>
      <w:tr w:rsidR="00223CE8" w:rsidRPr="00944B15" w14:paraId="29A23618"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7DB364B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290" w:type="dxa"/>
            <w:tcBorders>
              <w:top w:val="single" w:sz="4" w:space="0" w:color="auto"/>
              <w:left w:val="single" w:sz="4" w:space="0" w:color="auto"/>
              <w:bottom w:val="single" w:sz="4" w:space="0" w:color="auto"/>
              <w:right w:val="single" w:sz="4" w:space="0" w:color="auto"/>
            </w:tcBorders>
            <w:hideMark/>
          </w:tcPr>
          <w:p w14:paraId="662B942C" w14:textId="77777777" w:rsidR="00223CE8" w:rsidRPr="00944B15" w:rsidRDefault="00223CE8" w:rsidP="002D6DD7">
            <w:pPr>
              <w:pStyle w:val="NormalWeb"/>
              <w:shd w:val="clear" w:color="auto" w:fill="FFFFFF"/>
              <w:spacing w:before="0" w:beforeAutospacing="0" w:after="0" w:afterAutospacing="0" w:line="360" w:lineRule="auto"/>
              <w:jc w:val="both"/>
            </w:pPr>
            <w:r w:rsidRPr="00944B15">
              <w:t>Prevention of stroke and systemic embolism in adult patients with non-valvular atrial fibrillation (NVAF), with one or more risk factors, such as prior stroke or transient ischaemic attack (TIA); age ≥ 75 years; hypertension; diabetes mellitus; symptomatic heart failure (NYHA Class ≥ II).</w:t>
            </w:r>
          </w:p>
          <w:p w14:paraId="30E05824" w14:textId="77777777" w:rsidR="00223CE8" w:rsidRPr="00944B15" w:rsidRDefault="00223CE8" w:rsidP="002D6DD7">
            <w:pPr>
              <w:pStyle w:val="NormalWeb"/>
              <w:shd w:val="clear" w:color="auto" w:fill="FFFFFF"/>
              <w:spacing w:before="0" w:beforeAutospacing="0" w:after="0" w:afterAutospacing="0" w:line="360" w:lineRule="auto"/>
              <w:jc w:val="both"/>
            </w:pPr>
            <w:r w:rsidRPr="00944B15">
              <w:t>Treatment of deep vein thrombosis (DVT) and pulmonary embolism (PE), and prevention of recurrent DVT and PE in adults.</w:t>
            </w:r>
          </w:p>
        </w:tc>
      </w:tr>
      <w:tr w:rsidR="00223CE8" w:rsidRPr="00944B15" w14:paraId="0D79601B"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4F020877"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7290" w:type="dxa"/>
            <w:tcBorders>
              <w:top w:val="single" w:sz="4" w:space="0" w:color="auto"/>
              <w:left w:val="single" w:sz="4" w:space="0" w:color="auto"/>
              <w:bottom w:val="single" w:sz="4" w:space="0" w:color="auto"/>
              <w:right w:val="single" w:sz="4" w:space="0" w:color="auto"/>
            </w:tcBorders>
            <w:hideMark/>
          </w:tcPr>
          <w:p w14:paraId="1C0B9D97"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04A973F7"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stroke and systemic embolism in patients with non-valvular atrial fibrillation (NVAF)</w:t>
            </w:r>
            <w:r>
              <w:rPr>
                <w:rFonts w:cs="Times New Roman"/>
                <w:b/>
                <w:szCs w:val="24"/>
              </w:rPr>
              <w:t>:</w:t>
            </w:r>
          </w:p>
          <w:p w14:paraId="73D2707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5 mg taken twice daily.</w:t>
            </w:r>
          </w:p>
          <w:p w14:paraId="6B32809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Dose Reduction</w:t>
            </w:r>
          </w:p>
          <w:p w14:paraId="0B7C139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2.5 mg taken twice daily in patients with NVAF and at least two of the following characteristics: age ≥ 80 years, body weight ≤ 60 kg, or serum creatinine ≥ 1.5 mg/dl (133 micromole/l).</w:t>
            </w:r>
          </w:p>
          <w:p w14:paraId="3207A57A"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Treatment of DVT and PE:</w:t>
            </w:r>
          </w:p>
          <w:p w14:paraId="6A64003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10 mg taken twice daily for the first 7 days followed by 5 mg taken orally twice daily.</w:t>
            </w:r>
          </w:p>
          <w:p w14:paraId="19689E4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recurrent DVT and PE (VTE)</w:t>
            </w:r>
            <w:r>
              <w:rPr>
                <w:rFonts w:cs="Times New Roman"/>
                <w:b/>
                <w:szCs w:val="24"/>
              </w:rPr>
              <w:t>:</w:t>
            </w:r>
          </w:p>
          <w:p w14:paraId="5D8D36B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2.5 mg taken twice daily. Dose for prevention should be initiated following completion of 6 months of treatment with apixaban 5 mg twice daily or with another anticoagulant.</w:t>
            </w:r>
          </w:p>
        </w:tc>
      </w:tr>
      <w:tr w:rsidR="00223CE8" w:rsidRPr="00944B15" w14:paraId="5BF5502C"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046899D2"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290" w:type="dxa"/>
            <w:tcBorders>
              <w:top w:val="single" w:sz="4" w:space="0" w:color="auto"/>
              <w:left w:val="single" w:sz="4" w:space="0" w:color="auto"/>
              <w:bottom w:val="single" w:sz="4" w:space="0" w:color="auto"/>
              <w:right w:val="single" w:sz="4" w:space="0" w:color="auto"/>
            </w:tcBorders>
            <w:hideMark/>
          </w:tcPr>
          <w:p w14:paraId="3BE1AEA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the </w:t>
            </w:r>
            <w:r>
              <w:rPr>
                <w:rFonts w:cs="Times New Roman"/>
                <w:szCs w:val="24"/>
              </w:rPr>
              <w:t>drug</w:t>
            </w:r>
            <w:r w:rsidRPr="00944B15">
              <w:rPr>
                <w:rFonts w:cs="Times New Roman"/>
                <w:szCs w:val="24"/>
              </w:rPr>
              <w:t xml:space="preserve">, active clinically significant bleeding, hepatic disease associated with coagulopathy, current or recent gastrointestinal ulceration, presence of malignant neoplasms at high risk of bleeding, recent brain or spinal injury, recent brain, spinal or </w:t>
            </w:r>
            <w:r w:rsidRPr="00944B15">
              <w:rPr>
                <w:rFonts w:cs="Times New Roman"/>
                <w:szCs w:val="24"/>
              </w:rPr>
              <w:lastRenderedPageBreak/>
              <w:t>ophthalmic surgery, recent intracranial haemorrhage, known or suspected oesophageal varices, arteriovenous malformations, vascular aneurysms or major intraspinal or intracerebral vascular abnormalities, and concomitant treatment with any other anticoagulant agent.</w:t>
            </w:r>
          </w:p>
        </w:tc>
      </w:tr>
      <w:tr w:rsidR="00223CE8" w:rsidRPr="00944B15" w14:paraId="6EA5F390"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6D118139"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7290" w:type="dxa"/>
            <w:tcBorders>
              <w:top w:val="single" w:sz="4" w:space="0" w:color="auto"/>
              <w:left w:val="single" w:sz="4" w:space="0" w:color="auto"/>
              <w:bottom w:val="single" w:sz="4" w:space="0" w:color="auto"/>
              <w:right w:val="single" w:sz="4" w:space="0" w:color="auto"/>
            </w:tcBorders>
            <w:hideMark/>
          </w:tcPr>
          <w:p w14:paraId="53974E5C" w14:textId="77777777" w:rsidR="00223CE8" w:rsidRPr="00944B15" w:rsidRDefault="00223CE8" w:rsidP="002D6DD7">
            <w:pPr>
              <w:shd w:val="clear" w:color="auto" w:fill="FFFFFF"/>
              <w:spacing w:after="0"/>
              <w:jc w:val="both"/>
              <w:rPr>
                <w:rFonts w:cs="Times New Roman"/>
                <w:szCs w:val="24"/>
              </w:rPr>
            </w:pPr>
            <w:r w:rsidRPr="00944B15">
              <w:rPr>
                <w:rFonts w:cs="Times New Roman"/>
                <w:szCs w:val="24"/>
              </w:rPr>
              <w:t>Azole-anti-fungals (ketoconazole, itraconazole, voriconazole), HIV protease inhibitors (e.g. ritonavir), nonsteroidal anti-inflammatory (NSAIDs), selective serotonin reuptake inhibitors (SSRIs), and serotonin norepinephrine reuptake inhibitors (SNRIs), and other anticoagulants.</w:t>
            </w:r>
          </w:p>
        </w:tc>
      </w:tr>
      <w:tr w:rsidR="00223CE8" w:rsidRPr="00944B15" w14:paraId="45BE6251"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6F7DDAD7"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290" w:type="dxa"/>
            <w:tcBorders>
              <w:top w:val="single" w:sz="4" w:space="0" w:color="auto"/>
              <w:left w:val="single" w:sz="4" w:space="0" w:color="auto"/>
              <w:bottom w:val="single" w:sz="4" w:space="0" w:color="auto"/>
              <w:right w:val="single" w:sz="4" w:space="0" w:color="auto"/>
            </w:tcBorders>
            <w:hideMark/>
          </w:tcPr>
          <w:p w14:paraId="4A4149F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Anaemia, bleeding from any site, nausea, skin reactions, CNS haemorrhage, epistaxis, hypotension, post procedural hematoma, thrombocytopenia, wound complications, and increase in transaminases. </w:t>
            </w:r>
          </w:p>
        </w:tc>
      </w:tr>
      <w:tr w:rsidR="00223CE8" w:rsidRPr="00944B15" w14:paraId="3EC2C2FE"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33CE8702"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290" w:type="dxa"/>
            <w:tcBorders>
              <w:top w:val="single" w:sz="4" w:space="0" w:color="auto"/>
              <w:left w:val="single" w:sz="4" w:space="0" w:color="auto"/>
              <w:bottom w:val="single" w:sz="4" w:space="0" w:color="auto"/>
              <w:right w:val="single" w:sz="4" w:space="0" w:color="auto"/>
            </w:tcBorders>
            <w:hideMark/>
          </w:tcPr>
          <w:p w14:paraId="151E197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Patient</w:t>
            </w:r>
            <w:r>
              <w:rPr>
                <w:rFonts w:cs="Times New Roman"/>
                <w:szCs w:val="24"/>
              </w:rPr>
              <w:t xml:space="preserve">s with prosthetic heart valves </w:t>
            </w:r>
            <w:r w:rsidRPr="00944B15">
              <w:rPr>
                <w:rFonts w:cs="Times New Roman"/>
                <w:szCs w:val="24"/>
              </w:rPr>
              <w:t>surgery and invasive procedures, active cancer; severe renal impairment, elderly patients and hepatic impairment.</w:t>
            </w:r>
          </w:p>
        </w:tc>
      </w:tr>
      <w:tr w:rsidR="00223CE8" w:rsidRPr="00944B15" w14:paraId="403D3843" w14:textId="77777777" w:rsidTr="002D6DD7">
        <w:trPr>
          <w:gridAfter w:val="2"/>
          <w:wAfter w:w="113" w:type="dxa"/>
        </w:trPr>
        <w:tc>
          <w:tcPr>
            <w:tcW w:w="2605" w:type="dxa"/>
            <w:tcBorders>
              <w:top w:val="single" w:sz="4" w:space="0" w:color="auto"/>
              <w:left w:val="single" w:sz="4" w:space="0" w:color="auto"/>
              <w:bottom w:val="single" w:sz="4" w:space="0" w:color="auto"/>
              <w:right w:val="single" w:sz="4" w:space="0" w:color="auto"/>
            </w:tcBorders>
            <w:hideMark/>
          </w:tcPr>
          <w:p w14:paraId="50BF53ED"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290" w:type="dxa"/>
            <w:tcBorders>
              <w:top w:val="single" w:sz="4" w:space="0" w:color="auto"/>
              <w:left w:val="single" w:sz="4" w:space="0" w:color="auto"/>
              <w:bottom w:val="single" w:sz="4" w:space="0" w:color="auto"/>
              <w:right w:val="single" w:sz="4" w:space="0" w:color="auto"/>
            </w:tcBorders>
            <w:hideMark/>
          </w:tcPr>
          <w:p w14:paraId="57039A24" w14:textId="77777777" w:rsidR="00223CE8" w:rsidRPr="00944B15" w:rsidRDefault="00223CE8" w:rsidP="002D6DD7">
            <w:pPr>
              <w:spacing w:after="0"/>
              <w:jc w:val="both"/>
              <w:rPr>
                <w:rFonts w:cs="Times New Roman"/>
                <w:szCs w:val="24"/>
              </w:rPr>
            </w:pPr>
            <w:r w:rsidRPr="00944B15">
              <w:rPr>
                <w:rFonts w:cs="Times New Roman"/>
                <w:szCs w:val="24"/>
              </w:rPr>
              <w:t>Store below 30° C, Protect from light.</w:t>
            </w:r>
          </w:p>
        </w:tc>
      </w:tr>
      <w:tr w:rsidR="00223CE8" w:rsidRPr="00944B15" w14:paraId="4046FDAC"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07A42C5F" w14:textId="77777777" w:rsidR="00223CE8" w:rsidRPr="00944B15" w:rsidRDefault="00223CE8" w:rsidP="002D6DD7">
            <w:pPr>
              <w:spacing w:after="0"/>
              <w:jc w:val="both"/>
              <w:rPr>
                <w:rFonts w:cs="Times New Roman"/>
                <w:b/>
                <w:szCs w:val="24"/>
              </w:rPr>
            </w:pPr>
            <w:r w:rsidRPr="00944B15">
              <w:rPr>
                <w:rFonts w:cs="Times New Roman"/>
                <w:b/>
                <w:szCs w:val="24"/>
              </w:rPr>
              <w:t>Dabigatran</w:t>
            </w:r>
          </w:p>
        </w:tc>
      </w:tr>
      <w:tr w:rsidR="00223CE8" w:rsidRPr="00944B15" w14:paraId="67CE6F7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E7E7C0F"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556A3DB7"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Anticoagulant; direct thrombin inhibitors</w:t>
            </w:r>
          </w:p>
        </w:tc>
      </w:tr>
      <w:tr w:rsidR="00223CE8" w:rsidRPr="00944B15" w14:paraId="435C18AF"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5972E33"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43D4520A" w14:textId="77777777" w:rsidR="00223CE8" w:rsidRPr="00944B15" w:rsidRDefault="00223CE8" w:rsidP="002D6DD7">
            <w:pPr>
              <w:spacing w:after="0"/>
              <w:jc w:val="both"/>
              <w:rPr>
                <w:rFonts w:cs="Times New Roman"/>
                <w:szCs w:val="24"/>
              </w:rPr>
            </w:pPr>
            <w:r>
              <w:rPr>
                <w:rFonts w:cs="Times New Roman"/>
                <w:szCs w:val="24"/>
              </w:rPr>
              <w:t>Capsule:</w:t>
            </w:r>
            <w:r w:rsidRPr="00944B15">
              <w:rPr>
                <w:rFonts w:cs="Times New Roman"/>
                <w:szCs w:val="24"/>
              </w:rPr>
              <w:t xml:space="preserve"> 75mg, 150mg</w:t>
            </w:r>
          </w:p>
        </w:tc>
      </w:tr>
      <w:tr w:rsidR="00223CE8" w:rsidRPr="00944B15" w14:paraId="79F9CE5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F2BBD41"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C082BA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Prevention of stroke and systemic embolism in adult patients with non-valvular atrial fibrillation (NVAF), with one or more risk factors, such as prior stroke or transient ischemic attack (TIA); age ≥ 75 years; heart failure (NYHA Class ≥ II); diabetes mellitus; hypertension.</w:t>
            </w:r>
          </w:p>
          <w:p w14:paraId="307E57C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Treatment of deep vein thrombosis (DVT) and pulmonary embolism (PE), and prevention of recurrent DVT and PE.</w:t>
            </w:r>
          </w:p>
        </w:tc>
      </w:tr>
      <w:tr w:rsidR="00223CE8" w:rsidRPr="00944B15" w14:paraId="2474C07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F6E057E"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AD5B8F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Pr>
                <w:rFonts w:cs="Times New Roman"/>
                <w:b/>
                <w:szCs w:val="24"/>
              </w:rPr>
              <w:t>:</w:t>
            </w:r>
            <w:r w:rsidRPr="00944B15">
              <w:rPr>
                <w:rFonts w:cs="Times New Roman"/>
                <w:b/>
                <w:szCs w:val="24"/>
              </w:rPr>
              <w:t xml:space="preserve"> </w:t>
            </w:r>
          </w:p>
          <w:p w14:paraId="3425E83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stroke and systemic embolism in adult patients with NVAF with one or more risk factors (SPAF)</w:t>
            </w:r>
            <w:r>
              <w:rPr>
                <w:rFonts w:cs="Times New Roman"/>
                <w:b/>
                <w:szCs w:val="24"/>
              </w:rPr>
              <w:t>:</w:t>
            </w:r>
          </w:p>
          <w:p w14:paraId="2D4A9C4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300 mg taken as one 150 mg capsule twice daily and therapy should be continued long term.</w:t>
            </w:r>
          </w:p>
          <w:p w14:paraId="225A849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DVT and PE and prevention of recurrent DVT and PE in adults (DVT/PE)</w:t>
            </w:r>
            <w:r>
              <w:rPr>
                <w:rFonts w:cs="Times New Roman"/>
                <w:b/>
                <w:szCs w:val="24"/>
              </w:rPr>
              <w:t>:</w:t>
            </w:r>
          </w:p>
          <w:p w14:paraId="059DA08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lastRenderedPageBreak/>
              <w:t>Oral: 300 mg taken as one 150 mg capsule twice daily following treatment with a parenteral anticoagulant for at least 5 days and the duration of therapy should be individualised based on risk factors.</w:t>
            </w:r>
          </w:p>
          <w:p w14:paraId="0B23FE5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DOSE REDUCTION RECOMMENDED </w:t>
            </w:r>
          </w:p>
          <w:p w14:paraId="7EE0F1EB"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In patients aged ≥ 80 years and patients who receive concomitant verapamil</w:t>
            </w:r>
            <w:r>
              <w:rPr>
                <w:rFonts w:cs="Times New Roman"/>
                <w:b/>
                <w:szCs w:val="24"/>
              </w:rPr>
              <w:t>:</w:t>
            </w:r>
          </w:p>
          <w:p w14:paraId="16ADCBE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daily dose of 220 mg taken as one 110 mg capsule twice daily</w:t>
            </w:r>
          </w:p>
        </w:tc>
      </w:tr>
      <w:tr w:rsidR="00223CE8" w:rsidRPr="00944B15" w14:paraId="3F07B21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E08D473"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23CB083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Active clinically significant bleeding, severe renal impairment, current or recent gastrointestinal ulceration, recent brain or spinal injury, recent brain, spinal or ophthalmic surgery, recent intracranial haemorrhage, known or suspected oesophageal varices, arteriovenous malformations, vascular aneurysms or major intraspinal or intracerebral vascular abnormalities, concomitant treatment with any other anticoagulants, </w:t>
            </w:r>
            <w:r>
              <w:rPr>
                <w:rFonts w:cs="Times New Roman"/>
                <w:szCs w:val="24"/>
              </w:rPr>
              <w:t xml:space="preserve">severe </w:t>
            </w:r>
            <w:r w:rsidRPr="00944B15">
              <w:rPr>
                <w:rFonts w:cs="Times New Roman"/>
                <w:szCs w:val="24"/>
              </w:rPr>
              <w:t>hepatic impairment and prosthetic heart valves requiring anticoagulant treatment.</w:t>
            </w:r>
          </w:p>
        </w:tc>
      </w:tr>
      <w:tr w:rsidR="00223CE8" w:rsidRPr="00944B15" w14:paraId="616F9D1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547594C"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3D397CA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Ketoconazole, cyclosporine, itraconazole, tacrolimus, verapamil, amiodarone, quinidine, rifampicin, St. John´ s wort, carbamazepine, phenytoin, clarithromycin and digoxin.</w:t>
            </w:r>
          </w:p>
        </w:tc>
      </w:tr>
      <w:tr w:rsidR="00223CE8" w:rsidRPr="00944B15" w14:paraId="0D4C533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1EA11F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5BC0C4D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diarrhoea, gastrointestinal discomfort, haemorrhage, abnormal hepatic function, nausea, dysphagia, gastrointestinal disorders, hyper bilirubinaemia, GI, skin, intracranial haemorrhage, post procedural complications, skin reactions, thrombocytopenia, vomiting, wound complications angioedema, post procedural drainage and epistaxis.</w:t>
            </w:r>
          </w:p>
        </w:tc>
      </w:tr>
      <w:tr w:rsidR="00223CE8" w:rsidRPr="00944B15" w14:paraId="75891D3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420EFB2"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3E98588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Patients with antiphospholipid syndrome</w:t>
            </w:r>
            <w:r>
              <w:rPr>
                <w:rFonts w:cs="Times New Roman"/>
                <w:szCs w:val="24"/>
              </w:rPr>
              <w:t>, renal insufficiency</w:t>
            </w:r>
            <w:r w:rsidRPr="00944B15">
              <w:rPr>
                <w:rFonts w:cs="Times New Roman"/>
                <w:szCs w:val="24"/>
              </w:rPr>
              <w:t xml:space="preserve"> and active cancer patients.</w:t>
            </w:r>
          </w:p>
        </w:tc>
      </w:tr>
      <w:tr w:rsidR="00223CE8" w:rsidRPr="00944B15" w14:paraId="392D583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832AF95"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B86B07C" w14:textId="77777777" w:rsidR="00223CE8" w:rsidRPr="00944B15" w:rsidRDefault="00223CE8" w:rsidP="002D6DD7">
            <w:pPr>
              <w:spacing w:after="0"/>
              <w:jc w:val="both"/>
              <w:rPr>
                <w:rFonts w:cs="Times New Roman"/>
                <w:szCs w:val="24"/>
              </w:rPr>
            </w:pPr>
            <w:r w:rsidRPr="00944B15">
              <w:rPr>
                <w:rFonts w:cs="Times New Roman"/>
                <w:szCs w:val="24"/>
              </w:rPr>
              <w:t xml:space="preserve">Store below 30° C. Protect from light and </w:t>
            </w:r>
            <w:r w:rsidRPr="00944B15">
              <w:rPr>
                <w:rFonts w:cs="Times New Roman"/>
                <w:szCs w:val="24"/>
                <w:shd w:val="clear" w:color="auto" w:fill="FFFFFF"/>
              </w:rPr>
              <w:t>moisture</w:t>
            </w:r>
          </w:p>
        </w:tc>
      </w:tr>
      <w:tr w:rsidR="00223CE8" w:rsidRPr="00944B15" w14:paraId="1D63D3D6"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1B9E27A6" w14:textId="77777777" w:rsidR="00223CE8" w:rsidRPr="00944B15" w:rsidRDefault="00223CE8" w:rsidP="002D6DD7">
            <w:pPr>
              <w:spacing w:after="0"/>
              <w:jc w:val="both"/>
              <w:rPr>
                <w:rFonts w:cs="Times New Roman"/>
                <w:b/>
                <w:szCs w:val="24"/>
              </w:rPr>
            </w:pPr>
            <w:r>
              <w:rPr>
                <w:rFonts w:cs="Times New Roman"/>
                <w:b/>
                <w:szCs w:val="24"/>
              </w:rPr>
              <w:t>Danaparoid s</w:t>
            </w:r>
            <w:r w:rsidRPr="00944B15">
              <w:rPr>
                <w:rFonts w:cs="Times New Roman"/>
                <w:b/>
                <w:szCs w:val="24"/>
              </w:rPr>
              <w:t>odium</w:t>
            </w:r>
          </w:p>
        </w:tc>
      </w:tr>
      <w:tr w:rsidR="00223CE8" w:rsidRPr="00944B15" w14:paraId="13C83E7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9C28BFD"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57813B2E" w14:textId="77777777" w:rsidR="00223CE8" w:rsidRPr="00944B15" w:rsidRDefault="00223CE8" w:rsidP="002D6DD7">
            <w:pPr>
              <w:spacing w:after="0"/>
              <w:jc w:val="both"/>
              <w:rPr>
                <w:rFonts w:cs="Times New Roman"/>
                <w:szCs w:val="24"/>
              </w:rPr>
            </w:pPr>
            <w:r>
              <w:rPr>
                <w:rFonts w:cs="Times New Roman"/>
                <w:szCs w:val="24"/>
              </w:rPr>
              <w:t>Anticoagulant</w:t>
            </w:r>
            <w:r w:rsidRPr="00944B15">
              <w:rPr>
                <w:rFonts w:cs="Times New Roman"/>
                <w:szCs w:val="24"/>
              </w:rPr>
              <w:t xml:space="preserve"> </w:t>
            </w:r>
          </w:p>
        </w:tc>
      </w:tr>
      <w:tr w:rsidR="00223CE8" w:rsidRPr="00944B15" w14:paraId="2D42152E"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411EEAC"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3EFDE4DF" w14:textId="77777777" w:rsidR="00223CE8" w:rsidRPr="00944B15" w:rsidRDefault="00223CE8" w:rsidP="002D6DD7">
            <w:pPr>
              <w:spacing w:after="0"/>
              <w:jc w:val="both"/>
              <w:rPr>
                <w:rFonts w:cs="Times New Roman"/>
                <w:szCs w:val="24"/>
              </w:rPr>
            </w:pPr>
            <w:r w:rsidRPr="00944B15">
              <w:rPr>
                <w:rFonts w:cs="Times New Roman"/>
                <w:szCs w:val="24"/>
              </w:rPr>
              <w:t>Injection</w:t>
            </w:r>
            <w:r>
              <w:rPr>
                <w:rFonts w:cs="Times New Roman"/>
                <w:szCs w:val="24"/>
              </w:rPr>
              <w:t>:</w:t>
            </w:r>
            <w:r w:rsidRPr="00944B15">
              <w:rPr>
                <w:rFonts w:cs="Times New Roman"/>
                <w:szCs w:val="24"/>
              </w:rPr>
              <w:t xml:space="preserve"> 750 anti-Xa units/0.6 </w:t>
            </w:r>
            <w:r>
              <w:rPr>
                <w:rFonts w:cs="Times New Roman"/>
                <w:szCs w:val="24"/>
              </w:rPr>
              <w:t>ml</w:t>
            </w:r>
            <w:r w:rsidRPr="00944B15">
              <w:rPr>
                <w:rFonts w:cs="Times New Roman"/>
                <w:szCs w:val="24"/>
              </w:rPr>
              <w:t xml:space="preserve"> </w:t>
            </w:r>
          </w:p>
        </w:tc>
      </w:tr>
      <w:tr w:rsidR="00223CE8" w:rsidRPr="00944B15" w14:paraId="6DF4ADE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B335B34"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C3EBD65" w14:textId="77777777" w:rsidR="00223CE8" w:rsidRPr="00944B15" w:rsidRDefault="00223CE8" w:rsidP="002D6DD7">
            <w:pPr>
              <w:pStyle w:val="Default"/>
              <w:spacing w:line="360" w:lineRule="auto"/>
              <w:jc w:val="both"/>
              <w:rPr>
                <w:color w:val="auto"/>
              </w:rPr>
            </w:pPr>
            <w:r w:rsidRPr="00944B15">
              <w:rPr>
                <w:color w:val="auto"/>
              </w:rPr>
              <w:t xml:space="preserve">Treatment of thromboembolic disease in patients with history of heparin-induced thrombocytopenia and prevention of deep-vein thrombosis in </w:t>
            </w:r>
            <w:r w:rsidRPr="00944B15">
              <w:rPr>
                <w:color w:val="auto"/>
              </w:rPr>
              <w:lastRenderedPageBreak/>
              <w:t>general or orthopedic surgery.</w:t>
            </w:r>
          </w:p>
        </w:tc>
      </w:tr>
      <w:tr w:rsidR="00223CE8" w:rsidRPr="00944B15" w14:paraId="6398D7AE"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EC11598" w14:textId="77777777" w:rsidR="00223CE8" w:rsidRPr="00944B15" w:rsidRDefault="00223CE8" w:rsidP="002D6DD7">
            <w:pPr>
              <w:spacing w:after="0"/>
              <w:jc w:val="both"/>
              <w:rPr>
                <w:rFonts w:cs="Times New Roman"/>
                <w:szCs w:val="24"/>
              </w:rPr>
            </w:pPr>
            <w:r w:rsidRPr="00944B15">
              <w:rPr>
                <w:rFonts w:eastAsia="Times New Roman" w:cs="Times New Roman"/>
                <w:szCs w:val="24"/>
              </w:rPr>
              <w:lastRenderedPageBreak/>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066408F"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Adult</w:t>
            </w:r>
            <w:r>
              <w:rPr>
                <w:rFonts w:eastAsia="Candara-Italic" w:cs="Times New Roman"/>
                <w:b/>
                <w:szCs w:val="24"/>
              </w:rPr>
              <w:t>:</w:t>
            </w:r>
            <w:r w:rsidRPr="00944B15">
              <w:rPr>
                <w:rFonts w:eastAsia="Candara-Italic" w:cs="Times New Roman"/>
                <w:b/>
                <w:szCs w:val="24"/>
              </w:rPr>
              <w:t xml:space="preserve"> </w:t>
            </w:r>
          </w:p>
          <w:p w14:paraId="5DC78DB5"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Prevention of deep-vein thrombosis in general or orthopaedic surgery</w:t>
            </w:r>
            <w:r>
              <w:rPr>
                <w:rFonts w:eastAsia="Candara-Italic" w:cs="Times New Roman"/>
                <w:b/>
                <w:szCs w:val="24"/>
              </w:rPr>
              <w:t>:</w:t>
            </w:r>
          </w:p>
          <w:p w14:paraId="4B9437D6"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 By SC injection: 750 units twice daily for 7–10 days, initiate treatment before operation, with last pre-operative dose 1–4 hours before surgery.</w:t>
            </w:r>
          </w:p>
          <w:p w14:paraId="102EF9D7"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Treatment of thromboembolic disease in patients with history of heparin-induced thrombocytopenia</w:t>
            </w:r>
            <w:r>
              <w:rPr>
                <w:rFonts w:eastAsia="Candara-Italic" w:cs="Times New Roman"/>
                <w:b/>
                <w:szCs w:val="24"/>
              </w:rPr>
              <w:t>:</w:t>
            </w:r>
          </w:p>
          <w:p w14:paraId="75337290"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 By IV injection:</w:t>
            </w:r>
          </w:p>
          <w:p w14:paraId="51BEE6C3"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Adult (body weight up to 55 kg):</w:t>
            </w:r>
            <w:r w:rsidRPr="00944B15">
              <w:rPr>
                <w:rFonts w:eastAsia="Candara-Italic" w:cs="Times New Roman"/>
                <w:szCs w:val="24"/>
              </w:rPr>
              <w:t xml:space="preserve"> Initially 1250 units, then (by continuous intravenous infusion) 400 units/hour for 2 hours, then (by continuous intravenous infusion) 300 units/hour for 2 hours, then (by continuous intravenous infusion) 200 units/hour for 5 days</w:t>
            </w:r>
          </w:p>
          <w:p w14:paraId="23A7A8C6"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Adult (body weight 55–89 kg):</w:t>
            </w:r>
            <w:r w:rsidRPr="00944B15">
              <w:rPr>
                <w:rFonts w:eastAsia="Candara-Italic" w:cs="Times New Roman"/>
                <w:szCs w:val="24"/>
              </w:rPr>
              <w:t xml:space="preserve"> Initially 2500 units, then (by continuous intravenous infusion) 400 units/hour for 2 hours, then (by continuous intravenous infusion) 300 units/hour for 2 hours, then (by continuous intravenous infusion) 200 units/hour for 5 days</w:t>
            </w:r>
          </w:p>
          <w:p w14:paraId="720276EA"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Adult (body weight 90 kg and above):</w:t>
            </w:r>
            <w:r w:rsidRPr="00944B15">
              <w:rPr>
                <w:rFonts w:eastAsia="Candara-Italic" w:cs="Times New Roman"/>
                <w:szCs w:val="24"/>
              </w:rPr>
              <w:t xml:space="preserve"> Initially 3750 units, then (by continuous intravenous infusion) 400 units/hour for 2 hours, then (by continuous intravenous infusion) 300 units/hour for 2 hours, then (by continuous intravenous infusion) 200 units/hour for 5 days.</w:t>
            </w:r>
          </w:p>
        </w:tc>
      </w:tr>
      <w:tr w:rsidR="00223CE8" w:rsidRPr="00944B15" w14:paraId="573A21E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99724F8"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36723A7A"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Active peptic ulcer</w:t>
            </w:r>
            <w:r w:rsidRPr="00944B15">
              <w:rPr>
                <w:rFonts w:cs="Times New Roman"/>
                <w:szCs w:val="24"/>
              </w:rPr>
              <w:t xml:space="preserve">, acute bacterial endocarditis, diabetic retinopathy, epidural </w:t>
            </w:r>
            <w:r>
              <w:rPr>
                <w:rFonts w:cs="Times New Roman"/>
                <w:szCs w:val="24"/>
              </w:rPr>
              <w:t>anesthesia</w:t>
            </w:r>
            <w:r w:rsidRPr="00944B15">
              <w:rPr>
                <w:rFonts w:cs="Times New Roman"/>
                <w:szCs w:val="24"/>
              </w:rPr>
              <w:t xml:space="preserve">, haemophilia and other haemorrhagic disorders, recent cerebral haemorrhage, severe uncontrolled hypertension, spinal </w:t>
            </w:r>
            <w:r>
              <w:rPr>
                <w:rFonts w:cs="Times New Roman"/>
                <w:szCs w:val="24"/>
              </w:rPr>
              <w:t>anesthesia</w:t>
            </w:r>
            <w:r w:rsidRPr="00944B15">
              <w:rPr>
                <w:rFonts w:cs="Times New Roman"/>
                <w:szCs w:val="24"/>
              </w:rPr>
              <w:t>, and thrombocytopenia.</w:t>
            </w:r>
          </w:p>
        </w:tc>
      </w:tr>
      <w:tr w:rsidR="00223CE8" w:rsidRPr="00944B15" w14:paraId="481ED70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C327A1F"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6783D8BE"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There are no significant drug interactions</w:t>
            </w:r>
          </w:p>
        </w:tc>
      </w:tr>
      <w:tr w:rsidR="00223CE8" w:rsidRPr="00944B15" w14:paraId="73B59AC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22AFD01"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2638FFAF" w14:textId="77777777" w:rsidR="00223CE8" w:rsidRPr="00944B15" w:rsidRDefault="00223CE8" w:rsidP="002D6DD7">
            <w:pPr>
              <w:pStyle w:val="Default"/>
              <w:spacing w:line="360" w:lineRule="auto"/>
              <w:jc w:val="both"/>
              <w:rPr>
                <w:color w:val="auto"/>
              </w:rPr>
            </w:pPr>
            <w:r w:rsidRPr="00944B15">
              <w:rPr>
                <w:color w:val="auto"/>
              </w:rPr>
              <w:t>Hemorrhage, heparin-induced thrombocytopenia, skin reactions, thrombocytopenia, post procedural hemorrhage, rash and epidural hematoma.</w:t>
            </w:r>
          </w:p>
        </w:tc>
      </w:tr>
      <w:tr w:rsidR="00223CE8" w:rsidRPr="00944B15" w14:paraId="1F9DE0B9"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8FF21E7"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0EC46686" w14:textId="77777777" w:rsidR="00223CE8" w:rsidRPr="00944B15" w:rsidRDefault="00223CE8" w:rsidP="002D6DD7">
            <w:pPr>
              <w:spacing w:after="0"/>
              <w:jc w:val="both"/>
              <w:rPr>
                <w:rFonts w:cs="Times New Roman"/>
                <w:szCs w:val="24"/>
              </w:rPr>
            </w:pPr>
            <w:r w:rsidRPr="00944B15">
              <w:rPr>
                <w:rFonts w:cs="Times New Roman"/>
                <w:szCs w:val="24"/>
              </w:rPr>
              <w:t>Recent bleeding, severe renal and hepatic insufficiency and spinal/epidural anesthesia.</w:t>
            </w:r>
          </w:p>
        </w:tc>
      </w:tr>
      <w:tr w:rsidR="00223CE8" w:rsidRPr="00944B15" w14:paraId="7791D6F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6C2DBF9" w14:textId="77777777" w:rsidR="00223CE8" w:rsidRPr="00944B15" w:rsidRDefault="00223CE8" w:rsidP="002D6DD7">
            <w:pPr>
              <w:spacing w:after="0"/>
              <w:jc w:val="both"/>
              <w:rPr>
                <w:rFonts w:cs="Times New Roman"/>
                <w:szCs w:val="24"/>
              </w:rPr>
            </w:pPr>
            <w:r w:rsidRPr="00944B15">
              <w:rPr>
                <w:rFonts w:cs="Times New Roman"/>
                <w:szCs w:val="24"/>
              </w:rPr>
              <w:lastRenderedPageBreak/>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7C7D8CDC" w14:textId="77777777" w:rsidR="00223CE8" w:rsidRPr="00944B15" w:rsidRDefault="00223CE8" w:rsidP="002D6DD7">
            <w:pPr>
              <w:spacing w:after="0"/>
              <w:jc w:val="both"/>
              <w:rPr>
                <w:rFonts w:cs="Times New Roman"/>
                <w:szCs w:val="24"/>
              </w:rPr>
            </w:pPr>
            <w:r w:rsidRPr="00944B15">
              <w:rPr>
                <w:rFonts w:cs="Times New Roman"/>
                <w:szCs w:val="24"/>
              </w:rPr>
              <w:t>Do not store above 30° C. Do not freeze.</w:t>
            </w:r>
          </w:p>
        </w:tc>
      </w:tr>
      <w:tr w:rsidR="00223CE8" w:rsidRPr="00944B15" w14:paraId="234651CB"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30F0DC75" w14:textId="77777777" w:rsidR="00223CE8" w:rsidRPr="00944B15" w:rsidRDefault="00223CE8" w:rsidP="002D6DD7">
            <w:pPr>
              <w:spacing w:after="0"/>
              <w:jc w:val="both"/>
              <w:rPr>
                <w:rFonts w:cs="Times New Roman"/>
                <w:b/>
                <w:szCs w:val="24"/>
              </w:rPr>
            </w:pPr>
            <w:r w:rsidRPr="00944B15">
              <w:rPr>
                <w:rFonts w:cs="Times New Roman"/>
                <w:b/>
                <w:szCs w:val="24"/>
              </w:rPr>
              <w:t>Dalteparin</w:t>
            </w:r>
          </w:p>
        </w:tc>
      </w:tr>
      <w:tr w:rsidR="00223CE8" w:rsidRPr="00944B15" w14:paraId="3DFFECA6" w14:textId="77777777" w:rsidTr="002D6DD7">
        <w:trPr>
          <w:gridAfter w:val="1"/>
          <w:wAfter w:w="90" w:type="dxa"/>
          <w:trHeight w:val="46"/>
        </w:trPr>
        <w:tc>
          <w:tcPr>
            <w:tcW w:w="2605" w:type="dxa"/>
            <w:tcBorders>
              <w:top w:val="single" w:sz="4" w:space="0" w:color="auto"/>
              <w:left w:val="single" w:sz="4" w:space="0" w:color="auto"/>
              <w:bottom w:val="single" w:sz="4" w:space="0" w:color="auto"/>
              <w:right w:val="single" w:sz="4" w:space="0" w:color="auto"/>
            </w:tcBorders>
            <w:hideMark/>
          </w:tcPr>
          <w:p w14:paraId="5BBC91B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6C2E0EF0" w14:textId="77777777" w:rsidR="00223CE8" w:rsidRPr="00944B15" w:rsidRDefault="00223CE8" w:rsidP="002D6DD7">
            <w:pPr>
              <w:spacing w:after="0"/>
              <w:jc w:val="both"/>
              <w:rPr>
                <w:rFonts w:cs="Times New Roman"/>
                <w:szCs w:val="24"/>
              </w:rPr>
            </w:pPr>
            <w:r w:rsidRPr="00944B15">
              <w:rPr>
                <w:rFonts w:cs="Times New Roman"/>
                <w:szCs w:val="24"/>
              </w:rPr>
              <w:t>Anticoagulants</w:t>
            </w:r>
          </w:p>
        </w:tc>
      </w:tr>
      <w:tr w:rsidR="00223CE8" w:rsidRPr="00944B15" w14:paraId="0B5789B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E265FAB"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4130E1E9" w14:textId="77777777" w:rsidR="00223CE8" w:rsidRPr="00944B15" w:rsidRDefault="00223CE8" w:rsidP="002D6DD7">
            <w:pPr>
              <w:spacing w:after="0"/>
              <w:jc w:val="both"/>
              <w:rPr>
                <w:rFonts w:cs="Times New Roman"/>
                <w:szCs w:val="24"/>
              </w:rPr>
            </w:pPr>
            <w:r>
              <w:rPr>
                <w:rFonts w:cs="Times New Roman"/>
                <w:szCs w:val="24"/>
              </w:rPr>
              <w:t>Injection:</w:t>
            </w:r>
            <w:r w:rsidRPr="00944B15">
              <w:rPr>
                <w:rFonts w:cs="Times New Roman"/>
                <w:szCs w:val="24"/>
              </w:rPr>
              <w:t xml:space="preserve"> 5000 IU/1 </w:t>
            </w:r>
            <w:r>
              <w:rPr>
                <w:rFonts w:cs="Times New Roman"/>
                <w:szCs w:val="24"/>
              </w:rPr>
              <w:t>ml</w:t>
            </w:r>
            <w:r w:rsidRPr="00944B15">
              <w:rPr>
                <w:rFonts w:cs="Times New Roman"/>
                <w:szCs w:val="24"/>
              </w:rPr>
              <w:t xml:space="preserve">, 10,000 IU/1 </w:t>
            </w:r>
            <w:r>
              <w:rPr>
                <w:rFonts w:cs="Times New Roman"/>
                <w:szCs w:val="24"/>
              </w:rPr>
              <w:t>ml</w:t>
            </w:r>
          </w:p>
        </w:tc>
      </w:tr>
      <w:tr w:rsidR="00223CE8" w:rsidRPr="00944B15" w14:paraId="600A195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84B757E"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41E74335" w14:textId="77777777" w:rsidR="00223CE8" w:rsidRPr="00944B15" w:rsidRDefault="00223CE8" w:rsidP="002D6DD7">
            <w:pPr>
              <w:pStyle w:val="NormalWeb"/>
              <w:shd w:val="clear" w:color="auto" w:fill="FFFFFF"/>
              <w:spacing w:before="0" w:beforeAutospacing="0" w:after="0" w:afterAutospacing="0" w:line="360" w:lineRule="auto"/>
              <w:jc w:val="both"/>
            </w:pPr>
            <w:r w:rsidRPr="00944B15">
              <w:t>Peri- and post-operative surgical thromboprophylaxis, treatment of deep-vein thrombosis and pulmonary embolism.</w:t>
            </w:r>
          </w:p>
        </w:tc>
      </w:tr>
      <w:tr w:rsidR="00223CE8" w:rsidRPr="00944B15" w14:paraId="0CDF006C"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E7A7385"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AAEA483"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58E9FE58"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Treatment of deep-vein thrombosis | pulmonary embolism</w:t>
            </w:r>
            <w:r>
              <w:rPr>
                <w:rFonts w:eastAsia="Candara-Italic" w:cs="Times New Roman"/>
                <w:b/>
                <w:szCs w:val="24"/>
              </w:rPr>
              <w:t>:</w:t>
            </w:r>
          </w:p>
          <w:p w14:paraId="23CF5E1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SC injection: 200 units/kg daily (max. per dose 18 000 units) until adequate oral anticoagulation with vitamin K antagonist established (at least 5 days of combined treatment is usually required).</w:t>
            </w:r>
          </w:p>
          <w:p w14:paraId="655A912B"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of deep-vein thrombosis in surgical patients— moderate risk</w:t>
            </w:r>
            <w:r>
              <w:rPr>
                <w:rFonts w:eastAsia="Candara-Italic" w:cs="Times New Roman"/>
                <w:b/>
                <w:szCs w:val="24"/>
              </w:rPr>
              <w:t>:</w:t>
            </w:r>
          </w:p>
          <w:p w14:paraId="5E800A84"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SC injection: Initially 2500 units for 1 dose, dose to be given 1–2 hours before surgery, then 2500 units every 24 hours</w:t>
            </w:r>
          </w:p>
          <w:p w14:paraId="7120595E"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Prophylaxis of deep-vein thrombosis in surgical patients— high risk</w:t>
            </w:r>
            <w:r>
              <w:rPr>
                <w:rFonts w:eastAsia="Candara-Italic" w:cs="Times New Roman"/>
                <w:b/>
                <w:szCs w:val="24"/>
              </w:rPr>
              <w:t>:</w:t>
            </w:r>
          </w:p>
          <w:p w14:paraId="01116F2D"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SC injection: Initially 2500 units for 1 dose, dose to be administered 1–2 hours before surgery, followed by 2500 units after 8–12 hours, then 5000 units every 24 hours, alternatively initially 5000 units for 1 dose, dose to be given on the evening before surgery, followed by 5000 units after 24 hours, then 5000 units every 24 hours</w:t>
            </w:r>
          </w:p>
          <w:p w14:paraId="14E2C6ED"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Unstable coronary artery disease (including non-ST segment-elevation myocardial infarction)</w:t>
            </w:r>
            <w:r>
              <w:rPr>
                <w:rFonts w:eastAsia="Candara-Italic" w:cs="Times New Roman"/>
                <w:b/>
                <w:szCs w:val="24"/>
              </w:rPr>
              <w:t>:</w:t>
            </w:r>
          </w:p>
          <w:p w14:paraId="5AF620B4"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SC injection: 120 units/kg every 12 hours (max. per dose 10,000 units twice daily) for up to 8 days</w:t>
            </w:r>
          </w:p>
          <w:p w14:paraId="2F517DFC"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szCs w:val="24"/>
              </w:rPr>
              <w:t>Prophylaxis of venous thromboembolism in medical patients:</w:t>
            </w:r>
            <w:r w:rsidRPr="00944B15">
              <w:rPr>
                <w:rFonts w:eastAsia="Candara-Italic" w:cs="Times New Roman"/>
                <w:szCs w:val="24"/>
              </w:rPr>
              <w:t xml:space="preserve"> </w:t>
            </w:r>
          </w:p>
          <w:p w14:paraId="645AED95"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By SC injection: Dose is 5,000 IU once daily. Duration for 14days.</w:t>
            </w:r>
          </w:p>
          <w:p w14:paraId="0F596072"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Patients with solid tumours: Extended treatment of symptomatic venous thromboembolism (VTE) and prevention of its recurrence:</w:t>
            </w:r>
          </w:p>
          <w:p w14:paraId="72D5BDCB"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200 IU/kg total body weight SC once daily for the first 30 day. Total daily dose should not exceed 18,000 IU daily.</w:t>
            </w:r>
          </w:p>
        </w:tc>
      </w:tr>
      <w:tr w:rsidR="00223CE8" w:rsidRPr="00944B15" w14:paraId="6DC80EA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21FE375"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7C65F07E" w14:textId="77777777" w:rsidR="00223CE8" w:rsidRPr="00944B15" w:rsidRDefault="00223CE8" w:rsidP="002D6DD7">
            <w:pPr>
              <w:pStyle w:val="NormalWeb"/>
              <w:spacing w:before="0" w:beforeAutospacing="0" w:after="0" w:afterAutospacing="0" w:line="360" w:lineRule="auto"/>
              <w:jc w:val="both"/>
            </w:pPr>
            <w:r w:rsidRPr="00944B15">
              <w:t xml:space="preserve">Hypersensitivity to </w:t>
            </w:r>
            <w:r>
              <w:t>the drug</w:t>
            </w:r>
            <w:r w:rsidRPr="00944B15">
              <w:t xml:space="preserve">, </w:t>
            </w:r>
            <w:r>
              <w:t>m</w:t>
            </w:r>
            <w:r w:rsidRPr="00944B15">
              <w:t>echanical prosthetic heart valve, heparin or other low molecular weight heparins, heparin induced thrombocytopenia, acute gastroduodenal ulcer, cerebral haemorrhage, acute or sub-acute septic endocarditis; haemorrhagic pericardial effusion and haemorrhagic pleural effusion.</w:t>
            </w:r>
          </w:p>
        </w:tc>
      </w:tr>
      <w:tr w:rsidR="00223CE8" w:rsidRPr="00944B15" w14:paraId="2F5A665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EE7FB42"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149EE8EC" w14:textId="77777777" w:rsidR="00223CE8" w:rsidRPr="00944B15" w:rsidRDefault="00223CE8" w:rsidP="002D6DD7">
            <w:pPr>
              <w:shd w:val="clear" w:color="auto" w:fill="FFFFFF"/>
              <w:spacing w:after="0"/>
              <w:jc w:val="both"/>
              <w:rPr>
                <w:rFonts w:eastAsia="Times New Roman" w:cs="Times New Roman"/>
                <w:szCs w:val="24"/>
              </w:rPr>
            </w:pPr>
            <w:r w:rsidRPr="00944B15">
              <w:rPr>
                <w:rFonts w:eastAsia="Times New Roman" w:cs="Times New Roman"/>
                <w:bCs/>
                <w:szCs w:val="24"/>
              </w:rPr>
              <w:t>Aspirin/dipyridamole, GP IIb/IIIa receptor antagonists, Vitamin K antagonists, NSAIDs, thrombolytics,</w:t>
            </w:r>
            <w:r w:rsidRPr="00944B15">
              <w:rPr>
                <w:rFonts w:cs="Times New Roman"/>
                <w:szCs w:val="24"/>
              </w:rPr>
              <w:t xml:space="preserve"> </w:t>
            </w:r>
            <w:r w:rsidRPr="00944B15">
              <w:rPr>
                <w:rFonts w:eastAsia="Times New Roman" w:cs="Times New Roman"/>
                <w:bCs/>
                <w:szCs w:val="24"/>
              </w:rPr>
              <w:t>antihistamines, cardiac glycosides, tetracycline and ascorbic acid.</w:t>
            </w:r>
          </w:p>
        </w:tc>
      </w:tr>
      <w:tr w:rsidR="00223CE8" w:rsidRPr="00944B15" w14:paraId="294FFD24"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A1447A8"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370DD924" w14:textId="77777777" w:rsidR="00223CE8" w:rsidRPr="00944B15" w:rsidRDefault="00223CE8" w:rsidP="002D6DD7">
            <w:pPr>
              <w:pStyle w:val="Default"/>
              <w:spacing w:line="360" w:lineRule="auto"/>
              <w:jc w:val="both"/>
              <w:rPr>
                <w:color w:val="auto"/>
              </w:rPr>
            </w:pPr>
            <w:r w:rsidRPr="00944B15">
              <w:rPr>
                <w:color w:val="auto"/>
              </w:rPr>
              <w:t xml:space="preserve">Thrombocytopenia, hypersensitivity, hemorrhage, transient elevation of transaminases, hematoma at the injection site, pain at the injection site, epidural hematoma, hypoaldosteronism, intracranial hemorrhage, prosthetic cardiac valve thrombosis. </w:t>
            </w:r>
          </w:p>
        </w:tc>
      </w:tr>
      <w:tr w:rsidR="00223CE8" w:rsidRPr="00944B15" w14:paraId="385EF9A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CAF175B"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641FF09F" w14:textId="77777777" w:rsidR="00223CE8" w:rsidRPr="00944B15" w:rsidRDefault="00223CE8" w:rsidP="002D6DD7">
            <w:pPr>
              <w:spacing w:after="0"/>
              <w:jc w:val="both"/>
              <w:rPr>
                <w:rFonts w:cs="Times New Roman"/>
                <w:szCs w:val="24"/>
              </w:rPr>
            </w:pPr>
            <w:r w:rsidRPr="00944B15">
              <w:rPr>
                <w:rFonts w:cs="Times New Roman"/>
                <w:szCs w:val="24"/>
              </w:rPr>
              <w:t>Severe liver or renal failure, uncontrolled hypertension, patients receiving concurrent anticoagulant/antiplatelet agents, thrombocytopenia or defective platelet function, surgery or trauma and haemorrhagic stroke.</w:t>
            </w:r>
          </w:p>
        </w:tc>
      </w:tr>
      <w:tr w:rsidR="00223CE8" w:rsidRPr="00944B15" w14:paraId="3C930B7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E9B3E40"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14AFEFE6"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w:t>
            </w:r>
          </w:p>
        </w:tc>
      </w:tr>
      <w:tr w:rsidR="00223CE8" w:rsidRPr="00944B15" w14:paraId="35FDF396"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702AD36D" w14:textId="77777777" w:rsidR="00223CE8" w:rsidRPr="00944B15" w:rsidRDefault="00223CE8" w:rsidP="002D6DD7">
            <w:pPr>
              <w:spacing w:after="0"/>
              <w:jc w:val="both"/>
              <w:rPr>
                <w:rFonts w:cs="Times New Roman"/>
                <w:b/>
                <w:szCs w:val="24"/>
              </w:rPr>
            </w:pPr>
            <w:r w:rsidRPr="00944B15">
              <w:rPr>
                <w:rFonts w:cs="Times New Roman"/>
                <w:b/>
                <w:szCs w:val="24"/>
              </w:rPr>
              <w:t>Edoxaban</w:t>
            </w:r>
          </w:p>
        </w:tc>
      </w:tr>
      <w:tr w:rsidR="00223CE8" w:rsidRPr="00944B15" w14:paraId="34EFCAA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A76860D"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60018247"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Anti</w:t>
            </w:r>
            <w:r>
              <w:rPr>
                <w:rFonts w:cs="Times New Roman"/>
                <w:szCs w:val="24"/>
                <w:shd w:val="clear" w:color="auto" w:fill="FFFFFF"/>
              </w:rPr>
              <w:t>coagulants, Factor Xa inhibitor</w:t>
            </w:r>
          </w:p>
        </w:tc>
      </w:tr>
      <w:tr w:rsidR="00223CE8" w:rsidRPr="00944B15" w14:paraId="5E8FF55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E3EB2AC"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7659654B" w14:textId="77777777" w:rsidR="00223CE8" w:rsidRPr="00944B15" w:rsidRDefault="00223CE8" w:rsidP="002D6DD7">
            <w:pPr>
              <w:spacing w:after="0"/>
              <w:jc w:val="both"/>
              <w:rPr>
                <w:rFonts w:cs="Times New Roman"/>
                <w:szCs w:val="24"/>
              </w:rPr>
            </w:pPr>
            <w:r>
              <w:rPr>
                <w:rFonts w:cs="Times New Roman"/>
                <w:szCs w:val="24"/>
              </w:rPr>
              <w:t>Tablet:</w:t>
            </w:r>
            <w:r w:rsidRPr="00944B15">
              <w:rPr>
                <w:rFonts w:cs="Times New Roman"/>
                <w:szCs w:val="24"/>
              </w:rPr>
              <w:t xml:space="preserve"> 15mg, 30mg, 60mg</w:t>
            </w:r>
          </w:p>
        </w:tc>
      </w:tr>
      <w:tr w:rsidR="00223CE8" w:rsidRPr="00944B15" w14:paraId="71BFF5B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3C3F7A0"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1FFF99FB" w14:textId="77777777" w:rsidR="00223CE8" w:rsidRPr="00944B15" w:rsidRDefault="00223CE8" w:rsidP="002D6DD7">
            <w:pPr>
              <w:pStyle w:val="Default"/>
              <w:spacing w:line="360" w:lineRule="auto"/>
              <w:jc w:val="both"/>
              <w:rPr>
                <w:color w:val="auto"/>
              </w:rPr>
            </w:pPr>
            <w:r w:rsidRPr="00944B15">
              <w:rPr>
                <w:color w:val="auto"/>
              </w:rPr>
              <w:t>Prevention of stroke and systemic embolism in adult patients with non-valvular atrial fibrillation (NVAF) with one or more risk factors, such as congestive heart failure, hypertension, age ≥ 75 years, diabetes mellitus, prior stroke or transient ischemic attack (TIA).</w:t>
            </w:r>
          </w:p>
          <w:p w14:paraId="2BC2F865" w14:textId="77777777" w:rsidR="00223CE8" w:rsidRPr="00944B15" w:rsidRDefault="00223CE8" w:rsidP="002D6DD7">
            <w:pPr>
              <w:pStyle w:val="Default"/>
              <w:spacing w:line="360" w:lineRule="auto"/>
              <w:jc w:val="both"/>
              <w:rPr>
                <w:color w:val="auto"/>
              </w:rPr>
            </w:pPr>
            <w:r w:rsidRPr="00944B15">
              <w:rPr>
                <w:color w:val="auto"/>
              </w:rPr>
              <w:t>Treatment of deep vein thrombosis (DVT) and pulmonary embolism (PE), and for the prevention of recurrent DVT and PE in adults.</w:t>
            </w:r>
          </w:p>
        </w:tc>
      </w:tr>
      <w:tr w:rsidR="00223CE8" w:rsidRPr="00944B15" w14:paraId="4C80037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C430C3B"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633912A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Pr>
                <w:rFonts w:cs="Times New Roman"/>
                <w:b/>
                <w:szCs w:val="24"/>
              </w:rPr>
              <w:t>:</w:t>
            </w:r>
          </w:p>
          <w:p w14:paraId="1F8DFED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stroke and systemic embolism:</w:t>
            </w:r>
          </w:p>
          <w:p w14:paraId="25774ED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60 mg once daily and continued for long term in NVAF patients.</w:t>
            </w:r>
          </w:p>
          <w:p w14:paraId="6D182674"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DVT, treatment of PE and prevention of recurrent DVT and PE (VTE)</w:t>
            </w:r>
            <w:r>
              <w:rPr>
                <w:rFonts w:cs="Times New Roman"/>
                <w:b/>
                <w:szCs w:val="24"/>
              </w:rPr>
              <w:t>:</w:t>
            </w:r>
          </w:p>
          <w:p w14:paraId="5288319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Oral: 60 mg once daily following initial use of parenteral anticoagulant </w:t>
            </w:r>
            <w:r w:rsidRPr="00944B15">
              <w:rPr>
                <w:rFonts w:cs="Times New Roman"/>
                <w:szCs w:val="24"/>
              </w:rPr>
              <w:lastRenderedPageBreak/>
              <w:t>for at least 5 days.</w:t>
            </w:r>
          </w:p>
          <w:p w14:paraId="4DE44F7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For NVAF and VTE</w:t>
            </w:r>
            <w:r>
              <w:rPr>
                <w:rFonts w:cs="Times New Roman"/>
                <w:b/>
                <w:szCs w:val="24"/>
              </w:rPr>
              <w:t>:</w:t>
            </w:r>
            <w:r w:rsidRPr="00944B15">
              <w:rPr>
                <w:rFonts w:cs="Times New Roman"/>
                <w:szCs w:val="24"/>
              </w:rPr>
              <w:t xml:space="preserve"> </w:t>
            </w:r>
          </w:p>
          <w:p w14:paraId="4AC8821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30 mg once daily in patients with one or more of the following clinical factors:</w:t>
            </w:r>
          </w:p>
          <w:p w14:paraId="093440C5" w14:textId="77777777" w:rsidR="00223CE8" w:rsidRPr="00944B15" w:rsidRDefault="00223CE8" w:rsidP="003D3F76">
            <w:pPr>
              <w:pStyle w:val="ListParagraph"/>
              <w:numPr>
                <w:ilvl w:val="0"/>
                <w:numId w:val="6"/>
              </w:numPr>
              <w:adjustRightInd w:val="0"/>
              <w:spacing w:line="360" w:lineRule="auto"/>
              <w:ind w:left="0"/>
              <w:rPr>
                <w:szCs w:val="24"/>
              </w:rPr>
            </w:pPr>
            <w:r w:rsidRPr="00944B15">
              <w:rPr>
                <w:szCs w:val="24"/>
              </w:rPr>
              <w:t xml:space="preserve">Moderate or severe renal impairment (creatinine clearance (CrCl) 15 - 50 </w:t>
            </w:r>
            <w:r>
              <w:rPr>
                <w:szCs w:val="24"/>
              </w:rPr>
              <w:t>ml</w:t>
            </w:r>
            <w:r w:rsidRPr="00944B15">
              <w:rPr>
                <w:szCs w:val="24"/>
              </w:rPr>
              <w:t>/min)</w:t>
            </w:r>
          </w:p>
          <w:p w14:paraId="34A57BD1" w14:textId="77777777" w:rsidR="00223CE8" w:rsidRPr="00944B15" w:rsidRDefault="00223CE8" w:rsidP="003D3F76">
            <w:pPr>
              <w:pStyle w:val="ListParagraph"/>
              <w:numPr>
                <w:ilvl w:val="0"/>
                <w:numId w:val="6"/>
              </w:numPr>
              <w:adjustRightInd w:val="0"/>
              <w:spacing w:line="360" w:lineRule="auto"/>
              <w:ind w:left="0"/>
              <w:rPr>
                <w:szCs w:val="24"/>
              </w:rPr>
            </w:pPr>
            <w:r w:rsidRPr="00944B15">
              <w:rPr>
                <w:szCs w:val="24"/>
              </w:rPr>
              <w:t>Low body weight ≤ 60 kg</w:t>
            </w:r>
          </w:p>
          <w:p w14:paraId="4B8BC7E2" w14:textId="77777777" w:rsidR="00223CE8" w:rsidRPr="00944B15" w:rsidRDefault="00223CE8" w:rsidP="003D3F76">
            <w:pPr>
              <w:pStyle w:val="ListParagraph"/>
              <w:numPr>
                <w:ilvl w:val="0"/>
                <w:numId w:val="6"/>
              </w:numPr>
              <w:adjustRightInd w:val="0"/>
              <w:spacing w:line="360" w:lineRule="auto"/>
              <w:ind w:left="0"/>
              <w:rPr>
                <w:szCs w:val="24"/>
              </w:rPr>
            </w:pPr>
            <w:r w:rsidRPr="00944B15">
              <w:rPr>
                <w:szCs w:val="24"/>
              </w:rPr>
              <w:t>Concomitant use of the following P-glycoprotein (P-gp) inhibitors: cyclosporine, erythromycin, or ketoconazole.</w:t>
            </w:r>
          </w:p>
        </w:tc>
      </w:tr>
      <w:tr w:rsidR="00223CE8" w:rsidRPr="00944B15" w14:paraId="26B2C3B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611C851"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33EAE5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w:t>
            </w:r>
            <w:r>
              <w:rPr>
                <w:rFonts w:cs="Times New Roman"/>
                <w:szCs w:val="24"/>
              </w:rPr>
              <w:t xml:space="preserve"> b</w:t>
            </w:r>
            <w:r w:rsidRPr="00944B15">
              <w:rPr>
                <w:rFonts w:cs="Times New Roman"/>
                <w:szCs w:val="24"/>
              </w:rPr>
              <w:t>leeding, clinically significant active bleeding, hepatic disease associated with coagulopathy, current or recent gastrointestinal ulceration, presence of malignant neoplasms at high risk of bleeding, recent brain or spinal injury, recent brain, spinal or ophthalmic surgery, recent intracranial haemorrhage, known or suspected oesophageal varices, arteriovenous malformations, vascular aneurysms or major intraspinal or intracerebral vascular abnormalities, uncontrolled severe hypertension, concomitant treatment with any other anticoagulants, pregnancy and breast-feeding.</w:t>
            </w:r>
          </w:p>
        </w:tc>
      </w:tr>
      <w:tr w:rsidR="00223CE8" w:rsidRPr="00944B15" w14:paraId="177D62D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30B9009"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DA17E76" w14:textId="77777777" w:rsidR="00223CE8" w:rsidRPr="00944B15" w:rsidRDefault="00223CE8" w:rsidP="002D6DD7">
            <w:pPr>
              <w:shd w:val="clear" w:color="auto" w:fill="FFFFFF"/>
              <w:spacing w:after="0"/>
              <w:jc w:val="both"/>
              <w:rPr>
                <w:rFonts w:eastAsia="Times New Roman" w:cs="Times New Roman"/>
                <w:szCs w:val="24"/>
              </w:rPr>
            </w:pPr>
            <w:r>
              <w:rPr>
                <w:rFonts w:cs="Times New Roman"/>
                <w:bCs/>
                <w:szCs w:val="24"/>
                <w:shd w:val="clear" w:color="auto" w:fill="FFFFFF"/>
              </w:rPr>
              <w:t>C</w:t>
            </w:r>
            <w:r w:rsidRPr="00944B15">
              <w:rPr>
                <w:rFonts w:cs="Times New Roman"/>
                <w:bCs/>
                <w:szCs w:val="24"/>
                <w:shd w:val="clear" w:color="auto" w:fill="FFFFFF"/>
              </w:rPr>
              <w:t xml:space="preserve">yclosporine, erythromycin, ketoconazole, quinidine, verapamil, quinidine, verapamil, amiodarone, clarithromycin, phenytoin, carbamazepine, phenobarbital, St. John's Wort, anticoagulants, antiplatelets, NSAIDs and </w:t>
            </w:r>
            <w:r>
              <w:rPr>
                <w:rFonts w:cs="Times New Roman"/>
                <w:bCs/>
                <w:szCs w:val="24"/>
                <w:shd w:val="clear" w:color="auto" w:fill="FFFFFF"/>
              </w:rPr>
              <w:t>selective serotonin reuptake inhibitors (</w:t>
            </w:r>
            <w:r w:rsidRPr="00944B15">
              <w:rPr>
                <w:rFonts w:cs="Times New Roman"/>
                <w:bCs/>
                <w:szCs w:val="24"/>
                <w:shd w:val="clear" w:color="auto" w:fill="FFFFFF"/>
              </w:rPr>
              <w:t>SSRIs</w:t>
            </w:r>
            <w:r>
              <w:rPr>
                <w:rFonts w:cs="Times New Roman"/>
                <w:bCs/>
                <w:szCs w:val="24"/>
                <w:shd w:val="clear" w:color="auto" w:fill="FFFFFF"/>
              </w:rPr>
              <w:t>)</w:t>
            </w:r>
            <w:r w:rsidRPr="00944B15">
              <w:rPr>
                <w:rFonts w:cs="Times New Roman"/>
                <w:bCs/>
                <w:szCs w:val="24"/>
                <w:shd w:val="clear" w:color="auto" w:fill="FFFFFF"/>
              </w:rPr>
              <w:t>/</w:t>
            </w:r>
            <w:r>
              <w:rPr>
                <w:rFonts w:cs="Times New Roman"/>
                <w:bCs/>
                <w:szCs w:val="24"/>
                <w:shd w:val="clear" w:color="auto" w:fill="FFFFFF"/>
              </w:rPr>
              <w:t>serotonin nerehinephrine reuptake inhibitors</w:t>
            </w:r>
            <w:r w:rsidR="00E90E67">
              <w:rPr>
                <w:rFonts w:cs="Times New Roman"/>
                <w:bCs/>
                <w:szCs w:val="24"/>
                <w:shd w:val="clear" w:color="auto" w:fill="FFFFFF"/>
              </w:rPr>
              <w:t xml:space="preserve"> </w:t>
            </w:r>
            <w:r>
              <w:rPr>
                <w:rFonts w:cs="Times New Roman"/>
                <w:bCs/>
                <w:szCs w:val="24"/>
                <w:shd w:val="clear" w:color="auto" w:fill="FFFFFF"/>
              </w:rPr>
              <w:t>(</w:t>
            </w:r>
            <w:r w:rsidRPr="00944B15">
              <w:rPr>
                <w:rFonts w:cs="Times New Roman"/>
                <w:bCs/>
                <w:szCs w:val="24"/>
                <w:shd w:val="clear" w:color="auto" w:fill="FFFFFF"/>
              </w:rPr>
              <w:t>SNRIs</w:t>
            </w:r>
            <w:r>
              <w:rPr>
                <w:rFonts w:cs="Times New Roman"/>
                <w:bCs/>
                <w:szCs w:val="24"/>
                <w:shd w:val="clear" w:color="auto" w:fill="FFFFFF"/>
              </w:rPr>
              <w:t>).</w:t>
            </w:r>
          </w:p>
        </w:tc>
      </w:tr>
      <w:tr w:rsidR="00223CE8" w:rsidRPr="00944B15" w14:paraId="037C73AF"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04684A3"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6C5B3E9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Haemorrhage, abdominal pain, anaemia, dizziness, headache, nausea, skin reactions, CNS, GI, oral/pharyngeal, cutaneous soft tissue, urethral haemorrhage, thrombocytopenia, pericardial haemorrhage and epistaxis.</w:t>
            </w:r>
          </w:p>
        </w:tc>
      </w:tr>
      <w:tr w:rsidR="00223CE8" w:rsidRPr="00944B15" w14:paraId="2A201B5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86EB1CD"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29A7EC4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Renal impairment, hepatic impairment, patients with active cancer, and antiphospholipid syndrome.</w:t>
            </w:r>
          </w:p>
        </w:tc>
      </w:tr>
      <w:tr w:rsidR="00223CE8" w:rsidRPr="00944B15" w14:paraId="39EC59D9"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CC681C6"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566D4B3D"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w:t>
            </w:r>
          </w:p>
        </w:tc>
      </w:tr>
      <w:tr w:rsidR="00223CE8" w:rsidRPr="00944B15" w14:paraId="143EB1C8"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3B3FA8E2" w14:textId="77777777" w:rsidR="00223CE8" w:rsidRPr="00944B15" w:rsidRDefault="00223CE8" w:rsidP="002D6DD7">
            <w:pPr>
              <w:spacing w:after="0"/>
              <w:jc w:val="both"/>
              <w:rPr>
                <w:rFonts w:cs="Times New Roman"/>
                <w:b/>
                <w:szCs w:val="24"/>
              </w:rPr>
            </w:pPr>
            <w:r w:rsidRPr="00944B15">
              <w:rPr>
                <w:rFonts w:cs="Times New Roman"/>
                <w:b/>
                <w:szCs w:val="24"/>
              </w:rPr>
              <w:t>Enoxaparin</w:t>
            </w:r>
          </w:p>
        </w:tc>
      </w:tr>
      <w:tr w:rsidR="00223CE8" w:rsidRPr="00944B15" w14:paraId="51A70CFC" w14:textId="77777777" w:rsidTr="002D6DD7">
        <w:trPr>
          <w:gridAfter w:val="1"/>
          <w:wAfter w:w="90" w:type="dxa"/>
          <w:trHeight w:val="46"/>
        </w:trPr>
        <w:tc>
          <w:tcPr>
            <w:tcW w:w="2605" w:type="dxa"/>
            <w:tcBorders>
              <w:top w:val="single" w:sz="4" w:space="0" w:color="auto"/>
              <w:left w:val="single" w:sz="4" w:space="0" w:color="auto"/>
              <w:bottom w:val="single" w:sz="4" w:space="0" w:color="auto"/>
              <w:right w:val="single" w:sz="4" w:space="0" w:color="auto"/>
            </w:tcBorders>
            <w:hideMark/>
          </w:tcPr>
          <w:p w14:paraId="44370AAA"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0EA100C4" w14:textId="77777777" w:rsidR="00223CE8" w:rsidRPr="00944B15" w:rsidRDefault="00223CE8" w:rsidP="002D6DD7">
            <w:pPr>
              <w:spacing w:after="0"/>
              <w:jc w:val="both"/>
              <w:rPr>
                <w:rFonts w:cs="Times New Roman"/>
                <w:szCs w:val="24"/>
              </w:rPr>
            </w:pPr>
            <w:r>
              <w:rPr>
                <w:rFonts w:cs="Times New Roman"/>
                <w:szCs w:val="24"/>
              </w:rPr>
              <w:t>Anticoagulant, low molecular weight heparin</w:t>
            </w:r>
          </w:p>
        </w:tc>
      </w:tr>
      <w:tr w:rsidR="00223CE8" w:rsidRPr="00944B15" w14:paraId="07CAB99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0A9F8B7" w14:textId="77777777" w:rsidR="00223CE8" w:rsidRPr="00944B15" w:rsidRDefault="00223CE8" w:rsidP="002D6DD7">
            <w:pPr>
              <w:spacing w:after="0"/>
              <w:jc w:val="both"/>
              <w:rPr>
                <w:rFonts w:cs="Times New Roman"/>
                <w:szCs w:val="24"/>
              </w:rPr>
            </w:pPr>
            <w:r w:rsidRPr="00944B15">
              <w:rPr>
                <w:rFonts w:cs="Times New Roman"/>
                <w:szCs w:val="24"/>
              </w:rPr>
              <w:lastRenderedPageBreak/>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63B73DCC" w14:textId="77777777" w:rsidR="00223CE8" w:rsidRPr="00944B15" w:rsidRDefault="00223CE8" w:rsidP="002D6DD7">
            <w:pPr>
              <w:spacing w:after="0"/>
              <w:jc w:val="both"/>
              <w:rPr>
                <w:rFonts w:cs="Times New Roman"/>
                <w:szCs w:val="24"/>
              </w:rPr>
            </w:pPr>
            <w:r w:rsidRPr="00944B15">
              <w:rPr>
                <w:rFonts w:cs="Times New Roman"/>
                <w:szCs w:val="24"/>
              </w:rPr>
              <w:t xml:space="preserve">Injection: 20 mg/0.2 </w:t>
            </w:r>
            <w:r>
              <w:rPr>
                <w:rFonts w:cs="Times New Roman"/>
                <w:szCs w:val="24"/>
              </w:rPr>
              <w:t>ml</w:t>
            </w:r>
            <w:r w:rsidRPr="00944B15">
              <w:rPr>
                <w:rFonts w:cs="Times New Roman"/>
                <w:szCs w:val="24"/>
              </w:rPr>
              <w:t xml:space="preserve">, 40 mg/0.4 </w:t>
            </w:r>
            <w:r>
              <w:rPr>
                <w:rFonts w:cs="Times New Roman"/>
                <w:szCs w:val="24"/>
              </w:rPr>
              <w:t>ml</w:t>
            </w:r>
            <w:r w:rsidRPr="00944B15">
              <w:rPr>
                <w:rFonts w:cs="Times New Roman"/>
                <w:szCs w:val="24"/>
              </w:rPr>
              <w:t xml:space="preserve">, 60 mg/0.6 </w:t>
            </w:r>
            <w:r>
              <w:rPr>
                <w:rFonts w:cs="Times New Roman"/>
                <w:szCs w:val="24"/>
              </w:rPr>
              <w:t>ml</w:t>
            </w:r>
            <w:r w:rsidRPr="00944B15">
              <w:rPr>
                <w:rFonts w:cs="Times New Roman"/>
                <w:szCs w:val="24"/>
              </w:rPr>
              <w:t xml:space="preserve">, 80 mg/0.8 </w:t>
            </w:r>
            <w:r>
              <w:rPr>
                <w:rFonts w:cs="Times New Roman"/>
                <w:szCs w:val="24"/>
              </w:rPr>
              <w:t>ml</w:t>
            </w:r>
            <w:r w:rsidRPr="00944B15">
              <w:rPr>
                <w:rFonts w:cs="Times New Roman"/>
                <w:szCs w:val="24"/>
              </w:rPr>
              <w:t xml:space="preserve">,100 mg/1 </w:t>
            </w:r>
            <w:r>
              <w:rPr>
                <w:rFonts w:cs="Times New Roman"/>
                <w:szCs w:val="24"/>
              </w:rPr>
              <w:t>ml</w:t>
            </w:r>
            <w:r w:rsidRPr="00944B15">
              <w:rPr>
                <w:rFonts w:cs="Times New Roman"/>
                <w:szCs w:val="24"/>
              </w:rPr>
              <w:t xml:space="preserve">, 120 mg/0.8 </w:t>
            </w:r>
            <w:r>
              <w:rPr>
                <w:rFonts w:cs="Times New Roman"/>
                <w:szCs w:val="24"/>
              </w:rPr>
              <w:t>ml</w:t>
            </w:r>
            <w:r w:rsidRPr="00944B15">
              <w:rPr>
                <w:rFonts w:cs="Times New Roman"/>
                <w:szCs w:val="24"/>
              </w:rPr>
              <w:t xml:space="preserve">, 150 mg/1 </w:t>
            </w:r>
            <w:r>
              <w:rPr>
                <w:rFonts w:cs="Times New Roman"/>
                <w:szCs w:val="24"/>
              </w:rPr>
              <w:t>ml</w:t>
            </w:r>
            <w:r w:rsidRPr="00944B15">
              <w:rPr>
                <w:rFonts w:cs="Times New Roman"/>
                <w:szCs w:val="24"/>
              </w:rPr>
              <w:t>.</w:t>
            </w:r>
          </w:p>
        </w:tc>
      </w:tr>
      <w:tr w:rsidR="00223CE8" w:rsidRPr="00944B15" w14:paraId="07C1118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73EA0B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8A82B34"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Prophylaxis of venous thromboembolic disease, thrombus formation in the extra-corporal circulation during haemodialysis.</w:t>
            </w:r>
          </w:p>
          <w:p w14:paraId="368E2F80"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Treatment of established deep vein thrombosis, unstable angina and non-Q-wave myocardial infarction during the acute stage, in combination with aspirin.</w:t>
            </w:r>
          </w:p>
        </w:tc>
      </w:tr>
      <w:tr w:rsidR="00223CE8" w:rsidRPr="00944B15" w14:paraId="2983670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4CA1B39"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28830F82"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46F6B1B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Abdominal surgery and medical patients during acute illness, </w:t>
            </w:r>
            <w:r w:rsidRPr="00944B15">
              <w:rPr>
                <w:rFonts w:cs="Times New Roman"/>
                <w:szCs w:val="24"/>
              </w:rPr>
              <w:t>SC injection:</w:t>
            </w:r>
            <w:r w:rsidRPr="00944B15">
              <w:rPr>
                <w:rFonts w:cs="Times New Roman"/>
                <w:b/>
                <w:szCs w:val="24"/>
              </w:rPr>
              <w:t xml:space="preserve"> </w:t>
            </w:r>
            <w:r w:rsidRPr="00944B15">
              <w:rPr>
                <w:rFonts w:cs="Times New Roman"/>
                <w:szCs w:val="24"/>
              </w:rPr>
              <w:t>40 mg once a day with the initial dose given 2 hours prior to surgery.</w:t>
            </w:r>
          </w:p>
          <w:p w14:paraId="010D6C6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Hip or knee replacement surgery, </w:t>
            </w:r>
            <w:r w:rsidRPr="00944B15">
              <w:rPr>
                <w:rFonts w:cs="Times New Roman"/>
                <w:szCs w:val="24"/>
              </w:rPr>
              <w:t>SC injection: 30mg every 12 hours</w:t>
            </w:r>
            <w:r>
              <w:rPr>
                <w:rFonts w:cs="Times New Roman"/>
                <w:szCs w:val="24"/>
              </w:rPr>
              <w:t xml:space="preserve"> or 40 mg once daily.</w:t>
            </w:r>
          </w:p>
          <w:p w14:paraId="7B03EBC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Prevention of extra corporal thrombus during Haemodialysis:</w:t>
            </w:r>
            <w:r w:rsidRPr="00944B15">
              <w:rPr>
                <w:rFonts w:cs="Times New Roman"/>
                <w:szCs w:val="24"/>
              </w:rPr>
              <w:t xml:space="preserve"> The recommended dose is 1mg/kg. The effect of this dose is usually sufficient for a 4-hour session; in the event fibrin rings are found, a further dose of 0.5 to 1 mg/kg may be given.</w:t>
            </w:r>
          </w:p>
          <w:p w14:paraId="607A0F8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Treatment of deep vein thrombosis with or without pulmonary embolism, </w:t>
            </w:r>
            <w:r w:rsidRPr="00944B15">
              <w:rPr>
                <w:rFonts w:cs="Times New Roman"/>
                <w:szCs w:val="24"/>
              </w:rPr>
              <w:t>A dose of 1 mg/kg given subcutaneously every 12 hours. The duration of the treatment should not exceed a period of 10 days.</w:t>
            </w:r>
          </w:p>
          <w:p w14:paraId="45B1D32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unstable angina and non-Q-wave myocardial infarction:</w:t>
            </w:r>
          </w:p>
          <w:p w14:paraId="51FE72B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 dose of 1 mg/kg should be given subcutaneously every 12 hours</w:t>
            </w:r>
          </w:p>
        </w:tc>
      </w:tr>
      <w:tr w:rsidR="00223CE8" w:rsidRPr="00944B15" w14:paraId="198B56E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114C9F1"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593FE3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or other low molecular weight heparins, major clotting disorders, history of thrombocytopenia with enoxaparin or with another heparin, active gastro-intestinal ulcer and acute infective endocarditis</w:t>
            </w:r>
          </w:p>
        </w:tc>
      </w:tr>
      <w:tr w:rsidR="00223CE8" w:rsidRPr="00944B15" w14:paraId="7645C93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19178C5"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14D2CE6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Salicylates, NSAIDs, ticlopidine, iron dextran, thrombolytic drugs, herbal supplements, such as fish oil, garlic, ginseng, and ginger.</w:t>
            </w:r>
          </w:p>
        </w:tc>
      </w:tr>
      <w:tr w:rsidR="00223CE8" w:rsidRPr="00944B15" w14:paraId="3974B39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E445356"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4E3DF1D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Haemorrhage, localized or general allergic reactions, thrombocytopenia, atrial fibrillation, lung oedema, pneumonia, injection site and risk of </w:t>
            </w:r>
            <w:r w:rsidRPr="00944B15">
              <w:rPr>
                <w:rFonts w:cs="Times New Roman"/>
                <w:szCs w:val="24"/>
              </w:rPr>
              <w:lastRenderedPageBreak/>
              <w:t>osteoporosis.</w:t>
            </w:r>
          </w:p>
        </w:tc>
      </w:tr>
      <w:tr w:rsidR="00223CE8" w:rsidRPr="00944B15" w14:paraId="2B8E769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4D1A1E1D"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Cautions </w:t>
            </w:r>
          </w:p>
          <w:p w14:paraId="7E022735" w14:textId="77777777" w:rsidR="00223CE8" w:rsidRPr="00944B15" w:rsidRDefault="00223CE8" w:rsidP="002D6DD7">
            <w:pPr>
              <w:spacing w:after="0"/>
              <w:jc w:val="both"/>
              <w:rPr>
                <w:rFonts w:cs="Times New Roman"/>
                <w:szCs w:val="24"/>
              </w:rPr>
            </w:pPr>
          </w:p>
        </w:tc>
        <w:tc>
          <w:tcPr>
            <w:tcW w:w="7313" w:type="dxa"/>
            <w:gridSpan w:val="2"/>
            <w:tcBorders>
              <w:top w:val="single" w:sz="4" w:space="0" w:color="auto"/>
              <w:left w:val="single" w:sz="4" w:space="0" w:color="auto"/>
              <w:bottom w:val="single" w:sz="4" w:space="0" w:color="auto"/>
              <w:right w:val="single" w:sz="4" w:space="0" w:color="auto"/>
            </w:tcBorders>
            <w:hideMark/>
          </w:tcPr>
          <w:p w14:paraId="33A712F1"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B</w:t>
            </w:r>
            <w:r w:rsidRPr="00944B15">
              <w:rPr>
                <w:rFonts w:cs="Times New Roman"/>
                <w:szCs w:val="24"/>
              </w:rPr>
              <w:t>leeding diathesis, uncontrolled arterial hypertension, a history of recent gastrointestinal ulceration, diabetic retinopathy,</w:t>
            </w:r>
            <w:r>
              <w:rPr>
                <w:rFonts w:cs="Times New Roman"/>
                <w:szCs w:val="24"/>
              </w:rPr>
              <w:t xml:space="preserve"> spinal/ epidural hematoma,</w:t>
            </w:r>
            <w:r w:rsidRPr="00944B15">
              <w:rPr>
                <w:rFonts w:cs="Times New Roman"/>
                <w:szCs w:val="24"/>
              </w:rPr>
              <w:t xml:space="preserve"> renal dysfunction and haemorrhage.</w:t>
            </w:r>
          </w:p>
        </w:tc>
      </w:tr>
      <w:tr w:rsidR="00223CE8" w:rsidRPr="00944B15" w14:paraId="7F8AC55A" w14:textId="77777777" w:rsidTr="002D6DD7">
        <w:trPr>
          <w:gridAfter w:val="1"/>
          <w:wAfter w:w="90" w:type="dxa"/>
          <w:trHeight w:val="70"/>
        </w:trPr>
        <w:tc>
          <w:tcPr>
            <w:tcW w:w="2605" w:type="dxa"/>
            <w:tcBorders>
              <w:top w:val="single" w:sz="4" w:space="0" w:color="auto"/>
              <w:left w:val="single" w:sz="4" w:space="0" w:color="auto"/>
              <w:bottom w:val="single" w:sz="4" w:space="0" w:color="auto"/>
              <w:right w:val="single" w:sz="4" w:space="0" w:color="auto"/>
            </w:tcBorders>
            <w:hideMark/>
          </w:tcPr>
          <w:p w14:paraId="1368BDA0"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43F6823" w14:textId="77777777" w:rsidR="00223CE8" w:rsidRPr="00944B15" w:rsidRDefault="00223CE8" w:rsidP="002D6DD7">
            <w:pPr>
              <w:spacing w:after="0"/>
              <w:jc w:val="both"/>
              <w:rPr>
                <w:rFonts w:cs="Times New Roman"/>
                <w:szCs w:val="24"/>
              </w:rPr>
            </w:pPr>
            <w:r>
              <w:rPr>
                <w:rFonts w:cs="Times New Roman"/>
                <w:szCs w:val="24"/>
              </w:rPr>
              <w:t>Store below 30° C.</w:t>
            </w:r>
            <w:r w:rsidRPr="00944B15">
              <w:rPr>
                <w:rFonts w:cs="Times New Roman"/>
                <w:szCs w:val="24"/>
              </w:rPr>
              <w:t xml:space="preserve"> Protect from light.</w:t>
            </w:r>
          </w:p>
        </w:tc>
      </w:tr>
      <w:tr w:rsidR="00223CE8" w:rsidRPr="00944B15" w14:paraId="73C18C21"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09C20835" w14:textId="77777777" w:rsidR="00223CE8" w:rsidRPr="00944B15" w:rsidRDefault="00223CE8" w:rsidP="002D6DD7">
            <w:pPr>
              <w:spacing w:after="0"/>
              <w:jc w:val="both"/>
              <w:rPr>
                <w:rFonts w:cs="Times New Roman"/>
                <w:b/>
                <w:szCs w:val="24"/>
              </w:rPr>
            </w:pPr>
            <w:r w:rsidRPr="00944B15">
              <w:rPr>
                <w:rFonts w:cs="Times New Roman"/>
                <w:b/>
                <w:szCs w:val="24"/>
              </w:rPr>
              <w:t>Heparin (unfractionated heparin)</w:t>
            </w:r>
          </w:p>
        </w:tc>
      </w:tr>
      <w:tr w:rsidR="00223CE8" w:rsidRPr="00944B15" w14:paraId="76AB515E"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329B4A3"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5203CBB9" w14:textId="77777777" w:rsidR="00223CE8" w:rsidRPr="00944B15" w:rsidRDefault="00223CE8" w:rsidP="002D6DD7">
            <w:pPr>
              <w:spacing w:after="0"/>
              <w:jc w:val="both"/>
              <w:rPr>
                <w:rFonts w:cs="Times New Roman"/>
                <w:szCs w:val="24"/>
              </w:rPr>
            </w:pPr>
            <w:r>
              <w:rPr>
                <w:rFonts w:cs="Times New Roman"/>
                <w:szCs w:val="24"/>
              </w:rPr>
              <w:t>Anticoagulant</w:t>
            </w:r>
          </w:p>
        </w:tc>
      </w:tr>
      <w:tr w:rsidR="00223CE8" w:rsidRPr="00944B15" w14:paraId="11D743E2"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55D8932"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10651B5C" w14:textId="77777777" w:rsidR="00223CE8" w:rsidRPr="00944B15" w:rsidRDefault="00223CE8" w:rsidP="002D6DD7">
            <w:pPr>
              <w:spacing w:after="0"/>
              <w:jc w:val="both"/>
              <w:rPr>
                <w:rFonts w:cs="Times New Roman"/>
                <w:szCs w:val="24"/>
              </w:rPr>
            </w:pPr>
            <w:r>
              <w:rPr>
                <w:rFonts w:cs="Times New Roman"/>
                <w:szCs w:val="24"/>
              </w:rPr>
              <w:t>Injection:</w:t>
            </w:r>
            <w:r w:rsidRPr="00944B15">
              <w:rPr>
                <w:rFonts w:cs="Times New Roman"/>
                <w:szCs w:val="24"/>
              </w:rPr>
              <w:t xml:space="preserve"> 1000 IU/</w:t>
            </w:r>
            <w:r>
              <w:rPr>
                <w:rFonts w:cs="Times New Roman"/>
                <w:szCs w:val="24"/>
              </w:rPr>
              <w:t>ml</w:t>
            </w:r>
            <w:r w:rsidRPr="00944B15">
              <w:rPr>
                <w:rFonts w:cs="Times New Roman"/>
                <w:szCs w:val="24"/>
              </w:rPr>
              <w:t>, 5000 IU/</w:t>
            </w:r>
            <w:r>
              <w:rPr>
                <w:rFonts w:cs="Times New Roman"/>
                <w:szCs w:val="24"/>
              </w:rPr>
              <w:t>ml</w:t>
            </w:r>
            <w:r w:rsidRPr="00944B15">
              <w:rPr>
                <w:rFonts w:cs="Times New Roman"/>
                <w:szCs w:val="24"/>
              </w:rPr>
              <w:t>, 10000 IU/</w:t>
            </w:r>
            <w:r>
              <w:rPr>
                <w:rFonts w:cs="Times New Roman"/>
                <w:szCs w:val="24"/>
              </w:rPr>
              <w:t>ml</w:t>
            </w:r>
            <w:r w:rsidRPr="00944B15">
              <w:rPr>
                <w:rFonts w:cs="Times New Roman"/>
                <w:szCs w:val="24"/>
              </w:rPr>
              <w:t>, 12500IU/</w:t>
            </w:r>
            <w:r>
              <w:rPr>
                <w:rFonts w:cs="Times New Roman"/>
                <w:szCs w:val="24"/>
              </w:rPr>
              <w:t>ml</w:t>
            </w:r>
            <w:r w:rsidRPr="00944B15">
              <w:rPr>
                <w:rFonts w:cs="Times New Roman"/>
                <w:szCs w:val="24"/>
              </w:rPr>
              <w:t>, 25000IU/5</w:t>
            </w:r>
            <w:r>
              <w:rPr>
                <w:rFonts w:cs="Times New Roman"/>
                <w:szCs w:val="24"/>
              </w:rPr>
              <w:t>ml</w:t>
            </w:r>
          </w:p>
        </w:tc>
      </w:tr>
      <w:tr w:rsidR="00223CE8" w:rsidRPr="00944B15" w14:paraId="5859E16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A53F611"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213B028"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Treatment and prophylaxis of deep-vein thrombosis and pulmonary embolism, unstable angina, ischaemic stroke and acute peripheral arterial occlusion.</w:t>
            </w:r>
          </w:p>
        </w:tc>
      </w:tr>
      <w:tr w:rsidR="00223CE8" w:rsidRPr="00944B15" w14:paraId="1E878F2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B28CAFE"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370029F2"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1C56012F"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Treatment of deep-vein thrombosis and pulmonary embolism: </w:t>
            </w:r>
          </w:p>
          <w:p w14:paraId="2A781A8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Loading dose of 5000 IU</w:t>
            </w:r>
            <w:r>
              <w:rPr>
                <w:rFonts w:cs="Times New Roman"/>
                <w:szCs w:val="24"/>
              </w:rPr>
              <w:t xml:space="preserve"> (80UI/kg)</w:t>
            </w:r>
            <w:r w:rsidRPr="00944B15">
              <w:rPr>
                <w:rFonts w:cs="Times New Roman"/>
                <w:szCs w:val="24"/>
              </w:rPr>
              <w:t xml:space="preserve"> (10,000 IU in severe pulmonary embolism) followed by continuous IV infusion of 1</w:t>
            </w:r>
            <w:r>
              <w:rPr>
                <w:rFonts w:cs="Times New Roman"/>
                <w:szCs w:val="24"/>
              </w:rPr>
              <w:t>8</w:t>
            </w:r>
            <w:r w:rsidRPr="00944B15">
              <w:rPr>
                <w:rFonts w:cs="Times New Roman"/>
                <w:szCs w:val="24"/>
              </w:rPr>
              <w:t xml:space="preserve"> IU/kg/hour or by SC injection of 15,000 IU every 12 hours, laboratory monitoring is essential, preferably on a daily basis and dose adjusted accordingly.</w:t>
            </w:r>
          </w:p>
          <w:p w14:paraId="5C9D83B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Low-body-weight adult:</w:t>
            </w:r>
            <w:r w:rsidRPr="00944B15">
              <w:rPr>
                <w:rFonts w:cs="Times New Roman"/>
                <w:szCs w:val="24"/>
              </w:rPr>
              <w:t xml:space="preserve"> lower loading dose, then by continuous IV infusion, 15–25 IU/kg/hour or by SC injection, 250 IU/kg every 12 hours.</w:t>
            </w:r>
          </w:p>
          <w:p w14:paraId="21D27D1D" w14:textId="77777777" w:rsidR="00223CE8" w:rsidRDefault="00223CE8" w:rsidP="002D6DD7">
            <w:pPr>
              <w:autoSpaceDE w:val="0"/>
              <w:autoSpaceDN w:val="0"/>
              <w:adjustRightInd w:val="0"/>
              <w:spacing w:after="0"/>
              <w:jc w:val="both"/>
              <w:rPr>
                <w:rFonts w:cs="Times New Roman"/>
                <w:b/>
                <w:szCs w:val="24"/>
              </w:rPr>
            </w:pPr>
            <w:r>
              <w:rPr>
                <w:rFonts w:cs="Times New Roman"/>
                <w:b/>
                <w:szCs w:val="24"/>
              </w:rPr>
              <w:t>Treatment of acute coronary syndrome, by SC:</w:t>
            </w:r>
          </w:p>
          <w:p w14:paraId="23168A84" w14:textId="77777777" w:rsidR="00223CE8" w:rsidRPr="00D76338" w:rsidRDefault="00223CE8" w:rsidP="002D6DD7">
            <w:pPr>
              <w:autoSpaceDE w:val="0"/>
              <w:autoSpaceDN w:val="0"/>
              <w:adjustRightInd w:val="0"/>
              <w:spacing w:after="0"/>
              <w:jc w:val="both"/>
              <w:rPr>
                <w:rFonts w:cs="Times New Roman"/>
                <w:szCs w:val="24"/>
              </w:rPr>
            </w:pPr>
            <w:r>
              <w:rPr>
                <w:rFonts w:cs="Times New Roman"/>
                <w:szCs w:val="24"/>
              </w:rPr>
              <w:t>Loading dose: 60unit/kg (max. 4000unit), followed by 12unit/kg/hr (1000units/hr)</w:t>
            </w:r>
          </w:p>
          <w:p w14:paraId="32CCC0A5" w14:textId="77777777" w:rsidR="00223CE8" w:rsidRDefault="00223CE8" w:rsidP="002D6DD7">
            <w:pPr>
              <w:autoSpaceDE w:val="0"/>
              <w:autoSpaceDN w:val="0"/>
              <w:adjustRightInd w:val="0"/>
              <w:spacing w:after="0"/>
              <w:jc w:val="both"/>
              <w:rPr>
                <w:rFonts w:cs="Times New Roman"/>
                <w:b/>
                <w:szCs w:val="24"/>
              </w:rPr>
            </w:pPr>
            <w:r w:rsidRPr="00944B15">
              <w:rPr>
                <w:rFonts w:cs="Times New Roman"/>
                <w:b/>
                <w:szCs w:val="24"/>
              </w:rPr>
              <w:t>Prophylaxis in general surgery, by SC</w:t>
            </w:r>
            <w:r>
              <w:rPr>
                <w:rFonts w:cs="Times New Roman"/>
                <w:b/>
                <w:szCs w:val="24"/>
              </w:rPr>
              <w:t>:</w:t>
            </w:r>
          </w:p>
          <w:p w14:paraId="740759D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5000 IU for 1 dose, given 2 hours before surgery, then every 8–12 hours for 7 days or until patient is ambulant (monitoring not needed).</w:t>
            </w:r>
          </w:p>
          <w:p w14:paraId="590EC6D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Thromboprophylaxis during pregnancy, by SC:</w:t>
            </w:r>
            <w:r w:rsidRPr="00944B15">
              <w:rPr>
                <w:rFonts w:cs="Times New Roman"/>
                <w:szCs w:val="24"/>
              </w:rPr>
              <w:t xml:space="preserve"> 5000– 10,000 IU every 12 hours</w:t>
            </w:r>
          </w:p>
          <w:p w14:paraId="26EF7E20"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4CC65EC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deep-vein thrombosis and pulmonary embolism, by IV injection</w:t>
            </w:r>
            <w:r>
              <w:rPr>
                <w:rFonts w:cs="Times New Roman"/>
                <w:b/>
                <w:szCs w:val="24"/>
              </w:rPr>
              <w:t>:</w:t>
            </w:r>
          </w:p>
          <w:p w14:paraId="712FBBC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lastRenderedPageBreak/>
              <w:t>Neonate to Child 1 year:</w:t>
            </w:r>
            <w:r w:rsidRPr="00944B15">
              <w:rPr>
                <w:rFonts w:cs="Times New Roman"/>
                <w:szCs w:val="24"/>
              </w:rPr>
              <w:t xml:space="preserve"> initially 75 units/kg (50 units/ kg if &lt; 35 weeks corrected age), then by continuous IV infusion, 2</w:t>
            </w:r>
            <w:r>
              <w:rPr>
                <w:rFonts w:cs="Times New Roman"/>
                <w:szCs w:val="24"/>
              </w:rPr>
              <w:t>8</w:t>
            </w:r>
            <w:r w:rsidRPr="00944B15">
              <w:rPr>
                <w:rFonts w:cs="Times New Roman"/>
                <w:szCs w:val="24"/>
              </w:rPr>
              <w:t xml:space="preserve"> units/kg/hour, adjusted according to APTT or anti-Factor Xa.</w:t>
            </w:r>
          </w:p>
          <w:p w14:paraId="4F42E0C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Child 1–12 years:</w:t>
            </w:r>
            <w:r w:rsidRPr="00944B15">
              <w:rPr>
                <w:rFonts w:cs="Times New Roman"/>
                <w:szCs w:val="24"/>
              </w:rPr>
              <w:t xml:space="preserve"> initially 75 units/kg, then by continuous IV infusion 20 units/kg/hour, adjusted according to APTT or anti-Factor Xa.</w:t>
            </w:r>
          </w:p>
          <w:p w14:paraId="53B65AA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SC injection</w:t>
            </w:r>
          </w:p>
          <w:p w14:paraId="15C0BE7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Child 1 month–12 years:</w:t>
            </w:r>
            <w:r w:rsidRPr="00944B15">
              <w:rPr>
                <w:rFonts w:cs="Times New Roman"/>
                <w:szCs w:val="24"/>
              </w:rPr>
              <w:t xml:space="preserve"> 250 units/kg every 12 hours adjusted according to APTT or anti-Factor Xa.</w:t>
            </w:r>
          </w:p>
          <w:p w14:paraId="1E58AAF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Prophylaxis in general surgery, by SC injection:</w:t>
            </w:r>
          </w:p>
          <w:p w14:paraId="4AA45CC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Child 1 month–12 years:</w:t>
            </w:r>
            <w:r w:rsidRPr="00944B15">
              <w:rPr>
                <w:rFonts w:cs="Times New Roman"/>
                <w:szCs w:val="24"/>
              </w:rPr>
              <w:t xml:space="preserve"> 100 units/kg (maximum 5000 units) twice daily, adjusted according to APTT or anti-Factor Xa.</w:t>
            </w:r>
          </w:p>
        </w:tc>
      </w:tr>
      <w:tr w:rsidR="00223CE8" w:rsidRPr="00944B15" w14:paraId="30C9919C"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18C0E6E"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512797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haemophilia and other haemorrhagic disorders, </w:t>
            </w:r>
            <w:r>
              <w:rPr>
                <w:rFonts w:cs="Times New Roman"/>
                <w:szCs w:val="24"/>
              </w:rPr>
              <w:t xml:space="preserve">heparin induced </w:t>
            </w:r>
            <w:r w:rsidRPr="00944B15">
              <w:rPr>
                <w:rFonts w:cs="Times New Roman"/>
                <w:szCs w:val="24"/>
              </w:rPr>
              <w:t>thrombocytopenia, active ulceration or overt bleeding of the GI, recent cerebral haemorrhage, severe hypertension, severe liver or renal disease, after major trauma or recent surgery (especially to eye or nervous system) and acute bacterial endocarditis.</w:t>
            </w:r>
          </w:p>
        </w:tc>
      </w:tr>
      <w:tr w:rsidR="00223CE8" w:rsidRPr="00944B15" w14:paraId="7C36E93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FE3D1EF"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21F98382" w14:textId="77777777" w:rsidR="00223CE8" w:rsidRPr="00944B15" w:rsidRDefault="00223CE8" w:rsidP="002D6DD7">
            <w:pPr>
              <w:shd w:val="clear" w:color="auto" w:fill="FFFFFF"/>
              <w:spacing w:after="0"/>
              <w:jc w:val="both"/>
              <w:rPr>
                <w:rFonts w:eastAsia="Times New Roman" w:cs="Times New Roman"/>
                <w:szCs w:val="24"/>
              </w:rPr>
            </w:pPr>
            <w:r w:rsidRPr="00944B15">
              <w:rPr>
                <w:rFonts w:eastAsia="Times New Roman" w:cs="Times New Roman"/>
                <w:szCs w:val="24"/>
              </w:rPr>
              <w:t>NSAIDS (Acetylsalicylic acid, diclofenac, ibuprofen), ACEIs, Glyceryl dinitrate, cephalosporin, apixaban, enoxaparin, clopidogrel.</w:t>
            </w:r>
          </w:p>
        </w:tc>
      </w:tr>
      <w:tr w:rsidR="00223CE8" w:rsidRPr="00944B15" w14:paraId="0C5C383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19DDEC3"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0077BB6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Hyperkalaemia, injection site reactions, haemorrhage, haematuria, thrombocytopenia, immune mediated thrombocytopenia, skin necrosis, hypersensitivity reactions including urticaria, angioedema and anaphylaxis; osteoporosis after prolonged use, alopecia, rebound hyperlipidaemia after withdrawal and priapism.</w:t>
            </w:r>
          </w:p>
        </w:tc>
      </w:tr>
      <w:tr w:rsidR="00223CE8" w:rsidRPr="00944B15" w14:paraId="5A779C2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8E5E78E"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36F119CD" w14:textId="77777777" w:rsidR="00223CE8" w:rsidRPr="00944B15" w:rsidRDefault="00223CE8" w:rsidP="002D6DD7">
            <w:pPr>
              <w:spacing w:after="0"/>
              <w:jc w:val="both"/>
              <w:rPr>
                <w:rFonts w:cs="Times New Roman"/>
                <w:szCs w:val="24"/>
              </w:rPr>
            </w:pPr>
            <w:r w:rsidRPr="00944B15">
              <w:rPr>
                <w:rFonts w:cs="Times New Roman"/>
                <w:szCs w:val="24"/>
              </w:rPr>
              <w:t>Hepatic impairment and renal failure</w:t>
            </w:r>
            <w:r>
              <w:rPr>
                <w:rFonts w:cs="Times New Roman"/>
                <w:szCs w:val="24"/>
              </w:rPr>
              <w:t>,</w:t>
            </w:r>
            <w:r w:rsidRPr="00944B15">
              <w:rPr>
                <w:rFonts w:cs="Times New Roman"/>
                <w:szCs w:val="24"/>
              </w:rPr>
              <w:t xml:space="preserve"> spinal or epidural </w:t>
            </w:r>
            <w:r>
              <w:rPr>
                <w:rFonts w:cs="Times New Roman"/>
                <w:szCs w:val="24"/>
              </w:rPr>
              <w:t>anesthesia</w:t>
            </w:r>
            <w:r w:rsidRPr="00944B15">
              <w:rPr>
                <w:rFonts w:cs="Times New Roman"/>
                <w:szCs w:val="24"/>
              </w:rPr>
              <w:t>, diabetes mellitus, acidosis, and conco</w:t>
            </w:r>
            <w:r>
              <w:rPr>
                <w:rFonts w:cs="Times New Roman"/>
                <w:szCs w:val="24"/>
              </w:rPr>
              <w:t>mitant potassium-sparing drugs</w:t>
            </w:r>
            <w:r w:rsidRPr="00944B15">
              <w:rPr>
                <w:rFonts w:cs="Times New Roman"/>
                <w:szCs w:val="24"/>
              </w:rPr>
              <w:t>.</w:t>
            </w:r>
          </w:p>
        </w:tc>
      </w:tr>
      <w:tr w:rsidR="00223CE8" w:rsidRPr="00944B15" w14:paraId="50BF51F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9AE2D01"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6A0158FA" w14:textId="77777777" w:rsidR="00223CE8" w:rsidRPr="00944B15" w:rsidRDefault="00223CE8" w:rsidP="002D6DD7">
            <w:pPr>
              <w:spacing w:after="0"/>
              <w:jc w:val="both"/>
              <w:rPr>
                <w:rFonts w:cs="Times New Roman"/>
                <w:szCs w:val="24"/>
              </w:rPr>
            </w:pPr>
            <w:r>
              <w:rPr>
                <w:rFonts w:cs="Times New Roman"/>
                <w:szCs w:val="24"/>
              </w:rPr>
              <w:t>Do not store above 30</w:t>
            </w:r>
            <w:r w:rsidRPr="00944B15">
              <w:rPr>
                <w:rFonts w:cs="Times New Roman"/>
                <w:szCs w:val="24"/>
              </w:rPr>
              <w:t>° C.</w:t>
            </w:r>
          </w:p>
        </w:tc>
      </w:tr>
      <w:tr w:rsidR="00223CE8" w:rsidRPr="00944B15" w14:paraId="61DBA901"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tcPr>
          <w:p w14:paraId="56B7BD07" w14:textId="77777777" w:rsidR="00223CE8" w:rsidRPr="00944B15" w:rsidRDefault="00223CE8" w:rsidP="002D6DD7">
            <w:pPr>
              <w:spacing w:after="0"/>
              <w:jc w:val="both"/>
              <w:rPr>
                <w:rFonts w:cs="Times New Roman"/>
                <w:b/>
                <w:szCs w:val="24"/>
              </w:rPr>
            </w:pPr>
            <w:r w:rsidRPr="00944B15">
              <w:rPr>
                <w:rFonts w:cs="Times New Roman"/>
                <w:b/>
                <w:szCs w:val="24"/>
              </w:rPr>
              <w:t xml:space="preserve">Nadoparin </w:t>
            </w:r>
          </w:p>
        </w:tc>
      </w:tr>
      <w:tr w:rsidR="00223CE8" w:rsidRPr="00944B15" w14:paraId="7534BDD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42EF880B"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tcPr>
          <w:p w14:paraId="7A42F16C" w14:textId="77777777" w:rsidR="00223CE8" w:rsidRPr="00944B15" w:rsidRDefault="00223CE8" w:rsidP="002D6DD7">
            <w:pPr>
              <w:spacing w:after="0"/>
              <w:jc w:val="both"/>
              <w:rPr>
                <w:rFonts w:cs="Times New Roman"/>
                <w:szCs w:val="24"/>
              </w:rPr>
            </w:pPr>
            <w:r w:rsidRPr="00944B15">
              <w:rPr>
                <w:rFonts w:cs="Times New Roman"/>
                <w:szCs w:val="24"/>
              </w:rPr>
              <w:t>Anticoagulant</w:t>
            </w:r>
          </w:p>
        </w:tc>
      </w:tr>
      <w:tr w:rsidR="00223CE8" w:rsidRPr="00944B15" w14:paraId="7EF6114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0364840E"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tcPr>
          <w:p w14:paraId="422ACC8D" w14:textId="77777777" w:rsidR="00223CE8" w:rsidRPr="00944B15" w:rsidRDefault="00223CE8" w:rsidP="002D6DD7">
            <w:pPr>
              <w:spacing w:after="0"/>
              <w:jc w:val="both"/>
              <w:rPr>
                <w:rFonts w:cs="Times New Roman"/>
                <w:szCs w:val="24"/>
              </w:rPr>
            </w:pPr>
            <w:r w:rsidRPr="00944B15">
              <w:rPr>
                <w:rFonts w:cs="Times New Roman"/>
                <w:szCs w:val="24"/>
              </w:rPr>
              <w:t>Injection, 19 000 IU, 2850 IU anti-Xa/</w:t>
            </w:r>
            <w:r>
              <w:rPr>
                <w:rFonts w:cs="Times New Roman"/>
                <w:szCs w:val="24"/>
              </w:rPr>
              <w:t>ml</w:t>
            </w:r>
          </w:p>
        </w:tc>
      </w:tr>
      <w:tr w:rsidR="00223CE8" w:rsidRPr="00944B15" w14:paraId="573EEF2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41023C71"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tcPr>
          <w:p w14:paraId="0DD59EEF" w14:textId="77777777" w:rsidR="00223CE8" w:rsidRPr="00944B15" w:rsidRDefault="00223CE8" w:rsidP="002D6DD7">
            <w:pPr>
              <w:spacing w:after="0"/>
              <w:jc w:val="both"/>
              <w:rPr>
                <w:rFonts w:cs="Times New Roman"/>
                <w:szCs w:val="24"/>
              </w:rPr>
            </w:pPr>
            <w:r w:rsidRPr="00944B15">
              <w:rPr>
                <w:rFonts w:cs="Times New Roman"/>
                <w:szCs w:val="24"/>
              </w:rPr>
              <w:t>Peri- and post-operative surgical thromboprophylaxis.</w:t>
            </w:r>
          </w:p>
        </w:tc>
      </w:tr>
      <w:tr w:rsidR="00223CE8" w:rsidRPr="00944B15" w14:paraId="05F8673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246A353E" w14:textId="77777777" w:rsidR="00223CE8" w:rsidRPr="00944B15" w:rsidRDefault="00223CE8" w:rsidP="002D6DD7">
            <w:pPr>
              <w:spacing w:after="0"/>
              <w:jc w:val="both"/>
              <w:rPr>
                <w:rFonts w:cs="Times New Roman"/>
                <w:szCs w:val="24"/>
              </w:rPr>
            </w:pPr>
            <w:r w:rsidRPr="00944B15">
              <w:rPr>
                <w:rFonts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tcPr>
          <w:p w14:paraId="19893F3A" w14:textId="77777777" w:rsidR="00223CE8" w:rsidRPr="00944B15" w:rsidRDefault="00223CE8" w:rsidP="002D6DD7">
            <w:pPr>
              <w:spacing w:after="0"/>
              <w:jc w:val="both"/>
              <w:rPr>
                <w:rFonts w:cs="Times New Roman"/>
                <w:b/>
                <w:szCs w:val="24"/>
              </w:rPr>
            </w:pPr>
            <w:r w:rsidRPr="00944B15">
              <w:rPr>
                <w:rFonts w:cs="Times New Roman"/>
                <w:b/>
                <w:szCs w:val="24"/>
              </w:rPr>
              <w:t>Adult</w:t>
            </w:r>
            <w:r>
              <w:rPr>
                <w:rFonts w:cs="Times New Roman"/>
                <w:b/>
                <w:szCs w:val="24"/>
              </w:rPr>
              <w:t>:</w:t>
            </w:r>
            <w:r w:rsidRPr="00944B15">
              <w:rPr>
                <w:rFonts w:cs="Times New Roman"/>
                <w:b/>
                <w:szCs w:val="24"/>
              </w:rPr>
              <w:t xml:space="preserve"> </w:t>
            </w:r>
          </w:p>
          <w:p w14:paraId="414B5449" w14:textId="77777777" w:rsidR="00223CE8" w:rsidRPr="00944B15" w:rsidRDefault="00223CE8" w:rsidP="002D6DD7">
            <w:pPr>
              <w:spacing w:after="0"/>
              <w:jc w:val="both"/>
              <w:rPr>
                <w:rFonts w:cs="Times New Roman"/>
                <w:b/>
                <w:szCs w:val="24"/>
              </w:rPr>
            </w:pPr>
            <w:r w:rsidRPr="00944B15">
              <w:rPr>
                <w:rFonts w:cs="Times New Roman"/>
                <w:b/>
                <w:szCs w:val="24"/>
              </w:rPr>
              <w:lastRenderedPageBreak/>
              <w:t>Peri- and postoperative primary prophylaxis of deep vein thrombosis</w:t>
            </w:r>
          </w:p>
          <w:p w14:paraId="01ED418D" w14:textId="77777777" w:rsidR="00223CE8" w:rsidRPr="00944B15" w:rsidRDefault="00223CE8" w:rsidP="002D6DD7">
            <w:pPr>
              <w:spacing w:after="0"/>
              <w:jc w:val="both"/>
              <w:rPr>
                <w:rFonts w:cs="Times New Roman"/>
                <w:szCs w:val="24"/>
              </w:rPr>
            </w:pPr>
            <w:r w:rsidRPr="00944B15">
              <w:rPr>
                <w:rFonts w:cs="Times New Roman"/>
                <w:szCs w:val="24"/>
              </w:rPr>
              <w:t xml:space="preserve">By SC injection: 0.3 </w:t>
            </w:r>
            <w:r>
              <w:rPr>
                <w:rFonts w:cs="Times New Roman"/>
                <w:szCs w:val="24"/>
              </w:rPr>
              <w:t>ml</w:t>
            </w:r>
            <w:r w:rsidRPr="00944B15">
              <w:rPr>
                <w:rFonts w:cs="Times New Roman"/>
                <w:szCs w:val="24"/>
              </w:rPr>
              <w:t xml:space="preserve"> 2 hours prior to the surgery, then 0.3 </w:t>
            </w:r>
            <w:r>
              <w:rPr>
                <w:rFonts w:cs="Times New Roman"/>
                <w:szCs w:val="24"/>
              </w:rPr>
              <w:t>ml</w:t>
            </w:r>
            <w:r w:rsidRPr="00944B15">
              <w:rPr>
                <w:rFonts w:cs="Times New Roman"/>
                <w:szCs w:val="24"/>
              </w:rPr>
              <w:t xml:space="preserve"> each morning until full mobilisation of the patient, but at l</w:t>
            </w:r>
            <w:r>
              <w:rPr>
                <w:rFonts w:cs="Times New Roman"/>
                <w:szCs w:val="24"/>
              </w:rPr>
              <w:t>east for a duration for 7 days.</w:t>
            </w:r>
          </w:p>
        </w:tc>
      </w:tr>
      <w:tr w:rsidR="00223CE8" w:rsidRPr="00944B15" w14:paraId="5D1A8C0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259C43CF"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tcPr>
          <w:p w14:paraId="76E227B7" w14:textId="77777777" w:rsidR="00223CE8" w:rsidRPr="00944B15" w:rsidRDefault="00223CE8" w:rsidP="002D6DD7">
            <w:pPr>
              <w:spacing w:after="0"/>
              <w:jc w:val="both"/>
              <w:rPr>
                <w:rFonts w:cs="Times New Roman"/>
                <w:szCs w:val="24"/>
              </w:rPr>
            </w:pPr>
            <w:r w:rsidRPr="00944B15">
              <w:rPr>
                <w:rFonts w:cs="Times New Roman"/>
                <w:szCs w:val="24"/>
              </w:rPr>
              <w:t xml:space="preserve">Hypersensitivity to the </w:t>
            </w:r>
            <w:r>
              <w:rPr>
                <w:rFonts w:cs="Times New Roman"/>
                <w:szCs w:val="24"/>
              </w:rPr>
              <w:t>drug</w:t>
            </w:r>
            <w:r w:rsidRPr="00944B15">
              <w:rPr>
                <w:rFonts w:cs="Times New Roman"/>
                <w:szCs w:val="24"/>
              </w:rPr>
              <w:t>, known history of heparin-associated thrombocytopenia, eye haemorrhage, acute gastrointestinal ulcers, cerebral haemorrhage, cerebral aneurysm, Haemorrhagic stroke, acute infectious endocarditis, severe uncontrolled high blood pressure, severe hepatic impairment/renal dysfunction and retinopathy.</w:t>
            </w:r>
          </w:p>
        </w:tc>
      </w:tr>
      <w:tr w:rsidR="00223CE8" w:rsidRPr="00944B15" w14:paraId="1DB8677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5E7AEA64"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tcPr>
          <w:p w14:paraId="2C7EF637" w14:textId="77777777" w:rsidR="00223CE8" w:rsidRPr="00944B15" w:rsidRDefault="00223CE8" w:rsidP="002D6DD7">
            <w:pPr>
              <w:spacing w:after="0"/>
              <w:jc w:val="both"/>
              <w:rPr>
                <w:rFonts w:cs="Times New Roman"/>
                <w:szCs w:val="24"/>
              </w:rPr>
            </w:pPr>
            <w:r w:rsidRPr="00944B15">
              <w:rPr>
                <w:rFonts w:cs="Times New Roman"/>
                <w:szCs w:val="24"/>
              </w:rPr>
              <w:t>Oral anticoagulants, systemic corticosteroids, dextran, NSAIDS and nitroglycerin.</w:t>
            </w:r>
          </w:p>
        </w:tc>
      </w:tr>
      <w:tr w:rsidR="00223CE8" w:rsidRPr="00944B15" w14:paraId="01AD71C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4664E3CB"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tcPr>
          <w:p w14:paraId="2783ADC0" w14:textId="77777777" w:rsidR="00223CE8" w:rsidRPr="00944B15" w:rsidRDefault="00223CE8" w:rsidP="002D6DD7">
            <w:pPr>
              <w:spacing w:after="0"/>
              <w:jc w:val="both"/>
              <w:rPr>
                <w:rFonts w:cs="Times New Roman"/>
                <w:szCs w:val="24"/>
              </w:rPr>
            </w:pPr>
            <w:r w:rsidRPr="00944B15">
              <w:rPr>
                <w:rFonts w:cs="Times New Roman"/>
                <w:szCs w:val="24"/>
              </w:rPr>
              <w:t>Heparin-induced thrombocytopenia, injection site reactions, elevated serum potassium concentration, allergic reactions with symptoms such as nausea, vomiting, elevated temperature, headache, urticaria, pruritus, dyspnoea, bronchospasm and hypotension</w:t>
            </w:r>
          </w:p>
        </w:tc>
      </w:tr>
      <w:tr w:rsidR="00223CE8" w:rsidRPr="00944B15" w14:paraId="311B232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75F2764B" w14:textId="77777777" w:rsidR="00223CE8" w:rsidRPr="00944B15" w:rsidRDefault="00223CE8" w:rsidP="002D6DD7">
            <w:pPr>
              <w:spacing w:after="0"/>
              <w:jc w:val="both"/>
              <w:rPr>
                <w:rFonts w:cs="Times New Roman"/>
                <w:szCs w:val="24"/>
              </w:rPr>
            </w:pPr>
            <w:r w:rsidRPr="00944B15">
              <w:rPr>
                <w:rFonts w:cs="Times New Roman"/>
                <w:szCs w:val="24"/>
              </w:rPr>
              <w:t>Cautions</w:t>
            </w:r>
          </w:p>
        </w:tc>
        <w:tc>
          <w:tcPr>
            <w:tcW w:w="7313" w:type="dxa"/>
            <w:gridSpan w:val="2"/>
            <w:tcBorders>
              <w:top w:val="single" w:sz="4" w:space="0" w:color="auto"/>
              <w:left w:val="single" w:sz="4" w:space="0" w:color="auto"/>
              <w:bottom w:val="single" w:sz="4" w:space="0" w:color="auto"/>
              <w:right w:val="single" w:sz="4" w:space="0" w:color="auto"/>
            </w:tcBorders>
          </w:tcPr>
          <w:p w14:paraId="71B11262" w14:textId="77777777" w:rsidR="00223CE8" w:rsidRPr="00944B15" w:rsidRDefault="00223CE8" w:rsidP="002D6DD7">
            <w:pPr>
              <w:spacing w:after="0"/>
              <w:jc w:val="both"/>
              <w:rPr>
                <w:rFonts w:cs="Times New Roman"/>
                <w:szCs w:val="24"/>
              </w:rPr>
            </w:pPr>
            <w:r w:rsidRPr="00944B15">
              <w:rPr>
                <w:rFonts w:cs="Times New Roman"/>
                <w:szCs w:val="24"/>
              </w:rPr>
              <w:t>Hepatic failure, severe arterial hypertension, previous peptic ulcer, suspected intracranial tumour with haemorrhagic diathesis or other organ, lesions with a bleeding tendency, and chorioretinal vascular disorders</w:t>
            </w:r>
          </w:p>
        </w:tc>
      </w:tr>
      <w:tr w:rsidR="00223CE8" w:rsidRPr="00944B15" w14:paraId="67E8194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tcPr>
          <w:p w14:paraId="79214CA3"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tcPr>
          <w:p w14:paraId="0D85FA83"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w:t>
            </w:r>
          </w:p>
        </w:tc>
      </w:tr>
      <w:tr w:rsidR="00223CE8" w:rsidRPr="00944B15" w14:paraId="0805AA58"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4E1EA0A5" w14:textId="77777777" w:rsidR="00223CE8" w:rsidRPr="00944B15" w:rsidRDefault="00223CE8" w:rsidP="002D6DD7">
            <w:pPr>
              <w:spacing w:after="0"/>
              <w:jc w:val="both"/>
              <w:rPr>
                <w:rFonts w:cs="Times New Roman"/>
                <w:b/>
                <w:szCs w:val="24"/>
              </w:rPr>
            </w:pPr>
            <w:r w:rsidRPr="00944B15">
              <w:rPr>
                <w:rFonts w:cs="Times New Roman"/>
                <w:b/>
                <w:szCs w:val="24"/>
              </w:rPr>
              <w:t>Rivaroxaban</w:t>
            </w:r>
          </w:p>
        </w:tc>
      </w:tr>
      <w:tr w:rsidR="00223CE8" w:rsidRPr="00944B15" w14:paraId="610684F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C64A19F"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1B993EAF"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Anti</w:t>
            </w:r>
            <w:r>
              <w:rPr>
                <w:rFonts w:cs="Times New Roman"/>
                <w:szCs w:val="24"/>
                <w:shd w:val="clear" w:color="auto" w:fill="FFFFFF"/>
              </w:rPr>
              <w:t>coagulants, Factor Xa inhibitor</w:t>
            </w:r>
          </w:p>
        </w:tc>
      </w:tr>
      <w:tr w:rsidR="00223CE8" w:rsidRPr="00944B15" w14:paraId="4925835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52278C7C"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524556F3" w14:textId="77777777" w:rsidR="00223CE8" w:rsidRPr="00944B15" w:rsidRDefault="00223CE8" w:rsidP="002D6DD7">
            <w:pPr>
              <w:spacing w:after="0"/>
              <w:jc w:val="both"/>
              <w:rPr>
                <w:rFonts w:cs="Times New Roman"/>
                <w:szCs w:val="24"/>
              </w:rPr>
            </w:pPr>
            <w:r w:rsidRPr="00944B15">
              <w:rPr>
                <w:rFonts w:cs="Times New Roman"/>
                <w:szCs w:val="24"/>
              </w:rPr>
              <w:t>Tablet: 10 mg, 15 mg, 20mg</w:t>
            </w:r>
          </w:p>
        </w:tc>
      </w:tr>
      <w:tr w:rsidR="00223CE8" w:rsidRPr="00944B15" w14:paraId="7C1B111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F2B8880"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4207AAF" w14:textId="77777777" w:rsidR="00223CE8" w:rsidRPr="00944B15" w:rsidRDefault="00223CE8" w:rsidP="002D6DD7">
            <w:pPr>
              <w:pStyle w:val="NormalWeb"/>
              <w:shd w:val="clear" w:color="auto" w:fill="FFFFFF"/>
              <w:spacing w:before="0" w:beforeAutospacing="0" w:after="0" w:afterAutospacing="0" w:line="360" w:lineRule="auto"/>
              <w:jc w:val="both"/>
            </w:pPr>
            <w:r w:rsidRPr="00944B15">
              <w:t>Prevention of venous thromboembolism (VTE) in patients undergoing elective hip or knee replacement surgery.</w:t>
            </w:r>
          </w:p>
          <w:p w14:paraId="6D0F396E" w14:textId="77777777" w:rsidR="00223CE8" w:rsidRPr="00944B15" w:rsidRDefault="00223CE8" w:rsidP="002D6DD7">
            <w:pPr>
              <w:pStyle w:val="NormalWeb"/>
              <w:shd w:val="clear" w:color="auto" w:fill="FFFFFF"/>
              <w:spacing w:before="0" w:beforeAutospacing="0" w:after="0" w:afterAutospacing="0" w:line="360" w:lineRule="auto"/>
              <w:jc w:val="both"/>
            </w:pPr>
            <w:r w:rsidRPr="00944B15">
              <w:t>Treatment of deep vein thrombosis (DVT) and pulmonary embolism (PE), and prevention of recurrent DVT and PE.</w:t>
            </w:r>
          </w:p>
        </w:tc>
      </w:tr>
      <w:tr w:rsidR="00223CE8" w:rsidRPr="00944B15" w14:paraId="43A3833E"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56BA15B"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7D19FF97"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Pr>
                <w:rFonts w:cs="Times New Roman"/>
                <w:b/>
                <w:szCs w:val="24"/>
              </w:rPr>
              <w:t>:</w:t>
            </w:r>
            <w:r w:rsidRPr="00944B15">
              <w:rPr>
                <w:rFonts w:cs="Times New Roman"/>
                <w:b/>
                <w:szCs w:val="24"/>
              </w:rPr>
              <w:t xml:space="preserve"> </w:t>
            </w:r>
          </w:p>
          <w:p w14:paraId="696F3465"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VTE in adult patients undergoing elective hip or knee replacement surgery</w:t>
            </w:r>
            <w:r>
              <w:rPr>
                <w:rFonts w:cs="Times New Roman"/>
                <w:b/>
                <w:szCs w:val="24"/>
              </w:rPr>
              <w:t>:</w:t>
            </w:r>
          </w:p>
          <w:p w14:paraId="6A3A004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is 10 mg daily and initial dose should be taken 6 to 10 hours after surgery.</w:t>
            </w:r>
          </w:p>
          <w:p w14:paraId="4E2A5C3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lastRenderedPageBreak/>
              <w:t>Treatment of DVT, treatment of PE and prevention of recurrent DVT and PE</w:t>
            </w:r>
            <w:r>
              <w:rPr>
                <w:rFonts w:cs="Times New Roman"/>
                <w:b/>
                <w:szCs w:val="24"/>
              </w:rPr>
              <w:t>:</w:t>
            </w:r>
          </w:p>
          <w:p w14:paraId="4A21A14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Day 1–21, 15 mg twice daily, then day 22 onward 20 mg once daily</w:t>
            </w:r>
          </w:p>
          <w:p w14:paraId="0735B43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Prevention of recurrent DVT and PE, following completion of at least 6 months of therapy for DVT or PE</w:t>
            </w:r>
            <w:r>
              <w:rPr>
                <w:rFonts w:cs="Times New Roman"/>
                <w:b/>
                <w:szCs w:val="24"/>
              </w:rPr>
              <w:t>:</w:t>
            </w:r>
          </w:p>
          <w:p w14:paraId="32500A2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Oral: 10 mg </w:t>
            </w:r>
            <w:r>
              <w:rPr>
                <w:rFonts w:cs="Times New Roman"/>
                <w:szCs w:val="24"/>
              </w:rPr>
              <w:t xml:space="preserve">once daily or 20 mg once daily </w:t>
            </w:r>
          </w:p>
        </w:tc>
      </w:tr>
      <w:tr w:rsidR="00223CE8" w:rsidRPr="00944B15" w14:paraId="7308543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2EEB704"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4AEFF7F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current or recent gastrointestinal ulceration, presence of malignant neoplasms, recent brain or spinal injury, recent brain, spinal or ophthalmic surgery, recent intracranial haemorrhage, known or suspected oesophageal varices, arteriovenous malformations, vascular aneurysms or major intraspinal or intracerebral vascular abnormalities, hepatic disease associated with coagulopathy and clinically relevant bleeding risk, pregnancy and breast-feeding.</w:t>
            </w:r>
          </w:p>
        </w:tc>
      </w:tr>
      <w:tr w:rsidR="00223CE8" w:rsidRPr="00944B15" w14:paraId="25084D4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19460A9"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44CE55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Azole-anti-fungal (ketoconazole, itraconazole, voriconazole), HIV protease inhibitors (e.g. ritonavir), NSAIDs, acetylsalicylic acid (ASA) and platelet aggregation inhibitors, selective serotonin reuptake inhibitors (SSRIs), and serotonin norepinephrine reuptake inhibitors (SNRIs), other Anticoagulants.</w:t>
            </w:r>
          </w:p>
        </w:tc>
      </w:tr>
      <w:tr w:rsidR="00223CE8" w:rsidRPr="00944B15" w14:paraId="12CFB06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A892F26"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0BE2B1E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Bleeding, spinal hematoma, allergic reactions including anaphylaxis; anaemia, dizziness, eye haemorrhage, hypotension, tachycardia, increase in</w:t>
            </w:r>
            <w:r>
              <w:rPr>
                <w:rFonts w:cs="Times New Roman"/>
                <w:szCs w:val="24"/>
              </w:rPr>
              <w:t xml:space="preserve"> </w:t>
            </w:r>
            <w:r w:rsidRPr="00944B15">
              <w:rPr>
                <w:rFonts w:cs="Times New Roman"/>
                <w:szCs w:val="24"/>
              </w:rPr>
              <w:t>transaminase, GI disturbances, fever, peripheral oedema, dizziness and headache.</w:t>
            </w:r>
          </w:p>
        </w:tc>
      </w:tr>
      <w:tr w:rsidR="00223CE8" w:rsidRPr="00944B15" w14:paraId="48C46C3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4AE3B53"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6B26C0EE"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w:t>
            </w:r>
            <w:r w:rsidRPr="00944B15">
              <w:rPr>
                <w:rFonts w:cs="Times New Roman"/>
                <w:szCs w:val="24"/>
              </w:rPr>
              <w:t>epatic or renal disease, blood disorders, bleeding disorders including anaemia, haemophilia and thrombocytopenia, bronchiectasis, pulmonary cavitation, or pulmonary haemorrhage and active cancer.</w:t>
            </w:r>
          </w:p>
        </w:tc>
      </w:tr>
      <w:tr w:rsidR="00223CE8" w:rsidRPr="00944B15" w14:paraId="5CB8B52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2792AB7"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6D687E0D" w14:textId="77777777" w:rsidR="00223CE8" w:rsidRPr="00944B15" w:rsidRDefault="00223CE8" w:rsidP="002D6DD7">
            <w:pPr>
              <w:spacing w:after="0"/>
              <w:jc w:val="both"/>
              <w:rPr>
                <w:rFonts w:cs="Times New Roman"/>
                <w:szCs w:val="24"/>
              </w:rPr>
            </w:pPr>
            <w:r w:rsidRPr="00944B15">
              <w:rPr>
                <w:rFonts w:cs="Times New Roman"/>
                <w:szCs w:val="24"/>
              </w:rPr>
              <w:t>Store below 30° C.</w:t>
            </w:r>
          </w:p>
        </w:tc>
      </w:tr>
      <w:tr w:rsidR="00223CE8" w:rsidRPr="00944B15" w14:paraId="1379E94C"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350B7450" w14:textId="77777777" w:rsidR="00223CE8" w:rsidRPr="00944B15" w:rsidRDefault="00223CE8" w:rsidP="002D6DD7">
            <w:pPr>
              <w:spacing w:after="0"/>
              <w:jc w:val="both"/>
              <w:rPr>
                <w:rFonts w:cs="Times New Roman"/>
                <w:b/>
                <w:szCs w:val="24"/>
              </w:rPr>
            </w:pPr>
            <w:r w:rsidRPr="00944B15">
              <w:rPr>
                <w:rFonts w:cs="Times New Roman"/>
                <w:b/>
                <w:szCs w:val="24"/>
              </w:rPr>
              <w:t xml:space="preserve">Warfarin </w:t>
            </w:r>
          </w:p>
        </w:tc>
      </w:tr>
      <w:tr w:rsidR="00223CE8" w:rsidRPr="00944B15" w14:paraId="1CEAFA7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6F7BFFB"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298CE2F1" w14:textId="77777777" w:rsidR="00223CE8" w:rsidRPr="00944B15" w:rsidRDefault="00223CE8" w:rsidP="002D6DD7">
            <w:pPr>
              <w:spacing w:after="0"/>
              <w:jc w:val="both"/>
              <w:rPr>
                <w:rFonts w:cs="Times New Roman"/>
                <w:szCs w:val="24"/>
              </w:rPr>
            </w:pPr>
            <w:r>
              <w:rPr>
                <w:rFonts w:cs="Times New Roman"/>
                <w:szCs w:val="24"/>
              </w:rPr>
              <w:t>Anticoagulant</w:t>
            </w:r>
          </w:p>
        </w:tc>
      </w:tr>
      <w:tr w:rsidR="00223CE8" w:rsidRPr="0035735A" w14:paraId="208ED49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D976292"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33AD75D9" w14:textId="77777777" w:rsidR="00223CE8" w:rsidRPr="00944B15" w:rsidRDefault="00223CE8" w:rsidP="002D6DD7">
            <w:pPr>
              <w:spacing w:after="0"/>
              <w:jc w:val="both"/>
              <w:rPr>
                <w:rFonts w:cs="Times New Roman"/>
                <w:szCs w:val="24"/>
                <w:lang w:val="sv-SE"/>
              </w:rPr>
            </w:pPr>
            <w:r w:rsidRPr="00944B15">
              <w:rPr>
                <w:rFonts w:cs="Times New Roman"/>
                <w:szCs w:val="24"/>
                <w:lang w:val="sv-SE"/>
              </w:rPr>
              <w:t>Tablet: 0.5mg, 1 mg, 2 mg, 2.5 mg, 3 mg, 5 mg, 7.5 mg (as sodium salt)</w:t>
            </w:r>
          </w:p>
        </w:tc>
      </w:tr>
      <w:tr w:rsidR="00223CE8" w:rsidRPr="00944B15" w14:paraId="1A5B9BF4"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27E2E4C"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DC2EF1A"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 xml:space="preserve">Prophylaxis and treatment of venous thrombosis and pulmonary embolism, cerebral ischaemic attacks, prophylaxis of embolization in </w:t>
            </w:r>
            <w:r w:rsidRPr="00944B15">
              <w:rPr>
                <w:rFonts w:cs="Times New Roman"/>
                <w:iCs/>
                <w:szCs w:val="24"/>
              </w:rPr>
              <w:lastRenderedPageBreak/>
              <w:t>rheumatic heart disease and atrial fibrillation and prophylaxis after insertion of prosthetic heart valve.</w:t>
            </w:r>
          </w:p>
        </w:tc>
      </w:tr>
      <w:tr w:rsidR="00223CE8" w:rsidRPr="00944B15" w14:paraId="6765C5D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77A9B82" w14:textId="77777777" w:rsidR="00223CE8" w:rsidRPr="00944B15" w:rsidRDefault="00223CE8" w:rsidP="002D6DD7">
            <w:pPr>
              <w:spacing w:after="0"/>
              <w:jc w:val="both"/>
              <w:rPr>
                <w:rFonts w:cs="Times New Roman"/>
                <w:szCs w:val="24"/>
              </w:rPr>
            </w:pPr>
            <w:r w:rsidRPr="00944B15">
              <w:rPr>
                <w:rFonts w:eastAsia="Times New Roman" w:cs="Times New Roman"/>
                <w:szCs w:val="24"/>
              </w:rPr>
              <w:lastRenderedPageBreak/>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45ACA91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Adult- </w:t>
            </w:r>
            <w:r w:rsidRPr="00944B15">
              <w:rPr>
                <w:rFonts w:cs="Times New Roman"/>
                <w:b/>
                <w:szCs w:val="24"/>
              </w:rPr>
              <w:t>Prophylaxis and treatm</w:t>
            </w:r>
            <w:r>
              <w:rPr>
                <w:rFonts w:cs="Times New Roman"/>
                <w:b/>
                <w:szCs w:val="24"/>
              </w:rPr>
              <w:t>ent of thromboembolic disorders:</w:t>
            </w:r>
          </w:p>
          <w:p w14:paraId="0BDF893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w:t>
            </w:r>
            <w:r w:rsidRPr="00944B15">
              <w:rPr>
                <w:rFonts w:cs="Times New Roman"/>
                <w:b/>
                <w:szCs w:val="24"/>
              </w:rPr>
              <w:t>Oral:</w:t>
            </w:r>
            <w:r w:rsidRPr="00944B15">
              <w:rPr>
                <w:rFonts w:cs="Times New Roman"/>
                <w:szCs w:val="24"/>
              </w:rPr>
              <w:t xml:space="preserve"> Start with 5 mg or 10 mg and titrate based on INR on day 3. Initial dose dependent on patient age and bleeding risk. Goal is INR of 2–3 for thrombosis and 2.5–3.5 for patients with mechanical valves.</w:t>
            </w:r>
          </w:p>
          <w:p w14:paraId="199EA1E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Usual daily maintenance dose is </w:t>
            </w:r>
            <w:r>
              <w:rPr>
                <w:rFonts w:cs="Times New Roman"/>
                <w:szCs w:val="24"/>
              </w:rPr>
              <w:t>5</w:t>
            </w:r>
            <w:r w:rsidRPr="00944B15">
              <w:rPr>
                <w:rFonts w:cs="Times New Roman"/>
                <w:szCs w:val="24"/>
              </w:rPr>
              <w:t xml:space="preserve"> to </w:t>
            </w:r>
            <w:r>
              <w:rPr>
                <w:rFonts w:cs="Times New Roman"/>
                <w:szCs w:val="24"/>
              </w:rPr>
              <w:t>10</w:t>
            </w:r>
            <w:r w:rsidRPr="00944B15">
              <w:rPr>
                <w:rFonts w:cs="Times New Roman"/>
                <w:szCs w:val="24"/>
              </w:rPr>
              <w:t xml:space="preserve"> mg administered at the same time each day.</w:t>
            </w:r>
          </w:p>
          <w:p w14:paraId="75B5B584"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5701754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Neonate</w:t>
            </w:r>
            <w:r w:rsidRPr="00944B15">
              <w:rPr>
                <w:rFonts w:cs="Times New Roman"/>
                <w:szCs w:val="24"/>
              </w:rPr>
              <w:t xml:space="preserve"> (under specialist advice): 200 m</w:t>
            </w:r>
            <w:r>
              <w:rPr>
                <w:rFonts w:cs="Times New Roman"/>
                <w:szCs w:val="24"/>
              </w:rPr>
              <w:t>cg</w:t>
            </w:r>
            <w:r w:rsidRPr="00944B15">
              <w:rPr>
                <w:rFonts w:cs="Times New Roman"/>
                <w:szCs w:val="24"/>
              </w:rPr>
              <w:t>/ kg as a single dose on day 1, then 100 m</w:t>
            </w:r>
            <w:r>
              <w:rPr>
                <w:rFonts w:cs="Times New Roman"/>
                <w:szCs w:val="24"/>
              </w:rPr>
              <w:t>cg</w:t>
            </w:r>
            <w:r w:rsidRPr="00944B15">
              <w:rPr>
                <w:rFonts w:cs="Times New Roman"/>
                <w:szCs w:val="24"/>
              </w:rPr>
              <w:t>/kg once daily for the next 3 days.</w:t>
            </w:r>
          </w:p>
          <w:p w14:paraId="6DFDD79F" w14:textId="77777777" w:rsidR="00223CE8" w:rsidRPr="00944B15" w:rsidRDefault="00223CE8" w:rsidP="002D6DD7">
            <w:pPr>
              <w:adjustRightInd w:val="0"/>
              <w:spacing w:after="0"/>
              <w:jc w:val="both"/>
              <w:rPr>
                <w:rFonts w:cs="Times New Roman"/>
                <w:szCs w:val="24"/>
              </w:rPr>
            </w:pPr>
            <w:r w:rsidRPr="00944B15">
              <w:rPr>
                <w:rFonts w:cs="Times New Roman"/>
                <w:szCs w:val="24"/>
              </w:rPr>
              <w:t>However, if INR is still below 1</w:t>
            </w:r>
            <w:r>
              <w:rPr>
                <w:rFonts w:cs="Times New Roman"/>
                <w:szCs w:val="24"/>
              </w:rPr>
              <w:t xml:space="preserve">.4, continue to use 200 </w:t>
            </w:r>
            <w:r w:rsidRPr="00944B15">
              <w:rPr>
                <w:rFonts w:cs="Times New Roman"/>
                <w:szCs w:val="24"/>
              </w:rPr>
              <w:t>m</w:t>
            </w:r>
            <w:r>
              <w:rPr>
                <w:rFonts w:cs="Times New Roman"/>
                <w:szCs w:val="24"/>
              </w:rPr>
              <w:t>cg</w:t>
            </w:r>
            <w:r w:rsidRPr="00944B15">
              <w:rPr>
                <w:rFonts w:cs="Times New Roman"/>
                <w:szCs w:val="24"/>
              </w:rPr>
              <w:t xml:space="preserve"> /kg once daily.</w:t>
            </w:r>
          </w:p>
          <w:p w14:paraId="3E45E7FF" w14:textId="77777777" w:rsidR="00223CE8" w:rsidRPr="00944B15" w:rsidRDefault="00223CE8" w:rsidP="002D6DD7">
            <w:pPr>
              <w:adjustRightInd w:val="0"/>
              <w:spacing w:after="0"/>
              <w:jc w:val="both"/>
              <w:rPr>
                <w:rFonts w:cs="Times New Roman"/>
                <w:szCs w:val="24"/>
              </w:rPr>
            </w:pPr>
            <w:r w:rsidRPr="00944B15">
              <w:rPr>
                <w:rFonts w:cs="Times New Roman"/>
                <w:szCs w:val="24"/>
              </w:rPr>
              <w:t>If INR is above 3, change to 50 m</w:t>
            </w:r>
            <w:r>
              <w:rPr>
                <w:rFonts w:cs="Times New Roman"/>
                <w:szCs w:val="24"/>
              </w:rPr>
              <w:t>cg</w:t>
            </w:r>
            <w:r w:rsidRPr="00944B15">
              <w:rPr>
                <w:rFonts w:cs="Times New Roman"/>
                <w:szCs w:val="24"/>
              </w:rPr>
              <w:t>/ kg once daily; if INR is above 3.5, omit dose. Adjust ongoing therapy in accordance with INR.</w:t>
            </w:r>
          </w:p>
          <w:p w14:paraId="1AE1F795" w14:textId="77777777" w:rsidR="00223CE8" w:rsidRPr="00944B15" w:rsidRDefault="00223CE8" w:rsidP="002D6DD7">
            <w:pPr>
              <w:adjustRightInd w:val="0"/>
              <w:spacing w:after="0"/>
              <w:jc w:val="both"/>
              <w:rPr>
                <w:rFonts w:cs="Times New Roman"/>
                <w:szCs w:val="24"/>
              </w:rPr>
            </w:pPr>
            <w:r w:rsidRPr="00944B15">
              <w:rPr>
                <w:rFonts w:cs="Times New Roman"/>
                <w:szCs w:val="24"/>
              </w:rPr>
              <w:t>Usual maintenance 100–300 m</w:t>
            </w:r>
            <w:r>
              <w:rPr>
                <w:rFonts w:cs="Times New Roman"/>
                <w:szCs w:val="24"/>
              </w:rPr>
              <w:t>cg</w:t>
            </w:r>
            <w:r w:rsidRPr="00944B15">
              <w:rPr>
                <w:rFonts w:cs="Times New Roman"/>
                <w:szCs w:val="24"/>
              </w:rPr>
              <w:t>/kg once daily (may need up to 400 m</w:t>
            </w:r>
            <w:r>
              <w:rPr>
                <w:rFonts w:cs="Times New Roman"/>
                <w:szCs w:val="24"/>
              </w:rPr>
              <w:t>cg</w:t>
            </w:r>
            <w:r w:rsidRPr="00944B15">
              <w:rPr>
                <w:rFonts w:cs="Times New Roman"/>
                <w:szCs w:val="24"/>
              </w:rPr>
              <w:t>/kg once daily.</w:t>
            </w:r>
          </w:p>
          <w:p w14:paraId="69E3CFB7" w14:textId="77777777" w:rsidR="00223CE8" w:rsidRPr="00944B15" w:rsidRDefault="00223CE8" w:rsidP="002D6DD7">
            <w:pPr>
              <w:adjustRightInd w:val="0"/>
              <w:spacing w:after="0"/>
              <w:jc w:val="both"/>
              <w:rPr>
                <w:rFonts w:cs="Times New Roman"/>
                <w:szCs w:val="24"/>
              </w:rPr>
            </w:pPr>
            <w:r w:rsidRPr="00944B15">
              <w:rPr>
                <w:rFonts w:cs="Times New Roman"/>
                <w:b/>
                <w:szCs w:val="24"/>
              </w:rPr>
              <w:t>Child 1 month–12 years:</w:t>
            </w:r>
            <w:r w:rsidRPr="00944B15">
              <w:rPr>
                <w:rFonts w:cs="Times New Roman"/>
                <w:szCs w:val="24"/>
              </w:rPr>
              <w:t xml:space="preserve"> 200 m</w:t>
            </w:r>
            <w:r>
              <w:rPr>
                <w:rFonts w:cs="Times New Roman"/>
                <w:szCs w:val="24"/>
              </w:rPr>
              <w:t>cg</w:t>
            </w:r>
            <w:r w:rsidRPr="00944B15">
              <w:rPr>
                <w:rFonts w:cs="Times New Roman"/>
                <w:szCs w:val="24"/>
              </w:rPr>
              <w:t>/kg (maximum 10 mg) as a single dose on day 1, then 100 m</w:t>
            </w:r>
            <w:r>
              <w:rPr>
                <w:rFonts w:cs="Times New Roman"/>
                <w:szCs w:val="24"/>
              </w:rPr>
              <w:t>cg</w:t>
            </w:r>
            <w:r w:rsidRPr="00944B15">
              <w:rPr>
                <w:rFonts w:cs="Times New Roman"/>
                <w:szCs w:val="24"/>
              </w:rPr>
              <w:t>/kg (maximum 5 mg) once daily for the next 3 days.</w:t>
            </w:r>
          </w:p>
          <w:p w14:paraId="63A48F59" w14:textId="77777777" w:rsidR="00223CE8" w:rsidRPr="00944B15" w:rsidRDefault="00223CE8" w:rsidP="002D6DD7">
            <w:pPr>
              <w:adjustRightInd w:val="0"/>
              <w:spacing w:after="0"/>
              <w:jc w:val="both"/>
              <w:rPr>
                <w:rFonts w:cs="Times New Roman"/>
                <w:szCs w:val="24"/>
              </w:rPr>
            </w:pPr>
            <w:r w:rsidRPr="00944B15">
              <w:rPr>
                <w:rFonts w:cs="Times New Roman"/>
                <w:szCs w:val="24"/>
              </w:rPr>
              <w:t>However, if INR is still below 1.4, continue to use 200 m</w:t>
            </w:r>
            <w:r>
              <w:rPr>
                <w:rFonts w:cs="Times New Roman"/>
                <w:szCs w:val="24"/>
              </w:rPr>
              <w:t>cg</w:t>
            </w:r>
            <w:r w:rsidRPr="00944B15">
              <w:rPr>
                <w:rFonts w:cs="Times New Roman"/>
                <w:szCs w:val="24"/>
              </w:rPr>
              <w:t>/kg (maximum 10 mg) once daily.</w:t>
            </w:r>
          </w:p>
          <w:p w14:paraId="3B1C2A71" w14:textId="77777777" w:rsidR="00223CE8" w:rsidRPr="00944B15" w:rsidRDefault="00223CE8" w:rsidP="002D6DD7">
            <w:pPr>
              <w:adjustRightInd w:val="0"/>
              <w:spacing w:after="0"/>
              <w:jc w:val="both"/>
              <w:rPr>
                <w:rFonts w:cs="Times New Roman"/>
                <w:szCs w:val="24"/>
              </w:rPr>
            </w:pPr>
            <w:r w:rsidRPr="00944B15">
              <w:rPr>
                <w:rFonts w:cs="Times New Roman"/>
                <w:szCs w:val="24"/>
              </w:rPr>
              <w:t>If the INR is above 3, change to 50 m</w:t>
            </w:r>
            <w:r>
              <w:rPr>
                <w:rFonts w:cs="Times New Roman"/>
                <w:szCs w:val="24"/>
              </w:rPr>
              <w:t>cg</w:t>
            </w:r>
            <w:r w:rsidRPr="00944B15">
              <w:rPr>
                <w:rFonts w:cs="Times New Roman"/>
                <w:szCs w:val="24"/>
              </w:rPr>
              <w:t>/kg (maximum 2.5 mg) once daily; if INR is above 3.5, omit dose. Adjust ongoing therapy in accordance with INR.</w:t>
            </w:r>
          </w:p>
          <w:p w14:paraId="4294F41D" w14:textId="77777777" w:rsidR="00223CE8" w:rsidRPr="00944B15" w:rsidRDefault="00223CE8" w:rsidP="002D6DD7">
            <w:pPr>
              <w:adjustRightInd w:val="0"/>
              <w:spacing w:after="0"/>
              <w:jc w:val="both"/>
              <w:rPr>
                <w:rFonts w:cs="Times New Roman"/>
                <w:szCs w:val="24"/>
              </w:rPr>
            </w:pPr>
            <w:r w:rsidRPr="00944B15">
              <w:rPr>
                <w:rFonts w:cs="Times New Roman"/>
                <w:szCs w:val="24"/>
              </w:rPr>
              <w:t xml:space="preserve"> Usual maintenance 100–300 m</w:t>
            </w:r>
            <w:r>
              <w:rPr>
                <w:rFonts w:cs="Times New Roman"/>
                <w:szCs w:val="24"/>
              </w:rPr>
              <w:t>cg</w:t>
            </w:r>
            <w:r w:rsidRPr="00944B15">
              <w:rPr>
                <w:rFonts w:cs="Times New Roman"/>
                <w:szCs w:val="24"/>
              </w:rPr>
              <w:t>/kg once daily (may need up to 400 m</w:t>
            </w:r>
            <w:r>
              <w:rPr>
                <w:rFonts w:cs="Times New Roman"/>
                <w:szCs w:val="24"/>
              </w:rPr>
              <w:t>cg</w:t>
            </w:r>
            <w:r w:rsidRPr="00944B15">
              <w:rPr>
                <w:rFonts w:cs="Times New Roman"/>
                <w:szCs w:val="24"/>
              </w:rPr>
              <w:t>/ kg once daily</w:t>
            </w:r>
          </w:p>
        </w:tc>
      </w:tr>
      <w:tr w:rsidR="00223CE8" w:rsidRPr="00944B15" w14:paraId="42E42EA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662AF21"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2E5546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Pregnancy, severe hypertension, CNS haemorrhage, cerebral aneurysms, dissecting aorta, pericarditis and pericardial effusions, bacterial endocarditis, active ulceration or overt bleeding of the GI, GU, or respiratory tract, threatened abortion, eclampsia, and preeclampsia.</w:t>
            </w:r>
          </w:p>
        </w:tc>
      </w:tr>
      <w:tr w:rsidR="00223CE8" w:rsidRPr="00944B15" w14:paraId="21E9157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6DF0686"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750A298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Alcohol, allopurinol, NSAIDs, SSRI and SNRI antidepressants, clopidogrel, azole antifungals, barbiturates, rifampicin, phenytoin, St John's Wort, PPIs, oral contraceptives, cephalosporin, fluoroquinolones, sulphonamides, parenteral anticoagulants, valproic acid, cimetidine and cranberry juice.</w:t>
            </w:r>
          </w:p>
        </w:tc>
      </w:tr>
      <w:tr w:rsidR="00223CE8" w:rsidRPr="00944B15" w14:paraId="0B817C7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5EA1B47"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0125357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Haemorrhage, hypersensitivity, rash, alopecia, diarrhoea, unexplained drop in haematocrit, systemic cholesterol micro embolism (‘purple toes syndrome’), skin necrosis, jaundice, hepatic dysfunction, nausea, vomiting and pancreatitis.</w:t>
            </w:r>
          </w:p>
        </w:tc>
      </w:tr>
      <w:tr w:rsidR="00223CE8" w:rsidRPr="00944B15" w14:paraId="28725416" w14:textId="77777777" w:rsidTr="002D6DD7">
        <w:trPr>
          <w:gridAfter w:val="1"/>
          <w:wAfter w:w="90" w:type="dxa"/>
          <w:trHeight w:val="530"/>
        </w:trPr>
        <w:tc>
          <w:tcPr>
            <w:tcW w:w="2605" w:type="dxa"/>
            <w:tcBorders>
              <w:top w:val="single" w:sz="4" w:space="0" w:color="auto"/>
              <w:left w:val="single" w:sz="4" w:space="0" w:color="auto"/>
              <w:bottom w:val="single" w:sz="4" w:space="0" w:color="auto"/>
              <w:right w:val="single" w:sz="4" w:space="0" w:color="auto"/>
            </w:tcBorders>
          </w:tcPr>
          <w:p w14:paraId="019181DC"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462F879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Hepatic impairment, </w:t>
            </w:r>
            <w:r w:rsidRPr="00944B15">
              <w:rPr>
                <w:rFonts w:cs="Times New Roman"/>
                <w:szCs w:val="24"/>
              </w:rPr>
              <w:t>renal failure, recent surgery, elderly, CHF, malnourished, acute infection or active TB and prolonged vitamin K insufficiencies.</w:t>
            </w:r>
          </w:p>
        </w:tc>
      </w:tr>
      <w:tr w:rsidR="00223CE8" w:rsidRPr="00944B15" w14:paraId="36635CD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510A69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2AD4879D" w14:textId="77777777" w:rsidR="00223CE8" w:rsidRPr="00944B15" w:rsidRDefault="00223CE8" w:rsidP="002D6DD7">
            <w:pPr>
              <w:spacing w:after="0"/>
              <w:jc w:val="both"/>
              <w:rPr>
                <w:rFonts w:cs="Times New Roman"/>
                <w:szCs w:val="24"/>
              </w:rPr>
            </w:pPr>
            <w:r>
              <w:rPr>
                <w:rFonts w:cs="Times New Roman"/>
                <w:szCs w:val="24"/>
              </w:rPr>
              <w:t>Do not store above 30° C. P</w:t>
            </w:r>
            <w:r w:rsidRPr="00944B15">
              <w:rPr>
                <w:rFonts w:cs="Times New Roman"/>
                <w:szCs w:val="24"/>
              </w:rPr>
              <w:t>rotect from light.</w:t>
            </w:r>
            <w:r w:rsidRPr="00944B15">
              <w:rPr>
                <w:rFonts w:cs="Times New Roman"/>
                <w:szCs w:val="24"/>
                <w:shd w:val="clear" w:color="auto" w:fill="FFFFFF"/>
              </w:rPr>
              <w:t xml:space="preserve"> </w:t>
            </w:r>
          </w:p>
        </w:tc>
      </w:tr>
      <w:tr w:rsidR="00223CE8" w:rsidRPr="00944B15" w14:paraId="375F7BBA"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1CEC7C0B" w14:textId="77777777" w:rsidR="00223CE8" w:rsidRPr="00944B15" w:rsidRDefault="00223CE8" w:rsidP="002D6DD7">
            <w:pPr>
              <w:spacing w:after="0"/>
              <w:jc w:val="both"/>
              <w:rPr>
                <w:rFonts w:cs="Times New Roman"/>
                <w:b/>
                <w:szCs w:val="24"/>
              </w:rPr>
            </w:pPr>
            <w:r w:rsidRPr="00944B15">
              <w:rPr>
                <w:rFonts w:cs="Times New Roman"/>
                <w:b/>
                <w:szCs w:val="24"/>
              </w:rPr>
              <w:t>Phytomenadione (Vitamin K</w:t>
            </w:r>
            <w:r w:rsidRPr="00944B15">
              <w:rPr>
                <w:rFonts w:cs="Times New Roman"/>
                <w:b/>
                <w:szCs w:val="24"/>
                <w:vertAlign w:val="subscript"/>
              </w:rPr>
              <w:t>1</w:t>
            </w:r>
            <w:r w:rsidRPr="00944B15">
              <w:rPr>
                <w:rFonts w:cs="Times New Roman"/>
                <w:b/>
                <w:szCs w:val="24"/>
              </w:rPr>
              <w:t>)</w:t>
            </w:r>
          </w:p>
        </w:tc>
      </w:tr>
      <w:tr w:rsidR="00223CE8" w:rsidRPr="00944B15" w14:paraId="1494CB3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51A5E38"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3F9D6768" w14:textId="77777777" w:rsidR="00223CE8" w:rsidRPr="00944B15" w:rsidRDefault="00223CE8" w:rsidP="002D6DD7">
            <w:pPr>
              <w:spacing w:after="0"/>
              <w:jc w:val="both"/>
              <w:rPr>
                <w:rFonts w:cs="Times New Roman"/>
                <w:szCs w:val="24"/>
              </w:rPr>
            </w:pPr>
            <w:r w:rsidRPr="00944B15">
              <w:rPr>
                <w:rFonts w:cs="Times New Roman"/>
                <w:szCs w:val="24"/>
              </w:rPr>
              <w:t>Vitamin k</w:t>
            </w:r>
          </w:p>
        </w:tc>
      </w:tr>
      <w:tr w:rsidR="00223CE8" w:rsidRPr="00944B15" w14:paraId="07C3757F"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B43B214"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5F13613C" w14:textId="77777777" w:rsidR="00223CE8" w:rsidRPr="00944B15" w:rsidRDefault="00223CE8" w:rsidP="002D6DD7">
            <w:pPr>
              <w:spacing w:after="0"/>
              <w:jc w:val="both"/>
              <w:rPr>
                <w:rFonts w:cs="Times New Roman"/>
                <w:szCs w:val="24"/>
              </w:rPr>
            </w:pPr>
            <w:r w:rsidRPr="00944B15">
              <w:rPr>
                <w:rFonts w:cs="Times New Roman"/>
                <w:szCs w:val="24"/>
              </w:rPr>
              <w:t>Injection: 1 mg/</w:t>
            </w:r>
            <w:r>
              <w:rPr>
                <w:rFonts w:cs="Times New Roman"/>
                <w:szCs w:val="24"/>
              </w:rPr>
              <w:t>ml</w:t>
            </w:r>
            <w:r w:rsidRPr="00944B15">
              <w:rPr>
                <w:rFonts w:cs="Times New Roman"/>
                <w:szCs w:val="24"/>
              </w:rPr>
              <w:t>, 10 mg/</w:t>
            </w:r>
            <w:r>
              <w:rPr>
                <w:rFonts w:cs="Times New Roman"/>
                <w:szCs w:val="24"/>
              </w:rPr>
              <w:t>ml</w:t>
            </w:r>
            <w:r w:rsidRPr="00944B15">
              <w:rPr>
                <w:rFonts w:cs="Times New Roman"/>
                <w:szCs w:val="24"/>
              </w:rPr>
              <w:t xml:space="preserve"> in ampoule.</w:t>
            </w:r>
          </w:p>
          <w:p w14:paraId="05862EF1" w14:textId="77777777" w:rsidR="00223CE8" w:rsidRPr="00944B15" w:rsidRDefault="00223CE8" w:rsidP="002D6DD7">
            <w:pPr>
              <w:spacing w:after="0"/>
              <w:jc w:val="both"/>
              <w:rPr>
                <w:rFonts w:cs="Times New Roman"/>
                <w:szCs w:val="24"/>
              </w:rPr>
            </w:pPr>
            <w:r w:rsidRPr="00944B15">
              <w:rPr>
                <w:rFonts w:cs="Times New Roman"/>
                <w:szCs w:val="24"/>
              </w:rPr>
              <w:t>Tablet: 10 mg.</w:t>
            </w:r>
          </w:p>
        </w:tc>
      </w:tr>
      <w:tr w:rsidR="00223CE8" w:rsidRPr="00944B15" w14:paraId="667C4400"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07F4779"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DE5F1F4"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Anticoagulant-induced prothrombin deficiency caused by coumarin derivatives</w:t>
            </w:r>
          </w:p>
          <w:p w14:paraId="5980075D"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Prophylaxis and therapy of haemorrhagic disease of the newborn</w:t>
            </w:r>
          </w:p>
          <w:p w14:paraId="1FA75FF1"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Hypoprothrombinaemia due to antibacterial therapy</w:t>
            </w:r>
          </w:p>
          <w:p w14:paraId="73185C44"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Hypoprothrombinaemia secondary to factors limiting absorption or synthesis of vitamin K such as obstructive jaundice, biliary fistula, sprue, ulcerative colitis,</w:t>
            </w:r>
          </w:p>
          <w:p w14:paraId="089893FE"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celiac disease, intestinal resection, cystic fibrosis of the pancreas, and regional</w:t>
            </w:r>
          </w:p>
          <w:p w14:paraId="60723157"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enteritis</w:t>
            </w:r>
          </w:p>
          <w:p w14:paraId="17DBCE0B" w14:textId="77777777" w:rsidR="00223CE8" w:rsidRPr="00944B15" w:rsidRDefault="00223CE8" w:rsidP="002D6DD7">
            <w:pPr>
              <w:spacing w:after="0"/>
              <w:jc w:val="both"/>
              <w:rPr>
                <w:rFonts w:eastAsia="Times New Roman" w:cs="Times New Roman"/>
                <w:szCs w:val="24"/>
              </w:rPr>
            </w:pPr>
            <w:r w:rsidRPr="00944B15">
              <w:rPr>
                <w:rFonts w:eastAsia="Times New Roman" w:cs="Times New Roman"/>
                <w:szCs w:val="24"/>
              </w:rPr>
              <w:t>Other drug-induced hypoprothrombinaemia where it is definitely shown that the result is due to interference with vitamin K metabolism, e.g., salicylates.</w:t>
            </w:r>
          </w:p>
        </w:tc>
      </w:tr>
      <w:tr w:rsidR="00223CE8" w:rsidRPr="00944B15" w14:paraId="2F277C5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849A332"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4C067DEB"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Pr>
                <w:rFonts w:cs="Times New Roman"/>
                <w:b/>
                <w:szCs w:val="24"/>
              </w:rPr>
              <w:t>:</w:t>
            </w:r>
          </w:p>
          <w:p w14:paraId="30198886"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lastRenderedPageBreak/>
              <w:t>Anticoagulant - induced prothrombin d</w:t>
            </w:r>
            <w:r w:rsidRPr="00944B15">
              <w:rPr>
                <w:rFonts w:cs="Times New Roman"/>
                <w:b/>
                <w:szCs w:val="24"/>
              </w:rPr>
              <w:t xml:space="preserve">eficiency –caused by </w:t>
            </w:r>
            <w:r>
              <w:rPr>
                <w:rFonts w:cs="Times New Roman"/>
                <w:b/>
                <w:szCs w:val="24"/>
              </w:rPr>
              <w:t>coumarins d</w:t>
            </w:r>
            <w:r w:rsidRPr="00944B15">
              <w:rPr>
                <w:rFonts w:cs="Times New Roman"/>
                <w:b/>
                <w:szCs w:val="24"/>
              </w:rPr>
              <w:t>erivatives</w:t>
            </w:r>
          </w:p>
          <w:p w14:paraId="5E974296" w14:textId="77777777" w:rsidR="00223CE8" w:rsidRDefault="00223CE8" w:rsidP="002D6DD7">
            <w:pPr>
              <w:autoSpaceDE w:val="0"/>
              <w:autoSpaceDN w:val="0"/>
              <w:adjustRightInd w:val="0"/>
              <w:spacing w:after="0"/>
              <w:jc w:val="both"/>
              <w:rPr>
                <w:rFonts w:cs="Times New Roman"/>
                <w:szCs w:val="24"/>
              </w:rPr>
            </w:pPr>
            <w:r w:rsidRPr="00944B15">
              <w:rPr>
                <w:rFonts w:cs="Times New Roman"/>
                <w:szCs w:val="24"/>
              </w:rPr>
              <w:t>IM or slow IV: 2.5mg - 10 mg or up to 25 mg (rarely 50 mg)</w:t>
            </w:r>
          </w:p>
          <w:p w14:paraId="6BE26063"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Oral: </w:t>
            </w:r>
            <w:r w:rsidRPr="007B7EAD">
              <w:rPr>
                <w:rFonts w:cs="Times New Roman"/>
                <w:szCs w:val="24"/>
              </w:rPr>
              <w:t>2.5mg - 10 mg or up to 25 mg (rarely 50 mg)</w:t>
            </w:r>
          </w:p>
          <w:p w14:paraId="6698A562"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Hypoprothro</w:t>
            </w:r>
            <w:r>
              <w:rPr>
                <w:rFonts w:cs="Times New Roman"/>
                <w:b/>
                <w:szCs w:val="24"/>
              </w:rPr>
              <w:t>mbinaemia due to other causes (antibiotics, salicylates or other drugs,</w:t>
            </w:r>
            <w:r w:rsidRPr="00944B15">
              <w:rPr>
                <w:rFonts w:cs="Times New Roman"/>
                <w:b/>
                <w:szCs w:val="24"/>
              </w:rPr>
              <w:t xml:space="preserve"> factors limiting absorption or synthesis)</w:t>
            </w:r>
          </w:p>
          <w:p w14:paraId="090D7E57" w14:textId="77777777" w:rsidR="00223CE8"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 </w:t>
            </w:r>
            <w:r w:rsidRPr="00944B15">
              <w:rPr>
                <w:rFonts w:cs="Times New Roman"/>
                <w:szCs w:val="24"/>
              </w:rPr>
              <w:t>IM or slow IV</w:t>
            </w:r>
            <w:r w:rsidRPr="00944B15">
              <w:rPr>
                <w:rFonts w:cs="Times New Roman"/>
                <w:b/>
                <w:szCs w:val="24"/>
              </w:rPr>
              <w:t xml:space="preserve">: </w:t>
            </w:r>
            <w:r w:rsidRPr="00944B15">
              <w:rPr>
                <w:rFonts w:cs="Times New Roman"/>
                <w:szCs w:val="24"/>
              </w:rPr>
              <w:t>2.5 mg - 25 mg or more (rarely up to 50mg)</w:t>
            </w:r>
          </w:p>
          <w:p w14:paraId="65B48BFF" w14:textId="77777777" w:rsidR="00223CE8" w:rsidRPr="00944B15" w:rsidRDefault="00223CE8" w:rsidP="002D6DD7">
            <w:pPr>
              <w:autoSpaceDE w:val="0"/>
              <w:autoSpaceDN w:val="0"/>
              <w:adjustRightInd w:val="0"/>
              <w:spacing w:after="0"/>
              <w:jc w:val="both"/>
              <w:rPr>
                <w:rFonts w:cs="Times New Roman"/>
                <w:b/>
                <w:szCs w:val="24"/>
              </w:rPr>
            </w:pPr>
            <w:r>
              <w:rPr>
                <w:rFonts w:cs="Times New Roman"/>
                <w:szCs w:val="24"/>
              </w:rPr>
              <w:t xml:space="preserve">Oral: </w:t>
            </w:r>
            <w:r w:rsidRPr="007B7EAD">
              <w:rPr>
                <w:rFonts w:cs="Times New Roman"/>
                <w:szCs w:val="24"/>
              </w:rPr>
              <w:t>2.5mg - 10 mg or up to 25 mg (rarely 50 mg)</w:t>
            </w:r>
          </w:p>
          <w:p w14:paraId="5A6B9EE9"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6DBC325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Prophylaxis of haem</w:t>
            </w:r>
            <w:r>
              <w:rPr>
                <w:rFonts w:cs="Times New Roman"/>
                <w:b/>
                <w:szCs w:val="24"/>
              </w:rPr>
              <w:t>orrhagic disease of the newborn:</w:t>
            </w:r>
            <w:r w:rsidRPr="00944B15">
              <w:rPr>
                <w:rFonts w:cs="Times New Roman"/>
                <w:b/>
                <w:szCs w:val="24"/>
              </w:rPr>
              <w:t xml:space="preserve"> </w:t>
            </w:r>
            <w:r w:rsidRPr="00944B15">
              <w:rPr>
                <w:rFonts w:cs="Times New Roman"/>
                <w:szCs w:val="24"/>
              </w:rPr>
              <w:t>IM</w:t>
            </w:r>
          </w:p>
          <w:p w14:paraId="67E47B2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Neonate: 0.5–1 mg as single dose at birth</w:t>
            </w:r>
          </w:p>
          <w:p w14:paraId="4354E2D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Prophylaxis of haemorrhagic disease of the newborn</w:t>
            </w:r>
            <w:r>
              <w:rPr>
                <w:rFonts w:cs="Times New Roman"/>
                <w:szCs w:val="24"/>
              </w:rPr>
              <w:t>:</w:t>
            </w:r>
            <w:r w:rsidRPr="00944B15">
              <w:rPr>
                <w:rFonts w:cs="Times New Roman"/>
                <w:szCs w:val="24"/>
              </w:rPr>
              <w:t xml:space="preserve"> oral</w:t>
            </w:r>
          </w:p>
          <w:p w14:paraId="2A8EB52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Neonate: 2 mg followed by a second dose after 4–7 days and, for breastfed babies, a third dose after 1 month</w:t>
            </w:r>
          </w:p>
          <w:p w14:paraId="3FC9A19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Prophylaxis of haemorrhagic disease of the newborn</w:t>
            </w:r>
            <w:r>
              <w:rPr>
                <w:rFonts w:cs="Times New Roman"/>
                <w:szCs w:val="24"/>
              </w:rPr>
              <w:t>:</w:t>
            </w:r>
            <w:r w:rsidRPr="00944B15">
              <w:rPr>
                <w:rFonts w:cs="Times New Roman"/>
                <w:szCs w:val="24"/>
              </w:rPr>
              <w:t xml:space="preserve"> IV</w:t>
            </w:r>
          </w:p>
          <w:p w14:paraId="35481B2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Pre-term neonate: 400 micrograms/ kg (maximum 1 mg)</w:t>
            </w:r>
          </w:p>
          <w:p w14:paraId="2A4795F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Haem</w:t>
            </w:r>
            <w:r>
              <w:rPr>
                <w:rFonts w:cs="Times New Roman"/>
                <w:b/>
                <w:szCs w:val="24"/>
              </w:rPr>
              <w:t>orrhagic disease of the newborn:</w:t>
            </w:r>
            <w:r w:rsidRPr="00944B15">
              <w:rPr>
                <w:rFonts w:cs="Times New Roman"/>
                <w:szCs w:val="24"/>
              </w:rPr>
              <w:t xml:space="preserve"> IV</w:t>
            </w:r>
          </w:p>
          <w:p w14:paraId="17501D6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Neonate: 1 mg with further doses if necessary every 8 hours</w:t>
            </w:r>
          </w:p>
          <w:p w14:paraId="77851D5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Warfarin-induced hypoprothrombinaemia with no or minor bleeding</w:t>
            </w:r>
            <w:r>
              <w:rPr>
                <w:rFonts w:cs="Times New Roman"/>
                <w:szCs w:val="24"/>
              </w:rPr>
              <w:t>:</w:t>
            </w:r>
            <w:r w:rsidRPr="00944B15">
              <w:rPr>
                <w:rFonts w:cs="Times New Roman"/>
                <w:szCs w:val="24"/>
              </w:rPr>
              <w:t xml:space="preserve"> IV</w:t>
            </w:r>
          </w:p>
          <w:p w14:paraId="48C33E10" w14:textId="77777777" w:rsidR="00223CE8" w:rsidRPr="00944B15" w:rsidRDefault="00223CE8" w:rsidP="002D6DD7">
            <w:pPr>
              <w:autoSpaceDE w:val="0"/>
              <w:autoSpaceDN w:val="0"/>
              <w:adjustRightInd w:val="0"/>
              <w:spacing w:after="0"/>
              <w:jc w:val="both"/>
              <w:rPr>
                <w:rFonts w:cs="Times New Roman"/>
                <w:szCs w:val="24"/>
              </w:rPr>
            </w:pPr>
            <w:r w:rsidRPr="00D76338">
              <w:rPr>
                <w:rFonts w:cs="Times New Roman"/>
                <w:b/>
                <w:szCs w:val="24"/>
              </w:rPr>
              <w:t>Child 1 month–12 years</w:t>
            </w:r>
            <w:r w:rsidRPr="00944B15">
              <w:rPr>
                <w:rFonts w:cs="Times New Roman"/>
                <w:szCs w:val="24"/>
              </w:rPr>
              <w:t>:15–30 micrograms/ kg (maximum 1 mg) as a single dose, repeated as necessary</w:t>
            </w:r>
          </w:p>
          <w:p w14:paraId="0530D32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Warfarin-induced hypoprothrombinaemia: Reversal of anticoagulation or if significant bleeding, treatment of haemorrhage assoc</w:t>
            </w:r>
            <w:r>
              <w:rPr>
                <w:rFonts w:cs="Times New Roman"/>
                <w:b/>
                <w:szCs w:val="24"/>
              </w:rPr>
              <w:t xml:space="preserve">iated with vitamin K deficiency: </w:t>
            </w:r>
            <w:r w:rsidRPr="00944B15">
              <w:rPr>
                <w:rFonts w:cs="Times New Roman"/>
                <w:szCs w:val="24"/>
              </w:rPr>
              <w:t>IV</w:t>
            </w:r>
          </w:p>
          <w:p w14:paraId="3D20D210" w14:textId="77777777" w:rsidR="00223CE8" w:rsidRPr="00944B15" w:rsidRDefault="00223CE8" w:rsidP="002D6DD7">
            <w:pPr>
              <w:autoSpaceDE w:val="0"/>
              <w:autoSpaceDN w:val="0"/>
              <w:adjustRightInd w:val="0"/>
              <w:spacing w:after="0"/>
              <w:jc w:val="both"/>
              <w:rPr>
                <w:rFonts w:cs="Times New Roman"/>
                <w:szCs w:val="24"/>
              </w:rPr>
            </w:pPr>
            <w:r w:rsidRPr="00D76338">
              <w:rPr>
                <w:rFonts w:cs="Times New Roman"/>
                <w:b/>
                <w:szCs w:val="24"/>
              </w:rPr>
              <w:t>Child 1 month–12 years:</w:t>
            </w:r>
            <w:r w:rsidRPr="00944B15">
              <w:rPr>
                <w:rFonts w:cs="Times New Roman"/>
                <w:szCs w:val="24"/>
              </w:rPr>
              <w:t xml:space="preserve"> 250–300 micrograms/kg (maximum 10 mg) as a single dose</w:t>
            </w:r>
          </w:p>
        </w:tc>
      </w:tr>
      <w:tr w:rsidR="00223CE8" w:rsidRPr="00944B15" w14:paraId="23129FC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8D8F45D"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6234B75" w14:textId="77777777" w:rsidR="00223CE8" w:rsidRPr="00944B15" w:rsidRDefault="00223CE8" w:rsidP="003D3F76">
            <w:pPr>
              <w:numPr>
                <w:ilvl w:val="0"/>
                <w:numId w:val="3"/>
              </w:numPr>
              <w:shd w:val="clear" w:color="auto" w:fill="FFFFFF"/>
              <w:spacing w:after="0"/>
              <w:ind w:left="-360"/>
              <w:jc w:val="both"/>
              <w:rPr>
                <w:rFonts w:cs="Times New Roman"/>
                <w:szCs w:val="24"/>
              </w:rPr>
            </w:pPr>
            <w:r w:rsidRPr="00944B15">
              <w:rPr>
                <w:rFonts w:cs="Times New Roman"/>
                <w:szCs w:val="24"/>
              </w:rPr>
              <w:t xml:space="preserve">pe Hypersensitivity to </w:t>
            </w:r>
            <w:r>
              <w:rPr>
                <w:rFonts w:cs="Times New Roman"/>
                <w:szCs w:val="24"/>
              </w:rPr>
              <w:t>the drug</w:t>
            </w:r>
          </w:p>
        </w:tc>
      </w:tr>
      <w:tr w:rsidR="00223CE8" w:rsidRPr="00944B15" w14:paraId="69DC8E0F"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C88215C"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2D74834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Coumarin anticoagulants</w:t>
            </w:r>
          </w:p>
        </w:tc>
      </w:tr>
      <w:tr w:rsidR="00223CE8" w:rsidRPr="00944B15" w14:paraId="15C08699"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D42C4CB"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15847671"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F</w:t>
            </w:r>
            <w:r w:rsidRPr="00944B15">
              <w:rPr>
                <w:rFonts w:cs="Times New Roman"/>
                <w:szCs w:val="24"/>
              </w:rPr>
              <w:t xml:space="preserve">lushing, dyspnoea, bronchospasm; dizziness, hypotension, respiratory or circulatory collapse, injection site reactions, cyanosis and </w:t>
            </w:r>
            <w:r w:rsidRPr="00944B15">
              <w:rPr>
                <w:rFonts w:cs="Times New Roman"/>
                <w:szCs w:val="24"/>
              </w:rPr>
              <w:lastRenderedPageBreak/>
              <w:t>hyperbilirubinemia (in premature neonates).</w:t>
            </w:r>
          </w:p>
        </w:tc>
      </w:tr>
      <w:tr w:rsidR="00223CE8" w:rsidRPr="00944B15" w14:paraId="75C396A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5F8623E"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74DDA30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Hepatic impairment and not used an antidote to heparin.</w:t>
            </w:r>
          </w:p>
        </w:tc>
      </w:tr>
      <w:tr w:rsidR="00223CE8" w:rsidRPr="00944B15" w14:paraId="6E0A5BC6"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B77B2E0"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6A16215A" w14:textId="77777777" w:rsidR="00223CE8" w:rsidRPr="00944B15" w:rsidRDefault="00223CE8" w:rsidP="002D6DD7">
            <w:pPr>
              <w:spacing w:after="0"/>
              <w:jc w:val="both"/>
              <w:rPr>
                <w:rFonts w:cs="Times New Roman"/>
                <w:szCs w:val="24"/>
              </w:rPr>
            </w:pPr>
            <w:r>
              <w:rPr>
                <w:rFonts w:cs="Times New Roman"/>
                <w:szCs w:val="24"/>
              </w:rPr>
              <w:t>Store below 30°C. Protected from light and d</w:t>
            </w:r>
            <w:r w:rsidRPr="00944B15">
              <w:rPr>
                <w:rFonts w:cs="Times New Roman"/>
                <w:szCs w:val="24"/>
              </w:rPr>
              <w:t>o not freeze.</w:t>
            </w:r>
          </w:p>
        </w:tc>
      </w:tr>
      <w:tr w:rsidR="00223CE8" w:rsidRPr="00944B15" w14:paraId="3E14C86A" w14:textId="77777777" w:rsidTr="002D6DD7">
        <w:trPr>
          <w:gridAfter w:val="1"/>
          <w:wAfter w:w="90" w:type="dxa"/>
        </w:trPr>
        <w:tc>
          <w:tcPr>
            <w:tcW w:w="9918" w:type="dxa"/>
            <w:gridSpan w:val="3"/>
            <w:tcBorders>
              <w:top w:val="single" w:sz="4" w:space="0" w:color="auto"/>
              <w:left w:val="single" w:sz="4" w:space="0" w:color="auto"/>
              <w:bottom w:val="single" w:sz="4" w:space="0" w:color="auto"/>
              <w:right w:val="single" w:sz="4" w:space="0" w:color="auto"/>
            </w:tcBorders>
            <w:hideMark/>
          </w:tcPr>
          <w:p w14:paraId="1E6FB238" w14:textId="77777777" w:rsidR="00223CE8" w:rsidRPr="00944B15" w:rsidRDefault="00223CE8" w:rsidP="002D6DD7">
            <w:pPr>
              <w:spacing w:after="0"/>
              <w:jc w:val="both"/>
              <w:rPr>
                <w:rFonts w:cs="Times New Roman"/>
                <w:b/>
                <w:szCs w:val="24"/>
              </w:rPr>
            </w:pPr>
            <w:r w:rsidRPr="00944B15">
              <w:rPr>
                <w:rFonts w:cs="Times New Roman"/>
                <w:b/>
                <w:szCs w:val="24"/>
              </w:rPr>
              <w:t>Protamine sulfate</w:t>
            </w:r>
          </w:p>
        </w:tc>
      </w:tr>
      <w:tr w:rsidR="00223CE8" w:rsidRPr="00944B15" w14:paraId="7E52A68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E595B95"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051B2B24" w14:textId="77777777" w:rsidR="00223CE8" w:rsidRPr="00944B15" w:rsidRDefault="00223CE8" w:rsidP="002D6DD7">
            <w:pPr>
              <w:spacing w:after="0"/>
              <w:jc w:val="both"/>
              <w:rPr>
                <w:rFonts w:cs="Times New Roman"/>
                <w:szCs w:val="24"/>
              </w:rPr>
            </w:pPr>
            <w:r>
              <w:rPr>
                <w:rFonts w:cs="Times New Roman"/>
                <w:szCs w:val="24"/>
                <w:shd w:val="clear" w:color="auto" w:fill="FFFFFF"/>
              </w:rPr>
              <w:t>Anticoagulant reversal agents, h</w:t>
            </w:r>
            <w:r w:rsidRPr="00944B15">
              <w:rPr>
                <w:rFonts w:cs="Times New Roman"/>
                <w:szCs w:val="24"/>
                <w:shd w:val="clear" w:color="auto" w:fill="FFFFFF"/>
              </w:rPr>
              <w:t>eparin antidote</w:t>
            </w:r>
          </w:p>
        </w:tc>
      </w:tr>
      <w:tr w:rsidR="00223CE8" w:rsidRPr="00944B15" w14:paraId="72938337"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3CC119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06CC9C44" w14:textId="77777777" w:rsidR="00223CE8" w:rsidRPr="00944B15" w:rsidRDefault="00223CE8" w:rsidP="002D6DD7">
            <w:pPr>
              <w:spacing w:after="0"/>
              <w:jc w:val="both"/>
              <w:rPr>
                <w:rFonts w:cs="Times New Roman"/>
                <w:szCs w:val="24"/>
              </w:rPr>
            </w:pPr>
            <w:r w:rsidRPr="00944B15">
              <w:rPr>
                <w:rFonts w:cs="Times New Roman"/>
                <w:szCs w:val="24"/>
              </w:rPr>
              <w:t>Injection: 10 mg/</w:t>
            </w:r>
            <w:r>
              <w:rPr>
                <w:rFonts w:cs="Times New Roman"/>
                <w:szCs w:val="24"/>
              </w:rPr>
              <w:t>ml</w:t>
            </w:r>
            <w:r w:rsidRPr="00944B15">
              <w:rPr>
                <w:rFonts w:cs="Times New Roman"/>
                <w:szCs w:val="24"/>
              </w:rPr>
              <w:t xml:space="preserve"> in 5 </w:t>
            </w:r>
            <w:r>
              <w:rPr>
                <w:rFonts w:cs="Times New Roman"/>
                <w:szCs w:val="24"/>
              </w:rPr>
              <w:t>ml</w:t>
            </w:r>
            <w:r w:rsidRPr="00944B15">
              <w:rPr>
                <w:rFonts w:cs="Times New Roman"/>
                <w:szCs w:val="24"/>
              </w:rPr>
              <w:t xml:space="preserve"> ampoule</w:t>
            </w:r>
          </w:p>
        </w:tc>
      </w:tr>
      <w:tr w:rsidR="00223CE8" w:rsidRPr="00944B15" w14:paraId="1F0DA94B"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01DBCC2"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2FDF27FC" w14:textId="77777777" w:rsidR="00223CE8" w:rsidRPr="00944B15" w:rsidRDefault="00223CE8" w:rsidP="002D6DD7">
            <w:pPr>
              <w:pStyle w:val="Default"/>
              <w:spacing w:line="360" w:lineRule="auto"/>
              <w:jc w:val="both"/>
              <w:rPr>
                <w:color w:val="auto"/>
              </w:rPr>
            </w:pPr>
            <w:r w:rsidRPr="00944B15">
              <w:rPr>
                <w:color w:val="auto"/>
              </w:rPr>
              <w:t xml:space="preserve"> Antidote to over dosage with heparin.</w:t>
            </w:r>
          </w:p>
        </w:tc>
      </w:tr>
      <w:tr w:rsidR="00223CE8" w:rsidRPr="00944B15" w14:paraId="73022805"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A24654E"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114F50FB"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sidRPr="00944B15">
              <w:rPr>
                <w:rFonts w:cs="Times New Roman"/>
                <w:szCs w:val="24"/>
              </w:rPr>
              <w:t xml:space="preserve"> </w:t>
            </w:r>
          </w:p>
          <w:p w14:paraId="2AE27963"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Over dosage with intravenous injection of unfractionated heparin: </w:t>
            </w:r>
          </w:p>
          <w:p w14:paraId="4D579A6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IV Injection</w:t>
            </w:r>
          </w:p>
          <w:p w14:paraId="34CAB67C"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Dose to be administered at a rate not exceeding 5 mg/minute, 1mg neutralises 80–100 units heparin when given within 15 minutes; maximum 50 mg.</w:t>
            </w:r>
          </w:p>
          <w:p w14:paraId="5FC789D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Over dosage with intravenous infusion of unfractionated heparin:</w:t>
            </w:r>
            <w:r w:rsidRPr="00944B15">
              <w:rPr>
                <w:rFonts w:cs="Times New Roman"/>
                <w:szCs w:val="24"/>
              </w:rPr>
              <w:t xml:space="preserve"> </w:t>
            </w:r>
          </w:p>
          <w:p w14:paraId="04FED77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IV Injection</w:t>
            </w:r>
          </w:p>
          <w:p w14:paraId="3F9BCC96"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25–50 mg, to be administered once heparin infusion stopped at a rate not exceeding 5 mg/minute</w:t>
            </w:r>
          </w:p>
          <w:p w14:paraId="57047BB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Over dosage with subcutaneous injection of unfractionated heparin: </w:t>
            </w:r>
          </w:p>
          <w:p w14:paraId="620B2AE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IV Injection</w:t>
            </w:r>
          </w:p>
          <w:p w14:paraId="61795FF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Initially 25–50 mg, to be administered at a rate not exceeding 5 mg/minute, 1mg neutralizes 100 units heparin, then (by intravenous infusion), any remaining dose to be administered over 8–16 hours; maximum 50 mg per course</w:t>
            </w:r>
          </w:p>
          <w:p w14:paraId="08647416"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Over dosage with subcutaneous injection of low molecular weight heparin:</w:t>
            </w:r>
          </w:p>
          <w:p w14:paraId="10C6172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IV Injection, or by continuous IV Infusion</w:t>
            </w:r>
          </w:p>
          <w:p w14:paraId="1A74197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Dose to be administered by intermittent intravenous injection at a rate not exceeding 5 mg/minute, 1mg neutralizes approx. 100 units low molecular weight heparin: maximum 50mg</w:t>
            </w:r>
          </w:p>
        </w:tc>
      </w:tr>
      <w:tr w:rsidR="00223CE8" w:rsidRPr="00944B15" w14:paraId="18E40E72"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4C64BB1"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36529327" w14:textId="77777777" w:rsidR="00223CE8" w:rsidRPr="00944B15" w:rsidRDefault="00223CE8" w:rsidP="002D6DD7">
            <w:pPr>
              <w:pStyle w:val="NormalWeb"/>
              <w:spacing w:before="0" w:beforeAutospacing="0" w:after="0" w:afterAutospacing="0" w:line="360" w:lineRule="auto"/>
              <w:jc w:val="both"/>
            </w:pPr>
            <w:r w:rsidRPr="00944B15">
              <w:t>Hypersensitivity</w:t>
            </w:r>
            <w:r>
              <w:t xml:space="preserve"> to the drug, </w:t>
            </w:r>
            <w:r w:rsidRPr="00944B15">
              <w:t>previous treatment with protamine or protamine insulin, fish allergies, and men who are infertile or who have</w:t>
            </w:r>
            <w:r>
              <w:t xml:space="preserve"> </w:t>
            </w:r>
            <w:r>
              <w:lastRenderedPageBreak/>
              <w:t>had a vasectomy</w:t>
            </w:r>
            <w:r w:rsidRPr="00944B15">
              <w:t>.</w:t>
            </w:r>
          </w:p>
        </w:tc>
      </w:tr>
      <w:tr w:rsidR="00223CE8" w:rsidRPr="00944B15" w14:paraId="69C91C0C"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00AE5A3"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3D1856D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Mifepristone, macrolides, barbiturates, sulphonamides, thyroid hormones, quinine and heparin </w:t>
            </w:r>
          </w:p>
        </w:tc>
      </w:tr>
      <w:tr w:rsidR="00223CE8" w:rsidRPr="00944B15" w14:paraId="20168BC4"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6345F5F0"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0DF8E28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Nausea, vomiting, flushing, hypotension, bradycardia, dyspnoea, allergic reactions including angioedema and anaphylaxis; pulmonary hypertension and pulmonary oedema. </w:t>
            </w:r>
          </w:p>
        </w:tc>
      </w:tr>
      <w:tr w:rsidR="00223CE8" w:rsidRPr="00944B15" w14:paraId="4391AC9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1BFC9F51"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4578BA58"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A</w:t>
            </w:r>
            <w:r w:rsidRPr="00944B15">
              <w:rPr>
                <w:rFonts w:cs="Times New Roman"/>
                <w:szCs w:val="24"/>
              </w:rPr>
              <w:t>llergy to fish</w:t>
            </w:r>
          </w:p>
        </w:tc>
      </w:tr>
      <w:tr w:rsidR="00223CE8" w:rsidRPr="00944B15" w14:paraId="6C222C0F"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69708E7"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2B3D5CE9" w14:textId="77777777" w:rsidR="00223CE8" w:rsidRPr="00944B15" w:rsidRDefault="00223CE8" w:rsidP="002D6DD7">
            <w:pPr>
              <w:spacing w:after="0"/>
              <w:jc w:val="both"/>
              <w:rPr>
                <w:rFonts w:cs="Times New Roman"/>
                <w:szCs w:val="24"/>
              </w:rPr>
            </w:pPr>
            <w:r>
              <w:rPr>
                <w:rFonts w:cs="Times New Roman"/>
                <w:szCs w:val="24"/>
              </w:rPr>
              <w:t>Store below 30° C.</w:t>
            </w:r>
            <w:r w:rsidRPr="00944B15">
              <w:rPr>
                <w:rFonts w:cs="Times New Roman"/>
                <w:szCs w:val="24"/>
              </w:rPr>
              <w:t xml:space="preserve"> Protect from light and moisture</w:t>
            </w:r>
            <w:r>
              <w:rPr>
                <w:rFonts w:cs="Times New Roman"/>
                <w:szCs w:val="24"/>
              </w:rPr>
              <w:t>.</w:t>
            </w:r>
          </w:p>
        </w:tc>
      </w:tr>
      <w:tr w:rsidR="00223CE8" w:rsidRPr="00944B15" w14:paraId="28C1C2C3" w14:textId="77777777" w:rsidTr="002D6DD7">
        <w:trPr>
          <w:gridAfter w:val="1"/>
          <w:wAfter w:w="90" w:type="dxa"/>
          <w:trHeight w:val="46"/>
        </w:trPr>
        <w:tc>
          <w:tcPr>
            <w:tcW w:w="9918" w:type="dxa"/>
            <w:gridSpan w:val="3"/>
            <w:tcBorders>
              <w:top w:val="single" w:sz="4" w:space="0" w:color="auto"/>
              <w:left w:val="single" w:sz="4" w:space="0" w:color="auto"/>
              <w:bottom w:val="single" w:sz="4" w:space="0" w:color="auto"/>
              <w:right w:val="single" w:sz="4" w:space="0" w:color="auto"/>
            </w:tcBorders>
            <w:hideMark/>
          </w:tcPr>
          <w:p w14:paraId="76013E59" w14:textId="77777777" w:rsidR="00223CE8" w:rsidRPr="00944B15" w:rsidRDefault="00223CE8" w:rsidP="002D6DD7">
            <w:pPr>
              <w:spacing w:after="0"/>
              <w:jc w:val="both"/>
              <w:rPr>
                <w:rFonts w:cs="Times New Roman"/>
                <w:b/>
                <w:szCs w:val="24"/>
              </w:rPr>
            </w:pPr>
            <w:r w:rsidRPr="00944B15">
              <w:rPr>
                <w:rFonts w:cs="Times New Roman"/>
                <w:b/>
                <w:szCs w:val="24"/>
              </w:rPr>
              <w:t>Tranexamic acid</w:t>
            </w:r>
          </w:p>
        </w:tc>
      </w:tr>
      <w:tr w:rsidR="00223CE8" w:rsidRPr="00944B15" w14:paraId="46E7366A"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C597202"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313" w:type="dxa"/>
            <w:gridSpan w:val="2"/>
            <w:tcBorders>
              <w:top w:val="single" w:sz="4" w:space="0" w:color="auto"/>
              <w:left w:val="single" w:sz="4" w:space="0" w:color="auto"/>
              <w:bottom w:val="single" w:sz="4" w:space="0" w:color="auto"/>
              <w:right w:val="single" w:sz="4" w:space="0" w:color="auto"/>
            </w:tcBorders>
            <w:hideMark/>
          </w:tcPr>
          <w:p w14:paraId="7E776EEB" w14:textId="77777777" w:rsidR="00223CE8" w:rsidRPr="00944B15" w:rsidRDefault="00223CE8" w:rsidP="003D3F76">
            <w:pPr>
              <w:numPr>
                <w:ilvl w:val="0"/>
                <w:numId w:val="4"/>
              </w:numPr>
              <w:spacing w:after="0"/>
              <w:ind w:left="-360"/>
              <w:jc w:val="both"/>
              <w:rPr>
                <w:rFonts w:cs="Times New Roman"/>
                <w:szCs w:val="24"/>
              </w:rPr>
            </w:pPr>
            <w:r w:rsidRPr="00944B15">
              <w:rPr>
                <w:rStyle w:val="drug-classes"/>
                <w:rFonts w:cs="Times New Roman"/>
                <w:szCs w:val="24"/>
              </w:rPr>
              <w:t> a   Anti-fibrinolytic agents</w:t>
            </w:r>
          </w:p>
        </w:tc>
      </w:tr>
      <w:tr w:rsidR="00223CE8" w:rsidRPr="00944B15" w14:paraId="7986C86C"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F1F62E4"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313" w:type="dxa"/>
            <w:gridSpan w:val="2"/>
            <w:tcBorders>
              <w:top w:val="single" w:sz="4" w:space="0" w:color="auto"/>
              <w:left w:val="single" w:sz="4" w:space="0" w:color="auto"/>
              <w:bottom w:val="single" w:sz="4" w:space="0" w:color="auto"/>
              <w:right w:val="single" w:sz="4" w:space="0" w:color="auto"/>
            </w:tcBorders>
            <w:hideMark/>
          </w:tcPr>
          <w:p w14:paraId="62218B42" w14:textId="77777777" w:rsidR="00223CE8" w:rsidRPr="00944B15" w:rsidRDefault="00223CE8" w:rsidP="002D6DD7">
            <w:pPr>
              <w:spacing w:after="0"/>
              <w:jc w:val="both"/>
              <w:rPr>
                <w:rFonts w:cs="Times New Roman"/>
                <w:szCs w:val="24"/>
              </w:rPr>
            </w:pPr>
            <w:r w:rsidRPr="00944B15">
              <w:rPr>
                <w:rFonts w:cs="Times New Roman"/>
                <w:szCs w:val="24"/>
              </w:rPr>
              <w:t xml:space="preserve">Tablet: 500 mg, 650 mg, </w:t>
            </w:r>
          </w:p>
          <w:p w14:paraId="3BE8594A" w14:textId="77777777" w:rsidR="00223CE8" w:rsidRPr="00944B15" w:rsidRDefault="00223CE8" w:rsidP="002D6DD7">
            <w:pPr>
              <w:spacing w:after="0"/>
              <w:jc w:val="both"/>
              <w:rPr>
                <w:rFonts w:cs="Times New Roman"/>
                <w:szCs w:val="24"/>
              </w:rPr>
            </w:pPr>
            <w:r w:rsidRPr="00944B15">
              <w:rPr>
                <w:rFonts w:cs="Times New Roman"/>
                <w:szCs w:val="24"/>
              </w:rPr>
              <w:t xml:space="preserve">Capsule: 250 mg,  </w:t>
            </w:r>
          </w:p>
          <w:p w14:paraId="5BB63E74" w14:textId="77777777" w:rsidR="00223CE8" w:rsidRPr="00944B15" w:rsidRDefault="00223CE8" w:rsidP="002D6DD7">
            <w:pPr>
              <w:spacing w:after="0"/>
              <w:jc w:val="both"/>
              <w:rPr>
                <w:rFonts w:cs="Times New Roman"/>
                <w:szCs w:val="24"/>
              </w:rPr>
            </w:pPr>
            <w:r w:rsidRPr="00944B15">
              <w:rPr>
                <w:rFonts w:cs="Times New Roman"/>
                <w:szCs w:val="24"/>
              </w:rPr>
              <w:t>Injection: 100 mg/</w:t>
            </w:r>
            <w:r>
              <w:rPr>
                <w:rFonts w:cs="Times New Roman"/>
                <w:szCs w:val="24"/>
              </w:rPr>
              <w:t>ml</w:t>
            </w:r>
            <w:r w:rsidRPr="00944B15">
              <w:rPr>
                <w:rFonts w:cs="Times New Roman"/>
                <w:szCs w:val="24"/>
              </w:rPr>
              <w:t xml:space="preserve"> in 10 </w:t>
            </w:r>
            <w:r>
              <w:rPr>
                <w:rFonts w:cs="Times New Roman"/>
                <w:szCs w:val="24"/>
              </w:rPr>
              <w:t>ml</w:t>
            </w:r>
            <w:r w:rsidRPr="00944B15">
              <w:rPr>
                <w:rFonts w:cs="Times New Roman"/>
                <w:szCs w:val="24"/>
              </w:rPr>
              <w:t xml:space="preserve"> ampoule</w:t>
            </w:r>
          </w:p>
        </w:tc>
      </w:tr>
      <w:tr w:rsidR="00223CE8" w:rsidRPr="00944B15" w14:paraId="0E4D0381"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2C3C0BC"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6AC5BC8B"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 xml:space="preserve">Treatment of general and local fibrinolysis, Menorrhagia, Hereditary angioedema, epistaxis </w:t>
            </w:r>
          </w:p>
          <w:p w14:paraId="3EDF0EF1"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Prevention and treatment of significant haemorrhage following trauma</w:t>
            </w:r>
          </w:p>
        </w:tc>
      </w:tr>
      <w:tr w:rsidR="00223CE8" w:rsidRPr="00944B15" w14:paraId="45E4C3BD"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3B8C1812"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08844AD3"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Adult: </w:t>
            </w:r>
          </w:p>
          <w:p w14:paraId="563743C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Local fibrinolysis: </w:t>
            </w:r>
          </w:p>
          <w:p w14:paraId="21306CA2"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Oral:  1–1.5 g 2–3 times a day, alternatively15–25 mg/kg 2–3 times a day.</w:t>
            </w:r>
          </w:p>
          <w:p w14:paraId="59C44AEE" w14:textId="77777777" w:rsidR="00223CE8" w:rsidRPr="00944B15" w:rsidRDefault="00223CE8" w:rsidP="002D6DD7">
            <w:pPr>
              <w:spacing w:after="0"/>
              <w:jc w:val="both"/>
              <w:rPr>
                <w:rFonts w:cs="Times New Roman"/>
                <w:szCs w:val="24"/>
              </w:rPr>
            </w:pPr>
            <w:r w:rsidRPr="00944B15">
              <w:rPr>
                <w:rFonts w:cs="Times New Roman"/>
                <w:szCs w:val="24"/>
              </w:rPr>
              <w:t>By Slow IV Injection: Initially 0.5–1 g 2–3 times a day, to be administered at a rate not exceeding 100 mg/minute, followed by (by continuous intravenous infusion) 25–50 mg/kg if required, dose to be given over 24 hours.</w:t>
            </w:r>
          </w:p>
          <w:p w14:paraId="5A7B829F" w14:textId="77777777" w:rsidR="00223CE8" w:rsidRPr="00944B15" w:rsidRDefault="00223CE8" w:rsidP="002D6DD7">
            <w:pPr>
              <w:spacing w:after="0"/>
              <w:jc w:val="both"/>
              <w:rPr>
                <w:rFonts w:cs="Times New Roman"/>
                <w:szCs w:val="24"/>
              </w:rPr>
            </w:pPr>
            <w:r w:rsidRPr="00944B15">
              <w:rPr>
                <w:rFonts w:cs="Times New Roman"/>
                <w:b/>
                <w:szCs w:val="24"/>
              </w:rPr>
              <w:t>General fibrinolysis:</w:t>
            </w:r>
            <w:r w:rsidRPr="00944B15">
              <w:rPr>
                <w:rFonts w:cs="Times New Roman"/>
                <w:szCs w:val="24"/>
              </w:rPr>
              <w:t xml:space="preserve"> </w:t>
            </w:r>
          </w:p>
          <w:p w14:paraId="4F4EF8C2" w14:textId="77777777" w:rsidR="00223CE8" w:rsidRPr="00944B15" w:rsidRDefault="00223CE8" w:rsidP="002D6DD7">
            <w:pPr>
              <w:spacing w:after="0"/>
              <w:jc w:val="both"/>
              <w:rPr>
                <w:rFonts w:cs="Times New Roman"/>
                <w:szCs w:val="24"/>
              </w:rPr>
            </w:pPr>
            <w:r w:rsidRPr="00944B15">
              <w:rPr>
                <w:rFonts w:cs="Times New Roman"/>
                <w:szCs w:val="24"/>
              </w:rPr>
              <w:t>By Slow Intravenous Injection: 1 g every 6–8 hours, alternatively 15 mg/kg every 6–8 hours, dose to be given at a rate not exceeding 100 mg/minute</w:t>
            </w:r>
          </w:p>
          <w:p w14:paraId="23AA130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Menorrhagia: </w:t>
            </w:r>
          </w:p>
          <w:p w14:paraId="4EA7CFC0"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Oral: 1 g 3 times a day for up to 4 days, to be initiated when menstruation has started; maximum 4 g per day.</w:t>
            </w:r>
          </w:p>
          <w:p w14:paraId="16D9D00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lastRenderedPageBreak/>
              <w:t xml:space="preserve">Hereditary angioedema: </w:t>
            </w:r>
          </w:p>
          <w:p w14:paraId="3D0F00E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Oral: 1–1.5 g 2–3 times a day, for short-term prophylaxis of hereditary angioedema, tranexamic acid is started several days before planned procedures</w:t>
            </w:r>
            <w:r w:rsidRPr="00944B15">
              <w:rPr>
                <w:rFonts w:cs="Times New Roman"/>
                <w:b/>
                <w:szCs w:val="24"/>
              </w:rPr>
              <w:t xml:space="preserve"> </w:t>
            </w:r>
            <w:r w:rsidRPr="00944B15">
              <w:rPr>
                <w:rFonts w:cs="Times New Roman"/>
                <w:szCs w:val="24"/>
              </w:rPr>
              <w:t>which may trigger an acute attack of hereditary angioedema (e.g. dental work) and continued for 2–5 days afterwards</w:t>
            </w:r>
          </w:p>
          <w:p w14:paraId="03A3502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 xml:space="preserve">Epistaxis: </w:t>
            </w:r>
          </w:p>
          <w:p w14:paraId="2B46A9A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Oral: 1</w:t>
            </w:r>
            <w:r>
              <w:rPr>
                <w:rFonts w:cs="Times New Roman"/>
                <w:szCs w:val="24"/>
              </w:rPr>
              <w:t>-1.5</w:t>
            </w:r>
            <w:r w:rsidRPr="00944B15">
              <w:rPr>
                <w:rFonts w:cs="Times New Roman"/>
                <w:szCs w:val="24"/>
              </w:rPr>
              <w:t xml:space="preserve"> g 3 times a day for 7 days.</w:t>
            </w:r>
          </w:p>
          <w:p w14:paraId="50E7626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and treatment of significant haemorrhage following trauma:</w:t>
            </w:r>
          </w:p>
          <w:p w14:paraId="57B7EBF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Slow IV Injection: Loading dose 1 g to be given over 10 minutes, treatment should commence within 8 hours of injury, followed by (by intravenous infusion) 1 g to be given over 8 hours</w:t>
            </w:r>
          </w:p>
        </w:tc>
      </w:tr>
      <w:tr w:rsidR="00223CE8" w:rsidRPr="00944B15" w14:paraId="050FA852"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74361567"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59E0184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acquired defective colour vision, subarachnoid haemorrhage, active intravascular clotting and convulsions.</w:t>
            </w:r>
          </w:p>
        </w:tc>
      </w:tr>
      <w:tr w:rsidR="00223CE8" w:rsidRPr="00944B15" w14:paraId="19B3F959"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44B90D6F"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313" w:type="dxa"/>
            <w:gridSpan w:val="2"/>
            <w:tcBorders>
              <w:top w:val="single" w:sz="4" w:space="0" w:color="auto"/>
              <w:left w:val="single" w:sz="4" w:space="0" w:color="auto"/>
              <w:bottom w:val="single" w:sz="4" w:space="0" w:color="auto"/>
              <w:right w:val="single" w:sz="4" w:space="0" w:color="auto"/>
            </w:tcBorders>
            <w:hideMark/>
          </w:tcPr>
          <w:p w14:paraId="0A45254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Anticoagulants such as warfarin, heparin; factor XI, estrogens, tretinoin and NSAIDs such as aspirin (high dose), ibuprofen, naproxen</w:t>
            </w:r>
          </w:p>
        </w:tc>
      </w:tr>
      <w:tr w:rsidR="00223CE8" w:rsidRPr="00944B15" w14:paraId="084641C3"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8719C08"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313" w:type="dxa"/>
            <w:gridSpan w:val="2"/>
            <w:tcBorders>
              <w:top w:val="single" w:sz="4" w:space="0" w:color="auto"/>
              <w:left w:val="single" w:sz="4" w:space="0" w:color="auto"/>
              <w:bottom w:val="single" w:sz="4" w:space="0" w:color="auto"/>
              <w:right w:val="single" w:sz="4" w:space="0" w:color="auto"/>
            </w:tcBorders>
            <w:hideMark/>
          </w:tcPr>
          <w:p w14:paraId="297BAA7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Diarrhoea, nausea, vomiting, allergic dermatitis, colour vision </w:t>
            </w:r>
            <w:r w:rsidR="00E90E67" w:rsidRPr="00944B15">
              <w:rPr>
                <w:rFonts w:cs="Times New Roman"/>
                <w:szCs w:val="24"/>
              </w:rPr>
              <w:t>changes</w:t>
            </w:r>
            <w:r w:rsidRPr="00944B15">
              <w:rPr>
                <w:rFonts w:cs="Times New Roman"/>
                <w:szCs w:val="24"/>
              </w:rPr>
              <w:t>, hypotension, embolism and thrombosis.</w:t>
            </w:r>
          </w:p>
        </w:tc>
      </w:tr>
      <w:tr w:rsidR="00223CE8" w:rsidRPr="00944B15" w14:paraId="330A4C28"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0A559CB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313" w:type="dxa"/>
            <w:gridSpan w:val="2"/>
            <w:tcBorders>
              <w:top w:val="single" w:sz="4" w:space="0" w:color="auto"/>
              <w:left w:val="single" w:sz="4" w:space="0" w:color="auto"/>
              <w:bottom w:val="single" w:sz="4" w:space="0" w:color="auto"/>
              <w:right w:val="single" w:sz="4" w:space="0" w:color="auto"/>
            </w:tcBorders>
            <w:hideMark/>
          </w:tcPr>
          <w:p w14:paraId="116A389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Renal impairment, vascular disease, </w:t>
            </w:r>
            <w:r>
              <w:rPr>
                <w:rFonts w:cs="Times New Roman"/>
                <w:szCs w:val="24"/>
              </w:rPr>
              <w:t>thromboembolism</w:t>
            </w:r>
            <w:r w:rsidRPr="00944B15">
              <w:rPr>
                <w:rFonts w:cs="Times New Roman"/>
                <w:szCs w:val="24"/>
              </w:rPr>
              <w:t xml:space="preserve"> and DIC</w:t>
            </w:r>
          </w:p>
        </w:tc>
      </w:tr>
      <w:tr w:rsidR="00223CE8" w:rsidRPr="00944B15" w14:paraId="64E741C2" w14:textId="77777777" w:rsidTr="002D6DD7">
        <w:trPr>
          <w:gridAfter w:val="1"/>
          <w:wAfter w:w="90" w:type="dxa"/>
        </w:trPr>
        <w:tc>
          <w:tcPr>
            <w:tcW w:w="2605" w:type="dxa"/>
            <w:tcBorders>
              <w:top w:val="single" w:sz="4" w:space="0" w:color="auto"/>
              <w:left w:val="single" w:sz="4" w:space="0" w:color="auto"/>
              <w:bottom w:val="single" w:sz="4" w:space="0" w:color="auto"/>
              <w:right w:val="single" w:sz="4" w:space="0" w:color="auto"/>
            </w:tcBorders>
            <w:hideMark/>
          </w:tcPr>
          <w:p w14:paraId="2D1856B3"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313" w:type="dxa"/>
            <w:gridSpan w:val="2"/>
            <w:tcBorders>
              <w:top w:val="single" w:sz="4" w:space="0" w:color="auto"/>
              <w:left w:val="single" w:sz="4" w:space="0" w:color="auto"/>
              <w:bottom w:val="single" w:sz="4" w:space="0" w:color="auto"/>
              <w:right w:val="single" w:sz="4" w:space="0" w:color="auto"/>
            </w:tcBorders>
            <w:hideMark/>
          </w:tcPr>
          <w:p w14:paraId="19C2E566" w14:textId="77777777" w:rsidR="00223CE8" w:rsidRPr="00944B15" w:rsidRDefault="00223CE8" w:rsidP="002D6DD7">
            <w:pPr>
              <w:spacing w:after="0"/>
              <w:jc w:val="both"/>
              <w:rPr>
                <w:rFonts w:cs="Times New Roman"/>
                <w:szCs w:val="24"/>
              </w:rPr>
            </w:pPr>
            <w:r>
              <w:rPr>
                <w:rFonts w:cs="Times New Roman"/>
                <w:szCs w:val="24"/>
              </w:rPr>
              <w:t>Store below 30° C.</w:t>
            </w:r>
            <w:r w:rsidRPr="00944B15">
              <w:rPr>
                <w:rFonts w:cs="Times New Roman"/>
                <w:szCs w:val="24"/>
              </w:rPr>
              <w:t xml:space="preserve"> Protect from light and moisture.</w:t>
            </w:r>
          </w:p>
        </w:tc>
      </w:tr>
      <w:tr w:rsidR="00223CE8" w:rsidRPr="00944B15" w14:paraId="2AB06323" w14:textId="77777777" w:rsidTr="002D6DD7">
        <w:tc>
          <w:tcPr>
            <w:tcW w:w="10008" w:type="dxa"/>
            <w:gridSpan w:val="4"/>
            <w:tcBorders>
              <w:top w:val="single" w:sz="4" w:space="0" w:color="auto"/>
              <w:left w:val="single" w:sz="4" w:space="0" w:color="auto"/>
              <w:bottom w:val="single" w:sz="4" w:space="0" w:color="auto"/>
              <w:right w:val="single" w:sz="4" w:space="0" w:color="auto"/>
            </w:tcBorders>
            <w:hideMark/>
          </w:tcPr>
          <w:p w14:paraId="16D2A92A" w14:textId="77777777" w:rsidR="00223CE8" w:rsidRPr="00944B15" w:rsidRDefault="00223CE8" w:rsidP="002D6DD7">
            <w:pPr>
              <w:spacing w:after="0"/>
              <w:jc w:val="both"/>
              <w:rPr>
                <w:rFonts w:cs="Times New Roman"/>
                <w:b/>
                <w:szCs w:val="24"/>
              </w:rPr>
            </w:pPr>
            <w:r w:rsidRPr="00944B15">
              <w:rPr>
                <w:rFonts w:cs="Times New Roman"/>
                <w:b/>
                <w:szCs w:val="24"/>
              </w:rPr>
              <w:t>Desmopressin</w:t>
            </w:r>
          </w:p>
        </w:tc>
      </w:tr>
      <w:tr w:rsidR="00223CE8" w:rsidRPr="00944B15" w14:paraId="631B8CA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BD7F60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403" w:type="dxa"/>
            <w:gridSpan w:val="3"/>
            <w:tcBorders>
              <w:top w:val="single" w:sz="4" w:space="0" w:color="auto"/>
              <w:left w:val="single" w:sz="4" w:space="0" w:color="auto"/>
              <w:bottom w:val="single" w:sz="4" w:space="0" w:color="auto"/>
              <w:right w:val="single" w:sz="4" w:space="0" w:color="auto"/>
            </w:tcBorders>
          </w:tcPr>
          <w:p w14:paraId="3705585C" w14:textId="77777777" w:rsidR="00223CE8" w:rsidRPr="00944B15" w:rsidRDefault="00223CE8" w:rsidP="002D6DD7">
            <w:pPr>
              <w:spacing w:after="0"/>
              <w:jc w:val="both"/>
              <w:rPr>
                <w:rFonts w:cs="Times New Roman"/>
                <w:szCs w:val="24"/>
              </w:rPr>
            </w:pPr>
            <w:r w:rsidRPr="00944B15">
              <w:rPr>
                <w:rStyle w:val="drug-classes"/>
                <w:rFonts w:cs="Times New Roman"/>
                <w:szCs w:val="24"/>
              </w:rPr>
              <w:t> </w:t>
            </w:r>
            <w:r w:rsidRPr="00944B15">
              <w:rPr>
                <w:rStyle w:val="Hyperlink"/>
                <w:rFonts w:cs="Times New Roman"/>
                <w:color w:val="auto"/>
                <w:szCs w:val="24"/>
                <w:u w:val="none"/>
              </w:rPr>
              <w:t>Non-peptide antidiuretic hormone</w:t>
            </w:r>
          </w:p>
        </w:tc>
      </w:tr>
      <w:tr w:rsidR="00223CE8" w:rsidRPr="00944B15" w14:paraId="4894EF4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2EFA43B"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403" w:type="dxa"/>
            <w:gridSpan w:val="3"/>
            <w:tcBorders>
              <w:top w:val="single" w:sz="4" w:space="0" w:color="auto"/>
              <w:left w:val="single" w:sz="4" w:space="0" w:color="auto"/>
              <w:bottom w:val="single" w:sz="4" w:space="0" w:color="auto"/>
              <w:right w:val="single" w:sz="4" w:space="0" w:color="auto"/>
            </w:tcBorders>
            <w:hideMark/>
          </w:tcPr>
          <w:p w14:paraId="2E7C42CD" w14:textId="77777777" w:rsidR="00223CE8" w:rsidRPr="00944B15" w:rsidRDefault="00223CE8" w:rsidP="002D6DD7">
            <w:pPr>
              <w:spacing w:after="0"/>
              <w:jc w:val="both"/>
              <w:rPr>
                <w:rFonts w:cs="Times New Roman"/>
                <w:szCs w:val="24"/>
              </w:rPr>
            </w:pPr>
            <w:r w:rsidRPr="00944B15">
              <w:rPr>
                <w:rFonts w:cs="Times New Roman"/>
                <w:szCs w:val="24"/>
              </w:rPr>
              <w:t>Injection: 4 micrograms/</w:t>
            </w:r>
            <w:r>
              <w:rPr>
                <w:rFonts w:cs="Times New Roman"/>
                <w:szCs w:val="24"/>
              </w:rPr>
              <w:t>ml</w:t>
            </w:r>
            <w:r w:rsidRPr="00944B15">
              <w:rPr>
                <w:rFonts w:cs="Times New Roman"/>
                <w:szCs w:val="24"/>
              </w:rPr>
              <w:t xml:space="preserve"> (as acetate) in 1 </w:t>
            </w:r>
            <w:r>
              <w:rPr>
                <w:rFonts w:cs="Times New Roman"/>
                <w:szCs w:val="24"/>
              </w:rPr>
              <w:t>ml</w:t>
            </w:r>
            <w:r w:rsidRPr="00944B15">
              <w:rPr>
                <w:rFonts w:cs="Times New Roman"/>
                <w:szCs w:val="24"/>
              </w:rPr>
              <w:t xml:space="preserve"> ampoule, </w:t>
            </w:r>
          </w:p>
          <w:p w14:paraId="701B845E" w14:textId="77777777" w:rsidR="00223CE8" w:rsidRPr="00944B15" w:rsidRDefault="00223CE8" w:rsidP="002D6DD7">
            <w:pPr>
              <w:spacing w:after="0"/>
              <w:jc w:val="both"/>
              <w:rPr>
                <w:rFonts w:cs="Times New Roman"/>
                <w:szCs w:val="24"/>
              </w:rPr>
            </w:pPr>
            <w:r w:rsidRPr="00944B15">
              <w:rPr>
                <w:rFonts w:cs="Times New Roman"/>
                <w:szCs w:val="24"/>
              </w:rPr>
              <w:t>Nasal spray: 10 micrograms (as acetate) per dose,</w:t>
            </w:r>
          </w:p>
          <w:p w14:paraId="6AB1F871" w14:textId="77777777" w:rsidR="00223CE8" w:rsidRPr="00944B15" w:rsidRDefault="00223CE8" w:rsidP="002D6DD7">
            <w:pPr>
              <w:spacing w:after="0"/>
              <w:jc w:val="both"/>
              <w:rPr>
                <w:rFonts w:cs="Times New Roman"/>
                <w:szCs w:val="24"/>
              </w:rPr>
            </w:pPr>
            <w:r w:rsidRPr="00944B15">
              <w:rPr>
                <w:rFonts w:cs="Times New Roman"/>
                <w:szCs w:val="24"/>
              </w:rPr>
              <w:t>Tablet: 60 mcg, 120 mcg, 240 mcg</w:t>
            </w:r>
          </w:p>
        </w:tc>
      </w:tr>
      <w:tr w:rsidR="00223CE8" w:rsidRPr="00944B15" w14:paraId="15EFE6F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14AC43AC"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403" w:type="dxa"/>
            <w:gridSpan w:val="3"/>
            <w:tcBorders>
              <w:top w:val="single" w:sz="4" w:space="0" w:color="auto"/>
              <w:left w:val="single" w:sz="4" w:space="0" w:color="auto"/>
              <w:bottom w:val="single" w:sz="4" w:space="0" w:color="auto"/>
              <w:right w:val="single" w:sz="4" w:space="0" w:color="auto"/>
            </w:tcBorders>
            <w:hideMark/>
          </w:tcPr>
          <w:p w14:paraId="2FACDEE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Management of mild to moderate haemophilia and von Willebrand’s Disease</w:t>
            </w:r>
          </w:p>
        </w:tc>
      </w:tr>
      <w:tr w:rsidR="00223CE8" w:rsidRPr="00944B15" w14:paraId="103B280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F7D2BB0"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403" w:type="dxa"/>
            <w:gridSpan w:val="3"/>
            <w:tcBorders>
              <w:top w:val="single" w:sz="4" w:space="0" w:color="auto"/>
              <w:left w:val="single" w:sz="4" w:space="0" w:color="auto"/>
              <w:bottom w:val="single" w:sz="4" w:space="0" w:color="auto"/>
              <w:right w:val="single" w:sz="4" w:space="0" w:color="auto"/>
            </w:tcBorders>
            <w:hideMark/>
          </w:tcPr>
          <w:p w14:paraId="7001C61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p>
          <w:p w14:paraId="0F1A5C2C"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Mild to moderate haemophilia and von Willebrand’s disease: </w:t>
            </w:r>
          </w:p>
          <w:p w14:paraId="014EAD6D" w14:textId="77777777" w:rsidR="00223CE8" w:rsidRDefault="00223CE8" w:rsidP="002D6DD7">
            <w:pPr>
              <w:autoSpaceDE w:val="0"/>
              <w:autoSpaceDN w:val="0"/>
              <w:adjustRightInd w:val="0"/>
              <w:spacing w:after="0"/>
              <w:jc w:val="both"/>
              <w:rPr>
                <w:rFonts w:cs="Times New Roman"/>
                <w:szCs w:val="24"/>
              </w:rPr>
            </w:pPr>
            <w:r w:rsidRPr="00944B15">
              <w:rPr>
                <w:rFonts w:cs="Times New Roman"/>
                <w:szCs w:val="24"/>
              </w:rPr>
              <w:t xml:space="preserve">By Intranasal administration: </w:t>
            </w:r>
          </w:p>
          <w:p w14:paraId="425FCCDE" w14:textId="77777777" w:rsidR="00223CE8" w:rsidRDefault="00223CE8" w:rsidP="002D6DD7">
            <w:pPr>
              <w:autoSpaceDE w:val="0"/>
              <w:autoSpaceDN w:val="0"/>
              <w:adjustRightInd w:val="0"/>
              <w:spacing w:after="0"/>
              <w:jc w:val="both"/>
              <w:rPr>
                <w:rFonts w:cs="Times New Roman"/>
                <w:szCs w:val="24"/>
              </w:rPr>
            </w:pPr>
            <w:r w:rsidRPr="00D76338">
              <w:rPr>
                <w:rFonts w:cs="Times New Roman"/>
                <w:b/>
                <w:szCs w:val="24"/>
              </w:rPr>
              <w:t>Patient weight &lt;50 kg:</w:t>
            </w:r>
            <w:r w:rsidRPr="00F23815">
              <w:rPr>
                <w:rFonts w:cs="Times New Roman"/>
                <w:szCs w:val="24"/>
              </w:rPr>
              <w:t xml:space="preserve"> 150 mcg</w:t>
            </w:r>
            <w:r>
              <w:rPr>
                <w:rFonts w:cs="Times New Roman"/>
                <w:szCs w:val="24"/>
              </w:rPr>
              <w:t xml:space="preserve"> (1 spray) in a single nostril.</w:t>
            </w:r>
          </w:p>
          <w:p w14:paraId="7043492C" w14:textId="77777777" w:rsidR="00223CE8" w:rsidRPr="00D76338" w:rsidRDefault="00223CE8" w:rsidP="002D6DD7">
            <w:pPr>
              <w:autoSpaceDE w:val="0"/>
              <w:autoSpaceDN w:val="0"/>
              <w:adjustRightInd w:val="0"/>
              <w:spacing w:after="0"/>
              <w:jc w:val="both"/>
              <w:rPr>
                <w:rFonts w:cs="Times New Roman"/>
                <w:szCs w:val="24"/>
              </w:rPr>
            </w:pPr>
            <w:r w:rsidRPr="00D76338">
              <w:rPr>
                <w:rFonts w:cs="Times New Roman"/>
                <w:b/>
                <w:szCs w:val="24"/>
              </w:rPr>
              <w:lastRenderedPageBreak/>
              <w:t xml:space="preserve">Patient weight </w:t>
            </w:r>
            <w:r w:rsidRPr="00D76338">
              <w:rPr>
                <w:rFonts w:cs="Times New Roman" w:hint="eastAsia"/>
                <w:b/>
                <w:szCs w:val="24"/>
              </w:rPr>
              <w:t>≥</w:t>
            </w:r>
            <w:r w:rsidRPr="00D76338">
              <w:rPr>
                <w:rFonts w:cs="Times New Roman"/>
                <w:b/>
                <w:szCs w:val="24"/>
              </w:rPr>
              <w:t>50 kg:</w:t>
            </w:r>
            <w:r w:rsidRPr="00F23815">
              <w:rPr>
                <w:rFonts w:cs="Times New Roman" w:hint="eastAsia"/>
                <w:szCs w:val="24"/>
              </w:rPr>
              <w:t xml:space="preserve"> 150 mcg (1 spray) i</w:t>
            </w:r>
            <w:r>
              <w:rPr>
                <w:rFonts w:cs="Times New Roman" w:hint="eastAsia"/>
                <w:szCs w:val="24"/>
              </w:rPr>
              <w:t xml:space="preserve">n each nostril (total dose: 300 </w:t>
            </w:r>
            <w:r w:rsidRPr="00F23815">
              <w:rPr>
                <w:rFonts w:cs="Times New Roman" w:hint="eastAsia"/>
                <w:szCs w:val="24"/>
              </w:rPr>
              <w:t>mcg).</w:t>
            </w:r>
          </w:p>
          <w:p w14:paraId="605B1132"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szCs w:val="24"/>
              </w:rPr>
              <w:t xml:space="preserve">By IV Infusion, or By SC Injection: </w:t>
            </w:r>
            <w:r>
              <w:rPr>
                <w:rFonts w:cs="Times New Roman"/>
                <w:szCs w:val="24"/>
              </w:rPr>
              <w:t>0.3microgram</w:t>
            </w:r>
            <w:r w:rsidRPr="00944B15">
              <w:rPr>
                <w:rFonts w:cs="Times New Roman"/>
                <w:szCs w:val="24"/>
              </w:rPr>
              <w:t>/kg for 1 dose</w:t>
            </w:r>
            <w:r>
              <w:rPr>
                <w:rFonts w:cs="Times New Roman"/>
                <w:szCs w:val="24"/>
              </w:rPr>
              <w:t xml:space="preserve"> over 15- 30 min</w:t>
            </w:r>
            <w:r w:rsidRPr="00944B15">
              <w:rPr>
                <w:rFonts w:cs="Times New Roman"/>
                <w:szCs w:val="24"/>
              </w:rPr>
              <w:t xml:space="preserve">, to be administered immediately </w:t>
            </w:r>
            <w:r>
              <w:rPr>
                <w:rFonts w:cs="Times New Roman"/>
                <w:szCs w:val="24"/>
              </w:rPr>
              <w:t xml:space="preserve">30 min </w:t>
            </w:r>
            <w:r w:rsidRPr="00944B15">
              <w:rPr>
                <w:rFonts w:cs="Times New Roman"/>
                <w:szCs w:val="24"/>
              </w:rPr>
              <w:t>before surgery or after trauma; may be repeated at intervals of 12 hours</w:t>
            </w:r>
          </w:p>
          <w:p w14:paraId="20AFA0E1"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Fibrinolytic response testing:  </w:t>
            </w:r>
          </w:p>
          <w:p w14:paraId="0CBB98E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Intranasal:</w:t>
            </w:r>
            <w:r w:rsidRPr="00944B15">
              <w:rPr>
                <w:rFonts w:cs="Times New Roman"/>
                <w:b/>
                <w:szCs w:val="24"/>
              </w:rPr>
              <w:t xml:space="preserve"> </w:t>
            </w:r>
            <w:r w:rsidRPr="00944B15">
              <w:rPr>
                <w:rFonts w:cs="Times New Roman"/>
                <w:szCs w:val="24"/>
              </w:rPr>
              <w:t>300 micrograms, blood to be sampled after1 hour for fibrinolytic activity, one 150 microgram spray to be administered into each nostril.</w:t>
            </w:r>
          </w:p>
          <w:p w14:paraId="13E696F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By SC/IV Injection: 300 nanograms/kg for 1 dose, blood to be sampled after 20 minutes for fibrinolytic activity.</w:t>
            </w:r>
          </w:p>
        </w:tc>
      </w:tr>
      <w:tr w:rsidR="00223CE8" w:rsidRPr="00944B15" w14:paraId="38B40EC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7C40C8"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403" w:type="dxa"/>
            <w:gridSpan w:val="3"/>
            <w:tcBorders>
              <w:top w:val="single" w:sz="4" w:space="0" w:color="auto"/>
              <w:left w:val="single" w:sz="4" w:space="0" w:color="auto"/>
              <w:bottom w:val="single" w:sz="4" w:space="0" w:color="auto"/>
              <w:right w:val="single" w:sz="4" w:space="0" w:color="auto"/>
            </w:tcBorders>
            <w:hideMark/>
          </w:tcPr>
          <w:p w14:paraId="61CE0C2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hyponatremi</w:t>
            </w:r>
            <w:r>
              <w:rPr>
                <w:rFonts w:cs="Times New Roman"/>
                <w:szCs w:val="24"/>
              </w:rPr>
              <w:t>a or history of hyponatremia,</w:t>
            </w:r>
            <w:r w:rsidRPr="00944B15">
              <w:rPr>
                <w:rFonts w:cs="Times New Roman"/>
                <w:szCs w:val="24"/>
              </w:rPr>
              <w:t xml:space="preserve"> moderate to severe renal impairment.</w:t>
            </w:r>
          </w:p>
        </w:tc>
      </w:tr>
      <w:tr w:rsidR="00223CE8" w:rsidRPr="00944B15" w14:paraId="26FAFF1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EA8ACE1"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403" w:type="dxa"/>
            <w:gridSpan w:val="3"/>
            <w:tcBorders>
              <w:top w:val="single" w:sz="4" w:space="0" w:color="auto"/>
              <w:left w:val="single" w:sz="4" w:space="0" w:color="auto"/>
              <w:bottom w:val="single" w:sz="4" w:space="0" w:color="auto"/>
              <w:right w:val="single" w:sz="4" w:space="0" w:color="auto"/>
            </w:tcBorders>
            <w:hideMark/>
          </w:tcPr>
          <w:p w14:paraId="57FD2ED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Tricyclic antidepressants, selective serotonin re-uptake inhibitors, chlorpromazine and carbamazepine, NSAIDs, clofibrate and antihypertensive.</w:t>
            </w:r>
          </w:p>
        </w:tc>
      </w:tr>
      <w:tr w:rsidR="00223CE8" w:rsidRPr="00944B15" w14:paraId="2524C8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6190168"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403" w:type="dxa"/>
            <w:gridSpan w:val="3"/>
            <w:tcBorders>
              <w:top w:val="single" w:sz="4" w:space="0" w:color="auto"/>
              <w:left w:val="single" w:sz="4" w:space="0" w:color="auto"/>
              <w:bottom w:val="single" w:sz="4" w:space="0" w:color="auto"/>
              <w:right w:val="single" w:sz="4" w:space="0" w:color="auto"/>
            </w:tcBorders>
            <w:hideMark/>
          </w:tcPr>
          <w:p w14:paraId="0857A36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Hyponatremia, headache, nausea, skin and general allergic reactions, conjunctivitis, asthenia and hypertension.</w:t>
            </w:r>
          </w:p>
        </w:tc>
      </w:tr>
      <w:tr w:rsidR="00223CE8" w:rsidRPr="00944B15" w14:paraId="5127A08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2F18D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403" w:type="dxa"/>
            <w:gridSpan w:val="3"/>
            <w:tcBorders>
              <w:top w:val="single" w:sz="4" w:space="0" w:color="auto"/>
              <w:left w:val="single" w:sz="4" w:space="0" w:color="auto"/>
              <w:bottom w:val="single" w:sz="4" w:space="0" w:color="auto"/>
              <w:right w:val="single" w:sz="4" w:space="0" w:color="auto"/>
            </w:tcBorders>
            <w:hideMark/>
          </w:tcPr>
          <w:p w14:paraId="1CD9233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Type IIB von Willebrand disease, in patients with habitual or psychogenic polydipsia, </w:t>
            </w:r>
            <w:r>
              <w:rPr>
                <w:rFonts w:cs="Times New Roman"/>
                <w:szCs w:val="24"/>
              </w:rPr>
              <w:t>acute myocardial infarction,</w:t>
            </w:r>
            <w:r w:rsidRPr="00944B15">
              <w:rPr>
                <w:rFonts w:cs="Times New Roman"/>
                <w:szCs w:val="24"/>
              </w:rPr>
              <w:t xml:space="preserve"> cerebrovascular thrombosis and pregnancy.</w:t>
            </w:r>
          </w:p>
        </w:tc>
      </w:tr>
      <w:tr w:rsidR="00223CE8" w:rsidRPr="00944B15" w14:paraId="241B83D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84769A9"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403" w:type="dxa"/>
            <w:gridSpan w:val="3"/>
            <w:tcBorders>
              <w:top w:val="single" w:sz="4" w:space="0" w:color="auto"/>
              <w:left w:val="single" w:sz="4" w:space="0" w:color="auto"/>
              <w:bottom w:val="single" w:sz="4" w:space="0" w:color="auto"/>
              <w:right w:val="single" w:sz="4" w:space="0" w:color="auto"/>
            </w:tcBorders>
            <w:hideMark/>
          </w:tcPr>
          <w:p w14:paraId="66AD5ED2" w14:textId="77777777" w:rsidR="00223CE8" w:rsidRPr="00944B15" w:rsidRDefault="00223CE8" w:rsidP="002D6DD7">
            <w:pPr>
              <w:spacing w:after="0"/>
              <w:jc w:val="both"/>
              <w:rPr>
                <w:rFonts w:cs="Times New Roman"/>
                <w:szCs w:val="24"/>
              </w:rPr>
            </w:pPr>
            <w:r>
              <w:rPr>
                <w:rFonts w:cs="Times New Roman"/>
                <w:szCs w:val="24"/>
              </w:rPr>
              <w:t>Store below 30° C. P</w:t>
            </w:r>
            <w:r w:rsidRPr="00944B15">
              <w:rPr>
                <w:rFonts w:cs="Times New Roman"/>
                <w:szCs w:val="24"/>
              </w:rPr>
              <w:t>rotect from light and moisture.</w:t>
            </w:r>
          </w:p>
        </w:tc>
      </w:tr>
    </w:tbl>
    <w:p w14:paraId="4E9CC77C" w14:textId="77777777" w:rsidR="00223CE8" w:rsidRDefault="00223CE8" w:rsidP="00223CE8">
      <w:pPr>
        <w:pStyle w:val="ListParagraph"/>
        <w:spacing w:line="360" w:lineRule="auto"/>
        <w:ind w:left="360" w:firstLine="0"/>
        <w:rPr>
          <w:b/>
          <w:szCs w:val="24"/>
        </w:rPr>
      </w:pPr>
    </w:p>
    <w:p w14:paraId="6F9DC2BA" w14:textId="77777777" w:rsidR="00E90E67" w:rsidRDefault="00E90E67">
      <w:pPr>
        <w:spacing w:line="259" w:lineRule="auto"/>
        <w:rPr>
          <w:rFonts w:eastAsiaTheme="majorEastAsia" w:cs="Times New Roman"/>
          <w:b/>
          <w:bCs/>
          <w:kern w:val="0"/>
          <w:sz w:val="28"/>
          <w:szCs w:val="28"/>
          <w:lang w:val="en-US" w:eastAsia="en-US"/>
        </w:rPr>
      </w:pPr>
      <w:r>
        <w:rPr>
          <w:rFonts w:cs="Times New Roman"/>
        </w:rPr>
        <w:br w:type="page"/>
      </w:r>
    </w:p>
    <w:p w14:paraId="12443BE1" w14:textId="77777777" w:rsidR="00223CE8" w:rsidRPr="00E90E67" w:rsidRDefault="00E90E67" w:rsidP="00E90E67">
      <w:pPr>
        <w:pStyle w:val="Heading1"/>
        <w:numPr>
          <w:ilvl w:val="0"/>
          <w:numId w:val="25"/>
        </w:numPr>
        <w:spacing w:after="240"/>
      </w:pPr>
      <w:bookmarkStart w:id="161" w:name="_Toc179490381"/>
      <w:r w:rsidRPr="00E90E67">
        <w:lastRenderedPageBreak/>
        <w:t xml:space="preserve">Blood Products </w:t>
      </w:r>
      <w:r>
        <w:t>o</w:t>
      </w:r>
      <w:r w:rsidRPr="00E90E67">
        <w:t xml:space="preserve">f Human Origin </w:t>
      </w:r>
      <w:r>
        <w:t>a</w:t>
      </w:r>
      <w:r w:rsidRPr="00E90E67">
        <w:t>nd Plasma Substitutes</w:t>
      </w:r>
      <w:bookmarkEnd w:id="161"/>
    </w:p>
    <w:p w14:paraId="5EB9E633" w14:textId="77777777" w:rsidR="00223CE8" w:rsidRPr="00E90E67" w:rsidRDefault="00223CE8" w:rsidP="00E90E67">
      <w:pPr>
        <w:pStyle w:val="Heading2"/>
        <w:spacing w:before="240" w:after="240"/>
      </w:pPr>
      <w:bookmarkStart w:id="162" w:name="_Toc179490382"/>
      <w:r w:rsidRPr="00E90E67">
        <w:t xml:space="preserve">Human </w:t>
      </w:r>
      <w:r w:rsidR="00E90E67" w:rsidRPr="00E90E67">
        <w:t>i</w:t>
      </w:r>
      <w:r w:rsidRPr="00E90E67">
        <w:t>mmunoglobulins</w:t>
      </w:r>
      <w:bookmarkEnd w:id="162"/>
    </w:p>
    <w:p w14:paraId="1CC12CF6" w14:textId="77777777" w:rsidR="00223CE8" w:rsidRPr="00944B15" w:rsidRDefault="00223CE8" w:rsidP="00223CE8">
      <w:pPr>
        <w:spacing w:after="0"/>
        <w:jc w:val="both"/>
        <w:rPr>
          <w:rFonts w:cs="Times New Roman"/>
          <w:szCs w:val="24"/>
        </w:rPr>
      </w:pPr>
      <w:r w:rsidRPr="00944B15">
        <w:rPr>
          <w:rFonts w:cs="Times New Roman"/>
          <w:szCs w:val="24"/>
          <w:shd w:val="clear" w:color="auto" w:fill="FFFFFF"/>
        </w:rPr>
        <w:t xml:space="preserve">Human immunoglobulins, also known as antibodies, are essential components of the immune system responsible for recognizing and neutralizing foreign invaders such as bacteria, viruses, and toxins. </w:t>
      </w:r>
      <w:r w:rsidRPr="00944B15">
        <w:rPr>
          <w:rFonts w:cs="Times New Roman"/>
          <w:szCs w:val="24"/>
        </w:rPr>
        <w:t>Human immunoglobulins are manufactured from pooled plasma donations from healthy donors using various procedures (enzymatic and/or chemical treatment as well as chromatographic techniques). Immunoglobulin preparations for subcutaneous or intramuscular (SC/IMIG) and intravenous (IVIG) application differ with respect to manufacturing, protein content and tolerance. These immunoglobulin preparations are used therapeutically to treat various immune deficiencies, autoimmune disorders, and certain inflammatory conditions</w:t>
      </w:r>
    </w:p>
    <w:p w14:paraId="39E6AB90" w14:textId="77777777" w:rsidR="00223CE8" w:rsidRPr="00944B15" w:rsidRDefault="00223CE8" w:rsidP="00223CE8">
      <w:pPr>
        <w:spacing w:after="0"/>
        <w:jc w:val="both"/>
        <w:rPr>
          <w:rFonts w:eastAsia="Times New Roman" w:cs="Times New Roman"/>
          <w:szCs w:val="24"/>
        </w:rPr>
      </w:pPr>
      <w:r w:rsidRPr="00944B15">
        <w:rPr>
          <w:rFonts w:eastAsia="Times New Roman" w:cs="Times New Roman"/>
          <w:szCs w:val="24"/>
        </w:rPr>
        <w:t>Overall, human immunoglobulins are vital components of the immune system, providing protection against a wide range of pathogens and contributing to the maintenance of overall health and immunity.</w:t>
      </w:r>
    </w:p>
    <w:p w14:paraId="6150971E" w14:textId="77777777" w:rsidR="00223CE8" w:rsidRPr="00944B15" w:rsidRDefault="00223CE8" w:rsidP="00223CE8">
      <w:pPr>
        <w:spacing w:after="0"/>
        <w:jc w:val="both"/>
        <w:rPr>
          <w:rFonts w:cs="Times New Roman"/>
          <w:szCs w:val="24"/>
        </w:rPr>
      </w:pPr>
    </w:p>
    <w:tbl>
      <w:tblPr>
        <w:tblW w:w="9355" w:type="dxa"/>
        <w:tblLook w:val="04A0" w:firstRow="1" w:lastRow="0" w:firstColumn="1" w:lastColumn="0" w:noHBand="0" w:noVBand="1"/>
      </w:tblPr>
      <w:tblGrid>
        <w:gridCol w:w="2605"/>
        <w:gridCol w:w="6750"/>
      </w:tblGrid>
      <w:tr w:rsidR="00223CE8" w:rsidRPr="00944B15" w14:paraId="13F72EF5" w14:textId="77777777" w:rsidTr="002D6DD7">
        <w:tc>
          <w:tcPr>
            <w:tcW w:w="9355" w:type="dxa"/>
            <w:gridSpan w:val="2"/>
            <w:tcBorders>
              <w:top w:val="single" w:sz="4" w:space="0" w:color="auto"/>
              <w:left w:val="single" w:sz="4" w:space="0" w:color="auto"/>
              <w:bottom w:val="single" w:sz="4" w:space="0" w:color="auto"/>
              <w:right w:val="single" w:sz="4" w:space="0" w:color="auto"/>
            </w:tcBorders>
          </w:tcPr>
          <w:p w14:paraId="6BC231A3" w14:textId="77777777" w:rsidR="00223CE8" w:rsidRPr="00944B15" w:rsidRDefault="00223CE8" w:rsidP="002D6DD7">
            <w:pPr>
              <w:spacing w:after="0"/>
              <w:jc w:val="both"/>
              <w:rPr>
                <w:rFonts w:cs="Times New Roman"/>
                <w:b/>
                <w:szCs w:val="24"/>
              </w:rPr>
            </w:pPr>
            <w:r w:rsidRPr="00944B15">
              <w:rPr>
                <w:rFonts w:cs="Times New Roman"/>
                <w:b/>
                <w:szCs w:val="24"/>
              </w:rPr>
              <w:t>Anti-D immunoglobulin</w:t>
            </w:r>
          </w:p>
        </w:tc>
      </w:tr>
      <w:tr w:rsidR="00223CE8" w:rsidRPr="00944B15" w14:paraId="6DC6DC7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D1207C"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4DD7E05B" w14:textId="77777777" w:rsidR="00223CE8" w:rsidRPr="00944B15" w:rsidRDefault="00223CE8" w:rsidP="002D6DD7">
            <w:pPr>
              <w:spacing w:after="0"/>
              <w:jc w:val="both"/>
              <w:rPr>
                <w:rFonts w:cs="Times New Roman"/>
                <w:szCs w:val="24"/>
              </w:rPr>
            </w:pPr>
            <w:r w:rsidRPr="00944B15">
              <w:rPr>
                <w:rFonts w:cs="Times New Roman"/>
                <w:szCs w:val="24"/>
              </w:rPr>
              <w:t>Human Immunoglobulins</w:t>
            </w:r>
          </w:p>
        </w:tc>
      </w:tr>
      <w:tr w:rsidR="00223CE8" w:rsidRPr="00944B15" w14:paraId="1D6B5A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103F602"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1001501E" w14:textId="77777777" w:rsidR="00223CE8" w:rsidRPr="00944B15" w:rsidRDefault="00223CE8" w:rsidP="002D6DD7">
            <w:pPr>
              <w:spacing w:after="0"/>
              <w:jc w:val="both"/>
              <w:rPr>
                <w:rFonts w:cs="Times New Roman"/>
                <w:szCs w:val="24"/>
              </w:rPr>
            </w:pPr>
            <w:r w:rsidRPr="00944B15">
              <w:rPr>
                <w:rFonts w:cs="Times New Roman"/>
                <w:szCs w:val="24"/>
              </w:rPr>
              <w:t>Injection: 250 micrograms in single dose vial; 300 micrograms in single dose vial</w:t>
            </w:r>
          </w:p>
        </w:tc>
      </w:tr>
      <w:tr w:rsidR="00223CE8" w:rsidRPr="00944B15" w14:paraId="6F8AF74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8A2FC2"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625708A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Prevention of Rh(D) immunisation in Rh(D) negative childbearing age women</w:t>
            </w:r>
          </w:p>
          <w:p w14:paraId="3FF377F6" w14:textId="77777777" w:rsidR="00223CE8" w:rsidRPr="00944B15" w:rsidRDefault="00223CE8" w:rsidP="003D3F76">
            <w:pPr>
              <w:pStyle w:val="ListParagraph"/>
              <w:numPr>
                <w:ilvl w:val="0"/>
                <w:numId w:val="7"/>
              </w:numPr>
              <w:adjustRightInd w:val="0"/>
              <w:spacing w:line="360" w:lineRule="auto"/>
              <w:ind w:left="0"/>
              <w:rPr>
                <w:szCs w:val="24"/>
              </w:rPr>
            </w:pPr>
            <w:r w:rsidRPr="00944B15">
              <w:rPr>
                <w:szCs w:val="24"/>
              </w:rPr>
              <w:t>Antenatal prophylaxis</w:t>
            </w:r>
          </w:p>
          <w:p w14:paraId="7A4DDFEC" w14:textId="77777777" w:rsidR="00223CE8" w:rsidRPr="00944B15" w:rsidRDefault="00223CE8" w:rsidP="002D6DD7">
            <w:pPr>
              <w:adjustRightInd w:val="0"/>
              <w:spacing w:after="0"/>
              <w:jc w:val="both"/>
              <w:rPr>
                <w:rFonts w:cs="Times New Roman"/>
                <w:szCs w:val="24"/>
              </w:rPr>
            </w:pPr>
            <w:r w:rsidRPr="00944B15">
              <w:rPr>
                <w:rFonts w:cs="Times New Roman"/>
                <w:szCs w:val="24"/>
              </w:rPr>
              <w:t>Planned antenatal prophylaxis</w:t>
            </w:r>
          </w:p>
          <w:p w14:paraId="18944C7C" w14:textId="77777777" w:rsidR="00223CE8" w:rsidRPr="00944B15" w:rsidRDefault="00223CE8" w:rsidP="003D3F76">
            <w:pPr>
              <w:pStyle w:val="ListParagraph"/>
              <w:numPr>
                <w:ilvl w:val="0"/>
                <w:numId w:val="7"/>
              </w:numPr>
              <w:adjustRightInd w:val="0"/>
              <w:spacing w:line="360" w:lineRule="auto"/>
              <w:ind w:left="0"/>
              <w:rPr>
                <w:szCs w:val="24"/>
              </w:rPr>
            </w:pPr>
            <w:r w:rsidRPr="00944B15">
              <w:rPr>
                <w:szCs w:val="24"/>
              </w:rPr>
              <w:t xml:space="preserve">Antenatal prophylaxis following complications of pregnancy </w:t>
            </w:r>
          </w:p>
          <w:p w14:paraId="0C46EC52" w14:textId="77777777" w:rsidR="00223CE8" w:rsidRPr="00944B15" w:rsidRDefault="00223CE8" w:rsidP="003D3F76">
            <w:pPr>
              <w:pStyle w:val="ListParagraph"/>
              <w:numPr>
                <w:ilvl w:val="0"/>
                <w:numId w:val="7"/>
              </w:numPr>
              <w:adjustRightInd w:val="0"/>
              <w:spacing w:line="360" w:lineRule="auto"/>
              <w:ind w:left="0"/>
              <w:rPr>
                <w:szCs w:val="24"/>
              </w:rPr>
            </w:pPr>
            <w:r w:rsidRPr="00944B15">
              <w:rPr>
                <w:szCs w:val="24"/>
              </w:rPr>
              <w:t>Postnatal prophylaxis</w:t>
            </w:r>
          </w:p>
          <w:p w14:paraId="17E4ACE8" w14:textId="77777777" w:rsidR="00223CE8" w:rsidRDefault="00223CE8" w:rsidP="002D6DD7">
            <w:pPr>
              <w:adjustRightInd w:val="0"/>
              <w:spacing w:after="0"/>
              <w:jc w:val="both"/>
              <w:rPr>
                <w:rFonts w:cs="Times New Roman"/>
                <w:szCs w:val="24"/>
              </w:rPr>
            </w:pPr>
            <w:r w:rsidRPr="00944B15">
              <w:rPr>
                <w:rFonts w:cs="Times New Roman"/>
                <w:szCs w:val="24"/>
              </w:rPr>
              <w:t>Delivery of a Rh(D) positive (D, D</w:t>
            </w:r>
            <w:r w:rsidRPr="00944B15">
              <w:rPr>
                <w:rFonts w:cs="Times New Roman"/>
                <w:szCs w:val="24"/>
                <w:vertAlign w:val="superscript"/>
              </w:rPr>
              <w:t>weak</w:t>
            </w:r>
            <w:r w:rsidRPr="00944B15">
              <w:rPr>
                <w:rFonts w:cs="Times New Roman"/>
                <w:szCs w:val="24"/>
              </w:rPr>
              <w:t>, D</w:t>
            </w:r>
            <w:r w:rsidRPr="00944B15">
              <w:rPr>
                <w:rFonts w:cs="Times New Roman"/>
                <w:szCs w:val="24"/>
                <w:vertAlign w:val="superscript"/>
              </w:rPr>
              <w:t>partial</w:t>
            </w:r>
            <w:r w:rsidRPr="00944B15">
              <w:rPr>
                <w:rFonts w:cs="Times New Roman"/>
                <w:szCs w:val="24"/>
              </w:rPr>
              <w:t>) baby</w:t>
            </w:r>
          </w:p>
          <w:p w14:paraId="3AC9ECB7" w14:textId="77777777" w:rsidR="00223CE8" w:rsidRPr="00944B15" w:rsidRDefault="00223CE8" w:rsidP="002D6DD7">
            <w:pPr>
              <w:adjustRightInd w:val="0"/>
              <w:spacing w:after="0"/>
              <w:jc w:val="both"/>
              <w:rPr>
                <w:rFonts w:cs="Times New Roman"/>
                <w:szCs w:val="24"/>
              </w:rPr>
            </w:pPr>
            <w:r>
              <w:rPr>
                <w:rFonts w:cs="Times New Roman"/>
                <w:szCs w:val="24"/>
              </w:rPr>
              <w:t>Immune thrombocytopenia</w:t>
            </w:r>
          </w:p>
        </w:tc>
      </w:tr>
      <w:tr w:rsidR="00223CE8" w:rsidRPr="00944B15" w14:paraId="3BDAC03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13E4879"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750" w:type="dxa"/>
            <w:tcBorders>
              <w:top w:val="single" w:sz="4" w:space="0" w:color="auto"/>
              <w:left w:val="single" w:sz="4" w:space="0" w:color="auto"/>
              <w:bottom w:val="single" w:sz="4" w:space="0" w:color="auto"/>
              <w:right w:val="single" w:sz="4" w:space="0" w:color="auto"/>
            </w:tcBorders>
            <w:hideMark/>
          </w:tcPr>
          <w:p w14:paraId="0D6F1B68" w14:textId="77777777" w:rsidR="00223CE8" w:rsidRPr="00E90E67" w:rsidRDefault="00223CE8" w:rsidP="002D6DD7">
            <w:pPr>
              <w:autoSpaceDE w:val="0"/>
              <w:autoSpaceDN w:val="0"/>
              <w:adjustRightInd w:val="0"/>
              <w:spacing w:after="0"/>
              <w:jc w:val="both"/>
              <w:rPr>
                <w:rFonts w:cs="Times New Roman"/>
                <w:szCs w:val="24"/>
              </w:rPr>
            </w:pPr>
            <w:r w:rsidRPr="00944B15">
              <w:rPr>
                <w:rFonts w:cs="Times New Roman"/>
                <w:b/>
                <w:szCs w:val="24"/>
              </w:rPr>
              <w:t>Prevention of Rh(D) immunisation in Rh(D) negative women</w:t>
            </w:r>
            <w:r w:rsidR="00E90E67">
              <w:rPr>
                <w:rFonts w:cs="Times New Roman"/>
                <w:b/>
                <w:szCs w:val="24"/>
              </w:rPr>
              <w:t xml:space="preserve">, </w:t>
            </w:r>
            <w:r w:rsidRPr="00E90E67">
              <w:rPr>
                <w:rFonts w:cs="Times New Roman"/>
                <w:szCs w:val="24"/>
              </w:rPr>
              <w:t>IM</w:t>
            </w:r>
            <w:r w:rsidR="00E90E67">
              <w:rPr>
                <w:rFonts w:cs="Times New Roman"/>
                <w:szCs w:val="24"/>
              </w:rPr>
              <w:t>:</w:t>
            </w:r>
          </w:p>
          <w:p w14:paraId="7A7B294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Antenatal prophylaxis: Administered doses range from 50 – 330 </w:t>
            </w:r>
            <w:r w:rsidRPr="00944B15">
              <w:rPr>
                <w:rFonts w:cs="Times New Roman"/>
                <w:szCs w:val="24"/>
              </w:rPr>
              <w:lastRenderedPageBreak/>
              <w:t>micrograms or 250 - 1650 IU.</w:t>
            </w:r>
          </w:p>
          <w:p w14:paraId="61EAF04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Planned antenatal prophylaxis:</w:t>
            </w:r>
          </w:p>
          <w:p w14:paraId="0D1137F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 single dose (e.g. 250 micrograms or 1250 IU) at 28 - 30 weeks of gestation or two doses at 28 and 34 weeks</w:t>
            </w:r>
          </w:p>
          <w:p w14:paraId="689C42C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Antenatal prophylaxis following complications of pregnancy:</w:t>
            </w:r>
          </w:p>
          <w:p w14:paraId="4DBB0D3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 single dose (e.g. 125 micrograms or 625 IU before the 12th week of pregnancy) (e.g. 250 micrograms or 1250 IU after the 12th week of pregnancy) should be administered as soon as possible and within 72 hours and if necessary repeated at 6 – 12-week intervals throughout the pregnancy.</w:t>
            </w:r>
          </w:p>
          <w:p w14:paraId="1BF78613" w14:textId="77777777" w:rsidR="00223CE8" w:rsidRDefault="00223CE8" w:rsidP="002D6DD7">
            <w:pPr>
              <w:autoSpaceDE w:val="0"/>
              <w:autoSpaceDN w:val="0"/>
              <w:adjustRightInd w:val="0"/>
              <w:spacing w:after="0"/>
              <w:jc w:val="both"/>
              <w:rPr>
                <w:rFonts w:cs="Times New Roman"/>
                <w:szCs w:val="24"/>
              </w:rPr>
            </w:pPr>
            <w:r w:rsidRPr="00944B15">
              <w:rPr>
                <w:rFonts w:cs="Times New Roman"/>
                <w:b/>
                <w:szCs w:val="24"/>
              </w:rPr>
              <w:t>Postnatal prophylaxis:</w:t>
            </w:r>
            <w:r w:rsidRPr="00944B15">
              <w:rPr>
                <w:rFonts w:cs="Times New Roman"/>
                <w:szCs w:val="24"/>
              </w:rPr>
              <w:t xml:space="preserve"> administered doses range from 100 – 300 micrograms or 500 – 1500 IU. If the lower dose (100 micrograms or 500 IU) is administered, then testing of the amount of foetal maternal haemorrhage should be performed. Dose should be administered to the mother as soon as possible within 72 hours of delivery of an Rh positive (D, D</w:t>
            </w:r>
            <w:r w:rsidRPr="00944B15">
              <w:rPr>
                <w:rFonts w:cs="Times New Roman"/>
                <w:szCs w:val="24"/>
                <w:vertAlign w:val="superscript"/>
              </w:rPr>
              <w:t>weak</w:t>
            </w:r>
            <w:r w:rsidRPr="00944B15">
              <w:rPr>
                <w:rFonts w:cs="Times New Roman"/>
                <w:szCs w:val="24"/>
              </w:rPr>
              <w:t>, D</w:t>
            </w:r>
            <w:r w:rsidRPr="00944B15">
              <w:rPr>
                <w:rFonts w:cs="Times New Roman"/>
                <w:szCs w:val="24"/>
                <w:vertAlign w:val="superscript"/>
              </w:rPr>
              <w:t>partial</w:t>
            </w:r>
            <w:r w:rsidRPr="00944B15">
              <w:rPr>
                <w:rFonts w:cs="Times New Roman"/>
                <w:szCs w:val="24"/>
              </w:rPr>
              <w:t>) infant. If more than 72 hours have elapsed, the product should not be withheld but administered as soon as possible.</w:t>
            </w:r>
          </w:p>
          <w:p w14:paraId="01DF4120" w14:textId="77777777" w:rsidR="00223CE8" w:rsidRPr="00D76338" w:rsidRDefault="00223CE8" w:rsidP="002D6DD7">
            <w:pPr>
              <w:autoSpaceDE w:val="0"/>
              <w:autoSpaceDN w:val="0"/>
              <w:adjustRightInd w:val="0"/>
              <w:spacing w:after="0"/>
              <w:jc w:val="both"/>
              <w:rPr>
                <w:rFonts w:cs="Times New Roman"/>
                <w:b/>
                <w:szCs w:val="24"/>
              </w:rPr>
            </w:pPr>
            <w:r w:rsidRPr="00D76338">
              <w:rPr>
                <w:rFonts w:cs="Times New Roman"/>
                <w:b/>
                <w:szCs w:val="24"/>
              </w:rPr>
              <w:t>Immune thrombocytopenia (ITP)</w:t>
            </w:r>
          </w:p>
          <w:p w14:paraId="6CD22145"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szCs w:val="24"/>
              </w:rPr>
              <w:t>Initial:</w:t>
            </w:r>
          </w:p>
          <w:p w14:paraId="54533A32"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hint="eastAsia"/>
                <w:szCs w:val="24"/>
              </w:rPr>
              <w:t>Hemoglobin ≥10 g/dL: 50 mcg/kg as a single injection, or can be given as 2 divided doses on separate days.</w:t>
            </w:r>
          </w:p>
          <w:p w14:paraId="17EC70C0"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szCs w:val="24"/>
              </w:rPr>
              <w:t>Hemoglobin 8 to &lt;10 g/dL: 25 to 40 mcg/kg, as a single injection, or can be given as 2 divided doses on separate days.</w:t>
            </w:r>
          </w:p>
          <w:p w14:paraId="64AE2E65"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szCs w:val="24"/>
              </w:rPr>
              <w:t>Hemoglobin &lt;8 g/dL: Alternative treatment should be used.</w:t>
            </w:r>
          </w:p>
          <w:p w14:paraId="0936BED3"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szCs w:val="24"/>
              </w:rPr>
              <w:t>Maintenance: Note: Dosing frequency determined by clinical response in platelet counts, RBC, hemoglobin, and reticulocyte levels.</w:t>
            </w:r>
          </w:p>
          <w:p w14:paraId="144347DF"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hint="eastAsia"/>
                <w:szCs w:val="24"/>
              </w:rPr>
              <w:t>Hemoglobin ≥10 g/dL: 50 to 60 mcg/kg</w:t>
            </w:r>
          </w:p>
          <w:p w14:paraId="7428F7B9" w14:textId="77777777" w:rsidR="00223CE8" w:rsidRPr="007B54B2" w:rsidRDefault="00223CE8" w:rsidP="002D6DD7">
            <w:pPr>
              <w:autoSpaceDE w:val="0"/>
              <w:autoSpaceDN w:val="0"/>
              <w:adjustRightInd w:val="0"/>
              <w:spacing w:after="0"/>
              <w:jc w:val="both"/>
              <w:rPr>
                <w:rFonts w:cs="Times New Roman"/>
                <w:szCs w:val="24"/>
              </w:rPr>
            </w:pPr>
            <w:r w:rsidRPr="007B54B2">
              <w:rPr>
                <w:rFonts w:cs="Times New Roman"/>
                <w:szCs w:val="24"/>
              </w:rPr>
              <w:t>Hemoglobin 8 to &lt;10 g/dL: 25 to 40 mcg/kg</w:t>
            </w:r>
          </w:p>
          <w:p w14:paraId="62B45982" w14:textId="77777777" w:rsidR="00223CE8" w:rsidRPr="00944B15" w:rsidRDefault="00223CE8" w:rsidP="002D6DD7">
            <w:pPr>
              <w:autoSpaceDE w:val="0"/>
              <w:autoSpaceDN w:val="0"/>
              <w:adjustRightInd w:val="0"/>
              <w:spacing w:after="0"/>
              <w:jc w:val="both"/>
              <w:rPr>
                <w:rFonts w:cs="Times New Roman"/>
                <w:szCs w:val="24"/>
              </w:rPr>
            </w:pPr>
            <w:r w:rsidRPr="007B54B2">
              <w:rPr>
                <w:rFonts w:cs="Times New Roman"/>
                <w:szCs w:val="24"/>
              </w:rPr>
              <w:t>Hemoglobin &lt;8 g/dL: Alternative treatment should be used.</w:t>
            </w:r>
          </w:p>
        </w:tc>
      </w:tr>
      <w:tr w:rsidR="00223CE8" w:rsidRPr="00944B15" w14:paraId="1E8F91F4" w14:textId="77777777" w:rsidTr="00E90E67">
        <w:trPr>
          <w:trHeight w:val="737"/>
        </w:trPr>
        <w:tc>
          <w:tcPr>
            <w:tcW w:w="2605" w:type="dxa"/>
            <w:tcBorders>
              <w:top w:val="single" w:sz="4" w:space="0" w:color="auto"/>
              <w:left w:val="single" w:sz="4" w:space="0" w:color="auto"/>
              <w:bottom w:val="single" w:sz="4" w:space="0" w:color="auto"/>
              <w:right w:val="single" w:sz="4" w:space="0" w:color="auto"/>
            </w:tcBorders>
            <w:hideMark/>
          </w:tcPr>
          <w:p w14:paraId="520DF991"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7D2C10DB" w14:textId="77777777" w:rsidR="00223CE8" w:rsidRPr="009D6548" w:rsidRDefault="00223CE8" w:rsidP="002D6DD7">
            <w:pPr>
              <w:rPr>
                <w:rFonts w:cs="Times New Roman"/>
                <w:b/>
                <w:szCs w:val="24"/>
              </w:rPr>
            </w:pPr>
            <w:r w:rsidRPr="009D6548">
              <w:rPr>
                <w:rFonts w:cs="Times New Roman"/>
                <w:szCs w:val="24"/>
              </w:rPr>
              <w:t xml:space="preserve">Hypersensitivity to the </w:t>
            </w:r>
            <w:r>
              <w:rPr>
                <w:rFonts w:cs="Times New Roman"/>
                <w:szCs w:val="24"/>
              </w:rPr>
              <w:t>drug</w:t>
            </w:r>
            <w:r w:rsidRPr="009D6548">
              <w:rPr>
                <w:rFonts w:cs="Times New Roman"/>
                <w:szCs w:val="24"/>
              </w:rPr>
              <w:t xml:space="preserve"> and hypersensitivity to human immunoglobulins.</w:t>
            </w:r>
          </w:p>
        </w:tc>
      </w:tr>
      <w:tr w:rsidR="00223CE8" w:rsidRPr="00944B15" w14:paraId="652EA1A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4DF02CE"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7A7B3F0C" w14:textId="77777777" w:rsidR="00223CE8" w:rsidRPr="00944B15" w:rsidRDefault="00223CE8" w:rsidP="002D6DD7">
            <w:pPr>
              <w:shd w:val="clear" w:color="auto" w:fill="FFFFFF"/>
              <w:spacing w:after="0"/>
              <w:jc w:val="both"/>
              <w:rPr>
                <w:rFonts w:eastAsia="Times New Roman" w:cs="Times New Roman"/>
                <w:szCs w:val="24"/>
              </w:rPr>
            </w:pPr>
            <w:r w:rsidRPr="00944B15">
              <w:rPr>
                <w:rFonts w:eastAsia="Times New Roman" w:cs="Times New Roman"/>
                <w:bCs/>
                <w:szCs w:val="24"/>
              </w:rPr>
              <w:t>Live attenuated virus vaccines</w:t>
            </w:r>
          </w:p>
        </w:tc>
      </w:tr>
      <w:tr w:rsidR="00223CE8" w:rsidRPr="00944B15" w14:paraId="45C34D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8FB511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6C63A52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Anaemia, renal insufficiency, intravascular haemolysis and fever.</w:t>
            </w:r>
          </w:p>
        </w:tc>
      </w:tr>
      <w:tr w:rsidR="00223CE8" w:rsidRPr="00944B15" w14:paraId="3B703D8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08468E7"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22B957F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New-born infant, avoid live vaccines for 3 month and IgA deficiency.</w:t>
            </w:r>
          </w:p>
        </w:tc>
      </w:tr>
      <w:tr w:rsidR="00223CE8" w:rsidRPr="00944B15" w14:paraId="6F00C6AB" w14:textId="77777777" w:rsidTr="002D6DD7">
        <w:trPr>
          <w:trHeight w:val="233"/>
        </w:trPr>
        <w:tc>
          <w:tcPr>
            <w:tcW w:w="2605" w:type="dxa"/>
            <w:tcBorders>
              <w:top w:val="single" w:sz="4" w:space="0" w:color="auto"/>
              <w:left w:val="single" w:sz="4" w:space="0" w:color="auto"/>
              <w:bottom w:val="single" w:sz="4" w:space="0" w:color="auto"/>
              <w:right w:val="single" w:sz="4" w:space="0" w:color="auto"/>
            </w:tcBorders>
            <w:hideMark/>
          </w:tcPr>
          <w:p w14:paraId="5BF5309E"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68570FA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refrigerator (2°C-8°C). Do not freeze</w:t>
            </w:r>
          </w:p>
        </w:tc>
      </w:tr>
      <w:tr w:rsidR="00223CE8" w:rsidRPr="00944B15" w14:paraId="277CD9F8"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0BD28D21" w14:textId="77777777" w:rsidR="00223CE8" w:rsidRPr="00944B15" w:rsidRDefault="00223CE8" w:rsidP="002D6DD7">
            <w:pPr>
              <w:spacing w:after="0"/>
              <w:jc w:val="both"/>
              <w:rPr>
                <w:rFonts w:cs="Times New Roman"/>
                <w:b/>
                <w:szCs w:val="24"/>
              </w:rPr>
            </w:pPr>
            <w:r w:rsidRPr="00944B15">
              <w:rPr>
                <w:rFonts w:cs="Times New Roman"/>
                <w:b/>
                <w:szCs w:val="24"/>
              </w:rPr>
              <w:t>Anti-rabies immunoglobulin</w:t>
            </w:r>
          </w:p>
        </w:tc>
      </w:tr>
      <w:tr w:rsidR="00223CE8" w:rsidRPr="00944B15" w14:paraId="539CBFD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BC2D4A9"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7C6541DD" w14:textId="77777777" w:rsidR="00223CE8" w:rsidRPr="00944B15" w:rsidRDefault="00223CE8" w:rsidP="002D6DD7">
            <w:pPr>
              <w:spacing w:after="0"/>
              <w:jc w:val="both"/>
              <w:rPr>
                <w:rFonts w:cs="Times New Roman"/>
                <w:szCs w:val="24"/>
              </w:rPr>
            </w:pPr>
            <w:r w:rsidRPr="00944B15">
              <w:rPr>
                <w:rFonts w:cs="Times New Roman"/>
                <w:szCs w:val="24"/>
              </w:rPr>
              <w:t>Human Immunoglobulins</w:t>
            </w:r>
          </w:p>
        </w:tc>
      </w:tr>
      <w:tr w:rsidR="00223CE8" w:rsidRPr="00944B15" w14:paraId="7C4E22B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F7834A8"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0188E88D" w14:textId="77777777" w:rsidR="00223CE8" w:rsidRPr="00944B15" w:rsidRDefault="00223CE8" w:rsidP="002D6DD7">
            <w:pPr>
              <w:spacing w:after="0"/>
              <w:jc w:val="both"/>
              <w:rPr>
                <w:rFonts w:cs="Times New Roman"/>
                <w:szCs w:val="24"/>
              </w:rPr>
            </w:pPr>
            <w:r w:rsidRPr="00944B15">
              <w:rPr>
                <w:rFonts w:cs="Times New Roman"/>
                <w:szCs w:val="24"/>
              </w:rPr>
              <w:t>Injection: 150 IU/</w:t>
            </w:r>
            <w:r>
              <w:rPr>
                <w:rFonts w:cs="Times New Roman"/>
                <w:szCs w:val="24"/>
              </w:rPr>
              <w:t>ml</w:t>
            </w:r>
            <w:r w:rsidRPr="00944B15">
              <w:rPr>
                <w:rFonts w:cs="Times New Roman"/>
                <w:szCs w:val="24"/>
              </w:rPr>
              <w:t xml:space="preserve"> in vial.</w:t>
            </w:r>
          </w:p>
        </w:tc>
      </w:tr>
      <w:tr w:rsidR="00223CE8" w:rsidRPr="00944B15" w14:paraId="5F3C5F6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95C65A"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78E75F3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Post-exposure prophylaxis of rabies infection in persons after exposure to scratches, bites or other injuries.</w:t>
            </w:r>
          </w:p>
        </w:tc>
      </w:tr>
      <w:tr w:rsidR="00223CE8" w:rsidRPr="00944B15" w14:paraId="5526D6A9" w14:textId="77777777" w:rsidTr="002D6DD7">
        <w:trPr>
          <w:trHeight w:val="1862"/>
        </w:trPr>
        <w:tc>
          <w:tcPr>
            <w:tcW w:w="2605" w:type="dxa"/>
            <w:tcBorders>
              <w:top w:val="single" w:sz="4" w:space="0" w:color="auto"/>
              <w:left w:val="single" w:sz="4" w:space="0" w:color="auto"/>
              <w:bottom w:val="single" w:sz="4" w:space="0" w:color="auto"/>
              <w:right w:val="single" w:sz="4" w:space="0" w:color="auto"/>
            </w:tcBorders>
            <w:hideMark/>
          </w:tcPr>
          <w:p w14:paraId="2A24C2AB"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5F4CE233"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Adult: </w:t>
            </w:r>
          </w:p>
          <w:p w14:paraId="238EB4B1"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Post-exposure prophylaxis of rabies infection in persons after exposure to scratches, bites or other injuries including mucous membrane contamination with infectious tissue, such as saliva, caused by a suspected rabid animal:</w:t>
            </w:r>
          </w:p>
          <w:p w14:paraId="34B6AEF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By local infiltration or by IM injection; 20 units/kg (0.133 </w:t>
            </w:r>
            <w:r>
              <w:rPr>
                <w:rFonts w:cs="Times New Roman"/>
                <w:szCs w:val="24"/>
              </w:rPr>
              <w:t>ml</w:t>
            </w:r>
            <w:r w:rsidRPr="00944B15">
              <w:rPr>
                <w:rFonts w:cs="Times New Roman"/>
                <w:szCs w:val="24"/>
              </w:rPr>
              <w:t>/kg)</w:t>
            </w:r>
            <w:r>
              <w:rPr>
                <w:rFonts w:cs="Times New Roman"/>
                <w:szCs w:val="24"/>
              </w:rPr>
              <w:t xml:space="preserve"> within 7 days of exposure.</w:t>
            </w:r>
          </w:p>
          <w:p w14:paraId="5F61EF59" w14:textId="77777777" w:rsidR="00223CE8" w:rsidRDefault="00223CE8" w:rsidP="002D6DD7">
            <w:pPr>
              <w:autoSpaceDE w:val="0"/>
              <w:autoSpaceDN w:val="0"/>
              <w:adjustRightInd w:val="0"/>
              <w:spacing w:after="0"/>
              <w:jc w:val="both"/>
              <w:rPr>
                <w:rFonts w:cs="Times New Roman"/>
                <w:szCs w:val="24"/>
              </w:rPr>
            </w:pPr>
            <w:r>
              <w:rPr>
                <w:rFonts w:cs="Times New Roman"/>
                <w:b/>
                <w:szCs w:val="24"/>
              </w:rPr>
              <w:t>Pediatric</w:t>
            </w:r>
            <w:r w:rsidRPr="00944B15">
              <w:rPr>
                <w:rFonts w:cs="Times New Roman"/>
                <w:b/>
                <w:szCs w:val="24"/>
              </w:rPr>
              <w:t>s:</w:t>
            </w:r>
            <w:r w:rsidRPr="00944B15">
              <w:rPr>
                <w:rFonts w:cs="Times New Roman"/>
                <w:szCs w:val="24"/>
              </w:rPr>
              <w:t xml:space="preserve"> </w:t>
            </w:r>
          </w:p>
          <w:p w14:paraId="4B281215" w14:textId="77777777" w:rsidR="00223CE8" w:rsidRDefault="00223CE8" w:rsidP="002D6DD7">
            <w:pPr>
              <w:autoSpaceDE w:val="0"/>
              <w:autoSpaceDN w:val="0"/>
              <w:adjustRightInd w:val="0"/>
              <w:spacing w:after="0"/>
              <w:jc w:val="both"/>
              <w:rPr>
                <w:rFonts w:cs="Times New Roman"/>
                <w:b/>
                <w:szCs w:val="24"/>
              </w:rPr>
            </w:pPr>
            <w:r w:rsidRPr="00D76338">
              <w:rPr>
                <w:rFonts w:cs="Times New Roman"/>
                <w:b/>
                <w:szCs w:val="24"/>
              </w:rPr>
              <w:t>Infant, children and adole</w:t>
            </w:r>
            <w:r>
              <w:rPr>
                <w:rFonts w:cs="Times New Roman"/>
                <w:b/>
                <w:szCs w:val="24"/>
              </w:rPr>
              <w:t>scent:</w:t>
            </w:r>
          </w:p>
          <w:p w14:paraId="5B4A86EB" w14:textId="77777777" w:rsidR="00223CE8" w:rsidRPr="006E1D9A" w:rsidRDefault="00223CE8" w:rsidP="002D6DD7">
            <w:pPr>
              <w:autoSpaceDE w:val="0"/>
              <w:autoSpaceDN w:val="0"/>
              <w:adjustRightInd w:val="0"/>
              <w:spacing w:after="0"/>
              <w:jc w:val="both"/>
              <w:rPr>
                <w:rFonts w:cs="Times New Roman"/>
                <w:szCs w:val="24"/>
              </w:rPr>
            </w:pPr>
            <w:r w:rsidRPr="00D76338">
              <w:rPr>
                <w:rFonts w:cs="Times New Roman"/>
                <w:szCs w:val="24"/>
              </w:rPr>
              <w:t xml:space="preserve">By local infiltration or by IM injection; 20 units/kg (0.133 </w:t>
            </w:r>
            <w:r>
              <w:rPr>
                <w:rFonts w:cs="Times New Roman"/>
                <w:szCs w:val="24"/>
              </w:rPr>
              <w:t>ml</w:t>
            </w:r>
            <w:r w:rsidRPr="00D76338">
              <w:rPr>
                <w:rFonts w:cs="Times New Roman"/>
                <w:szCs w:val="24"/>
              </w:rPr>
              <w:t>/kg) within 7 days of exposure.</w:t>
            </w:r>
          </w:p>
        </w:tc>
      </w:tr>
      <w:tr w:rsidR="00223CE8" w:rsidRPr="00944B15" w14:paraId="6F2137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E0603CF"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57CD040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E90E67">
              <w:rPr>
                <w:rFonts w:cs="Times New Roman"/>
                <w:szCs w:val="24"/>
              </w:rPr>
              <w:t>is</w:t>
            </w:r>
            <w:r>
              <w:rPr>
                <w:rFonts w:cs="Times New Roman"/>
                <w:szCs w:val="24"/>
              </w:rPr>
              <w:t xml:space="preserve"> no absolute contraindication</w:t>
            </w:r>
          </w:p>
        </w:tc>
      </w:tr>
      <w:tr w:rsidR="00223CE8" w:rsidRPr="00944B15" w14:paraId="536484D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4C7647"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58626FB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Rabies immunoglobulins and vaccine must never be combined in the same syringe</w:t>
            </w:r>
          </w:p>
        </w:tc>
      </w:tr>
      <w:tr w:rsidR="00223CE8" w:rsidRPr="00944B15" w14:paraId="4120C2D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249F3C4"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7A198C1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Allergic reactions, fever, numbness, muscle weakness, headache, tachycardia, hypotension and soreness at the site of injection </w:t>
            </w:r>
          </w:p>
        </w:tc>
      </w:tr>
      <w:tr w:rsidR="00223CE8" w:rsidRPr="00944B15" w14:paraId="39F820F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DFCCFC"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44C7A45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Transmissible infectious agents, thrombosis, and risk of haemolysis.</w:t>
            </w:r>
          </w:p>
        </w:tc>
      </w:tr>
      <w:tr w:rsidR="00223CE8" w:rsidRPr="00944B15" w14:paraId="024D16E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F15F753" w14:textId="77777777" w:rsidR="00223CE8" w:rsidRPr="00944B15" w:rsidRDefault="00223CE8" w:rsidP="002D6DD7">
            <w:pPr>
              <w:spacing w:after="0"/>
              <w:jc w:val="both"/>
              <w:rPr>
                <w:rFonts w:cs="Times New Roman"/>
                <w:szCs w:val="24"/>
              </w:rPr>
            </w:pPr>
            <w:r w:rsidRPr="00944B15">
              <w:rPr>
                <w:rFonts w:cs="Times New Roman"/>
                <w:szCs w:val="24"/>
              </w:rPr>
              <w:lastRenderedPageBreak/>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08BE298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refrigerator (2°C-8°C). Do not freeze.</w:t>
            </w:r>
          </w:p>
        </w:tc>
      </w:tr>
      <w:tr w:rsidR="00223CE8" w:rsidRPr="00944B15" w14:paraId="32E31168"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6274B8D1" w14:textId="77777777" w:rsidR="00223CE8" w:rsidRPr="00944B15" w:rsidRDefault="00223CE8" w:rsidP="002D6DD7">
            <w:pPr>
              <w:spacing w:after="0"/>
              <w:jc w:val="both"/>
              <w:rPr>
                <w:rFonts w:cs="Times New Roman"/>
                <w:b/>
                <w:szCs w:val="24"/>
              </w:rPr>
            </w:pPr>
            <w:r w:rsidRPr="00944B15">
              <w:rPr>
                <w:rFonts w:cs="Times New Roman"/>
                <w:b/>
                <w:szCs w:val="24"/>
              </w:rPr>
              <w:t>Anti-tetanus immunoglobulin</w:t>
            </w:r>
          </w:p>
        </w:tc>
      </w:tr>
      <w:tr w:rsidR="00223CE8" w:rsidRPr="00944B15" w14:paraId="10CB6FC5"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C1F8757"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7097F629" w14:textId="77777777" w:rsidR="00223CE8" w:rsidRPr="00944B15" w:rsidRDefault="00223CE8" w:rsidP="002D6DD7">
            <w:pPr>
              <w:spacing w:after="0"/>
              <w:jc w:val="both"/>
              <w:rPr>
                <w:rFonts w:cs="Times New Roman"/>
                <w:szCs w:val="24"/>
              </w:rPr>
            </w:pPr>
            <w:r w:rsidRPr="00944B15">
              <w:rPr>
                <w:rFonts w:cs="Times New Roman"/>
                <w:szCs w:val="24"/>
              </w:rPr>
              <w:t>Human Immunoglobulins</w:t>
            </w:r>
          </w:p>
        </w:tc>
      </w:tr>
      <w:tr w:rsidR="00223CE8" w:rsidRPr="00944B15" w14:paraId="7D8AE8A9" w14:textId="77777777" w:rsidTr="002D6DD7">
        <w:trPr>
          <w:trHeight w:val="476"/>
        </w:trPr>
        <w:tc>
          <w:tcPr>
            <w:tcW w:w="2605" w:type="dxa"/>
            <w:tcBorders>
              <w:top w:val="single" w:sz="4" w:space="0" w:color="auto"/>
              <w:left w:val="single" w:sz="4" w:space="0" w:color="auto"/>
              <w:bottom w:val="single" w:sz="4" w:space="0" w:color="auto"/>
              <w:right w:val="single" w:sz="4" w:space="0" w:color="auto"/>
            </w:tcBorders>
            <w:hideMark/>
          </w:tcPr>
          <w:p w14:paraId="678B8931"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6F1B1894" w14:textId="77777777" w:rsidR="00223CE8" w:rsidRPr="00944B15" w:rsidRDefault="00223CE8" w:rsidP="002D6DD7">
            <w:pPr>
              <w:spacing w:after="0"/>
              <w:jc w:val="both"/>
              <w:rPr>
                <w:rFonts w:cs="Times New Roman"/>
                <w:szCs w:val="24"/>
              </w:rPr>
            </w:pPr>
            <w:r w:rsidRPr="00944B15">
              <w:rPr>
                <w:rFonts w:cs="Times New Roman"/>
                <w:szCs w:val="24"/>
              </w:rPr>
              <w:t>Injection: 250 IU, 500 IU in vial.</w:t>
            </w:r>
          </w:p>
        </w:tc>
      </w:tr>
      <w:tr w:rsidR="00223CE8" w:rsidRPr="00944B15" w14:paraId="5DFA0A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50CA82F"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619CF89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Post-exposure prophylaxis and therapy of clinically manifest tetanus.</w:t>
            </w:r>
          </w:p>
        </w:tc>
      </w:tr>
      <w:tr w:rsidR="00223CE8" w:rsidRPr="00944B15" w14:paraId="14002BA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71D98B"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16B38BCE"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cs="Times New Roman"/>
                <w:b/>
                <w:bCs/>
                <w:szCs w:val="24"/>
              </w:rPr>
              <w:t>Adult</w:t>
            </w:r>
            <w:r>
              <w:rPr>
                <w:rFonts w:cs="Times New Roman"/>
                <w:b/>
                <w:bCs/>
                <w:szCs w:val="24"/>
              </w:rPr>
              <w:t>:</w:t>
            </w:r>
          </w:p>
          <w:p w14:paraId="01071D4E"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iCs/>
                <w:szCs w:val="24"/>
              </w:rPr>
              <w:t>Prophylaxis, IM</w:t>
            </w:r>
            <w:r w:rsidRPr="00944B15">
              <w:rPr>
                <w:rFonts w:eastAsia="Candara-Italic" w:cs="Times New Roman"/>
                <w:iCs/>
                <w:szCs w:val="24"/>
              </w:rPr>
              <w:t xml:space="preserve">: </w:t>
            </w:r>
            <w:r w:rsidRPr="00944B15">
              <w:rPr>
                <w:rFonts w:eastAsia="Candara-Italic" w:cs="Times New Roman"/>
                <w:szCs w:val="24"/>
              </w:rPr>
              <w:t>250 units single dose</w:t>
            </w:r>
          </w:p>
          <w:p w14:paraId="08FBE70C"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iCs/>
                <w:szCs w:val="24"/>
              </w:rPr>
              <w:t>Treatment of active tetanus, IM</w:t>
            </w:r>
            <w:r w:rsidRPr="00944B15">
              <w:rPr>
                <w:rFonts w:eastAsia="Candara-Italic" w:cs="Times New Roman"/>
                <w:iCs/>
                <w:szCs w:val="24"/>
              </w:rPr>
              <w:t xml:space="preserve">: </w:t>
            </w:r>
            <w:r w:rsidRPr="00944B15">
              <w:rPr>
                <w:rFonts w:eastAsia="Candara-Italic" w:cs="Times New Roman"/>
                <w:szCs w:val="24"/>
              </w:rPr>
              <w:t>3000–6000 units</w:t>
            </w:r>
          </w:p>
          <w:p w14:paraId="42DB6332"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75793E1B" w14:textId="77777777" w:rsidR="00223CE8"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 xml:space="preserve">Prophylaxis, IM: </w:t>
            </w:r>
          </w:p>
          <w:p w14:paraId="47507829"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D76338">
              <w:rPr>
                <w:rFonts w:cs="Times New Roman"/>
                <w:b/>
                <w:bCs/>
                <w:szCs w:val="24"/>
              </w:rPr>
              <w:t>Child &lt;7 years old</w:t>
            </w:r>
            <w:r w:rsidRPr="006E1D9A">
              <w:rPr>
                <w:rFonts w:cs="Times New Roman"/>
                <w:b/>
                <w:bCs/>
                <w:szCs w:val="24"/>
              </w:rPr>
              <w:t>:</w:t>
            </w:r>
            <w:r w:rsidRPr="00944B15">
              <w:rPr>
                <w:rFonts w:cs="Times New Roman"/>
                <w:b/>
                <w:bCs/>
                <w:szCs w:val="24"/>
              </w:rPr>
              <w:t xml:space="preserve"> </w:t>
            </w:r>
            <w:r w:rsidRPr="00944B15">
              <w:rPr>
                <w:rFonts w:cs="Times New Roman"/>
                <w:szCs w:val="24"/>
              </w:rPr>
              <w:t>4 units/kg or 250 units</w:t>
            </w:r>
            <w:r>
              <w:rPr>
                <w:rFonts w:cs="Times New Roman"/>
                <w:szCs w:val="24"/>
              </w:rPr>
              <w:t xml:space="preserve"> a single dose</w:t>
            </w:r>
          </w:p>
          <w:p w14:paraId="751E9B87" w14:textId="77777777" w:rsidR="00223CE8" w:rsidRPr="00944B15" w:rsidRDefault="00223CE8" w:rsidP="002D6DD7">
            <w:pPr>
              <w:autoSpaceDE w:val="0"/>
              <w:autoSpaceDN w:val="0"/>
              <w:adjustRightInd w:val="0"/>
              <w:spacing w:after="0"/>
              <w:jc w:val="both"/>
              <w:rPr>
                <w:rFonts w:cs="Times New Roman"/>
                <w:szCs w:val="24"/>
              </w:rPr>
            </w:pPr>
            <w:r w:rsidRPr="00D76338">
              <w:rPr>
                <w:rFonts w:cs="Times New Roman"/>
                <w:b/>
                <w:bCs/>
                <w:szCs w:val="24"/>
              </w:rPr>
              <w:t>Child over 7 years old</w:t>
            </w:r>
            <w:r w:rsidRPr="00944B15">
              <w:rPr>
                <w:rFonts w:cs="Times New Roman"/>
                <w:bCs/>
                <w:szCs w:val="24"/>
              </w:rPr>
              <w:t>:</w:t>
            </w:r>
            <w:r>
              <w:rPr>
                <w:rFonts w:cs="Times New Roman"/>
                <w:bCs/>
                <w:szCs w:val="24"/>
              </w:rPr>
              <w:t xml:space="preserve"> </w:t>
            </w:r>
            <w:r w:rsidRPr="00944B15">
              <w:rPr>
                <w:rFonts w:cs="Times New Roman"/>
                <w:szCs w:val="24"/>
              </w:rPr>
              <w:t>250 units single dose</w:t>
            </w:r>
          </w:p>
          <w:p w14:paraId="324173B1"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 xml:space="preserve">Treatment, IM: </w:t>
            </w:r>
            <w:r w:rsidRPr="00944B15">
              <w:rPr>
                <w:rFonts w:cs="Times New Roman"/>
                <w:bCs/>
                <w:szCs w:val="24"/>
              </w:rPr>
              <w:t>Child:</w:t>
            </w:r>
            <w:r w:rsidRPr="00944B15">
              <w:rPr>
                <w:rFonts w:cs="Times New Roman"/>
                <w:szCs w:val="24"/>
              </w:rPr>
              <w:t>3000–6000 units</w:t>
            </w:r>
          </w:p>
        </w:tc>
      </w:tr>
      <w:tr w:rsidR="00223CE8" w:rsidRPr="00944B15" w14:paraId="1150EB79" w14:textId="77777777" w:rsidTr="002D6DD7">
        <w:trPr>
          <w:trHeight w:val="440"/>
        </w:trPr>
        <w:tc>
          <w:tcPr>
            <w:tcW w:w="2605" w:type="dxa"/>
            <w:tcBorders>
              <w:top w:val="single" w:sz="4" w:space="0" w:color="auto"/>
              <w:left w:val="single" w:sz="4" w:space="0" w:color="auto"/>
              <w:bottom w:val="single" w:sz="4" w:space="0" w:color="auto"/>
              <w:right w:val="single" w:sz="4" w:space="0" w:color="auto"/>
            </w:tcBorders>
            <w:hideMark/>
          </w:tcPr>
          <w:p w14:paraId="6596D9FD"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6735AD94" w14:textId="77777777" w:rsidR="00223CE8" w:rsidRPr="00944B15" w:rsidRDefault="00223CE8" w:rsidP="002D6DD7">
            <w:pPr>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and to human immunoglobulins</w:t>
            </w:r>
          </w:p>
        </w:tc>
      </w:tr>
      <w:tr w:rsidR="00223CE8" w:rsidRPr="00944B15" w14:paraId="1E35240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66393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34AE4FB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Live attenuated Virus vaccines and immunosuppressive therapies</w:t>
            </w:r>
          </w:p>
        </w:tc>
      </w:tr>
      <w:tr w:rsidR="00223CE8" w:rsidRPr="00944B15" w14:paraId="7E7EBDD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7B406BE"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50739DE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Anaphylactic reaction, hypotension, arthralgia, chest pain, dizziness, dyspnoea, face oedema, oral disorders, tremor, redness, warmth and induration myalgia </w:t>
            </w:r>
          </w:p>
        </w:tc>
      </w:tr>
      <w:tr w:rsidR="00223CE8" w:rsidRPr="00944B15" w14:paraId="18B1E93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4640D7"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253260A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Cs/>
                <w:szCs w:val="24"/>
              </w:rPr>
              <w:t>Pregnancy</w:t>
            </w:r>
          </w:p>
        </w:tc>
      </w:tr>
      <w:tr w:rsidR="00223CE8" w:rsidRPr="00944B15" w14:paraId="37C6779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C4DA073"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49114D1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refrigerator (2°C-8°C). Do not freeze</w:t>
            </w:r>
          </w:p>
        </w:tc>
      </w:tr>
      <w:tr w:rsidR="00223CE8" w:rsidRPr="00944B15" w14:paraId="56EEC727"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53E6C3B5" w14:textId="77777777" w:rsidR="00223CE8" w:rsidRPr="00944B15" w:rsidRDefault="00223CE8" w:rsidP="002D6DD7">
            <w:pPr>
              <w:spacing w:after="0"/>
              <w:jc w:val="both"/>
              <w:rPr>
                <w:rFonts w:cs="Times New Roman"/>
                <w:b/>
                <w:szCs w:val="24"/>
              </w:rPr>
            </w:pPr>
            <w:r w:rsidRPr="00944B15">
              <w:rPr>
                <w:rFonts w:cs="Times New Roman"/>
                <w:b/>
                <w:szCs w:val="24"/>
              </w:rPr>
              <w:t>Hepatitis B Immunoglobulin</w:t>
            </w:r>
          </w:p>
        </w:tc>
      </w:tr>
      <w:tr w:rsidR="00223CE8" w:rsidRPr="00944B15" w14:paraId="098695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15AF930"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3A166DFF" w14:textId="77777777" w:rsidR="00223CE8" w:rsidRPr="00944B15" w:rsidRDefault="00223CE8" w:rsidP="002D6DD7">
            <w:pPr>
              <w:spacing w:after="0"/>
              <w:jc w:val="both"/>
              <w:rPr>
                <w:rFonts w:cs="Times New Roman"/>
                <w:szCs w:val="24"/>
              </w:rPr>
            </w:pPr>
            <w:r w:rsidRPr="00944B15">
              <w:rPr>
                <w:rFonts w:cs="Times New Roman"/>
                <w:szCs w:val="24"/>
              </w:rPr>
              <w:t>Human Immunoglobulins</w:t>
            </w:r>
          </w:p>
        </w:tc>
      </w:tr>
      <w:tr w:rsidR="00223CE8" w:rsidRPr="00944B15" w14:paraId="1D6253A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B0FC24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769DC382" w14:textId="77777777" w:rsidR="00223CE8" w:rsidRPr="00944B15" w:rsidRDefault="00223CE8" w:rsidP="002D6DD7">
            <w:pPr>
              <w:spacing w:after="0"/>
              <w:jc w:val="both"/>
              <w:rPr>
                <w:rFonts w:cs="Times New Roman"/>
                <w:szCs w:val="24"/>
              </w:rPr>
            </w:pPr>
            <w:r w:rsidRPr="00944B15">
              <w:rPr>
                <w:rFonts w:cs="Times New Roman"/>
                <w:szCs w:val="24"/>
              </w:rPr>
              <w:t>Injection: 1500 - 2000 units /bottle</w:t>
            </w:r>
          </w:p>
        </w:tc>
      </w:tr>
      <w:tr w:rsidR="00223CE8" w:rsidRPr="00944B15" w14:paraId="47B412B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02F15A3"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750" w:type="dxa"/>
            <w:tcBorders>
              <w:top w:val="single" w:sz="4" w:space="0" w:color="auto"/>
              <w:left w:val="single" w:sz="4" w:space="0" w:color="auto"/>
              <w:bottom w:val="single" w:sz="4" w:space="0" w:color="auto"/>
              <w:right w:val="single" w:sz="4" w:space="0" w:color="auto"/>
            </w:tcBorders>
            <w:hideMark/>
          </w:tcPr>
          <w:p w14:paraId="095DF95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Prevention of hepatitis B in case of accidental exposure in non-immunised subjects or in subjects who have had no more than a single dose of vaccine</w:t>
            </w:r>
          </w:p>
          <w:p w14:paraId="753434E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Prevention of hepatitis B in the newborn, of a hepatitis B carrier-mother</w:t>
            </w:r>
          </w:p>
          <w:p w14:paraId="6EDDA29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 haemodialyzed patients, until vaccination has become effective.</w:t>
            </w:r>
          </w:p>
        </w:tc>
      </w:tr>
      <w:tr w:rsidR="00223CE8" w:rsidRPr="00944B15" w14:paraId="4A146F1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23EBA70" w14:textId="77777777" w:rsidR="00223CE8" w:rsidRPr="00944B15" w:rsidRDefault="00223CE8" w:rsidP="002D6DD7">
            <w:pPr>
              <w:spacing w:after="0"/>
              <w:jc w:val="both"/>
              <w:rPr>
                <w:rFonts w:cs="Times New Roman"/>
                <w:szCs w:val="24"/>
              </w:rPr>
            </w:pPr>
            <w:r w:rsidRPr="00944B15">
              <w:rPr>
                <w:rFonts w:eastAsia="Times New Roman" w:cs="Times New Roman"/>
                <w:szCs w:val="24"/>
              </w:rPr>
              <w:lastRenderedPageBreak/>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1B83513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hepatitis B in case of accidental exposure in non-immunised subjects:</w:t>
            </w:r>
          </w:p>
          <w:p w14:paraId="17CFDF3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At least 500 IU, depending on the intensity of exposure, as soon as possible after exposure, and preferably within 24 - 72 hours.</w:t>
            </w:r>
          </w:p>
          <w:p w14:paraId="1CB1E1FF"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hepatitis B in the newborn, of a hepatitis B virus carrier-mother, at birth or as soon as possible after birth:</w:t>
            </w:r>
          </w:p>
          <w:p w14:paraId="6F37B7E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30-100 IU/kg may need to be repeated until seroconversion following vaccination.</w:t>
            </w:r>
          </w:p>
          <w:p w14:paraId="4796B83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Immunoprophylaxis of hepatitis B in haemodialyzed patients:</w:t>
            </w:r>
          </w:p>
          <w:p w14:paraId="7C26D34C" w14:textId="77777777" w:rsidR="00223CE8" w:rsidRDefault="00223CE8" w:rsidP="002D6DD7">
            <w:pPr>
              <w:autoSpaceDE w:val="0"/>
              <w:autoSpaceDN w:val="0"/>
              <w:adjustRightInd w:val="0"/>
              <w:spacing w:after="0"/>
              <w:jc w:val="both"/>
              <w:rPr>
                <w:rFonts w:cs="Times New Roman"/>
                <w:szCs w:val="24"/>
              </w:rPr>
            </w:pPr>
            <w:r w:rsidRPr="00944B15">
              <w:rPr>
                <w:rFonts w:cs="Times New Roman"/>
                <w:szCs w:val="24"/>
              </w:rPr>
              <w:t>8-12 IU/kg with a maximum of 500 IU, every 2 months until seroconversion following vaccination.</w:t>
            </w:r>
          </w:p>
          <w:p w14:paraId="78851453" w14:textId="77777777" w:rsidR="00223CE8" w:rsidRPr="00D76338" w:rsidRDefault="00223CE8" w:rsidP="002D6DD7">
            <w:pPr>
              <w:autoSpaceDE w:val="0"/>
              <w:autoSpaceDN w:val="0"/>
              <w:adjustRightInd w:val="0"/>
              <w:spacing w:after="0"/>
              <w:jc w:val="both"/>
              <w:rPr>
                <w:rFonts w:cs="Times New Roman"/>
                <w:b/>
                <w:szCs w:val="24"/>
              </w:rPr>
            </w:pPr>
            <w:r w:rsidRPr="00D76338">
              <w:rPr>
                <w:rFonts w:cs="Times New Roman"/>
                <w:b/>
                <w:szCs w:val="24"/>
              </w:rPr>
              <w:t xml:space="preserve">Post-exposure prophylaxis: </w:t>
            </w:r>
          </w:p>
          <w:p w14:paraId="2469AEF6" w14:textId="77777777" w:rsidR="00223CE8" w:rsidRPr="002B6413" w:rsidRDefault="00223CE8" w:rsidP="002D6DD7">
            <w:pPr>
              <w:autoSpaceDE w:val="0"/>
              <w:autoSpaceDN w:val="0"/>
              <w:adjustRightInd w:val="0"/>
              <w:spacing w:after="0"/>
              <w:jc w:val="both"/>
              <w:rPr>
                <w:rFonts w:cs="Times New Roman"/>
                <w:szCs w:val="24"/>
              </w:rPr>
            </w:pPr>
            <w:r w:rsidRPr="00D76338">
              <w:rPr>
                <w:rFonts w:cs="Times New Roman"/>
                <w:b/>
                <w:szCs w:val="24"/>
              </w:rPr>
              <w:t>Infants &lt;12 months</w:t>
            </w:r>
            <w:r w:rsidRPr="002B6413">
              <w:rPr>
                <w:rFonts w:cs="Times New Roman"/>
                <w:szCs w:val="24"/>
              </w:rPr>
              <w:t xml:space="preserve">: IM: 0.5 </w:t>
            </w:r>
            <w:r>
              <w:rPr>
                <w:rFonts w:cs="Times New Roman"/>
                <w:szCs w:val="24"/>
              </w:rPr>
              <w:t>ml</w:t>
            </w:r>
            <w:r w:rsidRPr="002B6413">
              <w:rPr>
                <w:rFonts w:cs="Times New Roman"/>
                <w:szCs w:val="24"/>
              </w:rPr>
              <w:t xml:space="preserve"> as soon as possible after exposure (eg, mother or primary caregiver with acute HBV infection); initiate hepatitis B vaccine series</w:t>
            </w:r>
          </w:p>
          <w:p w14:paraId="0569E21F" w14:textId="77777777" w:rsidR="00223CE8" w:rsidRPr="00944B15" w:rsidRDefault="00223CE8" w:rsidP="002D6DD7">
            <w:pPr>
              <w:autoSpaceDE w:val="0"/>
              <w:autoSpaceDN w:val="0"/>
              <w:adjustRightInd w:val="0"/>
              <w:spacing w:after="0"/>
              <w:jc w:val="both"/>
              <w:rPr>
                <w:rFonts w:cs="Times New Roman"/>
                <w:szCs w:val="24"/>
              </w:rPr>
            </w:pPr>
            <w:r w:rsidRPr="00D76338">
              <w:rPr>
                <w:rFonts w:cs="Times New Roman"/>
                <w:b/>
                <w:szCs w:val="24"/>
              </w:rPr>
              <w:t xml:space="preserve">Children </w:t>
            </w:r>
            <w:r w:rsidRPr="00D76338">
              <w:rPr>
                <w:rFonts w:cs="Times New Roman" w:hint="eastAsia"/>
                <w:b/>
                <w:szCs w:val="24"/>
              </w:rPr>
              <w:t>≥</w:t>
            </w:r>
            <w:r w:rsidRPr="00D76338">
              <w:rPr>
                <w:rFonts w:cs="Times New Roman"/>
                <w:b/>
                <w:szCs w:val="24"/>
              </w:rPr>
              <w:t>12 months and Adolescents:</w:t>
            </w:r>
            <w:r w:rsidRPr="002B6413">
              <w:rPr>
                <w:rFonts w:cs="Times New Roman" w:hint="eastAsia"/>
                <w:szCs w:val="24"/>
              </w:rPr>
              <w:t xml:space="preserve"> IM: 0.06 </w:t>
            </w:r>
            <w:r>
              <w:rPr>
                <w:rFonts w:cs="Times New Roman" w:hint="eastAsia"/>
                <w:szCs w:val="24"/>
              </w:rPr>
              <w:t>ml</w:t>
            </w:r>
            <w:r w:rsidRPr="002B6413">
              <w:rPr>
                <w:rFonts w:cs="Times New Roman" w:hint="eastAsia"/>
                <w:szCs w:val="24"/>
              </w:rPr>
              <w:t>/kg as soon as possible after exposure (ie, within 24 hours of needle</w:t>
            </w:r>
            <w:r>
              <w:rPr>
                <w:rFonts w:cs="Times New Roman"/>
                <w:szCs w:val="24"/>
              </w:rPr>
              <w:t xml:space="preserve"> </w:t>
            </w:r>
            <w:r w:rsidRPr="002B6413">
              <w:rPr>
                <w:rFonts w:cs="Times New Roman" w:hint="eastAsia"/>
                <w:szCs w:val="24"/>
              </w:rPr>
              <w:t>stick, ocular, or mucosal exposure or within 14 days of sexual exposure); repeat at 28 to 30 days after exposure</w:t>
            </w:r>
          </w:p>
        </w:tc>
      </w:tr>
      <w:tr w:rsidR="00223CE8" w:rsidRPr="00944B15" w14:paraId="0E62C75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CF5B4AC"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4920E7A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p>
        </w:tc>
      </w:tr>
      <w:tr w:rsidR="00223CE8" w:rsidRPr="00944B15" w14:paraId="2E44053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E86CCE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14702B9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Cs/>
                <w:szCs w:val="24"/>
              </w:rPr>
              <w:t>Live attenuated virus vaccines.</w:t>
            </w:r>
          </w:p>
        </w:tc>
      </w:tr>
      <w:tr w:rsidR="00223CE8" w:rsidRPr="00944B15" w14:paraId="3553BFD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288B08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50E9D31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Chest pain, dyspnoea, tremor, dizziness, facial oedema, glossitis, buccal ulceration, and arthralgia.</w:t>
            </w:r>
          </w:p>
        </w:tc>
      </w:tr>
      <w:tr w:rsidR="00223CE8" w:rsidRPr="00944B15" w14:paraId="2C446D1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8F4A66D"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0CA18A5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Immunoglobulin A deficiency and severe thrombocytopenia or any coagulation disorder</w:t>
            </w:r>
          </w:p>
        </w:tc>
      </w:tr>
      <w:tr w:rsidR="00223CE8" w:rsidRPr="00944B15" w14:paraId="43B47A9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81ADF01"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19EA11A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refrigerator (2 ºC to 8ºC). Do not freeze.</w:t>
            </w:r>
          </w:p>
        </w:tc>
      </w:tr>
      <w:tr w:rsidR="00223CE8" w:rsidRPr="00944B15" w14:paraId="3AA462C0" w14:textId="77777777" w:rsidTr="002D6DD7">
        <w:tc>
          <w:tcPr>
            <w:tcW w:w="9355" w:type="dxa"/>
            <w:gridSpan w:val="2"/>
            <w:tcBorders>
              <w:top w:val="single" w:sz="4" w:space="0" w:color="auto"/>
              <w:left w:val="single" w:sz="4" w:space="0" w:color="auto"/>
              <w:bottom w:val="single" w:sz="4" w:space="0" w:color="auto"/>
              <w:right w:val="single" w:sz="4" w:space="0" w:color="auto"/>
            </w:tcBorders>
            <w:hideMark/>
          </w:tcPr>
          <w:p w14:paraId="7DD04999" w14:textId="77777777" w:rsidR="00223CE8" w:rsidRPr="00944B15" w:rsidRDefault="00223CE8" w:rsidP="002D6DD7">
            <w:pPr>
              <w:spacing w:after="0"/>
              <w:jc w:val="both"/>
              <w:rPr>
                <w:rFonts w:cs="Times New Roman"/>
                <w:b/>
                <w:szCs w:val="24"/>
              </w:rPr>
            </w:pPr>
            <w:r w:rsidRPr="00944B15">
              <w:rPr>
                <w:rFonts w:cs="Times New Roman"/>
                <w:b/>
                <w:szCs w:val="24"/>
              </w:rPr>
              <w:t>Normal human immunoglobulin</w:t>
            </w:r>
          </w:p>
        </w:tc>
      </w:tr>
      <w:tr w:rsidR="00223CE8" w:rsidRPr="00944B15" w14:paraId="2936E00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F6D367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750" w:type="dxa"/>
            <w:tcBorders>
              <w:top w:val="single" w:sz="4" w:space="0" w:color="auto"/>
              <w:left w:val="single" w:sz="4" w:space="0" w:color="auto"/>
              <w:bottom w:val="single" w:sz="4" w:space="0" w:color="auto"/>
              <w:right w:val="single" w:sz="4" w:space="0" w:color="auto"/>
            </w:tcBorders>
            <w:hideMark/>
          </w:tcPr>
          <w:p w14:paraId="2BCE6CF6" w14:textId="77777777" w:rsidR="00223CE8" w:rsidRPr="00944B15" w:rsidRDefault="00223CE8" w:rsidP="002D6DD7">
            <w:pPr>
              <w:spacing w:after="0"/>
              <w:jc w:val="both"/>
              <w:rPr>
                <w:rFonts w:cs="Times New Roman"/>
                <w:szCs w:val="24"/>
              </w:rPr>
            </w:pPr>
            <w:r w:rsidRPr="00944B15">
              <w:rPr>
                <w:rFonts w:cs="Times New Roman"/>
                <w:szCs w:val="24"/>
              </w:rPr>
              <w:t>Human Immunoglobulins</w:t>
            </w:r>
          </w:p>
        </w:tc>
      </w:tr>
      <w:tr w:rsidR="00223CE8" w:rsidRPr="00944B15" w14:paraId="36A02FB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93D2B09"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750" w:type="dxa"/>
            <w:tcBorders>
              <w:top w:val="single" w:sz="4" w:space="0" w:color="auto"/>
              <w:left w:val="single" w:sz="4" w:space="0" w:color="auto"/>
              <w:bottom w:val="single" w:sz="4" w:space="0" w:color="auto"/>
              <w:right w:val="single" w:sz="4" w:space="0" w:color="auto"/>
            </w:tcBorders>
            <w:hideMark/>
          </w:tcPr>
          <w:p w14:paraId="7AA8BE79" w14:textId="77777777" w:rsidR="00223CE8" w:rsidRPr="00944B15" w:rsidRDefault="00223CE8" w:rsidP="002D6DD7">
            <w:pPr>
              <w:spacing w:after="0"/>
              <w:jc w:val="both"/>
              <w:rPr>
                <w:rFonts w:cs="Times New Roman"/>
                <w:szCs w:val="24"/>
              </w:rPr>
            </w:pPr>
            <w:r w:rsidRPr="00944B15">
              <w:rPr>
                <w:rFonts w:cs="Times New Roman"/>
                <w:szCs w:val="24"/>
              </w:rPr>
              <w:t xml:space="preserve">Solution for injection: 5% and 10% protein solution (iv use); 15% and 16% protein solution (subcutaneous use); 16% protein solution </w:t>
            </w:r>
            <w:r w:rsidRPr="00944B15">
              <w:rPr>
                <w:rFonts w:cs="Times New Roman"/>
                <w:szCs w:val="24"/>
              </w:rPr>
              <w:lastRenderedPageBreak/>
              <w:t>(IM use)</w:t>
            </w:r>
          </w:p>
        </w:tc>
      </w:tr>
      <w:tr w:rsidR="00223CE8" w:rsidRPr="00944B15" w14:paraId="5994B0E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A53D181" w14:textId="77777777" w:rsidR="00223CE8" w:rsidRPr="00944B15" w:rsidRDefault="00223CE8" w:rsidP="002D6DD7">
            <w:pPr>
              <w:spacing w:after="0"/>
              <w:jc w:val="both"/>
              <w:rPr>
                <w:rFonts w:cs="Times New Roman"/>
                <w:szCs w:val="24"/>
              </w:rPr>
            </w:pPr>
            <w:r w:rsidRPr="00944B15">
              <w:rPr>
                <w:rFonts w:cs="Times New Roman"/>
                <w:szCs w:val="24"/>
              </w:rPr>
              <w:lastRenderedPageBreak/>
              <w:t>Indications</w:t>
            </w:r>
          </w:p>
        </w:tc>
        <w:tc>
          <w:tcPr>
            <w:tcW w:w="6750" w:type="dxa"/>
            <w:tcBorders>
              <w:top w:val="single" w:sz="4" w:space="0" w:color="auto"/>
              <w:left w:val="single" w:sz="4" w:space="0" w:color="auto"/>
              <w:bottom w:val="single" w:sz="4" w:space="0" w:color="auto"/>
              <w:right w:val="single" w:sz="4" w:space="0" w:color="auto"/>
            </w:tcBorders>
            <w:hideMark/>
          </w:tcPr>
          <w:p w14:paraId="3C99210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 primary immunodeficiency syndromes (PID) and secondary immunodeficiency (SID) replacement therapy, treatment of Guillain Barre syndrome and chronic inflammatory demyelinating polyradiculoneuropathy (CIDP)</w:t>
            </w:r>
          </w:p>
        </w:tc>
      </w:tr>
      <w:tr w:rsidR="00223CE8" w:rsidRPr="00944B15" w14:paraId="76D082E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528F71"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750" w:type="dxa"/>
            <w:tcBorders>
              <w:top w:val="single" w:sz="4" w:space="0" w:color="auto"/>
              <w:left w:val="single" w:sz="4" w:space="0" w:color="auto"/>
              <w:bottom w:val="single" w:sz="4" w:space="0" w:color="auto"/>
              <w:right w:val="single" w:sz="4" w:space="0" w:color="auto"/>
            </w:tcBorders>
            <w:hideMark/>
          </w:tcPr>
          <w:p w14:paraId="5255A483"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Pediatric and adult</w:t>
            </w:r>
            <w:r>
              <w:rPr>
                <w:rFonts w:cs="Times New Roman"/>
                <w:b/>
                <w:bCs/>
                <w:szCs w:val="24"/>
              </w:rPr>
              <w:t>:</w:t>
            </w:r>
          </w:p>
          <w:p w14:paraId="3A9513DA"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Replacement therapy in primary i</w:t>
            </w:r>
            <w:r>
              <w:rPr>
                <w:rFonts w:eastAsia="Candara-Italic" w:cs="Times New Roman"/>
                <w:b/>
                <w:iCs/>
                <w:szCs w:val="24"/>
              </w:rPr>
              <w:t>mmune deficiencies: IV infusion:</w:t>
            </w:r>
          </w:p>
          <w:p w14:paraId="0427590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Initial loading dose, administer until serum IgG level is &gt; 6 g/L</w:t>
            </w:r>
          </w:p>
          <w:p w14:paraId="748E47CA"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 xml:space="preserve">Replacement therapy in primary immune deficiencies, IV, IM, </w:t>
            </w:r>
            <w:r w:rsidRPr="00944B15">
              <w:rPr>
                <w:rFonts w:cs="Times New Roman"/>
                <w:b/>
                <w:szCs w:val="24"/>
              </w:rPr>
              <w:t xml:space="preserve">or </w:t>
            </w:r>
            <w:r w:rsidRPr="00944B15">
              <w:rPr>
                <w:rFonts w:eastAsia="Candara-Italic" w:cs="Times New Roman"/>
                <w:b/>
                <w:iCs/>
                <w:szCs w:val="24"/>
              </w:rPr>
              <w:t>SC</w:t>
            </w:r>
            <w:r w:rsidRPr="00944B15">
              <w:rPr>
                <w:rFonts w:eastAsia="Candara-Italic" w:cs="Times New Roman"/>
                <w:iCs/>
                <w:szCs w:val="24"/>
              </w:rPr>
              <w:t xml:space="preserve"> </w:t>
            </w:r>
            <w:r w:rsidRPr="00944B15">
              <w:rPr>
                <w:rFonts w:cs="Times New Roman"/>
                <w:szCs w:val="24"/>
              </w:rPr>
              <w:t>(depending on formulation):</w:t>
            </w:r>
          </w:p>
          <w:p w14:paraId="1164F4B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Maintenance dose, normally 400–800 mg/kg/month, titrated according to inter current infections or trough serum IgG level. IV doses may be given at 1-, 2-, 3-, or 4-week intervals. SC doses may be given at 1-, 2-, 3-, 4-, or 7-day intervals.</w:t>
            </w:r>
          </w:p>
          <w:p w14:paraId="690CCC59" w14:textId="77777777" w:rsidR="00223CE8" w:rsidRPr="00944B15" w:rsidRDefault="00223CE8" w:rsidP="002D6DD7">
            <w:pPr>
              <w:autoSpaceDE w:val="0"/>
              <w:autoSpaceDN w:val="0"/>
              <w:adjustRightInd w:val="0"/>
              <w:spacing w:after="0"/>
              <w:jc w:val="both"/>
              <w:rPr>
                <w:rFonts w:eastAsia="Candara-Italic" w:cs="Times New Roman"/>
                <w:b/>
                <w:iCs/>
                <w:szCs w:val="24"/>
              </w:rPr>
            </w:pPr>
            <w:r>
              <w:rPr>
                <w:rFonts w:eastAsia="Candara-Italic" w:cs="Times New Roman"/>
                <w:b/>
                <w:iCs/>
                <w:szCs w:val="24"/>
              </w:rPr>
              <w:t>Kawasaki disease: IV infusion:</w:t>
            </w:r>
          </w:p>
          <w:p w14:paraId="2B08513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2 g/kg as a single dose, given over 10–12 hours; if signs and symptoms persist, retreatment with a second 2 g/kg infusion should be considered; must be used in combination with acetylsalicylic acid</w:t>
            </w:r>
          </w:p>
          <w:p w14:paraId="791F9CF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Guillain Barre syndrome</w:t>
            </w:r>
            <w:r>
              <w:rPr>
                <w:rFonts w:cs="Times New Roman"/>
                <w:b/>
                <w:szCs w:val="24"/>
              </w:rPr>
              <w:t>:</w:t>
            </w:r>
          </w:p>
          <w:p w14:paraId="4CD68E1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0.4 g/kg/day over 5 days (possible repeat of dosing in case of relapse).</w:t>
            </w:r>
          </w:p>
          <w:p w14:paraId="5E16160B"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Chronic inflammatory demyelinating polyneuropathy (CIDP)</w:t>
            </w:r>
            <w:r>
              <w:rPr>
                <w:rFonts w:eastAsia="Candara-Italic" w:cs="Times New Roman"/>
                <w:b/>
                <w:iCs/>
                <w:szCs w:val="24"/>
              </w:rPr>
              <w:t>:</w:t>
            </w:r>
          </w:p>
          <w:p w14:paraId="10589058"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Starting dose: 2 g/kg divided over 2 to 5 consecutive days</w:t>
            </w:r>
          </w:p>
          <w:p w14:paraId="30A64C79"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Maintenance doses: 1 g/kg over 1 to 2 consecutive days every 3 weeks.</w:t>
            </w:r>
          </w:p>
        </w:tc>
      </w:tr>
      <w:tr w:rsidR="00223CE8" w:rsidRPr="00944B15" w14:paraId="422F0230"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83A42DD"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750" w:type="dxa"/>
            <w:tcBorders>
              <w:top w:val="single" w:sz="4" w:space="0" w:color="auto"/>
              <w:left w:val="single" w:sz="4" w:space="0" w:color="auto"/>
              <w:bottom w:val="single" w:sz="4" w:space="0" w:color="auto"/>
              <w:right w:val="single" w:sz="4" w:space="0" w:color="auto"/>
            </w:tcBorders>
            <w:hideMark/>
          </w:tcPr>
          <w:p w14:paraId="2E23F0A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xml:space="preserve"> or blood products.</w:t>
            </w:r>
          </w:p>
          <w:p w14:paraId="33D309E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Uncompensated diabetes, other known glucose intolerances, hyperosmolar coma, hyperglycaemia, and hyperlactatemia and patients with selective IgA deficiency who developed antibodies to </w:t>
            </w:r>
            <w:r w:rsidRPr="00944B15">
              <w:rPr>
                <w:rFonts w:cs="Times New Roman"/>
                <w:szCs w:val="24"/>
              </w:rPr>
              <w:lastRenderedPageBreak/>
              <w:t>IgA</w:t>
            </w:r>
          </w:p>
        </w:tc>
      </w:tr>
      <w:tr w:rsidR="00223CE8" w:rsidRPr="00944B15" w14:paraId="043562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073B22C"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6750" w:type="dxa"/>
            <w:tcBorders>
              <w:top w:val="single" w:sz="4" w:space="0" w:color="auto"/>
              <w:left w:val="single" w:sz="4" w:space="0" w:color="auto"/>
              <w:bottom w:val="single" w:sz="4" w:space="0" w:color="auto"/>
              <w:right w:val="single" w:sz="4" w:space="0" w:color="auto"/>
            </w:tcBorders>
            <w:hideMark/>
          </w:tcPr>
          <w:p w14:paraId="1187077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Live attenuated virus vaccines, loop diuretics</w:t>
            </w:r>
          </w:p>
        </w:tc>
      </w:tr>
      <w:tr w:rsidR="00223CE8" w:rsidRPr="00944B15" w14:paraId="6CCF1697"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10AA49"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750" w:type="dxa"/>
            <w:tcBorders>
              <w:top w:val="single" w:sz="4" w:space="0" w:color="auto"/>
              <w:left w:val="single" w:sz="4" w:space="0" w:color="auto"/>
              <w:bottom w:val="single" w:sz="4" w:space="0" w:color="auto"/>
              <w:right w:val="single" w:sz="4" w:space="0" w:color="auto"/>
            </w:tcBorders>
            <w:hideMark/>
          </w:tcPr>
          <w:p w14:paraId="0D61679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Chills, headache, dizziness, fever, vomiting, allergic reactions, nausea, arthralgia, low blood pressure and moderate low back pain, reversible haemolytic reactions, transient cutaneous reactions and thromboembolic reactions.</w:t>
            </w:r>
          </w:p>
        </w:tc>
      </w:tr>
      <w:tr w:rsidR="00223CE8" w:rsidRPr="00944B15" w14:paraId="6F79975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FA294C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750" w:type="dxa"/>
            <w:tcBorders>
              <w:top w:val="single" w:sz="4" w:space="0" w:color="auto"/>
              <w:left w:val="single" w:sz="4" w:space="0" w:color="auto"/>
              <w:bottom w:val="single" w:sz="4" w:space="0" w:color="auto"/>
              <w:right w:val="single" w:sz="4" w:space="0" w:color="auto"/>
            </w:tcBorders>
            <w:hideMark/>
          </w:tcPr>
          <w:p w14:paraId="7B3305F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Thrombocytopenia, </w:t>
            </w:r>
            <w:r w:rsidRPr="00944B15">
              <w:rPr>
                <w:rFonts w:cs="Times New Roman"/>
                <w:szCs w:val="24"/>
              </w:rPr>
              <w:t>coagulation disorders, elderly and obese patients.</w:t>
            </w:r>
          </w:p>
        </w:tc>
      </w:tr>
      <w:tr w:rsidR="00223CE8" w:rsidRPr="00944B15" w14:paraId="6A01CE1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6B0F70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750" w:type="dxa"/>
            <w:tcBorders>
              <w:top w:val="single" w:sz="4" w:space="0" w:color="auto"/>
              <w:left w:val="single" w:sz="4" w:space="0" w:color="auto"/>
              <w:bottom w:val="single" w:sz="4" w:space="0" w:color="auto"/>
              <w:right w:val="single" w:sz="4" w:space="0" w:color="auto"/>
            </w:tcBorders>
            <w:hideMark/>
          </w:tcPr>
          <w:p w14:paraId="6E02519C" w14:textId="77777777" w:rsidR="00223CE8" w:rsidRPr="00944B15" w:rsidRDefault="00223CE8" w:rsidP="002D6DD7">
            <w:pPr>
              <w:spacing w:after="0"/>
              <w:jc w:val="both"/>
              <w:rPr>
                <w:rFonts w:cs="Times New Roman"/>
                <w:szCs w:val="24"/>
              </w:rPr>
            </w:pPr>
            <w:r w:rsidRPr="00944B15">
              <w:rPr>
                <w:rFonts w:cs="Times New Roman"/>
                <w:szCs w:val="24"/>
              </w:rPr>
              <w:t>Store in a refrigerator (2°C–8°C). Do not freeze.</w:t>
            </w:r>
          </w:p>
        </w:tc>
      </w:tr>
    </w:tbl>
    <w:p w14:paraId="624C7BCF" w14:textId="77777777" w:rsidR="00223CE8" w:rsidRPr="00944B15" w:rsidRDefault="00223CE8" w:rsidP="00223CE8">
      <w:pPr>
        <w:spacing w:after="0"/>
        <w:jc w:val="both"/>
        <w:rPr>
          <w:rFonts w:cs="Times New Roman"/>
          <w:b/>
          <w:szCs w:val="24"/>
        </w:rPr>
      </w:pPr>
    </w:p>
    <w:p w14:paraId="2B368F2A" w14:textId="77777777" w:rsidR="00223CE8" w:rsidRPr="00E90E67" w:rsidRDefault="00223CE8" w:rsidP="00E90E67">
      <w:pPr>
        <w:pStyle w:val="Heading2"/>
        <w:spacing w:before="240" w:after="240"/>
      </w:pPr>
      <w:bookmarkStart w:id="163" w:name="_Toc179490383"/>
      <w:r w:rsidRPr="00E90E67">
        <w:t xml:space="preserve">Blood </w:t>
      </w:r>
      <w:r w:rsidR="00E90E67" w:rsidRPr="00E90E67">
        <w:t>c</w:t>
      </w:r>
      <w:r w:rsidRPr="00E90E67">
        <w:t xml:space="preserve">oagulation </w:t>
      </w:r>
      <w:r w:rsidR="00E90E67" w:rsidRPr="00E90E67">
        <w:t>f</w:t>
      </w:r>
      <w:r w:rsidRPr="00E90E67">
        <w:t>actors</w:t>
      </w:r>
      <w:bookmarkEnd w:id="163"/>
    </w:p>
    <w:p w14:paraId="671F055D" w14:textId="77777777" w:rsidR="00223CE8" w:rsidRDefault="00223CE8" w:rsidP="00223CE8">
      <w:pPr>
        <w:spacing w:after="0"/>
        <w:jc w:val="both"/>
        <w:rPr>
          <w:rFonts w:cs="Times New Roman"/>
          <w:szCs w:val="24"/>
          <w:shd w:val="clear" w:color="auto" w:fill="FFFFFF"/>
        </w:rPr>
      </w:pPr>
      <w:r w:rsidRPr="00944B15">
        <w:rPr>
          <w:rFonts w:cs="Times New Roman"/>
          <w:szCs w:val="24"/>
          <w:shd w:val="clear" w:color="auto" w:fill="FFFFFF"/>
        </w:rPr>
        <w:t>Blood coagulation factors are a group of proteins that play essential roles in the complex process of blood clotting, also known as haemostasis. The process of blood coagulation involves a cascade of sequential and interdependent reactions that ultimately result in the formation of a stable blood clot.</w:t>
      </w:r>
    </w:p>
    <w:p w14:paraId="2C1DA916" w14:textId="77777777" w:rsidR="00223CE8" w:rsidRPr="00944B15" w:rsidRDefault="00223CE8" w:rsidP="00223CE8">
      <w:pPr>
        <w:spacing w:before="240" w:after="0"/>
        <w:jc w:val="both"/>
        <w:rPr>
          <w:rFonts w:cs="Times New Roman"/>
          <w:szCs w:val="24"/>
          <w:shd w:val="clear" w:color="auto" w:fill="FFFFFF"/>
        </w:rPr>
      </w:pPr>
      <w:r w:rsidRPr="00944B15">
        <w:rPr>
          <w:rFonts w:cs="Times New Roman"/>
          <w:szCs w:val="24"/>
        </w:rPr>
        <w:t>Disorders affecting blood coagulation factors can lead to bleeding disorders, such as haemophilia and von willebrand disease, or thrombotic disorders, such as deep vein thrombosis and pulmonary embolism. Understanding the roles and interactions of blood coagulation factors is essential for diagnosing and managing these conditions and for developing therapies to regulate hemostasis effectively</w:t>
      </w:r>
      <w:r w:rsidRPr="00944B15">
        <w:rPr>
          <w:rFonts w:cs="Times New Roman"/>
          <w:szCs w:val="24"/>
          <w:shd w:val="clear" w:color="auto" w:fill="FFFFFF"/>
        </w:rPr>
        <w:t>.</w:t>
      </w:r>
    </w:p>
    <w:tbl>
      <w:tblPr>
        <w:tblW w:w="9270" w:type="dxa"/>
        <w:tblInd w:w="85" w:type="dxa"/>
        <w:tblLook w:val="04A0" w:firstRow="1" w:lastRow="0" w:firstColumn="1" w:lastColumn="0" w:noHBand="0" w:noVBand="1"/>
      </w:tblPr>
      <w:tblGrid>
        <w:gridCol w:w="2610"/>
        <w:gridCol w:w="6660"/>
      </w:tblGrid>
      <w:tr w:rsidR="00223CE8" w:rsidRPr="00944B15" w14:paraId="74B0E965"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08EC84D7" w14:textId="77777777" w:rsidR="00223CE8" w:rsidRPr="00944B15" w:rsidRDefault="00223CE8" w:rsidP="002D6DD7">
            <w:pPr>
              <w:spacing w:after="0"/>
              <w:jc w:val="both"/>
              <w:rPr>
                <w:rFonts w:cs="Times New Roman"/>
                <w:b/>
                <w:szCs w:val="24"/>
              </w:rPr>
            </w:pPr>
            <w:r w:rsidRPr="00944B15">
              <w:rPr>
                <w:rFonts w:cs="Times New Roman"/>
                <w:b/>
                <w:szCs w:val="24"/>
              </w:rPr>
              <w:t>Coagulation factor VIII</w:t>
            </w:r>
          </w:p>
        </w:tc>
      </w:tr>
      <w:tr w:rsidR="00223CE8" w:rsidRPr="00944B15" w14:paraId="402CEBF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1F6B7DC"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30F8499D" w14:textId="77777777" w:rsidR="00223CE8" w:rsidRPr="00944B15" w:rsidRDefault="00223CE8" w:rsidP="002D6DD7">
            <w:pPr>
              <w:spacing w:after="0"/>
              <w:jc w:val="both"/>
              <w:rPr>
                <w:rFonts w:cs="Times New Roman"/>
                <w:szCs w:val="24"/>
              </w:rPr>
            </w:pPr>
            <w:r>
              <w:rPr>
                <w:rFonts w:cs="Times New Roman"/>
                <w:szCs w:val="24"/>
              </w:rPr>
              <w:t>Blood coagulation factor</w:t>
            </w:r>
          </w:p>
        </w:tc>
      </w:tr>
      <w:tr w:rsidR="00223CE8" w:rsidRPr="00944B15" w14:paraId="2D6A1967"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16646993"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2532EAE5" w14:textId="77777777" w:rsidR="00223CE8" w:rsidRPr="00944B15" w:rsidRDefault="00223CE8" w:rsidP="002D6DD7">
            <w:pPr>
              <w:spacing w:after="0"/>
              <w:jc w:val="both"/>
              <w:rPr>
                <w:rFonts w:cs="Times New Roman"/>
                <w:szCs w:val="24"/>
              </w:rPr>
            </w:pPr>
            <w:r w:rsidRPr="00944B15">
              <w:rPr>
                <w:rFonts w:cs="Times New Roman"/>
                <w:szCs w:val="24"/>
              </w:rPr>
              <w:t>Powder for injection: 250 IU, 500 IU, 1000 IU in vial</w:t>
            </w:r>
          </w:p>
        </w:tc>
      </w:tr>
      <w:tr w:rsidR="00223CE8" w:rsidRPr="00944B15" w14:paraId="49EC47A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A5D3F7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465870C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Control of haemorrhage in haemophilia A, acquired factor VIII deficiency, Von Willebrand’s disease (if the product is not a recombinant)</w:t>
            </w:r>
          </w:p>
        </w:tc>
      </w:tr>
      <w:tr w:rsidR="00223CE8" w:rsidRPr="00944B15" w14:paraId="1F6D93B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884DF8E"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660" w:type="dxa"/>
            <w:tcBorders>
              <w:top w:val="single" w:sz="4" w:space="0" w:color="auto"/>
              <w:left w:val="single" w:sz="4" w:space="0" w:color="auto"/>
              <w:bottom w:val="single" w:sz="4" w:space="0" w:color="auto"/>
              <w:right w:val="single" w:sz="4" w:space="0" w:color="auto"/>
            </w:tcBorders>
            <w:hideMark/>
          </w:tcPr>
          <w:p w14:paraId="6C810BEC" w14:textId="77777777" w:rsidR="00223CE8" w:rsidRPr="00944B15" w:rsidRDefault="00223CE8" w:rsidP="002D6DD7">
            <w:pPr>
              <w:autoSpaceDE w:val="0"/>
              <w:autoSpaceDN w:val="0"/>
              <w:adjustRightInd w:val="0"/>
              <w:spacing w:after="0"/>
              <w:jc w:val="both"/>
              <w:rPr>
                <w:rFonts w:eastAsia="Candara-Italic" w:cs="Times New Roman"/>
                <w:b/>
                <w:iCs/>
                <w:szCs w:val="24"/>
              </w:rPr>
            </w:pPr>
            <w:r>
              <w:rPr>
                <w:rFonts w:eastAsia="Candara-Italic" w:cs="Times New Roman"/>
                <w:b/>
                <w:iCs/>
                <w:szCs w:val="24"/>
              </w:rPr>
              <w:t>Adult:</w:t>
            </w:r>
          </w:p>
          <w:p w14:paraId="2DB3458F"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 xml:space="preserve">Haemophilia A, </w:t>
            </w:r>
            <w:r w:rsidRPr="00E90E67">
              <w:rPr>
                <w:rFonts w:eastAsia="Candara-Italic" w:cs="Times New Roman"/>
                <w:iCs/>
                <w:szCs w:val="24"/>
              </w:rPr>
              <w:t>slow IV infusion</w:t>
            </w:r>
            <w:r w:rsidRPr="00944B15">
              <w:rPr>
                <w:rFonts w:eastAsia="Candara-Italic" w:cs="Times New Roman"/>
                <w:iCs/>
                <w:szCs w:val="24"/>
              </w:rPr>
              <w:t xml:space="preserve">: </w:t>
            </w:r>
          </w:p>
          <w:p w14:paraId="51805D48"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Administer according to patient’s needs and specific preparation </w:t>
            </w:r>
            <w:r w:rsidRPr="00944B15">
              <w:rPr>
                <w:rFonts w:eastAsia="Candara-Italic" w:cs="Times New Roman"/>
                <w:szCs w:val="24"/>
              </w:rPr>
              <w:lastRenderedPageBreak/>
              <w:t>used. For every 1 IU</w:t>
            </w:r>
            <w:r>
              <w:rPr>
                <w:rFonts w:eastAsia="Candara-Italic" w:cs="Times New Roman"/>
                <w:szCs w:val="24"/>
              </w:rPr>
              <w:t xml:space="preserve">/kg </w:t>
            </w:r>
            <w:r w:rsidRPr="00944B15">
              <w:rPr>
                <w:rFonts w:eastAsia="Candara-Italic" w:cs="Times New Roman"/>
                <w:szCs w:val="24"/>
              </w:rPr>
              <w:t>of factor VIII activity administered, factor VIII level should increase by 2 IU/</w:t>
            </w:r>
            <w:r>
              <w:rPr>
                <w:rFonts w:eastAsia="Candara-Italic" w:cs="Times New Roman"/>
                <w:szCs w:val="24"/>
              </w:rPr>
              <w:t>ml</w:t>
            </w:r>
            <w:r w:rsidRPr="00944B15">
              <w:rPr>
                <w:rFonts w:eastAsia="Candara-Italic" w:cs="Times New Roman"/>
                <w:szCs w:val="24"/>
              </w:rPr>
              <w:t xml:space="preserve"> (or 2%); calculated dosage should be adjusted to the actual vial size.</w:t>
            </w:r>
          </w:p>
          <w:p w14:paraId="4487874C"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Calculation for units required, based on desired increase in factor VIII (% of normal): IU required = body weight (kg) × 0.5</w:t>
            </w:r>
            <w:r>
              <w:rPr>
                <w:rFonts w:eastAsia="Candara-Italic" w:cs="Times New Roman"/>
                <w:szCs w:val="24"/>
              </w:rPr>
              <w:t>IU/kg</w:t>
            </w:r>
            <w:r w:rsidRPr="00944B15">
              <w:rPr>
                <w:rFonts w:eastAsia="Candara-Italic" w:cs="Times New Roman"/>
                <w:szCs w:val="24"/>
              </w:rPr>
              <w:t xml:space="preserve"> × desired increase in factor VIII (IU/</w:t>
            </w:r>
            <w:r>
              <w:rPr>
                <w:rFonts w:eastAsia="Candara-Italic" w:cs="Times New Roman"/>
                <w:szCs w:val="24"/>
              </w:rPr>
              <w:t>ml</w:t>
            </w:r>
            <w:r w:rsidRPr="00944B15">
              <w:rPr>
                <w:rFonts w:eastAsia="Candara-Italic" w:cs="Times New Roman"/>
                <w:szCs w:val="24"/>
              </w:rPr>
              <w:t xml:space="preserve"> or % of normal)</w:t>
            </w:r>
          </w:p>
          <w:p w14:paraId="1E5E36EB"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Note: This calculation assumes the patient’s baseline factor VIII level is &lt; 1%.</w:t>
            </w:r>
          </w:p>
        </w:tc>
      </w:tr>
      <w:tr w:rsidR="00223CE8" w:rsidRPr="00944B15" w14:paraId="5B4EDD3D" w14:textId="77777777" w:rsidTr="002D6DD7">
        <w:trPr>
          <w:trHeight w:val="593"/>
        </w:trPr>
        <w:tc>
          <w:tcPr>
            <w:tcW w:w="2610" w:type="dxa"/>
            <w:tcBorders>
              <w:top w:val="single" w:sz="4" w:space="0" w:color="auto"/>
              <w:left w:val="single" w:sz="4" w:space="0" w:color="auto"/>
              <w:bottom w:val="single" w:sz="4" w:space="0" w:color="auto"/>
              <w:right w:val="single" w:sz="4" w:space="0" w:color="auto"/>
            </w:tcBorders>
            <w:hideMark/>
          </w:tcPr>
          <w:p w14:paraId="49C88BC0"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2DA62E66"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Hypersensitivity to the drug</w:t>
            </w:r>
            <w:r w:rsidRPr="00944B15">
              <w:rPr>
                <w:rFonts w:cs="Times New Roman"/>
                <w:szCs w:val="24"/>
              </w:rPr>
              <w:t xml:space="preserve"> and emicizumab</w:t>
            </w:r>
          </w:p>
        </w:tc>
      </w:tr>
      <w:tr w:rsidR="00223CE8" w:rsidRPr="00944B15" w14:paraId="78338BE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B8A535C"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04ACE75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Activated prothrombin complex concentrates.</w:t>
            </w:r>
          </w:p>
        </w:tc>
      </w:tr>
      <w:tr w:rsidR="00223CE8" w:rsidRPr="00944B15" w14:paraId="37BEDF9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C8B2FE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32BA7FA0"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A</w:t>
            </w:r>
            <w:r w:rsidRPr="00944B15">
              <w:rPr>
                <w:rFonts w:cs="Times New Roman"/>
                <w:szCs w:val="24"/>
              </w:rPr>
              <w:t>rthralgia, rash, chills a</w:t>
            </w:r>
            <w:r>
              <w:rPr>
                <w:rFonts w:cs="Times New Roman"/>
                <w:szCs w:val="24"/>
              </w:rPr>
              <w:t>nd fever; headache, urticaria, p</w:t>
            </w:r>
            <w:r w:rsidRPr="00944B15">
              <w:rPr>
                <w:rFonts w:cs="Times New Roman"/>
                <w:szCs w:val="24"/>
              </w:rPr>
              <w:t>seudo thrombocytopenia, elevated ALT, injection site reaction, pyrexia, and diarrhoea.</w:t>
            </w:r>
          </w:p>
        </w:tc>
      </w:tr>
      <w:tr w:rsidR="00223CE8" w:rsidRPr="00944B15" w14:paraId="3A6C472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945BC1"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4690C1E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Intravascular haemolysis after large or frequently repeated doses in patients with blood groups A, B or AB and possibility of pathogen transmission.</w:t>
            </w:r>
          </w:p>
        </w:tc>
      </w:tr>
      <w:tr w:rsidR="00223CE8" w:rsidRPr="00944B15" w14:paraId="672AA62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6F2D439"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0CC470D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refrigerator at a temperature of 2°C to 8°C). Do not freeze.</w:t>
            </w:r>
          </w:p>
        </w:tc>
      </w:tr>
      <w:tr w:rsidR="00223CE8" w:rsidRPr="00944B15" w14:paraId="312B6CD8"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6A35E8A8" w14:textId="77777777" w:rsidR="00223CE8" w:rsidRPr="00944B15" w:rsidRDefault="00223CE8" w:rsidP="002D6DD7">
            <w:pPr>
              <w:spacing w:after="0"/>
              <w:jc w:val="both"/>
              <w:rPr>
                <w:rFonts w:cs="Times New Roman"/>
                <w:b/>
                <w:szCs w:val="24"/>
              </w:rPr>
            </w:pPr>
            <w:r w:rsidRPr="00944B15">
              <w:rPr>
                <w:rFonts w:cs="Times New Roman"/>
                <w:b/>
                <w:szCs w:val="24"/>
              </w:rPr>
              <w:t>Coagulation factor</w:t>
            </w:r>
            <w:r w:rsidRPr="00944B15">
              <w:rPr>
                <w:rFonts w:cs="Times New Roman"/>
                <w:b/>
                <w:spacing w:val="-2"/>
                <w:szCs w:val="24"/>
              </w:rPr>
              <w:t xml:space="preserve"> I</w:t>
            </w:r>
            <w:r w:rsidRPr="00944B15">
              <w:rPr>
                <w:rFonts w:cs="Times New Roman"/>
                <w:b/>
                <w:szCs w:val="24"/>
              </w:rPr>
              <w:t>X</w:t>
            </w:r>
          </w:p>
        </w:tc>
      </w:tr>
      <w:tr w:rsidR="00223CE8" w:rsidRPr="00944B15" w14:paraId="3EAE4F1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9FB5EF3"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6B76913A" w14:textId="77777777" w:rsidR="00223CE8" w:rsidRPr="00944B15" w:rsidRDefault="00223CE8" w:rsidP="002D6DD7">
            <w:pPr>
              <w:spacing w:after="0"/>
              <w:jc w:val="both"/>
              <w:rPr>
                <w:rFonts w:cs="Times New Roman"/>
                <w:szCs w:val="24"/>
              </w:rPr>
            </w:pPr>
            <w:r>
              <w:rPr>
                <w:rFonts w:cs="Times New Roman"/>
                <w:szCs w:val="24"/>
              </w:rPr>
              <w:t>Blood coagulation factor</w:t>
            </w:r>
          </w:p>
        </w:tc>
      </w:tr>
      <w:tr w:rsidR="00223CE8" w:rsidRPr="00944B15" w14:paraId="276A29CF"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401BEF5B"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0ABA4809" w14:textId="77777777" w:rsidR="00223CE8" w:rsidRPr="00944B15" w:rsidRDefault="00223CE8" w:rsidP="002D6DD7">
            <w:pPr>
              <w:spacing w:after="0"/>
              <w:jc w:val="both"/>
              <w:rPr>
                <w:rFonts w:cs="Times New Roman"/>
                <w:szCs w:val="24"/>
              </w:rPr>
            </w:pPr>
            <w:r w:rsidRPr="00944B15">
              <w:rPr>
                <w:rFonts w:cs="Times New Roman"/>
                <w:szCs w:val="24"/>
              </w:rPr>
              <w:t>Powder for injection (extended half-life), 250 IU, 500IU, 1000IU</w:t>
            </w:r>
          </w:p>
        </w:tc>
      </w:tr>
      <w:tr w:rsidR="00223CE8" w:rsidRPr="00944B15" w14:paraId="205CBDB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ED2A7F1"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628195CD"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Replacement therapy for factor IX deficiency in haemophilia B or bleeding due to deficiencies of factors II, VII or X as well as IX.</w:t>
            </w:r>
          </w:p>
        </w:tc>
      </w:tr>
      <w:tr w:rsidR="00223CE8" w:rsidRPr="00944B15" w14:paraId="198ECA8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0E763C3"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67EAE57D"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Adult</w:t>
            </w:r>
            <w:r>
              <w:rPr>
                <w:rFonts w:eastAsia="Candara-Italic" w:cs="Times New Roman"/>
                <w:b/>
                <w:iCs/>
                <w:szCs w:val="24"/>
              </w:rPr>
              <w:t>:</w:t>
            </w:r>
          </w:p>
          <w:p w14:paraId="3972C859"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Replacement therapy for factor IX deficiency in haemophilia B or bleeding due to deficiencies of factors II, VII or X as well as IX:</w:t>
            </w:r>
            <w:r w:rsidRPr="00944B15">
              <w:rPr>
                <w:rFonts w:eastAsia="Candara-Italic" w:cs="Times New Roman"/>
                <w:iCs/>
                <w:szCs w:val="24"/>
              </w:rPr>
              <w:t xml:space="preserve"> </w:t>
            </w:r>
          </w:p>
          <w:p w14:paraId="037CD34E"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 xml:space="preserve">By </w:t>
            </w:r>
            <w:r w:rsidRPr="00944B15">
              <w:rPr>
                <w:rFonts w:eastAsia="Candara-Italic" w:cs="Times New Roman"/>
                <w:szCs w:val="24"/>
              </w:rPr>
              <w:t>s</w:t>
            </w:r>
            <w:r w:rsidRPr="00944B15">
              <w:rPr>
                <w:rFonts w:eastAsia="Candara-Italic" w:cs="Times New Roman"/>
                <w:iCs/>
                <w:szCs w:val="24"/>
              </w:rPr>
              <w:t xml:space="preserve">low IV infusion: </w:t>
            </w:r>
            <w:r w:rsidRPr="00944B15">
              <w:rPr>
                <w:rFonts w:eastAsia="Candara-Italic" w:cs="Times New Roman"/>
                <w:szCs w:val="24"/>
              </w:rPr>
              <w:t>Administer according to patient’s needs and specific preparation used.</w:t>
            </w:r>
          </w:p>
          <w:p w14:paraId="66C30A0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 xml:space="preserve">Calculation for units required, based on desired increase in factor </w:t>
            </w:r>
            <w:r w:rsidRPr="00944B15">
              <w:rPr>
                <w:rFonts w:eastAsia="Candara-Italic" w:cs="Times New Roman"/>
                <w:szCs w:val="24"/>
              </w:rPr>
              <w:lastRenderedPageBreak/>
              <w:t>IX (% of normal):</w:t>
            </w:r>
          </w:p>
          <w:p w14:paraId="6365E087"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IU required = body weight (kg) × 1</w:t>
            </w:r>
            <w:r>
              <w:rPr>
                <w:rFonts w:eastAsia="Candara-Italic" w:cs="Times New Roman"/>
                <w:szCs w:val="24"/>
              </w:rPr>
              <w:t>IU/kg</w:t>
            </w:r>
            <w:r w:rsidRPr="00944B15">
              <w:rPr>
                <w:rFonts w:eastAsia="Candara-Italic" w:cs="Times New Roman"/>
                <w:szCs w:val="24"/>
              </w:rPr>
              <w:t xml:space="preserve"> × desired increase in factor IX (IU/</w:t>
            </w:r>
            <w:r>
              <w:rPr>
                <w:rFonts w:eastAsia="Candara-Italic" w:cs="Times New Roman"/>
                <w:szCs w:val="24"/>
              </w:rPr>
              <w:t>ml</w:t>
            </w:r>
            <w:r w:rsidRPr="00944B15">
              <w:rPr>
                <w:rFonts w:eastAsia="Candara-Italic" w:cs="Times New Roman"/>
                <w:szCs w:val="24"/>
              </w:rPr>
              <w:t xml:space="preserve"> or % of normal)</w:t>
            </w:r>
          </w:p>
          <w:p w14:paraId="56637747"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40E3CFA3"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 xml:space="preserve">Neonate, infant </w:t>
            </w:r>
            <w:r w:rsidRPr="00944B15">
              <w:rPr>
                <w:rFonts w:cs="Times New Roman"/>
                <w:szCs w:val="24"/>
              </w:rPr>
              <w:t xml:space="preserve">or </w:t>
            </w:r>
            <w:r w:rsidRPr="00944B15">
              <w:rPr>
                <w:rFonts w:cs="Times New Roman"/>
                <w:b/>
                <w:bCs/>
                <w:szCs w:val="24"/>
              </w:rPr>
              <w:t>child:</w:t>
            </w:r>
          </w:p>
          <w:p w14:paraId="7EA168D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Number of factor IX IU required = body weight (kg) × desired factor IX level increase (% normal) × 1.4 IU/kg. </w:t>
            </w:r>
          </w:p>
          <w:p w14:paraId="113F1A82"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 xml:space="preserve">Neonate, infant </w:t>
            </w:r>
            <w:r w:rsidRPr="00944B15">
              <w:rPr>
                <w:rFonts w:cs="Times New Roman"/>
                <w:szCs w:val="24"/>
              </w:rPr>
              <w:t xml:space="preserve">or </w:t>
            </w:r>
            <w:r w:rsidRPr="00944B15">
              <w:rPr>
                <w:rFonts w:cs="Times New Roman"/>
                <w:b/>
                <w:bCs/>
                <w:szCs w:val="24"/>
              </w:rPr>
              <w:t>child:</w:t>
            </w:r>
          </w:p>
          <w:p w14:paraId="3CE8950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Number of factor IX IU required = body weight (kg) × desired factor IX level increase (% normal) × 1 IU/kg.</w:t>
            </w:r>
          </w:p>
          <w:p w14:paraId="41A97F3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General guidelines</w:t>
            </w:r>
          </w:p>
          <w:p w14:paraId="1E83174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Minor spontaneous haemorrhage, prophylaxis</w:t>
            </w:r>
          </w:p>
          <w:p w14:paraId="26201F7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Desired levels of factor IX for haemostasis: 15–25%</w:t>
            </w:r>
          </w:p>
          <w:p w14:paraId="3964B01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Initial loading dose to achieve desired level: Up to 20–30 IU/kg</w:t>
            </w:r>
          </w:p>
          <w:p w14:paraId="66C4263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Frequency of dosing: Every 12–24 hours</w:t>
            </w:r>
          </w:p>
          <w:p w14:paraId="0DFBE1B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Duration of treatment: 1–2 days</w:t>
            </w:r>
          </w:p>
          <w:p w14:paraId="130F882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Moderate haemorrhage</w:t>
            </w:r>
          </w:p>
          <w:p w14:paraId="55E7AD2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Desired levels of factor IX for haemostasis: 25–50%</w:t>
            </w:r>
          </w:p>
          <w:p w14:paraId="33EB126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Initial loading dose to achieve desired level: 25–50 IU/kg</w:t>
            </w:r>
          </w:p>
          <w:p w14:paraId="5C2DD3B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Frequency of dosing: Every 12–24 hours</w:t>
            </w:r>
          </w:p>
          <w:p w14:paraId="651F9BD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Duration of treatment: 2–7 days</w:t>
            </w:r>
          </w:p>
          <w:p w14:paraId="08ABA10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Major haemorrhage</w:t>
            </w:r>
          </w:p>
          <w:p w14:paraId="3B4DCD1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Desired levels of factor IX for haemostasis: &gt;50%</w:t>
            </w:r>
          </w:p>
          <w:p w14:paraId="32C261C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Initial loading dose to achieve desired level: 30–50 IU/kg</w:t>
            </w:r>
          </w:p>
          <w:p w14:paraId="662E928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Frequency of dosing: Every 12–24 hours, depending on half-life and       measured factor IX levels (after 3–5 days, maintain at least 20% activity)</w:t>
            </w:r>
          </w:p>
          <w:p w14:paraId="23B8CA9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Duration of treatment: 7–10 days, depending upon nature of insult</w:t>
            </w:r>
          </w:p>
          <w:p w14:paraId="0341ED5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Surgery</w:t>
            </w:r>
          </w:p>
          <w:p w14:paraId="133BB3B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Desired levels of factor IX for haemostasis:50–100%</w:t>
            </w:r>
          </w:p>
          <w:p w14:paraId="746A76C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lastRenderedPageBreak/>
              <w:t xml:space="preserve"> Initial loading dose to achieve desired level:50–100 IU/kg</w:t>
            </w:r>
          </w:p>
          <w:p w14:paraId="335AC3F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Frequency of dosing: Every 12–24 hours, depending on half-life and measured factor IX levels</w:t>
            </w:r>
          </w:p>
          <w:p w14:paraId="3C1C023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Duration of treatment: 7–10 days, depending upon nature of insult</w:t>
            </w:r>
          </w:p>
        </w:tc>
      </w:tr>
      <w:tr w:rsidR="00223CE8" w:rsidRPr="00944B15" w14:paraId="2C5835AF" w14:textId="77777777" w:rsidTr="002D6DD7">
        <w:trPr>
          <w:trHeight w:val="629"/>
        </w:trPr>
        <w:tc>
          <w:tcPr>
            <w:tcW w:w="2610" w:type="dxa"/>
            <w:tcBorders>
              <w:top w:val="single" w:sz="4" w:space="0" w:color="auto"/>
              <w:left w:val="single" w:sz="4" w:space="0" w:color="auto"/>
              <w:bottom w:val="single" w:sz="4" w:space="0" w:color="auto"/>
              <w:right w:val="single" w:sz="4" w:space="0" w:color="auto"/>
            </w:tcBorders>
            <w:hideMark/>
          </w:tcPr>
          <w:p w14:paraId="15FBA9BB"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72AB2FDD"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w:t>
            </w:r>
            <w:r w:rsidRPr="00944B15">
              <w:rPr>
                <w:rFonts w:cs="Times New Roman"/>
                <w:szCs w:val="24"/>
              </w:rPr>
              <w:t xml:space="preserve">ypersensitivity to the </w:t>
            </w:r>
            <w:r>
              <w:rPr>
                <w:rFonts w:cs="Times New Roman"/>
                <w:szCs w:val="24"/>
              </w:rPr>
              <w:t>drug</w:t>
            </w:r>
            <w:r w:rsidRPr="00944B15">
              <w:rPr>
                <w:rFonts w:cs="Times New Roman"/>
                <w:szCs w:val="24"/>
              </w:rPr>
              <w:t xml:space="preserve"> </w:t>
            </w:r>
            <w:r>
              <w:rPr>
                <w:rFonts w:cs="Times New Roman"/>
                <w:szCs w:val="24"/>
              </w:rPr>
              <w:t>and mouse or hamster protein, fibrinolysis, d</w:t>
            </w:r>
            <w:r w:rsidRPr="00944B15">
              <w:rPr>
                <w:rFonts w:cs="Times New Roman"/>
                <w:szCs w:val="24"/>
              </w:rPr>
              <w:t>isseminated intravascular coagulation</w:t>
            </w:r>
            <w:r w:rsidR="002D193D">
              <w:rPr>
                <w:rFonts w:cs="Times New Roman"/>
                <w:szCs w:val="24"/>
              </w:rPr>
              <w:t>.</w:t>
            </w:r>
            <w:r w:rsidRPr="00944B15">
              <w:rPr>
                <w:rFonts w:cs="Times New Roman"/>
                <w:szCs w:val="24"/>
              </w:rPr>
              <w:t xml:space="preserve"> </w:t>
            </w:r>
          </w:p>
        </w:tc>
      </w:tr>
      <w:tr w:rsidR="00223CE8" w:rsidRPr="00944B15" w14:paraId="678ED04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F1052E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4049BAC4"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E90E67">
              <w:rPr>
                <w:rFonts w:cs="Times New Roman"/>
                <w:szCs w:val="24"/>
              </w:rPr>
              <w:t>is</w:t>
            </w:r>
            <w:r>
              <w:rPr>
                <w:rFonts w:cs="Times New Roman"/>
                <w:szCs w:val="24"/>
              </w:rPr>
              <w:t xml:space="preserve"> no known significant drug interaction.</w:t>
            </w:r>
          </w:p>
        </w:tc>
      </w:tr>
      <w:tr w:rsidR="00223CE8" w:rsidRPr="00944B15" w14:paraId="2F86B91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CD96D9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6C4F0BD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Allergic reactions including chills and fever, flushing, headache, nausea, vomiting, urticarial, disseminated intravascular coagulation and thrombosis.</w:t>
            </w:r>
          </w:p>
        </w:tc>
      </w:tr>
      <w:tr w:rsidR="00223CE8" w:rsidRPr="00944B15" w14:paraId="27B4113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E774374"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2063976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Liver dysfunction, postoperative period, neonates</w:t>
            </w:r>
            <w:r w:rsidR="002D193D">
              <w:rPr>
                <w:rFonts w:cs="Times New Roman"/>
                <w:szCs w:val="24"/>
              </w:rPr>
              <w:t>.</w:t>
            </w:r>
          </w:p>
        </w:tc>
      </w:tr>
      <w:tr w:rsidR="00223CE8" w:rsidRPr="00944B15" w14:paraId="0DB3ED6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205AA7F"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6E6AAE7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in a refrigerat</w:t>
            </w:r>
            <w:r>
              <w:rPr>
                <w:rFonts w:cs="Times New Roman"/>
                <w:szCs w:val="24"/>
              </w:rPr>
              <w:t xml:space="preserve">or at </w:t>
            </w:r>
            <w:r w:rsidRPr="00944B15">
              <w:rPr>
                <w:rFonts w:cs="Times New Roman"/>
                <w:szCs w:val="24"/>
              </w:rPr>
              <w:t>2°C to 8°C. Do not freeze.</w:t>
            </w:r>
          </w:p>
        </w:tc>
      </w:tr>
      <w:tr w:rsidR="00223CE8" w:rsidRPr="00944B15" w14:paraId="7B2D5B9C"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4AA6C701" w14:textId="77777777" w:rsidR="00223CE8" w:rsidRPr="00944B15" w:rsidRDefault="00223CE8" w:rsidP="002D6DD7">
            <w:pPr>
              <w:spacing w:after="0"/>
              <w:jc w:val="both"/>
              <w:rPr>
                <w:rFonts w:cs="Times New Roman"/>
                <w:b/>
                <w:szCs w:val="24"/>
              </w:rPr>
            </w:pPr>
            <w:r w:rsidRPr="00944B15">
              <w:rPr>
                <w:rFonts w:cs="Times New Roman"/>
                <w:b/>
                <w:szCs w:val="24"/>
              </w:rPr>
              <w:t>Coagulation factor</w:t>
            </w:r>
            <w:r w:rsidRPr="00944B15">
              <w:rPr>
                <w:rFonts w:cs="Times New Roman"/>
                <w:b/>
                <w:spacing w:val="-2"/>
                <w:szCs w:val="24"/>
              </w:rPr>
              <w:t xml:space="preserve"> I</w:t>
            </w:r>
            <w:r w:rsidRPr="00944B15">
              <w:rPr>
                <w:rFonts w:cs="Times New Roman"/>
                <w:b/>
                <w:szCs w:val="24"/>
              </w:rPr>
              <w:t>X complex</w:t>
            </w:r>
          </w:p>
        </w:tc>
      </w:tr>
      <w:tr w:rsidR="00223CE8" w:rsidRPr="00944B15" w14:paraId="5EF7CFE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6205F3E"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72F292D4" w14:textId="77777777" w:rsidR="00223CE8" w:rsidRPr="00944B15" w:rsidRDefault="00223CE8" w:rsidP="002D6DD7">
            <w:pPr>
              <w:spacing w:after="0"/>
              <w:jc w:val="both"/>
              <w:rPr>
                <w:rFonts w:cs="Times New Roman"/>
                <w:szCs w:val="24"/>
              </w:rPr>
            </w:pPr>
            <w:r>
              <w:rPr>
                <w:rFonts w:cs="Times New Roman"/>
                <w:szCs w:val="24"/>
              </w:rPr>
              <w:t>Blood coagulation factor</w:t>
            </w:r>
          </w:p>
        </w:tc>
      </w:tr>
      <w:tr w:rsidR="00223CE8" w:rsidRPr="00944B15" w14:paraId="53BED985"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63EF47DA"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6DA450DB" w14:textId="77777777" w:rsidR="00223CE8" w:rsidRPr="00944B15" w:rsidRDefault="00223CE8" w:rsidP="002D6DD7">
            <w:pPr>
              <w:rPr>
                <w:rFonts w:cs="Times New Roman"/>
                <w:szCs w:val="24"/>
              </w:rPr>
            </w:pPr>
            <w:r w:rsidRPr="001C7B13">
              <w:rPr>
                <w:rFonts w:cs="Times New Roman"/>
                <w:szCs w:val="24"/>
              </w:rPr>
              <w:t>Powder for injection: 500 IU; 1000 IU in via</w:t>
            </w:r>
            <w:r>
              <w:rPr>
                <w:rFonts w:cs="Times New Roman"/>
                <w:szCs w:val="24"/>
              </w:rPr>
              <w:t>l</w:t>
            </w:r>
          </w:p>
        </w:tc>
      </w:tr>
      <w:tr w:rsidR="00223CE8" w:rsidRPr="00944B15" w14:paraId="547CEFF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BAB95D0"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609F25E0"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Prevention and control of haemorrhagic episodes.</w:t>
            </w:r>
          </w:p>
        </w:tc>
      </w:tr>
      <w:tr w:rsidR="00223CE8" w:rsidRPr="00944B15" w14:paraId="675502F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80FD982"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73184231" w14:textId="77777777" w:rsidR="00223CE8"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Adult</w:t>
            </w:r>
            <w:r>
              <w:rPr>
                <w:rFonts w:eastAsia="Candara-Italic" w:cs="Times New Roman"/>
                <w:b/>
                <w:iCs/>
                <w:szCs w:val="24"/>
              </w:rPr>
              <w:t>:</w:t>
            </w:r>
          </w:p>
          <w:p w14:paraId="04B03635" w14:textId="77777777" w:rsidR="00223CE8" w:rsidRPr="00944B15" w:rsidRDefault="00223CE8" w:rsidP="002D6DD7">
            <w:pPr>
              <w:autoSpaceDE w:val="0"/>
              <w:autoSpaceDN w:val="0"/>
              <w:adjustRightInd w:val="0"/>
              <w:spacing w:after="0"/>
              <w:jc w:val="both"/>
              <w:rPr>
                <w:rFonts w:eastAsia="Candara-Italic" w:cs="Times New Roman"/>
                <w:b/>
                <w:iCs/>
                <w:szCs w:val="24"/>
              </w:rPr>
            </w:pPr>
            <w:r>
              <w:rPr>
                <w:rFonts w:eastAsia="Candara-Italic" w:cs="Times New Roman"/>
                <w:b/>
                <w:iCs/>
                <w:szCs w:val="24"/>
              </w:rPr>
              <w:t>Haemophilia B:</w:t>
            </w:r>
          </w:p>
          <w:p w14:paraId="771C520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Dose:</w:t>
            </w:r>
            <w:r>
              <w:rPr>
                <w:rFonts w:cs="Times New Roman"/>
                <w:szCs w:val="24"/>
              </w:rPr>
              <w:t xml:space="preserve"> </w:t>
            </w:r>
            <w:r w:rsidRPr="00944B15">
              <w:rPr>
                <w:rFonts w:cs="Times New Roman"/>
                <w:szCs w:val="24"/>
              </w:rPr>
              <w:t>Number of Factor IX IU required = body weight (kg) x desired increase in plasma Factor IX (%) x 1.2 IU/kg</w:t>
            </w:r>
          </w:p>
          <w:p w14:paraId="1483373A"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Management of bleeding</w:t>
            </w:r>
            <w:r w:rsidR="00CB109A">
              <w:rPr>
                <w:rFonts w:cs="Times New Roman"/>
                <w:b/>
                <w:szCs w:val="24"/>
              </w:rPr>
              <w:t>:</w:t>
            </w:r>
          </w:p>
          <w:p w14:paraId="08EA628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Minor: Single dose of 25-35 IU/kg IV x 1 dose; may repeat dose after 24 hr</w:t>
            </w:r>
          </w:p>
          <w:p w14:paraId="22D34A5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Moderate: 40-55 IU/kg/day IV x 2 days or until adequate wound healing</w:t>
            </w:r>
          </w:p>
          <w:p w14:paraId="1ED8796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Major: 60-70 IU/kg/day IV x 2-3 days or until adequate wound healing</w:t>
            </w:r>
          </w:p>
          <w:p w14:paraId="71B70171"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Management of surgical procedures</w:t>
            </w:r>
            <w:r>
              <w:rPr>
                <w:rFonts w:cs="Times New Roman"/>
                <w:b/>
                <w:szCs w:val="24"/>
              </w:rPr>
              <w:t>:</w:t>
            </w:r>
          </w:p>
          <w:p w14:paraId="14BF4AC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Minor: 50-60 IU/kg IV on day of surgery, decrease to 25-55 IU/kg/day during initial postop period (i.e., 1st to 2nd week)</w:t>
            </w:r>
          </w:p>
          <w:p w14:paraId="09A3ADF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lastRenderedPageBreak/>
              <w:t>Major: 70-95 IU/kg IV on day of surgery, decrease to 35-70 IU/kg/day during initial postop period (i.e., 1st to 2nd week), THEN 25-35 IU/kg/day late postop period (i.e., 3rd week onwards)</w:t>
            </w:r>
            <w:r w:rsidR="00CB109A">
              <w:rPr>
                <w:rFonts w:cs="Times New Roman"/>
                <w:szCs w:val="24"/>
              </w:rPr>
              <w:t>.</w:t>
            </w:r>
          </w:p>
        </w:tc>
      </w:tr>
      <w:tr w:rsidR="00223CE8" w:rsidRPr="00944B15" w14:paraId="4246E66C" w14:textId="77777777" w:rsidTr="002D6DD7">
        <w:trPr>
          <w:trHeight w:val="629"/>
        </w:trPr>
        <w:tc>
          <w:tcPr>
            <w:tcW w:w="2610" w:type="dxa"/>
            <w:tcBorders>
              <w:top w:val="single" w:sz="4" w:space="0" w:color="auto"/>
              <w:left w:val="single" w:sz="4" w:space="0" w:color="auto"/>
              <w:bottom w:val="single" w:sz="4" w:space="0" w:color="auto"/>
              <w:right w:val="single" w:sz="4" w:space="0" w:color="auto"/>
            </w:tcBorders>
            <w:hideMark/>
          </w:tcPr>
          <w:p w14:paraId="435FA6B5"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tcPr>
          <w:p w14:paraId="478B339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the </w:t>
            </w:r>
            <w:r>
              <w:rPr>
                <w:rFonts w:cs="Times New Roman"/>
                <w:szCs w:val="24"/>
              </w:rPr>
              <w:t>drug</w:t>
            </w:r>
            <w:r w:rsidRPr="00944B15">
              <w:rPr>
                <w:rFonts w:cs="Times New Roman"/>
                <w:szCs w:val="24"/>
              </w:rPr>
              <w:t>, known allergy to heparin or history of heparin-induced thrombocytopenia.</w:t>
            </w:r>
          </w:p>
        </w:tc>
      </w:tr>
      <w:tr w:rsidR="00223CE8" w:rsidRPr="00944B15" w14:paraId="28174A4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5028A69"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tcPr>
          <w:p w14:paraId="3D84BB6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tranexamic acid</w:t>
            </w:r>
            <w:r w:rsidR="00CB109A">
              <w:rPr>
                <w:rFonts w:cs="Times New Roman"/>
                <w:szCs w:val="24"/>
              </w:rPr>
              <w:t>.</w:t>
            </w:r>
          </w:p>
        </w:tc>
      </w:tr>
      <w:tr w:rsidR="00223CE8" w:rsidRPr="00944B15" w14:paraId="0E1B9A6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08914B5"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tcPr>
          <w:p w14:paraId="45EC1CD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Disseminated intravascular coagulation, anaphylactic reactions, headache, tachycardia, dyspnoea, bronchospasm, wheezing, cough, angioedema, facial oedema, rash, pruritus and infusion site reactions.</w:t>
            </w:r>
          </w:p>
        </w:tc>
      </w:tr>
      <w:tr w:rsidR="00223CE8" w:rsidRPr="00944B15" w14:paraId="316B1B8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3FF5EFF"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tcPr>
          <w:p w14:paraId="06EC46F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Risk of transmitting infectious agents (e.g., viruses), in patients with thromboembolic events such as DVT, PE or thrombotic stroke.</w:t>
            </w:r>
          </w:p>
        </w:tc>
      </w:tr>
      <w:tr w:rsidR="00223CE8" w:rsidRPr="00944B15" w14:paraId="7F90F37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50C649B"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tcPr>
          <w:p w14:paraId="777C889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Store in a refrigerator </w:t>
            </w:r>
            <w:r>
              <w:rPr>
                <w:rFonts w:cs="Times New Roman"/>
                <w:szCs w:val="24"/>
              </w:rPr>
              <w:t>(</w:t>
            </w:r>
            <w:r w:rsidRPr="00944B15">
              <w:rPr>
                <w:rFonts w:cs="Times New Roman"/>
                <w:szCs w:val="24"/>
              </w:rPr>
              <w:t>2°C to 8°C</w:t>
            </w:r>
            <w:r>
              <w:rPr>
                <w:rFonts w:cs="Times New Roman"/>
                <w:szCs w:val="24"/>
              </w:rPr>
              <w:t>)</w:t>
            </w:r>
            <w:r w:rsidRPr="00944B15">
              <w:rPr>
                <w:rFonts w:cs="Times New Roman"/>
                <w:szCs w:val="24"/>
              </w:rPr>
              <w:t>. Do not freeze.</w:t>
            </w:r>
          </w:p>
        </w:tc>
      </w:tr>
    </w:tbl>
    <w:p w14:paraId="76D97B70" w14:textId="77777777" w:rsidR="00223CE8" w:rsidRPr="00CB109A" w:rsidRDefault="00223CE8" w:rsidP="00CB109A">
      <w:pPr>
        <w:pStyle w:val="Heading2"/>
        <w:spacing w:before="240" w:after="240"/>
      </w:pPr>
      <w:bookmarkStart w:id="164" w:name="_Toc179490384"/>
      <w:r w:rsidRPr="00CB109A">
        <w:t xml:space="preserve">Plasma </w:t>
      </w:r>
      <w:r w:rsidR="00CB109A">
        <w:t>s</w:t>
      </w:r>
      <w:r w:rsidRPr="00CB109A">
        <w:t>ubstitutes</w:t>
      </w:r>
      <w:bookmarkEnd w:id="164"/>
    </w:p>
    <w:p w14:paraId="10617C17" w14:textId="77777777" w:rsidR="00223CE8" w:rsidRPr="00944B15" w:rsidRDefault="00223CE8" w:rsidP="00223CE8">
      <w:pPr>
        <w:spacing w:after="0"/>
        <w:jc w:val="both"/>
        <w:rPr>
          <w:rFonts w:cs="Times New Roman"/>
          <w:szCs w:val="24"/>
          <w:shd w:val="clear" w:color="auto" w:fill="FFFFFF"/>
        </w:rPr>
      </w:pPr>
      <w:r w:rsidRPr="00944B15">
        <w:rPr>
          <w:rFonts w:cs="Times New Roman"/>
          <w:szCs w:val="24"/>
          <w:shd w:val="clear" w:color="auto" w:fill="FFFFFF"/>
        </w:rPr>
        <w:t>Plasma substitutes, also known as plasma expanders or volume expanders, are solutions administered intravenously to increase the volume of circulating blood plasma. They serve as alternatives to blood transfusions in situations where there is a need to expand blood volume, such as in cases of hypovolemia (low blood volume) or shock, without the necessity of administering whole blood or blood components.</w:t>
      </w:r>
    </w:p>
    <w:p w14:paraId="06E23056" w14:textId="77777777" w:rsidR="00223CE8" w:rsidRDefault="00223CE8" w:rsidP="00223CE8">
      <w:pPr>
        <w:spacing w:before="240" w:after="0"/>
        <w:jc w:val="both"/>
        <w:rPr>
          <w:rFonts w:cs="Times New Roman"/>
          <w:szCs w:val="24"/>
          <w:shd w:val="clear" w:color="auto" w:fill="FFFFFF"/>
        </w:rPr>
      </w:pPr>
      <w:r w:rsidRPr="00944B15">
        <w:rPr>
          <w:rFonts w:cs="Times New Roman"/>
          <w:szCs w:val="24"/>
          <w:shd w:val="clear" w:color="auto" w:fill="FFFFFF"/>
        </w:rPr>
        <w:t>Plasma substitutes are primarily used to maintain adequate blood pressure and tissue perfusion, thereby preventing organ damage and promoting recovery. They are particularly valuable in emergency situations, trauma care, surgery, and certain medical conditions where rapid volume expansion is crucial.</w:t>
      </w:r>
    </w:p>
    <w:p w14:paraId="2E650CA3" w14:textId="77777777" w:rsidR="00223CE8" w:rsidRPr="00944B15" w:rsidRDefault="00223CE8" w:rsidP="00223CE8">
      <w:pPr>
        <w:spacing w:before="240" w:after="0"/>
        <w:jc w:val="both"/>
        <w:rPr>
          <w:rFonts w:cs="Times New Roman"/>
          <w:szCs w:val="24"/>
          <w:shd w:val="clear" w:color="auto" w:fill="FFFFFF"/>
        </w:rPr>
      </w:pPr>
      <w:r w:rsidRPr="00944B15">
        <w:rPr>
          <w:rFonts w:cs="Times New Roman"/>
          <w:szCs w:val="24"/>
          <w:shd w:val="clear" w:color="auto" w:fill="FFFFFF"/>
        </w:rPr>
        <w:t xml:space="preserve">The choice of plasma substitute depends on various factors, including the clinical scenario, patient's condition, volume status, electrolyte balance, and underlying comorbidities. However, it's essential to consider potential adverse effects and contraindications associated with each type </w:t>
      </w:r>
      <w:r w:rsidRPr="00944B15">
        <w:rPr>
          <w:rFonts w:cs="Times New Roman"/>
          <w:szCs w:val="24"/>
          <w:shd w:val="clear" w:color="auto" w:fill="FFFFFF"/>
        </w:rPr>
        <w:lastRenderedPageBreak/>
        <w:t>of plasma expander, such as allergic reactions, coagulopathy, renal impairment, and tissue oedema.</w:t>
      </w:r>
    </w:p>
    <w:tbl>
      <w:tblPr>
        <w:tblW w:w="10008" w:type="dxa"/>
        <w:tblLook w:val="04A0" w:firstRow="1" w:lastRow="0" w:firstColumn="1" w:lastColumn="0" w:noHBand="0" w:noVBand="1"/>
      </w:tblPr>
      <w:tblGrid>
        <w:gridCol w:w="2605"/>
        <w:gridCol w:w="7403"/>
      </w:tblGrid>
      <w:tr w:rsidR="00223CE8" w:rsidRPr="00944B15" w14:paraId="7C1F58B4" w14:textId="77777777" w:rsidTr="002D6DD7">
        <w:tc>
          <w:tcPr>
            <w:tcW w:w="10008" w:type="dxa"/>
            <w:gridSpan w:val="2"/>
            <w:tcBorders>
              <w:top w:val="single" w:sz="4" w:space="0" w:color="auto"/>
              <w:left w:val="single" w:sz="4" w:space="0" w:color="auto"/>
              <w:bottom w:val="single" w:sz="4" w:space="0" w:color="auto"/>
              <w:right w:val="single" w:sz="4" w:space="0" w:color="auto"/>
            </w:tcBorders>
            <w:hideMark/>
          </w:tcPr>
          <w:p w14:paraId="75A2A84C" w14:textId="77777777" w:rsidR="00223CE8" w:rsidRPr="00944B15" w:rsidRDefault="00223CE8" w:rsidP="002D6DD7">
            <w:pPr>
              <w:spacing w:after="0"/>
              <w:jc w:val="both"/>
              <w:rPr>
                <w:rFonts w:cs="Times New Roman"/>
                <w:b/>
                <w:szCs w:val="24"/>
              </w:rPr>
            </w:pPr>
            <w:r w:rsidRPr="00944B15">
              <w:rPr>
                <w:rFonts w:cs="Times New Roman"/>
                <w:b/>
                <w:szCs w:val="24"/>
              </w:rPr>
              <w:t>Albumin</w:t>
            </w:r>
          </w:p>
        </w:tc>
      </w:tr>
      <w:tr w:rsidR="00223CE8" w:rsidRPr="00944B15" w14:paraId="2273D2D4"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99ADD36"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403" w:type="dxa"/>
            <w:tcBorders>
              <w:top w:val="single" w:sz="4" w:space="0" w:color="auto"/>
              <w:left w:val="single" w:sz="4" w:space="0" w:color="auto"/>
              <w:bottom w:val="single" w:sz="4" w:space="0" w:color="auto"/>
              <w:right w:val="single" w:sz="4" w:space="0" w:color="auto"/>
            </w:tcBorders>
            <w:hideMark/>
          </w:tcPr>
          <w:p w14:paraId="25254925"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 </w:t>
            </w:r>
            <w:hyperlink r:id="rId46" w:history="1">
              <w:r w:rsidRPr="00944B15">
                <w:rPr>
                  <w:rStyle w:val="Hyperlink"/>
                  <w:rFonts w:cs="Times New Roman"/>
                  <w:color w:val="auto"/>
                  <w:szCs w:val="24"/>
                  <w:u w:val="none"/>
                  <w:shd w:val="clear" w:color="auto" w:fill="FFFFFF"/>
                </w:rPr>
                <w:t>Volume expanders</w:t>
              </w:r>
            </w:hyperlink>
          </w:p>
        </w:tc>
      </w:tr>
      <w:tr w:rsidR="00223CE8" w:rsidRPr="00944B15" w14:paraId="0282FF8B" w14:textId="77777777" w:rsidTr="002D6DD7">
        <w:trPr>
          <w:trHeight w:val="476"/>
        </w:trPr>
        <w:tc>
          <w:tcPr>
            <w:tcW w:w="2605" w:type="dxa"/>
            <w:tcBorders>
              <w:top w:val="single" w:sz="4" w:space="0" w:color="auto"/>
              <w:left w:val="single" w:sz="4" w:space="0" w:color="auto"/>
              <w:bottom w:val="single" w:sz="4" w:space="0" w:color="auto"/>
              <w:right w:val="single" w:sz="4" w:space="0" w:color="auto"/>
            </w:tcBorders>
            <w:hideMark/>
          </w:tcPr>
          <w:p w14:paraId="506BE64E"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403" w:type="dxa"/>
            <w:tcBorders>
              <w:top w:val="single" w:sz="4" w:space="0" w:color="auto"/>
              <w:left w:val="single" w:sz="4" w:space="0" w:color="auto"/>
              <w:bottom w:val="single" w:sz="4" w:space="0" w:color="auto"/>
              <w:right w:val="single" w:sz="4" w:space="0" w:color="auto"/>
            </w:tcBorders>
            <w:hideMark/>
          </w:tcPr>
          <w:p w14:paraId="566F2FA0" w14:textId="77777777" w:rsidR="00223CE8" w:rsidRPr="00944B15" w:rsidRDefault="00223CE8" w:rsidP="002D6DD7">
            <w:pPr>
              <w:spacing w:after="0"/>
              <w:jc w:val="both"/>
              <w:rPr>
                <w:rFonts w:cs="Times New Roman"/>
                <w:szCs w:val="24"/>
              </w:rPr>
            </w:pPr>
            <w:r w:rsidRPr="00944B15">
              <w:rPr>
                <w:rFonts w:cs="Times New Roman"/>
                <w:szCs w:val="24"/>
              </w:rPr>
              <w:t>Solution: 20%</w:t>
            </w:r>
          </w:p>
        </w:tc>
      </w:tr>
      <w:tr w:rsidR="00223CE8" w:rsidRPr="00944B15" w14:paraId="52888FEF"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69238FB"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403" w:type="dxa"/>
            <w:tcBorders>
              <w:top w:val="single" w:sz="4" w:space="0" w:color="auto"/>
              <w:left w:val="single" w:sz="4" w:space="0" w:color="auto"/>
              <w:bottom w:val="single" w:sz="4" w:space="0" w:color="auto"/>
              <w:right w:val="single" w:sz="4" w:space="0" w:color="auto"/>
            </w:tcBorders>
            <w:hideMark/>
          </w:tcPr>
          <w:p w14:paraId="62A0EBF2" w14:textId="77777777" w:rsidR="00223CE8" w:rsidRPr="00944B15" w:rsidRDefault="00223CE8" w:rsidP="002D6DD7">
            <w:pPr>
              <w:autoSpaceDE w:val="0"/>
              <w:autoSpaceDN w:val="0"/>
              <w:adjustRightInd w:val="0"/>
              <w:spacing w:after="0"/>
              <w:jc w:val="both"/>
              <w:rPr>
                <w:rFonts w:cs="Times New Roman"/>
                <w:iCs/>
                <w:szCs w:val="24"/>
              </w:rPr>
            </w:pPr>
            <w:r w:rsidRPr="00944B15">
              <w:rPr>
                <w:rFonts w:cs="Times New Roman"/>
                <w:iCs/>
                <w:szCs w:val="24"/>
              </w:rPr>
              <w:t>Restoration and maintenance of circulating blood volume where volume deficiency has been demonstrated, and use of a colloid is appropriate.</w:t>
            </w:r>
          </w:p>
        </w:tc>
      </w:tr>
      <w:tr w:rsidR="00223CE8" w:rsidRPr="00944B15" w14:paraId="0FB70C9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5C06A8AD"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7403" w:type="dxa"/>
            <w:tcBorders>
              <w:top w:val="single" w:sz="4" w:space="0" w:color="auto"/>
              <w:left w:val="single" w:sz="4" w:space="0" w:color="auto"/>
              <w:bottom w:val="single" w:sz="4" w:space="0" w:color="auto"/>
              <w:right w:val="single" w:sz="4" w:space="0" w:color="auto"/>
            </w:tcBorders>
            <w:hideMark/>
          </w:tcPr>
          <w:p w14:paraId="0681E16C"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Adult:</w:t>
            </w:r>
          </w:p>
          <w:p w14:paraId="3FB1A747" w14:textId="77777777" w:rsidR="00223CE8" w:rsidRDefault="00223CE8" w:rsidP="002D6DD7">
            <w:pPr>
              <w:autoSpaceDE w:val="0"/>
              <w:autoSpaceDN w:val="0"/>
              <w:adjustRightInd w:val="0"/>
              <w:spacing w:after="0"/>
              <w:jc w:val="both"/>
              <w:rPr>
                <w:rFonts w:cs="Times New Roman"/>
                <w:szCs w:val="24"/>
              </w:rPr>
            </w:pPr>
            <w:r w:rsidRPr="00D76338">
              <w:rPr>
                <w:rFonts w:cs="Times New Roman"/>
                <w:b/>
                <w:szCs w:val="24"/>
              </w:rPr>
              <w:t>Adult respiratory distress syndrome:25% albumin:</w:t>
            </w:r>
          </w:p>
          <w:p w14:paraId="1D6B2DBB" w14:textId="77777777" w:rsidR="00223CE8" w:rsidRPr="00D76338" w:rsidRDefault="00223CE8" w:rsidP="002D6DD7">
            <w:pPr>
              <w:autoSpaceDE w:val="0"/>
              <w:autoSpaceDN w:val="0"/>
              <w:adjustRightInd w:val="0"/>
              <w:spacing w:after="0"/>
              <w:jc w:val="both"/>
              <w:rPr>
                <w:rFonts w:cs="Times New Roman"/>
                <w:b/>
                <w:szCs w:val="24"/>
              </w:rPr>
            </w:pPr>
            <w:r w:rsidRPr="00FC405D">
              <w:rPr>
                <w:rFonts w:cs="Times New Roman"/>
                <w:szCs w:val="24"/>
              </w:rPr>
              <w:t xml:space="preserve"> IV: 25 g over 30 minutes (in combination with furosemide); may repeat at 8 hours (if necessary) for 3 days; titrate to fluid loss and normalization of serum total protein. </w:t>
            </w:r>
          </w:p>
          <w:p w14:paraId="33C617BB" w14:textId="77777777" w:rsidR="00223CE8" w:rsidRDefault="00223CE8" w:rsidP="002D6DD7">
            <w:pPr>
              <w:autoSpaceDE w:val="0"/>
              <w:autoSpaceDN w:val="0"/>
              <w:adjustRightInd w:val="0"/>
              <w:spacing w:after="0"/>
              <w:jc w:val="both"/>
              <w:rPr>
                <w:rFonts w:cs="Times New Roman"/>
                <w:szCs w:val="24"/>
              </w:rPr>
            </w:pPr>
            <w:r w:rsidRPr="00D76338">
              <w:rPr>
                <w:rFonts w:cs="Times New Roman"/>
                <w:b/>
                <w:szCs w:val="24"/>
              </w:rPr>
              <w:t>Cirrhotic ascites, therapeutic large volume paracentesis (a</w:t>
            </w:r>
            <w:r>
              <w:rPr>
                <w:rFonts w:cs="Times New Roman"/>
                <w:b/>
                <w:szCs w:val="24"/>
              </w:rPr>
              <w:t xml:space="preserve">djunctive agent): </w:t>
            </w:r>
            <w:r w:rsidRPr="00D76338">
              <w:rPr>
                <w:rFonts w:cs="Times New Roman"/>
                <w:b/>
                <w:szCs w:val="24"/>
              </w:rPr>
              <w:t>25% albumin:</w:t>
            </w:r>
            <w:r w:rsidRPr="00FC405D">
              <w:rPr>
                <w:rFonts w:cs="Times New Roman"/>
                <w:szCs w:val="24"/>
              </w:rPr>
              <w:t xml:space="preserve"> </w:t>
            </w:r>
          </w:p>
          <w:p w14:paraId="51892EA2" w14:textId="77777777" w:rsidR="00223CE8" w:rsidRPr="00D76338" w:rsidRDefault="00223CE8" w:rsidP="002D6DD7">
            <w:pPr>
              <w:autoSpaceDE w:val="0"/>
              <w:autoSpaceDN w:val="0"/>
              <w:adjustRightInd w:val="0"/>
              <w:spacing w:after="0"/>
              <w:jc w:val="both"/>
              <w:rPr>
                <w:rFonts w:cs="Times New Roman"/>
                <w:b/>
                <w:szCs w:val="24"/>
              </w:rPr>
            </w:pPr>
            <w:r w:rsidRPr="00FC405D">
              <w:rPr>
                <w:rFonts w:cs="Times New Roman"/>
                <w:szCs w:val="24"/>
              </w:rPr>
              <w:t>IV: 6 to 8 g for every liter removed or 50 g total for paracentesis &gt;5 L. Note: Administer at the time of or soon after the procedure to avoid postparacentesis complications (eg, hypovolemia, hyponatremia, kidney impairment).</w:t>
            </w:r>
          </w:p>
          <w:p w14:paraId="16CEE48E" w14:textId="77777777" w:rsidR="00223CE8" w:rsidRPr="00D76338" w:rsidRDefault="00223CE8" w:rsidP="002D6DD7">
            <w:pPr>
              <w:autoSpaceDE w:val="0"/>
              <w:autoSpaceDN w:val="0"/>
              <w:adjustRightInd w:val="0"/>
              <w:spacing w:after="0"/>
              <w:jc w:val="both"/>
              <w:rPr>
                <w:rFonts w:cs="Times New Roman"/>
                <w:b/>
                <w:szCs w:val="24"/>
              </w:rPr>
            </w:pPr>
            <w:r w:rsidRPr="00D76338">
              <w:rPr>
                <w:rFonts w:cs="Times New Roman"/>
                <w:b/>
                <w:szCs w:val="24"/>
              </w:rPr>
              <w:t>Hypovolemia</w:t>
            </w:r>
            <w:r>
              <w:rPr>
                <w:rFonts w:cs="Times New Roman"/>
                <w:b/>
                <w:szCs w:val="24"/>
              </w:rPr>
              <w:t>:</w:t>
            </w:r>
          </w:p>
          <w:p w14:paraId="1A22DE0D" w14:textId="77777777" w:rsidR="00223CE8" w:rsidRPr="00FC405D" w:rsidRDefault="00223CE8" w:rsidP="002D6DD7">
            <w:pPr>
              <w:autoSpaceDE w:val="0"/>
              <w:autoSpaceDN w:val="0"/>
              <w:adjustRightInd w:val="0"/>
              <w:spacing w:after="0"/>
              <w:jc w:val="both"/>
              <w:rPr>
                <w:rFonts w:cs="Times New Roman"/>
                <w:szCs w:val="24"/>
              </w:rPr>
            </w:pPr>
            <w:r w:rsidRPr="00FC405D">
              <w:rPr>
                <w:rFonts w:cs="Times New Roman"/>
                <w:szCs w:val="24"/>
              </w:rPr>
              <w:t xml:space="preserve">IV: Initial: 12.5 to 25 g (250 to 500 </w:t>
            </w:r>
            <w:r>
              <w:rPr>
                <w:rFonts w:cs="Times New Roman"/>
                <w:szCs w:val="24"/>
              </w:rPr>
              <w:t>ml</w:t>
            </w:r>
            <w:r w:rsidRPr="00FC405D">
              <w:rPr>
                <w:rFonts w:cs="Times New Roman"/>
                <w:szCs w:val="24"/>
              </w:rPr>
              <w:t xml:space="preserve">); repeat after 15 to 30 minutes as needed (if hemodynamic stability is not achieved). Note: In patients with sepsis or septic shock, may consider after inadequate response to large volumes of crystalloid therapy. </w:t>
            </w:r>
          </w:p>
          <w:p w14:paraId="46AD509E" w14:textId="77777777" w:rsidR="00223CE8" w:rsidRDefault="00223CE8" w:rsidP="002D6DD7">
            <w:pPr>
              <w:autoSpaceDE w:val="0"/>
              <w:autoSpaceDN w:val="0"/>
              <w:adjustRightInd w:val="0"/>
              <w:spacing w:after="0"/>
              <w:jc w:val="both"/>
              <w:rPr>
                <w:rFonts w:cs="Times New Roman"/>
                <w:szCs w:val="24"/>
              </w:rPr>
            </w:pPr>
            <w:r w:rsidRPr="00D76338">
              <w:rPr>
                <w:rFonts w:cs="Times New Roman"/>
                <w:b/>
                <w:szCs w:val="24"/>
              </w:rPr>
              <w:t>Ovarian hyperstimulation syndrome (treatment):</w:t>
            </w:r>
            <w:r w:rsidRPr="00FC405D">
              <w:rPr>
                <w:rFonts w:cs="Times New Roman"/>
                <w:szCs w:val="24"/>
              </w:rPr>
              <w:t xml:space="preserve"> </w:t>
            </w:r>
          </w:p>
          <w:p w14:paraId="01FAAA93" w14:textId="77777777" w:rsidR="00223CE8" w:rsidRPr="00FC405D" w:rsidRDefault="00223CE8" w:rsidP="002D6DD7">
            <w:pPr>
              <w:autoSpaceDE w:val="0"/>
              <w:autoSpaceDN w:val="0"/>
              <w:adjustRightInd w:val="0"/>
              <w:spacing w:after="0"/>
              <w:jc w:val="both"/>
              <w:rPr>
                <w:rFonts w:cs="Times New Roman"/>
                <w:szCs w:val="24"/>
              </w:rPr>
            </w:pPr>
            <w:r w:rsidRPr="00FC405D">
              <w:rPr>
                <w:rFonts w:cs="Times New Roman"/>
                <w:szCs w:val="24"/>
              </w:rPr>
              <w:t>25% albumin: IV: 50 to 100 g over 4 hours; repeat at 4 to 12 hours intervals as needed.</w:t>
            </w:r>
          </w:p>
          <w:p w14:paraId="086E6F78" w14:textId="77777777" w:rsidR="00223CE8" w:rsidRPr="00944B15" w:rsidRDefault="00223CE8" w:rsidP="002D6DD7">
            <w:pPr>
              <w:autoSpaceDE w:val="0"/>
              <w:autoSpaceDN w:val="0"/>
              <w:adjustRightInd w:val="0"/>
              <w:spacing w:after="0"/>
              <w:jc w:val="both"/>
              <w:rPr>
                <w:rFonts w:cs="Times New Roman"/>
                <w:szCs w:val="24"/>
              </w:rPr>
            </w:pPr>
            <w:r w:rsidRPr="00D76338">
              <w:rPr>
                <w:rFonts w:cs="Times New Roman"/>
                <w:b/>
                <w:szCs w:val="24"/>
              </w:rPr>
              <w:t>Plasma exchange, therapeutic: 5% albumin:</w:t>
            </w:r>
            <w:r w:rsidRPr="00FC405D">
              <w:rPr>
                <w:rFonts w:cs="Times New Roman"/>
                <w:szCs w:val="24"/>
              </w:rPr>
              <w:t xml:space="preserve"> IV: Titrate dose to plasma volume removed during procedure.</w:t>
            </w:r>
          </w:p>
        </w:tc>
      </w:tr>
      <w:tr w:rsidR="00223CE8" w:rsidRPr="00944B15" w14:paraId="2998BDA2" w14:textId="77777777" w:rsidTr="002D6DD7">
        <w:trPr>
          <w:trHeight w:val="386"/>
        </w:trPr>
        <w:tc>
          <w:tcPr>
            <w:tcW w:w="2605" w:type="dxa"/>
            <w:tcBorders>
              <w:top w:val="single" w:sz="4" w:space="0" w:color="auto"/>
              <w:left w:val="single" w:sz="4" w:space="0" w:color="auto"/>
              <w:bottom w:val="single" w:sz="4" w:space="0" w:color="auto"/>
              <w:right w:val="single" w:sz="4" w:space="0" w:color="auto"/>
            </w:tcBorders>
            <w:hideMark/>
          </w:tcPr>
          <w:p w14:paraId="7C69C318"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403" w:type="dxa"/>
            <w:tcBorders>
              <w:top w:val="single" w:sz="4" w:space="0" w:color="auto"/>
              <w:left w:val="single" w:sz="4" w:space="0" w:color="auto"/>
              <w:bottom w:val="single" w:sz="4" w:space="0" w:color="auto"/>
              <w:right w:val="single" w:sz="4" w:space="0" w:color="auto"/>
            </w:tcBorders>
            <w:hideMark/>
          </w:tcPr>
          <w:p w14:paraId="006E7C0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p>
        </w:tc>
      </w:tr>
      <w:tr w:rsidR="00223CE8" w:rsidRPr="00944B15" w14:paraId="722934F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3AFC651"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403" w:type="dxa"/>
            <w:tcBorders>
              <w:top w:val="single" w:sz="4" w:space="0" w:color="auto"/>
              <w:left w:val="single" w:sz="4" w:space="0" w:color="auto"/>
              <w:bottom w:val="single" w:sz="4" w:space="0" w:color="auto"/>
              <w:right w:val="single" w:sz="4" w:space="0" w:color="auto"/>
            </w:tcBorders>
            <w:hideMark/>
          </w:tcPr>
          <w:p w14:paraId="69580E4B"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CB109A">
              <w:rPr>
                <w:rFonts w:cs="Times New Roman"/>
                <w:szCs w:val="24"/>
              </w:rPr>
              <w:t>is</w:t>
            </w:r>
            <w:r>
              <w:rPr>
                <w:rFonts w:cs="Times New Roman"/>
                <w:szCs w:val="24"/>
              </w:rPr>
              <w:t xml:space="preserve"> no known significant drug interaction.</w:t>
            </w:r>
          </w:p>
        </w:tc>
      </w:tr>
      <w:tr w:rsidR="00223CE8" w:rsidRPr="00944B15" w14:paraId="47A6123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1E14916" w14:textId="77777777" w:rsidR="00223CE8" w:rsidRPr="00944B15" w:rsidRDefault="00223CE8" w:rsidP="002D6DD7">
            <w:pPr>
              <w:spacing w:after="0"/>
              <w:jc w:val="both"/>
              <w:rPr>
                <w:rFonts w:cs="Times New Roman"/>
                <w:szCs w:val="24"/>
              </w:rPr>
            </w:pPr>
            <w:r w:rsidRPr="00944B15">
              <w:rPr>
                <w:rFonts w:cs="Times New Roman"/>
                <w:szCs w:val="24"/>
              </w:rPr>
              <w:lastRenderedPageBreak/>
              <w:t>Side effects</w:t>
            </w:r>
          </w:p>
        </w:tc>
        <w:tc>
          <w:tcPr>
            <w:tcW w:w="7403" w:type="dxa"/>
            <w:tcBorders>
              <w:top w:val="single" w:sz="4" w:space="0" w:color="auto"/>
              <w:left w:val="single" w:sz="4" w:space="0" w:color="auto"/>
              <w:bottom w:val="single" w:sz="4" w:space="0" w:color="auto"/>
              <w:right w:val="single" w:sz="4" w:space="0" w:color="auto"/>
            </w:tcBorders>
            <w:hideMark/>
          </w:tcPr>
          <w:p w14:paraId="2ABD9FB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Hypersensitivity, generalised or localised allergic reactions, anaphylactic shock, non-cardiogenic pulmonary oedema, feeling of burning and tingling at the injection site, chills and fever.</w:t>
            </w:r>
          </w:p>
        </w:tc>
      </w:tr>
      <w:tr w:rsidR="00223CE8" w:rsidRPr="00944B15" w14:paraId="3D0BF6F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914B74B"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403" w:type="dxa"/>
            <w:tcBorders>
              <w:top w:val="single" w:sz="4" w:space="0" w:color="auto"/>
              <w:left w:val="single" w:sz="4" w:space="0" w:color="auto"/>
              <w:bottom w:val="single" w:sz="4" w:space="0" w:color="auto"/>
              <w:right w:val="single" w:sz="4" w:space="0" w:color="auto"/>
            </w:tcBorders>
            <w:hideMark/>
          </w:tcPr>
          <w:p w14:paraId="3AC89BC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Decompensated cardiac insufficiency, hypertension, esophageal varices, pulmonary oedema, haemorrhagic diathesis, severe anaemia, renal and post-renal anuria.</w:t>
            </w:r>
          </w:p>
        </w:tc>
      </w:tr>
      <w:tr w:rsidR="00223CE8" w:rsidRPr="00944B15" w14:paraId="05A6F343"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F0EDA0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403" w:type="dxa"/>
            <w:tcBorders>
              <w:top w:val="single" w:sz="4" w:space="0" w:color="auto"/>
              <w:left w:val="single" w:sz="4" w:space="0" w:color="auto"/>
              <w:bottom w:val="single" w:sz="4" w:space="0" w:color="auto"/>
              <w:right w:val="single" w:sz="4" w:space="0" w:color="auto"/>
            </w:tcBorders>
            <w:hideMark/>
          </w:tcPr>
          <w:p w14:paraId="47CFB030"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Store below 30</w:t>
            </w:r>
            <w:r w:rsidRPr="00944B15">
              <w:rPr>
                <w:rFonts w:cs="Times New Roman"/>
                <w:szCs w:val="24"/>
              </w:rPr>
              <w:t>°C. Do not freeze.</w:t>
            </w:r>
          </w:p>
        </w:tc>
      </w:tr>
      <w:tr w:rsidR="00223CE8" w:rsidRPr="00944B15" w14:paraId="52FE0051" w14:textId="77777777" w:rsidTr="002D6DD7">
        <w:tc>
          <w:tcPr>
            <w:tcW w:w="10008" w:type="dxa"/>
            <w:gridSpan w:val="2"/>
            <w:tcBorders>
              <w:top w:val="single" w:sz="4" w:space="0" w:color="auto"/>
              <w:left w:val="single" w:sz="4" w:space="0" w:color="auto"/>
              <w:bottom w:val="single" w:sz="4" w:space="0" w:color="auto"/>
              <w:right w:val="single" w:sz="4" w:space="0" w:color="auto"/>
            </w:tcBorders>
            <w:hideMark/>
          </w:tcPr>
          <w:p w14:paraId="70CF124D" w14:textId="77777777" w:rsidR="00223CE8" w:rsidRPr="00944B15" w:rsidRDefault="00223CE8" w:rsidP="002D6DD7">
            <w:pPr>
              <w:spacing w:after="0"/>
              <w:jc w:val="both"/>
              <w:rPr>
                <w:rFonts w:cs="Times New Roman"/>
                <w:b/>
                <w:szCs w:val="24"/>
              </w:rPr>
            </w:pPr>
            <w:r w:rsidRPr="00944B15">
              <w:rPr>
                <w:rFonts w:cs="Times New Roman"/>
                <w:b/>
                <w:szCs w:val="24"/>
              </w:rPr>
              <w:t>Dextran (Mw 40,000)</w:t>
            </w:r>
          </w:p>
        </w:tc>
      </w:tr>
      <w:tr w:rsidR="00223CE8" w:rsidRPr="00944B15" w14:paraId="248B96AE"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55F1670"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403" w:type="dxa"/>
            <w:tcBorders>
              <w:top w:val="single" w:sz="4" w:space="0" w:color="auto"/>
              <w:left w:val="single" w:sz="4" w:space="0" w:color="auto"/>
              <w:bottom w:val="single" w:sz="4" w:space="0" w:color="auto"/>
              <w:right w:val="single" w:sz="4" w:space="0" w:color="auto"/>
            </w:tcBorders>
          </w:tcPr>
          <w:p w14:paraId="5BECBFEC" w14:textId="77777777" w:rsidR="00223CE8" w:rsidRPr="00944B15" w:rsidRDefault="00223CE8" w:rsidP="002D6DD7">
            <w:pPr>
              <w:spacing w:after="0"/>
              <w:jc w:val="both"/>
              <w:rPr>
                <w:rFonts w:cs="Times New Roman"/>
                <w:szCs w:val="24"/>
              </w:rPr>
            </w:pPr>
            <w:r>
              <w:rPr>
                <w:rFonts w:cs="Times New Roman"/>
                <w:szCs w:val="24"/>
              </w:rPr>
              <w:t>Volume expander</w:t>
            </w:r>
          </w:p>
        </w:tc>
      </w:tr>
      <w:tr w:rsidR="00223CE8" w:rsidRPr="00944B15" w14:paraId="3D52CDEE" w14:textId="77777777" w:rsidTr="002D6DD7">
        <w:trPr>
          <w:trHeight w:val="476"/>
        </w:trPr>
        <w:tc>
          <w:tcPr>
            <w:tcW w:w="2605" w:type="dxa"/>
            <w:tcBorders>
              <w:top w:val="single" w:sz="4" w:space="0" w:color="auto"/>
              <w:left w:val="single" w:sz="4" w:space="0" w:color="auto"/>
              <w:bottom w:val="single" w:sz="4" w:space="0" w:color="auto"/>
              <w:right w:val="single" w:sz="4" w:space="0" w:color="auto"/>
            </w:tcBorders>
            <w:hideMark/>
          </w:tcPr>
          <w:p w14:paraId="1A2051C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403" w:type="dxa"/>
            <w:tcBorders>
              <w:top w:val="single" w:sz="4" w:space="0" w:color="auto"/>
              <w:left w:val="single" w:sz="4" w:space="0" w:color="auto"/>
              <w:bottom w:val="single" w:sz="4" w:space="0" w:color="auto"/>
              <w:right w:val="single" w:sz="4" w:space="0" w:color="auto"/>
            </w:tcBorders>
            <w:hideMark/>
          </w:tcPr>
          <w:p w14:paraId="64EEEEFA" w14:textId="77777777" w:rsidR="00223CE8" w:rsidRPr="00944B15" w:rsidRDefault="00223CE8" w:rsidP="002D6DD7">
            <w:pPr>
              <w:spacing w:after="0"/>
              <w:jc w:val="both"/>
              <w:rPr>
                <w:rFonts w:cs="Times New Roman"/>
                <w:szCs w:val="24"/>
              </w:rPr>
            </w:pPr>
            <w:r w:rsidRPr="00944B15">
              <w:rPr>
                <w:rFonts w:cs="Times New Roman"/>
                <w:szCs w:val="24"/>
              </w:rPr>
              <w:t>Solution: 10%w/v in 5% dextrose</w:t>
            </w:r>
          </w:p>
        </w:tc>
      </w:tr>
      <w:tr w:rsidR="00223CE8" w:rsidRPr="00944B15" w14:paraId="1D34889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CB2E68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403" w:type="dxa"/>
            <w:tcBorders>
              <w:top w:val="single" w:sz="4" w:space="0" w:color="auto"/>
              <w:left w:val="single" w:sz="4" w:space="0" w:color="auto"/>
              <w:bottom w:val="single" w:sz="4" w:space="0" w:color="auto"/>
              <w:right w:val="single" w:sz="4" w:space="0" w:color="auto"/>
            </w:tcBorders>
            <w:hideMark/>
          </w:tcPr>
          <w:p w14:paraId="66426BF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 cases where capillary circulation slows down (shock, burns, fat emboli, pancreatitis, pe</w:t>
            </w:r>
            <w:r>
              <w:rPr>
                <w:rFonts w:cs="Times New Roman"/>
                <w:szCs w:val="24"/>
              </w:rPr>
              <w:t>ritonitis and paralytic ileus), a</w:t>
            </w:r>
            <w:r w:rsidRPr="00944B15">
              <w:rPr>
                <w:rFonts w:cs="Times New Roman"/>
                <w:szCs w:val="24"/>
              </w:rPr>
              <w:t>rterial and venous circulation failures (gangrene threat, leg ulcers, Raynaud disease, non-haemorrhagic cerebral vessel diseases, and prophylaxis of the thromboemb</w:t>
            </w:r>
            <w:r>
              <w:rPr>
                <w:rFonts w:cs="Times New Roman"/>
                <w:szCs w:val="24"/>
              </w:rPr>
              <w:t>olic events seen after trauma), i</w:t>
            </w:r>
            <w:r w:rsidRPr="00944B15">
              <w:rPr>
                <w:rFonts w:cs="Times New Roman"/>
                <w:szCs w:val="24"/>
              </w:rPr>
              <w:t>n vascular surgery and plastic surgery and in open heart surgeries</w:t>
            </w:r>
            <w:r>
              <w:rPr>
                <w:rFonts w:cs="Times New Roman"/>
                <w:szCs w:val="24"/>
              </w:rPr>
              <w:t>.</w:t>
            </w:r>
          </w:p>
        </w:tc>
      </w:tr>
      <w:tr w:rsidR="00223CE8" w:rsidRPr="00944B15" w14:paraId="1F2FED0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03681878"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403" w:type="dxa"/>
            <w:tcBorders>
              <w:top w:val="single" w:sz="4" w:space="0" w:color="auto"/>
              <w:left w:val="single" w:sz="4" w:space="0" w:color="auto"/>
              <w:bottom w:val="single" w:sz="4" w:space="0" w:color="auto"/>
              <w:right w:val="single" w:sz="4" w:space="0" w:color="auto"/>
            </w:tcBorders>
            <w:hideMark/>
          </w:tcPr>
          <w:p w14:paraId="4B7F5563"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r>
              <w:rPr>
                <w:rFonts w:cs="Times New Roman"/>
                <w:b/>
                <w:bCs/>
                <w:szCs w:val="24"/>
              </w:rPr>
              <w:t>:</w:t>
            </w:r>
            <w:r w:rsidRPr="00944B15">
              <w:rPr>
                <w:rFonts w:cs="Times New Roman"/>
                <w:b/>
                <w:bCs/>
                <w:szCs w:val="24"/>
              </w:rPr>
              <w:t xml:space="preserve"> </w:t>
            </w:r>
          </w:p>
          <w:p w14:paraId="6EFB8DBB"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In cases where capillary circulation slows, such as shock: </w:t>
            </w:r>
          </w:p>
          <w:p w14:paraId="437925C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IV infusion: No more than 20</w:t>
            </w:r>
            <w:r>
              <w:rPr>
                <w:rFonts w:cs="Times New Roman"/>
                <w:szCs w:val="24"/>
              </w:rPr>
              <w:t>ml</w:t>
            </w:r>
            <w:r w:rsidRPr="00944B15">
              <w:rPr>
                <w:rFonts w:cs="Times New Roman"/>
                <w:szCs w:val="24"/>
              </w:rPr>
              <w:t>/kg during first 24hours; then 10</w:t>
            </w:r>
            <w:r>
              <w:rPr>
                <w:rFonts w:cs="Times New Roman"/>
                <w:szCs w:val="24"/>
              </w:rPr>
              <w:t>ml</w:t>
            </w:r>
            <w:r w:rsidRPr="00944B15">
              <w:rPr>
                <w:rFonts w:cs="Times New Roman"/>
                <w:szCs w:val="24"/>
              </w:rPr>
              <w:t>/kg/day</w:t>
            </w:r>
          </w:p>
          <w:p w14:paraId="19AC5F2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In case of Arterial and venous circulation failures:</w:t>
            </w:r>
          </w:p>
          <w:p w14:paraId="04CC072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500 – 1000 </w:t>
            </w:r>
            <w:r>
              <w:rPr>
                <w:rFonts w:cs="Times New Roman"/>
                <w:szCs w:val="24"/>
              </w:rPr>
              <w:t>ml</w:t>
            </w:r>
            <w:r w:rsidRPr="00944B15">
              <w:rPr>
                <w:rFonts w:cs="Times New Roman"/>
                <w:szCs w:val="24"/>
              </w:rPr>
              <w:t xml:space="preserve"> /kilogram in the first 24 hours; then 500 </w:t>
            </w:r>
            <w:r>
              <w:rPr>
                <w:rFonts w:cs="Times New Roman"/>
                <w:szCs w:val="24"/>
              </w:rPr>
              <w:t>ml</w:t>
            </w:r>
            <w:r w:rsidRPr="00944B15">
              <w:rPr>
                <w:rFonts w:cs="Times New Roman"/>
                <w:szCs w:val="24"/>
              </w:rPr>
              <w:t xml:space="preserve"> in the next day and then every other day for at most 2 weeks</w:t>
            </w:r>
          </w:p>
          <w:p w14:paraId="223C54A4"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Prophylaxis of the thromboembolic events seen after surgery and trauma:</w:t>
            </w:r>
          </w:p>
          <w:p w14:paraId="7F87E4C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IV infusion: 500 – 100 </w:t>
            </w:r>
            <w:r>
              <w:rPr>
                <w:rFonts w:cs="Times New Roman"/>
                <w:szCs w:val="24"/>
              </w:rPr>
              <w:t>ml</w:t>
            </w:r>
            <w:r w:rsidRPr="00944B15">
              <w:rPr>
                <w:rFonts w:cs="Times New Roman"/>
                <w:szCs w:val="24"/>
              </w:rPr>
              <w:t xml:space="preserve"> (10 – 20 </w:t>
            </w:r>
            <w:r>
              <w:rPr>
                <w:rFonts w:cs="Times New Roman"/>
                <w:szCs w:val="24"/>
              </w:rPr>
              <w:t>ml</w:t>
            </w:r>
            <w:r w:rsidRPr="00944B15">
              <w:rPr>
                <w:rFonts w:cs="Times New Roman"/>
                <w:szCs w:val="24"/>
              </w:rPr>
              <w:t xml:space="preserve">/kilogram) </w:t>
            </w:r>
          </w:p>
          <w:p w14:paraId="1B5F9D6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Infusion should be started during the surgery or just after the trauma. The cure may be completed by administering 500 </w:t>
            </w:r>
            <w:r>
              <w:rPr>
                <w:rFonts w:cs="Times New Roman"/>
                <w:szCs w:val="24"/>
              </w:rPr>
              <w:t>ml</w:t>
            </w:r>
            <w:r w:rsidRPr="00944B15">
              <w:rPr>
                <w:rFonts w:cs="Times New Roman"/>
                <w:szCs w:val="24"/>
              </w:rPr>
              <w:t xml:space="preserve"> more in the next day.</w:t>
            </w:r>
          </w:p>
          <w:p w14:paraId="3E263170"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Vascular surgery and plastic surgery:</w:t>
            </w:r>
          </w:p>
          <w:p w14:paraId="5A43784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IV infusion: 500 </w:t>
            </w:r>
            <w:r>
              <w:rPr>
                <w:rFonts w:cs="Times New Roman"/>
                <w:szCs w:val="24"/>
              </w:rPr>
              <w:t>ml</w:t>
            </w:r>
            <w:r w:rsidRPr="00944B15">
              <w:rPr>
                <w:rFonts w:cs="Times New Roman"/>
                <w:szCs w:val="24"/>
              </w:rPr>
              <w:t xml:space="preserve"> (approximately 10 </w:t>
            </w:r>
            <w:r>
              <w:rPr>
                <w:rFonts w:cs="Times New Roman"/>
                <w:szCs w:val="24"/>
              </w:rPr>
              <w:t>ml</w:t>
            </w:r>
            <w:r w:rsidRPr="00944B15">
              <w:rPr>
                <w:rFonts w:cs="Times New Roman"/>
                <w:szCs w:val="24"/>
              </w:rPr>
              <w:t xml:space="preserve">/kg) during surgery then 500 </w:t>
            </w:r>
            <w:r>
              <w:rPr>
                <w:rFonts w:cs="Times New Roman"/>
                <w:szCs w:val="24"/>
              </w:rPr>
              <w:t>ml</w:t>
            </w:r>
            <w:r w:rsidRPr="00944B15">
              <w:rPr>
                <w:rFonts w:cs="Times New Roman"/>
                <w:szCs w:val="24"/>
              </w:rPr>
              <w:t xml:space="preserve"> after the surgery and 500 </w:t>
            </w:r>
            <w:r>
              <w:rPr>
                <w:rFonts w:cs="Times New Roman"/>
                <w:szCs w:val="24"/>
              </w:rPr>
              <w:t>ml</w:t>
            </w:r>
            <w:r w:rsidRPr="00944B15">
              <w:rPr>
                <w:rFonts w:cs="Times New Roman"/>
                <w:szCs w:val="24"/>
              </w:rPr>
              <w:t xml:space="preserve"> more is administered in the day after the </w:t>
            </w:r>
            <w:r w:rsidRPr="00944B15">
              <w:rPr>
                <w:rFonts w:cs="Times New Roman"/>
                <w:szCs w:val="24"/>
              </w:rPr>
              <w:lastRenderedPageBreak/>
              <w:t>surgery and then every other day for at most two weeks.</w:t>
            </w:r>
          </w:p>
          <w:p w14:paraId="696AB095"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Open-heart surgeries:</w:t>
            </w:r>
          </w:p>
          <w:p w14:paraId="3D052E1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IV infusion: is added to the perfusion liquid about 10 – 20 </w:t>
            </w:r>
            <w:r>
              <w:rPr>
                <w:rFonts w:cs="Times New Roman"/>
                <w:szCs w:val="24"/>
              </w:rPr>
              <w:t>ml</w:t>
            </w:r>
            <w:r w:rsidRPr="00944B15">
              <w:rPr>
                <w:rFonts w:cs="Times New Roman"/>
                <w:szCs w:val="24"/>
              </w:rPr>
              <w:t>/kilogram.</w:t>
            </w:r>
          </w:p>
          <w:p w14:paraId="0AC588F7" w14:textId="77777777" w:rsidR="00223CE8" w:rsidRPr="00944B15" w:rsidRDefault="00223CE8" w:rsidP="002D6DD7">
            <w:pPr>
              <w:autoSpaceDE w:val="0"/>
              <w:autoSpaceDN w:val="0"/>
              <w:adjustRightInd w:val="0"/>
              <w:spacing w:after="0"/>
              <w:jc w:val="both"/>
              <w:rPr>
                <w:rFonts w:cs="Times New Roman"/>
                <w:b/>
                <w:szCs w:val="24"/>
              </w:rPr>
            </w:pPr>
            <w:r>
              <w:rPr>
                <w:rFonts w:cs="Times New Roman"/>
                <w:b/>
                <w:szCs w:val="24"/>
              </w:rPr>
              <w:t>Pediatric:</w:t>
            </w:r>
          </w:p>
          <w:p w14:paraId="57241B1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szCs w:val="24"/>
              </w:rPr>
              <w:t>Shock,</w:t>
            </w:r>
            <w:r w:rsidRPr="00944B15">
              <w:rPr>
                <w:rFonts w:cs="Times New Roman"/>
                <w:szCs w:val="24"/>
              </w:rPr>
              <w:t xml:space="preserve"> IV infusion: Initial dose 10</w:t>
            </w:r>
            <w:r>
              <w:rPr>
                <w:rFonts w:cs="Times New Roman"/>
                <w:szCs w:val="24"/>
              </w:rPr>
              <w:t>ml</w:t>
            </w:r>
            <w:r w:rsidRPr="00944B15">
              <w:rPr>
                <w:rFonts w:cs="Times New Roman"/>
                <w:szCs w:val="24"/>
              </w:rPr>
              <w:t>/kg infused rapidly, no more than 20</w:t>
            </w:r>
            <w:r>
              <w:rPr>
                <w:rFonts w:cs="Times New Roman"/>
                <w:szCs w:val="24"/>
              </w:rPr>
              <w:t>ml</w:t>
            </w:r>
            <w:r w:rsidRPr="00944B15">
              <w:rPr>
                <w:rFonts w:cs="Times New Roman"/>
                <w:szCs w:val="24"/>
              </w:rPr>
              <w:t>/kg/24hours, then no more than 10</w:t>
            </w:r>
            <w:r>
              <w:rPr>
                <w:rFonts w:cs="Times New Roman"/>
                <w:szCs w:val="24"/>
              </w:rPr>
              <w:t>ml</w:t>
            </w:r>
            <w:r w:rsidRPr="00944B15">
              <w:rPr>
                <w:rFonts w:cs="Times New Roman"/>
                <w:szCs w:val="24"/>
              </w:rPr>
              <w:t>/kg/day, for not more than 5days</w:t>
            </w:r>
          </w:p>
        </w:tc>
      </w:tr>
      <w:tr w:rsidR="00223CE8" w:rsidRPr="00944B15" w14:paraId="59F1D6AC" w14:textId="77777777" w:rsidTr="002D6DD7">
        <w:trPr>
          <w:trHeight w:val="1340"/>
        </w:trPr>
        <w:tc>
          <w:tcPr>
            <w:tcW w:w="2605" w:type="dxa"/>
            <w:tcBorders>
              <w:top w:val="single" w:sz="4" w:space="0" w:color="auto"/>
              <w:left w:val="single" w:sz="4" w:space="0" w:color="auto"/>
              <w:bottom w:val="single" w:sz="4" w:space="0" w:color="auto"/>
              <w:right w:val="single" w:sz="4" w:space="0" w:color="auto"/>
            </w:tcBorders>
            <w:hideMark/>
          </w:tcPr>
          <w:p w14:paraId="0CA56E81"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7403" w:type="dxa"/>
            <w:tcBorders>
              <w:top w:val="single" w:sz="4" w:space="0" w:color="auto"/>
              <w:left w:val="single" w:sz="4" w:space="0" w:color="auto"/>
              <w:bottom w:val="single" w:sz="4" w:space="0" w:color="auto"/>
              <w:right w:val="single" w:sz="4" w:space="0" w:color="auto"/>
            </w:tcBorders>
            <w:hideMark/>
          </w:tcPr>
          <w:p w14:paraId="418D047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marked hemostatic defects (eg, thrombocytopenia, hyperfibrinogenaemia), marked cardiac decompensation and severe renal disease with oliguria or anuria</w:t>
            </w:r>
          </w:p>
        </w:tc>
      </w:tr>
      <w:tr w:rsidR="00223CE8" w:rsidRPr="00944B15" w14:paraId="1CA9F0F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C56538"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7403" w:type="dxa"/>
            <w:tcBorders>
              <w:top w:val="single" w:sz="4" w:space="0" w:color="auto"/>
              <w:left w:val="single" w:sz="4" w:space="0" w:color="auto"/>
              <w:bottom w:val="single" w:sz="4" w:space="0" w:color="auto"/>
              <w:right w:val="single" w:sz="4" w:space="0" w:color="auto"/>
            </w:tcBorders>
            <w:hideMark/>
          </w:tcPr>
          <w:p w14:paraId="08C8DBE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Corticoids/steroids and carbenoxolone.</w:t>
            </w:r>
          </w:p>
        </w:tc>
      </w:tr>
      <w:tr w:rsidR="00223CE8" w:rsidRPr="00944B15" w14:paraId="6283473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3E8EBDE0"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403" w:type="dxa"/>
            <w:tcBorders>
              <w:top w:val="single" w:sz="4" w:space="0" w:color="auto"/>
              <w:left w:val="single" w:sz="4" w:space="0" w:color="auto"/>
              <w:bottom w:val="single" w:sz="4" w:space="0" w:color="auto"/>
              <w:right w:val="single" w:sz="4" w:space="0" w:color="auto"/>
            </w:tcBorders>
            <w:hideMark/>
          </w:tcPr>
          <w:p w14:paraId="05171B6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Anaphylactic reactions, electrolyte disorders, thrombocytopenia, phlebitis, acute renal failure and acidosis.</w:t>
            </w:r>
          </w:p>
        </w:tc>
      </w:tr>
      <w:tr w:rsidR="00223CE8" w:rsidRPr="00944B15" w14:paraId="57FEB406"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50BC8F"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403" w:type="dxa"/>
            <w:tcBorders>
              <w:top w:val="single" w:sz="4" w:space="0" w:color="auto"/>
              <w:left w:val="single" w:sz="4" w:space="0" w:color="auto"/>
              <w:bottom w:val="single" w:sz="4" w:space="0" w:color="auto"/>
              <w:right w:val="single" w:sz="4" w:space="0" w:color="auto"/>
            </w:tcBorders>
            <w:hideMark/>
          </w:tcPr>
          <w:p w14:paraId="715EAC2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Hypertension, congestive heart failure, pe</w:t>
            </w:r>
            <w:r>
              <w:rPr>
                <w:rFonts w:cs="Times New Roman"/>
                <w:szCs w:val="24"/>
              </w:rPr>
              <w:t xml:space="preserve">ripheral or pulmonary oedema, </w:t>
            </w:r>
            <w:r w:rsidRPr="00944B15">
              <w:rPr>
                <w:rFonts w:cs="Times New Roman"/>
                <w:szCs w:val="24"/>
              </w:rPr>
              <w:t>failed kidney functions, preeclampsia condition, aldosteronism and active haemorrhage.</w:t>
            </w:r>
          </w:p>
        </w:tc>
      </w:tr>
      <w:tr w:rsidR="00223CE8" w:rsidRPr="00944B15" w14:paraId="62B9116D"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614D2704"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403" w:type="dxa"/>
            <w:tcBorders>
              <w:top w:val="single" w:sz="4" w:space="0" w:color="auto"/>
              <w:left w:val="single" w:sz="4" w:space="0" w:color="auto"/>
              <w:bottom w:val="single" w:sz="4" w:space="0" w:color="auto"/>
              <w:right w:val="single" w:sz="4" w:space="0" w:color="auto"/>
            </w:tcBorders>
            <w:hideMark/>
          </w:tcPr>
          <w:p w14:paraId="67DEA05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Store </w:t>
            </w:r>
            <w:r>
              <w:rPr>
                <w:rFonts w:cs="Times New Roman"/>
                <w:szCs w:val="24"/>
              </w:rPr>
              <w:t>below 30</w:t>
            </w:r>
            <w:r w:rsidRPr="00944B15">
              <w:rPr>
                <w:rFonts w:cs="Times New Roman"/>
                <w:szCs w:val="24"/>
              </w:rPr>
              <w:t>°C.</w:t>
            </w:r>
          </w:p>
        </w:tc>
      </w:tr>
      <w:tr w:rsidR="00223CE8" w:rsidRPr="00944B15" w14:paraId="1E0E608B" w14:textId="77777777" w:rsidTr="002D6DD7">
        <w:tc>
          <w:tcPr>
            <w:tcW w:w="10008" w:type="dxa"/>
            <w:gridSpan w:val="2"/>
            <w:tcBorders>
              <w:top w:val="single" w:sz="4" w:space="0" w:color="auto"/>
              <w:left w:val="single" w:sz="4" w:space="0" w:color="auto"/>
              <w:bottom w:val="single" w:sz="4" w:space="0" w:color="auto"/>
              <w:right w:val="single" w:sz="4" w:space="0" w:color="auto"/>
            </w:tcBorders>
            <w:hideMark/>
          </w:tcPr>
          <w:p w14:paraId="70DE5FCE" w14:textId="77777777" w:rsidR="00223CE8" w:rsidRPr="00944B15" w:rsidRDefault="00223CE8" w:rsidP="002D6DD7">
            <w:pPr>
              <w:spacing w:after="0"/>
              <w:jc w:val="both"/>
              <w:rPr>
                <w:rFonts w:cs="Times New Roman"/>
                <w:b/>
                <w:szCs w:val="24"/>
              </w:rPr>
            </w:pPr>
            <w:r w:rsidRPr="00944B15">
              <w:rPr>
                <w:rFonts w:cs="Times New Roman"/>
                <w:b/>
                <w:szCs w:val="24"/>
              </w:rPr>
              <w:t>Dextran (Mw 70,000)</w:t>
            </w:r>
          </w:p>
        </w:tc>
      </w:tr>
      <w:tr w:rsidR="00223CE8" w:rsidRPr="00944B15" w14:paraId="1B9B1BA2"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89A6DF8"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7403" w:type="dxa"/>
            <w:tcBorders>
              <w:top w:val="single" w:sz="4" w:space="0" w:color="auto"/>
              <w:left w:val="single" w:sz="4" w:space="0" w:color="auto"/>
              <w:bottom w:val="single" w:sz="4" w:space="0" w:color="auto"/>
              <w:right w:val="single" w:sz="4" w:space="0" w:color="auto"/>
            </w:tcBorders>
            <w:hideMark/>
          </w:tcPr>
          <w:p w14:paraId="477982C8" w14:textId="77777777" w:rsidR="00223CE8" w:rsidRPr="00944B15" w:rsidRDefault="00EA5977" w:rsidP="002D6DD7">
            <w:pPr>
              <w:spacing w:after="0"/>
              <w:jc w:val="both"/>
              <w:rPr>
                <w:rFonts w:cs="Times New Roman"/>
                <w:szCs w:val="24"/>
              </w:rPr>
            </w:pPr>
            <w:hyperlink r:id="rId47" w:anchor="volume-expanders" w:history="1">
              <w:r w:rsidR="00223CE8" w:rsidRPr="00944B15">
                <w:rPr>
                  <w:rStyle w:val="Hyperlink"/>
                  <w:rFonts w:cs="Times New Roman"/>
                  <w:color w:val="auto"/>
                  <w:szCs w:val="24"/>
                  <w:u w:val="none"/>
                </w:rPr>
                <w:t>Volume Expanders</w:t>
              </w:r>
            </w:hyperlink>
          </w:p>
        </w:tc>
      </w:tr>
      <w:tr w:rsidR="00223CE8" w:rsidRPr="00944B15" w14:paraId="5CDBFB0A" w14:textId="77777777" w:rsidTr="002D6DD7">
        <w:trPr>
          <w:trHeight w:val="476"/>
        </w:trPr>
        <w:tc>
          <w:tcPr>
            <w:tcW w:w="2605" w:type="dxa"/>
            <w:tcBorders>
              <w:top w:val="single" w:sz="4" w:space="0" w:color="auto"/>
              <w:left w:val="single" w:sz="4" w:space="0" w:color="auto"/>
              <w:bottom w:val="single" w:sz="4" w:space="0" w:color="auto"/>
              <w:right w:val="single" w:sz="4" w:space="0" w:color="auto"/>
            </w:tcBorders>
            <w:hideMark/>
          </w:tcPr>
          <w:p w14:paraId="287FDBB0"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7403" w:type="dxa"/>
            <w:tcBorders>
              <w:top w:val="single" w:sz="4" w:space="0" w:color="auto"/>
              <w:left w:val="single" w:sz="4" w:space="0" w:color="auto"/>
              <w:bottom w:val="single" w:sz="4" w:space="0" w:color="auto"/>
              <w:right w:val="single" w:sz="4" w:space="0" w:color="auto"/>
            </w:tcBorders>
            <w:hideMark/>
          </w:tcPr>
          <w:p w14:paraId="4C1BAD81" w14:textId="77777777" w:rsidR="00223CE8" w:rsidRPr="00944B15" w:rsidRDefault="00223CE8" w:rsidP="002D6DD7">
            <w:pPr>
              <w:spacing w:after="0"/>
              <w:jc w:val="both"/>
              <w:rPr>
                <w:rFonts w:cs="Times New Roman"/>
                <w:szCs w:val="24"/>
              </w:rPr>
            </w:pPr>
            <w:r w:rsidRPr="00944B15">
              <w:rPr>
                <w:rFonts w:cs="Times New Roman"/>
                <w:szCs w:val="24"/>
              </w:rPr>
              <w:t>Solution: 6%w/v in 5% dextrose</w:t>
            </w:r>
          </w:p>
        </w:tc>
      </w:tr>
      <w:tr w:rsidR="00223CE8" w:rsidRPr="00944B15" w14:paraId="28790FDA"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E3A8BEA"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7403" w:type="dxa"/>
            <w:tcBorders>
              <w:top w:val="single" w:sz="4" w:space="0" w:color="auto"/>
              <w:left w:val="single" w:sz="4" w:space="0" w:color="auto"/>
              <w:bottom w:val="single" w:sz="4" w:space="0" w:color="auto"/>
              <w:right w:val="single" w:sz="4" w:space="0" w:color="auto"/>
            </w:tcBorders>
            <w:hideMark/>
          </w:tcPr>
          <w:p w14:paraId="271695A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It is used in the prophylaxis and treatment of shocks.</w:t>
            </w:r>
          </w:p>
        </w:tc>
      </w:tr>
      <w:tr w:rsidR="00223CE8" w:rsidRPr="00944B15" w14:paraId="20CEF188"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761D74A"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7403" w:type="dxa"/>
            <w:tcBorders>
              <w:top w:val="single" w:sz="4" w:space="0" w:color="auto"/>
              <w:left w:val="single" w:sz="4" w:space="0" w:color="auto"/>
              <w:bottom w:val="single" w:sz="4" w:space="0" w:color="auto"/>
              <w:right w:val="single" w:sz="4" w:space="0" w:color="auto"/>
            </w:tcBorders>
            <w:hideMark/>
          </w:tcPr>
          <w:p w14:paraId="0F8D1B76"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r>
              <w:rPr>
                <w:rFonts w:cs="Times New Roman"/>
                <w:b/>
                <w:bCs/>
                <w:szCs w:val="24"/>
              </w:rPr>
              <w:t>:</w:t>
            </w:r>
          </w:p>
          <w:p w14:paraId="33632EB9"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Shock,</w:t>
            </w:r>
            <w:r w:rsidRPr="00944B15">
              <w:rPr>
                <w:rFonts w:eastAsia="Candara-Italic" w:cs="Times New Roman"/>
                <w:iCs/>
                <w:szCs w:val="24"/>
              </w:rPr>
              <w:t xml:space="preserve"> IV infusion: </w:t>
            </w:r>
          </w:p>
          <w:p w14:paraId="7F04332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No more than 20</w:t>
            </w:r>
            <w:r>
              <w:rPr>
                <w:rFonts w:cs="Times New Roman"/>
                <w:szCs w:val="24"/>
              </w:rPr>
              <w:t>ml</w:t>
            </w:r>
            <w:r w:rsidRPr="00944B15">
              <w:rPr>
                <w:rFonts w:cs="Times New Roman"/>
                <w:szCs w:val="24"/>
              </w:rPr>
              <w:t>/kg during first 24hours; then 10</w:t>
            </w:r>
            <w:r>
              <w:rPr>
                <w:rFonts w:cs="Times New Roman"/>
                <w:szCs w:val="24"/>
              </w:rPr>
              <w:t>ml</w:t>
            </w:r>
            <w:r w:rsidRPr="00944B15">
              <w:rPr>
                <w:rFonts w:cs="Times New Roman"/>
                <w:szCs w:val="24"/>
              </w:rPr>
              <w:t>/kg/day</w:t>
            </w:r>
          </w:p>
          <w:p w14:paraId="5F2BC8CB"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2DC2FB60"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Shock,</w:t>
            </w:r>
            <w:r w:rsidRPr="00944B15">
              <w:rPr>
                <w:rFonts w:eastAsia="Candara-Italic" w:cs="Times New Roman"/>
                <w:iCs/>
                <w:szCs w:val="24"/>
              </w:rPr>
              <w:t xml:space="preserve"> IV infusion: </w:t>
            </w:r>
          </w:p>
          <w:p w14:paraId="2C324D5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Initial dose 10</w:t>
            </w:r>
            <w:r>
              <w:rPr>
                <w:rFonts w:cs="Times New Roman"/>
                <w:szCs w:val="24"/>
              </w:rPr>
              <w:t>ml</w:t>
            </w:r>
            <w:r w:rsidRPr="00944B15">
              <w:rPr>
                <w:rFonts w:cs="Times New Roman"/>
                <w:szCs w:val="24"/>
              </w:rPr>
              <w:t>/kg infused rapidly, no more than 20</w:t>
            </w:r>
            <w:r>
              <w:rPr>
                <w:rFonts w:cs="Times New Roman"/>
                <w:szCs w:val="24"/>
              </w:rPr>
              <w:t>ml</w:t>
            </w:r>
            <w:r w:rsidRPr="00944B15">
              <w:rPr>
                <w:rFonts w:cs="Times New Roman"/>
                <w:szCs w:val="24"/>
              </w:rPr>
              <w:t>/kg/24hours, then no more than 10</w:t>
            </w:r>
            <w:r>
              <w:rPr>
                <w:rFonts w:cs="Times New Roman"/>
                <w:szCs w:val="24"/>
              </w:rPr>
              <w:t>ml</w:t>
            </w:r>
            <w:r w:rsidRPr="00944B15">
              <w:rPr>
                <w:rFonts w:cs="Times New Roman"/>
                <w:szCs w:val="24"/>
              </w:rPr>
              <w:t>/kg/day, for not more than 5days</w:t>
            </w:r>
          </w:p>
        </w:tc>
      </w:tr>
      <w:tr w:rsidR="00223CE8" w:rsidRPr="00944B15" w14:paraId="7CC027A7" w14:textId="77777777" w:rsidTr="002D6DD7">
        <w:trPr>
          <w:trHeight w:val="1358"/>
        </w:trPr>
        <w:tc>
          <w:tcPr>
            <w:tcW w:w="2605" w:type="dxa"/>
            <w:tcBorders>
              <w:top w:val="single" w:sz="4" w:space="0" w:color="auto"/>
              <w:left w:val="single" w:sz="4" w:space="0" w:color="auto"/>
              <w:bottom w:val="single" w:sz="4" w:space="0" w:color="auto"/>
              <w:right w:val="single" w:sz="4" w:space="0" w:color="auto"/>
            </w:tcBorders>
            <w:hideMark/>
          </w:tcPr>
          <w:p w14:paraId="3E14B4D7"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7403" w:type="dxa"/>
            <w:tcBorders>
              <w:top w:val="single" w:sz="4" w:space="0" w:color="auto"/>
              <w:left w:val="single" w:sz="4" w:space="0" w:color="auto"/>
              <w:bottom w:val="single" w:sz="4" w:space="0" w:color="auto"/>
              <w:right w:val="single" w:sz="4" w:space="0" w:color="auto"/>
            </w:tcBorders>
            <w:hideMark/>
          </w:tcPr>
          <w:p w14:paraId="3B6A6C0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Hypersensitivity to </w:t>
            </w:r>
            <w:r>
              <w:rPr>
                <w:rFonts w:cs="Times New Roman"/>
                <w:szCs w:val="24"/>
              </w:rPr>
              <w:t>the drug</w:t>
            </w:r>
            <w:r w:rsidRPr="00944B15">
              <w:rPr>
                <w:rFonts w:cs="Times New Roman"/>
                <w:szCs w:val="24"/>
              </w:rPr>
              <w:t>, thrombocytopenia, hyperfibrinogenaemia, marked cardiac decompensation; renal disease with severe oliguria or anuria, hypervolemia conditions and in severe bleeding diseases</w:t>
            </w:r>
          </w:p>
        </w:tc>
      </w:tr>
      <w:tr w:rsidR="00223CE8" w:rsidRPr="00944B15" w14:paraId="7406CA81"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72BE3850"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7403" w:type="dxa"/>
            <w:tcBorders>
              <w:top w:val="single" w:sz="4" w:space="0" w:color="auto"/>
              <w:left w:val="single" w:sz="4" w:space="0" w:color="auto"/>
              <w:bottom w:val="single" w:sz="4" w:space="0" w:color="auto"/>
              <w:right w:val="single" w:sz="4" w:space="0" w:color="auto"/>
            </w:tcBorders>
            <w:hideMark/>
          </w:tcPr>
          <w:p w14:paraId="06833EA4"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CB109A">
              <w:rPr>
                <w:rFonts w:cs="Times New Roman"/>
                <w:szCs w:val="24"/>
              </w:rPr>
              <w:t>is</w:t>
            </w:r>
            <w:r>
              <w:rPr>
                <w:rFonts w:cs="Times New Roman"/>
                <w:szCs w:val="24"/>
              </w:rPr>
              <w:t xml:space="preserve"> n</w:t>
            </w:r>
            <w:r w:rsidRPr="00944B15">
              <w:rPr>
                <w:rFonts w:cs="Times New Roman"/>
                <w:szCs w:val="24"/>
              </w:rPr>
              <w:t>o significant interaction seen</w:t>
            </w:r>
            <w:r w:rsidR="00CB109A">
              <w:rPr>
                <w:rFonts w:cs="Times New Roman"/>
                <w:szCs w:val="24"/>
              </w:rPr>
              <w:t>.</w:t>
            </w:r>
          </w:p>
        </w:tc>
      </w:tr>
      <w:tr w:rsidR="00223CE8" w:rsidRPr="00944B15" w14:paraId="24E985FB"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393A828"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7403" w:type="dxa"/>
            <w:tcBorders>
              <w:top w:val="single" w:sz="4" w:space="0" w:color="auto"/>
              <w:left w:val="single" w:sz="4" w:space="0" w:color="auto"/>
              <w:bottom w:val="single" w:sz="4" w:space="0" w:color="auto"/>
              <w:right w:val="single" w:sz="4" w:space="0" w:color="auto"/>
            </w:tcBorders>
            <w:hideMark/>
          </w:tcPr>
          <w:p w14:paraId="12A6D29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Thrombocytopenia, venous thrombosis, hypovolemia, anaphylaxis, phlebitis, acute renal failure, acidosis, pulmonary oedema and wheezing</w:t>
            </w:r>
          </w:p>
        </w:tc>
      </w:tr>
      <w:tr w:rsidR="00223CE8" w:rsidRPr="00944B15" w14:paraId="5E9CE95C"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2DC5BE95"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7403" w:type="dxa"/>
            <w:tcBorders>
              <w:top w:val="single" w:sz="4" w:space="0" w:color="auto"/>
              <w:left w:val="single" w:sz="4" w:space="0" w:color="auto"/>
              <w:bottom w:val="single" w:sz="4" w:space="0" w:color="auto"/>
              <w:right w:val="single" w:sz="4" w:space="0" w:color="auto"/>
            </w:tcBorders>
            <w:hideMark/>
          </w:tcPr>
          <w:p w14:paraId="162D302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Congestive conditions, pulmonary oedema, trauma, major surgical patients, liver failure and renal failure.</w:t>
            </w:r>
          </w:p>
        </w:tc>
      </w:tr>
      <w:tr w:rsidR="00223CE8" w:rsidRPr="00944B15" w14:paraId="54199C59" w14:textId="77777777" w:rsidTr="002D6DD7">
        <w:tc>
          <w:tcPr>
            <w:tcW w:w="2605" w:type="dxa"/>
            <w:tcBorders>
              <w:top w:val="single" w:sz="4" w:space="0" w:color="auto"/>
              <w:left w:val="single" w:sz="4" w:space="0" w:color="auto"/>
              <w:bottom w:val="single" w:sz="4" w:space="0" w:color="auto"/>
              <w:right w:val="single" w:sz="4" w:space="0" w:color="auto"/>
            </w:tcBorders>
            <w:hideMark/>
          </w:tcPr>
          <w:p w14:paraId="44B15A2B"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7403" w:type="dxa"/>
            <w:tcBorders>
              <w:top w:val="single" w:sz="4" w:space="0" w:color="auto"/>
              <w:left w:val="single" w:sz="4" w:space="0" w:color="auto"/>
              <w:bottom w:val="single" w:sz="4" w:space="0" w:color="auto"/>
              <w:right w:val="single" w:sz="4" w:space="0" w:color="auto"/>
            </w:tcBorders>
            <w:hideMark/>
          </w:tcPr>
          <w:p w14:paraId="62DD051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Store </w:t>
            </w:r>
            <w:r>
              <w:rPr>
                <w:rFonts w:cs="Times New Roman"/>
                <w:szCs w:val="24"/>
              </w:rPr>
              <w:t>below 30°C</w:t>
            </w:r>
            <w:r w:rsidRPr="00944B15">
              <w:rPr>
                <w:rFonts w:cs="Times New Roman"/>
                <w:szCs w:val="24"/>
              </w:rPr>
              <w:t>.</w:t>
            </w:r>
          </w:p>
        </w:tc>
      </w:tr>
    </w:tbl>
    <w:p w14:paraId="758FDD5E" w14:textId="77777777" w:rsidR="00223CE8" w:rsidRPr="00CB109A" w:rsidRDefault="00223CE8" w:rsidP="00CB109A">
      <w:pPr>
        <w:pStyle w:val="Heading2"/>
        <w:spacing w:before="240" w:after="240"/>
      </w:pPr>
      <w:bookmarkStart w:id="165" w:name="_Toc179490385"/>
      <w:r w:rsidRPr="00CB109A">
        <w:t xml:space="preserve">Blood and </w:t>
      </w:r>
      <w:r w:rsidR="00CB109A" w:rsidRPr="00CB109A">
        <w:t>b</w:t>
      </w:r>
      <w:r w:rsidRPr="00CB109A">
        <w:t xml:space="preserve">lood </w:t>
      </w:r>
      <w:r w:rsidR="00CB109A" w:rsidRPr="00CB109A">
        <w:t>c</w:t>
      </w:r>
      <w:r w:rsidRPr="00CB109A">
        <w:t>omponents</w:t>
      </w:r>
      <w:bookmarkEnd w:id="165"/>
    </w:p>
    <w:p w14:paraId="2B2C5397" w14:textId="77777777" w:rsidR="00223CE8" w:rsidRPr="00944B15" w:rsidRDefault="00223CE8" w:rsidP="00223CE8">
      <w:pPr>
        <w:spacing w:after="0"/>
        <w:jc w:val="both"/>
        <w:rPr>
          <w:rFonts w:cs="Times New Roman"/>
          <w:szCs w:val="24"/>
          <w:shd w:val="clear" w:color="auto" w:fill="FFFFFF"/>
        </w:rPr>
      </w:pPr>
      <w:r w:rsidRPr="00944B15">
        <w:rPr>
          <w:rFonts w:cs="Times New Roman"/>
          <w:szCs w:val="24"/>
          <w:shd w:val="clear" w:color="auto" w:fill="FFFFFF"/>
        </w:rPr>
        <w:t>Blood and its components are vital to the functioning of the human body, serving essential roles in oxygen transport, immune defence, and tissue repair. Blood is composed of various cellular elements suspended in a liquid matrix called plasma. The components of blood can be broadly categorized into cellular components (Red blood cells (erythrocyte), white blood cells (leukocytes), platelets (thrombocytes)) and plasma components (water, plasma proteins, electrolytes).</w:t>
      </w:r>
    </w:p>
    <w:p w14:paraId="5E8F85D2" w14:textId="77777777" w:rsidR="00223CE8" w:rsidRDefault="00223CE8" w:rsidP="00223CE8">
      <w:pPr>
        <w:spacing w:before="240" w:after="0"/>
        <w:jc w:val="both"/>
        <w:rPr>
          <w:rFonts w:cs="Times New Roman"/>
          <w:szCs w:val="24"/>
          <w:shd w:val="clear" w:color="auto" w:fill="FFFFFF"/>
        </w:rPr>
      </w:pPr>
      <w:r w:rsidRPr="00944B15">
        <w:rPr>
          <w:rFonts w:cs="Times New Roman"/>
          <w:szCs w:val="24"/>
          <w:shd w:val="clear" w:color="auto" w:fill="FFFFFF"/>
        </w:rPr>
        <w:t>Blood transfusions involve the administration of whole blood or specific blood components to replace lost blood volume, restore oxygen-carrying capacity, or treat specific deficiencies or disorders. Blood components such as packed red blood cells, platelets, fresh frozen plasma, and cryoprecipitate can be transfused individually based on patient needs</w:t>
      </w:r>
    </w:p>
    <w:p w14:paraId="430DAB72" w14:textId="77777777" w:rsidR="00223CE8" w:rsidRPr="00944B15" w:rsidRDefault="00223CE8" w:rsidP="00223CE8">
      <w:pPr>
        <w:spacing w:before="240" w:after="0"/>
        <w:jc w:val="both"/>
        <w:rPr>
          <w:rFonts w:cs="Times New Roman"/>
          <w:szCs w:val="24"/>
          <w:shd w:val="clear" w:color="auto" w:fill="FFFFFF"/>
        </w:rPr>
      </w:pPr>
      <w:r w:rsidRPr="00944B15">
        <w:rPr>
          <w:rFonts w:cs="Times New Roman"/>
          <w:szCs w:val="24"/>
          <w:shd w:val="clear" w:color="auto" w:fill="FFFFFF"/>
        </w:rPr>
        <w:t>Blood transfusions are commonly used in the treatment of anaemia, acute blood loss, coagulation disorders, and certain medical and surgical conditions. However, they carry risks of transfusion reactions, infection transmission, and immune sensitization, so their use should be carefully considered and monitored</w:t>
      </w:r>
    </w:p>
    <w:p w14:paraId="7E770C4D" w14:textId="77777777" w:rsidR="00223CE8" w:rsidRPr="00944B15" w:rsidRDefault="00223CE8" w:rsidP="00223CE8">
      <w:pPr>
        <w:spacing w:after="0"/>
        <w:jc w:val="both"/>
        <w:rPr>
          <w:rFonts w:cs="Times New Roman"/>
          <w:szCs w:val="24"/>
          <w:shd w:val="clear" w:color="auto" w:fill="FFFFFF"/>
        </w:rPr>
      </w:pPr>
    </w:p>
    <w:tbl>
      <w:tblPr>
        <w:tblW w:w="9270" w:type="dxa"/>
        <w:tblInd w:w="85" w:type="dxa"/>
        <w:tblLook w:val="04A0" w:firstRow="1" w:lastRow="0" w:firstColumn="1" w:lastColumn="0" w:noHBand="0" w:noVBand="1"/>
      </w:tblPr>
      <w:tblGrid>
        <w:gridCol w:w="2610"/>
        <w:gridCol w:w="6660"/>
      </w:tblGrid>
      <w:tr w:rsidR="00223CE8" w:rsidRPr="00944B15" w14:paraId="3B2CF9C1"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381FE8A6" w14:textId="77777777" w:rsidR="00223CE8" w:rsidRPr="00944B15" w:rsidRDefault="00223CE8" w:rsidP="002D6DD7">
            <w:pPr>
              <w:pStyle w:val="TableParagraph"/>
              <w:tabs>
                <w:tab w:val="left" w:pos="819"/>
                <w:tab w:val="left" w:pos="4581"/>
              </w:tabs>
              <w:spacing w:line="360" w:lineRule="auto"/>
              <w:ind w:left="0"/>
              <w:jc w:val="both"/>
              <w:rPr>
                <w:b/>
                <w:szCs w:val="24"/>
              </w:rPr>
            </w:pPr>
            <w:r w:rsidRPr="00944B15">
              <w:rPr>
                <w:b/>
                <w:szCs w:val="24"/>
              </w:rPr>
              <w:t>Cryoprecipitate</w:t>
            </w:r>
          </w:p>
        </w:tc>
      </w:tr>
      <w:tr w:rsidR="00223CE8" w:rsidRPr="00944B15" w14:paraId="36D7179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7762599"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1A8D392C" w14:textId="77777777" w:rsidR="00223CE8" w:rsidRPr="00944B15" w:rsidRDefault="00223CE8" w:rsidP="003D3F76">
            <w:pPr>
              <w:numPr>
                <w:ilvl w:val="0"/>
                <w:numId w:val="5"/>
              </w:numPr>
              <w:spacing w:after="0"/>
              <w:ind w:left="-360"/>
              <w:jc w:val="both"/>
              <w:rPr>
                <w:rFonts w:cs="Times New Roman"/>
                <w:szCs w:val="24"/>
              </w:rPr>
            </w:pPr>
            <w:r>
              <w:rPr>
                <w:rStyle w:val="Hyperlink"/>
                <w:rFonts w:cs="Times New Roman"/>
                <w:color w:val="auto"/>
                <w:szCs w:val="24"/>
                <w:u w:val="none"/>
              </w:rPr>
              <w:t xml:space="preserve">      Blood component</w:t>
            </w:r>
          </w:p>
        </w:tc>
      </w:tr>
      <w:tr w:rsidR="00223CE8" w:rsidRPr="00944B15" w14:paraId="7AE5090F"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74B1B893"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6102D7BC" w14:textId="77777777" w:rsidR="00223CE8" w:rsidRPr="00944B15" w:rsidRDefault="00223CE8" w:rsidP="002D6DD7">
            <w:pPr>
              <w:spacing w:after="0"/>
              <w:jc w:val="both"/>
              <w:rPr>
                <w:rFonts w:cs="Times New Roman"/>
                <w:szCs w:val="24"/>
              </w:rPr>
            </w:pPr>
            <w:r w:rsidRPr="00944B15">
              <w:rPr>
                <w:rFonts w:cs="Times New Roman"/>
                <w:szCs w:val="24"/>
              </w:rPr>
              <w:t xml:space="preserve">One unit :317-433 </w:t>
            </w:r>
            <w:r>
              <w:rPr>
                <w:rFonts w:cs="Times New Roman"/>
                <w:szCs w:val="24"/>
              </w:rPr>
              <w:t>ml</w:t>
            </w:r>
            <w:r w:rsidRPr="00944B15">
              <w:rPr>
                <w:rFonts w:cs="Times New Roman"/>
                <w:szCs w:val="24"/>
              </w:rPr>
              <w:t xml:space="preserve"> (39-44 gm)</w:t>
            </w:r>
          </w:p>
          <w:p w14:paraId="451B3CB6" w14:textId="77777777" w:rsidR="00223CE8" w:rsidRPr="00944B15" w:rsidRDefault="00223CE8" w:rsidP="002D6DD7">
            <w:pPr>
              <w:spacing w:after="0"/>
              <w:jc w:val="both"/>
              <w:rPr>
                <w:rFonts w:cs="Times New Roman"/>
                <w:szCs w:val="24"/>
              </w:rPr>
            </w:pPr>
            <w:r w:rsidRPr="00944B15">
              <w:rPr>
                <w:rFonts w:cs="Times New Roman"/>
                <w:szCs w:val="24"/>
              </w:rPr>
              <w:t>Injection: frozen liquid in bag or lyophilized powder in vial containing:</w:t>
            </w:r>
          </w:p>
          <w:p w14:paraId="40F4DDCC" w14:textId="77777777" w:rsidR="00223CE8" w:rsidRPr="00944B15" w:rsidRDefault="00223CE8" w:rsidP="002D6DD7">
            <w:pPr>
              <w:spacing w:after="0"/>
              <w:jc w:val="both"/>
              <w:rPr>
                <w:rFonts w:cs="Times New Roman"/>
                <w:szCs w:val="24"/>
              </w:rPr>
            </w:pPr>
            <w:r w:rsidRPr="00944B15">
              <w:rPr>
                <w:rFonts w:cs="Times New Roman"/>
                <w:szCs w:val="24"/>
              </w:rPr>
              <w:t xml:space="preserve"> - &gt; 50 IU Factor VIII </w:t>
            </w:r>
          </w:p>
          <w:p w14:paraId="0CEDA01F"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 &gt; 100 IU vWF </w:t>
            </w:r>
          </w:p>
          <w:p w14:paraId="132483E8" w14:textId="77777777" w:rsidR="00223CE8" w:rsidRPr="00944B15" w:rsidRDefault="00223CE8" w:rsidP="002D6DD7">
            <w:pPr>
              <w:spacing w:after="0"/>
              <w:jc w:val="both"/>
              <w:rPr>
                <w:rFonts w:cs="Times New Roman"/>
                <w:szCs w:val="24"/>
              </w:rPr>
            </w:pPr>
            <w:r w:rsidRPr="00944B15">
              <w:rPr>
                <w:rFonts w:cs="Times New Roman"/>
                <w:szCs w:val="24"/>
              </w:rPr>
              <w:t>- &gt; 140 mg clottable fibrinogen per unit</w:t>
            </w:r>
          </w:p>
        </w:tc>
      </w:tr>
      <w:tr w:rsidR="00223CE8" w:rsidRPr="00944B15" w14:paraId="777205B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F9983FA" w14:textId="77777777" w:rsidR="00223CE8" w:rsidRPr="00944B15" w:rsidRDefault="00223CE8" w:rsidP="002D6DD7">
            <w:pPr>
              <w:spacing w:after="0"/>
              <w:jc w:val="both"/>
              <w:rPr>
                <w:rFonts w:cs="Times New Roman"/>
                <w:szCs w:val="24"/>
              </w:rPr>
            </w:pPr>
            <w:r w:rsidRPr="00944B15">
              <w:rPr>
                <w:rFonts w:cs="Times New Roman"/>
                <w:szCs w:val="24"/>
              </w:rPr>
              <w:lastRenderedPageBreak/>
              <w:t>Indications</w:t>
            </w:r>
          </w:p>
        </w:tc>
        <w:tc>
          <w:tcPr>
            <w:tcW w:w="6660" w:type="dxa"/>
            <w:tcBorders>
              <w:top w:val="single" w:sz="4" w:space="0" w:color="auto"/>
              <w:left w:val="single" w:sz="4" w:space="0" w:color="auto"/>
              <w:bottom w:val="single" w:sz="4" w:space="0" w:color="auto"/>
              <w:right w:val="single" w:sz="4" w:space="0" w:color="auto"/>
            </w:tcBorders>
            <w:hideMark/>
          </w:tcPr>
          <w:p w14:paraId="7F68EDA6"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Fibrinogen, Factor XIII, Factor VIII, and Von Willebrand Factor Replacement</w:t>
            </w:r>
          </w:p>
        </w:tc>
      </w:tr>
      <w:tr w:rsidR="00223CE8" w:rsidRPr="00944B15" w14:paraId="6BF5736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C524CF7"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660" w:type="dxa"/>
            <w:tcBorders>
              <w:top w:val="single" w:sz="4" w:space="0" w:color="auto"/>
              <w:left w:val="single" w:sz="4" w:space="0" w:color="auto"/>
              <w:bottom w:val="single" w:sz="4" w:space="0" w:color="auto"/>
              <w:right w:val="single" w:sz="4" w:space="0" w:color="auto"/>
            </w:tcBorders>
            <w:hideMark/>
          </w:tcPr>
          <w:p w14:paraId="2C5F99F1" w14:textId="77777777" w:rsidR="00223CE8" w:rsidRPr="00944B15" w:rsidRDefault="00223CE8" w:rsidP="002D6DD7">
            <w:pPr>
              <w:autoSpaceDE w:val="0"/>
              <w:autoSpaceDN w:val="0"/>
              <w:adjustRightInd w:val="0"/>
              <w:spacing w:after="0"/>
              <w:jc w:val="both"/>
              <w:rPr>
                <w:rFonts w:cs="Times New Roman"/>
                <w:szCs w:val="24"/>
              </w:rPr>
            </w:pPr>
            <w:r>
              <w:rPr>
                <w:rFonts w:cs="Times New Roman"/>
                <w:b/>
                <w:bCs/>
                <w:szCs w:val="24"/>
              </w:rPr>
              <w:t>Pediatric</w:t>
            </w:r>
            <w:r w:rsidRPr="00944B15">
              <w:rPr>
                <w:rFonts w:cs="Times New Roman"/>
                <w:b/>
                <w:bCs/>
                <w:szCs w:val="24"/>
              </w:rPr>
              <w:t xml:space="preserve"> and Adult</w:t>
            </w:r>
            <w:r>
              <w:rPr>
                <w:rFonts w:cs="Times New Roman"/>
                <w:b/>
                <w:bCs/>
                <w:szCs w:val="24"/>
              </w:rPr>
              <w:t>:</w:t>
            </w:r>
          </w:p>
          <w:p w14:paraId="6AA16FEA"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Fibrinogen Replacement</w:t>
            </w:r>
            <w:r>
              <w:rPr>
                <w:rFonts w:eastAsia="Candara-Italic" w:cs="Times New Roman"/>
                <w:b/>
                <w:iCs/>
                <w:szCs w:val="24"/>
              </w:rPr>
              <w:t>:</w:t>
            </w:r>
          </w:p>
          <w:p w14:paraId="4E4F5B25"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1 unit/5kg patient weight will increase fibrinogen by about 100mg/dl.</w:t>
            </w:r>
          </w:p>
          <w:p w14:paraId="55686CF0"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 xml:space="preserve"> Number of bags = 0.2 x weight (kg) to provide about 100mg/dl fibrinogen.</w:t>
            </w:r>
          </w:p>
          <w:p w14:paraId="22280C81"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Factor XIII Replacement</w:t>
            </w:r>
            <w:r>
              <w:rPr>
                <w:rFonts w:eastAsia="Candara-Italic" w:cs="Times New Roman"/>
                <w:b/>
                <w:iCs/>
                <w:szCs w:val="24"/>
              </w:rPr>
              <w:t>:</w:t>
            </w:r>
          </w:p>
          <w:p w14:paraId="7574781E" w14:textId="77777777" w:rsidR="00223CE8" w:rsidRPr="00944B15" w:rsidRDefault="00223CE8" w:rsidP="002D6DD7">
            <w:pPr>
              <w:adjustRightInd w:val="0"/>
              <w:spacing w:after="0"/>
              <w:contextualSpacing/>
              <w:jc w:val="both"/>
              <w:rPr>
                <w:rFonts w:eastAsia="Candara-Italic" w:cs="Times New Roman"/>
                <w:szCs w:val="24"/>
              </w:rPr>
            </w:pPr>
            <w:r w:rsidRPr="00944B15">
              <w:rPr>
                <w:rFonts w:eastAsia="Candara-Italic" w:cs="Times New Roman"/>
                <w:szCs w:val="24"/>
              </w:rPr>
              <w:t>1 unit/5kg patient weight will provide 10Units/kg of factor XIII</w:t>
            </w:r>
          </w:p>
          <w:p w14:paraId="10310D23" w14:textId="77777777" w:rsidR="00223CE8" w:rsidRPr="00944B15" w:rsidRDefault="00223CE8" w:rsidP="002D6DD7">
            <w:pPr>
              <w:adjustRightInd w:val="0"/>
              <w:spacing w:after="0"/>
              <w:contextualSpacing/>
              <w:jc w:val="both"/>
              <w:rPr>
                <w:rFonts w:eastAsia="Candara-Italic" w:cs="Times New Roman"/>
                <w:szCs w:val="24"/>
              </w:rPr>
            </w:pPr>
            <w:r w:rsidRPr="00944B15">
              <w:rPr>
                <w:rFonts w:eastAsia="Candara-Italic" w:cs="Times New Roman"/>
                <w:szCs w:val="24"/>
              </w:rPr>
              <w:t xml:space="preserve">Number of bags = 0.2 x weight (kg) and dosed every 3-6 weeks.  </w:t>
            </w:r>
          </w:p>
          <w:p w14:paraId="44D1C378" w14:textId="77777777" w:rsidR="00223CE8" w:rsidRPr="00944B15" w:rsidRDefault="00223CE8" w:rsidP="002D6DD7">
            <w:pPr>
              <w:adjustRightInd w:val="0"/>
              <w:spacing w:after="0"/>
              <w:contextualSpacing/>
              <w:jc w:val="both"/>
              <w:rPr>
                <w:rFonts w:eastAsia="Candara-Italic" w:cs="Times New Roman"/>
                <w:b/>
                <w:iCs/>
                <w:szCs w:val="24"/>
              </w:rPr>
            </w:pPr>
            <w:r w:rsidRPr="00944B15">
              <w:rPr>
                <w:rFonts w:eastAsia="Candara-Italic" w:cs="Times New Roman"/>
                <w:szCs w:val="24"/>
              </w:rPr>
              <w:t xml:space="preserve"> </w:t>
            </w:r>
            <w:r w:rsidRPr="00944B15">
              <w:rPr>
                <w:rFonts w:eastAsia="Candara-Italic" w:cs="Times New Roman"/>
                <w:b/>
                <w:iCs/>
                <w:szCs w:val="24"/>
              </w:rPr>
              <w:t>Fa</w:t>
            </w:r>
            <w:r>
              <w:rPr>
                <w:rFonts w:eastAsia="Candara-Italic" w:cs="Times New Roman"/>
                <w:b/>
                <w:iCs/>
                <w:szCs w:val="24"/>
              </w:rPr>
              <w:t>ctor VIII Replacement:</w:t>
            </w:r>
          </w:p>
          <w:p w14:paraId="3E449E92"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In emergency situations, assume a desired increase of 100% for a loading dose.</w:t>
            </w:r>
          </w:p>
          <w:p w14:paraId="698427EB"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TBV (</w:t>
            </w:r>
            <w:r>
              <w:rPr>
                <w:rFonts w:cs="Times New Roman"/>
                <w:szCs w:val="24"/>
              </w:rPr>
              <w:t>ml</w:t>
            </w:r>
            <w:r w:rsidRPr="00944B15">
              <w:rPr>
                <w:rFonts w:cs="Times New Roman"/>
                <w:szCs w:val="24"/>
              </w:rPr>
              <w:t xml:space="preserve">) = 70 </w:t>
            </w:r>
            <w:r>
              <w:rPr>
                <w:rFonts w:cs="Times New Roman"/>
                <w:szCs w:val="24"/>
              </w:rPr>
              <w:t>ml</w:t>
            </w:r>
            <w:r w:rsidRPr="00944B15">
              <w:rPr>
                <w:rFonts w:cs="Times New Roman"/>
                <w:szCs w:val="24"/>
              </w:rPr>
              <w:t>/kg x weight (kg)</w:t>
            </w:r>
          </w:p>
          <w:p w14:paraId="0DFC5D42"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PV (</w:t>
            </w:r>
            <w:r>
              <w:rPr>
                <w:rFonts w:cs="Times New Roman"/>
                <w:szCs w:val="24"/>
              </w:rPr>
              <w:t>ml</w:t>
            </w:r>
            <w:r w:rsidRPr="00944B15">
              <w:rPr>
                <w:rFonts w:cs="Times New Roman"/>
                <w:szCs w:val="24"/>
              </w:rPr>
              <w:t>) = TBV x (1-Hct)</w:t>
            </w:r>
          </w:p>
          <w:p w14:paraId="25925C42"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Number of bags = [Desired activity (%) – Current activity (%)] x PV / 80</w:t>
            </w:r>
          </w:p>
          <w:p w14:paraId="7AEA1B0D"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Dosing should be repeated every 8-12 hours but will vary with each patient.</w:t>
            </w:r>
          </w:p>
          <w:p w14:paraId="021CC214"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Von Willebrand Factor Replacement</w:t>
            </w:r>
            <w:r>
              <w:rPr>
                <w:rFonts w:eastAsia="Candara-Italic" w:cs="Times New Roman"/>
                <w:b/>
                <w:iCs/>
                <w:szCs w:val="24"/>
              </w:rPr>
              <w:t>:</w:t>
            </w:r>
          </w:p>
          <w:p w14:paraId="244E3296"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Dosing of 1 unit/10kg patient weight will usually be enough.</w:t>
            </w:r>
          </w:p>
          <w:p w14:paraId="66F77C9C"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 xml:space="preserve">Number of bags = 0.1 x weight (kg) </w:t>
            </w:r>
          </w:p>
          <w:p w14:paraId="3F744E87"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 xml:space="preserve">Repeat dosing may be required every 8-12 hours for up to 3 days followed by once daily dosing. </w:t>
            </w:r>
          </w:p>
        </w:tc>
      </w:tr>
      <w:tr w:rsidR="00223CE8" w:rsidRPr="00944B15" w14:paraId="55BA9921" w14:textId="77777777" w:rsidTr="002D6DD7">
        <w:trPr>
          <w:trHeight w:val="890"/>
        </w:trPr>
        <w:tc>
          <w:tcPr>
            <w:tcW w:w="2610" w:type="dxa"/>
            <w:tcBorders>
              <w:top w:val="single" w:sz="4" w:space="0" w:color="auto"/>
              <w:left w:val="single" w:sz="4" w:space="0" w:color="auto"/>
              <w:bottom w:val="single" w:sz="4" w:space="0" w:color="auto"/>
              <w:right w:val="single" w:sz="4" w:space="0" w:color="auto"/>
            </w:tcBorders>
            <w:hideMark/>
          </w:tcPr>
          <w:p w14:paraId="4259E308"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0D6779D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Isolated factor deficiencies of factor VIII, von Willebrand factor, or factor XIII</w:t>
            </w:r>
          </w:p>
        </w:tc>
      </w:tr>
      <w:tr w:rsidR="00223CE8" w:rsidRPr="00944B15" w14:paraId="0C49A9E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2916745"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4F33AB91"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CB109A">
              <w:rPr>
                <w:rFonts w:cs="Times New Roman"/>
                <w:szCs w:val="24"/>
              </w:rPr>
              <w:t xml:space="preserve">is </w:t>
            </w:r>
            <w:r>
              <w:rPr>
                <w:rFonts w:cs="Times New Roman"/>
                <w:szCs w:val="24"/>
              </w:rPr>
              <w:t>no known significant drug interaction.</w:t>
            </w:r>
          </w:p>
        </w:tc>
      </w:tr>
      <w:tr w:rsidR="00223CE8" w:rsidRPr="00944B15" w14:paraId="2780C33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08B12F" w14:textId="77777777" w:rsidR="00223CE8" w:rsidRPr="00944B15" w:rsidRDefault="00223CE8" w:rsidP="002D6DD7">
            <w:pPr>
              <w:spacing w:after="0"/>
              <w:jc w:val="both"/>
              <w:rPr>
                <w:rFonts w:cs="Times New Roman"/>
                <w:szCs w:val="24"/>
              </w:rPr>
            </w:pPr>
            <w:r w:rsidRPr="00944B15">
              <w:rPr>
                <w:rFonts w:cs="Times New Roman"/>
                <w:szCs w:val="24"/>
              </w:rPr>
              <w:lastRenderedPageBreak/>
              <w:t>Side effects</w:t>
            </w:r>
          </w:p>
        </w:tc>
        <w:tc>
          <w:tcPr>
            <w:tcW w:w="6660" w:type="dxa"/>
            <w:tcBorders>
              <w:top w:val="single" w:sz="4" w:space="0" w:color="auto"/>
              <w:left w:val="single" w:sz="4" w:space="0" w:color="auto"/>
              <w:bottom w:val="single" w:sz="4" w:space="0" w:color="auto"/>
              <w:right w:val="single" w:sz="4" w:space="0" w:color="auto"/>
            </w:tcBorders>
            <w:hideMark/>
          </w:tcPr>
          <w:p w14:paraId="4582018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Haemolytic transfusion reactions, febrile non-hemolytic reactions, allergic reactions, septic reactions, transfusion related acute lung injury, circulatory overload, transfusion associated graft versus host disease and post-transfusion purpura.</w:t>
            </w:r>
          </w:p>
        </w:tc>
      </w:tr>
      <w:tr w:rsidR="00223CE8" w:rsidRPr="00944B15" w14:paraId="122A05A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1CE55B3"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33BA6E6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Cardiac disease and electrolyte imbalance.</w:t>
            </w:r>
          </w:p>
        </w:tc>
      </w:tr>
      <w:tr w:rsidR="00223CE8" w:rsidRPr="00944B15" w14:paraId="05951BF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1271C19"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046DDBC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Stored at a core temperature of -30°C.</w:t>
            </w:r>
          </w:p>
        </w:tc>
      </w:tr>
      <w:tr w:rsidR="00223CE8" w:rsidRPr="00944B15" w14:paraId="7A9A020D" w14:textId="77777777" w:rsidTr="002D6DD7">
        <w:tc>
          <w:tcPr>
            <w:tcW w:w="927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E8ED3" w14:textId="77777777" w:rsidR="00223CE8" w:rsidRPr="00944B15" w:rsidRDefault="00223CE8" w:rsidP="002D6DD7">
            <w:pPr>
              <w:spacing w:after="0"/>
              <w:jc w:val="both"/>
              <w:rPr>
                <w:rFonts w:cs="Times New Roman"/>
                <w:b/>
                <w:szCs w:val="24"/>
              </w:rPr>
            </w:pPr>
            <w:r w:rsidRPr="00944B15">
              <w:rPr>
                <w:rFonts w:cs="Times New Roman"/>
                <w:b/>
                <w:szCs w:val="24"/>
              </w:rPr>
              <w:t>Cryoprecipitate, pathogen-reduced</w:t>
            </w:r>
          </w:p>
        </w:tc>
      </w:tr>
      <w:tr w:rsidR="00223CE8" w:rsidRPr="00944B15" w14:paraId="4CDFF26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4D9EEB"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19D649F5" w14:textId="77777777" w:rsidR="00223CE8" w:rsidRPr="00944B15" w:rsidRDefault="00223CE8" w:rsidP="002D6DD7">
            <w:pPr>
              <w:spacing w:after="0"/>
              <w:jc w:val="both"/>
              <w:rPr>
                <w:rFonts w:cs="Times New Roman"/>
                <w:szCs w:val="24"/>
              </w:rPr>
            </w:pPr>
            <w:r>
              <w:rPr>
                <w:rFonts w:cs="Times New Roman"/>
                <w:szCs w:val="24"/>
              </w:rPr>
              <w:t>Blood component</w:t>
            </w:r>
          </w:p>
        </w:tc>
      </w:tr>
      <w:tr w:rsidR="00223CE8" w:rsidRPr="00944B15" w14:paraId="3BF72B1B"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466339D0"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67ADC15E" w14:textId="77777777" w:rsidR="00223CE8" w:rsidRPr="00944B15" w:rsidRDefault="00223CE8" w:rsidP="002D6DD7">
            <w:pPr>
              <w:spacing w:after="0"/>
              <w:jc w:val="both"/>
              <w:rPr>
                <w:rFonts w:cs="Times New Roman"/>
                <w:szCs w:val="24"/>
              </w:rPr>
            </w:pPr>
            <w:r w:rsidRPr="00944B15">
              <w:rPr>
                <w:rFonts w:cs="Times New Roman"/>
                <w:szCs w:val="24"/>
              </w:rPr>
              <w:t>Injection: frozen liquid in bag or lyophilized powder in vial containing:</w:t>
            </w:r>
          </w:p>
          <w:p w14:paraId="0FE02711" w14:textId="77777777" w:rsidR="00223CE8" w:rsidRPr="00944B15" w:rsidRDefault="00223CE8" w:rsidP="002D6DD7">
            <w:pPr>
              <w:spacing w:after="0"/>
              <w:jc w:val="both"/>
              <w:rPr>
                <w:rFonts w:cs="Times New Roman"/>
                <w:szCs w:val="24"/>
              </w:rPr>
            </w:pPr>
            <w:r w:rsidRPr="00944B15">
              <w:rPr>
                <w:rFonts w:cs="Times New Roman"/>
                <w:szCs w:val="24"/>
              </w:rPr>
              <w:t>&gt; 50 IU Factor VIII</w:t>
            </w:r>
          </w:p>
          <w:p w14:paraId="25476A94" w14:textId="77777777" w:rsidR="00223CE8" w:rsidRPr="00944B15" w:rsidRDefault="00223CE8" w:rsidP="002D6DD7">
            <w:pPr>
              <w:spacing w:after="0"/>
              <w:jc w:val="both"/>
              <w:rPr>
                <w:rFonts w:cs="Times New Roman"/>
                <w:szCs w:val="24"/>
              </w:rPr>
            </w:pPr>
            <w:r w:rsidRPr="00944B15">
              <w:rPr>
                <w:rFonts w:cs="Times New Roman"/>
                <w:szCs w:val="24"/>
              </w:rPr>
              <w:t>&gt; 100 IU vWF</w:t>
            </w:r>
          </w:p>
          <w:p w14:paraId="3FD07A78" w14:textId="77777777" w:rsidR="00223CE8" w:rsidRPr="00944B15" w:rsidRDefault="00223CE8" w:rsidP="002D6DD7">
            <w:pPr>
              <w:spacing w:after="0"/>
              <w:jc w:val="both"/>
              <w:rPr>
                <w:rFonts w:cs="Times New Roman"/>
                <w:szCs w:val="24"/>
              </w:rPr>
            </w:pPr>
            <w:r w:rsidRPr="00944B15">
              <w:rPr>
                <w:rFonts w:cs="Times New Roman"/>
                <w:szCs w:val="24"/>
              </w:rPr>
              <w:t>&gt; 140 mg clottable fibrinogen per unit</w:t>
            </w:r>
          </w:p>
        </w:tc>
      </w:tr>
      <w:tr w:rsidR="00223CE8" w:rsidRPr="00944B15" w14:paraId="6EE812B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43D78A9"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154ABAA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Fibrinogen, Factor XIII, Factor VIII, and Von Willebrand Factor Replacement</w:t>
            </w:r>
          </w:p>
        </w:tc>
      </w:tr>
      <w:tr w:rsidR="00223CE8" w:rsidRPr="00944B15" w14:paraId="3AC686E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8226266"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3A25C92F" w14:textId="77777777" w:rsidR="00223CE8" w:rsidRPr="00944B15" w:rsidRDefault="00223CE8" w:rsidP="002D6DD7">
            <w:pPr>
              <w:autoSpaceDE w:val="0"/>
              <w:autoSpaceDN w:val="0"/>
              <w:adjustRightInd w:val="0"/>
              <w:spacing w:after="0"/>
              <w:jc w:val="both"/>
              <w:rPr>
                <w:rFonts w:cs="Times New Roman"/>
                <w:szCs w:val="24"/>
              </w:rPr>
            </w:pPr>
            <w:r>
              <w:rPr>
                <w:rFonts w:cs="Times New Roman"/>
                <w:b/>
                <w:bCs/>
                <w:szCs w:val="24"/>
              </w:rPr>
              <w:t>Pediatric</w:t>
            </w:r>
            <w:r w:rsidRPr="00944B15">
              <w:rPr>
                <w:rFonts w:cs="Times New Roman"/>
                <w:b/>
                <w:bCs/>
                <w:szCs w:val="24"/>
              </w:rPr>
              <w:t xml:space="preserve"> and Adult</w:t>
            </w:r>
            <w:r>
              <w:rPr>
                <w:rFonts w:cs="Times New Roman"/>
                <w:b/>
                <w:bCs/>
                <w:szCs w:val="24"/>
              </w:rPr>
              <w:t>:</w:t>
            </w:r>
          </w:p>
          <w:p w14:paraId="56A3D9A7"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Fibrinogen Replacement</w:t>
            </w:r>
            <w:r>
              <w:rPr>
                <w:rFonts w:eastAsia="Candara-Italic" w:cs="Times New Roman"/>
                <w:b/>
                <w:iCs/>
                <w:szCs w:val="24"/>
              </w:rPr>
              <w:t>:</w:t>
            </w:r>
          </w:p>
          <w:p w14:paraId="66E1C3BE"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1 unit/5kg patient weight will increase fibrinogen by about 100mg/dl.</w:t>
            </w:r>
          </w:p>
          <w:p w14:paraId="7E1F3553"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 xml:space="preserve"> Number of bags = 0.2 x weight (kg) to provide about 100mg/dl fibrinogen.</w:t>
            </w:r>
          </w:p>
          <w:p w14:paraId="0E4DA12C"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Factor XIII Replacement</w:t>
            </w:r>
            <w:r>
              <w:rPr>
                <w:rFonts w:eastAsia="Candara-Italic" w:cs="Times New Roman"/>
                <w:b/>
                <w:iCs/>
                <w:szCs w:val="24"/>
              </w:rPr>
              <w:t>:</w:t>
            </w:r>
          </w:p>
          <w:p w14:paraId="532CDDBD" w14:textId="77777777" w:rsidR="00223CE8" w:rsidRPr="00944B15" w:rsidRDefault="00223CE8" w:rsidP="002D6DD7">
            <w:pPr>
              <w:adjustRightInd w:val="0"/>
              <w:spacing w:after="0"/>
              <w:contextualSpacing/>
              <w:jc w:val="both"/>
              <w:rPr>
                <w:rFonts w:eastAsia="Candara-Italic" w:cs="Times New Roman"/>
                <w:szCs w:val="24"/>
              </w:rPr>
            </w:pPr>
            <w:r w:rsidRPr="00944B15">
              <w:rPr>
                <w:rFonts w:eastAsia="Candara-Italic" w:cs="Times New Roman"/>
                <w:szCs w:val="24"/>
              </w:rPr>
              <w:t>1 unit/5kg patient weight will provide 10Units/kg of factor XIII</w:t>
            </w:r>
          </w:p>
          <w:p w14:paraId="7B4383CF" w14:textId="77777777" w:rsidR="00223CE8" w:rsidRPr="00944B15" w:rsidRDefault="00223CE8" w:rsidP="002D6DD7">
            <w:pPr>
              <w:adjustRightInd w:val="0"/>
              <w:spacing w:after="0"/>
              <w:contextualSpacing/>
              <w:jc w:val="both"/>
              <w:rPr>
                <w:rFonts w:eastAsia="Candara-Italic" w:cs="Times New Roman"/>
                <w:szCs w:val="24"/>
              </w:rPr>
            </w:pPr>
            <w:r w:rsidRPr="00944B15">
              <w:rPr>
                <w:rFonts w:eastAsia="Candara-Italic" w:cs="Times New Roman"/>
                <w:szCs w:val="24"/>
              </w:rPr>
              <w:t xml:space="preserve">Number of bags = 0.2 x weight (kg) and dosed every 3-6 weeks.  </w:t>
            </w:r>
          </w:p>
          <w:p w14:paraId="68248878" w14:textId="77777777" w:rsidR="00223CE8" w:rsidRPr="00944B15" w:rsidRDefault="00223CE8" w:rsidP="002D6DD7">
            <w:pPr>
              <w:adjustRightInd w:val="0"/>
              <w:spacing w:after="0"/>
              <w:contextualSpacing/>
              <w:jc w:val="both"/>
              <w:rPr>
                <w:rFonts w:eastAsia="Candara-Italic" w:cs="Times New Roman"/>
                <w:b/>
                <w:iCs/>
                <w:szCs w:val="24"/>
              </w:rPr>
            </w:pPr>
            <w:r w:rsidRPr="00944B15">
              <w:rPr>
                <w:rFonts w:eastAsia="Candara-Italic" w:cs="Times New Roman"/>
                <w:szCs w:val="24"/>
              </w:rPr>
              <w:t xml:space="preserve"> </w:t>
            </w:r>
            <w:r w:rsidRPr="00944B15">
              <w:rPr>
                <w:rFonts w:eastAsia="Candara-Italic" w:cs="Times New Roman"/>
                <w:b/>
                <w:iCs/>
                <w:szCs w:val="24"/>
              </w:rPr>
              <w:t>Factor VIII Replacement</w:t>
            </w:r>
            <w:r>
              <w:rPr>
                <w:rFonts w:eastAsia="Candara-Italic" w:cs="Times New Roman"/>
                <w:b/>
                <w:iCs/>
                <w:szCs w:val="24"/>
              </w:rPr>
              <w:t>:</w:t>
            </w:r>
            <w:r w:rsidRPr="00944B15">
              <w:rPr>
                <w:rFonts w:eastAsia="Candara-Italic" w:cs="Times New Roman"/>
                <w:b/>
                <w:iCs/>
                <w:szCs w:val="24"/>
              </w:rPr>
              <w:t xml:space="preserve"> </w:t>
            </w:r>
          </w:p>
          <w:p w14:paraId="5C944F90"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In emergency situations, assume a desired increase of 100% for a loading dose.</w:t>
            </w:r>
          </w:p>
          <w:p w14:paraId="40BD3DB3"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TBV (</w:t>
            </w:r>
            <w:r>
              <w:rPr>
                <w:rFonts w:cs="Times New Roman"/>
                <w:szCs w:val="24"/>
              </w:rPr>
              <w:t>ml</w:t>
            </w:r>
            <w:r w:rsidRPr="00944B15">
              <w:rPr>
                <w:rFonts w:cs="Times New Roman"/>
                <w:szCs w:val="24"/>
              </w:rPr>
              <w:t xml:space="preserve">) = 70 </w:t>
            </w:r>
            <w:r>
              <w:rPr>
                <w:rFonts w:cs="Times New Roman"/>
                <w:szCs w:val="24"/>
              </w:rPr>
              <w:t>ml</w:t>
            </w:r>
            <w:r w:rsidRPr="00944B15">
              <w:rPr>
                <w:rFonts w:cs="Times New Roman"/>
                <w:szCs w:val="24"/>
              </w:rPr>
              <w:t>/kg x weight (kg)</w:t>
            </w:r>
          </w:p>
          <w:p w14:paraId="36F4D591"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PV (</w:t>
            </w:r>
            <w:r>
              <w:rPr>
                <w:rFonts w:cs="Times New Roman"/>
                <w:szCs w:val="24"/>
              </w:rPr>
              <w:t>ml</w:t>
            </w:r>
            <w:r w:rsidRPr="00944B15">
              <w:rPr>
                <w:rFonts w:cs="Times New Roman"/>
                <w:szCs w:val="24"/>
              </w:rPr>
              <w:t>) = TBV x (1-Hct)</w:t>
            </w:r>
          </w:p>
          <w:p w14:paraId="69B1F7D6"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Number of bags = [Desired activity (%) – Current activity (%)] x PV / 80</w:t>
            </w:r>
          </w:p>
          <w:p w14:paraId="6B7DB69D"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lastRenderedPageBreak/>
              <w:t>Dosing should be repeated every 8-12 hours but will vary with each patient.</w:t>
            </w:r>
          </w:p>
          <w:p w14:paraId="50D39820"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Von Willebrand Factor Replacement</w:t>
            </w:r>
            <w:r>
              <w:rPr>
                <w:rFonts w:eastAsia="Candara-Italic" w:cs="Times New Roman"/>
                <w:b/>
                <w:iCs/>
                <w:szCs w:val="24"/>
              </w:rPr>
              <w:t>:</w:t>
            </w:r>
          </w:p>
          <w:p w14:paraId="607FDD76"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Dosing of 1 unit/10kg patient weight will usually be enough.</w:t>
            </w:r>
          </w:p>
          <w:p w14:paraId="245FEFE8" w14:textId="77777777" w:rsidR="00223CE8" w:rsidRPr="00944B15" w:rsidRDefault="00223CE8" w:rsidP="002D6DD7">
            <w:pPr>
              <w:adjustRightInd w:val="0"/>
              <w:spacing w:after="0"/>
              <w:contextualSpacing/>
              <w:jc w:val="both"/>
              <w:rPr>
                <w:rFonts w:cs="Times New Roman"/>
                <w:szCs w:val="24"/>
              </w:rPr>
            </w:pPr>
            <w:r w:rsidRPr="00944B15">
              <w:rPr>
                <w:rFonts w:cs="Times New Roman"/>
                <w:szCs w:val="24"/>
              </w:rPr>
              <w:t xml:space="preserve">Number of bags = 0.1 x weight (kg) </w:t>
            </w:r>
          </w:p>
          <w:p w14:paraId="0F834A5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Repeat dosing may be required every 8-12 hours for up to 3 days followed by once daily dosing.</w:t>
            </w:r>
          </w:p>
        </w:tc>
      </w:tr>
      <w:tr w:rsidR="00223CE8" w:rsidRPr="00944B15" w14:paraId="5F135904" w14:textId="77777777" w:rsidTr="002D6DD7">
        <w:trPr>
          <w:trHeight w:val="1448"/>
        </w:trPr>
        <w:tc>
          <w:tcPr>
            <w:tcW w:w="2610" w:type="dxa"/>
            <w:tcBorders>
              <w:top w:val="single" w:sz="4" w:space="0" w:color="auto"/>
              <w:left w:val="single" w:sz="4" w:space="0" w:color="auto"/>
              <w:bottom w:val="single" w:sz="4" w:space="0" w:color="auto"/>
              <w:right w:val="single" w:sz="4" w:space="0" w:color="auto"/>
            </w:tcBorders>
            <w:hideMark/>
          </w:tcPr>
          <w:p w14:paraId="6D32FDD9"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5841602C"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w:t>
            </w:r>
            <w:r w:rsidRPr="00944B15">
              <w:rPr>
                <w:rFonts w:cs="Times New Roman"/>
                <w:szCs w:val="24"/>
              </w:rPr>
              <w:t>ypersensitivity reaction to psoralens, neonatal patients treated with phototherapy devices and if recombinant or specific virally inactivated factor preparations are available.</w:t>
            </w:r>
          </w:p>
        </w:tc>
      </w:tr>
      <w:tr w:rsidR="00223CE8" w:rsidRPr="00944B15" w14:paraId="5B01C02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44AD0EA"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453D480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Refer to cryoprecipitate</w:t>
            </w:r>
          </w:p>
        </w:tc>
      </w:tr>
      <w:tr w:rsidR="00223CE8" w:rsidRPr="00944B15" w14:paraId="759884D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D36C461"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6918C05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Refer to cryoprecipitate</w:t>
            </w:r>
          </w:p>
        </w:tc>
      </w:tr>
      <w:tr w:rsidR="00223CE8" w:rsidRPr="00944B15" w14:paraId="697E9E9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72C9912"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04F942A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Refer to cryoprecipitate</w:t>
            </w:r>
          </w:p>
        </w:tc>
      </w:tr>
      <w:tr w:rsidR="00223CE8" w:rsidRPr="00944B15" w14:paraId="63086DE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995E65C"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46B32E6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Stored at a core temperature of -30°C.</w:t>
            </w:r>
          </w:p>
        </w:tc>
      </w:tr>
      <w:tr w:rsidR="00223CE8" w:rsidRPr="00944B15" w14:paraId="770EA233"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556DF9A2" w14:textId="77777777" w:rsidR="00223CE8" w:rsidRPr="00944B15" w:rsidRDefault="00223CE8" w:rsidP="002D6DD7">
            <w:pPr>
              <w:spacing w:after="0"/>
              <w:jc w:val="both"/>
              <w:rPr>
                <w:rFonts w:cs="Times New Roman"/>
                <w:b/>
                <w:szCs w:val="24"/>
              </w:rPr>
            </w:pPr>
            <w:r w:rsidRPr="00944B15">
              <w:rPr>
                <w:rFonts w:cs="Times New Roman"/>
                <w:b/>
                <w:szCs w:val="24"/>
              </w:rPr>
              <w:t>Fresh-frozen plasma (FFP)</w:t>
            </w:r>
          </w:p>
        </w:tc>
      </w:tr>
      <w:tr w:rsidR="00223CE8" w:rsidRPr="00944B15" w14:paraId="6216A1CA" w14:textId="77777777" w:rsidTr="002D6DD7">
        <w:trPr>
          <w:trHeight w:val="46"/>
        </w:trPr>
        <w:tc>
          <w:tcPr>
            <w:tcW w:w="2610" w:type="dxa"/>
            <w:tcBorders>
              <w:top w:val="single" w:sz="4" w:space="0" w:color="auto"/>
              <w:left w:val="single" w:sz="4" w:space="0" w:color="auto"/>
              <w:bottom w:val="single" w:sz="4" w:space="0" w:color="auto"/>
              <w:right w:val="single" w:sz="4" w:space="0" w:color="auto"/>
            </w:tcBorders>
            <w:hideMark/>
          </w:tcPr>
          <w:p w14:paraId="0771836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tcPr>
          <w:p w14:paraId="28C9D5AA" w14:textId="77777777" w:rsidR="00223CE8" w:rsidRPr="00944B15" w:rsidRDefault="00223CE8" w:rsidP="002D6DD7">
            <w:pPr>
              <w:spacing w:after="0"/>
              <w:jc w:val="both"/>
              <w:rPr>
                <w:rFonts w:cs="Times New Roman"/>
                <w:szCs w:val="24"/>
              </w:rPr>
            </w:pPr>
            <w:r>
              <w:rPr>
                <w:rStyle w:val="Hyperlink"/>
                <w:rFonts w:cs="Times New Roman"/>
                <w:color w:val="auto"/>
                <w:szCs w:val="24"/>
                <w:u w:val="none"/>
              </w:rPr>
              <w:t>Blood component</w:t>
            </w:r>
          </w:p>
        </w:tc>
      </w:tr>
      <w:tr w:rsidR="00223CE8" w:rsidRPr="00944B15" w14:paraId="47FEA7B2" w14:textId="77777777" w:rsidTr="002D6DD7">
        <w:trPr>
          <w:trHeight w:val="46"/>
        </w:trPr>
        <w:tc>
          <w:tcPr>
            <w:tcW w:w="2610" w:type="dxa"/>
            <w:tcBorders>
              <w:top w:val="single" w:sz="4" w:space="0" w:color="auto"/>
              <w:left w:val="single" w:sz="4" w:space="0" w:color="auto"/>
              <w:bottom w:val="single" w:sz="4" w:space="0" w:color="auto"/>
              <w:right w:val="single" w:sz="4" w:space="0" w:color="auto"/>
            </w:tcBorders>
            <w:hideMark/>
          </w:tcPr>
          <w:p w14:paraId="1949A3B8"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391A7B72" w14:textId="77777777" w:rsidR="00223CE8" w:rsidRPr="00944B15" w:rsidRDefault="00223CE8" w:rsidP="002D6DD7">
            <w:pPr>
              <w:spacing w:after="0"/>
              <w:jc w:val="both"/>
              <w:rPr>
                <w:rFonts w:cs="Times New Roman"/>
                <w:szCs w:val="24"/>
              </w:rPr>
            </w:pPr>
            <w:r w:rsidRPr="00944B15">
              <w:rPr>
                <w:rFonts w:cs="Times New Roman"/>
                <w:szCs w:val="24"/>
              </w:rPr>
              <w:t xml:space="preserve">One unit: 50-70 </w:t>
            </w:r>
            <w:r>
              <w:rPr>
                <w:rFonts w:cs="Times New Roman"/>
                <w:szCs w:val="24"/>
              </w:rPr>
              <w:t>ml</w:t>
            </w:r>
            <w:r w:rsidRPr="00944B15">
              <w:rPr>
                <w:rFonts w:cs="Times New Roman"/>
                <w:szCs w:val="24"/>
              </w:rPr>
              <w:t xml:space="preserve"> (80-285 gm)</w:t>
            </w:r>
          </w:p>
        </w:tc>
      </w:tr>
      <w:tr w:rsidR="00223CE8" w:rsidRPr="00944B15" w14:paraId="44EB946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F7424FE"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75BBE921"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iCs/>
                <w:szCs w:val="24"/>
              </w:rPr>
              <w:t>Correction of congenital or acquired deficiencies of clotting factors, reconstitution of whole blood for exchange transfusions and treatment of Thrombotic Thrombocytopenic Purpura (TTP).</w:t>
            </w:r>
          </w:p>
        </w:tc>
      </w:tr>
      <w:tr w:rsidR="00223CE8" w:rsidRPr="00944B15" w14:paraId="31C42D1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CA9A969"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33D4E122"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Management/Prevention of Bleeding</w:t>
            </w:r>
            <w:r>
              <w:rPr>
                <w:rFonts w:cs="Times New Roman"/>
                <w:b/>
                <w:szCs w:val="24"/>
              </w:rPr>
              <w:t>:</w:t>
            </w:r>
          </w:p>
          <w:p w14:paraId="08CDB3D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IV: 10-20 </w:t>
            </w:r>
            <w:r>
              <w:rPr>
                <w:rFonts w:cs="Times New Roman"/>
                <w:szCs w:val="24"/>
              </w:rPr>
              <w:t>ml</w:t>
            </w:r>
            <w:r w:rsidRPr="00944B15">
              <w:rPr>
                <w:rFonts w:cs="Times New Roman"/>
                <w:szCs w:val="24"/>
              </w:rPr>
              <w:t>/kg of body weight will increase factor levels by 20-30%.</w:t>
            </w:r>
          </w:p>
          <w:p w14:paraId="5678F47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 adults and large children, dosing is rounded to the nearest number of units</w:t>
            </w:r>
          </w:p>
          <w:p w14:paraId="7946EC9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Number of units = Desired dose (</w:t>
            </w:r>
            <w:r>
              <w:rPr>
                <w:rFonts w:cs="Times New Roman"/>
                <w:szCs w:val="24"/>
              </w:rPr>
              <w:t>ml</w:t>
            </w:r>
            <w:r w:rsidRPr="00944B15">
              <w:rPr>
                <w:rFonts w:cs="Times New Roman"/>
                <w:szCs w:val="24"/>
              </w:rPr>
              <w:t xml:space="preserve">) / 200 </w:t>
            </w:r>
            <w:r>
              <w:rPr>
                <w:rFonts w:cs="Times New Roman"/>
                <w:szCs w:val="24"/>
              </w:rPr>
              <w:t>ml</w:t>
            </w:r>
            <w:r w:rsidRPr="00944B15">
              <w:rPr>
                <w:rFonts w:cs="Times New Roman"/>
                <w:szCs w:val="24"/>
              </w:rPr>
              <w:t>/unit</w:t>
            </w:r>
          </w:p>
          <w:p w14:paraId="30EE5C21"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Coagulation Factors Replacement</w:t>
            </w:r>
            <w:r>
              <w:rPr>
                <w:rFonts w:cs="Times New Roman"/>
                <w:b/>
                <w:szCs w:val="24"/>
              </w:rPr>
              <w:t>:</w:t>
            </w:r>
          </w:p>
          <w:p w14:paraId="435135B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IV: 10-15 </w:t>
            </w:r>
            <w:r>
              <w:rPr>
                <w:rFonts w:cs="Times New Roman"/>
                <w:szCs w:val="24"/>
              </w:rPr>
              <w:t>ml</w:t>
            </w:r>
            <w:r w:rsidRPr="00944B15">
              <w:rPr>
                <w:rFonts w:cs="Times New Roman"/>
                <w:szCs w:val="24"/>
              </w:rPr>
              <w:t>/kg initially; this should increase plasma coagulation factors by ~15-25%</w:t>
            </w:r>
          </w:p>
          <w:p w14:paraId="1D871550"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Thrombotic Thrombocytopenic Purpura (TTP)</w:t>
            </w:r>
            <w:r>
              <w:rPr>
                <w:rFonts w:cs="Times New Roman"/>
                <w:b/>
                <w:szCs w:val="24"/>
              </w:rPr>
              <w:t>:</w:t>
            </w:r>
          </w:p>
          <w:p w14:paraId="6249516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lastRenderedPageBreak/>
              <w:t xml:space="preserve">IV: 1-1.5 plasma volumes correspond to 40-60 </w:t>
            </w:r>
            <w:r>
              <w:rPr>
                <w:rFonts w:cs="Times New Roman"/>
                <w:szCs w:val="24"/>
              </w:rPr>
              <w:t>ml</w:t>
            </w:r>
            <w:r w:rsidRPr="00944B15">
              <w:rPr>
                <w:rFonts w:cs="Times New Roman"/>
                <w:szCs w:val="24"/>
              </w:rPr>
              <w:t xml:space="preserve">/kg </w:t>
            </w:r>
          </w:p>
        </w:tc>
      </w:tr>
      <w:tr w:rsidR="00223CE8" w:rsidRPr="00944B15" w14:paraId="36FCB7A0" w14:textId="77777777" w:rsidTr="002D6DD7">
        <w:trPr>
          <w:trHeight w:val="1295"/>
        </w:trPr>
        <w:tc>
          <w:tcPr>
            <w:tcW w:w="2610" w:type="dxa"/>
            <w:tcBorders>
              <w:top w:val="single" w:sz="4" w:space="0" w:color="auto"/>
              <w:left w:val="single" w:sz="4" w:space="0" w:color="auto"/>
              <w:bottom w:val="single" w:sz="4" w:space="0" w:color="auto"/>
              <w:right w:val="single" w:sz="4" w:space="0" w:color="auto"/>
            </w:tcBorders>
            <w:hideMark/>
          </w:tcPr>
          <w:p w14:paraId="4E01A072"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2F7502E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History of hypersensitivity to </w:t>
            </w:r>
            <w:r>
              <w:rPr>
                <w:rFonts w:cs="Times New Roman"/>
                <w:szCs w:val="24"/>
              </w:rPr>
              <w:t>the drug</w:t>
            </w:r>
            <w:r w:rsidRPr="00944B15">
              <w:rPr>
                <w:rFonts w:cs="Times New Roman"/>
                <w:szCs w:val="24"/>
              </w:rPr>
              <w:t xml:space="preserve"> or to plasma-derived products including any plasma protein, IgA deficiency and severe protein S deficiency</w:t>
            </w:r>
          </w:p>
        </w:tc>
      </w:tr>
      <w:tr w:rsidR="00223CE8" w:rsidRPr="00944B15" w14:paraId="52FE19E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81D43F4"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35C49E6A"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CB109A">
              <w:rPr>
                <w:rFonts w:cs="Times New Roman"/>
                <w:szCs w:val="24"/>
              </w:rPr>
              <w:t>is</w:t>
            </w:r>
            <w:r>
              <w:rPr>
                <w:rFonts w:cs="Times New Roman"/>
                <w:szCs w:val="24"/>
              </w:rPr>
              <w:t xml:space="preserve"> no significant drug interaction</w:t>
            </w:r>
          </w:p>
        </w:tc>
      </w:tr>
      <w:tr w:rsidR="00223CE8" w:rsidRPr="00944B15" w14:paraId="06A5086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933B09D"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4F0B7C1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Chills, fever, urticaria, transfusion-related acute lung injury (TRALI), viral transmission (hepatitis, HIV, etc.), sepsis, citrate toxicity in neonates, transfusion-associated circulatory overload, anaphylaxis and allergic reactions.</w:t>
            </w:r>
          </w:p>
        </w:tc>
      </w:tr>
      <w:tr w:rsidR="00223CE8" w:rsidRPr="00944B15" w14:paraId="32A0E17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44117AA"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503594F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vitamin K deficiency or warfarin reversal, heart failure, pulmonary oedema and specific protein deficiencies.</w:t>
            </w:r>
          </w:p>
        </w:tc>
      </w:tr>
      <w:tr w:rsidR="00223CE8" w:rsidRPr="00944B15" w14:paraId="5227B06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0F72165"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03C9073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at a temperature -30°C or below.</w:t>
            </w:r>
          </w:p>
        </w:tc>
      </w:tr>
      <w:tr w:rsidR="00223CE8" w:rsidRPr="00944B15" w14:paraId="52B1B05D" w14:textId="77777777" w:rsidTr="002D6DD7">
        <w:tc>
          <w:tcPr>
            <w:tcW w:w="9270" w:type="dxa"/>
            <w:gridSpan w:val="2"/>
            <w:tcBorders>
              <w:top w:val="single" w:sz="4" w:space="0" w:color="auto"/>
              <w:left w:val="single" w:sz="4" w:space="0" w:color="auto"/>
              <w:bottom w:val="single" w:sz="4" w:space="0" w:color="auto"/>
              <w:right w:val="single" w:sz="4" w:space="0" w:color="auto"/>
            </w:tcBorders>
          </w:tcPr>
          <w:p w14:paraId="57A792A5" w14:textId="77777777" w:rsidR="00223CE8" w:rsidRPr="00944B15" w:rsidRDefault="00223CE8" w:rsidP="002D6DD7">
            <w:pPr>
              <w:spacing w:after="0"/>
              <w:jc w:val="both"/>
              <w:rPr>
                <w:rFonts w:cs="Times New Roman"/>
                <w:b/>
                <w:szCs w:val="24"/>
              </w:rPr>
            </w:pPr>
            <w:r w:rsidRPr="00944B15">
              <w:rPr>
                <w:rFonts w:cs="Times New Roman"/>
                <w:b/>
                <w:szCs w:val="24"/>
              </w:rPr>
              <w:t>Platelets</w:t>
            </w:r>
          </w:p>
        </w:tc>
      </w:tr>
      <w:tr w:rsidR="00223CE8" w:rsidRPr="00944B15" w14:paraId="54AF42CB" w14:textId="77777777" w:rsidTr="002D6DD7">
        <w:trPr>
          <w:trHeight w:val="206"/>
        </w:trPr>
        <w:tc>
          <w:tcPr>
            <w:tcW w:w="2610" w:type="dxa"/>
            <w:tcBorders>
              <w:top w:val="single" w:sz="4" w:space="0" w:color="auto"/>
              <w:left w:val="single" w:sz="4" w:space="0" w:color="auto"/>
              <w:bottom w:val="single" w:sz="4" w:space="0" w:color="auto"/>
              <w:right w:val="single" w:sz="4" w:space="0" w:color="auto"/>
            </w:tcBorders>
            <w:hideMark/>
          </w:tcPr>
          <w:p w14:paraId="05C7B342"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tcPr>
          <w:p w14:paraId="5934ABCA" w14:textId="77777777" w:rsidR="00223CE8" w:rsidRPr="000770D7" w:rsidRDefault="00223CE8" w:rsidP="003D3F76">
            <w:pPr>
              <w:numPr>
                <w:ilvl w:val="0"/>
                <w:numId w:val="5"/>
              </w:numPr>
              <w:spacing w:after="0"/>
              <w:ind w:left="-360"/>
              <w:jc w:val="both"/>
              <w:rPr>
                <w:rFonts w:cs="Times New Roman"/>
                <w:szCs w:val="24"/>
              </w:rPr>
            </w:pPr>
            <w:r>
              <w:rPr>
                <w:rStyle w:val="Hyperlink"/>
                <w:rFonts w:cs="Times New Roman"/>
                <w:color w:val="auto"/>
                <w:szCs w:val="24"/>
                <w:u w:val="none"/>
              </w:rPr>
              <w:t>Bl Blood component</w:t>
            </w:r>
          </w:p>
        </w:tc>
      </w:tr>
      <w:tr w:rsidR="00223CE8" w:rsidRPr="00944B15" w14:paraId="24601716"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62A23A7D"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04AAB7F6" w14:textId="77777777" w:rsidR="00223CE8" w:rsidRPr="00944B15" w:rsidRDefault="00223CE8" w:rsidP="002D6DD7">
            <w:pPr>
              <w:spacing w:after="0"/>
              <w:jc w:val="both"/>
              <w:rPr>
                <w:rFonts w:cs="Times New Roman"/>
                <w:szCs w:val="24"/>
              </w:rPr>
            </w:pPr>
            <w:r w:rsidRPr="00944B15">
              <w:rPr>
                <w:rFonts w:cs="Times New Roman"/>
                <w:szCs w:val="24"/>
              </w:rPr>
              <w:t xml:space="preserve">One unit: 150- 250 </w:t>
            </w:r>
            <w:r>
              <w:rPr>
                <w:rFonts w:cs="Times New Roman"/>
                <w:szCs w:val="24"/>
              </w:rPr>
              <w:t>ml</w:t>
            </w:r>
            <w:r w:rsidRPr="00944B15">
              <w:rPr>
                <w:rFonts w:cs="Times New Roman"/>
                <w:szCs w:val="24"/>
              </w:rPr>
              <w:t xml:space="preserve"> (81-102 gm)</w:t>
            </w:r>
          </w:p>
        </w:tc>
      </w:tr>
      <w:tr w:rsidR="00223CE8" w:rsidRPr="00944B15" w14:paraId="670D353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5625BBF"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79665D1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For thrombocytopenia or platelet dysfunction to treat active platelet-related bleeding.</w:t>
            </w:r>
          </w:p>
        </w:tc>
      </w:tr>
      <w:tr w:rsidR="00223CE8" w:rsidRPr="00944B15" w14:paraId="23C6286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0C0138C"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63BA7FAE"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Adult:</w:t>
            </w:r>
          </w:p>
          <w:p w14:paraId="04C11B4B" w14:textId="77777777" w:rsidR="00223CE8" w:rsidRPr="00944B15" w:rsidRDefault="00223CE8" w:rsidP="002D6DD7">
            <w:pPr>
              <w:autoSpaceDE w:val="0"/>
              <w:autoSpaceDN w:val="0"/>
              <w:adjustRightInd w:val="0"/>
              <w:spacing w:after="0"/>
              <w:jc w:val="both"/>
              <w:rPr>
                <w:rFonts w:cs="Times New Roman"/>
                <w:bCs/>
                <w:szCs w:val="24"/>
              </w:rPr>
            </w:pPr>
            <w:r w:rsidRPr="00944B15">
              <w:rPr>
                <w:rFonts w:cs="Times New Roman"/>
                <w:bCs/>
                <w:szCs w:val="24"/>
              </w:rPr>
              <w:t>6 whole blood derived platelets,</w:t>
            </w:r>
            <w:r w:rsidRPr="00944B15">
              <w:rPr>
                <w:rFonts w:cs="Times New Roman"/>
                <w:szCs w:val="24"/>
              </w:rPr>
              <w:t xml:space="preserve"> </w:t>
            </w:r>
            <w:r w:rsidRPr="00944B15">
              <w:rPr>
                <w:rFonts w:cs="Times New Roman"/>
                <w:bCs/>
                <w:szCs w:val="24"/>
              </w:rPr>
              <w:t>raise the platelet count by 30,000-60,000/uL in a 70 kg patient.</w:t>
            </w:r>
          </w:p>
          <w:p w14:paraId="7F40CC75"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73F097E4"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Neonates and child &lt;10 kg: </w:t>
            </w:r>
            <w:r w:rsidRPr="00944B15">
              <w:rPr>
                <w:rFonts w:cs="Times New Roman"/>
                <w:szCs w:val="24"/>
              </w:rPr>
              <w:t xml:space="preserve">Transfusion of 5–10 </w:t>
            </w:r>
            <w:r>
              <w:rPr>
                <w:rFonts w:cs="Times New Roman"/>
                <w:szCs w:val="24"/>
              </w:rPr>
              <w:t>ml</w:t>
            </w:r>
            <w:r w:rsidRPr="00944B15">
              <w:rPr>
                <w:rFonts w:cs="Times New Roman"/>
                <w:szCs w:val="24"/>
              </w:rPr>
              <w:t>/kg should raise the platelet count by 40–50,000/mm3</w:t>
            </w:r>
          </w:p>
          <w:p w14:paraId="6FFFFB8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b/>
                <w:bCs/>
                <w:szCs w:val="24"/>
              </w:rPr>
              <w:t xml:space="preserve">Child &gt;10 kg: </w:t>
            </w:r>
            <w:r w:rsidRPr="00944B15">
              <w:rPr>
                <w:rFonts w:cs="Times New Roman"/>
                <w:szCs w:val="24"/>
              </w:rPr>
              <w:t xml:space="preserve">Transfusion of 1 unit of whole blood derived platelets per 10 kg should raise the platelet count by 50,000/mm3. </w:t>
            </w:r>
          </w:p>
          <w:p w14:paraId="4A61C4C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Transfused platelets have a short life span and will need to be reinfused if platelet count is not achieved</w:t>
            </w:r>
          </w:p>
        </w:tc>
      </w:tr>
      <w:tr w:rsidR="00223CE8" w:rsidRPr="00944B15" w14:paraId="253FFB15" w14:textId="77777777" w:rsidTr="002D6DD7">
        <w:trPr>
          <w:trHeight w:val="548"/>
        </w:trPr>
        <w:tc>
          <w:tcPr>
            <w:tcW w:w="2610" w:type="dxa"/>
            <w:tcBorders>
              <w:top w:val="single" w:sz="4" w:space="0" w:color="auto"/>
              <w:left w:val="single" w:sz="4" w:space="0" w:color="auto"/>
              <w:bottom w:val="single" w:sz="4" w:space="0" w:color="auto"/>
              <w:right w:val="single" w:sz="4" w:space="0" w:color="auto"/>
            </w:tcBorders>
            <w:hideMark/>
          </w:tcPr>
          <w:p w14:paraId="04090722"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696365A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Thrombotic thrombocytopenic purpura, haemolytic uremic syndrome and heparin-induced thrombocytopenia, immune thrombocytopenia</w:t>
            </w:r>
          </w:p>
        </w:tc>
      </w:tr>
      <w:tr w:rsidR="00223CE8" w:rsidRPr="00944B15" w14:paraId="674410D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29023AE" w14:textId="77777777" w:rsidR="00223CE8" w:rsidRPr="00944B15" w:rsidRDefault="00223CE8" w:rsidP="002D6DD7">
            <w:pPr>
              <w:spacing w:after="0"/>
              <w:jc w:val="both"/>
              <w:rPr>
                <w:rFonts w:cs="Times New Roman"/>
                <w:szCs w:val="24"/>
              </w:rPr>
            </w:pPr>
            <w:r w:rsidRPr="00944B15">
              <w:rPr>
                <w:rFonts w:cs="Times New Roman"/>
                <w:szCs w:val="24"/>
              </w:rPr>
              <w:lastRenderedPageBreak/>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0EB595E4"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E677B0">
              <w:rPr>
                <w:rFonts w:cs="Times New Roman"/>
                <w:szCs w:val="24"/>
              </w:rPr>
              <w:t xml:space="preserve">is </w:t>
            </w:r>
            <w:r>
              <w:rPr>
                <w:rFonts w:cs="Times New Roman"/>
                <w:szCs w:val="24"/>
              </w:rPr>
              <w:t>no significant drug interaction</w:t>
            </w:r>
          </w:p>
        </w:tc>
      </w:tr>
      <w:tr w:rsidR="00223CE8" w:rsidRPr="00944B15" w14:paraId="1301779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946C6BF"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6B43618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Refer Fresh-frozen plasma</w:t>
            </w:r>
          </w:p>
        </w:tc>
      </w:tr>
      <w:tr w:rsidR="00223CE8" w:rsidRPr="00944B15" w14:paraId="29F0CEC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A54FBDF"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694F801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In patients wit</w:t>
            </w:r>
            <w:r>
              <w:rPr>
                <w:rFonts w:cs="Times New Roman"/>
                <w:szCs w:val="24"/>
              </w:rPr>
              <w:t>h post transfusion purpura</w:t>
            </w:r>
            <w:r w:rsidRPr="00944B15">
              <w:rPr>
                <w:rFonts w:cs="Times New Roman"/>
                <w:szCs w:val="24"/>
              </w:rPr>
              <w:t xml:space="preserve"> </w:t>
            </w:r>
          </w:p>
        </w:tc>
      </w:tr>
      <w:tr w:rsidR="00223CE8" w:rsidRPr="00944B15" w14:paraId="2277BAD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639E138"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4581DFE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at 20°C to 24°C.</w:t>
            </w:r>
          </w:p>
        </w:tc>
      </w:tr>
      <w:tr w:rsidR="00223CE8" w:rsidRPr="00944B15" w14:paraId="492ED1B6"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6646E793" w14:textId="77777777" w:rsidR="00223CE8" w:rsidRPr="00944B15" w:rsidRDefault="00223CE8" w:rsidP="002D6DD7">
            <w:pPr>
              <w:spacing w:after="0"/>
              <w:jc w:val="both"/>
              <w:rPr>
                <w:rFonts w:cs="Times New Roman"/>
                <w:b/>
                <w:szCs w:val="24"/>
              </w:rPr>
            </w:pPr>
            <w:r w:rsidRPr="00944B15">
              <w:rPr>
                <w:rFonts w:cs="Times New Roman"/>
                <w:b/>
                <w:szCs w:val="24"/>
              </w:rPr>
              <w:t>Red blood cells</w:t>
            </w:r>
          </w:p>
        </w:tc>
      </w:tr>
      <w:tr w:rsidR="00223CE8" w:rsidRPr="00944B15" w14:paraId="0384879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4300EC2"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62B2E192" w14:textId="77777777" w:rsidR="00223CE8" w:rsidRPr="00944B15" w:rsidRDefault="00223CE8" w:rsidP="002D6DD7">
            <w:pPr>
              <w:spacing w:after="0"/>
              <w:jc w:val="both"/>
              <w:rPr>
                <w:rFonts w:cs="Times New Roman"/>
                <w:szCs w:val="24"/>
              </w:rPr>
            </w:pPr>
            <w:r>
              <w:rPr>
                <w:rStyle w:val="Hyperlink"/>
                <w:rFonts w:cs="Times New Roman"/>
                <w:color w:val="auto"/>
                <w:szCs w:val="24"/>
                <w:u w:val="none"/>
              </w:rPr>
              <w:t>Blood component</w:t>
            </w:r>
          </w:p>
        </w:tc>
      </w:tr>
      <w:tr w:rsidR="00223CE8" w:rsidRPr="00944B15" w14:paraId="74782593"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0E536941"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30F9A693" w14:textId="77777777" w:rsidR="00223CE8" w:rsidRPr="00944B15" w:rsidRDefault="00223CE8" w:rsidP="002D6DD7">
            <w:pPr>
              <w:spacing w:after="0"/>
              <w:jc w:val="both"/>
              <w:rPr>
                <w:rFonts w:cs="Times New Roman"/>
                <w:szCs w:val="24"/>
              </w:rPr>
            </w:pPr>
            <w:r w:rsidRPr="00944B15">
              <w:rPr>
                <w:rFonts w:cs="Times New Roman"/>
                <w:szCs w:val="24"/>
              </w:rPr>
              <w:t xml:space="preserve">One unit: 317-433 </w:t>
            </w:r>
            <w:r>
              <w:rPr>
                <w:rFonts w:cs="Times New Roman"/>
                <w:szCs w:val="24"/>
              </w:rPr>
              <w:t>ml</w:t>
            </w:r>
            <w:r w:rsidRPr="00944B15">
              <w:rPr>
                <w:rFonts w:cs="Times New Roman"/>
                <w:szCs w:val="24"/>
              </w:rPr>
              <w:t xml:space="preserve"> (386-508 gm)</w:t>
            </w:r>
          </w:p>
        </w:tc>
      </w:tr>
      <w:tr w:rsidR="00223CE8" w:rsidRPr="00944B15" w14:paraId="30170D8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0465FE1"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66D90EB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Treatment chronic anaemia and acute and preoperative blood loss</w:t>
            </w:r>
          </w:p>
        </w:tc>
      </w:tr>
      <w:tr w:rsidR="00223CE8" w:rsidRPr="00944B15" w14:paraId="4D10797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F6EB59A"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5539D2A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Adult and </w:t>
            </w:r>
            <w:r>
              <w:rPr>
                <w:rFonts w:cs="Times New Roman"/>
                <w:b/>
                <w:szCs w:val="24"/>
              </w:rPr>
              <w:t>pediatric:</w:t>
            </w:r>
          </w:p>
          <w:p w14:paraId="265408E5"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anaemia withou</w:t>
            </w:r>
            <w:r>
              <w:rPr>
                <w:rFonts w:cs="Times New Roman"/>
                <w:b/>
                <w:szCs w:val="24"/>
              </w:rPr>
              <w:t>t active bleeding or haemolysis:</w:t>
            </w:r>
          </w:p>
          <w:p w14:paraId="00E60F1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1 unit increase haemoglobin 1 g/dL in average sized adults: usually given over 1-2 hours but not longer than 4 hours</w:t>
            </w:r>
          </w:p>
          <w:p w14:paraId="14DC926F"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Treatment of anaemia with active bleed</w:t>
            </w:r>
            <w:r>
              <w:rPr>
                <w:rFonts w:cs="Times New Roman"/>
                <w:b/>
                <w:szCs w:val="24"/>
              </w:rPr>
              <w:t>ing or haemolysis:</w:t>
            </w:r>
          </w:p>
          <w:p w14:paraId="6CEA79F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transfuse to haemoglobin &gt;10 g/dL</w:t>
            </w:r>
          </w:p>
          <w:p w14:paraId="7A554B82"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Use in pregnancy:</w:t>
            </w:r>
          </w:p>
          <w:p w14:paraId="353EB5EF"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Pregnancy less than 36 weeks gestation.</w:t>
            </w:r>
          </w:p>
          <w:p w14:paraId="41D6677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Hb&lt;5.0 g/dL even without clinical signs of cardiac failure.</w:t>
            </w:r>
          </w:p>
          <w:p w14:paraId="594C31AC"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Hb between 5.0 – 7.0 g/dL with clinical signs of cardiac failure.</w:t>
            </w:r>
          </w:p>
          <w:p w14:paraId="5B1A6D7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Pregnancy greater than 36 weeks gestation.</w:t>
            </w:r>
          </w:p>
          <w:p w14:paraId="1FE69A91"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Hb&lt;6.0 g/dL even without clinical signs of cardiac failure.</w:t>
            </w:r>
          </w:p>
          <w:p w14:paraId="6CC47DD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Hb between 6.0– 8.0 g/dL with clinical signs of cardiac failure and or infection.</w:t>
            </w:r>
          </w:p>
          <w:p w14:paraId="491BD6A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Elective Caesarian section.</w:t>
            </w:r>
          </w:p>
          <w:p w14:paraId="4C05A359"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Hb 8.0 – 10.0 g/dL, confrm mother’s blood group and confrm availability of blood in the laboratory or the blood transfusion unit.</w:t>
            </w:r>
          </w:p>
          <w:p w14:paraId="0F58646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Hb &lt;8.0 g/dL cross – match and reserve 2 units of blood.</w:t>
            </w:r>
          </w:p>
        </w:tc>
      </w:tr>
      <w:tr w:rsidR="00223CE8" w:rsidRPr="00944B15" w14:paraId="5F441CF7" w14:textId="77777777" w:rsidTr="002D6DD7">
        <w:trPr>
          <w:trHeight w:val="629"/>
        </w:trPr>
        <w:tc>
          <w:tcPr>
            <w:tcW w:w="2610" w:type="dxa"/>
            <w:tcBorders>
              <w:top w:val="single" w:sz="4" w:space="0" w:color="auto"/>
              <w:left w:val="single" w:sz="4" w:space="0" w:color="auto"/>
              <w:bottom w:val="single" w:sz="4" w:space="0" w:color="auto"/>
              <w:right w:val="single" w:sz="4" w:space="0" w:color="auto"/>
            </w:tcBorders>
            <w:hideMark/>
          </w:tcPr>
          <w:p w14:paraId="0C0FBC78"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52BE07F5"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A</w:t>
            </w:r>
            <w:r w:rsidRPr="00944B15">
              <w:rPr>
                <w:rFonts w:cs="Times New Roman"/>
                <w:szCs w:val="24"/>
              </w:rPr>
              <w:t xml:space="preserve">naemia that can be corrected with a non-transfusion therapy (e.g., iron therapy) </w:t>
            </w:r>
          </w:p>
        </w:tc>
      </w:tr>
      <w:tr w:rsidR="00223CE8" w:rsidRPr="00944B15" w14:paraId="2CC339D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3181D33"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5F2515D3"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 xml:space="preserve">There </w:t>
            </w:r>
            <w:r w:rsidR="00E677B0">
              <w:rPr>
                <w:rFonts w:cs="Times New Roman"/>
                <w:szCs w:val="24"/>
              </w:rPr>
              <w:t>is</w:t>
            </w:r>
            <w:r>
              <w:rPr>
                <w:rFonts w:cs="Times New Roman"/>
                <w:szCs w:val="24"/>
              </w:rPr>
              <w:t xml:space="preserve"> no significant drug interaction</w:t>
            </w:r>
          </w:p>
        </w:tc>
      </w:tr>
      <w:tr w:rsidR="00223CE8" w:rsidRPr="00944B15" w14:paraId="1D8882A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88F9093"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16AA4793"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Haemolytic transfusion reactions, febrile non-haemolytic </w:t>
            </w:r>
            <w:r w:rsidRPr="00944B15">
              <w:rPr>
                <w:rFonts w:cs="Times New Roman"/>
                <w:szCs w:val="24"/>
              </w:rPr>
              <w:lastRenderedPageBreak/>
              <w:t>reactions, allergic reactions including urticaria, anaphylaxis; and septic reactions.</w:t>
            </w:r>
          </w:p>
        </w:tc>
      </w:tr>
      <w:tr w:rsidR="00223CE8" w:rsidRPr="00944B15" w14:paraId="6911284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9093FF9"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12E7FE3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Cardiac disease, electrolyte imbalance and transfusion reaction.</w:t>
            </w:r>
          </w:p>
        </w:tc>
      </w:tr>
      <w:tr w:rsidR="00223CE8" w:rsidRPr="00944B15" w14:paraId="2857A49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242F586"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6DD1E553"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Store between 2°C and</w:t>
            </w:r>
            <w:r w:rsidRPr="00944B15">
              <w:rPr>
                <w:rFonts w:cs="Times New Roman"/>
                <w:szCs w:val="24"/>
              </w:rPr>
              <w:t xml:space="preserve"> 10°C. </w:t>
            </w:r>
          </w:p>
        </w:tc>
      </w:tr>
      <w:tr w:rsidR="00223CE8" w:rsidRPr="00944B15" w14:paraId="6480F55C"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45518C52" w14:textId="77777777" w:rsidR="00223CE8" w:rsidRPr="00944B15" w:rsidRDefault="00223CE8" w:rsidP="002D6DD7">
            <w:pPr>
              <w:spacing w:after="0"/>
              <w:jc w:val="both"/>
              <w:rPr>
                <w:rFonts w:cs="Times New Roman"/>
                <w:b/>
                <w:szCs w:val="24"/>
              </w:rPr>
            </w:pPr>
            <w:r w:rsidRPr="00944B15">
              <w:rPr>
                <w:rFonts w:cs="Times New Roman"/>
                <w:b/>
                <w:szCs w:val="24"/>
              </w:rPr>
              <w:t>Whole blood</w:t>
            </w:r>
          </w:p>
        </w:tc>
      </w:tr>
      <w:tr w:rsidR="00223CE8" w:rsidRPr="00944B15" w14:paraId="0E4415F8" w14:textId="77777777" w:rsidTr="002D6DD7">
        <w:trPr>
          <w:trHeight w:val="46"/>
        </w:trPr>
        <w:tc>
          <w:tcPr>
            <w:tcW w:w="2610" w:type="dxa"/>
            <w:tcBorders>
              <w:top w:val="single" w:sz="4" w:space="0" w:color="auto"/>
              <w:left w:val="single" w:sz="4" w:space="0" w:color="auto"/>
              <w:bottom w:val="single" w:sz="4" w:space="0" w:color="auto"/>
              <w:right w:val="single" w:sz="4" w:space="0" w:color="auto"/>
            </w:tcBorders>
            <w:hideMark/>
          </w:tcPr>
          <w:p w14:paraId="4251C6E1"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tcPr>
          <w:p w14:paraId="56477443" w14:textId="77777777" w:rsidR="00223CE8" w:rsidRPr="00944B15" w:rsidRDefault="00223CE8" w:rsidP="002D6DD7">
            <w:pPr>
              <w:spacing w:after="0"/>
              <w:jc w:val="both"/>
              <w:rPr>
                <w:rFonts w:cs="Times New Roman"/>
                <w:szCs w:val="24"/>
              </w:rPr>
            </w:pPr>
            <w:r>
              <w:rPr>
                <w:rStyle w:val="Hyperlink"/>
                <w:rFonts w:cs="Times New Roman"/>
                <w:color w:val="auto"/>
                <w:szCs w:val="24"/>
                <w:u w:val="none"/>
              </w:rPr>
              <w:t>Blood component</w:t>
            </w:r>
          </w:p>
        </w:tc>
      </w:tr>
      <w:tr w:rsidR="00223CE8" w:rsidRPr="00944B15" w14:paraId="08A8F9D0"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650B8696"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06370AE0" w14:textId="77777777" w:rsidR="00223CE8" w:rsidRPr="00944B15" w:rsidRDefault="00223CE8" w:rsidP="002D6DD7">
            <w:pPr>
              <w:spacing w:after="0"/>
              <w:jc w:val="both"/>
              <w:rPr>
                <w:rFonts w:cs="Times New Roman"/>
                <w:szCs w:val="24"/>
              </w:rPr>
            </w:pPr>
            <w:r w:rsidRPr="00944B15">
              <w:rPr>
                <w:rFonts w:cs="Times New Roman"/>
                <w:szCs w:val="24"/>
              </w:rPr>
              <w:t>One unit: 450</w:t>
            </w:r>
            <w:r>
              <w:rPr>
                <w:rFonts w:cs="Times New Roman"/>
                <w:szCs w:val="24"/>
              </w:rPr>
              <w:t>ml</w:t>
            </w:r>
            <w:r w:rsidRPr="00944B15">
              <w:rPr>
                <w:rFonts w:cs="Times New Roman"/>
                <w:szCs w:val="24"/>
              </w:rPr>
              <w:t xml:space="preserve"> (544-638 gm), 350 </w:t>
            </w:r>
            <w:r>
              <w:rPr>
                <w:rFonts w:cs="Times New Roman"/>
                <w:szCs w:val="24"/>
              </w:rPr>
              <w:t>ml</w:t>
            </w:r>
            <w:r w:rsidRPr="00944B15">
              <w:rPr>
                <w:rFonts w:cs="Times New Roman"/>
                <w:szCs w:val="24"/>
              </w:rPr>
              <w:t xml:space="preserve"> (421- 495gm), 200</w:t>
            </w:r>
            <w:r>
              <w:rPr>
                <w:rFonts w:cs="Times New Roman"/>
                <w:szCs w:val="24"/>
              </w:rPr>
              <w:t>ml</w:t>
            </w:r>
            <w:r w:rsidRPr="00944B15">
              <w:rPr>
                <w:rFonts w:cs="Times New Roman"/>
                <w:szCs w:val="24"/>
              </w:rPr>
              <w:t>, 100</w:t>
            </w:r>
            <w:r>
              <w:rPr>
                <w:rFonts w:cs="Times New Roman"/>
                <w:szCs w:val="24"/>
              </w:rPr>
              <w:t>ml</w:t>
            </w:r>
          </w:p>
        </w:tc>
      </w:tr>
      <w:tr w:rsidR="00223CE8" w:rsidRPr="00944B15" w14:paraId="35ED512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5844A26"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4F1D6660"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Treatment of severe anaemia and acute haemorrhage.</w:t>
            </w:r>
          </w:p>
        </w:tc>
      </w:tr>
      <w:tr w:rsidR="00223CE8" w:rsidRPr="00944B15" w14:paraId="0AA69AB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C4F5507"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3A7DE42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As whole blood transfusion is limited to acutely haemorrhaging individuals, dosing should be based on the patient’s clinical condition, estimated blood loss, and other measures being used to maintain hemodynamic stability.</w:t>
            </w:r>
          </w:p>
        </w:tc>
      </w:tr>
      <w:tr w:rsidR="00223CE8" w:rsidRPr="00944B15" w14:paraId="3E0BE19A" w14:textId="77777777" w:rsidTr="002D6DD7">
        <w:trPr>
          <w:trHeight w:val="782"/>
        </w:trPr>
        <w:tc>
          <w:tcPr>
            <w:tcW w:w="2610" w:type="dxa"/>
            <w:tcBorders>
              <w:top w:val="single" w:sz="4" w:space="0" w:color="auto"/>
              <w:left w:val="single" w:sz="4" w:space="0" w:color="auto"/>
              <w:bottom w:val="single" w:sz="4" w:space="0" w:color="auto"/>
              <w:right w:val="single" w:sz="4" w:space="0" w:color="auto"/>
            </w:tcBorders>
            <w:hideMark/>
          </w:tcPr>
          <w:p w14:paraId="348928B5" w14:textId="77777777" w:rsidR="00223CE8" w:rsidRPr="00944B15" w:rsidRDefault="00223CE8" w:rsidP="002D6DD7">
            <w:pPr>
              <w:spacing w:after="0"/>
              <w:jc w:val="both"/>
              <w:rPr>
                <w:rFonts w:cs="Times New Roman"/>
                <w:szCs w:val="24"/>
              </w:rPr>
            </w:pPr>
            <w:r w:rsidRPr="00944B15">
              <w:rPr>
                <w:rFonts w:cs="Times New Roman"/>
                <w:szCs w:val="24"/>
              </w:rPr>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0CEB684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When component specific therapy is available (i.e., use RBCs to treat anaemia or use FFP to treat coagulopathy). </w:t>
            </w:r>
          </w:p>
        </w:tc>
      </w:tr>
      <w:tr w:rsidR="00223CE8" w:rsidRPr="00944B15" w14:paraId="6C60E91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8DAB62C"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298B9F09"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There are no known significant drug interaction.</w:t>
            </w:r>
          </w:p>
        </w:tc>
      </w:tr>
      <w:tr w:rsidR="00223CE8" w:rsidRPr="00944B15" w14:paraId="1F8D66D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CDA3858"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3AB07BE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Haemolytic transfusion reactions, febrile non-haemolytic reactions, allergic reactions ranging from urticaria to anaphylaxis, Circulatory Overload and septic reactions.</w:t>
            </w:r>
          </w:p>
        </w:tc>
      </w:tr>
      <w:tr w:rsidR="00223CE8" w:rsidRPr="00944B15" w14:paraId="0DB3361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EB01D5B"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1562E33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Cardiac disease, arrhythmias, hyperkalemia, metabolic alkalosis, heart failure electrolyte imbalance and transfusion reaction.</w:t>
            </w:r>
          </w:p>
        </w:tc>
      </w:tr>
      <w:tr w:rsidR="00223CE8" w:rsidRPr="00944B15" w14:paraId="306625A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F2F7916"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4FB3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at 2°C to 6°C.</w:t>
            </w:r>
          </w:p>
        </w:tc>
      </w:tr>
    </w:tbl>
    <w:p w14:paraId="59BE5140" w14:textId="77777777" w:rsidR="00223CE8" w:rsidRPr="00E677B0" w:rsidRDefault="00223CE8" w:rsidP="00E677B0">
      <w:pPr>
        <w:pStyle w:val="Heading2"/>
        <w:spacing w:before="240" w:after="240"/>
      </w:pPr>
      <w:bookmarkStart w:id="166" w:name="_Toc179490386"/>
      <w:r w:rsidRPr="00E677B0">
        <w:t>Anti-</w:t>
      </w:r>
      <w:r w:rsidR="00E677B0">
        <w:t>p</w:t>
      </w:r>
      <w:r w:rsidRPr="00E677B0">
        <w:t xml:space="preserve">latelet </w:t>
      </w:r>
      <w:r w:rsidR="00E677B0">
        <w:t>m</w:t>
      </w:r>
      <w:r w:rsidRPr="00E677B0">
        <w:t>edicines</w:t>
      </w:r>
      <w:bookmarkEnd w:id="166"/>
    </w:p>
    <w:p w14:paraId="753FF431" w14:textId="77777777" w:rsidR="00223CE8" w:rsidRPr="00944B15" w:rsidRDefault="00223CE8" w:rsidP="00223CE8">
      <w:pPr>
        <w:spacing w:after="0"/>
        <w:jc w:val="both"/>
        <w:rPr>
          <w:rFonts w:cs="Times New Roman"/>
          <w:szCs w:val="24"/>
          <w:shd w:val="clear" w:color="auto" w:fill="FFFFFF"/>
        </w:rPr>
      </w:pPr>
      <w:r w:rsidRPr="00944B15">
        <w:rPr>
          <w:rFonts w:cs="Times New Roman"/>
          <w:szCs w:val="24"/>
          <w:shd w:val="clear" w:color="auto" w:fill="FFFFFF"/>
        </w:rPr>
        <w:t>Antiplatelet medicines are a class of medications that work to inhibit platelet activation and aggregation, thereby preventing the formation of blood clots. Antiplatelet medicines are used to reduce the risk of thrombotic events in various clinical settings, including the prevention and treatment of cardiovascular diseases and helping to reduce the risk of thrombotic events and improve patient outcomes. Close monitoring and individualized treatment strategies are essential to ensure the safe and effective use of these medications.</w:t>
      </w:r>
    </w:p>
    <w:p w14:paraId="3187E3E1" w14:textId="77777777" w:rsidR="00223CE8" w:rsidRPr="00944B15" w:rsidRDefault="00223CE8" w:rsidP="00223CE8">
      <w:pPr>
        <w:spacing w:after="0"/>
        <w:jc w:val="both"/>
        <w:rPr>
          <w:rFonts w:cs="Times New Roman"/>
          <w:szCs w:val="24"/>
          <w:shd w:val="clear" w:color="auto" w:fill="FFFFFF"/>
        </w:rPr>
      </w:pPr>
    </w:p>
    <w:tbl>
      <w:tblPr>
        <w:tblW w:w="9270" w:type="dxa"/>
        <w:tblInd w:w="85" w:type="dxa"/>
        <w:tblLook w:val="04A0" w:firstRow="1" w:lastRow="0" w:firstColumn="1" w:lastColumn="0" w:noHBand="0" w:noVBand="1"/>
      </w:tblPr>
      <w:tblGrid>
        <w:gridCol w:w="2610"/>
        <w:gridCol w:w="6660"/>
      </w:tblGrid>
      <w:tr w:rsidR="00223CE8" w:rsidRPr="00944B15" w14:paraId="73D6D5BC"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453DEDC1" w14:textId="77777777" w:rsidR="00223CE8" w:rsidRPr="00944B15" w:rsidRDefault="00223CE8" w:rsidP="002D6DD7">
            <w:pPr>
              <w:spacing w:after="0"/>
              <w:jc w:val="both"/>
              <w:rPr>
                <w:rFonts w:cs="Times New Roman"/>
                <w:b/>
                <w:szCs w:val="24"/>
              </w:rPr>
            </w:pPr>
            <w:r w:rsidRPr="00944B15">
              <w:rPr>
                <w:rFonts w:cs="Times New Roman"/>
                <w:b/>
                <w:szCs w:val="24"/>
              </w:rPr>
              <w:lastRenderedPageBreak/>
              <w:t>Acetylsalicylic acid</w:t>
            </w:r>
          </w:p>
        </w:tc>
      </w:tr>
      <w:tr w:rsidR="00223CE8" w:rsidRPr="00944B15" w14:paraId="15028D4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3D27839"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0C5ADDFB" w14:textId="77777777" w:rsidR="00223CE8" w:rsidRPr="00944B15" w:rsidRDefault="00223CE8" w:rsidP="002D6DD7">
            <w:pPr>
              <w:spacing w:after="0"/>
              <w:jc w:val="both"/>
              <w:rPr>
                <w:rFonts w:cs="Times New Roman"/>
                <w:szCs w:val="24"/>
              </w:rPr>
            </w:pPr>
            <w:r w:rsidRPr="00944B15">
              <w:rPr>
                <w:rFonts w:cs="Times New Roman"/>
                <w:szCs w:val="24"/>
                <w:shd w:val="clear" w:color="auto" w:fill="FFFFFF"/>
              </w:rPr>
              <w:t> Anti-platelet agent</w:t>
            </w:r>
          </w:p>
        </w:tc>
      </w:tr>
      <w:tr w:rsidR="00223CE8" w:rsidRPr="00944B15" w14:paraId="39619272"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1DF36F68"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1F05B79C" w14:textId="77777777" w:rsidR="00223CE8" w:rsidRPr="00944B15" w:rsidRDefault="00223CE8" w:rsidP="002D6DD7">
            <w:pPr>
              <w:spacing w:after="0"/>
              <w:jc w:val="both"/>
              <w:rPr>
                <w:rFonts w:cs="Times New Roman"/>
                <w:szCs w:val="24"/>
              </w:rPr>
            </w:pPr>
            <w:r w:rsidRPr="00944B15">
              <w:rPr>
                <w:rFonts w:cs="Times New Roman"/>
                <w:szCs w:val="24"/>
              </w:rPr>
              <w:t>Tablet:81mg, 100 mg</w:t>
            </w:r>
          </w:p>
        </w:tc>
      </w:tr>
      <w:tr w:rsidR="00223CE8" w:rsidRPr="00944B15" w14:paraId="025A805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F3BF0C9"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699132E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 For reducing the risk of vascular mortality in patients with a suspected acute myocardial infarction, unstable angina, transient ischemic attacks (TIA) and for secondary prevention of atherothrombotic cerebral infarction.</w:t>
            </w:r>
          </w:p>
        </w:tc>
      </w:tr>
      <w:tr w:rsidR="00223CE8" w:rsidRPr="00944B15" w14:paraId="1D0A331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4FA5AD3" w14:textId="77777777" w:rsidR="00223CE8" w:rsidRPr="00944B15" w:rsidRDefault="00223CE8" w:rsidP="002D6DD7">
            <w:pPr>
              <w:spacing w:after="0"/>
              <w:jc w:val="both"/>
              <w:rPr>
                <w:rFonts w:cs="Times New Roman"/>
                <w:szCs w:val="24"/>
              </w:rPr>
            </w:pPr>
            <w:r w:rsidRPr="00944B15">
              <w:rPr>
                <w:rFonts w:eastAsia="Times New Roman" w:cs="Times New Roman"/>
                <w:szCs w:val="24"/>
              </w:rPr>
              <w:t xml:space="preserve">Dose and </w:t>
            </w:r>
            <w:r>
              <w:rPr>
                <w:rFonts w:eastAsia="Times New Roman" w:cs="Times New Roman"/>
                <w:szCs w:val="24"/>
              </w:rPr>
              <w:t>A</w:t>
            </w:r>
            <w:r w:rsidRPr="00944B15">
              <w:rPr>
                <w:rFonts w:eastAsia="Times New Roman" w:cs="Times New Roman"/>
                <w:szCs w:val="24"/>
              </w:rPr>
              <w:t>dministration</w:t>
            </w:r>
          </w:p>
        </w:tc>
        <w:tc>
          <w:tcPr>
            <w:tcW w:w="6660" w:type="dxa"/>
            <w:tcBorders>
              <w:top w:val="single" w:sz="4" w:space="0" w:color="auto"/>
              <w:left w:val="single" w:sz="4" w:space="0" w:color="auto"/>
              <w:bottom w:val="single" w:sz="4" w:space="0" w:color="auto"/>
              <w:right w:val="single" w:sz="4" w:space="0" w:color="auto"/>
            </w:tcBorders>
            <w:hideMark/>
          </w:tcPr>
          <w:p w14:paraId="737B4CF5" w14:textId="77777777" w:rsidR="00223CE8" w:rsidRPr="00944B15" w:rsidRDefault="00223CE8" w:rsidP="002D6DD7">
            <w:pPr>
              <w:autoSpaceDE w:val="0"/>
              <w:autoSpaceDN w:val="0"/>
              <w:adjustRightInd w:val="0"/>
              <w:spacing w:after="0"/>
              <w:jc w:val="both"/>
              <w:rPr>
                <w:rFonts w:cs="Times New Roman"/>
                <w:b/>
                <w:bCs/>
                <w:szCs w:val="24"/>
              </w:rPr>
            </w:pPr>
            <w:r w:rsidRPr="00944B15">
              <w:rPr>
                <w:rFonts w:cs="Times New Roman"/>
                <w:b/>
                <w:bCs/>
                <w:szCs w:val="24"/>
              </w:rPr>
              <w:t>Adult</w:t>
            </w:r>
            <w:r>
              <w:rPr>
                <w:rFonts w:cs="Times New Roman"/>
                <w:b/>
                <w:bCs/>
                <w:szCs w:val="24"/>
              </w:rPr>
              <w:t>:</w:t>
            </w:r>
          </w:p>
          <w:p w14:paraId="5C4450F5"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Cardiovascular disease (secondary prevention)</w:t>
            </w:r>
            <w:r>
              <w:rPr>
                <w:rFonts w:eastAsia="Candara-Italic" w:cs="Times New Roman"/>
                <w:b/>
                <w:iCs/>
                <w:szCs w:val="24"/>
              </w:rPr>
              <w:t>:</w:t>
            </w:r>
          </w:p>
          <w:p w14:paraId="43E2ADE1" w14:textId="77777777" w:rsidR="00223CE8" w:rsidRPr="00944B15" w:rsidRDefault="00223CE8" w:rsidP="002D6DD7">
            <w:pPr>
              <w:autoSpaceDE w:val="0"/>
              <w:autoSpaceDN w:val="0"/>
              <w:adjustRightInd w:val="0"/>
              <w:spacing w:after="0"/>
              <w:jc w:val="both"/>
              <w:rPr>
                <w:rFonts w:cs="Times New Roman"/>
                <w:szCs w:val="24"/>
              </w:rPr>
            </w:pPr>
            <w:r w:rsidRPr="00944B15">
              <w:rPr>
                <w:rFonts w:eastAsia="Candara-Italic" w:cs="Times New Roman"/>
                <w:iCs/>
                <w:szCs w:val="24"/>
              </w:rPr>
              <w:t xml:space="preserve">oral: </w:t>
            </w:r>
            <w:r w:rsidRPr="00944B15">
              <w:rPr>
                <w:rFonts w:cs="Times New Roman"/>
                <w:szCs w:val="24"/>
              </w:rPr>
              <w:t>75 mg daily</w:t>
            </w:r>
          </w:p>
          <w:p w14:paraId="6A3579A3"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Management of unstable angina and non-ST-segment elevation MI, management of ST-segment elevation MI</w:t>
            </w:r>
            <w:r>
              <w:rPr>
                <w:rFonts w:eastAsia="Candara-Italic" w:cs="Times New Roman"/>
                <w:b/>
                <w:iCs/>
                <w:szCs w:val="24"/>
              </w:rPr>
              <w:t>:</w:t>
            </w:r>
          </w:p>
          <w:p w14:paraId="20884772"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iCs/>
                <w:szCs w:val="24"/>
              </w:rPr>
              <w:t xml:space="preserve">oral: </w:t>
            </w:r>
            <w:r w:rsidRPr="00944B15">
              <w:rPr>
                <w:rFonts w:eastAsia="Candara-Italic" w:cs="Times New Roman"/>
                <w:szCs w:val="24"/>
              </w:rPr>
              <w:t>300 mg, chewed or dispersed in water</w:t>
            </w:r>
            <w:r>
              <w:rPr>
                <w:rFonts w:eastAsia="Candara-Italic" w:cs="Times New Roman"/>
                <w:szCs w:val="24"/>
              </w:rPr>
              <w:t xml:space="preserve"> followed by 75mg</w:t>
            </w:r>
          </w:p>
          <w:p w14:paraId="2729A31A" w14:textId="77777777" w:rsidR="00223CE8" w:rsidRPr="00944B15" w:rsidRDefault="00223CE8" w:rsidP="002D6DD7">
            <w:pPr>
              <w:autoSpaceDE w:val="0"/>
              <w:autoSpaceDN w:val="0"/>
              <w:adjustRightInd w:val="0"/>
              <w:spacing w:after="0"/>
              <w:jc w:val="both"/>
              <w:rPr>
                <w:rFonts w:eastAsia="Candara-Italic" w:cs="Times New Roman"/>
                <w:b/>
                <w:iCs/>
                <w:szCs w:val="24"/>
              </w:rPr>
            </w:pPr>
            <w:r w:rsidRPr="00944B15">
              <w:rPr>
                <w:rFonts w:eastAsia="Candara-Italic" w:cs="Times New Roman"/>
                <w:b/>
                <w:iCs/>
                <w:szCs w:val="24"/>
              </w:rPr>
              <w:t>Suspected transient ischaemic attack</w:t>
            </w:r>
            <w:r>
              <w:rPr>
                <w:rFonts w:eastAsia="Candara-Italic" w:cs="Times New Roman"/>
                <w:b/>
                <w:iCs/>
                <w:szCs w:val="24"/>
              </w:rPr>
              <w:t>:</w:t>
            </w:r>
          </w:p>
          <w:p w14:paraId="0362E940"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iCs/>
                <w:szCs w:val="24"/>
              </w:rPr>
              <w:t xml:space="preserve"> oral: </w:t>
            </w:r>
            <w:r w:rsidRPr="00944B15">
              <w:rPr>
                <w:rFonts w:eastAsia="Candara-Italic" w:cs="Times New Roman"/>
                <w:szCs w:val="24"/>
              </w:rPr>
              <w:t xml:space="preserve">300 mg once daily until diagnosis established </w:t>
            </w:r>
          </w:p>
          <w:p w14:paraId="049AF6B3"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secondary prevention of deep-vein thrombosis (in patients who decline continued anticoagulation treatment) | Secondary prevention of pulmonary embolism (in patients who decline continued anticoagulation treatment)</w:t>
            </w:r>
            <w:r>
              <w:rPr>
                <w:rFonts w:eastAsia="Candara-Italic" w:cs="Times New Roman"/>
                <w:b/>
                <w:szCs w:val="24"/>
              </w:rPr>
              <w:t>:</w:t>
            </w:r>
          </w:p>
          <w:p w14:paraId="47F6D837"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75 mg daily, alternatively 150 mg daily</w:t>
            </w:r>
          </w:p>
          <w:p w14:paraId="63D18FBE"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Management of unstable angina and non-ST-segment elevation myocardial infarction (NSTEMI) | Management of ST-segment elevation myocardial infarction (STEMI)</w:t>
            </w:r>
            <w:r>
              <w:rPr>
                <w:rFonts w:eastAsia="Candara-Italic" w:cs="Times New Roman"/>
                <w:b/>
                <w:szCs w:val="24"/>
              </w:rPr>
              <w:t>:</w:t>
            </w:r>
          </w:p>
          <w:p w14:paraId="79845D16"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300 mg, chewed or dispersed in water</w:t>
            </w:r>
            <w:r>
              <w:t xml:space="preserve"> </w:t>
            </w:r>
            <w:r w:rsidRPr="009848D8">
              <w:rPr>
                <w:rFonts w:eastAsia="Candara-Italic" w:cs="Times New Roman"/>
                <w:szCs w:val="24"/>
              </w:rPr>
              <w:t>followed by 75mg</w:t>
            </w:r>
          </w:p>
          <w:p w14:paraId="65F418DD"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Acute ischaemic stroke</w:t>
            </w:r>
            <w:r>
              <w:rPr>
                <w:rFonts w:eastAsia="Candara-Italic" w:cs="Times New Roman"/>
                <w:b/>
                <w:szCs w:val="24"/>
              </w:rPr>
              <w:t>:</w:t>
            </w:r>
          </w:p>
          <w:p w14:paraId="606ACA7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300 mg once daily for 14 days, to be initiated 24 hours after thrombolysis or as soon as possible within 48 hours of symptom onset in patients not receiving thrombolysis.</w:t>
            </w:r>
          </w:p>
          <w:p w14:paraId="7BE75FC5"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t>Atrial fibrillation following a disabling ischaemic stroke (before being considered for anticoagulant treatment)</w:t>
            </w:r>
            <w:r>
              <w:rPr>
                <w:rFonts w:eastAsia="Candara-Italic" w:cs="Times New Roman"/>
                <w:b/>
                <w:szCs w:val="24"/>
              </w:rPr>
              <w:t>:</w:t>
            </w:r>
          </w:p>
          <w:p w14:paraId="76520F82"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300 mg once daily for 14 days</w:t>
            </w:r>
          </w:p>
          <w:p w14:paraId="4529F3AD" w14:textId="77777777" w:rsidR="00223CE8" w:rsidRPr="00944B15" w:rsidRDefault="00223CE8" w:rsidP="002D6DD7">
            <w:pPr>
              <w:autoSpaceDE w:val="0"/>
              <w:autoSpaceDN w:val="0"/>
              <w:adjustRightInd w:val="0"/>
              <w:spacing w:after="0"/>
              <w:jc w:val="both"/>
              <w:rPr>
                <w:rFonts w:eastAsia="Candara-Italic" w:cs="Times New Roman"/>
                <w:b/>
                <w:szCs w:val="24"/>
              </w:rPr>
            </w:pPr>
            <w:r w:rsidRPr="00944B15">
              <w:rPr>
                <w:rFonts w:eastAsia="Candara-Italic" w:cs="Times New Roman"/>
                <w:b/>
                <w:szCs w:val="24"/>
              </w:rPr>
              <w:lastRenderedPageBreak/>
              <w:t>Following disabling ischaemic stroke in patients receiving anticoagulation for a prosthetic heart valve and who are at significant risk of haemorrhagic transformation</w:t>
            </w:r>
            <w:r>
              <w:rPr>
                <w:rFonts w:eastAsia="Candara-Italic" w:cs="Times New Roman"/>
                <w:b/>
                <w:szCs w:val="24"/>
              </w:rPr>
              <w:t>:</w:t>
            </w:r>
          </w:p>
          <w:p w14:paraId="7575FAA7"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szCs w:val="24"/>
              </w:rPr>
              <w:t>Oral: 300 mg once daily, anticoagulant treatment stopped for 7 days and to be substituted with aspirin</w:t>
            </w:r>
          </w:p>
          <w:p w14:paraId="4A1DCB75" w14:textId="77777777" w:rsidR="00223CE8" w:rsidRPr="00944B15" w:rsidRDefault="00223CE8" w:rsidP="002D6DD7">
            <w:pPr>
              <w:autoSpaceDE w:val="0"/>
              <w:autoSpaceDN w:val="0"/>
              <w:adjustRightInd w:val="0"/>
              <w:spacing w:after="0"/>
              <w:jc w:val="both"/>
              <w:rPr>
                <w:rFonts w:cs="Times New Roman"/>
                <w:b/>
                <w:bCs/>
                <w:szCs w:val="24"/>
              </w:rPr>
            </w:pPr>
            <w:r>
              <w:rPr>
                <w:rFonts w:cs="Times New Roman"/>
                <w:b/>
                <w:bCs/>
                <w:szCs w:val="24"/>
              </w:rPr>
              <w:t>Pediatric:</w:t>
            </w:r>
          </w:p>
          <w:p w14:paraId="74132BD4" w14:textId="77777777" w:rsidR="00223CE8" w:rsidRPr="00944B15" w:rsidRDefault="00223CE8" w:rsidP="002D6DD7">
            <w:pPr>
              <w:autoSpaceDE w:val="0"/>
              <w:autoSpaceDN w:val="0"/>
              <w:adjustRightInd w:val="0"/>
              <w:spacing w:after="0"/>
              <w:jc w:val="both"/>
              <w:rPr>
                <w:rFonts w:eastAsia="Candara-Italic" w:cs="Times New Roman"/>
                <w:iCs/>
                <w:szCs w:val="24"/>
              </w:rPr>
            </w:pPr>
            <w:r w:rsidRPr="00944B15">
              <w:rPr>
                <w:rFonts w:eastAsia="Candara-Italic" w:cs="Times New Roman"/>
                <w:b/>
                <w:iCs/>
                <w:szCs w:val="24"/>
              </w:rPr>
              <w:t xml:space="preserve">prevention of thrombus </w:t>
            </w:r>
            <w:r>
              <w:rPr>
                <w:rFonts w:eastAsia="Candara-Italic" w:cs="Times New Roman"/>
                <w:b/>
                <w:iCs/>
                <w:szCs w:val="24"/>
              </w:rPr>
              <w:t>formation after cardiac surgery:</w:t>
            </w:r>
            <w:r w:rsidRPr="00944B15">
              <w:rPr>
                <w:rFonts w:eastAsia="Candara-Italic" w:cs="Times New Roman"/>
                <w:iCs/>
                <w:szCs w:val="24"/>
              </w:rPr>
              <w:t xml:space="preserve"> oral</w:t>
            </w:r>
          </w:p>
          <w:p w14:paraId="1E856C8A"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bCs/>
                <w:szCs w:val="24"/>
              </w:rPr>
              <w:t xml:space="preserve">Neonate: </w:t>
            </w:r>
            <w:r w:rsidRPr="00944B15">
              <w:rPr>
                <w:rFonts w:eastAsia="Candara-Italic" w:cs="Times New Roman"/>
                <w:szCs w:val="24"/>
              </w:rPr>
              <w:t>1–5 mg/kg once daily.</w:t>
            </w:r>
          </w:p>
          <w:p w14:paraId="7FA19BCF"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bCs/>
                <w:szCs w:val="24"/>
              </w:rPr>
              <w:t xml:space="preserve">Child 1 month–11 years: </w:t>
            </w:r>
            <w:r w:rsidRPr="00944B15">
              <w:rPr>
                <w:rFonts w:eastAsia="Candara-Italic" w:cs="Times New Roman"/>
                <w:szCs w:val="24"/>
              </w:rPr>
              <w:t>1–5 mg/kg once daily (max. per dose 75 mg)</w:t>
            </w:r>
          </w:p>
          <w:p w14:paraId="75E33E72"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bCs/>
                <w:szCs w:val="24"/>
              </w:rPr>
              <w:t xml:space="preserve">Child 12–17 years: </w:t>
            </w:r>
            <w:r w:rsidRPr="00944B15">
              <w:rPr>
                <w:rFonts w:eastAsia="Candara-Italic" w:cs="Times New Roman"/>
                <w:szCs w:val="24"/>
              </w:rPr>
              <w:t>75 mg once daily</w:t>
            </w:r>
          </w:p>
          <w:p w14:paraId="29DF8B22" w14:textId="77777777" w:rsidR="00223CE8" w:rsidRPr="00944B15" w:rsidRDefault="00223CE8" w:rsidP="002D6DD7">
            <w:pPr>
              <w:autoSpaceDE w:val="0"/>
              <w:autoSpaceDN w:val="0"/>
              <w:adjustRightInd w:val="0"/>
              <w:spacing w:after="0"/>
              <w:jc w:val="both"/>
              <w:rPr>
                <w:rFonts w:eastAsia="Candara-Italic" w:cs="Times New Roman"/>
                <w:i/>
                <w:iCs/>
                <w:szCs w:val="24"/>
              </w:rPr>
            </w:pPr>
            <w:r w:rsidRPr="00944B15">
              <w:rPr>
                <w:rFonts w:eastAsia="Candara-Italic" w:cs="Times New Roman"/>
                <w:b/>
                <w:iCs/>
                <w:szCs w:val="24"/>
              </w:rPr>
              <w:t>Kawasaki disease</w:t>
            </w:r>
            <w:r>
              <w:rPr>
                <w:rFonts w:eastAsia="Candara-Italic" w:cs="Times New Roman"/>
                <w:i/>
                <w:iCs/>
                <w:szCs w:val="24"/>
              </w:rPr>
              <w:t>:</w:t>
            </w:r>
            <w:r w:rsidRPr="00944B15">
              <w:rPr>
                <w:rFonts w:eastAsia="Candara-Italic" w:cs="Times New Roman"/>
                <w:i/>
                <w:iCs/>
                <w:szCs w:val="24"/>
              </w:rPr>
              <w:t xml:space="preserve"> </w:t>
            </w:r>
            <w:r w:rsidRPr="00944B15">
              <w:rPr>
                <w:rFonts w:eastAsia="Candara-Italic" w:cs="Times New Roman"/>
                <w:iCs/>
                <w:szCs w:val="24"/>
              </w:rPr>
              <w:t>oral</w:t>
            </w:r>
          </w:p>
          <w:p w14:paraId="7FE96A98"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bCs/>
                <w:szCs w:val="24"/>
              </w:rPr>
              <w:t xml:space="preserve">Neonate: </w:t>
            </w:r>
            <w:r w:rsidRPr="00944B15">
              <w:rPr>
                <w:rFonts w:eastAsia="Candara-Italic" w:cs="Times New Roman"/>
                <w:szCs w:val="24"/>
              </w:rPr>
              <w:t>Initially 8 mg/kg 4 times a day for 2 weeks or until afebrile, followed by 5 mg/kg once daily for 6–8 weeks; if no evidence of coronary lesions after 8 weeks, discontinue treatment or seek expert advice.</w:t>
            </w:r>
          </w:p>
          <w:p w14:paraId="38AB41DB" w14:textId="77777777" w:rsidR="00223CE8" w:rsidRPr="00944B15" w:rsidRDefault="00223CE8" w:rsidP="002D6DD7">
            <w:pPr>
              <w:autoSpaceDE w:val="0"/>
              <w:autoSpaceDN w:val="0"/>
              <w:adjustRightInd w:val="0"/>
              <w:spacing w:after="0"/>
              <w:jc w:val="both"/>
              <w:rPr>
                <w:rFonts w:eastAsia="Candara-Italic" w:cs="Times New Roman"/>
                <w:szCs w:val="24"/>
              </w:rPr>
            </w:pPr>
            <w:r w:rsidRPr="00944B15">
              <w:rPr>
                <w:rFonts w:eastAsia="Candara-Italic" w:cs="Times New Roman"/>
                <w:b/>
                <w:bCs/>
                <w:szCs w:val="24"/>
              </w:rPr>
              <w:t xml:space="preserve">Child 1 month–11 years: </w:t>
            </w:r>
            <w:r w:rsidRPr="00944B15">
              <w:rPr>
                <w:rFonts w:eastAsia="Candara-Italic" w:cs="Times New Roman"/>
                <w:szCs w:val="24"/>
              </w:rPr>
              <w:t>Initially 7.5–12.5 mg/kg 4 times a day for 2 weeks or until afebrile, then 2–5 mg/kg once daily for 6–8 weeks, if no evidence of coronary lesions after 8 weeks, discontinue treatment or seek expert advice.</w:t>
            </w:r>
          </w:p>
        </w:tc>
      </w:tr>
      <w:tr w:rsidR="00223CE8" w:rsidRPr="00944B15" w14:paraId="3B595C02" w14:textId="77777777" w:rsidTr="002D6DD7">
        <w:trPr>
          <w:trHeight w:val="1052"/>
        </w:trPr>
        <w:tc>
          <w:tcPr>
            <w:tcW w:w="2610" w:type="dxa"/>
            <w:tcBorders>
              <w:top w:val="single" w:sz="4" w:space="0" w:color="auto"/>
              <w:left w:val="single" w:sz="4" w:space="0" w:color="auto"/>
              <w:bottom w:val="single" w:sz="4" w:space="0" w:color="auto"/>
              <w:right w:val="single" w:sz="4" w:space="0" w:color="auto"/>
            </w:tcBorders>
            <w:hideMark/>
          </w:tcPr>
          <w:p w14:paraId="2B57E775"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66573A02"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Hypersensitivity</w:t>
            </w:r>
            <w:r w:rsidRPr="00944B15">
              <w:rPr>
                <w:rFonts w:cs="Times New Roman"/>
                <w:szCs w:val="24"/>
              </w:rPr>
              <w:t xml:space="preserve"> to </w:t>
            </w:r>
            <w:r>
              <w:rPr>
                <w:rFonts w:cs="Times New Roman"/>
                <w:szCs w:val="24"/>
              </w:rPr>
              <w:t>drug</w:t>
            </w:r>
            <w:r w:rsidRPr="00944B15">
              <w:rPr>
                <w:rFonts w:cs="Times New Roman"/>
                <w:szCs w:val="24"/>
              </w:rPr>
              <w:t xml:space="preserve">, or </w:t>
            </w:r>
            <w:r>
              <w:rPr>
                <w:rFonts w:cs="Times New Roman"/>
                <w:szCs w:val="24"/>
              </w:rPr>
              <w:t xml:space="preserve">other </w:t>
            </w:r>
            <w:r w:rsidRPr="00944B15">
              <w:rPr>
                <w:rFonts w:cs="Times New Roman"/>
                <w:szCs w:val="24"/>
              </w:rPr>
              <w:t>NSAIDs, active peptic ulceration, bleeding disorders, haemophilia, previous pepti</w:t>
            </w:r>
            <w:r>
              <w:rPr>
                <w:rFonts w:cs="Times New Roman"/>
                <w:szCs w:val="24"/>
              </w:rPr>
              <w:t>c ulceration (analgesic dose), a</w:t>
            </w:r>
            <w:r w:rsidRPr="00944B15">
              <w:rPr>
                <w:rFonts w:cs="Times New Roman"/>
                <w:szCs w:val="24"/>
              </w:rPr>
              <w:t xml:space="preserve">ctive or severe hepatic failure, renal failure, or congestive heart failure and aspirin induced asthma, </w:t>
            </w:r>
          </w:p>
        </w:tc>
      </w:tr>
      <w:tr w:rsidR="00223CE8" w:rsidRPr="00944B15" w14:paraId="369FCE7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E2B872D"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16EDAA02"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Methotrexate, warfarin, fluoxetine, heparin, ibuprofen, acetazolamide, antacids, dexamethasone, enalapril, hydrocortisone, metoclopramide, mifepristone, phenytoin, prednisolone, spironolactone, valproic acid.</w:t>
            </w:r>
          </w:p>
        </w:tc>
      </w:tr>
      <w:tr w:rsidR="00223CE8" w:rsidRPr="00944B15" w14:paraId="54C407D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BC1815B"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398C41C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 xml:space="preserve">Dyspnoea, rhinitis, severe cutaneous adverse reactions (SCARs), skin reactions, aplastic anaemia, erythema nodosum, gastrointestinal haemorrhage (severe), agranulocytosis, </w:t>
            </w:r>
            <w:r w:rsidRPr="00944B15">
              <w:rPr>
                <w:rFonts w:cs="Times New Roman"/>
                <w:szCs w:val="24"/>
              </w:rPr>
              <w:lastRenderedPageBreak/>
              <w:t xml:space="preserve">haemorrhagic vasculitis, intracranial haemorrhage, menorrhagia, nausea, thrombocytopenia, vomiting, bronchospasm, urticaria, Steven Johnson’s syndrome and increased bleeding tendencies. </w:t>
            </w:r>
          </w:p>
        </w:tc>
      </w:tr>
      <w:tr w:rsidR="00223CE8" w:rsidRPr="00944B15" w14:paraId="7D8658C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F6EBFAA" w14:textId="77777777" w:rsidR="00223CE8" w:rsidRPr="00944B15" w:rsidRDefault="00223CE8" w:rsidP="002D6DD7">
            <w:pPr>
              <w:spacing w:after="0"/>
              <w:jc w:val="both"/>
              <w:rPr>
                <w:rFonts w:cs="Times New Roman"/>
                <w:szCs w:val="24"/>
              </w:rPr>
            </w:pPr>
            <w:r w:rsidRPr="00944B15">
              <w:rPr>
                <w:rFonts w:cs="Times New Roman"/>
                <w:szCs w:val="24"/>
              </w:rPr>
              <w:lastRenderedPageBreak/>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56BBCBC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Uncontrolled hypertension, impaired hepatic, renal function or cardiovascular circulation, a history of bleeding tendencies, significant anaemia and/or hypothrombinaemia, concomitant treatment with anticoagulants and NSAIDs, allergic disease, anaemia, asthma, dehydration, elderly and thyrotoxicosis.</w:t>
            </w:r>
          </w:p>
        </w:tc>
      </w:tr>
      <w:tr w:rsidR="00223CE8" w:rsidRPr="00944B15" w14:paraId="4818662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609AECE" w14:textId="77777777" w:rsidR="00223CE8" w:rsidRPr="00944B15" w:rsidRDefault="00223CE8" w:rsidP="002D6DD7">
            <w:pPr>
              <w:spacing w:after="0"/>
              <w:jc w:val="both"/>
              <w:rPr>
                <w:rFonts w:cs="Times New Roman"/>
                <w:szCs w:val="24"/>
              </w:rPr>
            </w:pPr>
            <w:r w:rsidRPr="00944B15">
              <w:rPr>
                <w:rFonts w:cs="Times New Roman"/>
                <w:szCs w:val="24"/>
              </w:rPr>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5C83D1E7"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Store below 30°C.</w:t>
            </w:r>
          </w:p>
        </w:tc>
      </w:tr>
      <w:tr w:rsidR="00223CE8" w:rsidRPr="00944B15" w14:paraId="1956BF1F" w14:textId="77777777" w:rsidTr="002D6DD7">
        <w:tc>
          <w:tcPr>
            <w:tcW w:w="9270" w:type="dxa"/>
            <w:gridSpan w:val="2"/>
            <w:tcBorders>
              <w:top w:val="single" w:sz="4" w:space="0" w:color="auto"/>
              <w:left w:val="single" w:sz="4" w:space="0" w:color="auto"/>
              <w:bottom w:val="single" w:sz="4" w:space="0" w:color="auto"/>
              <w:right w:val="single" w:sz="4" w:space="0" w:color="auto"/>
            </w:tcBorders>
            <w:hideMark/>
          </w:tcPr>
          <w:p w14:paraId="6B14D5B0" w14:textId="77777777" w:rsidR="00223CE8" w:rsidRPr="00944B15" w:rsidRDefault="00223CE8" w:rsidP="002D6DD7">
            <w:pPr>
              <w:spacing w:after="0"/>
              <w:jc w:val="both"/>
              <w:rPr>
                <w:rFonts w:cs="Times New Roman"/>
                <w:b/>
                <w:szCs w:val="24"/>
              </w:rPr>
            </w:pPr>
            <w:r w:rsidRPr="00944B15">
              <w:rPr>
                <w:rFonts w:cs="Times New Roman"/>
                <w:b/>
                <w:szCs w:val="24"/>
              </w:rPr>
              <w:t>Clopidogrel</w:t>
            </w:r>
          </w:p>
        </w:tc>
      </w:tr>
      <w:tr w:rsidR="00223CE8" w:rsidRPr="00944B15" w14:paraId="2362ABD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FEEB73E" w14:textId="77777777" w:rsidR="00223CE8" w:rsidRPr="00944B15" w:rsidRDefault="00223CE8" w:rsidP="002D6DD7">
            <w:pPr>
              <w:spacing w:after="0"/>
              <w:jc w:val="both"/>
              <w:rPr>
                <w:rFonts w:cs="Times New Roman"/>
                <w:szCs w:val="24"/>
              </w:rPr>
            </w:pPr>
            <w:r w:rsidRPr="00944B15">
              <w:rPr>
                <w:rFonts w:cs="Times New Roman"/>
                <w:szCs w:val="24"/>
              </w:rPr>
              <w:t>Pharmacological class</w:t>
            </w:r>
          </w:p>
        </w:tc>
        <w:tc>
          <w:tcPr>
            <w:tcW w:w="6660" w:type="dxa"/>
            <w:tcBorders>
              <w:top w:val="single" w:sz="4" w:space="0" w:color="auto"/>
              <w:left w:val="single" w:sz="4" w:space="0" w:color="auto"/>
              <w:bottom w:val="single" w:sz="4" w:space="0" w:color="auto"/>
              <w:right w:val="single" w:sz="4" w:space="0" w:color="auto"/>
            </w:tcBorders>
            <w:hideMark/>
          </w:tcPr>
          <w:p w14:paraId="73F89B17" w14:textId="77777777" w:rsidR="00223CE8" w:rsidRPr="00944B15" w:rsidRDefault="00223CE8" w:rsidP="002D6DD7">
            <w:pPr>
              <w:spacing w:after="0"/>
              <w:jc w:val="both"/>
              <w:rPr>
                <w:rFonts w:cs="Times New Roman"/>
                <w:szCs w:val="24"/>
              </w:rPr>
            </w:pPr>
            <w:r w:rsidRPr="00944B15">
              <w:rPr>
                <w:rStyle w:val="Hyperlink"/>
                <w:rFonts w:cs="Times New Roman"/>
                <w:color w:val="auto"/>
                <w:szCs w:val="24"/>
                <w:u w:val="none"/>
                <w:shd w:val="clear" w:color="auto" w:fill="FFFFFF"/>
              </w:rPr>
              <w:t xml:space="preserve">Antiplatelet agent </w:t>
            </w:r>
          </w:p>
        </w:tc>
      </w:tr>
      <w:tr w:rsidR="00223CE8" w:rsidRPr="00944B15" w14:paraId="1D034A7C" w14:textId="77777777" w:rsidTr="002D6DD7">
        <w:trPr>
          <w:trHeight w:val="476"/>
        </w:trPr>
        <w:tc>
          <w:tcPr>
            <w:tcW w:w="2610" w:type="dxa"/>
            <w:tcBorders>
              <w:top w:val="single" w:sz="4" w:space="0" w:color="auto"/>
              <w:left w:val="single" w:sz="4" w:space="0" w:color="auto"/>
              <w:bottom w:val="single" w:sz="4" w:space="0" w:color="auto"/>
              <w:right w:val="single" w:sz="4" w:space="0" w:color="auto"/>
            </w:tcBorders>
            <w:hideMark/>
          </w:tcPr>
          <w:p w14:paraId="1B66C234" w14:textId="77777777" w:rsidR="00223CE8" w:rsidRPr="00944B15" w:rsidRDefault="00223CE8" w:rsidP="002D6DD7">
            <w:pPr>
              <w:spacing w:after="0"/>
              <w:jc w:val="both"/>
              <w:rPr>
                <w:rFonts w:cs="Times New Roman"/>
                <w:szCs w:val="24"/>
              </w:rPr>
            </w:pPr>
            <w:r w:rsidRPr="00944B15">
              <w:rPr>
                <w:rFonts w:cs="Times New Roman"/>
                <w:szCs w:val="24"/>
              </w:rPr>
              <w:t>Dosage form</w:t>
            </w:r>
          </w:p>
        </w:tc>
        <w:tc>
          <w:tcPr>
            <w:tcW w:w="6660" w:type="dxa"/>
            <w:tcBorders>
              <w:top w:val="single" w:sz="4" w:space="0" w:color="auto"/>
              <w:left w:val="single" w:sz="4" w:space="0" w:color="auto"/>
              <w:bottom w:val="single" w:sz="4" w:space="0" w:color="auto"/>
              <w:right w:val="single" w:sz="4" w:space="0" w:color="auto"/>
            </w:tcBorders>
            <w:hideMark/>
          </w:tcPr>
          <w:p w14:paraId="503504BB" w14:textId="77777777" w:rsidR="00223CE8" w:rsidRPr="00944B15" w:rsidRDefault="00223CE8" w:rsidP="002D6DD7">
            <w:pPr>
              <w:spacing w:after="0"/>
              <w:jc w:val="both"/>
              <w:rPr>
                <w:rFonts w:cs="Times New Roman"/>
                <w:szCs w:val="24"/>
              </w:rPr>
            </w:pPr>
            <w:r w:rsidRPr="00944B15">
              <w:rPr>
                <w:rFonts w:cs="Times New Roman"/>
                <w:szCs w:val="24"/>
              </w:rPr>
              <w:t xml:space="preserve">Tablet: 75 mg; 300 mg  </w:t>
            </w:r>
          </w:p>
        </w:tc>
      </w:tr>
      <w:tr w:rsidR="00223CE8" w:rsidRPr="00944B15" w14:paraId="3BEBB55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24D34A4" w14:textId="77777777" w:rsidR="00223CE8" w:rsidRPr="00944B15" w:rsidRDefault="00223CE8" w:rsidP="002D6DD7">
            <w:pPr>
              <w:spacing w:after="0"/>
              <w:jc w:val="both"/>
              <w:rPr>
                <w:rFonts w:cs="Times New Roman"/>
                <w:szCs w:val="24"/>
              </w:rPr>
            </w:pPr>
            <w:r w:rsidRPr="00944B15">
              <w:rPr>
                <w:rFonts w:cs="Times New Roman"/>
                <w:szCs w:val="24"/>
              </w:rPr>
              <w:t>Indications</w:t>
            </w:r>
          </w:p>
        </w:tc>
        <w:tc>
          <w:tcPr>
            <w:tcW w:w="6660" w:type="dxa"/>
            <w:tcBorders>
              <w:top w:val="single" w:sz="4" w:space="0" w:color="auto"/>
              <w:left w:val="single" w:sz="4" w:space="0" w:color="auto"/>
              <w:bottom w:val="single" w:sz="4" w:space="0" w:color="auto"/>
              <w:right w:val="single" w:sz="4" w:space="0" w:color="auto"/>
            </w:tcBorders>
            <w:hideMark/>
          </w:tcPr>
          <w:p w14:paraId="06E936E5"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Prevention of atherothrombotic events in percutaneous coronary intervention, peripheral arterial disease or within 35 days of myocardial infarction, or within 6 months of ischaemic stroke, in acute coronary syndrome without ST-segment elevation and in acute myocardial infarction with ST-segment elevation.</w:t>
            </w:r>
          </w:p>
        </w:tc>
      </w:tr>
      <w:tr w:rsidR="00223CE8" w:rsidRPr="00944B15" w14:paraId="1EA23F0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C980B97" w14:textId="77777777" w:rsidR="00223CE8" w:rsidRPr="00944B15" w:rsidRDefault="00223CE8" w:rsidP="002D6DD7">
            <w:pPr>
              <w:spacing w:after="0"/>
              <w:jc w:val="both"/>
              <w:rPr>
                <w:rFonts w:cs="Times New Roman"/>
                <w:szCs w:val="24"/>
              </w:rPr>
            </w:pPr>
            <w:r w:rsidRPr="00944B15">
              <w:rPr>
                <w:rFonts w:eastAsia="Times New Roman" w:cs="Times New Roman"/>
                <w:szCs w:val="24"/>
              </w:rPr>
              <w:t>Dose and administration</w:t>
            </w:r>
          </w:p>
        </w:tc>
        <w:tc>
          <w:tcPr>
            <w:tcW w:w="6660" w:type="dxa"/>
            <w:tcBorders>
              <w:top w:val="single" w:sz="4" w:space="0" w:color="auto"/>
              <w:left w:val="single" w:sz="4" w:space="0" w:color="auto"/>
              <w:bottom w:val="single" w:sz="4" w:space="0" w:color="auto"/>
              <w:right w:val="single" w:sz="4" w:space="0" w:color="auto"/>
            </w:tcBorders>
            <w:hideMark/>
          </w:tcPr>
          <w:p w14:paraId="500182E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Adult</w:t>
            </w:r>
            <w:r>
              <w:rPr>
                <w:rFonts w:cs="Times New Roman"/>
                <w:b/>
                <w:szCs w:val="24"/>
              </w:rPr>
              <w:t>:</w:t>
            </w:r>
          </w:p>
          <w:p w14:paraId="6508036D"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atherothrombotic events in percutaneous coronary intervention (adjunct with aspirin) in patients not already on clopidogrel</w:t>
            </w:r>
            <w:r>
              <w:rPr>
                <w:rFonts w:cs="Times New Roman"/>
                <w:b/>
                <w:szCs w:val="24"/>
              </w:rPr>
              <w:t>:</w:t>
            </w:r>
          </w:p>
          <w:p w14:paraId="7F78642E"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Loading dose 300 mg, to be taken prior to the procedure, alternatively loading dose 600 mg.</w:t>
            </w:r>
          </w:p>
          <w:p w14:paraId="48A83504"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Transient ischaemic attack for patients with aspirin hypersensitivity, or those intolerant of aspirin despite the addition of a proton pump inhibitor | Acute ischaemic stroke for patients with aspirin hypersensitivity, or those intolerant of aspirin despite the addition of a proton pump inhibitor</w:t>
            </w:r>
            <w:r>
              <w:rPr>
                <w:rFonts w:cs="Times New Roman"/>
                <w:b/>
                <w:szCs w:val="24"/>
              </w:rPr>
              <w:t>:</w:t>
            </w:r>
          </w:p>
          <w:p w14:paraId="7806C17A"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75 mg once daily</w:t>
            </w:r>
          </w:p>
          <w:p w14:paraId="36395C28"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 xml:space="preserve">Prevention of atherothrombotic events in peripheral arterial </w:t>
            </w:r>
            <w:r w:rsidRPr="00944B15">
              <w:rPr>
                <w:rFonts w:cs="Times New Roman"/>
                <w:b/>
                <w:szCs w:val="24"/>
              </w:rPr>
              <w:lastRenderedPageBreak/>
              <w:t>disease or within 35 days of myocardial infarction, or within 6 months of ischaemic stroke</w:t>
            </w:r>
            <w:r>
              <w:rPr>
                <w:rFonts w:cs="Times New Roman"/>
                <w:b/>
                <w:szCs w:val="24"/>
              </w:rPr>
              <w:t>:</w:t>
            </w:r>
          </w:p>
          <w:p w14:paraId="519147AB"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75 mg once daily</w:t>
            </w:r>
          </w:p>
          <w:p w14:paraId="4D773C7E"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atherothrombotic events in acute coronary syndrome without ST-segment elevation (given with aspirin)</w:t>
            </w:r>
            <w:r>
              <w:rPr>
                <w:rFonts w:cs="Times New Roman"/>
                <w:b/>
                <w:szCs w:val="24"/>
              </w:rPr>
              <w:t>:</w:t>
            </w:r>
          </w:p>
          <w:p w14:paraId="725891A6"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Initially 300 mg, then 75 mg daily for up to 12 months</w:t>
            </w:r>
          </w:p>
          <w:p w14:paraId="4AD89261"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atherothrombotic events in acute myocardial infarction with ST-segment elevation (given with aspirin)</w:t>
            </w:r>
            <w:r>
              <w:rPr>
                <w:rFonts w:cs="Times New Roman"/>
                <w:b/>
                <w:szCs w:val="24"/>
              </w:rPr>
              <w:t>:</w:t>
            </w:r>
          </w:p>
          <w:p w14:paraId="71745D7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Oral: 18–75 years: Initially 300 mg, then 75 mg for at least 4 weeks</w:t>
            </w:r>
          </w:p>
          <w:p w14:paraId="183384D7"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Adult 76 years and over: 75 mg daily for at least 4 weeks</w:t>
            </w:r>
          </w:p>
          <w:p w14:paraId="0B7BEC79" w14:textId="77777777" w:rsidR="00223CE8" w:rsidRPr="00944B15" w:rsidRDefault="00223CE8" w:rsidP="002D6DD7">
            <w:pPr>
              <w:autoSpaceDE w:val="0"/>
              <w:autoSpaceDN w:val="0"/>
              <w:adjustRightInd w:val="0"/>
              <w:spacing w:after="0"/>
              <w:jc w:val="both"/>
              <w:rPr>
                <w:rFonts w:cs="Times New Roman"/>
                <w:b/>
                <w:szCs w:val="24"/>
              </w:rPr>
            </w:pPr>
            <w:r w:rsidRPr="00944B15">
              <w:rPr>
                <w:rFonts w:cs="Times New Roman"/>
                <w:b/>
                <w:szCs w:val="24"/>
              </w:rPr>
              <w:t>Prevention of atherothrombotic and thromboembolic events in patients with atrial fibrillation and at least one risk factor for a vascular event (with aspirin) and for whom warfarin is unsuitable</w:t>
            </w:r>
            <w:r>
              <w:rPr>
                <w:rFonts w:cs="Times New Roman"/>
                <w:b/>
                <w:szCs w:val="24"/>
              </w:rPr>
              <w:t>:</w:t>
            </w:r>
          </w:p>
          <w:p w14:paraId="2C2B928F"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Oral: 75 mg once daily</w:t>
            </w:r>
          </w:p>
        </w:tc>
      </w:tr>
      <w:tr w:rsidR="00223CE8" w:rsidRPr="00944B15" w14:paraId="683651DA" w14:textId="77777777" w:rsidTr="002D6DD7">
        <w:trPr>
          <w:trHeight w:val="575"/>
        </w:trPr>
        <w:tc>
          <w:tcPr>
            <w:tcW w:w="2610" w:type="dxa"/>
            <w:tcBorders>
              <w:top w:val="single" w:sz="4" w:space="0" w:color="auto"/>
              <w:left w:val="single" w:sz="4" w:space="0" w:color="auto"/>
              <w:bottom w:val="single" w:sz="4" w:space="0" w:color="auto"/>
              <w:right w:val="single" w:sz="4" w:space="0" w:color="auto"/>
            </w:tcBorders>
            <w:hideMark/>
          </w:tcPr>
          <w:p w14:paraId="5159E463" w14:textId="77777777" w:rsidR="00223CE8" w:rsidRPr="00944B15" w:rsidRDefault="00223CE8" w:rsidP="002D6DD7">
            <w:pPr>
              <w:spacing w:after="0"/>
              <w:jc w:val="both"/>
              <w:rPr>
                <w:rFonts w:cs="Times New Roman"/>
                <w:szCs w:val="24"/>
              </w:rPr>
            </w:pPr>
            <w:r w:rsidRPr="00944B15">
              <w:rPr>
                <w:rFonts w:cs="Times New Roman"/>
                <w:szCs w:val="24"/>
              </w:rPr>
              <w:lastRenderedPageBreak/>
              <w:t>Contraindications</w:t>
            </w:r>
          </w:p>
        </w:tc>
        <w:tc>
          <w:tcPr>
            <w:tcW w:w="6660" w:type="dxa"/>
            <w:tcBorders>
              <w:top w:val="single" w:sz="4" w:space="0" w:color="auto"/>
              <w:left w:val="single" w:sz="4" w:space="0" w:color="auto"/>
              <w:bottom w:val="single" w:sz="4" w:space="0" w:color="auto"/>
              <w:right w:val="single" w:sz="4" w:space="0" w:color="auto"/>
            </w:tcBorders>
            <w:hideMark/>
          </w:tcPr>
          <w:p w14:paraId="009B7DD0" w14:textId="77777777" w:rsidR="00223CE8" w:rsidRPr="00944B15" w:rsidRDefault="00223CE8" w:rsidP="002D6DD7">
            <w:pPr>
              <w:pStyle w:val="NormalWeb"/>
              <w:spacing w:before="0" w:beforeAutospacing="0" w:after="0" w:afterAutospacing="0" w:line="360" w:lineRule="auto"/>
              <w:jc w:val="both"/>
            </w:pPr>
            <w:r w:rsidRPr="00944B15">
              <w:t>Hypersensitivity</w:t>
            </w:r>
            <w:r>
              <w:t xml:space="preserve"> to the drug, a</w:t>
            </w:r>
            <w:r w:rsidRPr="00944B15">
              <w:t>ctive pathologic bleeding (eg, peptic ulcer, intracranial haemorrhage).</w:t>
            </w:r>
          </w:p>
        </w:tc>
      </w:tr>
      <w:tr w:rsidR="00223CE8" w:rsidRPr="00944B15" w14:paraId="51874A9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6EF085E" w14:textId="77777777" w:rsidR="00223CE8" w:rsidRPr="00944B15" w:rsidRDefault="00223CE8" w:rsidP="002D6DD7">
            <w:pPr>
              <w:spacing w:after="0"/>
              <w:jc w:val="both"/>
              <w:rPr>
                <w:rFonts w:cs="Times New Roman"/>
                <w:szCs w:val="24"/>
              </w:rPr>
            </w:pPr>
            <w:r w:rsidRPr="00944B15">
              <w:rPr>
                <w:rFonts w:cs="Times New Roman"/>
                <w:szCs w:val="24"/>
              </w:rPr>
              <w:t>Drug interactions</w:t>
            </w:r>
          </w:p>
        </w:tc>
        <w:tc>
          <w:tcPr>
            <w:tcW w:w="6660" w:type="dxa"/>
            <w:tcBorders>
              <w:top w:val="single" w:sz="4" w:space="0" w:color="auto"/>
              <w:left w:val="single" w:sz="4" w:space="0" w:color="auto"/>
              <w:bottom w:val="single" w:sz="4" w:space="0" w:color="auto"/>
              <w:right w:val="single" w:sz="4" w:space="0" w:color="auto"/>
            </w:tcBorders>
            <w:hideMark/>
          </w:tcPr>
          <w:p w14:paraId="1B20B9DE" w14:textId="77777777" w:rsidR="00223CE8" w:rsidRPr="00944B15" w:rsidRDefault="00223CE8" w:rsidP="002D6DD7">
            <w:pPr>
              <w:shd w:val="clear" w:color="auto" w:fill="FFFFFF"/>
              <w:spacing w:after="0"/>
              <w:jc w:val="both"/>
              <w:rPr>
                <w:rFonts w:eastAsia="Times New Roman" w:cs="Times New Roman"/>
                <w:bCs/>
                <w:szCs w:val="24"/>
              </w:rPr>
            </w:pPr>
            <w:r w:rsidRPr="00944B15">
              <w:rPr>
                <w:rFonts w:eastAsia="Times New Roman" w:cs="Times New Roman"/>
                <w:bCs/>
                <w:szCs w:val="24"/>
              </w:rPr>
              <w:t>Fluconazole, heparin, NSAIDs, fluoxetine, grapefruit juice, pioglitazone, proton pump inhibitors, rosuvastatin, rifampicin and oral anticoagulants, e.g., warfarin.</w:t>
            </w:r>
          </w:p>
        </w:tc>
      </w:tr>
      <w:tr w:rsidR="00223CE8" w:rsidRPr="00944B15" w14:paraId="4A993CE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E44A379" w14:textId="77777777" w:rsidR="00223CE8" w:rsidRPr="00944B15" w:rsidRDefault="00223CE8" w:rsidP="002D6DD7">
            <w:pPr>
              <w:spacing w:after="0"/>
              <w:jc w:val="both"/>
              <w:rPr>
                <w:rFonts w:cs="Times New Roman"/>
                <w:szCs w:val="24"/>
              </w:rPr>
            </w:pPr>
            <w:r w:rsidRPr="00944B15">
              <w:rPr>
                <w:rFonts w:cs="Times New Roman"/>
                <w:szCs w:val="24"/>
              </w:rPr>
              <w:t>Side effects</w:t>
            </w:r>
          </w:p>
        </w:tc>
        <w:tc>
          <w:tcPr>
            <w:tcW w:w="6660" w:type="dxa"/>
            <w:tcBorders>
              <w:top w:val="single" w:sz="4" w:space="0" w:color="auto"/>
              <w:left w:val="single" w:sz="4" w:space="0" w:color="auto"/>
              <w:bottom w:val="single" w:sz="4" w:space="0" w:color="auto"/>
              <w:right w:val="single" w:sz="4" w:space="0" w:color="auto"/>
            </w:tcBorders>
            <w:hideMark/>
          </w:tcPr>
          <w:p w14:paraId="3A402A08"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Diarrhoea, gastrointestinal discomfort, haemorrhage, skin reactions, acquired haemophilia, agranulocytosis, anaemia, angioedema, arthralgia, arthritis, bone marrow disorders, confusion, fever, glomerulonephritis, gynaecomastia, hallucination, hepatic disorders, hypersensitivity, hypotension, myalgia, neutropenia, pancreatitis, respiratory disorders, severe cutaneous adverse reactions (SCARs), stomatitis, taste altered, ulcerative colitis, vasculitis, vertigo and wound haemorrhage.</w:t>
            </w:r>
          </w:p>
        </w:tc>
      </w:tr>
      <w:tr w:rsidR="00223CE8" w:rsidRPr="00944B15" w14:paraId="5B2B6D2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3C2A5D6" w14:textId="77777777" w:rsidR="00223CE8" w:rsidRPr="00944B15" w:rsidRDefault="00223CE8" w:rsidP="002D6DD7">
            <w:pPr>
              <w:spacing w:after="0"/>
              <w:jc w:val="both"/>
              <w:rPr>
                <w:rFonts w:cs="Times New Roman"/>
                <w:szCs w:val="24"/>
              </w:rPr>
            </w:pPr>
            <w:r w:rsidRPr="00944B15">
              <w:rPr>
                <w:rFonts w:cs="Times New Roman"/>
                <w:szCs w:val="24"/>
              </w:rPr>
              <w:t xml:space="preserve">Cautions </w:t>
            </w:r>
          </w:p>
        </w:tc>
        <w:tc>
          <w:tcPr>
            <w:tcW w:w="6660" w:type="dxa"/>
            <w:tcBorders>
              <w:top w:val="single" w:sz="4" w:space="0" w:color="auto"/>
              <w:left w:val="single" w:sz="4" w:space="0" w:color="auto"/>
              <w:bottom w:val="single" w:sz="4" w:space="0" w:color="auto"/>
              <w:right w:val="single" w:sz="4" w:space="0" w:color="auto"/>
            </w:tcBorders>
            <w:hideMark/>
          </w:tcPr>
          <w:p w14:paraId="0D60F1DD" w14:textId="77777777" w:rsidR="00223CE8" w:rsidRPr="00944B15" w:rsidRDefault="00223CE8" w:rsidP="002D6DD7">
            <w:pPr>
              <w:autoSpaceDE w:val="0"/>
              <w:autoSpaceDN w:val="0"/>
              <w:adjustRightInd w:val="0"/>
              <w:spacing w:after="0"/>
              <w:jc w:val="both"/>
              <w:rPr>
                <w:rFonts w:cs="Times New Roman"/>
                <w:szCs w:val="24"/>
              </w:rPr>
            </w:pPr>
            <w:r>
              <w:rPr>
                <w:rFonts w:cs="Times New Roman"/>
                <w:szCs w:val="24"/>
              </w:rPr>
              <w:t>B</w:t>
            </w:r>
            <w:r w:rsidRPr="00944B15">
              <w:rPr>
                <w:rFonts w:cs="Times New Roman"/>
                <w:szCs w:val="24"/>
              </w:rPr>
              <w:t>leeding or platelet disorders, hepatic impairment, atrial fibrillation and renal failure.</w:t>
            </w:r>
          </w:p>
        </w:tc>
      </w:tr>
      <w:tr w:rsidR="00223CE8" w:rsidRPr="00944B15" w14:paraId="3803945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C0717AF" w14:textId="77777777" w:rsidR="00223CE8" w:rsidRPr="00944B15" w:rsidRDefault="00223CE8" w:rsidP="002D6DD7">
            <w:pPr>
              <w:spacing w:after="0"/>
              <w:jc w:val="both"/>
              <w:rPr>
                <w:rFonts w:cs="Times New Roman"/>
                <w:szCs w:val="24"/>
              </w:rPr>
            </w:pPr>
            <w:r w:rsidRPr="00944B15">
              <w:rPr>
                <w:rFonts w:cs="Times New Roman"/>
                <w:szCs w:val="24"/>
              </w:rPr>
              <w:lastRenderedPageBreak/>
              <w:t>Storage condition</w:t>
            </w:r>
          </w:p>
        </w:tc>
        <w:tc>
          <w:tcPr>
            <w:tcW w:w="6660" w:type="dxa"/>
            <w:tcBorders>
              <w:top w:val="single" w:sz="4" w:space="0" w:color="auto"/>
              <w:left w:val="single" w:sz="4" w:space="0" w:color="auto"/>
              <w:bottom w:val="single" w:sz="4" w:space="0" w:color="auto"/>
              <w:right w:val="single" w:sz="4" w:space="0" w:color="auto"/>
            </w:tcBorders>
            <w:hideMark/>
          </w:tcPr>
          <w:p w14:paraId="272455FD" w14:textId="77777777" w:rsidR="00223CE8" w:rsidRPr="00944B15" w:rsidRDefault="00223CE8" w:rsidP="002D6DD7">
            <w:pPr>
              <w:autoSpaceDE w:val="0"/>
              <w:autoSpaceDN w:val="0"/>
              <w:adjustRightInd w:val="0"/>
              <w:spacing w:after="0"/>
              <w:jc w:val="both"/>
              <w:rPr>
                <w:rFonts w:cs="Times New Roman"/>
                <w:szCs w:val="24"/>
              </w:rPr>
            </w:pPr>
            <w:r w:rsidRPr="00944B15">
              <w:rPr>
                <w:rFonts w:cs="Times New Roman"/>
                <w:szCs w:val="24"/>
              </w:rPr>
              <w:t>Store below 30</w:t>
            </w:r>
            <w:r w:rsidRPr="00D76338">
              <w:rPr>
                <w:rFonts w:cs="Times New Roman"/>
                <w:szCs w:val="24"/>
                <w:vertAlign w:val="superscript"/>
              </w:rPr>
              <w:t>0</w:t>
            </w:r>
            <w:r>
              <w:rPr>
                <w:rFonts w:cs="Times New Roman"/>
                <w:szCs w:val="24"/>
              </w:rPr>
              <w:t>C. P</w:t>
            </w:r>
            <w:r w:rsidRPr="00944B15">
              <w:rPr>
                <w:rFonts w:cs="Times New Roman"/>
                <w:szCs w:val="24"/>
              </w:rPr>
              <w:t>rotect from light</w:t>
            </w:r>
          </w:p>
        </w:tc>
      </w:tr>
    </w:tbl>
    <w:p w14:paraId="7C5EA7BE" w14:textId="77777777" w:rsidR="00223CE8" w:rsidRDefault="00223CE8" w:rsidP="00E837DD">
      <w:pPr>
        <w:spacing w:after="0"/>
        <w:jc w:val="both"/>
        <w:rPr>
          <w:rFonts w:cs="Times New Roman"/>
          <w:szCs w:val="24"/>
        </w:rPr>
      </w:pPr>
    </w:p>
    <w:p w14:paraId="56561191" w14:textId="77777777" w:rsidR="00223CE8" w:rsidRDefault="00223CE8" w:rsidP="00E837DD">
      <w:pPr>
        <w:spacing w:after="0"/>
        <w:jc w:val="both"/>
        <w:rPr>
          <w:rFonts w:cs="Times New Roman"/>
          <w:szCs w:val="24"/>
        </w:rPr>
      </w:pPr>
    </w:p>
    <w:p w14:paraId="3EECD718" w14:textId="77777777" w:rsidR="00223CE8" w:rsidRDefault="00223CE8" w:rsidP="00E837DD">
      <w:pPr>
        <w:spacing w:after="0"/>
        <w:jc w:val="both"/>
        <w:rPr>
          <w:rFonts w:cs="Times New Roman"/>
          <w:szCs w:val="24"/>
        </w:rPr>
      </w:pPr>
    </w:p>
    <w:p w14:paraId="1F049162" w14:textId="77777777" w:rsidR="00223CE8" w:rsidRDefault="00223CE8" w:rsidP="00E837DD">
      <w:pPr>
        <w:spacing w:after="0"/>
        <w:jc w:val="both"/>
        <w:rPr>
          <w:rFonts w:cs="Times New Roman"/>
          <w:szCs w:val="24"/>
        </w:rPr>
      </w:pPr>
    </w:p>
    <w:p w14:paraId="0D4A1207" w14:textId="77777777" w:rsidR="00223CE8" w:rsidRDefault="00223CE8" w:rsidP="00E837DD">
      <w:pPr>
        <w:spacing w:after="0"/>
        <w:jc w:val="both"/>
        <w:rPr>
          <w:rFonts w:cs="Times New Roman"/>
          <w:szCs w:val="24"/>
        </w:rPr>
      </w:pPr>
    </w:p>
    <w:p w14:paraId="6DA25D93" w14:textId="77777777" w:rsidR="00223CE8" w:rsidRDefault="00223CE8" w:rsidP="00E837DD">
      <w:pPr>
        <w:spacing w:after="0"/>
        <w:jc w:val="both"/>
        <w:rPr>
          <w:rFonts w:cs="Times New Roman"/>
          <w:szCs w:val="24"/>
        </w:rPr>
      </w:pPr>
    </w:p>
    <w:p w14:paraId="08ECB1BD" w14:textId="77777777" w:rsidR="00223CE8" w:rsidRDefault="00223CE8" w:rsidP="00E837DD">
      <w:pPr>
        <w:spacing w:after="0"/>
        <w:jc w:val="both"/>
        <w:rPr>
          <w:rFonts w:cs="Times New Roman"/>
          <w:szCs w:val="24"/>
        </w:rPr>
      </w:pPr>
    </w:p>
    <w:p w14:paraId="7B6B5156" w14:textId="77777777" w:rsidR="00223CE8" w:rsidRDefault="00223CE8" w:rsidP="00E837DD">
      <w:pPr>
        <w:spacing w:after="0"/>
        <w:jc w:val="both"/>
        <w:rPr>
          <w:rFonts w:cs="Times New Roman"/>
          <w:szCs w:val="24"/>
        </w:rPr>
      </w:pPr>
    </w:p>
    <w:p w14:paraId="5F1C3A7D" w14:textId="77777777" w:rsidR="00223CE8" w:rsidRDefault="00223CE8" w:rsidP="00E837DD">
      <w:pPr>
        <w:spacing w:after="0"/>
        <w:jc w:val="both"/>
        <w:rPr>
          <w:rFonts w:cs="Times New Roman"/>
          <w:szCs w:val="24"/>
        </w:rPr>
      </w:pPr>
    </w:p>
    <w:p w14:paraId="58FCBD21" w14:textId="77777777" w:rsidR="00223CE8" w:rsidRDefault="00223CE8" w:rsidP="00E837DD">
      <w:pPr>
        <w:spacing w:after="0"/>
        <w:jc w:val="both"/>
        <w:rPr>
          <w:rFonts w:cs="Times New Roman"/>
          <w:szCs w:val="24"/>
        </w:rPr>
      </w:pPr>
    </w:p>
    <w:p w14:paraId="72F06E28" w14:textId="77777777" w:rsidR="00E677B0" w:rsidRDefault="00E677B0">
      <w:pPr>
        <w:spacing w:line="259" w:lineRule="auto"/>
        <w:rPr>
          <w:rFonts w:eastAsiaTheme="majorEastAsia" w:cs="Times New Roman"/>
          <w:b/>
          <w:bCs/>
          <w:kern w:val="0"/>
          <w:sz w:val="28"/>
          <w:szCs w:val="28"/>
          <w:lang w:val="en-US" w:eastAsia="en-US"/>
        </w:rPr>
      </w:pPr>
      <w:r>
        <w:rPr>
          <w:rFonts w:cs="Times New Roman"/>
        </w:rPr>
        <w:br w:type="page"/>
      </w:r>
    </w:p>
    <w:p w14:paraId="0CBEE633" w14:textId="77777777" w:rsidR="0053427F" w:rsidRPr="009610B1" w:rsidRDefault="0052070D" w:rsidP="0052070D">
      <w:pPr>
        <w:pStyle w:val="Heading1"/>
        <w:numPr>
          <w:ilvl w:val="0"/>
          <w:numId w:val="25"/>
        </w:numPr>
        <w:spacing w:after="240"/>
        <w:rPr>
          <w:rFonts w:cs="Times New Roman"/>
        </w:rPr>
      </w:pPr>
      <w:bookmarkStart w:id="167" w:name="_Toc179490387"/>
      <w:r w:rsidRPr="009610B1">
        <w:rPr>
          <w:rFonts w:cs="Times New Roman"/>
        </w:rPr>
        <w:lastRenderedPageBreak/>
        <w:t xml:space="preserve">Medicines Used </w:t>
      </w:r>
      <w:r>
        <w:rPr>
          <w:rFonts w:cs="Times New Roman"/>
        </w:rPr>
        <w:t>f</w:t>
      </w:r>
      <w:r w:rsidRPr="009610B1">
        <w:rPr>
          <w:rFonts w:cs="Times New Roman"/>
        </w:rPr>
        <w:t xml:space="preserve">or Correcting Fluid, Electrolyte </w:t>
      </w:r>
      <w:r>
        <w:rPr>
          <w:rFonts w:cs="Times New Roman"/>
        </w:rPr>
        <w:t>a</w:t>
      </w:r>
      <w:r w:rsidRPr="009610B1">
        <w:rPr>
          <w:rFonts w:cs="Times New Roman"/>
        </w:rPr>
        <w:t>nd Acid Base Balance</w:t>
      </w:r>
      <w:bookmarkEnd w:id="167"/>
      <w:r w:rsidRPr="009610B1">
        <w:rPr>
          <w:rFonts w:cs="Times New Roman"/>
        </w:rPr>
        <w:t xml:space="preserve">   </w:t>
      </w:r>
    </w:p>
    <w:p w14:paraId="1291FB23" w14:textId="77777777" w:rsidR="0053427F" w:rsidRDefault="0053427F" w:rsidP="0053427F">
      <w:pPr>
        <w:spacing w:after="0"/>
        <w:jc w:val="both"/>
        <w:rPr>
          <w:rFonts w:cs="Times New Roman"/>
          <w:szCs w:val="24"/>
        </w:rPr>
      </w:pPr>
      <w:r w:rsidRPr="00944B15">
        <w:rPr>
          <w:rFonts w:cs="Times New Roman"/>
          <w:szCs w:val="24"/>
        </w:rPr>
        <w:t>Maintaining</w:t>
      </w:r>
      <w:r w:rsidRPr="007F0097">
        <w:rPr>
          <w:rFonts w:cs="Times New Roman"/>
          <w:szCs w:val="24"/>
        </w:rPr>
        <w:t xml:space="preserve"> fluid, electrolyte, and acid-base balance is vital for physiological function. Disruptions from dehydration, electrolyte imbalances, or metabolic acidosis/alkalosis require timely intervention using oral or parenteral medications.</w:t>
      </w:r>
    </w:p>
    <w:p w14:paraId="055C2192" w14:textId="77777777" w:rsidR="0053427F" w:rsidRDefault="0053427F" w:rsidP="0053427F">
      <w:pPr>
        <w:spacing w:before="240"/>
        <w:jc w:val="both"/>
        <w:rPr>
          <w:rFonts w:cs="Times New Roman"/>
          <w:szCs w:val="24"/>
        </w:rPr>
      </w:pPr>
      <w:r w:rsidRPr="007F0097">
        <w:rPr>
          <w:rFonts w:cs="Times New Roman"/>
          <w:szCs w:val="24"/>
        </w:rPr>
        <w:t>Oral medications are used for maintenance and mild to moderate conditions. Calcium carbonate and calcium gluconate prevent or treat calcium deficiencies, Oral Rehydration Salts (ORS) manage dehydration from diarrhea, and ReSoMal is used for rehydration in malnourished individuals. Potassium chloride prevents hypokalemia, sodium bicarbonate treats metabolic acidosis, and sevelamer controls phosphorus levels in chronic kidney disease.</w:t>
      </w:r>
    </w:p>
    <w:p w14:paraId="3A8085D4" w14:textId="77777777" w:rsidR="0053427F" w:rsidRPr="00944B15" w:rsidRDefault="0053427F" w:rsidP="0053427F">
      <w:pPr>
        <w:spacing w:before="240"/>
        <w:jc w:val="both"/>
        <w:rPr>
          <w:rFonts w:cs="Times New Roman"/>
          <w:szCs w:val="24"/>
        </w:rPr>
      </w:pPr>
      <w:r w:rsidRPr="007F0097">
        <w:rPr>
          <w:rFonts w:cs="Times New Roman"/>
          <w:szCs w:val="24"/>
        </w:rPr>
        <w:t>Parenteral medications provide immediate correction in acute care settings. Calcium gluconate injections treat hypocalcemia and hyperkalemia, dextrose injections provide glucose for energy, and Lactated Ringer's solution (Hartmann’s Solution) replaces fluids in surgical and trauma patients. Potassium chloride corrects severe hypokalemia, sodium bicarbonate treats metabolic acidosis, and normal saline (sodium chloride) maintains fluid balance. These medications are crucial for effective patient care.</w:t>
      </w:r>
    </w:p>
    <w:tbl>
      <w:tblPr>
        <w:tblStyle w:val="TableGrid"/>
        <w:tblW w:w="9355" w:type="dxa"/>
        <w:tblLook w:val="04A0" w:firstRow="1" w:lastRow="0" w:firstColumn="1" w:lastColumn="0" w:noHBand="0" w:noVBand="1"/>
      </w:tblPr>
      <w:tblGrid>
        <w:gridCol w:w="2695"/>
        <w:gridCol w:w="6660"/>
      </w:tblGrid>
      <w:tr w:rsidR="0053427F" w:rsidRPr="007F0097" w14:paraId="22C8BA93" w14:textId="77777777" w:rsidTr="002D6DD7">
        <w:tc>
          <w:tcPr>
            <w:tcW w:w="9355" w:type="dxa"/>
            <w:gridSpan w:val="2"/>
          </w:tcPr>
          <w:p w14:paraId="6F9ADACC" w14:textId="77777777" w:rsidR="0053427F" w:rsidRPr="007F0097" w:rsidRDefault="0053427F" w:rsidP="002D6DD7">
            <w:pPr>
              <w:jc w:val="both"/>
              <w:rPr>
                <w:rFonts w:cs="Times New Roman"/>
                <w:b/>
                <w:bCs/>
                <w:szCs w:val="24"/>
              </w:rPr>
            </w:pPr>
            <w:r w:rsidRPr="007F0097">
              <w:rPr>
                <w:rFonts w:cs="Times New Roman"/>
                <w:b/>
                <w:bCs/>
                <w:szCs w:val="24"/>
              </w:rPr>
              <w:t>Calcium carbonate</w:t>
            </w:r>
          </w:p>
        </w:tc>
      </w:tr>
      <w:tr w:rsidR="0053427F" w:rsidRPr="007F0097" w14:paraId="2CED40B2" w14:textId="77777777" w:rsidTr="002D6DD7">
        <w:tc>
          <w:tcPr>
            <w:tcW w:w="2695" w:type="dxa"/>
          </w:tcPr>
          <w:p w14:paraId="09AA53A0"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6656D9C5" w14:textId="77777777" w:rsidR="0053427F" w:rsidRPr="007F0097" w:rsidRDefault="0053427F" w:rsidP="002D6DD7">
            <w:pPr>
              <w:jc w:val="both"/>
              <w:rPr>
                <w:rFonts w:cs="Times New Roman"/>
                <w:szCs w:val="24"/>
              </w:rPr>
            </w:pPr>
            <w:r w:rsidRPr="007F0097">
              <w:rPr>
                <w:rFonts w:cs="Times New Roman"/>
                <w:szCs w:val="24"/>
              </w:rPr>
              <w:t>Mineral supplement</w:t>
            </w:r>
          </w:p>
        </w:tc>
      </w:tr>
      <w:tr w:rsidR="0053427F" w:rsidRPr="007F0097" w14:paraId="365BE2E3" w14:textId="77777777" w:rsidTr="002D6DD7">
        <w:tc>
          <w:tcPr>
            <w:tcW w:w="2695" w:type="dxa"/>
          </w:tcPr>
          <w:p w14:paraId="24D7B63F"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0277509A" w14:textId="77777777" w:rsidR="0053427F" w:rsidRPr="007F0097" w:rsidRDefault="0053427F" w:rsidP="002D6DD7">
            <w:pPr>
              <w:jc w:val="both"/>
              <w:rPr>
                <w:rFonts w:cs="Times New Roman"/>
                <w:szCs w:val="24"/>
              </w:rPr>
            </w:pPr>
            <w:r w:rsidRPr="007F0097">
              <w:rPr>
                <w:rFonts w:cs="Times New Roman"/>
                <w:szCs w:val="24"/>
              </w:rPr>
              <w:t>Tablet: 500mg</w:t>
            </w:r>
          </w:p>
        </w:tc>
      </w:tr>
      <w:tr w:rsidR="0053427F" w:rsidRPr="007F0097" w14:paraId="4057381B" w14:textId="77777777" w:rsidTr="002D6DD7">
        <w:tc>
          <w:tcPr>
            <w:tcW w:w="2695" w:type="dxa"/>
          </w:tcPr>
          <w:p w14:paraId="7E1BE81E"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0FA4CCF3" w14:textId="77777777" w:rsidR="0053427F" w:rsidRPr="007F0097" w:rsidRDefault="0053427F" w:rsidP="002D6DD7">
            <w:pPr>
              <w:jc w:val="both"/>
              <w:rPr>
                <w:rFonts w:cs="Times New Roman"/>
                <w:szCs w:val="24"/>
              </w:rPr>
            </w:pPr>
            <w:r w:rsidRPr="007F0097">
              <w:rPr>
                <w:rFonts w:cs="Times New Roman"/>
                <w:szCs w:val="24"/>
              </w:rPr>
              <w:t>Hypocalcemia, osteoporosis, hypoparathyroidism, osteomalacia, rickets, calcium supplementation, gastroesophageal reflux disease (GERD), dyspepsia.</w:t>
            </w:r>
          </w:p>
        </w:tc>
      </w:tr>
      <w:tr w:rsidR="0053427F" w:rsidRPr="007F0097" w14:paraId="21AADE75" w14:textId="77777777" w:rsidTr="002D6DD7">
        <w:tc>
          <w:tcPr>
            <w:tcW w:w="2695" w:type="dxa"/>
          </w:tcPr>
          <w:p w14:paraId="6D1035A1"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21E648D1" w14:textId="77777777" w:rsidR="0053427F" w:rsidRDefault="0053427F" w:rsidP="002D6DD7">
            <w:pPr>
              <w:jc w:val="both"/>
              <w:rPr>
                <w:rFonts w:cs="Times New Roman"/>
                <w:szCs w:val="24"/>
              </w:rPr>
            </w:pPr>
            <w:r w:rsidRPr="00E61AAC">
              <w:rPr>
                <w:rFonts w:cs="Times New Roman"/>
                <w:b/>
                <w:bCs/>
                <w:szCs w:val="24"/>
              </w:rPr>
              <w:t xml:space="preserve">Phosphate binding in renal failure and hyperphosphatemia </w:t>
            </w:r>
            <w:r>
              <w:rPr>
                <w:rFonts w:cs="Times New Roman"/>
                <w:b/>
                <w:bCs/>
                <w:szCs w:val="24"/>
              </w:rPr>
              <w:t xml:space="preserve">Adult: </w:t>
            </w:r>
            <w:r w:rsidRPr="00E61AAC">
              <w:rPr>
                <w:rFonts w:cs="Times New Roman"/>
                <w:szCs w:val="24"/>
              </w:rPr>
              <w:t>dose as required by the individual patient depending on serum phosphate level</w:t>
            </w:r>
            <w:r w:rsidR="0052070D">
              <w:rPr>
                <w:rFonts w:cs="Times New Roman"/>
                <w:szCs w:val="24"/>
              </w:rPr>
              <w:t>.</w:t>
            </w:r>
            <w:r w:rsidRPr="00E61AAC">
              <w:rPr>
                <w:rFonts w:cs="Times New Roman"/>
                <w:szCs w:val="24"/>
              </w:rPr>
              <w:t xml:space="preserve"> </w:t>
            </w:r>
          </w:p>
          <w:p w14:paraId="1A843FFD" w14:textId="77777777" w:rsidR="0053427F" w:rsidRPr="00E61AAC" w:rsidRDefault="0053427F" w:rsidP="002D6DD7">
            <w:pPr>
              <w:jc w:val="both"/>
              <w:rPr>
                <w:rFonts w:cs="Times New Roman"/>
                <w:szCs w:val="24"/>
              </w:rPr>
            </w:pPr>
            <w:r w:rsidRPr="00E61AAC">
              <w:rPr>
                <w:rFonts w:cs="Times New Roman"/>
                <w:b/>
                <w:bCs/>
                <w:szCs w:val="24"/>
              </w:rPr>
              <w:t xml:space="preserve">Infant (1-11 months):  </w:t>
            </w:r>
            <w:r w:rsidRPr="00E61AAC">
              <w:rPr>
                <w:rFonts w:cs="Times New Roman"/>
                <w:szCs w:val="24"/>
              </w:rPr>
              <w:t>120 mg 3-4 times a day, dose to be adjusted as necessary, to be taken prior to or with meals</w:t>
            </w:r>
            <w:r w:rsidR="0052070D">
              <w:rPr>
                <w:rFonts w:cs="Times New Roman"/>
                <w:szCs w:val="24"/>
              </w:rPr>
              <w:t>.</w:t>
            </w:r>
          </w:p>
          <w:p w14:paraId="5E977A04" w14:textId="77777777" w:rsidR="0053427F" w:rsidRPr="00E61AAC" w:rsidRDefault="0053427F" w:rsidP="002D6DD7">
            <w:pPr>
              <w:jc w:val="both"/>
              <w:rPr>
                <w:rFonts w:cs="Times New Roman"/>
                <w:szCs w:val="24"/>
              </w:rPr>
            </w:pPr>
            <w:r w:rsidRPr="00E61AAC">
              <w:rPr>
                <w:rFonts w:cs="Times New Roman"/>
                <w:b/>
                <w:bCs/>
                <w:szCs w:val="24"/>
              </w:rPr>
              <w:t>Child (1-5 years):</w:t>
            </w:r>
            <w:r w:rsidRPr="00E61AAC">
              <w:rPr>
                <w:rFonts w:cs="Times New Roman"/>
                <w:szCs w:val="24"/>
              </w:rPr>
              <w:t xml:space="preserve"> 300 mg 3-4 times a day, dose to be adjusted as necessary, to be taken prior to with meals</w:t>
            </w:r>
            <w:r w:rsidR="0052070D">
              <w:rPr>
                <w:rFonts w:cs="Times New Roman"/>
                <w:szCs w:val="24"/>
              </w:rPr>
              <w:t>.</w:t>
            </w:r>
          </w:p>
          <w:p w14:paraId="7430D2A0" w14:textId="77777777" w:rsidR="0053427F" w:rsidRPr="00E61AAC" w:rsidRDefault="0053427F" w:rsidP="002D6DD7">
            <w:pPr>
              <w:jc w:val="both"/>
              <w:rPr>
                <w:rFonts w:cs="Times New Roman"/>
                <w:b/>
                <w:bCs/>
                <w:szCs w:val="24"/>
              </w:rPr>
            </w:pPr>
            <w:r w:rsidRPr="00E61AAC">
              <w:rPr>
                <w:rFonts w:cs="Times New Roman"/>
                <w:b/>
                <w:bCs/>
                <w:szCs w:val="24"/>
              </w:rPr>
              <w:lastRenderedPageBreak/>
              <w:t>Child</w:t>
            </w:r>
            <w:r>
              <w:rPr>
                <w:rFonts w:cs="Times New Roman"/>
                <w:b/>
                <w:bCs/>
                <w:szCs w:val="24"/>
              </w:rPr>
              <w:t xml:space="preserve"> </w:t>
            </w:r>
            <w:r w:rsidRPr="00E61AAC">
              <w:rPr>
                <w:rFonts w:cs="Times New Roman"/>
                <w:b/>
                <w:bCs/>
                <w:szCs w:val="24"/>
              </w:rPr>
              <w:t>(12-17 years):</w:t>
            </w:r>
            <w:r w:rsidRPr="00E61AAC">
              <w:rPr>
                <w:rFonts w:cs="Times New Roman"/>
                <w:szCs w:val="24"/>
              </w:rPr>
              <w:t xml:space="preserve"> 1.25 g 3-4 times a day, dose to be adjusted as necessary, to be taken prior to or with meals</w:t>
            </w:r>
            <w:r w:rsidR="0052070D">
              <w:rPr>
                <w:rFonts w:cs="Times New Roman"/>
                <w:szCs w:val="24"/>
              </w:rPr>
              <w:t>.</w:t>
            </w:r>
          </w:p>
          <w:p w14:paraId="100D48E7" w14:textId="77777777" w:rsidR="0053427F" w:rsidRDefault="0053427F" w:rsidP="002D6DD7">
            <w:pPr>
              <w:jc w:val="both"/>
              <w:rPr>
                <w:rFonts w:cs="Times New Roman"/>
                <w:b/>
                <w:bCs/>
                <w:szCs w:val="24"/>
              </w:rPr>
            </w:pPr>
            <w:r w:rsidRPr="00E61AAC">
              <w:rPr>
                <w:rFonts w:cs="Times New Roman"/>
                <w:b/>
                <w:bCs/>
                <w:szCs w:val="24"/>
              </w:rPr>
              <w:t>Prevention and treatment of Hypocalcemia</w:t>
            </w:r>
            <w:r w:rsidR="0052070D">
              <w:rPr>
                <w:rFonts w:cs="Times New Roman"/>
                <w:b/>
                <w:bCs/>
                <w:szCs w:val="24"/>
              </w:rPr>
              <w:t>:</w:t>
            </w:r>
          </w:p>
          <w:p w14:paraId="68B2744C" w14:textId="77777777" w:rsidR="0053427F" w:rsidRDefault="0053427F" w:rsidP="002D6DD7">
            <w:pPr>
              <w:jc w:val="both"/>
              <w:rPr>
                <w:rFonts w:cs="Times New Roman"/>
                <w:szCs w:val="24"/>
              </w:rPr>
            </w:pPr>
            <w:r w:rsidRPr="007B2AEF">
              <w:rPr>
                <w:rFonts w:cs="Times New Roman"/>
                <w:b/>
                <w:bCs/>
                <w:szCs w:val="24"/>
              </w:rPr>
              <w:t>Adult:</w:t>
            </w:r>
            <w:r>
              <w:rPr>
                <w:rFonts w:cs="Times New Roman"/>
                <w:szCs w:val="24"/>
              </w:rPr>
              <w:t xml:space="preserve"> </w:t>
            </w:r>
            <w:r w:rsidRPr="00E61AAC">
              <w:rPr>
                <w:rFonts w:cs="Times New Roman"/>
                <w:szCs w:val="24"/>
              </w:rPr>
              <w:t>1-2 g/day in divided doses with meals. The typical dose is 500 mg to 1g twice daily.</w:t>
            </w:r>
          </w:p>
          <w:p w14:paraId="21247229" w14:textId="77777777" w:rsidR="0053427F" w:rsidRPr="00E61AAC" w:rsidRDefault="0053427F" w:rsidP="002D6DD7">
            <w:pPr>
              <w:jc w:val="both"/>
              <w:rPr>
                <w:rFonts w:cs="Times New Roman"/>
                <w:szCs w:val="24"/>
              </w:rPr>
            </w:pPr>
            <w:r w:rsidRPr="00E61AAC">
              <w:rPr>
                <w:rFonts w:cs="Times New Roman"/>
                <w:b/>
                <w:bCs/>
                <w:szCs w:val="24"/>
              </w:rPr>
              <w:t>Infants:</w:t>
            </w:r>
            <w:r w:rsidRPr="00E61AAC">
              <w:rPr>
                <w:rFonts w:cs="Times New Roman"/>
                <w:szCs w:val="24"/>
              </w:rPr>
              <w:t xml:space="preserve"> 250 mg to 500 mg/day in divided doses with meals.</w:t>
            </w:r>
          </w:p>
          <w:p w14:paraId="0E3C4D9D" w14:textId="77777777" w:rsidR="0053427F" w:rsidRPr="00E61AAC" w:rsidRDefault="0053427F" w:rsidP="002D6DD7">
            <w:pPr>
              <w:jc w:val="both"/>
              <w:rPr>
                <w:rFonts w:cs="Times New Roman"/>
                <w:szCs w:val="24"/>
              </w:rPr>
            </w:pPr>
            <w:r w:rsidRPr="00E61AAC">
              <w:rPr>
                <w:rFonts w:cs="Times New Roman"/>
                <w:b/>
                <w:bCs/>
                <w:szCs w:val="24"/>
              </w:rPr>
              <w:t>Child (1-10 years):</w:t>
            </w:r>
            <w:r w:rsidRPr="00E61AAC">
              <w:rPr>
                <w:rFonts w:cs="Times New Roman"/>
                <w:szCs w:val="24"/>
              </w:rPr>
              <w:t xml:space="preserve"> 800 mg to 1 g/day in divided doses with meals.</w:t>
            </w:r>
          </w:p>
          <w:p w14:paraId="3A7A34C9" w14:textId="77777777" w:rsidR="0053427F" w:rsidRPr="007B2AEF" w:rsidRDefault="0053427F" w:rsidP="002D6DD7">
            <w:pPr>
              <w:jc w:val="both"/>
              <w:rPr>
                <w:rFonts w:cs="Times New Roman"/>
                <w:szCs w:val="24"/>
              </w:rPr>
            </w:pPr>
            <w:r w:rsidRPr="00E61AAC">
              <w:rPr>
                <w:rFonts w:cs="Times New Roman"/>
                <w:b/>
                <w:bCs/>
                <w:szCs w:val="24"/>
              </w:rPr>
              <w:t>Adolescents:</w:t>
            </w:r>
            <w:r w:rsidRPr="00E61AAC">
              <w:rPr>
                <w:rFonts w:cs="Times New Roman"/>
                <w:szCs w:val="24"/>
              </w:rPr>
              <w:t xml:space="preserve"> 1-1.5 g/day in divided doses with meals.</w:t>
            </w:r>
          </w:p>
          <w:p w14:paraId="7D47D80F" w14:textId="77777777" w:rsidR="0053427F" w:rsidRPr="00E61AAC" w:rsidRDefault="0053427F" w:rsidP="002D6DD7">
            <w:pPr>
              <w:jc w:val="both"/>
              <w:rPr>
                <w:rFonts w:cs="Times New Roman"/>
                <w:szCs w:val="24"/>
              </w:rPr>
            </w:pPr>
            <w:r w:rsidRPr="00E61AAC">
              <w:rPr>
                <w:rFonts w:cs="Times New Roman"/>
                <w:b/>
                <w:bCs/>
                <w:szCs w:val="24"/>
              </w:rPr>
              <w:t xml:space="preserve">Osteoporosis: </w:t>
            </w:r>
            <w:r w:rsidRPr="00E61AAC">
              <w:rPr>
                <w:rFonts w:cs="Times New Roman"/>
                <w:szCs w:val="24"/>
              </w:rPr>
              <w:t>1-1.5 g/day in divided doses with meals.</w:t>
            </w:r>
          </w:p>
          <w:p w14:paraId="4838BDDF" w14:textId="77777777" w:rsidR="0053427F" w:rsidRDefault="0053427F" w:rsidP="002D6DD7">
            <w:pPr>
              <w:jc w:val="both"/>
              <w:rPr>
                <w:rFonts w:cs="Times New Roman"/>
                <w:b/>
                <w:bCs/>
                <w:szCs w:val="24"/>
              </w:rPr>
            </w:pPr>
            <w:r w:rsidRPr="00E61AAC">
              <w:rPr>
                <w:rFonts w:cs="Times New Roman"/>
                <w:b/>
                <w:bCs/>
                <w:szCs w:val="24"/>
              </w:rPr>
              <w:t xml:space="preserve">Osteomalacia/Rickets: </w:t>
            </w:r>
          </w:p>
          <w:p w14:paraId="43D8E8C1" w14:textId="77777777" w:rsidR="0053427F" w:rsidRPr="00E61AAC" w:rsidRDefault="0053427F" w:rsidP="002D6DD7">
            <w:pPr>
              <w:jc w:val="both"/>
              <w:rPr>
                <w:rFonts w:cs="Times New Roman"/>
                <w:szCs w:val="24"/>
              </w:rPr>
            </w:pPr>
            <w:r>
              <w:rPr>
                <w:rFonts w:cs="Times New Roman"/>
                <w:b/>
                <w:bCs/>
                <w:szCs w:val="24"/>
              </w:rPr>
              <w:t xml:space="preserve">Child: </w:t>
            </w:r>
            <w:r w:rsidRPr="00E61AAC">
              <w:rPr>
                <w:rFonts w:cs="Times New Roman"/>
                <w:szCs w:val="24"/>
              </w:rPr>
              <w:t>1-2 g/day in divided doses with meals.</w:t>
            </w:r>
          </w:p>
          <w:p w14:paraId="73661EA9" w14:textId="77777777" w:rsidR="0053427F" w:rsidRDefault="0053427F" w:rsidP="002D6DD7">
            <w:pPr>
              <w:jc w:val="both"/>
              <w:rPr>
                <w:rFonts w:cs="Times New Roman"/>
                <w:b/>
                <w:bCs/>
                <w:szCs w:val="24"/>
              </w:rPr>
            </w:pPr>
            <w:r w:rsidRPr="00E61AAC">
              <w:rPr>
                <w:rFonts w:cs="Times New Roman"/>
                <w:b/>
                <w:bCs/>
                <w:szCs w:val="24"/>
              </w:rPr>
              <w:t xml:space="preserve">Hypoparathyroidism: </w:t>
            </w:r>
          </w:p>
          <w:p w14:paraId="2FB31E79" w14:textId="77777777" w:rsidR="0053427F" w:rsidRPr="00E61AAC" w:rsidRDefault="0053427F" w:rsidP="002D6DD7">
            <w:pPr>
              <w:jc w:val="both"/>
              <w:rPr>
                <w:rFonts w:cs="Times New Roman"/>
                <w:szCs w:val="24"/>
              </w:rPr>
            </w:pPr>
            <w:r>
              <w:rPr>
                <w:rFonts w:cs="Times New Roman"/>
                <w:b/>
                <w:bCs/>
                <w:szCs w:val="24"/>
              </w:rPr>
              <w:t xml:space="preserve">Child: </w:t>
            </w:r>
            <w:r w:rsidRPr="00E61AAC">
              <w:rPr>
                <w:rFonts w:cs="Times New Roman"/>
                <w:szCs w:val="24"/>
              </w:rPr>
              <w:t>1-3 g/day in divided doses with meals.</w:t>
            </w:r>
          </w:p>
          <w:p w14:paraId="05A4E326" w14:textId="77777777" w:rsidR="0053427F" w:rsidRPr="00E61AAC" w:rsidRDefault="0053427F" w:rsidP="002D6DD7">
            <w:pPr>
              <w:jc w:val="both"/>
              <w:rPr>
                <w:rFonts w:cs="Times New Roman"/>
                <w:szCs w:val="24"/>
              </w:rPr>
            </w:pPr>
            <w:r w:rsidRPr="00E61AAC">
              <w:rPr>
                <w:rFonts w:cs="Times New Roman"/>
                <w:b/>
                <w:bCs/>
                <w:szCs w:val="24"/>
              </w:rPr>
              <w:t xml:space="preserve">GERD and Dyspepsia: </w:t>
            </w:r>
            <w:r w:rsidRPr="00E61AAC">
              <w:rPr>
                <w:rFonts w:cs="Times New Roman"/>
                <w:szCs w:val="24"/>
              </w:rPr>
              <w:t>500 mg to 1500 mg as needed</w:t>
            </w:r>
            <w:r w:rsidR="00D06F64">
              <w:rPr>
                <w:rFonts w:cs="Times New Roman"/>
                <w:szCs w:val="24"/>
              </w:rPr>
              <w:t>.</w:t>
            </w:r>
          </w:p>
        </w:tc>
      </w:tr>
      <w:tr w:rsidR="0053427F" w:rsidRPr="007F0097" w14:paraId="4998DEE3" w14:textId="77777777" w:rsidTr="002D6DD7">
        <w:tc>
          <w:tcPr>
            <w:tcW w:w="2695" w:type="dxa"/>
          </w:tcPr>
          <w:p w14:paraId="3324E414"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294EA83C" w14:textId="77777777" w:rsidR="0053427F" w:rsidRPr="007F0097" w:rsidRDefault="0053427F" w:rsidP="002D6DD7">
            <w:pPr>
              <w:jc w:val="both"/>
              <w:rPr>
                <w:rFonts w:cs="Times New Roman"/>
                <w:szCs w:val="24"/>
              </w:rPr>
            </w:pPr>
            <w:r w:rsidRPr="007F0097">
              <w:rPr>
                <w:rFonts w:cs="Times New Roman"/>
                <w:szCs w:val="24"/>
              </w:rPr>
              <w:t>Diseases and/or conditions resulting in hypercalcemia and/or hypercalciuria, such as hyperparathyroidism, vitamin D overdosage, decalcifying tumours such as plasmacytoma and skeletal metastases</w:t>
            </w:r>
            <w:r>
              <w:rPr>
                <w:rFonts w:cs="Times New Roman"/>
                <w:szCs w:val="24"/>
              </w:rPr>
              <w:t>,</w:t>
            </w:r>
            <w:r w:rsidRPr="007F0097">
              <w:rPr>
                <w:rFonts w:cs="Times New Roman"/>
                <w:szCs w:val="24"/>
              </w:rPr>
              <w:t xml:space="preserve"> severe renal failure untreated by renal dialysis</w:t>
            </w:r>
            <w:r>
              <w:rPr>
                <w:rFonts w:cs="Times New Roman"/>
                <w:szCs w:val="24"/>
              </w:rPr>
              <w:t>,</w:t>
            </w:r>
            <w:r w:rsidRPr="007F0097">
              <w:rPr>
                <w:rFonts w:cs="Times New Roman"/>
                <w:szCs w:val="24"/>
              </w:rPr>
              <w:t xml:space="preserve"> osteoporosis due to immobilization</w:t>
            </w:r>
            <w:r>
              <w:rPr>
                <w:rFonts w:cs="Times New Roman"/>
                <w:szCs w:val="24"/>
              </w:rPr>
              <w:t>,</w:t>
            </w:r>
            <w:r w:rsidRPr="007F0097">
              <w:rPr>
                <w:rFonts w:cs="Times New Roman"/>
                <w:szCs w:val="24"/>
              </w:rPr>
              <w:t xml:space="preserve"> renal calculi (nephrolithiasis).</w:t>
            </w:r>
          </w:p>
        </w:tc>
      </w:tr>
      <w:tr w:rsidR="0053427F" w:rsidRPr="007F0097" w14:paraId="0B3ECFC2" w14:textId="77777777" w:rsidTr="002D6DD7">
        <w:tc>
          <w:tcPr>
            <w:tcW w:w="2695" w:type="dxa"/>
          </w:tcPr>
          <w:p w14:paraId="08AB832F"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36D457F3" w14:textId="77777777" w:rsidR="0053427F" w:rsidRPr="007F0097" w:rsidRDefault="0053427F" w:rsidP="002D6DD7">
            <w:pPr>
              <w:jc w:val="both"/>
              <w:rPr>
                <w:rFonts w:cs="Times New Roman"/>
                <w:szCs w:val="24"/>
              </w:rPr>
            </w:pPr>
            <w:r w:rsidRPr="007F0097">
              <w:rPr>
                <w:rFonts w:cs="Times New Roman"/>
                <w:szCs w:val="24"/>
              </w:rPr>
              <w:t>Thiazide diuretics, tetracyclines, cardiac glycosides, bisphosphonates, quinolone antibiotics, levothyroxine</w:t>
            </w:r>
            <w:r w:rsidR="00D06F64">
              <w:rPr>
                <w:rFonts w:cs="Times New Roman"/>
                <w:szCs w:val="24"/>
              </w:rPr>
              <w:t>.</w:t>
            </w:r>
          </w:p>
        </w:tc>
      </w:tr>
      <w:tr w:rsidR="0053427F" w:rsidRPr="007F0097" w14:paraId="5654CD9E" w14:textId="77777777" w:rsidTr="002D6DD7">
        <w:tc>
          <w:tcPr>
            <w:tcW w:w="2695" w:type="dxa"/>
          </w:tcPr>
          <w:p w14:paraId="03B50E16"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53EA15D7" w14:textId="77777777" w:rsidR="0053427F" w:rsidRPr="007F0097" w:rsidRDefault="0053427F" w:rsidP="002D6DD7">
            <w:pPr>
              <w:jc w:val="both"/>
              <w:rPr>
                <w:rFonts w:cs="Times New Roman"/>
                <w:szCs w:val="24"/>
              </w:rPr>
            </w:pPr>
            <w:r w:rsidRPr="007F0097">
              <w:rPr>
                <w:rFonts w:cs="Times New Roman"/>
                <w:szCs w:val="24"/>
              </w:rPr>
              <w:t xml:space="preserve">Constipation, bloating, gas, </w:t>
            </w:r>
            <w:r>
              <w:rPr>
                <w:rFonts w:cs="Times New Roman"/>
                <w:szCs w:val="24"/>
              </w:rPr>
              <w:t>h</w:t>
            </w:r>
            <w:r w:rsidRPr="007F0097">
              <w:rPr>
                <w:rFonts w:cs="Times New Roman"/>
                <w:szCs w:val="24"/>
              </w:rPr>
              <w:t xml:space="preserve">ypercalcemia symptoms (e.g., nausea, vomiting, confusion, fatigue, arrhythmias), </w:t>
            </w:r>
            <w:r>
              <w:rPr>
                <w:rFonts w:cs="Times New Roman"/>
                <w:szCs w:val="24"/>
              </w:rPr>
              <w:t>h</w:t>
            </w:r>
            <w:r w:rsidRPr="007F0097">
              <w:rPr>
                <w:rFonts w:cs="Times New Roman"/>
                <w:szCs w:val="24"/>
              </w:rPr>
              <w:t xml:space="preserve">ypercalciuria, flatulence, </w:t>
            </w:r>
            <w:r>
              <w:rPr>
                <w:rFonts w:cs="Times New Roman"/>
                <w:szCs w:val="24"/>
              </w:rPr>
              <w:t>GI</w:t>
            </w:r>
            <w:r w:rsidRPr="007F0097">
              <w:rPr>
                <w:rFonts w:cs="Times New Roman"/>
                <w:szCs w:val="24"/>
              </w:rPr>
              <w:t xml:space="preserve"> discomfort. </w:t>
            </w:r>
          </w:p>
        </w:tc>
      </w:tr>
      <w:tr w:rsidR="0053427F" w:rsidRPr="007F0097" w14:paraId="1D375284" w14:textId="77777777" w:rsidTr="002D6DD7">
        <w:tc>
          <w:tcPr>
            <w:tcW w:w="2695" w:type="dxa"/>
          </w:tcPr>
          <w:p w14:paraId="0E61118D"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3CEAF7F5" w14:textId="77777777" w:rsidR="0053427F" w:rsidRPr="007F0097" w:rsidRDefault="0053427F" w:rsidP="002D6DD7">
            <w:pPr>
              <w:jc w:val="both"/>
              <w:rPr>
                <w:rFonts w:cs="Times New Roman"/>
                <w:szCs w:val="24"/>
              </w:rPr>
            </w:pPr>
            <w:r w:rsidRPr="007F0097">
              <w:rPr>
                <w:rFonts w:cs="Times New Roman"/>
                <w:szCs w:val="24"/>
              </w:rPr>
              <w:t>Renal insufficiency, renal calculi, hypercalcemia, kidney stones</w:t>
            </w:r>
          </w:p>
        </w:tc>
      </w:tr>
      <w:tr w:rsidR="0053427F" w:rsidRPr="007F0097" w14:paraId="64125903" w14:textId="77777777" w:rsidTr="002D6DD7">
        <w:tc>
          <w:tcPr>
            <w:tcW w:w="2695" w:type="dxa"/>
          </w:tcPr>
          <w:p w14:paraId="6E6543A1"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3DE061BD" w14:textId="77777777" w:rsidR="0053427F" w:rsidRPr="007F0097" w:rsidRDefault="0053427F" w:rsidP="002D6DD7">
            <w:pPr>
              <w:jc w:val="both"/>
              <w:rPr>
                <w:rFonts w:cs="Times New Roman"/>
                <w:szCs w:val="24"/>
              </w:rPr>
            </w:pPr>
            <w:r w:rsidRPr="007F0097">
              <w:rPr>
                <w:rFonts w:cs="Times New Roman"/>
                <w:szCs w:val="24"/>
              </w:rPr>
              <w:t>Store below 30</w:t>
            </w:r>
            <w:r w:rsidRPr="00B40D87">
              <w:rPr>
                <w:rFonts w:cs="Times New Roman"/>
                <w:szCs w:val="24"/>
                <w:vertAlign w:val="superscript"/>
              </w:rPr>
              <w:t>0</w:t>
            </w:r>
            <w:r>
              <w:rPr>
                <w:rFonts w:cs="Times New Roman"/>
                <w:szCs w:val="24"/>
              </w:rPr>
              <w:t>C</w:t>
            </w:r>
            <w:r w:rsidRPr="007F0097">
              <w:rPr>
                <w:rFonts w:cs="Times New Roman"/>
                <w:szCs w:val="24"/>
              </w:rPr>
              <w:t>. Protect from humidity.</w:t>
            </w:r>
          </w:p>
        </w:tc>
      </w:tr>
      <w:tr w:rsidR="0053427F" w:rsidRPr="007F0097" w14:paraId="7229E26D" w14:textId="77777777" w:rsidTr="002D6DD7">
        <w:tc>
          <w:tcPr>
            <w:tcW w:w="9355" w:type="dxa"/>
            <w:gridSpan w:val="2"/>
          </w:tcPr>
          <w:p w14:paraId="2EEDC1A0" w14:textId="77777777" w:rsidR="0053427F" w:rsidRPr="007F0097" w:rsidRDefault="0053427F" w:rsidP="002D6DD7">
            <w:pPr>
              <w:jc w:val="both"/>
              <w:rPr>
                <w:rFonts w:cs="Times New Roman"/>
                <w:b/>
                <w:bCs/>
                <w:szCs w:val="24"/>
              </w:rPr>
            </w:pPr>
            <w:bookmarkStart w:id="168" w:name="_Toc168320656"/>
            <w:r w:rsidRPr="007F0097">
              <w:rPr>
                <w:rFonts w:cs="Times New Roman"/>
                <w:b/>
                <w:bCs/>
                <w:szCs w:val="24"/>
              </w:rPr>
              <w:t>Calcium gluconate</w:t>
            </w:r>
            <w:bookmarkEnd w:id="168"/>
          </w:p>
        </w:tc>
      </w:tr>
      <w:tr w:rsidR="0053427F" w:rsidRPr="007F0097" w14:paraId="05002117" w14:textId="77777777" w:rsidTr="002D6DD7">
        <w:tc>
          <w:tcPr>
            <w:tcW w:w="2695" w:type="dxa"/>
          </w:tcPr>
          <w:p w14:paraId="4BE05E7E"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7995DB04" w14:textId="77777777" w:rsidR="0053427F" w:rsidRPr="007F0097" w:rsidRDefault="0053427F" w:rsidP="002D6DD7">
            <w:pPr>
              <w:jc w:val="both"/>
              <w:rPr>
                <w:rFonts w:cs="Times New Roman"/>
                <w:szCs w:val="24"/>
              </w:rPr>
            </w:pPr>
            <w:r w:rsidRPr="007F0097">
              <w:rPr>
                <w:rFonts w:cs="Times New Roman"/>
                <w:szCs w:val="24"/>
              </w:rPr>
              <w:t>Mineral supplement</w:t>
            </w:r>
            <w:r>
              <w:rPr>
                <w:rFonts w:cs="Times New Roman"/>
                <w:szCs w:val="24"/>
              </w:rPr>
              <w:t xml:space="preserve"> </w:t>
            </w:r>
            <w:r w:rsidRPr="007F0097">
              <w:rPr>
                <w:rFonts w:cs="Times New Roman"/>
                <w:szCs w:val="24"/>
              </w:rPr>
              <w:t xml:space="preserve">/ </w:t>
            </w:r>
            <w:r>
              <w:rPr>
                <w:rFonts w:cs="Times New Roman"/>
                <w:szCs w:val="24"/>
              </w:rPr>
              <w:t>e</w:t>
            </w:r>
            <w:r w:rsidRPr="007F0097">
              <w:rPr>
                <w:rFonts w:cs="Times New Roman"/>
                <w:szCs w:val="24"/>
              </w:rPr>
              <w:t>lectrolyte</w:t>
            </w:r>
          </w:p>
        </w:tc>
      </w:tr>
      <w:tr w:rsidR="0053427F" w:rsidRPr="007F0097" w14:paraId="57FA7FCE" w14:textId="77777777" w:rsidTr="002D6DD7">
        <w:tc>
          <w:tcPr>
            <w:tcW w:w="2695" w:type="dxa"/>
          </w:tcPr>
          <w:p w14:paraId="710233EA"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7C8E7990" w14:textId="77777777" w:rsidR="0053427F" w:rsidRPr="007F0097" w:rsidRDefault="0053427F" w:rsidP="002D6DD7">
            <w:pPr>
              <w:jc w:val="both"/>
              <w:rPr>
                <w:rFonts w:cs="Times New Roman"/>
                <w:szCs w:val="24"/>
              </w:rPr>
            </w:pPr>
            <w:r w:rsidRPr="007F0097">
              <w:rPr>
                <w:rFonts w:cs="Times New Roman"/>
                <w:szCs w:val="24"/>
              </w:rPr>
              <w:t>Tablet: 500mg</w:t>
            </w:r>
          </w:p>
          <w:p w14:paraId="00DA7656" w14:textId="77777777" w:rsidR="0053427F" w:rsidRPr="007F0097" w:rsidRDefault="0053427F" w:rsidP="002D6DD7">
            <w:pPr>
              <w:jc w:val="both"/>
              <w:rPr>
                <w:rFonts w:cs="Times New Roman"/>
                <w:szCs w:val="24"/>
              </w:rPr>
            </w:pPr>
            <w:r w:rsidRPr="007F0097">
              <w:rPr>
                <w:rFonts w:cs="Times New Roman"/>
                <w:szCs w:val="24"/>
              </w:rPr>
              <w:t>Injection: 10% in 10ml ampoule</w:t>
            </w:r>
          </w:p>
        </w:tc>
      </w:tr>
      <w:tr w:rsidR="0053427F" w:rsidRPr="007F0097" w14:paraId="76BF6D6A" w14:textId="77777777" w:rsidTr="002D6DD7">
        <w:tc>
          <w:tcPr>
            <w:tcW w:w="2695" w:type="dxa"/>
          </w:tcPr>
          <w:p w14:paraId="4005F560" w14:textId="77777777" w:rsidR="0053427F" w:rsidRPr="007F0097" w:rsidRDefault="0053427F" w:rsidP="002D6DD7">
            <w:pPr>
              <w:jc w:val="both"/>
              <w:rPr>
                <w:rFonts w:cs="Times New Roman"/>
                <w:szCs w:val="24"/>
              </w:rPr>
            </w:pPr>
            <w:r w:rsidRPr="007F0097">
              <w:rPr>
                <w:rFonts w:cs="Times New Roman"/>
                <w:szCs w:val="24"/>
              </w:rPr>
              <w:lastRenderedPageBreak/>
              <w:t>Indications</w:t>
            </w:r>
          </w:p>
        </w:tc>
        <w:tc>
          <w:tcPr>
            <w:tcW w:w="6660" w:type="dxa"/>
          </w:tcPr>
          <w:p w14:paraId="3FA34CA0" w14:textId="77777777" w:rsidR="0053427F" w:rsidRPr="007F0097" w:rsidRDefault="0053427F" w:rsidP="002D6DD7">
            <w:pPr>
              <w:jc w:val="both"/>
              <w:rPr>
                <w:rFonts w:cs="Times New Roman"/>
                <w:szCs w:val="24"/>
              </w:rPr>
            </w:pPr>
            <w:r w:rsidRPr="007F0097">
              <w:rPr>
                <w:rFonts w:cs="Times New Roman"/>
                <w:szCs w:val="24"/>
              </w:rPr>
              <w:t>Hypocalcemia or hypocalcemic tetany, hyperkalemia, hypermagnesemia, calcium channel blocker overdose</w:t>
            </w:r>
          </w:p>
        </w:tc>
      </w:tr>
      <w:tr w:rsidR="0053427F" w:rsidRPr="007F0097" w14:paraId="14BFAFA2" w14:textId="77777777" w:rsidTr="002D6DD7">
        <w:tc>
          <w:tcPr>
            <w:tcW w:w="2695" w:type="dxa"/>
          </w:tcPr>
          <w:p w14:paraId="28D56CCD"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1EBBC087" w14:textId="77777777" w:rsidR="0053427F" w:rsidRPr="00D06F64" w:rsidRDefault="0053427F" w:rsidP="002D6DD7">
            <w:pPr>
              <w:jc w:val="both"/>
              <w:rPr>
                <w:rFonts w:cs="Times New Roman"/>
                <w:bCs/>
                <w:szCs w:val="24"/>
              </w:rPr>
            </w:pPr>
            <w:r w:rsidRPr="00CD2085">
              <w:rPr>
                <w:rFonts w:cs="Times New Roman"/>
                <w:b/>
                <w:bCs/>
                <w:szCs w:val="24"/>
              </w:rPr>
              <w:t>Hypocalcemia and calcium deficiency supplementation</w:t>
            </w:r>
            <w:r>
              <w:rPr>
                <w:rFonts w:cs="Times New Roman"/>
                <w:b/>
                <w:bCs/>
                <w:szCs w:val="24"/>
              </w:rPr>
              <w:t xml:space="preserve">, </w:t>
            </w:r>
            <w:r w:rsidR="00D06F64" w:rsidRPr="00D06F64">
              <w:rPr>
                <w:rFonts w:cs="Times New Roman"/>
                <w:bCs/>
                <w:szCs w:val="24"/>
              </w:rPr>
              <w:t>o</w:t>
            </w:r>
            <w:r w:rsidRPr="00D06F64">
              <w:rPr>
                <w:rFonts w:cs="Times New Roman"/>
                <w:bCs/>
                <w:szCs w:val="24"/>
              </w:rPr>
              <w:t>ral:</w:t>
            </w:r>
          </w:p>
          <w:p w14:paraId="23D5BC88" w14:textId="77777777" w:rsidR="0053427F" w:rsidRPr="00CD2085" w:rsidRDefault="0053427F" w:rsidP="002D6DD7">
            <w:pPr>
              <w:jc w:val="both"/>
              <w:rPr>
                <w:rFonts w:cs="Times New Roman"/>
                <w:b/>
                <w:bCs/>
                <w:szCs w:val="24"/>
              </w:rPr>
            </w:pPr>
            <w:r w:rsidRPr="00CD2085">
              <w:rPr>
                <w:rFonts w:cs="Times New Roman"/>
                <w:b/>
                <w:bCs/>
                <w:szCs w:val="24"/>
              </w:rPr>
              <w:t xml:space="preserve">Adult: </w:t>
            </w:r>
            <w:r w:rsidRPr="00CD2085">
              <w:rPr>
                <w:rFonts w:cs="Times New Roman"/>
                <w:szCs w:val="24"/>
              </w:rPr>
              <w:t>1-3 g/day in divided doses with meals.</w:t>
            </w:r>
          </w:p>
          <w:p w14:paraId="59AE7DCE" w14:textId="77777777" w:rsidR="0053427F" w:rsidRDefault="0053427F" w:rsidP="002D6DD7">
            <w:pPr>
              <w:jc w:val="both"/>
              <w:rPr>
                <w:rFonts w:cs="Times New Roman"/>
                <w:szCs w:val="24"/>
              </w:rPr>
            </w:pPr>
            <w:r w:rsidRPr="00CD2085">
              <w:rPr>
                <w:rFonts w:cs="Times New Roman"/>
                <w:b/>
                <w:bCs/>
                <w:szCs w:val="24"/>
              </w:rPr>
              <w:t xml:space="preserve">Child: </w:t>
            </w:r>
            <w:r w:rsidRPr="00CD2085">
              <w:rPr>
                <w:rFonts w:cs="Times New Roman"/>
                <w:szCs w:val="24"/>
              </w:rPr>
              <w:t>500 mg to 1 g/day in divided doses with meals.</w:t>
            </w:r>
          </w:p>
          <w:p w14:paraId="161D1DDB" w14:textId="77777777" w:rsidR="0053427F" w:rsidRPr="00D06F64" w:rsidRDefault="0053427F" w:rsidP="002D6DD7">
            <w:pPr>
              <w:jc w:val="both"/>
              <w:rPr>
                <w:rFonts w:cs="Times New Roman"/>
                <w:bCs/>
                <w:szCs w:val="24"/>
              </w:rPr>
            </w:pPr>
            <w:r w:rsidRPr="00083DCB">
              <w:rPr>
                <w:rFonts w:cs="Times New Roman"/>
                <w:b/>
                <w:bCs/>
                <w:szCs w:val="24"/>
              </w:rPr>
              <w:t>Hypocalcemia</w:t>
            </w:r>
            <w:r w:rsidRPr="00D06F64">
              <w:rPr>
                <w:rFonts w:cs="Times New Roman"/>
                <w:bCs/>
                <w:szCs w:val="24"/>
              </w:rPr>
              <w:t>, IV:</w:t>
            </w:r>
          </w:p>
          <w:p w14:paraId="760F221D" w14:textId="77777777" w:rsidR="0053427F" w:rsidRPr="00834C2A" w:rsidRDefault="0053427F" w:rsidP="002D6DD7">
            <w:pPr>
              <w:jc w:val="both"/>
              <w:rPr>
                <w:rFonts w:cs="Times New Roman"/>
                <w:szCs w:val="24"/>
              </w:rPr>
            </w:pPr>
            <w:r w:rsidRPr="00083DCB">
              <w:rPr>
                <w:rFonts w:cs="Times New Roman"/>
                <w:b/>
                <w:bCs/>
                <w:szCs w:val="24"/>
              </w:rPr>
              <w:t>Adult:</w:t>
            </w:r>
            <w:r w:rsidRPr="00834C2A">
              <w:rPr>
                <w:rFonts w:cs="Times New Roman"/>
                <w:szCs w:val="24"/>
              </w:rPr>
              <w:t xml:space="preserve"> 1-2 g (10-20 ml of 10% solution) over 10 minutes.</w:t>
            </w:r>
          </w:p>
          <w:p w14:paraId="3D9C9E48" w14:textId="77777777" w:rsidR="0053427F" w:rsidRPr="00834C2A" w:rsidRDefault="0053427F" w:rsidP="002D6DD7">
            <w:pPr>
              <w:jc w:val="both"/>
              <w:rPr>
                <w:rFonts w:cs="Times New Roman"/>
                <w:szCs w:val="24"/>
              </w:rPr>
            </w:pPr>
            <w:r w:rsidRPr="00083DCB">
              <w:rPr>
                <w:rFonts w:cs="Times New Roman"/>
                <w:b/>
                <w:bCs/>
                <w:szCs w:val="24"/>
              </w:rPr>
              <w:t>Child:</w:t>
            </w:r>
            <w:r w:rsidRPr="00834C2A">
              <w:rPr>
                <w:rFonts w:cs="Times New Roman"/>
                <w:szCs w:val="24"/>
              </w:rPr>
              <w:t xml:space="preserve"> 0.5-1 g (5-10 ml of 10% solution) over 10 minutes.</w:t>
            </w:r>
          </w:p>
          <w:p w14:paraId="3C7111CA" w14:textId="77777777" w:rsidR="0053427F" w:rsidRPr="00D06F64" w:rsidRDefault="0053427F" w:rsidP="002D6DD7">
            <w:pPr>
              <w:jc w:val="both"/>
              <w:rPr>
                <w:rFonts w:cs="Times New Roman"/>
                <w:bCs/>
                <w:szCs w:val="24"/>
              </w:rPr>
            </w:pPr>
            <w:r w:rsidRPr="00083DCB">
              <w:rPr>
                <w:rFonts w:cs="Times New Roman"/>
                <w:b/>
                <w:bCs/>
                <w:szCs w:val="24"/>
              </w:rPr>
              <w:t xml:space="preserve">Hyperkalemia, </w:t>
            </w:r>
            <w:r w:rsidRPr="00D06F64">
              <w:rPr>
                <w:rFonts w:cs="Times New Roman"/>
                <w:bCs/>
                <w:szCs w:val="24"/>
              </w:rPr>
              <w:t>IV:</w:t>
            </w:r>
          </w:p>
          <w:p w14:paraId="58C43FDC" w14:textId="77777777" w:rsidR="0053427F" w:rsidRPr="00834C2A" w:rsidRDefault="0053427F" w:rsidP="002D6DD7">
            <w:pPr>
              <w:jc w:val="both"/>
              <w:rPr>
                <w:rFonts w:cs="Times New Roman"/>
                <w:szCs w:val="24"/>
              </w:rPr>
            </w:pPr>
            <w:r w:rsidRPr="00083DCB">
              <w:rPr>
                <w:rFonts w:cs="Times New Roman"/>
                <w:b/>
                <w:bCs/>
                <w:szCs w:val="24"/>
              </w:rPr>
              <w:t>Adult:</w:t>
            </w:r>
            <w:r w:rsidRPr="00834C2A">
              <w:rPr>
                <w:rFonts w:cs="Times New Roman"/>
                <w:szCs w:val="24"/>
              </w:rPr>
              <w:t xml:space="preserve"> 1-2 g (10-20 ml of 10% solution) over 5-10 minutes; may repeat if necessary.</w:t>
            </w:r>
          </w:p>
          <w:p w14:paraId="7BD2ADB7" w14:textId="77777777" w:rsidR="0053427F" w:rsidRPr="00834C2A" w:rsidRDefault="0053427F" w:rsidP="002D6DD7">
            <w:pPr>
              <w:jc w:val="both"/>
              <w:rPr>
                <w:rFonts w:cs="Times New Roman"/>
                <w:szCs w:val="24"/>
              </w:rPr>
            </w:pPr>
            <w:r w:rsidRPr="00083DCB">
              <w:rPr>
                <w:rFonts w:cs="Times New Roman"/>
                <w:b/>
                <w:bCs/>
                <w:szCs w:val="24"/>
              </w:rPr>
              <w:t>Child:</w:t>
            </w:r>
            <w:r w:rsidRPr="00834C2A">
              <w:rPr>
                <w:rFonts w:cs="Times New Roman"/>
                <w:szCs w:val="24"/>
              </w:rPr>
              <w:t xml:space="preserve"> 0.5-1 g (5-10 ml of 10% solution) over 5-10 minutes; may repeat if necessary.</w:t>
            </w:r>
          </w:p>
          <w:p w14:paraId="5C5F3AAB" w14:textId="77777777" w:rsidR="0053427F" w:rsidRPr="00083DCB" w:rsidRDefault="0053427F" w:rsidP="002D6DD7">
            <w:pPr>
              <w:jc w:val="both"/>
              <w:rPr>
                <w:rFonts w:cs="Times New Roman"/>
                <w:b/>
                <w:bCs/>
                <w:szCs w:val="24"/>
              </w:rPr>
            </w:pPr>
            <w:r w:rsidRPr="00083DCB">
              <w:rPr>
                <w:rFonts w:cs="Times New Roman"/>
                <w:b/>
                <w:bCs/>
                <w:szCs w:val="24"/>
              </w:rPr>
              <w:t xml:space="preserve">Hypermagnesemia, </w:t>
            </w:r>
            <w:r w:rsidRPr="00D06F64">
              <w:rPr>
                <w:rFonts w:cs="Times New Roman"/>
                <w:bCs/>
                <w:szCs w:val="24"/>
              </w:rPr>
              <w:t>IV:</w:t>
            </w:r>
          </w:p>
          <w:p w14:paraId="4C5A8F42" w14:textId="77777777" w:rsidR="0053427F" w:rsidRPr="00834C2A" w:rsidRDefault="0053427F" w:rsidP="002D6DD7">
            <w:pPr>
              <w:jc w:val="both"/>
              <w:rPr>
                <w:rFonts w:cs="Times New Roman"/>
                <w:szCs w:val="24"/>
              </w:rPr>
            </w:pPr>
            <w:r w:rsidRPr="00083DCB">
              <w:rPr>
                <w:rFonts w:cs="Times New Roman"/>
                <w:b/>
                <w:bCs/>
                <w:szCs w:val="24"/>
              </w:rPr>
              <w:t>Adult:</w:t>
            </w:r>
            <w:r w:rsidRPr="00834C2A">
              <w:rPr>
                <w:rFonts w:cs="Times New Roman"/>
                <w:szCs w:val="24"/>
              </w:rPr>
              <w:t xml:space="preserve"> 1-2 g (10-20 ml of 10% solution) IV over 5-10 minutes.</w:t>
            </w:r>
          </w:p>
          <w:p w14:paraId="4936A859" w14:textId="77777777" w:rsidR="0053427F" w:rsidRPr="00834C2A" w:rsidRDefault="0053427F" w:rsidP="002D6DD7">
            <w:pPr>
              <w:jc w:val="both"/>
              <w:rPr>
                <w:rFonts w:cs="Times New Roman"/>
                <w:szCs w:val="24"/>
              </w:rPr>
            </w:pPr>
            <w:r w:rsidRPr="00083DCB">
              <w:rPr>
                <w:rFonts w:cs="Times New Roman"/>
                <w:b/>
                <w:bCs/>
                <w:szCs w:val="24"/>
              </w:rPr>
              <w:t>Child:</w:t>
            </w:r>
            <w:r w:rsidRPr="00834C2A">
              <w:rPr>
                <w:rFonts w:cs="Times New Roman"/>
                <w:szCs w:val="24"/>
              </w:rPr>
              <w:t xml:space="preserve"> 0.5-1 g (5-10 ml of 10% solution) IV over 5-10 minutes.</w:t>
            </w:r>
          </w:p>
          <w:p w14:paraId="50E54236" w14:textId="77777777" w:rsidR="0053427F" w:rsidRPr="00D06F64" w:rsidRDefault="0053427F" w:rsidP="002D6DD7">
            <w:pPr>
              <w:jc w:val="both"/>
              <w:rPr>
                <w:rFonts w:cs="Times New Roman"/>
                <w:bCs/>
                <w:szCs w:val="24"/>
              </w:rPr>
            </w:pPr>
            <w:r w:rsidRPr="00083DCB">
              <w:rPr>
                <w:rFonts w:cs="Times New Roman"/>
                <w:b/>
                <w:bCs/>
                <w:szCs w:val="24"/>
              </w:rPr>
              <w:t>Calcium channel blocker overdose, IV</w:t>
            </w:r>
            <w:r w:rsidR="00D06F64">
              <w:rPr>
                <w:rFonts w:cs="Times New Roman"/>
                <w:bCs/>
                <w:szCs w:val="24"/>
              </w:rPr>
              <w:t>:</w:t>
            </w:r>
          </w:p>
          <w:p w14:paraId="0629F055" w14:textId="77777777" w:rsidR="0053427F" w:rsidRPr="00834C2A" w:rsidRDefault="0053427F" w:rsidP="002D6DD7">
            <w:pPr>
              <w:jc w:val="both"/>
              <w:rPr>
                <w:rFonts w:cs="Times New Roman"/>
                <w:szCs w:val="24"/>
              </w:rPr>
            </w:pPr>
            <w:r w:rsidRPr="00083DCB">
              <w:rPr>
                <w:rFonts w:cs="Times New Roman"/>
                <w:b/>
                <w:bCs/>
                <w:szCs w:val="24"/>
              </w:rPr>
              <w:t>Adult:</w:t>
            </w:r>
            <w:r w:rsidRPr="00834C2A">
              <w:rPr>
                <w:rFonts w:cs="Times New Roman"/>
                <w:szCs w:val="24"/>
              </w:rPr>
              <w:t xml:space="preserve"> 1-3 g (10-30 ml of 10% solution) IV over 5-10 minutes; may repeat if necessary.</w:t>
            </w:r>
          </w:p>
          <w:p w14:paraId="11F590C6" w14:textId="77777777" w:rsidR="0053427F" w:rsidRPr="007F0097" w:rsidRDefault="0053427F" w:rsidP="002D6DD7">
            <w:pPr>
              <w:jc w:val="both"/>
              <w:rPr>
                <w:rFonts w:cs="Times New Roman"/>
                <w:szCs w:val="24"/>
              </w:rPr>
            </w:pPr>
            <w:r w:rsidRPr="00083DCB">
              <w:rPr>
                <w:rFonts w:cs="Times New Roman"/>
                <w:b/>
                <w:bCs/>
                <w:szCs w:val="24"/>
              </w:rPr>
              <w:t>Child:</w:t>
            </w:r>
            <w:r w:rsidRPr="00834C2A">
              <w:rPr>
                <w:rFonts w:cs="Times New Roman"/>
                <w:szCs w:val="24"/>
              </w:rPr>
              <w:t xml:space="preserve"> 0.5-1 g (5-10 ml of 10% solution) IV over 5-10 minutes; may repeat if necessary.</w:t>
            </w:r>
          </w:p>
        </w:tc>
      </w:tr>
      <w:tr w:rsidR="0053427F" w:rsidRPr="007F0097" w14:paraId="7B91D93D" w14:textId="77777777" w:rsidTr="002D6DD7">
        <w:tc>
          <w:tcPr>
            <w:tcW w:w="2695" w:type="dxa"/>
          </w:tcPr>
          <w:p w14:paraId="18C19A11" w14:textId="77777777" w:rsidR="0053427F" w:rsidRPr="007F0097" w:rsidRDefault="0053427F" w:rsidP="002D6DD7">
            <w:pPr>
              <w:jc w:val="both"/>
              <w:rPr>
                <w:rFonts w:cs="Times New Roman"/>
                <w:szCs w:val="24"/>
              </w:rPr>
            </w:pPr>
            <w:r w:rsidRPr="007F0097">
              <w:rPr>
                <w:rFonts w:cs="Times New Roman"/>
                <w:szCs w:val="24"/>
              </w:rPr>
              <w:t>Contraindications</w:t>
            </w:r>
          </w:p>
        </w:tc>
        <w:tc>
          <w:tcPr>
            <w:tcW w:w="6660" w:type="dxa"/>
          </w:tcPr>
          <w:p w14:paraId="56404B33" w14:textId="77777777" w:rsidR="0053427F" w:rsidRPr="007F0097" w:rsidRDefault="0053427F" w:rsidP="002D6DD7">
            <w:pPr>
              <w:jc w:val="both"/>
              <w:rPr>
                <w:rFonts w:cs="Times New Roman"/>
                <w:szCs w:val="24"/>
              </w:rPr>
            </w:pPr>
            <w:r w:rsidRPr="007F0097">
              <w:rPr>
                <w:rFonts w:cs="Times New Roman"/>
                <w:szCs w:val="24"/>
              </w:rPr>
              <w:t>Primary or secondary hypercalcemia</w:t>
            </w:r>
            <w:r>
              <w:rPr>
                <w:rFonts w:cs="Times New Roman"/>
                <w:szCs w:val="24"/>
              </w:rPr>
              <w:t>,</w:t>
            </w:r>
            <w:r w:rsidRPr="007F0097">
              <w:rPr>
                <w:rFonts w:cs="Times New Roman"/>
                <w:szCs w:val="24"/>
              </w:rPr>
              <w:t xml:space="preserve"> hypercalciuria or calcium renal calculi</w:t>
            </w:r>
            <w:r>
              <w:rPr>
                <w:rFonts w:cs="Times New Roman"/>
                <w:szCs w:val="24"/>
              </w:rPr>
              <w:t>,</w:t>
            </w:r>
            <w:r w:rsidRPr="007F0097">
              <w:rPr>
                <w:rFonts w:cs="Times New Roman"/>
                <w:szCs w:val="24"/>
              </w:rPr>
              <w:t xml:space="preserve"> sarcoidosis</w:t>
            </w:r>
            <w:r>
              <w:rPr>
                <w:rFonts w:cs="Times New Roman"/>
                <w:szCs w:val="24"/>
              </w:rPr>
              <w:t>,</w:t>
            </w:r>
            <w:r w:rsidRPr="007F0097">
              <w:rPr>
                <w:rFonts w:cs="Times New Roman"/>
                <w:szCs w:val="24"/>
              </w:rPr>
              <w:t xml:space="preserve"> severe renal failure</w:t>
            </w:r>
            <w:r>
              <w:rPr>
                <w:rFonts w:cs="Times New Roman"/>
                <w:szCs w:val="24"/>
              </w:rPr>
              <w:t>,</w:t>
            </w:r>
            <w:r w:rsidRPr="007F0097">
              <w:rPr>
                <w:rFonts w:cs="Times New Roman"/>
                <w:szCs w:val="24"/>
              </w:rPr>
              <w:t xml:space="preserve"> hypercalcemia (e.g., in hyperparathyroidism, hypervitaminosis D, neoplastic disease with decalcification of bone, renal insufficiency, immobilization osteoporosis, sarcoidosis, milk-alkali syndrome)</w:t>
            </w:r>
            <w:r>
              <w:rPr>
                <w:rFonts w:cs="Times New Roman"/>
                <w:szCs w:val="24"/>
              </w:rPr>
              <w:t>, p</w:t>
            </w:r>
            <w:r w:rsidRPr="007F0097">
              <w:rPr>
                <w:rFonts w:cs="Times New Roman"/>
                <w:szCs w:val="24"/>
              </w:rPr>
              <w:t>atients receiving cardiac glycosides</w:t>
            </w:r>
            <w:r w:rsidR="00D06F64">
              <w:rPr>
                <w:rFonts w:cs="Times New Roman"/>
                <w:szCs w:val="24"/>
              </w:rPr>
              <w:t>.</w:t>
            </w:r>
          </w:p>
        </w:tc>
      </w:tr>
      <w:tr w:rsidR="0053427F" w:rsidRPr="007F0097" w14:paraId="635BA99B" w14:textId="77777777" w:rsidTr="002D6DD7">
        <w:tc>
          <w:tcPr>
            <w:tcW w:w="2695" w:type="dxa"/>
          </w:tcPr>
          <w:p w14:paraId="2547E0B7"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51848128" w14:textId="77777777" w:rsidR="0053427F" w:rsidRPr="007F0097" w:rsidRDefault="0053427F" w:rsidP="002D6DD7">
            <w:pPr>
              <w:jc w:val="both"/>
              <w:rPr>
                <w:rFonts w:cs="Times New Roman"/>
                <w:szCs w:val="24"/>
              </w:rPr>
            </w:pPr>
            <w:r w:rsidRPr="007F0097">
              <w:rPr>
                <w:rFonts w:cs="Times New Roman"/>
                <w:szCs w:val="24"/>
              </w:rPr>
              <w:t>Verapamil, calcium or magnesium-containing medications, estrogen, phenytoin, oral tetracyclines, vitamin D, milk and milk products</w:t>
            </w:r>
            <w:r w:rsidR="00D06F64">
              <w:rPr>
                <w:rFonts w:cs="Times New Roman"/>
                <w:szCs w:val="24"/>
              </w:rPr>
              <w:t>.</w:t>
            </w:r>
            <w:r w:rsidRPr="007F0097">
              <w:rPr>
                <w:rFonts w:cs="Times New Roman"/>
                <w:szCs w:val="24"/>
              </w:rPr>
              <w:t xml:space="preserve"> </w:t>
            </w:r>
          </w:p>
        </w:tc>
      </w:tr>
      <w:tr w:rsidR="0053427F" w:rsidRPr="007F0097" w14:paraId="5829CE9F" w14:textId="77777777" w:rsidTr="002D6DD7">
        <w:tc>
          <w:tcPr>
            <w:tcW w:w="2695" w:type="dxa"/>
          </w:tcPr>
          <w:p w14:paraId="4E86837D"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196F26A2" w14:textId="77777777" w:rsidR="0053427F" w:rsidRPr="007F0097" w:rsidRDefault="0053427F" w:rsidP="002D6DD7">
            <w:pPr>
              <w:jc w:val="both"/>
              <w:rPr>
                <w:rFonts w:cs="Times New Roman"/>
                <w:szCs w:val="24"/>
              </w:rPr>
            </w:pPr>
            <w:r w:rsidRPr="007F0097">
              <w:rPr>
                <w:rFonts w:cs="Times New Roman"/>
                <w:szCs w:val="24"/>
              </w:rPr>
              <w:t xml:space="preserve">Acute hypercalcaemic syndrome (drowsiness, continuing nausea, </w:t>
            </w:r>
            <w:r w:rsidRPr="007F0097">
              <w:rPr>
                <w:rFonts w:cs="Times New Roman"/>
                <w:szCs w:val="24"/>
              </w:rPr>
              <w:lastRenderedPageBreak/>
              <w:t>vomiting, weakness), calcific renal calculi</w:t>
            </w:r>
            <w:r w:rsidR="00D06F64">
              <w:rPr>
                <w:rFonts w:cs="Times New Roman"/>
                <w:szCs w:val="24"/>
              </w:rPr>
              <w:t>.</w:t>
            </w:r>
          </w:p>
        </w:tc>
      </w:tr>
      <w:tr w:rsidR="0053427F" w:rsidRPr="007F0097" w14:paraId="55C61646" w14:textId="77777777" w:rsidTr="002D6DD7">
        <w:tc>
          <w:tcPr>
            <w:tcW w:w="2695" w:type="dxa"/>
          </w:tcPr>
          <w:p w14:paraId="56E88553" w14:textId="77777777" w:rsidR="0053427F" w:rsidRPr="007F0097" w:rsidRDefault="0053427F" w:rsidP="002D6DD7">
            <w:pPr>
              <w:jc w:val="both"/>
              <w:rPr>
                <w:rFonts w:cs="Times New Roman"/>
                <w:szCs w:val="24"/>
              </w:rPr>
            </w:pPr>
            <w:r w:rsidRPr="007F0097">
              <w:rPr>
                <w:rFonts w:cs="Times New Roman"/>
                <w:szCs w:val="24"/>
              </w:rPr>
              <w:lastRenderedPageBreak/>
              <w:t xml:space="preserve">Cautions </w:t>
            </w:r>
          </w:p>
        </w:tc>
        <w:tc>
          <w:tcPr>
            <w:tcW w:w="6660" w:type="dxa"/>
          </w:tcPr>
          <w:p w14:paraId="314F99A5" w14:textId="77777777" w:rsidR="0053427F" w:rsidRPr="007F0097" w:rsidRDefault="0053427F" w:rsidP="002D6DD7">
            <w:pPr>
              <w:jc w:val="both"/>
              <w:rPr>
                <w:rFonts w:cs="Times New Roman"/>
                <w:szCs w:val="24"/>
              </w:rPr>
            </w:pPr>
            <w:r w:rsidRPr="007F0097">
              <w:rPr>
                <w:rFonts w:cs="Times New Roman"/>
                <w:szCs w:val="24"/>
              </w:rPr>
              <w:t>Hypercalcemia, extravasation, cardiac disease, high vitamin D intake</w:t>
            </w:r>
            <w:r w:rsidR="00D06F64">
              <w:rPr>
                <w:rFonts w:cs="Times New Roman"/>
                <w:szCs w:val="24"/>
              </w:rPr>
              <w:t>.</w:t>
            </w:r>
            <w:r w:rsidRPr="007F0097">
              <w:rPr>
                <w:rFonts w:cs="Times New Roman"/>
                <w:szCs w:val="24"/>
              </w:rPr>
              <w:t xml:space="preserve"> </w:t>
            </w:r>
          </w:p>
        </w:tc>
      </w:tr>
      <w:tr w:rsidR="0053427F" w:rsidRPr="007F0097" w14:paraId="211EE56D" w14:textId="77777777" w:rsidTr="002D6DD7">
        <w:tc>
          <w:tcPr>
            <w:tcW w:w="2695" w:type="dxa"/>
          </w:tcPr>
          <w:p w14:paraId="2B515246"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69CE0EE9" w14:textId="77777777" w:rsidR="0053427F" w:rsidRPr="007F0097" w:rsidRDefault="0053427F" w:rsidP="002D6DD7">
            <w:pPr>
              <w:jc w:val="both"/>
              <w:rPr>
                <w:rFonts w:cs="Times New Roman"/>
                <w:szCs w:val="24"/>
              </w:rPr>
            </w:pPr>
            <w:r w:rsidRPr="007F0097">
              <w:rPr>
                <w:rFonts w:cs="Times New Roman"/>
                <w:szCs w:val="24"/>
              </w:rPr>
              <w:t xml:space="preserve">Store below 30 </w:t>
            </w:r>
            <w:r w:rsidRPr="007F0097">
              <w:rPr>
                <w:rFonts w:cs="Times New Roman"/>
                <w:szCs w:val="24"/>
                <w:vertAlign w:val="superscript"/>
              </w:rPr>
              <w:t>0</w:t>
            </w:r>
            <w:r w:rsidRPr="007F0097">
              <w:rPr>
                <w:rFonts w:cs="Times New Roman"/>
                <w:szCs w:val="24"/>
              </w:rPr>
              <w:t xml:space="preserve">C. Protect from </w:t>
            </w:r>
            <w:r w:rsidR="00D06F64">
              <w:rPr>
                <w:rFonts w:cs="Times New Roman"/>
                <w:szCs w:val="24"/>
              </w:rPr>
              <w:t>moisture</w:t>
            </w:r>
            <w:r w:rsidRPr="007F0097">
              <w:rPr>
                <w:rFonts w:cs="Times New Roman"/>
                <w:szCs w:val="24"/>
              </w:rPr>
              <w:t>.</w:t>
            </w:r>
          </w:p>
        </w:tc>
      </w:tr>
      <w:tr w:rsidR="0053427F" w:rsidRPr="007F0097" w14:paraId="71080844" w14:textId="77777777" w:rsidTr="002D6DD7">
        <w:tc>
          <w:tcPr>
            <w:tcW w:w="9355" w:type="dxa"/>
            <w:gridSpan w:val="2"/>
          </w:tcPr>
          <w:p w14:paraId="395445D6" w14:textId="77777777" w:rsidR="0053427F" w:rsidRPr="007F0097" w:rsidRDefault="0053427F" w:rsidP="002D6DD7">
            <w:pPr>
              <w:jc w:val="both"/>
              <w:rPr>
                <w:rFonts w:cs="Times New Roman"/>
                <w:b/>
                <w:bCs/>
                <w:szCs w:val="24"/>
              </w:rPr>
            </w:pPr>
            <w:bookmarkStart w:id="169" w:name="_Toc168320663"/>
            <w:r w:rsidRPr="007F0097">
              <w:rPr>
                <w:rFonts w:cs="Times New Roman"/>
                <w:b/>
                <w:bCs/>
                <w:szCs w:val="24"/>
              </w:rPr>
              <w:t>Dextrose</w:t>
            </w:r>
            <w:bookmarkEnd w:id="169"/>
          </w:p>
        </w:tc>
      </w:tr>
      <w:tr w:rsidR="0053427F" w:rsidRPr="007F0097" w14:paraId="75FF31E1" w14:textId="77777777" w:rsidTr="002D6DD7">
        <w:tc>
          <w:tcPr>
            <w:tcW w:w="2695" w:type="dxa"/>
          </w:tcPr>
          <w:p w14:paraId="5C321DA0"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09A765F6" w14:textId="77777777" w:rsidR="0053427F" w:rsidRPr="007F0097" w:rsidRDefault="0053427F" w:rsidP="002D6DD7">
            <w:pPr>
              <w:jc w:val="both"/>
              <w:rPr>
                <w:rFonts w:cs="Times New Roman"/>
                <w:szCs w:val="24"/>
              </w:rPr>
            </w:pPr>
            <w:r w:rsidRPr="007F0097">
              <w:rPr>
                <w:rFonts w:cs="Times New Roman"/>
                <w:szCs w:val="24"/>
              </w:rPr>
              <w:t>Carbohydrate (parenteral nutrition and caloric agent)</w:t>
            </w:r>
          </w:p>
        </w:tc>
      </w:tr>
      <w:tr w:rsidR="0053427F" w:rsidRPr="007F0097" w14:paraId="6E0D2F1A" w14:textId="77777777" w:rsidTr="002D6DD7">
        <w:tc>
          <w:tcPr>
            <w:tcW w:w="2695" w:type="dxa"/>
          </w:tcPr>
          <w:p w14:paraId="5A2988B0"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066D9CD6" w14:textId="77777777" w:rsidR="0053427F" w:rsidRPr="007F0097" w:rsidRDefault="0053427F" w:rsidP="002D6DD7">
            <w:pPr>
              <w:jc w:val="both"/>
              <w:rPr>
                <w:rFonts w:eastAsia="Times New Roman" w:cs="Times New Roman"/>
                <w:color w:val="000000"/>
                <w:szCs w:val="24"/>
              </w:rPr>
            </w:pPr>
            <w:r w:rsidRPr="007F0097">
              <w:rPr>
                <w:rFonts w:eastAsia="Times New Roman" w:cs="Times New Roman"/>
                <w:color w:val="000000"/>
                <w:szCs w:val="24"/>
              </w:rPr>
              <w:t>Injection: 5% in 250 ml, 1000 ml</w:t>
            </w:r>
          </w:p>
          <w:p w14:paraId="36266980" w14:textId="77777777" w:rsidR="0053427F" w:rsidRPr="007F0097" w:rsidRDefault="0053427F" w:rsidP="002D6DD7">
            <w:pPr>
              <w:jc w:val="both"/>
              <w:rPr>
                <w:rFonts w:eastAsia="Times New Roman" w:cs="Times New Roman"/>
                <w:color w:val="000000"/>
                <w:szCs w:val="24"/>
              </w:rPr>
            </w:pPr>
            <w:r w:rsidRPr="007F0097">
              <w:rPr>
                <w:rFonts w:eastAsia="Times New Roman" w:cs="Times New Roman"/>
                <w:color w:val="000000"/>
                <w:szCs w:val="24"/>
              </w:rPr>
              <w:t>Injection: 10% in 500 ml, 1000 ml</w:t>
            </w:r>
          </w:p>
          <w:p w14:paraId="7AAA3055" w14:textId="77777777" w:rsidR="0053427F" w:rsidRPr="007F0097" w:rsidRDefault="0053427F" w:rsidP="002D6DD7">
            <w:pPr>
              <w:jc w:val="both"/>
              <w:rPr>
                <w:rFonts w:cs="Times New Roman"/>
                <w:szCs w:val="24"/>
              </w:rPr>
            </w:pPr>
            <w:r w:rsidRPr="007F0097">
              <w:rPr>
                <w:rFonts w:eastAsia="Times New Roman" w:cs="Times New Roman"/>
                <w:color w:val="000000"/>
                <w:szCs w:val="24"/>
              </w:rPr>
              <w:t>Injection: 40% in 20 ml</w:t>
            </w:r>
          </w:p>
        </w:tc>
      </w:tr>
      <w:tr w:rsidR="0053427F" w:rsidRPr="007F0097" w14:paraId="2192AE24" w14:textId="77777777" w:rsidTr="002D6DD7">
        <w:tc>
          <w:tcPr>
            <w:tcW w:w="2695" w:type="dxa"/>
          </w:tcPr>
          <w:p w14:paraId="0AD4ECF6"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25935E3A" w14:textId="77777777" w:rsidR="0053427F" w:rsidRPr="007F0097" w:rsidRDefault="0053427F" w:rsidP="002D6DD7">
            <w:pPr>
              <w:jc w:val="both"/>
              <w:rPr>
                <w:rFonts w:cs="Times New Roman"/>
                <w:szCs w:val="24"/>
              </w:rPr>
            </w:pPr>
            <w:r w:rsidRPr="007F0097">
              <w:rPr>
                <w:rFonts w:cs="Times New Roman"/>
                <w:szCs w:val="24"/>
              </w:rPr>
              <w:t>Hypoglycemia, dehydration with hypoglycemia, carbohydrate source in parenteral nutrition, hyperkalemia (as part of an insulin-glucose combination), establish presence of gestational diabetes</w:t>
            </w:r>
            <w:r>
              <w:rPr>
                <w:rFonts w:cs="Times New Roman"/>
                <w:szCs w:val="24"/>
              </w:rPr>
              <w:t xml:space="preserve"> mellitus</w:t>
            </w:r>
            <w:r w:rsidRPr="007F0097">
              <w:rPr>
                <w:rFonts w:cs="Times New Roman"/>
                <w:szCs w:val="24"/>
              </w:rPr>
              <w:t>.</w:t>
            </w:r>
          </w:p>
        </w:tc>
      </w:tr>
      <w:tr w:rsidR="0053427F" w:rsidRPr="007F0097" w14:paraId="69F22520" w14:textId="77777777" w:rsidTr="002D6DD7">
        <w:tc>
          <w:tcPr>
            <w:tcW w:w="2695" w:type="dxa"/>
          </w:tcPr>
          <w:p w14:paraId="132F511B"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19472ADD" w14:textId="77777777" w:rsidR="0053427F" w:rsidRPr="00D06F64" w:rsidRDefault="0053427F" w:rsidP="002D6DD7">
            <w:pPr>
              <w:jc w:val="both"/>
              <w:rPr>
                <w:rFonts w:cs="Times New Roman"/>
                <w:bCs/>
                <w:szCs w:val="24"/>
              </w:rPr>
            </w:pPr>
            <w:r w:rsidRPr="009845B1">
              <w:rPr>
                <w:rFonts w:cs="Times New Roman"/>
                <w:b/>
                <w:bCs/>
                <w:szCs w:val="24"/>
              </w:rPr>
              <w:t>Hypoglycemia</w:t>
            </w:r>
            <w:r>
              <w:rPr>
                <w:rFonts w:cs="Times New Roman"/>
                <w:b/>
                <w:bCs/>
                <w:szCs w:val="24"/>
              </w:rPr>
              <w:t xml:space="preserve">, </w:t>
            </w:r>
            <w:r w:rsidR="00D06F64" w:rsidRPr="00D06F64">
              <w:rPr>
                <w:rFonts w:cs="Times New Roman"/>
                <w:bCs/>
                <w:szCs w:val="24"/>
              </w:rPr>
              <w:t>o</w:t>
            </w:r>
            <w:r w:rsidRPr="00D06F64">
              <w:rPr>
                <w:rFonts w:cs="Times New Roman"/>
                <w:bCs/>
                <w:szCs w:val="24"/>
              </w:rPr>
              <w:t>ral:</w:t>
            </w:r>
          </w:p>
          <w:p w14:paraId="5A4420A6" w14:textId="77777777" w:rsidR="0053427F" w:rsidRPr="00862075" w:rsidRDefault="0053427F" w:rsidP="002D6DD7">
            <w:pPr>
              <w:jc w:val="both"/>
              <w:rPr>
                <w:rFonts w:cs="Times New Roman"/>
                <w:szCs w:val="24"/>
              </w:rPr>
            </w:pPr>
            <w:r w:rsidRPr="009845B1">
              <w:rPr>
                <w:rFonts w:cs="Times New Roman"/>
                <w:b/>
                <w:bCs/>
                <w:szCs w:val="24"/>
              </w:rPr>
              <w:t xml:space="preserve">Adult and Child: </w:t>
            </w:r>
            <w:r w:rsidRPr="00862075">
              <w:rPr>
                <w:rFonts w:cs="Times New Roman"/>
                <w:szCs w:val="24"/>
              </w:rPr>
              <w:t>15-20 g of oral glucose solution. If not available, small sips of dextrose-containing fluids can be used.</w:t>
            </w:r>
          </w:p>
          <w:p w14:paraId="02A55B46" w14:textId="77777777" w:rsidR="0053427F" w:rsidRPr="007F0097" w:rsidRDefault="0053427F" w:rsidP="002D6DD7">
            <w:pPr>
              <w:jc w:val="both"/>
              <w:rPr>
                <w:rFonts w:cs="Times New Roman"/>
                <w:b/>
                <w:bCs/>
                <w:szCs w:val="24"/>
              </w:rPr>
            </w:pPr>
            <w:r w:rsidRPr="007F0097">
              <w:rPr>
                <w:rFonts w:cs="Times New Roman"/>
                <w:b/>
                <w:bCs/>
                <w:szCs w:val="24"/>
              </w:rPr>
              <w:t>Hypoglycemia</w:t>
            </w:r>
            <w:r>
              <w:rPr>
                <w:rFonts w:cs="Times New Roman"/>
                <w:b/>
                <w:bCs/>
                <w:szCs w:val="24"/>
              </w:rPr>
              <w:t>,</w:t>
            </w:r>
            <w:r w:rsidR="00D06F64">
              <w:rPr>
                <w:rFonts w:cs="Times New Roman"/>
                <w:b/>
                <w:bCs/>
                <w:szCs w:val="24"/>
              </w:rPr>
              <w:t xml:space="preserve"> </w:t>
            </w:r>
            <w:r w:rsidR="00D06F64" w:rsidRPr="00D06F64">
              <w:rPr>
                <w:rFonts w:cs="Times New Roman"/>
                <w:bCs/>
                <w:szCs w:val="24"/>
              </w:rPr>
              <w:t>p</w:t>
            </w:r>
            <w:r w:rsidRPr="00D06F64">
              <w:rPr>
                <w:rFonts w:cs="Times New Roman"/>
                <w:bCs/>
                <w:szCs w:val="24"/>
              </w:rPr>
              <w:t>arenteral:</w:t>
            </w:r>
          </w:p>
          <w:p w14:paraId="1CAB2D2D" w14:textId="77777777" w:rsidR="0053427F" w:rsidRPr="00C554FA" w:rsidRDefault="0053427F" w:rsidP="002D6DD7">
            <w:pPr>
              <w:jc w:val="both"/>
              <w:rPr>
                <w:rFonts w:cs="Times New Roman"/>
                <w:szCs w:val="24"/>
              </w:rPr>
            </w:pPr>
            <w:r w:rsidRPr="00C554FA">
              <w:rPr>
                <w:rFonts w:cs="Times New Roman"/>
                <w:b/>
                <w:bCs/>
                <w:szCs w:val="24"/>
              </w:rPr>
              <w:t>Adult:</w:t>
            </w:r>
            <w:r w:rsidRPr="00C554FA">
              <w:rPr>
                <w:rFonts w:cs="Times New Roman"/>
                <w:szCs w:val="24"/>
              </w:rPr>
              <w:t xml:space="preserve"> 10-25 g (20-50 ml of 50% solution) IV bolus. May repeat if necessary.</w:t>
            </w:r>
          </w:p>
          <w:p w14:paraId="6DF0D949" w14:textId="77777777" w:rsidR="0053427F" w:rsidRPr="00C554FA" w:rsidRDefault="0053427F" w:rsidP="002D6DD7">
            <w:pPr>
              <w:jc w:val="both"/>
              <w:rPr>
                <w:rFonts w:cs="Times New Roman"/>
                <w:szCs w:val="24"/>
              </w:rPr>
            </w:pPr>
            <w:r w:rsidRPr="00C554FA">
              <w:rPr>
                <w:rFonts w:cs="Times New Roman"/>
                <w:b/>
                <w:bCs/>
                <w:szCs w:val="24"/>
              </w:rPr>
              <w:t>Neonate:</w:t>
            </w:r>
            <w:r w:rsidRPr="00C554FA">
              <w:rPr>
                <w:rFonts w:cs="Times New Roman"/>
                <w:szCs w:val="24"/>
              </w:rPr>
              <w:t xml:space="preserve"> 200-500 mg/kg (2-5 ml/kg of 10% solution) IV bolus. May repeat if necessary.</w:t>
            </w:r>
          </w:p>
          <w:p w14:paraId="4BCCB05E" w14:textId="77777777" w:rsidR="0053427F" w:rsidRPr="007F0097" w:rsidRDefault="0053427F" w:rsidP="002D6DD7">
            <w:pPr>
              <w:jc w:val="both"/>
              <w:rPr>
                <w:rFonts w:cs="Times New Roman"/>
                <w:szCs w:val="24"/>
              </w:rPr>
            </w:pPr>
            <w:r w:rsidRPr="00C554FA">
              <w:rPr>
                <w:rFonts w:cs="Times New Roman"/>
                <w:b/>
                <w:bCs/>
                <w:szCs w:val="24"/>
              </w:rPr>
              <w:t>Infant and Child:</w:t>
            </w:r>
            <w:r w:rsidRPr="00C554FA">
              <w:rPr>
                <w:rFonts w:cs="Times New Roman"/>
                <w:szCs w:val="24"/>
              </w:rPr>
              <w:t xml:space="preserve"> 500-1000 mg/kg (2-4 ml/kg of 25% solution) IV bolus. May repeat if necessary.</w:t>
            </w:r>
          </w:p>
          <w:p w14:paraId="0696E0E4" w14:textId="77777777" w:rsidR="0053427F" w:rsidRPr="00447E04" w:rsidRDefault="0053427F" w:rsidP="002D6DD7">
            <w:pPr>
              <w:jc w:val="both"/>
              <w:rPr>
                <w:rFonts w:cs="Times New Roman"/>
                <w:b/>
                <w:bCs/>
                <w:szCs w:val="24"/>
              </w:rPr>
            </w:pPr>
            <w:r w:rsidRPr="00447E04">
              <w:rPr>
                <w:rFonts w:cs="Times New Roman"/>
                <w:b/>
                <w:bCs/>
                <w:szCs w:val="24"/>
              </w:rPr>
              <w:t>Carbohydrate Source in Parenteral Nutrition</w:t>
            </w:r>
            <w:r w:rsidR="00D06F64">
              <w:rPr>
                <w:rFonts w:cs="Times New Roman"/>
                <w:b/>
                <w:bCs/>
                <w:szCs w:val="24"/>
              </w:rPr>
              <w:t>:</w:t>
            </w:r>
          </w:p>
          <w:p w14:paraId="653E3D07" w14:textId="77777777" w:rsidR="0053427F" w:rsidRPr="00447E04" w:rsidRDefault="0053427F" w:rsidP="002D6DD7">
            <w:pPr>
              <w:jc w:val="both"/>
              <w:rPr>
                <w:rFonts w:cs="Times New Roman"/>
                <w:szCs w:val="24"/>
              </w:rPr>
            </w:pPr>
            <w:r w:rsidRPr="00447E04">
              <w:rPr>
                <w:rFonts w:cs="Times New Roman"/>
                <w:b/>
                <w:bCs/>
                <w:szCs w:val="24"/>
              </w:rPr>
              <w:t>Adult and Child:</w:t>
            </w:r>
            <w:r w:rsidRPr="00447E04">
              <w:rPr>
                <w:rFonts w:cs="Times New Roman"/>
                <w:szCs w:val="24"/>
              </w:rPr>
              <w:t xml:space="preserve"> Administer as part of a total parenteral nutrition (TPN) regimen. Dose individualized based on caloric requirements and clinical condition.</w:t>
            </w:r>
          </w:p>
          <w:p w14:paraId="1FB82A35" w14:textId="77777777" w:rsidR="0053427F" w:rsidRPr="00447E04" w:rsidRDefault="0053427F" w:rsidP="002D6DD7">
            <w:pPr>
              <w:jc w:val="both"/>
              <w:rPr>
                <w:rFonts w:cs="Times New Roman"/>
                <w:b/>
                <w:bCs/>
                <w:szCs w:val="24"/>
              </w:rPr>
            </w:pPr>
            <w:r w:rsidRPr="00447E04">
              <w:rPr>
                <w:rFonts w:cs="Times New Roman"/>
                <w:b/>
                <w:bCs/>
                <w:szCs w:val="24"/>
              </w:rPr>
              <w:t>Hyperkalemia (with insulin)</w:t>
            </w:r>
            <w:r w:rsidR="00D06F64">
              <w:rPr>
                <w:rFonts w:cs="Times New Roman"/>
                <w:b/>
                <w:bCs/>
                <w:szCs w:val="24"/>
              </w:rPr>
              <w:t>:</w:t>
            </w:r>
          </w:p>
          <w:p w14:paraId="773805F9" w14:textId="77777777" w:rsidR="0053427F" w:rsidRPr="00447E04" w:rsidRDefault="0053427F" w:rsidP="002D6DD7">
            <w:pPr>
              <w:jc w:val="both"/>
              <w:rPr>
                <w:rFonts w:cs="Times New Roman"/>
                <w:szCs w:val="24"/>
              </w:rPr>
            </w:pPr>
            <w:r w:rsidRPr="00447E04">
              <w:rPr>
                <w:rFonts w:cs="Times New Roman"/>
                <w:b/>
                <w:bCs/>
                <w:szCs w:val="24"/>
              </w:rPr>
              <w:t>Adult:</w:t>
            </w:r>
            <w:r w:rsidRPr="00447E04">
              <w:rPr>
                <w:rFonts w:cs="Times New Roman"/>
                <w:szCs w:val="24"/>
              </w:rPr>
              <w:t xml:space="preserve"> 25 g (50 ml of 50% solution) IV, followed by insulin administration as per protocol.</w:t>
            </w:r>
          </w:p>
          <w:p w14:paraId="3B4A0FAD" w14:textId="77777777" w:rsidR="0053427F" w:rsidRPr="00447E04" w:rsidRDefault="0053427F" w:rsidP="002D6DD7">
            <w:pPr>
              <w:jc w:val="both"/>
              <w:rPr>
                <w:rFonts w:cs="Times New Roman"/>
                <w:szCs w:val="24"/>
              </w:rPr>
            </w:pPr>
            <w:r w:rsidRPr="00447E04">
              <w:rPr>
                <w:rFonts w:cs="Times New Roman"/>
                <w:b/>
                <w:bCs/>
                <w:szCs w:val="24"/>
              </w:rPr>
              <w:t>Child:</w:t>
            </w:r>
            <w:r w:rsidRPr="00447E04">
              <w:rPr>
                <w:rFonts w:cs="Times New Roman"/>
                <w:szCs w:val="24"/>
              </w:rPr>
              <w:t xml:space="preserve"> 500</w:t>
            </w:r>
            <w:r>
              <w:rPr>
                <w:rFonts w:cs="Times New Roman"/>
                <w:szCs w:val="24"/>
              </w:rPr>
              <w:t>mg</w:t>
            </w:r>
            <w:r w:rsidRPr="00447E04">
              <w:rPr>
                <w:rFonts w:cs="Times New Roman"/>
                <w:szCs w:val="24"/>
              </w:rPr>
              <w:t>-1</w:t>
            </w:r>
            <w:r>
              <w:rPr>
                <w:rFonts w:cs="Times New Roman"/>
                <w:szCs w:val="24"/>
              </w:rPr>
              <w:t>g</w:t>
            </w:r>
            <w:r w:rsidRPr="00447E04">
              <w:rPr>
                <w:rFonts w:cs="Times New Roman"/>
                <w:szCs w:val="24"/>
              </w:rPr>
              <w:t xml:space="preserve">/kg (2-4 ml/kg of 25% solution) IV, followed by </w:t>
            </w:r>
            <w:r w:rsidRPr="00447E04">
              <w:rPr>
                <w:rFonts w:cs="Times New Roman"/>
                <w:szCs w:val="24"/>
              </w:rPr>
              <w:lastRenderedPageBreak/>
              <w:t>insulin administration as per protocol.</w:t>
            </w:r>
          </w:p>
          <w:p w14:paraId="2348412E" w14:textId="77777777" w:rsidR="0053427F" w:rsidRPr="00447E04" w:rsidRDefault="0053427F" w:rsidP="002D6DD7">
            <w:pPr>
              <w:jc w:val="both"/>
              <w:rPr>
                <w:rFonts w:cs="Times New Roman"/>
                <w:b/>
                <w:bCs/>
                <w:szCs w:val="24"/>
              </w:rPr>
            </w:pPr>
            <w:r w:rsidRPr="00447E04">
              <w:rPr>
                <w:rFonts w:cs="Times New Roman"/>
                <w:b/>
                <w:bCs/>
                <w:szCs w:val="24"/>
              </w:rPr>
              <w:t>Establishing presence of gestational diabetes</w:t>
            </w:r>
            <w:r w:rsidR="00D06F64">
              <w:rPr>
                <w:rFonts w:cs="Times New Roman"/>
                <w:b/>
                <w:bCs/>
                <w:szCs w:val="24"/>
              </w:rPr>
              <w:t>:</w:t>
            </w:r>
          </w:p>
          <w:p w14:paraId="25F959AE" w14:textId="77777777" w:rsidR="0053427F" w:rsidRPr="007F0097" w:rsidRDefault="0053427F" w:rsidP="002D6DD7">
            <w:pPr>
              <w:jc w:val="both"/>
              <w:rPr>
                <w:rFonts w:cs="Times New Roman"/>
                <w:szCs w:val="24"/>
              </w:rPr>
            </w:pPr>
            <w:r w:rsidRPr="00447E04">
              <w:rPr>
                <w:rFonts w:cs="Times New Roman"/>
                <w:b/>
                <w:bCs/>
                <w:szCs w:val="24"/>
              </w:rPr>
              <w:t>Adult:</w:t>
            </w:r>
            <w:r w:rsidRPr="00447E04">
              <w:rPr>
                <w:rFonts w:cs="Times New Roman"/>
                <w:szCs w:val="24"/>
              </w:rPr>
              <w:t xml:space="preserve"> Test dose of 75 g anhydrous glucose to be given to the fasting patient by mouth, with blood glucose concentrations measured at intervals. To be given with 200–300 ml of fluid.</w:t>
            </w:r>
          </w:p>
        </w:tc>
      </w:tr>
      <w:tr w:rsidR="0053427F" w:rsidRPr="007F0097" w14:paraId="3F28BF96" w14:textId="77777777" w:rsidTr="002D6DD7">
        <w:tc>
          <w:tcPr>
            <w:tcW w:w="2695" w:type="dxa"/>
          </w:tcPr>
          <w:p w14:paraId="09873051"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22555849" w14:textId="77777777" w:rsidR="0053427F" w:rsidRPr="007F0097" w:rsidRDefault="0053427F" w:rsidP="002D6DD7">
            <w:pPr>
              <w:jc w:val="both"/>
              <w:rPr>
                <w:rFonts w:cs="Times New Roman"/>
                <w:szCs w:val="24"/>
              </w:rPr>
            </w:pPr>
            <w:r>
              <w:rPr>
                <w:rFonts w:cs="Times New Roman"/>
                <w:szCs w:val="24"/>
              </w:rPr>
              <w:t>H</w:t>
            </w:r>
            <w:r w:rsidRPr="007F0097">
              <w:rPr>
                <w:rFonts w:cs="Times New Roman"/>
                <w:szCs w:val="24"/>
              </w:rPr>
              <w:t xml:space="preserve">ypersensitivity to the </w:t>
            </w:r>
            <w:r>
              <w:rPr>
                <w:rFonts w:cs="Times New Roman"/>
                <w:szCs w:val="24"/>
              </w:rPr>
              <w:t>drug, u</w:t>
            </w:r>
            <w:r w:rsidRPr="007F0097">
              <w:rPr>
                <w:rFonts w:cs="Times New Roman"/>
                <w:szCs w:val="24"/>
              </w:rPr>
              <w:t>ncompensated diabetes and diabetes insipidus</w:t>
            </w:r>
            <w:r>
              <w:rPr>
                <w:rFonts w:cs="Times New Roman"/>
                <w:szCs w:val="24"/>
              </w:rPr>
              <w:t>,</w:t>
            </w:r>
            <w:r w:rsidRPr="007F0097">
              <w:rPr>
                <w:rFonts w:cs="Times New Roman"/>
                <w:szCs w:val="24"/>
              </w:rPr>
              <w:t xml:space="preserve"> hyperosmolar coma</w:t>
            </w:r>
            <w:r>
              <w:rPr>
                <w:rFonts w:cs="Times New Roman"/>
                <w:szCs w:val="24"/>
              </w:rPr>
              <w:t>,</w:t>
            </w:r>
            <w:r w:rsidRPr="007F0097">
              <w:rPr>
                <w:rFonts w:cs="Times New Roman"/>
                <w:szCs w:val="24"/>
              </w:rPr>
              <w:t xml:space="preserve"> hemodilution and extracellular hyperhydration or hypervolemia</w:t>
            </w:r>
            <w:r>
              <w:rPr>
                <w:rFonts w:cs="Times New Roman"/>
                <w:szCs w:val="24"/>
              </w:rPr>
              <w:t>,</w:t>
            </w:r>
            <w:r w:rsidRPr="007F0097">
              <w:rPr>
                <w:rFonts w:cs="Times New Roman"/>
                <w:szCs w:val="24"/>
              </w:rPr>
              <w:t xml:space="preserve"> hyperglycemia and hyperlactatemia</w:t>
            </w:r>
            <w:r>
              <w:rPr>
                <w:rFonts w:cs="Times New Roman"/>
                <w:szCs w:val="24"/>
              </w:rPr>
              <w:t>,</w:t>
            </w:r>
            <w:r w:rsidRPr="007F0097">
              <w:rPr>
                <w:rFonts w:cs="Times New Roman"/>
                <w:szCs w:val="24"/>
              </w:rPr>
              <w:t xml:space="preserve"> severe renal insufficiency</w:t>
            </w:r>
            <w:r>
              <w:rPr>
                <w:rFonts w:cs="Times New Roman"/>
                <w:szCs w:val="24"/>
              </w:rPr>
              <w:t xml:space="preserve">, </w:t>
            </w:r>
            <w:r w:rsidRPr="007F0097">
              <w:rPr>
                <w:rFonts w:cs="Times New Roman"/>
                <w:szCs w:val="24"/>
              </w:rPr>
              <w:t>uncompensated cardiac failure</w:t>
            </w:r>
            <w:r>
              <w:rPr>
                <w:rFonts w:cs="Times New Roman"/>
                <w:szCs w:val="24"/>
              </w:rPr>
              <w:t>,</w:t>
            </w:r>
            <w:r w:rsidRPr="007F0097">
              <w:rPr>
                <w:rFonts w:cs="Times New Roman"/>
                <w:szCs w:val="24"/>
              </w:rPr>
              <w:t xml:space="preserve"> general edema</w:t>
            </w:r>
            <w:r>
              <w:rPr>
                <w:rFonts w:cs="Times New Roman"/>
                <w:szCs w:val="24"/>
              </w:rPr>
              <w:t>,</w:t>
            </w:r>
            <w:r w:rsidRPr="007F0097">
              <w:rPr>
                <w:rFonts w:cs="Times New Roman"/>
                <w:szCs w:val="24"/>
              </w:rPr>
              <w:t xml:space="preserve"> ascitic cirrhosis</w:t>
            </w:r>
            <w:r>
              <w:rPr>
                <w:rFonts w:cs="Times New Roman"/>
                <w:szCs w:val="24"/>
              </w:rPr>
              <w:t>,</w:t>
            </w:r>
            <w:r w:rsidRPr="007F0097">
              <w:rPr>
                <w:rFonts w:cs="Times New Roman"/>
                <w:szCs w:val="24"/>
              </w:rPr>
              <w:t xml:space="preserve"> known glucose intolerance</w:t>
            </w:r>
            <w:r>
              <w:rPr>
                <w:rFonts w:cs="Times New Roman"/>
                <w:szCs w:val="24"/>
              </w:rPr>
              <w:t>s</w:t>
            </w:r>
          </w:p>
        </w:tc>
      </w:tr>
      <w:tr w:rsidR="0053427F" w:rsidRPr="007F0097" w14:paraId="719D4FE4" w14:textId="77777777" w:rsidTr="002D6DD7">
        <w:tc>
          <w:tcPr>
            <w:tcW w:w="2695" w:type="dxa"/>
          </w:tcPr>
          <w:p w14:paraId="194AB9E2"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62C9C527" w14:textId="77777777" w:rsidR="0053427F" w:rsidRPr="007F0097" w:rsidRDefault="0053427F" w:rsidP="002D6DD7">
            <w:pPr>
              <w:jc w:val="both"/>
              <w:rPr>
                <w:rFonts w:cs="Times New Roman"/>
                <w:szCs w:val="24"/>
              </w:rPr>
            </w:pPr>
            <w:r w:rsidRPr="007F0097">
              <w:rPr>
                <w:rFonts w:cs="Times New Roman"/>
                <w:szCs w:val="24"/>
              </w:rPr>
              <w:t>Catecholamines, steroids, other substances that affect glycemic control or fluid and/or electrolyte balance</w:t>
            </w:r>
          </w:p>
        </w:tc>
      </w:tr>
      <w:tr w:rsidR="0053427F" w:rsidRPr="007F0097" w14:paraId="748ABD41" w14:textId="77777777" w:rsidTr="002D6DD7">
        <w:tc>
          <w:tcPr>
            <w:tcW w:w="2695" w:type="dxa"/>
          </w:tcPr>
          <w:p w14:paraId="3B0EDF28"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4493C8CA" w14:textId="77777777" w:rsidR="0053427F" w:rsidRPr="007F0097" w:rsidRDefault="0053427F" w:rsidP="002D6DD7">
            <w:pPr>
              <w:jc w:val="both"/>
              <w:rPr>
                <w:rFonts w:cs="Times New Roman"/>
                <w:szCs w:val="24"/>
              </w:rPr>
            </w:pPr>
            <w:r w:rsidRPr="007F0097">
              <w:rPr>
                <w:rFonts w:cs="Times New Roman"/>
                <w:szCs w:val="24"/>
              </w:rPr>
              <w:t>Venous irritation and thrombophlebitis (especially if hypertonic), fluid and electrolyte disturbances, hyperglycemia, edema or water intoxication</w:t>
            </w:r>
          </w:p>
        </w:tc>
      </w:tr>
      <w:tr w:rsidR="0053427F" w:rsidRPr="007F0097" w14:paraId="31DFDC9E" w14:textId="77777777" w:rsidTr="002D6DD7">
        <w:tc>
          <w:tcPr>
            <w:tcW w:w="2695" w:type="dxa"/>
          </w:tcPr>
          <w:p w14:paraId="098B5895"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41D20A3F" w14:textId="77777777" w:rsidR="0053427F" w:rsidRPr="007F0097" w:rsidRDefault="0053427F" w:rsidP="002D6DD7">
            <w:pPr>
              <w:jc w:val="both"/>
              <w:rPr>
                <w:rFonts w:cs="Times New Roman"/>
                <w:szCs w:val="24"/>
              </w:rPr>
            </w:pPr>
            <w:r>
              <w:rPr>
                <w:rFonts w:cs="Times New Roman"/>
                <w:szCs w:val="24"/>
              </w:rPr>
              <w:t>Pre-existing h</w:t>
            </w:r>
            <w:r w:rsidRPr="007F0097">
              <w:rPr>
                <w:rFonts w:cs="Times New Roman"/>
                <w:szCs w:val="24"/>
              </w:rPr>
              <w:t>yperglycemia, electrolyte imbalance, intracranial hemorrhage</w:t>
            </w:r>
            <w:r>
              <w:rPr>
                <w:rFonts w:cs="Times New Roman"/>
                <w:szCs w:val="24"/>
              </w:rPr>
              <w:t>, prolonged use, rapid infusion</w:t>
            </w:r>
          </w:p>
        </w:tc>
      </w:tr>
      <w:tr w:rsidR="0053427F" w:rsidRPr="007F0097" w14:paraId="50B4CFCA" w14:textId="77777777" w:rsidTr="002D6DD7">
        <w:tc>
          <w:tcPr>
            <w:tcW w:w="2695" w:type="dxa"/>
          </w:tcPr>
          <w:p w14:paraId="741F690B"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740DCE6B" w14:textId="77777777" w:rsidR="0053427F" w:rsidRPr="007F0097" w:rsidRDefault="0053427F" w:rsidP="002D6DD7">
            <w:pPr>
              <w:jc w:val="both"/>
              <w:rPr>
                <w:rFonts w:cs="Times New Roman"/>
                <w:szCs w:val="24"/>
              </w:rPr>
            </w:pPr>
            <w:r w:rsidRPr="007F0097">
              <w:rPr>
                <w:rFonts w:cs="Times New Roman"/>
                <w:szCs w:val="24"/>
              </w:rPr>
              <w:t>Store below 30C</w:t>
            </w:r>
            <w:r w:rsidRPr="007F0097">
              <w:rPr>
                <w:rFonts w:cs="Times New Roman"/>
                <w:szCs w:val="24"/>
                <w:vertAlign w:val="superscript"/>
              </w:rPr>
              <w:t>0</w:t>
            </w:r>
            <w:r w:rsidRPr="007F0097">
              <w:rPr>
                <w:rFonts w:cs="Times New Roman"/>
                <w:szCs w:val="24"/>
              </w:rPr>
              <w:t>. Protect from humidity.</w:t>
            </w:r>
          </w:p>
        </w:tc>
      </w:tr>
      <w:tr w:rsidR="0053427F" w:rsidRPr="007F0097" w14:paraId="2A9C37F8" w14:textId="77777777" w:rsidTr="002D6DD7">
        <w:tc>
          <w:tcPr>
            <w:tcW w:w="9355" w:type="dxa"/>
            <w:gridSpan w:val="2"/>
          </w:tcPr>
          <w:p w14:paraId="43944808" w14:textId="77777777" w:rsidR="0053427F" w:rsidRPr="007F0097" w:rsidRDefault="0053427F" w:rsidP="002D6DD7">
            <w:pPr>
              <w:jc w:val="both"/>
              <w:rPr>
                <w:rFonts w:cs="Times New Roman"/>
                <w:b/>
                <w:bCs/>
                <w:szCs w:val="24"/>
                <w:highlight w:val="cyan"/>
              </w:rPr>
            </w:pPr>
            <w:bookmarkStart w:id="170" w:name="_Toc168320664"/>
            <w:r w:rsidRPr="007F0097">
              <w:rPr>
                <w:rFonts w:cs="Times New Roman"/>
                <w:b/>
                <w:bCs/>
                <w:szCs w:val="24"/>
              </w:rPr>
              <w:t>Dextrose in normal saline</w:t>
            </w:r>
            <w:bookmarkEnd w:id="170"/>
          </w:p>
        </w:tc>
      </w:tr>
      <w:tr w:rsidR="0053427F" w:rsidRPr="007F0097" w14:paraId="2FADF40D" w14:textId="77777777" w:rsidTr="002D6DD7">
        <w:tc>
          <w:tcPr>
            <w:tcW w:w="2695" w:type="dxa"/>
          </w:tcPr>
          <w:p w14:paraId="461BEF7F"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38BFC323" w14:textId="77777777" w:rsidR="0053427F" w:rsidRPr="007F0097" w:rsidRDefault="0053427F" w:rsidP="002D6DD7">
            <w:pPr>
              <w:jc w:val="both"/>
              <w:rPr>
                <w:rFonts w:cs="Times New Roman"/>
                <w:szCs w:val="24"/>
              </w:rPr>
            </w:pPr>
            <w:r w:rsidRPr="007F0097">
              <w:rPr>
                <w:rFonts w:cs="Times New Roman"/>
                <w:szCs w:val="24"/>
              </w:rPr>
              <w:t>Carbohydrate (parenteral nutrition and fluid replacement)</w:t>
            </w:r>
          </w:p>
        </w:tc>
      </w:tr>
      <w:tr w:rsidR="0053427F" w:rsidRPr="007F0097" w14:paraId="1F297DC5" w14:textId="77777777" w:rsidTr="002D6DD7">
        <w:tc>
          <w:tcPr>
            <w:tcW w:w="2695" w:type="dxa"/>
          </w:tcPr>
          <w:p w14:paraId="3F786480"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08B44ACF" w14:textId="77777777" w:rsidR="0053427F" w:rsidRPr="007F0097" w:rsidRDefault="0053427F" w:rsidP="002D6DD7">
            <w:pPr>
              <w:jc w:val="both"/>
              <w:rPr>
                <w:rFonts w:cs="Times New Roman"/>
                <w:szCs w:val="24"/>
              </w:rPr>
            </w:pPr>
            <w:r w:rsidRPr="007F0097">
              <w:rPr>
                <w:rFonts w:cs="Times New Roman"/>
                <w:szCs w:val="24"/>
              </w:rPr>
              <w:t>Injection: 5% dextrose in 500 ml, 1000 ml normal saline</w:t>
            </w:r>
          </w:p>
          <w:p w14:paraId="07A6A58B" w14:textId="77777777" w:rsidR="0053427F" w:rsidRPr="007F0097" w:rsidRDefault="0053427F" w:rsidP="002D6DD7">
            <w:pPr>
              <w:jc w:val="both"/>
              <w:rPr>
                <w:rFonts w:cs="Times New Roman"/>
                <w:szCs w:val="24"/>
              </w:rPr>
            </w:pPr>
            <w:r w:rsidRPr="007F0097">
              <w:rPr>
                <w:rFonts w:cs="Times New Roman"/>
                <w:szCs w:val="24"/>
              </w:rPr>
              <w:t>Injection: 10% dextrose in 500 ml, 1000 ml normal saline</w:t>
            </w:r>
          </w:p>
        </w:tc>
      </w:tr>
      <w:tr w:rsidR="0053427F" w:rsidRPr="007F0097" w14:paraId="0CCE2D72" w14:textId="77777777" w:rsidTr="002D6DD7">
        <w:tc>
          <w:tcPr>
            <w:tcW w:w="2695" w:type="dxa"/>
          </w:tcPr>
          <w:p w14:paraId="15CAB1DB"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1C15D662" w14:textId="77777777" w:rsidR="0053427F" w:rsidRPr="007F0097" w:rsidRDefault="0053427F" w:rsidP="002D6DD7">
            <w:pPr>
              <w:jc w:val="both"/>
              <w:rPr>
                <w:rFonts w:cs="Times New Roman"/>
                <w:szCs w:val="24"/>
              </w:rPr>
            </w:pPr>
            <w:r w:rsidRPr="007F0097">
              <w:rPr>
                <w:rFonts w:cs="Times New Roman"/>
                <w:szCs w:val="24"/>
              </w:rPr>
              <w:t xml:space="preserve">Dehydration with hypoglycemia, fluid replacement, electrolyte imbalances, parenteral nutrition support, postoperative fluid management, treatment of mild to moderate hypoglycemia. </w:t>
            </w:r>
          </w:p>
        </w:tc>
      </w:tr>
      <w:tr w:rsidR="0053427F" w:rsidRPr="007F0097" w14:paraId="165F8098" w14:textId="77777777" w:rsidTr="002D6DD7">
        <w:tc>
          <w:tcPr>
            <w:tcW w:w="2695" w:type="dxa"/>
          </w:tcPr>
          <w:p w14:paraId="5CB21899"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3766898A" w14:textId="77777777" w:rsidR="0053427F" w:rsidRPr="00963B83" w:rsidRDefault="0053427F" w:rsidP="002D6DD7">
            <w:pPr>
              <w:jc w:val="both"/>
              <w:rPr>
                <w:rFonts w:cs="Times New Roman"/>
                <w:b/>
                <w:bCs/>
                <w:szCs w:val="24"/>
              </w:rPr>
            </w:pPr>
            <w:r w:rsidRPr="00963B83">
              <w:rPr>
                <w:rFonts w:cs="Times New Roman"/>
                <w:b/>
                <w:bCs/>
                <w:szCs w:val="24"/>
              </w:rPr>
              <w:t xml:space="preserve">Dehydration with </w:t>
            </w:r>
            <w:r w:rsidR="00D06F64">
              <w:rPr>
                <w:rFonts w:cs="Times New Roman"/>
                <w:b/>
                <w:bCs/>
                <w:szCs w:val="24"/>
              </w:rPr>
              <w:t>hypoglycaemia:</w:t>
            </w:r>
          </w:p>
          <w:p w14:paraId="73B73272" w14:textId="77777777" w:rsidR="0053427F" w:rsidRPr="00963B83" w:rsidRDefault="0053427F" w:rsidP="002D6DD7">
            <w:pPr>
              <w:jc w:val="both"/>
              <w:rPr>
                <w:rFonts w:cs="Times New Roman"/>
                <w:szCs w:val="24"/>
              </w:rPr>
            </w:pPr>
            <w:r w:rsidRPr="00963B83">
              <w:rPr>
                <w:rFonts w:cs="Times New Roman"/>
                <w:b/>
                <w:bCs/>
                <w:szCs w:val="24"/>
              </w:rPr>
              <w:t>Adult:</w:t>
            </w:r>
            <w:r w:rsidRPr="00963B83">
              <w:rPr>
                <w:rFonts w:cs="Times New Roman"/>
                <w:szCs w:val="24"/>
              </w:rPr>
              <w:t xml:space="preserve"> 500-1000 ml IV as needed based on clinical condition. Infuse at a rate appropriate for the patient’s fluid and glucose needs.</w:t>
            </w:r>
          </w:p>
          <w:p w14:paraId="56172BE9" w14:textId="77777777" w:rsidR="0053427F" w:rsidRPr="00963B83" w:rsidRDefault="0053427F" w:rsidP="002D6DD7">
            <w:pPr>
              <w:jc w:val="both"/>
              <w:rPr>
                <w:rFonts w:cs="Times New Roman"/>
                <w:szCs w:val="24"/>
              </w:rPr>
            </w:pPr>
            <w:r w:rsidRPr="00963B83">
              <w:rPr>
                <w:rFonts w:cs="Times New Roman"/>
                <w:b/>
                <w:bCs/>
                <w:szCs w:val="24"/>
              </w:rPr>
              <w:t>Child:</w:t>
            </w:r>
            <w:r w:rsidRPr="00963B83">
              <w:rPr>
                <w:rFonts w:cs="Times New Roman"/>
                <w:szCs w:val="24"/>
              </w:rPr>
              <w:t xml:space="preserve"> 10-20 ml/kg IV as needed based on clinical condition. </w:t>
            </w:r>
            <w:r w:rsidRPr="00963B83">
              <w:rPr>
                <w:rFonts w:cs="Times New Roman"/>
                <w:szCs w:val="24"/>
              </w:rPr>
              <w:lastRenderedPageBreak/>
              <w:t>Adjust rate according to the child’s fluid and glucose needs.</w:t>
            </w:r>
          </w:p>
          <w:p w14:paraId="51FC6415" w14:textId="77777777" w:rsidR="0053427F" w:rsidRPr="00963B83" w:rsidRDefault="0053427F" w:rsidP="002D6DD7">
            <w:pPr>
              <w:jc w:val="both"/>
              <w:rPr>
                <w:rFonts w:cs="Times New Roman"/>
                <w:b/>
                <w:bCs/>
                <w:szCs w:val="24"/>
              </w:rPr>
            </w:pPr>
            <w:r w:rsidRPr="00963B83">
              <w:rPr>
                <w:rFonts w:cs="Times New Roman"/>
                <w:b/>
                <w:bCs/>
                <w:szCs w:val="24"/>
              </w:rPr>
              <w:t>Fluid Replacement</w:t>
            </w:r>
            <w:r w:rsidR="00D06F64">
              <w:rPr>
                <w:rFonts w:cs="Times New Roman"/>
                <w:b/>
                <w:bCs/>
                <w:szCs w:val="24"/>
              </w:rPr>
              <w:t>:</w:t>
            </w:r>
          </w:p>
          <w:p w14:paraId="5A985CAF" w14:textId="77777777" w:rsidR="0053427F" w:rsidRPr="00963B83" w:rsidRDefault="0053427F" w:rsidP="002D6DD7">
            <w:pPr>
              <w:jc w:val="both"/>
              <w:rPr>
                <w:rFonts w:cs="Times New Roman"/>
                <w:szCs w:val="24"/>
              </w:rPr>
            </w:pPr>
            <w:r w:rsidRPr="00963B83">
              <w:rPr>
                <w:rFonts w:cs="Times New Roman"/>
                <w:b/>
                <w:bCs/>
                <w:szCs w:val="24"/>
              </w:rPr>
              <w:t>Adult:</w:t>
            </w:r>
            <w:r w:rsidRPr="00963B83">
              <w:rPr>
                <w:rFonts w:cs="Times New Roman"/>
                <w:szCs w:val="24"/>
              </w:rPr>
              <w:t xml:space="preserve"> 500-1000 ml IV over 1-2 hours or as needed based on clinical condition. Adjust rate according to patient’s fluid status and clinical response.</w:t>
            </w:r>
          </w:p>
          <w:p w14:paraId="2228845C" w14:textId="77777777" w:rsidR="0053427F" w:rsidRPr="00963B83" w:rsidRDefault="0053427F" w:rsidP="002D6DD7">
            <w:pPr>
              <w:jc w:val="both"/>
              <w:rPr>
                <w:rFonts w:cs="Times New Roman"/>
                <w:szCs w:val="24"/>
              </w:rPr>
            </w:pPr>
            <w:r w:rsidRPr="00963B83">
              <w:rPr>
                <w:rFonts w:cs="Times New Roman"/>
                <w:b/>
                <w:bCs/>
                <w:szCs w:val="24"/>
              </w:rPr>
              <w:t>Child:</w:t>
            </w:r>
            <w:r w:rsidRPr="00963B83">
              <w:rPr>
                <w:rFonts w:cs="Times New Roman"/>
                <w:szCs w:val="24"/>
              </w:rPr>
              <w:t xml:space="preserve"> 10-20 ml/kg IV over 1-2 hours or as needed based on clinical condition. Adjust rate according to the child’s fluid status and clinical response.</w:t>
            </w:r>
          </w:p>
          <w:p w14:paraId="076A8EA6" w14:textId="77777777" w:rsidR="0053427F" w:rsidRPr="00963B83" w:rsidRDefault="0053427F" w:rsidP="002D6DD7">
            <w:pPr>
              <w:jc w:val="both"/>
              <w:rPr>
                <w:rFonts w:cs="Times New Roman"/>
                <w:b/>
                <w:bCs/>
                <w:szCs w:val="24"/>
              </w:rPr>
            </w:pPr>
            <w:r w:rsidRPr="00963B83">
              <w:rPr>
                <w:rFonts w:cs="Times New Roman"/>
                <w:b/>
                <w:bCs/>
                <w:szCs w:val="24"/>
              </w:rPr>
              <w:t>Postoperative Fluid Management</w:t>
            </w:r>
            <w:r w:rsidR="00D06F64">
              <w:rPr>
                <w:rFonts w:cs="Times New Roman"/>
                <w:b/>
                <w:bCs/>
                <w:szCs w:val="24"/>
              </w:rPr>
              <w:t>:</w:t>
            </w:r>
          </w:p>
          <w:p w14:paraId="1DEF25E3" w14:textId="77777777" w:rsidR="0053427F" w:rsidRPr="00963B83" w:rsidRDefault="0053427F" w:rsidP="002D6DD7">
            <w:pPr>
              <w:jc w:val="both"/>
              <w:rPr>
                <w:rFonts w:cs="Times New Roman"/>
                <w:szCs w:val="24"/>
              </w:rPr>
            </w:pPr>
            <w:r w:rsidRPr="00963B83">
              <w:rPr>
                <w:rFonts w:cs="Times New Roman"/>
                <w:b/>
                <w:bCs/>
                <w:szCs w:val="24"/>
              </w:rPr>
              <w:t>Adult:</w:t>
            </w:r>
            <w:r w:rsidRPr="00963B83">
              <w:rPr>
                <w:rFonts w:cs="Times New Roman"/>
                <w:szCs w:val="24"/>
              </w:rPr>
              <w:t xml:space="preserve"> 500-1000 ml IV as needed to maintain hydration and electrolyte balance. Infuse at a rate appropriate for the patient’s needs.</w:t>
            </w:r>
          </w:p>
          <w:p w14:paraId="7A8D360D" w14:textId="77777777" w:rsidR="0053427F" w:rsidRPr="00963B83" w:rsidRDefault="0053427F" w:rsidP="002D6DD7">
            <w:pPr>
              <w:jc w:val="both"/>
              <w:rPr>
                <w:rFonts w:cs="Times New Roman"/>
                <w:szCs w:val="24"/>
              </w:rPr>
            </w:pPr>
            <w:r w:rsidRPr="00963B83">
              <w:rPr>
                <w:rFonts w:cs="Times New Roman"/>
                <w:b/>
                <w:bCs/>
                <w:szCs w:val="24"/>
              </w:rPr>
              <w:t>Child:</w:t>
            </w:r>
            <w:r w:rsidRPr="00963B83">
              <w:rPr>
                <w:rFonts w:cs="Times New Roman"/>
                <w:szCs w:val="24"/>
              </w:rPr>
              <w:t xml:space="preserve"> 10-20 ml/kg IV as needed to maintain hydration and electrolyte balance. Infuse at a rate appropriate for the child’s needs.</w:t>
            </w:r>
          </w:p>
        </w:tc>
      </w:tr>
      <w:tr w:rsidR="0053427F" w:rsidRPr="007F0097" w14:paraId="1DE555EB" w14:textId="77777777" w:rsidTr="002D6DD7">
        <w:trPr>
          <w:trHeight w:val="36"/>
        </w:trPr>
        <w:tc>
          <w:tcPr>
            <w:tcW w:w="2695" w:type="dxa"/>
          </w:tcPr>
          <w:p w14:paraId="68D50209"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4EBC03A9" w14:textId="77777777" w:rsidR="0053427F" w:rsidRPr="007F0097" w:rsidRDefault="0053427F" w:rsidP="002D6DD7">
            <w:pPr>
              <w:jc w:val="both"/>
              <w:rPr>
                <w:rFonts w:cs="Times New Roman"/>
                <w:szCs w:val="24"/>
              </w:rPr>
            </w:pPr>
            <w:r>
              <w:rPr>
                <w:rFonts w:cs="Times New Roman"/>
                <w:color w:val="040C28"/>
                <w:szCs w:val="24"/>
              </w:rPr>
              <w:t>H</w:t>
            </w:r>
            <w:r w:rsidRPr="007F0097">
              <w:rPr>
                <w:rFonts w:cs="Times New Roman"/>
                <w:color w:val="040C28"/>
                <w:szCs w:val="24"/>
              </w:rPr>
              <w:t xml:space="preserve">ypersensitivity to </w:t>
            </w:r>
            <w:r>
              <w:rPr>
                <w:rFonts w:cs="Times New Roman"/>
                <w:color w:val="040C28"/>
                <w:szCs w:val="24"/>
              </w:rPr>
              <w:t>the drug</w:t>
            </w:r>
            <w:r w:rsidRPr="007F0097">
              <w:rPr>
                <w:rFonts w:cs="Times New Roman"/>
                <w:color w:val="040C28"/>
                <w:szCs w:val="24"/>
              </w:rPr>
              <w:t xml:space="preserve"> and/or sodium chloride</w:t>
            </w:r>
            <w:r w:rsidRPr="007F0097">
              <w:rPr>
                <w:rFonts w:cs="Times New Roman"/>
                <w:szCs w:val="24"/>
              </w:rPr>
              <w:t xml:space="preserve">. </w:t>
            </w:r>
          </w:p>
        </w:tc>
      </w:tr>
      <w:tr w:rsidR="0053427F" w:rsidRPr="007F0097" w14:paraId="20C460A1" w14:textId="77777777" w:rsidTr="002D6DD7">
        <w:tc>
          <w:tcPr>
            <w:tcW w:w="2695" w:type="dxa"/>
          </w:tcPr>
          <w:p w14:paraId="021DE4F4"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4FE50A2E" w14:textId="77777777" w:rsidR="0053427F" w:rsidRPr="007F0097" w:rsidRDefault="0053427F" w:rsidP="002D6DD7">
            <w:pPr>
              <w:jc w:val="both"/>
              <w:rPr>
                <w:rFonts w:cs="Times New Roman"/>
                <w:szCs w:val="24"/>
              </w:rPr>
            </w:pPr>
            <w:r w:rsidRPr="007F0097">
              <w:rPr>
                <w:rFonts w:cs="Times New Roman"/>
                <w:szCs w:val="24"/>
              </w:rPr>
              <w:t>No known</w:t>
            </w:r>
            <w:r>
              <w:rPr>
                <w:rFonts w:cs="Times New Roman"/>
                <w:szCs w:val="24"/>
              </w:rPr>
              <w:t xml:space="preserve"> significant</w:t>
            </w:r>
            <w:r w:rsidRPr="007F0097">
              <w:rPr>
                <w:rFonts w:cs="Times New Roman"/>
                <w:szCs w:val="24"/>
              </w:rPr>
              <w:t xml:space="preserve"> interactions</w:t>
            </w:r>
          </w:p>
        </w:tc>
      </w:tr>
      <w:tr w:rsidR="0053427F" w:rsidRPr="007F0097" w14:paraId="576592FD" w14:textId="77777777" w:rsidTr="002D6DD7">
        <w:tc>
          <w:tcPr>
            <w:tcW w:w="2695" w:type="dxa"/>
          </w:tcPr>
          <w:p w14:paraId="28BBC9C5"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473856C5" w14:textId="77777777" w:rsidR="0053427F" w:rsidRPr="007F0097" w:rsidRDefault="0053427F" w:rsidP="002D6DD7">
            <w:pPr>
              <w:jc w:val="both"/>
              <w:rPr>
                <w:rFonts w:cs="Times New Roman"/>
                <w:szCs w:val="24"/>
              </w:rPr>
            </w:pPr>
            <w:r w:rsidRPr="007F0097">
              <w:rPr>
                <w:rFonts w:cs="Times New Roman"/>
                <w:szCs w:val="24"/>
              </w:rPr>
              <w:t>Hyperglycemia, local irritation at the injection site, phlebitis, and fluid retention, hyperosmolar syndrome, electrolyte imbalances (e.g., hypernatremia, hypokalemia), fluid overload</w:t>
            </w:r>
          </w:p>
        </w:tc>
      </w:tr>
      <w:tr w:rsidR="0053427F" w:rsidRPr="007F0097" w14:paraId="406B0299" w14:textId="77777777" w:rsidTr="002D6DD7">
        <w:tc>
          <w:tcPr>
            <w:tcW w:w="2695" w:type="dxa"/>
          </w:tcPr>
          <w:p w14:paraId="6EC4E26D"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122F6CBB" w14:textId="77777777" w:rsidR="0053427F" w:rsidRPr="007F0097" w:rsidRDefault="0053427F" w:rsidP="002D6DD7">
            <w:pPr>
              <w:jc w:val="both"/>
              <w:rPr>
                <w:rFonts w:cs="Times New Roman"/>
                <w:szCs w:val="24"/>
              </w:rPr>
            </w:pPr>
            <w:r>
              <w:rPr>
                <w:rFonts w:cs="Times New Roman"/>
                <w:szCs w:val="24"/>
              </w:rPr>
              <w:t>Pre-existing h</w:t>
            </w:r>
            <w:r w:rsidRPr="007F0097">
              <w:rPr>
                <w:rFonts w:cs="Times New Roman"/>
                <w:szCs w:val="24"/>
              </w:rPr>
              <w:t>yperglycemia, electrolyte imbalance, fluid overload</w:t>
            </w:r>
          </w:p>
        </w:tc>
      </w:tr>
      <w:tr w:rsidR="0053427F" w:rsidRPr="007F0097" w14:paraId="1E003257" w14:textId="77777777" w:rsidTr="002D6DD7">
        <w:tc>
          <w:tcPr>
            <w:tcW w:w="2695" w:type="dxa"/>
          </w:tcPr>
          <w:p w14:paraId="644F780E"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57BD8E12" w14:textId="77777777" w:rsidR="0053427F" w:rsidRPr="007F0097" w:rsidRDefault="0053427F" w:rsidP="002D6DD7">
            <w:pPr>
              <w:jc w:val="both"/>
              <w:rPr>
                <w:rFonts w:cs="Times New Roman"/>
                <w:szCs w:val="24"/>
              </w:rPr>
            </w:pPr>
            <w:r w:rsidRPr="007F0097">
              <w:rPr>
                <w:rFonts w:cs="Times New Roman"/>
                <w:szCs w:val="24"/>
              </w:rPr>
              <w:t xml:space="preserve">Store below 30 </w:t>
            </w:r>
            <w:r w:rsidRPr="007F0097">
              <w:rPr>
                <w:rFonts w:cs="Times New Roman"/>
                <w:szCs w:val="24"/>
                <w:vertAlign w:val="superscript"/>
              </w:rPr>
              <w:t>0</w:t>
            </w:r>
            <w:r w:rsidRPr="007F0097">
              <w:rPr>
                <w:rFonts w:cs="Times New Roman"/>
                <w:szCs w:val="24"/>
              </w:rPr>
              <w:t>C. Protect from humidity.</w:t>
            </w:r>
          </w:p>
        </w:tc>
      </w:tr>
      <w:tr w:rsidR="0053427F" w:rsidRPr="007F0097" w14:paraId="494642BF" w14:textId="77777777" w:rsidTr="002D6DD7">
        <w:tc>
          <w:tcPr>
            <w:tcW w:w="9355" w:type="dxa"/>
            <w:gridSpan w:val="2"/>
          </w:tcPr>
          <w:p w14:paraId="0897F95E" w14:textId="77777777" w:rsidR="0053427F" w:rsidRPr="007F0097" w:rsidRDefault="0053427F" w:rsidP="002D6DD7">
            <w:pPr>
              <w:jc w:val="both"/>
              <w:rPr>
                <w:rFonts w:cs="Times New Roman"/>
                <w:b/>
                <w:bCs/>
                <w:szCs w:val="24"/>
                <w:highlight w:val="cyan"/>
              </w:rPr>
            </w:pPr>
            <w:bookmarkStart w:id="171" w:name="_Toc168320665"/>
            <w:r w:rsidRPr="007F0097">
              <w:rPr>
                <w:rFonts w:cs="Times New Roman"/>
                <w:b/>
                <w:bCs/>
                <w:szCs w:val="24"/>
              </w:rPr>
              <w:t xml:space="preserve">Lactated </w:t>
            </w:r>
            <w:r>
              <w:rPr>
                <w:rFonts w:cs="Times New Roman"/>
                <w:b/>
                <w:bCs/>
                <w:szCs w:val="24"/>
              </w:rPr>
              <w:t>R</w:t>
            </w:r>
            <w:r w:rsidRPr="007F0097">
              <w:rPr>
                <w:rFonts w:cs="Times New Roman"/>
                <w:b/>
                <w:bCs/>
                <w:szCs w:val="24"/>
              </w:rPr>
              <w:t>inger’s (Hartmann’s solution)</w:t>
            </w:r>
            <w:bookmarkEnd w:id="171"/>
          </w:p>
        </w:tc>
      </w:tr>
      <w:tr w:rsidR="0053427F" w:rsidRPr="007F0097" w14:paraId="78BEAFE0" w14:textId="77777777" w:rsidTr="002D6DD7">
        <w:tc>
          <w:tcPr>
            <w:tcW w:w="2695" w:type="dxa"/>
          </w:tcPr>
          <w:p w14:paraId="277B6AB0"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44B8987C" w14:textId="77777777" w:rsidR="0053427F" w:rsidRPr="007F0097" w:rsidRDefault="0053427F" w:rsidP="002D6DD7">
            <w:pPr>
              <w:jc w:val="both"/>
              <w:rPr>
                <w:rFonts w:cs="Times New Roman"/>
                <w:szCs w:val="24"/>
              </w:rPr>
            </w:pPr>
            <w:r w:rsidRPr="007F0097">
              <w:rPr>
                <w:rFonts w:cs="Times New Roman"/>
                <w:szCs w:val="24"/>
              </w:rPr>
              <w:t>Intravenous Fluid and Electrolyte Replenisher</w:t>
            </w:r>
          </w:p>
        </w:tc>
      </w:tr>
      <w:tr w:rsidR="0053427F" w:rsidRPr="007F0097" w14:paraId="76F1AB14" w14:textId="77777777" w:rsidTr="002D6DD7">
        <w:tc>
          <w:tcPr>
            <w:tcW w:w="2695" w:type="dxa"/>
          </w:tcPr>
          <w:p w14:paraId="466E149E"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0819CF23" w14:textId="77777777" w:rsidR="0053427F" w:rsidRPr="007F0097" w:rsidRDefault="0053427F" w:rsidP="002D6DD7">
            <w:pPr>
              <w:jc w:val="both"/>
              <w:rPr>
                <w:rFonts w:cs="Times New Roman"/>
                <w:szCs w:val="24"/>
              </w:rPr>
            </w:pPr>
            <w:r w:rsidRPr="007F0097">
              <w:rPr>
                <w:rFonts w:cs="Times New Roman"/>
                <w:szCs w:val="24"/>
              </w:rPr>
              <w:t>Injection: Available in various volumes such as 500 ml and 1000ml</w:t>
            </w:r>
          </w:p>
          <w:p w14:paraId="612C2E1B" w14:textId="77777777" w:rsidR="0053427F" w:rsidRPr="007F0097" w:rsidRDefault="0053427F" w:rsidP="002D6DD7">
            <w:pPr>
              <w:jc w:val="both"/>
              <w:rPr>
                <w:rFonts w:cs="Times New Roman"/>
                <w:szCs w:val="24"/>
              </w:rPr>
            </w:pPr>
            <w:r w:rsidRPr="007F0097">
              <w:rPr>
                <w:rFonts w:cs="Times New Roman"/>
                <w:szCs w:val="24"/>
              </w:rPr>
              <w:t>Injectable solution contains: K</w:t>
            </w:r>
            <w:r w:rsidRPr="007F0097">
              <w:rPr>
                <w:rFonts w:cs="Times New Roman"/>
                <w:szCs w:val="24"/>
                <w:vertAlign w:val="superscript"/>
              </w:rPr>
              <w:t>+</w:t>
            </w:r>
            <w:r w:rsidRPr="007F0097">
              <w:rPr>
                <w:rFonts w:cs="Times New Roman"/>
                <w:szCs w:val="24"/>
              </w:rPr>
              <w:t xml:space="preserve"> 4mEq, Na</w:t>
            </w:r>
            <w:r w:rsidRPr="007F0097">
              <w:rPr>
                <w:rFonts w:cs="Times New Roman"/>
                <w:szCs w:val="24"/>
                <w:vertAlign w:val="superscript"/>
              </w:rPr>
              <w:t>+</w:t>
            </w:r>
            <w:r w:rsidRPr="007F0097">
              <w:rPr>
                <w:rFonts w:cs="Times New Roman"/>
                <w:szCs w:val="24"/>
              </w:rPr>
              <w:t xml:space="preserve"> 130mEq, Ca</w:t>
            </w:r>
            <w:r w:rsidRPr="007F0097">
              <w:rPr>
                <w:rFonts w:cs="Times New Roman"/>
                <w:szCs w:val="24"/>
                <w:vertAlign w:val="superscript"/>
              </w:rPr>
              <w:t xml:space="preserve">+ </w:t>
            </w:r>
            <w:r w:rsidRPr="007F0097">
              <w:rPr>
                <w:rFonts w:cs="Times New Roman"/>
                <w:szCs w:val="24"/>
              </w:rPr>
              <w:t>3mEq, Cl</w:t>
            </w:r>
            <w:r w:rsidRPr="007F0097">
              <w:rPr>
                <w:rFonts w:cs="Times New Roman"/>
                <w:szCs w:val="24"/>
                <w:vertAlign w:val="superscript"/>
              </w:rPr>
              <w:t xml:space="preserve">- </w:t>
            </w:r>
            <w:r w:rsidRPr="007F0097">
              <w:rPr>
                <w:rFonts w:cs="Times New Roman"/>
                <w:szCs w:val="24"/>
              </w:rPr>
              <w:t>110mEq, Lactate 28mEq in 1000ml</w:t>
            </w:r>
          </w:p>
        </w:tc>
      </w:tr>
      <w:tr w:rsidR="0053427F" w:rsidRPr="007F0097" w14:paraId="23B97F9D" w14:textId="77777777" w:rsidTr="002D6DD7">
        <w:tc>
          <w:tcPr>
            <w:tcW w:w="2695" w:type="dxa"/>
          </w:tcPr>
          <w:p w14:paraId="303D2656"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34F485B0" w14:textId="77777777" w:rsidR="0053427F" w:rsidRPr="007F0097" w:rsidRDefault="0053427F" w:rsidP="002D6DD7">
            <w:pPr>
              <w:jc w:val="both"/>
              <w:rPr>
                <w:rFonts w:cs="Times New Roman"/>
                <w:szCs w:val="24"/>
              </w:rPr>
            </w:pPr>
            <w:r w:rsidRPr="007F0097">
              <w:rPr>
                <w:rFonts w:cs="Times New Roman"/>
                <w:szCs w:val="24"/>
              </w:rPr>
              <w:t>Dehydration, electrolyte imbalance, fluid loss due to burns, trauma, or surgery, metabolic acidosis, septic shock</w:t>
            </w:r>
          </w:p>
        </w:tc>
      </w:tr>
      <w:tr w:rsidR="0053427F" w:rsidRPr="007F0097" w14:paraId="59BAE5BF" w14:textId="77777777" w:rsidTr="002D6DD7">
        <w:tc>
          <w:tcPr>
            <w:tcW w:w="2695" w:type="dxa"/>
          </w:tcPr>
          <w:p w14:paraId="1E61793D"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1C74CC6A" w14:textId="77777777" w:rsidR="0053427F" w:rsidRPr="00E87472" w:rsidRDefault="0053427F" w:rsidP="002D6DD7">
            <w:pPr>
              <w:jc w:val="both"/>
              <w:rPr>
                <w:rFonts w:cs="Times New Roman"/>
                <w:b/>
                <w:bCs/>
                <w:szCs w:val="24"/>
              </w:rPr>
            </w:pPr>
            <w:r w:rsidRPr="00E87472">
              <w:rPr>
                <w:rFonts w:cs="Times New Roman"/>
                <w:b/>
                <w:bCs/>
                <w:szCs w:val="24"/>
              </w:rPr>
              <w:t>Dehydration and Fluid Replacement</w:t>
            </w:r>
            <w:r w:rsidR="00D06F64">
              <w:rPr>
                <w:rFonts w:cs="Times New Roman"/>
                <w:b/>
                <w:bCs/>
                <w:szCs w:val="24"/>
              </w:rPr>
              <w:t>:</w:t>
            </w:r>
          </w:p>
          <w:p w14:paraId="47D2BB46" w14:textId="77777777" w:rsidR="0053427F" w:rsidRPr="00E87472" w:rsidRDefault="0053427F" w:rsidP="002D6DD7">
            <w:pPr>
              <w:jc w:val="both"/>
              <w:rPr>
                <w:rFonts w:cs="Times New Roman"/>
                <w:szCs w:val="24"/>
              </w:rPr>
            </w:pPr>
            <w:r w:rsidRPr="00E87472">
              <w:rPr>
                <w:rFonts w:cs="Times New Roman"/>
                <w:b/>
                <w:bCs/>
                <w:szCs w:val="24"/>
              </w:rPr>
              <w:lastRenderedPageBreak/>
              <w:t>Adult:</w:t>
            </w:r>
            <w:r w:rsidRPr="00E87472">
              <w:rPr>
                <w:rFonts w:cs="Times New Roman"/>
                <w:szCs w:val="24"/>
              </w:rPr>
              <w:t xml:space="preserve"> 500-1000 ml IV initially, then adjust based on clinical condition and response. Infuse at a rate appropriate for the patient’s fluid needs.</w:t>
            </w:r>
          </w:p>
          <w:p w14:paraId="7A67522E" w14:textId="77777777" w:rsidR="0053427F" w:rsidRPr="00E87472" w:rsidRDefault="0053427F" w:rsidP="002D6DD7">
            <w:pPr>
              <w:jc w:val="both"/>
              <w:rPr>
                <w:rFonts w:cs="Times New Roman"/>
                <w:szCs w:val="24"/>
              </w:rPr>
            </w:pPr>
            <w:r w:rsidRPr="00E87472">
              <w:rPr>
                <w:rFonts w:cs="Times New Roman"/>
                <w:b/>
                <w:bCs/>
                <w:szCs w:val="24"/>
              </w:rPr>
              <w:t>Child:</w:t>
            </w:r>
            <w:r w:rsidRPr="00E87472">
              <w:rPr>
                <w:rFonts w:cs="Times New Roman"/>
                <w:szCs w:val="24"/>
              </w:rPr>
              <w:t xml:space="preserve"> 20-40 ml/kg IV initially, then adjust based on clinical condition and response. Infuse at a rate appropriate for the child’s fluid needs.</w:t>
            </w:r>
          </w:p>
          <w:p w14:paraId="68C8A22C" w14:textId="77777777" w:rsidR="0053427F" w:rsidRPr="00E87472" w:rsidRDefault="0053427F" w:rsidP="002D6DD7">
            <w:pPr>
              <w:jc w:val="both"/>
              <w:rPr>
                <w:rFonts w:cs="Times New Roman"/>
                <w:b/>
                <w:bCs/>
                <w:szCs w:val="24"/>
              </w:rPr>
            </w:pPr>
            <w:r w:rsidRPr="00E87472">
              <w:rPr>
                <w:rFonts w:cs="Times New Roman"/>
                <w:b/>
                <w:bCs/>
                <w:szCs w:val="24"/>
              </w:rPr>
              <w:t>Surgical and Trauma Fluid Loss</w:t>
            </w:r>
            <w:r w:rsidR="00D06F64">
              <w:rPr>
                <w:rFonts w:cs="Times New Roman"/>
                <w:b/>
                <w:bCs/>
                <w:szCs w:val="24"/>
              </w:rPr>
              <w:t>:</w:t>
            </w:r>
          </w:p>
          <w:p w14:paraId="74026EBD" w14:textId="77777777" w:rsidR="0053427F" w:rsidRPr="00E87472" w:rsidRDefault="0053427F" w:rsidP="002D6DD7">
            <w:pPr>
              <w:jc w:val="both"/>
              <w:rPr>
                <w:rFonts w:cs="Times New Roman"/>
                <w:szCs w:val="24"/>
              </w:rPr>
            </w:pPr>
            <w:r w:rsidRPr="00E87472">
              <w:rPr>
                <w:rFonts w:cs="Times New Roman"/>
                <w:b/>
                <w:bCs/>
                <w:szCs w:val="24"/>
              </w:rPr>
              <w:t>Adult:</w:t>
            </w:r>
            <w:r w:rsidRPr="00E87472">
              <w:rPr>
                <w:rFonts w:cs="Times New Roman"/>
                <w:szCs w:val="24"/>
              </w:rPr>
              <w:t xml:space="preserve"> 500-1000 ml IV initially, then administer as needed to replace ongoing fluid losses. Infuse at a rate to maintain hemodynamic stability.</w:t>
            </w:r>
          </w:p>
          <w:p w14:paraId="1C5F3310" w14:textId="77777777" w:rsidR="0053427F" w:rsidRPr="00E87472" w:rsidRDefault="0053427F" w:rsidP="002D6DD7">
            <w:pPr>
              <w:jc w:val="both"/>
              <w:rPr>
                <w:rFonts w:cs="Times New Roman"/>
                <w:szCs w:val="24"/>
              </w:rPr>
            </w:pPr>
            <w:r w:rsidRPr="00E87472">
              <w:rPr>
                <w:rFonts w:cs="Times New Roman"/>
                <w:b/>
                <w:bCs/>
                <w:szCs w:val="24"/>
              </w:rPr>
              <w:t>Child:</w:t>
            </w:r>
            <w:r w:rsidRPr="00E87472">
              <w:rPr>
                <w:rFonts w:cs="Times New Roman"/>
                <w:szCs w:val="24"/>
              </w:rPr>
              <w:t xml:space="preserve"> 20-40 ml/kg IV initially, then administer as needed to replace ongoing fluid losses. Infuse at a rate to maintain hemodynamic stability.</w:t>
            </w:r>
          </w:p>
          <w:p w14:paraId="0B369D98" w14:textId="77777777" w:rsidR="0053427F" w:rsidRPr="00E87472" w:rsidRDefault="0053427F" w:rsidP="002D6DD7">
            <w:pPr>
              <w:jc w:val="both"/>
              <w:rPr>
                <w:rFonts w:cs="Times New Roman"/>
                <w:b/>
                <w:bCs/>
                <w:szCs w:val="24"/>
              </w:rPr>
            </w:pPr>
            <w:r w:rsidRPr="00E87472">
              <w:rPr>
                <w:rFonts w:cs="Times New Roman"/>
                <w:b/>
                <w:bCs/>
                <w:szCs w:val="24"/>
              </w:rPr>
              <w:t>Metabolic Acidosis</w:t>
            </w:r>
            <w:r w:rsidR="00D06F64">
              <w:rPr>
                <w:rFonts w:cs="Times New Roman"/>
                <w:b/>
                <w:bCs/>
                <w:szCs w:val="24"/>
              </w:rPr>
              <w:t>:</w:t>
            </w:r>
          </w:p>
          <w:p w14:paraId="49488D36" w14:textId="77777777" w:rsidR="0053427F" w:rsidRPr="00E87472" w:rsidRDefault="0053427F" w:rsidP="002D6DD7">
            <w:pPr>
              <w:jc w:val="both"/>
              <w:rPr>
                <w:rFonts w:cs="Times New Roman"/>
                <w:szCs w:val="24"/>
              </w:rPr>
            </w:pPr>
            <w:r w:rsidRPr="00E87472">
              <w:rPr>
                <w:rFonts w:cs="Times New Roman"/>
                <w:b/>
                <w:bCs/>
                <w:szCs w:val="24"/>
              </w:rPr>
              <w:t>Adult:</w:t>
            </w:r>
            <w:r w:rsidRPr="00E87472">
              <w:rPr>
                <w:rFonts w:cs="Times New Roman"/>
                <w:szCs w:val="24"/>
              </w:rPr>
              <w:t xml:space="preserve"> 500-1000 ml IV, then adjust based on clinical condition and response. Infuse at a rate appropriate for the patient’s needs.</w:t>
            </w:r>
          </w:p>
          <w:p w14:paraId="7F5E24E8" w14:textId="77777777" w:rsidR="0053427F" w:rsidRPr="00E87472" w:rsidRDefault="0053427F" w:rsidP="002D6DD7">
            <w:pPr>
              <w:jc w:val="both"/>
              <w:rPr>
                <w:rFonts w:cs="Times New Roman"/>
                <w:szCs w:val="24"/>
              </w:rPr>
            </w:pPr>
            <w:r w:rsidRPr="00E87472">
              <w:rPr>
                <w:rFonts w:cs="Times New Roman"/>
                <w:b/>
                <w:bCs/>
                <w:szCs w:val="24"/>
              </w:rPr>
              <w:t>Child:</w:t>
            </w:r>
            <w:r w:rsidRPr="00E87472">
              <w:rPr>
                <w:rFonts w:cs="Times New Roman"/>
                <w:szCs w:val="24"/>
              </w:rPr>
              <w:t xml:space="preserve"> 20-40 ml/kg IV, then adjust based on clinical condition and response. Infuse at a rate appropriate for the child’s needs.</w:t>
            </w:r>
          </w:p>
        </w:tc>
      </w:tr>
      <w:tr w:rsidR="0053427F" w:rsidRPr="007F0097" w14:paraId="15EBCA10" w14:textId="77777777" w:rsidTr="002D6DD7">
        <w:tc>
          <w:tcPr>
            <w:tcW w:w="2695" w:type="dxa"/>
          </w:tcPr>
          <w:p w14:paraId="720CA7D3"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6A8F48E1" w14:textId="77777777" w:rsidR="0053427F" w:rsidRPr="007F0097" w:rsidRDefault="0053427F" w:rsidP="002D6DD7">
            <w:pPr>
              <w:jc w:val="both"/>
              <w:rPr>
                <w:rFonts w:cs="Times New Roman"/>
                <w:szCs w:val="24"/>
              </w:rPr>
            </w:pPr>
            <w:r w:rsidRPr="007F0097">
              <w:rPr>
                <w:rFonts w:cs="Times New Roman"/>
                <w:szCs w:val="24"/>
              </w:rPr>
              <w:t>Hypersensitivity</w:t>
            </w:r>
            <w:r>
              <w:rPr>
                <w:rFonts w:cs="Times New Roman"/>
                <w:szCs w:val="24"/>
              </w:rPr>
              <w:t xml:space="preserve"> to the drug, hy</w:t>
            </w:r>
            <w:r w:rsidRPr="007F0097">
              <w:rPr>
                <w:rFonts w:cs="Times New Roman"/>
                <w:szCs w:val="24"/>
              </w:rPr>
              <w:t>perkalemia, metabolic alkalosis</w:t>
            </w:r>
            <w:r>
              <w:rPr>
                <w:rFonts w:cs="Times New Roman"/>
                <w:szCs w:val="24"/>
              </w:rPr>
              <w:t>,</w:t>
            </w:r>
            <w:r w:rsidRPr="007F0097">
              <w:rPr>
                <w:rFonts w:cs="Times New Roman"/>
                <w:szCs w:val="24"/>
              </w:rPr>
              <w:t xml:space="preserve"> liver disease</w:t>
            </w:r>
          </w:p>
        </w:tc>
      </w:tr>
      <w:tr w:rsidR="0053427F" w:rsidRPr="007F0097" w14:paraId="2754681A" w14:textId="77777777" w:rsidTr="002D6DD7">
        <w:tc>
          <w:tcPr>
            <w:tcW w:w="2695" w:type="dxa"/>
          </w:tcPr>
          <w:p w14:paraId="11B397FD"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31DA8606" w14:textId="77777777" w:rsidR="0053427F" w:rsidRPr="007F0097" w:rsidRDefault="0053427F" w:rsidP="002D6DD7">
            <w:pPr>
              <w:jc w:val="both"/>
              <w:rPr>
                <w:rFonts w:cs="Times New Roman"/>
                <w:szCs w:val="24"/>
              </w:rPr>
            </w:pPr>
            <w:r w:rsidRPr="007F0097">
              <w:rPr>
                <w:rFonts w:cs="Times New Roman"/>
                <w:szCs w:val="24"/>
              </w:rPr>
              <w:t>Potassium-sparing diuretics, ACE inhibitors</w:t>
            </w:r>
            <w:r>
              <w:rPr>
                <w:rFonts w:cs="Times New Roman"/>
                <w:szCs w:val="24"/>
              </w:rPr>
              <w:t xml:space="preserve">, </w:t>
            </w:r>
            <w:r w:rsidRPr="007F0097">
              <w:rPr>
                <w:rFonts w:cs="Times New Roman"/>
                <w:szCs w:val="24"/>
              </w:rPr>
              <w:t>ARBs, corticosteroids, digoxin, ceftriaxone</w:t>
            </w:r>
          </w:p>
        </w:tc>
      </w:tr>
      <w:tr w:rsidR="0053427F" w:rsidRPr="007F0097" w14:paraId="765989D3" w14:textId="77777777" w:rsidTr="002D6DD7">
        <w:tc>
          <w:tcPr>
            <w:tcW w:w="2695" w:type="dxa"/>
          </w:tcPr>
          <w:p w14:paraId="6C2A71B4"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3358F270" w14:textId="77777777" w:rsidR="0053427F" w:rsidRPr="007F0097" w:rsidRDefault="0053427F" w:rsidP="002D6DD7">
            <w:pPr>
              <w:jc w:val="both"/>
              <w:rPr>
                <w:rFonts w:cs="Times New Roman"/>
                <w:szCs w:val="24"/>
              </w:rPr>
            </w:pPr>
            <w:r w:rsidRPr="007F0097">
              <w:rPr>
                <w:rFonts w:cs="Times New Roman"/>
                <w:szCs w:val="24"/>
              </w:rPr>
              <w:t>Hyperkalemia, hypercalcemia, hypernatremia, local site reactions</w:t>
            </w:r>
            <w:r>
              <w:rPr>
                <w:rFonts w:cs="Times New Roman"/>
                <w:szCs w:val="24"/>
              </w:rPr>
              <w:t xml:space="preserve">, </w:t>
            </w:r>
            <w:r w:rsidRPr="007F0097">
              <w:rPr>
                <w:rFonts w:cs="Times New Roman"/>
                <w:szCs w:val="24"/>
              </w:rPr>
              <w:t>fluid overload, renal or cardiac impairment</w:t>
            </w:r>
          </w:p>
        </w:tc>
      </w:tr>
      <w:tr w:rsidR="0053427F" w:rsidRPr="007F0097" w14:paraId="4C45EAAE" w14:textId="77777777" w:rsidTr="002D6DD7">
        <w:tc>
          <w:tcPr>
            <w:tcW w:w="2695" w:type="dxa"/>
          </w:tcPr>
          <w:p w14:paraId="64096D5E"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58B5A9F4" w14:textId="77777777" w:rsidR="0053427F" w:rsidRPr="007F0097" w:rsidRDefault="0053427F" w:rsidP="002D6DD7">
            <w:pPr>
              <w:jc w:val="both"/>
              <w:rPr>
                <w:rFonts w:cs="Times New Roman"/>
                <w:szCs w:val="24"/>
              </w:rPr>
            </w:pPr>
            <w:r w:rsidRPr="007F0097">
              <w:rPr>
                <w:rFonts w:cs="Times New Roman"/>
                <w:szCs w:val="24"/>
              </w:rPr>
              <w:t>Impaired renal function, heart failure, hypertension electrolyte imbalances, fluid overload, liver disease</w:t>
            </w:r>
          </w:p>
        </w:tc>
      </w:tr>
      <w:tr w:rsidR="0053427F" w:rsidRPr="007F0097" w14:paraId="51391A9B" w14:textId="77777777" w:rsidTr="002D6DD7">
        <w:tc>
          <w:tcPr>
            <w:tcW w:w="2695" w:type="dxa"/>
          </w:tcPr>
          <w:p w14:paraId="3148E469"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546F69C2" w14:textId="77777777" w:rsidR="0053427F" w:rsidRPr="007F0097" w:rsidRDefault="0053427F" w:rsidP="002D6DD7">
            <w:pPr>
              <w:jc w:val="both"/>
              <w:rPr>
                <w:rFonts w:cs="Times New Roman"/>
                <w:szCs w:val="24"/>
              </w:rPr>
            </w:pPr>
            <w:r w:rsidRPr="007F0097">
              <w:rPr>
                <w:rFonts w:cs="Times New Roman"/>
                <w:szCs w:val="24"/>
              </w:rPr>
              <w:t xml:space="preserve">Store below 30 </w:t>
            </w:r>
            <w:r w:rsidRPr="007F0097">
              <w:rPr>
                <w:rFonts w:cs="Times New Roman"/>
                <w:szCs w:val="24"/>
                <w:vertAlign w:val="superscript"/>
              </w:rPr>
              <w:t>0</w:t>
            </w:r>
            <w:r w:rsidRPr="007F0097">
              <w:rPr>
                <w:rFonts w:cs="Times New Roman"/>
                <w:szCs w:val="24"/>
              </w:rPr>
              <w:t>C. Protect from freezing and excessive heat.</w:t>
            </w:r>
          </w:p>
        </w:tc>
      </w:tr>
      <w:tr w:rsidR="0053427F" w:rsidRPr="007F0097" w14:paraId="27F63CEA" w14:textId="77777777" w:rsidTr="002D6DD7">
        <w:tc>
          <w:tcPr>
            <w:tcW w:w="9355" w:type="dxa"/>
            <w:gridSpan w:val="2"/>
          </w:tcPr>
          <w:p w14:paraId="16BE9210" w14:textId="77777777" w:rsidR="0053427F" w:rsidRPr="007F0097" w:rsidRDefault="0053427F" w:rsidP="002D6DD7">
            <w:pPr>
              <w:jc w:val="both"/>
              <w:rPr>
                <w:rFonts w:cs="Times New Roman"/>
                <w:b/>
                <w:bCs/>
                <w:szCs w:val="24"/>
              </w:rPr>
            </w:pPr>
            <w:bookmarkStart w:id="172" w:name="_Toc168320657"/>
            <w:r w:rsidRPr="007F0097">
              <w:rPr>
                <w:rFonts w:cs="Times New Roman"/>
                <w:b/>
                <w:bCs/>
                <w:szCs w:val="24"/>
              </w:rPr>
              <w:t>Oral Rehydration Salt (ORS)</w:t>
            </w:r>
            <w:bookmarkEnd w:id="172"/>
          </w:p>
        </w:tc>
      </w:tr>
      <w:tr w:rsidR="0053427F" w:rsidRPr="007F0097" w14:paraId="5F7EE164" w14:textId="77777777" w:rsidTr="002D6DD7">
        <w:tc>
          <w:tcPr>
            <w:tcW w:w="2695" w:type="dxa"/>
          </w:tcPr>
          <w:p w14:paraId="2C8BB354"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066B5A96" w14:textId="77777777" w:rsidR="0053427F" w:rsidRPr="007F0097" w:rsidRDefault="0053427F" w:rsidP="002D6DD7">
            <w:pPr>
              <w:jc w:val="both"/>
              <w:rPr>
                <w:rFonts w:cs="Times New Roman"/>
                <w:szCs w:val="24"/>
              </w:rPr>
            </w:pPr>
            <w:r w:rsidRPr="007F0097">
              <w:rPr>
                <w:rFonts w:cs="Times New Roman"/>
                <w:szCs w:val="24"/>
              </w:rPr>
              <w:t>Electrolyte replacement solution</w:t>
            </w:r>
          </w:p>
        </w:tc>
      </w:tr>
      <w:tr w:rsidR="0053427F" w:rsidRPr="007F0097" w14:paraId="047264D3" w14:textId="77777777" w:rsidTr="002D6DD7">
        <w:tc>
          <w:tcPr>
            <w:tcW w:w="2695" w:type="dxa"/>
          </w:tcPr>
          <w:p w14:paraId="21999C50"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1D0E5A85" w14:textId="77777777" w:rsidR="0053427F" w:rsidRPr="007F0097" w:rsidRDefault="0053427F" w:rsidP="002D6DD7">
            <w:pPr>
              <w:jc w:val="both"/>
              <w:rPr>
                <w:rFonts w:cs="Times New Roman"/>
                <w:szCs w:val="24"/>
              </w:rPr>
            </w:pPr>
            <w:r w:rsidRPr="007F0097">
              <w:rPr>
                <w:rFonts w:cs="Times New Roman"/>
                <w:szCs w:val="24"/>
              </w:rPr>
              <w:t>Powder for dilution to make 1000 ml</w:t>
            </w:r>
          </w:p>
          <w:p w14:paraId="4AB34F4C" w14:textId="77777777" w:rsidR="0053427F" w:rsidRPr="007F0097" w:rsidRDefault="0053427F" w:rsidP="002D6DD7">
            <w:pPr>
              <w:jc w:val="both"/>
              <w:rPr>
                <w:rFonts w:cs="Times New Roman"/>
                <w:szCs w:val="24"/>
              </w:rPr>
            </w:pPr>
            <w:r w:rsidRPr="001C5988">
              <w:rPr>
                <w:rFonts w:cs="Times New Roman"/>
                <w:b/>
                <w:bCs/>
                <w:szCs w:val="24"/>
              </w:rPr>
              <w:t>Contains:</w:t>
            </w:r>
            <w:r w:rsidRPr="007F0097">
              <w:rPr>
                <w:rFonts w:cs="Times New Roman"/>
                <w:szCs w:val="24"/>
              </w:rPr>
              <w:t xml:space="preserve"> glucose 13.5 g/L, sodium chloride 2.6 g/L, potassium </w:t>
            </w:r>
            <w:r w:rsidRPr="007F0097">
              <w:rPr>
                <w:rFonts w:cs="Times New Roman"/>
                <w:szCs w:val="24"/>
              </w:rPr>
              <w:lastRenderedPageBreak/>
              <w:t>chloride 1.5 g/L, trisodium citrate dihydrate 2.9 g/L</w:t>
            </w:r>
          </w:p>
          <w:p w14:paraId="5BF5EC2D" w14:textId="77777777" w:rsidR="0053427F" w:rsidRPr="007F0097" w:rsidRDefault="0053427F" w:rsidP="002D6DD7">
            <w:pPr>
              <w:jc w:val="both"/>
              <w:rPr>
                <w:rFonts w:cs="Times New Roman"/>
                <w:szCs w:val="24"/>
              </w:rPr>
            </w:pPr>
            <w:r w:rsidRPr="001C5988">
              <w:rPr>
                <w:rFonts w:cs="Times New Roman"/>
                <w:b/>
                <w:bCs/>
                <w:szCs w:val="24"/>
              </w:rPr>
              <w:t>Provides:</w:t>
            </w:r>
            <w:r w:rsidRPr="007F0097">
              <w:rPr>
                <w:rFonts w:cs="Times New Roman"/>
                <w:szCs w:val="24"/>
              </w:rPr>
              <w:t xml:space="preserve"> glucose 75 mmol/L, sodium 75 mEq or mmol/L, chloride 65 mEq or mmol/L, potassium 20 mEq or mmol/L, citrate 10 mmol/L, osmolarity 245 mOsm/L</w:t>
            </w:r>
          </w:p>
        </w:tc>
      </w:tr>
      <w:tr w:rsidR="0053427F" w:rsidRPr="007F0097" w14:paraId="3DEBED8D" w14:textId="77777777" w:rsidTr="002D6DD7">
        <w:tc>
          <w:tcPr>
            <w:tcW w:w="2695" w:type="dxa"/>
          </w:tcPr>
          <w:p w14:paraId="3392AA66" w14:textId="77777777" w:rsidR="0053427F" w:rsidRPr="007F0097" w:rsidRDefault="0053427F" w:rsidP="002D6DD7">
            <w:pPr>
              <w:jc w:val="both"/>
              <w:rPr>
                <w:rFonts w:cs="Times New Roman"/>
                <w:szCs w:val="24"/>
              </w:rPr>
            </w:pPr>
            <w:r w:rsidRPr="007F0097">
              <w:rPr>
                <w:rFonts w:cs="Times New Roman"/>
                <w:szCs w:val="24"/>
              </w:rPr>
              <w:lastRenderedPageBreak/>
              <w:t>Indications</w:t>
            </w:r>
          </w:p>
        </w:tc>
        <w:tc>
          <w:tcPr>
            <w:tcW w:w="6660" w:type="dxa"/>
          </w:tcPr>
          <w:p w14:paraId="1C9FEA4B" w14:textId="77777777" w:rsidR="0053427F" w:rsidRPr="007F0097" w:rsidRDefault="0053427F" w:rsidP="002D6DD7">
            <w:pPr>
              <w:jc w:val="both"/>
              <w:rPr>
                <w:rFonts w:cs="Times New Roman"/>
                <w:szCs w:val="24"/>
              </w:rPr>
            </w:pPr>
            <w:r w:rsidRPr="007F0097">
              <w:rPr>
                <w:rFonts w:cs="Times New Roman"/>
                <w:szCs w:val="24"/>
              </w:rPr>
              <w:t>Dehydration due to diarrhea, vomiting, or other causes, prevention of dehydration in high-risk individuals (e.g., during hot weather, vigorous exercise)</w:t>
            </w:r>
          </w:p>
        </w:tc>
      </w:tr>
      <w:tr w:rsidR="0053427F" w:rsidRPr="007F0097" w14:paraId="254F4A1F" w14:textId="77777777" w:rsidTr="002D6DD7">
        <w:tc>
          <w:tcPr>
            <w:tcW w:w="2695" w:type="dxa"/>
          </w:tcPr>
          <w:p w14:paraId="1F051DCE"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22552AAD" w14:textId="77777777" w:rsidR="0053427F" w:rsidRPr="00F72652" w:rsidRDefault="0053427F" w:rsidP="002D6DD7">
            <w:pPr>
              <w:jc w:val="both"/>
              <w:rPr>
                <w:rFonts w:cs="Times New Roman"/>
                <w:b/>
                <w:bCs/>
                <w:szCs w:val="24"/>
              </w:rPr>
            </w:pPr>
            <w:r w:rsidRPr="00F72652">
              <w:rPr>
                <w:rFonts w:cs="Times New Roman"/>
                <w:b/>
                <w:bCs/>
                <w:szCs w:val="24"/>
              </w:rPr>
              <w:t>Mild to Moderate Dehydration</w:t>
            </w:r>
            <w:r w:rsidR="00D06F64">
              <w:rPr>
                <w:rFonts w:cs="Times New Roman"/>
                <w:b/>
                <w:bCs/>
                <w:szCs w:val="24"/>
              </w:rPr>
              <w:t>:</w:t>
            </w:r>
          </w:p>
          <w:p w14:paraId="3852E339" w14:textId="77777777" w:rsidR="0053427F" w:rsidRPr="000A5A6D" w:rsidRDefault="0053427F" w:rsidP="002D6DD7">
            <w:pPr>
              <w:jc w:val="both"/>
              <w:rPr>
                <w:rFonts w:cs="Times New Roman"/>
                <w:szCs w:val="24"/>
              </w:rPr>
            </w:pPr>
            <w:r w:rsidRPr="00F72652">
              <w:rPr>
                <w:rFonts w:cs="Times New Roman"/>
                <w:b/>
                <w:bCs/>
                <w:szCs w:val="24"/>
              </w:rPr>
              <w:t>Adult:</w:t>
            </w:r>
            <w:r w:rsidRPr="000A5A6D">
              <w:rPr>
                <w:rFonts w:cs="Times New Roman"/>
                <w:szCs w:val="24"/>
              </w:rPr>
              <w:t xml:space="preserve"> Dissolve one ORS packet in 1 liter of clean, boiled, and cooled water. Drink in small sips frequently. Typical intake ranges from 2 to 4 liters over 24 hours, depending on the severity of dehydration and ongoing losses.</w:t>
            </w:r>
          </w:p>
          <w:p w14:paraId="5EE3DA45" w14:textId="77777777" w:rsidR="0053427F" w:rsidRPr="00F72652" w:rsidRDefault="0053427F" w:rsidP="002D6DD7">
            <w:pPr>
              <w:jc w:val="both"/>
              <w:rPr>
                <w:rFonts w:cs="Times New Roman"/>
                <w:b/>
                <w:bCs/>
                <w:szCs w:val="24"/>
              </w:rPr>
            </w:pPr>
            <w:r w:rsidRPr="00F72652">
              <w:rPr>
                <w:rFonts w:cs="Times New Roman"/>
                <w:b/>
                <w:bCs/>
                <w:szCs w:val="24"/>
              </w:rPr>
              <w:t>Child:</w:t>
            </w:r>
          </w:p>
          <w:p w14:paraId="66397DBA" w14:textId="77777777" w:rsidR="0053427F" w:rsidRPr="000A5A6D" w:rsidRDefault="0053427F" w:rsidP="002D6DD7">
            <w:pPr>
              <w:jc w:val="both"/>
              <w:rPr>
                <w:rFonts w:cs="Times New Roman"/>
                <w:szCs w:val="24"/>
              </w:rPr>
            </w:pPr>
            <w:r w:rsidRPr="00F72652">
              <w:rPr>
                <w:rFonts w:cs="Times New Roman"/>
                <w:b/>
                <w:bCs/>
                <w:szCs w:val="24"/>
              </w:rPr>
              <w:t>Infants (&lt;1 year):</w:t>
            </w:r>
            <w:r w:rsidRPr="000A5A6D">
              <w:rPr>
                <w:rFonts w:cs="Times New Roman"/>
                <w:szCs w:val="24"/>
              </w:rPr>
              <w:t xml:space="preserve"> 50-100 ml of ORS solution per kilogram of body weight over 4-6 hours. Continue breastfeeding alongside ORS if applicable.</w:t>
            </w:r>
          </w:p>
          <w:p w14:paraId="469941A8" w14:textId="77777777" w:rsidR="0053427F" w:rsidRPr="000A5A6D" w:rsidRDefault="0053427F" w:rsidP="002D6DD7">
            <w:pPr>
              <w:jc w:val="both"/>
              <w:rPr>
                <w:rFonts w:cs="Times New Roman"/>
                <w:szCs w:val="24"/>
              </w:rPr>
            </w:pPr>
            <w:r w:rsidRPr="00F72652">
              <w:rPr>
                <w:rFonts w:cs="Times New Roman"/>
                <w:b/>
                <w:bCs/>
                <w:szCs w:val="24"/>
              </w:rPr>
              <w:t>Child (1-10 years):</w:t>
            </w:r>
            <w:r w:rsidRPr="000A5A6D">
              <w:rPr>
                <w:rFonts w:cs="Times New Roman"/>
                <w:szCs w:val="24"/>
              </w:rPr>
              <w:t xml:space="preserve"> 50-100 ml of ORS solution per kilogram of body weight over 4-6 hours. Adjust based on ongoing losses and clinical response.</w:t>
            </w:r>
          </w:p>
          <w:p w14:paraId="007891E4" w14:textId="77777777" w:rsidR="0053427F" w:rsidRPr="000A5A6D" w:rsidRDefault="0053427F" w:rsidP="002D6DD7">
            <w:pPr>
              <w:jc w:val="both"/>
              <w:rPr>
                <w:rFonts w:cs="Times New Roman"/>
                <w:szCs w:val="24"/>
              </w:rPr>
            </w:pPr>
            <w:r w:rsidRPr="00F72652">
              <w:rPr>
                <w:rFonts w:cs="Times New Roman"/>
                <w:b/>
                <w:bCs/>
                <w:szCs w:val="24"/>
              </w:rPr>
              <w:t>Older Child and Adolescents:</w:t>
            </w:r>
            <w:r w:rsidRPr="000A5A6D">
              <w:rPr>
                <w:rFonts w:cs="Times New Roman"/>
                <w:szCs w:val="24"/>
              </w:rPr>
              <w:t xml:space="preserve"> Similar to adults, typically 2-4 liters over 24 hours, adjusted based on clinical condition.</w:t>
            </w:r>
          </w:p>
          <w:p w14:paraId="2C8192B9" w14:textId="77777777" w:rsidR="0053427F" w:rsidRPr="00450ED9" w:rsidRDefault="0053427F" w:rsidP="002D6DD7">
            <w:pPr>
              <w:jc w:val="both"/>
              <w:rPr>
                <w:rFonts w:cs="Times New Roman"/>
                <w:b/>
                <w:bCs/>
                <w:szCs w:val="24"/>
              </w:rPr>
            </w:pPr>
            <w:r w:rsidRPr="00450ED9">
              <w:rPr>
                <w:rFonts w:cs="Times New Roman"/>
                <w:b/>
                <w:bCs/>
                <w:szCs w:val="24"/>
              </w:rPr>
              <w:t>Fluid and Electrolyte Loss in Diarrhea</w:t>
            </w:r>
            <w:r w:rsidR="00D06F64">
              <w:rPr>
                <w:rFonts w:cs="Times New Roman"/>
                <w:b/>
                <w:bCs/>
                <w:szCs w:val="24"/>
              </w:rPr>
              <w:t>:</w:t>
            </w:r>
          </w:p>
          <w:p w14:paraId="01E69436" w14:textId="77777777" w:rsidR="0053427F" w:rsidRPr="000A5A6D" w:rsidRDefault="0053427F" w:rsidP="002D6DD7">
            <w:pPr>
              <w:jc w:val="both"/>
              <w:rPr>
                <w:rFonts w:cs="Times New Roman"/>
                <w:szCs w:val="24"/>
              </w:rPr>
            </w:pPr>
            <w:r w:rsidRPr="00450ED9">
              <w:rPr>
                <w:rFonts w:cs="Times New Roman"/>
                <w:b/>
                <w:bCs/>
                <w:szCs w:val="24"/>
              </w:rPr>
              <w:t>Adult:</w:t>
            </w:r>
            <w:r w:rsidRPr="000A5A6D">
              <w:rPr>
                <w:rFonts w:cs="Times New Roman"/>
                <w:szCs w:val="24"/>
              </w:rPr>
              <w:t xml:space="preserve"> 200–400 ml after every loose motion, adjusted according to fluid loss.</w:t>
            </w:r>
          </w:p>
          <w:p w14:paraId="05D081CC" w14:textId="77777777" w:rsidR="0053427F" w:rsidRPr="00FE4AAF" w:rsidRDefault="0053427F" w:rsidP="002D6DD7">
            <w:pPr>
              <w:jc w:val="both"/>
              <w:rPr>
                <w:rFonts w:cs="Times New Roman"/>
                <w:b/>
                <w:bCs/>
                <w:szCs w:val="24"/>
              </w:rPr>
            </w:pPr>
            <w:r w:rsidRPr="00450ED9">
              <w:rPr>
                <w:rFonts w:cs="Times New Roman"/>
                <w:b/>
                <w:bCs/>
                <w:szCs w:val="24"/>
              </w:rPr>
              <w:t>Severe Dehydration (Adult and Child)</w:t>
            </w:r>
            <w:r w:rsidR="00D06F64">
              <w:rPr>
                <w:rFonts w:cs="Times New Roman"/>
                <w:b/>
                <w:bCs/>
                <w:szCs w:val="24"/>
              </w:rPr>
              <w:t>:</w:t>
            </w:r>
          </w:p>
          <w:p w14:paraId="2B10245A" w14:textId="77777777" w:rsidR="0053427F" w:rsidRPr="000A5A6D" w:rsidRDefault="0053427F" w:rsidP="002D6DD7">
            <w:pPr>
              <w:jc w:val="both"/>
              <w:rPr>
                <w:rFonts w:cs="Times New Roman"/>
                <w:szCs w:val="24"/>
              </w:rPr>
            </w:pPr>
            <w:r w:rsidRPr="00D06F64">
              <w:rPr>
                <w:rFonts w:cs="Times New Roman"/>
                <w:bCs/>
                <w:szCs w:val="24"/>
              </w:rPr>
              <w:t>Initial Phase:</w:t>
            </w:r>
            <w:r w:rsidRPr="000A5A6D">
              <w:rPr>
                <w:rFonts w:cs="Times New Roman"/>
                <w:szCs w:val="24"/>
              </w:rPr>
              <w:t xml:space="preserve"> Seek medical attention immediately. While awaiting medical help, give small sips of ORS solution frequently until medical care is available.</w:t>
            </w:r>
          </w:p>
        </w:tc>
      </w:tr>
      <w:tr w:rsidR="0053427F" w:rsidRPr="007F0097" w14:paraId="41D21BDE" w14:textId="77777777" w:rsidTr="002D6DD7">
        <w:tc>
          <w:tcPr>
            <w:tcW w:w="2695" w:type="dxa"/>
          </w:tcPr>
          <w:p w14:paraId="6DDB4766" w14:textId="77777777" w:rsidR="0053427F" w:rsidRPr="007F0097" w:rsidRDefault="0053427F" w:rsidP="002D6DD7">
            <w:pPr>
              <w:jc w:val="both"/>
              <w:rPr>
                <w:rFonts w:cs="Times New Roman"/>
                <w:szCs w:val="24"/>
              </w:rPr>
            </w:pPr>
            <w:r w:rsidRPr="007F0097">
              <w:rPr>
                <w:rFonts w:cs="Times New Roman"/>
                <w:szCs w:val="24"/>
              </w:rPr>
              <w:t>Contraindications</w:t>
            </w:r>
          </w:p>
        </w:tc>
        <w:tc>
          <w:tcPr>
            <w:tcW w:w="6660" w:type="dxa"/>
          </w:tcPr>
          <w:p w14:paraId="104F007B" w14:textId="77777777" w:rsidR="0053427F" w:rsidRPr="007F0097" w:rsidRDefault="0053427F" w:rsidP="002D6DD7">
            <w:pPr>
              <w:jc w:val="both"/>
              <w:rPr>
                <w:rFonts w:cs="Times New Roman"/>
                <w:szCs w:val="24"/>
              </w:rPr>
            </w:pPr>
            <w:r w:rsidRPr="00F10528">
              <w:rPr>
                <w:rFonts w:cs="Times New Roman"/>
                <w:szCs w:val="24"/>
              </w:rPr>
              <w:t>Severe dehydration requiring IV fluids, shock, intestinal obstruction, inability to drink (e.g., unconsciousness), persistent vomiting.</w:t>
            </w:r>
          </w:p>
        </w:tc>
      </w:tr>
      <w:tr w:rsidR="0053427F" w:rsidRPr="007F0097" w14:paraId="48B89D5E" w14:textId="77777777" w:rsidTr="002D6DD7">
        <w:tc>
          <w:tcPr>
            <w:tcW w:w="2695" w:type="dxa"/>
          </w:tcPr>
          <w:p w14:paraId="3483DB6E" w14:textId="77777777" w:rsidR="0053427F" w:rsidRPr="007F0097" w:rsidRDefault="0053427F" w:rsidP="002D6DD7">
            <w:pPr>
              <w:jc w:val="both"/>
              <w:rPr>
                <w:rFonts w:cs="Times New Roman"/>
                <w:szCs w:val="24"/>
              </w:rPr>
            </w:pPr>
            <w:r w:rsidRPr="007F0097">
              <w:rPr>
                <w:rFonts w:cs="Times New Roman"/>
                <w:szCs w:val="24"/>
              </w:rPr>
              <w:lastRenderedPageBreak/>
              <w:t>Drug interactions</w:t>
            </w:r>
          </w:p>
        </w:tc>
        <w:tc>
          <w:tcPr>
            <w:tcW w:w="6660" w:type="dxa"/>
          </w:tcPr>
          <w:p w14:paraId="4185E540" w14:textId="77777777" w:rsidR="0053427F" w:rsidRPr="007F0097" w:rsidRDefault="0053427F" w:rsidP="002D6DD7">
            <w:pPr>
              <w:jc w:val="both"/>
              <w:rPr>
                <w:rFonts w:cs="Times New Roman"/>
                <w:szCs w:val="24"/>
              </w:rPr>
            </w:pPr>
            <w:r w:rsidRPr="00457154">
              <w:rPr>
                <w:rFonts w:cs="Times New Roman"/>
                <w:szCs w:val="24"/>
              </w:rPr>
              <w:t>Diuretics, ACE inhibitors, potassium supplements, corticosteroids</w:t>
            </w:r>
          </w:p>
        </w:tc>
      </w:tr>
      <w:tr w:rsidR="0053427F" w:rsidRPr="007F0097" w14:paraId="5D97A16C" w14:textId="77777777" w:rsidTr="002D6DD7">
        <w:tc>
          <w:tcPr>
            <w:tcW w:w="2695" w:type="dxa"/>
          </w:tcPr>
          <w:p w14:paraId="6D7A062C"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7D4BBCD1" w14:textId="77777777" w:rsidR="0053427F" w:rsidRPr="007F0097" w:rsidRDefault="0053427F" w:rsidP="002D6DD7">
            <w:pPr>
              <w:jc w:val="both"/>
              <w:rPr>
                <w:rFonts w:cs="Times New Roman"/>
                <w:szCs w:val="24"/>
              </w:rPr>
            </w:pPr>
            <w:r w:rsidRPr="00773AC7">
              <w:rPr>
                <w:rFonts w:cs="Times New Roman"/>
                <w:szCs w:val="24"/>
              </w:rPr>
              <w:t>Nausea</w:t>
            </w:r>
            <w:r>
              <w:rPr>
                <w:rFonts w:cs="Times New Roman"/>
                <w:szCs w:val="24"/>
              </w:rPr>
              <w:t xml:space="preserve">, </w:t>
            </w:r>
            <w:r w:rsidRPr="00773AC7">
              <w:rPr>
                <w:rFonts w:cs="Times New Roman"/>
                <w:szCs w:val="24"/>
              </w:rPr>
              <w:t>vomiting</w:t>
            </w:r>
            <w:r>
              <w:rPr>
                <w:rFonts w:cs="Times New Roman"/>
                <w:szCs w:val="24"/>
              </w:rPr>
              <w:t xml:space="preserve">, </w:t>
            </w:r>
            <w:r w:rsidRPr="00773AC7">
              <w:rPr>
                <w:rFonts w:cs="Times New Roman"/>
                <w:szCs w:val="24"/>
              </w:rPr>
              <w:t>mild bloating or stomach cramps</w:t>
            </w:r>
            <w:r>
              <w:rPr>
                <w:rFonts w:cs="Times New Roman"/>
                <w:szCs w:val="24"/>
              </w:rPr>
              <w:t xml:space="preserve">, </w:t>
            </w:r>
            <w:r w:rsidRPr="00773AC7">
              <w:rPr>
                <w:rFonts w:cs="Times New Roman"/>
                <w:szCs w:val="24"/>
              </w:rPr>
              <w:t>hypernatremia in cases of improper preparation or overuse</w:t>
            </w:r>
            <w:r>
              <w:rPr>
                <w:rFonts w:cs="Times New Roman"/>
                <w:szCs w:val="24"/>
              </w:rPr>
              <w:t xml:space="preserve">, </w:t>
            </w:r>
            <w:r w:rsidRPr="00773AC7">
              <w:rPr>
                <w:rFonts w:cs="Times New Roman"/>
                <w:szCs w:val="24"/>
              </w:rPr>
              <w:t>fluid overload (in cases of excessive intake, especially in patients with kidney disease or heart failure)</w:t>
            </w:r>
          </w:p>
        </w:tc>
      </w:tr>
      <w:tr w:rsidR="0053427F" w:rsidRPr="007F0097" w14:paraId="7E444D0E" w14:textId="77777777" w:rsidTr="002D6DD7">
        <w:tc>
          <w:tcPr>
            <w:tcW w:w="2695" w:type="dxa"/>
          </w:tcPr>
          <w:p w14:paraId="1D18A40C"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555A24D8" w14:textId="77777777" w:rsidR="0053427F" w:rsidRPr="007F0097" w:rsidRDefault="0053427F" w:rsidP="002D6DD7">
            <w:pPr>
              <w:jc w:val="both"/>
              <w:rPr>
                <w:rFonts w:cs="Times New Roman"/>
                <w:szCs w:val="24"/>
              </w:rPr>
            </w:pPr>
            <w:r>
              <w:rPr>
                <w:rFonts w:cs="Times New Roman"/>
                <w:szCs w:val="24"/>
              </w:rPr>
              <w:t>Improper preparation, kidney disease, heart failure, severe dehydration or shock, vomiting, electrolyte imbalance</w:t>
            </w:r>
          </w:p>
        </w:tc>
      </w:tr>
      <w:tr w:rsidR="0053427F" w:rsidRPr="007F0097" w14:paraId="6338932B" w14:textId="77777777" w:rsidTr="002D6DD7">
        <w:tc>
          <w:tcPr>
            <w:tcW w:w="2695" w:type="dxa"/>
          </w:tcPr>
          <w:p w14:paraId="1D4D0315"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2E7BECCF" w14:textId="77777777" w:rsidR="0053427F" w:rsidRPr="007F0097" w:rsidRDefault="0053427F" w:rsidP="002D6DD7">
            <w:pPr>
              <w:jc w:val="both"/>
              <w:rPr>
                <w:rFonts w:cs="Times New Roman"/>
                <w:szCs w:val="24"/>
              </w:rPr>
            </w:pPr>
            <w:r w:rsidRPr="007F0097">
              <w:rPr>
                <w:rFonts w:cs="Times New Roman"/>
                <w:szCs w:val="24"/>
              </w:rPr>
              <w:t>Store below 30 C</w:t>
            </w:r>
            <w:r w:rsidRPr="007F0097">
              <w:rPr>
                <w:rFonts w:cs="Times New Roman"/>
                <w:szCs w:val="24"/>
                <w:vertAlign w:val="superscript"/>
              </w:rPr>
              <w:t xml:space="preserve">0 </w:t>
            </w:r>
            <w:r w:rsidRPr="007F0097">
              <w:rPr>
                <w:rFonts w:cs="Times New Roman"/>
                <w:szCs w:val="24"/>
              </w:rPr>
              <w:t>in a dry place.</w:t>
            </w:r>
          </w:p>
        </w:tc>
      </w:tr>
      <w:tr w:rsidR="0053427F" w:rsidRPr="007F0097" w14:paraId="2B513B35" w14:textId="77777777" w:rsidTr="002D6DD7">
        <w:tc>
          <w:tcPr>
            <w:tcW w:w="9355" w:type="dxa"/>
            <w:gridSpan w:val="2"/>
          </w:tcPr>
          <w:p w14:paraId="0C72CDE3" w14:textId="77777777" w:rsidR="0053427F" w:rsidRPr="007F0097" w:rsidRDefault="0053427F" w:rsidP="002D6DD7">
            <w:pPr>
              <w:jc w:val="both"/>
              <w:rPr>
                <w:rFonts w:cs="Times New Roman"/>
                <w:b/>
                <w:bCs/>
                <w:szCs w:val="24"/>
              </w:rPr>
            </w:pPr>
            <w:bookmarkStart w:id="173" w:name="_Toc168320659"/>
            <w:r w:rsidRPr="007F0097">
              <w:rPr>
                <w:rFonts w:cs="Times New Roman"/>
                <w:b/>
                <w:bCs/>
                <w:szCs w:val="24"/>
              </w:rPr>
              <w:t>Potassium chloride</w:t>
            </w:r>
            <w:bookmarkEnd w:id="173"/>
            <w:r w:rsidRPr="007F0097">
              <w:rPr>
                <w:rFonts w:cs="Times New Roman"/>
                <w:b/>
                <w:bCs/>
                <w:szCs w:val="24"/>
              </w:rPr>
              <w:t xml:space="preserve"> </w:t>
            </w:r>
          </w:p>
        </w:tc>
      </w:tr>
      <w:tr w:rsidR="0053427F" w:rsidRPr="007F0097" w14:paraId="03796417" w14:textId="77777777" w:rsidTr="002D6DD7">
        <w:tc>
          <w:tcPr>
            <w:tcW w:w="2695" w:type="dxa"/>
          </w:tcPr>
          <w:p w14:paraId="66592D81"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0633921F" w14:textId="77777777" w:rsidR="0053427F" w:rsidRPr="007F0097" w:rsidRDefault="0053427F" w:rsidP="002D6DD7">
            <w:pPr>
              <w:jc w:val="both"/>
              <w:rPr>
                <w:rFonts w:cs="Times New Roman"/>
                <w:szCs w:val="24"/>
              </w:rPr>
            </w:pPr>
            <w:r w:rsidRPr="007F0097">
              <w:rPr>
                <w:rFonts w:cs="Times New Roman"/>
                <w:szCs w:val="24"/>
              </w:rPr>
              <w:t>Electrolyte replacement</w:t>
            </w:r>
          </w:p>
        </w:tc>
      </w:tr>
      <w:tr w:rsidR="0053427F" w:rsidRPr="007F0097" w14:paraId="32971AA4" w14:textId="77777777" w:rsidTr="002D6DD7">
        <w:tc>
          <w:tcPr>
            <w:tcW w:w="2695" w:type="dxa"/>
          </w:tcPr>
          <w:p w14:paraId="63017C01"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4AFF0E4D" w14:textId="77777777" w:rsidR="0053427F" w:rsidRPr="007F0097" w:rsidRDefault="0053427F" w:rsidP="002D6DD7">
            <w:pPr>
              <w:jc w:val="both"/>
              <w:rPr>
                <w:rFonts w:cs="Times New Roman"/>
                <w:szCs w:val="24"/>
              </w:rPr>
            </w:pPr>
            <w:r w:rsidRPr="007F0097">
              <w:rPr>
                <w:rFonts w:cs="Times New Roman"/>
                <w:szCs w:val="24"/>
              </w:rPr>
              <w:t>Tablet: 8 mEq (600 mg)</w:t>
            </w:r>
          </w:p>
          <w:p w14:paraId="35D474F1" w14:textId="77777777" w:rsidR="0053427F" w:rsidRPr="007F0097" w:rsidRDefault="0053427F" w:rsidP="002D6DD7">
            <w:pPr>
              <w:jc w:val="both"/>
              <w:rPr>
                <w:rFonts w:cs="Times New Roman"/>
                <w:szCs w:val="24"/>
              </w:rPr>
            </w:pPr>
            <w:r w:rsidRPr="007F0097">
              <w:rPr>
                <w:rFonts w:cs="Times New Roman"/>
                <w:szCs w:val="24"/>
              </w:rPr>
              <w:t xml:space="preserve">Injection, 150mg/ml in 10ml ampoule (20 mEq (1500 mg)) </w:t>
            </w:r>
          </w:p>
        </w:tc>
      </w:tr>
      <w:tr w:rsidR="0053427F" w:rsidRPr="007F0097" w14:paraId="02F7C288" w14:textId="77777777" w:rsidTr="002D6DD7">
        <w:tc>
          <w:tcPr>
            <w:tcW w:w="2695" w:type="dxa"/>
          </w:tcPr>
          <w:p w14:paraId="69E5DE4A"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328DBF7C" w14:textId="77777777" w:rsidR="0053427F" w:rsidRPr="007F0097" w:rsidRDefault="0053427F" w:rsidP="002D6DD7">
            <w:pPr>
              <w:jc w:val="both"/>
              <w:rPr>
                <w:rFonts w:cs="Times New Roman"/>
                <w:szCs w:val="24"/>
              </w:rPr>
            </w:pPr>
            <w:r w:rsidRPr="007F0097">
              <w:rPr>
                <w:rFonts w:cs="Times New Roman"/>
                <w:szCs w:val="24"/>
              </w:rPr>
              <w:t>Hypokalemia, prevention of hypokalemia in patients receiving diuretics or other medications that deplete potassium, electrolyte imbalance</w:t>
            </w:r>
          </w:p>
        </w:tc>
      </w:tr>
      <w:tr w:rsidR="0053427F" w:rsidRPr="007F0097" w14:paraId="269F731C" w14:textId="77777777" w:rsidTr="002D6DD7">
        <w:tc>
          <w:tcPr>
            <w:tcW w:w="2695" w:type="dxa"/>
          </w:tcPr>
          <w:p w14:paraId="75EE7DA5"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59572385" w14:textId="77777777" w:rsidR="0053427F" w:rsidRPr="00333347" w:rsidRDefault="0053427F" w:rsidP="002D6DD7">
            <w:pPr>
              <w:jc w:val="both"/>
              <w:rPr>
                <w:rFonts w:cs="Times New Roman"/>
                <w:b/>
                <w:bCs/>
                <w:szCs w:val="24"/>
              </w:rPr>
            </w:pPr>
            <w:r w:rsidRPr="00333347">
              <w:rPr>
                <w:rFonts w:cs="Times New Roman"/>
                <w:b/>
                <w:bCs/>
                <w:szCs w:val="24"/>
              </w:rPr>
              <w:t xml:space="preserve">Hypokalemia treatment, </w:t>
            </w:r>
            <w:r w:rsidR="00D06F64" w:rsidRPr="00D06F64">
              <w:rPr>
                <w:rFonts w:cs="Times New Roman"/>
                <w:bCs/>
                <w:szCs w:val="24"/>
              </w:rPr>
              <w:t>o</w:t>
            </w:r>
            <w:r w:rsidRPr="00D06F64">
              <w:rPr>
                <w:rFonts w:cs="Times New Roman"/>
                <w:bCs/>
                <w:szCs w:val="24"/>
              </w:rPr>
              <w:t>ral:</w:t>
            </w:r>
          </w:p>
          <w:p w14:paraId="7EFA8A8A" w14:textId="77777777" w:rsidR="0053427F" w:rsidRPr="00333347" w:rsidRDefault="0053427F" w:rsidP="002D6DD7">
            <w:pPr>
              <w:jc w:val="both"/>
              <w:rPr>
                <w:rFonts w:cs="Times New Roman"/>
                <w:szCs w:val="24"/>
              </w:rPr>
            </w:pPr>
            <w:r w:rsidRPr="00333347">
              <w:rPr>
                <w:rFonts w:cs="Times New Roman"/>
                <w:b/>
                <w:bCs/>
                <w:szCs w:val="24"/>
              </w:rPr>
              <w:t>Adult:</w:t>
            </w:r>
            <w:r w:rsidRPr="00333347">
              <w:rPr>
                <w:rFonts w:cs="Times New Roman"/>
                <w:szCs w:val="24"/>
              </w:rPr>
              <w:t xml:space="preserve"> 40-100 mEq/day in divided doses. The maximum single oral dose is 20-25 mEq to minimize gastrointestinal irritation.</w:t>
            </w:r>
          </w:p>
          <w:p w14:paraId="6CA1DF8B" w14:textId="77777777" w:rsidR="0053427F" w:rsidRPr="00333347" w:rsidRDefault="0053427F" w:rsidP="002D6DD7">
            <w:pPr>
              <w:jc w:val="both"/>
              <w:rPr>
                <w:rFonts w:cs="Times New Roman"/>
                <w:szCs w:val="24"/>
              </w:rPr>
            </w:pPr>
            <w:r w:rsidRPr="00333347">
              <w:rPr>
                <w:rFonts w:cs="Times New Roman"/>
                <w:b/>
                <w:bCs/>
                <w:szCs w:val="24"/>
              </w:rPr>
              <w:t>Child:</w:t>
            </w:r>
            <w:r w:rsidRPr="00333347">
              <w:rPr>
                <w:rFonts w:cs="Times New Roman"/>
                <w:szCs w:val="24"/>
              </w:rPr>
              <w:t xml:space="preserve"> 2-4 mEq/kg/day in divided doses. Do not exceed 1 mEq/kg per dose.</w:t>
            </w:r>
          </w:p>
          <w:p w14:paraId="1909CAD0" w14:textId="77777777" w:rsidR="0053427F" w:rsidRPr="00D06F64" w:rsidRDefault="0053427F" w:rsidP="002D6DD7">
            <w:pPr>
              <w:jc w:val="both"/>
              <w:rPr>
                <w:rFonts w:cs="Times New Roman"/>
                <w:bCs/>
                <w:szCs w:val="24"/>
              </w:rPr>
            </w:pPr>
            <w:r w:rsidRPr="00333347">
              <w:rPr>
                <w:rFonts w:cs="Times New Roman"/>
                <w:b/>
                <w:bCs/>
                <w:szCs w:val="24"/>
              </w:rPr>
              <w:t xml:space="preserve">Prevention of hypokalemia, </w:t>
            </w:r>
            <w:r w:rsidR="00D06F64" w:rsidRPr="00D06F64">
              <w:rPr>
                <w:rFonts w:cs="Times New Roman"/>
                <w:bCs/>
                <w:szCs w:val="24"/>
              </w:rPr>
              <w:t>o</w:t>
            </w:r>
            <w:r w:rsidRPr="00D06F64">
              <w:rPr>
                <w:rFonts w:cs="Times New Roman"/>
                <w:bCs/>
                <w:szCs w:val="24"/>
              </w:rPr>
              <w:t>ral:</w:t>
            </w:r>
          </w:p>
          <w:p w14:paraId="27B65605" w14:textId="77777777" w:rsidR="0053427F" w:rsidRPr="00333347" w:rsidRDefault="0053427F" w:rsidP="002D6DD7">
            <w:pPr>
              <w:jc w:val="both"/>
              <w:rPr>
                <w:rFonts w:cs="Times New Roman"/>
                <w:szCs w:val="24"/>
              </w:rPr>
            </w:pPr>
            <w:r w:rsidRPr="00333347">
              <w:rPr>
                <w:rFonts w:cs="Times New Roman"/>
                <w:b/>
                <w:bCs/>
                <w:szCs w:val="24"/>
              </w:rPr>
              <w:t>Adult:</w:t>
            </w:r>
            <w:r w:rsidRPr="00333347">
              <w:rPr>
                <w:rFonts w:cs="Times New Roman"/>
                <w:szCs w:val="24"/>
              </w:rPr>
              <w:t xml:space="preserve"> 20-40 mEq/day in divided doses.</w:t>
            </w:r>
          </w:p>
          <w:p w14:paraId="190ECA19" w14:textId="77777777" w:rsidR="0053427F" w:rsidRPr="00333347" w:rsidRDefault="0053427F" w:rsidP="002D6DD7">
            <w:pPr>
              <w:jc w:val="both"/>
              <w:rPr>
                <w:rFonts w:cs="Times New Roman"/>
                <w:szCs w:val="24"/>
              </w:rPr>
            </w:pPr>
            <w:r w:rsidRPr="00333347">
              <w:rPr>
                <w:rFonts w:cs="Times New Roman"/>
                <w:b/>
                <w:bCs/>
                <w:szCs w:val="24"/>
              </w:rPr>
              <w:t>Child:</w:t>
            </w:r>
            <w:r w:rsidRPr="00333347">
              <w:rPr>
                <w:rFonts w:cs="Times New Roman"/>
                <w:szCs w:val="24"/>
              </w:rPr>
              <w:t xml:space="preserve"> 1-2 mEq/kg/day in divided doses.</w:t>
            </w:r>
          </w:p>
          <w:p w14:paraId="676BD11C" w14:textId="77777777" w:rsidR="0053427F" w:rsidRPr="00333347" w:rsidRDefault="0053427F" w:rsidP="002D6DD7">
            <w:pPr>
              <w:jc w:val="both"/>
              <w:rPr>
                <w:rFonts w:cs="Times New Roman"/>
                <w:b/>
                <w:bCs/>
                <w:szCs w:val="24"/>
              </w:rPr>
            </w:pPr>
            <w:r w:rsidRPr="00333347">
              <w:rPr>
                <w:rFonts w:cs="Times New Roman"/>
                <w:b/>
                <w:bCs/>
                <w:szCs w:val="24"/>
              </w:rPr>
              <w:t xml:space="preserve">Hypokalemia Treatment, </w:t>
            </w:r>
            <w:r w:rsidR="00D06F64" w:rsidRPr="00D06F64">
              <w:rPr>
                <w:rFonts w:cs="Times New Roman"/>
                <w:bCs/>
                <w:szCs w:val="24"/>
              </w:rPr>
              <w:t>p</w:t>
            </w:r>
            <w:r w:rsidRPr="00D06F64">
              <w:rPr>
                <w:rFonts w:cs="Times New Roman"/>
                <w:bCs/>
                <w:szCs w:val="24"/>
              </w:rPr>
              <w:t>arenteral:</w:t>
            </w:r>
          </w:p>
          <w:p w14:paraId="2E420992" w14:textId="77777777" w:rsidR="0053427F" w:rsidRPr="00333347" w:rsidRDefault="0053427F" w:rsidP="002D6DD7">
            <w:pPr>
              <w:jc w:val="both"/>
              <w:rPr>
                <w:rFonts w:cs="Times New Roman"/>
                <w:szCs w:val="24"/>
              </w:rPr>
            </w:pPr>
            <w:r w:rsidRPr="00333347">
              <w:rPr>
                <w:rFonts w:cs="Times New Roman"/>
                <w:b/>
                <w:bCs/>
                <w:szCs w:val="24"/>
              </w:rPr>
              <w:t>Adult:</w:t>
            </w:r>
            <w:r w:rsidRPr="00333347">
              <w:rPr>
                <w:rFonts w:cs="Times New Roman"/>
                <w:szCs w:val="24"/>
              </w:rPr>
              <w:t xml:space="preserve"> 20-40 mEq IV infusion over 1-2 hours. The maximum rate should not exceed 10 mEq/hour in a peripheral line or 20 mEq/hour in a central line.</w:t>
            </w:r>
          </w:p>
          <w:p w14:paraId="3675FD2E" w14:textId="77777777" w:rsidR="0053427F" w:rsidRPr="00333347" w:rsidRDefault="0053427F" w:rsidP="002D6DD7">
            <w:pPr>
              <w:jc w:val="both"/>
              <w:rPr>
                <w:rFonts w:cs="Times New Roman"/>
                <w:szCs w:val="24"/>
              </w:rPr>
            </w:pPr>
            <w:r w:rsidRPr="00333347">
              <w:rPr>
                <w:rFonts w:cs="Times New Roman"/>
                <w:b/>
                <w:bCs/>
                <w:szCs w:val="24"/>
              </w:rPr>
              <w:t>Child:</w:t>
            </w:r>
            <w:r w:rsidRPr="00333347">
              <w:rPr>
                <w:rFonts w:cs="Times New Roman"/>
                <w:szCs w:val="24"/>
              </w:rPr>
              <w:t xml:space="preserve"> 0.5-1 mEq/kg IV infusion over 1-2 hours. The maximum rate should not exceed 0.5 mEq/kg/hour in a peripheral line.</w:t>
            </w:r>
          </w:p>
          <w:p w14:paraId="677EB110" w14:textId="77777777" w:rsidR="0053427F" w:rsidRPr="003E5FF0" w:rsidRDefault="0053427F" w:rsidP="002D6DD7">
            <w:pPr>
              <w:jc w:val="both"/>
              <w:rPr>
                <w:rFonts w:cs="Times New Roman"/>
                <w:b/>
                <w:bCs/>
                <w:szCs w:val="24"/>
              </w:rPr>
            </w:pPr>
            <w:r w:rsidRPr="003E5FF0">
              <w:rPr>
                <w:rFonts w:cs="Times New Roman"/>
                <w:b/>
                <w:bCs/>
                <w:szCs w:val="24"/>
              </w:rPr>
              <w:t xml:space="preserve">Severe </w:t>
            </w:r>
            <w:r>
              <w:rPr>
                <w:rFonts w:cs="Times New Roman"/>
                <w:b/>
                <w:bCs/>
                <w:szCs w:val="24"/>
              </w:rPr>
              <w:t>h</w:t>
            </w:r>
            <w:r w:rsidRPr="003E5FF0">
              <w:rPr>
                <w:rFonts w:cs="Times New Roman"/>
                <w:b/>
                <w:bCs/>
                <w:szCs w:val="24"/>
              </w:rPr>
              <w:t xml:space="preserve">ypokalemia, </w:t>
            </w:r>
            <w:r w:rsidR="00D06F64" w:rsidRPr="00D06F64">
              <w:rPr>
                <w:rFonts w:cs="Times New Roman"/>
                <w:bCs/>
                <w:szCs w:val="24"/>
              </w:rPr>
              <w:t>p</w:t>
            </w:r>
            <w:r w:rsidRPr="00D06F64">
              <w:rPr>
                <w:rFonts w:cs="Times New Roman"/>
                <w:bCs/>
                <w:szCs w:val="24"/>
              </w:rPr>
              <w:t>arenteral:</w:t>
            </w:r>
          </w:p>
          <w:p w14:paraId="025BAD79" w14:textId="77777777" w:rsidR="0053427F" w:rsidRPr="00333347" w:rsidRDefault="0053427F" w:rsidP="002D6DD7">
            <w:pPr>
              <w:jc w:val="both"/>
              <w:rPr>
                <w:rFonts w:cs="Times New Roman"/>
                <w:szCs w:val="24"/>
              </w:rPr>
            </w:pPr>
            <w:r w:rsidRPr="003E5FF0">
              <w:rPr>
                <w:rFonts w:cs="Times New Roman"/>
                <w:b/>
                <w:bCs/>
                <w:szCs w:val="24"/>
              </w:rPr>
              <w:t>Adult:</w:t>
            </w:r>
            <w:r w:rsidRPr="00333347">
              <w:rPr>
                <w:rFonts w:cs="Times New Roman"/>
                <w:szCs w:val="24"/>
              </w:rPr>
              <w:t xml:space="preserve"> 40-80 mEq IV infusion, administered in divided doses with </w:t>
            </w:r>
            <w:r w:rsidRPr="00333347">
              <w:rPr>
                <w:rFonts w:cs="Times New Roman"/>
                <w:szCs w:val="24"/>
              </w:rPr>
              <w:lastRenderedPageBreak/>
              <w:t>close monitoring of serum potassium levels and ECG.</w:t>
            </w:r>
          </w:p>
          <w:p w14:paraId="121ABBB3" w14:textId="77777777" w:rsidR="0053427F" w:rsidRPr="00333347" w:rsidRDefault="0053427F" w:rsidP="002D6DD7">
            <w:pPr>
              <w:jc w:val="both"/>
              <w:rPr>
                <w:rFonts w:cs="Times New Roman"/>
                <w:szCs w:val="24"/>
              </w:rPr>
            </w:pPr>
            <w:r w:rsidRPr="003E5FF0">
              <w:rPr>
                <w:rFonts w:cs="Times New Roman"/>
                <w:b/>
                <w:bCs/>
                <w:szCs w:val="24"/>
              </w:rPr>
              <w:t>Child:</w:t>
            </w:r>
            <w:r w:rsidRPr="00333347">
              <w:rPr>
                <w:rFonts w:cs="Times New Roman"/>
                <w:szCs w:val="24"/>
              </w:rPr>
              <w:t xml:space="preserve"> Adjust dose based on clinical condition and close monitoring is required.</w:t>
            </w:r>
          </w:p>
        </w:tc>
      </w:tr>
      <w:tr w:rsidR="0053427F" w:rsidRPr="007F0097" w14:paraId="65514510" w14:textId="77777777" w:rsidTr="002D6DD7">
        <w:tc>
          <w:tcPr>
            <w:tcW w:w="2695" w:type="dxa"/>
          </w:tcPr>
          <w:p w14:paraId="4E0FC2AD"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4DAC47F4" w14:textId="77777777" w:rsidR="0053427F" w:rsidRPr="007F0097" w:rsidRDefault="0053427F" w:rsidP="002D6DD7">
            <w:pPr>
              <w:jc w:val="both"/>
              <w:rPr>
                <w:rFonts w:cs="Times New Roman"/>
                <w:szCs w:val="24"/>
              </w:rPr>
            </w:pPr>
            <w:r w:rsidRPr="007F0097">
              <w:rPr>
                <w:rFonts w:cs="Times New Roman"/>
                <w:szCs w:val="24"/>
              </w:rPr>
              <w:t>GI tract passage restrictions or delay</w:t>
            </w:r>
            <w:r>
              <w:rPr>
                <w:rFonts w:cs="Times New Roman"/>
                <w:szCs w:val="24"/>
              </w:rPr>
              <w:t xml:space="preserve">, </w:t>
            </w:r>
            <w:r w:rsidRPr="007F0097">
              <w:rPr>
                <w:rFonts w:cs="Times New Roman"/>
                <w:szCs w:val="24"/>
              </w:rPr>
              <w:t>esophageal ulceration due to enlarged left atrium</w:t>
            </w:r>
            <w:r>
              <w:rPr>
                <w:rFonts w:cs="Times New Roman"/>
                <w:szCs w:val="24"/>
              </w:rPr>
              <w:t xml:space="preserve">, </w:t>
            </w:r>
            <w:r w:rsidRPr="007F0097">
              <w:rPr>
                <w:rFonts w:cs="Times New Roman"/>
                <w:szCs w:val="24"/>
              </w:rPr>
              <w:t>hyperkalemia</w:t>
            </w:r>
            <w:r>
              <w:rPr>
                <w:rFonts w:cs="Times New Roman"/>
                <w:szCs w:val="24"/>
              </w:rPr>
              <w:t xml:space="preserve">, </w:t>
            </w:r>
            <w:r w:rsidRPr="007F0097">
              <w:rPr>
                <w:rFonts w:cs="Times New Roman"/>
                <w:szCs w:val="24"/>
              </w:rPr>
              <w:t>renal failure</w:t>
            </w:r>
          </w:p>
        </w:tc>
      </w:tr>
      <w:tr w:rsidR="0053427F" w:rsidRPr="007F0097" w14:paraId="48ED8941" w14:textId="77777777" w:rsidTr="002D6DD7">
        <w:tc>
          <w:tcPr>
            <w:tcW w:w="2695" w:type="dxa"/>
          </w:tcPr>
          <w:p w14:paraId="79D36674"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3E0E62B5" w14:textId="77777777" w:rsidR="0053427F" w:rsidRPr="007F0097" w:rsidRDefault="0053427F" w:rsidP="002D6DD7">
            <w:pPr>
              <w:jc w:val="both"/>
              <w:rPr>
                <w:rFonts w:cs="Times New Roman"/>
                <w:szCs w:val="24"/>
              </w:rPr>
            </w:pPr>
            <w:r w:rsidRPr="007F0097">
              <w:rPr>
                <w:rFonts w:cs="Times New Roman"/>
                <w:szCs w:val="24"/>
              </w:rPr>
              <w:t>Anticholinergic agents such as atropine, belladonna, belladonna alkaloids, benztropine, dicyclomine, glycopyrrolate, hyoscyamine, methscopolamine, oxybutynin, procyclidine, scopolamine, solifenacin, tolterodine, trihexyphenidyl, trospium, eplerenone, diuretics, ACEI</w:t>
            </w:r>
            <w:r>
              <w:rPr>
                <w:rFonts w:cs="Times New Roman"/>
                <w:szCs w:val="24"/>
              </w:rPr>
              <w:t xml:space="preserve">, </w:t>
            </w:r>
            <w:r w:rsidRPr="007F0097">
              <w:rPr>
                <w:rFonts w:cs="Times New Roman"/>
                <w:szCs w:val="24"/>
              </w:rPr>
              <w:t>ARBS</w:t>
            </w:r>
            <w:r w:rsidR="00D06F64">
              <w:rPr>
                <w:rFonts w:cs="Times New Roman"/>
                <w:szCs w:val="24"/>
              </w:rPr>
              <w:t>.</w:t>
            </w:r>
          </w:p>
        </w:tc>
      </w:tr>
      <w:tr w:rsidR="0053427F" w:rsidRPr="007F0097" w14:paraId="5D44A196" w14:textId="77777777" w:rsidTr="002D6DD7">
        <w:trPr>
          <w:trHeight w:val="845"/>
        </w:trPr>
        <w:tc>
          <w:tcPr>
            <w:tcW w:w="2695" w:type="dxa"/>
          </w:tcPr>
          <w:p w14:paraId="5BB751BC"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22C7924F" w14:textId="77777777" w:rsidR="0053427F" w:rsidRPr="007F0097" w:rsidRDefault="0053427F" w:rsidP="002D6DD7">
            <w:pPr>
              <w:jc w:val="both"/>
              <w:rPr>
                <w:rFonts w:cs="Times New Roman"/>
                <w:szCs w:val="24"/>
              </w:rPr>
            </w:pPr>
            <w:r>
              <w:rPr>
                <w:rFonts w:cs="Times New Roman"/>
                <w:szCs w:val="24"/>
              </w:rPr>
              <w:t>A</w:t>
            </w:r>
            <w:r w:rsidRPr="007F0097">
              <w:rPr>
                <w:rFonts w:cs="Times New Roman"/>
                <w:szCs w:val="24"/>
              </w:rPr>
              <w:t xml:space="preserve">bdominal pain, GI ulcer, </w:t>
            </w:r>
            <w:r>
              <w:rPr>
                <w:rFonts w:cs="Times New Roman"/>
                <w:szCs w:val="24"/>
              </w:rPr>
              <w:t>p</w:t>
            </w:r>
            <w:r w:rsidRPr="007F0097">
              <w:rPr>
                <w:rFonts w:cs="Times New Roman"/>
                <w:szCs w:val="24"/>
              </w:rPr>
              <w:t xml:space="preserve">ain at the injection site, phlebitis. </w:t>
            </w:r>
            <w:r>
              <w:rPr>
                <w:rFonts w:cs="Times New Roman"/>
                <w:szCs w:val="24"/>
              </w:rPr>
              <w:t>h</w:t>
            </w:r>
            <w:r w:rsidRPr="007F0097">
              <w:rPr>
                <w:rFonts w:cs="Times New Roman"/>
                <w:szCs w:val="24"/>
              </w:rPr>
              <w:t xml:space="preserve">yperkalemia symptoms (e.g., muscle weakness, cardiac arrhythmias, chest pain, shortness of breath). </w:t>
            </w:r>
          </w:p>
        </w:tc>
      </w:tr>
      <w:tr w:rsidR="0053427F" w:rsidRPr="007F0097" w14:paraId="47BA5CC6" w14:textId="77777777" w:rsidTr="002D6DD7">
        <w:tc>
          <w:tcPr>
            <w:tcW w:w="2695" w:type="dxa"/>
          </w:tcPr>
          <w:p w14:paraId="2CF7DCDF"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3BE127A3" w14:textId="77777777" w:rsidR="0053427F" w:rsidRPr="007F0097" w:rsidRDefault="0053427F" w:rsidP="002D6DD7">
            <w:pPr>
              <w:jc w:val="both"/>
              <w:rPr>
                <w:rFonts w:cs="Times New Roman"/>
                <w:szCs w:val="24"/>
              </w:rPr>
            </w:pPr>
            <w:r w:rsidRPr="007F0097">
              <w:rPr>
                <w:rFonts w:cs="Times New Roman"/>
                <w:szCs w:val="24"/>
              </w:rPr>
              <w:t xml:space="preserve">Elderly, renal impairment, intestinal stricture, history of peptic ulcer, </w:t>
            </w:r>
            <w:r>
              <w:rPr>
                <w:rFonts w:cs="Times New Roman"/>
                <w:szCs w:val="24"/>
              </w:rPr>
              <w:t xml:space="preserve">pre-existing </w:t>
            </w:r>
            <w:r w:rsidRPr="007F0097">
              <w:rPr>
                <w:rFonts w:cs="Times New Roman"/>
                <w:szCs w:val="24"/>
              </w:rPr>
              <w:t>hyperkalemia</w:t>
            </w:r>
            <w:r w:rsidR="00D06F64">
              <w:rPr>
                <w:rFonts w:cs="Times New Roman"/>
                <w:szCs w:val="24"/>
              </w:rPr>
              <w:t>.</w:t>
            </w:r>
          </w:p>
        </w:tc>
      </w:tr>
      <w:tr w:rsidR="0053427F" w:rsidRPr="007F0097" w14:paraId="66CD6C49" w14:textId="77777777" w:rsidTr="002D6DD7">
        <w:trPr>
          <w:trHeight w:val="143"/>
        </w:trPr>
        <w:tc>
          <w:tcPr>
            <w:tcW w:w="2695" w:type="dxa"/>
          </w:tcPr>
          <w:p w14:paraId="5385F97C"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55C0F6EB" w14:textId="77777777" w:rsidR="0053427F" w:rsidRPr="007F0097" w:rsidRDefault="0053427F" w:rsidP="002D6DD7">
            <w:pPr>
              <w:jc w:val="both"/>
              <w:rPr>
                <w:rFonts w:cs="Times New Roman"/>
                <w:szCs w:val="24"/>
              </w:rPr>
            </w:pPr>
            <w:r w:rsidRPr="007F0097">
              <w:rPr>
                <w:rFonts w:cs="Times New Roman"/>
                <w:szCs w:val="24"/>
              </w:rPr>
              <w:t>Store below 30</w:t>
            </w:r>
            <w:r w:rsidRPr="00E22FD4">
              <w:rPr>
                <w:rFonts w:cs="Times New Roman"/>
                <w:szCs w:val="24"/>
                <w:vertAlign w:val="superscript"/>
              </w:rPr>
              <w:t>0</w:t>
            </w:r>
            <w:r w:rsidRPr="007F0097">
              <w:rPr>
                <w:rFonts w:cs="Times New Roman"/>
                <w:szCs w:val="24"/>
              </w:rPr>
              <w:t xml:space="preserve">C. Protect from </w:t>
            </w:r>
            <w:r w:rsidR="00D06F64">
              <w:rPr>
                <w:rFonts w:cs="Times New Roman"/>
                <w:szCs w:val="24"/>
              </w:rPr>
              <w:t>moisture</w:t>
            </w:r>
            <w:r w:rsidRPr="007F0097">
              <w:rPr>
                <w:rFonts w:cs="Times New Roman"/>
                <w:szCs w:val="24"/>
              </w:rPr>
              <w:t>.</w:t>
            </w:r>
          </w:p>
        </w:tc>
      </w:tr>
      <w:tr w:rsidR="0053427F" w:rsidRPr="007F0097" w14:paraId="72CB9A89" w14:textId="77777777" w:rsidTr="002D6DD7">
        <w:tc>
          <w:tcPr>
            <w:tcW w:w="9355" w:type="dxa"/>
            <w:gridSpan w:val="2"/>
          </w:tcPr>
          <w:p w14:paraId="71C02154" w14:textId="77777777" w:rsidR="0053427F" w:rsidRPr="007F0097" w:rsidRDefault="0053427F" w:rsidP="002D6DD7">
            <w:pPr>
              <w:jc w:val="both"/>
              <w:rPr>
                <w:rFonts w:cs="Times New Roman"/>
                <w:b/>
                <w:bCs/>
                <w:szCs w:val="24"/>
              </w:rPr>
            </w:pPr>
            <w:bookmarkStart w:id="174" w:name="_Toc168320658"/>
            <w:r w:rsidRPr="007F0097">
              <w:rPr>
                <w:rFonts w:cs="Times New Roman"/>
                <w:b/>
                <w:bCs/>
                <w:szCs w:val="24"/>
              </w:rPr>
              <w:t>Rehydration Solution for Malnutrition (RESOMAL)</w:t>
            </w:r>
            <w:bookmarkEnd w:id="174"/>
          </w:p>
        </w:tc>
      </w:tr>
      <w:tr w:rsidR="0053427F" w:rsidRPr="007F0097" w14:paraId="08E7144D" w14:textId="77777777" w:rsidTr="002D6DD7">
        <w:tc>
          <w:tcPr>
            <w:tcW w:w="2695" w:type="dxa"/>
          </w:tcPr>
          <w:p w14:paraId="07F45FE7"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450FC436" w14:textId="77777777" w:rsidR="0053427F" w:rsidRPr="007F0097" w:rsidRDefault="0053427F" w:rsidP="002D6DD7">
            <w:pPr>
              <w:jc w:val="both"/>
              <w:rPr>
                <w:rFonts w:cs="Times New Roman"/>
                <w:szCs w:val="24"/>
              </w:rPr>
            </w:pPr>
            <w:r w:rsidRPr="007F0097">
              <w:rPr>
                <w:rFonts w:cs="Times New Roman"/>
                <w:szCs w:val="24"/>
              </w:rPr>
              <w:t>Electrolyte replacement solution</w:t>
            </w:r>
          </w:p>
        </w:tc>
      </w:tr>
      <w:tr w:rsidR="0053427F" w:rsidRPr="007F0097" w14:paraId="585B4EB7" w14:textId="77777777" w:rsidTr="002D6DD7">
        <w:tc>
          <w:tcPr>
            <w:tcW w:w="2695" w:type="dxa"/>
          </w:tcPr>
          <w:p w14:paraId="240288CB"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10469DC7" w14:textId="77777777" w:rsidR="0053427F" w:rsidRPr="007F0097" w:rsidRDefault="0053427F" w:rsidP="002D6DD7">
            <w:pPr>
              <w:jc w:val="both"/>
              <w:rPr>
                <w:rFonts w:cs="Times New Roman"/>
                <w:szCs w:val="24"/>
              </w:rPr>
            </w:pPr>
            <w:r w:rsidRPr="007F0097">
              <w:rPr>
                <w:rFonts w:cs="Times New Roman"/>
                <w:szCs w:val="24"/>
              </w:rPr>
              <w:t xml:space="preserve">Powder for oral dilution - each sachet for 2 liters </w:t>
            </w:r>
          </w:p>
          <w:p w14:paraId="001FA075" w14:textId="77777777" w:rsidR="0053427F" w:rsidRPr="007F0097" w:rsidRDefault="0053427F" w:rsidP="002D6DD7">
            <w:pPr>
              <w:jc w:val="both"/>
              <w:rPr>
                <w:rFonts w:cs="Times New Roman"/>
                <w:szCs w:val="24"/>
              </w:rPr>
            </w:pPr>
            <w:r w:rsidRPr="00AF662F">
              <w:rPr>
                <w:rFonts w:cs="Times New Roman"/>
                <w:b/>
                <w:bCs/>
                <w:szCs w:val="24"/>
              </w:rPr>
              <w:t>Provides:</w:t>
            </w:r>
            <w:r w:rsidRPr="007F0097">
              <w:rPr>
                <w:rFonts w:cs="Times New Roman"/>
                <w:szCs w:val="24"/>
              </w:rPr>
              <w:t xml:space="preserve"> glucose 125 mEq/L, sodium 45 mEq/L, potassium 40 mEq/L, chloride 70 mEq/L, with total osmolality 294 mEq/L</w:t>
            </w:r>
          </w:p>
        </w:tc>
      </w:tr>
      <w:tr w:rsidR="0053427F" w:rsidRPr="007F0097" w14:paraId="3E1792C8" w14:textId="77777777" w:rsidTr="002D6DD7">
        <w:tc>
          <w:tcPr>
            <w:tcW w:w="2695" w:type="dxa"/>
          </w:tcPr>
          <w:p w14:paraId="41E7B4BF"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710DEBAF" w14:textId="77777777" w:rsidR="0053427F" w:rsidRPr="007F0097" w:rsidRDefault="0053427F" w:rsidP="002D6DD7">
            <w:pPr>
              <w:jc w:val="both"/>
              <w:rPr>
                <w:rFonts w:cs="Times New Roman"/>
                <w:szCs w:val="24"/>
              </w:rPr>
            </w:pPr>
            <w:r w:rsidRPr="007F0097">
              <w:rPr>
                <w:rFonts w:cs="Times New Roman"/>
                <w:szCs w:val="24"/>
              </w:rPr>
              <w:t>Dehydration in severely malnourished individuals, particularly child suffering from severe acute malnutrition (SAM)</w:t>
            </w:r>
          </w:p>
        </w:tc>
      </w:tr>
      <w:tr w:rsidR="0053427F" w:rsidRPr="007F0097" w14:paraId="4EA455EA" w14:textId="77777777" w:rsidTr="002D6DD7">
        <w:tc>
          <w:tcPr>
            <w:tcW w:w="2695" w:type="dxa"/>
          </w:tcPr>
          <w:p w14:paraId="2966E663"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6BA134BC" w14:textId="77777777" w:rsidR="0053427F" w:rsidRPr="00C27F4C" w:rsidRDefault="0053427F" w:rsidP="002D6DD7">
            <w:pPr>
              <w:jc w:val="both"/>
              <w:rPr>
                <w:rFonts w:cs="Times New Roman"/>
                <w:b/>
                <w:bCs/>
                <w:szCs w:val="24"/>
              </w:rPr>
            </w:pPr>
            <w:r w:rsidRPr="00C27F4C">
              <w:rPr>
                <w:rFonts w:cs="Times New Roman"/>
                <w:b/>
                <w:bCs/>
                <w:szCs w:val="24"/>
              </w:rPr>
              <w:t>Preparation</w:t>
            </w:r>
            <w:r w:rsidR="00D06F64">
              <w:rPr>
                <w:rFonts w:cs="Times New Roman"/>
                <w:b/>
                <w:bCs/>
                <w:szCs w:val="24"/>
              </w:rPr>
              <w:t>:</w:t>
            </w:r>
          </w:p>
          <w:p w14:paraId="22710929" w14:textId="77777777" w:rsidR="0053427F" w:rsidRPr="006A0C76" w:rsidRDefault="0053427F" w:rsidP="002D6DD7">
            <w:pPr>
              <w:jc w:val="both"/>
              <w:rPr>
                <w:rFonts w:cs="Times New Roman"/>
                <w:szCs w:val="24"/>
              </w:rPr>
            </w:pPr>
            <w:r w:rsidRPr="00C27F4C">
              <w:rPr>
                <w:rFonts w:cs="Times New Roman"/>
                <w:b/>
                <w:bCs/>
                <w:szCs w:val="24"/>
              </w:rPr>
              <w:t>Adult and Child:</w:t>
            </w:r>
            <w:r w:rsidRPr="006A0C76">
              <w:rPr>
                <w:rFonts w:cs="Times New Roman"/>
                <w:szCs w:val="24"/>
              </w:rPr>
              <w:t xml:space="preserve"> Dissolve one packet of ReSoMal in 2 liters of clean, boiled, and cooled water. Stir well to ensure complete dissolution.</w:t>
            </w:r>
          </w:p>
          <w:p w14:paraId="65791CEB" w14:textId="77777777" w:rsidR="0053427F" w:rsidRPr="00C27F4C" w:rsidRDefault="0053427F" w:rsidP="002D6DD7">
            <w:pPr>
              <w:jc w:val="both"/>
              <w:rPr>
                <w:rFonts w:cs="Times New Roman"/>
                <w:b/>
                <w:bCs/>
                <w:szCs w:val="24"/>
              </w:rPr>
            </w:pPr>
            <w:r w:rsidRPr="00C27F4C">
              <w:rPr>
                <w:rFonts w:cs="Times New Roman"/>
                <w:b/>
                <w:bCs/>
                <w:szCs w:val="24"/>
              </w:rPr>
              <w:t xml:space="preserve">Dosage for </w:t>
            </w:r>
            <w:r>
              <w:rPr>
                <w:rFonts w:cs="Times New Roman"/>
                <w:b/>
                <w:bCs/>
                <w:szCs w:val="24"/>
              </w:rPr>
              <w:t>d</w:t>
            </w:r>
            <w:r w:rsidRPr="00C27F4C">
              <w:rPr>
                <w:rFonts w:cs="Times New Roman"/>
                <w:b/>
                <w:bCs/>
                <w:szCs w:val="24"/>
              </w:rPr>
              <w:t>ehydration</w:t>
            </w:r>
            <w:r w:rsidR="00D06F64">
              <w:rPr>
                <w:rFonts w:cs="Times New Roman"/>
                <w:b/>
                <w:bCs/>
                <w:szCs w:val="24"/>
              </w:rPr>
              <w:t>:</w:t>
            </w:r>
          </w:p>
          <w:p w14:paraId="725757F5" w14:textId="77777777" w:rsidR="0053427F" w:rsidRPr="006A0C76" w:rsidRDefault="0053427F" w:rsidP="002D6DD7">
            <w:pPr>
              <w:jc w:val="both"/>
              <w:rPr>
                <w:rFonts w:cs="Times New Roman"/>
                <w:szCs w:val="24"/>
              </w:rPr>
            </w:pPr>
            <w:r w:rsidRPr="006D39C0">
              <w:rPr>
                <w:rFonts w:cs="Times New Roman"/>
                <w:b/>
                <w:bCs/>
                <w:szCs w:val="24"/>
              </w:rPr>
              <w:t>Child (Up to 10 kg):</w:t>
            </w:r>
            <w:r w:rsidRPr="006A0C76">
              <w:rPr>
                <w:rFonts w:cs="Times New Roman"/>
                <w:szCs w:val="24"/>
              </w:rPr>
              <w:t xml:space="preserve"> Give 5 ml/kg every 30 minutes for the first 2 hours (total of 50 ml/kg). Then, give 5-10 ml/kg per hour for the next 4-6 hours.</w:t>
            </w:r>
          </w:p>
          <w:p w14:paraId="1BD6441F" w14:textId="77777777" w:rsidR="0053427F" w:rsidRPr="006A0C76" w:rsidRDefault="0053427F" w:rsidP="002D6DD7">
            <w:pPr>
              <w:jc w:val="both"/>
              <w:rPr>
                <w:rFonts w:cs="Times New Roman"/>
                <w:szCs w:val="24"/>
              </w:rPr>
            </w:pPr>
            <w:r w:rsidRPr="006D39C0">
              <w:rPr>
                <w:rFonts w:cs="Times New Roman"/>
                <w:b/>
                <w:bCs/>
                <w:szCs w:val="24"/>
              </w:rPr>
              <w:lastRenderedPageBreak/>
              <w:t>Child (Over 10 kg):</w:t>
            </w:r>
            <w:r w:rsidRPr="006A0C76">
              <w:rPr>
                <w:rFonts w:cs="Times New Roman"/>
                <w:szCs w:val="24"/>
              </w:rPr>
              <w:t xml:space="preserve"> Give 5 ml/kg every 30 minutes for the first 2 hours (total of 50 ml/kg). Then, give 5-10 ml/kg per hour for the next 4-6 hours.</w:t>
            </w:r>
          </w:p>
          <w:p w14:paraId="06002551" w14:textId="77777777" w:rsidR="0053427F" w:rsidRPr="006A0C76" w:rsidRDefault="0053427F" w:rsidP="002D6DD7">
            <w:pPr>
              <w:jc w:val="both"/>
              <w:rPr>
                <w:rFonts w:cs="Times New Roman"/>
                <w:szCs w:val="24"/>
              </w:rPr>
            </w:pPr>
            <w:r w:rsidRPr="006D39C0">
              <w:rPr>
                <w:rFonts w:cs="Times New Roman"/>
                <w:b/>
                <w:bCs/>
                <w:szCs w:val="24"/>
              </w:rPr>
              <w:t>Adult:</w:t>
            </w:r>
            <w:r w:rsidRPr="006A0C76">
              <w:rPr>
                <w:rFonts w:cs="Times New Roman"/>
                <w:szCs w:val="24"/>
              </w:rPr>
              <w:t xml:space="preserve"> Dosage is individualized based on the patient’s needs and clinical condition. Typically, follow similar guidelines as for children, adjusting for body weight.</w:t>
            </w:r>
          </w:p>
        </w:tc>
      </w:tr>
      <w:tr w:rsidR="0053427F" w:rsidRPr="007F0097" w14:paraId="37B2B108" w14:textId="77777777" w:rsidTr="002D6DD7">
        <w:tc>
          <w:tcPr>
            <w:tcW w:w="2695" w:type="dxa"/>
          </w:tcPr>
          <w:p w14:paraId="1180C269"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13AEE5CD" w14:textId="77777777" w:rsidR="0053427F" w:rsidRPr="007F0097" w:rsidRDefault="0053427F" w:rsidP="002D6DD7">
            <w:pPr>
              <w:jc w:val="both"/>
              <w:rPr>
                <w:rFonts w:cs="Times New Roman"/>
                <w:szCs w:val="24"/>
              </w:rPr>
            </w:pPr>
            <w:r w:rsidRPr="007F0097">
              <w:rPr>
                <w:rFonts w:cs="Times New Roman"/>
                <w:szCs w:val="24"/>
              </w:rPr>
              <w:t>Do not administer to patients with cholera or uncomplicated acute malnutrition; use standard ORS instead.</w:t>
            </w:r>
          </w:p>
        </w:tc>
      </w:tr>
      <w:tr w:rsidR="0053427F" w:rsidRPr="007F0097" w14:paraId="2B751AB0" w14:textId="77777777" w:rsidTr="002D6DD7">
        <w:tc>
          <w:tcPr>
            <w:tcW w:w="2695" w:type="dxa"/>
          </w:tcPr>
          <w:p w14:paraId="5D3E454A"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38F5095E" w14:textId="77777777" w:rsidR="0053427F" w:rsidRPr="007F0097" w:rsidRDefault="0053427F" w:rsidP="002D6DD7">
            <w:pPr>
              <w:jc w:val="both"/>
              <w:rPr>
                <w:rFonts w:cs="Times New Roman"/>
                <w:szCs w:val="24"/>
              </w:rPr>
            </w:pPr>
            <w:r w:rsidRPr="0074788B">
              <w:rPr>
                <w:rFonts w:cs="Times New Roman"/>
                <w:szCs w:val="24"/>
              </w:rPr>
              <w:t>Diuretics, ACE inhibitors, potassium supplements, corticosteroids</w:t>
            </w:r>
          </w:p>
        </w:tc>
      </w:tr>
      <w:tr w:rsidR="0053427F" w:rsidRPr="007F0097" w14:paraId="43C1F55F" w14:textId="77777777" w:rsidTr="002D6DD7">
        <w:tc>
          <w:tcPr>
            <w:tcW w:w="2695" w:type="dxa"/>
          </w:tcPr>
          <w:p w14:paraId="468DACFA"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4431C0E5" w14:textId="77777777" w:rsidR="0053427F" w:rsidRPr="007F0097" w:rsidRDefault="0053427F" w:rsidP="002D6DD7">
            <w:pPr>
              <w:jc w:val="both"/>
              <w:rPr>
                <w:rFonts w:cs="Times New Roman"/>
                <w:szCs w:val="24"/>
              </w:rPr>
            </w:pPr>
            <w:r w:rsidRPr="00943F3E">
              <w:rPr>
                <w:rFonts w:cs="Times New Roman"/>
                <w:szCs w:val="24"/>
              </w:rPr>
              <w:t>Hypernatremia, fluid overload, diarrhea, electrolyte imbalances, vomiting</w:t>
            </w:r>
          </w:p>
        </w:tc>
      </w:tr>
      <w:tr w:rsidR="0053427F" w:rsidRPr="007F0097" w14:paraId="07504EBF" w14:textId="77777777" w:rsidTr="002D6DD7">
        <w:tc>
          <w:tcPr>
            <w:tcW w:w="2695" w:type="dxa"/>
          </w:tcPr>
          <w:p w14:paraId="02EF11BC"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28881311" w14:textId="77777777" w:rsidR="0053427F" w:rsidRPr="007F0097" w:rsidRDefault="0053427F" w:rsidP="002D6DD7">
            <w:pPr>
              <w:jc w:val="both"/>
              <w:rPr>
                <w:rFonts w:cs="Times New Roman"/>
                <w:szCs w:val="24"/>
              </w:rPr>
            </w:pPr>
            <w:r w:rsidRPr="00005C38">
              <w:rPr>
                <w:rFonts w:cs="Times New Roman"/>
                <w:szCs w:val="24"/>
              </w:rPr>
              <w:t>Renal impairment, heart failure, severe dehydration, careful monitoring of electrolytes, use cautiously in children with edema, avoid in cases of shock or severe dehydration requiring intravenous fluids</w:t>
            </w:r>
            <w:r>
              <w:rPr>
                <w:rFonts w:cs="Times New Roman"/>
                <w:szCs w:val="24"/>
              </w:rPr>
              <w:t xml:space="preserve"> </w:t>
            </w:r>
          </w:p>
        </w:tc>
      </w:tr>
      <w:tr w:rsidR="0053427F" w:rsidRPr="007F0097" w14:paraId="6B820DC6" w14:textId="77777777" w:rsidTr="002D6DD7">
        <w:tc>
          <w:tcPr>
            <w:tcW w:w="2695" w:type="dxa"/>
          </w:tcPr>
          <w:p w14:paraId="2EE99828"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527EF4CC" w14:textId="77777777" w:rsidR="0053427F" w:rsidRPr="007F0097" w:rsidRDefault="0053427F" w:rsidP="002D6DD7">
            <w:pPr>
              <w:jc w:val="both"/>
              <w:rPr>
                <w:rFonts w:cs="Times New Roman"/>
                <w:szCs w:val="24"/>
              </w:rPr>
            </w:pPr>
            <w:r w:rsidRPr="007F0097">
              <w:rPr>
                <w:rFonts w:cs="Times New Roman"/>
                <w:szCs w:val="24"/>
              </w:rPr>
              <w:t>Store below 30</w:t>
            </w:r>
            <w:r w:rsidRPr="007F0097">
              <w:rPr>
                <w:rFonts w:cs="Times New Roman"/>
                <w:szCs w:val="24"/>
                <w:vertAlign w:val="superscript"/>
              </w:rPr>
              <w:t>0</w:t>
            </w:r>
            <w:r w:rsidRPr="007F0097">
              <w:rPr>
                <w:rFonts w:cs="Times New Roman"/>
                <w:szCs w:val="24"/>
              </w:rPr>
              <w:t>C.</w:t>
            </w:r>
          </w:p>
        </w:tc>
      </w:tr>
      <w:tr w:rsidR="0053427F" w:rsidRPr="007F0097" w14:paraId="6C0C7AE9" w14:textId="77777777" w:rsidTr="002D6DD7">
        <w:tc>
          <w:tcPr>
            <w:tcW w:w="9355" w:type="dxa"/>
            <w:gridSpan w:val="2"/>
          </w:tcPr>
          <w:p w14:paraId="775752B2" w14:textId="77777777" w:rsidR="0053427F" w:rsidRPr="007F0097" w:rsidRDefault="0053427F" w:rsidP="002D6DD7">
            <w:pPr>
              <w:jc w:val="both"/>
              <w:rPr>
                <w:rFonts w:cs="Times New Roman"/>
                <w:b/>
                <w:bCs/>
                <w:szCs w:val="24"/>
              </w:rPr>
            </w:pPr>
            <w:bookmarkStart w:id="175" w:name="_Toc168320661"/>
            <w:r w:rsidRPr="007F0097">
              <w:rPr>
                <w:rFonts w:cs="Times New Roman"/>
                <w:b/>
                <w:bCs/>
                <w:szCs w:val="24"/>
              </w:rPr>
              <w:t>Sevelamer</w:t>
            </w:r>
            <w:bookmarkEnd w:id="175"/>
          </w:p>
        </w:tc>
      </w:tr>
      <w:tr w:rsidR="0053427F" w:rsidRPr="007F0097" w14:paraId="30A532A6" w14:textId="77777777" w:rsidTr="002D6DD7">
        <w:tc>
          <w:tcPr>
            <w:tcW w:w="2695" w:type="dxa"/>
          </w:tcPr>
          <w:p w14:paraId="35D42D6A"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27DEFD39" w14:textId="77777777" w:rsidR="0053427F" w:rsidRPr="007F0097" w:rsidRDefault="0053427F" w:rsidP="002D6DD7">
            <w:pPr>
              <w:jc w:val="both"/>
              <w:rPr>
                <w:rFonts w:cs="Times New Roman"/>
                <w:szCs w:val="24"/>
              </w:rPr>
            </w:pPr>
            <w:r w:rsidRPr="007F0097">
              <w:rPr>
                <w:rFonts w:cs="Times New Roman"/>
                <w:szCs w:val="24"/>
              </w:rPr>
              <w:t>Phosphate binder</w:t>
            </w:r>
          </w:p>
        </w:tc>
      </w:tr>
      <w:tr w:rsidR="0053427F" w:rsidRPr="007F0097" w14:paraId="485CA68B" w14:textId="77777777" w:rsidTr="002D6DD7">
        <w:tc>
          <w:tcPr>
            <w:tcW w:w="2695" w:type="dxa"/>
          </w:tcPr>
          <w:p w14:paraId="4C94D3F5"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04944D0D" w14:textId="77777777" w:rsidR="0053427F" w:rsidRPr="007F0097" w:rsidRDefault="0053427F" w:rsidP="002D6DD7">
            <w:pPr>
              <w:jc w:val="both"/>
              <w:rPr>
                <w:rFonts w:cs="Times New Roman"/>
                <w:szCs w:val="24"/>
              </w:rPr>
            </w:pPr>
            <w:r w:rsidRPr="007F0097">
              <w:rPr>
                <w:rFonts w:cs="Times New Roman"/>
                <w:szCs w:val="24"/>
              </w:rPr>
              <w:t xml:space="preserve">Tablet: 800mg, 1200mg, 1600 mg </w:t>
            </w:r>
          </w:p>
        </w:tc>
      </w:tr>
      <w:tr w:rsidR="0053427F" w:rsidRPr="007F0097" w14:paraId="7A9BE377" w14:textId="77777777" w:rsidTr="002D6DD7">
        <w:tc>
          <w:tcPr>
            <w:tcW w:w="2695" w:type="dxa"/>
          </w:tcPr>
          <w:p w14:paraId="256DEC87"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0517BC35" w14:textId="77777777" w:rsidR="0053427F" w:rsidRPr="007F0097" w:rsidRDefault="0053427F" w:rsidP="002D6DD7">
            <w:pPr>
              <w:jc w:val="both"/>
              <w:rPr>
                <w:rFonts w:cs="Times New Roman"/>
                <w:szCs w:val="24"/>
              </w:rPr>
            </w:pPr>
            <w:r w:rsidRPr="007F0097">
              <w:rPr>
                <w:rFonts w:cs="Times New Roman"/>
                <w:szCs w:val="24"/>
              </w:rPr>
              <w:t>Hyperphosphatemia in chronic kidney disease (CKD) patients on dialysis</w:t>
            </w:r>
          </w:p>
        </w:tc>
      </w:tr>
      <w:tr w:rsidR="0053427F" w:rsidRPr="007F0097" w14:paraId="295ABF4E" w14:textId="77777777" w:rsidTr="002D6DD7">
        <w:tc>
          <w:tcPr>
            <w:tcW w:w="2695" w:type="dxa"/>
          </w:tcPr>
          <w:p w14:paraId="49723E7F"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3ED46820" w14:textId="77777777" w:rsidR="0053427F" w:rsidRPr="00793EAD" w:rsidRDefault="0053427F" w:rsidP="002D6DD7">
            <w:pPr>
              <w:jc w:val="both"/>
              <w:rPr>
                <w:rFonts w:cs="Times New Roman"/>
                <w:b/>
                <w:bCs/>
                <w:szCs w:val="24"/>
              </w:rPr>
            </w:pPr>
            <w:r w:rsidRPr="001E5C31">
              <w:rPr>
                <w:rFonts w:cs="Times New Roman"/>
                <w:b/>
                <w:bCs/>
                <w:szCs w:val="24"/>
              </w:rPr>
              <w:t>Adult</w:t>
            </w:r>
            <w:r>
              <w:rPr>
                <w:rFonts w:cs="Times New Roman"/>
                <w:b/>
                <w:bCs/>
                <w:szCs w:val="24"/>
              </w:rPr>
              <w:t xml:space="preserve">, </w:t>
            </w:r>
            <w:r w:rsidRPr="00793EAD">
              <w:rPr>
                <w:rFonts w:cs="Times New Roman"/>
                <w:b/>
                <w:bCs/>
                <w:szCs w:val="24"/>
              </w:rPr>
              <w:t xml:space="preserve">Initial </w:t>
            </w:r>
            <w:r>
              <w:rPr>
                <w:rFonts w:cs="Times New Roman"/>
                <w:b/>
                <w:bCs/>
                <w:szCs w:val="24"/>
              </w:rPr>
              <w:t>d</w:t>
            </w:r>
            <w:r w:rsidRPr="00793EAD">
              <w:rPr>
                <w:rFonts w:cs="Times New Roman"/>
                <w:b/>
                <w:bCs/>
                <w:szCs w:val="24"/>
              </w:rPr>
              <w:t>ose:</w:t>
            </w:r>
          </w:p>
          <w:p w14:paraId="75AB733B" w14:textId="77777777" w:rsidR="0053427F" w:rsidRPr="001E5C31" w:rsidRDefault="0053427F" w:rsidP="002D6DD7">
            <w:pPr>
              <w:jc w:val="both"/>
              <w:rPr>
                <w:rFonts w:cs="Times New Roman"/>
                <w:szCs w:val="24"/>
              </w:rPr>
            </w:pPr>
            <w:r w:rsidRPr="001E5C31">
              <w:rPr>
                <w:rFonts w:cs="Times New Roman"/>
                <w:szCs w:val="24"/>
              </w:rPr>
              <w:t>If serum phosphorus is &gt;5.5 mg/dL but &lt;7.5 mg/dL: 800 mg three times daily with meals.</w:t>
            </w:r>
          </w:p>
          <w:p w14:paraId="4D7095F2" w14:textId="77777777" w:rsidR="0053427F" w:rsidRPr="001E5C31" w:rsidRDefault="0053427F" w:rsidP="002D6DD7">
            <w:pPr>
              <w:jc w:val="both"/>
              <w:rPr>
                <w:rFonts w:cs="Times New Roman"/>
                <w:szCs w:val="24"/>
              </w:rPr>
            </w:pPr>
            <w:r w:rsidRPr="001E5C31">
              <w:rPr>
                <w:rFonts w:cs="Times New Roman"/>
                <w:szCs w:val="24"/>
              </w:rPr>
              <w:t>If serum phosphorus is ≥7.5 mg/dL: 1,600 mg three times daily with meals.</w:t>
            </w:r>
          </w:p>
          <w:p w14:paraId="733533F6" w14:textId="77777777" w:rsidR="0053427F" w:rsidRDefault="0053427F" w:rsidP="002D6DD7">
            <w:pPr>
              <w:jc w:val="both"/>
              <w:rPr>
                <w:rFonts w:cs="Times New Roman"/>
                <w:szCs w:val="24"/>
              </w:rPr>
            </w:pPr>
            <w:r w:rsidRPr="001E5C31">
              <w:rPr>
                <w:rFonts w:cs="Times New Roman"/>
                <w:b/>
                <w:bCs/>
                <w:szCs w:val="24"/>
              </w:rPr>
              <w:t>Adult</w:t>
            </w:r>
            <w:r>
              <w:rPr>
                <w:rFonts w:cs="Times New Roman"/>
                <w:b/>
                <w:bCs/>
                <w:szCs w:val="24"/>
              </w:rPr>
              <w:t xml:space="preserve">, </w:t>
            </w:r>
            <w:r w:rsidRPr="00E46B8A">
              <w:rPr>
                <w:rFonts w:cs="Times New Roman"/>
                <w:b/>
                <w:bCs/>
                <w:szCs w:val="24"/>
              </w:rPr>
              <w:t>Maintenance dose:</w:t>
            </w:r>
            <w:r w:rsidRPr="001E5C31">
              <w:rPr>
                <w:rFonts w:cs="Times New Roman"/>
                <w:szCs w:val="24"/>
              </w:rPr>
              <w:t xml:space="preserve"> </w:t>
            </w:r>
          </w:p>
          <w:p w14:paraId="5B175668" w14:textId="77777777" w:rsidR="0053427F" w:rsidRPr="001E5C31" w:rsidRDefault="0053427F" w:rsidP="002D6DD7">
            <w:pPr>
              <w:jc w:val="both"/>
              <w:rPr>
                <w:rFonts w:cs="Times New Roman"/>
                <w:szCs w:val="24"/>
              </w:rPr>
            </w:pPr>
            <w:r w:rsidRPr="001E5C31">
              <w:rPr>
                <w:rFonts w:cs="Times New Roman"/>
                <w:szCs w:val="24"/>
              </w:rPr>
              <w:t>Adjust based on serum phosphorus levels</w:t>
            </w:r>
            <w:r>
              <w:rPr>
                <w:rFonts w:cs="Times New Roman"/>
                <w:szCs w:val="24"/>
              </w:rPr>
              <w:t xml:space="preserve"> (</w:t>
            </w:r>
            <w:r w:rsidRPr="001E5C31">
              <w:rPr>
                <w:rFonts w:cs="Times New Roman"/>
                <w:szCs w:val="24"/>
              </w:rPr>
              <w:t>maintenance dose ranges from 800 mg to 1,600 mg three times daily with meals</w:t>
            </w:r>
            <w:r>
              <w:rPr>
                <w:rFonts w:cs="Times New Roman"/>
                <w:szCs w:val="24"/>
              </w:rPr>
              <w:t>)</w:t>
            </w:r>
            <w:r w:rsidRPr="001E5C31">
              <w:rPr>
                <w:rFonts w:cs="Times New Roman"/>
                <w:szCs w:val="24"/>
              </w:rPr>
              <w:t>.</w:t>
            </w:r>
          </w:p>
        </w:tc>
      </w:tr>
      <w:tr w:rsidR="0053427F" w:rsidRPr="007F0097" w14:paraId="14FDC790" w14:textId="77777777" w:rsidTr="002D6DD7">
        <w:tc>
          <w:tcPr>
            <w:tcW w:w="2695" w:type="dxa"/>
          </w:tcPr>
          <w:p w14:paraId="1969DFEA" w14:textId="77777777" w:rsidR="0053427F" w:rsidRPr="007F0097" w:rsidRDefault="0053427F" w:rsidP="002D6DD7">
            <w:pPr>
              <w:jc w:val="both"/>
              <w:rPr>
                <w:rFonts w:cs="Times New Roman"/>
                <w:szCs w:val="24"/>
              </w:rPr>
            </w:pPr>
            <w:r w:rsidRPr="007F0097">
              <w:rPr>
                <w:rFonts w:cs="Times New Roman"/>
                <w:szCs w:val="24"/>
              </w:rPr>
              <w:t>Contraindications</w:t>
            </w:r>
          </w:p>
        </w:tc>
        <w:tc>
          <w:tcPr>
            <w:tcW w:w="6660" w:type="dxa"/>
          </w:tcPr>
          <w:p w14:paraId="0DBFDFEA" w14:textId="77777777" w:rsidR="0053427F" w:rsidRPr="007F0097" w:rsidRDefault="0053427F" w:rsidP="002D6DD7">
            <w:pPr>
              <w:jc w:val="both"/>
              <w:rPr>
                <w:rFonts w:cs="Times New Roman"/>
                <w:szCs w:val="24"/>
              </w:rPr>
            </w:pPr>
            <w:r w:rsidRPr="007F0097">
              <w:rPr>
                <w:rFonts w:cs="Times New Roman"/>
                <w:szCs w:val="24"/>
              </w:rPr>
              <w:t xml:space="preserve">Hypersensitivity to </w:t>
            </w:r>
            <w:r>
              <w:rPr>
                <w:rFonts w:cs="Times New Roman"/>
                <w:szCs w:val="24"/>
              </w:rPr>
              <w:t>the drug, b</w:t>
            </w:r>
            <w:r w:rsidRPr="007F0097">
              <w:rPr>
                <w:rFonts w:cs="Times New Roman"/>
                <w:szCs w:val="24"/>
              </w:rPr>
              <w:t>owel obstruction</w:t>
            </w:r>
          </w:p>
        </w:tc>
      </w:tr>
      <w:tr w:rsidR="0053427F" w:rsidRPr="007F0097" w14:paraId="417B513A" w14:textId="77777777" w:rsidTr="002D6DD7">
        <w:tc>
          <w:tcPr>
            <w:tcW w:w="2695" w:type="dxa"/>
          </w:tcPr>
          <w:p w14:paraId="66DD9196" w14:textId="77777777" w:rsidR="0053427F" w:rsidRPr="007F0097" w:rsidRDefault="0053427F" w:rsidP="002D6DD7">
            <w:pPr>
              <w:jc w:val="both"/>
              <w:rPr>
                <w:rFonts w:cs="Times New Roman"/>
                <w:szCs w:val="24"/>
              </w:rPr>
            </w:pPr>
            <w:r w:rsidRPr="007F0097">
              <w:rPr>
                <w:rFonts w:cs="Times New Roman"/>
                <w:szCs w:val="24"/>
              </w:rPr>
              <w:lastRenderedPageBreak/>
              <w:t>Drug interactions</w:t>
            </w:r>
          </w:p>
        </w:tc>
        <w:tc>
          <w:tcPr>
            <w:tcW w:w="6660" w:type="dxa"/>
          </w:tcPr>
          <w:p w14:paraId="5D27231F" w14:textId="77777777" w:rsidR="0053427F" w:rsidRPr="007F0097" w:rsidRDefault="0053427F" w:rsidP="002D6DD7">
            <w:pPr>
              <w:jc w:val="both"/>
              <w:rPr>
                <w:rFonts w:cs="Times New Roman"/>
                <w:szCs w:val="24"/>
              </w:rPr>
            </w:pPr>
            <w:r w:rsidRPr="007F0097">
              <w:rPr>
                <w:rFonts w:cs="Times New Roman"/>
                <w:szCs w:val="24"/>
              </w:rPr>
              <w:t xml:space="preserve">Ciprofloxacin, mycophenolate mofetil, levothyroxine, </w:t>
            </w:r>
            <w:r>
              <w:rPr>
                <w:rFonts w:cs="Times New Roman"/>
                <w:szCs w:val="24"/>
              </w:rPr>
              <w:t>antiepileptic</w:t>
            </w:r>
            <w:r w:rsidRPr="007F0097">
              <w:rPr>
                <w:rFonts w:cs="Times New Roman"/>
                <w:szCs w:val="24"/>
              </w:rPr>
              <w:t xml:space="preserve"> </w:t>
            </w:r>
            <w:r>
              <w:rPr>
                <w:rFonts w:cs="Times New Roman"/>
                <w:szCs w:val="24"/>
              </w:rPr>
              <w:t>medicines</w:t>
            </w:r>
          </w:p>
        </w:tc>
      </w:tr>
      <w:tr w:rsidR="0053427F" w:rsidRPr="007F0097" w14:paraId="59310382" w14:textId="77777777" w:rsidTr="002D6DD7">
        <w:tc>
          <w:tcPr>
            <w:tcW w:w="2695" w:type="dxa"/>
          </w:tcPr>
          <w:p w14:paraId="32E7E64D"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057AF5B6" w14:textId="77777777" w:rsidR="0053427F" w:rsidRPr="007F0097" w:rsidRDefault="0053427F" w:rsidP="002D6DD7">
            <w:pPr>
              <w:jc w:val="both"/>
              <w:rPr>
                <w:rFonts w:cs="Times New Roman"/>
                <w:szCs w:val="24"/>
              </w:rPr>
            </w:pPr>
            <w:r w:rsidRPr="007F0097">
              <w:rPr>
                <w:rFonts w:cs="Times New Roman"/>
                <w:szCs w:val="24"/>
              </w:rPr>
              <w:t xml:space="preserve">Nausea, vomiting, diarrhea, dyspepsia, abdominal pain, flatulence, </w:t>
            </w:r>
            <w:r>
              <w:rPr>
                <w:rFonts w:cs="Times New Roman"/>
                <w:szCs w:val="24"/>
              </w:rPr>
              <w:t>GI</w:t>
            </w:r>
            <w:r w:rsidRPr="007F0097">
              <w:rPr>
                <w:rFonts w:cs="Times New Roman"/>
                <w:szCs w:val="24"/>
              </w:rPr>
              <w:t xml:space="preserve"> obstruction, perforation, or ileus.</w:t>
            </w:r>
          </w:p>
        </w:tc>
      </w:tr>
      <w:tr w:rsidR="0053427F" w:rsidRPr="007F0097" w14:paraId="0BAA28B4" w14:textId="77777777" w:rsidTr="002D6DD7">
        <w:tc>
          <w:tcPr>
            <w:tcW w:w="2695" w:type="dxa"/>
          </w:tcPr>
          <w:p w14:paraId="48607B80"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386EBF35" w14:textId="77777777" w:rsidR="0053427F" w:rsidRPr="007F0097" w:rsidRDefault="0053427F" w:rsidP="002D6DD7">
            <w:pPr>
              <w:jc w:val="both"/>
              <w:rPr>
                <w:rFonts w:cs="Times New Roman"/>
                <w:szCs w:val="24"/>
              </w:rPr>
            </w:pPr>
            <w:r w:rsidRPr="007F0097">
              <w:rPr>
                <w:rFonts w:cs="Times New Roman"/>
                <w:szCs w:val="24"/>
              </w:rPr>
              <w:t xml:space="preserve">Swallowing disorders, </w:t>
            </w:r>
            <w:r>
              <w:rPr>
                <w:rFonts w:cs="Times New Roman"/>
                <w:szCs w:val="24"/>
              </w:rPr>
              <w:t>GI</w:t>
            </w:r>
            <w:r w:rsidRPr="007F0097">
              <w:rPr>
                <w:rFonts w:cs="Times New Roman"/>
                <w:szCs w:val="24"/>
              </w:rPr>
              <w:t xml:space="preserve"> motility disorders, vitamin deficiencies</w:t>
            </w:r>
          </w:p>
        </w:tc>
      </w:tr>
      <w:tr w:rsidR="0053427F" w:rsidRPr="007F0097" w14:paraId="34D45379" w14:textId="77777777" w:rsidTr="002D6DD7">
        <w:tc>
          <w:tcPr>
            <w:tcW w:w="2695" w:type="dxa"/>
          </w:tcPr>
          <w:p w14:paraId="19E829B4"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7A94AD96" w14:textId="77777777" w:rsidR="0053427F" w:rsidRPr="007F0097" w:rsidRDefault="0053427F" w:rsidP="002D6DD7">
            <w:pPr>
              <w:jc w:val="both"/>
              <w:rPr>
                <w:rFonts w:cs="Times New Roman"/>
                <w:szCs w:val="24"/>
              </w:rPr>
            </w:pPr>
            <w:r w:rsidRPr="007F0097">
              <w:rPr>
                <w:rFonts w:cs="Times New Roman"/>
                <w:szCs w:val="24"/>
              </w:rPr>
              <w:t xml:space="preserve">Store below 30 </w:t>
            </w:r>
            <w:r w:rsidRPr="007F0097">
              <w:rPr>
                <w:rFonts w:cs="Times New Roman"/>
                <w:szCs w:val="24"/>
                <w:vertAlign w:val="superscript"/>
              </w:rPr>
              <w:t>0</w:t>
            </w:r>
            <w:r w:rsidRPr="007F0097">
              <w:rPr>
                <w:rFonts w:cs="Times New Roman"/>
                <w:szCs w:val="24"/>
              </w:rPr>
              <w:t>C. Protect from moisture and light.</w:t>
            </w:r>
          </w:p>
        </w:tc>
      </w:tr>
      <w:tr w:rsidR="0053427F" w:rsidRPr="007F0097" w14:paraId="334F6FF6" w14:textId="77777777" w:rsidTr="002D6DD7">
        <w:tc>
          <w:tcPr>
            <w:tcW w:w="9355" w:type="dxa"/>
            <w:gridSpan w:val="2"/>
          </w:tcPr>
          <w:p w14:paraId="509305B9" w14:textId="77777777" w:rsidR="0053427F" w:rsidRPr="007F0097" w:rsidRDefault="0053427F" w:rsidP="002D6DD7">
            <w:pPr>
              <w:jc w:val="both"/>
              <w:rPr>
                <w:rFonts w:cs="Times New Roman"/>
                <w:b/>
                <w:bCs/>
                <w:szCs w:val="24"/>
              </w:rPr>
            </w:pPr>
            <w:bookmarkStart w:id="176" w:name="_Toc168320660"/>
            <w:r w:rsidRPr="007F0097">
              <w:rPr>
                <w:rFonts w:eastAsia="Times New Roman" w:cs="Times New Roman"/>
                <w:b/>
                <w:bCs/>
                <w:szCs w:val="24"/>
              </w:rPr>
              <w:t>Sodium bicarbonate</w:t>
            </w:r>
            <w:bookmarkEnd w:id="176"/>
          </w:p>
        </w:tc>
      </w:tr>
      <w:tr w:rsidR="0053427F" w:rsidRPr="007F0097" w14:paraId="6F2D6012" w14:textId="77777777" w:rsidTr="002D6DD7">
        <w:tc>
          <w:tcPr>
            <w:tcW w:w="2695" w:type="dxa"/>
          </w:tcPr>
          <w:p w14:paraId="0986FD79"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1AB6BAEA" w14:textId="77777777" w:rsidR="0053427F" w:rsidRPr="007F0097" w:rsidRDefault="0053427F" w:rsidP="002D6DD7">
            <w:pPr>
              <w:jc w:val="both"/>
              <w:rPr>
                <w:rFonts w:cs="Times New Roman"/>
                <w:i/>
                <w:iCs/>
                <w:szCs w:val="24"/>
              </w:rPr>
            </w:pPr>
            <w:r w:rsidRPr="007F0097">
              <w:rPr>
                <w:rFonts w:cs="Times New Roman"/>
                <w:szCs w:val="24"/>
              </w:rPr>
              <w:t>Alkalinizing agent</w:t>
            </w:r>
          </w:p>
        </w:tc>
      </w:tr>
      <w:tr w:rsidR="0053427F" w:rsidRPr="007F0097" w14:paraId="7C9C50F1" w14:textId="77777777" w:rsidTr="002D6DD7">
        <w:tc>
          <w:tcPr>
            <w:tcW w:w="2695" w:type="dxa"/>
          </w:tcPr>
          <w:p w14:paraId="3ACB942A"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2EFFF264" w14:textId="77777777" w:rsidR="0053427F" w:rsidRPr="007F0097" w:rsidRDefault="0053427F" w:rsidP="002D6DD7">
            <w:pPr>
              <w:jc w:val="both"/>
              <w:rPr>
                <w:rFonts w:cs="Times New Roman"/>
                <w:szCs w:val="24"/>
              </w:rPr>
            </w:pPr>
            <w:r w:rsidRPr="007F0097">
              <w:rPr>
                <w:rFonts w:cs="Times New Roman"/>
                <w:szCs w:val="24"/>
              </w:rPr>
              <w:t>Tablet: 500mg, 650mg</w:t>
            </w:r>
          </w:p>
          <w:p w14:paraId="2C02A5B8" w14:textId="77777777" w:rsidR="0053427F" w:rsidRPr="007F0097" w:rsidRDefault="0053427F" w:rsidP="002D6DD7">
            <w:pPr>
              <w:jc w:val="both"/>
              <w:rPr>
                <w:rFonts w:cs="Times New Roman"/>
                <w:szCs w:val="24"/>
              </w:rPr>
            </w:pPr>
            <w:r w:rsidRPr="007F0097">
              <w:rPr>
                <w:rFonts w:cs="Times New Roman"/>
                <w:szCs w:val="24"/>
              </w:rPr>
              <w:t xml:space="preserve">Injection (concentrated), 8.4% (50meq/50ml)                                                                                       </w:t>
            </w:r>
          </w:p>
        </w:tc>
      </w:tr>
      <w:tr w:rsidR="0053427F" w:rsidRPr="007F0097" w14:paraId="28FB858D" w14:textId="77777777" w:rsidTr="002D6DD7">
        <w:tc>
          <w:tcPr>
            <w:tcW w:w="2695" w:type="dxa"/>
          </w:tcPr>
          <w:p w14:paraId="13DA2A3C" w14:textId="77777777" w:rsidR="0053427F" w:rsidRPr="007F0097" w:rsidRDefault="0053427F" w:rsidP="002D6DD7">
            <w:pPr>
              <w:jc w:val="both"/>
              <w:rPr>
                <w:rFonts w:cs="Times New Roman"/>
                <w:szCs w:val="24"/>
              </w:rPr>
            </w:pPr>
            <w:r w:rsidRPr="007F0097">
              <w:rPr>
                <w:rFonts w:cs="Times New Roman"/>
                <w:szCs w:val="24"/>
              </w:rPr>
              <w:t>Indications</w:t>
            </w:r>
          </w:p>
        </w:tc>
        <w:tc>
          <w:tcPr>
            <w:tcW w:w="6660" w:type="dxa"/>
          </w:tcPr>
          <w:p w14:paraId="3392FCDD" w14:textId="77777777" w:rsidR="0053427F" w:rsidRPr="007F0097" w:rsidRDefault="0053427F" w:rsidP="002D6DD7">
            <w:pPr>
              <w:jc w:val="both"/>
              <w:rPr>
                <w:rFonts w:cs="Times New Roman"/>
                <w:szCs w:val="24"/>
              </w:rPr>
            </w:pPr>
            <w:r w:rsidRPr="007F0097">
              <w:rPr>
                <w:rFonts w:cs="Times New Roman"/>
                <w:szCs w:val="24"/>
              </w:rPr>
              <w:t>Metabolic acidosis, hyperkalemia, urine alkalinization, gastric hyperacidity (as an antacid).</w:t>
            </w:r>
          </w:p>
        </w:tc>
      </w:tr>
      <w:tr w:rsidR="0053427F" w:rsidRPr="007F0097" w14:paraId="11AE63F9" w14:textId="77777777" w:rsidTr="002D6DD7">
        <w:tc>
          <w:tcPr>
            <w:tcW w:w="2695" w:type="dxa"/>
          </w:tcPr>
          <w:p w14:paraId="543F2ED7"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16F4C5ED" w14:textId="77777777" w:rsidR="0053427F" w:rsidRPr="00E439BD" w:rsidRDefault="0053427F" w:rsidP="002D6DD7">
            <w:pPr>
              <w:jc w:val="both"/>
              <w:rPr>
                <w:rFonts w:cs="Times New Roman"/>
                <w:b/>
                <w:bCs/>
                <w:szCs w:val="24"/>
              </w:rPr>
            </w:pPr>
            <w:r w:rsidRPr="00E439BD">
              <w:rPr>
                <w:rFonts w:cs="Times New Roman"/>
                <w:b/>
                <w:bCs/>
                <w:szCs w:val="24"/>
              </w:rPr>
              <w:t>Alkalinization of urine and relief of mild urinary tract discomfort, Oral:</w:t>
            </w:r>
          </w:p>
          <w:p w14:paraId="4759C414"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3 g every 2 hours until urinary pH exceeds 7, dissolved in water.</w:t>
            </w:r>
          </w:p>
          <w:p w14:paraId="59C408D5" w14:textId="77777777" w:rsidR="0053427F" w:rsidRPr="00E439BD" w:rsidRDefault="0053427F" w:rsidP="002D6DD7">
            <w:pPr>
              <w:jc w:val="both"/>
              <w:rPr>
                <w:rFonts w:cs="Times New Roman"/>
                <w:szCs w:val="24"/>
              </w:rPr>
            </w:pPr>
            <w:r w:rsidRPr="00E439BD">
              <w:rPr>
                <w:rFonts w:cs="Times New Roman"/>
                <w:b/>
                <w:bCs/>
                <w:szCs w:val="24"/>
              </w:rPr>
              <w:t>Neonate and Child:</w:t>
            </w:r>
            <w:r w:rsidRPr="00E439BD">
              <w:rPr>
                <w:rFonts w:cs="Times New Roman"/>
                <w:szCs w:val="24"/>
              </w:rPr>
              <w:t xml:space="preserve"> Initially 1–2 mmol/kg daily in divided doses, adjusted according to response.</w:t>
            </w:r>
          </w:p>
          <w:p w14:paraId="5093BDDA" w14:textId="77777777" w:rsidR="0053427F" w:rsidRPr="00E439BD" w:rsidRDefault="0053427F" w:rsidP="002D6DD7">
            <w:pPr>
              <w:jc w:val="both"/>
              <w:rPr>
                <w:rFonts w:cs="Times New Roman"/>
                <w:b/>
                <w:bCs/>
                <w:szCs w:val="24"/>
              </w:rPr>
            </w:pPr>
            <w:r w:rsidRPr="00E439BD">
              <w:rPr>
                <w:rFonts w:cs="Times New Roman"/>
                <w:b/>
                <w:bCs/>
                <w:szCs w:val="24"/>
              </w:rPr>
              <w:t>Maintenance of alkaline urine</w:t>
            </w:r>
            <w:r w:rsidR="00D06F64">
              <w:rPr>
                <w:rFonts w:cs="Times New Roman"/>
                <w:b/>
                <w:bCs/>
                <w:szCs w:val="24"/>
              </w:rPr>
              <w:t>:</w:t>
            </w:r>
          </w:p>
          <w:p w14:paraId="4EE7324E"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5–10 g daily, dissolved in water.</w:t>
            </w:r>
          </w:p>
          <w:p w14:paraId="1681B993" w14:textId="77777777" w:rsidR="0053427F" w:rsidRPr="00E439BD" w:rsidRDefault="0053427F" w:rsidP="002D6DD7">
            <w:pPr>
              <w:jc w:val="both"/>
              <w:rPr>
                <w:rFonts w:cs="Times New Roman"/>
                <w:szCs w:val="24"/>
              </w:rPr>
            </w:pPr>
            <w:r w:rsidRPr="00E439BD">
              <w:rPr>
                <w:rFonts w:cs="Times New Roman"/>
                <w:b/>
                <w:bCs/>
                <w:szCs w:val="24"/>
              </w:rPr>
              <w:t>Neonate and Child:</w:t>
            </w:r>
            <w:r w:rsidRPr="00E439BD">
              <w:rPr>
                <w:rFonts w:cs="Times New Roman"/>
                <w:szCs w:val="24"/>
              </w:rPr>
              <w:t xml:space="preserve"> Initially 1–2 mmol/kg daily in divided doses, adjusted according to response.</w:t>
            </w:r>
          </w:p>
          <w:p w14:paraId="09B8EAB6" w14:textId="77777777" w:rsidR="0053427F" w:rsidRPr="00E439BD" w:rsidRDefault="0053427F" w:rsidP="002D6DD7">
            <w:pPr>
              <w:jc w:val="both"/>
              <w:rPr>
                <w:rFonts w:cs="Times New Roman"/>
                <w:b/>
                <w:bCs/>
                <w:szCs w:val="24"/>
              </w:rPr>
            </w:pPr>
            <w:r w:rsidRPr="00E439BD">
              <w:rPr>
                <w:rFonts w:cs="Times New Roman"/>
                <w:b/>
                <w:bCs/>
                <w:szCs w:val="24"/>
              </w:rPr>
              <w:t xml:space="preserve">Chronic acidotic states (e.g., uremic acidosis, renal tubular acidosis), </w:t>
            </w:r>
            <w:r w:rsidR="00D06F64">
              <w:rPr>
                <w:rFonts w:cs="Times New Roman"/>
                <w:b/>
                <w:bCs/>
                <w:szCs w:val="24"/>
              </w:rPr>
              <w:t>o</w:t>
            </w:r>
            <w:r w:rsidRPr="00E439BD">
              <w:rPr>
                <w:rFonts w:cs="Times New Roman"/>
                <w:b/>
                <w:bCs/>
                <w:szCs w:val="24"/>
              </w:rPr>
              <w:t>ral:</w:t>
            </w:r>
          </w:p>
          <w:p w14:paraId="16110556"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4.8 g daily (57 mmol each of Na+ and HCO3-); higher doses may be required and should be adjusted according to response.</w:t>
            </w:r>
          </w:p>
          <w:p w14:paraId="26067715" w14:textId="77777777" w:rsidR="0053427F" w:rsidRPr="00E439BD" w:rsidRDefault="0053427F" w:rsidP="002D6DD7">
            <w:pPr>
              <w:jc w:val="both"/>
              <w:rPr>
                <w:rFonts w:cs="Times New Roman"/>
                <w:szCs w:val="24"/>
              </w:rPr>
            </w:pPr>
            <w:r w:rsidRPr="00E439BD">
              <w:rPr>
                <w:rFonts w:cs="Times New Roman"/>
                <w:b/>
                <w:bCs/>
                <w:szCs w:val="24"/>
              </w:rPr>
              <w:t>Neonate and Child:</w:t>
            </w:r>
            <w:r w:rsidRPr="00E439BD">
              <w:rPr>
                <w:rFonts w:cs="Times New Roman"/>
                <w:szCs w:val="24"/>
              </w:rPr>
              <w:t xml:space="preserve"> Initially 1–2 mmol/kg daily in divided doses, adjusted according to response.</w:t>
            </w:r>
          </w:p>
          <w:p w14:paraId="61131501" w14:textId="77777777" w:rsidR="0053427F" w:rsidRPr="00E439BD" w:rsidRDefault="0053427F" w:rsidP="002D6DD7">
            <w:pPr>
              <w:jc w:val="both"/>
              <w:rPr>
                <w:rFonts w:cs="Times New Roman"/>
                <w:b/>
                <w:bCs/>
                <w:szCs w:val="24"/>
              </w:rPr>
            </w:pPr>
            <w:r w:rsidRPr="00E439BD">
              <w:rPr>
                <w:rFonts w:cs="Times New Roman"/>
                <w:b/>
                <w:bCs/>
                <w:szCs w:val="24"/>
              </w:rPr>
              <w:t xml:space="preserve">Metabolic acidosis, </w:t>
            </w:r>
            <w:r w:rsidR="00D06F64" w:rsidRPr="00D06F64">
              <w:rPr>
                <w:rFonts w:cs="Times New Roman"/>
                <w:bCs/>
                <w:szCs w:val="24"/>
              </w:rPr>
              <w:t>p</w:t>
            </w:r>
            <w:r w:rsidRPr="00D06F64">
              <w:rPr>
                <w:rFonts w:cs="Times New Roman"/>
                <w:bCs/>
                <w:szCs w:val="24"/>
              </w:rPr>
              <w:t>arenteral</w:t>
            </w:r>
            <w:r w:rsidRPr="00E439BD">
              <w:rPr>
                <w:rFonts w:cs="Times New Roman"/>
                <w:b/>
                <w:bCs/>
                <w:szCs w:val="24"/>
              </w:rPr>
              <w:t>:</w:t>
            </w:r>
          </w:p>
          <w:p w14:paraId="34199FEE"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Dosage individualized based on arterial blood gas analysis </w:t>
            </w:r>
            <w:r w:rsidRPr="00E439BD">
              <w:rPr>
                <w:rFonts w:cs="Times New Roman"/>
                <w:szCs w:val="24"/>
              </w:rPr>
              <w:lastRenderedPageBreak/>
              <w:t>and serum electrolytes. Initial dose may be 1 mEq/kg over 1 hour.</w:t>
            </w:r>
          </w:p>
          <w:p w14:paraId="56193BC3" w14:textId="77777777" w:rsidR="0053427F" w:rsidRPr="00E439BD" w:rsidRDefault="0053427F" w:rsidP="002D6DD7">
            <w:pPr>
              <w:jc w:val="both"/>
              <w:rPr>
                <w:rFonts w:cs="Times New Roman"/>
                <w:szCs w:val="24"/>
              </w:rPr>
            </w:pPr>
            <w:r w:rsidRPr="00225674">
              <w:rPr>
                <w:rFonts w:cs="Times New Roman"/>
                <w:b/>
                <w:bCs/>
                <w:szCs w:val="24"/>
              </w:rPr>
              <w:t>Child:</w:t>
            </w:r>
            <w:r w:rsidRPr="00E439BD">
              <w:rPr>
                <w:rFonts w:cs="Times New Roman"/>
                <w:szCs w:val="24"/>
              </w:rPr>
              <w:t xml:space="preserve"> Same as adult, dosage individualized. Initial dose may be 1 mEq/kg over 1 hour.</w:t>
            </w:r>
          </w:p>
          <w:p w14:paraId="21167A90" w14:textId="77777777" w:rsidR="0053427F" w:rsidRPr="00E439BD" w:rsidRDefault="0053427F" w:rsidP="002D6DD7">
            <w:pPr>
              <w:jc w:val="both"/>
              <w:rPr>
                <w:rFonts w:cs="Times New Roman"/>
                <w:b/>
                <w:bCs/>
                <w:szCs w:val="24"/>
              </w:rPr>
            </w:pPr>
            <w:r w:rsidRPr="00E439BD">
              <w:rPr>
                <w:rFonts w:cs="Times New Roman"/>
                <w:b/>
                <w:bCs/>
                <w:szCs w:val="24"/>
              </w:rPr>
              <w:t xml:space="preserve">Drug </w:t>
            </w:r>
            <w:r>
              <w:rPr>
                <w:rFonts w:cs="Times New Roman"/>
                <w:b/>
                <w:bCs/>
                <w:szCs w:val="24"/>
              </w:rPr>
              <w:t>i</w:t>
            </w:r>
            <w:r w:rsidRPr="00E439BD">
              <w:rPr>
                <w:rFonts w:cs="Times New Roman"/>
                <w:b/>
                <w:bCs/>
                <w:szCs w:val="24"/>
              </w:rPr>
              <w:t xml:space="preserve">ntoxications, </w:t>
            </w:r>
            <w:r w:rsidR="00D06F64" w:rsidRPr="00D06F64">
              <w:rPr>
                <w:rFonts w:cs="Times New Roman"/>
                <w:bCs/>
                <w:szCs w:val="24"/>
              </w:rPr>
              <w:t>p</w:t>
            </w:r>
            <w:r w:rsidRPr="00D06F64">
              <w:rPr>
                <w:rFonts w:cs="Times New Roman"/>
                <w:bCs/>
                <w:szCs w:val="24"/>
              </w:rPr>
              <w:t>arenteral:</w:t>
            </w:r>
          </w:p>
          <w:p w14:paraId="7668AE2A"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Dosage individualized based on severity and patient condition. Initial dose may be 1-2 mEq/kg.</w:t>
            </w:r>
          </w:p>
          <w:p w14:paraId="28EE88E1" w14:textId="77777777" w:rsidR="0053427F" w:rsidRPr="00E439BD" w:rsidRDefault="0053427F" w:rsidP="002D6DD7">
            <w:pPr>
              <w:jc w:val="both"/>
              <w:rPr>
                <w:rFonts w:cs="Times New Roman"/>
                <w:szCs w:val="24"/>
              </w:rPr>
            </w:pPr>
            <w:r w:rsidRPr="00E439BD">
              <w:rPr>
                <w:rFonts w:cs="Times New Roman"/>
                <w:b/>
                <w:bCs/>
                <w:szCs w:val="24"/>
              </w:rPr>
              <w:t>Child:</w:t>
            </w:r>
            <w:r w:rsidRPr="00E439BD">
              <w:rPr>
                <w:rFonts w:cs="Times New Roman"/>
                <w:szCs w:val="24"/>
              </w:rPr>
              <w:t xml:space="preserve"> Same as adult, dosage individualized. Initial dose may be 1-2 mEq/kg.</w:t>
            </w:r>
          </w:p>
          <w:p w14:paraId="6205F0E2" w14:textId="77777777" w:rsidR="0053427F" w:rsidRPr="00E439BD" w:rsidRDefault="0053427F" w:rsidP="002D6DD7">
            <w:pPr>
              <w:jc w:val="both"/>
              <w:rPr>
                <w:rFonts w:cs="Times New Roman"/>
                <w:b/>
                <w:bCs/>
                <w:szCs w:val="24"/>
              </w:rPr>
            </w:pPr>
            <w:r w:rsidRPr="00E439BD">
              <w:rPr>
                <w:rFonts w:cs="Times New Roman"/>
                <w:b/>
                <w:bCs/>
                <w:szCs w:val="24"/>
              </w:rPr>
              <w:t xml:space="preserve">Severe </w:t>
            </w:r>
            <w:r>
              <w:rPr>
                <w:rFonts w:cs="Times New Roman"/>
                <w:b/>
                <w:bCs/>
                <w:szCs w:val="24"/>
              </w:rPr>
              <w:t>h</w:t>
            </w:r>
            <w:r w:rsidRPr="00E439BD">
              <w:rPr>
                <w:rFonts w:cs="Times New Roman"/>
                <w:b/>
                <w:bCs/>
                <w:szCs w:val="24"/>
              </w:rPr>
              <w:t xml:space="preserve">yperkalemia, </w:t>
            </w:r>
            <w:r w:rsidR="00D06F64" w:rsidRPr="00D06F64">
              <w:rPr>
                <w:rFonts w:cs="Times New Roman"/>
                <w:bCs/>
                <w:szCs w:val="24"/>
              </w:rPr>
              <w:t>p</w:t>
            </w:r>
            <w:r w:rsidRPr="00D06F64">
              <w:rPr>
                <w:rFonts w:cs="Times New Roman"/>
                <w:bCs/>
                <w:szCs w:val="24"/>
              </w:rPr>
              <w:t>arenteral:</w:t>
            </w:r>
          </w:p>
          <w:p w14:paraId="18F70371" w14:textId="77777777" w:rsidR="0053427F" w:rsidRPr="00E439BD" w:rsidRDefault="0053427F" w:rsidP="002D6DD7">
            <w:pPr>
              <w:jc w:val="both"/>
              <w:rPr>
                <w:rFonts w:cs="Times New Roman"/>
                <w:szCs w:val="24"/>
              </w:rPr>
            </w:pPr>
            <w:r w:rsidRPr="00E439BD">
              <w:rPr>
                <w:rFonts w:cs="Times New Roman"/>
                <w:b/>
                <w:bCs/>
                <w:szCs w:val="24"/>
              </w:rPr>
              <w:t>Adult:</w:t>
            </w:r>
            <w:r w:rsidRPr="00E439BD">
              <w:rPr>
                <w:rFonts w:cs="Times New Roman"/>
                <w:szCs w:val="24"/>
              </w:rPr>
              <w:t xml:space="preserve"> 50-100 mEq over 5-10 minutes with close monitoring.</w:t>
            </w:r>
          </w:p>
          <w:p w14:paraId="574BCAC2" w14:textId="77777777" w:rsidR="0053427F" w:rsidRPr="00E439BD" w:rsidRDefault="0053427F" w:rsidP="002D6DD7">
            <w:pPr>
              <w:jc w:val="both"/>
              <w:rPr>
                <w:rFonts w:cs="Times New Roman"/>
                <w:szCs w:val="24"/>
              </w:rPr>
            </w:pPr>
            <w:r w:rsidRPr="00E439BD">
              <w:rPr>
                <w:rFonts w:cs="Times New Roman"/>
                <w:b/>
                <w:bCs/>
                <w:szCs w:val="24"/>
              </w:rPr>
              <w:t>Child:</w:t>
            </w:r>
            <w:r w:rsidRPr="00E439BD">
              <w:rPr>
                <w:rFonts w:cs="Times New Roman"/>
                <w:szCs w:val="24"/>
              </w:rPr>
              <w:t xml:space="preserve"> 1 mEq/kg over 5-10 minutes with close monitoring.</w:t>
            </w:r>
          </w:p>
        </w:tc>
      </w:tr>
      <w:tr w:rsidR="0053427F" w:rsidRPr="007F0097" w14:paraId="6DAD95C7" w14:textId="77777777" w:rsidTr="002D6DD7">
        <w:tc>
          <w:tcPr>
            <w:tcW w:w="2695" w:type="dxa"/>
          </w:tcPr>
          <w:p w14:paraId="6A3E05B8" w14:textId="77777777" w:rsidR="0053427F" w:rsidRPr="007F0097" w:rsidRDefault="0053427F" w:rsidP="002D6DD7">
            <w:pPr>
              <w:jc w:val="both"/>
              <w:rPr>
                <w:rFonts w:cs="Times New Roman"/>
                <w:szCs w:val="24"/>
              </w:rPr>
            </w:pPr>
            <w:r w:rsidRPr="007F0097">
              <w:rPr>
                <w:rFonts w:cs="Times New Roman"/>
                <w:szCs w:val="24"/>
              </w:rPr>
              <w:lastRenderedPageBreak/>
              <w:t>Contraindications</w:t>
            </w:r>
          </w:p>
        </w:tc>
        <w:tc>
          <w:tcPr>
            <w:tcW w:w="6660" w:type="dxa"/>
          </w:tcPr>
          <w:p w14:paraId="686E61DF" w14:textId="77777777" w:rsidR="0053427F" w:rsidRPr="007F0097" w:rsidRDefault="0053427F" w:rsidP="002D6DD7">
            <w:pPr>
              <w:jc w:val="both"/>
              <w:rPr>
                <w:rFonts w:cs="Times New Roman"/>
                <w:szCs w:val="24"/>
              </w:rPr>
            </w:pPr>
            <w:r w:rsidRPr="007F0097">
              <w:rPr>
                <w:rFonts w:cs="Times New Roman"/>
                <w:szCs w:val="24"/>
              </w:rPr>
              <w:t>Salt-restricted diet, metabolic or respiratory alkalosis, hypocalcemia, hypochlorhydria, hypernatremia, uncontrolled hypertension.</w:t>
            </w:r>
          </w:p>
        </w:tc>
      </w:tr>
      <w:tr w:rsidR="0053427F" w:rsidRPr="007F0097" w14:paraId="33FC6ACB" w14:textId="77777777" w:rsidTr="002D6DD7">
        <w:tc>
          <w:tcPr>
            <w:tcW w:w="2695" w:type="dxa"/>
          </w:tcPr>
          <w:p w14:paraId="3757F778"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44BD79F4" w14:textId="77777777" w:rsidR="0053427F" w:rsidRPr="007F0097" w:rsidRDefault="0053427F" w:rsidP="002D6DD7">
            <w:pPr>
              <w:jc w:val="both"/>
              <w:rPr>
                <w:rFonts w:cs="Times New Roman"/>
                <w:szCs w:val="24"/>
              </w:rPr>
            </w:pPr>
            <w:r>
              <w:rPr>
                <w:rFonts w:cs="Times New Roman"/>
                <w:szCs w:val="24"/>
              </w:rPr>
              <w:t>A</w:t>
            </w:r>
            <w:r w:rsidRPr="007F0097">
              <w:rPr>
                <w:rFonts w:cs="Times New Roman"/>
                <w:szCs w:val="24"/>
              </w:rPr>
              <w:t>mphetamine, benzenediamines, dextroamphetamine, digoxin, ketoconazole, ledipasvir, diuretics, ACE inhibitors, ARBs, amantadine, atropine, belladonna alkaloids, benztropine, hyoscyamine, oxybutynin, procyclidine, scopolamine, solifenacin, tolterodine, trihexyphenidyl, chloroquine, mefenamic acid</w:t>
            </w:r>
          </w:p>
        </w:tc>
      </w:tr>
      <w:tr w:rsidR="0053427F" w:rsidRPr="007F0097" w14:paraId="6D177F9E" w14:textId="77777777" w:rsidTr="002D6DD7">
        <w:tc>
          <w:tcPr>
            <w:tcW w:w="2695" w:type="dxa"/>
          </w:tcPr>
          <w:p w14:paraId="7599CFD3"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28C6C8F1" w14:textId="77777777" w:rsidR="0053427F" w:rsidRPr="007F0097" w:rsidRDefault="0053427F" w:rsidP="002D6DD7">
            <w:pPr>
              <w:jc w:val="both"/>
              <w:rPr>
                <w:rFonts w:cs="Times New Roman"/>
                <w:szCs w:val="24"/>
              </w:rPr>
            </w:pPr>
            <w:r>
              <w:rPr>
                <w:rFonts w:cs="Times New Roman"/>
                <w:szCs w:val="24"/>
              </w:rPr>
              <w:t>B</w:t>
            </w:r>
            <w:r w:rsidRPr="007F0097">
              <w:rPr>
                <w:rFonts w:cs="Times New Roman"/>
                <w:szCs w:val="24"/>
              </w:rPr>
              <w:t>loating, gas, nausea</w:t>
            </w:r>
            <w:r>
              <w:rPr>
                <w:rFonts w:cs="Times New Roman"/>
                <w:szCs w:val="24"/>
              </w:rPr>
              <w:t xml:space="preserve">, </w:t>
            </w:r>
            <w:r w:rsidRPr="007F0097">
              <w:rPr>
                <w:rFonts w:cs="Times New Roman"/>
                <w:szCs w:val="24"/>
              </w:rPr>
              <w:t>local irritation at the injection site, fluid overload, metabolic alkalosis, hypernatremia, hypokalemia, tetany due to hypocalcemia</w:t>
            </w:r>
          </w:p>
        </w:tc>
      </w:tr>
      <w:tr w:rsidR="0053427F" w:rsidRPr="007F0097" w14:paraId="05366253" w14:textId="77777777" w:rsidTr="002D6DD7">
        <w:trPr>
          <w:trHeight w:val="50"/>
        </w:trPr>
        <w:tc>
          <w:tcPr>
            <w:tcW w:w="2695" w:type="dxa"/>
          </w:tcPr>
          <w:p w14:paraId="3987C7D6"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290A24E6" w14:textId="77777777" w:rsidR="0053427F" w:rsidRPr="007F0097" w:rsidRDefault="0053427F" w:rsidP="002D6DD7">
            <w:pPr>
              <w:jc w:val="both"/>
              <w:rPr>
                <w:rFonts w:cs="Times New Roman"/>
                <w:szCs w:val="24"/>
              </w:rPr>
            </w:pPr>
            <w:r w:rsidRPr="007F0097">
              <w:rPr>
                <w:rFonts w:cs="Times New Roman"/>
                <w:szCs w:val="24"/>
              </w:rPr>
              <w:t>Prolonged use, cardiac disease, elderly, respiratory acidosis, alkalosis, sodium load, electrolyte imbalance, renal impairment, hypertension, fluid retention</w:t>
            </w:r>
          </w:p>
        </w:tc>
      </w:tr>
      <w:tr w:rsidR="0053427F" w:rsidRPr="007F0097" w14:paraId="367A4643" w14:textId="77777777" w:rsidTr="002D6DD7">
        <w:tc>
          <w:tcPr>
            <w:tcW w:w="2695" w:type="dxa"/>
          </w:tcPr>
          <w:p w14:paraId="1266CAAB" w14:textId="77777777" w:rsidR="0053427F" w:rsidRPr="007F0097" w:rsidRDefault="0053427F" w:rsidP="002D6DD7">
            <w:pPr>
              <w:jc w:val="both"/>
              <w:rPr>
                <w:rFonts w:cs="Times New Roman"/>
                <w:szCs w:val="24"/>
              </w:rPr>
            </w:pPr>
            <w:r w:rsidRPr="007F0097">
              <w:rPr>
                <w:rFonts w:cs="Times New Roman"/>
                <w:szCs w:val="24"/>
              </w:rPr>
              <w:t>Storage condition</w:t>
            </w:r>
          </w:p>
        </w:tc>
        <w:tc>
          <w:tcPr>
            <w:tcW w:w="6660" w:type="dxa"/>
          </w:tcPr>
          <w:p w14:paraId="0C79C4A9" w14:textId="77777777" w:rsidR="0053427F" w:rsidRPr="007F0097" w:rsidRDefault="0053427F" w:rsidP="002D6DD7">
            <w:pPr>
              <w:jc w:val="both"/>
              <w:rPr>
                <w:rFonts w:cs="Times New Roman"/>
                <w:i/>
                <w:iCs/>
                <w:szCs w:val="24"/>
              </w:rPr>
            </w:pPr>
            <w:r w:rsidRPr="007F0097">
              <w:rPr>
                <w:rFonts w:cs="Times New Roman"/>
                <w:szCs w:val="24"/>
              </w:rPr>
              <w:t>Store below 30</w:t>
            </w:r>
            <w:r w:rsidRPr="007F0097">
              <w:rPr>
                <w:rFonts w:cs="Times New Roman"/>
                <w:szCs w:val="24"/>
                <w:vertAlign w:val="superscript"/>
              </w:rPr>
              <w:t>0</w:t>
            </w:r>
            <w:r w:rsidRPr="007F0097">
              <w:rPr>
                <w:rFonts w:cs="Times New Roman"/>
                <w:szCs w:val="24"/>
              </w:rPr>
              <w:t>C</w:t>
            </w:r>
            <w:r>
              <w:rPr>
                <w:rFonts w:cs="Times New Roman"/>
                <w:szCs w:val="24"/>
              </w:rPr>
              <w:t>.</w:t>
            </w:r>
          </w:p>
        </w:tc>
      </w:tr>
      <w:tr w:rsidR="0053427F" w:rsidRPr="007F0097" w14:paraId="1A734859" w14:textId="77777777" w:rsidTr="002D6DD7">
        <w:tc>
          <w:tcPr>
            <w:tcW w:w="9355" w:type="dxa"/>
            <w:gridSpan w:val="2"/>
          </w:tcPr>
          <w:p w14:paraId="0BE63B08" w14:textId="77777777" w:rsidR="0053427F" w:rsidRPr="007F0097" w:rsidRDefault="0053427F" w:rsidP="002D6DD7">
            <w:pPr>
              <w:jc w:val="both"/>
              <w:rPr>
                <w:rFonts w:cs="Times New Roman"/>
                <w:b/>
                <w:bCs/>
                <w:szCs w:val="24"/>
              </w:rPr>
            </w:pPr>
            <w:bookmarkStart w:id="177" w:name="_Toc168320668"/>
            <w:r w:rsidRPr="007F0097">
              <w:rPr>
                <w:rFonts w:cs="Times New Roman"/>
                <w:b/>
                <w:bCs/>
                <w:szCs w:val="24"/>
              </w:rPr>
              <w:t>Sodium chloride</w:t>
            </w:r>
            <w:bookmarkEnd w:id="177"/>
          </w:p>
        </w:tc>
      </w:tr>
      <w:tr w:rsidR="0053427F" w:rsidRPr="007F0097" w14:paraId="2F09F33C" w14:textId="77777777" w:rsidTr="002D6DD7">
        <w:tc>
          <w:tcPr>
            <w:tcW w:w="2695" w:type="dxa"/>
          </w:tcPr>
          <w:p w14:paraId="53AB38C6" w14:textId="77777777" w:rsidR="0053427F" w:rsidRPr="007F0097" w:rsidRDefault="0053427F" w:rsidP="002D6DD7">
            <w:pPr>
              <w:jc w:val="both"/>
              <w:rPr>
                <w:rFonts w:cs="Times New Roman"/>
                <w:szCs w:val="24"/>
              </w:rPr>
            </w:pPr>
            <w:r w:rsidRPr="007F0097">
              <w:rPr>
                <w:rFonts w:cs="Times New Roman"/>
                <w:szCs w:val="24"/>
              </w:rPr>
              <w:t>Pharmacological class</w:t>
            </w:r>
          </w:p>
        </w:tc>
        <w:tc>
          <w:tcPr>
            <w:tcW w:w="6660" w:type="dxa"/>
          </w:tcPr>
          <w:p w14:paraId="6AADF7D7" w14:textId="77777777" w:rsidR="0053427F" w:rsidRPr="007F0097" w:rsidRDefault="0053427F" w:rsidP="002D6DD7">
            <w:pPr>
              <w:jc w:val="both"/>
              <w:rPr>
                <w:rFonts w:cs="Times New Roman"/>
                <w:szCs w:val="24"/>
              </w:rPr>
            </w:pPr>
            <w:r w:rsidRPr="007F0097">
              <w:rPr>
                <w:rFonts w:cs="Times New Roman"/>
                <w:szCs w:val="24"/>
              </w:rPr>
              <w:t>Electrolyte replacement</w:t>
            </w:r>
          </w:p>
        </w:tc>
      </w:tr>
      <w:tr w:rsidR="0053427F" w:rsidRPr="007F0097" w14:paraId="3A723AE2" w14:textId="77777777" w:rsidTr="002D6DD7">
        <w:tc>
          <w:tcPr>
            <w:tcW w:w="2695" w:type="dxa"/>
          </w:tcPr>
          <w:p w14:paraId="2BC50F80" w14:textId="77777777" w:rsidR="0053427F" w:rsidRPr="007F0097" w:rsidRDefault="0053427F" w:rsidP="002D6DD7">
            <w:pPr>
              <w:jc w:val="both"/>
              <w:rPr>
                <w:rFonts w:cs="Times New Roman"/>
                <w:szCs w:val="24"/>
              </w:rPr>
            </w:pPr>
            <w:r w:rsidRPr="007F0097">
              <w:rPr>
                <w:rFonts w:cs="Times New Roman"/>
                <w:szCs w:val="24"/>
              </w:rPr>
              <w:t>Dosage form</w:t>
            </w:r>
          </w:p>
        </w:tc>
        <w:tc>
          <w:tcPr>
            <w:tcW w:w="6660" w:type="dxa"/>
          </w:tcPr>
          <w:p w14:paraId="41F07F03" w14:textId="77777777" w:rsidR="0053427F" w:rsidRDefault="0053427F" w:rsidP="002D6DD7">
            <w:pPr>
              <w:jc w:val="both"/>
              <w:rPr>
                <w:rFonts w:cs="Times New Roman"/>
                <w:szCs w:val="24"/>
              </w:rPr>
            </w:pPr>
            <w:r w:rsidRPr="006E3989">
              <w:rPr>
                <w:rFonts w:cs="Times New Roman"/>
                <w:szCs w:val="24"/>
              </w:rPr>
              <w:t>Tablets: 1 g (17.1 mEq) or 650 mg (11.1 mEq) per tablet</w:t>
            </w:r>
          </w:p>
          <w:p w14:paraId="424563F1" w14:textId="77777777" w:rsidR="0053427F" w:rsidRDefault="0053427F" w:rsidP="002D6DD7">
            <w:pPr>
              <w:jc w:val="both"/>
              <w:rPr>
                <w:rFonts w:cs="Times New Roman"/>
                <w:szCs w:val="24"/>
              </w:rPr>
            </w:pPr>
            <w:r w:rsidRPr="00286887">
              <w:rPr>
                <w:rFonts w:cs="Times New Roman"/>
                <w:szCs w:val="24"/>
              </w:rPr>
              <w:t>Oral solution: 10% solution</w:t>
            </w:r>
          </w:p>
          <w:p w14:paraId="7B17E3D2" w14:textId="77777777" w:rsidR="0053427F" w:rsidRPr="007F0097" w:rsidRDefault="0053427F" w:rsidP="002D6DD7">
            <w:pPr>
              <w:jc w:val="both"/>
              <w:rPr>
                <w:rFonts w:cs="Times New Roman"/>
                <w:szCs w:val="24"/>
              </w:rPr>
            </w:pPr>
            <w:r w:rsidRPr="007F0097">
              <w:rPr>
                <w:rFonts w:cs="Times New Roman"/>
                <w:szCs w:val="24"/>
              </w:rPr>
              <w:t>Injection, 0.9% (Normal Saline), 1000 ml</w:t>
            </w:r>
          </w:p>
          <w:p w14:paraId="5E8BF63C" w14:textId="77777777" w:rsidR="0053427F" w:rsidRPr="007F0097" w:rsidRDefault="0053427F" w:rsidP="002D6DD7">
            <w:pPr>
              <w:jc w:val="both"/>
              <w:rPr>
                <w:rFonts w:cs="Times New Roman"/>
                <w:szCs w:val="24"/>
              </w:rPr>
            </w:pPr>
            <w:r w:rsidRPr="007F0097">
              <w:rPr>
                <w:rFonts w:cs="Times New Roman"/>
                <w:szCs w:val="24"/>
              </w:rPr>
              <w:lastRenderedPageBreak/>
              <w:t>Injection, 0.9% in 500 ml</w:t>
            </w:r>
            <w:r>
              <w:rPr>
                <w:rFonts w:cs="Times New Roman"/>
                <w:szCs w:val="24"/>
              </w:rPr>
              <w:t xml:space="preserve">, </w:t>
            </w:r>
            <w:r w:rsidRPr="007F0097">
              <w:rPr>
                <w:rFonts w:cs="Times New Roman"/>
                <w:szCs w:val="24"/>
              </w:rPr>
              <w:t>3% in 500 ml</w:t>
            </w:r>
            <w:r>
              <w:rPr>
                <w:rFonts w:cs="Times New Roman"/>
                <w:szCs w:val="24"/>
              </w:rPr>
              <w:t xml:space="preserve">, </w:t>
            </w:r>
            <w:r w:rsidRPr="007F0097">
              <w:rPr>
                <w:rFonts w:cs="Times New Roman"/>
                <w:szCs w:val="24"/>
              </w:rPr>
              <w:t xml:space="preserve">0.45% </w:t>
            </w:r>
            <w:r>
              <w:rPr>
                <w:rFonts w:cs="Times New Roman"/>
                <w:szCs w:val="24"/>
              </w:rPr>
              <w:t>in 500 ml</w:t>
            </w:r>
          </w:p>
        </w:tc>
      </w:tr>
      <w:tr w:rsidR="0053427F" w:rsidRPr="007F0097" w14:paraId="74868DF9" w14:textId="77777777" w:rsidTr="002D6DD7">
        <w:tc>
          <w:tcPr>
            <w:tcW w:w="2695" w:type="dxa"/>
          </w:tcPr>
          <w:p w14:paraId="4B49B6D5" w14:textId="77777777" w:rsidR="0053427F" w:rsidRPr="007F0097" w:rsidRDefault="0053427F" w:rsidP="002D6DD7">
            <w:pPr>
              <w:jc w:val="both"/>
              <w:rPr>
                <w:rFonts w:cs="Times New Roman"/>
                <w:szCs w:val="24"/>
              </w:rPr>
            </w:pPr>
            <w:r w:rsidRPr="007F0097">
              <w:rPr>
                <w:rFonts w:cs="Times New Roman"/>
                <w:szCs w:val="24"/>
              </w:rPr>
              <w:lastRenderedPageBreak/>
              <w:t>Indications</w:t>
            </w:r>
          </w:p>
        </w:tc>
        <w:tc>
          <w:tcPr>
            <w:tcW w:w="6660" w:type="dxa"/>
          </w:tcPr>
          <w:p w14:paraId="65F7F533" w14:textId="77777777" w:rsidR="0053427F" w:rsidRPr="007F0097" w:rsidRDefault="0053427F" w:rsidP="002D6DD7">
            <w:pPr>
              <w:jc w:val="both"/>
              <w:rPr>
                <w:rFonts w:cs="Times New Roman"/>
                <w:szCs w:val="24"/>
              </w:rPr>
            </w:pPr>
            <w:r w:rsidRPr="007F0097">
              <w:rPr>
                <w:rFonts w:cs="Times New Roman"/>
                <w:szCs w:val="24"/>
              </w:rPr>
              <w:t>Hyponatremia, dehydration, fluid replacement, dilution of medications, wound irrigation</w:t>
            </w:r>
          </w:p>
        </w:tc>
      </w:tr>
      <w:tr w:rsidR="0053427F" w:rsidRPr="007F0097" w14:paraId="0A7A0FAB" w14:textId="77777777" w:rsidTr="002D6DD7">
        <w:tc>
          <w:tcPr>
            <w:tcW w:w="2695" w:type="dxa"/>
          </w:tcPr>
          <w:p w14:paraId="69019199" w14:textId="77777777" w:rsidR="0053427F" w:rsidRPr="007F0097" w:rsidRDefault="0053427F" w:rsidP="002D6DD7">
            <w:pPr>
              <w:rPr>
                <w:rFonts w:cs="Times New Roman"/>
                <w:szCs w:val="24"/>
              </w:rPr>
            </w:pPr>
            <w:r w:rsidRPr="007F0097">
              <w:rPr>
                <w:rFonts w:eastAsia="Times New Roman" w:cs="Times New Roman"/>
                <w:szCs w:val="24"/>
              </w:rPr>
              <w:t>Dose and administration</w:t>
            </w:r>
          </w:p>
        </w:tc>
        <w:tc>
          <w:tcPr>
            <w:tcW w:w="6660" w:type="dxa"/>
          </w:tcPr>
          <w:p w14:paraId="7C3B9C6E" w14:textId="77777777" w:rsidR="0053427F" w:rsidRPr="00D06F64" w:rsidRDefault="0053427F" w:rsidP="002D6DD7">
            <w:pPr>
              <w:jc w:val="both"/>
              <w:rPr>
                <w:rFonts w:cs="Times New Roman"/>
                <w:bCs/>
                <w:szCs w:val="24"/>
              </w:rPr>
            </w:pPr>
            <w:r w:rsidRPr="00721382">
              <w:rPr>
                <w:rFonts w:cs="Times New Roman"/>
                <w:b/>
                <w:bCs/>
                <w:szCs w:val="24"/>
              </w:rPr>
              <w:t xml:space="preserve">Hyponatremia and supplementation, </w:t>
            </w:r>
            <w:r w:rsidR="00D06F64" w:rsidRPr="00D06F64">
              <w:rPr>
                <w:rFonts w:cs="Times New Roman"/>
                <w:bCs/>
                <w:szCs w:val="24"/>
              </w:rPr>
              <w:t>o</w:t>
            </w:r>
            <w:r w:rsidRPr="00D06F64">
              <w:rPr>
                <w:rFonts w:cs="Times New Roman"/>
                <w:bCs/>
                <w:szCs w:val="24"/>
              </w:rPr>
              <w:t>ral:</w:t>
            </w:r>
          </w:p>
          <w:p w14:paraId="15ED1FD9" w14:textId="77777777" w:rsidR="0053427F" w:rsidRPr="006957CE" w:rsidRDefault="0053427F" w:rsidP="002D6DD7">
            <w:pPr>
              <w:jc w:val="both"/>
              <w:rPr>
                <w:rFonts w:cs="Times New Roman"/>
                <w:szCs w:val="24"/>
              </w:rPr>
            </w:pPr>
            <w:r w:rsidRPr="00D06F64">
              <w:rPr>
                <w:rFonts w:cs="Times New Roman"/>
                <w:b/>
                <w:bCs/>
                <w:szCs w:val="24"/>
              </w:rPr>
              <w:t>A</w:t>
            </w:r>
            <w:r w:rsidRPr="00721382">
              <w:rPr>
                <w:rFonts w:cs="Times New Roman"/>
                <w:b/>
                <w:bCs/>
                <w:szCs w:val="24"/>
              </w:rPr>
              <w:t>dult</w:t>
            </w:r>
            <w:r w:rsidRPr="006957CE">
              <w:rPr>
                <w:rFonts w:cs="Times New Roman"/>
                <w:szCs w:val="24"/>
              </w:rPr>
              <w:t>: 1-2 g, one to four times daily, based on the severity of sodium depletion and clinical response.</w:t>
            </w:r>
          </w:p>
          <w:p w14:paraId="44EB9349" w14:textId="77777777" w:rsidR="0053427F" w:rsidRPr="006957CE" w:rsidRDefault="0053427F" w:rsidP="002D6DD7">
            <w:pPr>
              <w:jc w:val="both"/>
              <w:rPr>
                <w:rFonts w:cs="Times New Roman"/>
                <w:szCs w:val="24"/>
              </w:rPr>
            </w:pPr>
            <w:r w:rsidRPr="00721382">
              <w:rPr>
                <w:rFonts w:cs="Times New Roman"/>
                <w:b/>
                <w:bCs/>
                <w:szCs w:val="24"/>
              </w:rPr>
              <w:t>Child:</w:t>
            </w:r>
            <w:r w:rsidRPr="006957CE">
              <w:rPr>
                <w:rFonts w:cs="Times New Roman"/>
                <w:szCs w:val="24"/>
              </w:rPr>
              <w:t xml:space="preserve"> 20-40 mEq/day (1.17-2.34 g) in divided doses. Adjust based on clinical response and serum sodium levels.</w:t>
            </w:r>
          </w:p>
          <w:p w14:paraId="1C7E2DFD" w14:textId="77777777" w:rsidR="0053427F" w:rsidRPr="00100A0D" w:rsidRDefault="0053427F" w:rsidP="002D6DD7">
            <w:pPr>
              <w:jc w:val="both"/>
              <w:rPr>
                <w:rFonts w:cs="Times New Roman"/>
                <w:b/>
                <w:bCs/>
                <w:szCs w:val="24"/>
              </w:rPr>
            </w:pPr>
            <w:r w:rsidRPr="00100A0D">
              <w:rPr>
                <w:rFonts w:cs="Times New Roman"/>
                <w:b/>
                <w:bCs/>
                <w:szCs w:val="24"/>
              </w:rPr>
              <w:t xml:space="preserve">Hyponatremia, </w:t>
            </w:r>
            <w:r w:rsidR="00D06F64" w:rsidRPr="00D06F64">
              <w:rPr>
                <w:rFonts w:cs="Times New Roman"/>
                <w:bCs/>
                <w:szCs w:val="24"/>
              </w:rPr>
              <w:t>p</w:t>
            </w:r>
            <w:r w:rsidRPr="00D06F64">
              <w:rPr>
                <w:rFonts w:cs="Times New Roman"/>
                <w:bCs/>
                <w:szCs w:val="24"/>
              </w:rPr>
              <w:t>arenteral</w:t>
            </w:r>
            <w:r w:rsidRPr="00100A0D">
              <w:rPr>
                <w:rFonts w:cs="Times New Roman"/>
                <w:b/>
                <w:bCs/>
                <w:szCs w:val="24"/>
              </w:rPr>
              <w:t xml:space="preserve">: </w:t>
            </w:r>
          </w:p>
          <w:p w14:paraId="2FB70DEA" w14:textId="77777777" w:rsidR="0053427F" w:rsidRPr="00100A0D" w:rsidRDefault="0053427F" w:rsidP="002D6DD7">
            <w:pPr>
              <w:jc w:val="both"/>
              <w:rPr>
                <w:rFonts w:cs="Times New Roman"/>
                <w:b/>
                <w:bCs/>
                <w:szCs w:val="24"/>
              </w:rPr>
            </w:pPr>
            <w:r w:rsidRPr="00100A0D">
              <w:rPr>
                <w:rFonts w:cs="Times New Roman"/>
                <w:b/>
                <w:bCs/>
                <w:szCs w:val="24"/>
              </w:rPr>
              <w:t>Adult:</w:t>
            </w:r>
          </w:p>
          <w:p w14:paraId="1C9D9D08" w14:textId="77777777" w:rsidR="0053427F" w:rsidRPr="006957CE" w:rsidRDefault="0053427F" w:rsidP="002D6DD7">
            <w:pPr>
              <w:jc w:val="both"/>
              <w:rPr>
                <w:rFonts w:cs="Times New Roman"/>
                <w:szCs w:val="24"/>
              </w:rPr>
            </w:pPr>
            <w:r w:rsidRPr="00100A0D">
              <w:rPr>
                <w:rFonts w:cs="Times New Roman"/>
                <w:b/>
                <w:bCs/>
                <w:szCs w:val="24"/>
              </w:rPr>
              <w:t xml:space="preserve">Mild to </w:t>
            </w:r>
            <w:r w:rsidR="00D06F64">
              <w:rPr>
                <w:rFonts w:cs="Times New Roman"/>
                <w:b/>
                <w:bCs/>
                <w:szCs w:val="24"/>
              </w:rPr>
              <w:t>m</w:t>
            </w:r>
            <w:r w:rsidRPr="00100A0D">
              <w:rPr>
                <w:rFonts w:cs="Times New Roman"/>
                <w:b/>
                <w:bCs/>
                <w:szCs w:val="24"/>
              </w:rPr>
              <w:t>oderate:</w:t>
            </w:r>
            <w:r w:rsidRPr="006957CE">
              <w:rPr>
                <w:rFonts w:cs="Times New Roman"/>
                <w:szCs w:val="24"/>
              </w:rPr>
              <w:t xml:space="preserve"> 0.9% NaCl, 500-1000 ml IV over 1-2 hours, then adjust based on serum sodium levels and clinical condition.</w:t>
            </w:r>
          </w:p>
          <w:p w14:paraId="659DF945" w14:textId="77777777" w:rsidR="0053427F" w:rsidRPr="006957CE" w:rsidRDefault="0053427F" w:rsidP="002D6DD7">
            <w:pPr>
              <w:jc w:val="both"/>
              <w:rPr>
                <w:rFonts w:cs="Times New Roman"/>
                <w:szCs w:val="24"/>
              </w:rPr>
            </w:pPr>
            <w:r w:rsidRPr="00100A0D">
              <w:rPr>
                <w:rFonts w:cs="Times New Roman"/>
                <w:b/>
                <w:bCs/>
                <w:szCs w:val="24"/>
              </w:rPr>
              <w:t>Severe:</w:t>
            </w:r>
            <w:r w:rsidRPr="006957CE">
              <w:rPr>
                <w:rFonts w:cs="Times New Roman"/>
                <w:szCs w:val="24"/>
              </w:rPr>
              <w:t xml:space="preserve"> 3% NaCl, 100 ml IV over 10 minutes, repeat as necessary while monitoring serum sodium and neurological status.</w:t>
            </w:r>
          </w:p>
          <w:p w14:paraId="7870C333" w14:textId="77777777" w:rsidR="0053427F" w:rsidRPr="005E68E8" w:rsidRDefault="0053427F" w:rsidP="002D6DD7">
            <w:pPr>
              <w:jc w:val="both"/>
              <w:rPr>
                <w:rFonts w:cs="Times New Roman"/>
                <w:b/>
                <w:bCs/>
                <w:szCs w:val="24"/>
              </w:rPr>
            </w:pPr>
            <w:r w:rsidRPr="005E68E8">
              <w:rPr>
                <w:rFonts w:cs="Times New Roman"/>
                <w:b/>
                <w:bCs/>
                <w:szCs w:val="24"/>
              </w:rPr>
              <w:t>Child:</w:t>
            </w:r>
          </w:p>
          <w:p w14:paraId="18FD7464" w14:textId="77777777" w:rsidR="0053427F" w:rsidRPr="006957CE" w:rsidRDefault="0053427F" w:rsidP="002D6DD7">
            <w:pPr>
              <w:jc w:val="both"/>
              <w:rPr>
                <w:rFonts w:cs="Times New Roman"/>
                <w:szCs w:val="24"/>
              </w:rPr>
            </w:pPr>
            <w:r w:rsidRPr="005E68E8">
              <w:rPr>
                <w:rFonts w:cs="Times New Roman"/>
                <w:b/>
                <w:bCs/>
                <w:szCs w:val="24"/>
              </w:rPr>
              <w:t xml:space="preserve">Mild to </w:t>
            </w:r>
            <w:r w:rsidR="00D06F64">
              <w:rPr>
                <w:rFonts w:cs="Times New Roman"/>
                <w:b/>
                <w:bCs/>
                <w:szCs w:val="24"/>
              </w:rPr>
              <w:t>m</w:t>
            </w:r>
            <w:r w:rsidRPr="005E68E8">
              <w:rPr>
                <w:rFonts w:cs="Times New Roman"/>
                <w:b/>
                <w:bCs/>
                <w:szCs w:val="24"/>
              </w:rPr>
              <w:t>oderate:</w:t>
            </w:r>
            <w:r w:rsidRPr="006957CE">
              <w:rPr>
                <w:rFonts w:cs="Times New Roman"/>
                <w:szCs w:val="24"/>
              </w:rPr>
              <w:t xml:space="preserve"> 0.9% NaCl, 10-20 ml/kg IV over 1-2 hours, then adjust based on serum sodium levels and clinical condition.</w:t>
            </w:r>
          </w:p>
          <w:p w14:paraId="4E66D35B" w14:textId="77777777" w:rsidR="0053427F" w:rsidRPr="006957CE" w:rsidRDefault="0053427F" w:rsidP="002D6DD7">
            <w:pPr>
              <w:jc w:val="both"/>
              <w:rPr>
                <w:rFonts w:cs="Times New Roman"/>
                <w:szCs w:val="24"/>
              </w:rPr>
            </w:pPr>
            <w:r w:rsidRPr="005E68E8">
              <w:rPr>
                <w:rFonts w:cs="Times New Roman"/>
                <w:b/>
                <w:bCs/>
                <w:szCs w:val="24"/>
              </w:rPr>
              <w:t>Severe:</w:t>
            </w:r>
            <w:r w:rsidRPr="006957CE">
              <w:rPr>
                <w:rFonts w:cs="Times New Roman"/>
                <w:szCs w:val="24"/>
              </w:rPr>
              <w:t xml:space="preserve"> 3% NaCl, 2-4 ml/kg IV over 10-30 minutes, repeat as necessary while monitoring serum sodium and neurological status.</w:t>
            </w:r>
          </w:p>
          <w:p w14:paraId="59C71848" w14:textId="77777777" w:rsidR="0053427F" w:rsidRPr="005E68E8" w:rsidRDefault="0053427F" w:rsidP="002D6DD7">
            <w:pPr>
              <w:jc w:val="both"/>
              <w:rPr>
                <w:rFonts w:cs="Times New Roman"/>
                <w:b/>
                <w:bCs/>
                <w:szCs w:val="24"/>
              </w:rPr>
            </w:pPr>
            <w:r w:rsidRPr="005E68E8">
              <w:rPr>
                <w:rFonts w:cs="Times New Roman"/>
                <w:b/>
                <w:bCs/>
                <w:szCs w:val="24"/>
              </w:rPr>
              <w:t xml:space="preserve">Dehydration and fluid replacement, </w:t>
            </w:r>
            <w:r w:rsidR="00D06F64" w:rsidRPr="00D06F64">
              <w:rPr>
                <w:rFonts w:cs="Times New Roman"/>
                <w:bCs/>
                <w:szCs w:val="24"/>
              </w:rPr>
              <w:t>p</w:t>
            </w:r>
            <w:r w:rsidRPr="00D06F64">
              <w:rPr>
                <w:rFonts w:cs="Times New Roman"/>
                <w:bCs/>
                <w:szCs w:val="24"/>
              </w:rPr>
              <w:t>arenteral:</w:t>
            </w:r>
          </w:p>
          <w:p w14:paraId="45FB7446" w14:textId="77777777" w:rsidR="0053427F" w:rsidRPr="006957CE" w:rsidRDefault="0053427F" w:rsidP="002D6DD7">
            <w:pPr>
              <w:jc w:val="both"/>
              <w:rPr>
                <w:rFonts w:cs="Times New Roman"/>
                <w:szCs w:val="24"/>
              </w:rPr>
            </w:pPr>
            <w:r w:rsidRPr="005E68E8">
              <w:rPr>
                <w:rFonts w:cs="Times New Roman"/>
                <w:b/>
                <w:bCs/>
                <w:szCs w:val="24"/>
              </w:rPr>
              <w:t>Adult:</w:t>
            </w:r>
            <w:r w:rsidRPr="006957CE">
              <w:rPr>
                <w:rFonts w:cs="Times New Roman"/>
                <w:szCs w:val="24"/>
              </w:rPr>
              <w:t xml:space="preserve"> 0.9% NaCl, 500-1000 ml IV over 1-2 hours or as needed. Adjust based on clinical condition and fluid balance.</w:t>
            </w:r>
          </w:p>
          <w:p w14:paraId="5AA86D68" w14:textId="77777777" w:rsidR="0053427F" w:rsidRPr="006957CE" w:rsidRDefault="0053427F" w:rsidP="002D6DD7">
            <w:pPr>
              <w:jc w:val="both"/>
              <w:rPr>
                <w:rFonts w:cs="Times New Roman"/>
                <w:szCs w:val="24"/>
              </w:rPr>
            </w:pPr>
            <w:r w:rsidRPr="005E68E8">
              <w:rPr>
                <w:rFonts w:cs="Times New Roman"/>
                <w:b/>
                <w:bCs/>
                <w:szCs w:val="24"/>
              </w:rPr>
              <w:t>Child:</w:t>
            </w:r>
            <w:r w:rsidRPr="006957CE">
              <w:rPr>
                <w:rFonts w:cs="Times New Roman"/>
                <w:szCs w:val="24"/>
              </w:rPr>
              <w:t xml:space="preserve"> 0.9% NaCl, 20-30 ml/kg IV over 1-2 hours or as needed. Adjust based on clinical condition and fluid balance.</w:t>
            </w:r>
          </w:p>
        </w:tc>
      </w:tr>
      <w:tr w:rsidR="0053427F" w:rsidRPr="007F0097" w14:paraId="265E11C4" w14:textId="77777777" w:rsidTr="002D6DD7">
        <w:tc>
          <w:tcPr>
            <w:tcW w:w="2695" w:type="dxa"/>
          </w:tcPr>
          <w:p w14:paraId="07B7C148" w14:textId="77777777" w:rsidR="0053427F" w:rsidRPr="007F0097" w:rsidRDefault="0053427F" w:rsidP="002D6DD7">
            <w:pPr>
              <w:jc w:val="both"/>
              <w:rPr>
                <w:rFonts w:cs="Times New Roman"/>
                <w:szCs w:val="24"/>
              </w:rPr>
            </w:pPr>
            <w:r w:rsidRPr="007F0097">
              <w:rPr>
                <w:rFonts w:cs="Times New Roman"/>
                <w:szCs w:val="24"/>
              </w:rPr>
              <w:t>Contraindications</w:t>
            </w:r>
          </w:p>
        </w:tc>
        <w:tc>
          <w:tcPr>
            <w:tcW w:w="6660" w:type="dxa"/>
          </w:tcPr>
          <w:p w14:paraId="2F7E9670" w14:textId="77777777" w:rsidR="0053427F" w:rsidRPr="007F0097" w:rsidRDefault="0053427F" w:rsidP="002D6DD7">
            <w:pPr>
              <w:jc w:val="both"/>
              <w:rPr>
                <w:rFonts w:cs="Times New Roman"/>
                <w:szCs w:val="24"/>
              </w:rPr>
            </w:pPr>
            <w:r>
              <w:rPr>
                <w:rFonts w:cs="Times New Roman"/>
                <w:szCs w:val="24"/>
              </w:rPr>
              <w:t>H</w:t>
            </w:r>
            <w:r w:rsidRPr="009A421A">
              <w:rPr>
                <w:rFonts w:cs="Times New Roman"/>
                <w:szCs w:val="24"/>
              </w:rPr>
              <w:t xml:space="preserve">ypersensitivity to </w:t>
            </w:r>
            <w:r>
              <w:rPr>
                <w:rFonts w:cs="Times New Roman"/>
                <w:szCs w:val="24"/>
              </w:rPr>
              <w:t>the drug, h</w:t>
            </w:r>
            <w:r w:rsidRPr="009A421A">
              <w:rPr>
                <w:rFonts w:cs="Times New Roman"/>
                <w:szCs w:val="24"/>
              </w:rPr>
              <w:t xml:space="preserve">ypernatremia, severe fluid retention or edema, severe renal impairment, pulmonary edema, uncontrolled hypertension, </w:t>
            </w:r>
          </w:p>
        </w:tc>
      </w:tr>
      <w:tr w:rsidR="0053427F" w:rsidRPr="007F0097" w14:paraId="38F89E4C" w14:textId="77777777" w:rsidTr="002D6DD7">
        <w:tc>
          <w:tcPr>
            <w:tcW w:w="2695" w:type="dxa"/>
          </w:tcPr>
          <w:p w14:paraId="01DC6632" w14:textId="77777777" w:rsidR="0053427F" w:rsidRPr="007F0097" w:rsidRDefault="0053427F" w:rsidP="002D6DD7">
            <w:pPr>
              <w:jc w:val="both"/>
              <w:rPr>
                <w:rFonts w:cs="Times New Roman"/>
                <w:szCs w:val="24"/>
              </w:rPr>
            </w:pPr>
            <w:r w:rsidRPr="007F0097">
              <w:rPr>
                <w:rFonts w:cs="Times New Roman"/>
                <w:szCs w:val="24"/>
              </w:rPr>
              <w:t>Drug interactions</w:t>
            </w:r>
          </w:p>
        </w:tc>
        <w:tc>
          <w:tcPr>
            <w:tcW w:w="6660" w:type="dxa"/>
          </w:tcPr>
          <w:p w14:paraId="7F494568" w14:textId="77777777" w:rsidR="0053427F" w:rsidRPr="007F0097" w:rsidRDefault="0053427F" w:rsidP="002D6DD7">
            <w:pPr>
              <w:jc w:val="both"/>
              <w:rPr>
                <w:rFonts w:cs="Times New Roman"/>
                <w:szCs w:val="24"/>
              </w:rPr>
            </w:pPr>
            <w:r w:rsidRPr="00B02E72">
              <w:rPr>
                <w:rFonts w:cs="Times New Roman"/>
                <w:szCs w:val="24"/>
              </w:rPr>
              <w:t>Corticosteroids, NSAIDs, lithium, antihypertensives, diuretics.</w:t>
            </w:r>
          </w:p>
        </w:tc>
      </w:tr>
      <w:tr w:rsidR="0053427F" w:rsidRPr="00222B2D" w14:paraId="670E036F" w14:textId="77777777" w:rsidTr="002D6DD7">
        <w:tc>
          <w:tcPr>
            <w:tcW w:w="2695" w:type="dxa"/>
          </w:tcPr>
          <w:p w14:paraId="34DD8939" w14:textId="77777777" w:rsidR="0053427F" w:rsidRPr="007F0097" w:rsidRDefault="0053427F" w:rsidP="002D6DD7">
            <w:pPr>
              <w:jc w:val="both"/>
              <w:rPr>
                <w:rFonts w:cs="Times New Roman"/>
                <w:szCs w:val="24"/>
              </w:rPr>
            </w:pPr>
            <w:r w:rsidRPr="007F0097">
              <w:rPr>
                <w:rFonts w:cs="Times New Roman"/>
                <w:szCs w:val="24"/>
              </w:rPr>
              <w:t>Side effects</w:t>
            </w:r>
          </w:p>
        </w:tc>
        <w:tc>
          <w:tcPr>
            <w:tcW w:w="6660" w:type="dxa"/>
          </w:tcPr>
          <w:p w14:paraId="31E631B7" w14:textId="77777777" w:rsidR="0053427F" w:rsidRPr="00222B2D" w:rsidRDefault="0053427F" w:rsidP="002D6DD7">
            <w:pPr>
              <w:jc w:val="both"/>
              <w:rPr>
                <w:rFonts w:cs="Times New Roman"/>
                <w:szCs w:val="24"/>
                <w:lang w:val="sv-SE"/>
              </w:rPr>
            </w:pPr>
            <w:r w:rsidRPr="00222B2D">
              <w:rPr>
                <w:rFonts w:cs="Times New Roman"/>
                <w:szCs w:val="24"/>
                <w:lang w:val="sv-SE"/>
              </w:rPr>
              <w:t>Hypernatremia, fluid retention, edema, hypertension, dehydration, metabolic alkalosis.</w:t>
            </w:r>
          </w:p>
        </w:tc>
      </w:tr>
      <w:tr w:rsidR="0053427F" w:rsidRPr="007F0097" w14:paraId="61EF4137" w14:textId="77777777" w:rsidTr="002D6DD7">
        <w:tc>
          <w:tcPr>
            <w:tcW w:w="2695" w:type="dxa"/>
          </w:tcPr>
          <w:p w14:paraId="1FA69DE1" w14:textId="77777777" w:rsidR="0053427F" w:rsidRPr="007F0097" w:rsidRDefault="0053427F" w:rsidP="002D6DD7">
            <w:pPr>
              <w:jc w:val="both"/>
              <w:rPr>
                <w:rFonts w:cs="Times New Roman"/>
                <w:szCs w:val="24"/>
              </w:rPr>
            </w:pPr>
            <w:r w:rsidRPr="007F0097">
              <w:rPr>
                <w:rFonts w:cs="Times New Roman"/>
                <w:szCs w:val="24"/>
              </w:rPr>
              <w:t xml:space="preserve">Cautions </w:t>
            </w:r>
          </w:p>
        </w:tc>
        <w:tc>
          <w:tcPr>
            <w:tcW w:w="6660" w:type="dxa"/>
          </w:tcPr>
          <w:p w14:paraId="5603916F" w14:textId="77777777" w:rsidR="0053427F" w:rsidRPr="007F0097" w:rsidRDefault="0053427F" w:rsidP="002D6DD7">
            <w:pPr>
              <w:jc w:val="both"/>
              <w:rPr>
                <w:rFonts w:cs="Times New Roman"/>
                <w:szCs w:val="24"/>
              </w:rPr>
            </w:pPr>
            <w:r w:rsidRPr="004B2D63">
              <w:rPr>
                <w:rFonts w:cs="Times New Roman"/>
                <w:szCs w:val="24"/>
              </w:rPr>
              <w:t xml:space="preserve">Renal impairment, heart failure, liver disease, pulmonary edema, </w:t>
            </w:r>
            <w:r w:rsidRPr="004B2D63">
              <w:rPr>
                <w:rFonts w:cs="Times New Roman"/>
                <w:szCs w:val="24"/>
              </w:rPr>
              <w:lastRenderedPageBreak/>
              <w:t>hypertension, elderly patients, electrolyte imbalances.</w:t>
            </w:r>
          </w:p>
        </w:tc>
      </w:tr>
      <w:tr w:rsidR="0053427F" w:rsidRPr="007F0097" w14:paraId="20506A83" w14:textId="77777777" w:rsidTr="002D6DD7">
        <w:tc>
          <w:tcPr>
            <w:tcW w:w="2695" w:type="dxa"/>
          </w:tcPr>
          <w:p w14:paraId="32A5B86B" w14:textId="77777777" w:rsidR="0053427F" w:rsidRPr="007F0097" w:rsidRDefault="0053427F" w:rsidP="002D6DD7">
            <w:pPr>
              <w:jc w:val="both"/>
              <w:rPr>
                <w:rFonts w:cs="Times New Roman"/>
                <w:szCs w:val="24"/>
              </w:rPr>
            </w:pPr>
            <w:r w:rsidRPr="007F0097">
              <w:rPr>
                <w:rFonts w:cs="Times New Roman"/>
                <w:szCs w:val="24"/>
              </w:rPr>
              <w:lastRenderedPageBreak/>
              <w:t>Storage condition</w:t>
            </w:r>
          </w:p>
        </w:tc>
        <w:tc>
          <w:tcPr>
            <w:tcW w:w="6660" w:type="dxa"/>
          </w:tcPr>
          <w:p w14:paraId="1AA0A7C2" w14:textId="77777777" w:rsidR="0053427F" w:rsidRPr="007F0097" w:rsidRDefault="0053427F" w:rsidP="002D6DD7">
            <w:pPr>
              <w:jc w:val="both"/>
              <w:rPr>
                <w:rFonts w:cs="Times New Roman"/>
                <w:szCs w:val="24"/>
              </w:rPr>
            </w:pPr>
            <w:r w:rsidRPr="007F0097">
              <w:rPr>
                <w:rFonts w:cs="Times New Roman"/>
                <w:szCs w:val="24"/>
              </w:rPr>
              <w:t>Store below 30</w:t>
            </w:r>
            <w:r w:rsidRPr="007F0097">
              <w:rPr>
                <w:rFonts w:cs="Times New Roman"/>
                <w:szCs w:val="24"/>
                <w:vertAlign w:val="superscript"/>
              </w:rPr>
              <w:t>0</w:t>
            </w:r>
            <w:r w:rsidRPr="007F0097">
              <w:rPr>
                <w:rFonts w:cs="Times New Roman"/>
                <w:szCs w:val="24"/>
              </w:rPr>
              <w:t>C</w:t>
            </w:r>
            <w:r>
              <w:rPr>
                <w:rFonts w:cs="Times New Roman"/>
                <w:szCs w:val="24"/>
              </w:rPr>
              <w:t>. P</w:t>
            </w:r>
            <w:r w:rsidRPr="007F0097">
              <w:rPr>
                <w:rFonts w:cs="Times New Roman"/>
                <w:szCs w:val="24"/>
              </w:rPr>
              <w:t>rotect from light and freezing.</w:t>
            </w:r>
          </w:p>
        </w:tc>
      </w:tr>
    </w:tbl>
    <w:p w14:paraId="4812DD6F" w14:textId="77777777" w:rsidR="0053427F" w:rsidRPr="00944B15" w:rsidRDefault="0053427F" w:rsidP="0053427F">
      <w:pPr>
        <w:spacing w:after="0"/>
        <w:rPr>
          <w:rFonts w:eastAsia="Times New Roman" w:cs="Times New Roman"/>
          <w:b/>
          <w:bCs/>
          <w:color w:val="000000"/>
          <w:szCs w:val="24"/>
        </w:rPr>
      </w:pPr>
    </w:p>
    <w:p w14:paraId="16C5CDDC" w14:textId="77777777" w:rsidR="00223CE8" w:rsidRDefault="00223CE8" w:rsidP="00E837DD">
      <w:pPr>
        <w:spacing w:after="0"/>
        <w:jc w:val="both"/>
        <w:rPr>
          <w:rFonts w:cs="Times New Roman"/>
          <w:szCs w:val="24"/>
        </w:rPr>
      </w:pPr>
    </w:p>
    <w:p w14:paraId="3D771EEE" w14:textId="77777777" w:rsidR="005409A9" w:rsidRDefault="005409A9" w:rsidP="00E837DD">
      <w:pPr>
        <w:spacing w:after="0"/>
        <w:jc w:val="both"/>
        <w:rPr>
          <w:rFonts w:cs="Times New Roman"/>
          <w:szCs w:val="24"/>
        </w:rPr>
      </w:pPr>
    </w:p>
    <w:p w14:paraId="1DEA582B" w14:textId="77777777" w:rsidR="005409A9" w:rsidRDefault="005409A9" w:rsidP="00E837DD">
      <w:pPr>
        <w:spacing w:after="0"/>
        <w:jc w:val="both"/>
        <w:rPr>
          <w:rFonts w:cs="Times New Roman"/>
          <w:szCs w:val="24"/>
        </w:rPr>
      </w:pPr>
    </w:p>
    <w:p w14:paraId="42453CF1" w14:textId="77777777" w:rsidR="005409A9" w:rsidRDefault="005409A9" w:rsidP="00E837DD">
      <w:pPr>
        <w:spacing w:after="0"/>
        <w:jc w:val="both"/>
        <w:rPr>
          <w:rFonts w:cs="Times New Roman"/>
          <w:szCs w:val="24"/>
        </w:rPr>
      </w:pPr>
    </w:p>
    <w:p w14:paraId="753FC2CA" w14:textId="77777777" w:rsidR="005409A9" w:rsidRDefault="005409A9" w:rsidP="00E837DD">
      <w:pPr>
        <w:spacing w:after="0"/>
        <w:jc w:val="both"/>
        <w:rPr>
          <w:rFonts w:cs="Times New Roman"/>
          <w:szCs w:val="24"/>
        </w:rPr>
      </w:pPr>
    </w:p>
    <w:p w14:paraId="2A20A609" w14:textId="77777777" w:rsidR="005409A9" w:rsidRDefault="005409A9" w:rsidP="00E837DD">
      <w:pPr>
        <w:spacing w:after="0"/>
        <w:jc w:val="both"/>
        <w:rPr>
          <w:rFonts w:cs="Times New Roman"/>
          <w:szCs w:val="24"/>
        </w:rPr>
      </w:pPr>
    </w:p>
    <w:p w14:paraId="418E7B6A" w14:textId="77777777" w:rsidR="005409A9" w:rsidRDefault="005409A9" w:rsidP="00E837DD">
      <w:pPr>
        <w:spacing w:after="0"/>
        <w:jc w:val="both"/>
        <w:rPr>
          <w:rFonts w:cs="Times New Roman"/>
          <w:szCs w:val="24"/>
        </w:rPr>
      </w:pPr>
    </w:p>
    <w:p w14:paraId="12216AAD" w14:textId="77777777" w:rsidR="005409A9" w:rsidRDefault="005409A9" w:rsidP="00E837DD">
      <w:pPr>
        <w:spacing w:after="0"/>
        <w:jc w:val="both"/>
        <w:rPr>
          <w:rFonts w:cs="Times New Roman"/>
          <w:szCs w:val="24"/>
        </w:rPr>
      </w:pPr>
    </w:p>
    <w:p w14:paraId="2706282B" w14:textId="77777777" w:rsidR="005409A9" w:rsidRDefault="005409A9" w:rsidP="00E837DD">
      <w:pPr>
        <w:spacing w:after="0"/>
        <w:jc w:val="both"/>
        <w:rPr>
          <w:rFonts w:cs="Times New Roman"/>
          <w:szCs w:val="24"/>
        </w:rPr>
      </w:pPr>
    </w:p>
    <w:p w14:paraId="323FD1BD" w14:textId="77777777" w:rsidR="005409A9" w:rsidRDefault="005409A9" w:rsidP="00E837DD">
      <w:pPr>
        <w:spacing w:after="0"/>
        <w:jc w:val="both"/>
        <w:rPr>
          <w:rFonts w:cs="Times New Roman"/>
          <w:szCs w:val="24"/>
        </w:rPr>
      </w:pPr>
    </w:p>
    <w:p w14:paraId="555E0A83" w14:textId="77777777" w:rsidR="005409A9" w:rsidRDefault="005409A9" w:rsidP="00E837DD">
      <w:pPr>
        <w:spacing w:after="0"/>
        <w:jc w:val="both"/>
        <w:rPr>
          <w:rFonts w:cs="Times New Roman"/>
          <w:szCs w:val="24"/>
        </w:rPr>
      </w:pPr>
    </w:p>
    <w:p w14:paraId="13C62F0A" w14:textId="77777777" w:rsidR="005409A9" w:rsidRDefault="005409A9" w:rsidP="00E837DD">
      <w:pPr>
        <w:spacing w:after="0"/>
        <w:jc w:val="both"/>
        <w:rPr>
          <w:rFonts w:cs="Times New Roman"/>
          <w:szCs w:val="24"/>
        </w:rPr>
      </w:pPr>
    </w:p>
    <w:p w14:paraId="3507583E" w14:textId="77777777" w:rsidR="005409A9" w:rsidRDefault="005409A9" w:rsidP="00E837DD">
      <w:pPr>
        <w:spacing w:after="0"/>
        <w:jc w:val="both"/>
        <w:rPr>
          <w:rFonts w:cs="Times New Roman"/>
          <w:szCs w:val="24"/>
        </w:rPr>
      </w:pPr>
    </w:p>
    <w:p w14:paraId="75D1128B" w14:textId="77777777" w:rsidR="005409A9" w:rsidRDefault="005409A9" w:rsidP="00E837DD">
      <w:pPr>
        <w:spacing w:after="0"/>
        <w:jc w:val="both"/>
        <w:rPr>
          <w:rFonts w:cs="Times New Roman"/>
          <w:szCs w:val="24"/>
        </w:rPr>
      </w:pPr>
    </w:p>
    <w:p w14:paraId="70C15E65" w14:textId="77777777" w:rsidR="005409A9" w:rsidRDefault="005409A9" w:rsidP="00E837DD">
      <w:pPr>
        <w:spacing w:after="0"/>
        <w:jc w:val="both"/>
        <w:rPr>
          <w:rFonts w:cs="Times New Roman"/>
          <w:szCs w:val="24"/>
        </w:rPr>
      </w:pPr>
    </w:p>
    <w:p w14:paraId="454F4B4B" w14:textId="77777777" w:rsidR="005409A9" w:rsidRDefault="005409A9" w:rsidP="00E837DD">
      <w:pPr>
        <w:spacing w:after="0"/>
        <w:jc w:val="both"/>
        <w:rPr>
          <w:rFonts w:cs="Times New Roman"/>
          <w:szCs w:val="24"/>
        </w:rPr>
      </w:pPr>
    </w:p>
    <w:p w14:paraId="0E0846CE" w14:textId="77777777" w:rsidR="005409A9" w:rsidRDefault="005409A9" w:rsidP="00E837DD">
      <w:pPr>
        <w:spacing w:after="0"/>
        <w:jc w:val="both"/>
        <w:rPr>
          <w:rFonts w:cs="Times New Roman"/>
          <w:szCs w:val="24"/>
        </w:rPr>
      </w:pPr>
    </w:p>
    <w:p w14:paraId="6E90F60B" w14:textId="77777777" w:rsidR="005409A9" w:rsidRDefault="005409A9" w:rsidP="00E837DD">
      <w:pPr>
        <w:spacing w:after="0"/>
        <w:jc w:val="both"/>
        <w:rPr>
          <w:rFonts w:cs="Times New Roman"/>
          <w:szCs w:val="24"/>
        </w:rPr>
      </w:pPr>
    </w:p>
    <w:p w14:paraId="4A3C0074" w14:textId="77777777" w:rsidR="005409A9" w:rsidRDefault="005409A9" w:rsidP="00E837DD">
      <w:pPr>
        <w:spacing w:after="0"/>
        <w:jc w:val="both"/>
        <w:rPr>
          <w:rFonts w:cs="Times New Roman"/>
          <w:szCs w:val="24"/>
        </w:rPr>
      </w:pPr>
    </w:p>
    <w:p w14:paraId="7AEA30BD" w14:textId="77777777" w:rsidR="005409A9" w:rsidRDefault="005409A9" w:rsidP="00E837DD">
      <w:pPr>
        <w:spacing w:after="0"/>
        <w:jc w:val="both"/>
        <w:rPr>
          <w:rFonts w:cs="Times New Roman"/>
          <w:szCs w:val="24"/>
        </w:rPr>
      </w:pPr>
    </w:p>
    <w:p w14:paraId="055CB142" w14:textId="77777777" w:rsidR="005409A9" w:rsidRDefault="005409A9" w:rsidP="00E837DD">
      <w:pPr>
        <w:spacing w:after="0"/>
        <w:jc w:val="both"/>
        <w:rPr>
          <w:rFonts w:cs="Times New Roman"/>
          <w:szCs w:val="24"/>
        </w:rPr>
      </w:pPr>
    </w:p>
    <w:p w14:paraId="5008E859" w14:textId="77777777" w:rsidR="005409A9" w:rsidRDefault="005409A9" w:rsidP="00E837DD">
      <w:pPr>
        <w:spacing w:after="0"/>
        <w:jc w:val="both"/>
        <w:rPr>
          <w:rFonts w:cs="Times New Roman"/>
          <w:szCs w:val="24"/>
        </w:rPr>
      </w:pPr>
    </w:p>
    <w:p w14:paraId="00C68117" w14:textId="77777777" w:rsidR="005409A9" w:rsidRDefault="005409A9" w:rsidP="00E837DD">
      <w:pPr>
        <w:spacing w:after="0"/>
        <w:jc w:val="both"/>
        <w:rPr>
          <w:rFonts w:cs="Times New Roman"/>
          <w:szCs w:val="24"/>
        </w:rPr>
      </w:pPr>
    </w:p>
    <w:p w14:paraId="5A531244" w14:textId="77777777" w:rsidR="005409A9" w:rsidRDefault="005409A9" w:rsidP="00E837DD">
      <w:pPr>
        <w:spacing w:after="0"/>
        <w:jc w:val="both"/>
        <w:rPr>
          <w:rFonts w:cs="Times New Roman"/>
          <w:szCs w:val="24"/>
        </w:rPr>
      </w:pPr>
    </w:p>
    <w:p w14:paraId="3FF09C69" w14:textId="77777777" w:rsidR="005409A9" w:rsidRDefault="005409A9" w:rsidP="00E837DD">
      <w:pPr>
        <w:spacing w:after="0"/>
        <w:jc w:val="both"/>
        <w:rPr>
          <w:rFonts w:cs="Times New Roman"/>
          <w:szCs w:val="24"/>
        </w:rPr>
      </w:pPr>
    </w:p>
    <w:p w14:paraId="0CAD480E" w14:textId="77777777" w:rsidR="005409A9" w:rsidRDefault="005409A9" w:rsidP="00E837DD">
      <w:pPr>
        <w:spacing w:after="0"/>
        <w:jc w:val="both"/>
        <w:rPr>
          <w:rFonts w:cs="Times New Roman"/>
          <w:szCs w:val="24"/>
        </w:rPr>
      </w:pPr>
    </w:p>
    <w:p w14:paraId="6EB207BE" w14:textId="77777777" w:rsidR="00D06F64" w:rsidRDefault="00D06F64">
      <w:pPr>
        <w:spacing w:line="259" w:lineRule="auto"/>
        <w:rPr>
          <w:rFonts w:cs="Times New Roman"/>
          <w:szCs w:val="24"/>
        </w:rPr>
      </w:pPr>
      <w:r>
        <w:rPr>
          <w:rFonts w:cs="Times New Roman"/>
          <w:b/>
          <w:bCs/>
          <w:szCs w:val="24"/>
        </w:rPr>
        <w:br w:type="page"/>
      </w:r>
    </w:p>
    <w:p w14:paraId="3EDFE8E1" w14:textId="77777777" w:rsidR="005409A9" w:rsidRPr="00D06F64" w:rsidRDefault="005409A9" w:rsidP="00D06F64">
      <w:pPr>
        <w:pStyle w:val="Heading1"/>
        <w:numPr>
          <w:ilvl w:val="0"/>
          <w:numId w:val="25"/>
        </w:numPr>
        <w:spacing w:after="240"/>
      </w:pPr>
      <w:bookmarkStart w:id="178" w:name="_Toc179490388"/>
      <w:r w:rsidRPr="00D06F64">
        <w:lastRenderedPageBreak/>
        <w:t>Immunomodulators</w:t>
      </w:r>
      <w:bookmarkEnd w:id="178"/>
    </w:p>
    <w:p w14:paraId="2EF5C619" w14:textId="77777777" w:rsidR="005409A9" w:rsidRPr="005E6FFD" w:rsidRDefault="005409A9" w:rsidP="005409A9">
      <w:pPr>
        <w:spacing w:after="0"/>
        <w:jc w:val="both"/>
        <w:rPr>
          <w:rFonts w:eastAsia="Times New Roman" w:cs="Times New Roman"/>
          <w:bCs/>
          <w:color w:val="000000"/>
          <w:szCs w:val="24"/>
        </w:rPr>
      </w:pPr>
      <w:r w:rsidRPr="00D76338">
        <w:rPr>
          <w:rFonts w:cs="Times New Roman"/>
          <w:szCs w:val="24"/>
        </w:rPr>
        <w:t xml:space="preserve">Immunomodulators are molecules that alter or modulate the </w:t>
      </w:r>
      <w:r>
        <w:rPr>
          <w:rFonts w:cs="Times New Roman"/>
          <w:szCs w:val="24"/>
        </w:rPr>
        <w:t xml:space="preserve">immune system to aid the body's </w:t>
      </w:r>
      <w:r w:rsidRPr="00D76338">
        <w:rPr>
          <w:rFonts w:cs="Times New Roman"/>
          <w:szCs w:val="24"/>
        </w:rPr>
        <w:t>response to a sickness or illness. Various immune system components can be impacted by distinct immunomodulators. While some solely target very specific routes, others function extremely broadly. Immunomodulators come in a variety of shapes and sizes. Some might be bigger proteins, like monoclonal antibodies, while others might be very tiny molecules. Immunostimulators and immunosuppressives are the two primary categories of immunomodulators. Immunostimulators are used to strengthen the body's defenses against illnesses such as cancer, infections, or compromised immune systems. Immunosuppressive medications are frequently used to treat autoimmune disorders and stop organ rejection in transplant recipients.</w:t>
      </w:r>
    </w:p>
    <w:p w14:paraId="25BD7610" w14:textId="77777777" w:rsidR="005409A9" w:rsidRPr="00944B15" w:rsidRDefault="005409A9" w:rsidP="005409A9">
      <w:pPr>
        <w:spacing w:after="0"/>
        <w:jc w:val="both"/>
        <w:rPr>
          <w:rFonts w:eastAsia="Times New Roman" w:cs="Times New Roman"/>
          <w:bCs/>
          <w:color w:val="000000"/>
          <w:szCs w:val="24"/>
        </w:rPr>
      </w:pPr>
    </w:p>
    <w:tbl>
      <w:tblPr>
        <w:tblStyle w:val="TableGrid"/>
        <w:tblW w:w="0" w:type="auto"/>
        <w:jc w:val="center"/>
        <w:tblLook w:val="04A0" w:firstRow="1" w:lastRow="0" w:firstColumn="1" w:lastColumn="0" w:noHBand="0" w:noVBand="1"/>
      </w:tblPr>
      <w:tblGrid>
        <w:gridCol w:w="2605"/>
        <w:gridCol w:w="6736"/>
        <w:gridCol w:w="9"/>
      </w:tblGrid>
      <w:tr w:rsidR="005409A9" w:rsidRPr="00944B15" w14:paraId="3E70A6C6" w14:textId="77777777" w:rsidTr="002D6DD7">
        <w:trPr>
          <w:gridAfter w:val="1"/>
          <w:wAfter w:w="9" w:type="dxa"/>
          <w:jc w:val="center"/>
        </w:trPr>
        <w:tc>
          <w:tcPr>
            <w:tcW w:w="9341" w:type="dxa"/>
            <w:gridSpan w:val="2"/>
            <w:tcBorders>
              <w:top w:val="single" w:sz="4" w:space="0" w:color="auto"/>
              <w:left w:val="single" w:sz="4" w:space="0" w:color="auto"/>
              <w:bottom w:val="single" w:sz="4" w:space="0" w:color="auto"/>
              <w:right w:val="single" w:sz="4" w:space="0" w:color="auto"/>
            </w:tcBorders>
            <w:hideMark/>
          </w:tcPr>
          <w:p w14:paraId="70671A80"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Adalimumab</w:t>
            </w:r>
          </w:p>
        </w:tc>
      </w:tr>
      <w:tr w:rsidR="005409A9" w:rsidRPr="00944B15" w14:paraId="7B6E5F8A"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02BAC097"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36" w:type="dxa"/>
            <w:tcBorders>
              <w:top w:val="single" w:sz="4" w:space="0" w:color="auto"/>
              <w:left w:val="single" w:sz="4" w:space="0" w:color="auto"/>
              <w:bottom w:val="single" w:sz="4" w:space="0" w:color="auto"/>
              <w:right w:val="single" w:sz="4" w:space="0" w:color="auto"/>
            </w:tcBorders>
            <w:hideMark/>
          </w:tcPr>
          <w:p w14:paraId="517B1F5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Recombinant human anti-TNF-α IgG1 monoclonal antibody</w:t>
            </w:r>
          </w:p>
        </w:tc>
      </w:tr>
      <w:tr w:rsidR="005409A9" w:rsidRPr="00944B15" w14:paraId="64EDA2A3"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5454298B"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36" w:type="dxa"/>
            <w:tcBorders>
              <w:top w:val="single" w:sz="4" w:space="0" w:color="auto"/>
              <w:left w:val="single" w:sz="4" w:space="0" w:color="auto"/>
              <w:bottom w:val="single" w:sz="4" w:space="0" w:color="auto"/>
              <w:right w:val="single" w:sz="4" w:space="0" w:color="auto"/>
            </w:tcBorders>
            <w:hideMark/>
          </w:tcPr>
          <w:p w14:paraId="3BCA8F70" w14:textId="77777777" w:rsidR="005409A9" w:rsidRPr="00944B15" w:rsidRDefault="005409A9" w:rsidP="002D6DD7">
            <w:pPr>
              <w:jc w:val="both"/>
              <w:rPr>
                <w:rFonts w:eastAsia="Times New Roman" w:cs="Times New Roman"/>
                <w:szCs w:val="24"/>
              </w:rPr>
            </w:pPr>
            <w:r w:rsidRPr="00944B15">
              <w:rPr>
                <w:rFonts w:eastAsia="Times New Roman" w:cs="Times New Roman"/>
                <w:color w:val="000000"/>
                <w:szCs w:val="24"/>
              </w:rPr>
              <w:t xml:space="preserve">Injection: 10 mg/0.2 </w:t>
            </w:r>
            <w:r>
              <w:rPr>
                <w:rFonts w:eastAsia="Times New Roman" w:cs="Times New Roman"/>
                <w:color w:val="000000"/>
                <w:szCs w:val="24"/>
              </w:rPr>
              <w:t>ml</w:t>
            </w:r>
            <w:r w:rsidRPr="00944B15">
              <w:rPr>
                <w:rFonts w:eastAsia="Times New Roman" w:cs="Times New Roman"/>
                <w:color w:val="000000"/>
                <w:szCs w:val="24"/>
              </w:rPr>
              <w:t xml:space="preserve">, 20 mg/0.4 </w:t>
            </w:r>
            <w:r>
              <w:rPr>
                <w:rFonts w:eastAsia="Times New Roman" w:cs="Times New Roman"/>
                <w:color w:val="000000"/>
                <w:szCs w:val="24"/>
              </w:rPr>
              <w:t>ml</w:t>
            </w:r>
            <w:r w:rsidRPr="00944B15">
              <w:rPr>
                <w:rFonts w:eastAsia="Times New Roman" w:cs="Times New Roman"/>
                <w:color w:val="000000"/>
                <w:szCs w:val="24"/>
              </w:rPr>
              <w:t xml:space="preserve">, 40 mg/0.8 </w:t>
            </w:r>
            <w:r>
              <w:rPr>
                <w:rFonts w:eastAsia="Times New Roman" w:cs="Times New Roman"/>
                <w:color w:val="000000"/>
                <w:szCs w:val="24"/>
              </w:rPr>
              <w:t>ml</w:t>
            </w:r>
            <w:r w:rsidRPr="00944B15">
              <w:rPr>
                <w:rFonts w:eastAsia="Times New Roman" w:cs="Times New Roman"/>
                <w:color w:val="000000"/>
                <w:szCs w:val="24"/>
              </w:rPr>
              <w:t xml:space="preserve">,40 mg/0.4 </w:t>
            </w:r>
            <w:r>
              <w:rPr>
                <w:rFonts w:eastAsia="Times New Roman" w:cs="Times New Roman"/>
                <w:color w:val="000000"/>
                <w:szCs w:val="24"/>
              </w:rPr>
              <w:t>ml</w:t>
            </w:r>
          </w:p>
        </w:tc>
      </w:tr>
      <w:tr w:rsidR="005409A9" w:rsidRPr="00944B15" w14:paraId="3F1272B9"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0B85371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36" w:type="dxa"/>
            <w:tcBorders>
              <w:top w:val="single" w:sz="4" w:space="0" w:color="auto"/>
              <w:left w:val="single" w:sz="4" w:space="0" w:color="auto"/>
              <w:bottom w:val="single" w:sz="4" w:space="0" w:color="auto"/>
              <w:right w:val="single" w:sz="4" w:space="0" w:color="auto"/>
            </w:tcBorders>
            <w:hideMark/>
          </w:tcPr>
          <w:p w14:paraId="109F01B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iCs/>
                <w:color w:val="000000"/>
                <w:szCs w:val="24"/>
              </w:rPr>
              <w:t xml:space="preserve">Moderate to severe active rheumatoid arthritis, active and progressive psoriatic arthritis, severe active ankylosing spondylitis, inflammatory bowel disease and plaque psoriasis, </w:t>
            </w:r>
            <w:r w:rsidRPr="00944B15">
              <w:rPr>
                <w:rFonts w:eastAsia="Times New Roman" w:cs="Times New Roman"/>
                <w:color w:val="000000"/>
                <w:szCs w:val="24"/>
              </w:rPr>
              <w:t xml:space="preserve">Crohn disease, </w:t>
            </w:r>
            <w:r w:rsidRPr="00944B15">
              <w:rPr>
                <w:rFonts w:eastAsia="Times New Roman" w:cs="Times New Roman"/>
                <w:color w:val="000000"/>
                <w:szCs w:val="24"/>
                <w:shd w:val="clear" w:color="auto" w:fill="FFFFFF"/>
              </w:rPr>
              <w:t>uveitis</w:t>
            </w:r>
            <w:r w:rsidRPr="00944B15">
              <w:rPr>
                <w:rFonts w:eastAsia="Times New Roman" w:cs="Times New Roman"/>
                <w:color w:val="000000"/>
                <w:szCs w:val="24"/>
              </w:rPr>
              <w:t xml:space="preserve"> and ulcerative colitis</w:t>
            </w:r>
            <w:r w:rsidRPr="00944B15">
              <w:rPr>
                <w:rFonts w:eastAsia="Times New Roman" w:cs="Times New Roman"/>
                <w:color w:val="000000"/>
                <w:szCs w:val="24"/>
                <w:shd w:val="clear" w:color="auto" w:fill="FFFFFF"/>
              </w:rPr>
              <w:t xml:space="preserve">, </w:t>
            </w:r>
          </w:p>
        </w:tc>
      </w:tr>
      <w:tr w:rsidR="005409A9" w:rsidRPr="00944B15" w14:paraId="08918C83"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41C7EC7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736" w:type="dxa"/>
            <w:tcBorders>
              <w:top w:val="single" w:sz="4" w:space="0" w:color="auto"/>
              <w:left w:val="single" w:sz="4" w:space="0" w:color="auto"/>
              <w:bottom w:val="single" w:sz="4" w:space="0" w:color="auto"/>
              <w:right w:val="single" w:sz="4" w:space="0" w:color="auto"/>
            </w:tcBorders>
          </w:tcPr>
          <w:p w14:paraId="2DC8439D" w14:textId="77777777" w:rsidR="005409A9" w:rsidRPr="00944B15" w:rsidRDefault="005409A9" w:rsidP="00D06F64">
            <w:pPr>
              <w:contextualSpacing/>
              <w:rPr>
                <w:rFonts w:eastAsia="Times New Roman" w:cs="Times New Roman"/>
                <w:color w:val="000000"/>
                <w:szCs w:val="24"/>
              </w:rPr>
            </w:pPr>
            <w:r>
              <w:rPr>
                <w:rFonts w:eastAsia="Times New Roman" w:cs="Times New Roman"/>
                <w:b/>
                <w:color w:val="000000"/>
                <w:szCs w:val="24"/>
              </w:rPr>
              <w:t>Rheumatoid arthritis</w:t>
            </w:r>
            <w:r w:rsidR="00D06F64">
              <w:rPr>
                <w:rFonts w:eastAsia="Times New Roman" w:cs="Times New Roman"/>
                <w:b/>
                <w:color w:val="000000"/>
                <w:szCs w:val="24"/>
              </w:rPr>
              <w:t xml:space="preserve">, </w:t>
            </w:r>
            <w:r w:rsidR="00D06F64" w:rsidRPr="00D06F64">
              <w:rPr>
                <w:rFonts w:eastAsia="Times New Roman" w:cs="Times New Roman"/>
                <w:color w:val="000000"/>
                <w:szCs w:val="24"/>
              </w:rPr>
              <w:t>b</w:t>
            </w:r>
            <w:r>
              <w:rPr>
                <w:rFonts w:eastAsia="Times New Roman" w:cs="Times New Roman"/>
                <w:color w:val="000000"/>
                <w:szCs w:val="24"/>
              </w:rPr>
              <w:t>y s</w:t>
            </w:r>
            <w:r w:rsidRPr="00944B15">
              <w:rPr>
                <w:rFonts w:eastAsia="Times New Roman" w:cs="Times New Roman"/>
                <w:color w:val="000000"/>
                <w:szCs w:val="24"/>
              </w:rPr>
              <w:t xml:space="preserve">ubcutaneous </w:t>
            </w:r>
            <w:r>
              <w:rPr>
                <w:rFonts w:eastAsia="Times New Roman" w:cs="Times New Roman"/>
                <w:color w:val="000000"/>
                <w:szCs w:val="24"/>
              </w:rPr>
              <w:t>in</w:t>
            </w:r>
            <w:r w:rsidRPr="00944B15">
              <w:rPr>
                <w:rFonts w:eastAsia="Times New Roman" w:cs="Times New Roman"/>
                <w:color w:val="000000"/>
                <w:szCs w:val="24"/>
              </w:rPr>
              <w:t>jection</w:t>
            </w:r>
            <w:r w:rsidR="00D06F64">
              <w:rPr>
                <w:rFonts w:eastAsia="Times New Roman" w:cs="Times New Roman"/>
                <w:color w:val="000000"/>
                <w:szCs w:val="24"/>
              </w:rPr>
              <w:t>:</w:t>
            </w:r>
          </w:p>
          <w:p w14:paraId="76D6AD75" w14:textId="77777777" w:rsidR="005409A9" w:rsidRPr="00944B15" w:rsidRDefault="005409A9" w:rsidP="002D6DD7">
            <w:pPr>
              <w:contextualSpacing/>
              <w:jc w:val="both"/>
              <w:rPr>
                <w:rFonts w:eastAsia="Times New Roman" w:cs="Times New Roman"/>
                <w:color w:val="000000"/>
                <w:szCs w:val="24"/>
              </w:rPr>
            </w:pPr>
            <w:r w:rsidRPr="00043C2F">
              <w:rPr>
                <w:rFonts w:eastAsia="Times New Roman" w:cs="Times New Roman"/>
                <w:b/>
                <w:color w:val="000000"/>
                <w:szCs w:val="24"/>
              </w:rPr>
              <w:t>Adult:</w:t>
            </w:r>
            <w:r w:rsidRPr="00944B15">
              <w:rPr>
                <w:rFonts w:eastAsia="Times New Roman" w:cs="Times New Roman"/>
                <w:color w:val="000000"/>
                <w:szCs w:val="24"/>
              </w:rPr>
              <w:t xml:space="preserve"> 40 mg every 2 weeks, then increased if necessary to 40 mg once weekly, alternatively 80 mg every 2 weeks, dose to be increased only in patients receiving adalimumab alone, review treatment if no response within 12 weeks</w:t>
            </w:r>
          </w:p>
          <w:p w14:paraId="24C95006" w14:textId="77777777" w:rsidR="005409A9" w:rsidRPr="00E06221" w:rsidRDefault="005409A9" w:rsidP="002D6DD7">
            <w:pPr>
              <w:contextualSpacing/>
              <w:jc w:val="both"/>
              <w:rPr>
                <w:rFonts w:eastAsia="Times New Roman" w:cs="Times New Roman"/>
                <w:color w:val="000000"/>
                <w:szCs w:val="24"/>
              </w:rPr>
            </w:pPr>
            <w:r w:rsidRPr="00944B15">
              <w:rPr>
                <w:rFonts w:eastAsia="Times New Roman" w:cs="Times New Roman"/>
                <w:b/>
                <w:iCs/>
                <w:color w:val="000000"/>
                <w:szCs w:val="24"/>
              </w:rPr>
              <w:t>Plaque psoriasis</w:t>
            </w:r>
            <w:r w:rsidR="00D06F64">
              <w:rPr>
                <w:rFonts w:eastAsia="Times New Roman" w:cs="Times New Roman"/>
                <w:b/>
                <w:iCs/>
                <w:color w:val="000000"/>
                <w:szCs w:val="24"/>
              </w:rPr>
              <w:t xml:space="preserve">, </w:t>
            </w:r>
            <w:r w:rsidR="00D06F64" w:rsidRPr="00D06F64">
              <w:rPr>
                <w:rFonts w:eastAsia="Times New Roman" w:cs="Times New Roman"/>
                <w:iCs/>
                <w:color w:val="000000"/>
                <w:szCs w:val="24"/>
              </w:rPr>
              <w:t>b</w:t>
            </w:r>
            <w:r>
              <w:rPr>
                <w:rFonts w:eastAsia="Times New Roman" w:cs="Times New Roman"/>
                <w:color w:val="000000"/>
                <w:szCs w:val="24"/>
              </w:rPr>
              <w:t>y subcutaneous injection</w:t>
            </w:r>
            <w:r w:rsidR="00D06F64">
              <w:rPr>
                <w:rFonts w:eastAsia="Times New Roman" w:cs="Times New Roman"/>
                <w:color w:val="000000"/>
                <w:szCs w:val="24"/>
              </w:rPr>
              <w:t>:</w:t>
            </w:r>
          </w:p>
          <w:p w14:paraId="5A0FCD05" w14:textId="77777777" w:rsidR="005409A9" w:rsidRPr="00944B15" w:rsidRDefault="005409A9" w:rsidP="002D6DD7">
            <w:pPr>
              <w:contextualSpacing/>
              <w:jc w:val="both"/>
              <w:rPr>
                <w:rFonts w:eastAsia="Times New Roman" w:cs="Times New Roman"/>
                <w:color w:val="000000"/>
                <w:szCs w:val="24"/>
              </w:rPr>
            </w:pPr>
            <w:r w:rsidRPr="00043C2F">
              <w:rPr>
                <w:rFonts w:eastAsia="Times New Roman" w:cs="Times New Roman"/>
                <w:b/>
                <w:color w:val="000000"/>
                <w:szCs w:val="24"/>
              </w:rPr>
              <w:t>Adult:</w:t>
            </w:r>
            <w:r>
              <w:rPr>
                <w:rFonts w:eastAsia="Times New Roman" w:cs="Times New Roman"/>
                <w:color w:val="000000"/>
                <w:szCs w:val="24"/>
              </w:rPr>
              <w:t xml:space="preserve"> i</w:t>
            </w:r>
            <w:r w:rsidRPr="00944B15">
              <w:rPr>
                <w:rFonts w:eastAsia="Times New Roman" w:cs="Times New Roman"/>
                <w:color w:val="000000"/>
                <w:szCs w:val="24"/>
              </w:rPr>
              <w:t>nitially 80 mg, then 40 mg every 2 weeks, to be started 1 week after initial dose, review treatment if no response within 16 weeks</w:t>
            </w:r>
          </w:p>
          <w:p w14:paraId="2B3926AA" w14:textId="77777777" w:rsidR="005409A9" w:rsidRPr="00944B15" w:rsidRDefault="005409A9" w:rsidP="00D06F64">
            <w:pPr>
              <w:contextualSpacing/>
              <w:rPr>
                <w:rFonts w:eastAsia="Times New Roman" w:cs="Times New Roman"/>
                <w:color w:val="000000"/>
                <w:szCs w:val="24"/>
              </w:rPr>
            </w:pPr>
            <w:r w:rsidRPr="00944B15">
              <w:rPr>
                <w:rFonts w:eastAsia="Times New Roman" w:cs="Times New Roman"/>
                <w:b/>
                <w:color w:val="000000"/>
                <w:szCs w:val="24"/>
              </w:rPr>
              <w:t>Psoriatic arthritis and Ankylosing spondylitis</w:t>
            </w:r>
            <w:r w:rsidR="00D06F64">
              <w:rPr>
                <w:rFonts w:eastAsia="Times New Roman" w:cs="Times New Roman"/>
                <w:b/>
                <w:color w:val="000000"/>
                <w:szCs w:val="24"/>
              </w:rPr>
              <w:t xml:space="preserve">, </w:t>
            </w:r>
            <w:r w:rsidR="00D06F64" w:rsidRPr="00D06F64">
              <w:rPr>
                <w:rFonts w:eastAsia="Times New Roman" w:cs="Times New Roman"/>
                <w:color w:val="000000"/>
                <w:szCs w:val="24"/>
              </w:rPr>
              <w:t>b</w:t>
            </w:r>
            <w:r>
              <w:rPr>
                <w:rFonts w:eastAsia="Times New Roman" w:cs="Times New Roman"/>
                <w:color w:val="000000"/>
                <w:szCs w:val="24"/>
              </w:rPr>
              <w:t>y subcutaneous i</w:t>
            </w:r>
            <w:r w:rsidRPr="00944B15">
              <w:rPr>
                <w:rFonts w:eastAsia="Times New Roman" w:cs="Times New Roman"/>
                <w:color w:val="000000"/>
                <w:szCs w:val="24"/>
              </w:rPr>
              <w:t>njection</w:t>
            </w:r>
            <w:r w:rsidR="00D06F64">
              <w:rPr>
                <w:rFonts w:eastAsia="Times New Roman" w:cs="Times New Roman"/>
                <w:color w:val="000000"/>
                <w:szCs w:val="24"/>
              </w:rPr>
              <w:t>:</w:t>
            </w:r>
          </w:p>
          <w:p w14:paraId="4A8D062C" w14:textId="77777777" w:rsidR="005409A9" w:rsidRPr="00944B15" w:rsidRDefault="005409A9" w:rsidP="002D6DD7">
            <w:pPr>
              <w:contextualSpacing/>
              <w:jc w:val="both"/>
              <w:rPr>
                <w:rFonts w:eastAsia="Times New Roman" w:cs="Times New Roman"/>
                <w:color w:val="000000"/>
                <w:szCs w:val="24"/>
              </w:rPr>
            </w:pPr>
            <w:r w:rsidRPr="00E06221">
              <w:rPr>
                <w:rFonts w:eastAsia="Times New Roman" w:cs="Times New Roman"/>
                <w:b/>
                <w:color w:val="000000"/>
                <w:szCs w:val="24"/>
              </w:rPr>
              <w:lastRenderedPageBreak/>
              <w:t>Adult:</w:t>
            </w:r>
            <w:r w:rsidRPr="00944B15">
              <w:rPr>
                <w:rFonts w:eastAsia="Times New Roman" w:cs="Times New Roman"/>
                <w:color w:val="000000"/>
                <w:szCs w:val="24"/>
              </w:rPr>
              <w:t xml:space="preserve"> 40 mg every 2 weeks, review treatment if no response within 12 weeks</w:t>
            </w:r>
            <w:r w:rsidR="00D06F64">
              <w:rPr>
                <w:rFonts w:eastAsia="Times New Roman" w:cs="Times New Roman"/>
                <w:color w:val="000000"/>
                <w:szCs w:val="24"/>
              </w:rPr>
              <w:t>.</w:t>
            </w:r>
          </w:p>
          <w:p w14:paraId="1F32AB97" w14:textId="77777777" w:rsidR="005409A9" w:rsidRPr="00944B15" w:rsidRDefault="005409A9" w:rsidP="00D06F64">
            <w:pPr>
              <w:contextualSpacing/>
              <w:rPr>
                <w:rFonts w:eastAsia="Times New Roman" w:cs="Times New Roman"/>
                <w:color w:val="000000"/>
                <w:szCs w:val="24"/>
              </w:rPr>
            </w:pPr>
            <w:r w:rsidRPr="00944B15">
              <w:rPr>
                <w:rFonts w:eastAsia="Times New Roman" w:cs="Times New Roman"/>
                <w:b/>
                <w:color w:val="000000"/>
                <w:szCs w:val="24"/>
              </w:rPr>
              <w:t>Crohn Disease</w:t>
            </w:r>
            <w:r w:rsidR="00D06F64">
              <w:rPr>
                <w:rFonts w:eastAsia="Times New Roman" w:cs="Times New Roman"/>
                <w:b/>
                <w:color w:val="000000"/>
                <w:szCs w:val="24"/>
              </w:rPr>
              <w:t xml:space="preserve">, </w:t>
            </w:r>
            <w:r w:rsidR="00D06F64">
              <w:rPr>
                <w:rFonts w:eastAsia="Times New Roman" w:cs="Times New Roman"/>
                <w:color w:val="000000"/>
                <w:szCs w:val="24"/>
              </w:rPr>
              <w:t>b</w:t>
            </w:r>
            <w:r>
              <w:rPr>
                <w:rFonts w:eastAsia="Times New Roman" w:cs="Times New Roman"/>
                <w:color w:val="000000"/>
                <w:szCs w:val="24"/>
              </w:rPr>
              <w:t>y subcutaneous i</w:t>
            </w:r>
            <w:r w:rsidRPr="00944B15">
              <w:rPr>
                <w:rFonts w:eastAsia="Times New Roman" w:cs="Times New Roman"/>
                <w:color w:val="000000"/>
                <w:szCs w:val="24"/>
              </w:rPr>
              <w:t>njection</w:t>
            </w:r>
            <w:r w:rsidR="00D06F64">
              <w:rPr>
                <w:rFonts w:eastAsia="Times New Roman" w:cs="Times New Roman"/>
                <w:color w:val="000000"/>
                <w:szCs w:val="24"/>
              </w:rPr>
              <w:t>:</w:t>
            </w:r>
          </w:p>
          <w:p w14:paraId="75ED7F04" w14:textId="77777777" w:rsidR="005409A9" w:rsidRPr="00944B15" w:rsidRDefault="005409A9" w:rsidP="002D6DD7">
            <w:pPr>
              <w:autoSpaceDE w:val="0"/>
              <w:autoSpaceDN w:val="0"/>
              <w:adjustRightInd w:val="0"/>
              <w:jc w:val="both"/>
              <w:rPr>
                <w:rFonts w:eastAsia="Calibri" w:cs="Times New Roman"/>
                <w:color w:val="000000"/>
                <w:szCs w:val="24"/>
              </w:rPr>
            </w:pPr>
            <w:r w:rsidRPr="00E06221">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80 mg, then 40 mg after 2 weeks; maintenance 40 mg every 2 weeks, increased if necessary to 40 mg once weekly, alternatively 80 mg every 2 weeks, review treatment if no response within 12 weeks</w:t>
            </w:r>
            <w:r w:rsidR="00D06F64">
              <w:rPr>
                <w:rFonts w:eastAsia="Calibri" w:cs="Times New Roman"/>
                <w:color w:val="000000"/>
                <w:szCs w:val="24"/>
              </w:rPr>
              <w:t>.</w:t>
            </w:r>
          </w:p>
          <w:p w14:paraId="332EC161"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Ulcerative colitis</w:t>
            </w:r>
            <w:r w:rsidR="00D06F64">
              <w:rPr>
                <w:rFonts w:eastAsia="Calibri" w:cs="Times New Roman"/>
                <w:b/>
                <w:color w:val="000000"/>
                <w:szCs w:val="24"/>
              </w:rPr>
              <w:t>:</w:t>
            </w:r>
          </w:p>
          <w:p w14:paraId="23BD62B5" w14:textId="77777777" w:rsidR="005409A9" w:rsidRPr="00944B15" w:rsidRDefault="005409A9" w:rsidP="002D6DD7">
            <w:pPr>
              <w:autoSpaceDE w:val="0"/>
              <w:autoSpaceDN w:val="0"/>
              <w:adjustRightInd w:val="0"/>
              <w:jc w:val="both"/>
              <w:rPr>
                <w:rFonts w:eastAsia="Calibri" w:cs="Times New Roman"/>
                <w:color w:val="000000"/>
                <w:szCs w:val="24"/>
              </w:rPr>
            </w:pPr>
            <w:r w:rsidRPr="00E06221">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160 mg, dose can alternatively be giv</w:t>
            </w:r>
            <w:r>
              <w:rPr>
                <w:rFonts w:eastAsia="Calibri" w:cs="Times New Roman"/>
                <w:color w:val="000000"/>
                <w:szCs w:val="24"/>
              </w:rPr>
              <w:t xml:space="preserve">en as divided injections over 2 </w:t>
            </w:r>
            <w:r w:rsidRPr="00944B15">
              <w:rPr>
                <w:rFonts w:eastAsia="Calibri" w:cs="Times New Roman"/>
                <w:color w:val="000000"/>
                <w:szCs w:val="24"/>
              </w:rPr>
              <w:t>days, then 80 mg after 2 weeks, then maintenance 40 mg every 2 weeks, increased if necessary to 40 mg once weekly, alternatively 80 mg every 2 weeks</w:t>
            </w:r>
            <w:r w:rsidR="00D06F64">
              <w:rPr>
                <w:rFonts w:eastAsia="Calibri" w:cs="Times New Roman"/>
                <w:color w:val="000000"/>
                <w:szCs w:val="24"/>
              </w:rPr>
              <w:t>.</w:t>
            </w:r>
          </w:p>
          <w:p w14:paraId="338083A2" w14:textId="77777777" w:rsidR="005409A9" w:rsidRPr="00E06221" w:rsidRDefault="005409A9" w:rsidP="00D06F64">
            <w:pPr>
              <w:autoSpaceDE w:val="0"/>
              <w:autoSpaceDN w:val="0"/>
              <w:adjustRightInd w:val="0"/>
              <w:jc w:val="both"/>
              <w:rPr>
                <w:rFonts w:eastAsia="Times New Roman" w:cs="Times New Roman"/>
                <w:color w:val="000000"/>
                <w:szCs w:val="24"/>
              </w:rPr>
            </w:pPr>
            <w:r w:rsidRPr="00944B15">
              <w:rPr>
                <w:rFonts w:eastAsia="Calibri" w:cs="Times New Roman"/>
                <w:b/>
                <w:color w:val="000000"/>
                <w:szCs w:val="24"/>
              </w:rPr>
              <w:t xml:space="preserve">Uveitis </w:t>
            </w:r>
            <w:r w:rsidR="00D06F64" w:rsidRPr="00D06F64">
              <w:rPr>
                <w:rFonts w:eastAsia="Calibri" w:cs="Times New Roman"/>
                <w:color w:val="000000"/>
                <w:szCs w:val="24"/>
              </w:rPr>
              <w:t>b</w:t>
            </w:r>
            <w:r>
              <w:rPr>
                <w:rFonts w:eastAsia="Times New Roman" w:cs="Times New Roman"/>
                <w:color w:val="000000"/>
                <w:szCs w:val="24"/>
              </w:rPr>
              <w:t>y subcutaneous injection</w:t>
            </w:r>
            <w:r w:rsidR="00D06F64">
              <w:rPr>
                <w:rFonts w:eastAsia="Times New Roman" w:cs="Times New Roman"/>
                <w:color w:val="000000"/>
                <w:szCs w:val="24"/>
              </w:rPr>
              <w:t>:</w:t>
            </w:r>
          </w:p>
          <w:p w14:paraId="6446BB6F" w14:textId="77777777" w:rsidR="005409A9" w:rsidRPr="00944B15" w:rsidRDefault="005409A9" w:rsidP="002D6DD7">
            <w:pPr>
              <w:autoSpaceDE w:val="0"/>
              <w:autoSpaceDN w:val="0"/>
              <w:adjustRightInd w:val="0"/>
              <w:jc w:val="both"/>
              <w:rPr>
                <w:rFonts w:eastAsia="Calibri" w:cs="Times New Roman"/>
                <w:color w:val="000000"/>
                <w:szCs w:val="24"/>
              </w:rPr>
            </w:pPr>
            <w:r w:rsidRPr="00E06221">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80 mg, then 40 mg after 1 week; maintenance 40 mg every 2 weeks</w:t>
            </w:r>
            <w:r w:rsidR="00D06F64">
              <w:rPr>
                <w:rFonts w:eastAsia="Calibri" w:cs="Times New Roman"/>
                <w:color w:val="000000"/>
                <w:szCs w:val="24"/>
              </w:rPr>
              <w:t>.</w:t>
            </w:r>
          </w:p>
        </w:tc>
      </w:tr>
      <w:tr w:rsidR="005409A9" w:rsidRPr="00944B15" w14:paraId="24028DA7"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52C8226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36" w:type="dxa"/>
            <w:tcBorders>
              <w:top w:val="single" w:sz="4" w:space="0" w:color="auto"/>
              <w:left w:val="single" w:sz="4" w:space="0" w:color="auto"/>
              <w:bottom w:val="single" w:sz="4" w:space="0" w:color="auto"/>
              <w:right w:val="single" w:sz="4" w:space="0" w:color="auto"/>
            </w:tcBorders>
            <w:hideMark/>
          </w:tcPr>
          <w:p w14:paraId="62DBC432" w14:textId="77777777" w:rsidR="005409A9" w:rsidRPr="00944B15" w:rsidRDefault="005409A9" w:rsidP="002D6DD7">
            <w:pPr>
              <w:shd w:val="clear" w:color="auto" w:fill="FFFFFF"/>
              <w:jc w:val="both"/>
              <w:rPr>
                <w:rFonts w:eastAsia="Times New Roman" w:cs="Times New Roman"/>
                <w:color w:val="000000"/>
                <w:szCs w:val="24"/>
              </w:rPr>
            </w:pPr>
            <w:r>
              <w:rPr>
                <w:rFonts w:eastAsia="Times New Roman" w:cs="Times New Roman"/>
                <w:color w:val="000000"/>
                <w:szCs w:val="24"/>
              </w:rPr>
              <w:t>Hypersensitivity to the drug, m</w:t>
            </w:r>
            <w:r w:rsidRPr="00944B15">
              <w:rPr>
                <w:rFonts w:eastAsia="Times New Roman" w:cs="Times New Roman"/>
                <w:color w:val="000000"/>
                <w:szCs w:val="24"/>
              </w:rPr>
              <w:t xml:space="preserve">oderate or severe heart failure, severe infections, pregnancy, </w:t>
            </w:r>
            <w:r w:rsidRPr="00030C2D">
              <w:rPr>
                <w:rFonts w:eastAsia="Times New Roman" w:cs="Times New Roman"/>
                <w:color w:val="000000"/>
                <w:szCs w:val="24"/>
              </w:rPr>
              <w:t>active TB</w:t>
            </w:r>
            <w:r>
              <w:rPr>
                <w:rFonts w:eastAsia="Times New Roman" w:cs="Times New Roman"/>
                <w:color w:val="000000"/>
                <w:szCs w:val="24"/>
              </w:rPr>
              <w:t>,</w:t>
            </w:r>
            <w:r w:rsidRPr="00030C2D">
              <w:rPr>
                <w:rFonts w:eastAsia="Times New Roman" w:cs="Times New Roman"/>
                <w:color w:val="000000"/>
                <w:szCs w:val="24"/>
              </w:rPr>
              <w:t xml:space="preserve"> </w:t>
            </w:r>
            <w:r w:rsidRPr="00944B15">
              <w:rPr>
                <w:rFonts w:eastAsia="Times New Roman" w:cs="Times New Roman"/>
                <w:color w:val="000000"/>
                <w:szCs w:val="24"/>
              </w:rPr>
              <w:t>avoid breastfeeding during treatment and for at least 5 months after last dose.</w:t>
            </w:r>
          </w:p>
        </w:tc>
      </w:tr>
      <w:tr w:rsidR="005409A9" w:rsidRPr="00944B15" w14:paraId="40FCA415"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1101113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36" w:type="dxa"/>
            <w:tcBorders>
              <w:top w:val="single" w:sz="4" w:space="0" w:color="auto"/>
              <w:left w:val="single" w:sz="4" w:space="0" w:color="auto"/>
              <w:bottom w:val="single" w:sz="4" w:space="0" w:color="auto"/>
              <w:right w:val="single" w:sz="4" w:space="0" w:color="auto"/>
            </w:tcBorders>
          </w:tcPr>
          <w:p w14:paraId="70FD5040"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Azathioprine, etanercept, in</w:t>
            </w:r>
            <w:r>
              <w:rPr>
                <w:rFonts w:eastAsia="Times New Roman" w:cs="Times New Roman"/>
                <w:color w:val="000000"/>
                <w:szCs w:val="24"/>
              </w:rPr>
              <w:t>fliximab, abatacept, anakinra, l</w:t>
            </w:r>
            <w:r w:rsidRPr="00944B15">
              <w:rPr>
                <w:rFonts w:eastAsia="Times New Roman" w:cs="Times New Roman"/>
                <w:color w:val="000000"/>
                <w:szCs w:val="24"/>
              </w:rPr>
              <w:t>ive vaccines</w:t>
            </w:r>
            <w:r w:rsidR="00D06F64">
              <w:rPr>
                <w:rFonts w:eastAsia="Times New Roman" w:cs="Times New Roman"/>
                <w:color w:val="000000"/>
                <w:szCs w:val="24"/>
              </w:rPr>
              <w:t>.</w:t>
            </w:r>
          </w:p>
        </w:tc>
      </w:tr>
      <w:tr w:rsidR="005409A9" w:rsidRPr="00944B15" w14:paraId="3AADDB86"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372F84C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36" w:type="dxa"/>
            <w:tcBorders>
              <w:top w:val="single" w:sz="4" w:space="0" w:color="auto"/>
              <w:left w:val="single" w:sz="4" w:space="0" w:color="auto"/>
              <w:bottom w:val="single" w:sz="4" w:space="0" w:color="auto"/>
              <w:right w:val="single" w:sz="4" w:space="0" w:color="auto"/>
            </w:tcBorders>
          </w:tcPr>
          <w:p w14:paraId="3505CD9D"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Agranulocytosis, alopecia, anemia, anxiety, arrhythmias,  asthma, broken nails, chest pain, coagulation disorder, connective tissue disorders, cough,  dehydration, depression, dyspnea, electrolyte imbalance, eye inflammation, fever, flushing, gastrointestinal discomfort, gastrointestinal disorders, hemorrhage,  headaches, impaired healing, hyperglycemia, hypersensitivity, hypertension, increased risk of infection, insomnia, leucocytosis, leucopenia,  mood altered, muscle spasms, musculoskeletal pain, neoplasms, nerve disorders,  neutropenia, edema, renal impairment, seasonal allergy, sensation abnormal, sepsis, skin reactions, sweat changes, thrombocytopenia,  vertigo, vision disorders, aortic aneurysm, </w:t>
            </w:r>
            <w:r w:rsidRPr="00944B15">
              <w:rPr>
                <w:rFonts w:eastAsia="Times New Roman" w:cs="Times New Roman"/>
                <w:color w:val="000000"/>
                <w:szCs w:val="24"/>
              </w:rPr>
              <w:lastRenderedPageBreak/>
              <w:t>arterial occlusion, congestive heart failure, deafness, dysphagia, embolism and thrombosis, erectile dysfunction, gallbladder disorders, hepatic disorders, inflammation, lupus erythematosus, meningitis viral, myocardial infarction, nocturia, pancreatitis, respiratory disorders, rhabdomyolysis, sarcoidosis, solid organ neoplasm, stroke, tinnitus, tremor, vasculitis</w:t>
            </w:r>
            <w:r w:rsidR="00D06F64">
              <w:rPr>
                <w:rFonts w:eastAsia="Times New Roman" w:cs="Times New Roman"/>
                <w:color w:val="000000"/>
                <w:szCs w:val="24"/>
              </w:rPr>
              <w:t>.</w:t>
            </w:r>
          </w:p>
        </w:tc>
      </w:tr>
      <w:tr w:rsidR="005409A9" w:rsidRPr="00944B15" w14:paraId="29F86170"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3ACB753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736" w:type="dxa"/>
            <w:tcBorders>
              <w:top w:val="single" w:sz="4" w:space="0" w:color="auto"/>
              <w:left w:val="single" w:sz="4" w:space="0" w:color="auto"/>
              <w:bottom w:val="single" w:sz="4" w:space="0" w:color="auto"/>
              <w:right w:val="single" w:sz="4" w:space="0" w:color="auto"/>
            </w:tcBorders>
          </w:tcPr>
          <w:p w14:paraId="2A5C1758"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 xml:space="preserve">Demyelinating disorders, development of malignancy, </w:t>
            </w:r>
            <w:r w:rsidRPr="00944B15">
              <w:rPr>
                <w:rFonts w:eastAsia="Times New Roman" w:cs="Times New Roman"/>
                <w:color w:val="000000"/>
                <w:szCs w:val="24"/>
              </w:rPr>
              <w:t>active infections, hepatitis B virus, history of</w:t>
            </w:r>
            <w:r>
              <w:rPr>
                <w:rFonts w:eastAsia="Times New Roman" w:cs="Times New Roman"/>
                <w:color w:val="000000"/>
                <w:szCs w:val="24"/>
              </w:rPr>
              <w:t xml:space="preserve"> malignancy, mild heart failure</w:t>
            </w:r>
            <w:r w:rsidRPr="00944B15">
              <w:rPr>
                <w:rFonts w:eastAsia="Times New Roman" w:cs="Times New Roman"/>
                <w:color w:val="000000"/>
                <w:szCs w:val="24"/>
              </w:rPr>
              <w:t>.</w:t>
            </w:r>
          </w:p>
        </w:tc>
      </w:tr>
      <w:tr w:rsidR="005409A9" w:rsidRPr="00944B15" w14:paraId="6CFBD284"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38BED0B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36" w:type="dxa"/>
            <w:tcBorders>
              <w:top w:val="single" w:sz="4" w:space="0" w:color="auto"/>
              <w:left w:val="single" w:sz="4" w:space="0" w:color="auto"/>
              <w:bottom w:val="single" w:sz="4" w:space="0" w:color="auto"/>
              <w:right w:val="single" w:sz="4" w:space="0" w:color="auto"/>
            </w:tcBorders>
          </w:tcPr>
          <w:p w14:paraId="0B58E953" w14:textId="77777777" w:rsidR="005409A9" w:rsidRPr="00944B15" w:rsidRDefault="005409A9" w:rsidP="002D6DD7">
            <w:pPr>
              <w:rPr>
                <w:rFonts w:eastAsia="Times New Roman" w:cs="Times New Roman"/>
                <w:color w:val="000000"/>
                <w:szCs w:val="24"/>
              </w:rPr>
            </w:pPr>
            <w:r>
              <w:rPr>
                <w:rFonts w:eastAsia="Times New Roman" w:cs="Times New Roman"/>
                <w:color w:val="000000"/>
                <w:szCs w:val="24"/>
              </w:rPr>
              <w:t>Store at 2-8ºC. P</w:t>
            </w:r>
            <w:r w:rsidRPr="00944B15">
              <w:rPr>
                <w:rFonts w:eastAsia="Times New Roman" w:cs="Times New Roman"/>
                <w:color w:val="000000"/>
                <w:szCs w:val="24"/>
              </w:rPr>
              <w:t>rotect from light.</w:t>
            </w:r>
          </w:p>
        </w:tc>
      </w:tr>
      <w:tr w:rsidR="005409A9" w:rsidRPr="00944B15" w14:paraId="7C1189FF" w14:textId="77777777" w:rsidTr="002D6DD7">
        <w:trPr>
          <w:gridAfter w:val="1"/>
          <w:wAfter w:w="9" w:type="dxa"/>
          <w:jc w:val="center"/>
        </w:trPr>
        <w:tc>
          <w:tcPr>
            <w:tcW w:w="9341" w:type="dxa"/>
            <w:gridSpan w:val="2"/>
            <w:tcBorders>
              <w:top w:val="single" w:sz="4" w:space="0" w:color="auto"/>
              <w:left w:val="single" w:sz="4" w:space="0" w:color="auto"/>
              <w:bottom w:val="single" w:sz="4" w:space="0" w:color="auto"/>
              <w:right w:val="single" w:sz="4" w:space="0" w:color="auto"/>
            </w:tcBorders>
            <w:hideMark/>
          </w:tcPr>
          <w:p w14:paraId="13C80918"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Azathioprine</w:t>
            </w:r>
          </w:p>
        </w:tc>
      </w:tr>
      <w:tr w:rsidR="005409A9" w:rsidRPr="00944B15" w14:paraId="4391CDDA"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47E8094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36" w:type="dxa"/>
            <w:tcBorders>
              <w:top w:val="single" w:sz="4" w:space="0" w:color="auto"/>
              <w:left w:val="single" w:sz="4" w:space="0" w:color="auto"/>
              <w:bottom w:val="single" w:sz="4" w:space="0" w:color="auto"/>
              <w:right w:val="single" w:sz="4" w:space="0" w:color="auto"/>
            </w:tcBorders>
            <w:hideMark/>
          </w:tcPr>
          <w:p w14:paraId="2BB7C1C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Immunosuppressant</w:t>
            </w:r>
          </w:p>
        </w:tc>
      </w:tr>
      <w:tr w:rsidR="005409A9" w:rsidRPr="00944B15" w14:paraId="791B31B3"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4B9306E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36" w:type="dxa"/>
            <w:tcBorders>
              <w:top w:val="single" w:sz="4" w:space="0" w:color="auto"/>
              <w:left w:val="single" w:sz="4" w:space="0" w:color="auto"/>
              <w:bottom w:val="single" w:sz="4" w:space="0" w:color="auto"/>
              <w:right w:val="single" w:sz="4" w:space="0" w:color="auto"/>
            </w:tcBorders>
            <w:hideMark/>
          </w:tcPr>
          <w:p w14:paraId="627BA1AE" w14:textId="77777777" w:rsidR="005409A9" w:rsidRPr="00944B15" w:rsidRDefault="005409A9" w:rsidP="002D6DD7">
            <w:pPr>
              <w:autoSpaceDE w:val="0"/>
              <w:autoSpaceDN w:val="0"/>
              <w:adjustRightInd w:val="0"/>
              <w:rPr>
                <w:rFonts w:eastAsia="Calibri" w:cs="Times New Roman"/>
                <w:color w:val="000000"/>
                <w:szCs w:val="24"/>
              </w:rPr>
            </w:pPr>
            <w:r w:rsidRPr="00944B15">
              <w:rPr>
                <w:rFonts w:eastAsia="Calibri" w:cs="Times New Roman"/>
                <w:color w:val="000000"/>
                <w:szCs w:val="24"/>
              </w:rPr>
              <w:t>Tablet: 25 mg, 50mg</w:t>
            </w:r>
          </w:p>
          <w:p w14:paraId="3BF6760A" w14:textId="77777777" w:rsidR="005409A9" w:rsidRPr="00944B15" w:rsidRDefault="005409A9" w:rsidP="002D6DD7">
            <w:pPr>
              <w:autoSpaceDE w:val="0"/>
              <w:autoSpaceDN w:val="0"/>
              <w:adjustRightInd w:val="0"/>
              <w:rPr>
                <w:rFonts w:eastAsia="Calibri" w:cs="Times New Roman"/>
                <w:color w:val="000000"/>
                <w:szCs w:val="24"/>
              </w:rPr>
            </w:pPr>
            <w:r w:rsidRPr="00944B15">
              <w:rPr>
                <w:rFonts w:eastAsia="Calibri" w:cs="Times New Roman"/>
                <w:color w:val="000000"/>
                <w:szCs w:val="24"/>
              </w:rPr>
              <w:t>Powder for injection: 50 mg, 100 mg (as sodium salt) in vial.</w:t>
            </w:r>
          </w:p>
        </w:tc>
      </w:tr>
      <w:tr w:rsidR="005409A9" w:rsidRPr="00944B15" w14:paraId="5DD59938"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234E9897"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36" w:type="dxa"/>
            <w:tcBorders>
              <w:top w:val="single" w:sz="4" w:space="0" w:color="auto"/>
              <w:left w:val="single" w:sz="4" w:space="0" w:color="auto"/>
              <w:bottom w:val="single" w:sz="4" w:space="0" w:color="auto"/>
              <w:right w:val="single" w:sz="4" w:space="0" w:color="auto"/>
            </w:tcBorders>
            <w:hideMark/>
          </w:tcPr>
          <w:p w14:paraId="19409660"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iCs/>
                <w:color w:val="000000"/>
                <w:szCs w:val="24"/>
              </w:rPr>
              <w:t>Suppre</w:t>
            </w:r>
            <w:r>
              <w:rPr>
                <w:rFonts w:eastAsia="Times New Roman" w:cs="Times New Roman"/>
                <w:iCs/>
                <w:color w:val="000000"/>
                <w:szCs w:val="24"/>
              </w:rPr>
              <w:t>ssion of transplant rejection, r</w:t>
            </w:r>
            <w:r w:rsidRPr="00944B15">
              <w:rPr>
                <w:rFonts w:eastAsia="Times New Roman" w:cs="Times New Roman"/>
                <w:iCs/>
                <w:color w:val="000000"/>
                <w:szCs w:val="24"/>
              </w:rPr>
              <w:t>heumatoid arthritis,</w:t>
            </w:r>
            <w:r w:rsidRPr="00944B15">
              <w:rPr>
                <w:rFonts w:eastAsia="Candara-Italic" w:cs="Times New Roman"/>
                <w:iCs/>
                <w:color w:val="000000"/>
                <w:szCs w:val="24"/>
              </w:rPr>
              <w:t xml:space="preserve"> s</w:t>
            </w:r>
            <w:r w:rsidRPr="00944B15">
              <w:rPr>
                <w:rFonts w:eastAsia="Times New Roman" w:cs="Times New Roman"/>
                <w:iCs/>
                <w:color w:val="000000"/>
                <w:szCs w:val="24"/>
              </w:rPr>
              <w:t>evere acute Crohn’s disease or Maintenance of remission of Crohn’s disease or acute ulcerative colitis, autoimmune diseases,</w:t>
            </w:r>
            <w:r w:rsidRPr="00944B15">
              <w:rPr>
                <w:rFonts w:eastAsia="Candara-Italic" w:cs="Times New Roman"/>
                <w:iCs/>
                <w:color w:val="000000"/>
                <w:szCs w:val="24"/>
              </w:rPr>
              <w:t xml:space="preserve"> </w:t>
            </w:r>
            <w:r w:rsidRPr="00944B15">
              <w:rPr>
                <w:rFonts w:eastAsia="Times New Roman" w:cs="Times New Roman"/>
                <w:iCs/>
                <w:color w:val="000000"/>
                <w:szCs w:val="24"/>
              </w:rPr>
              <w:t>severe refractory eczema, normal or high thiopurine</w:t>
            </w:r>
            <w:r>
              <w:rPr>
                <w:rFonts w:eastAsia="Times New Roman" w:cs="Times New Roman"/>
                <w:iCs/>
                <w:color w:val="000000"/>
                <w:szCs w:val="24"/>
              </w:rPr>
              <w:t xml:space="preserve"> </w:t>
            </w:r>
            <w:r w:rsidRPr="00944B15">
              <w:rPr>
                <w:rFonts w:eastAsia="Times New Roman" w:cs="Times New Roman"/>
                <w:iCs/>
                <w:color w:val="000000"/>
                <w:szCs w:val="24"/>
              </w:rPr>
              <w:t>methyltransferase (TPMT) activity,</w:t>
            </w:r>
            <w:r w:rsidRPr="00944B15">
              <w:rPr>
                <w:rFonts w:eastAsia="Candara-Italic" w:cs="Times New Roman"/>
                <w:iCs/>
                <w:color w:val="000000"/>
                <w:szCs w:val="24"/>
              </w:rPr>
              <w:t xml:space="preserve"> </w:t>
            </w:r>
            <w:r w:rsidRPr="00944B15">
              <w:rPr>
                <w:rFonts w:eastAsia="Times New Roman" w:cs="Times New Roman"/>
                <w:iCs/>
                <w:color w:val="000000"/>
                <w:szCs w:val="24"/>
              </w:rPr>
              <w:t>generalized myasthenia gravis</w:t>
            </w:r>
          </w:p>
        </w:tc>
      </w:tr>
      <w:tr w:rsidR="005409A9" w:rsidRPr="00944B15" w14:paraId="66E7A288"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6663E9F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36" w:type="dxa"/>
            <w:tcBorders>
              <w:top w:val="single" w:sz="4" w:space="0" w:color="auto"/>
              <w:left w:val="single" w:sz="4" w:space="0" w:color="auto"/>
              <w:bottom w:val="single" w:sz="4" w:space="0" w:color="auto"/>
              <w:right w:val="single" w:sz="4" w:space="0" w:color="auto"/>
            </w:tcBorders>
            <w:hideMark/>
          </w:tcPr>
          <w:p w14:paraId="22135C6F" w14:textId="77777777" w:rsidR="005409A9" w:rsidRPr="00944B15" w:rsidRDefault="005409A9" w:rsidP="002D6DD7">
            <w:pPr>
              <w:autoSpaceDE w:val="0"/>
              <w:autoSpaceDN w:val="0"/>
              <w:adjustRightInd w:val="0"/>
              <w:rPr>
                <w:rFonts w:eastAsia="Times New Roman" w:cs="Times New Roman"/>
                <w:b/>
                <w:iCs/>
                <w:color w:val="000000"/>
                <w:szCs w:val="24"/>
              </w:rPr>
            </w:pPr>
            <w:r w:rsidRPr="00944B15">
              <w:rPr>
                <w:rFonts w:eastAsia="Times New Roman" w:cs="Times New Roman"/>
                <w:b/>
                <w:iCs/>
                <w:color w:val="000000"/>
                <w:szCs w:val="24"/>
              </w:rPr>
              <w:t>Severe acu</w:t>
            </w:r>
            <w:r>
              <w:rPr>
                <w:rFonts w:eastAsia="Times New Roman" w:cs="Times New Roman"/>
                <w:b/>
                <w:iCs/>
                <w:color w:val="000000"/>
                <w:szCs w:val="24"/>
              </w:rPr>
              <w:t>te crohn’s disease or m</w:t>
            </w:r>
            <w:r w:rsidRPr="00944B15">
              <w:rPr>
                <w:rFonts w:eastAsia="Times New Roman" w:cs="Times New Roman"/>
                <w:b/>
                <w:iCs/>
                <w:color w:val="000000"/>
                <w:szCs w:val="24"/>
              </w:rPr>
              <w:t>aintenance of remission of</w:t>
            </w:r>
          </w:p>
          <w:p w14:paraId="5BCDCE89" w14:textId="77777777" w:rsidR="005409A9" w:rsidRPr="00944B15" w:rsidRDefault="005409A9" w:rsidP="002D6DD7">
            <w:pPr>
              <w:autoSpaceDE w:val="0"/>
              <w:autoSpaceDN w:val="0"/>
              <w:adjustRightInd w:val="0"/>
              <w:rPr>
                <w:rFonts w:eastAsia="Times New Roman" w:cs="Times New Roman"/>
                <w:b/>
                <w:iCs/>
                <w:color w:val="000000"/>
                <w:szCs w:val="24"/>
              </w:rPr>
            </w:pPr>
            <w:r w:rsidRPr="00944B15">
              <w:rPr>
                <w:rFonts w:eastAsia="Times New Roman" w:cs="Times New Roman"/>
                <w:b/>
                <w:iCs/>
                <w:color w:val="000000"/>
                <w:szCs w:val="24"/>
              </w:rPr>
              <w:t>Crohn’s disease or acute ulcerative colitis</w:t>
            </w:r>
            <w:r>
              <w:rPr>
                <w:rFonts w:eastAsia="Times New Roman" w:cs="Times New Roman"/>
                <w:b/>
                <w:iCs/>
                <w:color w:val="000000"/>
                <w:szCs w:val="24"/>
              </w:rPr>
              <w:t>:</w:t>
            </w:r>
          </w:p>
          <w:p w14:paraId="0179512A" w14:textId="77777777" w:rsidR="005409A9" w:rsidRPr="00944B15" w:rsidRDefault="005409A9" w:rsidP="002D6DD7">
            <w:pPr>
              <w:autoSpaceDE w:val="0"/>
              <w:autoSpaceDN w:val="0"/>
              <w:adjustRightInd w:val="0"/>
              <w:rPr>
                <w:rFonts w:eastAsia="Times New Roman" w:cs="Times New Roman"/>
                <w:iCs/>
                <w:color w:val="000000"/>
                <w:szCs w:val="24"/>
              </w:rPr>
            </w:pPr>
            <w:r w:rsidRPr="000B0A0E">
              <w:rPr>
                <w:rFonts w:eastAsia="Times New Roman" w:cs="Times New Roman"/>
                <w:b/>
                <w:iCs/>
                <w:color w:val="000000"/>
                <w:szCs w:val="24"/>
              </w:rPr>
              <w:t>Adult:</w:t>
            </w:r>
            <w:r w:rsidRPr="00944B15">
              <w:rPr>
                <w:rFonts w:eastAsia="Times New Roman" w:cs="Times New Roman"/>
                <w:iCs/>
                <w:color w:val="000000"/>
                <w:szCs w:val="24"/>
              </w:rPr>
              <w:t xml:space="preserve"> 2–2.5 mg/kg po daily, some patients may respond to lower doses</w:t>
            </w:r>
          </w:p>
          <w:p w14:paraId="262B613F" w14:textId="77777777" w:rsidR="005409A9" w:rsidRPr="00944B15" w:rsidRDefault="005409A9" w:rsidP="002D6DD7">
            <w:pPr>
              <w:autoSpaceDE w:val="0"/>
              <w:autoSpaceDN w:val="0"/>
              <w:adjustRightInd w:val="0"/>
              <w:rPr>
                <w:rFonts w:eastAsia="Times New Roman" w:cs="Times New Roman"/>
                <w:b/>
                <w:iCs/>
                <w:color w:val="000000"/>
                <w:szCs w:val="24"/>
              </w:rPr>
            </w:pPr>
            <w:r w:rsidRPr="00944B15">
              <w:rPr>
                <w:rFonts w:eastAsia="Times New Roman" w:cs="Times New Roman"/>
                <w:b/>
                <w:iCs/>
                <w:color w:val="000000"/>
                <w:szCs w:val="24"/>
              </w:rPr>
              <w:t>Rheumatoid arthritis that has not responded to other disease-modifying drugs or severe systemic lupus erythematosus or other connective tissue disorders or polymyositis in cases of corticosteroid resistance</w:t>
            </w:r>
            <w:r w:rsidR="00D06F64">
              <w:rPr>
                <w:rFonts w:eastAsia="Times New Roman" w:cs="Times New Roman"/>
                <w:b/>
                <w:iCs/>
                <w:color w:val="000000"/>
                <w:szCs w:val="24"/>
              </w:rPr>
              <w:t>,</w:t>
            </w:r>
            <w:r>
              <w:rPr>
                <w:rFonts w:eastAsia="Times New Roman" w:cs="Times New Roman"/>
                <w:b/>
                <w:iCs/>
                <w:color w:val="000000"/>
                <w:szCs w:val="24"/>
              </w:rPr>
              <w:t xml:space="preserve"> </w:t>
            </w:r>
            <w:r w:rsidRPr="00D06F64">
              <w:rPr>
                <w:rFonts w:eastAsia="Times New Roman" w:cs="Times New Roman"/>
                <w:iCs/>
                <w:color w:val="000000"/>
                <w:szCs w:val="24"/>
              </w:rPr>
              <w:t>oral</w:t>
            </w:r>
            <w:r w:rsidR="00D06F64" w:rsidRPr="00D06F64">
              <w:rPr>
                <w:rFonts w:eastAsia="Times New Roman" w:cs="Times New Roman"/>
                <w:iCs/>
                <w:color w:val="000000"/>
                <w:szCs w:val="24"/>
              </w:rPr>
              <w:t>:</w:t>
            </w:r>
            <w:r>
              <w:rPr>
                <w:rFonts w:eastAsia="Times New Roman" w:cs="Times New Roman"/>
                <w:b/>
                <w:iCs/>
                <w:color w:val="000000"/>
                <w:szCs w:val="24"/>
              </w:rPr>
              <w:t xml:space="preserve"> </w:t>
            </w:r>
          </w:p>
          <w:p w14:paraId="693E6F13"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0B0A0E">
              <w:rPr>
                <w:rFonts w:eastAsia="Times New Roman" w:cs="Times New Roman"/>
                <w:b/>
                <w:iCs/>
                <w:color w:val="000000"/>
                <w:szCs w:val="24"/>
              </w:rPr>
              <w:t>Adult:</w:t>
            </w:r>
            <w:r>
              <w:rPr>
                <w:rFonts w:eastAsia="Times New Roman" w:cs="Times New Roman"/>
                <w:iCs/>
                <w:color w:val="000000"/>
                <w:szCs w:val="24"/>
              </w:rPr>
              <w:t xml:space="preserve"> initially up to 2.5 mg/kg </w:t>
            </w:r>
            <w:r w:rsidRPr="00944B15">
              <w:rPr>
                <w:rFonts w:eastAsia="Times New Roman" w:cs="Times New Roman"/>
                <w:iCs/>
                <w:color w:val="000000"/>
                <w:szCs w:val="24"/>
              </w:rPr>
              <w:t>daily in divided doses, adjusted according to response, rarely more than 3 mg/kg daily; maintenance 1–3 mg/kg daily, consider withdrawal if no improvement within 3 months</w:t>
            </w:r>
          </w:p>
          <w:p w14:paraId="1B38124B"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lastRenderedPageBreak/>
              <w:t>Autoimmune conditions</w:t>
            </w:r>
            <w:r>
              <w:rPr>
                <w:rFonts w:eastAsia="Times New Roman" w:cs="Times New Roman"/>
                <w:b/>
                <w:iCs/>
                <w:color w:val="000000"/>
                <w:szCs w:val="24"/>
              </w:rPr>
              <w:t xml:space="preserve">: </w:t>
            </w:r>
          </w:p>
          <w:p w14:paraId="51229612"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0B0A0E">
              <w:rPr>
                <w:rFonts w:eastAsia="Times New Roman" w:cs="Times New Roman"/>
                <w:b/>
                <w:iCs/>
                <w:color w:val="000000"/>
                <w:szCs w:val="24"/>
              </w:rPr>
              <w:t>Adult:</w:t>
            </w:r>
            <w:r>
              <w:rPr>
                <w:rFonts w:eastAsia="Times New Roman" w:cs="Times New Roman"/>
                <w:iCs/>
                <w:color w:val="000000"/>
                <w:szCs w:val="24"/>
              </w:rPr>
              <w:t xml:space="preserve"> 1–3 mg/kg oral</w:t>
            </w:r>
            <w:r w:rsidRPr="00944B15">
              <w:rPr>
                <w:rFonts w:eastAsia="Times New Roman" w:cs="Times New Roman"/>
                <w:iCs/>
                <w:color w:val="000000"/>
                <w:szCs w:val="24"/>
              </w:rPr>
              <w:t xml:space="preserve"> or </w:t>
            </w:r>
            <w:r>
              <w:rPr>
                <w:rFonts w:eastAsia="Times New Roman" w:cs="Times New Roman"/>
                <w:iCs/>
                <w:color w:val="000000"/>
                <w:szCs w:val="24"/>
              </w:rPr>
              <w:t>IV</w:t>
            </w:r>
            <w:r w:rsidRPr="00944B15">
              <w:rPr>
                <w:rFonts w:eastAsia="Times New Roman" w:cs="Times New Roman"/>
                <w:iCs/>
                <w:color w:val="000000"/>
                <w:szCs w:val="24"/>
              </w:rPr>
              <w:t xml:space="preserve"> bolus, or </w:t>
            </w:r>
            <w:r>
              <w:rPr>
                <w:rFonts w:eastAsia="Times New Roman" w:cs="Times New Roman"/>
                <w:iCs/>
                <w:color w:val="000000"/>
                <w:szCs w:val="24"/>
              </w:rPr>
              <w:t>IV</w:t>
            </w:r>
            <w:r w:rsidRPr="00944B15">
              <w:rPr>
                <w:rFonts w:eastAsia="Times New Roman" w:cs="Times New Roman"/>
                <w:iCs/>
                <w:color w:val="000000"/>
                <w:szCs w:val="24"/>
              </w:rPr>
              <w:t xml:space="preserve"> infusion daily, adjusted according to response, consider withdrawal if no improvement within 3 months, oral administration preferable, if not possible then can be given by </w:t>
            </w:r>
            <w:r>
              <w:rPr>
                <w:rFonts w:eastAsia="Times New Roman" w:cs="Times New Roman"/>
                <w:iCs/>
                <w:color w:val="000000"/>
                <w:szCs w:val="24"/>
              </w:rPr>
              <w:t>IV</w:t>
            </w:r>
            <w:r w:rsidRPr="00944B15">
              <w:rPr>
                <w:rFonts w:eastAsia="Times New Roman" w:cs="Times New Roman"/>
                <w:iCs/>
                <w:color w:val="000000"/>
                <w:szCs w:val="24"/>
              </w:rPr>
              <w:t xml:space="preserve"> injection (</w:t>
            </w:r>
            <w:r>
              <w:rPr>
                <w:rFonts w:eastAsia="Times New Roman" w:cs="Times New Roman"/>
                <w:iCs/>
                <w:color w:val="000000"/>
                <w:szCs w:val="24"/>
              </w:rPr>
              <w:t>IV</w:t>
            </w:r>
            <w:r w:rsidRPr="00944B15">
              <w:rPr>
                <w:rFonts w:eastAsia="Times New Roman" w:cs="Times New Roman"/>
                <w:iCs/>
                <w:color w:val="000000"/>
                <w:szCs w:val="24"/>
              </w:rPr>
              <w:t xml:space="preserve"> solution very irritant) or by </w:t>
            </w:r>
            <w:r>
              <w:rPr>
                <w:rFonts w:eastAsia="Times New Roman" w:cs="Times New Roman"/>
                <w:iCs/>
                <w:color w:val="000000"/>
                <w:szCs w:val="24"/>
              </w:rPr>
              <w:t>IV</w:t>
            </w:r>
            <w:r w:rsidRPr="00944B15">
              <w:rPr>
                <w:rFonts w:eastAsia="Times New Roman" w:cs="Times New Roman"/>
                <w:iCs/>
                <w:color w:val="000000"/>
                <w:szCs w:val="24"/>
              </w:rPr>
              <w:t xml:space="preserve"> infusion</w:t>
            </w:r>
          </w:p>
          <w:p w14:paraId="36E40DAD"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Suppression of transplant rejection</w:t>
            </w:r>
            <w:r>
              <w:rPr>
                <w:rFonts w:eastAsia="Times New Roman" w:cs="Times New Roman"/>
                <w:b/>
                <w:iCs/>
                <w:color w:val="000000"/>
                <w:szCs w:val="24"/>
              </w:rPr>
              <w:t>:</w:t>
            </w:r>
          </w:p>
          <w:p w14:paraId="65ED7738"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iCs/>
                <w:color w:val="000000"/>
                <w:szCs w:val="24"/>
              </w:rPr>
              <w:t xml:space="preserve">Adult: 1–2.5 mg/kg </w:t>
            </w:r>
            <w:r>
              <w:rPr>
                <w:rFonts w:eastAsia="Times New Roman" w:cs="Times New Roman"/>
                <w:iCs/>
                <w:color w:val="000000"/>
                <w:szCs w:val="24"/>
              </w:rPr>
              <w:t>oral</w:t>
            </w:r>
            <w:r w:rsidRPr="00944B15">
              <w:rPr>
                <w:rFonts w:eastAsia="Times New Roman" w:cs="Times New Roman"/>
                <w:iCs/>
                <w:color w:val="000000"/>
                <w:szCs w:val="24"/>
              </w:rPr>
              <w:t xml:space="preserve"> or </w:t>
            </w:r>
            <w:r>
              <w:rPr>
                <w:rFonts w:eastAsia="Times New Roman" w:cs="Times New Roman"/>
                <w:iCs/>
                <w:color w:val="000000"/>
                <w:szCs w:val="24"/>
              </w:rPr>
              <w:t>IV</w:t>
            </w:r>
            <w:r w:rsidRPr="00944B15">
              <w:rPr>
                <w:rFonts w:eastAsia="Times New Roman" w:cs="Times New Roman"/>
                <w:iCs/>
                <w:color w:val="000000"/>
                <w:szCs w:val="24"/>
              </w:rPr>
              <w:t xml:space="preserve"> bolus, or </w:t>
            </w:r>
            <w:r>
              <w:rPr>
                <w:rFonts w:eastAsia="Times New Roman" w:cs="Times New Roman"/>
                <w:iCs/>
                <w:color w:val="000000"/>
                <w:szCs w:val="24"/>
              </w:rPr>
              <w:t>IV</w:t>
            </w:r>
            <w:r w:rsidRPr="00944B15">
              <w:rPr>
                <w:rFonts w:eastAsia="Times New Roman" w:cs="Times New Roman"/>
                <w:iCs/>
                <w:color w:val="000000"/>
                <w:szCs w:val="24"/>
              </w:rPr>
              <w:t xml:space="preserve"> infusion daily, adjusted according to response, oral administration preferable, if not possible then can be given by </w:t>
            </w:r>
            <w:r>
              <w:rPr>
                <w:rFonts w:eastAsia="Times New Roman" w:cs="Times New Roman"/>
                <w:iCs/>
                <w:color w:val="000000"/>
                <w:szCs w:val="24"/>
              </w:rPr>
              <w:t>IV</w:t>
            </w:r>
            <w:r w:rsidRPr="00944B15">
              <w:rPr>
                <w:rFonts w:eastAsia="Times New Roman" w:cs="Times New Roman"/>
                <w:iCs/>
                <w:color w:val="000000"/>
                <w:szCs w:val="24"/>
              </w:rPr>
              <w:t xml:space="preserve"> injection (</w:t>
            </w:r>
            <w:r>
              <w:rPr>
                <w:rFonts w:eastAsia="Times New Roman" w:cs="Times New Roman"/>
                <w:iCs/>
                <w:color w:val="000000"/>
                <w:szCs w:val="24"/>
              </w:rPr>
              <w:t>IV</w:t>
            </w:r>
            <w:r w:rsidRPr="00944B15">
              <w:rPr>
                <w:rFonts w:eastAsia="Times New Roman" w:cs="Times New Roman"/>
                <w:iCs/>
                <w:color w:val="000000"/>
                <w:szCs w:val="24"/>
              </w:rPr>
              <w:t xml:space="preserve"> solution very irritant) or by </w:t>
            </w:r>
            <w:r>
              <w:rPr>
                <w:rFonts w:eastAsia="Times New Roman" w:cs="Times New Roman"/>
                <w:iCs/>
                <w:color w:val="000000"/>
                <w:szCs w:val="24"/>
              </w:rPr>
              <w:t>IV</w:t>
            </w:r>
            <w:r w:rsidRPr="00944B15">
              <w:rPr>
                <w:rFonts w:eastAsia="Times New Roman" w:cs="Times New Roman"/>
                <w:iCs/>
                <w:color w:val="000000"/>
                <w:szCs w:val="24"/>
              </w:rPr>
              <w:t xml:space="preserve"> infusion</w:t>
            </w:r>
          </w:p>
          <w:p w14:paraId="62038339" w14:textId="77777777" w:rsidR="005409A9" w:rsidRPr="00944B15" w:rsidRDefault="005409A9" w:rsidP="002D6DD7">
            <w:pPr>
              <w:autoSpaceDE w:val="0"/>
              <w:autoSpaceDN w:val="0"/>
              <w:adjustRightInd w:val="0"/>
              <w:jc w:val="both"/>
              <w:rPr>
                <w:rFonts w:eastAsia="Times New Roman" w:cs="Times New Roman"/>
                <w:b/>
                <w:color w:val="000000"/>
                <w:szCs w:val="24"/>
              </w:rPr>
            </w:pPr>
            <w:r w:rsidRPr="00944B15">
              <w:rPr>
                <w:rFonts w:eastAsia="Times New Roman" w:cs="Times New Roman"/>
                <w:b/>
                <w:color w:val="000000"/>
                <w:szCs w:val="24"/>
              </w:rPr>
              <w:t>Severe refractory eczema, normal or high TPMT activity</w:t>
            </w:r>
            <w:r w:rsidR="00D06F64">
              <w:rPr>
                <w:rFonts w:eastAsia="Times New Roman" w:cs="Times New Roman"/>
                <w:b/>
                <w:color w:val="000000"/>
                <w:szCs w:val="24"/>
              </w:rPr>
              <w:t>,</w:t>
            </w:r>
            <w:r>
              <w:rPr>
                <w:rFonts w:eastAsia="Times New Roman" w:cs="Times New Roman"/>
                <w:b/>
                <w:color w:val="000000"/>
                <w:szCs w:val="24"/>
              </w:rPr>
              <w:t xml:space="preserve"> </w:t>
            </w:r>
            <w:r w:rsidRPr="00D06F64">
              <w:rPr>
                <w:rFonts w:eastAsia="Times New Roman" w:cs="Times New Roman"/>
                <w:color w:val="000000"/>
                <w:szCs w:val="24"/>
              </w:rPr>
              <w:t>oral</w:t>
            </w:r>
            <w:r w:rsidR="00D06F64">
              <w:rPr>
                <w:rFonts w:eastAsia="Times New Roman" w:cs="Times New Roman"/>
                <w:b/>
                <w:color w:val="000000"/>
                <w:szCs w:val="24"/>
              </w:rPr>
              <w:t>:</w:t>
            </w:r>
            <w:r w:rsidRPr="00D06F64">
              <w:rPr>
                <w:rFonts w:eastAsia="Times New Roman" w:cs="Times New Roman"/>
                <w:b/>
                <w:color w:val="000000"/>
                <w:szCs w:val="24"/>
              </w:rPr>
              <w:t xml:space="preserve"> </w:t>
            </w:r>
          </w:p>
          <w:p w14:paraId="3BCE006B" w14:textId="77777777" w:rsidR="005409A9" w:rsidRPr="00944B15" w:rsidRDefault="005409A9" w:rsidP="002D6DD7">
            <w:pPr>
              <w:autoSpaceDE w:val="0"/>
              <w:autoSpaceDN w:val="0"/>
              <w:adjustRightInd w:val="0"/>
              <w:jc w:val="both"/>
              <w:rPr>
                <w:rFonts w:eastAsia="Times New Roman" w:cs="Times New Roman"/>
                <w:color w:val="000000"/>
                <w:szCs w:val="24"/>
              </w:rPr>
            </w:pPr>
            <w:r w:rsidRPr="000B0A0E">
              <w:rPr>
                <w:rFonts w:eastAsia="Times New Roman" w:cs="Times New Roman"/>
                <w:b/>
                <w:color w:val="000000"/>
                <w:szCs w:val="24"/>
              </w:rPr>
              <w:t>Adult:</w:t>
            </w:r>
            <w:r>
              <w:rPr>
                <w:rFonts w:eastAsia="Times New Roman" w:cs="Times New Roman"/>
                <w:color w:val="000000"/>
                <w:szCs w:val="24"/>
              </w:rPr>
              <w:t xml:space="preserve"> 1–3 mg/kg </w:t>
            </w:r>
            <w:r w:rsidRPr="00944B15">
              <w:rPr>
                <w:rFonts w:eastAsia="Times New Roman" w:cs="Times New Roman"/>
                <w:color w:val="000000"/>
                <w:szCs w:val="24"/>
              </w:rPr>
              <w:t>daily</w:t>
            </w:r>
          </w:p>
          <w:p w14:paraId="68F2D31F" w14:textId="77777777" w:rsidR="005409A9" w:rsidRPr="00D06F64"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b/>
                <w:color w:val="000000"/>
                <w:szCs w:val="24"/>
              </w:rPr>
              <w:t>Severe refractory eczema, intermediate TPMT activity</w:t>
            </w:r>
            <w:r w:rsidR="00D06F64">
              <w:rPr>
                <w:rFonts w:eastAsia="Times New Roman" w:cs="Times New Roman"/>
                <w:b/>
                <w:color w:val="000000"/>
                <w:szCs w:val="24"/>
              </w:rPr>
              <w:t xml:space="preserve">, </w:t>
            </w:r>
            <w:r w:rsidRPr="00D06F64">
              <w:rPr>
                <w:rFonts w:eastAsia="Times New Roman" w:cs="Times New Roman"/>
                <w:color w:val="000000"/>
                <w:szCs w:val="24"/>
              </w:rPr>
              <w:t>oral</w:t>
            </w:r>
            <w:r w:rsidR="00D06F64">
              <w:rPr>
                <w:rFonts w:eastAsia="Times New Roman" w:cs="Times New Roman"/>
                <w:color w:val="000000"/>
                <w:szCs w:val="24"/>
              </w:rPr>
              <w:t>:</w:t>
            </w:r>
          </w:p>
          <w:p w14:paraId="469A4CB0"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Adult: 0.5–1.5 mg/kg daily</w:t>
            </w:r>
          </w:p>
          <w:p w14:paraId="287CE284" w14:textId="77777777" w:rsidR="005409A9" w:rsidRPr="00944B15" w:rsidRDefault="005409A9" w:rsidP="002D6DD7">
            <w:pPr>
              <w:autoSpaceDE w:val="0"/>
              <w:autoSpaceDN w:val="0"/>
              <w:adjustRightInd w:val="0"/>
              <w:jc w:val="both"/>
              <w:rPr>
                <w:rFonts w:eastAsia="Times New Roman" w:cs="Times New Roman"/>
                <w:b/>
                <w:color w:val="000000"/>
                <w:szCs w:val="24"/>
              </w:rPr>
            </w:pPr>
            <w:r w:rsidRPr="00944B15">
              <w:rPr>
                <w:rFonts w:eastAsia="Times New Roman" w:cs="Times New Roman"/>
                <w:b/>
                <w:color w:val="000000"/>
                <w:szCs w:val="24"/>
              </w:rPr>
              <w:t>Generalized myasthenia gravis</w:t>
            </w:r>
            <w:r>
              <w:rPr>
                <w:rFonts w:eastAsia="Times New Roman" w:cs="Times New Roman"/>
                <w:b/>
                <w:color w:val="000000"/>
                <w:szCs w:val="24"/>
              </w:rPr>
              <w:t>:</w:t>
            </w:r>
          </w:p>
          <w:p w14:paraId="5A0AAEFA"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Adult: Initially 0.5–1 mg/kg </w:t>
            </w:r>
            <w:r>
              <w:rPr>
                <w:rFonts w:eastAsia="Times New Roman" w:cs="Times New Roman"/>
                <w:iCs/>
                <w:color w:val="000000"/>
                <w:szCs w:val="24"/>
              </w:rPr>
              <w:t>oral</w:t>
            </w:r>
            <w:r w:rsidRPr="00944B15">
              <w:rPr>
                <w:rFonts w:eastAsia="Times New Roman" w:cs="Times New Roman"/>
                <w:iCs/>
                <w:color w:val="000000"/>
                <w:szCs w:val="24"/>
              </w:rPr>
              <w:t xml:space="preserve"> or </w:t>
            </w:r>
            <w:r>
              <w:rPr>
                <w:rFonts w:eastAsia="Times New Roman" w:cs="Times New Roman"/>
                <w:iCs/>
                <w:color w:val="000000"/>
                <w:szCs w:val="24"/>
              </w:rPr>
              <w:t>IV</w:t>
            </w:r>
            <w:r w:rsidRPr="00944B15">
              <w:rPr>
                <w:rFonts w:eastAsia="Times New Roman" w:cs="Times New Roman"/>
                <w:iCs/>
                <w:color w:val="000000"/>
                <w:szCs w:val="24"/>
              </w:rPr>
              <w:t xml:space="preserve"> bolus, or </w:t>
            </w:r>
            <w:r>
              <w:rPr>
                <w:rFonts w:eastAsia="Times New Roman" w:cs="Times New Roman"/>
                <w:iCs/>
                <w:color w:val="000000"/>
                <w:szCs w:val="24"/>
              </w:rPr>
              <w:t>IV</w:t>
            </w:r>
            <w:r w:rsidRPr="00944B15">
              <w:rPr>
                <w:rFonts w:eastAsia="Times New Roman" w:cs="Times New Roman"/>
                <w:iCs/>
                <w:color w:val="000000"/>
                <w:szCs w:val="24"/>
              </w:rPr>
              <w:t xml:space="preserve"> infusion </w:t>
            </w:r>
            <w:r w:rsidRPr="00944B15">
              <w:rPr>
                <w:rFonts w:eastAsia="Times New Roman" w:cs="Times New Roman"/>
                <w:color w:val="000000"/>
                <w:szCs w:val="24"/>
              </w:rPr>
              <w:t xml:space="preserve">daily, then increased to 2–2.5 mg/kg daily, dose is increased over 3–4 weeks, azathioprine is usually started at the same time as the corticosteroid and allows a lower maintenance dose of the corticosteroid to be used, oral administration preferable, if not possible then can be given by </w:t>
            </w:r>
            <w:r>
              <w:rPr>
                <w:rFonts w:eastAsia="Times New Roman" w:cs="Times New Roman"/>
                <w:color w:val="000000"/>
                <w:szCs w:val="24"/>
              </w:rPr>
              <w:t>IV</w:t>
            </w:r>
            <w:r w:rsidRPr="00944B15">
              <w:rPr>
                <w:rFonts w:eastAsia="Times New Roman" w:cs="Times New Roman"/>
                <w:color w:val="000000"/>
                <w:szCs w:val="24"/>
              </w:rPr>
              <w:t xml:space="preserve"> injection (</w:t>
            </w:r>
            <w:r>
              <w:rPr>
                <w:rFonts w:eastAsia="Times New Roman" w:cs="Times New Roman"/>
                <w:color w:val="000000"/>
                <w:szCs w:val="24"/>
              </w:rPr>
              <w:t>IV</w:t>
            </w:r>
            <w:r w:rsidRPr="00944B15">
              <w:rPr>
                <w:rFonts w:eastAsia="Times New Roman" w:cs="Times New Roman"/>
                <w:color w:val="000000"/>
                <w:szCs w:val="24"/>
              </w:rPr>
              <w:t xml:space="preserve"> solution very irritant) or by </w:t>
            </w:r>
            <w:r>
              <w:rPr>
                <w:rFonts w:eastAsia="Times New Roman" w:cs="Times New Roman"/>
                <w:color w:val="000000"/>
                <w:szCs w:val="24"/>
              </w:rPr>
              <w:t>IV</w:t>
            </w:r>
            <w:r w:rsidRPr="00944B15">
              <w:rPr>
                <w:rFonts w:eastAsia="Times New Roman" w:cs="Times New Roman"/>
                <w:color w:val="000000"/>
                <w:szCs w:val="24"/>
              </w:rPr>
              <w:t xml:space="preserve"> infusion</w:t>
            </w:r>
          </w:p>
        </w:tc>
      </w:tr>
      <w:tr w:rsidR="005409A9" w:rsidRPr="00944B15" w14:paraId="6E167054"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5F5322F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36" w:type="dxa"/>
            <w:tcBorders>
              <w:top w:val="single" w:sz="4" w:space="0" w:color="auto"/>
              <w:left w:val="single" w:sz="4" w:space="0" w:color="auto"/>
              <w:bottom w:val="single" w:sz="4" w:space="0" w:color="auto"/>
              <w:right w:val="single" w:sz="4" w:space="0" w:color="auto"/>
            </w:tcBorders>
            <w:hideMark/>
          </w:tcPr>
          <w:p w14:paraId="1370EBE5"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r w:rsidRPr="00944B15">
              <w:rPr>
                <w:rFonts w:eastAsia="Times New Roman" w:cs="Times New Roman"/>
                <w:color w:val="000000"/>
                <w:szCs w:val="24"/>
              </w:rPr>
              <w:t xml:space="preserve"> or mercaptopurine, absent or very low thiopurine methyltransferase (TPMT) activity</w:t>
            </w:r>
          </w:p>
        </w:tc>
      </w:tr>
      <w:tr w:rsidR="005409A9" w:rsidRPr="00944B15" w14:paraId="240CF16D"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6DE032E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p w14:paraId="4D0EF4BB" w14:textId="77777777" w:rsidR="005409A9" w:rsidRPr="00944B15" w:rsidRDefault="005409A9" w:rsidP="002D6DD7">
            <w:pPr>
              <w:jc w:val="both"/>
              <w:rPr>
                <w:rFonts w:eastAsia="Times New Roman" w:cs="Times New Roman"/>
                <w:color w:val="000000"/>
                <w:szCs w:val="24"/>
              </w:rPr>
            </w:pPr>
          </w:p>
        </w:tc>
        <w:tc>
          <w:tcPr>
            <w:tcW w:w="6736" w:type="dxa"/>
            <w:tcBorders>
              <w:top w:val="single" w:sz="4" w:space="0" w:color="auto"/>
              <w:left w:val="single" w:sz="4" w:space="0" w:color="auto"/>
              <w:bottom w:val="single" w:sz="4" w:space="0" w:color="auto"/>
              <w:right w:val="single" w:sz="4" w:space="0" w:color="auto"/>
            </w:tcBorders>
            <w:hideMark/>
          </w:tcPr>
          <w:p w14:paraId="51CF9827"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Allopurinol, phenytoin, Sulfamethoxazole + trimethoprim, live vaccines, warfarin, ACEIs</w:t>
            </w:r>
          </w:p>
        </w:tc>
      </w:tr>
      <w:tr w:rsidR="005409A9" w:rsidRPr="00944B15" w14:paraId="5F6861B6"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1F96B39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36" w:type="dxa"/>
            <w:tcBorders>
              <w:top w:val="single" w:sz="4" w:space="0" w:color="auto"/>
              <w:left w:val="single" w:sz="4" w:space="0" w:color="auto"/>
              <w:bottom w:val="single" w:sz="4" w:space="0" w:color="auto"/>
              <w:right w:val="single" w:sz="4" w:space="0" w:color="auto"/>
            </w:tcBorders>
            <w:hideMark/>
          </w:tcPr>
          <w:p w14:paraId="7374B59E"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Bone marrow depression (dose related), increased risk of infection, leucopenia, pancreatitis, thrombocytopenia, anemia, hepatic disorders, hypersensitivity</w:t>
            </w:r>
            <w:r>
              <w:rPr>
                <w:rFonts w:eastAsia="Times New Roman" w:cs="Times New Roman"/>
                <w:color w:val="000000"/>
                <w:szCs w:val="24"/>
              </w:rPr>
              <w:t xml:space="preserve"> reaction</w:t>
            </w:r>
          </w:p>
        </w:tc>
      </w:tr>
      <w:tr w:rsidR="005409A9" w:rsidRPr="00944B15" w14:paraId="618E3B9F"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427971F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36" w:type="dxa"/>
            <w:tcBorders>
              <w:top w:val="single" w:sz="4" w:space="0" w:color="auto"/>
              <w:left w:val="single" w:sz="4" w:space="0" w:color="auto"/>
              <w:bottom w:val="single" w:sz="4" w:space="0" w:color="auto"/>
              <w:right w:val="single" w:sz="4" w:space="0" w:color="auto"/>
            </w:tcBorders>
            <w:hideMark/>
          </w:tcPr>
          <w:p w14:paraId="4814D077"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Liver disease, renal impairment, genetic deficiency of the enzyme </w:t>
            </w:r>
            <w:r w:rsidRPr="00944B15">
              <w:rPr>
                <w:rFonts w:eastAsia="Times New Roman" w:cs="Times New Roman"/>
                <w:color w:val="000000"/>
                <w:szCs w:val="24"/>
              </w:rPr>
              <w:lastRenderedPageBreak/>
              <w:t>thiopurine methyltransferase (TPMT), bone marrow depression, pregnancy, hepatic and renal impairment</w:t>
            </w:r>
          </w:p>
        </w:tc>
      </w:tr>
      <w:tr w:rsidR="005409A9" w:rsidRPr="00944B15" w14:paraId="1B5A1DA1" w14:textId="77777777" w:rsidTr="002D6DD7">
        <w:trPr>
          <w:gridAfter w:val="1"/>
          <w:wAfter w:w="9" w:type="dxa"/>
          <w:jc w:val="center"/>
        </w:trPr>
        <w:tc>
          <w:tcPr>
            <w:tcW w:w="2605" w:type="dxa"/>
            <w:tcBorders>
              <w:top w:val="single" w:sz="4" w:space="0" w:color="auto"/>
              <w:left w:val="single" w:sz="4" w:space="0" w:color="auto"/>
              <w:bottom w:val="single" w:sz="4" w:space="0" w:color="auto"/>
              <w:right w:val="single" w:sz="4" w:space="0" w:color="auto"/>
            </w:tcBorders>
            <w:hideMark/>
          </w:tcPr>
          <w:p w14:paraId="28922D2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Storage condition</w:t>
            </w:r>
          </w:p>
        </w:tc>
        <w:tc>
          <w:tcPr>
            <w:tcW w:w="6736" w:type="dxa"/>
            <w:tcBorders>
              <w:top w:val="single" w:sz="4" w:space="0" w:color="auto"/>
              <w:left w:val="single" w:sz="4" w:space="0" w:color="auto"/>
              <w:bottom w:val="single" w:sz="4" w:space="0" w:color="auto"/>
              <w:right w:val="single" w:sz="4" w:space="0" w:color="auto"/>
            </w:tcBorders>
            <w:hideMark/>
          </w:tcPr>
          <w:p w14:paraId="0ADB550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below 30</w:t>
            </w:r>
            <w:r w:rsidRPr="00944B15">
              <w:rPr>
                <w:rFonts w:eastAsia="Times New Roman" w:cs="Times New Roman"/>
                <w:color w:val="000000"/>
                <w:szCs w:val="24"/>
                <w:vertAlign w:val="superscript"/>
              </w:rPr>
              <w:t>o</w:t>
            </w:r>
            <w:r w:rsidRPr="00944B15">
              <w:rPr>
                <w:rFonts w:eastAsia="Times New Roman" w:cs="Times New Roman"/>
                <w:color w:val="000000"/>
                <w:szCs w:val="24"/>
              </w:rPr>
              <w:t>C</w:t>
            </w:r>
            <w:r>
              <w:rPr>
                <w:rFonts w:eastAsia="Times New Roman" w:cs="Times New Roman"/>
                <w:color w:val="000000"/>
                <w:szCs w:val="24"/>
              </w:rPr>
              <w:t>.</w:t>
            </w:r>
            <w:r w:rsidRPr="00944B15">
              <w:rPr>
                <w:rFonts w:eastAsia="Times New Roman" w:cs="Times New Roman"/>
                <w:color w:val="000000"/>
                <w:szCs w:val="24"/>
              </w:rPr>
              <w:t xml:space="preserve"> </w:t>
            </w:r>
          </w:p>
        </w:tc>
      </w:tr>
      <w:tr w:rsidR="005409A9" w:rsidRPr="00944B15" w14:paraId="12398AFA" w14:textId="77777777" w:rsidTr="002D6DD7">
        <w:trPr>
          <w:gridAfter w:val="1"/>
          <w:wAfter w:w="9" w:type="dxa"/>
          <w:jc w:val="center"/>
        </w:trPr>
        <w:tc>
          <w:tcPr>
            <w:tcW w:w="9341" w:type="dxa"/>
            <w:gridSpan w:val="2"/>
            <w:hideMark/>
          </w:tcPr>
          <w:p w14:paraId="6B2F576B" w14:textId="77777777" w:rsidR="005409A9" w:rsidRPr="00944B15" w:rsidRDefault="005409A9" w:rsidP="002D6DD7">
            <w:pPr>
              <w:jc w:val="both"/>
              <w:rPr>
                <w:rFonts w:eastAsia="Times New Roman" w:cs="Times New Roman"/>
                <w:b/>
                <w:color w:val="000000"/>
                <w:szCs w:val="24"/>
              </w:rPr>
            </w:pPr>
            <w:r w:rsidRPr="00944B15">
              <w:rPr>
                <w:rFonts w:eastAsia="Calibri" w:cs="Times New Roman"/>
                <w:b/>
                <w:color w:val="000000"/>
                <w:szCs w:val="24"/>
              </w:rPr>
              <w:t xml:space="preserve">Certolizumab pegol  </w:t>
            </w:r>
          </w:p>
        </w:tc>
      </w:tr>
      <w:tr w:rsidR="005409A9" w:rsidRPr="00944B15" w14:paraId="0848540C" w14:textId="77777777" w:rsidTr="002D6DD7">
        <w:trPr>
          <w:gridAfter w:val="1"/>
          <w:wAfter w:w="9" w:type="dxa"/>
          <w:jc w:val="center"/>
        </w:trPr>
        <w:tc>
          <w:tcPr>
            <w:tcW w:w="2605" w:type="dxa"/>
            <w:hideMark/>
          </w:tcPr>
          <w:p w14:paraId="449549E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36" w:type="dxa"/>
          </w:tcPr>
          <w:p w14:paraId="2E40D56C"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Immunosuppressant, tumour necrosis factor (TNF) i</w:t>
            </w:r>
            <w:r w:rsidRPr="00944B15">
              <w:rPr>
                <w:rFonts w:eastAsia="Times New Roman" w:cs="Times New Roman"/>
                <w:color w:val="000000"/>
                <w:szCs w:val="24"/>
              </w:rPr>
              <w:t xml:space="preserve">nhibitor </w:t>
            </w:r>
          </w:p>
        </w:tc>
      </w:tr>
      <w:tr w:rsidR="005409A9" w:rsidRPr="00944B15" w14:paraId="7D4936B9" w14:textId="77777777" w:rsidTr="002D6DD7">
        <w:trPr>
          <w:gridAfter w:val="1"/>
          <w:wAfter w:w="9" w:type="dxa"/>
          <w:jc w:val="center"/>
        </w:trPr>
        <w:tc>
          <w:tcPr>
            <w:tcW w:w="2605" w:type="dxa"/>
            <w:hideMark/>
          </w:tcPr>
          <w:p w14:paraId="59CD129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36" w:type="dxa"/>
          </w:tcPr>
          <w:p w14:paraId="2B4F40F0" w14:textId="77777777" w:rsidR="005409A9" w:rsidRPr="00944B15" w:rsidRDefault="005409A9" w:rsidP="002D6DD7">
            <w:pPr>
              <w:jc w:val="both"/>
              <w:rPr>
                <w:rFonts w:eastAsia="Times New Roman" w:cs="Times New Roman"/>
                <w:szCs w:val="24"/>
              </w:rPr>
            </w:pPr>
            <w:r w:rsidRPr="00944B15">
              <w:rPr>
                <w:rFonts w:eastAsia="Times New Roman" w:cs="Times New Roman"/>
                <w:b/>
                <w:szCs w:val="24"/>
              </w:rPr>
              <w:t>For injection</w:t>
            </w:r>
            <w:r w:rsidRPr="00944B15">
              <w:rPr>
                <w:rFonts w:eastAsia="Times New Roman" w:cs="Times New Roman"/>
                <w:szCs w:val="24"/>
              </w:rPr>
              <w:t xml:space="preserve">: 200 mg lyophilized powder for reconstitution in a single use vial, with 1 </w:t>
            </w:r>
            <w:r>
              <w:rPr>
                <w:rFonts w:eastAsia="Times New Roman" w:cs="Times New Roman"/>
                <w:szCs w:val="24"/>
              </w:rPr>
              <w:t>ml</w:t>
            </w:r>
            <w:r w:rsidRPr="00944B15">
              <w:rPr>
                <w:rFonts w:eastAsia="Times New Roman" w:cs="Times New Roman"/>
                <w:szCs w:val="24"/>
              </w:rPr>
              <w:t xml:space="preserve"> of sterile Water for Injection </w:t>
            </w:r>
          </w:p>
          <w:p w14:paraId="1A7B0A5C" w14:textId="77777777" w:rsidR="005409A9" w:rsidRPr="00944B15" w:rsidRDefault="005409A9" w:rsidP="002D6DD7">
            <w:pPr>
              <w:jc w:val="both"/>
              <w:rPr>
                <w:rFonts w:eastAsia="Times New Roman" w:cs="Times New Roman"/>
                <w:szCs w:val="24"/>
              </w:rPr>
            </w:pPr>
            <w:r w:rsidRPr="00944B15">
              <w:rPr>
                <w:rFonts w:eastAsia="Times New Roman" w:cs="Times New Roman"/>
                <w:b/>
                <w:szCs w:val="24"/>
              </w:rPr>
              <w:t>Injection</w:t>
            </w:r>
            <w:r w:rsidRPr="00944B15">
              <w:rPr>
                <w:rFonts w:eastAsia="Times New Roman" w:cs="Times New Roman"/>
                <w:szCs w:val="24"/>
              </w:rPr>
              <w:t>: 200 mg/</w:t>
            </w:r>
            <w:r>
              <w:rPr>
                <w:rFonts w:eastAsia="Times New Roman" w:cs="Times New Roman"/>
                <w:szCs w:val="24"/>
              </w:rPr>
              <w:t>ml</w:t>
            </w:r>
            <w:r w:rsidRPr="00944B15">
              <w:rPr>
                <w:rFonts w:eastAsia="Times New Roman" w:cs="Times New Roman"/>
                <w:szCs w:val="24"/>
              </w:rPr>
              <w:t xml:space="preserve"> solution in a single-use prefilled syringe </w:t>
            </w:r>
          </w:p>
        </w:tc>
      </w:tr>
      <w:tr w:rsidR="005409A9" w:rsidRPr="00944B15" w14:paraId="411C26A6" w14:textId="77777777" w:rsidTr="002D6DD7">
        <w:trPr>
          <w:gridAfter w:val="1"/>
          <w:wAfter w:w="9" w:type="dxa"/>
          <w:jc w:val="center"/>
        </w:trPr>
        <w:tc>
          <w:tcPr>
            <w:tcW w:w="2605" w:type="dxa"/>
            <w:hideMark/>
          </w:tcPr>
          <w:p w14:paraId="7CC5461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36" w:type="dxa"/>
          </w:tcPr>
          <w:p w14:paraId="371F26B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Moderate to severe active rheumatoid arthritis, active and progressive psoriatic arthritis, severe active ankylosing spondylitis</w:t>
            </w:r>
            <w:r>
              <w:rPr>
                <w:rFonts w:eastAsia="Times New Roman" w:cs="Times New Roman"/>
                <w:color w:val="000000"/>
                <w:szCs w:val="24"/>
              </w:rPr>
              <w:t>, inflammatory bowel disease, plaque psoriasis, c</w:t>
            </w:r>
            <w:r w:rsidRPr="00944B15">
              <w:rPr>
                <w:rFonts w:eastAsia="Times New Roman" w:cs="Times New Roman"/>
                <w:color w:val="000000"/>
                <w:szCs w:val="24"/>
              </w:rPr>
              <w:t xml:space="preserve">rohn disease, ulcerative colitis and uveitis </w:t>
            </w:r>
          </w:p>
        </w:tc>
      </w:tr>
      <w:tr w:rsidR="005409A9" w:rsidRPr="00944B15" w14:paraId="525867EE" w14:textId="77777777" w:rsidTr="002D6DD7">
        <w:trPr>
          <w:gridAfter w:val="1"/>
          <w:wAfter w:w="9" w:type="dxa"/>
          <w:jc w:val="center"/>
        </w:trPr>
        <w:tc>
          <w:tcPr>
            <w:tcW w:w="2605" w:type="dxa"/>
            <w:hideMark/>
          </w:tcPr>
          <w:p w14:paraId="700379A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36" w:type="dxa"/>
          </w:tcPr>
          <w:p w14:paraId="505FFE13"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Moderate to severe active rheumatoid arthritis, severe, active and progressive rheumatoid arthritis, active psoriatic arthritis; inadequate response to DMARDs (including methotrexate), not previously treated with methotrexate or other</w:t>
            </w:r>
            <w:r>
              <w:rPr>
                <w:rFonts w:eastAsia="Calibri" w:cs="Times New Roman"/>
                <w:b/>
                <w:color w:val="000000"/>
                <w:szCs w:val="24"/>
              </w:rPr>
              <w:t xml:space="preserve"> DMARDs:</w:t>
            </w:r>
          </w:p>
          <w:p w14:paraId="0DA2EE1B" w14:textId="77777777" w:rsidR="005409A9" w:rsidRPr="00944B15"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sidRPr="00944B15">
              <w:rPr>
                <w:rFonts w:eastAsia="Calibri" w:cs="Times New Roman"/>
                <w:color w:val="000000"/>
                <w:szCs w:val="24"/>
              </w:rPr>
              <w:t>: Loading dose 400 mg subQ</w:t>
            </w:r>
            <w:r>
              <w:rPr>
                <w:rFonts w:eastAsia="Calibri" w:cs="Times New Roman"/>
                <w:color w:val="000000"/>
                <w:szCs w:val="24"/>
              </w:rPr>
              <w:t xml:space="preserve"> </w:t>
            </w:r>
            <w:r w:rsidRPr="00944B15">
              <w:rPr>
                <w:rFonts w:eastAsia="Calibri" w:cs="Times New Roman"/>
                <w:color w:val="000000"/>
                <w:szCs w:val="24"/>
              </w:rPr>
              <w:t>every 2 weeks for 3 doses, then maintenance 200 mg every 2 weeks, once clinical response is confirmed, an alternative maintenance dosing of 400mg every 4 weeks can be considered, review treatment if no response within 12 weeks</w:t>
            </w:r>
          </w:p>
          <w:p w14:paraId="3E95350F"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Severe active ankylosing spondylitis in patients who have had an inadequate response to, or are intolerant of NSAID</w:t>
            </w:r>
            <w:r>
              <w:rPr>
                <w:rFonts w:eastAsia="Calibri" w:cs="Times New Roman"/>
                <w:b/>
                <w:color w:val="000000"/>
                <w:szCs w:val="24"/>
              </w:rPr>
              <w:t>s (initiated by a specialist), s</w:t>
            </w:r>
            <w:r w:rsidRPr="00944B15">
              <w:rPr>
                <w:rFonts w:eastAsia="Calibri" w:cs="Times New Roman"/>
                <w:b/>
                <w:color w:val="000000"/>
                <w:szCs w:val="24"/>
              </w:rPr>
              <w:t>evere active axial spondyloarthritis, without radiographic evidence of ankylosing spondylitis but with objective signs of inflammation, in patients who have had an inadequate response to, or are intole</w:t>
            </w:r>
            <w:r>
              <w:rPr>
                <w:rFonts w:eastAsia="Calibri" w:cs="Times New Roman"/>
                <w:b/>
                <w:color w:val="000000"/>
                <w:szCs w:val="24"/>
              </w:rPr>
              <w:t>rant of NSAIDs:</w:t>
            </w:r>
          </w:p>
          <w:p w14:paraId="7D216393" w14:textId="77777777" w:rsidR="005409A9" w:rsidRPr="00944B15"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Pr>
                <w:rFonts w:eastAsia="Calibri" w:cs="Times New Roman"/>
                <w:color w:val="000000"/>
                <w:szCs w:val="24"/>
              </w:rPr>
              <w:t>: l</w:t>
            </w:r>
            <w:r w:rsidRPr="00944B15">
              <w:rPr>
                <w:rFonts w:eastAsia="Calibri" w:cs="Times New Roman"/>
                <w:color w:val="000000"/>
                <w:szCs w:val="24"/>
              </w:rPr>
              <w:t xml:space="preserve">oading dose 400 mg </w:t>
            </w:r>
            <w:r>
              <w:rPr>
                <w:rFonts w:eastAsia="Calibri" w:cs="Times New Roman"/>
                <w:color w:val="000000"/>
                <w:szCs w:val="24"/>
              </w:rPr>
              <w:t>subcutaneous</w:t>
            </w:r>
            <w:r w:rsidRPr="00944B15">
              <w:rPr>
                <w:rFonts w:eastAsia="Calibri" w:cs="Times New Roman"/>
                <w:color w:val="000000"/>
                <w:szCs w:val="24"/>
              </w:rPr>
              <w:t xml:space="preserve"> every 2 weeks for 3 doses, then maintenance 200 mg every 2 weeks, alternatively maintenance 400 mg every 4 weeks, review treatment if no response within 12 weeks, after at least 1 year of treatment, an </w:t>
            </w:r>
            <w:r w:rsidRPr="00944B15">
              <w:rPr>
                <w:rFonts w:eastAsia="Calibri" w:cs="Times New Roman"/>
                <w:color w:val="000000"/>
                <w:szCs w:val="24"/>
              </w:rPr>
              <w:lastRenderedPageBreak/>
              <w:t>alternative maintenance dosing of 200mg every 4 weeks can be considered in patients with sustained remission</w:t>
            </w:r>
          </w:p>
          <w:p w14:paraId="04F60A86"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Mode</w:t>
            </w:r>
            <w:r>
              <w:rPr>
                <w:rFonts w:eastAsia="Calibri" w:cs="Times New Roman"/>
                <w:b/>
                <w:color w:val="000000"/>
                <w:szCs w:val="24"/>
              </w:rPr>
              <w:t>rate to severe plaque psoriasis:</w:t>
            </w:r>
          </w:p>
          <w:p w14:paraId="6DFE5D91" w14:textId="77777777" w:rsidR="005409A9" w:rsidRPr="00944B15"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Pr>
                <w:rFonts w:eastAsia="Calibri" w:cs="Times New Roman"/>
                <w:color w:val="000000"/>
                <w:szCs w:val="24"/>
              </w:rPr>
              <w:t>: l</w:t>
            </w:r>
            <w:r w:rsidRPr="00944B15">
              <w:rPr>
                <w:rFonts w:eastAsia="Calibri" w:cs="Times New Roman"/>
                <w:color w:val="000000"/>
                <w:szCs w:val="24"/>
              </w:rPr>
              <w:t xml:space="preserve">oading dose 400 mg </w:t>
            </w:r>
            <w:r>
              <w:rPr>
                <w:rFonts w:eastAsia="Calibri" w:cs="Times New Roman"/>
                <w:color w:val="000000"/>
                <w:szCs w:val="24"/>
              </w:rPr>
              <w:t>subcutaneous</w:t>
            </w:r>
            <w:r w:rsidRPr="00944B15">
              <w:rPr>
                <w:rFonts w:eastAsia="Calibri" w:cs="Times New Roman"/>
                <w:color w:val="000000"/>
                <w:szCs w:val="24"/>
              </w:rPr>
              <w:t xml:space="preserve"> every 2 weeks for 3 doses, then maintenance 200 mg every 2 weeks, an alternative maintenance dosing of 400mg every 2 weeks can be considered in patients with insufficient response, review treatment if no response within 16 weeks</w:t>
            </w:r>
          </w:p>
        </w:tc>
      </w:tr>
      <w:tr w:rsidR="005409A9" w:rsidRPr="00944B15" w14:paraId="65BE8F24" w14:textId="77777777" w:rsidTr="002D6DD7">
        <w:trPr>
          <w:gridAfter w:val="1"/>
          <w:wAfter w:w="9" w:type="dxa"/>
          <w:jc w:val="center"/>
        </w:trPr>
        <w:tc>
          <w:tcPr>
            <w:tcW w:w="2605" w:type="dxa"/>
            <w:hideMark/>
          </w:tcPr>
          <w:p w14:paraId="2497F0C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36" w:type="dxa"/>
          </w:tcPr>
          <w:p w14:paraId="73FDAC0E" w14:textId="77777777" w:rsidR="005409A9" w:rsidRPr="00944B15" w:rsidRDefault="005409A9" w:rsidP="002D6DD7">
            <w:pPr>
              <w:shd w:val="clear" w:color="auto" w:fill="FFFFFF"/>
              <w:jc w:val="both"/>
              <w:rPr>
                <w:rFonts w:eastAsia="Times New Roman" w:cs="Times New Roman"/>
                <w:color w:val="000000"/>
                <w:szCs w:val="24"/>
              </w:rPr>
            </w:pPr>
            <w:r>
              <w:rPr>
                <w:rFonts w:eastAsia="Times New Roman" w:cs="Times New Roman"/>
                <w:color w:val="000000"/>
                <w:szCs w:val="24"/>
              </w:rPr>
              <w:t>Hypersensitivity to</w:t>
            </w:r>
            <w:r w:rsidRPr="00030C2D">
              <w:rPr>
                <w:rFonts w:eastAsia="Times New Roman" w:cs="Times New Roman"/>
                <w:color w:val="000000"/>
                <w:szCs w:val="24"/>
              </w:rPr>
              <w:t xml:space="preserve"> </w:t>
            </w:r>
            <w:r>
              <w:rPr>
                <w:rFonts w:eastAsia="Times New Roman" w:cs="Times New Roman"/>
                <w:color w:val="000000"/>
                <w:szCs w:val="24"/>
              </w:rPr>
              <w:t>the drug,</w:t>
            </w:r>
            <w:r w:rsidRPr="00030C2D">
              <w:rPr>
                <w:rFonts w:eastAsia="Times New Roman" w:cs="Times New Roman"/>
                <w:color w:val="000000"/>
                <w:szCs w:val="24"/>
              </w:rPr>
              <w:t xml:space="preserve"> </w:t>
            </w:r>
            <w:r>
              <w:rPr>
                <w:rFonts w:eastAsia="Times New Roman" w:cs="Times New Roman"/>
                <w:color w:val="000000"/>
                <w:szCs w:val="24"/>
              </w:rPr>
              <w:t>m</w:t>
            </w:r>
            <w:r w:rsidRPr="00944B15">
              <w:rPr>
                <w:rFonts w:eastAsia="Times New Roman" w:cs="Times New Roman"/>
                <w:color w:val="000000"/>
                <w:szCs w:val="24"/>
              </w:rPr>
              <w:t xml:space="preserve">oderate to severe heart failure, </w:t>
            </w:r>
            <w:r w:rsidRPr="00030C2D">
              <w:rPr>
                <w:rFonts w:eastAsia="Times New Roman" w:cs="Times New Roman"/>
                <w:color w:val="000000"/>
                <w:szCs w:val="24"/>
              </w:rPr>
              <w:t>pegol</w:t>
            </w:r>
            <w:r>
              <w:rPr>
                <w:rFonts w:eastAsia="Times New Roman" w:cs="Times New Roman"/>
                <w:color w:val="000000"/>
                <w:szCs w:val="24"/>
              </w:rPr>
              <w:t xml:space="preserve"> and </w:t>
            </w:r>
            <w:r w:rsidRPr="00944B15">
              <w:rPr>
                <w:rFonts w:eastAsia="Times New Roman" w:cs="Times New Roman"/>
                <w:color w:val="000000"/>
                <w:szCs w:val="24"/>
              </w:rPr>
              <w:t>severe active infection</w:t>
            </w:r>
            <w:r>
              <w:rPr>
                <w:rFonts w:eastAsia="Times New Roman" w:cs="Times New Roman"/>
                <w:color w:val="000000"/>
                <w:szCs w:val="24"/>
              </w:rPr>
              <w:t xml:space="preserve"> (TB).</w:t>
            </w:r>
          </w:p>
        </w:tc>
      </w:tr>
      <w:tr w:rsidR="005409A9" w:rsidRPr="00944B15" w14:paraId="1B5AAF50" w14:textId="77777777" w:rsidTr="002D6DD7">
        <w:trPr>
          <w:gridAfter w:val="1"/>
          <w:wAfter w:w="9" w:type="dxa"/>
          <w:jc w:val="center"/>
        </w:trPr>
        <w:tc>
          <w:tcPr>
            <w:tcW w:w="2605" w:type="dxa"/>
            <w:hideMark/>
          </w:tcPr>
          <w:p w14:paraId="5A86543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36" w:type="dxa"/>
          </w:tcPr>
          <w:p w14:paraId="6E5A5AC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Live vaccines, azathioprine, cancer chemotherapy, cyclosporine, abatacept, anakinra</w:t>
            </w:r>
            <w:r>
              <w:rPr>
                <w:rFonts w:eastAsia="Times New Roman" w:cs="Times New Roman"/>
                <w:color w:val="000000"/>
                <w:szCs w:val="24"/>
              </w:rPr>
              <w:t>,</w:t>
            </w:r>
            <w:r w:rsidRPr="00944B15">
              <w:rPr>
                <w:rFonts w:eastAsia="Times New Roman" w:cs="Times New Roman"/>
                <w:color w:val="000000"/>
                <w:szCs w:val="24"/>
              </w:rPr>
              <w:t xml:space="preserve"> </w:t>
            </w:r>
            <w:r w:rsidRPr="000A2D7C">
              <w:rPr>
                <w:rFonts w:eastAsia="Times New Roman" w:cs="Times New Roman"/>
                <w:color w:val="000000"/>
                <w:szCs w:val="24"/>
              </w:rPr>
              <w:t>abrociti</w:t>
            </w:r>
            <w:r>
              <w:rPr>
                <w:rFonts w:eastAsia="Times New Roman" w:cs="Times New Roman"/>
                <w:color w:val="000000"/>
                <w:szCs w:val="24"/>
              </w:rPr>
              <w:t xml:space="preserve">nib, anifrolumab and </w:t>
            </w:r>
            <w:r w:rsidRPr="000A2D7C">
              <w:rPr>
                <w:rFonts w:eastAsia="Times New Roman" w:cs="Times New Roman"/>
                <w:color w:val="000000"/>
                <w:szCs w:val="24"/>
              </w:rPr>
              <w:t xml:space="preserve">globulin.   </w:t>
            </w:r>
          </w:p>
        </w:tc>
      </w:tr>
      <w:tr w:rsidR="005409A9" w:rsidRPr="00944B15" w14:paraId="4634DC9B" w14:textId="77777777" w:rsidTr="002D6DD7">
        <w:trPr>
          <w:gridAfter w:val="1"/>
          <w:wAfter w:w="9" w:type="dxa"/>
          <w:jc w:val="center"/>
        </w:trPr>
        <w:tc>
          <w:tcPr>
            <w:tcW w:w="2605" w:type="dxa"/>
            <w:hideMark/>
          </w:tcPr>
          <w:p w14:paraId="01044A2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36" w:type="dxa"/>
          </w:tcPr>
          <w:p w14:paraId="1C9CCB6D"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Injection site reactions, upper respiratory infections, headache, rash, serious infections (e.g., tuberculosis, bacterial sepsis), malignancies, heart failure, hypersensitivity reactions,</w:t>
            </w:r>
          </w:p>
        </w:tc>
      </w:tr>
      <w:tr w:rsidR="005409A9" w:rsidRPr="00944B15" w14:paraId="6411E1F5" w14:textId="77777777" w:rsidTr="002D6DD7">
        <w:trPr>
          <w:gridAfter w:val="1"/>
          <w:wAfter w:w="9" w:type="dxa"/>
          <w:jc w:val="center"/>
        </w:trPr>
        <w:tc>
          <w:tcPr>
            <w:tcW w:w="2605" w:type="dxa"/>
            <w:hideMark/>
          </w:tcPr>
          <w:p w14:paraId="74FFFAA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36" w:type="dxa"/>
          </w:tcPr>
          <w:p w14:paraId="1B3F3CF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Chroni</w:t>
            </w:r>
            <w:r>
              <w:rPr>
                <w:rFonts w:eastAsia="Times New Roman" w:cs="Times New Roman"/>
                <w:color w:val="000000"/>
                <w:szCs w:val="24"/>
              </w:rPr>
              <w:t>c obstructive pulmonary disease, demyelinating CNS disorders</w:t>
            </w:r>
            <w:r w:rsidRPr="00944B15">
              <w:rPr>
                <w:rFonts w:eastAsia="Times New Roman" w:cs="Times New Roman"/>
                <w:color w:val="000000"/>
                <w:szCs w:val="24"/>
              </w:rPr>
              <w:t>, active inf</w:t>
            </w:r>
            <w:r>
              <w:rPr>
                <w:rFonts w:eastAsia="Times New Roman" w:cs="Times New Roman"/>
                <w:color w:val="000000"/>
                <w:szCs w:val="24"/>
              </w:rPr>
              <w:t>ections, elderly, hepatitis B virus</w:t>
            </w:r>
            <w:r w:rsidRPr="00944B15">
              <w:rPr>
                <w:rFonts w:eastAsia="Times New Roman" w:cs="Times New Roman"/>
                <w:color w:val="000000"/>
                <w:szCs w:val="24"/>
              </w:rPr>
              <w:t>, mild heart failure</w:t>
            </w:r>
            <w:r>
              <w:rPr>
                <w:rFonts w:eastAsia="Times New Roman" w:cs="Times New Roman"/>
                <w:color w:val="000000"/>
                <w:szCs w:val="24"/>
              </w:rPr>
              <w:t>, l</w:t>
            </w:r>
            <w:r w:rsidRPr="00944B15">
              <w:rPr>
                <w:rFonts w:eastAsia="Times New Roman" w:cs="Times New Roman"/>
                <w:color w:val="000000"/>
                <w:szCs w:val="24"/>
              </w:rPr>
              <w:t>ymphoma and other malignancies</w:t>
            </w:r>
          </w:p>
        </w:tc>
      </w:tr>
      <w:tr w:rsidR="005409A9" w:rsidRPr="00944B15" w14:paraId="2837FF49" w14:textId="77777777" w:rsidTr="002D6DD7">
        <w:trPr>
          <w:gridAfter w:val="1"/>
          <w:wAfter w:w="9" w:type="dxa"/>
          <w:jc w:val="center"/>
        </w:trPr>
        <w:tc>
          <w:tcPr>
            <w:tcW w:w="2605" w:type="dxa"/>
            <w:hideMark/>
          </w:tcPr>
          <w:p w14:paraId="1D16703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36" w:type="dxa"/>
          </w:tcPr>
          <w:p w14:paraId="00DC8DC9"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 xml:space="preserve">Store </w:t>
            </w:r>
            <w:r>
              <w:rPr>
                <w:rFonts w:eastAsia="Times New Roman" w:cs="Times New Roman"/>
                <w:color w:val="000000"/>
                <w:szCs w:val="24"/>
              </w:rPr>
              <w:t>in a refrigerator (2°C to 8°C). D</w:t>
            </w:r>
            <w:r w:rsidRPr="00944B15">
              <w:rPr>
                <w:rFonts w:eastAsia="Times New Roman" w:cs="Times New Roman"/>
                <w:color w:val="000000"/>
                <w:szCs w:val="24"/>
              </w:rPr>
              <w:t xml:space="preserve">o not freeze </w:t>
            </w:r>
          </w:p>
        </w:tc>
      </w:tr>
      <w:tr w:rsidR="005409A9" w:rsidRPr="00944B15" w14:paraId="223DF5EA" w14:textId="77777777" w:rsidTr="002D6DD7">
        <w:trPr>
          <w:jc w:val="center"/>
        </w:trPr>
        <w:tc>
          <w:tcPr>
            <w:tcW w:w="9350" w:type="dxa"/>
            <w:gridSpan w:val="3"/>
            <w:hideMark/>
          </w:tcPr>
          <w:p w14:paraId="07494DE5"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Ciclosporin/</w:t>
            </w:r>
            <w:r w:rsidRPr="00944B15">
              <w:rPr>
                <w:rFonts w:cs="Times New Roman"/>
                <w:szCs w:val="24"/>
              </w:rPr>
              <w:t xml:space="preserve"> </w:t>
            </w:r>
            <w:r>
              <w:rPr>
                <w:rFonts w:eastAsia="Calibri" w:cs="Times New Roman"/>
                <w:b/>
                <w:color w:val="000000"/>
                <w:szCs w:val="24"/>
              </w:rPr>
              <w:t>cyclosporine</w:t>
            </w:r>
          </w:p>
        </w:tc>
      </w:tr>
      <w:tr w:rsidR="005409A9" w:rsidRPr="00944B15" w14:paraId="72275AEA" w14:textId="77777777" w:rsidTr="002D6DD7">
        <w:trPr>
          <w:jc w:val="center"/>
        </w:trPr>
        <w:tc>
          <w:tcPr>
            <w:tcW w:w="2605" w:type="dxa"/>
            <w:hideMark/>
          </w:tcPr>
          <w:p w14:paraId="3E0FD82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00E5277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Calcineurin inhibitor, immunosuppressant </w:t>
            </w:r>
          </w:p>
        </w:tc>
      </w:tr>
      <w:tr w:rsidR="005409A9" w:rsidRPr="00944B15" w14:paraId="1A3E64B5" w14:textId="77777777" w:rsidTr="002D6DD7">
        <w:trPr>
          <w:jc w:val="center"/>
        </w:trPr>
        <w:tc>
          <w:tcPr>
            <w:tcW w:w="2605" w:type="dxa"/>
            <w:hideMark/>
          </w:tcPr>
          <w:p w14:paraId="6AD7B1A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tcPr>
          <w:p w14:paraId="6FC82A2A" w14:textId="77777777" w:rsidR="005409A9" w:rsidRPr="00944B15" w:rsidRDefault="005409A9" w:rsidP="002D6DD7">
            <w:pPr>
              <w:tabs>
                <w:tab w:val="left" w:pos="1888"/>
              </w:tabs>
              <w:autoSpaceDE w:val="0"/>
              <w:autoSpaceDN w:val="0"/>
              <w:adjustRightInd w:val="0"/>
              <w:rPr>
                <w:rFonts w:eastAsia="Calibri" w:cs="Times New Roman"/>
                <w:color w:val="000000"/>
                <w:szCs w:val="24"/>
              </w:rPr>
            </w:pPr>
            <w:r w:rsidRPr="00944B15">
              <w:rPr>
                <w:rFonts w:eastAsia="Calibri" w:cs="Times New Roman"/>
                <w:color w:val="000000"/>
                <w:szCs w:val="24"/>
              </w:rPr>
              <w:t>Capsule: 25 mg</w:t>
            </w:r>
          </w:p>
          <w:p w14:paraId="6D0671E2" w14:textId="77777777" w:rsidR="005409A9" w:rsidRPr="00944B15" w:rsidRDefault="005409A9" w:rsidP="002D6DD7">
            <w:pPr>
              <w:tabs>
                <w:tab w:val="left" w:pos="1888"/>
              </w:tabs>
              <w:autoSpaceDE w:val="0"/>
              <w:autoSpaceDN w:val="0"/>
              <w:adjustRightInd w:val="0"/>
              <w:rPr>
                <w:rFonts w:eastAsia="Calibri" w:cs="Times New Roman"/>
                <w:color w:val="000000"/>
                <w:szCs w:val="24"/>
              </w:rPr>
            </w:pPr>
            <w:r w:rsidRPr="00944B15">
              <w:rPr>
                <w:rFonts w:eastAsia="Calibri" w:cs="Times New Roman"/>
                <w:color w:val="000000"/>
                <w:szCs w:val="24"/>
              </w:rPr>
              <w:t>Concentrate for injection: 50 mg/</w:t>
            </w:r>
            <w:r>
              <w:rPr>
                <w:rFonts w:eastAsia="Calibri" w:cs="Times New Roman"/>
                <w:color w:val="000000"/>
                <w:szCs w:val="24"/>
              </w:rPr>
              <w:t>ml</w:t>
            </w:r>
            <w:r w:rsidRPr="00944B15">
              <w:rPr>
                <w:rFonts w:eastAsia="Calibri" w:cs="Times New Roman"/>
                <w:color w:val="000000"/>
                <w:szCs w:val="24"/>
              </w:rPr>
              <w:t xml:space="preserve"> in 1 </w:t>
            </w:r>
            <w:r>
              <w:rPr>
                <w:rFonts w:eastAsia="Calibri" w:cs="Times New Roman"/>
                <w:color w:val="000000"/>
                <w:szCs w:val="24"/>
              </w:rPr>
              <w:t>ml</w:t>
            </w:r>
            <w:r w:rsidRPr="00944B15">
              <w:rPr>
                <w:rFonts w:eastAsia="Calibri" w:cs="Times New Roman"/>
                <w:color w:val="000000"/>
                <w:szCs w:val="24"/>
              </w:rPr>
              <w:t xml:space="preserve"> ampoule</w:t>
            </w:r>
          </w:p>
          <w:p w14:paraId="2B4BE935" w14:textId="77777777" w:rsidR="005409A9" w:rsidRPr="00944B15" w:rsidRDefault="005409A9" w:rsidP="002D6DD7">
            <w:pPr>
              <w:tabs>
                <w:tab w:val="left" w:pos="1888"/>
              </w:tabs>
              <w:autoSpaceDE w:val="0"/>
              <w:autoSpaceDN w:val="0"/>
              <w:adjustRightInd w:val="0"/>
              <w:rPr>
                <w:rFonts w:eastAsia="Calibri" w:cs="Times New Roman"/>
                <w:color w:val="000000"/>
                <w:szCs w:val="24"/>
              </w:rPr>
            </w:pPr>
            <w:r w:rsidRPr="00944B15">
              <w:rPr>
                <w:rFonts w:eastAsia="Calibri" w:cs="Times New Roman"/>
                <w:color w:val="000000"/>
                <w:szCs w:val="24"/>
              </w:rPr>
              <w:t>Oral liquid: 100 mg/</w:t>
            </w:r>
            <w:r>
              <w:rPr>
                <w:rFonts w:eastAsia="Calibri" w:cs="Times New Roman"/>
                <w:color w:val="000000"/>
                <w:szCs w:val="24"/>
              </w:rPr>
              <w:t>Ml</w:t>
            </w:r>
          </w:p>
        </w:tc>
      </w:tr>
      <w:tr w:rsidR="005409A9" w:rsidRPr="00944B15" w14:paraId="2F708D40" w14:textId="77777777" w:rsidTr="002D6DD7">
        <w:trPr>
          <w:jc w:val="center"/>
        </w:trPr>
        <w:tc>
          <w:tcPr>
            <w:tcW w:w="2605" w:type="dxa"/>
            <w:hideMark/>
          </w:tcPr>
          <w:p w14:paraId="66AA2E0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29B56857"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color w:val="231F20"/>
                <w:szCs w:val="24"/>
                <w:lang w:eastAsia="zh-CN"/>
              </w:rPr>
              <w:t>Severe acute ulcerative colitis refractory to corticosteroid treatment, severe active rheumatoid arthritis, short-term treatment of severe atopic dermatitis where conventional therapy ineffective or inappropriate, severe psoriasis where conventional therapy ineffective or inappropriate, organ transplantation, bone-marrow transplantation or prevention and treatment of graft-versus-host disease, nephrotic syndrome</w:t>
            </w:r>
          </w:p>
        </w:tc>
      </w:tr>
      <w:tr w:rsidR="005409A9" w:rsidRPr="00944B15" w14:paraId="74EC5D9F" w14:textId="77777777" w:rsidTr="002D6DD7">
        <w:trPr>
          <w:jc w:val="center"/>
        </w:trPr>
        <w:tc>
          <w:tcPr>
            <w:tcW w:w="2605" w:type="dxa"/>
            <w:hideMark/>
          </w:tcPr>
          <w:p w14:paraId="0BE79A3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Dose and administration</w:t>
            </w:r>
          </w:p>
        </w:tc>
        <w:tc>
          <w:tcPr>
            <w:tcW w:w="6745" w:type="dxa"/>
            <w:gridSpan w:val="2"/>
            <w:hideMark/>
          </w:tcPr>
          <w:p w14:paraId="4F13A172"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sidRPr="00944B15">
              <w:rPr>
                <w:rFonts w:eastAsia="Times New Roman" w:cs="Times New Roman"/>
                <w:b/>
                <w:color w:val="231F20"/>
                <w:szCs w:val="24"/>
                <w:lang w:eastAsia="zh-CN"/>
              </w:rPr>
              <w:t>Severe acute ulcerative colitis refractory to corticosteroid</w:t>
            </w:r>
            <w:r>
              <w:rPr>
                <w:rFonts w:eastAsia="Times New Roman" w:cs="Times New Roman"/>
                <w:b/>
                <w:color w:val="231F20"/>
                <w:szCs w:val="24"/>
                <w:lang w:eastAsia="zh-CN"/>
              </w:rPr>
              <w:t xml:space="preserve"> t</w:t>
            </w:r>
            <w:r w:rsidRPr="00944B15">
              <w:rPr>
                <w:rFonts w:eastAsia="Times New Roman" w:cs="Times New Roman"/>
                <w:b/>
                <w:color w:val="231F20"/>
                <w:szCs w:val="24"/>
                <w:lang w:eastAsia="zh-CN"/>
              </w:rPr>
              <w:t>reatment</w:t>
            </w:r>
            <w:r>
              <w:rPr>
                <w:rFonts w:eastAsia="Times New Roman" w:cs="Times New Roman"/>
                <w:b/>
                <w:color w:val="231F20"/>
                <w:szCs w:val="24"/>
                <w:lang w:eastAsia="zh-CN"/>
              </w:rPr>
              <w:t>:</w:t>
            </w:r>
          </w:p>
          <w:p w14:paraId="3F25631D"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color w:val="231F20"/>
                <w:szCs w:val="24"/>
                <w:lang w:eastAsia="zh-CN"/>
              </w:rPr>
              <w:t>By continuous IV infusion</w:t>
            </w:r>
          </w:p>
          <w:p w14:paraId="18581B11"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2 mg/kg, to be given over 24 hours, dose adjusted according to blood-cyclosporine concentration and response</w:t>
            </w:r>
          </w:p>
          <w:p w14:paraId="07131240"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sidRPr="00944B15">
              <w:rPr>
                <w:rFonts w:eastAsia="Times New Roman" w:cs="Times New Roman"/>
                <w:b/>
                <w:color w:val="231F20"/>
                <w:szCs w:val="24"/>
                <w:lang w:eastAsia="zh-CN"/>
              </w:rPr>
              <w:t>Severe active rheumatoid arthritis</w:t>
            </w:r>
            <w:r>
              <w:rPr>
                <w:rFonts w:eastAsia="Times New Roman" w:cs="Times New Roman"/>
                <w:b/>
                <w:color w:val="231F20"/>
                <w:szCs w:val="24"/>
                <w:lang w:eastAsia="zh-CN"/>
              </w:rPr>
              <w:t>: oral</w:t>
            </w:r>
            <w:r w:rsidRPr="00944B15">
              <w:rPr>
                <w:rFonts w:eastAsia="Times New Roman" w:cs="Times New Roman"/>
                <w:b/>
                <w:color w:val="231F20"/>
                <w:szCs w:val="24"/>
                <w:lang w:eastAsia="zh-CN"/>
              </w:rPr>
              <w:t xml:space="preserve"> </w:t>
            </w:r>
          </w:p>
          <w:p w14:paraId="01AFE823"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Pr>
                <w:rFonts w:eastAsia="Times New Roman" w:cs="Times New Roman"/>
                <w:color w:val="231F20"/>
                <w:szCs w:val="24"/>
                <w:lang w:eastAsia="zh-CN"/>
              </w:rPr>
              <w:t>: i</w:t>
            </w:r>
            <w:r w:rsidRPr="00944B15">
              <w:rPr>
                <w:rFonts w:eastAsia="Times New Roman" w:cs="Times New Roman"/>
                <w:color w:val="231F20"/>
                <w:szCs w:val="24"/>
                <w:lang w:eastAsia="zh-CN"/>
              </w:rPr>
              <w:t>nitially 1.5 mg/kg twice daily, increased if necessary, up to 2.5 mg/kg twice daily after 6 weeks, dose increases should be made gradually, for maintenance treatment, titrate dose individually to the lowest effective dose according to tolerability, treatment may be required for up to 12 weeks</w:t>
            </w:r>
          </w:p>
          <w:p w14:paraId="546933BF"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sidRPr="00944B15">
              <w:rPr>
                <w:rFonts w:eastAsia="Times New Roman" w:cs="Times New Roman"/>
                <w:b/>
                <w:color w:val="231F20"/>
                <w:szCs w:val="24"/>
                <w:lang w:eastAsia="zh-CN"/>
              </w:rPr>
              <w:t>Severe active rheumatoid arthritis [in combination with low-dose methotrexate, when methotrexate monotherapy has been ineffective]</w:t>
            </w:r>
            <w:r>
              <w:rPr>
                <w:rFonts w:eastAsia="Times New Roman" w:cs="Times New Roman"/>
                <w:b/>
                <w:color w:val="231F20"/>
                <w:szCs w:val="24"/>
                <w:lang w:eastAsia="zh-CN"/>
              </w:rPr>
              <w:t>: oral</w:t>
            </w:r>
            <w:r w:rsidRPr="00944B15">
              <w:rPr>
                <w:rFonts w:eastAsia="Times New Roman" w:cs="Times New Roman"/>
                <w:b/>
                <w:color w:val="231F20"/>
                <w:szCs w:val="24"/>
                <w:lang w:eastAsia="zh-CN"/>
              </w:rPr>
              <w:t xml:space="preserve"> </w:t>
            </w:r>
          </w:p>
          <w:p w14:paraId="62F30698"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Initially 1.25 mg/kg twice daily, increased, if necessary, up to 2.5 mg/kg twice daily after 6 weeks, dose increases should be made gradually, for maintenance treatment, titrate dose individually to the</w:t>
            </w:r>
          </w:p>
          <w:p w14:paraId="2050EEC1"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color w:val="231F20"/>
                <w:szCs w:val="24"/>
                <w:lang w:eastAsia="zh-CN"/>
              </w:rPr>
              <w:t>lowest effective dose according to tolerability, treatment may be required for up to 12 weeks</w:t>
            </w:r>
          </w:p>
          <w:p w14:paraId="5BE42D6A"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sidRPr="00944B15">
              <w:rPr>
                <w:rFonts w:eastAsia="Times New Roman" w:cs="Times New Roman"/>
                <w:b/>
                <w:color w:val="231F20"/>
                <w:szCs w:val="24"/>
                <w:lang w:eastAsia="zh-CN"/>
              </w:rPr>
              <w:t>Short-term treatment of severe atopic dermatitis where conventional therapy ineffective or inappropriate</w:t>
            </w:r>
            <w:r>
              <w:rPr>
                <w:rFonts w:eastAsia="Times New Roman" w:cs="Times New Roman"/>
                <w:b/>
                <w:color w:val="231F20"/>
                <w:szCs w:val="24"/>
                <w:lang w:eastAsia="zh-CN"/>
              </w:rPr>
              <w:t>: oral</w:t>
            </w:r>
          </w:p>
          <w:p w14:paraId="5BAF2A66"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Initially 1.25 mg/kg twice daily (max. per dose 2.5 mg/kg twice daily) usual maximum duration of 8 weeks but may be used for longer under specialist supervision, if good initial response not achieved</w:t>
            </w:r>
          </w:p>
          <w:p w14:paraId="69FA84A9"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color w:val="231F20"/>
                <w:szCs w:val="24"/>
                <w:lang w:eastAsia="zh-CN"/>
              </w:rPr>
              <w:t>within 2 weeks, increase dose rapidly up to maximum</w:t>
            </w:r>
          </w:p>
          <w:p w14:paraId="4AC04007"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sidRPr="00944B15">
              <w:rPr>
                <w:rFonts w:eastAsia="Times New Roman" w:cs="Times New Roman"/>
                <w:b/>
                <w:color w:val="231F20"/>
                <w:szCs w:val="24"/>
                <w:lang w:eastAsia="zh-CN"/>
              </w:rPr>
              <w:t>Short-term treatment of very severe atopic dermatitis where conventional therapy ineffective or inappropriate</w:t>
            </w:r>
            <w:r>
              <w:rPr>
                <w:rFonts w:eastAsia="Times New Roman" w:cs="Times New Roman"/>
                <w:b/>
                <w:color w:val="231F20"/>
                <w:szCs w:val="24"/>
                <w:lang w:eastAsia="zh-CN"/>
              </w:rPr>
              <w:t xml:space="preserve">: oral </w:t>
            </w:r>
          </w:p>
          <w:p w14:paraId="4C653751"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2.5 mg/kg twice daily usual maximum duration of 8 weeks but may be used for longer under specialist supervision</w:t>
            </w:r>
          </w:p>
          <w:p w14:paraId="6207F20B" w14:textId="77777777" w:rsidR="005409A9" w:rsidRPr="00CD494D"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lastRenderedPageBreak/>
              <w:t>Severe psoriasis where conventional thera</w:t>
            </w:r>
            <w:r>
              <w:rPr>
                <w:rFonts w:eastAsia="Times New Roman" w:cs="Times New Roman"/>
                <w:b/>
                <w:color w:val="231F20"/>
                <w:szCs w:val="24"/>
                <w:lang w:eastAsia="zh-CN"/>
              </w:rPr>
              <w:t>py ineffective or inappropriate</w:t>
            </w:r>
            <w:r w:rsidR="00CD494D">
              <w:rPr>
                <w:rFonts w:eastAsia="Times New Roman" w:cs="Times New Roman"/>
                <w:b/>
                <w:color w:val="231F20"/>
                <w:szCs w:val="24"/>
                <w:lang w:eastAsia="zh-CN"/>
              </w:rPr>
              <w:t xml:space="preserve">, </w:t>
            </w:r>
            <w:r w:rsidRPr="00CD494D">
              <w:rPr>
                <w:rFonts w:eastAsia="Times New Roman" w:cs="Times New Roman"/>
                <w:color w:val="231F20"/>
                <w:szCs w:val="24"/>
                <w:lang w:eastAsia="zh-CN"/>
              </w:rPr>
              <w:t>oral</w:t>
            </w:r>
            <w:r w:rsidR="00CD494D">
              <w:rPr>
                <w:rFonts w:eastAsia="Times New Roman" w:cs="Times New Roman"/>
                <w:color w:val="231F20"/>
                <w:szCs w:val="24"/>
                <w:lang w:eastAsia="zh-CN"/>
              </w:rPr>
              <w:t>:</w:t>
            </w:r>
          </w:p>
          <w:p w14:paraId="65DD851B"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xml:space="preserve">: Initially 1.25 mg/kg twice daily (max. per dose 2.5 mg/kg twice daily), increased gradually to maximum if no improvement within </w:t>
            </w:r>
            <w:r w:rsidR="00D06F64">
              <w:rPr>
                <w:rFonts w:eastAsia="Times New Roman" w:cs="Times New Roman"/>
                <w:color w:val="231F20"/>
                <w:szCs w:val="24"/>
                <w:lang w:eastAsia="zh-CN"/>
              </w:rPr>
              <w:t>1-month</w:t>
            </w:r>
            <w:r w:rsidRPr="00944B15">
              <w:rPr>
                <w:rFonts w:eastAsia="Times New Roman" w:cs="Times New Roman"/>
                <w:color w:val="231F20"/>
                <w:szCs w:val="24"/>
                <w:lang w:eastAsia="zh-CN"/>
              </w:rPr>
              <w:t>, initial dose of 2.5 mg/kg twice daily justified if condition requires rapid improvement; discontinue if inadequate response after 3 months at the optimum dose; max. duration of treatment usually 1 year unless other</w:t>
            </w:r>
            <w:r w:rsidR="00D06F64">
              <w:rPr>
                <w:rFonts w:eastAsia="Times New Roman" w:cs="Times New Roman"/>
                <w:color w:val="231F20"/>
                <w:szCs w:val="24"/>
                <w:lang w:eastAsia="zh-CN"/>
              </w:rPr>
              <w:t xml:space="preserve"> </w:t>
            </w:r>
            <w:r w:rsidRPr="00944B15">
              <w:rPr>
                <w:rFonts w:eastAsia="Times New Roman" w:cs="Times New Roman"/>
                <w:color w:val="231F20"/>
                <w:szCs w:val="24"/>
                <w:lang w:eastAsia="zh-CN"/>
              </w:rPr>
              <w:t>treatments cannot be used</w:t>
            </w:r>
            <w:r w:rsidR="00D06F64">
              <w:rPr>
                <w:rFonts w:eastAsia="Times New Roman" w:cs="Times New Roman"/>
                <w:color w:val="231F20"/>
                <w:szCs w:val="24"/>
                <w:lang w:eastAsia="zh-CN"/>
              </w:rPr>
              <w:t>.</w:t>
            </w:r>
          </w:p>
          <w:p w14:paraId="7E485956"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Organ transplantation</w:t>
            </w:r>
            <w:r w:rsidRPr="00944B15">
              <w:rPr>
                <w:rFonts w:eastAsia="Times New Roman" w:cs="Times New Roman"/>
                <w:color w:val="231F20"/>
                <w:szCs w:val="24"/>
                <w:lang w:eastAsia="zh-CN"/>
              </w:rPr>
              <w:t>:</w:t>
            </w:r>
            <w:r>
              <w:rPr>
                <w:rFonts w:eastAsia="Times New Roman" w:cs="Times New Roman"/>
                <w:color w:val="231F20"/>
                <w:szCs w:val="24"/>
                <w:lang w:eastAsia="zh-CN"/>
              </w:rPr>
              <w:t xml:space="preserve"> oral </w:t>
            </w:r>
          </w:p>
          <w:p w14:paraId="38983419"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xml:space="preserve"> 10–15 mg/kg, to be administered 4–12 hours before transplantation, followed by 10–15 mg/kg daily for 1–2 weeks postoperatively, then maintenance 2–6 mg/kg daily, reduce dose gradually to maintenance. </w:t>
            </w:r>
          </w:p>
          <w:p w14:paraId="421386A9" w14:textId="77777777" w:rsidR="005409A9" w:rsidRPr="00944B15" w:rsidRDefault="005409A9" w:rsidP="002D6DD7">
            <w:pPr>
              <w:autoSpaceDE w:val="0"/>
              <w:autoSpaceDN w:val="0"/>
              <w:adjustRightInd w:val="0"/>
              <w:jc w:val="both"/>
              <w:rPr>
                <w:rFonts w:eastAsia="Times New Roman" w:cs="Times New Roman"/>
                <w:b/>
                <w:color w:val="231F20"/>
                <w:szCs w:val="24"/>
                <w:lang w:eastAsia="zh-CN"/>
              </w:rPr>
            </w:pPr>
            <w:r>
              <w:rPr>
                <w:rFonts w:eastAsia="Times New Roman" w:cs="Times New Roman"/>
                <w:b/>
                <w:color w:val="231F20"/>
                <w:szCs w:val="24"/>
                <w:lang w:eastAsia="zh-CN"/>
              </w:rPr>
              <w:t>Bone-marrow transplantation or p</w:t>
            </w:r>
            <w:r w:rsidRPr="00944B15">
              <w:rPr>
                <w:rFonts w:eastAsia="Times New Roman" w:cs="Times New Roman"/>
                <w:b/>
                <w:color w:val="231F20"/>
                <w:szCs w:val="24"/>
                <w:lang w:eastAsia="zh-CN"/>
              </w:rPr>
              <w:t>revention and treatment</w:t>
            </w:r>
          </w:p>
          <w:p w14:paraId="0221EA99" w14:textId="77777777" w:rsidR="005409A9" w:rsidRPr="00CD494D"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of graft-versus-host disease; initially by intravenous infusion</w:t>
            </w:r>
            <w:r w:rsidR="00CD494D">
              <w:rPr>
                <w:rFonts w:eastAsia="Times New Roman" w:cs="Times New Roman"/>
                <w:b/>
                <w:color w:val="231F20"/>
                <w:szCs w:val="24"/>
                <w:lang w:eastAsia="zh-CN"/>
              </w:rPr>
              <w:t>,</w:t>
            </w:r>
            <w:r>
              <w:rPr>
                <w:rFonts w:eastAsia="Times New Roman" w:cs="Times New Roman"/>
                <w:b/>
                <w:color w:val="231F20"/>
                <w:szCs w:val="24"/>
                <w:lang w:eastAsia="zh-CN"/>
              </w:rPr>
              <w:t xml:space="preserve"> </w:t>
            </w:r>
            <w:r w:rsidRPr="00CD494D">
              <w:rPr>
                <w:rFonts w:eastAsia="Times New Roman" w:cs="Times New Roman"/>
                <w:color w:val="231F20"/>
                <w:szCs w:val="24"/>
                <w:lang w:eastAsia="zh-CN"/>
              </w:rPr>
              <w:t>IV infusion</w:t>
            </w:r>
            <w:r w:rsidR="00CD494D">
              <w:rPr>
                <w:rFonts w:eastAsia="Times New Roman" w:cs="Times New Roman"/>
                <w:color w:val="231F20"/>
                <w:szCs w:val="24"/>
                <w:lang w:eastAsia="zh-CN"/>
              </w:rPr>
              <w:t>:</w:t>
            </w:r>
          </w:p>
          <w:p w14:paraId="6A31A3F4"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xml:space="preserve">: 3–5 mg/kg daily, to be administered over 2–6 hours from day before transplantation to 2 weeks postoperatively, alternatively (by </w:t>
            </w:r>
            <w:r>
              <w:rPr>
                <w:rFonts w:eastAsia="Times New Roman" w:cs="Times New Roman"/>
                <w:color w:val="231F20"/>
                <w:szCs w:val="24"/>
                <w:lang w:eastAsia="zh-CN"/>
              </w:rPr>
              <w:t>oral</w:t>
            </w:r>
            <w:r w:rsidRPr="00944B15">
              <w:rPr>
                <w:rFonts w:eastAsia="Times New Roman" w:cs="Times New Roman"/>
                <w:color w:val="231F20"/>
                <w:szCs w:val="24"/>
                <w:lang w:eastAsia="zh-CN"/>
              </w:rPr>
              <w:t xml:space="preserve">) initially 12.5–15 mg/kg daily, then (by </w:t>
            </w:r>
            <w:r>
              <w:rPr>
                <w:rFonts w:eastAsia="Times New Roman" w:cs="Times New Roman"/>
                <w:color w:val="231F20"/>
                <w:szCs w:val="24"/>
                <w:lang w:eastAsia="zh-CN"/>
              </w:rPr>
              <w:t>oral</w:t>
            </w:r>
            <w:r w:rsidRPr="00944B15">
              <w:rPr>
                <w:rFonts w:eastAsia="Times New Roman" w:cs="Times New Roman"/>
                <w:color w:val="231F20"/>
                <w:szCs w:val="24"/>
                <w:lang w:eastAsia="zh-CN"/>
              </w:rPr>
              <w:t>) 12.5 mg/kg daily for 3-6 months and then tailed off (may take up to a year after transplantation)</w:t>
            </w:r>
          </w:p>
          <w:p w14:paraId="0D6BC693" w14:textId="77777777" w:rsidR="005409A9" w:rsidRPr="00D06F64" w:rsidRDefault="005409A9" w:rsidP="002D6DD7">
            <w:pPr>
              <w:autoSpaceDE w:val="0"/>
              <w:autoSpaceDN w:val="0"/>
              <w:adjustRightInd w:val="0"/>
              <w:jc w:val="both"/>
              <w:rPr>
                <w:rFonts w:eastAsia="Times New Roman" w:cs="Times New Roman"/>
                <w:color w:val="231F20"/>
                <w:szCs w:val="24"/>
                <w:lang w:eastAsia="zh-CN"/>
              </w:rPr>
            </w:pPr>
            <w:r w:rsidRPr="00944B15">
              <w:rPr>
                <w:rFonts w:eastAsia="Times New Roman" w:cs="Times New Roman"/>
                <w:b/>
                <w:color w:val="231F20"/>
                <w:szCs w:val="24"/>
                <w:lang w:eastAsia="zh-CN"/>
              </w:rPr>
              <w:t>Nephrotic syndrome</w:t>
            </w:r>
            <w:r w:rsidR="00CD494D">
              <w:rPr>
                <w:rFonts w:eastAsia="Times New Roman" w:cs="Times New Roman"/>
                <w:b/>
                <w:color w:val="231F20"/>
                <w:szCs w:val="24"/>
                <w:lang w:eastAsia="zh-CN"/>
              </w:rPr>
              <w:t xml:space="preserve">, </w:t>
            </w:r>
            <w:r w:rsidRPr="00D06F64">
              <w:rPr>
                <w:rFonts w:eastAsia="Times New Roman" w:cs="Times New Roman"/>
                <w:color w:val="231F20"/>
                <w:szCs w:val="24"/>
                <w:lang w:eastAsia="zh-CN"/>
              </w:rPr>
              <w:t>oral</w:t>
            </w:r>
            <w:r w:rsidR="00CD494D">
              <w:rPr>
                <w:rFonts w:eastAsia="Times New Roman" w:cs="Times New Roman"/>
                <w:color w:val="231F20"/>
                <w:szCs w:val="24"/>
                <w:lang w:eastAsia="zh-CN"/>
              </w:rPr>
              <w:t>:</w:t>
            </w:r>
          </w:p>
          <w:p w14:paraId="7AADB457" w14:textId="77777777" w:rsidR="005409A9" w:rsidRPr="00944B15" w:rsidRDefault="005409A9" w:rsidP="002D6DD7">
            <w:pPr>
              <w:autoSpaceDE w:val="0"/>
              <w:autoSpaceDN w:val="0"/>
              <w:adjustRightInd w:val="0"/>
              <w:jc w:val="both"/>
              <w:rPr>
                <w:rFonts w:eastAsia="Times New Roman" w:cs="Times New Roman"/>
                <w:color w:val="231F20"/>
                <w:szCs w:val="24"/>
                <w:lang w:eastAsia="zh-CN"/>
              </w:rPr>
            </w:pPr>
            <w:r w:rsidRPr="00944B15">
              <w:rPr>
                <w:rFonts w:eastAsia="AdvTT0e40dc65+25" w:cs="Times New Roman"/>
                <w:color w:val="000000"/>
                <w:szCs w:val="24"/>
                <w:lang w:eastAsia="zh-CN"/>
              </w:rPr>
              <w:t xml:space="preserve"> </w:t>
            </w:r>
            <w:r w:rsidRPr="00944B15">
              <w:rPr>
                <w:rFonts w:eastAsia="Times New Roman" w:cs="Times New Roman"/>
                <w:b/>
                <w:color w:val="231F20"/>
                <w:szCs w:val="24"/>
                <w:lang w:eastAsia="zh-CN"/>
              </w:rPr>
              <w:t>Adult</w:t>
            </w:r>
            <w:r w:rsidRPr="00944B15">
              <w:rPr>
                <w:rFonts w:eastAsia="Times New Roman" w:cs="Times New Roman"/>
                <w:color w:val="231F20"/>
                <w:szCs w:val="24"/>
                <w:lang w:eastAsia="zh-CN"/>
              </w:rPr>
              <w:t>: 5 mg/kg daily in 2 divided doses, for maintenance reduce to lowest effective dose according to proteinuria and serum creatinine measurements; discontinue after 3 months if no improvement in glomerulonephritis or glomerulosclerosis (after 6 months in membranous glomerulonephritis)</w:t>
            </w:r>
          </w:p>
        </w:tc>
      </w:tr>
      <w:tr w:rsidR="005409A9" w:rsidRPr="00944B15" w14:paraId="3017B69C" w14:textId="77777777" w:rsidTr="002D6DD7">
        <w:trPr>
          <w:jc w:val="center"/>
        </w:trPr>
        <w:tc>
          <w:tcPr>
            <w:tcW w:w="2605" w:type="dxa"/>
            <w:hideMark/>
          </w:tcPr>
          <w:p w14:paraId="2AD08BE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hideMark/>
          </w:tcPr>
          <w:p w14:paraId="1D931EF7"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 m</w:t>
            </w:r>
            <w:r w:rsidRPr="00944B15">
              <w:rPr>
                <w:rFonts w:eastAsia="Times New Roman" w:cs="Times New Roman"/>
                <w:color w:val="000000"/>
                <w:szCs w:val="24"/>
              </w:rPr>
              <w:t>alignancy (in non-transplant indications), uncontrolled hypertension (in non-transplant indications)</w:t>
            </w:r>
            <w:r w:rsidR="00CD494D">
              <w:rPr>
                <w:rFonts w:eastAsia="Times New Roman" w:cs="Times New Roman"/>
                <w:color w:val="000000"/>
                <w:szCs w:val="24"/>
              </w:rPr>
              <w:t>,</w:t>
            </w:r>
            <w:r w:rsidRPr="00944B15">
              <w:rPr>
                <w:rFonts w:eastAsia="Times New Roman" w:cs="Times New Roman"/>
                <w:color w:val="000000"/>
                <w:szCs w:val="24"/>
              </w:rPr>
              <w:t xml:space="preserve"> uncontrolled infections (in non</w:t>
            </w:r>
            <w:r>
              <w:rPr>
                <w:rFonts w:eastAsia="Times New Roman" w:cs="Times New Roman"/>
                <w:color w:val="000000"/>
                <w:szCs w:val="24"/>
              </w:rPr>
              <w:t>-</w:t>
            </w:r>
            <w:r w:rsidRPr="00944B15">
              <w:rPr>
                <w:rFonts w:eastAsia="Times New Roman" w:cs="Times New Roman"/>
                <w:color w:val="000000"/>
                <w:szCs w:val="24"/>
              </w:rPr>
              <w:t>transplant indications)</w:t>
            </w:r>
            <w:r w:rsidR="00CD494D">
              <w:rPr>
                <w:rFonts w:eastAsia="Times New Roman" w:cs="Times New Roman"/>
                <w:color w:val="000000"/>
                <w:szCs w:val="24"/>
              </w:rPr>
              <w:t>.</w:t>
            </w:r>
          </w:p>
        </w:tc>
      </w:tr>
      <w:tr w:rsidR="005409A9" w:rsidRPr="00944B15" w14:paraId="2631EA60" w14:textId="77777777" w:rsidTr="002D6DD7">
        <w:trPr>
          <w:jc w:val="center"/>
        </w:trPr>
        <w:tc>
          <w:tcPr>
            <w:tcW w:w="2605" w:type="dxa"/>
            <w:hideMark/>
          </w:tcPr>
          <w:p w14:paraId="18C5401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hideMark/>
          </w:tcPr>
          <w:p w14:paraId="6238556C"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Acyclovir, allopurinol, amikacin, amiloride, amphotericin- B, </w:t>
            </w:r>
            <w:r w:rsidRPr="00944B15">
              <w:rPr>
                <w:rFonts w:eastAsia="Times New Roman" w:cs="Times New Roman"/>
                <w:color w:val="000000"/>
                <w:szCs w:val="24"/>
              </w:rPr>
              <w:lastRenderedPageBreak/>
              <w:t xml:space="preserve">azithromycin, carbamazepine, chloroquine, ciprofloxacin, oral contraceptives, digoxin, doxorubicin, doxycycline, enalapril, erythromycin, etoposide, fluconazole, gentamicin, grapefruit juice, griseofulvin, hydrochlorothiazide, ibuprofen, </w:t>
            </w:r>
            <w:r>
              <w:rPr>
                <w:rFonts w:eastAsia="Times New Roman" w:cs="Times New Roman"/>
                <w:color w:val="000000"/>
                <w:szCs w:val="24"/>
              </w:rPr>
              <w:t xml:space="preserve">levofloxacin,  levonorgestrel, medroxyprogesterone, </w:t>
            </w:r>
            <w:r w:rsidRPr="00944B15">
              <w:rPr>
                <w:rFonts w:eastAsia="Times New Roman" w:cs="Times New Roman"/>
                <w:color w:val="000000"/>
                <w:szCs w:val="24"/>
              </w:rPr>
              <w:t>methotrexat</w:t>
            </w:r>
            <w:r>
              <w:rPr>
                <w:rFonts w:eastAsia="Times New Roman" w:cs="Times New Roman"/>
                <w:color w:val="000000"/>
                <w:szCs w:val="24"/>
              </w:rPr>
              <w:t>e, metoclopramide, nelfinavir, n</w:t>
            </w:r>
            <w:r w:rsidRPr="00944B15">
              <w:rPr>
                <w:rFonts w:eastAsia="Times New Roman" w:cs="Times New Roman"/>
                <w:color w:val="000000"/>
                <w:szCs w:val="24"/>
              </w:rPr>
              <w:t>orethisterone,  ofloxacin,  phenobarbital,  phenytoin,  potassium salts, prednisolone, rifampicin, ritonavir, saquinavir, silver sulfadiazine, simvastatin, spironolactone, streptomycin,  sulfadiazine,  sulfadoxine + pyrimethamine,  sulfamethoxazole + trimethoprim,  trimethoprim,  live vaccines,  vancomycin,  verapamil</w:t>
            </w:r>
          </w:p>
        </w:tc>
      </w:tr>
      <w:tr w:rsidR="005409A9" w:rsidRPr="00944B15" w14:paraId="72DFE6C8" w14:textId="77777777" w:rsidTr="002D6DD7">
        <w:trPr>
          <w:jc w:val="center"/>
        </w:trPr>
        <w:tc>
          <w:tcPr>
            <w:tcW w:w="2605" w:type="dxa"/>
            <w:hideMark/>
          </w:tcPr>
          <w:p w14:paraId="63F92C0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gridSpan w:val="2"/>
            <w:hideMark/>
          </w:tcPr>
          <w:p w14:paraId="691C045A"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Decreased appetite, diarrhea, electrolyte imbalance, eye inflammation, fatigue, fever, flushing, gastrointestinal discomfort, gingival hyperplasia, hair changes, headaches, hepatic disorders, hyperglycaemia, hyperlipidemia, hypertension, hyperuricemia, leucopenia, muscle complaints, nausea, paresthesia, peptic </w:t>
            </w:r>
            <w:r>
              <w:rPr>
                <w:rFonts w:eastAsia="Times New Roman" w:cs="Times New Roman"/>
                <w:color w:val="000000"/>
                <w:szCs w:val="24"/>
              </w:rPr>
              <w:t xml:space="preserve">ulcer, renal impairment, </w:t>
            </w:r>
            <w:r w:rsidRPr="00944B15">
              <w:rPr>
                <w:rFonts w:eastAsia="Times New Roman" w:cs="Times New Roman"/>
                <w:color w:val="000000"/>
                <w:szCs w:val="24"/>
              </w:rPr>
              <w:t>seizure, skin reactions, tremor, anaemia, encephalopathy, edema, thrombocytopenia, weight increased</w:t>
            </w:r>
          </w:p>
        </w:tc>
      </w:tr>
      <w:tr w:rsidR="005409A9" w:rsidRPr="00944B15" w14:paraId="21173497" w14:textId="77777777" w:rsidTr="002D6DD7">
        <w:trPr>
          <w:jc w:val="center"/>
        </w:trPr>
        <w:tc>
          <w:tcPr>
            <w:tcW w:w="2605" w:type="dxa"/>
            <w:hideMark/>
          </w:tcPr>
          <w:p w14:paraId="12A56AB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hideMark/>
          </w:tcPr>
          <w:p w14:paraId="6EFAA84B" w14:textId="77777777" w:rsidR="005409A9" w:rsidRPr="00944B15" w:rsidRDefault="005409A9" w:rsidP="002D6DD7">
            <w:pPr>
              <w:autoSpaceDE w:val="0"/>
              <w:autoSpaceDN w:val="0"/>
              <w:adjustRightInd w:val="0"/>
              <w:jc w:val="both"/>
              <w:rPr>
                <w:rFonts w:eastAsia="Times New Roman" w:cs="Times New Roman"/>
                <w:color w:val="000000"/>
                <w:szCs w:val="24"/>
              </w:rPr>
            </w:pPr>
            <w:r>
              <w:rPr>
                <w:rFonts w:eastAsia="Times New Roman" w:cs="Times New Roman"/>
                <w:color w:val="000000"/>
                <w:szCs w:val="24"/>
              </w:rPr>
              <w:t xml:space="preserve">Renal impairment, </w:t>
            </w:r>
            <w:r w:rsidRPr="00944B15">
              <w:rPr>
                <w:rFonts w:eastAsia="Times New Roman" w:cs="Times New Roman"/>
                <w:color w:val="000000"/>
                <w:szCs w:val="24"/>
              </w:rPr>
              <w:t xml:space="preserve">hepatic impairment, </w:t>
            </w:r>
            <w:r>
              <w:rPr>
                <w:rFonts w:eastAsia="Times New Roman" w:cs="Times New Roman"/>
                <w:color w:val="000000"/>
                <w:szCs w:val="24"/>
              </w:rPr>
              <w:t>hypertension</w:t>
            </w:r>
            <w:r w:rsidRPr="00944B15">
              <w:rPr>
                <w:rFonts w:eastAsia="Times New Roman" w:cs="Times New Roman"/>
                <w:color w:val="000000"/>
                <w:szCs w:val="24"/>
              </w:rPr>
              <w:t>, monitor serum electrolyte (potassiu</w:t>
            </w:r>
            <w:r>
              <w:rPr>
                <w:rFonts w:eastAsia="Times New Roman" w:cs="Times New Roman"/>
                <w:color w:val="000000"/>
                <w:szCs w:val="24"/>
              </w:rPr>
              <w:t>m, magnesium, calcium), elderly</w:t>
            </w:r>
            <w:r w:rsidRPr="00944B15">
              <w:rPr>
                <w:rFonts w:eastAsia="Times New Roman" w:cs="Times New Roman"/>
                <w:color w:val="000000"/>
                <w:szCs w:val="24"/>
              </w:rPr>
              <w:t>, active herpes simplex infections, skin infecti</w:t>
            </w:r>
            <w:r>
              <w:rPr>
                <w:rFonts w:eastAsia="Times New Roman" w:cs="Times New Roman"/>
                <w:color w:val="000000"/>
                <w:szCs w:val="24"/>
              </w:rPr>
              <w:t xml:space="preserve">ons, uveitis, bechet’s syndrome, </w:t>
            </w:r>
            <w:r w:rsidRPr="00944B15">
              <w:rPr>
                <w:rFonts w:eastAsia="Times New Roman" w:cs="Times New Roman"/>
                <w:color w:val="000000"/>
                <w:szCs w:val="24"/>
              </w:rPr>
              <w:t>lymp</w:t>
            </w:r>
            <w:r>
              <w:rPr>
                <w:rFonts w:eastAsia="Times New Roman" w:cs="Times New Roman"/>
                <w:color w:val="000000"/>
                <w:szCs w:val="24"/>
              </w:rPr>
              <w:t xml:space="preserve">hoproliferative disorders, </w:t>
            </w:r>
            <w:r w:rsidRPr="00944B15">
              <w:rPr>
                <w:rFonts w:eastAsia="Times New Roman" w:cs="Times New Roman"/>
                <w:color w:val="000000"/>
                <w:szCs w:val="24"/>
              </w:rPr>
              <w:t>malignancy</w:t>
            </w:r>
            <w:r>
              <w:rPr>
                <w:rFonts w:eastAsia="Times New Roman" w:cs="Times New Roman"/>
                <w:color w:val="000000"/>
                <w:szCs w:val="24"/>
              </w:rPr>
              <w:t>, breastfeeding, pregnancy</w:t>
            </w:r>
          </w:p>
        </w:tc>
      </w:tr>
      <w:tr w:rsidR="005409A9" w:rsidRPr="00944B15" w14:paraId="4226C501" w14:textId="77777777" w:rsidTr="002D6DD7">
        <w:trPr>
          <w:jc w:val="center"/>
        </w:trPr>
        <w:tc>
          <w:tcPr>
            <w:tcW w:w="2605" w:type="dxa"/>
            <w:hideMark/>
          </w:tcPr>
          <w:p w14:paraId="12495BB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hideMark/>
          </w:tcPr>
          <w:p w14:paraId="234FA98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below 30</w:t>
            </w:r>
            <w:r w:rsidRPr="00944B15">
              <w:rPr>
                <w:rFonts w:eastAsia="Times New Roman" w:cs="Times New Roman"/>
                <w:color w:val="000000"/>
                <w:szCs w:val="24"/>
                <w:vertAlign w:val="superscript"/>
              </w:rPr>
              <w:t>o</w:t>
            </w:r>
            <w:r>
              <w:rPr>
                <w:rFonts w:eastAsia="Times New Roman" w:cs="Times New Roman"/>
                <w:color w:val="000000"/>
                <w:szCs w:val="24"/>
              </w:rPr>
              <w:t>c.</w:t>
            </w:r>
          </w:p>
        </w:tc>
      </w:tr>
      <w:tr w:rsidR="005409A9" w:rsidRPr="00944B15" w14:paraId="69729542" w14:textId="77777777" w:rsidTr="002D6DD7">
        <w:trPr>
          <w:jc w:val="center"/>
        </w:trPr>
        <w:tc>
          <w:tcPr>
            <w:tcW w:w="9350" w:type="dxa"/>
            <w:gridSpan w:val="3"/>
            <w:hideMark/>
          </w:tcPr>
          <w:p w14:paraId="64609CF7"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 xml:space="preserve">Etanercept </w:t>
            </w:r>
          </w:p>
        </w:tc>
      </w:tr>
      <w:tr w:rsidR="005409A9" w:rsidRPr="00944B15" w14:paraId="1EBADB29" w14:textId="77777777" w:rsidTr="002D6DD7">
        <w:trPr>
          <w:jc w:val="center"/>
        </w:trPr>
        <w:tc>
          <w:tcPr>
            <w:tcW w:w="2605" w:type="dxa"/>
            <w:hideMark/>
          </w:tcPr>
          <w:p w14:paraId="6BD4E38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tcPr>
          <w:p w14:paraId="6129E17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Imm</w:t>
            </w:r>
            <w:r>
              <w:rPr>
                <w:rFonts w:eastAsia="Times New Roman" w:cs="Times New Roman"/>
                <w:color w:val="000000"/>
                <w:szCs w:val="24"/>
              </w:rPr>
              <w:t>unosuppressant, tumor necrosis factor (TNF) i</w:t>
            </w:r>
            <w:r w:rsidRPr="00944B15">
              <w:rPr>
                <w:rFonts w:eastAsia="Times New Roman" w:cs="Times New Roman"/>
                <w:color w:val="000000"/>
                <w:szCs w:val="24"/>
              </w:rPr>
              <w:t>nhibitor</w:t>
            </w:r>
          </w:p>
        </w:tc>
      </w:tr>
      <w:tr w:rsidR="005409A9" w:rsidRPr="00944B15" w14:paraId="5C947FCD" w14:textId="77777777" w:rsidTr="002D6DD7">
        <w:trPr>
          <w:jc w:val="center"/>
        </w:trPr>
        <w:tc>
          <w:tcPr>
            <w:tcW w:w="2605" w:type="dxa"/>
            <w:hideMark/>
          </w:tcPr>
          <w:p w14:paraId="01767A5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tcPr>
          <w:p w14:paraId="393FB877" w14:textId="77777777" w:rsidR="005409A9" w:rsidRPr="00944B15" w:rsidRDefault="005409A9" w:rsidP="002D6DD7">
            <w:pPr>
              <w:jc w:val="both"/>
              <w:rPr>
                <w:rFonts w:eastAsia="Times New Roman" w:cs="Times New Roman"/>
                <w:szCs w:val="24"/>
              </w:rPr>
            </w:pPr>
            <w:r w:rsidRPr="00944B15">
              <w:rPr>
                <w:rFonts w:eastAsia="Times New Roman" w:cs="Times New Roman"/>
                <w:szCs w:val="24"/>
              </w:rPr>
              <w:t xml:space="preserve">Injectable solution </w:t>
            </w:r>
          </w:p>
        </w:tc>
      </w:tr>
      <w:tr w:rsidR="005409A9" w:rsidRPr="00944B15" w14:paraId="029AD48F" w14:textId="77777777" w:rsidTr="002D6DD7">
        <w:trPr>
          <w:jc w:val="center"/>
        </w:trPr>
        <w:tc>
          <w:tcPr>
            <w:tcW w:w="2605" w:type="dxa"/>
            <w:hideMark/>
          </w:tcPr>
          <w:p w14:paraId="47F7C73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tcPr>
          <w:p w14:paraId="07A290D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Moderate to severe active rheumatoid arthritis, active and progressive psoriatic arthritis, severe active ankylosing spondylitis, inflammatory bowel diseases, plaque psoriasis,</w:t>
            </w:r>
            <w:r>
              <w:rPr>
                <w:rFonts w:eastAsia="Times New Roman" w:cs="Times New Roman"/>
                <w:color w:val="000000"/>
                <w:szCs w:val="24"/>
              </w:rPr>
              <w:t xml:space="preserve"> uveitis and ulcerative colitis</w:t>
            </w:r>
          </w:p>
        </w:tc>
      </w:tr>
      <w:tr w:rsidR="005409A9" w:rsidRPr="00944B15" w14:paraId="5B3D46EA" w14:textId="77777777" w:rsidTr="002D6DD7">
        <w:trPr>
          <w:jc w:val="center"/>
        </w:trPr>
        <w:tc>
          <w:tcPr>
            <w:tcW w:w="2605" w:type="dxa"/>
            <w:hideMark/>
          </w:tcPr>
          <w:p w14:paraId="08D926A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Dose and administration</w:t>
            </w:r>
          </w:p>
        </w:tc>
        <w:tc>
          <w:tcPr>
            <w:tcW w:w="6745" w:type="dxa"/>
            <w:gridSpan w:val="2"/>
          </w:tcPr>
          <w:p w14:paraId="0DAB9635" w14:textId="77777777" w:rsidR="005409A9" w:rsidRPr="00B111B4" w:rsidRDefault="005409A9" w:rsidP="002D6DD7">
            <w:pPr>
              <w:autoSpaceDE w:val="0"/>
              <w:autoSpaceDN w:val="0"/>
              <w:adjustRightInd w:val="0"/>
              <w:jc w:val="both"/>
              <w:rPr>
                <w:rFonts w:eastAsia="Calibri" w:cs="Times New Roman"/>
                <w:b/>
                <w:color w:val="000000"/>
                <w:szCs w:val="24"/>
              </w:rPr>
            </w:pPr>
            <w:r w:rsidRPr="00B111B4">
              <w:rPr>
                <w:rFonts w:eastAsia="Calibri" w:cs="Times New Roman"/>
                <w:b/>
                <w:color w:val="000000"/>
                <w:szCs w:val="24"/>
              </w:rPr>
              <w:t>Rheumatoid arthritis, psoriatic arthritis, ankylosing spondylitis, non-radiographic axial spondyloarthritis</w:t>
            </w:r>
            <w:r>
              <w:rPr>
                <w:rFonts w:eastAsia="Calibri" w:cs="Times New Roman"/>
                <w:b/>
                <w:color w:val="000000"/>
                <w:szCs w:val="24"/>
              </w:rPr>
              <w:t>:</w:t>
            </w:r>
          </w:p>
          <w:p w14:paraId="0AAE1DB4" w14:textId="77777777" w:rsidR="005409A9" w:rsidRPr="00944B15"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sidRPr="00944B15">
              <w:rPr>
                <w:rFonts w:eastAsia="Calibri" w:cs="Times New Roman"/>
                <w:color w:val="000000"/>
                <w:szCs w:val="24"/>
              </w:rPr>
              <w:t>: 25 mg subcutaneously twice weekly, alternatively 50 mg once weekly, review treatment if no response within 12 weeks of initial dose</w:t>
            </w:r>
          </w:p>
          <w:p w14:paraId="54B63E4B" w14:textId="77777777" w:rsidR="005409A9" w:rsidRPr="00944B15" w:rsidRDefault="005409A9" w:rsidP="002D6DD7">
            <w:pPr>
              <w:autoSpaceDE w:val="0"/>
              <w:autoSpaceDN w:val="0"/>
              <w:adjustRightInd w:val="0"/>
              <w:jc w:val="both"/>
              <w:rPr>
                <w:rFonts w:eastAsia="Calibri" w:cs="Times New Roman"/>
                <w:b/>
                <w:color w:val="000000"/>
                <w:szCs w:val="24"/>
              </w:rPr>
            </w:pPr>
            <w:r>
              <w:rPr>
                <w:rFonts w:eastAsia="Calibri" w:cs="Times New Roman"/>
                <w:b/>
                <w:color w:val="000000"/>
                <w:szCs w:val="24"/>
              </w:rPr>
              <w:t>Plaque psoriasis:</w:t>
            </w:r>
          </w:p>
          <w:p w14:paraId="6E80B8C5" w14:textId="77777777" w:rsidR="005409A9" w:rsidRPr="00944B15"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Adult</w:t>
            </w:r>
            <w:r w:rsidRPr="00944B15">
              <w:rPr>
                <w:rFonts w:eastAsia="Calibri" w:cs="Times New Roman"/>
                <w:color w:val="000000"/>
                <w:szCs w:val="24"/>
              </w:rPr>
              <w:t>: 25 mg subcutaneously twice weekly, alternatively 50 mg once weekly, alternatively 50 mg twice weekly for up to 12 weeks, followed by 25 mg twice weekly, alternatively 50 mg once weekly if required for up to 24 weeks— continuous therapy beyond 24 weeks may be appropriate in some patients, discontinue if no response after 12 weeks</w:t>
            </w:r>
          </w:p>
        </w:tc>
      </w:tr>
      <w:tr w:rsidR="005409A9" w:rsidRPr="00944B15" w14:paraId="03A23E64" w14:textId="77777777" w:rsidTr="002D6DD7">
        <w:trPr>
          <w:jc w:val="center"/>
        </w:trPr>
        <w:tc>
          <w:tcPr>
            <w:tcW w:w="2605" w:type="dxa"/>
            <w:hideMark/>
          </w:tcPr>
          <w:p w14:paraId="58D667D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gridSpan w:val="2"/>
          </w:tcPr>
          <w:p w14:paraId="345A34A4" w14:textId="77777777" w:rsidR="005409A9" w:rsidRPr="00944B15" w:rsidRDefault="005409A9" w:rsidP="002D6DD7">
            <w:pPr>
              <w:shd w:val="clear" w:color="auto" w:fill="FFFFFF"/>
              <w:rPr>
                <w:rFonts w:eastAsia="Times New Roman" w:cs="Times New Roman"/>
                <w:color w:val="000000"/>
                <w:szCs w:val="24"/>
              </w:rPr>
            </w:pPr>
            <w:r w:rsidRPr="00944B15">
              <w:rPr>
                <w:rFonts w:eastAsia="Times New Roman" w:cs="Times New Roman"/>
                <w:color w:val="000000"/>
                <w:szCs w:val="24"/>
              </w:rPr>
              <w:t xml:space="preserve">Active infection </w:t>
            </w:r>
          </w:p>
        </w:tc>
      </w:tr>
      <w:tr w:rsidR="005409A9" w:rsidRPr="00944B15" w14:paraId="116DD731" w14:textId="77777777" w:rsidTr="002D6DD7">
        <w:trPr>
          <w:jc w:val="center"/>
        </w:trPr>
        <w:tc>
          <w:tcPr>
            <w:tcW w:w="2605" w:type="dxa"/>
            <w:hideMark/>
          </w:tcPr>
          <w:p w14:paraId="0240286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tcPr>
          <w:p w14:paraId="725A68A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 Live vaccines, anakinra, abatacept, cyclophosphamide</w:t>
            </w:r>
          </w:p>
        </w:tc>
      </w:tr>
      <w:tr w:rsidR="005409A9" w:rsidRPr="00944B15" w14:paraId="078BAACA" w14:textId="77777777" w:rsidTr="002D6DD7">
        <w:trPr>
          <w:jc w:val="center"/>
        </w:trPr>
        <w:tc>
          <w:tcPr>
            <w:tcW w:w="2605" w:type="dxa"/>
            <w:hideMark/>
          </w:tcPr>
          <w:p w14:paraId="3DE53B6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gridSpan w:val="2"/>
          </w:tcPr>
          <w:p w14:paraId="1E24DEFF"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Infections</w:t>
            </w:r>
            <w:r>
              <w:rPr>
                <w:rFonts w:eastAsia="Times New Roman" w:cs="Times New Roman"/>
                <w:color w:val="000000"/>
                <w:szCs w:val="24"/>
              </w:rPr>
              <w:t xml:space="preserve"> and injection site reactions, c</w:t>
            </w:r>
            <w:r w:rsidRPr="00944B15">
              <w:rPr>
                <w:rFonts w:eastAsia="Times New Roman" w:cs="Times New Roman"/>
                <w:color w:val="000000"/>
                <w:szCs w:val="24"/>
              </w:rPr>
              <w:t xml:space="preserve">ystitis, cholecystitis, diarrhea, endocarditis, eye inflammation, gastritis, hepatic disorders myositis, neoplasms, respiratory disorders, sepsis, skin ulcers, thrombocytopenia, vasculitis, bone marrow disorders, congestive heart failure, cutaneous lupus erythematosus, demyelination, leucopenia, lupus-like syndrome, nerve disorders, sarcoidosis, seizure, </w:t>
            </w:r>
            <w:r>
              <w:rPr>
                <w:rFonts w:eastAsia="Times New Roman" w:cs="Times New Roman"/>
                <w:color w:val="000000"/>
                <w:szCs w:val="24"/>
              </w:rPr>
              <w:t>severe cutaneous adverse reactions (</w:t>
            </w:r>
            <w:r w:rsidRPr="00944B15">
              <w:rPr>
                <w:rFonts w:eastAsia="Times New Roman" w:cs="Times New Roman"/>
                <w:color w:val="000000"/>
                <w:szCs w:val="24"/>
              </w:rPr>
              <w:t>SCARs</w:t>
            </w:r>
            <w:r>
              <w:rPr>
                <w:rFonts w:eastAsia="Times New Roman" w:cs="Times New Roman"/>
                <w:color w:val="000000"/>
                <w:szCs w:val="24"/>
              </w:rPr>
              <w:t>), transverse myelitis, d</w:t>
            </w:r>
            <w:r w:rsidRPr="00944B15">
              <w:rPr>
                <w:rFonts w:eastAsia="Times New Roman" w:cs="Times New Roman"/>
                <w:color w:val="000000"/>
                <w:szCs w:val="24"/>
              </w:rPr>
              <w:t xml:space="preserve">ermatomyositis </w:t>
            </w:r>
          </w:p>
        </w:tc>
      </w:tr>
      <w:tr w:rsidR="005409A9" w:rsidRPr="00944B15" w14:paraId="3E843C5A" w14:textId="77777777" w:rsidTr="002D6DD7">
        <w:trPr>
          <w:jc w:val="center"/>
        </w:trPr>
        <w:tc>
          <w:tcPr>
            <w:tcW w:w="2605" w:type="dxa"/>
            <w:hideMark/>
          </w:tcPr>
          <w:p w14:paraId="1423CC2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tcPr>
          <w:p w14:paraId="3C5C5DB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Development of malignancy, dia</w:t>
            </w:r>
            <w:r>
              <w:rPr>
                <w:rFonts w:eastAsia="Times New Roman" w:cs="Times New Roman"/>
                <w:color w:val="000000"/>
                <w:szCs w:val="24"/>
              </w:rPr>
              <w:t>betes mellitus, heart failure, hepatitis B virus</w:t>
            </w:r>
            <w:r w:rsidRPr="00944B15">
              <w:rPr>
                <w:rFonts w:eastAsia="Times New Roman" w:cs="Times New Roman"/>
                <w:color w:val="000000"/>
                <w:szCs w:val="24"/>
              </w:rPr>
              <w:t>, hepatitis C infection, tuberculosis (active or latent), blood disorders, history of malignancy, risk of demyelinating disorde</w:t>
            </w:r>
            <w:r>
              <w:rPr>
                <w:rFonts w:eastAsia="Times New Roman" w:cs="Times New Roman"/>
                <w:color w:val="000000"/>
                <w:szCs w:val="24"/>
              </w:rPr>
              <w:t>rs, risk of infection (herpes zoster virus).</w:t>
            </w:r>
          </w:p>
        </w:tc>
      </w:tr>
      <w:tr w:rsidR="005409A9" w:rsidRPr="00944B15" w14:paraId="7177E236" w14:textId="77777777" w:rsidTr="002D6DD7">
        <w:trPr>
          <w:jc w:val="center"/>
        </w:trPr>
        <w:tc>
          <w:tcPr>
            <w:tcW w:w="2605" w:type="dxa"/>
            <w:hideMark/>
          </w:tcPr>
          <w:p w14:paraId="720C20B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5650B68B"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Store in a refrigerator (2°C to 8°C). Do not freeze</w:t>
            </w:r>
            <w:r>
              <w:rPr>
                <w:rFonts w:eastAsia="Times New Roman" w:cs="Times New Roman"/>
                <w:color w:val="000000"/>
                <w:szCs w:val="24"/>
              </w:rPr>
              <w:t>.</w:t>
            </w:r>
          </w:p>
        </w:tc>
      </w:tr>
      <w:tr w:rsidR="005409A9" w:rsidRPr="00944B15" w14:paraId="493A429F" w14:textId="77777777" w:rsidTr="002D6DD7">
        <w:trPr>
          <w:jc w:val="center"/>
        </w:trPr>
        <w:tc>
          <w:tcPr>
            <w:tcW w:w="9350" w:type="dxa"/>
            <w:gridSpan w:val="3"/>
            <w:hideMark/>
          </w:tcPr>
          <w:p w14:paraId="1F2E2B27"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Filgrastim (G-CSF)</w:t>
            </w:r>
          </w:p>
        </w:tc>
      </w:tr>
      <w:tr w:rsidR="005409A9" w:rsidRPr="00944B15" w14:paraId="370439B5" w14:textId="77777777" w:rsidTr="002D6DD7">
        <w:trPr>
          <w:jc w:val="center"/>
        </w:trPr>
        <w:tc>
          <w:tcPr>
            <w:tcW w:w="2605" w:type="dxa"/>
            <w:hideMark/>
          </w:tcPr>
          <w:p w14:paraId="5B1AA43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281B367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Granulocyte colony stimulating factor, immunostimulant</w:t>
            </w:r>
          </w:p>
        </w:tc>
      </w:tr>
      <w:tr w:rsidR="005409A9" w:rsidRPr="00944B15" w14:paraId="12D073CA" w14:textId="77777777" w:rsidTr="002D6DD7">
        <w:trPr>
          <w:jc w:val="center"/>
        </w:trPr>
        <w:tc>
          <w:tcPr>
            <w:tcW w:w="2605" w:type="dxa"/>
            <w:hideMark/>
          </w:tcPr>
          <w:p w14:paraId="3826B87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hideMark/>
          </w:tcPr>
          <w:p w14:paraId="40803DD2" w14:textId="77777777" w:rsidR="005409A9" w:rsidRPr="00944B15" w:rsidRDefault="005409A9" w:rsidP="002D6DD7">
            <w:pPr>
              <w:tabs>
                <w:tab w:val="left" w:pos="1888"/>
              </w:tabs>
              <w:autoSpaceDE w:val="0"/>
              <w:autoSpaceDN w:val="0"/>
              <w:adjustRightInd w:val="0"/>
              <w:rPr>
                <w:rFonts w:eastAsia="Calibri" w:cs="Times New Roman"/>
                <w:color w:val="000000"/>
                <w:szCs w:val="24"/>
              </w:rPr>
            </w:pPr>
            <w:r w:rsidRPr="00944B15">
              <w:rPr>
                <w:rFonts w:eastAsia="Calibri" w:cs="Times New Roman"/>
                <w:color w:val="000000"/>
                <w:szCs w:val="24"/>
              </w:rPr>
              <w:t>Injection: 300mcg, 600mcg</w:t>
            </w:r>
          </w:p>
        </w:tc>
      </w:tr>
      <w:tr w:rsidR="005409A9" w:rsidRPr="00944B15" w14:paraId="596DB75F" w14:textId="77777777" w:rsidTr="002D6DD7">
        <w:trPr>
          <w:jc w:val="center"/>
        </w:trPr>
        <w:tc>
          <w:tcPr>
            <w:tcW w:w="2605" w:type="dxa"/>
            <w:hideMark/>
          </w:tcPr>
          <w:p w14:paraId="61F6BF5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52170D80" w14:textId="77777777" w:rsidR="005409A9" w:rsidRPr="00AA2FB3" w:rsidRDefault="005409A9" w:rsidP="002D6DD7">
            <w:pPr>
              <w:adjustRightInd w:val="0"/>
              <w:jc w:val="both"/>
              <w:rPr>
                <w:rFonts w:eastAsia="Times New Roman" w:cs="Times New Roman"/>
                <w:color w:val="C00000"/>
                <w:szCs w:val="24"/>
              </w:rPr>
            </w:pPr>
            <w:r w:rsidRPr="00AA2FB3">
              <w:rPr>
                <w:rFonts w:eastAsia="Times New Roman" w:cs="Times New Roman"/>
                <w:szCs w:val="24"/>
              </w:rPr>
              <w:t xml:space="preserve">Febrile neutropenia in cytotoxic chemotherapy for malignancy,  </w:t>
            </w:r>
            <w:r w:rsidRPr="00AA2FB3">
              <w:rPr>
                <w:rFonts w:eastAsia="Times New Roman" w:cs="Times New Roman"/>
                <w:szCs w:val="24"/>
              </w:rPr>
              <w:lastRenderedPageBreak/>
              <w:t>neutropenia and associated sequelae in myeloablative therapy followed by bone marrow transplantation, mobilization of peripheral blood progenitor cells for autologous infusion, mobilization of peripheral blood progenitor cells for autologous infusion, mobilization of peripheral blood progenitor cells in normal donors for allogeneic infusion, severe congenital neutropenia and history of severe or recurrent infections, severe cyclic neutropenia, or idiopathic neutropenia and history of severe or recurrent infections, persistent neutropenia in HIV infection.</w:t>
            </w:r>
          </w:p>
        </w:tc>
      </w:tr>
      <w:tr w:rsidR="005409A9" w:rsidRPr="00944B15" w14:paraId="0B807D83" w14:textId="77777777" w:rsidTr="002D6DD7">
        <w:trPr>
          <w:jc w:val="center"/>
        </w:trPr>
        <w:tc>
          <w:tcPr>
            <w:tcW w:w="2605" w:type="dxa"/>
            <w:hideMark/>
          </w:tcPr>
          <w:p w14:paraId="6120A97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Dose and administration</w:t>
            </w:r>
          </w:p>
        </w:tc>
        <w:tc>
          <w:tcPr>
            <w:tcW w:w="6745" w:type="dxa"/>
            <w:gridSpan w:val="2"/>
            <w:hideMark/>
          </w:tcPr>
          <w:p w14:paraId="3D1291BA" w14:textId="77777777" w:rsidR="005409A9" w:rsidRPr="003629E3" w:rsidRDefault="005409A9" w:rsidP="002D6DD7">
            <w:pPr>
              <w:adjustRightInd w:val="0"/>
              <w:jc w:val="both"/>
              <w:rPr>
                <w:rFonts w:eastAsia="Times New Roman" w:cs="Times New Roman"/>
                <w:color w:val="000000"/>
                <w:szCs w:val="24"/>
              </w:rPr>
            </w:pPr>
            <w:r w:rsidRPr="00944B15">
              <w:rPr>
                <w:rFonts w:eastAsia="Times New Roman" w:cs="Times New Roman"/>
                <w:b/>
                <w:color w:val="000000"/>
                <w:szCs w:val="24"/>
              </w:rPr>
              <w:t>Reduction in duration of neutropenia and incidence of febrile neutropenia in cytotoxic chemotherapy for malignancy (except chronic myeloid leukaemia</w:t>
            </w:r>
            <w:r>
              <w:rPr>
                <w:rFonts w:eastAsia="Times New Roman" w:cs="Times New Roman"/>
                <w:b/>
                <w:color w:val="000000"/>
                <w:szCs w:val="24"/>
              </w:rPr>
              <w:t xml:space="preserve"> and myelodysplastic syndromes)</w:t>
            </w:r>
            <w:r w:rsidR="00CD494D">
              <w:rPr>
                <w:rFonts w:eastAsia="Times New Roman" w:cs="Times New Roman"/>
                <w:b/>
                <w:color w:val="000000"/>
                <w:szCs w:val="24"/>
              </w:rPr>
              <w:t xml:space="preserve">, </w:t>
            </w:r>
            <w:r w:rsidR="00CD494D">
              <w:rPr>
                <w:rFonts w:eastAsia="Times New Roman" w:cs="Times New Roman"/>
                <w:color w:val="000000"/>
                <w:szCs w:val="24"/>
              </w:rPr>
              <w:t>b</w:t>
            </w:r>
            <w:r w:rsidRPr="003629E3">
              <w:rPr>
                <w:rFonts w:eastAsia="Times New Roman" w:cs="Times New Roman"/>
                <w:color w:val="000000"/>
                <w:szCs w:val="24"/>
              </w:rPr>
              <w:t xml:space="preserve">y subcutaneous injection, or </w:t>
            </w:r>
            <w:r>
              <w:rPr>
                <w:rFonts w:eastAsia="Times New Roman" w:cs="Times New Roman"/>
                <w:color w:val="000000"/>
                <w:szCs w:val="24"/>
              </w:rPr>
              <w:t>IV</w:t>
            </w:r>
            <w:r w:rsidRPr="003629E3">
              <w:rPr>
                <w:rFonts w:eastAsia="Times New Roman" w:cs="Times New Roman"/>
                <w:color w:val="000000"/>
                <w:szCs w:val="24"/>
              </w:rPr>
              <w:t xml:space="preserve"> infusion</w:t>
            </w:r>
            <w:r w:rsidR="00CD494D">
              <w:rPr>
                <w:rFonts w:eastAsia="Times New Roman" w:cs="Times New Roman"/>
                <w:color w:val="000000"/>
                <w:szCs w:val="24"/>
              </w:rPr>
              <w:t>:</w:t>
            </w:r>
          </w:p>
          <w:p w14:paraId="0C6D4F56" w14:textId="77777777" w:rsidR="005409A9" w:rsidRPr="00944B15" w:rsidRDefault="005409A9" w:rsidP="002D6DD7">
            <w:pPr>
              <w:adjustRightInd w:val="0"/>
              <w:jc w:val="both"/>
              <w:rPr>
                <w:rFonts w:eastAsia="Times New Roman" w:cs="Times New Roman"/>
                <w:color w:val="000000"/>
                <w:szCs w:val="24"/>
              </w:rPr>
            </w:pPr>
            <w:r w:rsidRPr="003629E3">
              <w:rPr>
                <w:rFonts w:eastAsia="Times New Roman" w:cs="Times New Roman"/>
                <w:b/>
                <w:color w:val="000000"/>
                <w:szCs w:val="24"/>
              </w:rPr>
              <w:t>Adult:</w:t>
            </w:r>
            <w:r>
              <w:rPr>
                <w:rFonts w:eastAsia="Times New Roman" w:cs="Times New Roman"/>
                <w:color w:val="000000"/>
                <w:szCs w:val="24"/>
              </w:rPr>
              <w:t xml:space="preserve"> </w:t>
            </w:r>
            <w:r w:rsidRPr="00944B15">
              <w:rPr>
                <w:rFonts w:eastAsia="Times New Roman" w:cs="Times New Roman"/>
                <w:color w:val="000000"/>
                <w:szCs w:val="24"/>
              </w:rPr>
              <w:t xml:space="preserve">5 </w:t>
            </w:r>
            <w:r>
              <w:rPr>
                <w:rFonts w:eastAsia="Times New Roman" w:cs="Times New Roman"/>
                <w:color w:val="000000"/>
                <w:szCs w:val="24"/>
              </w:rPr>
              <w:t>mcg</w:t>
            </w:r>
            <w:r w:rsidRPr="00944B15">
              <w:rPr>
                <w:rFonts w:eastAsia="Times New Roman" w:cs="Times New Roman"/>
                <w:color w:val="000000"/>
                <w:szCs w:val="24"/>
              </w:rPr>
              <w:t>/kg daily until neutrophil count in normal range, usually for up to 14 days (up to 38 days in acute myeloid leukaemia), to be started at least 24 hours after cytotoxic chemotherapy. Preferably given by subcutaneous injection; if given by intravenous infusion, administer over 30 minutes</w:t>
            </w:r>
            <w:r>
              <w:rPr>
                <w:rFonts w:eastAsia="Times New Roman" w:cs="Times New Roman"/>
                <w:color w:val="000000"/>
                <w:szCs w:val="24"/>
              </w:rPr>
              <w:t>.</w:t>
            </w:r>
          </w:p>
          <w:p w14:paraId="588943A6" w14:textId="77777777" w:rsidR="005409A9" w:rsidRPr="00191AEB" w:rsidRDefault="005409A9" w:rsidP="002D6DD7">
            <w:pPr>
              <w:adjustRightInd w:val="0"/>
              <w:jc w:val="both"/>
              <w:rPr>
                <w:rFonts w:eastAsia="Times New Roman" w:cs="Times New Roman"/>
                <w:b/>
                <w:color w:val="000000"/>
                <w:szCs w:val="24"/>
              </w:rPr>
            </w:pPr>
            <w:r w:rsidRPr="00944B15">
              <w:rPr>
                <w:rFonts w:eastAsia="Times New Roman" w:cs="Times New Roman"/>
                <w:b/>
                <w:color w:val="000000"/>
                <w:szCs w:val="24"/>
              </w:rPr>
              <w:t>Reduct</w:t>
            </w:r>
            <w:r>
              <w:rPr>
                <w:rFonts w:eastAsia="Times New Roman" w:cs="Times New Roman"/>
                <w:b/>
                <w:color w:val="000000"/>
                <w:szCs w:val="24"/>
              </w:rPr>
              <w:t>ion in duration of neutropenia and associated sequelae</w:t>
            </w:r>
            <w:r w:rsidRPr="00944B15">
              <w:rPr>
                <w:rFonts w:eastAsia="Times New Roman" w:cs="Times New Roman"/>
                <w:b/>
                <w:color w:val="000000"/>
                <w:szCs w:val="24"/>
              </w:rPr>
              <w:t xml:space="preserve"> in myeloablative therapy followed</w:t>
            </w:r>
            <w:r>
              <w:rPr>
                <w:rFonts w:eastAsia="Times New Roman" w:cs="Times New Roman"/>
                <w:b/>
                <w:color w:val="000000"/>
                <w:szCs w:val="24"/>
              </w:rPr>
              <w:t xml:space="preserve"> by bone marrow transplantation</w:t>
            </w:r>
            <w:r w:rsidR="00CD494D">
              <w:rPr>
                <w:rFonts w:eastAsia="Times New Roman" w:cs="Times New Roman"/>
                <w:b/>
                <w:color w:val="000000"/>
                <w:szCs w:val="24"/>
              </w:rPr>
              <w:t xml:space="preserve">, </w:t>
            </w:r>
            <w:r w:rsidR="00CD494D">
              <w:rPr>
                <w:rFonts w:eastAsia="Times New Roman" w:cs="Times New Roman"/>
                <w:color w:val="000000"/>
                <w:szCs w:val="24"/>
              </w:rPr>
              <w:t>b</w:t>
            </w:r>
            <w:r w:rsidRPr="003629E3">
              <w:rPr>
                <w:rFonts w:eastAsia="Times New Roman" w:cs="Times New Roman"/>
                <w:color w:val="000000"/>
                <w:szCs w:val="24"/>
              </w:rPr>
              <w:t xml:space="preserve">y subcutaneous injection, or </w:t>
            </w:r>
            <w:r>
              <w:rPr>
                <w:rFonts w:eastAsia="Times New Roman" w:cs="Times New Roman"/>
                <w:color w:val="000000"/>
                <w:szCs w:val="24"/>
              </w:rPr>
              <w:t>IV</w:t>
            </w:r>
            <w:r w:rsidRPr="003629E3">
              <w:rPr>
                <w:rFonts w:eastAsia="Times New Roman" w:cs="Times New Roman"/>
                <w:color w:val="000000"/>
                <w:szCs w:val="24"/>
              </w:rPr>
              <w:t xml:space="preserve"> infusion</w:t>
            </w:r>
            <w:r w:rsidR="00CD494D">
              <w:rPr>
                <w:rFonts w:eastAsia="Times New Roman" w:cs="Times New Roman"/>
                <w:color w:val="000000"/>
                <w:szCs w:val="24"/>
              </w:rPr>
              <w:t>:</w:t>
            </w:r>
          </w:p>
          <w:p w14:paraId="24F513FE" w14:textId="77777777" w:rsidR="005409A9" w:rsidRPr="00944B15" w:rsidRDefault="005409A9" w:rsidP="002D6DD7">
            <w:pPr>
              <w:adjustRightInd w:val="0"/>
              <w:jc w:val="both"/>
              <w:rPr>
                <w:rFonts w:eastAsia="Times New Roman" w:cs="Times New Roman"/>
                <w:color w:val="000000"/>
                <w:szCs w:val="24"/>
              </w:rPr>
            </w:pPr>
            <w:r w:rsidRPr="003629E3">
              <w:rPr>
                <w:rFonts w:eastAsia="Times New Roman" w:cs="Times New Roman"/>
                <w:b/>
                <w:color w:val="000000"/>
                <w:szCs w:val="24"/>
              </w:rPr>
              <w:t>Adult:</w:t>
            </w:r>
            <w:r>
              <w:rPr>
                <w:rFonts w:eastAsia="Times New Roman" w:cs="Times New Roman"/>
                <w:color w:val="000000"/>
                <w:szCs w:val="24"/>
              </w:rPr>
              <w:t xml:space="preserve"> </w:t>
            </w:r>
            <w:r w:rsidRPr="00944B15">
              <w:rPr>
                <w:rFonts w:eastAsia="Times New Roman" w:cs="Times New Roman"/>
                <w:color w:val="000000"/>
                <w:szCs w:val="24"/>
              </w:rPr>
              <w:t>10m</w:t>
            </w:r>
            <w:r>
              <w:rPr>
                <w:rFonts w:eastAsia="Times New Roman" w:cs="Times New Roman"/>
                <w:color w:val="000000"/>
                <w:szCs w:val="24"/>
              </w:rPr>
              <w:t>cg</w:t>
            </w:r>
            <w:r w:rsidRPr="00944B15">
              <w:rPr>
                <w:rFonts w:eastAsia="Times New Roman" w:cs="Times New Roman"/>
                <w:color w:val="000000"/>
                <w:szCs w:val="24"/>
              </w:rPr>
              <w:t>/kg daily, to be started at least 24 hours following cytotoxic chemotherapy and within 24 hours of bone-marrow infusion, then adjusted according to neutrophil count, doses administered over 30 minutes or 24 hours via intravenous route and over 24 hours via subcutaneous rout</w:t>
            </w:r>
          </w:p>
          <w:p w14:paraId="690CC532" w14:textId="77777777" w:rsidR="005409A9" w:rsidRPr="00191AEB" w:rsidRDefault="005409A9" w:rsidP="002D6DD7">
            <w:pPr>
              <w:adjustRightInd w:val="0"/>
              <w:jc w:val="both"/>
              <w:rPr>
                <w:rFonts w:eastAsia="Times New Roman" w:cs="Times New Roman"/>
                <w:color w:val="000000"/>
                <w:szCs w:val="24"/>
              </w:rPr>
            </w:pPr>
            <w:r w:rsidRPr="00944B15">
              <w:rPr>
                <w:rFonts w:eastAsia="Times New Roman" w:cs="Times New Roman"/>
                <w:b/>
                <w:color w:val="000000"/>
                <w:szCs w:val="24"/>
              </w:rPr>
              <w:t>Mobilization of peripheral blood progenitor cells for autologous infusion, used alone</w:t>
            </w:r>
            <w:r w:rsidR="00CD494D">
              <w:rPr>
                <w:rFonts w:eastAsia="Times New Roman" w:cs="Times New Roman"/>
                <w:b/>
                <w:color w:val="000000"/>
                <w:szCs w:val="24"/>
              </w:rPr>
              <w:t xml:space="preserve">, </w:t>
            </w:r>
            <w:r w:rsidR="00CD494D">
              <w:rPr>
                <w:rFonts w:eastAsia="Times New Roman" w:cs="Times New Roman"/>
                <w:color w:val="000000"/>
                <w:szCs w:val="24"/>
              </w:rPr>
              <w:t>b</w:t>
            </w:r>
            <w:r w:rsidRPr="00191AEB">
              <w:rPr>
                <w:rFonts w:eastAsia="Times New Roman" w:cs="Times New Roman"/>
                <w:color w:val="000000"/>
                <w:szCs w:val="24"/>
              </w:rPr>
              <w:t>y subcutaneous infusion, or by subcutaneous</w:t>
            </w:r>
            <w:r>
              <w:rPr>
                <w:rFonts w:eastAsia="Times New Roman" w:cs="Times New Roman"/>
                <w:color w:val="000000"/>
                <w:szCs w:val="24"/>
              </w:rPr>
              <w:t xml:space="preserve"> </w:t>
            </w:r>
            <w:r w:rsidRPr="00191AEB">
              <w:rPr>
                <w:rFonts w:eastAsia="Times New Roman" w:cs="Times New Roman"/>
                <w:color w:val="000000"/>
                <w:szCs w:val="24"/>
              </w:rPr>
              <w:t>injection</w:t>
            </w:r>
            <w:r w:rsidR="00CD494D">
              <w:rPr>
                <w:rFonts w:eastAsia="Times New Roman" w:cs="Times New Roman"/>
                <w:color w:val="000000"/>
                <w:szCs w:val="24"/>
              </w:rPr>
              <w:t>:</w:t>
            </w:r>
          </w:p>
          <w:p w14:paraId="29F60BC5" w14:textId="77777777" w:rsidR="005409A9" w:rsidRPr="00944B15" w:rsidRDefault="005409A9" w:rsidP="002D6DD7">
            <w:pPr>
              <w:adjustRightInd w:val="0"/>
              <w:jc w:val="both"/>
              <w:rPr>
                <w:rFonts w:eastAsia="Times New Roman" w:cs="Times New Roman"/>
                <w:color w:val="000000"/>
                <w:szCs w:val="24"/>
              </w:rPr>
            </w:pPr>
            <w:r w:rsidRPr="00191AEB">
              <w:rPr>
                <w:rFonts w:eastAsia="Times New Roman" w:cs="Times New Roman"/>
                <w:b/>
                <w:color w:val="000000"/>
                <w:szCs w:val="24"/>
              </w:rPr>
              <w:t>Adult:</w:t>
            </w:r>
            <w:r>
              <w:rPr>
                <w:rFonts w:eastAsia="Times New Roman" w:cs="Times New Roman"/>
                <w:b/>
                <w:color w:val="000000"/>
                <w:szCs w:val="24"/>
              </w:rPr>
              <w:t xml:space="preserve"> </w:t>
            </w:r>
            <w:r w:rsidRPr="00944B15">
              <w:rPr>
                <w:rFonts w:eastAsia="Times New Roman" w:cs="Times New Roman"/>
                <w:color w:val="000000"/>
                <w:szCs w:val="24"/>
              </w:rPr>
              <w:t xml:space="preserve">10 </w:t>
            </w:r>
            <w:r>
              <w:rPr>
                <w:rFonts w:eastAsia="Times New Roman" w:cs="Times New Roman"/>
                <w:color w:val="000000"/>
                <w:szCs w:val="24"/>
              </w:rPr>
              <w:t>mcg</w:t>
            </w:r>
            <w:r w:rsidRPr="00944B15">
              <w:rPr>
                <w:rFonts w:eastAsia="Times New Roman" w:cs="Times New Roman"/>
                <w:color w:val="000000"/>
                <w:szCs w:val="24"/>
              </w:rPr>
              <w:t>/kg daily for 5 – 7 days, to be administered over 24 hours if given by subcutaneous infusion</w:t>
            </w:r>
          </w:p>
          <w:p w14:paraId="5F2E6107" w14:textId="77777777" w:rsidR="005409A9" w:rsidRPr="007970CD" w:rsidRDefault="005409A9" w:rsidP="002D6DD7">
            <w:pPr>
              <w:adjustRightInd w:val="0"/>
              <w:jc w:val="both"/>
              <w:rPr>
                <w:rFonts w:eastAsia="Times New Roman" w:cs="Times New Roman"/>
                <w:color w:val="000000"/>
                <w:szCs w:val="24"/>
              </w:rPr>
            </w:pPr>
            <w:r w:rsidRPr="00944B15">
              <w:rPr>
                <w:rFonts w:eastAsia="Times New Roman" w:cs="Times New Roman"/>
                <w:b/>
                <w:color w:val="000000"/>
                <w:szCs w:val="24"/>
              </w:rPr>
              <w:lastRenderedPageBreak/>
              <w:t>Mobilization of peripheral blood progenitor cells for autologous infusion, used following adjunctive myelosuppressive chemotherapy</w:t>
            </w:r>
            <w:r>
              <w:rPr>
                <w:rFonts w:eastAsia="Times New Roman" w:cs="Times New Roman"/>
                <w:b/>
                <w:color w:val="000000"/>
                <w:szCs w:val="24"/>
              </w:rPr>
              <w:t xml:space="preserve"> - to improve yield</w:t>
            </w:r>
            <w:r w:rsidR="00CD494D">
              <w:rPr>
                <w:rFonts w:eastAsia="Times New Roman" w:cs="Times New Roman"/>
                <w:b/>
                <w:color w:val="000000"/>
                <w:szCs w:val="24"/>
              </w:rPr>
              <w:t xml:space="preserve">, </w:t>
            </w:r>
            <w:r w:rsidR="00CD494D">
              <w:rPr>
                <w:rFonts w:eastAsia="Times New Roman" w:cs="Times New Roman"/>
                <w:color w:val="000000"/>
                <w:szCs w:val="24"/>
              </w:rPr>
              <w:t>b</w:t>
            </w:r>
            <w:r w:rsidRPr="00191AEB">
              <w:rPr>
                <w:rFonts w:eastAsia="Times New Roman" w:cs="Times New Roman"/>
                <w:color w:val="000000"/>
                <w:szCs w:val="24"/>
              </w:rPr>
              <w:t>y subcutaneous</w:t>
            </w:r>
            <w:r>
              <w:rPr>
                <w:rFonts w:eastAsia="Times New Roman" w:cs="Times New Roman"/>
                <w:color w:val="000000"/>
                <w:szCs w:val="24"/>
              </w:rPr>
              <w:t xml:space="preserve"> </w:t>
            </w:r>
            <w:r w:rsidRPr="00191AEB">
              <w:rPr>
                <w:rFonts w:eastAsia="Times New Roman" w:cs="Times New Roman"/>
                <w:color w:val="000000"/>
                <w:szCs w:val="24"/>
              </w:rPr>
              <w:t>injection</w:t>
            </w:r>
            <w:r w:rsidR="00CD494D">
              <w:rPr>
                <w:rFonts w:eastAsia="Times New Roman" w:cs="Times New Roman"/>
                <w:color w:val="000000"/>
                <w:szCs w:val="24"/>
              </w:rPr>
              <w:t>:</w:t>
            </w:r>
          </w:p>
          <w:p w14:paraId="114D28EE" w14:textId="77777777" w:rsidR="005409A9" w:rsidRPr="00944B15" w:rsidRDefault="005409A9" w:rsidP="002D6DD7">
            <w:pPr>
              <w:adjustRightInd w:val="0"/>
              <w:jc w:val="both"/>
              <w:rPr>
                <w:rFonts w:eastAsia="Times New Roman" w:cs="Times New Roman"/>
                <w:color w:val="000000"/>
                <w:szCs w:val="24"/>
              </w:rPr>
            </w:pPr>
            <w:r w:rsidRPr="00191AEB">
              <w:rPr>
                <w:rFonts w:eastAsia="Times New Roman" w:cs="Times New Roman"/>
                <w:b/>
                <w:color w:val="000000"/>
                <w:szCs w:val="24"/>
              </w:rPr>
              <w:t>Adult:</w:t>
            </w:r>
            <w:r>
              <w:rPr>
                <w:rFonts w:eastAsia="Times New Roman" w:cs="Times New Roman"/>
                <w:b/>
                <w:color w:val="000000"/>
                <w:szCs w:val="24"/>
              </w:rPr>
              <w:t xml:space="preserve"> </w:t>
            </w:r>
            <w:r>
              <w:rPr>
                <w:rFonts w:eastAsia="Times New Roman" w:cs="Times New Roman"/>
                <w:color w:val="000000"/>
                <w:szCs w:val="24"/>
              </w:rPr>
              <w:t>5mcg</w:t>
            </w:r>
            <w:r w:rsidRPr="00944B15">
              <w:rPr>
                <w:rFonts w:eastAsia="Times New Roman" w:cs="Times New Roman"/>
                <w:color w:val="000000"/>
                <w:szCs w:val="24"/>
              </w:rPr>
              <w:t>/kg daily until neutrophil count in normal range, to be started the day after completing chemotherapy, for timing of leucopheresis</w:t>
            </w:r>
            <w:r>
              <w:rPr>
                <w:rFonts w:eastAsia="Times New Roman" w:cs="Times New Roman"/>
                <w:color w:val="000000"/>
                <w:szCs w:val="24"/>
              </w:rPr>
              <w:t>.</w:t>
            </w:r>
            <w:r w:rsidRPr="00944B15">
              <w:rPr>
                <w:rFonts w:eastAsia="Times New Roman" w:cs="Times New Roman"/>
                <w:color w:val="000000"/>
                <w:szCs w:val="24"/>
              </w:rPr>
              <w:t xml:space="preserve"> </w:t>
            </w:r>
          </w:p>
          <w:p w14:paraId="5827EEB4" w14:textId="77777777" w:rsidR="005409A9" w:rsidRPr="007970CD" w:rsidRDefault="005409A9" w:rsidP="002D6DD7">
            <w:pPr>
              <w:adjustRightInd w:val="0"/>
              <w:jc w:val="both"/>
              <w:rPr>
                <w:rFonts w:eastAsia="Times New Roman" w:cs="Times New Roman"/>
                <w:b/>
                <w:color w:val="000000"/>
                <w:szCs w:val="24"/>
              </w:rPr>
            </w:pPr>
            <w:r w:rsidRPr="00944B15">
              <w:rPr>
                <w:rFonts w:eastAsia="Times New Roman" w:cs="Times New Roman"/>
                <w:b/>
                <w:color w:val="000000"/>
                <w:szCs w:val="24"/>
              </w:rPr>
              <w:t>Mobilization of peripheral blood progenitor cells in normal</w:t>
            </w:r>
            <w:r>
              <w:rPr>
                <w:rFonts w:eastAsia="Times New Roman" w:cs="Times New Roman"/>
                <w:b/>
                <w:color w:val="000000"/>
                <w:szCs w:val="24"/>
              </w:rPr>
              <w:t xml:space="preserve"> donors for allogeneic infusion</w:t>
            </w:r>
            <w:r w:rsidR="00CD494D">
              <w:rPr>
                <w:rFonts w:eastAsia="Times New Roman" w:cs="Times New Roman"/>
                <w:b/>
                <w:color w:val="000000"/>
                <w:szCs w:val="24"/>
              </w:rPr>
              <w:t xml:space="preserve">, </w:t>
            </w:r>
            <w:r w:rsidR="00CD494D" w:rsidRPr="00CD494D">
              <w:rPr>
                <w:rFonts w:eastAsia="Times New Roman" w:cs="Times New Roman"/>
                <w:color w:val="000000"/>
                <w:szCs w:val="24"/>
              </w:rPr>
              <w:t>b</w:t>
            </w:r>
            <w:r w:rsidRPr="00191AEB">
              <w:rPr>
                <w:rFonts w:eastAsia="Times New Roman" w:cs="Times New Roman"/>
                <w:color w:val="000000"/>
                <w:szCs w:val="24"/>
              </w:rPr>
              <w:t>y subcutaneous</w:t>
            </w:r>
            <w:r>
              <w:rPr>
                <w:rFonts w:eastAsia="Times New Roman" w:cs="Times New Roman"/>
                <w:color w:val="000000"/>
                <w:szCs w:val="24"/>
              </w:rPr>
              <w:t xml:space="preserve"> </w:t>
            </w:r>
            <w:r w:rsidRPr="00191AEB">
              <w:rPr>
                <w:rFonts w:eastAsia="Times New Roman" w:cs="Times New Roman"/>
                <w:color w:val="000000"/>
                <w:szCs w:val="24"/>
              </w:rPr>
              <w:t>injection</w:t>
            </w:r>
            <w:r w:rsidR="00CD494D">
              <w:rPr>
                <w:rFonts w:eastAsia="Times New Roman" w:cs="Times New Roman"/>
                <w:color w:val="000000"/>
                <w:szCs w:val="24"/>
              </w:rPr>
              <w:t>:</w:t>
            </w:r>
          </w:p>
          <w:p w14:paraId="0EFD4ABB" w14:textId="77777777" w:rsidR="005409A9" w:rsidRPr="00944B15" w:rsidRDefault="005409A9" w:rsidP="002D6DD7">
            <w:pPr>
              <w:adjustRightInd w:val="0"/>
              <w:jc w:val="both"/>
              <w:rPr>
                <w:rFonts w:eastAsia="Times New Roman" w:cs="Times New Roman"/>
                <w:color w:val="000000"/>
                <w:szCs w:val="24"/>
              </w:rPr>
            </w:pPr>
            <w:r w:rsidRPr="007970CD">
              <w:rPr>
                <w:rFonts w:eastAsia="Times New Roman" w:cs="Times New Roman"/>
                <w:b/>
                <w:color w:val="000000"/>
                <w:szCs w:val="24"/>
              </w:rPr>
              <w:t>Adult 18–59 years:</w:t>
            </w:r>
            <w:r w:rsidRPr="00944B15">
              <w:rPr>
                <w:rFonts w:eastAsia="Times New Roman" w:cs="Times New Roman"/>
                <w:color w:val="000000"/>
                <w:szCs w:val="24"/>
              </w:rPr>
              <w:t xml:space="preserve"> 10 </w:t>
            </w:r>
            <w:r>
              <w:rPr>
                <w:rFonts w:eastAsia="Times New Roman" w:cs="Times New Roman"/>
                <w:color w:val="000000"/>
                <w:szCs w:val="24"/>
              </w:rPr>
              <w:t>mcg</w:t>
            </w:r>
            <w:r w:rsidRPr="00944B15">
              <w:rPr>
                <w:rFonts w:eastAsia="Times New Roman" w:cs="Times New Roman"/>
                <w:color w:val="000000"/>
                <w:szCs w:val="24"/>
              </w:rPr>
              <w:t>/kg daily for 4 – 5 days, for timing of leucopheresis</w:t>
            </w:r>
            <w:r w:rsidR="00CD494D">
              <w:rPr>
                <w:rFonts w:eastAsia="Times New Roman" w:cs="Times New Roman"/>
                <w:color w:val="000000"/>
                <w:szCs w:val="24"/>
              </w:rPr>
              <w:t>.</w:t>
            </w:r>
          </w:p>
          <w:p w14:paraId="2628AB85" w14:textId="77777777" w:rsidR="005409A9" w:rsidRPr="00EA0764" w:rsidRDefault="005409A9" w:rsidP="002D6DD7">
            <w:pPr>
              <w:adjustRightInd w:val="0"/>
              <w:jc w:val="both"/>
              <w:rPr>
                <w:rFonts w:eastAsia="Times New Roman" w:cs="Times New Roman"/>
                <w:b/>
                <w:color w:val="000000"/>
                <w:szCs w:val="24"/>
              </w:rPr>
            </w:pPr>
            <w:r w:rsidRPr="00944B15">
              <w:rPr>
                <w:rFonts w:eastAsia="Times New Roman" w:cs="Times New Roman"/>
                <w:b/>
                <w:color w:val="000000"/>
                <w:szCs w:val="24"/>
              </w:rPr>
              <w:t>Severe congenital neutropenia and history of severe or recurrent infections (distinguish carefully from</w:t>
            </w:r>
            <w:r>
              <w:rPr>
                <w:rFonts w:eastAsia="Times New Roman" w:cs="Times New Roman"/>
                <w:b/>
                <w:color w:val="000000"/>
                <w:szCs w:val="24"/>
              </w:rPr>
              <w:t xml:space="preserve"> other haematological disorders</w:t>
            </w:r>
            <w:r w:rsidR="00CD494D">
              <w:rPr>
                <w:rFonts w:eastAsia="Times New Roman" w:cs="Times New Roman"/>
                <w:b/>
                <w:color w:val="000000"/>
                <w:szCs w:val="24"/>
              </w:rPr>
              <w:t xml:space="preserve">, </w:t>
            </w:r>
            <w:r w:rsidR="00CD494D">
              <w:rPr>
                <w:rFonts w:eastAsia="Times New Roman" w:cs="Times New Roman"/>
                <w:color w:val="000000"/>
                <w:szCs w:val="24"/>
              </w:rPr>
              <w:t>b</w:t>
            </w:r>
            <w:r w:rsidRPr="00191AEB">
              <w:rPr>
                <w:rFonts w:eastAsia="Times New Roman" w:cs="Times New Roman"/>
                <w:color w:val="000000"/>
                <w:szCs w:val="24"/>
              </w:rPr>
              <w:t>y subcutaneous</w:t>
            </w:r>
            <w:r>
              <w:rPr>
                <w:rFonts w:eastAsia="Times New Roman" w:cs="Times New Roman"/>
                <w:color w:val="000000"/>
                <w:szCs w:val="24"/>
              </w:rPr>
              <w:t xml:space="preserve"> </w:t>
            </w:r>
            <w:r w:rsidRPr="00191AEB">
              <w:rPr>
                <w:rFonts w:eastAsia="Times New Roman" w:cs="Times New Roman"/>
                <w:color w:val="000000"/>
                <w:szCs w:val="24"/>
              </w:rPr>
              <w:t>injection</w:t>
            </w:r>
            <w:r w:rsidR="00CD494D">
              <w:rPr>
                <w:rFonts w:eastAsia="Times New Roman" w:cs="Times New Roman"/>
                <w:color w:val="000000"/>
                <w:szCs w:val="24"/>
              </w:rPr>
              <w:t>:</w:t>
            </w:r>
          </w:p>
          <w:p w14:paraId="0148E104" w14:textId="77777777" w:rsidR="005409A9" w:rsidRPr="00944B15" w:rsidRDefault="005409A9" w:rsidP="002D6DD7">
            <w:pPr>
              <w:adjustRightInd w:val="0"/>
              <w:jc w:val="both"/>
              <w:rPr>
                <w:rFonts w:eastAsia="Times New Roman" w:cs="Times New Roman"/>
                <w:color w:val="000000"/>
                <w:szCs w:val="24"/>
              </w:rPr>
            </w:pPr>
            <w:r w:rsidRPr="00191AEB">
              <w:rPr>
                <w:rFonts w:eastAsia="Times New Roman" w:cs="Times New Roman"/>
                <w:b/>
                <w:color w:val="000000"/>
                <w:szCs w:val="24"/>
              </w:rPr>
              <w:t>Adult:</w:t>
            </w:r>
            <w:r>
              <w:rPr>
                <w:rFonts w:eastAsia="Times New Roman" w:cs="Times New Roman"/>
                <w:b/>
                <w:color w:val="000000"/>
                <w:szCs w:val="24"/>
              </w:rPr>
              <w:t xml:space="preserve"> </w:t>
            </w:r>
            <w:r>
              <w:rPr>
                <w:rFonts w:eastAsia="Times New Roman" w:cs="Times New Roman"/>
                <w:color w:val="000000"/>
                <w:szCs w:val="24"/>
              </w:rPr>
              <w:t>i</w:t>
            </w:r>
            <w:r w:rsidRPr="00944B15">
              <w:rPr>
                <w:rFonts w:eastAsia="Times New Roman" w:cs="Times New Roman"/>
                <w:color w:val="000000"/>
                <w:szCs w:val="24"/>
              </w:rPr>
              <w:t xml:space="preserve">nitially 12 </w:t>
            </w:r>
            <w:r>
              <w:rPr>
                <w:rFonts w:eastAsia="Times New Roman" w:cs="Times New Roman"/>
                <w:color w:val="000000"/>
                <w:szCs w:val="24"/>
              </w:rPr>
              <w:t>mcg</w:t>
            </w:r>
            <w:r w:rsidRPr="00944B15">
              <w:rPr>
                <w:rFonts w:eastAsia="Times New Roman" w:cs="Times New Roman"/>
                <w:color w:val="000000"/>
                <w:szCs w:val="24"/>
              </w:rPr>
              <w:t>/kg daily, adjusted according to response, can be given in single or divided doses,</w:t>
            </w:r>
          </w:p>
          <w:p w14:paraId="63ED05CE" w14:textId="77777777" w:rsidR="005409A9" w:rsidRPr="00944B15" w:rsidRDefault="005409A9" w:rsidP="002D6DD7">
            <w:pPr>
              <w:adjustRightInd w:val="0"/>
              <w:jc w:val="both"/>
              <w:rPr>
                <w:rFonts w:eastAsia="Times New Roman" w:cs="Times New Roman"/>
                <w:b/>
                <w:color w:val="000000"/>
                <w:szCs w:val="24"/>
              </w:rPr>
            </w:pPr>
            <w:r w:rsidRPr="00944B15">
              <w:rPr>
                <w:rFonts w:eastAsia="Times New Roman" w:cs="Times New Roman"/>
                <w:b/>
                <w:color w:val="000000"/>
                <w:szCs w:val="24"/>
              </w:rPr>
              <w:t>Severe cyclic neutropenia, or idiopathic neutropenia and history of severe or recurrent infections (distinguish carefully from other hematological disorders).</w:t>
            </w:r>
          </w:p>
          <w:p w14:paraId="1704A840" w14:textId="77777777" w:rsidR="005409A9" w:rsidRPr="00EA0764" w:rsidRDefault="005409A9" w:rsidP="002D6DD7">
            <w:pPr>
              <w:adjustRightInd w:val="0"/>
              <w:jc w:val="both"/>
              <w:rPr>
                <w:rFonts w:eastAsia="Times New Roman" w:cs="Times New Roman"/>
                <w:b/>
                <w:color w:val="000000"/>
                <w:szCs w:val="24"/>
              </w:rPr>
            </w:pPr>
            <w:r>
              <w:rPr>
                <w:rFonts w:eastAsia="Times New Roman" w:cs="Times New Roman"/>
                <w:color w:val="000000"/>
                <w:szCs w:val="24"/>
              </w:rPr>
              <w:t>B</w:t>
            </w:r>
            <w:r w:rsidRPr="00191AEB">
              <w:rPr>
                <w:rFonts w:eastAsia="Times New Roman" w:cs="Times New Roman"/>
                <w:color w:val="000000"/>
                <w:szCs w:val="24"/>
              </w:rPr>
              <w:t>y subcutaneous</w:t>
            </w:r>
            <w:r>
              <w:rPr>
                <w:rFonts w:eastAsia="Times New Roman" w:cs="Times New Roman"/>
                <w:color w:val="000000"/>
                <w:szCs w:val="24"/>
              </w:rPr>
              <w:t xml:space="preserve"> </w:t>
            </w:r>
            <w:r w:rsidRPr="00191AEB">
              <w:rPr>
                <w:rFonts w:eastAsia="Times New Roman" w:cs="Times New Roman"/>
                <w:color w:val="000000"/>
                <w:szCs w:val="24"/>
              </w:rPr>
              <w:t>injection</w:t>
            </w:r>
          </w:p>
          <w:p w14:paraId="28B75A38" w14:textId="77777777" w:rsidR="005409A9" w:rsidRPr="00944B15" w:rsidRDefault="005409A9" w:rsidP="002D6DD7">
            <w:pPr>
              <w:adjustRightInd w:val="0"/>
              <w:jc w:val="both"/>
              <w:rPr>
                <w:rFonts w:eastAsia="Times New Roman" w:cs="Times New Roman"/>
                <w:color w:val="000000"/>
                <w:szCs w:val="24"/>
              </w:rPr>
            </w:pPr>
            <w:r w:rsidRPr="00191AEB">
              <w:rPr>
                <w:rFonts w:eastAsia="Times New Roman" w:cs="Times New Roman"/>
                <w:b/>
                <w:color w:val="000000"/>
                <w:szCs w:val="24"/>
              </w:rPr>
              <w:t>Adult:</w:t>
            </w:r>
            <w:r>
              <w:rPr>
                <w:rFonts w:eastAsia="Times New Roman" w:cs="Times New Roman"/>
                <w:b/>
                <w:color w:val="000000"/>
                <w:szCs w:val="24"/>
              </w:rPr>
              <w:t xml:space="preserve"> </w:t>
            </w:r>
            <w:r w:rsidRPr="00837ECB">
              <w:rPr>
                <w:rFonts w:eastAsia="Times New Roman" w:cs="Times New Roman"/>
                <w:color w:val="000000"/>
                <w:szCs w:val="24"/>
              </w:rPr>
              <w:t>in</w:t>
            </w:r>
            <w:r w:rsidRPr="00944B15">
              <w:rPr>
                <w:rFonts w:eastAsia="Times New Roman" w:cs="Times New Roman"/>
                <w:color w:val="000000"/>
                <w:szCs w:val="24"/>
              </w:rPr>
              <w:t xml:space="preserve">itially 5 </w:t>
            </w:r>
            <w:r>
              <w:rPr>
                <w:rFonts w:eastAsia="Times New Roman" w:cs="Times New Roman"/>
                <w:color w:val="000000"/>
                <w:szCs w:val="24"/>
              </w:rPr>
              <w:t>mcg</w:t>
            </w:r>
            <w:r w:rsidRPr="00944B15">
              <w:rPr>
                <w:rFonts w:eastAsia="Times New Roman" w:cs="Times New Roman"/>
                <w:color w:val="000000"/>
                <w:szCs w:val="24"/>
              </w:rPr>
              <w:t>/kg daily, adjusted according to response, can be given in single or divided doses</w:t>
            </w:r>
          </w:p>
          <w:p w14:paraId="1D0CEE50" w14:textId="77777777" w:rsidR="005409A9" w:rsidRPr="00EA0764" w:rsidRDefault="005409A9" w:rsidP="00CD494D">
            <w:pPr>
              <w:autoSpaceDE w:val="0"/>
              <w:autoSpaceDN w:val="0"/>
              <w:adjustRightInd w:val="0"/>
              <w:rPr>
                <w:rFonts w:eastAsia="Times New Roman" w:cs="Times New Roman"/>
                <w:b/>
                <w:color w:val="000000"/>
                <w:szCs w:val="24"/>
              </w:rPr>
            </w:pPr>
            <w:r w:rsidRPr="00944B15">
              <w:rPr>
                <w:rFonts w:eastAsia="Times New Roman" w:cs="Times New Roman"/>
                <w:b/>
                <w:color w:val="000000"/>
                <w:szCs w:val="24"/>
              </w:rPr>
              <w:t>Persistent neutropenia in HIV</w:t>
            </w:r>
            <w:r>
              <w:rPr>
                <w:rFonts w:eastAsia="Times New Roman" w:cs="Times New Roman"/>
                <w:b/>
                <w:color w:val="000000"/>
                <w:szCs w:val="24"/>
              </w:rPr>
              <w:t xml:space="preserve"> infection</w:t>
            </w:r>
            <w:r w:rsidR="00CD494D">
              <w:rPr>
                <w:rFonts w:eastAsia="Times New Roman" w:cs="Times New Roman"/>
                <w:b/>
                <w:color w:val="000000"/>
                <w:szCs w:val="24"/>
              </w:rPr>
              <w:t xml:space="preserve">, </w:t>
            </w:r>
            <w:r w:rsidR="00CD494D" w:rsidRPr="00CD494D">
              <w:rPr>
                <w:rFonts w:eastAsia="Times New Roman" w:cs="Times New Roman"/>
                <w:color w:val="000000"/>
                <w:szCs w:val="24"/>
              </w:rPr>
              <w:t>b</w:t>
            </w:r>
            <w:r w:rsidRPr="00191AEB">
              <w:rPr>
                <w:rFonts w:eastAsia="Times New Roman" w:cs="Times New Roman"/>
                <w:color w:val="000000"/>
                <w:szCs w:val="24"/>
              </w:rPr>
              <w:t>y subcutaneous</w:t>
            </w:r>
            <w:r>
              <w:rPr>
                <w:rFonts w:eastAsia="Times New Roman" w:cs="Times New Roman"/>
                <w:color w:val="000000"/>
                <w:szCs w:val="24"/>
              </w:rPr>
              <w:t xml:space="preserve"> </w:t>
            </w:r>
            <w:r w:rsidRPr="00191AEB">
              <w:rPr>
                <w:rFonts w:eastAsia="Times New Roman" w:cs="Times New Roman"/>
                <w:color w:val="000000"/>
                <w:szCs w:val="24"/>
              </w:rPr>
              <w:t>injection</w:t>
            </w:r>
            <w:r w:rsidR="00CD494D">
              <w:rPr>
                <w:rFonts w:eastAsia="Times New Roman" w:cs="Times New Roman"/>
                <w:color w:val="000000"/>
                <w:szCs w:val="24"/>
              </w:rPr>
              <w:t>:</w:t>
            </w:r>
          </w:p>
          <w:p w14:paraId="141F2FFB" w14:textId="77777777" w:rsidR="005409A9" w:rsidRPr="00944B15" w:rsidRDefault="005409A9" w:rsidP="002D6DD7">
            <w:pPr>
              <w:autoSpaceDE w:val="0"/>
              <w:autoSpaceDN w:val="0"/>
              <w:adjustRightInd w:val="0"/>
              <w:jc w:val="both"/>
              <w:rPr>
                <w:rFonts w:eastAsia="Times New Roman" w:cs="Times New Roman"/>
                <w:color w:val="000000"/>
                <w:szCs w:val="24"/>
              </w:rPr>
            </w:pPr>
            <w:r w:rsidRPr="00191AEB">
              <w:rPr>
                <w:rFonts w:eastAsia="Times New Roman" w:cs="Times New Roman"/>
                <w:b/>
                <w:color w:val="000000"/>
                <w:szCs w:val="24"/>
              </w:rPr>
              <w:t>Adult:</w:t>
            </w:r>
            <w:r>
              <w:rPr>
                <w:rFonts w:eastAsia="Times New Roman" w:cs="Times New Roman"/>
                <w:b/>
                <w:color w:val="000000"/>
                <w:szCs w:val="24"/>
              </w:rPr>
              <w:t xml:space="preserve"> </w:t>
            </w:r>
            <w:r>
              <w:rPr>
                <w:rFonts w:eastAsia="Times New Roman" w:cs="Times New Roman"/>
                <w:color w:val="000000"/>
                <w:szCs w:val="24"/>
              </w:rPr>
              <w:t>i</w:t>
            </w:r>
            <w:r w:rsidRPr="00944B15">
              <w:rPr>
                <w:rFonts w:eastAsia="Times New Roman" w:cs="Times New Roman"/>
                <w:color w:val="000000"/>
                <w:szCs w:val="24"/>
              </w:rPr>
              <w:t xml:space="preserve">nitially 1 </w:t>
            </w:r>
            <w:r>
              <w:rPr>
                <w:rFonts w:eastAsia="Times New Roman" w:cs="Times New Roman"/>
                <w:color w:val="000000"/>
                <w:szCs w:val="24"/>
              </w:rPr>
              <w:t>mcg</w:t>
            </w:r>
            <w:r w:rsidRPr="00944B15">
              <w:rPr>
                <w:rFonts w:eastAsia="Times New Roman" w:cs="Times New Roman"/>
                <w:color w:val="000000"/>
                <w:szCs w:val="24"/>
              </w:rPr>
              <w:t xml:space="preserve">/kg daily, subsequent doses increased as necessary until neutrophil count in normal range, then adjusted to maintain neutrophil count in normal range—consult product literature: maximum 4 </w:t>
            </w:r>
            <w:r>
              <w:rPr>
                <w:rFonts w:eastAsia="Times New Roman" w:cs="Times New Roman"/>
                <w:color w:val="000000"/>
                <w:szCs w:val="24"/>
              </w:rPr>
              <w:t>mcg</w:t>
            </w:r>
            <w:r w:rsidRPr="00944B15">
              <w:rPr>
                <w:rFonts w:eastAsia="Times New Roman" w:cs="Times New Roman"/>
                <w:color w:val="000000"/>
                <w:szCs w:val="24"/>
              </w:rPr>
              <w:t>/kg per day</w:t>
            </w:r>
          </w:p>
        </w:tc>
      </w:tr>
      <w:tr w:rsidR="005409A9" w:rsidRPr="00944B15" w14:paraId="5FAE4BDB" w14:textId="77777777" w:rsidTr="002D6DD7">
        <w:trPr>
          <w:jc w:val="center"/>
        </w:trPr>
        <w:tc>
          <w:tcPr>
            <w:tcW w:w="2605" w:type="dxa"/>
            <w:hideMark/>
          </w:tcPr>
          <w:p w14:paraId="5B5BCF7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hideMark/>
          </w:tcPr>
          <w:p w14:paraId="6C3245D7"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 s</w:t>
            </w:r>
            <w:r w:rsidRPr="00944B15">
              <w:rPr>
                <w:rFonts w:eastAsia="Times New Roman" w:cs="Times New Roman"/>
                <w:color w:val="000000"/>
                <w:szCs w:val="24"/>
              </w:rPr>
              <w:t>evere congenital neutropenia who develop leukaemia or have e</w:t>
            </w:r>
            <w:r>
              <w:rPr>
                <w:rFonts w:eastAsia="Times New Roman" w:cs="Times New Roman"/>
                <w:color w:val="000000"/>
                <w:szCs w:val="24"/>
              </w:rPr>
              <w:t xml:space="preserve">vidence of leukemic evolution, </w:t>
            </w:r>
          </w:p>
        </w:tc>
      </w:tr>
      <w:tr w:rsidR="005409A9" w:rsidRPr="00944B15" w14:paraId="5C6072ED" w14:textId="77777777" w:rsidTr="002D6DD7">
        <w:trPr>
          <w:jc w:val="center"/>
        </w:trPr>
        <w:tc>
          <w:tcPr>
            <w:tcW w:w="2605" w:type="dxa"/>
            <w:hideMark/>
          </w:tcPr>
          <w:p w14:paraId="3CA0E90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hideMark/>
          </w:tcPr>
          <w:p w14:paraId="04195F0F"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 xml:space="preserve">Lithium, chemotherapy drugs </w:t>
            </w:r>
          </w:p>
        </w:tc>
      </w:tr>
      <w:tr w:rsidR="005409A9" w:rsidRPr="00944B15" w14:paraId="4A9B2931" w14:textId="77777777" w:rsidTr="002D6DD7">
        <w:trPr>
          <w:jc w:val="center"/>
        </w:trPr>
        <w:tc>
          <w:tcPr>
            <w:tcW w:w="2605" w:type="dxa"/>
            <w:hideMark/>
          </w:tcPr>
          <w:p w14:paraId="7B25DBF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gridSpan w:val="2"/>
            <w:hideMark/>
          </w:tcPr>
          <w:p w14:paraId="76739154"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Anaemia, diarrhea, dysuria, hemorrhage, hepatomegaly, </w:t>
            </w:r>
            <w:r w:rsidRPr="00944B15">
              <w:rPr>
                <w:rFonts w:eastAsia="Times New Roman" w:cs="Times New Roman"/>
                <w:color w:val="000000"/>
                <w:szCs w:val="24"/>
              </w:rPr>
              <w:lastRenderedPageBreak/>
              <w:t>hyperuricemia, hypotension, osteoporosis, rash, bone pain, local skin reactions, haemoptysis</w:t>
            </w:r>
            <w:r>
              <w:rPr>
                <w:rFonts w:eastAsia="Times New Roman" w:cs="Times New Roman"/>
                <w:color w:val="000000"/>
                <w:szCs w:val="24"/>
              </w:rPr>
              <w:t>, s</w:t>
            </w:r>
            <w:r w:rsidRPr="00944B15">
              <w:rPr>
                <w:rFonts w:eastAsia="Times New Roman" w:cs="Times New Roman"/>
                <w:color w:val="000000"/>
                <w:szCs w:val="24"/>
              </w:rPr>
              <w:t>evere sickle cell crises</w:t>
            </w:r>
          </w:p>
        </w:tc>
      </w:tr>
      <w:tr w:rsidR="005409A9" w:rsidRPr="00944B15" w14:paraId="6784D04E" w14:textId="77777777" w:rsidTr="002D6DD7">
        <w:trPr>
          <w:jc w:val="center"/>
        </w:trPr>
        <w:tc>
          <w:tcPr>
            <w:tcW w:w="2605" w:type="dxa"/>
            <w:hideMark/>
          </w:tcPr>
          <w:p w14:paraId="3D88295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745" w:type="dxa"/>
            <w:gridSpan w:val="2"/>
            <w:hideMark/>
          </w:tcPr>
          <w:p w14:paraId="2BA802EC" w14:textId="77777777" w:rsidR="005409A9" w:rsidRPr="00944B15" w:rsidRDefault="005409A9" w:rsidP="002D6DD7">
            <w:pPr>
              <w:autoSpaceDE w:val="0"/>
              <w:autoSpaceDN w:val="0"/>
              <w:adjustRightInd w:val="0"/>
              <w:jc w:val="both"/>
              <w:rPr>
                <w:rFonts w:eastAsia="Times New Roman" w:cs="Times New Roman"/>
                <w:bCs/>
                <w:color w:val="000000"/>
                <w:szCs w:val="24"/>
              </w:rPr>
            </w:pPr>
            <w:r w:rsidRPr="00944B15">
              <w:rPr>
                <w:rFonts w:eastAsia="Times New Roman" w:cs="Times New Roman"/>
                <w:color w:val="000000"/>
                <w:szCs w:val="24"/>
              </w:rPr>
              <w:t xml:space="preserve">Lung diseases, renal impairments, </w:t>
            </w:r>
            <w:r w:rsidRPr="00944B15">
              <w:rPr>
                <w:rFonts w:eastAsia="Times New Roman" w:cs="Times New Roman"/>
                <w:bCs/>
                <w:color w:val="000000"/>
                <w:szCs w:val="24"/>
              </w:rPr>
              <w:t>pregnancy</w:t>
            </w:r>
            <w:r w:rsidRPr="00944B15">
              <w:rPr>
                <w:rFonts w:eastAsia="Times New Roman" w:cs="Times New Roman"/>
                <w:color w:val="000000"/>
                <w:szCs w:val="24"/>
              </w:rPr>
              <w:t xml:space="preserve"> and </w:t>
            </w:r>
            <w:r w:rsidRPr="00944B15">
              <w:rPr>
                <w:rFonts w:eastAsia="Times New Roman" w:cs="Times New Roman"/>
                <w:bCs/>
                <w:color w:val="000000"/>
                <w:szCs w:val="24"/>
              </w:rPr>
              <w:t xml:space="preserve">breastfeeding, </w:t>
            </w:r>
            <w:r w:rsidRPr="00944B15">
              <w:rPr>
                <w:rFonts w:eastAsia="Times New Roman" w:cs="Times New Roman"/>
                <w:color w:val="000000"/>
                <w:szCs w:val="24"/>
              </w:rPr>
              <w:t>osteoporotic bone disease, seco</w:t>
            </w:r>
            <w:r>
              <w:rPr>
                <w:rFonts w:eastAsia="Times New Roman" w:cs="Times New Roman"/>
                <w:color w:val="000000"/>
                <w:szCs w:val="24"/>
              </w:rPr>
              <w:t>ndary acute myeloid leukaemia</w:t>
            </w:r>
            <w:r w:rsidRPr="00944B15">
              <w:rPr>
                <w:rFonts w:eastAsia="Times New Roman" w:cs="Times New Roman"/>
                <w:color w:val="000000"/>
                <w:szCs w:val="24"/>
              </w:rPr>
              <w:t xml:space="preserve"> </w:t>
            </w:r>
          </w:p>
        </w:tc>
      </w:tr>
      <w:tr w:rsidR="005409A9" w:rsidRPr="00944B15" w14:paraId="004EB186" w14:textId="77777777" w:rsidTr="002D6DD7">
        <w:trPr>
          <w:jc w:val="center"/>
        </w:trPr>
        <w:tc>
          <w:tcPr>
            <w:tcW w:w="2605" w:type="dxa"/>
            <w:hideMark/>
          </w:tcPr>
          <w:p w14:paraId="6D381F7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1D1D18D7"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at 2 - 8</w:t>
            </w:r>
            <w:r w:rsidRPr="00944B15">
              <w:rPr>
                <w:rFonts w:eastAsia="Times New Roman" w:cs="Times New Roman"/>
                <w:color w:val="000000"/>
                <w:szCs w:val="24"/>
                <w:vertAlign w:val="superscript"/>
              </w:rPr>
              <w:t>0</w:t>
            </w:r>
            <w:r>
              <w:rPr>
                <w:rFonts w:eastAsia="Times New Roman" w:cs="Times New Roman"/>
                <w:color w:val="000000"/>
                <w:szCs w:val="24"/>
              </w:rPr>
              <w:t>C.</w:t>
            </w:r>
          </w:p>
        </w:tc>
      </w:tr>
      <w:tr w:rsidR="005409A9" w:rsidRPr="00944B15" w14:paraId="36ABED87" w14:textId="77777777" w:rsidTr="002D6DD7">
        <w:trPr>
          <w:jc w:val="center"/>
        </w:trPr>
        <w:tc>
          <w:tcPr>
            <w:tcW w:w="9350" w:type="dxa"/>
            <w:gridSpan w:val="3"/>
            <w:hideMark/>
          </w:tcPr>
          <w:p w14:paraId="65FD04BF"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 xml:space="preserve">Golimumab </w:t>
            </w:r>
          </w:p>
        </w:tc>
      </w:tr>
      <w:tr w:rsidR="005409A9" w:rsidRPr="00944B15" w14:paraId="39ACD9A1" w14:textId="77777777" w:rsidTr="002D6DD7">
        <w:trPr>
          <w:jc w:val="center"/>
        </w:trPr>
        <w:tc>
          <w:tcPr>
            <w:tcW w:w="2605" w:type="dxa"/>
            <w:hideMark/>
          </w:tcPr>
          <w:p w14:paraId="7CC4299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tcPr>
          <w:p w14:paraId="0C7D3026"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Immunosuppressant, tumor necrosis factor (TNF) i</w:t>
            </w:r>
            <w:r w:rsidRPr="00944B15">
              <w:rPr>
                <w:rFonts w:eastAsia="Times New Roman" w:cs="Times New Roman"/>
                <w:color w:val="000000"/>
                <w:szCs w:val="24"/>
              </w:rPr>
              <w:t xml:space="preserve">nhibitor </w:t>
            </w:r>
          </w:p>
        </w:tc>
      </w:tr>
      <w:tr w:rsidR="005409A9" w:rsidRPr="00944B15" w14:paraId="66CFD1C4" w14:textId="77777777" w:rsidTr="002D6DD7">
        <w:trPr>
          <w:jc w:val="center"/>
        </w:trPr>
        <w:tc>
          <w:tcPr>
            <w:tcW w:w="2605" w:type="dxa"/>
            <w:hideMark/>
          </w:tcPr>
          <w:p w14:paraId="3725B55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tcPr>
          <w:p w14:paraId="3CAA2810" w14:textId="77777777" w:rsidR="005409A9" w:rsidRPr="00944B15" w:rsidRDefault="005409A9" w:rsidP="002D6DD7">
            <w:pPr>
              <w:jc w:val="both"/>
              <w:rPr>
                <w:rFonts w:eastAsia="Times New Roman" w:cs="Times New Roman"/>
                <w:szCs w:val="24"/>
              </w:rPr>
            </w:pPr>
            <w:r w:rsidRPr="00944B15">
              <w:rPr>
                <w:rFonts w:eastAsia="Times New Roman" w:cs="Times New Roman"/>
                <w:szCs w:val="24"/>
              </w:rPr>
              <w:t xml:space="preserve">Injectable solution, 50 mg/0.5 </w:t>
            </w:r>
            <w:r>
              <w:rPr>
                <w:rFonts w:eastAsia="Times New Roman" w:cs="Times New Roman"/>
                <w:szCs w:val="24"/>
              </w:rPr>
              <w:t>ml</w:t>
            </w:r>
            <w:r w:rsidRPr="00944B15">
              <w:rPr>
                <w:rFonts w:eastAsia="Times New Roman" w:cs="Times New Roman"/>
                <w:szCs w:val="24"/>
              </w:rPr>
              <w:t xml:space="preserve">, 100 mg/1 </w:t>
            </w:r>
            <w:r>
              <w:rPr>
                <w:rFonts w:eastAsia="Times New Roman" w:cs="Times New Roman"/>
                <w:szCs w:val="24"/>
              </w:rPr>
              <w:t>ml</w:t>
            </w:r>
            <w:r w:rsidRPr="00944B15">
              <w:rPr>
                <w:rFonts w:eastAsia="Times New Roman" w:cs="Times New Roman"/>
                <w:szCs w:val="24"/>
              </w:rPr>
              <w:t xml:space="preserve"> </w:t>
            </w:r>
          </w:p>
        </w:tc>
      </w:tr>
      <w:tr w:rsidR="005409A9" w:rsidRPr="00944B15" w14:paraId="4C19E53C" w14:textId="77777777" w:rsidTr="002D6DD7">
        <w:trPr>
          <w:jc w:val="center"/>
        </w:trPr>
        <w:tc>
          <w:tcPr>
            <w:tcW w:w="2605" w:type="dxa"/>
            <w:hideMark/>
          </w:tcPr>
          <w:p w14:paraId="4DAF31E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tcPr>
          <w:p w14:paraId="5519713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Moderate to severe active rheumatoid arthritis, active and progressive psoriatic arthritis, severe active ankylosing spondylitis, inflammatory bowel diseases, and uveitis</w:t>
            </w:r>
          </w:p>
        </w:tc>
      </w:tr>
      <w:tr w:rsidR="005409A9" w:rsidRPr="00944B15" w14:paraId="1FCF4552" w14:textId="77777777" w:rsidTr="002D6DD7">
        <w:trPr>
          <w:jc w:val="center"/>
        </w:trPr>
        <w:tc>
          <w:tcPr>
            <w:tcW w:w="2605" w:type="dxa"/>
            <w:hideMark/>
          </w:tcPr>
          <w:p w14:paraId="187C11DB"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tcPr>
          <w:p w14:paraId="6AC5B6FA"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Ulcerative colitis</w:t>
            </w:r>
            <w:r>
              <w:rPr>
                <w:rFonts w:eastAsia="Calibri" w:cs="Times New Roman"/>
                <w:b/>
                <w:color w:val="000000"/>
                <w:szCs w:val="24"/>
              </w:rPr>
              <w:t>:</w:t>
            </w:r>
            <w:r w:rsidRPr="00944B15">
              <w:rPr>
                <w:rFonts w:eastAsia="Calibri" w:cs="Times New Roman"/>
                <w:b/>
                <w:color w:val="000000"/>
                <w:szCs w:val="24"/>
              </w:rPr>
              <w:t xml:space="preserve"> </w:t>
            </w:r>
          </w:p>
          <w:p w14:paraId="3E098C68" w14:textId="77777777" w:rsidR="005409A9" w:rsidRPr="00944B15" w:rsidRDefault="005409A9" w:rsidP="002D6DD7">
            <w:pPr>
              <w:autoSpaceDE w:val="0"/>
              <w:autoSpaceDN w:val="0"/>
              <w:adjustRightInd w:val="0"/>
              <w:jc w:val="both"/>
              <w:rPr>
                <w:rFonts w:eastAsia="Calibri" w:cs="Times New Roman"/>
                <w:color w:val="000000"/>
                <w:szCs w:val="24"/>
              </w:rPr>
            </w:pPr>
            <w:r w:rsidRPr="008858B3">
              <w:rPr>
                <w:rFonts w:eastAsia="Calibri" w:cs="Times New Roman"/>
                <w:b/>
                <w:color w:val="000000"/>
                <w:szCs w:val="24"/>
              </w:rPr>
              <w:t>Adult</w:t>
            </w:r>
            <w:r w:rsidRPr="00944B15">
              <w:rPr>
                <w:rFonts w:eastAsia="Calibri" w:cs="Times New Roman"/>
                <w:color w:val="000000"/>
                <w:szCs w:val="24"/>
              </w:rPr>
              <w:t xml:space="preserve"> (body weight up to </w:t>
            </w:r>
            <w:r>
              <w:rPr>
                <w:rFonts w:eastAsia="Calibri" w:cs="Times New Roman"/>
                <w:color w:val="000000"/>
                <w:szCs w:val="24"/>
              </w:rPr>
              <w:t>80 kg): i</w:t>
            </w:r>
            <w:r w:rsidRPr="00944B15">
              <w:rPr>
                <w:rFonts w:eastAsia="Calibri" w:cs="Times New Roman"/>
                <w:color w:val="000000"/>
                <w:szCs w:val="24"/>
              </w:rPr>
              <w:t>nitially 200 mg</w:t>
            </w:r>
            <w:r w:rsidRPr="00944B15">
              <w:rPr>
                <w:rFonts w:cs="Times New Roman"/>
                <w:szCs w:val="24"/>
              </w:rPr>
              <w:t xml:space="preserve"> </w:t>
            </w:r>
            <w:r w:rsidRPr="00944B15">
              <w:rPr>
                <w:rFonts w:eastAsia="Calibri" w:cs="Times New Roman"/>
                <w:color w:val="000000"/>
                <w:szCs w:val="24"/>
              </w:rPr>
              <w:t>subcutaneously, then 100 mg after 2 weeks; maintenance 50 mg every 4 weeks, alternatively maintenance 100 mg every 4 weeks, if inadequate response, review treatment if no response after 4 doses</w:t>
            </w:r>
          </w:p>
          <w:p w14:paraId="0F5C47BA" w14:textId="77777777" w:rsidR="005409A9" w:rsidRPr="00944B15" w:rsidRDefault="005409A9" w:rsidP="002D6DD7">
            <w:pPr>
              <w:autoSpaceDE w:val="0"/>
              <w:autoSpaceDN w:val="0"/>
              <w:adjustRightInd w:val="0"/>
              <w:jc w:val="both"/>
              <w:rPr>
                <w:rFonts w:eastAsia="Calibri" w:cs="Times New Roman"/>
                <w:color w:val="000000"/>
                <w:szCs w:val="24"/>
              </w:rPr>
            </w:pPr>
            <w:r w:rsidRPr="008858B3">
              <w:rPr>
                <w:rFonts w:eastAsia="Calibri" w:cs="Times New Roman"/>
                <w:b/>
                <w:color w:val="000000"/>
                <w:szCs w:val="24"/>
              </w:rPr>
              <w:t>Adult</w:t>
            </w:r>
            <w:r w:rsidRPr="00944B15">
              <w:rPr>
                <w:rFonts w:eastAsia="Calibri" w:cs="Times New Roman"/>
                <w:color w:val="000000"/>
                <w:szCs w:val="24"/>
              </w:rPr>
              <w:t xml:space="preserve"> (body weight 80 kg and above): </w:t>
            </w:r>
            <w:r>
              <w:rPr>
                <w:rFonts w:eastAsia="Calibri" w:cs="Times New Roman"/>
                <w:color w:val="000000"/>
                <w:szCs w:val="24"/>
              </w:rPr>
              <w:t>i</w:t>
            </w:r>
            <w:r w:rsidRPr="00944B15">
              <w:rPr>
                <w:rFonts w:eastAsia="Calibri" w:cs="Times New Roman"/>
                <w:color w:val="000000"/>
                <w:szCs w:val="24"/>
              </w:rPr>
              <w:t>nitially 200 mg subcutaneously, then 100 mg after 2 weeks; maintenance 100 mg every 4 weeks, review treatment if no response after 4 doses</w:t>
            </w:r>
          </w:p>
          <w:p w14:paraId="62386B28" w14:textId="77777777" w:rsidR="005409A9" w:rsidRPr="00944B15" w:rsidRDefault="005409A9" w:rsidP="002D6DD7">
            <w:pPr>
              <w:autoSpaceDE w:val="0"/>
              <w:autoSpaceDN w:val="0"/>
              <w:adjustRightInd w:val="0"/>
              <w:jc w:val="both"/>
              <w:rPr>
                <w:rFonts w:eastAsia="Calibri" w:cs="Times New Roman"/>
                <w:b/>
                <w:color w:val="000000"/>
                <w:szCs w:val="24"/>
              </w:rPr>
            </w:pPr>
            <w:r w:rsidRPr="00944B15">
              <w:rPr>
                <w:rFonts w:eastAsia="Calibri" w:cs="Times New Roman"/>
                <w:b/>
                <w:color w:val="000000"/>
                <w:szCs w:val="24"/>
              </w:rPr>
              <w:t>Rheumatoid arthritis, Psoriatic arthritis, Ankylosing spondylitis, non-radio</w:t>
            </w:r>
            <w:r>
              <w:rPr>
                <w:rFonts w:eastAsia="Calibri" w:cs="Times New Roman"/>
                <w:b/>
                <w:color w:val="000000"/>
                <w:szCs w:val="24"/>
              </w:rPr>
              <w:t>graphic axial spondyloarthritis:</w:t>
            </w:r>
          </w:p>
          <w:p w14:paraId="2973CD67" w14:textId="77777777" w:rsidR="005409A9" w:rsidRPr="00944B15" w:rsidRDefault="005409A9" w:rsidP="002D6DD7">
            <w:pPr>
              <w:autoSpaceDE w:val="0"/>
              <w:autoSpaceDN w:val="0"/>
              <w:adjustRightInd w:val="0"/>
              <w:jc w:val="both"/>
              <w:rPr>
                <w:rFonts w:eastAsia="Calibri" w:cs="Times New Roman"/>
                <w:color w:val="000000"/>
                <w:szCs w:val="24"/>
              </w:rPr>
            </w:pPr>
            <w:r w:rsidRPr="008858B3">
              <w:rPr>
                <w:rFonts w:eastAsia="Calibri" w:cs="Times New Roman"/>
                <w:b/>
                <w:color w:val="000000"/>
                <w:szCs w:val="24"/>
              </w:rPr>
              <w:t>Adult</w:t>
            </w:r>
            <w:r w:rsidRPr="00944B15">
              <w:rPr>
                <w:rFonts w:eastAsia="Calibri" w:cs="Times New Roman"/>
                <w:color w:val="000000"/>
                <w:szCs w:val="24"/>
              </w:rPr>
              <w:t xml:space="preserve"> </w:t>
            </w:r>
            <w:r w:rsidRPr="00CD494D">
              <w:rPr>
                <w:rFonts w:eastAsia="Calibri" w:cs="Times New Roman"/>
                <w:b/>
                <w:color w:val="000000"/>
                <w:szCs w:val="24"/>
              </w:rPr>
              <w:t>(body weight up to 100 kg):</w:t>
            </w:r>
            <w:r w:rsidRPr="00944B15">
              <w:rPr>
                <w:rFonts w:eastAsia="Calibri" w:cs="Times New Roman"/>
                <w:color w:val="000000"/>
                <w:szCs w:val="24"/>
              </w:rPr>
              <w:t xml:space="preserve"> 50 mg subcutaneously once a month, on the same date each month, review treatment if no response after 3–4 doses</w:t>
            </w:r>
          </w:p>
          <w:p w14:paraId="5A9BA329" w14:textId="77777777" w:rsidR="005409A9" w:rsidRPr="00944B15" w:rsidRDefault="005409A9" w:rsidP="002D6DD7">
            <w:pPr>
              <w:autoSpaceDE w:val="0"/>
              <w:autoSpaceDN w:val="0"/>
              <w:adjustRightInd w:val="0"/>
              <w:jc w:val="both"/>
              <w:rPr>
                <w:rFonts w:eastAsia="Calibri" w:cs="Times New Roman"/>
                <w:color w:val="000000"/>
                <w:szCs w:val="24"/>
              </w:rPr>
            </w:pPr>
            <w:r w:rsidRPr="008858B3">
              <w:rPr>
                <w:rFonts w:eastAsia="Calibri" w:cs="Times New Roman"/>
                <w:b/>
                <w:color w:val="000000"/>
                <w:szCs w:val="24"/>
              </w:rPr>
              <w:t>Adult</w:t>
            </w:r>
            <w:r w:rsidRPr="00944B15">
              <w:rPr>
                <w:rFonts w:eastAsia="Calibri" w:cs="Times New Roman"/>
                <w:color w:val="000000"/>
                <w:szCs w:val="24"/>
              </w:rPr>
              <w:t xml:space="preserve"> </w:t>
            </w:r>
            <w:r w:rsidRPr="00CD494D">
              <w:rPr>
                <w:rFonts w:eastAsia="Calibri" w:cs="Times New Roman"/>
                <w:b/>
                <w:color w:val="000000"/>
                <w:szCs w:val="24"/>
              </w:rPr>
              <w:t>(body weight 100 kg and above)</w:t>
            </w:r>
            <w:r>
              <w:rPr>
                <w:rFonts w:eastAsia="Calibri" w:cs="Times New Roman"/>
                <w:color w:val="000000"/>
                <w:szCs w:val="24"/>
              </w:rPr>
              <w:t>: i</w:t>
            </w:r>
            <w:r w:rsidRPr="00944B15">
              <w:rPr>
                <w:rFonts w:eastAsia="Calibri" w:cs="Times New Roman"/>
                <w:color w:val="000000"/>
                <w:szCs w:val="24"/>
              </w:rPr>
              <w:t>nitially 50 mg subcutaneously once a month for 3–4 doses, on the same date each month, dose may be increased if inadequate response, increased to 100 mg subcutaneously once a month, review treatment if inadequate response to this higher dose after 3–4 doses</w:t>
            </w:r>
            <w:r w:rsidR="00CD494D">
              <w:rPr>
                <w:rFonts w:eastAsia="Calibri" w:cs="Times New Roman"/>
                <w:color w:val="000000"/>
                <w:szCs w:val="24"/>
              </w:rPr>
              <w:t>.</w:t>
            </w:r>
          </w:p>
        </w:tc>
      </w:tr>
      <w:tr w:rsidR="005409A9" w:rsidRPr="00944B15" w14:paraId="1F295286" w14:textId="77777777" w:rsidTr="002D6DD7">
        <w:trPr>
          <w:jc w:val="center"/>
        </w:trPr>
        <w:tc>
          <w:tcPr>
            <w:tcW w:w="2605" w:type="dxa"/>
            <w:hideMark/>
          </w:tcPr>
          <w:p w14:paraId="6DA3241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gridSpan w:val="2"/>
          </w:tcPr>
          <w:p w14:paraId="26AB92BE" w14:textId="77777777" w:rsidR="005409A9" w:rsidRPr="00944B15" w:rsidRDefault="005409A9" w:rsidP="002D6DD7">
            <w:pPr>
              <w:shd w:val="clear" w:color="auto" w:fill="FFFFFF"/>
              <w:rPr>
                <w:rFonts w:eastAsia="Times New Roman" w:cs="Times New Roman"/>
                <w:color w:val="000000"/>
                <w:szCs w:val="24"/>
              </w:rPr>
            </w:pPr>
            <w:r w:rsidRPr="00944B15">
              <w:rPr>
                <w:rFonts w:eastAsia="Times New Roman" w:cs="Times New Roman"/>
                <w:color w:val="000000"/>
                <w:szCs w:val="24"/>
              </w:rPr>
              <w:t>Moderate or severe heart failure, severe active infection</w:t>
            </w:r>
          </w:p>
        </w:tc>
      </w:tr>
      <w:tr w:rsidR="005409A9" w:rsidRPr="00944B15" w14:paraId="618C77EF" w14:textId="77777777" w:rsidTr="002D6DD7">
        <w:trPr>
          <w:jc w:val="center"/>
        </w:trPr>
        <w:tc>
          <w:tcPr>
            <w:tcW w:w="2605" w:type="dxa"/>
            <w:hideMark/>
          </w:tcPr>
          <w:p w14:paraId="0F4FADC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tcPr>
          <w:p w14:paraId="7ECB8A7A"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 xml:space="preserve">Abatacept, anakinra, filgotinib, sarilumab, live vaccines </w:t>
            </w:r>
          </w:p>
        </w:tc>
      </w:tr>
      <w:tr w:rsidR="005409A9" w:rsidRPr="00944B15" w14:paraId="307EE84C" w14:textId="77777777" w:rsidTr="002D6DD7">
        <w:trPr>
          <w:jc w:val="center"/>
        </w:trPr>
        <w:tc>
          <w:tcPr>
            <w:tcW w:w="2605" w:type="dxa"/>
            <w:hideMark/>
          </w:tcPr>
          <w:p w14:paraId="64E1F15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gridSpan w:val="2"/>
          </w:tcPr>
          <w:p w14:paraId="4AF4E841"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Abscess, alopecia, anemia, asthenia, asthma, bone fracture, chest discomfort, depression, dizziness, fever, gastrointestinal discomfort, gastrointestinal inflammatory disorders, headache, hypersensitivity, hypertension, increase</w:t>
            </w:r>
            <w:r>
              <w:rPr>
                <w:rFonts w:eastAsia="Times New Roman" w:cs="Times New Roman"/>
                <w:color w:val="000000"/>
                <w:szCs w:val="24"/>
              </w:rPr>
              <w:t>d risk of infection, insomnia, m</w:t>
            </w:r>
            <w:r w:rsidRPr="00944B15">
              <w:rPr>
                <w:rFonts w:eastAsia="Times New Roman" w:cs="Times New Roman"/>
                <w:color w:val="000000"/>
                <w:szCs w:val="24"/>
              </w:rPr>
              <w:t>alignancies, paresthesia, respiratory disorder</w:t>
            </w:r>
            <w:r>
              <w:rPr>
                <w:rFonts w:eastAsia="Times New Roman" w:cs="Times New Roman"/>
                <w:color w:val="000000"/>
                <w:szCs w:val="24"/>
              </w:rPr>
              <w:t>s, skin reactions, stomatitis, d</w:t>
            </w:r>
            <w:r w:rsidRPr="00944B15">
              <w:rPr>
                <w:rFonts w:eastAsia="Times New Roman" w:cs="Times New Roman"/>
                <w:color w:val="000000"/>
                <w:szCs w:val="24"/>
              </w:rPr>
              <w:t>emyelinating disorders</w:t>
            </w:r>
          </w:p>
        </w:tc>
      </w:tr>
      <w:tr w:rsidR="005409A9" w:rsidRPr="00944B15" w14:paraId="090330CC" w14:textId="77777777" w:rsidTr="002D6DD7">
        <w:trPr>
          <w:jc w:val="center"/>
        </w:trPr>
        <w:tc>
          <w:tcPr>
            <w:tcW w:w="2605" w:type="dxa"/>
            <w:hideMark/>
          </w:tcPr>
          <w:p w14:paraId="0FA2678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tcPr>
          <w:p w14:paraId="646B720C"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 xml:space="preserve">Active infection, demyelinating disorders, infection (hepatitis B virus), </w:t>
            </w:r>
            <w:r w:rsidRPr="00944B15">
              <w:rPr>
                <w:rFonts w:eastAsia="Times New Roman" w:cs="Times New Roman"/>
                <w:color w:val="000000"/>
                <w:szCs w:val="24"/>
              </w:rPr>
              <w:t>history or development of malignancy</w:t>
            </w:r>
            <w:r>
              <w:rPr>
                <w:rFonts w:eastAsia="Times New Roman" w:cs="Times New Roman"/>
                <w:color w:val="000000"/>
                <w:szCs w:val="24"/>
              </w:rPr>
              <w:t>, mild heart failure</w:t>
            </w:r>
            <w:r w:rsidRPr="00944B15">
              <w:rPr>
                <w:rFonts w:eastAsia="Times New Roman" w:cs="Times New Roman"/>
                <w:color w:val="000000"/>
                <w:szCs w:val="24"/>
              </w:rPr>
              <w:t>, dysp</w:t>
            </w:r>
            <w:r>
              <w:rPr>
                <w:rFonts w:eastAsia="Times New Roman" w:cs="Times New Roman"/>
                <w:color w:val="000000"/>
                <w:szCs w:val="24"/>
              </w:rPr>
              <w:t>lasia or carcinoma of the colon</w:t>
            </w:r>
            <w:r w:rsidRPr="00944B15">
              <w:rPr>
                <w:rFonts w:eastAsia="Times New Roman" w:cs="Times New Roman"/>
                <w:color w:val="000000"/>
                <w:szCs w:val="24"/>
              </w:rPr>
              <w:t>, pregnancy, breast feeding, hepatic impairment</w:t>
            </w:r>
            <w:r w:rsidR="00CD494D">
              <w:rPr>
                <w:rFonts w:eastAsia="Times New Roman" w:cs="Times New Roman"/>
                <w:color w:val="000000"/>
                <w:szCs w:val="24"/>
              </w:rPr>
              <w:t>.</w:t>
            </w:r>
          </w:p>
        </w:tc>
      </w:tr>
      <w:tr w:rsidR="005409A9" w:rsidRPr="00944B15" w14:paraId="4099ACCD" w14:textId="77777777" w:rsidTr="002D6DD7">
        <w:trPr>
          <w:jc w:val="center"/>
        </w:trPr>
        <w:tc>
          <w:tcPr>
            <w:tcW w:w="2605" w:type="dxa"/>
            <w:hideMark/>
          </w:tcPr>
          <w:p w14:paraId="5A73ADF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22E4DA5B"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Store</w:t>
            </w:r>
            <w:r>
              <w:rPr>
                <w:rFonts w:eastAsia="Times New Roman" w:cs="Times New Roman"/>
                <w:color w:val="000000"/>
                <w:szCs w:val="24"/>
              </w:rPr>
              <w:t xml:space="preserve"> in a refrigerator (2°C to 8°C).</w:t>
            </w:r>
            <w:r w:rsidRPr="00944B15">
              <w:rPr>
                <w:rFonts w:eastAsia="Times New Roman" w:cs="Times New Roman"/>
                <w:color w:val="000000"/>
                <w:szCs w:val="24"/>
              </w:rPr>
              <w:t xml:space="preserve"> Do not freeze</w:t>
            </w:r>
            <w:r w:rsidR="00CD494D">
              <w:rPr>
                <w:rFonts w:eastAsia="Times New Roman" w:cs="Times New Roman"/>
                <w:color w:val="000000"/>
                <w:szCs w:val="24"/>
              </w:rPr>
              <w:t>.</w:t>
            </w:r>
          </w:p>
        </w:tc>
      </w:tr>
      <w:tr w:rsidR="005409A9" w:rsidRPr="00944B15" w14:paraId="70851885" w14:textId="77777777" w:rsidTr="002D6DD7">
        <w:trPr>
          <w:jc w:val="center"/>
        </w:trPr>
        <w:tc>
          <w:tcPr>
            <w:tcW w:w="9350" w:type="dxa"/>
            <w:gridSpan w:val="3"/>
            <w:hideMark/>
          </w:tcPr>
          <w:p w14:paraId="628702D9"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 xml:space="preserve">Infliximab </w:t>
            </w:r>
          </w:p>
        </w:tc>
      </w:tr>
      <w:tr w:rsidR="005409A9" w:rsidRPr="00944B15" w14:paraId="6338768D" w14:textId="77777777" w:rsidTr="002D6DD7">
        <w:trPr>
          <w:jc w:val="center"/>
        </w:trPr>
        <w:tc>
          <w:tcPr>
            <w:tcW w:w="2605" w:type="dxa"/>
            <w:hideMark/>
          </w:tcPr>
          <w:p w14:paraId="3D0A906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tcPr>
          <w:p w14:paraId="59531423"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Immunosuppressant, tumor necrosis factor (TNF) i</w:t>
            </w:r>
            <w:r w:rsidRPr="00944B15">
              <w:rPr>
                <w:rFonts w:eastAsia="Times New Roman" w:cs="Times New Roman"/>
                <w:color w:val="000000"/>
                <w:szCs w:val="24"/>
              </w:rPr>
              <w:t xml:space="preserve">nhibitor </w:t>
            </w:r>
          </w:p>
        </w:tc>
      </w:tr>
      <w:tr w:rsidR="005409A9" w:rsidRPr="00944B15" w14:paraId="3810B0BC" w14:textId="77777777" w:rsidTr="002D6DD7">
        <w:trPr>
          <w:jc w:val="center"/>
        </w:trPr>
        <w:tc>
          <w:tcPr>
            <w:tcW w:w="2605" w:type="dxa"/>
            <w:hideMark/>
          </w:tcPr>
          <w:p w14:paraId="0828F86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tcPr>
          <w:p w14:paraId="26CD966E" w14:textId="77777777" w:rsidR="005409A9" w:rsidRPr="00944B15" w:rsidRDefault="005409A9" w:rsidP="002D6DD7">
            <w:pPr>
              <w:jc w:val="both"/>
              <w:rPr>
                <w:rFonts w:eastAsia="Times New Roman" w:cs="Times New Roman"/>
                <w:szCs w:val="24"/>
              </w:rPr>
            </w:pPr>
            <w:r>
              <w:rPr>
                <w:rFonts w:eastAsia="Times New Roman" w:cs="Times New Roman"/>
                <w:szCs w:val="24"/>
              </w:rPr>
              <w:t>Injection:</w:t>
            </w:r>
            <w:r w:rsidRPr="00944B15">
              <w:rPr>
                <w:rFonts w:eastAsia="Times New Roman" w:cs="Times New Roman"/>
                <w:szCs w:val="24"/>
              </w:rPr>
              <w:t xml:space="preserve"> 100mg vial </w:t>
            </w:r>
          </w:p>
        </w:tc>
      </w:tr>
      <w:tr w:rsidR="005409A9" w:rsidRPr="00944B15" w14:paraId="3A6DE7C9" w14:textId="77777777" w:rsidTr="002D6DD7">
        <w:trPr>
          <w:jc w:val="center"/>
        </w:trPr>
        <w:tc>
          <w:tcPr>
            <w:tcW w:w="2605" w:type="dxa"/>
            <w:hideMark/>
          </w:tcPr>
          <w:p w14:paraId="7358EDAB"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tcPr>
          <w:p w14:paraId="35A29D0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Moderate to severe active rheumatoid arthritis, active and progressive psoriatic arthritis, severe active ankylosing spondylitis, inflammatory bowel disease, plaque psoriasis, uveitis</w:t>
            </w:r>
          </w:p>
        </w:tc>
      </w:tr>
      <w:tr w:rsidR="005409A9" w:rsidRPr="00944B15" w14:paraId="75781152" w14:textId="77777777" w:rsidTr="002D6DD7">
        <w:trPr>
          <w:jc w:val="center"/>
        </w:trPr>
        <w:tc>
          <w:tcPr>
            <w:tcW w:w="2605" w:type="dxa"/>
            <w:hideMark/>
          </w:tcPr>
          <w:p w14:paraId="2561DB3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tcPr>
          <w:p w14:paraId="3624AF78" w14:textId="77777777" w:rsidR="005409A9"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Severe active Crohn’s disease, </w:t>
            </w:r>
            <w:r w:rsidRPr="00CD494D">
              <w:rPr>
                <w:rFonts w:eastAsia="Calibri" w:cs="Times New Roman"/>
                <w:color w:val="000000"/>
                <w:szCs w:val="24"/>
              </w:rPr>
              <w:t>IV infusion</w:t>
            </w:r>
            <w:r w:rsidRPr="00944B15">
              <w:rPr>
                <w:rFonts w:eastAsia="Calibri" w:cs="Times New Roman"/>
                <w:color w:val="000000"/>
                <w:szCs w:val="24"/>
              </w:rPr>
              <w:t>:</w:t>
            </w:r>
          </w:p>
          <w:p w14:paraId="386C4F2F"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5 mg/kg, then 5 mg/kg after 2 weeks, then 5 mg/kg after 4 weeks, if condition has responded, then maintenance 5 mg/kg every 8 weeks</w:t>
            </w:r>
          </w:p>
          <w:p w14:paraId="2E268795" w14:textId="77777777" w:rsidR="005409A9"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Fistulating Crohn’s disease, </w:t>
            </w:r>
            <w:r w:rsidRPr="00CD494D">
              <w:rPr>
                <w:rFonts w:eastAsia="Calibri" w:cs="Times New Roman"/>
                <w:color w:val="000000"/>
                <w:szCs w:val="24"/>
              </w:rPr>
              <w:t>IV infusion</w:t>
            </w:r>
            <w:r w:rsidRPr="00944B15">
              <w:rPr>
                <w:rFonts w:eastAsia="Calibri" w:cs="Times New Roman"/>
                <w:color w:val="000000"/>
                <w:szCs w:val="24"/>
              </w:rPr>
              <w:t xml:space="preserve">: </w:t>
            </w:r>
          </w:p>
          <w:p w14:paraId="172C19E0"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5 mg/kg, then 5 mg/kg after 2 weeks, followed by 5 mg/kg after 4 weeks, if condition has responded consult product literature for guidance on further doses</w:t>
            </w:r>
          </w:p>
          <w:p w14:paraId="11E96970" w14:textId="77777777" w:rsidR="005409A9"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Severe active ulcerative colitis, </w:t>
            </w:r>
            <w:r w:rsidRPr="00CD494D">
              <w:rPr>
                <w:rFonts w:eastAsia="Calibri" w:cs="Times New Roman"/>
                <w:color w:val="000000"/>
                <w:szCs w:val="24"/>
              </w:rPr>
              <w:t>IV infusion:</w:t>
            </w:r>
            <w:r w:rsidRPr="00944B15">
              <w:rPr>
                <w:rFonts w:eastAsia="Calibri" w:cs="Times New Roman"/>
                <w:color w:val="000000"/>
                <w:szCs w:val="24"/>
              </w:rPr>
              <w:t xml:space="preserve"> </w:t>
            </w:r>
          </w:p>
          <w:p w14:paraId="427EB6F8"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i</w:t>
            </w:r>
            <w:r w:rsidRPr="00944B15">
              <w:rPr>
                <w:rFonts w:eastAsia="Calibri" w:cs="Times New Roman"/>
                <w:color w:val="000000"/>
                <w:szCs w:val="24"/>
              </w:rPr>
              <w:t>nitially 5 mg/kg, then 5 mg/kg after 2 weeks, followed by 5 mg/kg after 4 weeks, then 5 mg/kg every 8 weeks, discontinue if no response 14 weeks after initial dose</w:t>
            </w:r>
          </w:p>
          <w:p w14:paraId="123E144D" w14:textId="77777777" w:rsidR="005409A9" w:rsidRPr="00CD494D"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Rheumatoid arthritis (in combination with methotrexate), </w:t>
            </w:r>
            <w:r w:rsidRPr="00CD494D">
              <w:rPr>
                <w:rFonts w:eastAsia="Calibri" w:cs="Times New Roman"/>
                <w:color w:val="000000"/>
                <w:szCs w:val="24"/>
              </w:rPr>
              <w:t xml:space="preserve">IV infusion: </w:t>
            </w:r>
          </w:p>
          <w:p w14:paraId="729D7708"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lastRenderedPageBreak/>
              <w:t>Adult:</w:t>
            </w:r>
            <w:r>
              <w:rPr>
                <w:rFonts w:eastAsia="Calibri" w:cs="Times New Roman"/>
                <w:color w:val="000000"/>
                <w:szCs w:val="24"/>
              </w:rPr>
              <w:t xml:space="preserve"> i</w:t>
            </w:r>
            <w:r w:rsidRPr="00944B15">
              <w:rPr>
                <w:rFonts w:eastAsia="Calibri" w:cs="Times New Roman"/>
                <w:color w:val="000000"/>
                <w:szCs w:val="24"/>
              </w:rPr>
              <w:t>nitially 3 mg/kg, then 3 mg/kg after 2 weeks, followed by 3 mg/kg after 4 weeks, then 3 mg/kg every 8 weeks, dose to be increased only if response is inadequate after 12 weeks of initial treatment, increased in steps of 1.5 mg/kg every 8 weeks, increased if necessary up to 7.5 mg/kg every 8 weeks, alternatively increased if necessary to 3 mg/kg every 4 weeks, discontinue if no response by 12 weeks of initial infusion or after dose adjustment</w:t>
            </w:r>
          </w:p>
          <w:p w14:paraId="1DEC5C6E" w14:textId="77777777" w:rsidR="005409A9"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Ankylosing spondylitis, </w:t>
            </w:r>
            <w:r w:rsidRPr="00CD494D">
              <w:rPr>
                <w:rFonts w:eastAsia="Calibri" w:cs="Times New Roman"/>
                <w:color w:val="000000"/>
                <w:szCs w:val="24"/>
              </w:rPr>
              <w:t>IV infusion</w:t>
            </w:r>
            <w:r w:rsidRPr="00944B15">
              <w:rPr>
                <w:rFonts w:eastAsia="Calibri" w:cs="Times New Roman"/>
                <w:color w:val="000000"/>
                <w:szCs w:val="24"/>
              </w:rPr>
              <w:t xml:space="preserve">: </w:t>
            </w:r>
          </w:p>
          <w:p w14:paraId="0FA29871"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w:t>
            </w:r>
            <w:r w:rsidRPr="00944B15">
              <w:rPr>
                <w:rFonts w:eastAsia="Calibri" w:cs="Times New Roman"/>
                <w:color w:val="000000"/>
                <w:szCs w:val="24"/>
              </w:rPr>
              <w:t>5 mg/kg, then 5 mg/kg after 2 weeks, followed by 5 mg/kg after 4 weeks, then 5 mg/kg every 6–8 weeks, discontinue if no response by 6 weeks of initial infusion</w:t>
            </w:r>
          </w:p>
          <w:p w14:paraId="6BBEEE88" w14:textId="77777777" w:rsidR="005409A9" w:rsidRPr="00CD494D"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Psoriatic arthritis (in combination with methotrexate), </w:t>
            </w:r>
            <w:r w:rsidRPr="00CD494D">
              <w:rPr>
                <w:rFonts w:eastAsia="Calibri" w:cs="Times New Roman"/>
                <w:color w:val="000000"/>
                <w:szCs w:val="24"/>
              </w:rPr>
              <w:t xml:space="preserve">IV infusion: </w:t>
            </w:r>
          </w:p>
          <w:p w14:paraId="16D1BC30"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w:t>
            </w:r>
            <w:r w:rsidRPr="00944B15">
              <w:rPr>
                <w:rFonts w:eastAsia="Calibri" w:cs="Times New Roman"/>
                <w:color w:val="000000"/>
                <w:szCs w:val="24"/>
              </w:rPr>
              <w:t>5 mg/kg, then 5 mg/kg after 2 weeks, followed by 5 mg/kg after 4 weeks, followed by 5 mg/ kg every 8 weeks</w:t>
            </w:r>
          </w:p>
          <w:p w14:paraId="072D3CC1" w14:textId="77777777" w:rsidR="005409A9" w:rsidRDefault="005409A9"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 xml:space="preserve">Plaque psoriasis, </w:t>
            </w:r>
            <w:r w:rsidRPr="00CD494D">
              <w:rPr>
                <w:rFonts w:eastAsia="Calibri" w:cs="Times New Roman"/>
                <w:color w:val="000000"/>
                <w:szCs w:val="24"/>
              </w:rPr>
              <w:t>IV infusion:</w:t>
            </w:r>
            <w:r w:rsidRPr="00944B15">
              <w:rPr>
                <w:rFonts w:eastAsia="Calibri" w:cs="Times New Roman"/>
                <w:color w:val="000000"/>
                <w:szCs w:val="24"/>
              </w:rPr>
              <w:t xml:space="preserve"> </w:t>
            </w:r>
          </w:p>
          <w:p w14:paraId="6D807E3E" w14:textId="77777777" w:rsidR="005409A9" w:rsidRPr="00944B15" w:rsidRDefault="005409A9" w:rsidP="002D6DD7">
            <w:pPr>
              <w:autoSpaceDE w:val="0"/>
              <w:autoSpaceDN w:val="0"/>
              <w:adjustRightInd w:val="0"/>
              <w:jc w:val="both"/>
              <w:rPr>
                <w:rFonts w:eastAsia="Calibri" w:cs="Times New Roman"/>
                <w:color w:val="000000"/>
                <w:szCs w:val="24"/>
              </w:rPr>
            </w:pPr>
            <w:r w:rsidRPr="003A70DC">
              <w:rPr>
                <w:rFonts w:eastAsia="Calibri" w:cs="Times New Roman"/>
                <w:b/>
                <w:color w:val="000000"/>
                <w:szCs w:val="24"/>
              </w:rPr>
              <w:t>Adult:</w:t>
            </w:r>
            <w:r>
              <w:rPr>
                <w:rFonts w:eastAsia="Calibri" w:cs="Times New Roman"/>
                <w:color w:val="000000"/>
                <w:szCs w:val="24"/>
              </w:rPr>
              <w:t xml:space="preserve"> </w:t>
            </w:r>
            <w:r w:rsidRPr="00944B15">
              <w:rPr>
                <w:rFonts w:eastAsia="Calibri" w:cs="Times New Roman"/>
                <w:color w:val="000000"/>
                <w:szCs w:val="24"/>
              </w:rPr>
              <w:t xml:space="preserve">5 mg/kg, then 5 mg/kg after 2 weeks, followed by 5 mg/kg after 4 weeks, then 5 mg/kg every 8 weeks, discontinue if no response within 14 weeks of initial infusion </w:t>
            </w:r>
          </w:p>
        </w:tc>
      </w:tr>
      <w:tr w:rsidR="005409A9" w:rsidRPr="00944B15" w14:paraId="7890AA9D" w14:textId="77777777" w:rsidTr="002D6DD7">
        <w:trPr>
          <w:jc w:val="center"/>
        </w:trPr>
        <w:tc>
          <w:tcPr>
            <w:tcW w:w="2605" w:type="dxa"/>
            <w:hideMark/>
          </w:tcPr>
          <w:p w14:paraId="1A3D804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tcPr>
          <w:p w14:paraId="446F2FFC" w14:textId="77777777" w:rsidR="005409A9" w:rsidRPr="00944B15" w:rsidRDefault="005409A9" w:rsidP="002D6DD7">
            <w:pPr>
              <w:shd w:val="clear" w:color="auto" w:fill="FFFFFF"/>
              <w:rPr>
                <w:rFonts w:eastAsia="Times New Roman" w:cs="Times New Roman"/>
                <w:color w:val="000000"/>
                <w:szCs w:val="24"/>
              </w:rPr>
            </w:pPr>
            <w:r w:rsidRPr="00944B15">
              <w:rPr>
                <w:rFonts w:eastAsia="Times New Roman" w:cs="Times New Roman"/>
                <w:color w:val="000000"/>
                <w:szCs w:val="24"/>
              </w:rPr>
              <w:t>Moderate or severe heart failure, severe infections</w:t>
            </w:r>
          </w:p>
        </w:tc>
      </w:tr>
      <w:tr w:rsidR="005409A9" w:rsidRPr="00944B15" w14:paraId="4275C5CB" w14:textId="77777777" w:rsidTr="002D6DD7">
        <w:trPr>
          <w:trHeight w:val="1322"/>
          <w:jc w:val="center"/>
        </w:trPr>
        <w:tc>
          <w:tcPr>
            <w:tcW w:w="2605" w:type="dxa"/>
            <w:hideMark/>
          </w:tcPr>
          <w:p w14:paraId="60EE419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tcPr>
          <w:p w14:paraId="2F574819"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Activated charcoal, f</w:t>
            </w:r>
            <w:r w:rsidRPr="00944B15">
              <w:rPr>
                <w:rFonts w:eastAsia="Times New Roman" w:cs="Times New Roman"/>
                <w:color w:val="000000"/>
                <w:szCs w:val="24"/>
              </w:rPr>
              <w:t>ish oils (omega-3 polyunsaturated fatty acids), azathioprine, atorvastatin, esomeprazole, acetaminophen, quetiapine, rivaroxaban, cetirizine.</w:t>
            </w:r>
          </w:p>
        </w:tc>
      </w:tr>
      <w:tr w:rsidR="005409A9" w:rsidRPr="00944B15" w14:paraId="0A16BD65" w14:textId="77777777" w:rsidTr="002D6DD7">
        <w:trPr>
          <w:jc w:val="center"/>
        </w:trPr>
        <w:tc>
          <w:tcPr>
            <w:tcW w:w="2605" w:type="dxa"/>
            <w:hideMark/>
          </w:tcPr>
          <w:p w14:paraId="3B31C70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gridSpan w:val="2"/>
          </w:tcPr>
          <w:p w14:paraId="7FAC250F"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Abscess, alopecia, anaemia, arrhythmias, arthralgia, chest pain, chills, constipation, decreased leucocytes, depression, diarrhea, dizziness, dyspnea, eye inflammation, fatigue, fever, GI discomfort, GI disorders, hemorrhage, headache, hepatic disorder</w:t>
            </w:r>
            <w:r>
              <w:rPr>
                <w:rFonts w:eastAsia="Times New Roman" w:cs="Times New Roman"/>
                <w:color w:val="000000"/>
                <w:szCs w:val="24"/>
              </w:rPr>
              <w:t xml:space="preserve">s, hyperhidrosis, hypertension, </w:t>
            </w:r>
            <w:r w:rsidRPr="00944B15">
              <w:rPr>
                <w:rFonts w:eastAsia="Times New Roman" w:cs="Times New Roman"/>
                <w:color w:val="000000"/>
                <w:szCs w:val="24"/>
              </w:rPr>
              <w:t xml:space="preserve">hypotension, increased risk of infection, infusion related reaction, insomnia, lymphadenopathy, myalgia, nausea, neutropenia, edema, pain, palpitations, respiratory </w:t>
            </w:r>
            <w:r w:rsidRPr="00944B15">
              <w:rPr>
                <w:rFonts w:eastAsia="Times New Roman" w:cs="Times New Roman"/>
                <w:color w:val="000000"/>
                <w:szCs w:val="24"/>
              </w:rPr>
              <w:lastRenderedPageBreak/>
              <w:t>disorders, sensation abnormal, sepsis, skin rea</w:t>
            </w:r>
            <w:r>
              <w:rPr>
                <w:rFonts w:eastAsia="Times New Roman" w:cs="Times New Roman"/>
                <w:color w:val="000000"/>
                <w:szCs w:val="24"/>
              </w:rPr>
              <w:t>ctions, vasodilation, vertigo, a</w:t>
            </w:r>
            <w:r w:rsidRPr="00944B15">
              <w:rPr>
                <w:rFonts w:eastAsia="Times New Roman" w:cs="Times New Roman"/>
                <w:color w:val="000000"/>
                <w:szCs w:val="24"/>
              </w:rPr>
              <w:t>nxiety, cheilitis, cholecystitis, confusion, drowsiness, healing impaired, heart failure, hypersensitivity, lupus-like syndrome, lymphocytosis, memory loss, neoplasms, nerve disorders, pancreatitis, peripheral ischemia, pulmonary edema, seborrhea, seizure, syncope, thro</w:t>
            </w:r>
            <w:r>
              <w:rPr>
                <w:rFonts w:eastAsia="Times New Roman" w:cs="Times New Roman"/>
                <w:color w:val="000000"/>
                <w:szCs w:val="24"/>
              </w:rPr>
              <w:t>mbocytopenia, thrombophlebitis a</w:t>
            </w:r>
            <w:r w:rsidRPr="00944B15">
              <w:rPr>
                <w:rFonts w:eastAsia="Times New Roman" w:cs="Times New Roman"/>
                <w:color w:val="000000"/>
                <w:szCs w:val="24"/>
              </w:rPr>
              <w:t>granulocytosis, circulatory collapse, cyanosis, demyelinating disorders, granuloma, hemolytic anaemia, hepatitis B reactivation, meningitis, pancytopenia, pericardial effusion, sarcoidosis, SCARs, transverse my</w:t>
            </w:r>
            <w:r>
              <w:rPr>
                <w:rFonts w:eastAsia="Times New Roman" w:cs="Times New Roman"/>
                <w:color w:val="000000"/>
                <w:szCs w:val="24"/>
              </w:rPr>
              <w:t>elitis, vasculitis, vasospasm, d</w:t>
            </w:r>
            <w:r w:rsidRPr="00944B15">
              <w:rPr>
                <w:rFonts w:eastAsia="Times New Roman" w:cs="Times New Roman"/>
                <w:color w:val="000000"/>
                <w:szCs w:val="24"/>
              </w:rPr>
              <w:t>ermatomyositis exacerbated, hepatosplenic T-cell lymphoma (increased risk in inflammatory bowel disease), MI, myocardial ischemia, vision loss.</w:t>
            </w:r>
          </w:p>
        </w:tc>
      </w:tr>
      <w:tr w:rsidR="005409A9" w:rsidRPr="00944B15" w14:paraId="4F39D339" w14:textId="77777777" w:rsidTr="002D6DD7">
        <w:trPr>
          <w:jc w:val="center"/>
        </w:trPr>
        <w:tc>
          <w:tcPr>
            <w:tcW w:w="2605" w:type="dxa"/>
            <w:hideMark/>
          </w:tcPr>
          <w:p w14:paraId="256C726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745" w:type="dxa"/>
            <w:gridSpan w:val="2"/>
          </w:tcPr>
          <w:p w14:paraId="4C6EBC47" w14:textId="77777777" w:rsidR="005409A9" w:rsidRPr="00944B15" w:rsidRDefault="005409A9" w:rsidP="002D6DD7">
            <w:pPr>
              <w:jc w:val="both"/>
              <w:rPr>
                <w:rFonts w:eastAsia="Times New Roman" w:cs="Times New Roman"/>
                <w:color w:val="000000"/>
                <w:szCs w:val="24"/>
              </w:rPr>
            </w:pPr>
            <w:r>
              <w:rPr>
                <w:rFonts w:eastAsia="Times New Roman" w:cs="Times New Roman"/>
                <w:color w:val="000000"/>
                <w:szCs w:val="24"/>
              </w:rPr>
              <w:t xml:space="preserve">Demyelinating disorders, </w:t>
            </w:r>
            <w:r w:rsidRPr="00944B15">
              <w:rPr>
                <w:rFonts w:eastAsia="Times New Roman" w:cs="Times New Roman"/>
                <w:color w:val="000000"/>
                <w:szCs w:val="24"/>
              </w:rPr>
              <w:t xml:space="preserve">dermatomyositis, development of malignancy, </w:t>
            </w:r>
            <w:r>
              <w:rPr>
                <w:rFonts w:eastAsia="Times New Roman" w:cs="Times New Roman"/>
                <w:color w:val="000000"/>
                <w:szCs w:val="24"/>
              </w:rPr>
              <w:t>infection</w:t>
            </w:r>
            <w:r w:rsidRPr="00944B15">
              <w:rPr>
                <w:rFonts w:eastAsia="Times New Roman" w:cs="Times New Roman"/>
                <w:color w:val="000000"/>
                <w:szCs w:val="24"/>
              </w:rPr>
              <w:t xml:space="preserve"> </w:t>
            </w:r>
            <w:r>
              <w:rPr>
                <w:rFonts w:eastAsia="Times New Roman" w:cs="Times New Roman"/>
                <w:color w:val="000000"/>
                <w:szCs w:val="24"/>
              </w:rPr>
              <w:t>(</w:t>
            </w:r>
            <w:r w:rsidRPr="00944B15">
              <w:rPr>
                <w:rFonts w:eastAsia="Times New Roman" w:cs="Times New Roman"/>
                <w:color w:val="000000"/>
                <w:szCs w:val="24"/>
              </w:rPr>
              <w:t>hepatitis B vi</w:t>
            </w:r>
            <w:r>
              <w:rPr>
                <w:rFonts w:eastAsia="Times New Roman" w:cs="Times New Roman"/>
                <w:color w:val="000000"/>
                <w:szCs w:val="24"/>
              </w:rPr>
              <w:t>rus)</w:t>
            </w:r>
            <w:r w:rsidRPr="00944B15">
              <w:rPr>
                <w:rFonts w:eastAsia="Times New Roman" w:cs="Times New Roman"/>
                <w:color w:val="000000"/>
                <w:szCs w:val="24"/>
              </w:rPr>
              <w:t>, history o</w:t>
            </w:r>
            <w:r>
              <w:rPr>
                <w:rFonts w:eastAsia="Times New Roman" w:cs="Times New Roman"/>
                <w:color w:val="000000"/>
                <w:szCs w:val="24"/>
              </w:rPr>
              <w:t xml:space="preserve">f colon carcinoma, history of dysplasia, </w:t>
            </w:r>
            <w:r w:rsidRPr="00944B15">
              <w:rPr>
                <w:rFonts w:eastAsia="Times New Roman" w:cs="Times New Roman"/>
                <w:color w:val="000000"/>
                <w:szCs w:val="24"/>
              </w:rPr>
              <w:t>history of malignancy, history of prolonged immunosuppressant or PUVA treatment in patients wit</w:t>
            </w:r>
            <w:r>
              <w:rPr>
                <w:rFonts w:eastAsia="Times New Roman" w:cs="Times New Roman"/>
                <w:color w:val="000000"/>
                <w:szCs w:val="24"/>
              </w:rPr>
              <w:t xml:space="preserve">h psoriasis, mild heart failure, </w:t>
            </w:r>
            <w:r w:rsidRPr="00944B15">
              <w:rPr>
                <w:rFonts w:eastAsia="Times New Roman" w:cs="Times New Roman"/>
                <w:color w:val="000000"/>
                <w:szCs w:val="24"/>
              </w:rPr>
              <w:t>pregnancy, breast feeding</w:t>
            </w:r>
          </w:p>
        </w:tc>
      </w:tr>
      <w:tr w:rsidR="005409A9" w:rsidRPr="00944B15" w14:paraId="7682D5CA" w14:textId="77777777" w:rsidTr="002D6DD7">
        <w:trPr>
          <w:jc w:val="center"/>
        </w:trPr>
        <w:tc>
          <w:tcPr>
            <w:tcW w:w="2605" w:type="dxa"/>
            <w:hideMark/>
          </w:tcPr>
          <w:p w14:paraId="78690CF7"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71236912"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 xml:space="preserve">Store </w:t>
            </w:r>
            <w:r>
              <w:rPr>
                <w:rFonts w:eastAsia="Times New Roman" w:cs="Times New Roman"/>
                <w:color w:val="000000"/>
                <w:szCs w:val="24"/>
              </w:rPr>
              <w:t>refrigerated between 2°C to 8°C</w:t>
            </w:r>
            <w:r w:rsidRPr="00944B15">
              <w:rPr>
                <w:rFonts w:eastAsia="Times New Roman" w:cs="Times New Roman"/>
                <w:color w:val="000000"/>
                <w:szCs w:val="24"/>
              </w:rPr>
              <w:t>. Do not freeze.</w:t>
            </w:r>
          </w:p>
        </w:tc>
      </w:tr>
      <w:tr w:rsidR="005409A9" w:rsidRPr="00944B15" w14:paraId="757555D7" w14:textId="77777777" w:rsidTr="002D6DD7">
        <w:trPr>
          <w:jc w:val="center"/>
        </w:trPr>
        <w:tc>
          <w:tcPr>
            <w:tcW w:w="9350" w:type="dxa"/>
            <w:gridSpan w:val="3"/>
            <w:hideMark/>
          </w:tcPr>
          <w:p w14:paraId="1450A923"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Lenalidomide</w:t>
            </w:r>
          </w:p>
        </w:tc>
      </w:tr>
      <w:tr w:rsidR="005409A9" w:rsidRPr="00944B15" w14:paraId="3B9B93E8" w14:textId="77777777" w:rsidTr="002D6DD7">
        <w:trPr>
          <w:jc w:val="center"/>
        </w:trPr>
        <w:tc>
          <w:tcPr>
            <w:tcW w:w="2605" w:type="dxa"/>
            <w:hideMark/>
          </w:tcPr>
          <w:p w14:paraId="316B06C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71F0BD50" w14:textId="77777777" w:rsidR="005409A9" w:rsidRPr="00944B15" w:rsidRDefault="005409A9" w:rsidP="002D6DD7">
            <w:pPr>
              <w:rPr>
                <w:rFonts w:eastAsia="Times New Roman" w:cs="Times New Roman"/>
                <w:color w:val="000000"/>
                <w:szCs w:val="24"/>
              </w:rPr>
            </w:pPr>
            <w:r w:rsidRPr="00944B15">
              <w:rPr>
                <w:rFonts w:eastAsia="Times New Roman" w:cs="Times New Roman"/>
                <w:color w:val="000000"/>
                <w:szCs w:val="24"/>
              </w:rPr>
              <w:t>Immunosuppressant, anti-neoplastic, anti-angiogenic, and proerythropoietic properties</w:t>
            </w:r>
          </w:p>
        </w:tc>
      </w:tr>
      <w:tr w:rsidR="005409A9" w:rsidRPr="00944B15" w14:paraId="08ACAD09" w14:textId="77777777" w:rsidTr="002D6DD7">
        <w:trPr>
          <w:jc w:val="center"/>
        </w:trPr>
        <w:tc>
          <w:tcPr>
            <w:tcW w:w="2605" w:type="dxa"/>
            <w:hideMark/>
          </w:tcPr>
          <w:p w14:paraId="5A86103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hideMark/>
          </w:tcPr>
          <w:p w14:paraId="6428B4CB" w14:textId="77777777" w:rsidR="005409A9" w:rsidRPr="00944B15" w:rsidRDefault="005409A9" w:rsidP="002D6DD7">
            <w:pPr>
              <w:tabs>
                <w:tab w:val="left" w:pos="1888"/>
              </w:tabs>
              <w:autoSpaceDE w:val="0"/>
              <w:autoSpaceDN w:val="0"/>
              <w:adjustRightInd w:val="0"/>
              <w:rPr>
                <w:rFonts w:eastAsia="Calibri" w:cs="Times New Roman"/>
                <w:color w:val="000000"/>
                <w:szCs w:val="24"/>
                <w:lang w:val="nb-NO"/>
              </w:rPr>
            </w:pPr>
            <w:r w:rsidRPr="00944B15">
              <w:rPr>
                <w:rFonts w:eastAsia="Calibri" w:cs="Times New Roman"/>
                <w:color w:val="000000"/>
                <w:szCs w:val="24"/>
                <w:lang w:val="nb-NO"/>
              </w:rPr>
              <w:t>Capsule: 5 mg, 10 mg, 15 mg, 25 mg</w:t>
            </w:r>
          </w:p>
        </w:tc>
      </w:tr>
      <w:tr w:rsidR="005409A9" w:rsidRPr="00944B15" w14:paraId="4C6224DB" w14:textId="77777777" w:rsidTr="002D6DD7">
        <w:trPr>
          <w:jc w:val="center"/>
        </w:trPr>
        <w:tc>
          <w:tcPr>
            <w:tcW w:w="2605" w:type="dxa"/>
            <w:hideMark/>
          </w:tcPr>
          <w:p w14:paraId="6376EB37"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642A789E"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iCs/>
                <w:color w:val="000000"/>
                <w:szCs w:val="24"/>
              </w:rPr>
              <w:t>Multiple myeloma, myelodysplastic syndrome, mantle cell lymphoma, follicular lymphoma (in combination with rituximab)</w:t>
            </w:r>
          </w:p>
        </w:tc>
      </w:tr>
      <w:tr w:rsidR="005409A9" w:rsidRPr="00944B15" w14:paraId="5B06B9E7" w14:textId="77777777" w:rsidTr="002D6DD7">
        <w:trPr>
          <w:jc w:val="center"/>
        </w:trPr>
        <w:tc>
          <w:tcPr>
            <w:tcW w:w="2605" w:type="dxa"/>
            <w:hideMark/>
          </w:tcPr>
          <w:p w14:paraId="6C2CCF2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hideMark/>
          </w:tcPr>
          <w:p w14:paraId="0E132292"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Newly diagnosed multiple myeloma in patients who have undergone autologous stem cell transplantation</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0F21FF01"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10 mg once daily for 28 consecutive days of repeated 28 -day cycles; increased if tolerated to 15 mg once daily</w:t>
            </w:r>
          </w:p>
          <w:p w14:paraId="2640732D" w14:textId="77777777" w:rsidR="005409A9" w:rsidRPr="00CD494D"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 xml:space="preserve">Newly diagnosed multiple myeloma in patients not eligible for transplant (in combination with dexamethasone), multiple myeloma in patients who have received at least one prior </w:t>
            </w:r>
            <w:r w:rsidRPr="00944B15">
              <w:rPr>
                <w:rFonts w:eastAsia="Times New Roman" w:cs="Times New Roman"/>
                <w:b/>
                <w:iCs/>
                <w:color w:val="000000"/>
                <w:szCs w:val="24"/>
              </w:rPr>
              <w:lastRenderedPageBreak/>
              <w:t>therapy (in combination with dexamethasone</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118F4677"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25 mg once daily for 21 consecutive days of repeated 28 -day cycles, for doses of dexamethasone, and dose adjustments due to side-effects</w:t>
            </w:r>
          </w:p>
          <w:p w14:paraId="408EF0CA"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Newly diagnosed multiple myeloma in patients not eligible for transplant (in combination with melphalan and prednisone)</w:t>
            </w:r>
            <w:r w:rsidR="00CD494D">
              <w:rPr>
                <w:rFonts w:eastAsia="Times New Roman" w:cs="Times New Roman"/>
                <w:b/>
                <w:iCs/>
                <w:color w:val="000000"/>
                <w:szCs w:val="24"/>
              </w:rPr>
              <w:t>,</w:t>
            </w:r>
            <w:r>
              <w:rPr>
                <w:rFonts w:eastAsia="Times New Roman" w:cs="Times New Roman"/>
                <w:b/>
                <w:iCs/>
                <w:color w:val="000000"/>
                <w:szCs w:val="24"/>
              </w:rPr>
              <w:t xml:space="preserve"> </w:t>
            </w:r>
            <w:r w:rsidRPr="00CD494D">
              <w:rPr>
                <w:rFonts w:eastAsia="Times New Roman" w:cs="Times New Roman"/>
                <w:iCs/>
                <w:color w:val="000000"/>
                <w:szCs w:val="24"/>
              </w:rPr>
              <w:t>oral</w:t>
            </w:r>
            <w:r w:rsidR="00CD494D" w:rsidRPr="00CD494D">
              <w:rPr>
                <w:rFonts w:eastAsia="Times New Roman" w:cs="Times New Roman"/>
                <w:iCs/>
                <w:color w:val="000000"/>
                <w:szCs w:val="24"/>
              </w:rPr>
              <w:t>:</w:t>
            </w:r>
            <w:r w:rsidRPr="00944B15">
              <w:rPr>
                <w:rFonts w:eastAsia="Times New Roman" w:cs="Times New Roman"/>
                <w:b/>
                <w:iCs/>
                <w:color w:val="000000"/>
                <w:szCs w:val="24"/>
              </w:rPr>
              <w:t xml:space="preserve"> </w:t>
            </w:r>
          </w:p>
          <w:p w14:paraId="46B839A4"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10 mg once daily for 21 consecutive days of repeated 28 -day cycles for up to 9 cycles, patients who complete 9 cycles or are intolerant to combination therapy should continue treatment with lenalidomide as monotherapy, for doses of melphalan and prednisone</w:t>
            </w:r>
          </w:p>
          <w:p w14:paraId="248834A0" w14:textId="77777777" w:rsidR="005409A9" w:rsidRPr="00CD494D"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Newly diagnosed multiple myeloma in patients not eligible for transplant (in combination with bortezomib and dexamethasone)</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sidRPr="00CD494D">
              <w:rPr>
                <w:rFonts w:eastAsia="Times New Roman" w:cs="Times New Roman"/>
                <w:iCs/>
                <w:color w:val="000000"/>
                <w:szCs w:val="24"/>
              </w:rPr>
              <w:t>:</w:t>
            </w:r>
          </w:p>
          <w:p w14:paraId="1857B51F"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25mg once daily for 14 consecutive days of repeated 21 -day cycles for up to 8 cycles, followed by 25 mg once daily for 21 consecutive days of repeated 28 -day cycles (in combination with dexamethasone alone), for doses of bortezomib and dexamethasone</w:t>
            </w:r>
          </w:p>
          <w:p w14:paraId="77CC1550"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Myelodysplastic syndromes</w:t>
            </w:r>
            <w:r w:rsidR="00CD494D">
              <w:rPr>
                <w:rFonts w:eastAsia="Times New Roman" w:cs="Times New Roman"/>
                <w:b/>
                <w:iCs/>
                <w:color w:val="000000"/>
                <w:szCs w:val="24"/>
              </w:rPr>
              <w:t>,</w:t>
            </w:r>
            <w:r>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6B5AA0F6"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10 mg once daily for 21 consecutive days of repeated28-day cycles</w:t>
            </w:r>
          </w:p>
          <w:p w14:paraId="0EDDE3CC" w14:textId="77777777" w:rsidR="005409A9" w:rsidRPr="00CD494D" w:rsidRDefault="005409A9" w:rsidP="002D6DD7">
            <w:pPr>
              <w:autoSpaceDE w:val="0"/>
              <w:autoSpaceDN w:val="0"/>
              <w:adjustRightInd w:val="0"/>
              <w:jc w:val="both"/>
              <w:rPr>
                <w:rFonts w:eastAsia="Times New Roman" w:cs="Times New Roman"/>
                <w:iCs/>
                <w:color w:val="000000"/>
                <w:szCs w:val="24"/>
              </w:rPr>
            </w:pPr>
            <w:r>
              <w:rPr>
                <w:rFonts w:eastAsia="Times New Roman" w:cs="Times New Roman"/>
                <w:b/>
                <w:iCs/>
                <w:color w:val="000000"/>
                <w:szCs w:val="24"/>
              </w:rPr>
              <w:t>Mantle cell lymphoma</w:t>
            </w:r>
            <w:r w:rsidR="00CD494D">
              <w:rPr>
                <w:rFonts w:eastAsia="Times New Roman" w:cs="Times New Roman"/>
                <w:b/>
                <w:iCs/>
                <w:color w:val="000000"/>
                <w:szCs w:val="24"/>
              </w:rPr>
              <w:t>,</w:t>
            </w:r>
            <w:r>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7178C845"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25 mg once daily for 21 consecutive</w:t>
            </w:r>
            <w:r>
              <w:rPr>
                <w:rFonts w:eastAsia="Times New Roman" w:cs="Times New Roman"/>
                <w:iCs/>
                <w:color w:val="000000"/>
                <w:szCs w:val="24"/>
              </w:rPr>
              <w:t xml:space="preserve"> days of repeated 28-day cycles</w:t>
            </w:r>
          </w:p>
          <w:p w14:paraId="41A803FD" w14:textId="77777777" w:rsidR="005409A9" w:rsidRPr="00CD494D"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Follicular lymphoma (in combination with rituximab)</w:t>
            </w:r>
            <w:r w:rsidR="00CD494D">
              <w:rPr>
                <w:rFonts w:eastAsia="Times New Roman" w:cs="Times New Roman"/>
                <w:b/>
                <w:iCs/>
                <w:color w:val="000000"/>
                <w:szCs w:val="24"/>
              </w:rPr>
              <w:t>,</w:t>
            </w:r>
            <w:r w:rsidRPr="00CD494D">
              <w:rPr>
                <w:rFonts w:eastAsia="Times New Roman" w:cs="Times New Roman"/>
                <w:iCs/>
                <w:color w:val="000000"/>
                <w:szCs w:val="24"/>
              </w:rPr>
              <w:t xml:space="preserve"> oral</w:t>
            </w:r>
            <w:r w:rsidR="00CD494D">
              <w:rPr>
                <w:rFonts w:eastAsia="Times New Roman" w:cs="Times New Roman"/>
                <w:iCs/>
                <w:color w:val="000000"/>
                <w:szCs w:val="24"/>
              </w:rPr>
              <w:t>:</w:t>
            </w:r>
          </w:p>
          <w:p w14:paraId="65ADE3BD"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36896">
              <w:rPr>
                <w:rFonts w:eastAsia="Times New Roman" w:cs="Times New Roman"/>
                <w:b/>
                <w:iCs/>
                <w:color w:val="000000"/>
                <w:szCs w:val="24"/>
              </w:rPr>
              <w:t>Adult:</w:t>
            </w:r>
            <w:r w:rsidRPr="00944B15">
              <w:rPr>
                <w:rFonts w:eastAsia="Times New Roman" w:cs="Times New Roman"/>
                <w:iCs/>
                <w:color w:val="000000"/>
                <w:szCs w:val="24"/>
              </w:rPr>
              <w:t xml:space="preserve"> 20 mg once daily for 21 consecutive days of repeated 28 -day cycles for up to 12 cycles, for doses of rituximab</w:t>
            </w:r>
          </w:p>
        </w:tc>
      </w:tr>
      <w:tr w:rsidR="005409A9" w:rsidRPr="00944B15" w14:paraId="69AC19BA" w14:textId="77777777" w:rsidTr="002D6DD7">
        <w:trPr>
          <w:jc w:val="center"/>
        </w:trPr>
        <w:tc>
          <w:tcPr>
            <w:tcW w:w="2605" w:type="dxa"/>
            <w:hideMark/>
          </w:tcPr>
          <w:p w14:paraId="2C16B08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hideMark/>
          </w:tcPr>
          <w:p w14:paraId="7D7E19AE"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Hypersensitivity to the </w:t>
            </w:r>
            <w:r>
              <w:rPr>
                <w:rFonts w:eastAsia="Times New Roman" w:cs="Times New Roman"/>
                <w:color w:val="000000"/>
                <w:szCs w:val="24"/>
              </w:rPr>
              <w:t>drug</w:t>
            </w:r>
            <w:r w:rsidRPr="00944B15">
              <w:rPr>
                <w:rFonts w:eastAsia="Times New Roman" w:cs="Times New Roman"/>
                <w:color w:val="000000"/>
                <w:szCs w:val="24"/>
              </w:rPr>
              <w:t xml:space="preserve">, pregnancy, </w:t>
            </w:r>
          </w:p>
        </w:tc>
      </w:tr>
      <w:tr w:rsidR="005409A9" w:rsidRPr="00944B15" w14:paraId="4C8B5F1E" w14:textId="77777777" w:rsidTr="002D6DD7">
        <w:trPr>
          <w:jc w:val="center"/>
        </w:trPr>
        <w:tc>
          <w:tcPr>
            <w:tcW w:w="2605" w:type="dxa"/>
            <w:hideMark/>
          </w:tcPr>
          <w:p w14:paraId="0A63D59B"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tcPr>
          <w:p w14:paraId="33065767"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Erythropoietic agents, oral contraceptives, warfarin, digoxin, statins,</w:t>
            </w:r>
          </w:p>
          <w:p w14:paraId="1553D7D2"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lastRenderedPageBreak/>
              <w:t>alcohol, carbamazepine, doxycycline, fluconazole, vincristine, fluorouracil, Ganciclovir, gemcitabine</w:t>
            </w:r>
          </w:p>
        </w:tc>
      </w:tr>
      <w:tr w:rsidR="005409A9" w:rsidRPr="00944B15" w14:paraId="579C8F54" w14:textId="77777777" w:rsidTr="002D6DD7">
        <w:trPr>
          <w:jc w:val="center"/>
        </w:trPr>
        <w:tc>
          <w:tcPr>
            <w:tcW w:w="2605" w:type="dxa"/>
            <w:hideMark/>
          </w:tcPr>
          <w:p w14:paraId="19CCD4D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gridSpan w:val="2"/>
            <w:hideMark/>
          </w:tcPr>
          <w:p w14:paraId="620E3F3A"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Anaemia, appetite decreased, arthralgia, asthenia, atrial fibrillation, chills, constipation, cough, decreased leucocytes, dehydration, diarrhea, dizziness, dry </w:t>
            </w:r>
            <w:r>
              <w:rPr>
                <w:rFonts w:eastAsia="Times New Roman" w:cs="Times New Roman"/>
                <w:color w:val="000000"/>
                <w:szCs w:val="24"/>
              </w:rPr>
              <w:t>oral</w:t>
            </w:r>
            <w:r w:rsidRPr="00944B15">
              <w:rPr>
                <w:rFonts w:eastAsia="Times New Roman" w:cs="Times New Roman"/>
                <w:color w:val="000000"/>
                <w:szCs w:val="24"/>
              </w:rPr>
              <w:t>, dyspnea, electrolyte imbalance</w:t>
            </w:r>
            <w:r>
              <w:rPr>
                <w:rFonts w:eastAsia="Times New Roman" w:cs="Times New Roman"/>
                <w:color w:val="000000"/>
                <w:szCs w:val="24"/>
              </w:rPr>
              <w:t>, embolism and thrombosis,</w:t>
            </w:r>
            <w:r w:rsidRPr="00944B15">
              <w:rPr>
                <w:rFonts w:eastAsia="Times New Roman" w:cs="Times New Roman"/>
                <w:color w:val="000000"/>
                <w:szCs w:val="24"/>
              </w:rPr>
              <w:t xml:space="preserve"> fever, gastrointestinal discomfort, hemorrhage, headache, heart failure, hyperglycaemia, hypertension, hyperthyroidism, hypotension, hypothyroidism, increased risk of infection, influenza like illness, insomnia, iron overload, lethargy. mood altered, muscle complaints, muscle weakness, myocardial infarction, nausea, neoplasms, neutropenia, night sweats, pain, pancytopenia, paresthesia, peripheral edema, renal failure, respiratory disorders, rhinorrhea, sepsis, skin reactions, taste altered, thrombocytopenia, toothache, tumor flare, vertigo, weight decreased</w:t>
            </w:r>
          </w:p>
        </w:tc>
      </w:tr>
      <w:tr w:rsidR="005409A9" w:rsidRPr="00944B15" w14:paraId="04182397" w14:textId="77777777" w:rsidTr="002D6DD7">
        <w:trPr>
          <w:jc w:val="center"/>
        </w:trPr>
        <w:tc>
          <w:tcPr>
            <w:tcW w:w="2605" w:type="dxa"/>
            <w:hideMark/>
          </w:tcPr>
          <w:p w14:paraId="2C335BA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hideMark/>
          </w:tcPr>
          <w:p w14:paraId="494F590D"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Women of childbearing potential, hematologic disorders, myocardial infarction, renal impairment, avoid blood donation during treatment and for at least 7 days after stopping treatment due to teratogenic risk, high tumor burden, smoking, hypertension, and hyperlipidemia. </w:t>
            </w:r>
          </w:p>
        </w:tc>
      </w:tr>
      <w:tr w:rsidR="005409A9" w:rsidRPr="00944B15" w14:paraId="079AD8E4" w14:textId="77777777" w:rsidTr="002D6DD7">
        <w:trPr>
          <w:jc w:val="center"/>
        </w:trPr>
        <w:tc>
          <w:tcPr>
            <w:tcW w:w="2605" w:type="dxa"/>
            <w:hideMark/>
          </w:tcPr>
          <w:p w14:paraId="2D19FF7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596B61FC"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below 30</w:t>
            </w:r>
            <w:r w:rsidRPr="00944B15">
              <w:rPr>
                <w:rFonts w:eastAsia="Times New Roman" w:cs="Times New Roman"/>
                <w:color w:val="000000"/>
                <w:szCs w:val="24"/>
                <w:vertAlign w:val="superscript"/>
              </w:rPr>
              <w:t>0</w:t>
            </w:r>
            <w:r>
              <w:rPr>
                <w:rFonts w:eastAsia="Times New Roman" w:cs="Times New Roman"/>
                <w:color w:val="000000"/>
                <w:szCs w:val="24"/>
              </w:rPr>
              <w:t>C.</w:t>
            </w:r>
          </w:p>
        </w:tc>
      </w:tr>
      <w:tr w:rsidR="005409A9" w:rsidRPr="00944B15" w14:paraId="6301D5CA" w14:textId="77777777" w:rsidTr="002D6DD7">
        <w:trPr>
          <w:jc w:val="center"/>
        </w:trPr>
        <w:tc>
          <w:tcPr>
            <w:tcW w:w="9350" w:type="dxa"/>
            <w:gridSpan w:val="3"/>
            <w:hideMark/>
          </w:tcPr>
          <w:p w14:paraId="5A7F5C39"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Nivolumab</w:t>
            </w:r>
          </w:p>
        </w:tc>
      </w:tr>
      <w:tr w:rsidR="005409A9" w:rsidRPr="00944B15" w14:paraId="0A659C88" w14:textId="77777777" w:rsidTr="002D6DD7">
        <w:trPr>
          <w:jc w:val="center"/>
        </w:trPr>
        <w:tc>
          <w:tcPr>
            <w:tcW w:w="2605" w:type="dxa"/>
            <w:hideMark/>
          </w:tcPr>
          <w:p w14:paraId="5873937A"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64ED9B2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Immunostimulators</w:t>
            </w:r>
          </w:p>
        </w:tc>
      </w:tr>
      <w:tr w:rsidR="005409A9" w:rsidRPr="00944B15" w14:paraId="60DAB0BA" w14:textId="77777777" w:rsidTr="002D6DD7">
        <w:trPr>
          <w:jc w:val="center"/>
        </w:trPr>
        <w:tc>
          <w:tcPr>
            <w:tcW w:w="2605" w:type="dxa"/>
            <w:hideMark/>
          </w:tcPr>
          <w:p w14:paraId="7732C8D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hideMark/>
          </w:tcPr>
          <w:p w14:paraId="724F2210" w14:textId="77777777" w:rsidR="005409A9" w:rsidRPr="00944B15" w:rsidRDefault="005409A9" w:rsidP="002D6DD7">
            <w:pPr>
              <w:tabs>
                <w:tab w:val="left" w:pos="1888"/>
              </w:tabs>
              <w:autoSpaceDE w:val="0"/>
              <w:autoSpaceDN w:val="0"/>
              <w:adjustRightInd w:val="0"/>
              <w:rPr>
                <w:rFonts w:eastAsia="Calibri" w:cs="Times New Roman"/>
                <w:color w:val="000000"/>
                <w:szCs w:val="24"/>
              </w:rPr>
            </w:pPr>
            <w:r w:rsidRPr="00944B15">
              <w:rPr>
                <w:rFonts w:eastAsia="Calibri" w:cs="Times New Roman"/>
                <w:color w:val="000000"/>
                <w:szCs w:val="24"/>
              </w:rPr>
              <w:t>Solution for injection: 10 mg/</w:t>
            </w:r>
            <w:r>
              <w:rPr>
                <w:rFonts w:eastAsia="Calibri" w:cs="Times New Roman"/>
                <w:color w:val="000000"/>
                <w:szCs w:val="24"/>
              </w:rPr>
              <w:t>ml</w:t>
            </w:r>
          </w:p>
        </w:tc>
      </w:tr>
      <w:tr w:rsidR="005409A9" w:rsidRPr="00944B15" w14:paraId="61389C34" w14:textId="77777777" w:rsidTr="002D6DD7">
        <w:trPr>
          <w:jc w:val="center"/>
        </w:trPr>
        <w:tc>
          <w:tcPr>
            <w:tcW w:w="2605" w:type="dxa"/>
            <w:hideMark/>
          </w:tcPr>
          <w:p w14:paraId="40BAC59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583AC230" w14:textId="77777777" w:rsidR="005409A9" w:rsidRPr="00944B15" w:rsidRDefault="005409A9" w:rsidP="002D6DD7">
            <w:pPr>
              <w:autoSpaceDE w:val="0"/>
              <w:autoSpaceDN w:val="0"/>
              <w:adjustRightInd w:val="0"/>
              <w:jc w:val="both"/>
              <w:rPr>
                <w:rFonts w:eastAsia="Times New Roman" w:cs="Times New Roman"/>
                <w:color w:val="000000"/>
                <w:szCs w:val="24"/>
                <w:shd w:val="clear" w:color="auto" w:fill="FFFFFF"/>
              </w:rPr>
            </w:pPr>
            <w:r w:rsidRPr="00944B15">
              <w:rPr>
                <w:rFonts w:eastAsia="Times New Roman" w:cs="Times New Roman"/>
                <w:color w:val="000000"/>
                <w:szCs w:val="24"/>
                <w:shd w:val="clear" w:color="auto" w:fill="FFFFFF"/>
              </w:rPr>
              <w:t>Melanoma, renal cell carcinoma, non-small cell lung cancer, malignant pleural mesothelioma, urothelial carcinoma, squamous cell cancer o</w:t>
            </w:r>
            <w:r>
              <w:rPr>
                <w:rFonts w:eastAsia="Times New Roman" w:cs="Times New Roman"/>
                <w:color w:val="000000"/>
                <w:szCs w:val="24"/>
                <w:shd w:val="clear" w:color="auto" w:fill="FFFFFF"/>
              </w:rPr>
              <w:t>f the head and neck, classical h</w:t>
            </w:r>
            <w:r w:rsidRPr="00944B15">
              <w:rPr>
                <w:rFonts w:eastAsia="Times New Roman" w:cs="Times New Roman"/>
                <w:color w:val="000000"/>
                <w:szCs w:val="24"/>
                <w:shd w:val="clear" w:color="auto" w:fill="FFFFFF"/>
              </w:rPr>
              <w:t>odgkin lymphoma, gastrointestinal cancer, oesophageal cancer</w:t>
            </w:r>
          </w:p>
        </w:tc>
      </w:tr>
      <w:tr w:rsidR="005409A9" w:rsidRPr="00944B15" w14:paraId="14BF041F" w14:textId="77777777" w:rsidTr="002D6DD7">
        <w:trPr>
          <w:jc w:val="center"/>
        </w:trPr>
        <w:tc>
          <w:tcPr>
            <w:tcW w:w="2605" w:type="dxa"/>
            <w:hideMark/>
          </w:tcPr>
          <w:p w14:paraId="53CD5EE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tcPr>
          <w:p w14:paraId="08BE2F2B" w14:textId="77777777" w:rsidR="005409A9" w:rsidRPr="00CD494D" w:rsidRDefault="005409A9" w:rsidP="002D6DD7">
            <w:pPr>
              <w:autoSpaceDE w:val="0"/>
              <w:autoSpaceDN w:val="0"/>
              <w:adjustRightInd w:val="0"/>
              <w:jc w:val="both"/>
              <w:rPr>
                <w:rFonts w:eastAsia="Times New Roman" w:cs="Times New Roman"/>
                <w:color w:val="000000"/>
                <w:szCs w:val="24"/>
                <w:shd w:val="clear" w:color="auto" w:fill="FFFFFF"/>
              </w:rPr>
            </w:pPr>
            <w:r w:rsidRPr="00944B15">
              <w:rPr>
                <w:rFonts w:eastAsia="Times New Roman" w:cs="Times New Roman"/>
                <w:b/>
                <w:color w:val="000000"/>
                <w:szCs w:val="24"/>
                <w:shd w:val="clear" w:color="auto" w:fill="FFFFFF"/>
              </w:rPr>
              <w:t xml:space="preserve">Melanoma, renal cell carcinoma, urothelial carcinoma, </w:t>
            </w:r>
            <w:r w:rsidRPr="00CD494D">
              <w:rPr>
                <w:rFonts w:eastAsia="Times New Roman" w:cs="Times New Roman"/>
                <w:color w:val="000000"/>
                <w:szCs w:val="24"/>
                <w:shd w:val="clear" w:color="auto" w:fill="FFFFFF"/>
              </w:rPr>
              <w:t>by IV infusion:</w:t>
            </w:r>
          </w:p>
          <w:p w14:paraId="03242C0A" w14:textId="77777777" w:rsidR="005409A9" w:rsidRPr="00944B15" w:rsidRDefault="005409A9" w:rsidP="002D6DD7">
            <w:pPr>
              <w:autoSpaceDE w:val="0"/>
              <w:autoSpaceDN w:val="0"/>
              <w:adjustRightInd w:val="0"/>
              <w:jc w:val="both"/>
              <w:rPr>
                <w:rFonts w:eastAsia="Times New Roman" w:cs="Times New Roman"/>
                <w:color w:val="000000"/>
                <w:szCs w:val="24"/>
              </w:rPr>
            </w:pPr>
            <w:r w:rsidRPr="00181095">
              <w:rPr>
                <w:rFonts w:eastAsia="Times New Roman" w:cs="Times New Roman"/>
                <w:b/>
                <w:color w:val="000000"/>
                <w:szCs w:val="24"/>
              </w:rPr>
              <w:t xml:space="preserve">Adults and adolescents (12 years of age and older and weighing </w:t>
            </w:r>
            <w:r w:rsidRPr="00181095">
              <w:rPr>
                <w:rFonts w:eastAsia="Times New Roman" w:cs="Times New Roman"/>
                <w:b/>
                <w:color w:val="000000"/>
                <w:szCs w:val="24"/>
              </w:rPr>
              <w:lastRenderedPageBreak/>
              <w:t>at least 50 kg):</w:t>
            </w:r>
            <w:r w:rsidRPr="00944B15">
              <w:rPr>
                <w:rFonts w:eastAsia="Times New Roman" w:cs="Times New Roman"/>
                <w:color w:val="000000"/>
                <w:szCs w:val="24"/>
              </w:rPr>
              <w:t xml:space="preserve"> 240 mg every 2 weeks over 30 minutes or 480 mg every 4 weeks over 60 minutes or over 30 minutes</w:t>
            </w:r>
          </w:p>
          <w:p w14:paraId="1DBA1D94"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Adolescents (12 years of age and older and weighing less than 50 kg):</w:t>
            </w:r>
          </w:p>
          <w:p w14:paraId="080D751D"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3 mg/kg every 2 weeks over 30 minutes or 6 mg/kg every 4 weeks over 60 minutes</w:t>
            </w:r>
          </w:p>
          <w:p w14:paraId="07528273" w14:textId="77777777" w:rsidR="005409A9" w:rsidRPr="00181095" w:rsidRDefault="005409A9" w:rsidP="002D6DD7">
            <w:pPr>
              <w:autoSpaceDE w:val="0"/>
              <w:autoSpaceDN w:val="0"/>
              <w:adjustRightInd w:val="0"/>
              <w:jc w:val="both"/>
              <w:rPr>
                <w:rFonts w:eastAsia="Times New Roman" w:cs="Times New Roman"/>
                <w:b/>
                <w:color w:val="000000"/>
                <w:szCs w:val="24"/>
                <w:shd w:val="clear" w:color="auto" w:fill="FFFFFF"/>
              </w:rPr>
            </w:pPr>
            <w:r w:rsidRPr="00944B15">
              <w:rPr>
                <w:rFonts w:eastAsia="Times New Roman" w:cs="Times New Roman"/>
                <w:b/>
                <w:color w:val="000000"/>
                <w:szCs w:val="24"/>
                <w:shd w:val="clear" w:color="auto" w:fill="FFFFFF"/>
              </w:rPr>
              <w:t>Oesophageal or gastro-oesophageal junction cancer (adjuvant treatment)</w:t>
            </w:r>
            <w:r w:rsidR="00CD494D">
              <w:rPr>
                <w:rFonts w:eastAsia="Times New Roman" w:cs="Times New Roman"/>
                <w:b/>
                <w:color w:val="000000"/>
                <w:szCs w:val="24"/>
                <w:shd w:val="clear" w:color="auto" w:fill="FFFFFF"/>
              </w:rPr>
              <w:t xml:space="preserve">, </w:t>
            </w:r>
            <w:r w:rsidRPr="00CD494D">
              <w:rPr>
                <w:rFonts w:eastAsia="Times New Roman" w:cs="Times New Roman"/>
                <w:color w:val="000000"/>
                <w:szCs w:val="24"/>
                <w:shd w:val="clear" w:color="auto" w:fill="FFFFFF"/>
              </w:rPr>
              <w:t>by IV infusion</w:t>
            </w:r>
            <w:r>
              <w:rPr>
                <w:rFonts w:eastAsia="Times New Roman" w:cs="Times New Roman"/>
                <w:b/>
                <w:color w:val="000000"/>
                <w:szCs w:val="24"/>
                <w:shd w:val="clear" w:color="auto" w:fill="FFFFFF"/>
              </w:rPr>
              <w:t>:</w:t>
            </w:r>
          </w:p>
          <w:p w14:paraId="03633000" w14:textId="77777777" w:rsidR="005409A9" w:rsidRPr="00944B15" w:rsidRDefault="005409A9" w:rsidP="002D6DD7">
            <w:pPr>
              <w:autoSpaceDE w:val="0"/>
              <w:autoSpaceDN w:val="0"/>
              <w:adjustRightInd w:val="0"/>
              <w:jc w:val="both"/>
              <w:rPr>
                <w:rFonts w:eastAsia="Times New Roman" w:cs="Times New Roman"/>
                <w:color w:val="000000"/>
                <w:szCs w:val="24"/>
              </w:rPr>
            </w:pPr>
            <w:r>
              <w:rPr>
                <w:rFonts w:eastAsia="Times New Roman" w:cs="Times New Roman"/>
                <w:b/>
                <w:color w:val="000000"/>
                <w:szCs w:val="24"/>
                <w:shd w:val="clear" w:color="auto" w:fill="FFFFFF"/>
              </w:rPr>
              <w:t xml:space="preserve">Adult: </w:t>
            </w:r>
            <w:r w:rsidRPr="00944B15">
              <w:rPr>
                <w:rFonts w:eastAsia="Times New Roman" w:cs="Times New Roman"/>
                <w:color w:val="000000"/>
                <w:szCs w:val="24"/>
              </w:rPr>
              <w:t>240 mg every 2 weeks over 30 minutes or 480 mg every 4 weeks over 30 minutes for the first 16 weeks, followed by 480 mg every 4 weeks over 30 minutes</w:t>
            </w:r>
          </w:p>
          <w:p w14:paraId="0F3528A6" w14:textId="77777777" w:rsidR="005409A9" w:rsidRPr="00181095" w:rsidRDefault="005409A9" w:rsidP="002D6DD7">
            <w:pPr>
              <w:autoSpaceDE w:val="0"/>
              <w:autoSpaceDN w:val="0"/>
              <w:adjustRightInd w:val="0"/>
              <w:jc w:val="both"/>
              <w:rPr>
                <w:rFonts w:eastAsia="Times New Roman" w:cs="Times New Roman"/>
                <w:b/>
                <w:color w:val="000000"/>
                <w:szCs w:val="24"/>
                <w:shd w:val="clear" w:color="auto" w:fill="FFFFFF"/>
              </w:rPr>
            </w:pPr>
            <w:r w:rsidRPr="00944B15">
              <w:rPr>
                <w:rFonts w:eastAsia="Times New Roman" w:cs="Times New Roman"/>
                <w:b/>
                <w:color w:val="000000"/>
                <w:szCs w:val="24"/>
              </w:rPr>
              <w:t>Locally advanced or metastatic non-small cell lung cancer, Classical Hodgkin lymphoma, Squamous cell cancer of the head and neck, Urothelial carcinoma, Oesophageal squamous cell carcinoma</w:t>
            </w:r>
            <w:r w:rsidR="00CD494D">
              <w:rPr>
                <w:rFonts w:eastAsia="Times New Roman" w:cs="Times New Roman"/>
                <w:b/>
                <w:color w:val="000000"/>
                <w:szCs w:val="24"/>
              </w:rPr>
              <w:t>,</w:t>
            </w:r>
            <w:r>
              <w:rPr>
                <w:rFonts w:eastAsia="Times New Roman" w:cs="Times New Roman"/>
                <w:b/>
                <w:color w:val="000000"/>
                <w:szCs w:val="24"/>
              </w:rPr>
              <w:t xml:space="preserve"> </w:t>
            </w:r>
            <w:r w:rsidRPr="00CD494D">
              <w:rPr>
                <w:rFonts w:eastAsia="Times New Roman" w:cs="Times New Roman"/>
                <w:color w:val="000000"/>
                <w:szCs w:val="24"/>
                <w:shd w:val="clear" w:color="auto" w:fill="FFFFFF"/>
              </w:rPr>
              <w:t>by IV infusion</w:t>
            </w:r>
            <w:r w:rsidR="00CD494D">
              <w:rPr>
                <w:rFonts w:eastAsia="Times New Roman" w:cs="Times New Roman"/>
                <w:color w:val="000000"/>
                <w:szCs w:val="24"/>
                <w:shd w:val="clear" w:color="auto" w:fill="FFFFFF"/>
              </w:rPr>
              <w:t>:</w:t>
            </w:r>
          </w:p>
          <w:p w14:paraId="05652813" w14:textId="77777777" w:rsidR="005409A9" w:rsidRPr="00944B15" w:rsidRDefault="005409A9" w:rsidP="002D6DD7">
            <w:pPr>
              <w:autoSpaceDE w:val="0"/>
              <w:autoSpaceDN w:val="0"/>
              <w:adjustRightInd w:val="0"/>
              <w:jc w:val="both"/>
              <w:rPr>
                <w:rFonts w:eastAsia="Times New Roman" w:cs="Times New Roman"/>
                <w:color w:val="000000"/>
                <w:szCs w:val="24"/>
              </w:rPr>
            </w:pPr>
            <w:r>
              <w:rPr>
                <w:rFonts w:eastAsia="Times New Roman" w:cs="Times New Roman"/>
                <w:b/>
                <w:color w:val="000000"/>
                <w:szCs w:val="24"/>
              </w:rPr>
              <w:t xml:space="preserve">Adult: </w:t>
            </w:r>
            <w:r w:rsidRPr="00944B15">
              <w:rPr>
                <w:rFonts w:eastAsia="Times New Roman" w:cs="Times New Roman"/>
                <w:color w:val="000000"/>
                <w:szCs w:val="24"/>
              </w:rPr>
              <w:t>240 mg every 2 weeks over 30 minutes</w:t>
            </w:r>
          </w:p>
        </w:tc>
      </w:tr>
      <w:tr w:rsidR="005409A9" w:rsidRPr="00944B15" w14:paraId="12176D7F" w14:textId="77777777" w:rsidTr="002D6DD7">
        <w:trPr>
          <w:jc w:val="center"/>
        </w:trPr>
        <w:tc>
          <w:tcPr>
            <w:tcW w:w="2605" w:type="dxa"/>
            <w:hideMark/>
          </w:tcPr>
          <w:p w14:paraId="7F0DDAF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hideMark/>
          </w:tcPr>
          <w:p w14:paraId="519667C2" w14:textId="77777777" w:rsidR="005409A9" w:rsidRPr="00944B15" w:rsidRDefault="005409A9"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p>
        </w:tc>
      </w:tr>
      <w:tr w:rsidR="005409A9" w:rsidRPr="00944B15" w14:paraId="00D8F435" w14:textId="77777777" w:rsidTr="002D6DD7">
        <w:trPr>
          <w:jc w:val="center"/>
        </w:trPr>
        <w:tc>
          <w:tcPr>
            <w:tcW w:w="2605" w:type="dxa"/>
            <w:hideMark/>
          </w:tcPr>
          <w:p w14:paraId="27D069D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tcPr>
          <w:p w14:paraId="0178581D" w14:textId="77777777" w:rsidR="005409A9" w:rsidRPr="00944B15" w:rsidRDefault="005409A9" w:rsidP="002D6DD7">
            <w:pPr>
              <w:shd w:val="clear" w:color="auto" w:fill="FFFFFF"/>
              <w:rPr>
                <w:rFonts w:eastAsia="Times New Roman" w:cs="Times New Roman"/>
                <w:color w:val="000000"/>
                <w:szCs w:val="24"/>
              </w:rPr>
            </w:pPr>
            <w:r>
              <w:rPr>
                <w:rFonts w:eastAsia="Times New Roman" w:cs="Times New Roman"/>
                <w:color w:val="000000"/>
                <w:szCs w:val="24"/>
              </w:rPr>
              <w:t xml:space="preserve">Corticosteroids </w:t>
            </w:r>
            <w:r w:rsidRPr="00944B15">
              <w:rPr>
                <w:rFonts w:eastAsia="Times New Roman" w:cs="Times New Roman"/>
                <w:color w:val="000000"/>
                <w:szCs w:val="24"/>
              </w:rPr>
              <w:t xml:space="preserve"> </w:t>
            </w:r>
          </w:p>
        </w:tc>
      </w:tr>
      <w:tr w:rsidR="005409A9" w:rsidRPr="00944B15" w14:paraId="21D8B206" w14:textId="77777777" w:rsidTr="002D6DD7">
        <w:trPr>
          <w:jc w:val="center"/>
        </w:trPr>
        <w:tc>
          <w:tcPr>
            <w:tcW w:w="2605" w:type="dxa"/>
            <w:hideMark/>
          </w:tcPr>
          <w:p w14:paraId="1E1D340E"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gridSpan w:val="2"/>
          </w:tcPr>
          <w:p w14:paraId="6162AECC" w14:textId="77777777" w:rsidR="005409A9" w:rsidRPr="00944B15" w:rsidRDefault="005409A9" w:rsidP="002D6DD7">
            <w:pPr>
              <w:shd w:val="clear" w:color="auto" w:fill="FFFFFF"/>
              <w:jc w:val="both"/>
              <w:rPr>
                <w:rFonts w:eastAsia="Times New Roman" w:cs="Times New Roman"/>
                <w:color w:val="000000"/>
                <w:szCs w:val="24"/>
              </w:rPr>
            </w:pPr>
            <w:r w:rsidRPr="00944B15">
              <w:rPr>
                <w:rFonts w:eastAsia="Times New Roman" w:cs="Times New Roman"/>
                <w:color w:val="000000"/>
                <w:szCs w:val="24"/>
              </w:rPr>
              <w:t xml:space="preserve">Abdominal pain, alopecia, anaemia, appetite decreased, arrhythmias, arthralgia, arthritis, chest pain,  constipation, cough, decreased leucocytes, dehydration, diarrhea, dizziness, dry eye, dry </w:t>
            </w:r>
            <w:r>
              <w:rPr>
                <w:rFonts w:eastAsia="Times New Roman" w:cs="Times New Roman"/>
                <w:color w:val="000000"/>
                <w:szCs w:val="24"/>
              </w:rPr>
              <w:t>oral</w:t>
            </w:r>
            <w:r w:rsidRPr="00944B15">
              <w:rPr>
                <w:rFonts w:eastAsia="Times New Roman" w:cs="Times New Roman"/>
                <w:color w:val="000000"/>
                <w:szCs w:val="24"/>
              </w:rPr>
              <w:t xml:space="preserve">, dyspnea, electrolyte imbalance,  fatigue, fever,  gastrointestinal disorders, hemolytic anaemia, headache, hyperglycaemia, hypersensitivity, hypertension, hyperthyroidism,  hypoalbuminemia, hypoglycemia, hypothyroidism,  increased risk of infection, inflammation, infusion related reaction, muscle complaints, musculoskeletal discomfort, nausea, nerve disorders, neutropenia, edema, pain, renal impairment, respiratory disorders, skin reactions, stomatitis, thrombocytopenia, thyroiditis, vision blurred, vomiting, weight decreased. Adrenal hypofunction, cardiac inflammation, connective tissue disorders, diabetes mellitus, </w:t>
            </w:r>
            <w:r w:rsidRPr="00944B15">
              <w:rPr>
                <w:rFonts w:eastAsia="Times New Roman" w:cs="Times New Roman"/>
                <w:color w:val="000000"/>
                <w:szCs w:val="24"/>
              </w:rPr>
              <w:lastRenderedPageBreak/>
              <w:t>eosinophilia, eye inflammation, hepatic disorders, hypophysitis, hypopituitarism, metabolic acidosis, pancreatitis, paresis, pericardial disorders, sarcoidosis</w:t>
            </w:r>
          </w:p>
        </w:tc>
      </w:tr>
      <w:tr w:rsidR="005409A9" w:rsidRPr="00944B15" w14:paraId="69853BE4" w14:textId="77777777" w:rsidTr="002D6DD7">
        <w:trPr>
          <w:jc w:val="center"/>
        </w:trPr>
        <w:tc>
          <w:tcPr>
            <w:tcW w:w="2605" w:type="dxa"/>
            <w:hideMark/>
          </w:tcPr>
          <w:p w14:paraId="11324D2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745" w:type="dxa"/>
            <w:gridSpan w:val="2"/>
          </w:tcPr>
          <w:p w14:paraId="51C76547" w14:textId="77777777" w:rsidR="005409A9" w:rsidRPr="00944B15" w:rsidRDefault="005409A9" w:rsidP="002D6DD7">
            <w:pPr>
              <w:jc w:val="both"/>
              <w:rPr>
                <w:rFonts w:eastAsia="Times New Roman" w:cs="Times New Roman"/>
                <w:color w:val="000000"/>
                <w:szCs w:val="24"/>
                <w:lang w:eastAsia="en-GB"/>
              </w:rPr>
            </w:pPr>
            <w:r w:rsidRPr="00944B15">
              <w:rPr>
                <w:rFonts w:eastAsia="Times New Roman" w:cs="Times New Roman"/>
                <w:color w:val="000000"/>
                <w:szCs w:val="24"/>
                <w:lang w:eastAsia="en-GB"/>
              </w:rPr>
              <w:t>Pregnancy, hematopoietic stem cell transpl</w:t>
            </w:r>
            <w:r>
              <w:rPr>
                <w:rFonts w:eastAsia="Times New Roman" w:cs="Times New Roman"/>
                <w:color w:val="000000"/>
                <w:szCs w:val="24"/>
                <w:lang w:eastAsia="en-GB"/>
              </w:rPr>
              <w:t>ant in patients with classical h</w:t>
            </w:r>
            <w:r w:rsidRPr="00944B15">
              <w:rPr>
                <w:rFonts w:eastAsia="Times New Roman" w:cs="Times New Roman"/>
                <w:color w:val="000000"/>
                <w:szCs w:val="24"/>
                <w:lang w:eastAsia="en-GB"/>
              </w:rPr>
              <w:t>odgkin lymphoma, rapidly progressing or aggressive d</w:t>
            </w:r>
            <w:r>
              <w:rPr>
                <w:rFonts w:eastAsia="Times New Roman" w:cs="Times New Roman"/>
                <w:color w:val="000000"/>
                <w:szCs w:val="24"/>
                <w:lang w:eastAsia="en-GB"/>
              </w:rPr>
              <w:t>isease</w:t>
            </w:r>
            <w:r w:rsidRPr="00944B15">
              <w:rPr>
                <w:rFonts w:eastAsia="Times New Roman" w:cs="Times New Roman"/>
                <w:color w:val="000000"/>
                <w:szCs w:val="24"/>
                <w:lang w:eastAsia="en-GB"/>
              </w:rPr>
              <w:t>, peripheral neuropathy, and QT-interval prolongation.</w:t>
            </w:r>
          </w:p>
        </w:tc>
      </w:tr>
      <w:tr w:rsidR="005409A9" w:rsidRPr="00944B15" w14:paraId="417F28A7" w14:textId="77777777" w:rsidTr="002D6DD7">
        <w:trPr>
          <w:jc w:val="center"/>
        </w:trPr>
        <w:tc>
          <w:tcPr>
            <w:tcW w:w="2605" w:type="dxa"/>
            <w:hideMark/>
          </w:tcPr>
          <w:p w14:paraId="375797A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hideMark/>
          </w:tcPr>
          <w:p w14:paraId="3660FAB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at 2 – 8</w:t>
            </w:r>
            <w:r w:rsidRPr="00944B15">
              <w:rPr>
                <w:rFonts w:eastAsia="Times New Roman" w:cs="Times New Roman"/>
                <w:color w:val="000000"/>
                <w:szCs w:val="24"/>
                <w:vertAlign w:val="superscript"/>
              </w:rPr>
              <w:t>0</w:t>
            </w:r>
            <w:r>
              <w:rPr>
                <w:rFonts w:eastAsia="Times New Roman" w:cs="Times New Roman"/>
                <w:color w:val="000000"/>
                <w:szCs w:val="24"/>
              </w:rPr>
              <w:t>C. Do no</w:t>
            </w:r>
            <w:r w:rsidRPr="00944B15">
              <w:rPr>
                <w:rFonts w:eastAsia="Times New Roman" w:cs="Times New Roman"/>
                <w:color w:val="000000"/>
                <w:szCs w:val="24"/>
              </w:rPr>
              <w:t xml:space="preserve">t freeze. </w:t>
            </w:r>
          </w:p>
        </w:tc>
      </w:tr>
      <w:tr w:rsidR="005409A9" w:rsidRPr="00944B15" w14:paraId="3EB75B6C" w14:textId="77777777" w:rsidTr="002D6DD7">
        <w:trPr>
          <w:jc w:val="center"/>
        </w:trPr>
        <w:tc>
          <w:tcPr>
            <w:tcW w:w="9350" w:type="dxa"/>
            <w:gridSpan w:val="3"/>
            <w:hideMark/>
          </w:tcPr>
          <w:p w14:paraId="46477745"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Tacrolimus</w:t>
            </w:r>
          </w:p>
        </w:tc>
      </w:tr>
      <w:tr w:rsidR="005409A9" w:rsidRPr="00944B15" w14:paraId="56B2AA86" w14:textId="77777777" w:rsidTr="002D6DD7">
        <w:trPr>
          <w:jc w:val="center"/>
        </w:trPr>
        <w:tc>
          <w:tcPr>
            <w:tcW w:w="2605" w:type="dxa"/>
            <w:hideMark/>
          </w:tcPr>
          <w:p w14:paraId="1B3B116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44178E1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Immunosuppressant, calcineurin inhibitor</w:t>
            </w:r>
          </w:p>
        </w:tc>
      </w:tr>
      <w:tr w:rsidR="005409A9" w:rsidRPr="00944B15" w14:paraId="4E43E5CF" w14:textId="77777777" w:rsidTr="002D6DD7">
        <w:trPr>
          <w:jc w:val="center"/>
        </w:trPr>
        <w:tc>
          <w:tcPr>
            <w:tcW w:w="2605" w:type="dxa"/>
            <w:hideMark/>
          </w:tcPr>
          <w:p w14:paraId="1F44A9E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tcPr>
          <w:p w14:paraId="2837BB5F" w14:textId="77777777" w:rsidR="005409A9" w:rsidRPr="00944B15" w:rsidRDefault="005409A9" w:rsidP="002D6DD7">
            <w:pPr>
              <w:autoSpaceDE w:val="0"/>
              <w:autoSpaceDN w:val="0"/>
              <w:adjustRightInd w:val="0"/>
              <w:rPr>
                <w:rFonts w:eastAsia="Calibri" w:cs="Times New Roman"/>
                <w:color w:val="000000"/>
                <w:szCs w:val="24"/>
              </w:rPr>
            </w:pPr>
            <w:r w:rsidRPr="00944B15">
              <w:rPr>
                <w:rFonts w:eastAsia="Calibri" w:cs="Times New Roman"/>
                <w:color w:val="000000"/>
                <w:szCs w:val="24"/>
              </w:rPr>
              <w:t>Tablet: 25mg, 50mg</w:t>
            </w:r>
          </w:p>
          <w:p w14:paraId="7D1BEFEB" w14:textId="77777777" w:rsidR="005409A9" w:rsidRPr="00944B15" w:rsidRDefault="005409A9" w:rsidP="002D6DD7">
            <w:pPr>
              <w:autoSpaceDE w:val="0"/>
              <w:autoSpaceDN w:val="0"/>
              <w:adjustRightInd w:val="0"/>
              <w:rPr>
                <w:rFonts w:eastAsia="Calibri" w:cs="Times New Roman"/>
                <w:color w:val="000000"/>
                <w:szCs w:val="24"/>
              </w:rPr>
            </w:pPr>
            <w:r w:rsidRPr="00944B15">
              <w:rPr>
                <w:rFonts w:eastAsia="Calibri" w:cs="Times New Roman"/>
                <w:color w:val="000000"/>
                <w:szCs w:val="24"/>
              </w:rPr>
              <w:t>Capsule (immediate release): 0.5 mg, 0.75 mg, 1 mg; 2 mg, 5 mg</w:t>
            </w:r>
          </w:p>
          <w:p w14:paraId="33D0045B" w14:textId="77777777" w:rsidR="005409A9" w:rsidRPr="00944B15" w:rsidRDefault="005409A9" w:rsidP="002D6DD7">
            <w:pPr>
              <w:autoSpaceDE w:val="0"/>
              <w:autoSpaceDN w:val="0"/>
              <w:adjustRightInd w:val="0"/>
              <w:rPr>
                <w:rFonts w:eastAsia="Calibri" w:cs="Times New Roman"/>
                <w:color w:val="000000"/>
                <w:szCs w:val="24"/>
              </w:rPr>
            </w:pPr>
            <w:r w:rsidRPr="00944B15">
              <w:rPr>
                <w:rFonts w:eastAsia="Calibri" w:cs="Times New Roman"/>
                <w:color w:val="000000"/>
                <w:szCs w:val="24"/>
              </w:rPr>
              <w:t xml:space="preserve">Granules for oral suspension: 0.2 mg, 1 mg  </w:t>
            </w:r>
          </w:p>
        </w:tc>
      </w:tr>
      <w:tr w:rsidR="005409A9" w:rsidRPr="00944B15" w14:paraId="5F284215" w14:textId="77777777" w:rsidTr="002D6DD7">
        <w:trPr>
          <w:jc w:val="center"/>
        </w:trPr>
        <w:tc>
          <w:tcPr>
            <w:tcW w:w="2605" w:type="dxa"/>
            <w:hideMark/>
          </w:tcPr>
          <w:p w14:paraId="1DD40C5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6AEB47A4"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iCs/>
                <w:color w:val="000000"/>
                <w:szCs w:val="24"/>
              </w:rPr>
              <w:t>Prophylaxis of graft rejection following liver, kidney or heart, transplantation</w:t>
            </w:r>
          </w:p>
        </w:tc>
      </w:tr>
      <w:tr w:rsidR="005409A9" w:rsidRPr="00944B15" w14:paraId="4D78E9DF" w14:textId="77777777" w:rsidTr="002D6DD7">
        <w:trPr>
          <w:jc w:val="center"/>
        </w:trPr>
        <w:tc>
          <w:tcPr>
            <w:tcW w:w="2605" w:type="dxa"/>
            <w:hideMark/>
          </w:tcPr>
          <w:p w14:paraId="267C01DD"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hideMark/>
          </w:tcPr>
          <w:p w14:paraId="7E6033C7"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Prophylaxis of graft rejection following liver transplantation, starting 12 hours after transplantation</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4BAF57D9"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770F4">
              <w:rPr>
                <w:rFonts w:eastAsia="Times New Roman" w:cs="Times New Roman"/>
                <w:b/>
                <w:iCs/>
                <w:color w:val="000000"/>
                <w:szCs w:val="24"/>
              </w:rPr>
              <w:t>Adult:</w:t>
            </w:r>
            <w:r w:rsidRPr="00944B15">
              <w:rPr>
                <w:rFonts w:eastAsia="Times New Roman" w:cs="Times New Roman"/>
                <w:iCs/>
                <w:color w:val="000000"/>
                <w:szCs w:val="24"/>
              </w:rPr>
              <w:t xml:space="preserve"> </w:t>
            </w:r>
            <w:r>
              <w:rPr>
                <w:rFonts w:eastAsia="Times New Roman" w:cs="Times New Roman"/>
                <w:iCs/>
                <w:color w:val="000000"/>
                <w:szCs w:val="24"/>
              </w:rPr>
              <w:t>initially 100–200 mcg</w:t>
            </w:r>
            <w:r w:rsidRPr="00944B15">
              <w:rPr>
                <w:rFonts w:eastAsia="Times New Roman" w:cs="Times New Roman"/>
                <w:iCs/>
                <w:color w:val="000000"/>
                <w:szCs w:val="24"/>
              </w:rPr>
              <w:t>/kg daily in 2 divided doses</w:t>
            </w:r>
          </w:p>
          <w:p w14:paraId="20C9F1BB" w14:textId="77777777" w:rsidR="005409A9" w:rsidRPr="00CD494D"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Prophylaxis of graft rejection following kidney transplantation, starting within 24 hours of transplantation</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sidRPr="00CD494D">
              <w:rPr>
                <w:rFonts w:eastAsia="Times New Roman" w:cs="Times New Roman"/>
                <w:iCs/>
                <w:color w:val="000000"/>
                <w:szCs w:val="24"/>
              </w:rPr>
              <w:t>:</w:t>
            </w:r>
            <w:r w:rsidRPr="00CD494D">
              <w:rPr>
                <w:rFonts w:eastAsia="Times New Roman" w:cs="Times New Roman"/>
                <w:iCs/>
                <w:color w:val="000000"/>
                <w:szCs w:val="24"/>
              </w:rPr>
              <w:t xml:space="preserve"> </w:t>
            </w:r>
          </w:p>
          <w:p w14:paraId="7E4B5ADC"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770F4">
              <w:rPr>
                <w:rFonts w:eastAsia="Times New Roman" w:cs="Times New Roman"/>
                <w:b/>
                <w:iCs/>
                <w:color w:val="000000"/>
                <w:szCs w:val="24"/>
              </w:rPr>
              <w:t>Adult:</w:t>
            </w:r>
            <w:r>
              <w:rPr>
                <w:rFonts w:eastAsia="Times New Roman" w:cs="Times New Roman"/>
                <w:iCs/>
                <w:color w:val="000000"/>
                <w:szCs w:val="24"/>
              </w:rPr>
              <w:t xml:space="preserve"> i</w:t>
            </w:r>
            <w:r w:rsidRPr="00944B15">
              <w:rPr>
                <w:rFonts w:eastAsia="Times New Roman" w:cs="Times New Roman"/>
                <w:iCs/>
                <w:color w:val="000000"/>
                <w:szCs w:val="24"/>
              </w:rPr>
              <w:t xml:space="preserve">nitially 200–300 </w:t>
            </w:r>
            <w:r>
              <w:rPr>
                <w:rFonts w:eastAsia="Times New Roman" w:cs="Times New Roman"/>
                <w:iCs/>
                <w:color w:val="000000"/>
                <w:szCs w:val="24"/>
              </w:rPr>
              <w:t>mcg</w:t>
            </w:r>
            <w:r w:rsidRPr="00944B15">
              <w:rPr>
                <w:rFonts w:eastAsia="Times New Roman" w:cs="Times New Roman"/>
                <w:iCs/>
                <w:color w:val="000000"/>
                <w:szCs w:val="24"/>
              </w:rPr>
              <w:t>/kg daily in 2 divided doses</w:t>
            </w:r>
          </w:p>
          <w:p w14:paraId="2BE9B883" w14:textId="77777777" w:rsidR="005409A9" w:rsidRPr="00CD494D"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Prophylaxis of graft rejection following heart transplantation following antibody induction, starting within 5 days of transplantation</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p>
          <w:p w14:paraId="4058468B"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770F4">
              <w:rPr>
                <w:rFonts w:eastAsia="Times New Roman" w:cs="Times New Roman"/>
                <w:b/>
                <w:iCs/>
                <w:color w:val="000000"/>
                <w:szCs w:val="24"/>
              </w:rPr>
              <w:t>Adult:</w:t>
            </w:r>
            <w:r>
              <w:rPr>
                <w:rFonts w:eastAsia="Times New Roman" w:cs="Times New Roman"/>
                <w:iCs/>
                <w:color w:val="000000"/>
                <w:szCs w:val="24"/>
              </w:rPr>
              <w:t xml:space="preserve"> i</w:t>
            </w:r>
            <w:r w:rsidRPr="00944B15">
              <w:rPr>
                <w:rFonts w:eastAsia="Times New Roman" w:cs="Times New Roman"/>
                <w:iCs/>
                <w:color w:val="000000"/>
                <w:szCs w:val="24"/>
              </w:rPr>
              <w:t xml:space="preserve">nitially 75 </w:t>
            </w:r>
            <w:r>
              <w:rPr>
                <w:rFonts w:eastAsia="Times New Roman" w:cs="Times New Roman"/>
                <w:iCs/>
                <w:color w:val="000000"/>
                <w:szCs w:val="24"/>
              </w:rPr>
              <w:t>mcg</w:t>
            </w:r>
            <w:r w:rsidRPr="00944B15">
              <w:rPr>
                <w:rFonts w:eastAsia="Times New Roman" w:cs="Times New Roman"/>
                <w:iCs/>
                <w:color w:val="000000"/>
                <w:szCs w:val="24"/>
              </w:rPr>
              <w:t>/kg daily in 2 divided   doses</w:t>
            </w:r>
          </w:p>
          <w:p w14:paraId="15970AE1" w14:textId="77777777" w:rsidR="005409A9" w:rsidRPr="00944B15" w:rsidRDefault="005409A9" w:rsidP="002D6DD7">
            <w:pPr>
              <w:autoSpaceDE w:val="0"/>
              <w:autoSpaceDN w:val="0"/>
              <w:adjustRightInd w:val="0"/>
              <w:jc w:val="both"/>
              <w:rPr>
                <w:rFonts w:eastAsia="Times New Roman" w:cs="Times New Roman"/>
                <w:b/>
                <w:iCs/>
                <w:color w:val="000000"/>
                <w:szCs w:val="24"/>
              </w:rPr>
            </w:pPr>
            <w:r w:rsidRPr="00944B15">
              <w:rPr>
                <w:rFonts w:eastAsia="Times New Roman" w:cs="Times New Roman"/>
                <w:b/>
                <w:iCs/>
                <w:color w:val="000000"/>
                <w:szCs w:val="24"/>
              </w:rPr>
              <w:t>Prophylaxis of graft rejection following heart transplantation without antibody induction, starting within 12 hours of transplantation</w:t>
            </w:r>
            <w:r w:rsidR="00CD494D">
              <w:rPr>
                <w:rFonts w:eastAsia="Times New Roman" w:cs="Times New Roman"/>
                <w:b/>
                <w:iCs/>
                <w:color w:val="000000"/>
                <w:szCs w:val="24"/>
              </w:rPr>
              <w:t xml:space="preserve">, </w:t>
            </w:r>
            <w:r w:rsidRPr="00CD494D">
              <w:rPr>
                <w:rFonts w:eastAsia="Times New Roman" w:cs="Times New Roman"/>
                <w:iCs/>
                <w:color w:val="000000"/>
                <w:szCs w:val="24"/>
              </w:rPr>
              <w:t>oral</w:t>
            </w:r>
            <w:r w:rsidR="00CD494D">
              <w:rPr>
                <w:rFonts w:eastAsia="Times New Roman" w:cs="Times New Roman"/>
                <w:iCs/>
                <w:color w:val="000000"/>
                <w:szCs w:val="24"/>
              </w:rPr>
              <w:t>:</w:t>
            </w:r>
            <w:r w:rsidRPr="00CD494D">
              <w:rPr>
                <w:rFonts w:eastAsia="Times New Roman" w:cs="Times New Roman"/>
                <w:iCs/>
                <w:color w:val="000000"/>
                <w:szCs w:val="24"/>
              </w:rPr>
              <w:t xml:space="preserve"> </w:t>
            </w:r>
          </w:p>
          <w:p w14:paraId="5E891F0C"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E770F4">
              <w:rPr>
                <w:rFonts w:eastAsia="Times New Roman" w:cs="Times New Roman"/>
                <w:b/>
                <w:iCs/>
                <w:color w:val="000000"/>
                <w:szCs w:val="24"/>
              </w:rPr>
              <w:t>Adult:</w:t>
            </w:r>
            <w:r>
              <w:rPr>
                <w:rFonts w:eastAsia="Times New Roman" w:cs="Times New Roman"/>
                <w:iCs/>
                <w:color w:val="000000"/>
                <w:szCs w:val="24"/>
              </w:rPr>
              <w:t xml:space="preserve"> initially 75 mcg/kg orally</w:t>
            </w:r>
            <w:r w:rsidRPr="00944B15">
              <w:rPr>
                <w:rFonts w:eastAsia="Times New Roman" w:cs="Times New Roman"/>
                <w:iCs/>
                <w:color w:val="000000"/>
                <w:szCs w:val="24"/>
              </w:rPr>
              <w:t xml:space="preserve"> daily in 2 divided doses </w:t>
            </w:r>
          </w:p>
        </w:tc>
      </w:tr>
      <w:tr w:rsidR="005409A9" w:rsidRPr="00944B15" w14:paraId="0671736D" w14:textId="77777777" w:rsidTr="002D6DD7">
        <w:trPr>
          <w:jc w:val="center"/>
        </w:trPr>
        <w:tc>
          <w:tcPr>
            <w:tcW w:w="2605" w:type="dxa"/>
            <w:hideMark/>
          </w:tcPr>
          <w:p w14:paraId="32B0FA0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gridSpan w:val="2"/>
            <w:hideMark/>
          </w:tcPr>
          <w:p w14:paraId="4A7505EF" w14:textId="77777777" w:rsidR="005409A9" w:rsidRPr="00944B15" w:rsidRDefault="005409A9"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 xml:space="preserve">the drug, macrolides, </w:t>
            </w:r>
            <w:r w:rsidRPr="00944B15">
              <w:rPr>
                <w:rFonts w:eastAsia="Times New Roman" w:cs="Times New Roman"/>
                <w:color w:val="000000"/>
                <w:szCs w:val="24"/>
              </w:rPr>
              <w:t xml:space="preserve">breast feeding </w:t>
            </w:r>
          </w:p>
        </w:tc>
      </w:tr>
      <w:tr w:rsidR="005409A9" w:rsidRPr="00944B15" w14:paraId="1954FF9E" w14:textId="77777777" w:rsidTr="002D6DD7">
        <w:trPr>
          <w:jc w:val="center"/>
        </w:trPr>
        <w:tc>
          <w:tcPr>
            <w:tcW w:w="2605" w:type="dxa"/>
            <w:hideMark/>
          </w:tcPr>
          <w:p w14:paraId="4965C8A8"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hideMark/>
          </w:tcPr>
          <w:p w14:paraId="60CFA760"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Ketoconazole, fluconazole, amiodarone, di</w:t>
            </w:r>
            <w:r>
              <w:rPr>
                <w:rFonts w:eastAsia="Times New Roman" w:cs="Times New Roman"/>
                <w:color w:val="000000"/>
                <w:szCs w:val="24"/>
              </w:rPr>
              <w:t xml:space="preserve">ltiazem, verapamil, ciclosporin, </w:t>
            </w:r>
            <w:r w:rsidRPr="00944B15">
              <w:rPr>
                <w:rFonts w:eastAsia="Times New Roman" w:cs="Times New Roman"/>
                <w:color w:val="000000"/>
                <w:szCs w:val="24"/>
              </w:rPr>
              <w:t xml:space="preserve">grapefruit, protease inhibitors, clarithromycin, </w:t>
            </w:r>
            <w:r w:rsidRPr="00944B15">
              <w:rPr>
                <w:rFonts w:eastAsia="Times New Roman" w:cs="Times New Roman"/>
                <w:color w:val="000000"/>
                <w:szCs w:val="24"/>
              </w:rPr>
              <w:lastRenderedPageBreak/>
              <w:t>erythromycin, carbamazepine, phenytoin, phenobarbitone, efavirenz, nevirapine, rifampicin</w:t>
            </w:r>
          </w:p>
        </w:tc>
      </w:tr>
      <w:tr w:rsidR="005409A9" w:rsidRPr="00944B15" w14:paraId="55C9AADB" w14:textId="77777777" w:rsidTr="002D6DD7">
        <w:trPr>
          <w:jc w:val="center"/>
        </w:trPr>
        <w:tc>
          <w:tcPr>
            <w:tcW w:w="2605" w:type="dxa"/>
            <w:hideMark/>
          </w:tcPr>
          <w:p w14:paraId="6CDF1FE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gridSpan w:val="2"/>
            <w:hideMark/>
          </w:tcPr>
          <w:p w14:paraId="46D789AE"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Alopecia, anaemia, anxiety, appetite decreased, arrhythmias, ascites, asthenic conditions, bile duct disorders, confusion, consciousness impaired, constipation, coronary artery disease, cough, depression, diabetes mellitus, diarrhea, dizziness, dysgraphia, dyslipidemia, dyspnea, electrolyte imbalance, embolism and thrombosis, eye disorder, febrile disorders, fluid imbalance, GI disorders, hemorrhage, hallucination, headache, hepatic disorders, hyperglycaemia, hyperhidrosis, hypertension, hyperuricemia, hypotension, increased risk of infection, ischemia, joint disorders, leukocytosis, leucopenia, metabolic acidosis, mood altered, muscle spasms, nasal complaints, nausea, nephropathy, nervous system disorder, edema, oral disorders, pain, peripheral neuropathy, peripheral vascular disease, primary transplant dysfunction, psychiatric disorder, renal impairment, renal tubular necrosis, respiratory disorders, seizure, sensation abnormal, skin reactions, sleep disorders, temperature sensation altered, thrombocytopenia, tinnitus, tremor, urinary tract disorder, urine abnorm</w:t>
            </w:r>
            <w:r>
              <w:rPr>
                <w:rFonts w:eastAsia="Times New Roman" w:cs="Times New Roman"/>
                <w:color w:val="000000"/>
                <w:szCs w:val="24"/>
              </w:rPr>
              <w:t xml:space="preserve">al, vision disorders, </w:t>
            </w:r>
            <w:r w:rsidRPr="00944B15">
              <w:rPr>
                <w:rFonts w:eastAsia="Times New Roman" w:cs="Times New Roman"/>
                <w:color w:val="000000"/>
                <w:szCs w:val="24"/>
              </w:rPr>
              <w:t xml:space="preserve">weight changes. </w:t>
            </w:r>
          </w:p>
        </w:tc>
      </w:tr>
      <w:tr w:rsidR="005409A9" w:rsidRPr="00944B15" w14:paraId="3650CA64" w14:textId="77777777" w:rsidTr="002D6DD7">
        <w:trPr>
          <w:jc w:val="center"/>
        </w:trPr>
        <w:tc>
          <w:tcPr>
            <w:tcW w:w="2605" w:type="dxa"/>
            <w:hideMark/>
          </w:tcPr>
          <w:p w14:paraId="34AC7AD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hideMark/>
          </w:tcPr>
          <w:p w14:paraId="57F03C93" w14:textId="77777777" w:rsidR="005409A9" w:rsidRPr="00944B15" w:rsidRDefault="005409A9" w:rsidP="002D6DD7">
            <w:pPr>
              <w:autoSpaceDE w:val="0"/>
              <w:autoSpaceDN w:val="0"/>
              <w:adjustRightInd w:val="0"/>
              <w:jc w:val="both"/>
              <w:rPr>
                <w:rFonts w:eastAsia="Times New Roman" w:cs="Times New Roman"/>
                <w:color w:val="000000"/>
                <w:szCs w:val="24"/>
              </w:rPr>
            </w:pPr>
            <w:r>
              <w:rPr>
                <w:rFonts w:eastAsia="Times New Roman" w:cs="Times New Roman"/>
                <w:color w:val="000000"/>
                <w:szCs w:val="24"/>
              </w:rPr>
              <w:t>I</w:t>
            </w:r>
            <w:r w:rsidRPr="00944B15">
              <w:rPr>
                <w:rFonts w:eastAsia="Times New Roman" w:cs="Times New Roman"/>
                <w:color w:val="000000"/>
                <w:szCs w:val="24"/>
              </w:rPr>
              <w:t>nfections, lymphoprolife</w:t>
            </w:r>
            <w:r>
              <w:rPr>
                <w:rFonts w:eastAsia="Times New Roman" w:cs="Times New Roman"/>
                <w:color w:val="000000"/>
                <w:szCs w:val="24"/>
              </w:rPr>
              <w:t xml:space="preserve">rative disorders, malignancies, </w:t>
            </w:r>
            <w:r w:rsidRPr="00944B15">
              <w:rPr>
                <w:rFonts w:eastAsia="Times New Roman" w:cs="Times New Roman"/>
                <w:color w:val="000000"/>
                <w:szCs w:val="24"/>
              </w:rPr>
              <w:t>neurotoxicity, QT-interval prolongati</w:t>
            </w:r>
            <w:r>
              <w:rPr>
                <w:rFonts w:eastAsia="Times New Roman" w:cs="Times New Roman"/>
                <w:color w:val="000000"/>
                <w:szCs w:val="24"/>
              </w:rPr>
              <w:t>on, UV light.</w:t>
            </w:r>
          </w:p>
        </w:tc>
      </w:tr>
      <w:tr w:rsidR="005409A9" w:rsidRPr="00944B15" w14:paraId="2228ECB0" w14:textId="77777777" w:rsidTr="002D6DD7">
        <w:trPr>
          <w:jc w:val="center"/>
        </w:trPr>
        <w:tc>
          <w:tcPr>
            <w:tcW w:w="2605" w:type="dxa"/>
            <w:hideMark/>
          </w:tcPr>
          <w:p w14:paraId="547122E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hideMark/>
          </w:tcPr>
          <w:p w14:paraId="1354400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below 30</w:t>
            </w:r>
            <w:r w:rsidRPr="00944B15">
              <w:rPr>
                <w:rFonts w:eastAsia="Times New Roman" w:cs="Times New Roman"/>
                <w:color w:val="000000"/>
                <w:szCs w:val="24"/>
                <w:vertAlign w:val="superscript"/>
              </w:rPr>
              <w:t>o</w:t>
            </w:r>
            <w:r>
              <w:rPr>
                <w:rFonts w:eastAsia="Times New Roman" w:cs="Times New Roman"/>
                <w:color w:val="000000"/>
                <w:szCs w:val="24"/>
              </w:rPr>
              <w:t>C.</w:t>
            </w:r>
          </w:p>
        </w:tc>
      </w:tr>
      <w:tr w:rsidR="005409A9" w:rsidRPr="00944B15" w14:paraId="66CD8A02" w14:textId="77777777" w:rsidTr="002D6DD7">
        <w:trPr>
          <w:jc w:val="center"/>
        </w:trPr>
        <w:tc>
          <w:tcPr>
            <w:tcW w:w="9350" w:type="dxa"/>
            <w:gridSpan w:val="3"/>
            <w:hideMark/>
          </w:tcPr>
          <w:p w14:paraId="170CF2DB" w14:textId="77777777" w:rsidR="005409A9" w:rsidRPr="00944B15" w:rsidRDefault="005409A9" w:rsidP="002D6DD7">
            <w:pPr>
              <w:jc w:val="both"/>
              <w:rPr>
                <w:rFonts w:eastAsia="Times New Roman" w:cs="Times New Roman"/>
                <w:color w:val="000000"/>
                <w:szCs w:val="24"/>
              </w:rPr>
            </w:pPr>
            <w:r w:rsidRPr="00944B15">
              <w:rPr>
                <w:rFonts w:eastAsia="Calibri" w:cs="Times New Roman"/>
                <w:b/>
                <w:color w:val="000000"/>
                <w:szCs w:val="24"/>
              </w:rPr>
              <w:t>Thalidomide</w:t>
            </w:r>
          </w:p>
        </w:tc>
      </w:tr>
      <w:tr w:rsidR="005409A9" w:rsidRPr="00944B15" w14:paraId="6AAB37D8" w14:textId="77777777" w:rsidTr="002D6DD7">
        <w:trPr>
          <w:jc w:val="center"/>
        </w:trPr>
        <w:tc>
          <w:tcPr>
            <w:tcW w:w="2605" w:type="dxa"/>
            <w:hideMark/>
          </w:tcPr>
          <w:p w14:paraId="76344F62"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gridSpan w:val="2"/>
            <w:hideMark/>
          </w:tcPr>
          <w:p w14:paraId="4FD6489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Immunosuppressant and anti-inflammatory activity.</w:t>
            </w:r>
          </w:p>
        </w:tc>
      </w:tr>
      <w:tr w:rsidR="005409A9" w:rsidRPr="00944B15" w14:paraId="1441B7EF" w14:textId="77777777" w:rsidTr="002D6DD7">
        <w:trPr>
          <w:jc w:val="center"/>
        </w:trPr>
        <w:tc>
          <w:tcPr>
            <w:tcW w:w="2605" w:type="dxa"/>
            <w:hideMark/>
          </w:tcPr>
          <w:p w14:paraId="458A50C1"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gridSpan w:val="2"/>
            <w:hideMark/>
          </w:tcPr>
          <w:p w14:paraId="6648DC8B" w14:textId="77777777" w:rsidR="005409A9" w:rsidRPr="00944B15" w:rsidRDefault="005409A9" w:rsidP="002D6DD7">
            <w:pPr>
              <w:tabs>
                <w:tab w:val="left" w:pos="1888"/>
              </w:tabs>
              <w:autoSpaceDE w:val="0"/>
              <w:autoSpaceDN w:val="0"/>
              <w:adjustRightInd w:val="0"/>
              <w:jc w:val="both"/>
              <w:rPr>
                <w:rFonts w:eastAsia="Calibri" w:cs="Times New Roman"/>
                <w:color w:val="000000"/>
                <w:szCs w:val="24"/>
              </w:rPr>
            </w:pPr>
            <w:r w:rsidRPr="00944B15">
              <w:rPr>
                <w:rFonts w:eastAsia="Calibri" w:cs="Times New Roman"/>
                <w:color w:val="000000"/>
                <w:szCs w:val="24"/>
              </w:rPr>
              <w:t>Capsule: 50mg, 100 mg</w:t>
            </w:r>
          </w:p>
        </w:tc>
      </w:tr>
      <w:tr w:rsidR="005409A9" w:rsidRPr="00944B15" w14:paraId="4FAA2F5F" w14:textId="77777777" w:rsidTr="002D6DD7">
        <w:trPr>
          <w:jc w:val="center"/>
        </w:trPr>
        <w:tc>
          <w:tcPr>
            <w:tcW w:w="2605" w:type="dxa"/>
            <w:hideMark/>
          </w:tcPr>
          <w:p w14:paraId="383A13D5"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gridSpan w:val="2"/>
            <w:hideMark/>
          </w:tcPr>
          <w:p w14:paraId="27179B36" w14:textId="77777777" w:rsidR="005409A9" w:rsidRPr="00944B15" w:rsidRDefault="005409A9" w:rsidP="002D6DD7">
            <w:pPr>
              <w:autoSpaceDE w:val="0"/>
              <w:autoSpaceDN w:val="0"/>
              <w:adjustRightInd w:val="0"/>
              <w:jc w:val="both"/>
              <w:rPr>
                <w:rFonts w:eastAsia="Times New Roman" w:cs="Times New Roman"/>
                <w:iCs/>
                <w:color w:val="000000"/>
                <w:szCs w:val="24"/>
              </w:rPr>
            </w:pPr>
            <w:r>
              <w:rPr>
                <w:rFonts w:eastAsia="Times New Roman" w:cs="Times New Roman"/>
                <w:iCs/>
                <w:color w:val="000000"/>
                <w:szCs w:val="24"/>
              </w:rPr>
              <w:t>Untreated multiple myeloma</w:t>
            </w:r>
            <w:r w:rsidRPr="00944B15">
              <w:rPr>
                <w:rFonts w:eastAsia="Times New Roman" w:cs="Times New Roman"/>
                <w:iCs/>
                <w:color w:val="000000"/>
                <w:szCs w:val="24"/>
              </w:rPr>
              <w:t xml:space="preserve"> </w:t>
            </w:r>
          </w:p>
        </w:tc>
      </w:tr>
      <w:tr w:rsidR="005409A9" w:rsidRPr="00944B15" w14:paraId="2EC1F6A7" w14:textId="77777777" w:rsidTr="002D6DD7">
        <w:trPr>
          <w:jc w:val="center"/>
        </w:trPr>
        <w:tc>
          <w:tcPr>
            <w:tcW w:w="2605" w:type="dxa"/>
            <w:hideMark/>
          </w:tcPr>
          <w:p w14:paraId="4EE837A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gridSpan w:val="2"/>
            <w:hideMark/>
          </w:tcPr>
          <w:p w14:paraId="3DAC3AAB" w14:textId="77777777" w:rsidR="005409A9" w:rsidRPr="00503216" w:rsidRDefault="005409A9" w:rsidP="002D6DD7">
            <w:pPr>
              <w:autoSpaceDE w:val="0"/>
              <w:autoSpaceDN w:val="0"/>
              <w:adjustRightInd w:val="0"/>
              <w:jc w:val="both"/>
              <w:rPr>
                <w:rFonts w:eastAsia="Times New Roman" w:cs="Times New Roman"/>
                <w:b/>
                <w:iCs/>
                <w:color w:val="000000"/>
                <w:szCs w:val="24"/>
              </w:rPr>
            </w:pPr>
            <w:r w:rsidRPr="00503216">
              <w:rPr>
                <w:rFonts w:eastAsia="Times New Roman" w:cs="Times New Roman"/>
                <w:b/>
                <w:iCs/>
                <w:color w:val="000000"/>
                <w:szCs w:val="24"/>
              </w:rPr>
              <w:t xml:space="preserve">Untreated multiple myeloma in combination </w:t>
            </w:r>
            <w:r>
              <w:rPr>
                <w:rFonts w:eastAsia="Times New Roman" w:cs="Times New Roman"/>
                <w:b/>
                <w:iCs/>
                <w:color w:val="000000"/>
                <w:szCs w:val="24"/>
              </w:rPr>
              <w:t>with melphalan and prednisolone</w:t>
            </w:r>
            <w:r w:rsidR="00CD494D">
              <w:rPr>
                <w:rFonts w:eastAsia="Times New Roman" w:cs="Times New Roman"/>
                <w:b/>
                <w:iCs/>
                <w:color w:val="000000"/>
                <w:szCs w:val="24"/>
              </w:rPr>
              <w:t xml:space="preserve">. </w:t>
            </w:r>
            <w:r w:rsidR="00CD494D" w:rsidRPr="00CD494D">
              <w:rPr>
                <w:rFonts w:eastAsia="Times New Roman" w:cs="Times New Roman"/>
                <w:iCs/>
                <w:color w:val="000000"/>
                <w:szCs w:val="24"/>
              </w:rPr>
              <w:t>o</w:t>
            </w:r>
            <w:r w:rsidRPr="00CD494D">
              <w:rPr>
                <w:rFonts w:eastAsia="Times New Roman" w:cs="Times New Roman"/>
                <w:iCs/>
                <w:color w:val="000000"/>
                <w:szCs w:val="24"/>
              </w:rPr>
              <w:t>ral</w:t>
            </w:r>
            <w:r w:rsidR="00CD494D" w:rsidRPr="00CD494D">
              <w:rPr>
                <w:rFonts w:eastAsia="Times New Roman" w:cs="Times New Roman"/>
                <w:iCs/>
                <w:color w:val="000000"/>
                <w:szCs w:val="24"/>
              </w:rPr>
              <w:t>:</w:t>
            </w:r>
          </w:p>
          <w:p w14:paraId="135377A8"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t>Adult 18–75 years</w:t>
            </w:r>
            <w:r w:rsidRPr="00944B15">
              <w:rPr>
                <w:rFonts w:eastAsia="Times New Roman" w:cs="Times New Roman"/>
                <w:iCs/>
                <w:color w:val="000000"/>
                <w:szCs w:val="24"/>
              </w:rPr>
              <w:t>: 200 mg once daily for 6 –week cycle for a maximum of 12 cycles, dose to be taken at bedtime</w:t>
            </w:r>
          </w:p>
          <w:p w14:paraId="04223117" w14:textId="77777777" w:rsidR="005409A9" w:rsidRPr="00944B15" w:rsidRDefault="005409A9" w:rsidP="002D6DD7">
            <w:pPr>
              <w:autoSpaceDE w:val="0"/>
              <w:autoSpaceDN w:val="0"/>
              <w:adjustRightInd w:val="0"/>
              <w:jc w:val="both"/>
              <w:rPr>
                <w:rFonts w:eastAsia="Times New Roman" w:cs="Times New Roman"/>
                <w:iCs/>
                <w:color w:val="000000"/>
                <w:szCs w:val="24"/>
              </w:rPr>
            </w:pPr>
            <w:r w:rsidRPr="00944B15">
              <w:rPr>
                <w:rFonts w:eastAsia="Times New Roman" w:cs="Times New Roman"/>
                <w:b/>
                <w:iCs/>
                <w:color w:val="000000"/>
                <w:szCs w:val="24"/>
              </w:rPr>
              <w:lastRenderedPageBreak/>
              <w:t>Adult 76 years and over</w:t>
            </w:r>
            <w:r w:rsidRPr="00944B15">
              <w:rPr>
                <w:rFonts w:eastAsia="Times New Roman" w:cs="Times New Roman"/>
                <w:iCs/>
                <w:color w:val="000000"/>
                <w:szCs w:val="24"/>
              </w:rPr>
              <w:t>: 100 mg once daily for 6–week cycle for a maximum of 12 cycles, dose to be taken at bedtime</w:t>
            </w:r>
          </w:p>
        </w:tc>
      </w:tr>
      <w:tr w:rsidR="005409A9" w:rsidRPr="00944B15" w14:paraId="0F705C1B" w14:textId="77777777" w:rsidTr="002D6DD7">
        <w:trPr>
          <w:jc w:val="center"/>
        </w:trPr>
        <w:tc>
          <w:tcPr>
            <w:tcW w:w="2605" w:type="dxa"/>
            <w:hideMark/>
          </w:tcPr>
          <w:p w14:paraId="62204074"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lastRenderedPageBreak/>
              <w:t>Contraindications</w:t>
            </w:r>
          </w:p>
        </w:tc>
        <w:tc>
          <w:tcPr>
            <w:tcW w:w="6745" w:type="dxa"/>
            <w:gridSpan w:val="2"/>
            <w:hideMark/>
          </w:tcPr>
          <w:p w14:paraId="0A558F8A"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r w:rsidRPr="00944B15">
              <w:rPr>
                <w:rFonts w:eastAsia="Times New Roman" w:cs="Times New Roman"/>
                <w:color w:val="000000"/>
                <w:szCs w:val="24"/>
              </w:rPr>
              <w:t>, male patients unable to follow or comply with the required contraceptive measures, pregnancy</w:t>
            </w:r>
            <w:r>
              <w:rPr>
                <w:rFonts w:eastAsia="Times New Roman" w:cs="Times New Roman"/>
                <w:color w:val="000000"/>
                <w:szCs w:val="24"/>
              </w:rPr>
              <w:t xml:space="preserve"> and breastfeeding.</w:t>
            </w:r>
          </w:p>
        </w:tc>
      </w:tr>
      <w:tr w:rsidR="005409A9" w:rsidRPr="00944B15" w14:paraId="3BDC16ED" w14:textId="77777777" w:rsidTr="002D6DD7">
        <w:trPr>
          <w:jc w:val="center"/>
        </w:trPr>
        <w:tc>
          <w:tcPr>
            <w:tcW w:w="2605" w:type="dxa"/>
            <w:hideMark/>
          </w:tcPr>
          <w:p w14:paraId="648A2969"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gridSpan w:val="2"/>
            <w:hideMark/>
          </w:tcPr>
          <w:p w14:paraId="2363846D"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Hypnotics, oral contraceptives, sedatives, beta blockers and anticholinesterase agents, vincristine </w:t>
            </w:r>
          </w:p>
        </w:tc>
      </w:tr>
      <w:tr w:rsidR="005409A9" w:rsidRPr="00944B15" w14:paraId="4BB11AED" w14:textId="77777777" w:rsidTr="002D6DD7">
        <w:trPr>
          <w:jc w:val="center"/>
        </w:trPr>
        <w:tc>
          <w:tcPr>
            <w:tcW w:w="2605" w:type="dxa"/>
            <w:hideMark/>
          </w:tcPr>
          <w:p w14:paraId="056846F6"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gridSpan w:val="2"/>
            <w:hideMark/>
          </w:tcPr>
          <w:p w14:paraId="0C76FC13"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Neutropenia, leukopenia, anaemia, lymphopenia, thrombocytopenia, confusional state, depression, peripheral neuropathy, tremor, dizziness, paresthesia, dysesthesia, somnolence</w:t>
            </w:r>
          </w:p>
        </w:tc>
      </w:tr>
      <w:tr w:rsidR="005409A9" w:rsidRPr="00944B15" w14:paraId="3FC42464" w14:textId="77777777" w:rsidTr="002D6DD7">
        <w:trPr>
          <w:jc w:val="center"/>
        </w:trPr>
        <w:tc>
          <w:tcPr>
            <w:tcW w:w="2605" w:type="dxa"/>
            <w:hideMark/>
          </w:tcPr>
          <w:p w14:paraId="6462CE83"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gridSpan w:val="2"/>
            <w:hideMark/>
          </w:tcPr>
          <w:p w14:paraId="3D995E51" w14:textId="77777777" w:rsidR="005409A9" w:rsidRPr="00944B15" w:rsidRDefault="005409A9"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Women of childbearing potential, hematologic disorders, myocardial infarction, renal impairment, blo</w:t>
            </w:r>
            <w:r>
              <w:rPr>
                <w:rFonts w:eastAsia="Times New Roman" w:cs="Times New Roman"/>
                <w:color w:val="000000"/>
                <w:szCs w:val="24"/>
              </w:rPr>
              <w:t>od donation</w:t>
            </w:r>
            <w:r w:rsidRPr="00944B15">
              <w:rPr>
                <w:rFonts w:eastAsia="Times New Roman" w:cs="Times New Roman"/>
                <w:color w:val="000000"/>
                <w:szCs w:val="24"/>
              </w:rPr>
              <w:t xml:space="preserve"> </w:t>
            </w:r>
            <w:r>
              <w:rPr>
                <w:rFonts w:eastAsia="Times New Roman" w:cs="Times New Roman"/>
                <w:color w:val="000000"/>
                <w:szCs w:val="24"/>
              </w:rPr>
              <w:t>(</w:t>
            </w:r>
            <w:r w:rsidRPr="00944B15">
              <w:rPr>
                <w:rFonts w:eastAsia="Times New Roman" w:cs="Times New Roman"/>
                <w:color w:val="000000"/>
                <w:szCs w:val="24"/>
              </w:rPr>
              <w:t>for at least 7 days after stopping treatment</w:t>
            </w:r>
            <w:r>
              <w:rPr>
                <w:rFonts w:eastAsia="Times New Roman" w:cs="Times New Roman"/>
                <w:color w:val="000000"/>
                <w:szCs w:val="24"/>
              </w:rPr>
              <w:t>)</w:t>
            </w:r>
            <w:r w:rsidRPr="00944B15">
              <w:rPr>
                <w:rFonts w:eastAsia="Times New Roman" w:cs="Times New Roman"/>
                <w:color w:val="000000"/>
                <w:szCs w:val="24"/>
              </w:rPr>
              <w:t>, high tumour bur</w:t>
            </w:r>
            <w:r>
              <w:rPr>
                <w:rFonts w:eastAsia="Times New Roman" w:cs="Times New Roman"/>
                <w:color w:val="000000"/>
                <w:szCs w:val="24"/>
              </w:rPr>
              <w:t>den, smoking, hypertension, hyperlipidemia, p</w:t>
            </w:r>
            <w:r w:rsidRPr="00944B15">
              <w:rPr>
                <w:rFonts w:eastAsia="Times New Roman" w:cs="Times New Roman"/>
                <w:color w:val="000000"/>
                <w:szCs w:val="24"/>
              </w:rPr>
              <w:t xml:space="preserve">eripheral neuropathy: drugs that cause thromboembolism, bradycardia, </w:t>
            </w:r>
            <w:r>
              <w:rPr>
                <w:rFonts w:eastAsia="Times New Roman" w:cs="Times New Roman"/>
                <w:color w:val="000000"/>
                <w:szCs w:val="24"/>
              </w:rPr>
              <w:t>myelosuppression.</w:t>
            </w:r>
          </w:p>
        </w:tc>
      </w:tr>
      <w:tr w:rsidR="005409A9" w:rsidRPr="00944B15" w14:paraId="4313BEF8" w14:textId="77777777" w:rsidTr="002D6DD7">
        <w:trPr>
          <w:jc w:val="center"/>
        </w:trPr>
        <w:tc>
          <w:tcPr>
            <w:tcW w:w="2605" w:type="dxa"/>
            <w:hideMark/>
          </w:tcPr>
          <w:p w14:paraId="62B4D76F"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gridSpan w:val="2"/>
          </w:tcPr>
          <w:p w14:paraId="4EB9A5A0" w14:textId="77777777" w:rsidR="005409A9" w:rsidRPr="00944B15" w:rsidRDefault="005409A9" w:rsidP="002D6DD7">
            <w:pPr>
              <w:jc w:val="both"/>
              <w:rPr>
                <w:rFonts w:eastAsia="Times New Roman" w:cs="Times New Roman"/>
                <w:color w:val="000000"/>
                <w:szCs w:val="24"/>
              </w:rPr>
            </w:pPr>
            <w:r w:rsidRPr="00944B15">
              <w:rPr>
                <w:rFonts w:eastAsia="Times New Roman" w:cs="Times New Roman"/>
                <w:color w:val="000000"/>
                <w:szCs w:val="24"/>
              </w:rPr>
              <w:t>Store below 30</w:t>
            </w:r>
            <w:r w:rsidRPr="00944B15">
              <w:rPr>
                <w:rFonts w:eastAsia="Times New Roman" w:cs="Times New Roman"/>
                <w:color w:val="000000"/>
                <w:szCs w:val="24"/>
                <w:vertAlign w:val="superscript"/>
              </w:rPr>
              <w:t>0</w:t>
            </w:r>
            <w:r>
              <w:rPr>
                <w:rFonts w:eastAsia="Times New Roman" w:cs="Times New Roman"/>
                <w:color w:val="000000"/>
                <w:szCs w:val="24"/>
              </w:rPr>
              <w:t>C.</w:t>
            </w:r>
          </w:p>
        </w:tc>
      </w:tr>
    </w:tbl>
    <w:p w14:paraId="679213BF" w14:textId="77777777" w:rsidR="005409A9" w:rsidRDefault="005409A9" w:rsidP="00E837DD">
      <w:pPr>
        <w:spacing w:after="0"/>
        <w:jc w:val="both"/>
        <w:rPr>
          <w:rFonts w:cs="Times New Roman"/>
          <w:szCs w:val="24"/>
        </w:rPr>
      </w:pPr>
    </w:p>
    <w:p w14:paraId="6A0C768D" w14:textId="77777777" w:rsidR="005D59D6" w:rsidRDefault="005D59D6" w:rsidP="00E837DD">
      <w:pPr>
        <w:spacing w:after="0"/>
        <w:jc w:val="both"/>
        <w:rPr>
          <w:rFonts w:cs="Times New Roman"/>
          <w:szCs w:val="24"/>
        </w:rPr>
      </w:pPr>
    </w:p>
    <w:p w14:paraId="7B2CFC33" w14:textId="77777777" w:rsidR="005D59D6" w:rsidRDefault="005D59D6" w:rsidP="00E837DD">
      <w:pPr>
        <w:spacing w:after="0"/>
        <w:jc w:val="both"/>
        <w:rPr>
          <w:rFonts w:cs="Times New Roman"/>
          <w:szCs w:val="24"/>
        </w:rPr>
      </w:pPr>
    </w:p>
    <w:p w14:paraId="07D42FD6" w14:textId="77777777" w:rsidR="005D59D6" w:rsidRDefault="005D59D6" w:rsidP="00E837DD">
      <w:pPr>
        <w:spacing w:after="0"/>
        <w:jc w:val="both"/>
        <w:rPr>
          <w:rFonts w:cs="Times New Roman"/>
          <w:szCs w:val="24"/>
        </w:rPr>
      </w:pPr>
    </w:p>
    <w:p w14:paraId="723BC93B" w14:textId="77777777" w:rsidR="005D59D6" w:rsidRPr="00F10C37" w:rsidRDefault="005D59D6" w:rsidP="00CD494D">
      <w:pPr>
        <w:pStyle w:val="Heading1"/>
        <w:numPr>
          <w:ilvl w:val="0"/>
          <w:numId w:val="25"/>
        </w:numPr>
        <w:spacing w:after="240"/>
      </w:pPr>
      <w:bookmarkStart w:id="179" w:name="_Toc179490389"/>
      <w:r w:rsidRPr="00F10C37">
        <w:t xml:space="preserve">Antineoplastic and </w:t>
      </w:r>
      <w:r w:rsidR="00CD494D">
        <w:t>S</w:t>
      </w:r>
      <w:r w:rsidRPr="00F10C37">
        <w:t xml:space="preserve">upportive </w:t>
      </w:r>
      <w:r w:rsidR="00CD494D">
        <w:t>M</w:t>
      </w:r>
      <w:r w:rsidRPr="00F10C37">
        <w:t>edicines</w:t>
      </w:r>
      <w:bookmarkEnd w:id="179"/>
    </w:p>
    <w:p w14:paraId="7AA3C7E1" w14:textId="77777777" w:rsidR="005D59D6" w:rsidRPr="00F10C37" w:rsidRDefault="005D59D6" w:rsidP="005D59D6">
      <w:pPr>
        <w:spacing w:after="0"/>
        <w:jc w:val="both"/>
        <w:rPr>
          <w:rFonts w:eastAsia="Times New Roman" w:cs="Times New Roman"/>
          <w:kern w:val="0"/>
          <w:szCs w:val="24"/>
          <w:lang w:val="en-US" w:eastAsia="en-US"/>
        </w:rPr>
      </w:pPr>
      <w:r w:rsidRPr="00F10C37">
        <w:rPr>
          <w:rFonts w:eastAsia="Times New Roman" w:cs="Times New Roman"/>
          <w:kern w:val="0"/>
          <w:szCs w:val="24"/>
          <w:lang w:val="en-US" w:eastAsia="en-US"/>
        </w:rPr>
        <w:t>Antineoplastics are essential in cancer treatment, targeting rapidly dividing cells to prevent uncontrolled growth and replication. Chemotherapy, a fundamental part of cancer treatment, combines drugs from different classes to maximize efficacy and minimize resistance. Advancements in research and drug development expand the range of chemotherapy options, including anticancer cytotoxic medicines, targeted therapies, hormones, and supportive medicines.</w:t>
      </w:r>
    </w:p>
    <w:p w14:paraId="7837EEDB" w14:textId="77777777" w:rsidR="005D59D6" w:rsidRDefault="005D59D6" w:rsidP="00CD494D">
      <w:pPr>
        <w:pStyle w:val="Heading2"/>
        <w:spacing w:before="240" w:after="240"/>
      </w:pPr>
      <w:bookmarkStart w:id="180" w:name="_Toc179490390"/>
      <w:r w:rsidRPr="00F10C37">
        <w:lastRenderedPageBreak/>
        <w:t>Cyto</w:t>
      </w:r>
      <w:r>
        <w:t>toxic agents</w:t>
      </w:r>
      <w:bookmarkEnd w:id="180"/>
    </w:p>
    <w:p w14:paraId="14D34BF6" w14:textId="77777777" w:rsidR="005D59D6" w:rsidRPr="00B56840" w:rsidRDefault="005D59D6" w:rsidP="00CD494D">
      <w:pPr>
        <w:jc w:val="both"/>
        <w:rPr>
          <w:rFonts w:eastAsiaTheme="majorEastAsia" w:cs="Times New Roman"/>
          <w:color w:val="000000"/>
          <w:szCs w:val="24"/>
        </w:rPr>
      </w:pPr>
      <w:r w:rsidRPr="00B56840">
        <w:rPr>
          <w:rFonts w:cs="Times New Roman"/>
          <w:szCs w:val="24"/>
        </w:rPr>
        <w:t xml:space="preserve">Cytotoxic agents are a class of drugs designed to kill or inhibit the growth of rapidly dividing cells, primarily used in the treatment of cancer. They play a crucial role in chemotherapy by targeting the uncontrolled cell proliferation characteristic of tumors. However, because these agents also affect normal cells that divide quickly, such as those in the bone marrow, gastrointestinal tract, and hair follicles, their use can lead to significant side effects. </w:t>
      </w:r>
      <w:r w:rsidRPr="00B56840">
        <w:rPr>
          <w:rStyle w:val="fontstyle01"/>
          <w:rFonts w:ascii="Times New Roman" w:eastAsiaTheme="majorEastAsia" w:hAnsi="Times New Roman" w:cs="Times New Roman"/>
          <w:sz w:val="24"/>
          <w:szCs w:val="24"/>
        </w:rPr>
        <w:t>Cytotoxic drugs fall into a number of classes</w:t>
      </w:r>
      <w:r>
        <w:rPr>
          <w:rStyle w:val="fontstyle01"/>
          <w:rFonts w:ascii="Times New Roman" w:eastAsiaTheme="majorEastAsia" w:hAnsi="Times New Roman" w:cs="Times New Roman"/>
          <w:sz w:val="24"/>
          <w:szCs w:val="24"/>
        </w:rPr>
        <w:t xml:space="preserve"> which include alkyting agents, antimetabolites, antibiotics, alkaloids, and topoisomerase inhibitors </w:t>
      </w:r>
      <w:r w:rsidRPr="00B56840">
        <w:rPr>
          <w:rStyle w:val="fontstyle01"/>
          <w:rFonts w:ascii="Times New Roman" w:eastAsiaTheme="majorEastAsia" w:hAnsi="Times New Roman" w:cs="Times New Roman"/>
          <w:sz w:val="24"/>
          <w:szCs w:val="24"/>
        </w:rPr>
        <w:t>each with</w:t>
      </w:r>
      <w:r w:rsidRPr="00B56840">
        <w:rPr>
          <w:rFonts w:cs="Times New Roman"/>
          <w:color w:val="231F20"/>
          <w:szCs w:val="24"/>
        </w:rPr>
        <w:t xml:space="preserve"> </w:t>
      </w:r>
      <w:r w:rsidRPr="00B56840">
        <w:rPr>
          <w:rStyle w:val="fontstyle01"/>
          <w:rFonts w:ascii="Times New Roman" w:eastAsiaTheme="majorEastAsia" w:hAnsi="Times New Roman" w:cs="Times New Roman"/>
          <w:sz w:val="24"/>
          <w:szCs w:val="24"/>
        </w:rPr>
        <w:t>characteristic antitumour activity, sites of action, and</w:t>
      </w:r>
      <w:r w:rsidRPr="00B56840">
        <w:rPr>
          <w:rFonts w:cs="Times New Roman"/>
          <w:color w:val="231F20"/>
          <w:szCs w:val="24"/>
        </w:rPr>
        <w:t xml:space="preserve"> </w:t>
      </w:r>
      <w:r w:rsidRPr="00B56840">
        <w:rPr>
          <w:rStyle w:val="fontstyle01"/>
          <w:rFonts w:ascii="Times New Roman" w:eastAsiaTheme="majorEastAsia" w:hAnsi="Times New Roman" w:cs="Times New Roman"/>
          <w:sz w:val="24"/>
          <w:szCs w:val="24"/>
        </w:rPr>
        <w:t xml:space="preserve">toxicity. </w:t>
      </w:r>
      <w:r w:rsidRPr="00B56840">
        <w:rPr>
          <w:rFonts w:cs="Times New Roman"/>
          <w:b/>
          <w:bCs/>
          <w:szCs w:val="24"/>
        </w:rPr>
        <w:t xml:space="preserve"> </w:t>
      </w:r>
      <w:r w:rsidRPr="00B56840">
        <w:rPr>
          <w:rFonts w:cs="Times New Roman"/>
          <w:bCs/>
          <w:szCs w:val="24"/>
        </w:rPr>
        <w:t>Alkylating agents</w:t>
      </w:r>
      <w:r w:rsidRPr="00B56840">
        <w:rPr>
          <w:rFonts w:cs="Times New Roman"/>
          <w:szCs w:val="24"/>
        </w:rPr>
        <w:t xml:space="preserve"> add alkyl groups to DNA, preventing cancer cells from dividing, ultimately leading to cell death. </w:t>
      </w:r>
      <w:r w:rsidRPr="00B56840">
        <w:rPr>
          <w:rFonts w:eastAsia="Times New Roman" w:cs="Times New Roman"/>
          <w:bCs/>
          <w:kern w:val="0"/>
          <w:szCs w:val="24"/>
          <w:lang w:val="en-US" w:eastAsia="en-US"/>
        </w:rPr>
        <w:t>Antimetabolites (</w:t>
      </w:r>
      <w:r w:rsidRPr="00B56840">
        <w:rPr>
          <w:rFonts w:eastAsia="Times New Roman" w:cs="Times New Roman"/>
          <w:kern w:val="0"/>
          <w:szCs w:val="24"/>
          <w:lang w:val="en-US" w:eastAsia="en-US"/>
        </w:rPr>
        <w:t>methotrexate, 5-fluorouracil (5-FU), and gemcitabine) interfere with DNA synthesis by mimicking the structure of essential cellular components. Common examples include.</w:t>
      </w:r>
      <w:r w:rsidRPr="00B56840">
        <w:rPr>
          <w:rFonts w:cs="Times New Roman"/>
          <w:szCs w:val="24"/>
        </w:rPr>
        <w:t xml:space="preserve"> </w:t>
      </w:r>
      <w:r w:rsidRPr="00B56840">
        <w:rPr>
          <w:rFonts w:eastAsia="Times New Roman" w:cs="Times New Roman"/>
          <w:bCs/>
          <w:kern w:val="0"/>
          <w:szCs w:val="24"/>
          <w:lang w:val="en-US" w:eastAsia="en-US"/>
        </w:rPr>
        <w:t>Antitumor antibiotics (</w:t>
      </w:r>
      <w:r w:rsidRPr="00B56840">
        <w:rPr>
          <w:rFonts w:eastAsia="Times New Roman" w:cs="Times New Roman"/>
          <w:kern w:val="0"/>
          <w:szCs w:val="24"/>
          <w:lang w:val="en-US" w:eastAsia="en-US"/>
        </w:rPr>
        <w:t>doxorubicin, bleomycin, and mitomycin) derived from natural sources, such as bacteria or fungi, and work by inhibiting DNA replication. They bind to DNA strands, causing breaks and preventing cell division.</w:t>
      </w:r>
      <w:r w:rsidRPr="00B56840">
        <w:rPr>
          <w:rFonts w:cs="Times New Roman"/>
          <w:szCs w:val="24"/>
        </w:rPr>
        <w:t xml:space="preserve"> </w:t>
      </w:r>
      <w:r w:rsidRPr="00B56840">
        <w:rPr>
          <w:rFonts w:eastAsia="Times New Roman" w:cs="Times New Roman"/>
          <w:bCs/>
          <w:kern w:val="0"/>
          <w:szCs w:val="24"/>
          <w:lang w:val="en-US" w:eastAsia="en-US"/>
        </w:rPr>
        <w:t>Plant alkaloids</w:t>
      </w:r>
      <w:r w:rsidRPr="00B56840">
        <w:rPr>
          <w:rFonts w:eastAsia="Times New Roman" w:cs="Times New Roman"/>
          <w:kern w:val="0"/>
          <w:szCs w:val="24"/>
          <w:lang w:val="en-US" w:eastAsia="en-US"/>
        </w:rPr>
        <w:t xml:space="preserve"> interfere with the microtubule structures necessary for cell division, ultimately leading to cell death. Examples include paclitaxel, vincristine, and vinblastine.</w:t>
      </w:r>
      <w:r w:rsidRPr="00B56840">
        <w:rPr>
          <w:rFonts w:cs="Times New Roman"/>
          <w:szCs w:val="24"/>
        </w:rPr>
        <w:t xml:space="preserve"> </w:t>
      </w:r>
      <w:r w:rsidRPr="00B56840">
        <w:rPr>
          <w:rFonts w:eastAsia="Times New Roman" w:cs="Times New Roman"/>
          <w:bCs/>
          <w:kern w:val="0"/>
          <w:szCs w:val="24"/>
          <w:lang w:val="en-US" w:eastAsia="en-US"/>
        </w:rPr>
        <w:t>Topoisomerase inhibitors (</w:t>
      </w:r>
      <w:r w:rsidRPr="00B56840">
        <w:rPr>
          <w:rFonts w:eastAsia="Times New Roman" w:cs="Times New Roman"/>
          <w:kern w:val="0"/>
          <w:szCs w:val="24"/>
          <w:lang w:val="en-US" w:eastAsia="en-US"/>
        </w:rPr>
        <w:t>etoposide, irinotecan, and topotecan) interfere with the action of topoisomerases, enzymes involved in DNA replication and repair.</w:t>
      </w:r>
    </w:p>
    <w:tbl>
      <w:tblPr>
        <w:tblStyle w:val="TableGrid"/>
        <w:tblW w:w="9705" w:type="dxa"/>
        <w:jc w:val="center"/>
        <w:tblLook w:val="04A0" w:firstRow="1" w:lastRow="0" w:firstColumn="1" w:lastColumn="0" w:noHBand="0" w:noVBand="1"/>
      </w:tblPr>
      <w:tblGrid>
        <w:gridCol w:w="2695"/>
        <w:gridCol w:w="7010"/>
      </w:tblGrid>
      <w:tr w:rsidR="005D59D6" w:rsidRPr="00F10C37" w14:paraId="2499E5BB" w14:textId="77777777" w:rsidTr="002D6DD7">
        <w:trPr>
          <w:jc w:val="center"/>
        </w:trPr>
        <w:tc>
          <w:tcPr>
            <w:tcW w:w="9705" w:type="dxa"/>
            <w:gridSpan w:val="2"/>
          </w:tcPr>
          <w:p w14:paraId="0915CE5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color w:val="000000" w:themeColor="text1"/>
                <w:szCs w:val="24"/>
              </w:rPr>
              <w:t xml:space="preserve">Arsenic </w:t>
            </w:r>
            <w:r>
              <w:rPr>
                <w:rFonts w:eastAsia="Calibri" w:cs="Times New Roman"/>
                <w:b/>
                <w:color w:val="000000" w:themeColor="text1"/>
                <w:szCs w:val="24"/>
              </w:rPr>
              <w:t>t</w:t>
            </w:r>
            <w:r w:rsidRPr="00F10C37">
              <w:rPr>
                <w:rFonts w:eastAsia="Calibri" w:cs="Times New Roman"/>
                <w:b/>
                <w:color w:val="000000" w:themeColor="text1"/>
                <w:szCs w:val="24"/>
              </w:rPr>
              <w:t>rioxide</w:t>
            </w:r>
          </w:p>
        </w:tc>
      </w:tr>
      <w:tr w:rsidR="005D59D6" w:rsidRPr="00F10C37" w14:paraId="743212A9" w14:textId="77777777" w:rsidTr="002D6DD7">
        <w:trPr>
          <w:jc w:val="center"/>
        </w:trPr>
        <w:tc>
          <w:tcPr>
            <w:tcW w:w="2695" w:type="dxa"/>
          </w:tcPr>
          <w:p w14:paraId="3F0EEFA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3B0CC6C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w:t>
            </w:r>
          </w:p>
        </w:tc>
      </w:tr>
      <w:tr w:rsidR="005D59D6" w:rsidRPr="00F10C37" w14:paraId="6B839B17" w14:textId="77777777" w:rsidTr="002D6DD7">
        <w:trPr>
          <w:jc w:val="center"/>
        </w:trPr>
        <w:tc>
          <w:tcPr>
            <w:tcW w:w="2695" w:type="dxa"/>
          </w:tcPr>
          <w:p w14:paraId="4002C5D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456CD16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Injection: 1mg/</w:t>
            </w:r>
            <w:r>
              <w:rPr>
                <w:rFonts w:eastAsia="Calibri" w:cs="Times New Roman"/>
                <w:color w:val="000000" w:themeColor="text1"/>
                <w:szCs w:val="24"/>
              </w:rPr>
              <w:t>ml</w:t>
            </w:r>
            <w:r w:rsidRPr="00F10C37">
              <w:rPr>
                <w:rFonts w:eastAsia="Calibri" w:cs="Times New Roman"/>
                <w:color w:val="000000" w:themeColor="text1"/>
                <w:szCs w:val="24"/>
              </w:rPr>
              <w:t xml:space="preserve"> in 10</w:t>
            </w:r>
            <w:r>
              <w:rPr>
                <w:rFonts w:eastAsia="Calibri" w:cs="Times New Roman"/>
                <w:color w:val="000000" w:themeColor="text1"/>
                <w:szCs w:val="24"/>
              </w:rPr>
              <w:t>ml</w:t>
            </w:r>
            <w:r w:rsidRPr="00F10C37">
              <w:rPr>
                <w:rFonts w:eastAsia="Calibri" w:cs="Times New Roman"/>
                <w:color w:val="000000" w:themeColor="text1"/>
                <w:szCs w:val="24"/>
              </w:rPr>
              <w:t xml:space="preserve"> ampule</w:t>
            </w:r>
          </w:p>
          <w:p w14:paraId="7AAA1F6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Concentrate for solution for infusion: 1 mg/</w:t>
            </w:r>
            <w:r>
              <w:rPr>
                <w:rFonts w:eastAsia="Calibri" w:cs="Times New Roman"/>
                <w:color w:val="000000" w:themeColor="text1"/>
                <w:szCs w:val="24"/>
              </w:rPr>
              <w:t>ml,</w:t>
            </w:r>
            <w:r w:rsidRPr="00F10C37">
              <w:rPr>
                <w:rFonts w:eastAsia="Calibri" w:cs="Times New Roman"/>
                <w:color w:val="000000" w:themeColor="text1"/>
                <w:szCs w:val="24"/>
              </w:rPr>
              <w:t xml:space="preserve"> 2 mg/</w:t>
            </w:r>
            <w:r>
              <w:rPr>
                <w:rFonts w:eastAsia="Calibri" w:cs="Times New Roman"/>
                <w:color w:val="000000" w:themeColor="text1"/>
                <w:szCs w:val="24"/>
              </w:rPr>
              <w:t>ml</w:t>
            </w:r>
          </w:p>
        </w:tc>
      </w:tr>
      <w:tr w:rsidR="005D59D6" w:rsidRPr="00F10C37" w14:paraId="6307DACC" w14:textId="77777777" w:rsidTr="002D6DD7">
        <w:trPr>
          <w:jc w:val="center"/>
        </w:trPr>
        <w:tc>
          <w:tcPr>
            <w:tcW w:w="2695" w:type="dxa"/>
          </w:tcPr>
          <w:p w14:paraId="32E1B81E" w14:textId="77777777" w:rsidR="005D59D6" w:rsidRPr="008772ED" w:rsidRDefault="005D59D6" w:rsidP="002D6DD7">
            <w:pPr>
              <w:jc w:val="both"/>
              <w:rPr>
                <w:rFonts w:eastAsia="Calibri" w:cs="Times New Roman"/>
                <w:color w:val="000000" w:themeColor="text1"/>
                <w:szCs w:val="24"/>
              </w:rPr>
            </w:pPr>
            <w:r w:rsidRPr="008772ED">
              <w:rPr>
                <w:rFonts w:eastAsia="Calibri" w:cs="Times New Roman"/>
                <w:color w:val="000000" w:themeColor="text1"/>
                <w:szCs w:val="24"/>
              </w:rPr>
              <w:t>Indications</w:t>
            </w:r>
          </w:p>
        </w:tc>
        <w:tc>
          <w:tcPr>
            <w:tcW w:w="7010" w:type="dxa"/>
          </w:tcPr>
          <w:p w14:paraId="18612CF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Acute promyelocytic leukemia (APL) </w:t>
            </w:r>
          </w:p>
        </w:tc>
      </w:tr>
      <w:tr w:rsidR="005D59D6" w:rsidRPr="00F10C37" w14:paraId="00F44D0E" w14:textId="77777777" w:rsidTr="002D6DD7">
        <w:trPr>
          <w:jc w:val="center"/>
        </w:trPr>
        <w:tc>
          <w:tcPr>
            <w:tcW w:w="2695" w:type="dxa"/>
          </w:tcPr>
          <w:p w14:paraId="3F61ABBC"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1062D28" w14:textId="77777777" w:rsidR="005D59D6" w:rsidRPr="00F10C37" w:rsidRDefault="005D59D6" w:rsidP="002D6DD7">
            <w:pPr>
              <w:contextualSpacing/>
              <w:jc w:val="both"/>
              <w:rPr>
                <w:rFonts w:eastAsia="Calibri" w:cs="Times New Roman"/>
                <w:color w:val="ED7D31" w:themeColor="accent2"/>
                <w:szCs w:val="24"/>
              </w:rPr>
            </w:pPr>
            <w:r w:rsidRPr="00F10C37">
              <w:rPr>
                <w:rFonts w:eastAsia="Calibri" w:cs="Times New Roman"/>
                <w:b/>
                <w:bCs/>
                <w:color w:val="000000" w:themeColor="text1"/>
                <w:szCs w:val="24"/>
              </w:rPr>
              <w:t>Newly diagnosed low-risk APL</w:t>
            </w:r>
            <w:r w:rsidRPr="00F10C37">
              <w:rPr>
                <w:rFonts w:eastAsia="Calibri" w:cs="Times New Roman"/>
                <w:bCs/>
                <w:color w:val="000000" w:themeColor="text1"/>
                <w:szCs w:val="24"/>
              </w:rPr>
              <w:t>:</w:t>
            </w:r>
          </w:p>
          <w:p w14:paraId="04FF138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Induction therapy: 0.15 mg/kg/day IV for a maximum of 60 days in combination with tretinoin.</w:t>
            </w:r>
          </w:p>
          <w:p w14:paraId="489DCEA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Consolidation therapy: 0.15 mg/kg/day IV for 5 days/week on weeks 1 to 4 of an 8-week cycle for a total of 4 cycles in combination with tretinoin.</w:t>
            </w:r>
          </w:p>
          <w:p w14:paraId="690DD2F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Relapsed or refractory APL</w:t>
            </w:r>
            <w:r w:rsidRPr="00F10C37">
              <w:rPr>
                <w:rFonts w:eastAsia="Calibri" w:cs="Times New Roman"/>
                <w:color w:val="000000" w:themeColor="text1"/>
                <w:szCs w:val="24"/>
              </w:rPr>
              <w:t xml:space="preserve">: The treatment course consists of 1 </w:t>
            </w:r>
            <w:r w:rsidRPr="00F10C37">
              <w:rPr>
                <w:rFonts w:eastAsia="Calibri" w:cs="Times New Roman"/>
                <w:color w:val="000000" w:themeColor="text1"/>
                <w:szCs w:val="24"/>
              </w:rPr>
              <w:lastRenderedPageBreak/>
              <w:t>induction cycle and 1 consolidation cycle.</w:t>
            </w:r>
          </w:p>
          <w:p w14:paraId="5263B9C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Induction therapy: 0.15 mg/kg/day IV for a maximum of 60 days.</w:t>
            </w:r>
          </w:p>
          <w:p w14:paraId="56DA016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Consolidation therapy: 0.15 mg/kg/day IV for 5 days/week for a total of 5 weeks.</w:t>
            </w:r>
          </w:p>
          <w:p w14:paraId="04746932" w14:textId="77777777" w:rsidR="005D59D6" w:rsidRPr="00A95460" w:rsidRDefault="005D59D6" w:rsidP="002D6DD7">
            <w:pPr>
              <w:contextualSpacing/>
              <w:jc w:val="both"/>
              <w:rPr>
                <w:rFonts w:eastAsia="Calibri" w:cs="Times New Roman"/>
                <w:i/>
                <w:color w:val="000000" w:themeColor="text1"/>
                <w:szCs w:val="24"/>
              </w:rPr>
            </w:pPr>
            <w:r w:rsidRPr="00A95460">
              <w:rPr>
                <w:rFonts w:eastAsia="Calibri" w:cs="Times New Roman"/>
                <w:i/>
                <w:color w:val="000000" w:themeColor="text1"/>
                <w:szCs w:val="24"/>
              </w:rPr>
              <w:t>Note: Consolidation therapy should be initiated 3–6 weeks after completion of induction treatment and only in those patients who achieve a complete bone marrow remission.</w:t>
            </w:r>
          </w:p>
        </w:tc>
      </w:tr>
      <w:tr w:rsidR="005D59D6" w:rsidRPr="00F10C37" w14:paraId="31A6FE50" w14:textId="77777777" w:rsidTr="002D6DD7">
        <w:trPr>
          <w:jc w:val="center"/>
        </w:trPr>
        <w:tc>
          <w:tcPr>
            <w:tcW w:w="2695" w:type="dxa"/>
          </w:tcPr>
          <w:p w14:paraId="373CB3C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2ECAB5A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p>
        </w:tc>
      </w:tr>
      <w:tr w:rsidR="005D59D6" w:rsidRPr="00F10C37" w14:paraId="6B849996" w14:textId="77777777" w:rsidTr="002D6DD7">
        <w:trPr>
          <w:jc w:val="center"/>
        </w:trPr>
        <w:tc>
          <w:tcPr>
            <w:tcW w:w="2695" w:type="dxa"/>
          </w:tcPr>
          <w:p w14:paraId="6E77239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6B9C701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Antiarrhythmics, amphotericin B. </w:t>
            </w:r>
          </w:p>
        </w:tc>
      </w:tr>
      <w:tr w:rsidR="005D59D6" w:rsidRPr="00F10C37" w14:paraId="04003780" w14:textId="77777777" w:rsidTr="002D6DD7">
        <w:trPr>
          <w:jc w:val="center"/>
        </w:trPr>
        <w:tc>
          <w:tcPr>
            <w:tcW w:w="2695" w:type="dxa"/>
          </w:tcPr>
          <w:p w14:paraId="5905061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30C801F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Abdominal pain, alveolar haemorrhage, anaemia, arrhythmias, arthralgia, chest pain, chills, diarrhoea, differentiation syndrome, dizziness, dyspnoea, electrolyte imbalance, fatigue, fever, headache, hyperbilirubinaemia, hyperglycaemia, hypotension, hypoxia, increased risk of infection, ketoacidosis, leucocytosis, myalgia, nausea, neutropenia, oedema, pain, pancytopenia, paraesthesia, pericardial effusion, QT interval prolongation, renal failure, respiratory disorders, seizure, skin reactions, thrombocytopenia, vasculitis, vision blurred, vomiting, weight </w:t>
            </w:r>
            <w:r>
              <w:rPr>
                <w:rFonts w:eastAsia="Calibri" w:cs="Times New Roman"/>
                <w:color w:val="000000" w:themeColor="text1"/>
                <w:szCs w:val="24"/>
              </w:rPr>
              <w:t>gain</w:t>
            </w:r>
            <w:r w:rsidRPr="00F10C37">
              <w:rPr>
                <w:rFonts w:eastAsia="Calibri" w:cs="Times New Roman"/>
                <w:color w:val="000000" w:themeColor="text1"/>
                <w:szCs w:val="24"/>
              </w:rPr>
              <w:t xml:space="preserve">. </w:t>
            </w:r>
          </w:p>
        </w:tc>
      </w:tr>
      <w:tr w:rsidR="005D59D6" w:rsidRPr="00F10C37" w14:paraId="2F0D9824" w14:textId="77777777" w:rsidTr="002D6DD7">
        <w:trPr>
          <w:jc w:val="center"/>
        </w:trPr>
        <w:tc>
          <w:tcPr>
            <w:tcW w:w="2695" w:type="dxa"/>
          </w:tcPr>
          <w:p w14:paraId="175DEA0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08E75DF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Hypokalaemia, hypomagnesaemia, previous treatment with anthracyclines, vitamin B1 deficiency</w:t>
            </w:r>
            <w:r>
              <w:rPr>
                <w:rFonts w:eastAsia="Calibri" w:cs="Times New Roman"/>
                <w:color w:val="000000" w:themeColor="text1"/>
                <w:szCs w:val="24"/>
              </w:rPr>
              <w:t xml:space="preserve">, </w:t>
            </w:r>
            <w:r w:rsidRPr="00F10C37">
              <w:rPr>
                <w:rFonts w:eastAsia="Calibri" w:cs="Times New Roman"/>
                <w:color w:val="000000" w:themeColor="text1"/>
                <w:szCs w:val="24"/>
              </w:rPr>
              <w:t>renal impairment, pregnancy</w:t>
            </w:r>
            <w:r>
              <w:rPr>
                <w:rFonts w:eastAsia="Calibri" w:cs="Times New Roman"/>
                <w:color w:val="000000" w:themeColor="text1"/>
                <w:szCs w:val="24"/>
              </w:rPr>
              <w:t xml:space="preserve">, </w:t>
            </w:r>
            <w:r w:rsidRPr="00F10C37">
              <w:rPr>
                <w:rFonts w:eastAsia="Calibri" w:cs="Times New Roman"/>
                <w:color w:val="000000" w:themeColor="text1"/>
                <w:szCs w:val="24"/>
              </w:rPr>
              <w:t xml:space="preserve">breastfeeding. </w:t>
            </w:r>
          </w:p>
        </w:tc>
      </w:tr>
      <w:tr w:rsidR="005D59D6" w:rsidRPr="00F10C37" w14:paraId="4EF69A2C" w14:textId="77777777" w:rsidTr="002D6DD7">
        <w:trPr>
          <w:jc w:val="center"/>
        </w:trPr>
        <w:tc>
          <w:tcPr>
            <w:tcW w:w="2695" w:type="dxa"/>
          </w:tcPr>
          <w:p w14:paraId="37925FC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570AF0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below 30°C. Protect from light and moisture. </w:t>
            </w:r>
          </w:p>
        </w:tc>
      </w:tr>
      <w:tr w:rsidR="005D59D6" w:rsidRPr="00F10C37" w14:paraId="477BFC89" w14:textId="77777777" w:rsidTr="002D6DD7">
        <w:trPr>
          <w:jc w:val="center"/>
        </w:trPr>
        <w:tc>
          <w:tcPr>
            <w:tcW w:w="9705" w:type="dxa"/>
            <w:gridSpan w:val="2"/>
          </w:tcPr>
          <w:p w14:paraId="65855788" w14:textId="77777777" w:rsidR="005D59D6" w:rsidRPr="00F10C37" w:rsidRDefault="005D59D6" w:rsidP="002D6DD7">
            <w:pPr>
              <w:jc w:val="both"/>
              <w:rPr>
                <w:rFonts w:eastAsia="Calibri" w:cs="Times New Roman"/>
                <w:color w:val="000000" w:themeColor="text1"/>
                <w:szCs w:val="24"/>
              </w:rPr>
            </w:pPr>
            <w:bookmarkStart w:id="181" w:name="_Hlk166288862"/>
            <w:r>
              <w:rPr>
                <w:rFonts w:eastAsia="Calibri" w:cs="Times New Roman"/>
                <w:b/>
                <w:color w:val="000000" w:themeColor="text1"/>
                <w:szCs w:val="24"/>
              </w:rPr>
              <w:t>L-</w:t>
            </w:r>
            <w:r w:rsidRPr="00F10C37">
              <w:rPr>
                <w:rFonts w:eastAsia="Calibri" w:cs="Times New Roman"/>
                <w:b/>
                <w:color w:val="000000" w:themeColor="text1"/>
                <w:szCs w:val="24"/>
              </w:rPr>
              <w:t xml:space="preserve">Asparaginase </w:t>
            </w:r>
          </w:p>
        </w:tc>
      </w:tr>
      <w:tr w:rsidR="005D59D6" w:rsidRPr="00F10C37" w14:paraId="1A3ABA72" w14:textId="77777777" w:rsidTr="002D6DD7">
        <w:trPr>
          <w:jc w:val="center"/>
        </w:trPr>
        <w:tc>
          <w:tcPr>
            <w:tcW w:w="2695" w:type="dxa"/>
          </w:tcPr>
          <w:p w14:paraId="7A93DE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15CAA5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Enzyme  </w:t>
            </w:r>
          </w:p>
        </w:tc>
      </w:tr>
      <w:tr w:rsidR="005D59D6" w:rsidRPr="00F10C37" w14:paraId="7624B353" w14:textId="77777777" w:rsidTr="002D6DD7">
        <w:trPr>
          <w:jc w:val="center"/>
        </w:trPr>
        <w:tc>
          <w:tcPr>
            <w:tcW w:w="2695" w:type="dxa"/>
          </w:tcPr>
          <w:p w14:paraId="5A0F76B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1E491E8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Powder for injection:</w:t>
            </w:r>
            <w:r w:rsidRPr="00F10C37">
              <w:rPr>
                <w:rFonts w:eastAsia="Calibri" w:cs="Times New Roman"/>
                <w:color w:val="000000" w:themeColor="text1"/>
                <w:spacing w:val="-1"/>
                <w:szCs w:val="24"/>
              </w:rPr>
              <w:t xml:space="preserve"> 5000 IU, </w:t>
            </w:r>
            <w:r w:rsidRPr="00F10C37">
              <w:rPr>
                <w:rFonts w:eastAsia="Calibri" w:cs="Times New Roman"/>
                <w:color w:val="000000" w:themeColor="text1"/>
                <w:szCs w:val="24"/>
              </w:rPr>
              <w:t>10000IU in vial.</w:t>
            </w:r>
          </w:p>
        </w:tc>
      </w:tr>
      <w:tr w:rsidR="005D59D6" w:rsidRPr="00F10C37" w14:paraId="1B806052" w14:textId="77777777" w:rsidTr="002D6DD7">
        <w:trPr>
          <w:jc w:val="center"/>
        </w:trPr>
        <w:tc>
          <w:tcPr>
            <w:tcW w:w="2695" w:type="dxa"/>
          </w:tcPr>
          <w:p w14:paraId="79005D47" w14:textId="77777777" w:rsidR="005D59D6" w:rsidRPr="008D3088" w:rsidRDefault="005D59D6" w:rsidP="002D6DD7">
            <w:pPr>
              <w:jc w:val="both"/>
              <w:rPr>
                <w:rFonts w:eastAsia="Calibri" w:cs="Times New Roman"/>
                <w:color w:val="000000" w:themeColor="text1"/>
                <w:szCs w:val="24"/>
              </w:rPr>
            </w:pPr>
            <w:r w:rsidRPr="008D3088">
              <w:rPr>
                <w:rFonts w:eastAsia="Calibri" w:cs="Times New Roman"/>
                <w:color w:val="000000" w:themeColor="text1"/>
                <w:szCs w:val="24"/>
              </w:rPr>
              <w:t>Indications</w:t>
            </w:r>
          </w:p>
        </w:tc>
        <w:tc>
          <w:tcPr>
            <w:tcW w:w="7010" w:type="dxa"/>
          </w:tcPr>
          <w:p w14:paraId="1E075CD0" w14:textId="77777777" w:rsidR="005D59D6" w:rsidRPr="00F10C37" w:rsidRDefault="005D59D6" w:rsidP="002D6DD7">
            <w:pPr>
              <w:contextualSpacing/>
              <w:jc w:val="both"/>
              <w:rPr>
                <w:rFonts w:eastAsia="Calibri" w:cs="Times New Roman"/>
                <w:color w:val="000000" w:themeColor="text1"/>
                <w:szCs w:val="24"/>
              </w:rPr>
            </w:pPr>
            <w:r w:rsidRPr="00F10C37">
              <w:rPr>
                <w:rFonts w:cs="Times New Roman"/>
                <w:color w:val="0D0D0D"/>
                <w:szCs w:val="24"/>
                <w:shd w:val="clear" w:color="auto" w:fill="FFFFFF"/>
              </w:rPr>
              <w:t>Acute lymphoblastic leukemia (ALL)</w:t>
            </w:r>
            <w:r>
              <w:rPr>
                <w:rFonts w:cs="Times New Roman"/>
                <w:color w:val="0D0D0D"/>
                <w:szCs w:val="24"/>
                <w:shd w:val="clear" w:color="auto" w:fill="FFFFFF"/>
              </w:rPr>
              <w:t xml:space="preserve">, </w:t>
            </w:r>
            <w:r w:rsidRPr="00F10C37">
              <w:rPr>
                <w:rFonts w:cs="Times New Roman"/>
                <w:color w:val="0D0D0D"/>
                <w:szCs w:val="24"/>
                <w:shd w:val="clear" w:color="auto" w:fill="FFFFFF"/>
              </w:rPr>
              <w:t xml:space="preserve">T-cell </w:t>
            </w:r>
            <w:r>
              <w:rPr>
                <w:rFonts w:cs="Times New Roman"/>
                <w:color w:val="0D0D0D"/>
                <w:szCs w:val="24"/>
                <w:shd w:val="clear" w:color="auto" w:fill="FFFFFF"/>
              </w:rPr>
              <w:t>n</w:t>
            </w:r>
            <w:r w:rsidRPr="00F10C37">
              <w:rPr>
                <w:rFonts w:cs="Times New Roman"/>
                <w:color w:val="0D0D0D"/>
                <w:szCs w:val="24"/>
                <w:shd w:val="clear" w:color="auto" w:fill="FFFFFF"/>
              </w:rPr>
              <w:t>on-Hodgkin</w:t>
            </w:r>
            <w:r>
              <w:rPr>
                <w:rFonts w:cs="Times New Roman"/>
                <w:color w:val="0D0D0D"/>
                <w:szCs w:val="24"/>
                <w:shd w:val="clear" w:color="auto" w:fill="FFFFFF"/>
              </w:rPr>
              <w:t xml:space="preserve"> l</w:t>
            </w:r>
            <w:r w:rsidRPr="00F10C37">
              <w:rPr>
                <w:rFonts w:cs="Times New Roman"/>
                <w:color w:val="0D0D0D"/>
                <w:szCs w:val="24"/>
                <w:shd w:val="clear" w:color="auto" w:fill="FFFFFF"/>
              </w:rPr>
              <w:t>ymphoma.</w:t>
            </w:r>
            <w:r>
              <w:rPr>
                <w:rFonts w:cs="Times New Roman"/>
                <w:color w:val="0D0D0D"/>
                <w:szCs w:val="24"/>
                <w:shd w:val="clear" w:color="auto" w:fill="FFFFFF"/>
              </w:rPr>
              <w:t xml:space="preserve"> (NHL)</w:t>
            </w:r>
          </w:p>
        </w:tc>
      </w:tr>
      <w:tr w:rsidR="005D59D6" w:rsidRPr="00F10C37" w14:paraId="62F184A8" w14:textId="77777777" w:rsidTr="002D6DD7">
        <w:trPr>
          <w:jc w:val="center"/>
        </w:trPr>
        <w:tc>
          <w:tcPr>
            <w:tcW w:w="2695" w:type="dxa"/>
          </w:tcPr>
          <w:p w14:paraId="26FBEB94"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98952A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ALL</w:t>
            </w:r>
            <w:r w:rsidRPr="00F10C37">
              <w:rPr>
                <w:rFonts w:eastAsia="Calibri" w:cs="Times New Roman"/>
                <w:color w:val="000000" w:themeColor="text1"/>
                <w:szCs w:val="24"/>
              </w:rPr>
              <w:t xml:space="preserve"> or </w:t>
            </w:r>
            <w:r w:rsidRPr="00F10C37">
              <w:rPr>
                <w:rFonts w:eastAsia="Calibri" w:cs="Times New Roman"/>
                <w:b/>
                <w:color w:val="000000" w:themeColor="text1"/>
                <w:szCs w:val="24"/>
              </w:rPr>
              <w:t>T</w:t>
            </w:r>
            <w:r w:rsidRPr="00F10C37">
              <w:rPr>
                <w:rFonts w:cs="Times New Roman"/>
                <w:b/>
                <w:color w:val="0D0D0D"/>
                <w:szCs w:val="24"/>
                <w:shd w:val="clear" w:color="auto" w:fill="FFFFFF"/>
              </w:rPr>
              <w:t xml:space="preserve">-cell </w:t>
            </w:r>
            <w:r>
              <w:rPr>
                <w:rFonts w:cs="Times New Roman"/>
                <w:b/>
                <w:color w:val="0D0D0D"/>
                <w:szCs w:val="24"/>
                <w:shd w:val="clear" w:color="auto" w:fill="FFFFFF"/>
              </w:rPr>
              <w:t>NHL</w:t>
            </w:r>
            <w:r w:rsidRPr="00F10C37">
              <w:rPr>
                <w:rFonts w:cs="Times New Roman"/>
                <w:color w:val="0D0D0D"/>
                <w:szCs w:val="24"/>
                <w:shd w:val="clear" w:color="auto" w:fill="FFFFFF"/>
              </w:rPr>
              <w:t>:</w:t>
            </w:r>
          </w:p>
          <w:p w14:paraId="14357C6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color w:val="000000" w:themeColor="text1"/>
                <w:szCs w:val="24"/>
              </w:rPr>
              <w:t>Adult</w:t>
            </w:r>
            <w:r w:rsidRPr="00F10C37">
              <w:rPr>
                <w:rFonts w:eastAsia="Calibri" w:cs="Times New Roman"/>
                <w:color w:val="000000" w:themeColor="text1"/>
                <w:szCs w:val="24"/>
              </w:rPr>
              <w:t>: 2,500–5,000 IU/m², given IM or IV, usually every 2-3 days.</w:t>
            </w:r>
          </w:p>
        </w:tc>
      </w:tr>
      <w:tr w:rsidR="005D59D6" w:rsidRPr="00F10C37" w14:paraId="17024164" w14:textId="77777777" w:rsidTr="002D6DD7">
        <w:trPr>
          <w:jc w:val="center"/>
        </w:trPr>
        <w:tc>
          <w:tcPr>
            <w:tcW w:w="2695" w:type="dxa"/>
          </w:tcPr>
          <w:p w14:paraId="667AFEB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1789A81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Previous history of serious</w:t>
            </w:r>
            <w:r>
              <w:rPr>
                <w:rFonts w:eastAsia="Calibri" w:cs="Times New Roman"/>
                <w:color w:val="000000" w:themeColor="text1"/>
                <w:szCs w:val="24"/>
              </w:rPr>
              <w:t>,</w:t>
            </w:r>
            <w:r w:rsidRPr="00F10C37">
              <w:rPr>
                <w:rFonts w:eastAsia="Calibri" w:cs="Times New Roman"/>
                <w:color w:val="000000" w:themeColor="text1"/>
                <w:szCs w:val="24"/>
              </w:rPr>
              <w:t xml:space="preserve"> pancreatitis, haemorrhage, thrombosis and </w:t>
            </w:r>
            <w:r w:rsidRPr="00F10C37">
              <w:rPr>
                <w:rFonts w:eastAsia="Calibri" w:cs="Times New Roman"/>
                <w:color w:val="000000" w:themeColor="text1"/>
                <w:szCs w:val="24"/>
              </w:rPr>
              <w:lastRenderedPageBreak/>
              <w:t xml:space="preserve">known coagulopathy. </w:t>
            </w:r>
          </w:p>
        </w:tc>
      </w:tr>
      <w:tr w:rsidR="005D59D6" w:rsidRPr="00F10C37" w14:paraId="1C634DAF" w14:textId="77777777" w:rsidTr="002D6DD7">
        <w:trPr>
          <w:jc w:val="center"/>
        </w:trPr>
        <w:tc>
          <w:tcPr>
            <w:tcW w:w="2695" w:type="dxa"/>
          </w:tcPr>
          <w:p w14:paraId="4C93544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Drug interactions</w:t>
            </w:r>
          </w:p>
        </w:tc>
        <w:tc>
          <w:tcPr>
            <w:tcW w:w="7010" w:type="dxa"/>
          </w:tcPr>
          <w:p w14:paraId="4B15BF9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Methotrexate, vincristine.</w:t>
            </w:r>
          </w:p>
        </w:tc>
      </w:tr>
      <w:tr w:rsidR="005D59D6" w:rsidRPr="00F10C37" w14:paraId="38177A5C" w14:textId="77777777" w:rsidTr="002D6DD7">
        <w:trPr>
          <w:jc w:val="center"/>
        </w:trPr>
        <w:tc>
          <w:tcPr>
            <w:tcW w:w="2695" w:type="dxa"/>
          </w:tcPr>
          <w:p w14:paraId="28A7FFE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501105C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Agitation, anaemia, angioedema, appetite decreased, arthralgia, bronchospasm, coagulation disorders, confusion, depression, diarrhoea, dizziness, drowsiness, dyspnoea, embolism and thrombosis, fatigue, flushing, GI discomfort, haemorrhage, hallucination, hyperglycaemia, hypersensitivity, hypoalbuminaemia, hypoglycaemia, hypotension, increased risk of infection, leucopenia, nausea, neurological effects, oedema, pain, pancreatitis, skin reactions, thrombocytopenia, vomiting, weight decreased.</w:t>
            </w:r>
          </w:p>
        </w:tc>
      </w:tr>
      <w:tr w:rsidR="005D59D6" w:rsidRPr="00F10C37" w14:paraId="0963A5C4" w14:textId="77777777" w:rsidTr="002D6DD7">
        <w:trPr>
          <w:jc w:val="center"/>
        </w:trPr>
        <w:tc>
          <w:tcPr>
            <w:tcW w:w="2695" w:type="dxa"/>
          </w:tcPr>
          <w:p w14:paraId="77BDF7C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4DD8989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Diabetes, hypersensitivity reactions, hypertriglyceridaemia—increased risk of acute pancreatitis.</w:t>
            </w:r>
          </w:p>
        </w:tc>
      </w:tr>
      <w:tr w:rsidR="005D59D6" w:rsidRPr="00F10C37" w14:paraId="0C741ADB" w14:textId="77777777" w:rsidTr="002D6DD7">
        <w:trPr>
          <w:jc w:val="center"/>
        </w:trPr>
        <w:tc>
          <w:tcPr>
            <w:tcW w:w="2695" w:type="dxa"/>
          </w:tcPr>
          <w:p w14:paraId="4EDB04C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435419F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w:t>
            </w:r>
            <w:r>
              <w:rPr>
                <w:rFonts w:eastAsia="Calibri" w:cs="Times New Roman"/>
                <w:color w:val="000000" w:themeColor="text1"/>
                <w:szCs w:val="24"/>
              </w:rPr>
              <w:t>between</w:t>
            </w:r>
            <w:r w:rsidRPr="00F10C37">
              <w:rPr>
                <w:rFonts w:eastAsia="Calibri" w:cs="Times New Roman"/>
                <w:color w:val="000000" w:themeColor="text1"/>
                <w:szCs w:val="24"/>
              </w:rPr>
              <w:t xml:space="preserve"> 2-8°C.</w:t>
            </w:r>
          </w:p>
        </w:tc>
      </w:tr>
      <w:bookmarkEnd w:id="181"/>
      <w:tr w:rsidR="005D59D6" w:rsidRPr="00F10C37" w14:paraId="1FC9F04A" w14:textId="77777777" w:rsidTr="002D6DD7">
        <w:trPr>
          <w:jc w:val="center"/>
        </w:trPr>
        <w:tc>
          <w:tcPr>
            <w:tcW w:w="9705" w:type="dxa"/>
            <w:gridSpan w:val="2"/>
          </w:tcPr>
          <w:p w14:paraId="5D36F10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Bendamustine</w:t>
            </w:r>
          </w:p>
        </w:tc>
      </w:tr>
      <w:tr w:rsidR="005D59D6" w:rsidRPr="00F10C37" w14:paraId="02F54E88" w14:textId="77777777" w:rsidTr="002D6DD7">
        <w:trPr>
          <w:jc w:val="center"/>
        </w:trPr>
        <w:tc>
          <w:tcPr>
            <w:tcW w:w="2695" w:type="dxa"/>
          </w:tcPr>
          <w:p w14:paraId="211410B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19D1068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Alkylating agent, nitrogen mustard</w:t>
            </w:r>
          </w:p>
        </w:tc>
      </w:tr>
      <w:tr w:rsidR="005D59D6" w:rsidRPr="00F10C37" w14:paraId="7648454C" w14:textId="77777777" w:rsidTr="002D6DD7">
        <w:trPr>
          <w:jc w:val="center"/>
        </w:trPr>
        <w:tc>
          <w:tcPr>
            <w:tcW w:w="2695" w:type="dxa"/>
          </w:tcPr>
          <w:p w14:paraId="17D25BD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C196BC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Injection: 100mg/4</w:t>
            </w:r>
            <w:r>
              <w:rPr>
                <w:rFonts w:eastAsia="Calibri" w:cs="Times New Roman"/>
                <w:color w:val="000000" w:themeColor="text1"/>
                <w:szCs w:val="24"/>
              </w:rPr>
              <w:t>ml</w:t>
            </w:r>
            <w:r w:rsidRPr="00F10C37">
              <w:rPr>
                <w:rFonts w:eastAsia="Calibri" w:cs="Times New Roman"/>
                <w:color w:val="000000" w:themeColor="text1"/>
                <w:szCs w:val="24"/>
              </w:rPr>
              <w:t xml:space="preserve">, 45 mg/0.5 </w:t>
            </w:r>
            <w:r>
              <w:rPr>
                <w:rFonts w:eastAsia="Calibri" w:cs="Times New Roman"/>
                <w:color w:val="000000" w:themeColor="text1"/>
                <w:szCs w:val="24"/>
              </w:rPr>
              <w:t>ml</w:t>
            </w:r>
            <w:r w:rsidRPr="00F10C37">
              <w:rPr>
                <w:rFonts w:eastAsia="Calibri" w:cs="Times New Roman"/>
                <w:color w:val="000000" w:themeColor="text1"/>
                <w:szCs w:val="24"/>
              </w:rPr>
              <w:t xml:space="preserve">; 180 mg/2 </w:t>
            </w:r>
            <w:r>
              <w:rPr>
                <w:rFonts w:eastAsia="Calibri" w:cs="Times New Roman"/>
                <w:color w:val="000000" w:themeColor="text1"/>
                <w:szCs w:val="24"/>
              </w:rPr>
              <w:t>ml</w:t>
            </w:r>
          </w:p>
        </w:tc>
      </w:tr>
      <w:tr w:rsidR="005D59D6" w:rsidRPr="00F10C37" w14:paraId="03C5D00D" w14:textId="77777777" w:rsidTr="002D6DD7">
        <w:trPr>
          <w:jc w:val="center"/>
        </w:trPr>
        <w:tc>
          <w:tcPr>
            <w:tcW w:w="2695" w:type="dxa"/>
          </w:tcPr>
          <w:p w14:paraId="4D9761A1" w14:textId="77777777" w:rsidR="005D59D6" w:rsidRPr="00B63CB6" w:rsidRDefault="005D59D6" w:rsidP="002D6DD7">
            <w:pPr>
              <w:jc w:val="both"/>
              <w:rPr>
                <w:rFonts w:eastAsia="Calibri" w:cs="Times New Roman"/>
                <w:color w:val="000000" w:themeColor="text1"/>
                <w:szCs w:val="24"/>
              </w:rPr>
            </w:pPr>
            <w:r w:rsidRPr="003D3E3A">
              <w:rPr>
                <w:rFonts w:eastAsia="Calibri" w:cs="Times New Roman"/>
                <w:color w:val="000000" w:themeColor="text1"/>
                <w:szCs w:val="24"/>
              </w:rPr>
              <w:t>Indications</w:t>
            </w:r>
          </w:p>
        </w:tc>
        <w:tc>
          <w:tcPr>
            <w:tcW w:w="7010" w:type="dxa"/>
          </w:tcPr>
          <w:p w14:paraId="4389426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Chronic lymphocytic leukemia (CLL), indolent B-cell NHL), and </w:t>
            </w:r>
            <w:r>
              <w:rPr>
                <w:rFonts w:eastAsia="Calibri" w:cs="Times New Roman"/>
                <w:color w:val="000000" w:themeColor="text1"/>
                <w:szCs w:val="24"/>
              </w:rPr>
              <w:t>m</w:t>
            </w:r>
            <w:r w:rsidRPr="00F10C37">
              <w:rPr>
                <w:rFonts w:eastAsia="Calibri" w:cs="Times New Roman"/>
                <w:color w:val="000000" w:themeColor="text1"/>
                <w:szCs w:val="24"/>
              </w:rPr>
              <w:t xml:space="preserve">ultiple </w:t>
            </w:r>
            <w:r>
              <w:rPr>
                <w:rFonts w:eastAsia="Calibri" w:cs="Times New Roman"/>
                <w:color w:val="000000" w:themeColor="text1"/>
                <w:szCs w:val="24"/>
              </w:rPr>
              <w:t>m</w:t>
            </w:r>
            <w:r w:rsidRPr="00F10C37">
              <w:rPr>
                <w:rFonts w:eastAsia="Calibri" w:cs="Times New Roman"/>
                <w:color w:val="000000" w:themeColor="text1"/>
                <w:szCs w:val="24"/>
              </w:rPr>
              <w:t>yeloma.</w:t>
            </w:r>
          </w:p>
        </w:tc>
      </w:tr>
      <w:tr w:rsidR="005D59D6" w:rsidRPr="00F10C37" w14:paraId="723C8BEC" w14:textId="77777777" w:rsidTr="002D6DD7">
        <w:trPr>
          <w:jc w:val="center"/>
        </w:trPr>
        <w:tc>
          <w:tcPr>
            <w:tcW w:w="2695" w:type="dxa"/>
          </w:tcPr>
          <w:p w14:paraId="56CB39A5"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D6F4E40" w14:textId="77777777" w:rsidR="005D59D6" w:rsidRPr="00F10C37" w:rsidRDefault="005D59D6" w:rsidP="002D6DD7">
            <w:pPr>
              <w:jc w:val="both"/>
              <w:rPr>
                <w:rFonts w:eastAsia="Calibri" w:cs="Times New Roman"/>
                <w:b/>
                <w:bCs/>
                <w:color w:val="000000" w:themeColor="text1"/>
                <w:szCs w:val="24"/>
              </w:rPr>
            </w:pPr>
            <w:r w:rsidRPr="00F10C37">
              <w:rPr>
                <w:rFonts w:eastAsia="Calibri" w:cs="Times New Roman"/>
                <w:b/>
                <w:bCs/>
                <w:color w:val="000000" w:themeColor="text1"/>
                <w:szCs w:val="24"/>
              </w:rPr>
              <w:t xml:space="preserve">For CLL and indolent B-cell NHL: </w:t>
            </w:r>
            <w:r w:rsidRPr="00F10C37">
              <w:rPr>
                <w:rFonts w:eastAsia="Calibri" w:cs="Times New Roman"/>
                <w:color w:val="000000" w:themeColor="text1"/>
                <w:szCs w:val="24"/>
              </w:rPr>
              <w:t>100-120 mg/m² administered intravenously on days 1 and 2 of a 21- or 28-day cycle.</w:t>
            </w:r>
          </w:p>
          <w:p w14:paraId="4219C8E3" w14:textId="77777777" w:rsidR="005D59D6" w:rsidRPr="00F10C37" w:rsidRDefault="005D59D6" w:rsidP="002D6DD7">
            <w:pPr>
              <w:jc w:val="both"/>
              <w:rPr>
                <w:rFonts w:eastAsia="Calibri" w:cs="Times New Roman"/>
                <w:b/>
                <w:bCs/>
                <w:color w:val="000000" w:themeColor="text1"/>
                <w:szCs w:val="24"/>
              </w:rPr>
            </w:pPr>
            <w:r w:rsidRPr="00F10C37">
              <w:rPr>
                <w:rFonts w:eastAsia="Calibri" w:cs="Times New Roman"/>
                <w:b/>
                <w:bCs/>
                <w:color w:val="000000" w:themeColor="text1"/>
                <w:szCs w:val="24"/>
              </w:rPr>
              <w:t xml:space="preserve">For </w:t>
            </w:r>
            <w:r>
              <w:rPr>
                <w:rFonts w:eastAsia="Calibri" w:cs="Times New Roman"/>
                <w:b/>
                <w:bCs/>
                <w:color w:val="000000" w:themeColor="text1"/>
                <w:szCs w:val="24"/>
              </w:rPr>
              <w:t>m</w:t>
            </w:r>
            <w:r w:rsidRPr="00F10C37">
              <w:rPr>
                <w:rFonts w:eastAsia="Calibri" w:cs="Times New Roman"/>
                <w:b/>
                <w:bCs/>
                <w:color w:val="000000" w:themeColor="text1"/>
                <w:szCs w:val="24"/>
              </w:rPr>
              <w:t xml:space="preserve">ultiple </w:t>
            </w:r>
            <w:r>
              <w:rPr>
                <w:rFonts w:eastAsia="Calibri" w:cs="Times New Roman"/>
                <w:b/>
                <w:bCs/>
                <w:color w:val="000000" w:themeColor="text1"/>
                <w:szCs w:val="24"/>
              </w:rPr>
              <w:t>m</w:t>
            </w:r>
            <w:r w:rsidRPr="00F10C37">
              <w:rPr>
                <w:rFonts w:eastAsia="Calibri" w:cs="Times New Roman"/>
                <w:b/>
                <w:bCs/>
                <w:color w:val="000000" w:themeColor="text1"/>
                <w:szCs w:val="24"/>
              </w:rPr>
              <w:t xml:space="preserve">yeloma: </w:t>
            </w:r>
            <w:r w:rsidRPr="00F10C37">
              <w:rPr>
                <w:rFonts w:eastAsia="Calibri" w:cs="Times New Roman"/>
                <w:color w:val="000000" w:themeColor="text1"/>
                <w:szCs w:val="24"/>
              </w:rPr>
              <w:t>120 mg/m² administered intravenously on days 1 and 2 of a 21-day cycle.</w:t>
            </w:r>
          </w:p>
        </w:tc>
      </w:tr>
      <w:tr w:rsidR="005D59D6" w:rsidRPr="00F10C37" w14:paraId="2BF12A34" w14:textId="77777777" w:rsidTr="002D6DD7">
        <w:trPr>
          <w:jc w:val="center"/>
        </w:trPr>
        <w:tc>
          <w:tcPr>
            <w:tcW w:w="2695" w:type="dxa"/>
          </w:tcPr>
          <w:p w14:paraId="17D0C65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3F549BF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jaundice, low leucocyte count, low platelet count, major surgery less than 30 days before start of treatment, severe bone marrow suppression, severe hepatic impairment, severe renal impairment (CrCl &lt; 30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0516A8D2" w14:textId="77777777" w:rsidTr="002D6DD7">
        <w:trPr>
          <w:jc w:val="center"/>
        </w:trPr>
        <w:tc>
          <w:tcPr>
            <w:tcW w:w="2695" w:type="dxa"/>
          </w:tcPr>
          <w:p w14:paraId="5DECD8F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624B7D6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Azathioprine, bleomycin, carbimazole, capecitabine, carboplatin, cisplatin, chlorambucil, cyclophosphamide, docetaxel, doxorubicin, epirubicin, ethosuccimide, etoposide, fluorouracil, gemcitabine, ifosfamide, irinotecan, linezolid, methotrexate, mercaptopurine, </w:t>
            </w:r>
            <w:r w:rsidRPr="00F10C37">
              <w:rPr>
                <w:rFonts w:eastAsia="Calibri" w:cs="Times New Roman"/>
                <w:color w:val="000000" w:themeColor="text1"/>
                <w:szCs w:val="24"/>
              </w:rPr>
              <w:lastRenderedPageBreak/>
              <w:t xml:space="preserve">mycophenolate, olanzapine, oxaliplatin, paclitaxel, rituximab, propylthiouracil, sulphamethoxazole, sulfadiazine, trimethoprim, vincristine, vinblastine, zidovudine, acyclovir, amikacin, amphotericin, bacitracin, capreomycin, carboplatin, cephalexin, cefixime, ceftazidime, ciclosporin, cisplatin, diclofenac, ganciclovir, gentamicin, ibuprofen, gentamicin, indomethacin, meloxicam, methotrexate, oxaliplatin, piroxicam, streptomycin, tacrolimus, trimethoprim, vancomycin, tenofovir disoproxil, zidovudine, zoledronate. </w:t>
            </w:r>
          </w:p>
        </w:tc>
      </w:tr>
      <w:tr w:rsidR="005D59D6" w:rsidRPr="00F10C37" w14:paraId="0FB8CD58" w14:textId="77777777" w:rsidTr="002D6DD7">
        <w:trPr>
          <w:jc w:val="center"/>
        </w:trPr>
        <w:tc>
          <w:tcPr>
            <w:tcW w:w="2695" w:type="dxa"/>
          </w:tcPr>
          <w:p w14:paraId="51572FF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7010" w:type="dxa"/>
          </w:tcPr>
          <w:p w14:paraId="18D71E7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Alopecia, amenorrhoea, anaemia, angina pectoris, appetite decreased, arrhythmias, cardiac disorder, chills, constipation, decreased leucocytes, dehydration, diarrhoea, dizziness, fatigue, fever, haemorrhage, headache, hepatitis B reactivation, hypersensitivity, hypertension, hypokalaemia, hypotension, increased risk of infection, insomnia, mucositis, nausea, neutropenia, pain, palpitations, respiratory disorders, skin reactions, stomatitis, thrombocytopenia, tumour lysis syndrome, vomiting. </w:t>
            </w:r>
          </w:p>
        </w:tc>
      </w:tr>
      <w:tr w:rsidR="005D59D6" w:rsidRPr="00F10C37" w14:paraId="3BF37D3B" w14:textId="77777777" w:rsidTr="002D6DD7">
        <w:trPr>
          <w:jc w:val="center"/>
        </w:trPr>
        <w:tc>
          <w:tcPr>
            <w:tcW w:w="2695" w:type="dxa"/>
          </w:tcPr>
          <w:p w14:paraId="3FAA641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06CE85E6" w14:textId="77777777" w:rsidR="005D59D6" w:rsidRPr="00F10C37" w:rsidRDefault="005D59D6" w:rsidP="002D6DD7">
            <w:pPr>
              <w:tabs>
                <w:tab w:val="num" w:pos="720"/>
              </w:tabs>
              <w:jc w:val="both"/>
              <w:rPr>
                <w:rFonts w:eastAsia="Calibri" w:cs="Times New Roman"/>
                <w:color w:val="000000" w:themeColor="text1"/>
                <w:szCs w:val="24"/>
              </w:rPr>
            </w:pPr>
            <w:r w:rsidRPr="00F10C37">
              <w:rPr>
                <w:rFonts w:eastAsia="Calibri" w:cs="Times New Roman"/>
                <w:color w:val="000000" w:themeColor="text1"/>
                <w:szCs w:val="24"/>
              </w:rPr>
              <w:t>Cardiac disorders</w:t>
            </w:r>
            <w:r>
              <w:rPr>
                <w:rFonts w:eastAsia="Calibri" w:cs="Times New Roman"/>
                <w:color w:val="000000" w:themeColor="text1"/>
                <w:szCs w:val="24"/>
              </w:rPr>
              <w:t xml:space="preserve">, </w:t>
            </w:r>
            <w:r w:rsidRPr="00F10C37">
              <w:rPr>
                <w:rFonts w:eastAsia="Calibri" w:cs="Times New Roman"/>
                <w:color w:val="000000" w:themeColor="text1"/>
                <w:szCs w:val="24"/>
              </w:rPr>
              <w:t>infections</w:t>
            </w:r>
            <w:r>
              <w:rPr>
                <w:rFonts w:eastAsia="Calibri" w:cs="Times New Roman"/>
                <w:color w:val="000000" w:themeColor="text1"/>
                <w:szCs w:val="24"/>
              </w:rPr>
              <w:t>,</w:t>
            </w:r>
            <w:r w:rsidRPr="00F10C37">
              <w:rPr>
                <w:rFonts w:eastAsia="Calibri" w:cs="Times New Roman"/>
                <w:color w:val="000000" w:themeColor="text1"/>
                <w:szCs w:val="24"/>
              </w:rPr>
              <w:t xml:space="preserve"> infusion reactions</w:t>
            </w:r>
            <w:r>
              <w:rPr>
                <w:rFonts w:eastAsia="Calibri" w:cs="Times New Roman"/>
                <w:color w:val="000000" w:themeColor="text1"/>
                <w:szCs w:val="24"/>
              </w:rPr>
              <w:t xml:space="preserve">, </w:t>
            </w:r>
            <w:r w:rsidRPr="00F10C37">
              <w:rPr>
                <w:rFonts w:eastAsia="Calibri" w:cs="Times New Roman"/>
                <w:color w:val="000000" w:themeColor="text1"/>
                <w:szCs w:val="24"/>
              </w:rPr>
              <w:t xml:space="preserve">liver </w:t>
            </w:r>
            <w:r>
              <w:rPr>
                <w:rFonts w:eastAsia="Calibri" w:cs="Times New Roman"/>
                <w:color w:val="000000" w:themeColor="text1"/>
                <w:szCs w:val="24"/>
              </w:rPr>
              <w:t>impairment</w:t>
            </w:r>
            <w:r w:rsidRPr="00F10C37">
              <w:rPr>
                <w:rFonts w:eastAsia="Calibri" w:cs="Times New Roman"/>
                <w:color w:val="000000" w:themeColor="text1"/>
                <w:szCs w:val="24"/>
              </w:rPr>
              <w:t>, renal impairment, pregnancy</w:t>
            </w:r>
            <w:r>
              <w:rPr>
                <w:rFonts w:eastAsia="Calibri" w:cs="Times New Roman"/>
                <w:color w:val="000000" w:themeColor="text1"/>
                <w:szCs w:val="24"/>
              </w:rPr>
              <w:t xml:space="preserve">, </w:t>
            </w:r>
            <w:r w:rsidRPr="00F10C37">
              <w:rPr>
                <w:rFonts w:eastAsia="Calibri" w:cs="Times New Roman"/>
                <w:color w:val="000000" w:themeColor="text1"/>
                <w:szCs w:val="24"/>
              </w:rPr>
              <w:t>breastfeeding.</w:t>
            </w:r>
          </w:p>
        </w:tc>
      </w:tr>
      <w:tr w:rsidR="005D59D6" w:rsidRPr="00F10C37" w14:paraId="0A31EB01" w14:textId="77777777" w:rsidTr="002D6DD7">
        <w:trPr>
          <w:jc w:val="center"/>
        </w:trPr>
        <w:tc>
          <w:tcPr>
            <w:tcW w:w="2695" w:type="dxa"/>
          </w:tcPr>
          <w:p w14:paraId="07180E8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40F1756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in a refrigerator at 2 °C - 8 °C. Allow the vial to reach room temperature (15 °C to 30 °C) prior to use. </w:t>
            </w:r>
          </w:p>
        </w:tc>
      </w:tr>
      <w:tr w:rsidR="005D59D6" w:rsidRPr="00F10C37" w14:paraId="08AFD6EB" w14:textId="77777777" w:rsidTr="002D6DD7">
        <w:trPr>
          <w:jc w:val="center"/>
        </w:trPr>
        <w:tc>
          <w:tcPr>
            <w:tcW w:w="9705" w:type="dxa"/>
            <w:gridSpan w:val="2"/>
          </w:tcPr>
          <w:p w14:paraId="38113F2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Bleomycin</w:t>
            </w:r>
          </w:p>
        </w:tc>
      </w:tr>
      <w:tr w:rsidR="005D59D6" w:rsidRPr="00F10C37" w14:paraId="2F68E239" w14:textId="77777777" w:rsidTr="002D6DD7">
        <w:trPr>
          <w:jc w:val="center"/>
        </w:trPr>
        <w:tc>
          <w:tcPr>
            <w:tcW w:w="2695" w:type="dxa"/>
          </w:tcPr>
          <w:p w14:paraId="5CD4A77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652AA0D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antibiotic</w:t>
            </w:r>
          </w:p>
        </w:tc>
      </w:tr>
      <w:tr w:rsidR="005D59D6" w:rsidRPr="00F10C37" w14:paraId="030F52A9" w14:textId="77777777" w:rsidTr="002D6DD7">
        <w:trPr>
          <w:jc w:val="center"/>
        </w:trPr>
        <w:tc>
          <w:tcPr>
            <w:tcW w:w="2695" w:type="dxa"/>
          </w:tcPr>
          <w:p w14:paraId="65BB6C3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232523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Powder for injection (lyophilized):  15000 IU (as sulphate) in vial</w:t>
            </w:r>
          </w:p>
          <w:p w14:paraId="3F88ED9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Injection: 15 IU/5</w:t>
            </w:r>
            <w:r>
              <w:rPr>
                <w:rFonts w:eastAsia="Calibri" w:cs="Times New Roman"/>
                <w:color w:val="000000" w:themeColor="text1"/>
                <w:szCs w:val="24"/>
              </w:rPr>
              <w:t>ml</w:t>
            </w:r>
          </w:p>
        </w:tc>
      </w:tr>
      <w:tr w:rsidR="005D59D6" w:rsidRPr="00F10C37" w14:paraId="75D45513" w14:textId="77777777" w:rsidTr="002D6DD7">
        <w:trPr>
          <w:jc w:val="center"/>
        </w:trPr>
        <w:tc>
          <w:tcPr>
            <w:tcW w:w="2695" w:type="dxa"/>
          </w:tcPr>
          <w:p w14:paraId="7DE2D596" w14:textId="77777777" w:rsidR="005D59D6" w:rsidRPr="008662C5" w:rsidRDefault="005D59D6" w:rsidP="002D6DD7">
            <w:pPr>
              <w:jc w:val="both"/>
              <w:rPr>
                <w:rFonts w:eastAsia="Calibri" w:cs="Times New Roman"/>
                <w:color w:val="000000" w:themeColor="text1"/>
                <w:szCs w:val="24"/>
              </w:rPr>
            </w:pPr>
            <w:r w:rsidRPr="003D3E3A">
              <w:rPr>
                <w:rFonts w:eastAsia="Calibri" w:cs="Times New Roman"/>
                <w:color w:val="000000" w:themeColor="text1"/>
                <w:szCs w:val="24"/>
              </w:rPr>
              <w:t>Indications</w:t>
            </w:r>
          </w:p>
        </w:tc>
        <w:tc>
          <w:tcPr>
            <w:tcW w:w="7010" w:type="dxa"/>
          </w:tcPr>
          <w:p w14:paraId="0228E48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Adjunct to surgery and radiotherapy in palliative treatment of Hodgkin lymphoma</w:t>
            </w:r>
            <w:r>
              <w:rPr>
                <w:rFonts w:eastAsia="Calibri" w:cs="Times New Roman"/>
                <w:color w:val="000000" w:themeColor="text1"/>
                <w:szCs w:val="24"/>
              </w:rPr>
              <w:t xml:space="preserve"> (HL)</w:t>
            </w:r>
            <w:r w:rsidRPr="00F10C37">
              <w:rPr>
                <w:rFonts w:eastAsia="Calibri" w:cs="Times New Roman"/>
                <w:color w:val="000000" w:themeColor="text1"/>
                <w:szCs w:val="24"/>
              </w:rPr>
              <w:t xml:space="preserve"> and non-Hodgkin lymphoma</w:t>
            </w:r>
            <w:r>
              <w:rPr>
                <w:rFonts w:eastAsia="Calibri" w:cs="Times New Roman"/>
                <w:color w:val="000000" w:themeColor="text1"/>
                <w:szCs w:val="24"/>
              </w:rPr>
              <w:t xml:space="preserve"> (NHL),</w:t>
            </w:r>
            <w:r w:rsidRPr="00F10C37">
              <w:rPr>
                <w:rFonts w:eastAsia="Calibri" w:cs="Times New Roman"/>
                <w:color w:val="000000" w:themeColor="text1"/>
                <w:szCs w:val="24"/>
              </w:rPr>
              <w:t xml:space="preserve"> testicular cancer; head and neck cancer, malignant effusions. </w:t>
            </w:r>
          </w:p>
        </w:tc>
      </w:tr>
      <w:tr w:rsidR="005D59D6" w:rsidRPr="00F10C37" w14:paraId="1C481D19" w14:textId="77777777" w:rsidTr="002D6DD7">
        <w:trPr>
          <w:jc w:val="center"/>
        </w:trPr>
        <w:tc>
          <w:tcPr>
            <w:tcW w:w="2695" w:type="dxa"/>
          </w:tcPr>
          <w:p w14:paraId="6DD0BD0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BF0A18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H</w:t>
            </w:r>
            <w:r>
              <w:rPr>
                <w:rFonts w:eastAsia="Calibri" w:cs="Times New Roman"/>
                <w:b/>
                <w:bCs/>
                <w:color w:val="000000" w:themeColor="text1"/>
                <w:szCs w:val="24"/>
              </w:rPr>
              <w:t>L</w:t>
            </w:r>
            <w:r w:rsidRPr="00F10C37">
              <w:rPr>
                <w:rFonts w:eastAsia="Calibri" w:cs="Times New Roman"/>
                <w:b/>
                <w:bCs/>
                <w:color w:val="000000" w:themeColor="text1"/>
                <w:szCs w:val="24"/>
              </w:rPr>
              <w:t xml:space="preserve"> and NHL</w:t>
            </w:r>
            <w:r w:rsidRPr="00F10C37">
              <w:rPr>
                <w:rFonts w:eastAsia="Calibri" w:cs="Times New Roman"/>
                <w:color w:val="000000" w:themeColor="text1"/>
                <w:szCs w:val="24"/>
              </w:rPr>
              <w:t>: IV at a dose of 10-15 units/m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days 1 and 15 every 28 days</w:t>
            </w:r>
          </w:p>
          <w:p w14:paraId="5971150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Testicular cancer</w:t>
            </w:r>
            <w:r w:rsidRPr="00F10C37">
              <w:rPr>
                <w:rFonts w:eastAsia="Calibri" w:cs="Times New Roman"/>
                <w:color w:val="000000" w:themeColor="text1"/>
                <w:szCs w:val="24"/>
              </w:rPr>
              <w:t>: 30 units IV on days 2, 9, and 16 every 21 days</w:t>
            </w:r>
          </w:p>
          <w:p w14:paraId="6241744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lastRenderedPageBreak/>
              <w:t>Head and neck cancer</w:t>
            </w:r>
            <w:r w:rsidRPr="00F10C37">
              <w:rPr>
                <w:rFonts w:eastAsia="Calibri" w:cs="Times New Roman"/>
                <w:color w:val="000000" w:themeColor="text1"/>
                <w:szCs w:val="24"/>
              </w:rPr>
              <w:t>: at a dose of 5-15 units/m</w:t>
            </w:r>
            <w:r w:rsidRPr="00F10C37">
              <w:rPr>
                <w:rFonts w:eastAsia="Calibri" w:cs="Times New Roman"/>
                <w:color w:val="000000" w:themeColor="text1"/>
                <w:szCs w:val="24"/>
                <w:vertAlign w:val="superscript"/>
              </w:rPr>
              <w:t>2</w:t>
            </w:r>
          </w:p>
          <w:p w14:paraId="0417B35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Intracavitary instillation into pleural space</w:t>
            </w:r>
            <w:r w:rsidRPr="00F10C37">
              <w:rPr>
                <w:rFonts w:eastAsia="Calibri" w:cs="Times New Roman"/>
                <w:color w:val="000000" w:themeColor="text1"/>
                <w:szCs w:val="24"/>
              </w:rPr>
              <w:t>: 60 units/m</w:t>
            </w:r>
            <w:r w:rsidRPr="00F10C37">
              <w:rPr>
                <w:rFonts w:eastAsia="Calibri" w:cs="Times New Roman"/>
                <w:color w:val="000000" w:themeColor="text1"/>
                <w:szCs w:val="24"/>
                <w:vertAlign w:val="superscript"/>
              </w:rPr>
              <w:t>2</w:t>
            </w:r>
          </w:p>
        </w:tc>
      </w:tr>
      <w:tr w:rsidR="005D59D6" w:rsidRPr="00F10C37" w14:paraId="5C37A8E5" w14:textId="77777777" w:rsidTr="002D6DD7">
        <w:trPr>
          <w:jc w:val="center"/>
        </w:trPr>
        <w:tc>
          <w:tcPr>
            <w:tcW w:w="2695" w:type="dxa"/>
          </w:tcPr>
          <w:p w14:paraId="159111A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795F6877"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 xml:space="preserve">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w:t>
            </w:r>
            <w:r>
              <w:rPr>
                <w:rFonts w:eastAsia="Calibri" w:cs="Times New Roman"/>
                <w:color w:val="000000" w:themeColor="text1"/>
                <w:szCs w:val="24"/>
              </w:rPr>
              <w:t>a</w:t>
            </w:r>
            <w:r w:rsidRPr="00F10C37">
              <w:rPr>
                <w:rFonts w:eastAsia="Calibri" w:cs="Times New Roman"/>
                <w:color w:val="000000" w:themeColor="text1"/>
                <w:szCs w:val="24"/>
              </w:rPr>
              <w:t>cute pulmonary infection, significantly reduced lung function, known, severe pulmonary disease, use of live vaccines.</w:t>
            </w:r>
          </w:p>
        </w:tc>
      </w:tr>
      <w:tr w:rsidR="005D59D6" w:rsidRPr="00F10C37" w14:paraId="055AF5CC" w14:textId="77777777" w:rsidTr="002D6DD7">
        <w:trPr>
          <w:jc w:val="center"/>
        </w:trPr>
        <w:tc>
          <w:tcPr>
            <w:tcW w:w="2695" w:type="dxa"/>
          </w:tcPr>
          <w:p w14:paraId="5E57493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55A0654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Cisplatin, oxygen, anticoagulants, vaccines, vinblastine, digoxin, amphotericin B. </w:t>
            </w:r>
          </w:p>
        </w:tc>
      </w:tr>
      <w:tr w:rsidR="005D59D6" w:rsidRPr="00F10C37" w14:paraId="2B3D6FB8" w14:textId="77777777" w:rsidTr="002D6DD7">
        <w:trPr>
          <w:jc w:val="center"/>
        </w:trPr>
        <w:tc>
          <w:tcPr>
            <w:tcW w:w="2695" w:type="dxa"/>
          </w:tcPr>
          <w:p w14:paraId="0D9436C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0A063575" w14:textId="77777777" w:rsidR="005D59D6" w:rsidRPr="00F10C37" w:rsidRDefault="005D59D6" w:rsidP="002D6DD7">
            <w:pPr>
              <w:tabs>
                <w:tab w:val="num" w:pos="720"/>
              </w:tabs>
              <w:jc w:val="both"/>
              <w:rPr>
                <w:rFonts w:eastAsia="Calibri" w:cs="Times New Roman"/>
                <w:color w:val="000000" w:themeColor="text1"/>
                <w:szCs w:val="24"/>
              </w:rPr>
            </w:pPr>
            <w:r w:rsidRPr="00F10C37">
              <w:rPr>
                <w:rFonts w:eastAsia="Calibri" w:cs="Times New Roman"/>
                <w:color w:val="000000" w:themeColor="text1"/>
                <w:szCs w:val="24"/>
              </w:rPr>
              <w:t>Alopecia, angular cheilitis, appetite decreased, chills, fever (after administration), haemorrhage, headache, interstitial pneumonia, leucopenia, malaise, nail discolouration, nail disorder, nausea, pain, pulmonary fibrosis (dose-related), scleroderma, skin reactions</w:t>
            </w:r>
            <w:r>
              <w:rPr>
                <w:rFonts w:eastAsia="Calibri" w:cs="Times New Roman"/>
                <w:color w:val="000000" w:themeColor="text1"/>
                <w:szCs w:val="24"/>
              </w:rPr>
              <w:t>,</w:t>
            </w:r>
            <w:r w:rsidRPr="00F10C37">
              <w:rPr>
                <w:rFonts w:eastAsia="Calibri" w:cs="Times New Roman"/>
                <w:color w:val="000000" w:themeColor="text1"/>
                <w:szCs w:val="24"/>
              </w:rPr>
              <w:t xml:space="preserve"> stomatitis, vomiting, weight decreased, diarrhoea, dizziness, hepatocellular injury, oliguria, shock, urinary disorders, vein wall hypertrophy, venous stenosis.</w:t>
            </w:r>
          </w:p>
        </w:tc>
      </w:tr>
      <w:tr w:rsidR="005D59D6" w:rsidRPr="00F10C37" w14:paraId="3722509D" w14:textId="77777777" w:rsidTr="002D6DD7">
        <w:trPr>
          <w:jc w:val="center"/>
        </w:trPr>
        <w:tc>
          <w:tcPr>
            <w:tcW w:w="2695" w:type="dxa"/>
          </w:tcPr>
          <w:p w14:paraId="6EF3B1B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15F6C64E"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R</w:t>
            </w:r>
            <w:r w:rsidRPr="00F10C37">
              <w:rPr>
                <w:rFonts w:eastAsia="Calibri" w:cs="Times New Roman"/>
                <w:color w:val="000000" w:themeColor="text1"/>
                <w:szCs w:val="24"/>
              </w:rPr>
              <w:t>isk factors for pulmonary toxicity (e.g., pre-existing pulmonary disease), compromised renal or hepatic function, pregnancy</w:t>
            </w:r>
            <w:r>
              <w:rPr>
                <w:rFonts w:eastAsia="Calibri" w:cs="Times New Roman"/>
                <w:color w:val="000000" w:themeColor="text1"/>
                <w:szCs w:val="24"/>
              </w:rPr>
              <w:t xml:space="preserve">, </w:t>
            </w:r>
            <w:r w:rsidRPr="00F10C37">
              <w:rPr>
                <w:rFonts w:eastAsia="Calibri" w:cs="Times New Roman"/>
                <w:color w:val="000000" w:themeColor="text1"/>
                <w:szCs w:val="24"/>
              </w:rPr>
              <w:t xml:space="preserve">breastfeeding. </w:t>
            </w:r>
          </w:p>
        </w:tc>
      </w:tr>
      <w:tr w:rsidR="005D59D6" w:rsidRPr="00F10C37" w14:paraId="336E516B" w14:textId="77777777" w:rsidTr="002D6DD7">
        <w:trPr>
          <w:jc w:val="center"/>
        </w:trPr>
        <w:tc>
          <w:tcPr>
            <w:tcW w:w="2695" w:type="dxa"/>
          </w:tcPr>
          <w:p w14:paraId="3A7B6C4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2BF6BAF0" w14:textId="77777777" w:rsidR="005D59D6" w:rsidRPr="00F10C37" w:rsidRDefault="005D59D6" w:rsidP="002D6DD7">
            <w:pPr>
              <w:contextualSpacing/>
              <w:jc w:val="both"/>
              <w:rPr>
                <w:rFonts w:eastAsia="Calibri" w:cs="Times New Roman"/>
                <w:i/>
                <w:color w:val="000000" w:themeColor="text1"/>
                <w:szCs w:val="24"/>
              </w:rPr>
            </w:pPr>
            <w:r w:rsidRPr="00F10C37">
              <w:rPr>
                <w:rFonts w:eastAsia="Calibri" w:cs="Times New Roman"/>
                <w:color w:val="000000" w:themeColor="text1"/>
                <w:szCs w:val="24"/>
              </w:rPr>
              <w:t>Store under refrigeration at 2°C to 8°C.  Store the reconstituted solution at 2-8 °C for no more than 24 hours if needed.</w:t>
            </w:r>
          </w:p>
        </w:tc>
      </w:tr>
      <w:tr w:rsidR="005D59D6" w:rsidRPr="00F10C37" w14:paraId="01324411" w14:textId="77777777" w:rsidTr="002D6DD7">
        <w:trPr>
          <w:jc w:val="center"/>
        </w:trPr>
        <w:tc>
          <w:tcPr>
            <w:tcW w:w="9705" w:type="dxa"/>
            <w:gridSpan w:val="2"/>
          </w:tcPr>
          <w:p w14:paraId="2A36539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Capecitabine</w:t>
            </w:r>
          </w:p>
        </w:tc>
      </w:tr>
      <w:tr w:rsidR="005D59D6" w:rsidRPr="00F10C37" w14:paraId="2B2966F9" w14:textId="77777777" w:rsidTr="002D6DD7">
        <w:trPr>
          <w:jc w:val="center"/>
        </w:trPr>
        <w:tc>
          <w:tcPr>
            <w:tcW w:w="2695" w:type="dxa"/>
          </w:tcPr>
          <w:p w14:paraId="006A031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7E0544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fluoropyrimidine</w:t>
            </w:r>
          </w:p>
        </w:tc>
      </w:tr>
      <w:tr w:rsidR="005D59D6" w:rsidRPr="00F10C37" w14:paraId="649508D1" w14:textId="77777777" w:rsidTr="002D6DD7">
        <w:trPr>
          <w:jc w:val="center"/>
        </w:trPr>
        <w:tc>
          <w:tcPr>
            <w:tcW w:w="2695" w:type="dxa"/>
          </w:tcPr>
          <w:p w14:paraId="6E6027A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9DE69F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Tablet: 150 mg, 500 mg.</w:t>
            </w:r>
          </w:p>
        </w:tc>
      </w:tr>
      <w:tr w:rsidR="005D59D6" w:rsidRPr="00F10C37" w14:paraId="6B084806" w14:textId="77777777" w:rsidTr="002D6DD7">
        <w:trPr>
          <w:jc w:val="center"/>
        </w:trPr>
        <w:tc>
          <w:tcPr>
            <w:tcW w:w="2695" w:type="dxa"/>
          </w:tcPr>
          <w:p w14:paraId="4480282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0390F4B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Colorectal cancer, metastatic breast cancer and gastric cancer.</w:t>
            </w:r>
          </w:p>
        </w:tc>
      </w:tr>
      <w:tr w:rsidR="005D59D6" w:rsidRPr="00F10C37" w14:paraId="053303A6" w14:textId="77777777" w:rsidTr="002D6DD7">
        <w:trPr>
          <w:jc w:val="center"/>
        </w:trPr>
        <w:tc>
          <w:tcPr>
            <w:tcW w:w="2695" w:type="dxa"/>
          </w:tcPr>
          <w:p w14:paraId="37BFF595"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5A3D221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Colorectal cancer</w:t>
            </w:r>
            <w:r w:rsidRPr="00F10C37">
              <w:rPr>
                <w:rFonts w:eastAsia="Calibri" w:cs="Times New Roman"/>
                <w:color w:val="000000" w:themeColor="text1"/>
                <w:szCs w:val="24"/>
              </w:rPr>
              <w:t>: 1,250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orally twice daily for 2 weeks followed by a 1-week rest period, repeated in 3-week cycles.</w:t>
            </w:r>
          </w:p>
          <w:p w14:paraId="7651480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Breast cancer</w:t>
            </w:r>
            <w:r w:rsidRPr="00F10C37">
              <w:rPr>
                <w:rFonts w:eastAsia="Calibri" w:cs="Times New Roman"/>
                <w:color w:val="000000" w:themeColor="text1"/>
                <w:szCs w:val="24"/>
              </w:rPr>
              <w:t>: 1,250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orally twice daily for 2 weeks followed by a 1-week rest period, repeated in 3-week cycles.</w:t>
            </w:r>
          </w:p>
          <w:p w14:paraId="2744606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Gastric cancer</w:t>
            </w:r>
            <w:r w:rsidRPr="00F10C37">
              <w:rPr>
                <w:rFonts w:eastAsia="Calibri" w:cs="Times New Roman"/>
                <w:color w:val="000000" w:themeColor="text1"/>
                <w:szCs w:val="24"/>
              </w:rPr>
              <w:t>: 800-1000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orally twice daily for 2 weeks followed by a 1-week rest period, repeated in 3-week cycles.</w:t>
            </w:r>
          </w:p>
        </w:tc>
      </w:tr>
      <w:tr w:rsidR="005D59D6" w:rsidRPr="00F10C37" w14:paraId="0A29541B" w14:textId="77777777" w:rsidTr="002D6DD7">
        <w:trPr>
          <w:jc w:val="center"/>
        </w:trPr>
        <w:tc>
          <w:tcPr>
            <w:tcW w:w="2695" w:type="dxa"/>
          </w:tcPr>
          <w:p w14:paraId="111F9B9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04A0069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Complete dihydropyrimidine dehydrogenase deficiency, severe </w:t>
            </w:r>
            <w:r w:rsidRPr="00F10C37">
              <w:rPr>
                <w:rFonts w:eastAsia="Calibri" w:cs="Times New Roman"/>
                <w:color w:val="000000" w:themeColor="text1"/>
                <w:szCs w:val="24"/>
              </w:rPr>
              <w:lastRenderedPageBreak/>
              <w:t xml:space="preserve">hepatic impairment, severe renal impairment (CrCl &lt; 30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6BF0E227" w14:textId="77777777" w:rsidTr="002D6DD7">
        <w:trPr>
          <w:jc w:val="center"/>
        </w:trPr>
        <w:tc>
          <w:tcPr>
            <w:tcW w:w="2695" w:type="dxa"/>
          </w:tcPr>
          <w:p w14:paraId="6E8C385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Drug interactions</w:t>
            </w:r>
          </w:p>
        </w:tc>
        <w:tc>
          <w:tcPr>
            <w:tcW w:w="7010" w:type="dxa"/>
          </w:tcPr>
          <w:p w14:paraId="145A6C1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Anticoagulants, phenytoin, phenobarbital, or rifampin, proton pump inhibitors and H2-receptor antagonists.</w:t>
            </w:r>
          </w:p>
        </w:tc>
      </w:tr>
      <w:tr w:rsidR="005D59D6" w:rsidRPr="00F10C37" w14:paraId="30F172FD" w14:textId="77777777" w:rsidTr="002D6DD7">
        <w:trPr>
          <w:jc w:val="center"/>
        </w:trPr>
        <w:tc>
          <w:tcPr>
            <w:tcW w:w="2695" w:type="dxa"/>
          </w:tcPr>
          <w:p w14:paraId="1320D66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6DCEC892" w14:textId="77777777" w:rsidR="005D59D6" w:rsidRPr="00F10C37" w:rsidRDefault="005D59D6" w:rsidP="002D6DD7">
            <w:pPr>
              <w:tabs>
                <w:tab w:val="num" w:pos="720"/>
              </w:tabs>
              <w:jc w:val="both"/>
              <w:rPr>
                <w:rFonts w:eastAsia="Calibri" w:cs="Times New Roman"/>
                <w:color w:val="000000" w:themeColor="text1"/>
                <w:szCs w:val="24"/>
              </w:rPr>
            </w:pPr>
            <w:r w:rsidRPr="00F10C37">
              <w:rPr>
                <w:rFonts w:eastAsia="Calibri" w:cs="Times New Roman"/>
                <w:color w:val="000000" w:themeColor="text1"/>
                <w:szCs w:val="24"/>
              </w:rPr>
              <w:t>Nausea, vomiting, diarrhea, stomatitis, hand-foot syndrome (palmar-plantar erythrodysesthesia), neutropenia and thrombocytopenia, hepatotoxicity, fatigue and weakness, skin reactions, headache and dizziness.</w:t>
            </w:r>
          </w:p>
        </w:tc>
      </w:tr>
      <w:tr w:rsidR="005D59D6" w:rsidRPr="00F10C37" w14:paraId="0D3B2160" w14:textId="77777777" w:rsidTr="002D6DD7">
        <w:trPr>
          <w:jc w:val="center"/>
        </w:trPr>
        <w:tc>
          <w:tcPr>
            <w:tcW w:w="2695" w:type="dxa"/>
          </w:tcPr>
          <w:p w14:paraId="39D527C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4162FAC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Diabetes mellitus, diarrhoea or dehydration, electrolyte disturbances, history of angina pectoris, history of arrhythmias, history of significant cardiovascular disease, nervous system disease, contraception, renal impairment, hepatic impairment, pregnancy and breastfeeding.</w:t>
            </w:r>
          </w:p>
        </w:tc>
      </w:tr>
      <w:tr w:rsidR="005D59D6" w:rsidRPr="00F10C37" w14:paraId="2DDB673E" w14:textId="77777777" w:rsidTr="002D6DD7">
        <w:trPr>
          <w:jc w:val="center"/>
        </w:trPr>
        <w:tc>
          <w:tcPr>
            <w:tcW w:w="2695" w:type="dxa"/>
          </w:tcPr>
          <w:p w14:paraId="307C102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22839AE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heat, light and moisture.</w:t>
            </w:r>
          </w:p>
        </w:tc>
      </w:tr>
      <w:tr w:rsidR="005D59D6" w:rsidRPr="00F10C37" w14:paraId="0CA52450" w14:textId="77777777" w:rsidTr="002D6DD7">
        <w:trPr>
          <w:jc w:val="center"/>
        </w:trPr>
        <w:tc>
          <w:tcPr>
            <w:tcW w:w="9705" w:type="dxa"/>
            <w:gridSpan w:val="2"/>
          </w:tcPr>
          <w:p w14:paraId="551473A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 xml:space="preserve">Carboplatin </w:t>
            </w:r>
          </w:p>
        </w:tc>
      </w:tr>
      <w:tr w:rsidR="005D59D6" w:rsidRPr="00F10C37" w14:paraId="19747E19" w14:textId="77777777" w:rsidTr="002D6DD7">
        <w:trPr>
          <w:jc w:val="center"/>
        </w:trPr>
        <w:tc>
          <w:tcPr>
            <w:tcW w:w="2695" w:type="dxa"/>
          </w:tcPr>
          <w:p w14:paraId="366EBA5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50EFC56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Alkylating agent, platinum analog</w:t>
            </w:r>
          </w:p>
        </w:tc>
      </w:tr>
      <w:tr w:rsidR="005D59D6" w:rsidRPr="00F10C37" w14:paraId="43B5B57D" w14:textId="77777777" w:rsidTr="002D6DD7">
        <w:trPr>
          <w:jc w:val="center"/>
        </w:trPr>
        <w:tc>
          <w:tcPr>
            <w:tcW w:w="2695" w:type="dxa"/>
          </w:tcPr>
          <w:p w14:paraId="251646B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2A3DF2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Injection: 50 mg/5 </w:t>
            </w:r>
            <w:r>
              <w:rPr>
                <w:rFonts w:eastAsia="Calibri" w:cs="Times New Roman"/>
                <w:color w:val="000000" w:themeColor="text1"/>
                <w:szCs w:val="24"/>
              </w:rPr>
              <w:t>ml</w:t>
            </w:r>
            <w:r w:rsidRPr="00F10C37">
              <w:rPr>
                <w:rFonts w:eastAsia="Calibri" w:cs="Times New Roman"/>
                <w:color w:val="000000" w:themeColor="text1"/>
                <w:szCs w:val="24"/>
              </w:rPr>
              <w:t xml:space="preserve">, 150 mg/15 </w:t>
            </w:r>
            <w:r>
              <w:rPr>
                <w:rFonts w:eastAsia="Calibri" w:cs="Times New Roman"/>
                <w:color w:val="000000" w:themeColor="text1"/>
                <w:szCs w:val="24"/>
              </w:rPr>
              <w:t>ml</w:t>
            </w:r>
            <w:r w:rsidRPr="00F10C37">
              <w:rPr>
                <w:rFonts w:eastAsia="Calibri" w:cs="Times New Roman"/>
                <w:color w:val="000000" w:themeColor="text1"/>
                <w:szCs w:val="24"/>
              </w:rPr>
              <w:t xml:space="preserve">, 450 mg/45 </w:t>
            </w:r>
            <w:r>
              <w:rPr>
                <w:rFonts w:eastAsia="Calibri" w:cs="Times New Roman"/>
                <w:color w:val="000000" w:themeColor="text1"/>
                <w:szCs w:val="24"/>
              </w:rPr>
              <w:t>ml</w:t>
            </w:r>
            <w:r w:rsidRPr="00F10C37">
              <w:rPr>
                <w:rFonts w:eastAsia="Calibri" w:cs="Times New Roman"/>
                <w:color w:val="000000" w:themeColor="text1"/>
                <w:szCs w:val="24"/>
              </w:rPr>
              <w:t xml:space="preserve">, 600 mg/60 </w:t>
            </w:r>
            <w:r>
              <w:rPr>
                <w:rFonts w:eastAsia="Calibri" w:cs="Times New Roman"/>
                <w:color w:val="000000" w:themeColor="text1"/>
                <w:szCs w:val="24"/>
              </w:rPr>
              <w:t>ml</w:t>
            </w:r>
          </w:p>
        </w:tc>
      </w:tr>
      <w:tr w:rsidR="005D59D6" w:rsidRPr="00F10C37" w14:paraId="3828BAB6" w14:textId="77777777" w:rsidTr="002D6DD7">
        <w:trPr>
          <w:jc w:val="center"/>
        </w:trPr>
        <w:tc>
          <w:tcPr>
            <w:tcW w:w="2695" w:type="dxa"/>
          </w:tcPr>
          <w:p w14:paraId="2D0044B8"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7E59052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Ovarian cancer, small cell lung cancer (SCLC) and NSCLC, head and neck cancer, bladder cancer, and testicular cancer.</w:t>
            </w:r>
          </w:p>
        </w:tc>
      </w:tr>
      <w:tr w:rsidR="005D59D6" w:rsidRPr="00F10C37" w14:paraId="336A4AFC" w14:textId="77777777" w:rsidTr="002D6DD7">
        <w:trPr>
          <w:jc w:val="center"/>
        </w:trPr>
        <w:tc>
          <w:tcPr>
            <w:tcW w:w="2695" w:type="dxa"/>
          </w:tcPr>
          <w:p w14:paraId="0D8F9B7B"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594C7C7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Ovarian cancer</w:t>
            </w:r>
            <w:r w:rsidRPr="00F10C37">
              <w:rPr>
                <w:rFonts w:eastAsia="Calibri" w:cs="Times New Roman"/>
                <w:color w:val="000000" w:themeColor="text1"/>
                <w:szCs w:val="24"/>
              </w:rPr>
              <w:t>: Area under the curve (AUC) of 5 to 7.5 mg/</w:t>
            </w:r>
            <w:r>
              <w:rPr>
                <w:rFonts w:eastAsia="Calibri" w:cs="Times New Roman"/>
                <w:color w:val="000000" w:themeColor="text1"/>
                <w:szCs w:val="24"/>
              </w:rPr>
              <w:t>ml</w:t>
            </w:r>
            <w:r w:rsidRPr="00F10C37">
              <w:rPr>
                <w:rFonts w:eastAsia="Calibri" w:cs="Times New Roman"/>
                <w:color w:val="000000" w:themeColor="text1"/>
                <w:szCs w:val="24"/>
              </w:rPr>
              <w:t>/min intravenously once every 3 to 4 weeks, often in combination with other chemotherapeutic agents.</w:t>
            </w:r>
          </w:p>
          <w:p w14:paraId="6650100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Lung cancer</w:t>
            </w:r>
            <w:r w:rsidRPr="00F10C37">
              <w:rPr>
                <w:rFonts w:eastAsia="Calibri" w:cs="Times New Roman"/>
                <w:color w:val="000000" w:themeColor="text1"/>
                <w:szCs w:val="24"/>
              </w:rPr>
              <w:t>: AUC of 5 to 7 mg/</w:t>
            </w:r>
            <w:r>
              <w:rPr>
                <w:rFonts w:eastAsia="Calibri" w:cs="Times New Roman"/>
                <w:color w:val="000000" w:themeColor="text1"/>
                <w:szCs w:val="24"/>
              </w:rPr>
              <w:t>ml</w:t>
            </w:r>
            <w:r w:rsidRPr="00F10C37">
              <w:rPr>
                <w:rFonts w:eastAsia="Calibri" w:cs="Times New Roman"/>
                <w:color w:val="000000" w:themeColor="text1"/>
                <w:szCs w:val="24"/>
              </w:rPr>
              <w:t xml:space="preserve">/min intravenously once every 3 to 4 weeks, often in combination with other chemotherapeutic agents. </w:t>
            </w:r>
          </w:p>
          <w:p w14:paraId="2884208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Head and neck cancer</w:t>
            </w:r>
            <w:r w:rsidRPr="00F10C37">
              <w:rPr>
                <w:rFonts w:eastAsia="Calibri" w:cs="Times New Roman"/>
                <w:color w:val="000000" w:themeColor="text1"/>
                <w:szCs w:val="24"/>
              </w:rPr>
              <w:t>: Dosages can vary widely but may be similar to those used for ovarian or lung cancer, administered IV every 3 to 4 weeks in combination with other chemotherapy drugs or radiation therapy</w:t>
            </w:r>
          </w:p>
          <w:p w14:paraId="6FE1C80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Bladder cancer</w:t>
            </w:r>
            <w:r w:rsidRPr="00F10C37">
              <w:rPr>
                <w:rFonts w:eastAsia="Calibri" w:cs="Times New Roman"/>
                <w:color w:val="000000" w:themeColor="text1"/>
                <w:szCs w:val="24"/>
              </w:rPr>
              <w:t xml:space="preserve">: Similar dosages to ovarian or lung cancer may be used, typically administered </w:t>
            </w:r>
            <w:r>
              <w:rPr>
                <w:rFonts w:eastAsia="Calibri" w:cs="Times New Roman"/>
                <w:color w:val="000000" w:themeColor="text1"/>
                <w:szCs w:val="24"/>
              </w:rPr>
              <w:t>IV</w:t>
            </w:r>
            <w:r w:rsidRPr="00F10C37">
              <w:rPr>
                <w:rFonts w:eastAsia="Calibri" w:cs="Times New Roman"/>
                <w:color w:val="000000" w:themeColor="text1"/>
                <w:szCs w:val="24"/>
              </w:rPr>
              <w:t xml:space="preserve"> every 3 to 4 weeks in combination with other chemotherapy agents.</w:t>
            </w:r>
          </w:p>
          <w:p w14:paraId="43C338E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Testicular cancer</w:t>
            </w:r>
            <w:r w:rsidRPr="00F10C37">
              <w:rPr>
                <w:rFonts w:eastAsia="Calibri" w:cs="Times New Roman"/>
                <w:color w:val="000000" w:themeColor="text1"/>
                <w:szCs w:val="24"/>
              </w:rPr>
              <w:t xml:space="preserve">: Dosages are often calculated based on the patient's </w:t>
            </w:r>
            <w:r w:rsidRPr="00F10C37">
              <w:rPr>
                <w:rFonts w:eastAsia="Calibri" w:cs="Times New Roman"/>
                <w:color w:val="000000" w:themeColor="text1"/>
                <w:szCs w:val="24"/>
              </w:rPr>
              <w:lastRenderedPageBreak/>
              <w:t>renal function and may be administered intravenously in combination with other chemotherapy drugs.</w:t>
            </w:r>
          </w:p>
        </w:tc>
      </w:tr>
      <w:tr w:rsidR="005D59D6" w:rsidRPr="00F10C37" w14:paraId="4A3DB316" w14:textId="77777777" w:rsidTr="002D6DD7">
        <w:trPr>
          <w:jc w:val="center"/>
        </w:trPr>
        <w:tc>
          <w:tcPr>
            <w:tcW w:w="2695" w:type="dxa"/>
          </w:tcPr>
          <w:p w14:paraId="0FCB7C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0C6CEFF1" w14:textId="77777777" w:rsidR="005D59D6" w:rsidRPr="00F10C37" w:rsidRDefault="005D59D6" w:rsidP="002D6DD7">
            <w:pPr>
              <w:contextualSpacing/>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 xml:space="preserve">ypersensitivity to </w:t>
            </w:r>
            <w:r>
              <w:rPr>
                <w:rFonts w:eastAsia="Calibri" w:cs="Times New Roman"/>
                <w:color w:val="000000" w:themeColor="text1"/>
                <w:szCs w:val="24"/>
              </w:rPr>
              <w:t xml:space="preserve">the drug or </w:t>
            </w:r>
            <w:r w:rsidRPr="00F10C37">
              <w:rPr>
                <w:rFonts w:eastAsia="Calibri" w:cs="Times New Roman"/>
                <w:color w:val="000000" w:themeColor="text1"/>
                <w:szCs w:val="24"/>
              </w:rPr>
              <w:t>any platinum-containing compounds</w:t>
            </w:r>
            <w:r>
              <w:rPr>
                <w:rFonts w:eastAsia="Calibri" w:cs="Times New Roman"/>
                <w:color w:val="000000" w:themeColor="text1"/>
                <w:szCs w:val="24"/>
              </w:rPr>
              <w:t>, p</w:t>
            </w:r>
            <w:r w:rsidRPr="00F10C37">
              <w:rPr>
                <w:rFonts w:eastAsia="Calibri" w:cs="Times New Roman"/>
                <w:color w:val="000000" w:themeColor="text1"/>
                <w:szCs w:val="24"/>
              </w:rPr>
              <w:t xml:space="preserve">eripheral neuropathy with functional impairment, severe bone marrow suppression, severe renal impairment (CrCl less than 20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0E36E07F" w14:textId="77777777" w:rsidTr="002D6DD7">
        <w:trPr>
          <w:jc w:val="center"/>
        </w:trPr>
        <w:tc>
          <w:tcPr>
            <w:tcW w:w="2695" w:type="dxa"/>
          </w:tcPr>
          <w:p w14:paraId="3C0C383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3BD5A56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Myelosuppressive drugs.</w:t>
            </w:r>
          </w:p>
        </w:tc>
      </w:tr>
      <w:tr w:rsidR="005D59D6" w:rsidRPr="00F10C37" w14:paraId="700B9BF9" w14:textId="77777777" w:rsidTr="002D6DD7">
        <w:trPr>
          <w:jc w:val="center"/>
        </w:trPr>
        <w:tc>
          <w:tcPr>
            <w:tcW w:w="2695" w:type="dxa"/>
          </w:tcPr>
          <w:p w14:paraId="6A4F229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78EE7BA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Alopecia, anaemia, asthenia, cardiovascular disorder, constipation, diarrhoea, gastrointestinal discomfort, haemorrhage, hypersensitivity, increased risk of infection, leucopenia, mucosal abnormalities, musculoskeletal disorder, nausea, neutropenia, ototoxicity, peripheral neuropathy, reflexes decreased, respiratory disorders, sensation abnormal, skin reactions, taste altered, thrombocytopenia, urogenital disorder, vision disorders, vomiting. </w:t>
            </w:r>
          </w:p>
        </w:tc>
      </w:tr>
      <w:tr w:rsidR="005D59D6" w:rsidRPr="00F10C37" w14:paraId="2C4BD34E" w14:textId="77777777" w:rsidTr="002D6DD7">
        <w:trPr>
          <w:jc w:val="center"/>
        </w:trPr>
        <w:tc>
          <w:tcPr>
            <w:tcW w:w="2695" w:type="dxa"/>
          </w:tcPr>
          <w:p w14:paraId="086B90A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219A020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Renal impairment, bone marrow suppression,</w:t>
            </w:r>
            <w:r>
              <w:rPr>
                <w:rFonts w:eastAsia="Calibri" w:cs="Times New Roman"/>
                <w:color w:val="000000" w:themeColor="text1"/>
                <w:szCs w:val="24"/>
              </w:rPr>
              <w:t xml:space="preserve"> </w:t>
            </w:r>
            <w:r w:rsidRPr="00F10C37">
              <w:rPr>
                <w:rFonts w:eastAsia="Calibri" w:cs="Times New Roman"/>
                <w:color w:val="000000" w:themeColor="text1"/>
                <w:szCs w:val="24"/>
              </w:rPr>
              <w:t xml:space="preserve">ototoxicity (pre-existing hearing impairment), allergic reactions, liver </w:t>
            </w:r>
            <w:r>
              <w:rPr>
                <w:rFonts w:eastAsia="Calibri" w:cs="Times New Roman"/>
                <w:color w:val="000000" w:themeColor="text1"/>
                <w:szCs w:val="24"/>
              </w:rPr>
              <w:t>impairmrnt</w:t>
            </w:r>
            <w:r w:rsidRPr="00F10C37">
              <w:rPr>
                <w:rFonts w:eastAsia="Calibri" w:cs="Times New Roman"/>
                <w:color w:val="000000" w:themeColor="text1"/>
                <w:szCs w:val="24"/>
              </w:rPr>
              <w:t>, pregnancy</w:t>
            </w:r>
            <w:r>
              <w:rPr>
                <w:rFonts w:eastAsia="Calibri" w:cs="Times New Roman"/>
                <w:color w:val="000000" w:themeColor="text1"/>
                <w:szCs w:val="24"/>
              </w:rPr>
              <w:t xml:space="preserve">, </w:t>
            </w:r>
            <w:r w:rsidRPr="00F10C37">
              <w:rPr>
                <w:rFonts w:eastAsia="Calibri" w:cs="Times New Roman"/>
                <w:color w:val="000000" w:themeColor="text1"/>
                <w:szCs w:val="24"/>
              </w:rPr>
              <w:t>breastfeeding.</w:t>
            </w:r>
          </w:p>
        </w:tc>
      </w:tr>
      <w:tr w:rsidR="005D59D6" w:rsidRPr="00F10C37" w14:paraId="16D9728C" w14:textId="77777777" w:rsidTr="002D6DD7">
        <w:trPr>
          <w:jc w:val="center"/>
        </w:trPr>
        <w:tc>
          <w:tcPr>
            <w:tcW w:w="2695" w:type="dxa"/>
          </w:tcPr>
          <w:p w14:paraId="73F6233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44B2B51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below 30°C. Protect from light and moisture. Store reconstituted solution for up to 24 hours at 2-8 °C. </w:t>
            </w:r>
          </w:p>
        </w:tc>
      </w:tr>
      <w:tr w:rsidR="005D59D6" w:rsidRPr="00F10C37" w14:paraId="7D5F14CD" w14:textId="77777777" w:rsidTr="002D6DD7">
        <w:trPr>
          <w:jc w:val="center"/>
        </w:trPr>
        <w:tc>
          <w:tcPr>
            <w:tcW w:w="9705" w:type="dxa"/>
            <w:gridSpan w:val="2"/>
          </w:tcPr>
          <w:p w14:paraId="2F0C13C4"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Chlorambucil</w:t>
            </w:r>
          </w:p>
        </w:tc>
      </w:tr>
      <w:tr w:rsidR="005D59D6" w:rsidRPr="00F10C37" w14:paraId="186B7567" w14:textId="77777777" w:rsidTr="002D6DD7">
        <w:trPr>
          <w:jc w:val="center"/>
        </w:trPr>
        <w:tc>
          <w:tcPr>
            <w:tcW w:w="2695" w:type="dxa"/>
          </w:tcPr>
          <w:p w14:paraId="43ADEB1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21FC8E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Alkylating agent, nitrogen mustard</w:t>
            </w:r>
          </w:p>
        </w:tc>
      </w:tr>
      <w:tr w:rsidR="005D59D6" w:rsidRPr="00F10C37" w14:paraId="0326FA87" w14:textId="77777777" w:rsidTr="002D6DD7">
        <w:trPr>
          <w:jc w:val="center"/>
        </w:trPr>
        <w:tc>
          <w:tcPr>
            <w:tcW w:w="2695" w:type="dxa"/>
          </w:tcPr>
          <w:p w14:paraId="6D83B35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083963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Tablet: 2mg</w:t>
            </w:r>
          </w:p>
        </w:tc>
      </w:tr>
      <w:tr w:rsidR="005D59D6" w:rsidRPr="00F10C37" w14:paraId="1DFBCA1B" w14:textId="77777777" w:rsidTr="002D6DD7">
        <w:trPr>
          <w:jc w:val="center"/>
        </w:trPr>
        <w:tc>
          <w:tcPr>
            <w:tcW w:w="2695" w:type="dxa"/>
          </w:tcPr>
          <w:p w14:paraId="0965BD3A"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1F1905A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CLL, </w:t>
            </w:r>
            <w:r>
              <w:rPr>
                <w:rFonts w:eastAsia="Calibri" w:cs="Times New Roman"/>
                <w:color w:val="000000" w:themeColor="text1"/>
                <w:szCs w:val="24"/>
              </w:rPr>
              <w:t>HL</w:t>
            </w:r>
            <w:r w:rsidRPr="00F10C37">
              <w:rPr>
                <w:rFonts w:eastAsia="Calibri" w:cs="Times New Roman"/>
                <w:color w:val="000000" w:themeColor="text1"/>
                <w:szCs w:val="24"/>
              </w:rPr>
              <w:t xml:space="preserve"> and NHL.</w:t>
            </w:r>
          </w:p>
        </w:tc>
      </w:tr>
      <w:tr w:rsidR="005D59D6" w:rsidRPr="00F10C37" w14:paraId="7F3003C1" w14:textId="77777777" w:rsidTr="002D6DD7">
        <w:trPr>
          <w:jc w:val="center"/>
        </w:trPr>
        <w:tc>
          <w:tcPr>
            <w:tcW w:w="2695" w:type="dxa"/>
          </w:tcPr>
          <w:p w14:paraId="5F853999"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14FF853A" w14:textId="77777777" w:rsidR="005D59D6" w:rsidRPr="00F10C37" w:rsidRDefault="005D59D6" w:rsidP="002D6DD7">
            <w:pPr>
              <w:jc w:val="both"/>
              <w:rPr>
                <w:rFonts w:eastAsia="Calibri" w:cs="Times New Roman"/>
                <w:b/>
                <w:bCs/>
                <w:color w:val="000000" w:themeColor="text1"/>
                <w:szCs w:val="24"/>
              </w:rPr>
            </w:pPr>
            <w:r w:rsidRPr="00F10C37">
              <w:rPr>
                <w:rFonts w:eastAsia="Calibri" w:cs="Times New Roman"/>
                <w:b/>
                <w:bCs/>
                <w:color w:val="000000" w:themeColor="text1"/>
                <w:szCs w:val="24"/>
              </w:rPr>
              <w:t xml:space="preserve">CLL: </w:t>
            </w:r>
            <w:r w:rsidRPr="00F10C37">
              <w:rPr>
                <w:rFonts w:eastAsia="Calibri" w:cs="Times New Roman"/>
                <w:color w:val="000000" w:themeColor="text1"/>
                <w:szCs w:val="24"/>
              </w:rPr>
              <w:t>0.15-0.2 mg/kg/day for 3 to 6 weeks, followed by a rest period and repeated every 4 to 6 weeks.</w:t>
            </w:r>
          </w:p>
          <w:p w14:paraId="29A6CDC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
                <w:bCs/>
                <w:color w:val="000000" w:themeColor="text1"/>
                <w:szCs w:val="24"/>
              </w:rPr>
              <w:t xml:space="preserve">Lymphomas: </w:t>
            </w:r>
            <w:r w:rsidRPr="00F10C37">
              <w:rPr>
                <w:rFonts w:eastAsia="Calibri" w:cs="Times New Roman"/>
                <w:color w:val="000000" w:themeColor="text1"/>
                <w:szCs w:val="24"/>
              </w:rPr>
              <w:t>0.1-0.2 mg/kg/day for 3 to 6 weeks, followed by a rest period and repeated every 4 to 6 weeks.</w:t>
            </w:r>
          </w:p>
        </w:tc>
      </w:tr>
      <w:tr w:rsidR="005D59D6" w:rsidRPr="00F10C37" w14:paraId="28E99642" w14:textId="77777777" w:rsidTr="002D6DD7">
        <w:trPr>
          <w:jc w:val="center"/>
        </w:trPr>
        <w:tc>
          <w:tcPr>
            <w:tcW w:w="2695" w:type="dxa"/>
          </w:tcPr>
          <w:p w14:paraId="700D0E7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3FF158D4"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 xml:space="preserve">ypersensitivity to the </w:t>
            </w:r>
            <w:r>
              <w:rPr>
                <w:rFonts w:eastAsia="Calibri" w:cs="Times New Roman"/>
                <w:color w:val="000000" w:themeColor="text1"/>
                <w:szCs w:val="24"/>
              </w:rPr>
              <w:t>drug</w:t>
            </w:r>
            <w:r w:rsidRPr="00F10C37">
              <w:rPr>
                <w:rFonts w:eastAsia="Calibri" w:cs="Times New Roman"/>
                <w:color w:val="000000" w:themeColor="text1"/>
                <w:szCs w:val="24"/>
              </w:rPr>
              <w:t>, cross-hypersensitivity with other alkylating agents</w:t>
            </w:r>
            <w:r>
              <w:rPr>
                <w:rFonts w:eastAsia="Calibri" w:cs="Times New Roman"/>
                <w:color w:val="000000" w:themeColor="text1"/>
                <w:szCs w:val="24"/>
              </w:rPr>
              <w:t>, h</w:t>
            </w:r>
            <w:r w:rsidRPr="00F10C37">
              <w:rPr>
                <w:rFonts w:eastAsia="Calibri" w:cs="Times New Roman"/>
                <w:color w:val="000000" w:themeColor="text1"/>
                <w:szCs w:val="24"/>
              </w:rPr>
              <w:t>istory of epilepsy</w:t>
            </w:r>
            <w:r>
              <w:rPr>
                <w:rFonts w:eastAsia="Calibri" w:cs="Times New Roman"/>
                <w:color w:val="000000" w:themeColor="text1"/>
                <w:szCs w:val="24"/>
              </w:rPr>
              <w:t>.</w:t>
            </w:r>
          </w:p>
        </w:tc>
      </w:tr>
      <w:tr w:rsidR="005D59D6" w:rsidRPr="00F10C37" w14:paraId="20B6C442" w14:textId="77777777" w:rsidTr="002D6DD7">
        <w:trPr>
          <w:jc w:val="center"/>
        </w:trPr>
        <w:tc>
          <w:tcPr>
            <w:tcW w:w="2695" w:type="dxa"/>
          </w:tcPr>
          <w:p w14:paraId="2436224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4BCD5EB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Phenobarbital, phenytoin, and other drugs that stimulate the liver P450 </w:t>
            </w:r>
            <w:r w:rsidRPr="00F10C37">
              <w:rPr>
                <w:rFonts w:eastAsia="Calibri" w:cs="Times New Roman"/>
                <w:color w:val="000000" w:themeColor="text1"/>
                <w:szCs w:val="24"/>
              </w:rPr>
              <w:lastRenderedPageBreak/>
              <w:t>system.</w:t>
            </w:r>
          </w:p>
        </w:tc>
      </w:tr>
      <w:tr w:rsidR="005D59D6" w:rsidRPr="00F10C37" w14:paraId="0055B267" w14:textId="77777777" w:rsidTr="002D6DD7">
        <w:trPr>
          <w:jc w:val="center"/>
        </w:trPr>
        <w:tc>
          <w:tcPr>
            <w:tcW w:w="2695" w:type="dxa"/>
          </w:tcPr>
          <w:p w14:paraId="1E93D98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7010" w:type="dxa"/>
          </w:tcPr>
          <w:p w14:paraId="290D5A8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Anaemia, bone marrow disorders, diarrhoea, GI disorder, leucopenia, nausea, neoplasms, neutropenia, oral ulceration, seizures, thrombocytopenia, vomiting.</w:t>
            </w:r>
          </w:p>
        </w:tc>
      </w:tr>
      <w:tr w:rsidR="005D59D6" w:rsidRPr="00F10C37" w14:paraId="1D89B045" w14:textId="77777777" w:rsidTr="002D6DD7">
        <w:trPr>
          <w:jc w:val="center"/>
        </w:trPr>
        <w:tc>
          <w:tcPr>
            <w:tcW w:w="2695" w:type="dxa"/>
          </w:tcPr>
          <w:p w14:paraId="72A9BAF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74773DC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Severe hepatic impairment, renal impairment, seizure disorders, bone marrow suppression, radiation therapy, use of myelosuppressive drugs, therapy should be discontinued promptly if generalized skin rash develops. </w:t>
            </w:r>
          </w:p>
        </w:tc>
      </w:tr>
      <w:tr w:rsidR="005D59D6" w:rsidRPr="00F10C37" w14:paraId="73033B64" w14:textId="77777777" w:rsidTr="002D6DD7">
        <w:trPr>
          <w:jc w:val="center"/>
        </w:trPr>
        <w:tc>
          <w:tcPr>
            <w:tcW w:w="2695" w:type="dxa"/>
          </w:tcPr>
          <w:p w14:paraId="463C0AB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8745C3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in the refrigerator between 2°C and 8°C. Protect from light.</w:t>
            </w:r>
          </w:p>
        </w:tc>
      </w:tr>
      <w:tr w:rsidR="005D59D6" w:rsidRPr="00F10C37" w14:paraId="4FAF7EE1" w14:textId="77777777" w:rsidTr="002D6DD7">
        <w:trPr>
          <w:jc w:val="center"/>
        </w:trPr>
        <w:tc>
          <w:tcPr>
            <w:tcW w:w="9705" w:type="dxa"/>
            <w:gridSpan w:val="2"/>
          </w:tcPr>
          <w:p w14:paraId="5E0A641C"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Cisplatin</w:t>
            </w:r>
          </w:p>
        </w:tc>
      </w:tr>
      <w:tr w:rsidR="005D59D6" w:rsidRPr="00F10C37" w14:paraId="7CE68732" w14:textId="77777777" w:rsidTr="002D6DD7">
        <w:trPr>
          <w:jc w:val="center"/>
        </w:trPr>
        <w:tc>
          <w:tcPr>
            <w:tcW w:w="2695" w:type="dxa"/>
          </w:tcPr>
          <w:p w14:paraId="1AA36F7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AF8913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platinum analog.</w:t>
            </w:r>
          </w:p>
        </w:tc>
      </w:tr>
      <w:tr w:rsidR="005D59D6" w:rsidRPr="00F10C37" w14:paraId="39F4B103" w14:textId="77777777" w:rsidTr="002D6DD7">
        <w:trPr>
          <w:jc w:val="center"/>
        </w:trPr>
        <w:tc>
          <w:tcPr>
            <w:tcW w:w="2695" w:type="dxa"/>
          </w:tcPr>
          <w:p w14:paraId="32DD822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6D7B94F" w14:textId="77777777" w:rsidR="005D59D6" w:rsidRPr="00F10C37" w:rsidRDefault="005D59D6" w:rsidP="002D6DD7">
            <w:pPr>
              <w:widowControl w:val="0"/>
              <w:tabs>
                <w:tab w:val="left" w:pos="818"/>
                <w:tab w:val="left" w:pos="819"/>
                <w:tab w:val="left" w:pos="4581"/>
              </w:tabs>
              <w:autoSpaceDE w:val="0"/>
              <w:autoSpaceDN w:val="0"/>
              <w:jc w:val="both"/>
              <w:rPr>
                <w:rFonts w:eastAsia="Arial" w:cs="Times New Roman"/>
                <w:szCs w:val="24"/>
              </w:rPr>
            </w:pPr>
            <w:r w:rsidRPr="00F10C37">
              <w:rPr>
                <w:rFonts w:eastAsia="Arial" w:cs="Times New Roman"/>
                <w:szCs w:val="24"/>
              </w:rPr>
              <w:t xml:space="preserve">Injection: 10 mg/10 </w:t>
            </w:r>
            <w:r>
              <w:rPr>
                <w:rFonts w:eastAsia="Arial" w:cs="Times New Roman"/>
                <w:szCs w:val="24"/>
              </w:rPr>
              <w:t>ml</w:t>
            </w:r>
            <w:r w:rsidRPr="00F10C37">
              <w:rPr>
                <w:rFonts w:eastAsia="Arial" w:cs="Times New Roman"/>
                <w:szCs w:val="24"/>
              </w:rPr>
              <w:t xml:space="preserve">, 20 mg/20 </w:t>
            </w:r>
            <w:r>
              <w:rPr>
                <w:rFonts w:eastAsia="Arial" w:cs="Times New Roman"/>
                <w:szCs w:val="24"/>
              </w:rPr>
              <w:t>ml</w:t>
            </w:r>
            <w:r w:rsidRPr="00F10C37">
              <w:rPr>
                <w:rFonts w:eastAsia="Arial" w:cs="Times New Roman"/>
                <w:szCs w:val="24"/>
              </w:rPr>
              <w:t xml:space="preserve">, 50 mg/50 </w:t>
            </w:r>
            <w:r>
              <w:rPr>
                <w:rFonts w:eastAsia="Arial" w:cs="Times New Roman"/>
                <w:szCs w:val="24"/>
              </w:rPr>
              <w:t>ml</w:t>
            </w:r>
            <w:r w:rsidRPr="00F10C37">
              <w:rPr>
                <w:rFonts w:eastAsia="Arial" w:cs="Times New Roman"/>
                <w:szCs w:val="24"/>
              </w:rPr>
              <w:t>,</w:t>
            </w:r>
          </w:p>
          <w:p w14:paraId="4CECF80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szCs w:val="24"/>
              </w:rPr>
              <w:t xml:space="preserve">100 mg/100 </w:t>
            </w:r>
            <w:r>
              <w:rPr>
                <w:rFonts w:eastAsia="Calibri" w:cs="Times New Roman"/>
                <w:szCs w:val="24"/>
              </w:rPr>
              <w:t>ml</w:t>
            </w:r>
          </w:p>
        </w:tc>
      </w:tr>
      <w:tr w:rsidR="005D59D6" w:rsidRPr="00F10C37" w14:paraId="101EA6FD" w14:textId="77777777" w:rsidTr="002D6DD7">
        <w:trPr>
          <w:jc w:val="center"/>
        </w:trPr>
        <w:tc>
          <w:tcPr>
            <w:tcW w:w="2695" w:type="dxa"/>
          </w:tcPr>
          <w:p w14:paraId="7B3792F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1E0DBD2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Testicular cancer, ovarian cancer, bladder cancer, head and neck cancer, oesophageal cancer, SCLC and NSCLC, NHL and Neuroblastoma (in paediatric patients)</w:t>
            </w:r>
          </w:p>
        </w:tc>
      </w:tr>
      <w:tr w:rsidR="005D59D6" w:rsidRPr="00F10C37" w14:paraId="0B67A47F" w14:textId="77777777" w:rsidTr="002D6DD7">
        <w:trPr>
          <w:jc w:val="center"/>
        </w:trPr>
        <w:tc>
          <w:tcPr>
            <w:tcW w:w="2695" w:type="dxa"/>
          </w:tcPr>
          <w:p w14:paraId="02F8EA44"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23FE89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Ovarian cancer</w:t>
            </w:r>
            <w:r w:rsidRPr="00F10C37">
              <w:rPr>
                <w:rFonts w:eastAsia="Calibri" w:cs="Times New Roman"/>
                <w:color w:val="000000" w:themeColor="text1"/>
                <w:szCs w:val="24"/>
              </w:rPr>
              <w:t>: 75-100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 1 every 21 days as part of the cisplatin/paclitaxel regimen, and 100 mg/m2 on day 1 every 21 days as part of the cisplatin/cyclophosphamide regimen.</w:t>
            </w:r>
          </w:p>
          <w:p w14:paraId="08CA404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Testicular cancer:  </w:t>
            </w:r>
            <w:r w:rsidRPr="00F10C37">
              <w:rPr>
                <w:rFonts w:eastAsia="Calibri" w:cs="Times New Roman"/>
                <w:color w:val="000000" w:themeColor="text1"/>
                <w:szCs w:val="24"/>
              </w:rPr>
              <w:t>20-50 mg/m²/day IV for 5 days, repeated every 21 days.</w:t>
            </w:r>
          </w:p>
          <w:p w14:paraId="520F907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NSCLC</w:t>
            </w:r>
            <w:r w:rsidRPr="00F10C37">
              <w:rPr>
                <w:rFonts w:eastAsia="Calibri" w:cs="Times New Roman"/>
                <w:color w:val="000000" w:themeColor="text1"/>
                <w:szCs w:val="24"/>
              </w:rPr>
              <w:t>: 60–100 mg/m2 IV on day 1 every 21 days as part of the cisplatin/etoposide or cisplatin/gemcitabine regimens.</w:t>
            </w:r>
          </w:p>
          <w:p w14:paraId="3A27294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Head and neck cancer</w:t>
            </w:r>
            <w:r w:rsidRPr="00F10C37">
              <w:rPr>
                <w:rFonts w:eastAsia="Calibri" w:cs="Times New Roman"/>
                <w:color w:val="000000" w:themeColor="text1"/>
                <w:szCs w:val="24"/>
              </w:rPr>
              <w:t>: 20 mg/m2 /day IV continuous infusion for 4 days.</w:t>
            </w:r>
          </w:p>
        </w:tc>
      </w:tr>
      <w:tr w:rsidR="005D59D6" w:rsidRPr="00F10C37" w14:paraId="0ACE1B00" w14:textId="77777777" w:rsidTr="002D6DD7">
        <w:trPr>
          <w:jc w:val="center"/>
        </w:trPr>
        <w:tc>
          <w:tcPr>
            <w:tcW w:w="2695" w:type="dxa"/>
          </w:tcPr>
          <w:p w14:paraId="221E60D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02762DF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or other platinum analogue</w:t>
            </w:r>
            <w:r>
              <w:rPr>
                <w:rFonts w:eastAsia="Calibri" w:cs="Times New Roman"/>
                <w:color w:val="000000" w:themeColor="text1"/>
                <w:szCs w:val="24"/>
              </w:rPr>
              <w:t>, s</w:t>
            </w:r>
            <w:r w:rsidRPr="00F10C37">
              <w:rPr>
                <w:rFonts w:eastAsia="Calibri" w:cs="Times New Roman"/>
                <w:color w:val="000000" w:themeColor="text1"/>
                <w:szCs w:val="24"/>
              </w:rPr>
              <w:t xml:space="preserve">evere renal impairment (CrCl &lt;40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3EEB2E28" w14:textId="77777777" w:rsidTr="002D6DD7">
        <w:trPr>
          <w:jc w:val="center"/>
        </w:trPr>
        <w:tc>
          <w:tcPr>
            <w:tcW w:w="2695" w:type="dxa"/>
          </w:tcPr>
          <w:p w14:paraId="1FEE804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1BBD0EB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Phenytoin, aminoglycosides, amphotericin B, etoposide, methotrexate, ifosfamide, bleomycin, paclitaxel.  </w:t>
            </w:r>
          </w:p>
        </w:tc>
      </w:tr>
      <w:tr w:rsidR="005D59D6" w:rsidRPr="00F10C37" w14:paraId="6CCBE8FB" w14:textId="77777777" w:rsidTr="002D6DD7">
        <w:trPr>
          <w:jc w:val="center"/>
        </w:trPr>
        <w:tc>
          <w:tcPr>
            <w:tcW w:w="2695" w:type="dxa"/>
          </w:tcPr>
          <w:p w14:paraId="5F568D4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tcPr>
          <w:p w14:paraId="1676F61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Anaemia, arrhythmias, bone marrow failure, electrolyte imbalance, </w:t>
            </w:r>
            <w:r w:rsidRPr="00F10C37">
              <w:rPr>
                <w:rFonts w:eastAsia="Calibri" w:cs="Times New Roman"/>
                <w:color w:val="000000" w:themeColor="text1"/>
                <w:szCs w:val="24"/>
              </w:rPr>
              <w:lastRenderedPageBreak/>
              <w:t>extravasation, necrosis, fever, leucopenia, nephrotoxicity,</w:t>
            </w:r>
            <w:r>
              <w:rPr>
                <w:rFonts w:eastAsia="Calibri" w:cs="Times New Roman"/>
                <w:color w:val="000000" w:themeColor="text1"/>
                <w:szCs w:val="24"/>
              </w:rPr>
              <w:t xml:space="preserve"> </w:t>
            </w:r>
            <w:r w:rsidRPr="00F10C37">
              <w:rPr>
                <w:rFonts w:eastAsia="Calibri" w:cs="Times New Roman"/>
                <w:color w:val="000000" w:themeColor="text1"/>
                <w:szCs w:val="24"/>
              </w:rPr>
              <w:t xml:space="preserve">sepsis, thrombocytopenia, anaphylactoid reaction, ototoxicity, </w:t>
            </w:r>
            <w:r>
              <w:rPr>
                <w:rFonts w:eastAsia="Calibri" w:cs="Times New Roman"/>
                <w:color w:val="000000" w:themeColor="text1"/>
                <w:szCs w:val="24"/>
              </w:rPr>
              <w:t xml:space="preserve">abnormal </w:t>
            </w:r>
            <w:r w:rsidRPr="00F10C37">
              <w:rPr>
                <w:rFonts w:eastAsia="Calibri" w:cs="Times New Roman"/>
                <w:color w:val="000000" w:themeColor="text1"/>
                <w:szCs w:val="24"/>
              </w:rPr>
              <w:t>spermatogenesis.</w:t>
            </w:r>
          </w:p>
        </w:tc>
      </w:tr>
      <w:tr w:rsidR="005D59D6" w:rsidRPr="00F10C37" w14:paraId="7E23287E" w14:textId="77777777" w:rsidTr="002D6DD7">
        <w:trPr>
          <w:jc w:val="center"/>
        </w:trPr>
        <w:tc>
          <w:tcPr>
            <w:tcW w:w="2695" w:type="dxa"/>
          </w:tcPr>
          <w:p w14:paraId="65B5E57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0E30B88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Abnormal renal function</w:t>
            </w:r>
            <w:r>
              <w:rPr>
                <w:rFonts w:eastAsia="Calibri" w:cs="Times New Roman"/>
                <w:color w:val="000000" w:themeColor="text1"/>
                <w:szCs w:val="24"/>
              </w:rPr>
              <w:t>, h</w:t>
            </w:r>
            <w:r w:rsidRPr="00F10C37">
              <w:rPr>
                <w:rFonts w:eastAsia="Calibri" w:cs="Times New Roman"/>
                <w:color w:val="000000" w:themeColor="text1"/>
                <w:szCs w:val="24"/>
              </w:rPr>
              <w:t>earing impairment or pre-existing peripheral neuropathy, aluminium needles.</w:t>
            </w:r>
          </w:p>
        </w:tc>
      </w:tr>
      <w:tr w:rsidR="005D59D6" w:rsidRPr="00F10C37" w14:paraId="6FE9286E" w14:textId="77777777" w:rsidTr="002D6DD7">
        <w:trPr>
          <w:jc w:val="center"/>
        </w:trPr>
        <w:tc>
          <w:tcPr>
            <w:tcW w:w="2695" w:type="dxa"/>
          </w:tcPr>
          <w:p w14:paraId="25D55EB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5A040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between 15 °C and </w:t>
            </w:r>
            <w:r>
              <w:rPr>
                <w:rFonts w:eastAsia="Calibri" w:cs="Times New Roman"/>
                <w:color w:val="000000" w:themeColor="text1"/>
                <w:szCs w:val="24"/>
              </w:rPr>
              <w:t>30</w:t>
            </w:r>
            <w:r w:rsidRPr="00F10C37">
              <w:rPr>
                <w:rFonts w:eastAsia="Calibri" w:cs="Times New Roman"/>
                <w:color w:val="000000" w:themeColor="text1"/>
                <w:szCs w:val="24"/>
              </w:rPr>
              <w:t>°C. Protect from light.</w:t>
            </w:r>
          </w:p>
        </w:tc>
      </w:tr>
      <w:tr w:rsidR="005D59D6" w:rsidRPr="00F10C37" w14:paraId="2E8188BB" w14:textId="77777777" w:rsidTr="002D6DD7">
        <w:trPr>
          <w:jc w:val="center"/>
        </w:trPr>
        <w:tc>
          <w:tcPr>
            <w:tcW w:w="9705" w:type="dxa"/>
            <w:gridSpan w:val="2"/>
            <w:shd w:val="clear" w:color="auto" w:fill="auto"/>
          </w:tcPr>
          <w:p w14:paraId="5EC108F5"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Cyclophosphamide</w:t>
            </w:r>
          </w:p>
        </w:tc>
      </w:tr>
      <w:tr w:rsidR="005D59D6" w:rsidRPr="00F10C37" w14:paraId="5A57C2CE" w14:textId="77777777" w:rsidTr="002D6DD7">
        <w:trPr>
          <w:jc w:val="center"/>
        </w:trPr>
        <w:tc>
          <w:tcPr>
            <w:tcW w:w="2695" w:type="dxa"/>
            <w:shd w:val="clear" w:color="auto" w:fill="auto"/>
          </w:tcPr>
          <w:p w14:paraId="3A672CB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shd w:val="clear" w:color="auto" w:fill="auto"/>
          </w:tcPr>
          <w:p w14:paraId="232B974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Alkylating agent, nitrogen mustard</w:t>
            </w:r>
          </w:p>
        </w:tc>
      </w:tr>
      <w:tr w:rsidR="005D59D6" w:rsidRPr="00F10C37" w14:paraId="4BDAB2A3" w14:textId="77777777" w:rsidTr="002D6DD7">
        <w:trPr>
          <w:jc w:val="center"/>
        </w:trPr>
        <w:tc>
          <w:tcPr>
            <w:tcW w:w="2695" w:type="dxa"/>
            <w:shd w:val="clear" w:color="auto" w:fill="auto"/>
          </w:tcPr>
          <w:p w14:paraId="73D9394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shd w:val="clear" w:color="auto" w:fill="auto"/>
          </w:tcPr>
          <w:p w14:paraId="6F76DD23" w14:textId="77777777" w:rsidR="005D59D6" w:rsidRPr="00F10C37" w:rsidRDefault="005D59D6" w:rsidP="002D6DD7">
            <w:pPr>
              <w:widowControl w:val="0"/>
              <w:tabs>
                <w:tab w:val="left" w:pos="818"/>
                <w:tab w:val="left" w:pos="819"/>
                <w:tab w:val="left" w:pos="4581"/>
              </w:tabs>
              <w:autoSpaceDE w:val="0"/>
              <w:autoSpaceDN w:val="0"/>
              <w:jc w:val="both"/>
              <w:rPr>
                <w:rFonts w:eastAsia="Arial" w:cs="Times New Roman"/>
                <w:szCs w:val="24"/>
              </w:rPr>
            </w:pPr>
            <w:r w:rsidRPr="00F10C37">
              <w:rPr>
                <w:rFonts w:eastAsia="Arial" w:cs="Times New Roman"/>
                <w:szCs w:val="24"/>
              </w:rPr>
              <w:t>Powder for injection: 200mg, 500mg, 1000mg, 2000mg in vial.</w:t>
            </w:r>
          </w:p>
          <w:p w14:paraId="3E0E763C"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Capsule/Tablet: 25mg, 50 mg</w:t>
            </w:r>
          </w:p>
        </w:tc>
      </w:tr>
      <w:tr w:rsidR="005D59D6" w:rsidRPr="00F10C37" w14:paraId="04C697AD" w14:textId="77777777" w:rsidTr="002D6DD7">
        <w:trPr>
          <w:jc w:val="center"/>
        </w:trPr>
        <w:tc>
          <w:tcPr>
            <w:tcW w:w="2695" w:type="dxa"/>
            <w:shd w:val="clear" w:color="auto" w:fill="auto"/>
          </w:tcPr>
          <w:p w14:paraId="20040510"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shd w:val="clear" w:color="auto" w:fill="auto"/>
          </w:tcPr>
          <w:p w14:paraId="5542F5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Breast cancer, NHL, CLL, </w:t>
            </w:r>
            <w:r>
              <w:rPr>
                <w:rFonts w:eastAsia="Calibri" w:cs="Times New Roman"/>
                <w:color w:val="000000" w:themeColor="text1"/>
                <w:szCs w:val="24"/>
              </w:rPr>
              <w:t>o</w:t>
            </w:r>
            <w:r w:rsidRPr="00F10C37">
              <w:rPr>
                <w:rFonts w:eastAsia="Calibri" w:cs="Times New Roman"/>
                <w:color w:val="000000" w:themeColor="text1"/>
                <w:szCs w:val="24"/>
              </w:rPr>
              <w:t xml:space="preserve">varian cancer, </w:t>
            </w:r>
            <w:r>
              <w:rPr>
                <w:rFonts w:eastAsia="Calibri" w:cs="Times New Roman"/>
                <w:color w:val="000000" w:themeColor="text1"/>
                <w:szCs w:val="24"/>
              </w:rPr>
              <w:t>b</w:t>
            </w:r>
            <w:r w:rsidRPr="00F10C37">
              <w:rPr>
                <w:rFonts w:eastAsia="Calibri" w:cs="Times New Roman"/>
                <w:color w:val="000000" w:themeColor="text1"/>
                <w:szCs w:val="24"/>
              </w:rPr>
              <w:t xml:space="preserve">one and soft tissue sarcoma, </w:t>
            </w:r>
            <w:r>
              <w:rPr>
                <w:rFonts w:eastAsia="Calibri" w:cs="Times New Roman"/>
                <w:color w:val="000000" w:themeColor="text1"/>
                <w:szCs w:val="24"/>
              </w:rPr>
              <w:t>r</w:t>
            </w:r>
            <w:r w:rsidRPr="00F10C37">
              <w:rPr>
                <w:rFonts w:eastAsia="Calibri" w:cs="Times New Roman"/>
                <w:color w:val="000000" w:themeColor="text1"/>
                <w:szCs w:val="24"/>
              </w:rPr>
              <w:t xml:space="preserve">habdomyosarcoma, </w:t>
            </w:r>
            <w:r>
              <w:rPr>
                <w:rFonts w:eastAsia="Calibri" w:cs="Times New Roman"/>
                <w:color w:val="000000" w:themeColor="text1"/>
                <w:szCs w:val="24"/>
              </w:rPr>
              <w:t>n</w:t>
            </w:r>
            <w:r w:rsidRPr="00F10C37">
              <w:rPr>
                <w:rFonts w:eastAsia="Calibri" w:cs="Times New Roman"/>
                <w:color w:val="000000" w:themeColor="text1"/>
                <w:szCs w:val="24"/>
              </w:rPr>
              <w:t>euroblastoma and Wilms’ tumor.</w:t>
            </w:r>
          </w:p>
        </w:tc>
      </w:tr>
      <w:tr w:rsidR="005D59D6" w:rsidRPr="00F10C37" w14:paraId="42FB5BDA" w14:textId="77777777" w:rsidTr="002D6DD7">
        <w:trPr>
          <w:jc w:val="center"/>
        </w:trPr>
        <w:tc>
          <w:tcPr>
            <w:tcW w:w="2695" w:type="dxa"/>
            <w:shd w:val="clear" w:color="auto" w:fill="auto"/>
          </w:tcPr>
          <w:p w14:paraId="51B58703"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shd w:val="clear" w:color="auto" w:fill="auto"/>
          </w:tcPr>
          <w:p w14:paraId="3C095CA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Breast cancer</w:t>
            </w:r>
            <w:r w:rsidRPr="00F10C37">
              <w:rPr>
                <w:rFonts w:eastAsia="Calibri" w:cs="Times New Roman"/>
                <w:color w:val="000000" w:themeColor="text1"/>
                <w:szCs w:val="24"/>
              </w:rPr>
              <w:t>: 100 mg/m2 PO on days 1–14 given every 28 days. 600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given every 21 days as part of the AC or CMF regimens.</w:t>
            </w:r>
          </w:p>
          <w:p w14:paraId="4E342EF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NHL</w:t>
            </w:r>
            <w:r w:rsidRPr="00F10C37">
              <w:rPr>
                <w:rFonts w:eastAsia="Calibri" w:cs="Times New Roman"/>
                <w:color w:val="000000" w:themeColor="text1"/>
                <w:szCs w:val="24"/>
              </w:rPr>
              <w:t>: 400–600 mg/m2 IV on day 1 every 21 days, as part of the CVP regimen, and 750 mg/m2 on day 1 every 21 days, as part of the CHOP regimen.</w:t>
            </w:r>
          </w:p>
        </w:tc>
      </w:tr>
      <w:tr w:rsidR="005D59D6" w:rsidRPr="00F10C37" w14:paraId="51839B72" w14:textId="77777777" w:rsidTr="002D6DD7">
        <w:trPr>
          <w:jc w:val="center"/>
        </w:trPr>
        <w:tc>
          <w:tcPr>
            <w:tcW w:w="2695" w:type="dxa"/>
            <w:shd w:val="clear" w:color="auto" w:fill="auto"/>
          </w:tcPr>
          <w:p w14:paraId="3FFFA00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shd w:val="clear" w:color="auto" w:fill="auto"/>
          </w:tcPr>
          <w:p w14:paraId="4CAADA40"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P</w:t>
            </w:r>
            <w:r w:rsidRPr="00F10C37">
              <w:rPr>
                <w:rFonts w:eastAsia="Calibri" w:cs="Times New Roman"/>
                <w:color w:val="000000" w:themeColor="text1"/>
                <w:szCs w:val="24"/>
              </w:rPr>
              <w:t xml:space="preserve">regnancy, breastfeeding, and severe renal impairment (creatinine clearance &lt; 40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74B66E5D" w14:textId="77777777" w:rsidTr="002D6DD7">
        <w:trPr>
          <w:jc w:val="center"/>
        </w:trPr>
        <w:tc>
          <w:tcPr>
            <w:tcW w:w="2695" w:type="dxa"/>
            <w:shd w:val="clear" w:color="auto" w:fill="auto"/>
          </w:tcPr>
          <w:p w14:paraId="40EF483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shd w:val="clear" w:color="auto" w:fill="auto"/>
          </w:tcPr>
          <w:p w14:paraId="36B2641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Phenobarbital, phenytoin, and other drugs that stimulate the liver P450 enzyme, anticoagulants, digoxin, doxorubicin, allopurinol. </w:t>
            </w:r>
          </w:p>
        </w:tc>
      </w:tr>
      <w:tr w:rsidR="005D59D6" w:rsidRPr="00F10C37" w14:paraId="1AE1F59C" w14:textId="77777777" w:rsidTr="002D6DD7">
        <w:trPr>
          <w:jc w:val="center"/>
        </w:trPr>
        <w:tc>
          <w:tcPr>
            <w:tcW w:w="2695" w:type="dxa"/>
            <w:shd w:val="clear" w:color="auto" w:fill="auto"/>
          </w:tcPr>
          <w:p w14:paraId="15B4E5D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57E22CE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Agranulocytosis, alopecia, anaemia, asthenia, bone marrow disorders, cystitis, decreased leucocytes, fever, haemolytic uraemic syndrome, haemorrhage, hepatic disorders, immunosuppression, increased risk of infection, mucosal abnormalities, neutropenia, progressive multifocal leukoencephalopathy (P</w:t>
            </w:r>
            <w:r>
              <w:rPr>
                <w:rFonts w:eastAsia="Calibri" w:cs="Times New Roman"/>
                <w:color w:val="000000" w:themeColor="text1"/>
                <w:szCs w:val="24"/>
              </w:rPr>
              <w:t>ML</w:t>
            </w:r>
            <w:r w:rsidRPr="00F10C37">
              <w:rPr>
                <w:rFonts w:eastAsia="Calibri" w:cs="Times New Roman"/>
                <w:color w:val="000000" w:themeColor="text1"/>
                <w:szCs w:val="24"/>
              </w:rPr>
              <w:t xml:space="preserve">), reactivation of infections, sperm abnormalities, thrombocytopenia, appetite decreased, embolism and thrombosis, flushing, hypersensitivity, ovarian and fallopian tube disorders, sepsis. </w:t>
            </w:r>
          </w:p>
        </w:tc>
      </w:tr>
      <w:tr w:rsidR="005D59D6" w:rsidRPr="00F10C37" w14:paraId="5384FDC8" w14:textId="77777777" w:rsidTr="002D6DD7">
        <w:trPr>
          <w:jc w:val="center"/>
        </w:trPr>
        <w:tc>
          <w:tcPr>
            <w:tcW w:w="2695" w:type="dxa"/>
            <w:shd w:val="clear" w:color="auto" w:fill="auto"/>
          </w:tcPr>
          <w:p w14:paraId="69982B0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shd w:val="clear" w:color="auto" w:fill="auto"/>
          </w:tcPr>
          <w:p w14:paraId="0DB77EB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Acute porphyrias, diabetes mellitus, haemorrhagic cystitis, previous or concurrent mediastinal irradiation, abnormal renal function.</w:t>
            </w:r>
          </w:p>
        </w:tc>
      </w:tr>
      <w:tr w:rsidR="005D59D6" w:rsidRPr="00F10C37" w14:paraId="6927C1DD" w14:textId="77777777" w:rsidTr="002D6DD7">
        <w:trPr>
          <w:jc w:val="center"/>
        </w:trPr>
        <w:tc>
          <w:tcPr>
            <w:tcW w:w="2695" w:type="dxa"/>
            <w:shd w:val="clear" w:color="auto" w:fill="auto"/>
          </w:tcPr>
          <w:p w14:paraId="3008D08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shd w:val="clear" w:color="auto" w:fill="auto"/>
          </w:tcPr>
          <w:p w14:paraId="5D35847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below </w:t>
            </w:r>
            <w:r>
              <w:rPr>
                <w:rFonts w:eastAsia="Calibri" w:cs="Times New Roman"/>
                <w:color w:val="000000" w:themeColor="text1"/>
                <w:szCs w:val="24"/>
              </w:rPr>
              <w:t>30</w:t>
            </w:r>
            <w:r w:rsidRPr="00F10C37">
              <w:rPr>
                <w:rFonts w:eastAsia="Calibri" w:cs="Times New Roman"/>
                <w:color w:val="000000" w:themeColor="text1"/>
                <w:szCs w:val="24"/>
              </w:rPr>
              <w:t xml:space="preserve">°C. Protect from light and moisture. Reconstituted solutions should be stored under refrigeration in glass containers and used within 14 days. </w:t>
            </w:r>
          </w:p>
        </w:tc>
      </w:tr>
      <w:tr w:rsidR="005D59D6" w:rsidRPr="00F10C37" w14:paraId="38D1E112" w14:textId="77777777" w:rsidTr="002D6DD7">
        <w:trPr>
          <w:jc w:val="center"/>
        </w:trPr>
        <w:tc>
          <w:tcPr>
            <w:tcW w:w="9705" w:type="dxa"/>
            <w:gridSpan w:val="2"/>
          </w:tcPr>
          <w:p w14:paraId="3545260F"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Cytarabine</w:t>
            </w:r>
          </w:p>
        </w:tc>
      </w:tr>
      <w:tr w:rsidR="005D59D6" w:rsidRPr="00F10C37" w14:paraId="77388F36" w14:textId="77777777" w:rsidTr="002D6DD7">
        <w:trPr>
          <w:jc w:val="center"/>
        </w:trPr>
        <w:tc>
          <w:tcPr>
            <w:tcW w:w="2695" w:type="dxa"/>
          </w:tcPr>
          <w:p w14:paraId="66B43E4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2BC6730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Antimetabolite, pyrimidine analog</w:t>
            </w:r>
          </w:p>
        </w:tc>
      </w:tr>
      <w:tr w:rsidR="005D59D6" w:rsidRPr="00F10C37" w14:paraId="7272EBDB" w14:textId="77777777" w:rsidTr="002D6DD7">
        <w:trPr>
          <w:jc w:val="center"/>
        </w:trPr>
        <w:tc>
          <w:tcPr>
            <w:tcW w:w="2695" w:type="dxa"/>
          </w:tcPr>
          <w:p w14:paraId="4FDB147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22ADBB48" w14:textId="77777777" w:rsidR="005D59D6" w:rsidRPr="00F10C37" w:rsidRDefault="005D59D6" w:rsidP="002D6DD7">
            <w:pPr>
              <w:widowControl w:val="0"/>
              <w:tabs>
                <w:tab w:val="left" w:pos="818"/>
                <w:tab w:val="left" w:pos="819"/>
                <w:tab w:val="left" w:pos="4581"/>
              </w:tabs>
              <w:autoSpaceDE w:val="0"/>
              <w:autoSpaceDN w:val="0"/>
              <w:jc w:val="both"/>
              <w:rPr>
                <w:rFonts w:eastAsia="Arial" w:cs="Times New Roman"/>
                <w:szCs w:val="24"/>
              </w:rPr>
            </w:pPr>
            <w:r w:rsidRPr="00F10C37">
              <w:rPr>
                <w:rFonts w:eastAsia="Arial" w:cs="Times New Roman"/>
                <w:szCs w:val="24"/>
              </w:rPr>
              <w:t>Tablet: 50 mg</w:t>
            </w:r>
          </w:p>
          <w:p w14:paraId="7DF671A6"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Injection: 100 mg/</w:t>
            </w:r>
            <w:r>
              <w:rPr>
                <w:rFonts w:eastAsia="Arial" w:cs="Times New Roman"/>
                <w:szCs w:val="24"/>
              </w:rPr>
              <w:t>ml</w:t>
            </w:r>
            <w:r w:rsidRPr="00F10C37">
              <w:rPr>
                <w:rFonts w:eastAsia="Arial" w:cs="Times New Roman"/>
                <w:szCs w:val="24"/>
              </w:rPr>
              <w:t xml:space="preserve"> in vial</w:t>
            </w:r>
          </w:p>
        </w:tc>
      </w:tr>
      <w:tr w:rsidR="005D59D6" w:rsidRPr="00F10C37" w14:paraId="5BD9D470" w14:textId="77777777" w:rsidTr="002D6DD7">
        <w:trPr>
          <w:jc w:val="center"/>
        </w:trPr>
        <w:tc>
          <w:tcPr>
            <w:tcW w:w="2695" w:type="dxa"/>
          </w:tcPr>
          <w:p w14:paraId="3DCF28D2"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4F5DC84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ALL, A</w:t>
            </w:r>
            <w:r>
              <w:rPr>
                <w:rFonts w:eastAsia="Calibri" w:cs="Times New Roman"/>
                <w:color w:val="000000" w:themeColor="text1"/>
                <w:szCs w:val="24"/>
              </w:rPr>
              <w:t>ML</w:t>
            </w:r>
            <w:r w:rsidRPr="00F10C37">
              <w:rPr>
                <w:rFonts w:eastAsia="Calibri" w:cs="Times New Roman"/>
                <w:color w:val="000000" w:themeColor="text1"/>
                <w:szCs w:val="24"/>
              </w:rPr>
              <w:t>, C</w:t>
            </w:r>
            <w:r>
              <w:rPr>
                <w:rFonts w:eastAsia="Calibri" w:cs="Times New Roman"/>
                <w:color w:val="000000" w:themeColor="text1"/>
                <w:szCs w:val="24"/>
              </w:rPr>
              <w:t>ML</w:t>
            </w:r>
            <w:r w:rsidRPr="00F10C37">
              <w:rPr>
                <w:rFonts w:eastAsia="Calibri" w:cs="Times New Roman"/>
                <w:color w:val="000000" w:themeColor="text1"/>
                <w:szCs w:val="24"/>
              </w:rPr>
              <w:t>, NHL and Leptomeningeal neoplasm.</w:t>
            </w:r>
          </w:p>
        </w:tc>
      </w:tr>
      <w:tr w:rsidR="005D59D6" w:rsidRPr="00F10C37" w14:paraId="2D357D37" w14:textId="77777777" w:rsidTr="002D6DD7">
        <w:trPr>
          <w:jc w:val="center"/>
        </w:trPr>
        <w:tc>
          <w:tcPr>
            <w:tcW w:w="2695" w:type="dxa"/>
          </w:tcPr>
          <w:p w14:paraId="4EB7BBCE"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9ACB5F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A</w:t>
            </w:r>
            <w:r>
              <w:rPr>
                <w:rFonts w:eastAsia="Calibri" w:cs="Times New Roman"/>
                <w:b/>
                <w:bCs/>
                <w:color w:val="000000" w:themeColor="text1"/>
                <w:szCs w:val="24"/>
              </w:rPr>
              <w:t>ML</w:t>
            </w:r>
            <w:r w:rsidRPr="00F10C37">
              <w:rPr>
                <w:rFonts w:eastAsia="Calibri" w:cs="Times New Roman"/>
                <w:b/>
                <w:bCs/>
                <w:color w:val="000000" w:themeColor="text1"/>
                <w:szCs w:val="24"/>
              </w:rPr>
              <w:t xml:space="preserve"> induction</w:t>
            </w:r>
            <w:r w:rsidRPr="00F10C37">
              <w:rPr>
                <w:rFonts w:eastAsia="Calibri" w:cs="Times New Roman"/>
                <w:color w:val="000000" w:themeColor="text1"/>
                <w:szCs w:val="24"/>
              </w:rPr>
              <w:t>: 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/day IV as a continuous IV infusion over 24 hours for days 1–7 in combination with an anthracycline as induction chemotherapy.</w:t>
            </w:r>
          </w:p>
          <w:p w14:paraId="71CE70D1" w14:textId="77777777" w:rsidR="005D59D6" w:rsidRPr="00F10C37" w:rsidRDefault="005D59D6" w:rsidP="002D6DD7">
            <w:pPr>
              <w:contextualSpacing/>
              <w:jc w:val="both"/>
              <w:rPr>
                <w:rFonts w:eastAsia="Calibri" w:cs="Times New Roman"/>
                <w:b/>
                <w:bCs/>
                <w:color w:val="000000" w:themeColor="text1"/>
                <w:szCs w:val="24"/>
              </w:rPr>
            </w:pPr>
            <w:r w:rsidRPr="00F10C37">
              <w:rPr>
                <w:rFonts w:eastAsia="Calibri" w:cs="Times New Roman"/>
                <w:b/>
                <w:bCs/>
                <w:color w:val="000000" w:themeColor="text1"/>
                <w:szCs w:val="24"/>
              </w:rPr>
              <w:t>A</w:t>
            </w:r>
            <w:r>
              <w:rPr>
                <w:rFonts w:eastAsia="Calibri" w:cs="Times New Roman"/>
                <w:b/>
                <w:bCs/>
                <w:color w:val="000000" w:themeColor="text1"/>
                <w:szCs w:val="24"/>
              </w:rPr>
              <w:t>ML</w:t>
            </w:r>
            <w:r w:rsidRPr="00F10C37">
              <w:rPr>
                <w:rFonts w:eastAsia="Calibri" w:cs="Times New Roman"/>
                <w:b/>
                <w:bCs/>
                <w:color w:val="000000" w:themeColor="text1"/>
                <w:szCs w:val="24"/>
              </w:rPr>
              <w:t xml:space="preserve"> consolidation</w:t>
            </w:r>
            <w:r w:rsidRPr="00F10C37">
              <w:rPr>
                <w:rFonts w:eastAsia="Calibri" w:cs="Times New Roman"/>
                <w:color w:val="000000" w:themeColor="text1"/>
                <w:szCs w:val="24"/>
              </w:rPr>
              <w:t xml:space="preserve">: 1.5–3.0 g/m2 IV every 12 hours for day 1, day 3 and day 5. </w:t>
            </w:r>
          </w:p>
          <w:p w14:paraId="17CAEDE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C</w:t>
            </w:r>
            <w:r>
              <w:rPr>
                <w:rFonts w:eastAsia="Calibri" w:cs="Times New Roman"/>
                <w:b/>
                <w:bCs/>
                <w:color w:val="000000" w:themeColor="text1"/>
                <w:szCs w:val="24"/>
              </w:rPr>
              <w:t>ML</w:t>
            </w:r>
            <w:r w:rsidRPr="00F10C37">
              <w:rPr>
                <w:rFonts w:eastAsia="Calibri" w:cs="Times New Roman"/>
                <w:b/>
                <w:bCs/>
                <w:color w:val="000000" w:themeColor="text1"/>
                <w:szCs w:val="24"/>
              </w:rPr>
              <w:t xml:space="preserve">: </w:t>
            </w:r>
            <w:r w:rsidRPr="00F10C37">
              <w:rPr>
                <w:rFonts w:eastAsia="Calibri" w:cs="Times New Roman"/>
                <w:color w:val="000000" w:themeColor="text1"/>
                <w:szCs w:val="24"/>
              </w:rPr>
              <w:t>20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SC for 10 days per month for 6 months, associated with IFN-α.</w:t>
            </w:r>
          </w:p>
          <w:p w14:paraId="5F1560A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Leptomeningeal neoplasm secondary to leukemia or lymphoma</w:t>
            </w:r>
            <w:r w:rsidRPr="00F10C37">
              <w:rPr>
                <w:rFonts w:eastAsia="Calibri" w:cs="Times New Roman"/>
                <w:color w:val="000000" w:themeColor="text1"/>
                <w:szCs w:val="24"/>
              </w:rPr>
              <w:t>: 10–30 mg intrathecal (IT) up to three times weekly.</w:t>
            </w:r>
          </w:p>
          <w:p w14:paraId="5229C72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ALL: </w:t>
            </w:r>
            <w:r w:rsidRPr="00F10C37">
              <w:rPr>
                <w:rFonts w:eastAsia="Calibri" w:cs="Times New Roman"/>
                <w:color w:val="000000" w:themeColor="text1"/>
                <w:szCs w:val="24"/>
              </w:rPr>
              <w:t>1-3 g/m² administered intravenously every 12 hours for 2-6 doses.</w:t>
            </w:r>
          </w:p>
          <w:p w14:paraId="27CAE164" w14:textId="77777777" w:rsidR="005D59D6" w:rsidRPr="00F10C37" w:rsidRDefault="005D59D6" w:rsidP="002D6DD7">
            <w:pPr>
              <w:contextualSpacing/>
              <w:jc w:val="both"/>
              <w:rPr>
                <w:rFonts w:eastAsia="Calibri" w:cs="Times New Roman"/>
                <w:b/>
                <w:bCs/>
                <w:color w:val="000000" w:themeColor="text1"/>
                <w:szCs w:val="24"/>
              </w:rPr>
            </w:pPr>
            <w:r w:rsidRPr="00F10C37">
              <w:rPr>
                <w:rFonts w:eastAsia="Calibri" w:cs="Times New Roman"/>
                <w:b/>
                <w:bCs/>
                <w:color w:val="000000" w:themeColor="text1"/>
                <w:szCs w:val="24"/>
              </w:rPr>
              <w:t>NHL</w:t>
            </w:r>
            <w:r w:rsidRPr="00F10C37">
              <w:rPr>
                <w:rFonts w:eastAsia="Calibri" w:cs="Times New Roman"/>
                <w:color w:val="000000" w:themeColor="text1"/>
                <w:szCs w:val="24"/>
              </w:rPr>
              <w:t>: 3 g/m² every 12 hours for 4 doses on days 1 and 2 of the cycle.</w:t>
            </w:r>
          </w:p>
        </w:tc>
      </w:tr>
      <w:tr w:rsidR="005D59D6" w:rsidRPr="00F10C37" w14:paraId="1D4BE808" w14:textId="77777777" w:rsidTr="002D6DD7">
        <w:trPr>
          <w:jc w:val="center"/>
        </w:trPr>
        <w:tc>
          <w:tcPr>
            <w:tcW w:w="2695" w:type="dxa"/>
          </w:tcPr>
          <w:p w14:paraId="7811702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5009A6A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severe renal impairment (CrCL &lt;40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78386A30" w14:textId="77777777" w:rsidTr="002D6DD7">
        <w:trPr>
          <w:jc w:val="center"/>
        </w:trPr>
        <w:tc>
          <w:tcPr>
            <w:tcW w:w="2695" w:type="dxa"/>
          </w:tcPr>
          <w:p w14:paraId="041142B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253834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Digoxin</w:t>
            </w:r>
            <w:r>
              <w:rPr>
                <w:rFonts w:eastAsia="Calibri" w:cs="Times New Roman"/>
                <w:color w:val="000000" w:themeColor="text1"/>
                <w:szCs w:val="24"/>
              </w:rPr>
              <w:t xml:space="preserve">, </w:t>
            </w:r>
            <w:r w:rsidRPr="00F10C37">
              <w:rPr>
                <w:rFonts w:eastAsia="Calibri" w:cs="Times New Roman"/>
                <w:color w:val="000000" w:themeColor="text1"/>
                <w:szCs w:val="24"/>
              </w:rPr>
              <w:t>phenytoin</w:t>
            </w:r>
            <w:r>
              <w:rPr>
                <w:rFonts w:eastAsia="Calibri" w:cs="Times New Roman"/>
                <w:color w:val="000000" w:themeColor="text1"/>
                <w:szCs w:val="24"/>
              </w:rPr>
              <w:t>,</w:t>
            </w:r>
            <w:r w:rsidRPr="00F10C37">
              <w:rPr>
                <w:rFonts w:eastAsia="Calibri" w:cs="Times New Roman"/>
                <w:color w:val="000000" w:themeColor="text1"/>
                <w:szCs w:val="24"/>
              </w:rPr>
              <w:t xml:space="preserve"> live vaccines</w:t>
            </w:r>
            <w:r>
              <w:rPr>
                <w:rFonts w:eastAsia="Calibri" w:cs="Times New Roman"/>
                <w:color w:val="000000" w:themeColor="text1"/>
                <w:szCs w:val="24"/>
              </w:rPr>
              <w:t>.</w:t>
            </w:r>
          </w:p>
        </w:tc>
      </w:tr>
      <w:tr w:rsidR="005D59D6" w:rsidRPr="00F10C37" w14:paraId="4C33913F" w14:textId="77777777" w:rsidTr="002D6DD7">
        <w:trPr>
          <w:jc w:val="center"/>
        </w:trPr>
        <w:tc>
          <w:tcPr>
            <w:tcW w:w="2695" w:type="dxa"/>
          </w:tcPr>
          <w:p w14:paraId="274E9A7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0D8897C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Myelosuppression, nausea, vomiting, diarrhoea, oral mucositis, rash, fever, elevated liver function tests, alopecia, ocular discomfort. </w:t>
            </w:r>
            <w:r>
              <w:rPr>
                <w:rFonts w:eastAsia="Calibri" w:cs="Times New Roman"/>
                <w:color w:val="000000" w:themeColor="text1"/>
                <w:szCs w:val="24"/>
              </w:rPr>
              <w:t>c</w:t>
            </w:r>
            <w:r w:rsidRPr="00F10C37">
              <w:rPr>
                <w:rFonts w:eastAsia="Calibri" w:cs="Times New Roman"/>
                <w:color w:val="000000" w:themeColor="text1"/>
                <w:szCs w:val="24"/>
              </w:rPr>
              <w:t>onjunctivitis, GI haemorrhage, oesophagitis, jaundice, dizziness, cellulitis at injection site, chest pain, urinary retention, renal impairment, and anaphylaxis, palmar-plantar erythrodysesthesia.</w:t>
            </w:r>
          </w:p>
        </w:tc>
      </w:tr>
      <w:tr w:rsidR="005D59D6" w:rsidRPr="00F10C37" w14:paraId="4B05BAA3" w14:textId="77777777" w:rsidTr="002D6DD7">
        <w:trPr>
          <w:jc w:val="center"/>
        </w:trPr>
        <w:tc>
          <w:tcPr>
            <w:tcW w:w="2695" w:type="dxa"/>
          </w:tcPr>
          <w:p w14:paraId="7158039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588D97CF" w14:textId="77777777" w:rsidR="005D59D6" w:rsidRPr="00F10C37" w:rsidRDefault="005D59D6" w:rsidP="002D6DD7">
            <w:pPr>
              <w:contextualSpacing/>
              <w:jc w:val="both"/>
              <w:rPr>
                <w:rFonts w:eastAsia="Calibri" w:cs="Times New Roman"/>
                <w:color w:val="000000" w:themeColor="text1"/>
                <w:szCs w:val="24"/>
              </w:rPr>
            </w:pPr>
            <w:r>
              <w:rPr>
                <w:rFonts w:eastAsia="Calibri" w:cs="Times New Roman"/>
                <w:color w:val="000000" w:themeColor="text1"/>
                <w:szCs w:val="24"/>
              </w:rPr>
              <w:t>M</w:t>
            </w:r>
            <w:r w:rsidRPr="00F10C37">
              <w:rPr>
                <w:rFonts w:eastAsia="Calibri" w:cs="Times New Roman"/>
                <w:color w:val="000000" w:themeColor="text1"/>
                <w:szCs w:val="24"/>
              </w:rPr>
              <w:t xml:space="preserve">yelosuppression, abnormal liver and/or renal function, alkalinization </w:t>
            </w:r>
            <w:r w:rsidRPr="00F10C37">
              <w:rPr>
                <w:rFonts w:eastAsia="Calibri" w:cs="Times New Roman"/>
                <w:color w:val="000000" w:themeColor="text1"/>
                <w:szCs w:val="24"/>
              </w:rPr>
              <w:lastRenderedPageBreak/>
              <w:t xml:space="preserve">of urine (pH &gt;7), tumor lysis syndrome, </w:t>
            </w:r>
            <w:r>
              <w:rPr>
                <w:rFonts w:eastAsia="Calibri" w:cs="Times New Roman"/>
                <w:color w:val="000000" w:themeColor="text1"/>
                <w:szCs w:val="24"/>
              </w:rPr>
              <w:t>GI disorders</w:t>
            </w:r>
            <w:r w:rsidRPr="00F10C37">
              <w:rPr>
                <w:rFonts w:eastAsia="Calibri" w:cs="Times New Roman"/>
                <w:color w:val="000000" w:themeColor="text1"/>
                <w:szCs w:val="24"/>
              </w:rPr>
              <w:t>, neurological (e.g., peripheral neuropathy, cerebral and cerebellar dysfunction) and pulmonary toxicity (e.g., cardiomyopathy, pulmonary oedema), corneal toxicity, pregnancy and breastfeeding.</w:t>
            </w:r>
          </w:p>
        </w:tc>
      </w:tr>
      <w:tr w:rsidR="005D59D6" w:rsidRPr="00F10C37" w14:paraId="2F422F6B" w14:textId="77777777" w:rsidTr="002D6DD7">
        <w:trPr>
          <w:jc w:val="center"/>
        </w:trPr>
        <w:tc>
          <w:tcPr>
            <w:tcW w:w="2695" w:type="dxa"/>
          </w:tcPr>
          <w:p w14:paraId="35D5E24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Storage condition</w:t>
            </w:r>
          </w:p>
        </w:tc>
        <w:tc>
          <w:tcPr>
            <w:tcW w:w="7010" w:type="dxa"/>
          </w:tcPr>
          <w:p w14:paraId="69564FD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between 15 °C and </w:t>
            </w:r>
            <w:r>
              <w:rPr>
                <w:rFonts w:eastAsia="Calibri" w:cs="Times New Roman"/>
                <w:color w:val="000000" w:themeColor="text1"/>
                <w:szCs w:val="24"/>
              </w:rPr>
              <w:t>30</w:t>
            </w:r>
            <w:r w:rsidRPr="00F10C37">
              <w:rPr>
                <w:rFonts w:eastAsia="Calibri" w:cs="Times New Roman"/>
                <w:color w:val="000000" w:themeColor="text1"/>
                <w:szCs w:val="24"/>
              </w:rPr>
              <w:t xml:space="preserve"> °C. Protect from light and moisture. Reconstituted solutions should be stored at 2-8 °C, but portions remaining unused after 24 hours must be discarded.</w:t>
            </w:r>
          </w:p>
        </w:tc>
      </w:tr>
      <w:tr w:rsidR="005D59D6" w:rsidRPr="00F10C37" w14:paraId="46469F84" w14:textId="77777777" w:rsidTr="002D6DD7">
        <w:trPr>
          <w:jc w:val="center"/>
        </w:trPr>
        <w:tc>
          <w:tcPr>
            <w:tcW w:w="9705" w:type="dxa"/>
            <w:gridSpan w:val="2"/>
          </w:tcPr>
          <w:p w14:paraId="1921F1D1"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Dacarbazine</w:t>
            </w:r>
          </w:p>
        </w:tc>
      </w:tr>
      <w:tr w:rsidR="005D59D6" w:rsidRPr="00F10C37" w14:paraId="17FE6319" w14:textId="77777777" w:rsidTr="002D6DD7">
        <w:trPr>
          <w:jc w:val="center"/>
        </w:trPr>
        <w:tc>
          <w:tcPr>
            <w:tcW w:w="2695" w:type="dxa"/>
          </w:tcPr>
          <w:p w14:paraId="1E62547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3D4EED9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Alkylating agent, </w:t>
            </w:r>
            <w:r>
              <w:rPr>
                <w:rFonts w:eastAsia="Calibri" w:cs="Times New Roman"/>
                <w:color w:val="000000" w:themeColor="text1"/>
                <w:szCs w:val="24"/>
              </w:rPr>
              <w:t>t</w:t>
            </w:r>
            <w:r w:rsidRPr="00F10C37">
              <w:rPr>
                <w:rFonts w:eastAsia="Calibri" w:cs="Times New Roman"/>
                <w:color w:val="000000" w:themeColor="text1"/>
                <w:szCs w:val="24"/>
              </w:rPr>
              <w:t>riazene derivative</w:t>
            </w:r>
          </w:p>
        </w:tc>
      </w:tr>
      <w:tr w:rsidR="005D59D6" w:rsidRPr="00F10C37" w14:paraId="265D5F56" w14:textId="77777777" w:rsidTr="002D6DD7">
        <w:trPr>
          <w:jc w:val="center"/>
        </w:trPr>
        <w:tc>
          <w:tcPr>
            <w:tcW w:w="2695" w:type="dxa"/>
          </w:tcPr>
          <w:p w14:paraId="152C7F5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71EDEFC"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Powder for injection: 100mg, 200 mg, 500mg in vial</w:t>
            </w:r>
          </w:p>
        </w:tc>
      </w:tr>
      <w:tr w:rsidR="005D59D6" w:rsidRPr="00F10C37" w14:paraId="6F6EC02A" w14:textId="77777777" w:rsidTr="002D6DD7">
        <w:trPr>
          <w:jc w:val="center"/>
        </w:trPr>
        <w:tc>
          <w:tcPr>
            <w:tcW w:w="2695" w:type="dxa"/>
          </w:tcPr>
          <w:p w14:paraId="671F2E6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3243D5D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Hodgkin’s lymphoma, </w:t>
            </w:r>
            <w:r>
              <w:rPr>
                <w:rFonts w:eastAsia="Calibri" w:cs="Times New Roman"/>
                <w:color w:val="000000" w:themeColor="text1"/>
                <w:szCs w:val="24"/>
              </w:rPr>
              <w:t>m</w:t>
            </w:r>
            <w:r w:rsidRPr="00F10C37">
              <w:rPr>
                <w:rFonts w:eastAsia="Calibri" w:cs="Times New Roman"/>
                <w:color w:val="000000" w:themeColor="text1"/>
                <w:szCs w:val="24"/>
              </w:rPr>
              <w:t xml:space="preserve">alignant melanoma, </w:t>
            </w:r>
            <w:r>
              <w:rPr>
                <w:rFonts w:eastAsia="Calibri" w:cs="Times New Roman"/>
                <w:color w:val="000000" w:themeColor="text1"/>
                <w:szCs w:val="24"/>
              </w:rPr>
              <w:t>s</w:t>
            </w:r>
            <w:r w:rsidRPr="00F10C37">
              <w:rPr>
                <w:rFonts w:eastAsia="Calibri" w:cs="Times New Roman"/>
                <w:color w:val="000000" w:themeColor="text1"/>
                <w:szCs w:val="24"/>
              </w:rPr>
              <w:t xml:space="preserve">oft tissue </w:t>
            </w:r>
            <w:r>
              <w:rPr>
                <w:rFonts w:eastAsia="Calibri" w:cs="Times New Roman"/>
                <w:color w:val="000000" w:themeColor="text1"/>
                <w:szCs w:val="24"/>
              </w:rPr>
              <w:t>s</w:t>
            </w:r>
            <w:r w:rsidRPr="00F10C37">
              <w:rPr>
                <w:rFonts w:eastAsia="Calibri" w:cs="Times New Roman"/>
                <w:color w:val="000000" w:themeColor="text1"/>
                <w:szCs w:val="24"/>
              </w:rPr>
              <w:t xml:space="preserve">arcomas, </w:t>
            </w:r>
            <w:r>
              <w:rPr>
                <w:rFonts w:eastAsia="Calibri" w:cs="Times New Roman"/>
                <w:color w:val="000000" w:themeColor="text1"/>
                <w:szCs w:val="24"/>
              </w:rPr>
              <w:t>n</w:t>
            </w:r>
            <w:r w:rsidRPr="00F10C37">
              <w:rPr>
                <w:rFonts w:eastAsia="Calibri" w:cs="Times New Roman"/>
                <w:color w:val="000000" w:themeColor="text1"/>
                <w:szCs w:val="24"/>
              </w:rPr>
              <w:t>euroblastoma.</w:t>
            </w:r>
          </w:p>
        </w:tc>
      </w:tr>
      <w:tr w:rsidR="005D59D6" w:rsidRPr="00F10C37" w14:paraId="2953805A" w14:textId="77777777" w:rsidTr="002D6DD7">
        <w:trPr>
          <w:jc w:val="center"/>
        </w:trPr>
        <w:tc>
          <w:tcPr>
            <w:tcW w:w="2695" w:type="dxa"/>
          </w:tcPr>
          <w:p w14:paraId="06CEF429"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C7987C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Hodgkin’s lymphoma</w:t>
            </w:r>
            <w:r w:rsidRPr="00F10C37">
              <w:rPr>
                <w:rFonts w:eastAsia="Calibri" w:cs="Times New Roman"/>
                <w:color w:val="000000" w:themeColor="text1"/>
                <w:szCs w:val="24"/>
              </w:rPr>
              <w:t>:375 mg/m2 IV on days 1 and 15 every 28 days, as part of the ABVD regimen,</w:t>
            </w:r>
          </w:p>
          <w:p w14:paraId="6D5A068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Soft tissue sarcoma</w:t>
            </w:r>
            <w:r w:rsidRPr="00F10C37">
              <w:rPr>
                <w:rFonts w:eastAsia="Calibri" w:cs="Times New Roman"/>
                <w:color w:val="000000" w:themeColor="text1"/>
                <w:szCs w:val="24"/>
              </w:rPr>
              <w:t>: 250 mg/m2/day IV continuous infusion on days 1–4 as part of the AD regimen and 750 mg/m2 IV on day 1 every 21 days as part of the CYVADIC regimen.</w:t>
            </w:r>
          </w:p>
          <w:p w14:paraId="31B935D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Melanoma: </w:t>
            </w:r>
            <w:r w:rsidRPr="00F10C37">
              <w:rPr>
                <w:rFonts w:eastAsia="Calibri" w:cs="Times New Roman"/>
                <w:color w:val="000000" w:themeColor="text1"/>
                <w:szCs w:val="24"/>
              </w:rPr>
              <w:t>As a single agent, 250 mg/m2 IV for 5 days or 800–1,000 mg/m2 IV every 3 weeks.</w:t>
            </w:r>
          </w:p>
        </w:tc>
      </w:tr>
      <w:tr w:rsidR="005D59D6" w:rsidRPr="00F10C37" w14:paraId="41B6C534" w14:textId="77777777" w:rsidTr="002D6DD7">
        <w:trPr>
          <w:jc w:val="center"/>
        </w:trPr>
        <w:tc>
          <w:tcPr>
            <w:tcW w:w="2695" w:type="dxa"/>
          </w:tcPr>
          <w:p w14:paraId="036FD13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73BA009F"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ypersensitivity</w:t>
            </w:r>
            <w:r>
              <w:rPr>
                <w:rFonts w:eastAsia="Calibri" w:cs="Times New Roman"/>
                <w:color w:val="000000" w:themeColor="text1"/>
                <w:szCs w:val="24"/>
              </w:rPr>
              <w:t xml:space="preserve"> to the drug, p</w:t>
            </w:r>
            <w:r w:rsidRPr="00F10C37">
              <w:rPr>
                <w:rFonts w:eastAsia="Calibri" w:cs="Times New Roman"/>
                <w:color w:val="000000" w:themeColor="text1"/>
                <w:szCs w:val="24"/>
              </w:rPr>
              <w:t>regnancy, breastfeeding, renal impairment, pre-existing myelosuppression, live vaccines.</w:t>
            </w:r>
          </w:p>
        </w:tc>
      </w:tr>
      <w:tr w:rsidR="005D59D6" w:rsidRPr="00F10C37" w14:paraId="0FC07344" w14:textId="77777777" w:rsidTr="002D6DD7">
        <w:trPr>
          <w:jc w:val="center"/>
        </w:trPr>
        <w:tc>
          <w:tcPr>
            <w:tcW w:w="2695" w:type="dxa"/>
          </w:tcPr>
          <w:p w14:paraId="1BB8360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04FD981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Heparin, lidocaine, hydrocortisone, phenytoin, phenobarbital. </w:t>
            </w:r>
          </w:p>
        </w:tc>
      </w:tr>
      <w:tr w:rsidR="005D59D6" w:rsidRPr="00F10C37" w14:paraId="700E12C0" w14:textId="77777777" w:rsidTr="002D6DD7">
        <w:trPr>
          <w:jc w:val="center"/>
        </w:trPr>
        <w:tc>
          <w:tcPr>
            <w:tcW w:w="2695" w:type="dxa"/>
          </w:tcPr>
          <w:p w14:paraId="6512A11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16B9C6D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Diarrhoea, flu-like syndrome (fever, myalgia, malaise), transient increases in hepatic transaminases and alkaline phosphatase (ALP), facial flushing, pain along injected vein, nausea and vomiting, agranulocytosis, blurred vision, seizures, confusion, headache, alopecia, erythematous and maculopapular rash, photosensitivity, hypotension, hepatic vein thrombosis, hepatocellular necrosis, and tissue damage due to extravasation. </w:t>
            </w:r>
          </w:p>
        </w:tc>
      </w:tr>
      <w:tr w:rsidR="005D59D6" w:rsidRPr="00F10C37" w14:paraId="7EB3CE17" w14:textId="77777777" w:rsidTr="002D6DD7">
        <w:trPr>
          <w:jc w:val="center"/>
        </w:trPr>
        <w:tc>
          <w:tcPr>
            <w:tcW w:w="2695" w:type="dxa"/>
          </w:tcPr>
          <w:p w14:paraId="66F2382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755FFE83" w14:textId="77777777" w:rsidR="005D59D6" w:rsidRPr="00F10C37" w:rsidRDefault="005D59D6" w:rsidP="002D6DD7">
            <w:pPr>
              <w:contextualSpacing/>
              <w:jc w:val="both"/>
              <w:rPr>
                <w:rFonts w:eastAsia="Calibri" w:cs="Times New Roman"/>
                <w:color w:val="000000" w:themeColor="text1"/>
                <w:szCs w:val="24"/>
              </w:rPr>
            </w:pPr>
            <w:r>
              <w:rPr>
                <w:rFonts w:eastAsia="Calibri" w:cs="Times New Roman"/>
                <w:color w:val="000000" w:themeColor="text1"/>
                <w:szCs w:val="24"/>
              </w:rPr>
              <w:t>M</w:t>
            </w:r>
            <w:r w:rsidRPr="00F10C37">
              <w:rPr>
                <w:rFonts w:eastAsia="Calibri" w:cs="Times New Roman"/>
                <w:color w:val="000000" w:themeColor="text1"/>
                <w:szCs w:val="24"/>
              </w:rPr>
              <w:t>oderate to severe hepatic and/or renal dysfunction, bone marrow suppression</w:t>
            </w:r>
            <w:r>
              <w:rPr>
                <w:rFonts w:eastAsia="Calibri" w:cs="Times New Roman"/>
                <w:color w:val="000000" w:themeColor="text1"/>
                <w:szCs w:val="24"/>
              </w:rPr>
              <w:t>.</w:t>
            </w:r>
            <w:r w:rsidRPr="00F10C37">
              <w:rPr>
                <w:rFonts w:eastAsia="Calibri" w:cs="Times New Roman"/>
                <w:color w:val="000000" w:themeColor="text1"/>
                <w:szCs w:val="24"/>
              </w:rPr>
              <w:t xml:space="preserve"> </w:t>
            </w:r>
          </w:p>
        </w:tc>
      </w:tr>
      <w:tr w:rsidR="005D59D6" w:rsidRPr="00F10C37" w14:paraId="01DBC4E4" w14:textId="77777777" w:rsidTr="002D6DD7">
        <w:trPr>
          <w:jc w:val="center"/>
        </w:trPr>
        <w:tc>
          <w:tcPr>
            <w:tcW w:w="2695" w:type="dxa"/>
          </w:tcPr>
          <w:p w14:paraId="52F634C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Storage condition</w:t>
            </w:r>
          </w:p>
        </w:tc>
        <w:tc>
          <w:tcPr>
            <w:tcW w:w="7010" w:type="dxa"/>
          </w:tcPr>
          <w:p w14:paraId="4A5389D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Store at a temperature between 2 °C and 8 °C. Protect from light and moisture. Reconstituted solutions should be stored at 4 °C for up to 72 hours only.</w:t>
            </w:r>
          </w:p>
        </w:tc>
      </w:tr>
      <w:tr w:rsidR="005D59D6" w:rsidRPr="00F10C37" w14:paraId="61654B3C" w14:textId="77777777" w:rsidTr="002D6DD7">
        <w:trPr>
          <w:jc w:val="center"/>
        </w:trPr>
        <w:tc>
          <w:tcPr>
            <w:tcW w:w="9705" w:type="dxa"/>
            <w:gridSpan w:val="2"/>
          </w:tcPr>
          <w:p w14:paraId="671D12C0"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Dactinomycin (Actinomycin-D)</w:t>
            </w:r>
            <w:r w:rsidRPr="00F10C37">
              <w:rPr>
                <w:rFonts w:cs="Times New Roman"/>
                <w:b/>
                <w:bCs/>
                <w:color w:val="000000" w:themeColor="text1"/>
                <w:szCs w:val="24"/>
              </w:rPr>
              <w:tab/>
            </w:r>
          </w:p>
        </w:tc>
      </w:tr>
      <w:tr w:rsidR="005D59D6" w:rsidRPr="00F10C37" w14:paraId="2863AB07" w14:textId="77777777" w:rsidTr="002D6DD7">
        <w:trPr>
          <w:jc w:val="center"/>
        </w:trPr>
        <w:tc>
          <w:tcPr>
            <w:tcW w:w="2695" w:type="dxa"/>
          </w:tcPr>
          <w:p w14:paraId="060414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6591E0A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antibiotic</w:t>
            </w:r>
          </w:p>
        </w:tc>
      </w:tr>
      <w:tr w:rsidR="005D59D6" w:rsidRPr="00F10C37" w14:paraId="01F909A0" w14:textId="77777777" w:rsidTr="002D6DD7">
        <w:trPr>
          <w:jc w:val="center"/>
        </w:trPr>
        <w:tc>
          <w:tcPr>
            <w:tcW w:w="2695" w:type="dxa"/>
          </w:tcPr>
          <w:p w14:paraId="12A4EEE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5C6DF912"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Powder for injection: 0.5 mg in vial</w:t>
            </w:r>
          </w:p>
        </w:tc>
      </w:tr>
      <w:tr w:rsidR="005D59D6" w:rsidRPr="00F10C37" w14:paraId="02DB97CE" w14:textId="77777777" w:rsidTr="002D6DD7">
        <w:trPr>
          <w:jc w:val="center"/>
        </w:trPr>
        <w:tc>
          <w:tcPr>
            <w:tcW w:w="2695" w:type="dxa"/>
          </w:tcPr>
          <w:p w14:paraId="49F2E9AF"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06FBBF0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Wilms tumor (nephroblastoma), </w:t>
            </w:r>
            <w:r>
              <w:rPr>
                <w:rFonts w:eastAsia="Calibri" w:cs="Times New Roman"/>
                <w:color w:val="000000" w:themeColor="text1"/>
                <w:szCs w:val="24"/>
              </w:rPr>
              <w:t>r</w:t>
            </w:r>
            <w:r w:rsidRPr="00F10C37">
              <w:rPr>
                <w:rFonts w:eastAsia="Calibri" w:cs="Times New Roman"/>
                <w:color w:val="000000" w:themeColor="text1"/>
                <w:szCs w:val="24"/>
              </w:rPr>
              <w:t xml:space="preserve">habdomyosarcoma, </w:t>
            </w:r>
            <w:r>
              <w:rPr>
                <w:rFonts w:eastAsia="Calibri" w:cs="Times New Roman"/>
                <w:color w:val="000000" w:themeColor="text1"/>
                <w:szCs w:val="24"/>
              </w:rPr>
              <w:t>g</w:t>
            </w:r>
            <w:r w:rsidRPr="00F10C37">
              <w:rPr>
                <w:rFonts w:eastAsia="Calibri" w:cs="Times New Roman"/>
                <w:color w:val="000000" w:themeColor="text1"/>
                <w:szCs w:val="24"/>
              </w:rPr>
              <w:t xml:space="preserve">erm cell tumors, </w:t>
            </w:r>
            <w:r>
              <w:rPr>
                <w:rFonts w:eastAsia="Calibri" w:cs="Times New Roman"/>
                <w:color w:val="000000" w:themeColor="text1"/>
                <w:szCs w:val="24"/>
              </w:rPr>
              <w:t>g</w:t>
            </w:r>
            <w:r w:rsidRPr="00F10C37">
              <w:rPr>
                <w:rFonts w:eastAsia="Calibri" w:cs="Times New Roman"/>
                <w:color w:val="000000" w:themeColor="text1"/>
                <w:szCs w:val="24"/>
              </w:rPr>
              <w:t>estational trophoblastic disease, Ewing sarcoma.</w:t>
            </w:r>
          </w:p>
        </w:tc>
      </w:tr>
      <w:tr w:rsidR="005D59D6" w:rsidRPr="00F10C37" w14:paraId="4B5B458F" w14:textId="77777777" w:rsidTr="002D6DD7">
        <w:trPr>
          <w:jc w:val="center"/>
        </w:trPr>
        <w:tc>
          <w:tcPr>
            <w:tcW w:w="2695" w:type="dxa"/>
          </w:tcPr>
          <w:p w14:paraId="3D5B78C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93533F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Wilms tumor, rhabdomyosarcoma, Ewing sarcoma</w:t>
            </w:r>
            <w:r w:rsidRPr="00F10C37">
              <w:rPr>
                <w:rFonts w:eastAsia="Calibri" w:cs="Times New Roman"/>
                <w:color w:val="000000" w:themeColor="text1"/>
                <w:szCs w:val="24"/>
              </w:rPr>
              <w:t>: 0.015 mg/kg/day (up to a maximum dose of 0.5 mg/day) IV on days 1–5 over 16–45 weeks, depending on the specific regimen.</w:t>
            </w:r>
          </w:p>
          <w:p w14:paraId="0916D0F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Germ cell tumors and gestational trophoblastic disease: </w:t>
            </w:r>
            <w:r w:rsidRPr="00F10C37">
              <w:rPr>
                <w:rFonts w:eastAsia="Calibri" w:cs="Times New Roman"/>
                <w:color w:val="000000" w:themeColor="text1"/>
                <w:szCs w:val="24"/>
              </w:rPr>
              <w:t>0.4–0.45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1–5 every 2–3 weeks.</w:t>
            </w:r>
          </w:p>
        </w:tc>
      </w:tr>
      <w:tr w:rsidR="005D59D6" w:rsidRPr="00F10C37" w14:paraId="02B7232E" w14:textId="77777777" w:rsidTr="002D6DD7">
        <w:trPr>
          <w:jc w:val="center"/>
        </w:trPr>
        <w:tc>
          <w:tcPr>
            <w:tcW w:w="2695" w:type="dxa"/>
          </w:tcPr>
          <w:p w14:paraId="078850C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138F7CE5" w14:textId="77777777" w:rsidR="005D59D6" w:rsidRPr="00F10C37" w:rsidRDefault="005D59D6" w:rsidP="002D6DD7">
            <w:pPr>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 xml:space="preserve">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w:t>
            </w:r>
            <w:r>
              <w:rPr>
                <w:rFonts w:eastAsia="Calibri" w:cs="Times New Roman"/>
                <w:color w:val="000000" w:themeColor="text1"/>
                <w:szCs w:val="24"/>
              </w:rPr>
              <w:t>p</w:t>
            </w:r>
            <w:r w:rsidRPr="00F10C37">
              <w:rPr>
                <w:rFonts w:eastAsia="Calibri" w:cs="Times New Roman"/>
                <w:color w:val="000000" w:themeColor="text1"/>
                <w:szCs w:val="24"/>
              </w:rPr>
              <w:t>regnancy and breastfeeding,</w:t>
            </w:r>
            <w:r>
              <w:rPr>
                <w:rFonts w:eastAsia="Calibri" w:cs="Times New Roman"/>
                <w:color w:val="000000" w:themeColor="text1"/>
                <w:szCs w:val="24"/>
              </w:rPr>
              <w:t xml:space="preserve"> </w:t>
            </w:r>
            <w:r w:rsidRPr="00F10C37">
              <w:rPr>
                <w:rFonts w:eastAsia="Calibri" w:cs="Times New Roman"/>
                <w:color w:val="000000" w:themeColor="text1"/>
                <w:szCs w:val="24"/>
              </w:rPr>
              <w:t>live vaccines, severe bone marrow suppression or bleeding disorders, patients infected with chickenpox or herpes zoster, severe generalized diseases.</w:t>
            </w:r>
          </w:p>
        </w:tc>
      </w:tr>
      <w:tr w:rsidR="005D59D6" w:rsidRPr="00F10C37" w14:paraId="5858A006" w14:textId="77777777" w:rsidTr="002D6DD7">
        <w:trPr>
          <w:jc w:val="center"/>
        </w:trPr>
        <w:tc>
          <w:tcPr>
            <w:tcW w:w="2695" w:type="dxa"/>
          </w:tcPr>
          <w:p w14:paraId="46CD41D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4B640D2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Phenytoin, radiation therapy</w:t>
            </w:r>
            <w:r>
              <w:rPr>
                <w:rFonts w:eastAsia="Calibri" w:cs="Times New Roman"/>
                <w:color w:val="000000" w:themeColor="text1"/>
                <w:szCs w:val="24"/>
              </w:rPr>
              <w:t>, vesicant</w:t>
            </w:r>
            <w:r w:rsidRPr="00F10C37">
              <w:rPr>
                <w:rFonts w:eastAsia="Calibri" w:cs="Times New Roman"/>
                <w:color w:val="000000" w:themeColor="text1"/>
                <w:szCs w:val="24"/>
              </w:rPr>
              <w:t>.</w:t>
            </w:r>
          </w:p>
        </w:tc>
      </w:tr>
      <w:tr w:rsidR="005D59D6" w:rsidRPr="00F10C37" w14:paraId="4F9F2D58" w14:textId="77777777" w:rsidTr="002D6DD7">
        <w:trPr>
          <w:jc w:val="center"/>
        </w:trPr>
        <w:tc>
          <w:tcPr>
            <w:tcW w:w="2695" w:type="dxa"/>
          </w:tcPr>
          <w:p w14:paraId="5AFFFBB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296981A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Neutropenia and thrombocytopenia, nausea and vomiting, oral mucositis, oesophagitis, pharyngitis, diarrhoea, fever, malaise, myalgia, alopecia, alopecia, hyperpigmentation of skin, erythema, and increased sensitivity to sunlight, radiation-recall reaction, extravasation, anaphylaxis, hepatotoxicity, hepatic veno-occlusive disease (common in Wilms tumour). </w:t>
            </w:r>
          </w:p>
        </w:tc>
      </w:tr>
      <w:tr w:rsidR="005D59D6" w:rsidRPr="00F10C37" w14:paraId="30F4B905" w14:textId="77777777" w:rsidTr="002D6DD7">
        <w:trPr>
          <w:jc w:val="center"/>
        </w:trPr>
        <w:tc>
          <w:tcPr>
            <w:tcW w:w="2695" w:type="dxa"/>
          </w:tcPr>
          <w:p w14:paraId="289B6EB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6DF37C4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Hepatic or biliary impairment, concurrent or previous radiotherapy,</w:t>
            </w:r>
            <w:r>
              <w:rPr>
                <w:rFonts w:eastAsia="Calibri" w:cs="Times New Roman"/>
                <w:color w:val="000000" w:themeColor="text1"/>
                <w:szCs w:val="24"/>
              </w:rPr>
              <w:t xml:space="preserve"> rapid </w:t>
            </w:r>
            <w:r w:rsidRPr="00F10C37">
              <w:rPr>
                <w:rFonts w:eastAsia="Calibri" w:cs="Times New Roman"/>
                <w:color w:val="000000" w:themeColor="text1"/>
                <w:szCs w:val="24"/>
              </w:rPr>
              <w:t>administration, sun exposure.</w:t>
            </w:r>
          </w:p>
        </w:tc>
      </w:tr>
      <w:tr w:rsidR="005D59D6" w:rsidRPr="00F10C37" w14:paraId="40FC00C4" w14:textId="77777777" w:rsidTr="002D6DD7">
        <w:trPr>
          <w:jc w:val="center"/>
        </w:trPr>
        <w:tc>
          <w:tcPr>
            <w:tcW w:w="2695" w:type="dxa"/>
          </w:tcPr>
          <w:p w14:paraId="376AB1E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1337065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Store between 20-</w:t>
            </w:r>
            <w:r>
              <w:rPr>
                <w:rFonts w:eastAsia="Calibri" w:cs="Times New Roman"/>
                <w:color w:val="000000" w:themeColor="text1"/>
                <w:szCs w:val="24"/>
              </w:rPr>
              <w:t>30</w:t>
            </w:r>
            <w:r w:rsidRPr="00F10C37">
              <w:rPr>
                <w:rFonts w:eastAsia="Calibri" w:cs="Times New Roman"/>
                <w:color w:val="000000" w:themeColor="text1"/>
                <w:szCs w:val="24"/>
              </w:rPr>
              <w:t xml:space="preserve"> °C. Protect from light and </w:t>
            </w:r>
            <w:r>
              <w:rPr>
                <w:rFonts w:eastAsia="Calibri" w:cs="Times New Roman"/>
                <w:color w:val="000000" w:themeColor="text1"/>
                <w:szCs w:val="24"/>
              </w:rPr>
              <w:t>moisture</w:t>
            </w:r>
            <w:r w:rsidRPr="00F10C37">
              <w:rPr>
                <w:rFonts w:eastAsia="Calibri" w:cs="Times New Roman"/>
                <w:color w:val="000000" w:themeColor="text1"/>
                <w:szCs w:val="24"/>
              </w:rPr>
              <w:t>.</w:t>
            </w:r>
          </w:p>
        </w:tc>
      </w:tr>
      <w:tr w:rsidR="005D59D6" w:rsidRPr="00F10C37" w14:paraId="4F699029" w14:textId="77777777" w:rsidTr="002D6DD7">
        <w:trPr>
          <w:jc w:val="center"/>
        </w:trPr>
        <w:tc>
          <w:tcPr>
            <w:tcW w:w="9705" w:type="dxa"/>
            <w:gridSpan w:val="2"/>
          </w:tcPr>
          <w:p w14:paraId="1EB63705" w14:textId="77777777" w:rsidR="005D59D6" w:rsidRPr="00F10C37" w:rsidRDefault="005D59D6" w:rsidP="002D6DD7">
            <w:pPr>
              <w:jc w:val="both"/>
              <w:rPr>
                <w:rFonts w:eastAsia="Calibri" w:cs="Times New Roman"/>
                <w:b/>
                <w:bCs/>
                <w:color w:val="000000" w:themeColor="text1"/>
                <w:szCs w:val="24"/>
              </w:rPr>
            </w:pPr>
            <w:r w:rsidRPr="00F10C37">
              <w:rPr>
                <w:rFonts w:cs="Times New Roman"/>
                <w:b/>
                <w:bCs/>
                <w:color w:val="000000" w:themeColor="text1"/>
                <w:szCs w:val="24"/>
              </w:rPr>
              <w:t>Daunomycin hydrochloride (Daunorubicin)</w:t>
            </w:r>
          </w:p>
        </w:tc>
      </w:tr>
      <w:tr w:rsidR="005D59D6" w:rsidRPr="00F10C37" w14:paraId="7FF596B6" w14:textId="77777777" w:rsidTr="002D6DD7">
        <w:trPr>
          <w:jc w:val="center"/>
        </w:trPr>
        <w:tc>
          <w:tcPr>
            <w:tcW w:w="2695" w:type="dxa"/>
          </w:tcPr>
          <w:p w14:paraId="1FCC4A7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7B517B5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anthracycline antibiotic</w:t>
            </w:r>
          </w:p>
        </w:tc>
      </w:tr>
      <w:tr w:rsidR="005D59D6" w:rsidRPr="00F10C37" w14:paraId="051319B2" w14:textId="77777777" w:rsidTr="002D6DD7">
        <w:trPr>
          <w:jc w:val="center"/>
        </w:trPr>
        <w:tc>
          <w:tcPr>
            <w:tcW w:w="2695" w:type="dxa"/>
          </w:tcPr>
          <w:p w14:paraId="0BA3C9B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257E463A"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20 mg, 50 mg (as hydrochloride) in vial</w:t>
            </w:r>
          </w:p>
          <w:p w14:paraId="7858E340"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lastRenderedPageBreak/>
              <w:t>Injection: 2 mg/</w:t>
            </w:r>
            <w:r>
              <w:rPr>
                <w:rFonts w:eastAsia="Arial" w:cs="Times New Roman"/>
                <w:szCs w:val="24"/>
              </w:rPr>
              <w:t>ml</w:t>
            </w:r>
            <w:r w:rsidRPr="00F10C37">
              <w:rPr>
                <w:rFonts w:eastAsia="Arial" w:cs="Times New Roman"/>
                <w:szCs w:val="24"/>
              </w:rPr>
              <w:t>, 5 mg/</w:t>
            </w:r>
            <w:r>
              <w:rPr>
                <w:rFonts w:eastAsia="Arial" w:cs="Times New Roman"/>
                <w:szCs w:val="24"/>
              </w:rPr>
              <w:t>ml</w:t>
            </w:r>
            <w:r w:rsidRPr="00F10C37">
              <w:rPr>
                <w:rFonts w:eastAsia="Arial" w:cs="Times New Roman"/>
                <w:szCs w:val="24"/>
              </w:rPr>
              <w:t xml:space="preserve"> (as hydrochloride) in vial.</w:t>
            </w:r>
          </w:p>
        </w:tc>
      </w:tr>
      <w:tr w:rsidR="005D59D6" w:rsidRPr="00F10C37" w14:paraId="09708C2D" w14:textId="77777777" w:rsidTr="002D6DD7">
        <w:trPr>
          <w:jc w:val="center"/>
        </w:trPr>
        <w:tc>
          <w:tcPr>
            <w:tcW w:w="2695" w:type="dxa"/>
          </w:tcPr>
          <w:p w14:paraId="48CD767D"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lastRenderedPageBreak/>
              <w:t>Indications</w:t>
            </w:r>
          </w:p>
        </w:tc>
        <w:tc>
          <w:tcPr>
            <w:tcW w:w="7010" w:type="dxa"/>
          </w:tcPr>
          <w:p w14:paraId="0D47756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w:t>
            </w:r>
            <w:r>
              <w:rPr>
                <w:rFonts w:eastAsia="Calibri" w:cs="Times New Roman"/>
                <w:color w:val="000000" w:themeColor="text1"/>
                <w:szCs w:val="24"/>
              </w:rPr>
              <w:t>ML</w:t>
            </w:r>
            <w:r w:rsidRPr="00F10C37">
              <w:rPr>
                <w:rFonts w:eastAsia="Calibri" w:cs="Times New Roman"/>
                <w:color w:val="000000" w:themeColor="text1"/>
                <w:szCs w:val="24"/>
              </w:rPr>
              <w:t xml:space="preserve">, ALL, Kaposi’s sarcoma </w:t>
            </w:r>
          </w:p>
        </w:tc>
      </w:tr>
      <w:tr w:rsidR="005D59D6" w:rsidRPr="00F10C37" w14:paraId="5E26D84C" w14:textId="77777777" w:rsidTr="002D6DD7">
        <w:trPr>
          <w:jc w:val="center"/>
        </w:trPr>
        <w:tc>
          <w:tcPr>
            <w:tcW w:w="2695" w:type="dxa"/>
          </w:tcPr>
          <w:p w14:paraId="3DBE48F4"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80191B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A</w:t>
            </w:r>
            <w:r>
              <w:rPr>
                <w:rFonts w:eastAsia="Calibri" w:cs="Times New Roman"/>
                <w:b/>
                <w:bCs/>
                <w:color w:val="000000" w:themeColor="text1"/>
                <w:szCs w:val="24"/>
              </w:rPr>
              <w:t>ML</w:t>
            </w:r>
            <w:r w:rsidRPr="00F10C37">
              <w:rPr>
                <w:rFonts w:eastAsia="Calibri" w:cs="Times New Roman"/>
                <w:b/>
                <w:bCs/>
                <w:color w:val="000000" w:themeColor="text1"/>
                <w:szCs w:val="24"/>
              </w:rPr>
              <w:t xml:space="preserve">: </w:t>
            </w:r>
            <w:r w:rsidRPr="00F10C37">
              <w:rPr>
                <w:rFonts w:eastAsia="Calibri" w:cs="Times New Roman"/>
                <w:color w:val="000000" w:themeColor="text1"/>
                <w:szCs w:val="24"/>
              </w:rPr>
              <w:t>45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1–3 of the first course of induction therapy and on days 1 and 2 of subsequent courses. Used in combination with continuous infusion Cytarabine</w:t>
            </w:r>
          </w:p>
          <w:p w14:paraId="7F408BA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ALL: </w:t>
            </w:r>
            <w:r w:rsidRPr="00F10C37">
              <w:rPr>
                <w:rFonts w:eastAsia="Calibri" w:cs="Times New Roman"/>
                <w:color w:val="000000" w:themeColor="text1"/>
                <w:szCs w:val="24"/>
              </w:rPr>
              <w:t>45 mg/m2 IV on days 1–3 in combination with vincristine, prednisone, and L-asparaginase.</w:t>
            </w:r>
          </w:p>
          <w:p w14:paraId="6A3A3B8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Single agent—40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2 weeks.</w:t>
            </w:r>
          </w:p>
          <w:p w14:paraId="570B0E0C" w14:textId="77777777" w:rsidR="005D59D6" w:rsidRPr="00F10C37" w:rsidRDefault="005D59D6" w:rsidP="002D6DD7">
            <w:pPr>
              <w:contextualSpacing/>
              <w:jc w:val="both"/>
              <w:rPr>
                <w:rFonts w:eastAsia="Calibri" w:cs="Times New Roman"/>
                <w:b/>
                <w:bCs/>
                <w:color w:val="000000" w:themeColor="text1"/>
                <w:szCs w:val="24"/>
              </w:rPr>
            </w:pPr>
            <w:r w:rsidRPr="00F10C37">
              <w:rPr>
                <w:rFonts w:eastAsia="Calibri" w:cs="Times New Roman"/>
                <w:b/>
                <w:bCs/>
                <w:color w:val="000000" w:themeColor="text1"/>
                <w:szCs w:val="24"/>
              </w:rPr>
              <w:t xml:space="preserve">Kaposi’s sarcoma: </w:t>
            </w:r>
            <w:r w:rsidRPr="00F10C37">
              <w:rPr>
                <w:rFonts w:eastAsia="Calibri" w:cs="Times New Roman"/>
                <w:color w:val="000000" w:themeColor="text1"/>
                <w:szCs w:val="24"/>
              </w:rPr>
              <w:t>20-40mg/ 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every 2-3 weeks.</w:t>
            </w:r>
          </w:p>
        </w:tc>
      </w:tr>
      <w:tr w:rsidR="005D59D6" w:rsidRPr="00F10C37" w14:paraId="46C93CA2" w14:textId="77777777" w:rsidTr="002D6DD7">
        <w:trPr>
          <w:jc w:val="center"/>
        </w:trPr>
        <w:tc>
          <w:tcPr>
            <w:tcW w:w="2695" w:type="dxa"/>
          </w:tcPr>
          <w:p w14:paraId="1344B1B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4D6214E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or any anthracyclines, congestive heart failure, left ventricular ejection fraction &lt; 30–40%, arrhythmias, pre-existing bone marrow suppression or bleeding disorders.</w:t>
            </w:r>
          </w:p>
        </w:tc>
      </w:tr>
      <w:tr w:rsidR="005D59D6" w:rsidRPr="00F10C37" w14:paraId="0C695327" w14:textId="77777777" w:rsidTr="002D6DD7">
        <w:trPr>
          <w:jc w:val="center"/>
        </w:trPr>
        <w:tc>
          <w:tcPr>
            <w:tcW w:w="2695" w:type="dxa"/>
          </w:tcPr>
          <w:p w14:paraId="3127F4B6" w14:textId="77777777" w:rsidR="005D59D6" w:rsidRPr="00F10C37" w:rsidRDefault="005D59D6" w:rsidP="002D6DD7">
            <w:pPr>
              <w:jc w:val="both"/>
              <w:rPr>
                <w:rFonts w:eastAsia="Calibri" w:cs="Times New Roman"/>
                <w:color w:val="000000" w:themeColor="text1"/>
                <w:szCs w:val="24"/>
                <w:highlight w:val="yellow"/>
              </w:rPr>
            </w:pPr>
            <w:r w:rsidRPr="00F10C37">
              <w:rPr>
                <w:rFonts w:eastAsia="Calibri" w:cs="Times New Roman"/>
                <w:color w:val="000000" w:themeColor="text1"/>
                <w:szCs w:val="24"/>
              </w:rPr>
              <w:t>Drug interactions</w:t>
            </w:r>
          </w:p>
        </w:tc>
        <w:tc>
          <w:tcPr>
            <w:tcW w:w="7010" w:type="dxa"/>
          </w:tcPr>
          <w:p w14:paraId="64E3A622" w14:textId="77777777" w:rsidR="005D59D6" w:rsidRPr="00F10C37" w:rsidRDefault="005D59D6" w:rsidP="002D6DD7">
            <w:pPr>
              <w:contextualSpacing/>
              <w:jc w:val="both"/>
              <w:rPr>
                <w:rFonts w:eastAsia="Calibri" w:cs="Times New Roman"/>
                <w:color w:val="000000" w:themeColor="text1"/>
                <w:szCs w:val="24"/>
                <w:highlight w:val="yellow"/>
              </w:rPr>
            </w:pPr>
            <w:r w:rsidRPr="00F10C37">
              <w:rPr>
                <w:rFonts w:eastAsia="Calibri" w:cs="Times New Roman"/>
                <w:color w:val="000000" w:themeColor="text1"/>
                <w:szCs w:val="24"/>
              </w:rPr>
              <w:t>Cyclophosphamide, dexrazoxane, dexamethasone, heparin methotrexate, phenytoin, live vaccines, and radiation therapy.</w:t>
            </w:r>
          </w:p>
        </w:tc>
      </w:tr>
      <w:tr w:rsidR="005D59D6" w:rsidRPr="00F10C37" w14:paraId="453007DB" w14:textId="77777777" w:rsidTr="002D6DD7">
        <w:trPr>
          <w:jc w:val="center"/>
        </w:trPr>
        <w:tc>
          <w:tcPr>
            <w:tcW w:w="2695" w:type="dxa"/>
          </w:tcPr>
          <w:p w14:paraId="3FA7A8C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1E01C6B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Abdominal pain, alopecia, amenorrhoea, anaemia, arrhythmias, ascites, atrioventricular block, azoospermia, bone marrow disorders, cardiac inflammation, cardiomyopathy, chills, congestive heart failure, cyanosis,  death, dehydration, diarrhoea, dyspnoea, extravasation necrosis, fever flushing, gastrointestinal disorders, haemorrhage, hepatomegaly, hyperpyrexia, hyperuricaemia, hypoxia, infection, ischaemic heart disease, leucopenia, mucositis, myocardial infarction, nail discolouration, nausea, nephropathy, neutropenia, oedema, pain, paraesthesia, pleural effusion, radiation injuries, shock, skin reactions, stomatitis, thrombocytopenia, thrombophlebitis, urine discolouration, venous sclerosis, vomiting. </w:t>
            </w:r>
          </w:p>
        </w:tc>
      </w:tr>
      <w:tr w:rsidR="005D59D6" w:rsidRPr="00F10C37" w14:paraId="6F39041B" w14:textId="77777777" w:rsidTr="002D6DD7">
        <w:trPr>
          <w:jc w:val="center"/>
        </w:trPr>
        <w:tc>
          <w:tcPr>
            <w:tcW w:w="2695" w:type="dxa"/>
          </w:tcPr>
          <w:p w14:paraId="5EAA460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454E7DB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Irritant to tissues, neutrophil count less than 1500/mm3, hepatic impairment, renal impairment, cardiac disease, reduced cardiac reserve or treatment with other cardiotoxic drugs, previous treatment to maximum cumulative dose with another anthracycline, sun exposure, pregnancy and breastfeeding.</w:t>
            </w:r>
          </w:p>
        </w:tc>
      </w:tr>
      <w:tr w:rsidR="005D59D6" w:rsidRPr="00F10C37" w14:paraId="7BB6B8D3" w14:textId="77777777" w:rsidTr="002D6DD7">
        <w:trPr>
          <w:jc w:val="center"/>
        </w:trPr>
        <w:tc>
          <w:tcPr>
            <w:tcW w:w="2695" w:type="dxa"/>
          </w:tcPr>
          <w:p w14:paraId="795F75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5E3D962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below 30 °C. Protect from light and moisture. Store at 2 °C – </w:t>
            </w:r>
            <w:r w:rsidRPr="00F10C37">
              <w:rPr>
                <w:rFonts w:eastAsia="Calibri" w:cs="Times New Roman"/>
                <w:color w:val="000000" w:themeColor="text1"/>
                <w:szCs w:val="24"/>
              </w:rPr>
              <w:lastRenderedPageBreak/>
              <w:t>8 °C after reconstitution.</w:t>
            </w:r>
          </w:p>
        </w:tc>
      </w:tr>
      <w:tr w:rsidR="005D59D6" w:rsidRPr="00F10C37" w14:paraId="670F04CB" w14:textId="77777777" w:rsidTr="002D6DD7">
        <w:trPr>
          <w:jc w:val="center"/>
        </w:trPr>
        <w:tc>
          <w:tcPr>
            <w:tcW w:w="9705" w:type="dxa"/>
            <w:gridSpan w:val="2"/>
          </w:tcPr>
          <w:p w14:paraId="2BDD6240"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lastRenderedPageBreak/>
              <w:t>Docetaxel</w:t>
            </w:r>
          </w:p>
        </w:tc>
      </w:tr>
      <w:tr w:rsidR="005D59D6" w:rsidRPr="00F10C37" w14:paraId="3D0D1A04" w14:textId="77777777" w:rsidTr="002D6DD7">
        <w:trPr>
          <w:jc w:val="center"/>
        </w:trPr>
        <w:tc>
          <w:tcPr>
            <w:tcW w:w="2695" w:type="dxa"/>
          </w:tcPr>
          <w:p w14:paraId="4637CDE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65E27E1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taxane</w:t>
            </w:r>
          </w:p>
        </w:tc>
      </w:tr>
      <w:tr w:rsidR="005D59D6" w:rsidRPr="00F10C37" w14:paraId="2971C085" w14:textId="77777777" w:rsidTr="002D6DD7">
        <w:trPr>
          <w:jc w:val="center"/>
        </w:trPr>
        <w:tc>
          <w:tcPr>
            <w:tcW w:w="2695" w:type="dxa"/>
          </w:tcPr>
          <w:p w14:paraId="3AABF27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1822927"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Injection: 20mg/</w:t>
            </w:r>
            <w:r>
              <w:rPr>
                <w:rFonts w:eastAsia="Arial" w:cs="Times New Roman"/>
                <w:szCs w:val="24"/>
              </w:rPr>
              <w:t>ml</w:t>
            </w:r>
            <w:r w:rsidRPr="00F10C37">
              <w:rPr>
                <w:rFonts w:eastAsia="Arial" w:cs="Times New Roman"/>
                <w:szCs w:val="24"/>
              </w:rPr>
              <w:t>, 40 mg/</w:t>
            </w:r>
            <w:r>
              <w:rPr>
                <w:rFonts w:eastAsia="Arial" w:cs="Times New Roman"/>
                <w:szCs w:val="24"/>
              </w:rPr>
              <w:t>ml</w:t>
            </w:r>
          </w:p>
        </w:tc>
      </w:tr>
      <w:tr w:rsidR="005D59D6" w:rsidRPr="00F10C37" w14:paraId="0370B8DE" w14:textId="77777777" w:rsidTr="002D6DD7">
        <w:trPr>
          <w:jc w:val="center"/>
        </w:trPr>
        <w:tc>
          <w:tcPr>
            <w:tcW w:w="2695" w:type="dxa"/>
          </w:tcPr>
          <w:p w14:paraId="0BF371D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15629EBF" w14:textId="77777777" w:rsidR="005D59D6" w:rsidRPr="00F10C37" w:rsidRDefault="005D59D6" w:rsidP="002D6DD7">
            <w:pPr>
              <w:tabs>
                <w:tab w:val="center" w:pos="2039"/>
              </w:tabs>
              <w:contextualSpacing/>
              <w:jc w:val="both"/>
              <w:rPr>
                <w:rFonts w:eastAsia="Calibri" w:cs="Times New Roman"/>
                <w:color w:val="000000" w:themeColor="text1"/>
                <w:szCs w:val="24"/>
              </w:rPr>
            </w:pPr>
            <w:r w:rsidRPr="00F10C37">
              <w:rPr>
                <w:rFonts w:eastAsia="Calibri" w:cs="Times New Roman"/>
                <w:color w:val="000000" w:themeColor="text1"/>
                <w:szCs w:val="24"/>
              </w:rPr>
              <w:t>Breast cancer, lung cancer, prostate cancer, gastric cancer, head and neck cancer, refractory ovarian cancer, eosophageal cancer.</w:t>
            </w:r>
          </w:p>
        </w:tc>
      </w:tr>
      <w:tr w:rsidR="005D59D6" w:rsidRPr="00F10C37" w14:paraId="689A224A" w14:textId="77777777" w:rsidTr="002D6DD7">
        <w:trPr>
          <w:jc w:val="center"/>
        </w:trPr>
        <w:tc>
          <w:tcPr>
            <w:tcW w:w="2695" w:type="dxa"/>
          </w:tcPr>
          <w:p w14:paraId="1670C7F6"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FB3DB6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Breast cancer</w:t>
            </w:r>
            <w:r w:rsidRPr="00F10C37">
              <w:rPr>
                <w:rFonts w:eastAsia="Calibri" w:cs="Times New Roman"/>
                <w:color w:val="000000" w:themeColor="text1"/>
                <w:szCs w:val="24"/>
              </w:rPr>
              <w:t>: 60 -100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3 weeks or 35–40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weekly for 3 weeks with 1-week rest as single agent </w:t>
            </w:r>
          </w:p>
          <w:p w14:paraId="31F47FE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Breast cancer</w:t>
            </w:r>
            <w:r w:rsidRPr="00F10C37">
              <w:rPr>
                <w:rFonts w:eastAsia="Calibri" w:cs="Times New Roman"/>
                <w:color w:val="000000" w:themeColor="text1"/>
                <w:szCs w:val="24"/>
              </w:rPr>
              <w:t>: 75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3 weeks in combination with cyclophosphamide and doxorubicin for adjuvant therapy.</w:t>
            </w:r>
          </w:p>
          <w:p w14:paraId="0BDC262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NSCLC:</w:t>
            </w:r>
            <w:r w:rsidRPr="00F10C37">
              <w:rPr>
                <w:rFonts w:eastAsia="Calibri" w:cs="Times New Roman"/>
                <w:color w:val="000000" w:themeColor="text1"/>
                <w:szCs w:val="24"/>
              </w:rPr>
              <w:t>75 mg/m2 IV every 3 weeks or 35–40 mg/m2 IV weekly for 3 weeks with 1-week rest after platinum-based chemotherapy.</w:t>
            </w:r>
          </w:p>
          <w:p w14:paraId="17AF659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NSCLC</w:t>
            </w:r>
            <w:r w:rsidRPr="00F10C37">
              <w:rPr>
                <w:rFonts w:eastAsia="Calibri" w:cs="Times New Roman"/>
                <w:color w:val="000000" w:themeColor="text1"/>
                <w:szCs w:val="24"/>
              </w:rPr>
              <w:t>: 75 mg/m2 IV every 3 weeks in combination with cisplatin in patients who have not received prior chemotherapy</w:t>
            </w:r>
          </w:p>
          <w:p w14:paraId="3ED9A5D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Metastatic prostate cancer: </w:t>
            </w:r>
            <w:r w:rsidRPr="00F10C37">
              <w:rPr>
                <w:rFonts w:eastAsia="Calibri" w:cs="Times New Roman"/>
                <w:color w:val="000000" w:themeColor="text1"/>
                <w:szCs w:val="24"/>
              </w:rPr>
              <w:t>75 mg/m2 IV every 3 weeks in combination with prednisone.</w:t>
            </w:r>
          </w:p>
          <w:p w14:paraId="3EBB8A8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Advanced gastric cancer</w:t>
            </w:r>
            <w:r w:rsidRPr="00F10C37">
              <w:rPr>
                <w:rFonts w:eastAsia="Calibri" w:cs="Times New Roman"/>
                <w:color w:val="000000" w:themeColor="text1"/>
                <w:szCs w:val="24"/>
              </w:rPr>
              <w:t>:75 mg/m2 IV every 3 weeks in combination with cisplatin and 5-F</w:t>
            </w:r>
            <w:r>
              <w:rPr>
                <w:rFonts w:eastAsia="Calibri" w:cs="Times New Roman"/>
                <w:color w:val="000000" w:themeColor="text1"/>
                <w:szCs w:val="24"/>
              </w:rPr>
              <w:t>U.</w:t>
            </w:r>
          </w:p>
          <w:p w14:paraId="3BBE7F6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Head and neck cancer</w:t>
            </w:r>
            <w:r w:rsidRPr="00F10C37">
              <w:rPr>
                <w:rFonts w:eastAsia="Calibri" w:cs="Times New Roman"/>
                <w:color w:val="000000" w:themeColor="text1"/>
                <w:szCs w:val="24"/>
              </w:rPr>
              <w:t>: 75 mg/m2 IV every 3 weeks in combination with cisplatin and 5-FU for induction therapy of locally advanced disease</w:t>
            </w:r>
          </w:p>
          <w:p w14:paraId="162AD097" w14:textId="77777777" w:rsidR="005D59D6" w:rsidRPr="00F10C37" w:rsidRDefault="005D59D6" w:rsidP="002D6DD7">
            <w:pPr>
              <w:contextualSpacing/>
              <w:jc w:val="both"/>
              <w:rPr>
                <w:rFonts w:eastAsia="Calibri" w:cs="Times New Roman"/>
                <w:color w:val="000000" w:themeColor="text1"/>
                <w:szCs w:val="24"/>
              </w:rPr>
            </w:pPr>
            <w:r w:rsidRPr="003D3E3A">
              <w:rPr>
                <w:rFonts w:eastAsia="Calibri" w:cs="Times New Roman"/>
                <w:b/>
                <w:color w:val="000000" w:themeColor="text1"/>
                <w:szCs w:val="24"/>
              </w:rPr>
              <w:t xml:space="preserve">Refractory ovarian cancer: </w:t>
            </w:r>
            <w:r w:rsidRPr="003D3E3A">
              <w:rPr>
                <w:rFonts w:eastAsia="Calibri" w:cs="Times New Roman"/>
                <w:color w:val="000000" w:themeColor="text1"/>
                <w:szCs w:val="24"/>
              </w:rPr>
              <w:t>60mg/m2 in combination with carboplatin</w:t>
            </w:r>
          </w:p>
          <w:p w14:paraId="0390E47C" w14:textId="77777777" w:rsidR="005D59D6" w:rsidRPr="00F10C37" w:rsidRDefault="005D59D6" w:rsidP="002D6DD7">
            <w:pPr>
              <w:contextualSpacing/>
              <w:jc w:val="both"/>
              <w:rPr>
                <w:rFonts w:eastAsia="Calibri" w:cs="Times New Roman"/>
                <w:color w:val="000000" w:themeColor="text1"/>
                <w:szCs w:val="24"/>
              </w:rPr>
            </w:pPr>
            <w:r w:rsidRPr="003D3E3A">
              <w:rPr>
                <w:rFonts w:eastAsia="Calibri" w:cs="Times New Roman"/>
                <w:b/>
                <w:color w:val="000000" w:themeColor="text1"/>
                <w:szCs w:val="24"/>
              </w:rPr>
              <w:t>Eosophageal cancer:</w:t>
            </w:r>
            <w:r w:rsidRPr="00F10C37">
              <w:rPr>
                <w:rFonts w:eastAsia="Calibri" w:cs="Times New Roman"/>
                <w:b/>
                <w:color w:val="000000" w:themeColor="text1"/>
                <w:szCs w:val="24"/>
              </w:rPr>
              <w:t xml:space="preserve"> </w:t>
            </w:r>
            <w:r w:rsidRPr="003D3E3A">
              <w:rPr>
                <w:rFonts w:eastAsia="Calibri" w:cs="Times New Roman"/>
                <w:color w:val="000000" w:themeColor="text1"/>
                <w:szCs w:val="24"/>
              </w:rPr>
              <w:t>7</w:t>
            </w:r>
            <w:r w:rsidRPr="00F10C37">
              <w:rPr>
                <w:rFonts w:eastAsia="Calibri" w:cs="Times New Roman"/>
                <w:color w:val="000000" w:themeColor="text1"/>
                <w:szCs w:val="24"/>
              </w:rPr>
              <w:t xml:space="preserve">5mg/m2 on day 1 and day 22 in combination with cisplatin </w:t>
            </w:r>
          </w:p>
        </w:tc>
      </w:tr>
      <w:tr w:rsidR="005D59D6" w:rsidRPr="00F10C37" w14:paraId="0FDE99FC" w14:textId="77777777" w:rsidTr="002D6DD7">
        <w:trPr>
          <w:jc w:val="center"/>
        </w:trPr>
        <w:tc>
          <w:tcPr>
            <w:tcW w:w="2695" w:type="dxa"/>
          </w:tcPr>
          <w:p w14:paraId="7C22686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4F0BB9A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w:t>
            </w:r>
            <w:r>
              <w:rPr>
                <w:rFonts w:eastAsia="Calibri" w:cs="Times New Roman"/>
                <w:color w:val="000000" w:themeColor="text1"/>
                <w:szCs w:val="24"/>
              </w:rPr>
              <w:t>to the drug</w:t>
            </w:r>
            <w:r w:rsidRPr="00F10C37">
              <w:rPr>
                <w:rFonts w:eastAsia="Calibri" w:cs="Times New Roman"/>
                <w:color w:val="000000" w:themeColor="text1"/>
                <w:szCs w:val="24"/>
              </w:rPr>
              <w:t xml:space="preserve"> and/or polysorbate 80, severe hepatic impairment or baseline neutrophil counts less than 1,500 cells/mm</w:t>
            </w:r>
            <w:r w:rsidRPr="00F10C37">
              <w:rPr>
                <w:rFonts w:eastAsia="Calibri" w:cs="Times New Roman"/>
                <w:color w:val="000000" w:themeColor="text1"/>
                <w:szCs w:val="24"/>
                <w:vertAlign w:val="superscript"/>
              </w:rPr>
              <w:t>3</w:t>
            </w:r>
            <w:r w:rsidRPr="00F10C37">
              <w:rPr>
                <w:rFonts w:eastAsia="Calibri" w:cs="Times New Roman"/>
                <w:color w:val="000000" w:themeColor="text1"/>
                <w:szCs w:val="24"/>
              </w:rPr>
              <w:t>, and acute Porphyrias.</w:t>
            </w:r>
          </w:p>
        </w:tc>
      </w:tr>
      <w:tr w:rsidR="005D59D6" w:rsidRPr="00F10C37" w14:paraId="3F811DA1" w14:textId="77777777" w:rsidTr="002D6DD7">
        <w:trPr>
          <w:jc w:val="center"/>
        </w:trPr>
        <w:tc>
          <w:tcPr>
            <w:tcW w:w="2695" w:type="dxa"/>
          </w:tcPr>
          <w:p w14:paraId="69C6093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6D5DB8A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Radiation therapy, cyclosporine, ketoconazole, and erythromycin </w:t>
            </w:r>
          </w:p>
        </w:tc>
      </w:tr>
      <w:tr w:rsidR="005D59D6" w:rsidRPr="00F10C37" w14:paraId="75D5D305" w14:textId="77777777" w:rsidTr="002D6DD7">
        <w:trPr>
          <w:jc w:val="center"/>
        </w:trPr>
        <w:tc>
          <w:tcPr>
            <w:tcW w:w="2695" w:type="dxa"/>
          </w:tcPr>
          <w:p w14:paraId="575A903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485B68F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Abdominal pain, alopecia, anaemia, appetite decreased, arrhythmia, arthralgia, asthenia, constipation, diarrhoea, dyspnoea, fluid </w:t>
            </w:r>
            <w:r w:rsidRPr="00F10C37">
              <w:rPr>
                <w:rFonts w:eastAsia="Calibri" w:cs="Times New Roman"/>
                <w:color w:val="000000" w:themeColor="text1"/>
                <w:szCs w:val="24"/>
              </w:rPr>
              <w:lastRenderedPageBreak/>
              <w:t>imbalance, haemorrhage, hypersensitivity, hypertension, hypotension, increased risk of infection, myalgia, nail disorders, nausea, neutropenia</w:t>
            </w:r>
            <w:r>
              <w:rPr>
                <w:rFonts w:eastAsia="Calibri" w:cs="Times New Roman"/>
                <w:color w:val="000000" w:themeColor="text1"/>
                <w:szCs w:val="24"/>
              </w:rPr>
              <w:t>,</w:t>
            </w:r>
            <w:r w:rsidRPr="00F10C37">
              <w:rPr>
                <w:rFonts w:eastAsia="Calibri" w:cs="Times New Roman"/>
                <w:color w:val="000000" w:themeColor="text1"/>
                <w:szCs w:val="24"/>
              </w:rPr>
              <w:t xml:space="preserve"> peripheral neuropathy, sepsis, skin reactions, stomatitis, taste altered, thrombocytopenia, vomiting, GI disorders, heart failure. </w:t>
            </w:r>
          </w:p>
        </w:tc>
      </w:tr>
      <w:tr w:rsidR="005D59D6" w:rsidRPr="00F10C37" w14:paraId="70662DAD" w14:textId="77777777" w:rsidTr="002D6DD7">
        <w:trPr>
          <w:jc w:val="center"/>
        </w:trPr>
        <w:tc>
          <w:tcPr>
            <w:tcW w:w="2695" w:type="dxa"/>
          </w:tcPr>
          <w:p w14:paraId="270D4F1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44A105B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Abnormal liver function, fluid retention</w:t>
            </w:r>
            <w:r>
              <w:rPr>
                <w:rFonts w:eastAsia="Calibri" w:cs="Times New Roman"/>
                <w:color w:val="000000" w:themeColor="text1"/>
                <w:szCs w:val="24"/>
              </w:rPr>
              <w:t>,</w:t>
            </w:r>
            <w:r w:rsidRPr="00F10C37">
              <w:rPr>
                <w:rFonts w:eastAsia="Calibri" w:cs="Times New Roman"/>
                <w:color w:val="000000" w:themeColor="text1"/>
                <w:szCs w:val="24"/>
              </w:rPr>
              <w:t xml:space="preserve"> pregnancy and breastfeeding. </w:t>
            </w:r>
          </w:p>
        </w:tc>
      </w:tr>
      <w:tr w:rsidR="005D59D6" w:rsidRPr="00F10C37" w14:paraId="6F678159" w14:textId="77777777" w:rsidTr="002D6DD7">
        <w:trPr>
          <w:jc w:val="center"/>
        </w:trPr>
        <w:tc>
          <w:tcPr>
            <w:tcW w:w="2695" w:type="dxa"/>
          </w:tcPr>
          <w:p w14:paraId="1AF3360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Storage </w:t>
            </w:r>
          </w:p>
        </w:tc>
        <w:tc>
          <w:tcPr>
            <w:tcW w:w="7010" w:type="dxa"/>
          </w:tcPr>
          <w:p w14:paraId="7F6C0E2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w:t>
            </w:r>
            <w:r>
              <w:rPr>
                <w:rFonts w:eastAsia="Calibri" w:cs="Times New Roman"/>
                <w:color w:val="000000" w:themeColor="text1"/>
                <w:szCs w:val="24"/>
              </w:rPr>
              <w:t>between</w:t>
            </w:r>
            <w:r w:rsidRPr="00F10C37">
              <w:rPr>
                <w:rFonts w:eastAsia="Calibri" w:cs="Times New Roman"/>
                <w:color w:val="000000" w:themeColor="text1"/>
                <w:szCs w:val="24"/>
              </w:rPr>
              <w:t xml:space="preserve"> 15</w:t>
            </w:r>
            <w:r>
              <w:rPr>
                <w:rFonts w:eastAsia="Calibri" w:cs="Times New Roman"/>
                <w:color w:val="000000" w:themeColor="text1"/>
                <w:szCs w:val="24"/>
              </w:rPr>
              <w:t xml:space="preserve"> and 30</w:t>
            </w:r>
            <w:r w:rsidRPr="00F10C37">
              <w:rPr>
                <w:rFonts w:eastAsia="Calibri" w:cs="Times New Roman"/>
                <w:color w:val="000000" w:themeColor="text1"/>
                <w:szCs w:val="24"/>
              </w:rPr>
              <w:t>°C. Store multiple-dose vials for up to 28 days. Protect from light.</w:t>
            </w:r>
          </w:p>
        </w:tc>
      </w:tr>
      <w:tr w:rsidR="005D59D6" w:rsidRPr="00F10C37" w14:paraId="7B18019F" w14:textId="77777777" w:rsidTr="002D6DD7">
        <w:trPr>
          <w:jc w:val="center"/>
        </w:trPr>
        <w:tc>
          <w:tcPr>
            <w:tcW w:w="9705" w:type="dxa"/>
            <w:gridSpan w:val="2"/>
          </w:tcPr>
          <w:p w14:paraId="70DA205A"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Doxorubicin</w:t>
            </w:r>
          </w:p>
        </w:tc>
      </w:tr>
      <w:tr w:rsidR="005D59D6" w:rsidRPr="00F10C37" w14:paraId="6B92BC0B" w14:textId="77777777" w:rsidTr="002D6DD7">
        <w:trPr>
          <w:jc w:val="center"/>
        </w:trPr>
        <w:tc>
          <w:tcPr>
            <w:tcW w:w="2695" w:type="dxa"/>
          </w:tcPr>
          <w:p w14:paraId="6303246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A975B3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anthracycline antibiotic</w:t>
            </w:r>
          </w:p>
        </w:tc>
      </w:tr>
      <w:tr w:rsidR="005D59D6" w:rsidRPr="00F10C37" w14:paraId="244FF316" w14:textId="77777777" w:rsidTr="002D6DD7">
        <w:trPr>
          <w:jc w:val="center"/>
        </w:trPr>
        <w:tc>
          <w:tcPr>
            <w:tcW w:w="2695" w:type="dxa"/>
          </w:tcPr>
          <w:p w14:paraId="7744F03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2AC1A3A3"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10 mg, 50 mg (hydrochloride) in vial</w:t>
            </w:r>
          </w:p>
          <w:p w14:paraId="61AF7CB4"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Injection: 2 mg/</w:t>
            </w:r>
            <w:r>
              <w:rPr>
                <w:rFonts w:eastAsia="Arial" w:cs="Times New Roman"/>
                <w:szCs w:val="24"/>
              </w:rPr>
              <w:t>ml</w:t>
            </w:r>
            <w:r w:rsidRPr="00F10C37">
              <w:rPr>
                <w:rFonts w:eastAsia="Arial" w:cs="Times New Roman"/>
                <w:szCs w:val="24"/>
              </w:rPr>
              <w:t xml:space="preserve"> (hydrochloride) in 5 </w:t>
            </w:r>
            <w:r>
              <w:rPr>
                <w:rFonts w:eastAsia="Arial" w:cs="Times New Roman"/>
                <w:szCs w:val="24"/>
              </w:rPr>
              <w:t>ml</w:t>
            </w:r>
            <w:r w:rsidRPr="00F10C37">
              <w:rPr>
                <w:rFonts w:eastAsia="Arial" w:cs="Times New Roman"/>
                <w:szCs w:val="24"/>
              </w:rPr>
              <w:t xml:space="preserve">, 25 </w:t>
            </w:r>
            <w:r>
              <w:rPr>
                <w:rFonts w:eastAsia="Arial" w:cs="Times New Roman"/>
                <w:szCs w:val="24"/>
              </w:rPr>
              <w:t>ml</w:t>
            </w:r>
            <w:r w:rsidRPr="00F10C37">
              <w:rPr>
                <w:rFonts w:eastAsia="Arial" w:cs="Times New Roman"/>
                <w:szCs w:val="24"/>
              </w:rPr>
              <w:t xml:space="preserve"> vial, 2 mg/</w:t>
            </w:r>
            <w:r>
              <w:rPr>
                <w:rFonts w:eastAsia="Arial" w:cs="Times New Roman"/>
                <w:szCs w:val="24"/>
              </w:rPr>
              <w:t>ml</w:t>
            </w:r>
            <w:r w:rsidRPr="00F10C37">
              <w:rPr>
                <w:rFonts w:eastAsia="Arial" w:cs="Times New Roman"/>
                <w:szCs w:val="24"/>
              </w:rPr>
              <w:t xml:space="preserve"> (as pegylated liposomal) in 10 </w:t>
            </w:r>
            <w:r>
              <w:rPr>
                <w:rFonts w:eastAsia="Arial" w:cs="Times New Roman"/>
                <w:szCs w:val="24"/>
              </w:rPr>
              <w:t>ml</w:t>
            </w:r>
            <w:r w:rsidRPr="00F10C37">
              <w:rPr>
                <w:rFonts w:eastAsia="Arial" w:cs="Times New Roman"/>
                <w:szCs w:val="24"/>
              </w:rPr>
              <w:t xml:space="preserve">, 25 </w:t>
            </w:r>
            <w:r>
              <w:rPr>
                <w:rFonts w:eastAsia="Arial" w:cs="Times New Roman"/>
                <w:szCs w:val="24"/>
              </w:rPr>
              <w:t>ml</w:t>
            </w:r>
            <w:r w:rsidRPr="00F10C37">
              <w:rPr>
                <w:rFonts w:eastAsia="Arial" w:cs="Times New Roman"/>
                <w:szCs w:val="24"/>
              </w:rPr>
              <w:t xml:space="preserve"> vial</w:t>
            </w:r>
          </w:p>
        </w:tc>
      </w:tr>
      <w:tr w:rsidR="005D59D6" w:rsidRPr="00F10C37" w14:paraId="1DC2B57D" w14:textId="77777777" w:rsidTr="002D6DD7">
        <w:trPr>
          <w:jc w:val="center"/>
        </w:trPr>
        <w:tc>
          <w:tcPr>
            <w:tcW w:w="2695" w:type="dxa"/>
          </w:tcPr>
          <w:p w14:paraId="2A2D69D6"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2B41FE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Breast cancer, Hodgkin’s and non-Hodgkin’s lymphoma, soft tissue sarcoma, ovarian cancer, lung cancer, bladder cancer, thyroid cancer, hepatoma, gastric cancer, Wilms tumor, neuroblastom, acute lymphoblastic leukemia</w:t>
            </w:r>
          </w:p>
        </w:tc>
      </w:tr>
      <w:tr w:rsidR="005D59D6" w:rsidRPr="00F10C37" w14:paraId="61EC75F5" w14:textId="77777777" w:rsidTr="002D6DD7">
        <w:trPr>
          <w:jc w:val="center"/>
        </w:trPr>
        <w:tc>
          <w:tcPr>
            <w:tcW w:w="2695" w:type="dxa"/>
          </w:tcPr>
          <w:p w14:paraId="51B93BA6"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A3234D5" w14:textId="77777777" w:rsidR="005D59D6" w:rsidRPr="003D3E3A" w:rsidRDefault="005D59D6" w:rsidP="002D6DD7">
            <w:pPr>
              <w:contextualSpacing/>
              <w:jc w:val="both"/>
              <w:rPr>
                <w:rFonts w:eastAsia="Calibri" w:cs="Times New Roman"/>
                <w:b/>
                <w:color w:val="000000" w:themeColor="text1"/>
                <w:szCs w:val="24"/>
              </w:rPr>
            </w:pPr>
            <w:r w:rsidRPr="003D3E3A">
              <w:rPr>
                <w:rFonts w:eastAsia="Calibri" w:cs="Times New Roman"/>
                <w:b/>
                <w:color w:val="000000" w:themeColor="text1"/>
                <w:szCs w:val="24"/>
              </w:rPr>
              <w:t xml:space="preserve">For all </w:t>
            </w:r>
            <w:r w:rsidRPr="000674E0">
              <w:rPr>
                <w:rFonts w:eastAsia="Calibri" w:cs="Times New Roman"/>
                <w:color w:val="000000" w:themeColor="text1"/>
                <w:szCs w:val="24"/>
              </w:rPr>
              <w:t>Indications</w:t>
            </w:r>
            <w:r w:rsidRPr="003D3E3A">
              <w:rPr>
                <w:rFonts w:eastAsia="Calibri" w:cs="Times New Roman"/>
                <w:b/>
                <w:color w:val="000000" w:themeColor="text1"/>
                <w:szCs w:val="24"/>
              </w:rPr>
              <w:t>:</w:t>
            </w:r>
          </w:p>
          <w:p w14:paraId="0321ADF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Single agent: 60–75 mg/m2 IV every 3 weeks.</w:t>
            </w:r>
          </w:p>
          <w:p w14:paraId="3E1AB2D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Single agent: 15–20 mg/m2 IV weekly.</w:t>
            </w:r>
          </w:p>
          <w:p w14:paraId="214CD0F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Combination therapy: 45–60 mg/m2 every 3 weeks.</w:t>
            </w:r>
          </w:p>
          <w:p w14:paraId="1AF91D7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Continuous infusion: 60–90 mg/m2 IV over 96 hours</w:t>
            </w:r>
          </w:p>
        </w:tc>
      </w:tr>
      <w:tr w:rsidR="005D59D6" w:rsidRPr="00F10C37" w14:paraId="7EA92B6F" w14:textId="77777777" w:rsidTr="002D6DD7">
        <w:trPr>
          <w:jc w:val="center"/>
        </w:trPr>
        <w:tc>
          <w:tcPr>
            <w:tcW w:w="2695" w:type="dxa"/>
          </w:tcPr>
          <w:p w14:paraId="4776316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1C5186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 xml:space="preserve">the drug </w:t>
            </w:r>
            <w:r w:rsidRPr="00F10C37">
              <w:rPr>
                <w:rFonts w:eastAsia="Calibri" w:cs="Times New Roman"/>
                <w:color w:val="000000" w:themeColor="text1"/>
                <w:szCs w:val="24"/>
              </w:rPr>
              <w:t xml:space="preserve">or other anthracyclines, pre-existing bone marrow suppression or bleeding disorders, severe hepatic impairment or severe myocardial insufficiency, </w:t>
            </w:r>
            <w:r w:rsidRPr="00F10C37">
              <w:rPr>
                <w:rFonts w:cs="Times New Roman"/>
                <w:szCs w:val="24"/>
              </w:rPr>
              <w:t xml:space="preserve">congestive heart failure, left ventricular ejection fraction &lt;30–40%, arrhythmias. </w:t>
            </w:r>
          </w:p>
        </w:tc>
      </w:tr>
      <w:tr w:rsidR="005D59D6" w:rsidRPr="00F10C37" w14:paraId="43C40175" w14:textId="77777777" w:rsidTr="002D6DD7">
        <w:trPr>
          <w:jc w:val="center"/>
        </w:trPr>
        <w:tc>
          <w:tcPr>
            <w:tcW w:w="2695" w:type="dxa"/>
          </w:tcPr>
          <w:p w14:paraId="3AF43A2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4668F677" w14:textId="77777777" w:rsidR="005D59D6" w:rsidRPr="00F10C37" w:rsidRDefault="005D59D6" w:rsidP="002D6DD7">
            <w:pPr>
              <w:contextualSpacing/>
              <w:jc w:val="both"/>
              <w:rPr>
                <w:rFonts w:cs="Times New Roman"/>
                <w:szCs w:val="24"/>
              </w:rPr>
            </w:pPr>
            <w:r w:rsidRPr="00F10C37">
              <w:rPr>
                <w:rFonts w:eastAsia="Calibri" w:cs="Times New Roman"/>
                <w:color w:val="000000" w:themeColor="text1"/>
                <w:szCs w:val="24"/>
              </w:rPr>
              <w:t xml:space="preserve">Dexrazoxane, phenobarbital, phenytoin, trastuzumab, mitomycin-C, </w:t>
            </w:r>
            <w:r>
              <w:rPr>
                <w:rFonts w:eastAsia="Calibri" w:cs="Times New Roman"/>
                <w:color w:val="000000" w:themeColor="text1"/>
                <w:szCs w:val="24"/>
              </w:rPr>
              <w:t>m</w:t>
            </w:r>
            <w:r w:rsidRPr="00F10C37">
              <w:rPr>
                <w:rFonts w:eastAsia="Calibri" w:cs="Times New Roman"/>
                <w:color w:val="000000" w:themeColor="text1"/>
                <w:szCs w:val="24"/>
              </w:rPr>
              <w:t xml:space="preserve">ercaptopurine, warfarin, </w:t>
            </w:r>
            <w:r>
              <w:rPr>
                <w:rFonts w:cs="Times New Roman"/>
                <w:szCs w:val="24"/>
              </w:rPr>
              <w:t>c</w:t>
            </w:r>
            <w:r w:rsidRPr="00F10C37">
              <w:rPr>
                <w:rFonts w:cs="Times New Roman"/>
                <w:szCs w:val="24"/>
              </w:rPr>
              <w:t xml:space="preserve">iclosporin, 5-FU, cyclophosphamide, paclitaxel, cimetidine, digoxin, </w:t>
            </w:r>
            <w:r w:rsidRPr="00F10C37">
              <w:rPr>
                <w:rFonts w:eastAsia="Calibri" w:cs="Times New Roman"/>
                <w:color w:val="000000" w:themeColor="text1"/>
                <w:szCs w:val="24"/>
              </w:rPr>
              <w:t>dexamethasone, heparin.</w:t>
            </w:r>
          </w:p>
        </w:tc>
      </w:tr>
      <w:tr w:rsidR="005D59D6" w:rsidRPr="00F10C37" w14:paraId="71D8FD85" w14:textId="77777777" w:rsidTr="002D6DD7">
        <w:trPr>
          <w:jc w:val="center"/>
        </w:trPr>
        <w:tc>
          <w:tcPr>
            <w:tcW w:w="2695" w:type="dxa"/>
          </w:tcPr>
          <w:p w14:paraId="5178B14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1E34FCF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Alopecia, anaemia, anxiety, appetite decreased, arrhythmias, arthralgia, asthenia, bone marrow suppression, breast pain, cachexia, cardiovascular disorder, chest discomfort, chills, constipation, cough, </w:t>
            </w:r>
            <w:r w:rsidRPr="00F10C37">
              <w:rPr>
                <w:rFonts w:eastAsia="Calibri" w:cs="Times New Roman"/>
                <w:color w:val="000000" w:themeColor="text1"/>
                <w:szCs w:val="24"/>
              </w:rPr>
              <w:lastRenderedPageBreak/>
              <w:t>decreased leucocytes, dehydration, depression, diarrhoea, dizziness, drowsiness, dry mouth, dysphagia, dyspnoea, dysuria, electrolyte imbalance, epistaxis, eye inflammation, fever, gastrointestinal disorders, headache, hyperhidrosis, hypersensitivity, hypertension, hyperthermia, hypotension, increased risk of infection, influenza like illness, infusion related reaction, insomnia, malaise, mucosal abnormalities, muscle complaints, muscle tone increased, muscle weakness, nail disorder, nausea, nerve disorders, neutropenia, oedema, oral disorders, pain, scrotal erythema, sensation abnormal, sepsis, skin reactions, skin ulcer, syncope, taste altered, thrombocytopenia, vasodilation, vision blurred, vomiting, weight decreased, confusion, embolism and thrombosis.</w:t>
            </w:r>
          </w:p>
        </w:tc>
      </w:tr>
      <w:tr w:rsidR="005D59D6" w:rsidRPr="00F10C37" w14:paraId="31609710" w14:textId="77777777" w:rsidTr="002D6DD7">
        <w:trPr>
          <w:jc w:val="center"/>
        </w:trPr>
        <w:tc>
          <w:tcPr>
            <w:tcW w:w="2695" w:type="dxa"/>
          </w:tcPr>
          <w:p w14:paraId="2C82D23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31C6C42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Irritant to the tissues, previous treatment to maximum cumulative dose with another anthracycline, hepatic impairment, renal impairment, cardiac disease, treatment with other cardiotoxic drugs, previous mediastinal or pericardial irradiation, sun exposure, pregnancy and breastfeeding.</w:t>
            </w:r>
          </w:p>
        </w:tc>
      </w:tr>
      <w:tr w:rsidR="005D59D6" w:rsidRPr="00F10C37" w14:paraId="250DD958" w14:textId="77777777" w:rsidTr="002D6DD7">
        <w:trPr>
          <w:jc w:val="center"/>
        </w:trPr>
        <w:tc>
          <w:tcPr>
            <w:tcW w:w="2695" w:type="dxa"/>
          </w:tcPr>
          <w:p w14:paraId="61901AC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70610A1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Powder for injection: store below 30°C. Protect from light and moisture. </w:t>
            </w:r>
          </w:p>
          <w:p w14:paraId="55CC98C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Solution for injection: store in a refrigerator at temperature between 2 °C and 8 °C. </w:t>
            </w:r>
          </w:p>
        </w:tc>
      </w:tr>
      <w:tr w:rsidR="005D59D6" w:rsidRPr="00F10C37" w14:paraId="06EC3551" w14:textId="77777777" w:rsidTr="002D6DD7">
        <w:trPr>
          <w:jc w:val="center"/>
        </w:trPr>
        <w:tc>
          <w:tcPr>
            <w:tcW w:w="9705" w:type="dxa"/>
            <w:gridSpan w:val="2"/>
          </w:tcPr>
          <w:p w14:paraId="1F57D0A6" w14:textId="77777777" w:rsidR="005D59D6" w:rsidRPr="00F10C37" w:rsidRDefault="005D59D6" w:rsidP="002D6DD7">
            <w:pPr>
              <w:jc w:val="both"/>
              <w:rPr>
                <w:rFonts w:eastAsia="Calibri" w:cs="Times New Roman"/>
                <w:color w:val="000000" w:themeColor="text1"/>
                <w:szCs w:val="24"/>
              </w:rPr>
            </w:pPr>
            <w:r w:rsidRPr="00F10C37">
              <w:rPr>
                <w:rFonts w:cs="Times New Roman"/>
                <w:b/>
                <w:color w:val="000000" w:themeColor="text1"/>
                <w:szCs w:val="24"/>
              </w:rPr>
              <w:t>Epirubicin</w:t>
            </w:r>
          </w:p>
        </w:tc>
      </w:tr>
      <w:tr w:rsidR="005D59D6" w:rsidRPr="00F10C37" w14:paraId="56577DF4" w14:textId="77777777" w:rsidTr="002D6DD7">
        <w:trPr>
          <w:jc w:val="center"/>
        </w:trPr>
        <w:tc>
          <w:tcPr>
            <w:tcW w:w="2695" w:type="dxa"/>
          </w:tcPr>
          <w:p w14:paraId="2EC6231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23C175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anthracycline antibiotic</w:t>
            </w:r>
          </w:p>
        </w:tc>
      </w:tr>
      <w:tr w:rsidR="005D59D6" w:rsidRPr="00F10C37" w14:paraId="3147234B" w14:textId="77777777" w:rsidTr="002D6DD7">
        <w:trPr>
          <w:jc w:val="center"/>
        </w:trPr>
        <w:tc>
          <w:tcPr>
            <w:tcW w:w="2695" w:type="dxa"/>
          </w:tcPr>
          <w:p w14:paraId="7587D95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7A93445"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Injection: 50mg</w:t>
            </w:r>
          </w:p>
        </w:tc>
      </w:tr>
      <w:tr w:rsidR="005D59D6" w:rsidRPr="00F10C37" w14:paraId="57A074F4" w14:textId="77777777" w:rsidTr="002D6DD7">
        <w:trPr>
          <w:jc w:val="center"/>
        </w:trPr>
        <w:tc>
          <w:tcPr>
            <w:tcW w:w="2695" w:type="dxa"/>
          </w:tcPr>
          <w:p w14:paraId="1121C133"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56FD89E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Breast cancer, </w:t>
            </w:r>
            <w:r>
              <w:rPr>
                <w:rFonts w:eastAsia="Calibri" w:cs="Times New Roman"/>
                <w:color w:val="000000" w:themeColor="text1"/>
                <w:szCs w:val="24"/>
              </w:rPr>
              <w:t>g</w:t>
            </w:r>
            <w:r w:rsidRPr="00F10C37">
              <w:rPr>
                <w:rFonts w:eastAsia="Calibri" w:cs="Times New Roman"/>
                <w:color w:val="000000" w:themeColor="text1"/>
                <w:szCs w:val="24"/>
              </w:rPr>
              <w:t>astric cancer, ovarian cancer, lung cancer, colorectal cancer, lymphoma, bladder cancer.</w:t>
            </w:r>
          </w:p>
        </w:tc>
      </w:tr>
      <w:tr w:rsidR="005D59D6" w:rsidRPr="00F10C37" w14:paraId="370EEDD4" w14:textId="77777777" w:rsidTr="002D6DD7">
        <w:trPr>
          <w:jc w:val="center"/>
        </w:trPr>
        <w:tc>
          <w:tcPr>
            <w:tcW w:w="2695" w:type="dxa"/>
          </w:tcPr>
          <w:p w14:paraId="41B38F2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087B53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Breast and lung cancer</w:t>
            </w:r>
            <w:r w:rsidRPr="00F10C37">
              <w:rPr>
                <w:rFonts w:eastAsia="Calibri" w:cs="Times New Roman"/>
                <w:color w:val="000000" w:themeColor="text1"/>
                <w:szCs w:val="24"/>
              </w:rPr>
              <w:t>: 100–120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3 weeks.</w:t>
            </w:r>
          </w:p>
          <w:p w14:paraId="113EF378"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 xml:space="preserve">For others: </w:t>
            </w:r>
            <w:r w:rsidRPr="00F10C37">
              <w:rPr>
                <w:rFonts w:eastAsia="Calibri" w:cs="Times New Roman"/>
                <w:color w:val="000000" w:themeColor="text1"/>
                <w:szCs w:val="24"/>
              </w:rPr>
              <w:t>50-100mg</w:t>
            </w:r>
            <w:r w:rsidRPr="00F10C37">
              <w:rPr>
                <w:rFonts w:eastAsia="Calibri" w:cs="Times New Roman"/>
                <w:b/>
                <w:color w:val="000000" w:themeColor="text1"/>
                <w:szCs w:val="24"/>
              </w:rPr>
              <w:t>/</w:t>
            </w:r>
            <w:r w:rsidRPr="00F10C37">
              <w:rPr>
                <w:rFonts w:eastAsia="Calibri" w:cs="Times New Roman"/>
                <w:color w:val="000000" w:themeColor="text1"/>
                <w:szCs w:val="24"/>
              </w:rPr>
              <w:t>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3 weeks.</w:t>
            </w:r>
          </w:p>
        </w:tc>
      </w:tr>
      <w:tr w:rsidR="005D59D6" w:rsidRPr="00F10C37" w14:paraId="57C1A3A5" w14:textId="77777777" w:rsidTr="002D6DD7">
        <w:trPr>
          <w:jc w:val="center"/>
        </w:trPr>
        <w:tc>
          <w:tcPr>
            <w:tcW w:w="2695" w:type="dxa"/>
          </w:tcPr>
          <w:p w14:paraId="52C6B07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2B6B8B0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Hypersensitivity to</w:t>
            </w:r>
            <w:r>
              <w:rPr>
                <w:rFonts w:eastAsia="Calibri" w:cs="Times New Roman"/>
                <w:color w:val="000000" w:themeColor="text1"/>
                <w:szCs w:val="24"/>
              </w:rPr>
              <w:t xml:space="preserve"> the drug or other</w:t>
            </w:r>
            <w:r w:rsidRPr="00F10C37">
              <w:rPr>
                <w:rFonts w:eastAsia="Calibri" w:cs="Times New Roman"/>
                <w:color w:val="000000" w:themeColor="text1"/>
                <w:szCs w:val="24"/>
              </w:rPr>
              <w:t xml:space="preserve"> anthracyclines, bladder problems, severe hepatic impairment, cardiac problems.</w:t>
            </w:r>
          </w:p>
        </w:tc>
      </w:tr>
      <w:tr w:rsidR="005D59D6" w:rsidRPr="00F10C37" w14:paraId="00A71F04" w14:textId="77777777" w:rsidTr="002D6DD7">
        <w:trPr>
          <w:jc w:val="center"/>
        </w:trPr>
        <w:tc>
          <w:tcPr>
            <w:tcW w:w="2695" w:type="dxa"/>
          </w:tcPr>
          <w:p w14:paraId="3AAFE6C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09363BF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Heparin, cimetidine, mitomycin-C and other cardiotoxic medication.</w:t>
            </w:r>
          </w:p>
        </w:tc>
      </w:tr>
      <w:tr w:rsidR="005D59D6" w:rsidRPr="00F10C37" w14:paraId="2C5B5AAC" w14:textId="77777777" w:rsidTr="002D6DD7">
        <w:trPr>
          <w:jc w:val="center"/>
        </w:trPr>
        <w:tc>
          <w:tcPr>
            <w:tcW w:w="2695" w:type="dxa"/>
          </w:tcPr>
          <w:p w14:paraId="265D9D5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7010" w:type="dxa"/>
            <w:shd w:val="clear" w:color="auto" w:fill="auto"/>
          </w:tcPr>
          <w:p w14:paraId="7069F7F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Alopecia, amenorrhoea, anaemia, appetite decreased, arrhythmias, cardiac conduction disorders, chills, congestive heart failure, dehydration, diarrhoea, eye inflammation, fever, gastrointestinal discomfort, gastrointestinal disorders, haemorrhage, increased risk of infection, leucopenia, malaise, mucositis, nail discolouration, nausea, neutropenia, oral disorders, skin reactions, thrombocytopenia, urine discolouration, vasodilation, vomiting, asthenia, embolism and thrombosis, sepsis.</w:t>
            </w:r>
          </w:p>
        </w:tc>
      </w:tr>
      <w:tr w:rsidR="005D59D6" w:rsidRPr="00F10C37" w14:paraId="6A5710A9" w14:textId="77777777" w:rsidTr="002D6DD7">
        <w:trPr>
          <w:jc w:val="center"/>
        </w:trPr>
        <w:tc>
          <w:tcPr>
            <w:tcW w:w="2695" w:type="dxa"/>
          </w:tcPr>
          <w:p w14:paraId="47B24BB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1E10173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Irritant to tissues, hepatic and renal impairment, pregnancy and breastfeeding</w:t>
            </w:r>
            <w:r>
              <w:rPr>
                <w:rFonts w:eastAsia="Calibri" w:cs="Times New Roman"/>
                <w:color w:val="000000" w:themeColor="text1"/>
                <w:szCs w:val="24"/>
              </w:rPr>
              <w:t xml:space="preserve">, </w:t>
            </w:r>
            <w:r w:rsidRPr="00F10C37">
              <w:rPr>
                <w:rFonts w:eastAsia="Calibri" w:cs="Times New Roman"/>
                <w:color w:val="000000" w:themeColor="text1"/>
                <w:szCs w:val="24"/>
              </w:rPr>
              <w:t xml:space="preserve">cardiac </w:t>
            </w:r>
            <w:r>
              <w:rPr>
                <w:rFonts w:eastAsia="Calibri" w:cs="Times New Roman"/>
                <w:color w:val="000000" w:themeColor="text1"/>
                <w:szCs w:val="24"/>
              </w:rPr>
              <w:t>disorder</w:t>
            </w:r>
            <w:r w:rsidRPr="00F10C37">
              <w:rPr>
                <w:rFonts w:eastAsia="Calibri" w:cs="Times New Roman"/>
                <w:color w:val="000000" w:themeColor="text1"/>
                <w:szCs w:val="24"/>
              </w:rPr>
              <w:t>, patients previously treated with radiation therapy.</w:t>
            </w:r>
          </w:p>
        </w:tc>
      </w:tr>
      <w:tr w:rsidR="005D59D6" w:rsidRPr="00F10C37" w14:paraId="291D74C3" w14:textId="77777777" w:rsidTr="002D6DD7">
        <w:trPr>
          <w:jc w:val="center"/>
        </w:trPr>
        <w:tc>
          <w:tcPr>
            <w:tcW w:w="2695" w:type="dxa"/>
          </w:tcPr>
          <w:p w14:paraId="29271D6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5C9EE0FD" w14:textId="77777777" w:rsidR="005D59D6" w:rsidRDefault="005D59D6" w:rsidP="002D6DD7">
            <w:pPr>
              <w:jc w:val="both"/>
              <w:rPr>
                <w:rFonts w:eastAsia="Calibri" w:cs="Times New Roman"/>
                <w:color w:val="000000" w:themeColor="text1"/>
                <w:szCs w:val="24"/>
              </w:rPr>
            </w:pPr>
            <w:r w:rsidRPr="00176CD1">
              <w:rPr>
                <w:rFonts w:eastAsia="Calibri" w:cs="Times New Roman"/>
                <w:color w:val="000000" w:themeColor="text1"/>
                <w:szCs w:val="24"/>
              </w:rPr>
              <w:t>Lyophilized powder for injection</w:t>
            </w:r>
            <w:r w:rsidRPr="00F10C37">
              <w:rPr>
                <w:rFonts w:eastAsia="Calibri" w:cs="Times New Roman"/>
                <w:color w:val="000000" w:themeColor="text1"/>
                <w:szCs w:val="24"/>
              </w:rPr>
              <w:t xml:space="preserve">: </w:t>
            </w:r>
            <w:r>
              <w:rPr>
                <w:rFonts w:eastAsia="Calibri" w:cs="Times New Roman"/>
                <w:color w:val="000000" w:themeColor="text1"/>
                <w:szCs w:val="24"/>
              </w:rPr>
              <w:t>s</w:t>
            </w:r>
            <w:r w:rsidRPr="00F10C37">
              <w:rPr>
                <w:rFonts w:eastAsia="Calibri" w:cs="Times New Roman"/>
                <w:color w:val="000000" w:themeColor="text1"/>
                <w:szCs w:val="24"/>
              </w:rPr>
              <w:t xml:space="preserve">tore below 30 °C. Protect from light and moisture. </w:t>
            </w:r>
          </w:p>
          <w:p w14:paraId="562A2014" w14:textId="77777777" w:rsidR="005D59D6" w:rsidRPr="00F10C37" w:rsidRDefault="005D59D6" w:rsidP="002D6DD7">
            <w:pPr>
              <w:jc w:val="both"/>
              <w:rPr>
                <w:rFonts w:eastAsia="Calibri" w:cs="Times New Roman"/>
                <w:b/>
                <w:color w:val="000000" w:themeColor="text1"/>
                <w:szCs w:val="24"/>
              </w:rPr>
            </w:pPr>
            <w:r w:rsidRPr="00176CD1">
              <w:rPr>
                <w:rFonts w:eastAsia="Calibri" w:cs="Times New Roman"/>
                <w:color w:val="000000" w:themeColor="text1"/>
                <w:szCs w:val="24"/>
              </w:rPr>
              <w:t>Solution for injection:</w:t>
            </w:r>
            <w:r w:rsidRPr="00F10C37">
              <w:rPr>
                <w:rFonts w:eastAsia="Calibri" w:cs="Times New Roman"/>
                <w:b/>
                <w:color w:val="000000" w:themeColor="text1"/>
                <w:szCs w:val="24"/>
              </w:rPr>
              <w:t xml:space="preserve"> </w:t>
            </w:r>
            <w:r w:rsidRPr="00F10C37">
              <w:rPr>
                <w:rFonts w:eastAsia="Calibri" w:cs="Times New Roman"/>
                <w:color w:val="000000" w:themeColor="text1"/>
                <w:szCs w:val="24"/>
              </w:rPr>
              <w:t xml:space="preserve">store at a temperature between 2 °C and 8°C. </w:t>
            </w:r>
          </w:p>
        </w:tc>
      </w:tr>
      <w:tr w:rsidR="005D59D6" w:rsidRPr="00F10C37" w14:paraId="4692946A" w14:textId="77777777" w:rsidTr="002D6DD7">
        <w:trPr>
          <w:jc w:val="center"/>
        </w:trPr>
        <w:tc>
          <w:tcPr>
            <w:tcW w:w="9705" w:type="dxa"/>
            <w:gridSpan w:val="2"/>
          </w:tcPr>
          <w:p w14:paraId="6A1519FB" w14:textId="77777777" w:rsidR="005D59D6" w:rsidRPr="00F10C37" w:rsidRDefault="005D59D6" w:rsidP="002D6DD7">
            <w:pPr>
              <w:jc w:val="both"/>
              <w:rPr>
                <w:rFonts w:eastAsia="Calibri" w:cs="Times New Roman"/>
                <w:b/>
                <w:bCs/>
                <w:color w:val="000000" w:themeColor="text1"/>
                <w:szCs w:val="24"/>
              </w:rPr>
            </w:pPr>
            <w:r w:rsidRPr="00F10C37">
              <w:rPr>
                <w:rFonts w:cs="Times New Roman"/>
                <w:b/>
                <w:bCs/>
                <w:color w:val="000000" w:themeColor="text1"/>
                <w:szCs w:val="24"/>
              </w:rPr>
              <w:t>Etoposide</w:t>
            </w:r>
            <w:r w:rsidRPr="00F10C37">
              <w:rPr>
                <w:rFonts w:cs="Times New Roman"/>
                <w:b/>
                <w:bCs/>
                <w:color w:val="000000" w:themeColor="text1"/>
                <w:szCs w:val="24"/>
              </w:rPr>
              <w:tab/>
            </w:r>
          </w:p>
        </w:tc>
      </w:tr>
      <w:tr w:rsidR="005D59D6" w:rsidRPr="00F10C37" w14:paraId="56C3BE6D" w14:textId="77777777" w:rsidTr="002D6DD7">
        <w:trPr>
          <w:jc w:val="center"/>
        </w:trPr>
        <w:tc>
          <w:tcPr>
            <w:tcW w:w="2695" w:type="dxa"/>
          </w:tcPr>
          <w:p w14:paraId="0054855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458D3F5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topoisomerase II inhibitor</w:t>
            </w:r>
          </w:p>
        </w:tc>
      </w:tr>
      <w:tr w:rsidR="005D59D6" w:rsidRPr="00F10C37" w14:paraId="7FB5F466" w14:textId="77777777" w:rsidTr="002D6DD7">
        <w:trPr>
          <w:jc w:val="center"/>
        </w:trPr>
        <w:tc>
          <w:tcPr>
            <w:tcW w:w="2695" w:type="dxa"/>
          </w:tcPr>
          <w:p w14:paraId="2E6D515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32D52B40" w14:textId="77777777" w:rsidR="005D59D6" w:rsidRPr="00F10C37" w:rsidRDefault="005D59D6" w:rsidP="002D6DD7">
            <w:pPr>
              <w:jc w:val="both"/>
              <w:rPr>
                <w:rFonts w:eastAsia="Arial" w:cs="Times New Roman"/>
                <w:szCs w:val="24"/>
              </w:rPr>
            </w:pPr>
            <w:r w:rsidRPr="00F10C37">
              <w:rPr>
                <w:rFonts w:eastAsia="Arial" w:cs="Times New Roman"/>
                <w:szCs w:val="24"/>
              </w:rPr>
              <w:t xml:space="preserve">Powder for injection: 100mg </w:t>
            </w:r>
          </w:p>
          <w:p w14:paraId="36E91124" w14:textId="77777777" w:rsidR="005D59D6" w:rsidRPr="00F10C37" w:rsidRDefault="005D59D6" w:rsidP="002D6DD7">
            <w:pPr>
              <w:jc w:val="both"/>
              <w:rPr>
                <w:rFonts w:eastAsia="Arial" w:cs="Times New Roman"/>
                <w:szCs w:val="24"/>
              </w:rPr>
            </w:pPr>
            <w:r w:rsidRPr="00F10C37">
              <w:rPr>
                <w:rFonts w:eastAsia="Arial" w:cs="Times New Roman"/>
                <w:szCs w:val="24"/>
              </w:rPr>
              <w:t>Injection: 20 mg/</w:t>
            </w:r>
            <w:r>
              <w:rPr>
                <w:rFonts w:eastAsia="Arial" w:cs="Times New Roman"/>
                <w:szCs w:val="24"/>
              </w:rPr>
              <w:t>ml</w:t>
            </w:r>
            <w:r w:rsidRPr="00F10C37">
              <w:rPr>
                <w:rFonts w:eastAsia="Arial" w:cs="Times New Roman"/>
                <w:szCs w:val="24"/>
              </w:rPr>
              <w:t xml:space="preserve"> in 5 </w:t>
            </w:r>
            <w:r>
              <w:rPr>
                <w:rFonts w:eastAsia="Arial" w:cs="Times New Roman"/>
                <w:szCs w:val="24"/>
              </w:rPr>
              <w:t>ml</w:t>
            </w:r>
            <w:r w:rsidRPr="00F10C37">
              <w:rPr>
                <w:rFonts w:eastAsia="Arial" w:cs="Times New Roman"/>
                <w:szCs w:val="24"/>
              </w:rPr>
              <w:t xml:space="preserve"> ampoule</w:t>
            </w:r>
          </w:p>
          <w:p w14:paraId="26435238"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 50 mg, 100 mg</w:t>
            </w:r>
          </w:p>
        </w:tc>
      </w:tr>
      <w:tr w:rsidR="005D59D6" w:rsidRPr="00F10C37" w14:paraId="173026BC" w14:textId="77777777" w:rsidTr="002D6DD7">
        <w:trPr>
          <w:jc w:val="center"/>
        </w:trPr>
        <w:tc>
          <w:tcPr>
            <w:tcW w:w="2695" w:type="dxa"/>
          </w:tcPr>
          <w:p w14:paraId="026DE6E4"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4D3F79C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Testicular cancer, ovarian cancer, lung cancer, Non-Hodgkin’s lymphoma, Hodgkin’s lymphoma, gastric cancer, A</w:t>
            </w:r>
            <w:r>
              <w:rPr>
                <w:rFonts w:eastAsia="Calibri" w:cs="Times New Roman"/>
                <w:color w:val="000000" w:themeColor="text1"/>
                <w:szCs w:val="24"/>
              </w:rPr>
              <w:t>ML</w:t>
            </w:r>
            <w:r w:rsidRPr="00F10C37">
              <w:rPr>
                <w:rFonts w:eastAsia="Calibri" w:cs="Times New Roman"/>
                <w:color w:val="000000" w:themeColor="text1"/>
                <w:szCs w:val="24"/>
              </w:rPr>
              <w:t>, nephroblastoma</w:t>
            </w:r>
          </w:p>
        </w:tc>
      </w:tr>
      <w:tr w:rsidR="005D59D6" w:rsidRPr="00F10C37" w14:paraId="29035DF3" w14:textId="77777777" w:rsidTr="002D6DD7">
        <w:trPr>
          <w:jc w:val="center"/>
        </w:trPr>
        <w:tc>
          <w:tcPr>
            <w:tcW w:w="2695" w:type="dxa"/>
          </w:tcPr>
          <w:p w14:paraId="2D4AB771"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66C25E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Testicular cancer</w:t>
            </w:r>
            <w:r>
              <w:rPr>
                <w:rFonts w:eastAsia="Calibri" w:cs="Times New Roman"/>
                <w:color w:val="000000" w:themeColor="text1"/>
                <w:szCs w:val="24"/>
              </w:rPr>
              <w:t>: A</w:t>
            </w:r>
            <w:r w:rsidRPr="00F10C37">
              <w:rPr>
                <w:rFonts w:eastAsia="Calibri" w:cs="Times New Roman"/>
                <w:color w:val="000000" w:themeColor="text1"/>
                <w:szCs w:val="24"/>
              </w:rPr>
              <w:t>s part of the PEB regimen, 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1–5 with cycles repeated every 3 weeks.</w:t>
            </w:r>
          </w:p>
          <w:p w14:paraId="1DF7873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SCLC</w:t>
            </w:r>
            <w:r w:rsidRPr="00F10C37">
              <w:rPr>
                <w:rFonts w:eastAsia="Calibri" w:cs="Times New Roman"/>
                <w:color w:val="000000" w:themeColor="text1"/>
                <w:szCs w:val="24"/>
              </w:rPr>
              <w:t>: As part of the cisplatin/VP-16 regimen, 100–120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1–3 with cycles repeated every 3 weeks.</w:t>
            </w:r>
          </w:p>
          <w:p w14:paraId="3C0BBAA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Testicular cancer, lung cancer, lymphomas: </w:t>
            </w:r>
            <w:r w:rsidRPr="00F10C37">
              <w:rPr>
                <w:rFonts w:eastAsia="Calibri" w:cs="Times New Roman"/>
                <w:color w:val="000000" w:themeColor="text1"/>
                <w:szCs w:val="24"/>
              </w:rPr>
              <w:t>50-100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/day PO for 21 days.</w:t>
            </w:r>
          </w:p>
        </w:tc>
      </w:tr>
      <w:tr w:rsidR="005D59D6" w:rsidRPr="00F10C37" w14:paraId="0896ABBC" w14:textId="77777777" w:rsidTr="002D6DD7">
        <w:trPr>
          <w:jc w:val="center"/>
        </w:trPr>
        <w:tc>
          <w:tcPr>
            <w:tcW w:w="2695" w:type="dxa"/>
          </w:tcPr>
          <w:p w14:paraId="0137F43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5AA1B48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or other topoisomerase II inhibitors, severe bone marrow suppression or bleeding disorders, pregnancy, breastfeeding, severe hepatic impairment, allergy to polysorbate 80 </w:t>
            </w:r>
            <w:r>
              <w:rPr>
                <w:rFonts w:eastAsia="Calibri" w:cs="Times New Roman"/>
                <w:color w:val="000000" w:themeColor="text1"/>
                <w:szCs w:val="24"/>
              </w:rPr>
              <w:t xml:space="preserve">or </w:t>
            </w:r>
            <w:r w:rsidRPr="00F10C37">
              <w:rPr>
                <w:rFonts w:eastAsia="Calibri" w:cs="Times New Roman"/>
                <w:color w:val="000000" w:themeColor="text1"/>
                <w:szCs w:val="24"/>
              </w:rPr>
              <w:lastRenderedPageBreak/>
              <w:t>benzyl alcohol, intrathecal administration.</w:t>
            </w:r>
          </w:p>
        </w:tc>
      </w:tr>
      <w:tr w:rsidR="005D59D6" w:rsidRPr="00F10C37" w14:paraId="33BCA61D" w14:textId="77777777" w:rsidTr="002D6DD7">
        <w:trPr>
          <w:jc w:val="center"/>
        </w:trPr>
        <w:tc>
          <w:tcPr>
            <w:tcW w:w="2695" w:type="dxa"/>
          </w:tcPr>
          <w:p w14:paraId="1746F55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Drug interactions</w:t>
            </w:r>
          </w:p>
        </w:tc>
        <w:tc>
          <w:tcPr>
            <w:tcW w:w="7010" w:type="dxa"/>
          </w:tcPr>
          <w:p w14:paraId="183E93E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Ciclosporin, phenobarbital, phenytoin, warfarin.</w:t>
            </w:r>
          </w:p>
        </w:tc>
      </w:tr>
      <w:tr w:rsidR="005D59D6" w:rsidRPr="00F10C37" w14:paraId="5B6E4C19" w14:textId="77777777" w:rsidTr="002D6DD7">
        <w:trPr>
          <w:jc w:val="center"/>
        </w:trPr>
        <w:tc>
          <w:tcPr>
            <w:tcW w:w="2695" w:type="dxa"/>
          </w:tcPr>
          <w:p w14:paraId="673D6BE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3A61F7D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Abdominal pain, acute leukaemia, alopecia, anaemia, appetite decreased, arrhythmia, asthenia, bone marrow suppression, constipation, diarrhoea, dizziness, hepatotoxicity, hypertension, leucopenia, malaise, mucositis, myocardial infarction, nausea, neutropenia, skin reactions, thrombocytopenia, vomiting, nerve disorders, dysphagia, neurotoxicity, radiation recall reaction, respiratory disorders, seizure, severe cutaneous adverse reactions (SCARs), taste altered, vision loss. </w:t>
            </w:r>
          </w:p>
        </w:tc>
      </w:tr>
      <w:tr w:rsidR="005D59D6" w:rsidRPr="00F10C37" w14:paraId="07C4F46D" w14:textId="77777777" w:rsidTr="002D6DD7">
        <w:trPr>
          <w:jc w:val="center"/>
        </w:trPr>
        <w:tc>
          <w:tcPr>
            <w:tcW w:w="2695" w:type="dxa"/>
          </w:tcPr>
          <w:p w14:paraId="316A361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52AB115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Irritant to tissue, hepatic and renal impairment, anaphylactic reactions,</w:t>
            </w:r>
            <w:r>
              <w:rPr>
                <w:rFonts w:eastAsia="Calibri" w:cs="Times New Roman"/>
                <w:color w:val="000000" w:themeColor="text1"/>
                <w:szCs w:val="24"/>
              </w:rPr>
              <w:t xml:space="preserve"> </w:t>
            </w:r>
            <w:r w:rsidRPr="00F10C37">
              <w:rPr>
                <w:rFonts w:eastAsia="Calibri" w:cs="Times New Roman"/>
                <w:color w:val="000000" w:themeColor="text1"/>
                <w:szCs w:val="24"/>
              </w:rPr>
              <w:t xml:space="preserve">signs of phlebitis. </w:t>
            </w:r>
          </w:p>
        </w:tc>
      </w:tr>
      <w:tr w:rsidR="005D59D6" w:rsidRPr="00F10C37" w14:paraId="065871FF" w14:textId="77777777" w:rsidTr="002D6DD7">
        <w:trPr>
          <w:jc w:val="center"/>
        </w:trPr>
        <w:tc>
          <w:tcPr>
            <w:tcW w:w="2695" w:type="dxa"/>
          </w:tcPr>
          <w:p w14:paraId="29E1A77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50E1ED4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Store below 30°C. Protect from light and moisture. Store at 2-8 °C after dilution.</w:t>
            </w:r>
          </w:p>
        </w:tc>
      </w:tr>
      <w:tr w:rsidR="005D59D6" w:rsidRPr="00F10C37" w14:paraId="20F62789" w14:textId="77777777" w:rsidTr="002D6DD7">
        <w:trPr>
          <w:jc w:val="center"/>
        </w:trPr>
        <w:tc>
          <w:tcPr>
            <w:tcW w:w="9705" w:type="dxa"/>
            <w:gridSpan w:val="2"/>
          </w:tcPr>
          <w:p w14:paraId="0A19F5C4"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Fludarabine</w:t>
            </w:r>
          </w:p>
        </w:tc>
      </w:tr>
      <w:tr w:rsidR="005D59D6" w:rsidRPr="00F10C37" w14:paraId="04C493BC" w14:textId="77777777" w:rsidTr="002D6DD7">
        <w:trPr>
          <w:jc w:val="center"/>
        </w:trPr>
        <w:tc>
          <w:tcPr>
            <w:tcW w:w="2695" w:type="dxa"/>
          </w:tcPr>
          <w:p w14:paraId="1E57899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1F47138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purine analog</w:t>
            </w:r>
          </w:p>
        </w:tc>
      </w:tr>
      <w:tr w:rsidR="005D59D6" w:rsidRPr="00F10C37" w14:paraId="666C7D4D" w14:textId="77777777" w:rsidTr="002D6DD7">
        <w:trPr>
          <w:jc w:val="center"/>
        </w:trPr>
        <w:tc>
          <w:tcPr>
            <w:tcW w:w="2695" w:type="dxa"/>
          </w:tcPr>
          <w:p w14:paraId="0464528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17BF374D" w14:textId="77777777" w:rsidR="005D59D6" w:rsidRPr="00F10C37" w:rsidRDefault="005D59D6" w:rsidP="002D6DD7">
            <w:pPr>
              <w:jc w:val="both"/>
              <w:rPr>
                <w:rFonts w:eastAsia="Arial" w:cs="Times New Roman"/>
                <w:color w:val="000000" w:themeColor="text1"/>
                <w:szCs w:val="24"/>
              </w:rPr>
            </w:pPr>
            <w:r w:rsidRPr="00F10C37">
              <w:rPr>
                <w:rFonts w:eastAsia="Arial" w:cs="Times New Roman"/>
                <w:color w:val="000000" w:themeColor="text1"/>
                <w:szCs w:val="24"/>
              </w:rPr>
              <w:t>Powder for injection: 50 mg (phosphate) in vial</w:t>
            </w:r>
          </w:p>
          <w:p w14:paraId="1DB93D2C"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Tablet: 10 mg</w:t>
            </w:r>
          </w:p>
        </w:tc>
      </w:tr>
      <w:tr w:rsidR="005D59D6" w:rsidRPr="00F10C37" w14:paraId="1BB6A9E9" w14:textId="77777777" w:rsidTr="002D6DD7">
        <w:trPr>
          <w:jc w:val="center"/>
        </w:trPr>
        <w:tc>
          <w:tcPr>
            <w:tcW w:w="2695" w:type="dxa"/>
          </w:tcPr>
          <w:p w14:paraId="6B0FD547" w14:textId="77777777" w:rsidR="005D59D6" w:rsidRPr="00EB0E86" w:rsidRDefault="005D59D6" w:rsidP="002D6DD7">
            <w:pPr>
              <w:jc w:val="both"/>
              <w:rPr>
                <w:rFonts w:eastAsia="Calibri" w:cs="Times New Roman"/>
                <w:color w:val="000000" w:themeColor="text1"/>
                <w:szCs w:val="24"/>
              </w:rPr>
            </w:pPr>
            <w:r w:rsidRPr="00EB0E86">
              <w:rPr>
                <w:rFonts w:eastAsia="Calibri" w:cs="Times New Roman"/>
                <w:color w:val="000000" w:themeColor="text1"/>
                <w:szCs w:val="24"/>
              </w:rPr>
              <w:t>Indications</w:t>
            </w:r>
          </w:p>
        </w:tc>
        <w:tc>
          <w:tcPr>
            <w:tcW w:w="7010" w:type="dxa"/>
          </w:tcPr>
          <w:p w14:paraId="5975EA9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 CLL, </w:t>
            </w:r>
            <w:r>
              <w:rPr>
                <w:rFonts w:eastAsia="Calibri" w:cs="Times New Roman"/>
                <w:color w:val="000000" w:themeColor="text1"/>
                <w:szCs w:val="24"/>
              </w:rPr>
              <w:t>c</w:t>
            </w:r>
            <w:r w:rsidRPr="00F10C37">
              <w:rPr>
                <w:rFonts w:eastAsia="Calibri" w:cs="Times New Roman"/>
                <w:color w:val="000000" w:themeColor="text1"/>
                <w:szCs w:val="24"/>
              </w:rPr>
              <w:t>utaneous T-cell lymphoma</w:t>
            </w:r>
          </w:p>
        </w:tc>
      </w:tr>
      <w:tr w:rsidR="005D59D6" w:rsidRPr="00F10C37" w14:paraId="79A0B161" w14:textId="77777777" w:rsidTr="002D6DD7">
        <w:trPr>
          <w:jc w:val="center"/>
        </w:trPr>
        <w:tc>
          <w:tcPr>
            <w:tcW w:w="2695" w:type="dxa"/>
          </w:tcPr>
          <w:p w14:paraId="49A10272"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0E7AF1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Injection: 25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1–5 every 28 days.</w:t>
            </w:r>
          </w:p>
          <w:p w14:paraId="13352A3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Oral: 40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PO on days 1–5 every 28 days.</w:t>
            </w:r>
          </w:p>
        </w:tc>
      </w:tr>
      <w:tr w:rsidR="005D59D6" w:rsidRPr="00F10C37" w14:paraId="2E7B84A0" w14:textId="77777777" w:rsidTr="002D6DD7">
        <w:trPr>
          <w:jc w:val="center"/>
        </w:trPr>
        <w:tc>
          <w:tcPr>
            <w:tcW w:w="2695" w:type="dxa"/>
          </w:tcPr>
          <w:p w14:paraId="24C1C1B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383042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Hypersensitivity to any nucleoside analogs, severe bone marrow suppression, bleeding disorders, haemolytic anaemia.</w:t>
            </w:r>
          </w:p>
        </w:tc>
      </w:tr>
      <w:tr w:rsidR="005D59D6" w:rsidRPr="00F10C37" w14:paraId="66B3C145" w14:textId="77777777" w:rsidTr="002D6DD7">
        <w:trPr>
          <w:jc w:val="center"/>
        </w:trPr>
        <w:tc>
          <w:tcPr>
            <w:tcW w:w="2695" w:type="dxa"/>
          </w:tcPr>
          <w:p w14:paraId="539BBF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190B6F2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Phenytoin, phenobarbital, warfarin.</w:t>
            </w:r>
          </w:p>
        </w:tc>
      </w:tr>
      <w:tr w:rsidR="005D59D6" w:rsidRPr="00F10C37" w14:paraId="0EC5AD57" w14:textId="77777777" w:rsidTr="002D6DD7">
        <w:trPr>
          <w:jc w:val="center"/>
        </w:trPr>
        <w:tc>
          <w:tcPr>
            <w:tcW w:w="2695" w:type="dxa"/>
          </w:tcPr>
          <w:p w14:paraId="190A645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3EB7084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Neutropenia, autoimmune haemolytic anaemia, increased risk of infection, nausea and vomiting, hypersensitivity reaction, neurotoxicity.</w:t>
            </w:r>
          </w:p>
        </w:tc>
      </w:tr>
      <w:tr w:rsidR="005D59D6" w:rsidRPr="00F10C37" w14:paraId="083C99D1" w14:textId="77777777" w:rsidTr="002D6DD7">
        <w:trPr>
          <w:jc w:val="center"/>
        </w:trPr>
        <w:tc>
          <w:tcPr>
            <w:tcW w:w="2695" w:type="dxa"/>
          </w:tcPr>
          <w:p w14:paraId="5097ADC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65F1CC6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Abnormal renal function, elderly</w:t>
            </w:r>
            <w:r>
              <w:rPr>
                <w:rFonts w:eastAsia="Calibri" w:cs="Times New Roman"/>
                <w:color w:val="000000" w:themeColor="text1"/>
                <w:szCs w:val="24"/>
              </w:rPr>
              <w:t xml:space="preserve">, </w:t>
            </w:r>
            <w:r w:rsidRPr="00F10C37">
              <w:rPr>
                <w:rFonts w:eastAsia="Calibri" w:cs="Times New Roman"/>
                <w:color w:val="000000" w:themeColor="text1"/>
                <w:szCs w:val="24"/>
              </w:rPr>
              <w:t>bone marrow impairment, pregnancy and breastfeeding</w:t>
            </w:r>
            <w:r>
              <w:rPr>
                <w:rFonts w:eastAsia="Calibri" w:cs="Times New Roman"/>
                <w:color w:val="000000" w:themeColor="text1"/>
                <w:szCs w:val="24"/>
              </w:rPr>
              <w:t xml:space="preserve">, </w:t>
            </w:r>
            <w:r w:rsidRPr="00F10C37">
              <w:rPr>
                <w:rFonts w:eastAsia="Calibri" w:cs="Times New Roman"/>
                <w:color w:val="000000" w:themeColor="text1"/>
                <w:szCs w:val="24"/>
              </w:rPr>
              <w:t>infection, susceptibility to skin cancer or worsening of existing skin cancer.</w:t>
            </w:r>
          </w:p>
        </w:tc>
      </w:tr>
      <w:tr w:rsidR="005D59D6" w:rsidRPr="00F10C37" w14:paraId="0169E8E3" w14:textId="77777777" w:rsidTr="002D6DD7">
        <w:trPr>
          <w:jc w:val="center"/>
        </w:trPr>
        <w:tc>
          <w:tcPr>
            <w:tcW w:w="2695" w:type="dxa"/>
          </w:tcPr>
          <w:p w14:paraId="17E5921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Storage condition</w:t>
            </w:r>
          </w:p>
        </w:tc>
        <w:tc>
          <w:tcPr>
            <w:tcW w:w="7010" w:type="dxa"/>
          </w:tcPr>
          <w:p w14:paraId="5D22217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Store below 30°C. Protect from light and moisture. Reconstituted solution should be used immediately or within 8 hours if stored at room temperature, or within 24 hours if stored at 2 °C to 8 °C.</w:t>
            </w:r>
          </w:p>
        </w:tc>
      </w:tr>
      <w:tr w:rsidR="005D59D6" w:rsidRPr="00F10C37" w14:paraId="4C896BD4" w14:textId="77777777" w:rsidTr="002D6DD7">
        <w:trPr>
          <w:jc w:val="center"/>
        </w:trPr>
        <w:tc>
          <w:tcPr>
            <w:tcW w:w="9705" w:type="dxa"/>
            <w:gridSpan w:val="2"/>
          </w:tcPr>
          <w:p w14:paraId="5717F11B" w14:textId="77777777" w:rsidR="005D59D6" w:rsidRPr="00F10C37" w:rsidRDefault="005D59D6" w:rsidP="002D6DD7">
            <w:pPr>
              <w:jc w:val="both"/>
              <w:rPr>
                <w:rFonts w:eastAsia="Calibri" w:cs="Times New Roman"/>
                <w:color w:val="000000" w:themeColor="text1"/>
                <w:szCs w:val="24"/>
              </w:rPr>
            </w:pPr>
            <w:r w:rsidRPr="00F10C37">
              <w:rPr>
                <w:rFonts w:cs="Times New Roman"/>
                <w:b/>
                <w:bCs/>
                <w:szCs w:val="24"/>
              </w:rPr>
              <w:t>Fluorouracil (5-Fluorouracil)</w:t>
            </w:r>
          </w:p>
        </w:tc>
      </w:tr>
      <w:tr w:rsidR="005D59D6" w:rsidRPr="00F10C37" w14:paraId="3934EFAA" w14:textId="77777777" w:rsidTr="002D6DD7">
        <w:trPr>
          <w:jc w:val="center"/>
        </w:trPr>
        <w:tc>
          <w:tcPr>
            <w:tcW w:w="2695" w:type="dxa"/>
          </w:tcPr>
          <w:p w14:paraId="4EFA933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7DEE475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Antimetabolite, a pyrimidine analog</w:t>
            </w:r>
          </w:p>
        </w:tc>
      </w:tr>
      <w:tr w:rsidR="005D59D6" w:rsidRPr="00F10C37" w14:paraId="0BEE9CDF" w14:textId="77777777" w:rsidTr="002D6DD7">
        <w:trPr>
          <w:jc w:val="center"/>
        </w:trPr>
        <w:tc>
          <w:tcPr>
            <w:tcW w:w="2695" w:type="dxa"/>
          </w:tcPr>
          <w:p w14:paraId="3EDB12D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56DAF65"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Injection: 50 mg/</w:t>
            </w:r>
            <w:r>
              <w:rPr>
                <w:rFonts w:eastAsia="Arial" w:cs="Times New Roman"/>
                <w:szCs w:val="24"/>
              </w:rPr>
              <w:t>ml</w:t>
            </w:r>
            <w:r w:rsidRPr="00F10C37">
              <w:rPr>
                <w:rFonts w:eastAsia="Arial" w:cs="Times New Roman"/>
                <w:szCs w:val="24"/>
              </w:rPr>
              <w:t xml:space="preserve"> in 10 </w:t>
            </w:r>
            <w:r>
              <w:rPr>
                <w:rFonts w:eastAsia="Arial" w:cs="Times New Roman"/>
                <w:szCs w:val="24"/>
              </w:rPr>
              <w:t>ml</w:t>
            </w:r>
            <w:r w:rsidRPr="00F10C37">
              <w:rPr>
                <w:rFonts w:eastAsia="Arial" w:cs="Times New Roman"/>
                <w:szCs w:val="24"/>
              </w:rPr>
              <w:t xml:space="preserve"> ampoule, topical cream 5%</w:t>
            </w:r>
          </w:p>
        </w:tc>
      </w:tr>
      <w:tr w:rsidR="005D59D6" w:rsidRPr="00F10C37" w14:paraId="5866773D" w14:textId="77777777" w:rsidTr="002D6DD7">
        <w:trPr>
          <w:jc w:val="center"/>
        </w:trPr>
        <w:tc>
          <w:tcPr>
            <w:tcW w:w="2695" w:type="dxa"/>
          </w:tcPr>
          <w:p w14:paraId="5C04CF2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Indications</w:t>
            </w:r>
          </w:p>
        </w:tc>
        <w:tc>
          <w:tcPr>
            <w:tcW w:w="7010" w:type="dxa"/>
          </w:tcPr>
          <w:p w14:paraId="3F8B271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Colorectal cancer, breast cancer, anal, oesophageal, gastric, pancreatic cancer, head and neck cancer, hepatoma, topical use in basal cell cancer of skin and actinic keratosis.</w:t>
            </w:r>
          </w:p>
        </w:tc>
      </w:tr>
      <w:tr w:rsidR="005D59D6" w:rsidRPr="00F10C37" w14:paraId="4A288CB5" w14:textId="77777777" w:rsidTr="002D6DD7">
        <w:trPr>
          <w:jc w:val="center"/>
        </w:trPr>
        <w:tc>
          <w:tcPr>
            <w:tcW w:w="2695" w:type="dxa"/>
          </w:tcPr>
          <w:p w14:paraId="6DF9449C"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0ECA12A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Bolus monthly schedule</w:t>
            </w:r>
            <w:r w:rsidRPr="00F10C37">
              <w:rPr>
                <w:rFonts w:eastAsia="Calibri" w:cs="Times New Roman"/>
                <w:color w:val="000000" w:themeColor="text1"/>
                <w:szCs w:val="24"/>
              </w:rPr>
              <w:t>: 425–450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on days 1–5 every 28 days.</w:t>
            </w:r>
          </w:p>
          <w:p w14:paraId="79396B0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Bolus weekly schedule</w:t>
            </w:r>
            <w:r w:rsidRPr="00F10C37">
              <w:rPr>
                <w:rFonts w:eastAsia="Calibri" w:cs="Times New Roman"/>
                <w:color w:val="000000" w:themeColor="text1"/>
                <w:szCs w:val="24"/>
              </w:rPr>
              <w:t>: 500–600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week for 6 weeks every 8 weeks.</w:t>
            </w:r>
          </w:p>
          <w:p w14:paraId="2ACAC7E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24-hour infusion</w:t>
            </w:r>
            <w:r w:rsidRPr="00F10C37">
              <w:rPr>
                <w:rFonts w:eastAsia="Calibri" w:cs="Times New Roman"/>
                <w:color w:val="000000" w:themeColor="text1"/>
                <w:szCs w:val="24"/>
              </w:rPr>
              <w:t>: 2,400–2,600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every week.</w:t>
            </w:r>
          </w:p>
          <w:p w14:paraId="4063A7C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96-120-hour infusion</w:t>
            </w:r>
            <w:r w:rsidRPr="00F10C37">
              <w:rPr>
                <w:rFonts w:eastAsia="Calibri" w:cs="Times New Roman"/>
                <w:color w:val="000000" w:themeColor="text1"/>
                <w:szCs w:val="24"/>
              </w:rPr>
              <w:t>: 1,000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/day IV on days 1–5 every 21–28 days.</w:t>
            </w:r>
          </w:p>
        </w:tc>
      </w:tr>
      <w:tr w:rsidR="005D59D6" w:rsidRPr="00F10C37" w14:paraId="6C33803D" w14:textId="77777777" w:rsidTr="002D6DD7">
        <w:trPr>
          <w:jc w:val="center"/>
        </w:trPr>
        <w:tc>
          <w:tcPr>
            <w:tcW w:w="2695" w:type="dxa"/>
          </w:tcPr>
          <w:p w14:paraId="10AAC88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02DCD06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Hypersensitivity to any fluoropyrimidines, severe bone marrow suppression, infection, active ischemic heart disease or history of myocardial infarction within previous 6 months, absence of dihydropyrimidine dehydrogenase activity.</w:t>
            </w:r>
          </w:p>
        </w:tc>
      </w:tr>
      <w:tr w:rsidR="005D59D6" w:rsidRPr="00F10C37" w14:paraId="53A3312B" w14:textId="77777777" w:rsidTr="002D6DD7">
        <w:trPr>
          <w:jc w:val="center"/>
        </w:trPr>
        <w:tc>
          <w:tcPr>
            <w:tcW w:w="2695" w:type="dxa"/>
          </w:tcPr>
          <w:p w14:paraId="0ECBA44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356A8CA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Antifolate analogs, warfarin, phenytoin, metronidazole, and cimetidine.</w:t>
            </w:r>
          </w:p>
        </w:tc>
      </w:tr>
      <w:tr w:rsidR="005D59D6" w:rsidRPr="00F10C37" w14:paraId="21EA45D9" w14:textId="77777777" w:rsidTr="002D6DD7">
        <w:trPr>
          <w:trHeight w:val="2369"/>
          <w:jc w:val="center"/>
        </w:trPr>
        <w:tc>
          <w:tcPr>
            <w:tcW w:w="2695" w:type="dxa"/>
          </w:tcPr>
          <w:p w14:paraId="36A22F8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070690B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Agranulocytosis, alopecia, anaemia, anal inflammation, appetite decreased, asthenia, bone marrow disorders, bronchospasm, diarrhoea, gastrointestinal disorders, haemorrhage, hand and foot syndrome (long term use), healing impaired, immunosuppression, increased risk of infection, ischaemic heart disease, leucopenia, malaise, mucositis, nausea, neutropenia, skin reactions, stomatitis, thrombocytopenia, vomiting, arrhythmias, cardiac inflammation, cardiogenic shock, cardiomyopathy congestive, dehydration, dizziness, drowsiness, euphoric mood, eye disorders, eye inflammation, headache, heart </w:t>
            </w:r>
            <w:r w:rsidRPr="00F10C37">
              <w:rPr>
                <w:rFonts w:eastAsia="Calibri" w:cs="Times New Roman"/>
                <w:color w:val="000000" w:themeColor="text1"/>
                <w:szCs w:val="24"/>
              </w:rPr>
              <w:lastRenderedPageBreak/>
              <w:t>failure, hepatic disorders, hypotension, movement disorders, myocardial infarction, nail discolouration, nail disorders, nerve disorders, ovulation disorder, parkinsonism, photosensitivity reaction, sepsis, spermatogenesis disorder, vision disorders.</w:t>
            </w:r>
          </w:p>
        </w:tc>
      </w:tr>
      <w:tr w:rsidR="005D59D6" w:rsidRPr="00F10C37" w14:paraId="2C9FC16F" w14:textId="77777777" w:rsidTr="002D6DD7">
        <w:trPr>
          <w:jc w:val="center"/>
        </w:trPr>
        <w:tc>
          <w:tcPr>
            <w:tcW w:w="2695" w:type="dxa"/>
          </w:tcPr>
          <w:p w14:paraId="3386645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45C4DEA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History of heart disease, partial dihydropyrimidine dehydrogenase deficiency, mucositis and/or diarrhoea, GI toxicity, neurologic toxicity, hand-foot syndrome, pregnancy and breastfeeding. </w:t>
            </w:r>
          </w:p>
        </w:tc>
      </w:tr>
      <w:tr w:rsidR="005D59D6" w:rsidRPr="00F10C37" w14:paraId="296A305E" w14:textId="77777777" w:rsidTr="002D6DD7">
        <w:trPr>
          <w:jc w:val="center"/>
        </w:trPr>
        <w:tc>
          <w:tcPr>
            <w:tcW w:w="2695" w:type="dxa"/>
          </w:tcPr>
          <w:p w14:paraId="07CC7B5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4AA4A56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below 30°C. Protect from light and moisture. </w:t>
            </w:r>
          </w:p>
        </w:tc>
      </w:tr>
      <w:tr w:rsidR="005D59D6" w:rsidRPr="00F10C37" w14:paraId="2C2E6B21" w14:textId="77777777" w:rsidTr="002D6DD7">
        <w:trPr>
          <w:jc w:val="center"/>
        </w:trPr>
        <w:tc>
          <w:tcPr>
            <w:tcW w:w="9705" w:type="dxa"/>
            <w:gridSpan w:val="2"/>
          </w:tcPr>
          <w:p w14:paraId="69CE58B8" w14:textId="77777777" w:rsidR="005D59D6" w:rsidRPr="00F10C37" w:rsidRDefault="005D59D6" w:rsidP="002D6DD7">
            <w:pPr>
              <w:jc w:val="both"/>
              <w:rPr>
                <w:rFonts w:eastAsia="Calibri" w:cs="Times New Roman"/>
                <w:color w:val="000000" w:themeColor="text1"/>
                <w:szCs w:val="24"/>
              </w:rPr>
            </w:pPr>
            <w:r w:rsidRPr="00F10C37">
              <w:rPr>
                <w:rFonts w:cs="Times New Roman"/>
                <w:b/>
                <w:bCs/>
                <w:szCs w:val="24"/>
              </w:rPr>
              <w:t>Gemcitabine</w:t>
            </w:r>
          </w:p>
        </w:tc>
      </w:tr>
      <w:tr w:rsidR="005D59D6" w:rsidRPr="00F10C37" w14:paraId="3D9DDC75" w14:textId="77777777" w:rsidTr="002D6DD7">
        <w:trPr>
          <w:jc w:val="center"/>
        </w:trPr>
        <w:tc>
          <w:tcPr>
            <w:tcW w:w="2695" w:type="dxa"/>
          </w:tcPr>
          <w:p w14:paraId="0BD0942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5BCF5FD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nucleoside analog</w:t>
            </w:r>
          </w:p>
        </w:tc>
      </w:tr>
      <w:tr w:rsidR="005D59D6" w:rsidRPr="00F10C37" w14:paraId="60948826" w14:textId="77777777" w:rsidTr="002D6DD7">
        <w:trPr>
          <w:jc w:val="center"/>
        </w:trPr>
        <w:tc>
          <w:tcPr>
            <w:tcW w:w="2695" w:type="dxa"/>
          </w:tcPr>
          <w:p w14:paraId="6C1F444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068C28F9"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200mg, 1g in vial</w:t>
            </w:r>
          </w:p>
          <w:p w14:paraId="4A0C9A9E"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Solution for injection: 10 mg/</w:t>
            </w:r>
            <w:r>
              <w:rPr>
                <w:rFonts w:eastAsia="Arial" w:cs="Times New Roman"/>
                <w:szCs w:val="24"/>
              </w:rPr>
              <w:t>ml</w:t>
            </w:r>
          </w:p>
        </w:tc>
      </w:tr>
      <w:tr w:rsidR="005D59D6" w:rsidRPr="00F10C37" w14:paraId="11649A25" w14:textId="77777777" w:rsidTr="002D6DD7">
        <w:trPr>
          <w:jc w:val="center"/>
        </w:trPr>
        <w:tc>
          <w:tcPr>
            <w:tcW w:w="2695" w:type="dxa"/>
          </w:tcPr>
          <w:p w14:paraId="3D37F119"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2629170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Pancreatic cancer, NSCLC, </w:t>
            </w:r>
            <w:r>
              <w:rPr>
                <w:rFonts w:eastAsia="Calibri" w:cs="Times New Roman"/>
                <w:color w:val="000000" w:themeColor="text1"/>
                <w:szCs w:val="24"/>
              </w:rPr>
              <w:t>b</w:t>
            </w:r>
            <w:r w:rsidRPr="00F10C37">
              <w:rPr>
                <w:rFonts w:eastAsia="Calibri" w:cs="Times New Roman"/>
                <w:color w:val="000000" w:themeColor="text1"/>
                <w:szCs w:val="24"/>
              </w:rPr>
              <w:t xml:space="preserve">reast cancer, </w:t>
            </w:r>
            <w:r>
              <w:rPr>
                <w:rFonts w:eastAsia="Calibri" w:cs="Times New Roman"/>
                <w:color w:val="000000" w:themeColor="text1"/>
                <w:szCs w:val="24"/>
              </w:rPr>
              <w:t>o</w:t>
            </w:r>
            <w:r w:rsidRPr="00F10C37">
              <w:rPr>
                <w:rFonts w:eastAsia="Calibri" w:cs="Times New Roman"/>
                <w:color w:val="000000" w:themeColor="text1"/>
                <w:szCs w:val="24"/>
              </w:rPr>
              <w:t xml:space="preserve">varian cancer, </w:t>
            </w:r>
            <w:r>
              <w:rPr>
                <w:rFonts w:eastAsia="Calibri" w:cs="Times New Roman"/>
                <w:color w:val="000000" w:themeColor="text1"/>
                <w:szCs w:val="24"/>
              </w:rPr>
              <w:t>b</w:t>
            </w:r>
            <w:r w:rsidRPr="00F10C37">
              <w:rPr>
                <w:rFonts w:eastAsia="Calibri" w:cs="Times New Roman"/>
                <w:color w:val="000000" w:themeColor="text1"/>
                <w:szCs w:val="24"/>
              </w:rPr>
              <w:t xml:space="preserve">ladder cancer, </w:t>
            </w:r>
            <w:r>
              <w:rPr>
                <w:rFonts w:eastAsia="Calibri" w:cs="Times New Roman"/>
                <w:color w:val="000000" w:themeColor="text1"/>
                <w:szCs w:val="24"/>
              </w:rPr>
              <w:t>s</w:t>
            </w:r>
            <w:r w:rsidRPr="00F10C37">
              <w:rPr>
                <w:rFonts w:eastAsia="Calibri" w:cs="Times New Roman"/>
                <w:color w:val="000000" w:themeColor="text1"/>
                <w:szCs w:val="24"/>
              </w:rPr>
              <w:t>oft tissue sarcoma.</w:t>
            </w:r>
          </w:p>
        </w:tc>
      </w:tr>
      <w:tr w:rsidR="005D59D6" w:rsidRPr="00F10C37" w14:paraId="54375E1B" w14:textId="77777777" w:rsidTr="002D6DD7">
        <w:trPr>
          <w:jc w:val="center"/>
        </w:trPr>
        <w:tc>
          <w:tcPr>
            <w:tcW w:w="2695" w:type="dxa"/>
          </w:tcPr>
          <w:p w14:paraId="5B7A3EED"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BCD00DB"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NSCLC:</w:t>
            </w:r>
            <w:r w:rsidRPr="00F10C37">
              <w:rPr>
                <w:rFonts w:eastAsia="Calibri" w:cs="Times New Roman"/>
                <w:color w:val="000000" w:themeColor="text1"/>
                <w:szCs w:val="24"/>
              </w:rPr>
              <w:t xml:space="preserve"> 1,200 mg/m2 IV on days 1, 8, and 15 every 28 days.</w:t>
            </w:r>
          </w:p>
          <w:p w14:paraId="02A6CDF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For others</w:t>
            </w:r>
            <w:r w:rsidRPr="00F10C37">
              <w:rPr>
                <w:rFonts w:eastAsia="Calibri" w:cs="Times New Roman"/>
                <w:color w:val="000000" w:themeColor="text1"/>
                <w:szCs w:val="24"/>
              </w:rPr>
              <w:t>: 1,000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every week for 7 weeks, with 1-week rest. Treatment then continues weekly for 3 weeks, followed by 1-week rest; OR</w:t>
            </w:r>
            <w:r w:rsidRPr="00F10C37">
              <w:rPr>
                <w:rFonts w:eastAsia="Calibri" w:cs="Times New Roman"/>
                <w:i/>
                <w:color w:val="000000" w:themeColor="text1"/>
                <w:szCs w:val="24"/>
              </w:rPr>
              <w:t xml:space="preserve"> </w:t>
            </w:r>
            <w:r w:rsidRPr="00F10C37">
              <w:rPr>
                <w:rFonts w:eastAsia="Calibri" w:cs="Times New Roman"/>
                <w:color w:val="000000" w:themeColor="text1"/>
                <w:szCs w:val="24"/>
              </w:rPr>
              <w:t>1,000 mg/m2 IV on days 1, 8, and 15 in combination with Abraxane 125 mg/m2 IV on days 1, 8, and 15, with cycles repeated every 28 days.</w:t>
            </w:r>
          </w:p>
        </w:tc>
      </w:tr>
      <w:tr w:rsidR="005D59D6" w:rsidRPr="00F10C37" w14:paraId="7C32945F" w14:textId="77777777" w:rsidTr="002D6DD7">
        <w:trPr>
          <w:jc w:val="center"/>
        </w:trPr>
        <w:tc>
          <w:tcPr>
            <w:tcW w:w="2695" w:type="dxa"/>
          </w:tcPr>
          <w:p w14:paraId="6B221D8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16D4C91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severe renal impairment (CrCl&lt; 20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27A32259" w14:textId="77777777" w:rsidTr="002D6DD7">
        <w:trPr>
          <w:jc w:val="center"/>
        </w:trPr>
        <w:tc>
          <w:tcPr>
            <w:tcW w:w="2695" w:type="dxa"/>
          </w:tcPr>
          <w:p w14:paraId="3B7302B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463CDAC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Azathioprine, bleomycin, carbimazole, capecitabine, cisplatin, chlorambucil, cyclophosphamide, docetaxel, doxorubicin, epirubicin, ethosuccimide, etoposide, fluorouracil, ifosfamide, irinotecan, linezolid, methotrexate, mercaptopurine, mycophenolate, olanzapine, oxaliplatin, paclitaxel, rituximab, propylthiouracil, sulphamethoxazole, sulfadiazine, trimethoprim, vincristine, vinblastine, zidovudine. </w:t>
            </w:r>
          </w:p>
        </w:tc>
      </w:tr>
      <w:tr w:rsidR="005D59D6" w:rsidRPr="00F10C37" w14:paraId="7EC6BFA2" w14:textId="77777777" w:rsidTr="002D6DD7">
        <w:trPr>
          <w:jc w:val="center"/>
        </w:trPr>
        <w:tc>
          <w:tcPr>
            <w:tcW w:w="2695" w:type="dxa"/>
          </w:tcPr>
          <w:p w14:paraId="3869806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7010" w:type="dxa"/>
            <w:shd w:val="clear" w:color="auto" w:fill="auto"/>
          </w:tcPr>
          <w:p w14:paraId="4270DC7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Alopecia, anaemia, appetite decreased, asthenia, back pain, bone marrow depression, chills, constipation, cough, diarrhoea, drowsiness, dyspnoea, fever, haematuria, headache, hyperhidrosis, influenza like illness, insomnia, leucopenia, myalgia, nausea, neutropenia, oedema, oral disorders, proteinuria, rhinitis, skin reactions, thrombocytopenia, vomiting, respiratory disorders, capillary leak syndrome, hypotension, myocardial infarction, encephalopathy syndrome, severe cutaneous adverse reactions, skin ulcer, thrombocytosis. </w:t>
            </w:r>
          </w:p>
        </w:tc>
      </w:tr>
      <w:tr w:rsidR="005D59D6" w:rsidRPr="00F10C37" w14:paraId="6A88F5A4" w14:textId="77777777" w:rsidTr="002D6DD7">
        <w:trPr>
          <w:jc w:val="center"/>
        </w:trPr>
        <w:tc>
          <w:tcPr>
            <w:tcW w:w="2695" w:type="dxa"/>
          </w:tcPr>
          <w:p w14:paraId="29B2941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42E872C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Pregnancy and breastfeeding, pre-existing cardiac disease, abnormal liver and/or renal function.</w:t>
            </w:r>
          </w:p>
        </w:tc>
      </w:tr>
      <w:tr w:rsidR="005D59D6" w:rsidRPr="00F10C37" w14:paraId="0060C71F" w14:textId="77777777" w:rsidTr="002D6DD7">
        <w:trPr>
          <w:jc w:val="center"/>
        </w:trPr>
        <w:tc>
          <w:tcPr>
            <w:tcW w:w="2695" w:type="dxa"/>
          </w:tcPr>
          <w:p w14:paraId="2344863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16DEE7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Store </w:t>
            </w:r>
            <w:r>
              <w:rPr>
                <w:rFonts w:eastAsia="Calibri" w:cs="Times New Roman"/>
                <w:color w:val="000000" w:themeColor="text1"/>
                <w:szCs w:val="24"/>
              </w:rPr>
              <w:t>between</w:t>
            </w:r>
            <w:r w:rsidRPr="00F10C37">
              <w:rPr>
                <w:rFonts w:eastAsia="Calibri" w:cs="Times New Roman"/>
                <w:color w:val="000000" w:themeColor="text1"/>
                <w:szCs w:val="24"/>
              </w:rPr>
              <w:t xml:space="preserve"> 15°C to 30°C. Reconstituted solutions should be used immediately or stored under refrigeration (2-8°C).</w:t>
            </w:r>
          </w:p>
        </w:tc>
      </w:tr>
      <w:tr w:rsidR="005D59D6" w:rsidRPr="00F10C37" w14:paraId="3A4B0865" w14:textId="77777777" w:rsidTr="002D6DD7">
        <w:trPr>
          <w:jc w:val="center"/>
        </w:trPr>
        <w:tc>
          <w:tcPr>
            <w:tcW w:w="9705" w:type="dxa"/>
            <w:gridSpan w:val="2"/>
          </w:tcPr>
          <w:p w14:paraId="1BC39C2C" w14:textId="77777777" w:rsidR="005D59D6" w:rsidRPr="00F10C37" w:rsidRDefault="005D59D6" w:rsidP="002D6DD7">
            <w:pPr>
              <w:jc w:val="both"/>
              <w:rPr>
                <w:rFonts w:eastAsia="Calibri" w:cs="Times New Roman"/>
                <w:szCs w:val="24"/>
              </w:rPr>
            </w:pPr>
            <w:r w:rsidRPr="00F10C37">
              <w:rPr>
                <w:rFonts w:cs="Times New Roman"/>
                <w:b/>
                <w:bCs/>
                <w:szCs w:val="24"/>
              </w:rPr>
              <w:t>Hydroxyurea (hydroxycarbamide)</w:t>
            </w:r>
            <w:r w:rsidRPr="00F10C37">
              <w:rPr>
                <w:rFonts w:cs="Times New Roman"/>
                <w:b/>
                <w:bCs/>
                <w:szCs w:val="24"/>
              </w:rPr>
              <w:tab/>
            </w:r>
          </w:p>
        </w:tc>
      </w:tr>
      <w:tr w:rsidR="005D59D6" w:rsidRPr="00F10C37" w14:paraId="276879D0" w14:textId="77777777" w:rsidTr="002D6DD7">
        <w:trPr>
          <w:jc w:val="center"/>
        </w:trPr>
        <w:tc>
          <w:tcPr>
            <w:tcW w:w="2695" w:type="dxa"/>
          </w:tcPr>
          <w:p w14:paraId="6B8DEC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3EBE58F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antimetabolite</w:t>
            </w:r>
          </w:p>
        </w:tc>
      </w:tr>
      <w:tr w:rsidR="005D59D6" w:rsidRPr="00F10C37" w14:paraId="7F7E6199" w14:textId="77777777" w:rsidTr="002D6DD7">
        <w:trPr>
          <w:jc w:val="center"/>
        </w:trPr>
        <w:tc>
          <w:tcPr>
            <w:tcW w:w="2695" w:type="dxa"/>
          </w:tcPr>
          <w:p w14:paraId="6E15F83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5BE0B6D7" w14:textId="77777777" w:rsidR="005D59D6" w:rsidRPr="00F10C37" w:rsidRDefault="005D59D6" w:rsidP="002D6DD7">
            <w:pPr>
              <w:jc w:val="both"/>
              <w:rPr>
                <w:rFonts w:eastAsia="Arial" w:cs="Times New Roman"/>
                <w:szCs w:val="24"/>
                <w:lang w:val="sv-SE"/>
              </w:rPr>
            </w:pPr>
            <w:r w:rsidRPr="00F10C37">
              <w:rPr>
                <w:rFonts w:eastAsia="Arial" w:cs="Times New Roman"/>
                <w:szCs w:val="24"/>
                <w:lang w:val="sv-SE"/>
              </w:rPr>
              <w:t>Tablet: 100 mg, 200 mg, 300 mg, 400 mg, 500 mg, 1 g</w:t>
            </w:r>
          </w:p>
          <w:p w14:paraId="56D333FD"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 500mg</w:t>
            </w:r>
          </w:p>
        </w:tc>
      </w:tr>
      <w:tr w:rsidR="005D59D6" w:rsidRPr="00F10C37" w14:paraId="08391F11" w14:textId="77777777" w:rsidTr="002D6DD7">
        <w:trPr>
          <w:jc w:val="center"/>
        </w:trPr>
        <w:tc>
          <w:tcPr>
            <w:tcW w:w="2695" w:type="dxa"/>
          </w:tcPr>
          <w:p w14:paraId="2E7331FB"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1451265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w:t>
            </w:r>
            <w:r>
              <w:rPr>
                <w:rFonts w:eastAsia="Calibri" w:cs="Times New Roman"/>
                <w:color w:val="000000" w:themeColor="text1"/>
                <w:szCs w:val="24"/>
              </w:rPr>
              <w:t>ML</w:t>
            </w:r>
            <w:r w:rsidRPr="00F10C37">
              <w:rPr>
                <w:rFonts w:eastAsia="Calibri" w:cs="Times New Roman"/>
                <w:color w:val="000000" w:themeColor="text1"/>
                <w:szCs w:val="24"/>
              </w:rPr>
              <w:t xml:space="preserve">, </w:t>
            </w:r>
            <w:r>
              <w:rPr>
                <w:rFonts w:eastAsia="Calibri" w:cs="Times New Roman"/>
                <w:color w:val="000000" w:themeColor="text1"/>
                <w:szCs w:val="24"/>
              </w:rPr>
              <w:t>e</w:t>
            </w:r>
            <w:r w:rsidRPr="00F10C37">
              <w:rPr>
                <w:rFonts w:eastAsia="Calibri" w:cs="Times New Roman"/>
                <w:color w:val="000000" w:themeColor="text1"/>
                <w:szCs w:val="24"/>
              </w:rPr>
              <w:t xml:space="preserve">ssential thrombocytosis, </w:t>
            </w:r>
            <w:r>
              <w:rPr>
                <w:rFonts w:eastAsia="Calibri" w:cs="Times New Roman"/>
                <w:color w:val="000000" w:themeColor="text1"/>
                <w:szCs w:val="24"/>
              </w:rPr>
              <w:t>p</w:t>
            </w:r>
            <w:r w:rsidRPr="00F10C37">
              <w:rPr>
                <w:rFonts w:eastAsia="Calibri" w:cs="Times New Roman"/>
                <w:color w:val="000000" w:themeColor="text1"/>
                <w:szCs w:val="24"/>
              </w:rPr>
              <w:t xml:space="preserve">olycythemia vera, </w:t>
            </w:r>
            <w:r>
              <w:rPr>
                <w:rFonts w:eastAsia="Calibri" w:cs="Times New Roman"/>
                <w:color w:val="000000" w:themeColor="text1"/>
                <w:szCs w:val="24"/>
              </w:rPr>
              <w:t>s</w:t>
            </w:r>
            <w:r w:rsidRPr="00F10C37">
              <w:rPr>
                <w:rFonts w:eastAsia="Calibri" w:cs="Times New Roman"/>
                <w:color w:val="000000" w:themeColor="text1"/>
                <w:szCs w:val="24"/>
              </w:rPr>
              <w:t xml:space="preserve">ickle cell disease, </w:t>
            </w:r>
            <w:r>
              <w:rPr>
                <w:rFonts w:eastAsia="Calibri" w:cs="Times New Roman"/>
                <w:color w:val="000000" w:themeColor="text1"/>
                <w:szCs w:val="24"/>
              </w:rPr>
              <w:t>h</w:t>
            </w:r>
            <w:r w:rsidRPr="00F10C37">
              <w:rPr>
                <w:rFonts w:eastAsia="Calibri" w:cs="Times New Roman"/>
                <w:color w:val="000000" w:themeColor="text1"/>
                <w:szCs w:val="24"/>
              </w:rPr>
              <w:t xml:space="preserve">ead and </w:t>
            </w:r>
            <w:r>
              <w:rPr>
                <w:rFonts w:eastAsia="Calibri" w:cs="Times New Roman"/>
                <w:color w:val="000000" w:themeColor="text1"/>
                <w:szCs w:val="24"/>
              </w:rPr>
              <w:t>n</w:t>
            </w:r>
            <w:r w:rsidRPr="00F10C37">
              <w:rPr>
                <w:rFonts w:eastAsia="Calibri" w:cs="Times New Roman"/>
                <w:color w:val="000000" w:themeColor="text1"/>
                <w:szCs w:val="24"/>
              </w:rPr>
              <w:t xml:space="preserve">eck cancer. </w:t>
            </w:r>
          </w:p>
        </w:tc>
      </w:tr>
      <w:tr w:rsidR="005D59D6" w:rsidRPr="00F10C37" w14:paraId="639F883D" w14:textId="77777777" w:rsidTr="002D6DD7">
        <w:trPr>
          <w:jc w:val="center"/>
        </w:trPr>
        <w:tc>
          <w:tcPr>
            <w:tcW w:w="2695" w:type="dxa"/>
          </w:tcPr>
          <w:p w14:paraId="126996E3"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7CE2F6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w:t>
            </w:r>
            <w:r>
              <w:rPr>
                <w:rFonts w:eastAsia="Calibri" w:cs="Times New Roman"/>
                <w:b/>
                <w:color w:val="000000" w:themeColor="text1"/>
                <w:szCs w:val="24"/>
              </w:rPr>
              <w:t>ML</w:t>
            </w:r>
            <w:r w:rsidRPr="00F10C37">
              <w:rPr>
                <w:rFonts w:eastAsia="Calibri" w:cs="Times New Roman"/>
                <w:color w:val="000000" w:themeColor="text1"/>
                <w:szCs w:val="24"/>
              </w:rPr>
              <w:t>: 20–40 mg/kg PO daily.</w:t>
            </w:r>
          </w:p>
          <w:p w14:paraId="3BFE1B7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Sickle cell disease</w:t>
            </w:r>
            <w:r w:rsidRPr="00F10C37">
              <w:rPr>
                <w:rFonts w:eastAsia="Calibri" w:cs="Times New Roman"/>
                <w:color w:val="000000" w:themeColor="text1"/>
                <w:szCs w:val="24"/>
              </w:rPr>
              <w:t xml:space="preserve">: 15 mg/kg/day PO for adult and 20mg/kg/day for paediatrics as a single dose. Increase the daily dose by 5mg/kg every 12 week to the maximum of 35mg/kg/day. </w:t>
            </w:r>
          </w:p>
          <w:p w14:paraId="1E70D7B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Combination therapy with irradiation of head and neck cancer</w:t>
            </w:r>
            <w:r w:rsidRPr="00F10C37">
              <w:rPr>
                <w:rFonts w:eastAsia="Calibri" w:cs="Times New Roman"/>
                <w:color w:val="000000" w:themeColor="text1"/>
                <w:szCs w:val="24"/>
              </w:rPr>
              <w:t>: 80 mg/kg PO every third day and initiated at least 7 days before radiation therapy.</w:t>
            </w:r>
          </w:p>
          <w:p w14:paraId="6A0F2F89"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 xml:space="preserve">Polycythemia vera and Essential thrombocytosis: </w:t>
            </w:r>
            <w:r w:rsidRPr="00F10C37">
              <w:rPr>
                <w:rFonts w:eastAsia="Calibri" w:cs="Times New Roman"/>
                <w:color w:val="000000" w:themeColor="text1"/>
                <w:szCs w:val="24"/>
              </w:rPr>
              <w:t>15-20mg/kg/day</w:t>
            </w:r>
          </w:p>
        </w:tc>
      </w:tr>
      <w:tr w:rsidR="005D59D6" w:rsidRPr="00F10C37" w14:paraId="281277D9" w14:textId="77777777" w:rsidTr="002D6DD7">
        <w:trPr>
          <w:jc w:val="center"/>
        </w:trPr>
        <w:tc>
          <w:tcPr>
            <w:tcW w:w="2695" w:type="dxa"/>
          </w:tcPr>
          <w:p w14:paraId="7A3A747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2F92A6B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severe bone marrow suppression or bleeding disorders, renal impairment (CrCl&lt; 60 </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54B92426" w14:textId="77777777" w:rsidTr="002D6DD7">
        <w:trPr>
          <w:jc w:val="center"/>
        </w:trPr>
        <w:tc>
          <w:tcPr>
            <w:tcW w:w="2695" w:type="dxa"/>
          </w:tcPr>
          <w:p w14:paraId="678C909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16945CC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5-FU, </w:t>
            </w:r>
            <w:r>
              <w:rPr>
                <w:rFonts w:eastAsia="Calibri" w:cs="Times New Roman"/>
                <w:color w:val="000000" w:themeColor="text1"/>
                <w:szCs w:val="24"/>
              </w:rPr>
              <w:t>z</w:t>
            </w:r>
            <w:r w:rsidRPr="00F10C37">
              <w:rPr>
                <w:rFonts w:eastAsia="Calibri" w:cs="Times New Roman"/>
                <w:color w:val="000000" w:themeColor="text1"/>
                <w:szCs w:val="24"/>
              </w:rPr>
              <w:t>idovudine.</w:t>
            </w:r>
          </w:p>
        </w:tc>
      </w:tr>
      <w:tr w:rsidR="005D59D6" w:rsidRPr="00F10C37" w14:paraId="61F2E98F" w14:textId="77777777" w:rsidTr="002D6DD7">
        <w:trPr>
          <w:jc w:val="center"/>
        </w:trPr>
        <w:tc>
          <w:tcPr>
            <w:tcW w:w="2695" w:type="dxa"/>
          </w:tcPr>
          <w:p w14:paraId="5DACB3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456C2C7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Alopecia, anaemia, appetite decreased, asthenia, bone marrow disorders, chills, constipation, cutaneous vasculitis, dermatomyositis, </w:t>
            </w:r>
            <w:r w:rsidRPr="00F10C37">
              <w:rPr>
                <w:rFonts w:eastAsia="Calibri" w:cs="Times New Roman"/>
                <w:color w:val="000000" w:themeColor="text1"/>
                <w:szCs w:val="24"/>
              </w:rPr>
              <w:lastRenderedPageBreak/>
              <w:t>diarrhoea, disorientation, dizziness, drowsiness, dyspnoea, dysuria, fever, gastrointestinal discomfort, haemorrhage, hallucination, headache, hepatic disorders, leucopenia, malaise, mucositis, nail discolouration, nail disorder, nausea, neoplasms, neutropenia, oral disorders, pancreatitis, peripheral neuropathy, pulmonary oedema, red blood cell abnormalities, respiratory disorders, seizure, skin reactions, skin ulcers, sperm abnormalities, thrombocytopenia, vomiting.</w:t>
            </w:r>
          </w:p>
        </w:tc>
      </w:tr>
      <w:tr w:rsidR="005D59D6" w:rsidRPr="00F10C37" w14:paraId="6C03EC0E" w14:textId="77777777" w:rsidTr="002D6DD7">
        <w:trPr>
          <w:jc w:val="center"/>
        </w:trPr>
        <w:tc>
          <w:tcPr>
            <w:tcW w:w="2695" w:type="dxa"/>
          </w:tcPr>
          <w:p w14:paraId="3EF6F75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237C20D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Leg ulcers (vasculitic ulcerations), pregnancy and breastfeeding, hepatic and renal impairment.</w:t>
            </w:r>
          </w:p>
        </w:tc>
      </w:tr>
      <w:tr w:rsidR="005D59D6" w:rsidRPr="00F10C37" w14:paraId="197B3DC5" w14:textId="77777777" w:rsidTr="002D6DD7">
        <w:trPr>
          <w:jc w:val="center"/>
        </w:trPr>
        <w:tc>
          <w:tcPr>
            <w:tcW w:w="2695" w:type="dxa"/>
          </w:tcPr>
          <w:p w14:paraId="6D83D82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760784B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 °C. Protect from moisture and light.</w:t>
            </w:r>
          </w:p>
        </w:tc>
      </w:tr>
      <w:tr w:rsidR="005D59D6" w:rsidRPr="00F10C37" w14:paraId="3F7BC819" w14:textId="77777777" w:rsidTr="002D6DD7">
        <w:trPr>
          <w:jc w:val="center"/>
        </w:trPr>
        <w:tc>
          <w:tcPr>
            <w:tcW w:w="9705" w:type="dxa"/>
            <w:gridSpan w:val="2"/>
          </w:tcPr>
          <w:p w14:paraId="27FD6797" w14:textId="77777777" w:rsidR="005D59D6" w:rsidRPr="00F10C37" w:rsidRDefault="005D59D6" w:rsidP="002D6DD7">
            <w:pPr>
              <w:jc w:val="both"/>
              <w:rPr>
                <w:rFonts w:eastAsia="Calibri" w:cs="Times New Roman"/>
                <w:szCs w:val="24"/>
              </w:rPr>
            </w:pPr>
            <w:r w:rsidRPr="00F10C37">
              <w:rPr>
                <w:rFonts w:cs="Times New Roman"/>
                <w:b/>
                <w:bCs/>
                <w:szCs w:val="24"/>
              </w:rPr>
              <w:t>Ifosfamide</w:t>
            </w:r>
          </w:p>
        </w:tc>
      </w:tr>
      <w:tr w:rsidR="005D59D6" w:rsidRPr="00F10C37" w14:paraId="720207FB" w14:textId="77777777" w:rsidTr="002D6DD7">
        <w:trPr>
          <w:jc w:val="center"/>
        </w:trPr>
        <w:tc>
          <w:tcPr>
            <w:tcW w:w="2695" w:type="dxa"/>
          </w:tcPr>
          <w:p w14:paraId="0AB842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59D8ECD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alkylating agent</w:t>
            </w:r>
          </w:p>
        </w:tc>
      </w:tr>
      <w:tr w:rsidR="005D59D6" w:rsidRPr="00F10C37" w14:paraId="4E02999E" w14:textId="77777777" w:rsidTr="002D6DD7">
        <w:trPr>
          <w:jc w:val="center"/>
        </w:trPr>
        <w:tc>
          <w:tcPr>
            <w:tcW w:w="2695" w:type="dxa"/>
          </w:tcPr>
          <w:p w14:paraId="52F9244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3AF116C0"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Powder for injection: 500 mg, 1000mg, 2000mg, 3000mg in      vial</w:t>
            </w:r>
          </w:p>
        </w:tc>
      </w:tr>
      <w:tr w:rsidR="005D59D6" w:rsidRPr="00F10C37" w14:paraId="3000ACCE" w14:textId="77777777" w:rsidTr="002D6DD7">
        <w:trPr>
          <w:jc w:val="center"/>
        </w:trPr>
        <w:tc>
          <w:tcPr>
            <w:tcW w:w="2695" w:type="dxa"/>
          </w:tcPr>
          <w:p w14:paraId="54CC2261"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364FD7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Germ cell tumors, </w:t>
            </w:r>
            <w:r>
              <w:rPr>
                <w:rFonts w:eastAsia="Calibri" w:cs="Times New Roman"/>
                <w:color w:val="000000" w:themeColor="text1"/>
                <w:szCs w:val="24"/>
              </w:rPr>
              <w:t>s</w:t>
            </w:r>
            <w:r w:rsidRPr="00F10C37">
              <w:rPr>
                <w:rFonts w:eastAsia="Calibri" w:cs="Times New Roman"/>
                <w:color w:val="000000" w:themeColor="text1"/>
                <w:szCs w:val="24"/>
              </w:rPr>
              <w:t xml:space="preserve">arcoma, NHL, HL, SCLC and NSCLC, </w:t>
            </w:r>
            <w:r>
              <w:rPr>
                <w:rFonts w:eastAsia="Calibri" w:cs="Times New Roman"/>
                <w:color w:val="000000" w:themeColor="text1"/>
                <w:szCs w:val="24"/>
              </w:rPr>
              <w:t>h</w:t>
            </w:r>
            <w:r w:rsidRPr="00F10C37">
              <w:rPr>
                <w:rFonts w:eastAsia="Calibri" w:cs="Times New Roman"/>
                <w:color w:val="000000" w:themeColor="text1"/>
                <w:szCs w:val="24"/>
              </w:rPr>
              <w:t xml:space="preserve">ead and </w:t>
            </w:r>
            <w:r>
              <w:rPr>
                <w:rFonts w:eastAsia="Calibri" w:cs="Times New Roman"/>
                <w:color w:val="000000" w:themeColor="text1"/>
                <w:szCs w:val="24"/>
              </w:rPr>
              <w:t>n</w:t>
            </w:r>
            <w:r w:rsidRPr="00F10C37">
              <w:rPr>
                <w:rFonts w:eastAsia="Calibri" w:cs="Times New Roman"/>
                <w:color w:val="000000" w:themeColor="text1"/>
                <w:szCs w:val="24"/>
              </w:rPr>
              <w:t>eck cancer.</w:t>
            </w:r>
          </w:p>
        </w:tc>
      </w:tr>
      <w:tr w:rsidR="005D59D6" w:rsidRPr="00F10C37" w14:paraId="3C589530" w14:textId="77777777" w:rsidTr="002D6DD7">
        <w:trPr>
          <w:jc w:val="center"/>
        </w:trPr>
        <w:tc>
          <w:tcPr>
            <w:tcW w:w="2695" w:type="dxa"/>
          </w:tcPr>
          <w:p w14:paraId="24F2216C"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77F8E3C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Germ cell cancer</w:t>
            </w:r>
            <w:r w:rsidRPr="00F10C37">
              <w:rPr>
                <w:rFonts w:eastAsia="Calibri" w:cs="Times New Roman"/>
                <w:color w:val="000000" w:themeColor="text1"/>
                <w:szCs w:val="24"/>
              </w:rPr>
              <w:t>: 1,200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on days 1–5 every 21 days.</w:t>
            </w:r>
          </w:p>
          <w:p w14:paraId="224653C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Sarcoma</w:t>
            </w:r>
            <w:r w:rsidRPr="00F10C37">
              <w:rPr>
                <w:rFonts w:eastAsia="Calibri" w:cs="Times New Roman"/>
                <w:color w:val="000000" w:themeColor="text1"/>
                <w:szCs w:val="24"/>
              </w:rPr>
              <w:t>: 2,000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continuous infusion on days 1–3 every 21 days.</w:t>
            </w:r>
          </w:p>
          <w:p w14:paraId="7F09E6D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NHL and HL</w:t>
            </w:r>
            <w:r w:rsidRPr="00F10C37">
              <w:rPr>
                <w:rFonts w:eastAsia="Calibri" w:cs="Times New Roman"/>
                <w:color w:val="000000" w:themeColor="text1"/>
                <w:szCs w:val="24"/>
              </w:rPr>
              <w:t>: 1,000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on days 1 and 2 every 28 days.</w:t>
            </w:r>
          </w:p>
          <w:p w14:paraId="39EAB51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Head and neck cancer</w:t>
            </w:r>
            <w:r w:rsidRPr="00F10C37">
              <w:rPr>
                <w:rFonts w:eastAsia="Calibri" w:cs="Times New Roman"/>
                <w:color w:val="000000" w:themeColor="text1"/>
                <w:szCs w:val="24"/>
              </w:rPr>
              <w:t>: 1,000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on days 1–3 every 21–28 days.</w:t>
            </w:r>
          </w:p>
          <w:p w14:paraId="7C329A5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Lung cancer</w:t>
            </w:r>
            <w:r w:rsidRPr="00F10C37">
              <w:rPr>
                <w:rFonts w:eastAsia="Calibri" w:cs="Times New Roman"/>
                <w:color w:val="000000" w:themeColor="text1"/>
                <w:szCs w:val="24"/>
              </w:rPr>
              <w:t>: 1,200-1500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/day IV for 3-5 days every 21-28 days.</w:t>
            </w:r>
          </w:p>
        </w:tc>
      </w:tr>
      <w:tr w:rsidR="005D59D6" w:rsidRPr="00F10C37" w14:paraId="3BFE017D" w14:textId="77777777" w:rsidTr="002D6DD7">
        <w:trPr>
          <w:jc w:val="center"/>
        </w:trPr>
        <w:tc>
          <w:tcPr>
            <w:tcW w:w="2695" w:type="dxa"/>
          </w:tcPr>
          <w:p w14:paraId="2D601D4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5B508B5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Acute infection, cystitis, urinary tract obstruction, urothelial damage, hypersensitivity to ifosfamide or any of its components, severe bone marrow suppression or bleeding disorders, severe renal impairment (CrCl&lt; 10 </w:t>
            </w:r>
            <w:r>
              <w:rPr>
                <w:rFonts w:eastAsia="Calibri" w:cs="Times New Roman"/>
                <w:color w:val="000000" w:themeColor="text1"/>
                <w:szCs w:val="24"/>
              </w:rPr>
              <w:t>ml</w:t>
            </w:r>
            <w:r w:rsidRPr="00F10C37">
              <w:rPr>
                <w:rFonts w:eastAsia="Calibri" w:cs="Times New Roman"/>
                <w:color w:val="000000" w:themeColor="text1"/>
                <w:szCs w:val="24"/>
              </w:rPr>
              <w:t>/min), severe liver disease, and/or cardiac disease.</w:t>
            </w:r>
          </w:p>
        </w:tc>
      </w:tr>
      <w:tr w:rsidR="005D59D6" w:rsidRPr="00F10C37" w14:paraId="0F46D173" w14:textId="77777777" w:rsidTr="002D6DD7">
        <w:trPr>
          <w:jc w:val="center"/>
        </w:trPr>
        <w:tc>
          <w:tcPr>
            <w:tcW w:w="2695" w:type="dxa"/>
          </w:tcPr>
          <w:p w14:paraId="1A8BE87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0460C3D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Phenobarbital, phenytoin, and other drugs that stimulate CYP450 system, cimetidine, allopurinol, cisplatin, warfarin. </w:t>
            </w:r>
          </w:p>
        </w:tc>
      </w:tr>
      <w:tr w:rsidR="005D59D6" w:rsidRPr="00F10C37" w14:paraId="11FDFD84" w14:textId="77777777" w:rsidTr="002D6DD7">
        <w:trPr>
          <w:jc w:val="center"/>
        </w:trPr>
        <w:tc>
          <w:tcPr>
            <w:tcW w:w="2695" w:type="dxa"/>
          </w:tcPr>
          <w:p w14:paraId="2ADDEC4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1EBE9F9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Alopecia, appetite decreased, bone marrow disorders, haemorrhage, hepatic disorders, infection, leucopenia, nausea, reactivation of infection, renal impairment, thrombocytopenia, vomiting, </w:t>
            </w:r>
            <w:r w:rsidRPr="00F10C37">
              <w:rPr>
                <w:rFonts w:eastAsia="Calibri" w:cs="Times New Roman"/>
                <w:color w:val="000000" w:themeColor="text1"/>
                <w:szCs w:val="24"/>
              </w:rPr>
              <w:lastRenderedPageBreak/>
              <w:t>cardiotoxicity, diarrhoea, hypotension, oral disorders.</w:t>
            </w:r>
          </w:p>
        </w:tc>
      </w:tr>
      <w:tr w:rsidR="005D59D6" w:rsidRPr="00F10C37" w14:paraId="352A8729" w14:textId="77777777" w:rsidTr="002D6DD7">
        <w:trPr>
          <w:jc w:val="center"/>
        </w:trPr>
        <w:tc>
          <w:tcPr>
            <w:tcW w:w="2695" w:type="dxa"/>
          </w:tcPr>
          <w:p w14:paraId="57F35C4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7010" w:type="dxa"/>
          </w:tcPr>
          <w:p w14:paraId="2E274FB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Pregnancy and breastfeedin</w:t>
            </w:r>
            <w:r>
              <w:rPr>
                <w:rFonts w:eastAsia="Calibri" w:cs="Times New Roman"/>
                <w:color w:val="000000" w:themeColor="text1"/>
                <w:szCs w:val="24"/>
              </w:rPr>
              <w:t>g</w:t>
            </w:r>
            <w:r w:rsidRPr="00F10C37">
              <w:rPr>
                <w:rFonts w:eastAsia="Calibri" w:cs="Times New Roman"/>
                <w:color w:val="000000" w:themeColor="text1"/>
                <w:szCs w:val="24"/>
              </w:rPr>
              <w:t xml:space="preserve">, signs of haemorrhagic cystitis and neurotoxicity, </w:t>
            </w:r>
            <w:r>
              <w:rPr>
                <w:rFonts w:eastAsia="Calibri" w:cs="Times New Roman"/>
                <w:color w:val="000000" w:themeColor="text1"/>
                <w:szCs w:val="24"/>
              </w:rPr>
              <w:t>a</w:t>
            </w:r>
            <w:r w:rsidRPr="00F10C37">
              <w:rPr>
                <w:rFonts w:eastAsia="Calibri" w:cs="Times New Roman"/>
                <w:color w:val="000000" w:themeColor="text1"/>
                <w:szCs w:val="24"/>
              </w:rPr>
              <w:t>cute porphyrias.</w:t>
            </w:r>
          </w:p>
        </w:tc>
      </w:tr>
      <w:tr w:rsidR="005D59D6" w:rsidRPr="00F10C37" w14:paraId="64AA3A09" w14:textId="77777777" w:rsidTr="002D6DD7">
        <w:trPr>
          <w:jc w:val="center"/>
        </w:trPr>
        <w:tc>
          <w:tcPr>
            <w:tcW w:w="2695" w:type="dxa"/>
          </w:tcPr>
          <w:p w14:paraId="3B8FFBA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1DB5DB4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w:t>
            </w:r>
            <w:r>
              <w:rPr>
                <w:rFonts w:eastAsia="Calibri" w:cs="Times New Roman"/>
                <w:color w:val="000000" w:themeColor="text1"/>
                <w:szCs w:val="24"/>
              </w:rPr>
              <w:t xml:space="preserve"> </w:t>
            </w:r>
            <w:r w:rsidRPr="00F10C37">
              <w:rPr>
                <w:rFonts w:eastAsia="Calibri" w:cs="Times New Roman"/>
                <w:color w:val="000000" w:themeColor="text1"/>
                <w:szCs w:val="24"/>
              </w:rPr>
              <w:t>between 15°C and 30°C. Protect from light.</w:t>
            </w:r>
          </w:p>
        </w:tc>
      </w:tr>
      <w:tr w:rsidR="005D59D6" w:rsidRPr="00F10C37" w14:paraId="0C38BBD1" w14:textId="77777777" w:rsidTr="002D6DD7">
        <w:trPr>
          <w:jc w:val="center"/>
        </w:trPr>
        <w:tc>
          <w:tcPr>
            <w:tcW w:w="9705" w:type="dxa"/>
            <w:gridSpan w:val="2"/>
          </w:tcPr>
          <w:p w14:paraId="71816626" w14:textId="77777777" w:rsidR="005D59D6" w:rsidRPr="00F10C37" w:rsidRDefault="005D59D6" w:rsidP="002D6DD7">
            <w:pPr>
              <w:jc w:val="both"/>
              <w:rPr>
                <w:rFonts w:eastAsia="Calibri" w:cs="Times New Roman"/>
                <w:szCs w:val="24"/>
              </w:rPr>
            </w:pPr>
            <w:r w:rsidRPr="00F10C37">
              <w:rPr>
                <w:rFonts w:cs="Times New Roman"/>
                <w:b/>
                <w:bCs/>
                <w:szCs w:val="24"/>
              </w:rPr>
              <w:t>Irinotecan</w:t>
            </w:r>
          </w:p>
        </w:tc>
      </w:tr>
      <w:tr w:rsidR="005D59D6" w:rsidRPr="00F10C37" w14:paraId="78856A52" w14:textId="77777777" w:rsidTr="002D6DD7">
        <w:trPr>
          <w:jc w:val="center"/>
        </w:trPr>
        <w:tc>
          <w:tcPr>
            <w:tcW w:w="2695" w:type="dxa"/>
          </w:tcPr>
          <w:p w14:paraId="7789E5B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03E7E7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topoisomerase I inhibitor</w:t>
            </w:r>
          </w:p>
        </w:tc>
      </w:tr>
      <w:tr w:rsidR="005D59D6" w:rsidRPr="00F10C37" w14:paraId="37062A46" w14:textId="77777777" w:rsidTr="002D6DD7">
        <w:trPr>
          <w:jc w:val="center"/>
        </w:trPr>
        <w:tc>
          <w:tcPr>
            <w:tcW w:w="2695" w:type="dxa"/>
          </w:tcPr>
          <w:p w14:paraId="314CD19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B1245A1" w14:textId="77777777" w:rsidR="005D59D6" w:rsidRPr="00F10C37" w:rsidRDefault="005D59D6" w:rsidP="002D6DD7">
            <w:pPr>
              <w:jc w:val="both"/>
              <w:rPr>
                <w:rFonts w:eastAsia="Arial" w:cs="Times New Roman"/>
                <w:szCs w:val="24"/>
              </w:rPr>
            </w:pPr>
            <w:r w:rsidRPr="00F10C37">
              <w:rPr>
                <w:rFonts w:eastAsia="Arial" w:cs="Times New Roman"/>
                <w:szCs w:val="24"/>
              </w:rPr>
              <w:t xml:space="preserve">Injection: 40 mg/2 </w:t>
            </w:r>
            <w:r>
              <w:rPr>
                <w:rFonts w:eastAsia="Arial" w:cs="Times New Roman"/>
                <w:szCs w:val="24"/>
              </w:rPr>
              <w:t>ml</w:t>
            </w:r>
            <w:r w:rsidRPr="00F10C37">
              <w:rPr>
                <w:rFonts w:eastAsia="Arial" w:cs="Times New Roman"/>
                <w:szCs w:val="24"/>
              </w:rPr>
              <w:t xml:space="preserve"> in 2 </w:t>
            </w:r>
            <w:r>
              <w:rPr>
                <w:rFonts w:eastAsia="Arial" w:cs="Times New Roman"/>
                <w:szCs w:val="24"/>
              </w:rPr>
              <w:t>ml</w:t>
            </w:r>
            <w:r w:rsidRPr="00F10C37">
              <w:rPr>
                <w:rFonts w:eastAsia="Arial" w:cs="Times New Roman"/>
                <w:szCs w:val="24"/>
              </w:rPr>
              <w:t xml:space="preserve">; 100 mg/5 </w:t>
            </w:r>
            <w:r>
              <w:rPr>
                <w:rFonts w:eastAsia="Arial" w:cs="Times New Roman"/>
                <w:szCs w:val="24"/>
              </w:rPr>
              <w:t>ml</w:t>
            </w:r>
            <w:r w:rsidRPr="00F10C37">
              <w:rPr>
                <w:rFonts w:eastAsia="Arial" w:cs="Times New Roman"/>
                <w:szCs w:val="24"/>
              </w:rPr>
              <w:t xml:space="preserve"> in 5 </w:t>
            </w:r>
            <w:r>
              <w:rPr>
                <w:rFonts w:eastAsia="Arial" w:cs="Times New Roman"/>
                <w:szCs w:val="24"/>
              </w:rPr>
              <w:t>ml</w:t>
            </w:r>
            <w:r w:rsidRPr="00F10C37">
              <w:rPr>
                <w:rFonts w:eastAsia="Arial" w:cs="Times New Roman"/>
                <w:szCs w:val="24"/>
              </w:rPr>
              <w:t xml:space="preserve">; 500 mg/25 </w:t>
            </w:r>
            <w:r>
              <w:rPr>
                <w:rFonts w:eastAsia="Arial" w:cs="Times New Roman"/>
                <w:szCs w:val="24"/>
              </w:rPr>
              <w:t>ml</w:t>
            </w:r>
            <w:r w:rsidRPr="00F10C37">
              <w:rPr>
                <w:rFonts w:eastAsia="Arial" w:cs="Times New Roman"/>
                <w:szCs w:val="24"/>
              </w:rPr>
              <w:t xml:space="preserve"> in 25 </w:t>
            </w:r>
            <w:r>
              <w:rPr>
                <w:rFonts w:eastAsia="Arial" w:cs="Times New Roman"/>
                <w:szCs w:val="24"/>
              </w:rPr>
              <w:t>ml</w:t>
            </w:r>
            <w:r w:rsidRPr="00F10C37">
              <w:rPr>
                <w:rFonts w:eastAsia="Arial" w:cs="Times New Roman"/>
                <w:szCs w:val="24"/>
              </w:rPr>
              <w:t xml:space="preserve"> vial.</w:t>
            </w:r>
          </w:p>
        </w:tc>
      </w:tr>
      <w:tr w:rsidR="005D59D6" w:rsidRPr="00F10C37" w14:paraId="3A7E77FC" w14:textId="77777777" w:rsidTr="002D6DD7">
        <w:trPr>
          <w:jc w:val="center"/>
        </w:trPr>
        <w:tc>
          <w:tcPr>
            <w:tcW w:w="2695" w:type="dxa"/>
          </w:tcPr>
          <w:p w14:paraId="029091C8"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7F354AA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Colorectal cancer, pancreatic cancer, NSCLC, SCLC.</w:t>
            </w:r>
          </w:p>
        </w:tc>
      </w:tr>
      <w:tr w:rsidR="005D59D6" w:rsidRPr="00F10C37" w14:paraId="65BC2EC9" w14:textId="77777777" w:rsidTr="002D6DD7">
        <w:trPr>
          <w:jc w:val="center"/>
        </w:trPr>
        <w:tc>
          <w:tcPr>
            <w:tcW w:w="2695" w:type="dxa"/>
          </w:tcPr>
          <w:p w14:paraId="20CDE4AD"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15CA8A6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Standard regimen</w:t>
            </w:r>
            <w:r w:rsidRPr="00F10C37">
              <w:rPr>
                <w:rFonts w:eastAsia="Calibri" w:cs="Times New Roman"/>
                <w:color w:val="000000" w:themeColor="text1"/>
                <w:szCs w:val="24"/>
              </w:rPr>
              <w:t>: 180 mg/m2 IV as monotherapy or in combination on every-2-week schedule</w:t>
            </w:r>
          </w:p>
          <w:p w14:paraId="162D5FA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Alternative regimen</w:t>
            </w:r>
            <w:r w:rsidRPr="00F10C37">
              <w:rPr>
                <w:rFonts w:eastAsia="Calibri" w:cs="Times New Roman"/>
                <w:color w:val="000000" w:themeColor="text1"/>
                <w:szCs w:val="24"/>
              </w:rPr>
              <w:t>: 300–350 mg/m2 IV on an every-3-week schedule.</w:t>
            </w:r>
          </w:p>
        </w:tc>
      </w:tr>
      <w:tr w:rsidR="005D59D6" w:rsidRPr="00F10C37" w14:paraId="4877B365" w14:textId="77777777" w:rsidTr="002D6DD7">
        <w:trPr>
          <w:jc w:val="center"/>
        </w:trPr>
        <w:tc>
          <w:tcPr>
            <w:tcW w:w="2695" w:type="dxa"/>
          </w:tcPr>
          <w:p w14:paraId="7F5BC50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7EA2D94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severe bone marrow suppression, bowel obstruction, chronic </w:t>
            </w:r>
            <w:r>
              <w:rPr>
                <w:rFonts w:eastAsia="Calibri" w:cs="Times New Roman"/>
                <w:color w:val="000000" w:themeColor="text1"/>
                <w:szCs w:val="24"/>
              </w:rPr>
              <w:t>inflammatory bowl diseases</w:t>
            </w:r>
            <w:r w:rsidRPr="00F10C37">
              <w:rPr>
                <w:rFonts w:eastAsia="Calibri" w:cs="Times New Roman"/>
                <w:color w:val="000000" w:themeColor="text1"/>
                <w:szCs w:val="24"/>
              </w:rPr>
              <w:t>.</w:t>
            </w:r>
          </w:p>
        </w:tc>
      </w:tr>
      <w:tr w:rsidR="005D59D6" w:rsidRPr="00F10C37" w14:paraId="7A4ACD47" w14:textId="77777777" w:rsidTr="002D6DD7">
        <w:trPr>
          <w:jc w:val="center"/>
        </w:trPr>
        <w:tc>
          <w:tcPr>
            <w:tcW w:w="2695" w:type="dxa"/>
          </w:tcPr>
          <w:p w14:paraId="332A01B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6D914D2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Phenytoin, carbamazepine, rifampicin, phenobarbital, St. John’s Wort, ketoconazole, itraconazole, erythromycin, and clarithromycin.</w:t>
            </w:r>
          </w:p>
        </w:tc>
      </w:tr>
      <w:tr w:rsidR="005D59D6" w:rsidRPr="00F10C37" w14:paraId="28FC1DEB" w14:textId="77777777" w:rsidTr="002D6DD7">
        <w:trPr>
          <w:jc w:val="center"/>
        </w:trPr>
        <w:tc>
          <w:tcPr>
            <w:tcW w:w="2695" w:type="dxa"/>
          </w:tcPr>
          <w:p w14:paraId="22B208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22FB97D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Neutropenia, thrombocytopenia, diarrhoea, alopecia, asthenia and anorexia, hepatic and renal toxicity, increase risk of infection.</w:t>
            </w:r>
          </w:p>
        </w:tc>
      </w:tr>
      <w:tr w:rsidR="005D59D6" w:rsidRPr="00F10C37" w14:paraId="470B4C3C" w14:textId="77777777" w:rsidTr="002D6DD7">
        <w:trPr>
          <w:jc w:val="center"/>
        </w:trPr>
        <w:tc>
          <w:tcPr>
            <w:tcW w:w="2695" w:type="dxa"/>
          </w:tcPr>
          <w:p w14:paraId="6B1496E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0FEE60F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Pregnancy and breastfeeding, renal and hepatic (bilirubin concentration 1.5-3.0 times the upper limit of normal) impairment. </w:t>
            </w:r>
          </w:p>
        </w:tc>
      </w:tr>
      <w:tr w:rsidR="005D59D6" w:rsidRPr="00F10C37" w14:paraId="3C678185" w14:textId="77777777" w:rsidTr="002D6DD7">
        <w:trPr>
          <w:jc w:val="center"/>
        </w:trPr>
        <w:tc>
          <w:tcPr>
            <w:tcW w:w="2695" w:type="dxa"/>
          </w:tcPr>
          <w:p w14:paraId="1778657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0D9BE5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moisture and light.</w:t>
            </w:r>
          </w:p>
        </w:tc>
      </w:tr>
      <w:tr w:rsidR="005D59D6" w:rsidRPr="00F10C37" w14:paraId="6952567E" w14:textId="77777777" w:rsidTr="002D6DD7">
        <w:trPr>
          <w:jc w:val="center"/>
        </w:trPr>
        <w:tc>
          <w:tcPr>
            <w:tcW w:w="9705" w:type="dxa"/>
            <w:gridSpan w:val="2"/>
          </w:tcPr>
          <w:p w14:paraId="69E09F76" w14:textId="77777777" w:rsidR="005D59D6" w:rsidRPr="00F10C37" w:rsidRDefault="005D59D6" w:rsidP="002D6DD7">
            <w:pPr>
              <w:jc w:val="both"/>
              <w:rPr>
                <w:rFonts w:eastAsia="Calibri" w:cs="Times New Roman"/>
                <w:szCs w:val="24"/>
              </w:rPr>
            </w:pPr>
            <w:r w:rsidRPr="00F10C37">
              <w:rPr>
                <w:rFonts w:cs="Times New Roman"/>
                <w:b/>
                <w:bCs/>
                <w:szCs w:val="24"/>
              </w:rPr>
              <w:t xml:space="preserve">Melphalan </w:t>
            </w:r>
            <w:r w:rsidRPr="00F10C37">
              <w:rPr>
                <w:rFonts w:cs="Times New Roman"/>
                <w:b/>
                <w:bCs/>
                <w:szCs w:val="24"/>
              </w:rPr>
              <w:tab/>
            </w:r>
          </w:p>
        </w:tc>
      </w:tr>
      <w:tr w:rsidR="005D59D6" w:rsidRPr="00F10C37" w14:paraId="6D0A3B55" w14:textId="77777777" w:rsidTr="002D6DD7">
        <w:trPr>
          <w:jc w:val="center"/>
        </w:trPr>
        <w:tc>
          <w:tcPr>
            <w:tcW w:w="2695" w:type="dxa"/>
          </w:tcPr>
          <w:p w14:paraId="16CD1DC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55FD2F3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Alkylating agent, nitrogen mustard</w:t>
            </w:r>
          </w:p>
        </w:tc>
      </w:tr>
      <w:tr w:rsidR="005D59D6" w:rsidRPr="00F10C37" w14:paraId="61A4ED38" w14:textId="77777777" w:rsidTr="002D6DD7">
        <w:trPr>
          <w:jc w:val="center"/>
        </w:trPr>
        <w:tc>
          <w:tcPr>
            <w:tcW w:w="2695" w:type="dxa"/>
          </w:tcPr>
          <w:p w14:paraId="3C93159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71B09A2C" w14:textId="77777777" w:rsidR="005D59D6" w:rsidRPr="00F10C37" w:rsidRDefault="005D59D6" w:rsidP="002D6DD7">
            <w:pPr>
              <w:jc w:val="both"/>
              <w:rPr>
                <w:rFonts w:eastAsia="Arial" w:cs="Times New Roman"/>
                <w:szCs w:val="24"/>
              </w:rPr>
            </w:pPr>
            <w:r w:rsidRPr="00F10C37">
              <w:rPr>
                <w:rFonts w:eastAsia="Arial" w:cs="Times New Roman"/>
                <w:szCs w:val="24"/>
              </w:rPr>
              <w:t>Tablet: 2 mg</w:t>
            </w:r>
          </w:p>
          <w:p w14:paraId="1F177309"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50 mg in vial</w:t>
            </w:r>
          </w:p>
        </w:tc>
      </w:tr>
      <w:tr w:rsidR="005D59D6" w:rsidRPr="00F10C37" w14:paraId="5F9A1B45" w14:textId="77777777" w:rsidTr="002D6DD7">
        <w:trPr>
          <w:jc w:val="center"/>
        </w:trPr>
        <w:tc>
          <w:tcPr>
            <w:tcW w:w="2695" w:type="dxa"/>
          </w:tcPr>
          <w:p w14:paraId="0F2D6C17"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5C9873A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Multiple myeloma, breast cancer, ovarian cancer, </w:t>
            </w:r>
            <w:r>
              <w:rPr>
                <w:rFonts w:eastAsia="Calibri" w:cs="Times New Roman"/>
                <w:color w:val="000000" w:themeColor="text1"/>
                <w:szCs w:val="24"/>
              </w:rPr>
              <w:t>p</w:t>
            </w:r>
            <w:r w:rsidRPr="00F10C37">
              <w:rPr>
                <w:rFonts w:eastAsia="Calibri" w:cs="Times New Roman"/>
                <w:color w:val="000000" w:themeColor="text1"/>
                <w:szCs w:val="24"/>
              </w:rPr>
              <w:t>olycythemia vera.</w:t>
            </w:r>
          </w:p>
        </w:tc>
      </w:tr>
      <w:tr w:rsidR="005D59D6" w:rsidRPr="00F10C37" w14:paraId="03254AD0" w14:textId="77777777" w:rsidTr="002D6DD7">
        <w:trPr>
          <w:jc w:val="center"/>
        </w:trPr>
        <w:tc>
          <w:tcPr>
            <w:tcW w:w="2695" w:type="dxa"/>
          </w:tcPr>
          <w:p w14:paraId="3615101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61171D0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Multiple myeloma</w:t>
            </w:r>
            <w:r w:rsidRPr="00F10C37">
              <w:rPr>
                <w:rFonts w:eastAsia="Calibri" w:cs="Times New Roman"/>
                <w:color w:val="000000" w:themeColor="text1"/>
                <w:szCs w:val="24"/>
              </w:rPr>
              <w:t>: 9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on days 1–4 every 4 weeks </w:t>
            </w:r>
            <w:r w:rsidRPr="001D6AA5">
              <w:rPr>
                <w:rFonts w:eastAsia="Calibri" w:cs="Times New Roman"/>
                <w:color w:val="000000" w:themeColor="text1"/>
                <w:szCs w:val="24"/>
              </w:rPr>
              <w:t>or</w:t>
            </w:r>
            <w:r w:rsidRPr="00F10C37">
              <w:rPr>
                <w:rFonts w:eastAsia="Calibri" w:cs="Times New Roman"/>
                <w:color w:val="000000" w:themeColor="text1"/>
                <w:szCs w:val="24"/>
              </w:rPr>
              <w:t xml:space="preserve"> </w:t>
            </w:r>
            <w:r>
              <w:rPr>
                <w:rFonts w:eastAsia="Calibri" w:cs="Times New Roman"/>
                <w:color w:val="000000" w:themeColor="text1"/>
                <w:szCs w:val="24"/>
              </w:rPr>
              <w:t>0</w:t>
            </w:r>
            <w:r w:rsidRPr="00F10C37">
              <w:rPr>
                <w:rFonts w:eastAsia="Calibri" w:cs="Times New Roman"/>
                <w:color w:val="000000" w:themeColor="text1"/>
                <w:szCs w:val="24"/>
              </w:rPr>
              <w:t>.15mg/kg/day orally for 4 days dose may vary according to regimen.</w:t>
            </w:r>
          </w:p>
          <w:p w14:paraId="4EC11A6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Polycythemia vera</w:t>
            </w:r>
            <w:r w:rsidRPr="00F10C37">
              <w:rPr>
                <w:rFonts w:eastAsia="Calibri" w:cs="Times New Roman"/>
                <w:color w:val="000000" w:themeColor="text1"/>
                <w:szCs w:val="24"/>
              </w:rPr>
              <w:t>: 6-10mg oral daily for 5-7 days then reduce 2-</w:t>
            </w:r>
            <w:r w:rsidRPr="00F10C37">
              <w:rPr>
                <w:rFonts w:eastAsia="Calibri" w:cs="Times New Roman"/>
                <w:color w:val="000000" w:themeColor="text1"/>
                <w:szCs w:val="24"/>
              </w:rPr>
              <w:lastRenderedPageBreak/>
              <w:t>4mg daily until satisfactory response, then reduce to 2-6mg orally once weekly.</w:t>
            </w:r>
          </w:p>
          <w:p w14:paraId="611F26E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 xml:space="preserve"> Breast cancer and ovarian cancer</w:t>
            </w:r>
            <w:r w:rsidRPr="00F10C37">
              <w:rPr>
                <w:rFonts w:eastAsia="Calibri" w:cs="Times New Roman"/>
                <w:color w:val="000000" w:themeColor="text1"/>
                <w:szCs w:val="24"/>
              </w:rPr>
              <w:t>: 0.2 mg/kg/day for 5 days orally, repeat every 4-5 weeks.</w:t>
            </w:r>
          </w:p>
        </w:tc>
      </w:tr>
      <w:tr w:rsidR="005D59D6" w:rsidRPr="00F10C37" w14:paraId="35DBC1D5" w14:textId="77777777" w:rsidTr="002D6DD7">
        <w:trPr>
          <w:jc w:val="center"/>
        </w:trPr>
        <w:tc>
          <w:tcPr>
            <w:tcW w:w="2695" w:type="dxa"/>
          </w:tcPr>
          <w:p w14:paraId="48B3B29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30D6A74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bone marrow suppression, active infection.</w:t>
            </w:r>
          </w:p>
        </w:tc>
      </w:tr>
      <w:tr w:rsidR="005D59D6" w:rsidRPr="00F10C37" w14:paraId="4BC0C091" w14:textId="77777777" w:rsidTr="002D6DD7">
        <w:trPr>
          <w:jc w:val="center"/>
        </w:trPr>
        <w:tc>
          <w:tcPr>
            <w:tcW w:w="2695" w:type="dxa"/>
          </w:tcPr>
          <w:p w14:paraId="4AA7D1F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232E8C1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Cimetidine, cyclosporine and other nephrotoxic drugs.</w:t>
            </w:r>
          </w:p>
        </w:tc>
      </w:tr>
      <w:tr w:rsidR="005D59D6" w:rsidRPr="00F10C37" w14:paraId="604ACC26" w14:textId="77777777" w:rsidTr="002D6DD7">
        <w:trPr>
          <w:jc w:val="center"/>
        </w:trPr>
        <w:tc>
          <w:tcPr>
            <w:tcW w:w="2695" w:type="dxa"/>
          </w:tcPr>
          <w:p w14:paraId="3CA86A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2411F75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Alopecia, anaemia, bone marrow suppression (delayed), diarrhoea, feeling hot (with IV use), myalgia and myopathy (with IV use), nausea, stomatitis, leucopenia (with oral use), paraesthesia (with IV use), thrombocytopenia, vomiting, haemolytic anaemia, hepatic disorders, respiratory disorders, skin reactions.</w:t>
            </w:r>
          </w:p>
        </w:tc>
      </w:tr>
      <w:tr w:rsidR="005D59D6" w:rsidRPr="00F10C37" w14:paraId="4F387F83" w14:textId="77777777" w:rsidTr="002D6DD7">
        <w:trPr>
          <w:jc w:val="center"/>
        </w:trPr>
        <w:tc>
          <w:tcPr>
            <w:tcW w:w="2695" w:type="dxa"/>
          </w:tcPr>
          <w:p w14:paraId="3086BE3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3C3B6FB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Risk of infection, mucositis, </w:t>
            </w:r>
            <w:r>
              <w:rPr>
                <w:rFonts w:eastAsia="Calibri" w:cs="Times New Roman"/>
                <w:color w:val="000000" w:themeColor="text1"/>
                <w:szCs w:val="24"/>
              </w:rPr>
              <w:t>dehydration</w:t>
            </w:r>
            <w:r w:rsidRPr="00F10C37">
              <w:rPr>
                <w:rFonts w:eastAsia="Calibri" w:cs="Times New Roman"/>
                <w:color w:val="000000" w:themeColor="text1"/>
                <w:szCs w:val="24"/>
              </w:rPr>
              <w:t>, pregnancy and breastfeeding, development of secondary malignancies</w:t>
            </w:r>
            <w:r>
              <w:rPr>
                <w:rFonts w:eastAsia="Calibri" w:cs="Times New Roman"/>
                <w:color w:val="000000" w:themeColor="text1"/>
                <w:szCs w:val="24"/>
              </w:rPr>
              <w:t xml:space="preserve">, </w:t>
            </w:r>
            <w:r w:rsidRPr="00F10C37">
              <w:rPr>
                <w:rFonts w:eastAsia="Calibri" w:cs="Times New Roman"/>
                <w:color w:val="000000" w:themeColor="text1"/>
                <w:szCs w:val="24"/>
              </w:rPr>
              <w:t>haematopoietic stem cell transplantation</w:t>
            </w:r>
            <w:r>
              <w:rPr>
                <w:rFonts w:eastAsia="Calibri" w:cs="Times New Roman"/>
                <w:color w:val="000000" w:themeColor="text1"/>
                <w:szCs w:val="24"/>
              </w:rPr>
              <w:t>.</w:t>
            </w:r>
          </w:p>
        </w:tc>
      </w:tr>
      <w:tr w:rsidR="005D59D6" w:rsidRPr="00F10C37" w14:paraId="2484FF99" w14:textId="77777777" w:rsidTr="002D6DD7">
        <w:trPr>
          <w:jc w:val="center"/>
        </w:trPr>
        <w:tc>
          <w:tcPr>
            <w:tcW w:w="2695" w:type="dxa"/>
          </w:tcPr>
          <w:p w14:paraId="4580B6D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75F3C97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tablet below 30°C. Protect from moisture and light. Store injection between 2°C to 8°C.</w:t>
            </w:r>
          </w:p>
        </w:tc>
      </w:tr>
      <w:tr w:rsidR="005D59D6" w:rsidRPr="00F10C37" w14:paraId="63A90AAA" w14:textId="77777777" w:rsidTr="002D6DD7">
        <w:trPr>
          <w:jc w:val="center"/>
        </w:trPr>
        <w:tc>
          <w:tcPr>
            <w:tcW w:w="9705" w:type="dxa"/>
            <w:gridSpan w:val="2"/>
          </w:tcPr>
          <w:p w14:paraId="1D4E65EE" w14:textId="77777777" w:rsidR="005D59D6" w:rsidRPr="00F10C37" w:rsidRDefault="005D59D6" w:rsidP="002D6DD7">
            <w:pPr>
              <w:jc w:val="both"/>
              <w:rPr>
                <w:rFonts w:eastAsia="Calibri" w:cs="Times New Roman"/>
                <w:szCs w:val="24"/>
              </w:rPr>
            </w:pPr>
            <w:r w:rsidRPr="00F10C37">
              <w:rPr>
                <w:rFonts w:cs="Times New Roman"/>
                <w:b/>
                <w:bCs/>
                <w:szCs w:val="24"/>
              </w:rPr>
              <w:t>Mercaptopurine</w:t>
            </w:r>
          </w:p>
        </w:tc>
      </w:tr>
      <w:tr w:rsidR="005D59D6" w:rsidRPr="00F10C37" w14:paraId="2FF82ABB" w14:textId="77777777" w:rsidTr="002D6DD7">
        <w:trPr>
          <w:jc w:val="center"/>
        </w:trPr>
        <w:tc>
          <w:tcPr>
            <w:tcW w:w="2695" w:type="dxa"/>
          </w:tcPr>
          <w:p w14:paraId="670B063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2CFAE38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antimetabolite purine analog.</w:t>
            </w:r>
          </w:p>
        </w:tc>
      </w:tr>
      <w:tr w:rsidR="005D59D6" w:rsidRPr="00F10C37" w14:paraId="63ECF679" w14:textId="77777777" w:rsidTr="002D6DD7">
        <w:trPr>
          <w:jc w:val="center"/>
        </w:trPr>
        <w:tc>
          <w:tcPr>
            <w:tcW w:w="2695" w:type="dxa"/>
          </w:tcPr>
          <w:p w14:paraId="5E8C1C9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40322386" w14:textId="77777777" w:rsidR="005D59D6" w:rsidRPr="00F10C37" w:rsidRDefault="005D59D6" w:rsidP="002D6DD7">
            <w:pPr>
              <w:jc w:val="both"/>
              <w:rPr>
                <w:rFonts w:eastAsia="Arial" w:cs="Times New Roman"/>
                <w:szCs w:val="24"/>
                <w:lang w:val="nb-NO"/>
              </w:rPr>
            </w:pPr>
            <w:r w:rsidRPr="00F10C37">
              <w:rPr>
                <w:rFonts w:eastAsia="Arial" w:cs="Times New Roman"/>
                <w:szCs w:val="24"/>
                <w:lang w:val="nb-NO"/>
              </w:rPr>
              <w:t>Tablet: 50 mg</w:t>
            </w:r>
          </w:p>
          <w:p w14:paraId="5E89B4E1" w14:textId="77777777" w:rsidR="005D59D6" w:rsidRPr="00F10C37" w:rsidRDefault="005D59D6" w:rsidP="002D6DD7">
            <w:pPr>
              <w:jc w:val="both"/>
              <w:rPr>
                <w:rFonts w:eastAsia="Calibri" w:cs="Times New Roman"/>
                <w:color w:val="000000" w:themeColor="text1"/>
                <w:szCs w:val="24"/>
                <w:lang w:val="nb-NO"/>
              </w:rPr>
            </w:pPr>
            <w:r w:rsidRPr="00F10C37">
              <w:rPr>
                <w:rFonts w:eastAsia="Arial" w:cs="Times New Roman"/>
                <w:szCs w:val="24"/>
                <w:lang w:val="nb-NO"/>
              </w:rPr>
              <w:t>Oral liquid: 20 mg/</w:t>
            </w:r>
            <w:r>
              <w:rPr>
                <w:rFonts w:eastAsia="Arial" w:cs="Times New Roman"/>
                <w:szCs w:val="24"/>
                <w:lang w:val="nb-NO"/>
              </w:rPr>
              <w:t>ml</w:t>
            </w:r>
          </w:p>
        </w:tc>
      </w:tr>
      <w:tr w:rsidR="005D59D6" w:rsidRPr="00F10C37" w14:paraId="6A3969EC" w14:textId="77777777" w:rsidTr="002D6DD7">
        <w:trPr>
          <w:jc w:val="center"/>
        </w:trPr>
        <w:tc>
          <w:tcPr>
            <w:tcW w:w="2695" w:type="dxa"/>
          </w:tcPr>
          <w:p w14:paraId="14B87EE3"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04E898C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ALL, </w:t>
            </w:r>
            <w:r>
              <w:rPr>
                <w:rFonts w:eastAsia="Calibri" w:cs="Times New Roman"/>
                <w:color w:val="000000" w:themeColor="text1"/>
                <w:szCs w:val="24"/>
              </w:rPr>
              <w:t>c</w:t>
            </w:r>
            <w:r w:rsidRPr="00F10C37">
              <w:rPr>
                <w:rFonts w:eastAsia="Calibri" w:cs="Times New Roman"/>
                <w:color w:val="000000" w:themeColor="text1"/>
                <w:szCs w:val="24"/>
              </w:rPr>
              <w:t>rohn's disease and ulcerative colitis.</w:t>
            </w:r>
          </w:p>
        </w:tc>
      </w:tr>
      <w:tr w:rsidR="005D59D6" w:rsidRPr="00F10C37" w14:paraId="094BB3A6" w14:textId="77777777" w:rsidTr="002D6DD7">
        <w:trPr>
          <w:jc w:val="center"/>
        </w:trPr>
        <w:tc>
          <w:tcPr>
            <w:tcW w:w="2695" w:type="dxa"/>
          </w:tcPr>
          <w:p w14:paraId="37A170F4"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77721E6"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Acute lymphoblastic leukemia (ALL)</w:t>
            </w:r>
          </w:p>
          <w:p w14:paraId="405C458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Induction therapy</w:t>
            </w:r>
            <w:r w:rsidRPr="00F10C37">
              <w:rPr>
                <w:rFonts w:eastAsia="Calibri" w:cs="Times New Roman"/>
                <w:b/>
                <w:color w:val="000000" w:themeColor="text1"/>
                <w:szCs w:val="24"/>
              </w:rPr>
              <w:t>:</w:t>
            </w:r>
            <w:r w:rsidRPr="00F10C37">
              <w:rPr>
                <w:rFonts w:eastAsia="Calibri" w:cs="Times New Roman"/>
                <w:color w:val="000000" w:themeColor="text1"/>
                <w:szCs w:val="24"/>
              </w:rPr>
              <w:t xml:space="preserve"> 2.5 mg/kg PO daily </w:t>
            </w:r>
            <w:r w:rsidRPr="009F42B1">
              <w:rPr>
                <w:rFonts w:eastAsia="Calibri" w:cs="Times New Roman"/>
                <w:color w:val="000000" w:themeColor="text1"/>
                <w:szCs w:val="24"/>
              </w:rPr>
              <w:t>or</w:t>
            </w:r>
            <w:r w:rsidRPr="00F10C37">
              <w:rPr>
                <w:rFonts w:eastAsia="Calibri" w:cs="Times New Roman"/>
                <w:color w:val="000000" w:themeColor="text1"/>
                <w:szCs w:val="24"/>
              </w:rPr>
              <w:t xml:space="preserve"> 50-75mg/m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w:t>
            </w:r>
          </w:p>
          <w:p w14:paraId="2EE519A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Maintenance therapy: 1.5–2.5 mg/kg PO daily.</w:t>
            </w:r>
          </w:p>
          <w:p w14:paraId="2614DC1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Crohn's disease and ulcerative colitis</w:t>
            </w:r>
            <w:r w:rsidRPr="00F10C37">
              <w:rPr>
                <w:rFonts w:eastAsia="Calibri" w:cs="Times New Roman"/>
                <w:color w:val="000000" w:themeColor="text1"/>
                <w:szCs w:val="24"/>
              </w:rPr>
              <w:t>:  1-1.5mg/kg daily.</w:t>
            </w:r>
          </w:p>
        </w:tc>
      </w:tr>
      <w:tr w:rsidR="005D59D6" w:rsidRPr="00F10C37" w14:paraId="6F712DE1" w14:textId="77777777" w:rsidTr="002D6DD7">
        <w:trPr>
          <w:jc w:val="center"/>
        </w:trPr>
        <w:tc>
          <w:tcPr>
            <w:tcW w:w="2695" w:type="dxa"/>
          </w:tcPr>
          <w:p w14:paraId="3837AC9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4AE5DD8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bone marrow suppression, severe hepatic impairment (bilirubin &gt; 3 times), absent thiopurine methyltransferase activity.</w:t>
            </w:r>
          </w:p>
        </w:tc>
      </w:tr>
      <w:tr w:rsidR="005D59D6" w:rsidRPr="00F10C37" w14:paraId="098913A4" w14:textId="77777777" w:rsidTr="002D6DD7">
        <w:trPr>
          <w:jc w:val="center"/>
        </w:trPr>
        <w:tc>
          <w:tcPr>
            <w:tcW w:w="2695" w:type="dxa"/>
          </w:tcPr>
          <w:p w14:paraId="63FA11C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0B885DF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Warfarin, allopurinol, trimethoprim/sulfamethoxazole.</w:t>
            </w:r>
          </w:p>
        </w:tc>
      </w:tr>
      <w:tr w:rsidR="005D59D6" w:rsidRPr="00F10C37" w14:paraId="6EC32ED3" w14:textId="77777777" w:rsidTr="002D6DD7">
        <w:trPr>
          <w:jc w:val="center"/>
        </w:trPr>
        <w:tc>
          <w:tcPr>
            <w:tcW w:w="2695" w:type="dxa"/>
          </w:tcPr>
          <w:p w14:paraId="6AC31E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7010" w:type="dxa"/>
            <w:shd w:val="clear" w:color="auto" w:fill="auto"/>
          </w:tcPr>
          <w:p w14:paraId="5A6EFBE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Anaemia, appetite decreased, bone marrow depression, diarrhoea, hepatic disorders, hepatotoxicity (more common at high doses), leucopenia, nausea, oral disorders, pancreatitis, thrombocytopenia, and vomiting, arthralgia, fever, increased risk of infection, neutropenia, and rash. </w:t>
            </w:r>
          </w:p>
        </w:tc>
      </w:tr>
      <w:tr w:rsidR="005D59D6" w:rsidRPr="00F10C37" w14:paraId="0186BD5C" w14:textId="77777777" w:rsidTr="002D6DD7">
        <w:trPr>
          <w:jc w:val="center"/>
        </w:trPr>
        <w:tc>
          <w:tcPr>
            <w:tcW w:w="2695" w:type="dxa"/>
          </w:tcPr>
          <w:p w14:paraId="50E8474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7A03DEC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Pregnancy and breastfeeding, liver function tests, development of secondary malignancies, low activity of thiopurine methyltransferase.</w:t>
            </w:r>
          </w:p>
        </w:tc>
      </w:tr>
      <w:tr w:rsidR="005D59D6" w:rsidRPr="00F10C37" w14:paraId="641E97B4" w14:textId="77777777" w:rsidTr="002D6DD7">
        <w:trPr>
          <w:jc w:val="center"/>
        </w:trPr>
        <w:tc>
          <w:tcPr>
            <w:tcW w:w="2695" w:type="dxa"/>
          </w:tcPr>
          <w:p w14:paraId="291B1B1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FEBCCD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between 15° and </w:t>
            </w:r>
            <w:r>
              <w:rPr>
                <w:rFonts w:eastAsia="Calibri" w:cs="Times New Roman"/>
                <w:color w:val="000000" w:themeColor="text1"/>
                <w:szCs w:val="24"/>
              </w:rPr>
              <w:t>30</w:t>
            </w:r>
            <w:r w:rsidRPr="00F10C37">
              <w:rPr>
                <w:rFonts w:eastAsia="Calibri" w:cs="Times New Roman"/>
                <w:color w:val="000000" w:themeColor="text1"/>
                <w:szCs w:val="24"/>
              </w:rPr>
              <w:t>°C. Protect from moisture and light.</w:t>
            </w:r>
          </w:p>
        </w:tc>
      </w:tr>
      <w:tr w:rsidR="005D59D6" w:rsidRPr="00F10C37" w14:paraId="403D2284" w14:textId="77777777" w:rsidTr="002D6DD7">
        <w:trPr>
          <w:jc w:val="center"/>
        </w:trPr>
        <w:tc>
          <w:tcPr>
            <w:tcW w:w="9705" w:type="dxa"/>
            <w:gridSpan w:val="2"/>
          </w:tcPr>
          <w:p w14:paraId="04AEC80C" w14:textId="77777777" w:rsidR="005D59D6" w:rsidRPr="00F10C37" w:rsidRDefault="005D59D6" w:rsidP="002D6DD7">
            <w:pPr>
              <w:jc w:val="both"/>
              <w:rPr>
                <w:rFonts w:eastAsia="Calibri" w:cs="Times New Roman"/>
                <w:szCs w:val="24"/>
              </w:rPr>
            </w:pPr>
            <w:r w:rsidRPr="00F10C37">
              <w:rPr>
                <w:rFonts w:cs="Times New Roman"/>
                <w:b/>
                <w:bCs/>
                <w:szCs w:val="24"/>
              </w:rPr>
              <w:t>Methotrexate</w:t>
            </w:r>
          </w:p>
        </w:tc>
      </w:tr>
      <w:tr w:rsidR="005D59D6" w:rsidRPr="00F10C37" w14:paraId="51B5F462" w14:textId="77777777" w:rsidTr="002D6DD7">
        <w:trPr>
          <w:jc w:val="center"/>
        </w:trPr>
        <w:tc>
          <w:tcPr>
            <w:tcW w:w="2695" w:type="dxa"/>
          </w:tcPr>
          <w:p w14:paraId="0461F79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3D6473A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antimetabolite</w:t>
            </w:r>
          </w:p>
        </w:tc>
      </w:tr>
      <w:tr w:rsidR="005D59D6" w:rsidRPr="00F10C37" w14:paraId="045B1441" w14:textId="77777777" w:rsidTr="002D6DD7">
        <w:trPr>
          <w:jc w:val="center"/>
        </w:trPr>
        <w:tc>
          <w:tcPr>
            <w:tcW w:w="2695" w:type="dxa"/>
          </w:tcPr>
          <w:p w14:paraId="4C6D333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14526FC4"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50 mg in vial, 500mg/20</w:t>
            </w:r>
            <w:r>
              <w:rPr>
                <w:rFonts w:eastAsia="Arial" w:cs="Times New Roman"/>
                <w:szCs w:val="24"/>
              </w:rPr>
              <w:t>ml.</w:t>
            </w:r>
          </w:p>
          <w:p w14:paraId="3996812E" w14:textId="77777777" w:rsidR="005D59D6" w:rsidRPr="00F10C37" w:rsidRDefault="005D59D6" w:rsidP="002D6DD7">
            <w:pPr>
              <w:jc w:val="both"/>
              <w:rPr>
                <w:rFonts w:eastAsia="Arial" w:cs="Times New Roman"/>
                <w:szCs w:val="24"/>
              </w:rPr>
            </w:pPr>
            <w:r w:rsidRPr="00F10C37">
              <w:rPr>
                <w:rFonts w:eastAsia="Arial" w:cs="Times New Roman"/>
                <w:szCs w:val="24"/>
              </w:rPr>
              <w:t xml:space="preserve">Solution for injection: 50mg/2 </w:t>
            </w:r>
            <w:r>
              <w:rPr>
                <w:rFonts w:eastAsia="Arial" w:cs="Times New Roman"/>
                <w:szCs w:val="24"/>
              </w:rPr>
              <w:t>ml.</w:t>
            </w:r>
          </w:p>
          <w:p w14:paraId="5DE6866B" w14:textId="77777777" w:rsidR="005D59D6" w:rsidRPr="00F10C37" w:rsidRDefault="005D59D6" w:rsidP="002D6DD7">
            <w:pPr>
              <w:jc w:val="both"/>
              <w:rPr>
                <w:rFonts w:eastAsia="Arial" w:cs="Times New Roman"/>
                <w:szCs w:val="24"/>
              </w:rPr>
            </w:pPr>
            <w:r w:rsidRPr="00F10C37">
              <w:rPr>
                <w:rFonts w:eastAsia="Arial" w:cs="Times New Roman"/>
                <w:szCs w:val="24"/>
              </w:rPr>
              <w:t>Tablet: 2.5 mg, 5mg (as sodium salt).</w:t>
            </w:r>
          </w:p>
          <w:p w14:paraId="6FBFA65D" w14:textId="77777777" w:rsidR="005D59D6" w:rsidRDefault="005D59D6" w:rsidP="002D6DD7">
            <w:pPr>
              <w:jc w:val="both"/>
              <w:rPr>
                <w:rFonts w:eastAsia="Arial" w:cs="Times New Roman"/>
                <w:szCs w:val="24"/>
              </w:rPr>
            </w:pPr>
            <w:r w:rsidRPr="00F10C37">
              <w:rPr>
                <w:rFonts w:eastAsia="Arial" w:cs="Times New Roman"/>
                <w:szCs w:val="24"/>
              </w:rPr>
              <w:t>Intrathecal</w:t>
            </w:r>
            <w:r>
              <w:rPr>
                <w:rFonts w:eastAsia="Arial" w:cs="Times New Roman"/>
                <w:szCs w:val="24"/>
              </w:rPr>
              <w:t>:</w:t>
            </w:r>
            <w:r w:rsidRPr="00F10C37">
              <w:rPr>
                <w:rFonts w:eastAsia="Arial" w:cs="Times New Roman"/>
                <w:szCs w:val="24"/>
              </w:rPr>
              <w:t xml:space="preserve"> 5mg/2</w:t>
            </w:r>
            <w:r>
              <w:rPr>
                <w:rFonts w:eastAsia="Arial" w:cs="Times New Roman"/>
                <w:szCs w:val="24"/>
              </w:rPr>
              <w:t>ml.</w:t>
            </w:r>
            <w:r w:rsidRPr="00F10C37">
              <w:rPr>
                <w:rFonts w:eastAsia="Arial" w:cs="Times New Roman"/>
                <w:szCs w:val="24"/>
              </w:rPr>
              <w:t xml:space="preserve"> </w:t>
            </w:r>
          </w:p>
          <w:p w14:paraId="265E226A" w14:textId="77777777" w:rsidR="005D59D6" w:rsidRPr="00F10C37" w:rsidRDefault="005D59D6" w:rsidP="002D6DD7">
            <w:pPr>
              <w:jc w:val="both"/>
              <w:rPr>
                <w:rFonts w:eastAsia="Calibri" w:cs="Times New Roman"/>
                <w:color w:val="000000" w:themeColor="text1"/>
                <w:szCs w:val="24"/>
              </w:rPr>
            </w:pPr>
            <w:r>
              <w:rPr>
                <w:rFonts w:eastAsia="Arial" w:cs="Times New Roman"/>
                <w:szCs w:val="24"/>
              </w:rPr>
              <w:t>O</w:t>
            </w:r>
            <w:r w:rsidRPr="00F10C37">
              <w:rPr>
                <w:rFonts w:eastAsia="Arial" w:cs="Times New Roman"/>
                <w:szCs w:val="24"/>
              </w:rPr>
              <w:t>ral liquid: 20 mg/</w:t>
            </w:r>
            <w:r>
              <w:rPr>
                <w:rFonts w:eastAsia="Arial" w:cs="Times New Roman"/>
                <w:szCs w:val="24"/>
              </w:rPr>
              <w:t>ml</w:t>
            </w:r>
          </w:p>
        </w:tc>
      </w:tr>
      <w:tr w:rsidR="005D59D6" w:rsidRPr="00F10C37" w14:paraId="506C6DA9" w14:textId="77777777" w:rsidTr="002D6DD7">
        <w:trPr>
          <w:jc w:val="center"/>
        </w:trPr>
        <w:tc>
          <w:tcPr>
            <w:tcW w:w="2695" w:type="dxa"/>
          </w:tcPr>
          <w:p w14:paraId="3524A9A0"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5A8C38D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Breast cancer, </w:t>
            </w:r>
            <w:r>
              <w:rPr>
                <w:rFonts w:eastAsia="Calibri" w:cs="Times New Roman"/>
                <w:color w:val="000000" w:themeColor="text1"/>
                <w:szCs w:val="24"/>
              </w:rPr>
              <w:t>h</w:t>
            </w:r>
            <w:r w:rsidRPr="00F10C37">
              <w:rPr>
                <w:rFonts w:eastAsia="Calibri" w:cs="Times New Roman"/>
                <w:color w:val="000000" w:themeColor="text1"/>
                <w:szCs w:val="24"/>
              </w:rPr>
              <w:t xml:space="preserve">ead and </w:t>
            </w:r>
            <w:r>
              <w:rPr>
                <w:rFonts w:eastAsia="Calibri" w:cs="Times New Roman"/>
                <w:color w:val="000000" w:themeColor="text1"/>
                <w:szCs w:val="24"/>
              </w:rPr>
              <w:t>n</w:t>
            </w:r>
            <w:r w:rsidRPr="00F10C37">
              <w:rPr>
                <w:rFonts w:eastAsia="Calibri" w:cs="Times New Roman"/>
                <w:color w:val="000000" w:themeColor="text1"/>
                <w:szCs w:val="24"/>
              </w:rPr>
              <w:t xml:space="preserve">eck cancer, </w:t>
            </w:r>
            <w:r>
              <w:rPr>
                <w:rFonts w:eastAsia="Calibri" w:cs="Times New Roman"/>
                <w:color w:val="000000" w:themeColor="text1"/>
                <w:szCs w:val="24"/>
              </w:rPr>
              <w:t>s</w:t>
            </w:r>
            <w:r w:rsidRPr="00F10C37">
              <w:rPr>
                <w:rFonts w:eastAsia="Calibri" w:cs="Times New Roman"/>
                <w:color w:val="000000" w:themeColor="text1"/>
                <w:szCs w:val="24"/>
              </w:rPr>
              <w:t xml:space="preserve">arcoma, ALL, </w:t>
            </w:r>
            <w:r>
              <w:rPr>
                <w:rFonts w:eastAsia="Calibri" w:cs="Times New Roman"/>
                <w:color w:val="000000" w:themeColor="text1"/>
                <w:szCs w:val="24"/>
              </w:rPr>
              <w:t>l</w:t>
            </w:r>
            <w:r w:rsidRPr="00F10C37">
              <w:rPr>
                <w:rFonts w:eastAsia="Calibri" w:cs="Times New Roman"/>
                <w:color w:val="000000" w:themeColor="text1"/>
                <w:szCs w:val="24"/>
              </w:rPr>
              <w:t xml:space="preserve">ymphoma, </w:t>
            </w:r>
            <w:r>
              <w:rPr>
                <w:rFonts w:eastAsia="Calibri" w:cs="Times New Roman"/>
                <w:color w:val="000000" w:themeColor="text1"/>
                <w:szCs w:val="24"/>
              </w:rPr>
              <w:t>b</w:t>
            </w:r>
            <w:r w:rsidRPr="00F10C37">
              <w:rPr>
                <w:rFonts w:eastAsia="Calibri" w:cs="Times New Roman"/>
                <w:color w:val="000000" w:themeColor="text1"/>
                <w:szCs w:val="24"/>
              </w:rPr>
              <w:t xml:space="preserve">ladder cancer, </w:t>
            </w:r>
            <w:r>
              <w:rPr>
                <w:rFonts w:eastAsia="Calibri" w:cs="Times New Roman"/>
                <w:color w:val="000000" w:themeColor="text1"/>
                <w:szCs w:val="24"/>
              </w:rPr>
              <w:t>g</w:t>
            </w:r>
            <w:r w:rsidRPr="00F10C37">
              <w:rPr>
                <w:rFonts w:eastAsia="Calibri" w:cs="Times New Roman"/>
                <w:color w:val="000000" w:themeColor="text1"/>
                <w:szCs w:val="24"/>
              </w:rPr>
              <w:t xml:space="preserve">estational trophoblastic diseases, </w:t>
            </w:r>
            <w:r>
              <w:rPr>
                <w:rFonts w:eastAsia="Calibri" w:cs="Times New Roman"/>
                <w:color w:val="000000" w:themeColor="text1"/>
                <w:szCs w:val="24"/>
              </w:rPr>
              <w:t>r</w:t>
            </w:r>
            <w:r w:rsidRPr="00F10C37">
              <w:rPr>
                <w:rFonts w:eastAsia="Calibri" w:cs="Times New Roman"/>
                <w:color w:val="000000" w:themeColor="text1"/>
                <w:szCs w:val="24"/>
              </w:rPr>
              <w:t xml:space="preserve">heumatoid arthritis, </w:t>
            </w:r>
            <w:r>
              <w:rPr>
                <w:rFonts w:eastAsia="Calibri" w:cs="Times New Roman"/>
                <w:color w:val="000000" w:themeColor="text1"/>
                <w:szCs w:val="24"/>
              </w:rPr>
              <w:t>c</w:t>
            </w:r>
            <w:r w:rsidRPr="00F10C37">
              <w:rPr>
                <w:rFonts w:eastAsia="Calibri" w:cs="Times New Roman"/>
                <w:color w:val="000000" w:themeColor="text1"/>
                <w:szCs w:val="24"/>
              </w:rPr>
              <w:t xml:space="preserve">hron’s disease, </w:t>
            </w:r>
            <w:r>
              <w:rPr>
                <w:rFonts w:eastAsia="Calibri" w:cs="Times New Roman"/>
                <w:color w:val="000000" w:themeColor="text1"/>
                <w:szCs w:val="24"/>
              </w:rPr>
              <w:t>p</w:t>
            </w:r>
            <w:r w:rsidRPr="00F10C37">
              <w:rPr>
                <w:rFonts w:eastAsia="Calibri" w:cs="Times New Roman"/>
                <w:color w:val="000000" w:themeColor="text1"/>
                <w:szCs w:val="24"/>
              </w:rPr>
              <w:t xml:space="preserve">soriasis, </w:t>
            </w:r>
            <w:r>
              <w:rPr>
                <w:rFonts w:eastAsia="Calibri" w:cs="Times New Roman"/>
                <w:color w:val="000000" w:themeColor="text1"/>
                <w:szCs w:val="24"/>
              </w:rPr>
              <w:t>v</w:t>
            </w:r>
            <w:r w:rsidRPr="00F10C37">
              <w:rPr>
                <w:rFonts w:eastAsia="Calibri" w:cs="Times New Roman"/>
                <w:color w:val="000000" w:themeColor="text1"/>
                <w:szCs w:val="24"/>
              </w:rPr>
              <w:t xml:space="preserve">asculites, </w:t>
            </w:r>
            <w:r>
              <w:rPr>
                <w:rFonts w:eastAsia="Calibri" w:cs="Times New Roman"/>
                <w:color w:val="000000" w:themeColor="text1"/>
                <w:szCs w:val="24"/>
              </w:rPr>
              <w:t>u</w:t>
            </w:r>
            <w:r w:rsidRPr="00F10C37">
              <w:rPr>
                <w:rFonts w:eastAsia="Calibri" w:cs="Times New Roman"/>
                <w:color w:val="000000" w:themeColor="text1"/>
                <w:szCs w:val="24"/>
              </w:rPr>
              <w:t>lcerative colitis.</w:t>
            </w:r>
          </w:p>
        </w:tc>
      </w:tr>
      <w:tr w:rsidR="005D59D6" w:rsidRPr="00F10C37" w14:paraId="03B4260C" w14:textId="77777777" w:rsidTr="002D6DD7">
        <w:trPr>
          <w:jc w:val="center"/>
        </w:trPr>
        <w:tc>
          <w:tcPr>
            <w:tcW w:w="2695" w:type="dxa"/>
          </w:tcPr>
          <w:p w14:paraId="6AB7CE06"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2867B00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Breast cancer and head and neck cancer</w:t>
            </w:r>
            <w:r w:rsidRPr="00F10C37">
              <w:rPr>
                <w:rFonts w:eastAsia="Calibri" w:cs="Times New Roman"/>
                <w:color w:val="000000" w:themeColor="text1"/>
                <w:szCs w:val="24"/>
              </w:rPr>
              <w:t>: 40mg/m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days 1 and 8 every 4 week.</w:t>
            </w:r>
          </w:p>
          <w:p w14:paraId="2CD8829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Low dose: 10–50 mg/m2 IV every 3–4 weeks.</w:t>
            </w:r>
          </w:p>
          <w:p w14:paraId="09178FD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Sarcoma</w:t>
            </w:r>
            <w:r w:rsidRPr="00F10C37">
              <w:rPr>
                <w:rFonts w:eastAsia="Calibri" w:cs="Times New Roman"/>
                <w:color w:val="000000" w:themeColor="text1"/>
                <w:szCs w:val="24"/>
              </w:rPr>
              <w:t>: 12g/m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over 4 -6 hrs every 1-3 weeks as per protocol.</w:t>
            </w:r>
          </w:p>
          <w:p w14:paraId="67F6C80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ALL</w:t>
            </w:r>
            <w:r w:rsidRPr="00F10C37">
              <w:rPr>
                <w:rFonts w:eastAsia="Calibri" w:cs="Times New Roman"/>
                <w:color w:val="000000" w:themeColor="text1"/>
                <w:szCs w:val="24"/>
              </w:rPr>
              <w:t>: Intrathecal 7-15mg day 1,8,22 and 29</w:t>
            </w:r>
          </w:p>
          <w:p w14:paraId="0165B8D3"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Lymphoma:</w:t>
            </w:r>
          </w:p>
          <w:p w14:paraId="3670342B"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color w:val="000000" w:themeColor="text1"/>
                <w:szCs w:val="24"/>
              </w:rPr>
              <w:t>Low dose weekly: 25 mg/m2IV weekly.</w:t>
            </w:r>
          </w:p>
          <w:p w14:paraId="098E3456"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color w:val="000000" w:themeColor="text1"/>
                <w:szCs w:val="24"/>
              </w:rPr>
              <w:t>Moderate dose: 100–500 mg/m2 IV every 2–3 weeks.</w:t>
            </w:r>
          </w:p>
          <w:p w14:paraId="2F7A7699"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color w:val="000000" w:themeColor="text1"/>
                <w:szCs w:val="24"/>
              </w:rPr>
              <w:t>High dose: 1–12 g/m2 IV over a 3- to 24-hour period every 1–3 weeks.</w:t>
            </w:r>
          </w:p>
          <w:p w14:paraId="08249DA2"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color w:val="000000" w:themeColor="text1"/>
                <w:szCs w:val="24"/>
              </w:rPr>
              <w:t>Intrathecal: 10–15 mg IT two times weekly until CSF is clear, then weekly dose for 2–6 weeks, followed by monthly dose.</w:t>
            </w:r>
          </w:p>
          <w:p w14:paraId="7FBFFF5A"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color w:val="000000" w:themeColor="text1"/>
                <w:szCs w:val="24"/>
              </w:rPr>
              <w:t>Intramuscular: 25 mg/m2 IM every 3 weeks.</w:t>
            </w:r>
          </w:p>
        </w:tc>
      </w:tr>
      <w:tr w:rsidR="005D59D6" w:rsidRPr="00F10C37" w14:paraId="30E7A59C" w14:textId="77777777" w:rsidTr="002D6DD7">
        <w:trPr>
          <w:jc w:val="center"/>
        </w:trPr>
        <w:tc>
          <w:tcPr>
            <w:tcW w:w="2695" w:type="dxa"/>
          </w:tcPr>
          <w:p w14:paraId="312441B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56F9315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bone marrow suppression, pre-existing liver disease, pleural effusion, active infection, CrCl &lt; 30</w:t>
            </w:r>
            <w:r>
              <w:rPr>
                <w:rFonts w:eastAsia="Calibri" w:cs="Times New Roman"/>
                <w:color w:val="000000" w:themeColor="text1"/>
                <w:szCs w:val="24"/>
              </w:rPr>
              <w:t>ml</w:t>
            </w:r>
            <w:r w:rsidRPr="00F10C37">
              <w:rPr>
                <w:rFonts w:eastAsia="Calibri" w:cs="Times New Roman"/>
                <w:color w:val="000000" w:themeColor="text1"/>
                <w:szCs w:val="24"/>
              </w:rPr>
              <w:t>/min.</w:t>
            </w:r>
          </w:p>
        </w:tc>
      </w:tr>
      <w:tr w:rsidR="005D59D6" w:rsidRPr="00F10C37" w14:paraId="71DED547" w14:textId="77777777" w:rsidTr="002D6DD7">
        <w:trPr>
          <w:jc w:val="center"/>
        </w:trPr>
        <w:tc>
          <w:tcPr>
            <w:tcW w:w="2695" w:type="dxa"/>
          </w:tcPr>
          <w:p w14:paraId="41C92FE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5E40AAA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Azathioprine, bleomycin, carbimazole, capecitabine, carboplatin, cisplatin, chlorambucil, cyclophosphamide, docetaxel, doxorubicin, epirubicin, ethosuccimide, etoposide, fluorouracil, gemcitabine, ifosfamide, irinotecan, linezolid, methotrexate, mercaptopurine, mycophenolate, olanzapine, oxaliplatin, paclitaxel, rituximab, propylthiouracil, sulphamethoxazole, sulfadiazine, trimethoprim, vincristine, vinblastine, zidovudine, atorvastatin, bedaquiline, carbamazepine, clavulanate, doxycycline, flucloxacillin, fluconazole, isoniazid, leflunomide, methotrexate, paracetamol, tetracycline, valproate, and sulfasalazine.</w:t>
            </w:r>
          </w:p>
        </w:tc>
      </w:tr>
      <w:tr w:rsidR="005D59D6" w:rsidRPr="00F10C37" w14:paraId="062BBCA3" w14:textId="77777777" w:rsidTr="002D6DD7">
        <w:trPr>
          <w:jc w:val="center"/>
        </w:trPr>
        <w:tc>
          <w:tcPr>
            <w:tcW w:w="2695" w:type="dxa"/>
          </w:tcPr>
          <w:p w14:paraId="0CA8E92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47042C7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Neutropenia, thrombocytopenia and anaemia, mucositis, nausea, vomiting, renal toxicity, hepatotoxicity, pneumonitis, hyperuricemia, headaches, nuchal rigidity, seizures, fever, encephalopathy with dementia and motor paresis,</w:t>
            </w:r>
            <w:r>
              <w:rPr>
                <w:rFonts w:eastAsia="Calibri" w:cs="Times New Roman"/>
                <w:color w:val="000000" w:themeColor="text1"/>
                <w:szCs w:val="24"/>
              </w:rPr>
              <w:t xml:space="preserve"> </w:t>
            </w:r>
            <w:r w:rsidRPr="00F10C37">
              <w:rPr>
                <w:rFonts w:eastAsia="Calibri" w:cs="Times New Roman"/>
                <w:color w:val="000000" w:themeColor="text1"/>
                <w:szCs w:val="24"/>
              </w:rPr>
              <w:t>skin rash, pruritus, urticaria, photosensitivity, hyperpigmentation, reversible oligospermia.</w:t>
            </w:r>
          </w:p>
        </w:tc>
      </w:tr>
      <w:tr w:rsidR="005D59D6" w:rsidRPr="00F10C37" w14:paraId="2BDA7741" w14:textId="77777777" w:rsidTr="002D6DD7">
        <w:trPr>
          <w:jc w:val="center"/>
        </w:trPr>
        <w:tc>
          <w:tcPr>
            <w:tcW w:w="2695" w:type="dxa"/>
          </w:tcPr>
          <w:p w14:paraId="56F06B0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604756D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Photosensitivity, dehydration, diarrhoea, blood disorders, peptic ulceration, risk of pleural effusion or ascites, ulcerative colitis, ulcerative stomatitis, pregnancy and breastfeeding</w:t>
            </w:r>
            <w:r>
              <w:rPr>
                <w:rFonts w:eastAsia="Calibri" w:cs="Times New Roman"/>
                <w:color w:val="000000" w:themeColor="text1"/>
                <w:szCs w:val="24"/>
              </w:rPr>
              <w:t>, r</w:t>
            </w:r>
            <w:r w:rsidRPr="00F10C37">
              <w:rPr>
                <w:rFonts w:eastAsia="Calibri" w:cs="Times New Roman"/>
                <w:color w:val="000000" w:themeColor="text1"/>
                <w:szCs w:val="24"/>
              </w:rPr>
              <w:t xml:space="preserve">enal and liver </w:t>
            </w:r>
            <w:r>
              <w:rPr>
                <w:rFonts w:eastAsia="Calibri" w:cs="Times New Roman"/>
                <w:color w:val="000000" w:themeColor="text1"/>
                <w:szCs w:val="24"/>
              </w:rPr>
              <w:t>impairment</w:t>
            </w:r>
            <w:r w:rsidRPr="00F10C37">
              <w:rPr>
                <w:rFonts w:eastAsia="Calibri" w:cs="Times New Roman"/>
                <w:color w:val="000000" w:themeColor="text1"/>
                <w:szCs w:val="24"/>
              </w:rPr>
              <w:t>.</w:t>
            </w:r>
          </w:p>
        </w:tc>
      </w:tr>
      <w:tr w:rsidR="005D59D6" w:rsidRPr="00F10C37" w14:paraId="0246D101" w14:textId="77777777" w:rsidTr="002D6DD7">
        <w:trPr>
          <w:jc w:val="center"/>
        </w:trPr>
        <w:tc>
          <w:tcPr>
            <w:tcW w:w="2695" w:type="dxa"/>
          </w:tcPr>
          <w:p w14:paraId="771DBE9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4B25C01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between 15°C and 30°C. Protect from moisture and light. </w:t>
            </w:r>
          </w:p>
        </w:tc>
      </w:tr>
      <w:tr w:rsidR="005D59D6" w:rsidRPr="00F10C37" w14:paraId="59A14482" w14:textId="77777777" w:rsidTr="002D6DD7">
        <w:trPr>
          <w:jc w:val="center"/>
        </w:trPr>
        <w:tc>
          <w:tcPr>
            <w:tcW w:w="9705" w:type="dxa"/>
            <w:gridSpan w:val="2"/>
          </w:tcPr>
          <w:p w14:paraId="71CCD200" w14:textId="77777777" w:rsidR="005D59D6" w:rsidRPr="00F10C37" w:rsidRDefault="005D59D6" w:rsidP="002D6DD7">
            <w:pPr>
              <w:jc w:val="both"/>
              <w:rPr>
                <w:rFonts w:eastAsia="Calibri" w:cs="Times New Roman"/>
                <w:szCs w:val="24"/>
              </w:rPr>
            </w:pPr>
            <w:r w:rsidRPr="00F10C37">
              <w:rPr>
                <w:rFonts w:cs="Times New Roman"/>
                <w:b/>
                <w:bCs/>
                <w:szCs w:val="24"/>
              </w:rPr>
              <w:t>Oxaliplatin</w:t>
            </w:r>
          </w:p>
        </w:tc>
      </w:tr>
      <w:tr w:rsidR="005D59D6" w:rsidRPr="00F10C37" w14:paraId="74F17BA3" w14:textId="77777777" w:rsidTr="002D6DD7">
        <w:trPr>
          <w:jc w:val="center"/>
        </w:trPr>
        <w:tc>
          <w:tcPr>
            <w:tcW w:w="2695" w:type="dxa"/>
          </w:tcPr>
          <w:p w14:paraId="1ACE1F6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70973C4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platinum-based chemotherapy</w:t>
            </w:r>
          </w:p>
        </w:tc>
      </w:tr>
      <w:tr w:rsidR="005D59D6" w:rsidRPr="00F10C37" w14:paraId="3B960759" w14:textId="77777777" w:rsidTr="002D6DD7">
        <w:trPr>
          <w:jc w:val="center"/>
        </w:trPr>
        <w:tc>
          <w:tcPr>
            <w:tcW w:w="2695" w:type="dxa"/>
          </w:tcPr>
          <w:p w14:paraId="6F210D6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20D207B" w14:textId="77777777" w:rsidR="005D59D6" w:rsidRPr="00F10C37" w:rsidRDefault="005D59D6" w:rsidP="002D6DD7">
            <w:pPr>
              <w:jc w:val="both"/>
              <w:rPr>
                <w:rFonts w:eastAsia="Arial" w:cs="Times New Roman"/>
                <w:szCs w:val="24"/>
              </w:rPr>
            </w:pPr>
            <w:r w:rsidRPr="00F10C37">
              <w:rPr>
                <w:rFonts w:eastAsia="Arial" w:cs="Times New Roman"/>
                <w:szCs w:val="24"/>
              </w:rPr>
              <w:t xml:space="preserve">Solution for injection: 50 mg/10 </w:t>
            </w:r>
            <w:r>
              <w:rPr>
                <w:rFonts w:eastAsia="Arial" w:cs="Times New Roman"/>
                <w:szCs w:val="24"/>
              </w:rPr>
              <w:t>ml</w:t>
            </w:r>
            <w:r w:rsidRPr="00F10C37">
              <w:rPr>
                <w:rFonts w:eastAsia="Arial" w:cs="Times New Roman"/>
                <w:szCs w:val="24"/>
              </w:rPr>
              <w:t xml:space="preserve"> in 10 </w:t>
            </w:r>
            <w:r>
              <w:rPr>
                <w:rFonts w:eastAsia="Arial" w:cs="Times New Roman"/>
                <w:szCs w:val="24"/>
              </w:rPr>
              <w:t>ml</w:t>
            </w:r>
            <w:r w:rsidRPr="00F10C37">
              <w:rPr>
                <w:rFonts w:eastAsia="Arial" w:cs="Times New Roman"/>
                <w:szCs w:val="24"/>
              </w:rPr>
              <w:t xml:space="preserve"> vial, 100 mg/20 </w:t>
            </w:r>
            <w:r>
              <w:rPr>
                <w:rFonts w:eastAsia="Arial" w:cs="Times New Roman"/>
                <w:szCs w:val="24"/>
              </w:rPr>
              <w:t>ml</w:t>
            </w:r>
            <w:r w:rsidRPr="00F10C37">
              <w:rPr>
                <w:rFonts w:eastAsia="Arial" w:cs="Times New Roman"/>
                <w:szCs w:val="24"/>
              </w:rPr>
              <w:t xml:space="preserve"> in 20 </w:t>
            </w:r>
            <w:r>
              <w:rPr>
                <w:rFonts w:eastAsia="Arial" w:cs="Times New Roman"/>
                <w:szCs w:val="24"/>
              </w:rPr>
              <w:t>ml</w:t>
            </w:r>
            <w:r w:rsidRPr="00F10C37">
              <w:rPr>
                <w:rFonts w:eastAsia="Arial" w:cs="Times New Roman"/>
                <w:szCs w:val="24"/>
              </w:rPr>
              <w:t xml:space="preserve">. </w:t>
            </w:r>
          </w:p>
          <w:p w14:paraId="2CA401B3" w14:textId="77777777" w:rsidR="005D59D6" w:rsidRPr="00F10C37" w:rsidRDefault="005D59D6" w:rsidP="002D6DD7">
            <w:pPr>
              <w:jc w:val="both"/>
              <w:rPr>
                <w:rFonts w:eastAsia="Arial" w:cs="Times New Roman"/>
                <w:szCs w:val="24"/>
                <w:lang w:val="sv-SE"/>
              </w:rPr>
            </w:pPr>
            <w:r w:rsidRPr="00F10C37">
              <w:rPr>
                <w:rFonts w:eastAsia="Arial" w:cs="Times New Roman"/>
                <w:szCs w:val="24"/>
                <w:lang w:val="sv-SE"/>
              </w:rPr>
              <w:t xml:space="preserve">Vial: 200 mg/40 </w:t>
            </w:r>
            <w:r>
              <w:rPr>
                <w:rFonts w:eastAsia="Arial" w:cs="Times New Roman"/>
                <w:szCs w:val="24"/>
                <w:lang w:val="sv-SE"/>
              </w:rPr>
              <w:t>ml</w:t>
            </w:r>
            <w:r w:rsidRPr="00F10C37">
              <w:rPr>
                <w:rFonts w:eastAsia="Arial" w:cs="Times New Roman"/>
                <w:szCs w:val="24"/>
                <w:lang w:val="sv-SE"/>
              </w:rPr>
              <w:t xml:space="preserve"> in 40 </w:t>
            </w:r>
            <w:r>
              <w:rPr>
                <w:rFonts w:eastAsia="Arial" w:cs="Times New Roman"/>
                <w:szCs w:val="24"/>
                <w:lang w:val="sv-SE"/>
              </w:rPr>
              <w:t>ml</w:t>
            </w:r>
            <w:r w:rsidRPr="00F10C37">
              <w:rPr>
                <w:rFonts w:eastAsia="Arial" w:cs="Times New Roman"/>
                <w:szCs w:val="24"/>
                <w:lang w:val="sv-SE"/>
              </w:rPr>
              <w:t xml:space="preserve"> vial.</w:t>
            </w:r>
          </w:p>
          <w:p w14:paraId="2AE202E6"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Powder for injection: 50 mg, 100 mg in vial.</w:t>
            </w:r>
          </w:p>
        </w:tc>
      </w:tr>
      <w:tr w:rsidR="005D59D6" w:rsidRPr="00F10C37" w14:paraId="272871A0" w14:textId="77777777" w:rsidTr="002D6DD7">
        <w:trPr>
          <w:jc w:val="center"/>
        </w:trPr>
        <w:tc>
          <w:tcPr>
            <w:tcW w:w="2695" w:type="dxa"/>
          </w:tcPr>
          <w:p w14:paraId="05A4BA5A"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1B8DBA1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Colorectal cancer, pancreatic cancer and gastroesophageal cancer.</w:t>
            </w:r>
          </w:p>
        </w:tc>
      </w:tr>
      <w:tr w:rsidR="005D59D6" w:rsidRPr="00F10C37" w14:paraId="57D4ACC4" w14:textId="77777777" w:rsidTr="002D6DD7">
        <w:trPr>
          <w:jc w:val="center"/>
        </w:trPr>
        <w:tc>
          <w:tcPr>
            <w:tcW w:w="2695" w:type="dxa"/>
          </w:tcPr>
          <w:p w14:paraId="559BD13A"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55B6908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85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over 2 hours, on an every-2-week schedule. Can also be </w:t>
            </w:r>
            <w:r w:rsidRPr="00F10C37">
              <w:rPr>
                <w:rFonts w:eastAsia="Calibri" w:cs="Times New Roman"/>
                <w:color w:val="000000" w:themeColor="text1"/>
                <w:szCs w:val="24"/>
              </w:rPr>
              <w:lastRenderedPageBreak/>
              <w:t>administered at 100–130 mg/m2 IV on an every-3-week schedule.</w:t>
            </w:r>
          </w:p>
        </w:tc>
      </w:tr>
      <w:tr w:rsidR="005D59D6" w:rsidRPr="00F10C37" w14:paraId="52DFBB52" w14:textId="77777777" w:rsidTr="002D6DD7">
        <w:trPr>
          <w:jc w:val="center"/>
        </w:trPr>
        <w:tc>
          <w:tcPr>
            <w:tcW w:w="2695" w:type="dxa"/>
          </w:tcPr>
          <w:p w14:paraId="14F4CDD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7010" w:type="dxa"/>
          </w:tcPr>
          <w:p w14:paraId="0E89ADDD" w14:textId="77777777" w:rsidR="005D59D6" w:rsidRPr="00F10C37" w:rsidRDefault="005D59D6" w:rsidP="002D6DD7">
            <w:pPr>
              <w:contextualSpacing/>
              <w:jc w:val="both"/>
              <w:rPr>
                <w:rFonts w:eastAsia="Calibri" w:cs="Times New Roman"/>
                <w:color w:val="000000" w:themeColor="text1"/>
                <w:szCs w:val="24"/>
              </w:rPr>
            </w:pPr>
            <w:r>
              <w:rPr>
                <w:rFonts w:eastAsia="Calibri" w:cs="Times New Roman"/>
                <w:color w:val="000000" w:themeColor="text1"/>
                <w:szCs w:val="24"/>
              </w:rPr>
              <w:t>H</w:t>
            </w:r>
            <w:r w:rsidRPr="00F10C37">
              <w:rPr>
                <w:rFonts w:eastAsia="Calibri" w:cs="Times New Roman"/>
                <w:color w:val="000000" w:themeColor="text1"/>
                <w:szCs w:val="24"/>
              </w:rPr>
              <w:t xml:space="preserve">ypersensitivity to </w:t>
            </w:r>
            <w:r>
              <w:rPr>
                <w:rFonts w:eastAsia="Calibri" w:cs="Times New Roman"/>
                <w:color w:val="000000" w:themeColor="text1"/>
                <w:szCs w:val="24"/>
              </w:rPr>
              <w:t>the drug</w:t>
            </w:r>
            <w:r w:rsidRPr="00F10C37">
              <w:rPr>
                <w:rFonts w:eastAsia="Calibri" w:cs="Times New Roman"/>
                <w:color w:val="000000" w:themeColor="text1"/>
                <w:szCs w:val="24"/>
              </w:rPr>
              <w:t>,</w:t>
            </w:r>
            <w:r>
              <w:rPr>
                <w:rFonts w:eastAsia="Calibri" w:cs="Times New Roman"/>
                <w:color w:val="000000" w:themeColor="text1"/>
                <w:szCs w:val="24"/>
              </w:rPr>
              <w:t xml:space="preserve"> p</w:t>
            </w:r>
            <w:r w:rsidRPr="00F10C37">
              <w:rPr>
                <w:rFonts w:eastAsia="Calibri" w:cs="Times New Roman"/>
                <w:color w:val="000000" w:themeColor="text1"/>
                <w:szCs w:val="24"/>
              </w:rPr>
              <w:t xml:space="preserve">eripheral neuropathy with functional impairment, severe renal impairment (CrCl less than 30 </w:t>
            </w:r>
            <w:r>
              <w:rPr>
                <w:rFonts w:eastAsia="Calibri" w:cs="Times New Roman"/>
                <w:color w:val="000000" w:themeColor="text1"/>
                <w:szCs w:val="24"/>
              </w:rPr>
              <w:t>ml</w:t>
            </w:r>
            <w:r w:rsidRPr="00F10C37">
              <w:rPr>
                <w:rFonts w:eastAsia="Calibri" w:cs="Times New Roman"/>
                <w:color w:val="000000" w:themeColor="text1"/>
                <w:szCs w:val="24"/>
              </w:rPr>
              <w:t>/min), severe bone marrow suppression.</w:t>
            </w:r>
          </w:p>
        </w:tc>
      </w:tr>
      <w:tr w:rsidR="005D59D6" w:rsidRPr="00F10C37" w14:paraId="6D8E265E" w14:textId="77777777" w:rsidTr="002D6DD7">
        <w:trPr>
          <w:jc w:val="center"/>
        </w:trPr>
        <w:tc>
          <w:tcPr>
            <w:tcW w:w="2695" w:type="dxa"/>
          </w:tcPr>
          <w:p w14:paraId="6C220FE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71CA00D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Nitrofurantoin, isoniazid, lamivudine, metronidazole, phenytoin, thalidomide, theophylline.</w:t>
            </w:r>
          </w:p>
        </w:tc>
      </w:tr>
      <w:tr w:rsidR="005D59D6" w:rsidRPr="00F10C37" w14:paraId="4F83F197" w14:textId="77777777" w:rsidTr="002D6DD7">
        <w:trPr>
          <w:jc w:val="center"/>
        </w:trPr>
        <w:tc>
          <w:tcPr>
            <w:tcW w:w="2695" w:type="dxa"/>
          </w:tcPr>
          <w:p w14:paraId="0162D94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4835B59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Peripheral neuropathy, nausea, vomiting, diarrhoea, thrombocytopenia, anaemia, facial flushing, rash, urticaria, bronchospasm, hypertension.</w:t>
            </w:r>
          </w:p>
        </w:tc>
      </w:tr>
      <w:tr w:rsidR="005D59D6" w:rsidRPr="00F10C37" w14:paraId="685EE6CF" w14:textId="77777777" w:rsidTr="002D6DD7">
        <w:trPr>
          <w:jc w:val="center"/>
        </w:trPr>
        <w:tc>
          <w:tcPr>
            <w:tcW w:w="2695" w:type="dxa"/>
          </w:tcPr>
          <w:p w14:paraId="13D818B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64388BF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Mild to moderate renal impairment, pregnancy and breastfeeding, renal </w:t>
            </w:r>
            <w:r>
              <w:rPr>
                <w:rFonts w:eastAsia="Calibri" w:cs="Times New Roman"/>
                <w:color w:val="000000" w:themeColor="text1"/>
                <w:szCs w:val="24"/>
              </w:rPr>
              <w:t>impairment</w:t>
            </w:r>
            <w:r w:rsidRPr="00F10C37">
              <w:rPr>
                <w:rFonts w:eastAsia="Calibri" w:cs="Times New Roman"/>
                <w:color w:val="000000" w:themeColor="text1"/>
                <w:szCs w:val="24"/>
              </w:rPr>
              <w:t>, and sign of neurotoxicity.</w:t>
            </w:r>
          </w:p>
        </w:tc>
      </w:tr>
      <w:tr w:rsidR="005D59D6" w:rsidRPr="00F10C37" w14:paraId="01AB208F" w14:textId="77777777" w:rsidTr="002D6DD7">
        <w:trPr>
          <w:jc w:val="center"/>
        </w:trPr>
        <w:tc>
          <w:tcPr>
            <w:tcW w:w="2695" w:type="dxa"/>
          </w:tcPr>
          <w:p w14:paraId="1BC9901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1EAA2DC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light and moisture.</w:t>
            </w:r>
          </w:p>
        </w:tc>
      </w:tr>
      <w:tr w:rsidR="005D59D6" w:rsidRPr="00F10C37" w14:paraId="0EEF128F" w14:textId="77777777" w:rsidTr="002D6DD7">
        <w:trPr>
          <w:jc w:val="center"/>
        </w:trPr>
        <w:tc>
          <w:tcPr>
            <w:tcW w:w="9705" w:type="dxa"/>
            <w:gridSpan w:val="2"/>
          </w:tcPr>
          <w:p w14:paraId="1D0CCBB1" w14:textId="77777777" w:rsidR="005D59D6" w:rsidRPr="00F10C37" w:rsidRDefault="005D59D6" w:rsidP="002D6DD7">
            <w:pPr>
              <w:jc w:val="both"/>
              <w:rPr>
                <w:rFonts w:eastAsia="Calibri" w:cs="Times New Roman"/>
                <w:szCs w:val="24"/>
              </w:rPr>
            </w:pPr>
            <w:r w:rsidRPr="00F10C37">
              <w:rPr>
                <w:rFonts w:cs="Times New Roman"/>
                <w:b/>
                <w:bCs/>
                <w:szCs w:val="24"/>
              </w:rPr>
              <w:t>Paclitaxel</w:t>
            </w:r>
          </w:p>
        </w:tc>
      </w:tr>
      <w:tr w:rsidR="005D59D6" w:rsidRPr="00F10C37" w14:paraId="603551AC" w14:textId="77777777" w:rsidTr="002D6DD7">
        <w:trPr>
          <w:jc w:val="center"/>
        </w:trPr>
        <w:tc>
          <w:tcPr>
            <w:tcW w:w="2695" w:type="dxa"/>
          </w:tcPr>
          <w:p w14:paraId="04A7A67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2EAA8EC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taxane</w:t>
            </w:r>
          </w:p>
        </w:tc>
      </w:tr>
      <w:tr w:rsidR="005D59D6" w:rsidRPr="00F10C37" w14:paraId="5532752A" w14:textId="77777777" w:rsidTr="002D6DD7">
        <w:trPr>
          <w:jc w:val="center"/>
        </w:trPr>
        <w:tc>
          <w:tcPr>
            <w:tcW w:w="2695" w:type="dxa"/>
          </w:tcPr>
          <w:p w14:paraId="788B0F5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09D89756"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Solution for injection: 6mg/</w:t>
            </w:r>
            <w:r>
              <w:rPr>
                <w:rFonts w:eastAsia="Arial" w:cs="Times New Roman"/>
                <w:szCs w:val="24"/>
              </w:rPr>
              <w:t>ml</w:t>
            </w:r>
          </w:p>
        </w:tc>
      </w:tr>
      <w:tr w:rsidR="005D59D6" w:rsidRPr="00F10C37" w14:paraId="5B5F9D85" w14:textId="77777777" w:rsidTr="002D6DD7">
        <w:trPr>
          <w:jc w:val="center"/>
        </w:trPr>
        <w:tc>
          <w:tcPr>
            <w:tcW w:w="2695" w:type="dxa"/>
          </w:tcPr>
          <w:p w14:paraId="0BC5AB92"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3953B55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Ovarian cancer, breast cancer, SCLC and NSCLC, head and neck cancer, esophageal cancer, prostate cancer, bladder cancer, AIDS-related Kaposi’s sarcoma.</w:t>
            </w:r>
          </w:p>
        </w:tc>
      </w:tr>
      <w:tr w:rsidR="005D59D6" w:rsidRPr="00F10C37" w14:paraId="78DA8789" w14:textId="77777777" w:rsidTr="002D6DD7">
        <w:trPr>
          <w:jc w:val="center"/>
        </w:trPr>
        <w:tc>
          <w:tcPr>
            <w:tcW w:w="2695" w:type="dxa"/>
          </w:tcPr>
          <w:p w14:paraId="7E2AE0E3"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E02620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Ovarian cancer</w:t>
            </w:r>
            <w:r w:rsidRPr="00F10C37">
              <w:rPr>
                <w:rFonts w:eastAsia="Calibri" w:cs="Times New Roman"/>
                <w:color w:val="000000" w:themeColor="text1"/>
                <w:szCs w:val="24"/>
              </w:rPr>
              <w:t>: 135–175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as 3-hour infusion every 3 weeks.</w:t>
            </w:r>
          </w:p>
          <w:p w14:paraId="4C782A5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Breast cancer and SCLC and NSCLC</w:t>
            </w:r>
            <w:r w:rsidRPr="00F10C37">
              <w:rPr>
                <w:rFonts w:eastAsia="Calibri" w:cs="Times New Roman"/>
                <w:color w:val="000000" w:themeColor="text1"/>
                <w:szCs w:val="24"/>
              </w:rPr>
              <w:t>: 175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IV as 3-hour infusion every 3 weeks.</w:t>
            </w:r>
          </w:p>
          <w:p w14:paraId="38FC5BF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Bladder cancer, head and neck cancer</w:t>
            </w:r>
            <w:r w:rsidRPr="00F10C37">
              <w:rPr>
                <w:rFonts w:eastAsia="Calibri" w:cs="Times New Roman"/>
                <w:color w:val="000000" w:themeColor="text1"/>
                <w:szCs w:val="24"/>
              </w:rPr>
              <w:t>: 250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as 24-hour infusion every 3 weeks.</w:t>
            </w:r>
          </w:p>
          <w:p w14:paraId="4460D3D8" w14:textId="77777777" w:rsidR="005D59D6" w:rsidRPr="00F10C37" w:rsidRDefault="005D59D6" w:rsidP="003D3F76">
            <w:pPr>
              <w:pStyle w:val="ListParagraph"/>
              <w:numPr>
                <w:ilvl w:val="0"/>
                <w:numId w:val="10"/>
              </w:numPr>
              <w:spacing w:line="360" w:lineRule="auto"/>
              <w:ind w:left="0"/>
              <w:contextualSpacing/>
              <w:rPr>
                <w:rFonts w:eastAsia="Calibri"/>
                <w:color w:val="000000" w:themeColor="text1"/>
                <w:szCs w:val="24"/>
              </w:rPr>
            </w:pPr>
            <w:r w:rsidRPr="00F10C37">
              <w:rPr>
                <w:rFonts w:eastAsia="Calibri"/>
                <w:color w:val="000000" w:themeColor="text1"/>
                <w:szCs w:val="24"/>
              </w:rPr>
              <w:t>Weekly schedule: 80–100 mg/m2 IV each week for 3 weeks with 1 week of rest.</w:t>
            </w:r>
          </w:p>
          <w:p w14:paraId="51ABD963" w14:textId="77777777" w:rsidR="005D59D6" w:rsidRPr="00F10C37" w:rsidRDefault="005D59D6" w:rsidP="003D3F76">
            <w:pPr>
              <w:pStyle w:val="ListParagraph"/>
              <w:numPr>
                <w:ilvl w:val="0"/>
                <w:numId w:val="10"/>
              </w:numPr>
              <w:spacing w:line="360" w:lineRule="auto"/>
              <w:ind w:left="0"/>
              <w:contextualSpacing/>
              <w:rPr>
                <w:rFonts w:eastAsia="Calibri"/>
                <w:color w:val="000000" w:themeColor="text1"/>
                <w:szCs w:val="24"/>
              </w:rPr>
            </w:pPr>
            <w:r w:rsidRPr="00F10C37">
              <w:rPr>
                <w:rFonts w:eastAsia="Calibri"/>
                <w:color w:val="000000" w:themeColor="text1"/>
                <w:szCs w:val="24"/>
              </w:rPr>
              <w:t>Infusion schedule: 140 mg/m2 as a 96-hour infusion.</w:t>
            </w:r>
          </w:p>
          <w:p w14:paraId="48BF959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AIDS-related Kaposi’s sarcoma</w:t>
            </w:r>
            <w:r w:rsidRPr="00F10C37">
              <w:rPr>
                <w:rFonts w:eastAsia="Calibri" w:cs="Times New Roman"/>
                <w:color w:val="000000" w:themeColor="text1"/>
                <w:szCs w:val="24"/>
              </w:rPr>
              <w:t>: 135mg/m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IV over 3 hrs every 3 weeks</w:t>
            </w:r>
          </w:p>
        </w:tc>
      </w:tr>
      <w:tr w:rsidR="005D59D6" w:rsidRPr="00F10C37" w14:paraId="309DEF7B" w14:textId="77777777" w:rsidTr="002D6DD7">
        <w:trPr>
          <w:jc w:val="center"/>
        </w:trPr>
        <w:tc>
          <w:tcPr>
            <w:tcW w:w="2695" w:type="dxa"/>
          </w:tcPr>
          <w:p w14:paraId="728E901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623BF11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severe bone marrow suppression, severe </w:t>
            </w:r>
            <w:r w:rsidRPr="00F10C37">
              <w:rPr>
                <w:rFonts w:eastAsia="Calibri" w:cs="Times New Roman"/>
                <w:color w:val="000000" w:themeColor="text1"/>
                <w:szCs w:val="24"/>
              </w:rPr>
              <w:lastRenderedPageBreak/>
              <w:t>hepatic impairment (bilirubin &gt; 5 times), acute porphyrias.</w:t>
            </w:r>
          </w:p>
        </w:tc>
      </w:tr>
      <w:tr w:rsidR="005D59D6" w:rsidRPr="00F10C37" w14:paraId="08461AA8" w14:textId="77777777" w:rsidTr="002D6DD7">
        <w:trPr>
          <w:jc w:val="center"/>
        </w:trPr>
        <w:tc>
          <w:tcPr>
            <w:tcW w:w="2695" w:type="dxa"/>
          </w:tcPr>
          <w:p w14:paraId="35F9048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Drug interactions</w:t>
            </w:r>
          </w:p>
        </w:tc>
        <w:tc>
          <w:tcPr>
            <w:tcW w:w="7010" w:type="dxa"/>
          </w:tcPr>
          <w:p w14:paraId="2D2F3D0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Radiation therapy and CYP 450 inducers and inhibitors.</w:t>
            </w:r>
          </w:p>
        </w:tc>
      </w:tr>
      <w:tr w:rsidR="005D59D6" w:rsidRPr="00F10C37" w14:paraId="2DA29BC9" w14:textId="77777777" w:rsidTr="002D6DD7">
        <w:trPr>
          <w:jc w:val="center"/>
        </w:trPr>
        <w:tc>
          <w:tcPr>
            <w:tcW w:w="2695" w:type="dxa"/>
          </w:tcPr>
          <w:p w14:paraId="047946F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3BA46AD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reaction, neutropenia, thrombocytopenia, neurotoxicity, alopecia (total body hair loss), heart block, ventricular arrhythmias, mucositis, diarrhoea, nausea, vomiting, hepatotoxicity, oncholysis. </w:t>
            </w:r>
          </w:p>
        </w:tc>
      </w:tr>
      <w:tr w:rsidR="005D59D6" w:rsidRPr="00F10C37" w14:paraId="231C8FC4" w14:textId="77777777" w:rsidTr="002D6DD7">
        <w:trPr>
          <w:jc w:val="center"/>
        </w:trPr>
        <w:tc>
          <w:tcPr>
            <w:tcW w:w="2695" w:type="dxa"/>
          </w:tcPr>
          <w:p w14:paraId="523F28E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5C116A0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Age &gt; 75 years, metastatic adenocarcinoma of the pancreas, pregnancy and breastfeeding</w:t>
            </w:r>
            <w:r>
              <w:rPr>
                <w:rFonts w:eastAsia="Calibri" w:cs="Times New Roman"/>
                <w:color w:val="000000" w:themeColor="text1"/>
                <w:szCs w:val="24"/>
              </w:rPr>
              <w:t xml:space="preserve">, </w:t>
            </w:r>
            <w:r w:rsidRPr="00F10C37">
              <w:rPr>
                <w:rFonts w:eastAsia="Calibri" w:cs="Times New Roman"/>
                <w:color w:val="000000" w:themeColor="text1"/>
                <w:szCs w:val="24"/>
              </w:rPr>
              <w:t>liver</w:t>
            </w:r>
            <w:r>
              <w:rPr>
                <w:rFonts w:eastAsia="Calibri" w:cs="Times New Roman"/>
                <w:color w:val="000000" w:themeColor="text1"/>
                <w:szCs w:val="24"/>
              </w:rPr>
              <w:t xml:space="preserve"> impairment</w:t>
            </w:r>
            <w:r w:rsidRPr="00F10C37">
              <w:rPr>
                <w:rFonts w:eastAsia="Calibri" w:cs="Times New Roman"/>
                <w:color w:val="000000" w:themeColor="text1"/>
                <w:szCs w:val="24"/>
              </w:rPr>
              <w:t xml:space="preserve">, cardiac </w:t>
            </w:r>
            <w:r>
              <w:rPr>
                <w:rFonts w:eastAsia="Calibri" w:cs="Times New Roman"/>
                <w:color w:val="000000" w:themeColor="text1"/>
                <w:szCs w:val="24"/>
              </w:rPr>
              <w:t>disorder</w:t>
            </w:r>
            <w:r w:rsidRPr="00F10C37">
              <w:rPr>
                <w:rFonts w:eastAsia="Calibri" w:cs="Times New Roman"/>
                <w:color w:val="000000" w:themeColor="text1"/>
                <w:szCs w:val="24"/>
              </w:rPr>
              <w:t>, diabetes mellitus, chronic alcoholism, neurotoxic agents, and sun exposure.</w:t>
            </w:r>
          </w:p>
        </w:tc>
      </w:tr>
      <w:tr w:rsidR="005D59D6" w:rsidRPr="00F10C37" w14:paraId="61451B51" w14:textId="77777777" w:rsidTr="002D6DD7">
        <w:trPr>
          <w:jc w:val="center"/>
        </w:trPr>
        <w:tc>
          <w:tcPr>
            <w:tcW w:w="2695" w:type="dxa"/>
          </w:tcPr>
          <w:p w14:paraId="19C41F2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13EC09E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between 20° to </w:t>
            </w:r>
            <w:r>
              <w:rPr>
                <w:rFonts w:eastAsia="Calibri" w:cs="Times New Roman"/>
                <w:color w:val="000000" w:themeColor="text1"/>
                <w:szCs w:val="24"/>
              </w:rPr>
              <w:t>30</w:t>
            </w:r>
            <w:r w:rsidRPr="00F10C37">
              <w:rPr>
                <w:rFonts w:eastAsia="Calibri" w:cs="Times New Roman"/>
                <w:color w:val="000000" w:themeColor="text1"/>
                <w:szCs w:val="24"/>
              </w:rPr>
              <w:t>°C. Protect from heat and light.</w:t>
            </w:r>
          </w:p>
        </w:tc>
      </w:tr>
      <w:tr w:rsidR="005D59D6" w:rsidRPr="00F10C37" w14:paraId="3203FD36" w14:textId="77777777" w:rsidTr="002D6DD7">
        <w:trPr>
          <w:jc w:val="center"/>
        </w:trPr>
        <w:tc>
          <w:tcPr>
            <w:tcW w:w="9705" w:type="dxa"/>
            <w:gridSpan w:val="2"/>
          </w:tcPr>
          <w:p w14:paraId="3335CCF1" w14:textId="77777777" w:rsidR="005D59D6" w:rsidRPr="00F10C37" w:rsidRDefault="005D59D6" w:rsidP="002D6DD7">
            <w:pPr>
              <w:jc w:val="both"/>
              <w:rPr>
                <w:rFonts w:eastAsia="Calibri" w:cs="Times New Roman"/>
                <w:szCs w:val="24"/>
              </w:rPr>
            </w:pPr>
            <w:r w:rsidRPr="00F10C37">
              <w:rPr>
                <w:rFonts w:cs="Times New Roman"/>
                <w:b/>
                <w:bCs/>
                <w:szCs w:val="24"/>
              </w:rPr>
              <w:t>Procarbazine</w:t>
            </w:r>
          </w:p>
        </w:tc>
      </w:tr>
      <w:tr w:rsidR="005D59D6" w:rsidRPr="00F10C37" w14:paraId="5A970088" w14:textId="77777777" w:rsidTr="002D6DD7">
        <w:trPr>
          <w:jc w:val="center"/>
        </w:trPr>
        <w:tc>
          <w:tcPr>
            <w:tcW w:w="2695" w:type="dxa"/>
          </w:tcPr>
          <w:p w14:paraId="5E15DB4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78A2AC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alkylating agent.</w:t>
            </w:r>
          </w:p>
        </w:tc>
      </w:tr>
      <w:tr w:rsidR="005D59D6" w:rsidRPr="00F10C37" w14:paraId="50EFFF71" w14:textId="77777777" w:rsidTr="002D6DD7">
        <w:trPr>
          <w:jc w:val="center"/>
        </w:trPr>
        <w:tc>
          <w:tcPr>
            <w:tcW w:w="2695" w:type="dxa"/>
          </w:tcPr>
          <w:p w14:paraId="6DFC5A1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0519FC48"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 50 mg (as hydrochloride).</w:t>
            </w:r>
          </w:p>
        </w:tc>
      </w:tr>
      <w:tr w:rsidR="005D59D6" w:rsidRPr="00F10C37" w14:paraId="3A5F6030" w14:textId="77777777" w:rsidTr="002D6DD7">
        <w:trPr>
          <w:jc w:val="center"/>
        </w:trPr>
        <w:tc>
          <w:tcPr>
            <w:tcW w:w="2695" w:type="dxa"/>
          </w:tcPr>
          <w:p w14:paraId="22276F1D" w14:textId="77777777" w:rsidR="005D59D6" w:rsidRPr="00957F12" w:rsidRDefault="005D59D6" w:rsidP="002D6DD7">
            <w:pPr>
              <w:jc w:val="both"/>
              <w:rPr>
                <w:rFonts w:eastAsia="Calibri" w:cs="Times New Roman"/>
                <w:color w:val="000000" w:themeColor="text1"/>
                <w:szCs w:val="24"/>
              </w:rPr>
            </w:pPr>
            <w:r w:rsidRPr="00957F12">
              <w:rPr>
                <w:rFonts w:eastAsia="Calibri" w:cs="Times New Roman"/>
                <w:color w:val="000000" w:themeColor="text1"/>
                <w:szCs w:val="24"/>
              </w:rPr>
              <w:t>Indications</w:t>
            </w:r>
          </w:p>
        </w:tc>
        <w:tc>
          <w:tcPr>
            <w:tcW w:w="7010" w:type="dxa"/>
          </w:tcPr>
          <w:p w14:paraId="5DDE75F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HL, NHL, </w:t>
            </w:r>
            <w:r>
              <w:rPr>
                <w:rFonts w:eastAsia="Calibri" w:cs="Times New Roman"/>
                <w:color w:val="000000" w:themeColor="text1"/>
                <w:szCs w:val="24"/>
              </w:rPr>
              <w:t>b</w:t>
            </w:r>
            <w:r w:rsidRPr="00F10C37">
              <w:rPr>
                <w:rFonts w:eastAsia="Calibri" w:cs="Times New Roman"/>
                <w:color w:val="000000" w:themeColor="text1"/>
                <w:szCs w:val="24"/>
              </w:rPr>
              <w:t>rain tumors.</w:t>
            </w:r>
          </w:p>
        </w:tc>
      </w:tr>
      <w:tr w:rsidR="005D59D6" w:rsidRPr="00F10C37" w14:paraId="734BD7E4" w14:textId="77777777" w:rsidTr="002D6DD7">
        <w:trPr>
          <w:jc w:val="center"/>
        </w:trPr>
        <w:tc>
          <w:tcPr>
            <w:tcW w:w="2695" w:type="dxa"/>
          </w:tcPr>
          <w:p w14:paraId="77F9EFC5"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A704CB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HL and NHL</w:t>
            </w:r>
            <w:r w:rsidRPr="00F10C37">
              <w:rPr>
                <w:rFonts w:eastAsia="Calibri" w:cs="Times New Roman"/>
                <w:color w:val="000000" w:themeColor="text1"/>
                <w:szCs w:val="24"/>
              </w:rPr>
              <w:t>: 100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PO daily for 14 days, as part of MOPP regimen.</w:t>
            </w:r>
          </w:p>
          <w:p w14:paraId="513B843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Brain tumors</w:t>
            </w:r>
            <w:r w:rsidRPr="00F10C37">
              <w:rPr>
                <w:rFonts w:eastAsia="Calibri" w:cs="Times New Roman"/>
                <w:color w:val="000000" w:themeColor="text1"/>
                <w:szCs w:val="24"/>
              </w:rPr>
              <w:t>: 60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PO daily for 14 days, as part of PCV regimen.</w:t>
            </w:r>
          </w:p>
        </w:tc>
      </w:tr>
      <w:tr w:rsidR="005D59D6" w:rsidRPr="00F10C37" w14:paraId="28694A0F" w14:textId="77777777" w:rsidTr="002D6DD7">
        <w:trPr>
          <w:jc w:val="center"/>
        </w:trPr>
        <w:tc>
          <w:tcPr>
            <w:tcW w:w="2695" w:type="dxa"/>
          </w:tcPr>
          <w:p w14:paraId="3FA6429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6855389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bone marrow suppression, severe hepatic impairment (bilirubin &gt; 5 times), pre-existing severe leucopenea and thrombocytopenea.</w:t>
            </w:r>
          </w:p>
        </w:tc>
      </w:tr>
      <w:tr w:rsidR="005D59D6" w:rsidRPr="00F10C37" w14:paraId="0B697C16" w14:textId="77777777" w:rsidTr="002D6DD7">
        <w:trPr>
          <w:jc w:val="center"/>
        </w:trPr>
        <w:tc>
          <w:tcPr>
            <w:tcW w:w="2695" w:type="dxa"/>
          </w:tcPr>
          <w:p w14:paraId="6A4ADA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54A6507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Alcohol- or tyramine-containing foods, MAO inhibitors, antihistamines, CNS depressants, levodopa, meperidine, tricyclic antidepressants, antidiabetic agents (sulfonylurea, insulin).</w:t>
            </w:r>
          </w:p>
        </w:tc>
      </w:tr>
      <w:tr w:rsidR="005D59D6" w:rsidRPr="00F10C37" w14:paraId="7BD9F1AD" w14:textId="77777777" w:rsidTr="002D6DD7">
        <w:trPr>
          <w:jc w:val="center"/>
        </w:trPr>
        <w:tc>
          <w:tcPr>
            <w:tcW w:w="2695" w:type="dxa"/>
          </w:tcPr>
          <w:p w14:paraId="68CA1AD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2C7411C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Neutropenia, thrombocytopenia, anaemia, nausea and vomiting, diarrhoea, loss of appetite, CNS toxicity, hypersensitivity reaction, amenorrhea and azoospermia, increased risk of infections, increased risk of secondary malignancies in the form of A</w:t>
            </w:r>
            <w:r>
              <w:rPr>
                <w:rFonts w:eastAsia="Calibri" w:cs="Times New Roman"/>
                <w:color w:val="000000" w:themeColor="text1"/>
                <w:szCs w:val="24"/>
              </w:rPr>
              <w:t>ML</w:t>
            </w:r>
            <w:r w:rsidRPr="00F10C37">
              <w:rPr>
                <w:rFonts w:eastAsia="Calibri" w:cs="Times New Roman"/>
                <w:color w:val="000000" w:themeColor="text1"/>
                <w:szCs w:val="24"/>
              </w:rPr>
              <w:t>.</w:t>
            </w:r>
          </w:p>
        </w:tc>
      </w:tr>
      <w:tr w:rsidR="005D59D6" w:rsidRPr="00F10C37" w14:paraId="7E4B26DC" w14:textId="77777777" w:rsidTr="002D6DD7">
        <w:trPr>
          <w:jc w:val="center"/>
        </w:trPr>
        <w:tc>
          <w:tcPr>
            <w:tcW w:w="2695" w:type="dxa"/>
          </w:tcPr>
          <w:p w14:paraId="73196E8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31B16A63" w14:textId="77777777" w:rsidR="005D59D6" w:rsidRPr="00F10C37" w:rsidRDefault="005D59D6" w:rsidP="002D6DD7">
            <w:pPr>
              <w:jc w:val="both"/>
              <w:rPr>
                <w:rFonts w:eastAsia="Calibri" w:cs="Times New Roman"/>
                <w:color w:val="000000" w:themeColor="text1"/>
                <w:szCs w:val="24"/>
              </w:rPr>
            </w:pPr>
            <w:r w:rsidRPr="00852C0D">
              <w:rPr>
                <w:rFonts w:eastAsia="Calibri" w:cs="Times New Roman"/>
                <w:szCs w:val="24"/>
              </w:rPr>
              <w:t>History of pulmonary disorders,</w:t>
            </w:r>
            <w:r w:rsidRPr="00852C0D">
              <w:rPr>
                <w:rFonts w:cs="Times New Roman"/>
                <w:szCs w:val="24"/>
              </w:rPr>
              <w:t xml:space="preserve"> cardiovascular disease, </w:t>
            </w:r>
            <w:r w:rsidRPr="00852C0D">
              <w:rPr>
                <w:rFonts w:cs="Times New Roman"/>
                <w:szCs w:val="24"/>
              </w:rPr>
              <w:lastRenderedPageBreak/>
              <w:t>cerebrovascular disease, epilepsy, phaeochromocytoma,</w:t>
            </w:r>
            <w:r w:rsidRPr="00852C0D">
              <w:rPr>
                <w:rFonts w:eastAsia="Calibri" w:cs="Times New Roman"/>
                <w:szCs w:val="24"/>
              </w:rPr>
              <w:t xml:space="preserve"> pregnancy and breastfeeding. </w:t>
            </w:r>
          </w:p>
        </w:tc>
      </w:tr>
      <w:tr w:rsidR="005D59D6" w:rsidRPr="00F10C37" w14:paraId="5FD26705" w14:textId="77777777" w:rsidTr="002D6DD7">
        <w:trPr>
          <w:jc w:val="center"/>
        </w:trPr>
        <w:tc>
          <w:tcPr>
            <w:tcW w:w="2695" w:type="dxa"/>
          </w:tcPr>
          <w:p w14:paraId="241ED06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Storage condition</w:t>
            </w:r>
          </w:p>
        </w:tc>
        <w:tc>
          <w:tcPr>
            <w:tcW w:w="7010" w:type="dxa"/>
          </w:tcPr>
          <w:p w14:paraId="4D2D599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between 15 °C and 30 °C. Protect from heat and light.</w:t>
            </w:r>
          </w:p>
        </w:tc>
      </w:tr>
      <w:tr w:rsidR="005D59D6" w:rsidRPr="00F10C37" w14:paraId="5F3E3060" w14:textId="77777777" w:rsidTr="002D6DD7">
        <w:trPr>
          <w:jc w:val="center"/>
        </w:trPr>
        <w:tc>
          <w:tcPr>
            <w:tcW w:w="9705" w:type="dxa"/>
            <w:gridSpan w:val="2"/>
          </w:tcPr>
          <w:p w14:paraId="25C70602" w14:textId="77777777" w:rsidR="005D59D6" w:rsidRPr="00F10C37" w:rsidRDefault="005D59D6" w:rsidP="002D6DD7">
            <w:pPr>
              <w:jc w:val="both"/>
              <w:rPr>
                <w:rFonts w:eastAsia="Calibri" w:cs="Times New Roman"/>
                <w:szCs w:val="24"/>
              </w:rPr>
            </w:pPr>
            <w:r w:rsidRPr="00F10C37">
              <w:rPr>
                <w:rFonts w:cs="Times New Roman"/>
                <w:b/>
                <w:bCs/>
                <w:szCs w:val="24"/>
              </w:rPr>
              <w:t>Vinblastine</w:t>
            </w:r>
          </w:p>
        </w:tc>
      </w:tr>
      <w:tr w:rsidR="005D59D6" w:rsidRPr="00F10C37" w14:paraId="2AFDD8A6" w14:textId="77777777" w:rsidTr="002D6DD7">
        <w:trPr>
          <w:jc w:val="center"/>
        </w:trPr>
        <w:tc>
          <w:tcPr>
            <w:tcW w:w="2695" w:type="dxa"/>
          </w:tcPr>
          <w:p w14:paraId="6FD2AEC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0089368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vinca alkaloid</w:t>
            </w:r>
          </w:p>
        </w:tc>
      </w:tr>
      <w:tr w:rsidR="005D59D6" w:rsidRPr="00F10C37" w14:paraId="758E3754" w14:textId="77777777" w:rsidTr="002D6DD7">
        <w:trPr>
          <w:jc w:val="center"/>
        </w:trPr>
        <w:tc>
          <w:tcPr>
            <w:tcW w:w="2695" w:type="dxa"/>
          </w:tcPr>
          <w:p w14:paraId="676D189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5F555EB7" w14:textId="77777777" w:rsidR="005D59D6" w:rsidRPr="00F10C37" w:rsidRDefault="005D59D6" w:rsidP="002D6DD7">
            <w:pPr>
              <w:jc w:val="both"/>
              <w:rPr>
                <w:rFonts w:eastAsia="Arial" w:cs="Times New Roman"/>
                <w:szCs w:val="24"/>
              </w:rPr>
            </w:pPr>
            <w:r w:rsidRPr="00F10C37">
              <w:rPr>
                <w:rFonts w:eastAsia="Arial" w:cs="Times New Roman"/>
                <w:szCs w:val="24"/>
              </w:rPr>
              <w:t>Powder for injection: 10 mg (sulphate) in vial.</w:t>
            </w:r>
          </w:p>
          <w:p w14:paraId="691F6C64"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Solution for injection: 1 mg/</w:t>
            </w:r>
            <w:r>
              <w:rPr>
                <w:rFonts w:eastAsia="Arial" w:cs="Times New Roman"/>
                <w:szCs w:val="24"/>
              </w:rPr>
              <w:t>ml</w:t>
            </w:r>
            <w:r w:rsidRPr="00F10C37">
              <w:rPr>
                <w:rFonts w:eastAsia="Arial" w:cs="Times New Roman"/>
                <w:szCs w:val="24"/>
              </w:rPr>
              <w:t xml:space="preserve"> (sulfate)</w:t>
            </w:r>
          </w:p>
        </w:tc>
      </w:tr>
      <w:tr w:rsidR="005D59D6" w:rsidRPr="00F10C37" w14:paraId="017752D5" w14:textId="77777777" w:rsidTr="002D6DD7">
        <w:trPr>
          <w:jc w:val="center"/>
        </w:trPr>
        <w:tc>
          <w:tcPr>
            <w:tcW w:w="2695" w:type="dxa"/>
          </w:tcPr>
          <w:p w14:paraId="6BED8D25" w14:textId="77777777" w:rsidR="005D59D6" w:rsidRPr="009550D4" w:rsidRDefault="005D59D6" w:rsidP="002D6DD7">
            <w:pPr>
              <w:jc w:val="both"/>
              <w:rPr>
                <w:rFonts w:eastAsia="Calibri" w:cs="Times New Roman"/>
                <w:color w:val="000000" w:themeColor="text1"/>
                <w:szCs w:val="24"/>
              </w:rPr>
            </w:pPr>
            <w:r w:rsidRPr="009550D4">
              <w:rPr>
                <w:rFonts w:eastAsia="Calibri" w:cs="Times New Roman"/>
                <w:color w:val="000000" w:themeColor="text1"/>
                <w:szCs w:val="24"/>
              </w:rPr>
              <w:t>Indications</w:t>
            </w:r>
          </w:p>
        </w:tc>
        <w:tc>
          <w:tcPr>
            <w:tcW w:w="7010" w:type="dxa"/>
          </w:tcPr>
          <w:p w14:paraId="134CB98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HL and NHL, testicular cancer, </w:t>
            </w:r>
            <w:r>
              <w:rPr>
                <w:rFonts w:eastAsia="Calibri" w:cs="Times New Roman"/>
                <w:color w:val="000000" w:themeColor="text1"/>
                <w:szCs w:val="24"/>
              </w:rPr>
              <w:t>b</w:t>
            </w:r>
            <w:r w:rsidRPr="00F10C37">
              <w:rPr>
                <w:rFonts w:eastAsia="Calibri" w:cs="Times New Roman"/>
                <w:color w:val="000000" w:themeColor="text1"/>
                <w:szCs w:val="24"/>
              </w:rPr>
              <w:t xml:space="preserve">reast cancer, Kaposi’s sarcoma, </w:t>
            </w:r>
            <w:r>
              <w:rPr>
                <w:rFonts w:eastAsia="Calibri" w:cs="Times New Roman"/>
                <w:color w:val="000000" w:themeColor="text1"/>
                <w:szCs w:val="24"/>
              </w:rPr>
              <w:t>g</w:t>
            </w:r>
            <w:r w:rsidRPr="00F10C37">
              <w:rPr>
                <w:rFonts w:eastAsia="Calibri" w:cs="Times New Roman"/>
                <w:color w:val="000000" w:themeColor="text1"/>
                <w:szCs w:val="24"/>
              </w:rPr>
              <w:t xml:space="preserve">estational trophoblastic diseases, </w:t>
            </w:r>
            <w:r>
              <w:rPr>
                <w:rFonts w:eastAsia="Calibri" w:cs="Times New Roman"/>
                <w:color w:val="000000" w:themeColor="text1"/>
                <w:szCs w:val="24"/>
              </w:rPr>
              <w:t>o</w:t>
            </w:r>
            <w:r w:rsidRPr="00F10C37">
              <w:rPr>
                <w:rFonts w:eastAsia="Calibri" w:cs="Times New Roman"/>
                <w:color w:val="000000" w:themeColor="text1"/>
                <w:szCs w:val="24"/>
              </w:rPr>
              <w:t>varian cancer.</w:t>
            </w:r>
          </w:p>
        </w:tc>
      </w:tr>
      <w:tr w:rsidR="005D59D6" w:rsidRPr="00F10C37" w14:paraId="56372330" w14:textId="77777777" w:rsidTr="002D6DD7">
        <w:trPr>
          <w:jc w:val="center"/>
        </w:trPr>
        <w:tc>
          <w:tcPr>
            <w:tcW w:w="2695" w:type="dxa"/>
          </w:tcPr>
          <w:p w14:paraId="59B16B7A"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067506B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HL, NHL, Breast cancer, Kaposi’s sarcoma gestational trophoblastic diseases and Ovarian cancer</w:t>
            </w:r>
            <w:r w:rsidRPr="00F10C37">
              <w:rPr>
                <w:rFonts w:eastAsia="Calibri" w:cs="Times New Roman"/>
                <w:color w:val="000000" w:themeColor="text1"/>
                <w:szCs w:val="24"/>
              </w:rPr>
              <w:t>: 6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on days 1 and 15 of 28-day cycle.</w:t>
            </w:r>
          </w:p>
          <w:p w14:paraId="528F157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Testicular cancer</w:t>
            </w:r>
            <w:r w:rsidRPr="00F10C37">
              <w:rPr>
                <w:rFonts w:eastAsia="Calibri" w:cs="Times New Roman"/>
                <w:color w:val="000000" w:themeColor="text1"/>
                <w:szCs w:val="24"/>
              </w:rPr>
              <w:t>: 0.15 mg/kg IV on days 1 and 2.</w:t>
            </w:r>
          </w:p>
        </w:tc>
      </w:tr>
      <w:tr w:rsidR="005D59D6" w:rsidRPr="00F10C37" w14:paraId="5B16327E" w14:textId="77777777" w:rsidTr="002D6DD7">
        <w:trPr>
          <w:jc w:val="center"/>
        </w:trPr>
        <w:tc>
          <w:tcPr>
            <w:tcW w:w="2695" w:type="dxa"/>
          </w:tcPr>
          <w:p w14:paraId="1C4DC1A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6E0BF07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hepatic impairment (bilirubin &gt; 5 times), intrathecal administration.</w:t>
            </w:r>
          </w:p>
        </w:tc>
      </w:tr>
      <w:tr w:rsidR="005D59D6" w:rsidRPr="00F10C37" w14:paraId="6A5B475F" w14:textId="77777777" w:rsidTr="002D6DD7">
        <w:trPr>
          <w:jc w:val="center"/>
        </w:trPr>
        <w:tc>
          <w:tcPr>
            <w:tcW w:w="2695" w:type="dxa"/>
          </w:tcPr>
          <w:p w14:paraId="7D9BFD7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6456A09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Calcium channel blockers, cimetidine, </w:t>
            </w:r>
            <w:r w:rsidRPr="00F10C37">
              <w:rPr>
                <w:rFonts w:cs="Times New Roman"/>
                <w:szCs w:val="24"/>
              </w:rPr>
              <w:t xml:space="preserve">cyclosporine, erythromycin, metoclopramide, ketoconazole, phenobarbitol, rafampin, </w:t>
            </w:r>
            <w:r w:rsidRPr="00F10C37">
              <w:rPr>
                <w:rFonts w:eastAsia="Calibri" w:cs="Times New Roman"/>
                <w:color w:val="000000" w:themeColor="text1"/>
                <w:szCs w:val="24"/>
              </w:rPr>
              <w:t>phenytoin, and bleomycin.</w:t>
            </w:r>
          </w:p>
        </w:tc>
      </w:tr>
      <w:tr w:rsidR="005D59D6" w:rsidRPr="00F10C37" w14:paraId="000BEF9B" w14:textId="77777777" w:rsidTr="002D6DD7">
        <w:trPr>
          <w:jc w:val="center"/>
        </w:trPr>
        <w:tc>
          <w:tcPr>
            <w:tcW w:w="2695" w:type="dxa"/>
          </w:tcPr>
          <w:p w14:paraId="4ACE002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5BE8763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Mucositis, nausea/vomiting, constipations, alopecia, ototoxicity, hypertension, peripheral neuropathy, orthostatic hypotension, paralytic ileus, urinary retention, cranial nerve paralysis, ataxia, cortical blindness, seizures, extravasation, </w:t>
            </w:r>
            <w:r>
              <w:rPr>
                <w:rFonts w:cs="Times New Roman"/>
                <w:szCs w:val="24"/>
              </w:rPr>
              <w:t>s</w:t>
            </w:r>
            <w:r w:rsidRPr="00F10C37">
              <w:rPr>
                <w:rFonts w:cs="Times New Roman"/>
                <w:szCs w:val="24"/>
              </w:rPr>
              <w:t>yndrome of inappropriate antidiuretic hormone release (</w:t>
            </w:r>
            <w:r w:rsidRPr="00F10C37">
              <w:rPr>
                <w:rFonts w:eastAsia="Calibri" w:cs="Times New Roman"/>
                <w:color w:val="000000" w:themeColor="text1"/>
                <w:szCs w:val="24"/>
              </w:rPr>
              <w:t>SIADH), headache, depression, stroke, MI, and Raynaud’s syndrome</w:t>
            </w:r>
            <w:r>
              <w:rPr>
                <w:rFonts w:eastAsia="Calibri" w:cs="Times New Roman"/>
                <w:color w:val="000000" w:themeColor="text1"/>
                <w:szCs w:val="24"/>
              </w:rPr>
              <w:t>.</w:t>
            </w:r>
          </w:p>
        </w:tc>
      </w:tr>
      <w:tr w:rsidR="005D59D6" w:rsidRPr="00F10C37" w14:paraId="10CD2583" w14:textId="77777777" w:rsidTr="002D6DD7">
        <w:trPr>
          <w:jc w:val="center"/>
        </w:trPr>
        <w:tc>
          <w:tcPr>
            <w:tcW w:w="2695" w:type="dxa"/>
          </w:tcPr>
          <w:p w14:paraId="64F3B5B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748E43D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Extravasation at the injection site, neuropathy</w:t>
            </w:r>
            <w:r>
              <w:rPr>
                <w:rFonts w:eastAsia="Calibri" w:cs="Times New Roman"/>
                <w:color w:val="000000" w:themeColor="text1"/>
                <w:szCs w:val="24"/>
              </w:rPr>
              <w:t xml:space="preserve">, </w:t>
            </w:r>
            <w:r w:rsidRPr="00F10C37">
              <w:rPr>
                <w:rFonts w:eastAsia="Calibri" w:cs="Times New Roman"/>
                <w:color w:val="000000" w:themeColor="text1"/>
                <w:szCs w:val="24"/>
              </w:rPr>
              <w:t xml:space="preserve">pregnancy and breastfeeding. </w:t>
            </w:r>
          </w:p>
        </w:tc>
      </w:tr>
      <w:tr w:rsidR="005D59D6" w:rsidRPr="00F10C37" w14:paraId="519FCBBA" w14:textId="77777777" w:rsidTr="002D6DD7">
        <w:trPr>
          <w:jc w:val="center"/>
        </w:trPr>
        <w:tc>
          <w:tcPr>
            <w:tcW w:w="2695" w:type="dxa"/>
          </w:tcPr>
          <w:p w14:paraId="2924D20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049B372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in a refrigerator between 2° C and 8° C in a dark place.</w:t>
            </w:r>
          </w:p>
        </w:tc>
      </w:tr>
      <w:tr w:rsidR="005D59D6" w:rsidRPr="00F10C37" w14:paraId="0A31749F" w14:textId="77777777" w:rsidTr="002D6DD7">
        <w:trPr>
          <w:jc w:val="center"/>
        </w:trPr>
        <w:tc>
          <w:tcPr>
            <w:tcW w:w="9705" w:type="dxa"/>
            <w:gridSpan w:val="2"/>
          </w:tcPr>
          <w:p w14:paraId="7A57825F" w14:textId="77777777" w:rsidR="005D59D6" w:rsidRPr="00F10C37" w:rsidRDefault="005D59D6" w:rsidP="002D6DD7">
            <w:pPr>
              <w:jc w:val="both"/>
              <w:rPr>
                <w:rFonts w:eastAsia="Calibri" w:cs="Times New Roman"/>
                <w:szCs w:val="24"/>
              </w:rPr>
            </w:pPr>
            <w:r w:rsidRPr="00F10C37">
              <w:rPr>
                <w:rFonts w:cs="Times New Roman"/>
                <w:b/>
                <w:bCs/>
                <w:szCs w:val="24"/>
              </w:rPr>
              <w:t>Vincristine</w:t>
            </w:r>
          </w:p>
        </w:tc>
      </w:tr>
      <w:tr w:rsidR="005D59D6" w:rsidRPr="00F10C37" w14:paraId="2CA62964" w14:textId="77777777" w:rsidTr="002D6DD7">
        <w:trPr>
          <w:jc w:val="center"/>
        </w:trPr>
        <w:tc>
          <w:tcPr>
            <w:tcW w:w="2695" w:type="dxa"/>
          </w:tcPr>
          <w:p w14:paraId="26539FD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7128287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vinca alkaloid</w:t>
            </w:r>
          </w:p>
        </w:tc>
      </w:tr>
      <w:tr w:rsidR="005D59D6" w:rsidRPr="00F10C37" w14:paraId="1C96F897" w14:textId="77777777" w:rsidTr="002D6DD7">
        <w:trPr>
          <w:jc w:val="center"/>
        </w:trPr>
        <w:tc>
          <w:tcPr>
            <w:tcW w:w="2695" w:type="dxa"/>
          </w:tcPr>
          <w:p w14:paraId="7D8E9D0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32BA648"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Powder for injection: 1mg, 2mg, 5mg (sulphate) in vial</w:t>
            </w:r>
          </w:p>
        </w:tc>
      </w:tr>
      <w:tr w:rsidR="005D59D6" w:rsidRPr="00F10C37" w14:paraId="5D97BF6C" w14:textId="77777777" w:rsidTr="002D6DD7">
        <w:trPr>
          <w:jc w:val="center"/>
        </w:trPr>
        <w:tc>
          <w:tcPr>
            <w:tcW w:w="2695" w:type="dxa"/>
          </w:tcPr>
          <w:p w14:paraId="66CB89ED"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lastRenderedPageBreak/>
              <w:t>Indications</w:t>
            </w:r>
          </w:p>
        </w:tc>
        <w:tc>
          <w:tcPr>
            <w:tcW w:w="7010" w:type="dxa"/>
          </w:tcPr>
          <w:p w14:paraId="2977377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ALL, HL,</w:t>
            </w:r>
            <w:r>
              <w:rPr>
                <w:rFonts w:eastAsia="Calibri" w:cs="Times New Roman"/>
                <w:color w:val="000000" w:themeColor="text1"/>
                <w:szCs w:val="24"/>
              </w:rPr>
              <w:t xml:space="preserve"> </w:t>
            </w:r>
            <w:r w:rsidRPr="00F10C37">
              <w:rPr>
                <w:rFonts w:eastAsia="Calibri" w:cs="Times New Roman"/>
                <w:color w:val="000000" w:themeColor="text1"/>
                <w:szCs w:val="24"/>
              </w:rPr>
              <w:t xml:space="preserve">NHL, </w:t>
            </w:r>
            <w:r>
              <w:rPr>
                <w:rFonts w:eastAsia="Calibri" w:cs="Times New Roman"/>
                <w:color w:val="000000" w:themeColor="text1"/>
                <w:szCs w:val="24"/>
              </w:rPr>
              <w:t>m</w:t>
            </w:r>
            <w:r w:rsidRPr="00F10C37">
              <w:rPr>
                <w:rFonts w:eastAsia="Calibri" w:cs="Times New Roman"/>
                <w:color w:val="000000" w:themeColor="text1"/>
                <w:szCs w:val="24"/>
              </w:rPr>
              <w:t xml:space="preserve">ultiple myeloma, </w:t>
            </w:r>
            <w:r>
              <w:rPr>
                <w:rFonts w:eastAsia="Calibri" w:cs="Times New Roman"/>
                <w:color w:val="000000" w:themeColor="text1"/>
                <w:szCs w:val="24"/>
              </w:rPr>
              <w:t>s</w:t>
            </w:r>
            <w:r w:rsidRPr="00F10C37">
              <w:rPr>
                <w:rFonts w:eastAsia="Calibri" w:cs="Times New Roman"/>
                <w:color w:val="000000" w:themeColor="text1"/>
                <w:szCs w:val="24"/>
              </w:rPr>
              <w:t xml:space="preserve">arcoma, </w:t>
            </w:r>
            <w:r>
              <w:rPr>
                <w:rFonts w:eastAsia="Calibri" w:cs="Times New Roman"/>
                <w:color w:val="000000" w:themeColor="text1"/>
                <w:szCs w:val="24"/>
              </w:rPr>
              <w:t>n</w:t>
            </w:r>
            <w:r w:rsidRPr="00F10C37">
              <w:rPr>
                <w:rFonts w:eastAsia="Calibri" w:cs="Times New Roman"/>
                <w:color w:val="000000" w:themeColor="text1"/>
                <w:szCs w:val="24"/>
              </w:rPr>
              <w:t xml:space="preserve">euroblastoma, Wilms’ tumor, </w:t>
            </w:r>
            <w:r>
              <w:rPr>
                <w:rFonts w:eastAsia="Calibri" w:cs="Times New Roman"/>
                <w:color w:val="000000" w:themeColor="text1"/>
                <w:szCs w:val="24"/>
              </w:rPr>
              <w:t>c</w:t>
            </w:r>
            <w:r w:rsidRPr="00F10C37">
              <w:rPr>
                <w:rFonts w:eastAsia="Calibri" w:cs="Times New Roman"/>
                <w:color w:val="000000" w:themeColor="text1"/>
                <w:szCs w:val="24"/>
              </w:rPr>
              <w:t xml:space="preserve">hronic leukemias, </w:t>
            </w:r>
            <w:r>
              <w:rPr>
                <w:rFonts w:eastAsia="Calibri" w:cs="Times New Roman"/>
                <w:color w:val="000000" w:themeColor="text1"/>
                <w:szCs w:val="24"/>
              </w:rPr>
              <w:t>t</w:t>
            </w:r>
            <w:r w:rsidRPr="00F10C37">
              <w:rPr>
                <w:rFonts w:eastAsia="Calibri" w:cs="Times New Roman"/>
                <w:color w:val="000000" w:themeColor="text1"/>
                <w:szCs w:val="24"/>
              </w:rPr>
              <w:t xml:space="preserve">hyroid cancer, </w:t>
            </w:r>
            <w:r>
              <w:rPr>
                <w:rFonts w:eastAsia="Calibri" w:cs="Times New Roman"/>
                <w:color w:val="000000" w:themeColor="text1"/>
                <w:szCs w:val="24"/>
              </w:rPr>
              <w:t>b</w:t>
            </w:r>
            <w:r w:rsidRPr="00F10C37">
              <w:rPr>
                <w:rFonts w:eastAsia="Calibri" w:cs="Times New Roman"/>
                <w:color w:val="000000" w:themeColor="text1"/>
                <w:szCs w:val="24"/>
              </w:rPr>
              <w:t xml:space="preserve">rain tumors, </w:t>
            </w:r>
            <w:r>
              <w:rPr>
                <w:rFonts w:eastAsia="Calibri" w:cs="Times New Roman"/>
                <w:color w:val="000000" w:themeColor="text1"/>
                <w:szCs w:val="24"/>
              </w:rPr>
              <w:t>g</w:t>
            </w:r>
            <w:r w:rsidRPr="00F10C37">
              <w:rPr>
                <w:rFonts w:eastAsia="Calibri" w:cs="Times New Roman"/>
                <w:color w:val="000000" w:themeColor="text1"/>
                <w:szCs w:val="24"/>
              </w:rPr>
              <w:t xml:space="preserve">estational trophoblastic disease, </w:t>
            </w:r>
            <w:r>
              <w:rPr>
                <w:rFonts w:eastAsia="Calibri" w:cs="Times New Roman"/>
                <w:color w:val="000000" w:themeColor="text1"/>
                <w:szCs w:val="24"/>
              </w:rPr>
              <w:t>b</w:t>
            </w:r>
            <w:r w:rsidRPr="00F10C37">
              <w:rPr>
                <w:rFonts w:eastAsia="Calibri" w:cs="Times New Roman"/>
                <w:color w:val="000000" w:themeColor="text1"/>
                <w:szCs w:val="24"/>
              </w:rPr>
              <w:t>reast and lung cancer.</w:t>
            </w:r>
          </w:p>
        </w:tc>
      </w:tr>
      <w:tr w:rsidR="005D59D6" w:rsidRPr="00F10C37" w14:paraId="6AE3298E" w14:textId="77777777" w:rsidTr="002D6DD7">
        <w:trPr>
          <w:jc w:val="center"/>
        </w:trPr>
        <w:tc>
          <w:tcPr>
            <w:tcW w:w="2695" w:type="dxa"/>
          </w:tcPr>
          <w:p w14:paraId="2197815B"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4C4A41D8" w14:textId="77777777" w:rsidR="005D59D6"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Doses usually vary between 0.5 to 1.5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with the maximum </w:t>
            </w:r>
            <w:r w:rsidRPr="00EC5D88">
              <w:rPr>
                <w:rFonts w:eastAsia="Calibri" w:cs="Times New Roman"/>
                <w:color w:val="000000" w:themeColor="text1"/>
                <w:szCs w:val="24"/>
              </w:rPr>
              <w:t>weekly</w:t>
            </w:r>
            <w:r w:rsidRPr="00F10C37">
              <w:rPr>
                <w:rFonts w:eastAsia="Calibri" w:cs="Times New Roman"/>
                <w:color w:val="000000" w:themeColor="text1"/>
                <w:szCs w:val="24"/>
              </w:rPr>
              <w:t xml:space="preserve"> dose of 2mg. </w:t>
            </w:r>
          </w:p>
          <w:p w14:paraId="57CCE7BD" w14:textId="77777777" w:rsidR="005D59D6" w:rsidRPr="00F10C37" w:rsidRDefault="005D59D6" w:rsidP="002D6DD7">
            <w:pPr>
              <w:contextualSpacing/>
              <w:jc w:val="both"/>
              <w:rPr>
                <w:rFonts w:eastAsia="Calibri" w:cs="Times New Roman"/>
                <w:color w:val="000000" w:themeColor="text1"/>
                <w:szCs w:val="24"/>
              </w:rPr>
            </w:pPr>
            <w:r w:rsidRPr="00B77B01">
              <w:rPr>
                <w:rFonts w:eastAsia="Calibri" w:cs="Times New Roman"/>
                <w:i/>
                <w:color w:val="000000" w:themeColor="text1"/>
                <w:szCs w:val="24"/>
              </w:rPr>
              <w:t>Note:</w:t>
            </w:r>
            <w:r w:rsidRPr="00F10C37">
              <w:rPr>
                <w:rFonts w:eastAsia="Calibri" w:cs="Times New Roman"/>
                <w:color w:val="000000" w:themeColor="text1"/>
                <w:szCs w:val="24"/>
              </w:rPr>
              <w:t xml:space="preserve"> </w:t>
            </w:r>
            <w:r w:rsidRPr="0041105B">
              <w:rPr>
                <w:rFonts w:eastAsia="Calibri" w:cs="Times New Roman"/>
                <w:i/>
                <w:color w:val="000000" w:themeColor="text1"/>
                <w:szCs w:val="24"/>
              </w:rPr>
              <w:t>Vincristine injections are for IV administration only. In adverent interat</w:t>
            </w:r>
            <w:r>
              <w:rPr>
                <w:rFonts w:eastAsia="Calibri" w:cs="Times New Roman"/>
                <w:i/>
                <w:color w:val="000000" w:themeColor="text1"/>
                <w:szCs w:val="24"/>
              </w:rPr>
              <w:t>he</w:t>
            </w:r>
            <w:r w:rsidRPr="0041105B">
              <w:rPr>
                <w:rFonts w:eastAsia="Calibri" w:cs="Times New Roman"/>
                <w:i/>
                <w:color w:val="000000" w:themeColor="text1"/>
                <w:szCs w:val="24"/>
              </w:rPr>
              <w:t>cal administration can cause severe neurotoxicity which is usually fatal.</w:t>
            </w:r>
          </w:p>
        </w:tc>
      </w:tr>
      <w:tr w:rsidR="005D59D6" w:rsidRPr="00F10C37" w14:paraId="505311D6" w14:textId="77777777" w:rsidTr="002D6DD7">
        <w:trPr>
          <w:jc w:val="center"/>
        </w:trPr>
        <w:tc>
          <w:tcPr>
            <w:tcW w:w="2695" w:type="dxa"/>
          </w:tcPr>
          <w:p w14:paraId="27BE1C0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4345301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hepatic impairment (bilirubin &gt; 5 times), intrathecal administration.</w:t>
            </w:r>
          </w:p>
        </w:tc>
      </w:tr>
      <w:tr w:rsidR="005D59D6" w:rsidRPr="00F10C37" w14:paraId="39C21057" w14:textId="77777777" w:rsidTr="002D6DD7">
        <w:trPr>
          <w:jc w:val="center"/>
        </w:trPr>
        <w:tc>
          <w:tcPr>
            <w:tcW w:w="2695" w:type="dxa"/>
          </w:tcPr>
          <w:p w14:paraId="1DE0280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3B6C032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Refer to vinblastine above</w:t>
            </w:r>
          </w:p>
        </w:tc>
      </w:tr>
      <w:tr w:rsidR="005D59D6" w:rsidRPr="00F10C37" w14:paraId="646FF9AC" w14:textId="77777777" w:rsidTr="002D6DD7">
        <w:trPr>
          <w:jc w:val="center"/>
        </w:trPr>
        <w:tc>
          <w:tcPr>
            <w:tcW w:w="2695" w:type="dxa"/>
          </w:tcPr>
          <w:p w14:paraId="64F9A84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58B9A15B" w14:textId="77777777" w:rsidR="005D59D6" w:rsidRPr="003D3E3A" w:rsidRDefault="005D59D6" w:rsidP="002D6DD7">
            <w:pPr>
              <w:jc w:val="both"/>
              <w:rPr>
                <w:rFonts w:cs="Times New Roman"/>
                <w:szCs w:val="24"/>
              </w:rPr>
            </w:pPr>
            <w:r w:rsidRPr="00F10C37">
              <w:rPr>
                <w:rFonts w:eastAsia="Calibri" w:cs="Times New Roman"/>
                <w:color w:val="000000" w:themeColor="text1"/>
                <w:szCs w:val="24"/>
              </w:rPr>
              <w:t>Refer to vinblastine above</w:t>
            </w:r>
          </w:p>
        </w:tc>
      </w:tr>
      <w:tr w:rsidR="005D59D6" w:rsidRPr="00F10C37" w14:paraId="7E45DC7B" w14:textId="77777777" w:rsidTr="002D6DD7">
        <w:trPr>
          <w:jc w:val="center"/>
        </w:trPr>
        <w:tc>
          <w:tcPr>
            <w:tcW w:w="2695" w:type="dxa"/>
          </w:tcPr>
          <w:p w14:paraId="36CA1E9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7010" w:type="dxa"/>
          </w:tcPr>
          <w:p w14:paraId="030552CB" w14:textId="77777777" w:rsidR="005D59D6" w:rsidRPr="003D3E3A" w:rsidRDefault="005D59D6" w:rsidP="002D6DD7">
            <w:pPr>
              <w:jc w:val="both"/>
              <w:rPr>
                <w:rFonts w:cs="Times New Roman"/>
                <w:szCs w:val="24"/>
              </w:rPr>
            </w:pPr>
            <w:r w:rsidRPr="00F10C37">
              <w:rPr>
                <w:rFonts w:eastAsia="Calibri" w:cs="Times New Roman"/>
                <w:color w:val="000000" w:themeColor="text1"/>
                <w:szCs w:val="24"/>
              </w:rPr>
              <w:t>Refer to vinblastine above</w:t>
            </w:r>
          </w:p>
        </w:tc>
      </w:tr>
      <w:tr w:rsidR="005D59D6" w:rsidRPr="00F10C37" w14:paraId="2482676A" w14:textId="77777777" w:rsidTr="002D6DD7">
        <w:trPr>
          <w:jc w:val="center"/>
        </w:trPr>
        <w:tc>
          <w:tcPr>
            <w:tcW w:w="2695" w:type="dxa"/>
          </w:tcPr>
          <w:p w14:paraId="5928575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7BAC854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in a refrigerator at a temperature between 2° C and 8° C in a dark place.</w:t>
            </w:r>
          </w:p>
        </w:tc>
      </w:tr>
      <w:tr w:rsidR="005D59D6" w:rsidRPr="00F10C37" w14:paraId="7D068ADF" w14:textId="77777777" w:rsidTr="002D6DD7">
        <w:trPr>
          <w:jc w:val="center"/>
        </w:trPr>
        <w:tc>
          <w:tcPr>
            <w:tcW w:w="9705" w:type="dxa"/>
            <w:gridSpan w:val="2"/>
          </w:tcPr>
          <w:p w14:paraId="39C606FB" w14:textId="77777777" w:rsidR="005D59D6" w:rsidRPr="00F10C37" w:rsidRDefault="005D59D6" w:rsidP="002D6DD7">
            <w:pPr>
              <w:jc w:val="both"/>
              <w:rPr>
                <w:rFonts w:eastAsia="Calibri" w:cs="Times New Roman"/>
                <w:szCs w:val="24"/>
              </w:rPr>
            </w:pPr>
            <w:r w:rsidRPr="00F10C37">
              <w:rPr>
                <w:rFonts w:cs="Times New Roman"/>
                <w:b/>
                <w:bCs/>
                <w:szCs w:val="24"/>
              </w:rPr>
              <w:t>Vinorelbine</w:t>
            </w:r>
          </w:p>
        </w:tc>
      </w:tr>
      <w:tr w:rsidR="005D59D6" w:rsidRPr="00F10C37" w14:paraId="4526ADE6" w14:textId="77777777" w:rsidTr="002D6DD7">
        <w:trPr>
          <w:jc w:val="center"/>
        </w:trPr>
        <w:tc>
          <w:tcPr>
            <w:tcW w:w="2695" w:type="dxa"/>
          </w:tcPr>
          <w:p w14:paraId="7F0A75F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7010" w:type="dxa"/>
          </w:tcPr>
          <w:p w14:paraId="4F5D30D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vinca alkaloid</w:t>
            </w:r>
          </w:p>
        </w:tc>
      </w:tr>
      <w:tr w:rsidR="005D59D6" w:rsidRPr="00F10C37" w14:paraId="1C13CCF5" w14:textId="77777777" w:rsidTr="002D6DD7">
        <w:trPr>
          <w:jc w:val="center"/>
        </w:trPr>
        <w:tc>
          <w:tcPr>
            <w:tcW w:w="2695" w:type="dxa"/>
          </w:tcPr>
          <w:p w14:paraId="77EA209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7010" w:type="dxa"/>
          </w:tcPr>
          <w:p w14:paraId="6BF0A74D" w14:textId="77777777" w:rsidR="005D59D6" w:rsidRPr="00F10C37" w:rsidRDefault="005D59D6" w:rsidP="002D6DD7">
            <w:pPr>
              <w:jc w:val="both"/>
              <w:rPr>
                <w:rFonts w:eastAsia="Arial" w:cs="Times New Roman"/>
                <w:szCs w:val="24"/>
              </w:rPr>
            </w:pPr>
            <w:r w:rsidRPr="00F10C37">
              <w:rPr>
                <w:rFonts w:eastAsia="Arial" w:cs="Times New Roman"/>
                <w:szCs w:val="24"/>
              </w:rPr>
              <w:t>Solution for injection: 10 mg/</w:t>
            </w:r>
            <w:r>
              <w:rPr>
                <w:rFonts w:eastAsia="Arial" w:cs="Times New Roman"/>
                <w:szCs w:val="24"/>
              </w:rPr>
              <w:t>ml</w:t>
            </w:r>
            <w:r w:rsidRPr="00F10C37">
              <w:rPr>
                <w:rFonts w:eastAsia="Arial" w:cs="Times New Roman"/>
                <w:szCs w:val="24"/>
              </w:rPr>
              <w:t xml:space="preserve"> in vial</w:t>
            </w:r>
          </w:p>
          <w:p w14:paraId="0A4F3794"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 20 mg, 30 mg, 80 mg</w:t>
            </w:r>
          </w:p>
        </w:tc>
      </w:tr>
      <w:tr w:rsidR="005D59D6" w:rsidRPr="00F10C37" w14:paraId="34EB0F73" w14:textId="77777777" w:rsidTr="002D6DD7">
        <w:trPr>
          <w:jc w:val="center"/>
        </w:trPr>
        <w:tc>
          <w:tcPr>
            <w:tcW w:w="2695" w:type="dxa"/>
          </w:tcPr>
          <w:p w14:paraId="3EAAA294"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7010" w:type="dxa"/>
          </w:tcPr>
          <w:p w14:paraId="332BDDD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NSCLC, </w:t>
            </w:r>
            <w:r>
              <w:rPr>
                <w:rFonts w:eastAsia="Calibri" w:cs="Times New Roman"/>
                <w:color w:val="000000" w:themeColor="text1"/>
                <w:szCs w:val="24"/>
              </w:rPr>
              <w:t>b</w:t>
            </w:r>
            <w:r w:rsidRPr="00F10C37">
              <w:rPr>
                <w:rFonts w:eastAsia="Calibri" w:cs="Times New Roman"/>
                <w:color w:val="000000" w:themeColor="text1"/>
                <w:szCs w:val="24"/>
              </w:rPr>
              <w:t xml:space="preserve">reast cancer, </w:t>
            </w:r>
            <w:r>
              <w:rPr>
                <w:rFonts w:eastAsia="Calibri" w:cs="Times New Roman"/>
                <w:color w:val="000000" w:themeColor="text1"/>
                <w:szCs w:val="24"/>
              </w:rPr>
              <w:t>o</w:t>
            </w:r>
            <w:r w:rsidRPr="00F10C37">
              <w:rPr>
                <w:rFonts w:eastAsia="Calibri" w:cs="Times New Roman"/>
                <w:color w:val="000000" w:themeColor="text1"/>
                <w:szCs w:val="24"/>
              </w:rPr>
              <w:t>varian cancer.</w:t>
            </w:r>
          </w:p>
        </w:tc>
      </w:tr>
      <w:tr w:rsidR="005D59D6" w:rsidRPr="00F10C37" w14:paraId="050A942F" w14:textId="77777777" w:rsidTr="002D6DD7">
        <w:trPr>
          <w:jc w:val="center"/>
        </w:trPr>
        <w:tc>
          <w:tcPr>
            <w:tcW w:w="2695" w:type="dxa"/>
          </w:tcPr>
          <w:p w14:paraId="38BC700A"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7010" w:type="dxa"/>
          </w:tcPr>
          <w:p w14:paraId="3023117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60mg/m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once weekly for 3 weeks, then increased if tolerated to 80mg/m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once weekly (maximum per dose 160mg.) </w:t>
            </w:r>
            <w:r w:rsidRPr="00F10C37">
              <w:rPr>
                <w:rFonts w:eastAsia="Calibri" w:cs="Times New Roman"/>
                <w:i/>
                <w:color w:val="000000" w:themeColor="text1"/>
                <w:szCs w:val="24"/>
              </w:rPr>
              <w:t>OR</w:t>
            </w:r>
          </w:p>
          <w:p w14:paraId="4C62CAC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30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IV on a weekly schedule.</w:t>
            </w:r>
          </w:p>
        </w:tc>
      </w:tr>
      <w:tr w:rsidR="005D59D6" w:rsidRPr="00F10C37" w14:paraId="14BC8D05" w14:textId="77777777" w:rsidTr="002D6DD7">
        <w:trPr>
          <w:jc w:val="center"/>
        </w:trPr>
        <w:tc>
          <w:tcPr>
            <w:tcW w:w="2695" w:type="dxa"/>
          </w:tcPr>
          <w:p w14:paraId="01E378A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7010" w:type="dxa"/>
          </w:tcPr>
          <w:p w14:paraId="0E98BD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bone marrow suppression, severe hepatic impairment (bilirubin &gt; 3 times), intrathecal administration.</w:t>
            </w:r>
          </w:p>
        </w:tc>
      </w:tr>
      <w:tr w:rsidR="005D59D6" w:rsidRPr="00F10C37" w14:paraId="2367DA53" w14:textId="77777777" w:rsidTr="002D6DD7">
        <w:trPr>
          <w:jc w:val="center"/>
        </w:trPr>
        <w:tc>
          <w:tcPr>
            <w:tcW w:w="2695" w:type="dxa"/>
          </w:tcPr>
          <w:p w14:paraId="207AAC9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7010" w:type="dxa"/>
          </w:tcPr>
          <w:p w14:paraId="1D3C0A67" w14:textId="77777777" w:rsidR="005D59D6" w:rsidRPr="003D3E3A" w:rsidRDefault="005D59D6" w:rsidP="002D6DD7">
            <w:pPr>
              <w:jc w:val="both"/>
              <w:rPr>
                <w:rFonts w:cs="Times New Roman"/>
                <w:szCs w:val="24"/>
              </w:rPr>
            </w:pPr>
            <w:r w:rsidRPr="00F10C37">
              <w:rPr>
                <w:rFonts w:eastAsia="Calibri" w:cs="Times New Roman"/>
                <w:color w:val="000000" w:themeColor="text1"/>
                <w:szCs w:val="24"/>
              </w:rPr>
              <w:t>Refer to vinblastine above</w:t>
            </w:r>
          </w:p>
        </w:tc>
      </w:tr>
      <w:tr w:rsidR="005D59D6" w:rsidRPr="00F10C37" w14:paraId="4D079610" w14:textId="77777777" w:rsidTr="002D6DD7">
        <w:trPr>
          <w:jc w:val="center"/>
        </w:trPr>
        <w:tc>
          <w:tcPr>
            <w:tcW w:w="2695" w:type="dxa"/>
          </w:tcPr>
          <w:p w14:paraId="622F71E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7010" w:type="dxa"/>
            <w:shd w:val="clear" w:color="auto" w:fill="auto"/>
          </w:tcPr>
          <w:p w14:paraId="51308267" w14:textId="77777777" w:rsidR="005D59D6" w:rsidRPr="003D3E3A" w:rsidRDefault="005D59D6" w:rsidP="002D6DD7">
            <w:pPr>
              <w:jc w:val="both"/>
              <w:rPr>
                <w:rFonts w:cs="Times New Roman"/>
                <w:szCs w:val="24"/>
              </w:rPr>
            </w:pPr>
            <w:r w:rsidRPr="00F10C37">
              <w:rPr>
                <w:rFonts w:eastAsia="Calibri" w:cs="Times New Roman"/>
                <w:color w:val="000000" w:themeColor="text1"/>
                <w:szCs w:val="24"/>
              </w:rPr>
              <w:t>Refer to vinblastine above</w:t>
            </w:r>
          </w:p>
        </w:tc>
      </w:tr>
      <w:tr w:rsidR="005D59D6" w:rsidRPr="00F10C37" w14:paraId="3916FEC9" w14:textId="77777777" w:rsidTr="002D6DD7">
        <w:trPr>
          <w:jc w:val="center"/>
        </w:trPr>
        <w:tc>
          <w:tcPr>
            <w:tcW w:w="2695" w:type="dxa"/>
          </w:tcPr>
          <w:p w14:paraId="3714CC3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bCs/>
                <w:color w:val="000000" w:themeColor="text1"/>
                <w:szCs w:val="24"/>
              </w:rPr>
              <w:t>Cautions</w:t>
            </w:r>
          </w:p>
        </w:tc>
        <w:tc>
          <w:tcPr>
            <w:tcW w:w="7010" w:type="dxa"/>
          </w:tcPr>
          <w:p w14:paraId="33EA2840" w14:textId="77777777" w:rsidR="005D59D6" w:rsidRPr="003D3E3A" w:rsidRDefault="005D59D6" w:rsidP="002D6DD7">
            <w:pPr>
              <w:jc w:val="both"/>
              <w:rPr>
                <w:rFonts w:cs="Times New Roman"/>
                <w:szCs w:val="24"/>
              </w:rPr>
            </w:pPr>
            <w:r w:rsidRPr="00F10C37">
              <w:rPr>
                <w:rFonts w:eastAsia="Calibri" w:cs="Times New Roman"/>
                <w:color w:val="000000" w:themeColor="text1"/>
                <w:szCs w:val="24"/>
              </w:rPr>
              <w:t>Refer to vinblastine above</w:t>
            </w:r>
          </w:p>
        </w:tc>
      </w:tr>
      <w:tr w:rsidR="005D59D6" w:rsidRPr="00F10C37" w14:paraId="486DDB85" w14:textId="77777777" w:rsidTr="002D6DD7">
        <w:trPr>
          <w:jc w:val="center"/>
        </w:trPr>
        <w:tc>
          <w:tcPr>
            <w:tcW w:w="2695" w:type="dxa"/>
          </w:tcPr>
          <w:p w14:paraId="42392F3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7010" w:type="dxa"/>
          </w:tcPr>
          <w:p w14:paraId="26D48AA0" w14:textId="77777777" w:rsidR="005D59D6" w:rsidRPr="00F10C37" w:rsidRDefault="005D59D6" w:rsidP="002D6DD7">
            <w:pPr>
              <w:contextualSpacing/>
              <w:jc w:val="both"/>
              <w:rPr>
                <w:rFonts w:eastAsia="Calibri" w:cs="Times New Roman"/>
                <w:color w:val="000000" w:themeColor="text1"/>
                <w:szCs w:val="24"/>
              </w:rPr>
            </w:pPr>
            <w:r w:rsidRPr="00F10C37">
              <w:rPr>
                <w:rFonts w:eastAsia="Arial" w:cs="Times New Roman"/>
                <w:szCs w:val="24"/>
              </w:rPr>
              <w:t>Capsule</w:t>
            </w:r>
            <w:r w:rsidRPr="00F10C37">
              <w:rPr>
                <w:rFonts w:eastAsia="Calibri" w:cs="Times New Roman"/>
                <w:color w:val="000000" w:themeColor="text1"/>
                <w:szCs w:val="24"/>
              </w:rPr>
              <w:t xml:space="preserve">: </w:t>
            </w:r>
            <w:r>
              <w:rPr>
                <w:rFonts w:eastAsia="Calibri" w:cs="Times New Roman"/>
                <w:color w:val="000000" w:themeColor="text1"/>
                <w:szCs w:val="24"/>
              </w:rPr>
              <w:t>s</w:t>
            </w:r>
            <w:r w:rsidRPr="00F10C37">
              <w:rPr>
                <w:rFonts w:eastAsia="Calibri" w:cs="Times New Roman"/>
                <w:color w:val="000000" w:themeColor="text1"/>
                <w:szCs w:val="24"/>
              </w:rPr>
              <w:t>tore below 30 °C. Protect from heat and light.</w:t>
            </w:r>
          </w:p>
          <w:p w14:paraId="42D6E076" w14:textId="77777777" w:rsidR="005D59D6" w:rsidRPr="00F10C37" w:rsidRDefault="005D59D6" w:rsidP="002D6DD7">
            <w:pPr>
              <w:contextualSpacing/>
              <w:jc w:val="both"/>
              <w:rPr>
                <w:rFonts w:eastAsia="Calibri" w:cs="Times New Roman"/>
                <w:color w:val="000000" w:themeColor="text1"/>
                <w:szCs w:val="24"/>
              </w:rPr>
            </w:pPr>
            <w:r w:rsidRPr="00F10C37">
              <w:rPr>
                <w:rFonts w:eastAsia="Arial" w:cs="Times New Roman"/>
                <w:szCs w:val="24"/>
              </w:rPr>
              <w:t xml:space="preserve">Solution for injection: </w:t>
            </w:r>
            <w:r>
              <w:rPr>
                <w:rFonts w:eastAsia="Arial" w:cs="Times New Roman"/>
                <w:szCs w:val="24"/>
              </w:rPr>
              <w:t>s</w:t>
            </w:r>
            <w:r w:rsidRPr="00F10C37">
              <w:rPr>
                <w:rFonts w:eastAsia="Arial" w:cs="Times New Roman"/>
                <w:szCs w:val="24"/>
              </w:rPr>
              <w:t xml:space="preserve">tore in a refrigerator between 2°C and 8 °C. </w:t>
            </w:r>
          </w:p>
        </w:tc>
      </w:tr>
    </w:tbl>
    <w:p w14:paraId="398B5030" w14:textId="77777777" w:rsidR="005D59D6" w:rsidRDefault="005D59D6" w:rsidP="005D59D6">
      <w:pPr>
        <w:tabs>
          <w:tab w:val="left" w:pos="1656"/>
        </w:tabs>
        <w:spacing w:after="0"/>
        <w:jc w:val="both"/>
        <w:rPr>
          <w:rFonts w:cs="Times New Roman"/>
          <w:b/>
          <w:bCs/>
          <w:szCs w:val="24"/>
        </w:rPr>
      </w:pPr>
    </w:p>
    <w:p w14:paraId="3090173B" w14:textId="77777777" w:rsidR="00CD494D" w:rsidRDefault="00CD494D" w:rsidP="005D59D6">
      <w:pPr>
        <w:tabs>
          <w:tab w:val="left" w:pos="1656"/>
        </w:tabs>
        <w:spacing w:after="0"/>
        <w:jc w:val="both"/>
        <w:rPr>
          <w:rFonts w:cs="Times New Roman"/>
          <w:b/>
          <w:bCs/>
          <w:szCs w:val="24"/>
        </w:rPr>
      </w:pPr>
    </w:p>
    <w:p w14:paraId="22D80B73" w14:textId="77777777" w:rsidR="00CD494D" w:rsidRPr="00F10C37" w:rsidRDefault="00CD494D" w:rsidP="005D59D6">
      <w:pPr>
        <w:tabs>
          <w:tab w:val="left" w:pos="1656"/>
        </w:tabs>
        <w:spacing w:after="0"/>
        <w:jc w:val="both"/>
        <w:rPr>
          <w:rFonts w:cs="Times New Roman"/>
          <w:b/>
          <w:bCs/>
          <w:szCs w:val="24"/>
        </w:rPr>
      </w:pPr>
    </w:p>
    <w:p w14:paraId="553C0C86" w14:textId="77777777" w:rsidR="005D59D6" w:rsidRPr="00F10C37" w:rsidRDefault="005D59D6" w:rsidP="00CD494D">
      <w:pPr>
        <w:pStyle w:val="Heading2"/>
        <w:spacing w:before="240" w:after="240"/>
      </w:pPr>
      <w:bookmarkStart w:id="182" w:name="_Toc179490391"/>
      <w:r w:rsidRPr="00F10C37">
        <w:t>Targeted therapies</w:t>
      </w:r>
      <w:bookmarkEnd w:id="182"/>
    </w:p>
    <w:p w14:paraId="7BB95109" w14:textId="77777777" w:rsidR="005D59D6" w:rsidRPr="00F10C37" w:rsidRDefault="005D59D6" w:rsidP="005D59D6">
      <w:pPr>
        <w:tabs>
          <w:tab w:val="left" w:pos="1656"/>
        </w:tabs>
        <w:spacing w:after="0"/>
        <w:jc w:val="both"/>
        <w:rPr>
          <w:rFonts w:cs="Times New Roman"/>
          <w:szCs w:val="24"/>
        </w:rPr>
      </w:pPr>
      <w:r w:rsidRPr="006067CC">
        <w:rPr>
          <w:rFonts w:cs="Times New Roman"/>
          <w:szCs w:val="24"/>
        </w:rPr>
        <w:t>Unlike traditional antineoplastic drugs’ blunt approach, which indiscriminately targets rapidly dividing cells, targeted therapies improve in on specific molecules or pathways crucial for cancer growth and survival. By directly addressing the molecular abnormalities fuelling cancer progression, these therapies offer the tantalizing prospect of heightened efficacy while potentially sparing patients from debilitating side effects.</w:t>
      </w:r>
      <w:r w:rsidRPr="003D3E3A">
        <w:rPr>
          <w:rFonts w:cs="Times New Roman"/>
          <w:szCs w:val="24"/>
        </w:rPr>
        <w:t xml:space="preserve"> </w:t>
      </w:r>
      <w:r w:rsidRPr="006067CC">
        <w:rPr>
          <w:rFonts w:cs="Times New Roman"/>
          <w:szCs w:val="24"/>
        </w:rPr>
        <w:t>Most targeted therapies are either small-molecule drugs or monoclonal antibodies. Small-molecule drugs are small enough to enter cells easily, so they are used for targets that are inside cells. Monoclonal antibodies, also known as therapeutic antibodies, are proteins produced in the laboratory. These proteins are designed to attach to specific targets found on cancer cells. Some monoclonal antibodies mark cancer cells so that they will be better seen and destroyed by the immune system. Other monoclonal antibodies directly stop cancer cells from growing or cause them to self-destruct. Still others carry toxins to cancer cells.</w:t>
      </w:r>
    </w:p>
    <w:p w14:paraId="0F66B6BD" w14:textId="77777777" w:rsidR="005D59D6" w:rsidRPr="00F10C37" w:rsidRDefault="005D59D6" w:rsidP="005D59D6">
      <w:pPr>
        <w:tabs>
          <w:tab w:val="left" w:pos="1656"/>
        </w:tabs>
        <w:spacing w:after="0"/>
        <w:jc w:val="both"/>
        <w:rPr>
          <w:rFonts w:cs="Times New Roman"/>
          <w:szCs w:val="24"/>
        </w:rPr>
      </w:pPr>
    </w:p>
    <w:tbl>
      <w:tblPr>
        <w:tblStyle w:val="TableGrid"/>
        <w:tblW w:w="9558" w:type="dxa"/>
        <w:jc w:val="center"/>
        <w:tblLook w:val="04A0" w:firstRow="1" w:lastRow="0" w:firstColumn="1" w:lastColumn="0" w:noHBand="0" w:noVBand="1"/>
      </w:tblPr>
      <w:tblGrid>
        <w:gridCol w:w="2785"/>
        <w:gridCol w:w="6773"/>
      </w:tblGrid>
      <w:tr w:rsidR="005D59D6" w:rsidRPr="00F10C37" w14:paraId="4994B9B5" w14:textId="77777777" w:rsidTr="002D6DD7">
        <w:trPr>
          <w:jc w:val="center"/>
        </w:trPr>
        <w:tc>
          <w:tcPr>
            <w:tcW w:w="9558" w:type="dxa"/>
            <w:gridSpan w:val="2"/>
          </w:tcPr>
          <w:p w14:paraId="727D3CDC" w14:textId="77777777" w:rsidR="005D59D6" w:rsidRPr="00F10C37" w:rsidRDefault="005D59D6" w:rsidP="002D6DD7">
            <w:pPr>
              <w:contextualSpacing/>
              <w:jc w:val="both"/>
              <w:rPr>
                <w:rFonts w:eastAsia="Calibri" w:cs="Times New Roman"/>
                <w:color w:val="000000" w:themeColor="text1"/>
                <w:szCs w:val="24"/>
              </w:rPr>
            </w:pPr>
            <w:r w:rsidRPr="00F10C37">
              <w:rPr>
                <w:rFonts w:cs="Times New Roman"/>
                <w:b/>
                <w:bCs/>
                <w:color w:val="000000" w:themeColor="text1"/>
                <w:szCs w:val="24"/>
                <w:shd w:val="clear" w:color="auto" w:fill="FFFFFF"/>
              </w:rPr>
              <w:t>Azacitidine</w:t>
            </w:r>
          </w:p>
        </w:tc>
      </w:tr>
      <w:tr w:rsidR="005D59D6" w:rsidRPr="00F10C37" w14:paraId="5B3E840A" w14:textId="77777777" w:rsidTr="002D6DD7">
        <w:trPr>
          <w:jc w:val="center"/>
        </w:trPr>
        <w:tc>
          <w:tcPr>
            <w:tcW w:w="2785" w:type="dxa"/>
          </w:tcPr>
          <w:p w14:paraId="69A5434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0412AB3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Antineoplastic agent, nucleoside metabolic inhibitor.</w:t>
            </w:r>
          </w:p>
        </w:tc>
      </w:tr>
      <w:tr w:rsidR="005D59D6" w:rsidRPr="00F10C37" w14:paraId="4B0FD9E7" w14:textId="77777777" w:rsidTr="002D6DD7">
        <w:trPr>
          <w:jc w:val="center"/>
        </w:trPr>
        <w:tc>
          <w:tcPr>
            <w:tcW w:w="2785" w:type="dxa"/>
          </w:tcPr>
          <w:p w14:paraId="085C5C8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5A56B2A2" w14:textId="77777777" w:rsidR="005D59D6" w:rsidRPr="00F10C37" w:rsidRDefault="005D59D6" w:rsidP="002D6DD7">
            <w:pPr>
              <w:contextualSpacing/>
              <w:jc w:val="both"/>
              <w:rPr>
                <w:rFonts w:eastAsia="Calibri" w:cs="Times New Roman"/>
                <w:color w:val="000000" w:themeColor="text1"/>
                <w:szCs w:val="24"/>
              </w:rPr>
            </w:pPr>
            <w:r w:rsidRPr="00F10C37">
              <w:rPr>
                <w:rFonts w:eastAsia="Arial" w:cs="Times New Roman"/>
                <w:color w:val="000000" w:themeColor="text1"/>
                <w:szCs w:val="24"/>
              </w:rPr>
              <w:t>Powder for injection: 60 mg, 150 mg, 440 mg in vial.</w:t>
            </w:r>
          </w:p>
        </w:tc>
      </w:tr>
      <w:tr w:rsidR="005D59D6" w:rsidRPr="00F10C37" w14:paraId="1D3D1239" w14:textId="77777777" w:rsidTr="002D6DD7">
        <w:trPr>
          <w:jc w:val="center"/>
        </w:trPr>
        <w:tc>
          <w:tcPr>
            <w:tcW w:w="2785" w:type="dxa"/>
          </w:tcPr>
          <w:p w14:paraId="3A273FB8"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0EC456A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Myelodysplastic syndromes (MDS), A</w:t>
            </w:r>
            <w:r>
              <w:rPr>
                <w:rFonts w:eastAsia="Calibri" w:cs="Times New Roman"/>
                <w:color w:val="000000" w:themeColor="text1"/>
                <w:szCs w:val="24"/>
              </w:rPr>
              <w:t>ML</w:t>
            </w:r>
            <w:r w:rsidRPr="00F10C37">
              <w:rPr>
                <w:rFonts w:eastAsia="Calibri" w:cs="Times New Roman"/>
                <w:color w:val="000000" w:themeColor="text1"/>
                <w:szCs w:val="24"/>
              </w:rPr>
              <w:t>, C</w:t>
            </w:r>
            <w:r>
              <w:rPr>
                <w:rFonts w:eastAsia="Calibri" w:cs="Times New Roman"/>
                <w:color w:val="000000" w:themeColor="text1"/>
                <w:szCs w:val="24"/>
              </w:rPr>
              <w:t>ML</w:t>
            </w:r>
            <w:r w:rsidRPr="00F10C37">
              <w:rPr>
                <w:rFonts w:eastAsia="Calibri" w:cs="Times New Roman"/>
                <w:color w:val="000000" w:themeColor="text1"/>
                <w:szCs w:val="24"/>
              </w:rPr>
              <w:t>.</w:t>
            </w:r>
          </w:p>
        </w:tc>
      </w:tr>
      <w:tr w:rsidR="005D59D6" w:rsidRPr="00F10C37" w14:paraId="487702E3" w14:textId="77777777" w:rsidTr="002D6DD7">
        <w:trPr>
          <w:jc w:val="center"/>
        </w:trPr>
        <w:tc>
          <w:tcPr>
            <w:tcW w:w="2785" w:type="dxa"/>
          </w:tcPr>
          <w:p w14:paraId="4AF0C81C"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1239A4E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75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SC or IV daily for 7 days. Cycles are repeated every 4 weeks.</w:t>
            </w:r>
          </w:p>
        </w:tc>
      </w:tr>
      <w:tr w:rsidR="005D59D6" w:rsidRPr="00F10C37" w14:paraId="47D3899C" w14:textId="77777777" w:rsidTr="002D6DD7">
        <w:trPr>
          <w:jc w:val="center"/>
        </w:trPr>
        <w:tc>
          <w:tcPr>
            <w:tcW w:w="2785" w:type="dxa"/>
          </w:tcPr>
          <w:p w14:paraId="18B68C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2E31CEB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Hypersensitivity to the drug and advanced malignant hepatic tumors.</w:t>
            </w:r>
          </w:p>
        </w:tc>
      </w:tr>
      <w:tr w:rsidR="005D59D6" w:rsidRPr="00F10C37" w14:paraId="695A6C2F" w14:textId="77777777" w:rsidTr="002D6DD7">
        <w:trPr>
          <w:jc w:val="center"/>
        </w:trPr>
        <w:tc>
          <w:tcPr>
            <w:tcW w:w="2785" w:type="dxa"/>
          </w:tcPr>
          <w:p w14:paraId="195304A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20E76D5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None well characterized to date.</w:t>
            </w:r>
          </w:p>
        </w:tc>
      </w:tr>
      <w:tr w:rsidR="005D59D6" w:rsidRPr="00F10C37" w14:paraId="3470BDD4" w14:textId="77777777" w:rsidTr="002D6DD7">
        <w:trPr>
          <w:jc w:val="center"/>
        </w:trPr>
        <w:tc>
          <w:tcPr>
            <w:tcW w:w="2785" w:type="dxa"/>
          </w:tcPr>
          <w:p w14:paraId="4CF52F2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tcPr>
          <w:p w14:paraId="751EAA1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Alopecia, anaemia, anxiety, appetite decreased, arthralgia, asthenia, bone marrow disorders, chest pain, chills, confusion, constipation, dehydration, diarrhoea, dizziness, drowsiness, dyspnoea, fever, gastrointestinal discomfort, haemorrhage, headache, hypertension,  </w:t>
            </w:r>
            <w:r w:rsidRPr="00F10C37">
              <w:rPr>
                <w:rFonts w:eastAsia="Calibri" w:cs="Times New Roman"/>
                <w:color w:val="000000" w:themeColor="text1"/>
                <w:szCs w:val="24"/>
              </w:rPr>
              <w:lastRenderedPageBreak/>
              <w:t xml:space="preserve">hypokalaemia, hypotension, increased risk of infection, induration, inflammation, insomnia, intracranial haemorrhage, laryngeal pain, leucopenia, malaise, muscle complaints, nausea, neutropenia, pain, renal failure, respiratory disorders, sepsis, skin reactions, stomatitis, syncope, thrombocytopenia, vomiting, weight decreased, hepatic coma, hepatic failure, pyoderma gangrenosum, renal tubular acidosis. </w:t>
            </w:r>
          </w:p>
        </w:tc>
      </w:tr>
      <w:tr w:rsidR="005D59D6" w:rsidRPr="00F10C37" w14:paraId="13AF57C1" w14:textId="77777777" w:rsidTr="002D6DD7">
        <w:trPr>
          <w:jc w:val="center"/>
        </w:trPr>
        <w:tc>
          <w:tcPr>
            <w:tcW w:w="2785" w:type="dxa"/>
          </w:tcPr>
          <w:p w14:paraId="642F36C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6773" w:type="dxa"/>
          </w:tcPr>
          <w:p w14:paraId="02550BB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History of severe congestive heart failure, unstable cardiac disease, and unstable pulmonary disease, pregnancy and breastfeeding.</w:t>
            </w:r>
          </w:p>
        </w:tc>
      </w:tr>
      <w:tr w:rsidR="005D59D6" w:rsidRPr="00F10C37" w14:paraId="501F3061" w14:textId="77777777" w:rsidTr="002D6DD7">
        <w:trPr>
          <w:jc w:val="center"/>
        </w:trPr>
        <w:tc>
          <w:tcPr>
            <w:tcW w:w="2785" w:type="dxa"/>
          </w:tcPr>
          <w:p w14:paraId="48C64CA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7A775C5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w:t>
            </w:r>
            <w:r>
              <w:rPr>
                <w:rFonts w:eastAsia="Calibri" w:cs="Times New Roman"/>
                <w:color w:val="000000" w:themeColor="text1"/>
                <w:szCs w:val="24"/>
              </w:rPr>
              <w:t>e</w:t>
            </w:r>
            <w:r w:rsidRPr="00F10C37">
              <w:rPr>
                <w:rFonts w:eastAsia="Calibri" w:cs="Times New Roman"/>
                <w:color w:val="000000" w:themeColor="text1"/>
                <w:szCs w:val="24"/>
              </w:rPr>
              <w:t xml:space="preserve"> between 2 °C and 8 °C. Protect from light.</w:t>
            </w:r>
          </w:p>
        </w:tc>
      </w:tr>
      <w:tr w:rsidR="005D59D6" w:rsidRPr="00F10C37" w14:paraId="440EB306" w14:textId="77777777" w:rsidTr="002D6DD7">
        <w:trPr>
          <w:jc w:val="center"/>
        </w:trPr>
        <w:tc>
          <w:tcPr>
            <w:tcW w:w="9558" w:type="dxa"/>
            <w:gridSpan w:val="2"/>
          </w:tcPr>
          <w:p w14:paraId="578FD5EC"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Bortezomib</w:t>
            </w:r>
          </w:p>
        </w:tc>
      </w:tr>
      <w:tr w:rsidR="005D59D6" w:rsidRPr="00F10C37" w14:paraId="430CA60D" w14:textId="77777777" w:rsidTr="002D6DD7">
        <w:trPr>
          <w:jc w:val="center"/>
        </w:trPr>
        <w:tc>
          <w:tcPr>
            <w:tcW w:w="2785" w:type="dxa"/>
          </w:tcPr>
          <w:p w14:paraId="02F6C36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4FB3E2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proteasome inhibitor</w:t>
            </w:r>
          </w:p>
        </w:tc>
      </w:tr>
      <w:tr w:rsidR="005D59D6" w:rsidRPr="00F10C37" w14:paraId="0BA45190" w14:textId="77777777" w:rsidTr="002D6DD7">
        <w:trPr>
          <w:jc w:val="center"/>
        </w:trPr>
        <w:tc>
          <w:tcPr>
            <w:tcW w:w="2785" w:type="dxa"/>
          </w:tcPr>
          <w:p w14:paraId="574B13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7649E35D"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Powder for injection: 3.5 mg in vial.</w:t>
            </w:r>
          </w:p>
        </w:tc>
      </w:tr>
      <w:tr w:rsidR="005D59D6" w:rsidRPr="00F10C37" w14:paraId="7E64B670" w14:textId="77777777" w:rsidTr="002D6DD7">
        <w:trPr>
          <w:jc w:val="center"/>
        </w:trPr>
        <w:tc>
          <w:tcPr>
            <w:tcW w:w="2785" w:type="dxa"/>
          </w:tcPr>
          <w:p w14:paraId="39D9AEA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6F0DC5A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Multiple myeloma</w:t>
            </w:r>
            <w:r>
              <w:rPr>
                <w:rFonts w:eastAsia="Calibri" w:cs="Times New Roman"/>
                <w:color w:val="000000" w:themeColor="text1"/>
                <w:szCs w:val="24"/>
              </w:rPr>
              <w:t>,</w:t>
            </w:r>
            <w:r w:rsidRPr="00F10C37">
              <w:rPr>
                <w:rFonts w:eastAsia="Calibri" w:cs="Times New Roman"/>
                <w:color w:val="000000" w:themeColor="text1"/>
                <w:szCs w:val="24"/>
              </w:rPr>
              <w:t xml:space="preserve"> </w:t>
            </w:r>
            <w:r>
              <w:rPr>
                <w:rFonts w:eastAsia="Calibri" w:cs="Times New Roman"/>
                <w:color w:val="000000" w:themeColor="text1"/>
                <w:szCs w:val="24"/>
              </w:rPr>
              <w:t>m</w:t>
            </w:r>
            <w:r w:rsidRPr="00F10C37">
              <w:rPr>
                <w:rFonts w:eastAsia="Calibri" w:cs="Times New Roman"/>
                <w:color w:val="000000" w:themeColor="text1"/>
                <w:szCs w:val="24"/>
              </w:rPr>
              <w:t>antle cell lymphoma.</w:t>
            </w:r>
          </w:p>
        </w:tc>
      </w:tr>
      <w:tr w:rsidR="005D59D6" w:rsidRPr="00F10C37" w14:paraId="35808786" w14:textId="77777777" w:rsidTr="002D6DD7">
        <w:trPr>
          <w:jc w:val="center"/>
        </w:trPr>
        <w:tc>
          <w:tcPr>
            <w:tcW w:w="2785" w:type="dxa"/>
          </w:tcPr>
          <w:p w14:paraId="78B7E2FE"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418C114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 1.3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 xml:space="preserve"> administered by IV or SC twice weekly for 2 weeks (on days 1, 4, 8, and 11) followed by a 10-day rest period (days 12–21).</w:t>
            </w:r>
          </w:p>
        </w:tc>
      </w:tr>
      <w:tr w:rsidR="005D59D6" w:rsidRPr="00F10C37" w14:paraId="554BB685" w14:textId="77777777" w:rsidTr="002D6DD7">
        <w:trPr>
          <w:jc w:val="center"/>
        </w:trPr>
        <w:tc>
          <w:tcPr>
            <w:tcW w:w="2785" w:type="dxa"/>
          </w:tcPr>
          <w:p w14:paraId="1EDBDD4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73C485B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acute diffuse infiltrative pulmonary and pericardial disease</w:t>
            </w:r>
            <w:r>
              <w:rPr>
                <w:rFonts w:eastAsia="Calibri" w:cs="Times New Roman"/>
                <w:color w:val="000000" w:themeColor="text1"/>
                <w:szCs w:val="24"/>
              </w:rPr>
              <w:t>.</w:t>
            </w:r>
          </w:p>
        </w:tc>
      </w:tr>
      <w:tr w:rsidR="005D59D6" w:rsidRPr="00F10C37" w14:paraId="390D1968" w14:textId="77777777" w:rsidTr="002D6DD7">
        <w:trPr>
          <w:jc w:val="center"/>
        </w:trPr>
        <w:tc>
          <w:tcPr>
            <w:tcW w:w="2785" w:type="dxa"/>
          </w:tcPr>
          <w:p w14:paraId="54A5E6C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7B925D2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Phenobarbital, phenytoin, carbamazepine, rifampicin, St. John’s Wort, ketoconazole, macrolides.</w:t>
            </w:r>
          </w:p>
        </w:tc>
      </w:tr>
      <w:tr w:rsidR="005D59D6" w:rsidRPr="00F10C37" w14:paraId="589FE92D" w14:textId="77777777" w:rsidTr="002D6DD7">
        <w:trPr>
          <w:jc w:val="center"/>
        </w:trPr>
        <w:tc>
          <w:tcPr>
            <w:tcW w:w="2785" w:type="dxa"/>
          </w:tcPr>
          <w:p w14:paraId="46947C1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4968E82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Fatigue, malaise, and generalized weakness, nausea, vomiting, diarrhoea, thrombocytopenia, neutropenia, peripheral neuropathy, fever, orthostatic hypotension, congestive heart failure, pulmonary toxicity, pulmonary hypertension, reversible posterior leukoencephalopathy syndrome (RPLS).</w:t>
            </w:r>
          </w:p>
        </w:tc>
      </w:tr>
      <w:tr w:rsidR="005D59D6" w:rsidRPr="00F10C37" w14:paraId="0BC7B4E0" w14:textId="77777777" w:rsidTr="002D6DD7">
        <w:trPr>
          <w:jc w:val="center"/>
        </w:trPr>
        <w:tc>
          <w:tcPr>
            <w:tcW w:w="2785" w:type="dxa"/>
          </w:tcPr>
          <w:p w14:paraId="09C1539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58B0A57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Amyloidosis, cardiovascular disease, herpes zoster infection, dehydration, diabetes, history of syncope, pulmonary disease, risk factors for seizures, risk of neuropathy, pregnancy and breastfeeding</w:t>
            </w:r>
            <w:r>
              <w:rPr>
                <w:rFonts w:eastAsia="Calibri" w:cs="Times New Roman"/>
                <w:color w:val="000000" w:themeColor="text1"/>
                <w:szCs w:val="24"/>
              </w:rPr>
              <w:t>,</w:t>
            </w:r>
            <w:r w:rsidRPr="00F10C37">
              <w:rPr>
                <w:rFonts w:eastAsia="Calibri" w:cs="Times New Roman"/>
                <w:color w:val="000000" w:themeColor="text1"/>
                <w:szCs w:val="24"/>
              </w:rPr>
              <w:t xml:space="preserve"> hepatic </w:t>
            </w:r>
            <w:r>
              <w:rPr>
                <w:rFonts w:eastAsia="Calibri" w:cs="Times New Roman"/>
                <w:color w:val="000000" w:themeColor="text1"/>
                <w:szCs w:val="24"/>
              </w:rPr>
              <w:t>impairment</w:t>
            </w:r>
            <w:r w:rsidRPr="00F10C37">
              <w:rPr>
                <w:rFonts w:eastAsia="Calibri" w:cs="Times New Roman"/>
                <w:color w:val="000000" w:themeColor="text1"/>
                <w:szCs w:val="24"/>
              </w:rPr>
              <w:t xml:space="preserve">, and peripheral neuropathy. </w:t>
            </w:r>
          </w:p>
        </w:tc>
      </w:tr>
      <w:tr w:rsidR="005D59D6" w:rsidRPr="00F10C37" w14:paraId="2440FF78" w14:textId="77777777" w:rsidTr="002D6DD7">
        <w:trPr>
          <w:jc w:val="center"/>
        </w:trPr>
        <w:tc>
          <w:tcPr>
            <w:tcW w:w="2785" w:type="dxa"/>
          </w:tcPr>
          <w:p w14:paraId="07729A2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52911E3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w:t>
            </w:r>
            <w:r>
              <w:rPr>
                <w:rFonts w:eastAsia="Calibri" w:cs="Times New Roman"/>
                <w:color w:val="000000" w:themeColor="text1"/>
                <w:szCs w:val="24"/>
              </w:rPr>
              <w:t>between</w:t>
            </w:r>
            <w:r w:rsidRPr="00F10C37">
              <w:rPr>
                <w:rFonts w:eastAsia="Calibri" w:cs="Times New Roman"/>
                <w:color w:val="000000" w:themeColor="text1"/>
                <w:szCs w:val="24"/>
              </w:rPr>
              <w:t xml:space="preserve"> 15 °C to 30 °C. Protect from light.</w:t>
            </w:r>
          </w:p>
        </w:tc>
      </w:tr>
      <w:tr w:rsidR="005D59D6" w:rsidRPr="00F10C37" w14:paraId="3BFAFA5A" w14:textId="77777777" w:rsidTr="002D6DD7">
        <w:trPr>
          <w:jc w:val="center"/>
        </w:trPr>
        <w:tc>
          <w:tcPr>
            <w:tcW w:w="9558" w:type="dxa"/>
            <w:gridSpan w:val="2"/>
          </w:tcPr>
          <w:p w14:paraId="6C95701D"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lastRenderedPageBreak/>
              <w:t>Dasatinib</w:t>
            </w:r>
          </w:p>
        </w:tc>
      </w:tr>
      <w:tr w:rsidR="005D59D6" w:rsidRPr="00F10C37" w14:paraId="25B95241" w14:textId="77777777" w:rsidTr="002D6DD7">
        <w:trPr>
          <w:jc w:val="center"/>
        </w:trPr>
        <w:tc>
          <w:tcPr>
            <w:tcW w:w="2785" w:type="dxa"/>
          </w:tcPr>
          <w:p w14:paraId="2663253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4498672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tyrosine kinase inhibitor.</w:t>
            </w:r>
          </w:p>
        </w:tc>
      </w:tr>
      <w:tr w:rsidR="005D59D6" w:rsidRPr="00F10C37" w14:paraId="1D7797F5" w14:textId="77777777" w:rsidTr="002D6DD7">
        <w:trPr>
          <w:jc w:val="center"/>
        </w:trPr>
        <w:tc>
          <w:tcPr>
            <w:tcW w:w="2785" w:type="dxa"/>
          </w:tcPr>
          <w:p w14:paraId="5195455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6692814F" w14:textId="77777777" w:rsidR="005D59D6" w:rsidRPr="00F10C37" w:rsidRDefault="005D59D6" w:rsidP="002D6DD7">
            <w:pPr>
              <w:jc w:val="both"/>
              <w:rPr>
                <w:rFonts w:eastAsia="Calibri" w:cs="Times New Roman"/>
                <w:color w:val="000000" w:themeColor="text1"/>
                <w:szCs w:val="24"/>
                <w:lang w:val="sv-SE"/>
              </w:rPr>
            </w:pPr>
            <w:r w:rsidRPr="00F10C37">
              <w:rPr>
                <w:rFonts w:eastAsia="Arial" w:cs="Times New Roman"/>
                <w:color w:val="000000" w:themeColor="text1"/>
                <w:szCs w:val="24"/>
                <w:lang w:val="sv-SE"/>
              </w:rPr>
              <w:t>Tablet: 20 mg, 50 mg, 70 mg, 80 mg, 100 mg, 140 mg.</w:t>
            </w:r>
          </w:p>
        </w:tc>
      </w:tr>
      <w:tr w:rsidR="005D59D6" w:rsidRPr="00F10C37" w14:paraId="3B445B7B" w14:textId="77777777" w:rsidTr="002D6DD7">
        <w:trPr>
          <w:jc w:val="center"/>
        </w:trPr>
        <w:tc>
          <w:tcPr>
            <w:tcW w:w="2785" w:type="dxa"/>
          </w:tcPr>
          <w:p w14:paraId="100D46D5" w14:textId="77777777" w:rsidR="005D59D6" w:rsidRPr="00F60FA1" w:rsidRDefault="005D59D6" w:rsidP="002D6DD7">
            <w:pPr>
              <w:jc w:val="both"/>
              <w:rPr>
                <w:rFonts w:eastAsia="Calibri" w:cs="Times New Roman"/>
                <w:color w:val="000000" w:themeColor="text1"/>
                <w:szCs w:val="24"/>
              </w:rPr>
            </w:pPr>
            <w:r w:rsidRPr="00F60FA1">
              <w:rPr>
                <w:rFonts w:eastAsia="Calibri" w:cs="Times New Roman"/>
                <w:color w:val="000000" w:themeColor="text1"/>
                <w:szCs w:val="24"/>
              </w:rPr>
              <w:t>Indications</w:t>
            </w:r>
          </w:p>
        </w:tc>
        <w:tc>
          <w:tcPr>
            <w:tcW w:w="6773" w:type="dxa"/>
          </w:tcPr>
          <w:p w14:paraId="68630F0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w:t>
            </w:r>
            <w:r>
              <w:rPr>
                <w:rFonts w:eastAsia="Calibri" w:cs="Times New Roman"/>
                <w:color w:val="000000" w:themeColor="text1"/>
                <w:szCs w:val="24"/>
              </w:rPr>
              <w:t>ML</w:t>
            </w:r>
            <w:r w:rsidRPr="00F10C37">
              <w:rPr>
                <w:rFonts w:eastAsia="Calibri" w:cs="Times New Roman"/>
                <w:color w:val="000000" w:themeColor="text1"/>
                <w:szCs w:val="24"/>
              </w:rPr>
              <w:t xml:space="preserve">, </w:t>
            </w:r>
            <w:r>
              <w:rPr>
                <w:rFonts w:eastAsia="Calibri" w:cs="Times New Roman"/>
                <w:color w:val="000000" w:themeColor="text1"/>
                <w:szCs w:val="24"/>
              </w:rPr>
              <w:t>p</w:t>
            </w:r>
            <w:r w:rsidRPr="00F10C37">
              <w:rPr>
                <w:rFonts w:eastAsia="Calibri" w:cs="Times New Roman"/>
                <w:color w:val="000000" w:themeColor="text1"/>
                <w:szCs w:val="24"/>
              </w:rPr>
              <w:t>hiladelphia chromosome–positive (Ph+) ALL</w:t>
            </w:r>
          </w:p>
        </w:tc>
      </w:tr>
      <w:tr w:rsidR="005D59D6" w:rsidRPr="00F10C37" w14:paraId="49EF440A" w14:textId="77777777" w:rsidTr="002D6DD7">
        <w:trPr>
          <w:jc w:val="center"/>
        </w:trPr>
        <w:tc>
          <w:tcPr>
            <w:tcW w:w="2785" w:type="dxa"/>
          </w:tcPr>
          <w:p w14:paraId="487652A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7E4DA9C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w:t>
            </w:r>
            <w:r>
              <w:rPr>
                <w:rFonts w:eastAsia="Calibri" w:cs="Times New Roman"/>
                <w:b/>
                <w:color w:val="000000" w:themeColor="text1"/>
                <w:szCs w:val="24"/>
              </w:rPr>
              <w:t>ML</w:t>
            </w:r>
            <w:r w:rsidRPr="00F10C37">
              <w:rPr>
                <w:rFonts w:eastAsia="Calibri" w:cs="Times New Roman"/>
                <w:color w:val="000000" w:themeColor="text1"/>
                <w:szCs w:val="24"/>
              </w:rPr>
              <w:t>: 100 mg – 140mg PO once daily</w:t>
            </w:r>
          </w:p>
          <w:p w14:paraId="0476503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Philadelphia chromosome–positive (Ph+) ALL</w:t>
            </w:r>
            <w:r w:rsidRPr="00F10C37">
              <w:rPr>
                <w:rFonts w:eastAsia="Calibri" w:cs="Times New Roman"/>
                <w:color w:val="000000" w:themeColor="text1"/>
                <w:szCs w:val="24"/>
              </w:rPr>
              <w:t>: 140 mg PO once daily</w:t>
            </w:r>
          </w:p>
        </w:tc>
      </w:tr>
      <w:tr w:rsidR="005D59D6" w:rsidRPr="00F10C37" w14:paraId="66D7AA5D" w14:textId="77777777" w:rsidTr="002D6DD7">
        <w:trPr>
          <w:jc w:val="center"/>
        </w:trPr>
        <w:tc>
          <w:tcPr>
            <w:tcW w:w="2785" w:type="dxa"/>
          </w:tcPr>
          <w:p w14:paraId="7B11FE1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7C4E672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w:t>
            </w:r>
          </w:p>
        </w:tc>
      </w:tr>
      <w:tr w:rsidR="005D59D6" w:rsidRPr="00F10C37" w14:paraId="67E4704C" w14:textId="77777777" w:rsidTr="002D6DD7">
        <w:trPr>
          <w:jc w:val="center"/>
        </w:trPr>
        <w:tc>
          <w:tcPr>
            <w:tcW w:w="2785" w:type="dxa"/>
          </w:tcPr>
          <w:p w14:paraId="7AAFAD57"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4099D09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Ketoconazole, itraconazole, clarithromycin, erythromycin, rifampin, phenytoin, phenobarbital, carbamazepine, and St. John’s Wort, aspirin, NSAIDs, anticoagulant.</w:t>
            </w:r>
          </w:p>
        </w:tc>
      </w:tr>
      <w:tr w:rsidR="005D59D6" w:rsidRPr="00F10C37" w14:paraId="26EB5408" w14:textId="77777777" w:rsidTr="002D6DD7">
        <w:trPr>
          <w:jc w:val="center"/>
        </w:trPr>
        <w:tc>
          <w:tcPr>
            <w:tcW w:w="2785" w:type="dxa"/>
          </w:tcPr>
          <w:p w14:paraId="41B4F0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558D405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Thrombocytopenia, neutropenia, and anaemia, fluid retention, diarrhoea, nausea, vomiting, and abdominal pain, fatigue, asthenia, and anorexia, hepatotoxicity, hypocalcemia and hypophosphatemia.</w:t>
            </w:r>
          </w:p>
        </w:tc>
      </w:tr>
      <w:tr w:rsidR="005D59D6" w:rsidRPr="00F10C37" w14:paraId="722C8512" w14:textId="77777777" w:rsidTr="002D6DD7">
        <w:trPr>
          <w:jc w:val="center"/>
        </w:trPr>
        <w:tc>
          <w:tcPr>
            <w:tcW w:w="2785" w:type="dxa"/>
          </w:tcPr>
          <w:p w14:paraId="2D03706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77FAF8E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Hepatitis B infection, risk of cardiac dysfunction, susceptibility to QT-interval prolongation, pregnancy and b</w:t>
            </w:r>
            <w:r>
              <w:rPr>
                <w:rFonts w:eastAsia="Calibri" w:cs="Times New Roman"/>
                <w:color w:val="000000" w:themeColor="text1"/>
                <w:szCs w:val="24"/>
              </w:rPr>
              <w:t>r</w:t>
            </w:r>
            <w:r w:rsidRPr="00F10C37">
              <w:rPr>
                <w:rFonts w:eastAsia="Calibri" w:cs="Times New Roman"/>
                <w:color w:val="000000" w:themeColor="text1"/>
                <w:szCs w:val="24"/>
              </w:rPr>
              <w:t>eastfeeding</w:t>
            </w:r>
            <w:r>
              <w:rPr>
                <w:rFonts w:eastAsia="Calibri" w:cs="Times New Roman"/>
                <w:color w:val="000000" w:themeColor="text1"/>
                <w:szCs w:val="24"/>
              </w:rPr>
              <w:t xml:space="preserve">, </w:t>
            </w:r>
            <w:r w:rsidRPr="00F10C37">
              <w:rPr>
                <w:rFonts w:eastAsia="Calibri" w:cs="Times New Roman"/>
                <w:color w:val="000000" w:themeColor="text1"/>
                <w:szCs w:val="24"/>
              </w:rPr>
              <w:t xml:space="preserve">electrolyte status, depressive symptoms and suicide ideation while on therapy. </w:t>
            </w:r>
          </w:p>
        </w:tc>
      </w:tr>
      <w:tr w:rsidR="005D59D6" w:rsidRPr="00F10C37" w14:paraId="4A7F9C02" w14:textId="77777777" w:rsidTr="002D6DD7">
        <w:trPr>
          <w:jc w:val="center"/>
        </w:trPr>
        <w:tc>
          <w:tcPr>
            <w:tcW w:w="2785" w:type="dxa"/>
          </w:tcPr>
          <w:p w14:paraId="30F9EFD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7F71C42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moisture and light.</w:t>
            </w:r>
          </w:p>
        </w:tc>
      </w:tr>
      <w:tr w:rsidR="005D59D6" w:rsidRPr="00F10C37" w14:paraId="7ADF56DD" w14:textId="77777777" w:rsidTr="002D6DD7">
        <w:trPr>
          <w:jc w:val="center"/>
        </w:trPr>
        <w:tc>
          <w:tcPr>
            <w:tcW w:w="9558" w:type="dxa"/>
            <w:gridSpan w:val="2"/>
          </w:tcPr>
          <w:p w14:paraId="1C90D245" w14:textId="77777777" w:rsidR="005D59D6" w:rsidRPr="00F10C37" w:rsidRDefault="005D59D6" w:rsidP="002D6DD7">
            <w:pPr>
              <w:contextualSpacing/>
              <w:jc w:val="both"/>
              <w:rPr>
                <w:rFonts w:eastAsia="Calibri" w:cs="Times New Roman"/>
                <w:color w:val="000000" w:themeColor="text1"/>
                <w:szCs w:val="24"/>
              </w:rPr>
            </w:pPr>
            <w:r w:rsidRPr="00F10C37">
              <w:rPr>
                <w:rFonts w:cs="Times New Roman"/>
                <w:b/>
                <w:bCs/>
                <w:color w:val="000000" w:themeColor="text1"/>
                <w:szCs w:val="24"/>
                <w:shd w:val="clear" w:color="auto" w:fill="FFFFFF"/>
              </w:rPr>
              <w:t>Decitabine</w:t>
            </w:r>
          </w:p>
        </w:tc>
      </w:tr>
      <w:tr w:rsidR="005D59D6" w:rsidRPr="00F10C37" w14:paraId="4F681079" w14:textId="77777777" w:rsidTr="002D6DD7">
        <w:trPr>
          <w:jc w:val="center"/>
        </w:trPr>
        <w:tc>
          <w:tcPr>
            <w:tcW w:w="2785" w:type="dxa"/>
          </w:tcPr>
          <w:p w14:paraId="6514462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55D45FB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Antineoplastic agent, pyrimidine analog.</w:t>
            </w:r>
          </w:p>
        </w:tc>
      </w:tr>
      <w:tr w:rsidR="005D59D6" w:rsidRPr="00F10C37" w14:paraId="3EAE55FA" w14:textId="77777777" w:rsidTr="002D6DD7">
        <w:trPr>
          <w:jc w:val="center"/>
        </w:trPr>
        <w:tc>
          <w:tcPr>
            <w:tcW w:w="2785" w:type="dxa"/>
          </w:tcPr>
          <w:p w14:paraId="664CBF8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295BB7FE" w14:textId="77777777" w:rsidR="005D59D6" w:rsidRPr="00F10C37" w:rsidRDefault="005D59D6" w:rsidP="002D6DD7">
            <w:pPr>
              <w:contextualSpacing/>
              <w:jc w:val="both"/>
              <w:rPr>
                <w:rFonts w:eastAsia="Calibri" w:cs="Times New Roman"/>
                <w:color w:val="000000" w:themeColor="text1"/>
                <w:szCs w:val="24"/>
              </w:rPr>
            </w:pPr>
            <w:r w:rsidRPr="00F10C37">
              <w:rPr>
                <w:rFonts w:eastAsia="Arial" w:cs="Times New Roman"/>
                <w:color w:val="000000" w:themeColor="text1"/>
                <w:szCs w:val="24"/>
              </w:rPr>
              <w:t>Powder for injection: 50 mg in vial.</w:t>
            </w:r>
          </w:p>
        </w:tc>
      </w:tr>
      <w:tr w:rsidR="005D59D6" w:rsidRPr="00F10C37" w14:paraId="67439435" w14:textId="77777777" w:rsidTr="002D6DD7">
        <w:trPr>
          <w:jc w:val="center"/>
        </w:trPr>
        <w:tc>
          <w:tcPr>
            <w:tcW w:w="2785" w:type="dxa"/>
          </w:tcPr>
          <w:p w14:paraId="41253555" w14:textId="77777777" w:rsidR="005D59D6" w:rsidRPr="0063321E" w:rsidRDefault="005D59D6" w:rsidP="002D6DD7">
            <w:pPr>
              <w:jc w:val="both"/>
              <w:rPr>
                <w:rFonts w:eastAsia="Calibri" w:cs="Times New Roman"/>
                <w:color w:val="000000" w:themeColor="text1"/>
                <w:szCs w:val="24"/>
              </w:rPr>
            </w:pPr>
            <w:r w:rsidRPr="0063321E">
              <w:rPr>
                <w:rFonts w:eastAsia="Calibri" w:cs="Times New Roman"/>
                <w:color w:val="000000" w:themeColor="text1"/>
                <w:szCs w:val="24"/>
              </w:rPr>
              <w:t>Indications</w:t>
            </w:r>
          </w:p>
        </w:tc>
        <w:tc>
          <w:tcPr>
            <w:tcW w:w="6773" w:type="dxa"/>
          </w:tcPr>
          <w:p w14:paraId="4B7BCBB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w:t>
            </w:r>
            <w:r>
              <w:rPr>
                <w:rFonts w:eastAsia="Calibri" w:cs="Times New Roman"/>
                <w:color w:val="000000" w:themeColor="text1"/>
                <w:szCs w:val="24"/>
              </w:rPr>
              <w:t>ML</w:t>
            </w:r>
          </w:p>
        </w:tc>
      </w:tr>
      <w:tr w:rsidR="005D59D6" w:rsidRPr="00F10C37" w14:paraId="02B3D8E2" w14:textId="77777777" w:rsidTr="002D6DD7">
        <w:trPr>
          <w:jc w:val="center"/>
        </w:trPr>
        <w:tc>
          <w:tcPr>
            <w:tcW w:w="2785" w:type="dxa"/>
          </w:tcPr>
          <w:p w14:paraId="269995D7"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6D1611C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15 mg/m² IV infusion over 3 hours, repeated every 8 hour</w:t>
            </w:r>
            <w:r>
              <w:rPr>
                <w:rFonts w:eastAsia="Calibri" w:cs="Times New Roman"/>
                <w:color w:val="000000" w:themeColor="text1"/>
                <w:szCs w:val="24"/>
              </w:rPr>
              <w:t>s</w:t>
            </w:r>
            <w:r w:rsidRPr="00F10C37">
              <w:rPr>
                <w:rFonts w:eastAsia="Calibri" w:cs="Times New Roman"/>
                <w:color w:val="000000" w:themeColor="text1"/>
                <w:szCs w:val="24"/>
              </w:rPr>
              <w:t xml:space="preserve"> for 3 days. Repeat cycles every 6 weeks. </w:t>
            </w:r>
          </w:p>
        </w:tc>
      </w:tr>
      <w:tr w:rsidR="005D59D6" w:rsidRPr="00F10C37" w14:paraId="1B2514B3" w14:textId="77777777" w:rsidTr="002D6DD7">
        <w:trPr>
          <w:jc w:val="center"/>
        </w:trPr>
        <w:tc>
          <w:tcPr>
            <w:tcW w:w="2785" w:type="dxa"/>
          </w:tcPr>
          <w:p w14:paraId="4893F96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6FD3605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Hypersensitivity to the drug.</w:t>
            </w:r>
          </w:p>
        </w:tc>
      </w:tr>
      <w:tr w:rsidR="005D59D6" w:rsidRPr="00F10C37" w14:paraId="3A453DA1" w14:textId="77777777" w:rsidTr="002D6DD7">
        <w:trPr>
          <w:jc w:val="center"/>
        </w:trPr>
        <w:tc>
          <w:tcPr>
            <w:tcW w:w="2785" w:type="dxa"/>
          </w:tcPr>
          <w:p w14:paraId="7897D7F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7445F14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None well characterized to date.</w:t>
            </w:r>
          </w:p>
        </w:tc>
      </w:tr>
      <w:tr w:rsidR="005D59D6" w:rsidRPr="00F10C37" w14:paraId="3C0D3FE3" w14:textId="77777777" w:rsidTr="002D6DD7">
        <w:trPr>
          <w:jc w:val="center"/>
        </w:trPr>
        <w:tc>
          <w:tcPr>
            <w:tcW w:w="2785" w:type="dxa"/>
          </w:tcPr>
          <w:p w14:paraId="0D5A1C7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tcPr>
          <w:p w14:paraId="5501AB1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Anaemia, diarrhoea, epistaxis, fever, headache, hypersensitivity, increased risk of infection, leucopenia, nausea, neutropenia, sepsis, stomatitis, thrombocytopenia, vomiting, acute febrile neutrophilic dermatosis, pancytopenia. </w:t>
            </w:r>
          </w:p>
        </w:tc>
      </w:tr>
      <w:tr w:rsidR="005D59D6" w:rsidRPr="00F10C37" w14:paraId="3E184E61" w14:textId="77777777" w:rsidTr="002D6DD7">
        <w:trPr>
          <w:jc w:val="center"/>
        </w:trPr>
        <w:tc>
          <w:tcPr>
            <w:tcW w:w="2785" w:type="dxa"/>
          </w:tcPr>
          <w:p w14:paraId="6358B99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6773" w:type="dxa"/>
          </w:tcPr>
          <w:p w14:paraId="5DD48C5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Histories of severe congestive heart failure and unstable cardiac disease, pregnancy and breastfeeding.</w:t>
            </w:r>
          </w:p>
        </w:tc>
      </w:tr>
      <w:tr w:rsidR="005D59D6" w:rsidRPr="00F10C37" w14:paraId="145B46DB" w14:textId="77777777" w:rsidTr="002D6DD7">
        <w:trPr>
          <w:jc w:val="center"/>
        </w:trPr>
        <w:tc>
          <w:tcPr>
            <w:tcW w:w="2785" w:type="dxa"/>
          </w:tcPr>
          <w:p w14:paraId="4583AD3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6799DA5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between 2 °C and 8 °C. Protect from light.</w:t>
            </w:r>
          </w:p>
        </w:tc>
      </w:tr>
      <w:tr w:rsidR="005D59D6" w:rsidRPr="00F10C37" w14:paraId="559087B9" w14:textId="77777777" w:rsidTr="002D6DD7">
        <w:trPr>
          <w:jc w:val="center"/>
        </w:trPr>
        <w:tc>
          <w:tcPr>
            <w:tcW w:w="9558" w:type="dxa"/>
            <w:gridSpan w:val="2"/>
          </w:tcPr>
          <w:p w14:paraId="0CB9F8F5"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Erlotinib</w:t>
            </w:r>
          </w:p>
        </w:tc>
      </w:tr>
      <w:tr w:rsidR="005D59D6" w:rsidRPr="00F10C37" w14:paraId="1E2ECE33" w14:textId="77777777" w:rsidTr="002D6DD7">
        <w:trPr>
          <w:jc w:val="center"/>
        </w:trPr>
        <w:tc>
          <w:tcPr>
            <w:tcW w:w="2785" w:type="dxa"/>
          </w:tcPr>
          <w:p w14:paraId="24B3B14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1CA5C2C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Tyrosine kinase inhibitor, antineoplastic agent</w:t>
            </w:r>
          </w:p>
        </w:tc>
      </w:tr>
      <w:tr w:rsidR="005D59D6" w:rsidRPr="00F10C37" w14:paraId="66874111" w14:textId="77777777" w:rsidTr="002D6DD7">
        <w:trPr>
          <w:jc w:val="center"/>
        </w:trPr>
        <w:tc>
          <w:tcPr>
            <w:tcW w:w="2785" w:type="dxa"/>
          </w:tcPr>
          <w:p w14:paraId="04A935F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6A876053" w14:textId="77777777" w:rsidR="005D59D6" w:rsidRPr="00F10C37" w:rsidRDefault="005D59D6" w:rsidP="002D6DD7">
            <w:pPr>
              <w:jc w:val="both"/>
              <w:rPr>
                <w:rFonts w:eastAsia="Calibri" w:cs="Times New Roman"/>
                <w:color w:val="000000" w:themeColor="text1"/>
                <w:szCs w:val="24"/>
                <w:lang w:val="sv-SE"/>
              </w:rPr>
            </w:pPr>
            <w:r w:rsidRPr="00F10C37">
              <w:rPr>
                <w:rFonts w:eastAsia="Arial" w:cs="Times New Roman"/>
                <w:color w:val="000000" w:themeColor="text1"/>
                <w:szCs w:val="24"/>
                <w:lang w:val="sv-SE"/>
              </w:rPr>
              <w:t>Tablet: 20 mg, 50 mg, 70 mg, 80 mg, 100 mg, 140 mg.</w:t>
            </w:r>
          </w:p>
        </w:tc>
      </w:tr>
      <w:tr w:rsidR="005D59D6" w:rsidRPr="00F10C37" w14:paraId="6BC9FC16" w14:textId="77777777" w:rsidTr="002D6DD7">
        <w:trPr>
          <w:jc w:val="center"/>
        </w:trPr>
        <w:tc>
          <w:tcPr>
            <w:tcW w:w="2785" w:type="dxa"/>
          </w:tcPr>
          <w:p w14:paraId="6DD81F1C"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172E71A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NSCLC, </w:t>
            </w:r>
            <w:r>
              <w:rPr>
                <w:rFonts w:eastAsia="Calibri" w:cs="Times New Roman"/>
                <w:color w:val="000000" w:themeColor="text1"/>
                <w:szCs w:val="24"/>
              </w:rPr>
              <w:t>p</w:t>
            </w:r>
            <w:r w:rsidRPr="00F10C37">
              <w:rPr>
                <w:rFonts w:eastAsia="Calibri" w:cs="Times New Roman"/>
                <w:color w:val="000000" w:themeColor="text1"/>
                <w:szCs w:val="24"/>
              </w:rPr>
              <w:t>ancreatic cancer.</w:t>
            </w:r>
          </w:p>
        </w:tc>
      </w:tr>
      <w:tr w:rsidR="005D59D6" w:rsidRPr="00F10C37" w14:paraId="7B78E4EC" w14:textId="77777777" w:rsidTr="002D6DD7">
        <w:trPr>
          <w:jc w:val="center"/>
        </w:trPr>
        <w:tc>
          <w:tcPr>
            <w:tcW w:w="2785" w:type="dxa"/>
          </w:tcPr>
          <w:p w14:paraId="3ED8C696"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1D47463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 xml:space="preserve">NSCLC: </w:t>
            </w:r>
            <w:r w:rsidRPr="00F10C37">
              <w:rPr>
                <w:rFonts w:eastAsia="Calibri" w:cs="Times New Roman"/>
                <w:color w:val="000000" w:themeColor="text1"/>
                <w:szCs w:val="24"/>
              </w:rPr>
              <w:t>150 mg/day PO. For elderly or frail patients, low-dose erlotinib at 50 mg/day may be considered.</w:t>
            </w:r>
          </w:p>
          <w:p w14:paraId="525E01D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Pancreatic cancer</w:t>
            </w:r>
            <w:r w:rsidRPr="00F10C37">
              <w:rPr>
                <w:rFonts w:eastAsia="Calibri" w:cs="Times New Roman"/>
                <w:color w:val="000000" w:themeColor="text1"/>
                <w:szCs w:val="24"/>
              </w:rPr>
              <w:t>: Oral, 100 mg once daily.</w:t>
            </w:r>
          </w:p>
        </w:tc>
      </w:tr>
      <w:tr w:rsidR="005D59D6" w:rsidRPr="00F10C37" w14:paraId="2C9660D5" w14:textId="77777777" w:rsidTr="002D6DD7">
        <w:trPr>
          <w:jc w:val="center"/>
        </w:trPr>
        <w:tc>
          <w:tcPr>
            <w:tcW w:w="2785" w:type="dxa"/>
          </w:tcPr>
          <w:p w14:paraId="67F339C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78FD684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w:t>
            </w:r>
          </w:p>
        </w:tc>
      </w:tr>
      <w:tr w:rsidR="005D59D6" w:rsidRPr="00F10C37" w14:paraId="21CBB527" w14:textId="77777777" w:rsidTr="002D6DD7">
        <w:trPr>
          <w:jc w:val="center"/>
        </w:trPr>
        <w:tc>
          <w:tcPr>
            <w:tcW w:w="2785" w:type="dxa"/>
          </w:tcPr>
          <w:p w14:paraId="200D9AB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44F5B91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Phenobarbital, phenytoin, carbamazepine, rifampicin, St. John’s Wort, ketoconazole, macrolides, PPIs, H2-blockers, antacids, HIV-protease inhibitors, Ciprofloxacilin, grape fruit juice and warfarin. </w:t>
            </w:r>
          </w:p>
        </w:tc>
      </w:tr>
      <w:tr w:rsidR="005D59D6" w:rsidRPr="00F10C37" w14:paraId="7B7672F2" w14:textId="77777777" w:rsidTr="002D6DD7">
        <w:trPr>
          <w:jc w:val="center"/>
        </w:trPr>
        <w:tc>
          <w:tcPr>
            <w:tcW w:w="2785" w:type="dxa"/>
          </w:tcPr>
          <w:p w14:paraId="1EF1594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2BFBF1C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Allopecia, diarrhea, skin reaction, eye inflammation, haemorrhage, nausea, vomiting, mucositis, renal impairment, pulmonary toxicity.</w:t>
            </w:r>
          </w:p>
        </w:tc>
      </w:tr>
      <w:tr w:rsidR="005D59D6" w:rsidRPr="00F10C37" w14:paraId="7FB420D0" w14:textId="77777777" w:rsidTr="002D6DD7">
        <w:trPr>
          <w:jc w:val="center"/>
        </w:trPr>
        <w:tc>
          <w:tcPr>
            <w:tcW w:w="2785" w:type="dxa"/>
          </w:tcPr>
          <w:p w14:paraId="0A24951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387871D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Smoking, pregnancy and breastfeeding</w:t>
            </w:r>
            <w:r>
              <w:rPr>
                <w:rFonts w:eastAsia="Calibri" w:cs="Times New Roman"/>
                <w:color w:val="000000" w:themeColor="text1"/>
                <w:szCs w:val="24"/>
              </w:rPr>
              <w:t xml:space="preserve">, </w:t>
            </w:r>
            <w:r w:rsidRPr="00F10C37">
              <w:rPr>
                <w:rFonts w:eastAsia="Calibri" w:cs="Times New Roman"/>
                <w:color w:val="000000" w:themeColor="text1"/>
                <w:szCs w:val="24"/>
              </w:rPr>
              <w:t>pulmonary</w:t>
            </w:r>
            <w:r>
              <w:rPr>
                <w:rFonts w:eastAsia="Calibri" w:cs="Times New Roman"/>
                <w:color w:val="000000" w:themeColor="text1"/>
                <w:szCs w:val="24"/>
              </w:rPr>
              <w:t xml:space="preserve"> disorder</w:t>
            </w:r>
            <w:r w:rsidRPr="00F10C37">
              <w:rPr>
                <w:rFonts w:eastAsia="Calibri" w:cs="Times New Roman"/>
                <w:color w:val="000000" w:themeColor="text1"/>
                <w:szCs w:val="24"/>
              </w:rPr>
              <w:t xml:space="preserve">, renal and liver impairment. </w:t>
            </w:r>
          </w:p>
        </w:tc>
      </w:tr>
      <w:tr w:rsidR="005D59D6" w:rsidRPr="00F10C37" w14:paraId="38CB9B44" w14:textId="77777777" w:rsidTr="002D6DD7">
        <w:trPr>
          <w:jc w:val="center"/>
        </w:trPr>
        <w:tc>
          <w:tcPr>
            <w:tcW w:w="2785" w:type="dxa"/>
          </w:tcPr>
          <w:p w14:paraId="3C5BD85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2A87DA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 °C. Protect from moisture and light.</w:t>
            </w:r>
          </w:p>
        </w:tc>
      </w:tr>
      <w:tr w:rsidR="005D59D6" w:rsidRPr="00F10C37" w14:paraId="6D9B2BE8" w14:textId="77777777" w:rsidTr="002D6DD7">
        <w:trPr>
          <w:jc w:val="center"/>
        </w:trPr>
        <w:tc>
          <w:tcPr>
            <w:tcW w:w="9558" w:type="dxa"/>
            <w:gridSpan w:val="2"/>
          </w:tcPr>
          <w:p w14:paraId="76106261"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Ibrutinib</w:t>
            </w:r>
          </w:p>
        </w:tc>
      </w:tr>
      <w:tr w:rsidR="005D59D6" w:rsidRPr="00F10C37" w14:paraId="24BA7BAB" w14:textId="77777777" w:rsidTr="002D6DD7">
        <w:trPr>
          <w:jc w:val="center"/>
        </w:trPr>
        <w:tc>
          <w:tcPr>
            <w:tcW w:w="2785" w:type="dxa"/>
          </w:tcPr>
          <w:p w14:paraId="74F0491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41318B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tyrosine kinase inhibitor</w:t>
            </w:r>
          </w:p>
        </w:tc>
      </w:tr>
      <w:tr w:rsidR="005D59D6" w:rsidRPr="00F10C37" w14:paraId="4090474E" w14:textId="77777777" w:rsidTr="002D6DD7">
        <w:trPr>
          <w:jc w:val="center"/>
        </w:trPr>
        <w:tc>
          <w:tcPr>
            <w:tcW w:w="2785" w:type="dxa"/>
          </w:tcPr>
          <w:p w14:paraId="21270F6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72870323"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Capsule: 140 mg</w:t>
            </w:r>
          </w:p>
        </w:tc>
      </w:tr>
      <w:tr w:rsidR="005D59D6" w:rsidRPr="00F10C37" w14:paraId="2DAE69CD" w14:textId="77777777" w:rsidTr="002D6DD7">
        <w:trPr>
          <w:jc w:val="center"/>
        </w:trPr>
        <w:tc>
          <w:tcPr>
            <w:tcW w:w="2785" w:type="dxa"/>
          </w:tcPr>
          <w:p w14:paraId="7A0C6342"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4848D8B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Mantle cell lymphoma</w:t>
            </w:r>
            <w:r>
              <w:rPr>
                <w:rFonts w:eastAsia="Calibri" w:cs="Times New Roman"/>
                <w:color w:val="000000" w:themeColor="text1"/>
                <w:szCs w:val="24"/>
              </w:rPr>
              <w:t>,</w:t>
            </w:r>
            <w:r w:rsidRPr="00F10C37">
              <w:rPr>
                <w:rFonts w:eastAsia="Calibri" w:cs="Times New Roman"/>
                <w:color w:val="000000" w:themeColor="text1"/>
                <w:szCs w:val="24"/>
              </w:rPr>
              <w:t xml:space="preserve"> </w:t>
            </w:r>
            <w:r>
              <w:rPr>
                <w:rFonts w:eastAsia="Calibri" w:cs="Times New Roman"/>
                <w:color w:val="000000" w:themeColor="text1"/>
                <w:szCs w:val="24"/>
              </w:rPr>
              <w:t>c</w:t>
            </w:r>
            <w:r w:rsidRPr="00F10C37">
              <w:rPr>
                <w:rFonts w:eastAsia="Calibri" w:cs="Times New Roman"/>
                <w:color w:val="000000" w:themeColor="text1"/>
                <w:szCs w:val="24"/>
              </w:rPr>
              <w:t>hronic lymphocytic leukaemia.</w:t>
            </w:r>
          </w:p>
        </w:tc>
      </w:tr>
      <w:tr w:rsidR="005D59D6" w:rsidRPr="00F10C37" w14:paraId="01B46FE7" w14:textId="77777777" w:rsidTr="002D6DD7">
        <w:trPr>
          <w:jc w:val="center"/>
        </w:trPr>
        <w:tc>
          <w:tcPr>
            <w:tcW w:w="2785" w:type="dxa"/>
          </w:tcPr>
          <w:p w14:paraId="171DB358"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6975F096" w14:textId="77777777" w:rsidR="005D59D6" w:rsidRPr="00F10C37" w:rsidRDefault="005D59D6" w:rsidP="002D6DD7">
            <w:pPr>
              <w:contextualSpacing/>
              <w:jc w:val="both"/>
              <w:rPr>
                <w:rFonts w:eastAsia="Calibri" w:cs="Times New Roman"/>
                <w:b/>
                <w:bCs/>
                <w:color w:val="000000" w:themeColor="text1"/>
                <w:szCs w:val="24"/>
              </w:rPr>
            </w:pPr>
            <w:r w:rsidRPr="00F10C37">
              <w:rPr>
                <w:rFonts w:eastAsia="Calibri" w:cs="Times New Roman"/>
                <w:b/>
                <w:color w:val="000000" w:themeColor="text1"/>
                <w:szCs w:val="24"/>
              </w:rPr>
              <w:t>Mantle cell lymphoma</w:t>
            </w:r>
            <w:r>
              <w:rPr>
                <w:rFonts w:eastAsia="Calibri" w:cs="Times New Roman"/>
                <w:b/>
                <w:color w:val="000000" w:themeColor="text1"/>
                <w:szCs w:val="24"/>
              </w:rPr>
              <w:t>:</w:t>
            </w:r>
          </w:p>
          <w:p w14:paraId="6C9B9E7B" w14:textId="77777777" w:rsidR="005D59D6" w:rsidRPr="00F10C37" w:rsidRDefault="005D59D6" w:rsidP="003D3F76">
            <w:pPr>
              <w:pStyle w:val="ListParagraph"/>
              <w:numPr>
                <w:ilvl w:val="0"/>
                <w:numId w:val="11"/>
              </w:numPr>
              <w:spacing w:line="360" w:lineRule="auto"/>
              <w:ind w:left="0"/>
              <w:contextualSpacing/>
              <w:rPr>
                <w:rFonts w:eastAsia="Calibri"/>
                <w:bCs/>
                <w:color w:val="000000" w:themeColor="text1"/>
                <w:szCs w:val="24"/>
              </w:rPr>
            </w:pPr>
            <w:r w:rsidRPr="00F10C37">
              <w:rPr>
                <w:rFonts w:eastAsia="Calibri"/>
                <w:bCs/>
                <w:color w:val="000000" w:themeColor="text1"/>
                <w:szCs w:val="24"/>
              </w:rPr>
              <w:t>Adult: 560 mg once daily, for dose adjustments due to side-effects.</w:t>
            </w:r>
          </w:p>
          <w:p w14:paraId="291BB56B" w14:textId="77777777" w:rsidR="005D59D6" w:rsidRPr="00F10C37" w:rsidRDefault="005D59D6" w:rsidP="002D6DD7">
            <w:pPr>
              <w:contextualSpacing/>
              <w:jc w:val="both"/>
              <w:rPr>
                <w:rFonts w:eastAsia="Calibri" w:cs="Times New Roman"/>
                <w:b/>
                <w:bCs/>
                <w:color w:val="000000" w:themeColor="text1"/>
                <w:szCs w:val="24"/>
              </w:rPr>
            </w:pPr>
            <w:r w:rsidRPr="00F10C37">
              <w:rPr>
                <w:rFonts w:eastAsia="Calibri" w:cs="Times New Roman"/>
                <w:b/>
                <w:bCs/>
                <w:color w:val="000000" w:themeColor="text1"/>
                <w:szCs w:val="24"/>
              </w:rPr>
              <w:t>Chronic lymphocytic leukaemia</w:t>
            </w:r>
            <w:r>
              <w:rPr>
                <w:rFonts w:eastAsia="Calibri" w:cs="Times New Roman"/>
                <w:b/>
                <w:bCs/>
                <w:color w:val="000000" w:themeColor="text1"/>
                <w:szCs w:val="24"/>
              </w:rPr>
              <w:t>:</w:t>
            </w:r>
          </w:p>
          <w:p w14:paraId="270B9088" w14:textId="77777777" w:rsidR="005D59D6" w:rsidRPr="00F10C37" w:rsidRDefault="005D59D6" w:rsidP="003D3F76">
            <w:pPr>
              <w:pStyle w:val="ListParagraph"/>
              <w:numPr>
                <w:ilvl w:val="0"/>
                <w:numId w:val="11"/>
              </w:numPr>
              <w:spacing w:line="360" w:lineRule="auto"/>
              <w:ind w:left="0"/>
              <w:contextualSpacing/>
              <w:rPr>
                <w:rFonts w:eastAsia="Calibri"/>
                <w:bCs/>
                <w:color w:val="000000" w:themeColor="text1"/>
                <w:szCs w:val="24"/>
              </w:rPr>
            </w:pPr>
            <w:r w:rsidRPr="00F10C37">
              <w:rPr>
                <w:rFonts w:eastAsia="Calibri"/>
                <w:bCs/>
                <w:color w:val="000000" w:themeColor="text1"/>
                <w:szCs w:val="24"/>
              </w:rPr>
              <w:t>Adult: 420 mg once daily, for dose adjustments due to side-effects.</w:t>
            </w:r>
          </w:p>
        </w:tc>
      </w:tr>
      <w:tr w:rsidR="005D59D6" w:rsidRPr="00F10C37" w14:paraId="709BE8D1" w14:textId="77777777" w:rsidTr="002D6DD7">
        <w:trPr>
          <w:jc w:val="center"/>
        </w:trPr>
        <w:tc>
          <w:tcPr>
            <w:tcW w:w="2785" w:type="dxa"/>
          </w:tcPr>
          <w:p w14:paraId="023590C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5BFF6A3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the </w:t>
            </w:r>
            <w:r>
              <w:rPr>
                <w:rFonts w:eastAsia="Calibri" w:cs="Times New Roman"/>
                <w:color w:val="000000" w:themeColor="text1"/>
                <w:szCs w:val="24"/>
              </w:rPr>
              <w:t>drug</w:t>
            </w:r>
            <w:r w:rsidRPr="00F10C37">
              <w:rPr>
                <w:rFonts w:eastAsia="Calibri" w:cs="Times New Roman"/>
                <w:color w:val="000000" w:themeColor="text1"/>
                <w:szCs w:val="24"/>
              </w:rPr>
              <w:t>.</w:t>
            </w:r>
          </w:p>
        </w:tc>
      </w:tr>
      <w:tr w:rsidR="005D59D6" w:rsidRPr="00F10C37" w14:paraId="0E61EE47" w14:textId="77777777" w:rsidTr="002D6DD7">
        <w:trPr>
          <w:jc w:val="center"/>
        </w:trPr>
        <w:tc>
          <w:tcPr>
            <w:tcW w:w="2785" w:type="dxa"/>
          </w:tcPr>
          <w:p w14:paraId="283F8EB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2953C96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Ketoconazole, itraconazole, clarithromycin, erythromycin, rifampin, phenytoin, phenobarbital, carbamazepine, and St. John’s </w:t>
            </w:r>
            <w:r w:rsidRPr="00F10C37">
              <w:rPr>
                <w:rFonts w:eastAsia="Calibri" w:cs="Times New Roman"/>
                <w:color w:val="000000" w:themeColor="text1"/>
                <w:szCs w:val="24"/>
              </w:rPr>
              <w:lastRenderedPageBreak/>
              <w:t>Wort, amiodarone, ciprofloxacin</w:t>
            </w:r>
            <w:r>
              <w:rPr>
                <w:rFonts w:eastAsia="Calibri" w:cs="Times New Roman"/>
                <w:color w:val="000000" w:themeColor="text1"/>
                <w:szCs w:val="24"/>
              </w:rPr>
              <w:t xml:space="preserve">, </w:t>
            </w:r>
            <w:r w:rsidRPr="00F10C37">
              <w:rPr>
                <w:rFonts w:eastAsia="Calibri" w:cs="Times New Roman"/>
                <w:color w:val="000000" w:themeColor="text1"/>
                <w:szCs w:val="24"/>
              </w:rPr>
              <w:t>grape fruit juice.</w:t>
            </w:r>
          </w:p>
        </w:tc>
      </w:tr>
      <w:tr w:rsidR="005D59D6" w:rsidRPr="00F10C37" w14:paraId="5A7D10E5" w14:textId="77777777" w:rsidTr="002D6DD7">
        <w:trPr>
          <w:jc w:val="center"/>
        </w:trPr>
        <w:tc>
          <w:tcPr>
            <w:tcW w:w="2785" w:type="dxa"/>
          </w:tcPr>
          <w:p w14:paraId="5DFED15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6773" w:type="dxa"/>
            <w:shd w:val="clear" w:color="auto" w:fill="auto"/>
          </w:tcPr>
          <w:p w14:paraId="13B0DAC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Arrhythmias, arthralgia, broken nails, CNS haemorrhage, constipation, diarrhoea, dizziness, fever, haemorrhage, headache, hypertension, hyperuricemia, increased leucocytes, increased risk of infection, interstitial lung disease, muscle spasms, musculoskeletal pain, nausea, neoplasms neutropenia, peripheral neuropathy, peripheral oedema, sepsis, skin reactions, stomatitis, thrombocytopenia, tumour lysis syndrome, vision blurred, vomiting, </w:t>
            </w:r>
          </w:p>
          <w:p w14:paraId="02C4FF2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angioedema, hepatitis B reactivation, leukostasis syndrome, panniculitis.</w:t>
            </w:r>
          </w:p>
        </w:tc>
      </w:tr>
      <w:tr w:rsidR="005D59D6" w:rsidRPr="00F10C37" w14:paraId="7B29249E" w14:textId="77777777" w:rsidTr="002D6DD7">
        <w:trPr>
          <w:jc w:val="center"/>
        </w:trPr>
        <w:tc>
          <w:tcPr>
            <w:tcW w:w="2785" w:type="dxa"/>
          </w:tcPr>
          <w:p w14:paraId="0AFE14F6"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5076DDD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Congenital short QT syndrome, risk of leukostasis., and personal history of congenital short QT syndrome, risk of haemorrhagic events, pregnancy and breastfeeding.</w:t>
            </w:r>
          </w:p>
        </w:tc>
      </w:tr>
      <w:tr w:rsidR="005D59D6" w:rsidRPr="00F10C37" w14:paraId="0362CF45" w14:textId="77777777" w:rsidTr="002D6DD7">
        <w:trPr>
          <w:jc w:val="center"/>
        </w:trPr>
        <w:tc>
          <w:tcPr>
            <w:tcW w:w="2785" w:type="dxa"/>
          </w:tcPr>
          <w:p w14:paraId="746EC55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5895BC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between 15°C and 30°C. Protect from moisture and light.</w:t>
            </w:r>
          </w:p>
        </w:tc>
      </w:tr>
      <w:tr w:rsidR="005D59D6" w:rsidRPr="00F10C37" w14:paraId="6BE21DF7" w14:textId="77777777" w:rsidTr="002D6DD7">
        <w:trPr>
          <w:jc w:val="center"/>
        </w:trPr>
        <w:tc>
          <w:tcPr>
            <w:tcW w:w="9558" w:type="dxa"/>
            <w:gridSpan w:val="2"/>
          </w:tcPr>
          <w:p w14:paraId="00B64783"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Imatinib</w:t>
            </w:r>
          </w:p>
        </w:tc>
      </w:tr>
      <w:tr w:rsidR="005D59D6" w:rsidRPr="00F10C37" w14:paraId="7A0A0A56" w14:textId="77777777" w:rsidTr="002D6DD7">
        <w:trPr>
          <w:jc w:val="center"/>
        </w:trPr>
        <w:tc>
          <w:tcPr>
            <w:tcW w:w="2785" w:type="dxa"/>
          </w:tcPr>
          <w:p w14:paraId="5CA481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2E07BDD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tyrosine kinase inhibitor</w:t>
            </w:r>
          </w:p>
        </w:tc>
      </w:tr>
      <w:tr w:rsidR="005D59D6" w:rsidRPr="00F10C37" w14:paraId="2A4A645A" w14:textId="77777777" w:rsidTr="002D6DD7">
        <w:trPr>
          <w:jc w:val="center"/>
        </w:trPr>
        <w:tc>
          <w:tcPr>
            <w:tcW w:w="2785" w:type="dxa"/>
          </w:tcPr>
          <w:p w14:paraId="6E3B786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7A870EA9"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Tablet: 100 mg, 400mg</w:t>
            </w:r>
          </w:p>
        </w:tc>
      </w:tr>
      <w:tr w:rsidR="005D59D6" w:rsidRPr="00F10C37" w14:paraId="08A44F4B" w14:textId="77777777" w:rsidTr="002D6DD7">
        <w:trPr>
          <w:jc w:val="center"/>
        </w:trPr>
        <w:tc>
          <w:tcPr>
            <w:tcW w:w="2785" w:type="dxa"/>
          </w:tcPr>
          <w:p w14:paraId="02F8AD63"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1920568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w:t>
            </w:r>
            <w:r>
              <w:rPr>
                <w:rFonts w:eastAsia="Calibri" w:cs="Times New Roman"/>
                <w:color w:val="000000" w:themeColor="text1"/>
                <w:szCs w:val="24"/>
              </w:rPr>
              <w:t>ML</w:t>
            </w:r>
            <w:r w:rsidRPr="00F10C37">
              <w:rPr>
                <w:rFonts w:eastAsia="Calibri" w:cs="Times New Roman"/>
                <w:color w:val="000000" w:themeColor="text1"/>
                <w:szCs w:val="24"/>
              </w:rPr>
              <w:t xml:space="preserve">, Ph+ ALL, </w:t>
            </w:r>
            <w:r>
              <w:rPr>
                <w:rFonts w:eastAsia="Calibri" w:cs="Times New Roman"/>
                <w:color w:val="000000" w:themeColor="text1"/>
                <w:szCs w:val="24"/>
              </w:rPr>
              <w:t>m</w:t>
            </w:r>
            <w:r w:rsidRPr="00F10C37">
              <w:rPr>
                <w:rFonts w:eastAsia="Calibri" w:cs="Times New Roman"/>
                <w:color w:val="000000" w:themeColor="text1"/>
                <w:szCs w:val="24"/>
              </w:rPr>
              <w:t xml:space="preserve">yelodysplastic/myeloproliferative diseases (MDS/MPD), </w:t>
            </w:r>
            <w:r>
              <w:rPr>
                <w:rFonts w:eastAsia="Calibri" w:cs="Times New Roman"/>
                <w:color w:val="000000" w:themeColor="text1"/>
                <w:szCs w:val="24"/>
              </w:rPr>
              <w:t>h</w:t>
            </w:r>
            <w:r w:rsidRPr="00F10C37">
              <w:rPr>
                <w:rFonts w:eastAsia="Calibri" w:cs="Times New Roman"/>
                <w:color w:val="000000" w:themeColor="text1"/>
                <w:szCs w:val="24"/>
              </w:rPr>
              <w:t xml:space="preserve">ypereosinophilic syndrome/chronic eosinophilic leukemia (HES/CEL), </w:t>
            </w:r>
            <w:r>
              <w:rPr>
                <w:rFonts w:eastAsia="Calibri" w:cs="Times New Roman"/>
                <w:color w:val="000000" w:themeColor="text1"/>
                <w:szCs w:val="24"/>
              </w:rPr>
              <w:t>g</w:t>
            </w:r>
            <w:r w:rsidRPr="00F10C37">
              <w:rPr>
                <w:rFonts w:eastAsia="Calibri" w:cs="Times New Roman"/>
                <w:color w:val="000000" w:themeColor="text1"/>
                <w:szCs w:val="24"/>
              </w:rPr>
              <w:t xml:space="preserve">astrointestinal stromal tumors (GIST), </w:t>
            </w:r>
            <w:r>
              <w:rPr>
                <w:rFonts w:eastAsia="Calibri" w:cs="Times New Roman"/>
                <w:color w:val="000000" w:themeColor="text1"/>
                <w:szCs w:val="24"/>
              </w:rPr>
              <w:t>d</w:t>
            </w:r>
            <w:r w:rsidRPr="00F10C37">
              <w:rPr>
                <w:rFonts w:eastAsia="Calibri" w:cs="Times New Roman"/>
                <w:color w:val="000000" w:themeColor="text1"/>
                <w:szCs w:val="24"/>
              </w:rPr>
              <w:t>ermatofibrosarcoma protuberans.</w:t>
            </w:r>
          </w:p>
        </w:tc>
      </w:tr>
      <w:tr w:rsidR="005D59D6" w:rsidRPr="00F10C37" w14:paraId="6EF39AEC" w14:textId="77777777" w:rsidTr="002D6DD7">
        <w:trPr>
          <w:jc w:val="center"/>
        </w:trPr>
        <w:tc>
          <w:tcPr>
            <w:tcW w:w="2785" w:type="dxa"/>
          </w:tcPr>
          <w:p w14:paraId="228296FC"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06E717DE"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C</w:t>
            </w:r>
            <w:r>
              <w:rPr>
                <w:rFonts w:eastAsia="Calibri" w:cs="Times New Roman"/>
                <w:b/>
                <w:bCs/>
                <w:color w:val="000000" w:themeColor="text1"/>
                <w:szCs w:val="24"/>
              </w:rPr>
              <w:t>ML</w:t>
            </w:r>
            <w:r w:rsidRPr="00F10C37">
              <w:rPr>
                <w:rFonts w:eastAsia="Calibri" w:cs="Times New Roman"/>
                <w:color w:val="000000" w:themeColor="text1"/>
                <w:szCs w:val="24"/>
              </w:rPr>
              <w:t>: 300-400 mg/day for patients in chronic phase C</w:t>
            </w:r>
            <w:r>
              <w:rPr>
                <w:rFonts w:eastAsia="Calibri" w:cs="Times New Roman"/>
                <w:color w:val="000000" w:themeColor="text1"/>
                <w:szCs w:val="24"/>
              </w:rPr>
              <w:t>ML</w:t>
            </w:r>
            <w:r w:rsidRPr="00F10C37">
              <w:rPr>
                <w:rFonts w:eastAsia="Calibri" w:cs="Times New Roman"/>
                <w:color w:val="000000" w:themeColor="text1"/>
                <w:szCs w:val="24"/>
              </w:rPr>
              <w:t xml:space="preserve"> and 600-800 mg/day in divided dose for patients in accelerated phase or blast crisis. </w:t>
            </w:r>
          </w:p>
          <w:p w14:paraId="6A8B5CB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GIST and MDS/MPD</w:t>
            </w:r>
            <w:r w:rsidRPr="00F10C37">
              <w:rPr>
                <w:rFonts w:eastAsia="Calibri" w:cs="Times New Roman"/>
                <w:color w:val="000000" w:themeColor="text1"/>
                <w:szCs w:val="24"/>
              </w:rPr>
              <w:t>: 400 mg/day.</w:t>
            </w:r>
          </w:p>
          <w:p w14:paraId="7F70B3BD"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HES/CEL</w:t>
            </w:r>
            <w:r w:rsidRPr="00F10C37">
              <w:rPr>
                <w:rFonts w:eastAsia="Calibri" w:cs="Times New Roman"/>
                <w:color w:val="000000" w:themeColor="text1"/>
                <w:szCs w:val="24"/>
              </w:rPr>
              <w:t>: 100-400 mg/day.</w:t>
            </w:r>
          </w:p>
          <w:p w14:paraId="21AC630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Ph+ ALL</w:t>
            </w:r>
            <w:r w:rsidRPr="00F10C37">
              <w:rPr>
                <w:rFonts w:eastAsia="Calibri" w:cs="Times New Roman"/>
                <w:color w:val="000000" w:themeColor="text1"/>
                <w:szCs w:val="24"/>
              </w:rPr>
              <w:t>:  600 mg/day.</w:t>
            </w:r>
          </w:p>
          <w:p w14:paraId="6D5EF540"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Dermatofibrosarcoma protuberans</w:t>
            </w:r>
            <w:r w:rsidRPr="00F10C37">
              <w:rPr>
                <w:rFonts w:eastAsia="Calibri" w:cs="Times New Roman"/>
                <w:color w:val="000000" w:themeColor="text1"/>
                <w:szCs w:val="24"/>
              </w:rPr>
              <w:t>: 400mg twice daily.</w:t>
            </w:r>
          </w:p>
        </w:tc>
      </w:tr>
      <w:tr w:rsidR="005D59D6" w:rsidRPr="00F10C37" w14:paraId="547F0C6D" w14:textId="77777777" w:rsidTr="002D6DD7">
        <w:trPr>
          <w:jc w:val="center"/>
        </w:trPr>
        <w:tc>
          <w:tcPr>
            <w:tcW w:w="2785" w:type="dxa"/>
          </w:tcPr>
          <w:p w14:paraId="128B478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04448A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w:t>
            </w:r>
          </w:p>
        </w:tc>
      </w:tr>
      <w:tr w:rsidR="005D59D6" w:rsidRPr="00F10C37" w14:paraId="760CC809" w14:textId="77777777" w:rsidTr="002D6DD7">
        <w:trPr>
          <w:jc w:val="center"/>
        </w:trPr>
        <w:tc>
          <w:tcPr>
            <w:tcW w:w="2785" w:type="dxa"/>
          </w:tcPr>
          <w:p w14:paraId="290C9E7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6428388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Ergotamine, calcium channel blockers (dihydropyridines), statins </w:t>
            </w:r>
            <w:r w:rsidRPr="00F10C37">
              <w:rPr>
                <w:rFonts w:eastAsia="Calibri" w:cs="Times New Roman"/>
                <w:color w:val="000000" w:themeColor="text1"/>
                <w:szCs w:val="24"/>
              </w:rPr>
              <w:lastRenderedPageBreak/>
              <w:t>ketoconazole, itraconazole, clarithromycin, erythromycin, rifampin, phenytoin, phenobarbital, carbamazepine, and St. John’s Wort.</w:t>
            </w:r>
          </w:p>
        </w:tc>
      </w:tr>
      <w:tr w:rsidR="005D59D6" w:rsidRPr="00F10C37" w14:paraId="1FFB6DAC" w14:textId="77777777" w:rsidTr="002D6DD7">
        <w:trPr>
          <w:jc w:val="center"/>
        </w:trPr>
        <w:tc>
          <w:tcPr>
            <w:tcW w:w="2785" w:type="dxa"/>
          </w:tcPr>
          <w:p w14:paraId="6363084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Side effects</w:t>
            </w:r>
          </w:p>
        </w:tc>
        <w:tc>
          <w:tcPr>
            <w:tcW w:w="6773" w:type="dxa"/>
            <w:shd w:val="clear" w:color="auto" w:fill="auto"/>
          </w:tcPr>
          <w:p w14:paraId="6941E50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Nausea and vomiting, ankle, periorbital oedema, fluid retention, diarrhoea, neutropenia, thrombocytopenia, skin reaction, insomnia, depression, and suicidal ideation.</w:t>
            </w:r>
          </w:p>
        </w:tc>
      </w:tr>
      <w:tr w:rsidR="005D59D6" w:rsidRPr="00F10C37" w14:paraId="17F2A540" w14:textId="77777777" w:rsidTr="002D6DD7">
        <w:trPr>
          <w:jc w:val="center"/>
        </w:trPr>
        <w:tc>
          <w:tcPr>
            <w:tcW w:w="2785" w:type="dxa"/>
          </w:tcPr>
          <w:p w14:paraId="0BAB213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3F25607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Cardiac disease, hepatitis B infection, history of renal failure, risk factors for heart failure, pregnancy and breastfeeding. Monitor signs and symptoms of fluid retention, hepatic and renal impairment, CBC, cardiac function, depressive symptoms and suicidal ideation.</w:t>
            </w:r>
          </w:p>
        </w:tc>
      </w:tr>
      <w:tr w:rsidR="005D59D6" w:rsidRPr="00F10C37" w14:paraId="61C2D2F8" w14:textId="77777777" w:rsidTr="002D6DD7">
        <w:trPr>
          <w:jc w:val="center"/>
        </w:trPr>
        <w:tc>
          <w:tcPr>
            <w:tcW w:w="2785" w:type="dxa"/>
          </w:tcPr>
          <w:p w14:paraId="52BA50E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50BF9BA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moisture and light.</w:t>
            </w:r>
          </w:p>
        </w:tc>
      </w:tr>
      <w:tr w:rsidR="005D59D6" w:rsidRPr="00F10C37" w14:paraId="3074FCFA" w14:textId="77777777" w:rsidTr="002D6DD7">
        <w:trPr>
          <w:jc w:val="center"/>
        </w:trPr>
        <w:tc>
          <w:tcPr>
            <w:tcW w:w="9558" w:type="dxa"/>
            <w:gridSpan w:val="2"/>
          </w:tcPr>
          <w:p w14:paraId="0A245F9F"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Nilotinib</w:t>
            </w:r>
          </w:p>
        </w:tc>
      </w:tr>
      <w:tr w:rsidR="005D59D6" w:rsidRPr="00F10C37" w14:paraId="3CF9A2E7" w14:textId="77777777" w:rsidTr="002D6DD7">
        <w:trPr>
          <w:jc w:val="center"/>
        </w:trPr>
        <w:tc>
          <w:tcPr>
            <w:tcW w:w="2785" w:type="dxa"/>
          </w:tcPr>
          <w:p w14:paraId="1319CEB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601C691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tyrosine kinase inhibitor</w:t>
            </w:r>
          </w:p>
        </w:tc>
      </w:tr>
      <w:tr w:rsidR="005D59D6" w:rsidRPr="00F10C37" w14:paraId="53EABCDD" w14:textId="77777777" w:rsidTr="002D6DD7">
        <w:trPr>
          <w:jc w:val="center"/>
        </w:trPr>
        <w:tc>
          <w:tcPr>
            <w:tcW w:w="2785" w:type="dxa"/>
          </w:tcPr>
          <w:p w14:paraId="4FEB4D30"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10FCF90A"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Tablet: 150 mg, 200mg</w:t>
            </w:r>
          </w:p>
        </w:tc>
      </w:tr>
      <w:tr w:rsidR="005D59D6" w:rsidRPr="00F10C37" w14:paraId="3DBF2C77" w14:textId="77777777" w:rsidTr="002D6DD7">
        <w:trPr>
          <w:jc w:val="center"/>
        </w:trPr>
        <w:tc>
          <w:tcPr>
            <w:tcW w:w="2785" w:type="dxa"/>
          </w:tcPr>
          <w:p w14:paraId="6F5C4805"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4243CA9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Newly diagnosed Ph+ C</w:t>
            </w:r>
            <w:r>
              <w:rPr>
                <w:rFonts w:eastAsia="Calibri" w:cs="Times New Roman"/>
                <w:color w:val="000000" w:themeColor="text1"/>
                <w:szCs w:val="24"/>
              </w:rPr>
              <w:t>ML</w:t>
            </w:r>
            <w:r w:rsidRPr="00F10C37">
              <w:rPr>
                <w:rFonts w:eastAsia="Calibri" w:cs="Times New Roman"/>
                <w:color w:val="000000" w:themeColor="text1"/>
                <w:szCs w:val="24"/>
              </w:rPr>
              <w:t>, Ph+ C</w:t>
            </w:r>
            <w:r>
              <w:rPr>
                <w:rFonts w:eastAsia="Calibri" w:cs="Times New Roman"/>
                <w:color w:val="000000" w:themeColor="text1"/>
                <w:szCs w:val="24"/>
              </w:rPr>
              <w:t>ML</w:t>
            </w:r>
          </w:p>
        </w:tc>
      </w:tr>
      <w:tr w:rsidR="005D59D6" w:rsidRPr="00F10C37" w14:paraId="74DD2F87" w14:textId="77777777" w:rsidTr="002D6DD7">
        <w:trPr>
          <w:jc w:val="center"/>
        </w:trPr>
        <w:tc>
          <w:tcPr>
            <w:tcW w:w="2785" w:type="dxa"/>
          </w:tcPr>
          <w:p w14:paraId="6A199A82"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73495FCA"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Newly diagnosed Ph+ C</w:t>
            </w:r>
            <w:r>
              <w:rPr>
                <w:rFonts w:eastAsia="Calibri" w:cs="Times New Roman"/>
                <w:b/>
                <w:color w:val="000000" w:themeColor="text1"/>
                <w:szCs w:val="24"/>
              </w:rPr>
              <w:t>ML</w:t>
            </w:r>
            <w:r w:rsidRPr="00F10C37">
              <w:rPr>
                <w:rFonts w:eastAsia="Calibri" w:cs="Times New Roman"/>
                <w:color w:val="000000" w:themeColor="text1"/>
                <w:szCs w:val="24"/>
              </w:rPr>
              <w:t>:</w:t>
            </w:r>
          </w:p>
          <w:p w14:paraId="60ECBE2B"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 xml:space="preserve">Adult: </w:t>
            </w:r>
            <w:r w:rsidRPr="00F10C37">
              <w:rPr>
                <w:rFonts w:eastAsia="Calibri" w:cs="Times New Roman"/>
                <w:color w:val="000000" w:themeColor="text1"/>
                <w:szCs w:val="24"/>
              </w:rPr>
              <w:t xml:space="preserve">300 mg twice daily. For dose adjustments due to side-effects—consult product literature. </w:t>
            </w:r>
          </w:p>
          <w:p w14:paraId="75486623"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Child</w:t>
            </w:r>
            <w:r w:rsidRPr="00F10C37">
              <w:rPr>
                <w:rFonts w:eastAsia="Calibri" w:cs="Times New Roman"/>
                <w:color w:val="000000" w:themeColor="text1"/>
                <w:szCs w:val="24"/>
              </w:rPr>
              <w:t>: 230 mg/m2PO bid, rounded to the nearest 50-mg dose (max. single dose of 400 mg).</w:t>
            </w:r>
          </w:p>
          <w:p w14:paraId="758349D8" w14:textId="77777777" w:rsidR="005D59D6" w:rsidRPr="00F10C37" w:rsidRDefault="005D59D6" w:rsidP="002D6DD7">
            <w:pPr>
              <w:contextualSpacing/>
              <w:jc w:val="both"/>
              <w:rPr>
                <w:rFonts w:eastAsia="Calibri" w:cs="Times New Roman"/>
                <w:b/>
                <w:color w:val="000000" w:themeColor="text1"/>
                <w:szCs w:val="24"/>
              </w:rPr>
            </w:pPr>
            <w:r w:rsidRPr="00F10C37">
              <w:rPr>
                <w:rFonts w:eastAsia="Calibri" w:cs="Times New Roman"/>
                <w:b/>
                <w:color w:val="000000" w:themeColor="text1"/>
                <w:szCs w:val="24"/>
              </w:rPr>
              <w:t>Ph+ C</w:t>
            </w:r>
            <w:r>
              <w:rPr>
                <w:rFonts w:eastAsia="Calibri" w:cs="Times New Roman"/>
                <w:b/>
                <w:color w:val="000000" w:themeColor="text1"/>
                <w:szCs w:val="24"/>
              </w:rPr>
              <w:t>ML</w:t>
            </w:r>
          </w:p>
          <w:p w14:paraId="48B4CA7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Adult</w:t>
            </w:r>
            <w:r w:rsidRPr="00F10C37">
              <w:rPr>
                <w:rFonts w:eastAsia="Calibri" w:cs="Times New Roman"/>
                <w:color w:val="000000" w:themeColor="text1"/>
                <w:szCs w:val="24"/>
              </w:rPr>
              <w:t>: 400 mg twice daily. For dose adjustments due to side-effects—consult product literature.</w:t>
            </w:r>
          </w:p>
          <w:p w14:paraId="5AC93AA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Child &gt; 2 years</w:t>
            </w:r>
            <w:r w:rsidRPr="00F10C37">
              <w:rPr>
                <w:rFonts w:eastAsia="Calibri" w:cs="Times New Roman"/>
                <w:color w:val="000000" w:themeColor="text1"/>
                <w:szCs w:val="24"/>
              </w:rPr>
              <w:t>: 230 mg/m2 twice daily, rounded to the nearest 50 mg dose (to a max. single dose of 400 mg)</w:t>
            </w:r>
          </w:p>
        </w:tc>
      </w:tr>
      <w:tr w:rsidR="005D59D6" w:rsidRPr="00F10C37" w14:paraId="6F58F1E9" w14:textId="77777777" w:rsidTr="002D6DD7">
        <w:trPr>
          <w:jc w:val="center"/>
        </w:trPr>
        <w:tc>
          <w:tcPr>
            <w:tcW w:w="2785" w:type="dxa"/>
          </w:tcPr>
          <w:p w14:paraId="647533B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7F4E0669"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pregnancy.</w:t>
            </w:r>
          </w:p>
        </w:tc>
      </w:tr>
      <w:tr w:rsidR="005D59D6" w:rsidRPr="00F10C37" w14:paraId="1A78DBB1" w14:textId="77777777" w:rsidTr="002D6DD7">
        <w:trPr>
          <w:jc w:val="center"/>
        </w:trPr>
        <w:tc>
          <w:tcPr>
            <w:tcW w:w="2785" w:type="dxa"/>
          </w:tcPr>
          <w:p w14:paraId="42457CF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7ED708C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Refer to dasatinib above.</w:t>
            </w:r>
          </w:p>
        </w:tc>
      </w:tr>
      <w:tr w:rsidR="005D59D6" w:rsidRPr="00F10C37" w14:paraId="6884B5AF" w14:textId="77777777" w:rsidTr="002D6DD7">
        <w:trPr>
          <w:jc w:val="center"/>
        </w:trPr>
        <w:tc>
          <w:tcPr>
            <w:tcW w:w="2785" w:type="dxa"/>
          </w:tcPr>
          <w:p w14:paraId="2990D2A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33EEBAE5"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Refer to dasatinib above.</w:t>
            </w:r>
          </w:p>
        </w:tc>
      </w:tr>
      <w:tr w:rsidR="005D59D6" w:rsidRPr="00F10C37" w14:paraId="7ED478E2" w14:textId="77777777" w:rsidTr="002D6DD7">
        <w:trPr>
          <w:jc w:val="center"/>
        </w:trPr>
        <w:tc>
          <w:tcPr>
            <w:tcW w:w="2785" w:type="dxa"/>
          </w:tcPr>
          <w:p w14:paraId="463AFA4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5F9F56D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Refer to dasatinib above.</w:t>
            </w:r>
          </w:p>
        </w:tc>
      </w:tr>
      <w:tr w:rsidR="005D59D6" w:rsidRPr="00F10C37" w14:paraId="31994EC3" w14:textId="77777777" w:rsidTr="002D6DD7">
        <w:trPr>
          <w:jc w:val="center"/>
        </w:trPr>
        <w:tc>
          <w:tcPr>
            <w:tcW w:w="2785" w:type="dxa"/>
          </w:tcPr>
          <w:p w14:paraId="382E681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675B38A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below 30°C. Protect from moisture and light.</w:t>
            </w:r>
          </w:p>
        </w:tc>
      </w:tr>
      <w:tr w:rsidR="005D59D6" w:rsidRPr="00F10C37" w14:paraId="0888BE7A" w14:textId="77777777" w:rsidTr="002D6DD7">
        <w:trPr>
          <w:jc w:val="center"/>
        </w:trPr>
        <w:tc>
          <w:tcPr>
            <w:tcW w:w="9558" w:type="dxa"/>
            <w:gridSpan w:val="2"/>
          </w:tcPr>
          <w:p w14:paraId="616F5E7D"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shd w:val="clear" w:color="auto" w:fill="FFFFFF"/>
              </w:rPr>
              <w:lastRenderedPageBreak/>
              <w:t>Rituximab</w:t>
            </w:r>
          </w:p>
        </w:tc>
      </w:tr>
      <w:tr w:rsidR="005D59D6" w:rsidRPr="00F10C37" w14:paraId="36B45C92" w14:textId="77777777" w:rsidTr="002D6DD7">
        <w:trPr>
          <w:jc w:val="center"/>
        </w:trPr>
        <w:tc>
          <w:tcPr>
            <w:tcW w:w="2785" w:type="dxa"/>
          </w:tcPr>
          <w:p w14:paraId="00FFF25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76019B6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monoclonal antibody.</w:t>
            </w:r>
          </w:p>
        </w:tc>
      </w:tr>
      <w:tr w:rsidR="005D59D6" w:rsidRPr="00F10C37" w14:paraId="52AFB530" w14:textId="77777777" w:rsidTr="002D6DD7">
        <w:trPr>
          <w:jc w:val="center"/>
        </w:trPr>
        <w:tc>
          <w:tcPr>
            <w:tcW w:w="2785" w:type="dxa"/>
          </w:tcPr>
          <w:p w14:paraId="4050266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5DDF182F" w14:textId="77777777" w:rsidR="005D59D6" w:rsidRPr="00F10C37" w:rsidRDefault="005D59D6" w:rsidP="002D6DD7">
            <w:pPr>
              <w:jc w:val="both"/>
              <w:rPr>
                <w:rFonts w:eastAsia="Arial" w:cs="Times New Roman"/>
                <w:color w:val="000000" w:themeColor="text1"/>
                <w:szCs w:val="24"/>
              </w:rPr>
            </w:pPr>
            <w:r w:rsidRPr="00F10C37">
              <w:rPr>
                <w:rFonts w:eastAsia="Arial" w:cs="Times New Roman"/>
                <w:color w:val="000000" w:themeColor="text1"/>
                <w:szCs w:val="24"/>
              </w:rPr>
              <w:t xml:space="preserve">Injection (intravenous): 100 mg/10 </w:t>
            </w:r>
            <w:r>
              <w:rPr>
                <w:rFonts w:eastAsia="Arial" w:cs="Times New Roman"/>
                <w:color w:val="000000" w:themeColor="text1"/>
                <w:szCs w:val="24"/>
              </w:rPr>
              <w:t>ml</w:t>
            </w:r>
            <w:r w:rsidRPr="00F10C37">
              <w:rPr>
                <w:rFonts w:eastAsia="Arial" w:cs="Times New Roman"/>
                <w:color w:val="000000" w:themeColor="text1"/>
                <w:szCs w:val="24"/>
              </w:rPr>
              <w:t xml:space="preserve"> in 10 </w:t>
            </w:r>
            <w:r>
              <w:rPr>
                <w:rFonts w:eastAsia="Arial" w:cs="Times New Roman"/>
                <w:color w:val="000000" w:themeColor="text1"/>
                <w:szCs w:val="24"/>
              </w:rPr>
              <w:t>ml</w:t>
            </w:r>
            <w:r w:rsidRPr="00F10C37">
              <w:rPr>
                <w:rFonts w:eastAsia="Arial" w:cs="Times New Roman"/>
                <w:color w:val="000000" w:themeColor="text1"/>
                <w:szCs w:val="24"/>
              </w:rPr>
              <w:t xml:space="preserve"> vial, 500 mg/50 </w:t>
            </w:r>
            <w:r>
              <w:rPr>
                <w:rFonts w:eastAsia="Arial" w:cs="Times New Roman"/>
                <w:color w:val="000000" w:themeColor="text1"/>
                <w:szCs w:val="24"/>
              </w:rPr>
              <w:t>ml</w:t>
            </w:r>
            <w:r w:rsidRPr="00F10C37">
              <w:rPr>
                <w:rFonts w:eastAsia="Arial" w:cs="Times New Roman"/>
                <w:color w:val="000000" w:themeColor="text1"/>
                <w:szCs w:val="24"/>
              </w:rPr>
              <w:t xml:space="preserve"> in 50 </w:t>
            </w:r>
            <w:r>
              <w:rPr>
                <w:rFonts w:eastAsia="Arial" w:cs="Times New Roman"/>
                <w:color w:val="000000" w:themeColor="text1"/>
                <w:szCs w:val="24"/>
              </w:rPr>
              <w:t>ml</w:t>
            </w:r>
            <w:r w:rsidRPr="00F10C37">
              <w:rPr>
                <w:rFonts w:eastAsia="Arial" w:cs="Times New Roman"/>
                <w:color w:val="000000" w:themeColor="text1"/>
                <w:szCs w:val="24"/>
              </w:rPr>
              <w:t xml:space="preserve"> vial.</w:t>
            </w:r>
          </w:p>
        </w:tc>
      </w:tr>
      <w:tr w:rsidR="005D59D6" w:rsidRPr="00F10C37" w14:paraId="1FA59DDE" w14:textId="77777777" w:rsidTr="002D6DD7">
        <w:trPr>
          <w:jc w:val="center"/>
        </w:trPr>
        <w:tc>
          <w:tcPr>
            <w:tcW w:w="2785" w:type="dxa"/>
          </w:tcPr>
          <w:p w14:paraId="39C6E4C7"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1E43872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NHL, CLL, thrombotic thrombocytopenic purpura (TTP), Rheumatoid arthritis (RA).</w:t>
            </w:r>
          </w:p>
        </w:tc>
      </w:tr>
      <w:tr w:rsidR="005D59D6" w:rsidRPr="00F10C37" w14:paraId="429B1DB0" w14:textId="77777777" w:rsidTr="002D6DD7">
        <w:trPr>
          <w:jc w:val="center"/>
        </w:trPr>
        <w:tc>
          <w:tcPr>
            <w:tcW w:w="2785" w:type="dxa"/>
          </w:tcPr>
          <w:p w14:paraId="2FA6234B"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13A4BF5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bCs/>
                <w:color w:val="000000" w:themeColor="text1"/>
                <w:szCs w:val="24"/>
              </w:rPr>
              <w:t xml:space="preserve">NHL, CLL and </w:t>
            </w:r>
            <w:r w:rsidRPr="00F10C37">
              <w:rPr>
                <w:rFonts w:eastAsia="Calibri" w:cs="Times New Roman"/>
                <w:b/>
                <w:color w:val="000000" w:themeColor="text1"/>
                <w:szCs w:val="24"/>
              </w:rPr>
              <w:t>TTP</w:t>
            </w:r>
            <w:r w:rsidRPr="00F10C37">
              <w:rPr>
                <w:rFonts w:eastAsia="Calibri" w:cs="Times New Roman"/>
                <w:color w:val="000000" w:themeColor="text1"/>
                <w:szCs w:val="24"/>
              </w:rPr>
              <w:t>: 375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IV, frequency and duration depends on regimen type.</w:t>
            </w:r>
          </w:p>
          <w:p w14:paraId="324CAD24"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RA</w:t>
            </w:r>
            <w:r w:rsidRPr="00F10C37">
              <w:rPr>
                <w:rFonts w:eastAsia="Calibri" w:cs="Times New Roman"/>
                <w:color w:val="000000" w:themeColor="text1"/>
                <w:szCs w:val="24"/>
              </w:rPr>
              <w:t>: 1000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IV and repeat after two weeks. 1 1000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IV, then 1000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IV after 2 weeks; maintenance 500 mg/m</w:t>
            </w:r>
            <w:r w:rsidRPr="00F10C37">
              <w:rPr>
                <w:rFonts w:eastAsia="Calibri" w:cs="Times New Roman"/>
                <w:color w:val="000000" w:themeColor="text1"/>
                <w:szCs w:val="24"/>
                <w:vertAlign w:val="superscript"/>
              </w:rPr>
              <w:t xml:space="preserve">2 </w:t>
            </w:r>
            <w:r w:rsidRPr="00F10C37">
              <w:rPr>
                <w:rFonts w:eastAsia="Calibri" w:cs="Times New Roman"/>
                <w:color w:val="000000" w:themeColor="text1"/>
                <w:szCs w:val="24"/>
              </w:rPr>
              <w:t xml:space="preserve">IV, at months 12 and 18, and then every 6 months thereafter if needed. </w:t>
            </w:r>
            <w:r w:rsidRPr="003A707A">
              <w:rPr>
                <w:rFonts w:eastAsia="Calibri" w:cs="Times New Roman"/>
                <w:i/>
                <w:color w:val="000000" w:themeColor="text1"/>
                <w:szCs w:val="24"/>
              </w:rPr>
              <w:t>Note: consult product literature for the treatment of relapse</w:t>
            </w:r>
            <w:r>
              <w:rPr>
                <w:rFonts w:eastAsia="Calibri" w:cs="Times New Roman"/>
                <w:i/>
                <w:color w:val="000000" w:themeColor="text1"/>
                <w:szCs w:val="24"/>
              </w:rPr>
              <w:t>.</w:t>
            </w:r>
          </w:p>
        </w:tc>
      </w:tr>
      <w:tr w:rsidR="005D59D6" w:rsidRPr="00F10C37" w14:paraId="06896ACF" w14:textId="77777777" w:rsidTr="002D6DD7">
        <w:trPr>
          <w:jc w:val="center"/>
        </w:trPr>
        <w:tc>
          <w:tcPr>
            <w:tcW w:w="2785" w:type="dxa"/>
          </w:tcPr>
          <w:p w14:paraId="53CEBA1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3CC5ACF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active infections and uncontrolled heart disease.</w:t>
            </w:r>
          </w:p>
        </w:tc>
      </w:tr>
      <w:tr w:rsidR="005D59D6" w:rsidRPr="00F10C37" w14:paraId="66BC1A16" w14:textId="77777777" w:rsidTr="002D6DD7">
        <w:trPr>
          <w:jc w:val="center"/>
        </w:trPr>
        <w:tc>
          <w:tcPr>
            <w:tcW w:w="2785" w:type="dxa"/>
          </w:tcPr>
          <w:p w14:paraId="60D329F7" w14:textId="77777777" w:rsidR="005D59D6" w:rsidRPr="00F10C37" w:rsidRDefault="005D59D6" w:rsidP="002D6DD7">
            <w:pPr>
              <w:jc w:val="both"/>
              <w:rPr>
                <w:rFonts w:eastAsia="Calibri" w:cs="Times New Roman"/>
                <w:color w:val="000000" w:themeColor="text1"/>
                <w:szCs w:val="24"/>
              </w:rPr>
            </w:pPr>
            <w:r w:rsidRPr="00A10104">
              <w:rPr>
                <w:rFonts w:eastAsia="Calibri" w:cs="Times New Roman"/>
                <w:color w:val="000000" w:themeColor="text1"/>
                <w:szCs w:val="24"/>
              </w:rPr>
              <w:t>Drug interactions</w:t>
            </w:r>
          </w:p>
        </w:tc>
        <w:tc>
          <w:tcPr>
            <w:tcW w:w="6773" w:type="dxa"/>
          </w:tcPr>
          <w:p w14:paraId="1FFDCD5D" w14:textId="77777777" w:rsidR="005D59D6" w:rsidRPr="003D3E3A" w:rsidRDefault="005D59D6" w:rsidP="003D3F76">
            <w:pPr>
              <w:numPr>
                <w:ilvl w:val="0"/>
                <w:numId w:val="24"/>
              </w:numPr>
              <w:ind w:left="0"/>
              <w:jc w:val="both"/>
              <w:rPr>
                <w:rFonts w:eastAsia="Times New Roman" w:cs="Times New Roman"/>
                <w:color w:val="232323"/>
                <w:kern w:val="0"/>
                <w:szCs w:val="24"/>
                <w:lang w:val="en-US" w:eastAsia="en-US"/>
              </w:rPr>
            </w:pPr>
            <w:r>
              <w:rPr>
                <w:rFonts w:cs="Times New Roman"/>
                <w:color w:val="232323"/>
                <w:szCs w:val="24"/>
              </w:rPr>
              <w:t>A</w:t>
            </w:r>
            <w:r w:rsidRPr="003D3E3A">
              <w:rPr>
                <w:rFonts w:cs="Times New Roman"/>
                <w:color w:val="232323"/>
                <w:szCs w:val="24"/>
              </w:rPr>
              <w:t>mphotericin B</w:t>
            </w:r>
            <w:r>
              <w:rPr>
                <w:rFonts w:cs="Times New Roman"/>
                <w:color w:val="232323"/>
                <w:szCs w:val="24"/>
              </w:rPr>
              <w:t>,</w:t>
            </w:r>
            <w:r w:rsidRPr="003D3E3A">
              <w:rPr>
                <w:rFonts w:cs="Times New Roman"/>
                <w:color w:val="232323"/>
                <w:szCs w:val="24"/>
              </w:rPr>
              <w:t xml:space="preserve"> deoxycholat</w:t>
            </w:r>
            <w:r>
              <w:rPr>
                <w:rFonts w:cs="Times New Roman"/>
                <w:color w:val="232323"/>
                <w:szCs w:val="24"/>
              </w:rPr>
              <w:t>e</w:t>
            </w:r>
            <w:r w:rsidRPr="003D3E3A">
              <w:rPr>
                <w:rFonts w:eastAsia="Times New Roman" w:cs="Times New Roman"/>
                <w:color w:val="232323"/>
                <w:kern w:val="0"/>
                <w:szCs w:val="24"/>
                <w:lang w:val="en-US" w:eastAsia="en-US"/>
              </w:rPr>
              <w:t xml:space="preserve">, </w:t>
            </w:r>
            <w:r w:rsidRPr="003D3E3A">
              <w:rPr>
                <w:rFonts w:cs="Times New Roman"/>
                <w:color w:val="232323"/>
                <w:szCs w:val="24"/>
              </w:rPr>
              <w:t>belatacept</w:t>
            </w:r>
            <w:r w:rsidRPr="003D3E3A">
              <w:rPr>
                <w:rFonts w:eastAsia="Times New Roman" w:cs="Times New Roman"/>
                <w:color w:val="232323"/>
                <w:kern w:val="0"/>
                <w:szCs w:val="24"/>
                <w:lang w:val="en-US" w:eastAsia="en-US"/>
              </w:rPr>
              <w:t xml:space="preserve">, </w:t>
            </w:r>
            <w:r w:rsidRPr="003D3E3A">
              <w:rPr>
                <w:rFonts w:cs="Times New Roman"/>
                <w:color w:val="232323"/>
                <w:szCs w:val="24"/>
              </w:rPr>
              <w:t>cholera vaccine</w:t>
            </w:r>
            <w:r w:rsidRPr="003D3E3A">
              <w:rPr>
                <w:rFonts w:eastAsia="Times New Roman" w:cs="Times New Roman"/>
                <w:color w:val="232323"/>
                <w:kern w:val="0"/>
                <w:szCs w:val="24"/>
                <w:lang w:val="en-US" w:eastAsia="en-US"/>
              </w:rPr>
              <w:t xml:space="preserve">, </w:t>
            </w:r>
            <w:r w:rsidRPr="003D3E3A">
              <w:rPr>
                <w:rFonts w:cs="Times New Roman"/>
                <w:color w:val="232323"/>
                <w:szCs w:val="24"/>
              </w:rPr>
              <w:t>cisplatin</w:t>
            </w:r>
            <w:r w:rsidRPr="003D3E3A">
              <w:rPr>
                <w:rFonts w:eastAsia="Times New Roman" w:cs="Times New Roman"/>
                <w:color w:val="232323"/>
                <w:kern w:val="0"/>
                <w:szCs w:val="24"/>
                <w:lang w:val="en-US" w:eastAsia="en-US"/>
              </w:rPr>
              <w:t xml:space="preserve">, </w:t>
            </w:r>
            <w:r w:rsidRPr="003D3E3A">
              <w:rPr>
                <w:rFonts w:cs="Times New Roman"/>
                <w:color w:val="232323"/>
                <w:szCs w:val="24"/>
              </w:rPr>
              <w:t>denosumab</w:t>
            </w:r>
            <w:r w:rsidRPr="003D3E3A">
              <w:rPr>
                <w:rFonts w:eastAsia="Times New Roman" w:cs="Times New Roman"/>
                <w:color w:val="232323"/>
                <w:kern w:val="0"/>
                <w:szCs w:val="24"/>
                <w:lang w:val="en-US" w:eastAsia="en-US"/>
              </w:rPr>
              <w:t xml:space="preserve">, </w:t>
            </w:r>
            <w:r w:rsidRPr="003D3E3A">
              <w:rPr>
                <w:rFonts w:cs="Times New Roman"/>
                <w:color w:val="232323"/>
                <w:szCs w:val="24"/>
              </w:rPr>
              <w:t>fingolimod</w:t>
            </w:r>
            <w:r w:rsidRPr="003D3E3A">
              <w:rPr>
                <w:rFonts w:eastAsia="Times New Roman" w:cs="Times New Roman"/>
                <w:color w:val="232323"/>
                <w:kern w:val="0"/>
                <w:szCs w:val="24"/>
                <w:lang w:val="en-US" w:eastAsia="en-US"/>
              </w:rPr>
              <w:t xml:space="preserve">, </w:t>
            </w:r>
            <w:r w:rsidRPr="003D3E3A">
              <w:rPr>
                <w:rFonts w:cs="Times New Roman"/>
                <w:color w:val="232323"/>
                <w:szCs w:val="24"/>
              </w:rPr>
              <w:t>ioversol</w:t>
            </w:r>
            <w:r w:rsidRPr="003D3E3A">
              <w:rPr>
                <w:rFonts w:eastAsia="Times New Roman" w:cs="Times New Roman"/>
                <w:color w:val="232323"/>
                <w:kern w:val="0"/>
                <w:szCs w:val="24"/>
                <w:lang w:val="en-US" w:eastAsia="en-US"/>
              </w:rPr>
              <w:t xml:space="preserve">, </w:t>
            </w:r>
            <w:r w:rsidRPr="003D3E3A">
              <w:rPr>
                <w:rFonts w:cs="Times New Roman"/>
                <w:color w:val="232323"/>
                <w:szCs w:val="24"/>
              </w:rPr>
              <w:t>sipuleucel-T</w:t>
            </w:r>
            <w:r>
              <w:rPr>
                <w:rFonts w:cs="Times New Roman"/>
                <w:color w:val="232323"/>
                <w:szCs w:val="24"/>
              </w:rPr>
              <w:t>.</w:t>
            </w:r>
          </w:p>
        </w:tc>
      </w:tr>
      <w:tr w:rsidR="005D59D6" w:rsidRPr="00F10C37" w14:paraId="5D820B07" w14:textId="77777777" w:rsidTr="002D6DD7">
        <w:trPr>
          <w:jc w:val="center"/>
        </w:trPr>
        <w:tc>
          <w:tcPr>
            <w:tcW w:w="2785" w:type="dxa"/>
          </w:tcPr>
          <w:p w14:paraId="5941ABC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476735A6"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Infusion-related reactions, tumor lysis syndrome, skin reactions, arrhythmias, chest pain, nausea and vomiting, increase risk of infections.</w:t>
            </w:r>
          </w:p>
        </w:tc>
      </w:tr>
      <w:tr w:rsidR="005D59D6" w:rsidRPr="00F10C37" w14:paraId="2C9D7650" w14:textId="77777777" w:rsidTr="002D6DD7">
        <w:trPr>
          <w:jc w:val="center"/>
        </w:trPr>
        <w:tc>
          <w:tcPr>
            <w:tcW w:w="2785" w:type="dxa"/>
          </w:tcPr>
          <w:p w14:paraId="60EDF0B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2337BEBF"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HBV infection, history of angina, arrhythmia, heart failure, pregnancy and breastfeeding. Monitor for infusion-related reaction, hypotension, and tumor lysis syndrome.</w:t>
            </w:r>
          </w:p>
        </w:tc>
      </w:tr>
      <w:tr w:rsidR="005D59D6" w:rsidRPr="00F10C37" w14:paraId="4CFABF9A" w14:textId="77777777" w:rsidTr="002D6DD7">
        <w:trPr>
          <w:jc w:val="center"/>
        </w:trPr>
        <w:tc>
          <w:tcPr>
            <w:tcW w:w="2785" w:type="dxa"/>
          </w:tcPr>
          <w:p w14:paraId="2FD0952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6FF60A6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in a refrigerator at 2°C to 8°C. Protect from light.</w:t>
            </w:r>
          </w:p>
        </w:tc>
      </w:tr>
      <w:tr w:rsidR="005D59D6" w:rsidRPr="00F10C37" w14:paraId="607F1BB4" w14:textId="77777777" w:rsidTr="002D6DD7">
        <w:trPr>
          <w:jc w:val="center"/>
        </w:trPr>
        <w:tc>
          <w:tcPr>
            <w:tcW w:w="9558" w:type="dxa"/>
            <w:gridSpan w:val="2"/>
          </w:tcPr>
          <w:p w14:paraId="4A956637"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shd w:val="clear" w:color="auto" w:fill="FFFFFF"/>
              </w:rPr>
              <w:t xml:space="preserve">Trastuzumab </w:t>
            </w:r>
          </w:p>
        </w:tc>
      </w:tr>
      <w:tr w:rsidR="005D59D6" w:rsidRPr="00F10C37" w14:paraId="550CBD54" w14:textId="77777777" w:rsidTr="002D6DD7">
        <w:trPr>
          <w:jc w:val="center"/>
        </w:trPr>
        <w:tc>
          <w:tcPr>
            <w:tcW w:w="2785" w:type="dxa"/>
          </w:tcPr>
          <w:p w14:paraId="0756AC6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2321718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Antineoplastic agent, monoclonal antibody.</w:t>
            </w:r>
          </w:p>
        </w:tc>
      </w:tr>
      <w:tr w:rsidR="005D59D6" w:rsidRPr="00F10C37" w14:paraId="7D2104E6" w14:textId="77777777" w:rsidTr="002D6DD7">
        <w:trPr>
          <w:jc w:val="center"/>
        </w:trPr>
        <w:tc>
          <w:tcPr>
            <w:tcW w:w="2785" w:type="dxa"/>
          </w:tcPr>
          <w:p w14:paraId="64C81A5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6BA6E80C"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color w:val="000000" w:themeColor="text1"/>
                <w:szCs w:val="24"/>
              </w:rPr>
              <w:t>Powder for injection: 60 mg, 150 mg, 440 mg in vial.</w:t>
            </w:r>
          </w:p>
        </w:tc>
      </w:tr>
      <w:tr w:rsidR="005D59D6" w:rsidRPr="00F10C37" w14:paraId="7DD55BC2" w14:textId="77777777" w:rsidTr="002D6DD7">
        <w:trPr>
          <w:jc w:val="center"/>
        </w:trPr>
        <w:tc>
          <w:tcPr>
            <w:tcW w:w="2785" w:type="dxa"/>
          </w:tcPr>
          <w:p w14:paraId="76C5E529"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20F54E9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HER2-positive breast cancer, HER2-positive gastric or gastroesophageal junction adenocarcinoma</w:t>
            </w:r>
          </w:p>
        </w:tc>
      </w:tr>
      <w:tr w:rsidR="005D59D6" w:rsidRPr="00F10C37" w14:paraId="04F36E9B" w14:textId="77777777" w:rsidTr="002D6DD7">
        <w:trPr>
          <w:jc w:val="center"/>
        </w:trPr>
        <w:tc>
          <w:tcPr>
            <w:tcW w:w="2785" w:type="dxa"/>
          </w:tcPr>
          <w:p w14:paraId="7D2E1E4E"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6D4D87D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4 mg/kg IV loading dose over 90 minutes, followed by a 2 mg/kg IV maintenance dose weekly. One week after the last weekly dose, </w:t>
            </w:r>
            <w:r w:rsidRPr="00F10C37">
              <w:rPr>
                <w:rFonts w:eastAsia="Calibri" w:cs="Times New Roman"/>
                <w:color w:val="000000" w:themeColor="text1"/>
                <w:szCs w:val="24"/>
              </w:rPr>
              <w:lastRenderedPageBreak/>
              <w:t>switch to 6 mg/kg IV every 3 weeks over 30-90 minutes.</w:t>
            </w:r>
          </w:p>
          <w:p w14:paraId="5261973A"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Alternatively, give an 8 mg/kg IV loading dose over 30-90 minutes, followed by 6 mg/kg IV maintenance dose every 3 weeks.</w:t>
            </w:r>
          </w:p>
        </w:tc>
      </w:tr>
      <w:tr w:rsidR="005D59D6" w:rsidRPr="00F10C37" w14:paraId="002B98AD" w14:textId="77777777" w:rsidTr="002D6DD7">
        <w:trPr>
          <w:jc w:val="center"/>
        </w:trPr>
        <w:tc>
          <w:tcPr>
            <w:tcW w:w="2785" w:type="dxa"/>
          </w:tcPr>
          <w:p w14:paraId="09E6DE5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Contraindications</w:t>
            </w:r>
          </w:p>
        </w:tc>
        <w:tc>
          <w:tcPr>
            <w:tcW w:w="6773" w:type="dxa"/>
          </w:tcPr>
          <w:p w14:paraId="78EB9121"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severe dyspnoea</w:t>
            </w:r>
            <w:r>
              <w:rPr>
                <w:rFonts w:eastAsia="Calibri" w:cs="Times New Roman"/>
                <w:color w:val="000000" w:themeColor="text1"/>
                <w:szCs w:val="24"/>
              </w:rPr>
              <w:t xml:space="preserve"> at rest</w:t>
            </w:r>
            <w:r w:rsidRPr="00F10C37">
              <w:rPr>
                <w:rFonts w:eastAsia="Calibri" w:cs="Times New Roman"/>
                <w:color w:val="000000" w:themeColor="text1"/>
                <w:szCs w:val="24"/>
              </w:rPr>
              <w:t>.</w:t>
            </w:r>
          </w:p>
        </w:tc>
      </w:tr>
      <w:tr w:rsidR="005D59D6" w:rsidRPr="00F10C37" w14:paraId="4DD96C4D" w14:textId="77777777" w:rsidTr="002D6DD7">
        <w:trPr>
          <w:jc w:val="center"/>
        </w:trPr>
        <w:tc>
          <w:tcPr>
            <w:tcW w:w="2785" w:type="dxa"/>
          </w:tcPr>
          <w:p w14:paraId="238CD7B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6D3CBADC"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Anthracyclines, taxanes</w:t>
            </w:r>
            <w:r>
              <w:rPr>
                <w:rFonts w:eastAsia="Calibri" w:cs="Times New Roman"/>
                <w:color w:val="000000" w:themeColor="text1"/>
                <w:szCs w:val="24"/>
              </w:rPr>
              <w:t>.</w:t>
            </w:r>
            <w:r w:rsidRPr="00F10C37">
              <w:rPr>
                <w:rFonts w:eastAsia="Calibri" w:cs="Times New Roman"/>
                <w:color w:val="000000" w:themeColor="text1"/>
                <w:szCs w:val="24"/>
              </w:rPr>
              <w:t xml:space="preserve"> </w:t>
            </w:r>
          </w:p>
        </w:tc>
      </w:tr>
      <w:tr w:rsidR="005D59D6" w:rsidRPr="00F10C37" w14:paraId="7557A769" w14:textId="77777777" w:rsidTr="002D6DD7">
        <w:trPr>
          <w:jc w:val="center"/>
        </w:trPr>
        <w:tc>
          <w:tcPr>
            <w:tcW w:w="2785" w:type="dxa"/>
          </w:tcPr>
          <w:p w14:paraId="291CB2D8"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4D05DF6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Infusion-related symptoms, increased risk of infections, nausea/vomiting, diarrhoea, cardiac toxicity, thrombocytopenia, anaemia, neutropenia, nasopharyngitis, generalized pain, asthenia, headache and pulmonary toxicity.</w:t>
            </w:r>
          </w:p>
        </w:tc>
      </w:tr>
      <w:tr w:rsidR="005D59D6" w:rsidRPr="00F10C37" w14:paraId="3714CA8C" w14:textId="77777777" w:rsidTr="002D6DD7">
        <w:trPr>
          <w:jc w:val="center"/>
        </w:trPr>
        <w:tc>
          <w:tcPr>
            <w:tcW w:w="2785" w:type="dxa"/>
          </w:tcPr>
          <w:p w14:paraId="3EBE6E2A"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Cautions </w:t>
            </w:r>
          </w:p>
        </w:tc>
        <w:tc>
          <w:tcPr>
            <w:tcW w:w="6773" w:type="dxa"/>
          </w:tcPr>
          <w:p w14:paraId="2A952763"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Coronary artery disease, elderly, history of hypertension, impaired left ventricular function, symptomatic heart failure, uncontrolled arrhythmias, pregnancy and breastfeeding. </w:t>
            </w:r>
          </w:p>
        </w:tc>
      </w:tr>
      <w:tr w:rsidR="005D59D6" w:rsidRPr="00F10C37" w14:paraId="68A0759F" w14:textId="77777777" w:rsidTr="002D6DD7">
        <w:trPr>
          <w:jc w:val="center"/>
        </w:trPr>
        <w:tc>
          <w:tcPr>
            <w:tcW w:w="2785" w:type="dxa"/>
          </w:tcPr>
          <w:p w14:paraId="33AB1E93"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46C0AC5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Store in a refrigerator at temperature between 2°C and 8°C. Protect from light.</w:t>
            </w:r>
          </w:p>
        </w:tc>
      </w:tr>
      <w:tr w:rsidR="005D59D6" w:rsidRPr="00F10C37" w14:paraId="53AF1704" w14:textId="77777777" w:rsidTr="002D6DD7">
        <w:trPr>
          <w:jc w:val="center"/>
        </w:trPr>
        <w:tc>
          <w:tcPr>
            <w:tcW w:w="9558" w:type="dxa"/>
            <w:gridSpan w:val="2"/>
          </w:tcPr>
          <w:p w14:paraId="6ECD43CE" w14:textId="77777777" w:rsidR="005D59D6" w:rsidRPr="00F10C37" w:rsidRDefault="005D59D6" w:rsidP="002D6DD7">
            <w:pPr>
              <w:jc w:val="both"/>
              <w:rPr>
                <w:rFonts w:eastAsia="Calibri" w:cs="Times New Roman"/>
                <w:color w:val="000000" w:themeColor="text1"/>
                <w:szCs w:val="24"/>
              </w:rPr>
            </w:pPr>
            <w:r w:rsidRPr="00F10C37">
              <w:rPr>
                <w:rFonts w:cs="Times New Roman"/>
                <w:b/>
                <w:bCs/>
                <w:color w:val="000000" w:themeColor="text1"/>
                <w:szCs w:val="24"/>
              </w:rPr>
              <w:t>Tretinoin (All-trans retinoic acid)</w:t>
            </w:r>
          </w:p>
        </w:tc>
      </w:tr>
      <w:tr w:rsidR="005D59D6" w:rsidRPr="00F10C37" w14:paraId="75EBCFBD" w14:textId="77777777" w:rsidTr="002D6DD7">
        <w:trPr>
          <w:jc w:val="center"/>
        </w:trPr>
        <w:tc>
          <w:tcPr>
            <w:tcW w:w="2785" w:type="dxa"/>
          </w:tcPr>
          <w:p w14:paraId="7F12E4EB"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Pharmacological class</w:t>
            </w:r>
          </w:p>
        </w:tc>
        <w:tc>
          <w:tcPr>
            <w:tcW w:w="6773" w:type="dxa"/>
          </w:tcPr>
          <w:p w14:paraId="12E4FDDD"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 xml:space="preserve">Antineoplastic agent, </w:t>
            </w:r>
            <w:r>
              <w:rPr>
                <w:rFonts w:eastAsia="Calibri" w:cs="Times New Roman"/>
                <w:color w:val="000000" w:themeColor="text1"/>
                <w:szCs w:val="24"/>
              </w:rPr>
              <w:t>r</w:t>
            </w:r>
            <w:r w:rsidRPr="00F10C37">
              <w:rPr>
                <w:rFonts w:eastAsia="Calibri" w:cs="Times New Roman"/>
                <w:color w:val="000000" w:themeColor="text1"/>
                <w:szCs w:val="24"/>
              </w:rPr>
              <w:t>etinoic acid derivative</w:t>
            </w:r>
          </w:p>
        </w:tc>
      </w:tr>
      <w:tr w:rsidR="005D59D6" w:rsidRPr="00F10C37" w14:paraId="7BE6B1FF" w14:textId="77777777" w:rsidTr="002D6DD7">
        <w:trPr>
          <w:jc w:val="center"/>
        </w:trPr>
        <w:tc>
          <w:tcPr>
            <w:tcW w:w="2785" w:type="dxa"/>
          </w:tcPr>
          <w:p w14:paraId="728D784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Dosage form</w:t>
            </w:r>
          </w:p>
        </w:tc>
        <w:tc>
          <w:tcPr>
            <w:tcW w:w="6773" w:type="dxa"/>
          </w:tcPr>
          <w:p w14:paraId="384CF884" w14:textId="77777777" w:rsidR="005D59D6" w:rsidRPr="00F10C37" w:rsidRDefault="005D59D6" w:rsidP="002D6DD7">
            <w:pPr>
              <w:jc w:val="both"/>
              <w:rPr>
                <w:rFonts w:eastAsia="Calibri" w:cs="Times New Roman"/>
                <w:color w:val="000000" w:themeColor="text1"/>
                <w:szCs w:val="24"/>
              </w:rPr>
            </w:pPr>
            <w:r w:rsidRPr="00F10C37">
              <w:rPr>
                <w:rFonts w:eastAsia="Arial" w:cs="Times New Roman"/>
                <w:szCs w:val="24"/>
              </w:rPr>
              <w:t>Capsule: 10 mg.</w:t>
            </w:r>
          </w:p>
        </w:tc>
      </w:tr>
      <w:tr w:rsidR="005D59D6" w:rsidRPr="00F10C37" w14:paraId="522B9F38" w14:textId="77777777" w:rsidTr="002D6DD7">
        <w:trPr>
          <w:jc w:val="center"/>
        </w:trPr>
        <w:tc>
          <w:tcPr>
            <w:tcW w:w="2785" w:type="dxa"/>
          </w:tcPr>
          <w:p w14:paraId="5C477FDE" w14:textId="77777777" w:rsidR="005D59D6" w:rsidRPr="003D3E3A" w:rsidRDefault="005D59D6" w:rsidP="002D6DD7">
            <w:pPr>
              <w:jc w:val="both"/>
              <w:rPr>
                <w:rFonts w:eastAsia="Calibri" w:cs="Times New Roman"/>
                <w:b/>
                <w:color w:val="000000" w:themeColor="text1"/>
                <w:szCs w:val="24"/>
              </w:rPr>
            </w:pPr>
            <w:r w:rsidRPr="000674E0">
              <w:rPr>
                <w:rFonts w:eastAsia="Calibri" w:cs="Times New Roman"/>
                <w:color w:val="000000" w:themeColor="text1"/>
                <w:szCs w:val="24"/>
              </w:rPr>
              <w:t>Indications</w:t>
            </w:r>
          </w:p>
        </w:tc>
        <w:tc>
          <w:tcPr>
            <w:tcW w:w="6773" w:type="dxa"/>
          </w:tcPr>
          <w:p w14:paraId="3E0147C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Acute promyelocytic leukemia (APL)</w:t>
            </w:r>
          </w:p>
        </w:tc>
      </w:tr>
      <w:tr w:rsidR="005D59D6" w:rsidRPr="00F10C37" w14:paraId="322155F2" w14:textId="77777777" w:rsidTr="002D6DD7">
        <w:trPr>
          <w:jc w:val="center"/>
        </w:trPr>
        <w:tc>
          <w:tcPr>
            <w:tcW w:w="2785" w:type="dxa"/>
          </w:tcPr>
          <w:p w14:paraId="6E87FFD5" w14:textId="77777777" w:rsidR="005D59D6" w:rsidRPr="00F10C37" w:rsidRDefault="005D59D6" w:rsidP="002D6DD7">
            <w:pPr>
              <w:jc w:val="both"/>
              <w:rPr>
                <w:rFonts w:eastAsia="Calibri" w:cs="Times New Roman"/>
                <w:color w:val="000000" w:themeColor="text1"/>
                <w:szCs w:val="24"/>
              </w:rPr>
            </w:pPr>
            <w:r w:rsidRPr="00F10C37">
              <w:rPr>
                <w:rFonts w:eastAsia="Times New Roman" w:cs="Times New Roman"/>
                <w:color w:val="000000" w:themeColor="text1"/>
                <w:szCs w:val="24"/>
              </w:rPr>
              <w:t>Dose and administration</w:t>
            </w:r>
          </w:p>
        </w:tc>
        <w:tc>
          <w:tcPr>
            <w:tcW w:w="6773" w:type="dxa"/>
          </w:tcPr>
          <w:p w14:paraId="726E7C12"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Adult</w:t>
            </w:r>
            <w:r w:rsidRPr="00F10C37">
              <w:rPr>
                <w:rFonts w:eastAsia="Calibri" w:cs="Times New Roman"/>
                <w:color w:val="000000" w:themeColor="text1"/>
                <w:szCs w:val="24"/>
              </w:rPr>
              <w:t>: 45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/day PO divided in two daily doses for a minimum of 45 days and a maximum of 90 days.</w:t>
            </w:r>
          </w:p>
          <w:p w14:paraId="139ABBBF"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b/>
                <w:color w:val="000000" w:themeColor="text1"/>
                <w:szCs w:val="24"/>
              </w:rPr>
              <w:t>Child</w:t>
            </w:r>
            <w:r w:rsidRPr="00F10C37">
              <w:rPr>
                <w:rFonts w:eastAsia="Calibri" w:cs="Times New Roman"/>
                <w:color w:val="000000" w:themeColor="text1"/>
                <w:szCs w:val="24"/>
              </w:rPr>
              <w:t>:  25 mg/m</w:t>
            </w:r>
            <w:r w:rsidRPr="00F10C37">
              <w:rPr>
                <w:rFonts w:eastAsia="Calibri" w:cs="Times New Roman"/>
                <w:color w:val="000000" w:themeColor="text1"/>
                <w:szCs w:val="24"/>
                <w:vertAlign w:val="superscript"/>
              </w:rPr>
              <w:t>2</w:t>
            </w:r>
            <w:r w:rsidRPr="00F10C37">
              <w:rPr>
                <w:rFonts w:eastAsia="Calibri" w:cs="Times New Roman"/>
                <w:color w:val="000000" w:themeColor="text1"/>
                <w:szCs w:val="24"/>
              </w:rPr>
              <w:t>/day PO divided in two daily doses for a minimum of 45 days and a maximum of 90 days.</w:t>
            </w:r>
          </w:p>
        </w:tc>
      </w:tr>
      <w:tr w:rsidR="005D59D6" w:rsidRPr="00F10C37" w14:paraId="65532342" w14:textId="77777777" w:rsidTr="002D6DD7">
        <w:trPr>
          <w:jc w:val="center"/>
        </w:trPr>
        <w:tc>
          <w:tcPr>
            <w:tcW w:w="2785" w:type="dxa"/>
          </w:tcPr>
          <w:p w14:paraId="43EAEA4C"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Contraindications</w:t>
            </w:r>
          </w:p>
        </w:tc>
        <w:tc>
          <w:tcPr>
            <w:tcW w:w="6773" w:type="dxa"/>
          </w:tcPr>
          <w:p w14:paraId="262B4718"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Hypersensitivity to </w:t>
            </w:r>
            <w:r>
              <w:rPr>
                <w:rFonts w:eastAsia="Calibri" w:cs="Times New Roman"/>
                <w:color w:val="000000" w:themeColor="text1"/>
                <w:szCs w:val="24"/>
              </w:rPr>
              <w:t>the drug</w:t>
            </w:r>
            <w:r w:rsidRPr="00F10C37">
              <w:rPr>
                <w:rFonts w:eastAsia="Calibri" w:cs="Times New Roman"/>
                <w:color w:val="000000" w:themeColor="text1"/>
                <w:szCs w:val="24"/>
              </w:rPr>
              <w:t xml:space="preserve">, retinoids, soya, </w:t>
            </w:r>
            <w:r>
              <w:rPr>
                <w:rFonts w:eastAsia="Calibri" w:cs="Times New Roman"/>
                <w:color w:val="000000" w:themeColor="text1"/>
                <w:szCs w:val="24"/>
              </w:rPr>
              <w:t xml:space="preserve">or </w:t>
            </w:r>
            <w:r w:rsidRPr="00F10C37">
              <w:rPr>
                <w:rFonts w:eastAsia="Calibri" w:cs="Times New Roman"/>
                <w:color w:val="000000" w:themeColor="text1"/>
                <w:szCs w:val="24"/>
              </w:rPr>
              <w:t>peanut, pregnancy</w:t>
            </w:r>
            <w:r>
              <w:rPr>
                <w:rFonts w:eastAsia="Calibri" w:cs="Times New Roman"/>
                <w:color w:val="000000" w:themeColor="text1"/>
                <w:szCs w:val="24"/>
              </w:rPr>
              <w:t xml:space="preserve"> and</w:t>
            </w:r>
            <w:r w:rsidRPr="00F10C37">
              <w:rPr>
                <w:rFonts w:eastAsia="Calibri" w:cs="Times New Roman"/>
                <w:color w:val="000000" w:themeColor="text1"/>
                <w:szCs w:val="24"/>
              </w:rPr>
              <w:t xml:space="preserve"> breastfeeding, combination with vitamin A, tetracyclines, retinoids.</w:t>
            </w:r>
          </w:p>
        </w:tc>
      </w:tr>
      <w:tr w:rsidR="005D59D6" w:rsidRPr="00F10C37" w14:paraId="44203039" w14:textId="77777777" w:rsidTr="002D6DD7">
        <w:trPr>
          <w:jc w:val="center"/>
        </w:trPr>
        <w:tc>
          <w:tcPr>
            <w:tcW w:w="2785" w:type="dxa"/>
          </w:tcPr>
          <w:p w14:paraId="417C7604"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Drug interactions</w:t>
            </w:r>
          </w:p>
        </w:tc>
        <w:tc>
          <w:tcPr>
            <w:tcW w:w="6773" w:type="dxa"/>
          </w:tcPr>
          <w:p w14:paraId="5EC84587"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Rifampin, phenobarbital, ketoconazole, cimetidine, erythromycin, verapamil, diltiazem, and cyclosporine, vitamin A supplements, pregnancy and lactation.</w:t>
            </w:r>
          </w:p>
        </w:tc>
      </w:tr>
      <w:tr w:rsidR="005D59D6" w:rsidRPr="00F10C37" w14:paraId="60CFC4FF" w14:textId="77777777" w:rsidTr="002D6DD7">
        <w:trPr>
          <w:jc w:val="center"/>
        </w:trPr>
        <w:tc>
          <w:tcPr>
            <w:tcW w:w="2785" w:type="dxa"/>
          </w:tcPr>
          <w:p w14:paraId="21E6CEEE"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Side effects</w:t>
            </w:r>
          </w:p>
        </w:tc>
        <w:tc>
          <w:tcPr>
            <w:tcW w:w="6773" w:type="dxa"/>
            <w:shd w:val="clear" w:color="auto" w:fill="auto"/>
          </w:tcPr>
          <w:p w14:paraId="2E9D3A3B"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Headache, fever, dryness of the skin and mucous membranes, skin rash, peripheral oedema, mucositis, pruritus, and conjunctivitis. </w:t>
            </w:r>
            <w:r>
              <w:rPr>
                <w:rFonts w:eastAsia="Calibri" w:cs="Times New Roman"/>
                <w:color w:val="000000" w:themeColor="text1"/>
                <w:szCs w:val="24"/>
              </w:rPr>
              <w:lastRenderedPageBreak/>
              <w:t>f</w:t>
            </w:r>
            <w:r w:rsidRPr="00F10C37">
              <w:rPr>
                <w:rFonts w:eastAsia="Calibri" w:cs="Times New Roman"/>
                <w:color w:val="000000" w:themeColor="text1"/>
                <w:szCs w:val="24"/>
              </w:rPr>
              <w:t xml:space="preserve">lushing, hypotension, cardiac toxicity, pulmonary hypertension. </w:t>
            </w:r>
            <w:r>
              <w:rPr>
                <w:rFonts w:eastAsia="Calibri" w:cs="Times New Roman"/>
                <w:color w:val="000000" w:themeColor="text1"/>
                <w:szCs w:val="24"/>
              </w:rPr>
              <w:t>i</w:t>
            </w:r>
            <w:r w:rsidRPr="00F10C37">
              <w:rPr>
                <w:rFonts w:eastAsia="Calibri" w:cs="Times New Roman"/>
                <w:color w:val="000000" w:themeColor="text1"/>
                <w:szCs w:val="24"/>
              </w:rPr>
              <w:t>ncreased serum cholesterol and triglyceride, CNS toxicity, hearing impairment, abdominal pain, constipation, diarrhoea, GI bleeding, liver toxicity, differentiation syndrome</w:t>
            </w:r>
            <w:r>
              <w:rPr>
                <w:rFonts w:eastAsia="Calibri" w:cs="Times New Roman"/>
                <w:color w:val="000000" w:themeColor="text1"/>
                <w:szCs w:val="24"/>
              </w:rPr>
              <w:t>.</w:t>
            </w:r>
          </w:p>
        </w:tc>
      </w:tr>
      <w:tr w:rsidR="005D59D6" w:rsidRPr="00F10C37" w14:paraId="1157F0A2" w14:textId="77777777" w:rsidTr="002D6DD7">
        <w:trPr>
          <w:jc w:val="center"/>
        </w:trPr>
        <w:tc>
          <w:tcPr>
            <w:tcW w:w="2785" w:type="dxa"/>
          </w:tcPr>
          <w:p w14:paraId="1DC54321"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lastRenderedPageBreak/>
              <w:t xml:space="preserve">Cautions </w:t>
            </w:r>
          </w:p>
        </w:tc>
        <w:tc>
          <w:tcPr>
            <w:tcW w:w="6773" w:type="dxa"/>
          </w:tcPr>
          <w:p w14:paraId="33AD1052"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History of depression, thromboembolism, differentiation syndrome and liver function tests.</w:t>
            </w:r>
          </w:p>
        </w:tc>
      </w:tr>
      <w:tr w:rsidR="005D59D6" w:rsidRPr="00F10C37" w14:paraId="39013DB6" w14:textId="77777777" w:rsidTr="002D6DD7">
        <w:trPr>
          <w:jc w:val="center"/>
        </w:trPr>
        <w:tc>
          <w:tcPr>
            <w:tcW w:w="2785" w:type="dxa"/>
          </w:tcPr>
          <w:p w14:paraId="75B73E55" w14:textId="77777777" w:rsidR="005D59D6" w:rsidRPr="00F10C37" w:rsidRDefault="005D59D6" w:rsidP="002D6DD7">
            <w:pPr>
              <w:jc w:val="both"/>
              <w:rPr>
                <w:rFonts w:eastAsia="Calibri" w:cs="Times New Roman"/>
                <w:color w:val="000000" w:themeColor="text1"/>
                <w:szCs w:val="24"/>
              </w:rPr>
            </w:pPr>
            <w:r w:rsidRPr="00F10C37">
              <w:rPr>
                <w:rFonts w:eastAsia="Calibri" w:cs="Times New Roman"/>
                <w:color w:val="000000" w:themeColor="text1"/>
                <w:szCs w:val="24"/>
              </w:rPr>
              <w:t>Storage condition</w:t>
            </w:r>
          </w:p>
        </w:tc>
        <w:tc>
          <w:tcPr>
            <w:tcW w:w="6773" w:type="dxa"/>
          </w:tcPr>
          <w:p w14:paraId="11DF27A9" w14:textId="77777777" w:rsidR="005D59D6" w:rsidRPr="00F10C37" w:rsidRDefault="005D59D6" w:rsidP="002D6DD7">
            <w:pPr>
              <w:contextualSpacing/>
              <w:jc w:val="both"/>
              <w:rPr>
                <w:rFonts w:eastAsia="Calibri" w:cs="Times New Roman"/>
                <w:color w:val="000000" w:themeColor="text1"/>
                <w:szCs w:val="24"/>
              </w:rPr>
            </w:pPr>
            <w:r w:rsidRPr="00F10C37">
              <w:rPr>
                <w:rFonts w:eastAsia="Calibri" w:cs="Times New Roman"/>
                <w:color w:val="000000" w:themeColor="text1"/>
                <w:szCs w:val="24"/>
              </w:rPr>
              <w:t xml:space="preserve">Store </w:t>
            </w:r>
            <w:r>
              <w:rPr>
                <w:rFonts w:eastAsia="Calibri" w:cs="Times New Roman"/>
                <w:color w:val="000000" w:themeColor="text1"/>
                <w:szCs w:val="24"/>
              </w:rPr>
              <w:t xml:space="preserve">between </w:t>
            </w:r>
            <w:r w:rsidRPr="00F10C37">
              <w:rPr>
                <w:rFonts w:eastAsia="Calibri" w:cs="Times New Roman"/>
                <w:color w:val="000000" w:themeColor="text1"/>
                <w:szCs w:val="24"/>
              </w:rPr>
              <w:t xml:space="preserve">20° °C to </w:t>
            </w:r>
            <w:r>
              <w:rPr>
                <w:rFonts w:eastAsia="Calibri" w:cs="Times New Roman"/>
                <w:color w:val="000000" w:themeColor="text1"/>
                <w:szCs w:val="24"/>
              </w:rPr>
              <w:t>30</w:t>
            </w:r>
            <w:r w:rsidRPr="00F10C37">
              <w:rPr>
                <w:rFonts w:eastAsia="Calibri" w:cs="Times New Roman"/>
                <w:color w:val="000000" w:themeColor="text1"/>
                <w:szCs w:val="24"/>
              </w:rPr>
              <w:t xml:space="preserve"> °C. Protect from moisture and light.</w:t>
            </w:r>
          </w:p>
        </w:tc>
      </w:tr>
    </w:tbl>
    <w:p w14:paraId="7FA9353F" w14:textId="77777777" w:rsidR="005D59D6" w:rsidRPr="00F10C37" w:rsidRDefault="005D59D6" w:rsidP="005D59D6">
      <w:pPr>
        <w:spacing w:after="0"/>
        <w:jc w:val="both"/>
        <w:rPr>
          <w:rFonts w:cs="Times New Roman"/>
          <w:szCs w:val="24"/>
        </w:rPr>
      </w:pPr>
    </w:p>
    <w:p w14:paraId="196CB2B1" w14:textId="77777777" w:rsidR="005D59D6" w:rsidRPr="00F10C37" w:rsidRDefault="005D59D6" w:rsidP="00CD494D">
      <w:pPr>
        <w:pStyle w:val="Heading2"/>
        <w:spacing w:before="240" w:after="240"/>
      </w:pPr>
      <w:bookmarkStart w:id="183" w:name="_Toc179490392"/>
      <w:r w:rsidRPr="00F10C37">
        <w:t xml:space="preserve">Hormone and </w:t>
      </w:r>
      <w:r w:rsidR="00CD494D">
        <w:t>a</w:t>
      </w:r>
      <w:r w:rsidRPr="00F10C37">
        <w:t>ntihormones</w:t>
      </w:r>
      <w:bookmarkEnd w:id="183"/>
    </w:p>
    <w:p w14:paraId="7A0FED10" w14:textId="77777777" w:rsidR="005D59D6" w:rsidRDefault="005D59D6" w:rsidP="00CD494D">
      <w:pPr>
        <w:jc w:val="both"/>
        <w:rPr>
          <w:rFonts w:cs="Times New Roman"/>
          <w:bCs/>
          <w:iCs/>
          <w:szCs w:val="24"/>
        </w:rPr>
      </w:pPr>
      <w:r w:rsidRPr="00B1649B">
        <w:rPr>
          <w:rFonts w:cs="Times New Roman"/>
          <w:bCs/>
          <w:iCs/>
          <w:szCs w:val="24"/>
        </w:rPr>
        <w:t xml:space="preserve">Hormone and antihormone therapies represent a cornerstone in the realm of cancer treatment, particularly for hormone-sensitive tumours like breast and prostate cancers. These therapies work by either manipulating hormone levels or blocking hormone receptors to impede cancer cell growth and proliferation. In breast cancer, hormone therapy targets estrogen and progesterone receptors, which are often overexpressed in hormone receptor-positive tumours. Selective estrogen receptor modulators (SERMs) like tamoxifen and aromatase inhibitors (AIs) such as anastrozole are commonly used to disrupt estrogen signalling and inhibit tumour progression. Additionally, selective estrogen receptor degraders (SERDs) like fulvestrant work by directly targeting and degrading estrogen receptors, further suppressing tumour growth. Similarly, in prostate cancer, hormone therapy focuses on androgen receptors, as prostate cancer cells are dependent on androgens for growth. </w:t>
      </w:r>
    </w:p>
    <w:p w14:paraId="50068AEE" w14:textId="77777777" w:rsidR="005D59D6" w:rsidRPr="00F10C37" w:rsidRDefault="005D59D6" w:rsidP="005D59D6">
      <w:pPr>
        <w:spacing w:after="0"/>
        <w:jc w:val="both"/>
        <w:rPr>
          <w:rFonts w:cs="Times New Roman"/>
          <w:bCs/>
          <w:iCs/>
          <w:szCs w:val="24"/>
        </w:rPr>
      </w:pPr>
      <w:r w:rsidRPr="00F10C37">
        <w:rPr>
          <w:rFonts w:cs="Times New Roman"/>
          <w:bCs/>
          <w:iCs/>
          <w:szCs w:val="24"/>
        </w:rPr>
        <w:t xml:space="preserve">On the </w:t>
      </w:r>
      <w:r>
        <w:rPr>
          <w:rFonts w:cs="Times New Roman"/>
          <w:bCs/>
          <w:iCs/>
          <w:szCs w:val="24"/>
        </w:rPr>
        <w:t>other hand</w:t>
      </w:r>
      <w:r w:rsidRPr="00F10C37">
        <w:rPr>
          <w:rFonts w:cs="Times New Roman"/>
          <w:bCs/>
          <w:iCs/>
          <w:szCs w:val="24"/>
        </w:rPr>
        <w:t>, antihormone therapies act by counteracting the effects of hormones on cancer cells. In breast cancer, gonadotropin-releasing hormone (GnRH) agonists like goserelin suppress ovarian function to lower estrogen levels, while selective estrogen receptor down regulators (SERDs) like fulvestrant inhibit estrogen receptor activity. In prostate cancer, estrogen therapy and estrogen receptor antagonists like tamoxifen may be utilized, albeit less commonly than in breast cancer, to mitigate androgen signalling.</w:t>
      </w:r>
    </w:p>
    <w:p w14:paraId="260C99B7" w14:textId="77777777" w:rsidR="005D59D6" w:rsidRPr="00F10C37" w:rsidRDefault="005D59D6" w:rsidP="005D59D6">
      <w:pPr>
        <w:spacing w:after="0"/>
        <w:jc w:val="both"/>
        <w:rPr>
          <w:rFonts w:cs="Times New Roman"/>
          <w:bCs/>
          <w:iCs/>
          <w:szCs w:val="24"/>
        </w:rPr>
      </w:pPr>
    </w:p>
    <w:tbl>
      <w:tblPr>
        <w:tblStyle w:val="TableGrid"/>
        <w:tblW w:w="9468" w:type="dxa"/>
        <w:jc w:val="center"/>
        <w:tblLook w:val="04A0" w:firstRow="1" w:lastRow="0" w:firstColumn="1" w:lastColumn="0" w:noHBand="0" w:noVBand="1"/>
      </w:tblPr>
      <w:tblGrid>
        <w:gridCol w:w="2898"/>
        <w:gridCol w:w="6570"/>
      </w:tblGrid>
      <w:tr w:rsidR="005D59D6" w:rsidRPr="00F10C37" w14:paraId="42C77AB3" w14:textId="77777777" w:rsidTr="002D6DD7">
        <w:trPr>
          <w:jc w:val="center"/>
        </w:trPr>
        <w:tc>
          <w:tcPr>
            <w:tcW w:w="9468" w:type="dxa"/>
            <w:gridSpan w:val="2"/>
          </w:tcPr>
          <w:p w14:paraId="4C71BF5F" w14:textId="77777777" w:rsidR="005D59D6" w:rsidRPr="00F10C37" w:rsidRDefault="005D59D6" w:rsidP="002D6DD7">
            <w:pPr>
              <w:jc w:val="both"/>
              <w:rPr>
                <w:rFonts w:cs="Times New Roman"/>
                <w:szCs w:val="24"/>
              </w:rPr>
            </w:pPr>
            <w:r w:rsidRPr="00F10C37">
              <w:rPr>
                <w:rFonts w:cs="Times New Roman"/>
                <w:b/>
                <w:bCs/>
                <w:szCs w:val="24"/>
              </w:rPr>
              <w:t>Abiraterone</w:t>
            </w:r>
          </w:p>
        </w:tc>
      </w:tr>
      <w:tr w:rsidR="005D59D6" w:rsidRPr="00F10C37" w14:paraId="736C8E14" w14:textId="77777777" w:rsidTr="002D6DD7">
        <w:trPr>
          <w:jc w:val="center"/>
        </w:trPr>
        <w:tc>
          <w:tcPr>
            <w:tcW w:w="2898" w:type="dxa"/>
          </w:tcPr>
          <w:p w14:paraId="79BB0109"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1623B893" w14:textId="77777777" w:rsidR="005D59D6" w:rsidRPr="00F10C37" w:rsidRDefault="005D59D6" w:rsidP="002D6DD7">
            <w:pPr>
              <w:jc w:val="both"/>
              <w:rPr>
                <w:rFonts w:cs="Times New Roman"/>
                <w:szCs w:val="24"/>
              </w:rPr>
            </w:pPr>
            <w:r w:rsidRPr="00F10C37">
              <w:rPr>
                <w:rFonts w:cs="Times New Roman"/>
                <w:szCs w:val="24"/>
              </w:rPr>
              <w:t xml:space="preserve">Antineoplastic agent, </w:t>
            </w:r>
            <w:r>
              <w:rPr>
                <w:rFonts w:cs="Times New Roman"/>
                <w:szCs w:val="24"/>
              </w:rPr>
              <w:t>a</w:t>
            </w:r>
            <w:r w:rsidRPr="00F10C37">
              <w:rPr>
                <w:rFonts w:cs="Times New Roman"/>
                <w:szCs w:val="24"/>
              </w:rPr>
              <w:t>ntiandrogenic</w:t>
            </w:r>
          </w:p>
        </w:tc>
      </w:tr>
      <w:tr w:rsidR="005D59D6" w:rsidRPr="00F10C37" w14:paraId="327094C3" w14:textId="77777777" w:rsidTr="002D6DD7">
        <w:trPr>
          <w:jc w:val="center"/>
        </w:trPr>
        <w:tc>
          <w:tcPr>
            <w:tcW w:w="2898" w:type="dxa"/>
          </w:tcPr>
          <w:p w14:paraId="26939BB0" w14:textId="77777777" w:rsidR="005D59D6" w:rsidRPr="00F10C37" w:rsidRDefault="005D59D6" w:rsidP="002D6DD7">
            <w:pPr>
              <w:jc w:val="both"/>
              <w:rPr>
                <w:rFonts w:cs="Times New Roman"/>
                <w:szCs w:val="24"/>
              </w:rPr>
            </w:pPr>
            <w:r w:rsidRPr="00F10C37">
              <w:rPr>
                <w:rFonts w:cs="Times New Roman"/>
                <w:szCs w:val="24"/>
              </w:rPr>
              <w:lastRenderedPageBreak/>
              <w:t>Dosage form</w:t>
            </w:r>
          </w:p>
        </w:tc>
        <w:tc>
          <w:tcPr>
            <w:tcW w:w="6570" w:type="dxa"/>
          </w:tcPr>
          <w:p w14:paraId="07C883AF" w14:textId="77777777" w:rsidR="005D59D6" w:rsidRPr="00F10C37" w:rsidRDefault="005D59D6" w:rsidP="002D6DD7">
            <w:pPr>
              <w:jc w:val="both"/>
              <w:rPr>
                <w:rFonts w:cs="Times New Roman"/>
                <w:szCs w:val="24"/>
              </w:rPr>
            </w:pPr>
            <w:r w:rsidRPr="00F10C37">
              <w:rPr>
                <w:rFonts w:cs="Times New Roman"/>
                <w:szCs w:val="24"/>
              </w:rPr>
              <w:t>Tablet: 250mg, 500mg</w:t>
            </w:r>
          </w:p>
        </w:tc>
      </w:tr>
      <w:tr w:rsidR="005D59D6" w:rsidRPr="00F10C37" w14:paraId="0BBAD513" w14:textId="77777777" w:rsidTr="002D6DD7">
        <w:trPr>
          <w:jc w:val="center"/>
        </w:trPr>
        <w:tc>
          <w:tcPr>
            <w:tcW w:w="2898" w:type="dxa"/>
          </w:tcPr>
          <w:p w14:paraId="2407BB8F"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57B311B3" w14:textId="77777777" w:rsidR="005D59D6" w:rsidRPr="00F10C37" w:rsidRDefault="005D59D6" w:rsidP="002D6DD7">
            <w:pPr>
              <w:jc w:val="both"/>
              <w:rPr>
                <w:rFonts w:cs="Times New Roman"/>
                <w:szCs w:val="24"/>
              </w:rPr>
            </w:pPr>
            <w:r w:rsidRPr="00F10C37">
              <w:rPr>
                <w:rFonts w:cs="Times New Roman"/>
                <w:szCs w:val="24"/>
              </w:rPr>
              <w:t>Prostate cancer</w:t>
            </w:r>
          </w:p>
        </w:tc>
      </w:tr>
      <w:tr w:rsidR="005D59D6" w:rsidRPr="00F10C37" w14:paraId="31EEDFF6" w14:textId="77777777" w:rsidTr="002D6DD7">
        <w:trPr>
          <w:jc w:val="center"/>
        </w:trPr>
        <w:tc>
          <w:tcPr>
            <w:tcW w:w="2898" w:type="dxa"/>
          </w:tcPr>
          <w:p w14:paraId="198CF39A"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4F6A092D" w14:textId="77777777" w:rsidR="005D59D6" w:rsidRPr="00F10C37" w:rsidRDefault="005D59D6" w:rsidP="002D6DD7">
            <w:pPr>
              <w:autoSpaceDE w:val="0"/>
              <w:autoSpaceDN w:val="0"/>
              <w:adjustRightInd w:val="0"/>
              <w:jc w:val="both"/>
              <w:rPr>
                <w:rFonts w:eastAsia="Candara-Italic" w:cs="Times New Roman"/>
                <w:iCs/>
                <w:kern w:val="0"/>
                <w:szCs w:val="24"/>
                <w:lang w:val="en-US" w:eastAsia="en-US"/>
              </w:rPr>
            </w:pPr>
            <w:r w:rsidRPr="00F10C37">
              <w:rPr>
                <w:rFonts w:eastAsia="Candara-Italic" w:cs="Times New Roman"/>
                <w:b/>
                <w:iCs/>
                <w:kern w:val="0"/>
                <w:szCs w:val="24"/>
                <w:lang w:val="en-US" w:eastAsia="en-US"/>
              </w:rPr>
              <w:t>Metastatic castration-resistant prostate cancer</w:t>
            </w:r>
            <w:r w:rsidRPr="00F10C37">
              <w:rPr>
                <w:rFonts w:eastAsia="Candara-Italic" w:cs="Times New Roman"/>
                <w:iCs/>
                <w:kern w:val="0"/>
                <w:szCs w:val="24"/>
                <w:lang w:val="en-US" w:eastAsia="en-US"/>
              </w:rPr>
              <w:t xml:space="preserve">, </w:t>
            </w:r>
            <w:r w:rsidRPr="00F10C37">
              <w:rPr>
                <w:rFonts w:eastAsia="Candara-Italic" w:cs="Times New Roman"/>
                <w:b/>
                <w:iCs/>
                <w:kern w:val="0"/>
                <w:szCs w:val="24"/>
                <w:lang w:val="en-US" w:eastAsia="en-US"/>
              </w:rPr>
              <w:t>oral</w:t>
            </w:r>
            <w:r w:rsidRPr="00F10C37">
              <w:rPr>
                <w:rFonts w:eastAsia="Candara-Italic" w:cs="Times New Roman"/>
                <w:iCs/>
                <w:kern w:val="0"/>
                <w:szCs w:val="24"/>
                <w:lang w:val="en-US" w:eastAsia="en-US"/>
              </w:rPr>
              <w:t xml:space="preserve">: </w:t>
            </w:r>
            <w:r w:rsidRPr="00F10C37">
              <w:rPr>
                <w:rFonts w:eastAsia="Candara-Italic" w:cs="Times New Roman"/>
                <w:kern w:val="0"/>
                <w:szCs w:val="24"/>
                <w:lang w:val="en-US" w:eastAsia="en-US"/>
              </w:rPr>
              <w:t>1,000 mg as a single daily dose that must not be taken with food; taking the tablets with food increases systemic exposure to abiraterone</w:t>
            </w:r>
            <w:r w:rsidRPr="00F10C37">
              <w:rPr>
                <w:rFonts w:cs="Times New Roman"/>
                <w:szCs w:val="24"/>
              </w:rPr>
              <w:t>.</w:t>
            </w:r>
          </w:p>
        </w:tc>
      </w:tr>
      <w:tr w:rsidR="005D59D6" w:rsidRPr="00F10C37" w14:paraId="753CA509" w14:textId="77777777" w:rsidTr="002D6DD7">
        <w:trPr>
          <w:jc w:val="center"/>
        </w:trPr>
        <w:tc>
          <w:tcPr>
            <w:tcW w:w="2898" w:type="dxa"/>
          </w:tcPr>
          <w:p w14:paraId="3412A753"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4AA9F584" w14:textId="77777777" w:rsidR="005D59D6" w:rsidRPr="00F10C37" w:rsidRDefault="005D59D6" w:rsidP="002D6DD7">
            <w:pPr>
              <w:jc w:val="both"/>
              <w:rPr>
                <w:rFonts w:cs="Times New Roman"/>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hepatic impairment.</w:t>
            </w:r>
          </w:p>
        </w:tc>
      </w:tr>
      <w:tr w:rsidR="005D59D6" w:rsidRPr="00F10C37" w14:paraId="13CD67A7" w14:textId="77777777" w:rsidTr="002D6DD7">
        <w:trPr>
          <w:jc w:val="center"/>
        </w:trPr>
        <w:tc>
          <w:tcPr>
            <w:tcW w:w="2898" w:type="dxa"/>
          </w:tcPr>
          <w:p w14:paraId="3294538A"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7F55A5FA" w14:textId="77777777" w:rsidR="005D59D6" w:rsidRPr="00F10C37" w:rsidRDefault="005D59D6" w:rsidP="002D6DD7">
            <w:pPr>
              <w:contextualSpacing/>
              <w:jc w:val="both"/>
              <w:rPr>
                <w:rFonts w:cs="Times New Roman"/>
                <w:szCs w:val="24"/>
              </w:rPr>
            </w:pPr>
            <w:r w:rsidRPr="00F10C37">
              <w:rPr>
                <w:rFonts w:cs="Times New Roman"/>
                <w:szCs w:val="24"/>
              </w:rPr>
              <w:t>Thioridazine, dextromethorphan, spironolactone, metoprolol, ketoconazole, itraconazole, ritonavir, rifampin, phenytoin, carbamazepine, diuretics, ACE inhibitors, and angiotensin II receptor blockers.</w:t>
            </w:r>
          </w:p>
        </w:tc>
      </w:tr>
      <w:tr w:rsidR="005D59D6" w:rsidRPr="00F10C37" w14:paraId="0376367D" w14:textId="77777777" w:rsidTr="002D6DD7">
        <w:trPr>
          <w:jc w:val="center"/>
        </w:trPr>
        <w:tc>
          <w:tcPr>
            <w:tcW w:w="2898" w:type="dxa"/>
          </w:tcPr>
          <w:p w14:paraId="4A0E20A6"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1B0755E0"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cs="Times New Roman"/>
                <w:szCs w:val="24"/>
              </w:rPr>
              <w:t>Hypertension, angina pectoris, arrythmia, bone fracture, hypokalemia, fluid retention, fatigue, arthralgia, hot flush, diarrhoea, nausea, peripheral oedema, hyperglycemia, hypertriglyceridemia, UTI, vomiting, cough, dyspnoea, and headache.</w:t>
            </w:r>
          </w:p>
        </w:tc>
      </w:tr>
      <w:tr w:rsidR="005D59D6" w:rsidRPr="00F10C37" w14:paraId="7BE9D5DE" w14:textId="77777777" w:rsidTr="002D6DD7">
        <w:trPr>
          <w:jc w:val="center"/>
        </w:trPr>
        <w:tc>
          <w:tcPr>
            <w:tcW w:w="2898" w:type="dxa"/>
          </w:tcPr>
          <w:p w14:paraId="69151128" w14:textId="77777777" w:rsidR="005D59D6" w:rsidRPr="00F10C37" w:rsidRDefault="005D59D6" w:rsidP="002D6DD7">
            <w:pPr>
              <w:jc w:val="both"/>
              <w:rPr>
                <w:rFonts w:cs="Times New Roman"/>
                <w:szCs w:val="24"/>
              </w:rPr>
            </w:pPr>
            <w:r w:rsidRPr="00F10C37">
              <w:rPr>
                <w:rFonts w:cs="Times New Roman"/>
                <w:szCs w:val="24"/>
              </w:rPr>
              <w:t xml:space="preserve">Cautions </w:t>
            </w:r>
          </w:p>
        </w:tc>
        <w:tc>
          <w:tcPr>
            <w:tcW w:w="6570" w:type="dxa"/>
          </w:tcPr>
          <w:p w14:paraId="68400AC3"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Diabetes, history of cardiovascular disease, </w:t>
            </w:r>
            <w:r w:rsidRPr="00F10C37">
              <w:rPr>
                <w:rFonts w:cs="Times New Roman"/>
                <w:szCs w:val="24"/>
              </w:rPr>
              <w:t xml:space="preserve">adrenocortical insufficiency, liver </w:t>
            </w:r>
            <w:r>
              <w:rPr>
                <w:rFonts w:cs="Times New Roman"/>
                <w:szCs w:val="24"/>
              </w:rPr>
              <w:t>impairment</w:t>
            </w:r>
            <w:r w:rsidRPr="00F10C37">
              <w:rPr>
                <w:rFonts w:cs="Times New Roman"/>
                <w:szCs w:val="24"/>
              </w:rPr>
              <w:t xml:space="preserve">, </w:t>
            </w:r>
            <w:r>
              <w:rPr>
                <w:rFonts w:cs="Times New Roman"/>
                <w:szCs w:val="24"/>
              </w:rPr>
              <w:t>hypertension</w:t>
            </w:r>
            <w:r w:rsidRPr="00F10C37">
              <w:rPr>
                <w:rFonts w:cs="Times New Roman"/>
                <w:szCs w:val="24"/>
              </w:rPr>
              <w:t xml:space="preserve">, </w:t>
            </w:r>
            <w:r w:rsidRPr="00F10C37">
              <w:rPr>
                <w:rFonts w:eastAsiaTheme="minorHAnsi" w:cs="Times New Roman"/>
                <w:color w:val="231F20"/>
                <w:kern w:val="0"/>
                <w:szCs w:val="24"/>
                <w:lang w:val="en-US" w:eastAsia="en-US"/>
              </w:rPr>
              <w:t>pregnancy</w:t>
            </w:r>
            <w:r>
              <w:rPr>
                <w:rFonts w:eastAsiaTheme="minorHAnsi" w:cs="Times New Roman"/>
                <w:color w:val="231F20"/>
                <w:kern w:val="0"/>
                <w:szCs w:val="24"/>
                <w:lang w:val="en-US" w:eastAsia="en-US"/>
              </w:rPr>
              <w:t xml:space="preserve"> and </w:t>
            </w:r>
            <w:r w:rsidRPr="00F10C37">
              <w:rPr>
                <w:rFonts w:eastAsiaTheme="minorHAnsi" w:cs="Times New Roman"/>
                <w:color w:val="231F20"/>
                <w:kern w:val="0"/>
                <w:szCs w:val="24"/>
                <w:lang w:val="en-US" w:eastAsia="en-US"/>
              </w:rPr>
              <w:t>breastfeeding.</w:t>
            </w:r>
          </w:p>
        </w:tc>
      </w:tr>
      <w:tr w:rsidR="005D59D6" w:rsidRPr="00F10C37" w14:paraId="1F615CB2" w14:textId="77777777" w:rsidTr="002D6DD7">
        <w:trPr>
          <w:jc w:val="center"/>
        </w:trPr>
        <w:tc>
          <w:tcPr>
            <w:tcW w:w="2898" w:type="dxa"/>
          </w:tcPr>
          <w:p w14:paraId="54BEAF97"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32631D22" w14:textId="77777777" w:rsidR="005D59D6" w:rsidRPr="00F10C37" w:rsidRDefault="005D59D6" w:rsidP="002D6DD7">
            <w:pPr>
              <w:jc w:val="both"/>
              <w:rPr>
                <w:rFonts w:cs="Times New Roman"/>
                <w:szCs w:val="24"/>
              </w:rPr>
            </w:pPr>
            <w:r w:rsidRPr="00F10C37">
              <w:rPr>
                <w:rFonts w:cs="Times New Roman"/>
                <w:szCs w:val="24"/>
              </w:rPr>
              <w:t>Store below 30°C</w:t>
            </w:r>
            <w:r>
              <w:rPr>
                <w:rFonts w:cs="Times New Roman"/>
                <w:szCs w:val="24"/>
              </w:rPr>
              <w:t>. P</w:t>
            </w:r>
            <w:r w:rsidRPr="00F10C37">
              <w:rPr>
                <w:rFonts w:cs="Times New Roman"/>
                <w:szCs w:val="24"/>
              </w:rPr>
              <w:t>rotect from moisture and light.</w:t>
            </w:r>
          </w:p>
        </w:tc>
      </w:tr>
      <w:tr w:rsidR="005D59D6" w:rsidRPr="00F10C37" w14:paraId="7DEE19D8" w14:textId="77777777" w:rsidTr="002D6DD7">
        <w:trPr>
          <w:jc w:val="center"/>
        </w:trPr>
        <w:tc>
          <w:tcPr>
            <w:tcW w:w="9468" w:type="dxa"/>
            <w:gridSpan w:val="2"/>
          </w:tcPr>
          <w:p w14:paraId="752DED1B" w14:textId="77777777" w:rsidR="005D59D6" w:rsidRPr="00F10C37" w:rsidRDefault="005D59D6" w:rsidP="002D6DD7">
            <w:pPr>
              <w:jc w:val="both"/>
              <w:rPr>
                <w:rFonts w:cs="Times New Roman"/>
                <w:szCs w:val="24"/>
              </w:rPr>
            </w:pPr>
            <w:r w:rsidRPr="00F10C37">
              <w:rPr>
                <w:rFonts w:cs="Times New Roman"/>
                <w:b/>
                <w:bCs/>
                <w:szCs w:val="24"/>
              </w:rPr>
              <w:t>Anastrozole</w:t>
            </w:r>
          </w:p>
        </w:tc>
      </w:tr>
      <w:tr w:rsidR="005D59D6" w:rsidRPr="00F10C37" w14:paraId="6F5C5219" w14:textId="77777777" w:rsidTr="002D6DD7">
        <w:trPr>
          <w:jc w:val="center"/>
        </w:trPr>
        <w:tc>
          <w:tcPr>
            <w:tcW w:w="2898" w:type="dxa"/>
          </w:tcPr>
          <w:p w14:paraId="3262692F"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0469F157" w14:textId="77777777" w:rsidR="005D59D6" w:rsidRPr="00F10C37" w:rsidRDefault="005D59D6" w:rsidP="002D6DD7">
            <w:pPr>
              <w:jc w:val="both"/>
              <w:rPr>
                <w:rFonts w:cs="Times New Roman"/>
                <w:szCs w:val="24"/>
              </w:rPr>
            </w:pPr>
            <w:r w:rsidRPr="00F10C37">
              <w:rPr>
                <w:rFonts w:cs="Times New Roman"/>
                <w:szCs w:val="24"/>
              </w:rPr>
              <w:t>Antineoplastic agent, aromatase inhibitor</w:t>
            </w:r>
          </w:p>
        </w:tc>
      </w:tr>
      <w:tr w:rsidR="005D59D6" w:rsidRPr="00F10C37" w14:paraId="09127B95" w14:textId="77777777" w:rsidTr="002D6DD7">
        <w:trPr>
          <w:jc w:val="center"/>
        </w:trPr>
        <w:tc>
          <w:tcPr>
            <w:tcW w:w="2898" w:type="dxa"/>
          </w:tcPr>
          <w:p w14:paraId="43C66B77"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2E157ABD" w14:textId="77777777" w:rsidR="005D59D6" w:rsidRPr="00F10C37" w:rsidRDefault="005D59D6" w:rsidP="002D6DD7">
            <w:pPr>
              <w:jc w:val="both"/>
              <w:rPr>
                <w:rFonts w:cs="Times New Roman"/>
                <w:szCs w:val="24"/>
              </w:rPr>
            </w:pPr>
            <w:r w:rsidRPr="00F10C37">
              <w:rPr>
                <w:rFonts w:cs="Times New Roman"/>
                <w:iCs/>
                <w:szCs w:val="24"/>
              </w:rPr>
              <w:t>Tablet: 1mg</w:t>
            </w:r>
          </w:p>
        </w:tc>
      </w:tr>
      <w:tr w:rsidR="005D59D6" w:rsidRPr="00F10C37" w14:paraId="393D7C31" w14:textId="77777777" w:rsidTr="002D6DD7">
        <w:trPr>
          <w:jc w:val="center"/>
        </w:trPr>
        <w:tc>
          <w:tcPr>
            <w:tcW w:w="2898" w:type="dxa"/>
          </w:tcPr>
          <w:p w14:paraId="251BAB38"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31843DA4" w14:textId="77777777" w:rsidR="005D59D6" w:rsidRPr="00F10C37" w:rsidRDefault="005D59D6" w:rsidP="002D6DD7">
            <w:pPr>
              <w:contextualSpacing/>
              <w:jc w:val="both"/>
              <w:rPr>
                <w:rFonts w:cs="Times New Roman"/>
                <w:szCs w:val="24"/>
              </w:rPr>
            </w:pPr>
            <w:r w:rsidRPr="00F10C37">
              <w:rPr>
                <w:rFonts w:cs="Times New Roman"/>
                <w:szCs w:val="24"/>
              </w:rPr>
              <w:t>Hormone receptor-positive breast cancer</w:t>
            </w:r>
          </w:p>
        </w:tc>
      </w:tr>
      <w:tr w:rsidR="005D59D6" w:rsidRPr="00F10C37" w14:paraId="0DC01CBA" w14:textId="77777777" w:rsidTr="002D6DD7">
        <w:trPr>
          <w:jc w:val="center"/>
        </w:trPr>
        <w:tc>
          <w:tcPr>
            <w:tcW w:w="2898" w:type="dxa"/>
          </w:tcPr>
          <w:p w14:paraId="06D245D0" w14:textId="77777777" w:rsidR="005D59D6" w:rsidRPr="00F10C37" w:rsidRDefault="005D59D6" w:rsidP="002D6DD7">
            <w:pPr>
              <w:jc w:val="both"/>
              <w:rPr>
                <w:rFonts w:cs="Times New Roman"/>
                <w:szCs w:val="24"/>
              </w:rPr>
            </w:pPr>
            <w:r w:rsidRPr="00B11D55">
              <w:rPr>
                <w:rFonts w:cs="Times New Roman"/>
                <w:szCs w:val="24"/>
              </w:rPr>
              <w:t>Dose and administration</w:t>
            </w:r>
          </w:p>
        </w:tc>
        <w:tc>
          <w:tcPr>
            <w:tcW w:w="6570" w:type="dxa"/>
          </w:tcPr>
          <w:p w14:paraId="4BCCE027" w14:textId="77777777" w:rsidR="005D59D6" w:rsidRPr="00F10C37" w:rsidRDefault="005D59D6" w:rsidP="002D6DD7">
            <w:pPr>
              <w:contextualSpacing/>
              <w:jc w:val="both"/>
              <w:rPr>
                <w:rFonts w:cs="Times New Roman"/>
                <w:szCs w:val="24"/>
              </w:rPr>
            </w:pPr>
            <w:r w:rsidRPr="00F10C37">
              <w:rPr>
                <w:rFonts w:cs="Times New Roman"/>
                <w:szCs w:val="24"/>
              </w:rPr>
              <w:t>1 mg orally once daily</w:t>
            </w:r>
          </w:p>
        </w:tc>
      </w:tr>
      <w:tr w:rsidR="005D59D6" w:rsidRPr="00F10C37" w14:paraId="7045F2A2" w14:textId="77777777" w:rsidTr="002D6DD7">
        <w:trPr>
          <w:jc w:val="center"/>
        </w:trPr>
        <w:tc>
          <w:tcPr>
            <w:tcW w:w="2898" w:type="dxa"/>
          </w:tcPr>
          <w:p w14:paraId="1E1AB5E8"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01C150D0" w14:textId="77777777" w:rsidR="005D59D6" w:rsidRPr="00F10C37" w:rsidRDefault="005D59D6" w:rsidP="002D6DD7">
            <w:pPr>
              <w:jc w:val="both"/>
              <w:rPr>
                <w:rFonts w:cs="Times New Roman"/>
                <w:szCs w:val="24"/>
              </w:rPr>
            </w:pPr>
            <w:r w:rsidRPr="00F10C37">
              <w:rPr>
                <w:rFonts w:cs="Times New Roman"/>
                <w:szCs w:val="24"/>
              </w:rPr>
              <w:t>Hypersensitivity to</w:t>
            </w:r>
            <w:r>
              <w:rPr>
                <w:rFonts w:cs="Times New Roman"/>
                <w:szCs w:val="24"/>
              </w:rPr>
              <w:t xml:space="preserve"> the drug</w:t>
            </w:r>
            <w:r w:rsidRPr="00F10C37">
              <w:rPr>
                <w:rFonts w:cs="Times New Roman"/>
                <w:szCs w:val="24"/>
              </w:rPr>
              <w:t>, pregnancy and breastfeeding.</w:t>
            </w:r>
          </w:p>
        </w:tc>
      </w:tr>
      <w:tr w:rsidR="005D59D6" w:rsidRPr="00F10C37" w14:paraId="494D18B2" w14:textId="77777777" w:rsidTr="002D6DD7">
        <w:trPr>
          <w:jc w:val="center"/>
        </w:trPr>
        <w:tc>
          <w:tcPr>
            <w:tcW w:w="2898" w:type="dxa"/>
          </w:tcPr>
          <w:p w14:paraId="467A1E19"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55E18F8E" w14:textId="77777777" w:rsidR="005D59D6" w:rsidRPr="00F10C37" w:rsidRDefault="005D59D6" w:rsidP="002D6DD7">
            <w:pPr>
              <w:contextualSpacing/>
              <w:jc w:val="both"/>
              <w:rPr>
                <w:rFonts w:cs="Times New Roman"/>
                <w:szCs w:val="24"/>
              </w:rPr>
            </w:pPr>
            <w:r w:rsidRPr="00F10C37">
              <w:rPr>
                <w:rFonts w:cs="Times New Roman"/>
                <w:szCs w:val="24"/>
              </w:rPr>
              <w:t>Tamoxifen, warfarin, rifampin, carbamazepine, phenytoin, phenobarbital, ketoconazole, ritonavir, macrolides</w:t>
            </w:r>
          </w:p>
        </w:tc>
      </w:tr>
      <w:tr w:rsidR="005D59D6" w:rsidRPr="00F10C37" w14:paraId="2A78A54A" w14:textId="77777777" w:rsidTr="002D6DD7">
        <w:trPr>
          <w:jc w:val="center"/>
        </w:trPr>
        <w:tc>
          <w:tcPr>
            <w:tcW w:w="2898" w:type="dxa"/>
          </w:tcPr>
          <w:p w14:paraId="2DB943E6"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376EA339" w14:textId="77777777" w:rsidR="005D59D6" w:rsidRPr="00F10C37" w:rsidRDefault="005D59D6" w:rsidP="002D6DD7">
            <w:pPr>
              <w:autoSpaceDE w:val="0"/>
              <w:autoSpaceDN w:val="0"/>
              <w:adjustRightInd w:val="0"/>
              <w:jc w:val="both"/>
              <w:rPr>
                <w:rFonts w:cs="Times New Roman"/>
                <w:szCs w:val="24"/>
              </w:rPr>
            </w:pPr>
            <w:r w:rsidRPr="00F10C37">
              <w:rPr>
                <w:rFonts w:eastAsiaTheme="minorHAnsi" w:cs="Times New Roman"/>
                <w:color w:val="231F20"/>
                <w:kern w:val="0"/>
                <w:szCs w:val="24"/>
                <w:lang w:val="en-US" w:eastAsia="en-US"/>
              </w:rPr>
              <w:t xml:space="preserve">Alopecia, appetite decreased, arthritis, asthenia, bone pain, carpal tunnel syndrome, diarrhea, drowsiness, headache, hot flush, hypercholesterolemia, hypersensitivity, joint disorders, myalgia, </w:t>
            </w:r>
            <w:r w:rsidRPr="00F10C37">
              <w:rPr>
                <w:rFonts w:eastAsiaTheme="minorHAnsi" w:cs="Times New Roman"/>
                <w:color w:val="231F20"/>
                <w:kern w:val="0"/>
                <w:szCs w:val="24"/>
                <w:lang w:val="en-US" w:eastAsia="en-US"/>
              </w:rPr>
              <w:lastRenderedPageBreak/>
              <w:t>nausea, osteoporosis, sensation, abnormal, skin reactions, taste altered, vaginal hemorrhage, vomiting, vulvovaginal dryness</w:t>
            </w:r>
            <w:r>
              <w:rPr>
                <w:rFonts w:eastAsiaTheme="minorHAnsi" w:cs="Times New Roman"/>
                <w:color w:val="231F20"/>
                <w:kern w:val="0"/>
                <w:szCs w:val="24"/>
                <w:lang w:val="en-US" w:eastAsia="en-US"/>
              </w:rPr>
              <w:t>.</w:t>
            </w:r>
          </w:p>
        </w:tc>
      </w:tr>
      <w:tr w:rsidR="005D59D6" w:rsidRPr="00F10C37" w14:paraId="55325FC5" w14:textId="77777777" w:rsidTr="002D6DD7">
        <w:trPr>
          <w:jc w:val="center"/>
        </w:trPr>
        <w:tc>
          <w:tcPr>
            <w:tcW w:w="2898" w:type="dxa"/>
          </w:tcPr>
          <w:p w14:paraId="7169CAB7" w14:textId="77777777" w:rsidR="005D59D6" w:rsidRPr="00F10C37" w:rsidRDefault="005D59D6" w:rsidP="002D6DD7">
            <w:pPr>
              <w:ind w:firstLine="90"/>
              <w:jc w:val="both"/>
              <w:rPr>
                <w:rFonts w:cs="Times New Roman"/>
                <w:szCs w:val="24"/>
              </w:rPr>
            </w:pPr>
            <w:r w:rsidRPr="00F10C37">
              <w:rPr>
                <w:rFonts w:cs="Times New Roman"/>
                <w:szCs w:val="24"/>
              </w:rPr>
              <w:lastRenderedPageBreak/>
              <w:t xml:space="preserve">Cautions </w:t>
            </w:r>
          </w:p>
        </w:tc>
        <w:tc>
          <w:tcPr>
            <w:tcW w:w="6570" w:type="dxa"/>
          </w:tcPr>
          <w:p w14:paraId="0292CF96" w14:textId="77777777" w:rsidR="005D59D6" w:rsidRPr="00F10C37" w:rsidRDefault="005D59D6" w:rsidP="002D6DD7">
            <w:pPr>
              <w:jc w:val="both"/>
              <w:rPr>
                <w:rFonts w:cs="Times New Roman"/>
                <w:szCs w:val="24"/>
              </w:rPr>
            </w:pPr>
            <w:r w:rsidRPr="00F10C37">
              <w:rPr>
                <w:rFonts w:cs="Times New Roman"/>
                <w:szCs w:val="24"/>
              </w:rPr>
              <w:t xml:space="preserve">Hepatic impairment, pre-existing cardiovascular risk factors, </w:t>
            </w:r>
            <w:r>
              <w:rPr>
                <w:rFonts w:cs="Times New Roman"/>
                <w:szCs w:val="24"/>
              </w:rPr>
              <w:t xml:space="preserve">low </w:t>
            </w:r>
            <w:r w:rsidRPr="00F10C37">
              <w:rPr>
                <w:rFonts w:cs="Times New Roman"/>
                <w:szCs w:val="24"/>
              </w:rPr>
              <w:t xml:space="preserve">bone mineral density. </w:t>
            </w:r>
          </w:p>
        </w:tc>
      </w:tr>
      <w:tr w:rsidR="005D59D6" w:rsidRPr="00F10C37" w14:paraId="3700557F" w14:textId="77777777" w:rsidTr="002D6DD7">
        <w:trPr>
          <w:jc w:val="center"/>
        </w:trPr>
        <w:tc>
          <w:tcPr>
            <w:tcW w:w="2898" w:type="dxa"/>
          </w:tcPr>
          <w:p w14:paraId="0890DDD7"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389B4059" w14:textId="77777777" w:rsidR="005D59D6" w:rsidRPr="00F10C37" w:rsidRDefault="005D59D6" w:rsidP="002D6DD7">
            <w:pPr>
              <w:jc w:val="both"/>
              <w:rPr>
                <w:rFonts w:cs="Times New Roman"/>
                <w:szCs w:val="24"/>
              </w:rPr>
            </w:pPr>
            <w:r w:rsidRPr="00F10C37">
              <w:rPr>
                <w:rFonts w:cs="Times New Roman"/>
                <w:szCs w:val="24"/>
              </w:rPr>
              <w:t>Store below 30°C. Protect from moisture and light.</w:t>
            </w:r>
          </w:p>
        </w:tc>
      </w:tr>
      <w:tr w:rsidR="005D59D6" w:rsidRPr="00F10C37" w14:paraId="0AE5DA59" w14:textId="77777777" w:rsidTr="002D6DD7">
        <w:trPr>
          <w:jc w:val="center"/>
        </w:trPr>
        <w:tc>
          <w:tcPr>
            <w:tcW w:w="9468" w:type="dxa"/>
            <w:gridSpan w:val="2"/>
          </w:tcPr>
          <w:p w14:paraId="22DCC7B3" w14:textId="77777777" w:rsidR="005D59D6" w:rsidRPr="00F10C37" w:rsidRDefault="005D59D6" w:rsidP="002D6DD7">
            <w:pPr>
              <w:jc w:val="both"/>
              <w:rPr>
                <w:rFonts w:cs="Times New Roman"/>
                <w:szCs w:val="24"/>
              </w:rPr>
            </w:pPr>
            <w:r w:rsidRPr="00F10C37">
              <w:rPr>
                <w:rFonts w:cs="Times New Roman"/>
                <w:b/>
                <w:bCs/>
                <w:szCs w:val="24"/>
              </w:rPr>
              <w:t>Bicalutamide</w:t>
            </w:r>
          </w:p>
        </w:tc>
      </w:tr>
      <w:tr w:rsidR="005D59D6" w:rsidRPr="00F10C37" w14:paraId="56D7130C" w14:textId="77777777" w:rsidTr="002D6DD7">
        <w:trPr>
          <w:jc w:val="center"/>
        </w:trPr>
        <w:tc>
          <w:tcPr>
            <w:tcW w:w="2898" w:type="dxa"/>
          </w:tcPr>
          <w:p w14:paraId="2EF64447"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38A61742" w14:textId="77777777" w:rsidR="005D59D6" w:rsidRPr="00F10C37" w:rsidRDefault="005D59D6" w:rsidP="002D6DD7">
            <w:pPr>
              <w:jc w:val="both"/>
              <w:rPr>
                <w:rFonts w:cs="Times New Roman"/>
                <w:szCs w:val="24"/>
              </w:rPr>
            </w:pPr>
            <w:r w:rsidRPr="00F10C37">
              <w:rPr>
                <w:rFonts w:cs="Times New Roman"/>
                <w:szCs w:val="24"/>
              </w:rPr>
              <w:t xml:space="preserve">Antineoplastic agent, antiandrogen </w:t>
            </w:r>
          </w:p>
        </w:tc>
      </w:tr>
      <w:tr w:rsidR="005D59D6" w:rsidRPr="00F10C37" w14:paraId="5612E011" w14:textId="77777777" w:rsidTr="002D6DD7">
        <w:trPr>
          <w:jc w:val="center"/>
        </w:trPr>
        <w:tc>
          <w:tcPr>
            <w:tcW w:w="2898" w:type="dxa"/>
          </w:tcPr>
          <w:p w14:paraId="1402858F"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3FCA7C64" w14:textId="77777777" w:rsidR="005D59D6" w:rsidRPr="00F10C37" w:rsidRDefault="005D59D6" w:rsidP="002D6DD7">
            <w:pPr>
              <w:jc w:val="both"/>
              <w:rPr>
                <w:rFonts w:cs="Times New Roman"/>
                <w:szCs w:val="24"/>
              </w:rPr>
            </w:pPr>
            <w:r w:rsidRPr="00F10C37">
              <w:rPr>
                <w:rFonts w:cs="Times New Roman"/>
                <w:iCs/>
                <w:szCs w:val="24"/>
              </w:rPr>
              <w:t>Tablet: 50 mg</w:t>
            </w:r>
          </w:p>
        </w:tc>
      </w:tr>
      <w:tr w:rsidR="005D59D6" w:rsidRPr="00F10C37" w14:paraId="565578C3" w14:textId="77777777" w:rsidTr="002D6DD7">
        <w:trPr>
          <w:jc w:val="center"/>
        </w:trPr>
        <w:tc>
          <w:tcPr>
            <w:tcW w:w="2898" w:type="dxa"/>
          </w:tcPr>
          <w:p w14:paraId="2D2AE0EA"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61034AB2" w14:textId="77777777" w:rsidR="005D59D6" w:rsidRPr="00F10C37" w:rsidRDefault="005D59D6" w:rsidP="002D6DD7">
            <w:pPr>
              <w:jc w:val="both"/>
              <w:rPr>
                <w:rFonts w:cs="Times New Roman"/>
                <w:szCs w:val="24"/>
              </w:rPr>
            </w:pPr>
            <w:r w:rsidRPr="00F10C37">
              <w:rPr>
                <w:rFonts w:cs="Times New Roman"/>
                <w:szCs w:val="24"/>
              </w:rPr>
              <w:t xml:space="preserve">Prostate cancer </w:t>
            </w:r>
          </w:p>
        </w:tc>
      </w:tr>
      <w:tr w:rsidR="005D59D6" w:rsidRPr="00F10C37" w14:paraId="39800A1F" w14:textId="77777777" w:rsidTr="002D6DD7">
        <w:trPr>
          <w:jc w:val="center"/>
        </w:trPr>
        <w:tc>
          <w:tcPr>
            <w:tcW w:w="2898" w:type="dxa"/>
          </w:tcPr>
          <w:p w14:paraId="2806B279"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23F9996F" w14:textId="77777777" w:rsidR="005D59D6" w:rsidRPr="00F10C37" w:rsidRDefault="005D59D6" w:rsidP="002D6DD7">
            <w:pPr>
              <w:contextualSpacing/>
              <w:jc w:val="both"/>
              <w:rPr>
                <w:rFonts w:cs="Times New Roman"/>
                <w:szCs w:val="24"/>
              </w:rPr>
            </w:pPr>
            <w:r w:rsidRPr="00F10C37">
              <w:rPr>
                <w:rFonts w:cs="Times New Roman"/>
                <w:szCs w:val="24"/>
              </w:rPr>
              <w:t xml:space="preserve">50 mg PO once daily if it is combined with LHRH analogue or surgical castration, </w:t>
            </w:r>
            <w:r>
              <w:rPr>
                <w:rFonts w:cs="Times New Roman"/>
                <w:szCs w:val="24"/>
              </w:rPr>
              <w:t xml:space="preserve">or </w:t>
            </w:r>
            <w:r w:rsidRPr="00F10C37">
              <w:rPr>
                <w:rFonts w:cs="Times New Roman"/>
                <w:szCs w:val="24"/>
              </w:rPr>
              <w:t>150 mg once daily as monotherapy.</w:t>
            </w:r>
          </w:p>
        </w:tc>
      </w:tr>
      <w:tr w:rsidR="005D59D6" w:rsidRPr="00F10C37" w14:paraId="6AAEEE5C" w14:textId="77777777" w:rsidTr="002D6DD7">
        <w:trPr>
          <w:jc w:val="center"/>
        </w:trPr>
        <w:tc>
          <w:tcPr>
            <w:tcW w:w="2898" w:type="dxa"/>
          </w:tcPr>
          <w:p w14:paraId="00111617"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2A892721"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cs="Times New Roman"/>
                <w:szCs w:val="24"/>
              </w:rPr>
              <w:t xml:space="preserve">Hypersensitivity to </w:t>
            </w:r>
            <w:r>
              <w:rPr>
                <w:rFonts w:cs="Times New Roman"/>
                <w:szCs w:val="24"/>
              </w:rPr>
              <w:t>the drug</w:t>
            </w:r>
            <w:r w:rsidRPr="00F10C37">
              <w:rPr>
                <w:rFonts w:cs="Times New Roman"/>
                <w:szCs w:val="24"/>
              </w:rPr>
              <w:t>, severe hepatic impairment</w:t>
            </w:r>
            <w:r w:rsidRPr="00F10C37">
              <w:rPr>
                <w:rFonts w:eastAsiaTheme="minorHAnsi" w:cs="Times New Roman"/>
                <w:kern w:val="0"/>
                <w:szCs w:val="24"/>
                <w:lang w:val="en-US" w:eastAsia="en-US"/>
              </w:rPr>
              <w:t xml:space="preserve">, under the age of 18 years, females, and co-administration with terfenadine, astemizole or cisapride. </w:t>
            </w:r>
          </w:p>
        </w:tc>
      </w:tr>
      <w:tr w:rsidR="005D59D6" w:rsidRPr="00F10C37" w14:paraId="6E898EED" w14:textId="77777777" w:rsidTr="002D6DD7">
        <w:trPr>
          <w:jc w:val="center"/>
        </w:trPr>
        <w:tc>
          <w:tcPr>
            <w:tcW w:w="2898" w:type="dxa"/>
          </w:tcPr>
          <w:p w14:paraId="53FB30F0" w14:textId="77777777" w:rsidR="005D59D6" w:rsidRPr="00F10C37" w:rsidRDefault="005D59D6" w:rsidP="002D6DD7">
            <w:pPr>
              <w:ind w:firstLine="90"/>
              <w:jc w:val="both"/>
              <w:rPr>
                <w:rFonts w:cs="Times New Roman"/>
                <w:szCs w:val="24"/>
              </w:rPr>
            </w:pPr>
            <w:r w:rsidRPr="00F10C37">
              <w:rPr>
                <w:rFonts w:cs="Times New Roman"/>
                <w:szCs w:val="24"/>
              </w:rPr>
              <w:t>Drug interactions</w:t>
            </w:r>
          </w:p>
        </w:tc>
        <w:tc>
          <w:tcPr>
            <w:tcW w:w="6570" w:type="dxa"/>
          </w:tcPr>
          <w:p w14:paraId="66914825" w14:textId="77777777" w:rsidR="005D59D6" w:rsidRPr="00F10C37" w:rsidRDefault="005D59D6" w:rsidP="002D6DD7">
            <w:pPr>
              <w:contextualSpacing/>
              <w:jc w:val="both"/>
              <w:rPr>
                <w:rFonts w:cs="Times New Roman"/>
                <w:szCs w:val="24"/>
              </w:rPr>
            </w:pPr>
            <w:r w:rsidRPr="00F10C37">
              <w:rPr>
                <w:rFonts w:cs="Times New Roman"/>
                <w:szCs w:val="24"/>
              </w:rPr>
              <w:t>Ketoconazole, itraconazole, ritonavir, rifampin, phenytoin, carbamazepine, warfarin.</w:t>
            </w:r>
          </w:p>
        </w:tc>
      </w:tr>
      <w:tr w:rsidR="005D59D6" w:rsidRPr="00F10C37" w14:paraId="10242278" w14:textId="77777777" w:rsidTr="002D6DD7">
        <w:trPr>
          <w:jc w:val="center"/>
        </w:trPr>
        <w:tc>
          <w:tcPr>
            <w:tcW w:w="2898" w:type="dxa"/>
          </w:tcPr>
          <w:p w14:paraId="2E3D11FC" w14:textId="77777777" w:rsidR="005D59D6" w:rsidRPr="00F10C37" w:rsidRDefault="005D59D6" w:rsidP="002D6DD7">
            <w:pPr>
              <w:ind w:firstLine="90"/>
              <w:jc w:val="both"/>
              <w:rPr>
                <w:rFonts w:cs="Times New Roman"/>
                <w:szCs w:val="24"/>
              </w:rPr>
            </w:pPr>
            <w:r w:rsidRPr="00F10C37">
              <w:rPr>
                <w:rFonts w:cs="Times New Roman"/>
                <w:szCs w:val="24"/>
              </w:rPr>
              <w:t>Side effects</w:t>
            </w:r>
          </w:p>
        </w:tc>
        <w:tc>
          <w:tcPr>
            <w:tcW w:w="6570" w:type="dxa"/>
            <w:shd w:val="clear" w:color="auto" w:fill="auto"/>
          </w:tcPr>
          <w:p w14:paraId="77E7BBFF"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Alopecia, anemia, appetite decreased, asthenia, breast tenderness, chest pain, constipation, depression, dizziness, drowsiness, flatulence, gastrointestinal discomfort, gynecomastia, hematuria, hair changes, hepatic disorders, hot flush, hypertransaminasaemia, nausea, edema, sexual dysfunction, skin reactions, weight increased.</w:t>
            </w:r>
          </w:p>
        </w:tc>
      </w:tr>
      <w:tr w:rsidR="005D59D6" w:rsidRPr="00F10C37" w14:paraId="70C9AB74" w14:textId="77777777" w:rsidTr="002D6DD7">
        <w:trPr>
          <w:jc w:val="center"/>
        </w:trPr>
        <w:tc>
          <w:tcPr>
            <w:tcW w:w="2898" w:type="dxa"/>
          </w:tcPr>
          <w:p w14:paraId="554B20BF" w14:textId="77777777" w:rsidR="005D59D6" w:rsidRPr="00F10C37" w:rsidRDefault="005D59D6" w:rsidP="002D6DD7">
            <w:pPr>
              <w:ind w:firstLine="90"/>
              <w:jc w:val="both"/>
              <w:rPr>
                <w:rFonts w:cs="Times New Roman"/>
                <w:szCs w:val="24"/>
              </w:rPr>
            </w:pPr>
            <w:r w:rsidRPr="00F10C37">
              <w:rPr>
                <w:rFonts w:cs="Times New Roman"/>
                <w:szCs w:val="24"/>
              </w:rPr>
              <w:t xml:space="preserve">Cautions </w:t>
            </w:r>
          </w:p>
        </w:tc>
        <w:tc>
          <w:tcPr>
            <w:tcW w:w="6570" w:type="dxa"/>
          </w:tcPr>
          <w:p w14:paraId="3E342058"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Risk of photosensitivity</w:t>
            </w:r>
            <w:r w:rsidRPr="00F10C37">
              <w:rPr>
                <w:rFonts w:cs="Times New Roman"/>
                <w:color w:val="231F20"/>
                <w:szCs w:val="24"/>
              </w:rPr>
              <w:t xml:space="preserve">, </w:t>
            </w:r>
            <w:r>
              <w:rPr>
                <w:rFonts w:cs="Times New Roman"/>
                <w:color w:val="231F20"/>
                <w:szCs w:val="24"/>
              </w:rPr>
              <w:t>liver impairment</w:t>
            </w:r>
            <w:r w:rsidRPr="00F10C37">
              <w:rPr>
                <w:rFonts w:cs="Times New Roman"/>
                <w:szCs w:val="24"/>
              </w:rPr>
              <w:t xml:space="preserve">, and signs of gynecomastia. </w:t>
            </w:r>
          </w:p>
        </w:tc>
      </w:tr>
      <w:tr w:rsidR="005D59D6" w:rsidRPr="00F10C37" w14:paraId="08F3291C" w14:textId="77777777" w:rsidTr="002D6DD7">
        <w:trPr>
          <w:jc w:val="center"/>
        </w:trPr>
        <w:tc>
          <w:tcPr>
            <w:tcW w:w="2898" w:type="dxa"/>
          </w:tcPr>
          <w:p w14:paraId="03C37908"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7D06CCFE" w14:textId="77777777" w:rsidR="005D59D6" w:rsidRPr="00F10C37" w:rsidRDefault="005D59D6" w:rsidP="002D6DD7">
            <w:pPr>
              <w:jc w:val="both"/>
              <w:rPr>
                <w:rFonts w:cs="Times New Roman"/>
                <w:szCs w:val="24"/>
              </w:rPr>
            </w:pPr>
            <w:r w:rsidRPr="00F10C37">
              <w:rPr>
                <w:rFonts w:cs="Times New Roman"/>
                <w:szCs w:val="24"/>
              </w:rPr>
              <w:t>Store below 30°C. Protect from moisture and light.</w:t>
            </w:r>
          </w:p>
        </w:tc>
      </w:tr>
      <w:tr w:rsidR="005D59D6" w:rsidRPr="00F10C37" w14:paraId="1343AD54" w14:textId="77777777" w:rsidTr="002D6DD7">
        <w:trPr>
          <w:jc w:val="center"/>
        </w:trPr>
        <w:tc>
          <w:tcPr>
            <w:tcW w:w="9468" w:type="dxa"/>
            <w:gridSpan w:val="2"/>
          </w:tcPr>
          <w:p w14:paraId="737CBBF5" w14:textId="77777777" w:rsidR="005D59D6" w:rsidRPr="00F10C37" w:rsidRDefault="005D59D6" w:rsidP="002D6DD7">
            <w:pPr>
              <w:jc w:val="both"/>
              <w:rPr>
                <w:rFonts w:cs="Times New Roman"/>
                <w:szCs w:val="24"/>
              </w:rPr>
            </w:pPr>
            <w:r w:rsidRPr="00F10C37">
              <w:rPr>
                <w:rFonts w:cs="Times New Roman"/>
                <w:b/>
                <w:bCs/>
                <w:szCs w:val="24"/>
              </w:rPr>
              <w:t>Cabergoline</w:t>
            </w:r>
          </w:p>
        </w:tc>
      </w:tr>
      <w:tr w:rsidR="005D59D6" w:rsidRPr="00F10C37" w14:paraId="1FE679AF" w14:textId="77777777" w:rsidTr="002D6DD7">
        <w:trPr>
          <w:jc w:val="center"/>
        </w:trPr>
        <w:tc>
          <w:tcPr>
            <w:tcW w:w="2898" w:type="dxa"/>
          </w:tcPr>
          <w:p w14:paraId="265D24CB"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5E5938D7" w14:textId="77777777" w:rsidR="005D59D6" w:rsidRPr="00F10C37" w:rsidRDefault="005D59D6" w:rsidP="002D6DD7">
            <w:pPr>
              <w:jc w:val="both"/>
              <w:rPr>
                <w:rFonts w:cs="Times New Roman"/>
                <w:szCs w:val="24"/>
              </w:rPr>
            </w:pPr>
            <w:r w:rsidRPr="00F10C37">
              <w:rPr>
                <w:rFonts w:cs="Times New Roman"/>
                <w:szCs w:val="24"/>
              </w:rPr>
              <w:t>Dopamine receptor agonist, prolactin inhibitor</w:t>
            </w:r>
          </w:p>
        </w:tc>
      </w:tr>
      <w:tr w:rsidR="005D59D6" w:rsidRPr="00F10C37" w14:paraId="578227E8" w14:textId="77777777" w:rsidTr="002D6DD7">
        <w:trPr>
          <w:jc w:val="center"/>
        </w:trPr>
        <w:tc>
          <w:tcPr>
            <w:tcW w:w="2898" w:type="dxa"/>
          </w:tcPr>
          <w:p w14:paraId="67D6DF6D"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394642EC" w14:textId="77777777" w:rsidR="005D59D6" w:rsidRPr="00F10C37" w:rsidRDefault="005D59D6" w:rsidP="002D6DD7">
            <w:pPr>
              <w:jc w:val="both"/>
              <w:rPr>
                <w:rFonts w:cs="Times New Roman"/>
                <w:szCs w:val="24"/>
              </w:rPr>
            </w:pPr>
            <w:r w:rsidRPr="00F10C37">
              <w:rPr>
                <w:rFonts w:cs="Times New Roman"/>
                <w:iCs/>
                <w:szCs w:val="24"/>
              </w:rPr>
              <w:t>Tablet: 0.5mg, 1mg</w:t>
            </w:r>
          </w:p>
        </w:tc>
      </w:tr>
      <w:tr w:rsidR="005D59D6" w:rsidRPr="00F10C37" w14:paraId="5927A150" w14:textId="77777777" w:rsidTr="002D6DD7">
        <w:trPr>
          <w:jc w:val="center"/>
        </w:trPr>
        <w:tc>
          <w:tcPr>
            <w:tcW w:w="2898" w:type="dxa"/>
          </w:tcPr>
          <w:p w14:paraId="3741D6C2"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73D8A465" w14:textId="77777777" w:rsidR="005D59D6" w:rsidRPr="00F10C37" w:rsidRDefault="005D59D6" w:rsidP="002D6DD7">
            <w:pPr>
              <w:jc w:val="both"/>
              <w:rPr>
                <w:rFonts w:cs="Times New Roman"/>
                <w:szCs w:val="24"/>
              </w:rPr>
            </w:pPr>
            <w:r w:rsidRPr="00F10C37">
              <w:rPr>
                <w:rFonts w:cs="Times New Roman"/>
                <w:szCs w:val="24"/>
              </w:rPr>
              <w:t xml:space="preserve">Prolactin-secreting adenomas (prolactinomas), idiopathic hyperprolactinemia, suppression of physiological lactation after </w:t>
            </w:r>
            <w:r w:rsidRPr="00F10C37">
              <w:rPr>
                <w:rFonts w:cs="Times New Roman"/>
                <w:szCs w:val="24"/>
              </w:rPr>
              <w:lastRenderedPageBreak/>
              <w:t>childbirth, when breastfeeding is not desired or contraindicated.</w:t>
            </w:r>
          </w:p>
        </w:tc>
      </w:tr>
      <w:tr w:rsidR="005D59D6" w:rsidRPr="00F10C37" w14:paraId="19AC0553" w14:textId="77777777" w:rsidTr="002D6DD7">
        <w:trPr>
          <w:jc w:val="center"/>
        </w:trPr>
        <w:tc>
          <w:tcPr>
            <w:tcW w:w="2898" w:type="dxa"/>
          </w:tcPr>
          <w:p w14:paraId="6064662F" w14:textId="77777777" w:rsidR="005D59D6" w:rsidRPr="00F10C37" w:rsidRDefault="005D59D6" w:rsidP="002D6DD7">
            <w:pPr>
              <w:jc w:val="both"/>
              <w:rPr>
                <w:rFonts w:cs="Times New Roman"/>
                <w:szCs w:val="24"/>
              </w:rPr>
            </w:pPr>
            <w:r w:rsidRPr="00F10C37">
              <w:rPr>
                <w:rFonts w:cs="Times New Roman"/>
                <w:szCs w:val="24"/>
              </w:rPr>
              <w:lastRenderedPageBreak/>
              <w:t>Dose and administration</w:t>
            </w:r>
          </w:p>
        </w:tc>
        <w:tc>
          <w:tcPr>
            <w:tcW w:w="6570" w:type="dxa"/>
          </w:tcPr>
          <w:p w14:paraId="06B0F70A" w14:textId="77777777" w:rsidR="005D59D6" w:rsidRPr="00F10C37" w:rsidRDefault="005D59D6" w:rsidP="002D6DD7">
            <w:pPr>
              <w:contextualSpacing/>
              <w:jc w:val="both"/>
              <w:rPr>
                <w:rFonts w:cs="Times New Roman"/>
                <w:szCs w:val="24"/>
              </w:rPr>
            </w:pPr>
            <w:r w:rsidRPr="00F10C37">
              <w:rPr>
                <w:rFonts w:cs="Times New Roman"/>
                <w:b/>
                <w:szCs w:val="24"/>
              </w:rPr>
              <w:t>Prevention of lactation:</w:t>
            </w:r>
            <w:r w:rsidRPr="00F10C37">
              <w:rPr>
                <w:rFonts w:cs="Times New Roman"/>
                <w:szCs w:val="24"/>
              </w:rPr>
              <w:t xml:space="preserve"> 1mg single dose in postpartum.</w:t>
            </w:r>
          </w:p>
          <w:p w14:paraId="4E01E591" w14:textId="77777777" w:rsidR="005D59D6" w:rsidRPr="00F10C37" w:rsidRDefault="005D59D6" w:rsidP="002D6DD7">
            <w:pPr>
              <w:contextualSpacing/>
              <w:jc w:val="both"/>
              <w:rPr>
                <w:rFonts w:cs="Times New Roman"/>
                <w:szCs w:val="24"/>
              </w:rPr>
            </w:pPr>
            <w:r w:rsidRPr="00F10C37">
              <w:rPr>
                <w:rFonts w:cs="Times New Roman"/>
                <w:b/>
                <w:szCs w:val="24"/>
              </w:rPr>
              <w:t>Suppression of physiological lactation</w:t>
            </w:r>
            <w:r w:rsidRPr="00F10C37">
              <w:rPr>
                <w:rFonts w:cs="Times New Roman"/>
                <w:szCs w:val="24"/>
              </w:rPr>
              <w:t>: 0.25 mg bid for two days.</w:t>
            </w:r>
          </w:p>
          <w:p w14:paraId="39D0C896" w14:textId="77777777" w:rsidR="005D59D6" w:rsidRPr="00F10C37" w:rsidRDefault="005D59D6" w:rsidP="002D6DD7">
            <w:pPr>
              <w:contextualSpacing/>
              <w:jc w:val="both"/>
              <w:rPr>
                <w:rFonts w:cs="Times New Roman"/>
                <w:szCs w:val="24"/>
              </w:rPr>
            </w:pPr>
            <w:r w:rsidRPr="00F10C37">
              <w:rPr>
                <w:rFonts w:cs="Times New Roman"/>
                <w:b/>
                <w:szCs w:val="24"/>
              </w:rPr>
              <w:t>Hyperprolactinemic disorders</w:t>
            </w:r>
            <w:r w:rsidRPr="00F10C37">
              <w:rPr>
                <w:rFonts w:cs="Times New Roman"/>
                <w:szCs w:val="24"/>
              </w:rPr>
              <w:t>: 0.25 mg twice weekly. The dosage may be gradually increased at 4-week intervals based on prolactin levels and clinical response, up to a maximum dosage of 1 mg twice weekly.</w:t>
            </w:r>
          </w:p>
        </w:tc>
      </w:tr>
      <w:tr w:rsidR="005D59D6" w:rsidRPr="00F10C37" w14:paraId="358029AB" w14:textId="77777777" w:rsidTr="002D6DD7">
        <w:trPr>
          <w:jc w:val="center"/>
        </w:trPr>
        <w:tc>
          <w:tcPr>
            <w:tcW w:w="2898" w:type="dxa"/>
          </w:tcPr>
          <w:p w14:paraId="77550B07"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14950F7F"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Pr>
                <w:rFonts w:cs="Times New Roman"/>
                <w:szCs w:val="24"/>
              </w:rPr>
              <w:t>H</w:t>
            </w:r>
            <w:r w:rsidRPr="00F10C37">
              <w:rPr>
                <w:rFonts w:cs="Times New Roman"/>
                <w:szCs w:val="24"/>
              </w:rPr>
              <w:t xml:space="preserve">ypersensitivity to </w:t>
            </w:r>
            <w:r>
              <w:rPr>
                <w:rFonts w:cs="Times New Roman"/>
                <w:szCs w:val="24"/>
              </w:rPr>
              <w:t>the drug,</w:t>
            </w:r>
            <w:r w:rsidRPr="00F10C37">
              <w:rPr>
                <w:rFonts w:eastAsiaTheme="minorHAnsi" w:cs="Times New Roman"/>
                <w:color w:val="231F20"/>
                <w:kern w:val="0"/>
                <w:szCs w:val="24"/>
                <w:lang w:val="en-US" w:eastAsia="en-US"/>
              </w:rPr>
              <w:t xml:space="preserve"> </w:t>
            </w:r>
            <w:r>
              <w:rPr>
                <w:rFonts w:eastAsiaTheme="minorHAnsi" w:cs="Times New Roman"/>
                <w:color w:val="231F20"/>
                <w:kern w:val="0"/>
                <w:szCs w:val="24"/>
                <w:lang w:val="en-US" w:eastAsia="en-US"/>
              </w:rPr>
              <w:t>p</w:t>
            </w:r>
            <w:r w:rsidRPr="00F10C37">
              <w:rPr>
                <w:rFonts w:eastAsiaTheme="minorHAnsi" w:cs="Times New Roman"/>
                <w:color w:val="231F20"/>
                <w:kern w:val="0"/>
                <w:szCs w:val="24"/>
                <w:lang w:val="en-US" w:eastAsia="en-US"/>
              </w:rPr>
              <w:t>re-eclampsia, cardiac valvulopathy, history of pericardial fibrotic disorders, history of puerperal psychosis, history of pulmonary fibrotic disorders, history of retroperitoneal fibrotic disorders</w:t>
            </w:r>
            <w:r>
              <w:rPr>
                <w:rFonts w:eastAsiaTheme="minorHAnsi" w:cs="Times New Roman"/>
                <w:color w:val="231F20"/>
                <w:kern w:val="0"/>
                <w:szCs w:val="24"/>
                <w:lang w:val="en-US" w:eastAsia="en-US"/>
              </w:rPr>
              <w:t>.</w:t>
            </w:r>
          </w:p>
        </w:tc>
      </w:tr>
      <w:tr w:rsidR="005D59D6" w:rsidRPr="00F10C37" w14:paraId="73D31F48" w14:textId="77777777" w:rsidTr="002D6DD7">
        <w:trPr>
          <w:jc w:val="center"/>
        </w:trPr>
        <w:tc>
          <w:tcPr>
            <w:tcW w:w="2898" w:type="dxa"/>
          </w:tcPr>
          <w:p w14:paraId="10CB573F" w14:textId="77777777" w:rsidR="005D59D6" w:rsidRPr="00F10C37" w:rsidRDefault="005D59D6" w:rsidP="002D6DD7">
            <w:pPr>
              <w:ind w:firstLine="90"/>
              <w:jc w:val="both"/>
              <w:rPr>
                <w:rFonts w:cs="Times New Roman"/>
                <w:szCs w:val="24"/>
              </w:rPr>
            </w:pPr>
            <w:r w:rsidRPr="00F10C37">
              <w:rPr>
                <w:rFonts w:cs="Times New Roman"/>
                <w:szCs w:val="24"/>
              </w:rPr>
              <w:t>Drug interactions</w:t>
            </w:r>
          </w:p>
        </w:tc>
        <w:tc>
          <w:tcPr>
            <w:tcW w:w="6570" w:type="dxa"/>
          </w:tcPr>
          <w:p w14:paraId="63DEC25C" w14:textId="77777777" w:rsidR="005D59D6" w:rsidRPr="00F10C37" w:rsidRDefault="005D59D6" w:rsidP="002D6DD7">
            <w:pPr>
              <w:contextualSpacing/>
              <w:jc w:val="both"/>
              <w:rPr>
                <w:rFonts w:cs="Times New Roman"/>
                <w:szCs w:val="24"/>
              </w:rPr>
            </w:pPr>
            <w:r w:rsidRPr="00F10C37">
              <w:rPr>
                <w:rFonts w:cs="Times New Roman"/>
                <w:szCs w:val="24"/>
              </w:rPr>
              <w:t>Antipsychotics, ergot alkaloids, macrolide antibiotics, azole antifungals, metoclopramide.</w:t>
            </w:r>
          </w:p>
        </w:tc>
      </w:tr>
      <w:tr w:rsidR="005D59D6" w:rsidRPr="00F10C37" w14:paraId="23717B42" w14:textId="77777777" w:rsidTr="002D6DD7">
        <w:trPr>
          <w:jc w:val="center"/>
        </w:trPr>
        <w:tc>
          <w:tcPr>
            <w:tcW w:w="2898" w:type="dxa"/>
          </w:tcPr>
          <w:p w14:paraId="05640186" w14:textId="77777777" w:rsidR="005D59D6" w:rsidRPr="00F10C37" w:rsidRDefault="005D59D6" w:rsidP="002D6DD7">
            <w:pPr>
              <w:ind w:firstLine="90"/>
              <w:jc w:val="both"/>
              <w:rPr>
                <w:rFonts w:cs="Times New Roman"/>
                <w:szCs w:val="24"/>
              </w:rPr>
            </w:pPr>
            <w:r w:rsidRPr="00F10C37">
              <w:rPr>
                <w:rFonts w:cs="Times New Roman"/>
                <w:szCs w:val="24"/>
              </w:rPr>
              <w:t>Side effects</w:t>
            </w:r>
          </w:p>
        </w:tc>
        <w:tc>
          <w:tcPr>
            <w:tcW w:w="6570" w:type="dxa"/>
            <w:shd w:val="clear" w:color="auto" w:fill="auto"/>
          </w:tcPr>
          <w:p w14:paraId="689B289A"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Angina pectoris, asthenia, cardiac valvulopathy, confusion, constipation, dizziness, drowsiness, dyspepsia, dyspnea, gastritis, hallucination, headache, hypotension, movement disorders, nausea, edema, pericardial effusion, pericarditis, sexual dysfunction, sleep disorders, vertigo, vomiting</w:t>
            </w:r>
          </w:p>
        </w:tc>
      </w:tr>
      <w:tr w:rsidR="005D59D6" w:rsidRPr="00F10C37" w14:paraId="1CD76F55" w14:textId="77777777" w:rsidTr="002D6DD7">
        <w:trPr>
          <w:trHeight w:val="1334"/>
          <w:jc w:val="center"/>
        </w:trPr>
        <w:tc>
          <w:tcPr>
            <w:tcW w:w="2898" w:type="dxa"/>
          </w:tcPr>
          <w:p w14:paraId="53924840" w14:textId="77777777" w:rsidR="005D59D6" w:rsidRPr="00F10C37" w:rsidRDefault="005D59D6" w:rsidP="002D6DD7">
            <w:pPr>
              <w:ind w:firstLine="90"/>
              <w:jc w:val="both"/>
              <w:rPr>
                <w:rFonts w:cs="Times New Roman"/>
                <w:szCs w:val="24"/>
              </w:rPr>
            </w:pPr>
            <w:r w:rsidRPr="00F10C37">
              <w:rPr>
                <w:rFonts w:cs="Times New Roman"/>
                <w:szCs w:val="24"/>
              </w:rPr>
              <w:t xml:space="preserve">Cautions </w:t>
            </w:r>
          </w:p>
        </w:tc>
        <w:tc>
          <w:tcPr>
            <w:tcW w:w="6570" w:type="dxa"/>
          </w:tcPr>
          <w:p w14:paraId="2DEA9EB6"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Cardiovascular disease, history of peptic ulcer, history of serious mental disorders (especially psychotic disorders), postpartum hypertension, Raynaud’s syndrome</w:t>
            </w:r>
            <w:r w:rsidRPr="00F10C37">
              <w:rPr>
                <w:rFonts w:cs="Times New Roman"/>
                <w:color w:val="231F20"/>
                <w:szCs w:val="24"/>
              </w:rPr>
              <w:t>.</w:t>
            </w:r>
          </w:p>
        </w:tc>
      </w:tr>
      <w:tr w:rsidR="005D59D6" w:rsidRPr="00F10C37" w14:paraId="47F2A426" w14:textId="77777777" w:rsidTr="002D6DD7">
        <w:trPr>
          <w:jc w:val="center"/>
        </w:trPr>
        <w:tc>
          <w:tcPr>
            <w:tcW w:w="2898" w:type="dxa"/>
          </w:tcPr>
          <w:p w14:paraId="0FD6C0BC"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3CACB042" w14:textId="77777777" w:rsidR="005D59D6" w:rsidRPr="00F10C37" w:rsidRDefault="005D59D6" w:rsidP="002D6DD7">
            <w:pPr>
              <w:contextualSpacing/>
              <w:jc w:val="both"/>
              <w:rPr>
                <w:rFonts w:cs="Times New Roman"/>
                <w:szCs w:val="24"/>
              </w:rPr>
            </w:pPr>
            <w:r w:rsidRPr="00F10C37">
              <w:rPr>
                <w:rFonts w:cs="Times New Roman"/>
                <w:szCs w:val="24"/>
              </w:rPr>
              <w:t>Store below 30°C. Protect from moisture and light.</w:t>
            </w:r>
          </w:p>
        </w:tc>
      </w:tr>
      <w:tr w:rsidR="005D59D6" w:rsidRPr="00F10C37" w14:paraId="3025F714" w14:textId="77777777" w:rsidTr="002D6DD7">
        <w:trPr>
          <w:jc w:val="center"/>
        </w:trPr>
        <w:tc>
          <w:tcPr>
            <w:tcW w:w="9468" w:type="dxa"/>
            <w:gridSpan w:val="2"/>
          </w:tcPr>
          <w:p w14:paraId="42902D48" w14:textId="77777777" w:rsidR="005D59D6" w:rsidRPr="00F10C37" w:rsidRDefault="005D59D6" w:rsidP="002D6DD7">
            <w:pPr>
              <w:jc w:val="both"/>
              <w:rPr>
                <w:rFonts w:cs="Times New Roman"/>
                <w:szCs w:val="24"/>
              </w:rPr>
            </w:pPr>
            <w:r w:rsidRPr="00F10C37">
              <w:rPr>
                <w:rFonts w:cs="Times New Roman"/>
                <w:b/>
                <w:bCs/>
                <w:szCs w:val="24"/>
              </w:rPr>
              <w:t>Goserelin</w:t>
            </w:r>
          </w:p>
        </w:tc>
      </w:tr>
      <w:tr w:rsidR="005D59D6" w:rsidRPr="00F10C37" w14:paraId="6A32A48F" w14:textId="77777777" w:rsidTr="002D6DD7">
        <w:trPr>
          <w:jc w:val="center"/>
        </w:trPr>
        <w:tc>
          <w:tcPr>
            <w:tcW w:w="2898" w:type="dxa"/>
          </w:tcPr>
          <w:p w14:paraId="3B847E87"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64F6C6B9" w14:textId="77777777" w:rsidR="005D59D6" w:rsidRPr="00F10C37" w:rsidRDefault="005D59D6" w:rsidP="002D6DD7">
            <w:pPr>
              <w:jc w:val="both"/>
              <w:rPr>
                <w:rFonts w:cs="Times New Roman"/>
                <w:szCs w:val="24"/>
              </w:rPr>
            </w:pPr>
            <w:r w:rsidRPr="00F10C37">
              <w:rPr>
                <w:rFonts w:cs="Times New Roman"/>
                <w:szCs w:val="24"/>
              </w:rPr>
              <w:t xml:space="preserve">Gonadotropin-releasing hormone (GnRH) agonist. </w:t>
            </w:r>
          </w:p>
        </w:tc>
      </w:tr>
      <w:tr w:rsidR="005D59D6" w:rsidRPr="00F10C37" w14:paraId="662BA0F2" w14:textId="77777777" w:rsidTr="002D6DD7">
        <w:trPr>
          <w:jc w:val="center"/>
        </w:trPr>
        <w:tc>
          <w:tcPr>
            <w:tcW w:w="2898" w:type="dxa"/>
          </w:tcPr>
          <w:p w14:paraId="33DFFDBB"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3315CB79" w14:textId="77777777" w:rsidR="005D59D6" w:rsidRPr="00F10C37" w:rsidRDefault="005D59D6" w:rsidP="002D6DD7">
            <w:pPr>
              <w:jc w:val="both"/>
              <w:rPr>
                <w:rFonts w:cs="Times New Roman"/>
                <w:iCs/>
                <w:szCs w:val="24"/>
              </w:rPr>
            </w:pPr>
            <w:r w:rsidRPr="00F10C37">
              <w:rPr>
                <w:rFonts w:cs="Times New Roman"/>
                <w:iCs/>
                <w:szCs w:val="24"/>
              </w:rPr>
              <w:t xml:space="preserve">Implant (depot, SC): 3.6mg, 10.8mg </w:t>
            </w:r>
          </w:p>
        </w:tc>
      </w:tr>
      <w:tr w:rsidR="005D59D6" w:rsidRPr="00F10C37" w14:paraId="13432BA2" w14:textId="77777777" w:rsidTr="002D6DD7">
        <w:trPr>
          <w:jc w:val="center"/>
        </w:trPr>
        <w:tc>
          <w:tcPr>
            <w:tcW w:w="2898" w:type="dxa"/>
          </w:tcPr>
          <w:p w14:paraId="32CA4266"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14621EC5" w14:textId="77777777" w:rsidR="005D59D6" w:rsidRPr="00F10C37" w:rsidRDefault="005D59D6" w:rsidP="002D6DD7">
            <w:pPr>
              <w:jc w:val="both"/>
              <w:rPr>
                <w:rFonts w:cs="Times New Roman"/>
                <w:szCs w:val="24"/>
              </w:rPr>
            </w:pPr>
            <w:r w:rsidRPr="00F10C37">
              <w:rPr>
                <w:rFonts w:cs="Times New Roman"/>
                <w:szCs w:val="24"/>
              </w:rPr>
              <w:t>Prostate cancer, hormone receptor-positive breast cancer, endometriosis, endometrial thinning before intrauterine surgery, before surgery in women who have anaemia due to uterine fibroids.</w:t>
            </w:r>
          </w:p>
        </w:tc>
      </w:tr>
      <w:tr w:rsidR="005D59D6" w:rsidRPr="00F10C37" w14:paraId="240B69AC" w14:textId="77777777" w:rsidTr="002D6DD7">
        <w:trPr>
          <w:jc w:val="center"/>
        </w:trPr>
        <w:tc>
          <w:tcPr>
            <w:tcW w:w="2898" w:type="dxa"/>
          </w:tcPr>
          <w:p w14:paraId="12EDA4F2" w14:textId="77777777" w:rsidR="005D59D6" w:rsidRPr="00F10C37" w:rsidRDefault="005D59D6" w:rsidP="002D6DD7">
            <w:pPr>
              <w:jc w:val="both"/>
              <w:rPr>
                <w:rFonts w:cs="Times New Roman"/>
                <w:szCs w:val="24"/>
              </w:rPr>
            </w:pPr>
            <w:r w:rsidRPr="00F10C37">
              <w:rPr>
                <w:rFonts w:cs="Times New Roman"/>
                <w:szCs w:val="24"/>
              </w:rPr>
              <w:lastRenderedPageBreak/>
              <w:t>Dose and administration</w:t>
            </w:r>
          </w:p>
        </w:tc>
        <w:tc>
          <w:tcPr>
            <w:tcW w:w="6570" w:type="dxa"/>
          </w:tcPr>
          <w:p w14:paraId="41DD8924" w14:textId="77777777" w:rsidR="005D59D6" w:rsidRPr="00F10C37" w:rsidRDefault="005D59D6" w:rsidP="002D6DD7">
            <w:pPr>
              <w:contextualSpacing/>
              <w:jc w:val="both"/>
              <w:rPr>
                <w:rFonts w:cs="Times New Roman"/>
                <w:szCs w:val="24"/>
              </w:rPr>
            </w:pPr>
            <w:r w:rsidRPr="00F10C37">
              <w:rPr>
                <w:rFonts w:cs="Times New Roman"/>
                <w:b/>
                <w:szCs w:val="24"/>
              </w:rPr>
              <w:t>Hormone receptor-positive breast cancer, endometriosis, endometrial thinning before intrauterine surgery, before surgery in women who have anaemia due to uterine fibroids</w:t>
            </w:r>
            <w:r w:rsidRPr="00F10C37">
              <w:rPr>
                <w:rFonts w:cs="Times New Roman"/>
                <w:szCs w:val="24"/>
              </w:rPr>
              <w:t>: 3.6 mg implant administered subcutaneously every 28 days.</w:t>
            </w:r>
          </w:p>
          <w:p w14:paraId="6AE310E1" w14:textId="77777777" w:rsidR="005D59D6" w:rsidRPr="00F10C37" w:rsidRDefault="005D59D6" w:rsidP="002D6DD7">
            <w:pPr>
              <w:contextualSpacing/>
              <w:jc w:val="both"/>
              <w:rPr>
                <w:rFonts w:cs="Times New Roman"/>
                <w:szCs w:val="24"/>
              </w:rPr>
            </w:pPr>
            <w:r w:rsidRPr="00F10C37">
              <w:rPr>
                <w:rFonts w:cs="Times New Roman"/>
                <w:b/>
                <w:szCs w:val="24"/>
              </w:rPr>
              <w:t xml:space="preserve">Prostate cancer: </w:t>
            </w:r>
            <w:r w:rsidRPr="00684EEE">
              <w:rPr>
                <w:rFonts w:cs="Times New Roman"/>
                <w:szCs w:val="24"/>
              </w:rPr>
              <w:t>10.8</w:t>
            </w:r>
            <w:r>
              <w:rPr>
                <w:rFonts w:cs="Times New Roman"/>
                <w:szCs w:val="24"/>
              </w:rPr>
              <w:t xml:space="preserve"> </w:t>
            </w:r>
            <w:r w:rsidRPr="00684EEE">
              <w:rPr>
                <w:rFonts w:cs="Times New Roman"/>
                <w:szCs w:val="24"/>
              </w:rPr>
              <w:t>mg</w:t>
            </w:r>
            <w:r w:rsidRPr="00F10C37">
              <w:rPr>
                <w:rFonts w:cs="Times New Roman"/>
                <w:b/>
                <w:szCs w:val="24"/>
              </w:rPr>
              <w:t xml:space="preserve"> </w:t>
            </w:r>
            <w:r w:rsidRPr="00F10C37">
              <w:rPr>
                <w:rFonts w:cs="Times New Roman"/>
                <w:szCs w:val="24"/>
              </w:rPr>
              <w:t>implant administered subcutaneously every 3 months.</w:t>
            </w:r>
          </w:p>
        </w:tc>
      </w:tr>
      <w:tr w:rsidR="005D59D6" w:rsidRPr="00F10C37" w14:paraId="1E160348" w14:textId="77777777" w:rsidTr="002D6DD7">
        <w:trPr>
          <w:jc w:val="center"/>
        </w:trPr>
        <w:tc>
          <w:tcPr>
            <w:tcW w:w="2898" w:type="dxa"/>
          </w:tcPr>
          <w:p w14:paraId="64E1AE8B"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40F1FA24" w14:textId="77777777" w:rsidR="005D59D6" w:rsidRPr="00F10C37" w:rsidRDefault="005D59D6" w:rsidP="002D6DD7">
            <w:pPr>
              <w:jc w:val="both"/>
              <w:rPr>
                <w:rFonts w:cs="Times New Roman"/>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xml:space="preserve">, </w:t>
            </w:r>
            <w:r w:rsidRPr="00F10C37">
              <w:rPr>
                <w:rFonts w:eastAsiaTheme="minorHAnsi" w:cs="Times New Roman"/>
                <w:kern w:val="0"/>
                <w:szCs w:val="24"/>
                <w:lang w:val="en-US" w:eastAsia="en-US"/>
              </w:rPr>
              <w:t>undiagnosed vaginal bleeding.</w:t>
            </w:r>
          </w:p>
        </w:tc>
      </w:tr>
      <w:tr w:rsidR="005D59D6" w:rsidRPr="00F10C37" w14:paraId="47432349" w14:textId="77777777" w:rsidTr="002D6DD7">
        <w:trPr>
          <w:jc w:val="center"/>
        </w:trPr>
        <w:tc>
          <w:tcPr>
            <w:tcW w:w="2898" w:type="dxa"/>
          </w:tcPr>
          <w:p w14:paraId="4D88B094"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0FEB0C4A" w14:textId="77777777" w:rsidR="005D59D6" w:rsidRPr="00F10C37" w:rsidRDefault="005D59D6" w:rsidP="002D6DD7">
            <w:pPr>
              <w:contextualSpacing/>
              <w:jc w:val="both"/>
              <w:rPr>
                <w:rFonts w:cs="Times New Roman"/>
                <w:szCs w:val="24"/>
              </w:rPr>
            </w:pPr>
            <w:r w:rsidRPr="00F10C37">
              <w:rPr>
                <w:rFonts w:cs="Times New Roman"/>
                <w:szCs w:val="24"/>
              </w:rPr>
              <w:t>Warfarin, rifampin, carbamazepine, ketoconazole, macrolides, progesterone, St. John's Wort, quinidine, amiodarone, flecainide, propafenone, chlorpromazine, amitriptyline, methadone, moxifloxacin, quinine</w:t>
            </w:r>
          </w:p>
        </w:tc>
      </w:tr>
      <w:tr w:rsidR="005D59D6" w:rsidRPr="00F10C37" w14:paraId="17100316" w14:textId="77777777" w:rsidTr="002D6DD7">
        <w:trPr>
          <w:jc w:val="center"/>
        </w:trPr>
        <w:tc>
          <w:tcPr>
            <w:tcW w:w="2898" w:type="dxa"/>
          </w:tcPr>
          <w:p w14:paraId="75AD8E65"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1E3CA198" w14:textId="77777777" w:rsidR="005D59D6" w:rsidRPr="00F10C37" w:rsidRDefault="005D59D6" w:rsidP="002D6DD7">
            <w:pPr>
              <w:contextualSpacing/>
              <w:jc w:val="both"/>
              <w:rPr>
                <w:rFonts w:cs="Times New Roman"/>
                <w:szCs w:val="24"/>
              </w:rPr>
            </w:pPr>
            <w:r w:rsidRPr="00F10C37">
              <w:rPr>
                <w:rFonts w:cs="Times New Roman"/>
                <w:szCs w:val="24"/>
              </w:rPr>
              <w:t>Hot flashes, decreased libido, impotence, and gynecomastia, tumor flare, bone loss, elevated serum cholesterol levels, hypersensitivity reaction, nausea and vomiting, myocardial infarction and stroke</w:t>
            </w:r>
          </w:p>
        </w:tc>
      </w:tr>
      <w:tr w:rsidR="005D59D6" w:rsidRPr="00F10C37" w14:paraId="3805C0E6" w14:textId="77777777" w:rsidTr="002D6DD7">
        <w:trPr>
          <w:jc w:val="center"/>
        </w:trPr>
        <w:tc>
          <w:tcPr>
            <w:tcW w:w="2898" w:type="dxa"/>
          </w:tcPr>
          <w:p w14:paraId="5C5325AD" w14:textId="77777777" w:rsidR="005D59D6" w:rsidRPr="00F10C37" w:rsidRDefault="005D59D6" w:rsidP="002D6DD7">
            <w:pPr>
              <w:jc w:val="both"/>
              <w:rPr>
                <w:rFonts w:cs="Times New Roman"/>
                <w:szCs w:val="24"/>
              </w:rPr>
            </w:pPr>
            <w:r w:rsidRPr="00F10C37">
              <w:rPr>
                <w:rFonts w:cs="Times New Roman"/>
                <w:szCs w:val="24"/>
              </w:rPr>
              <w:t xml:space="preserve">Cautions </w:t>
            </w:r>
          </w:p>
        </w:tc>
        <w:tc>
          <w:tcPr>
            <w:tcW w:w="6570" w:type="dxa"/>
          </w:tcPr>
          <w:p w14:paraId="7CD95102"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Depression, diabetes, hypertension, patients with metabolic bone disease, polycystic ovarian disease, risk of spinal cord compression in men, risk of ureteric obstruction in men, </w:t>
            </w:r>
            <w:r w:rsidRPr="00F10C37">
              <w:rPr>
                <w:rFonts w:cs="Times New Roman"/>
                <w:szCs w:val="24"/>
              </w:rPr>
              <w:t xml:space="preserve">patients with pre-existing cardiovascular risk factors, hepatic impairment, renal impairment, pregnancy and breastfeeding. </w:t>
            </w:r>
          </w:p>
        </w:tc>
      </w:tr>
      <w:tr w:rsidR="005D59D6" w:rsidRPr="00F10C37" w14:paraId="016EF01C" w14:textId="77777777" w:rsidTr="002D6DD7">
        <w:trPr>
          <w:jc w:val="center"/>
        </w:trPr>
        <w:tc>
          <w:tcPr>
            <w:tcW w:w="2898" w:type="dxa"/>
          </w:tcPr>
          <w:p w14:paraId="4FC6051B"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7ABEB692" w14:textId="77777777" w:rsidR="005D59D6" w:rsidRPr="00F10C37" w:rsidRDefault="005D59D6" w:rsidP="002D6DD7">
            <w:pPr>
              <w:contextualSpacing/>
              <w:jc w:val="both"/>
              <w:rPr>
                <w:rFonts w:cs="Times New Roman"/>
                <w:szCs w:val="24"/>
              </w:rPr>
            </w:pPr>
            <w:r w:rsidRPr="00F10C37">
              <w:rPr>
                <w:rFonts w:cs="Times New Roman"/>
                <w:szCs w:val="24"/>
              </w:rPr>
              <w:t>Store between 2°C and 30°C. Protect from light and moisture.</w:t>
            </w:r>
          </w:p>
        </w:tc>
      </w:tr>
      <w:tr w:rsidR="005D59D6" w:rsidRPr="00F10C37" w14:paraId="0A210C84" w14:textId="77777777" w:rsidTr="002D6DD7">
        <w:trPr>
          <w:jc w:val="center"/>
        </w:trPr>
        <w:tc>
          <w:tcPr>
            <w:tcW w:w="9468" w:type="dxa"/>
            <w:gridSpan w:val="2"/>
          </w:tcPr>
          <w:p w14:paraId="17FE1966" w14:textId="77777777" w:rsidR="005D59D6" w:rsidRPr="00F10C37" w:rsidRDefault="005D59D6" w:rsidP="002D6DD7">
            <w:pPr>
              <w:jc w:val="both"/>
              <w:rPr>
                <w:rFonts w:cs="Times New Roman"/>
                <w:b/>
                <w:szCs w:val="24"/>
              </w:rPr>
            </w:pPr>
            <w:r w:rsidRPr="00F10C37">
              <w:rPr>
                <w:rFonts w:eastAsia="Times New Roman" w:cs="Times New Roman"/>
                <w:b/>
                <w:bCs/>
                <w:iCs/>
                <w:color w:val="000000"/>
                <w:szCs w:val="24"/>
              </w:rPr>
              <w:t>Letrozole</w:t>
            </w:r>
          </w:p>
        </w:tc>
      </w:tr>
      <w:tr w:rsidR="005D59D6" w:rsidRPr="00F10C37" w14:paraId="73DC53E3" w14:textId="77777777" w:rsidTr="002D6DD7">
        <w:trPr>
          <w:jc w:val="center"/>
        </w:trPr>
        <w:tc>
          <w:tcPr>
            <w:tcW w:w="2898" w:type="dxa"/>
          </w:tcPr>
          <w:p w14:paraId="30E9D43F"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15803E22" w14:textId="77777777" w:rsidR="005D59D6" w:rsidRPr="00F10C37" w:rsidRDefault="005D59D6" w:rsidP="002D6DD7">
            <w:pPr>
              <w:jc w:val="both"/>
              <w:rPr>
                <w:rFonts w:cs="Times New Roman"/>
                <w:szCs w:val="24"/>
              </w:rPr>
            </w:pPr>
            <w:r w:rsidRPr="00F10C37">
              <w:rPr>
                <w:rFonts w:cs="Times New Roman"/>
                <w:szCs w:val="24"/>
              </w:rPr>
              <w:t>Antineoplastic agent, aromatase inhibitor</w:t>
            </w:r>
          </w:p>
        </w:tc>
      </w:tr>
      <w:tr w:rsidR="005D59D6" w:rsidRPr="00F10C37" w14:paraId="35D88241" w14:textId="77777777" w:rsidTr="002D6DD7">
        <w:trPr>
          <w:jc w:val="center"/>
        </w:trPr>
        <w:tc>
          <w:tcPr>
            <w:tcW w:w="2898" w:type="dxa"/>
          </w:tcPr>
          <w:p w14:paraId="668B1021"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7FF6B05B" w14:textId="77777777" w:rsidR="005D59D6" w:rsidRPr="00F10C37" w:rsidRDefault="005D59D6" w:rsidP="002D6DD7">
            <w:pPr>
              <w:jc w:val="both"/>
              <w:rPr>
                <w:rFonts w:cs="Times New Roman"/>
                <w:szCs w:val="24"/>
              </w:rPr>
            </w:pPr>
            <w:r w:rsidRPr="00F10C37">
              <w:rPr>
                <w:rFonts w:cs="Times New Roman"/>
                <w:iCs/>
                <w:szCs w:val="24"/>
              </w:rPr>
              <w:t>Tablet: 1mg</w:t>
            </w:r>
          </w:p>
        </w:tc>
      </w:tr>
      <w:tr w:rsidR="005D59D6" w:rsidRPr="00F10C37" w14:paraId="2E0255E2" w14:textId="77777777" w:rsidTr="002D6DD7">
        <w:trPr>
          <w:jc w:val="center"/>
        </w:trPr>
        <w:tc>
          <w:tcPr>
            <w:tcW w:w="2898" w:type="dxa"/>
          </w:tcPr>
          <w:p w14:paraId="4E09C05E"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6725BE4C" w14:textId="77777777" w:rsidR="005D59D6" w:rsidRPr="00F10C37" w:rsidRDefault="005D59D6" w:rsidP="002D6DD7">
            <w:pPr>
              <w:contextualSpacing/>
              <w:jc w:val="both"/>
              <w:rPr>
                <w:rFonts w:cs="Times New Roman"/>
                <w:szCs w:val="24"/>
              </w:rPr>
            </w:pPr>
            <w:r w:rsidRPr="00F10C37">
              <w:rPr>
                <w:rFonts w:cs="Times New Roman"/>
                <w:szCs w:val="24"/>
              </w:rPr>
              <w:t>Hormone receptor-positive breast cancer</w:t>
            </w:r>
          </w:p>
        </w:tc>
      </w:tr>
      <w:tr w:rsidR="005D59D6" w:rsidRPr="00F10C37" w14:paraId="67BF995B" w14:textId="77777777" w:rsidTr="002D6DD7">
        <w:trPr>
          <w:jc w:val="center"/>
        </w:trPr>
        <w:tc>
          <w:tcPr>
            <w:tcW w:w="2898" w:type="dxa"/>
          </w:tcPr>
          <w:p w14:paraId="2AA584A3"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2ADE2A46"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kern w:val="0"/>
                <w:szCs w:val="24"/>
                <w:lang w:val="en-US" w:eastAsia="en-US"/>
              </w:rPr>
              <w:t>Breast cancer, adjuvant therapy</w:t>
            </w:r>
            <w:r w:rsidRPr="00F10C37">
              <w:rPr>
                <w:rFonts w:eastAsiaTheme="minorHAnsi" w:cs="Times New Roman"/>
                <w:kern w:val="0"/>
                <w:szCs w:val="24"/>
                <w:lang w:val="en-US" w:eastAsia="en-US"/>
              </w:rPr>
              <w:t xml:space="preserve">: </w:t>
            </w:r>
            <w:r w:rsidRPr="00F10C37">
              <w:rPr>
                <w:rFonts w:eastAsia="Candara-Italic" w:cs="Times New Roman"/>
                <w:iCs/>
                <w:kern w:val="0"/>
                <w:szCs w:val="24"/>
                <w:lang w:val="en-US" w:eastAsia="en-US"/>
              </w:rPr>
              <w:t xml:space="preserve">oral: </w:t>
            </w:r>
            <w:r w:rsidRPr="00F10C37">
              <w:rPr>
                <w:rFonts w:eastAsiaTheme="minorHAnsi" w:cs="Times New Roman"/>
                <w:kern w:val="0"/>
                <w:szCs w:val="24"/>
                <w:lang w:val="en-US" w:eastAsia="en-US"/>
              </w:rPr>
              <w:t>2.5mg once daily for 5-10 years.</w:t>
            </w:r>
          </w:p>
          <w:p w14:paraId="280876BB"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eastAsiaTheme="minorHAnsi" w:cs="Times New Roman"/>
                <w:b/>
                <w:kern w:val="0"/>
                <w:szCs w:val="24"/>
                <w:lang w:val="en-US" w:eastAsia="en-US"/>
              </w:rPr>
              <w:t>Breast cancer, advanced, first or second line therapy,</w:t>
            </w:r>
            <w:r w:rsidRPr="00F10C37">
              <w:rPr>
                <w:rFonts w:eastAsiaTheme="minorHAnsi" w:cs="Times New Roman"/>
                <w:kern w:val="0"/>
                <w:szCs w:val="24"/>
                <w:lang w:val="en-US" w:eastAsia="en-US"/>
              </w:rPr>
              <w:t xml:space="preserve"> </w:t>
            </w:r>
            <w:r w:rsidRPr="00F10C37">
              <w:rPr>
                <w:rFonts w:eastAsia="Candara-Italic" w:cs="Times New Roman"/>
                <w:iCs/>
                <w:kern w:val="0"/>
                <w:szCs w:val="24"/>
                <w:lang w:val="en-US" w:eastAsia="en-US"/>
              </w:rPr>
              <w:t xml:space="preserve">oral: </w:t>
            </w:r>
            <w:r w:rsidRPr="00F10C37">
              <w:rPr>
                <w:rFonts w:eastAsiaTheme="minorHAnsi" w:cs="Times New Roman"/>
                <w:kern w:val="0"/>
                <w:szCs w:val="24"/>
                <w:lang w:val="en-US" w:eastAsia="en-US"/>
              </w:rPr>
              <w:t>2.5mg once daily until disease progression.</w:t>
            </w:r>
          </w:p>
        </w:tc>
      </w:tr>
      <w:tr w:rsidR="005D59D6" w:rsidRPr="00F10C37" w14:paraId="18805DED" w14:textId="77777777" w:rsidTr="002D6DD7">
        <w:trPr>
          <w:jc w:val="center"/>
        </w:trPr>
        <w:tc>
          <w:tcPr>
            <w:tcW w:w="2898" w:type="dxa"/>
          </w:tcPr>
          <w:p w14:paraId="3C6B2574"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7588B478"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Pr>
                <w:rFonts w:eastAsiaTheme="minorHAnsi" w:cs="Times New Roman"/>
                <w:kern w:val="0"/>
                <w:szCs w:val="24"/>
                <w:lang w:val="en-US" w:eastAsia="en-US"/>
              </w:rPr>
              <w:t>H</w:t>
            </w:r>
            <w:r w:rsidRPr="00F10C37">
              <w:rPr>
                <w:rFonts w:eastAsiaTheme="minorHAnsi" w:cs="Times New Roman"/>
                <w:kern w:val="0"/>
                <w:szCs w:val="24"/>
                <w:lang w:val="en-US" w:eastAsia="en-US"/>
              </w:rPr>
              <w:t xml:space="preserve">ypersensitivity to </w:t>
            </w:r>
            <w:r>
              <w:rPr>
                <w:rFonts w:eastAsiaTheme="minorHAnsi" w:cs="Times New Roman"/>
                <w:kern w:val="0"/>
                <w:szCs w:val="24"/>
                <w:lang w:val="en-US" w:eastAsia="en-US"/>
              </w:rPr>
              <w:t>the drug, p</w:t>
            </w:r>
            <w:r w:rsidRPr="00F10C37">
              <w:rPr>
                <w:rFonts w:eastAsiaTheme="minorHAnsi" w:cs="Times New Roman"/>
                <w:color w:val="231F20"/>
                <w:kern w:val="0"/>
                <w:szCs w:val="24"/>
                <w:lang w:val="en-US" w:eastAsia="en-US"/>
              </w:rPr>
              <w:t>remenopausal women, p</w:t>
            </w:r>
            <w:r w:rsidRPr="00F10C37">
              <w:rPr>
                <w:rFonts w:eastAsiaTheme="minorHAnsi" w:cs="Times New Roman"/>
                <w:kern w:val="0"/>
                <w:szCs w:val="24"/>
                <w:lang w:val="en-US" w:eastAsia="en-US"/>
              </w:rPr>
              <w:t>regnancy</w:t>
            </w:r>
            <w:r>
              <w:rPr>
                <w:rFonts w:eastAsiaTheme="minorHAnsi" w:cs="Times New Roman"/>
                <w:kern w:val="0"/>
                <w:szCs w:val="24"/>
                <w:lang w:val="en-US" w:eastAsia="en-US"/>
              </w:rPr>
              <w:t>.</w:t>
            </w:r>
            <w:r w:rsidRPr="00F10C37">
              <w:rPr>
                <w:rFonts w:eastAsiaTheme="minorHAnsi" w:cs="Times New Roman"/>
                <w:kern w:val="0"/>
                <w:szCs w:val="24"/>
                <w:lang w:val="en-US" w:eastAsia="en-US"/>
              </w:rPr>
              <w:t xml:space="preserve"> </w:t>
            </w:r>
          </w:p>
        </w:tc>
      </w:tr>
      <w:tr w:rsidR="005D59D6" w:rsidRPr="00F10C37" w14:paraId="2AC3794C" w14:textId="77777777" w:rsidTr="002D6DD7">
        <w:trPr>
          <w:jc w:val="center"/>
        </w:trPr>
        <w:tc>
          <w:tcPr>
            <w:tcW w:w="2898" w:type="dxa"/>
          </w:tcPr>
          <w:p w14:paraId="0FA00A2B" w14:textId="77777777" w:rsidR="005D59D6" w:rsidRPr="00F10C37" w:rsidRDefault="005D59D6" w:rsidP="002D6DD7">
            <w:pPr>
              <w:jc w:val="both"/>
              <w:rPr>
                <w:rFonts w:cs="Times New Roman"/>
                <w:szCs w:val="24"/>
              </w:rPr>
            </w:pPr>
            <w:r w:rsidRPr="00F10C37">
              <w:rPr>
                <w:rFonts w:cs="Times New Roman"/>
                <w:szCs w:val="24"/>
              </w:rPr>
              <w:lastRenderedPageBreak/>
              <w:t>Drug interactions</w:t>
            </w:r>
          </w:p>
        </w:tc>
        <w:tc>
          <w:tcPr>
            <w:tcW w:w="6570" w:type="dxa"/>
          </w:tcPr>
          <w:p w14:paraId="09B2C886"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Ethinylestradiol, tamoxifen, methadone and nintedanib.</w:t>
            </w:r>
          </w:p>
        </w:tc>
      </w:tr>
      <w:tr w:rsidR="005D59D6" w:rsidRPr="00F10C37" w14:paraId="3EF3E51F" w14:textId="77777777" w:rsidTr="002D6DD7">
        <w:trPr>
          <w:jc w:val="center"/>
        </w:trPr>
        <w:tc>
          <w:tcPr>
            <w:tcW w:w="2898" w:type="dxa"/>
          </w:tcPr>
          <w:p w14:paraId="2811306D"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367B9AF1"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eastAsiaTheme="minorHAnsi" w:cs="Times New Roman"/>
                <w:color w:val="000000" w:themeColor="text1"/>
                <w:kern w:val="0"/>
                <w:szCs w:val="24"/>
                <w:lang w:val="en-US" w:eastAsia="en-US"/>
              </w:rPr>
              <w:t>Alopecia, appetite abnormal, arthralgia, asthenia, bone fracture, bone pain, constipation, depression, diarrhea, dizziness, gastrointestinal discomfort, headache, hot flush, hypercholesterolemia, hyperhidrosis, hypertension, malaise, myalgia, nausea, edema, osteoporosis, skin reactions, vaginal, hemorrhage, vomiting, weight changes</w:t>
            </w:r>
          </w:p>
        </w:tc>
      </w:tr>
      <w:tr w:rsidR="005D59D6" w:rsidRPr="00F10C37" w14:paraId="70B50EFE" w14:textId="77777777" w:rsidTr="002D6DD7">
        <w:trPr>
          <w:jc w:val="center"/>
        </w:trPr>
        <w:tc>
          <w:tcPr>
            <w:tcW w:w="2898" w:type="dxa"/>
          </w:tcPr>
          <w:p w14:paraId="2DA99A5F" w14:textId="77777777" w:rsidR="005D59D6" w:rsidRPr="00F10C37" w:rsidRDefault="005D59D6" w:rsidP="002D6DD7">
            <w:pPr>
              <w:ind w:firstLine="90"/>
              <w:jc w:val="both"/>
              <w:rPr>
                <w:rFonts w:cs="Times New Roman"/>
                <w:szCs w:val="24"/>
              </w:rPr>
            </w:pPr>
            <w:r w:rsidRPr="00F10C37">
              <w:rPr>
                <w:rFonts w:cs="Times New Roman"/>
                <w:szCs w:val="24"/>
              </w:rPr>
              <w:t xml:space="preserve">Cautions </w:t>
            </w:r>
          </w:p>
        </w:tc>
        <w:tc>
          <w:tcPr>
            <w:tcW w:w="6570" w:type="dxa"/>
          </w:tcPr>
          <w:p w14:paraId="5E940C9F" w14:textId="77777777" w:rsidR="005D59D6" w:rsidRPr="00F10C37" w:rsidRDefault="005D59D6" w:rsidP="002D6DD7">
            <w:pPr>
              <w:autoSpaceDE w:val="0"/>
              <w:autoSpaceDN w:val="0"/>
              <w:adjustRightInd w:val="0"/>
              <w:jc w:val="both"/>
              <w:rPr>
                <w:rFonts w:eastAsiaTheme="minorHAnsi" w:cs="Times New Roman"/>
                <w:kern w:val="0"/>
                <w:szCs w:val="24"/>
                <w:lang w:val="en-US" w:eastAsia="en-US"/>
              </w:rPr>
            </w:pPr>
            <w:r w:rsidRPr="00F10C37">
              <w:rPr>
                <w:rFonts w:eastAsiaTheme="minorHAnsi" w:cs="Times New Roman"/>
                <w:kern w:val="0"/>
                <w:szCs w:val="24"/>
                <w:lang w:val="en-US" w:eastAsia="en-US"/>
              </w:rPr>
              <w:t>Hypercholesterolemia, cirrhosis, severe hepatic impairment, osteoporosis, r</w:t>
            </w:r>
            <w:r w:rsidRPr="00F10C37">
              <w:rPr>
                <w:rFonts w:eastAsiaTheme="minorHAnsi" w:cs="Times New Roman"/>
                <w:bCs/>
                <w:kern w:val="0"/>
                <w:szCs w:val="24"/>
                <w:lang w:val="en-US" w:eastAsia="en-US"/>
              </w:rPr>
              <w:t>enal impairment, breastfeeding.</w:t>
            </w:r>
          </w:p>
        </w:tc>
      </w:tr>
      <w:tr w:rsidR="005D59D6" w:rsidRPr="00F10C37" w14:paraId="08A10A07" w14:textId="77777777" w:rsidTr="002D6DD7">
        <w:trPr>
          <w:jc w:val="center"/>
        </w:trPr>
        <w:tc>
          <w:tcPr>
            <w:tcW w:w="2898" w:type="dxa"/>
          </w:tcPr>
          <w:p w14:paraId="6D0D214E"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2BC39111" w14:textId="77777777" w:rsidR="005D59D6" w:rsidRPr="00F10C37" w:rsidRDefault="005D59D6" w:rsidP="002D6DD7">
            <w:pPr>
              <w:jc w:val="both"/>
              <w:rPr>
                <w:rFonts w:cs="Times New Roman"/>
                <w:szCs w:val="24"/>
              </w:rPr>
            </w:pPr>
            <w:r w:rsidRPr="00F10C37">
              <w:rPr>
                <w:rFonts w:cs="Times New Roman"/>
                <w:szCs w:val="24"/>
              </w:rPr>
              <w:t>Store below 30°C</w:t>
            </w:r>
            <w:r>
              <w:rPr>
                <w:rFonts w:cs="Times New Roman"/>
                <w:szCs w:val="24"/>
              </w:rPr>
              <w:t>. P</w:t>
            </w:r>
            <w:r w:rsidRPr="00F10C37">
              <w:rPr>
                <w:rFonts w:cs="Times New Roman"/>
                <w:szCs w:val="24"/>
              </w:rPr>
              <w:t>rotect from moisture and light.</w:t>
            </w:r>
          </w:p>
        </w:tc>
      </w:tr>
      <w:tr w:rsidR="005D59D6" w:rsidRPr="00F10C37" w14:paraId="1A50CC23" w14:textId="77777777" w:rsidTr="002D6DD7">
        <w:trPr>
          <w:jc w:val="center"/>
        </w:trPr>
        <w:tc>
          <w:tcPr>
            <w:tcW w:w="9468" w:type="dxa"/>
            <w:gridSpan w:val="2"/>
          </w:tcPr>
          <w:p w14:paraId="250A61A5" w14:textId="77777777" w:rsidR="005D59D6" w:rsidRPr="00F10C37" w:rsidRDefault="005D59D6" w:rsidP="002D6DD7">
            <w:pPr>
              <w:jc w:val="both"/>
              <w:rPr>
                <w:rFonts w:cs="Times New Roman"/>
                <w:b/>
                <w:szCs w:val="24"/>
              </w:rPr>
            </w:pPr>
            <w:r w:rsidRPr="00F10C37">
              <w:rPr>
                <w:rFonts w:eastAsia="Times New Roman" w:cs="Times New Roman"/>
                <w:b/>
                <w:iCs/>
                <w:color w:val="000000"/>
                <w:szCs w:val="24"/>
              </w:rPr>
              <w:t>Leuprorelin</w:t>
            </w:r>
          </w:p>
        </w:tc>
      </w:tr>
      <w:tr w:rsidR="005D59D6" w:rsidRPr="00F10C37" w14:paraId="253A22F0" w14:textId="77777777" w:rsidTr="002D6DD7">
        <w:trPr>
          <w:jc w:val="center"/>
        </w:trPr>
        <w:tc>
          <w:tcPr>
            <w:tcW w:w="2898" w:type="dxa"/>
          </w:tcPr>
          <w:p w14:paraId="28B42259"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21967CB0" w14:textId="77777777" w:rsidR="005D59D6" w:rsidRPr="00F10C37" w:rsidRDefault="005D59D6" w:rsidP="002D6DD7">
            <w:pPr>
              <w:jc w:val="both"/>
              <w:rPr>
                <w:rFonts w:cs="Times New Roman"/>
                <w:szCs w:val="24"/>
              </w:rPr>
            </w:pPr>
            <w:r w:rsidRPr="00F10C37">
              <w:rPr>
                <w:rFonts w:cs="Times New Roman"/>
                <w:szCs w:val="24"/>
              </w:rPr>
              <w:t xml:space="preserve">Gonadotropin-releasing hormone (GnRH) agonist. </w:t>
            </w:r>
          </w:p>
        </w:tc>
      </w:tr>
      <w:tr w:rsidR="005D59D6" w:rsidRPr="00F10C37" w14:paraId="703B6233" w14:textId="77777777" w:rsidTr="002D6DD7">
        <w:trPr>
          <w:jc w:val="center"/>
        </w:trPr>
        <w:tc>
          <w:tcPr>
            <w:tcW w:w="2898" w:type="dxa"/>
          </w:tcPr>
          <w:p w14:paraId="425B111A"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3AABE9F6" w14:textId="77777777" w:rsidR="005D59D6" w:rsidRPr="00F10C37" w:rsidRDefault="005D59D6" w:rsidP="002D6DD7">
            <w:pPr>
              <w:jc w:val="both"/>
              <w:rPr>
                <w:rFonts w:cs="Times New Roman"/>
                <w:iCs/>
                <w:szCs w:val="24"/>
              </w:rPr>
            </w:pPr>
            <w:r w:rsidRPr="00F10C37">
              <w:rPr>
                <w:rFonts w:cs="Times New Roman"/>
                <w:iCs/>
                <w:szCs w:val="24"/>
              </w:rPr>
              <w:t>Injection: 3.75mg, 7.5mg, 11.5mg, 22.5mg (as citrate)</w:t>
            </w:r>
          </w:p>
        </w:tc>
      </w:tr>
      <w:tr w:rsidR="005D59D6" w:rsidRPr="00F10C37" w14:paraId="6AED4098" w14:textId="77777777" w:rsidTr="002D6DD7">
        <w:trPr>
          <w:jc w:val="center"/>
        </w:trPr>
        <w:tc>
          <w:tcPr>
            <w:tcW w:w="2898" w:type="dxa"/>
          </w:tcPr>
          <w:p w14:paraId="31332495"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120F2AE5" w14:textId="77777777" w:rsidR="005D59D6" w:rsidRPr="00F10C37" w:rsidRDefault="005D59D6" w:rsidP="002D6DD7">
            <w:pPr>
              <w:jc w:val="both"/>
              <w:rPr>
                <w:rFonts w:cs="Times New Roman"/>
                <w:szCs w:val="24"/>
              </w:rPr>
            </w:pPr>
            <w:r w:rsidRPr="00F10C37">
              <w:rPr>
                <w:rFonts w:cs="Times New Roman"/>
                <w:szCs w:val="24"/>
              </w:rPr>
              <w:t xml:space="preserve">Prostate cancer, hormone receptor-positive breast cancer, endometriosis, </w:t>
            </w:r>
            <w:r w:rsidRPr="00F10C37">
              <w:rPr>
                <w:rFonts w:eastAsiaTheme="minorHAnsi" w:cs="Times New Roman"/>
                <w:color w:val="231F20"/>
                <w:kern w:val="0"/>
                <w:szCs w:val="24"/>
                <w:lang w:val="en-US" w:eastAsia="en-US"/>
              </w:rPr>
              <w:t>r</w:t>
            </w:r>
            <w:r w:rsidRPr="00F10C37">
              <w:rPr>
                <w:rFonts w:eastAsia="Candara-Italic" w:cs="Times New Roman"/>
                <w:iCs/>
                <w:kern w:val="0"/>
                <w:szCs w:val="24"/>
                <w:lang w:val="en-US" w:eastAsia="en-US"/>
              </w:rPr>
              <w:t>educe size of uterine fibroids and associated bleeding before surgery</w:t>
            </w:r>
            <w:r w:rsidRPr="00F10C37">
              <w:rPr>
                <w:rFonts w:cs="Times New Roman"/>
                <w:szCs w:val="24"/>
              </w:rPr>
              <w:t>.</w:t>
            </w:r>
          </w:p>
        </w:tc>
      </w:tr>
      <w:tr w:rsidR="005D59D6" w:rsidRPr="00F10C37" w14:paraId="7650E9F3" w14:textId="77777777" w:rsidTr="002D6DD7">
        <w:trPr>
          <w:jc w:val="center"/>
        </w:trPr>
        <w:tc>
          <w:tcPr>
            <w:tcW w:w="2898" w:type="dxa"/>
          </w:tcPr>
          <w:p w14:paraId="2AD40A45"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239AC712"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Prostate cancer and Pre- and peri-menopausal breast cancer</w:t>
            </w:r>
            <w:r w:rsidRPr="00F10C37">
              <w:rPr>
                <w:rFonts w:eastAsiaTheme="minorHAnsi" w:cs="Times New Roman"/>
                <w:color w:val="231F20"/>
                <w:kern w:val="0"/>
                <w:szCs w:val="24"/>
                <w:lang w:val="en-US" w:eastAsia="en-US"/>
              </w:rPr>
              <w:t>, by SC injection:</w:t>
            </w:r>
          </w:p>
          <w:p w14:paraId="03D3B464"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11.25 mg every 3 months</w:t>
            </w:r>
          </w:p>
          <w:p w14:paraId="6BBC124E"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Endometriosis and r</w:t>
            </w:r>
            <w:r w:rsidRPr="00F10C37">
              <w:rPr>
                <w:rFonts w:eastAsia="Candara-Italic" w:cs="Times New Roman"/>
                <w:b/>
                <w:iCs/>
                <w:kern w:val="0"/>
                <w:szCs w:val="24"/>
                <w:lang w:val="en-US" w:eastAsia="en-US"/>
              </w:rPr>
              <w:t>educe size of uterine fibroids and associated bleeding before surgery</w:t>
            </w:r>
            <w:r w:rsidRPr="00F10C37">
              <w:rPr>
                <w:rFonts w:eastAsiaTheme="minorHAnsi" w:cs="Times New Roman"/>
                <w:color w:val="231F20"/>
                <w:kern w:val="0"/>
                <w:szCs w:val="24"/>
                <w:lang w:val="en-US" w:eastAsia="en-US"/>
              </w:rPr>
              <w:t>, by IM injection:</w:t>
            </w:r>
          </w:p>
          <w:p w14:paraId="29171A19" w14:textId="77777777" w:rsidR="005D59D6" w:rsidRPr="00F10C37" w:rsidRDefault="005D59D6" w:rsidP="002D6DD7">
            <w:pPr>
              <w:autoSpaceDE w:val="0"/>
              <w:autoSpaceDN w:val="0"/>
              <w:adjustRightInd w:val="0"/>
              <w:jc w:val="both"/>
              <w:rPr>
                <w:rFonts w:eastAsia="Candara-Italic" w:cs="Times New Roman"/>
                <w:b/>
                <w:iCs/>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11.25 mg every 3 months for maximum duration of 6 months (not to be repeated), to be started during first 5 days of menstrual cycle.</w:t>
            </w:r>
          </w:p>
        </w:tc>
      </w:tr>
      <w:tr w:rsidR="005D59D6" w:rsidRPr="00F10C37" w14:paraId="5BAAB8BB" w14:textId="77777777" w:rsidTr="002D6DD7">
        <w:trPr>
          <w:jc w:val="center"/>
        </w:trPr>
        <w:tc>
          <w:tcPr>
            <w:tcW w:w="2898" w:type="dxa"/>
          </w:tcPr>
          <w:p w14:paraId="192C0A50"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49945C6E" w14:textId="77777777" w:rsidR="005D59D6" w:rsidRPr="00F10C37" w:rsidRDefault="005D59D6" w:rsidP="002D6DD7">
            <w:pPr>
              <w:jc w:val="both"/>
              <w:rPr>
                <w:rFonts w:cs="Times New Roman"/>
                <w:szCs w:val="24"/>
              </w:rPr>
            </w:pPr>
            <w:r w:rsidRPr="00F10C37">
              <w:rPr>
                <w:rFonts w:eastAsiaTheme="minorHAnsi" w:cs="Times New Roman"/>
                <w:kern w:val="0"/>
                <w:szCs w:val="24"/>
                <w:lang w:val="en-US" w:eastAsia="en-US"/>
              </w:rPr>
              <w:t>Undiagnosed vaginal bleeding,</w:t>
            </w:r>
            <w:r w:rsidRPr="00F10C37">
              <w:rPr>
                <w:rFonts w:cs="Times New Roman"/>
                <w:szCs w:val="24"/>
              </w:rPr>
              <w:t xml:space="preserve"> hypersensitivity to leuprorelin or any of its components.</w:t>
            </w:r>
          </w:p>
        </w:tc>
      </w:tr>
      <w:tr w:rsidR="005D59D6" w:rsidRPr="00F10C37" w14:paraId="50D04412" w14:textId="77777777" w:rsidTr="002D6DD7">
        <w:trPr>
          <w:jc w:val="center"/>
        </w:trPr>
        <w:tc>
          <w:tcPr>
            <w:tcW w:w="2898" w:type="dxa"/>
          </w:tcPr>
          <w:p w14:paraId="3F7DD6CB"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59A6030F" w14:textId="77777777" w:rsidR="005D59D6" w:rsidRPr="00F10C37" w:rsidRDefault="005D59D6" w:rsidP="002D6DD7">
            <w:pPr>
              <w:contextualSpacing/>
              <w:jc w:val="both"/>
              <w:rPr>
                <w:rFonts w:cs="Times New Roman"/>
                <w:szCs w:val="24"/>
              </w:rPr>
            </w:pPr>
            <w:r w:rsidRPr="00F10C37">
              <w:rPr>
                <w:rFonts w:cs="Times New Roman"/>
                <w:bCs/>
                <w:szCs w:val="24"/>
              </w:rPr>
              <w:t>Refer to goserelin above</w:t>
            </w:r>
          </w:p>
        </w:tc>
      </w:tr>
      <w:tr w:rsidR="005D59D6" w:rsidRPr="00F10C37" w14:paraId="3BA8B294" w14:textId="77777777" w:rsidTr="002D6DD7">
        <w:trPr>
          <w:jc w:val="center"/>
        </w:trPr>
        <w:tc>
          <w:tcPr>
            <w:tcW w:w="2898" w:type="dxa"/>
          </w:tcPr>
          <w:p w14:paraId="60D03669"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2EC44C1D"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 xml:space="preserve">Appetite decreased, arthralgia, bone pain, breast abnormalities, depression, dizziness, fatigue, gynaecomastia, headache, hepatic disorders, hot flush, hyperhidrosis, injection site necrosis, </w:t>
            </w:r>
            <w:r w:rsidRPr="00F10C37">
              <w:rPr>
                <w:rFonts w:eastAsiaTheme="minorHAnsi" w:cs="Times New Roman"/>
                <w:color w:val="231F20"/>
                <w:kern w:val="0"/>
                <w:szCs w:val="24"/>
                <w:lang w:val="en-US" w:eastAsia="en-US"/>
              </w:rPr>
              <w:lastRenderedPageBreak/>
              <w:t>insomnia, mood altered, muscle weakness, nausea, paraesthesia, peripheral edema, sexual dysfunction, testicular atrophy, vulvovaginal dryness, weight change</w:t>
            </w:r>
          </w:p>
        </w:tc>
      </w:tr>
      <w:tr w:rsidR="005D59D6" w:rsidRPr="00F10C37" w14:paraId="333C0840" w14:textId="77777777" w:rsidTr="002D6DD7">
        <w:trPr>
          <w:jc w:val="center"/>
        </w:trPr>
        <w:tc>
          <w:tcPr>
            <w:tcW w:w="2898" w:type="dxa"/>
          </w:tcPr>
          <w:p w14:paraId="51D79A87" w14:textId="77777777" w:rsidR="005D59D6" w:rsidRPr="00F10C37" w:rsidRDefault="005D59D6" w:rsidP="002D6DD7">
            <w:pPr>
              <w:jc w:val="both"/>
              <w:rPr>
                <w:rFonts w:cs="Times New Roman"/>
                <w:szCs w:val="24"/>
              </w:rPr>
            </w:pPr>
            <w:r w:rsidRPr="00F10C37">
              <w:rPr>
                <w:rFonts w:cs="Times New Roman"/>
                <w:szCs w:val="24"/>
              </w:rPr>
              <w:lastRenderedPageBreak/>
              <w:t xml:space="preserve">Cautions </w:t>
            </w:r>
          </w:p>
        </w:tc>
        <w:tc>
          <w:tcPr>
            <w:tcW w:w="6570" w:type="dxa"/>
          </w:tcPr>
          <w:p w14:paraId="575000D0"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color w:val="231F20"/>
                <w:kern w:val="0"/>
                <w:szCs w:val="24"/>
                <w:lang w:val="en-US" w:eastAsia="en-US"/>
              </w:rPr>
              <w:t>Diabetes, family history of osteoporosis, patients with metabolic bone disease, risk of spinal cord compression in men with prostate cancer, risk of ureteric, obstruction in men with prostate cancer, pregnancy, breastfeeding.</w:t>
            </w:r>
          </w:p>
        </w:tc>
      </w:tr>
      <w:tr w:rsidR="005D59D6" w:rsidRPr="00F10C37" w14:paraId="7FCAB650" w14:textId="77777777" w:rsidTr="002D6DD7">
        <w:trPr>
          <w:jc w:val="center"/>
        </w:trPr>
        <w:tc>
          <w:tcPr>
            <w:tcW w:w="2898" w:type="dxa"/>
          </w:tcPr>
          <w:p w14:paraId="21154D2D"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493E8D97" w14:textId="77777777" w:rsidR="005D59D6" w:rsidRPr="00F10C37" w:rsidRDefault="005D59D6" w:rsidP="002D6DD7">
            <w:pPr>
              <w:contextualSpacing/>
              <w:jc w:val="both"/>
              <w:rPr>
                <w:rFonts w:cs="Times New Roman"/>
                <w:szCs w:val="24"/>
              </w:rPr>
            </w:pPr>
            <w:r w:rsidRPr="00F10C37">
              <w:rPr>
                <w:rFonts w:cs="Times New Roman"/>
                <w:szCs w:val="24"/>
              </w:rPr>
              <w:t>Store below 30°C. Do not freeze. Protect from light.</w:t>
            </w:r>
          </w:p>
        </w:tc>
      </w:tr>
      <w:tr w:rsidR="005D59D6" w:rsidRPr="00F10C37" w14:paraId="721487E1" w14:textId="77777777" w:rsidTr="002D6DD7">
        <w:trPr>
          <w:jc w:val="center"/>
        </w:trPr>
        <w:tc>
          <w:tcPr>
            <w:tcW w:w="9468" w:type="dxa"/>
            <w:gridSpan w:val="2"/>
          </w:tcPr>
          <w:p w14:paraId="1EC120D0" w14:textId="77777777" w:rsidR="005D59D6" w:rsidRPr="00F10C37" w:rsidRDefault="005D59D6" w:rsidP="002D6DD7">
            <w:pPr>
              <w:jc w:val="both"/>
              <w:rPr>
                <w:rFonts w:cs="Times New Roman"/>
                <w:szCs w:val="24"/>
              </w:rPr>
            </w:pPr>
            <w:r w:rsidRPr="00F10C37">
              <w:rPr>
                <w:rFonts w:cs="Times New Roman"/>
                <w:b/>
                <w:bCs/>
                <w:szCs w:val="24"/>
              </w:rPr>
              <w:t>Tamoxifen</w:t>
            </w:r>
          </w:p>
        </w:tc>
      </w:tr>
      <w:tr w:rsidR="005D59D6" w:rsidRPr="00F10C37" w14:paraId="463E7EB9" w14:textId="77777777" w:rsidTr="002D6DD7">
        <w:trPr>
          <w:jc w:val="center"/>
        </w:trPr>
        <w:tc>
          <w:tcPr>
            <w:tcW w:w="2898" w:type="dxa"/>
          </w:tcPr>
          <w:p w14:paraId="18ADA50C"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58A17CD3" w14:textId="77777777" w:rsidR="005D59D6" w:rsidRPr="00F10C37" w:rsidRDefault="005D59D6" w:rsidP="002D6DD7">
            <w:pPr>
              <w:jc w:val="both"/>
              <w:rPr>
                <w:rFonts w:cs="Times New Roman"/>
                <w:szCs w:val="24"/>
              </w:rPr>
            </w:pPr>
            <w:r w:rsidRPr="00F10C37">
              <w:rPr>
                <w:rFonts w:cs="Times New Roman"/>
                <w:szCs w:val="24"/>
              </w:rPr>
              <w:t>Selective oestrogen receptor modulator (SERM)</w:t>
            </w:r>
          </w:p>
        </w:tc>
      </w:tr>
      <w:tr w:rsidR="005D59D6" w:rsidRPr="00F10C37" w14:paraId="2ACE2273" w14:textId="77777777" w:rsidTr="002D6DD7">
        <w:trPr>
          <w:jc w:val="center"/>
        </w:trPr>
        <w:tc>
          <w:tcPr>
            <w:tcW w:w="2898" w:type="dxa"/>
          </w:tcPr>
          <w:p w14:paraId="66905167"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498FC039" w14:textId="77777777" w:rsidR="005D59D6" w:rsidRPr="00F10C37" w:rsidRDefault="005D59D6" w:rsidP="002D6DD7">
            <w:pPr>
              <w:jc w:val="both"/>
              <w:rPr>
                <w:rFonts w:cs="Times New Roman"/>
                <w:szCs w:val="24"/>
              </w:rPr>
            </w:pPr>
            <w:r w:rsidRPr="00F10C37">
              <w:rPr>
                <w:rFonts w:cs="Times New Roman"/>
                <w:iCs/>
                <w:szCs w:val="24"/>
              </w:rPr>
              <w:t>Tablet: 10 mg, 20 mg (as citrate).</w:t>
            </w:r>
          </w:p>
        </w:tc>
      </w:tr>
      <w:tr w:rsidR="005D59D6" w:rsidRPr="00F10C37" w14:paraId="0BCC8CA9" w14:textId="77777777" w:rsidTr="002D6DD7">
        <w:trPr>
          <w:jc w:val="center"/>
        </w:trPr>
        <w:tc>
          <w:tcPr>
            <w:tcW w:w="2898" w:type="dxa"/>
          </w:tcPr>
          <w:p w14:paraId="410C6427"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136B05DC" w14:textId="77777777" w:rsidR="005D59D6" w:rsidRPr="00F10C37" w:rsidRDefault="005D59D6" w:rsidP="002D6DD7">
            <w:pPr>
              <w:contextualSpacing/>
              <w:jc w:val="both"/>
              <w:rPr>
                <w:rFonts w:cs="Times New Roman"/>
                <w:szCs w:val="24"/>
              </w:rPr>
            </w:pPr>
            <w:r w:rsidRPr="00F10C37">
              <w:rPr>
                <w:rFonts w:cs="Times New Roman"/>
                <w:szCs w:val="24"/>
              </w:rPr>
              <w:t>Hormone receptor-positive breast cancer, anovulatory infertility, gynacomastia, breast cancer</w:t>
            </w:r>
            <w:r>
              <w:rPr>
                <w:rFonts w:cs="Times New Roman"/>
                <w:szCs w:val="24"/>
              </w:rPr>
              <w:t>.</w:t>
            </w:r>
          </w:p>
        </w:tc>
      </w:tr>
      <w:tr w:rsidR="005D59D6" w:rsidRPr="00F10C37" w14:paraId="11164498" w14:textId="77777777" w:rsidTr="002D6DD7">
        <w:trPr>
          <w:trHeight w:val="503"/>
          <w:jc w:val="center"/>
        </w:trPr>
        <w:tc>
          <w:tcPr>
            <w:tcW w:w="2898" w:type="dxa"/>
          </w:tcPr>
          <w:p w14:paraId="413CEAAA"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5903493C" w14:textId="77777777" w:rsidR="005D59D6"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Breast cancer (chemoprevention in women at moderate to-high risk</w:t>
            </w:r>
            <w:r w:rsidRPr="00F10C37">
              <w:rPr>
                <w:rFonts w:eastAsiaTheme="minorHAnsi" w:cs="Times New Roman"/>
                <w:color w:val="231F20"/>
                <w:kern w:val="0"/>
                <w:szCs w:val="24"/>
                <w:lang w:val="en-US" w:eastAsia="en-US"/>
              </w:rPr>
              <w:t>)</w:t>
            </w:r>
            <w:r>
              <w:rPr>
                <w:rFonts w:eastAsiaTheme="minorHAnsi" w:cs="Times New Roman"/>
                <w:color w:val="231F20"/>
                <w:kern w:val="0"/>
                <w:szCs w:val="24"/>
                <w:lang w:val="en-US" w:eastAsia="en-US"/>
              </w:rPr>
              <w:t>:</w:t>
            </w:r>
          </w:p>
          <w:p w14:paraId="6E1D5597"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10149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20 mg-40mg daily for 5 years, </w:t>
            </w:r>
          </w:p>
          <w:p w14:paraId="7669770A" w14:textId="77777777" w:rsidR="005D59D6" w:rsidRDefault="005D59D6" w:rsidP="002D6DD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Anovulatory infertility</w:t>
            </w:r>
            <w:r>
              <w:rPr>
                <w:rFonts w:eastAsiaTheme="minorHAnsi" w:cs="Times New Roman"/>
                <w:b/>
                <w:color w:val="231F20"/>
                <w:kern w:val="0"/>
                <w:szCs w:val="24"/>
                <w:lang w:val="en-US" w:eastAsia="en-US"/>
              </w:rPr>
              <w:t>:</w:t>
            </w:r>
          </w:p>
          <w:p w14:paraId="4708BE22"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10149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xml:space="preserve">: Initially 20 mg daily if necessary the daily dose may be increased to 40 mg then 80mg for subsequent courses; </w:t>
            </w:r>
          </w:p>
          <w:p w14:paraId="3572EFCD" w14:textId="77777777" w:rsidR="005D59D6" w:rsidRDefault="005D59D6" w:rsidP="002D6DD7">
            <w:pPr>
              <w:autoSpaceDE w:val="0"/>
              <w:autoSpaceDN w:val="0"/>
              <w:adjustRightInd w:val="0"/>
              <w:jc w:val="both"/>
              <w:rPr>
                <w:rFonts w:eastAsiaTheme="minorHAnsi" w:cs="Times New Roman"/>
                <w:b/>
                <w:color w:val="231F20"/>
                <w:kern w:val="0"/>
                <w:szCs w:val="24"/>
                <w:lang w:val="en-US" w:eastAsia="en-US"/>
              </w:rPr>
            </w:pPr>
            <w:r w:rsidRPr="00F10C37">
              <w:rPr>
                <w:rFonts w:eastAsiaTheme="minorHAnsi" w:cs="Times New Roman"/>
                <w:b/>
                <w:color w:val="231F20"/>
                <w:kern w:val="0"/>
                <w:szCs w:val="24"/>
                <w:lang w:val="en-US" w:eastAsia="en-US"/>
              </w:rPr>
              <w:t>Gynecomastia</w:t>
            </w:r>
            <w:r>
              <w:rPr>
                <w:rFonts w:eastAsiaTheme="minorHAnsi" w:cs="Times New Roman"/>
                <w:b/>
                <w:color w:val="231F20"/>
                <w:kern w:val="0"/>
                <w:szCs w:val="24"/>
                <w:lang w:val="en-US" w:eastAsia="en-US"/>
              </w:rPr>
              <w:t>:</w:t>
            </w:r>
          </w:p>
          <w:p w14:paraId="15664FF6"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101497">
              <w:rPr>
                <w:rFonts w:eastAsiaTheme="minorHAnsi" w:cs="Times New Roman"/>
                <w:b/>
                <w:color w:val="231F20"/>
                <w:kern w:val="0"/>
                <w:szCs w:val="24"/>
                <w:lang w:val="en-US" w:eastAsia="en-US"/>
              </w:rPr>
              <w:t xml:space="preserve">Adult: </w:t>
            </w:r>
            <w:r w:rsidRPr="00F10C37">
              <w:rPr>
                <w:rFonts w:eastAsiaTheme="minorHAnsi" w:cs="Times New Roman"/>
                <w:color w:val="231F20"/>
                <w:kern w:val="0"/>
                <w:szCs w:val="24"/>
                <w:lang w:val="en-US" w:eastAsia="en-US"/>
              </w:rPr>
              <w:t>20 mg once weekly</w:t>
            </w:r>
          </w:p>
        </w:tc>
      </w:tr>
      <w:tr w:rsidR="005D59D6" w:rsidRPr="00F10C37" w14:paraId="3CA070D9" w14:textId="77777777" w:rsidTr="002D6DD7">
        <w:trPr>
          <w:jc w:val="center"/>
        </w:trPr>
        <w:tc>
          <w:tcPr>
            <w:tcW w:w="2898" w:type="dxa"/>
          </w:tcPr>
          <w:p w14:paraId="1E5245DA"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554E6C60" w14:textId="77777777" w:rsidR="005D59D6" w:rsidRPr="00F10C37" w:rsidRDefault="005D59D6" w:rsidP="002D6DD7">
            <w:pPr>
              <w:jc w:val="both"/>
              <w:rPr>
                <w:rFonts w:cs="Times New Roman"/>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history of deep vein thrombosis (DVT), pulmonary embolism (PE), or other thromboembolic events, history of endometrial cancer.</w:t>
            </w:r>
          </w:p>
        </w:tc>
      </w:tr>
      <w:tr w:rsidR="005D59D6" w:rsidRPr="00F10C37" w14:paraId="1C26A9E3" w14:textId="77777777" w:rsidTr="002D6DD7">
        <w:trPr>
          <w:jc w:val="center"/>
        </w:trPr>
        <w:tc>
          <w:tcPr>
            <w:tcW w:w="2898" w:type="dxa"/>
          </w:tcPr>
          <w:p w14:paraId="721603BB"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519A0109" w14:textId="77777777" w:rsidR="005D59D6" w:rsidRPr="00F10C37" w:rsidRDefault="005D59D6" w:rsidP="002D6DD7">
            <w:pPr>
              <w:contextualSpacing/>
              <w:jc w:val="both"/>
              <w:rPr>
                <w:rFonts w:cs="Times New Roman"/>
                <w:szCs w:val="24"/>
              </w:rPr>
            </w:pPr>
            <w:r w:rsidRPr="00F10C37">
              <w:rPr>
                <w:rFonts w:cs="Times New Roman"/>
                <w:szCs w:val="24"/>
              </w:rPr>
              <w:t xml:space="preserve">Warfarin, erythromycin, calcium channel blockers, cyclosporine, paroxetine, fluoxetine, bupropion, duloxetine, and sertraline, thioridazine, perphenazine, pimozide, cimetidine, quinidine, ticlopidine, and terfenadine </w:t>
            </w:r>
          </w:p>
        </w:tc>
      </w:tr>
      <w:tr w:rsidR="005D59D6" w:rsidRPr="00F10C37" w14:paraId="0923B1E7" w14:textId="77777777" w:rsidTr="002D6DD7">
        <w:trPr>
          <w:jc w:val="center"/>
        </w:trPr>
        <w:tc>
          <w:tcPr>
            <w:tcW w:w="2898" w:type="dxa"/>
          </w:tcPr>
          <w:p w14:paraId="1250275C"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2802A940" w14:textId="77777777" w:rsidR="005D59D6" w:rsidRPr="00F10C37" w:rsidRDefault="005D59D6" w:rsidP="002D6DD7">
            <w:pPr>
              <w:contextualSpacing/>
              <w:jc w:val="both"/>
              <w:rPr>
                <w:rFonts w:cs="Times New Roman"/>
                <w:szCs w:val="24"/>
              </w:rPr>
            </w:pPr>
            <w:r w:rsidRPr="00F10C37">
              <w:rPr>
                <w:rFonts w:cs="Times New Roman"/>
                <w:szCs w:val="24"/>
              </w:rPr>
              <w:t xml:space="preserve">Hot flashes, vaginal discharge, vaginal bleeding or spotting, nausea, vomiting, fatigue, headache, dizziness, mood changes, and skin rash, DVT, PE, endometrial hyperplasia, visual </w:t>
            </w:r>
            <w:r w:rsidRPr="00F10C37">
              <w:rPr>
                <w:rFonts w:cs="Times New Roman"/>
                <w:szCs w:val="24"/>
              </w:rPr>
              <w:lastRenderedPageBreak/>
              <w:t xml:space="preserve">disturbances, fluid retention, </w:t>
            </w:r>
          </w:p>
        </w:tc>
      </w:tr>
      <w:tr w:rsidR="005D59D6" w:rsidRPr="00F10C37" w14:paraId="531C101D" w14:textId="77777777" w:rsidTr="002D6DD7">
        <w:trPr>
          <w:jc w:val="center"/>
        </w:trPr>
        <w:tc>
          <w:tcPr>
            <w:tcW w:w="2898" w:type="dxa"/>
          </w:tcPr>
          <w:p w14:paraId="396CA07E" w14:textId="77777777" w:rsidR="005D59D6" w:rsidRPr="00F10C37" w:rsidRDefault="005D59D6" w:rsidP="002D6DD7">
            <w:pPr>
              <w:jc w:val="both"/>
              <w:rPr>
                <w:rFonts w:cs="Times New Roman"/>
                <w:szCs w:val="24"/>
              </w:rPr>
            </w:pPr>
            <w:r w:rsidRPr="00F10C37">
              <w:rPr>
                <w:rFonts w:cs="Times New Roman"/>
                <w:szCs w:val="24"/>
              </w:rPr>
              <w:lastRenderedPageBreak/>
              <w:t xml:space="preserve">Cautions </w:t>
            </w:r>
          </w:p>
        </w:tc>
        <w:tc>
          <w:tcPr>
            <w:tcW w:w="6570" w:type="dxa"/>
          </w:tcPr>
          <w:p w14:paraId="1755D6BF" w14:textId="77777777" w:rsidR="005D59D6" w:rsidRPr="00F10C37" w:rsidRDefault="005D59D6" w:rsidP="002D6DD7">
            <w:pPr>
              <w:jc w:val="both"/>
              <w:rPr>
                <w:rFonts w:cs="Times New Roman"/>
                <w:szCs w:val="24"/>
              </w:rPr>
            </w:pPr>
            <w:r>
              <w:rPr>
                <w:rFonts w:cs="Times New Roman"/>
                <w:szCs w:val="24"/>
              </w:rPr>
              <w:t>C</w:t>
            </w:r>
            <w:r w:rsidRPr="00F10C37">
              <w:rPr>
                <w:rFonts w:cs="Times New Roman"/>
                <w:szCs w:val="24"/>
              </w:rPr>
              <w:t xml:space="preserve">oagulation </w:t>
            </w:r>
            <w:r>
              <w:rPr>
                <w:rFonts w:cs="Times New Roman"/>
                <w:szCs w:val="24"/>
              </w:rPr>
              <w:t xml:space="preserve">disorders, </w:t>
            </w:r>
            <w:r w:rsidRPr="00F10C37">
              <w:rPr>
                <w:rFonts w:cs="Times New Roman"/>
                <w:szCs w:val="24"/>
              </w:rPr>
              <w:t xml:space="preserve">menopausal symptoms, impending ureteral obstruction, spinal cord compression, or extensive bone metastases, </w:t>
            </w:r>
            <w:r w:rsidRPr="00F10C37">
              <w:rPr>
                <w:rFonts w:eastAsiaTheme="minorHAnsi" w:cs="Times New Roman"/>
                <w:color w:val="231F20"/>
                <w:kern w:val="0"/>
                <w:szCs w:val="24"/>
                <w:lang w:val="en-US" w:eastAsia="en-US"/>
              </w:rPr>
              <w:t>pregnancy, breastfeeding.</w:t>
            </w:r>
          </w:p>
        </w:tc>
      </w:tr>
      <w:tr w:rsidR="005D59D6" w:rsidRPr="00F10C37" w14:paraId="041215F8" w14:textId="77777777" w:rsidTr="002D6DD7">
        <w:trPr>
          <w:jc w:val="center"/>
        </w:trPr>
        <w:tc>
          <w:tcPr>
            <w:tcW w:w="2898" w:type="dxa"/>
          </w:tcPr>
          <w:p w14:paraId="76A3013F" w14:textId="77777777" w:rsidR="005D59D6" w:rsidRPr="00F10C37" w:rsidRDefault="005D59D6" w:rsidP="002D6DD7">
            <w:pPr>
              <w:jc w:val="both"/>
              <w:rPr>
                <w:rFonts w:cs="Times New Roman"/>
                <w:szCs w:val="24"/>
              </w:rPr>
            </w:pPr>
            <w:r w:rsidRPr="00F10C37">
              <w:rPr>
                <w:rFonts w:cs="Times New Roman"/>
                <w:szCs w:val="24"/>
              </w:rPr>
              <w:t>Storage condition</w:t>
            </w:r>
          </w:p>
        </w:tc>
        <w:tc>
          <w:tcPr>
            <w:tcW w:w="6570" w:type="dxa"/>
          </w:tcPr>
          <w:p w14:paraId="6673D07C" w14:textId="77777777" w:rsidR="005D59D6" w:rsidRPr="00F10C37" w:rsidRDefault="005D59D6" w:rsidP="002D6DD7">
            <w:pPr>
              <w:contextualSpacing/>
              <w:jc w:val="both"/>
              <w:rPr>
                <w:rFonts w:cs="Times New Roman"/>
                <w:szCs w:val="24"/>
              </w:rPr>
            </w:pPr>
            <w:r w:rsidRPr="00F10C37">
              <w:rPr>
                <w:rFonts w:cs="Times New Roman"/>
                <w:szCs w:val="24"/>
              </w:rPr>
              <w:t>Store below 30°C. Protect from moisture and light</w:t>
            </w:r>
          </w:p>
        </w:tc>
      </w:tr>
      <w:tr w:rsidR="005D59D6" w:rsidRPr="00F10C37" w14:paraId="1837AA6E" w14:textId="77777777" w:rsidTr="002D6DD7">
        <w:trPr>
          <w:jc w:val="center"/>
        </w:trPr>
        <w:tc>
          <w:tcPr>
            <w:tcW w:w="9468" w:type="dxa"/>
            <w:gridSpan w:val="2"/>
          </w:tcPr>
          <w:p w14:paraId="44E1744E" w14:textId="77777777" w:rsidR="005D59D6" w:rsidRPr="00F10C37" w:rsidRDefault="005D59D6" w:rsidP="002D6DD7">
            <w:pPr>
              <w:jc w:val="both"/>
              <w:rPr>
                <w:rFonts w:cs="Times New Roman"/>
                <w:b/>
                <w:szCs w:val="24"/>
              </w:rPr>
            </w:pPr>
            <w:r w:rsidRPr="00F10C37">
              <w:rPr>
                <w:rFonts w:eastAsia="Times New Roman" w:cs="Times New Roman"/>
                <w:b/>
                <w:iCs/>
                <w:color w:val="000000"/>
                <w:szCs w:val="24"/>
              </w:rPr>
              <w:t>Triptorelin</w:t>
            </w:r>
          </w:p>
        </w:tc>
      </w:tr>
      <w:tr w:rsidR="005D59D6" w:rsidRPr="00F10C37" w14:paraId="55862057" w14:textId="77777777" w:rsidTr="002D6DD7">
        <w:trPr>
          <w:jc w:val="center"/>
        </w:trPr>
        <w:tc>
          <w:tcPr>
            <w:tcW w:w="2898" w:type="dxa"/>
          </w:tcPr>
          <w:p w14:paraId="2A920C7D" w14:textId="77777777" w:rsidR="005D59D6" w:rsidRPr="00F10C37" w:rsidRDefault="005D59D6" w:rsidP="002D6DD7">
            <w:pPr>
              <w:jc w:val="both"/>
              <w:rPr>
                <w:rFonts w:cs="Times New Roman"/>
                <w:szCs w:val="24"/>
              </w:rPr>
            </w:pPr>
            <w:r w:rsidRPr="00F10C37">
              <w:rPr>
                <w:rFonts w:cs="Times New Roman"/>
                <w:szCs w:val="24"/>
              </w:rPr>
              <w:t>Pharmacological class</w:t>
            </w:r>
          </w:p>
        </w:tc>
        <w:tc>
          <w:tcPr>
            <w:tcW w:w="6570" w:type="dxa"/>
          </w:tcPr>
          <w:p w14:paraId="3FF5D8AC" w14:textId="77777777" w:rsidR="005D59D6" w:rsidRPr="00F10C37" w:rsidRDefault="005D59D6" w:rsidP="002D6DD7">
            <w:pPr>
              <w:jc w:val="both"/>
              <w:rPr>
                <w:rFonts w:cs="Times New Roman"/>
                <w:szCs w:val="24"/>
              </w:rPr>
            </w:pPr>
            <w:r w:rsidRPr="00F10C37">
              <w:rPr>
                <w:rFonts w:cs="Times New Roman"/>
                <w:szCs w:val="24"/>
              </w:rPr>
              <w:t xml:space="preserve">Gonadotropin-releasing hormone (GnRH) agonist. </w:t>
            </w:r>
          </w:p>
        </w:tc>
      </w:tr>
      <w:tr w:rsidR="005D59D6" w:rsidRPr="00F10C37" w14:paraId="161B12EC" w14:textId="77777777" w:rsidTr="002D6DD7">
        <w:trPr>
          <w:jc w:val="center"/>
        </w:trPr>
        <w:tc>
          <w:tcPr>
            <w:tcW w:w="2898" w:type="dxa"/>
          </w:tcPr>
          <w:p w14:paraId="15938BFD" w14:textId="77777777" w:rsidR="005D59D6" w:rsidRPr="00F10C37" w:rsidRDefault="005D59D6" w:rsidP="002D6DD7">
            <w:pPr>
              <w:jc w:val="both"/>
              <w:rPr>
                <w:rFonts w:cs="Times New Roman"/>
                <w:szCs w:val="24"/>
              </w:rPr>
            </w:pPr>
            <w:r w:rsidRPr="00F10C37">
              <w:rPr>
                <w:rFonts w:cs="Times New Roman"/>
                <w:szCs w:val="24"/>
              </w:rPr>
              <w:t>Dosage form</w:t>
            </w:r>
          </w:p>
        </w:tc>
        <w:tc>
          <w:tcPr>
            <w:tcW w:w="6570" w:type="dxa"/>
          </w:tcPr>
          <w:p w14:paraId="586E2F57" w14:textId="77777777" w:rsidR="005D59D6" w:rsidRPr="00F10C37" w:rsidRDefault="005D59D6" w:rsidP="002D6DD7">
            <w:pPr>
              <w:jc w:val="both"/>
              <w:rPr>
                <w:rFonts w:cs="Times New Roman"/>
                <w:iCs/>
                <w:szCs w:val="24"/>
              </w:rPr>
            </w:pPr>
            <w:r w:rsidRPr="00F10C37">
              <w:rPr>
                <w:rFonts w:cs="Times New Roman"/>
                <w:iCs/>
                <w:szCs w:val="24"/>
              </w:rPr>
              <w:t xml:space="preserve">Injection: 3.75mg, 11.25mg </w:t>
            </w:r>
          </w:p>
        </w:tc>
      </w:tr>
      <w:tr w:rsidR="005D59D6" w:rsidRPr="00F10C37" w14:paraId="327A28E1" w14:textId="77777777" w:rsidTr="002D6DD7">
        <w:trPr>
          <w:jc w:val="center"/>
        </w:trPr>
        <w:tc>
          <w:tcPr>
            <w:tcW w:w="2898" w:type="dxa"/>
          </w:tcPr>
          <w:p w14:paraId="27B193F2" w14:textId="77777777" w:rsidR="005D59D6" w:rsidRPr="003D3E3A" w:rsidRDefault="005D59D6" w:rsidP="002D6DD7">
            <w:pPr>
              <w:jc w:val="both"/>
              <w:rPr>
                <w:rFonts w:cs="Times New Roman"/>
                <w:b/>
                <w:szCs w:val="24"/>
              </w:rPr>
            </w:pPr>
            <w:r w:rsidRPr="000674E0">
              <w:rPr>
                <w:rFonts w:cs="Times New Roman"/>
                <w:szCs w:val="24"/>
              </w:rPr>
              <w:t>Indications</w:t>
            </w:r>
          </w:p>
        </w:tc>
        <w:tc>
          <w:tcPr>
            <w:tcW w:w="6570" w:type="dxa"/>
          </w:tcPr>
          <w:p w14:paraId="628564D5" w14:textId="77777777" w:rsidR="005D59D6" w:rsidRPr="00F10C37" w:rsidRDefault="005D59D6" w:rsidP="002D6DD7">
            <w:pPr>
              <w:jc w:val="both"/>
              <w:rPr>
                <w:rFonts w:cs="Times New Roman"/>
                <w:szCs w:val="24"/>
              </w:rPr>
            </w:pPr>
            <w:r w:rsidRPr="00F10C37">
              <w:rPr>
                <w:rFonts w:cs="Times New Roman"/>
                <w:szCs w:val="24"/>
              </w:rPr>
              <w:t xml:space="preserve">Prostate cancer, hormone receptor-positive breast cancer, endometriosis, </w:t>
            </w:r>
            <w:r w:rsidRPr="00F10C37">
              <w:rPr>
                <w:rFonts w:eastAsiaTheme="minorHAnsi" w:cs="Times New Roman"/>
                <w:color w:val="231F20"/>
                <w:kern w:val="0"/>
                <w:szCs w:val="24"/>
                <w:lang w:val="en-US" w:eastAsia="en-US"/>
              </w:rPr>
              <w:t>Reduction in size of uterine fibroids</w:t>
            </w:r>
          </w:p>
        </w:tc>
      </w:tr>
      <w:tr w:rsidR="005D59D6" w:rsidRPr="00F10C37" w14:paraId="226B7C64" w14:textId="77777777" w:rsidTr="002D6DD7">
        <w:trPr>
          <w:jc w:val="center"/>
        </w:trPr>
        <w:tc>
          <w:tcPr>
            <w:tcW w:w="2898" w:type="dxa"/>
          </w:tcPr>
          <w:p w14:paraId="137F0FFD" w14:textId="77777777" w:rsidR="005D59D6" w:rsidRPr="00F10C37" w:rsidRDefault="005D59D6" w:rsidP="002D6DD7">
            <w:pPr>
              <w:jc w:val="both"/>
              <w:rPr>
                <w:rFonts w:cs="Times New Roman"/>
                <w:szCs w:val="24"/>
              </w:rPr>
            </w:pPr>
            <w:r w:rsidRPr="00F10C37">
              <w:rPr>
                <w:rFonts w:cs="Times New Roman"/>
                <w:szCs w:val="24"/>
              </w:rPr>
              <w:t>Dose and administration</w:t>
            </w:r>
          </w:p>
        </w:tc>
        <w:tc>
          <w:tcPr>
            <w:tcW w:w="6570" w:type="dxa"/>
          </w:tcPr>
          <w:p w14:paraId="0C9524FF"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Advanced prostate cancer,</w:t>
            </w:r>
            <w:r w:rsidRPr="00F10C37">
              <w:rPr>
                <w:rFonts w:eastAsiaTheme="minorHAnsi" w:cs="Times New Roman"/>
                <w:color w:val="231F20"/>
                <w:kern w:val="0"/>
                <w:szCs w:val="24"/>
                <w:lang w:val="en-US" w:eastAsia="en-US"/>
              </w:rPr>
              <w:t xml:space="preserve"> IM:</w:t>
            </w:r>
          </w:p>
          <w:p w14:paraId="50B8F412"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11.25 mg every 3 months</w:t>
            </w:r>
          </w:p>
          <w:p w14:paraId="62784189"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 xml:space="preserve">Endometriosis, reduction in size of uterine fibroids, </w:t>
            </w:r>
            <w:r w:rsidRPr="00F10C37">
              <w:rPr>
                <w:rFonts w:eastAsiaTheme="minorHAnsi" w:cs="Times New Roman"/>
                <w:color w:val="231F20"/>
                <w:kern w:val="0"/>
                <w:szCs w:val="24"/>
                <w:lang w:val="en-US" w:eastAsia="en-US"/>
              </w:rPr>
              <w:t>IM:</w:t>
            </w:r>
          </w:p>
          <w:p w14:paraId="3A770D4C"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11.25 mg every 3 months for maximum 6 months (not to be repeated), to be started during first 5 days of menstrual cycle</w:t>
            </w:r>
          </w:p>
          <w:p w14:paraId="0445DF00"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Premenopausal breast cancer (as combination therapy)</w:t>
            </w:r>
            <w:r w:rsidRPr="00F10C37">
              <w:rPr>
                <w:rFonts w:eastAsiaTheme="minorHAnsi" w:cs="Times New Roman"/>
                <w:color w:val="231F20"/>
                <w:kern w:val="0"/>
                <w:szCs w:val="24"/>
                <w:lang w:val="en-US" w:eastAsia="en-US"/>
              </w:rPr>
              <w:t>, IM:</w:t>
            </w:r>
          </w:p>
          <w:p w14:paraId="0788B3EF" w14:textId="77777777" w:rsidR="005D59D6" w:rsidRPr="00F10C37" w:rsidRDefault="005D59D6" w:rsidP="002D6DD7">
            <w:pPr>
              <w:autoSpaceDE w:val="0"/>
              <w:autoSpaceDN w:val="0"/>
              <w:adjustRightInd w:val="0"/>
              <w:jc w:val="both"/>
              <w:rPr>
                <w:rFonts w:eastAsiaTheme="minorHAnsi" w:cs="Times New Roman"/>
                <w:color w:val="231F20"/>
                <w:kern w:val="0"/>
                <w:szCs w:val="24"/>
                <w:lang w:val="en-US" w:eastAsia="en-US"/>
              </w:rPr>
            </w:pPr>
            <w:r w:rsidRPr="00F10C37">
              <w:rPr>
                <w:rFonts w:eastAsiaTheme="minorHAnsi" w:cs="Times New Roman"/>
                <w:b/>
                <w:color w:val="231F20"/>
                <w:kern w:val="0"/>
                <w:szCs w:val="24"/>
                <w:lang w:val="en-US" w:eastAsia="en-US"/>
              </w:rPr>
              <w:t>Adult</w:t>
            </w:r>
            <w:r w:rsidRPr="00F10C37">
              <w:rPr>
                <w:rFonts w:eastAsiaTheme="minorHAnsi" w:cs="Times New Roman"/>
                <w:color w:val="231F20"/>
                <w:kern w:val="0"/>
                <w:szCs w:val="24"/>
                <w:lang w:val="en-US" w:eastAsia="en-US"/>
              </w:rPr>
              <w:t>: 3 mg every 4 weeks for up to 5 years, initiated 6–8 weeks before starting aromatase inhibitor.</w:t>
            </w:r>
          </w:p>
        </w:tc>
      </w:tr>
      <w:tr w:rsidR="005D59D6" w:rsidRPr="00F10C37" w14:paraId="633FC3C0" w14:textId="77777777" w:rsidTr="002D6DD7">
        <w:trPr>
          <w:jc w:val="center"/>
        </w:trPr>
        <w:tc>
          <w:tcPr>
            <w:tcW w:w="2898" w:type="dxa"/>
          </w:tcPr>
          <w:p w14:paraId="108FD462" w14:textId="77777777" w:rsidR="005D59D6" w:rsidRPr="00F10C37" w:rsidRDefault="005D59D6" w:rsidP="002D6DD7">
            <w:pPr>
              <w:jc w:val="both"/>
              <w:rPr>
                <w:rFonts w:cs="Times New Roman"/>
                <w:szCs w:val="24"/>
              </w:rPr>
            </w:pPr>
            <w:r w:rsidRPr="00F10C37">
              <w:rPr>
                <w:rFonts w:cs="Times New Roman"/>
                <w:szCs w:val="24"/>
              </w:rPr>
              <w:t>Contraindications</w:t>
            </w:r>
          </w:p>
        </w:tc>
        <w:tc>
          <w:tcPr>
            <w:tcW w:w="6570" w:type="dxa"/>
          </w:tcPr>
          <w:p w14:paraId="78D37516" w14:textId="77777777" w:rsidR="005D59D6" w:rsidRPr="00F10C37" w:rsidRDefault="005D59D6" w:rsidP="002D6DD7">
            <w:pPr>
              <w:jc w:val="both"/>
              <w:rPr>
                <w:rFonts w:cs="Times New Roman"/>
                <w:szCs w:val="24"/>
              </w:rPr>
            </w:pPr>
            <w:r>
              <w:rPr>
                <w:rFonts w:cs="Times New Roman"/>
                <w:szCs w:val="24"/>
              </w:rPr>
              <w:t>H</w:t>
            </w:r>
            <w:r w:rsidRPr="00F10C37">
              <w:rPr>
                <w:rFonts w:cs="Times New Roman"/>
                <w:szCs w:val="24"/>
              </w:rPr>
              <w:t xml:space="preserve">ypersensitivity to </w:t>
            </w:r>
            <w:r>
              <w:rPr>
                <w:rFonts w:cs="Times New Roman"/>
                <w:szCs w:val="24"/>
              </w:rPr>
              <w:t>the drug, u</w:t>
            </w:r>
            <w:r w:rsidRPr="00F10C37">
              <w:rPr>
                <w:rFonts w:eastAsiaTheme="minorHAnsi" w:cs="Times New Roman"/>
                <w:kern w:val="0"/>
                <w:szCs w:val="24"/>
                <w:lang w:val="en-US" w:eastAsia="en-US"/>
              </w:rPr>
              <w:t>ndiagnosed vaginal bleeding</w:t>
            </w:r>
            <w:r>
              <w:rPr>
                <w:rFonts w:eastAsiaTheme="minorHAnsi" w:cs="Times New Roman"/>
                <w:kern w:val="0"/>
                <w:szCs w:val="24"/>
                <w:lang w:val="en-US" w:eastAsia="en-US"/>
              </w:rPr>
              <w:t>.</w:t>
            </w:r>
          </w:p>
        </w:tc>
      </w:tr>
      <w:tr w:rsidR="005D59D6" w:rsidRPr="00F10C37" w14:paraId="65A83DEB" w14:textId="77777777" w:rsidTr="002D6DD7">
        <w:trPr>
          <w:jc w:val="center"/>
        </w:trPr>
        <w:tc>
          <w:tcPr>
            <w:tcW w:w="2898" w:type="dxa"/>
          </w:tcPr>
          <w:p w14:paraId="20459935" w14:textId="77777777" w:rsidR="005D59D6" w:rsidRPr="00F10C37" w:rsidRDefault="005D59D6" w:rsidP="002D6DD7">
            <w:pPr>
              <w:jc w:val="both"/>
              <w:rPr>
                <w:rFonts w:cs="Times New Roman"/>
                <w:szCs w:val="24"/>
              </w:rPr>
            </w:pPr>
            <w:r w:rsidRPr="00F10C37">
              <w:rPr>
                <w:rFonts w:cs="Times New Roman"/>
                <w:szCs w:val="24"/>
              </w:rPr>
              <w:t>Drug interactions</w:t>
            </w:r>
          </w:p>
        </w:tc>
        <w:tc>
          <w:tcPr>
            <w:tcW w:w="6570" w:type="dxa"/>
          </w:tcPr>
          <w:p w14:paraId="291354C8" w14:textId="77777777" w:rsidR="005D59D6" w:rsidRPr="00F10C37" w:rsidRDefault="005D59D6" w:rsidP="002D6DD7">
            <w:pPr>
              <w:contextualSpacing/>
              <w:jc w:val="both"/>
              <w:rPr>
                <w:rFonts w:cs="Times New Roman"/>
                <w:szCs w:val="24"/>
              </w:rPr>
            </w:pPr>
            <w:r w:rsidRPr="00F10C37">
              <w:rPr>
                <w:rFonts w:cs="Times New Roman"/>
                <w:bCs/>
                <w:szCs w:val="24"/>
              </w:rPr>
              <w:t>Refer to goserelin above</w:t>
            </w:r>
          </w:p>
        </w:tc>
      </w:tr>
      <w:tr w:rsidR="005D59D6" w:rsidRPr="00F10C37" w14:paraId="5AF06193" w14:textId="77777777" w:rsidTr="002D6DD7">
        <w:trPr>
          <w:jc w:val="center"/>
        </w:trPr>
        <w:tc>
          <w:tcPr>
            <w:tcW w:w="2898" w:type="dxa"/>
          </w:tcPr>
          <w:p w14:paraId="025C423B" w14:textId="77777777" w:rsidR="005D59D6" w:rsidRPr="00F10C37" w:rsidRDefault="005D59D6" w:rsidP="002D6DD7">
            <w:pPr>
              <w:jc w:val="both"/>
              <w:rPr>
                <w:rFonts w:cs="Times New Roman"/>
                <w:szCs w:val="24"/>
              </w:rPr>
            </w:pPr>
            <w:r w:rsidRPr="00F10C37">
              <w:rPr>
                <w:rFonts w:cs="Times New Roman"/>
                <w:szCs w:val="24"/>
              </w:rPr>
              <w:t>Side effects</w:t>
            </w:r>
          </w:p>
        </w:tc>
        <w:tc>
          <w:tcPr>
            <w:tcW w:w="6570" w:type="dxa"/>
            <w:shd w:val="clear" w:color="auto" w:fill="auto"/>
          </w:tcPr>
          <w:p w14:paraId="28658D74" w14:textId="77777777" w:rsidR="005D59D6" w:rsidRPr="00F10C37" w:rsidRDefault="005D59D6" w:rsidP="002D6DD7">
            <w:pPr>
              <w:contextualSpacing/>
              <w:jc w:val="both"/>
              <w:rPr>
                <w:rFonts w:cs="Times New Roman"/>
                <w:szCs w:val="24"/>
              </w:rPr>
            </w:pPr>
            <w:r w:rsidRPr="00F10C37">
              <w:rPr>
                <w:rFonts w:cs="Times New Roman"/>
                <w:szCs w:val="24"/>
              </w:rPr>
              <w:t>Anxiety, asthenia, depression, diabetes mellitus, dizziness, dry mouth, embolism, gastrointestinal discomfort, gynaecomastia, haemorrhage, headache, hot flush, hyperhidrosis, hypersensitivity, hypertension, joint disorders, menstrual cycle irregularities, mood altered, muscle complaints, nausea, edema, ovarian and fallopian tube disorders, pain, painful sexual intercourse, pelvic pain, sexual dysfunction skin reactions, sleep disorders. weight changes</w:t>
            </w:r>
            <w:r>
              <w:rPr>
                <w:rFonts w:cs="Times New Roman"/>
                <w:szCs w:val="24"/>
              </w:rPr>
              <w:t>.</w:t>
            </w:r>
          </w:p>
        </w:tc>
      </w:tr>
      <w:tr w:rsidR="005D59D6" w:rsidRPr="00F10C37" w14:paraId="0F60746C" w14:textId="77777777" w:rsidTr="002D6DD7">
        <w:trPr>
          <w:jc w:val="center"/>
        </w:trPr>
        <w:tc>
          <w:tcPr>
            <w:tcW w:w="2898" w:type="dxa"/>
          </w:tcPr>
          <w:p w14:paraId="52DC2B5A" w14:textId="77777777" w:rsidR="005D59D6" w:rsidRPr="00F10C37" w:rsidRDefault="005D59D6" w:rsidP="002D6DD7">
            <w:pPr>
              <w:jc w:val="both"/>
              <w:rPr>
                <w:rFonts w:cs="Times New Roman"/>
                <w:szCs w:val="24"/>
              </w:rPr>
            </w:pPr>
            <w:r w:rsidRPr="00F10C37">
              <w:rPr>
                <w:rFonts w:cs="Times New Roman"/>
                <w:szCs w:val="24"/>
              </w:rPr>
              <w:t xml:space="preserve">Cautions </w:t>
            </w:r>
          </w:p>
        </w:tc>
        <w:tc>
          <w:tcPr>
            <w:tcW w:w="6570" w:type="dxa"/>
          </w:tcPr>
          <w:p w14:paraId="63780B90" w14:textId="77777777" w:rsidR="005D59D6" w:rsidRPr="00F10C37" w:rsidRDefault="005D59D6" w:rsidP="002D6DD7">
            <w:pPr>
              <w:autoSpaceDE w:val="0"/>
              <w:autoSpaceDN w:val="0"/>
              <w:adjustRightInd w:val="0"/>
              <w:jc w:val="both"/>
              <w:rPr>
                <w:rFonts w:cs="Times New Roman"/>
                <w:szCs w:val="24"/>
              </w:rPr>
            </w:pPr>
            <w:r w:rsidRPr="00F10C37">
              <w:rPr>
                <w:rFonts w:cs="Times New Roman"/>
                <w:szCs w:val="24"/>
              </w:rPr>
              <w:t xml:space="preserve">History of depression, patients with metabolic bone disease, risk factors for osteoporosis, risk of spinal cord compression in men, </w:t>
            </w:r>
            <w:r w:rsidRPr="00F10C37">
              <w:rPr>
                <w:rFonts w:cs="Times New Roman"/>
                <w:szCs w:val="24"/>
              </w:rPr>
              <w:lastRenderedPageBreak/>
              <w:t>risk of ureteric obstruction in men,</w:t>
            </w:r>
            <w:r w:rsidRPr="00F10C37">
              <w:rPr>
                <w:rFonts w:eastAsiaTheme="minorHAnsi" w:cs="Times New Roman"/>
                <w:color w:val="231F20"/>
                <w:kern w:val="0"/>
                <w:szCs w:val="24"/>
                <w:lang w:val="en-US" w:eastAsia="en-US"/>
              </w:rPr>
              <w:t xml:space="preserve"> pregnancy, breastfeeding.</w:t>
            </w:r>
          </w:p>
        </w:tc>
      </w:tr>
      <w:tr w:rsidR="005D59D6" w:rsidRPr="00F10C37" w14:paraId="03653909" w14:textId="77777777" w:rsidTr="002D6DD7">
        <w:trPr>
          <w:jc w:val="center"/>
        </w:trPr>
        <w:tc>
          <w:tcPr>
            <w:tcW w:w="2898" w:type="dxa"/>
          </w:tcPr>
          <w:p w14:paraId="025F164D" w14:textId="77777777" w:rsidR="005D59D6" w:rsidRPr="00F10C37" w:rsidRDefault="005D59D6" w:rsidP="002D6DD7">
            <w:pPr>
              <w:jc w:val="both"/>
              <w:rPr>
                <w:rFonts w:cs="Times New Roman"/>
                <w:szCs w:val="24"/>
              </w:rPr>
            </w:pPr>
            <w:r w:rsidRPr="00F10C37">
              <w:rPr>
                <w:rFonts w:cs="Times New Roman"/>
                <w:szCs w:val="24"/>
              </w:rPr>
              <w:lastRenderedPageBreak/>
              <w:t>Storage condition</w:t>
            </w:r>
          </w:p>
        </w:tc>
        <w:tc>
          <w:tcPr>
            <w:tcW w:w="6570" w:type="dxa"/>
          </w:tcPr>
          <w:p w14:paraId="14E72AE4" w14:textId="77777777" w:rsidR="005D59D6" w:rsidRPr="00F10C37" w:rsidRDefault="005D59D6" w:rsidP="002D6DD7">
            <w:pPr>
              <w:contextualSpacing/>
              <w:jc w:val="both"/>
              <w:rPr>
                <w:rFonts w:cs="Times New Roman"/>
                <w:szCs w:val="24"/>
              </w:rPr>
            </w:pPr>
            <w:r w:rsidRPr="00F10C37">
              <w:rPr>
                <w:rFonts w:cs="Times New Roman"/>
                <w:szCs w:val="24"/>
              </w:rPr>
              <w:t>Store below 30°C. Protect from moisture and light.</w:t>
            </w:r>
          </w:p>
        </w:tc>
      </w:tr>
    </w:tbl>
    <w:p w14:paraId="5D49CE55" w14:textId="77777777" w:rsidR="005D59D6" w:rsidRPr="00F10C37" w:rsidRDefault="005D59D6" w:rsidP="005D59D6">
      <w:pPr>
        <w:spacing w:after="0"/>
        <w:jc w:val="both"/>
        <w:rPr>
          <w:rFonts w:cs="Times New Roman"/>
          <w:b/>
          <w:szCs w:val="24"/>
        </w:rPr>
      </w:pPr>
    </w:p>
    <w:p w14:paraId="737D7854" w14:textId="77777777" w:rsidR="005D59D6" w:rsidRPr="00F10C37" w:rsidRDefault="005D59D6" w:rsidP="00CD494D">
      <w:pPr>
        <w:pStyle w:val="Heading2"/>
        <w:spacing w:before="240" w:after="240"/>
      </w:pPr>
      <w:bookmarkStart w:id="184" w:name="_Toc179490393"/>
      <w:r w:rsidRPr="00F10C37">
        <w:t xml:space="preserve">Supportive </w:t>
      </w:r>
      <w:r w:rsidR="00CD494D">
        <w:t>m</w:t>
      </w:r>
      <w:r w:rsidRPr="00F10C37">
        <w:t>edicines</w:t>
      </w:r>
      <w:bookmarkEnd w:id="184"/>
    </w:p>
    <w:p w14:paraId="2F7E2C79" w14:textId="77777777" w:rsidR="005D59D6" w:rsidRPr="00F10C37" w:rsidRDefault="005D59D6" w:rsidP="005D59D6">
      <w:pPr>
        <w:spacing w:after="0"/>
        <w:jc w:val="both"/>
        <w:rPr>
          <w:rFonts w:eastAsia="Times New Roman" w:cs="Times New Roman"/>
          <w:iCs/>
          <w:color w:val="000000"/>
          <w:szCs w:val="24"/>
        </w:rPr>
      </w:pPr>
      <w:r w:rsidRPr="00604F2D">
        <w:rPr>
          <w:rFonts w:eastAsia="Times New Roman" w:cs="Times New Roman"/>
          <w:iCs/>
          <w:color w:val="000000"/>
          <w:szCs w:val="24"/>
        </w:rPr>
        <w:t>Supportive medicines in cancer therapy are drugs that help to manage tumor and treatment related complications. This includes prevention and palliative management of side effects for cancer chemotherapy such as nausea and vomiting, inflammatory and allergic disorders, myelosuppression, oedema, detoxification of urothelial toxicity, and skeletal related symptoms.</w:t>
      </w:r>
      <w:r w:rsidRPr="00F10C37">
        <w:rPr>
          <w:rFonts w:eastAsia="Times New Roman" w:cs="Times New Roman"/>
          <w:iCs/>
          <w:color w:val="000000"/>
          <w:szCs w:val="24"/>
        </w:rPr>
        <w:t xml:space="preserve"> </w:t>
      </w:r>
    </w:p>
    <w:p w14:paraId="167CDE79" w14:textId="77777777" w:rsidR="005D59D6" w:rsidRPr="00F10C37" w:rsidRDefault="005D59D6" w:rsidP="005D59D6">
      <w:pPr>
        <w:spacing w:after="0"/>
        <w:jc w:val="both"/>
        <w:rPr>
          <w:rFonts w:eastAsia="Times New Roman" w:cs="Times New Roman"/>
          <w:iCs/>
          <w:color w:val="000000"/>
          <w:szCs w:val="24"/>
        </w:rPr>
      </w:pPr>
    </w:p>
    <w:tbl>
      <w:tblPr>
        <w:tblStyle w:val="TableGrid"/>
        <w:tblW w:w="9450" w:type="dxa"/>
        <w:jc w:val="center"/>
        <w:tblLayout w:type="fixed"/>
        <w:tblLook w:val="04A0" w:firstRow="1" w:lastRow="0" w:firstColumn="1" w:lastColumn="0" w:noHBand="0" w:noVBand="1"/>
      </w:tblPr>
      <w:tblGrid>
        <w:gridCol w:w="2880"/>
        <w:gridCol w:w="6570"/>
      </w:tblGrid>
      <w:tr w:rsidR="005D59D6" w:rsidRPr="00F10C37" w14:paraId="0520E901" w14:textId="77777777" w:rsidTr="002D6DD7">
        <w:trPr>
          <w:jc w:val="center"/>
        </w:trPr>
        <w:tc>
          <w:tcPr>
            <w:tcW w:w="9450" w:type="dxa"/>
            <w:gridSpan w:val="2"/>
          </w:tcPr>
          <w:p w14:paraId="4F6F8A7E" w14:textId="77777777" w:rsidR="005D59D6" w:rsidRPr="00F10C37" w:rsidRDefault="005D59D6" w:rsidP="002D6DD7">
            <w:pPr>
              <w:jc w:val="both"/>
              <w:rPr>
                <w:rFonts w:cs="Times New Roman"/>
                <w:szCs w:val="24"/>
                <w14:ligatures w14:val="standardContextual"/>
              </w:rPr>
            </w:pPr>
            <w:r w:rsidRPr="00F10C37">
              <w:rPr>
                <w:rFonts w:cs="Times New Roman"/>
                <w:b/>
                <w:bCs/>
                <w:color w:val="000000" w:themeColor="text1"/>
                <w:szCs w:val="24"/>
                <w14:ligatures w14:val="standardContextual"/>
              </w:rPr>
              <w:t>Alendronate (Alendronic acid)</w:t>
            </w:r>
          </w:p>
        </w:tc>
      </w:tr>
      <w:tr w:rsidR="005D59D6" w:rsidRPr="00F10C37" w14:paraId="16AAD67D" w14:textId="77777777" w:rsidTr="002D6DD7">
        <w:trPr>
          <w:jc w:val="center"/>
        </w:trPr>
        <w:tc>
          <w:tcPr>
            <w:tcW w:w="2880" w:type="dxa"/>
          </w:tcPr>
          <w:p w14:paraId="5A978E0C"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Pharmacological class</w:t>
            </w:r>
          </w:p>
        </w:tc>
        <w:tc>
          <w:tcPr>
            <w:tcW w:w="6570" w:type="dxa"/>
          </w:tcPr>
          <w:p w14:paraId="03315587"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Bisphosphonate</w:t>
            </w:r>
          </w:p>
        </w:tc>
      </w:tr>
      <w:tr w:rsidR="005D59D6" w:rsidRPr="00F10C37" w14:paraId="366DCC5A" w14:textId="77777777" w:rsidTr="002D6DD7">
        <w:trPr>
          <w:jc w:val="center"/>
        </w:trPr>
        <w:tc>
          <w:tcPr>
            <w:tcW w:w="2880" w:type="dxa"/>
          </w:tcPr>
          <w:p w14:paraId="32F346F7"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39F63C23" w14:textId="77777777" w:rsidR="005D59D6" w:rsidRPr="00F10C37" w:rsidRDefault="005D59D6" w:rsidP="002D6DD7">
            <w:pPr>
              <w:jc w:val="both"/>
              <w:rPr>
                <w:rFonts w:cs="Times New Roman"/>
                <w:iCs/>
                <w:szCs w:val="24"/>
              </w:rPr>
            </w:pPr>
            <w:r w:rsidRPr="00F10C37">
              <w:rPr>
                <w:rFonts w:cs="Times New Roman"/>
                <w:iCs/>
                <w:szCs w:val="24"/>
              </w:rPr>
              <w:t>Tablet: 70mg</w:t>
            </w:r>
          </w:p>
        </w:tc>
      </w:tr>
      <w:tr w:rsidR="005D59D6" w:rsidRPr="00F10C37" w14:paraId="20A270E2" w14:textId="77777777" w:rsidTr="002D6DD7">
        <w:trPr>
          <w:jc w:val="center"/>
        </w:trPr>
        <w:tc>
          <w:tcPr>
            <w:tcW w:w="2880" w:type="dxa"/>
          </w:tcPr>
          <w:p w14:paraId="2D457708" w14:textId="77777777" w:rsidR="005D59D6" w:rsidRPr="000F19B3" w:rsidRDefault="005D59D6" w:rsidP="002D6DD7">
            <w:pPr>
              <w:jc w:val="both"/>
              <w:rPr>
                <w:rFonts w:cs="Times New Roman"/>
                <w:szCs w:val="24"/>
                <w14:ligatures w14:val="standardContextual"/>
              </w:rPr>
            </w:pPr>
            <w:r w:rsidRPr="000F19B3">
              <w:rPr>
                <w:rFonts w:cs="Times New Roman"/>
                <w:szCs w:val="24"/>
                <w14:ligatures w14:val="standardContextual"/>
              </w:rPr>
              <w:t>Indications</w:t>
            </w:r>
          </w:p>
        </w:tc>
        <w:tc>
          <w:tcPr>
            <w:tcW w:w="6570" w:type="dxa"/>
          </w:tcPr>
          <w:p w14:paraId="5CF43BAE" w14:textId="77777777" w:rsidR="005D59D6" w:rsidRPr="00F10C37" w:rsidRDefault="005D59D6" w:rsidP="002D6DD7">
            <w:pPr>
              <w:jc w:val="both"/>
              <w:rPr>
                <w:rFonts w:cs="Times New Roman"/>
                <w:szCs w:val="24"/>
              </w:rPr>
            </w:pPr>
            <w:r w:rsidRPr="00F10C37">
              <w:rPr>
                <w:rFonts w:cs="Times New Roman"/>
                <w:szCs w:val="24"/>
              </w:rPr>
              <w:t>Treatment of postmenopausal osteoporosis; treatment of osteoporosis in men; prevention and treatment of corticosteroid-induced osteoporosis in postmenopausal women not receiving hormone replacement therapy</w:t>
            </w:r>
          </w:p>
        </w:tc>
      </w:tr>
      <w:tr w:rsidR="005D59D6" w:rsidRPr="00F10C37" w14:paraId="4AEE5178" w14:textId="77777777" w:rsidTr="002D6DD7">
        <w:trPr>
          <w:jc w:val="center"/>
        </w:trPr>
        <w:tc>
          <w:tcPr>
            <w:tcW w:w="2880" w:type="dxa"/>
          </w:tcPr>
          <w:p w14:paraId="12D14C72"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026E69B0" w14:textId="77777777" w:rsidR="005D59D6" w:rsidRPr="00F10C37" w:rsidRDefault="005D59D6" w:rsidP="002D6DD7">
            <w:pPr>
              <w:jc w:val="both"/>
              <w:rPr>
                <w:rFonts w:cs="Times New Roman"/>
                <w:szCs w:val="24"/>
              </w:rPr>
            </w:pPr>
            <w:r w:rsidRPr="00F10C37">
              <w:rPr>
                <w:rFonts w:cs="Times New Roman"/>
                <w:b/>
                <w:szCs w:val="24"/>
              </w:rPr>
              <w:t>Treatment of postmenopausal osteoporosis</w:t>
            </w:r>
            <w:r w:rsidRPr="00F10C37">
              <w:rPr>
                <w:rFonts w:cs="Times New Roman"/>
                <w:szCs w:val="24"/>
              </w:rPr>
              <w:t>, oral:</w:t>
            </w:r>
          </w:p>
          <w:p w14:paraId="60D94839" w14:textId="77777777" w:rsidR="005D59D6" w:rsidRPr="00F10C37" w:rsidRDefault="005D59D6" w:rsidP="002D6DD7">
            <w:pPr>
              <w:jc w:val="both"/>
              <w:rPr>
                <w:rFonts w:cs="Times New Roman"/>
                <w:szCs w:val="24"/>
              </w:rPr>
            </w:pPr>
            <w:r w:rsidRPr="00F10C37">
              <w:rPr>
                <w:rFonts w:cs="Times New Roman"/>
                <w:b/>
                <w:szCs w:val="24"/>
              </w:rPr>
              <w:t xml:space="preserve">Adult </w:t>
            </w:r>
            <w:r w:rsidRPr="00F10C37">
              <w:rPr>
                <w:rFonts w:cs="Times New Roman"/>
                <w:szCs w:val="24"/>
              </w:rPr>
              <w:t>(female): 10 mg daily, alternatively 70 mg once weekly.</w:t>
            </w:r>
          </w:p>
          <w:p w14:paraId="0AB490E6" w14:textId="77777777" w:rsidR="005D59D6" w:rsidRPr="00F10C37" w:rsidRDefault="005D59D6" w:rsidP="002D6DD7">
            <w:pPr>
              <w:jc w:val="both"/>
              <w:rPr>
                <w:rFonts w:cs="Times New Roman"/>
                <w:b/>
                <w:i/>
                <w:szCs w:val="24"/>
              </w:rPr>
            </w:pPr>
            <w:r w:rsidRPr="00F10C37">
              <w:rPr>
                <w:rFonts w:cs="Times New Roman"/>
                <w:b/>
                <w:szCs w:val="24"/>
              </w:rPr>
              <w:t>Treatment of osteoporosis in men</w:t>
            </w:r>
            <w:r w:rsidRPr="00F10C37">
              <w:rPr>
                <w:rFonts w:cs="Times New Roman"/>
                <w:szCs w:val="24"/>
              </w:rPr>
              <w:t>, oral:</w:t>
            </w:r>
          </w:p>
          <w:p w14:paraId="4C277808" w14:textId="77777777" w:rsidR="005D59D6" w:rsidRPr="00F10C37" w:rsidRDefault="005D59D6" w:rsidP="002D6DD7">
            <w:pPr>
              <w:jc w:val="both"/>
              <w:rPr>
                <w:rFonts w:cs="Times New Roman"/>
                <w:szCs w:val="24"/>
              </w:rPr>
            </w:pPr>
            <w:r w:rsidRPr="00F10C37">
              <w:rPr>
                <w:rFonts w:cs="Times New Roman"/>
                <w:b/>
                <w:szCs w:val="24"/>
              </w:rPr>
              <w:t xml:space="preserve">Adult </w:t>
            </w:r>
            <w:r w:rsidRPr="00F10C37">
              <w:rPr>
                <w:rFonts w:cs="Times New Roman"/>
                <w:szCs w:val="24"/>
              </w:rPr>
              <w:t>(male): 10 mg daily.</w:t>
            </w:r>
          </w:p>
          <w:p w14:paraId="2134B8C1" w14:textId="77777777" w:rsidR="005D59D6" w:rsidRPr="00F10C37" w:rsidRDefault="005D59D6" w:rsidP="002D6DD7">
            <w:pPr>
              <w:jc w:val="both"/>
              <w:rPr>
                <w:rFonts w:cs="Times New Roman"/>
                <w:szCs w:val="24"/>
              </w:rPr>
            </w:pPr>
            <w:r w:rsidRPr="00F10C37">
              <w:rPr>
                <w:rFonts w:cs="Times New Roman"/>
                <w:b/>
                <w:szCs w:val="24"/>
              </w:rPr>
              <w:t>Prevention and treatment of corticosteroid-induced osteoporosis in postmenopausal women not receiving hormone replacement therapy</w:t>
            </w:r>
            <w:r w:rsidRPr="00F10C37">
              <w:rPr>
                <w:rFonts w:cs="Times New Roman"/>
                <w:szCs w:val="24"/>
              </w:rPr>
              <w:t>, oral:</w:t>
            </w:r>
          </w:p>
          <w:p w14:paraId="7EA08286"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xml:space="preserve"> (female): 10 mg daily.</w:t>
            </w:r>
          </w:p>
          <w:p w14:paraId="6EBC5AA5" w14:textId="77777777" w:rsidR="005D59D6" w:rsidRPr="00C97EA8" w:rsidRDefault="005D59D6" w:rsidP="002D6DD7">
            <w:pPr>
              <w:jc w:val="both"/>
              <w:rPr>
                <w:rFonts w:cs="Times New Roman"/>
                <w:i/>
                <w:szCs w:val="24"/>
              </w:rPr>
            </w:pPr>
            <w:r w:rsidRPr="00C97EA8">
              <w:rPr>
                <w:rFonts w:cs="Times New Roman"/>
                <w:i/>
                <w:szCs w:val="24"/>
              </w:rPr>
              <w:t>Note: Alendronate should be taken on an empty stomach, preferably in the morning, with a full glass of plain water. Patients should remain upright (sitting or standing) for at least 30 minutes after taking the medication to reduce the risk of oesophageal irritation and ensure optimal absorption.</w:t>
            </w:r>
          </w:p>
        </w:tc>
      </w:tr>
      <w:tr w:rsidR="005D59D6" w:rsidRPr="00F10C37" w14:paraId="47F82207" w14:textId="77777777" w:rsidTr="002D6DD7">
        <w:trPr>
          <w:jc w:val="center"/>
        </w:trPr>
        <w:tc>
          <w:tcPr>
            <w:tcW w:w="2880" w:type="dxa"/>
          </w:tcPr>
          <w:p w14:paraId="33B8473B"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3F9165B8" w14:textId="77777777" w:rsidR="005D59D6" w:rsidRPr="00F10C37" w:rsidRDefault="005D59D6" w:rsidP="002D6DD7">
            <w:pPr>
              <w:jc w:val="both"/>
              <w:rPr>
                <w:rFonts w:cs="Times New Roman"/>
                <w:szCs w:val="24"/>
              </w:rPr>
            </w:pPr>
            <w:r w:rsidRPr="00F10C37">
              <w:rPr>
                <w:rFonts w:cs="Times New Roman"/>
                <w:szCs w:val="24"/>
              </w:rPr>
              <w:t>Abnormalities of oesophagus, hypocalcaemia, other factors which delay emptying (e.g., stricture or achalasia).</w:t>
            </w:r>
          </w:p>
        </w:tc>
      </w:tr>
      <w:tr w:rsidR="005D59D6" w:rsidRPr="00F10C37" w14:paraId="7FBDB3C6" w14:textId="77777777" w:rsidTr="002D6DD7">
        <w:trPr>
          <w:jc w:val="center"/>
        </w:trPr>
        <w:tc>
          <w:tcPr>
            <w:tcW w:w="2880" w:type="dxa"/>
          </w:tcPr>
          <w:p w14:paraId="153E4CC0"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12130BF0" w14:textId="77777777" w:rsidR="005D59D6" w:rsidRPr="00F10C37" w:rsidRDefault="005D59D6" w:rsidP="002D6DD7">
            <w:pPr>
              <w:contextualSpacing/>
              <w:jc w:val="both"/>
              <w:rPr>
                <w:rFonts w:cs="Times New Roman"/>
                <w:szCs w:val="24"/>
              </w:rPr>
            </w:pPr>
            <w:r w:rsidRPr="00F10C37">
              <w:rPr>
                <w:rFonts w:cs="Times New Roman"/>
                <w:szCs w:val="24"/>
              </w:rPr>
              <w:t>Antacids, calcium, or vitamin supplements.</w:t>
            </w:r>
          </w:p>
        </w:tc>
      </w:tr>
      <w:tr w:rsidR="005D59D6" w:rsidRPr="00F10C37" w14:paraId="0DCD872B" w14:textId="77777777" w:rsidTr="002D6DD7">
        <w:trPr>
          <w:jc w:val="center"/>
        </w:trPr>
        <w:tc>
          <w:tcPr>
            <w:tcW w:w="2880" w:type="dxa"/>
          </w:tcPr>
          <w:p w14:paraId="2BA6BEF9"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36F91CAA" w14:textId="77777777" w:rsidR="005D59D6" w:rsidRPr="00F10C37" w:rsidRDefault="005D59D6" w:rsidP="002D6DD7">
            <w:pPr>
              <w:jc w:val="both"/>
              <w:rPr>
                <w:rFonts w:cs="Times New Roman"/>
                <w:szCs w:val="24"/>
              </w:rPr>
            </w:pPr>
            <w:r w:rsidRPr="00F10C37">
              <w:rPr>
                <w:rFonts w:cs="Times New Roman"/>
                <w:szCs w:val="24"/>
              </w:rPr>
              <w:t>Gastrointestinal disorders, joint swelling, vertigo, haemorrhage, femoral stress fracture, oropharyngeal ulceration, photosensitivity reaction, severe cutaneous adverse reactions (SCARs).</w:t>
            </w:r>
          </w:p>
        </w:tc>
      </w:tr>
      <w:tr w:rsidR="005D59D6" w:rsidRPr="00F10C37" w14:paraId="4B16E611" w14:textId="77777777" w:rsidTr="002D6DD7">
        <w:trPr>
          <w:jc w:val="center"/>
        </w:trPr>
        <w:tc>
          <w:tcPr>
            <w:tcW w:w="2880" w:type="dxa"/>
          </w:tcPr>
          <w:p w14:paraId="20C73532"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155077F6" w14:textId="77777777" w:rsidR="005D59D6" w:rsidRPr="00F10C37" w:rsidRDefault="005D59D6" w:rsidP="002D6DD7">
            <w:pPr>
              <w:jc w:val="both"/>
              <w:rPr>
                <w:rFonts w:cs="Times New Roman"/>
                <w:szCs w:val="24"/>
              </w:rPr>
            </w:pPr>
            <w:r w:rsidRPr="00F10C37">
              <w:rPr>
                <w:rFonts w:cs="Times New Roman"/>
                <w:szCs w:val="24"/>
              </w:rPr>
              <w:t>Active GI bleeding, atypical femoral fractures, duodenitis, dysphagia, osteoporosis, gastritis, history of ulcers, surgery of the upper GIT, symptomatic oesophageal disease, upper GI disorders.</w:t>
            </w:r>
          </w:p>
        </w:tc>
      </w:tr>
      <w:tr w:rsidR="005D59D6" w:rsidRPr="00F10C37" w14:paraId="423D9DCA" w14:textId="77777777" w:rsidTr="002D6DD7">
        <w:trPr>
          <w:jc w:val="center"/>
        </w:trPr>
        <w:tc>
          <w:tcPr>
            <w:tcW w:w="2880" w:type="dxa"/>
            <w:tcBorders>
              <w:bottom w:val="single" w:sz="4" w:space="0" w:color="auto"/>
            </w:tcBorders>
          </w:tcPr>
          <w:p w14:paraId="488501E0"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Borders>
              <w:bottom w:val="single" w:sz="4" w:space="0" w:color="auto"/>
            </w:tcBorders>
          </w:tcPr>
          <w:p w14:paraId="31A5D733" w14:textId="77777777" w:rsidR="005D59D6" w:rsidRPr="00F10C37" w:rsidRDefault="005D59D6" w:rsidP="002D6DD7">
            <w:pPr>
              <w:contextualSpacing/>
              <w:jc w:val="both"/>
              <w:rPr>
                <w:rFonts w:cs="Times New Roman"/>
                <w:szCs w:val="24"/>
              </w:rPr>
            </w:pPr>
            <w:r w:rsidRPr="00F10C37">
              <w:rPr>
                <w:rFonts w:cs="Times New Roman"/>
                <w:szCs w:val="24"/>
              </w:rPr>
              <w:t>Store below 30 °C.  Protect from light and moisture. Keep from freezing.</w:t>
            </w:r>
          </w:p>
        </w:tc>
      </w:tr>
      <w:tr w:rsidR="005D59D6" w:rsidRPr="00F10C37" w14:paraId="7FC8C539" w14:textId="77777777" w:rsidTr="002D6DD7">
        <w:trPr>
          <w:jc w:val="center"/>
        </w:trPr>
        <w:tc>
          <w:tcPr>
            <w:tcW w:w="9450" w:type="dxa"/>
            <w:gridSpan w:val="2"/>
          </w:tcPr>
          <w:p w14:paraId="50DB1530" w14:textId="77777777" w:rsidR="005D59D6" w:rsidRPr="00F10C37" w:rsidRDefault="005D59D6" w:rsidP="002D6DD7">
            <w:pPr>
              <w:jc w:val="both"/>
              <w:rPr>
                <w:rFonts w:cs="Times New Roman"/>
                <w:szCs w:val="24"/>
                <w14:ligatures w14:val="standardContextual"/>
              </w:rPr>
            </w:pPr>
            <w:r w:rsidRPr="00F10C37">
              <w:rPr>
                <w:rFonts w:cs="Times New Roman"/>
                <w:b/>
                <w:bCs/>
                <w:color w:val="000000" w:themeColor="text1"/>
                <w:szCs w:val="24"/>
                <w14:ligatures w14:val="standardContextual"/>
              </w:rPr>
              <w:t>Allopurinol</w:t>
            </w:r>
          </w:p>
        </w:tc>
      </w:tr>
      <w:tr w:rsidR="005D59D6" w:rsidRPr="00F10C37" w14:paraId="387C4461" w14:textId="77777777" w:rsidTr="002D6DD7">
        <w:trPr>
          <w:jc w:val="center"/>
        </w:trPr>
        <w:tc>
          <w:tcPr>
            <w:tcW w:w="2880" w:type="dxa"/>
          </w:tcPr>
          <w:p w14:paraId="54432666"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Pharmacological class</w:t>
            </w:r>
          </w:p>
        </w:tc>
        <w:tc>
          <w:tcPr>
            <w:tcW w:w="6570" w:type="dxa"/>
          </w:tcPr>
          <w:p w14:paraId="2F24F949"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Xanthine oxidase inhibitor.</w:t>
            </w:r>
          </w:p>
        </w:tc>
      </w:tr>
      <w:tr w:rsidR="005D59D6" w:rsidRPr="00F10C37" w14:paraId="67E755FB" w14:textId="77777777" w:rsidTr="002D6DD7">
        <w:trPr>
          <w:jc w:val="center"/>
        </w:trPr>
        <w:tc>
          <w:tcPr>
            <w:tcW w:w="2880" w:type="dxa"/>
          </w:tcPr>
          <w:p w14:paraId="1258156F"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583AEEC8" w14:textId="77777777" w:rsidR="005D59D6" w:rsidRPr="00F10C37" w:rsidRDefault="005D59D6" w:rsidP="002D6DD7">
            <w:pPr>
              <w:jc w:val="both"/>
              <w:rPr>
                <w:rFonts w:cs="Times New Roman"/>
                <w:iCs/>
                <w:szCs w:val="24"/>
              </w:rPr>
            </w:pPr>
            <w:r w:rsidRPr="00F10C37">
              <w:rPr>
                <w:rFonts w:cs="Times New Roman"/>
                <w:iCs/>
                <w:szCs w:val="24"/>
              </w:rPr>
              <w:t>Tablet: 100 mg, 300 mg</w:t>
            </w:r>
          </w:p>
        </w:tc>
      </w:tr>
      <w:tr w:rsidR="005D59D6" w:rsidRPr="00F10C37" w14:paraId="14AA4295" w14:textId="77777777" w:rsidTr="002D6DD7">
        <w:trPr>
          <w:jc w:val="center"/>
        </w:trPr>
        <w:tc>
          <w:tcPr>
            <w:tcW w:w="2880" w:type="dxa"/>
          </w:tcPr>
          <w:p w14:paraId="30DA6A88" w14:textId="77777777" w:rsidR="005D59D6" w:rsidRPr="000F19B3" w:rsidRDefault="005D59D6" w:rsidP="002D6DD7">
            <w:pPr>
              <w:jc w:val="both"/>
              <w:rPr>
                <w:rFonts w:cs="Times New Roman"/>
                <w:szCs w:val="24"/>
                <w14:ligatures w14:val="standardContextual"/>
              </w:rPr>
            </w:pPr>
            <w:r w:rsidRPr="000F19B3">
              <w:rPr>
                <w:rFonts w:cs="Times New Roman"/>
                <w:szCs w:val="24"/>
                <w14:ligatures w14:val="standardContextual"/>
              </w:rPr>
              <w:t>Indications</w:t>
            </w:r>
          </w:p>
        </w:tc>
        <w:tc>
          <w:tcPr>
            <w:tcW w:w="6570" w:type="dxa"/>
          </w:tcPr>
          <w:p w14:paraId="4635AFE8" w14:textId="77777777" w:rsidR="005D59D6" w:rsidRPr="00F10C37" w:rsidRDefault="005D59D6" w:rsidP="002D6DD7">
            <w:pPr>
              <w:jc w:val="both"/>
              <w:rPr>
                <w:rFonts w:cs="Times New Roman"/>
                <w:szCs w:val="24"/>
              </w:rPr>
            </w:pPr>
            <w:r w:rsidRPr="00F10C37">
              <w:rPr>
                <w:rFonts w:cs="Times New Roman"/>
                <w:szCs w:val="24"/>
              </w:rPr>
              <w:t>Prophylaxis of gout and of uric acid and calcium oxalate renal stones; prophylaxis of hyperuricemia associated with cancer chemotherapy.</w:t>
            </w:r>
          </w:p>
        </w:tc>
      </w:tr>
      <w:tr w:rsidR="005D59D6" w:rsidRPr="00F10C37" w14:paraId="07D9F7D1" w14:textId="77777777" w:rsidTr="002D6DD7">
        <w:trPr>
          <w:jc w:val="center"/>
        </w:trPr>
        <w:tc>
          <w:tcPr>
            <w:tcW w:w="2880" w:type="dxa"/>
          </w:tcPr>
          <w:p w14:paraId="62C905CD"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54F061BD" w14:textId="77777777" w:rsidR="005D59D6" w:rsidRPr="00F10C37" w:rsidRDefault="005D59D6" w:rsidP="002D6DD7">
            <w:pPr>
              <w:jc w:val="both"/>
              <w:rPr>
                <w:rFonts w:cs="Times New Roman"/>
                <w:szCs w:val="24"/>
              </w:rPr>
            </w:pPr>
            <w:r w:rsidRPr="00F10C37">
              <w:rPr>
                <w:rFonts w:cs="Times New Roman"/>
                <w:b/>
                <w:szCs w:val="24"/>
              </w:rPr>
              <w:t>Prophylaxis of gout and of uric acid and calcium oxalate renal stones | prophylaxis of hyperuricemia associated with cancer chemotherapy</w:t>
            </w:r>
            <w:r w:rsidRPr="00F10C37">
              <w:rPr>
                <w:rFonts w:cs="Times New Roman"/>
                <w:szCs w:val="24"/>
              </w:rPr>
              <w:t>, oral:</w:t>
            </w:r>
          </w:p>
          <w:p w14:paraId="24E26874" w14:textId="77777777" w:rsidR="005D59D6" w:rsidRPr="00F10C37" w:rsidRDefault="005D59D6" w:rsidP="002D6DD7">
            <w:pPr>
              <w:jc w:val="both"/>
              <w:rPr>
                <w:rFonts w:cs="Times New Roman"/>
                <w:b/>
                <w:szCs w:val="24"/>
              </w:rPr>
            </w:pPr>
            <w:r w:rsidRPr="00F10C37">
              <w:rPr>
                <w:rFonts w:cs="Times New Roman"/>
                <w:b/>
                <w:szCs w:val="24"/>
              </w:rPr>
              <w:t>Adult</w:t>
            </w:r>
            <w:r>
              <w:rPr>
                <w:rFonts w:cs="Times New Roman"/>
                <w:b/>
                <w:szCs w:val="24"/>
              </w:rPr>
              <w:t>:</w:t>
            </w:r>
          </w:p>
          <w:p w14:paraId="1CCDE6FC" w14:textId="77777777" w:rsidR="005D59D6" w:rsidRPr="00F10C37" w:rsidRDefault="005D59D6" w:rsidP="003D3F76">
            <w:pPr>
              <w:pStyle w:val="ListParagraph"/>
              <w:numPr>
                <w:ilvl w:val="0"/>
                <w:numId w:val="8"/>
              </w:numPr>
              <w:spacing w:line="360" w:lineRule="auto"/>
              <w:ind w:left="0"/>
              <w:rPr>
                <w:szCs w:val="24"/>
              </w:rPr>
            </w:pPr>
            <w:r w:rsidRPr="00F10C37">
              <w:rPr>
                <w:b/>
                <w:szCs w:val="24"/>
              </w:rPr>
              <w:t>Induction dose</w:t>
            </w:r>
            <w:r w:rsidRPr="00F10C37">
              <w:rPr>
                <w:szCs w:val="24"/>
              </w:rPr>
              <w:t>: 100 mg daily, for maintenance adjust dose according to plasma or urinary uric acid concentration, dose to be taken preferably after food.</w:t>
            </w:r>
          </w:p>
          <w:p w14:paraId="222317E8" w14:textId="77777777" w:rsidR="005D59D6" w:rsidRPr="00F10C37" w:rsidRDefault="005D59D6" w:rsidP="003D3F76">
            <w:pPr>
              <w:pStyle w:val="ListParagraph"/>
              <w:numPr>
                <w:ilvl w:val="0"/>
                <w:numId w:val="8"/>
              </w:numPr>
              <w:spacing w:line="360" w:lineRule="auto"/>
              <w:ind w:left="0"/>
              <w:rPr>
                <w:szCs w:val="24"/>
              </w:rPr>
            </w:pPr>
            <w:r w:rsidRPr="00F10C37">
              <w:rPr>
                <w:b/>
                <w:szCs w:val="24"/>
              </w:rPr>
              <w:t xml:space="preserve">Maintenance dose in mild conditions: </w:t>
            </w:r>
            <w:r w:rsidRPr="00F10C37">
              <w:rPr>
                <w:szCs w:val="24"/>
              </w:rPr>
              <w:t>100–200 mg daily, dose to be taken preferably after food.</w:t>
            </w:r>
          </w:p>
          <w:p w14:paraId="3758E843" w14:textId="77777777" w:rsidR="005D59D6" w:rsidRPr="00F10C37" w:rsidRDefault="005D59D6" w:rsidP="003D3F76">
            <w:pPr>
              <w:pStyle w:val="ListParagraph"/>
              <w:numPr>
                <w:ilvl w:val="0"/>
                <w:numId w:val="8"/>
              </w:numPr>
              <w:spacing w:line="360" w:lineRule="auto"/>
              <w:ind w:left="0"/>
              <w:rPr>
                <w:szCs w:val="24"/>
              </w:rPr>
            </w:pPr>
            <w:r w:rsidRPr="00F10C37">
              <w:rPr>
                <w:b/>
                <w:szCs w:val="24"/>
              </w:rPr>
              <w:t xml:space="preserve">Maintenance dose in moderately severe conditions: </w:t>
            </w:r>
            <w:r w:rsidRPr="00F10C37">
              <w:rPr>
                <w:szCs w:val="24"/>
              </w:rPr>
              <w:t>300–600 mg daily in divided doses (max. per dose 300 mg), dose to be taken preferably after food.</w:t>
            </w:r>
          </w:p>
          <w:p w14:paraId="68D32908" w14:textId="77777777" w:rsidR="005D59D6" w:rsidRPr="00AA5EBF" w:rsidRDefault="005D59D6" w:rsidP="003D3F76">
            <w:pPr>
              <w:pStyle w:val="ListParagraph"/>
              <w:numPr>
                <w:ilvl w:val="0"/>
                <w:numId w:val="8"/>
              </w:numPr>
              <w:spacing w:line="360" w:lineRule="auto"/>
              <w:ind w:left="0"/>
              <w:rPr>
                <w:szCs w:val="24"/>
              </w:rPr>
            </w:pPr>
            <w:r w:rsidRPr="00F10C37">
              <w:rPr>
                <w:b/>
                <w:szCs w:val="24"/>
              </w:rPr>
              <w:t xml:space="preserve">Maintenance dose in severe conditions: </w:t>
            </w:r>
            <w:r w:rsidRPr="00F10C37">
              <w:rPr>
                <w:szCs w:val="24"/>
              </w:rPr>
              <w:t xml:space="preserve">700–900 mg daily in </w:t>
            </w:r>
            <w:r w:rsidRPr="00F10C37">
              <w:rPr>
                <w:szCs w:val="24"/>
              </w:rPr>
              <w:lastRenderedPageBreak/>
              <w:t>divided doses (max. per dose 300 mg), dose to be taken preferably after food.</w:t>
            </w:r>
          </w:p>
        </w:tc>
      </w:tr>
      <w:tr w:rsidR="005D59D6" w:rsidRPr="00F10C37" w14:paraId="01DE8CC2" w14:textId="77777777" w:rsidTr="002D6DD7">
        <w:trPr>
          <w:jc w:val="center"/>
        </w:trPr>
        <w:tc>
          <w:tcPr>
            <w:tcW w:w="2880" w:type="dxa"/>
          </w:tcPr>
          <w:p w14:paraId="5004D39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6435DFFB" w14:textId="77777777" w:rsidR="005D59D6" w:rsidRPr="00F10C37" w:rsidRDefault="005D59D6" w:rsidP="002D6DD7">
            <w:pPr>
              <w:jc w:val="both"/>
              <w:rPr>
                <w:rFonts w:cs="Times New Roman"/>
                <w:szCs w:val="24"/>
              </w:rPr>
            </w:pPr>
            <w:r>
              <w:rPr>
                <w:rFonts w:cs="Times New Roman"/>
                <w:szCs w:val="24"/>
              </w:rPr>
              <w:t>Hypersensetivity to the drug,</w:t>
            </w:r>
            <w:r w:rsidRPr="00F10C37">
              <w:rPr>
                <w:rFonts w:cs="Times New Roman"/>
                <w:szCs w:val="24"/>
              </w:rPr>
              <w:t xml:space="preserve"> acute gout</w:t>
            </w:r>
            <w:r>
              <w:rPr>
                <w:rFonts w:cs="Times New Roman"/>
                <w:szCs w:val="24"/>
              </w:rPr>
              <w:t>.</w:t>
            </w:r>
          </w:p>
        </w:tc>
      </w:tr>
      <w:tr w:rsidR="005D59D6" w:rsidRPr="00F10C37" w14:paraId="4252B769" w14:textId="77777777" w:rsidTr="002D6DD7">
        <w:trPr>
          <w:jc w:val="center"/>
        </w:trPr>
        <w:tc>
          <w:tcPr>
            <w:tcW w:w="2880" w:type="dxa"/>
          </w:tcPr>
          <w:p w14:paraId="51CAA98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66D63240" w14:textId="77777777" w:rsidR="005D59D6" w:rsidRPr="00F10C37" w:rsidRDefault="005D59D6" w:rsidP="002D6DD7">
            <w:pPr>
              <w:contextualSpacing/>
              <w:jc w:val="both"/>
              <w:rPr>
                <w:rFonts w:cs="Times New Roman"/>
                <w:szCs w:val="24"/>
              </w:rPr>
            </w:pPr>
            <w:r w:rsidRPr="00F10C37">
              <w:rPr>
                <w:rFonts w:cs="Times New Roman"/>
                <w:szCs w:val="24"/>
              </w:rPr>
              <w:t>Amoxicillin, ampicillin, azathioprine, ciclosporin, cyclophosphamide, didanosine, hydrochlorothiazide, mercaptopurine, and warfarin.</w:t>
            </w:r>
          </w:p>
        </w:tc>
      </w:tr>
      <w:tr w:rsidR="005D59D6" w:rsidRPr="00F10C37" w14:paraId="7197A7C4" w14:textId="77777777" w:rsidTr="002D6DD7">
        <w:trPr>
          <w:jc w:val="center"/>
        </w:trPr>
        <w:tc>
          <w:tcPr>
            <w:tcW w:w="2880" w:type="dxa"/>
          </w:tcPr>
          <w:p w14:paraId="7A532224"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6251A79A" w14:textId="77777777" w:rsidR="005D59D6" w:rsidRPr="00F10C37" w:rsidRDefault="005D59D6" w:rsidP="002D6DD7">
            <w:pPr>
              <w:jc w:val="both"/>
              <w:rPr>
                <w:rFonts w:cs="Times New Roman"/>
                <w:szCs w:val="24"/>
              </w:rPr>
            </w:pPr>
            <w:r w:rsidRPr="00F10C37">
              <w:rPr>
                <w:rFonts w:cs="Times New Roman"/>
                <w:szCs w:val="24"/>
              </w:rPr>
              <w:t>Rash, hypersensitivity, nausea</w:t>
            </w:r>
            <w:r>
              <w:rPr>
                <w:rFonts w:cs="Times New Roman"/>
                <w:szCs w:val="24"/>
              </w:rPr>
              <w:t xml:space="preserve"> and </w:t>
            </w:r>
            <w:r w:rsidRPr="00F10C37">
              <w:rPr>
                <w:rFonts w:cs="Times New Roman"/>
                <w:szCs w:val="24"/>
              </w:rPr>
              <w:t>vomiting.</w:t>
            </w:r>
          </w:p>
        </w:tc>
      </w:tr>
      <w:tr w:rsidR="005D59D6" w:rsidRPr="00F10C37" w14:paraId="6ACFA7D1" w14:textId="77777777" w:rsidTr="002D6DD7">
        <w:trPr>
          <w:jc w:val="center"/>
        </w:trPr>
        <w:tc>
          <w:tcPr>
            <w:tcW w:w="2880" w:type="dxa"/>
          </w:tcPr>
          <w:p w14:paraId="620C0ED3"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03A1A1FA" w14:textId="77777777" w:rsidR="005D59D6" w:rsidRPr="00F10C37" w:rsidRDefault="005D59D6" w:rsidP="002D6DD7">
            <w:pPr>
              <w:jc w:val="both"/>
              <w:rPr>
                <w:rFonts w:cs="Times New Roman"/>
                <w:i/>
                <w:szCs w:val="24"/>
              </w:rPr>
            </w:pPr>
            <w:r>
              <w:rPr>
                <w:rFonts w:cs="Times New Roman"/>
                <w:szCs w:val="24"/>
              </w:rPr>
              <w:t>Dehydration</w:t>
            </w:r>
            <w:r w:rsidRPr="00F10C37">
              <w:rPr>
                <w:rFonts w:cs="Times New Roman"/>
                <w:szCs w:val="24"/>
              </w:rPr>
              <w:t xml:space="preserve">, pregnancy and breastfeeding, thyroid disorders, renal impairment, hepatic impairment. </w:t>
            </w:r>
          </w:p>
        </w:tc>
      </w:tr>
      <w:tr w:rsidR="005D59D6" w:rsidRPr="00F10C37" w14:paraId="31ABF160" w14:textId="77777777" w:rsidTr="002D6DD7">
        <w:trPr>
          <w:jc w:val="center"/>
        </w:trPr>
        <w:tc>
          <w:tcPr>
            <w:tcW w:w="2880" w:type="dxa"/>
          </w:tcPr>
          <w:p w14:paraId="3B65FF60"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5302E8DB" w14:textId="77777777" w:rsidR="005D59D6" w:rsidRPr="00F10C37" w:rsidRDefault="005D59D6" w:rsidP="002D6DD7">
            <w:pPr>
              <w:contextualSpacing/>
              <w:jc w:val="both"/>
              <w:rPr>
                <w:rFonts w:cs="Times New Roman"/>
                <w:szCs w:val="24"/>
              </w:rPr>
            </w:pPr>
            <w:r w:rsidRPr="00F10C37">
              <w:rPr>
                <w:rFonts w:cs="Times New Roman"/>
                <w:szCs w:val="24"/>
              </w:rPr>
              <w:t xml:space="preserve">Store below 30 °C.  Protect from light and moisture. Keep from freezing. </w:t>
            </w:r>
          </w:p>
        </w:tc>
      </w:tr>
      <w:tr w:rsidR="005D59D6" w:rsidRPr="00F10C37" w14:paraId="3E35CAEA" w14:textId="77777777" w:rsidTr="002D6DD7">
        <w:trPr>
          <w:trHeight w:val="395"/>
          <w:jc w:val="center"/>
        </w:trPr>
        <w:tc>
          <w:tcPr>
            <w:tcW w:w="9450" w:type="dxa"/>
            <w:gridSpan w:val="2"/>
          </w:tcPr>
          <w:p w14:paraId="2C57C538"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b/>
                <w:bCs/>
                <w:color w:val="000000" w:themeColor="text1"/>
                <w:szCs w:val="24"/>
                <w14:ligatures w14:val="standardContextual"/>
              </w:rPr>
              <w:t xml:space="preserve">Calcium </w:t>
            </w:r>
            <w:r>
              <w:rPr>
                <w:rFonts w:cs="Times New Roman"/>
                <w:b/>
                <w:bCs/>
                <w:color w:val="000000" w:themeColor="text1"/>
                <w:szCs w:val="24"/>
                <w14:ligatures w14:val="standardContextual"/>
              </w:rPr>
              <w:t>f</w:t>
            </w:r>
            <w:r w:rsidRPr="00F10C37">
              <w:rPr>
                <w:rFonts w:cs="Times New Roman"/>
                <w:b/>
                <w:bCs/>
                <w:color w:val="000000" w:themeColor="text1"/>
                <w:szCs w:val="24"/>
                <w14:ligatures w14:val="standardContextual"/>
              </w:rPr>
              <w:t>olinate</w:t>
            </w:r>
            <w:r>
              <w:rPr>
                <w:rFonts w:cs="Times New Roman"/>
                <w:b/>
                <w:bCs/>
                <w:color w:val="000000" w:themeColor="text1"/>
                <w:szCs w:val="24"/>
                <w14:ligatures w14:val="standardContextual"/>
              </w:rPr>
              <w:t xml:space="preserve"> </w:t>
            </w:r>
            <w:r w:rsidRPr="00F10C37">
              <w:rPr>
                <w:rFonts w:cs="Times New Roman"/>
                <w:b/>
                <w:bCs/>
                <w:color w:val="000000" w:themeColor="text1"/>
                <w:szCs w:val="24"/>
                <w14:ligatures w14:val="standardContextual"/>
              </w:rPr>
              <w:t>(leucovorin calcium)</w:t>
            </w:r>
          </w:p>
        </w:tc>
      </w:tr>
      <w:tr w:rsidR="005D59D6" w:rsidRPr="00F10C37" w14:paraId="52D623F6" w14:textId="77777777" w:rsidTr="002D6DD7">
        <w:trPr>
          <w:jc w:val="center"/>
        </w:trPr>
        <w:tc>
          <w:tcPr>
            <w:tcW w:w="2880" w:type="dxa"/>
          </w:tcPr>
          <w:p w14:paraId="30B6371E"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Pharmacological class</w:t>
            </w:r>
          </w:p>
        </w:tc>
        <w:tc>
          <w:tcPr>
            <w:tcW w:w="6570" w:type="dxa"/>
          </w:tcPr>
          <w:p w14:paraId="596D5802"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Vitamin and trace element (folate)</w:t>
            </w:r>
          </w:p>
        </w:tc>
      </w:tr>
      <w:tr w:rsidR="005D59D6" w:rsidRPr="00F10C37" w14:paraId="2736AB1C" w14:textId="77777777" w:rsidTr="002D6DD7">
        <w:trPr>
          <w:jc w:val="center"/>
        </w:trPr>
        <w:tc>
          <w:tcPr>
            <w:tcW w:w="2880" w:type="dxa"/>
          </w:tcPr>
          <w:p w14:paraId="7C2E6908"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1B8061DA" w14:textId="77777777" w:rsidR="005D59D6" w:rsidRPr="00F10C37" w:rsidRDefault="005D59D6" w:rsidP="002D6DD7">
            <w:pPr>
              <w:jc w:val="both"/>
              <w:rPr>
                <w:rFonts w:cs="Times New Roman"/>
                <w:iCs/>
                <w:szCs w:val="24"/>
              </w:rPr>
            </w:pPr>
            <w:r w:rsidRPr="00F10C37">
              <w:rPr>
                <w:rFonts w:cs="Times New Roman"/>
                <w:iCs/>
                <w:szCs w:val="24"/>
              </w:rPr>
              <w:t>Injection: 3 mg/</w:t>
            </w:r>
            <w:r>
              <w:rPr>
                <w:rFonts w:cs="Times New Roman"/>
                <w:iCs/>
                <w:szCs w:val="24"/>
              </w:rPr>
              <w:t>ml</w:t>
            </w:r>
            <w:r w:rsidRPr="00F10C37">
              <w:rPr>
                <w:rFonts w:cs="Times New Roman"/>
                <w:iCs/>
                <w:szCs w:val="24"/>
              </w:rPr>
              <w:t xml:space="preserve"> in 10 </w:t>
            </w:r>
            <w:r>
              <w:rPr>
                <w:rFonts w:cs="Times New Roman"/>
                <w:iCs/>
                <w:szCs w:val="24"/>
              </w:rPr>
              <w:t>ml</w:t>
            </w:r>
            <w:r w:rsidRPr="00F10C37">
              <w:rPr>
                <w:rFonts w:cs="Times New Roman"/>
                <w:iCs/>
                <w:szCs w:val="24"/>
              </w:rPr>
              <w:t xml:space="preserve"> ampoule, 7.5 mg/</w:t>
            </w:r>
            <w:r>
              <w:rPr>
                <w:rFonts w:cs="Times New Roman"/>
                <w:iCs/>
                <w:szCs w:val="24"/>
              </w:rPr>
              <w:t>ml</w:t>
            </w:r>
            <w:r w:rsidRPr="00F10C37">
              <w:rPr>
                <w:rFonts w:cs="Times New Roman"/>
                <w:iCs/>
                <w:szCs w:val="24"/>
              </w:rPr>
              <w:t xml:space="preserve"> in 2 </w:t>
            </w:r>
            <w:r>
              <w:rPr>
                <w:rFonts w:cs="Times New Roman"/>
                <w:iCs/>
                <w:szCs w:val="24"/>
              </w:rPr>
              <w:t>ml</w:t>
            </w:r>
            <w:r w:rsidRPr="00F10C37">
              <w:rPr>
                <w:rFonts w:cs="Times New Roman"/>
                <w:iCs/>
                <w:szCs w:val="24"/>
              </w:rPr>
              <w:t xml:space="preserve"> ampoule, 10 mg/</w:t>
            </w:r>
            <w:r>
              <w:rPr>
                <w:rFonts w:cs="Times New Roman"/>
                <w:iCs/>
                <w:szCs w:val="24"/>
              </w:rPr>
              <w:t>ml</w:t>
            </w:r>
            <w:r w:rsidRPr="00F10C37">
              <w:rPr>
                <w:rFonts w:cs="Times New Roman"/>
                <w:iCs/>
                <w:szCs w:val="24"/>
              </w:rPr>
              <w:t xml:space="preserve"> in 5 </w:t>
            </w:r>
            <w:r>
              <w:rPr>
                <w:rFonts w:cs="Times New Roman"/>
                <w:iCs/>
                <w:szCs w:val="24"/>
              </w:rPr>
              <w:t>ml</w:t>
            </w:r>
            <w:r w:rsidRPr="00F10C37">
              <w:rPr>
                <w:rFonts w:cs="Times New Roman"/>
                <w:iCs/>
                <w:szCs w:val="24"/>
              </w:rPr>
              <w:t xml:space="preserve"> ampoule.</w:t>
            </w:r>
          </w:p>
        </w:tc>
      </w:tr>
      <w:tr w:rsidR="005D59D6" w:rsidRPr="00F10C37" w14:paraId="4A092FCE" w14:textId="77777777" w:rsidTr="002D6DD7">
        <w:trPr>
          <w:trHeight w:val="1205"/>
          <w:jc w:val="center"/>
        </w:trPr>
        <w:tc>
          <w:tcPr>
            <w:tcW w:w="2880" w:type="dxa"/>
          </w:tcPr>
          <w:p w14:paraId="774F0C83" w14:textId="77777777" w:rsidR="005D59D6" w:rsidRPr="000F19B3" w:rsidRDefault="005D59D6" w:rsidP="002D6DD7">
            <w:pPr>
              <w:jc w:val="both"/>
              <w:rPr>
                <w:rFonts w:cs="Times New Roman"/>
                <w:szCs w:val="24"/>
                <w14:ligatures w14:val="standardContextual"/>
              </w:rPr>
            </w:pPr>
            <w:r w:rsidRPr="000F19B3">
              <w:rPr>
                <w:rFonts w:cs="Times New Roman"/>
                <w:szCs w:val="24"/>
                <w14:ligatures w14:val="standardContextual"/>
              </w:rPr>
              <w:t>Indications</w:t>
            </w:r>
          </w:p>
        </w:tc>
        <w:tc>
          <w:tcPr>
            <w:tcW w:w="6570" w:type="dxa"/>
          </w:tcPr>
          <w:p w14:paraId="2E9FF866" w14:textId="77777777" w:rsidR="005D59D6" w:rsidRPr="00F10C37" w:rsidRDefault="005D59D6" w:rsidP="002D6DD7">
            <w:pPr>
              <w:jc w:val="both"/>
              <w:rPr>
                <w:rFonts w:cs="Times New Roman"/>
                <w:szCs w:val="24"/>
              </w:rPr>
            </w:pPr>
            <w:r w:rsidRPr="00F10C37">
              <w:rPr>
                <w:rFonts w:cs="Times New Roman"/>
                <w:szCs w:val="24"/>
              </w:rPr>
              <w:t>Prevention of methotrexate-induced adverse effects; antidote to methotrexate over dosage; adjunct to fluorouracil in colorectal cancer.</w:t>
            </w:r>
          </w:p>
        </w:tc>
      </w:tr>
      <w:tr w:rsidR="005D59D6" w:rsidRPr="00F10C37" w14:paraId="66B1B482" w14:textId="77777777" w:rsidTr="002D6DD7">
        <w:trPr>
          <w:jc w:val="center"/>
        </w:trPr>
        <w:tc>
          <w:tcPr>
            <w:tcW w:w="2880" w:type="dxa"/>
          </w:tcPr>
          <w:p w14:paraId="5D7BC801"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70B4A3DB" w14:textId="77777777" w:rsidR="005D59D6" w:rsidRPr="00F10C37" w:rsidRDefault="005D59D6" w:rsidP="002D6DD7">
            <w:pPr>
              <w:jc w:val="both"/>
              <w:rPr>
                <w:rFonts w:cs="Times New Roman"/>
                <w:szCs w:val="24"/>
              </w:rPr>
            </w:pPr>
            <w:r w:rsidRPr="00F10C37">
              <w:rPr>
                <w:rFonts w:cs="Times New Roman"/>
                <w:b/>
                <w:szCs w:val="24"/>
              </w:rPr>
              <w:t xml:space="preserve">Reduction of methotrexate-induced adverse effects, </w:t>
            </w:r>
            <w:r w:rsidRPr="00F10C37">
              <w:rPr>
                <w:rFonts w:cs="Times New Roman"/>
                <w:szCs w:val="24"/>
              </w:rPr>
              <w:t xml:space="preserve">IM, IV or IV infusion: </w:t>
            </w:r>
          </w:p>
          <w:p w14:paraId="5CFEEC10"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15 mg every 6 hours for 24 hours, to be started usually 12–24 hours after start of methotrexate infusion.</w:t>
            </w:r>
          </w:p>
          <w:p w14:paraId="3AB3040B" w14:textId="77777777" w:rsidR="005D59D6" w:rsidRPr="00F10C37" w:rsidRDefault="005D59D6" w:rsidP="002D6DD7">
            <w:pPr>
              <w:jc w:val="both"/>
              <w:rPr>
                <w:rFonts w:cs="Times New Roman"/>
                <w:szCs w:val="24"/>
              </w:rPr>
            </w:pPr>
            <w:r w:rsidRPr="00F10C37">
              <w:rPr>
                <w:rFonts w:cs="Times New Roman"/>
                <w:b/>
                <w:szCs w:val="24"/>
              </w:rPr>
              <w:t>Antidote to methotrexate</w:t>
            </w:r>
            <w:r w:rsidRPr="00F10C37">
              <w:rPr>
                <w:rFonts w:cs="Times New Roman"/>
                <w:szCs w:val="24"/>
              </w:rPr>
              <w:t>, IM, IV or IV infusion:</w:t>
            </w:r>
          </w:p>
          <w:p w14:paraId="00AEF8DC"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Up to 120 mg in divided doses over 12–24 hours, then 12–15 mg by IM injection every 6 hours for 48–72 hours.</w:t>
            </w:r>
          </w:p>
          <w:p w14:paraId="538DC1C0" w14:textId="77777777" w:rsidR="005D59D6" w:rsidRPr="00F10C37" w:rsidRDefault="005D59D6" w:rsidP="002D6DD7">
            <w:pPr>
              <w:jc w:val="both"/>
              <w:rPr>
                <w:rFonts w:cs="Times New Roman"/>
                <w:szCs w:val="24"/>
              </w:rPr>
            </w:pPr>
            <w:r w:rsidRPr="00F10C37">
              <w:rPr>
                <w:rFonts w:cs="Times New Roman"/>
                <w:b/>
                <w:szCs w:val="24"/>
              </w:rPr>
              <w:t>Child</w:t>
            </w:r>
            <w:r w:rsidRPr="00F10C37">
              <w:rPr>
                <w:rFonts w:cs="Times New Roman"/>
                <w:szCs w:val="24"/>
              </w:rPr>
              <w:t>: Up to 120 mg in divided doses over 12–24 hours, then 12–15 mg by IM injection every 6 hours for 48–72 hours.</w:t>
            </w:r>
          </w:p>
          <w:p w14:paraId="004EB494" w14:textId="77777777" w:rsidR="005D59D6" w:rsidRPr="00F10C37" w:rsidRDefault="005D59D6" w:rsidP="002D6DD7">
            <w:pPr>
              <w:jc w:val="both"/>
              <w:rPr>
                <w:rFonts w:cs="Times New Roman"/>
                <w:szCs w:val="24"/>
              </w:rPr>
            </w:pPr>
            <w:r w:rsidRPr="00F10C37">
              <w:rPr>
                <w:rFonts w:cs="Times New Roman"/>
                <w:b/>
                <w:szCs w:val="24"/>
              </w:rPr>
              <w:t>Methotrexate over dosage</w:t>
            </w:r>
            <w:r w:rsidRPr="00F10C37">
              <w:rPr>
                <w:rFonts w:cs="Times New Roman"/>
                <w:szCs w:val="24"/>
              </w:rPr>
              <w:t>, IV or IV infusion:</w:t>
            </w:r>
          </w:p>
          <w:p w14:paraId="667237D4"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xml:space="preserve">: Initial dose equal to or exceeding dose of methotrexate (started as soon as possible, preferably within 1 hour of administration of methotrexate), to be given at a maximum rate of </w:t>
            </w:r>
            <w:r w:rsidRPr="00F10C37">
              <w:rPr>
                <w:rFonts w:cs="Times New Roman"/>
                <w:szCs w:val="24"/>
              </w:rPr>
              <w:lastRenderedPageBreak/>
              <w:t xml:space="preserve">160 mg/minute. </w:t>
            </w:r>
          </w:p>
          <w:p w14:paraId="46D4A459" w14:textId="77777777" w:rsidR="005D59D6" w:rsidRPr="00F10C37" w:rsidRDefault="005D59D6" w:rsidP="002D6DD7">
            <w:pPr>
              <w:jc w:val="both"/>
              <w:rPr>
                <w:rFonts w:cs="Times New Roman"/>
                <w:szCs w:val="24"/>
              </w:rPr>
            </w:pPr>
            <w:r w:rsidRPr="00F10C37">
              <w:rPr>
                <w:rFonts w:cs="Times New Roman"/>
                <w:b/>
                <w:szCs w:val="24"/>
              </w:rPr>
              <w:t>Child</w:t>
            </w:r>
            <w:r w:rsidRPr="00F10C37">
              <w:rPr>
                <w:rFonts w:cs="Times New Roman"/>
                <w:szCs w:val="24"/>
              </w:rPr>
              <w:t>: Dose equal to or higher than that of methotrexate, at rate not exceeding 160 mg/min.</w:t>
            </w:r>
          </w:p>
        </w:tc>
      </w:tr>
      <w:tr w:rsidR="005D59D6" w:rsidRPr="00F10C37" w14:paraId="47DEF615" w14:textId="77777777" w:rsidTr="002D6DD7">
        <w:trPr>
          <w:jc w:val="center"/>
        </w:trPr>
        <w:tc>
          <w:tcPr>
            <w:tcW w:w="2880" w:type="dxa"/>
          </w:tcPr>
          <w:p w14:paraId="4A66D8AF"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66939C45" w14:textId="77777777" w:rsidR="005D59D6" w:rsidRPr="00F10C37" w:rsidRDefault="005D59D6" w:rsidP="002D6DD7">
            <w:pPr>
              <w:jc w:val="both"/>
              <w:rPr>
                <w:rFonts w:cs="Times New Roman"/>
                <w:szCs w:val="24"/>
              </w:rPr>
            </w:pPr>
            <w:r>
              <w:rPr>
                <w:rFonts w:cs="Times New Roman"/>
                <w:szCs w:val="24"/>
              </w:rPr>
              <w:t>H</w:t>
            </w:r>
            <w:r w:rsidRPr="00F10C37">
              <w:rPr>
                <w:rFonts w:cs="Times New Roman"/>
                <w:szCs w:val="24"/>
              </w:rPr>
              <w:t xml:space="preserve">ypersensitivity </w:t>
            </w:r>
            <w:r w:rsidRPr="00D74D5B">
              <w:rPr>
                <w:rFonts w:cs="Times New Roman"/>
                <w:bCs/>
                <w:color w:val="000000" w:themeColor="text1"/>
                <w:szCs w:val="24"/>
                <w14:ligatures w14:val="standardContextual"/>
              </w:rPr>
              <w:t>to the drug</w:t>
            </w:r>
            <w:r w:rsidRPr="00F10C37">
              <w:rPr>
                <w:rFonts w:cs="Times New Roman"/>
                <w:szCs w:val="24"/>
              </w:rPr>
              <w:t xml:space="preserve">, </w:t>
            </w:r>
            <w:r>
              <w:rPr>
                <w:rFonts w:cs="Times New Roman"/>
                <w:szCs w:val="24"/>
              </w:rPr>
              <w:t>i</w:t>
            </w:r>
            <w:r w:rsidRPr="00F10C37">
              <w:rPr>
                <w:rFonts w:cs="Times New Roman"/>
                <w:szCs w:val="24"/>
              </w:rPr>
              <w:t>ntrathecal injection, pernicious anaemia or other megaloblastic anaemias due to vitamin B12 deficiency.</w:t>
            </w:r>
          </w:p>
        </w:tc>
      </w:tr>
      <w:tr w:rsidR="005D59D6" w:rsidRPr="00F10C37" w14:paraId="217E1043" w14:textId="77777777" w:rsidTr="002D6DD7">
        <w:trPr>
          <w:jc w:val="center"/>
        </w:trPr>
        <w:tc>
          <w:tcPr>
            <w:tcW w:w="2880" w:type="dxa"/>
          </w:tcPr>
          <w:p w14:paraId="4F935680"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626A424B" w14:textId="77777777" w:rsidR="005D59D6" w:rsidRPr="00F10C37" w:rsidRDefault="005D59D6" w:rsidP="002D6DD7">
            <w:pPr>
              <w:contextualSpacing/>
              <w:jc w:val="both"/>
              <w:rPr>
                <w:rFonts w:cs="Times New Roman"/>
                <w:szCs w:val="24"/>
              </w:rPr>
            </w:pPr>
            <w:r w:rsidRPr="00F10C37">
              <w:rPr>
                <w:rFonts w:cs="Times New Roman"/>
                <w:szCs w:val="24"/>
              </w:rPr>
              <w:t>Phenobarbital, phenytoin, fluorouracil, trimethoprim, methotrexate, fluoropyrimidine.</w:t>
            </w:r>
          </w:p>
        </w:tc>
      </w:tr>
      <w:tr w:rsidR="005D59D6" w:rsidRPr="00F10C37" w14:paraId="73D74EF2" w14:textId="77777777" w:rsidTr="002D6DD7">
        <w:trPr>
          <w:trHeight w:val="503"/>
          <w:jc w:val="center"/>
        </w:trPr>
        <w:tc>
          <w:tcPr>
            <w:tcW w:w="2880" w:type="dxa"/>
          </w:tcPr>
          <w:p w14:paraId="7C42AC1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24D0A85A" w14:textId="77777777" w:rsidR="005D59D6" w:rsidRPr="00F10C37" w:rsidRDefault="005D59D6" w:rsidP="002D6DD7">
            <w:pPr>
              <w:jc w:val="both"/>
              <w:rPr>
                <w:rFonts w:cs="Times New Roman"/>
                <w:szCs w:val="24"/>
              </w:rPr>
            </w:pPr>
            <w:r w:rsidRPr="00F10C37">
              <w:rPr>
                <w:rFonts w:cs="Times New Roman"/>
                <w:szCs w:val="24"/>
              </w:rPr>
              <w:t>Bone marrow failure, dehydration, diarrhoea, mucositis, nausea, oral disorders, skin reactions, vomiting, fever, depression, epilepsy exacerbated, GI disorders, insomnia, urticarial.</w:t>
            </w:r>
          </w:p>
        </w:tc>
      </w:tr>
      <w:tr w:rsidR="005D59D6" w:rsidRPr="00F10C37" w14:paraId="042CB1D9" w14:textId="77777777" w:rsidTr="002D6DD7">
        <w:trPr>
          <w:jc w:val="center"/>
        </w:trPr>
        <w:tc>
          <w:tcPr>
            <w:tcW w:w="2880" w:type="dxa"/>
          </w:tcPr>
          <w:p w14:paraId="25FC9A58"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66B9E255" w14:textId="77777777" w:rsidR="005D59D6" w:rsidRPr="00F10C37" w:rsidRDefault="005D59D6" w:rsidP="002D6DD7">
            <w:pPr>
              <w:jc w:val="both"/>
              <w:rPr>
                <w:rFonts w:cs="Times New Roman"/>
                <w:szCs w:val="24"/>
              </w:rPr>
            </w:pPr>
            <w:r w:rsidRPr="00F10C37">
              <w:rPr>
                <w:rFonts w:cs="Times New Roman"/>
                <w:szCs w:val="24"/>
              </w:rPr>
              <w:t>Pregnancy, breastfeeding, renal and hepatic impairment.</w:t>
            </w:r>
          </w:p>
        </w:tc>
      </w:tr>
      <w:tr w:rsidR="005D59D6" w:rsidRPr="00F10C37" w14:paraId="4E3D223C" w14:textId="77777777" w:rsidTr="002D6DD7">
        <w:trPr>
          <w:jc w:val="center"/>
        </w:trPr>
        <w:tc>
          <w:tcPr>
            <w:tcW w:w="2880" w:type="dxa"/>
          </w:tcPr>
          <w:p w14:paraId="41AF7293"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02CB59B5" w14:textId="77777777" w:rsidR="005D59D6" w:rsidRPr="00F10C37" w:rsidRDefault="005D59D6" w:rsidP="002D6DD7">
            <w:pPr>
              <w:contextualSpacing/>
              <w:jc w:val="both"/>
              <w:rPr>
                <w:rFonts w:cs="Times New Roman"/>
                <w:szCs w:val="24"/>
              </w:rPr>
            </w:pPr>
            <w:r w:rsidRPr="00F10C37">
              <w:rPr>
                <w:rFonts w:cs="Times New Roman"/>
                <w:szCs w:val="24"/>
              </w:rPr>
              <w:t>Store in a refrigerator between 2 °C and 8 °C. Diluted solutions may be stored for a maximum of 24 hours at 2-8°C.</w:t>
            </w:r>
          </w:p>
        </w:tc>
      </w:tr>
      <w:tr w:rsidR="005D59D6" w:rsidRPr="00F10C37" w14:paraId="1F90B1F3" w14:textId="77777777" w:rsidTr="002D6DD7">
        <w:trPr>
          <w:jc w:val="center"/>
        </w:trPr>
        <w:tc>
          <w:tcPr>
            <w:tcW w:w="9450" w:type="dxa"/>
            <w:gridSpan w:val="2"/>
          </w:tcPr>
          <w:p w14:paraId="1A573B75" w14:textId="77777777" w:rsidR="005D59D6" w:rsidRPr="00F10C37" w:rsidRDefault="005D59D6" w:rsidP="002D6DD7">
            <w:pPr>
              <w:contextualSpacing/>
              <w:jc w:val="both"/>
              <w:rPr>
                <w:rFonts w:cs="Times New Roman"/>
                <w:szCs w:val="24"/>
              </w:rPr>
            </w:pPr>
            <w:r w:rsidRPr="00F10C37">
              <w:rPr>
                <w:rFonts w:cs="Times New Roman"/>
                <w:b/>
                <w:bCs/>
                <w:color w:val="000000" w:themeColor="text1"/>
                <w:szCs w:val="24"/>
                <w14:ligatures w14:val="standardContextual"/>
              </w:rPr>
              <w:t>Dexamethasone</w:t>
            </w:r>
          </w:p>
        </w:tc>
      </w:tr>
      <w:tr w:rsidR="005D59D6" w:rsidRPr="00F10C37" w14:paraId="5D2ECD5C" w14:textId="77777777" w:rsidTr="002D6DD7">
        <w:trPr>
          <w:jc w:val="center"/>
        </w:trPr>
        <w:tc>
          <w:tcPr>
            <w:tcW w:w="2880" w:type="dxa"/>
          </w:tcPr>
          <w:p w14:paraId="0D0784D5"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szCs w:val="24"/>
                <w14:ligatures w14:val="standardContextual"/>
              </w:rPr>
              <w:t>Pharmacological class</w:t>
            </w:r>
          </w:p>
        </w:tc>
        <w:tc>
          <w:tcPr>
            <w:tcW w:w="6570" w:type="dxa"/>
          </w:tcPr>
          <w:p w14:paraId="747F92C7" w14:textId="77777777" w:rsidR="005D59D6" w:rsidRPr="00F10C37" w:rsidRDefault="005D59D6" w:rsidP="002D6DD7">
            <w:pPr>
              <w:contextualSpacing/>
              <w:jc w:val="both"/>
              <w:rPr>
                <w:rFonts w:cs="Times New Roman"/>
                <w:szCs w:val="24"/>
              </w:rPr>
            </w:pPr>
            <w:r w:rsidRPr="00F10C37">
              <w:rPr>
                <w:rFonts w:cs="Times New Roman"/>
                <w:szCs w:val="24"/>
                <w14:ligatures w14:val="standardContextual"/>
              </w:rPr>
              <w:t>Corticosteroid.</w:t>
            </w:r>
          </w:p>
        </w:tc>
      </w:tr>
      <w:tr w:rsidR="005D59D6" w:rsidRPr="00F10C37" w14:paraId="0EED66DA" w14:textId="77777777" w:rsidTr="002D6DD7">
        <w:trPr>
          <w:jc w:val="center"/>
        </w:trPr>
        <w:tc>
          <w:tcPr>
            <w:tcW w:w="2880" w:type="dxa"/>
          </w:tcPr>
          <w:p w14:paraId="67892001"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129DC18C" w14:textId="77777777" w:rsidR="005D59D6" w:rsidRPr="00F10C37" w:rsidRDefault="005D59D6" w:rsidP="002D6DD7">
            <w:pPr>
              <w:jc w:val="both"/>
              <w:rPr>
                <w:rFonts w:cs="Times New Roman"/>
                <w:iCs/>
                <w:szCs w:val="24"/>
                <w14:ligatures w14:val="standardContextual"/>
              </w:rPr>
            </w:pPr>
            <w:r w:rsidRPr="00F10C37">
              <w:rPr>
                <w:rFonts w:cs="Times New Roman"/>
                <w:iCs/>
                <w:szCs w:val="24"/>
                <w14:ligatures w14:val="standardContextual"/>
              </w:rPr>
              <w:t>Injection: 4 mg/</w:t>
            </w:r>
            <w:r>
              <w:rPr>
                <w:rFonts w:cs="Times New Roman"/>
                <w:iCs/>
                <w:szCs w:val="24"/>
                <w14:ligatures w14:val="standardContextual"/>
              </w:rPr>
              <w:t>ml</w:t>
            </w:r>
            <w:r w:rsidRPr="00F10C37">
              <w:rPr>
                <w:rFonts w:cs="Times New Roman"/>
                <w:iCs/>
                <w:szCs w:val="24"/>
                <w14:ligatures w14:val="standardContextual"/>
              </w:rPr>
              <w:t xml:space="preserve"> (as disodium phosphate salt) in 1 </w:t>
            </w:r>
            <w:r>
              <w:rPr>
                <w:rFonts w:cs="Times New Roman"/>
                <w:iCs/>
                <w:szCs w:val="24"/>
                <w14:ligatures w14:val="standardContextual"/>
              </w:rPr>
              <w:t>ml</w:t>
            </w:r>
            <w:r w:rsidRPr="00F10C37">
              <w:rPr>
                <w:rFonts w:cs="Times New Roman"/>
                <w:iCs/>
                <w:szCs w:val="24"/>
                <w14:ligatures w14:val="standardContextual"/>
              </w:rPr>
              <w:t xml:space="preserve"> ampoule</w:t>
            </w:r>
          </w:p>
          <w:p w14:paraId="4916E303" w14:textId="77777777" w:rsidR="005D59D6" w:rsidRPr="00F10C37" w:rsidRDefault="005D59D6" w:rsidP="002D6DD7">
            <w:pPr>
              <w:tabs>
                <w:tab w:val="right" w:pos="6590"/>
              </w:tabs>
              <w:jc w:val="both"/>
              <w:rPr>
                <w:rFonts w:cs="Times New Roman"/>
                <w:iCs/>
                <w:szCs w:val="24"/>
                <w:lang w:val="nb-NO"/>
                <w14:ligatures w14:val="standardContextual"/>
              </w:rPr>
            </w:pPr>
            <w:r w:rsidRPr="00F10C37">
              <w:rPr>
                <w:rFonts w:cs="Times New Roman"/>
                <w:iCs/>
                <w:szCs w:val="24"/>
                <w:lang w:val="nb-NO"/>
                <w14:ligatures w14:val="standardContextual"/>
              </w:rPr>
              <w:t xml:space="preserve">Oral liquid: 2 mg/5 </w:t>
            </w:r>
            <w:r>
              <w:rPr>
                <w:rFonts w:cs="Times New Roman"/>
                <w:iCs/>
                <w:szCs w:val="24"/>
                <w:lang w:val="nb-NO"/>
                <w14:ligatures w14:val="standardContextual"/>
              </w:rPr>
              <w:t>ml</w:t>
            </w:r>
            <w:r w:rsidRPr="00F10C37">
              <w:rPr>
                <w:rFonts w:cs="Times New Roman"/>
                <w:iCs/>
                <w:szCs w:val="24"/>
                <w:lang w:val="nb-NO"/>
                <w14:ligatures w14:val="standardContextual"/>
              </w:rPr>
              <w:t>.</w:t>
            </w:r>
            <w:r w:rsidRPr="00F10C37">
              <w:rPr>
                <w:rFonts w:cs="Times New Roman"/>
                <w:iCs/>
                <w:szCs w:val="24"/>
                <w:lang w:val="nb-NO"/>
                <w14:ligatures w14:val="standardContextual"/>
              </w:rPr>
              <w:tab/>
            </w:r>
          </w:p>
          <w:p w14:paraId="0E0FCB0D" w14:textId="77777777" w:rsidR="005D59D6" w:rsidRPr="00F10C37" w:rsidRDefault="005D59D6" w:rsidP="002D6DD7">
            <w:pPr>
              <w:contextualSpacing/>
              <w:jc w:val="both"/>
              <w:rPr>
                <w:rFonts w:cs="Times New Roman"/>
                <w:szCs w:val="24"/>
                <w:lang w:val="nb-NO"/>
                <w14:ligatures w14:val="standardContextual"/>
              </w:rPr>
            </w:pPr>
            <w:r w:rsidRPr="00F10C37">
              <w:rPr>
                <w:rFonts w:cs="Times New Roman"/>
                <w:iCs/>
                <w:szCs w:val="24"/>
                <w:lang w:val="nb-NO"/>
                <w14:ligatures w14:val="standardContextual"/>
              </w:rPr>
              <w:t>Tablet: 2 mg, 4 mg.</w:t>
            </w:r>
          </w:p>
        </w:tc>
      </w:tr>
      <w:tr w:rsidR="005D59D6" w:rsidRPr="00F10C37" w14:paraId="2D77F20F" w14:textId="77777777" w:rsidTr="002D6DD7">
        <w:trPr>
          <w:jc w:val="center"/>
        </w:trPr>
        <w:tc>
          <w:tcPr>
            <w:tcW w:w="2880" w:type="dxa"/>
          </w:tcPr>
          <w:p w14:paraId="448F645B" w14:textId="77777777" w:rsidR="005D59D6" w:rsidRPr="00243ED7" w:rsidRDefault="005D59D6" w:rsidP="002D6DD7">
            <w:pPr>
              <w:jc w:val="both"/>
              <w:rPr>
                <w:rFonts w:cs="Times New Roman"/>
                <w:szCs w:val="24"/>
                <w14:ligatures w14:val="standardContextual"/>
              </w:rPr>
            </w:pPr>
            <w:r w:rsidRPr="00243ED7">
              <w:rPr>
                <w:rFonts w:cs="Times New Roman"/>
                <w:szCs w:val="24"/>
                <w14:ligatures w14:val="standardContextual"/>
              </w:rPr>
              <w:t>Indications</w:t>
            </w:r>
          </w:p>
        </w:tc>
        <w:tc>
          <w:tcPr>
            <w:tcW w:w="6570" w:type="dxa"/>
          </w:tcPr>
          <w:p w14:paraId="4C09C283" w14:textId="77777777" w:rsidR="005D59D6" w:rsidRPr="00F10C37" w:rsidRDefault="005D59D6" w:rsidP="002D6DD7">
            <w:pPr>
              <w:jc w:val="both"/>
              <w:rPr>
                <w:rFonts w:cs="Times New Roman"/>
                <w:iCs/>
                <w:szCs w:val="24"/>
                <w14:ligatures w14:val="standardContextual"/>
              </w:rPr>
            </w:pPr>
            <w:r w:rsidRPr="00F10C37">
              <w:rPr>
                <w:rFonts w:cs="Times New Roman"/>
                <w:szCs w:val="24"/>
              </w:rPr>
              <w:t xml:space="preserve">Nausea and vomiting induced by single-day IV chemotherapy regimen and adjunctive therapy for certain types of cancer. </w:t>
            </w:r>
          </w:p>
        </w:tc>
      </w:tr>
      <w:tr w:rsidR="005D59D6" w:rsidRPr="00F10C37" w14:paraId="532C79D5" w14:textId="77777777" w:rsidTr="002D6DD7">
        <w:trPr>
          <w:jc w:val="center"/>
        </w:trPr>
        <w:tc>
          <w:tcPr>
            <w:tcW w:w="2880" w:type="dxa"/>
          </w:tcPr>
          <w:p w14:paraId="6D8DF473"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79E7D928" w14:textId="77777777" w:rsidR="005D59D6" w:rsidRPr="00F10C37" w:rsidRDefault="005D59D6" w:rsidP="002D6DD7">
            <w:pPr>
              <w:jc w:val="both"/>
              <w:rPr>
                <w:rFonts w:cs="Times New Roman"/>
                <w:b/>
                <w:i/>
                <w:szCs w:val="24"/>
              </w:rPr>
            </w:pPr>
            <w:r w:rsidRPr="00F10C37">
              <w:rPr>
                <w:rFonts w:cs="Times New Roman"/>
                <w:b/>
                <w:szCs w:val="24"/>
              </w:rPr>
              <w:t>Highly emetogenic chemotherapy</w:t>
            </w:r>
            <w:r w:rsidRPr="00F10C37">
              <w:rPr>
                <w:rFonts w:cs="Times New Roman"/>
                <w:szCs w:val="24"/>
              </w:rPr>
              <w:t>, oral:</w:t>
            </w:r>
          </w:p>
          <w:p w14:paraId="4E82DDA0"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12 mg administered prior to chemotherapy in combination with other antiemetics on day of chemotherapy and 8 mg once or twice daily on post-chemotherapy days 2 to 4.</w:t>
            </w:r>
          </w:p>
          <w:p w14:paraId="0D7D13FA" w14:textId="77777777" w:rsidR="005D59D6" w:rsidRPr="00F10C37" w:rsidRDefault="005D59D6" w:rsidP="002D6DD7">
            <w:pPr>
              <w:jc w:val="both"/>
              <w:rPr>
                <w:rFonts w:cs="Times New Roman"/>
                <w:b/>
                <w:szCs w:val="24"/>
              </w:rPr>
            </w:pPr>
            <w:r w:rsidRPr="00F10C37">
              <w:rPr>
                <w:rFonts w:cs="Times New Roman"/>
                <w:b/>
                <w:szCs w:val="24"/>
              </w:rPr>
              <w:t>Moderately emetogenic chemotherapy</w:t>
            </w:r>
            <w:r w:rsidRPr="00F10C37">
              <w:rPr>
                <w:rFonts w:cs="Times New Roman"/>
                <w:szCs w:val="24"/>
              </w:rPr>
              <w:t>, oral:</w:t>
            </w:r>
          </w:p>
          <w:p w14:paraId="127410ED"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xml:space="preserve">: 8–12 mg in combination with other antiemetics on day of chemotherapy and 8 mg on post-chemotherapy days 2 and 3. </w:t>
            </w:r>
          </w:p>
          <w:p w14:paraId="09BA02EE" w14:textId="77777777" w:rsidR="005D59D6" w:rsidRPr="00F10C37" w:rsidRDefault="005D59D6" w:rsidP="002D6DD7">
            <w:pPr>
              <w:jc w:val="both"/>
              <w:rPr>
                <w:rFonts w:cs="Times New Roman"/>
                <w:b/>
                <w:szCs w:val="24"/>
              </w:rPr>
            </w:pPr>
            <w:r w:rsidRPr="00F10C37">
              <w:rPr>
                <w:rFonts w:cs="Times New Roman"/>
                <w:b/>
                <w:szCs w:val="24"/>
              </w:rPr>
              <w:t>Low emetogenic chemotherapy</w:t>
            </w:r>
            <w:r w:rsidRPr="00F10C37">
              <w:rPr>
                <w:rFonts w:cs="Times New Roman"/>
                <w:szCs w:val="24"/>
              </w:rPr>
              <w:t>, oral:</w:t>
            </w:r>
          </w:p>
          <w:p w14:paraId="400F2C18" w14:textId="77777777" w:rsidR="005D59D6" w:rsidRPr="00F10C37" w:rsidRDefault="005D59D6" w:rsidP="002D6DD7">
            <w:pPr>
              <w:jc w:val="both"/>
              <w:rPr>
                <w:rFonts w:cs="Times New Roman"/>
                <w:szCs w:val="24"/>
              </w:rPr>
            </w:pPr>
            <w:r w:rsidRPr="00F10C37">
              <w:rPr>
                <w:rFonts w:cs="Times New Roman"/>
                <w:b/>
                <w:szCs w:val="24"/>
              </w:rPr>
              <w:t xml:space="preserve">Adult: </w:t>
            </w:r>
            <w:r w:rsidRPr="00F10C37">
              <w:rPr>
                <w:rFonts w:cs="Times New Roman"/>
                <w:szCs w:val="24"/>
              </w:rPr>
              <w:t>4 to 8 mg administered as a single agent.</w:t>
            </w:r>
          </w:p>
          <w:p w14:paraId="211B6113" w14:textId="77777777" w:rsidR="005D59D6" w:rsidRPr="00F10C37" w:rsidRDefault="005D59D6" w:rsidP="002D6DD7">
            <w:pPr>
              <w:jc w:val="both"/>
              <w:rPr>
                <w:rFonts w:cs="Times New Roman"/>
                <w:b/>
                <w:szCs w:val="24"/>
              </w:rPr>
            </w:pPr>
            <w:r w:rsidRPr="00F10C37">
              <w:rPr>
                <w:rFonts w:cs="Times New Roman"/>
                <w:b/>
                <w:szCs w:val="24"/>
              </w:rPr>
              <w:t>Chemotherapy-induced nausea and vomiting</w:t>
            </w:r>
            <w:r w:rsidRPr="00F10C37">
              <w:rPr>
                <w:rFonts w:cs="Times New Roman"/>
                <w:szCs w:val="24"/>
              </w:rPr>
              <w:t>, oral:</w:t>
            </w:r>
          </w:p>
          <w:p w14:paraId="3267CCE7" w14:textId="77777777" w:rsidR="005D59D6" w:rsidRPr="00F10C37" w:rsidRDefault="005D59D6" w:rsidP="002D6DD7">
            <w:pPr>
              <w:jc w:val="both"/>
              <w:rPr>
                <w:rFonts w:cs="Times New Roman"/>
                <w:szCs w:val="24"/>
              </w:rPr>
            </w:pPr>
            <w:r w:rsidRPr="00F10C37">
              <w:rPr>
                <w:rFonts w:cs="Times New Roman"/>
                <w:b/>
                <w:szCs w:val="24"/>
              </w:rPr>
              <w:lastRenderedPageBreak/>
              <w:t>Child all ages</w:t>
            </w:r>
            <w:r w:rsidRPr="00F10C37">
              <w:rPr>
                <w:rFonts w:cs="Times New Roman"/>
                <w:szCs w:val="24"/>
              </w:rPr>
              <w:t>: 0.2 mg/kg (maximum 8 mg) then 0.1 mg/kg/dose (max. 4 mg) every 6 hours, in conjunction with other antiemetics.</w:t>
            </w:r>
          </w:p>
        </w:tc>
      </w:tr>
      <w:tr w:rsidR="005D59D6" w:rsidRPr="00F10C37" w14:paraId="353D484F" w14:textId="77777777" w:rsidTr="002D6DD7">
        <w:trPr>
          <w:jc w:val="center"/>
        </w:trPr>
        <w:tc>
          <w:tcPr>
            <w:tcW w:w="2880" w:type="dxa"/>
          </w:tcPr>
          <w:p w14:paraId="6C4AB7E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097DAC07" w14:textId="77777777" w:rsidR="005D59D6" w:rsidRPr="00F10C37" w:rsidRDefault="005D59D6" w:rsidP="002D6DD7">
            <w:pPr>
              <w:jc w:val="both"/>
              <w:rPr>
                <w:rFonts w:cs="Times New Roman"/>
                <w:b/>
                <w:szCs w:val="24"/>
              </w:rPr>
            </w:pPr>
            <w:r w:rsidRPr="00F10C37">
              <w:rPr>
                <w:rFonts w:cs="Times New Roman"/>
                <w:szCs w:val="24"/>
              </w:rPr>
              <w:t>Untreated systemic infection, administration of live virus vaccines.</w:t>
            </w:r>
          </w:p>
        </w:tc>
      </w:tr>
      <w:tr w:rsidR="005D59D6" w:rsidRPr="00F10C37" w14:paraId="0845B0F5" w14:textId="77777777" w:rsidTr="002D6DD7">
        <w:trPr>
          <w:jc w:val="center"/>
        </w:trPr>
        <w:tc>
          <w:tcPr>
            <w:tcW w:w="2880" w:type="dxa"/>
          </w:tcPr>
          <w:p w14:paraId="0B0BC848"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5E0F33DE" w14:textId="77777777" w:rsidR="005D59D6" w:rsidRPr="00F10C37" w:rsidRDefault="005D59D6" w:rsidP="002D6DD7">
            <w:pPr>
              <w:jc w:val="both"/>
              <w:rPr>
                <w:rFonts w:cs="Times New Roman"/>
                <w:szCs w:val="24"/>
              </w:rPr>
            </w:pPr>
            <w:r w:rsidRPr="00F10C37">
              <w:rPr>
                <w:rFonts w:cs="Times New Roman"/>
                <w:szCs w:val="24"/>
              </w:rPr>
              <w:t>Albendazole, amphotericin B, carbamazepine, oral contraceptives; digoxin, diuretics, enalapril, erythromycin, insulins, metformin, lopinavir, ritonavir, methotrexate, NSAIDs, phenobarbital, phenytoin, praziquantel, propranolol, rifampicin, salbutamol.</w:t>
            </w:r>
          </w:p>
        </w:tc>
      </w:tr>
      <w:tr w:rsidR="005D59D6" w:rsidRPr="00F10C37" w14:paraId="23760E37" w14:textId="77777777" w:rsidTr="002D6DD7">
        <w:trPr>
          <w:jc w:val="center"/>
        </w:trPr>
        <w:tc>
          <w:tcPr>
            <w:tcW w:w="2880" w:type="dxa"/>
          </w:tcPr>
          <w:p w14:paraId="74A24A4B"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11090E4B" w14:textId="77777777" w:rsidR="005D59D6" w:rsidRPr="00F10C37" w:rsidRDefault="005D59D6" w:rsidP="002D6DD7">
            <w:pPr>
              <w:jc w:val="both"/>
              <w:rPr>
                <w:rFonts w:cs="Times New Roman"/>
                <w:szCs w:val="24"/>
              </w:rPr>
            </w:pPr>
            <w:r w:rsidRPr="00F10C37">
              <w:rPr>
                <w:rFonts w:cs="Times New Roman"/>
                <w:szCs w:val="24"/>
              </w:rPr>
              <w:t>Nausea, increased susceptibility to infection, masking of signs of infection, sodium and water retention, oedema, hypertension, hypokalemia, hyperglycemia, increased appetite, dyspepsia, delayed wound healing, bruising, acne, psychiatric effects (euphoria, hypomania, depression, disturbances of mood, cognition, sleep and behavior), and transient itching, burning or tingling in perineal area (after IV bolus), peptic ulceration, posterior sub-capsular cataracts, glaucoma, hypersensitivity reactions, including anaphylaxis.</w:t>
            </w:r>
          </w:p>
        </w:tc>
      </w:tr>
      <w:tr w:rsidR="005D59D6" w:rsidRPr="00F10C37" w14:paraId="3D06397E" w14:textId="77777777" w:rsidTr="002D6DD7">
        <w:trPr>
          <w:jc w:val="center"/>
        </w:trPr>
        <w:tc>
          <w:tcPr>
            <w:tcW w:w="2880" w:type="dxa"/>
          </w:tcPr>
          <w:p w14:paraId="030C2BF3"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04FEC633" w14:textId="77777777" w:rsidR="005D59D6" w:rsidRPr="00F10C37" w:rsidRDefault="005D59D6" w:rsidP="002D6DD7">
            <w:pPr>
              <w:jc w:val="both"/>
              <w:rPr>
                <w:rFonts w:cs="Times New Roman"/>
                <w:szCs w:val="24"/>
              </w:rPr>
            </w:pPr>
            <w:r w:rsidRPr="00F10C37">
              <w:rPr>
                <w:rFonts w:cs="Times New Roman"/>
                <w:szCs w:val="24"/>
              </w:rPr>
              <w:t>Risk of infection, TB, amoebiasis, strongyloidiasis, risk of severe chickenpox in nonimmune patients,</w:t>
            </w:r>
            <w:r>
              <w:rPr>
                <w:rFonts w:cs="Times New Roman"/>
                <w:szCs w:val="24"/>
              </w:rPr>
              <w:t xml:space="preserve"> </w:t>
            </w:r>
            <w:r w:rsidRPr="00F10C37">
              <w:rPr>
                <w:rFonts w:cs="Times New Roman"/>
                <w:szCs w:val="24"/>
              </w:rPr>
              <w:t>diabetes mellitus, peptic ulcer, hypertension, corneal perforation, osteoporosis, and myasthenia gravis andmeasles.</w:t>
            </w:r>
          </w:p>
        </w:tc>
      </w:tr>
      <w:tr w:rsidR="005D59D6" w:rsidRPr="00F10C37" w14:paraId="36AF2B01" w14:textId="77777777" w:rsidTr="002D6DD7">
        <w:trPr>
          <w:jc w:val="center"/>
        </w:trPr>
        <w:tc>
          <w:tcPr>
            <w:tcW w:w="2880" w:type="dxa"/>
          </w:tcPr>
          <w:p w14:paraId="32D872A1"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34B24934" w14:textId="77777777" w:rsidR="005D59D6" w:rsidRPr="00F10C37" w:rsidRDefault="005D59D6" w:rsidP="002D6DD7">
            <w:pPr>
              <w:jc w:val="both"/>
              <w:rPr>
                <w:rFonts w:cs="Times New Roman"/>
                <w:szCs w:val="24"/>
              </w:rPr>
            </w:pPr>
            <w:r w:rsidRPr="00F10C37">
              <w:rPr>
                <w:rFonts w:cs="Times New Roman"/>
                <w:szCs w:val="24"/>
                <w14:ligatures w14:val="standardContextual"/>
              </w:rPr>
              <w:t>Store below 30 °C. Protect from light and moisture. Keep from freezing.</w:t>
            </w:r>
          </w:p>
        </w:tc>
      </w:tr>
      <w:tr w:rsidR="005D59D6" w:rsidRPr="00F10C37" w14:paraId="335D67D7" w14:textId="77777777" w:rsidTr="002D6DD7">
        <w:trPr>
          <w:jc w:val="center"/>
        </w:trPr>
        <w:tc>
          <w:tcPr>
            <w:tcW w:w="9450" w:type="dxa"/>
            <w:gridSpan w:val="2"/>
          </w:tcPr>
          <w:p w14:paraId="79119A67" w14:textId="77777777" w:rsidR="005D59D6" w:rsidRPr="00F10C37" w:rsidRDefault="005D59D6" w:rsidP="002D6DD7">
            <w:pPr>
              <w:jc w:val="both"/>
              <w:rPr>
                <w:rFonts w:cs="Times New Roman"/>
                <w:szCs w:val="24"/>
                <w14:ligatures w14:val="standardContextual"/>
              </w:rPr>
            </w:pPr>
            <w:r w:rsidRPr="00F10C37">
              <w:rPr>
                <w:rFonts w:cs="Times New Roman"/>
                <w:b/>
                <w:bCs/>
                <w:color w:val="000000" w:themeColor="text1"/>
                <w:szCs w:val="24"/>
                <w14:ligatures w14:val="standardContextual"/>
              </w:rPr>
              <w:t>Hydrocortisone</w:t>
            </w:r>
          </w:p>
        </w:tc>
      </w:tr>
      <w:tr w:rsidR="005D59D6" w:rsidRPr="00F10C37" w14:paraId="239C3052" w14:textId="77777777" w:rsidTr="002D6DD7">
        <w:trPr>
          <w:jc w:val="center"/>
        </w:trPr>
        <w:tc>
          <w:tcPr>
            <w:tcW w:w="2880" w:type="dxa"/>
          </w:tcPr>
          <w:p w14:paraId="216577DA"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color w:val="000000" w:themeColor="text1"/>
                <w:szCs w:val="24"/>
                <w14:ligatures w14:val="standardContextual"/>
              </w:rPr>
              <w:t>Pharmacological class</w:t>
            </w:r>
          </w:p>
        </w:tc>
        <w:tc>
          <w:tcPr>
            <w:tcW w:w="6570" w:type="dxa"/>
          </w:tcPr>
          <w:p w14:paraId="4CB3AA61" w14:textId="77777777" w:rsidR="005D59D6" w:rsidRPr="00F10C37" w:rsidRDefault="005D59D6" w:rsidP="002D6DD7">
            <w:pPr>
              <w:jc w:val="both"/>
              <w:rPr>
                <w:rFonts w:cs="Times New Roman"/>
                <w:szCs w:val="24"/>
                <w14:ligatures w14:val="standardContextual"/>
              </w:rPr>
            </w:pPr>
            <w:r w:rsidRPr="00F10C37">
              <w:rPr>
                <w:rFonts w:cs="Times New Roman"/>
                <w:color w:val="000000" w:themeColor="text1"/>
                <w:szCs w:val="24"/>
                <w14:ligatures w14:val="standardContextual"/>
              </w:rPr>
              <w:t>Corticosteroid</w:t>
            </w:r>
            <w:r>
              <w:rPr>
                <w:rFonts w:cs="Times New Roman"/>
                <w:color w:val="000000" w:themeColor="text1"/>
                <w:szCs w:val="24"/>
                <w14:ligatures w14:val="standardContextual"/>
              </w:rPr>
              <w:t>.</w:t>
            </w:r>
          </w:p>
        </w:tc>
      </w:tr>
      <w:tr w:rsidR="005D59D6" w:rsidRPr="00F10C37" w14:paraId="73649367" w14:textId="77777777" w:rsidTr="002D6DD7">
        <w:trPr>
          <w:jc w:val="center"/>
        </w:trPr>
        <w:tc>
          <w:tcPr>
            <w:tcW w:w="2880" w:type="dxa"/>
          </w:tcPr>
          <w:p w14:paraId="39F66E8A"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Dosage form</w:t>
            </w:r>
          </w:p>
        </w:tc>
        <w:tc>
          <w:tcPr>
            <w:tcW w:w="6570" w:type="dxa"/>
          </w:tcPr>
          <w:p w14:paraId="3DFB792D"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iCs/>
                <w:color w:val="000000" w:themeColor="text1"/>
                <w:szCs w:val="24"/>
                <w14:ligatures w14:val="standardContextual"/>
              </w:rPr>
              <w:t>Powder for injection: 100 mg (as sodium succinate) in vial.</w:t>
            </w:r>
          </w:p>
        </w:tc>
      </w:tr>
      <w:tr w:rsidR="005D59D6" w:rsidRPr="00F10C37" w14:paraId="55C25E50" w14:textId="77777777" w:rsidTr="002D6DD7">
        <w:trPr>
          <w:jc w:val="center"/>
        </w:trPr>
        <w:tc>
          <w:tcPr>
            <w:tcW w:w="2880" w:type="dxa"/>
          </w:tcPr>
          <w:p w14:paraId="7477D15F" w14:textId="77777777" w:rsidR="005D59D6" w:rsidRPr="00243ED7" w:rsidRDefault="005D59D6" w:rsidP="002D6DD7">
            <w:pPr>
              <w:jc w:val="both"/>
              <w:rPr>
                <w:rFonts w:cs="Times New Roman"/>
                <w:color w:val="000000" w:themeColor="text1"/>
                <w:szCs w:val="24"/>
                <w14:ligatures w14:val="standardContextual"/>
              </w:rPr>
            </w:pPr>
            <w:r w:rsidRPr="00243ED7">
              <w:rPr>
                <w:rFonts w:cs="Times New Roman"/>
                <w:color w:val="000000" w:themeColor="text1"/>
                <w:szCs w:val="24"/>
                <w14:ligatures w14:val="standardContextual"/>
              </w:rPr>
              <w:t>Indications</w:t>
            </w:r>
          </w:p>
        </w:tc>
        <w:tc>
          <w:tcPr>
            <w:tcW w:w="6570" w:type="dxa"/>
          </w:tcPr>
          <w:p w14:paraId="33A82C90" w14:textId="77777777" w:rsidR="005D59D6" w:rsidRPr="00F10C37" w:rsidRDefault="005D59D6" w:rsidP="002D6DD7">
            <w:pPr>
              <w:jc w:val="both"/>
              <w:rPr>
                <w:rFonts w:cs="Times New Roman"/>
                <w:iCs/>
                <w:color w:val="000000" w:themeColor="text1"/>
                <w:szCs w:val="24"/>
                <w14:ligatures w14:val="standardContextual"/>
              </w:rPr>
            </w:pPr>
            <w:r w:rsidRPr="00F10C37">
              <w:rPr>
                <w:rFonts w:cs="Times New Roman"/>
                <w:color w:val="000000" w:themeColor="text1"/>
                <w:szCs w:val="24"/>
              </w:rPr>
              <w:t xml:space="preserve">Acute lymphoblastic leukaemia, multiple myeloma, chemotherapy-induced nausea and vomiting, brain edema associated with tumors or metastases. </w:t>
            </w:r>
          </w:p>
        </w:tc>
      </w:tr>
      <w:tr w:rsidR="005D59D6" w:rsidRPr="00F10C37" w14:paraId="37581E9B" w14:textId="77777777" w:rsidTr="002D6DD7">
        <w:trPr>
          <w:jc w:val="center"/>
        </w:trPr>
        <w:tc>
          <w:tcPr>
            <w:tcW w:w="2880" w:type="dxa"/>
          </w:tcPr>
          <w:p w14:paraId="1CA90047"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Dose and administration</w:t>
            </w:r>
          </w:p>
        </w:tc>
        <w:tc>
          <w:tcPr>
            <w:tcW w:w="6570" w:type="dxa"/>
          </w:tcPr>
          <w:p w14:paraId="1A7C55C6"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 xml:space="preserve">The recommended dosage and administration is individualised </w:t>
            </w:r>
            <w:r w:rsidRPr="00F10C37">
              <w:rPr>
                <w:rFonts w:cs="Times New Roman"/>
                <w:color w:val="000000" w:themeColor="text1"/>
                <w:szCs w:val="24"/>
              </w:rPr>
              <w:lastRenderedPageBreak/>
              <w:t xml:space="preserve">based on the disease, patient characteristics, and treatment regimen. </w:t>
            </w:r>
          </w:p>
          <w:p w14:paraId="2EF34653" w14:textId="77777777" w:rsidR="005D59D6" w:rsidRPr="00F10C37" w:rsidRDefault="005D59D6" w:rsidP="002D6DD7">
            <w:pPr>
              <w:jc w:val="both"/>
              <w:rPr>
                <w:rFonts w:cs="Times New Roman"/>
                <w:b/>
                <w:i/>
                <w:color w:val="000000" w:themeColor="text1"/>
                <w:szCs w:val="24"/>
              </w:rPr>
            </w:pPr>
            <w:r w:rsidRPr="00F10C37">
              <w:rPr>
                <w:rFonts w:cs="Times New Roman"/>
                <w:b/>
                <w:color w:val="000000" w:themeColor="text1"/>
                <w:szCs w:val="24"/>
              </w:rPr>
              <w:t>For the prevention and treatment of chemotherapy-induced nausea and vomiting</w:t>
            </w:r>
            <w:r w:rsidRPr="00F10C37">
              <w:rPr>
                <w:rFonts w:cs="Times New Roman"/>
                <w:b/>
                <w:i/>
                <w:color w:val="000000" w:themeColor="text1"/>
                <w:szCs w:val="24"/>
              </w:rPr>
              <w:t>:</w:t>
            </w:r>
          </w:p>
          <w:p w14:paraId="45DDBD3C" w14:textId="77777777" w:rsidR="005D59D6" w:rsidRPr="00F10C37" w:rsidRDefault="005D59D6" w:rsidP="003D3F76">
            <w:pPr>
              <w:pStyle w:val="ListParagraph"/>
              <w:numPr>
                <w:ilvl w:val="0"/>
                <w:numId w:val="9"/>
              </w:numPr>
              <w:spacing w:line="360" w:lineRule="auto"/>
              <w:ind w:left="90"/>
              <w:rPr>
                <w:color w:val="000000" w:themeColor="text1"/>
                <w:szCs w:val="24"/>
              </w:rPr>
            </w:pPr>
            <w:r w:rsidRPr="00F10C37">
              <w:rPr>
                <w:color w:val="000000" w:themeColor="text1"/>
                <w:szCs w:val="24"/>
              </w:rPr>
              <w:t>Dosing schedule and duration of therapy may vary depending on the specific chemotherapy protocol and individual patient factors.</w:t>
            </w:r>
          </w:p>
          <w:p w14:paraId="66B193E4" w14:textId="77777777" w:rsidR="005D59D6" w:rsidRPr="00F10C37" w:rsidRDefault="005D59D6" w:rsidP="002D6DD7">
            <w:pPr>
              <w:jc w:val="both"/>
              <w:rPr>
                <w:rFonts w:cs="Times New Roman"/>
                <w:b/>
                <w:color w:val="000000" w:themeColor="text1"/>
                <w:szCs w:val="24"/>
              </w:rPr>
            </w:pPr>
            <w:r w:rsidRPr="00F10C37">
              <w:rPr>
                <w:rFonts w:cs="Times New Roman"/>
                <w:b/>
                <w:color w:val="000000" w:themeColor="text1"/>
                <w:szCs w:val="24"/>
              </w:rPr>
              <w:t xml:space="preserve">For palliative management of cancer-related symptoms: </w:t>
            </w:r>
          </w:p>
          <w:p w14:paraId="45837DA6" w14:textId="77777777" w:rsidR="005D59D6" w:rsidRPr="00F10C37" w:rsidRDefault="005D59D6" w:rsidP="003D3F76">
            <w:pPr>
              <w:numPr>
                <w:ilvl w:val="0"/>
                <w:numId w:val="9"/>
              </w:numPr>
              <w:ind w:left="90"/>
              <w:jc w:val="both"/>
              <w:rPr>
                <w:rFonts w:cs="Times New Roman"/>
                <w:color w:val="000000" w:themeColor="text1"/>
                <w:szCs w:val="24"/>
              </w:rPr>
            </w:pPr>
            <w:r w:rsidRPr="00F10C37">
              <w:rPr>
                <w:rFonts w:cs="Times New Roman"/>
                <w:color w:val="000000" w:themeColor="text1"/>
                <w:szCs w:val="24"/>
              </w:rPr>
              <w:t>Doses may range from 10 mg to 100 mg per day, administered orally, intravenously, or by injection.</w:t>
            </w:r>
          </w:p>
          <w:p w14:paraId="607831C1" w14:textId="77777777" w:rsidR="005D59D6" w:rsidRPr="00F10C37" w:rsidRDefault="005D59D6" w:rsidP="002D6DD7">
            <w:pPr>
              <w:jc w:val="both"/>
              <w:rPr>
                <w:rFonts w:cs="Times New Roman"/>
                <w:b/>
                <w:color w:val="000000" w:themeColor="text1"/>
                <w:szCs w:val="24"/>
              </w:rPr>
            </w:pPr>
            <w:r w:rsidRPr="00F10C37">
              <w:rPr>
                <w:rFonts w:cs="Times New Roman"/>
                <w:b/>
                <w:color w:val="000000" w:themeColor="text1"/>
                <w:szCs w:val="24"/>
              </w:rPr>
              <w:t xml:space="preserve">For the treatment of brain oedema associated with brain tumours or metastases: </w:t>
            </w:r>
          </w:p>
          <w:p w14:paraId="7E199AE4"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IV, oral: Use at doses ranging from 100 mg to 400 mg per day, depending on the severity of symptoms and individual patient response.</w:t>
            </w:r>
          </w:p>
        </w:tc>
      </w:tr>
      <w:tr w:rsidR="005D59D6" w:rsidRPr="00F10C37" w14:paraId="546EA103" w14:textId="77777777" w:rsidTr="002D6DD7">
        <w:trPr>
          <w:jc w:val="center"/>
        </w:trPr>
        <w:tc>
          <w:tcPr>
            <w:tcW w:w="2880" w:type="dxa"/>
          </w:tcPr>
          <w:p w14:paraId="4A9AEADD"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lastRenderedPageBreak/>
              <w:t>Contraindications</w:t>
            </w:r>
          </w:p>
        </w:tc>
        <w:tc>
          <w:tcPr>
            <w:tcW w:w="6570" w:type="dxa"/>
          </w:tcPr>
          <w:p w14:paraId="3430EFDC"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Hypersensitivity</w:t>
            </w:r>
            <w:r>
              <w:rPr>
                <w:rFonts w:cs="Times New Roman"/>
                <w:color w:val="000000" w:themeColor="text1"/>
                <w:szCs w:val="24"/>
              </w:rPr>
              <w:t xml:space="preserve"> to the drug</w:t>
            </w:r>
            <w:r w:rsidRPr="00F10C37">
              <w:rPr>
                <w:rFonts w:cs="Times New Roman"/>
                <w:color w:val="000000" w:themeColor="text1"/>
                <w:szCs w:val="24"/>
              </w:rPr>
              <w:t>, systemic infection, live virus vaccines</w:t>
            </w:r>
            <w:r>
              <w:rPr>
                <w:rFonts w:cs="Times New Roman"/>
                <w:color w:val="000000" w:themeColor="text1"/>
                <w:szCs w:val="24"/>
              </w:rPr>
              <w:t>,</w:t>
            </w:r>
            <w:r w:rsidRPr="00F10C37">
              <w:rPr>
                <w:rFonts w:cs="Times New Roman"/>
                <w:color w:val="000000" w:themeColor="text1"/>
                <w:szCs w:val="24"/>
              </w:rPr>
              <w:t xml:space="preserve"> in patients receiving immunosuppressive doses.</w:t>
            </w:r>
          </w:p>
        </w:tc>
      </w:tr>
      <w:tr w:rsidR="005D59D6" w:rsidRPr="00F10C37" w14:paraId="38E02145" w14:textId="77777777" w:rsidTr="002D6DD7">
        <w:trPr>
          <w:jc w:val="center"/>
        </w:trPr>
        <w:tc>
          <w:tcPr>
            <w:tcW w:w="2880" w:type="dxa"/>
          </w:tcPr>
          <w:p w14:paraId="3323E4FB"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Drug interactions</w:t>
            </w:r>
          </w:p>
        </w:tc>
        <w:tc>
          <w:tcPr>
            <w:tcW w:w="6570" w:type="dxa"/>
          </w:tcPr>
          <w:p w14:paraId="03143273"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 xml:space="preserve">Acetylsalicylic acid, NSAIDs, amphotericin B, carbamazepine, diuretics, methotrexate, phenobarbital, phenytoin, rifampicin, and warfarin. </w:t>
            </w:r>
          </w:p>
        </w:tc>
      </w:tr>
      <w:tr w:rsidR="005D59D6" w:rsidRPr="00F10C37" w14:paraId="47337FDD" w14:textId="77777777" w:rsidTr="002D6DD7">
        <w:trPr>
          <w:jc w:val="center"/>
        </w:trPr>
        <w:tc>
          <w:tcPr>
            <w:tcW w:w="2880" w:type="dxa"/>
          </w:tcPr>
          <w:p w14:paraId="09693674"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Side effects</w:t>
            </w:r>
          </w:p>
        </w:tc>
        <w:tc>
          <w:tcPr>
            <w:tcW w:w="6570" w:type="dxa"/>
          </w:tcPr>
          <w:p w14:paraId="245AB737"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 xml:space="preserve">Adrenal suppression, increased susceptibility to infection, masking of signs of infection, sodium and water retention, oedema, hypertension, hypokalaemia, hyperglycaemia, dyslipidemia, osteoporosis, fractures, increased appetite, dyspepsia, delayed wound healing, skin atrophy, bruising, acne, hirsutism, growth retardation in children, myopathy, muscle weakness and wasting, fat redistribution, weight gain, amenorrhoea, increased appetite, disturbances of mood and osteonecrosis. </w:t>
            </w:r>
          </w:p>
        </w:tc>
      </w:tr>
      <w:tr w:rsidR="005D59D6" w:rsidRPr="00F10C37" w14:paraId="1D8DE667" w14:textId="77777777" w:rsidTr="002D6DD7">
        <w:trPr>
          <w:jc w:val="center"/>
        </w:trPr>
        <w:tc>
          <w:tcPr>
            <w:tcW w:w="2880" w:type="dxa"/>
          </w:tcPr>
          <w:p w14:paraId="1DBD14AF"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 xml:space="preserve">Cautions </w:t>
            </w:r>
          </w:p>
        </w:tc>
        <w:tc>
          <w:tcPr>
            <w:tcW w:w="6570" w:type="dxa"/>
          </w:tcPr>
          <w:p w14:paraId="79CF376A"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 xml:space="preserve">Adrenal suppression, abrupt withdrawal, peptic ulcer disease, psychiatric disorders, glaucoma, osteoporosis, myasthenia gravis, </w:t>
            </w:r>
            <w:r w:rsidRPr="00F10C37">
              <w:rPr>
                <w:rFonts w:cs="Times New Roman"/>
                <w:color w:val="000000" w:themeColor="text1"/>
                <w:szCs w:val="24"/>
              </w:rPr>
              <w:lastRenderedPageBreak/>
              <w:t>infection, growth restriction, hypertension, congestive heart failure, hepatic impairment, renal impairment, diabetes mellitus, ocular herpes simplex, epilepsy, hypothyroidism, history of steroid myopathy, ulcerative colitis, diverticulitis, recent intestinal anastomoses, thromboembolic disorders, latent TB.</w:t>
            </w:r>
          </w:p>
        </w:tc>
      </w:tr>
      <w:tr w:rsidR="005D59D6" w:rsidRPr="00F10C37" w14:paraId="71058190" w14:textId="77777777" w:rsidTr="002D6DD7">
        <w:trPr>
          <w:jc w:val="center"/>
        </w:trPr>
        <w:tc>
          <w:tcPr>
            <w:tcW w:w="2880" w:type="dxa"/>
          </w:tcPr>
          <w:p w14:paraId="67CCD1DC"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lastRenderedPageBreak/>
              <w:t>Storage condition</w:t>
            </w:r>
          </w:p>
        </w:tc>
        <w:tc>
          <w:tcPr>
            <w:tcW w:w="6570" w:type="dxa"/>
          </w:tcPr>
          <w:p w14:paraId="379BD9F6"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14:ligatures w14:val="standardContextual"/>
              </w:rPr>
              <w:t xml:space="preserve">Store between 15° and 30°C. </w:t>
            </w:r>
          </w:p>
        </w:tc>
      </w:tr>
      <w:tr w:rsidR="005D59D6" w:rsidRPr="00F10C37" w14:paraId="252F0704" w14:textId="77777777" w:rsidTr="002D6DD7">
        <w:trPr>
          <w:jc w:val="center"/>
        </w:trPr>
        <w:tc>
          <w:tcPr>
            <w:tcW w:w="9450" w:type="dxa"/>
            <w:gridSpan w:val="2"/>
          </w:tcPr>
          <w:p w14:paraId="7B487149"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b/>
                <w:bCs/>
                <w:color w:val="000000" w:themeColor="text1"/>
                <w:szCs w:val="24"/>
                <w14:ligatures w14:val="standardContextual"/>
              </w:rPr>
              <w:t>Mesna</w:t>
            </w:r>
          </w:p>
        </w:tc>
      </w:tr>
      <w:tr w:rsidR="005D59D6" w:rsidRPr="00F10C37" w14:paraId="1908FB40" w14:textId="77777777" w:rsidTr="002D6DD7">
        <w:trPr>
          <w:jc w:val="center"/>
        </w:trPr>
        <w:tc>
          <w:tcPr>
            <w:tcW w:w="2880" w:type="dxa"/>
          </w:tcPr>
          <w:p w14:paraId="182CE3EC"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szCs w:val="24"/>
                <w14:ligatures w14:val="standardContextual"/>
              </w:rPr>
              <w:t>Pharmacological class</w:t>
            </w:r>
          </w:p>
        </w:tc>
        <w:tc>
          <w:tcPr>
            <w:tcW w:w="6570" w:type="dxa"/>
          </w:tcPr>
          <w:p w14:paraId="0D308272"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szCs w:val="24"/>
                <w14:ligatures w14:val="standardContextual"/>
              </w:rPr>
              <w:t>Detoxifying agent, uroprotective agent.</w:t>
            </w:r>
          </w:p>
        </w:tc>
      </w:tr>
      <w:tr w:rsidR="005D59D6" w:rsidRPr="00F10C37" w14:paraId="3B439734" w14:textId="77777777" w:rsidTr="002D6DD7">
        <w:trPr>
          <w:jc w:val="center"/>
        </w:trPr>
        <w:tc>
          <w:tcPr>
            <w:tcW w:w="2880" w:type="dxa"/>
          </w:tcPr>
          <w:p w14:paraId="089B83B2"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5117F50B" w14:textId="77777777" w:rsidR="005D59D6" w:rsidRPr="00F10C37" w:rsidRDefault="005D59D6" w:rsidP="002D6DD7">
            <w:pPr>
              <w:jc w:val="both"/>
              <w:rPr>
                <w:rFonts w:cs="Times New Roman"/>
                <w:iCs/>
                <w:szCs w:val="24"/>
              </w:rPr>
            </w:pPr>
            <w:r w:rsidRPr="00F10C37">
              <w:rPr>
                <w:rFonts w:cs="Times New Roman"/>
                <w:iCs/>
                <w:szCs w:val="24"/>
              </w:rPr>
              <w:t>Injection: 100 mg/</w:t>
            </w:r>
            <w:r>
              <w:rPr>
                <w:rFonts w:cs="Times New Roman"/>
                <w:iCs/>
                <w:szCs w:val="24"/>
              </w:rPr>
              <w:t>ml</w:t>
            </w:r>
            <w:r w:rsidRPr="00F10C37">
              <w:rPr>
                <w:rFonts w:cs="Times New Roman"/>
                <w:iCs/>
                <w:szCs w:val="24"/>
              </w:rPr>
              <w:t xml:space="preserve"> in 4 </w:t>
            </w:r>
            <w:r>
              <w:rPr>
                <w:rFonts w:cs="Times New Roman"/>
                <w:iCs/>
                <w:szCs w:val="24"/>
              </w:rPr>
              <w:t>ml</w:t>
            </w:r>
            <w:r w:rsidRPr="00F10C37">
              <w:rPr>
                <w:rFonts w:cs="Times New Roman"/>
                <w:iCs/>
                <w:szCs w:val="24"/>
              </w:rPr>
              <w:t xml:space="preserve"> and 10 </w:t>
            </w:r>
            <w:r>
              <w:rPr>
                <w:rFonts w:cs="Times New Roman"/>
                <w:iCs/>
                <w:szCs w:val="24"/>
              </w:rPr>
              <w:t>ml</w:t>
            </w:r>
            <w:r w:rsidRPr="00F10C37">
              <w:rPr>
                <w:rFonts w:cs="Times New Roman"/>
                <w:iCs/>
                <w:szCs w:val="24"/>
              </w:rPr>
              <w:t xml:space="preserve"> ampoules.</w:t>
            </w:r>
          </w:p>
          <w:p w14:paraId="1F207560" w14:textId="77777777" w:rsidR="005D59D6" w:rsidRPr="00F10C37" w:rsidRDefault="005D59D6" w:rsidP="002D6DD7">
            <w:pPr>
              <w:jc w:val="both"/>
              <w:rPr>
                <w:rFonts w:cs="Times New Roman"/>
                <w:szCs w:val="24"/>
                <w14:ligatures w14:val="standardContextual"/>
              </w:rPr>
            </w:pPr>
            <w:r w:rsidRPr="00F10C37">
              <w:rPr>
                <w:rFonts w:cs="Times New Roman"/>
                <w:iCs/>
                <w:szCs w:val="24"/>
              </w:rPr>
              <w:t>Tablet: 400 mg; 600 mg</w:t>
            </w:r>
          </w:p>
        </w:tc>
      </w:tr>
      <w:tr w:rsidR="005D59D6" w:rsidRPr="00F10C37" w14:paraId="3D52DFF4" w14:textId="77777777" w:rsidTr="002D6DD7">
        <w:trPr>
          <w:jc w:val="center"/>
        </w:trPr>
        <w:tc>
          <w:tcPr>
            <w:tcW w:w="2880" w:type="dxa"/>
          </w:tcPr>
          <w:p w14:paraId="2B0C69A1" w14:textId="77777777" w:rsidR="005D59D6" w:rsidRPr="00243ED7" w:rsidRDefault="005D59D6" w:rsidP="002D6DD7">
            <w:pPr>
              <w:jc w:val="both"/>
              <w:rPr>
                <w:rFonts w:cs="Times New Roman"/>
                <w:szCs w:val="24"/>
                <w14:ligatures w14:val="standardContextual"/>
              </w:rPr>
            </w:pPr>
            <w:r w:rsidRPr="00243ED7">
              <w:rPr>
                <w:rFonts w:cs="Times New Roman"/>
                <w:szCs w:val="24"/>
                <w14:ligatures w14:val="standardContextual"/>
              </w:rPr>
              <w:t>Indications</w:t>
            </w:r>
          </w:p>
        </w:tc>
        <w:tc>
          <w:tcPr>
            <w:tcW w:w="6570" w:type="dxa"/>
          </w:tcPr>
          <w:p w14:paraId="163D00C2" w14:textId="77777777" w:rsidR="005D59D6" w:rsidRPr="00F10C37" w:rsidRDefault="005D59D6" w:rsidP="002D6DD7">
            <w:pPr>
              <w:jc w:val="both"/>
              <w:rPr>
                <w:rFonts w:cs="Times New Roman"/>
                <w:iCs/>
                <w:szCs w:val="24"/>
              </w:rPr>
            </w:pPr>
            <w:r w:rsidRPr="00F10C37">
              <w:rPr>
                <w:rFonts w:cs="Times New Roman"/>
                <w:szCs w:val="24"/>
              </w:rPr>
              <w:t>Prevention of urothelial toxicity, including haemorrhagic cystitis, microhaematuria, and macrohaematuria in patients treated with ifosfamide and cyclophosphamide, in doses considered to be urotoxic.</w:t>
            </w:r>
          </w:p>
        </w:tc>
      </w:tr>
      <w:tr w:rsidR="005D59D6" w:rsidRPr="00F10C37" w14:paraId="131103F2" w14:textId="77777777" w:rsidTr="002D6DD7">
        <w:trPr>
          <w:jc w:val="center"/>
        </w:trPr>
        <w:tc>
          <w:tcPr>
            <w:tcW w:w="2880" w:type="dxa"/>
          </w:tcPr>
          <w:p w14:paraId="2F666670"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0674A584" w14:textId="77777777" w:rsidR="005D59D6" w:rsidRPr="00F10C37" w:rsidRDefault="005D59D6" w:rsidP="002D6DD7">
            <w:pPr>
              <w:jc w:val="both"/>
              <w:rPr>
                <w:rFonts w:cs="Times New Roman"/>
                <w:szCs w:val="24"/>
              </w:rPr>
            </w:pPr>
            <w:r w:rsidRPr="00F10C37">
              <w:rPr>
                <w:rFonts w:cs="Times New Roman"/>
                <w:b/>
                <w:szCs w:val="24"/>
              </w:rPr>
              <w:t xml:space="preserve">Cytotoxic induced urothelial toxicity, </w:t>
            </w:r>
            <w:r w:rsidRPr="00F10C37">
              <w:rPr>
                <w:rFonts w:cs="Times New Roman"/>
                <w:szCs w:val="24"/>
              </w:rPr>
              <w:t>oral or IV:</w:t>
            </w:r>
          </w:p>
          <w:p w14:paraId="43FE6FBA"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Dose to be calculated according to oxazaphosphorine (cyclophosphamide or ifosfamide) treatment. When ifosfamide or cyclophosphamide is used as an IV bolus: IV injection over 15–30 minutes at 20% of the simultaneously administered oxazaphosphorine on a weight-for-weight basis (w/w). The same dose is repeated after 4 and 8 hours. The total dose of mesna is 60% (w/w) of the oxazaphosphorine dose. This is repeated on each occasion that cytotoxic agents are used.  When Ifosfamide is given as a 24-hour infusion, mesna can be used as concurrent infusion with an initial 20% (w/w) of total ifosfamide dose given as IV bolus, then an infusion at 100% (w/w) of the ifosfamide dose over 24 hours followed by a further 12-hour infusion of 60% (w/w) of the ifosfamide dose. Total mesna dose being 180% (w/w) of ifosfamide dose.</w:t>
            </w:r>
          </w:p>
        </w:tc>
      </w:tr>
      <w:tr w:rsidR="005D59D6" w:rsidRPr="00F10C37" w14:paraId="39101ABD" w14:textId="77777777" w:rsidTr="002D6DD7">
        <w:trPr>
          <w:jc w:val="center"/>
        </w:trPr>
        <w:tc>
          <w:tcPr>
            <w:tcW w:w="2880" w:type="dxa"/>
          </w:tcPr>
          <w:p w14:paraId="0ED1186F"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Contraindications</w:t>
            </w:r>
          </w:p>
        </w:tc>
        <w:tc>
          <w:tcPr>
            <w:tcW w:w="6570" w:type="dxa"/>
          </w:tcPr>
          <w:p w14:paraId="06A312AD" w14:textId="77777777" w:rsidR="005D59D6" w:rsidRPr="00F10C37" w:rsidRDefault="005D59D6" w:rsidP="002D6DD7">
            <w:pPr>
              <w:jc w:val="both"/>
              <w:rPr>
                <w:rFonts w:cs="Times New Roman"/>
                <w:b/>
                <w:szCs w:val="24"/>
              </w:rPr>
            </w:pPr>
            <w:r w:rsidRPr="00F10C37">
              <w:rPr>
                <w:rFonts w:cs="Times New Roman"/>
                <w:szCs w:val="24"/>
              </w:rPr>
              <w:t xml:space="preserve">Hypersensitivity to </w:t>
            </w:r>
            <w:r>
              <w:rPr>
                <w:rFonts w:cs="Times New Roman"/>
                <w:szCs w:val="24"/>
              </w:rPr>
              <w:t>the drug</w:t>
            </w:r>
            <w:r w:rsidRPr="00F10C37">
              <w:rPr>
                <w:rFonts w:cs="Times New Roman"/>
                <w:szCs w:val="24"/>
              </w:rPr>
              <w:t xml:space="preserve"> or other thiol compounds.</w:t>
            </w:r>
          </w:p>
        </w:tc>
      </w:tr>
      <w:tr w:rsidR="005D59D6" w:rsidRPr="00F10C37" w14:paraId="2CF6BD0C" w14:textId="77777777" w:rsidTr="002D6DD7">
        <w:trPr>
          <w:jc w:val="center"/>
        </w:trPr>
        <w:tc>
          <w:tcPr>
            <w:tcW w:w="2880" w:type="dxa"/>
          </w:tcPr>
          <w:p w14:paraId="39DE9EBA"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2C7C05C9" w14:textId="77777777" w:rsidR="005D59D6" w:rsidRPr="00F10C37" w:rsidRDefault="005D59D6" w:rsidP="002D6DD7">
            <w:pPr>
              <w:jc w:val="both"/>
              <w:rPr>
                <w:rFonts w:cs="Times New Roman"/>
                <w:szCs w:val="24"/>
              </w:rPr>
            </w:pPr>
            <w:r w:rsidRPr="00F10C37">
              <w:rPr>
                <w:rFonts w:cs="Times New Roman"/>
                <w:szCs w:val="24"/>
              </w:rPr>
              <w:t xml:space="preserve">Drugs that affect renal function or urine pH. </w:t>
            </w:r>
          </w:p>
        </w:tc>
      </w:tr>
      <w:tr w:rsidR="005D59D6" w:rsidRPr="00F10C37" w14:paraId="010D7A3A" w14:textId="77777777" w:rsidTr="002D6DD7">
        <w:trPr>
          <w:jc w:val="center"/>
        </w:trPr>
        <w:tc>
          <w:tcPr>
            <w:tcW w:w="2880" w:type="dxa"/>
          </w:tcPr>
          <w:p w14:paraId="10BF44B6"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Side effects</w:t>
            </w:r>
          </w:p>
        </w:tc>
        <w:tc>
          <w:tcPr>
            <w:tcW w:w="6570" w:type="dxa"/>
          </w:tcPr>
          <w:p w14:paraId="14BBBB4F" w14:textId="77777777" w:rsidR="005D59D6" w:rsidRPr="00F10C37" w:rsidRDefault="005D59D6" w:rsidP="002D6DD7">
            <w:pPr>
              <w:jc w:val="both"/>
              <w:rPr>
                <w:rFonts w:cs="Times New Roman"/>
                <w:szCs w:val="24"/>
              </w:rPr>
            </w:pPr>
            <w:r w:rsidRPr="00F10C37">
              <w:rPr>
                <w:rFonts w:cs="Times New Roman"/>
                <w:szCs w:val="24"/>
              </w:rPr>
              <w:t>Appetite decreased, arthralgia, asthenia, chest pain, chills, concentration impaired conjunctivitis, constipation, cough, dehydration, diarrhoea, dizziness, drowsiness, dry mouth, dyspnoea, dysuria, fever, flatulence, flushing, gastrointestinal discomfort, haemorrhage, headache, hyperhidrosis, influenza like illness, laryngeal discomfort, lymphadenopathy, malaise, mucosal irritation, myalgia, nasal congestion, nausea, oral irritation, pain, palpitations, respiratory disorders, sensation abnormal, skin reactions, sleep disorders, syncope, vision disorders, vomiting.</w:t>
            </w:r>
          </w:p>
        </w:tc>
      </w:tr>
      <w:tr w:rsidR="005D59D6" w:rsidRPr="00F10C37" w14:paraId="0C5F2FEF" w14:textId="77777777" w:rsidTr="002D6DD7">
        <w:trPr>
          <w:jc w:val="center"/>
        </w:trPr>
        <w:tc>
          <w:tcPr>
            <w:tcW w:w="2880" w:type="dxa"/>
          </w:tcPr>
          <w:p w14:paraId="7D16C33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6D4BB4AD" w14:textId="77777777" w:rsidR="005D59D6" w:rsidRPr="00F10C37" w:rsidRDefault="005D59D6" w:rsidP="002D6DD7">
            <w:pPr>
              <w:jc w:val="both"/>
              <w:rPr>
                <w:rFonts w:cs="Times New Roman"/>
                <w:szCs w:val="24"/>
              </w:rPr>
            </w:pPr>
            <w:r w:rsidRPr="00F10C37">
              <w:rPr>
                <w:rFonts w:cs="Times New Roman"/>
                <w:szCs w:val="24"/>
              </w:rPr>
              <w:t>Nephrotoxicity, myelosuppression, or neurotoxicity, benzyl alcohol as preservative, haemorrhagic cystitis, hematuria, treatment with ifosfamide or cyclophosphamide.</w:t>
            </w:r>
          </w:p>
        </w:tc>
      </w:tr>
      <w:tr w:rsidR="005D59D6" w:rsidRPr="00F10C37" w14:paraId="3196E920" w14:textId="77777777" w:rsidTr="002D6DD7">
        <w:trPr>
          <w:jc w:val="center"/>
        </w:trPr>
        <w:tc>
          <w:tcPr>
            <w:tcW w:w="2880" w:type="dxa"/>
          </w:tcPr>
          <w:p w14:paraId="3ABEAAA2"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3FA4D547" w14:textId="77777777" w:rsidR="005D59D6" w:rsidRPr="00F10C37" w:rsidRDefault="005D59D6" w:rsidP="002D6DD7">
            <w:pPr>
              <w:jc w:val="both"/>
              <w:rPr>
                <w:rFonts w:cs="Times New Roman"/>
                <w:szCs w:val="24"/>
              </w:rPr>
            </w:pPr>
            <w:r w:rsidRPr="00F10C37">
              <w:rPr>
                <w:rFonts w:cs="Times New Roman"/>
                <w:szCs w:val="24"/>
              </w:rPr>
              <w:t>Store between 15 °C and 30°C. Protect from light and moisture.</w:t>
            </w:r>
          </w:p>
        </w:tc>
      </w:tr>
      <w:tr w:rsidR="005D59D6" w:rsidRPr="00F10C37" w14:paraId="3B06DCC3" w14:textId="77777777" w:rsidTr="002D6DD7">
        <w:trPr>
          <w:jc w:val="center"/>
        </w:trPr>
        <w:tc>
          <w:tcPr>
            <w:tcW w:w="9450" w:type="dxa"/>
            <w:gridSpan w:val="2"/>
          </w:tcPr>
          <w:p w14:paraId="057A2C6C" w14:textId="77777777" w:rsidR="005D59D6" w:rsidRPr="00F10C37" w:rsidRDefault="005D59D6" w:rsidP="002D6DD7">
            <w:pPr>
              <w:jc w:val="both"/>
              <w:rPr>
                <w:rFonts w:cs="Times New Roman"/>
                <w:szCs w:val="24"/>
              </w:rPr>
            </w:pPr>
            <w:r w:rsidRPr="00F10C37">
              <w:rPr>
                <w:rFonts w:cs="Times New Roman"/>
                <w:b/>
                <w:bCs/>
                <w:color w:val="000000" w:themeColor="text1"/>
                <w:szCs w:val="24"/>
                <w14:ligatures w14:val="standardContextual"/>
              </w:rPr>
              <w:t>Methylprednisolone</w:t>
            </w:r>
          </w:p>
        </w:tc>
      </w:tr>
      <w:tr w:rsidR="005D59D6" w:rsidRPr="00F10C37" w14:paraId="1D8F9FE3" w14:textId="77777777" w:rsidTr="002D6DD7">
        <w:trPr>
          <w:jc w:val="center"/>
        </w:trPr>
        <w:tc>
          <w:tcPr>
            <w:tcW w:w="2880" w:type="dxa"/>
          </w:tcPr>
          <w:p w14:paraId="11500128"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color w:val="000000" w:themeColor="text1"/>
                <w:szCs w:val="24"/>
                <w14:ligatures w14:val="standardContextual"/>
              </w:rPr>
              <w:t>Pharmacological class</w:t>
            </w:r>
          </w:p>
        </w:tc>
        <w:tc>
          <w:tcPr>
            <w:tcW w:w="6570" w:type="dxa"/>
          </w:tcPr>
          <w:p w14:paraId="4549069D" w14:textId="77777777" w:rsidR="005D59D6" w:rsidRPr="00F10C37" w:rsidRDefault="005D59D6" w:rsidP="002D6DD7">
            <w:pPr>
              <w:jc w:val="both"/>
              <w:rPr>
                <w:rFonts w:cs="Times New Roman"/>
                <w:szCs w:val="24"/>
              </w:rPr>
            </w:pPr>
            <w:r w:rsidRPr="00F10C37">
              <w:rPr>
                <w:rFonts w:cs="Times New Roman"/>
                <w:color w:val="000000" w:themeColor="text1"/>
                <w:szCs w:val="24"/>
                <w14:ligatures w14:val="standardContextual"/>
              </w:rPr>
              <w:t>Corticosteroid</w:t>
            </w:r>
          </w:p>
        </w:tc>
      </w:tr>
      <w:tr w:rsidR="005D59D6" w:rsidRPr="00F10C37" w14:paraId="40E52401" w14:textId="77777777" w:rsidTr="002D6DD7">
        <w:trPr>
          <w:jc w:val="center"/>
        </w:trPr>
        <w:tc>
          <w:tcPr>
            <w:tcW w:w="2880" w:type="dxa"/>
          </w:tcPr>
          <w:p w14:paraId="29F57BB1"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Dosage form</w:t>
            </w:r>
          </w:p>
        </w:tc>
        <w:tc>
          <w:tcPr>
            <w:tcW w:w="6570" w:type="dxa"/>
          </w:tcPr>
          <w:p w14:paraId="4996FFEE"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iCs/>
                <w:color w:val="000000" w:themeColor="text1"/>
                <w:szCs w:val="24"/>
              </w:rPr>
              <w:t>Injection: 40 mg/</w:t>
            </w:r>
            <w:r>
              <w:rPr>
                <w:rFonts w:cs="Times New Roman"/>
                <w:iCs/>
                <w:color w:val="000000" w:themeColor="text1"/>
                <w:szCs w:val="24"/>
              </w:rPr>
              <w:t>ml</w:t>
            </w:r>
            <w:r w:rsidRPr="00F10C37">
              <w:rPr>
                <w:rFonts w:cs="Times New Roman"/>
                <w:iCs/>
                <w:color w:val="000000" w:themeColor="text1"/>
                <w:szCs w:val="24"/>
              </w:rPr>
              <w:t xml:space="preserve"> (as sodium succinate) in 1 </w:t>
            </w:r>
            <w:r>
              <w:rPr>
                <w:rFonts w:cs="Times New Roman"/>
                <w:iCs/>
                <w:color w:val="000000" w:themeColor="text1"/>
                <w:szCs w:val="24"/>
              </w:rPr>
              <w:t>ml</w:t>
            </w:r>
            <w:r w:rsidRPr="00F10C37">
              <w:rPr>
                <w:rFonts w:cs="Times New Roman"/>
                <w:iCs/>
                <w:color w:val="000000" w:themeColor="text1"/>
                <w:szCs w:val="24"/>
              </w:rPr>
              <w:t xml:space="preserve"> single-dose vial and 5 </w:t>
            </w:r>
            <w:r>
              <w:rPr>
                <w:rFonts w:cs="Times New Roman"/>
                <w:iCs/>
                <w:color w:val="000000" w:themeColor="text1"/>
                <w:szCs w:val="24"/>
              </w:rPr>
              <w:t>ml</w:t>
            </w:r>
            <w:r w:rsidRPr="00F10C37">
              <w:rPr>
                <w:rFonts w:cs="Times New Roman"/>
                <w:iCs/>
                <w:color w:val="000000" w:themeColor="text1"/>
                <w:szCs w:val="24"/>
              </w:rPr>
              <w:t xml:space="preserve"> multi-dose vials; 80 mg/</w:t>
            </w:r>
            <w:r>
              <w:rPr>
                <w:rFonts w:cs="Times New Roman"/>
                <w:iCs/>
                <w:color w:val="000000" w:themeColor="text1"/>
                <w:szCs w:val="24"/>
              </w:rPr>
              <w:t>ml</w:t>
            </w:r>
            <w:r w:rsidRPr="00F10C37">
              <w:rPr>
                <w:rFonts w:cs="Times New Roman"/>
                <w:iCs/>
                <w:color w:val="000000" w:themeColor="text1"/>
                <w:szCs w:val="24"/>
              </w:rPr>
              <w:t xml:space="preserve"> (as sodium succinate) </w:t>
            </w:r>
            <w:r w:rsidRPr="00F10C37">
              <w:rPr>
                <w:rFonts w:cs="Times New Roman"/>
                <w:iCs/>
                <w:color w:val="000000" w:themeColor="text1"/>
                <w:szCs w:val="24"/>
                <w14:ligatures w14:val="standardContextual"/>
              </w:rPr>
              <w:t xml:space="preserve">in 1 </w:t>
            </w:r>
            <w:r>
              <w:rPr>
                <w:rFonts w:cs="Times New Roman"/>
                <w:iCs/>
                <w:color w:val="000000" w:themeColor="text1"/>
                <w:szCs w:val="24"/>
                <w14:ligatures w14:val="standardContextual"/>
              </w:rPr>
              <w:t>ml</w:t>
            </w:r>
            <w:r w:rsidRPr="00F10C37">
              <w:rPr>
                <w:rFonts w:cs="Times New Roman"/>
                <w:iCs/>
                <w:color w:val="000000" w:themeColor="text1"/>
                <w:szCs w:val="24"/>
                <w14:ligatures w14:val="standardContextual"/>
              </w:rPr>
              <w:t xml:space="preserve"> single-dose vial</w:t>
            </w:r>
          </w:p>
        </w:tc>
      </w:tr>
      <w:tr w:rsidR="005D59D6" w:rsidRPr="00F10C37" w14:paraId="10B45F2F" w14:textId="77777777" w:rsidTr="002D6DD7">
        <w:trPr>
          <w:jc w:val="center"/>
        </w:trPr>
        <w:tc>
          <w:tcPr>
            <w:tcW w:w="2880" w:type="dxa"/>
          </w:tcPr>
          <w:p w14:paraId="31A30C56" w14:textId="77777777" w:rsidR="005D59D6" w:rsidRPr="00243ED7" w:rsidRDefault="005D59D6" w:rsidP="002D6DD7">
            <w:pPr>
              <w:jc w:val="both"/>
              <w:rPr>
                <w:rFonts w:cs="Times New Roman"/>
                <w:color w:val="000000" w:themeColor="text1"/>
                <w:szCs w:val="24"/>
                <w14:ligatures w14:val="standardContextual"/>
              </w:rPr>
            </w:pPr>
            <w:r w:rsidRPr="00243ED7">
              <w:rPr>
                <w:rFonts w:cs="Times New Roman"/>
                <w:color w:val="000000" w:themeColor="text1"/>
                <w:szCs w:val="24"/>
                <w14:ligatures w14:val="standardContextual"/>
              </w:rPr>
              <w:t>Indications</w:t>
            </w:r>
          </w:p>
        </w:tc>
        <w:tc>
          <w:tcPr>
            <w:tcW w:w="6570" w:type="dxa"/>
          </w:tcPr>
          <w:p w14:paraId="571D0E24" w14:textId="77777777" w:rsidR="005D59D6" w:rsidRPr="00F10C37" w:rsidRDefault="005D59D6" w:rsidP="002D6DD7">
            <w:pPr>
              <w:jc w:val="both"/>
              <w:rPr>
                <w:rFonts w:cs="Times New Roman"/>
                <w:iCs/>
                <w:color w:val="000000" w:themeColor="text1"/>
                <w:szCs w:val="24"/>
              </w:rPr>
            </w:pPr>
            <w:r w:rsidRPr="00F10C37">
              <w:rPr>
                <w:rFonts w:cs="Times New Roman"/>
                <w:color w:val="000000" w:themeColor="text1"/>
                <w:szCs w:val="24"/>
              </w:rPr>
              <w:t>Suppression of inflammatory and allergic disorders, management of cancer-related symptoms and complications, control of chemotherapy-induced nausea and vomiting.</w:t>
            </w:r>
          </w:p>
        </w:tc>
      </w:tr>
      <w:tr w:rsidR="005D59D6" w:rsidRPr="00F10C37" w14:paraId="62F80347" w14:textId="77777777" w:rsidTr="002D6DD7">
        <w:trPr>
          <w:jc w:val="center"/>
        </w:trPr>
        <w:tc>
          <w:tcPr>
            <w:tcW w:w="2880" w:type="dxa"/>
          </w:tcPr>
          <w:p w14:paraId="72B45B53"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Dose and administration</w:t>
            </w:r>
          </w:p>
        </w:tc>
        <w:tc>
          <w:tcPr>
            <w:tcW w:w="6570" w:type="dxa"/>
          </w:tcPr>
          <w:p w14:paraId="0C206369" w14:textId="77777777" w:rsidR="005D59D6" w:rsidRPr="00F10C37" w:rsidRDefault="005D59D6" w:rsidP="002D6DD7">
            <w:pPr>
              <w:jc w:val="both"/>
              <w:rPr>
                <w:rFonts w:cs="Times New Roman"/>
                <w:b/>
                <w:color w:val="000000" w:themeColor="text1"/>
                <w:szCs w:val="24"/>
              </w:rPr>
            </w:pPr>
            <w:r w:rsidRPr="00F10C37">
              <w:rPr>
                <w:rFonts w:cs="Times New Roman"/>
                <w:b/>
                <w:color w:val="000000" w:themeColor="text1"/>
                <w:szCs w:val="24"/>
              </w:rPr>
              <w:t xml:space="preserve">Suppression of inflammatory and allergic disorders, cerebral oedema associated with malignancy, </w:t>
            </w:r>
            <w:r w:rsidRPr="00F10C37">
              <w:rPr>
                <w:rFonts w:cs="Times New Roman"/>
                <w:color w:val="000000" w:themeColor="text1"/>
                <w:szCs w:val="24"/>
              </w:rPr>
              <w:t xml:space="preserve">slow IV or IV infusion: </w:t>
            </w:r>
          </w:p>
          <w:p w14:paraId="5192681E"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Initially 10–500 mg, doses can range from 40 mg to 1000 mg per day, depending on the severity of symptoms and individual patient response.</w:t>
            </w:r>
          </w:p>
          <w:p w14:paraId="78B130D8"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Child</w:t>
            </w:r>
            <w:r w:rsidRPr="00F10C37">
              <w:rPr>
                <w:rFonts w:cs="Times New Roman"/>
                <w:color w:val="000000" w:themeColor="text1"/>
                <w:szCs w:val="24"/>
              </w:rPr>
              <w:t>: 0.5–1.7 mg/kg daily in 2–4 divided doses, divide doses depending on condition and response.</w:t>
            </w:r>
          </w:p>
          <w:p w14:paraId="40ABC887"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Suppression of inflammatory and allergic disorders,</w:t>
            </w:r>
            <w:r w:rsidRPr="00F10C37">
              <w:rPr>
                <w:rFonts w:cs="Times New Roman"/>
                <w:b/>
                <w:i/>
                <w:color w:val="000000" w:themeColor="text1"/>
                <w:szCs w:val="24"/>
              </w:rPr>
              <w:t xml:space="preserve"> </w:t>
            </w:r>
            <w:r w:rsidRPr="00F10C37">
              <w:rPr>
                <w:rFonts w:cs="Times New Roman"/>
                <w:color w:val="000000" w:themeColor="text1"/>
                <w:szCs w:val="24"/>
              </w:rPr>
              <w:t xml:space="preserve">deep IM: </w:t>
            </w:r>
          </w:p>
          <w:p w14:paraId="1938B8D7"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40–120 mg, then 40–120 mg after 2–3 weeks if required, to be injected into the gluteal muscle. </w:t>
            </w:r>
          </w:p>
          <w:p w14:paraId="3017C2C2" w14:textId="77777777" w:rsidR="005D59D6" w:rsidRPr="00F10C37" w:rsidRDefault="005D59D6" w:rsidP="002D6DD7">
            <w:pPr>
              <w:jc w:val="both"/>
              <w:rPr>
                <w:rFonts w:cs="Times New Roman"/>
                <w:b/>
                <w:i/>
                <w:color w:val="000000" w:themeColor="text1"/>
                <w:szCs w:val="24"/>
              </w:rPr>
            </w:pPr>
            <w:r w:rsidRPr="00F10C37">
              <w:rPr>
                <w:rFonts w:cs="Times New Roman"/>
                <w:b/>
                <w:color w:val="000000" w:themeColor="text1"/>
                <w:szCs w:val="24"/>
              </w:rPr>
              <w:lastRenderedPageBreak/>
              <w:t>Palliative management of cancer-related symptoms</w:t>
            </w:r>
            <w:r w:rsidRPr="00F10C37">
              <w:rPr>
                <w:rFonts w:cs="Times New Roman"/>
                <w:b/>
                <w:i/>
                <w:color w:val="000000" w:themeColor="text1"/>
                <w:szCs w:val="24"/>
              </w:rPr>
              <w:t xml:space="preserve">, </w:t>
            </w:r>
            <w:r w:rsidRPr="00F10C37">
              <w:rPr>
                <w:rFonts w:cs="Times New Roman"/>
                <w:color w:val="000000" w:themeColor="text1"/>
                <w:szCs w:val="24"/>
              </w:rPr>
              <w:t>slow IV or IV infusion:</w:t>
            </w:r>
            <w:r w:rsidRPr="00F10C37">
              <w:rPr>
                <w:rFonts w:cs="Times New Roman"/>
                <w:b/>
                <w:i/>
                <w:color w:val="000000" w:themeColor="text1"/>
                <w:szCs w:val="24"/>
              </w:rPr>
              <w:t xml:space="preserve"> </w:t>
            </w:r>
          </w:p>
          <w:p w14:paraId="1A975E3A"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Doses may range from 4 mg to 1000 mg per day.</w:t>
            </w:r>
          </w:p>
          <w:p w14:paraId="3C069111"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Note</w:t>
            </w:r>
            <w:r w:rsidRPr="00F10C37">
              <w:rPr>
                <w:rFonts w:cs="Times New Roman"/>
                <w:color w:val="000000" w:themeColor="text1"/>
                <w:szCs w:val="24"/>
              </w:rPr>
              <w:t>: The frequency and duration of use may vary based on the severity of symptoms and individual patient response. The route of administration and dosage should be individualized based on the patient's needs and treatment response.</w:t>
            </w:r>
          </w:p>
        </w:tc>
      </w:tr>
      <w:tr w:rsidR="005D59D6" w:rsidRPr="00F10C37" w14:paraId="3B92F019" w14:textId="77777777" w:rsidTr="002D6DD7">
        <w:trPr>
          <w:jc w:val="center"/>
        </w:trPr>
        <w:tc>
          <w:tcPr>
            <w:tcW w:w="2880" w:type="dxa"/>
          </w:tcPr>
          <w:p w14:paraId="5FA2AD48"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lastRenderedPageBreak/>
              <w:t>Contraindications</w:t>
            </w:r>
          </w:p>
        </w:tc>
        <w:tc>
          <w:tcPr>
            <w:tcW w:w="6570" w:type="dxa"/>
          </w:tcPr>
          <w:p w14:paraId="7EDE91F9" w14:textId="77777777" w:rsidR="005D59D6" w:rsidRPr="00F10C37" w:rsidRDefault="005D59D6" w:rsidP="002D6DD7">
            <w:pPr>
              <w:jc w:val="both"/>
              <w:rPr>
                <w:rFonts w:cs="Times New Roman"/>
                <w:b/>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systemic fungal infections.</w:t>
            </w:r>
          </w:p>
        </w:tc>
      </w:tr>
      <w:tr w:rsidR="005D59D6" w:rsidRPr="00F10C37" w14:paraId="5C1B56FB" w14:textId="77777777" w:rsidTr="002D6DD7">
        <w:trPr>
          <w:jc w:val="center"/>
        </w:trPr>
        <w:tc>
          <w:tcPr>
            <w:tcW w:w="2880" w:type="dxa"/>
          </w:tcPr>
          <w:p w14:paraId="0F11C5A1"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Drug interactions</w:t>
            </w:r>
          </w:p>
        </w:tc>
        <w:tc>
          <w:tcPr>
            <w:tcW w:w="6570" w:type="dxa"/>
          </w:tcPr>
          <w:p w14:paraId="37D75D19"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Antiepileptics, protease inhibitors, macrolides, antifungals, aspirin, NSAIDs, rifampicin.</w:t>
            </w:r>
          </w:p>
        </w:tc>
      </w:tr>
      <w:tr w:rsidR="005D59D6" w:rsidRPr="00F10C37" w14:paraId="6B34C79A" w14:textId="77777777" w:rsidTr="002D6DD7">
        <w:trPr>
          <w:jc w:val="center"/>
        </w:trPr>
        <w:tc>
          <w:tcPr>
            <w:tcW w:w="2880" w:type="dxa"/>
          </w:tcPr>
          <w:p w14:paraId="1FE4BF4A"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Side effects</w:t>
            </w:r>
          </w:p>
        </w:tc>
        <w:tc>
          <w:tcPr>
            <w:tcW w:w="6570" w:type="dxa"/>
          </w:tcPr>
          <w:p w14:paraId="258B4723"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Confusion, delusions, depressed mood, diarrhoea, dizziness, dyslipidaemia, hallucination, hiccups, Kaposi’s sarcoma, lipomatosis, oedema, schizophrenia, suicidal thoughts, vomiting, withdrawal syndrome.</w:t>
            </w:r>
          </w:p>
        </w:tc>
      </w:tr>
      <w:tr w:rsidR="005D59D6" w:rsidRPr="00F10C37" w14:paraId="27D8A19D" w14:textId="77777777" w:rsidTr="002D6DD7">
        <w:trPr>
          <w:jc w:val="center"/>
        </w:trPr>
        <w:tc>
          <w:tcPr>
            <w:tcW w:w="2880" w:type="dxa"/>
          </w:tcPr>
          <w:p w14:paraId="62DA607F"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 xml:space="preserve">Cautions </w:t>
            </w:r>
          </w:p>
        </w:tc>
        <w:tc>
          <w:tcPr>
            <w:tcW w:w="6570" w:type="dxa"/>
          </w:tcPr>
          <w:p w14:paraId="6EB4C439"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Rapid IV administration</w:t>
            </w:r>
            <w:r>
              <w:rPr>
                <w:rFonts w:cs="Times New Roman"/>
                <w:color w:val="000000" w:themeColor="text1"/>
                <w:szCs w:val="24"/>
              </w:rPr>
              <w:t>.</w:t>
            </w:r>
          </w:p>
        </w:tc>
      </w:tr>
      <w:tr w:rsidR="005D59D6" w:rsidRPr="00F10C37" w14:paraId="2F0B7EDF" w14:textId="77777777" w:rsidTr="002D6DD7">
        <w:trPr>
          <w:jc w:val="center"/>
        </w:trPr>
        <w:tc>
          <w:tcPr>
            <w:tcW w:w="2880" w:type="dxa"/>
          </w:tcPr>
          <w:p w14:paraId="3CBCD4E2"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Storage condition</w:t>
            </w:r>
          </w:p>
        </w:tc>
        <w:tc>
          <w:tcPr>
            <w:tcW w:w="6570" w:type="dxa"/>
          </w:tcPr>
          <w:p w14:paraId="333FBB91"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14:ligatures w14:val="standardContextual"/>
              </w:rPr>
              <w:t xml:space="preserve">Store </w:t>
            </w:r>
            <w:r>
              <w:rPr>
                <w:rFonts w:cs="Times New Roman"/>
                <w:color w:val="000000" w:themeColor="text1"/>
                <w:szCs w:val="24"/>
                <w14:ligatures w14:val="standardContextual"/>
              </w:rPr>
              <w:t>between</w:t>
            </w:r>
            <w:r w:rsidRPr="00F10C37">
              <w:rPr>
                <w:rFonts w:cs="Times New Roman"/>
                <w:color w:val="000000" w:themeColor="text1"/>
                <w:szCs w:val="24"/>
                <w14:ligatures w14:val="standardContextual"/>
              </w:rPr>
              <w:t xml:space="preserve"> 15° to 30 °C. Protect from heat, moisture, and light. </w:t>
            </w:r>
          </w:p>
        </w:tc>
      </w:tr>
      <w:tr w:rsidR="005D59D6" w:rsidRPr="00F10C37" w14:paraId="44659E4B" w14:textId="77777777" w:rsidTr="002D6DD7">
        <w:trPr>
          <w:jc w:val="center"/>
        </w:trPr>
        <w:tc>
          <w:tcPr>
            <w:tcW w:w="9450" w:type="dxa"/>
            <w:gridSpan w:val="2"/>
          </w:tcPr>
          <w:p w14:paraId="670EF8A4"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b/>
                <w:bCs/>
                <w:color w:val="000000" w:themeColor="text1"/>
                <w:szCs w:val="24"/>
                <w14:ligatures w14:val="standardContextual"/>
              </w:rPr>
              <w:t>Prednisolone</w:t>
            </w:r>
          </w:p>
        </w:tc>
      </w:tr>
      <w:tr w:rsidR="005D59D6" w:rsidRPr="00F10C37" w14:paraId="3E8D7202" w14:textId="77777777" w:rsidTr="002D6DD7">
        <w:trPr>
          <w:jc w:val="center"/>
        </w:trPr>
        <w:tc>
          <w:tcPr>
            <w:tcW w:w="2880" w:type="dxa"/>
          </w:tcPr>
          <w:p w14:paraId="0976809C"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szCs w:val="24"/>
                <w14:ligatures w14:val="standardContextual"/>
              </w:rPr>
              <w:t>Pharmacological class</w:t>
            </w:r>
          </w:p>
        </w:tc>
        <w:tc>
          <w:tcPr>
            <w:tcW w:w="6570" w:type="dxa"/>
          </w:tcPr>
          <w:p w14:paraId="2230A096"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szCs w:val="24"/>
                <w14:ligatures w14:val="standardContextual"/>
              </w:rPr>
              <w:t>Corticosteroid</w:t>
            </w:r>
          </w:p>
        </w:tc>
      </w:tr>
      <w:tr w:rsidR="005D59D6" w:rsidRPr="00F10C37" w14:paraId="7B4466BA" w14:textId="77777777" w:rsidTr="002D6DD7">
        <w:trPr>
          <w:jc w:val="center"/>
        </w:trPr>
        <w:tc>
          <w:tcPr>
            <w:tcW w:w="2880" w:type="dxa"/>
          </w:tcPr>
          <w:p w14:paraId="535B968F"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7BABD200" w14:textId="77777777" w:rsidR="005D59D6" w:rsidRPr="00F10C37" w:rsidRDefault="005D59D6" w:rsidP="002D6DD7">
            <w:pPr>
              <w:jc w:val="both"/>
              <w:rPr>
                <w:rFonts w:cs="Times New Roman"/>
                <w:iCs/>
                <w:szCs w:val="24"/>
                <w:lang w:val="nb-NO"/>
              </w:rPr>
            </w:pPr>
            <w:r w:rsidRPr="00F10C37">
              <w:rPr>
                <w:rFonts w:cs="Times New Roman"/>
                <w:iCs/>
                <w:szCs w:val="24"/>
                <w:lang w:val="nb-NO"/>
              </w:rPr>
              <w:t>Tablet: 5 mg; 25 mg.</w:t>
            </w:r>
          </w:p>
          <w:p w14:paraId="09A432FA" w14:textId="77777777" w:rsidR="005D59D6" w:rsidRPr="00F10C37" w:rsidRDefault="005D59D6" w:rsidP="002D6DD7">
            <w:pPr>
              <w:jc w:val="both"/>
              <w:rPr>
                <w:rFonts w:cs="Times New Roman"/>
                <w:szCs w:val="24"/>
                <w:lang w:val="nb-NO"/>
                <w14:ligatures w14:val="standardContextual"/>
              </w:rPr>
            </w:pPr>
            <w:r w:rsidRPr="00F10C37">
              <w:rPr>
                <w:rFonts w:cs="Times New Roman"/>
                <w:iCs/>
                <w:szCs w:val="24"/>
                <w:lang w:val="nb-NO"/>
              </w:rPr>
              <w:t>Oral liquid: 5 mg/</w:t>
            </w:r>
            <w:r>
              <w:rPr>
                <w:rFonts w:cs="Times New Roman"/>
                <w:iCs/>
                <w:szCs w:val="24"/>
                <w:lang w:val="nb-NO"/>
              </w:rPr>
              <w:t>ml</w:t>
            </w:r>
          </w:p>
        </w:tc>
      </w:tr>
      <w:tr w:rsidR="005D59D6" w:rsidRPr="00F10C37" w14:paraId="565752F7" w14:textId="77777777" w:rsidTr="002D6DD7">
        <w:trPr>
          <w:jc w:val="center"/>
        </w:trPr>
        <w:tc>
          <w:tcPr>
            <w:tcW w:w="2880" w:type="dxa"/>
          </w:tcPr>
          <w:p w14:paraId="0A25D978" w14:textId="77777777" w:rsidR="005D59D6" w:rsidRPr="003D3E3A" w:rsidRDefault="005D59D6" w:rsidP="002D6DD7">
            <w:pPr>
              <w:jc w:val="both"/>
              <w:rPr>
                <w:rFonts w:cs="Times New Roman"/>
                <w:b/>
                <w:szCs w:val="24"/>
                <w14:ligatures w14:val="standardContextual"/>
              </w:rPr>
            </w:pPr>
            <w:r w:rsidRPr="000674E0">
              <w:rPr>
                <w:rFonts w:cs="Times New Roman"/>
                <w:szCs w:val="24"/>
                <w14:ligatures w14:val="standardContextual"/>
              </w:rPr>
              <w:t>Indications</w:t>
            </w:r>
          </w:p>
        </w:tc>
        <w:tc>
          <w:tcPr>
            <w:tcW w:w="6570" w:type="dxa"/>
          </w:tcPr>
          <w:p w14:paraId="691499A6" w14:textId="77777777" w:rsidR="005D59D6" w:rsidRPr="00F10C37" w:rsidRDefault="005D59D6" w:rsidP="002D6DD7">
            <w:pPr>
              <w:jc w:val="both"/>
              <w:rPr>
                <w:rFonts w:cs="Times New Roman"/>
                <w:iCs/>
                <w:szCs w:val="24"/>
              </w:rPr>
            </w:pPr>
            <w:r w:rsidRPr="00F10C37">
              <w:rPr>
                <w:rFonts w:cs="Times New Roman"/>
                <w:szCs w:val="24"/>
              </w:rPr>
              <w:t>Leukemias and lymphomas</w:t>
            </w:r>
            <w:r>
              <w:rPr>
                <w:rFonts w:cs="Times New Roman"/>
                <w:szCs w:val="24"/>
              </w:rPr>
              <w:t xml:space="preserve">, </w:t>
            </w:r>
            <w:r w:rsidRPr="00F10C37">
              <w:rPr>
                <w:rFonts w:cs="Times New Roman"/>
                <w:szCs w:val="24"/>
              </w:rPr>
              <w:t>suppression of inflammatory and allergic disorders</w:t>
            </w:r>
            <w:r>
              <w:rPr>
                <w:rFonts w:cs="Times New Roman"/>
                <w:szCs w:val="24"/>
              </w:rPr>
              <w:t>.</w:t>
            </w:r>
          </w:p>
        </w:tc>
      </w:tr>
      <w:tr w:rsidR="005D59D6" w:rsidRPr="00F10C37" w14:paraId="0E4AE8CA" w14:textId="77777777" w:rsidTr="002D6DD7">
        <w:trPr>
          <w:jc w:val="center"/>
        </w:trPr>
        <w:tc>
          <w:tcPr>
            <w:tcW w:w="2880" w:type="dxa"/>
          </w:tcPr>
          <w:p w14:paraId="6F16A984"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53721A59" w14:textId="77777777" w:rsidR="005D59D6" w:rsidRPr="00F10C37" w:rsidRDefault="005D59D6" w:rsidP="002D6DD7">
            <w:pPr>
              <w:jc w:val="both"/>
              <w:rPr>
                <w:rFonts w:cs="Times New Roman"/>
                <w:szCs w:val="24"/>
              </w:rPr>
            </w:pPr>
            <w:r w:rsidRPr="00F10C37">
              <w:rPr>
                <w:rFonts w:cs="Times New Roman"/>
                <w:b/>
                <w:szCs w:val="24"/>
              </w:rPr>
              <w:t>Leukaemias and lymphomas</w:t>
            </w:r>
            <w:r w:rsidRPr="00F10C37">
              <w:rPr>
                <w:rFonts w:cs="Times New Roman"/>
                <w:szCs w:val="24"/>
              </w:rPr>
              <w:t xml:space="preserve">, oral: </w:t>
            </w:r>
          </w:p>
          <w:p w14:paraId="5B69A9AA" w14:textId="77777777" w:rsidR="005D59D6" w:rsidRPr="00F10C37" w:rsidRDefault="005D59D6" w:rsidP="002D6DD7">
            <w:pPr>
              <w:jc w:val="both"/>
              <w:rPr>
                <w:rFonts w:cs="Times New Roman"/>
                <w:szCs w:val="24"/>
              </w:rPr>
            </w:pPr>
            <w:r w:rsidRPr="00F10C37">
              <w:rPr>
                <w:rFonts w:cs="Times New Roman"/>
                <w:b/>
                <w:szCs w:val="24"/>
              </w:rPr>
              <w:t>Child ≤ 1 year</w:t>
            </w:r>
            <w:r w:rsidRPr="00F10C37">
              <w:rPr>
                <w:rFonts w:cs="Times New Roman"/>
                <w:szCs w:val="24"/>
              </w:rPr>
              <w:t>: Initially up to 25 mg, then gradually reduced to 5–10 mg daily.</w:t>
            </w:r>
          </w:p>
          <w:p w14:paraId="7F9EB6B8" w14:textId="77777777" w:rsidR="005D59D6" w:rsidRPr="00F10C37" w:rsidRDefault="005D59D6" w:rsidP="002D6DD7">
            <w:pPr>
              <w:jc w:val="both"/>
              <w:rPr>
                <w:rFonts w:cs="Times New Roman"/>
                <w:szCs w:val="24"/>
              </w:rPr>
            </w:pPr>
            <w:r w:rsidRPr="00F10C37">
              <w:rPr>
                <w:rFonts w:cs="Times New Roman"/>
                <w:b/>
                <w:szCs w:val="24"/>
              </w:rPr>
              <w:t>Child 2–7 years</w:t>
            </w:r>
            <w:r w:rsidRPr="00F10C37">
              <w:rPr>
                <w:rFonts w:cs="Times New Roman"/>
                <w:szCs w:val="24"/>
              </w:rPr>
              <w:t>: Initially up to 50 mg daily, then gradually reduced to 10–20 mg daily.</w:t>
            </w:r>
          </w:p>
          <w:p w14:paraId="06D4BA7E" w14:textId="77777777" w:rsidR="005D59D6" w:rsidRPr="00F10C37" w:rsidRDefault="005D59D6" w:rsidP="002D6DD7">
            <w:pPr>
              <w:jc w:val="both"/>
              <w:rPr>
                <w:rFonts w:cs="Times New Roman"/>
                <w:szCs w:val="24"/>
              </w:rPr>
            </w:pPr>
            <w:r w:rsidRPr="00F10C37">
              <w:rPr>
                <w:rFonts w:cs="Times New Roman"/>
                <w:b/>
                <w:szCs w:val="24"/>
              </w:rPr>
              <w:t>Child 8–12 years</w:t>
            </w:r>
            <w:r w:rsidRPr="00F10C37">
              <w:rPr>
                <w:rFonts w:cs="Times New Roman"/>
                <w:szCs w:val="24"/>
              </w:rPr>
              <w:t>: Initially up to 75 mg, then gradually reduced to 15–30 mg daily.</w:t>
            </w:r>
          </w:p>
          <w:p w14:paraId="2A031AD0" w14:textId="77777777" w:rsidR="005D59D6" w:rsidRPr="00F10C37" w:rsidRDefault="005D59D6" w:rsidP="002D6DD7">
            <w:pPr>
              <w:jc w:val="both"/>
              <w:rPr>
                <w:rFonts w:cs="Times New Roman"/>
                <w:szCs w:val="24"/>
              </w:rPr>
            </w:pPr>
            <w:r w:rsidRPr="00F10C37">
              <w:rPr>
                <w:rFonts w:cs="Times New Roman"/>
                <w:b/>
                <w:szCs w:val="24"/>
              </w:rPr>
              <w:t>Adolescent and adult</w:t>
            </w:r>
            <w:r w:rsidRPr="00F10C37">
              <w:rPr>
                <w:rFonts w:cs="Times New Roman"/>
                <w:szCs w:val="24"/>
              </w:rPr>
              <w:t xml:space="preserve">: Initially up to 100 mg daily, then </w:t>
            </w:r>
            <w:r w:rsidRPr="00F10C37">
              <w:rPr>
                <w:rFonts w:cs="Times New Roman"/>
                <w:szCs w:val="24"/>
              </w:rPr>
              <w:lastRenderedPageBreak/>
              <w:t>gradually reduce, if possible to 20–40 mg daily.</w:t>
            </w:r>
          </w:p>
          <w:p w14:paraId="54286964" w14:textId="77777777" w:rsidR="005D59D6" w:rsidRPr="00F10C37" w:rsidRDefault="005D59D6" w:rsidP="002D6DD7">
            <w:pPr>
              <w:jc w:val="both"/>
              <w:rPr>
                <w:rFonts w:cs="Times New Roman"/>
                <w:i/>
                <w:szCs w:val="24"/>
              </w:rPr>
            </w:pPr>
            <w:r w:rsidRPr="00F10C37">
              <w:rPr>
                <w:rFonts w:cs="Times New Roman"/>
                <w:b/>
                <w:szCs w:val="24"/>
              </w:rPr>
              <w:t>Suppression of inflammatory and allergic disorders,</w:t>
            </w:r>
            <w:r w:rsidRPr="00F10C37">
              <w:rPr>
                <w:rFonts w:cs="Times New Roman"/>
                <w:szCs w:val="24"/>
              </w:rPr>
              <w:t xml:space="preserve"> oral:</w:t>
            </w:r>
          </w:p>
          <w:p w14:paraId="2D5FF446"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Initially 10–20 mg daily, dose preferably taken in the morning after breakfast, can often be reduced within a few days but may need to be continued for several weeks or months. For maintenance, 2.5–15 mg daily, higher doses may be needed, cushingoid side effects increasingly likely with doses above 7.5 mg daily.</w:t>
            </w:r>
          </w:p>
          <w:p w14:paraId="552AFE31" w14:textId="77777777" w:rsidR="005D59D6" w:rsidRPr="00F10C37" w:rsidRDefault="005D59D6" w:rsidP="002D6DD7">
            <w:pPr>
              <w:jc w:val="both"/>
              <w:rPr>
                <w:rFonts w:cs="Times New Roman"/>
                <w:szCs w:val="24"/>
              </w:rPr>
            </w:pPr>
            <w:r w:rsidRPr="00F10C37">
              <w:rPr>
                <w:rFonts w:cs="Times New Roman"/>
                <w:b/>
                <w:szCs w:val="24"/>
              </w:rPr>
              <w:t>Suppression of severe inflammatory and allergic disorders</w:t>
            </w:r>
            <w:r w:rsidRPr="00F10C37">
              <w:rPr>
                <w:rFonts w:cs="Times New Roman"/>
                <w:szCs w:val="24"/>
              </w:rPr>
              <w:t xml:space="preserve">, oral: </w:t>
            </w:r>
          </w:p>
          <w:p w14:paraId="6D6672B1"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Initially up to 60 mg daily, dose preferably taken in the morning after breakfast, can often be reduced within a few days but may need to be continued for several weeks or months.</w:t>
            </w:r>
          </w:p>
        </w:tc>
      </w:tr>
      <w:tr w:rsidR="005D59D6" w:rsidRPr="00F10C37" w14:paraId="1C277163" w14:textId="77777777" w:rsidTr="002D6DD7">
        <w:trPr>
          <w:jc w:val="center"/>
        </w:trPr>
        <w:tc>
          <w:tcPr>
            <w:tcW w:w="2880" w:type="dxa"/>
          </w:tcPr>
          <w:p w14:paraId="6AD143DA"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7925046B" w14:textId="77777777" w:rsidR="005D59D6" w:rsidRPr="00F10C37" w:rsidRDefault="005D59D6" w:rsidP="002D6DD7">
            <w:pPr>
              <w:jc w:val="both"/>
              <w:rPr>
                <w:rFonts w:cs="Times New Roman"/>
                <w:b/>
                <w:szCs w:val="24"/>
              </w:rPr>
            </w:pPr>
            <w:r w:rsidRPr="00F10C37">
              <w:rPr>
                <w:rFonts w:cs="Times New Roman"/>
                <w:szCs w:val="24"/>
              </w:rPr>
              <w:t>Untreated bacterial, viral, fungal infections, live virus vaccines.</w:t>
            </w:r>
          </w:p>
        </w:tc>
      </w:tr>
      <w:tr w:rsidR="005D59D6" w:rsidRPr="00F10C37" w14:paraId="23180F3C" w14:textId="77777777" w:rsidTr="002D6DD7">
        <w:trPr>
          <w:jc w:val="center"/>
        </w:trPr>
        <w:tc>
          <w:tcPr>
            <w:tcW w:w="2880" w:type="dxa"/>
          </w:tcPr>
          <w:p w14:paraId="3035A7D3"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157420B9" w14:textId="77777777" w:rsidR="005D59D6" w:rsidRPr="00F10C37" w:rsidRDefault="005D59D6" w:rsidP="002D6DD7">
            <w:pPr>
              <w:jc w:val="both"/>
              <w:rPr>
                <w:rFonts w:cs="Times New Roman"/>
                <w:szCs w:val="24"/>
              </w:rPr>
            </w:pPr>
            <w:r w:rsidRPr="00F10C37">
              <w:rPr>
                <w:rFonts w:cs="Times New Roman"/>
                <w:szCs w:val="24"/>
              </w:rPr>
              <w:t>Antiepileptics, protease inhibitors, macrolides, antifungals, NSAIDs, rifampicin.</w:t>
            </w:r>
          </w:p>
        </w:tc>
      </w:tr>
      <w:tr w:rsidR="005D59D6" w:rsidRPr="00F10C37" w14:paraId="67EDD9FC" w14:textId="77777777" w:rsidTr="002D6DD7">
        <w:trPr>
          <w:jc w:val="center"/>
        </w:trPr>
        <w:tc>
          <w:tcPr>
            <w:tcW w:w="2880" w:type="dxa"/>
          </w:tcPr>
          <w:p w14:paraId="6D0D22D9"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2BFEC58F" w14:textId="77777777" w:rsidR="005D59D6" w:rsidRPr="00F10C37" w:rsidRDefault="005D59D6" w:rsidP="002D6DD7">
            <w:pPr>
              <w:jc w:val="both"/>
              <w:rPr>
                <w:rFonts w:cs="Times New Roman"/>
                <w:szCs w:val="24"/>
              </w:rPr>
            </w:pPr>
            <w:r w:rsidRPr="00F10C37">
              <w:rPr>
                <w:rFonts w:cs="Times New Roman"/>
                <w:szCs w:val="24"/>
              </w:rPr>
              <w:t>Diarrhoea, dizziness, dyslipidaemia, lipomatosis, protein catabolism, scleroderma renal crisis.</w:t>
            </w:r>
          </w:p>
        </w:tc>
      </w:tr>
      <w:tr w:rsidR="005D59D6" w:rsidRPr="00F10C37" w14:paraId="0A734ACB" w14:textId="77777777" w:rsidTr="002D6DD7">
        <w:trPr>
          <w:jc w:val="center"/>
        </w:trPr>
        <w:tc>
          <w:tcPr>
            <w:tcW w:w="2880" w:type="dxa"/>
          </w:tcPr>
          <w:p w14:paraId="2AD08CFD"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1DBD83BA" w14:textId="77777777" w:rsidR="005D59D6" w:rsidRPr="00F10C37" w:rsidRDefault="005D59D6" w:rsidP="002D6DD7">
            <w:pPr>
              <w:jc w:val="both"/>
              <w:rPr>
                <w:rFonts w:cs="Times New Roman"/>
                <w:szCs w:val="24"/>
              </w:rPr>
            </w:pPr>
            <w:r>
              <w:rPr>
                <w:rFonts w:cs="Times New Roman"/>
                <w:szCs w:val="24"/>
              </w:rPr>
              <w:t>Hypertension</w:t>
            </w:r>
            <w:r w:rsidRPr="00F10C37">
              <w:rPr>
                <w:rFonts w:cs="Times New Roman"/>
                <w:szCs w:val="24"/>
              </w:rPr>
              <w:t xml:space="preserve">, fluid and electrolyte </w:t>
            </w:r>
            <w:r>
              <w:rPr>
                <w:rFonts w:cs="Times New Roman"/>
                <w:szCs w:val="24"/>
              </w:rPr>
              <w:t>im</w:t>
            </w:r>
            <w:r w:rsidRPr="00F10C37">
              <w:rPr>
                <w:rFonts w:cs="Times New Roman"/>
                <w:szCs w:val="24"/>
              </w:rPr>
              <w:t xml:space="preserve">balance, </w:t>
            </w:r>
            <w:r>
              <w:rPr>
                <w:rFonts w:cs="Times New Roman"/>
                <w:szCs w:val="24"/>
              </w:rPr>
              <w:t>diabetes,</w:t>
            </w:r>
            <w:r w:rsidRPr="00F10C37">
              <w:rPr>
                <w:rFonts w:cs="Times New Roman"/>
                <w:szCs w:val="24"/>
              </w:rPr>
              <w:t xml:space="preserve"> renal</w:t>
            </w:r>
            <w:r>
              <w:rPr>
                <w:rFonts w:cs="Times New Roman"/>
                <w:szCs w:val="24"/>
              </w:rPr>
              <w:t xml:space="preserve"> impairment</w:t>
            </w:r>
            <w:r w:rsidRPr="00F10C37">
              <w:rPr>
                <w:rFonts w:cs="Times New Roman"/>
                <w:szCs w:val="24"/>
              </w:rPr>
              <w:t>, pregnan</w:t>
            </w:r>
            <w:r>
              <w:rPr>
                <w:rFonts w:cs="Times New Roman"/>
                <w:szCs w:val="24"/>
              </w:rPr>
              <w:t>ncy</w:t>
            </w:r>
            <w:r w:rsidRPr="00F10C37">
              <w:rPr>
                <w:rFonts w:cs="Times New Roman"/>
                <w:szCs w:val="24"/>
              </w:rPr>
              <w:t>, infant</w:t>
            </w:r>
            <w:r>
              <w:rPr>
                <w:rFonts w:cs="Times New Roman"/>
                <w:szCs w:val="24"/>
              </w:rPr>
              <w:t>.</w:t>
            </w:r>
          </w:p>
        </w:tc>
      </w:tr>
      <w:tr w:rsidR="005D59D6" w:rsidRPr="00F10C37" w14:paraId="5C6F5671" w14:textId="77777777" w:rsidTr="002D6DD7">
        <w:trPr>
          <w:jc w:val="center"/>
        </w:trPr>
        <w:tc>
          <w:tcPr>
            <w:tcW w:w="2880" w:type="dxa"/>
          </w:tcPr>
          <w:p w14:paraId="04090785"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69722E83" w14:textId="77777777" w:rsidR="005D59D6" w:rsidRPr="00F10C37" w:rsidRDefault="005D59D6" w:rsidP="002D6DD7">
            <w:pPr>
              <w:jc w:val="both"/>
              <w:rPr>
                <w:rFonts w:cs="Times New Roman"/>
                <w:szCs w:val="24"/>
              </w:rPr>
            </w:pPr>
            <w:r w:rsidRPr="00F10C37">
              <w:rPr>
                <w:rFonts w:cs="Times New Roman"/>
                <w:szCs w:val="24"/>
              </w:rPr>
              <w:t>Store between 15° C and 30°C. Protect from light and moisture.</w:t>
            </w:r>
          </w:p>
        </w:tc>
      </w:tr>
      <w:tr w:rsidR="005D59D6" w:rsidRPr="00F10C37" w14:paraId="5392E83A" w14:textId="77777777" w:rsidTr="002D6DD7">
        <w:trPr>
          <w:jc w:val="center"/>
        </w:trPr>
        <w:tc>
          <w:tcPr>
            <w:tcW w:w="9450" w:type="dxa"/>
            <w:gridSpan w:val="2"/>
          </w:tcPr>
          <w:p w14:paraId="36541ABF" w14:textId="77777777" w:rsidR="005D59D6" w:rsidRPr="00F10C37" w:rsidRDefault="005D59D6" w:rsidP="002D6DD7">
            <w:pPr>
              <w:jc w:val="both"/>
              <w:rPr>
                <w:rFonts w:cs="Times New Roman"/>
                <w:szCs w:val="24"/>
              </w:rPr>
            </w:pPr>
            <w:r w:rsidRPr="00F10C37">
              <w:rPr>
                <w:rFonts w:cs="Times New Roman"/>
                <w:b/>
                <w:color w:val="000000" w:themeColor="text1"/>
                <w:szCs w:val="24"/>
                <w14:ligatures w14:val="standardContextual"/>
              </w:rPr>
              <w:t>Rasburicase</w:t>
            </w:r>
          </w:p>
        </w:tc>
      </w:tr>
      <w:tr w:rsidR="005D59D6" w:rsidRPr="00F10C37" w14:paraId="54B29B9F" w14:textId="77777777" w:rsidTr="002D6DD7">
        <w:trPr>
          <w:jc w:val="center"/>
        </w:trPr>
        <w:tc>
          <w:tcPr>
            <w:tcW w:w="2880" w:type="dxa"/>
          </w:tcPr>
          <w:p w14:paraId="45E3E6EA" w14:textId="77777777" w:rsidR="005D59D6" w:rsidRPr="00F10C37" w:rsidRDefault="005D59D6" w:rsidP="002D6DD7">
            <w:pPr>
              <w:jc w:val="both"/>
              <w:rPr>
                <w:rFonts w:cs="Times New Roman"/>
                <w:b/>
                <w:color w:val="000000" w:themeColor="text1"/>
                <w:szCs w:val="24"/>
                <w14:ligatures w14:val="standardContextual"/>
              </w:rPr>
            </w:pPr>
            <w:r w:rsidRPr="00F10C37">
              <w:rPr>
                <w:rFonts w:cs="Times New Roman"/>
                <w:color w:val="000000" w:themeColor="text1"/>
                <w:szCs w:val="24"/>
                <w14:ligatures w14:val="standardContextual"/>
              </w:rPr>
              <w:t>Pharmacological class</w:t>
            </w:r>
          </w:p>
        </w:tc>
        <w:tc>
          <w:tcPr>
            <w:tcW w:w="6570" w:type="dxa"/>
          </w:tcPr>
          <w:p w14:paraId="531E83C9" w14:textId="77777777" w:rsidR="005D59D6" w:rsidRPr="00F10C37" w:rsidRDefault="005D59D6" w:rsidP="002D6DD7">
            <w:pPr>
              <w:jc w:val="both"/>
              <w:rPr>
                <w:rFonts w:cs="Times New Roman"/>
                <w:szCs w:val="24"/>
              </w:rPr>
            </w:pPr>
            <w:r w:rsidRPr="00F10C37">
              <w:rPr>
                <w:rFonts w:cs="Times New Roman"/>
                <w:color w:val="000000" w:themeColor="text1"/>
                <w:szCs w:val="24"/>
                <w14:ligatures w14:val="standardContextual"/>
              </w:rPr>
              <w:t xml:space="preserve">Detoxifying agents, </w:t>
            </w:r>
            <w:r>
              <w:rPr>
                <w:rFonts w:cs="Times New Roman"/>
                <w:color w:val="000000" w:themeColor="text1"/>
                <w:szCs w:val="24"/>
                <w14:ligatures w14:val="standardContextual"/>
              </w:rPr>
              <w:t>u</w:t>
            </w:r>
            <w:r w:rsidRPr="00F10C37">
              <w:rPr>
                <w:rFonts w:cs="Times New Roman"/>
                <w:color w:val="000000" w:themeColor="text1"/>
                <w:szCs w:val="24"/>
                <w14:ligatures w14:val="standardContextual"/>
              </w:rPr>
              <w:t>rate oxidase.</w:t>
            </w:r>
          </w:p>
        </w:tc>
      </w:tr>
      <w:tr w:rsidR="005D59D6" w:rsidRPr="00F10C37" w14:paraId="662F1ABB" w14:textId="77777777" w:rsidTr="002D6DD7">
        <w:trPr>
          <w:jc w:val="center"/>
        </w:trPr>
        <w:tc>
          <w:tcPr>
            <w:tcW w:w="2880" w:type="dxa"/>
          </w:tcPr>
          <w:p w14:paraId="6309084A"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Dosage form</w:t>
            </w:r>
          </w:p>
        </w:tc>
        <w:tc>
          <w:tcPr>
            <w:tcW w:w="6570" w:type="dxa"/>
          </w:tcPr>
          <w:p w14:paraId="6C8FDD71"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iCs/>
                <w:color w:val="000000" w:themeColor="text1"/>
                <w:szCs w:val="24"/>
              </w:rPr>
              <w:t>Powder for injection: 1.5mg,7.5 mg in vial</w:t>
            </w:r>
          </w:p>
        </w:tc>
      </w:tr>
      <w:tr w:rsidR="005D59D6" w:rsidRPr="00F10C37" w14:paraId="7D7216DE" w14:textId="77777777" w:rsidTr="002D6DD7">
        <w:trPr>
          <w:jc w:val="center"/>
        </w:trPr>
        <w:tc>
          <w:tcPr>
            <w:tcW w:w="2880" w:type="dxa"/>
          </w:tcPr>
          <w:p w14:paraId="38215A51" w14:textId="77777777" w:rsidR="005D59D6" w:rsidRPr="009A59CF" w:rsidRDefault="005D59D6" w:rsidP="002D6DD7">
            <w:pPr>
              <w:jc w:val="both"/>
              <w:rPr>
                <w:rFonts w:cs="Times New Roman"/>
                <w:color w:val="000000" w:themeColor="text1"/>
                <w:szCs w:val="24"/>
                <w14:ligatures w14:val="standardContextual"/>
              </w:rPr>
            </w:pPr>
            <w:r w:rsidRPr="009A59CF">
              <w:rPr>
                <w:rFonts w:cs="Times New Roman"/>
                <w:color w:val="000000" w:themeColor="text1"/>
                <w:szCs w:val="24"/>
                <w14:ligatures w14:val="standardContextual"/>
              </w:rPr>
              <w:t>Indications</w:t>
            </w:r>
          </w:p>
        </w:tc>
        <w:tc>
          <w:tcPr>
            <w:tcW w:w="6570" w:type="dxa"/>
          </w:tcPr>
          <w:p w14:paraId="72929BDB" w14:textId="77777777" w:rsidR="005D59D6" w:rsidRPr="00F10C37" w:rsidRDefault="005D59D6" w:rsidP="002D6DD7">
            <w:pPr>
              <w:jc w:val="both"/>
              <w:rPr>
                <w:rFonts w:cs="Times New Roman"/>
                <w:iCs/>
                <w:color w:val="000000" w:themeColor="text1"/>
                <w:szCs w:val="24"/>
              </w:rPr>
            </w:pPr>
            <w:r w:rsidRPr="00F10C37">
              <w:rPr>
                <w:rFonts w:cs="Times New Roman"/>
                <w:color w:val="000000" w:themeColor="text1"/>
                <w:szCs w:val="24"/>
              </w:rPr>
              <w:t>Prophylaxis and treatment of acute hyperuricemia, before and during initiation of chemotherapy, in patients with haematological malignancy and high tumour burden at risk of rapid lysis.</w:t>
            </w:r>
          </w:p>
        </w:tc>
      </w:tr>
      <w:tr w:rsidR="005D59D6" w:rsidRPr="00F10C37" w14:paraId="4CD5E532" w14:textId="77777777" w:rsidTr="002D6DD7">
        <w:trPr>
          <w:jc w:val="center"/>
        </w:trPr>
        <w:tc>
          <w:tcPr>
            <w:tcW w:w="2880" w:type="dxa"/>
          </w:tcPr>
          <w:p w14:paraId="1CE43BA9"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Dose and administration</w:t>
            </w:r>
          </w:p>
        </w:tc>
        <w:tc>
          <w:tcPr>
            <w:tcW w:w="6570" w:type="dxa"/>
          </w:tcPr>
          <w:p w14:paraId="7AD1835B"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Management of tumor lysis syndrome</w:t>
            </w:r>
            <w:r w:rsidRPr="00F10C37">
              <w:rPr>
                <w:rFonts w:cs="Times New Roman"/>
                <w:color w:val="000000" w:themeColor="text1"/>
                <w:szCs w:val="24"/>
              </w:rPr>
              <w:t xml:space="preserve">, IV infusion: </w:t>
            </w:r>
          </w:p>
          <w:p w14:paraId="52A92667" w14:textId="77777777" w:rsidR="005D59D6" w:rsidRPr="00F10C37" w:rsidRDefault="005D59D6" w:rsidP="002D6DD7">
            <w:pPr>
              <w:jc w:val="both"/>
              <w:rPr>
                <w:rFonts w:cs="Times New Roman"/>
                <w:color w:val="000000" w:themeColor="text1"/>
                <w:szCs w:val="24"/>
              </w:rPr>
            </w:pPr>
            <w:r w:rsidRPr="00F10C37">
              <w:rPr>
                <w:rFonts w:cs="Times New Roman"/>
                <w:b/>
                <w:color w:val="000000" w:themeColor="text1"/>
                <w:szCs w:val="24"/>
              </w:rPr>
              <w:t>Adult</w:t>
            </w:r>
            <w:r w:rsidRPr="00F10C37">
              <w:rPr>
                <w:rFonts w:cs="Times New Roman"/>
                <w:color w:val="000000" w:themeColor="text1"/>
                <w:szCs w:val="24"/>
              </w:rPr>
              <w:t xml:space="preserve">: 0.2mg/kg once daily, administered as a once daily 30-minute IV infusion in 50 </w:t>
            </w:r>
            <w:r>
              <w:rPr>
                <w:rFonts w:cs="Times New Roman"/>
                <w:color w:val="000000" w:themeColor="text1"/>
                <w:szCs w:val="24"/>
              </w:rPr>
              <w:t>ml</w:t>
            </w:r>
            <w:r w:rsidRPr="00F10C37">
              <w:rPr>
                <w:rFonts w:cs="Times New Roman"/>
                <w:color w:val="000000" w:themeColor="text1"/>
                <w:szCs w:val="24"/>
              </w:rPr>
              <w:t xml:space="preserve"> of a sodium chloride 9 mg/</w:t>
            </w:r>
            <w:r>
              <w:rPr>
                <w:rFonts w:cs="Times New Roman"/>
                <w:color w:val="000000" w:themeColor="text1"/>
                <w:szCs w:val="24"/>
              </w:rPr>
              <w:t>ml</w:t>
            </w:r>
            <w:r w:rsidRPr="00F10C37">
              <w:rPr>
                <w:rFonts w:cs="Times New Roman"/>
                <w:color w:val="000000" w:themeColor="text1"/>
                <w:szCs w:val="24"/>
              </w:rPr>
              <w:t xml:space="preserve"> (0.9%) solution, for up to 7 days according to plasma-uric acid </w:t>
            </w:r>
            <w:r w:rsidRPr="00F10C37">
              <w:rPr>
                <w:rFonts w:cs="Times New Roman"/>
                <w:color w:val="000000" w:themeColor="text1"/>
                <w:szCs w:val="24"/>
              </w:rPr>
              <w:lastRenderedPageBreak/>
              <w:t xml:space="preserve">concentration. </w:t>
            </w:r>
          </w:p>
          <w:p w14:paraId="3E33306F" w14:textId="77777777" w:rsidR="005D59D6" w:rsidRPr="00022E00" w:rsidRDefault="005D59D6" w:rsidP="002D6DD7">
            <w:pPr>
              <w:jc w:val="both"/>
              <w:rPr>
                <w:rFonts w:cs="Times New Roman"/>
                <w:i/>
                <w:color w:val="000000" w:themeColor="text1"/>
                <w:szCs w:val="24"/>
              </w:rPr>
            </w:pPr>
            <w:r w:rsidRPr="00022E00">
              <w:rPr>
                <w:rFonts w:cs="Times New Roman"/>
                <w:i/>
                <w:color w:val="000000" w:themeColor="text1"/>
                <w:szCs w:val="24"/>
              </w:rPr>
              <w:t>Note: For IV infusion, it is advised to give intermittently in 0.9% sodium chloride; reconstitute with solvent provided; gently swirl vial without shaking to dissolve; dilute requisite dose to 50ml with infusion fluid and give over 30 minutes.</w:t>
            </w:r>
          </w:p>
        </w:tc>
      </w:tr>
      <w:tr w:rsidR="005D59D6" w:rsidRPr="00F10C37" w14:paraId="62C08590" w14:textId="77777777" w:rsidTr="002D6DD7">
        <w:trPr>
          <w:jc w:val="center"/>
        </w:trPr>
        <w:tc>
          <w:tcPr>
            <w:tcW w:w="2880" w:type="dxa"/>
          </w:tcPr>
          <w:p w14:paraId="44C684F5"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lastRenderedPageBreak/>
              <w:t>Contraindications</w:t>
            </w:r>
          </w:p>
        </w:tc>
        <w:tc>
          <w:tcPr>
            <w:tcW w:w="6570" w:type="dxa"/>
          </w:tcPr>
          <w:p w14:paraId="0EE78406" w14:textId="77777777" w:rsidR="005D59D6" w:rsidRPr="00F10C37" w:rsidRDefault="005D59D6" w:rsidP="002D6DD7">
            <w:pPr>
              <w:jc w:val="both"/>
              <w:rPr>
                <w:rFonts w:cs="Times New Roman"/>
                <w:b/>
                <w:color w:val="000000" w:themeColor="text1"/>
                <w:szCs w:val="24"/>
              </w:rPr>
            </w:pPr>
            <w:r w:rsidRPr="00F10C37">
              <w:rPr>
                <w:rFonts w:cs="Times New Roman"/>
                <w:color w:val="000000" w:themeColor="text1"/>
                <w:szCs w:val="24"/>
              </w:rPr>
              <w:t xml:space="preserve">Hypersensitivity to the </w:t>
            </w:r>
            <w:r>
              <w:rPr>
                <w:rFonts w:cs="Times New Roman"/>
                <w:color w:val="000000" w:themeColor="text1"/>
                <w:szCs w:val="24"/>
              </w:rPr>
              <w:t>drug,</w:t>
            </w:r>
            <w:r w:rsidRPr="00F10C37">
              <w:rPr>
                <w:rFonts w:cs="Times New Roman"/>
                <w:color w:val="000000" w:themeColor="text1"/>
                <w:szCs w:val="24"/>
              </w:rPr>
              <w:t xml:space="preserve"> G6PD deficiency and other cellular metabolic disorders known to cause haemolytic anaemia.</w:t>
            </w:r>
          </w:p>
        </w:tc>
      </w:tr>
      <w:tr w:rsidR="005D59D6" w:rsidRPr="00F10C37" w14:paraId="6FE169FB" w14:textId="77777777" w:rsidTr="002D6DD7">
        <w:trPr>
          <w:jc w:val="center"/>
        </w:trPr>
        <w:tc>
          <w:tcPr>
            <w:tcW w:w="2880" w:type="dxa"/>
          </w:tcPr>
          <w:p w14:paraId="0ED0C5AC"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Drug interactions</w:t>
            </w:r>
          </w:p>
        </w:tc>
        <w:tc>
          <w:tcPr>
            <w:tcW w:w="6570" w:type="dxa"/>
          </w:tcPr>
          <w:p w14:paraId="7A3C2196"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Antacids, calcium, or vitamin supplements.</w:t>
            </w:r>
          </w:p>
        </w:tc>
      </w:tr>
      <w:tr w:rsidR="005D59D6" w:rsidRPr="00F10C37" w14:paraId="4F432CD7" w14:textId="77777777" w:rsidTr="002D6DD7">
        <w:trPr>
          <w:jc w:val="center"/>
        </w:trPr>
        <w:tc>
          <w:tcPr>
            <w:tcW w:w="2880" w:type="dxa"/>
          </w:tcPr>
          <w:p w14:paraId="35ABB101"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Side effects</w:t>
            </w:r>
          </w:p>
        </w:tc>
        <w:tc>
          <w:tcPr>
            <w:tcW w:w="6570" w:type="dxa"/>
          </w:tcPr>
          <w:p w14:paraId="16B23FB8"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Diarrhoea, fever, headache, nausea, skin reactions, vomiting, bronchospasm, haemolysis, haemolytic anaemia, hypersensitivity, hypotension, methaemoglobinaemia, seizure.</w:t>
            </w:r>
          </w:p>
        </w:tc>
      </w:tr>
      <w:tr w:rsidR="005D59D6" w:rsidRPr="00F10C37" w14:paraId="5C5DD3BB" w14:textId="77777777" w:rsidTr="002D6DD7">
        <w:trPr>
          <w:jc w:val="center"/>
        </w:trPr>
        <w:tc>
          <w:tcPr>
            <w:tcW w:w="2880" w:type="dxa"/>
          </w:tcPr>
          <w:p w14:paraId="5F1C1A62"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 xml:space="preserve">Cautions </w:t>
            </w:r>
          </w:p>
        </w:tc>
        <w:tc>
          <w:tcPr>
            <w:tcW w:w="6570" w:type="dxa"/>
          </w:tcPr>
          <w:p w14:paraId="542CF91E"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Atopic allergies, screen patients for G6PD deficiency (immediately and permanently discontinue therapy in any patient developing haemolysis), and adequate hydration.</w:t>
            </w:r>
          </w:p>
        </w:tc>
      </w:tr>
      <w:tr w:rsidR="005D59D6" w:rsidRPr="00F10C37" w14:paraId="635DF883" w14:textId="77777777" w:rsidTr="002D6DD7">
        <w:trPr>
          <w:jc w:val="center"/>
        </w:trPr>
        <w:tc>
          <w:tcPr>
            <w:tcW w:w="2880" w:type="dxa"/>
          </w:tcPr>
          <w:p w14:paraId="169092FD" w14:textId="77777777" w:rsidR="005D59D6" w:rsidRPr="00F10C37" w:rsidRDefault="005D59D6" w:rsidP="002D6DD7">
            <w:pPr>
              <w:jc w:val="both"/>
              <w:rPr>
                <w:rFonts w:cs="Times New Roman"/>
                <w:color w:val="000000" w:themeColor="text1"/>
                <w:szCs w:val="24"/>
                <w14:ligatures w14:val="standardContextual"/>
              </w:rPr>
            </w:pPr>
            <w:r w:rsidRPr="00F10C37">
              <w:rPr>
                <w:rFonts w:cs="Times New Roman"/>
                <w:color w:val="000000" w:themeColor="text1"/>
                <w:szCs w:val="24"/>
                <w14:ligatures w14:val="standardContextual"/>
              </w:rPr>
              <w:t>Storage condition</w:t>
            </w:r>
          </w:p>
        </w:tc>
        <w:tc>
          <w:tcPr>
            <w:tcW w:w="6570" w:type="dxa"/>
          </w:tcPr>
          <w:p w14:paraId="4363B686" w14:textId="77777777" w:rsidR="005D59D6" w:rsidRPr="00F10C37" w:rsidRDefault="005D59D6" w:rsidP="002D6DD7">
            <w:pPr>
              <w:jc w:val="both"/>
              <w:rPr>
                <w:rFonts w:cs="Times New Roman"/>
                <w:color w:val="000000" w:themeColor="text1"/>
                <w:szCs w:val="24"/>
              </w:rPr>
            </w:pPr>
            <w:r w:rsidRPr="00F10C37">
              <w:rPr>
                <w:rFonts w:cs="Times New Roman"/>
                <w:color w:val="000000" w:themeColor="text1"/>
                <w:szCs w:val="24"/>
              </w:rPr>
              <w:t>Store lyophilized product and diluent at 2 °C to 8 °C. Protect from light. Do not freeze. Reconstituted or diluted solution may be stored at 2 °C to 8 °C for up to 24 hours after reconstitution if needed.</w:t>
            </w:r>
          </w:p>
        </w:tc>
      </w:tr>
      <w:tr w:rsidR="005D59D6" w:rsidRPr="00F10C37" w14:paraId="36B5217E" w14:textId="77777777" w:rsidTr="002D6DD7">
        <w:trPr>
          <w:jc w:val="center"/>
        </w:trPr>
        <w:tc>
          <w:tcPr>
            <w:tcW w:w="9450" w:type="dxa"/>
            <w:gridSpan w:val="2"/>
          </w:tcPr>
          <w:p w14:paraId="27139E85" w14:textId="77777777" w:rsidR="005D59D6" w:rsidRPr="00F10C37" w:rsidDel="000838CD" w:rsidRDefault="005D59D6" w:rsidP="002D6DD7">
            <w:pPr>
              <w:jc w:val="both"/>
              <w:rPr>
                <w:rFonts w:cs="Times New Roman"/>
                <w:szCs w:val="24"/>
              </w:rPr>
            </w:pPr>
            <w:r w:rsidRPr="00F10C37">
              <w:rPr>
                <w:rFonts w:cs="Times New Roman"/>
                <w:b/>
                <w:bCs/>
                <w:color w:val="000000" w:themeColor="text1"/>
                <w:szCs w:val="24"/>
                <w14:ligatures w14:val="standardContextual"/>
              </w:rPr>
              <w:t>Zoledronic acid</w:t>
            </w:r>
          </w:p>
        </w:tc>
      </w:tr>
      <w:tr w:rsidR="005D59D6" w:rsidRPr="00F10C37" w14:paraId="315D701D" w14:textId="77777777" w:rsidTr="002D6DD7">
        <w:trPr>
          <w:jc w:val="center"/>
        </w:trPr>
        <w:tc>
          <w:tcPr>
            <w:tcW w:w="2880" w:type="dxa"/>
          </w:tcPr>
          <w:p w14:paraId="5DD2BC0F" w14:textId="77777777" w:rsidR="005D59D6" w:rsidRPr="00F10C37" w:rsidRDefault="005D59D6" w:rsidP="002D6DD7">
            <w:pPr>
              <w:jc w:val="both"/>
              <w:rPr>
                <w:rFonts w:cs="Times New Roman"/>
                <w:b/>
                <w:bCs/>
                <w:color w:val="000000" w:themeColor="text1"/>
                <w:szCs w:val="24"/>
                <w14:ligatures w14:val="standardContextual"/>
              </w:rPr>
            </w:pPr>
            <w:r w:rsidRPr="00F10C37">
              <w:rPr>
                <w:rFonts w:cs="Times New Roman"/>
                <w:szCs w:val="24"/>
                <w14:ligatures w14:val="standardContextual"/>
              </w:rPr>
              <w:t>Pharmacological class</w:t>
            </w:r>
          </w:p>
        </w:tc>
        <w:tc>
          <w:tcPr>
            <w:tcW w:w="6570" w:type="dxa"/>
          </w:tcPr>
          <w:p w14:paraId="78856AC1" w14:textId="77777777" w:rsidR="005D59D6" w:rsidRPr="00F10C37" w:rsidDel="000838CD" w:rsidRDefault="005D59D6" w:rsidP="002D6DD7">
            <w:pPr>
              <w:jc w:val="both"/>
              <w:rPr>
                <w:rFonts w:cs="Times New Roman"/>
                <w:szCs w:val="24"/>
              </w:rPr>
            </w:pPr>
            <w:r w:rsidRPr="00F10C37">
              <w:rPr>
                <w:rFonts w:cs="Times New Roman"/>
                <w:szCs w:val="24"/>
                <w14:ligatures w14:val="standardContextual"/>
              </w:rPr>
              <w:t>Bisphosphonate, antiresorptive agent</w:t>
            </w:r>
          </w:p>
        </w:tc>
      </w:tr>
      <w:tr w:rsidR="005D59D6" w:rsidRPr="00F10C37" w14:paraId="31FE76E3" w14:textId="77777777" w:rsidTr="002D6DD7">
        <w:trPr>
          <w:jc w:val="center"/>
        </w:trPr>
        <w:tc>
          <w:tcPr>
            <w:tcW w:w="2880" w:type="dxa"/>
          </w:tcPr>
          <w:p w14:paraId="68A2E811"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Dosage form</w:t>
            </w:r>
          </w:p>
        </w:tc>
        <w:tc>
          <w:tcPr>
            <w:tcW w:w="6570" w:type="dxa"/>
          </w:tcPr>
          <w:p w14:paraId="4CADC4B8" w14:textId="77777777" w:rsidR="005D59D6" w:rsidRPr="00F10C37" w:rsidRDefault="005D59D6" w:rsidP="002D6DD7">
            <w:pPr>
              <w:jc w:val="both"/>
              <w:rPr>
                <w:rFonts w:cs="Times New Roman"/>
                <w:iCs/>
                <w:szCs w:val="24"/>
              </w:rPr>
            </w:pPr>
            <w:r w:rsidRPr="00F10C37">
              <w:rPr>
                <w:rFonts w:cs="Times New Roman"/>
                <w:iCs/>
                <w:szCs w:val="24"/>
              </w:rPr>
              <w:t xml:space="preserve">Concentrate solution for infusion: 4 mg/5 </w:t>
            </w:r>
            <w:r>
              <w:rPr>
                <w:rFonts w:cs="Times New Roman"/>
                <w:iCs/>
                <w:szCs w:val="24"/>
              </w:rPr>
              <w:t>ml</w:t>
            </w:r>
            <w:r w:rsidRPr="00F10C37">
              <w:rPr>
                <w:rFonts w:cs="Times New Roman"/>
                <w:iCs/>
                <w:szCs w:val="24"/>
              </w:rPr>
              <w:t xml:space="preserve"> in vial.</w:t>
            </w:r>
          </w:p>
          <w:p w14:paraId="416099F1" w14:textId="77777777" w:rsidR="005D59D6" w:rsidRPr="00F10C37" w:rsidRDefault="005D59D6" w:rsidP="002D6DD7">
            <w:pPr>
              <w:jc w:val="both"/>
              <w:rPr>
                <w:rFonts w:cs="Times New Roman"/>
                <w:szCs w:val="24"/>
                <w14:ligatures w14:val="standardContextual"/>
              </w:rPr>
            </w:pPr>
            <w:r w:rsidRPr="00F10C37">
              <w:rPr>
                <w:rFonts w:cs="Times New Roman"/>
                <w:iCs/>
                <w:szCs w:val="24"/>
              </w:rPr>
              <w:t xml:space="preserve">Solution for infusion:  4 mg/100 </w:t>
            </w:r>
            <w:r>
              <w:rPr>
                <w:rFonts w:cs="Times New Roman"/>
                <w:iCs/>
                <w:szCs w:val="24"/>
              </w:rPr>
              <w:t>ml</w:t>
            </w:r>
            <w:r w:rsidRPr="00F10C37">
              <w:rPr>
                <w:rFonts w:cs="Times New Roman"/>
                <w:iCs/>
                <w:szCs w:val="24"/>
              </w:rPr>
              <w:t xml:space="preserve"> in 100 </w:t>
            </w:r>
            <w:r>
              <w:rPr>
                <w:rFonts w:cs="Times New Roman"/>
                <w:iCs/>
                <w:szCs w:val="24"/>
              </w:rPr>
              <w:t>ml</w:t>
            </w:r>
            <w:r w:rsidRPr="00F10C37">
              <w:rPr>
                <w:rFonts w:cs="Times New Roman"/>
                <w:iCs/>
                <w:szCs w:val="24"/>
              </w:rPr>
              <w:t xml:space="preserve"> bottle.</w:t>
            </w:r>
          </w:p>
        </w:tc>
      </w:tr>
      <w:tr w:rsidR="005D59D6" w:rsidRPr="00F10C37" w14:paraId="61B22F5C" w14:textId="77777777" w:rsidTr="002D6DD7">
        <w:trPr>
          <w:jc w:val="center"/>
        </w:trPr>
        <w:tc>
          <w:tcPr>
            <w:tcW w:w="2880" w:type="dxa"/>
          </w:tcPr>
          <w:p w14:paraId="0A23AF1F" w14:textId="77777777" w:rsidR="005D59D6" w:rsidRPr="003D3E3A" w:rsidRDefault="005D59D6" w:rsidP="002D6DD7">
            <w:pPr>
              <w:jc w:val="both"/>
              <w:rPr>
                <w:rFonts w:cs="Times New Roman"/>
                <w:b/>
                <w:szCs w:val="24"/>
                <w14:ligatures w14:val="standardContextual"/>
              </w:rPr>
            </w:pPr>
            <w:r w:rsidRPr="000674E0">
              <w:rPr>
                <w:rFonts w:cs="Times New Roman"/>
                <w:szCs w:val="24"/>
                <w14:ligatures w14:val="standardContextual"/>
              </w:rPr>
              <w:t>Indications</w:t>
            </w:r>
          </w:p>
        </w:tc>
        <w:tc>
          <w:tcPr>
            <w:tcW w:w="6570" w:type="dxa"/>
          </w:tcPr>
          <w:p w14:paraId="1601E4C6" w14:textId="77777777" w:rsidR="005D59D6" w:rsidRPr="00F10C37" w:rsidRDefault="005D59D6" w:rsidP="002D6DD7">
            <w:pPr>
              <w:jc w:val="both"/>
              <w:rPr>
                <w:rFonts w:cs="Times New Roman"/>
                <w:iCs/>
                <w:szCs w:val="24"/>
              </w:rPr>
            </w:pPr>
            <w:r w:rsidRPr="00F10C37">
              <w:rPr>
                <w:rFonts w:cs="Times New Roman"/>
                <w:szCs w:val="24"/>
              </w:rPr>
              <w:t xml:space="preserve">Prevention of skeletal related events (SREs) in advanced malignancies involving bone; tumour-induced hypercalcaemia, multiple </w:t>
            </w:r>
            <w:r>
              <w:rPr>
                <w:rFonts w:cs="Times New Roman"/>
                <w:szCs w:val="24"/>
              </w:rPr>
              <w:t>m</w:t>
            </w:r>
            <w:r w:rsidRPr="00F10C37">
              <w:rPr>
                <w:rFonts w:cs="Times New Roman"/>
                <w:szCs w:val="24"/>
              </w:rPr>
              <w:t>yeloma.</w:t>
            </w:r>
          </w:p>
        </w:tc>
      </w:tr>
      <w:tr w:rsidR="005D59D6" w:rsidRPr="00F10C37" w14:paraId="1EA60510" w14:textId="77777777" w:rsidTr="002D6DD7">
        <w:trPr>
          <w:jc w:val="center"/>
        </w:trPr>
        <w:tc>
          <w:tcPr>
            <w:tcW w:w="2880" w:type="dxa"/>
          </w:tcPr>
          <w:p w14:paraId="0BCFB571"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Dose and administration</w:t>
            </w:r>
          </w:p>
        </w:tc>
        <w:tc>
          <w:tcPr>
            <w:tcW w:w="6570" w:type="dxa"/>
          </w:tcPr>
          <w:p w14:paraId="3A705B6F" w14:textId="77777777" w:rsidR="005D59D6" w:rsidRPr="00F10C37" w:rsidRDefault="005D59D6" w:rsidP="002D6DD7">
            <w:pPr>
              <w:jc w:val="both"/>
              <w:rPr>
                <w:rFonts w:cs="Times New Roman"/>
                <w:szCs w:val="24"/>
              </w:rPr>
            </w:pPr>
            <w:r w:rsidRPr="00F10C37">
              <w:rPr>
                <w:rFonts w:cs="Times New Roman"/>
                <w:b/>
                <w:szCs w:val="24"/>
              </w:rPr>
              <w:t>Prevention of SREs in advanced malignancies involving bone</w:t>
            </w:r>
            <w:r w:rsidRPr="00F10C37">
              <w:rPr>
                <w:rFonts w:cs="Times New Roman"/>
                <w:szCs w:val="24"/>
              </w:rPr>
              <w:t>,</w:t>
            </w:r>
            <w:r w:rsidRPr="00F10C37">
              <w:rPr>
                <w:rFonts w:cs="Times New Roman"/>
                <w:b/>
                <w:i/>
                <w:szCs w:val="24"/>
              </w:rPr>
              <w:t xml:space="preserve"> </w:t>
            </w:r>
            <w:r w:rsidRPr="00F10C37">
              <w:rPr>
                <w:rFonts w:cs="Times New Roman"/>
                <w:szCs w:val="24"/>
              </w:rPr>
              <w:t xml:space="preserve">IV infusion: </w:t>
            </w:r>
          </w:p>
          <w:p w14:paraId="037091B0"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xml:space="preserve">: 4 mg every 3–4 weeks, calcium 500 mg daily and vitamin D 400 units daily should also be taken. </w:t>
            </w:r>
          </w:p>
          <w:p w14:paraId="1091B0AE" w14:textId="77777777" w:rsidR="005D59D6" w:rsidRPr="00F10C37" w:rsidRDefault="005D59D6" w:rsidP="002D6DD7">
            <w:pPr>
              <w:jc w:val="both"/>
              <w:rPr>
                <w:rFonts w:cs="Times New Roman"/>
                <w:szCs w:val="24"/>
              </w:rPr>
            </w:pPr>
            <w:r w:rsidRPr="00F10C37">
              <w:rPr>
                <w:rFonts w:cs="Times New Roman"/>
                <w:b/>
                <w:szCs w:val="24"/>
              </w:rPr>
              <w:t>Tumour-induced hypercalcaemia</w:t>
            </w:r>
            <w:r w:rsidRPr="00F10C37">
              <w:rPr>
                <w:rFonts w:cs="Times New Roman"/>
                <w:szCs w:val="24"/>
              </w:rPr>
              <w:t>,</w:t>
            </w:r>
            <w:r w:rsidRPr="00F10C37">
              <w:rPr>
                <w:rFonts w:cs="Times New Roman"/>
                <w:b/>
                <w:szCs w:val="24"/>
              </w:rPr>
              <w:t xml:space="preserve"> </w:t>
            </w:r>
            <w:r w:rsidRPr="00F10C37">
              <w:rPr>
                <w:rFonts w:cs="Times New Roman"/>
                <w:szCs w:val="24"/>
              </w:rPr>
              <w:t>by IV infusion:</w:t>
            </w:r>
          </w:p>
          <w:p w14:paraId="4033CF57" w14:textId="77777777" w:rsidR="005D59D6" w:rsidRPr="00F10C37" w:rsidRDefault="005D59D6" w:rsidP="002D6DD7">
            <w:pPr>
              <w:jc w:val="both"/>
              <w:rPr>
                <w:rFonts w:cs="Times New Roman"/>
                <w:szCs w:val="24"/>
              </w:rPr>
            </w:pPr>
            <w:r w:rsidRPr="00F10C37">
              <w:rPr>
                <w:rFonts w:cs="Times New Roman"/>
                <w:b/>
                <w:szCs w:val="24"/>
              </w:rPr>
              <w:t>Adult</w:t>
            </w:r>
            <w:r w:rsidRPr="00F10C37">
              <w:rPr>
                <w:rFonts w:cs="Times New Roman"/>
                <w:szCs w:val="24"/>
              </w:rPr>
              <w:t xml:space="preserve">: 4 mg for 1 dose. </w:t>
            </w:r>
          </w:p>
        </w:tc>
      </w:tr>
      <w:tr w:rsidR="005D59D6" w:rsidRPr="00F10C37" w14:paraId="0BC20CCA" w14:textId="77777777" w:rsidTr="002D6DD7">
        <w:trPr>
          <w:jc w:val="center"/>
        </w:trPr>
        <w:tc>
          <w:tcPr>
            <w:tcW w:w="2880" w:type="dxa"/>
          </w:tcPr>
          <w:p w14:paraId="621D0316"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lastRenderedPageBreak/>
              <w:t>Contraindications</w:t>
            </w:r>
          </w:p>
        </w:tc>
        <w:tc>
          <w:tcPr>
            <w:tcW w:w="6570" w:type="dxa"/>
          </w:tcPr>
          <w:p w14:paraId="0E0C5FC0" w14:textId="77777777" w:rsidR="005D59D6" w:rsidRPr="00F10C37" w:rsidRDefault="005D59D6" w:rsidP="002D6DD7">
            <w:pPr>
              <w:jc w:val="both"/>
              <w:rPr>
                <w:rFonts w:cs="Times New Roman"/>
                <w:b/>
                <w:szCs w:val="24"/>
              </w:rPr>
            </w:pPr>
            <w:r w:rsidRPr="00F10C37">
              <w:rPr>
                <w:rFonts w:cs="Times New Roman"/>
                <w:szCs w:val="24"/>
              </w:rPr>
              <w:t xml:space="preserve">Hypersensitivity to the </w:t>
            </w:r>
            <w:r>
              <w:rPr>
                <w:rFonts w:cs="Times New Roman"/>
                <w:szCs w:val="24"/>
              </w:rPr>
              <w:t>drug or other</w:t>
            </w:r>
            <w:r w:rsidRPr="00F10C37">
              <w:rPr>
                <w:rFonts w:cs="Times New Roman"/>
                <w:szCs w:val="24"/>
              </w:rPr>
              <w:t xml:space="preserve"> bisphosphonates, patients with hypocalcaemia, severe renal impairment (CrCl &lt; 35 </w:t>
            </w:r>
            <w:r>
              <w:rPr>
                <w:rFonts w:cs="Times New Roman"/>
                <w:szCs w:val="24"/>
              </w:rPr>
              <w:t>ml</w:t>
            </w:r>
            <w:r w:rsidRPr="00F10C37">
              <w:rPr>
                <w:rFonts w:cs="Times New Roman"/>
                <w:szCs w:val="24"/>
              </w:rPr>
              <w:t>/min), pregnancy and breastfeeding.</w:t>
            </w:r>
          </w:p>
        </w:tc>
      </w:tr>
      <w:tr w:rsidR="005D59D6" w:rsidRPr="00F10C37" w14:paraId="12B3B58C" w14:textId="77777777" w:rsidTr="002D6DD7">
        <w:trPr>
          <w:jc w:val="center"/>
        </w:trPr>
        <w:tc>
          <w:tcPr>
            <w:tcW w:w="2880" w:type="dxa"/>
          </w:tcPr>
          <w:p w14:paraId="2E71522A"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Drug interactions</w:t>
            </w:r>
          </w:p>
        </w:tc>
        <w:tc>
          <w:tcPr>
            <w:tcW w:w="6570" w:type="dxa"/>
          </w:tcPr>
          <w:p w14:paraId="4C69D240" w14:textId="77777777" w:rsidR="005D59D6" w:rsidRPr="00F10C37" w:rsidRDefault="005D59D6" w:rsidP="002D6DD7">
            <w:pPr>
              <w:jc w:val="both"/>
              <w:rPr>
                <w:rFonts w:cs="Times New Roman"/>
                <w:szCs w:val="24"/>
              </w:rPr>
            </w:pPr>
            <w:r w:rsidRPr="00F10C37">
              <w:rPr>
                <w:rFonts w:cs="Times New Roman"/>
                <w:szCs w:val="24"/>
              </w:rPr>
              <w:t>Calcium containing IV fluids, magnesium or phosphorus, bumetamide, furosemide, mineral supplements, amikacin, amphotericin, bacitracin, capreomycin, carboplatin, cephalexin, cefixime,</w:t>
            </w:r>
            <w:r>
              <w:rPr>
                <w:rFonts w:cs="Times New Roman"/>
                <w:szCs w:val="24"/>
              </w:rPr>
              <w:t xml:space="preserve"> </w:t>
            </w:r>
            <w:r w:rsidRPr="00F10C37">
              <w:rPr>
                <w:rFonts w:cs="Times New Roman"/>
                <w:szCs w:val="24"/>
              </w:rPr>
              <w:t>ceftazidime, cisplatin, diclofenac,</w:t>
            </w:r>
            <w:r>
              <w:rPr>
                <w:rFonts w:cs="Times New Roman"/>
                <w:szCs w:val="24"/>
              </w:rPr>
              <w:t xml:space="preserve"> </w:t>
            </w:r>
            <w:r w:rsidRPr="00F10C37">
              <w:rPr>
                <w:rFonts w:cs="Times New Roman"/>
                <w:szCs w:val="24"/>
              </w:rPr>
              <w:t>gentamicin, ibuprofen, gentamicin, indomethacin, meloxicam, methotrexate, oxaliplatin, streptomycin, tacrolimus, trimethoprim, vancomycin, tenofovir, zidovudine.</w:t>
            </w:r>
          </w:p>
        </w:tc>
      </w:tr>
      <w:tr w:rsidR="005D59D6" w:rsidRPr="00F10C37" w14:paraId="71BFAC0B" w14:textId="77777777" w:rsidTr="002D6DD7">
        <w:trPr>
          <w:jc w:val="center"/>
        </w:trPr>
        <w:tc>
          <w:tcPr>
            <w:tcW w:w="2880" w:type="dxa"/>
          </w:tcPr>
          <w:p w14:paraId="13487C9A"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Side effects</w:t>
            </w:r>
          </w:p>
        </w:tc>
        <w:tc>
          <w:tcPr>
            <w:tcW w:w="6570" w:type="dxa"/>
          </w:tcPr>
          <w:p w14:paraId="5EE0D106" w14:textId="77777777" w:rsidR="005D59D6" w:rsidRPr="00F10C37" w:rsidRDefault="005D59D6" w:rsidP="002D6DD7">
            <w:pPr>
              <w:jc w:val="both"/>
              <w:rPr>
                <w:rFonts w:cs="Times New Roman"/>
                <w:szCs w:val="24"/>
              </w:rPr>
            </w:pPr>
            <w:r w:rsidRPr="00F10C37">
              <w:rPr>
                <w:rFonts w:cs="Times New Roman"/>
                <w:szCs w:val="24"/>
              </w:rPr>
              <w:t>Flushing, anaphylactic shock, anxiety, arrhythmias, chest pain, circulatory collapse, cough, drowsiness, dry mouth, dyspnoea, haematuria, hyperhidrosis, hypertension, hypotension, leucopenia, muscle spasms, proteinuria, respiratory disorders, sensation abnormal, sleep disorder, stomatitis, syncope, thrombocytopenia, tremor, vision blurred, and weight increased.</w:t>
            </w:r>
          </w:p>
        </w:tc>
      </w:tr>
      <w:tr w:rsidR="005D59D6" w:rsidRPr="00F10C37" w14:paraId="7A5951EE" w14:textId="77777777" w:rsidTr="002D6DD7">
        <w:trPr>
          <w:jc w:val="center"/>
        </w:trPr>
        <w:tc>
          <w:tcPr>
            <w:tcW w:w="2880" w:type="dxa"/>
          </w:tcPr>
          <w:p w14:paraId="61380C2B"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 xml:space="preserve">Cautions </w:t>
            </w:r>
          </w:p>
        </w:tc>
        <w:tc>
          <w:tcPr>
            <w:tcW w:w="6570" w:type="dxa"/>
          </w:tcPr>
          <w:p w14:paraId="3E37B64C" w14:textId="77777777" w:rsidR="005D59D6" w:rsidRPr="00F10C37" w:rsidRDefault="005D59D6" w:rsidP="002D6DD7">
            <w:pPr>
              <w:jc w:val="both"/>
              <w:rPr>
                <w:rFonts w:cs="Times New Roman"/>
                <w:szCs w:val="24"/>
              </w:rPr>
            </w:pPr>
            <w:r w:rsidRPr="00F10C37">
              <w:rPr>
                <w:rFonts w:cs="Times New Roman"/>
                <w:szCs w:val="24"/>
              </w:rPr>
              <w:t>Atypical femoral fractures, cardiac disease, concomitant medicines that affect renal function, renal impairment.</w:t>
            </w:r>
          </w:p>
        </w:tc>
      </w:tr>
      <w:tr w:rsidR="005D59D6" w:rsidRPr="00F10C37" w14:paraId="2A4DF2F8" w14:textId="77777777" w:rsidTr="002D6DD7">
        <w:trPr>
          <w:jc w:val="center"/>
        </w:trPr>
        <w:tc>
          <w:tcPr>
            <w:tcW w:w="2880" w:type="dxa"/>
          </w:tcPr>
          <w:p w14:paraId="4FA90CDF" w14:textId="77777777" w:rsidR="005D59D6" w:rsidRPr="00F10C37" w:rsidRDefault="005D59D6" w:rsidP="002D6DD7">
            <w:pPr>
              <w:jc w:val="both"/>
              <w:rPr>
                <w:rFonts w:cs="Times New Roman"/>
                <w:szCs w:val="24"/>
                <w14:ligatures w14:val="standardContextual"/>
              </w:rPr>
            </w:pPr>
            <w:r w:rsidRPr="00F10C37">
              <w:rPr>
                <w:rFonts w:cs="Times New Roman"/>
                <w:szCs w:val="24"/>
                <w14:ligatures w14:val="standardContextual"/>
              </w:rPr>
              <w:t>Storage condition</w:t>
            </w:r>
          </w:p>
        </w:tc>
        <w:tc>
          <w:tcPr>
            <w:tcW w:w="6570" w:type="dxa"/>
          </w:tcPr>
          <w:p w14:paraId="235FB921" w14:textId="77777777" w:rsidR="005D59D6" w:rsidRPr="00F10C37" w:rsidRDefault="005D59D6" w:rsidP="002D6DD7">
            <w:pPr>
              <w:jc w:val="both"/>
              <w:rPr>
                <w:rFonts w:cs="Times New Roman"/>
                <w:szCs w:val="24"/>
              </w:rPr>
            </w:pPr>
            <w:r w:rsidRPr="00F10C37">
              <w:rPr>
                <w:rFonts w:cs="Times New Roman"/>
                <w:szCs w:val="24"/>
              </w:rPr>
              <w:t>Store in a refrigerator at 2°C – 8°C but no longer than 24 hours. Once reconstituted, the solution should be used refrigerated at 2-8°C and within 24 hours.</w:t>
            </w:r>
          </w:p>
        </w:tc>
      </w:tr>
    </w:tbl>
    <w:p w14:paraId="0B6ECE9E" w14:textId="77777777" w:rsidR="005D59D6" w:rsidRPr="00F10C37" w:rsidRDefault="005D59D6" w:rsidP="005D59D6">
      <w:pPr>
        <w:spacing w:after="0"/>
        <w:jc w:val="both"/>
        <w:rPr>
          <w:rFonts w:eastAsia="Times New Roman" w:cs="Times New Roman"/>
          <w:iCs/>
          <w:color w:val="000000"/>
          <w:szCs w:val="24"/>
        </w:rPr>
      </w:pPr>
    </w:p>
    <w:p w14:paraId="34F9318E" w14:textId="77777777" w:rsidR="005D59D6" w:rsidRPr="003D3E3A" w:rsidRDefault="005D59D6" w:rsidP="005D59D6">
      <w:pPr>
        <w:spacing w:after="0"/>
        <w:jc w:val="both"/>
        <w:rPr>
          <w:rFonts w:cs="Times New Roman"/>
          <w:szCs w:val="24"/>
        </w:rPr>
      </w:pPr>
      <w:bookmarkStart w:id="185" w:name="_Hlk167007066"/>
    </w:p>
    <w:p w14:paraId="56EEEA3A" w14:textId="77777777" w:rsidR="005D59D6" w:rsidRPr="00F10C37" w:rsidRDefault="005D59D6" w:rsidP="005D59D6">
      <w:pPr>
        <w:spacing w:after="0"/>
        <w:jc w:val="both"/>
        <w:rPr>
          <w:rFonts w:cs="Times New Roman"/>
          <w:szCs w:val="24"/>
        </w:rPr>
      </w:pPr>
    </w:p>
    <w:bookmarkEnd w:id="185"/>
    <w:p w14:paraId="269CA483" w14:textId="77777777" w:rsidR="005D59D6" w:rsidRPr="00F10C37" w:rsidRDefault="005D59D6" w:rsidP="005D59D6">
      <w:pPr>
        <w:spacing w:after="0"/>
        <w:jc w:val="both"/>
        <w:rPr>
          <w:rFonts w:cs="Times New Roman"/>
          <w:color w:val="000000" w:themeColor="text1"/>
          <w:szCs w:val="24"/>
        </w:rPr>
      </w:pPr>
    </w:p>
    <w:p w14:paraId="62600F94" w14:textId="77777777" w:rsidR="005D59D6" w:rsidRDefault="005D59D6" w:rsidP="00E837DD">
      <w:pPr>
        <w:spacing w:after="0"/>
        <w:jc w:val="both"/>
        <w:rPr>
          <w:rFonts w:cs="Times New Roman"/>
          <w:szCs w:val="24"/>
        </w:rPr>
      </w:pPr>
    </w:p>
    <w:p w14:paraId="1A428060" w14:textId="77777777" w:rsidR="005D59D6" w:rsidRDefault="005D59D6" w:rsidP="00E837DD">
      <w:pPr>
        <w:spacing w:after="0"/>
        <w:jc w:val="both"/>
        <w:rPr>
          <w:rFonts w:cs="Times New Roman"/>
          <w:szCs w:val="24"/>
        </w:rPr>
      </w:pPr>
    </w:p>
    <w:p w14:paraId="0443B407" w14:textId="77777777" w:rsidR="005D59D6" w:rsidRDefault="005D59D6" w:rsidP="00E837DD">
      <w:pPr>
        <w:spacing w:after="0"/>
        <w:jc w:val="both"/>
        <w:rPr>
          <w:rFonts w:cs="Times New Roman"/>
          <w:szCs w:val="24"/>
        </w:rPr>
      </w:pPr>
    </w:p>
    <w:p w14:paraId="345E1928" w14:textId="77777777" w:rsidR="005D59D6" w:rsidRDefault="005D59D6" w:rsidP="00E837DD">
      <w:pPr>
        <w:spacing w:after="0"/>
        <w:jc w:val="both"/>
        <w:rPr>
          <w:rFonts w:cs="Times New Roman"/>
          <w:szCs w:val="24"/>
        </w:rPr>
      </w:pPr>
    </w:p>
    <w:p w14:paraId="18F7D83E" w14:textId="77777777" w:rsidR="005D59D6" w:rsidRDefault="005D59D6" w:rsidP="00E837DD">
      <w:pPr>
        <w:spacing w:after="0"/>
        <w:jc w:val="both"/>
        <w:rPr>
          <w:rFonts w:cs="Times New Roman"/>
          <w:szCs w:val="24"/>
        </w:rPr>
      </w:pPr>
    </w:p>
    <w:p w14:paraId="772F8BA7" w14:textId="77777777" w:rsidR="005D59D6" w:rsidRDefault="005D59D6" w:rsidP="00E837DD">
      <w:pPr>
        <w:spacing w:after="0"/>
        <w:jc w:val="both"/>
        <w:rPr>
          <w:rFonts w:cs="Times New Roman"/>
          <w:szCs w:val="24"/>
        </w:rPr>
      </w:pPr>
    </w:p>
    <w:p w14:paraId="760D6A4B" w14:textId="77777777" w:rsidR="005D59D6" w:rsidRDefault="005D59D6" w:rsidP="00E837DD">
      <w:pPr>
        <w:spacing w:after="0"/>
        <w:jc w:val="both"/>
        <w:rPr>
          <w:rFonts w:cs="Times New Roman"/>
          <w:szCs w:val="24"/>
        </w:rPr>
      </w:pPr>
    </w:p>
    <w:p w14:paraId="7BB3BD59" w14:textId="77777777" w:rsidR="005409A9" w:rsidRDefault="005409A9" w:rsidP="00E837DD">
      <w:pPr>
        <w:spacing w:after="0"/>
        <w:jc w:val="both"/>
        <w:rPr>
          <w:rFonts w:cs="Times New Roman"/>
          <w:szCs w:val="24"/>
        </w:rPr>
      </w:pPr>
    </w:p>
    <w:p w14:paraId="3973F425" w14:textId="77777777" w:rsidR="005409A9" w:rsidRDefault="005409A9" w:rsidP="00E837DD">
      <w:pPr>
        <w:spacing w:after="0"/>
        <w:jc w:val="both"/>
        <w:rPr>
          <w:rFonts w:cs="Times New Roman"/>
          <w:szCs w:val="24"/>
        </w:rPr>
      </w:pPr>
    </w:p>
    <w:p w14:paraId="306A102D" w14:textId="77777777" w:rsidR="005409A9" w:rsidRDefault="005409A9" w:rsidP="00E837DD">
      <w:pPr>
        <w:spacing w:after="0"/>
        <w:jc w:val="both"/>
        <w:rPr>
          <w:rFonts w:cs="Times New Roman"/>
          <w:szCs w:val="24"/>
        </w:rPr>
      </w:pPr>
    </w:p>
    <w:p w14:paraId="6FFB54ED" w14:textId="77777777" w:rsidR="005409A9" w:rsidRDefault="005409A9" w:rsidP="00E837DD">
      <w:pPr>
        <w:spacing w:after="0"/>
        <w:jc w:val="both"/>
        <w:rPr>
          <w:rFonts w:cs="Times New Roman"/>
          <w:szCs w:val="24"/>
        </w:rPr>
      </w:pPr>
    </w:p>
    <w:p w14:paraId="17F60C59" w14:textId="77777777" w:rsidR="005409A9" w:rsidRDefault="005409A9" w:rsidP="00E837DD">
      <w:pPr>
        <w:spacing w:after="0"/>
        <w:jc w:val="both"/>
        <w:rPr>
          <w:rFonts w:cs="Times New Roman"/>
          <w:szCs w:val="24"/>
        </w:rPr>
      </w:pPr>
    </w:p>
    <w:p w14:paraId="55447CBC" w14:textId="77777777" w:rsidR="005409A9" w:rsidRDefault="005409A9" w:rsidP="00E837DD">
      <w:pPr>
        <w:spacing w:after="0"/>
        <w:jc w:val="both"/>
        <w:rPr>
          <w:rFonts w:cs="Times New Roman"/>
          <w:szCs w:val="24"/>
        </w:rPr>
      </w:pPr>
    </w:p>
    <w:p w14:paraId="3F72204C" w14:textId="77777777" w:rsidR="00235EBA" w:rsidRPr="00EB59BD" w:rsidRDefault="00CD494D" w:rsidP="00EB59BD">
      <w:pPr>
        <w:pStyle w:val="Heading1"/>
        <w:numPr>
          <w:ilvl w:val="0"/>
          <w:numId w:val="25"/>
        </w:numPr>
        <w:spacing w:after="240"/>
      </w:pPr>
      <w:bookmarkStart w:id="186" w:name="_Toc179490394"/>
      <w:r w:rsidRPr="00EB59BD">
        <w:t xml:space="preserve">Medicines Used </w:t>
      </w:r>
      <w:r w:rsidR="00EB59BD" w:rsidRPr="00EB59BD">
        <w:t>f</w:t>
      </w:r>
      <w:r w:rsidRPr="00EB59BD">
        <w:t>or Benign Prostatic Hyperplasia</w:t>
      </w:r>
      <w:bookmarkEnd w:id="186"/>
    </w:p>
    <w:p w14:paraId="184DE1F2" w14:textId="77777777" w:rsidR="00235EBA" w:rsidRPr="00944B15" w:rsidRDefault="00235EBA" w:rsidP="00235EBA">
      <w:pPr>
        <w:widowControl w:val="0"/>
        <w:autoSpaceDE w:val="0"/>
        <w:autoSpaceDN w:val="0"/>
        <w:spacing w:after="0"/>
        <w:ind w:right="193"/>
        <w:contextualSpacing/>
        <w:jc w:val="both"/>
        <w:rPr>
          <w:rFonts w:eastAsia="Times New Roman" w:cs="Times New Roman"/>
          <w:szCs w:val="24"/>
        </w:rPr>
      </w:pPr>
      <w:r w:rsidRPr="00944B15">
        <w:rPr>
          <w:rFonts w:eastAsia="Times New Roman" w:cs="Times New Roman"/>
          <w:szCs w:val="24"/>
        </w:rPr>
        <w:t>Benign prostatic hyperplasia (BPH) is a common c</w:t>
      </w:r>
      <w:r>
        <w:rPr>
          <w:rFonts w:eastAsia="Times New Roman" w:cs="Times New Roman"/>
          <w:szCs w:val="24"/>
        </w:rPr>
        <w:t>ondition that affects older men.</w:t>
      </w:r>
      <w:r w:rsidRPr="00944B15">
        <w:rPr>
          <w:rFonts w:eastAsia="Times New Roman" w:cs="Times New Roman"/>
          <w:szCs w:val="24"/>
        </w:rPr>
        <w:t xml:space="preserve"> Alpha 1 blockers and 5α-reductase inhibitors</w:t>
      </w:r>
      <w:r>
        <w:rPr>
          <w:rFonts w:eastAsia="Times New Roman" w:cs="Times New Roman"/>
          <w:szCs w:val="24"/>
        </w:rPr>
        <w:t xml:space="preserve"> are the main classes of medications used for management of BPH</w:t>
      </w:r>
      <w:r w:rsidRPr="00944B15">
        <w:rPr>
          <w:rFonts w:eastAsia="Times New Roman" w:cs="Times New Roman"/>
          <w:szCs w:val="24"/>
        </w:rPr>
        <w:t xml:space="preserve">. Alpha 1 </w:t>
      </w:r>
      <w:r w:rsidR="00EB59BD" w:rsidRPr="00944B15">
        <w:rPr>
          <w:rFonts w:eastAsia="Times New Roman" w:cs="Times New Roman"/>
          <w:szCs w:val="24"/>
        </w:rPr>
        <w:t>blocker</w:t>
      </w:r>
      <w:r w:rsidRPr="00944B15">
        <w:rPr>
          <w:rFonts w:eastAsia="Times New Roman" w:cs="Times New Roman"/>
          <w:szCs w:val="24"/>
        </w:rPr>
        <w:t xml:space="preserve"> including</w:t>
      </w:r>
      <w:r>
        <w:rPr>
          <w:rFonts w:eastAsia="Times New Roman" w:cs="Times New Roman"/>
          <w:szCs w:val="24"/>
        </w:rPr>
        <w:t>;</w:t>
      </w:r>
      <w:r w:rsidRPr="00944B15">
        <w:rPr>
          <w:rFonts w:eastAsia="Times New Roman" w:cs="Times New Roman"/>
          <w:szCs w:val="24"/>
        </w:rPr>
        <w:t xml:space="preserve"> alfuzosin, doxazosin, and tamsulosin treat the dynamic component of bladder outlet obstruction. </w:t>
      </w:r>
      <w:r>
        <w:rPr>
          <w:rFonts w:eastAsia="Times New Roman" w:cs="Times New Roman"/>
          <w:szCs w:val="24"/>
        </w:rPr>
        <w:t>Furthermore, t</w:t>
      </w:r>
      <w:r w:rsidRPr="00944B15">
        <w:rPr>
          <w:rFonts w:eastAsia="Times New Roman" w:cs="Times New Roman"/>
          <w:szCs w:val="24"/>
        </w:rPr>
        <w:t xml:space="preserve">hey are short acting and are given once or twice daily. </w:t>
      </w:r>
      <w:r>
        <w:rPr>
          <w:rFonts w:eastAsia="Times New Roman" w:cs="Times New Roman"/>
          <w:szCs w:val="24"/>
        </w:rPr>
        <w:t>On the other hand,</w:t>
      </w:r>
      <w:r w:rsidRPr="00944B15">
        <w:rPr>
          <w:rFonts w:eastAsia="Times New Roman" w:cs="Times New Roman"/>
          <w:szCs w:val="24"/>
        </w:rPr>
        <w:t xml:space="preserve"> </w:t>
      </w:r>
      <w:r>
        <w:rPr>
          <w:rFonts w:eastAsia="Times New Roman" w:cs="Times New Roman"/>
          <w:szCs w:val="24"/>
        </w:rPr>
        <w:t>d</w:t>
      </w:r>
      <w:r w:rsidRPr="00944B15">
        <w:rPr>
          <w:rFonts w:eastAsia="Times New Roman" w:cs="Times New Roman"/>
          <w:szCs w:val="24"/>
        </w:rPr>
        <w:t>utasteride and finasteride are inhibitors of the enzyme 5α-reductase, which metabolizes testosterone to the more potent androgen dihydrotestosterone. This inhibition of testosterone metabolism leads to a reduction in prostate size, with an improvement in the urinary flow rate and obstructive symptoms. They are alternatives to alpha-blockers, particularly in men with significantly enlarged prostate.</w:t>
      </w:r>
    </w:p>
    <w:p w14:paraId="7EE1CEB0" w14:textId="77777777" w:rsidR="00235EBA" w:rsidRPr="00944B15" w:rsidRDefault="00235EBA" w:rsidP="00235EBA">
      <w:pPr>
        <w:widowControl w:val="0"/>
        <w:autoSpaceDE w:val="0"/>
        <w:autoSpaceDN w:val="0"/>
        <w:spacing w:after="0"/>
        <w:ind w:right="193"/>
        <w:contextualSpacing/>
        <w:jc w:val="both"/>
        <w:rPr>
          <w:rFonts w:eastAsia="Times New Roman" w:cs="Times New Roman"/>
          <w:szCs w:val="24"/>
        </w:rPr>
      </w:pPr>
    </w:p>
    <w:tbl>
      <w:tblPr>
        <w:tblStyle w:val="TableGrid1"/>
        <w:tblW w:w="9175" w:type="dxa"/>
        <w:jc w:val="center"/>
        <w:tblLook w:val="04A0" w:firstRow="1" w:lastRow="0" w:firstColumn="1" w:lastColumn="0" w:noHBand="0" w:noVBand="1"/>
      </w:tblPr>
      <w:tblGrid>
        <w:gridCol w:w="2695"/>
        <w:gridCol w:w="6480"/>
      </w:tblGrid>
      <w:tr w:rsidR="00235EBA" w:rsidRPr="00944B15" w14:paraId="54603316" w14:textId="77777777" w:rsidTr="002D6DD7">
        <w:trPr>
          <w:trHeight w:val="356"/>
          <w:jc w:val="center"/>
        </w:trPr>
        <w:tc>
          <w:tcPr>
            <w:tcW w:w="9175" w:type="dxa"/>
            <w:gridSpan w:val="2"/>
            <w:tcBorders>
              <w:top w:val="single" w:sz="4" w:space="0" w:color="auto"/>
              <w:left w:val="single" w:sz="4" w:space="0" w:color="auto"/>
              <w:bottom w:val="single" w:sz="4" w:space="0" w:color="auto"/>
              <w:right w:val="single" w:sz="4" w:space="0" w:color="auto"/>
            </w:tcBorders>
            <w:hideMark/>
          </w:tcPr>
          <w:p w14:paraId="37C3249B" w14:textId="77777777" w:rsidR="00235EBA" w:rsidRPr="00944B15" w:rsidRDefault="00235EBA" w:rsidP="002D6DD7">
            <w:pPr>
              <w:rPr>
                <w:rFonts w:cs="Times New Roman"/>
                <w:b/>
                <w:szCs w:val="24"/>
              </w:rPr>
            </w:pPr>
            <w:r w:rsidRPr="00944B15">
              <w:rPr>
                <w:rFonts w:cs="Times New Roman"/>
                <w:b/>
                <w:szCs w:val="24"/>
              </w:rPr>
              <w:t>Alfuzosin</w:t>
            </w:r>
          </w:p>
        </w:tc>
      </w:tr>
      <w:tr w:rsidR="00235EBA" w:rsidRPr="00944B15" w14:paraId="5C4371F2"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0994B899" w14:textId="77777777" w:rsidR="00235EBA" w:rsidRPr="00944B15" w:rsidRDefault="00235EBA" w:rsidP="002D6DD7">
            <w:pPr>
              <w:rPr>
                <w:rFonts w:cs="Times New Roman"/>
                <w:szCs w:val="24"/>
              </w:rPr>
            </w:pPr>
            <w:r w:rsidRPr="00944B15">
              <w:rPr>
                <w:rFonts w:cs="Times New Roman"/>
                <w:szCs w:val="24"/>
              </w:rPr>
              <w:t>Pharmacologic class</w:t>
            </w:r>
          </w:p>
        </w:tc>
        <w:tc>
          <w:tcPr>
            <w:tcW w:w="6480" w:type="dxa"/>
            <w:tcBorders>
              <w:top w:val="single" w:sz="4" w:space="0" w:color="auto"/>
              <w:left w:val="single" w:sz="4" w:space="0" w:color="auto"/>
              <w:bottom w:val="single" w:sz="4" w:space="0" w:color="auto"/>
              <w:right w:val="single" w:sz="4" w:space="0" w:color="auto"/>
            </w:tcBorders>
          </w:tcPr>
          <w:p w14:paraId="297A84C0" w14:textId="77777777" w:rsidR="00235EBA" w:rsidRPr="00582BBC" w:rsidRDefault="00235EBA" w:rsidP="002D6DD7">
            <w:pPr>
              <w:rPr>
                <w:rFonts w:eastAsia="Times New Roman" w:cs="Times New Roman"/>
                <w:szCs w:val="24"/>
              </w:rPr>
            </w:pPr>
            <w:r w:rsidRPr="00582BBC">
              <w:rPr>
                <w:rFonts w:cs="Times New Roman"/>
                <w:szCs w:val="24"/>
              </w:rPr>
              <w:t>alpha1-selective adrenoceptor blockers</w:t>
            </w:r>
          </w:p>
        </w:tc>
      </w:tr>
      <w:tr w:rsidR="00235EBA" w:rsidRPr="00944B15" w14:paraId="5F696A81"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hideMark/>
          </w:tcPr>
          <w:p w14:paraId="22773399" w14:textId="77777777" w:rsidR="00235EBA" w:rsidRPr="00944B15" w:rsidRDefault="00235EBA" w:rsidP="002D6DD7">
            <w:pPr>
              <w:rPr>
                <w:rFonts w:cs="Times New Roman"/>
                <w:szCs w:val="24"/>
              </w:rPr>
            </w:pPr>
            <w:r w:rsidRPr="00944B15">
              <w:rPr>
                <w:rFonts w:cs="Times New Roman"/>
                <w:szCs w:val="24"/>
              </w:rPr>
              <w:t>Dosage form</w:t>
            </w:r>
          </w:p>
        </w:tc>
        <w:tc>
          <w:tcPr>
            <w:tcW w:w="6480" w:type="dxa"/>
            <w:tcBorders>
              <w:top w:val="single" w:sz="4" w:space="0" w:color="auto"/>
              <w:left w:val="single" w:sz="4" w:space="0" w:color="auto"/>
              <w:bottom w:val="single" w:sz="4" w:space="0" w:color="auto"/>
              <w:right w:val="single" w:sz="4" w:space="0" w:color="auto"/>
            </w:tcBorders>
          </w:tcPr>
          <w:p w14:paraId="52033086" w14:textId="77777777" w:rsidR="00235EBA" w:rsidRPr="00944B15" w:rsidRDefault="00235EBA" w:rsidP="002D6DD7">
            <w:pPr>
              <w:jc w:val="both"/>
              <w:rPr>
                <w:rFonts w:cs="Times New Roman"/>
                <w:szCs w:val="24"/>
              </w:rPr>
            </w:pPr>
            <w:r w:rsidRPr="00944B15">
              <w:rPr>
                <w:rFonts w:cs="Times New Roman"/>
                <w:szCs w:val="24"/>
              </w:rPr>
              <w:t xml:space="preserve">Tablet: </w:t>
            </w:r>
            <w:r>
              <w:rPr>
                <w:rFonts w:cs="Times New Roman"/>
                <w:szCs w:val="24"/>
              </w:rPr>
              <w:t>2.5mg, 5mg,</w:t>
            </w:r>
            <w:r w:rsidRPr="00944B15">
              <w:rPr>
                <w:rFonts w:cs="Times New Roman"/>
                <w:szCs w:val="24"/>
              </w:rPr>
              <w:t xml:space="preserve">10mg </w:t>
            </w:r>
          </w:p>
        </w:tc>
      </w:tr>
      <w:tr w:rsidR="00235EBA" w:rsidRPr="00944B15" w14:paraId="38651CA4"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6A27D14B" w14:textId="77777777" w:rsidR="00235EBA" w:rsidRPr="00944B15" w:rsidRDefault="00235EBA" w:rsidP="002D6DD7">
            <w:pPr>
              <w:rPr>
                <w:rFonts w:cs="Times New Roman"/>
                <w:szCs w:val="24"/>
              </w:rPr>
            </w:pPr>
            <w:r w:rsidRPr="00944B15">
              <w:rPr>
                <w:rFonts w:cs="Times New Roman"/>
                <w:szCs w:val="24"/>
              </w:rPr>
              <w:t>Indications</w:t>
            </w:r>
          </w:p>
        </w:tc>
        <w:tc>
          <w:tcPr>
            <w:tcW w:w="6480" w:type="dxa"/>
            <w:tcBorders>
              <w:top w:val="single" w:sz="4" w:space="0" w:color="auto"/>
              <w:left w:val="single" w:sz="4" w:space="0" w:color="auto"/>
              <w:bottom w:val="single" w:sz="4" w:space="0" w:color="auto"/>
              <w:right w:val="single" w:sz="4" w:space="0" w:color="auto"/>
            </w:tcBorders>
          </w:tcPr>
          <w:p w14:paraId="149522CF" w14:textId="77777777" w:rsidR="00235EBA" w:rsidRPr="00944B15" w:rsidRDefault="00235EBA" w:rsidP="002D6DD7">
            <w:pPr>
              <w:jc w:val="both"/>
              <w:rPr>
                <w:rFonts w:cs="Times New Roman"/>
                <w:szCs w:val="24"/>
              </w:rPr>
            </w:pPr>
            <w:r w:rsidRPr="00944B15">
              <w:rPr>
                <w:rFonts w:cs="Times New Roman"/>
                <w:szCs w:val="24"/>
              </w:rPr>
              <w:t>Benign prostatic hyperplasia, acute urinary retention associated with benign prostatic hyperplasia</w:t>
            </w:r>
            <w:r>
              <w:t xml:space="preserve"> </w:t>
            </w:r>
            <w:r w:rsidRPr="008E204D">
              <w:rPr>
                <w:rFonts w:cs="Times New Roman"/>
                <w:szCs w:val="24"/>
              </w:rPr>
              <w:t>adjunct to catheterization or post catheterization</w:t>
            </w:r>
            <w:r>
              <w:rPr>
                <w:rFonts w:cs="Times New Roman"/>
                <w:szCs w:val="24"/>
              </w:rPr>
              <w:t>.</w:t>
            </w:r>
          </w:p>
        </w:tc>
      </w:tr>
      <w:tr w:rsidR="00235EBA" w:rsidRPr="00944B15" w14:paraId="1DFA6BF3"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1A089752" w14:textId="77777777" w:rsidR="00235EBA" w:rsidRPr="00944B15" w:rsidRDefault="00235EBA"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480" w:type="dxa"/>
            <w:tcBorders>
              <w:top w:val="single" w:sz="4" w:space="0" w:color="auto"/>
              <w:left w:val="single" w:sz="4" w:space="0" w:color="auto"/>
              <w:bottom w:val="single" w:sz="4" w:space="0" w:color="auto"/>
              <w:right w:val="single" w:sz="4" w:space="0" w:color="auto"/>
            </w:tcBorders>
          </w:tcPr>
          <w:p w14:paraId="56A1F32A" w14:textId="77777777" w:rsidR="00235EBA" w:rsidRPr="00944B15" w:rsidRDefault="00235EBA" w:rsidP="002D6DD7">
            <w:pPr>
              <w:jc w:val="both"/>
              <w:rPr>
                <w:rFonts w:cs="Times New Roman"/>
                <w:szCs w:val="24"/>
              </w:rPr>
            </w:pPr>
            <w:r>
              <w:rPr>
                <w:rFonts w:cs="Times New Roman"/>
                <w:b/>
                <w:szCs w:val="24"/>
              </w:rPr>
              <w:t xml:space="preserve">Adult, </w:t>
            </w:r>
            <w:r>
              <w:rPr>
                <w:rFonts w:cs="Times New Roman"/>
                <w:szCs w:val="24"/>
              </w:rPr>
              <w:t>o</w:t>
            </w:r>
            <w:r w:rsidRPr="007D2554">
              <w:rPr>
                <w:rFonts w:cs="Times New Roman"/>
                <w:szCs w:val="24"/>
              </w:rPr>
              <w:t>ral:</w:t>
            </w:r>
            <w:r w:rsidRPr="00944B15">
              <w:rPr>
                <w:rFonts w:cs="Times New Roman"/>
                <w:szCs w:val="24"/>
              </w:rPr>
              <w:t xml:space="preserve"> 10 mg daily, review treatment at 3–6 months and then every 6–12 months (may require several months treatment before benefit is obtained). </w:t>
            </w:r>
          </w:p>
        </w:tc>
      </w:tr>
      <w:tr w:rsidR="00235EBA" w:rsidRPr="00944B15" w14:paraId="4E873FAF"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2B0C0D04" w14:textId="77777777" w:rsidR="00235EBA" w:rsidRPr="00944B15" w:rsidRDefault="00235EBA" w:rsidP="002D6DD7">
            <w:pPr>
              <w:rPr>
                <w:rFonts w:cs="Times New Roman"/>
                <w:szCs w:val="24"/>
              </w:rPr>
            </w:pPr>
            <w:r w:rsidRPr="00944B15">
              <w:rPr>
                <w:rFonts w:cs="Times New Roman"/>
                <w:szCs w:val="24"/>
              </w:rPr>
              <w:t>Contraindications</w:t>
            </w:r>
          </w:p>
        </w:tc>
        <w:tc>
          <w:tcPr>
            <w:tcW w:w="6480" w:type="dxa"/>
            <w:tcBorders>
              <w:top w:val="single" w:sz="4" w:space="0" w:color="auto"/>
              <w:left w:val="single" w:sz="4" w:space="0" w:color="auto"/>
              <w:bottom w:val="single" w:sz="4" w:space="0" w:color="auto"/>
              <w:right w:val="single" w:sz="4" w:space="0" w:color="auto"/>
            </w:tcBorders>
          </w:tcPr>
          <w:p w14:paraId="085C0DBA" w14:textId="77777777" w:rsidR="00235EBA" w:rsidRPr="00944B15" w:rsidRDefault="00235EBA"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history of micturition</w:t>
            </w:r>
            <w:r>
              <w:rPr>
                <w:rFonts w:cs="Times New Roman"/>
                <w:szCs w:val="24"/>
              </w:rPr>
              <w:t>, syncope,</w:t>
            </w:r>
            <w:r w:rsidRPr="00944B15">
              <w:rPr>
                <w:rFonts w:cs="Times New Roman"/>
                <w:szCs w:val="24"/>
              </w:rPr>
              <w:t xml:space="preserve"> history of postural hypotension, hepatic insufficiency</w:t>
            </w:r>
            <w:r>
              <w:rPr>
                <w:rFonts w:cs="Times New Roman"/>
                <w:szCs w:val="24"/>
              </w:rPr>
              <w:t xml:space="preserve"> </w:t>
            </w:r>
            <w:r>
              <w:rPr>
                <w:rFonts w:cs="Times New Roman"/>
                <w:szCs w:val="24"/>
              </w:rPr>
              <w:lastRenderedPageBreak/>
              <w:t>(advanced).</w:t>
            </w:r>
          </w:p>
        </w:tc>
      </w:tr>
      <w:tr w:rsidR="00235EBA" w:rsidRPr="00944B15" w14:paraId="2FEF6661"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35A2EF5F" w14:textId="77777777" w:rsidR="00235EBA" w:rsidRPr="00944B15" w:rsidRDefault="00235EBA" w:rsidP="002D6DD7">
            <w:pPr>
              <w:rPr>
                <w:rFonts w:cs="Times New Roman"/>
                <w:szCs w:val="24"/>
              </w:rPr>
            </w:pPr>
            <w:r w:rsidRPr="00944B15">
              <w:rPr>
                <w:rFonts w:cs="Times New Roman"/>
                <w:szCs w:val="24"/>
              </w:rPr>
              <w:lastRenderedPageBreak/>
              <w:t>Drug interactions</w:t>
            </w:r>
          </w:p>
        </w:tc>
        <w:tc>
          <w:tcPr>
            <w:tcW w:w="6480" w:type="dxa"/>
            <w:tcBorders>
              <w:top w:val="single" w:sz="4" w:space="0" w:color="auto"/>
              <w:left w:val="single" w:sz="4" w:space="0" w:color="auto"/>
              <w:bottom w:val="single" w:sz="4" w:space="0" w:color="auto"/>
              <w:right w:val="single" w:sz="4" w:space="0" w:color="auto"/>
            </w:tcBorders>
          </w:tcPr>
          <w:p w14:paraId="46C5DE56" w14:textId="77777777" w:rsidR="00235EBA" w:rsidRPr="00944B15" w:rsidRDefault="00235EBA" w:rsidP="002D6DD7">
            <w:pPr>
              <w:jc w:val="both"/>
              <w:rPr>
                <w:rFonts w:cs="Times New Roman"/>
                <w:color w:val="111111"/>
                <w:szCs w:val="24"/>
                <w:u w:val="single"/>
                <w:shd w:val="clear" w:color="auto" w:fill="FFFFFF"/>
              </w:rPr>
            </w:pPr>
            <w:r w:rsidRPr="00944B15">
              <w:rPr>
                <w:rFonts w:cs="Times New Roman"/>
                <w:szCs w:val="24"/>
              </w:rPr>
              <w:t>Azole</w:t>
            </w:r>
            <w:r w:rsidRPr="00944B15">
              <w:rPr>
                <w:rFonts w:cs="Times New Roman"/>
                <w:spacing w:val="1"/>
                <w:szCs w:val="24"/>
              </w:rPr>
              <w:t xml:space="preserve"> </w:t>
            </w:r>
            <w:r w:rsidRPr="00944B15">
              <w:rPr>
                <w:rFonts w:cs="Times New Roman"/>
                <w:szCs w:val="24"/>
              </w:rPr>
              <w:t>antifungals (such as ketoconazole),</w:t>
            </w:r>
            <w:r w:rsidRPr="00944B15">
              <w:rPr>
                <w:rFonts w:cs="Times New Roman"/>
                <w:spacing w:val="1"/>
                <w:szCs w:val="24"/>
              </w:rPr>
              <w:t xml:space="preserve"> </w:t>
            </w:r>
            <w:r w:rsidRPr="00944B15">
              <w:rPr>
                <w:rFonts w:cs="Times New Roman"/>
                <w:szCs w:val="24"/>
              </w:rPr>
              <w:t>ciprofloxacin,</w:t>
            </w:r>
            <w:r w:rsidRPr="00944B15">
              <w:rPr>
                <w:rFonts w:cs="Times New Roman"/>
                <w:spacing w:val="1"/>
                <w:szCs w:val="24"/>
              </w:rPr>
              <w:t xml:space="preserve"> </w:t>
            </w:r>
            <w:r w:rsidRPr="00944B15">
              <w:rPr>
                <w:rFonts w:cs="Times New Roman"/>
                <w:szCs w:val="24"/>
              </w:rPr>
              <w:t>clarithromycin, diclofenac, doxycycline, erythromycin, isoniazid,</w:t>
            </w:r>
            <w:r w:rsidRPr="00944B15">
              <w:rPr>
                <w:rFonts w:cs="Times New Roman"/>
                <w:spacing w:val="-57"/>
                <w:szCs w:val="24"/>
              </w:rPr>
              <w:t xml:space="preserve"> </w:t>
            </w:r>
            <w:r w:rsidRPr="00944B15">
              <w:rPr>
                <w:rFonts w:cs="Times New Roman"/>
                <w:szCs w:val="24"/>
              </w:rPr>
              <w:t>propofol,</w:t>
            </w:r>
            <w:r w:rsidRPr="00944B15">
              <w:rPr>
                <w:rFonts w:cs="Times New Roman"/>
                <w:spacing w:val="1"/>
                <w:szCs w:val="24"/>
              </w:rPr>
              <w:t xml:space="preserve"> </w:t>
            </w:r>
            <w:r w:rsidRPr="00944B15">
              <w:rPr>
                <w:rFonts w:cs="Times New Roman"/>
                <w:szCs w:val="24"/>
              </w:rPr>
              <w:t>protease</w:t>
            </w:r>
            <w:r w:rsidRPr="00944B15">
              <w:rPr>
                <w:rFonts w:cs="Times New Roman"/>
                <w:spacing w:val="1"/>
                <w:szCs w:val="24"/>
              </w:rPr>
              <w:t xml:space="preserve"> </w:t>
            </w:r>
            <w:r w:rsidRPr="00944B15">
              <w:rPr>
                <w:rFonts w:cs="Times New Roman"/>
                <w:szCs w:val="24"/>
              </w:rPr>
              <w:t>inhibitors,</w:t>
            </w:r>
            <w:r w:rsidRPr="00944B15">
              <w:rPr>
                <w:rFonts w:cs="Times New Roman"/>
                <w:spacing w:val="1"/>
                <w:szCs w:val="24"/>
              </w:rPr>
              <w:t xml:space="preserve"> </w:t>
            </w:r>
            <w:r w:rsidRPr="00944B15">
              <w:rPr>
                <w:rFonts w:cs="Times New Roman"/>
                <w:szCs w:val="24"/>
              </w:rPr>
              <w:t>quinidine,</w:t>
            </w:r>
            <w:r w:rsidRPr="00944B15">
              <w:rPr>
                <w:rFonts w:cs="Times New Roman"/>
                <w:spacing w:val="1"/>
                <w:szCs w:val="24"/>
              </w:rPr>
              <w:t xml:space="preserve"> </w:t>
            </w:r>
            <w:r w:rsidRPr="00944B15">
              <w:rPr>
                <w:rFonts w:cs="Times New Roman"/>
                <w:szCs w:val="24"/>
              </w:rPr>
              <w:t>verapamil</w:t>
            </w:r>
            <w:r>
              <w:rPr>
                <w:rFonts w:cs="Times New Roman"/>
                <w:spacing w:val="1"/>
                <w:szCs w:val="24"/>
              </w:rPr>
              <w:t xml:space="preserve">, </w:t>
            </w:r>
            <w:r w:rsidRPr="00944B15">
              <w:rPr>
                <w:rFonts w:cs="Times New Roman"/>
                <w:szCs w:val="24"/>
              </w:rPr>
              <w:t>CYP3A4</w:t>
            </w:r>
            <w:r w:rsidRPr="00944B15">
              <w:rPr>
                <w:rFonts w:cs="Times New Roman"/>
                <w:spacing w:val="1"/>
                <w:szCs w:val="24"/>
              </w:rPr>
              <w:t xml:space="preserve"> </w:t>
            </w:r>
            <w:r w:rsidRPr="00944B15">
              <w:rPr>
                <w:rFonts w:cs="Times New Roman"/>
                <w:szCs w:val="24"/>
              </w:rPr>
              <w:t>inhibitors</w:t>
            </w:r>
            <w:r>
              <w:rPr>
                <w:rFonts w:cs="Times New Roman"/>
                <w:szCs w:val="24"/>
              </w:rPr>
              <w:t>,</w:t>
            </w:r>
            <w:r w:rsidRPr="00944B15">
              <w:rPr>
                <w:rFonts w:cs="Times New Roman"/>
                <w:spacing w:val="1"/>
                <w:szCs w:val="24"/>
              </w:rPr>
              <w:t xml:space="preserve"> </w:t>
            </w:r>
            <w:r w:rsidRPr="00944B15">
              <w:rPr>
                <w:rFonts w:cs="Times New Roman"/>
                <w:szCs w:val="24"/>
              </w:rPr>
              <w:t>carbamazepine,</w:t>
            </w:r>
            <w:r w:rsidRPr="00944B15">
              <w:rPr>
                <w:rFonts w:cs="Times New Roman"/>
                <w:spacing w:val="1"/>
                <w:szCs w:val="24"/>
              </w:rPr>
              <w:t xml:space="preserve"> </w:t>
            </w:r>
            <w:r w:rsidRPr="00944B15">
              <w:rPr>
                <w:rFonts w:cs="Times New Roman"/>
                <w:szCs w:val="24"/>
              </w:rPr>
              <w:t>nafcillin, nevirapine, phenobarbital, phenytoin, rifamycins, and</w:t>
            </w:r>
            <w:r w:rsidRPr="00944B15">
              <w:rPr>
                <w:rFonts w:cs="Times New Roman"/>
                <w:spacing w:val="1"/>
                <w:szCs w:val="24"/>
              </w:rPr>
              <w:t xml:space="preserve"> </w:t>
            </w:r>
            <w:r w:rsidRPr="00944B15">
              <w:rPr>
                <w:rFonts w:cs="Times New Roman"/>
                <w:szCs w:val="24"/>
              </w:rPr>
              <w:t>other</w:t>
            </w:r>
            <w:r w:rsidRPr="00944B15">
              <w:rPr>
                <w:rFonts w:cs="Times New Roman"/>
                <w:spacing w:val="1"/>
                <w:szCs w:val="24"/>
              </w:rPr>
              <w:t xml:space="preserve"> </w:t>
            </w:r>
            <w:r w:rsidRPr="00944B15">
              <w:rPr>
                <w:rFonts w:cs="Times New Roman"/>
                <w:szCs w:val="24"/>
              </w:rPr>
              <w:t>CYP3A4</w:t>
            </w:r>
            <w:r w:rsidRPr="00944B15">
              <w:rPr>
                <w:rFonts w:cs="Times New Roman"/>
                <w:spacing w:val="1"/>
                <w:szCs w:val="24"/>
              </w:rPr>
              <w:t xml:space="preserve"> </w:t>
            </w:r>
            <w:r w:rsidRPr="00944B15">
              <w:rPr>
                <w:rFonts w:cs="Times New Roman"/>
                <w:szCs w:val="24"/>
              </w:rPr>
              <w:t>inducers,</w:t>
            </w:r>
            <w:r w:rsidRPr="00944B15">
              <w:rPr>
                <w:rFonts w:cs="Times New Roman"/>
                <w:spacing w:val="1"/>
                <w:szCs w:val="24"/>
              </w:rPr>
              <w:t xml:space="preserve"> </w:t>
            </w:r>
            <w:r w:rsidRPr="00944B15">
              <w:rPr>
                <w:rFonts w:cs="Times New Roman"/>
                <w:szCs w:val="24"/>
              </w:rPr>
              <w:t>calcium</w:t>
            </w:r>
            <w:r w:rsidRPr="00944B15">
              <w:rPr>
                <w:rFonts w:cs="Times New Roman"/>
                <w:spacing w:val="1"/>
                <w:szCs w:val="24"/>
              </w:rPr>
              <w:t xml:space="preserve"> </w:t>
            </w:r>
            <w:r w:rsidRPr="00944B15">
              <w:rPr>
                <w:rFonts w:cs="Times New Roman"/>
                <w:szCs w:val="24"/>
              </w:rPr>
              <w:t>channel</w:t>
            </w:r>
            <w:r w:rsidRPr="00944B15">
              <w:rPr>
                <w:rFonts w:cs="Times New Roman"/>
                <w:spacing w:val="1"/>
                <w:szCs w:val="24"/>
              </w:rPr>
              <w:t xml:space="preserve"> </w:t>
            </w:r>
            <w:r w:rsidRPr="00944B15">
              <w:rPr>
                <w:rFonts w:cs="Times New Roman"/>
                <w:szCs w:val="24"/>
              </w:rPr>
              <w:t>blockers,</w:t>
            </w:r>
            <w:r w:rsidRPr="00944B15">
              <w:rPr>
                <w:rFonts w:cs="Times New Roman"/>
                <w:spacing w:val="-1"/>
                <w:szCs w:val="24"/>
              </w:rPr>
              <w:t xml:space="preserve"> </w:t>
            </w:r>
            <w:r w:rsidRPr="00944B15">
              <w:rPr>
                <w:rFonts w:cs="Times New Roman"/>
                <w:szCs w:val="24"/>
              </w:rPr>
              <w:t xml:space="preserve">nitrates, general anesthetics  </w:t>
            </w:r>
          </w:p>
        </w:tc>
      </w:tr>
      <w:tr w:rsidR="00235EBA" w:rsidRPr="00944B15" w14:paraId="02AF5BF0"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0E37689D" w14:textId="77777777" w:rsidR="00235EBA" w:rsidRPr="00944B15" w:rsidRDefault="00235EBA" w:rsidP="002D6DD7">
            <w:pPr>
              <w:rPr>
                <w:rFonts w:cs="Times New Roman"/>
                <w:szCs w:val="24"/>
              </w:rPr>
            </w:pPr>
            <w:r w:rsidRPr="00944B15">
              <w:rPr>
                <w:rFonts w:cs="Times New Roman"/>
                <w:szCs w:val="24"/>
              </w:rPr>
              <w:t>Side effects</w:t>
            </w:r>
          </w:p>
        </w:tc>
        <w:tc>
          <w:tcPr>
            <w:tcW w:w="6480" w:type="dxa"/>
            <w:tcBorders>
              <w:top w:val="single" w:sz="4" w:space="0" w:color="auto"/>
              <w:left w:val="single" w:sz="4" w:space="0" w:color="auto"/>
              <w:bottom w:val="single" w:sz="4" w:space="0" w:color="auto"/>
              <w:right w:val="single" w:sz="4" w:space="0" w:color="auto"/>
            </w:tcBorders>
          </w:tcPr>
          <w:p w14:paraId="7EB50C8C" w14:textId="77777777" w:rsidR="00235EBA" w:rsidRPr="00944B15" w:rsidRDefault="00235EBA" w:rsidP="002D6DD7">
            <w:pPr>
              <w:jc w:val="both"/>
              <w:rPr>
                <w:rFonts w:cs="Times New Roman"/>
                <w:szCs w:val="24"/>
              </w:rPr>
            </w:pPr>
            <w:r>
              <w:rPr>
                <w:rFonts w:cs="Times New Roman"/>
                <w:szCs w:val="24"/>
              </w:rPr>
              <w:t>Asthenia, diarrhea, weakness, f</w:t>
            </w:r>
            <w:r w:rsidRPr="00944B15">
              <w:rPr>
                <w:rFonts w:cs="Times New Roman"/>
                <w:szCs w:val="24"/>
              </w:rPr>
              <w:t xml:space="preserve">aintness/dizziness, dry </w:t>
            </w:r>
            <w:r>
              <w:rPr>
                <w:rFonts w:cs="Times New Roman"/>
                <w:szCs w:val="24"/>
              </w:rPr>
              <w:t>mouth, h</w:t>
            </w:r>
            <w:r w:rsidRPr="00944B15">
              <w:rPr>
                <w:rFonts w:cs="Times New Roman"/>
                <w:szCs w:val="24"/>
              </w:rPr>
              <w:t>eadache, malaise, nausea, postural hypotension, vertigo, vomiting,</w:t>
            </w:r>
            <w:r w:rsidRPr="00944B15">
              <w:rPr>
                <w:rFonts w:cs="Times New Roman"/>
                <w:spacing w:val="1"/>
                <w:szCs w:val="24"/>
              </w:rPr>
              <w:t xml:space="preserve"> </w:t>
            </w:r>
            <w:r w:rsidRPr="00944B15">
              <w:rPr>
                <w:rFonts w:cs="Times New Roman"/>
                <w:szCs w:val="24"/>
              </w:rPr>
              <w:t>lightheadedness</w:t>
            </w:r>
            <w:r>
              <w:rPr>
                <w:rFonts w:cs="Times New Roman"/>
                <w:szCs w:val="24"/>
              </w:rPr>
              <w:t>, and h</w:t>
            </w:r>
            <w:r w:rsidRPr="008E204D">
              <w:rPr>
                <w:rFonts w:cs="Times New Roman"/>
                <w:szCs w:val="24"/>
              </w:rPr>
              <w:t>epatic failure</w:t>
            </w:r>
          </w:p>
        </w:tc>
      </w:tr>
      <w:tr w:rsidR="00235EBA" w:rsidRPr="00944B15" w14:paraId="382EE319"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1C66AA15" w14:textId="77777777" w:rsidR="00235EBA" w:rsidRPr="00944B15" w:rsidRDefault="00235EBA" w:rsidP="002D6DD7">
            <w:pPr>
              <w:rPr>
                <w:rFonts w:cs="Times New Roman"/>
                <w:szCs w:val="24"/>
              </w:rPr>
            </w:pPr>
            <w:r w:rsidRPr="00944B15">
              <w:rPr>
                <w:rFonts w:cs="Times New Roman"/>
                <w:szCs w:val="24"/>
              </w:rPr>
              <w:t xml:space="preserve">Cautions </w:t>
            </w:r>
          </w:p>
        </w:tc>
        <w:tc>
          <w:tcPr>
            <w:tcW w:w="6480" w:type="dxa"/>
            <w:tcBorders>
              <w:top w:val="single" w:sz="4" w:space="0" w:color="auto"/>
              <w:left w:val="single" w:sz="4" w:space="0" w:color="auto"/>
              <w:bottom w:val="single" w:sz="4" w:space="0" w:color="auto"/>
              <w:right w:val="single" w:sz="4" w:space="0" w:color="auto"/>
            </w:tcBorders>
          </w:tcPr>
          <w:p w14:paraId="29979B55" w14:textId="77777777" w:rsidR="00235EBA" w:rsidRPr="00944B15" w:rsidRDefault="00235EBA" w:rsidP="002D6DD7">
            <w:pPr>
              <w:jc w:val="both"/>
              <w:rPr>
                <w:rFonts w:cs="Times New Roman"/>
                <w:szCs w:val="24"/>
              </w:rPr>
            </w:pPr>
            <w:r w:rsidRPr="00944B15">
              <w:rPr>
                <w:rFonts w:cs="Times New Roman"/>
                <w:szCs w:val="24"/>
              </w:rPr>
              <w:t xml:space="preserve">Acute heart failure, cerebrovascular disease, </w:t>
            </w:r>
            <w:r>
              <w:rPr>
                <w:rFonts w:cs="Times New Roman"/>
                <w:szCs w:val="24"/>
              </w:rPr>
              <w:t>angina</w:t>
            </w:r>
            <w:r w:rsidRPr="00944B15">
              <w:rPr>
                <w:rFonts w:cs="Times New Roman"/>
                <w:szCs w:val="24"/>
              </w:rPr>
              <w:t>, elderly, history of QT-interval prolongation, patie</w:t>
            </w:r>
            <w:r>
              <w:rPr>
                <w:rFonts w:cs="Times New Roman"/>
                <w:szCs w:val="24"/>
              </w:rPr>
              <w:t xml:space="preserve">nts undergoing cataract surgery, </w:t>
            </w:r>
            <w:r w:rsidRPr="00944B15">
              <w:rPr>
                <w:rFonts w:cs="Times New Roman"/>
                <w:szCs w:val="24"/>
              </w:rPr>
              <w:t>priapism</w:t>
            </w:r>
            <w:r>
              <w:rPr>
                <w:rFonts w:cs="Times New Roman"/>
                <w:szCs w:val="24"/>
              </w:rPr>
              <w:t>,</w:t>
            </w:r>
            <w:r w:rsidRPr="00944B15">
              <w:rPr>
                <w:rFonts w:cs="Times New Roman"/>
                <w:szCs w:val="24"/>
              </w:rPr>
              <w:t xml:space="preserve"> </w:t>
            </w:r>
            <w:r>
              <w:rPr>
                <w:rFonts w:cs="Times New Roman"/>
                <w:szCs w:val="24"/>
              </w:rPr>
              <w:t>r</w:t>
            </w:r>
            <w:r w:rsidRPr="00944B15">
              <w:rPr>
                <w:rFonts w:cs="Times New Roman"/>
                <w:szCs w:val="24"/>
              </w:rPr>
              <w:t>enal</w:t>
            </w:r>
            <w:r w:rsidRPr="00944B15">
              <w:rPr>
                <w:rFonts w:cs="Times New Roman"/>
                <w:spacing w:val="1"/>
                <w:szCs w:val="24"/>
              </w:rPr>
              <w:t xml:space="preserve"> </w:t>
            </w:r>
            <w:r w:rsidRPr="00944B15">
              <w:rPr>
                <w:rFonts w:cs="Times New Roman"/>
                <w:szCs w:val="24"/>
              </w:rPr>
              <w:t>and</w:t>
            </w:r>
            <w:r w:rsidRPr="00944B15">
              <w:rPr>
                <w:rFonts w:cs="Times New Roman"/>
                <w:spacing w:val="1"/>
                <w:szCs w:val="24"/>
              </w:rPr>
              <w:t xml:space="preserve"> </w:t>
            </w:r>
            <w:r w:rsidRPr="00944B15">
              <w:rPr>
                <w:rFonts w:cs="Times New Roman"/>
                <w:szCs w:val="24"/>
              </w:rPr>
              <w:t>hepatic</w:t>
            </w:r>
            <w:r w:rsidRPr="00944B15">
              <w:rPr>
                <w:rFonts w:cs="Times New Roman"/>
                <w:spacing w:val="1"/>
                <w:szCs w:val="24"/>
              </w:rPr>
              <w:t xml:space="preserve"> </w:t>
            </w:r>
            <w:r w:rsidRPr="00944B15">
              <w:rPr>
                <w:rFonts w:cs="Times New Roman"/>
                <w:szCs w:val="24"/>
              </w:rPr>
              <w:t>impairment</w:t>
            </w:r>
            <w:r>
              <w:rPr>
                <w:rFonts w:cs="Times New Roman"/>
                <w:szCs w:val="24"/>
              </w:rPr>
              <w:t>.</w:t>
            </w:r>
          </w:p>
        </w:tc>
      </w:tr>
      <w:tr w:rsidR="00235EBA" w:rsidRPr="00944B15" w14:paraId="15C88140" w14:textId="77777777" w:rsidTr="002D6DD7">
        <w:trPr>
          <w:jc w:val="center"/>
        </w:trPr>
        <w:tc>
          <w:tcPr>
            <w:tcW w:w="2695" w:type="dxa"/>
            <w:tcBorders>
              <w:top w:val="single" w:sz="4" w:space="0" w:color="auto"/>
              <w:left w:val="single" w:sz="4" w:space="0" w:color="auto"/>
              <w:bottom w:val="single" w:sz="4" w:space="0" w:color="auto"/>
              <w:right w:val="single" w:sz="4" w:space="0" w:color="auto"/>
            </w:tcBorders>
          </w:tcPr>
          <w:p w14:paraId="79CAFA0A" w14:textId="77777777" w:rsidR="00235EBA" w:rsidRPr="00944B15" w:rsidRDefault="00235EBA" w:rsidP="002D6DD7">
            <w:pPr>
              <w:rPr>
                <w:rFonts w:cs="Times New Roman"/>
                <w:szCs w:val="24"/>
              </w:rPr>
            </w:pPr>
            <w:r w:rsidRPr="00944B15">
              <w:rPr>
                <w:rFonts w:cs="Times New Roman"/>
                <w:szCs w:val="24"/>
              </w:rPr>
              <w:t>Storage condition</w:t>
            </w:r>
          </w:p>
        </w:tc>
        <w:tc>
          <w:tcPr>
            <w:tcW w:w="6480" w:type="dxa"/>
            <w:tcBorders>
              <w:top w:val="single" w:sz="4" w:space="0" w:color="auto"/>
              <w:left w:val="single" w:sz="4" w:space="0" w:color="auto"/>
              <w:bottom w:val="single" w:sz="4" w:space="0" w:color="auto"/>
              <w:right w:val="single" w:sz="4" w:space="0" w:color="auto"/>
            </w:tcBorders>
          </w:tcPr>
          <w:p w14:paraId="7AE7482B" w14:textId="77777777" w:rsidR="00235EBA" w:rsidRPr="00944B15" w:rsidRDefault="00235EBA" w:rsidP="002D6DD7">
            <w:pPr>
              <w:jc w:val="both"/>
              <w:rPr>
                <w:rFonts w:cs="Times New Roman"/>
                <w:szCs w:val="24"/>
              </w:rPr>
            </w:pPr>
            <w:r>
              <w:rPr>
                <w:rFonts w:cs="Times New Roman"/>
                <w:szCs w:val="24"/>
              </w:rPr>
              <w:t xml:space="preserve">Store below </w:t>
            </w:r>
            <w:r w:rsidRPr="00390460">
              <w:rPr>
                <w:rFonts w:cs="Times New Roman"/>
                <w:szCs w:val="24"/>
              </w:rPr>
              <w:t xml:space="preserve">30°C. </w:t>
            </w:r>
          </w:p>
        </w:tc>
      </w:tr>
      <w:tr w:rsidR="00235EBA" w:rsidRPr="00944B15" w14:paraId="231E4E47" w14:textId="77777777" w:rsidTr="002D6DD7">
        <w:trPr>
          <w:jc w:val="center"/>
        </w:trPr>
        <w:tc>
          <w:tcPr>
            <w:tcW w:w="9175" w:type="dxa"/>
            <w:gridSpan w:val="2"/>
          </w:tcPr>
          <w:p w14:paraId="48132FD1" w14:textId="77777777" w:rsidR="00235EBA" w:rsidRPr="00944B15" w:rsidRDefault="00235EBA" w:rsidP="002D6DD7">
            <w:pPr>
              <w:rPr>
                <w:rFonts w:cs="Times New Roman"/>
                <w:b/>
                <w:szCs w:val="24"/>
              </w:rPr>
            </w:pPr>
            <w:r w:rsidRPr="00944B15">
              <w:rPr>
                <w:rFonts w:cs="Times New Roman"/>
                <w:b/>
                <w:szCs w:val="24"/>
              </w:rPr>
              <w:t>Dutasteride</w:t>
            </w:r>
          </w:p>
        </w:tc>
      </w:tr>
      <w:tr w:rsidR="00235EBA" w:rsidRPr="00944B15" w14:paraId="3D0E6F67" w14:textId="77777777" w:rsidTr="002D6DD7">
        <w:trPr>
          <w:jc w:val="center"/>
        </w:trPr>
        <w:tc>
          <w:tcPr>
            <w:tcW w:w="2695" w:type="dxa"/>
          </w:tcPr>
          <w:p w14:paraId="5CADBC1A" w14:textId="77777777" w:rsidR="00235EBA" w:rsidRPr="00944B15" w:rsidRDefault="00235EBA" w:rsidP="002D6DD7">
            <w:pPr>
              <w:jc w:val="both"/>
              <w:rPr>
                <w:rFonts w:cs="Times New Roman"/>
                <w:szCs w:val="24"/>
              </w:rPr>
            </w:pPr>
            <w:r w:rsidRPr="00944B15">
              <w:rPr>
                <w:rFonts w:cs="Times New Roman"/>
                <w:szCs w:val="24"/>
              </w:rPr>
              <w:t>Pharmacologic class</w:t>
            </w:r>
          </w:p>
        </w:tc>
        <w:tc>
          <w:tcPr>
            <w:tcW w:w="6480" w:type="dxa"/>
          </w:tcPr>
          <w:p w14:paraId="10162823" w14:textId="77777777" w:rsidR="00235EBA" w:rsidRPr="00944B15" w:rsidRDefault="00235EBA" w:rsidP="002D6DD7">
            <w:pPr>
              <w:jc w:val="both"/>
              <w:rPr>
                <w:rFonts w:cs="Times New Roman"/>
                <w:szCs w:val="24"/>
              </w:rPr>
            </w:pPr>
            <w:r w:rsidRPr="00944B15">
              <w:rPr>
                <w:rFonts w:cs="Times New Roman"/>
                <w:szCs w:val="24"/>
              </w:rPr>
              <w:t>5α-reductase inhibitor</w:t>
            </w:r>
          </w:p>
        </w:tc>
      </w:tr>
      <w:tr w:rsidR="00235EBA" w:rsidRPr="00944B15" w14:paraId="7E61C96E" w14:textId="77777777" w:rsidTr="002D6DD7">
        <w:trPr>
          <w:jc w:val="center"/>
        </w:trPr>
        <w:tc>
          <w:tcPr>
            <w:tcW w:w="2695" w:type="dxa"/>
          </w:tcPr>
          <w:p w14:paraId="6DD48E18" w14:textId="77777777" w:rsidR="00235EBA" w:rsidRPr="00944B15" w:rsidRDefault="00235EBA" w:rsidP="002D6DD7">
            <w:pPr>
              <w:jc w:val="both"/>
              <w:rPr>
                <w:rFonts w:cs="Times New Roman"/>
                <w:szCs w:val="24"/>
              </w:rPr>
            </w:pPr>
            <w:r w:rsidRPr="00944B15">
              <w:rPr>
                <w:rFonts w:cs="Times New Roman"/>
                <w:szCs w:val="24"/>
              </w:rPr>
              <w:t>Dosage form</w:t>
            </w:r>
          </w:p>
        </w:tc>
        <w:tc>
          <w:tcPr>
            <w:tcW w:w="6480" w:type="dxa"/>
          </w:tcPr>
          <w:p w14:paraId="0E5C1A18" w14:textId="77777777" w:rsidR="00235EBA" w:rsidRPr="00944B15" w:rsidRDefault="00235EBA" w:rsidP="002D6DD7">
            <w:pPr>
              <w:jc w:val="both"/>
              <w:rPr>
                <w:rFonts w:cs="Times New Roman"/>
                <w:szCs w:val="24"/>
              </w:rPr>
            </w:pPr>
            <w:r>
              <w:rPr>
                <w:rFonts w:cs="Times New Roman"/>
                <w:szCs w:val="24"/>
              </w:rPr>
              <w:t>C</w:t>
            </w:r>
            <w:r w:rsidRPr="00944B15">
              <w:rPr>
                <w:rFonts w:cs="Times New Roman"/>
                <w:szCs w:val="24"/>
              </w:rPr>
              <w:t>apsule: 0.5mg</w:t>
            </w:r>
          </w:p>
        </w:tc>
      </w:tr>
      <w:tr w:rsidR="00235EBA" w:rsidRPr="00944B15" w14:paraId="349A00FE" w14:textId="77777777" w:rsidTr="002D6DD7">
        <w:trPr>
          <w:jc w:val="center"/>
        </w:trPr>
        <w:tc>
          <w:tcPr>
            <w:tcW w:w="2695" w:type="dxa"/>
          </w:tcPr>
          <w:p w14:paraId="08798271" w14:textId="77777777" w:rsidR="00235EBA" w:rsidRPr="00944B15" w:rsidRDefault="00235EBA" w:rsidP="002D6DD7">
            <w:pPr>
              <w:jc w:val="both"/>
              <w:rPr>
                <w:rFonts w:cs="Times New Roman"/>
                <w:szCs w:val="24"/>
              </w:rPr>
            </w:pPr>
            <w:r w:rsidRPr="00944B15">
              <w:rPr>
                <w:rFonts w:cs="Times New Roman"/>
                <w:szCs w:val="24"/>
              </w:rPr>
              <w:t>Indications</w:t>
            </w:r>
          </w:p>
        </w:tc>
        <w:tc>
          <w:tcPr>
            <w:tcW w:w="6480" w:type="dxa"/>
          </w:tcPr>
          <w:p w14:paraId="388DD7BB" w14:textId="77777777" w:rsidR="00235EBA" w:rsidRPr="00944B15" w:rsidRDefault="00235EBA" w:rsidP="002D6DD7">
            <w:pPr>
              <w:jc w:val="both"/>
              <w:rPr>
                <w:rFonts w:cs="Times New Roman"/>
                <w:szCs w:val="24"/>
              </w:rPr>
            </w:pPr>
            <w:r w:rsidRPr="00944B15">
              <w:rPr>
                <w:rFonts w:cs="Times New Roman"/>
                <w:szCs w:val="24"/>
              </w:rPr>
              <w:t>Benign prostatic hyperplasia</w:t>
            </w:r>
          </w:p>
        </w:tc>
      </w:tr>
      <w:tr w:rsidR="00235EBA" w:rsidRPr="00944B15" w14:paraId="3409D24C" w14:textId="77777777" w:rsidTr="002D6DD7">
        <w:trPr>
          <w:jc w:val="center"/>
        </w:trPr>
        <w:tc>
          <w:tcPr>
            <w:tcW w:w="2695" w:type="dxa"/>
          </w:tcPr>
          <w:p w14:paraId="1324E4DF" w14:textId="77777777" w:rsidR="00235EBA" w:rsidRPr="00944B15" w:rsidRDefault="00235EBA" w:rsidP="002D6DD7">
            <w:pPr>
              <w:jc w:val="both"/>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480" w:type="dxa"/>
          </w:tcPr>
          <w:p w14:paraId="096CF543" w14:textId="77777777" w:rsidR="00235EBA" w:rsidRPr="00944B15" w:rsidRDefault="00235EBA" w:rsidP="002D6DD7">
            <w:pPr>
              <w:jc w:val="both"/>
              <w:rPr>
                <w:rFonts w:cs="Times New Roman"/>
                <w:szCs w:val="24"/>
              </w:rPr>
            </w:pPr>
            <w:r w:rsidRPr="002D16C7">
              <w:rPr>
                <w:rFonts w:cs="Times New Roman"/>
                <w:b/>
                <w:szCs w:val="24"/>
              </w:rPr>
              <w:t>Adult,</w:t>
            </w:r>
            <w:r>
              <w:rPr>
                <w:rFonts w:cs="Times New Roman"/>
                <w:szCs w:val="24"/>
              </w:rPr>
              <w:t xml:space="preserve"> oral: </w:t>
            </w:r>
            <w:r w:rsidRPr="00944B15">
              <w:rPr>
                <w:rFonts w:cs="Times New Roman"/>
                <w:szCs w:val="24"/>
              </w:rPr>
              <w:t>0.5mg daily, review treatment at 3–6 months and then every 6–12 months (may require several months treatment before benefit is obtained)</w:t>
            </w:r>
          </w:p>
        </w:tc>
      </w:tr>
      <w:tr w:rsidR="00235EBA" w:rsidRPr="00944B15" w14:paraId="6335B279" w14:textId="77777777" w:rsidTr="002D6DD7">
        <w:trPr>
          <w:jc w:val="center"/>
        </w:trPr>
        <w:tc>
          <w:tcPr>
            <w:tcW w:w="2695" w:type="dxa"/>
          </w:tcPr>
          <w:p w14:paraId="77D587F8" w14:textId="77777777" w:rsidR="00235EBA" w:rsidRPr="00944B15" w:rsidRDefault="00235EBA" w:rsidP="002D6DD7">
            <w:pPr>
              <w:jc w:val="both"/>
              <w:rPr>
                <w:rFonts w:cs="Times New Roman"/>
                <w:szCs w:val="24"/>
              </w:rPr>
            </w:pPr>
            <w:r w:rsidRPr="00944B15">
              <w:rPr>
                <w:rFonts w:cs="Times New Roman"/>
                <w:szCs w:val="24"/>
              </w:rPr>
              <w:t>Contraindications</w:t>
            </w:r>
          </w:p>
        </w:tc>
        <w:tc>
          <w:tcPr>
            <w:tcW w:w="6480" w:type="dxa"/>
          </w:tcPr>
          <w:p w14:paraId="55CE378B" w14:textId="77777777" w:rsidR="00235EBA" w:rsidRPr="00944B15" w:rsidRDefault="00235EBA" w:rsidP="002D6DD7">
            <w:pPr>
              <w:rPr>
                <w:rFonts w:eastAsia="Times New Roman" w:cs="Times New Roman"/>
                <w:color w:val="2A2A2A"/>
                <w:szCs w:val="24"/>
              </w:rPr>
            </w:pPr>
            <w:r w:rsidRPr="00944B15">
              <w:rPr>
                <w:rFonts w:eastAsia="Times New Roman" w:cs="Times New Roman"/>
                <w:color w:val="2A2A2A"/>
                <w:szCs w:val="24"/>
              </w:rPr>
              <w:t>Hypersensitivity</w:t>
            </w:r>
            <w:r>
              <w:rPr>
                <w:rFonts w:eastAsia="Times New Roman" w:cs="Times New Roman"/>
                <w:color w:val="2A2A2A"/>
                <w:szCs w:val="24"/>
              </w:rPr>
              <w:t xml:space="preserve"> to the drug</w:t>
            </w:r>
            <w:r w:rsidRPr="00944B15">
              <w:rPr>
                <w:rFonts w:eastAsia="Times New Roman" w:cs="Times New Roman"/>
                <w:color w:val="2A2A2A"/>
                <w:szCs w:val="24"/>
              </w:rPr>
              <w:t xml:space="preserve">, </w:t>
            </w:r>
            <w:r>
              <w:rPr>
                <w:rFonts w:eastAsia="Times New Roman" w:cs="Times New Roman"/>
                <w:color w:val="2A2A2A"/>
                <w:szCs w:val="24"/>
              </w:rPr>
              <w:t>p</w:t>
            </w:r>
            <w:r w:rsidRPr="00944B15">
              <w:rPr>
                <w:rFonts w:eastAsia="Times New Roman" w:cs="Times New Roman"/>
                <w:color w:val="2A2A2A"/>
                <w:szCs w:val="24"/>
              </w:rPr>
              <w:t xml:space="preserve">regnancy, </w:t>
            </w:r>
            <w:r>
              <w:rPr>
                <w:rFonts w:eastAsia="Times New Roman" w:cs="Times New Roman"/>
                <w:color w:val="2A2A2A"/>
                <w:szCs w:val="24"/>
              </w:rPr>
              <w:t>c</w:t>
            </w:r>
            <w:r w:rsidRPr="00944B15">
              <w:rPr>
                <w:rFonts w:eastAsia="Times New Roman" w:cs="Times New Roman"/>
                <w:color w:val="2A2A2A"/>
                <w:szCs w:val="24"/>
              </w:rPr>
              <w:t>hildren, and severe hepatic impairment</w:t>
            </w:r>
            <w:r w:rsidR="00EB59BD">
              <w:rPr>
                <w:rFonts w:eastAsia="Times New Roman" w:cs="Times New Roman"/>
                <w:color w:val="2A2A2A"/>
                <w:szCs w:val="24"/>
              </w:rPr>
              <w:t>.</w:t>
            </w:r>
          </w:p>
        </w:tc>
      </w:tr>
      <w:tr w:rsidR="00235EBA" w:rsidRPr="00944B15" w14:paraId="5EC4F304" w14:textId="77777777" w:rsidTr="002D6DD7">
        <w:trPr>
          <w:jc w:val="center"/>
        </w:trPr>
        <w:tc>
          <w:tcPr>
            <w:tcW w:w="2695" w:type="dxa"/>
          </w:tcPr>
          <w:p w14:paraId="1E0CCA23" w14:textId="77777777" w:rsidR="00235EBA" w:rsidRPr="00944B15" w:rsidRDefault="00235EBA" w:rsidP="002D6DD7">
            <w:pPr>
              <w:jc w:val="both"/>
              <w:rPr>
                <w:rFonts w:cs="Times New Roman"/>
                <w:szCs w:val="24"/>
              </w:rPr>
            </w:pPr>
            <w:r w:rsidRPr="00944B15">
              <w:rPr>
                <w:rFonts w:cs="Times New Roman"/>
                <w:szCs w:val="24"/>
              </w:rPr>
              <w:t>Drug interactions</w:t>
            </w:r>
          </w:p>
        </w:tc>
        <w:tc>
          <w:tcPr>
            <w:tcW w:w="6480" w:type="dxa"/>
          </w:tcPr>
          <w:p w14:paraId="6BB3760E" w14:textId="77777777" w:rsidR="00235EBA" w:rsidRPr="00944B15" w:rsidRDefault="00235EBA" w:rsidP="002D6DD7">
            <w:pPr>
              <w:jc w:val="both"/>
              <w:rPr>
                <w:rFonts w:eastAsia="Times New Roman" w:cs="Times New Roman"/>
                <w:color w:val="2A2A2A"/>
                <w:szCs w:val="24"/>
                <w:lang w:eastAsia="en-GB"/>
              </w:rPr>
            </w:pPr>
            <w:r w:rsidRPr="00944B15">
              <w:rPr>
                <w:rFonts w:eastAsia="Times New Roman" w:cs="Times New Roman"/>
                <w:color w:val="2A2A2A"/>
                <w:szCs w:val="24"/>
                <w:lang w:eastAsia="en-GB"/>
              </w:rPr>
              <w:t>Carbamazepine, cimetidine, clarithromycin, erythromycin, isoniazid, itraconazole, ketoconazole, rifabutin, rifampin</w:t>
            </w:r>
            <w:r>
              <w:rPr>
                <w:rFonts w:eastAsia="Times New Roman" w:cs="Times New Roman"/>
                <w:color w:val="2A2A2A"/>
                <w:szCs w:val="24"/>
                <w:lang w:eastAsia="en-GB"/>
              </w:rPr>
              <w:t xml:space="preserve"> and</w:t>
            </w:r>
            <w:r w:rsidRPr="00944B15">
              <w:rPr>
                <w:rFonts w:eastAsia="Times New Roman" w:cs="Times New Roman"/>
                <w:color w:val="2A2A2A"/>
                <w:szCs w:val="24"/>
                <w:lang w:eastAsia="en-GB"/>
              </w:rPr>
              <w:t xml:space="preserve"> St John's Wort</w:t>
            </w:r>
            <w:r w:rsidR="00EB59BD">
              <w:rPr>
                <w:rFonts w:eastAsia="Times New Roman" w:cs="Times New Roman"/>
                <w:color w:val="2A2A2A"/>
                <w:szCs w:val="24"/>
                <w:lang w:eastAsia="en-GB"/>
              </w:rPr>
              <w:t>.</w:t>
            </w:r>
          </w:p>
        </w:tc>
      </w:tr>
      <w:tr w:rsidR="00235EBA" w:rsidRPr="00944B15" w14:paraId="7BC4D844" w14:textId="77777777" w:rsidTr="002D6DD7">
        <w:trPr>
          <w:jc w:val="center"/>
        </w:trPr>
        <w:tc>
          <w:tcPr>
            <w:tcW w:w="2695" w:type="dxa"/>
          </w:tcPr>
          <w:p w14:paraId="44ABCB13" w14:textId="77777777" w:rsidR="00235EBA" w:rsidRPr="00944B15" w:rsidRDefault="00235EBA" w:rsidP="002D6DD7">
            <w:pPr>
              <w:jc w:val="both"/>
              <w:rPr>
                <w:rFonts w:cs="Times New Roman"/>
                <w:szCs w:val="24"/>
              </w:rPr>
            </w:pPr>
            <w:r w:rsidRPr="00944B15">
              <w:rPr>
                <w:rFonts w:cs="Times New Roman"/>
                <w:szCs w:val="24"/>
              </w:rPr>
              <w:t>Side effects</w:t>
            </w:r>
          </w:p>
        </w:tc>
        <w:tc>
          <w:tcPr>
            <w:tcW w:w="6480" w:type="dxa"/>
          </w:tcPr>
          <w:p w14:paraId="0D9A83F4" w14:textId="77777777" w:rsidR="00235EBA" w:rsidRPr="00944B15" w:rsidRDefault="00235EBA" w:rsidP="002D6DD7">
            <w:pPr>
              <w:jc w:val="both"/>
              <w:rPr>
                <w:rFonts w:cs="Times New Roman"/>
                <w:szCs w:val="24"/>
              </w:rPr>
            </w:pPr>
            <w:r w:rsidRPr="00944B15">
              <w:rPr>
                <w:rFonts w:cs="Times New Roman"/>
                <w:szCs w:val="24"/>
              </w:rPr>
              <w:t>Sexual dysfunction, breast disorder, alopecia (primarily body hair loss), hypertrichosis, angioedema, depressed mood, hypersensitivity, localized edema, skin reactions, testicular pain and swelling</w:t>
            </w:r>
            <w:r w:rsidR="00EB59BD">
              <w:rPr>
                <w:rFonts w:cs="Times New Roman"/>
                <w:szCs w:val="24"/>
              </w:rPr>
              <w:t>.</w:t>
            </w:r>
          </w:p>
        </w:tc>
      </w:tr>
      <w:tr w:rsidR="00235EBA" w:rsidRPr="00944B15" w14:paraId="109B0B7C" w14:textId="77777777" w:rsidTr="002D6DD7">
        <w:trPr>
          <w:jc w:val="center"/>
        </w:trPr>
        <w:tc>
          <w:tcPr>
            <w:tcW w:w="2695" w:type="dxa"/>
          </w:tcPr>
          <w:p w14:paraId="49A9A47C" w14:textId="77777777" w:rsidR="00235EBA" w:rsidRPr="00944B15" w:rsidRDefault="00235EBA" w:rsidP="002D6DD7">
            <w:pPr>
              <w:jc w:val="both"/>
              <w:rPr>
                <w:rFonts w:cs="Times New Roman"/>
                <w:szCs w:val="24"/>
              </w:rPr>
            </w:pPr>
            <w:r w:rsidRPr="00944B15">
              <w:rPr>
                <w:rFonts w:cs="Times New Roman"/>
                <w:szCs w:val="24"/>
              </w:rPr>
              <w:lastRenderedPageBreak/>
              <w:t>Cautions</w:t>
            </w:r>
          </w:p>
        </w:tc>
        <w:tc>
          <w:tcPr>
            <w:tcW w:w="6480" w:type="dxa"/>
          </w:tcPr>
          <w:p w14:paraId="0C180596" w14:textId="77777777" w:rsidR="00235EBA" w:rsidRPr="00944B15" w:rsidRDefault="00235EBA" w:rsidP="002D6DD7">
            <w:pPr>
              <w:jc w:val="both"/>
              <w:rPr>
                <w:rFonts w:eastAsia="Times New Roman" w:cs="Times New Roman"/>
                <w:color w:val="2A2A2A"/>
                <w:szCs w:val="24"/>
              </w:rPr>
            </w:pPr>
            <w:r w:rsidRPr="00944B15">
              <w:rPr>
                <w:rFonts w:eastAsia="Times New Roman" w:cs="Times New Roman"/>
                <w:color w:val="2A2A2A"/>
                <w:szCs w:val="24"/>
              </w:rPr>
              <w:t xml:space="preserve">Obstructive uropathy, </w:t>
            </w:r>
            <w:r>
              <w:rPr>
                <w:rFonts w:eastAsia="Times New Roman" w:cs="Times New Roman"/>
                <w:color w:val="2A2A2A"/>
                <w:szCs w:val="24"/>
              </w:rPr>
              <w:t>liver disease,</w:t>
            </w:r>
            <w:r w:rsidRPr="00944B15">
              <w:rPr>
                <w:rFonts w:eastAsia="Times New Roman" w:cs="Times New Roman"/>
                <w:color w:val="2A2A2A"/>
                <w:szCs w:val="24"/>
              </w:rPr>
              <w:t xml:space="preserve"> blood</w:t>
            </w:r>
            <w:r>
              <w:rPr>
                <w:rFonts w:eastAsia="Times New Roman" w:cs="Times New Roman"/>
                <w:color w:val="2A2A2A"/>
                <w:szCs w:val="24"/>
              </w:rPr>
              <w:t xml:space="preserve"> donation</w:t>
            </w:r>
            <w:r w:rsidRPr="00944B15">
              <w:rPr>
                <w:rFonts w:eastAsia="Times New Roman" w:cs="Times New Roman"/>
                <w:color w:val="2A2A2A"/>
                <w:szCs w:val="24"/>
              </w:rPr>
              <w:t xml:space="preserve"> </w:t>
            </w:r>
            <w:r>
              <w:rPr>
                <w:rFonts w:eastAsia="Times New Roman" w:cs="Times New Roman"/>
                <w:color w:val="2A2A2A"/>
                <w:szCs w:val="24"/>
              </w:rPr>
              <w:t>(</w:t>
            </w:r>
            <w:r w:rsidRPr="00944B15">
              <w:rPr>
                <w:rFonts w:eastAsia="Times New Roman" w:cs="Times New Roman"/>
                <w:color w:val="2A2A2A"/>
                <w:szCs w:val="24"/>
              </w:rPr>
              <w:t xml:space="preserve">until 6 months after last dose of </w:t>
            </w:r>
            <w:r>
              <w:rPr>
                <w:rFonts w:eastAsia="Times New Roman" w:cs="Times New Roman"/>
                <w:color w:val="2A2A2A"/>
                <w:szCs w:val="24"/>
              </w:rPr>
              <w:t>the drug)</w:t>
            </w:r>
            <w:r w:rsidRPr="00944B15">
              <w:rPr>
                <w:rFonts w:eastAsia="Times New Roman" w:cs="Times New Roman"/>
                <w:color w:val="2A2A2A"/>
                <w:szCs w:val="24"/>
              </w:rPr>
              <w:t xml:space="preserve">, </w:t>
            </w:r>
            <w:r>
              <w:rPr>
                <w:rFonts w:eastAsia="Times New Roman" w:cs="Times New Roman"/>
                <w:color w:val="2A2A2A"/>
                <w:szCs w:val="24"/>
              </w:rPr>
              <w:t>cardiac failure, w</w:t>
            </w:r>
            <w:r w:rsidRPr="00944B15">
              <w:rPr>
                <w:rFonts w:eastAsia="Times New Roman" w:cs="Times New Roman"/>
                <w:szCs w:val="24"/>
              </w:rPr>
              <w:t>omen o</w:t>
            </w:r>
            <w:r>
              <w:rPr>
                <w:rFonts w:eastAsia="Times New Roman" w:cs="Times New Roman"/>
                <w:szCs w:val="24"/>
              </w:rPr>
              <w:t>f childbearing potential</w:t>
            </w:r>
            <w:r w:rsidR="00EB59BD">
              <w:rPr>
                <w:rFonts w:eastAsia="Times New Roman" w:cs="Times New Roman"/>
                <w:szCs w:val="24"/>
              </w:rPr>
              <w:t>.</w:t>
            </w:r>
          </w:p>
        </w:tc>
      </w:tr>
      <w:tr w:rsidR="00235EBA" w:rsidRPr="00944B15" w14:paraId="2D96484F" w14:textId="77777777" w:rsidTr="002D6DD7">
        <w:trPr>
          <w:trHeight w:val="46"/>
          <w:jc w:val="center"/>
        </w:trPr>
        <w:tc>
          <w:tcPr>
            <w:tcW w:w="2695" w:type="dxa"/>
          </w:tcPr>
          <w:p w14:paraId="27144C2C" w14:textId="77777777" w:rsidR="00235EBA" w:rsidRPr="00944B15" w:rsidRDefault="00235EBA" w:rsidP="002D6DD7">
            <w:pPr>
              <w:jc w:val="both"/>
              <w:rPr>
                <w:rFonts w:cs="Times New Roman"/>
                <w:szCs w:val="24"/>
              </w:rPr>
            </w:pPr>
            <w:r w:rsidRPr="00944B15">
              <w:rPr>
                <w:rFonts w:cs="Times New Roman"/>
                <w:szCs w:val="24"/>
              </w:rPr>
              <w:t>Storage condition</w:t>
            </w:r>
          </w:p>
        </w:tc>
        <w:tc>
          <w:tcPr>
            <w:tcW w:w="6480" w:type="dxa"/>
          </w:tcPr>
          <w:p w14:paraId="50BAE955" w14:textId="77777777" w:rsidR="00235EBA" w:rsidRPr="00944B15" w:rsidRDefault="00235EBA" w:rsidP="002D6DD7">
            <w:pPr>
              <w:jc w:val="both"/>
              <w:rPr>
                <w:rFonts w:cs="Times New Roman"/>
                <w:szCs w:val="24"/>
              </w:rPr>
            </w:pPr>
            <w:r>
              <w:rPr>
                <w:rFonts w:cs="Times New Roman"/>
                <w:szCs w:val="24"/>
              </w:rPr>
              <w:t>Store below 30°C. P</w:t>
            </w:r>
            <w:r w:rsidRPr="000D1305">
              <w:rPr>
                <w:rFonts w:cs="Times New Roman"/>
                <w:szCs w:val="24"/>
              </w:rPr>
              <w:t>rotect from light.</w:t>
            </w:r>
          </w:p>
        </w:tc>
      </w:tr>
      <w:tr w:rsidR="00235EBA" w:rsidRPr="00944B15" w14:paraId="0F5DC5FA" w14:textId="77777777" w:rsidTr="002D6DD7">
        <w:trPr>
          <w:trHeight w:val="356"/>
          <w:jc w:val="center"/>
        </w:trPr>
        <w:tc>
          <w:tcPr>
            <w:tcW w:w="9175" w:type="dxa"/>
            <w:gridSpan w:val="2"/>
          </w:tcPr>
          <w:p w14:paraId="7960BDC9" w14:textId="77777777" w:rsidR="00235EBA" w:rsidRPr="00944B15" w:rsidRDefault="00235EBA" w:rsidP="002D6DD7">
            <w:pPr>
              <w:rPr>
                <w:rFonts w:cs="Times New Roman"/>
                <w:b/>
                <w:bCs/>
                <w:szCs w:val="24"/>
              </w:rPr>
            </w:pPr>
            <w:r w:rsidRPr="00944B15">
              <w:rPr>
                <w:rFonts w:cs="Times New Roman"/>
                <w:b/>
                <w:bCs/>
                <w:szCs w:val="24"/>
              </w:rPr>
              <w:t xml:space="preserve">Finasteride </w:t>
            </w:r>
          </w:p>
        </w:tc>
      </w:tr>
      <w:tr w:rsidR="00235EBA" w:rsidRPr="00944B15" w14:paraId="25BEB086" w14:textId="77777777" w:rsidTr="002D6DD7">
        <w:trPr>
          <w:jc w:val="center"/>
        </w:trPr>
        <w:tc>
          <w:tcPr>
            <w:tcW w:w="2695" w:type="dxa"/>
          </w:tcPr>
          <w:p w14:paraId="1B80C856" w14:textId="77777777" w:rsidR="00235EBA" w:rsidRPr="00944B15" w:rsidRDefault="00235EBA" w:rsidP="002D6DD7">
            <w:pPr>
              <w:rPr>
                <w:rFonts w:cs="Times New Roman"/>
                <w:szCs w:val="24"/>
              </w:rPr>
            </w:pPr>
            <w:r w:rsidRPr="00944B15">
              <w:rPr>
                <w:rFonts w:cs="Times New Roman"/>
                <w:szCs w:val="24"/>
              </w:rPr>
              <w:t>Pharmacologic class</w:t>
            </w:r>
          </w:p>
        </w:tc>
        <w:tc>
          <w:tcPr>
            <w:tcW w:w="6480" w:type="dxa"/>
          </w:tcPr>
          <w:p w14:paraId="36924DC8" w14:textId="77777777" w:rsidR="00235EBA" w:rsidRPr="00582BBC" w:rsidRDefault="00235EBA" w:rsidP="002D6DD7">
            <w:pPr>
              <w:rPr>
                <w:rFonts w:eastAsia="Times New Roman" w:cs="Times New Roman"/>
                <w:szCs w:val="24"/>
              </w:rPr>
            </w:pPr>
            <w:r>
              <w:rPr>
                <w:rFonts w:cs="Times New Roman"/>
                <w:szCs w:val="24"/>
              </w:rPr>
              <w:t>5α-reductase inhibitor</w:t>
            </w:r>
          </w:p>
        </w:tc>
      </w:tr>
      <w:tr w:rsidR="00235EBA" w:rsidRPr="00944B15" w14:paraId="2C3EA416" w14:textId="77777777" w:rsidTr="002D6DD7">
        <w:trPr>
          <w:jc w:val="center"/>
        </w:trPr>
        <w:tc>
          <w:tcPr>
            <w:tcW w:w="2695" w:type="dxa"/>
          </w:tcPr>
          <w:p w14:paraId="1F86C75E" w14:textId="77777777" w:rsidR="00235EBA" w:rsidRPr="00944B15" w:rsidRDefault="00235EBA" w:rsidP="002D6DD7">
            <w:pPr>
              <w:rPr>
                <w:rFonts w:cs="Times New Roman"/>
                <w:szCs w:val="24"/>
              </w:rPr>
            </w:pPr>
            <w:r w:rsidRPr="00944B15">
              <w:rPr>
                <w:rFonts w:cs="Times New Roman"/>
                <w:szCs w:val="24"/>
              </w:rPr>
              <w:t>Dosage form</w:t>
            </w:r>
          </w:p>
        </w:tc>
        <w:tc>
          <w:tcPr>
            <w:tcW w:w="6480" w:type="dxa"/>
          </w:tcPr>
          <w:p w14:paraId="109B2DF4" w14:textId="77777777" w:rsidR="00235EBA" w:rsidRPr="00944B15" w:rsidRDefault="00235EBA" w:rsidP="002D6DD7">
            <w:pPr>
              <w:jc w:val="both"/>
              <w:rPr>
                <w:rFonts w:cs="Times New Roman"/>
                <w:szCs w:val="24"/>
              </w:rPr>
            </w:pPr>
            <w:r w:rsidRPr="00944B15">
              <w:rPr>
                <w:rFonts w:cs="Times New Roman"/>
                <w:szCs w:val="24"/>
              </w:rPr>
              <w:t>Tablet: 5mg</w:t>
            </w:r>
          </w:p>
        </w:tc>
      </w:tr>
      <w:tr w:rsidR="00235EBA" w:rsidRPr="00944B15" w14:paraId="3898E032" w14:textId="77777777" w:rsidTr="002D6DD7">
        <w:trPr>
          <w:jc w:val="center"/>
        </w:trPr>
        <w:tc>
          <w:tcPr>
            <w:tcW w:w="2695" w:type="dxa"/>
          </w:tcPr>
          <w:p w14:paraId="7A29AD8A" w14:textId="77777777" w:rsidR="00235EBA" w:rsidRPr="00944B15" w:rsidRDefault="00235EBA" w:rsidP="002D6DD7">
            <w:pPr>
              <w:rPr>
                <w:rFonts w:cs="Times New Roman"/>
                <w:szCs w:val="24"/>
              </w:rPr>
            </w:pPr>
            <w:r w:rsidRPr="00944B15">
              <w:rPr>
                <w:rFonts w:cs="Times New Roman"/>
                <w:szCs w:val="24"/>
              </w:rPr>
              <w:t>Indications</w:t>
            </w:r>
          </w:p>
        </w:tc>
        <w:tc>
          <w:tcPr>
            <w:tcW w:w="6480" w:type="dxa"/>
          </w:tcPr>
          <w:p w14:paraId="2BF38743" w14:textId="77777777" w:rsidR="00235EBA" w:rsidRPr="00944B15" w:rsidRDefault="00235EBA" w:rsidP="002D6DD7">
            <w:pPr>
              <w:jc w:val="both"/>
              <w:rPr>
                <w:rFonts w:cs="Times New Roman"/>
                <w:szCs w:val="24"/>
              </w:rPr>
            </w:pPr>
            <w:r w:rsidRPr="00944B15">
              <w:rPr>
                <w:rFonts w:cs="Times New Roman"/>
                <w:szCs w:val="24"/>
              </w:rPr>
              <w:t xml:space="preserve">Benign prostatic hyperplasia </w:t>
            </w:r>
          </w:p>
        </w:tc>
      </w:tr>
      <w:tr w:rsidR="00235EBA" w:rsidRPr="00944B15" w14:paraId="23512EF3" w14:textId="77777777" w:rsidTr="002D6DD7">
        <w:trPr>
          <w:trHeight w:val="152"/>
          <w:jc w:val="center"/>
        </w:trPr>
        <w:tc>
          <w:tcPr>
            <w:tcW w:w="2695" w:type="dxa"/>
          </w:tcPr>
          <w:p w14:paraId="5BDDA33F" w14:textId="77777777" w:rsidR="00235EBA" w:rsidRPr="00944B15" w:rsidRDefault="00235EBA" w:rsidP="002D6DD7">
            <w:pPr>
              <w:rPr>
                <w:rFonts w:cs="Times New Roman"/>
                <w:szCs w:val="24"/>
              </w:rPr>
            </w:pPr>
            <w:r w:rsidRPr="00944B15">
              <w:rPr>
                <w:rFonts w:cs="Times New Roman"/>
                <w:szCs w:val="24"/>
              </w:rPr>
              <w:t xml:space="preserve">Dose and </w:t>
            </w:r>
            <w:r>
              <w:rPr>
                <w:rFonts w:cs="Times New Roman"/>
                <w:szCs w:val="24"/>
              </w:rPr>
              <w:t>A</w:t>
            </w:r>
            <w:r w:rsidRPr="00944B15">
              <w:rPr>
                <w:rFonts w:cs="Times New Roman"/>
                <w:szCs w:val="24"/>
              </w:rPr>
              <w:t>dministration</w:t>
            </w:r>
          </w:p>
        </w:tc>
        <w:tc>
          <w:tcPr>
            <w:tcW w:w="6480" w:type="dxa"/>
          </w:tcPr>
          <w:p w14:paraId="60CC93DB" w14:textId="77777777" w:rsidR="00235EBA" w:rsidRPr="00944B15" w:rsidRDefault="00235EBA" w:rsidP="002D6DD7">
            <w:pPr>
              <w:jc w:val="both"/>
              <w:rPr>
                <w:rFonts w:cs="Times New Roman"/>
                <w:szCs w:val="24"/>
              </w:rPr>
            </w:pPr>
            <w:r w:rsidRPr="00032FD7">
              <w:rPr>
                <w:rFonts w:cs="Times New Roman"/>
                <w:b/>
                <w:szCs w:val="24"/>
              </w:rPr>
              <w:t>Adult,</w:t>
            </w:r>
            <w:r>
              <w:rPr>
                <w:rFonts w:cs="Times New Roman"/>
                <w:szCs w:val="24"/>
              </w:rPr>
              <w:t xml:space="preserve"> oral: </w:t>
            </w:r>
            <w:r w:rsidRPr="00944B15">
              <w:rPr>
                <w:rFonts w:cs="Times New Roman"/>
                <w:szCs w:val="24"/>
              </w:rPr>
              <w:t>5 mg daily, review treatment at 3–6 months and then every 6–12 months.</w:t>
            </w:r>
          </w:p>
        </w:tc>
      </w:tr>
      <w:tr w:rsidR="00235EBA" w:rsidRPr="00944B15" w14:paraId="37C7A4FF" w14:textId="77777777" w:rsidTr="002D6DD7">
        <w:trPr>
          <w:jc w:val="center"/>
        </w:trPr>
        <w:tc>
          <w:tcPr>
            <w:tcW w:w="2695" w:type="dxa"/>
          </w:tcPr>
          <w:p w14:paraId="7C82D373" w14:textId="77777777" w:rsidR="00235EBA" w:rsidRPr="00944B15" w:rsidRDefault="00235EBA" w:rsidP="002D6DD7">
            <w:pPr>
              <w:rPr>
                <w:rFonts w:cs="Times New Roman"/>
                <w:szCs w:val="24"/>
              </w:rPr>
            </w:pPr>
            <w:r w:rsidRPr="00944B15">
              <w:rPr>
                <w:rFonts w:cs="Times New Roman"/>
                <w:szCs w:val="24"/>
              </w:rPr>
              <w:t>Contraindications</w:t>
            </w:r>
          </w:p>
        </w:tc>
        <w:tc>
          <w:tcPr>
            <w:tcW w:w="6480" w:type="dxa"/>
          </w:tcPr>
          <w:p w14:paraId="41F6E54D" w14:textId="77777777" w:rsidR="00235EBA" w:rsidRPr="00944B15" w:rsidRDefault="00235EBA"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pregnancy, women of childbearing potential, children, and adolescents</w:t>
            </w:r>
          </w:p>
        </w:tc>
      </w:tr>
      <w:tr w:rsidR="00235EBA" w:rsidRPr="00944B15" w14:paraId="09294F77" w14:textId="77777777" w:rsidTr="002D6DD7">
        <w:trPr>
          <w:trHeight w:val="554"/>
          <w:jc w:val="center"/>
        </w:trPr>
        <w:tc>
          <w:tcPr>
            <w:tcW w:w="2695" w:type="dxa"/>
          </w:tcPr>
          <w:p w14:paraId="0111A54E" w14:textId="77777777" w:rsidR="00235EBA" w:rsidRPr="00944B15" w:rsidRDefault="00235EBA" w:rsidP="002D6DD7">
            <w:pPr>
              <w:rPr>
                <w:rFonts w:cs="Times New Roman"/>
                <w:szCs w:val="24"/>
              </w:rPr>
            </w:pPr>
            <w:r w:rsidRPr="00944B15">
              <w:rPr>
                <w:rFonts w:cs="Times New Roman"/>
                <w:szCs w:val="24"/>
              </w:rPr>
              <w:t>Drug interactions</w:t>
            </w:r>
          </w:p>
        </w:tc>
        <w:tc>
          <w:tcPr>
            <w:tcW w:w="6480" w:type="dxa"/>
          </w:tcPr>
          <w:p w14:paraId="1CFF4C92" w14:textId="77777777" w:rsidR="00235EBA" w:rsidRPr="00944B15" w:rsidRDefault="00235EBA" w:rsidP="002D6DD7">
            <w:pPr>
              <w:jc w:val="both"/>
              <w:rPr>
                <w:rFonts w:cs="Times New Roman"/>
                <w:szCs w:val="24"/>
              </w:rPr>
            </w:pPr>
            <w:r w:rsidRPr="00AE3924">
              <w:rPr>
                <w:rFonts w:eastAsia="Times New Roman" w:cs="Times New Roman"/>
                <w:szCs w:val="24"/>
                <w:lang w:eastAsia="en-GB"/>
              </w:rPr>
              <w:t xml:space="preserve">Inhibitors and </w:t>
            </w:r>
            <w:r>
              <w:rPr>
                <w:rFonts w:eastAsia="Times New Roman" w:cs="Times New Roman"/>
                <w:szCs w:val="24"/>
                <w:lang w:eastAsia="en-GB"/>
              </w:rPr>
              <w:t xml:space="preserve">inducers of cytochrome P450 3A4, </w:t>
            </w:r>
            <w:r w:rsidRPr="00AE3924">
              <w:rPr>
                <w:rFonts w:eastAsia="Times New Roman" w:cs="Times New Roman"/>
                <w:szCs w:val="24"/>
                <w:lang w:eastAsia="en-GB"/>
              </w:rPr>
              <w:t>St John's Wort</w:t>
            </w:r>
          </w:p>
        </w:tc>
      </w:tr>
      <w:tr w:rsidR="00235EBA" w:rsidRPr="00944B15" w14:paraId="50043023" w14:textId="77777777" w:rsidTr="002D6DD7">
        <w:trPr>
          <w:jc w:val="center"/>
        </w:trPr>
        <w:tc>
          <w:tcPr>
            <w:tcW w:w="2695" w:type="dxa"/>
          </w:tcPr>
          <w:p w14:paraId="10DA3FB8" w14:textId="77777777" w:rsidR="00235EBA" w:rsidRPr="00944B15" w:rsidRDefault="00235EBA" w:rsidP="002D6DD7">
            <w:pPr>
              <w:rPr>
                <w:rFonts w:cs="Times New Roman"/>
                <w:szCs w:val="24"/>
              </w:rPr>
            </w:pPr>
            <w:r w:rsidRPr="00944B15">
              <w:rPr>
                <w:rFonts w:cs="Times New Roman"/>
                <w:szCs w:val="24"/>
              </w:rPr>
              <w:t>Side effects</w:t>
            </w:r>
          </w:p>
        </w:tc>
        <w:tc>
          <w:tcPr>
            <w:tcW w:w="6480" w:type="dxa"/>
          </w:tcPr>
          <w:p w14:paraId="1FCB2982" w14:textId="77777777" w:rsidR="00235EBA" w:rsidRPr="00944B15" w:rsidRDefault="00235EBA" w:rsidP="002D6DD7">
            <w:pPr>
              <w:jc w:val="both"/>
              <w:rPr>
                <w:rFonts w:cs="Times New Roman"/>
                <w:szCs w:val="24"/>
              </w:rPr>
            </w:pPr>
            <w:r w:rsidRPr="00944B15">
              <w:rPr>
                <w:rFonts w:cs="Times New Roman"/>
                <w:szCs w:val="24"/>
              </w:rPr>
              <w:t>Sexual dysfunction, breast abnormalities, skin reactions, angioedema</w:t>
            </w:r>
            <w:r>
              <w:rPr>
                <w:rFonts w:cs="Times New Roman"/>
                <w:szCs w:val="24"/>
              </w:rPr>
              <w:t>,</w:t>
            </w:r>
            <w:r w:rsidRPr="00944B15">
              <w:rPr>
                <w:rFonts w:cs="Times New Roman"/>
                <w:szCs w:val="24"/>
              </w:rPr>
              <w:t xml:space="preserve"> </w:t>
            </w:r>
            <w:r>
              <w:rPr>
                <w:rFonts w:cs="Times New Roman"/>
                <w:szCs w:val="24"/>
              </w:rPr>
              <w:t>d</w:t>
            </w:r>
            <w:r w:rsidRPr="00944B15">
              <w:rPr>
                <w:rFonts w:cs="Times New Roman"/>
                <w:szCs w:val="24"/>
              </w:rPr>
              <w:t>epression, infertility, palpitations, testicular pain, hypersensitivity reactions, angioedema</w:t>
            </w:r>
            <w:r>
              <w:rPr>
                <w:rFonts w:cs="Times New Roman"/>
                <w:szCs w:val="24"/>
              </w:rPr>
              <w:t xml:space="preserve"> and </w:t>
            </w:r>
            <w:r w:rsidRPr="00944B15">
              <w:rPr>
                <w:rFonts w:cs="Times New Roman"/>
                <w:szCs w:val="24"/>
              </w:rPr>
              <w:t>hepati</w:t>
            </w:r>
            <w:r>
              <w:rPr>
                <w:rFonts w:cs="Times New Roman"/>
                <w:szCs w:val="24"/>
              </w:rPr>
              <w:t>tis.</w:t>
            </w:r>
          </w:p>
        </w:tc>
      </w:tr>
      <w:tr w:rsidR="00235EBA" w:rsidRPr="00944B15" w14:paraId="66A1B321" w14:textId="77777777" w:rsidTr="002D6DD7">
        <w:trPr>
          <w:jc w:val="center"/>
        </w:trPr>
        <w:tc>
          <w:tcPr>
            <w:tcW w:w="2695" w:type="dxa"/>
          </w:tcPr>
          <w:p w14:paraId="4BB790FC" w14:textId="77777777" w:rsidR="00235EBA" w:rsidRPr="00944B15" w:rsidRDefault="00235EBA" w:rsidP="002D6DD7">
            <w:pPr>
              <w:rPr>
                <w:rFonts w:cs="Times New Roman"/>
                <w:szCs w:val="24"/>
              </w:rPr>
            </w:pPr>
            <w:r w:rsidRPr="00944B15">
              <w:rPr>
                <w:rFonts w:cs="Times New Roman"/>
                <w:szCs w:val="24"/>
              </w:rPr>
              <w:t xml:space="preserve">Cautions </w:t>
            </w:r>
          </w:p>
        </w:tc>
        <w:tc>
          <w:tcPr>
            <w:tcW w:w="6480" w:type="dxa"/>
          </w:tcPr>
          <w:p w14:paraId="5C41E2AB" w14:textId="77777777" w:rsidR="00235EBA" w:rsidRPr="00944B15" w:rsidRDefault="00235EBA" w:rsidP="002D6DD7">
            <w:pPr>
              <w:widowControl w:val="0"/>
              <w:autoSpaceDE w:val="0"/>
              <w:autoSpaceDN w:val="0"/>
              <w:ind w:right="191"/>
              <w:jc w:val="both"/>
              <w:rPr>
                <w:rFonts w:eastAsia="Times New Roman" w:cs="Times New Roman"/>
                <w:spacing w:val="1"/>
                <w:szCs w:val="24"/>
              </w:rPr>
            </w:pPr>
            <w:r>
              <w:rPr>
                <w:rFonts w:eastAsia="Times New Roman" w:cs="Times New Roman"/>
                <w:szCs w:val="24"/>
              </w:rPr>
              <w:t>O</w:t>
            </w:r>
            <w:r w:rsidRPr="00641ACD">
              <w:rPr>
                <w:rFonts w:eastAsia="Times New Roman" w:cs="Times New Roman"/>
                <w:szCs w:val="24"/>
              </w:rPr>
              <w:t>bstructive uropathy</w:t>
            </w:r>
            <w:r>
              <w:rPr>
                <w:rFonts w:eastAsia="Times New Roman" w:cs="Times New Roman"/>
                <w:szCs w:val="24"/>
              </w:rPr>
              <w:t xml:space="preserve">, </w:t>
            </w:r>
            <w:r w:rsidRPr="00641ACD">
              <w:rPr>
                <w:rFonts w:eastAsia="Times New Roman" w:cs="Times New Roman"/>
                <w:szCs w:val="24"/>
              </w:rPr>
              <w:t>liver disease</w:t>
            </w:r>
            <w:r>
              <w:rPr>
                <w:rFonts w:eastAsia="Times New Roman" w:cs="Times New Roman"/>
                <w:szCs w:val="24"/>
              </w:rPr>
              <w:t xml:space="preserve">, </w:t>
            </w:r>
            <w:r w:rsidRPr="00641ACD">
              <w:rPr>
                <w:rFonts w:eastAsia="Times New Roman" w:cs="Times New Roman"/>
                <w:szCs w:val="24"/>
              </w:rPr>
              <w:t xml:space="preserve">prostate </w:t>
            </w:r>
            <w:r>
              <w:rPr>
                <w:rFonts w:eastAsia="Times New Roman" w:cs="Times New Roman"/>
                <w:szCs w:val="24"/>
              </w:rPr>
              <w:t xml:space="preserve">and </w:t>
            </w:r>
            <w:r w:rsidRPr="00641ACD">
              <w:rPr>
                <w:rFonts w:eastAsia="Times New Roman" w:cs="Times New Roman"/>
                <w:szCs w:val="24"/>
              </w:rPr>
              <w:t>breast cancer</w:t>
            </w:r>
            <w:r>
              <w:rPr>
                <w:rFonts w:eastAsia="Times New Roman" w:cs="Times New Roman"/>
                <w:szCs w:val="24"/>
              </w:rPr>
              <w:t>.</w:t>
            </w:r>
          </w:p>
        </w:tc>
      </w:tr>
      <w:tr w:rsidR="00235EBA" w:rsidRPr="00944B15" w14:paraId="6AB1A3C1" w14:textId="77777777" w:rsidTr="002D6DD7">
        <w:trPr>
          <w:jc w:val="center"/>
        </w:trPr>
        <w:tc>
          <w:tcPr>
            <w:tcW w:w="2695" w:type="dxa"/>
          </w:tcPr>
          <w:p w14:paraId="6461E03D" w14:textId="77777777" w:rsidR="00235EBA" w:rsidRPr="00944B15" w:rsidRDefault="00235EBA" w:rsidP="002D6DD7">
            <w:pPr>
              <w:rPr>
                <w:rFonts w:cs="Times New Roman"/>
                <w:szCs w:val="24"/>
              </w:rPr>
            </w:pPr>
            <w:r w:rsidRPr="00944B15">
              <w:rPr>
                <w:rFonts w:cs="Times New Roman"/>
                <w:szCs w:val="24"/>
              </w:rPr>
              <w:t>Storage condition</w:t>
            </w:r>
          </w:p>
        </w:tc>
        <w:tc>
          <w:tcPr>
            <w:tcW w:w="6480" w:type="dxa"/>
          </w:tcPr>
          <w:p w14:paraId="19E4698A" w14:textId="77777777" w:rsidR="00235EBA" w:rsidRPr="00944B15" w:rsidRDefault="00235EBA" w:rsidP="002D6DD7">
            <w:pPr>
              <w:jc w:val="both"/>
              <w:rPr>
                <w:rFonts w:cs="Times New Roman"/>
                <w:szCs w:val="24"/>
              </w:rPr>
            </w:pPr>
            <w:r>
              <w:rPr>
                <w:rFonts w:cs="Times New Roman"/>
                <w:szCs w:val="24"/>
              </w:rPr>
              <w:t>Store below 30°C. Protect</w:t>
            </w:r>
            <w:r w:rsidRPr="000D1305">
              <w:rPr>
                <w:rFonts w:cs="Times New Roman"/>
                <w:szCs w:val="24"/>
              </w:rPr>
              <w:t xml:space="preserve"> from light.</w:t>
            </w:r>
          </w:p>
        </w:tc>
      </w:tr>
      <w:tr w:rsidR="00235EBA" w:rsidRPr="00944B15" w14:paraId="36FB50D4" w14:textId="77777777" w:rsidTr="002D6DD7">
        <w:trPr>
          <w:jc w:val="center"/>
        </w:trPr>
        <w:tc>
          <w:tcPr>
            <w:tcW w:w="9175" w:type="dxa"/>
            <w:gridSpan w:val="2"/>
          </w:tcPr>
          <w:p w14:paraId="3BE40E09" w14:textId="77777777" w:rsidR="00235EBA" w:rsidRPr="00944B15" w:rsidRDefault="00235EBA" w:rsidP="002D6DD7">
            <w:pPr>
              <w:jc w:val="both"/>
              <w:rPr>
                <w:rFonts w:cs="Times New Roman"/>
                <w:b/>
                <w:bCs/>
                <w:szCs w:val="24"/>
              </w:rPr>
            </w:pPr>
            <w:r w:rsidRPr="00944B15">
              <w:rPr>
                <w:rFonts w:cs="Times New Roman"/>
                <w:b/>
                <w:bCs/>
                <w:szCs w:val="24"/>
              </w:rPr>
              <w:t>Tamsulosin hydrochloride</w:t>
            </w:r>
          </w:p>
        </w:tc>
      </w:tr>
      <w:tr w:rsidR="00235EBA" w:rsidRPr="00944B15" w14:paraId="1FFBCE09" w14:textId="77777777" w:rsidTr="002D6DD7">
        <w:trPr>
          <w:jc w:val="center"/>
        </w:trPr>
        <w:tc>
          <w:tcPr>
            <w:tcW w:w="2695" w:type="dxa"/>
          </w:tcPr>
          <w:p w14:paraId="62589B85" w14:textId="77777777" w:rsidR="00235EBA" w:rsidRPr="00944B15" w:rsidRDefault="00235EBA" w:rsidP="002D6DD7">
            <w:pPr>
              <w:rPr>
                <w:rFonts w:cs="Times New Roman"/>
                <w:szCs w:val="24"/>
              </w:rPr>
            </w:pPr>
            <w:r w:rsidRPr="00944B15">
              <w:rPr>
                <w:rFonts w:cs="Times New Roman"/>
                <w:szCs w:val="24"/>
              </w:rPr>
              <w:t>Pharmacologic class</w:t>
            </w:r>
          </w:p>
        </w:tc>
        <w:tc>
          <w:tcPr>
            <w:tcW w:w="6480" w:type="dxa"/>
          </w:tcPr>
          <w:p w14:paraId="7C533A98" w14:textId="77777777" w:rsidR="00235EBA" w:rsidRPr="00944B15" w:rsidRDefault="00235EBA" w:rsidP="002D6DD7">
            <w:pPr>
              <w:jc w:val="both"/>
              <w:rPr>
                <w:rFonts w:cs="Times New Roman"/>
                <w:szCs w:val="24"/>
              </w:rPr>
            </w:pPr>
            <w:r w:rsidRPr="00944B15">
              <w:rPr>
                <w:rFonts w:cs="Times New Roman"/>
                <w:szCs w:val="24"/>
              </w:rPr>
              <w:t>alpha1-selective adrenoceptor blockers</w:t>
            </w:r>
          </w:p>
        </w:tc>
      </w:tr>
      <w:tr w:rsidR="00235EBA" w:rsidRPr="00944B15" w14:paraId="74EFA5C7" w14:textId="77777777" w:rsidTr="002D6DD7">
        <w:trPr>
          <w:jc w:val="center"/>
        </w:trPr>
        <w:tc>
          <w:tcPr>
            <w:tcW w:w="2695" w:type="dxa"/>
          </w:tcPr>
          <w:p w14:paraId="1A1BE9A4" w14:textId="77777777" w:rsidR="00235EBA" w:rsidRPr="00944B15" w:rsidRDefault="00235EBA" w:rsidP="002D6DD7">
            <w:pPr>
              <w:rPr>
                <w:rFonts w:cs="Times New Roman"/>
                <w:szCs w:val="24"/>
              </w:rPr>
            </w:pPr>
            <w:r w:rsidRPr="00944B15">
              <w:rPr>
                <w:rFonts w:cs="Times New Roman"/>
                <w:szCs w:val="24"/>
              </w:rPr>
              <w:t>Dosage form</w:t>
            </w:r>
          </w:p>
        </w:tc>
        <w:tc>
          <w:tcPr>
            <w:tcW w:w="6480" w:type="dxa"/>
          </w:tcPr>
          <w:p w14:paraId="3BDEFF29" w14:textId="77777777" w:rsidR="00235EBA" w:rsidRPr="00944B15" w:rsidRDefault="00235EBA" w:rsidP="002D6DD7">
            <w:pPr>
              <w:jc w:val="both"/>
              <w:rPr>
                <w:rFonts w:cs="Times New Roman"/>
                <w:szCs w:val="24"/>
              </w:rPr>
            </w:pPr>
            <w:r w:rsidRPr="00944B15">
              <w:rPr>
                <w:rFonts w:eastAsia="Calibri" w:cs="Times New Roman"/>
                <w:iCs/>
                <w:color w:val="000000"/>
                <w:szCs w:val="24"/>
              </w:rPr>
              <w:t>Tablet: 0.4mg</w:t>
            </w:r>
          </w:p>
        </w:tc>
      </w:tr>
      <w:tr w:rsidR="00235EBA" w:rsidRPr="00944B15" w14:paraId="25432F39" w14:textId="77777777" w:rsidTr="002D6DD7">
        <w:trPr>
          <w:jc w:val="center"/>
        </w:trPr>
        <w:tc>
          <w:tcPr>
            <w:tcW w:w="2695" w:type="dxa"/>
          </w:tcPr>
          <w:p w14:paraId="28B7B3FD" w14:textId="77777777" w:rsidR="00235EBA" w:rsidRPr="00944B15" w:rsidRDefault="00235EBA" w:rsidP="002D6DD7">
            <w:pPr>
              <w:rPr>
                <w:rFonts w:cs="Times New Roman"/>
                <w:szCs w:val="24"/>
              </w:rPr>
            </w:pPr>
            <w:r w:rsidRPr="00944B15">
              <w:rPr>
                <w:rFonts w:cs="Times New Roman"/>
                <w:szCs w:val="24"/>
              </w:rPr>
              <w:t>Indications</w:t>
            </w:r>
          </w:p>
        </w:tc>
        <w:tc>
          <w:tcPr>
            <w:tcW w:w="6480" w:type="dxa"/>
          </w:tcPr>
          <w:p w14:paraId="2A80AB95" w14:textId="77777777" w:rsidR="00235EBA" w:rsidRPr="00944B15" w:rsidRDefault="00235EBA" w:rsidP="002D6DD7">
            <w:pPr>
              <w:tabs>
                <w:tab w:val="left" w:pos="4860"/>
              </w:tabs>
              <w:jc w:val="both"/>
              <w:rPr>
                <w:rFonts w:cs="Times New Roman"/>
                <w:szCs w:val="24"/>
              </w:rPr>
            </w:pPr>
            <w:r w:rsidRPr="00944B15">
              <w:rPr>
                <w:rFonts w:cs="Times New Roman"/>
                <w:szCs w:val="24"/>
              </w:rPr>
              <w:t>Benign prostatic hyperplasia</w:t>
            </w:r>
            <w:r w:rsidRPr="00944B15">
              <w:rPr>
                <w:rFonts w:cs="Times New Roman"/>
                <w:szCs w:val="24"/>
              </w:rPr>
              <w:tab/>
            </w:r>
          </w:p>
        </w:tc>
      </w:tr>
      <w:tr w:rsidR="00235EBA" w:rsidRPr="00944B15" w14:paraId="17AF1BF3" w14:textId="77777777" w:rsidTr="002D6DD7">
        <w:trPr>
          <w:jc w:val="center"/>
        </w:trPr>
        <w:tc>
          <w:tcPr>
            <w:tcW w:w="2695" w:type="dxa"/>
          </w:tcPr>
          <w:p w14:paraId="1D776B1C" w14:textId="77777777" w:rsidR="00235EBA" w:rsidRPr="00944B15" w:rsidRDefault="00235EBA" w:rsidP="002D6DD7">
            <w:pPr>
              <w:rPr>
                <w:rFonts w:cs="Times New Roman"/>
                <w:szCs w:val="24"/>
              </w:rPr>
            </w:pPr>
            <w:r w:rsidRPr="000F141A">
              <w:rPr>
                <w:rFonts w:cs="Times New Roman"/>
                <w:szCs w:val="24"/>
              </w:rPr>
              <w:t>Dose and Administration</w:t>
            </w:r>
          </w:p>
        </w:tc>
        <w:tc>
          <w:tcPr>
            <w:tcW w:w="6480" w:type="dxa"/>
          </w:tcPr>
          <w:p w14:paraId="0954DD01" w14:textId="77777777" w:rsidR="00235EBA" w:rsidRPr="00944B15" w:rsidRDefault="00235EBA" w:rsidP="002D6DD7">
            <w:pPr>
              <w:jc w:val="both"/>
              <w:rPr>
                <w:rFonts w:cs="Times New Roman"/>
                <w:szCs w:val="24"/>
              </w:rPr>
            </w:pPr>
            <w:r w:rsidRPr="00E90DA7">
              <w:rPr>
                <w:rFonts w:cs="Times New Roman"/>
                <w:b/>
                <w:szCs w:val="24"/>
              </w:rPr>
              <w:t>Adult</w:t>
            </w:r>
            <w:r>
              <w:rPr>
                <w:rFonts w:cs="Times New Roman"/>
                <w:b/>
                <w:szCs w:val="24"/>
              </w:rPr>
              <w:t>:</w:t>
            </w:r>
            <w:r>
              <w:rPr>
                <w:rFonts w:cs="Times New Roman"/>
                <w:szCs w:val="24"/>
              </w:rPr>
              <w:t xml:space="preserve"> </w:t>
            </w:r>
            <w:r w:rsidRPr="00944B15">
              <w:rPr>
                <w:rFonts w:cs="Times New Roman"/>
                <w:szCs w:val="24"/>
              </w:rPr>
              <w:t>0.4 mg orally</w:t>
            </w:r>
            <w:r w:rsidRPr="00944B15">
              <w:rPr>
                <w:rFonts w:cs="Times New Roman"/>
                <w:i/>
                <w:szCs w:val="24"/>
              </w:rPr>
              <w:t xml:space="preserve"> </w:t>
            </w:r>
            <w:r w:rsidRPr="00944B15">
              <w:rPr>
                <w:rFonts w:cs="Times New Roman"/>
                <w:szCs w:val="24"/>
              </w:rPr>
              <w:t>daily</w:t>
            </w:r>
            <w:r>
              <w:rPr>
                <w:rFonts w:cs="Times New Roman"/>
                <w:szCs w:val="24"/>
              </w:rPr>
              <w:t xml:space="preserve"> after meal</w:t>
            </w:r>
            <w:r w:rsidRPr="00944B15">
              <w:rPr>
                <w:rFonts w:cs="Times New Roman"/>
                <w:szCs w:val="24"/>
              </w:rPr>
              <w:t>. If symptoms do not improve in 4 weeks, the dose can be increased to a maximum of 0.8mg.</w:t>
            </w:r>
          </w:p>
        </w:tc>
      </w:tr>
      <w:tr w:rsidR="00235EBA" w:rsidRPr="00944B15" w14:paraId="3B990F25" w14:textId="77777777" w:rsidTr="002D6DD7">
        <w:trPr>
          <w:jc w:val="center"/>
        </w:trPr>
        <w:tc>
          <w:tcPr>
            <w:tcW w:w="2695" w:type="dxa"/>
          </w:tcPr>
          <w:p w14:paraId="33CFEFAD" w14:textId="77777777" w:rsidR="00235EBA" w:rsidRPr="00944B15" w:rsidRDefault="00235EBA" w:rsidP="002D6DD7">
            <w:pPr>
              <w:rPr>
                <w:rFonts w:cs="Times New Roman"/>
                <w:szCs w:val="24"/>
              </w:rPr>
            </w:pPr>
            <w:r w:rsidRPr="00944B15">
              <w:rPr>
                <w:rFonts w:cs="Times New Roman"/>
                <w:szCs w:val="24"/>
              </w:rPr>
              <w:t>Contraindications</w:t>
            </w:r>
          </w:p>
        </w:tc>
        <w:tc>
          <w:tcPr>
            <w:tcW w:w="6480" w:type="dxa"/>
          </w:tcPr>
          <w:p w14:paraId="4B2A94BE" w14:textId="77777777" w:rsidR="00235EBA" w:rsidRPr="00944B15" w:rsidRDefault="00235EBA" w:rsidP="002D6DD7">
            <w:pPr>
              <w:jc w:val="both"/>
              <w:rPr>
                <w:rFonts w:cs="Times New Roman"/>
                <w:szCs w:val="24"/>
              </w:rPr>
            </w:pPr>
            <w:r w:rsidRPr="00944B15">
              <w:rPr>
                <w:rFonts w:cs="Times New Roman"/>
                <w:szCs w:val="24"/>
              </w:rPr>
              <w:t>Hypersensitivity</w:t>
            </w:r>
            <w:r>
              <w:rPr>
                <w:rFonts w:cs="Times New Roman"/>
                <w:szCs w:val="24"/>
              </w:rPr>
              <w:t xml:space="preserve"> to the drug</w:t>
            </w:r>
            <w:r w:rsidRPr="00944B15">
              <w:rPr>
                <w:rFonts w:cs="Times New Roman"/>
                <w:szCs w:val="24"/>
              </w:rPr>
              <w:t>, history of micturition syncope, hi</w:t>
            </w:r>
            <w:r>
              <w:rPr>
                <w:rFonts w:cs="Times New Roman"/>
                <w:szCs w:val="24"/>
              </w:rPr>
              <w:t>story of postural hypotension, s</w:t>
            </w:r>
            <w:r w:rsidRPr="00944B15">
              <w:rPr>
                <w:rFonts w:cs="Times New Roman"/>
                <w:szCs w:val="24"/>
              </w:rPr>
              <w:t>evere hepatic insufficiency</w:t>
            </w:r>
          </w:p>
        </w:tc>
      </w:tr>
      <w:tr w:rsidR="00235EBA" w:rsidRPr="00944B15" w14:paraId="7A7A112E" w14:textId="77777777" w:rsidTr="002D6DD7">
        <w:trPr>
          <w:jc w:val="center"/>
        </w:trPr>
        <w:tc>
          <w:tcPr>
            <w:tcW w:w="2695" w:type="dxa"/>
          </w:tcPr>
          <w:p w14:paraId="79E6DB46" w14:textId="77777777" w:rsidR="00235EBA" w:rsidRPr="00944B15" w:rsidRDefault="00235EBA" w:rsidP="002D6DD7">
            <w:pPr>
              <w:rPr>
                <w:rFonts w:cs="Times New Roman"/>
                <w:szCs w:val="24"/>
              </w:rPr>
            </w:pPr>
            <w:r w:rsidRPr="00944B15">
              <w:rPr>
                <w:rFonts w:cs="Times New Roman"/>
                <w:szCs w:val="24"/>
              </w:rPr>
              <w:t>Drug interactions</w:t>
            </w:r>
          </w:p>
        </w:tc>
        <w:tc>
          <w:tcPr>
            <w:tcW w:w="6480" w:type="dxa"/>
          </w:tcPr>
          <w:p w14:paraId="28770EA8" w14:textId="77777777" w:rsidR="00235EBA" w:rsidRPr="00944B15" w:rsidRDefault="00235EBA" w:rsidP="002D6DD7">
            <w:pPr>
              <w:jc w:val="both"/>
              <w:rPr>
                <w:rFonts w:cs="Times New Roman"/>
                <w:szCs w:val="24"/>
              </w:rPr>
            </w:pPr>
            <w:r w:rsidRPr="00944B15">
              <w:rPr>
                <w:rFonts w:cs="Times New Roman"/>
                <w:szCs w:val="24"/>
              </w:rPr>
              <w:t>Ketoconazole, fluconazole, diltiazem, verapamil, phenobarbitone, carbamazepine, phenytoin, rifampicin, hypotensive drugs</w:t>
            </w:r>
          </w:p>
        </w:tc>
      </w:tr>
      <w:tr w:rsidR="00235EBA" w:rsidRPr="00944B15" w14:paraId="5E6FE410" w14:textId="77777777" w:rsidTr="002D6DD7">
        <w:trPr>
          <w:jc w:val="center"/>
        </w:trPr>
        <w:tc>
          <w:tcPr>
            <w:tcW w:w="2695" w:type="dxa"/>
          </w:tcPr>
          <w:p w14:paraId="37F1FCDC" w14:textId="77777777" w:rsidR="00235EBA" w:rsidRPr="00944B15" w:rsidRDefault="00235EBA" w:rsidP="002D6DD7">
            <w:pPr>
              <w:rPr>
                <w:rFonts w:cs="Times New Roman"/>
                <w:szCs w:val="24"/>
              </w:rPr>
            </w:pPr>
            <w:r w:rsidRPr="00944B15">
              <w:rPr>
                <w:rFonts w:cs="Times New Roman"/>
                <w:szCs w:val="24"/>
              </w:rPr>
              <w:lastRenderedPageBreak/>
              <w:t>Side effects</w:t>
            </w:r>
          </w:p>
        </w:tc>
        <w:tc>
          <w:tcPr>
            <w:tcW w:w="6480" w:type="dxa"/>
          </w:tcPr>
          <w:p w14:paraId="597E542B" w14:textId="77777777" w:rsidR="00235EBA" w:rsidRPr="00944B15" w:rsidRDefault="00235EBA" w:rsidP="002D6DD7">
            <w:pPr>
              <w:jc w:val="both"/>
              <w:rPr>
                <w:rFonts w:cs="Times New Roman"/>
                <w:szCs w:val="24"/>
              </w:rPr>
            </w:pPr>
            <w:r w:rsidRPr="00944B15">
              <w:rPr>
                <w:rFonts w:cs="Times New Roman"/>
                <w:szCs w:val="24"/>
              </w:rPr>
              <w:t>Dizziness, ejaculation disorders, asthenia, constipation, diarrhoea, headache, nausea, palpitations, postural hypotension, rhinitis, skin reactions, vomiting</w:t>
            </w:r>
            <w:r>
              <w:rPr>
                <w:rFonts w:cs="Times New Roman"/>
                <w:szCs w:val="24"/>
              </w:rPr>
              <w:t xml:space="preserve"> and</w:t>
            </w:r>
            <w:r w:rsidRPr="00944B15">
              <w:rPr>
                <w:rFonts w:cs="Times New Roman"/>
                <w:szCs w:val="24"/>
              </w:rPr>
              <w:t xml:space="preserve"> hypersensitivity reactions</w:t>
            </w:r>
          </w:p>
        </w:tc>
      </w:tr>
      <w:tr w:rsidR="00235EBA" w:rsidRPr="00944B15" w14:paraId="19ACA0AB" w14:textId="77777777" w:rsidTr="002D6DD7">
        <w:trPr>
          <w:jc w:val="center"/>
        </w:trPr>
        <w:tc>
          <w:tcPr>
            <w:tcW w:w="2695" w:type="dxa"/>
          </w:tcPr>
          <w:p w14:paraId="058D2FFA" w14:textId="77777777" w:rsidR="00235EBA" w:rsidRPr="00944B15" w:rsidRDefault="00235EBA" w:rsidP="002D6DD7">
            <w:pPr>
              <w:rPr>
                <w:rFonts w:cs="Times New Roman"/>
                <w:szCs w:val="24"/>
              </w:rPr>
            </w:pPr>
            <w:r w:rsidRPr="00944B15">
              <w:rPr>
                <w:rFonts w:cs="Times New Roman"/>
                <w:szCs w:val="24"/>
              </w:rPr>
              <w:t xml:space="preserve">Cautions </w:t>
            </w:r>
          </w:p>
        </w:tc>
        <w:tc>
          <w:tcPr>
            <w:tcW w:w="6480" w:type="dxa"/>
          </w:tcPr>
          <w:p w14:paraId="14764E75" w14:textId="77777777" w:rsidR="00235EBA" w:rsidRPr="00944B15" w:rsidRDefault="00235EBA" w:rsidP="002D6DD7">
            <w:pPr>
              <w:jc w:val="both"/>
              <w:rPr>
                <w:rFonts w:cs="Times New Roman"/>
                <w:szCs w:val="24"/>
              </w:rPr>
            </w:pPr>
            <w:r>
              <w:rPr>
                <w:rFonts w:cs="Times New Roman"/>
                <w:szCs w:val="24"/>
              </w:rPr>
              <w:t>L</w:t>
            </w:r>
            <w:r w:rsidRPr="00944B15">
              <w:rPr>
                <w:rFonts w:cs="Times New Roman"/>
                <w:szCs w:val="24"/>
              </w:rPr>
              <w:t>iver disease, general anesthesia, hypotension, prostat</w:t>
            </w:r>
            <w:r>
              <w:rPr>
                <w:rFonts w:cs="Times New Roman"/>
                <w:szCs w:val="24"/>
              </w:rPr>
              <w:t>ic cancer</w:t>
            </w:r>
            <w:r w:rsidRPr="00944B15">
              <w:rPr>
                <w:rFonts w:cs="Times New Roman"/>
                <w:szCs w:val="24"/>
              </w:rPr>
              <w:t xml:space="preserve">, </w:t>
            </w:r>
            <w:r>
              <w:rPr>
                <w:rFonts w:cs="Times New Roman"/>
                <w:szCs w:val="24"/>
              </w:rPr>
              <w:t>angina</w:t>
            </w:r>
            <w:r w:rsidRPr="00944B15">
              <w:rPr>
                <w:rFonts w:cs="Times New Roman"/>
                <w:szCs w:val="24"/>
              </w:rPr>
              <w:t>, intraoperative floppy iris syndrome (cataract surgery), heart failure</w:t>
            </w:r>
            <w:r>
              <w:rPr>
                <w:rFonts w:cs="Times New Roman"/>
                <w:szCs w:val="24"/>
              </w:rPr>
              <w:t xml:space="preserve"> and hypertension</w:t>
            </w:r>
          </w:p>
        </w:tc>
      </w:tr>
      <w:tr w:rsidR="00235EBA" w:rsidRPr="00944B15" w14:paraId="44E6953F" w14:textId="77777777" w:rsidTr="002D6DD7">
        <w:trPr>
          <w:jc w:val="center"/>
        </w:trPr>
        <w:tc>
          <w:tcPr>
            <w:tcW w:w="2695" w:type="dxa"/>
          </w:tcPr>
          <w:p w14:paraId="0E9C8283" w14:textId="77777777" w:rsidR="00235EBA" w:rsidRPr="00944B15" w:rsidRDefault="00235EBA" w:rsidP="002D6DD7">
            <w:pPr>
              <w:rPr>
                <w:rFonts w:cs="Times New Roman"/>
                <w:szCs w:val="24"/>
              </w:rPr>
            </w:pPr>
            <w:r w:rsidRPr="00944B15">
              <w:rPr>
                <w:rFonts w:cs="Times New Roman"/>
                <w:szCs w:val="24"/>
              </w:rPr>
              <w:t>Storage condition</w:t>
            </w:r>
          </w:p>
        </w:tc>
        <w:tc>
          <w:tcPr>
            <w:tcW w:w="6480" w:type="dxa"/>
          </w:tcPr>
          <w:p w14:paraId="25478C85" w14:textId="77777777" w:rsidR="00235EBA" w:rsidRPr="00944B15" w:rsidRDefault="00235EBA" w:rsidP="002D6DD7">
            <w:pPr>
              <w:jc w:val="both"/>
              <w:rPr>
                <w:rFonts w:cs="Times New Roman"/>
                <w:szCs w:val="24"/>
              </w:rPr>
            </w:pPr>
            <w:r w:rsidRPr="00944B15">
              <w:rPr>
                <w:rFonts w:cs="Times New Roman"/>
                <w:szCs w:val="24"/>
              </w:rPr>
              <w:t xml:space="preserve">Store </w:t>
            </w:r>
            <w:r>
              <w:rPr>
                <w:rFonts w:cs="Times New Roman"/>
                <w:szCs w:val="24"/>
              </w:rPr>
              <w:t>below 30</w:t>
            </w:r>
            <w:r w:rsidRPr="00944B15">
              <w:rPr>
                <w:rFonts w:cs="Times New Roman"/>
                <w:szCs w:val="24"/>
              </w:rPr>
              <w:t>°C</w:t>
            </w:r>
            <w:r>
              <w:rPr>
                <w:rFonts w:cs="Times New Roman"/>
                <w:szCs w:val="24"/>
              </w:rPr>
              <w:t>.</w:t>
            </w:r>
            <w:r w:rsidRPr="00944B15">
              <w:rPr>
                <w:rFonts w:cs="Times New Roman"/>
                <w:szCs w:val="24"/>
              </w:rPr>
              <w:t xml:space="preserve"> </w:t>
            </w:r>
            <w:r>
              <w:rPr>
                <w:rFonts w:cs="Times New Roman"/>
                <w:szCs w:val="24"/>
              </w:rPr>
              <w:t>P</w:t>
            </w:r>
            <w:r w:rsidRPr="00944B15">
              <w:rPr>
                <w:rFonts w:cs="Times New Roman"/>
                <w:szCs w:val="24"/>
              </w:rPr>
              <w:t>rotect from light and moisture.</w:t>
            </w:r>
          </w:p>
        </w:tc>
      </w:tr>
    </w:tbl>
    <w:p w14:paraId="5CF85DF0" w14:textId="77777777" w:rsidR="00235EBA" w:rsidRDefault="00235EBA" w:rsidP="00235EBA"/>
    <w:p w14:paraId="3F38A80A" w14:textId="77777777" w:rsidR="006254CE" w:rsidRPr="00EB59BD" w:rsidRDefault="006254CE" w:rsidP="00EB59BD">
      <w:pPr>
        <w:pStyle w:val="Heading1"/>
        <w:numPr>
          <w:ilvl w:val="0"/>
          <w:numId w:val="25"/>
        </w:numPr>
        <w:spacing w:after="240"/>
      </w:pPr>
      <w:bookmarkStart w:id="187" w:name="_Toc179490395"/>
      <w:r w:rsidRPr="00EB59BD">
        <w:t>Ophthalmic Medicines</w:t>
      </w:r>
      <w:bookmarkEnd w:id="187"/>
      <w:r w:rsidRPr="00EB59BD">
        <w:t xml:space="preserve">  </w:t>
      </w:r>
    </w:p>
    <w:p w14:paraId="7B935807" w14:textId="77777777" w:rsidR="006254CE" w:rsidRDefault="006254CE" w:rsidP="006254CE">
      <w:pPr>
        <w:autoSpaceDE w:val="0"/>
        <w:autoSpaceDN w:val="0"/>
        <w:adjustRightInd w:val="0"/>
        <w:spacing w:after="0"/>
        <w:jc w:val="both"/>
        <w:rPr>
          <w:rFonts w:cs="Times New Roman"/>
          <w:szCs w:val="24"/>
        </w:rPr>
      </w:pPr>
      <w:r w:rsidRPr="00944B15">
        <w:rPr>
          <w:rFonts w:cs="Times New Roman"/>
          <w:szCs w:val="24"/>
        </w:rPr>
        <w:t>Ophthalmic</w:t>
      </w:r>
      <w:r w:rsidRPr="00BD4E51">
        <w:rPr>
          <w:rFonts w:cs="Times New Roman"/>
          <w:szCs w:val="24"/>
        </w:rPr>
        <w:t xml:space="preserve"> medicines, available as drops, ointments, and gels, are used to treat a range of eye conditions such as infections, inflammation, glaucoma, and dry eyes.</w:t>
      </w:r>
    </w:p>
    <w:p w14:paraId="5EA500EC" w14:textId="77777777" w:rsidR="006254CE" w:rsidRDefault="006254CE" w:rsidP="006254CE">
      <w:pPr>
        <w:autoSpaceDE w:val="0"/>
        <w:autoSpaceDN w:val="0"/>
        <w:adjustRightInd w:val="0"/>
        <w:spacing w:before="240" w:after="0"/>
        <w:jc w:val="both"/>
        <w:rPr>
          <w:rFonts w:cs="Times New Roman"/>
          <w:szCs w:val="24"/>
        </w:rPr>
      </w:pPr>
      <w:r w:rsidRPr="00BD4E51">
        <w:rPr>
          <w:rFonts w:cs="Times New Roman"/>
          <w:szCs w:val="24"/>
        </w:rPr>
        <w:t>Antibiotic ophthalmic medications like tobramycin, ciprofloxacin, and erythromycin treat bacterial infections such as conjunctivitis and keratitis. Antiviral agents like ganciclovir target viral infections like herpetic keratitis, while antifungal medications like natamycin manage fungal infections.</w:t>
      </w:r>
    </w:p>
    <w:p w14:paraId="7B214BA7" w14:textId="77777777" w:rsidR="006254CE" w:rsidRDefault="006254CE" w:rsidP="006254CE">
      <w:pPr>
        <w:autoSpaceDE w:val="0"/>
        <w:autoSpaceDN w:val="0"/>
        <w:adjustRightInd w:val="0"/>
        <w:spacing w:before="240" w:after="0"/>
        <w:jc w:val="both"/>
        <w:rPr>
          <w:rFonts w:cs="Times New Roman"/>
          <w:szCs w:val="24"/>
        </w:rPr>
      </w:pPr>
      <w:r w:rsidRPr="00BD4E51">
        <w:rPr>
          <w:rFonts w:cs="Times New Roman"/>
          <w:szCs w:val="24"/>
        </w:rPr>
        <w:t>Anti-inflammatory ophthalmic medications include steroids like prednisolone acetate and NSAIDs such as ketorolac, which reduce inflammation in conditions like uveitis and post-surgery inflammation. Antihistamines and mast cell stabilizers like olopatadine and ketotifen treat allergic conjunctivitis by alleviating itching and swelling.</w:t>
      </w:r>
    </w:p>
    <w:p w14:paraId="4760316A" w14:textId="77777777" w:rsidR="006254CE" w:rsidRDefault="006254CE" w:rsidP="006254CE">
      <w:pPr>
        <w:autoSpaceDE w:val="0"/>
        <w:autoSpaceDN w:val="0"/>
        <w:adjustRightInd w:val="0"/>
        <w:spacing w:before="240" w:after="0"/>
        <w:jc w:val="both"/>
        <w:rPr>
          <w:rFonts w:cs="Times New Roman"/>
          <w:szCs w:val="24"/>
        </w:rPr>
      </w:pPr>
      <w:r w:rsidRPr="00BD4E51">
        <w:rPr>
          <w:rFonts w:cs="Times New Roman"/>
          <w:szCs w:val="24"/>
        </w:rPr>
        <w:t>Glaucoma medications lower intraocular pressure and include prostaglandin analogs (e.g., latanoprost), beta-blockers (e.g., timolol), alpha agonists (e.g., brimonidine), carbonic anhydrase inhibitors (e.g., dorzolamide), and Rho kinase inhibitors (e.g., netarsudil). Mydriatics and cycloplegics like atropine dilate the pupil for eye exams or inflammatory conditions.</w:t>
      </w:r>
    </w:p>
    <w:p w14:paraId="50549124" w14:textId="77777777" w:rsidR="006254CE" w:rsidRPr="004D21A1" w:rsidRDefault="006254CE" w:rsidP="006254CE">
      <w:pPr>
        <w:autoSpaceDE w:val="0"/>
        <w:autoSpaceDN w:val="0"/>
        <w:adjustRightInd w:val="0"/>
        <w:spacing w:before="240" w:after="0"/>
        <w:jc w:val="both"/>
        <w:rPr>
          <w:rFonts w:cs="Times New Roman"/>
          <w:szCs w:val="24"/>
        </w:rPr>
      </w:pPr>
      <w:r w:rsidRPr="00BD4E51">
        <w:rPr>
          <w:rFonts w:cs="Times New Roman"/>
          <w:szCs w:val="24"/>
        </w:rPr>
        <w:t xml:space="preserve">Artificial tears and lubricants such as carboxymethylcellulose relieve dry eyes by providing lubrication, while ophthalmic anesthetics like proparacaine numb the eye for procedures. Anti-VEGF agents such as ranibizumab are used to treat macular degeneration and diabetic </w:t>
      </w:r>
      <w:r w:rsidRPr="00BD4E51">
        <w:rPr>
          <w:rFonts w:cs="Times New Roman"/>
          <w:szCs w:val="24"/>
        </w:rPr>
        <w:lastRenderedPageBreak/>
        <w:t>retinopathy, and corticosteroids like dexamethasone manage inflammation in various eye conditions.</w:t>
      </w:r>
    </w:p>
    <w:p w14:paraId="5750DF8E" w14:textId="77777777" w:rsidR="006254CE" w:rsidRPr="00944B15" w:rsidRDefault="006254CE" w:rsidP="006254CE">
      <w:pPr>
        <w:autoSpaceDE w:val="0"/>
        <w:autoSpaceDN w:val="0"/>
        <w:adjustRightInd w:val="0"/>
        <w:spacing w:after="0"/>
        <w:jc w:val="both"/>
        <w:rPr>
          <w:rFonts w:cs="Times New Roman"/>
          <w:szCs w:val="24"/>
        </w:rPr>
      </w:pPr>
    </w:p>
    <w:p w14:paraId="549D1D61" w14:textId="77777777" w:rsidR="006254CE" w:rsidRPr="00EB59BD" w:rsidRDefault="006254CE" w:rsidP="00EB59BD">
      <w:pPr>
        <w:pStyle w:val="Heading2"/>
        <w:spacing w:before="240" w:after="240"/>
      </w:pPr>
      <w:bookmarkStart w:id="188" w:name="_Toc179490396"/>
      <w:r w:rsidRPr="00EB59BD">
        <w:t>Miotics and Anti-Glaucoma Medicines</w:t>
      </w:r>
      <w:bookmarkEnd w:id="188"/>
      <w:r w:rsidRPr="00EB59BD">
        <w:t xml:space="preserve">  </w:t>
      </w:r>
    </w:p>
    <w:p w14:paraId="2A7D076E" w14:textId="77777777" w:rsidR="006254CE" w:rsidRDefault="006254CE" w:rsidP="006254CE">
      <w:pPr>
        <w:autoSpaceDE w:val="0"/>
        <w:autoSpaceDN w:val="0"/>
        <w:adjustRightInd w:val="0"/>
        <w:spacing w:after="0"/>
        <w:jc w:val="both"/>
        <w:rPr>
          <w:rFonts w:eastAsia="Times New Roman" w:cs="Times New Roman"/>
          <w:bCs/>
          <w:iCs/>
          <w:color w:val="000000"/>
          <w:szCs w:val="24"/>
        </w:rPr>
      </w:pPr>
      <w:r w:rsidRPr="00944B15">
        <w:rPr>
          <w:rFonts w:eastAsia="Times New Roman" w:cs="Times New Roman"/>
          <w:bCs/>
          <w:iCs/>
          <w:color w:val="000000"/>
          <w:szCs w:val="24"/>
        </w:rPr>
        <w:t>Miotics</w:t>
      </w:r>
      <w:r w:rsidRPr="00AD1FD4">
        <w:rPr>
          <w:rFonts w:eastAsia="Times New Roman" w:cs="Times New Roman"/>
          <w:bCs/>
          <w:iCs/>
          <w:color w:val="000000"/>
          <w:szCs w:val="24"/>
        </w:rPr>
        <w:t xml:space="preserve"> and anti-glaucoma medications are crucial for managing glaucoma by reducing intraocular pressure (IOP). Miotics such as pilocarpine and carbachol work by constricting the pupil and increasing aqueous humour outflow, though they may cause side effects like headaches and blurred vision.</w:t>
      </w:r>
    </w:p>
    <w:p w14:paraId="1992BDBC" w14:textId="77777777" w:rsidR="006254CE" w:rsidRDefault="006254CE" w:rsidP="006254CE">
      <w:pPr>
        <w:autoSpaceDE w:val="0"/>
        <w:autoSpaceDN w:val="0"/>
        <w:adjustRightInd w:val="0"/>
        <w:spacing w:before="240" w:after="0"/>
        <w:jc w:val="both"/>
        <w:rPr>
          <w:rFonts w:eastAsia="Times New Roman" w:cs="Times New Roman"/>
          <w:bCs/>
          <w:iCs/>
          <w:color w:val="000000"/>
          <w:szCs w:val="24"/>
        </w:rPr>
      </w:pPr>
      <w:r w:rsidRPr="00AD1FD4">
        <w:rPr>
          <w:rFonts w:eastAsia="Times New Roman" w:cs="Times New Roman"/>
          <w:bCs/>
          <w:iCs/>
          <w:color w:val="000000"/>
          <w:szCs w:val="24"/>
        </w:rPr>
        <w:t>Anti-glaucoma medications include prostaglandin analogs like latanoprost, which enhance aqueous humour outflow. Beta-blockers such as timolol decrease aqueous humour production but can cause systemic side effects, including bradycardia. Alpha agonists like brimonidine reduce aqueous humour production, while carbonic anhydrase inhibitors like dorzolamide also lower production but may lead to metabolic acidosis. Rho kinase inhibitors like netarsudil improve aqueous outflow.</w:t>
      </w:r>
    </w:p>
    <w:p w14:paraId="2D85A6AC" w14:textId="77777777" w:rsidR="006254CE" w:rsidRPr="00944B15" w:rsidRDefault="006254CE" w:rsidP="006254CE">
      <w:pPr>
        <w:autoSpaceDE w:val="0"/>
        <w:autoSpaceDN w:val="0"/>
        <w:adjustRightInd w:val="0"/>
        <w:spacing w:before="240" w:after="0"/>
        <w:jc w:val="both"/>
        <w:rPr>
          <w:rFonts w:eastAsia="Times New Roman" w:cs="Times New Roman"/>
          <w:bCs/>
          <w:iCs/>
          <w:color w:val="000000"/>
          <w:szCs w:val="24"/>
        </w:rPr>
      </w:pPr>
      <w:r w:rsidRPr="00AD1FD4">
        <w:rPr>
          <w:rFonts w:eastAsia="Times New Roman" w:cs="Times New Roman"/>
          <w:bCs/>
          <w:iCs/>
          <w:color w:val="000000"/>
          <w:szCs w:val="24"/>
        </w:rPr>
        <w:t>Combination medications, such as timolol/dorzolamide, enhance compliance by combining multiple agents. Hyperosmotic agents like mannitol are used in acute settings to quickly lower IOP. Proper storage at room temperature, protected from light and moisture, is vital for maintaining the effectiveness of these medications. Together, these treatments play a key role in preventing vision loss and managing the progression of glaucoma.</w:t>
      </w:r>
    </w:p>
    <w:p w14:paraId="7B57D1FF" w14:textId="77777777" w:rsidR="006254CE" w:rsidRPr="00944B15" w:rsidRDefault="006254CE" w:rsidP="006254CE">
      <w:pPr>
        <w:spacing w:after="0"/>
        <w:jc w:val="both"/>
        <w:rPr>
          <w:rFonts w:eastAsia="Times New Roman" w:cs="Times New Roman"/>
          <w:szCs w:val="24"/>
        </w:rPr>
      </w:pPr>
    </w:p>
    <w:tbl>
      <w:tblPr>
        <w:tblStyle w:val="TableGrid1"/>
        <w:tblW w:w="9351" w:type="dxa"/>
        <w:tblLook w:val="04A0" w:firstRow="1" w:lastRow="0" w:firstColumn="1" w:lastColumn="0" w:noHBand="0" w:noVBand="1"/>
      </w:tblPr>
      <w:tblGrid>
        <w:gridCol w:w="2785"/>
        <w:gridCol w:w="6566"/>
      </w:tblGrid>
      <w:tr w:rsidR="006254CE" w:rsidRPr="00C83119" w14:paraId="33C6985F" w14:textId="77777777" w:rsidTr="002D6DD7">
        <w:trPr>
          <w:trHeight w:val="37"/>
        </w:trPr>
        <w:tc>
          <w:tcPr>
            <w:tcW w:w="9351" w:type="dxa"/>
            <w:gridSpan w:val="2"/>
          </w:tcPr>
          <w:p w14:paraId="732028B5" w14:textId="77777777" w:rsidR="006254CE" w:rsidRPr="00C83119" w:rsidRDefault="006254CE" w:rsidP="002D6DD7">
            <w:pPr>
              <w:jc w:val="both"/>
              <w:rPr>
                <w:rFonts w:cs="Times New Roman"/>
                <w:b/>
                <w:bCs/>
                <w:szCs w:val="24"/>
              </w:rPr>
            </w:pPr>
            <w:bookmarkStart w:id="189" w:name="_Toc168317510"/>
            <w:r w:rsidRPr="00C83119">
              <w:rPr>
                <w:rFonts w:cs="Times New Roman"/>
                <w:b/>
                <w:bCs/>
                <w:szCs w:val="24"/>
              </w:rPr>
              <w:t>Acetazolamide</w:t>
            </w:r>
            <w:bookmarkEnd w:id="189"/>
          </w:p>
        </w:tc>
      </w:tr>
      <w:tr w:rsidR="006254CE" w:rsidRPr="00C83119" w14:paraId="377A2B1A" w14:textId="77777777" w:rsidTr="002D6DD7">
        <w:tc>
          <w:tcPr>
            <w:tcW w:w="2785" w:type="dxa"/>
          </w:tcPr>
          <w:p w14:paraId="64D04EA6"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266623DA" w14:textId="77777777" w:rsidR="006254CE" w:rsidRPr="00C83119" w:rsidRDefault="006254CE" w:rsidP="002D6DD7">
            <w:pPr>
              <w:jc w:val="both"/>
              <w:rPr>
                <w:rFonts w:cs="Times New Roman"/>
                <w:szCs w:val="24"/>
              </w:rPr>
            </w:pPr>
            <w:r w:rsidRPr="00C83119">
              <w:rPr>
                <w:rFonts w:cs="Times New Roman"/>
                <w:szCs w:val="24"/>
              </w:rPr>
              <w:t>Carbonic anhydrase inhibitor</w:t>
            </w:r>
          </w:p>
        </w:tc>
      </w:tr>
      <w:tr w:rsidR="006254CE" w:rsidRPr="00C83119" w14:paraId="6883A1F3" w14:textId="77777777" w:rsidTr="002D6DD7">
        <w:tc>
          <w:tcPr>
            <w:tcW w:w="2785" w:type="dxa"/>
          </w:tcPr>
          <w:p w14:paraId="64D4542B"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40ADD9A7" w14:textId="77777777" w:rsidR="006254CE" w:rsidRPr="00C83119" w:rsidRDefault="006254CE" w:rsidP="002D6DD7">
            <w:pPr>
              <w:jc w:val="both"/>
              <w:rPr>
                <w:rFonts w:cs="Times New Roman"/>
                <w:szCs w:val="24"/>
              </w:rPr>
            </w:pPr>
            <w:r w:rsidRPr="00C83119">
              <w:rPr>
                <w:rFonts w:eastAsia="Times New Roman" w:cs="Times New Roman"/>
                <w:szCs w:val="24"/>
              </w:rPr>
              <w:t>Tablet: 250mg</w:t>
            </w:r>
          </w:p>
        </w:tc>
      </w:tr>
      <w:tr w:rsidR="006254CE" w:rsidRPr="00C83119" w14:paraId="1BE59238" w14:textId="77777777" w:rsidTr="002D6DD7">
        <w:tc>
          <w:tcPr>
            <w:tcW w:w="2785" w:type="dxa"/>
          </w:tcPr>
          <w:p w14:paraId="1CE8CFA8"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A73147C" w14:textId="77777777" w:rsidR="006254CE" w:rsidRPr="00C83119" w:rsidRDefault="006254CE" w:rsidP="002D6DD7">
            <w:pPr>
              <w:jc w:val="both"/>
              <w:rPr>
                <w:rFonts w:cs="Times New Roman"/>
                <w:szCs w:val="24"/>
              </w:rPr>
            </w:pPr>
            <w:r w:rsidRPr="00C83119">
              <w:rPr>
                <w:rFonts w:cs="Times New Roman"/>
                <w:szCs w:val="24"/>
              </w:rPr>
              <w:t>Reduction of intraocular pressure (IOP) in open-angle glaucoma, reduction of IOP perioperatively in angle-closure glaucoma</w:t>
            </w:r>
          </w:p>
        </w:tc>
      </w:tr>
      <w:tr w:rsidR="006254CE" w:rsidRPr="00C83119" w14:paraId="4B8151F3" w14:textId="77777777" w:rsidTr="002D6DD7">
        <w:tc>
          <w:tcPr>
            <w:tcW w:w="2785" w:type="dxa"/>
          </w:tcPr>
          <w:p w14:paraId="51273886"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68B03FC6"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250 mg to 1 g daily in divided doses</w:t>
            </w:r>
          </w:p>
          <w:p w14:paraId="4C8B79A1" w14:textId="77777777" w:rsidR="006254CE" w:rsidRPr="00C83119" w:rsidRDefault="006254CE" w:rsidP="002D6DD7">
            <w:pPr>
              <w:jc w:val="both"/>
              <w:rPr>
                <w:rFonts w:cs="Times New Roman"/>
                <w:szCs w:val="24"/>
              </w:rPr>
            </w:pPr>
            <w:r w:rsidRPr="00C83119">
              <w:rPr>
                <w:rFonts w:cs="Times New Roman"/>
                <w:b/>
                <w:bCs/>
                <w:szCs w:val="24"/>
              </w:rPr>
              <w:t>Child below 12 years:</w:t>
            </w:r>
            <w:r w:rsidRPr="00C83119">
              <w:rPr>
                <w:rFonts w:cs="Times New Roman"/>
                <w:szCs w:val="24"/>
              </w:rPr>
              <w:t xml:space="preserve"> 8 to 12 mg/kg daily in divided doses</w:t>
            </w:r>
          </w:p>
          <w:p w14:paraId="1DC5E224" w14:textId="77777777" w:rsidR="006254CE" w:rsidRPr="00C83119" w:rsidRDefault="006254CE" w:rsidP="002D6DD7">
            <w:pPr>
              <w:jc w:val="both"/>
              <w:rPr>
                <w:rFonts w:cs="Times New Roman"/>
                <w:szCs w:val="24"/>
              </w:rPr>
            </w:pPr>
            <w:r w:rsidRPr="00C83119">
              <w:rPr>
                <w:rFonts w:cs="Times New Roman"/>
                <w:b/>
                <w:bCs/>
                <w:szCs w:val="24"/>
              </w:rPr>
              <w:t>Child above 12 years:</w:t>
            </w:r>
            <w:r w:rsidRPr="00C83119">
              <w:rPr>
                <w:rFonts w:cs="Times New Roman"/>
                <w:szCs w:val="24"/>
              </w:rPr>
              <w:t xml:space="preserve"> 15 to 30 mg/kg daily in divided doses</w:t>
            </w:r>
          </w:p>
        </w:tc>
      </w:tr>
      <w:tr w:rsidR="006254CE" w:rsidRPr="00C83119" w14:paraId="78236D54" w14:textId="77777777" w:rsidTr="002D6DD7">
        <w:tc>
          <w:tcPr>
            <w:tcW w:w="2785" w:type="dxa"/>
          </w:tcPr>
          <w:p w14:paraId="3B31AD12" w14:textId="77777777" w:rsidR="006254CE" w:rsidRPr="00C83119" w:rsidRDefault="006254CE" w:rsidP="002D6DD7">
            <w:pPr>
              <w:jc w:val="both"/>
              <w:rPr>
                <w:rFonts w:cs="Times New Roman"/>
                <w:szCs w:val="24"/>
              </w:rPr>
            </w:pPr>
            <w:r w:rsidRPr="00C83119">
              <w:rPr>
                <w:rFonts w:cs="Times New Roman"/>
                <w:szCs w:val="24"/>
              </w:rPr>
              <w:lastRenderedPageBreak/>
              <w:t>Contraindications</w:t>
            </w:r>
          </w:p>
        </w:tc>
        <w:tc>
          <w:tcPr>
            <w:tcW w:w="6566" w:type="dxa"/>
            <w:tcBorders>
              <w:bottom w:val="single" w:sz="4" w:space="0" w:color="auto"/>
            </w:tcBorders>
          </w:tcPr>
          <w:p w14:paraId="7BC9648D" w14:textId="77777777" w:rsidR="006254CE" w:rsidRPr="00C83119" w:rsidRDefault="006254CE" w:rsidP="002D6DD7">
            <w:pPr>
              <w:jc w:val="both"/>
              <w:rPr>
                <w:rFonts w:cs="Times New Roman"/>
                <w:szCs w:val="24"/>
              </w:rPr>
            </w:pPr>
            <w:r w:rsidRPr="00C83119">
              <w:rPr>
                <w:rFonts w:cs="Times New Roman"/>
                <w:szCs w:val="24"/>
              </w:rPr>
              <w:t>Hypersensitivity to the drug, chronic angle-closure glaucoma, severe renal impairment, severe hepatic impairment, hypokalemia, hyponatremia, and hyperchloremic acidosis.</w:t>
            </w:r>
          </w:p>
        </w:tc>
      </w:tr>
      <w:tr w:rsidR="006254CE" w:rsidRPr="00C83119" w14:paraId="518A2298" w14:textId="77777777" w:rsidTr="002D6DD7">
        <w:tc>
          <w:tcPr>
            <w:tcW w:w="2785" w:type="dxa"/>
          </w:tcPr>
          <w:p w14:paraId="02263651"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Borders>
              <w:bottom w:val="single" w:sz="4" w:space="0" w:color="auto"/>
            </w:tcBorders>
          </w:tcPr>
          <w:p w14:paraId="0EFE6C37" w14:textId="77777777" w:rsidR="006254CE" w:rsidRPr="00C83119" w:rsidRDefault="006254CE" w:rsidP="002D6DD7">
            <w:pPr>
              <w:jc w:val="both"/>
              <w:rPr>
                <w:rFonts w:cs="Times New Roman"/>
                <w:szCs w:val="24"/>
              </w:rPr>
            </w:pPr>
            <w:r w:rsidRPr="00C83119">
              <w:rPr>
                <w:rFonts w:cs="Times New Roman"/>
                <w:szCs w:val="24"/>
              </w:rPr>
              <w:t>Quinidine, procainamide, mexiletine, and tricyclic antidepressants, lithium, diuretics and potassium-depleting agents, methenamine, valproate, aspirin, methotrexate.</w:t>
            </w:r>
          </w:p>
        </w:tc>
      </w:tr>
      <w:tr w:rsidR="006254CE" w:rsidRPr="00C83119" w14:paraId="350A15EB" w14:textId="77777777" w:rsidTr="002D6DD7">
        <w:tc>
          <w:tcPr>
            <w:tcW w:w="2785" w:type="dxa"/>
          </w:tcPr>
          <w:p w14:paraId="3B5DFCEE"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Borders>
              <w:top w:val="single" w:sz="4" w:space="0" w:color="auto"/>
            </w:tcBorders>
          </w:tcPr>
          <w:p w14:paraId="1FBD1CE4" w14:textId="77777777" w:rsidR="006254CE" w:rsidRPr="00C83119" w:rsidRDefault="006254CE" w:rsidP="002D6DD7">
            <w:pPr>
              <w:jc w:val="both"/>
              <w:rPr>
                <w:rFonts w:cs="Times New Roman"/>
                <w:szCs w:val="24"/>
              </w:rPr>
            </w:pPr>
            <w:r w:rsidRPr="00C83119">
              <w:rPr>
                <w:rFonts w:cs="Times New Roman"/>
                <w:szCs w:val="24"/>
              </w:rPr>
              <w:t>Paresthesia, fatigue, dizziness, loss of appetite, taste alterations, depression, drowsiness, confusion, myopia, blood dyscrasias, kidney stones, metabolic acidosis, liver dysfunction</w:t>
            </w:r>
          </w:p>
        </w:tc>
      </w:tr>
      <w:tr w:rsidR="006254CE" w:rsidRPr="00C83119" w14:paraId="5CEAEE8D" w14:textId="77777777" w:rsidTr="002D6DD7">
        <w:tc>
          <w:tcPr>
            <w:tcW w:w="2785" w:type="dxa"/>
          </w:tcPr>
          <w:p w14:paraId="5EF7AFF6"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5F26572B" w14:textId="77777777" w:rsidR="006254CE" w:rsidRPr="00C83119" w:rsidRDefault="006254CE" w:rsidP="002D6DD7">
            <w:pPr>
              <w:jc w:val="both"/>
              <w:rPr>
                <w:rFonts w:cs="Times New Roman"/>
                <w:szCs w:val="24"/>
              </w:rPr>
            </w:pPr>
            <w:r w:rsidRPr="00C83119">
              <w:rPr>
                <w:rFonts w:cs="Times New Roman"/>
                <w:szCs w:val="24"/>
              </w:rPr>
              <w:t>Operating machinery, driving, prolonged therapy, pulmonary obstruction, emphysema</w:t>
            </w:r>
          </w:p>
        </w:tc>
      </w:tr>
      <w:tr w:rsidR="006254CE" w:rsidRPr="00C83119" w14:paraId="0A43C1CF" w14:textId="77777777" w:rsidTr="002D6DD7">
        <w:tc>
          <w:tcPr>
            <w:tcW w:w="2785" w:type="dxa"/>
          </w:tcPr>
          <w:p w14:paraId="3BCE8093"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7C2749B6"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096A3225" w14:textId="77777777" w:rsidTr="002D6DD7">
        <w:trPr>
          <w:trHeight w:val="37"/>
        </w:trPr>
        <w:tc>
          <w:tcPr>
            <w:tcW w:w="9351" w:type="dxa"/>
            <w:gridSpan w:val="2"/>
          </w:tcPr>
          <w:p w14:paraId="646ECAE2" w14:textId="77777777" w:rsidR="006254CE" w:rsidRPr="00C83119" w:rsidRDefault="006254CE" w:rsidP="002D6DD7">
            <w:pPr>
              <w:jc w:val="both"/>
              <w:rPr>
                <w:rFonts w:cs="Times New Roman"/>
                <w:b/>
                <w:bCs/>
                <w:szCs w:val="24"/>
              </w:rPr>
            </w:pPr>
            <w:r w:rsidRPr="00C83119">
              <w:rPr>
                <w:rFonts w:cs="Times New Roman"/>
                <w:b/>
                <w:bCs/>
                <w:szCs w:val="24"/>
              </w:rPr>
              <w:t>Acetylcholine chloride</w:t>
            </w:r>
          </w:p>
        </w:tc>
      </w:tr>
      <w:tr w:rsidR="006254CE" w:rsidRPr="00C83119" w14:paraId="407036CD" w14:textId="77777777" w:rsidTr="002D6DD7">
        <w:trPr>
          <w:trHeight w:val="37"/>
        </w:trPr>
        <w:tc>
          <w:tcPr>
            <w:tcW w:w="2785" w:type="dxa"/>
          </w:tcPr>
          <w:p w14:paraId="4A127A73" w14:textId="77777777" w:rsidR="006254CE" w:rsidRPr="00C83119" w:rsidRDefault="006254CE" w:rsidP="002D6DD7">
            <w:pPr>
              <w:jc w:val="both"/>
              <w:rPr>
                <w:rFonts w:cs="Times New Roman"/>
                <w:szCs w:val="24"/>
              </w:rPr>
            </w:pPr>
            <w:r w:rsidRPr="00C83119">
              <w:rPr>
                <w:rFonts w:cs="Times New Roman"/>
                <w:szCs w:val="24"/>
              </w:rPr>
              <w:t>Pharmacological class</w:t>
            </w:r>
          </w:p>
        </w:tc>
        <w:tc>
          <w:tcPr>
            <w:tcW w:w="6566" w:type="dxa"/>
          </w:tcPr>
          <w:p w14:paraId="41F072C8" w14:textId="77777777" w:rsidR="006254CE" w:rsidRPr="00C83119" w:rsidRDefault="006254CE" w:rsidP="002D6DD7">
            <w:pPr>
              <w:jc w:val="both"/>
              <w:rPr>
                <w:rFonts w:cs="Times New Roman"/>
                <w:szCs w:val="24"/>
              </w:rPr>
            </w:pPr>
            <w:r w:rsidRPr="00C83119">
              <w:rPr>
                <w:rFonts w:cs="Times New Roman"/>
                <w:szCs w:val="24"/>
              </w:rPr>
              <w:t>Cholinergic</w:t>
            </w:r>
          </w:p>
        </w:tc>
      </w:tr>
      <w:tr w:rsidR="006254CE" w:rsidRPr="00C83119" w14:paraId="1DA6D2AC" w14:textId="77777777" w:rsidTr="002D6DD7">
        <w:trPr>
          <w:trHeight w:val="37"/>
        </w:trPr>
        <w:tc>
          <w:tcPr>
            <w:tcW w:w="2785" w:type="dxa"/>
            <w:vAlign w:val="bottom"/>
          </w:tcPr>
          <w:p w14:paraId="2BF32FA4"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Dosage form</w:t>
            </w:r>
          </w:p>
        </w:tc>
        <w:tc>
          <w:tcPr>
            <w:tcW w:w="6566" w:type="dxa"/>
            <w:vAlign w:val="bottom"/>
          </w:tcPr>
          <w:p w14:paraId="2B775FE6" w14:textId="77777777" w:rsidR="006254CE" w:rsidRPr="00C83119" w:rsidRDefault="006254CE" w:rsidP="002D6DD7">
            <w:pPr>
              <w:jc w:val="both"/>
              <w:rPr>
                <w:rFonts w:cs="Times New Roman"/>
                <w:szCs w:val="24"/>
              </w:rPr>
            </w:pPr>
            <w:r w:rsidRPr="00C83119">
              <w:rPr>
                <w:rFonts w:cs="Times New Roman"/>
                <w:color w:val="0D0D0D"/>
                <w:szCs w:val="24"/>
              </w:rPr>
              <w:t>Sterile solution: 1% acetylcholine chloride, available in single-dose vials or ampoules</w:t>
            </w:r>
          </w:p>
        </w:tc>
      </w:tr>
      <w:tr w:rsidR="006254CE" w:rsidRPr="00C83119" w14:paraId="3FC214E9" w14:textId="77777777" w:rsidTr="002D6DD7">
        <w:trPr>
          <w:trHeight w:val="37"/>
        </w:trPr>
        <w:tc>
          <w:tcPr>
            <w:tcW w:w="2785" w:type="dxa"/>
            <w:vAlign w:val="bottom"/>
          </w:tcPr>
          <w:p w14:paraId="23ECDB57"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Indications</w:t>
            </w:r>
          </w:p>
        </w:tc>
        <w:tc>
          <w:tcPr>
            <w:tcW w:w="6566" w:type="dxa"/>
            <w:vAlign w:val="bottom"/>
          </w:tcPr>
          <w:p w14:paraId="50A75DB0" w14:textId="77777777" w:rsidR="006254CE" w:rsidRPr="00C83119" w:rsidRDefault="006254CE" w:rsidP="002D6DD7">
            <w:pPr>
              <w:jc w:val="both"/>
              <w:rPr>
                <w:rFonts w:cs="Times New Roman"/>
                <w:szCs w:val="24"/>
              </w:rPr>
            </w:pPr>
            <w:r w:rsidRPr="00C83119">
              <w:rPr>
                <w:rFonts w:cs="Times New Roman"/>
                <w:color w:val="0D0D0D"/>
                <w:szCs w:val="24"/>
              </w:rPr>
              <w:t>Induction of miosis during anterior segment surgery (e.g., cataract extraction, keratoplasty, iridectomy).</w:t>
            </w:r>
          </w:p>
        </w:tc>
      </w:tr>
      <w:tr w:rsidR="006254CE" w:rsidRPr="00C83119" w14:paraId="634B928E" w14:textId="77777777" w:rsidTr="002D6DD7">
        <w:trPr>
          <w:trHeight w:val="37"/>
        </w:trPr>
        <w:tc>
          <w:tcPr>
            <w:tcW w:w="2785" w:type="dxa"/>
            <w:vAlign w:val="bottom"/>
          </w:tcPr>
          <w:p w14:paraId="13A8FEAC"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Dose and administration</w:t>
            </w:r>
          </w:p>
        </w:tc>
        <w:tc>
          <w:tcPr>
            <w:tcW w:w="6566" w:type="dxa"/>
            <w:vAlign w:val="bottom"/>
          </w:tcPr>
          <w:p w14:paraId="553EBFA9" w14:textId="77777777" w:rsidR="006254CE" w:rsidRPr="00C83119" w:rsidRDefault="006254CE" w:rsidP="002D6DD7">
            <w:pPr>
              <w:jc w:val="both"/>
              <w:rPr>
                <w:rFonts w:cs="Times New Roman"/>
                <w:szCs w:val="24"/>
              </w:rPr>
            </w:pPr>
            <w:r w:rsidRPr="00C83119">
              <w:rPr>
                <w:rStyle w:val="Strong"/>
                <w:rFonts w:cs="Times New Roman"/>
                <w:color w:val="0D0D0D"/>
                <w:szCs w:val="24"/>
                <w:bdr w:val="single" w:sz="2" w:space="0" w:color="E3E3E3" w:frame="1"/>
              </w:rPr>
              <w:t xml:space="preserve">Adult: </w:t>
            </w:r>
            <w:r w:rsidRPr="00C83119">
              <w:rPr>
                <w:rFonts w:cs="Times New Roman"/>
                <w:color w:val="0D0D0D"/>
                <w:szCs w:val="24"/>
              </w:rPr>
              <w:t>A single dose of 0.5 to 2.0 ml instilled directly into the anterior chamber (intracameral injection) during surgery.</w:t>
            </w:r>
          </w:p>
        </w:tc>
      </w:tr>
      <w:tr w:rsidR="006254CE" w:rsidRPr="00C83119" w14:paraId="6707A30E" w14:textId="77777777" w:rsidTr="002D6DD7">
        <w:trPr>
          <w:trHeight w:val="37"/>
        </w:trPr>
        <w:tc>
          <w:tcPr>
            <w:tcW w:w="2785" w:type="dxa"/>
            <w:vAlign w:val="bottom"/>
          </w:tcPr>
          <w:p w14:paraId="65423B75"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Contraindications</w:t>
            </w:r>
          </w:p>
        </w:tc>
        <w:tc>
          <w:tcPr>
            <w:tcW w:w="6566" w:type="dxa"/>
            <w:vAlign w:val="bottom"/>
          </w:tcPr>
          <w:p w14:paraId="38EFEA98" w14:textId="77777777" w:rsidR="006254CE" w:rsidRPr="00C83119" w:rsidRDefault="006254CE" w:rsidP="002D6DD7">
            <w:pPr>
              <w:jc w:val="both"/>
              <w:rPr>
                <w:rFonts w:cs="Times New Roman"/>
                <w:color w:val="0D0D0D"/>
                <w:szCs w:val="24"/>
              </w:rPr>
            </w:pPr>
            <w:r w:rsidRPr="00C83119">
              <w:rPr>
                <w:rFonts w:cs="Times New Roman"/>
                <w:color w:val="0D0D0D"/>
                <w:szCs w:val="24"/>
              </w:rPr>
              <w:t>Hypersensitivity to the drug or any component of the formulation, and conditions where miosis is undesirable (e.g., acute iritis).</w:t>
            </w:r>
          </w:p>
        </w:tc>
      </w:tr>
      <w:tr w:rsidR="006254CE" w:rsidRPr="00C83119" w14:paraId="6A1422E4" w14:textId="77777777" w:rsidTr="002D6DD7">
        <w:trPr>
          <w:trHeight w:val="37"/>
        </w:trPr>
        <w:tc>
          <w:tcPr>
            <w:tcW w:w="2785" w:type="dxa"/>
            <w:vAlign w:val="bottom"/>
          </w:tcPr>
          <w:p w14:paraId="2B07481F"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Drug interactions</w:t>
            </w:r>
          </w:p>
        </w:tc>
        <w:tc>
          <w:tcPr>
            <w:tcW w:w="6566" w:type="dxa"/>
            <w:vAlign w:val="bottom"/>
          </w:tcPr>
          <w:p w14:paraId="5166A6A7" w14:textId="77777777" w:rsidR="006254CE" w:rsidRPr="00C83119" w:rsidRDefault="006254CE" w:rsidP="002D6DD7">
            <w:pPr>
              <w:jc w:val="both"/>
              <w:rPr>
                <w:rFonts w:cs="Times New Roman"/>
                <w:color w:val="0D0D0D"/>
                <w:szCs w:val="24"/>
              </w:rPr>
            </w:pPr>
            <w:r w:rsidRPr="00C83119">
              <w:rPr>
                <w:rFonts w:cs="Times New Roman"/>
                <w:color w:val="0D0D0D"/>
                <w:szCs w:val="24"/>
              </w:rPr>
              <w:t>Systemic anticholinergics</w:t>
            </w:r>
          </w:p>
        </w:tc>
      </w:tr>
      <w:tr w:rsidR="006254CE" w:rsidRPr="00C83119" w14:paraId="1AD924B7" w14:textId="77777777" w:rsidTr="002D6DD7">
        <w:trPr>
          <w:trHeight w:val="37"/>
        </w:trPr>
        <w:tc>
          <w:tcPr>
            <w:tcW w:w="2785" w:type="dxa"/>
            <w:vAlign w:val="bottom"/>
          </w:tcPr>
          <w:p w14:paraId="218B76F2"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Side effects</w:t>
            </w:r>
          </w:p>
        </w:tc>
        <w:tc>
          <w:tcPr>
            <w:tcW w:w="6566" w:type="dxa"/>
            <w:vAlign w:val="bottom"/>
          </w:tcPr>
          <w:p w14:paraId="7E5EEDE3" w14:textId="77777777" w:rsidR="006254CE" w:rsidRPr="00C83119" w:rsidRDefault="006254CE" w:rsidP="002D6DD7">
            <w:pPr>
              <w:jc w:val="both"/>
              <w:rPr>
                <w:rFonts w:cs="Times New Roman"/>
                <w:bCs/>
                <w:color w:val="0D0D0D"/>
                <w:szCs w:val="24"/>
                <w:bdr w:val="single" w:sz="2" w:space="0" w:color="E3E3E3" w:frame="1"/>
              </w:rPr>
            </w:pPr>
            <w:r w:rsidRPr="00C83119">
              <w:rPr>
                <w:rFonts w:cs="Times New Roman"/>
                <w:bCs/>
                <w:color w:val="0D0D0D"/>
                <w:szCs w:val="24"/>
                <w:bdr w:val="single" w:sz="2" w:space="0" w:color="E3E3E3" w:frame="1"/>
              </w:rPr>
              <w:t xml:space="preserve">Corneal edema, corneal clouding, increased IOP, temporary stinging or burning sensation, systemic effects including hypotension, bradycardia, bronchospasm, sweating, flushing </w:t>
            </w:r>
          </w:p>
        </w:tc>
      </w:tr>
      <w:tr w:rsidR="006254CE" w:rsidRPr="00C83119" w14:paraId="17D544E5" w14:textId="77777777" w:rsidTr="002D6DD7">
        <w:trPr>
          <w:trHeight w:val="37"/>
        </w:trPr>
        <w:tc>
          <w:tcPr>
            <w:tcW w:w="2785" w:type="dxa"/>
            <w:vAlign w:val="bottom"/>
          </w:tcPr>
          <w:p w14:paraId="17622EB7"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Cautions</w:t>
            </w:r>
          </w:p>
        </w:tc>
        <w:tc>
          <w:tcPr>
            <w:tcW w:w="6566" w:type="dxa"/>
            <w:vAlign w:val="bottom"/>
          </w:tcPr>
          <w:p w14:paraId="2CA6D8BB" w14:textId="77777777" w:rsidR="006254CE" w:rsidRPr="00C83119" w:rsidRDefault="006254CE" w:rsidP="002D6DD7">
            <w:pPr>
              <w:jc w:val="both"/>
              <w:rPr>
                <w:rFonts w:cs="Times New Roman"/>
                <w:szCs w:val="24"/>
              </w:rPr>
            </w:pPr>
            <w:r w:rsidRPr="00C83119">
              <w:rPr>
                <w:rFonts w:cs="Times New Roman"/>
                <w:color w:val="0D0D0D"/>
                <w:szCs w:val="24"/>
              </w:rPr>
              <w:t>Cardiovascular disease, asthma, COPD, pregnancy, nursing mothers.</w:t>
            </w:r>
          </w:p>
        </w:tc>
      </w:tr>
      <w:tr w:rsidR="006254CE" w:rsidRPr="00C83119" w14:paraId="5AFDAF72" w14:textId="77777777" w:rsidTr="002D6DD7">
        <w:trPr>
          <w:trHeight w:val="37"/>
        </w:trPr>
        <w:tc>
          <w:tcPr>
            <w:tcW w:w="2785" w:type="dxa"/>
            <w:vAlign w:val="bottom"/>
          </w:tcPr>
          <w:p w14:paraId="6BC0B930" w14:textId="77777777" w:rsidR="006254CE" w:rsidRPr="00C83119" w:rsidRDefault="006254CE" w:rsidP="002D6DD7">
            <w:pPr>
              <w:jc w:val="both"/>
              <w:rPr>
                <w:rFonts w:cs="Times New Roman"/>
                <w:b/>
                <w:bCs/>
                <w:szCs w:val="24"/>
              </w:rPr>
            </w:pPr>
            <w:r w:rsidRPr="00C83119">
              <w:rPr>
                <w:rStyle w:val="Strong"/>
                <w:rFonts w:cs="Times New Roman"/>
                <w:b w:val="0"/>
                <w:bCs w:val="0"/>
                <w:color w:val="0D0D0D"/>
                <w:szCs w:val="24"/>
                <w:bdr w:val="single" w:sz="2" w:space="0" w:color="E3E3E3" w:frame="1"/>
              </w:rPr>
              <w:t>Storage condition</w:t>
            </w:r>
          </w:p>
        </w:tc>
        <w:tc>
          <w:tcPr>
            <w:tcW w:w="6566" w:type="dxa"/>
            <w:vAlign w:val="bottom"/>
          </w:tcPr>
          <w:p w14:paraId="5B8D68E3" w14:textId="77777777" w:rsidR="006254CE" w:rsidRPr="00C83119" w:rsidRDefault="006254CE" w:rsidP="002D6DD7">
            <w:pPr>
              <w:jc w:val="both"/>
              <w:rPr>
                <w:rFonts w:cs="Times New Roman"/>
                <w:szCs w:val="24"/>
              </w:rPr>
            </w:pPr>
            <w:r w:rsidRPr="00C83119">
              <w:rPr>
                <w:rFonts w:cs="Times New Roman"/>
                <w:color w:val="0D0D0D"/>
                <w:szCs w:val="24"/>
              </w:rPr>
              <w:t xml:space="preserve">Store in a refrigerator at 2-8°C. Do not freeze. Protect from light. </w:t>
            </w:r>
          </w:p>
        </w:tc>
      </w:tr>
      <w:tr w:rsidR="006254CE" w:rsidRPr="00C83119" w14:paraId="32842CC7" w14:textId="77777777" w:rsidTr="002D6DD7">
        <w:tc>
          <w:tcPr>
            <w:tcW w:w="9351" w:type="dxa"/>
            <w:gridSpan w:val="2"/>
          </w:tcPr>
          <w:p w14:paraId="5140803B" w14:textId="77777777" w:rsidR="006254CE" w:rsidRPr="00C83119" w:rsidRDefault="006254CE" w:rsidP="002D6DD7">
            <w:pPr>
              <w:jc w:val="both"/>
              <w:rPr>
                <w:rFonts w:cs="Times New Roman"/>
                <w:b/>
                <w:bCs/>
                <w:szCs w:val="24"/>
              </w:rPr>
            </w:pPr>
            <w:r w:rsidRPr="00C83119">
              <w:rPr>
                <w:rFonts w:cs="Times New Roman"/>
                <w:b/>
                <w:bCs/>
                <w:szCs w:val="24"/>
              </w:rPr>
              <w:t>Betaxolol</w:t>
            </w:r>
          </w:p>
        </w:tc>
      </w:tr>
      <w:tr w:rsidR="006254CE" w:rsidRPr="00C83119" w14:paraId="381015CD" w14:textId="77777777" w:rsidTr="002D6DD7">
        <w:tc>
          <w:tcPr>
            <w:tcW w:w="2785" w:type="dxa"/>
          </w:tcPr>
          <w:p w14:paraId="13B6A3DD" w14:textId="77777777" w:rsidR="006254CE" w:rsidRPr="00C83119" w:rsidRDefault="006254CE" w:rsidP="002D6DD7">
            <w:pPr>
              <w:jc w:val="both"/>
              <w:rPr>
                <w:rFonts w:cs="Times New Roman"/>
                <w:szCs w:val="24"/>
              </w:rPr>
            </w:pPr>
            <w:r w:rsidRPr="00C83119">
              <w:rPr>
                <w:rFonts w:cs="Times New Roman"/>
                <w:szCs w:val="24"/>
              </w:rPr>
              <w:lastRenderedPageBreak/>
              <w:t>Pharmacologic class</w:t>
            </w:r>
          </w:p>
        </w:tc>
        <w:tc>
          <w:tcPr>
            <w:tcW w:w="6566" w:type="dxa"/>
          </w:tcPr>
          <w:p w14:paraId="60B91965" w14:textId="77777777" w:rsidR="006254CE" w:rsidRPr="00C83119" w:rsidRDefault="006254CE" w:rsidP="002D6DD7">
            <w:pPr>
              <w:jc w:val="both"/>
              <w:rPr>
                <w:rFonts w:cs="Times New Roman"/>
                <w:szCs w:val="24"/>
              </w:rPr>
            </w:pPr>
            <w:r w:rsidRPr="00C83119">
              <w:rPr>
                <w:rFonts w:cs="Times New Roman"/>
                <w:color w:val="2A2A2A"/>
                <w:szCs w:val="24"/>
              </w:rPr>
              <w:t>Beta-adrenergic blocker</w:t>
            </w:r>
          </w:p>
        </w:tc>
      </w:tr>
      <w:tr w:rsidR="006254CE" w:rsidRPr="00C83119" w14:paraId="0B45AED1" w14:textId="77777777" w:rsidTr="002D6DD7">
        <w:tc>
          <w:tcPr>
            <w:tcW w:w="2785" w:type="dxa"/>
          </w:tcPr>
          <w:p w14:paraId="5C2138B5"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01894C6D" w14:textId="77777777" w:rsidR="006254CE" w:rsidRPr="00C83119" w:rsidRDefault="006254CE" w:rsidP="002D6DD7">
            <w:pPr>
              <w:jc w:val="both"/>
              <w:rPr>
                <w:rFonts w:cs="Times New Roman"/>
                <w:szCs w:val="24"/>
              </w:rPr>
            </w:pPr>
            <w:r w:rsidRPr="00C83119">
              <w:rPr>
                <w:rFonts w:eastAsia="Times New Roman" w:cs="Times New Roman"/>
                <w:szCs w:val="24"/>
              </w:rPr>
              <w:t>Eye drops 5 ml (0.5% w/v).</w:t>
            </w:r>
          </w:p>
        </w:tc>
      </w:tr>
      <w:tr w:rsidR="006254CE" w:rsidRPr="00C83119" w14:paraId="18A3437B" w14:textId="77777777" w:rsidTr="002D6DD7">
        <w:tc>
          <w:tcPr>
            <w:tcW w:w="2785" w:type="dxa"/>
          </w:tcPr>
          <w:p w14:paraId="0B504AC4"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2510115" w14:textId="77777777" w:rsidR="006254CE" w:rsidRPr="00C83119" w:rsidRDefault="006254CE" w:rsidP="002D6DD7">
            <w:pPr>
              <w:jc w:val="both"/>
              <w:rPr>
                <w:rFonts w:cs="Times New Roman"/>
                <w:szCs w:val="24"/>
              </w:rPr>
            </w:pPr>
            <w:r w:rsidRPr="00C83119">
              <w:rPr>
                <w:rFonts w:cs="Times New Roman"/>
                <w:szCs w:val="24"/>
              </w:rPr>
              <w:t>Treatment of chronic open-angle glaucoma and ocular hypertension.</w:t>
            </w:r>
          </w:p>
        </w:tc>
      </w:tr>
      <w:tr w:rsidR="006254CE" w:rsidRPr="00C83119" w14:paraId="605D132B" w14:textId="77777777" w:rsidTr="002D6DD7">
        <w:tc>
          <w:tcPr>
            <w:tcW w:w="2785" w:type="dxa"/>
          </w:tcPr>
          <w:p w14:paraId="4A609465"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7629CC8E"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1 to 2 drops, twice daily.</w:t>
            </w:r>
          </w:p>
          <w:p w14:paraId="3C994E49" w14:textId="77777777" w:rsidR="006254CE" w:rsidRPr="00C83119" w:rsidRDefault="006254CE" w:rsidP="002D6DD7">
            <w:pPr>
              <w:jc w:val="both"/>
              <w:rPr>
                <w:rFonts w:cs="Times New Roman"/>
                <w:szCs w:val="24"/>
              </w:rPr>
            </w:pPr>
            <w:r w:rsidRPr="00C83119">
              <w:rPr>
                <w:rFonts w:cs="Times New Roman"/>
                <w:b/>
                <w:bCs/>
                <w:szCs w:val="24"/>
              </w:rPr>
              <w:t>Child:</w:t>
            </w:r>
            <w:r w:rsidRPr="00C83119">
              <w:rPr>
                <w:rFonts w:cs="Times New Roman"/>
                <w:szCs w:val="24"/>
              </w:rPr>
              <w:t xml:space="preserve"> Not recommended.</w:t>
            </w:r>
          </w:p>
        </w:tc>
      </w:tr>
      <w:tr w:rsidR="006254CE" w:rsidRPr="00C83119" w14:paraId="30A399C9" w14:textId="77777777" w:rsidTr="002D6DD7">
        <w:tc>
          <w:tcPr>
            <w:tcW w:w="2785" w:type="dxa"/>
          </w:tcPr>
          <w:p w14:paraId="6DB551DA"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6012145A" w14:textId="77777777" w:rsidR="006254CE" w:rsidRPr="00C83119" w:rsidRDefault="006254CE" w:rsidP="002D6DD7">
            <w:pPr>
              <w:jc w:val="both"/>
              <w:rPr>
                <w:rFonts w:cs="Times New Roman"/>
                <w:szCs w:val="24"/>
              </w:rPr>
            </w:pPr>
            <w:r w:rsidRPr="00C83119">
              <w:rPr>
                <w:rFonts w:cs="Times New Roman"/>
                <w:szCs w:val="24"/>
              </w:rPr>
              <w:t>Hypersensitivity to the drug, bradycardia, heart block, uncontrolled heart failure</w:t>
            </w:r>
          </w:p>
        </w:tc>
      </w:tr>
      <w:tr w:rsidR="006254CE" w:rsidRPr="00C83119" w14:paraId="440A2640" w14:textId="77777777" w:rsidTr="002D6DD7">
        <w:tc>
          <w:tcPr>
            <w:tcW w:w="2785" w:type="dxa"/>
          </w:tcPr>
          <w:p w14:paraId="0F4F8CBD"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79D6E488" w14:textId="77777777" w:rsidR="006254CE" w:rsidRPr="00C83119" w:rsidRDefault="006254CE" w:rsidP="002D6DD7">
            <w:pPr>
              <w:jc w:val="both"/>
              <w:rPr>
                <w:rFonts w:cs="Times New Roman"/>
                <w:szCs w:val="24"/>
              </w:rPr>
            </w:pPr>
            <w:r w:rsidRPr="00C83119">
              <w:rPr>
                <w:rFonts w:cs="Times New Roman"/>
                <w:szCs w:val="24"/>
              </w:rPr>
              <w:t>Amiodarone, ciprofloxacin, ketoconazole, norfloxacin, chlorpromazine, fluoxetine, quinine, ritonavir, phenobarbital</w:t>
            </w:r>
          </w:p>
        </w:tc>
      </w:tr>
      <w:tr w:rsidR="006254CE" w:rsidRPr="00C83119" w14:paraId="5C46C1DC" w14:textId="77777777" w:rsidTr="002D6DD7">
        <w:tc>
          <w:tcPr>
            <w:tcW w:w="2785" w:type="dxa"/>
          </w:tcPr>
          <w:p w14:paraId="546A2E01"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0873C484" w14:textId="77777777" w:rsidR="006254CE" w:rsidRPr="00C83119" w:rsidRDefault="006254CE" w:rsidP="002D6DD7">
            <w:pPr>
              <w:jc w:val="both"/>
              <w:rPr>
                <w:rFonts w:cs="Times New Roman"/>
                <w:szCs w:val="24"/>
              </w:rPr>
            </w:pPr>
            <w:r w:rsidRPr="00C83119">
              <w:rPr>
                <w:rFonts w:cs="Times New Roman"/>
                <w:szCs w:val="24"/>
              </w:rPr>
              <w:t>Brown pigmentation, blepharitis, ocular irritation and pain, conjunctival hyperemia, transient punctate epithelial erosion, skin rash, dry eyes, headache, photophobia, darkening, thickening, lengthening of eyelashes</w:t>
            </w:r>
          </w:p>
        </w:tc>
      </w:tr>
      <w:tr w:rsidR="006254CE" w:rsidRPr="00C83119" w14:paraId="479BAAA1" w14:textId="77777777" w:rsidTr="002D6DD7">
        <w:tc>
          <w:tcPr>
            <w:tcW w:w="2785" w:type="dxa"/>
          </w:tcPr>
          <w:p w14:paraId="218800D2"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79944157" w14:textId="77777777" w:rsidR="006254CE" w:rsidRPr="00C83119" w:rsidRDefault="006254CE" w:rsidP="002D6DD7">
            <w:pPr>
              <w:jc w:val="both"/>
              <w:rPr>
                <w:rFonts w:cs="Times New Roman"/>
                <w:szCs w:val="24"/>
              </w:rPr>
            </w:pPr>
            <w:r w:rsidRPr="00C83119">
              <w:rPr>
                <w:rFonts w:cs="Times New Roman"/>
                <w:szCs w:val="24"/>
              </w:rPr>
              <w:t>Asthma, poor cardiac reserve, hepatic impairment, pregnancy</w:t>
            </w:r>
          </w:p>
        </w:tc>
      </w:tr>
      <w:tr w:rsidR="006254CE" w:rsidRPr="00C83119" w14:paraId="0BE703C5" w14:textId="77777777" w:rsidTr="002D6DD7">
        <w:tc>
          <w:tcPr>
            <w:tcW w:w="2785" w:type="dxa"/>
          </w:tcPr>
          <w:p w14:paraId="39EDBE6D"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70AF3090"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604B497A" w14:textId="77777777" w:rsidTr="002D6DD7">
        <w:trPr>
          <w:trHeight w:val="37"/>
        </w:trPr>
        <w:tc>
          <w:tcPr>
            <w:tcW w:w="9351" w:type="dxa"/>
            <w:gridSpan w:val="2"/>
          </w:tcPr>
          <w:p w14:paraId="38884EFE" w14:textId="77777777" w:rsidR="006254CE" w:rsidRPr="00C83119" w:rsidRDefault="006254CE" w:rsidP="002D6DD7">
            <w:pPr>
              <w:jc w:val="both"/>
              <w:rPr>
                <w:rFonts w:cs="Times New Roman"/>
                <w:b/>
                <w:bCs/>
                <w:szCs w:val="24"/>
              </w:rPr>
            </w:pPr>
            <w:bookmarkStart w:id="190" w:name="_Toc168317517"/>
            <w:r w:rsidRPr="00C83119">
              <w:rPr>
                <w:rFonts w:eastAsia="Times New Roman" w:cs="Times New Roman"/>
                <w:b/>
                <w:bCs/>
                <w:szCs w:val="24"/>
              </w:rPr>
              <w:t>Brimonidine</w:t>
            </w:r>
            <w:bookmarkEnd w:id="190"/>
          </w:p>
        </w:tc>
      </w:tr>
      <w:tr w:rsidR="006254CE" w:rsidRPr="00C83119" w14:paraId="51E64D83" w14:textId="77777777" w:rsidTr="002D6DD7">
        <w:trPr>
          <w:trHeight w:val="37"/>
        </w:trPr>
        <w:tc>
          <w:tcPr>
            <w:tcW w:w="2785" w:type="dxa"/>
          </w:tcPr>
          <w:p w14:paraId="434EBA0B"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3E4400FA" w14:textId="77777777" w:rsidR="006254CE" w:rsidRPr="00C83119" w:rsidRDefault="006254CE" w:rsidP="002D6DD7">
            <w:pPr>
              <w:jc w:val="both"/>
              <w:rPr>
                <w:rFonts w:cs="Times New Roman"/>
                <w:szCs w:val="24"/>
              </w:rPr>
            </w:pPr>
            <w:r w:rsidRPr="00C83119">
              <w:rPr>
                <w:rFonts w:cs="Times New Roman"/>
                <w:szCs w:val="24"/>
              </w:rPr>
              <w:t>Alpha-2 adrenoceptor agonist</w:t>
            </w:r>
          </w:p>
        </w:tc>
      </w:tr>
      <w:tr w:rsidR="006254CE" w:rsidRPr="00C83119" w14:paraId="3B76AE63" w14:textId="77777777" w:rsidTr="002D6DD7">
        <w:trPr>
          <w:trHeight w:val="37"/>
        </w:trPr>
        <w:tc>
          <w:tcPr>
            <w:tcW w:w="2785" w:type="dxa"/>
          </w:tcPr>
          <w:p w14:paraId="0B387A80"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10C04729" w14:textId="77777777" w:rsidR="006254CE" w:rsidRPr="00C83119" w:rsidRDefault="006254CE" w:rsidP="002D6DD7">
            <w:pPr>
              <w:jc w:val="both"/>
              <w:rPr>
                <w:rFonts w:cs="Times New Roman"/>
                <w:szCs w:val="24"/>
              </w:rPr>
            </w:pPr>
            <w:r w:rsidRPr="00C83119">
              <w:rPr>
                <w:rFonts w:eastAsia="Times New Roman" w:cs="Times New Roman"/>
                <w:szCs w:val="24"/>
              </w:rPr>
              <w:t>Solution: 0.5%</w:t>
            </w:r>
          </w:p>
        </w:tc>
      </w:tr>
      <w:tr w:rsidR="006254CE" w:rsidRPr="00C83119" w14:paraId="2F3FB243" w14:textId="77777777" w:rsidTr="002D6DD7">
        <w:tc>
          <w:tcPr>
            <w:tcW w:w="2785" w:type="dxa"/>
          </w:tcPr>
          <w:p w14:paraId="530CD22C"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DE7C365" w14:textId="77777777" w:rsidR="006254CE" w:rsidRPr="00C83119" w:rsidRDefault="006254CE" w:rsidP="002D6DD7">
            <w:pPr>
              <w:jc w:val="both"/>
              <w:rPr>
                <w:rFonts w:cs="Times New Roman"/>
                <w:b/>
                <w:bCs/>
                <w:szCs w:val="24"/>
              </w:rPr>
            </w:pPr>
            <w:r w:rsidRPr="00C83119">
              <w:rPr>
                <w:rFonts w:cs="Times New Roman"/>
                <w:szCs w:val="24"/>
              </w:rPr>
              <w:t>Raised intra-ocular pressure in open-angle glaucoma in patients for whom beta-blockers are inappropriate, ocular hypertension in patients for whom beta-blockers are inappropriate, adjunctive therapy when intra-ocular pressure is inadequately controlled by other antiglaucoma therapy</w:t>
            </w:r>
          </w:p>
        </w:tc>
      </w:tr>
      <w:tr w:rsidR="006254CE" w:rsidRPr="00C83119" w14:paraId="206B833B" w14:textId="77777777" w:rsidTr="002D6DD7">
        <w:tc>
          <w:tcPr>
            <w:tcW w:w="2785" w:type="dxa"/>
          </w:tcPr>
          <w:p w14:paraId="39A69380"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46756333" w14:textId="77777777" w:rsidR="006254CE" w:rsidRPr="00C83119" w:rsidRDefault="006254CE" w:rsidP="002D6DD7">
            <w:pPr>
              <w:jc w:val="both"/>
              <w:rPr>
                <w:rFonts w:cs="Times New Roman"/>
                <w:szCs w:val="24"/>
              </w:rPr>
            </w:pPr>
            <w:r w:rsidRPr="00C83119">
              <w:rPr>
                <w:rFonts w:cs="Times New Roman"/>
                <w:szCs w:val="24"/>
              </w:rPr>
              <w:t>Instil</w:t>
            </w:r>
            <w:r w:rsidRPr="00C83119">
              <w:rPr>
                <w:rFonts w:cs="Times New Roman"/>
                <w:spacing w:val="-2"/>
                <w:szCs w:val="24"/>
              </w:rPr>
              <w:t xml:space="preserve"> </w:t>
            </w:r>
            <w:r w:rsidRPr="00C83119">
              <w:rPr>
                <w:rFonts w:cs="Times New Roman"/>
                <w:szCs w:val="24"/>
              </w:rPr>
              <w:t>one</w:t>
            </w:r>
            <w:r w:rsidRPr="00C83119">
              <w:rPr>
                <w:rFonts w:cs="Times New Roman"/>
                <w:spacing w:val="-2"/>
                <w:szCs w:val="24"/>
              </w:rPr>
              <w:t xml:space="preserve"> </w:t>
            </w:r>
            <w:r w:rsidRPr="00C83119">
              <w:rPr>
                <w:rFonts w:cs="Times New Roman"/>
                <w:szCs w:val="24"/>
              </w:rPr>
              <w:t>drop</w:t>
            </w:r>
            <w:r w:rsidRPr="00C83119">
              <w:rPr>
                <w:rFonts w:cs="Times New Roman"/>
                <w:spacing w:val="-2"/>
                <w:szCs w:val="24"/>
              </w:rPr>
              <w:t xml:space="preserve"> </w:t>
            </w:r>
            <w:r w:rsidRPr="00C83119">
              <w:rPr>
                <w:rFonts w:cs="Times New Roman"/>
                <w:szCs w:val="24"/>
              </w:rPr>
              <w:t>into</w:t>
            </w:r>
            <w:r w:rsidRPr="00C83119">
              <w:rPr>
                <w:rFonts w:cs="Times New Roman"/>
                <w:spacing w:val="-1"/>
                <w:szCs w:val="24"/>
              </w:rPr>
              <w:t xml:space="preserve"> </w:t>
            </w:r>
            <w:r w:rsidRPr="00C83119">
              <w:rPr>
                <w:rFonts w:cs="Times New Roman"/>
                <w:szCs w:val="24"/>
              </w:rPr>
              <w:t>the</w:t>
            </w:r>
            <w:r w:rsidRPr="00C83119">
              <w:rPr>
                <w:rFonts w:cs="Times New Roman"/>
                <w:spacing w:val="-3"/>
                <w:szCs w:val="24"/>
              </w:rPr>
              <w:t xml:space="preserve"> </w:t>
            </w:r>
            <w:r w:rsidRPr="00C83119">
              <w:rPr>
                <w:rFonts w:cs="Times New Roman"/>
                <w:szCs w:val="24"/>
              </w:rPr>
              <w:t>affected eye(s)</w:t>
            </w:r>
            <w:r w:rsidRPr="00C83119">
              <w:rPr>
                <w:rFonts w:cs="Times New Roman"/>
                <w:spacing w:val="-2"/>
                <w:szCs w:val="24"/>
              </w:rPr>
              <w:t xml:space="preserve"> </w:t>
            </w:r>
            <w:r w:rsidRPr="00C83119">
              <w:rPr>
                <w:rFonts w:cs="Times New Roman"/>
                <w:szCs w:val="24"/>
              </w:rPr>
              <w:t>2 times daily</w:t>
            </w:r>
          </w:p>
        </w:tc>
      </w:tr>
      <w:tr w:rsidR="006254CE" w:rsidRPr="00C83119" w14:paraId="7297EBF2" w14:textId="77777777" w:rsidTr="002D6DD7">
        <w:tc>
          <w:tcPr>
            <w:tcW w:w="2785" w:type="dxa"/>
          </w:tcPr>
          <w:p w14:paraId="579630E5"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37DE9F74" w14:textId="77777777" w:rsidR="006254CE" w:rsidRPr="00C83119" w:rsidRDefault="006254CE" w:rsidP="002D6DD7">
            <w:pPr>
              <w:jc w:val="both"/>
              <w:rPr>
                <w:rFonts w:cs="Times New Roman"/>
                <w:color w:val="2A2A2A"/>
                <w:szCs w:val="24"/>
              </w:rPr>
            </w:pPr>
            <w:r w:rsidRPr="00C83119">
              <w:rPr>
                <w:rFonts w:cs="Times New Roman"/>
                <w:color w:val="2A2A2A"/>
                <w:szCs w:val="24"/>
              </w:rPr>
              <w:t>Hypersensitivity to the drug, use in child under 2 years of age.</w:t>
            </w:r>
          </w:p>
        </w:tc>
      </w:tr>
      <w:tr w:rsidR="006254CE" w:rsidRPr="00C83119" w14:paraId="7982BAFF" w14:textId="77777777" w:rsidTr="002D6DD7">
        <w:tc>
          <w:tcPr>
            <w:tcW w:w="2785" w:type="dxa"/>
          </w:tcPr>
          <w:p w14:paraId="494395B4"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40D2FEB8" w14:textId="77777777" w:rsidR="006254CE" w:rsidRPr="00C83119" w:rsidRDefault="006254CE" w:rsidP="002D6DD7">
            <w:pPr>
              <w:jc w:val="both"/>
              <w:rPr>
                <w:rFonts w:cs="Times New Roman"/>
                <w:szCs w:val="24"/>
              </w:rPr>
            </w:pPr>
            <w:r w:rsidRPr="00C83119">
              <w:rPr>
                <w:rFonts w:cs="Times New Roman"/>
                <w:szCs w:val="24"/>
              </w:rPr>
              <w:t>Antihypertensives, CNS depressants</w:t>
            </w:r>
          </w:p>
        </w:tc>
      </w:tr>
      <w:tr w:rsidR="006254CE" w:rsidRPr="00C83119" w14:paraId="39AA1766" w14:textId="77777777" w:rsidTr="002D6DD7">
        <w:tc>
          <w:tcPr>
            <w:tcW w:w="2785" w:type="dxa"/>
          </w:tcPr>
          <w:p w14:paraId="274CC6E5"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4776F537" w14:textId="77777777" w:rsidR="006254CE" w:rsidRPr="00C83119" w:rsidRDefault="006254CE" w:rsidP="002D6DD7">
            <w:pPr>
              <w:jc w:val="both"/>
              <w:rPr>
                <w:rFonts w:cs="Times New Roman"/>
                <w:szCs w:val="24"/>
              </w:rPr>
            </w:pPr>
            <w:r w:rsidRPr="00C83119">
              <w:rPr>
                <w:rFonts w:cs="Times New Roman"/>
                <w:szCs w:val="24"/>
              </w:rPr>
              <w:t xml:space="preserve">Asthenia, dizziness, drowsiness, dry eye, dry mouth, eye discomfort, eye disorders, eye inflammation, GI disorder, headache, hyperemia, pulmonary reaction, sensation of foreign </w:t>
            </w:r>
            <w:r w:rsidRPr="00C83119">
              <w:rPr>
                <w:rFonts w:cs="Times New Roman"/>
                <w:szCs w:val="24"/>
              </w:rPr>
              <w:lastRenderedPageBreak/>
              <w:t>body, skin reactions, altered taste, vision disorders.</w:t>
            </w:r>
          </w:p>
        </w:tc>
      </w:tr>
      <w:tr w:rsidR="006254CE" w:rsidRPr="00C83119" w14:paraId="684FD3D9" w14:textId="77777777" w:rsidTr="002D6DD7">
        <w:tc>
          <w:tcPr>
            <w:tcW w:w="2785" w:type="dxa"/>
          </w:tcPr>
          <w:p w14:paraId="4D50646B" w14:textId="77777777" w:rsidR="006254CE" w:rsidRPr="00C83119" w:rsidRDefault="006254CE" w:rsidP="002D6DD7">
            <w:pPr>
              <w:jc w:val="both"/>
              <w:rPr>
                <w:rFonts w:cs="Times New Roman"/>
                <w:szCs w:val="24"/>
              </w:rPr>
            </w:pPr>
            <w:r w:rsidRPr="00C83119">
              <w:rPr>
                <w:rFonts w:cs="Times New Roman"/>
                <w:szCs w:val="24"/>
              </w:rPr>
              <w:lastRenderedPageBreak/>
              <w:t xml:space="preserve">Cautions </w:t>
            </w:r>
          </w:p>
        </w:tc>
        <w:tc>
          <w:tcPr>
            <w:tcW w:w="6566" w:type="dxa"/>
          </w:tcPr>
          <w:p w14:paraId="202937D6" w14:textId="77777777" w:rsidR="006254CE" w:rsidRPr="00C83119" w:rsidRDefault="006254CE" w:rsidP="002D6DD7">
            <w:pPr>
              <w:jc w:val="both"/>
              <w:rPr>
                <w:rFonts w:cs="Times New Roman"/>
                <w:szCs w:val="24"/>
              </w:rPr>
            </w:pPr>
            <w:r w:rsidRPr="00C83119">
              <w:rPr>
                <w:rFonts w:cs="Times New Roman"/>
                <w:szCs w:val="24"/>
              </w:rPr>
              <w:t>Cerebral insufficiency, coronary insufficiency, depression, postural hypotension, Raynaud’s syndrome, severe cardiovascular disease, thromboangiitis obliterans, driving</w:t>
            </w:r>
          </w:p>
        </w:tc>
      </w:tr>
      <w:tr w:rsidR="006254CE" w:rsidRPr="00C83119" w14:paraId="1C29D1D2" w14:textId="77777777" w:rsidTr="002D6DD7">
        <w:tc>
          <w:tcPr>
            <w:tcW w:w="2785" w:type="dxa"/>
          </w:tcPr>
          <w:p w14:paraId="597F1422"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7B343031"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77184213" w14:textId="77777777" w:rsidTr="002D6DD7">
        <w:trPr>
          <w:trHeight w:val="37"/>
        </w:trPr>
        <w:tc>
          <w:tcPr>
            <w:tcW w:w="9351" w:type="dxa"/>
            <w:gridSpan w:val="2"/>
          </w:tcPr>
          <w:p w14:paraId="0B632F3F" w14:textId="77777777" w:rsidR="006254CE" w:rsidRPr="00C83119" w:rsidRDefault="006254CE" w:rsidP="002D6DD7">
            <w:pPr>
              <w:jc w:val="both"/>
              <w:rPr>
                <w:rFonts w:cs="Times New Roman"/>
                <w:b/>
                <w:bCs/>
                <w:szCs w:val="24"/>
              </w:rPr>
            </w:pPr>
            <w:bookmarkStart w:id="191" w:name="_Toc168317518"/>
            <w:r w:rsidRPr="00C83119">
              <w:rPr>
                <w:rFonts w:eastAsia="Times New Roman" w:cs="Times New Roman"/>
                <w:b/>
                <w:bCs/>
                <w:szCs w:val="24"/>
              </w:rPr>
              <w:t>Dorzolamide</w:t>
            </w:r>
            <w:bookmarkEnd w:id="191"/>
          </w:p>
        </w:tc>
      </w:tr>
      <w:tr w:rsidR="006254CE" w:rsidRPr="00C83119" w14:paraId="6A31A55B" w14:textId="77777777" w:rsidTr="002D6DD7">
        <w:trPr>
          <w:trHeight w:val="37"/>
        </w:trPr>
        <w:tc>
          <w:tcPr>
            <w:tcW w:w="2785" w:type="dxa"/>
          </w:tcPr>
          <w:p w14:paraId="78ABC9F6"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716FD455" w14:textId="77777777" w:rsidR="006254CE" w:rsidRPr="00C83119" w:rsidRDefault="006254CE" w:rsidP="002D6DD7">
            <w:pPr>
              <w:jc w:val="both"/>
              <w:rPr>
                <w:rFonts w:cs="Times New Roman"/>
                <w:szCs w:val="24"/>
              </w:rPr>
            </w:pPr>
            <w:r w:rsidRPr="00C83119">
              <w:rPr>
                <w:rFonts w:cs="Times New Roman"/>
                <w:color w:val="2A2A2A"/>
                <w:szCs w:val="24"/>
              </w:rPr>
              <w:t>Carbonic anhydrase inhibitor</w:t>
            </w:r>
          </w:p>
        </w:tc>
      </w:tr>
      <w:tr w:rsidR="006254CE" w:rsidRPr="00C83119" w14:paraId="1247E7E1" w14:textId="77777777" w:rsidTr="002D6DD7">
        <w:trPr>
          <w:trHeight w:val="37"/>
        </w:trPr>
        <w:tc>
          <w:tcPr>
            <w:tcW w:w="2785" w:type="dxa"/>
          </w:tcPr>
          <w:p w14:paraId="0DA1843B"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085A7BB1" w14:textId="77777777" w:rsidR="006254CE" w:rsidRPr="00C83119" w:rsidRDefault="006254CE" w:rsidP="002D6DD7">
            <w:pPr>
              <w:jc w:val="both"/>
              <w:rPr>
                <w:rFonts w:cs="Times New Roman"/>
                <w:szCs w:val="24"/>
              </w:rPr>
            </w:pPr>
            <w:r w:rsidRPr="00C83119">
              <w:rPr>
                <w:rFonts w:eastAsia="Times New Roman" w:cs="Times New Roman"/>
                <w:szCs w:val="24"/>
              </w:rPr>
              <w:t xml:space="preserve">Solution: eye drop </w:t>
            </w:r>
            <w:r w:rsidRPr="00C83119">
              <w:rPr>
                <w:rFonts w:eastAsia="Calibri" w:cs="Times New Roman"/>
                <w:szCs w:val="24"/>
              </w:rPr>
              <w:t>2%</w:t>
            </w:r>
          </w:p>
        </w:tc>
      </w:tr>
      <w:tr w:rsidR="006254CE" w:rsidRPr="00C83119" w14:paraId="67E17D20" w14:textId="77777777" w:rsidTr="002D6DD7">
        <w:tc>
          <w:tcPr>
            <w:tcW w:w="2785" w:type="dxa"/>
          </w:tcPr>
          <w:p w14:paraId="6B976D84"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B51456F" w14:textId="77777777" w:rsidR="006254CE" w:rsidRPr="00C83119" w:rsidRDefault="006254CE" w:rsidP="002D6DD7">
            <w:pPr>
              <w:jc w:val="both"/>
              <w:rPr>
                <w:rFonts w:cs="Times New Roman"/>
                <w:szCs w:val="24"/>
              </w:rPr>
            </w:pPr>
            <w:r w:rsidRPr="00C83119">
              <w:rPr>
                <w:rFonts w:cs="Times New Roman"/>
                <w:szCs w:val="24"/>
              </w:rPr>
              <w:t>Ocular hypertension, open angle glaucoma</w:t>
            </w:r>
          </w:p>
        </w:tc>
      </w:tr>
      <w:tr w:rsidR="006254CE" w:rsidRPr="00C83119" w14:paraId="4F106B05" w14:textId="77777777" w:rsidTr="002D6DD7">
        <w:tc>
          <w:tcPr>
            <w:tcW w:w="2785" w:type="dxa"/>
          </w:tcPr>
          <w:p w14:paraId="508A319B"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609DE03F"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Instil 1 drop 3 times daily </w:t>
            </w:r>
          </w:p>
          <w:p w14:paraId="23B0C208" w14:textId="77777777" w:rsidR="006254CE" w:rsidRPr="00C83119" w:rsidRDefault="006254CE" w:rsidP="002D6DD7">
            <w:pPr>
              <w:jc w:val="both"/>
              <w:rPr>
                <w:rFonts w:cs="Times New Roman"/>
                <w:szCs w:val="24"/>
              </w:rPr>
            </w:pPr>
            <w:r w:rsidRPr="00C83119">
              <w:rPr>
                <w:rFonts w:cs="Times New Roman"/>
                <w:b/>
                <w:bCs/>
                <w:szCs w:val="24"/>
              </w:rPr>
              <w:t>Child</w:t>
            </w:r>
            <w:r w:rsidRPr="00C83119">
              <w:rPr>
                <w:rFonts w:cs="Times New Roman"/>
                <w:szCs w:val="24"/>
              </w:rPr>
              <w:t>: Follow adult dosing</w:t>
            </w:r>
          </w:p>
        </w:tc>
      </w:tr>
      <w:tr w:rsidR="006254CE" w:rsidRPr="00C83119" w14:paraId="09E62A50" w14:textId="77777777" w:rsidTr="002D6DD7">
        <w:tc>
          <w:tcPr>
            <w:tcW w:w="2785" w:type="dxa"/>
          </w:tcPr>
          <w:p w14:paraId="43E68EE9"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7F05504A" w14:textId="77777777" w:rsidR="006254CE" w:rsidRPr="00C83119" w:rsidRDefault="006254CE" w:rsidP="002D6DD7">
            <w:pPr>
              <w:jc w:val="both"/>
              <w:rPr>
                <w:rFonts w:cs="Times New Roman"/>
                <w:color w:val="2A2A2A"/>
                <w:szCs w:val="24"/>
              </w:rPr>
            </w:pPr>
            <w:r w:rsidRPr="00C83119">
              <w:rPr>
                <w:rFonts w:cs="Times New Roman"/>
                <w:szCs w:val="24"/>
              </w:rPr>
              <w:t>Hypersensitivity to the drug, severe renal impairment</w:t>
            </w:r>
          </w:p>
        </w:tc>
      </w:tr>
      <w:tr w:rsidR="006254CE" w:rsidRPr="00C83119" w14:paraId="7FB57B87" w14:textId="77777777" w:rsidTr="002D6DD7">
        <w:tc>
          <w:tcPr>
            <w:tcW w:w="2785" w:type="dxa"/>
          </w:tcPr>
          <w:p w14:paraId="5DF1E340"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23A80430" w14:textId="77777777" w:rsidR="006254CE" w:rsidRPr="00C83119" w:rsidRDefault="006254CE" w:rsidP="002D6DD7">
            <w:pPr>
              <w:jc w:val="both"/>
              <w:rPr>
                <w:rFonts w:cs="Times New Roman"/>
                <w:szCs w:val="24"/>
              </w:rPr>
            </w:pPr>
            <w:r w:rsidRPr="00C83119">
              <w:rPr>
                <w:rFonts w:cs="Times New Roman"/>
                <w:szCs w:val="24"/>
              </w:rPr>
              <w:t>Memantine</w:t>
            </w:r>
          </w:p>
        </w:tc>
      </w:tr>
      <w:tr w:rsidR="006254CE" w:rsidRPr="00C83119" w14:paraId="36C585ED" w14:textId="77777777" w:rsidTr="002D6DD7">
        <w:tc>
          <w:tcPr>
            <w:tcW w:w="2785" w:type="dxa"/>
          </w:tcPr>
          <w:p w14:paraId="7050DEEE"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69853816" w14:textId="77777777" w:rsidR="006254CE" w:rsidRPr="00C83119" w:rsidRDefault="006254CE" w:rsidP="002D6DD7">
            <w:pPr>
              <w:jc w:val="both"/>
              <w:rPr>
                <w:rFonts w:cs="Times New Roman"/>
                <w:szCs w:val="24"/>
              </w:rPr>
            </w:pPr>
            <w:r w:rsidRPr="00C83119">
              <w:rPr>
                <w:rFonts w:cs="Times New Roman"/>
                <w:szCs w:val="24"/>
              </w:rPr>
              <w:t xml:space="preserve">Metabolic acidosis, thrombocytopenia, angioedema, Stephen Johnson syndrome, toxic epidermal necrolysis, aplastic anemia, bitter taste, burning, stinging or itching of the eye, blurred vision, tearing, conjunctivitis, eyelid inflammation </w:t>
            </w:r>
          </w:p>
        </w:tc>
      </w:tr>
      <w:tr w:rsidR="006254CE" w:rsidRPr="00C83119" w14:paraId="4917EEA9" w14:textId="77777777" w:rsidTr="002D6DD7">
        <w:tc>
          <w:tcPr>
            <w:tcW w:w="2785" w:type="dxa"/>
          </w:tcPr>
          <w:p w14:paraId="52AF9815"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356A464E" w14:textId="77777777" w:rsidR="006254CE" w:rsidRPr="00C83119" w:rsidRDefault="006254CE" w:rsidP="002D6DD7">
            <w:pPr>
              <w:jc w:val="both"/>
              <w:rPr>
                <w:rFonts w:cs="Times New Roman"/>
                <w:color w:val="2A2A2A"/>
                <w:szCs w:val="24"/>
              </w:rPr>
            </w:pPr>
            <w:r w:rsidRPr="00C83119">
              <w:rPr>
                <w:rFonts w:cs="Times New Roman"/>
                <w:szCs w:val="24"/>
              </w:rPr>
              <w:t>Elderly patients, diabetes mellitus, pulmonary obstruction, prolonged use, multiple-dose ophthalmic solutions, contact lenses, pregnancy, breastfeeding</w:t>
            </w:r>
          </w:p>
        </w:tc>
      </w:tr>
      <w:tr w:rsidR="006254CE" w:rsidRPr="00C83119" w14:paraId="03C372BB" w14:textId="77777777" w:rsidTr="002D6DD7">
        <w:tc>
          <w:tcPr>
            <w:tcW w:w="2785" w:type="dxa"/>
          </w:tcPr>
          <w:p w14:paraId="362B9872"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41841918"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53A8918C" w14:textId="77777777" w:rsidTr="002D6DD7">
        <w:tc>
          <w:tcPr>
            <w:tcW w:w="9351" w:type="dxa"/>
            <w:gridSpan w:val="2"/>
          </w:tcPr>
          <w:p w14:paraId="7C152E92" w14:textId="77777777" w:rsidR="006254CE" w:rsidRPr="00C83119" w:rsidRDefault="006254CE" w:rsidP="002D6DD7">
            <w:pPr>
              <w:jc w:val="both"/>
              <w:rPr>
                <w:rFonts w:cs="Times New Roman"/>
                <w:b/>
                <w:bCs/>
                <w:szCs w:val="24"/>
              </w:rPr>
            </w:pPr>
            <w:bookmarkStart w:id="192" w:name="_Toc168317519"/>
            <w:r w:rsidRPr="00C83119">
              <w:rPr>
                <w:rFonts w:eastAsia="Times New Roman" w:cs="Times New Roman"/>
                <w:b/>
                <w:bCs/>
                <w:szCs w:val="24"/>
              </w:rPr>
              <w:t>Dorzolamide and timolol</w:t>
            </w:r>
            <w:bookmarkEnd w:id="192"/>
          </w:p>
        </w:tc>
      </w:tr>
      <w:tr w:rsidR="006254CE" w:rsidRPr="00C83119" w14:paraId="32593A4B" w14:textId="77777777" w:rsidTr="002D6DD7">
        <w:tc>
          <w:tcPr>
            <w:tcW w:w="2785" w:type="dxa"/>
          </w:tcPr>
          <w:p w14:paraId="04E4811A"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4D3982BC" w14:textId="77777777" w:rsidR="006254CE" w:rsidRPr="00C83119" w:rsidRDefault="006254CE" w:rsidP="002D6DD7">
            <w:pPr>
              <w:jc w:val="both"/>
              <w:rPr>
                <w:rFonts w:cs="Times New Roman"/>
                <w:szCs w:val="24"/>
              </w:rPr>
            </w:pPr>
            <w:r w:rsidRPr="00C83119">
              <w:rPr>
                <w:rFonts w:cs="Times New Roman"/>
                <w:color w:val="2A2A2A"/>
                <w:szCs w:val="24"/>
              </w:rPr>
              <w:t>Carbonic anhydrase inhibitor and nonselective beta-adrenergic receptor blocker</w:t>
            </w:r>
          </w:p>
        </w:tc>
      </w:tr>
      <w:tr w:rsidR="006254CE" w:rsidRPr="00C83119" w14:paraId="0B9F6479" w14:textId="77777777" w:rsidTr="002D6DD7">
        <w:tc>
          <w:tcPr>
            <w:tcW w:w="2785" w:type="dxa"/>
          </w:tcPr>
          <w:p w14:paraId="241E1A7A"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31EA7BE2" w14:textId="77777777" w:rsidR="006254CE" w:rsidRPr="00C83119" w:rsidRDefault="006254CE" w:rsidP="002D6DD7">
            <w:pPr>
              <w:jc w:val="both"/>
              <w:rPr>
                <w:rFonts w:cs="Times New Roman"/>
                <w:szCs w:val="24"/>
              </w:rPr>
            </w:pPr>
            <w:r w:rsidRPr="00C83119">
              <w:rPr>
                <w:rFonts w:eastAsia="Times New Roman" w:cs="Times New Roman"/>
                <w:szCs w:val="24"/>
              </w:rPr>
              <w:t xml:space="preserve">Solution: eye drop </w:t>
            </w:r>
            <w:r w:rsidRPr="00C83119">
              <w:rPr>
                <w:rFonts w:eastAsia="Calibri" w:cs="Times New Roman"/>
                <w:szCs w:val="24"/>
              </w:rPr>
              <w:t>2% + 0.5%</w:t>
            </w:r>
          </w:p>
        </w:tc>
      </w:tr>
      <w:tr w:rsidR="006254CE" w:rsidRPr="00C83119" w14:paraId="50832F9D" w14:textId="77777777" w:rsidTr="002D6DD7">
        <w:trPr>
          <w:trHeight w:val="926"/>
        </w:trPr>
        <w:tc>
          <w:tcPr>
            <w:tcW w:w="2785" w:type="dxa"/>
          </w:tcPr>
          <w:p w14:paraId="7CDE217D"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70B7A6B4" w14:textId="77777777" w:rsidR="006254CE" w:rsidRPr="00C83119" w:rsidRDefault="006254CE" w:rsidP="002D6DD7">
            <w:pPr>
              <w:jc w:val="both"/>
              <w:rPr>
                <w:rFonts w:cs="Times New Roman"/>
                <w:szCs w:val="24"/>
              </w:rPr>
            </w:pPr>
            <w:r w:rsidRPr="00C83119">
              <w:rPr>
                <w:rFonts w:cs="Times New Roman"/>
                <w:szCs w:val="24"/>
              </w:rPr>
              <w:t xml:space="preserve">Ocular hypertension, open-angle glaucoma, pseudo-exfoliative glaucoma </w:t>
            </w:r>
          </w:p>
        </w:tc>
      </w:tr>
      <w:tr w:rsidR="006254CE" w:rsidRPr="00C83119" w14:paraId="69D68A92" w14:textId="77777777" w:rsidTr="002D6DD7">
        <w:trPr>
          <w:trHeight w:val="37"/>
        </w:trPr>
        <w:tc>
          <w:tcPr>
            <w:tcW w:w="2785" w:type="dxa"/>
          </w:tcPr>
          <w:p w14:paraId="53C68D59" w14:textId="77777777" w:rsidR="006254CE" w:rsidRPr="00C83119" w:rsidRDefault="006254CE" w:rsidP="002D6DD7">
            <w:pPr>
              <w:rPr>
                <w:rFonts w:cs="Times New Roman"/>
                <w:szCs w:val="24"/>
              </w:rPr>
            </w:pPr>
            <w:r w:rsidRPr="00C83119">
              <w:rPr>
                <w:rFonts w:cs="Times New Roman"/>
                <w:szCs w:val="24"/>
              </w:rPr>
              <w:t>Dose and administration</w:t>
            </w:r>
          </w:p>
        </w:tc>
        <w:tc>
          <w:tcPr>
            <w:tcW w:w="6566" w:type="dxa"/>
          </w:tcPr>
          <w:p w14:paraId="03297E15" w14:textId="77777777" w:rsidR="006254CE" w:rsidRPr="00C83119" w:rsidRDefault="006254CE" w:rsidP="002D6DD7">
            <w:pPr>
              <w:jc w:val="both"/>
              <w:rPr>
                <w:rFonts w:cs="Times New Roman"/>
                <w:szCs w:val="24"/>
              </w:rPr>
            </w:pPr>
            <w:r w:rsidRPr="00C83119">
              <w:rPr>
                <w:rFonts w:cs="Times New Roman"/>
                <w:szCs w:val="24"/>
              </w:rPr>
              <w:t>Instil</w:t>
            </w:r>
            <w:r w:rsidRPr="00C83119">
              <w:rPr>
                <w:rFonts w:cs="Times New Roman"/>
                <w:spacing w:val="-2"/>
                <w:szCs w:val="24"/>
              </w:rPr>
              <w:t xml:space="preserve"> </w:t>
            </w:r>
            <w:r w:rsidRPr="00C83119">
              <w:rPr>
                <w:rFonts w:cs="Times New Roman"/>
                <w:szCs w:val="24"/>
              </w:rPr>
              <w:t>one</w:t>
            </w:r>
            <w:r w:rsidRPr="00C83119">
              <w:rPr>
                <w:rFonts w:cs="Times New Roman"/>
                <w:spacing w:val="-2"/>
                <w:szCs w:val="24"/>
              </w:rPr>
              <w:t xml:space="preserve"> </w:t>
            </w:r>
            <w:r w:rsidRPr="00C83119">
              <w:rPr>
                <w:rFonts w:cs="Times New Roman"/>
                <w:szCs w:val="24"/>
              </w:rPr>
              <w:t>drop</w:t>
            </w:r>
            <w:r w:rsidRPr="00C83119">
              <w:rPr>
                <w:rFonts w:cs="Times New Roman"/>
                <w:spacing w:val="-2"/>
                <w:szCs w:val="24"/>
              </w:rPr>
              <w:t xml:space="preserve"> </w:t>
            </w:r>
            <w:r w:rsidRPr="00C83119">
              <w:rPr>
                <w:rFonts w:cs="Times New Roman"/>
                <w:szCs w:val="24"/>
              </w:rPr>
              <w:t>into</w:t>
            </w:r>
            <w:r w:rsidRPr="00C83119">
              <w:rPr>
                <w:rFonts w:cs="Times New Roman"/>
                <w:spacing w:val="-1"/>
                <w:szCs w:val="24"/>
              </w:rPr>
              <w:t xml:space="preserve"> </w:t>
            </w:r>
            <w:r w:rsidRPr="00C83119">
              <w:rPr>
                <w:rFonts w:cs="Times New Roman"/>
                <w:szCs w:val="24"/>
              </w:rPr>
              <w:t>the</w:t>
            </w:r>
            <w:r w:rsidRPr="00C83119">
              <w:rPr>
                <w:rFonts w:cs="Times New Roman"/>
                <w:spacing w:val="-3"/>
                <w:szCs w:val="24"/>
              </w:rPr>
              <w:t xml:space="preserve"> </w:t>
            </w:r>
            <w:r w:rsidRPr="00C83119">
              <w:rPr>
                <w:rFonts w:cs="Times New Roman"/>
                <w:szCs w:val="24"/>
              </w:rPr>
              <w:t>affected eye(s)</w:t>
            </w:r>
            <w:r w:rsidRPr="00C83119">
              <w:rPr>
                <w:rFonts w:cs="Times New Roman"/>
                <w:spacing w:val="-2"/>
                <w:szCs w:val="24"/>
              </w:rPr>
              <w:t xml:space="preserve"> </w:t>
            </w:r>
            <w:r w:rsidRPr="00C83119">
              <w:rPr>
                <w:rFonts w:cs="Times New Roman"/>
                <w:szCs w:val="24"/>
              </w:rPr>
              <w:t>2 times daily</w:t>
            </w:r>
          </w:p>
        </w:tc>
      </w:tr>
      <w:tr w:rsidR="006254CE" w:rsidRPr="00C83119" w14:paraId="76B10FDD" w14:textId="77777777" w:rsidTr="002D6DD7">
        <w:trPr>
          <w:trHeight w:val="683"/>
        </w:trPr>
        <w:tc>
          <w:tcPr>
            <w:tcW w:w="2785" w:type="dxa"/>
          </w:tcPr>
          <w:p w14:paraId="668F03EB"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1796290A" w14:textId="77777777" w:rsidR="006254CE" w:rsidRPr="00C83119" w:rsidRDefault="006254CE" w:rsidP="002D6DD7">
            <w:pPr>
              <w:jc w:val="both"/>
              <w:rPr>
                <w:rFonts w:cs="Times New Roman"/>
                <w:szCs w:val="24"/>
              </w:rPr>
            </w:pPr>
            <w:r w:rsidRPr="00C83119">
              <w:rPr>
                <w:rFonts w:cs="Times New Roman"/>
                <w:szCs w:val="24"/>
              </w:rPr>
              <w:t xml:space="preserve">Hypersensitivity to the drug, history of bronchial asthma, severe COPD, sinus bradycardia, second- or third-degree atrioventricular </w:t>
            </w:r>
            <w:r w:rsidRPr="00C83119">
              <w:rPr>
                <w:rFonts w:cs="Times New Roman"/>
                <w:szCs w:val="24"/>
              </w:rPr>
              <w:lastRenderedPageBreak/>
              <w:t>block, overt cardiac failure, cardiogenic shock</w:t>
            </w:r>
          </w:p>
        </w:tc>
      </w:tr>
      <w:tr w:rsidR="006254CE" w:rsidRPr="00C83119" w14:paraId="46C21DD8" w14:textId="77777777" w:rsidTr="002D6DD7">
        <w:tc>
          <w:tcPr>
            <w:tcW w:w="2785" w:type="dxa"/>
          </w:tcPr>
          <w:p w14:paraId="01BA8A13" w14:textId="77777777" w:rsidR="006254CE" w:rsidRPr="00C83119" w:rsidRDefault="006254CE" w:rsidP="002D6DD7">
            <w:pPr>
              <w:jc w:val="both"/>
              <w:rPr>
                <w:rFonts w:cs="Times New Roman"/>
                <w:szCs w:val="24"/>
              </w:rPr>
            </w:pPr>
            <w:r w:rsidRPr="00C83119">
              <w:rPr>
                <w:rFonts w:cs="Times New Roman"/>
                <w:szCs w:val="24"/>
              </w:rPr>
              <w:lastRenderedPageBreak/>
              <w:t>Drug interactions</w:t>
            </w:r>
          </w:p>
        </w:tc>
        <w:tc>
          <w:tcPr>
            <w:tcW w:w="6566" w:type="dxa"/>
          </w:tcPr>
          <w:p w14:paraId="6C4FA6E2" w14:textId="77777777" w:rsidR="006254CE" w:rsidRPr="00C83119" w:rsidRDefault="006254CE" w:rsidP="002D6DD7">
            <w:pPr>
              <w:jc w:val="both"/>
              <w:rPr>
                <w:rFonts w:cs="Times New Roman"/>
                <w:szCs w:val="24"/>
              </w:rPr>
            </w:pPr>
            <w:r w:rsidRPr="00C83119">
              <w:rPr>
                <w:rFonts w:cs="Times New Roman"/>
                <w:szCs w:val="24"/>
              </w:rPr>
              <w:t>Refer to dorzolamide and timolol individual monographs</w:t>
            </w:r>
          </w:p>
        </w:tc>
      </w:tr>
      <w:tr w:rsidR="006254CE" w:rsidRPr="00C83119" w14:paraId="470DF850" w14:textId="77777777" w:rsidTr="002D6DD7">
        <w:trPr>
          <w:trHeight w:val="530"/>
        </w:trPr>
        <w:tc>
          <w:tcPr>
            <w:tcW w:w="2785" w:type="dxa"/>
          </w:tcPr>
          <w:p w14:paraId="1FFFCE0C"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33906F63" w14:textId="77777777" w:rsidR="006254CE" w:rsidRPr="00C83119" w:rsidRDefault="006254CE" w:rsidP="002D6DD7">
            <w:pPr>
              <w:jc w:val="both"/>
              <w:rPr>
                <w:rFonts w:eastAsia="Times New Roman" w:cs="Times New Roman"/>
                <w:color w:val="2A2A2A"/>
                <w:szCs w:val="24"/>
                <w:lang w:eastAsia="en-GB"/>
              </w:rPr>
            </w:pPr>
            <w:r w:rsidRPr="00C83119">
              <w:rPr>
                <w:rFonts w:eastAsia="Times New Roman" w:cs="Times New Roman"/>
                <w:color w:val="2A2A2A"/>
                <w:szCs w:val="24"/>
                <w:lang w:eastAsia="en-GB"/>
              </w:rPr>
              <w:t>Ocular burning, stinging, discomfort, bitter taste, superficial punctate keratitis, ocular allergic reactions, stinging, burning, pain, itching, erythema, transient dryness, allergic blepharitis, transient conjunctivitis, keratitis, decreased corneal sensitivity, diplopia, ptosis</w:t>
            </w:r>
          </w:p>
        </w:tc>
      </w:tr>
      <w:tr w:rsidR="006254CE" w:rsidRPr="00C83119" w14:paraId="55B25D4F" w14:textId="77777777" w:rsidTr="002D6DD7">
        <w:trPr>
          <w:trHeight w:val="188"/>
        </w:trPr>
        <w:tc>
          <w:tcPr>
            <w:tcW w:w="2785" w:type="dxa"/>
          </w:tcPr>
          <w:p w14:paraId="7DFBFC9C"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4716EDEC" w14:textId="77777777" w:rsidR="006254CE" w:rsidRPr="00C83119" w:rsidRDefault="006254CE" w:rsidP="002D6DD7">
            <w:pPr>
              <w:jc w:val="both"/>
              <w:rPr>
                <w:rFonts w:cs="Times New Roman"/>
                <w:color w:val="2A2A2A"/>
                <w:szCs w:val="24"/>
              </w:rPr>
            </w:pPr>
            <w:r w:rsidRPr="00C83119">
              <w:rPr>
                <w:rFonts w:cs="Times New Roman"/>
                <w:color w:val="2A2A2A"/>
                <w:szCs w:val="24"/>
              </w:rPr>
              <w:t xml:space="preserve">Hepatic impairment, renal impairment, respiratory disorders, diabetes mellitus, cardiovascular conditions </w:t>
            </w:r>
          </w:p>
        </w:tc>
      </w:tr>
      <w:tr w:rsidR="006254CE" w:rsidRPr="00C83119" w14:paraId="4F71E8F1" w14:textId="77777777" w:rsidTr="002D6DD7">
        <w:trPr>
          <w:trHeight w:val="37"/>
        </w:trPr>
        <w:tc>
          <w:tcPr>
            <w:tcW w:w="2785" w:type="dxa"/>
          </w:tcPr>
          <w:p w14:paraId="36B29317"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7BC1A8B4"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5174AEEE" w14:textId="77777777" w:rsidTr="002D6DD7">
        <w:tc>
          <w:tcPr>
            <w:tcW w:w="9351" w:type="dxa"/>
            <w:gridSpan w:val="2"/>
          </w:tcPr>
          <w:p w14:paraId="60024096" w14:textId="77777777" w:rsidR="006254CE" w:rsidRPr="00C83119" w:rsidRDefault="006254CE" w:rsidP="002D6DD7">
            <w:pPr>
              <w:jc w:val="both"/>
              <w:rPr>
                <w:rFonts w:cs="Times New Roman"/>
                <w:b/>
                <w:bCs/>
                <w:szCs w:val="24"/>
              </w:rPr>
            </w:pPr>
            <w:bookmarkStart w:id="193" w:name="_Toc168317511"/>
            <w:r w:rsidRPr="00C83119">
              <w:rPr>
                <w:rFonts w:eastAsia="Times New Roman" w:cs="Times New Roman"/>
                <w:b/>
                <w:bCs/>
                <w:szCs w:val="24"/>
              </w:rPr>
              <w:t>Glycerin</w:t>
            </w:r>
            <w:bookmarkEnd w:id="193"/>
          </w:p>
        </w:tc>
      </w:tr>
      <w:tr w:rsidR="006254CE" w:rsidRPr="00C83119" w14:paraId="5238C13E" w14:textId="77777777" w:rsidTr="002D6DD7">
        <w:tc>
          <w:tcPr>
            <w:tcW w:w="2785" w:type="dxa"/>
          </w:tcPr>
          <w:p w14:paraId="0467C4A5"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1BEF9BCD" w14:textId="77777777" w:rsidR="006254CE" w:rsidRPr="00C83119" w:rsidRDefault="006254CE" w:rsidP="002D6DD7">
            <w:pPr>
              <w:jc w:val="both"/>
              <w:rPr>
                <w:rFonts w:cs="Times New Roman"/>
                <w:szCs w:val="24"/>
              </w:rPr>
            </w:pPr>
            <w:r w:rsidRPr="00C83119">
              <w:rPr>
                <w:rFonts w:cs="Times New Roman"/>
                <w:szCs w:val="24"/>
              </w:rPr>
              <w:t xml:space="preserve">Osmotic agent </w:t>
            </w:r>
          </w:p>
        </w:tc>
      </w:tr>
      <w:tr w:rsidR="006254CE" w:rsidRPr="00C83119" w14:paraId="52AA0B61" w14:textId="77777777" w:rsidTr="002D6DD7">
        <w:tc>
          <w:tcPr>
            <w:tcW w:w="2785" w:type="dxa"/>
          </w:tcPr>
          <w:p w14:paraId="665A4315"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2FCC7B7C" w14:textId="77777777" w:rsidR="006254CE" w:rsidRPr="00C83119" w:rsidRDefault="006254CE" w:rsidP="002D6DD7">
            <w:pPr>
              <w:jc w:val="both"/>
              <w:rPr>
                <w:rFonts w:cs="Times New Roman"/>
                <w:szCs w:val="24"/>
              </w:rPr>
            </w:pPr>
            <w:r w:rsidRPr="00C83119">
              <w:rPr>
                <w:rFonts w:cs="Times New Roman"/>
                <w:szCs w:val="24"/>
              </w:rPr>
              <w:t>Oral solution: 50%</w:t>
            </w:r>
          </w:p>
        </w:tc>
      </w:tr>
      <w:tr w:rsidR="006254CE" w:rsidRPr="00C83119" w14:paraId="7250C6F3" w14:textId="77777777" w:rsidTr="002D6DD7">
        <w:tc>
          <w:tcPr>
            <w:tcW w:w="2785" w:type="dxa"/>
          </w:tcPr>
          <w:p w14:paraId="60835F14"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AE3701D" w14:textId="77777777" w:rsidR="006254CE" w:rsidRPr="00C83119" w:rsidRDefault="006254CE" w:rsidP="002D6DD7">
            <w:pPr>
              <w:jc w:val="both"/>
              <w:rPr>
                <w:rFonts w:cs="Times New Roman"/>
                <w:szCs w:val="24"/>
              </w:rPr>
            </w:pPr>
            <w:r w:rsidRPr="00C83119">
              <w:rPr>
                <w:rFonts w:cs="Times New Roman"/>
                <w:szCs w:val="24"/>
              </w:rPr>
              <w:t>Reduction of intraocular pressure in closed-angle glaucoma</w:t>
            </w:r>
          </w:p>
        </w:tc>
      </w:tr>
      <w:tr w:rsidR="006254CE" w:rsidRPr="00C83119" w14:paraId="20A1FD44" w14:textId="77777777" w:rsidTr="002D6DD7">
        <w:tc>
          <w:tcPr>
            <w:tcW w:w="2785" w:type="dxa"/>
          </w:tcPr>
          <w:p w14:paraId="1FED3DE2"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6B6BC644" w14:textId="77777777" w:rsidR="006254CE" w:rsidRPr="00C83119" w:rsidRDefault="006254CE" w:rsidP="002D6DD7">
            <w:pPr>
              <w:jc w:val="both"/>
              <w:rPr>
                <w:rFonts w:cs="Times New Roman"/>
                <w:b/>
                <w:bCs/>
                <w:szCs w:val="24"/>
              </w:rPr>
            </w:pPr>
            <w:r w:rsidRPr="00C83119">
              <w:rPr>
                <w:rFonts w:cs="Times New Roman"/>
                <w:b/>
                <w:bCs/>
                <w:szCs w:val="24"/>
              </w:rPr>
              <w:t xml:space="preserve">Adult and Child: </w:t>
            </w:r>
            <w:r w:rsidRPr="00C83119">
              <w:rPr>
                <w:rFonts w:cs="Times New Roman"/>
                <w:szCs w:val="24"/>
              </w:rPr>
              <w:t>1-2 g/kg, typically diluted with an equal volume of water or fruit juice, taken as a single dose</w:t>
            </w:r>
          </w:p>
        </w:tc>
      </w:tr>
      <w:tr w:rsidR="006254CE" w:rsidRPr="00C83119" w14:paraId="0E693EE0" w14:textId="77777777" w:rsidTr="002D6DD7">
        <w:tc>
          <w:tcPr>
            <w:tcW w:w="2785" w:type="dxa"/>
          </w:tcPr>
          <w:p w14:paraId="017DD62D"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538E1FDD" w14:textId="77777777" w:rsidR="006254CE" w:rsidRPr="00C83119" w:rsidRDefault="006254CE" w:rsidP="002D6DD7">
            <w:pPr>
              <w:jc w:val="both"/>
              <w:rPr>
                <w:rFonts w:cs="Times New Roman"/>
                <w:szCs w:val="24"/>
              </w:rPr>
            </w:pPr>
            <w:r w:rsidRPr="00C83119">
              <w:rPr>
                <w:rFonts w:cs="Times New Roman"/>
                <w:szCs w:val="24"/>
              </w:rPr>
              <w:t>Severe dehydration, severe renal impairment, anuria, severe pulmonary congestion, pulmonary edema.</w:t>
            </w:r>
          </w:p>
        </w:tc>
      </w:tr>
      <w:tr w:rsidR="006254CE" w:rsidRPr="00C83119" w14:paraId="1CC956A3" w14:textId="77777777" w:rsidTr="002D6DD7">
        <w:tc>
          <w:tcPr>
            <w:tcW w:w="2785" w:type="dxa"/>
          </w:tcPr>
          <w:p w14:paraId="769DD14B"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1F7313BF" w14:textId="77777777" w:rsidR="006254CE" w:rsidRPr="00C83119" w:rsidRDefault="006254CE" w:rsidP="002D6DD7">
            <w:pPr>
              <w:jc w:val="both"/>
              <w:rPr>
                <w:rFonts w:eastAsia="Times New Roman" w:cs="Times New Roman"/>
                <w:color w:val="0D0D0D"/>
                <w:szCs w:val="24"/>
              </w:rPr>
            </w:pPr>
            <w:r w:rsidRPr="00C83119">
              <w:rPr>
                <w:rFonts w:eastAsia="Times New Roman" w:cs="Times New Roman"/>
                <w:color w:val="0D0D0D"/>
                <w:szCs w:val="24"/>
              </w:rPr>
              <w:t xml:space="preserve">Other hyperosmotic agents </w:t>
            </w:r>
          </w:p>
        </w:tc>
      </w:tr>
      <w:tr w:rsidR="006254CE" w:rsidRPr="00C83119" w14:paraId="1AEF52DB" w14:textId="77777777" w:rsidTr="002D6DD7">
        <w:tc>
          <w:tcPr>
            <w:tcW w:w="2785" w:type="dxa"/>
          </w:tcPr>
          <w:p w14:paraId="730D734B"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vAlign w:val="bottom"/>
          </w:tcPr>
          <w:p w14:paraId="660CFA68" w14:textId="77777777" w:rsidR="006254CE" w:rsidRPr="00C83119" w:rsidRDefault="006254CE" w:rsidP="002D6DD7">
            <w:pPr>
              <w:jc w:val="both"/>
              <w:rPr>
                <w:rFonts w:eastAsia="Times New Roman" w:cs="Times New Roman"/>
                <w:color w:val="0D0D0D"/>
                <w:szCs w:val="24"/>
              </w:rPr>
            </w:pPr>
            <w:r w:rsidRPr="00C83119">
              <w:rPr>
                <w:rFonts w:eastAsia="Times New Roman" w:cs="Times New Roman"/>
                <w:color w:val="0D0D0D"/>
                <w:szCs w:val="24"/>
              </w:rPr>
              <w:t>Nausea, vomiting, headache, dizziness, confusion, dehydration, hyperglycemia, electrolyte imbalance, increased thirst, diarrhea, abdominal cramps, dry mouth</w:t>
            </w:r>
          </w:p>
        </w:tc>
      </w:tr>
      <w:tr w:rsidR="006254CE" w:rsidRPr="00C83119" w14:paraId="48BACA57" w14:textId="77777777" w:rsidTr="002D6DD7">
        <w:tc>
          <w:tcPr>
            <w:tcW w:w="2785" w:type="dxa"/>
          </w:tcPr>
          <w:p w14:paraId="6A4A64B0"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vAlign w:val="bottom"/>
          </w:tcPr>
          <w:p w14:paraId="43059891" w14:textId="77777777" w:rsidR="006254CE" w:rsidRPr="00C83119" w:rsidRDefault="006254CE" w:rsidP="002D6DD7">
            <w:pPr>
              <w:jc w:val="both"/>
              <w:rPr>
                <w:rFonts w:cs="Times New Roman"/>
                <w:color w:val="2A2A2A"/>
                <w:szCs w:val="24"/>
              </w:rPr>
            </w:pPr>
            <w:r w:rsidRPr="00C83119">
              <w:rPr>
                <w:rFonts w:cs="Times New Roman"/>
                <w:color w:val="2A2A2A"/>
                <w:szCs w:val="24"/>
              </w:rPr>
              <w:t>Renal impairment, diabetes mellitus, dehydration</w:t>
            </w:r>
          </w:p>
        </w:tc>
      </w:tr>
      <w:tr w:rsidR="006254CE" w:rsidRPr="00C83119" w14:paraId="12C1444D" w14:textId="77777777" w:rsidTr="002D6DD7">
        <w:tc>
          <w:tcPr>
            <w:tcW w:w="2785" w:type="dxa"/>
          </w:tcPr>
          <w:p w14:paraId="40F15960"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05FE95B0"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329EA6EC" w14:textId="77777777" w:rsidTr="002D6DD7">
        <w:tc>
          <w:tcPr>
            <w:tcW w:w="9351" w:type="dxa"/>
            <w:gridSpan w:val="2"/>
          </w:tcPr>
          <w:p w14:paraId="1B65FCC4" w14:textId="77777777" w:rsidR="006254CE" w:rsidRPr="00C83119" w:rsidRDefault="006254CE" w:rsidP="002D6DD7">
            <w:pPr>
              <w:jc w:val="both"/>
              <w:rPr>
                <w:rFonts w:cs="Times New Roman"/>
                <w:b/>
                <w:bCs/>
                <w:szCs w:val="24"/>
              </w:rPr>
            </w:pPr>
            <w:bookmarkStart w:id="194" w:name="_Toc168317516"/>
            <w:r w:rsidRPr="00C83119">
              <w:rPr>
                <w:rFonts w:eastAsia="Times New Roman" w:cs="Times New Roman"/>
                <w:b/>
                <w:bCs/>
                <w:szCs w:val="24"/>
              </w:rPr>
              <w:t>Latanoprost</w:t>
            </w:r>
            <w:bookmarkEnd w:id="194"/>
          </w:p>
        </w:tc>
      </w:tr>
      <w:tr w:rsidR="006254CE" w:rsidRPr="00C83119" w14:paraId="1B72BB4E" w14:textId="77777777" w:rsidTr="002D6DD7">
        <w:tc>
          <w:tcPr>
            <w:tcW w:w="2785" w:type="dxa"/>
          </w:tcPr>
          <w:p w14:paraId="0B767CA9"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5B991976" w14:textId="77777777" w:rsidR="006254CE" w:rsidRPr="00C83119" w:rsidRDefault="006254CE" w:rsidP="002D6DD7">
            <w:pPr>
              <w:jc w:val="both"/>
              <w:rPr>
                <w:rFonts w:cs="Times New Roman"/>
                <w:szCs w:val="24"/>
              </w:rPr>
            </w:pPr>
            <w:r w:rsidRPr="00C83119">
              <w:rPr>
                <w:rFonts w:cs="Times New Roman"/>
                <w:color w:val="2A2A2A"/>
                <w:szCs w:val="24"/>
              </w:rPr>
              <w:t>Prostaglandin analog</w:t>
            </w:r>
          </w:p>
        </w:tc>
      </w:tr>
      <w:tr w:rsidR="006254CE" w:rsidRPr="00C83119" w14:paraId="798E783A" w14:textId="77777777" w:rsidTr="002D6DD7">
        <w:tc>
          <w:tcPr>
            <w:tcW w:w="2785" w:type="dxa"/>
          </w:tcPr>
          <w:p w14:paraId="1B886758"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5AF163CC" w14:textId="77777777" w:rsidR="006254CE" w:rsidRPr="00C83119" w:rsidRDefault="006254CE" w:rsidP="002D6DD7">
            <w:pPr>
              <w:jc w:val="both"/>
              <w:rPr>
                <w:rFonts w:cs="Times New Roman"/>
                <w:szCs w:val="24"/>
              </w:rPr>
            </w:pPr>
            <w:r w:rsidRPr="00C83119">
              <w:rPr>
                <w:rFonts w:eastAsia="Times New Roman" w:cs="Times New Roman"/>
                <w:szCs w:val="24"/>
              </w:rPr>
              <w:t>Solution: 0.005%</w:t>
            </w:r>
          </w:p>
        </w:tc>
      </w:tr>
      <w:tr w:rsidR="006254CE" w:rsidRPr="00C83119" w14:paraId="0E3ABBAD" w14:textId="77777777" w:rsidTr="002D6DD7">
        <w:trPr>
          <w:trHeight w:val="125"/>
        </w:trPr>
        <w:tc>
          <w:tcPr>
            <w:tcW w:w="2785" w:type="dxa"/>
          </w:tcPr>
          <w:p w14:paraId="69A73138"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4E181DC4" w14:textId="77777777" w:rsidR="006254CE" w:rsidRPr="00C83119" w:rsidRDefault="006254CE" w:rsidP="002D6DD7">
            <w:pPr>
              <w:jc w:val="both"/>
              <w:rPr>
                <w:rFonts w:cs="Times New Roman"/>
                <w:szCs w:val="24"/>
              </w:rPr>
            </w:pPr>
            <w:r w:rsidRPr="00C83119">
              <w:rPr>
                <w:rFonts w:cs="Times New Roman"/>
                <w:szCs w:val="24"/>
              </w:rPr>
              <w:t>Reduction of elevated intraocular pressure in glaucoma and ocular hypertension in patients intolerant or unresponsive to other agents</w:t>
            </w:r>
          </w:p>
        </w:tc>
      </w:tr>
      <w:tr w:rsidR="006254CE" w:rsidRPr="00C83119" w14:paraId="5FA5FC94" w14:textId="77777777" w:rsidTr="002D6DD7">
        <w:trPr>
          <w:trHeight w:val="188"/>
        </w:trPr>
        <w:tc>
          <w:tcPr>
            <w:tcW w:w="2785" w:type="dxa"/>
          </w:tcPr>
          <w:p w14:paraId="7E3E9CA8" w14:textId="77777777" w:rsidR="006254CE" w:rsidRPr="00C83119" w:rsidRDefault="006254CE" w:rsidP="002D6DD7">
            <w:pPr>
              <w:rPr>
                <w:rFonts w:cs="Times New Roman"/>
                <w:szCs w:val="24"/>
              </w:rPr>
            </w:pPr>
            <w:r w:rsidRPr="00C83119">
              <w:rPr>
                <w:rFonts w:cs="Times New Roman"/>
                <w:szCs w:val="24"/>
              </w:rPr>
              <w:lastRenderedPageBreak/>
              <w:t>Dose and administration</w:t>
            </w:r>
          </w:p>
        </w:tc>
        <w:tc>
          <w:tcPr>
            <w:tcW w:w="6566" w:type="dxa"/>
          </w:tcPr>
          <w:p w14:paraId="430CDDCE"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Instil 1 drop once daily in the evening</w:t>
            </w:r>
          </w:p>
        </w:tc>
      </w:tr>
      <w:tr w:rsidR="006254CE" w:rsidRPr="00C83119" w14:paraId="030C1E45" w14:textId="77777777" w:rsidTr="002D6DD7">
        <w:tc>
          <w:tcPr>
            <w:tcW w:w="2785" w:type="dxa"/>
          </w:tcPr>
          <w:p w14:paraId="7DD7A44F"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54C77624" w14:textId="77777777" w:rsidR="006254CE" w:rsidRPr="00C83119" w:rsidRDefault="006254CE" w:rsidP="002D6DD7">
            <w:pPr>
              <w:jc w:val="both"/>
              <w:rPr>
                <w:rFonts w:cs="Times New Roman"/>
                <w:szCs w:val="24"/>
              </w:rPr>
            </w:pPr>
            <w:r w:rsidRPr="00C83119">
              <w:rPr>
                <w:rFonts w:cs="Times New Roman"/>
                <w:szCs w:val="24"/>
              </w:rPr>
              <w:t>Hypersensitivity to the drug</w:t>
            </w:r>
          </w:p>
        </w:tc>
      </w:tr>
      <w:tr w:rsidR="006254CE" w:rsidRPr="00C83119" w14:paraId="71101ED6" w14:textId="77777777" w:rsidTr="002D6DD7">
        <w:tc>
          <w:tcPr>
            <w:tcW w:w="2785" w:type="dxa"/>
          </w:tcPr>
          <w:p w14:paraId="02F1F2B8"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16F9326C" w14:textId="77777777" w:rsidR="006254CE" w:rsidRPr="00C83119" w:rsidRDefault="006254CE" w:rsidP="002D6DD7">
            <w:pPr>
              <w:jc w:val="both"/>
              <w:rPr>
                <w:rFonts w:cs="Times New Roman"/>
                <w:szCs w:val="24"/>
              </w:rPr>
            </w:pPr>
            <w:r w:rsidRPr="00C83119">
              <w:rPr>
                <w:rFonts w:cs="Times New Roman"/>
                <w:szCs w:val="24"/>
              </w:rPr>
              <w:t xml:space="preserve">Bimatoprost, tafuprost, thimerosal, travoprost, unoprostone. </w:t>
            </w:r>
          </w:p>
        </w:tc>
      </w:tr>
      <w:tr w:rsidR="006254CE" w:rsidRPr="00C83119" w14:paraId="544345BB" w14:textId="77777777" w:rsidTr="002D6DD7">
        <w:trPr>
          <w:trHeight w:val="944"/>
        </w:trPr>
        <w:tc>
          <w:tcPr>
            <w:tcW w:w="2785" w:type="dxa"/>
          </w:tcPr>
          <w:p w14:paraId="127BE682"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3646C6BE" w14:textId="77777777" w:rsidR="006254CE" w:rsidRPr="00C83119" w:rsidRDefault="006254CE" w:rsidP="002D6DD7">
            <w:pPr>
              <w:jc w:val="both"/>
              <w:rPr>
                <w:rFonts w:cs="Times New Roman"/>
                <w:szCs w:val="24"/>
              </w:rPr>
            </w:pPr>
            <w:r w:rsidRPr="00C83119">
              <w:rPr>
                <w:rFonts w:cs="Times New Roman"/>
                <w:szCs w:val="24"/>
              </w:rPr>
              <w:t>Brown pigmentation, blepharitis, ocular irritation and pain, conjunctival hyperemia, transient punctate epithelial erosion, skin rash, dry eyes, headache, photophobia, darkening, thickening, lengthening of eyelashes</w:t>
            </w:r>
          </w:p>
        </w:tc>
      </w:tr>
      <w:tr w:rsidR="006254CE" w:rsidRPr="00C83119" w14:paraId="2EB18519" w14:textId="77777777" w:rsidTr="002D6DD7">
        <w:trPr>
          <w:trHeight w:val="98"/>
        </w:trPr>
        <w:tc>
          <w:tcPr>
            <w:tcW w:w="2785" w:type="dxa"/>
          </w:tcPr>
          <w:p w14:paraId="33D7078D"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5B498649" w14:textId="77777777" w:rsidR="006254CE" w:rsidRPr="00C83119" w:rsidRDefault="006254CE" w:rsidP="002D6DD7">
            <w:pPr>
              <w:jc w:val="both"/>
              <w:rPr>
                <w:rFonts w:cs="Times New Roman"/>
                <w:szCs w:val="24"/>
              </w:rPr>
            </w:pPr>
            <w:r w:rsidRPr="00C83119">
              <w:rPr>
                <w:rFonts w:cs="Times New Roman"/>
                <w:szCs w:val="24"/>
              </w:rPr>
              <w:t>Hepatic impairment, renal impairment</w:t>
            </w:r>
          </w:p>
        </w:tc>
      </w:tr>
      <w:tr w:rsidR="006254CE" w:rsidRPr="00C83119" w14:paraId="1A2DB7F2" w14:textId="77777777" w:rsidTr="002D6DD7">
        <w:trPr>
          <w:trHeight w:val="37"/>
        </w:trPr>
        <w:tc>
          <w:tcPr>
            <w:tcW w:w="2785" w:type="dxa"/>
          </w:tcPr>
          <w:p w14:paraId="6B4BDD1B"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586E4A85" w14:textId="77777777" w:rsidR="006254CE" w:rsidRPr="00C83119" w:rsidRDefault="006254CE" w:rsidP="002D6DD7">
            <w:pPr>
              <w:jc w:val="both"/>
              <w:rPr>
                <w:rFonts w:cs="Times New Roman"/>
                <w:szCs w:val="24"/>
              </w:rPr>
            </w:pPr>
            <w:r w:rsidRPr="00C83119">
              <w:rPr>
                <w:rFonts w:cs="Times New Roman"/>
                <w:szCs w:val="24"/>
              </w:rPr>
              <w:t>Store between 2-8°C in the refrigerator.</w:t>
            </w:r>
          </w:p>
        </w:tc>
      </w:tr>
      <w:tr w:rsidR="006254CE" w:rsidRPr="00C83119" w14:paraId="18C2CA2A" w14:textId="77777777" w:rsidTr="002D6DD7">
        <w:trPr>
          <w:trHeight w:val="37"/>
        </w:trPr>
        <w:tc>
          <w:tcPr>
            <w:tcW w:w="9351" w:type="dxa"/>
            <w:gridSpan w:val="2"/>
          </w:tcPr>
          <w:p w14:paraId="66F67A68" w14:textId="77777777" w:rsidR="006254CE" w:rsidRPr="00C83119" w:rsidRDefault="006254CE" w:rsidP="002D6DD7">
            <w:pPr>
              <w:jc w:val="both"/>
              <w:rPr>
                <w:rFonts w:cs="Times New Roman"/>
                <w:b/>
                <w:bCs/>
                <w:szCs w:val="24"/>
              </w:rPr>
            </w:pPr>
            <w:bookmarkStart w:id="195" w:name="_Toc168317520"/>
            <w:bookmarkStart w:id="196" w:name="_Hlk168470419"/>
            <w:r w:rsidRPr="00C83119">
              <w:rPr>
                <w:rFonts w:eastAsia="Times New Roman" w:cs="Times New Roman"/>
                <w:b/>
                <w:bCs/>
                <w:szCs w:val="24"/>
              </w:rPr>
              <w:t>Mitomycin C</w:t>
            </w:r>
            <w:bookmarkEnd w:id="195"/>
          </w:p>
        </w:tc>
      </w:tr>
      <w:tr w:rsidR="006254CE" w:rsidRPr="00C83119" w14:paraId="7B47F2D1" w14:textId="77777777" w:rsidTr="002D6DD7">
        <w:trPr>
          <w:trHeight w:val="62"/>
        </w:trPr>
        <w:tc>
          <w:tcPr>
            <w:tcW w:w="2785" w:type="dxa"/>
          </w:tcPr>
          <w:p w14:paraId="03D273B2"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3BAD1D40" w14:textId="77777777" w:rsidR="006254CE" w:rsidRPr="00C83119" w:rsidRDefault="006254CE" w:rsidP="002D6DD7">
            <w:pPr>
              <w:jc w:val="both"/>
              <w:rPr>
                <w:rFonts w:cs="Times New Roman"/>
                <w:szCs w:val="24"/>
              </w:rPr>
            </w:pPr>
            <w:r w:rsidRPr="00C83119">
              <w:rPr>
                <w:rFonts w:cs="Times New Roman"/>
                <w:color w:val="192027"/>
                <w:szCs w:val="24"/>
                <w:shd w:val="clear" w:color="auto" w:fill="FFFFFF"/>
              </w:rPr>
              <w:t>Antimetabolite</w:t>
            </w:r>
          </w:p>
        </w:tc>
      </w:tr>
      <w:tr w:rsidR="006254CE" w:rsidRPr="00C83119" w14:paraId="6F049240" w14:textId="77777777" w:rsidTr="002D6DD7">
        <w:tc>
          <w:tcPr>
            <w:tcW w:w="2785" w:type="dxa"/>
          </w:tcPr>
          <w:p w14:paraId="123B4293"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0675C49E" w14:textId="77777777" w:rsidR="006254CE" w:rsidRPr="00C83119" w:rsidRDefault="006254CE" w:rsidP="002D6DD7">
            <w:pPr>
              <w:jc w:val="both"/>
              <w:rPr>
                <w:rFonts w:eastAsia="Times New Roman" w:cs="Times New Roman"/>
                <w:szCs w:val="24"/>
              </w:rPr>
            </w:pPr>
            <w:r w:rsidRPr="00C83119">
              <w:rPr>
                <w:rFonts w:eastAsia="Times New Roman" w:cs="Times New Roman"/>
                <w:szCs w:val="24"/>
              </w:rPr>
              <w:t>Sterile powder for reconstitution: 2mg, 10mg</w:t>
            </w:r>
          </w:p>
        </w:tc>
      </w:tr>
      <w:tr w:rsidR="006254CE" w:rsidRPr="00C83119" w14:paraId="56C70CBF" w14:textId="77777777" w:rsidTr="002D6DD7">
        <w:tc>
          <w:tcPr>
            <w:tcW w:w="2785" w:type="dxa"/>
          </w:tcPr>
          <w:p w14:paraId="1D6B8B93"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41D656A7" w14:textId="77777777" w:rsidR="006254CE" w:rsidRPr="00C83119" w:rsidRDefault="006254CE" w:rsidP="002D6DD7">
            <w:pPr>
              <w:jc w:val="both"/>
              <w:rPr>
                <w:rFonts w:cs="Times New Roman"/>
                <w:szCs w:val="24"/>
              </w:rPr>
            </w:pPr>
            <w:r w:rsidRPr="00C83119">
              <w:rPr>
                <w:rFonts w:cs="Times New Roman"/>
                <w:szCs w:val="24"/>
              </w:rPr>
              <w:t>Palliative treatment of certain cancers, including gastric, pancreatic, bladder, and breast cancer, prevention of scarring after glaucoma surgery (trabeculectomy) or after pterygium surgery</w:t>
            </w:r>
          </w:p>
        </w:tc>
      </w:tr>
      <w:tr w:rsidR="006254CE" w:rsidRPr="00C83119" w14:paraId="25CABA88" w14:textId="77777777" w:rsidTr="002D6DD7">
        <w:trPr>
          <w:trHeight w:val="80"/>
        </w:trPr>
        <w:tc>
          <w:tcPr>
            <w:tcW w:w="2785" w:type="dxa"/>
          </w:tcPr>
          <w:p w14:paraId="2D40F18D" w14:textId="77777777" w:rsidR="006254CE" w:rsidRPr="00C83119" w:rsidRDefault="006254CE" w:rsidP="002D6DD7">
            <w:pPr>
              <w:rPr>
                <w:rFonts w:cs="Times New Roman"/>
                <w:szCs w:val="24"/>
              </w:rPr>
            </w:pPr>
            <w:r w:rsidRPr="00C83119">
              <w:rPr>
                <w:rFonts w:cs="Times New Roman"/>
                <w:szCs w:val="24"/>
              </w:rPr>
              <w:t>Dose and administration</w:t>
            </w:r>
          </w:p>
        </w:tc>
        <w:tc>
          <w:tcPr>
            <w:tcW w:w="6566" w:type="dxa"/>
          </w:tcPr>
          <w:p w14:paraId="2F7F72DC" w14:textId="77777777" w:rsidR="006254CE" w:rsidRPr="00C83119" w:rsidRDefault="006254CE" w:rsidP="002D6DD7">
            <w:pPr>
              <w:jc w:val="both"/>
              <w:rPr>
                <w:rFonts w:cs="Times New Roman"/>
                <w:b/>
                <w:bCs/>
                <w:color w:val="2A2A2A"/>
                <w:szCs w:val="24"/>
              </w:rPr>
            </w:pPr>
            <w:r w:rsidRPr="00C83119">
              <w:rPr>
                <w:rFonts w:cs="Times New Roman"/>
                <w:b/>
                <w:bCs/>
                <w:color w:val="2A2A2A"/>
                <w:szCs w:val="24"/>
              </w:rPr>
              <w:t>For ophthalmic use (topical application during surgery)</w:t>
            </w:r>
          </w:p>
          <w:p w14:paraId="47662415" w14:textId="77777777" w:rsidR="006254CE" w:rsidRPr="00C83119" w:rsidRDefault="006254CE" w:rsidP="002D6DD7">
            <w:pPr>
              <w:jc w:val="both"/>
              <w:rPr>
                <w:rFonts w:cs="Times New Roman"/>
                <w:color w:val="2A2A2A"/>
                <w:szCs w:val="24"/>
              </w:rPr>
            </w:pPr>
            <w:r w:rsidRPr="00C83119">
              <w:rPr>
                <w:rFonts w:cs="Times New Roman"/>
                <w:color w:val="2A2A2A"/>
                <w:szCs w:val="24"/>
              </w:rPr>
              <w:t>Applied in concentrations ranging from 0.2 mg/mL to 0.4 mg/mL during surgery to reduce scarring.</w:t>
            </w:r>
          </w:p>
          <w:p w14:paraId="34832261" w14:textId="77777777" w:rsidR="006254CE" w:rsidRPr="00C83119" w:rsidRDefault="006254CE" w:rsidP="002D6DD7">
            <w:pPr>
              <w:jc w:val="both"/>
              <w:rPr>
                <w:rFonts w:cs="Times New Roman"/>
                <w:i/>
                <w:iCs/>
                <w:color w:val="2A2A2A"/>
                <w:szCs w:val="24"/>
                <w:lang w:eastAsia="en-GB"/>
              </w:rPr>
            </w:pPr>
            <w:r w:rsidRPr="00EB59BD">
              <w:rPr>
                <w:rFonts w:cs="Times New Roman"/>
                <w:bCs/>
                <w:i/>
                <w:iCs/>
                <w:color w:val="2A2A2A"/>
                <w:szCs w:val="24"/>
                <w:lang w:eastAsia="en-GB"/>
              </w:rPr>
              <w:t>Note:</w:t>
            </w:r>
            <w:r w:rsidRPr="00C83119">
              <w:rPr>
                <w:rFonts w:cs="Times New Roman"/>
                <w:i/>
                <w:iCs/>
                <w:color w:val="2A2A2A"/>
                <w:szCs w:val="24"/>
                <w:lang w:eastAsia="en-GB"/>
              </w:rPr>
              <w:t xml:space="preserve"> 2 mg vial can be reconstituted to create a 0.2 mg/mL solution for surgical application while 10 mg vial is reconstituted similarly and may be diluted to the desired concentration based on clinical needs.</w:t>
            </w:r>
          </w:p>
        </w:tc>
      </w:tr>
      <w:tr w:rsidR="006254CE" w:rsidRPr="00C83119" w14:paraId="4E33E62C" w14:textId="77777777" w:rsidTr="002D6DD7">
        <w:trPr>
          <w:trHeight w:val="37"/>
        </w:trPr>
        <w:tc>
          <w:tcPr>
            <w:tcW w:w="2785" w:type="dxa"/>
          </w:tcPr>
          <w:p w14:paraId="6D62BE55"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002CB54C" w14:textId="77777777" w:rsidR="006254CE" w:rsidRPr="00C83119" w:rsidRDefault="006254CE" w:rsidP="002D6DD7">
            <w:pPr>
              <w:jc w:val="both"/>
              <w:rPr>
                <w:rFonts w:cs="Times New Roman"/>
                <w:color w:val="2A2A2A"/>
                <w:szCs w:val="24"/>
              </w:rPr>
            </w:pPr>
            <w:r w:rsidRPr="00C83119">
              <w:rPr>
                <w:rFonts w:cs="Times New Roman"/>
                <w:color w:val="2A2A2A"/>
                <w:szCs w:val="24"/>
              </w:rPr>
              <w:t>Hypersensitivity to the drug, active ocular infection, pregnancy, breastfeeding</w:t>
            </w:r>
          </w:p>
        </w:tc>
      </w:tr>
      <w:tr w:rsidR="006254CE" w:rsidRPr="00C83119" w14:paraId="6E567151" w14:textId="77777777" w:rsidTr="002D6DD7">
        <w:tc>
          <w:tcPr>
            <w:tcW w:w="2785" w:type="dxa"/>
          </w:tcPr>
          <w:p w14:paraId="3811FD5A"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253145FB" w14:textId="77777777" w:rsidR="006254CE" w:rsidRPr="00C83119" w:rsidRDefault="006254CE" w:rsidP="002D6DD7">
            <w:pPr>
              <w:jc w:val="both"/>
              <w:rPr>
                <w:rFonts w:cs="Times New Roman"/>
                <w:szCs w:val="24"/>
              </w:rPr>
            </w:pPr>
            <w:r w:rsidRPr="00C83119">
              <w:rPr>
                <w:rFonts w:cs="Times New Roman"/>
                <w:szCs w:val="24"/>
              </w:rPr>
              <w:t>No significant topical interactions</w:t>
            </w:r>
          </w:p>
        </w:tc>
      </w:tr>
      <w:tr w:rsidR="006254CE" w:rsidRPr="00C83119" w14:paraId="15C48627" w14:textId="77777777" w:rsidTr="002D6DD7">
        <w:trPr>
          <w:trHeight w:val="37"/>
        </w:trPr>
        <w:tc>
          <w:tcPr>
            <w:tcW w:w="2785" w:type="dxa"/>
          </w:tcPr>
          <w:p w14:paraId="0546270B"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6F5472C9" w14:textId="77777777" w:rsidR="006254CE" w:rsidRPr="00C83119" w:rsidRDefault="006254CE" w:rsidP="002D6DD7">
            <w:pPr>
              <w:jc w:val="both"/>
              <w:rPr>
                <w:rFonts w:cs="Times New Roman"/>
                <w:color w:val="2A2A2A"/>
                <w:szCs w:val="24"/>
              </w:rPr>
            </w:pPr>
            <w:r w:rsidRPr="00C83119">
              <w:rPr>
                <w:rFonts w:cs="Times New Roman"/>
                <w:color w:val="2A2A2A"/>
                <w:szCs w:val="24"/>
              </w:rPr>
              <w:t>Local irritation or burning sensation, delayed wound healing, corneal defects or thinning, scleral melting or necrosis in severe cases, increased risk of infection due to delayed healing</w:t>
            </w:r>
          </w:p>
        </w:tc>
      </w:tr>
      <w:tr w:rsidR="006254CE" w:rsidRPr="00C83119" w14:paraId="69876D2E" w14:textId="77777777" w:rsidTr="002D6DD7">
        <w:trPr>
          <w:trHeight w:val="809"/>
        </w:trPr>
        <w:tc>
          <w:tcPr>
            <w:tcW w:w="2785" w:type="dxa"/>
          </w:tcPr>
          <w:p w14:paraId="2F5B46D5"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5BB929DA" w14:textId="77777777" w:rsidR="006254CE" w:rsidRPr="00C83119" w:rsidRDefault="006254CE" w:rsidP="002D6DD7">
            <w:pPr>
              <w:jc w:val="both"/>
              <w:rPr>
                <w:rFonts w:cs="Times New Roman"/>
                <w:color w:val="2A2A2A"/>
                <w:szCs w:val="24"/>
              </w:rPr>
            </w:pPr>
            <w:r w:rsidRPr="00C83119">
              <w:rPr>
                <w:rFonts w:cs="Times New Roman"/>
                <w:color w:val="2A2A2A"/>
                <w:szCs w:val="24"/>
              </w:rPr>
              <w:t>Pre-existing ocular surface disease, surgery (contact with the cornea or other sensitive ocular tissues)</w:t>
            </w:r>
          </w:p>
        </w:tc>
      </w:tr>
      <w:tr w:rsidR="006254CE" w:rsidRPr="00C83119" w14:paraId="778ED48A" w14:textId="77777777" w:rsidTr="002D6DD7">
        <w:trPr>
          <w:trHeight w:val="37"/>
        </w:trPr>
        <w:tc>
          <w:tcPr>
            <w:tcW w:w="2785" w:type="dxa"/>
          </w:tcPr>
          <w:p w14:paraId="0B746783" w14:textId="77777777" w:rsidR="006254CE" w:rsidRPr="00C83119" w:rsidRDefault="006254CE" w:rsidP="002D6DD7">
            <w:pPr>
              <w:jc w:val="both"/>
              <w:rPr>
                <w:rFonts w:cs="Times New Roman"/>
                <w:szCs w:val="24"/>
              </w:rPr>
            </w:pPr>
            <w:r w:rsidRPr="00C83119">
              <w:rPr>
                <w:rFonts w:cs="Times New Roman"/>
                <w:szCs w:val="24"/>
              </w:rPr>
              <w:lastRenderedPageBreak/>
              <w:t>Storage condition</w:t>
            </w:r>
          </w:p>
        </w:tc>
        <w:tc>
          <w:tcPr>
            <w:tcW w:w="6566" w:type="dxa"/>
          </w:tcPr>
          <w:p w14:paraId="0BB3D25A" w14:textId="77777777" w:rsidR="006254CE" w:rsidRPr="00C83119" w:rsidRDefault="006254CE" w:rsidP="002D6DD7">
            <w:pPr>
              <w:jc w:val="both"/>
              <w:rPr>
                <w:rFonts w:cs="Times New Roman"/>
                <w:szCs w:val="24"/>
              </w:rPr>
            </w:pPr>
            <w:r w:rsidRPr="00C83119">
              <w:rPr>
                <w:rFonts w:cs="Times New Roman"/>
                <w:szCs w:val="24"/>
              </w:rPr>
              <w:t xml:space="preserve">Store below between 30°C. </w:t>
            </w:r>
          </w:p>
          <w:p w14:paraId="0C997E4C" w14:textId="77777777" w:rsidR="006254CE" w:rsidRPr="00C83119" w:rsidRDefault="006254CE" w:rsidP="002D6DD7">
            <w:pPr>
              <w:jc w:val="both"/>
              <w:rPr>
                <w:rFonts w:cs="Times New Roman"/>
                <w:i/>
                <w:iCs/>
                <w:szCs w:val="24"/>
              </w:rPr>
            </w:pPr>
            <w:r w:rsidRPr="00EB59BD">
              <w:rPr>
                <w:rFonts w:cs="Times New Roman"/>
                <w:bCs/>
                <w:i/>
                <w:iCs/>
                <w:szCs w:val="24"/>
              </w:rPr>
              <w:t>Note:</w:t>
            </w:r>
            <w:r w:rsidRPr="00C83119">
              <w:rPr>
                <w:rFonts w:cs="Times New Roman"/>
                <w:i/>
                <w:iCs/>
                <w:szCs w:val="24"/>
              </w:rPr>
              <w:t xml:space="preserve"> Reconstituted solution should be used immediately or stored according to instructions, typically at 2°C to 8°C for a short time. Protect from light.</w:t>
            </w:r>
          </w:p>
        </w:tc>
      </w:tr>
      <w:tr w:rsidR="006254CE" w:rsidRPr="00C83119" w14:paraId="7448399C" w14:textId="77777777" w:rsidTr="002D6DD7">
        <w:tc>
          <w:tcPr>
            <w:tcW w:w="9351" w:type="dxa"/>
            <w:gridSpan w:val="2"/>
          </w:tcPr>
          <w:p w14:paraId="3D7CB568" w14:textId="77777777" w:rsidR="006254CE" w:rsidRPr="00C83119" w:rsidRDefault="006254CE" w:rsidP="002D6DD7">
            <w:pPr>
              <w:jc w:val="both"/>
              <w:rPr>
                <w:rFonts w:cs="Times New Roman"/>
                <w:b/>
                <w:bCs/>
                <w:szCs w:val="24"/>
              </w:rPr>
            </w:pPr>
            <w:bookmarkStart w:id="197" w:name="_Toc168317512"/>
            <w:bookmarkEnd w:id="196"/>
            <w:r w:rsidRPr="00C83119">
              <w:rPr>
                <w:rFonts w:cs="Times New Roman"/>
                <w:b/>
                <w:bCs/>
                <w:szCs w:val="24"/>
              </w:rPr>
              <w:t>Mannitol</w:t>
            </w:r>
            <w:bookmarkEnd w:id="197"/>
          </w:p>
        </w:tc>
      </w:tr>
      <w:tr w:rsidR="006254CE" w:rsidRPr="00C83119" w14:paraId="146ABEC8" w14:textId="77777777" w:rsidTr="002D6DD7">
        <w:tc>
          <w:tcPr>
            <w:tcW w:w="2785" w:type="dxa"/>
          </w:tcPr>
          <w:p w14:paraId="11D705EB"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010ABFBF" w14:textId="77777777" w:rsidR="006254CE" w:rsidRPr="00C83119" w:rsidRDefault="006254CE" w:rsidP="002D6DD7">
            <w:pPr>
              <w:jc w:val="both"/>
              <w:rPr>
                <w:rFonts w:cs="Times New Roman"/>
                <w:szCs w:val="24"/>
              </w:rPr>
            </w:pPr>
            <w:r w:rsidRPr="00C83119">
              <w:rPr>
                <w:rFonts w:cs="Times New Roman"/>
                <w:color w:val="2A2A2A"/>
                <w:szCs w:val="24"/>
              </w:rPr>
              <w:t>Osmotic diuretic</w:t>
            </w:r>
          </w:p>
        </w:tc>
      </w:tr>
      <w:tr w:rsidR="006254CE" w:rsidRPr="00C83119" w14:paraId="65B0F528" w14:textId="77777777" w:rsidTr="002D6DD7">
        <w:tc>
          <w:tcPr>
            <w:tcW w:w="2785" w:type="dxa"/>
          </w:tcPr>
          <w:p w14:paraId="5E25C191"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697FC4E2" w14:textId="77777777" w:rsidR="006254CE" w:rsidRPr="00C83119" w:rsidRDefault="006254CE" w:rsidP="002D6DD7">
            <w:pPr>
              <w:jc w:val="both"/>
              <w:rPr>
                <w:rFonts w:cs="Times New Roman"/>
                <w:szCs w:val="24"/>
              </w:rPr>
            </w:pPr>
            <w:r w:rsidRPr="00C83119">
              <w:rPr>
                <w:rFonts w:eastAsia="Times New Roman" w:cs="Times New Roman"/>
                <w:szCs w:val="24"/>
              </w:rPr>
              <w:t>Intravenous infusion solution: 20% in 500ml</w:t>
            </w:r>
          </w:p>
        </w:tc>
      </w:tr>
      <w:tr w:rsidR="006254CE" w:rsidRPr="00C83119" w14:paraId="6443A83F" w14:textId="77777777" w:rsidTr="002D6DD7">
        <w:tc>
          <w:tcPr>
            <w:tcW w:w="2785" w:type="dxa"/>
          </w:tcPr>
          <w:p w14:paraId="50B9DE51"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05929AA7" w14:textId="77777777" w:rsidR="006254CE" w:rsidRPr="00C83119" w:rsidRDefault="006254CE" w:rsidP="002D6DD7">
            <w:pPr>
              <w:jc w:val="both"/>
              <w:rPr>
                <w:rFonts w:cs="Times New Roman"/>
                <w:szCs w:val="24"/>
              </w:rPr>
            </w:pPr>
            <w:r w:rsidRPr="00C83119">
              <w:rPr>
                <w:rFonts w:cs="Times New Roman"/>
                <w:szCs w:val="24"/>
              </w:rPr>
              <w:t>Reduction of intracranial pressure associated with cerebral edema and acute glaucoma, promotion of diuresis in acute renal failure, prevention of renal toxicity during chemotherapy or drug poisoning, treatment of cerebral edema</w:t>
            </w:r>
          </w:p>
        </w:tc>
      </w:tr>
      <w:tr w:rsidR="006254CE" w:rsidRPr="00C83119" w14:paraId="536465FD" w14:textId="77777777" w:rsidTr="002D6DD7">
        <w:tc>
          <w:tcPr>
            <w:tcW w:w="2785" w:type="dxa"/>
          </w:tcPr>
          <w:p w14:paraId="129A5FD7"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475B849C" w14:textId="77777777" w:rsidR="006254CE" w:rsidRPr="00C83119" w:rsidRDefault="006254CE" w:rsidP="002D6DD7">
            <w:pPr>
              <w:jc w:val="both"/>
              <w:rPr>
                <w:rFonts w:cs="Times New Roman"/>
                <w:b/>
                <w:bCs/>
                <w:szCs w:val="24"/>
              </w:rPr>
            </w:pPr>
            <w:r w:rsidRPr="00C83119">
              <w:rPr>
                <w:rFonts w:cs="Times New Roman"/>
                <w:b/>
                <w:bCs/>
                <w:szCs w:val="24"/>
              </w:rPr>
              <w:t>Adult:</w:t>
            </w:r>
          </w:p>
          <w:p w14:paraId="1CFB35C8" w14:textId="77777777" w:rsidR="006254CE" w:rsidRPr="00C83119" w:rsidRDefault="006254CE" w:rsidP="002D6DD7">
            <w:pPr>
              <w:jc w:val="both"/>
              <w:rPr>
                <w:rFonts w:cs="Times New Roman"/>
                <w:szCs w:val="24"/>
              </w:rPr>
            </w:pPr>
            <w:r w:rsidRPr="00C83119">
              <w:rPr>
                <w:rFonts w:cs="Times New Roman"/>
                <w:b/>
                <w:bCs/>
                <w:szCs w:val="24"/>
              </w:rPr>
              <w:t>Intracranial pressure:</w:t>
            </w:r>
            <w:r w:rsidRPr="00C83119">
              <w:rPr>
                <w:rFonts w:cs="Times New Roman"/>
                <w:szCs w:val="24"/>
              </w:rPr>
              <w:t xml:space="preserve"> 0.25–2 g/kg as a 15%–25% IV infusion over 30–60 minutes.</w:t>
            </w:r>
          </w:p>
          <w:p w14:paraId="6C4AFCB7" w14:textId="77777777" w:rsidR="006254CE" w:rsidRPr="00C83119" w:rsidRDefault="006254CE" w:rsidP="002D6DD7">
            <w:pPr>
              <w:jc w:val="both"/>
              <w:rPr>
                <w:rFonts w:cs="Times New Roman"/>
                <w:szCs w:val="24"/>
              </w:rPr>
            </w:pPr>
            <w:r w:rsidRPr="00C83119">
              <w:rPr>
                <w:rFonts w:cs="Times New Roman"/>
                <w:b/>
                <w:bCs/>
                <w:szCs w:val="24"/>
              </w:rPr>
              <w:t>Intraocular pressure:</w:t>
            </w:r>
            <w:r w:rsidRPr="00C83119">
              <w:rPr>
                <w:rFonts w:cs="Times New Roman"/>
                <w:szCs w:val="24"/>
              </w:rPr>
              <w:t xml:space="preserve"> 1.5–2 g/kg as a 15%–20% IV infusion over 30–60 minutes.</w:t>
            </w:r>
          </w:p>
          <w:p w14:paraId="13CDE820" w14:textId="77777777" w:rsidR="006254CE" w:rsidRPr="00C83119" w:rsidRDefault="006254CE" w:rsidP="002D6DD7">
            <w:pPr>
              <w:jc w:val="both"/>
              <w:rPr>
                <w:rFonts w:cs="Times New Roman"/>
                <w:szCs w:val="24"/>
              </w:rPr>
            </w:pPr>
            <w:r w:rsidRPr="00C83119">
              <w:rPr>
                <w:rFonts w:cs="Times New Roman"/>
                <w:b/>
                <w:bCs/>
                <w:szCs w:val="24"/>
              </w:rPr>
              <w:t>Diuresis/Renal protection:</w:t>
            </w:r>
            <w:r w:rsidRPr="00C83119">
              <w:rPr>
                <w:rFonts w:cs="Times New Roman"/>
                <w:szCs w:val="24"/>
              </w:rPr>
              <w:t xml:space="preserve"> 50–100 g in a 20% solution over 24 hours, adjusted based on clinical response.</w:t>
            </w:r>
          </w:p>
          <w:p w14:paraId="5D4EDFFA" w14:textId="77777777" w:rsidR="006254CE" w:rsidRPr="00C83119" w:rsidRDefault="006254CE" w:rsidP="002D6DD7">
            <w:pPr>
              <w:jc w:val="both"/>
              <w:rPr>
                <w:rFonts w:cs="Times New Roman"/>
                <w:b/>
                <w:bCs/>
                <w:szCs w:val="24"/>
              </w:rPr>
            </w:pPr>
            <w:r w:rsidRPr="00C83119">
              <w:rPr>
                <w:rFonts w:cs="Times New Roman"/>
                <w:b/>
                <w:bCs/>
                <w:szCs w:val="24"/>
              </w:rPr>
              <w:t>Child:</w:t>
            </w:r>
          </w:p>
          <w:p w14:paraId="35F3572F" w14:textId="77777777" w:rsidR="006254CE" w:rsidRPr="00C83119" w:rsidRDefault="006254CE" w:rsidP="002D6DD7">
            <w:pPr>
              <w:jc w:val="both"/>
              <w:rPr>
                <w:rFonts w:cs="Times New Roman"/>
                <w:szCs w:val="24"/>
              </w:rPr>
            </w:pPr>
            <w:r w:rsidRPr="00C83119">
              <w:rPr>
                <w:rFonts w:cs="Times New Roman"/>
                <w:b/>
                <w:bCs/>
                <w:szCs w:val="24"/>
              </w:rPr>
              <w:t>Intracranial/Intraocular pressure:</w:t>
            </w:r>
            <w:r w:rsidRPr="00C83119">
              <w:rPr>
                <w:rFonts w:cs="Times New Roman"/>
                <w:szCs w:val="24"/>
              </w:rPr>
              <w:t xml:space="preserve"> 0.25–1 g/kg IV over 30–60 minutes as needed.</w:t>
            </w:r>
          </w:p>
        </w:tc>
      </w:tr>
      <w:tr w:rsidR="006254CE" w:rsidRPr="00C83119" w14:paraId="6BCC2503" w14:textId="77777777" w:rsidTr="002D6DD7">
        <w:tc>
          <w:tcPr>
            <w:tcW w:w="2785" w:type="dxa"/>
          </w:tcPr>
          <w:p w14:paraId="4DA9726D"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78979F6E" w14:textId="77777777" w:rsidR="006254CE" w:rsidRPr="00C83119" w:rsidRDefault="006254CE" w:rsidP="002D6DD7">
            <w:pPr>
              <w:jc w:val="both"/>
              <w:rPr>
                <w:rFonts w:cs="Times New Roman"/>
                <w:szCs w:val="24"/>
              </w:rPr>
            </w:pPr>
            <w:r w:rsidRPr="00C83119">
              <w:rPr>
                <w:rFonts w:cs="Times New Roman"/>
                <w:szCs w:val="24"/>
              </w:rPr>
              <w:t>Hypersensitivity to the drug, anuria, pulmonary congestion or edema, dehydration, active intracranial bleeding</w:t>
            </w:r>
          </w:p>
        </w:tc>
      </w:tr>
      <w:tr w:rsidR="006254CE" w:rsidRPr="00C83119" w14:paraId="67A7A44E" w14:textId="77777777" w:rsidTr="002D6DD7">
        <w:tc>
          <w:tcPr>
            <w:tcW w:w="2785" w:type="dxa"/>
          </w:tcPr>
          <w:p w14:paraId="11B4CD38"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60318AD3" w14:textId="77777777" w:rsidR="006254CE" w:rsidRPr="00C83119" w:rsidRDefault="006254CE" w:rsidP="002D6DD7">
            <w:pPr>
              <w:jc w:val="both"/>
              <w:rPr>
                <w:rFonts w:cs="Times New Roman"/>
                <w:szCs w:val="24"/>
              </w:rPr>
            </w:pPr>
            <w:r w:rsidRPr="00C83119">
              <w:rPr>
                <w:rFonts w:cs="Times New Roman"/>
                <w:szCs w:val="24"/>
              </w:rPr>
              <w:t>Nephrotoxic drugs, lithium, other diuretics</w:t>
            </w:r>
          </w:p>
        </w:tc>
      </w:tr>
      <w:tr w:rsidR="006254CE" w:rsidRPr="00C83119" w14:paraId="3B0CBAA0" w14:textId="77777777" w:rsidTr="002D6DD7">
        <w:tc>
          <w:tcPr>
            <w:tcW w:w="2785" w:type="dxa"/>
          </w:tcPr>
          <w:p w14:paraId="25573481"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1D860F7C" w14:textId="77777777" w:rsidR="006254CE" w:rsidRPr="00C83119" w:rsidRDefault="006254CE" w:rsidP="002D6DD7">
            <w:pPr>
              <w:jc w:val="both"/>
              <w:rPr>
                <w:rFonts w:cs="Times New Roman"/>
                <w:szCs w:val="24"/>
              </w:rPr>
            </w:pPr>
            <w:r w:rsidRPr="00C83119">
              <w:rPr>
                <w:rFonts w:cs="Times New Roman"/>
                <w:szCs w:val="24"/>
              </w:rPr>
              <w:t>Fluid and electrolyte imbalances, hypotension, nausea, vomiting, dizziness, headache, pulmonary edema (from fluid overload), chest pain, renal dysfunction in patients with pre-existing kidney disease</w:t>
            </w:r>
          </w:p>
        </w:tc>
      </w:tr>
      <w:tr w:rsidR="006254CE" w:rsidRPr="00C83119" w14:paraId="1FCBD2DD" w14:textId="77777777" w:rsidTr="002D6DD7">
        <w:tc>
          <w:tcPr>
            <w:tcW w:w="2785" w:type="dxa"/>
          </w:tcPr>
          <w:p w14:paraId="726056E7"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74F2C065" w14:textId="77777777" w:rsidR="006254CE" w:rsidRPr="00C83119" w:rsidRDefault="006254CE" w:rsidP="002D6DD7">
            <w:pPr>
              <w:jc w:val="both"/>
              <w:rPr>
                <w:rFonts w:cs="Times New Roman"/>
                <w:szCs w:val="24"/>
              </w:rPr>
            </w:pPr>
            <w:r w:rsidRPr="00C83119">
              <w:rPr>
                <w:rFonts w:cs="Times New Roman"/>
                <w:szCs w:val="24"/>
              </w:rPr>
              <w:t>Renal impairment, cardiovascular disease, pregnancy, breastfeeding</w:t>
            </w:r>
          </w:p>
        </w:tc>
      </w:tr>
      <w:tr w:rsidR="006254CE" w:rsidRPr="00C83119" w14:paraId="29A5F093" w14:textId="77777777" w:rsidTr="002D6DD7">
        <w:tc>
          <w:tcPr>
            <w:tcW w:w="2785" w:type="dxa"/>
          </w:tcPr>
          <w:p w14:paraId="6965189D"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666E1EF1"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65881866" w14:textId="77777777" w:rsidTr="002D6DD7">
        <w:trPr>
          <w:trHeight w:val="170"/>
        </w:trPr>
        <w:tc>
          <w:tcPr>
            <w:tcW w:w="9351" w:type="dxa"/>
            <w:gridSpan w:val="2"/>
          </w:tcPr>
          <w:p w14:paraId="5E0AF5E4" w14:textId="77777777" w:rsidR="006254CE" w:rsidRPr="00C83119" w:rsidRDefault="006254CE" w:rsidP="002D6DD7">
            <w:pPr>
              <w:jc w:val="both"/>
              <w:rPr>
                <w:rFonts w:cs="Times New Roman"/>
                <w:b/>
                <w:bCs/>
                <w:szCs w:val="24"/>
              </w:rPr>
            </w:pPr>
            <w:bookmarkStart w:id="198" w:name="_Toc168317513"/>
            <w:r w:rsidRPr="00C83119">
              <w:rPr>
                <w:rFonts w:eastAsia="Times New Roman" w:cs="Times New Roman"/>
                <w:b/>
                <w:bCs/>
                <w:szCs w:val="24"/>
              </w:rPr>
              <w:lastRenderedPageBreak/>
              <w:t>Pilocarpine hydrochloride (nitrate)</w:t>
            </w:r>
            <w:bookmarkEnd w:id="198"/>
          </w:p>
        </w:tc>
      </w:tr>
      <w:tr w:rsidR="006254CE" w:rsidRPr="00C83119" w14:paraId="7EBA42A1" w14:textId="77777777" w:rsidTr="002D6DD7">
        <w:trPr>
          <w:trHeight w:val="37"/>
        </w:trPr>
        <w:tc>
          <w:tcPr>
            <w:tcW w:w="2785" w:type="dxa"/>
          </w:tcPr>
          <w:p w14:paraId="311CE276"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3C28A7CD" w14:textId="77777777" w:rsidR="006254CE" w:rsidRPr="00C83119" w:rsidRDefault="006254CE" w:rsidP="002D6DD7">
            <w:pPr>
              <w:jc w:val="both"/>
              <w:rPr>
                <w:rFonts w:cs="Times New Roman"/>
                <w:szCs w:val="24"/>
              </w:rPr>
            </w:pPr>
            <w:r w:rsidRPr="00C83119">
              <w:rPr>
                <w:rFonts w:cs="Times New Roman"/>
                <w:color w:val="2A2A2A"/>
                <w:szCs w:val="24"/>
              </w:rPr>
              <w:t>Miotic agent (Cholinergic agonist)</w:t>
            </w:r>
          </w:p>
        </w:tc>
      </w:tr>
      <w:tr w:rsidR="006254CE" w:rsidRPr="00C83119" w14:paraId="1BEDB21A" w14:textId="77777777" w:rsidTr="002D6DD7">
        <w:tc>
          <w:tcPr>
            <w:tcW w:w="2785" w:type="dxa"/>
          </w:tcPr>
          <w:p w14:paraId="4A9B0E8D"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398A1F00" w14:textId="77777777" w:rsidR="006254CE" w:rsidRPr="00C83119" w:rsidRDefault="006254CE" w:rsidP="002D6DD7">
            <w:pPr>
              <w:jc w:val="both"/>
              <w:rPr>
                <w:rFonts w:cs="Times New Roman"/>
                <w:szCs w:val="24"/>
              </w:rPr>
            </w:pPr>
            <w:r w:rsidRPr="00C83119">
              <w:rPr>
                <w:rFonts w:cs="Times New Roman"/>
                <w:szCs w:val="24"/>
              </w:rPr>
              <w:t>Ophthalmic solution: 1%, 2%, 4%</w:t>
            </w:r>
          </w:p>
          <w:p w14:paraId="02D40C6F" w14:textId="77777777" w:rsidR="006254CE" w:rsidRPr="00C83119" w:rsidRDefault="006254CE" w:rsidP="002D6DD7">
            <w:pPr>
              <w:jc w:val="both"/>
              <w:rPr>
                <w:rFonts w:cs="Times New Roman"/>
                <w:szCs w:val="24"/>
              </w:rPr>
            </w:pPr>
            <w:r w:rsidRPr="00C83119">
              <w:rPr>
                <w:rFonts w:cs="Times New Roman"/>
                <w:szCs w:val="24"/>
              </w:rPr>
              <w:t>Ophthalmic gel: 4%</w:t>
            </w:r>
          </w:p>
        </w:tc>
      </w:tr>
      <w:tr w:rsidR="006254CE" w:rsidRPr="00C83119" w14:paraId="4D5495B6" w14:textId="77777777" w:rsidTr="002D6DD7">
        <w:tc>
          <w:tcPr>
            <w:tcW w:w="2785" w:type="dxa"/>
          </w:tcPr>
          <w:p w14:paraId="08D656A2"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21C63E66" w14:textId="77777777" w:rsidR="006254CE" w:rsidRPr="00C83119" w:rsidRDefault="006254CE" w:rsidP="002D6DD7">
            <w:pPr>
              <w:jc w:val="both"/>
              <w:rPr>
                <w:rFonts w:cs="Times New Roman"/>
                <w:b/>
                <w:bCs/>
                <w:szCs w:val="24"/>
              </w:rPr>
            </w:pPr>
            <w:r w:rsidRPr="00C83119">
              <w:rPr>
                <w:rFonts w:cs="Times New Roman"/>
                <w:szCs w:val="24"/>
              </w:rPr>
              <w:t>Treatment of elevated intraocular pressure in patients with open-angle glaucoma or ocular hypertension, management of acute angle-closure glaucoma, induction of miosis for surgical or diagnostic procedures</w:t>
            </w:r>
          </w:p>
        </w:tc>
      </w:tr>
      <w:tr w:rsidR="006254CE" w:rsidRPr="00C83119" w14:paraId="7A5A9A39" w14:textId="77777777" w:rsidTr="002D6DD7">
        <w:trPr>
          <w:trHeight w:val="50"/>
        </w:trPr>
        <w:tc>
          <w:tcPr>
            <w:tcW w:w="2785" w:type="dxa"/>
          </w:tcPr>
          <w:p w14:paraId="41004BF9"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Borders>
              <w:bottom w:val="single" w:sz="4" w:space="0" w:color="auto"/>
            </w:tcBorders>
          </w:tcPr>
          <w:p w14:paraId="436F55AA" w14:textId="77777777" w:rsidR="006254CE" w:rsidRPr="00C83119" w:rsidRDefault="006254CE" w:rsidP="002D6DD7">
            <w:pPr>
              <w:jc w:val="both"/>
              <w:rPr>
                <w:rFonts w:cs="Times New Roman"/>
                <w:b/>
                <w:bCs/>
                <w:szCs w:val="24"/>
              </w:rPr>
            </w:pPr>
            <w:r w:rsidRPr="00C83119">
              <w:rPr>
                <w:rFonts w:cs="Times New Roman"/>
                <w:b/>
                <w:bCs/>
                <w:szCs w:val="24"/>
              </w:rPr>
              <w:t>Adult:</w:t>
            </w:r>
          </w:p>
          <w:p w14:paraId="21363C2B" w14:textId="77777777" w:rsidR="006254CE" w:rsidRPr="00C83119" w:rsidRDefault="006254CE" w:rsidP="002D6DD7">
            <w:pPr>
              <w:jc w:val="both"/>
              <w:rPr>
                <w:rFonts w:cs="Times New Roman"/>
                <w:szCs w:val="24"/>
              </w:rPr>
            </w:pPr>
            <w:r w:rsidRPr="00C83119">
              <w:rPr>
                <w:rFonts w:cs="Times New Roman"/>
                <w:b/>
                <w:bCs/>
                <w:szCs w:val="24"/>
              </w:rPr>
              <w:t>Open-angle glaucoma or ocular hypertension:</w:t>
            </w:r>
            <w:r w:rsidRPr="00C83119">
              <w:rPr>
                <w:rFonts w:cs="Times New Roman"/>
                <w:szCs w:val="24"/>
              </w:rPr>
              <w:t xml:space="preserve"> Instill 1 drop of 1%, 2%, or 4% solution in the affected eye(s) up to 4 times daily.</w:t>
            </w:r>
          </w:p>
          <w:p w14:paraId="38AEF631" w14:textId="77777777" w:rsidR="006254CE" w:rsidRPr="00C83119" w:rsidRDefault="006254CE" w:rsidP="002D6DD7">
            <w:pPr>
              <w:jc w:val="both"/>
              <w:rPr>
                <w:rFonts w:cs="Times New Roman"/>
                <w:szCs w:val="24"/>
              </w:rPr>
            </w:pPr>
            <w:r w:rsidRPr="00C83119">
              <w:rPr>
                <w:rFonts w:cs="Times New Roman"/>
                <w:b/>
                <w:bCs/>
                <w:szCs w:val="24"/>
              </w:rPr>
              <w:t>Acute angle-closure glaucoma:</w:t>
            </w:r>
            <w:r w:rsidRPr="00C83119">
              <w:rPr>
                <w:rFonts w:cs="Times New Roman"/>
                <w:szCs w:val="24"/>
              </w:rPr>
              <w:t xml:space="preserve"> Instill 1 drop of 1% or 2% solution in the affected eye(s) every 5 to 10 minutes until intraocular pressure decreases.</w:t>
            </w:r>
          </w:p>
          <w:p w14:paraId="2B2794F6" w14:textId="77777777" w:rsidR="006254CE" w:rsidRPr="00C83119" w:rsidRDefault="006254CE" w:rsidP="002D6DD7">
            <w:pPr>
              <w:jc w:val="both"/>
              <w:rPr>
                <w:rFonts w:cs="Times New Roman"/>
                <w:szCs w:val="24"/>
              </w:rPr>
            </w:pPr>
            <w:r w:rsidRPr="00C83119">
              <w:rPr>
                <w:rFonts w:cs="Times New Roman"/>
                <w:b/>
                <w:bCs/>
                <w:szCs w:val="24"/>
              </w:rPr>
              <w:t>Inducing miosis (for surgery or diagnostics):</w:t>
            </w:r>
            <w:r w:rsidRPr="00C83119">
              <w:rPr>
                <w:rFonts w:cs="Times New Roman"/>
                <w:szCs w:val="24"/>
              </w:rPr>
              <w:t xml:space="preserve"> Instill 1 drop of 1% or 2% solution in the affected eye(s) before the procedure.</w:t>
            </w:r>
          </w:p>
          <w:p w14:paraId="288A6F12" w14:textId="77777777" w:rsidR="006254CE" w:rsidRPr="00C83119" w:rsidRDefault="006254CE" w:rsidP="002D6DD7">
            <w:pPr>
              <w:jc w:val="both"/>
              <w:rPr>
                <w:rFonts w:cs="Times New Roman"/>
                <w:b/>
                <w:bCs/>
                <w:szCs w:val="24"/>
              </w:rPr>
            </w:pPr>
            <w:r w:rsidRPr="00C83119">
              <w:rPr>
                <w:rFonts w:cs="Times New Roman"/>
                <w:b/>
                <w:bCs/>
                <w:szCs w:val="24"/>
              </w:rPr>
              <w:t>Child:</w:t>
            </w:r>
          </w:p>
          <w:p w14:paraId="61D3C6E0" w14:textId="77777777" w:rsidR="006254CE" w:rsidRPr="00C83119" w:rsidRDefault="006254CE" w:rsidP="002D6DD7">
            <w:pPr>
              <w:jc w:val="both"/>
              <w:rPr>
                <w:rFonts w:cs="Times New Roman"/>
                <w:szCs w:val="24"/>
              </w:rPr>
            </w:pPr>
            <w:r w:rsidRPr="00C83119">
              <w:rPr>
                <w:rFonts w:cs="Times New Roman"/>
                <w:b/>
                <w:bCs/>
                <w:szCs w:val="24"/>
              </w:rPr>
              <w:t>Open-angle glaucoma or ocular hypertension:</w:t>
            </w:r>
            <w:r w:rsidRPr="00C83119">
              <w:rPr>
                <w:rFonts w:cs="Times New Roman"/>
                <w:szCs w:val="24"/>
              </w:rPr>
              <w:t xml:space="preserve"> Instill 1 drop of 1%, 2%, or 4% solution in the affected eye(s) up to 2 times daily, depending on the clinical response and age of the child.</w:t>
            </w:r>
          </w:p>
          <w:p w14:paraId="14816834" w14:textId="77777777" w:rsidR="006254CE" w:rsidRPr="00C83119" w:rsidRDefault="006254CE" w:rsidP="002D6DD7">
            <w:pPr>
              <w:jc w:val="both"/>
              <w:rPr>
                <w:rFonts w:cs="Times New Roman"/>
                <w:szCs w:val="24"/>
              </w:rPr>
            </w:pPr>
            <w:r w:rsidRPr="00C83119">
              <w:rPr>
                <w:rFonts w:cs="Times New Roman"/>
                <w:b/>
                <w:bCs/>
                <w:szCs w:val="24"/>
              </w:rPr>
              <w:t>Acute angle-closure glaucoma:</w:t>
            </w:r>
            <w:r w:rsidRPr="00C83119">
              <w:rPr>
                <w:rFonts w:cs="Times New Roman"/>
                <w:szCs w:val="24"/>
              </w:rPr>
              <w:t xml:space="preserve"> Instill 1 drop of 1% or 2% solution in the affected eye(s) every 5 to 10 minutes, under close medical supervision until the intraocular pressure decreases.</w:t>
            </w:r>
          </w:p>
          <w:p w14:paraId="43874ACA" w14:textId="77777777" w:rsidR="006254CE" w:rsidRPr="00C83119" w:rsidRDefault="006254CE" w:rsidP="002D6DD7">
            <w:pPr>
              <w:jc w:val="both"/>
              <w:rPr>
                <w:rFonts w:cs="Times New Roman"/>
                <w:szCs w:val="24"/>
              </w:rPr>
            </w:pPr>
            <w:r w:rsidRPr="00C83119">
              <w:rPr>
                <w:rFonts w:cs="Times New Roman"/>
                <w:b/>
                <w:bCs/>
                <w:szCs w:val="24"/>
              </w:rPr>
              <w:t>Inducing miosis:</w:t>
            </w:r>
            <w:r w:rsidRPr="00C83119">
              <w:rPr>
                <w:rFonts w:cs="Times New Roman"/>
                <w:szCs w:val="24"/>
              </w:rPr>
              <w:t xml:space="preserve"> Instill 1 drop of 1% solution in the affected eye(s) before the procedure.</w:t>
            </w:r>
          </w:p>
          <w:p w14:paraId="384CEE31" w14:textId="77777777" w:rsidR="006254CE" w:rsidRPr="00C83119" w:rsidRDefault="006254CE" w:rsidP="002D6DD7">
            <w:pPr>
              <w:jc w:val="both"/>
              <w:rPr>
                <w:rFonts w:cs="Times New Roman"/>
                <w:i/>
                <w:iCs/>
                <w:szCs w:val="24"/>
              </w:rPr>
            </w:pPr>
            <w:r w:rsidRPr="00EB59BD">
              <w:rPr>
                <w:rFonts w:cs="Times New Roman"/>
                <w:bCs/>
                <w:i/>
                <w:iCs/>
                <w:szCs w:val="24"/>
              </w:rPr>
              <w:t>Note:</w:t>
            </w:r>
            <w:r w:rsidRPr="00C83119">
              <w:rPr>
                <w:rFonts w:cs="Times New Roman"/>
                <w:i/>
                <w:iCs/>
                <w:szCs w:val="24"/>
              </w:rPr>
              <w:t xml:space="preserve"> Pediatric doses should be closely monitored and adjusted based on the child’s age, response, and tolerability. Always consult with a healthcare provider for specific dosing in children.</w:t>
            </w:r>
          </w:p>
        </w:tc>
      </w:tr>
      <w:tr w:rsidR="006254CE" w:rsidRPr="00C83119" w14:paraId="1ABD6D62" w14:textId="77777777" w:rsidTr="002D6DD7">
        <w:tc>
          <w:tcPr>
            <w:tcW w:w="2785" w:type="dxa"/>
          </w:tcPr>
          <w:p w14:paraId="00DB8767"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00E6364A" w14:textId="77777777" w:rsidR="006254CE" w:rsidRPr="00C83119" w:rsidRDefault="006254CE" w:rsidP="002D6DD7">
            <w:pPr>
              <w:jc w:val="both"/>
              <w:rPr>
                <w:rFonts w:cs="Times New Roman"/>
                <w:szCs w:val="24"/>
              </w:rPr>
            </w:pPr>
            <w:r w:rsidRPr="00C83119">
              <w:rPr>
                <w:rFonts w:cs="Times New Roman"/>
                <w:szCs w:val="24"/>
              </w:rPr>
              <w:t>Hypersensitivity to the drug, acute iritis, anterior uveitis, acute inflammation of the anterior segment, conditions where miosis is undesirable (e.g., pupillary block glaucoma)</w:t>
            </w:r>
          </w:p>
        </w:tc>
      </w:tr>
      <w:tr w:rsidR="006254CE" w:rsidRPr="00C83119" w14:paraId="21FB2904" w14:textId="77777777" w:rsidTr="002D6DD7">
        <w:tc>
          <w:tcPr>
            <w:tcW w:w="2785" w:type="dxa"/>
          </w:tcPr>
          <w:p w14:paraId="701A05ED" w14:textId="77777777" w:rsidR="006254CE" w:rsidRPr="00C83119" w:rsidRDefault="006254CE" w:rsidP="002D6DD7">
            <w:pPr>
              <w:jc w:val="both"/>
              <w:rPr>
                <w:rFonts w:cs="Times New Roman"/>
                <w:szCs w:val="24"/>
              </w:rPr>
            </w:pPr>
            <w:r w:rsidRPr="00C83119">
              <w:rPr>
                <w:rFonts w:cs="Times New Roman"/>
                <w:szCs w:val="24"/>
              </w:rPr>
              <w:lastRenderedPageBreak/>
              <w:t>Drug interactions</w:t>
            </w:r>
          </w:p>
        </w:tc>
        <w:tc>
          <w:tcPr>
            <w:tcW w:w="6566" w:type="dxa"/>
          </w:tcPr>
          <w:p w14:paraId="316244EE" w14:textId="77777777" w:rsidR="006254CE" w:rsidRPr="00C83119" w:rsidRDefault="006254CE" w:rsidP="002D6DD7">
            <w:pPr>
              <w:jc w:val="both"/>
              <w:rPr>
                <w:rFonts w:cs="Times New Roman"/>
                <w:szCs w:val="24"/>
              </w:rPr>
            </w:pPr>
            <w:r w:rsidRPr="00C83119">
              <w:rPr>
                <w:rFonts w:cs="Times New Roman"/>
                <w:szCs w:val="24"/>
              </w:rPr>
              <w:t>Beta-blockers (ophthalmic or systemic), anticholinergic agents, systemic cholinergic agonists</w:t>
            </w:r>
          </w:p>
        </w:tc>
      </w:tr>
      <w:tr w:rsidR="006254CE" w:rsidRPr="00C83119" w14:paraId="26B893BE" w14:textId="77777777" w:rsidTr="002D6DD7">
        <w:tc>
          <w:tcPr>
            <w:tcW w:w="2785" w:type="dxa"/>
          </w:tcPr>
          <w:p w14:paraId="3B614E07"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1EFB38A3" w14:textId="77777777" w:rsidR="006254CE" w:rsidRPr="00C83119" w:rsidRDefault="006254CE" w:rsidP="002D6DD7">
            <w:pPr>
              <w:jc w:val="both"/>
              <w:rPr>
                <w:rFonts w:cs="Times New Roman"/>
                <w:szCs w:val="24"/>
              </w:rPr>
            </w:pPr>
            <w:r w:rsidRPr="00C83119">
              <w:rPr>
                <w:rFonts w:cs="Times New Roman"/>
                <w:szCs w:val="24"/>
              </w:rPr>
              <w:t>Blurred vision, eye irritation, eye pain, brow ache, reduced night vision (especially in dim light), increased lacrimation, headache, sweating, nausea, vomiting, bronchospasm, bradycardia</w:t>
            </w:r>
          </w:p>
        </w:tc>
      </w:tr>
      <w:tr w:rsidR="006254CE" w:rsidRPr="00C83119" w14:paraId="2291F842" w14:textId="77777777" w:rsidTr="002D6DD7">
        <w:trPr>
          <w:trHeight w:val="37"/>
        </w:trPr>
        <w:tc>
          <w:tcPr>
            <w:tcW w:w="2785" w:type="dxa"/>
          </w:tcPr>
          <w:p w14:paraId="1208A14A"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70204F60" w14:textId="77777777" w:rsidR="006254CE" w:rsidRPr="00C83119" w:rsidRDefault="006254CE" w:rsidP="002D6DD7">
            <w:pPr>
              <w:jc w:val="both"/>
              <w:rPr>
                <w:rFonts w:cs="Times New Roman"/>
                <w:szCs w:val="24"/>
              </w:rPr>
            </w:pPr>
            <w:r w:rsidRPr="00C83119">
              <w:rPr>
                <w:rFonts w:cs="Times New Roman"/>
                <w:szCs w:val="24"/>
              </w:rPr>
              <w:t>Asthma, COPD, history of retinal detachment or severe myopia, elderly</w:t>
            </w:r>
          </w:p>
        </w:tc>
      </w:tr>
      <w:tr w:rsidR="006254CE" w:rsidRPr="00C83119" w14:paraId="1465032F" w14:textId="77777777" w:rsidTr="002D6DD7">
        <w:tc>
          <w:tcPr>
            <w:tcW w:w="2785" w:type="dxa"/>
          </w:tcPr>
          <w:p w14:paraId="54EDC27C"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404AE5F7"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340DE820" w14:textId="77777777" w:rsidTr="002D6DD7">
        <w:tc>
          <w:tcPr>
            <w:tcW w:w="9351" w:type="dxa"/>
            <w:gridSpan w:val="2"/>
          </w:tcPr>
          <w:p w14:paraId="0237DC5F" w14:textId="77777777" w:rsidR="006254CE" w:rsidRPr="00C83119" w:rsidRDefault="006254CE" w:rsidP="002D6DD7">
            <w:pPr>
              <w:jc w:val="both"/>
              <w:rPr>
                <w:rFonts w:cs="Times New Roman"/>
                <w:b/>
                <w:bCs/>
                <w:szCs w:val="24"/>
              </w:rPr>
            </w:pPr>
            <w:bookmarkStart w:id="199" w:name="_Toc168317514"/>
            <w:r w:rsidRPr="00C83119">
              <w:rPr>
                <w:rFonts w:eastAsia="Times New Roman" w:cs="Times New Roman"/>
                <w:b/>
                <w:bCs/>
                <w:szCs w:val="24"/>
              </w:rPr>
              <w:t>Timolol Maleate</w:t>
            </w:r>
            <w:bookmarkEnd w:id="199"/>
            <w:r w:rsidRPr="00C83119">
              <w:rPr>
                <w:rFonts w:eastAsia="Times New Roman" w:cs="Times New Roman"/>
                <w:b/>
                <w:bCs/>
                <w:szCs w:val="24"/>
              </w:rPr>
              <w:t xml:space="preserve"> </w:t>
            </w:r>
          </w:p>
        </w:tc>
      </w:tr>
      <w:tr w:rsidR="006254CE" w:rsidRPr="00C83119" w14:paraId="759468AF" w14:textId="77777777" w:rsidTr="002D6DD7">
        <w:tc>
          <w:tcPr>
            <w:tcW w:w="2785" w:type="dxa"/>
          </w:tcPr>
          <w:p w14:paraId="148EF5A3"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566" w:type="dxa"/>
          </w:tcPr>
          <w:p w14:paraId="4B7228CF" w14:textId="77777777" w:rsidR="006254CE" w:rsidRPr="00C83119" w:rsidRDefault="006254CE" w:rsidP="002D6DD7">
            <w:pPr>
              <w:jc w:val="both"/>
              <w:rPr>
                <w:rFonts w:cs="Times New Roman"/>
                <w:szCs w:val="24"/>
              </w:rPr>
            </w:pPr>
            <w:r w:rsidRPr="00C83119">
              <w:rPr>
                <w:rFonts w:cs="Times New Roman"/>
                <w:color w:val="2A2A2A"/>
                <w:szCs w:val="24"/>
              </w:rPr>
              <w:t>Nonselective beta-adrenergic receptor blocker</w:t>
            </w:r>
          </w:p>
        </w:tc>
      </w:tr>
      <w:tr w:rsidR="006254CE" w:rsidRPr="00C83119" w14:paraId="405FF342" w14:textId="77777777" w:rsidTr="002D6DD7">
        <w:trPr>
          <w:trHeight w:val="37"/>
        </w:trPr>
        <w:tc>
          <w:tcPr>
            <w:tcW w:w="2785" w:type="dxa"/>
          </w:tcPr>
          <w:p w14:paraId="5980F975" w14:textId="77777777" w:rsidR="006254CE" w:rsidRPr="00C83119" w:rsidRDefault="006254CE" w:rsidP="002D6DD7">
            <w:pPr>
              <w:jc w:val="both"/>
              <w:rPr>
                <w:rFonts w:cs="Times New Roman"/>
                <w:szCs w:val="24"/>
              </w:rPr>
            </w:pPr>
            <w:r w:rsidRPr="00C83119">
              <w:rPr>
                <w:rFonts w:cs="Times New Roman"/>
                <w:szCs w:val="24"/>
              </w:rPr>
              <w:t>Dosage form</w:t>
            </w:r>
          </w:p>
        </w:tc>
        <w:tc>
          <w:tcPr>
            <w:tcW w:w="6566" w:type="dxa"/>
          </w:tcPr>
          <w:p w14:paraId="43EEEF52" w14:textId="77777777" w:rsidR="006254CE" w:rsidRPr="00C83119" w:rsidRDefault="006254CE" w:rsidP="002D6DD7">
            <w:pPr>
              <w:jc w:val="both"/>
              <w:rPr>
                <w:rFonts w:eastAsia="Times New Roman" w:cs="Times New Roman"/>
                <w:szCs w:val="24"/>
              </w:rPr>
            </w:pPr>
            <w:r w:rsidRPr="00C83119">
              <w:rPr>
                <w:rFonts w:eastAsia="Times New Roman" w:cs="Times New Roman"/>
                <w:szCs w:val="24"/>
              </w:rPr>
              <w:t>Eye drops: 0.25%, 0.5%</w:t>
            </w:r>
          </w:p>
        </w:tc>
      </w:tr>
      <w:tr w:rsidR="006254CE" w:rsidRPr="00C83119" w14:paraId="4F03BB9F" w14:textId="77777777" w:rsidTr="002D6DD7">
        <w:trPr>
          <w:trHeight w:val="37"/>
        </w:trPr>
        <w:tc>
          <w:tcPr>
            <w:tcW w:w="2785" w:type="dxa"/>
          </w:tcPr>
          <w:p w14:paraId="3C03F5FB" w14:textId="77777777" w:rsidR="006254CE" w:rsidRPr="00C83119" w:rsidRDefault="006254CE" w:rsidP="002D6DD7">
            <w:pPr>
              <w:jc w:val="both"/>
              <w:rPr>
                <w:rFonts w:cs="Times New Roman"/>
                <w:szCs w:val="24"/>
              </w:rPr>
            </w:pPr>
            <w:r w:rsidRPr="00C83119">
              <w:rPr>
                <w:rFonts w:cs="Times New Roman"/>
                <w:szCs w:val="24"/>
              </w:rPr>
              <w:t>Indications</w:t>
            </w:r>
          </w:p>
        </w:tc>
        <w:tc>
          <w:tcPr>
            <w:tcW w:w="6566" w:type="dxa"/>
          </w:tcPr>
          <w:p w14:paraId="7F007133" w14:textId="77777777" w:rsidR="006254CE" w:rsidRPr="00C83119" w:rsidRDefault="006254CE" w:rsidP="002D6DD7">
            <w:pPr>
              <w:jc w:val="both"/>
              <w:rPr>
                <w:rFonts w:cs="Times New Roman"/>
                <w:szCs w:val="24"/>
              </w:rPr>
            </w:pPr>
            <w:r w:rsidRPr="00C83119">
              <w:rPr>
                <w:rFonts w:cs="Times New Roman"/>
                <w:szCs w:val="24"/>
              </w:rPr>
              <w:t>Ocular hypertension, chronic open-angle glaucoma, aphakic glaucoma, some secondary glaucoma</w:t>
            </w:r>
          </w:p>
        </w:tc>
      </w:tr>
      <w:tr w:rsidR="006254CE" w:rsidRPr="00C83119" w14:paraId="5DC22A25" w14:textId="77777777" w:rsidTr="002D6DD7">
        <w:tc>
          <w:tcPr>
            <w:tcW w:w="2785" w:type="dxa"/>
          </w:tcPr>
          <w:p w14:paraId="5D41939C"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566" w:type="dxa"/>
          </w:tcPr>
          <w:p w14:paraId="37C8A123" w14:textId="77777777" w:rsidR="006254CE" w:rsidRPr="00C83119" w:rsidRDefault="006254CE" w:rsidP="002D6DD7">
            <w:pPr>
              <w:jc w:val="both"/>
              <w:rPr>
                <w:rFonts w:cs="Times New Roman"/>
                <w:b/>
                <w:bCs/>
                <w:szCs w:val="24"/>
              </w:rPr>
            </w:pPr>
            <w:r w:rsidRPr="00C83119">
              <w:rPr>
                <w:rFonts w:cs="Times New Roman"/>
                <w:b/>
                <w:bCs/>
                <w:szCs w:val="24"/>
              </w:rPr>
              <w:t xml:space="preserve">Ocular hypertension, open-angle glaucoma </w:t>
            </w:r>
          </w:p>
          <w:p w14:paraId="26DA90E9"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Instill 1 drop in the affected eye(s) twice daily.</w:t>
            </w:r>
          </w:p>
          <w:p w14:paraId="29F60247" w14:textId="77777777" w:rsidR="006254CE" w:rsidRPr="00C83119" w:rsidRDefault="006254CE" w:rsidP="002D6DD7">
            <w:pPr>
              <w:jc w:val="both"/>
              <w:rPr>
                <w:rFonts w:cs="Times New Roman"/>
                <w:szCs w:val="24"/>
              </w:rPr>
            </w:pPr>
            <w:r w:rsidRPr="00C83119">
              <w:rPr>
                <w:rFonts w:cs="Times New Roman"/>
                <w:b/>
                <w:bCs/>
                <w:szCs w:val="24"/>
              </w:rPr>
              <w:t>Child 2 years and above</w:t>
            </w:r>
            <w:r w:rsidRPr="00C83119">
              <w:rPr>
                <w:rFonts w:cs="Times New Roman"/>
                <w:szCs w:val="24"/>
              </w:rPr>
              <w:t xml:space="preserve">: Instil 1 drop in affected eye(s) once daily </w:t>
            </w:r>
          </w:p>
        </w:tc>
      </w:tr>
      <w:tr w:rsidR="006254CE" w:rsidRPr="00C83119" w14:paraId="074C7D58" w14:textId="77777777" w:rsidTr="002D6DD7">
        <w:tc>
          <w:tcPr>
            <w:tcW w:w="2785" w:type="dxa"/>
          </w:tcPr>
          <w:p w14:paraId="7CD7AACC"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566" w:type="dxa"/>
          </w:tcPr>
          <w:p w14:paraId="78C060BF" w14:textId="77777777" w:rsidR="006254CE" w:rsidRPr="00C83119" w:rsidRDefault="006254CE" w:rsidP="002D6DD7">
            <w:pPr>
              <w:jc w:val="both"/>
              <w:rPr>
                <w:rFonts w:cs="Times New Roman"/>
                <w:szCs w:val="24"/>
              </w:rPr>
            </w:pPr>
            <w:r w:rsidRPr="00C83119">
              <w:rPr>
                <w:rFonts w:cs="Times New Roman"/>
                <w:szCs w:val="24"/>
              </w:rPr>
              <w:t>Hypersensitivity to the drug, history of bronchial asthma, severe COPD, sinus bradycardia, second- or third-degree atrioventricular block, overt cardiac failure, cardiogenic shock.</w:t>
            </w:r>
          </w:p>
        </w:tc>
      </w:tr>
      <w:tr w:rsidR="006254CE" w:rsidRPr="00C83119" w14:paraId="0723B55C" w14:textId="77777777" w:rsidTr="002D6DD7">
        <w:trPr>
          <w:trHeight w:val="485"/>
        </w:trPr>
        <w:tc>
          <w:tcPr>
            <w:tcW w:w="2785" w:type="dxa"/>
          </w:tcPr>
          <w:p w14:paraId="1C71597C"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566" w:type="dxa"/>
          </w:tcPr>
          <w:p w14:paraId="4382AC95" w14:textId="77777777" w:rsidR="006254CE" w:rsidRPr="00C83119" w:rsidRDefault="006254CE" w:rsidP="002D6DD7">
            <w:pPr>
              <w:jc w:val="both"/>
              <w:rPr>
                <w:rFonts w:cs="Times New Roman"/>
                <w:szCs w:val="24"/>
              </w:rPr>
            </w:pPr>
            <w:r w:rsidRPr="00C83119">
              <w:rPr>
                <w:rFonts w:cs="Times New Roman"/>
                <w:szCs w:val="24"/>
              </w:rPr>
              <w:t xml:space="preserve">Other beta-blockers, calcium channel blockers, catecholamine-depleting drugs, digitalis, quinidine, CYP2D6 inhibitors, epinephrine </w:t>
            </w:r>
          </w:p>
        </w:tc>
      </w:tr>
      <w:tr w:rsidR="006254CE" w:rsidRPr="00C83119" w14:paraId="0360EC58" w14:textId="77777777" w:rsidTr="002D6DD7">
        <w:tc>
          <w:tcPr>
            <w:tcW w:w="2785" w:type="dxa"/>
          </w:tcPr>
          <w:p w14:paraId="7FF14D1B" w14:textId="77777777" w:rsidR="006254CE" w:rsidRPr="00C83119" w:rsidRDefault="006254CE" w:rsidP="002D6DD7">
            <w:pPr>
              <w:jc w:val="both"/>
              <w:rPr>
                <w:rFonts w:cs="Times New Roman"/>
                <w:szCs w:val="24"/>
              </w:rPr>
            </w:pPr>
            <w:r w:rsidRPr="00C83119">
              <w:rPr>
                <w:rFonts w:cs="Times New Roman"/>
                <w:szCs w:val="24"/>
              </w:rPr>
              <w:t>Side effects</w:t>
            </w:r>
          </w:p>
        </w:tc>
        <w:tc>
          <w:tcPr>
            <w:tcW w:w="6566" w:type="dxa"/>
          </w:tcPr>
          <w:p w14:paraId="6727F7F9" w14:textId="77777777" w:rsidR="006254CE" w:rsidRPr="00C83119" w:rsidRDefault="006254CE" w:rsidP="002D6DD7">
            <w:pPr>
              <w:jc w:val="both"/>
              <w:rPr>
                <w:rFonts w:cs="Times New Roman"/>
                <w:szCs w:val="24"/>
              </w:rPr>
            </w:pPr>
            <w:r w:rsidRPr="00C83119">
              <w:rPr>
                <w:rFonts w:cs="Times New Roman"/>
                <w:szCs w:val="24"/>
              </w:rPr>
              <w:t>Stinging, burning, pain, itching, erythema, transient dryness, allergic blepharitis, transient conjunctivitis, keratitis, decreased corneal sensitivity, diplopia, ptosis</w:t>
            </w:r>
          </w:p>
        </w:tc>
      </w:tr>
      <w:tr w:rsidR="006254CE" w:rsidRPr="00C83119" w14:paraId="5DDE8925" w14:textId="77777777" w:rsidTr="002D6DD7">
        <w:tc>
          <w:tcPr>
            <w:tcW w:w="2785" w:type="dxa"/>
          </w:tcPr>
          <w:p w14:paraId="38579A20"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566" w:type="dxa"/>
          </w:tcPr>
          <w:p w14:paraId="13C09345" w14:textId="77777777" w:rsidR="006254CE" w:rsidRPr="00C83119" w:rsidRDefault="006254CE" w:rsidP="002D6DD7">
            <w:pPr>
              <w:jc w:val="both"/>
              <w:rPr>
                <w:rFonts w:cs="Times New Roman"/>
                <w:szCs w:val="24"/>
              </w:rPr>
            </w:pPr>
            <w:r w:rsidRPr="00C83119">
              <w:rPr>
                <w:rFonts w:cs="Times New Roman"/>
                <w:szCs w:val="24"/>
              </w:rPr>
              <w:t>Elderly, angle-closure glaucoma, eye infection, driving or other activities requiring clear vision</w:t>
            </w:r>
          </w:p>
        </w:tc>
      </w:tr>
      <w:tr w:rsidR="006254CE" w:rsidRPr="00C83119" w14:paraId="1CB1BB30" w14:textId="77777777" w:rsidTr="002D6DD7">
        <w:tc>
          <w:tcPr>
            <w:tcW w:w="2785" w:type="dxa"/>
          </w:tcPr>
          <w:p w14:paraId="3D402A6E"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566" w:type="dxa"/>
          </w:tcPr>
          <w:p w14:paraId="61A89D91"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bl>
    <w:p w14:paraId="6966EF69" w14:textId="77777777" w:rsidR="006254CE" w:rsidRPr="00944B15" w:rsidRDefault="006254CE" w:rsidP="006254CE">
      <w:pPr>
        <w:spacing w:after="0"/>
        <w:jc w:val="both"/>
        <w:rPr>
          <w:rFonts w:cs="Times New Roman"/>
          <w:b/>
          <w:bCs/>
          <w:szCs w:val="24"/>
        </w:rPr>
      </w:pPr>
    </w:p>
    <w:p w14:paraId="2CFB7A38" w14:textId="77777777" w:rsidR="006254CE" w:rsidRPr="00EB59BD" w:rsidRDefault="006254CE" w:rsidP="00EB59BD">
      <w:pPr>
        <w:pStyle w:val="Heading2"/>
        <w:spacing w:before="240" w:after="240"/>
      </w:pPr>
      <w:bookmarkStart w:id="200" w:name="_Toc179490397"/>
      <w:r w:rsidRPr="00EB59BD">
        <w:lastRenderedPageBreak/>
        <w:t>Mydriatics / Cycloplegics</w:t>
      </w:r>
      <w:bookmarkEnd w:id="200"/>
    </w:p>
    <w:p w14:paraId="468C7F79" w14:textId="77777777" w:rsidR="006254CE" w:rsidRDefault="006254CE" w:rsidP="006254CE">
      <w:pPr>
        <w:spacing w:after="0"/>
        <w:jc w:val="both"/>
        <w:rPr>
          <w:rFonts w:cs="Times New Roman"/>
          <w:szCs w:val="24"/>
        </w:rPr>
      </w:pPr>
      <w:r w:rsidRPr="00944B15">
        <w:rPr>
          <w:rFonts w:cs="Times New Roman"/>
          <w:szCs w:val="24"/>
        </w:rPr>
        <w:t>Mydriatics and cycloplegics are ophthalmic agents primarily used to dilate the pupil (mydriasis) and paralyze the ciliary muscle (cycloplegia) respectively. These agents are essential for eye examinations, ophthalmic surgeries, and managing inflammatory eye conditions such as iritis and uveitis to prevent the formation of adhesions between the lens and the iris.</w:t>
      </w:r>
    </w:p>
    <w:p w14:paraId="17032997" w14:textId="77777777" w:rsidR="006254CE" w:rsidRPr="00944B15" w:rsidRDefault="006254CE" w:rsidP="006254CE">
      <w:pPr>
        <w:spacing w:after="0"/>
        <w:jc w:val="both"/>
        <w:rPr>
          <w:rFonts w:cs="Times New Roman"/>
          <w:szCs w:val="24"/>
        </w:rPr>
      </w:pPr>
    </w:p>
    <w:tbl>
      <w:tblPr>
        <w:tblStyle w:val="TableGrid1"/>
        <w:tblW w:w="9351" w:type="dxa"/>
        <w:tblLook w:val="04A0" w:firstRow="1" w:lastRow="0" w:firstColumn="1" w:lastColumn="0" w:noHBand="0" w:noVBand="1"/>
      </w:tblPr>
      <w:tblGrid>
        <w:gridCol w:w="2605"/>
        <w:gridCol w:w="6746"/>
      </w:tblGrid>
      <w:tr w:rsidR="006254CE" w:rsidRPr="00C83119" w14:paraId="32D3E74D" w14:textId="77777777" w:rsidTr="002D6DD7">
        <w:tc>
          <w:tcPr>
            <w:tcW w:w="9351" w:type="dxa"/>
            <w:gridSpan w:val="2"/>
          </w:tcPr>
          <w:p w14:paraId="6F5F3728" w14:textId="77777777" w:rsidR="006254CE" w:rsidRPr="00C83119" w:rsidRDefault="006254CE" w:rsidP="002D6DD7">
            <w:pPr>
              <w:jc w:val="both"/>
              <w:rPr>
                <w:rFonts w:cs="Times New Roman"/>
                <w:b/>
                <w:bCs/>
                <w:szCs w:val="24"/>
              </w:rPr>
            </w:pPr>
            <w:bookmarkStart w:id="201" w:name="_Toc168317522"/>
            <w:r w:rsidRPr="00C83119">
              <w:rPr>
                <w:rFonts w:eastAsia="Calibri" w:cs="Times New Roman"/>
                <w:b/>
                <w:bCs/>
                <w:szCs w:val="24"/>
              </w:rPr>
              <w:t>Atropine sulphate</w:t>
            </w:r>
            <w:bookmarkEnd w:id="201"/>
          </w:p>
        </w:tc>
      </w:tr>
      <w:tr w:rsidR="006254CE" w:rsidRPr="00C83119" w14:paraId="58515448" w14:textId="77777777" w:rsidTr="002D6DD7">
        <w:tc>
          <w:tcPr>
            <w:tcW w:w="2605" w:type="dxa"/>
          </w:tcPr>
          <w:p w14:paraId="065D52DD"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746" w:type="dxa"/>
          </w:tcPr>
          <w:p w14:paraId="45408C40" w14:textId="77777777" w:rsidR="006254CE" w:rsidRPr="00C83119" w:rsidRDefault="006254CE" w:rsidP="002D6DD7">
            <w:pPr>
              <w:jc w:val="both"/>
              <w:rPr>
                <w:rFonts w:cs="Times New Roman"/>
                <w:szCs w:val="24"/>
              </w:rPr>
            </w:pPr>
            <w:r w:rsidRPr="00C83119">
              <w:rPr>
                <w:rFonts w:cs="Times New Roman"/>
                <w:color w:val="2A2A2A"/>
                <w:szCs w:val="24"/>
              </w:rPr>
              <w:t>Anticholinergic</w:t>
            </w:r>
          </w:p>
        </w:tc>
      </w:tr>
      <w:tr w:rsidR="006254CE" w:rsidRPr="00C83119" w14:paraId="6E90C883" w14:textId="77777777" w:rsidTr="002D6DD7">
        <w:tc>
          <w:tcPr>
            <w:tcW w:w="2605" w:type="dxa"/>
          </w:tcPr>
          <w:p w14:paraId="431B309D" w14:textId="77777777" w:rsidR="006254CE" w:rsidRPr="00C83119" w:rsidRDefault="006254CE" w:rsidP="002D6DD7">
            <w:pPr>
              <w:jc w:val="both"/>
              <w:rPr>
                <w:rFonts w:cs="Times New Roman"/>
                <w:szCs w:val="24"/>
              </w:rPr>
            </w:pPr>
            <w:r w:rsidRPr="00C83119">
              <w:rPr>
                <w:rFonts w:cs="Times New Roman"/>
                <w:szCs w:val="24"/>
              </w:rPr>
              <w:t>Dosage form</w:t>
            </w:r>
          </w:p>
        </w:tc>
        <w:tc>
          <w:tcPr>
            <w:tcW w:w="6746" w:type="dxa"/>
          </w:tcPr>
          <w:p w14:paraId="0524C471" w14:textId="77777777" w:rsidR="006254CE" w:rsidRPr="00C83119" w:rsidRDefault="006254CE" w:rsidP="002D6DD7">
            <w:pPr>
              <w:jc w:val="both"/>
              <w:rPr>
                <w:rFonts w:cs="Times New Roman"/>
                <w:szCs w:val="24"/>
              </w:rPr>
            </w:pPr>
            <w:r w:rsidRPr="00C83119">
              <w:rPr>
                <w:rFonts w:eastAsia="Times New Roman" w:cs="Times New Roman"/>
                <w:szCs w:val="24"/>
              </w:rPr>
              <w:t>Eye drops: 1%</w:t>
            </w:r>
          </w:p>
        </w:tc>
      </w:tr>
      <w:tr w:rsidR="006254CE" w:rsidRPr="00C83119" w14:paraId="63242E30" w14:textId="77777777" w:rsidTr="002D6DD7">
        <w:tc>
          <w:tcPr>
            <w:tcW w:w="2605" w:type="dxa"/>
          </w:tcPr>
          <w:p w14:paraId="436942E6" w14:textId="77777777" w:rsidR="006254CE" w:rsidRPr="00C83119" w:rsidRDefault="006254CE" w:rsidP="002D6DD7">
            <w:pPr>
              <w:jc w:val="both"/>
              <w:rPr>
                <w:rFonts w:cs="Times New Roman"/>
                <w:szCs w:val="24"/>
              </w:rPr>
            </w:pPr>
            <w:r w:rsidRPr="00C83119">
              <w:rPr>
                <w:rFonts w:cs="Times New Roman"/>
                <w:szCs w:val="24"/>
              </w:rPr>
              <w:t>Indications</w:t>
            </w:r>
          </w:p>
        </w:tc>
        <w:tc>
          <w:tcPr>
            <w:tcW w:w="6746" w:type="dxa"/>
          </w:tcPr>
          <w:p w14:paraId="38384E64" w14:textId="77777777" w:rsidR="006254CE" w:rsidRPr="00C83119" w:rsidRDefault="006254CE" w:rsidP="002D6DD7">
            <w:pPr>
              <w:jc w:val="both"/>
              <w:rPr>
                <w:rFonts w:cs="Times New Roman"/>
                <w:szCs w:val="24"/>
              </w:rPr>
            </w:pPr>
            <w:r w:rsidRPr="00C83119">
              <w:rPr>
                <w:rFonts w:cs="Times New Roman"/>
                <w:szCs w:val="24"/>
              </w:rPr>
              <w:t xml:space="preserve">Cycloplegic refraction, Iritis, uveitis </w:t>
            </w:r>
          </w:p>
        </w:tc>
      </w:tr>
      <w:tr w:rsidR="006254CE" w:rsidRPr="00C83119" w14:paraId="7BF97401" w14:textId="77777777" w:rsidTr="002D6DD7">
        <w:tc>
          <w:tcPr>
            <w:tcW w:w="2605" w:type="dxa"/>
          </w:tcPr>
          <w:p w14:paraId="7E0CDBCC"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746" w:type="dxa"/>
          </w:tcPr>
          <w:p w14:paraId="4E5924AF" w14:textId="77777777" w:rsidR="006254CE" w:rsidRPr="00C83119" w:rsidRDefault="006254CE" w:rsidP="002D6DD7">
            <w:pPr>
              <w:jc w:val="both"/>
              <w:rPr>
                <w:rFonts w:cs="Times New Roman"/>
                <w:b/>
                <w:bCs/>
                <w:szCs w:val="24"/>
              </w:rPr>
            </w:pPr>
            <w:r w:rsidRPr="00C83119">
              <w:rPr>
                <w:rFonts w:cs="Times New Roman"/>
                <w:b/>
                <w:bCs/>
                <w:szCs w:val="24"/>
              </w:rPr>
              <w:t>Cycloplegic refraction</w:t>
            </w:r>
          </w:p>
          <w:p w14:paraId="4CE125EA" w14:textId="77777777" w:rsidR="006254CE" w:rsidRPr="00C83119" w:rsidRDefault="006254CE" w:rsidP="002D6DD7">
            <w:pPr>
              <w:jc w:val="both"/>
              <w:rPr>
                <w:rFonts w:cs="Times New Roman"/>
                <w:szCs w:val="24"/>
              </w:rPr>
            </w:pPr>
            <w:r w:rsidRPr="00C83119">
              <w:rPr>
                <w:rFonts w:cs="Times New Roman"/>
                <w:b/>
                <w:bCs/>
                <w:szCs w:val="24"/>
              </w:rPr>
              <w:t xml:space="preserve">Adult: </w:t>
            </w:r>
            <w:r w:rsidRPr="00C83119">
              <w:rPr>
                <w:rFonts w:cs="Times New Roman"/>
                <w:szCs w:val="24"/>
              </w:rPr>
              <w:t>1 drop twice daily for 1–2 days before the procedure or a single application of 1 drop 1 hour before the procedure.</w:t>
            </w:r>
          </w:p>
          <w:p w14:paraId="747861C3" w14:textId="77777777" w:rsidR="006254CE" w:rsidRPr="00C83119" w:rsidRDefault="006254CE" w:rsidP="002D6DD7">
            <w:pPr>
              <w:jc w:val="both"/>
              <w:rPr>
                <w:rFonts w:cs="Times New Roman"/>
                <w:szCs w:val="24"/>
              </w:rPr>
            </w:pPr>
            <w:r w:rsidRPr="00C83119">
              <w:rPr>
                <w:rFonts w:cs="Times New Roman"/>
                <w:b/>
                <w:bCs/>
                <w:szCs w:val="24"/>
              </w:rPr>
              <w:t>Infant 3 months - 1 year:</w:t>
            </w:r>
            <w:r w:rsidRPr="00C83119">
              <w:rPr>
                <w:rFonts w:cs="Times New Roman"/>
                <w:szCs w:val="24"/>
              </w:rPr>
              <w:t xml:space="preserve"> 1 drop (0.1%) twice daily for 1–3 days.</w:t>
            </w:r>
          </w:p>
          <w:p w14:paraId="494B7B49" w14:textId="77777777" w:rsidR="006254CE" w:rsidRPr="00C83119" w:rsidRDefault="006254CE" w:rsidP="002D6DD7">
            <w:pPr>
              <w:jc w:val="both"/>
              <w:rPr>
                <w:rFonts w:cs="Times New Roman"/>
                <w:szCs w:val="24"/>
              </w:rPr>
            </w:pPr>
            <w:r w:rsidRPr="00C83119">
              <w:rPr>
                <w:rFonts w:cs="Times New Roman"/>
                <w:b/>
                <w:bCs/>
                <w:szCs w:val="24"/>
              </w:rPr>
              <w:t>Child 1 - 5 years:</w:t>
            </w:r>
            <w:r w:rsidRPr="00C83119">
              <w:rPr>
                <w:rFonts w:cs="Times New Roman"/>
                <w:szCs w:val="24"/>
              </w:rPr>
              <w:t xml:space="preserve"> 1 drop (0.1–0.5%) twice daily for 1–3 days.</w:t>
            </w:r>
          </w:p>
          <w:p w14:paraId="6FC58CB0" w14:textId="77777777" w:rsidR="006254CE" w:rsidRPr="00C83119" w:rsidRDefault="006254CE" w:rsidP="002D6DD7">
            <w:pPr>
              <w:jc w:val="both"/>
              <w:rPr>
                <w:rFonts w:cs="Times New Roman"/>
                <w:szCs w:val="24"/>
              </w:rPr>
            </w:pPr>
            <w:r w:rsidRPr="00C83119">
              <w:rPr>
                <w:rFonts w:cs="Times New Roman"/>
                <w:b/>
                <w:bCs/>
                <w:szCs w:val="24"/>
              </w:rPr>
              <w:t>Child over 5 years:</w:t>
            </w:r>
            <w:r w:rsidRPr="00C83119">
              <w:rPr>
                <w:rFonts w:cs="Times New Roman"/>
                <w:szCs w:val="24"/>
              </w:rPr>
              <w:t xml:space="preserve"> 1 drop (0.5–1%) twice daily for 1–3 days.</w:t>
            </w:r>
          </w:p>
          <w:p w14:paraId="08B32EBB" w14:textId="77777777" w:rsidR="006254CE" w:rsidRPr="00C83119" w:rsidRDefault="006254CE" w:rsidP="002D6DD7">
            <w:pPr>
              <w:jc w:val="both"/>
              <w:rPr>
                <w:rFonts w:cs="Times New Roman"/>
                <w:b/>
                <w:bCs/>
                <w:szCs w:val="24"/>
              </w:rPr>
            </w:pPr>
            <w:r w:rsidRPr="00C83119">
              <w:rPr>
                <w:rFonts w:cs="Times New Roman"/>
                <w:b/>
                <w:bCs/>
                <w:szCs w:val="24"/>
              </w:rPr>
              <w:t>Iritis, uveitis</w:t>
            </w:r>
          </w:p>
          <w:p w14:paraId="5D1479E6"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1 drop (0.5% or 1% solution) up to 4 times daily.</w:t>
            </w:r>
          </w:p>
          <w:p w14:paraId="75954EB5" w14:textId="77777777" w:rsidR="006254CE" w:rsidRPr="00C83119" w:rsidRDefault="006254CE" w:rsidP="002D6DD7">
            <w:pPr>
              <w:jc w:val="both"/>
              <w:rPr>
                <w:rFonts w:cs="Times New Roman"/>
                <w:szCs w:val="24"/>
              </w:rPr>
            </w:pPr>
            <w:r w:rsidRPr="00C83119">
              <w:rPr>
                <w:rFonts w:cs="Times New Roman"/>
                <w:b/>
                <w:bCs/>
                <w:szCs w:val="24"/>
              </w:rPr>
              <w:t>Infant over 3 months:</w:t>
            </w:r>
            <w:r w:rsidRPr="00C83119">
              <w:rPr>
                <w:rFonts w:cs="Times New Roman"/>
                <w:szCs w:val="24"/>
              </w:rPr>
              <w:t xml:space="preserve"> 1 drop (0.5% or 1%) up to three times daily.</w:t>
            </w:r>
          </w:p>
        </w:tc>
      </w:tr>
      <w:tr w:rsidR="006254CE" w:rsidRPr="00C83119" w14:paraId="73AC15DF" w14:textId="77777777" w:rsidTr="002D6DD7">
        <w:tc>
          <w:tcPr>
            <w:tcW w:w="2605" w:type="dxa"/>
          </w:tcPr>
          <w:p w14:paraId="2BE44D1D"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746" w:type="dxa"/>
          </w:tcPr>
          <w:p w14:paraId="706F2A06" w14:textId="77777777" w:rsidR="006254CE" w:rsidRPr="00C83119" w:rsidRDefault="006254CE" w:rsidP="002D6DD7">
            <w:pPr>
              <w:jc w:val="both"/>
              <w:rPr>
                <w:rFonts w:cs="Times New Roman"/>
                <w:szCs w:val="24"/>
              </w:rPr>
            </w:pPr>
            <w:r w:rsidRPr="00C83119">
              <w:rPr>
                <w:rFonts w:cs="Times New Roman"/>
                <w:szCs w:val="24"/>
              </w:rPr>
              <w:t>Hypersensitivity to the drug, closed-angle glaucoma</w:t>
            </w:r>
          </w:p>
        </w:tc>
      </w:tr>
      <w:tr w:rsidR="006254CE" w:rsidRPr="00C83119" w14:paraId="4A3E134D" w14:textId="77777777" w:rsidTr="002D6DD7">
        <w:tc>
          <w:tcPr>
            <w:tcW w:w="2605" w:type="dxa"/>
          </w:tcPr>
          <w:p w14:paraId="2BD00938"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746" w:type="dxa"/>
          </w:tcPr>
          <w:p w14:paraId="66FE70E6" w14:textId="77777777" w:rsidR="006254CE" w:rsidRPr="00C83119" w:rsidRDefault="006254CE" w:rsidP="002D6DD7">
            <w:pPr>
              <w:jc w:val="both"/>
              <w:rPr>
                <w:rFonts w:cs="Times New Roman"/>
                <w:szCs w:val="24"/>
              </w:rPr>
            </w:pPr>
            <w:r w:rsidRPr="00C83119">
              <w:rPr>
                <w:rFonts w:cs="Times New Roman"/>
                <w:szCs w:val="24"/>
              </w:rPr>
              <w:t>No known significant drug interactions</w:t>
            </w:r>
          </w:p>
        </w:tc>
      </w:tr>
      <w:tr w:rsidR="006254CE" w:rsidRPr="00C83119" w14:paraId="30F80B09" w14:textId="77777777" w:rsidTr="002D6DD7">
        <w:tc>
          <w:tcPr>
            <w:tcW w:w="2605" w:type="dxa"/>
          </w:tcPr>
          <w:p w14:paraId="4A775274" w14:textId="77777777" w:rsidR="006254CE" w:rsidRPr="00C83119" w:rsidRDefault="006254CE" w:rsidP="002D6DD7">
            <w:pPr>
              <w:jc w:val="both"/>
              <w:rPr>
                <w:rFonts w:cs="Times New Roman"/>
                <w:szCs w:val="24"/>
              </w:rPr>
            </w:pPr>
            <w:r w:rsidRPr="00C83119">
              <w:rPr>
                <w:rFonts w:cs="Times New Roman"/>
                <w:szCs w:val="24"/>
              </w:rPr>
              <w:t>Side effects</w:t>
            </w:r>
          </w:p>
        </w:tc>
        <w:tc>
          <w:tcPr>
            <w:tcW w:w="6746" w:type="dxa"/>
          </w:tcPr>
          <w:p w14:paraId="5EA3120B" w14:textId="77777777" w:rsidR="006254CE" w:rsidRPr="00C83119" w:rsidRDefault="006254CE" w:rsidP="002D6DD7">
            <w:pPr>
              <w:jc w:val="both"/>
              <w:rPr>
                <w:rFonts w:cs="Times New Roman"/>
                <w:szCs w:val="24"/>
              </w:rPr>
            </w:pPr>
            <w:r w:rsidRPr="00C83119">
              <w:rPr>
                <w:rFonts w:cs="Times New Roman"/>
                <w:szCs w:val="24"/>
              </w:rPr>
              <w:t>Intolerance to bright light, stinging on instillation, blurred vision, transient intraocular pressure elevation, conjunctivitis, contact allergic blepharitis, persistent ocular irritation, punctal stenosis with prolonged use, insomnia, dryness of skin and moutj, fever, facial flushing, tachycardia, irritability, disorientation, ataxia, visual hallucinations, incoherent speech, delirium, psychosis, seizures, hyperactivity.</w:t>
            </w:r>
          </w:p>
        </w:tc>
      </w:tr>
      <w:tr w:rsidR="006254CE" w:rsidRPr="00C83119" w14:paraId="6ADBA006" w14:textId="77777777" w:rsidTr="002D6DD7">
        <w:tc>
          <w:tcPr>
            <w:tcW w:w="2605" w:type="dxa"/>
          </w:tcPr>
          <w:p w14:paraId="36CC2658"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746" w:type="dxa"/>
          </w:tcPr>
          <w:p w14:paraId="50E7E226" w14:textId="77777777" w:rsidR="006254CE" w:rsidRPr="00C83119" w:rsidRDefault="006254CE" w:rsidP="002D6DD7">
            <w:pPr>
              <w:jc w:val="both"/>
              <w:rPr>
                <w:rFonts w:cs="Times New Roman"/>
                <w:szCs w:val="24"/>
              </w:rPr>
            </w:pPr>
            <w:r w:rsidRPr="00C83119">
              <w:rPr>
                <w:rFonts w:cs="Times New Roman"/>
                <w:szCs w:val="24"/>
              </w:rPr>
              <w:t>Closed-angle glaucoma, significant head injury, child with spastic paralysis or brain damage</w:t>
            </w:r>
          </w:p>
        </w:tc>
      </w:tr>
      <w:tr w:rsidR="006254CE" w:rsidRPr="00C83119" w14:paraId="5186C07C" w14:textId="77777777" w:rsidTr="002D6DD7">
        <w:tc>
          <w:tcPr>
            <w:tcW w:w="2605" w:type="dxa"/>
          </w:tcPr>
          <w:p w14:paraId="0696E651" w14:textId="77777777" w:rsidR="006254CE" w:rsidRPr="00C83119" w:rsidRDefault="006254CE" w:rsidP="002D6DD7">
            <w:pPr>
              <w:jc w:val="both"/>
              <w:rPr>
                <w:rFonts w:cs="Times New Roman"/>
                <w:szCs w:val="24"/>
              </w:rPr>
            </w:pPr>
            <w:r w:rsidRPr="00C83119">
              <w:rPr>
                <w:rFonts w:cs="Times New Roman"/>
                <w:szCs w:val="24"/>
              </w:rPr>
              <w:lastRenderedPageBreak/>
              <w:t>Storage condition</w:t>
            </w:r>
          </w:p>
        </w:tc>
        <w:tc>
          <w:tcPr>
            <w:tcW w:w="6746" w:type="dxa"/>
          </w:tcPr>
          <w:p w14:paraId="660E66B3"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60D630FA" w14:textId="77777777" w:rsidTr="002D6DD7">
        <w:tc>
          <w:tcPr>
            <w:tcW w:w="9351" w:type="dxa"/>
            <w:gridSpan w:val="2"/>
          </w:tcPr>
          <w:p w14:paraId="39933E9F" w14:textId="77777777" w:rsidR="006254CE" w:rsidRPr="00C83119" w:rsidRDefault="006254CE" w:rsidP="002D6DD7">
            <w:pPr>
              <w:jc w:val="both"/>
              <w:rPr>
                <w:rFonts w:cs="Times New Roman"/>
                <w:b/>
                <w:bCs/>
                <w:szCs w:val="24"/>
              </w:rPr>
            </w:pPr>
            <w:r w:rsidRPr="00C83119">
              <w:rPr>
                <w:rFonts w:eastAsia="Times New Roman" w:cs="Times New Roman"/>
                <w:b/>
                <w:bCs/>
                <w:szCs w:val="24"/>
              </w:rPr>
              <w:t>Cyclopentolate hydrochloride</w:t>
            </w:r>
          </w:p>
        </w:tc>
      </w:tr>
      <w:tr w:rsidR="006254CE" w:rsidRPr="00C83119" w14:paraId="5F2B9682" w14:textId="77777777" w:rsidTr="002D6DD7">
        <w:tc>
          <w:tcPr>
            <w:tcW w:w="2605" w:type="dxa"/>
          </w:tcPr>
          <w:p w14:paraId="1421D126"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746" w:type="dxa"/>
          </w:tcPr>
          <w:p w14:paraId="7061489D" w14:textId="77777777" w:rsidR="006254CE" w:rsidRPr="00C83119" w:rsidRDefault="006254CE" w:rsidP="002D6DD7">
            <w:pPr>
              <w:jc w:val="both"/>
              <w:rPr>
                <w:rFonts w:cs="Times New Roman"/>
                <w:szCs w:val="24"/>
              </w:rPr>
            </w:pPr>
            <w:r w:rsidRPr="00C83119">
              <w:rPr>
                <w:rFonts w:cs="Times New Roman"/>
                <w:szCs w:val="24"/>
              </w:rPr>
              <w:t xml:space="preserve">Anticholinergic </w:t>
            </w:r>
          </w:p>
        </w:tc>
      </w:tr>
      <w:tr w:rsidR="006254CE" w:rsidRPr="00C83119" w14:paraId="4C1D56C5" w14:textId="77777777" w:rsidTr="002D6DD7">
        <w:tc>
          <w:tcPr>
            <w:tcW w:w="2605" w:type="dxa"/>
          </w:tcPr>
          <w:p w14:paraId="2639F396" w14:textId="77777777" w:rsidR="006254CE" w:rsidRPr="00C83119" w:rsidRDefault="006254CE" w:rsidP="002D6DD7">
            <w:pPr>
              <w:jc w:val="both"/>
              <w:rPr>
                <w:rFonts w:cs="Times New Roman"/>
                <w:szCs w:val="24"/>
              </w:rPr>
            </w:pPr>
            <w:r w:rsidRPr="00C83119">
              <w:rPr>
                <w:rFonts w:cs="Times New Roman"/>
                <w:szCs w:val="24"/>
              </w:rPr>
              <w:t>Dosage form</w:t>
            </w:r>
          </w:p>
        </w:tc>
        <w:tc>
          <w:tcPr>
            <w:tcW w:w="6746" w:type="dxa"/>
          </w:tcPr>
          <w:p w14:paraId="18428CB9" w14:textId="77777777" w:rsidR="006254CE" w:rsidRPr="00C83119" w:rsidRDefault="006254CE" w:rsidP="002D6DD7">
            <w:pPr>
              <w:jc w:val="both"/>
              <w:rPr>
                <w:rFonts w:cs="Times New Roman"/>
                <w:szCs w:val="24"/>
              </w:rPr>
            </w:pPr>
            <w:r w:rsidRPr="00C83119">
              <w:rPr>
                <w:rFonts w:eastAsia="Times New Roman" w:cs="Times New Roman"/>
                <w:szCs w:val="24"/>
              </w:rPr>
              <w:t xml:space="preserve">Eye drops: </w:t>
            </w:r>
            <w:r w:rsidRPr="00C83119">
              <w:rPr>
                <w:rFonts w:cs="Times New Roman"/>
                <w:szCs w:val="24"/>
              </w:rPr>
              <w:t>0.5%, 1%, or 2%</w:t>
            </w:r>
          </w:p>
        </w:tc>
      </w:tr>
      <w:tr w:rsidR="006254CE" w:rsidRPr="00C83119" w14:paraId="3BD04524" w14:textId="77777777" w:rsidTr="002D6DD7">
        <w:tc>
          <w:tcPr>
            <w:tcW w:w="2605" w:type="dxa"/>
          </w:tcPr>
          <w:p w14:paraId="1C969AEF" w14:textId="77777777" w:rsidR="006254CE" w:rsidRPr="00C83119" w:rsidRDefault="006254CE" w:rsidP="002D6DD7">
            <w:pPr>
              <w:jc w:val="both"/>
              <w:rPr>
                <w:rFonts w:cs="Times New Roman"/>
                <w:szCs w:val="24"/>
              </w:rPr>
            </w:pPr>
            <w:r w:rsidRPr="00C83119">
              <w:rPr>
                <w:rFonts w:cs="Times New Roman"/>
                <w:szCs w:val="24"/>
              </w:rPr>
              <w:t>Indications</w:t>
            </w:r>
          </w:p>
        </w:tc>
        <w:tc>
          <w:tcPr>
            <w:tcW w:w="6746" w:type="dxa"/>
          </w:tcPr>
          <w:p w14:paraId="58C294B8" w14:textId="77777777" w:rsidR="006254CE" w:rsidRPr="00C83119" w:rsidRDefault="006254CE" w:rsidP="002D6DD7">
            <w:pPr>
              <w:jc w:val="both"/>
              <w:rPr>
                <w:rFonts w:cs="Times New Roman"/>
                <w:szCs w:val="24"/>
              </w:rPr>
            </w:pPr>
            <w:r w:rsidRPr="00C83119">
              <w:rPr>
                <w:rFonts w:cs="Times New Roman"/>
                <w:szCs w:val="24"/>
              </w:rPr>
              <w:t>Mydriasis/cycloplegia</w:t>
            </w:r>
          </w:p>
        </w:tc>
      </w:tr>
      <w:tr w:rsidR="006254CE" w:rsidRPr="00C83119" w14:paraId="4DF5194A" w14:textId="77777777" w:rsidTr="002D6DD7">
        <w:tc>
          <w:tcPr>
            <w:tcW w:w="2605" w:type="dxa"/>
          </w:tcPr>
          <w:p w14:paraId="3FF937F1"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746" w:type="dxa"/>
          </w:tcPr>
          <w:p w14:paraId="56E3E56D" w14:textId="77777777" w:rsidR="006254CE" w:rsidRPr="00C83119" w:rsidRDefault="006254CE" w:rsidP="002D6DD7">
            <w:pPr>
              <w:jc w:val="both"/>
              <w:rPr>
                <w:rFonts w:cs="Times New Roman"/>
                <w:b/>
                <w:bCs/>
                <w:szCs w:val="24"/>
              </w:rPr>
            </w:pPr>
            <w:r w:rsidRPr="00C83119">
              <w:rPr>
                <w:rFonts w:cs="Times New Roman"/>
                <w:b/>
                <w:bCs/>
                <w:szCs w:val="24"/>
              </w:rPr>
              <w:t xml:space="preserve">Adult: </w:t>
            </w:r>
            <w:r w:rsidRPr="00C83119">
              <w:rPr>
                <w:rFonts w:cs="Times New Roman"/>
                <w:szCs w:val="24"/>
              </w:rPr>
              <w:t>Apply 1-2 drops of 0.5%, 1%, or 2% solution in the eye which may be repeated in 5 to 10 minutes if necessary. Use 2% in highly pigmented iris. Wait 5 minutes between drops.</w:t>
            </w:r>
          </w:p>
          <w:p w14:paraId="7FE56E5F" w14:textId="77777777" w:rsidR="006254CE" w:rsidRPr="00C83119" w:rsidRDefault="006254CE" w:rsidP="002D6DD7">
            <w:pPr>
              <w:jc w:val="both"/>
              <w:rPr>
                <w:rFonts w:cs="Times New Roman"/>
                <w:b/>
                <w:bCs/>
                <w:szCs w:val="24"/>
              </w:rPr>
            </w:pPr>
            <w:r w:rsidRPr="00C83119">
              <w:rPr>
                <w:rFonts w:cs="Times New Roman"/>
                <w:b/>
                <w:bCs/>
                <w:szCs w:val="24"/>
              </w:rPr>
              <w:t>Cycloplegia</w:t>
            </w:r>
          </w:p>
          <w:p w14:paraId="1FC8224F" w14:textId="77777777" w:rsidR="006254CE" w:rsidRPr="00C83119" w:rsidRDefault="006254CE" w:rsidP="002D6DD7">
            <w:pPr>
              <w:jc w:val="both"/>
              <w:rPr>
                <w:rFonts w:cs="Times New Roman"/>
                <w:szCs w:val="24"/>
              </w:rPr>
            </w:pPr>
            <w:r w:rsidRPr="00C83119">
              <w:rPr>
                <w:rFonts w:cs="Times New Roman"/>
                <w:b/>
                <w:bCs/>
                <w:szCs w:val="24"/>
              </w:rPr>
              <w:t>Child 3 months–11 years:</w:t>
            </w:r>
            <w:r w:rsidRPr="00C83119">
              <w:rPr>
                <w:rFonts w:cs="Times New Roman"/>
                <w:szCs w:val="24"/>
              </w:rPr>
              <w:t xml:space="preserve"> Apply 1 drop, 30–60 minutes before examination, using 1% eye drops.</w:t>
            </w:r>
          </w:p>
          <w:p w14:paraId="5BD8E479" w14:textId="77777777" w:rsidR="006254CE" w:rsidRPr="00C83119" w:rsidRDefault="006254CE" w:rsidP="002D6DD7">
            <w:pPr>
              <w:jc w:val="both"/>
              <w:rPr>
                <w:rFonts w:cs="Times New Roman"/>
                <w:szCs w:val="24"/>
              </w:rPr>
            </w:pPr>
            <w:r w:rsidRPr="00C83119">
              <w:rPr>
                <w:rFonts w:cs="Times New Roman"/>
                <w:b/>
                <w:bCs/>
                <w:szCs w:val="24"/>
              </w:rPr>
              <w:t>Child 12–17 years:</w:t>
            </w:r>
            <w:r w:rsidRPr="00C83119">
              <w:rPr>
                <w:rFonts w:cs="Times New Roman"/>
                <w:szCs w:val="24"/>
              </w:rPr>
              <w:t xml:space="preserve"> Apply 1 drop, 30–60 minutes before examination, using 0.5% eye drops. </w:t>
            </w:r>
          </w:p>
          <w:p w14:paraId="2AC1E381" w14:textId="77777777" w:rsidR="006254CE" w:rsidRPr="00C83119" w:rsidRDefault="006254CE" w:rsidP="002D6DD7">
            <w:pPr>
              <w:jc w:val="both"/>
              <w:rPr>
                <w:rFonts w:cs="Times New Roman"/>
                <w:b/>
                <w:bCs/>
                <w:szCs w:val="24"/>
              </w:rPr>
            </w:pPr>
            <w:r w:rsidRPr="00C83119">
              <w:rPr>
                <w:rFonts w:cs="Times New Roman"/>
                <w:b/>
                <w:bCs/>
                <w:szCs w:val="24"/>
              </w:rPr>
              <w:t xml:space="preserve">Uveitis:  </w:t>
            </w:r>
          </w:p>
          <w:p w14:paraId="6B4194C4" w14:textId="77777777" w:rsidR="006254CE" w:rsidRPr="00C83119" w:rsidRDefault="006254CE" w:rsidP="002D6DD7">
            <w:pPr>
              <w:jc w:val="both"/>
              <w:rPr>
                <w:rFonts w:cs="Times New Roman"/>
                <w:szCs w:val="24"/>
              </w:rPr>
            </w:pPr>
            <w:r w:rsidRPr="00C83119">
              <w:rPr>
                <w:rFonts w:cs="Times New Roman"/>
                <w:b/>
                <w:bCs/>
                <w:szCs w:val="24"/>
              </w:rPr>
              <w:t>Child 3 months–17 years:</w:t>
            </w:r>
            <w:r w:rsidRPr="00C83119">
              <w:rPr>
                <w:rFonts w:cs="Times New Roman"/>
                <w:szCs w:val="24"/>
              </w:rPr>
              <w:t xml:space="preserve"> Apply 1 drop 2–4 times a day, using 0.5% eye drops (1% for deeply pigmented eyes).</w:t>
            </w:r>
          </w:p>
        </w:tc>
      </w:tr>
      <w:tr w:rsidR="006254CE" w:rsidRPr="00C83119" w14:paraId="3119E142" w14:textId="77777777" w:rsidTr="002D6DD7">
        <w:tc>
          <w:tcPr>
            <w:tcW w:w="2605" w:type="dxa"/>
          </w:tcPr>
          <w:p w14:paraId="4ED80FE9" w14:textId="77777777" w:rsidR="006254CE" w:rsidRPr="00C83119" w:rsidRDefault="006254CE" w:rsidP="002D6DD7">
            <w:pPr>
              <w:jc w:val="both"/>
              <w:rPr>
                <w:rFonts w:cs="Times New Roman"/>
                <w:szCs w:val="24"/>
              </w:rPr>
            </w:pPr>
            <w:r w:rsidRPr="00C83119">
              <w:rPr>
                <w:rFonts w:cs="Times New Roman"/>
                <w:szCs w:val="24"/>
              </w:rPr>
              <w:t>Contraindications</w:t>
            </w:r>
          </w:p>
        </w:tc>
        <w:tc>
          <w:tcPr>
            <w:tcW w:w="6746" w:type="dxa"/>
          </w:tcPr>
          <w:p w14:paraId="51E74A4A" w14:textId="77777777" w:rsidR="006254CE" w:rsidRPr="00C83119" w:rsidRDefault="006254CE" w:rsidP="002D6DD7">
            <w:pPr>
              <w:jc w:val="both"/>
              <w:rPr>
                <w:rFonts w:cs="Times New Roman"/>
                <w:szCs w:val="24"/>
              </w:rPr>
            </w:pPr>
            <w:r w:rsidRPr="00C83119">
              <w:rPr>
                <w:rFonts w:cs="Times New Roman"/>
                <w:szCs w:val="24"/>
              </w:rPr>
              <w:t>Hypersensitivity to the drug, untreated narrow-angle glaucoma</w:t>
            </w:r>
          </w:p>
        </w:tc>
      </w:tr>
      <w:tr w:rsidR="006254CE" w:rsidRPr="00C83119" w14:paraId="529EA88D" w14:textId="77777777" w:rsidTr="002D6DD7">
        <w:tc>
          <w:tcPr>
            <w:tcW w:w="2605" w:type="dxa"/>
          </w:tcPr>
          <w:p w14:paraId="48E37BCA"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746" w:type="dxa"/>
          </w:tcPr>
          <w:p w14:paraId="5A10D3EA" w14:textId="77777777" w:rsidR="006254CE" w:rsidRPr="00C83119" w:rsidRDefault="006254CE" w:rsidP="002D6DD7">
            <w:pPr>
              <w:jc w:val="both"/>
              <w:rPr>
                <w:rFonts w:cs="Times New Roman"/>
                <w:szCs w:val="24"/>
              </w:rPr>
            </w:pPr>
            <w:r w:rsidRPr="00C83119">
              <w:rPr>
                <w:rFonts w:cs="Times New Roman"/>
                <w:szCs w:val="24"/>
              </w:rPr>
              <w:t>Clozapine, amitriptyline, atropine</w:t>
            </w:r>
          </w:p>
        </w:tc>
      </w:tr>
      <w:tr w:rsidR="006254CE" w:rsidRPr="00C83119" w14:paraId="1E658A47" w14:textId="77777777" w:rsidTr="002D6DD7">
        <w:tc>
          <w:tcPr>
            <w:tcW w:w="2605" w:type="dxa"/>
          </w:tcPr>
          <w:p w14:paraId="2BB4FC52" w14:textId="77777777" w:rsidR="006254CE" w:rsidRPr="00C83119" w:rsidRDefault="006254CE" w:rsidP="002D6DD7">
            <w:pPr>
              <w:jc w:val="both"/>
              <w:rPr>
                <w:rFonts w:cs="Times New Roman"/>
                <w:szCs w:val="24"/>
              </w:rPr>
            </w:pPr>
            <w:r w:rsidRPr="00C83119">
              <w:rPr>
                <w:rFonts w:cs="Times New Roman"/>
                <w:szCs w:val="24"/>
              </w:rPr>
              <w:t>Side effects</w:t>
            </w:r>
          </w:p>
        </w:tc>
        <w:tc>
          <w:tcPr>
            <w:tcW w:w="6746" w:type="dxa"/>
          </w:tcPr>
          <w:p w14:paraId="59409A1F" w14:textId="77777777" w:rsidR="006254CE" w:rsidRPr="00C83119" w:rsidRDefault="006254CE" w:rsidP="002D6DD7">
            <w:pPr>
              <w:jc w:val="both"/>
              <w:rPr>
                <w:rFonts w:cs="Times New Roman"/>
                <w:szCs w:val="24"/>
              </w:rPr>
            </w:pPr>
            <w:r w:rsidRPr="00C83119">
              <w:rPr>
                <w:rFonts w:cs="Times New Roman"/>
                <w:szCs w:val="24"/>
              </w:rPr>
              <w:t>Blurred vision, burning sensation in the eye, light intolerance, tachycardia, conjunctivitis, raised intraocular pressure, drowsiness, eye edema</w:t>
            </w:r>
          </w:p>
        </w:tc>
      </w:tr>
      <w:tr w:rsidR="006254CE" w:rsidRPr="00C83119" w14:paraId="731C053C" w14:textId="77777777" w:rsidTr="002D6DD7">
        <w:tc>
          <w:tcPr>
            <w:tcW w:w="2605" w:type="dxa"/>
          </w:tcPr>
          <w:p w14:paraId="387698AA"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746" w:type="dxa"/>
          </w:tcPr>
          <w:p w14:paraId="38CB878D" w14:textId="77777777" w:rsidR="006254CE" w:rsidRPr="00C83119" w:rsidRDefault="006254CE" w:rsidP="002D6DD7">
            <w:pPr>
              <w:jc w:val="both"/>
              <w:rPr>
                <w:rFonts w:cs="Times New Roman"/>
                <w:szCs w:val="24"/>
              </w:rPr>
            </w:pPr>
            <w:r w:rsidRPr="00C83119">
              <w:rPr>
                <w:rFonts w:cs="Times New Roman"/>
                <w:szCs w:val="24"/>
              </w:rPr>
              <w:t>Down syndrome, elderly, pregnancy, breastfeeding</w:t>
            </w:r>
          </w:p>
        </w:tc>
      </w:tr>
      <w:tr w:rsidR="006254CE" w:rsidRPr="00C83119" w14:paraId="1561478E" w14:textId="77777777" w:rsidTr="002D6DD7">
        <w:tc>
          <w:tcPr>
            <w:tcW w:w="2605" w:type="dxa"/>
          </w:tcPr>
          <w:p w14:paraId="1501C6E9"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746" w:type="dxa"/>
          </w:tcPr>
          <w:p w14:paraId="003892B8"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r w:rsidR="006254CE" w:rsidRPr="00C83119" w14:paraId="1888D06B" w14:textId="77777777" w:rsidTr="002D6DD7">
        <w:tc>
          <w:tcPr>
            <w:tcW w:w="9351" w:type="dxa"/>
            <w:gridSpan w:val="2"/>
          </w:tcPr>
          <w:p w14:paraId="5002DA98" w14:textId="77777777" w:rsidR="006254CE" w:rsidRPr="00C83119" w:rsidRDefault="006254CE" w:rsidP="002D6DD7">
            <w:pPr>
              <w:jc w:val="both"/>
              <w:rPr>
                <w:rFonts w:cs="Times New Roman"/>
                <w:b/>
                <w:bCs/>
                <w:szCs w:val="24"/>
              </w:rPr>
            </w:pPr>
            <w:bookmarkStart w:id="202" w:name="_Toc168317524"/>
            <w:r w:rsidRPr="00C83119">
              <w:rPr>
                <w:rFonts w:eastAsia="Times New Roman" w:cs="Times New Roman"/>
                <w:b/>
                <w:bCs/>
                <w:szCs w:val="24"/>
              </w:rPr>
              <w:t>Phenylephrine</w:t>
            </w:r>
            <w:bookmarkEnd w:id="202"/>
          </w:p>
        </w:tc>
      </w:tr>
      <w:tr w:rsidR="006254CE" w:rsidRPr="00C83119" w14:paraId="6669A237" w14:textId="77777777" w:rsidTr="002D6DD7">
        <w:tc>
          <w:tcPr>
            <w:tcW w:w="2605" w:type="dxa"/>
          </w:tcPr>
          <w:p w14:paraId="53B064B3" w14:textId="77777777" w:rsidR="006254CE" w:rsidRPr="00C83119" w:rsidRDefault="006254CE" w:rsidP="002D6DD7">
            <w:pPr>
              <w:jc w:val="both"/>
              <w:rPr>
                <w:rFonts w:cs="Times New Roman"/>
                <w:szCs w:val="24"/>
              </w:rPr>
            </w:pPr>
            <w:r w:rsidRPr="00C83119">
              <w:rPr>
                <w:rFonts w:cs="Times New Roman"/>
                <w:szCs w:val="24"/>
              </w:rPr>
              <w:t>Pharmacologic class</w:t>
            </w:r>
          </w:p>
        </w:tc>
        <w:tc>
          <w:tcPr>
            <w:tcW w:w="6746" w:type="dxa"/>
          </w:tcPr>
          <w:p w14:paraId="3113F9F9" w14:textId="77777777" w:rsidR="006254CE" w:rsidRPr="00C83119" w:rsidRDefault="006254CE" w:rsidP="002D6DD7">
            <w:pPr>
              <w:jc w:val="both"/>
              <w:rPr>
                <w:rFonts w:cs="Times New Roman"/>
                <w:szCs w:val="24"/>
              </w:rPr>
            </w:pPr>
            <w:r w:rsidRPr="00C83119">
              <w:rPr>
                <w:rFonts w:cs="Times New Roman"/>
                <w:color w:val="2A2A2A"/>
                <w:szCs w:val="24"/>
              </w:rPr>
              <w:t>Alpha-adrenergic receptor agonist</w:t>
            </w:r>
          </w:p>
        </w:tc>
      </w:tr>
      <w:tr w:rsidR="006254CE" w:rsidRPr="00C83119" w14:paraId="36F4EFFE" w14:textId="77777777" w:rsidTr="002D6DD7">
        <w:tc>
          <w:tcPr>
            <w:tcW w:w="2605" w:type="dxa"/>
          </w:tcPr>
          <w:p w14:paraId="7D81133C" w14:textId="77777777" w:rsidR="006254CE" w:rsidRPr="00C83119" w:rsidRDefault="006254CE" w:rsidP="002D6DD7">
            <w:pPr>
              <w:jc w:val="both"/>
              <w:rPr>
                <w:rFonts w:cs="Times New Roman"/>
                <w:szCs w:val="24"/>
              </w:rPr>
            </w:pPr>
            <w:r w:rsidRPr="00C83119">
              <w:rPr>
                <w:rFonts w:cs="Times New Roman"/>
                <w:szCs w:val="24"/>
              </w:rPr>
              <w:t>Dosage form</w:t>
            </w:r>
          </w:p>
        </w:tc>
        <w:tc>
          <w:tcPr>
            <w:tcW w:w="6746" w:type="dxa"/>
          </w:tcPr>
          <w:p w14:paraId="5BCBDD48" w14:textId="77777777" w:rsidR="006254CE" w:rsidRPr="00C83119" w:rsidRDefault="006254CE" w:rsidP="002D6DD7">
            <w:pPr>
              <w:jc w:val="both"/>
              <w:rPr>
                <w:rFonts w:cs="Times New Roman"/>
                <w:szCs w:val="24"/>
              </w:rPr>
            </w:pPr>
            <w:r w:rsidRPr="00C83119">
              <w:rPr>
                <w:rFonts w:eastAsia="Times New Roman" w:cs="Times New Roman"/>
                <w:szCs w:val="24"/>
              </w:rPr>
              <w:t>Eye drop: 2.5%</w:t>
            </w:r>
          </w:p>
        </w:tc>
      </w:tr>
      <w:tr w:rsidR="006254CE" w:rsidRPr="00C83119" w14:paraId="10369CC5" w14:textId="77777777" w:rsidTr="002D6DD7">
        <w:tc>
          <w:tcPr>
            <w:tcW w:w="2605" w:type="dxa"/>
          </w:tcPr>
          <w:p w14:paraId="6DA7BF22" w14:textId="77777777" w:rsidR="006254CE" w:rsidRPr="00C83119" w:rsidRDefault="006254CE" w:rsidP="002D6DD7">
            <w:pPr>
              <w:jc w:val="both"/>
              <w:rPr>
                <w:rFonts w:cs="Times New Roman"/>
                <w:szCs w:val="24"/>
              </w:rPr>
            </w:pPr>
            <w:r w:rsidRPr="00C83119">
              <w:rPr>
                <w:rFonts w:cs="Times New Roman"/>
                <w:szCs w:val="24"/>
              </w:rPr>
              <w:t>Indications</w:t>
            </w:r>
          </w:p>
        </w:tc>
        <w:tc>
          <w:tcPr>
            <w:tcW w:w="6746" w:type="dxa"/>
          </w:tcPr>
          <w:p w14:paraId="575C6FB7" w14:textId="77777777" w:rsidR="006254CE" w:rsidRPr="00C83119" w:rsidRDefault="006254CE" w:rsidP="002D6DD7">
            <w:pPr>
              <w:jc w:val="both"/>
              <w:rPr>
                <w:rFonts w:cs="Times New Roman"/>
                <w:szCs w:val="24"/>
              </w:rPr>
            </w:pPr>
            <w:r w:rsidRPr="00C83119">
              <w:rPr>
                <w:rFonts w:cs="Times New Roman"/>
                <w:szCs w:val="24"/>
              </w:rPr>
              <w:t>Mydriasis production</w:t>
            </w:r>
          </w:p>
        </w:tc>
      </w:tr>
      <w:tr w:rsidR="006254CE" w:rsidRPr="00C83119" w14:paraId="08BE2B9F" w14:textId="77777777" w:rsidTr="002D6DD7">
        <w:tc>
          <w:tcPr>
            <w:tcW w:w="2605" w:type="dxa"/>
          </w:tcPr>
          <w:p w14:paraId="1A28EA84" w14:textId="77777777" w:rsidR="006254CE" w:rsidRPr="00C83119" w:rsidRDefault="006254CE" w:rsidP="002D6DD7">
            <w:pPr>
              <w:jc w:val="both"/>
              <w:rPr>
                <w:rFonts w:cs="Times New Roman"/>
                <w:szCs w:val="24"/>
              </w:rPr>
            </w:pPr>
            <w:r w:rsidRPr="00C83119">
              <w:rPr>
                <w:rFonts w:cs="Times New Roman"/>
                <w:szCs w:val="24"/>
              </w:rPr>
              <w:t>Dose and administration</w:t>
            </w:r>
          </w:p>
        </w:tc>
        <w:tc>
          <w:tcPr>
            <w:tcW w:w="6746" w:type="dxa"/>
          </w:tcPr>
          <w:p w14:paraId="2EB97F3B" w14:textId="77777777" w:rsidR="006254CE" w:rsidRPr="00C83119" w:rsidRDefault="006254CE" w:rsidP="002D6DD7">
            <w:pPr>
              <w:jc w:val="both"/>
              <w:rPr>
                <w:rFonts w:cs="Times New Roman"/>
                <w:szCs w:val="24"/>
              </w:rPr>
            </w:pPr>
            <w:r w:rsidRPr="00C83119">
              <w:rPr>
                <w:rFonts w:cs="Times New Roman"/>
                <w:b/>
                <w:bCs/>
                <w:szCs w:val="24"/>
              </w:rPr>
              <w:t>Adult:</w:t>
            </w:r>
            <w:r w:rsidRPr="00C83119">
              <w:rPr>
                <w:rFonts w:cs="Times New Roman"/>
                <w:szCs w:val="24"/>
              </w:rPr>
              <w:t xml:space="preserve"> Apply 1 drop, to be administered before procedure, then apply 1 drop after 60 minutes if required </w:t>
            </w:r>
          </w:p>
          <w:p w14:paraId="1D52B388" w14:textId="77777777" w:rsidR="006254CE" w:rsidRPr="00C83119" w:rsidRDefault="006254CE" w:rsidP="002D6DD7">
            <w:pPr>
              <w:jc w:val="both"/>
              <w:rPr>
                <w:rFonts w:cs="Times New Roman"/>
                <w:szCs w:val="24"/>
              </w:rPr>
            </w:pPr>
            <w:r w:rsidRPr="00C83119">
              <w:rPr>
                <w:rFonts w:cs="Times New Roman"/>
                <w:b/>
                <w:bCs/>
                <w:szCs w:val="24"/>
              </w:rPr>
              <w:t>Child:</w:t>
            </w:r>
            <w:r w:rsidRPr="00C83119">
              <w:rPr>
                <w:rFonts w:cs="Times New Roman"/>
                <w:szCs w:val="24"/>
              </w:rPr>
              <w:t xml:space="preserve"> Apply 1 drop, to be administered before procedure</w:t>
            </w:r>
          </w:p>
        </w:tc>
      </w:tr>
      <w:tr w:rsidR="006254CE" w:rsidRPr="00C83119" w14:paraId="4F8C2199" w14:textId="77777777" w:rsidTr="002D6DD7">
        <w:tc>
          <w:tcPr>
            <w:tcW w:w="2605" w:type="dxa"/>
          </w:tcPr>
          <w:p w14:paraId="029C239E" w14:textId="77777777" w:rsidR="006254CE" w:rsidRPr="00C83119" w:rsidRDefault="006254CE" w:rsidP="002D6DD7">
            <w:pPr>
              <w:jc w:val="both"/>
              <w:rPr>
                <w:rFonts w:cs="Times New Roman"/>
                <w:szCs w:val="24"/>
              </w:rPr>
            </w:pPr>
            <w:r w:rsidRPr="00C83119">
              <w:rPr>
                <w:rFonts w:cs="Times New Roman"/>
                <w:szCs w:val="24"/>
              </w:rPr>
              <w:lastRenderedPageBreak/>
              <w:t>Contraindications</w:t>
            </w:r>
          </w:p>
        </w:tc>
        <w:tc>
          <w:tcPr>
            <w:tcW w:w="6746" w:type="dxa"/>
          </w:tcPr>
          <w:p w14:paraId="3B0F285C" w14:textId="77777777" w:rsidR="006254CE" w:rsidRPr="00C83119" w:rsidRDefault="006254CE" w:rsidP="002D6DD7">
            <w:pPr>
              <w:jc w:val="both"/>
              <w:rPr>
                <w:rFonts w:cs="Times New Roman"/>
                <w:szCs w:val="24"/>
              </w:rPr>
            </w:pPr>
            <w:r w:rsidRPr="00C83119">
              <w:rPr>
                <w:rFonts w:cs="Times New Roman"/>
                <w:szCs w:val="24"/>
              </w:rPr>
              <w:t>Hypersensitivity to the drug, aneurysms, cardiovascular disease, hypertension, thyrotoxicosis</w:t>
            </w:r>
          </w:p>
        </w:tc>
      </w:tr>
      <w:tr w:rsidR="006254CE" w:rsidRPr="00C83119" w14:paraId="46EBFE2F" w14:textId="77777777" w:rsidTr="002D6DD7">
        <w:trPr>
          <w:trHeight w:val="550"/>
        </w:trPr>
        <w:tc>
          <w:tcPr>
            <w:tcW w:w="2605" w:type="dxa"/>
          </w:tcPr>
          <w:p w14:paraId="4DF1C2B2" w14:textId="77777777" w:rsidR="006254CE" w:rsidRPr="00C83119" w:rsidRDefault="006254CE" w:rsidP="002D6DD7">
            <w:pPr>
              <w:jc w:val="both"/>
              <w:rPr>
                <w:rFonts w:cs="Times New Roman"/>
                <w:szCs w:val="24"/>
              </w:rPr>
            </w:pPr>
            <w:r w:rsidRPr="00C83119">
              <w:rPr>
                <w:rFonts w:cs="Times New Roman"/>
                <w:szCs w:val="24"/>
              </w:rPr>
              <w:t>Drug interactions</w:t>
            </w:r>
          </w:p>
        </w:tc>
        <w:tc>
          <w:tcPr>
            <w:tcW w:w="6746" w:type="dxa"/>
          </w:tcPr>
          <w:p w14:paraId="4EC717E1" w14:textId="77777777" w:rsidR="006254CE" w:rsidRPr="00C83119" w:rsidRDefault="006254CE" w:rsidP="002D6DD7">
            <w:pPr>
              <w:jc w:val="both"/>
              <w:rPr>
                <w:rFonts w:eastAsia="Times New Roman" w:cs="Times New Roman"/>
                <w:color w:val="2A2A2A"/>
                <w:szCs w:val="24"/>
                <w:lang w:eastAsia="en-GB"/>
              </w:rPr>
            </w:pPr>
            <w:r w:rsidRPr="00C83119">
              <w:rPr>
                <w:rFonts w:eastAsia="Times New Roman" w:cs="Times New Roman"/>
                <w:color w:val="2A2A2A"/>
                <w:szCs w:val="24"/>
                <w:lang w:eastAsia="en-GB"/>
              </w:rPr>
              <w:t>Amitriptyline, clomipramine, desipramine, imipramine, isocarboxazid, linezolid, nortriptyline, phenelzine, procarbazine</w:t>
            </w:r>
          </w:p>
        </w:tc>
      </w:tr>
      <w:tr w:rsidR="006254CE" w:rsidRPr="00C83119" w14:paraId="7EA61A23" w14:textId="77777777" w:rsidTr="002D6DD7">
        <w:tc>
          <w:tcPr>
            <w:tcW w:w="2605" w:type="dxa"/>
          </w:tcPr>
          <w:p w14:paraId="66833D0B" w14:textId="77777777" w:rsidR="006254CE" w:rsidRPr="00C83119" w:rsidRDefault="006254CE" w:rsidP="002D6DD7">
            <w:pPr>
              <w:jc w:val="both"/>
              <w:rPr>
                <w:rFonts w:cs="Times New Roman"/>
                <w:szCs w:val="24"/>
              </w:rPr>
            </w:pPr>
            <w:r w:rsidRPr="00C83119">
              <w:rPr>
                <w:rFonts w:cs="Times New Roman"/>
                <w:szCs w:val="24"/>
              </w:rPr>
              <w:t>Side effects</w:t>
            </w:r>
          </w:p>
        </w:tc>
        <w:tc>
          <w:tcPr>
            <w:tcW w:w="6746" w:type="dxa"/>
          </w:tcPr>
          <w:p w14:paraId="53C9C562" w14:textId="77777777" w:rsidR="006254CE" w:rsidRPr="00C83119" w:rsidRDefault="006254CE" w:rsidP="002D6DD7">
            <w:pPr>
              <w:jc w:val="both"/>
              <w:rPr>
                <w:rFonts w:cs="Times New Roman"/>
                <w:szCs w:val="24"/>
              </w:rPr>
            </w:pPr>
            <w:r w:rsidRPr="00C83119">
              <w:rPr>
                <w:rFonts w:cs="Times New Roman"/>
                <w:szCs w:val="24"/>
              </w:rPr>
              <w:t>Arrhythmias, conjunctivitis, eye discomfort, hypertension, myocardial infarction, palpitations.</w:t>
            </w:r>
          </w:p>
        </w:tc>
      </w:tr>
      <w:tr w:rsidR="006254CE" w:rsidRPr="00C83119" w14:paraId="1E0B86BD" w14:textId="77777777" w:rsidTr="002D6DD7">
        <w:tc>
          <w:tcPr>
            <w:tcW w:w="2605" w:type="dxa"/>
          </w:tcPr>
          <w:p w14:paraId="4545B33D" w14:textId="77777777" w:rsidR="006254CE" w:rsidRPr="00C83119" w:rsidRDefault="006254CE" w:rsidP="002D6DD7">
            <w:pPr>
              <w:jc w:val="both"/>
              <w:rPr>
                <w:rFonts w:cs="Times New Roman"/>
                <w:szCs w:val="24"/>
              </w:rPr>
            </w:pPr>
            <w:r w:rsidRPr="00C83119">
              <w:rPr>
                <w:rFonts w:cs="Times New Roman"/>
                <w:szCs w:val="24"/>
              </w:rPr>
              <w:t xml:space="preserve">Cautions </w:t>
            </w:r>
          </w:p>
        </w:tc>
        <w:tc>
          <w:tcPr>
            <w:tcW w:w="6746" w:type="dxa"/>
          </w:tcPr>
          <w:p w14:paraId="1DFA1530" w14:textId="77777777" w:rsidR="006254CE" w:rsidRPr="00C83119" w:rsidRDefault="006254CE" w:rsidP="002D6DD7">
            <w:pPr>
              <w:jc w:val="both"/>
              <w:rPr>
                <w:rFonts w:cs="Times New Roman"/>
                <w:szCs w:val="24"/>
              </w:rPr>
            </w:pPr>
            <w:r w:rsidRPr="00C83119">
              <w:rPr>
                <w:rFonts w:cs="Times New Roman"/>
                <w:szCs w:val="24"/>
              </w:rPr>
              <w:t>Asthma, cerebral arteriosclerosis, corneal epithelial damage, darkly pigmented iris, diabetes mellitus, ocular hyperemia, angle-closure glaucoma, driving, pregnancy, breastfeeding.</w:t>
            </w:r>
          </w:p>
        </w:tc>
      </w:tr>
      <w:tr w:rsidR="006254CE" w:rsidRPr="00C83119" w14:paraId="692B1B66" w14:textId="77777777" w:rsidTr="002D6DD7">
        <w:tc>
          <w:tcPr>
            <w:tcW w:w="2605" w:type="dxa"/>
          </w:tcPr>
          <w:p w14:paraId="3B3CD242" w14:textId="77777777" w:rsidR="006254CE" w:rsidRPr="00C83119" w:rsidRDefault="006254CE" w:rsidP="002D6DD7">
            <w:pPr>
              <w:jc w:val="both"/>
              <w:rPr>
                <w:rFonts w:cs="Times New Roman"/>
                <w:szCs w:val="24"/>
              </w:rPr>
            </w:pPr>
            <w:r w:rsidRPr="00C83119">
              <w:rPr>
                <w:rFonts w:cs="Times New Roman"/>
                <w:szCs w:val="24"/>
              </w:rPr>
              <w:t>Storage condition</w:t>
            </w:r>
          </w:p>
        </w:tc>
        <w:tc>
          <w:tcPr>
            <w:tcW w:w="6746" w:type="dxa"/>
          </w:tcPr>
          <w:p w14:paraId="275B0066" w14:textId="77777777" w:rsidR="006254CE" w:rsidRPr="00C83119" w:rsidRDefault="006254CE" w:rsidP="002D6DD7">
            <w:pPr>
              <w:jc w:val="both"/>
              <w:rPr>
                <w:rFonts w:cs="Times New Roman"/>
                <w:szCs w:val="24"/>
              </w:rPr>
            </w:pPr>
            <w:r w:rsidRPr="00C83119">
              <w:rPr>
                <w:rFonts w:cs="Times New Roman"/>
                <w:szCs w:val="24"/>
              </w:rPr>
              <w:t>Store below 30</w:t>
            </w:r>
            <w:r w:rsidRPr="00C83119">
              <w:rPr>
                <w:rFonts w:cs="Times New Roman"/>
                <w:szCs w:val="24"/>
                <w:vertAlign w:val="superscript"/>
              </w:rPr>
              <w:t>0</w:t>
            </w:r>
            <w:r w:rsidRPr="00C83119">
              <w:rPr>
                <w:rFonts w:cs="Times New Roman"/>
                <w:szCs w:val="24"/>
              </w:rPr>
              <w:t>C. Protect from light.</w:t>
            </w:r>
          </w:p>
        </w:tc>
      </w:tr>
    </w:tbl>
    <w:p w14:paraId="35C709CC" w14:textId="77777777" w:rsidR="006254CE" w:rsidRDefault="006254CE" w:rsidP="006254CE"/>
    <w:p w14:paraId="2FCFA69C" w14:textId="77777777" w:rsidR="006254CE" w:rsidRDefault="006254CE" w:rsidP="006254CE"/>
    <w:p w14:paraId="4C377DCC" w14:textId="77777777" w:rsidR="00AA0D47" w:rsidRDefault="00AA0D47" w:rsidP="006254CE"/>
    <w:p w14:paraId="07E1CDC2" w14:textId="77777777" w:rsidR="00EB59BD" w:rsidRDefault="00EB59BD">
      <w:pPr>
        <w:spacing w:line="259" w:lineRule="auto"/>
        <w:rPr>
          <w:rFonts w:eastAsiaTheme="majorEastAsia" w:cs="Times New Roman"/>
          <w:b/>
          <w:bCs/>
          <w:kern w:val="0"/>
          <w:sz w:val="28"/>
          <w:szCs w:val="28"/>
          <w:lang w:val="en-US" w:eastAsia="en-US"/>
        </w:rPr>
      </w:pPr>
      <w:r>
        <w:rPr>
          <w:rFonts w:cs="Times New Roman"/>
        </w:rPr>
        <w:br w:type="page"/>
      </w:r>
    </w:p>
    <w:p w14:paraId="7C9F4C5C" w14:textId="77777777" w:rsidR="00AA0D47" w:rsidRPr="00EB59BD" w:rsidRDefault="00AA0D47" w:rsidP="00EB59BD">
      <w:pPr>
        <w:pStyle w:val="Heading1"/>
        <w:numPr>
          <w:ilvl w:val="0"/>
          <w:numId w:val="25"/>
        </w:numPr>
        <w:spacing w:after="240"/>
      </w:pPr>
      <w:bookmarkStart w:id="203" w:name="_Toc179490398"/>
      <w:r w:rsidRPr="00EB59BD">
        <w:lastRenderedPageBreak/>
        <w:t>Ear, Nose and Throat Preparations (ENT)</w:t>
      </w:r>
      <w:bookmarkEnd w:id="203"/>
    </w:p>
    <w:p w14:paraId="0641712B" w14:textId="77777777" w:rsidR="00AA0D47" w:rsidRPr="00A9552B" w:rsidRDefault="00AA0D47" w:rsidP="00AA0D47">
      <w:pPr>
        <w:pStyle w:val="BodyText"/>
        <w:spacing w:line="360" w:lineRule="auto"/>
        <w:ind w:right="292"/>
      </w:pPr>
      <w:r w:rsidRPr="00BF1D93">
        <w:t>Ear, Nose, and Throat (ENT) preparations encompass a variety of medications used to treat conditions affecting these areas.</w:t>
      </w:r>
      <w:r>
        <w:t xml:space="preserve"> These includes antibiotics, antifungals, antihistamines, nasal decongestants, corticosteroids, analgesics, and nasal saline sprays. These </w:t>
      </w:r>
      <w:r w:rsidRPr="00BF1D93">
        <w:t>medications play a crucial role in managing a variety of conditions affecting the ear, nose, and throat.</w:t>
      </w:r>
      <w:r>
        <w:t xml:space="preserve"> For instances, antibiotics are used for bacterial infections (e.g., sinusitis, otitis media) while antifungals are used for fungal infections (oral candidiasis, otitis media). Antihistamines such as diphenhydramine, loratadine and cetirizine are used for allergies and allergic rhinitis. Corticosteroids like fluticasone (nasal spray), budesonide (nasal spray) and mometasone (nasal spray) are used for inflammation in conditions like sinusitis and allergic rhinitis. </w:t>
      </w:r>
      <w:r w:rsidRPr="00A9552B">
        <w:t>Nasal decongestant drops</w:t>
      </w:r>
      <w:r w:rsidRPr="00A9552B">
        <w:rPr>
          <w:spacing w:val="1"/>
        </w:rPr>
        <w:t xml:space="preserve"> </w:t>
      </w:r>
      <w:r w:rsidRPr="00A9552B">
        <w:t>and</w:t>
      </w:r>
      <w:r w:rsidRPr="00A9552B">
        <w:rPr>
          <w:spacing w:val="1"/>
        </w:rPr>
        <w:t xml:space="preserve"> </w:t>
      </w:r>
      <w:r w:rsidRPr="00A9552B">
        <w:t>sprays exert</w:t>
      </w:r>
      <w:r w:rsidRPr="00A9552B">
        <w:rPr>
          <w:spacing w:val="1"/>
        </w:rPr>
        <w:t xml:space="preserve"> </w:t>
      </w:r>
      <w:r w:rsidRPr="00A9552B">
        <w:t>their</w:t>
      </w:r>
      <w:r w:rsidRPr="00A9552B">
        <w:rPr>
          <w:spacing w:val="1"/>
        </w:rPr>
        <w:t xml:space="preserve"> </w:t>
      </w:r>
      <w:r w:rsidRPr="00A9552B">
        <w:t>effect</w:t>
      </w:r>
      <w:r w:rsidRPr="00A9552B">
        <w:rPr>
          <w:spacing w:val="1"/>
        </w:rPr>
        <w:t xml:space="preserve"> </w:t>
      </w:r>
      <w:r w:rsidRPr="00A9552B">
        <w:t>by</w:t>
      </w:r>
      <w:r w:rsidRPr="00A9552B">
        <w:rPr>
          <w:spacing w:val="1"/>
        </w:rPr>
        <w:t xml:space="preserve"> </w:t>
      </w:r>
      <w:r w:rsidRPr="00A9552B">
        <w:t>vasoconstriction</w:t>
      </w:r>
      <w:r w:rsidRPr="00A9552B">
        <w:rPr>
          <w:spacing w:val="1"/>
        </w:rPr>
        <w:t xml:space="preserve"> </w:t>
      </w:r>
      <w:r w:rsidRPr="00A9552B">
        <w:t>of</w:t>
      </w:r>
      <w:r w:rsidRPr="00A9552B">
        <w:rPr>
          <w:spacing w:val="1"/>
        </w:rPr>
        <w:t xml:space="preserve"> </w:t>
      </w:r>
      <w:r w:rsidRPr="00A9552B">
        <w:t>the</w:t>
      </w:r>
      <w:r w:rsidRPr="00A9552B">
        <w:rPr>
          <w:spacing w:val="1"/>
        </w:rPr>
        <w:t xml:space="preserve"> </w:t>
      </w:r>
      <w:r w:rsidRPr="00A9552B">
        <w:t>mucosal</w:t>
      </w:r>
      <w:r w:rsidRPr="00A9552B">
        <w:rPr>
          <w:spacing w:val="1"/>
        </w:rPr>
        <w:t xml:space="preserve"> </w:t>
      </w:r>
      <w:r w:rsidRPr="00A9552B">
        <w:t>blood</w:t>
      </w:r>
      <w:r w:rsidRPr="00A9552B">
        <w:rPr>
          <w:spacing w:val="1"/>
        </w:rPr>
        <w:t xml:space="preserve"> </w:t>
      </w:r>
      <w:r w:rsidRPr="00A9552B">
        <w:t>vessels</w:t>
      </w:r>
      <w:r w:rsidRPr="00A9552B">
        <w:rPr>
          <w:spacing w:val="1"/>
        </w:rPr>
        <w:t xml:space="preserve">, reducing </w:t>
      </w:r>
      <w:r w:rsidRPr="00A9552B">
        <w:t>edema</w:t>
      </w:r>
      <w:r w:rsidRPr="00A9552B">
        <w:rPr>
          <w:spacing w:val="1"/>
        </w:rPr>
        <w:t xml:space="preserve"> </w:t>
      </w:r>
      <w:r w:rsidRPr="00A9552B">
        <w:t>of</w:t>
      </w:r>
      <w:r w:rsidRPr="00A9552B">
        <w:rPr>
          <w:spacing w:val="1"/>
        </w:rPr>
        <w:t xml:space="preserve"> </w:t>
      </w:r>
      <w:r w:rsidRPr="00A9552B">
        <w:t>the</w:t>
      </w:r>
      <w:r w:rsidRPr="00A9552B">
        <w:rPr>
          <w:spacing w:val="60"/>
        </w:rPr>
        <w:t xml:space="preserve"> </w:t>
      </w:r>
      <w:r w:rsidRPr="00A9552B">
        <w:t>nasal</w:t>
      </w:r>
      <w:r w:rsidRPr="00A9552B">
        <w:rPr>
          <w:spacing w:val="60"/>
        </w:rPr>
        <w:t xml:space="preserve"> </w:t>
      </w:r>
      <w:r w:rsidRPr="00A9552B">
        <w:t>mucosa.</w:t>
      </w:r>
      <w:r>
        <w:rPr>
          <w:spacing w:val="-57"/>
        </w:rPr>
        <w:t xml:space="preserve"> </w:t>
      </w:r>
      <w:r w:rsidRPr="00A9552B">
        <w:t>These medicines (sympathomimetic</w:t>
      </w:r>
      <w:r w:rsidRPr="00A9552B">
        <w:rPr>
          <w:spacing w:val="1"/>
        </w:rPr>
        <w:t xml:space="preserve"> </w:t>
      </w:r>
      <w:r w:rsidRPr="00A9552B">
        <w:t>preparations) are more likely to cause rebound effect/congestion withdrawal, due to a</w:t>
      </w:r>
      <w:r w:rsidRPr="00A9552B">
        <w:rPr>
          <w:spacing w:val="1"/>
        </w:rPr>
        <w:t xml:space="preserve"> </w:t>
      </w:r>
      <w:r w:rsidRPr="00A9552B">
        <w:t>secondary vasodilatation with a subsequent temporary increase</w:t>
      </w:r>
      <w:r w:rsidRPr="00A9552B">
        <w:rPr>
          <w:spacing w:val="1"/>
        </w:rPr>
        <w:t xml:space="preserve"> </w:t>
      </w:r>
      <w:r w:rsidRPr="00A9552B">
        <w:t>in</w:t>
      </w:r>
      <w:r w:rsidRPr="00A9552B">
        <w:rPr>
          <w:spacing w:val="-1"/>
        </w:rPr>
        <w:t xml:space="preserve"> </w:t>
      </w:r>
      <w:r w:rsidRPr="00A9552B">
        <w:t xml:space="preserve">nasal congestion. </w:t>
      </w:r>
    </w:p>
    <w:tbl>
      <w:tblPr>
        <w:tblStyle w:val="TableGrid1"/>
        <w:tblW w:w="9351" w:type="dxa"/>
        <w:tblLook w:val="04A0" w:firstRow="1" w:lastRow="0" w:firstColumn="1" w:lastColumn="0" w:noHBand="0" w:noVBand="1"/>
      </w:tblPr>
      <w:tblGrid>
        <w:gridCol w:w="2605"/>
        <w:gridCol w:w="6746"/>
      </w:tblGrid>
      <w:tr w:rsidR="00AA0D47" w:rsidRPr="00E4559C" w14:paraId="4FF30A88" w14:textId="77777777" w:rsidTr="002D6DD7">
        <w:tc>
          <w:tcPr>
            <w:tcW w:w="9351" w:type="dxa"/>
            <w:gridSpan w:val="2"/>
          </w:tcPr>
          <w:p w14:paraId="179F28F5" w14:textId="77777777" w:rsidR="00AA0D47" w:rsidRPr="00D76338" w:rsidRDefault="00AA0D47" w:rsidP="002D6DD7">
            <w:pPr>
              <w:jc w:val="both"/>
              <w:rPr>
                <w:rFonts w:cs="Times New Roman"/>
                <w:b/>
                <w:szCs w:val="24"/>
              </w:rPr>
            </w:pPr>
            <w:r w:rsidRPr="00D76338">
              <w:rPr>
                <w:rFonts w:cs="Times New Roman"/>
                <w:b/>
                <w:szCs w:val="24"/>
              </w:rPr>
              <w:t>Acetic acid</w:t>
            </w:r>
          </w:p>
        </w:tc>
      </w:tr>
      <w:tr w:rsidR="00AA0D47" w:rsidRPr="00E4559C" w14:paraId="756DA116" w14:textId="77777777" w:rsidTr="002D6DD7">
        <w:tc>
          <w:tcPr>
            <w:tcW w:w="2605" w:type="dxa"/>
          </w:tcPr>
          <w:p w14:paraId="39E7E0D8"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0FA9855B" w14:textId="77777777" w:rsidR="00AA0D47" w:rsidRPr="00A9552B" w:rsidRDefault="00AA0D47" w:rsidP="002D6DD7">
            <w:pPr>
              <w:jc w:val="both"/>
              <w:rPr>
                <w:rFonts w:cs="Times New Roman"/>
                <w:szCs w:val="24"/>
              </w:rPr>
            </w:pPr>
            <w:r w:rsidRPr="00A9552B">
              <w:rPr>
                <w:rFonts w:cs="Times New Roman"/>
                <w:szCs w:val="24"/>
              </w:rPr>
              <w:t>Anti</w:t>
            </w:r>
            <w:r>
              <w:rPr>
                <w:rFonts w:cs="Times New Roman"/>
                <w:szCs w:val="24"/>
              </w:rPr>
              <w:t>bacterial and antifungal</w:t>
            </w:r>
          </w:p>
        </w:tc>
      </w:tr>
      <w:tr w:rsidR="00AA0D47" w:rsidRPr="00E4559C" w14:paraId="327C97D7" w14:textId="77777777" w:rsidTr="002D6DD7">
        <w:tc>
          <w:tcPr>
            <w:tcW w:w="2605" w:type="dxa"/>
          </w:tcPr>
          <w:p w14:paraId="09C9CF91"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1E2CA9D8" w14:textId="77777777" w:rsidR="00AA0D47" w:rsidRPr="00A9552B" w:rsidRDefault="00AA0D47" w:rsidP="002D6DD7">
            <w:pPr>
              <w:jc w:val="both"/>
              <w:rPr>
                <w:rFonts w:cs="Times New Roman"/>
                <w:szCs w:val="24"/>
              </w:rPr>
            </w:pPr>
            <w:r w:rsidRPr="00A9552B">
              <w:rPr>
                <w:rFonts w:eastAsia="Times New Roman" w:cs="Times New Roman"/>
                <w:szCs w:val="24"/>
                <w:lang w:val="fr-FR"/>
              </w:rPr>
              <w:t>Solution : 2%</w:t>
            </w:r>
          </w:p>
        </w:tc>
      </w:tr>
      <w:tr w:rsidR="00AA0D47" w:rsidRPr="00E4559C" w14:paraId="18DC2758" w14:textId="77777777" w:rsidTr="002D6DD7">
        <w:tc>
          <w:tcPr>
            <w:tcW w:w="2605" w:type="dxa"/>
          </w:tcPr>
          <w:p w14:paraId="70D9DACF"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70AC30E1" w14:textId="77777777" w:rsidR="00AA0D47" w:rsidRPr="00A9552B" w:rsidRDefault="00AA0D47" w:rsidP="002D6DD7">
            <w:pPr>
              <w:jc w:val="both"/>
              <w:rPr>
                <w:rFonts w:eastAsiaTheme="majorEastAsia" w:cs="Times New Roman"/>
                <w:bCs/>
                <w:kern w:val="0"/>
                <w:szCs w:val="24"/>
                <w:lang w:val="en-US" w:eastAsia="en-US"/>
              </w:rPr>
            </w:pPr>
            <w:r w:rsidRPr="00A9552B">
              <w:rPr>
                <w:rFonts w:eastAsiaTheme="majorEastAsia" w:cs="Times New Roman"/>
                <w:bCs/>
                <w:kern w:val="0"/>
                <w:szCs w:val="24"/>
                <w:lang w:val="en-US" w:eastAsia="en-US"/>
              </w:rPr>
              <w:t>Otitis Externa to remove all cerumen and debris</w:t>
            </w:r>
          </w:p>
        </w:tc>
      </w:tr>
      <w:tr w:rsidR="00AA0D47" w:rsidRPr="00E4559C" w14:paraId="24026A58" w14:textId="77777777" w:rsidTr="002D6DD7">
        <w:tc>
          <w:tcPr>
            <w:tcW w:w="2605" w:type="dxa"/>
          </w:tcPr>
          <w:p w14:paraId="50DE1B55"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73CB66D7" w14:textId="77777777" w:rsidR="00AA0D47" w:rsidRPr="00D76338" w:rsidRDefault="00AA0D47" w:rsidP="002D6DD7">
            <w:pPr>
              <w:jc w:val="both"/>
              <w:rPr>
                <w:rFonts w:eastAsia="Times New Roman" w:cs="Times New Roman"/>
                <w:b/>
                <w:kern w:val="0"/>
                <w:szCs w:val="24"/>
                <w:lang w:eastAsia="en-GB"/>
              </w:rPr>
            </w:pPr>
            <w:r w:rsidRPr="00D76338">
              <w:rPr>
                <w:rFonts w:eastAsia="Times New Roman" w:cs="Times New Roman"/>
                <w:b/>
                <w:kern w:val="0"/>
                <w:szCs w:val="24"/>
                <w:lang w:eastAsia="en-GB"/>
              </w:rPr>
              <w:t xml:space="preserve">Adult and children </w:t>
            </w:r>
            <w:r w:rsidRPr="00D76338">
              <w:rPr>
                <w:rFonts w:eastAsia="Times New Roman" w:cs="Times New Roman"/>
                <w:b/>
                <w:kern w:val="0"/>
                <w:szCs w:val="24"/>
                <w:u w:val="single"/>
                <w:lang w:eastAsia="en-GB"/>
              </w:rPr>
              <w:t>&gt;</w:t>
            </w:r>
            <w:r w:rsidRPr="00D76338">
              <w:rPr>
                <w:rFonts w:eastAsia="Times New Roman" w:cs="Times New Roman"/>
                <w:b/>
                <w:kern w:val="0"/>
                <w:szCs w:val="24"/>
                <w:lang w:eastAsia="en-GB"/>
              </w:rPr>
              <w:t xml:space="preserve"> 3years</w:t>
            </w:r>
          </w:p>
          <w:p w14:paraId="5D353393" w14:textId="77777777" w:rsidR="00AA0D47" w:rsidRPr="00A9552B" w:rsidRDefault="00AA0D47" w:rsidP="002D6DD7">
            <w:pPr>
              <w:jc w:val="both"/>
              <w:rPr>
                <w:rFonts w:eastAsia="Times New Roman" w:cs="Times New Roman"/>
                <w:kern w:val="0"/>
                <w:szCs w:val="24"/>
                <w:lang w:eastAsia="en-GB"/>
              </w:rPr>
            </w:pPr>
            <w:r w:rsidRPr="00A9552B">
              <w:rPr>
                <w:rFonts w:eastAsia="Times New Roman" w:cs="Times New Roman"/>
                <w:kern w:val="0"/>
                <w:szCs w:val="24"/>
                <w:lang w:eastAsia="en-GB"/>
              </w:rPr>
              <w:t>Insert cotton wick saturated with acetic acid otic solution into ear canal; alternatively, may saturate wick following insertion</w:t>
            </w:r>
          </w:p>
          <w:p w14:paraId="5D0876C7" w14:textId="77777777" w:rsidR="00AA0D47" w:rsidRPr="00A9552B" w:rsidRDefault="00AA0D47" w:rsidP="002D6DD7">
            <w:pPr>
              <w:jc w:val="both"/>
              <w:rPr>
                <w:rFonts w:eastAsia="Times New Roman" w:cs="Times New Roman"/>
                <w:kern w:val="0"/>
                <w:szCs w:val="24"/>
                <w:lang w:eastAsia="en-GB"/>
              </w:rPr>
            </w:pPr>
            <w:r w:rsidRPr="00A9552B">
              <w:rPr>
                <w:rFonts w:eastAsia="Times New Roman" w:cs="Times New Roman"/>
                <w:kern w:val="0"/>
                <w:szCs w:val="24"/>
                <w:lang w:eastAsia="en-GB"/>
              </w:rPr>
              <w:t>Keep wick in place for at least 24 hr and maintain moisture by adding 3-5 drops q5-6hr</w:t>
            </w:r>
          </w:p>
          <w:p w14:paraId="28C18B1C" w14:textId="77777777" w:rsidR="00AA0D47" w:rsidRPr="00A9552B" w:rsidRDefault="00AA0D47" w:rsidP="002D6DD7">
            <w:pPr>
              <w:jc w:val="both"/>
              <w:rPr>
                <w:rFonts w:eastAsia="Times New Roman" w:cs="Times New Roman"/>
                <w:kern w:val="0"/>
                <w:szCs w:val="24"/>
                <w:lang w:eastAsia="en-GB"/>
              </w:rPr>
            </w:pPr>
            <w:r w:rsidRPr="00A9552B">
              <w:rPr>
                <w:rFonts w:eastAsia="Times New Roman" w:cs="Times New Roman"/>
                <w:kern w:val="0"/>
                <w:szCs w:val="24"/>
                <w:lang w:eastAsia="en-GB"/>
              </w:rPr>
              <w:t>Remove wick after 24 hr; thereafter, continue to instil 5 gtt to affected ear(s) three to four times</w:t>
            </w:r>
            <w:r>
              <w:rPr>
                <w:rFonts w:eastAsia="Times New Roman" w:cs="Times New Roman"/>
                <w:kern w:val="0"/>
                <w:szCs w:val="24"/>
                <w:lang w:eastAsia="en-GB"/>
              </w:rPr>
              <w:t xml:space="preserve"> daily for as long as indicated</w:t>
            </w:r>
          </w:p>
        </w:tc>
      </w:tr>
      <w:tr w:rsidR="00AA0D47" w:rsidRPr="00E4559C" w14:paraId="2054B241" w14:textId="77777777" w:rsidTr="002D6DD7">
        <w:trPr>
          <w:trHeight w:val="476"/>
        </w:trPr>
        <w:tc>
          <w:tcPr>
            <w:tcW w:w="2605" w:type="dxa"/>
          </w:tcPr>
          <w:p w14:paraId="0BB67C27"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72C590E6" w14:textId="77777777" w:rsidR="00AA0D47" w:rsidRPr="00A9552B" w:rsidRDefault="00AA0D47" w:rsidP="002D6DD7">
            <w:pPr>
              <w:jc w:val="both"/>
              <w:rPr>
                <w:rFonts w:eastAsia="Times New Roman" w:cs="Times New Roman"/>
                <w:kern w:val="0"/>
                <w:szCs w:val="24"/>
                <w:lang w:eastAsia="en-GB"/>
              </w:rPr>
            </w:pPr>
            <w:r w:rsidRPr="00A9552B">
              <w:rPr>
                <w:rFonts w:eastAsia="Times New Roman" w:cs="Times New Roman"/>
                <w:kern w:val="0"/>
                <w:szCs w:val="24"/>
                <w:lang w:eastAsia="en-GB"/>
              </w:rPr>
              <w:t xml:space="preserve">Hypersensitivity to </w:t>
            </w:r>
            <w:r>
              <w:rPr>
                <w:rFonts w:eastAsia="Times New Roman" w:cs="Times New Roman"/>
                <w:kern w:val="0"/>
                <w:szCs w:val="24"/>
                <w:lang w:eastAsia="en-GB"/>
              </w:rPr>
              <w:t>the drug,</w:t>
            </w:r>
            <w:r w:rsidRPr="00A9552B">
              <w:rPr>
                <w:rFonts w:eastAsia="Times New Roman" w:cs="Times New Roman"/>
                <w:kern w:val="0"/>
                <w:szCs w:val="24"/>
                <w:lang w:eastAsia="en-GB"/>
              </w:rPr>
              <w:t xml:space="preserve"> perforated tympanic membrane.</w:t>
            </w:r>
          </w:p>
        </w:tc>
      </w:tr>
      <w:tr w:rsidR="00AA0D47" w:rsidRPr="00E4559C" w14:paraId="3E3CC858" w14:textId="77777777" w:rsidTr="002D6DD7">
        <w:tc>
          <w:tcPr>
            <w:tcW w:w="2605" w:type="dxa"/>
          </w:tcPr>
          <w:p w14:paraId="6C473443"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02ACE794" w14:textId="77777777" w:rsidR="00AA0D47" w:rsidRPr="00A9552B" w:rsidRDefault="00AA0D47" w:rsidP="002D6DD7">
            <w:pPr>
              <w:jc w:val="both"/>
              <w:rPr>
                <w:rFonts w:cs="Times New Roman"/>
                <w:szCs w:val="24"/>
              </w:rPr>
            </w:pPr>
            <w:r>
              <w:rPr>
                <w:rFonts w:cs="Times New Roman"/>
                <w:szCs w:val="24"/>
              </w:rPr>
              <w:t xml:space="preserve">There </w:t>
            </w:r>
            <w:r w:rsidR="00EB59BD">
              <w:rPr>
                <w:rFonts w:cs="Times New Roman"/>
                <w:szCs w:val="24"/>
              </w:rPr>
              <w:t>is</w:t>
            </w:r>
            <w:r>
              <w:rPr>
                <w:rFonts w:cs="Times New Roman"/>
                <w:szCs w:val="24"/>
              </w:rPr>
              <w:t xml:space="preserve"> no known significant drug interaction.</w:t>
            </w:r>
          </w:p>
        </w:tc>
      </w:tr>
      <w:tr w:rsidR="00AA0D47" w:rsidRPr="00E4559C" w14:paraId="23F9D691" w14:textId="77777777" w:rsidTr="002D6DD7">
        <w:tc>
          <w:tcPr>
            <w:tcW w:w="2605" w:type="dxa"/>
          </w:tcPr>
          <w:p w14:paraId="3CDEBEEC"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84F443E" w14:textId="77777777" w:rsidR="00AA0D47" w:rsidRPr="00A9552B" w:rsidRDefault="00AA0D47" w:rsidP="002D6DD7">
            <w:pPr>
              <w:jc w:val="both"/>
              <w:rPr>
                <w:rFonts w:eastAsia="Times New Roman" w:cs="Times New Roman"/>
                <w:kern w:val="0"/>
                <w:szCs w:val="24"/>
                <w:lang w:eastAsia="en-GB"/>
              </w:rPr>
            </w:pPr>
            <w:r w:rsidRPr="00A9552B">
              <w:rPr>
                <w:rFonts w:eastAsia="Times New Roman" w:cs="Times New Roman"/>
                <w:kern w:val="0"/>
                <w:szCs w:val="24"/>
                <w:lang w:eastAsia="en-GB"/>
              </w:rPr>
              <w:t>Stinging/burning upon instillation, local irritation.</w:t>
            </w:r>
          </w:p>
        </w:tc>
      </w:tr>
      <w:tr w:rsidR="00AA0D47" w:rsidRPr="00E4559C" w14:paraId="1C96988D" w14:textId="77777777" w:rsidTr="002D6DD7">
        <w:tc>
          <w:tcPr>
            <w:tcW w:w="2605" w:type="dxa"/>
          </w:tcPr>
          <w:p w14:paraId="42A93C90"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71852984" w14:textId="77777777" w:rsidR="00AA0D47" w:rsidRPr="00A9552B" w:rsidRDefault="00AA0D47" w:rsidP="002D6DD7">
            <w:pPr>
              <w:jc w:val="both"/>
              <w:rPr>
                <w:rFonts w:eastAsia="Times New Roman" w:cs="Times New Roman"/>
                <w:kern w:val="0"/>
                <w:szCs w:val="24"/>
                <w:lang w:eastAsia="en-GB"/>
              </w:rPr>
            </w:pPr>
            <w:r>
              <w:rPr>
                <w:rFonts w:eastAsia="Times New Roman" w:cs="Times New Roman"/>
                <w:kern w:val="0"/>
                <w:szCs w:val="24"/>
                <w:lang w:eastAsia="en-GB"/>
              </w:rPr>
              <w:t>A</w:t>
            </w:r>
            <w:r w:rsidRPr="00A9552B">
              <w:rPr>
                <w:rFonts w:eastAsia="Times New Roman" w:cs="Times New Roman"/>
                <w:kern w:val="0"/>
                <w:szCs w:val="24"/>
                <w:lang w:eastAsia="en-GB"/>
              </w:rPr>
              <w:t xml:space="preserve">cutely inflamed ear </w:t>
            </w:r>
          </w:p>
        </w:tc>
      </w:tr>
      <w:tr w:rsidR="00AA0D47" w:rsidRPr="00E4559C" w14:paraId="2963B59F" w14:textId="77777777" w:rsidTr="002D6DD7">
        <w:tc>
          <w:tcPr>
            <w:tcW w:w="2605" w:type="dxa"/>
          </w:tcPr>
          <w:p w14:paraId="58672CC4"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092D495A" w14:textId="77777777" w:rsidR="00AA0D47" w:rsidRPr="00A9552B" w:rsidRDefault="00AA0D47" w:rsidP="002D6DD7">
            <w:pPr>
              <w:jc w:val="both"/>
              <w:rPr>
                <w:rFonts w:cs="Times New Roman"/>
                <w:szCs w:val="24"/>
              </w:rPr>
            </w:pPr>
            <w:r>
              <w:rPr>
                <w:rFonts w:cs="Times New Roman"/>
                <w:szCs w:val="24"/>
              </w:rPr>
              <w:t>Store below</w:t>
            </w:r>
            <w:r w:rsidRPr="00A9552B">
              <w:rPr>
                <w:rFonts w:cs="Times New Roman"/>
                <w:szCs w:val="24"/>
              </w:rPr>
              <w:t xml:space="preserve"> 25° C. Protect</w:t>
            </w:r>
            <w:r w:rsidRPr="00A9552B">
              <w:rPr>
                <w:rFonts w:cs="Times New Roman"/>
                <w:spacing w:val="-1"/>
                <w:szCs w:val="24"/>
              </w:rPr>
              <w:t xml:space="preserve"> </w:t>
            </w:r>
            <w:r w:rsidRPr="00A9552B">
              <w:rPr>
                <w:rFonts w:cs="Times New Roman"/>
                <w:szCs w:val="24"/>
              </w:rPr>
              <w:t>from</w:t>
            </w:r>
            <w:r w:rsidRPr="00A9552B">
              <w:rPr>
                <w:rFonts w:cs="Times New Roman"/>
                <w:spacing w:val="-2"/>
                <w:szCs w:val="24"/>
              </w:rPr>
              <w:t xml:space="preserve"> </w:t>
            </w:r>
            <w:r w:rsidRPr="00A9552B">
              <w:rPr>
                <w:rFonts w:cs="Times New Roman"/>
                <w:szCs w:val="24"/>
              </w:rPr>
              <w:t>light</w:t>
            </w:r>
            <w:r>
              <w:rPr>
                <w:rFonts w:cs="Times New Roman"/>
                <w:szCs w:val="24"/>
              </w:rPr>
              <w:t>.</w:t>
            </w:r>
          </w:p>
        </w:tc>
      </w:tr>
      <w:tr w:rsidR="00AA0D47" w:rsidRPr="00E4559C" w14:paraId="0F59C3C5" w14:textId="77777777" w:rsidTr="002D6DD7">
        <w:tc>
          <w:tcPr>
            <w:tcW w:w="9351" w:type="dxa"/>
            <w:gridSpan w:val="2"/>
          </w:tcPr>
          <w:p w14:paraId="713B69E1" w14:textId="77777777" w:rsidR="00AA0D47" w:rsidRPr="00D76338" w:rsidRDefault="00AA0D47" w:rsidP="002D6DD7">
            <w:pPr>
              <w:jc w:val="both"/>
              <w:rPr>
                <w:rFonts w:cs="Times New Roman"/>
                <w:b/>
                <w:szCs w:val="24"/>
              </w:rPr>
            </w:pPr>
            <w:r w:rsidRPr="00D76338">
              <w:rPr>
                <w:rFonts w:cs="Times New Roman"/>
                <w:b/>
                <w:szCs w:val="24"/>
              </w:rPr>
              <w:lastRenderedPageBreak/>
              <w:t>Betahistine</w:t>
            </w:r>
          </w:p>
        </w:tc>
      </w:tr>
      <w:tr w:rsidR="00AA0D47" w:rsidRPr="00E4559C" w14:paraId="584AFA12" w14:textId="77777777" w:rsidTr="002D6DD7">
        <w:tc>
          <w:tcPr>
            <w:tcW w:w="2605" w:type="dxa"/>
          </w:tcPr>
          <w:p w14:paraId="01B806C1"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0BE7D7B5" w14:textId="77777777" w:rsidR="00AA0D47" w:rsidRPr="00A9552B" w:rsidRDefault="00AA0D47" w:rsidP="002D6DD7">
            <w:pPr>
              <w:jc w:val="both"/>
              <w:rPr>
                <w:rFonts w:cs="Times New Roman"/>
                <w:szCs w:val="24"/>
              </w:rPr>
            </w:pPr>
            <w:r w:rsidRPr="00A9552B">
              <w:rPr>
                <w:rFonts w:cs="Times New Roman"/>
                <w:szCs w:val="24"/>
              </w:rPr>
              <w:t xml:space="preserve">Antihistamine </w:t>
            </w:r>
          </w:p>
        </w:tc>
      </w:tr>
      <w:tr w:rsidR="00AA0D47" w:rsidRPr="00E4559C" w14:paraId="72239608" w14:textId="77777777" w:rsidTr="002D6DD7">
        <w:tc>
          <w:tcPr>
            <w:tcW w:w="2605" w:type="dxa"/>
          </w:tcPr>
          <w:p w14:paraId="4F6861AA"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72779F35" w14:textId="77777777" w:rsidR="00AA0D47" w:rsidRPr="00A9552B" w:rsidRDefault="00AA0D47" w:rsidP="002D6DD7">
            <w:pPr>
              <w:jc w:val="both"/>
              <w:rPr>
                <w:rFonts w:cs="Times New Roman"/>
                <w:szCs w:val="24"/>
              </w:rPr>
            </w:pPr>
            <w:r w:rsidRPr="00A9552B">
              <w:rPr>
                <w:rFonts w:cs="Times New Roman"/>
                <w:szCs w:val="24"/>
              </w:rPr>
              <w:t>Tablet: 24mg</w:t>
            </w:r>
          </w:p>
        </w:tc>
      </w:tr>
      <w:tr w:rsidR="00AA0D47" w:rsidRPr="00E4559C" w14:paraId="618C4152" w14:textId="77777777" w:rsidTr="002D6DD7">
        <w:tc>
          <w:tcPr>
            <w:tcW w:w="2605" w:type="dxa"/>
          </w:tcPr>
          <w:p w14:paraId="5A3FB2C1"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58B98E13" w14:textId="77777777" w:rsidR="00AA0D47" w:rsidRPr="00A9552B" w:rsidRDefault="00AA0D47" w:rsidP="002D6DD7">
            <w:pPr>
              <w:jc w:val="both"/>
              <w:rPr>
                <w:rFonts w:cs="Times New Roman"/>
                <w:bCs/>
                <w:szCs w:val="24"/>
              </w:rPr>
            </w:pPr>
            <w:r w:rsidRPr="00A9552B">
              <w:rPr>
                <w:rFonts w:cs="Times New Roman"/>
                <w:bCs/>
                <w:szCs w:val="24"/>
              </w:rPr>
              <w:t>Meniere’s associated with vertigo, tinnitus and hearing loss.</w:t>
            </w:r>
          </w:p>
        </w:tc>
      </w:tr>
      <w:tr w:rsidR="00AA0D47" w:rsidRPr="00E4559C" w14:paraId="613EF52A" w14:textId="77777777" w:rsidTr="002D6DD7">
        <w:tc>
          <w:tcPr>
            <w:tcW w:w="2605" w:type="dxa"/>
          </w:tcPr>
          <w:p w14:paraId="5CB2DF7F"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5534FCE0" w14:textId="77777777" w:rsidR="00AA0D47" w:rsidRDefault="00AA0D47" w:rsidP="002D6DD7">
            <w:pPr>
              <w:jc w:val="both"/>
              <w:rPr>
                <w:rFonts w:cs="Times New Roman"/>
                <w:b/>
                <w:bCs/>
                <w:szCs w:val="24"/>
              </w:rPr>
            </w:pPr>
            <w:r>
              <w:rPr>
                <w:rFonts w:cs="Times New Roman"/>
                <w:b/>
                <w:bCs/>
                <w:szCs w:val="24"/>
              </w:rPr>
              <w:t>Adult:</w:t>
            </w:r>
          </w:p>
          <w:p w14:paraId="6CD6133C" w14:textId="77777777" w:rsidR="00AA0D47" w:rsidRPr="007412F7" w:rsidRDefault="00AA0D47" w:rsidP="002D6DD7">
            <w:pPr>
              <w:jc w:val="both"/>
              <w:rPr>
                <w:rFonts w:cs="Times New Roman"/>
                <w:bCs/>
                <w:szCs w:val="24"/>
              </w:rPr>
            </w:pPr>
            <w:r>
              <w:rPr>
                <w:rFonts w:cs="Times New Roman"/>
                <w:bCs/>
                <w:szCs w:val="24"/>
              </w:rPr>
              <w:t>O</w:t>
            </w:r>
            <w:r w:rsidRPr="00A9552B">
              <w:rPr>
                <w:rFonts w:cs="Times New Roman"/>
                <w:bCs/>
                <w:szCs w:val="24"/>
              </w:rPr>
              <w:t xml:space="preserve">ral: </w:t>
            </w:r>
            <w:r>
              <w:rPr>
                <w:rFonts w:cs="Times New Roman"/>
                <w:bCs/>
                <w:szCs w:val="24"/>
              </w:rPr>
              <w:t>u</w:t>
            </w:r>
            <w:r w:rsidRPr="00A9552B">
              <w:rPr>
                <w:rFonts w:cs="Times New Roman"/>
                <w:bCs/>
                <w:szCs w:val="24"/>
              </w:rPr>
              <w:t>sual daily dose is 24-48 mg divided into 1-2 equal doses.</w:t>
            </w:r>
          </w:p>
          <w:p w14:paraId="6BACDA48" w14:textId="77777777" w:rsidR="00AA0D47" w:rsidRPr="007412F7" w:rsidRDefault="00AA0D47" w:rsidP="002D6DD7">
            <w:pPr>
              <w:jc w:val="both"/>
              <w:rPr>
                <w:rFonts w:cs="Times New Roman"/>
                <w:bCs/>
                <w:i/>
                <w:szCs w:val="24"/>
              </w:rPr>
            </w:pPr>
            <w:r w:rsidRPr="007412F7">
              <w:rPr>
                <w:rFonts w:cs="Times New Roman"/>
                <w:i/>
                <w:szCs w:val="24"/>
              </w:rPr>
              <w:t xml:space="preserve">Note: </w:t>
            </w:r>
            <w:r w:rsidRPr="007412F7">
              <w:rPr>
                <w:rFonts w:cs="Times New Roman"/>
                <w:bCs/>
                <w:i/>
                <w:szCs w:val="24"/>
              </w:rPr>
              <w:t>tablets should be swallowed un-chewed with sufficient fluid with or after a meal.</w:t>
            </w:r>
          </w:p>
        </w:tc>
      </w:tr>
      <w:tr w:rsidR="00AA0D47" w:rsidRPr="00E4559C" w14:paraId="730C5FD2" w14:textId="77777777" w:rsidTr="002D6DD7">
        <w:tc>
          <w:tcPr>
            <w:tcW w:w="2605" w:type="dxa"/>
          </w:tcPr>
          <w:p w14:paraId="47503395"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6AD7C779"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w:t>
            </w:r>
            <w:r w:rsidRPr="00A9552B">
              <w:rPr>
                <w:rFonts w:cs="Times New Roman"/>
                <w:szCs w:val="24"/>
              </w:rPr>
              <w:t>, phaeochromocytoma, pregnancy and lactation.</w:t>
            </w:r>
          </w:p>
        </w:tc>
      </w:tr>
      <w:tr w:rsidR="00AA0D47" w:rsidRPr="00E4559C" w14:paraId="52B7EB12" w14:textId="77777777" w:rsidTr="002D6DD7">
        <w:tc>
          <w:tcPr>
            <w:tcW w:w="2605" w:type="dxa"/>
          </w:tcPr>
          <w:p w14:paraId="3CC4E6A9"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68D1C678" w14:textId="77777777" w:rsidR="00AA0D47" w:rsidRPr="00A9552B" w:rsidRDefault="00AA0D47" w:rsidP="002D6DD7">
            <w:pPr>
              <w:jc w:val="both"/>
              <w:rPr>
                <w:rFonts w:cs="Times New Roman"/>
                <w:szCs w:val="24"/>
              </w:rPr>
            </w:pPr>
            <w:r>
              <w:rPr>
                <w:rFonts w:cs="Times New Roman"/>
                <w:szCs w:val="24"/>
              </w:rPr>
              <w:t>Other a</w:t>
            </w:r>
            <w:r w:rsidRPr="00A9552B">
              <w:rPr>
                <w:rFonts w:cs="Times New Roman"/>
                <w:szCs w:val="24"/>
              </w:rPr>
              <w:t>ntihistamines.</w:t>
            </w:r>
          </w:p>
        </w:tc>
      </w:tr>
      <w:tr w:rsidR="00AA0D47" w:rsidRPr="00E4559C" w14:paraId="1DA1802F" w14:textId="77777777" w:rsidTr="002D6DD7">
        <w:tc>
          <w:tcPr>
            <w:tcW w:w="2605" w:type="dxa"/>
          </w:tcPr>
          <w:p w14:paraId="74C1E694"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DB7C230" w14:textId="77777777" w:rsidR="00AA0D47" w:rsidRPr="00A9552B" w:rsidRDefault="00AA0D47" w:rsidP="002D6DD7">
            <w:pPr>
              <w:jc w:val="both"/>
              <w:rPr>
                <w:rFonts w:cs="Times New Roman"/>
                <w:szCs w:val="24"/>
              </w:rPr>
            </w:pPr>
            <w:r w:rsidRPr="00A9552B">
              <w:rPr>
                <w:rFonts w:cs="Times New Roman"/>
                <w:szCs w:val="24"/>
              </w:rPr>
              <w:t>Gastrointestinal discomfor</w:t>
            </w:r>
            <w:r>
              <w:rPr>
                <w:rFonts w:cs="Times New Roman"/>
                <w:szCs w:val="24"/>
              </w:rPr>
              <w:t>t, headache,</w:t>
            </w:r>
            <w:r w:rsidRPr="00A9552B">
              <w:rPr>
                <w:rFonts w:cs="Times New Roman"/>
                <w:szCs w:val="24"/>
              </w:rPr>
              <w:t xml:space="preserve"> palpitations, tightness of the chest, worsened an existing bronchial asthma, temporary urticaria, skin rashes and pruritus and sensation of heat.</w:t>
            </w:r>
          </w:p>
        </w:tc>
      </w:tr>
      <w:tr w:rsidR="00AA0D47" w:rsidRPr="00E4559C" w14:paraId="67B40032" w14:textId="77777777" w:rsidTr="002D6DD7">
        <w:tc>
          <w:tcPr>
            <w:tcW w:w="2605" w:type="dxa"/>
          </w:tcPr>
          <w:p w14:paraId="57BF4F42" w14:textId="77777777" w:rsidR="00AA0D47" w:rsidRPr="00A9552B" w:rsidRDefault="00AA0D47" w:rsidP="002D6DD7">
            <w:pPr>
              <w:jc w:val="both"/>
              <w:rPr>
                <w:rFonts w:cs="Times New Roman"/>
                <w:szCs w:val="24"/>
              </w:rPr>
            </w:pPr>
            <w:r>
              <w:rPr>
                <w:rFonts w:cs="Times New Roman"/>
                <w:szCs w:val="24"/>
              </w:rPr>
              <w:t>Caution</w:t>
            </w:r>
            <w:r w:rsidRPr="00A9552B">
              <w:rPr>
                <w:rFonts w:cs="Times New Roman"/>
                <w:szCs w:val="24"/>
              </w:rPr>
              <w:t xml:space="preserve"> </w:t>
            </w:r>
          </w:p>
        </w:tc>
        <w:tc>
          <w:tcPr>
            <w:tcW w:w="6746" w:type="dxa"/>
          </w:tcPr>
          <w:p w14:paraId="61507C0E" w14:textId="77777777" w:rsidR="00AA0D47" w:rsidRPr="00A9552B" w:rsidRDefault="00AA0D47" w:rsidP="002D6DD7">
            <w:pPr>
              <w:jc w:val="both"/>
              <w:rPr>
                <w:rFonts w:cs="Times New Roman"/>
                <w:szCs w:val="24"/>
              </w:rPr>
            </w:pPr>
            <w:r>
              <w:rPr>
                <w:rFonts w:cs="Times New Roman"/>
                <w:szCs w:val="24"/>
              </w:rPr>
              <w:t>A</w:t>
            </w:r>
            <w:r w:rsidRPr="00A9552B">
              <w:rPr>
                <w:rFonts w:cs="Times New Roman"/>
                <w:szCs w:val="24"/>
              </w:rPr>
              <w:t>sthma, peptic ulcer and severe pronounced hypotension.</w:t>
            </w:r>
          </w:p>
        </w:tc>
      </w:tr>
      <w:tr w:rsidR="00AA0D47" w:rsidRPr="00E4559C" w14:paraId="6D42B1D3" w14:textId="77777777" w:rsidTr="002D6DD7">
        <w:tc>
          <w:tcPr>
            <w:tcW w:w="2605" w:type="dxa"/>
          </w:tcPr>
          <w:p w14:paraId="7F787991"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4BDCB619" w14:textId="77777777" w:rsidR="00AA0D47" w:rsidRPr="00A9552B" w:rsidRDefault="00AA0D47" w:rsidP="002D6DD7">
            <w:pPr>
              <w:jc w:val="both"/>
              <w:rPr>
                <w:rFonts w:cs="Times New Roman"/>
                <w:szCs w:val="24"/>
              </w:rPr>
            </w:pPr>
            <w:r>
              <w:rPr>
                <w:rFonts w:cs="Times New Roman"/>
                <w:szCs w:val="24"/>
              </w:rPr>
              <w:t>Store below</w:t>
            </w:r>
            <w:r w:rsidRPr="00A9552B">
              <w:rPr>
                <w:rFonts w:cs="Times New Roman"/>
                <w:szCs w:val="24"/>
              </w:rPr>
              <w:t xml:space="preserve"> 25°C.</w:t>
            </w:r>
          </w:p>
        </w:tc>
      </w:tr>
      <w:tr w:rsidR="00AA0D47" w:rsidRPr="00E4559C" w14:paraId="2BA247C2" w14:textId="77777777" w:rsidTr="002D6DD7">
        <w:tc>
          <w:tcPr>
            <w:tcW w:w="9351" w:type="dxa"/>
            <w:gridSpan w:val="2"/>
          </w:tcPr>
          <w:p w14:paraId="32ACD634" w14:textId="77777777" w:rsidR="00AA0D47" w:rsidRPr="00D76338" w:rsidRDefault="00AA0D47" w:rsidP="002D6DD7">
            <w:pPr>
              <w:jc w:val="both"/>
              <w:rPr>
                <w:rFonts w:cs="Times New Roman"/>
                <w:b/>
                <w:szCs w:val="24"/>
              </w:rPr>
            </w:pPr>
            <w:r w:rsidRPr="00D76338">
              <w:rPr>
                <w:rFonts w:cs="Times New Roman"/>
                <w:b/>
                <w:szCs w:val="24"/>
              </w:rPr>
              <w:t>Ciprofloxacin</w:t>
            </w:r>
          </w:p>
        </w:tc>
      </w:tr>
      <w:tr w:rsidR="00AA0D47" w:rsidRPr="00E4559C" w14:paraId="0E4B7843" w14:textId="77777777" w:rsidTr="002D6DD7">
        <w:tc>
          <w:tcPr>
            <w:tcW w:w="2605" w:type="dxa"/>
          </w:tcPr>
          <w:p w14:paraId="0BA7A02B" w14:textId="77777777" w:rsidR="00AA0D47" w:rsidRPr="00A9552B" w:rsidRDefault="00AA0D47" w:rsidP="002D6DD7">
            <w:pPr>
              <w:jc w:val="both"/>
              <w:rPr>
                <w:rFonts w:cs="Times New Roman"/>
                <w:bCs/>
                <w:szCs w:val="24"/>
              </w:rPr>
            </w:pPr>
            <w:r w:rsidRPr="00A9552B">
              <w:rPr>
                <w:rFonts w:cs="Times New Roman"/>
                <w:bCs/>
                <w:szCs w:val="24"/>
              </w:rPr>
              <w:t>Pharmacologic class</w:t>
            </w:r>
          </w:p>
        </w:tc>
        <w:tc>
          <w:tcPr>
            <w:tcW w:w="6746" w:type="dxa"/>
          </w:tcPr>
          <w:p w14:paraId="38B8380F" w14:textId="77777777" w:rsidR="00AA0D47" w:rsidRPr="00A9552B" w:rsidRDefault="00AA0D47" w:rsidP="002D6DD7">
            <w:pPr>
              <w:jc w:val="both"/>
              <w:rPr>
                <w:rFonts w:cs="Times New Roman"/>
                <w:bCs/>
                <w:szCs w:val="24"/>
              </w:rPr>
            </w:pPr>
            <w:r>
              <w:rPr>
                <w:rFonts w:cs="Times New Roman"/>
                <w:bCs/>
                <w:szCs w:val="24"/>
              </w:rPr>
              <w:t>Antibacterial</w:t>
            </w:r>
          </w:p>
        </w:tc>
      </w:tr>
      <w:tr w:rsidR="00AA0D47" w:rsidRPr="00E4559C" w14:paraId="18DF64E8" w14:textId="77777777" w:rsidTr="002D6DD7">
        <w:tc>
          <w:tcPr>
            <w:tcW w:w="2605" w:type="dxa"/>
          </w:tcPr>
          <w:p w14:paraId="00514988"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497E99CF" w14:textId="77777777" w:rsidR="00AA0D47" w:rsidRPr="00A9552B" w:rsidRDefault="00AA0D47" w:rsidP="002D6DD7">
            <w:pPr>
              <w:jc w:val="both"/>
              <w:rPr>
                <w:rFonts w:cs="Times New Roman"/>
                <w:szCs w:val="24"/>
              </w:rPr>
            </w:pPr>
            <w:r w:rsidRPr="00D76338">
              <w:rPr>
                <w:rFonts w:eastAsia="Times New Roman" w:cs="Times New Roman"/>
                <w:szCs w:val="24"/>
              </w:rPr>
              <w:t>Topical, 0.3% ear drops</w:t>
            </w:r>
          </w:p>
        </w:tc>
      </w:tr>
      <w:tr w:rsidR="00AA0D47" w:rsidRPr="00E4559C" w14:paraId="1C0871D9" w14:textId="77777777" w:rsidTr="002D6DD7">
        <w:tc>
          <w:tcPr>
            <w:tcW w:w="2605" w:type="dxa"/>
          </w:tcPr>
          <w:p w14:paraId="4D2EDDD0"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1A0063FC" w14:textId="77777777" w:rsidR="00AA0D47" w:rsidRPr="00A9552B" w:rsidRDefault="00AA0D47" w:rsidP="002D6DD7">
            <w:pPr>
              <w:jc w:val="both"/>
              <w:rPr>
                <w:rFonts w:cs="Times New Roman"/>
                <w:szCs w:val="24"/>
              </w:rPr>
            </w:pPr>
            <w:r w:rsidRPr="00A9552B">
              <w:rPr>
                <w:rFonts w:cs="Times New Roman"/>
                <w:szCs w:val="24"/>
              </w:rPr>
              <w:t>Chronic</w:t>
            </w:r>
            <w:r w:rsidRPr="00A9552B">
              <w:rPr>
                <w:rFonts w:cs="Times New Roman"/>
                <w:spacing w:val="1"/>
                <w:szCs w:val="24"/>
              </w:rPr>
              <w:t xml:space="preserve"> suppurative </w:t>
            </w:r>
            <w:r w:rsidRPr="00A9552B">
              <w:rPr>
                <w:rFonts w:cs="Times New Roman"/>
                <w:szCs w:val="24"/>
              </w:rPr>
              <w:t>otitis</w:t>
            </w:r>
            <w:r w:rsidRPr="00A9552B">
              <w:rPr>
                <w:rFonts w:cs="Times New Roman"/>
                <w:spacing w:val="1"/>
                <w:szCs w:val="24"/>
              </w:rPr>
              <w:t xml:space="preserve"> </w:t>
            </w:r>
            <w:r w:rsidRPr="00A9552B">
              <w:rPr>
                <w:rFonts w:cs="Times New Roman"/>
                <w:szCs w:val="24"/>
              </w:rPr>
              <w:t>media</w:t>
            </w:r>
            <w:r w:rsidRPr="00A9552B">
              <w:rPr>
                <w:rFonts w:cs="Times New Roman"/>
                <w:spacing w:val="1"/>
                <w:szCs w:val="24"/>
              </w:rPr>
              <w:t>.</w:t>
            </w:r>
          </w:p>
        </w:tc>
      </w:tr>
      <w:tr w:rsidR="00AA0D47" w:rsidRPr="00E4559C" w14:paraId="17720C10" w14:textId="77777777" w:rsidTr="002D6DD7">
        <w:tc>
          <w:tcPr>
            <w:tcW w:w="2605" w:type="dxa"/>
          </w:tcPr>
          <w:p w14:paraId="0B044742"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3E2E7602" w14:textId="77777777" w:rsidR="00AA0D47" w:rsidRPr="00A9552B" w:rsidRDefault="00AA0D47" w:rsidP="002D6DD7">
            <w:pPr>
              <w:jc w:val="both"/>
              <w:rPr>
                <w:rFonts w:cs="Times New Roman"/>
                <w:szCs w:val="24"/>
              </w:rPr>
            </w:pPr>
            <w:r w:rsidRPr="00D76338">
              <w:rPr>
                <w:rFonts w:cs="Times New Roman"/>
                <w:b/>
                <w:szCs w:val="24"/>
              </w:rPr>
              <w:t xml:space="preserve">Adults and Children (age </w:t>
            </w:r>
            <w:r w:rsidRPr="00D76338">
              <w:rPr>
                <w:rFonts w:cs="Times New Roman" w:hint="eastAsia"/>
                <w:b/>
                <w:szCs w:val="24"/>
              </w:rPr>
              <w:t>≥1</w:t>
            </w:r>
            <w:r w:rsidRPr="00D76338">
              <w:rPr>
                <w:rFonts w:cs="Times New Roman"/>
                <w:b/>
                <w:szCs w:val="24"/>
              </w:rPr>
              <w:t xml:space="preserve"> year):</w:t>
            </w:r>
            <w:r w:rsidRPr="00A9552B">
              <w:rPr>
                <w:rFonts w:cs="Times New Roman"/>
                <w:szCs w:val="24"/>
              </w:rPr>
              <w:t xml:space="preserve"> 2 – 3 drops twice daily for 02 weeks.</w:t>
            </w:r>
          </w:p>
        </w:tc>
      </w:tr>
      <w:tr w:rsidR="00AA0D47" w:rsidRPr="00E4559C" w14:paraId="384AEEB6" w14:textId="77777777" w:rsidTr="002D6DD7">
        <w:tc>
          <w:tcPr>
            <w:tcW w:w="2605" w:type="dxa"/>
          </w:tcPr>
          <w:p w14:paraId="0D45736B"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3C698CCA" w14:textId="77777777" w:rsidR="00AA0D47" w:rsidRPr="00A9552B" w:rsidRDefault="00AA0D47" w:rsidP="002D6DD7">
            <w:pPr>
              <w:jc w:val="both"/>
              <w:rPr>
                <w:rFonts w:cs="Times New Roman"/>
                <w:szCs w:val="24"/>
              </w:rPr>
            </w:pPr>
            <w:r w:rsidRPr="00A9552B">
              <w:rPr>
                <w:rFonts w:cs="Times New Roman"/>
                <w:szCs w:val="24"/>
              </w:rPr>
              <w:t>Hypersensitivity</w:t>
            </w:r>
            <w:r w:rsidRPr="00A9552B">
              <w:rPr>
                <w:rFonts w:cs="Times New Roman"/>
                <w:spacing w:val="30"/>
                <w:szCs w:val="24"/>
              </w:rPr>
              <w:t xml:space="preserve"> </w:t>
            </w:r>
            <w:r>
              <w:rPr>
                <w:rFonts w:cs="Times New Roman"/>
                <w:szCs w:val="24"/>
              </w:rPr>
              <w:t>to the drug.</w:t>
            </w:r>
          </w:p>
        </w:tc>
      </w:tr>
      <w:tr w:rsidR="00AA0D47" w:rsidRPr="00E4559C" w14:paraId="191B59DB" w14:textId="77777777" w:rsidTr="002D6DD7">
        <w:tc>
          <w:tcPr>
            <w:tcW w:w="2605" w:type="dxa"/>
          </w:tcPr>
          <w:p w14:paraId="2DB480FA"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00C4CDE4" w14:textId="77777777" w:rsidR="00AA0D47" w:rsidRPr="00A9552B" w:rsidRDefault="00AA0D47" w:rsidP="002D6DD7">
            <w:pPr>
              <w:jc w:val="both"/>
              <w:rPr>
                <w:rFonts w:cs="Times New Roman"/>
                <w:szCs w:val="24"/>
              </w:rPr>
            </w:pPr>
            <w:r>
              <w:rPr>
                <w:rFonts w:cs="Times New Roman"/>
                <w:szCs w:val="24"/>
              </w:rPr>
              <w:t xml:space="preserve">There </w:t>
            </w:r>
            <w:r w:rsidR="00EB59BD">
              <w:rPr>
                <w:rFonts w:cs="Times New Roman"/>
                <w:szCs w:val="24"/>
              </w:rPr>
              <w:t>is</w:t>
            </w:r>
            <w:r>
              <w:rPr>
                <w:rFonts w:cs="Times New Roman"/>
                <w:szCs w:val="24"/>
              </w:rPr>
              <w:t xml:space="preserve"> no known significant drug interaction.</w:t>
            </w:r>
          </w:p>
        </w:tc>
      </w:tr>
      <w:tr w:rsidR="00AA0D47" w:rsidRPr="00E4559C" w14:paraId="3F10C334" w14:textId="77777777" w:rsidTr="002D6DD7">
        <w:tc>
          <w:tcPr>
            <w:tcW w:w="2605" w:type="dxa"/>
          </w:tcPr>
          <w:p w14:paraId="4952D89D"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0A4CCAE7" w14:textId="77777777" w:rsidR="00AA0D47" w:rsidRPr="00A9552B" w:rsidRDefault="00AA0D47" w:rsidP="002D6DD7">
            <w:pPr>
              <w:jc w:val="both"/>
              <w:rPr>
                <w:rFonts w:cs="Times New Roman"/>
                <w:bCs/>
                <w:szCs w:val="24"/>
              </w:rPr>
            </w:pPr>
            <w:r w:rsidRPr="00A9552B">
              <w:rPr>
                <w:rFonts w:cs="Times New Roman"/>
                <w:szCs w:val="24"/>
              </w:rPr>
              <w:t>Ear pruritus, local discomfort, ear pain.</w:t>
            </w:r>
          </w:p>
        </w:tc>
      </w:tr>
      <w:tr w:rsidR="00AA0D47" w:rsidRPr="00E4559C" w14:paraId="6DCCBF5B" w14:textId="77777777" w:rsidTr="002D6DD7">
        <w:tc>
          <w:tcPr>
            <w:tcW w:w="2605" w:type="dxa"/>
          </w:tcPr>
          <w:p w14:paraId="011D8014"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63C73F1A" w14:textId="77777777" w:rsidR="00AA0D47" w:rsidRPr="00A9552B" w:rsidRDefault="00AA0D47" w:rsidP="002D6DD7">
            <w:pPr>
              <w:jc w:val="both"/>
              <w:rPr>
                <w:rFonts w:cs="Times New Roman"/>
                <w:szCs w:val="24"/>
              </w:rPr>
            </w:pPr>
            <w:r w:rsidRPr="00A9552B">
              <w:rPr>
                <w:rFonts w:cs="Times New Roman"/>
                <w:szCs w:val="24"/>
              </w:rPr>
              <w:t xml:space="preserve"> </w:t>
            </w:r>
            <w:r>
              <w:rPr>
                <w:rFonts w:cs="Times New Roman"/>
                <w:szCs w:val="24"/>
              </w:rPr>
              <w:t>Perforated tympanic membrane</w:t>
            </w:r>
            <w:r w:rsidRPr="00A9552B">
              <w:rPr>
                <w:rFonts w:cs="Times New Roman"/>
                <w:szCs w:val="24"/>
              </w:rPr>
              <w:t xml:space="preserve"> and do not</w:t>
            </w:r>
            <w:r w:rsidRPr="00A9552B">
              <w:rPr>
                <w:rFonts w:cs="Times New Roman"/>
                <w:spacing w:val="1"/>
                <w:szCs w:val="24"/>
              </w:rPr>
              <w:t xml:space="preserve"> </w:t>
            </w:r>
            <w:r w:rsidRPr="00A9552B">
              <w:rPr>
                <w:rFonts w:cs="Times New Roman"/>
                <w:szCs w:val="24"/>
              </w:rPr>
              <w:t>touch</w:t>
            </w:r>
            <w:r w:rsidRPr="00A9552B">
              <w:rPr>
                <w:rFonts w:cs="Times New Roman"/>
                <w:spacing w:val="-1"/>
                <w:szCs w:val="24"/>
              </w:rPr>
              <w:t xml:space="preserve"> </w:t>
            </w:r>
            <w:r w:rsidRPr="00A9552B">
              <w:rPr>
                <w:rFonts w:cs="Times New Roman"/>
                <w:szCs w:val="24"/>
              </w:rPr>
              <w:t>the</w:t>
            </w:r>
            <w:r w:rsidRPr="00A9552B">
              <w:rPr>
                <w:rFonts w:cs="Times New Roman"/>
                <w:spacing w:val="-1"/>
                <w:szCs w:val="24"/>
              </w:rPr>
              <w:t xml:space="preserve"> </w:t>
            </w:r>
            <w:r w:rsidRPr="00A9552B">
              <w:rPr>
                <w:rFonts w:cs="Times New Roman"/>
                <w:szCs w:val="24"/>
              </w:rPr>
              <w:t>dropper.</w:t>
            </w:r>
          </w:p>
        </w:tc>
      </w:tr>
      <w:tr w:rsidR="00AA0D47" w:rsidRPr="00E4559C" w14:paraId="6FE226D7" w14:textId="77777777" w:rsidTr="002D6DD7">
        <w:tc>
          <w:tcPr>
            <w:tcW w:w="2605" w:type="dxa"/>
          </w:tcPr>
          <w:p w14:paraId="62D5F57A"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4537270E" w14:textId="77777777" w:rsidR="00AA0D47" w:rsidRPr="00A9552B" w:rsidRDefault="00AA0D47" w:rsidP="002D6DD7">
            <w:pPr>
              <w:jc w:val="both"/>
              <w:rPr>
                <w:rFonts w:cs="Times New Roman"/>
                <w:szCs w:val="24"/>
              </w:rPr>
            </w:pPr>
            <w:r w:rsidRPr="00A9552B">
              <w:rPr>
                <w:rFonts w:cs="Times New Roman"/>
                <w:szCs w:val="24"/>
              </w:rPr>
              <w:t>Store below 30ºC</w:t>
            </w:r>
            <w:r w:rsidRPr="00A9552B">
              <w:rPr>
                <w:rFonts w:cs="Times New Roman" w:hint="eastAsia"/>
                <w:szCs w:val="24"/>
              </w:rPr>
              <w:t>.</w:t>
            </w:r>
            <w:r w:rsidRPr="00A9552B">
              <w:rPr>
                <w:rFonts w:cs="Times New Roman"/>
                <w:szCs w:val="24"/>
              </w:rPr>
              <w:t xml:space="preserve"> Protect from light.</w:t>
            </w:r>
          </w:p>
        </w:tc>
      </w:tr>
      <w:tr w:rsidR="00AA0D47" w:rsidRPr="00E4559C" w14:paraId="56043E05" w14:textId="77777777" w:rsidTr="002D6DD7">
        <w:tc>
          <w:tcPr>
            <w:tcW w:w="9351" w:type="dxa"/>
            <w:gridSpan w:val="2"/>
          </w:tcPr>
          <w:p w14:paraId="51F8EF61" w14:textId="77777777" w:rsidR="00AA0D47" w:rsidRPr="00D76338" w:rsidRDefault="00AA0D47" w:rsidP="002D6DD7">
            <w:pPr>
              <w:jc w:val="both"/>
              <w:rPr>
                <w:rFonts w:cs="Times New Roman"/>
                <w:b/>
                <w:szCs w:val="24"/>
              </w:rPr>
            </w:pPr>
            <w:r w:rsidRPr="00D76338">
              <w:rPr>
                <w:rFonts w:cs="Times New Roman"/>
                <w:b/>
                <w:szCs w:val="24"/>
              </w:rPr>
              <w:t>Chlorhexidine gluconate</w:t>
            </w:r>
          </w:p>
        </w:tc>
      </w:tr>
      <w:tr w:rsidR="00AA0D47" w:rsidRPr="00E4559C" w14:paraId="2E971F8F" w14:textId="77777777" w:rsidTr="002D6DD7">
        <w:tc>
          <w:tcPr>
            <w:tcW w:w="2605" w:type="dxa"/>
          </w:tcPr>
          <w:p w14:paraId="7BCC213A"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61239EFC" w14:textId="77777777" w:rsidR="00AA0D47" w:rsidRPr="00A9552B" w:rsidRDefault="00AA0D47" w:rsidP="002D6DD7">
            <w:pPr>
              <w:jc w:val="both"/>
              <w:rPr>
                <w:rFonts w:cs="Times New Roman"/>
                <w:szCs w:val="24"/>
              </w:rPr>
            </w:pPr>
            <w:r w:rsidRPr="00D76338">
              <w:rPr>
                <w:rFonts w:cs="Times New Roman"/>
                <w:szCs w:val="24"/>
                <w:shd w:val="clear" w:color="auto" w:fill="FFFFFF"/>
              </w:rPr>
              <w:t> </w:t>
            </w:r>
            <w:r w:rsidRPr="00D76338">
              <w:rPr>
                <w:rFonts w:cs="Times New Roman"/>
                <w:szCs w:val="24"/>
              </w:rPr>
              <w:t xml:space="preserve">Antimicrobial </w:t>
            </w:r>
          </w:p>
        </w:tc>
      </w:tr>
      <w:tr w:rsidR="00AA0D47" w:rsidRPr="00E4559C" w14:paraId="007470DA" w14:textId="77777777" w:rsidTr="002D6DD7">
        <w:tc>
          <w:tcPr>
            <w:tcW w:w="2605" w:type="dxa"/>
          </w:tcPr>
          <w:p w14:paraId="76A28E02"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552ED37E" w14:textId="77777777" w:rsidR="00AA0D47" w:rsidRPr="00A9552B" w:rsidRDefault="00AA0D47" w:rsidP="002D6DD7">
            <w:pPr>
              <w:jc w:val="both"/>
              <w:rPr>
                <w:rFonts w:cs="Times New Roman"/>
                <w:szCs w:val="24"/>
              </w:rPr>
            </w:pPr>
            <w:r w:rsidRPr="00A9552B">
              <w:rPr>
                <w:rFonts w:cs="Times New Roman"/>
                <w:szCs w:val="24"/>
              </w:rPr>
              <w:t>Solution (oral</w:t>
            </w:r>
            <w:r>
              <w:rPr>
                <w:rFonts w:cs="Times New Roman"/>
                <w:szCs w:val="24"/>
              </w:rPr>
              <w:t xml:space="preserve"> </w:t>
            </w:r>
            <w:r w:rsidRPr="00A9552B">
              <w:rPr>
                <w:rFonts w:cs="Times New Roman"/>
                <w:szCs w:val="24"/>
              </w:rPr>
              <w:t>wash), 0.2% (as gluconate/digluconate)</w:t>
            </w:r>
          </w:p>
        </w:tc>
      </w:tr>
      <w:tr w:rsidR="00AA0D47" w:rsidRPr="00E4559C" w14:paraId="5B8862B1" w14:textId="77777777" w:rsidTr="002D6DD7">
        <w:tc>
          <w:tcPr>
            <w:tcW w:w="2605" w:type="dxa"/>
          </w:tcPr>
          <w:p w14:paraId="0E1A1A23" w14:textId="77777777" w:rsidR="00AA0D47" w:rsidRPr="00A9552B" w:rsidRDefault="00AA0D47" w:rsidP="002D6DD7">
            <w:pPr>
              <w:jc w:val="both"/>
              <w:rPr>
                <w:rFonts w:cs="Times New Roman"/>
                <w:szCs w:val="24"/>
              </w:rPr>
            </w:pPr>
            <w:r w:rsidRPr="00A9552B">
              <w:rPr>
                <w:rFonts w:cs="Times New Roman"/>
                <w:szCs w:val="24"/>
              </w:rPr>
              <w:lastRenderedPageBreak/>
              <w:t>Indications</w:t>
            </w:r>
          </w:p>
        </w:tc>
        <w:tc>
          <w:tcPr>
            <w:tcW w:w="6746" w:type="dxa"/>
          </w:tcPr>
          <w:p w14:paraId="1A697A60" w14:textId="77777777" w:rsidR="00AA0D47" w:rsidRPr="00A9552B" w:rsidRDefault="00AA0D47" w:rsidP="002D6DD7">
            <w:pPr>
              <w:jc w:val="both"/>
              <w:rPr>
                <w:rFonts w:cs="Times New Roman"/>
                <w:szCs w:val="24"/>
              </w:rPr>
            </w:pPr>
            <w:r w:rsidRPr="00A9552B">
              <w:rPr>
                <w:rFonts w:cs="Times New Roman"/>
                <w:szCs w:val="24"/>
              </w:rPr>
              <w:t>Oral hygiene and plaque inhibition, oral candidiasis, gingivitis and management of aphthous ulcers</w:t>
            </w:r>
          </w:p>
        </w:tc>
      </w:tr>
      <w:tr w:rsidR="00AA0D47" w:rsidRPr="00E4559C" w14:paraId="4B90D60A" w14:textId="77777777" w:rsidTr="002D6DD7">
        <w:tc>
          <w:tcPr>
            <w:tcW w:w="2605" w:type="dxa"/>
          </w:tcPr>
          <w:p w14:paraId="1A3F1022"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005AB2D6" w14:textId="77777777" w:rsidR="00AA0D47" w:rsidRPr="00A9552B" w:rsidRDefault="00AA0D47" w:rsidP="002D6DD7">
            <w:pPr>
              <w:jc w:val="both"/>
              <w:rPr>
                <w:rFonts w:cs="Times New Roman"/>
                <w:szCs w:val="24"/>
              </w:rPr>
            </w:pPr>
            <w:r w:rsidRPr="00D76338">
              <w:rPr>
                <w:rFonts w:cs="Times New Roman"/>
                <w:b/>
                <w:szCs w:val="24"/>
              </w:rPr>
              <w:t xml:space="preserve">Adult and children </w:t>
            </w:r>
            <w:r w:rsidRPr="00D76338">
              <w:rPr>
                <w:rFonts w:cs="Times New Roman"/>
                <w:b/>
                <w:szCs w:val="24"/>
                <w:u w:val="single"/>
              </w:rPr>
              <w:t>&gt;</w:t>
            </w:r>
            <w:r w:rsidRPr="00D76338">
              <w:rPr>
                <w:rFonts w:cs="Times New Roman"/>
                <w:b/>
                <w:szCs w:val="24"/>
              </w:rPr>
              <w:t xml:space="preserve"> 12 years:</w:t>
            </w:r>
            <w:r>
              <w:rPr>
                <w:rFonts w:cs="Times New Roman"/>
                <w:szCs w:val="24"/>
              </w:rPr>
              <w:t xml:space="preserve"> Rinse or gargle 10 ml</w:t>
            </w:r>
            <w:r w:rsidRPr="00A9552B">
              <w:rPr>
                <w:rFonts w:cs="Times New Roman"/>
                <w:szCs w:val="24"/>
              </w:rPr>
              <w:t xml:space="preserve"> twice daily (rinse or gargle for about 1 minute)</w:t>
            </w:r>
          </w:p>
          <w:p w14:paraId="328B5DFC" w14:textId="77777777" w:rsidR="00AA0D47" w:rsidRPr="00A9552B" w:rsidRDefault="00AA0D47" w:rsidP="002D6DD7">
            <w:pPr>
              <w:jc w:val="both"/>
              <w:rPr>
                <w:rFonts w:cs="Times New Roman"/>
                <w:szCs w:val="24"/>
              </w:rPr>
            </w:pPr>
            <w:r w:rsidRPr="00FF02E0">
              <w:rPr>
                <w:rFonts w:cs="Times New Roman"/>
                <w:b/>
                <w:szCs w:val="24"/>
              </w:rPr>
              <w:t>Managing dentures:</w:t>
            </w:r>
            <w:r w:rsidRPr="00A9552B">
              <w:rPr>
                <w:rFonts w:cs="Times New Roman"/>
                <w:szCs w:val="24"/>
              </w:rPr>
              <w:t xml:space="preserve"> Cleanse and soak dentures in oral</w:t>
            </w:r>
            <w:r>
              <w:rPr>
                <w:rFonts w:cs="Times New Roman"/>
                <w:szCs w:val="24"/>
              </w:rPr>
              <w:t xml:space="preserve"> </w:t>
            </w:r>
            <w:r w:rsidRPr="00A9552B">
              <w:rPr>
                <w:rFonts w:cs="Times New Roman"/>
                <w:szCs w:val="24"/>
              </w:rPr>
              <w:t>wash solution for 15 minutes twice daily.</w:t>
            </w:r>
          </w:p>
          <w:p w14:paraId="27A166C4" w14:textId="77777777" w:rsidR="00AA0D47" w:rsidRPr="00A9552B" w:rsidRDefault="00AA0D47" w:rsidP="002D6DD7">
            <w:pPr>
              <w:jc w:val="both"/>
              <w:rPr>
                <w:rFonts w:cs="Times New Roman"/>
                <w:szCs w:val="24"/>
              </w:rPr>
            </w:pPr>
            <w:r w:rsidRPr="00A9552B">
              <w:rPr>
                <w:rFonts w:cs="Times New Roman"/>
                <w:szCs w:val="24"/>
              </w:rPr>
              <w:t xml:space="preserve">Duration of treatment: </w:t>
            </w:r>
          </w:p>
          <w:p w14:paraId="75F02360" w14:textId="77777777" w:rsidR="00AA0D47" w:rsidRPr="00A9552B" w:rsidRDefault="00AA0D47" w:rsidP="002D6DD7">
            <w:pPr>
              <w:jc w:val="both"/>
              <w:rPr>
                <w:rFonts w:cs="Times New Roman"/>
                <w:szCs w:val="24"/>
              </w:rPr>
            </w:pPr>
            <w:r w:rsidRPr="00FF02E0">
              <w:rPr>
                <w:rFonts w:cs="Times New Roman"/>
                <w:b/>
                <w:szCs w:val="24"/>
              </w:rPr>
              <w:t>Gingivitis</w:t>
            </w:r>
            <w:r w:rsidRPr="00A9552B">
              <w:rPr>
                <w:rFonts w:cs="Times New Roman"/>
                <w:szCs w:val="24"/>
              </w:rPr>
              <w:t xml:space="preserve"> -1month. </w:t>
            </w:r>
          </w:p>
          <w:p w14:paraId="188A003B" w14:textId="77777777" w:rsidR="00AA0D47" w:rsidRPr="00A9552B" w:rsidRDefault="00AA0D47" w:rsidP="002D6DD7">
            <w:pPr>
              <w:jc w:val="both"/>
              <w:rPr>
                <w:rFonts w:cs="Times New Roman"/>
                <w:szCs w:val="24"/>
              </w:rPr>
            </w:pPr>
            <w:r w:rsidRPr="001F7D98">
              <w:rPr>
                <w:rFonts w:cs="Times New Roman"/>
                <w:b/>
                <w:szCs w:val="24"/>
              </w:rPr>
              <w:t>Aphthous ulceration and oral candidiasis</w:t>
            </w:r>
            <w:r>
              <w:rPr>
                <w:rFonts w:cs="Times New Roman"/>
                <w:b/>
                <w:szCs w:val="24"/>
              </w:rPr>
              <w:t xml:space="preserve">: </w:t>
            </w:r>
            <w:r>
              <w:rPr>
                <w:rFonts w:cs="Times New Roman"/>
                <w:szCs w:val="24"/>
              </w:rPr>
              <w:t>Rinse or gargle 10 ml</w:t>
            </w:r>
            <w:r w:rsidRPr="00A9552B">
              <w:rPr>
                <w:rFonts w:cs="Times New Roman"/>
                <w:szCs w:val="24"/>
              </w:rPr>
              <w:t xml:space="preserve"> twice daily</w:t>
            </w:r>
            <w:r>
              <w:rPr>
                <w:rFonts w:cs="Times New Roman"/>
                <w:szCs w:val="24"/>
              </w:rPr>
              <w:t xml:space="preserve"> and the treatment will be </w:t>
            </w:r>
            <w:r w:rsidRPr="00A9552B">
              <w:rPr>
                <w:rFonts w:cs="Times New Roman"/>
                <w:szCs w:val="24"/>
              </w:rPr>
              <w:t>continued for 48 hours after clinical resolution.</w:t>
            </w:r>
          </w:p>
          <w:p w14:paraId="01378FB5" w14:textId="77777777" w:rsidR="00AA0D47" w:rsidRPr="00A9552B" w:rsidRDefault="00AA0D47" w:rsidP="002D6DD7">
            <w:pPr>
              <w:jc w:val="both"/>
              <w:rPr>
                <w:rFonts w:cs="Times New Roman"/>
                <w:szCs w:val="24"/>
              </w:rPr>
            </w:pPr>
            <w:r w:rsidRPr="00D76338">
              <w:rPr>
                <w:rFonts w:cs="Times New Roman"/>
                <w:b/>
                <w:szCs w:val="24"/>
              </w:rPr>
              <w:t>Child:</w:t>
            </w:r>
            <w:r w:rsidRPr="00A9552B">
              <w:rPr>
                <w:rFonts w:cs="Times New Roman"/>
                <w:szCs w:val="24"/>
              </w:rPr>
              <w:t xml:space="preserve"> Rinse or gargle 10 </w:t>
            </w:r>
            <w:r>
              <w:rPr>
                <w:rFonts w:cs="Times New Roman"/>
                <w:szCs w:val="24"/>
              </w:rPr>
              <w:t>ml</w:t>
            </w:r>
            <w:r w:rsidRPr="00A9552B">
              <w:rPr>
                <w:rFonts w:cs="Times New Roman"/>
                <w:szCs w:val="24"/>
              </w:rPr>
              <w:t xml:space="preserve"> twice daily (rinse or gargle for about 1 minute)</w:t>
            </w:r>
          </w:p>
        </w:tc>
      </w:tr>
      <w:tr w:rsidR="00AA0D47" w:rsidRPr="00E4559C" w14:paraId="4B1E19C0" w14:textId="77777777" w:rsidTr="002D6DD7">
        <w:tc>
          <w:tcPr>
            <w:tcW w:w="2605" w:type="dxa"/>
          </w:tcPr>
          <w:p w14:paraId="0E701BD2"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7DE81297" w14:textId="77777777" w:rsidR="00AA0D47" w:rsidRPr="00A9552B" w:rsidRDefault="00AA0D47" w:rsidP="002D6DD7">
            <w:pPr>
              <w:jc w:val="both"/>
              <w:rPr>
                <w:rFonts w:cs="Times New Roman"/>
                <w:szCs w:val="24"/>
              </w:rPr>
            </w:pPr>
            <w:r>
              <w:rPr>
                <w:rFonts w:cs="Times New Roman"/>
                <w:szCs w:val="24"/>
              </w:rPr>
              <w:t>Hypersensitivity</w:t>
            </w:r>
            <w:r w:rsidRPr="00A9552B">
              <w:rPr>
                <w:rFonts w:cs="Times New Roman"/>
                <w:szCs w:val="24"/>
              </w:rPr>
              <w:t xml:space="preserve"> to </w:t>
            </w:r>
            <w:r>
              <w:rPr>
                <w:rFonts w:cs="Times New Roman"/>
                <w:szCs w:val="24"/>
              </w:rPr>
              <w:t>the drug</w:t>
            </w:r>
          </w:p>
        </w:tc>
      </w:tr>
      <w:tr w:rsidR="00AA0D47" w:rsidRPr="00E4559C" w14:paraId="16E86C0F" w14:textId="77777777" w:rsidTr="002D6DD7">
        <w:tc>
          <w:tcPr>
            <w:tcW w:w="2605" w:type="dxa"/>
          </w:tcPr>
          <w:p w14:paraId="5CCEADFE"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7FF5E1E8" w14:textId="77777777" w:rsidR="00AA0D47" w:rsidRPr="00A9552B" w:rsidRDefault="00AA0D47" w:rsidP="002D6DD7">
            <w:pPr>
              <w:jc w:val="both"/>
              <w:rPr>
                <w:rFonts w:cs="Times New Roman"/>
                <w:szCs w:val="24"/>
              </w:rPr>
            </w:pPr>
            <w:r w:rsidRPr="00A9552B">
              <w:rPr>
                <w:rFonts w:cs="Times New Roman"/>
                <w:szCs w:val="24"/>
              </w:rPr>
              <w:t>Anionic agents.</w:t>
            </w:r>
          </w:p>
        </w:tc>
      </w:tr>
      <w:tr w:rsidR="00AA0D47" w:rsidRPr="00E4559C" w14:paraId="361972EC" w14:textId="77777777" w:rsidTr="002D6DD7">
        <w:tc>
          <w:tcPr>
            <w:tcW w:w="2605" w:type="dxa"/>
          </w:tcPr>
          <w:p w14:paraId="6D8628C7"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ED75660" w14:textId="77777777" w:rsidR="00AA0D47" w:rsidRPr="00A9552B" w:rsidRDefault="00AA0D47" w:rsidP="002D6DD7">
            <w:pPr>
              <w:jc w:val="both"/>
              <w:rPr>
                <w:rFonts w:cs="Times New Roman"/>
                <w:szCs w:val="24"/>
              </w:rPr>
            </w:pPr>
            <w:r w:rsidRPr="00A9552B">
              <w:rPr>
                <w:rFonts w:cs="Times New Roman"/>
                <w:szCs w:val="24"/>
              </w:rPr>
              <w:t xml:space="preserve">Dry </w:t>
            </w:r>
            <w:r>
              <w:rPr>
                <w:rFonts w:cs="Times New Roman"/>
                <w:szCs w:val="24"/>
              </w:rPr>
              <w:t>mouth</w:t>
            </w:r>
            <w:r w:rsidRPr="00A9552B">
              <w:rPr>
                <w:rFonts w:cs="Times New Roman"/>
                <w:szCs w:val="24"/>
              </w:rPr>
              <w:t>, hypersensitivity, tongue discolouration, tooth discolouration,</w:t>
            </w:r>
            <w:r w:rsidRPr="00A9552B">
              <w:rPr>
                <w:rFonts w:cs="Times New Roman"/>
                <w:spacing w:val="1"/>
                <w:szCs w:val="24"/>
              </w:rPr>
              <w:t xml:space="preserve"> </w:t>
            </w:r>
            <w:r w:rsidRPr="00A9552B">
              <w:rPr>
                <w:rFonts w:cs="Times New Roman"/>
                <w:szCs w:val="24"/>
              </w:rPr>
              <w:t>oral/throat irritation, and change in taste of food/drinks</w:t>
            </w:r>
          </w:p>
        </w:tc>
      </w:tr>
      <w:tr w:rsidR="00AA0D47" w:rsidRPr="00E4559C" w14:paraId="2E600417" w14:textId="77777777" w:rsidTr="002D6DD7">
        <w:tc>
          <w:tcPr>
            <w:tcW w:w="2605" w:type="dxa"/>
          </w:tcPr>
          <w:p w14:paraId="095A9D9B"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745CFCED" w14:textId="77777777" w:rsidR="00AA0D47" w:rsidRPr="00A9552B" w:rsidRDefault="00AA0D47" w:rsidP="002D6DD7">
            <w:pPr>
              <w:jc w:val="both"/>
              <w:rPr>
                <w:rFonts w:cs="Times New Roman"/>
                <w:szCs w:val="24"/>
              </w:rPr>
            </w:pPr>
            <w:r w:rsidRPr="00A9552B">
              <w:rPr>
                <w:rFonts w:cs="Times New Roman"/>
                <w:szCs w:val="24"/>
              </w:rPr>
              <w:t xml:space="preserve">Do not swallow, </w:t>
            </w:r>
            <w:r>
              <w:rPr>
                <w:rFonts w:cs="Times New Roman"/>
                <w:szCs w:val="24"/>
              </w:rPr>
              <w:t>p</w:t>
            </w:r>
            <w:r w:rsidRPr="00A9552B">
              <w:rPr>
                <w:rFonts w:cs="Times New Roman"/>
                <w:szCs w:val="24"/>
              </w:rPr>
              <w:t xml:space="preserve">ediatric </w:t>
            </w:r>
            <w:r w:rsidRPr="00A9552B">
              <w:rPr>
                <w:rFonts w:cs="Times New Roman"/>
                <w:szCs w:val="24"/>
                <w:u w:val="single"/>
              </w:rPr>
              <w:t>&lt;</w:t>
            </w:r>
            <w:r w:rsidRPr="00A9552B">
              <w:rPr>
                <w:rFonts w:cs="Times New Roman"/>
                <w:szCs w:val="24"/>
              </w:rPr>
              <w:t xml:space="preserve"> 12years.</w:t>
            </w:r>
          </w:p>
        </w:tc>
      </w:tr>
      <w:tr w:rsidR="00AA0D47" w:rsidRPr="00E4559C" w14:paraId="3CA9A40E" w14:textId="77777777" w:rsidTr="002D6DD7">
        <w:tc>
          <w:tcPr>
            <w:tcW w:w="2605" w:type="dxa"/>
          </w:tcPr>
          <w:p w14:paraId="3489A0BA"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1EE7C628" w14:textId="77777777" w:rsidR="00AA0D47" w:rsidRPr="00A9552B" w:rsidRDefault="00AA0D47" w:rsidP="002D6DD7">
            <w:pPr>
              <w:jc w:val="both"/>
              <w:rPr>
                <w:rFonts w:cs="Times New Roman"/>
                <w:szCs w:val="24"/>
              </w:rPr>
            </w:pPr>
            <w:r w:rsidRPr="00A9552B">
              <w:rPr>
                <w:rFonts w:cs="Times New Roman"/>
                <w:szCs w:val="24"/>
              </w:rPr>
              <w:t>Store below 30ºC.</w:t>
            </w:r>
          </w:p>
        </w:tc>
      </w:tr>
      <w:tr w:rsidR="00AA0D47" w:rsidRPr="00E4559C" w14:paraId="607CFE8A" w14:textId="77777777" w:rsidTr="002D6DD7">
        <w:tc>
          <w:tcPr>
            <w:tcW w:w="9351" w:type="dxa"/>
            <w:gridSpan w:val="2"/>
          </w:tcPr>
          <w:p w14:paraId="5307776A" w14:textId="77777777" w:rsidR="00AA0D47" w:rsidRPr="00D76338" w:rsidRDefault="00AA0D47" w:rsidP="002D6DD7">
            <w:pPr>
              <w:jc w:val="both"/>
              <w:rPr>
                <w:rFonts w:cs="Times New Roman"/>
                <w:b/>
                <w:szCs w:val="24"/>
              </w:rPr>
            </w:pPr>
            <w:r w:rsidRPr="00D76338">
              <w:rPr>
                <w:rFonts w:cs="Times New Roman"/>
                <w:b/>
                <w:szCs w:val="24"/>
              </w:rPr>
              <w:t>Clotrimazole</w:t>
            </w:r>
          </w:p>
        </w:tc>
      </w:tr>
      <w:tr w:rsidR="00AA0D47" w:rsidRPr="00E4559C" w14:paraId="20D4ABCE" w14:textId="77777777" w:rsidTr="002D6DD7">
        <w:tc>
          <w:tcPr>
            <w:tcW w:w="2605" w:type="dxa"/>
          </w:tcPr>
          <w:p w14:paraId="363DD697"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7D5E2C41" w14:textId="77777777" w:rsidR="00AA0D47" w:rsidRPr="00A9552B" w:rsidRDefault="00AA0D47" w:rsidP="002D6DD7">
            <w:pPr>
              <w:jc w:val="both"/>
              <w:rPr>
                <w:rFonts w:cs="Times New Roman"/>
                <w:szCs w:val="24"/>
              </w:rPr>
            </w:pPr>
            <w:r>
              <w:rPr>
                <w:rFonts w:cs="Times New Roman"/>
                <w:szCs w:val="24"/>
              </w:rPr>
              <w:t>Antifungal</w:t>
            </w:r>
          </w:p>
        </w:tc>
      </w:tr>
      <w:tr w:rsidR="00AA0D47" w:rsidRPr="00E4559C" w14:paraId="36048EC4" w14:textId="77777777" w:rsidTr="002D6DD7">
        <w:tc>
          <w:tcPr>
            <w:tcW w:w="2605" w:type="dxa"/>
          </w:tcPr>
          <w:p w14:paraId="19CFD0C9"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5489656B" w14:textId="77777777" w:rsidR="00AA0D47" w:rsidRPr="00A9552B" w:rsidRDefault="00AA0D47" w:rsidP="002D6DD7">
            <w:pPr>
              <w:jc w:val="both"/>
              <w:rPr>
                <w:rFonts w:cs="Times New Roman"/>
                <w:szCs w:val="24"/>
              </w:rPr>
            </w:pPr>
            <w:r w:rsidRPr="00D76338">
              <w:rPr>
                <w:rFonts w:eastAsia="Times New Roman" w:cs="Times New Roman"/>
                <w:szCs w:val="24"/>
              </w:rPr>
              <w:t>Solution (ear drops): 1%</w:t>
            </w:r>
          </w:p>
        </w:tc>
      </w:tr>
      <w:tr w:rsidR="00AA0D47" w:rsidRPr="00E4559C" w14:paraId="64FFA0C5" w14:textId="77777777" w:rsidTr="002D6DD7">
        <w:tc>
          <w:tcPr>
            <w:tcW w:w="2605" w:type="dxa"/>
          </w:tcPr>
          <w:p w14:paraId="67E5C753"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751C97FC" w14:textId="77777777" w:rsidR="00AA0D47" w:rsidRPr="00A9552B" w:rsidRDefault="00AA0D47" w:rsidP="002D6DD7">
            <w:pPr>
              <w:jc w:val="both"/>
              <w:rPr>
                <w:rFonts w:cs="Times New Roman"/>
                <w:szCs w:val="24"/>
              </w:rPr>
            </w:pPr>
            <w:r w:rsidRPr="00A9552B">
              <w:rPr>
                <w:rFonts w:cs="Times New Roman"/>
                <w:szCs w:val="24"/>
              </w:rPr>
              <w:t>Fungal infection in the ear (otitis externa)</w:t>
            </w:r>
          </w:p>
        </w:tc>
      </w:tr>
      <w:tr w:rsidR="00AA0D47" w:rsidRPr="00E4559C" w14:paraId="6D21A9F7" w14:textId="77777777" w:rsidTr="002D6DD7">
        <w:tc>
          <w:tcPr>
            <w:tcW w:w="2605" w:type="dxa"/>
          </w:tcPr>
          <w:p w14:paraId="3DC79A15"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2D6EDC6A" w14:textId="77777777" w:rsidR="00AA0D47" w:rsidRPr="00873D03" w:rsidRDefault="00AA0D47" w:rsidP="002D6DD7">
            <w:pPr>
              <w:jc w:val="both"/>
              <w:rPr>
                <w:rFonts w:cs="Times New Roman"/>
                <w:b/>
                <w:szCs w:val="24"/>
              </w:rPr>
            </w:pPr>
            <w:r w:rsidRPr="00873D03">
              <w:rPr>
                <w:rFonts w:cs="Times New Roman"/>
                <w:b/>
                <w:szCs w:val="24"/>
              </w:rPr>
              <w:t>Ear drops</w:t>
            </w:r>
          </w:p>
          <w:p w14:paraId="110A9E9C" w14:textId="77777777" w:rsidR="00AA0D47" w:rsidRPr="00A9552B" w:rsidRDefault="00AA0D47" w:rsidP="002D6DD7">
            <w:pPr>
              <w:jc w:val="both"/>
              <w:rPr>
                <w:rFonts w:cs="Times New Roman"/>
                <w:szCs w:val="24"/>
              </w:rPr>
            </w:pPr>
            <w:r w:rsidRPr="00D76338">
              <w:rPr>
                <w:rFonts w:cs="Times New Roman"/>
                <w:b/>
                <w:szCs w:val="24"/>
              </w:rPr>
              <w:t>Child:</w:t>
            </w:r>
            <w:r w:rsidRPr="00A9552B">
              <w:rPr>
                <w:rFonts w:cs="Times New Roman"/>
                <w:szCs w:val="24"/>
              </w:rPr>
              <w:t xml:space="preserve"> Apply 2–3 times a day continue for at least 14 days after disappearance of infection.</w:t>
            </w:r>
          </w:p>
          <w:p w14:paraId="5F7380D1" w14:textId="77777777" w:rsidR="00AA0D47" w:rsidRPr="00A9552B" w:rsidRDefault="00AA0D47" w:rsidP="002D6DD7">
            <w:pPr>
              <w:jc w:val="both"/>
              <w:rPr>
                <w:rFonts w:cs="Times New Roman"/>
                <w:szCs w:val="24"/>
              </w:rPr>
            </w:pPr>
            <w:r w:rsidRPr="00D76338">
              <w:rPr>
                <w:rFonts w:cs="Times New Roman"/>
                <w:b/>
                <w:szCs w:val="24"/>
              </w:rPr>
              <w:t>Adult:</w:t>
            </w:r>
            <w:r w:rsidRPr="00A9552B">
              <w:rPr>
                <w:rFonts w:cs="Times New Roman"/>
                <w:szCs w:val="24"/>
              </w:rPr>
              <w:t xml:space="preserve"> Apply 2–3 times a day continue for at least 14 days after disappearance of infection.</w:t>
            </w:r>
          </w:p>
        </w:tc>
      </w:tr>
      <w:tr w:rsidR="00AA0D47" w:rsidRPr="00E4559C" w14:paraId="3970F14E" w14:textId="77777777" w:rsidTr="002D6DD7">
        <w:tc>
          <w:tcPr>
            <w:tcW w:w="2605" w:type="dxa"/>
          </w:tcPr>
          <w:p w14:paraId="3F8252FB"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05B6308B" w14:textId="77777777" w:rsidR="00AA0D47" w:rsidRPr="00A9552B" w:rsidRDefault="00AA0D47" w:rsidP="002D6DD7">
            <w:pPr>
              <w:jc w:val="both"/>
              <w:rPr>
                <w:rFonts w:cs="Times New Roman"/>
                <w:szCs w:val="24"/>
              </w:rPr>
            </w:pPr>
            <w:r w:rsidRPr="00A9552B">
              <w:rPr>
                <w:rFonts w:cs="Times New Roman"/>
                <w:szCs w:val="24"/>
              </w:rPr>
              <w:t>Hypersensitivity</w:t>
            </w:r>
            <w:r w:rsidRPr="00A9552B">
              <w:rPr>
                <w:rFonts w:cs="Times New Roman"/>
                <w:spacing w:val="24"/>
                <w:szCs w:val="24"/>
              </w:rPr>
              <w:t xml:space="preserve"> </w:t>
            </w:r>
            <w:r w:rsidRPr="00A9552B">
              <w:rPr>
                <w:rFonts w:cs="Times New Roman"/>
                <w:szCs w:val="24"/>
              </w:rPr>
              <w:t>to</w:t>
            </w:r>
            <w:r w:rsidRPr="00A9552B">
              <w:rPr>
                <w:rFonts w:cs="Times New Roman"/>
                <w:spacing w:val="28"/>
                <w:szCs w:val="24"/>
              </w:rPr>
              <w:t xml:space="preserve"> </w:t>
            </w:r>
            <w:r w:rsidRPr="00A9552B">
              <w:rPr>
                <w:rFonts w:cs="Times New Roman"/>
                <w:szCs w:val="24"/>
              </w:rPr>
              <w:t>the</w:t>
            </w:r>
            <w:r w:rsidRPr="00A9552B">
              <w:rPr>
                <w:rFonts w:cs="Times New Roman"/>
                <w:spacing w:val="27"/>
                <w:szCs w:val="24"/>
              </w:rPr>
              <w:t xml:space="preserve"> </w:t>
            </w:r>
            <w:r w:rsidRPr="00A9552B">
              <w:rPr>
                <w:rFonts w:cs="Times New Roman"/>
                <w:szCs w:val="24"/>
              </w:rPr>
              <w:t>drug</w:t>
            </w:r>
            <w:r w:rsidRPr="00A9552B">
              <w:rPr>
                <w:rFonts w:cs="Times New Roman"/>
                <w:spacing w:val="28"/>
                <w:szCs w:val="24"/>
              </w:rPr>
              <w:t xml:space="preserve"> </w:t>
            </w:r>
          </w:p>
        </w:tc>
      </w:tr>
      <w:tr w:rsidR="00AA0D47" w:rsidRPr="00E4559C" w14:paraId="1FCFB96B" w14:textId="77777777" w:rsidTr="002D6DD7">
        <w:tc>
          <w:tcPr>
            <w:tcW w:w="2605" w:type="dxa"/>
          </w:tcPr>
          <w:p w14:paraId="3CE608A4" w14:textId="77777777" w:rsidR="00AA0D47" w:rsidRPr="00A9552B" w:rsidRDefault="00AA0D47" w:rsidP="002D6DD7">
            <w:pPr>
              <w:jc w:val="both"/>
              <w:rPr>
                <w:rFonts w:cs="Times New Roman"/>
                <w:szCs w:val="24"/>
              </w:rPr>
            </w:pPr>
            <w:r w:rsidRPr="00A9552B">
              <w:rPr>
                <w:rFonts w:cs="Times New Roman"/>
                <w:szCs w:val="24"/>
              </w:rPr>
              <w:lastRenderedPageBreak/>
              <w:t>Drug interactions</w:t>
            </w:r>
          </w:p>
        </w:tc>
        <w:tc>
          <w:tcPr>
            <w:tcW w:w="6746" w:type="dxa"/>
          </w:tcPr>
          <w:p w14:paraId="5FE6441B" w14:textId="77777777" w:rsidR="00AA0D47" w:rsidRPr="00A9552B" w:rsidRDefault="00AA0D47" w:rsidP="002D6DD7">
            <w:pPr>
              <w:jc w:val="both"/>
              <w:rPr>
                <w:rFonts w:cs="Times New Roman"/>
                <w:szCs w:val="24"/>
              </w:rPr>
            </w:pPr>
            <w:r>
              <w:rPr>
                <w:rFonts w:cs="Times New Roman"/>
                <w:szCs w:val="24"/>
              </w:rPr>
              <w:t>There are no known drug interactions</w:t>
            </w:r>
          </w:p>
        </w:tc>
      </w:tr>
      <w:tr w:rsidR="00AA0D47" w:rsidRPr="00E4559C" w14:paraId="077BC1E5" w14:textId="77777777" w:rsidTr="002D6DD7">
        <w:trPr>
          <w:trHeight w:val="419"/>
        </w:trPr>
        <w:tc>
          <w:tcPr>
            <w:tcW w:w="2605" w:type="dxa"/>
          </w:tcPr>
          <w:p w14:paraId="7F091024"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19BD1FDB" w14:textId="77777777" w:rsidR="00AA0D47" w:rsidRPr="00A9552B" w:rsidRDefault="00AA0D47" w:rsidP="002D6DD7">
            <w:pPr>
              <w:jc w:val="both"/>
              <w:rPr>
                <w:rFonts w:cs="Times New Roman"/>
                <w:szCs w:val="24"/>
              </w:rPr>
            </w:pPr>
            <w:r w:rsidRPr="00A9552B">
              <w:rPr>
                <w:rFonts w:cs="Times New Roman"/>
                <w:szCs w:val="24"/>
              </w:rPr>
              <w:t>Hypersensitivity, burning, irritation, oedema, itching and redness immediately after application but will subside without treatment</w:t>
            </w:r>
          </w:p>
        </w:tc>
      </w:tr>
      <w:tr w:rsidR="00AA0D47" w:rsidRPr="00E4559C" w14:paraId="6CD87B26" w14:textId="77777777" w:rsidTr="002D6DD7">
        <w:tc>
          <w:tcPr>
            <w:tcW w:w="2605" w:type="dxa"/>
          </w:tcPr>
          <w:p w14:paraId="31CA1D8C"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31DC55E8" w14:textId="77777777" w:rsidR="00AA0D47" w:rsidRPr="00A9552B" w:rsidRDefault="00AA0D47" w:rsidP="002D6DD7">
            <w:pPr>
              <w:jc w:val="both"/>
              <w:rPr>
                <w:rFonts w:cs="Times New Roman"/>
                <w:szCs w:val="24"/>
              </w:rPr>
            </w:pPr>
            <w:r w:rsidRPr="00A9552B">
              <w:rPr>
                <w:rFonts w:cs="Times New Roman"/>
                <w:szCs w:val="24"/>
              </w:rPr>
              <w:t>Avoid contact with eye.</w:t>
            </w:r>
          </w:p>
        </w:tc>
      </w:tr>
      <w:tr w:rsidR="00AA0D47" w:rsidRPr="00E4559C" w14:paraId="257B3455" w14:textId="77777777" w:rsidTr="002D6DD7">
        <w:tc>
          <w:tcPr>
            <w:tcW w:w="2605" w:type="dxa"/>
          </w:tcPr>
          <w:p w14:paraId="47F940CA"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40375315" w14:textId="77777777" w:rsidR="00AA0D47" w:rsidRPr="00A9552B" w:rsidRDefault="00AA0D47" w:rsidP="002D6DD7">
            <w:pPr>
              <w:jc w:val="both"/>
              <w:rPr>
                <w:rFonts w:cs="Times New Roman"/>
                <w:szCs w:val="24"/>
              </w:rPr>
            </w:pPr>
            <w:r>
              <w:rPr>
                <w:rFonts w:eastAsiaTheme="minorHAnsi" w:cs="Times New Roman"/>
                <w:kern w:val="0"/>
                <w:szCs w:val="24"/>
                <w:lang w:val="en-US" w:eastAsia="en-US"/>
              </w:rPr>
              <w:t>Store below</w:t>
            </w:r>
            <w:r w:rsidRPr="00A9552B">
              <w:rPr>
                <w:rFonts w:eastAsiaTheme="minorHAnsi" w:cs="Times New Roman"/>
                <w:kern w:val="0"/>
                <w:szCs w:val="24"/>
                <w:lang w:val="en-US" w:eastAsia="en-US"/>
              </w:rPr>
              <w:t xml:space="preserve"> 30°C.</w:t>
            </w:r>
          </w:p>
        </w:tc>
      </w:tr>
      <w:tr w:rsidR="00AA0D47" w:rsidRPr="00E4559C" w14:paraId="6B56DEDD" w14:textId="77777777" w:rsidTr="002D6DD7">
        <w:tc>
          <w:tcPr>
            <w:tcW w:w="9351" w:type="dxa"/>
            <w:gridSpan w:val="2"/>
          </w:tcPr>
          <w:p w14:paraId="02936358" w14:textId="77777777" w:rsidR="00AA0D47" w:rsidRPr="00D76338" w:rsidRDefault="00AA0D47" w:rsidP="002D6DD7">
            <w:pPr>
              <w:jc w:val="both"/>
              <w:rPr>
                <w:rFonts w:cs="Times New Roman"/>
                <w:b/>
                <w:bCs/>
                <w:szCs w:val="24"/>
              </w:rPr>
            </w:pPr>
            <w:r w:rsidRPr="00D76338">
              <w:rPr>
                <w:rFonts w:cs="Times New Roman"/>
                <w:b/>
                <w:szCs w:val="24"/>
              </w:rPr>
              <w:t>Fluticasone</w:t>
            </w:r>
          </w:p>
        </w:tc>
      </w:tr>
      <w:tr w:rsidR="00AA0D47" w:rsidRPr="00E4559C" w14:paraId="73878429" w14:textId="77777777" w:rsidTr="002D6DD7">
        <w:tc>
          <w:tcPr>
            <w:tcW w:w="2605" w:type="dxa"/>
          </w:tcPr>
          <w:p w14:paraId="7EB0B174"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5B94B8EF" w14:textId="77777777" w:rsidR="00AA0D47" w:rsidRPr="00A9552B" w:rsidRDefault="00AA0D47" w:rsidP="002D6DD7">
            <w:pPr>
              <w:jc w:val="both"/>
              <w:rPr>
                <w:rFonts w:cs="Times New Roman"/>
                <w:szCs w:val="24"/>
              </w:rPr>
            </w:pPr>
            <w:r w:rsidRPr="00A9552B">
              <w:rPr>
                <w:rFonts w:cs="Times New Roman"/>
                <w:szCs w:val="24"/>
              </w:rPr>
              <w:t xml:space="preserve">Corticosteroid </w:t>
            </w:r>
          </w:p>
        </w:tc>
      </w:tr>
      <w:tr w:rsidR="00AA0D47" w:rsidRPr="00E4559C" w14:paraId="62019CB7" w14:textId="77777777" w:rsidTr="002D6DD7">
        <w:tc>
          <w:tcPr>
            <w:tcW w:w="2605" w:type="dxa"/>
          </w:tcPr>
          <w:p w14:paraId="30E602D8"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0307EC51" w14:textId="77777777" w:rsidR="00AA0D47" w:rsidRPr="00A9552B" w:rsidRDefault="00AA0D47" w:rsidP="002D6DD7">
            <w:pPr>
              <w:jc w:val="both"/>
              <w:rPr>
                <w:rFonts w:cs="Times New Roman"/>
                <w:szCs w:val="24"/>
              </w:rPr>
            </w:pPr>
            <w:r w:rsidRPr="00A9552B">
              <w:rPr>
                <w:rFonts w:cs="Times New Roman"/>
                <w:szCs w:val="24"/>
              </w:rPr>
              <w:t>Nasal spray, 0.055% (as furoate)</w:t>
            </w:r>
          </w:p>
        </w:tc>
      </w:tr>
      <w:tr w:rsidR="00AA0D47" w:rsidRPr="00E4559C" w14:paraId="16DE150D" w14:textId="77777777" w:rsidTr="002D6DD7">
        <w:tc>
          <w:tcPr>
            <w:tcW w:w="2605" w:type="dxa"/>
          </w:tcPr>
          <w:p w14:paraId="72E608A6"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7DE6B5EC" w14:textId="77777777" w:rsidR="00AA0D47" w:rsidRPr="00A9552B" w:rsidRDefault="00AA0D47" w:rsidP="002D6DD7">
            <w:pPr>
              <w:jc w:val="both"/>
              <w:rPr>
                <w:rFonts w:cs="Times New Roman"/>
                <w:szCs w:val="24"/>
              </w:rPr>
            </w:pPr>
            <w:r w:rsidRPr="00A9552B">
              <w:rPr>
                <w:rFonts w:cs="Times New Roman"/>
                <w:szCs w:val="24"/>
              </w:rPr>
              <w:t>Prophylaxis and treatment of allergic rhinitis and perennial rhinitis and nasal polyps</w:t>
            </w:r>
          </w:p>
        </w:tc>
      </w:tr>
      <w:tr w:rsidR="00AA0D47" w:rsidRPr="00E4559C" w14:paraId="466FE8F9" w14:textId="77777777" w:rsidTr="002D6DD7">
        <w:tc>
          <w:tcPr>
            <w:tcW w:w="2605" w:type="dxa"/>
          </w:tcPr>
          <w:p w14:paraId="60DA4001"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2FD64D9E" w14:textId="77777777" w:rsidR="00AA0D47" w:rsidRPr="00D76338" w:rsidRDefault="00AA0D47" w:rsidP="002D6DD7">
            <w:pPr>
              <w:jc w:val="both"/>
              <w:rPr>
                <w:rFonts w:cs="Times New Roman"/>
                <w:b/>
                <w:bCs/>
                <w:szCs w:val="24"/>
              </w:rPr>
            </w:pPr>
            <w:r w:rsidRPr="00D76338">
              <w:rPr>
                <w:rFonts w:cs="Times New Roman"/>
                <w:b/>
                <w:bCs/>
                <w:szCs w:val="24"/>
              </w:rPr>
              <w:t>Allergic rhinitis and perennial rhinitis</w:t>
            </w:r>
          </w:p>
          <w:p w14:paraId="4B6C656A" w14:textId="77777777" w:rsidR="00AA0D47" w:rsidRPr="0089740D" w:rsidRDefault="00AA0D47" w:rsidP="002D6DD7">
            <w:pPr>
              <w:jc w:val="both"/>
              <w:rPr>
                <w:rFonts w:cs="Times New Roman"/>
                <w:b/>
                <w:szCs w:val="24"/>
              </w:rPr>
            </w:pPr>
            <w:r w:rsidRPr="00D76338">
              <w:rPr>
                <w:rFonts w:cs="Times New Roman"/>
                <w:b/>
                <w:bCs/>
                <w:szCs w:val="24"/>
              </w:rPr>
              <w:t xml:space="preserve">Adult and children </w:t>
            </w:r>
            <w:r w:rsidRPr="00D76338">
              <w:rPr>
                <w:rFonts w:cs="Times New Roman" w:hint="eastAsia"/>
                <w:b/>
                <w:szCs w:val="24"/>
              </w:rPr>
              <w:t>≥12</w:t>
            </w:r>
            <w:r>
              <w:rPr>
                <w:rFonts w:cs="Times New Roman"/>
                <w:b/>
                <w:szCs w:val="24"/>
              </w:rPr>
              <w:t xml:space="preserve"> years:</w:t>
            </w:r>
            <w:r w:rsidRPr="0089740D">
              <w:rPr>
                <w:rFonts w:cs="Times New Roman"/>
                <w:szCs w:val="24"/>
              </w:rPr>
              <w:t xml:space="preserve"> t</w:t>
            </w:r>
            <w:r w:rsidRPr="0089740D">
              <w:rPr>
                <w:rFonts w:cs="Times New Roman"/>
                <w:bCs/>
                <w:szCs w:val="24"/>
              </w:rPr>
              <w:t>wo</w:t>
            </w:r>
            <w:r w:rsidRPr="00A9552B">
              <w:rPr>
                <w:rFonts w:cs="Times New Roman"/>
                <w:bCs/>
                <w:szCs w:val="24"/>
              </w:rPr>
              <w:t xml:space="preserve"> sprays into each nostril once a day, </w:t>
            </w:r>
            <w:r w:rsidRPr="00A9552B">
              <w:rPr>
                <w:rFonts w:cs="Times New Roman"/>
                <w:szCs w:val="24"/>
              </w:rPr>
              <w:t xml:space="preserve">increased if necessary to 2 sprays twice daily, </w:t>
            </w:r>
            <w:r w:rsidRPr="00A9552B">
              <w:rPr>
                <w:rFonts w:cs="Times New Roman"/>
                <w:bCs/>
                <w:szCs w:val="24"/>
              </w:rPr>
              <w:t>reduced to one spray daily when control achieved.</w:t>
            </w:r>
          </w:p>
          <w:p w14:paraId="187B6422" w14:textId="77777777" w:rsidR="00AA0D47" w:rsidRPr="00A9552B" w:rsidRDefault="00AA0D47" w:rsidP="002D6DD7">
            <w:pPr>
              <w:jc w:val="both"/>
              <w:rPr>
                <w:rFonts w:cs="Times New Roman"/>
                <w:szCs w:val="24"/>
              </w:rPr>
            </w:pPr>
            <w:r w:rsidRPr="00D76338">
              <w:rPr>
                <w:rFonts w:cs="Times New Roman"/>
                <w:b/>
                <w:szCs w:val="24"/>
              </w:rPr>
              <w:t>Child 6–11 years:</w:t>
            </w:r>
            <w:r w:rsidRPr="00A9552B">
              <w:rPr>
                <w:rFonts w:cs="Times New Roman"/>
                <w:szCs w:val="24"/>
              </w:rPr>
              <w:t xml:space="preserve"> one spray into each nostril once daily, increased if necessary to 2 sprays daily, reduced to one spray daily when control achieved.</w:t>
            </w:r>
          </w:p>
          <w:p w14:paraId="50BD30E9" w14:textId="77777777" w:rsidR="00AA0D47" w:rsidRPr="00D76338" w:rsidRDefault="00AA0D47" w:rsidP="002D6DD7">
            <w:pPr>
              <w:jc w:val="both"/>
              <w:rPr>
                <w:rFonts w:cs="Times New Roman"/>
                <w:b/>
                <w:bCs/>
                <w:szCs w:val="24"/>
              </w:rPr>
            </w:pPr>
            <w:r w:rsidRPr="00D76338">
              <w:rPr>
                <w:rFonts w:cs="Times New Roman"/>
                <w:b/>
                <w:bCs/>
                <w:szCs w:val="24"/>
              </w:rPr>
              <w:t xml:space="preserve">Treatment of nasal polyps </w:t>
            </w:r>
          </w:p>
          <w:p w14:paraId="050A3C35" w14:textId="77777777" w:rsidR="00AA0D47" w:rsidRPr="00A9552B" w:rsidRDefault="00AA0D47" w:rsidP="002D6DD7">
            <w:pPr>
              <w:jc w:val="both"/>
              <w:rPr>
                <w:rFonts w:cs="Times New Roman"/>
                <w:szCs w:val="24"/>
              </w:rPr>
            </w:pPr>
            <w:r>
              <w:rPr>
                <w:rFonts w:cs="Times New Roman"/>
                <w:b/>
                <w:bCs/>
                <w:szCs w:val="24"/>
              </w:rPr>
              <w:t>Adult and child</w:t>
            </w:r>
            <w:r w:rsidRPr="00D76338">
              <w:rPr>
                <w:rFonts w:cs="Times New Roman"/>
                <w:b/>
                <w:szCs w:val="24"/>
              </w:rPr>
              <w:t xml:space="preserve"> </w:t>
            </w:r>
            <w:r>
              <w:rPr>
                <w:rFonts w:eastAsia="Malgun Gothic" w:cs="Times New Roman" w:hint="eastAsia"/>
                <w:b/>
                <w:szCs w:val="24"/>
              </w:rPr>
              <w:t>a</w:t>
            </w:r>
            <w:r>
              <w:rPr>
                <w:rFonts w:eastAsia="Malgun Gothic" w:cs="Times New Roman"/>
                <w:b/>
                <w:szCs w:val="24"/>
              </w:rPr>
              <w:t xml:space="preserve">bove </w:t>
            </w:r>
            <w:r w:rsidRPr="00D76338">
              <w:rPr>
                <w:rFonts w:cs="Times New Roman" w:hint="eastAsia"/>
                <w:b/>
                <w:szCs w:val="24"/>
              </w:rPr>
              <w:t>12</w:t>
            </w:r>
            <w:r w:rsidRPr="00D76338">
              <w:rPr>
                <w:rFonts w:cs="Times New Roman"/>
                <w:b/>
                <w:szCs w:val="24"/>
              </w:rPr>
              <w:t xml:space="preserve"> years:</w:t>
            </w:r>
            <w:r w:rsidRPr="00A9552B">
              <w:rPr>
                <w:rFonts w:cs="Times New Roman"/>
                <w:bCs/>
                <w:szCs w:val="24"/>
              </w:rPr>
              <w:t xml:space="preserve"> </w:t>
            </w:r>
            <w:r w:rsidRPr="00A9552B">
              <w:rPr>
                <w:rFonts w:cs="Times New Roman"/>
                <w:szCs w:val="24"/>
              </w:rPr>
              <w:t>2 spray 1–2 times a day, to be administered into each nostril, alternative treatment should be considered if no improvement after 4–6 weeks.</w:t>
            </w:r>
          </w:p>
          <w:p w14:paraId="74B45D65" w14:textId="77777777" w:rsidR="00AA0D47" w:rsidRPr="00A9552B" w:rsidRDefault="00AA0D47" w:rsidP="002D6DD7">
            <w:pPr>
              <w:jc w:val="both"/>
              <w:rPr>
                <w:rFonts w:cs="Times New Roman"/>
                <w:szCs w:val="24"/>
              </w:rPr>
            </w:pPr>
            <w:r w:rsidRPr="00D76338">
              <w:rPr>
                <w:rFonts w:cs="Times New Roman"/>
                <w:b/>
                <w:szCs w:val="24"/>
              </w:rPr>
              <w:t>Child 6–11 years:</w:t>
            </w:r>
            <w:r w:rsidRPr="00A9552B">
              <w:rPr>
                <w:rFonts w:cs="Times New Roman"/>
                <w:szCs w:val="24"/>
              </w:rPr>
              <w:t xml:space="preserve"> one spray into each nostril once daily, increased if necessary to 2 sprays daily, reduced to one spray daily when control achieved.</w:t>
            </w:r>
          </w:p>
        </w:tc>
      </w:tr>
      <w:tr w:rsidR="00AA0D47" w:rsidRPr="00E4559C" w14:paraId="4FC6872A" w14:textId="77777777" w:rsidTr="002D6DD7">
        <w:tc>
          <w:tcPr>
            <w:tcW w:w="2605" w:type="dxa"/>
          </w:tcPr>
          <w:p w14:paraId="4E4966E8"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70FDB2F0" w14:textId="77777777" w:rsidR="00AA0D47" w:rsidRPr="00A9552B" w:rsidRDefault="00AA0D47" w:rsidP="002D6DD7">
            <w:pPr>
              <w:jc w:val="both"/>
              <w:rPr>
                <w:rFonts w:cs="Times New Roman"/>
                <w:szCs w:val="24"/>
              </w:rPr>
            </w:pPr>
            <w:r w:rsidRPr="00D76338">
              <w:rPr>
                <w:rFonts w:cs="Times New Roman"/>
                <w:szCs w:val="24"/>
              </w:rPr>
              <w:t>Hypersensitivity</w:t>
            </w:r>
            <w:r>
              <w:rPr>
                <w:rFonts w:cs="Times New Roman"/>
                <w:szCs w:val="24"/>
              </w:rPr>
              <w:t xml:space="preserve"> to the drug</w:t>
            </w:r>
            <w:r w:rsidRPr="00D76338">
              <w:rPr>
                <w:rFonts w:cs="Times New Roman"/>
                <w:szCs w:val="24"/>
              </w:rPr>
              <w:t>.</w:t>
            </w:r>
          </w:p>
        </w:tc>
      </w:tr>
      <w:tr w:rsidR="00AA0D47" w:rsidRPr="00E4559C" w14:paraId="3481457A" w14:textId="77777777" w:rsidTr="002D6DD7">
        <w:tc>
          <w:tcPr>
            <w:tcW w:w="2605" w:type="dxa"/>
          </w:tcPr>
          <w:p w14:paraId="0E3C3858"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374A3287" w14:textId="77777777" w:rsidR="00AA0D47" w:rsidRPr="00A9552B" w:rsidRDefault="00AA0D47" w:rsidP="002D6DD7">
            <w:pPr>
              <w:jc w:val="both"/>
              <w:rPr>
                <w:rFonts w:cs="Times New Roman"/>
                <w:szCs w:val="24"/>
              </w:rPr>
            </w:pPr>
            <w:r w:rsidRPr="00A9552B">
              <w:rPr>
                <w:rFonts w:cs="Times New Roman"/>
                <w:szCs w:val="24"/>
              </w:rPr>
              <w:t>Ritonavir and ketoconazole</w:t>
            </w:r>
          </w:p>
        </w:tc>
      </w:tr>
      <w:tr w:rsidR="00AA0D47" w:rsidRPr="00E4559C" w14:paraId="645597DB" w14:textId="77777777" w:rsidTr="002D6DD7">
        <w:tc>
          <w:tcPr>
            <w:tcW w:w="2605" w:type="dxa"/>
          </w:tcPr>
          <w:p w14:paraId="5E532A64"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378E2CB3" w14:textId="77777777" w:rsidR="00AA0D47" w:rsidRPr="00A9552B" w:rsidRDefault="00AA0D47" w:rsidP="002D6DD7">
            <w:pPr>
              <w:jc w:val="both"/>
              <w:rPr>
                <w:rFonts w:cs="Times New Roman"/>
                <w:szCs w:val="24"/>
              </w:rPr>
            </w:pPr>
            <w:r w:rsidRPr="00A9552B">
              <w:rPr>
                <w:rFonts w:cs="Times New Roman"/>
                <w:szCs w:val="24"/>
              </w:rPr>
              <w:t>Hypersensitivity reactions including anaphylaxis, angioedema, rash, and urticarial, epistaxis, nasal ulceration and nasal septum perforation.</w:t>
            </w:r>
          </w:p>
        </w:tc>
      </w:tr>
      <w:tr w:rsidR="00AA0D47" w:rsidRPr="00E4559C" w14:paraId="6215D9E8" w14:textId="77777777" w:rsidTr="002D6DD7">
        <w:tc>
          <w:tcPr>
            <w:tcW w:w="2605" w:type="dxa"/>
          </w:tcPr>
          <w:p w14:paraId="42AF9BAD"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65F423FF" w14:textId="77777777" w:rsidR="00AA0D47" w:rsidRPr="00A9552B" w:rsidRDefault="00AA0D47" w:rsidP="002D6DD7">
            <w:pPr>
              <w:jc w:val="both"/>
              <w:rPr>
                <w:rFonts w:cs="Times New Roman"/>
                <w:szCs w:val="24"/>
              </w:rPr>
            </w:pPr>
            <w:r>
              <w:rPr>
                <w:rFonts w:cs="Times New Roman"/>
                <w:szCs w:val="24"/>
              </w:rPr>
              <w:t>N</w:t>
            </w:r>
            <w:r w:rsidRPr="00A9552B">
              <w:rPr>
                <w:rFonts w:cs="Times New Roman"/>
                <w:szCs w:val="24"/>
              </w:rPr>
              <w:t xml:space="preserve">asal septal ulcers, trauma, or surgery, history of increased </w:t>
            </w:r>
            <w:r w:rsidRPr="00A9552B">
              <w:rPr>
                <w:rFonts w:cs="Times New Roman"/>
                <w:szCs w:val="24"/>
              </w:rPr>
              <w:lastRenderedPageBreak/>
              <w:t>intraocular pressure (IOP), glaucoma, and/or cataracts.</w:t>
            </w:r>
          </w:p>
        </w:tc>
      </w:tr>
      <w:tr w:rsidR="00AA0D47" w:rsidRPr="00E4559C" w14:paraId="115482F1" w14:textId="77777777" w:rsidTr="002D6DD7">
        <w:trPr>
          <w:trHeight w:val="439"/>
        </w:trPr>
        <w:tc>
          <w:tcPr>
            <w:tcW w:w="2605" w:type="dxa"/>
          </w:tcPr>
          <w:p w14:paraId="7B55852D" w14:textId="77777777" w:rsidR="00AA0D47" w:rsidRPr="00A9552B" w:rsidRDefault="00AA0D47" w:rsidP="002D6DD7">
            <w:pPr>
              <w:jc w:val="both"/>
              <w:rPr>
                <w:rFonts w:cs="Times New Roman"/>
                <w:szCs w:val="24"/>
              </w:rPr>
            </w:pPr>
            <w:r w:rsidRPr="00A9552B">
              <w:rPr>
                <w:rFonts w:cs="Times New Roman"/>
                <w:szCs w:val="24"/>
              </w:rPr>
              <w:lastRenderedPageBreak/>
              <w:t>Storage condition</w:t>
            </w:r>
          </w:p>
        </w:tc>
        <w:tc>
          <w:tcPr>
            <w:tcW w:w="6746" w:type="dxa"/>
          </w:tcPr>
          <w:p w14:paraId="1AE2FEC5" w14:textId="77777777" w:rsidR="00AA0D47" w:rsidRPr="00A9552B" w:rsidRDefault="00AA0D47" w:rsidP="002D6DD7">
            <w:pPr>
              <w:jc w:val="both"/>
              <w:rPr>
                <w:rFonts w:cs="Times New Roman"/>
                <w:szCs w:val="24"/>
              </w:rPr>
            </w:pPr>
            <w:r w:rsidRPr="00A9552B">
              <w:rPr>
                <w:rFonts w:cs="Times New Roman"/>
                <w:szCs w:val="24"/>
              </w:rPr>
              <w:t xml:space="preserve">Store </w:t>
            </w:r>
            <w:r>
              <w:rPr>
                <w:rFonts w:cs="Times New Roman"/>
                <w:szCs w:val="24"/>
              </w:rPr>
              <w:t>below 30˚C. P</w:t>
            </w:r>
            <w:r w:rsidRPr="00A9552B">
              <w:rPr>
                <w:rFonts w:cs="Times New Roman"/>
                <w:szCs w:val="24"/>
              </w:rPr>
              <w:t>rotect from light &amp; moisture.</w:t>
            </w:r>
          </w:p>
        </w:tc>
      </w:tr>
      <w:tr w:rsidR="00AA0D47" w:rsidRPr="00E4559C" w14:paraId="3979EDD3" w14:textId="77777777" w:rsidTr="002D6DD7">
        <w:tc>
          <w:tcPr>
            <w:tcW w:w="9351" w:type="dxa"/>
            <w:gridSpan w:val="2"/>
          </w:tcPr>
          <w:p w14:paraId="723013F1" w14:textId="77777777" w:rsidR="00AA0D47" w:rsidRPr="00D76338" w:rsidRDefault="00AA0D47" w:rsidP="002D6DD7">
            <w:pPr>
              <w:jc w:val="both"/>
              <w:rPr>
                <w:rFonts w:cs="Times New Roman"/>
                <w:b/>
                <w:szCs w:val="24"/>
              </w:rPr>
            </w:pPr>
            <w:r w:rsidRPr="00D76338">
              <w:rPr>
                <w:rFonts w:cs="Times New Roman"/>
                <w:b/>
                <w:szCs w:val="24"/>
              </w:rPr>
              <w:t>Hydrogen Peroxide</w:t>
            </w:r>
          </w:p>
        </w:tc>
      </w:tr>
      <w:tr w:rsidR="00AA0D47" w:rsidRPr="00E4559C" w14:paraId="3D67A737" w14:textId="77777777" w:rsidTr="002D6DD7">
        <w:tc>
          <w:tcPr>
            <w:tcW w:w="2605" w:type="dxa"/>
          </w:tcPr>
          <w:p w14:paraId="15A59970"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0CFC12BD" w14:textId="77777777" w:rsidR="00AA0D47" w:rsidRPr="00A9552B" w:rsidRDefault="00AA0D47" w:rsidP="002D6DD7">
            <w:pPr>
              <w:jc w:val="both"/>
              <w:rPr>
                <w:rFonts w:cs="Times New Roman"/>
                <w:szCs w:val="24"/>
              </w:rPr>
            </w:pPr>
            <w:r w:rsidRPr="00A9552B">
              <w:rPr>
                <w:rFonts w:cs="Times New Roman"/>
                <w:szCs w:val="24"/>
              </w:rPr>
              <w:t xml:space="preserve">Antiseptic </w:t>
            </w:r>
          </w:p>
        </w:tc>
      </w:tr>
      <w:tr w:rsidR="00AA0D47" w:rsidRPr="00E4559C" w14:paraId="5A77E2BC" w14:textId="77777777" w:rsidTr="002D6DD7">
        <w:tc>
          <w:tcPr>
            <w:tcW w:w="2605" w:type="dxa"/>
          </w:tcPr>
          <w:p w14:paraId="4C86B88E"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6762F5AD" w14:textId="77777777" w:rsidR="00AA0D47" w:rsidRPr="00A9552B" w:rsidRDefault="00AA0D47" w:rsidP="002D6DD7">
            <w:pPr>
              <w:jc w:val="both"/>
              <w:rPr>
                <w:rFonts w:cs="Times New Roman"/>
                <w:szCs w:val="24"/>
              </w:rPr>
            </w:pPr>
            <w:r w:rsidRPr="00D76338">
              <w:rPr>
                <w:rFonts w:eastAsia="Times New Roman" w:cs="Times New Roman"/>
                <w:szCs w:val="24"/>
              </w:rPr>
              <w:t>Solution, 3% ear drops (stabilized)</w:t>
            </w:r>
          </w:p>
        </w:tc>
      </w:tr>
      <w:tr w:rsidR="00AA0D47" w:rsidRPr="00E4559C" w14:paraId="2B32BB3D" w14:textId="77777777" w:rsidTr="002D6DD7">
        <w:tc>
          <w:tcPr>
            <w:tcW w:w="2605" w:type="dxa"/>
          </w:tcPr>
          <w:p w14:paraId="44422DEC"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39E89897" w14:textId="77777777" w:rsidR="00AA0D47" w:rsidRPr="00A9552B" w:rsidRDefault="00AA0D47" w:rsidP="002D6DD7">
            <w:pPr>
              <w:jc w:val="both"/>
              <w:rPr>
                <w:rFonts w:cs="Times New Roman"/>
                <w:szCs w:val="24"/>
              </w:rPr>
            </w:pPr>
            <w:r w:rsidRPr="00A9552B">
              <w:rPr>
                <w:rFonts w:cs="Times New Roman"/>
                <w:szCs w:val="24"/>
              </w:rPr>
              <w:t>Inflammatory conditions of the external auditory canal and for removal of ear wax</w:t>
            </w:r>
          </w:p>
        </w:tc>
      </w:tr>
      <w:tr w:rsidR="00AA0D47" w:rsidRPr="00E4559C" w14:paraId="1D7DB816" w14:textId="77777777" w:rsidTr="002D6DD7">
        <w:tc>
          <w:tcPr>
            <w:tcW w:w="2605" w:type="dxa"/>
          </w:tcPr>
          <w:p w14:paraId="5445D998"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16B96C2C" w14:textId="77777777" w:rsidR="00AA0D47" w:rsidRPr="00D76338" w:rsidRDefault="00AA0D47" w:rsidP="002D6DD7">
            <w:pPr>
              <w:jc w:val="both"/>
              <w:rPr>
                <w:rFonts w:cs="Times New Roman"/>
                <w:b/>
                <w:szCs w:val="24"/>
              </w:rPr>
            </w:pPr>
            <w:r w:rsidRPr="00D76338">
              <w:rPr>
                <w:rFonts w:cs="Times New Roman"/>
                <w:b/>
                <w:szCs w:val="24"/>
              </w:rPr>
              <w:t>Pediatric and adult</w:t>
            </w:r>
          </w:p>
          <w:p w14:paraId="62778031" w14:textId="77777777" w:rsidR="00AA0D47" w:rsidRPr="00A9552B" w:rsidRDefault="00AA0D47" w:rsidP="002D6DD7">
            <w:pPr>
              <w:jc w:val="both"/>
              <w:rPr>
                <w:rFonts w:cs="Times New Roman"/>
                <w:szCs w:val="24"/>
              </w:rPr>
            </w:pPr>
            <w:r w:rsidRPr="00A9552B">
              <w:rPr>
                <w:rFonts w:cs="Times New Roman"/>
                <w:szCs w:val="24"/>
              </w:rPr>
              <w:t>Outer ear (patient</w:t>
            </w:r>
            <w:r>
              <w:rPr>
                <w:rFonts w:cs="Times New Roman"/>
                <w:szCs w:val="24"/>
              </w:rPr>
              <w:t xml:space="preserve"> should lie down on their side),</w:t>
            </w:r>
            <w:r w:rsidRPr="00A9552B">
              <w:rPr>
                <w:rFonts w:cs="Times New Roman"/>
                <w:szCs w:val="24"/>
              </w:rPr>
              <w:t xml:space="preserve"> administer the instructed number of drops into the e</w:t>
            </w:r>
            <w:r>
              <w:rPr>
                <w:rFonts w:cs="Times New Roman"/>
                <w:szCs w:val="24"/>
              </w:rPr>
              <w:t>ar canal and fill it with fluid,</w:t>
            </w:r>
            <w:r w:rsidRPr="00A9552B">
              <w:rPr>
                <w:rFonts w:cs="Times New Roman"/>
                <w:szCs w:val="24"/>
              </w:rPr>
              <w:t xml:space="preserve"> keep still for 5 minutes; sit up after 5 minutes and blot the outer ear with a tissue to abs</w:t>
            </w:r>
            <w:r>
              <w:rPr>
                <w:rFonts w:cs="Times New Roman"/>
                <w:szCs w:val="24"/>
              </w:rPr>
              <w:t>orb any liquid that comes out,</w:t>
            </w:r>
            <w:r w:rsidRPr="00A9552B">
              <w:rPr>
                <w:rFonts w:cs="Times New Roman"/>
                <w:szCs w:val="24"/>
              </w:rPr>
              <w:t xml:space="preserve"> repeat for the other ear</w:t>
            </w:r>
          </w:p>
        </w:tc>
      </w:tr>
      <w:tr w:rsidR="00AA0D47" w:rsidRPr="00E4559C" w14:paraId="5238C551" w14:textId="77777777" w:rsidTr="002D6DD7">
        <w:tc>
          <w:tcPr>
            <w:tcW w:w="2605" w:type="dxa"/>
          </w:tcPr>
          <w:p w14:paraId="7B0BE720"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12AEAD3D" w14:textId="77777777" w:rsidR="00AA0D47" w:rsidRPr="00A9552B" w:rsidRDefault="00AA0D47" w:rsidP="002D6DD7">
            <w:pPr>
              <w:jc w:val="both"/>
              <w:rPr>
                <w:rFonts w:cs="Times New Roman"/>
                <w:szCs w:val="24"/>
              </w:rPr>
            </w:pPr>
            <w:r>
              <w:rPr>
                <w:rFonts w:cs="Times New Roman"/>
                <w:szCs w:val="24"/>
              </w:rPr>
              <w:t>No absolute contraindication</w:t>
            </w:r>
          </w:p>
        </w:tc>
      </w:tr>
      <w:tr w:rsidR="00AA0D47" w:rsidRPr="00E4559C" w14:paraId="03E77EC0" w14:textId="77777777" w:rsidTr="002D6DD7">
        <w:tc>
          <w:tcPr>
            <w:tcW w:w="2605" w:type="dxa"/>
          </w:tcPr>
          <w:p w14:paraId="66F68B31"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1B46BDAE" w14:textId="77777777" w:rsidR="00AA0D47" w:rsidRPr="00A9552B" w:rsidRDefault="00AA0D47" w:rsidP="002D6DD7">
            <w:pPr>
              <w:jc w:val="both"/>
              <w:rPr>
                <w:rFonts w:cs="Times New Roman"/>
                <w:szCs w:val="24"/>
              </w:rPr>
            </w:pPr>
            <w:r>
              <w:rPr>
                <w:rFonts w:cs="Times New Roman"/>
                <w:szCs w:val="24"/>
              </w:rPr>
              <w:t>There are n</w:t>
            </w:r>
            <w:r w:rsidRPr="00A9552B">
              <w:rPr>
                <w:rFonts w:cs="Times New Roman"/>
                <w:szCs w:val="24"/>
              </w:rPr>
              <w:t xml:space="preserve">o known </w:t>
            </w:r>
            <w:r>
              <w:rPr>
                <w:rFonts w:cs="Times New Roman"/>
                <w:szCs w:val="24"/>
              </w:rPr>
              <w:t xml:space="preserve">significant drug </w:t>
            </w:r>
            <w:r w:rsidRPr="00A9552B">
              <w:rPr>
                <w:rFonts w:cs="Times New Roman"/>
                <w:szCs w:val="24"/>
              </w:rPr>
              <w:t>interactions.</w:t>
            </w:r>
          </w:p>
        </w:tc>
      </w:tr>
      <w:tr w:rsidR="00AA0D47" w:rsidRPr="00E4559C" w14:paraId="1DEEE2CC" w14:textId="77777777" w:rsidTr="002D6DD7">
        <w:tc>
          <w:tcPr>
            <w:tcW w:w="2605" w:type="dxa"/>
          </w:tcPr>
          <w:p w14:paraId="62F64A9D"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1D995216" w14:textId="77777777" w:rsidR="00AA0D47" w:rsidRPr="00A9552B" w:rsidRDefault="00AA0D47" w:rsidP="002D6DD7">
            <w:pPr>
              <w:jc w:val="both"/>
              <w:rPr>
                <w:rFonts w:cs="Times New Roman"/>
                <w:szCs w:val="24"/>
              </w:rPr>
            </w:pPr>
            <w:r w:rsidRPr="00A9552B">
              <w:rPr>
                <w:rFonts w:cs="Times New Roman"/>
                <w:szCs w:val="24"/>
              </w:rPr>
              <w:t>Redness, stinging, irritation.</w:t>
            </w:r>
          </w:p>
        </w:tc>
      </w:tr>
      <w:tr w:rsidR="00AA0D47" w:rsidRPr="00E4559C" w14:paraId="01E6CF8F" w14:textId="77777777" w:rsidTr="002D6DD7">
        <w:tc>
          <w:tcPr>
            <w:tcW w:w="2605" w:type="dxa"/>
          </w:tcPr>
          <w:p w14:paraId="707F668D"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628E2323" w14:textId="77777777" w:rsidR="00AA0D47" w:rsidRPr="00D76338" w:rsidRDefault="00AA0D47" w:rsidP="002D6DD7">
            <w:pPr>
              <w:jc w:val="both"/>
              <w:rPr>
                <w:rFonts w:eastAsia="Times New Roman" w:cs="Times New Roman"/>
                <w:szCs w:val="24"/>
                <w:lang w:eastAsia="en-GB"/>
              </w:rPr>
            </w:pPr>
            <w:r w:rsidRPr="00D76338">
              <w:rPr>
                <w:rFonts w:eastAsia="Times New Roman" w:cs="Times New Roman"/>
                <w:szCs w:val="24"/>
                <w:lang w:eastAsia="en-GB"/>
              </w:rPr>
              <w:t>Avoid eye exposure and if accidental exposure occurs, flush eyes with water for 15-30 minutes and initiate monitoring and further evaluation as appropriate.</w:t>
            </w:r>
          </w:p>
        </w:tc>
      </w:tr>
      <w:tr w:rsidR="00AA0D47" w:rsidRPr="00E4559C" w14:paraId="6BE05060" w14:textId="77777777" w:rsidTr="002D6DD7">
        <w:tc>
          <w:tcPr>
            <w:tcW w:w="2605" w:type="dxa"/>
          </w:tcPr>
          <w:p w14:paraId="0EB54C43"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5C3B595E" w14:textId="77777777" w:rsidR="00AA0D47" w:rsidRPr="00A9552B" w:rsidRDefault="00AA0D47" w:rsidP="002D6DD7">
            <w:pPr>
              <w:jc w:val="both"/>
              <w:rPr>
                <w:rFonts w:cs="Times New Roman"/>
                <w:szCs w:val="24"/>
              </w:rPr>
            </w:pPr>
            <w:r>
              <w:rPr>
                <w:rFonts w:cs="Times New Roman"/>
                <w:szCs w:val="24"/>
              </w:rPr>
              <w:t>Store between 20</w:t>
            </w:r>
            <w:r w:rsidRPr="00A9552B">
              <w:rPr>
                <w:rFonts w:cs="Times New Roman"/>
                <w:szCs w:val="24"/>
              </w:rPr>
              <w:t>°C</w:t>
            </w:r>
            <w:r>
              <w:rPr>
                <w:rFonts w:cs="Times New Roman"/>
                <w:szCs w:val="24"/>
              </w:rPr>
              <w:t xml:space="preserve"> and 30</w:t>
            </w:r>
            <w:r w:rsidRPr="00A9552B">
              <w:rPr>
                <w:rFonts w:cs="Times New Roman"/>
                <w:szCs w:val="24"/>
              </w:rPr>
              <w:t>°C.</w:t>
            </w:r>
          </w:p>
        </w:tc>
      </w:tr>
      <w:tr w:rsidR="00AA0D47" w:rsidRPr="00E4559C" w14:paraId="7F6B600C" w14:textId="77777777" w:rsidTr="002D6DD7">
        <w:trPr>
          <w:trHeight w:val="441"/>
        </w:trPr>
        <w:tc>
          <w:tcPr>
            <w:tcW w:w="9351" w:type="dxa"/>
            <w:gridSpan w:val="2"/>
          </w:tcPr>
          <w:p w14:paraId="17785BED" w14:textId="77777777" w:rsidR="00AA0D47" w:rsidRPr="00D76338" w:rsidRDefault="00AA0D47" w:rsidP="002D6DD7">
            <w:pPr>
              <w:jc w:val="both"/>
              <w:rPr>
                <w:rFonts w:cs="Times New Roman"/>
                <w:b/>
                <w:szCs w:val="24"/>
              </w:rPr>
            </w:pPr>
            <w:r w:rsidRPr="00D76338">
              <w:rPr>
                <w:rFonts w:cs="Times New Roman"/>
                <w:b/>
                <w:szCs w:val="24"/>
              </w:rPr>
              <w:t>Lidocaine Hydrochloride</w:t>
            </w:r>
          </w:p>
        </w:tc>
      </w:tr>
      <w:tr w:rsidR="00AA0D47" w:rsidRPr="00E4559C" w14:paraId="12F1B928" w14:textId="77777777" w:rsidTr="002D6DD7">
        <w:tc>
          <w:tcPr>
            <w:tcW w:w="2605" w:type="dxa"/>
          </w:tcPr>
          <w:p w14:paraId="55509B1A"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105B2045" w14:textId="77777777" w:rsidR="00AA0D47" w:rsidRPr="00D76338" w:rsidRDefault="00AA0D47" w:rsidP="002D6DD7">
            <w:pPr>
              <w:jc w:val="both"/>
              <w:rPr>
                <w:rFonts w:cs="Times New Roman"/>
                <w:b/>
                <w:szCs w:val="24"/>
              </w:rPr>
            </w:pPr>
            <w:r w:rsidRPr="00D76338">
              <w:rPr>
                <w:rStyle w:val="Strong"/>
                <w:rFonts w:cs="Times New Roman"/>
                <w:b w:val="0"/>
                <w:szCs w:val="24"/>
                <w:shd w:val="clear" w:color="auto" w:fill="FFFFFF"/>
              </w:rPr>
              <w:t xml:space="preserve">Local anaesthetic </w:t>
            </w:r>
          </w:p>
        </w:tc>
      </w:tr>
      <w:tr w:rsidR="00AA0D47" w:rsidRPr="00E4559C" w14:paraId="19D43FDB" w14:textId="77777777" w:rsidTr="002D6DD7">
        <w:tc>
          <w:tcPr>
            <w:tcW w:w="2605" w:type="dxa"/>
          </w:tcPr>
          <w:p w14:paraId="5E58EEF3"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14D3BBB1" w14:textId="77777777" w:rsidR="00AA0D47" w:rsidRPr="00A9552B" w:rsidRDefault="00AA0D47" w:rsidP="002D6DD7">
            <w:pPr>
              <w:jc w:val="both"/>
              <w:rPr>
                <w:rFonts w:cs="Times New Roman"/>
                <w:szCs w:val="24"/>
              </w:rPr>
            </w:pPr>
            <w:r w:rsidRPr="00D76338">
              <w:rPr>
                <w:rFonts w:eastAsia="Times New Roman" w:cs="Times New Roman"/>
                <w:szCs w:val="24"/>
              </w:rPr>
              <w:t>Oro-mucosal spray: 4%</w:t>
            </w:r>
          </w:p>
        </w:tc>
      </w:tr>
      <w:tr w:rsidR="00AA0D47" w:rsidRPr="00E4559C" w14:paraId="7F02FE03" w14:textId="77777777" w:rsidTr="002D6DD7">
        <w:tc>
          <w:tcPr>
            <w:tcW w:w="2605" w:type="dxa"/>
          </w:tcPr>
          <w:p w14:paraId="7EA28421"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3BB3E272" w14:textId="77777777" w:rsidR="00AA0D47" w:rsidRPr="00A9552B" w:rsidRDefault="00AA0D47" w:rsidP="002D6DD7">
            <w:pPr>
              <w:jc w:val="both"/>
              <w:rPr>
                <w:rFonts w:cs="Times New Roman"/>
                <w:szCs w:val="24"/>
              </w:rPr>
            </w:pPr>
            <w:r w:rsidRPr="00A9552B">
              <w:rPr>
                <w:rFonts w:cs="Times New Roman"/>
                <w:szCs w:val="24"/>
              </w:rPr>
              <w:t>Bronchoscopy, la</w:t>
            </w:r>
            <w:r>
              <w:rPr>
                <w:rFonts w:cs="Times New Roman"/>
                <w:szCs w:val="24"/>
              </w:rPr>
              <w:t xml:space="preserve">ryngoscopy, </w:t>
            </w:r>
            <w:r w:rsidRPr="00A9552B">
              <w:rPr>
                <w:rFonts w:cs="Times New Roman"/>
                <w:szCs w:val="24"/>
              </w:rPr>
              <w:t xml:space="preserve">esophagoscopy and endotracheal intubation: </w:t>
            </w:r>
          </w:p>
        </w:tc>
      </w:tr>
      <w:tr w:rsidR="00AA0D47" w:rsidRPr="00E4559C" w14:paraId="0D3A0E4B" w14:textId="77777777" w:rsidTr="002D6DD7">
        <w:trPr>
          <w:trHeight w:val="501"/>
        </w:trPr>
        <w:tc>
          <w:tcPr>
            <w:tcW w:w="2605" w:type="dxa"/>
          </w:tcPr>
          <w:p w14:paraId="30D7A7AF"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5C48C24F" w14:textId="77777777" w:rsidR="00AA0D47" w:rsidRPr="00D76338" w:rsidRDefault="00AA0D47" w:rsidP="002D6DD7">
            <w:pPr>
              <w:jc w:val="both"/>
              <w:rPr>
                <w:rFonts w:cs="Times New Roman"/>
                <w:b/>
                <w:szCs w:val="24"/>
              </w:rPr>
            </w:pPr>
            <w:r w:rsidRPr="00A9552B">
              <w:rPr>
                <w:rFonts w:cs="Times New Roman"/>
                <w:b/>
                <w:szCs w:val="24"/>
              </w:rPr>
              <w:t>Pediatric</w:t>
            </w:r>
            <w:r w:rsidRPr="00D76338">
              <w:rPr>
                <w:rFonts w:cs="Times New Roman"/>
                <w:b/>
                <w:szCs w:val="24"/>
              </w:rPr>
              <w:t xml:space="preserve"> and adult</w:t>
            </w:r>
          </w:p>
          <w:p w14:paraId="6E533374" w14:textId="77777777" w:rsidR="00AA0D47" w:rsidRPr="00A9552B" w:rsidRDefault="00AA0D47" w:rsidP="002D6DD7">
            <w:pPr>
              <w:jc w:val="both"/>
              <w:rPr>
                <w:rFonts w:cs="Times New Roman"/>
                <w:szCs w:val="24"/>
              </w:rPr>
            </w:pPr>
            <w:r>
              <w:rPr>
                <w:rFonts w:cs="Times New Roman"/>
                <w:b/>
                <w:szCs w:val="24"/>
              </w:rPr>
              <w:t xml:space="preserve">Bronchoscopy, laryngoscopy, </w:t>
            </w:r>
            <w:r w:rsidRPr="00D76338">
              <w:rPr>
                <w:rFonts w:cs="Times New Roman"/>
                <w:b/>
                <w:szCs w:val="24"/>
              </w:rPr>
              <w:t>esophagoscopy and endotracheal intubation:</w:t>
            </w:r>
            <w:r w:rsidRPr="00A9552B">
              <w:rPr>
                <w:rFonts w:cs="Times New Roman"/>
                <w:szCs w:val="24"/>
              </w:rPr>
              <w:t xml:space="preserve"> Up to 20 doses</w:t>
            </w:r>
          </w:p>
          <w:p w14:paraId="08E9D26B" w14:textId="77777777" w:rsidR="00AA0D47" w:rsidRPr="00A9552B" w:rsidRDefault="00AA0D47" w:rsidP="002D6DD7">
            <w:pPr>
              <w:jc w:val="both"/>
              <w:rPr>
                <w:rFonts w:cs="Times New Roman"/>
                <w:szCs w:val="24"/>
              </w:rPr>
            </w:pPr>
            <w:r w:rsidRPr="00D76338">
              <w:rPr>
                <w:rFonts w:cs="Times New Roman"/>
                <w:b/>
                <w:szCs w:val="24"/>
              </w:rPr>
              <w:t>Maxillary sinus puncture:</w:t>
            </w:r>
            <w:r w:rsidRPr="00A9552B">
              <w:rPr>
                <w:rFonts w:cs="Times New Roman"/>
                <w:szCs w:val="24"/>
              </w:rPr>
              <w:t xml:space="preserve"> 3 doses</w:t>
            </w:r>
          </w:p>
        </w:tc>
      </w:tr>
      <w:tr w:rsidR="00AA0D47" w:rsidRPr="00E4559C" w14:paraId="323918D5" w14:textId="77777777" w:rsidTr="002D6DD7">
        <w:tc>
          <w:tcPr>
            <w:tcW w:w="2605" w:type="dxa"/>
          </w:tcPr>
          <w:p w14:paraId="0743084D"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31A2162A" w14:textId="77777777" w:rsidR="00AA0D47" w:rsidRPr="00A9552B" w:rsidRDefault="00AA0D47" w:rsidP="002D6DD7">
            <w:pPr>
              <w:jc w:val="both"/>
              <w:rPr>
                <w:rFonts w:cs="Times New Roman"/>
                <w:szCs w:val="24"/>
              </w:rPr>
            </w:pPr>
            <w:r w:rsidRPr="00A9552B">
              <w:rPr>
                <w:rFonts w:cs="Times New Roman"/>
                <w:szCs w:val="24"/>
              </w:rPr>
              <w:t>Adjacent skin infection, inflamed skin</w:t>
            </w:r>
          </w:p>
        </w:tc>
      </w:tr>
      <w:tr w:rsidR="00AA0D47" w:rsidRPr="00E4559C" w14:paraId="4A7A874F" w14:textId="77777777" w:rsidTr="002D6DD7">
        <w:tc>
          <w:tcPr>
            <w:tcW w:w="2605" w:type="dxa"/>
          </w:tcPr>
          <w:p w14:paraId="537A7978" w14:textId="77777777" w:rsidR="00AA0D47" w:rsidRPr="00A9552B" w:rsidRDefault="00AA0D47" w:rsidP="002D6DD7">
            <w:pPr>
              <w:jc w:val="both"/>
              <w:rPr>
                <w:rFonts w:cs="Times New Roman"/>
                <w:szCs w:val="24"/>
              </w:rPr>
            </w:pPr>
            <w:r w:rsidRPr="00A9552B">
              <w:rPr>
                <w:rFonts w:cs="Times New Roman"/>
                <w:szCs w:val="24"/>
              </w:rPr>
              <w:lastRenderedPageBreak/>
              <w:t>Drug interactions</w:t>
            </w:r>
          </w:p>
        </w:tc>
        <w:tc>
          <w:tcPr>
            <w:tcW w:w="6746" w:type="dxa"/>
          </w:tcPr>
          <w:p w14:paraId="1C92E57C" w14:textId="77777777" w:rsidR="00AA0D47" w:rsidRPr="00A9552B" w:rsidRDefault="00AA0D47" w:rsidP="002D6DD7">
            <w:pPr>
              <w:jc w:val="both"/>
              <w:rPr>
                <w:rFonts w:cs="Times New Roman"/>
                <w:szCs w:val="24"/>
              </w:rPr>
            </w:pPr>
            <w:r>
              <w:rPr>
                <w:rFonts w:cs="Times New Roman"/>
                <w:szCs w:val="24"/>
              </w:rPr>
              <w:t xml:space="preserve">There </w:t>
            </w:r>
            <w:r w:rsidR="00EB59BD">
              <w:rPr>
                <w:rFonts w:cs="Times New Roman"/>
                <w:szCs w:val="24"/>
              </w:rPr>
              <w:t>is</w:t>
            </w:r>
            <w:r>
              <w:rPr>
                <w:rFonts w:cs="Times New Roman"/>
                <w:szCs w:val="24"/>
              </w:rPr>
              <w:t xml:space="preserve"> n</w:t>
            </w:r>
            <w:r w:rsidRPr="00A9552B">
              <w:rPr>
                <w:rFonts w:cs="Times New Roman"/>
                <w:szCs w:val="24"/>
              </w:rPr>
              <w:t>o significant drug interaction.</w:t>
            </w:r>
          </w:p>
        </w:tc>
      </w:tr>
      <w:tr w:rsidR="00AA0D47" w:rsidRPr="00E4559C" w14:paraId="49CDF087" w14:textId="77777777" w:rsidTr="002D6DD7">
        <w:tc>
          <w:tcPr>
            <w:tcW w:w="2605" w:type="dxa"/>
          </w:tcPr>
          <w:p w14:paraId="59A5C38E"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74C00F7" w14:textId="77777777" w:rsidR="00AA0D47" w:rsidRPr="00A9552B" w:rsidRDefault="00AA0D47" w:rsidP="002D6DD7">
            <w:pPr>
              <w:jc w:val="both"/>
              <w:rPr>
                <w:rFonts w:cs="Times New Roman"/>
                <w:szCs w:val="24"/>
              </w:rPr>
            </w:pPr>
            <w:r w:rsidRPr="00A9552B">
              <w:rPr>
                <w:rFonts w:cs="Times New Roman"/>
                <w:szCs w:val="24"/>
              </w:rPr>
              <w:t>Dizziness,</w:t>
            </w:r>
            <w:r w:rsidRPr="00A9552B">
              <w:rPr>
                <w:rFonts w:cs="Times New Roman"/>
                <w:spacing w:val="1"/>
                <w:szCs w:val="24"/>
              </w:rPr>
              <w:t xml:space="preserve"> </w:t>
            </w:r>
            <w:r w:rsidRPr="00A9552B">
              <w:rPr>
                <w:rFonts w:cs="Times New Roman"/>
                <w:szCs w:val="24"/>
              </w:rPr>
              <w:t>allergic reaction, drowsiness, mental changes, mild nausea.</w:t>
            </w:r>
          </w:p>
        </w:tc>
      </w:tr>
      <w:tr w:rsidR="00AA0D47" w:rsidRPr="00E4559C" w14:paraId="560DE2E7" w14:textId="77777777" w:rsidTr="002D6DD7">
        <w:tc>
          <w:tcPr>
            <w:tcW w:w="2605" w:type="dxa"/>
          </w:tcPr>
          <w:p w14:paraId="7C913AFD"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6A90F4D8" w14:textId="77777777" w:rsidR="00AA0D47" w:rsidRPr="00A9552B" w:rsidRDefault="00AA0D47" w:rsidP="002D6DD7">
            <w:pPr>
              <w:jc w:val="both"/>
              <w:rPr>
                <w:rFonts w:cs="Times New Roman"/>
                <w:szCs w:val="24"/>
              </w:rPr>
            </w:pPr>
            <w:r w:rsidRPr="00A9552B">
              <w:rPr>
                <w:rFonts w:cs="Times New Roman"/>
                <w:szCs w:val="24"/>
              </w:rPr>
              <w:t>Avoid anesthesia of the pharynx before meals.</w:t>
            </w:r>
          </w:p>
        </w:tc>
      </w:tr>
      <w:tr w:rsidR="00AA0D47" w:rsidRPr="00E4559C" w14:paraId="43E8D310" w14:textId="77777777" w:rsidTr="002D6DD7">
        <w:tc>
          <w:tcPr>
            <w:tcW w:w="2605" w:type="dxa"/>
          </w:tcPr>
          <w:p w14:paraId="6DC688FD"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74824047" w14:textId="77777777" w:rsidR="00AA0D47" w:rsidRPr="00A9552B" w:rsidRDefault="00AA0D47" w:rsidP="002D6DD7">
            <w:pPr>
              <w:jc w:val="both"/>
              <w:rPr>
                <w:rFonts w:cs="Times New Roman"/>
                <w:szCs w:val="24"/>
              </w:rPr>
            </w:pPr>
            <w:r>
              <w:rPr>
                <w:rFonts w:cs="Times New Roman"/>
                <w:szCs w:val="24"/>
              </w:rPr>
              <w:t>Store below 30</w:t>
            </w:r>
            <w:r w:rsidRPr="00A9552B">
              <w:rPr>
                <w:rFonts w:cs="Times New Roman"/>
                <w:szCs w:val="24"/>
              </w:rPr>
              <w:t>ºC. Protect from light.</w:t>
            </w:r>
          </w:p>
        </w:tc>
      </w:tr>
      <w:tr w:rsidR="00AA0D47" w:rsidRPr="00E4559C" w14:paraId="541D37AB" w14:textId="77777777" w:rsidTr="002D6DD7">
        <w:tc>
          <w:tcPr>
            <w:tcW w:w="9351" w:type="dxa"/>
            <w:gridSpan w:val="2"/>
          </w:tcPr>
          <w:p w14:paraId="55F5DC9C" w14:textId="77777777" w:rsidR="00AA0D47" w:rsidRPr="00D76338" w:rsidRDefault="00AA0D47" w:rsidP="002D6DD7">
            <w:pPr>
              <w:jc w:val="both"/>
              <w:rPr>
                <w:rFonts w:cs="Times New Roman"/>
                <w:b/>
                <w:szCs w:val="24"/>
              </w:rPr>
            </w:pPr>
            <w:r w:rsidRPr="00D76338">
              <w:rPr>
                <w:rFonts w:cs="Times New Roman"/>
                <w:b/>
                <w:szCs w:val="24"/>
              </w:rPr>
              <w:t>Miconazole</w:t>
            </w:r>
          </w:p>
        </w:tc>
      </w:tr>
      <w:tr w:rsidR="00AA0D47" w:rsidRPr="00E4559C" w14:paraId="161212BF" w14:textId="77777777" w:rsidTr="002D6DD7">
        <w:tc>
          <w:tcPr>
            <w:tcW w:w="2605" w:type="dxa"/>
          </w:tcPr>
          <w:p w14:paraId="7FED83A4"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55E039B1" w14:textId="77777777" w:rsidR="00AA0D47" w:rsidRPr="00A9552B" w:rsidRDefault="00AA0D47" w:rsidP="002D6DD7">
            <w:pPr>
              <w:jc w:val="both"/>
              <w:rPr>
                <w:rFonts w:cs="Times New Roman"/>
                <w:szCs w:val="24"/>
              </w:rPr>
            </w:pPr>
            <w:r>
              <w:rPr>
                <w:rFonts w:cs="Times New Roman"/>
                <w:szCs w:val="24"/>
              </w:rPr>
              <w:t>Antifungal</w:t>
            </w:r>
          </w:p>
        </w:tc>
      </w:tr>
      <w:tr w:rsidR="00AA0D47" w:rsidRPr="00E4559C" w14:paraId="182DBED1" w14:textId="77777777" w:rsidTr="002D6DD7">
        <w:tc>
          <w:tcPr>
            <w:tcW w:w="2605" w:type="dxa"/>
          </w:tcPr>
          <w:p w14:paraId="4E65DBE3"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34B17DA4" w14:textId="77777777" w:rsidR="00AA0D47" w:rsidRPr="00A9552B" w:rsidRDefault="00AA0D47" w:rsidP="002D6DD7">
            <w:pPr>
              <w:jc w:val="both"/>
              <w:rPr>
                <w:rFonts w:cs="Times New Roman"/>
                <w:szCs w:val="24"/>
              </w:rPr>
            </w:pPr>
            <w:r w:rsidRPr="00D76338">
              <w:rPr>
                <w:rFonts w:eastAsia="Times New Roman" w:cs="Times New Roman"/>
                <w:szCs w:val="24"/>
              </w:rPr>
              <w:t>Oral gel: 25mg/</w:t>
            </w:r>
            <w:r>
              <w:rPr>
                <w:rFonts w:eastAsia="Times New Roman" w:cs="Times New Roman"/>
                <w:szCs w:val="24"/>
              </w:rPr>
              <w:t>ml</w:t>
            </w:r>
          </w:p>
        </w:tc>
      </w:tr>
      <w:tr w:rsidR="00AA0D47" w:rsidRPr="00E4559C" w14:paraId="4DE053D1" w14:textId="77777777" w:rsidTr="002D6DD7">
        <w:tc>
          <w:tcPr>
            <w:tcW w:w="2605" w:type="dxa"/>
          </w:tcPr>
          <w:p w14:paraId="2DFE2148"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094F9A55" w14:textId="77777777" w:rsidR="00AA0D47" w:rsidRPr="00A9552B" w:rsidRDefault="00AA0D47" w:rsidP="002D6DD7">
            <w:pPr>
              <w:jc w:val="both"/>
              <w:rPr>
                <w:rFonts w:cs="Times New Roman"/>
                <w:szCs w:val="24"/>
              </w:rPr>
            </w:pPr>
            <w:r>
              <w:rPr>
                <w:rFonts w:cs="Times New Roman"/>
                <w:szCs w:val="24"/>
              </w:rPr>
              <w:t>Oral candidiasis</w:t>
            </w:r>
          </w:p>
        </w:tc>
      </w:tr>
      <w:tr w:rsidR="00AA0D47" w:rsidRPr="00E4559C" w14:paraId="6CF4FCF8" w14:textId="77777777" w:rsidTr="002D6DD7">
        <w:tc>
          <w:tcPr>
            <w:tcW w:w="2605" w:type="dxa"/>
          </w:tcPr>
          <w:p w14:paraId="31FC67D2"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3B27B689" w14:textId="77777777" w:rsidR="00AA0D47" w:rsidRPr="00A9552B" w:rsidRDefault="00AA0D47" w:rsidP="002D6DD7">
            <w:pPr>
              <w:jc w:val="both"/>
              <w:rPr>
                <w:rFonts w:cs="Times New Roman"/>
                <w:szCs w:val="24"/>
              </w:rPr>
            </w:pPr>
            <w:r w:rsidRPr="00D76338">
              <w:rPr>
                <w:rFonts w:cs="Times New Roman"/>
                <w:b/>
                <w:szCs w:val="24"/>
              </w:rPr>
              <w:t>Oral candidiasis:</w:t>
            </w:r>
            <w:r w:rsidRPr="00A9552B">
              <w:rPr>
                <w:rFonts w:cs="Times New Roman"/>
                <w:szCs w:val="24"/>
              </w:rPr>
              <w:t xml:space="preserve"> orally using oral gel</w:t>
            </w:r>
          </w:p>
          <w:p w14:paraId="7D92780A" w14:textId="77777777" w:rsidR="00AA0D47" w:rsidRPr="00A9552B" w:rsidRDefault="00AA0D47" w:rsidP="002D6DD7">
            <w:pPr>
              <w:jc w:val="both"/>
              <w:rPr>
                <w:rFonts w:cs="Times New Roman"/>
                <w:szCs w:val="24"/>
              </w:rPr>
            </w:pPr>
            <w:r w:rsidRPr="00D76338">
              <w:rPr>
                <w:rFonts w:cs="Times New Roman"/>
                <w:b/>
                <w:szCs w:val="24"/>
              </w:rPr>
              <w:t>Child 4–23 months:</w:t>
            </w:r>
            <w:r w:rsidRPr="00A9552B">
              <w:rPr>
                <w:rFonts w:cs="Times New Roman"/>
                <w:szCs w:val="24"/>
              </w:rPr>
              <w:t xml:space="preserve"> 1.25 </w:t>
            </w:r>
            <w:r>
              <w:rPr>
                <w:rFonts w:cs="Times New Roman"/>
                <w:szCs w:val="24"/>
              </w:rPr>
              <w:t>ml</w:t>
            </w:r>
            <w:r w:rsidRPr="00A9552B">
              <w:rPr>
                <w:rFonts w:cs="Times New Roman"/>
                <w:szCs w:val="24"/>
              </w:rPr>
              <w:t xml:space="preserve"> 4 times a day.</w:t>
            </w:r>
          </w:p>
          <w:p w14:paraId="77140267" w14:textId="77777777" w:rsidR="00AA0D47" w:rsidRPr="00A9552B" w:rsidRDefault="00AA0D47" w:rsidP="002D6DD7">
            <w:pPr>
              <w:jc w:val="both"/>
              <w:rPr>
                <w:rFonts w:cs="Times New Roman"/>
                <w:szCs w:val="24"/>
              </w:rPr>
            </w:pPr>
            <w:r w:rsidRPr="00D76338">
              <w:rPr>
                <w:rFonts w:cs="Times New Roman"/>
                <w:b/>
                <w:szCs w:val="24"/>
              </w:rPr>
              <w:t>Child 2–17 years:</w:t>
            </w:r>
            <w:r w:rsidRPr="00A9552B">
              <w:rPr>
                <w:rFonts w:cs="Times New Roman"/>
                <w:szCs w:val="24"/>
              </w:rPr>
              <w:t xml:space="preserve"> 2.5 </w:t>
            </w:r>
            <w:r>
              <w:rPr>
                <w:rFonts w:cs="Times New Roman"/>
                <w:szCs w:val="24"/>
              </w:rPr>
              <w:t>ml</w:t>
            </w:r>
            <w:r w:rsidRPr="00A9552B">
              <w:rPr>
                <w:rFonts w:cs="Times New Roman"/>
                <w:szCs w:val="24"/>
              </w:rPr>
              <w:t xml:space="preserve"> 4 times a day</w:t>
            </w:r>
          </w:p>
          <w:p w14:paraId="55AD237A" w14:textId="77777777" w:rsidR="00AA0D47" w:rsidRPr="00A9552B" w:rsidRDefault="00AA0D47" w:rsidP="002D6DD7">
            <w:pPr>
              <w:jc w:val="both"/>
              <w:rPr>
                <w:rFonts w:cs="Times New Roman"/>
                <w:szCs w:val="24"/>
              </w:rPr>
            </w:pPr>
            <w:r w:rsidRPr="00D76338">
              <w:rPr>
                <w:rFonts w:cs="Times New Roman"/>
                <w:b/>
                <w:szCs w:val="24"/>
              </w:rPr>
              <w:t>Adult:</w:t>
            </w:r>
            <w:r w:rsidRPr="00A9552B">
              <w:rPr>
                <w:rFonts w:cs="Times New Roman"/>
                <w:szCs w:val="24"/>
              </w:rPr>
              <w:t xml:space="preserve"> 2.5 </w:t>
            </w:r>
            <w:r>
              <w:rPr>
                <w:rFonts w:cs="Times New Roman"/>
                <w:szCs w:val="24"/>
              </w:rPr>
              <w:t>ml</w:t>
            </w:r>
            <w:r w:rsidRPr="00A9552B">
              <w:rPr>
                <w:rFonts w:cs="Times New Roman"/>
                <w:szCs w:val="24"/>
              </w:rPr>
              <w:t xml:space="preserve"> 4 times a day. </w:t>
            </w:r>
          </w:p>
          <w:p w14:paraId="6E36D51C" w14:textId="77777777" w:rsidR="00AA0D47" w:rsidRPr="00A9552B" w:rsidRDefault="00AA0D47" w:rsidP="002D6DD7">
            <w:pPr>
              <w:jc w:val="both"/>
              <w:rPr>
                <w:rFonts w:cs="Times New Roman"/>
                <w:szCs w:val="24"/>
              </w:rPr>
            </w:pPr>
            <w:r w:rsidRPr="00A9552B">
              <w:rPr>
                <w:rFonts w:cs="Times New Roman"/>
                <w:szCs w:val="24"/>
              </w:rPr>
              <w:t>In all age group treatment should be continued for at least 7 days after lesions have healed or symptoms have cleared, to be smeared around the inside of the oral after feed and retain near oral lesions before swallowing (dental prostheses and orthodontic appliances should be removed at night and brushed with gel).</w:t>
            </w:r>
          </w:p>
          <w:p w14:paraId="489A928D" w14:textId="77777777" w:rsidR="00AA0D47" w:rsidRPr="00A9552B" w:rsidRDefault="00AA0D47" w:rsidP="002D6DD7">
            <w:pPr>
              <w:jc w:val="both"/>
              <w:rPr>
                <w:rFonts w:cs="Times New Roman"/>
                <w:szCs w:val="24"/>
              </w:rPr>
            </w:pPr>
            <w:r w:rsidRPr="00A9552B">
              <w:rPr>
                <w:rFonts w:cs="Times New Roman"/>
                <w:bCs/>
                <w:szCs w:val="24"/>
              </w:rPr>
              <w:t>Dose equivalence and conversion:</w:t>
            </w:r>
            <w:r w:rsidRPr="00A9552B">
              <w:rPr>
                <w:rFonts w:cs="Times New Roman"/>
                <w:szCs w:val="24"/>
              </w:rPr>
              <w:t xml:space="preserve"> One 5-</w:t>
            </w:r>
            <w:r>
              <w:rPr>
                <w:rFonts w:cs="Times New Roman"/>
                <w:szCs w:val="24"/>
              </w:rPr>
              <w:t>ml</w:t>
            </w:r>
            <w:r w:rsidRPr="00A9552B">
              <w:rPr>
                <w:rFonts w:cs="Times New Roman"/>
                <w:szCs w:val="24"/>
              </w:rPr>
              <w:t xml:space="preserve"> spoonful of oral gel equivalent to 124 mg miconazole</w:t>
            </w:r>
          </w:p>
        </w:tc>
      </w:tr>
      <w:tr w:rsidR="00AA0D47" w:rsidRPr="00E4559C" w14:paraId="6AEEBEC1" w14:textId="77777777" w:rsidTr="002D6DD7">
        <w:tc>
          <w:tcPr>
            <w:tcW w:w="2605" w:type="dxa"/>
          </w:tcPr>
          <w:p w14:paraId="0D999674"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582DAA65" w14:textId="77777777" w:rsidR="00AA0D47" w:rsidRPr="00A9552B" w:rsidRDefault="00AA0D47" w:rsidP="002D6DD7">
            <w:pPr>
              <w:jc w:val="both"/>
              <w:rPr>
                <w:rFonts w:cs="Times New Roman"/>
                <w:szCs w:val="24"/>
              </w:rPr>
            </w:pPr>
            <w:r w:rsidRPr="00A9552B">
              <w:rPr>
                <w:rFonts w:cs="Times New Roman"/>
                <w:szCs w:val="24"/>
              </w:rPr>
              <w:t>Kno</w:t>
            </w:r>
            <w:r>
              <w:rPr>
                <w:rFonts w:cs="Times New Roman"/>
                <w:szCs w:val="24"/>
              </w:rPr>
              <w:t>wn hypersensitivity to the drug or other imidazole derivatives,</w:t>
            </w:r>
            <w:r w:rsidRPr="00A9552B">
              <w:rPr>
                <w:rFonts w:cs="Times New Roman"/>
                <w:szCs w:val="24"/>
              </w:rPr>
              <w:t xml:space="preserve"> infants with impaired swallowing reflex.</w:t>
            </w:r>
          </w:p>
        </w:tc>
      </w:tr>
      <w:tr w:rsidR="00AA0D47" w:rsidRPr="00E4559C" w14:paraId="65B104BC" w14:textId="77777777" w:rsidTr="002D6DD7">
        <w:trPr>
          <w:trHeight w:val="343"/>
        </w:trPr>
        <w:tc>
          <w:tcPr>
            <w:tcW w:w="2605" w:type="dxa"/>
          </w:tcPr>
          <w:p w14:paraId="6418D8B0"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283DCB67" w14:textId="77777777" w:rsidR="00AA0D47" w:rsidRPr="00A9552B" w:rsidRDefault="00AA0D47" w:rsidP="002D6DD7">
            <w:pPr>
              <w:jc w:val="both"/>
              <w:rPr>
                <w:rFonts w:cs="Times New Roman"/>
                <w:szCs w:val="24"/>
              </w:rPr>
            </w:pPr>
            <w:r w:rsidRPr="00A9552B">
              <w:rPr>
                <w:rFonts w:cs="Times New Roman"/>
                <w:szCs w:val="24"/>
              </w:rPr>
              <w:t xml:space="preserve">Carbamazepine, phenytoin, busulfan, tobramycin, midazolam, methylprednisolone, HMG-CoA reductase inhibitors such </w:t>
            </w:r>
            <w:r>
              <w:rPr>
                <w:rFonts w:cs="Times New Roman"/>
                <w:szCs w:val="24"/>
              </w:rPr>
              <w:t>as simvastatin and lovastatin, e</w:t>
            </w:r>
            <w:r w:rsidRPr="00A9552B">
              <w:rPr>
                <w:rFonts w:cs="Times New Roman"/>
                <w:szCs w:val="24"/>
              </w:rPr>
              <w:t xml:space="preserve">rgot alkaloids, warfarin. </w:t>
            </w:r>
          </w:p>
        </w:tc>
      </w:tr>
      <w:tr w:rsidR="00AA0D47" w:rsidRPr="00E4559C" w14:paraId="6C793B5B" w14:textId="77777777" w:rsidTr="002D6DD7">
        <w:tc>
          <w:tcPr>
            <w:tcW w:w="2605" w:type="dxa"/>
          </w:tcPr>
          <w:p w14:paraId="530F83BA"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153D51D6" w14:textId="77777777" w:rsidR="00AA0D47" w:rsidRPr="00A9552B" w:rsidRDefault="00AA0D47" w:rsidP="002D6DD7">
            <w:pPr>
              <w:jc w:val="both"/>
              <w:rPr>
                <w:rFonts w:cs="Times New Roman"/>
                <w:szCs w:val="24"/>
              </w:rPr>
            </w:pPr>
            <w:r>
              <w:rPr>
                <w:rFonts w:cs="Times New Roman"/>
                <w:szCs w:val="24"/>
              </w:rPr>
              <w:t>Dry mouth</w:t>
            </w:r>
            <w:r w:rsidRPr="00A9552B">
              <w:rPr>
                <w:rFonts w:cs="Times New Roman"/>
                <w:szCs w:val="24"/>
              </w:rPr>
              <w:t>, nausea, oral discomfort, vomiting, skin reactions and abnormal taste.</w:t>
            </w:r>
          </w:p>
        </w:tc>
      </w:tr>
      <w:tr w:rsidR="00AA0D47" w:rsidRPr="00E4559C" w14:paraId="3A4D2F6F" w14:textId="77777777" w:rsidTr="002D6DD7">
        <w:tc>
          <w:tcPr>
            <w:tcW w:w="2605" w:type="dxa"/>
          </w:tcPr>
          <w:p w14:paraId="01E7103E"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1866C982" w14:textId="77777777" w:rsidR="00AA0D47" w:rsidRPr="00A9552B" w:rsidRDefault="00AA0D47" w:rsidP="002D6DD7">
            <w:pPr>
              <w:jc w:val="both"/>
              <w:rPr>
                <w:rFonts w:cs="Times New Roman"/>
                <w:szCs w:val="24"/>
              </w:rPr>
            </w:pPr>
            <w:r w:rsidRPr="00A9552B">
              <w:rPr>
                <w:rFonts w:cs="Times New Roman"/>
                <w:szCs w:val="24"/>
              </w:rPr>
              <w:t>Acute porphyria</w:t>
            </w:r>
          </w:p>
        </w:tc>
      </w:tr>
      <w:tr w:rsidR="00AA0D47" w:rsidRPr="00E4559C" w14:paraId="59E2FEFE" w14:textId="77777777" w:rsidTr="002D6DD7">
        <w:tc>
          <w:tcPr>
            <w:tcW w:w="2605" w:type="dxa"/>
          </w:tcPr>
          <w:p w14:paraId="3E219070"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28AEEDBC" w14:textId="77777777" w:rsidR="00AA0D47" w:rsidRPr="00A9552B" w:rsidRDefault="00AA0D47" w:rsidP="002D6DD7">
            <w:pPr>
              <w:jc w:val="both"/>
              <w:rPr>
                <w:rFonts w:cs="Times New Roman"/>
                <w:szCs w:val="24"/>
              </w:rPr>
            </w:pPr>
            <w:r>
              <w:rPr>
                <w:rFonts w:cs="Times New Roman"/>
                <w:szCs w:val="24"/>
              </w:rPr>
              <w:t>Store below</w:t>
            </w:r>
            <w:r w:rsidRPr="00A9552B">
              <w:rPr>
                <w:rFonts w:cs="Times New Roman"/>
                <w:szCs w:val="24"/>
              </w:rPr>
              <w:t xml:space="preserve"> 30°C.</w:t>
            </w:r>
          </w:p>
        </w:tc>
      </w:tr>
      <w:tr w:rsidR="00AA0D47" w:rsidRPr="00E4559C" w14:paraId="35426343" w14:textId="77777777" w:rsidTr="002D6DD7">
        <w:tc>
          <w:tcPr>
            <w:tcW w:w="9351" w:type="dxa"/>
            <w:gridSpan w:val="2"/>
          </w:tcPr>
          <w:p w14:paraId="745D2ADD" w14:textId="77777777" w:rsidR="00AA0D47" w:rsidRPr="00D76338" w:rsidRDefault="00AA0D47" w:rsidP="002D6DD7">
            <w:pPr>
              <w:jc w:val="both"/>
              <w:rPr>
                <w:rFonts w:cs="Times New Roman"/>
                <w:b/>
                <w:szCs w:val="24"/>
              </w:rPr>
            </w:pPr>
            <w:r w:rsidRPr="00D76338">
              <w:rPr>
                <w:rFonts w:cs="Times New Roman"/>
                <w:b/>
                <w:szCs w:val="24"/>
              </w:rPr>
              <w:t>Mometasone</w:t>
            </w:r>
          </w:p>
        </w:tc>
      </w:tr>
      <w:tr w:rsidR="00AA0D47" w:rsidRPr="00E4559C" w14:paraId="18E95D8C" w14:textId="77777777" w:rsidTr="002D6DD7">
        <w:tc>
          <w:tcPr>
            <w:tcW w:w="2605" w:type="dxa"/>
          </w:tcPr>
          <w:p w14:paraId="4EE6C84C" w14:textId="77777777" w:rsidR="00AA0D47" w:rsidRPr="00A9552B" w:rsidRDefault="00AA0D47" w:rsidP="002D6DD7">
            <w:pPr>
              <w:jc w:val="both"/>
              <w:rPr>
                <w:rFonts w:cs="Times New Roman"/>
                <w:szCs w:val="24"/>
              </w:rPr>
            </w:pPr>
            <w:r w:rsidRPr="00A9552B">
              <w:rPr>
                <w:rFonts w:cs="Times New Roman"/>
                <w:szCs w:val="24"/>
              </w:rPr>
              <w:lastRenderedPageBreak/>
              <w:t>Pharmacologic class</w:t>
            </w:r>
          </w:p>
        </w:tc>
        <w:tc>
          <w:tcPr>
            <w:tcW w:w="6746" w:type="dxa"/>
          </w:tcPr>
          <w:p w14:paraId="069EE5FA" w14:textId="77777777" w:rsidR="00AA0D47" w:rsidRPr="00A9552B" w:rsidRDefault="00AA0D47" w:rsidP="002D6DD7">
            <w:pPr>
              <w:jc w:val="both"/>
              <w:rPr>
                <w:rFonts w:cs="Times New Roman"/>
                <w:szCs w:val="24"/>
              </w:rPr>
            </w:pPr>
            <w:r w:rsidRPr="00A9552B">
              <w:rPr>
                <w:rFonts w:cs="Times New Roman"/>
                <w:szCs w:val="24"/>
              </w:rPr>
              <w:t>Corticosteroid</w:t>
            </w:r>
          </w:p>
        </w:tc>
      </w:tr>
      <w:tr w:rsidR="00AA0D47" w:rsidRPr="00E4559C" w14:paraId="54A4CA2B" w14:textId="77777777" w:rsidTr="002D6DD7">
        <w:tc>
          <w:tcPr>
            <w:tcW w:w="2605" w:type="dxa"/>
          </w:tcPr>
          <w:p w14:paraId="4BB68067"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3368C044" w14:textId="77777777" w:rsidR="00AA0D47" w:rsidRPr="00A9552B" w:rsidRDefault="00AA0D47" w:rsidP="002D6DD7">
            <w:pPr>
              <w:jc w:val="both"/>
              <w:rPr>
                <w:rFonts w:cs="Times New Roman"/>
                <w:szCs w:val="24"/>
              </w:rPr>
            </w:pPr>
            <w:r w:rsidRPr="00A9552B">
              <w:rPr>
                <w:rFonts w:cs="Times New Roman"/>
                <w:szCs w:val="24"/>
              </w:rPr>
              <w:t>Nasal spray: 0.05%</w:t>
            </w:r>
          </w:p>
        </w:tc>
      </w:tr>
      <w:tr w:rsidR="00AA0D47" w:rsidRPr="00E4559C" w14:paraId="1FB5374E" w14:textId="77777777" w:rsidTr="002D6DD7">
        <w:tc>
          <w:tcPr>
            <w:tcW w:w="2605" w:type="dxa"/>
          </w:tcPr>
          <w:p w14:paraId="50ECA8D0"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2215218F" w14:textId="77777777" w:rsidR="00AA0D47" w:rsidRPr="00A9552B" w:rsidRDefault="00AA0D47" w:rsidP="002D6DD7">
            <w:pPr>
              <w:jc w:val="both"/>
              <w:rPr>
                <w:rFonts w:cs="Times New Roman"/>
                <w:szCs w:val="24"/>
              </w:rPr>
            </w:pPr>
            <w:r w:rsidRPr="00A9552B">
              <w:rPr>
                <w:rFonts w:cs="Times New Roman"/>
                <w:szCs w:val="24"/>
              </w:rPr>
              <w:t>Prophylaxis and treatment of seasonal allergic or perennial rhinitis and for treatment of nasal polyps in</w:t>
            </w:r>
            <w:r w:rsidRPr="00A9552B">
              <w:rPr>
                <w:rFonts w:cs="Times New Roman"/>
                <w:spacing w:val="1"/>
                <w:szCs w:val="24"/>
              </w:rPr>
              <w:t xml:space="preserve"> </w:t>
            </w:r>
            <w:r w:rsidRPr="00A9552B">
              <w:rPr>
                <w:rFonts w:cs="Times New Roman"/>
                <w:szCs w:val="24"/>
              </w:rPr>
              <w:t>adults.</w:t>
            </w:r>
          </w:p>
        </w:tc>
      </w:tr>
      <w:tr w:rsidR="00AA0D47" w:rsidRPr="00E4559C" w14:paraId="134FF3CD" w14:textId="77777777" w:rsidTr="002D6DD7">
        <w:tc>
          <w:tcPr>
            <w:tcW w:w="2605" w:type="dxa"/>
          </w:tcPr>
          <w:p w14:paraId="06176256"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4A243D28" w14:textId="77777777" w:rsidR="00AA0D47" w:rsidRPr="00D76338" w:rsidRDefault="00AA0D47" w:rsidP="002D6DD7">
            <w:pPr>
              <w:jc w:val="both"/>
              <w:rPr>
                <w:rFonts w:cs="Times New Roman"/>
                <w:b/>
                <w:szCs w:val="24"/>
              </w:rPr>
            </w:pPr>
            <w:r w:rsidRPr="00D76338">
              <w:rPr>
                <w:rFonts w:cs="Times New Roman"/>
                <w:b/>
                <w:szCs w:val="24"/>
              </w:rPr>
              <w:t>Treatment of seasonal allergic or perennial rhinitis</w:t>
            </w:r>
            <w:r>
              <w:rPr>
                <w:rFonts w:cs="Times New Roman"/>
                <w:b/>
                <w:szCs w:val="24"/>
              </w:rPr>
              <w:t>:</w:t>
            </w:r>
          </w:p>
          <w:p w14:paraId="6B4AFF0C" w14:textId="77777777" w:rsidR="00AA0D47" w:rsidRPr="00A9552B" w:rsidRDefault="00AA0D47" w:rsidP="002D6DD7">
            <w:pPr>
              <w:jc w:val="both"/>
              <w:rPr>
                <w:rFonts w:cs="Times New Roman"/>
                <w:szCs w:val="24"/>
              </w:rPr>
            </w:pPr>
            <w:r w:rsidRPr="00D76338">
              <w:rPr>
                <w:rFonts w:cs="Times New Roman"/>
                <w:b/>
                <w:szCs w:val="24"/>
              </w:rPr>
              <w:t xml:space="preserve">Adult and Child </w:t>
            </w:r>
            <w:r w:rsidRPr="00D76338">
              <w:rPr>
                <w:rFonts w:cs="Times New Roman"/>
                <w:b/>
                <w:szCs w:val="24"/>
                <w:u w:val="single"/>
              </w:rPr>
              <w:t>&gt;</w:t>
            </w:r>
            <w:r w:rsidRPr="00D76338">
              <w:rPr>
                <w:rFonts w:cs="Times New Roman"/>
                <w:b/>
                <w:szCs w:val="24"/>
              </w:rPr>
              <w:t>12years:</w:t>
            </w:r>
            <w:r w:rsidRPr="00A9552B">
              <w:rPr>
                <w:rFonts w:cs="Times New Roman"/>
                <w:szCs w:val="24"/>
              </w:rPr>
              <w:t xml:space="preserve"> two sprays into each nostril once a day, reduced to one spray daily when control achieved.</w:t>
            </w:r>
          </w:p>
          <w:p w14:paraId="37274F32" w14:textId="77777777" w:rsidR="00AA0D47" w:rsidRPr="00A9552B" w:rsidRDefault="00AA0D47" w:rsidP="002D6DD7">
            <w:pPr>
              <w:jc w:val="both"/>
              <w:rPr>
                <w:rFonts w:cs="Times New Roman"/>
                <w:szCs w:val="24"/>
              </w:rPr>
            </w:pPr>
            <w:r w:rsidRPr="00D76338">
              <w:rPr>
                <w:rFonts w:cs="Times New Roman"/>
                <w:b/>
                <w:szCs w:val="24"/>
              </w:rPr>
              <w:t>Child 6–11 years:</w:t>
            </w:r>
            <w:r w:rsidRPr="00A9552B">
              <w:rPr>
                <w:rFonts w:cs="Times New Roman"/>
                <w:szCs w:val="24"/>
              </w:rPr>
              <w:t xml:space="preserve"> one spray into each nostril once daily. </w:t>
            </w:r>
          </w:p>
          <w:p w14:paraId="7A15F0ED" w14:textId="77777777" w:rsidR="00AA0D47" w:rsidRPr="00A32330" w:rsidRDefault="00AA0D47" w:rsidP="002D6DD7">
            <w:pPr>
              <w:jc w:val="both"/>
              <w:rPr>
                <w:rFonts w:cs="Times New Roman"/>
                <w:b/>
                <w:szCs w:val="24"/>
              </w:rPr>
            </w:pPr>
            <w:r w:rsidRPr="00A32330">
              <w:rPr>
                <w:rFonts w:cs="Times New Roman"/>
                <w:b/>
                <w:bCs/>
                <w:szCs w:val="24"/>
              </w:rPr>
              <w:t>Treatment of nasal polyps:</w:t>
            </w:r>
            <w:r w:rsidRPr="00A32330">
              <w:rPr>
                <w:rFonts w:cs="Times New Roman"/>
                <w:b/>
                <w:szCs w:val="24"/>
              </w:rPr>
              <w:t xml:space="preserve"> </w:t>
            </w:r>
          </w:p>
          <w:p w14:paraId="36C8A40B" w14:textId="77777777" w:rsidR="00AA0D47" w:rsidRPr="00A9552B" w:rsidRDefault="00AA0D47" w:rsidP="002D6DD7">
            <w:pPr>
              <w:jc w:val="both"/>
              <w:rPr>
                <w:rFonts w:cs="Times New Roman"/>
                <w:szCs w:val="24"/>
              </w:rPr>
            </w:pPr>
            <w:r w:rsidRPr="00D76338">
              <w:rPr>
                <w:rFonts w:cs="Times New Roman"/>
                <w:b/>
                <w:szCs w:val="24"/>
              </w:rPr>
              <w:t>Adult:</w:t>
            </w:r>
            <w:r w:rsidRPr="00A9552B">
              <w:rPr>
                <w:rFonts w:cs="Times New Roman"/>
                <w:szCs w:val="24"/>
              </w:rPr>
              <w:t xml:space="preserve"> two sprays into each nostril once daily. </w:t>
            </w:r>
          </w:p>
          <w:p w14:paraId="4A49FBDC" w14:textId="77777777" w:rsidR="00AA0D47" w:rsidRPr="00197465" w:rsidRDefault="00AA0D47" w:rsidP="002D6DD7">
            <w:pPr>
              <w:jc w:val="both"/>
              <w:rPr>
                <w:rFonts w:cs="Times New Roman"/>
                <w:i/>
                <w:szCs w:val="24"/>
              </w:rPr>
            </w:pPr>
            <w:r w:rsidRPr="00197465">
              <w:rPr>
                <w:rFonts w:cs="Times New Roman"/>
                <w:i/>
                <w:szCs w:val="24"/>
              </w:rPr>
              <w:t>Note: If symptoms are not controlled after 5 to 6 weeks, the dose may be increased to two sprays in each nostril twice daily. Once symptoms are under control, dose should be reduced to the lowest amount where symptoms are still controlled</w:t>
            </w:r>
            <w:r>
              <w:rPr>
                <w:rFonts w:cs="Times New Roman"/>
                <w:i/>
                <w:szCs w:val="24"/>
              </w:rPr>
              <w:t>.</w:t>
            </w:r>
          </w:p>
        </w:tc>
      </w:tr>
      <w:tr w:rsidR="00AA0D47" w:rsidRPr="00E4559C" w14:paraId="417C6455" w14:textId="77777777" w:rsidTr="002D6DD7">
        <w:tc>
          <w:tcPr>
            <w:tcW w:w="2605" w:type="dxa"/>
          </w:tcPr>
          <w:p w14:paraId="7D48C0E2"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6B1C8DE4"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w:t>
            </w:r>
            <w:r w:rsidRPr="00A9552B">
              <w:rPr>
                <w:rFonts w:cs="Times New Roman"/>
                <w:szCs w:val="24"/>
              </w:rPr>
              <w:t>, presence of untreated localized infection involving the nasal mucosa, such as herpes simplex, patients who have experienced recent nasal surgery or trauma and nasal septum perforation.</w:t>
            </w:r>
          </w:p>
        </w:tc>
      </w:tr>
      <w:tr w:rsidR="00AA0D47" w:rsidRPr="00E4559C" w14:paraId="19D11A76" w14:textId="77777777" w:rsidTr="002D6DD7">
        <w:tc>
          <w:tcPr>
            <w:tcW w:w="2605" w:type="dxa"/>
          </w:tcPr>
          <w:p w14:paraId="5C21D822"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196D8697" w14:textId="77777777" w:rsidR="00AA0D47" w:rsidRPr="00A9552B" w:rsidRDefault="00AA0D47" w:rsidP="002D6DD7">
            <w:pPr>
              <w:jc w:val="both"/>
              <w:rPr>
                <w:rFonts w:cs="Times New Roman"/>
                <w:szCs w:val="24"/>
              </w:rPr>
            </w:pPr>
            <w:r>
              <w:rPr>
                <w:rFonts w:cs="Times New Roman"/>
                <w:szCs w:val="24"/>
              </w:rPr>
              <w:t xml:space="preserve">There </w:t>
            </w:r>
            <w:r w:rsidR="00F84B47">
              <w:rPr>
                <w:rFonts w:cs="Times New Roman"/>
                <w:szCs w:val="24"/>
              </w:rPr>
              <w:t>is</w:t>
            </w:r>
            <w:r>
              <w:rPr>
                <w:rFonts w:cs="Times New Roman"/>
                <w:szCs w:val="24"/>
              </w:rPr>
              <w:t xml:space="preserve"> n</w:t>
            </w:r>
            <w:r w:rsidRPr="00A9552B">
              <w:rPr>
                <w:rFonts w:cs="Times New Roman"/>
                <w:szCs w:val="24"/>
              </w:rPr>
              <w:t xml:space="preserve">o significant </w:t>
            </w:r>
            <w:r>
              <w:rPr>
                <w:rFonts w:cs="Times New Roman"/>
                <w:szCs w:val="24"/>
              </w:rPr>
              <w:t xml:space="preserve">drug </w:t>
            </w:r>
            <w:r w:rsidRPr="00A9552B">
              <w:rPr>
                <w:rFonts w:cs="Times New Roman"/>
                <w:szCs w:val="24"/>
              </w:rPr>
              <w:t>interaction.</w:t>
            </w:r>
          </w:p>
        </w:tc>
      </w:tr>
      <w:tr w:rsidR="00AA0D47" w:rsidRPr="00E4559C" w14:paraId="2F20908D" w14:textId="77777777" w:rsidTr="002D6DD7">
        <w:tc>
          <w:tcPr>
            <w:tcW w:w="2605" w:type="dxa"/>
          </w:tcPr>
          <w:p w14:paraId="05F0DEE9"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04A45369" w14:textId="77777777" w:rsidR="00AA0D47" w:rsidRPr="00D76338" w:rsidRDefault="00AA0D47" w:rsidP="002D6DD7">
            <w:pPr>
              <w:jc w:val="both"/>
              <w:rPr>
                <w:rFonts w:cs="Times New Roman"/>
                <w:szCs w:val="24"/>
              </w:rPr>
            </w:pPr>
            <w:r w:rsidRPr="00D76338">
              <w:rPr>
                <w:rFonts w:cs="Times New Roman"/>
                <w:szCs w:val="24"/>
              </w:rPr>
              <w:t xml:space="preserve">Headache, pharyngitis, cough, viral infection, epistaxis, </w:t>
            </w:r>
            <w:r w:rsidRPr="00A9552B">
              <w:rPr>
                <w:rFonts w:cs="Times New Roman"/>
                <w:szCs w:val="24"/>
              </w:rPr>
              <w:t>nasal irritation, burning and ulceration, epistaxis.</w:t>
            </w:r>
          </w:p>
        </w:tc>
      </w:tr>
      <w:tr w:rsidR="00AA0D47" w:rsidRPr="00E4559C" w14:paraId="45640448" w14:textId="77777777" w:rsidTr="002D6DD7">
        <w:tc>
          <w:tcPr>
            <w:tcW w:w="2605" w:type="dxa"/>
          </w:tcPr>
          <w:p w14:paraId="0F564DEA"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7CF7B191" w14:textId="77777777" w:rsidR="00AA0D47" w:rsidRPr="00A9552B" w:rsidRDefault="00AA0D47" w:rsidP="002D6DD7">
            <w:pPr>
              <w:jc w:val="both"/>
              <w:rPr>
                <w:rFonts w:cs="Times New Roman"/>
                <w:szCs w:val="24"/>
              </w:rPr>
            </w:pPr>
            <w:r>
              <w:rPr>
                <w:rFonts w:cs="Times New Roman"/>
                <w:szCs w:val="24"/>
              </w:rPr>
              <w:t>A</w:t>
            </w:r>
            <w:r w:rsidRPr="00A9552B">
              <w:rPr>
                <w:rFonts w:cs="Times New Roman"/>
                <w:szCs w:val="24"/>
              </w:rPr>
              <w:t>ctive tuberculous infections</w:t>
            </w:r>
            <w:r>
              <w:rPr>
                <w:rFonts w:cs="Times New Roman"/>
                <w:szCs w:val="24"/>
              </w:rPr>
              <w:t xml:space="preserve">, </w:t>
            </w:r>
            <w:r w:rsidRPr="00A9552B">
              <w:rPr>
                <w:rFonts w:cs="Times New Roman"/>
                <w:szCs w:val="24"/>
              </w:rPr>
              <w:t>untreated fungal, bacterial, or systemic viral infections.</w:t>
            </w:r>
          </w:p>
        </w:tc>
      </w:tr>
      <w:tr w:rsidR="00AA0D47" w:rsidRPr="00E4559C" w14:paraId="31B38B27" w14:textId="77777777" w:rsidTr="002D6DD7">
        <w:trPr>
          <w:trHeight w:val="292"/>
        </w:trPr>
        <w:tc>
          <w:tcPr>
            <w:tcW w:w="2605" w:type="dxa"/>
          </w:tcPr>
          <w:p w14:paraId="29051AB2"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43DDDEA7" w14:textId="77777777" w:rsidR="00AA0D47" w:rsidRPr="00A9552B" w:rsidRDefault="00AA0D47" w:rsidP="002D6DD7">
            <w:pPr>
              <w:jc w:val="both"/>
              <w:rPr>
                <w:rFonts w:cs="Times New Roman"/>
                <w:szCs w:val="24"/>
              </w:rPr>
            </w:pPr>
            <w:r w:rsidRPr="00A9552B">
              <w:rPr>
                <w:rFonts w:cs="Times New Roman"/>
                <w:szCs w:val="24"/>
              </w:rPr>
              <w:t>Store below 30°C. Do not freeze.</w:t>
            </w:r>
          </w:p>
        </w:tc>
      </w:tr>
      <w:tr w:rsidR="00AA0D47" w:rsidRPr="00E4559C" w14:paraId="0022C82B" w14:textId="77777777" w:rsidTr="002D6DD7">
        <w:tc>
          <w:tcPr>
            <w:tcW w:w="9351" w:type="dxa"/>
            <w:gridSpan w:val="2"/>
          </w:tcPr>
          <w:p w14:paraId="4FEE32E1" w14:textId="77777777" w:rsidR="00AA0D47" w:rsidRPr="00D76338" w:rsidRDefault="00AA0D47" w:rsidP="002D6DD7">
            <w:pPr>
              <w:jc w:val="both"/>
              <w:rPr>
                <w:rFonts w:cs="Times New Roman"/>
                <w:b/>
                <w:szCs w:val="24"/>
              </w:rPr>
            </w:pPr>
            <w:r w:rsidRPr="00D76338">
              <w:rPr>
                <w:rFonts w:cs="Times New Roman"/>
                <w:b/>
                <w:szCs w:val="24"/>
              </w:rPr>
              <w:t>Nystatin</w:t>
            </w:r>
          </w:p>
        </w:tc>
      </w:tr>
      <w:tr w:rsidR="00AA0D47" w:rsidRPr="00E4559C" w14:paraId="2E7735F1" w14:textId="77777777" w:rsidTr="002D6DD7">
        <w:tc>
          <w:tcPr>
            <w:tcW w:w="2605" w:type="dxa"/>
          </w:tcPr>
          <w:p w14:paraId="5165D8B6"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4B3795B6" w14:textId="77777777" w:rsidR="00AA0D47" w:rsidRPr="00A9552B" w:rsidRDefault="00AA0D47" w:rsidP="002D6DD7">
            <w:pPr>
              <w:jc w:val="both"/>
              <w:rPr>
                <w:rFonts w:cs="Times New Roman"/>
                <w:szCs w:val="24"/>
              </w:rPr>
            </w:pPr>
            <w:r>
              <w:rPr>
                <w:rFonts w:cs="Times New Roman"/>
                <w:szCs w:val="24"/>
                <w:shd w:val="clear" w:color="auto" w:fill="FFFFFF"/>
              </w:rPr>
              <w:t xml:space="preserve"> Antifungal</w:t>
            </w:r>
          </w:p>
        </w:tc>
      </w:tr>
      <w:tr w:rsidR="00AA0D47" w:rsidRPr="00E4559C" w14:paraId="0A5DDA95" w14:textId="77777777" w:rsidTr="002D6DD7">
        <w:tc>
          <w:tcPr>
            <w:tcW w:w="2605" w:type="dxa"/>
          </w:tcPr>
          <w:p w14:paraId="2E5D3BB0"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49C7A04F" w14:textId="77777777" w:rsidR="00AA0D47" w:rsidRPr="00A9552B" w:rsidRDefault="00AA0D47" w:rsidP="002D6DD7">
            <w:pPr>
              <w:jc w:val="both"/>
              <w:rPr>
                <w:rFonts w:cs="Times New Roman"/>
                <w:szCs w:val="24"/>
              </w:rPr>
            </w:pPr>
            <w:r w:rsidRPr="00D76338">
              <w:rPr>
                <w:rFonts w:eastAsia="Times New Roman" w:cs="Times New Roman"/>
                <w:szCs w:val="24"/>
              </w:rPr>
              <w:t>Suspension: 100000 u/</w:t>
            </w:r>
            <w:r>
              <w:rPr>
                <w:rFonts w:eastAsia="Times New Roman" w:cs="Times New Roman"/>
                <w:szCs w:val="24"/>
              </w:rPr>
              <w:t>ml</w:t>
            </w:r>
          </w:p>
        </w:tc>
      </w:tr>
      <w:tr w:rsidR="00AA0D47" w:rsidRPr="00E4559C" w14:paraId="689E1977" w14:textId="77777777" w:rsidTr="002D6DD7">
        <w:tc>
          <w:tcPr>
            <w:tcW w:w="2605" w:type="dxa"/>
          </w:tcPr>
          <w:p w14:paraId="4D973E79"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3E449893" w14:textId="77777777" w:rsidR="00AA0D47" w:rsidRPr="00A9552B" w:rsidRDefault="00AA0D47" w:rsidP="002D6DD7">
            <w:pPr>
              <w:jc w:val="both"/>
              <w:rPr>
                <w:rFonts w:cs="Times New Roman"/>
                <w:szCs w:val="24"/>
              </w:rPr>
            </w:pPr>
            <w:r>
              <w:rPr>
                <w:rFonts w:cs="Times New Roman"/>
                <w:szCs w:val="24"/>
              </w:rPr>
              <w:t>Oral candidiasis</w:t>
            </w:r>
            <w:r w:rsidRPr="00A9552B">
              <w:rPr>
                <w:rFonts w:cs="Times New Roman"/>
                <w:szCs w:val="24"/>
              </w:rPr>
              <w:t xml:space="preserve">   </w:t>
            </w:r>
          </w:p>
        </w:tc>
      </w:tr>
      <w:tr w:rsidR="00AA0D47" w:rsidRPr="00E4559C" w14:paraId="4E3A1FC3" w14:textId="77777777" w:rsidTr="002D6DD7">
        <w:tc>
          <w:tcPr>
            <w:tcW w:w="2605" w:type="dxa"/>
          </w:tcPr>
          <w:p w14:paraId="1443D0CF"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08AE623B" w14:textId="77777777" w:rsidR="00AA0D47" w:rsidRPr="00F84B47" w:rsidRDefault="00AA0D47" w:rsidP="002D6DD7">
            <w:pPr>
              <w:jc w:val="both"/>
              <w:rPr>
                <w:rFonts w:cs="Times New Roman"/>
                <w:bCs/>
                <w:szCs w:val="24"/>
              </w:rPr>
            </w:pPr>
            <w:r w:rsidRPr="00D76338">
              <w:rPr>
                <w:rFonts w:cs="Times New Roman"/>
                <w:b/>
                <w:szCs w:val="24"/>
              </w:rPr>
              <w:t>Oral candidiasis</w:t>
            </w:r>
            <w:r w:rsidR="00F84B47">
              <w:rPr>
                <w:rFonts w:cs="Times New Roman"/>
                <w:b/>
                <w:szCs w:val="24"/>
              </w:rPr>
              <w:t xml:space="preserve">, </w:t>
            </w:r>
            <w:r w:rsidRPr="00F84B47">
              <w:rPr>
                <w:rFonts w:cs="Times New Roman"/>
                <w:bCs/>
                <w:szCs w:val="24"/>
              </w:rPr>
              <w:t>oral</w:t>
            </w:r>
            <w:r w:rsidR="00F84B47">
              <w:rPr>
                <w:rFonts w:cs="Times New Roman"/>
                <w:bCs/>
                <w:szCs w:val="24"/>
              </w:rPr>
              <w:t>:</w:t>
            </w:r>
          </w:p>
          <w:p w14:paraId="24FB1A6C" w14:textId="77777777" w:rsidR="00AA0D47" w:rsidRPr="00A9552B" w:rsidRDefault="00AA0D47" w:rsidP="002D6DD7">
            <w:pPr>
              <w:jc w:val="both"/>
              <w:rPr>
                <w:rFonts w:cs="Times New Roman"/>
                <w:szCs w:val="24"/>
              </w:rPr>
            </w:pPr>
            <w:r w:rsidRPr="00D76338">
              <w:rPr>
                <w:rFonts w:cs="Times New Roman"/>
                <w:b/>
                <w:szCs w:val="24"/>
              </w:rPr>
              <w:t>Neonate:</w:t>
            </w:r>
            <w:r w:rsidRPr="00A9552B">
              <w:rPr>
                <w:rFonts w:cs="Times New Roman"/>
                <w:szCs w:val="24"/>
              </w:rPr>
              <w:t xml:space="preserve"> 1 </w:t>
            </w:r>
            <w:r>
              <w:rPr>
                <w:rFonts w:cs="Times New Roman"/>
                <w:szCs w:val="24"/>
              </w:rPr>
              <w:t>ml</w:t>
            </w:r>
            <w:r w:rsidRPr="00A9552B">
              <w:rPr>
                <w:rFonts w:cs="Times New Roman"/>
                <w:szCs w:val="24"/>
              </w:rPr>
              <w:t xml:space="preserve"> (100,000 U) four times daily usually for 7 days, and </w:t>
            </w:r>
            <w:r w:rsidRPr="00A9552B">
              <w:rPr>
                <w:rFonts w:cs="Times New Roman"/>
                <w:szCs w:val="24"/>
              </w:rPr>
              <w:lastRenderedPageBreak/>
              <w:t>continued for 48 hours after lesions have resolved, to be given after feeds.</w:t>
            </w:r>
          </w:p>
          <w:p w14:paraId="5031626C" w14:textId="77777777" w:rsidR="00AA0D47" w:rsidRPr="00A9552B" w:rsidRDefault="00AA0D47" w:rsidP="002D6DD7">
            <w:pPr>
              <w:jc w:val="both"/>
              <w:rPr>
                <w:rFonts w:cs="Times New Roman"/>
                <w:szCs w:val="24"/>
              </w:rPr>
            </w:pPr>
            <w:r w:rsidRPr="00D76338">
              <w:rPr>
                <w:rFonts w:cs="Times New Roman"/>
                <w:b/>
                <w:bCs/>
                <w:szCs w:val="24"/>
              </w:rPr>
              <w:t>Infants (1 month to 2 years):</w:t>
            </w:r>
            <w:r w:rsidRPr="00A9552B">
              <w:rPr>
                <w:rFonts w:cs="Times New Roman"/>
                <w:szCs w:val="24"/>
              </w:rPr>
              <w:t xml:space="preserve"> 2 </w:t>
            </w:r>
            <w:r>
              <w:rPr>
                <w:rFonts w:cs="Times New Roman"/>
                <w:szCs w:val="24"/>
              </w:rPr>
              <w:t>ml</w:t>
            </w:r>
            <w:r w:rsidRPr="00A9552B">
              <w:rPr>
                <w:rFonts w:cs="Times New Roman"/>
                <w:szCs w:val="24"/>
              </w:rPr>
              <w:t xml:space="preserve"> (200,000 U) 4 times daily (1 </w:t>
            </w:r>
            <w:r>
              <w:rPr>
                <w:rFonts w:cs="Times New Roman"/>
                <w:szCs w:val="24"/>
              </w:rPr>
              <w:t>ml</w:t>
            </w:r>
            <w:r w:rsidRPr="00A9552B">
              <w:rPr>
                <w:rFonts w:cs="Times New Roman"/>
                <w:szCs w:val="24"/>
              </w:rPr>
              <w:t xml:space="preserve"> for each side of the oral after feeds; treatment is usually given for 7 days and continued for 2 days after lesions have healed. </w:t>
            </w:r>
          </w:p>
          <w:p w14:paraId="1199A420" w14:textId="77777777" w:rsidR="00AA0D47" w:rsidRPr="00A9552B" w:rsidRDefault="00AA0D47" w:rsidP="002D6DD7">
            <w:pPr>
              <w:jc w:val="both"/>
              <w:rPr>
                <w:rFonts w:cs="Times New Roman"/>
                <w:szCs w:val="24"/>
              </w:rPr>
            </w:pPr>
            <w:r w:rsidRPr="00D76338">
              <w:rPr>
                <w:rFonts w:cs="Times New Roman"/>
                <w:b/>
                <w:bCs/>
                <w:szCs w:val="24"/>
              </w:rPr>
              <w:t>Children (over 2 years) and adults:</w:t>
            </w:r>
            <w:r w:rsidRPr="00D76338">
              <w:rPr>
                <w:rFonts w:cs="Times New Roman"/>
                <w:b/>
                <w:szCs w:val="24"/>
              </w:rPr>
              <w:t xml:space="preserve"> </w:t>
            </w:r>
            <w:r w:rsidRPr="00A9552B">
              <w:rPr>
                <w:rFonts w:cs="Times New Roman"/>
                <w:szCs w:val="24"/>
              </w:rPr>
              <w:t xml:space="preserve">4 – 6 </w:t>
            </w:r>
            <w:r>
              <w:rPr>
                <w:rFonts w:cs="Times New Roman"/>
                <w:szCs w:val="24"/>
              </w:rPr>
              <w:t>ml</w:t>
            </w:r>
            <w:r w:rsidRPr="00A9552B">
              <w:rPr>
                <w:rFonts w:cs="Times New Roman"/>
                <w:szCs w:val="24"/>
              </w:rPr>
              <w:t xml:space="preserve"> (400,000 – 600,000 U) 4 times daily (half dose in each side of the oral) after food usually for 7 days, continue for 48 hours after lesions have resolved.</w:t>
            </w:r>
          </w:p>
        </w:tc>
      </w:tr>
      <w:tr w:rsidR="00AA0D47" w:rsidRPr="00E4559C" w14:paraId="600ADD60" w14:textId="77777777" w:rsidTr="002D6DD7">
        <w:tc>
          <w:tcPr>
            <w:tcW w:w="2605" w:type="dxa"/>
          </w:tcPr>
          <w:p w14:paraId="26E16843" w14:textId="77777777" w:rsidR="00AA0D47" w:rsidRPr="00A9552B" w:rsidRDefault="00AA0D47" w:rsidP="002D6DD7">
            <w:pPr>
              <w:jc w:val="both"/>
              <w:rPr>
                <w:rFonts w:cs="Times New Roman"/>
                <w:szCs w:val="24"/>
              </w:rPr>
            </w:pPr>
            <w:r w:rsidRPr="00A9552B">
              <w:rPr>
                <w:rFonts w:cs="Times New Roman"/>
                <w:szCs w:val="24"/>
              </w:rPr>
              <w:lastRenderedPageBreak/>
              <w:t>Contraindications</w:t>
            </w:r>
          </w:p>
        </w:tc>
        <w:tc>
          <w:tcPr>
            <w:tcW w:w="6746" w:type="dxa"/>
          </w:tcPr>
          <w:p w14:paraId="3069A5D0" w14:textId="77777777" w:rsidR="00AA0D47" w:rsidRPr="00A9552B" w:rsidRDefault="00AA0D47" w:rsidP="002D6DD7">
            <w:pPr>
              <w:jc w:val="both"/>
              <w:rPr>
                <w:rFonts w:cs="Times New Roman"/>
                <w:szCs w:val="24"/>
              </w:rPr>
            </w:pPr>
            <w:r w:rsidRPr="00A9552B">
              <w:rPr>
                <w:rFonts w:cs="Times New Roman"/>
                <w:szCs w:val="24"/>
              </w:rPr>
              <w:t xml:space="preserve">Hypersensitivity to the </w:t>
            </w:r>
            <w:r>
              <w:rPr>
                <w:rFonts w:cs="Times New Roman"/>
                <w:szCs w:val="24"/>
              </w:rPr>
              <w:t>drug</w:t>
            </w:r>
            <w:r w:rsidRPr="00A9552B">
              <w:rPr>
                <w:rFonts w:cs="Times New Roman"/>
                <w:szCs w:val="24"/>
              </w:rPr>
              <w:t>.</w:t>
            </w:r>
          </w:p>
        </w:tc>
      </w:tr>
      <w:tr w:rsidR="00AA0D47" w:rsidRPr="00E4559C" w14:paraId="6438DFE3" w14:textId="77777777" w:rsidTr="002D6DD7">
        <w:tc>
          <w:tcPr>
            <w:tcW w:w="2605" w:type="dxa"/>
          </w:tcPr>
          <w:p w14:paraId="1BDB8A4A"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5054E743" w14:textId="77777777" w:rsidR="00AA0D47" w:rsidRPr="00A9552B" w:rsidRDefault="00AA0D47" w:rsidP="002D6DD7">
            <w:pPr>
              <w:jc w:val="both"/>
              <w:rPr>
                <w:rFonts w:cs="Times New Roman"/>
                <w:szCs w:val="24"/>
              </w:rPr>
            </w:pPr>
            <w:r>
              <w:rPr>
                <w:rFonts w:cs="Times New Roman"/>
                <w:szCs w:val="24"/>
              </w:rPr>
              <w:t xml:space="preserve">There </w:t>
            </w:r>
            <w:r w:rsidR="00F84B47">
              <w:rPr>
                <w:rFonts w:cs="Times New Roman"/>
                <w:szCs w:val="24"/>
              </w:rPr>
              <w:t>is</w:t>
            </w:r>
            <w:r>
              <w:rPr>
                <w:rFonts w:cs="Times New Roman"/>
                <w:szCs w:val="24"/>
              </w:rPr>
              <w:t xml:space="preserve"> n</w:t>
            </w:r>
            <w:r w:rsidRPr="00A9552B">
              <w:rPr>
                <w:rFonts w:cs="Times New Roman"/>
                <w:szCs w:val="24"/>
              </w:rPr>
              <w:t xml:space="preserve">o significant </w:t>
            </w:r>
            <w:r>
              <w:rPr>
                <w:rFonts w:cs="Times New Roman"/>
                <w:szCs w:val="24"/>
              </w:rPr>
              <w:t xml:space="preserve">drug </w:t>
            </w:r>
            <w:r w:rsidRPr="00A9552B">
              <w:rPr>
                <w:rFonts w:cs="Times New Roman"/>
                <w:szCs w:val="24"/>
              </w:rPr>
              <w:t>interaction.</w:t>
            </w:r>
          </w:p>
        </w:tc>
      </w:tr>
      <w:tr w:rsidR="00AA0D47" w:rsidRPr="00E4559C" w14:paraId="778914B6" w14:textId="77777777" w:rsidTr="002D6DD7">
        <w:tc>
          <w:tcPr>
            <w:tcW w:w="2605" w:type="dxa"/>
          </w:tcPr>
          <w:p w14:paraId="74F1EC8A"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000C6B9D" w14:textId="77777777" w:rsidR="00AA0D47" w:rsidRPr="00A9552B" w:rsidRDefault="00AA0D47" w:rsidP="002D6DD7">
            <w:pPr>
              <w:jc w:val="both"/>
              <w:rPr>
                <w:rFonts w:cs="Times New Roman"/>
                <w:szCs w:val="24"/>
              </w:rPr>
            </w:pPr>
            <w:r w:rsidRPr="00A9552B">
              <w:rPr>
                <w:rFonts w:cs="Times New Roman"/>
                <w:szCs w:val="24"/>
              </w:rPr>
              <w:t xml:space="preserve">Diarrhoea, gastrointestinal </w:t>
            </w:r>
            <w:r>
              <w:rPr>
                <w:rFonts w:cs="Times New Roman"/>
                <w:szCs w:val="24"/>
              </w:rPr>
              <w:t>distress, nausea and vomiting, r</w:t>
            </w:r>
            <w:r w:rsidRPr="00A9552B">
              <w:rPr>
                <w:rFonts w:cs="Times New Roman"/>
                <w:szCs w:val="24"/>
              </w:rPr>
              <w:t>ash, including urticaria, Steven-Johnson Syndrome.</w:t>
            </w:r>
          </w:p>
        </w:tc>
      </w:tr>
      <w:tr w:rsidR="00AA0D47" w:rsidRPr="00E4559C" w14:paraId="21BEEE63" w14:textId="77777777" w:rsidTr="002D6DD7">
        <w:tc>
          <w:tcPr>
            <w:tcW w:w="2605" w:type="dxa"/>
          </w:tcPr>
          <w:p w14:paraId="60EC908A"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6E71E083" w14:textId="77777777" w:rsidR="00AA0D47" w:rsidRPr="00D76338" w:rsidRDefault="00AA0D47" w:rsidP="002D6DD7">
            <w:pPr>
              <w:jc w:val="both"/>
              <w:rPr>
                <w:rFonts w:cs="Times New Roman"/>
                <w:szCs w:val="24"/>
              </w:rPr>
            </w:pPr>
            <w:r w:rsidRPr="00D76338">
              <w:rPr>
                <w:rFonts w:cs="Times New Roman"/>
                <w:szCs w:val="24"/>
              </w:rPr>
              <w:t>Patients with rare hereditary problems of fructose intolerance, glucose-galactose malabsorption or su</w:t>
            </w:r>
            <w:r>
              <w:rPr>
                <w:rFonts w:cs="Times New Roman"/>
                <w:szCs w:val="24"/>
              </w:rPr>
              <w:t>crase-isomaltase insufficiency.</w:t>
            </w:r>
          </w:p>
        </w:tc>
      </w:tr>
      <w:tr w:rsidR="00AA0D47" w:rsidRPr="00E4559C" w14:paraId="606AB80C" w14:textId="77777777" w:rsidTr="002D6DD7">
        <w:tc>
          <w:tcPr>
            <w:tcW w:w="2605" w:type="dxa"/>
          </w:tcPr>
          <w:p w14:paraId="34CC1BEA"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1557B295" w14:textId="77777777" w:rsidR="00AA0D47" w:rsidRPr="00A9552B" w:rsidRDefault="00AA0D47" w:rsidP="002D6DD7">
            <w:pPr>
              <w:jc w:val="both"/>
              <w:rPr>
                <w:rFonts w:cs="Times New Roman"/>
                <w:szCs w:val="24"/>
              </w:rPr>
            </w:pPr>
            <w:r w:rsidRPr="00A9552B">
              <w:rPr>
                <w:rFonts w:cs="Times New Roman"/>
                <w:szCs w:val="24"/>
              </w:rPr>
              <w:t xml:space="preserve">Store </w:t>
            </w:r>
            <w:r w:rsidRPr="00A9552B">
              <w:rPr>
                <w:rFonts w:cs="Times New Roman"/>
                <w:spacing w:val="-2"/>
                <w:szCs w:val="24"/>
              </w:rPr>
              <w:t>below 30°C.</w:t>
            </w:r>
          </w:p>
        </w:tc>
      </w:tr>
      <w:tr w:rsidR="00AA0D47" w:rsidRPr="00E4559C" w14:paraId="6406012B" w14:textId="77777777" w:rsidTr="002D6DD7">
        <w:tc>
          <w:tcPr>
            <w:tcW w:w="9351" w:type="dxa"/>
            <w:gridSpan w:val="2"/>
          </w:tcPr>
          <w:p w14:paraId="79238DDB" w14:textId="77777777" w:rsidR="00AA0D47" w:rsidRPr="00D76338" w:rsidRDefault="00AA0D47" w:rsidP="002D6DD7">
            <w:pPr>
              <w:jc w:val="both"/>
              <w:rPr>
                <w:rFonts w:cs="Times New Roman"/>
                <w:b/>
                <w:bCs/>
                <w:szCs w:val="24"/>
              </w:rPr>
            </w:pPr>
            <w:r>
              <w:rPr>
                <w:rFonts w:cs="Times New Roman"/>
                <w:b/>
                <w:bCs/>
                <w:szCs w:val="24"/>
              </w:rPr>
              <w:t>Oxytetracycline hydrochloride + hydrocortisone acetate + p</w:t>
            </w:r>
            <w:r w:rsidRPr="00D76338">
              <w:rPr>
                <w:rFonts w:cs="Times New Roman"/>
                <w:b/>
                <w:bCs/>
                <w:szCs w:val="24"/>
              </w:rPr>
              <w:t>olymixin B sulphate</w:t>
            </w:r>
          </w:p>
        </w:tc>
      </w:tr>
      <w:tr w:rsidR="00AA0D47" w:rsidRPr="00E4559C" w14:paraId="4D8B1958" w14:textId="77777777" w:rsidTr="002D6DD7">
        <w:tc>
          <w:tcPr>
            <w:tcW w:w="2605" w:type="dxa"/>
          </w:tcPr>
          <w:p w14:paraId="5567BD24"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07CFE4D9" w14:textId="77777777" w:rsidR="00AA0D47" w:rsidRPr="00A9552B" w:rsidRDefault="00AA0D47" w:rsidP="002D6DD7">
            <w:pPr>
              <w:jc w:val="both"/>
              <w:rPr>
                <w:rFonts w:cs="Times New Roman"/>
                <w:szCs w:val="24"/>
              </w:rPr>
            </w:pPr>
            <w:r w:rsidRPr="00A9552B">
              <w:rPr>
                <w:rFonts w:cs="Times New Roman"/>
                <w:szCs w:val="24"/>
              </w:rPr>
              <w:t xml:space="preserve">Antibacterial and corticosteroid </w:t>
            </w:r>
          </w:p>
        </w:tc>
      </w:tr>
      <w:tr w:rsidR="00AA0D47" w:rsidRPr="00E4559C" w14:paraId="127DB481" w14:textId="77777777" w:rsidTr="002D6DD7">
        <w:tc>
          <w:tcPr>
            <w:tcW w:w="2605" w:type="dxa"/>
          </w:tcPr>
          <w:p w14:paraId="6C582DDE"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0DE482E1" w14:textId="77777777" w:rsidR="00AA0D47" w:rsidRPr="00A9552B" w:rsidRDefault="00AA0D47" w:rsidP="002D6DD7">
            <w:pPr>
              <w:jc w:val="both"/>
              <w:rPr>
                <w:rFonts w:cs="Times New Roman"/>
                <w:szCs w:val="24"/>
              </w:rPr>
            </w:pPr>
            <w:r w:rsidRPr="00D76338">
              <w:rPr>
                <w:rFonts w:eastAsia="Times New Roman" w:cs="Times New Roman"/>
                <w:szCs w:val="24"/>
              </w:rPr>
              <w:t>Ear drops: 5mg +15mg + 10,000U/</w:t>
            </w:r>
            <w:r>
              <w:rPr>
                <w:rFonts w:eastAsia="Times New Roman" w:cs="Times New Roman"/>
                <w:szCs w:val="24"/>
              </w:rPr>
              <w:t>ml</w:t>
            </w:r>
            <w:r w:rsidRPr="00D76338">
              <w:rPr>
                <w:rFonts w:eastAsia="Times New Roman" w:cs="Times New Roman"/>
                <w:szCs w:val="24"/>
              </w:rPr>
              <w:t xml:space="preserve"> </w:t>
            </w:r>
          </w:p>
        </w:tc>
      </w:tr>
      <w:tr w:rsidR="00AA0D47" w:rsidRPr="00E4559C" w14:paraId="3CD9571D" w14:textId="77777777" w:rsidTr="002D6DD7">
        <w:tc>
          <w:tcPr>
            <w:tcW w:w="2605" w:type="dxa"/>
          </w:tcPr>
          <w:p w14:paraId="7B826644"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549A41C0" w14:textId="77777777" w:rsidR="00AA0D47" w:rsidRPr="00A9552B" w:rsidRDefault="00AA0D47" w:rsidP="002D6DD7">
            <w:pPr>
              <w:jc w:val="both"/>
              <w:rPr>
                <w:rFonts w:cs="Times New Roman"/>
                <w:szCs w:val="24"/>
              </w:rPr>
            </w:pPr>
            <w:r w:rsidRPr="00A9552B">
              <w:rPr>
                <w:rFonts w:cs="Times New Roman"/>
                <w:szCs w:val="24"/>
              </w:rPr>
              <w:t>Bacterial</w:t>
            </w:r>
            <w:r w:rsidRPr="00A9552B">
              <w:rPr>
                <w:rFonts w:cs="Times New Roman"/>
                <w:spacing w:val="33"/>
                <w:szCs w:val="24"/>
              </w:rPr>
              <w:t xml:space="preserve"> </w:t>
            </w:r>
            <w:r w:rsidRPr="00A9552B">
              <w:rPr>
                <w:rFonts w:cs="Times New Roman"/>
                <w:szCs w:val="24"/>
              </w:rPr>
              <w:t>infection</w:t>
            </w:r>
            <w:r w:rsidRPr="00A9552B">
              <w:rPr>
                <w:rFonts w:cs="Times New Roman"/>
                <w:spacing w:val="33"/>
                <w:szCs w:val="24"/>
              </w:rPr>
              <w:t xml:space="preserve"> </w:t>
            </w:r>
            <w:r w:rsidRPr="00A9552B">
              <w:rPr>
                <w:rFonts w:cs="Times New Roman"/>
                <w:szCs w:val="24"/>
              </w:rPr>
              <w:t>with</w:t>
            </w:r>
            <w:r w:rsidRPr="00A9552B">
              <w:rPr>
                <w:rFonts w:cs="Times New Roman"/>
                <w:spacing w:val="33"/>
                <w:szCs w:val="24"/>
              </w:rPr>
              <w:t xml:space="preserve"> </w:t>
            </w:r>
            <w:r w:rsidRPr="00A9552B">
              <w:rPr>
                <w:rFonts w:cs="Times New Roman"/>
                <w:szCs w:val="24"/>
              </w:rPr>
              <w:t>eczematous</w:t>
            </w:r>
            <w:r w:rsidRPr="00A9552B">
              <w:rPr>
                <w:rFonts w:cs="Times New Roman"/>
                <w:spacing w:val="33"/>
                <w:szCs w:val="24"/>
              </w:rPr>
              <w:t xml:space="preserve"> </w:t>
            </w:r>
            <w:r w:rsidRPr="00A9552B">
              <w:rPr>
                <w:rFonts w:cs="Times New Roman"/>
                <w:szCs w:val="24"/>
              </w:rPr>
              <w:t>inflammation</w:t>
            </w:r>
            <w:r w:rsidRPr="00A9552B">
              <w:rPr>
                <w:rFonts w:cs="Times New Roman"/>
                <w:spacing w:val="-57"/>
                <w:szCs w:val="24"/>
              </w:rPr>
              <w:t xml:space="preserve"> </w:t>
            </w:r>
            <w:r w:rsidRPr="00A9552B">
              <w:rPr>
                <w:rFonts w:cs="Times New Roman"/>
                <w:szCs w:val="24"/>
              </w:rPr>
              <w:t>in</w:t>
            </w:r>
            <w:r w:rsidRPr="00A9552B">
              <w:rPr>
                <w:rFonts w:cs="Times New Roman"/>
                <w:spacing w:val="-1"/>
                <w:szCs w:val="24"/>
              </w:rPr>
              <w:t xml:space="preserve"> </w:t>
            </w:r>
            <w:r w:rsidRPr="00A9552B">
              <w:rPr>
                <w:rFonts w:cs="Times New Roman"/>
                <w:szCs w:val="24"/>
              </w:rPr>
              <w:t>otitis external</w:t>
            </w:r>
          </w:p>
        </w:tc>
      </w:tr>
      <w:tr w:rsidR="00AA0D47" w:rsidRPr="00E4559C" w14:paraId="65DC3778" w14:textId="77777777" w:rsidTr="002D6DD7">
        <w:tc>
          <w:tcPr>
            <w:tcW w:w="2605" w:type="dxa"/>
          </w:tcPr>
          <w:p w14:paraId="78EFD0BE"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232807BB" w14:textId="77777777" w:rsidR="00AA0D47" w:rsidRPr="00D76338" w:rsidRDefault="00AA0D47" w:rsidP="002D6DD7">
            <w:pPr>
              <w:jc w:val="both"/>
              <w:rPr>
                <w:rFonts w:cs="Times New Roman"/>
                <w:b/>
                <w:szCs w:val="24"/>
              </w:rPr>
            </w:pPr>
            <w:r w:rsidRPr="00D76338">
              <w:rPr>
                <w:rFonts w:cs="Times New Roman"/>
                <w:b/>
                <w:szCs w:val="24"/>
              </w:rPr>
              <w:t>Adult and pediatric</w:t>
            </w:r>
            <w:r w:rsidRPr="00D76338">
              <w:rPr>
                <w:rFonts w:cs="Times New Roman"/>
                <w:b/>
                <w:szCs w:val="24"/>
                <w:u w:val="single"/>
              </w:rPr>
              <w:t xml:space="preserve"> &gt;</w:t>
            </w:r>
            <w:r w:rsidRPr="00D76338">
              <w:rPr>
                <w:rFonts w:cs="Times New Roman"/>
                <w:b/>
                <w:szCs w:val="24"/>
              </w:rPr>
              <w:t>8years</w:t>
            </w:r>
            <w:r w:rsidR="00F84B47">
              <w:rPr>
                <w:rFonts w:cs="Times New Roman"/>
                <w:b/>
                <w:szCs w:val="24"/>
              </w:rPr>
              <w:t>:</w:t>
            </w:r>
          </w:p>
          <w:p w14:paraId="51BD4A67" w14:textId="77777777" w:rsidR="00AA0D47" w:rsidRPr="00A9552B" w:rsidRDefault="00AA0D47" w:rsidP="002D6DD7">
            <w:pPr>
              <w:jc w:val="both"/>
              <w:rPr>
                <w:rFonts w:cs="Times New Roman"/>
                <w:szCs w:val="24"/>
              </w:rPr>
            </w:pPr>
            <w:r w:rsidRPr="00A9552B">
              <w:rPr>
                <w:rFonts w:cs="Times New Roman"/>
                <w:szCs w:val="24"/>
              </w:rPr>
              <w:t>Instil two to four drops into the affected ear three times daily.</w:t>
            </w:r>
          </w:p>
        </w:tc>
      </w:tr>
      <w:tr w:rsidR="00AA0D47" w:rsidRPr="00E4559C" w14:paraId="2E42B4F1" w14:textId="77777777" w:rsidTr="002D6DD7">
        <w:tc>
          <w:tcPr>
            <w:tcW w:w="2605" w:type="dxa"/>
          </w:tcPr>
          <w:p w14:paraId="4C48DF91"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22B5A9E0"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w:t>
            </w:r>
            <w:r w:rsidRPr="00A9552B">
              <w:rPr>
                <w:rFonts w:cs="Times New Roman"/>
                <w:szCs w:val="24"/>
              </w:rPr>
              <w:t xml:space="preserve">, </w:t>
            </w:r>
            <w:r>
              <w:rPr>
                <w:rFonts w:cs="Times New Roman"/>
                <w:szCs w:val="24"/>
              </w:rPr>
              <w:t>a</w:t>
            </w:r>
            <w:r w:rsidRPr="00A9552B">
              <w:rPr>
                <w:rFonts w:cs="Times New Roman"/>
                <w:szCs w:val="24"/>
              </w:rPr>
              <w:t>cute herpes simplex, vaccinia, varicella and other viral diseases of the cornea, viral otic infections, perforated</w:t>
            </w:r>
            <w:r w:rsidRPr="00A9552B">
              <w:rPr>
                <w:rFonts w:cs="Times New Roman"/>
                <w:spacing w:val="-3"/>
                <w:szCs w:val="24"/>
              </w:rPr>
              <w:t xml:space="preserve"> </w:t>
            </w:r>
            <w:r w:rsidRPr="00A9552B">
              <w:rPr>
                <w:rFonts w:cs="Times New Roman"/>
                <w:szCs w:val="24"/>
              </w:rPr>
              <w:t>tympanic</w:t>
            </w:r>
            <w:r w:rsidRPr="00A9552B">
              <w:rPr>
                <w:rFonts w:cs="Times New Roman"/>
                <w:spacing w:val="-4"/>
                <w:szCs w:val="24"/>
              </w:rPr>
              <w:t xml:space="preserve"> </w:t>
            </w:r>
            <w:r>
              <w:rPr>
                <w:rFonts w:cs="Times New Roman"/>
                <w:szCs w:val="24"/>
              </w:rPr>
              <w:t>membrane</w:t>
            </w:r>
            <w:r w:rsidRPr="00A9552B">
              <w:rPr>
                <w:rFonts w:cs="Times New Roman"/>
                <w:szCs w:val="24"/>
              </w:rPr>
              <w:t xml:space="preserve"> </w:t>
            </w:r>
            <w:r>
              <w:rPr>
                <w:rFonts w:cs="Times New Roman"/>
                <w:szCs w:val="24"/>
              </w:rPr>
              <w:t>and perforation of the eardrum.</w:t>
            </w:r>
          </w:p>
        </w:tc>
      </w:tr>
      <w:tr w:rsidR="00AA0D47" w:rsidRPr="00E4559C" w14:paraId="70F93ADD" w14:textId="77777777" w:rsidTr="002D6DD7">
        <w:tc>
          <w:tcPr>
            <w:tcW w:w="2605" w:type="dxa"/>
          </w:tcPr>
          <w:p w14:paraId="50244EBA"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1BED12DC" w14:textId="77777777" w:rsidR="00AA0D47" w:rsidRPr="00A9552B" w:rsidRDefault="00AA0D47" w:rsidP="002D6DD7">
            <w:pPr>
              <w:jc w:val="both"/>
              <w:rPr>
                <w:rFonts w:cs="Times New Roman"/>
                <w:szCs w:val="24"/>
              </w:rPr>
            </w:pPr>
            <w:r>
              <w:rPr>
                <w:rFonts w:cs="Times New Roman"/>
                <w:szCs w:val="24"/>
              </w:rPr>
              <w:t xml:space="preserve">There </w:t>
            </w:r>
            <w:r w:rsidR="00F84B47">
              <w:rPr>
                <w:rFonts w:cs="Times New Roman"/>
                <w:szCs w:val="24"/>
              </w:rPr>
              <w:t>is</w:t>
            </w:r>
            <w:r>
              <w:rPr>
                <w:rFonts w:cs="Times New Roman"/>
                <w:szCs w:val="24"/>
              </w:rPr>
              <w:t xml:space="preserve"> n</w:t>
            </w:r>
            <w:r w:rsidRPr="00A9552B">
              <w:rPr>
                <w:rFonts w:cs="Times New Roman"/>
                <w:szCs w:val="24"/>
              </w:rPr>
              <w:t xml:space="preserve">o significant </w:t>
            </w:r>
            <w:r>
              <w:rPr>
                <w:rFonts w:cs="Times New Roman"/>
                <w:szCs w:val="24"/>
              </w:rPr>
              <w:t xml:space="preserve">drug </w:t>
            </w:r>
            <w:r w:rsidRPr="00A9552B">
              <w:rPr>
                <w:rFonts w:cs="Times New Roman"/>
                <w:szCs w:val="24"/>
              </w:rPr>
              <w:t>interaction.</w:t>
            </w:r>
          </w:p>
        </w:tc>
      </w:tr>
      <w:tr w:rsidR="00AA0D47" w:rsidRPr="00E4559C" w14:paraId="789AB543" w14:textId="77777777" w:rsidTr="002D6DD7">
        <w:tc>
          <w:tcPr>
            <w:tcW w:w="2605" w:type="dxa"/>
          </w:tcPr>
          <w:p w14:paraId="2454324A"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D19FA0D" w14:textId="77777777" w:rsidR="00AA0D47" w:rsidRPr="00A9552B" w:rsidRDefault="00AA0D47" w:rsidP="002D6DD7">
            <w:pPr>
              <w:jc w:val="both"/>
              <w:rPr>
                <w:rFonts w:cs="Times New Roman"/>
                <w:szCs w:val="24"/>
              </w:rPr>
            </w:pPr>
            <w:r w:rsidRPr="00A9552B">
              <w:rPr>
                <w:rFonts w:cs="Times New Roman"/>
                <w:szCs w:val="24"/>
              </w:rPr>
              <w:t>Local</w:t>
            </w:r>
            <w:r w:rsidRPr="00A9552B">
              <w:rPr>
                <w:rFonts w:cs="Times New Roman"/>
                <w:spacing w:val="-1"/>
                <w:szCs w:val="24"/>
              </w:rPr>
              <w:t xml:space="preserve"> </w:t>
            </w:r>
            <w:r w:rsidRPr="00A9552B">
              <w:rPr>
                <w:rFonts w:cs="Times New Roman"/>
                <w:szCs w:val="24"/>
              </w:rPr>
              <w:t>sensitivity</w:t>
            </w:r>
            <w:r w:rsidRPr="00A9552B">
              <w:rPr>
                <w:rFonts w:cs="Times New Roman"/>
                <w:spacing w:val="-6"/>
                <w:szCs w:val="24"/>
              </w:rPr>
              <w:t xml:space="preserve"> </w:t>
            </w:r>
            <w:r w:rsidRPr="00A9552B">
              <w:rPr>
                <w:rFonts w:cs="Times New Roman"/>
                <w:szCs w:val="24"/>
              </w:rPr>
              <w:t>reactions, secondary infection (bacterial, fungal).</w:t>
            </w:r>
          </w:p>
        </w:tc>
      </w:tr>
      <w:tr w:rsidR="00AA0D47" w:rsidRPr="00E4559C" w14:paraId="5518A1B8" w14:textId="77777777" w:rsidTr="002D6DD7">
        <w:tc>
          <w:tcPr>
            <w:tcW w:w="2605" w:type="dxa"/>
          </w:tcPr>
          <w:p w14:paraId="6228C4CC"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5112B0E2" w14:textId="77777777" w:rsidR="00AA0D47" w:rsidRPr="00A9552B" w:rsidRDefault="00AA0D47" w:rsidP="002D6DD7">
            <w:pPr>
              <w:jc w:val="both"/>
              <w:rPr>
                <w:rFonts w:cs="Times New Roman"/>
                <w:szCs w:val="24"/>
              </w:rPr>
            </w:pPr>
            <w:r>
              <w:rPr>
                <w:rFonts w:cs="Times New Roman"/>
                <w:szCs w:val="24"/>
              </w:rPr>
              <w:t>P</w:t>
            </w:r>
            <w:r w:rsidRPr="00A9552B">
              <w:rPr>
                <w:rFonts w:cs="Times New Roman"/>
                <w:szCs w:val="24"/>
              </w:rPr>
              <w:t>rolonged</w:t>
            </w:r>
            <w:r w:rsidRPr="00A9552B">
              <w:rPr>
                <w:rFonts w:cs="Times New Roman"/>
                <w:spacing w:val="-1"/>
                <w:szCs w:val="24"/>
              </w:rPr>
              <w:t xml:space="preserve"> </w:t>
            </w:r>
            <w:r w:rsidRPr="00A9552B">
              <w:rPr>
                <w:rFonts w:cs="Times New Roman"/>
                <w:szCs w:val="24"/>
              </w:rPr>
              <w:t>use</w:t>
            </w:r>
          </w:p>
        </w:tc>
      </w:tr>
      <w:tr w:rsidR="00AA0D47" w:rsidRPr="00E4559C" w14:paraId="68C1CA7A" w14:textId="77777777" w:rsidTr="002D6DD7">
        <w:tc>
          <w:tcPr>
            <w:tcW w:w="2605" w:type="dxa"/>
          </w:tcPr>
          <w:p w14:paraId="2D0104F5"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1B28012D" w14:textId="77777777" w:rsidR="00AA0D47" w:rsidRPr="00A9552B" w:rsidRDefault="00AA0D47" w:rsidP="002D6DD7">
            <w:pPr>
              <w:jc w:val="both"/>
              <w:rPr>
                <w:rFonts w:cs="Times New Roman"/>
                <w:szCs w:val="24"/>
              </w:rPr>
            </w:pPr>
            <w:r w:rsidRPr="00A9552B">
              <w:rPr>
                <w:rFonts w:cs="Times New Roman"/>
                <w:szCs w:val="24"/>
              </w:rPr>
              <w:t xml:space="preserve">Store </w:t>
            </w:r>
            <w:r>
              <w:rPr>
                <w:rFonts w:cs="Times New Roman"/>
                <w:szCs w:val="24"/>
              </w:rPr>
              <w:t>below 30°C. Pro</w:t>
            </w:r>
            <w:r w:rsidRPr="00A9552B">
              <w:rPr>
                <w:rFonts w:cs="Times New Roman"/>
                <w:szCs w:val="24"/>
              </w:rPr>
              <w:t>tect from light.</w:t>
            </w:r>
          </w:p>
        </w:tc>
      </w:tr>
      <w:tr w:rsidR="00AA0D47" w:rsidRPr="00E4559C" w14:paraId="1E2AB9E3" w14:textId="77777777" w:rsidTr="002D6DD7">
        <w:tc>
          <w:tcPr>
            <w:tcW w:w="9351" w:type="dxa"/>
            <w:gridSpan w:val="2"/>
          </w:tcPr>
          <w:p w14:paraId="6D818DD3" w14:textId="77777777" w:rsidR="00AA0D47" w:rsidRPr="00D76338" w:rsidRDefault="00AA0D47" w:rsidP="002D6DD7">
            <w:pPr>
              <w:jc w:val="both"/>
              <w:rPr>
                <w:rFonts w:cs="Times New Roman"/>
                <w:b/>
                <w:szCs w:val="24"/>
              </w:rPr>
            </w:pPr>
            <w:r w:rsidRPr="00D76338">
              <w:rPr>
                <w:rFonts w:cs="Times New Roman"/>
                <w:b/>
                <w:szCs w:val="24"/>
              </w:rPr>
              <w:lastRenderedPageBreak/>
              <w:t>Pilocapine</w:t>
            </w:r>
          </w:p>
        </w:tc>
      </w:tr>
      <w:tr w:rsidR="00AA0D47" w:rsidRPr="00E4559C" w14:paraId="5A30A3A9" w14:textId="77777777" w:rsidTr="002D6DD7">
        <w:tc>
          <w:tcPr>
            <w:tcW w:w="2605" w:type="dxa"/>
          </w:tcPr>
          <w:p w14:paraId="6829F209"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2C37226E" w14:textId="77777777" w:rsidR="00AA0D47" w:rsidRPr="00D76338" w:rsidRDefault="00AA0D47" w:rsidP="002D6DD7">
            <w:pPr>
              <w:jc w:val="both"/>
              <w:rPr>
                <w:rFonts w:cs="Times New Roman"/>
                <w:b/>
                <w:szCs w:val="24"/>
              </w:rPr>
            </w:pPr>
            <w:r w:rsidRPr="00D76338">
              <w:rPr>
                <w:rStyle w:val="Strong"/>
                <w:rFonts w:cs="Times New Roman"/>
                <w:b w:val="0"/>
                <w:szCs w:val="24"/>
                <w:shd w:val="clear" w:color="auto" w:fill="FFFFFF"/>
              </w:rPr>
              <w:t>Cholinomimetic agent</w:t>
            </w:r>
          </w:p>
        </w:tc>
      </w:tr>
      <w:tr w:rsidR="00AA0D47" w:rsidRPr="00E4559C" w14:paraId="0E2511C2" w14:textId="77777777" w:rsidTr="002D6DD7">
        <w:tc>
          <w:tcPr>
            <w:tcW w:w="2605" w:type="dxa"/>
          </w:tcPr>
          <w:p w14:paraId="17037219"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7A3CEB8A" w14:textId="77777777" w:rsidR="00AA0D47" w:rsidRPr="00A9552B" w:rsidRDefault="00AA0D47" w:rsidP="002D6DD7">
            <w:pPr>
              <w:jc w:val="both"/>
              <w:rPr>
                <w:rFonts w:cs="Times New Roman"/>
                <w:szCs w:val="24"/>
              </w:rPr>
            </w:pPr>
            <w:r w:rsidRPr="00A9552B">
              <w:rPr>
                <w:rFonts w:cs="Times New Roman"/>
                <w:szCs w:val="24"/>
              </w:rPr>
              <w:t>Tablet:5mg</w:t>
            </w:r>
          </w:p>
        </w:tc>
      </w:tr>
      <w:tr w:rsidR="00AA0D47" w:rsidRPr="00E4559C" w14:paraId="3456FE07" w14:textId="77777777" w:rsidTr="002D6DD7">
        <w:tc>
          <w:tcPr>
            <w:tcW w:w="2605" w:type="dxa"/>
          </w:tcPr>
          <w:p w14:paraId="3F27066F"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572EAAB0" w14:textId="77777777" w:rsidR="00AA0D47" w:rsidRPr="00A9552B" w:rsidRDefault="00AA0D47" w:rsidP="002D6DD7">
            <w:pPr>
              <w:jc w:val="both"/>
              <w:rPr>
                <w:rFonts w:cs="Times New Roman"/>
                <w:szCs w:val="24"/>
              </w:rPr>
            </w:pPr>
            <w:r w:rsidRPr="00D76338">
              <w:rPr>
                <w:rFonts w:cs="Times New Roman"/>
                <w:szCs w:val="24"/>
              </w:rPr>
              <w:t>Alleviation of symptoms of salivary gland hypofunction in patients with severe xerostomia following irradi</w:t>
            </w:r>
            <w:r>
              <w:rPr>
                <w:rFonts w:cs="Times New Roman"/>
                <w:szCs w:val="24"/>
              </w:rPr>
              <w:t>ation for head and neck cancer, t</w:t>
            </w:r>
            <w:r w:rsidRPr="00D76338">
              <w:rPr>
                <w:rFonts w:cs="Times New Roman"/>
                <w:szCs w:val="24"/>
              </w:rPr>
              <w:t xml:space="preserve">reatment of symptoms of dry </w:t>
            </w:r>
            <w:r>
              <w:rPr>
                <w:rFonts w:cs="Times New Roman"/>
                <w:szCs w:val="24"/>
              </w:rPr>
              <w:t>mouth</w:t>
            </w:r>
            <w:r w:rsidRPr="00D76338">
              <w:rPr>
                <w:rFonts w:cs="Times New Roman"/>
                <w:szCs w:val="24"/>
              </w:rPr>
              <w:t xml:space="preserve"> and dry eyes in patients with Sjogren's syndrome.</w:t>
            </w:r>
          </w:p>
        </w:tc>
      </w:tr>
      <w:tr w:rsidR="00AA0D47" w:rsidRPr="00E4559C" w14:paraId="43B4D350" w14:textId="77777777" w:rsidTr="002D6DD7">
        <w:tc>
          <w:tcPr>
            <w:tcW w:w="2605" w:type="dxa"/>
          </w:tcPr>
          <w:p w14:paraId="085C0F17"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4EBB8FD7" w14:textId="77777777" w:rsidR="00AA0D47" w:rsidRDefault="00AA0D47" w:rsidP="002D6DD7">
            <w:pPr>
              <w:jc w:val="both"/>
              <w:rPr>
                <w:rFonts w:cs="Times New Roman"/>
                <w:b/>
                <w:szCs w:val="24"/>
              </w:rPr>
            </w:pPr>
            <w:r w:rsidRPr="00D76338">
              <w:rPr>
                <w:rFonts w:cs="Times New Roman"/>
                <w:b/>
                <w:szCs w:val="24"/>
              </w:rPr>
              <w:t>Radiation-induced Xerostomia</w:t>
            </w:r>
            <w:r>
              <w:rPr>
                <w:rFonts w:cs="Times New Roman"/>
                <w:b/>
                <w:szCs w:val="24"/>
              </w:rPr>
              <w:t xml:space="preserve">: </w:t>
            </w:r>
          </w:p>
          <w:p w14:paraId="0C8A0493" w14:textId="77777777" w:rsidR="00AA0D47" w:rsidRPr="002F2E0A" w:rsidRDefault="00AA0D47" w:rsidP="002D6DD7">
            <w:pPr>
              <w:jc w:val="both"/>
              <w:rPr>
                <w:rFonts w:cs="Times New Roman"/>
                <w:b/>
                <w:szCs w:val="24"/>
              </w:rPr>
            </w:pPr>
            <w:r>
              <w:rPr>
                <w:rFonts w:cs="Times New Roman"/>
                <w:b/>
                <w:szCs w:val="24"/>
              </w:rPr>
              <w:t xml:space="preserve">Adult: </w:t>
            </w:r>
            <w:r>
              <w:rPr>
                <w:rFonts w:cs="Times New Roman"/>
                <w:szCs w:val="24"/>
              </w:rPr>
              <w:t xml:space="preserve">5 mg orally every </w:t>
            </w:r>
            <w:r w:rsidRPr="00A9552B">
              <w:rPr>
                <w:rFonts w:cs="Times New Roman"/>
                <w:szCs w:val="24"/>
              </w:rPr>
              <w:t xml:space="preserve">8hr; may titrate up to 10 mg </w:t>
            </w:r>
            <w:r>
              <w:rPr>
                <w:rFonts w:cs="Times New Roman"/>
                <w:szCs w:val="24"/>
              </w:rPr>
              <w:t xml:space="preserve">orally every </w:t>
            </w:r>
            <w:r w:rsidRPr="00A9552B">
              <w:rPr>
                <w:rFonts w:cs="Times New Roman"/>
                <w:szCs w:val="24"/>
              </w:rPr>
              <w:t>8hr; not to exceed 30 mg/day</w:t>
            </w:r>
          </w:p>
          <w:p w14:paraId="25DE2A3C" w14:textId="77777777" w:rsidR="00AA0D47" w:rsidRPr="00D76338" w:rsidRDefault="00AA0D47" w:rsidP="002D6DD7">
            <w:pPr>
              <w:jc w:val="both"/>
              <w:rPr>
                <w:rFonts w:cs="Times New Roman"/>
                <w:b/>
                <w:szCs w:val="24"/>
              </w:rPr>
            </w:pPr>
            <w:r w:rsidRPr="00D76338">
              <w:rPr>
                <w:rFonts w:cs="Times New Roman"/>
                <w:b/>
                <w:szCs w:val="24"/>
              </w:rPr>
              <w:t>Xerostomia Associated with Stogner’s syndrome</w:t>
            </w:r>
          </w:p>
          <w:p w14:paraId="5707076D" w14:textId="77777777" w:rsidR="00AA0D47" w:rsidRPr="00A9552B" w:rsidRDefault="00AA0D47" w:rsidP="002D6DD7">
            <w:pPr>
              <w:jc w:val="both"/>
              <w:rPr>
                <w:rFonts w:cs="Times New Roman"/>
                <w:szCs w:val="24"/>
              </w:rPr>
            </w:pPr>
            <w:r>
              <w:rPr>
                <w:rFonts w:cs="Times New Roman"/>
                <w:b/>
                <w:szCs w:val="24"/>
              </w:rPr>
              <w:t xml:space="preserve">Adult: </w:t>
            </w:r>
            <w:r>
              <w:rPr>
                <w:rFonts w:cs="Times New Roman"/>
                <w:szCs w:val="24"/>
              </w:rPr>
              <w:t>5 mg orally every 6hr</w:t>
            </w:r>
          </w:p>
        </w:tc>
      </w:tr>
      <w:tr w:rsidR="00AA0D47" w:rsidRPr="00E4559C" w14:paraId="0BA4631C" w14:textId="77777777" w:rsidTr="002D6DD7">
        <w:tc>
          <w:tcPr>
            <w:tcW w:w="2605" w:type="dxa"/>
          </w:tcPr>
          <w:p w14:paraId="0B1B816D"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3940F283"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w:t>
            </w:r>
            <w:r w:rsidRPr="00A9552B">
              <w:rPr>
                <w:rFonts w:cs="Times New Roman"/>
                <w:szCs w:val="24"/>
              </w:rPr>
              <w:t>, uncontrolled cardio-renal disease, uncontrolled asthma and acute iritis.</w:t>
            </w:r>
          </w:p>
        </w:tc>
      </w:tr>
      <w:tr w:rsidR="00AA0D47" w:rsidRPr="00E4559C" w14:paraId="5B0D7076" w14:textId="77777777" w:rsidTr="002D6DD7">
        <w:tc>
          <w:tcPr>
            <w:tcW w:w="2605" w:type="dxa"/>
          </w:tcPr>
          <w:p w14:paraId="3C7AE2A4"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515593A1" w14:textId="77777777" w:rsidR="00AA0D47" w:rsidRPr="00A9552B" w:rsidRDefault="00AA0D47" w:rsidP="002D6DD7">
            <w:pPr>
              <w:jc w:val="both"/>
              <w:rPr>
                <w:rFonts w:cs="Times New Roman"/>
                <w:szCs w:val="24"/>
              </w:rPr>
            </w:pPr>
            <w:r>
              <w:rPr>
                <w:rFonts w:cs="Times New Roman"/>
                <w:szCs w:val="24"/>
              </w:rPr>
              <w:t>Beta adrenergic antagonists,</w:t>
            </w:r>
            <w:r w:rsidRPr="00A9552B">
              <w:rPr>
                <w:rFonts w:cs="Times New Roman"/>
                <w:szCs w:val="24"/>
              </w:rPr>
              <w:t xml:space="preserve"> other parasympathomimetic </w:t>
            </w:r>
          </w:p>
        </w:tc>
      </w:tr>
      <w:tr w:rsidR="00AA0D47" w:rsidRPr="00E4559C" w14:paraId="53ED0B33" w14:textId="77777777" w:rsidTr="002D6DD7">
        <w:tc>
          <w:tcPr>
            <w:tcW w:w="2605" w:type="dxa"/>
          </w:tcPr>
          <w:p w14:paraId="2DA04B11"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796C89BD" w14:textId="77777777" w:rsidR="00AA0D47" w:rsidRPr="00A9552B" w:rsidRDefault="00AA0D47" w:rsidP="002D6DD7">
            <w:pPr>
              <w:jc w:val="both"/>
              <w:rPr>
                <w:rFonts w:cs="Times New Roman"/>
                <w:szCs w:val="24"/>
              </w:rPr>
            </w:pPr>
            <w:r w:rsidRPr="00A9552B">
              <w:rPr>
                <w:rFonts w:cs="Times New Roman"/>
                <w:szCs w:val="24"/>
              </w:rPr>
              <w:t>Sweating, headache, flushing, dizziness, diarrhoea, atrioventricular block, tachycardia, bradycardia, shock, mental confusion, cardiac arrhy</w:t>
            </w:r>
            <w:r>
              <w:rPr>
                <w:rFonts w:cs="Times New Roman"/>
                <w:szCs w:val="24"/>
              </w:rPr>
              <w:t>thmia, and tremors, hypotension, lacrimation,</w:t>
            </w:r>
            <w:r w:rsidRPr="00A9552B">
              <w:rPr>
                <w:rFonts w:cs="Times New Roman"/>
                <w:szCs w:val="24"/>
              </w:rPr>
              <w:t xml:space="preserve"> blurred vision, abnormal vision, conjunctivitis, eye pain, rhinitis, dyspepsia, diarrhoea, abdominal pain, nausea, vomiting and increased urinary frequency, </w:t>
            </w:r>
          </w:p>
        </w:tc>
      </w:tr>
      <w:tr w:rsidR="00AA0D47" w:rsidRPr="00E4559C" w14:paraId="6AC63C6E" w14:textId="77777777" w:rsidTr="002D6DD7">
        <w:tc>
          <w:tcPr>
            <w:tcW w:w="2605" w:type="dxa"/>
          </w:tcPr>
          <w:p w14:paraId="47D380F6"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18074A9E" w14:textId="77777777" w:rsidR="00AA0D47" w:rsidRPr="00A9552B" w:rsidRDefault="00AA0D47" w:rsidP="002D6DD7">
            <w:pPr>
              <w:jc w:val="both"/>
              <w:rPr>
                <w:rFonts w:cs="Times New Roman"/>
                <w:szCs w:val="24"/>
              </w:rPr>
            </w:pPr>
            <w:r w:rsidRPr="00A9552B">
              <w:rPr>
                <w:rFonts w:cs="Times New Roman"/>
                <w:szCs w:val="24"/>
              </w:rPr>
              <w:t>Hepatic impairment, chronic bronchitis and/or chronic obstructive pulmonary disease, known or suspected cholelithi</w:t>
            </w:r>
            <w:r>
              <w:rPr>
                <w:rFonts w:cs="Times New Roman"/>
                <w:szCs w:val="24"/>
              </w:rPr>
              <w:t xml:space="preserve">asis or biliary tract disease, peptic ulceration, </w:t>
            </w:r>
            <w:r w:rsidRPr="00A9552B">
              <w:rPr>
                <w:rFonts w:cs="Times New Roman"/>
                <w:szCs w:val="24"/>
              </w:rPr>
              <w:t xml:space="preserve">underlying cognitive or psychiatric disturbances, renal insufficiency and narrow-angle glaucoma. </w:t>
            </w:r>
          </w:p>
        </w:tc>
      </w:tr>
      <w:tr w:rsidR="00AA0D47" w:rsidRPr="00E4559C" w14:paraId="53489889" w14:textId="77777777" w:rsidTr="002D6DD7">
        <w:tc>
          <w:tcPr>
            <w:tcW w:w="2605" w:type="dxa"/>
          </w:tcPr>
          <w:p w14:paraId="5209282B"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4456DC27" w14:textId="77777777" w:rsidR="00AA0D47" w:rsidRPr="00A9552B" w:rsidRDefault="00AA0D47" w:rsidP="002D6DD7">
            <w:pPr>
              <w:jc w:val="both"/>
              <w:rPr>
                <w:rFonts w:cs="Times New Roman"/>
                <w:szCs w:val="24"/>
              </w:rPr>
            </w:pPr>
            <w:r>
              <w:rPr>
                <w:rFonts w:cs="Times New Roman"/>
                <w:szCs w:val="24"/>
              </w:rPr>
              <w:t>Store below 30°C. P</w:t>
            </w:r>
            <w:r w:rsidRPr="00A9552B">
              <w:rPr>
                <w:rFonts w:cs="Times New Roman"/>
                <w:szCs w:val="24"/>
              </w:rPr>
              <w:t>rotect</w:t>
            </w:r>
            <w:r w:rsidRPr="00A9552B">
              <w:rPr>
                <w:rFonts w:cs="Times New Roman"/>
                <w:spacing w:val="-1"/>
                <w:szCs w:val="24"/>
              </w:rPr>
              <w:t xml:space="preserve"> </w:t>
            </w:r>
            <w:r w:rsidRPr="00A9552B">
              <w:rPr>
                <w:rFonts w:cs="Times New Roman"/>
                <w:szCs w:val="24"/>
              </w:rPr>
              <w:t>from</w:t>
            </w:r>
            <w:r w:rsidRPr="00A9552B">
              <w:rPr>
                <w:rFonts w:cs="Times New Roman"/>
                <w:spacing w:val="-2"/>
                <w:szCs w:val="24"/>
              </w:rPr>
              <w:t xml:space="preserve"> </w:t>
            </w:r>
            <w:r w:rsidRPr="00A9552B">
              <w:rPr>
                <w:rFonts w:cs="Times New Roman"/>
                <w:szCs w:val="24"/>
              </w:rPr>
              <w:t>light</w:t>
            </w:r>
            <w:r>
              <w:rPr>
                <w:rFonts w:cs="Times New Roman"/>
                <w:szCs w:val="24"/>
              </w:rPr>
              <w:t>.</w:t>
            </w:r>
          </w:p>
        </w:tc>
      </w:tr>
      <w:tr w:rsidR="00AA0D47" w:rsidRPr="00E4559C" w14:paraId="51E9E46D" w14:textId="77777777" w:rsidTr="002D6DD7">
        <w:tc>
          <w:tcPr>
            <w:tcW w:w="9351" w:type="dxa"/>
            <w:gridSpan w:val="2"/>
          </w:tcPr>
          <w:p w14:paraId="2310ADD7" w14:textId="77777777" w:rsidR="00AA0D47" w:rsidRPr="00D76338" w:rsidRDefault="00AA0D47" w:rsidP="002D6DD7">
            <w:pPr>
              <w:jc w:val="both"/>
              <w:rPr>
                <w:rFonts w:cs="Times New Roman"/>
                <w:b/>
                <w:szCs w:val="24"/>
              </w:rPr>
            </w:pPr>
            <w:r w:rsidRPr="00D76338">
              <w:rPr>
                <w:rFonts w:cs="Times New Roman"/>
                <w:b/>
                <w:szCs w:val="24"/>
              </w:rPr>
              <w:t>Saline spray</w:t>
            </w:r>
          </w:p>
        </w:tc>
      </w:tr>
      <w:tr w:rsidR="00AA0D47" w:rsidRPr="00E4559C" w14:paraId="0DD2A0B0" w14:textId="77777777" w:rsidTr="002D6DD7">
        <w:tc>
          <w:tcPr>
            <w:tcW w:w="2605" w:type="dxa"/>
          </w:tcPr>
          <w:p w14:paraId="14ED02D7"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6392B264" w14:textId="77777777" w:rsidR="00AA0D47" w:rsidRPr="00A9552B" w:rsidRDefault="00AA0D47" w:rsidP="002D6DD7">
            <w:pPr>
              <w:jc w:val="both"/>
              <w:rPr>
                <w:rFonts w:cs="Times New Roman"/>
                <w:szCs w:val="24"/>
              </w:rPr>
            </w:pPr>
            <w:r w:rsidRPr="00D76338">
              <w:rPr>
                <w:rFonts w:cs="Times New Roman"/>
                <w:szCs w:val="24"/>
                <w:shd w:val="clear" w:color="auto" w:fill="FFFFFF"/>
              </w:rPr>
              <w:t>Crystalloid: isotonic/h</w:t>
            </w:r>
            <w:r w:rsidRPr="00D76338">
              <w:rPr>
                <w:rFonts w:eastAsia="Times New Roman" w:cs="Times New Roman"/>
                <w:szCs w:val="24"/>
                <w:lang w:val="fr-FR"/>
              </w:rPr>
              <w:t xml:space="preserve">ypertonic préparation </w:t>
            </w:r>
          </w:p>
        </w:tc>
      </w:tr>
      <w:tr w:rsidR="00AA0D47" w:rsidRPr="00E4559C" w14:paraId="4E3C4C71" w14:textId="77777777" w:rsidTr="002D6DD7">
        <w:tc>
          <w:tcPr>
            <w:tcW w:w="2605" w:type="dxa"/>
          </w:tcPr>
          <w:p w14:paraId="646B4B2A"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032F7230" w14:textId="77777777" w:rsidR="00AA0D47" w:rsidRPr="00A9552B" w:rsidRDefault="00AA0D47" w:rsidP="002D6DD7">
            <w:pPr>
              <w:jc w:val="both"/>
              <w:rPr>
                <w:rFonts w:cs="Times New Roman"/>
                <w:szCs w:val="24"/>
              </w:rPr>
            </w:pPr>
            <w:r w:rsidRPr="00D76338">
              <w:rPr>
                <w:rFonts w:eastAsia="Times New Roman" w:cs="Times New Roman"/>
                <w:szCs w:val="24"/>
                <w:lang w:val="fr-FR"/>
              </w:rPr>
              <w:t>Isotonic : 0.9% ; Hypertonic : 3%</w:t>
            </w:r>
          </w:p>
        </w:tc>
      </w:tr>
      <w:tr w:rsidR="00AA0D47" w:rsidRPr="00E4559C" w14:paraId="147BB7DB" w14:textId="77777777" w:rsidTr="002D6DD7">
        <w:tc>
          <w:tcPr>
            <w:tcW w:w="2605" w:type="dxa"/>
          </w:tcPr>
          <w:p w14:paraId="7A4D5CF2"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04F3B537" w14:textId="77777777" w:rsidR="00AA0D47" w:rsidRPr="00A9552B" w:rsidRDefault="00AA0D47" w:rsidP="002D6DD7">
            <w:pPr>
              <w:jc w:val="both"/>
              <w:rPr>
                <w:rFonts w:cs="Times New Roman"/>
                <w:szCs w:val="24"/>
              </w:rPr>
            </w:pPr>
            <w:r w:rsidRPr="00D76338">
              <w:rPr>
                <w:rFonts w:cs="Times New Roman"/>
                <w:szCs w:val="24"/>
              </w:rPr>
              <w:t xml:space="preserve">For relieving nasal congestion by dissolving and softening thick </w:t>
            </w:r>
            <w:r w:rsidRPr="00D76338">
              <w:rPr>
                <w:rFonts w:cs="Times New Roman"/>
                <w:szCs w:val="24"/>
              </w:rPr>
              <w:lastRenderedPageBreak/>
              <w:t>and crusty mucus in the nose and pre</w:t>
            </w:r>
            <w:r>
              <w:rPr>
                <w:rFonts w:cs="Times New Roman"/>
                <w:szCs w:val="24"/>
              </w:rPr>
              <w:t>-</w:t>
            </w:r>
            <w:r w:rsidRPr="00D76338">
              <w:rPr>
                <w:rFonts w:cs="Times New Roman"/>
                <w:szCs w:val="24"/>
              </w:rPr>
              <w:t>treatment for nasal steroid</w:t>
            </w:r>
          </w:p>
        </w:tc>
      </w:tr>
      <w:tr w:rsidR="00AA0D47" w:rsidRPr="00E4559C" w14:paraId="4CAB1270" w14:textId="77777777" w:rsidTr="002D6DD7">
        <w:tc>
          <w:tcPr>
            <w:tcW w:w="2605" w:type="dxa"/>
          </w:tcPr>
          <w:p w14:paraId="6948FADD" w14:textId="77777777" w:rsidR="00AA0D47" w:rsidRPr="00A9552B" w:rsidRDefault="00AA0D47" w:rsidP="002D6DD7">
            <w:pPr>
              <w:jc w:val="both"/>
              <w:rPr>
                <w:rFonts w:cs="Times New Roman"/>
                <w:szCs w:val="24"/>
              </w:rPr>
            </w:pPr>
            <w:r w:rsidRPr="00A9552B">
              <w:rPr>
                <w:rFonts w:cs="Times New Roman"/>
                <w:szCs w:val="24"/>
              </w:rPr>
              <w:lastRenderedPageBreak/>
              <w:t>Dose and Administration</w:t>
            </w:r>
          </w:p>
        </w:tc>
        <w:tc>
          <w:tcPr>
            <w:tcW w:w="6746" w:type="dxa"/>
          </w:tcPr>
          <w:p w14:paraId="2FCCD3DE" w14:textId="77777777" w:rsidR="00AA0D47" w:rsidRPr="00D76338" w:rsidRDefault="00AA0D47" w:rsidP="002D6DD7">
            <w:pPr>
              <w:jc w:val="both"/>
              <w:rPr>
                <w:rFonts w:cs="Times New Roman"/>
                <w:szCs w:val="24"/>
              </w:rPr>
            </w:pPr>
            <w:r w:rsidRPr="00030593">
              <w:rPr>
                <w:rFonts w:cs="Times New Roman"/>
                <w:b/>
                <w:szCs w:val="24"/>
              </w:rPr>
              <w:t>Nasal dryness &amp; congestion:</w:t>
            </w:r>
            <w:r>
              <w:rPr>
                <w:rFonts w:cs="Times New Roman"/>
                <w:szCs w:val="24"/>
              </w:rPr>
              <w:t xml:space="preserve"> i</w:t>
            </w:r>
            <w:r w:rsidRPr="00D76338">
              <w:rPr>
                <w:rFonts w:cs="Times New Roman"/>
                <w:szCs w:val="24"/>
              </w:rPr>
              <w:t xml:space="preserve">sotonic solution (0.9%) </w:t>
            </w:r>
          </w:p>
          <w:p w14:paraId="5FE8AE7C" w14:textId="77777777" w:rsidR="00AA0D47" w:rsidRPr="00030593" w:rsidRDefault="00AA0D47" w:rsidP="003D3F76">
            <w:pPr>
              <w:pStyle w:val="ListParagraph"/>
              <w:numPr>
                <w:ilvl w:val="0"/>
                <w:numId w:val="32"/>
              </w:numPr>
              <w:spacing w:line="360" w:lineRule="auto"/>
              <w:rPr>
                <w:szCs w:val="24"/>
              </w:rPr>
            </w:pPr>
            <w:r w:rsidRPr="00030593">
              <w:rPr>
                <w:szCs w:val="24"/>
              </w:rPr>
              <w:t>Apply one or two drops in each nostril as needed</w:t>
            </w:r>
          </w:p>
          <w:p w14:paraId="7C7AA5C8" w14:textId="77777777" w:rsidR="00AA0D47" w:rsidRDefault="00AA0D47" w:rsidP="003D3F76">
            <w:pPr>
              <w:pStyle w:val="ListParagraph"/>
              <w:numPr>
                <w:ilvl w:val="0"/>
                <w:numId w:val="32"/>
              </w:numPr>
              <w:spacing w:line="360" w:lineRule="auto"/>
              <w:rPr>
                <w:szCs w:val="24"/>
              </w:rPr>
            </w:pPr>
            <w:r w:rsidRPr="00030593">
              <w:rPr>
                <w:szCs w:val="24"/>
              </w:rPr>
              <w:t xml:space="preserve">Turn your head to the left in the extended position. </w:t>
            </w:r>
          </w:p>
          <w:p w14:paraId="0836E897" w14:textId="77777777" w:rsidR="00AA0D47" w:rsidRPr="00030593" w:rsidRDefault="00AA0D47" w:rsidP="003D3F76">
            <w:pPr>
              <w:pStyle w:val="ListParagraph"/>
              <w:numPr>
                <w:ilvl w:val="0"/>
                <w:numId w:val="32"/>
              </w:numPr>
              <w:spacing w:line="360" w:lineRule="auto"/>
              <w:rPr>
                <w:szCs w:val="24"/>
              </w:rPr>
            </w:pPr>
            <w:r w:rsidRPr="00030593">
              <w:rPr>
                <w:szCs w:val="24"/>
              </w:rPr>
              <w:t xml:space="preserve">Gently introduce the tip at the entrance of the right nostril. Press the vial. </w:t>
            </w:r>
          </w:p>
          <w:p w14:paraId="3D8590F1" w14:textId="77777777" w:rsidR="00AA0D47" w:rsidRPr="00030593" w:rsidRDefault="00AA0D47" w:rsidP="003D3F76">
            <w:pPr>
              <w:pStyle w:val="ListParagraph"/>
              <w:numPr>
                <w:ilvl w:val="0"/>
                <w:numId w:val="32"/>
              </w:numPr>
              <w:spacing w:line="360" w:lineRule="auto"/>
              <w:rPr>
                <w:szCs w:val="24"/>
              </w:rPr>
            </w:pPr>
            <w:r w:rsidRPr="00030593">
              <w:rPr>
                <w:szCs w:val="24"/>
              </w:rPr>
              <w:t>Turn the head on the other side and repeat the same operation with the other nostril.</w:t>
            </w:r>
          </w:p>
          <w:p w14:paraId="48164E35" w14:textId="77777777" w:rsidR="00AA0D47" w:rsidRPr="00D76338" w:rsidRDefault="00AA0D47" w:rsidP="002D6DD7">
            <w:pPr>
              <w:jc w:val="both"/>
              <w:rPr>
                <w:rFonts w:cs="Times New Roman"/>
                <w:szCs w:val="24"/>
              </w:rPr>
            </w:pPr>
            <w:r w:rsidRPr="00030593">
              <w:rPr>
                <w:rFonts w:cs="Times New Roman"/>
                <w:b/>
                <w:szCs w:val="24"/>
              </w:rPr>
              <w:t>Pre-treatment for nasal steroid:</w:t>
            </w:r>
            <w:r>
              <w:rPr>
                <w:rFonts w:cs="Times New Roman"/>
                <w:szCs w:val="24"/>
              </w:rPr>
              <w:t xml:space="preserve"> h</w:t>
            </w:r>
            <w:r w:rsidRPr="00D76338">
              <w:rPr>
                <w:rFonts w:cs="Times New Roman"/>
                <w:szCs w:val="24"/>
              </w:rPr>
              <w:t xml:space="preserve">ypertonic saline (3%): </w:t>
            </w:r>
          </w:p>
          <w:p w14:paraId="1AC32D3C" w14:textId="77777777" w:rsidR="00AA0D47" w:rsidRPr="00A9552B" w:rsidRDefault="00AA0D47" w:rsidP="002D6DD7">
            <w:pPr>
              <w:jc w:val="both"/>
              <w:rPr>
                <w:rFonts w:cs="Times New Roman"/>
                <w:szCs w:val="24"/>
              </w:rPr>
            </w:pPr>
            <w:r w:rsidRPr="00D76338">
              <w:rPr>
                <w:rFonts w:cs="Times New Roman"/>
                <w:szCs w:val="24"/>
              </w:rPr>
              <w:t>1 spray/nostril 2-6 times </w:t>
            </w:r>
          </w:p>
        </w:tc>
      </w:tr>
      <w:tr w:rsidR="00AA0D47" w:rsidRPr="00E4559C" w14:paraId="1CBB4512" w14:textId="77777777" w:rsidTr="002D6DD7">
        <w:tc>
          <w:tcPr>
            <w:tcW w:w="2605" w:type="dxa"/>
          </w:tcPr>
          <w:p w14:paraId="59EF4301"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4AEA61EB" w14:textId="77777777" w:rsidR="00AA0D47" w:rsidRPr="00D76338" w:rsidRDefault="00AA0D47" w:rsidP="002D6DD7">
            <w:pPr>
              <w:jc w:val="both"/>
              <w:rPr>
                <w:rFonts w:cs="Times New Roman"/>
                <w:szCs w:val="24"/>
              </w:rPr>
            </w:pPr>
            <w:r w:rsidRPr="00D76338">
              <w:rPr>
                <w:rFonts w:cs="Times New Roman"/>
                <w:szCs w:val="24"/>
              </w:rPr>
              <w:t>No absolute contraindication.</w:t>
            </w:r>
          </w:p>
        </w:tc>
      </w:tr>
      <w:tr w:rsidR="00AA0D47" w:rsidRPr="00E4559C" w14:paraId="2713B9EB" w14:textId="77777777" w:rsidTr="002D6DD7">
        <w:tc>
          <w:tcPr>
            <w:tcW w:w="2605" w:type="dxa"/>
          </w:tcPr>
          <w:p w14:paraId="57558F11"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085E5C9D" w14:textId="77777777" w:rsidR="00AA0D47" w:rsidRPr="00A9552B" w:rsidRDefault="00AA0D47" w:rsidP="002D6DD7">
            <w:pPr>
              <w:jc w:val="both"/>
              <w:rPr>
                <w:rFonts w:cs="Times New Roman"/>
                <w:szCs w:val="24"/>
              </w:rPr>
            </w:pPr>
            <w:r>
              <w:rPr>
                <w:rFonts w:cs="Times New Roman"/>
                <w:szCs w:val="24"/>
              </w:rPr>
              <w:t xml:space="preserve">There </w:t>
            </w:r>
            <w:r w:rsidR="00F84B47">
              <w:rPr>
                <w:rFonts w:cs="Times New Roman"/>
                <w:szCs w:val="24"/>
              </w:rPr>
              <w:t>is</w:t>
            </w:r>
            <w:r>
              <w:rPr>
                <w:rFonts w:cs="Times New Roman"/>
                <w:szCs w:val="24"/>
              </w:rPr>
              <w:t xml:space="preserve"> n</w:t>
            </w:r>
            <w:r w:rsidRPr="00A9552B">
              <w:rPr>
                <w:rFonts w:cs="Times New Roman"/>
                <w:szCs w:val="24"/>
              </w:rPr>
              <w:t xml:space="preserve">o significant </w:t>
            </w:r>
            <w:r>
              <w:rPr>
                <w:rFonts w:cs="Times New Roman"/>
                <w:szCs w:val="24"/>
              </w:rPr>
              <w:t xml:space="preserve">drug </w:t>
            </w:r>
            <w:r w:rsidRPr="00A9552B">
              <w:rPr>
                <w:rFonts w:cs="Times New Roman"/>
                <w:szCs w:val="24"/>
              </w:rPr>
              <w:t>interaction.</w:t>
            </w:r>
          </w:p>
        </w:tc>
      </w:tr>
      <w:tr w:rsidR="00AA0D47" w:rsidRPr="00E4559C" w14:paraId="2BD3F8AD" w14:textId="77777777" w:rsidTr="002D6DD7">
        <w:tc>
          <w:tcPr>
            <w:tcW w:w="2605" w:type="dxa"/>
          </w:tcPr>
          <w:p w14:paraId="3AD03FC4"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622B2269" w14:textId="77777777" w:rsidR="00AA0D47" w:rsidRPr="00A9552B" w:rsidRDefault="00AA0D47" w:rsidP="002D6DD7">
            <w:pPr>
              <w:jc w:val="both"/>
              <w:rPr>
                <w:rFonts w:cs="Times New Roman"/>
                <w:szCs w:val="24"/>
              </w:rPr>
            </w:pPr>
            <w:r>
              <w:rPr>
                <w:rFonts w:cs="Times New Roman"/>
                <w:szCs w:val="24"/>
              </w:rPr>
              <w:t>Dry nose,</w:t>
            </w:r>
            <w:r w:rsidRPr="00D76338">
              <w:rPr>
                <w:rFonts w:cs="Times New Roman"/>
                <w:szCs w:val="24"/>
              </w:rPr>
              <w:t xml:space="preserve"> nasal irritation, allergic </w:t>
            </w:r>
            <w:r>
              <w:rPr>
                <w:rFonts w:cs="Times New Roman"/>
                <w:szCs w:val="24"/>
              </w:rPr>
              <w:t>reactions, sneezing, cough</w:t>
            </w:r>
            <w:r w:rsidRPr="00D76338">
              <w:rPr>
                <w:rFonts w:cs="Times New Roman"/>
                <w:szCs w:val="24"/>
              </w:rPr>
              <w:t xml:space="preserve"> </w:t>
            </w:r>
          </w:p>
        </w:tc>
      </w:tr>
      <w:tr w:rsidR="00AA0D47" w:rsidRPr="00E4559C" w14:paraId="6016231E" w14:textId="77777777" w:rsidTr="002D6DD7">
        <w:tc>
          <w:tcPr>
            <w:tcW w:w="2605" w:type="dxa"/>
          </w:tcPr>
          <w:p w14:paraId="7DF7D937"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2855010D" w14:textId="77777777" w:rsidR="00AA0D47" w:rsidRPr="00D76338" w:rsidRDefault="00AA0D47" w:rsidP="002D6DD7">
            <w:pPr>
              <w:jc w:val="both"/>
              <w:rPr>
                <w:rFonts w:cs="Times New Roman"/>
                <w:szCs w:val="24"/>
              </w:rPr>
            </w:pPr>
            <w:r w:rsidRPr="00D76338">
              <w:rPr>
                <w:rFonts w:cs="Times New Roman"/>
                <w:szCs w:val="24"/>
              </w:rPr>
              <w:t xml:space="preserve">Not for ingestion, avoid contact with eyes, use of same tube/spray by &gt;1 person </w:t>
            </w:r>
          </w:p>
        </w:tc>
      </w:tr>
      <w:tr w:rsidR="00AA0D47" w:rsidRPr="00E4559C" w14:paraId="6D2199F9" w14:textId="77777777" w:rsidTr="002D6DD7">
        <w:trPr>
          <w:trHeight w:val="50"/>
        </w:trPr>
        <w:tc>
          <w:tcPr>
            <w:tcW w:w="2605" w:type="dxa"/>
          </w:tcPr>
          <w:p w14:paraId="4C4E161B"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6AB2EC56" w14:textId="77777777" w:rsidR="00AA0D47" w:rsidRPr="00A9552B" w:rsidRDefault="00AA0D47" w:rsidP="002D6DD7">
            <w:pPr>
              <w:jc w:val="both"/>
              <w:rPr>
                <w:rFonts w:cs="Times New Roman"/>
                <w:szCs w:val="24"/>
              </w:rPr>
            </w:pPr>
            <w:r>
              <w:rPr>
                <w:rFonts w:cs="Times New Roman"/>
                <w:szCs w:val="24"/>
              </w:rPr>
              <w:t>Store below 30ºC. Protect from light and d</w:t>
            </w:r>
            <w:r w:rsidRPr="00A9552B">
              <w:rPr>
                <w:rFonts w:cs="Times New Roman"/>
                <w:szCs w:val="24"/>
              </w:rPr>
              <w:t>o not refrigerate or freeze.</w:t>
            </w:r>
          </w:p>
        </w:tc>
      </w:tr>
      <w:tr w:rsidR="00AA0D47" w:rsidRPr="00E4559C" w14:paraId="15EBB571" w14:textId="77777777" w:rsidTr="002D6DD7">
        <w:tc>
          <w:tcPr>
            <w:tcW w:w="9351" w:type="dxa"/>
            <w:gridSpan w:val="2"/>
          </w:tcPr>
          <w:p w14:paraId="3D1CD387" w14:textId="77777777" w:rsidR="00AA0D47" w:rsidRPr="00D76338" w:rsidRDefault="00AA0D47" w:rsidP="002D6DD7">
            <w:pPr>
              <w:jc w:val="both"/>
              <w:rPr>
                <w:rFonts w:cs="Times New Roman"/>
                <w:b/>
                <w:szCs w:val="24"/>
              </w:rPr>
            </w:pPr>
            <w:r w:rsidRPr="00D76338">
              <w:rPr>
                <w:rFonts w:cs="Times New Roman"/>
                <w:b/>
                <w:szCs w:val="24"/>
              </w:rPr>
              <w:t>Silver nitrate</w:t>
            </w:r>
          </w:p>
        </w:tc>
      </w:tr>
      <w:tr w:rsidR="00AA0D47" w:rsidRPr="00E4559C" w14:paraId="46338594" w14:textId="77777777" w:rsidTr="002D6DD7">
        <w:tc>
          <w:tcPr>
            <w:tcW w:w="2605" w:type="dxa"/>
          </w:tcPr>
          <w:p w14:paraId="0E9C69E6"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219758B9" w14:textId="77777777" w:rsidR="00AA0D47" w:rsidRPr="00A9552B" w:rsidRDefault="00AA0D47" w:rsidP="002D6DD7">
            <w:pPr>
              <w:jc w:val="both"/>
              <w:rPr>
                <w:rFonts w:cs="Times New Roman"/>
                <w:szCs w:val="24"/>
              </w:rPr>
            </w:pPr>
            <w:r w:rsidRPr="00A9552B">
              <w:rPr>
                <w:rFonts w:cs="Times New Roman"/>
                <w:szCs w:val="24"/>
              </w:rPr>
              <w:t xml:space="preserve">Antiseptic </w:t>
            </w:r>
          </w:p>
        </w:tc>
      </w:tr>
      <w:tr w:rsidR="00AA0D47" w:rsidRPr="00E4559C" w14:paraId="33F17409" w14:textId="77777777" w:rsidTr="002D6DD7">
        <w:tc>
          <w:tcPr>
            <w:tcW w:w="2605" w:type="dxa"/>
          </w:tcPr>
          <w:p w14:paraId="41984679"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09D46348" w14:textId="77777777" w:rsidR="00AA0D47" w:rsidRPr="00A9552B" w:rsidRDefault="00AA0D47" w:rsidP="002D6DD7">
            <w:pPr>
              <w:jc w:val="both"/>
              <w:rPr>
                <w:rFonts w:cs="Times New Roman"/>
                <w:szCs w:val="24"/>
              </w:rPr>
            </w:pPr>
            <w:r w:rsidRPr="00A9552B">
              <w:rPr>
                <w:rFonts w:cs="Times New Roman"/>
                <w:szCs w:val="24"/>
              </w:rPr>
              <w:t>Solution: 0.75%</w:t>
            </w:r>
          </w:p>
        </w:tc>
      </w:tr>
      <w:tr w:rsidR="00AA0D47" w:rsidRPr="00E4559C" w14:paraId="1C269125" w14:textId="77777777" w:rsidTr="002D6DD7">
        <w:tc>
          <w:tcPr>
            <w:tcW w:w="2605" w:type="dxa"/>
          </w:tcPr>
          <w:p w14:paraId="50FD3D8F"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1E2F6AF2" w14:textId="77777777" w:rsidR="00AA0D47" w:rsidRPr="00A9552B" w:rsidRDefault="00AA0D47" w:rsidP="002D6DD7">
            <w:pPr>
              <w:jc w:val="both"/>
              <w:rPr>
                <w:rFonts w:cs="Times New Roman"/>
                <w:szCs w:val="24"/>
              </w:rPr>
            </w:pPr>
            <w:r w:rsidRPr="00A9552B">
              <w:rPr>
                <w:rFonts w:cs="Times New Roman"/>
                <w:szCs w:val="24"/>
              </w:rPr>
              <w:t>Antiseptic</w:t>
            </w:r>
            <w:r>
              <w:rPr>
                <w:rFonts w:cs="Times New Roman"/>
                <w:szCs w:val="24"/>
              </w:rPr>
              <w:t xml:space="preserve"> wound c</w:t>
            </w:r>
            <w:r w:rsidRPr="00A9552B">
              <w:rPr>
                <w:rFonts w:cs="Times New Roman"/>
                <w:szCs w:val="24"/>
              </w:rPr>
              <w:t>auterization</w:t>
            </w:r>
          </w:p>
        </w:tc>
      </w:tr>
      <w:tr w:rsidR="00AA0D47" w:rsidRPr="00E4559C" w14:paraId="0A3F5550" w14:textId="77777777" w:rsidTr="002D6DD7">
        <w:tc>
          <w:tcPr>
            <w:tcW w:w="2605" w:type="dxa"/>
          </w:tcPr>
          <w:p w14:paraId="0E9AFA02"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6A75CFBA" w14:textId="77777777" w:rsidR="00AA0D47" w:rsidRPr="00A9552B" w:rsidRDefault="00AA0D47" w:rsidP="002D6DD7">
            <w:pPr>
              <w:jc w:val="both"/>
              <w:rPr>
                <w:rFonts w:cs="Times New Roman"/>
                <w:szCs w:val="24"/>
              </w:rPr>
            </w:pPr>
            <w:r w:rsidRPr="007E0A90">
              <w:rPr>
                <w:rFonts w:cs="Times New Roman"/>
                <w:b/>
                <w:szCs w:val="24"/>
              </w:rPr>
              <w:t>Sticks:</w:t>
            </w:r>
            <w:r>
              <w:rPr>
                <w:rFonts w:cs="Times New Roman"/>
                <w:szCs w:val="24"/>
              </w:rPr>
              <w:t xml:space="preserve"> a</w:t>
            </w:r>
            <w:r w:rsidRPr="00A9552B">
              <w:rPr>
                <w:rFonts w:cs="Times New Roman"/>
                <w:szCs w:val="24"/>
              </w:rPr>
              <w:t>pply to mucous membranes and other moist skin surfaces only on area to be treated</w:t>
            </w:r>
          </w:p>
          <w:p w14:paraId="44AF0AD5" w14:textId="77777777" w:rsidR="00AA0D47" w:rsidRPr="00A9552B" w:rsidRDefault="00AA0D47" w:rsidP="002D6DD7">
            <w:pPr>
              <w:jc w:val="both"/>
              <w:rPr>
                <w:rFonts w:cs="Times New Roman"/>
                <w:szCs w:val="24"/>
              </w:rPr>
            </w:pPr>
            <w:r w:rsidRPr="007E0A90">
              <w:rPr>
                <w:rFonts w:cs="Times New Roman"/>
                <w:b/>
                <w:szCs w:val="24"/>
              </w:rPr>
              <w:t>Topical solution:</w:t>
            </w:r>
            <w:r>
              <w:rPr>
                <w:rFonts w:cs="Times New Roman"/>
                <w:szCs w:val="24"/>
              </w:rPr>
              <w:t xml:space="preserve"> a</w:t>
            </w:r>
            <w:r w:rsidRPr="00A9552B">
              <w:rPr>
                <w:rFonts w:cs="Times New Roman"/>
                <w:szCs w:val="24"/>
              </w:rPr>
              <w:t>pply a cotton applicator dipped in solution on the affected area 2-3 times per week for 2-3 weeks.</w:t>
            </w:r>
          </w:p>
        </w:tc>
      </w:tr>
      <w:tr w:rsidR="00AA0D47" w:rsidRPr="00E4559C" w14:paraId="30F71F3C" w14:textId="77777777" w:rsidTr="002D6DD7">
        <w:tc>
          <w:tcPr>
            <w:tcW w:w="2605" w:type="dxa"/>
          </w:tcPr>
          <w:p w14:paraId="3AB89FED"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57DC13F9"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 b</w:t>
            </w:r>
            <w:r w:rsidRPr="00A9552B">
              <w:rPr>
                <w:rFonts w:cs="Times New Roman"/>
                <w:szCs w:val="24"/>
              </w:rPr>
              <w:t>roken skin, wounds, or cuts</w:t>
            </w:r>
          </w:p>
        </w:tc>
      </w:tr>
      <w:tr w:rsidR="00AA0D47" w:rsidRPr="00E4559C" w14:paraId="079A37CE" w14:textId="77777777" w:rsidTr="002D6DD7">
        <w:tc>
          <w:tcPr>
            <w:tcW w:w="2605" w:type="dxa"/>
          </w:tcPr>
          <w:p w14:paraId="13760A3B"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32732D36" w14:textId="77777777" w:rsidR="00AA0D47" w:rsidRPr="00A9552B" w:rsidRDefault="00AA0D47" w:rsidP="002D6DD7">
            <w:pPr>
              <w:jc w:val="both"/>
              <w:rPr>
                <w:rFonts w:cs="Times New Roman"/>
                <w:szCs w:val="24"/>
              </w:rPr>
            </w:pPr>
            <w:r w:rsidRPr="00A9552B">
              <w:rPr>
                <w:rFonts w:cs="Times New Roman"/>
                <w:szCs w:val="24"/>
              </w:rPr>
              <w:t>Allogeneic cultured keratinocytes and fibroblasts</w:t>
            </w:r>
          </w:p>
        </w:tc>
      </w:tr>
      <w:tr w:rsidR="00AA0D47" w:rsidRPr="00E4559C" w14:paraId="2B911566" w14:textId="77777777" w:rsidTr="002D6DD7">
        <w:tc>
          <w:tcPr>
            <w:tcW w:w="2605" w:type="dxa"/>
          </w:tcPr>
          <w:p w14:paraId="425B7C61"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4ABF64F6" w14:textId="77777777" w:rsidR="00AA0D47" w:rsidRPr="00A9552B" w:rsidRDefault="00AA0D47" w:rsidP="002D6DD7">
            <w:pPr>
              <w:jc w:val="both"/>
              <w:rPr>
                <w:rFonts w:cs="Times New Roman"/>
                <w:szCs w:val="24"/>
              </w:rPr>
            </w:pPr>
            <w:r w:rsidRPr="00A9552B">
              <w:rPr>
                <w:rFonts w:cs="Times New Roman"/>
                <w:szCs w:val="24"/>
              </w:rPr>
              <w:t>Burning and skin irritation, staining of the skin, methemoglobinemia.</w:t>
            </w:r>
          </w:p>
        </w:tc>
      </w:tr>
      <w:tr w:rsidR="00AA0D47" w:rsidRPr="00E4559C" w14:paraId="79FD7749" w14:textId="77777777" w:rsidTr="002D6DD7">
        <w:trPr>
          <w:trHeight w:val="379"/>
        </w:trPr>
        <w:tc>
          <w:tcPr>
            <w:tcW w:w="2605" w:type="dxa"/>
          </w:tcPr>
          <w:p w14:paraId="77EEB056"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1AEFBB9F" w14:textId="77777777" w:rsidR="00AA0D47" w:rsidRPr="00A9552B" w:rsidRDefault="00AA0D47" w:rsidP="002D6DD7">
            <w:pPr>
              <w:jc w:val="both"/>
              <w:rPr>
                <w:rFonts w:cs="Times New Roman"/>
                <w:szCs w:val="24"/>
              </w:rPr>
            </w:pPr>
            <w:r w:rsidRPr="00A9552B">
              <w:rPr>
                <w:rFonts w:cs="Times New Roman"/>
                <w:szCs w:val="24"/>
              </w:rPr>
              <w:t xml:space="preserve">Highly toxic to gastrointestinal tract and central nervous system </w:t>
            </w:r>
            <w:r w:rsidRPr="00A9552B">
              <w:rPr>
                <w:rFonts w:cs="Times New Roman"/>
                <w:szCs w:val="24"/>
              </w:rPr>
              <w:lastRenderedPageBreak/>
              <w:t>when ingested; prolonged contact</w:t>
            </w:r>
            <w:r>
              <w:rPr>
                <w:rFonts w:cs="Times New Roman"/>
                <w:szCs w:val="24"/>
              </w:rPr>
              <w:t>,</w:t>
            </w:r>
            <w:r w:rsidRPr="00A9552B">
              <w:rPr>
                <w:rFonts w:cs="Times New Roman"/>
                <w:szCs w:val="24"/>
              </w:rPr>
              <w:t xml:space="preserve"> </w:t>
            </w:r>
            <w:r>
              <w:rPr>
                <w:rFonts w:cs="Times New Roman"/>
                <w:szCs w:val="24"/>
              </w:rPr>
              <w:t xml:space="preserve">inappropriate use of product, </w:t>
            </w:r>
            <w:r w:rsidRPr="00A9552B">
              <w:rPr>
                <w:rFonts w:cs="Times New Roman"/>
                <w:szCs w:val="24"/>
              </w:rPr>
              <w:t>tends to stain skin, utensils, clothing, and linens.</w:t>
            </w:r>
          </w:p>
        </w:tc>
      </w:tr>
      <w:tr w:rsidR="00AA0D47" w:rsidRPr="00E4559C" w14:paraId="3AF395A2" w14:textId="77777777" w:rsidTr="002D6DD7">
        <w:trPr>
          <w:trHeight w:val="286"/>
        </w:trPr>
        <w:tc>
          <w:tcPr>
            <w:tcW w:w="2605" w:type="dxa"/>
          </w:tcPr>
          <w:p w14:paraId="0BD61206" w14:textId="77777777" w:rsidR="00AA0D47" w:rsidRPr="00A9552B" w:rsidRDefault="00AA0D47" w:rsidP="002D6DD7">
            <w:pPr>
              <w:jc w:val="both"/>
              <w:rPr>
                <w:rFonts w:cs="Times New Roman"/>
                <w:szCs w:val="24"/>
              </w:rPr>
            </w:pPr>
            <w:r w:rsidRPr="00A9552B">
              <w:rPr>
                <w:rFonts w:cs="Times New Roman"/>
                <w:szCs w:val="24"/>
              </w:rPr>
              <w:lastRenderedPageBreak/>
              <w:t>Storage condition</w:t>
            </w:r>
          </w:p>
        </w:tc>
        <w:tc>
          <w:tcPr>
            <w:tcW w:w="6746" w:type="dxa"/>
          </w:tcPr>
          <w:p w14:paraId="2E7E363D" w14:textId="77777777" w:rsidR="00AA0D47" w:rsidRPr="00A9552B" w:rsidRDefault="00AA0D47" w:rsidP="002D6DD7">
            <w:pPr>
              <w:jc w:val="both"/>
              <w:rPr>
                <w:rFonts w:cs="Times New Roman"/>
                <w:szCs w:val="24"/>
              </w:rPr>
            </w:pPr>
            <w:r w:rsidRPr="00A9552B">
              <w:rPr>
                <w:rFonts w:cs="Times New Roman"/>
                <w:szCs w:val="24"/>
              </w:rPr>
              <w:t>Store below 30ºC.</w:t>
            </w:r>
          </w:p>
        </w:tc>
      </w:tr>
      <w:tr w:rsidR="00AA0D47" w:rsidRPr="00E4559C" w14:paraId="3FE4E02B" w14:textId="77777777" w:rsidTr="002D6DD7">
        <w:tc>
          <w:tcPr>
            <w:tcW w:w="9351" w:type="dxa"/>
            <w:gridSpan w:val="2"/>
          </w:tcPr>
          <w:p w14:paraId="2DC028AA" w14:textId="77777777" w:rsidR="00AA0D47" w:rsidRPr="00D76338" w:rsidRDefault="00AA0D47" w:rsidP="002D6DD7">
            <w:pPr>
              <w:jc w:val="both"/>
              <w:rPr>
                <w:rFonts w:cs="Times New Roman"/>
                <w:b/>
                <w:szCs w:val="24"/>
              </w:rPr>
            </w:pPr>
            <w:r w:rsidRPr="00D76338">
              <w:rPr>
                <w:rFonts w:cs="Times New Roman"/>
                <w:b/>
                <w:szCs w:val="24"/>
              </w:rPr>
              <w:t>Triamcinolone acetonide</w:t>
            </w:r>
          </w:p>
        </w:tc>
      </w:tr>
      <w:tr w:rsidR="00AA0D47" w:rsidRPr="00E4559C" w14:paraId="557F29F5" w14:textId="77777777" w:rsidTr="002D6DD7">
        <w:tc>
          <w:tcPr>
            <w:tcW w:w="2605" w:type="dxa"/>
          </w:tcPr>
          <w:p w14:paraId="4A78A65D"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11932856" w14:textId="77777777" w:rsidR="00AA0D47" w:rsidRPr="00A9552B" w:rsidRDefault="00AA0D47" w:rsidP="002D6DD7">
            <w:pPr>
              <w:jc w:val="both"/>
              <w:rPr>
                <w:rFonts w:cs="Times New Roman"/>
                <w:szCs w:val="24"/>
              </w:rPr>
            </w:pPr>
            <w:r w:rsidRPr="00D76338">
              <w:rPr>
                <w:rFonts w:cs="Times New Roman"/>
                <w:szCs w:val="24"/>
              </w:rPr>
              <w:t>Corticosteroid</w:t>
            </w:r>
          </w:p>
        </w:tc>
      </w:tr>
      <w:tr w:rsidR="00AA0D47" w:rsidRPr="00E4559C" w14:paraId="3207939C" w14:textId="77777777" w:rsidTr="002D6DD7">
        <w:tc>
          <w:tcPr>
            <w:tcW w:w="2605" w:type="dxa"/>
          </w:tcPr>
          <w:p w14:paraId="0A79771F"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70DB8EF0" w14:textId="77777777" w:rsidR="00AA0D47" w:rsidRPr="00A9552B" w:rsidRDefault="00AA0D47" w:rsidP="002D6DD7">
            <w:pPr>
              <w:jc w:val="both"/>
              <w:rPr>
                <w:rFonts w:cs="Times New Roman"/>
                <w:szCs w:val="24"/>
              </w:rPr>
            </w:pPr>
            <w:r w:rsidRPr="00D76338">
              <w:rPr>
                <w:rFonts w:eastAsia="Times New Roman" w:cs="Times New Roman"/>
                <w:szCs w:val="24"/>
                <w:lang w:eastAsia="en-GB"/>
              </w:rPr>
              <w:t>Spray: 55mcg/spray, Oral paste: 0.1%</w:t>
            </w:r>
          </w:p>
        </w:tc>
      </w:tr>
      <w:tr w:rsidR="00AA0D47" w:rsidRPr="00E4559C" w14:paraId="5E7FF32A" w14:textId="77777777" w:rsidTr="002D6DD7">
        <w:tc>
          <w:tcPr>
            <w:tcW w:w="2605" w:type="dxa"/>
          </w:tcPr>
          <w:p w14:paraId="67B69C6A"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639B790E" w14:textId="77777777" w:rsidR="00AA0D47" w:rsidRPr="003C3AEF" w:rsidRDefault="00AA0D47" w:rsidP="002D6DD7">
            <w:pPr>
              <w:jc w:val="both"/>
              <w:rPr>
                <w:rFonts w:cs="Times New Roman"/>
                <w:szCs w:val="24"/>
              </w:rPr>
            </w:pPr>
            <w:r w:rsidRPr="003C3AEF">
              <w:rPr>
                <w:rFonts w:cs="Times New Roman"/>
                <w:szCs w:val="24"/>
              </w:rPr>
              <w:t>Prophylaxis and treatment of allergic rhinitis, inflammatory or ulcerative lesions of oral mucosa resulting from trauma.</w:t>
            </w:r>
          </w:p>
        </w:tc>
      </w:tr>
      <w:tr w:rsidR="00AA0D47" w:rsidRPr="00E4559C" w14:paraId="7014DADD" w14:textId="77777777" w:rsidTr="002D6DD7">
        <w:tc>
          <w:tcPr>
            <w:tcW w:w="2605" w:type="dxa"/>
          </w:tcPr>
          <w:p w14:paraId="6DA06D5E"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3E90AA8E" w14:textId="77777777" w:rsidR="00AA0D47" w:rsidRDefault="00AA0D47" w:rsidP="002D6DD7">
            <w:pPr>
              <w:jc w:val="both"/>
              <w:rPr>
                <w:rFonts w:cs="Times New Roman"/>
                <w:b/>
                <w:szCs w:val="24"/>
              </w:rPr>
            </w:pPr>
            <w:r>
              <w:rPr>
                <w:rFonts w:cs="Times New Roman"/>
                <w:b/>
                <w:szCs w:val="24"/>
              </w:rPr>
              <w:t>Treatment of allergic rhinitis</w:t>
            </w:r>
            <w:r w:rsidR="00F84B47">
              <w:rPr>
                <w:rFonts w:cs="Times New Roman"/>
                <w:b/>
                <w:szCs w:val="24"/>
              </w:rPr>
              <w:t xml:space="preserve">, </w:t>
            </w:r>
            <w:r w:rsidRPr="00F84B47">
              <w:rPr>
                <w:rFonts w:cs="Times New Roman"/>
                <w:szCs w:val="24"/>
              </w:rPr>
              <w:t>nasal spray</w:t>
            </w:r>
            <w:r w:rsidR="00F84B47" w:rsidRPr="00F84B47">
              <w:rPr>
                <w:rFonts w:cs="Times New Roman"/>
                <w:szCs w:val="24"/>
              </w:rPr>
              <w:t>:</w:t>
            </w:r>
          </w:p>
          <w:p w14:paraId="4EEBE9B8" w14:textId="77777777" w:rsidR="00AA0D47" w:rsidRPr="00A9552B" w:rsidRDefault="00AA0D47" w:rsidP="002D6DD7">
            <w:pPr>
              <w:jc w:val="both"/>
              <w:rPr>
                <w:rFonts w:cs="Times New Roman"/>
                <w:bCs/>
                <w:szCs w:val="24"/>
              </w:rPr>
            </w:pPr>
            <w:r w:rsidRPr="00D76338">
              <w:rPr>
                <w:rFonts w:cs="Times New Roman"/>
                <w:b/>
                <w:bCs/>
                <w:szCs w:val="24"/>
              </w:rPr>
              <w:t>Adul</w:t>
            </w:r>
            <w:r>
              <w:rPr>
                <w:rFonts w:cs="Times New Roman"/>
                <w:b/>
                <w:bCs/>
                <w:szCs w:val="24"/>
              </w:rPr>
              <w:t>ts and children (over 12 years):</w:t>
            </w:r>
            <w:r>
              <w:rPr>
                <w:rFonts w:cs="Times New Roman"/>
                <w:bCs/>
                <w:szCs w:val="24"/>
              </w:rPr>
              <w:t xml:space="preserve"> nasal spray </w:t>
            </w:r>
            <w:r w:rsidRPr="00A9552B">
              <w:rPr>
                <w:rFonts w:cs="Times New Roman"/>
                <w:bCs/>
                <w:szCs w:val="24"/>
              </w:rPr>
              <w:t>2 sprays in each nostril once daily, dose can be reduced to 1 spray in each nostril once daily as soon as symptoms are under control.</w:t>
            </w:r>
          </w:p>
          <w:p w14:paraId="4B721368" w14:textId="77777777" w:rsidR="00AA0D47" w:rsidRPr="00D76338" w:rsidRDefault="00AA0D47" w:rsidP="002D6DD7">
            <w:pPr>
              <w:jc w:val="both"/>
              <w:rPr>
                <w:rFonts w:cs="Times New Roman"/>
                <w:b/>
                <w:bCs/>
                <w:szCs w:val="24"/>
              </w:rPr>
            </w:pPr>
            <w:r w:rsidRPr="00D76338">
              <w:rPr>
                <w:rFonts w:cs="Times New Roman"/>
                <w:b/>
                <w:bCs/>
                <w:szCs w:val="24"/>
              </w:rPr>
              <w:t>Children aged 6 to 12 years</w:t>
            </w:r>
            <w:r w:rsidR="00F84B47">
              <w:rPr>
                <w:rFonts w:cs="Times New Roman"/>
                <w:b/>
                <w:bCs/>
                <w:szCs w:val="24"/>
              </w:rPr>
              <w:t>:</w:t>
            </w:r>
          </w:p>
          <w:p w14:paraId="725F5545" w14:textId="77777777" w:rsidR="00AA0D47" w:rsidRPr="00A9552B" w:rsidRDefault="00AA0D47" w:rsidP="002D6DD7">
            <w:pPr>
              <w:jc w:val="both"/>
              <w:rPr>
                <w:rFonts w:cs="Times New Roman"/>
                <w:bCs/>
                <w:szCs w:val="24"/>
              </w:rPr>
            </w:pPr>
            <w:r w:rsidRPr="00A9552B">
              <w:rPr>
                <w:rFonts w:cs="Times New Roman"/>
                <w:bCs/>
                <w:szCs w:val="24"/>
              </w:rPr>
              <w:t>1spray in each nostril once daily.</w:t>
            </w:r>
            <w:r w:rsidRPr="00A9552B">
              <w:rPr>
                <w:rFonts w:cs="Times New Roman"/>
                <w:szCs w:val="24"/>
              </w:rPr>
              <w:t xml:space="preserve"> </w:t>
            </w:r>
            <w:r w:rsidRPr="00A9552B">
              <w:rPr>
                <w:rFonts w:cs="Times New Roman"/>
                <w:bCs/>
                <w:szCs w:val="24"/>
              </w:rPr>
              <w:t>For more severe symptoms, the dose can be doubled to 2 sprays in each nostril once daily, use the least effective dose as soon as symptoms are under control.</w:t>
            </w:r>
          </w:p>
          <w:p w14:paraId="4E5725C3" w14:textId="77777777" w:rsidR="00AA0D47" w:rsidRPr="00D76338" w:rsidRDefault="00AA0D47" w:rsidP="002D6DD7">
            <w:pPr>
              <w:jc w:val="both"/>
              <w:rPr>
                <w:rFonts w:cs="Times New Roman"/>
                <w:b/>
                <w:bCs/>
                <w:szCs w:val="24"/>
              </w:rPr>
            </w:pPr>
            <w:r w:rsidRPr="00D76338">
              <w:rPr>
                <w:rFonts w:cs="Times New Roman"/>
                <w:b/>
                <w:bCs/>
                <w:szCs w:val="24"/>
              </w:rPr>
              <w:t>Children aged 2 to 5 years</w:t>
            </w:r>
            <w:r w:rsidR="00F84B47">
              <w:rPr>
                <w:rFonts w:cs="Times New Roman"/>
                <w:b/>
                <w:bCs/>
                <w:szCs w:val="24"/>
              </w:rPr>
              <w:t>:</w:t>
            </w:r>
          </w:p>
          <w:p w14:paraId="005080B0" w14:textId="77777777" w:rsidR="00AA0D47" w:rsidRPr="00A9552B" w:rsidRDefault="00AA0D47" w:rsidP="002D6DD7">
            <w:pPr>
              <w:jc w:val="both"/>
              <w:rPr>
                <w:rFonts w:cs="Times New Roman"/>
                <w:bCs/>
                <w:szCs w:val="24"/>
              </w:rPr>
            </w:pPr>
            <w:r w:rsidRPr="00A9552B">
              <w:rPr>
                <w:rFonts w:cs="Times New Roman"/>
                <w:bCs/>
                <w:szCs w:val="24"/>
              </w:rPr>
              <w:t>1 spray in each nostril once daily</w:t>
            </w:r>
          </w:p>
          <w:p w14:paraId="2B65810F" w14:textId="77777777" w:rsidR="00AA0D47" w:rsidRPr="00A9552B" w:rsidRDefault="00AA0D47" w:rsidP="00F84B47">
            <w:pPr>
              <w:jc w:val="both"/>
              <w:rPr>
                <w:rFonts w:cs="Times New Roman"/>
                <w:bCs/>
                <w:szCs w:val="24"/>
              </w:rPr>
            </w:pPr>
            <w:r w:rsidRPr="00D76338">
              <w:rPr>
                <w:rFonts w:cs="Times New Roman"/>
                <w:b/>
                <w:bCs/>
                <w:szCs w:val="24"/>
              </w:rPr>
              <w:t>Inflammatory or ulcerative lesions of oral mucosa resulting from trauma</w:t>
            </w:r>
            <w:r w:rsidR="00F84B47">
              <w:rPr>
                <w:rFonts w:cs="Times New Roman"/>
                <w:b/>
                <w:bCs/>
                <w:szCs w:val="24"/>
              </w:rPr>
              <w:t xml:space="preserve">, </w:t>
            </w:r>
            <w:r w:rsidR="00F84B47">
              <w:rPr>
                <w:rFonts w:cs="Times New Roman"/>
                <w:bCs/>
                <w:szCs w:val="24"/>
              </w:rPr>
              <w:t>o</w:t>
            </w:r>
            <w:r w:rsidRPr="00A9552B">
              <w:rPr>
                <w:rFonts w:cs="Times New Roman"/>
                <w:bCs/>
                <w:szCs w:val="24"/>
              </w:rPr>
              <w:t>ral paste: Apply thin film to affected areas 2 to 3 times daily</w:t>
            </w:r>
          </w:p>
        </w:tc>
      </w:tr>
      <w:tr w:rsidR="00AA0D47" w:rsidRPr="00E4559C" w14:paraId="5BB29BEA" w14:textId="77777777" w:rsidTr="002D6DD7">
        <w:tc>
          <w:tcPr>
            <w:tcW w:w="2605" w:type="dxa"/>
          </w:tcPr>
          <w:p w14:paraId="6B1D4446"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5CD11229" w14:textId="77777777" w:rsidR="00AA0D47" w:rsidRPr="00A9552B" w:rsidRDefault="00AA0D47" w:rsidP="002D6DD7">
            <w:pPr>
              <w:jc w:val="both"/>
              <w:rPr>
                <w:rFonts w:cs="Times New Roman"/>
                <w:bCs/>
                <w:szCs w:val="24"/>
              </w:rPr>
            </w:pPr>
            <w:r w:rsidRPr="00A9552B">
              <w:rPr>
                <w:rFonts w:cs="Times New Roman"/>
                <w:szCs w:val="24"/>
              </w:rPr>
              <w:t>Hypersensitivity</w:t>
            </w:r>
            <w:r>
              <w:rPr>
                <w:rFonts w:cs="Times New Roman"/>
                <w:szCs w:val="24"/>
              </w:rPr>
              <w:t xml:space="preserve"> to the drug</w:t>
            </w:r>
            <w:r w:rsidRPr="00A9552B">
              <w:rPr>
                <w:rFonts w:cs="Times New Roman"/>
                <w:szCs w:val="24"/>
              </w:rPr>
              <w:t>.</w:t>
            </w:r>
          </w:p>
        </w:tc>
      </w:tr>
      <w:tr w:rsidR="00AA0D47" w:rsidRPr="00E4559C" w14:paraId="6AC0FB41" w14:textId="77777777" w:rsidTr="002D6DD7">
        <w:tc>
          <w:tcPr>
            <w:tcW w:w="2605" w:type="dxa"/>
          </w:tcPr>
          <w:p w14:paraId="6E1444DC"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1AA2987F" w14:textId="77777777" w:rsidR="00AA0D47" w:rsidRPr="00A9552B" w:rsidRDefault="00AA0D47" w:rsidP="002D6DD7">
            <w:pPr>
              <w:jc w:val="both"/>
              <w:rPr>
                <w:rFonts w:cs="Times New Roman"/>
                <w:szCs w:val="24"/>
              </w:rPr>
            </w:pPr>
            <w:r w:rsidRPr="00A9552B">
              <w:rPr>
                <w:rFonts w:cs="Times New Roman"/>
                <w:szCs w:val="24"/>
              </w:rPr>
              <w:t>CYP3A inhibitors, including medicinal products containing Cobicistat.</w:t>
            </w:r>
          </w:p>
        </w:tc>
      </w:tr>
      <w:tr w:rsidR="00AA0D47" w:rsidRPr="00E4559C" w14:paraId="21139A5A" w14:textId="77777777" w:rsidTr="002D6DD7">
        <w:tc>
          <w:tcPr>
            <w:tcW w:w="2605" w:type="dxa"/>
          </w:tcPr>
          <w:p w14:paraId="0873D285"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5E5FECFD" w14:textId="77777777" w:rsidR="00AA0D47" w:rsidRPr="00A9552B" w:rsidRDefault="00AA0D47" w:rsidP="002D6DD7">
            <w:pPr>
              <w:jc w:val="both"/>
              <w:rPr>
                <w:rFonts w:cs="Times New Roman"/>
                <w:szCs w:val="24"/>
              </w:rPr>
            </w:pPr>
            <w:r w:rsidRPr="00A9552B">
              <w:rPr>
                <w:rFonts w:cs="Times New Roman"/>
                <w:szCs w:val="24"/>
              </w:rPr>
              <w:t>Flu like syndrome, pharyngitis, headache, bronchitis, dyspepsia, tooth disorder, epistaxis, excoriation, increased cough, rhinorrhoea and rash.</w:t>
            </w:r>
          </w:p>
        </w:tc>
      </w:tr>
      <w:tr w:rsidR="00AA0D47" w:rsidRPr="00E4559C" w14:paraId="156FF256" w14:textId="77777777" w:rsidTr="002D6DD7">
        <w:tc>
          <w:tcPr>
            <w:tcW w:w="2605" w:type="dxa"/>
          </w:tcPr>
          <w:p w14:paraId="08152C84"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2F5971D0" w14:textId="77777777" w:rsidR="00AA0D47" w:rsidRPr="00A9552B" w:rsidRDefault="00AA0D47" w:rsidP="002D6DD7">
            <w:pPr>
              <w:jc w:val="both"/>
              <w:rPr>
                <w:rFonts w:cs="Times New Roman"/>
                <w:szCs w:val="24"/>
              </w:rPr>
            </w:pPr>
            <w:r w:rsidRPr="00A9552B">
              <w:rPr>
                <w:rFonts w:cs="Times New Roman"/>
                <w:szCs w:val="24"/>
              </w:rPr>
              <w:t>In children under 12 years, long-term use of more than 3 months, history of increased IOP, glaucoma, or cataracts, recent nasal surgery, nasal trauma, nasal septum ulcers, tuberculosis, fungal, bacterial, viral, or parasitic infections, or ocular herpes simplex.</w:t>
            </w:r>
          </w:p>
        </w:tc>
      </w:tr>
      <w:tr w:rsidR="00AA0D47" w:rsidRPr="00E4559C" w14:paraId="4B0CF8D4" w14:textId="77777777" w:rsidTr="002D6DD7">
        <w:tc>
          <w:tcPr>
            <w:tcW w:w="2605" w:type="dxa"/>
          </w:tcPr>
          <w:p w14:paraId="02B08272" w14:textId="77777777" w:rsidR="00AA0D47" w:rsidRPr="00A9552B" w:rsidRDefault="00AA0D47" w:rsidP="002D6DD7">
            <w:pPr>
              <w:jc w:val="both"/>
              <w:rPr>
                <w:rFonts w:cs="Times New Roman"/>
                <w:szCs w:val="24"/>
              </w:rPr>
            </w:pPr>
            <w:r w:rsidRPr="00A9552B">
              <w:rPr>
                <w:rFonts w:cs="Times New Roman"/>
                <w:szCs w:val="24"/>
              </w:rPr>
              <w:lastRenderedPageBreak/>
              <w:t>Storage condition</w:t>
            </w:r>
          </w:p>
        </w:tc>
        <w:tc>
          <w:tcPr>
            <w:tcW w:w="6746" w:type="dxa"/>
          </w:tcPr>
          <w:p w14:paraId="4889018A" w14:textId="77777777" w:rsidR="00AA0D47" w:rsidRPr="00A9552B" w:rsidRDefault="00AA0D47" w:rsidP="002D6DD7">
            <w:pPr>
              <w:jc w:val="both"/>
              <w:rPr>
                <w:rFonts w:cs="Times New Roman"/>
                <w:szCs w:val="24"/>
              </w:rPr>
            </w:pPr>
            <w:r>
              <w:rPr>
                <w:rFonts w:cs="Times New Roman"/>
                <w:szCs w:val="24"/>
              </w:rPr>
              <w:t>Store below 30°</w:t>
            </w:r>
            <w:r w:rsidRPr="00A9552B">
              <w:rPr>
                <w:rFonts w:cs="Times New Roman"/>
                <w:szCs w:val="24"/>
              </w:rPr>
              <w:t>C.</w:t>
            </w:r>
          </w:p>
        </w:tc>
      </w:tr>
      <w:tr w:rsidR="00AA0D47" w:rsidRPr="00E4559C" w14:paraId="251D3EB4" w14:textId="77777777" w:rsidTr="002D6DD7">
        <w:tc>
          <w:tcPr>
            <w:tcW w:w="9351" w:type="dxa"/>
            <w:gridSpan w:val="2"/>
          </w:tcPr>
          <w:p w14:paraId="4BB2CADC" w14:textId="77777777" w:rsidR="00AA0D47" w:rsidRPr="00D76338" w:rsidRDefault="00AA0D47" w:rsidP="002D6DD7">
            <w:pPr>
              <w:jc w:val="both"/>
              <w:rPr>
                <w:rFonts w:cs="Times New Roman"/>
                <w:b/>
                <w:szCs w:val="24"/>
              </w:rPr>
            </w:pPr>
            <w:r w:rsidRPr="00D76338">
              <w:rPr>
                <w:rFonts w:cs="Times New Roman"/>
                <w:b/>
                <w:szCs w:val="24"/>
                <w:lang w:val="fr-FR"/>
              </w:rPr>
              <w:t>Xylometazoline</w:t>
            </w:r>
          </w:p>
        </w:tc>
      </w:tr>
      <w:tr w:rsidR="00AA0D47" w:rsidRPr="00E4559C" w14:paraId="0F6E5417" w14:textId="77777777" w:rsidTr="002D6DD7">
        <w:tc>
          <w:tcPr>
            <w:tcW w:w="2605" w:type="dxa"/>
          </w:tcPr>
          <w:p w14:paraId="6DFB3EA1" w14:textId="77777777" w:rsidR="00AA0D47" w:rsidRPr="00A9552B" w:rsidRDefault="00AA0D47" w:rsidP="002D6DD7">
            <w:pPr>
              <w:jc w:val="both"/>
              <w:rPr>
                <w:rFonts w:cs="Times New Roman"/>
                <w:szCs w:val="24"/>
              </w:rPr>
            </w:pPr>
            <w:r w:rsidRPr="00A9552B">
              <w:rPr>
                <w:rFonts w:cs="Times New Roman"/>
                <w:szCs w:val="24"/>
              </w:rPr>
              <w:t>Pharmacologic class</w:t>
            </w:r>
          </w:p>
        </w:tc>
        <w:tc>
          <w:tcPr>
            <w:tcW w:w="6746" w:type="dxa"/>
          </w:tcPr>
          <w:p w14:paraId="5A9E8C04" w14:textId="77777777" w:rsidR="00AA0D47" w:rsidRPr="00A9552B" w:rsidRDefault="00AA0D47" w:rsidP="002D6DD7">
            <w:pPr>
              <w:jc w:val="both"/>
              <w:rPr>
                <w:rFonts w:cs="Times New Roman"/>
                <w:szCs w:val="24"/>
              </w:rPr>
            </w:pPr>
            <w:r w:rsidRPr="00A9552B">
              <w:rPr>
                <w:rFonts w:cs="Times New Roman"/>
                <w:szCs w:val="24"/>
              </w:rPr>
              <w:t>Sympathomimetic</w:t>
            </w:r>
          </w:p>
        </w:tc>
      </w:tr>
      <w:tr w:rsidR="00AA0D47" w:rsidRPr="00E4559C" w14:paraId="032C6D0C" w14:textId="77777777" w:rsidTr="002D6DD7">
        <w:tc>
          <w:tcPr>
            <w:tcW w:w="2605" w:type="dxa"/>
          </w:tcPr>
          <w:p w14:paraId="169CB9A5" w14:textId="77777777" w:rsidR="00AA0D47" w:rsidRPr="00A9552B" w:rsidRDefault="00AA0D47" w:rsidP="002D6DD7">
            <w:pPr>
              <w:jc w:val="both"/>
              <w:rPr>
                <w:rFonts w:cs="Times New Roman"/>
                <w:szCs w:val="24"/>
              </w:rPr>
            </w:pPr>
            <w:r w:rsidRPr="00A9552B">
              <w:rPr>
                <w:rFonts w:cs="Times New Roman"/>
                <w:szCs w:val="24"/>
              </w:rPr>
              <w:t>Dosage form</w:t>
            </w:r>
          </w:p>
        </w:tc>
        <w:tc>
          <w:tcPr>
            <w:tcW w:w="6746" w:type="dxa"/>
          </w:tcPr>
          <w:p w14:paraId="158AA6C4" w14:textId="77777777" w:rsidR="00AA0D47" w:rsidRPr="00A9552B" w:rsidRDefault="00AA0D47" w:rsidP="002D6DD7">
            <w:pPr>
              <w:jc w:val="both"/>
              <w:rPr>
                <w:rFonts w:cs="Times New Roman"/>
                <w:szCs w:val="24"/>
              </w:rPr>
            </w:pPr>
            <w:r>
              <w:rPr>
                <w:rFonts w:eastAsia="Times New Roman" w:cs="Times New Roman"/>
                <w:szCs w:val="24"/>
                <w:lang w:val="fr-FR"/>
              </w:rPr>
              <w:t>Solution (n</w:t>
            </w:r>
            <w:r w:rsidRPr="00D76338">
              <w:rPr>
                <w:rFonts w:eastAsia="Times New Roman" w:cs="Times New Roman"/>
                <w:szCs w:val="24"/>
                <w:lang w:val="fr-FR"/>
              </w:rPr>
              <w:t>asal drops) : 0.05%, 0.1%</w:t>
            </w:r>
          </w:p>
        </w:tc>
      </w:tr>
      <w:tr w:rsidR="00AA0D47" w:rsidRPr="00E4559C" w14:paraId="092CD776" w14:textId="77777777" w:rsidTr="002D6DD7">
        <w:tc>
          <w:tcPr>
            <w:tcW w:w="2605" w:type="dxa"/>
          </w:tcPr>
          <w:p w14:paraId="5A600F8B" w14:textId="77777777" w:rsidR="00AA0D47" w:rsidRPr="00A9552B" w:rsidRDefault="00AA0D47" w:rsidP="002D6DD7">
            <w:pPr>
              <w:jc w:val="both"/>
              <w:rPr>
                <w:rFonts w:cs="Times New Roman"/>
                <w:szCs w:val="24"/>
              </w:rPr>
            </w:pPr>
            <w:r w:rsidRPr="00A9552B">
              <w:rPr>
                <w:rFonts w:cs="Times New Roman"/>
                <w:szCs w:val="24"/>
              </w:rPr>
              <w:t>Indications</w:t>
            </w:r>
          </w:p>
        </w:tc>
        <w:tc>
          <w:tcPr>
            <w:tcW w:w="6746" w:type="dxa"/>
          </w:tcPr>
          <w:p w14:paraId="32412B74" w14:textId="77777777" w:rsidR="00AA0D47" w:rsidRPr="00A9552B" w:rsidRDefault="00AA0D47" w:rsidP="002D6DD7">
            <w:pPr>
              <w:jc w:val="both"/>
              <w:rPr>
                <w:rFonts w:cs="Times New Roman"/>
                <w:szCs w:val="24"/>
              </w:rPr>
            </w:pPr>
            <w:r w:rsidRPr="00A9552B">
              <w:rPr>
                <w:rFonts w:cs="Times New Roman"/>
                <w:szCs w:val="24"/>
              </w:rPr>
              <w:t>For the symptomatic relief of nasal congestion, perennial and allergic rhinitis (including hay fever), sinusitis.</w:t>
            </w:r>
          </w:p>
        </w:tc>
      </w:tr>
      <w:tr w:rsidR="00AA0D47" w:rsidRPr="00E4559C" w14:paraId="57668846" w14:textId="77777777" w:rsidTr="002D6DD7">
        <w:tc>
          <w:tcPr>
            <w:tcW w:w="2605" w:type="dxa"/>
          </w:tcPr>
          <w:p w14:paraId="185286F0" w14:textId="77777777" w:rsidR="00AA0D47" w:rsidRPr="00A9552B" w:rsidRDefault="00AA0D47" w:rsidP="002D6DD7">
            <w:pPr>
              <w:jc w:val="both"/>
              <w:rPr>
                <w:rFonts w:cs="Times New Roman"/>
                <w:szCs w:val="24"/>
              </w:rPr>
            </w:pPr>
            <w:r w:rsidRPr="00A9552B">
              <w:rPr>
                <w:rFonts w:cs="Times New Roman"/>
                <w:szCs w:val="24"/>
              </w:rPr>
              <w:t>Dose and Administration</w:t>
            </w:r>
          </w:p>
        </w:tc>
        <w:tc>
          <w:tcPr>
            <w:tcW w:w="6746" w:type="dxa"/>
          </w:tcPr>
          <w:p w14:paraId="310F5A17" w14:textId="77777777" w:rsidR="00AA0D47" w:rsidRPr="00A9552B" w:rsidRDefault="00AA0D47" w:rsidP="002D6DD7">
            <w:pPr>
              <w:jc w:val="both"/>
              <w:rPr>
                <w:rFonts w:cs="Times New Roman"/>
                <w:szCs w:val="24"/>
              </w:rPr>
            </w:pPr>
            <w:r w:rsidRPr="00D76338">
              <w:rPr>
                <w:rFonts w:cs="Times New Roman"/>
                <w:b/>
                <w:szCs w:val="24"/>
              </w:rPr>
              <w:t>Child 6–11 years:</w:t>
            </w:r>
            <w:r w:rsidRPr="00A9552B">
              <w:rPr>
                <w:rFonts w:cs="Times New Roman"/>
                <w:szCs w:val="24"/>
              </w:rPr>
              <w:t xml:space="preserve"> 1–2 drops 1–2 times a day as required for maximum duration of 5 days, 0.05% solution to be administered into each nostril. </w:t>
            </w:r>
          </w:p>
          <w:p w14:paraId="34FFE0F9" w14:textId="77777777" w:rsidR="00AA0D47" w:rsidRPr="00A9552B" w:rsidRDefault="00AA0D47" w:rsidP="002D6DD7">
            <w:pPr>
              <w:jc w:val="both"/>
              <w:rPr>
                <w:rFonts w:cs="Times New Roman"/>
                <w:szCs w:val="24"/>
              </w:rPr>
            </w:pPr>
            <w:r w:rsidRPr="00D76338">
              <w:rPr>
                <w:rFonts w:cs="Times New Roman"/>
                <w:b/>
                <w:szCs w:val="24"/>
              </w:rPr>
              <w:t>Child 12–17 years and Adults:</w:t>
            </w:r>
            <w:r w:rsidRPr="00A9552B">
              <w:rPr>
                <w:rFonts w:cs="Times New Roman"/>
                <w:szCs w:val="24"/>
              </w:rPr>
              <w:t xml:space="preserve"> 2–3 drops 2–3 times a day as required for maximum duration of 7 days, 0.1% solution to be administered into each nostril.</w:t>
            </w:r>
          </w:p>
        </w:tc>
      </w:tr>
      <w:tr w:rsidR="00AA0D47" w:rsidRPr="00E4559C" w14:paraId="5AD0D99C" w14:textId="77777777" w:rsidTr="002D6DD7">
        <w:tc>
          <w:tcPr>
            <w:tcW w:w="2605" w:type="dxa"/>
          </w:tcPr>
          <w:p w14:paraId="1386BAC7" w14:textId="77777777" w:rsidR="00AA0D47" w:rsidRPr="00A9552B" w:rsidRDefault="00AA0D47" w:rsidP="002D6DD7">
            <w:pPr>
              <w:jc w:val="both"/>
              <w:rPr>
                <w:rFonts w:cs="Times New Roman"/>
                <w:szCs w:val="24"/>
              </w:rPr>
            </w:pPr>
            <w:r w:rsidRPr="00A9552B">
              <w:rPr>
                <w:rFonts w:cs="Times New Roman"/>
                <w:szCs w:val="24"/>
              </w:rPr>
              <w:t>Contraindications</w:t>
            </w:r>
          </w:p>
        </w:tc>
        <w:tc>
          <w:tcPr>
            <w:tcW w:w="6746" w:type="dxa"/>
          </w:tcPr>
          <w:p w14:paraId="32B81380" w14:textId="77777777" w:rsidR="00AA0D47" w:rsidRPr="00A9552B" w:rsidRDefault="00AA0D47" w:rsidP="002D6DD7">
            <w:pPr>
              <w:jc w:val="both"/>
              <w:rPr>
                <w:rFonts w:cs="Times New Roman"/>
                <w:szCs w:val="24"/>
              </w:rPr>
            </w:pPr>
            <w:r w:rsidRPr="00A9552B">
              <w:rPr>
                <w:rFonts w:cs="Times New Roman"/>
                <w:szCs w:val="24"/>
              </w:rPr>
              <w:t>Hypersensitivity</w:t>
            </w:r>
            <w:r>
              <w:rPr>
                <w:rFonts w:cs="Times New Roman"/>
                <w:szCs w:val="24"/>
              </w:rPr>
              <w:t xml:space="preserve"> to the drug, concurrent</w:t>
            </w:r>
            <w:r w:rsidRPr="00A9552B">
              <w:rPr>
                <w:rFonts w:cs="Times New Roman"/>
                <w:szCs w:val="24"/>
              </w:rPr>
              <w:t xml:space="preserve"> use with </w:t>
            </w:r>
            <w:hyperlink r:id="rId48">
              <w:r>
                <w:rPr>
                  <w:rFonts w:cs="Times New Roman"/>
                  <w:szCs w:val="24"/>
                </w:rPr>
                <w:t>m</w:t>
              </w:r>
              <w:r w:rsidRPr="00A9552B">
                <w:rPr>
                  <w:rFonts w:cs="Times New Roman"/>
                  <w:szCs w:val="24"/>
                </w:rPr>
                <w:t>onoamine  oxidase inhibitors</w:t>
              </w:r>
            </w:hyperlink>
            <w:r w:rsidRPr="00A9552B">
              <w:rPr>
                <w:rFonts w:cs="Times New Roman"/>
                <w:szCs w:val="24"/>
              </w:rPr>
              <w:t xml:space="preserve"> </w:t>
            </w:r>
            <w:r>
              <w:rPr>
                <w:rFonts w:cs="Times New Roman"/>
                <w:szCs w:val="24"/>
              </w:rPr>
              <w:t>(MAOIs</w:t>
            </w:r>
            <w:r w:rsidRPr="00A9552B">
              <w:rPr>
                <w:rFonts w:cs="Times New Roman"/>
                <w:szCs w:val="24"/>
              </w:rPr>
              <w:t>)</w:t>
            </w:r>
          </w:p>
        </w:tc>
      </w:tr>
      <w:tr w:rsidR="00AA0D47" w:rsidRPr="00E4559C" w14:paraId="7380057F" w14:textId="77777777" w:rsidTr="002D6DD7">
        <w:tc>
          <w:tcPr>
            <w:tcW w:w="2605" w:type="dxa"/>
          </w:tcPr>
          <w:p w14:paraId="193913C9" w14:textId="77777777" w:rsidR="00AA0D47" w:rsidRPr="00A9552B" w:rsidRDefault="00AA0D47" w:rsidP="002D6DD7">
            <w:pPr>
              <w:jc w:val="both"/>
              <w:rPr>
                <w:rFonts w:cs="Times New Roman"/>
                <w:szCs w:val="24"/>
              </w:rPr>
            </w:pPr>
            <w:r w:rsidRPr="00A9552B">
              <w:rPr>
                <w:rFonts w:cs="Times New Roman"/>
                <w:szCs w:val="24"/>
              </w:rPr>
              <w:t>Drug interactions</w:t>
            </w:r>
          </w:p>
        </w:tc>
        <w:tc>
          <w:tcPr>
            <w:tcW w:w="6746" w:type="dxa"/>
          </w:tcPr>
          <w:p w14:paraId="3DB8BEE4" w14:textId="77777777" w:rsidR="00AA0D47" w:rsidRPr="00A9552B" w:rsidRDefault="00AA0D47" w:rsidP="002D6DD7">
            <w:pPr>
              <w:jc w:val="both"/>
              <w:rPr>
                <w:rFonts w:cs="Times New Roman"/>
                <w:szCs w:val="24"/>
              </w:rPr>
            </w:pPr>
            <w:r>
              <w:rPr>
                <w:rFonts w:cs="Times New Roman"/>
                <w:szCs w:val="24"/>
              </w:rPr>
              <w:t>MAOIs</w:t>
            </w:r>
            <w:r w:rsidRPr="00A9552B">
              <w:rPr>
                <w:rFonts w:cs="Times New Roman"/>
                <w:szCs w:val="24"/>
              </w:rPr>
              <w:t>, tricyclic antidepressants.</w:t>
            </w:r>
          </w:p>
        </w:tc>
      </w:tr>
      <w:tr w:rsidR="00AA0D47" w:rsidRPr="00E4559C" w14:paraId="0B654AD3" w14:textId="77777777" w:rsidTr="002D6DD7">
        <w:tc>
          <w:tcPr>
            <w:tcW w:w="2605" w:type="dxa"/>
          </w:tcPr>
          <w:p w14:paraId="115FBCB8" w14:textId="77777777" w:rsidR="00AA0D47" w:rsidRPr="00A9552B" w:rsidRDefault="00AA0D47" w:rsidP="002D6DD7">
            <w:pPr>
              <w:jc w:val="both"/>
              <w:rPr>
                <w:rFonts w:cs="Times New Roman"/>
                <w:szCs w:val="24"/>
              </w:rPr>
            </w:pPr>
            <w:r w:rsidRPr="00A9552B">
              <w:rPr>
                <w:rFonts w:cs="Times New Roman"/>
                <w:szCs w:val="24"/>
              </w:rPr>
              <w:t>Side effects</w:t>
            </w:r>
          </w:p>
        </w:tc>
        <w:tc>
          <w:tcPr>
            <w:tcW w:w="6746" w:type="dxa"/>
          </w:tcPr>
          <w:p w14:paraId="20D7A1C2" w14:textId="77777777" w:rsidR="00AA0D47" w:rsidRPr="00A9552B" w:rsidRDefault="00AA0D47" w:rsidP="002D6DD7">
            <w:pPr>
              <w:jc w:val="both"/>
              <w:rPr>
                <w:rFonts w:cs="Times New Roman"/>
                <w:szCs w:val="24"/>
              </w:rPr>
            </w:pPr>
            <w:r w:rsidRPr="00A9552B">
              <w:rPr>
                <w:rFonts w:cs="Times New Roman"/>
                <w:szCs w:val="24"/>
              </w:rPr>
              <w:t>Hypersensitivity reaction (angioedema, rash, pruritus), headache, nasal dryness or discomfort, burning sensation, burning at application site.</w:t>
            </w:r>
          </w:p>
        </w:tc>
      </w:tr>
      <w:tr w:rsidR="00AA0D47" w:rsidRPr="00E4559C" w14:paraId="24DF0FA9" w14:textId="77777777" w:rsidTr="002D6DD7">
        <w:tc>
          <w:tcPr>
            <w:tcW w:w="2605" w:type="dxa"/>
          </w:tcPr>
          <w:p w14:paraId="47F42EBC" w14:textId="77777777" w:rsidR="00AA0D47" w:rsidRPr="00A9552B" w:rsidRDefault="00AA0D47" w:rsidP="002D6DD7">
            <w:pPr>
              <w:jc w:val="both"/>
              <w:rPr>
                <w:rFonts w:cs="Times New Roman"/>
                <w:szCs w:val="24"/>
              </w:rPr>
            </w:pPr>
            <w:r w:rsidRPr="00A9552B">
              <w:rPr>
                <w:rFonts w:cs="Times New Roman"/>
                <w:szCs w:val="24"/>
              </w:rPr>
              <w:t xml:space="preserve">Cautions </w:t>
            </w:r>
          </w:p>
        </w:tc>
        <w:tc>
          <w:tcPr>
            <w:tcW w:w="6746" w:type="dxa"/>
          </w:tcPr>
          <w:p w14:paraId="7DB1B0F8" w14:textId="77777777" w:rsidR="00AA0D47" w:rsidRPr="00A9552B" w:rsidRDefault="00AA0D47" w:rsidP="002D6DD7">
            <w:pPr>
              <w:jc w:val="both"/>
              <w:rPr>
                <w:rFonts w:cs="Times New Roman"/>
                <w:szCs w:val="24"/>
              </w:rPr>
            </w:pPr>
            <w:r>
              <w:rPr>
                <w:rFonts w:cs="Times New Roman"/>
                <w:szCs w:val="24"/>
              </w:rPr>
              <w:t>M</w:t>
            </w:r>
            <w:r w:rsidRPr="00A9552B">
              <w:rPr>
                <w:rFonts w:cs="Times New Roman"/>
                <w:szCs w:val="24"/>
              </w:rPr>
              <w:t>ore than seven consecutive days, hypertension, cardiovascular disease, hyperthyr</w:t>
            </w:r>
            <w:r>
              <w:rPr>
                <w:rFonts w:cs="Times New Roman"/>
                <w:szCs w:val="24"/>
              </w:rPr>
              <w:t>oidism, narrow angle glaucoma,</w:t>
            </w:r>
            <w:r w:rsidRPr="00A9552B">
              <w:rPr>
                <w:rFonts w:cs="Times New Roman"/>
                <w:szCs w:val="24"/>
              </w:rPr>
              <w:t xml:space="preserve"> diabetes mellitus.</w:t>
            </w:r>
          </w:p>
        </w:tc>
      </w:tr>
      <w:tr w:rsidR="00AA0D47" w:rsidRPr="00E4559C" w14:paraId="31AA0C2F" w14:textId="77777777" w:rsidTr="002D6DD7">
        <w:tc>
          <w:tcPr>
            <w:tcW w:w="2605" w:type="dxa"/>
          </w:tcPr>
          <w:p w14:paraId="1C6879B9" w14:textId="77777777" w:rsidR="00AA0D47" w:rsidRPr="00A9552B" w:rsidRDefault="00AA0D47" w:rsidP="002D6DD7">
            <w:pPr>
              <w:jc w:val="both"/>
              <w:rPr>
                <w:rFonts w:cs="Times New Roman"/>
                <w:szCs w:val="24"/>
              </w:rPr>
            </w:pPr>
            <w:r w:rsidRPr="00A9552B">
              <w:rPr>
                <w:rFonts w:cs="Times New Roman"/>
                <w:szCs w:val="24"/>
              </w:rPr>
              <w:t>Storage condition</w:t>
            </w:r>
          </w:p>
        </w:tc>
        <w:tc>
          <w:tcPr>
            <w:tcW w:w="6746" w:type="dxa"/>
          </w:tcPr>
          <w:p w14:paraId="6F1271F1" w14:textId="77777777" w:rsidR="00AA0D47" w:rsidRPr="00A9552B" w:rsidRDefault="00AA0D47" w:rsidP="002D6DD7">
            <w:pPr>
              <w:jc w:val="both"/>
              <w:rPr>
                <w:rFonts w:cs="Times New Roman"/>
                <w:szCs w:val="24"/>
              </w:rPr>
            </w:pPr>
            <w:r>
              <w:rPr>
                <w:rFonts w:cs="Times New Roman"/>
                <w:szCs w:val="24"/>
              </w:rPr>
              <w:t>Store below 30ºC. P</w:t>
            </w:r>
            <w:r w:rsidRPr="00A9552B">
              <w:rPr>
                <w:rFonts w:cs="Times New Roman"/>
                <w:szCs w:val="24"/>
              </w:rPr>
              <w:t>rotect from light.</w:t>
            </w:r>
          </w:p>
        </w:tc>
      </w:tr>
    </w:tbl>
    <w:p w14:paraId="63A234A0" w14:textId="77777777" w:rsidR="00AA0D47" w:rsidRDefault="00AA0D47" w:rsidP="00AA0D47"/>
    <w:p w14:paraId="60C9B7E3" w14:textId="77777777" w:rsidR="00AA0D47" w:rsidRDefault="00AA0D47" w:rsidP="006254CE"/>
    <w:p w14:paraId="35A07088" w14:textId="77777777" w:rsidR="002F635D" w:rsidRDefault="002F635D" w:rsidP="006254CE"/>
    <w:p w14:paraId="6709EEEA" w14:textId="77777777" w:rsidR="00F84B47" w:rsidRDefault="00F84B47">
      <w:pPr>
        <w:spacing w:line="259" w:lineRule="auto"/>
        <w:rPr>
          <w:rFonts w:eastAsiaTheme="majorEastAsia" w:cstheme="majorBidi"/>
          <w:b/>
          <w:bCs/>
          <w:kern w:val="0"/>
          <w:sz w:val="28"/>
          <w:szCs w:val="28"/>
          <w:lang w:val="en-US" w:eastAsia="en-US"/>
        </w:rPr>
      </w:pPr>
      <w:r>
        <w:br w:type="page"/>
      </w:r>
    </w:p>
    <w:p w14:paraId="031F7B3A" w14:textId="77777777" w:rsidR="002F635D" w:rsidRPr="00F84B47" w:rsidRDefault="002F635D" w:rsidP="00F84B47">
      <w:pPr>
        <w:pStyle w:val="Heading1"/>
        <w:numPr>
          <w:ilvl w:val="0"/>
          <w:numId w:val="25"/>
        </w:numPr>
        <w:spacing w:after="240"/>
      </w:pPr>
      <w:bookmarkStart w:id="204" w:name="_Toc179490399"/>
      <w:r w:rsidRPr="00F84B47">
        <w:lastRenderedPageBreak/>
        <w:t>Dermatologic Medicines</w:t>
      </w:r>
      <w:bookmarkEnd w:id="204"/>
    </w:p>
    <w:p w14:paraId="69C708FB" w14:textId="77777777" w:rsidR="002F635D" w:rsidRPr="0024114A" w:rsidRDefault="002F635D" w:rsidP="002F635D">
      <w:pPr>
        <w:spacing w:after="0"/>
        <w:jc w:val="both"/>
        <w:rPr>
          <w:rFonts w:cs="Times New Roman"/>
          <w:i/>
          <w:iCs/>
          <w:szCs w:val="24"/>
        </w:rPr>
      </w:pPr>
      <w:r w:rsidRPr="0024114A">
        <w:rPr>
          <w:rFonts w:cs="Times New Roman"/>
          <w:szCs w:val="24"/>
        </w:rPr>
        <w:t>Dermatological medicines combine vehicles and active ingredients to treat skin conditions, with vehicles often playing a therapeutic role by hydrating the skin and enhancing drug absorption. Lotions and sprays suit large or hairy areas, while ointments are used for dry skin and creams for moist areas. Topical use of systemic antibiotics like penicillins and gentamicin should be avoided to prevent resistance, as hygiene often suffices for mild infections. For deep infections like cellulitis, systemic antibiotics are required. Mupirocin and fusidic acid are used for impetigo and staphylococcal infections, while silver sulfadiazine is essential for treating infected burns. Other agents like metronidazole and tetracycline are also used for specific skin conditions, but their use should be controlled to prevent resistance.</w:t>
      </w:r>
    </w:p>
    <w:p w14:paraId="13B065C6" w14:textId="77777777" w:rsidR="002F635D" w:rsidRPr="00C4521D" w:rsidRDefault="002F635D" w:rsidP="00C4521D">
      <w:pPr>
        <w:pStyle w:val="Heading2"/>
        <w:spacing w:before="240" w:after="240"/>
      </w:pPr>
      <w:bookmarkStart w:id="205" w:name="_Toc179490400"/>
      <w:r w:rsidRPr="00C4521D">
        <w:t>Anti-bacterials</w:t>
      </w:r>
      <w:bookmarkEnd w:id="205"/>
    </w:p>
    <w:p w14:paraId="713D0636" w14:textId="77777777" w:rsidR="002F635D" w:rsidRPr="0024114A" w:rsidRDefault="002F635D" w:rsidP="002F635D">
      <w:pPr>
        <w:spacing w:after="0"/>
        <w:jc w:val="both"/>
        <w:rPr>
          <w:rFonts w:cs="Times New Roman"/>
          <w:szCs w:val="24"/>
          <w:lang w:val="en-US" w:eastAsia="en-US"/>
        </w:rPr>
      </w:pPr>
      <w:r w:rsidRPr="0024114A">
        <w:rPr>
          <w:rFonts w:cs="Times New Roman"/>
          <w:szCs w:val="24"/>
        </w:rPr>
        <w:t xml:space="preserve">Topical antibiotics are used to treat localized skin infections, offering direct antibacterial action at the infection site. </w:t>
      </w:r>
      <w:r w:rsidRPr="0024114A">
        <w:rPr>
          <w:rStyle w:val="Strong"/>
          <w:rFonts w:cs="Times New Roman"/>
          <w:b w:val="0"/>
          <w:szCs w:val="24"/>
        </w:rPr>
        <w:t>Fusidic acid</w:t>
      </w:r>
      <w:r w:rsidRPr="0024114A">
        <w:rPr>
          <w:rFonts w:cs="Times New Roman"/>
          <w:szCs w:val="24"/>
        </w:rPr>
        <w:t xml:space="preserve">is commonly used for skin infections like impetigo. </w:t>
      </w:r>
      <w:r w:rsidRPr="0024114A">
        <w:rPr>
          <w:rStyle w:val="Strong"/>
          <w:rFonts w:cs="Times New Roman"/>
          <w:b w:val="0"/>
          <w:szCs w:val="24"/>
        </w:rPr>
        <w:t>Mupirocin</w:t>
      </w:r>
      <w:r w:rsidRPr="0024114A">
        <w:rPr>
          <w:rFonts w:cs="Times New Roman"/>
          <w:szCs w:val="24"/>
        </w:rPr>
        <w:t xml:space="preserve"> is another effective agent against </w:t>
      </w:r>
      <w:r w:rsidRPr="0024114A">
        <w:rPr>
          <w:rStyle w:val="Emphasis"/>
          <w:rFonts w:cs="Times New Roman"/>
          <w:szCs w:val="24"/>
        </w:rPr>
        <w:t>Staphylococcus</w:t>
      </w:r>
      <w:r w:rsidRPr="0024114A">
        <w:rPr>
          <w:rFonts w:cs="Times New Roman"/>
          <w:szCs w:val="24"/>
        </w:rPr>
        <w:t xml:space="preserve"> and </w:t>
      </w:r>
      <w:r w:rsidRPr="0024114A">
        <w:rPr>
          <w:rStyle w:val="Emphasis"/>
          <w:rFonts w:cs="Times New Roman"/>
          <w:szCs w:val="24"/>
        </w:rPr>
        <w:t>Streptococcus</w:t>
      </w:r>
      <w:r w:rsidRPr="0024114A">
        <w:rPr>
          <w:rFonts w:cs="Times New Roman"/>
          <w:szCs w:val="24"/>
        </w:rPr>
        <w:t xml:space="preserve">, often used in treating impetigo and small infected wounds. </w:t>
      </w:r>
      <w:r w:rsidRPr="0024114A">
        <w:rPr>
          <w:rStyle w:val="Strong"/>
          <w:rFonts w:cs="Times New Roman"/>
          <w:b w:val="0"/>
          <w:szCs w:val="24"/>
        </w:rPr>
        <w:t>Metronidazole</w:t>
      </w:r>
      <w:r w:rsidRPr="0024114A">
        <w:rPr>
          <w:rFonts w:cs="Times New Roman"/>
          <w:szCs w:val="24"/>
        </w:rPr>
        <w:t xml:space="preserve"> is widely employed for rosacea due to its action against anaerobic bacteria. </w:t>
      </w:r>
      <w:r w:rsidRPr="0024114A">
        <w:rPr>
          <w:rStyle w:val="Strong"/>
          <w:rFonts w:cs="Times New Roman"/>
          <w:b w:val="0"/>
          <w:szCs w:val="24"/>
        </w:rPr>
        <w:t>Nitrofurazone</w:t>
      </w:r>
      <w:r w:rsidRPr="0024114A">
        <w:rPr>
          <w:rFonts w:cs="Times New Roman"/>
          <w:szCs w:val="24"/>
        </w:rPr>
        <w:t xml:space="preserve"> is used for wound infections, especially in burn care. </w:t>
      </w:r>
      <w:r w:rsidRPr="0024114A">
        <w:rPr>
          <w:rStyle w:val="Strong"/>
          <w:rFonts w:cs="Times New Roman"/>
          <w:b w:val="0"/>
          <w:szCs w:val="24"/>
        </w:rPr>
        <w:t>Paromomycin</w:t>
      </w:r>
      <w:r w:rsidRPr="0024114A">
        <w:rPr>
          <w:rFonts w:cs="Times New Roman"/>
          <w:szCs w:val="24"/>
        </w:rPr>
        <w:t xml:space="preserve"> targets parasitic skin infections like cutaneous leishmaniasis, while </w:t>
      </w:r>
      <w:r w:rsidRPr="0024114A">
        <w:rPr>
          <w:rStyle w:val="Strong"/>
          <w:rFonts w:cs="Times New Roman"/>
          <w:b w:val="0"/>
          <w:szCs w:val="24"/>
        </w:rPr>
        <w:t>silversulfadiazine</w:t>
      </w:r>
      <w:r w:rsidRPr="0024114A">
        <w:rPr>
          <w:rFonts w:cs="Times New Roman"/>
          <w:szCs w:val="24"/>
        </w:rPr>
        <w:t xml:space="preserve"> is essential for preventing infections in burn wounds. </w:t>
      </w:r>
      <w:r w:rsidRPr="0024114A">
        <w:rPr>
          <w:rStyle w:val="Strong"/>
          <w:rFonts w:cs="Times New Roman"/>
          <w:b w:val="0"/>
          <w:szCs w:val="24"/>
        </w:rPr>
        <w:t>Tetracycline</w:t>
      </w:r>
      <w:r w:rsidRPr="0024114A">
        <w:rPr>
          <w:rFonts w:cs="Times New Roman"/>
          <w:szCs w:val="24"/>
        </w:rPr>
        <w:t xml:space="preserve"> is often used in treating acne due to its antibacterial and anti-inflammatory properties. These agents help control infections but should be used cautiously to avoid resistance and skin irritation</w:t>
      </w:r>
    </w:p>
    <w:tbl>
      <w:tblPr>
        <w:tblStyle w:val="TableGrid"/>
        <w:tblW w:w="9195" w:type="dxa"/>
        <w:jc w:val="center"/>
        <w:tblLook w:val="04A0" w:firstRow="1" w:lastRow="0" w:firstColumn="1" w:lastColumn="0" w:noHBand="0" w:noVBand="1"/>
      </w:tblPr>
      <w:tblGrid>
        <w:gridCol w:w="2605"/>
        <w:gridCol w:w="6590"/>
      </w:tblGrid>
      <w:tr w:rsidR="002F635D" w:rsidRPr="0024114A" w14:paraId="0412F58E" w14:textId="77777777" w:rsidTr="002D6DD7">
        <w:trPr>
          <w:trHeight w:val="287"/>
          <w:jc w:val="center"/>
        </w:trPr>
        <w:tc>
          <w:tcPr>
            <w:tcW w:w="9195" w:type="dxa"/>
            <w:gridSpan w:val="2"/>
          </w:tcPr>
          <w:p w14:paraId="4D24490A" w14:textId="77777777" w:rsidR="002F635D" w:rsidRPr="0024114A" w:rsidRDefault="002F635D" w:rsidP="002D6DD7">
            <w:pPr>
              <w:jc w:val="both"/>
              <w:rPr>
                <w:rFonts w:cs="Times New Roman"/>
                <w:b/>
                <w:color w:val="000000" w:themeColor="text1"/>
                <w:szCs w:val="24"/>
                <w:lang w:val="en-US"/>
              </w:rPr>
            </w:pPr>
            <w:bookmarkStart w:id="206" w:name="_Hlk165995288"/>
            <w:r w:rsidRPr="0024114A">
              <w:rPr>
                <w:rFonts w:cs="Times New Roman"/>
                <w:b/>
                <w:bCs/>
                <w:color w:val="000000" w:themeColor="text1"/>
                <w:szCs w:val="24"/>
                <w:lang w:val="en-US"/>
              </w:rPr>
              <w:t>Fusidic Acid</w:t>
            </w:r>
          </w:p>
        </w:tc>
      </w:tr>
      <w:tr w:rsidR="002F635D" w:rsidRPr="0024114A" w14:paraId="29E59A6B" w14:textId="77777777" w:rsidTr="002D6DD7">
        <w:trPr>
          <w:trHeight w:val="347"/>
          <w:jc w:val="center"/>
        </w:trPr>
        <w:tc>
          <w:tcPr>
            <w:tcW w:w="2605" w:type="dxa"/>
          </w:tcPr>
          <w:p w14:paraId="6662F1C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7CE2F53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7C4141A2" w14:textId="77777777" w:rsidTr="002D6DD7">
        <w:trPr>
          <w:trHeight w:val="287"/>
          <w:jc w:val="center"/>
        </w:trPr>
        <w:tc>
          <w:tcPr>
            <w:tcW w:w="2605" w:type="dxa"/>
          </w:tcPr>
          <w:p w14:paraId="6861BC2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087B463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2%</w:t>
            </w:r>
          </w:p>
        </w:tc>
      </w:tr>
      <w:tr w:rsidR="002F635D" w:rsidRPr="0024114A" w14:paraId="5ED1D042" w14:textId="77777777" w:rsidTr="002D6DD7">
        <w:trPr>
          <w:trHeight w:val="90"/>
          <w:jc w:val="center"/>
        </w:trPr>
        <w:tc>
          <w:tcPr>
            <w:tcW w:w="2605" w:type="dxa"/>
          </w:tcPr>
          <w:p w14:paraId="6E7FD0A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590" w:type="dxa"/>
          </w:tcPr>
          <w:p w14:paraId="38744041" w14:textId="77777777" w:rsidR="002F635D" w:rsidRPr="0024114A" w:rsidRDefault="002F635D" w:rsidP="002D6DD7">
            <w:pPr>
              <w:jc w:val="both"/>
              <w:rPr>
                <w:rFonts w:eastAsia="Candara-Italic" w:cs="Times New Roman"/>
                <w:color w:val="000000" w:themeColor="text1"/>
                <w:szCs w:val="24"/>
                <w:lang w:val="en-US"/>
              </w:rPr>
            </w:pPr>
            <w:r w:rsidRPr="0024114A">
              <w:rPr>
                <w:rFonts w:eastAsia="Candara-Italic" w:cs="Times New Roman"/>
                <w:color w:val="000000" w:themeColor="text1"/>
                <w:szCs w:val="24"/>
                <w:lang w:val="en-US"/>
              </w:rPr>
              <w:t xml:space="preserve">Primary and secondary skin infections caused by sensitive strains of </w:t>
            </w:r>
            <w:r w:rsidRPr="0024114A">
              <w:rPr>
                <w:rFonts w:eastAsia="Candara-Italic" w:cs="Times New Roman"/>
                <w:i/>
                <w:iCs/>
                <w:color w:val="000000" w:themeColor="text1"/>
                <w:szCs w:val="24"/>
                <w:lang w:val="en-US"/>
              </w:rPr>
              <w:t>Staphylococcus aureus</w:t>
            </w:r>
            <w:r w:rsidRPr="0024114A">
              <w:rPr>
                <w:rFonts w:eastAsia="Candara-Italic" w:cs="Times New Roman"/>
                <w:color w:val="000000" w:themeColor="text1"/>
                <w:szCs w:val="24"/>
                <w:lang w:val="en-US"/>
              </w:rPr>
              <w:t xml:space="preserve">, </w:t>
            </w:r>
            <w:r w:rsidRPr="0024114A">
              <w:rPr>
                <w:rFonts w:eastAsia="Candara-Italic" w:cs="Times New Roman"/>
                <w:i/>
                <w:iCs/>
                <w:color w:val="000000" w:themeColor="text1"/>
                <w:szCs w:val="24"/>
                <w:lang w:val="en-US"/>
              </w:rPr>
              <w:t xml:space="preserve">Streptococcus spp., </w:t>
            </w:r>
            <w:r w:rsidRPr="0024114A">
              <w:rPr>
                <w:rFonts w:eastAsia="Candara-Italic" w:cs="Times New Roman"/>
                <w:color w:val="000000" w:themeColor="text1"/>
                <w:szCs w:val="24"/>
                <w:lang w:val="en-US"/>
              </w:rPr>
              <w:t>and</w:t>
            </w:r>
            <w:r w:rsidRPr="0024114A">
              <w:rPr>
                <w:rFonts w:eastAsia="Candara-Italic" w:cs="Times New Roman"/>
                <w:i/>
                <w:iCs/>
                <w:color w:val="000000" w:themeColor="text1"/>
                <w:szCs w:val="24"/>
                <w:lang w:val="en-US"/>
              </w:rPr>
              <w:t xml:space="preserve"> Corynebacterium minutissimum</w:t>
            </w:r>
            <w:r w:rsidRPr="0024114A">
              <w:rPr>
                <w:rFonts w:eastAsia="Candara-Italic" w:cs="Times New Roman"/>
                <w:color w:val="000000" w:themeColor="text1"/>
                <w:szCs w:val="24"/>
                <w:lang w:val="en-US"/>
              </w:rPr>
              <w:t>, such as impetigo contagiosa, superficial folliculitis, sycosis barbae, paronychia and erythrasma, infected eczematoid dermatitis, infected contact dermatitis, and infected cuts/abrasions.</w:t>
            </w:r>
          </w:p>
        </w:tc>
      </w:tr>
      <w:tr w:rsidR="002F635D" w:rsidRPr="0024114A" w14:paraId="24DB43BF" w14:textId="77777777" w:rsidTr="002D6DD7">
        <w:trPr>
          <w:trHeight w:val="548"/>
          <w:jc w:val="center"/>
        </w:trPr>
        <w:tc>
          <w:tcPr>
            <w:tcW w:w="2605" w:type="dxa"/>
          </w:tcPr>
          <w:p w14:paraId="322F5B3B"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590" w:type="dxa"/>
          </w:tcPr>
          <w:p w14:paraId="5DCBA572" w14:textId="77777777" w:rsidR="002F635D" w:rsidRPr="0024114A" w:rsidRDefault="002F635D" w:rsidP="002D6DD7">
            <w:pPr>
              <w:jc w:val="both"/>
              <w:rPr>
                <w:rFonts w:eastAsia="Candara-Italic" w:cs="Times New Roman"/>
                <w:color w:val="000000" w:themeColor="text1"/>
                <w:szCs w:val="24"/>
                <w:lang w:val="en-US"/>
              </w:rPr>
            </w:pPr>
            <w:r w:rsidRPr="0024114A">
              <w:rPr>
                <w:rFonts w:eastAsia="Candara-Italic" w:cs="Times New Roman"/>
                <w:b/>
                <w:bCs/>
                <w:color w:val="000000" w:themeColor="text1"/>
                <w:szCs w:val="24"/>
                <w:lang w:val="en-US"/>
              </w:rPr>
              <w:t>Uncovered lesions</w:t>
            </w:r>
            <w:r w:rsidRPr="0024114A">
              <w:rPr>
                <w:rFonts w:eastAsia="Candara-Italic" w:cs="Times New Roman"/>
                <w:bCs/>
                <w:color w:val="000000" w:themeColor="text1"/>
                <w:szCs w:val="24"/>
                <w:lang w:val="en-US"/>
              </w:rPr>
              <w:t>:</w:t>
            </w:r>
          </w:p>
          <w:p w14:paraId="6896FD66" w14:textId="77777777" w:rsidR="002F635D" w:rsidRPr="0024114A" w:rsidRDefault="002F635D" w:rsidP="002D6DD7">
            <w:pPr>
              <w:jc w:val="both"/>
              <w:rPr>
                <w:rFonts w:eastAsia="Candara-Italic" w:cs="Times New Roman"/>
                <w:bCs/>
                <w:color w:val="000000" w:themeColor="text1"/>
                <w:szCs w:val="24"/>
                <w:lang w:val="en-US"/>
              </w:rPr>
            </w:pPr>
            <w:r w:rsidRPr="0024114A">
              <w:rPr>
                <w:rFonts w:eastAsia="Candara-Italic" w:cs="Times New Roman"/>
                <w:b/>
                <w:bCs/>
                <w:color w:val="000000" w:themeColor="text1"/>
                <w:szCs w:val="24"/>
                <w:lang w:val="en-US"/>
              </w:rPr>
              <w:t>Adult</w:t>
            </w:r>
            <w:r w:rsidRPr="0024114A">
              <w:rPr>
                <w:rFonts w:eastAsia="Candara-Italic" w:cs="Times New Roman"/>
                <w:bCs/>
                <w:color w:val="000000" w:themeColor="text1"/>
                <w:szCs w:val="24"/>
                <w:lang w:val="en-US"/>
              </w:rPr>
              <w:t xml:space="preserve">: </w:t>
            </w:r>
            <w:r w:rsidRPr="0024114A">
              <w:rPr>
                <w:rFonts w:eastAsia="Candara-Italic" w:cs="Times New Roman"/>
                <w:color w:val="000000" w:themeColor="text1"/>
                <w:szCs w:val="24"/>
                <w:lang w:val="en-US"/>
              </w:rPr>
              <w:t>Apply gently 3 or 4 times daily for 1 week.</w:t>
            </w:r>
          </w:p>
          <w:p w14:paraId="03841CFB" w14:textId="77777777" w:rsidR="002F635D" w:rsidRPr="0024114A" w:rsidRDefault="002F635D" w:rsidP="002D6DD7">
            <w:pPr>
              <w:jc w:val="both"/>
              <w:rPr>
                <w:rFonts w:eastAsia="Candara-Italic" w:cs="Times New Roman"/>
                <w:color w:val="000000" w:themeColor="text1"/>
                <w:szCs w:val="24"/>
                <w:lang w:val="en-US"/>
              </w:rPr>
            </w:pPr>
            <w:r w:rsidRPr="0024114A">
              <w:rPr>
                <w:rFonts w:eastAsia="Candara-Italic" w:cs="Times New Roman"/>
                <w:b/>
                <w:bCs/>
                <w:color w:val="000000" w:themeColor="text1"/>
                <w:szCs w:val="24"/>
                <w:lang w:val="en-US"/>
              </w:rPr>
              <w:t>Covered lesions</w:t>
            </w:r>
            <w:r w:rsidRPr="0024114A">
              <w:rPr>
                <w:rFonts w:eastAsia="Candara-Italic" w:cs="Times New Roman"/>
                <w:color w:val="000000" w:themeColor="text1"/>
                <w:szCs w:val="24"/>
                <w:lang w:val="en-US"/>
              </w:rPr>
              <w:t>: Less frequent applications may be adequate</w:t>
            </w:r>
          </w:p>
          <w:p w14:paraId="7E588460" w14:textId="77777777" w:rsidR="002F635D" w:rsidRPr="0024114A" w:rsidRDefault="002F635D" w:rsidP="002D6DD7">
            <w:pPr>
              <w:jc w:val="both"/>
              <w:rPr>
                <w:rFonts w:eastAsia="Candara-Italic" w:cs="Times New Roman"/>
                <w:color w:val="000000" w:themeColor="text1"/>
                <w:szCs w:val="24"/>
                <w:lang w:val="en-US"/>
              </w:rPr>
            </w:pPr>
            <w:r w:rsidRPr="0024114A">
              <w:rPr>
                <w:rFonts w:eastAsia="Candara-Italic" w:cs="Times New Roman"/>
                <w:b/>
                <w:bCs/>
                <w:color w:val="000000" w:themeColor="text1"/>
                <w:szCs w:val="24"/>
                <w:lang w:val="en-US"/>
              </w:rPr>
              <w:t xml:space="preserve">Child dose: </w:t>
            </w:r>
            <w:r w:rsidRPr="0024114A">
              <w:rPr>
                <w:rFonts w:eastAsia="Candara-Italic" w:cs="Times New Roman"/>
                <w:color w:val="000000" w:themeColor="text1"/>
                <w:szCs w:val="24"/>
                <w:lang w:val="en-US"/>
              </w:rPr>
              <w:t>Same as adult</w:t>
            </w:r>
          </w:p>
        </w:tc>
      </w:tr>
      <w:tr w:rsidR="002F635D" w:rsidRPr="0024114A" w14:paraId="3B572491" w14:textId="77777777" w:rsidTr="002D6DD7">
        <w:trPr>
          <w:trHeight w:val="251"/>
          <w:jc w:val="center"/>
        </w:trPr>
        <w:tc>
          <w:tcPr>
            <w:tcW w:w="2605" w:type="dxa"/>
          </w:tcPr>
          <w:p w14:paraId="0AC2CD6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90" w:type="dxa"/>
          </w:tcPr>
          <w:p w14:paraId="6E4DD7A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any component of the formulation</w:t>
            </w:r>
          </w:p>
        </w:tc>
      </w:tr>
      <w:tr w:rsidR="002F635D" w:rsidRPr="0024114A" w14:paraId="5525CE25" w14:textId="77777777" w:rsidTr="002D6DD7">
        <w:trPr>
          <w:trHeight w:val="317"/>
          <w:jc w:val="center"/>
        </w:trPr>
        <w:tc>
          <w:tcPr>
            <w:tcW w:w="2605" w:type="dxa"/>
          </w:tcPr>
          <w:p w14:paraId="1922B51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638A8BE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interactions</w:t>
            </w:r>
          </w:p>
        </w:tc>
      </w:tr>
      <w:tr w:rsidR="002F635D" w:rsidRPr="0024114A" w14:paraId="2706CF7E" w14:textId="77777777" w:rsidTr="002D6DD7">
        <w:trPr>
          <w:trHeight w:val="350"/>
          <w:jc w:val="center"/>
        </w:trPr>
        <w:tc>
          <w:tcPr>
            <w:tcW w:w="2605" w:type="dxa"/>
          </w:tcPr>
          <w:p w14:paraId="2662483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237A547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Local hypersensitivity reactions</w:t>
            </w:r>
          </w:p>
        </w:tc>
      </w:tr>
      <w:tr w:rsidR="002F635D" w:rsidRPr="0024114A" w14:paraId="09E0ED7B" w14:textId="77777777" w:rsidTr="002D6DD7">
        <w:trPr>
          <w:trHeight w:val="90"/>
          <w:jc w:val="center"/>
        </w:trPr>
        <w:tc>
          <w:tcPr>
            <w:tcW w:w="2605" w:type="dxa"/>
          </w:tcPr>
          <w:p w14:paraId="4B52D71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4412375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Prolonged or recurrent use may increase the risk of developing contact sensitization</w:t>
            </w:r>
          </w:p>
        </w:tc>
      </w:tr>
      <w:tr w:rsidR="002F635D" w:rsidRPr="0024114A" w14:paraId="3EA617BB" w14:textId="77777777" w:rsidTr="002D6DD7">
        <w:trPr>
          <w:trHeight w:val="332"/>
          <w:jc w:val="center"/>
        </w:trPr>
        <w:tc>
          <w:tcPr>
            <w:tcW w:w="2605" w:type="dxa"/>
          </w:tcPr>
          <w:p w14:paraId="15032D0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35E21E0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01A6196F" w14:textId="77777777" w:rsidTr="002D6DD7">
        <w:trPr>
          <w:trHeight w:val="197"/>
          <w:jc w:val="center"/>
        </w:trPr>
        <w:tc>
          <w:tcPr>
            <w:tcW w:w="9195" w:type="dxa"/>
            <w:gridSpan w:val="2"/>
          </w:tcPr>
          <w:p w14:paraId="04E93515" w14:textId="77777777" w:rsidR="002F635D" w:rsidRPr="0024114A" w:rsidRDefault="002F635D" w:rsidP="002D6DD7">
            <w:pPr>
              <w:jc w:val="both"/>
              <w:rPr>
                <w:rFonts w:eastAsia="Times New Roman" w:cs="Times New Roman"/>
                <w:b/>
                <w:color w:val="000000" w:themeColor="text1"/>
                <w:szCs w:val="24"/>
                <w:lang w:val="en-US"/>
              </w:rPr>
            </w:pPr>
            <w:r w:rsidRPr="0024114A">
              <w:rPr>
                <w:rFonts w:cs="Times New Roman"/>
                <w:b/>
                <w:bCs/>
                <w:color w:val="000000" w:themeColor="text1"/>
                <w:szCs w:val="24"/>
              </w:rPr>
              <w:t>Metronidazole</w:t>
            </w:r>
          </w:p>
        </w:tc>
      </w:tr>
      <w:tr w:rsidR="002F635D" w:rsidRPr="0024114A" w14:paraId="4D630FC4" w14:textId="77777777" w:rsidTr="002D6DD7">
        <w:trPr>
          <w:trHeight w:val="272"/>
          <w:jc w:val="center"/>
        </w:trPr>
        <w:tc>
          <w:tcPr>
            <w:tcW w:w="2605" w:type="dxa"/>
          </w:tcPr>
          <w:p w14:paraId="5C2A70A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6330420E"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0329B2AB" w14:textId="77777777" w:rsidTr="002D6DD7">
        <w:trPr>
          <w:trHeight w:val="90"/>
          <w:jc w:val="center"/>
        </w:trPr>
        <w:tc>
          <w:tcPr>
            <w:tcW w:w="2605" w:type="dxa"/>
          </w:tcPr>
          <w:p w14:paraId="6C60B5A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lang w:val="en-US"/>
              </w:rPr>
              <w:t>Dosage form</w:t>
            </w:r>
          </w:p>
        </w:tc>
        <w:tc>
          <w:tcPr>
            <w:tcW w:w="6590" w:type="dxa"/>
          </w:tcPr>
          <w:p w14:paraId="5524E31D"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rPr>
              <w:t>Cream: 0.75 % w/w,1%w/w</w:t>
            </w:r>
          </w:p>
        </w:tc>
      </w:tr>
      <w:tr w:rsidR="002F635D" w:rsidRPr="0024114A" w14:paraId="25677AA0" w14:textId="77777777" w:rsidTr="002D6DD7">
        <w:trPr>
          <w:trHeight w:val="107"/>
          <w:jc w:val="center"/>
        </w:trPr>
        <w:tc>
          <w:tcPr>
            <w:tcW w:w="2605" w:type="dxa"/>
          </w:tcPr>
          <w:p w14:paraId="71B80982" w14:textId="77777777" w:rsidR="002F635D" w:rsidRPr="0024114A" w:rsidRDefault="002F635D" w:rsidP="002D6DD7">
            <w:pPr>
              <w:jc w:val="both"/>
              <w:rPr>
                <w:rFonts w:cs="Times New Roman"/>
                <w:bCs/>
                <w:color w:val="000000" w:themeColor="text1"/>
                <w:szCs w:val="24"/>
              </w:rPr>
            </w:pPr>
            <w:r w:rsidRPr="0024114A">
              <w:rPr>
                <w:rFonts w:cs="Times New Roman"/>
                <w:bCs/>
                <w:color w:val="000000" w:themeColor="text1"/>
                <w:szCs w:val="24"/>
                <w:lang w:val="en-US"/>
              </w:rPr>
              <w:t>Indications</w:t>
            </w:r>
          </w:p>
        </w:tc>
        <w:tc>
          <w:tcPr>
            <w:tcW w:w="6590" w:type="dxa"/>
          </w:tcPr>
          <w:p w14:paraId="3C51B3B2"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Acute inflammatory exacerbation of rosacea, malodorousfungatingtumors and malodorous gravitational and decubitus ulcers, inflammatory papules and pustules of rosacea, inflammatory papules, pustules and erythema of rosacea</w:t>
            </w:r>
          </w:p>
        </w:tc>
      </w:tr>
      <w:tr w:rsidR="002F635D" w:rsidRPr="0024114A" w14:paraId="28F66581" w14:textId="77777777" w:rsidTr="002D6DD7">
        <w:trPr>
          <w:trHeight w:val="498"/>
          <w:jc w:val="center"/>
        </w:trPr>
        <w:tc>
          <w:tcPr>
            <w:tcW w:w="2605" w:type="dxa"/>
          </w:tcPr>
          <w:p w14:paraId="0DD80021"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lang w:val="en-US"/>
              </w:rPr>
              <w:t>Dose and administration</w:t>
            </w:r>
          </w:p>
        </w:tc>
        <w:tc>
          <w:tcPr>
            <w:tcW w:w="6590" w:type="dxa"/>
          </w:tcPr>
          <w:p w14:paraId="3289A7B7"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bCs/>
                <w:color w:val="000000" w:themeColor="text1"/>
                <w:szCs w:val="24"/>
                <w:lang w:val="en-US"/>
              </w:rPr>
              <w:t>Acute inflammatory exacerbation of rosacea,</w:t>
            </w:r>
            <w:r w:rsidR="00C4521D">
              <w:rPr>
                <w:rFonts w:eastAsia="Times New Roman" w:cs="Times New Roman"/>
                <w:b/>
                <w:bCs/>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Apply 0.75% twice daily for 8 weeks, to be applied thinly to the affected area</w:t>
            </w:r>
          </w:p>
          <w:p w14:paraId="65F3D405"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b/>
                <w:bCs/>
                <w:color w:val="000000" w:themeColor="text1"/>
                <w:szCs w:val="24"/>
                <w:lang w:val="en-US"/>
              </w:rPr>
              <w:t>Malodorous fungating tumors and malodorous gravitational and decubitus ulcers</w:t>
            </w:r>
            <w:r w:rsidRPr="0024114A">
              <w:rPr>
                <w:rFonts w:eastAsia="Times New Roman" w:cs="Times New Roman"/>
                <w:b/>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5619BB07"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Apply 1–2 times a day, to be applied to clean wound and covered with non-adherent dressing</w:t>
            </w:r>
          </w:p>
          <w:p w14:paraId="3428D502"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b/>
                <w:bCs/>
                <w:color w:val="000000" w:themeColor="text1"/>
                <w:szCs w:val="24"/>
                <w:lang w:val="en-US"/>
              </w:rPr>
              <w:t>Inflammatory papules and pustules of rosacea</w:t>
            </w:r>
            <w:r w:rsidRPr="0024114A">
              <w:rPr>
                <w:rFonts w:eastAsia="Times New Roman" w:cs="Times New Roman"/>
                <w:b/>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Apply twice daily for 6 weeks (longer if necessary)</w:t>
            </w:r>
          </w:p>
          <w:p w14:paraId="1D8082EC"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b/>
                <w:bCs/>
                <w:color w:val="000000" w:themeColor="text1"/>
                <w:szCs w:val="24"/>
                <w:lang w:val="en-US"/>
              </w:rPr>
              <w:t>Inflammatory papules, pustules and erythema of rosacea</w:t>
            </w:r>
            <w:r w:rsidRPr="0024114A">
              <w:rPr>
                <w:rFonts w:eastAsia="Times New Roman" w:cs="Times New Roman"/>
                <w:b/>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662B5F5D"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Apply twice daily for 3–4 months.</w:t>
            </w:r>
          </w:p>
        </w:tc>
      </w:tr>
      <w:tr w:rsidR="002F635D" w:rsidRPr="0024114A" w14:paraId="7DB1BE0A" w14:textId="77777777" w:rsidTr="002D6DD7">
        <w:trPr>
          <w:trHeight w:val="422"/>
          <w:jc w:val="center"/>
        </w:trPr>
        <w:tc>
          <w:tcPr>
            <w:tcW w:w="2605" w:type="dxa"/>
          </w:tcPr>
          <w:p w14:paraId="0FA0BCD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lang w:val="en-US"/>
              </w:rPr>
              <w:t>Contraindications</w:t>
            </w:r>
          </w:p>
        </w:tc>
        <w:tc>
          <w:tcPr>
            <w:tcW w:w="6590" w:type="dxa"/>
          </w:tcPr>
          <w:p w14:paraId="247A2A33" w14:textId="77777777" w:rsidR="002F635D" w:rsidRPr="0024114A" w:rsidRDefault="002F635D" w:rsidP="002D6DD7">
            <w:pPr>
              <w:jc w:val="both"/>
              <w:rPr>
                <w:rFonts w:eastAsia="Times New Roman" w:cs="Times New Roman"/>
                <w:bCs/>
                <w:color w:val="000000" w:themeColor="text1"/>
                <w:szCs w:val="24"/>
                <w:lang w:val="en-US"/>
              </w:rPr>
            </w:pPr>
            <w:r w:rsidRPr="0024114A">
              <w:rPr>
                <w:rFonts w:eastAsia="Times New Roman" w:cs="Times New Roman"/>
                <w:color w:val="000000" w:themeColor="text1"/>
                <w:szCs w:val="24"/>
                <w:lang w:val="en-US"/>
              </w:rPr>
              <w:t>Hypersensitivity to the drug or nitroimidazoles or parabens</w:t>
            </w:r>
          </w:p>
        </w:tc>
      </w:tr>
      <w:tr w:rsidR="002F635D" w:rsidRPr="0024114A" w14:paraId="382E9706" w14:textId="77777777" w:rsidTr="002D6DD7">
        <w:trPr>
          <w:trHeight w:val="317"/>
          <w:jc w:val="center"/>
        </w:trPr>
        <w:tc>
          <w:tcPr>
            <w:tcW w:w="2605" w:type="dxa"/>
          </w:tcPr>
          <w:p w14:paraId="26D48BD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Drug interactions</w:t>
            </w:r>
          </w:p>
        </w:tc>
        <w:tc>
          <w:tcPr>
            <w:tcW w:w="6590" w:type="dxa"/>
          </w:tcPr>
          <w:p w14:paraId="43052A25" w14:textId="77777777" w:rsidR="002F635D" w:rsidRPr="0024114A" w:rsidRDefault="002F635D" w:rsidP="002D6DD7">
            <w:pPr>
              <w:jc w:val="both"/>
              <w:rPr>
                <w:rFonts w:eastAsia="Times New Roman" w:cs="Times New Roman"/>
                <w:bCs/>
                <w:color w:val="000000" w:themeColor="text1"/>
                <w:szCs w:val="24"/>
                <w:lang w:val="en-US"/>
              </w:rPr>
            </w:pPr>
            <w:r w:rsidRPr="0024114A">
              <w:rPr>
                <w:rFonts w:cs="Times New Roman"/>
                <w:color w:val="000000" w:themeColor="text1"/>
                <w:szCs w:val="24"/>
                <w:lang w:val="en-US"/>
              </w:rPr>
              <w:t>Alcohol, lopinavir, warfarin.</w:t>
            </w:r>
          </w:p>
        </w:tc>
      </w:tr>
      <w:tr w:rsidR="002F635D" w:rsidRPr="0024114A" w14:paraId="566EC401" w14:textId="77777777" w:rsidTr="002D6DD7">
        <w:trPr>
          <w:trHeight w:val="90"/>
          <w:jc w:val="center"/>
        </w:trPr>
        <w:tc>
          <w:tcPr>
            <w:tcW w:w="2605" w:type="dxa"/>
          </w:tcPr>
          <w:p w14:paraId="6E6482E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20FE4A22" w14:textId="77777777" w:rsidR="002F635D" w:rsidRPr="0024114A" w:rsidRDefault="002F635D" w:rsidP="002D6DD7">
            <w:pPr>
              <w:jc w:val="both"/>
              <w:rPr>
                <w:rFonts w:eastAsia="Times New Roman" w:cs="Times New Roman"/>
                <w:bCs/>
                <w:color w:val="000000" w:themeColor="text1"/>
                <w:szCs w:val="24"/>
                <w:lang w:val="en-US"/>
              </w:rPr>
            </w:pPr>
            <w:r w:rsidRPr="0024114A">
              <w:rPr>
                <w:rFonts w:eastAsia="Times New Roman" w:cs="Times New Roman"/>
                <w:color w:val="000000" w:themeColor="text1"/>
                <w:szCs w:val="24"/>
                <w:lang w:val="en-US"/>
              </w:rPr>
              <w:t>Skin dryiness, skin scaling, pruritus, skin discomfort, cutaneous stinging/burning.</w:t>
            </w:r>
          </w:p>
        </w:tc>
      </w:tr>
      <w:tr w:rsidR="002F635D" w:rsidRPr="0024114A" w14:paraId="041CFCD7" w14:textId="77777777" w:rsidTr="002D6DD7">
        <w:trPr>
          <w:trHeight w:val="90"/>
          <w:jc w:val="center"/>
        </w:trPr>
        <w:tc>
          <w:tcPr>
            <w:tcW w:w="2605" w:type="dxa"/>
          </w:tcPr>
          <w:p w14:paraId="7262496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3FA6FBF7" w14:textId="77777777" w:rsidR="002F635D" w:rsidRPr="0024114A" w:rsidRDefault="002F635D" w:rsidP="002D6DD7">
            <w:pPr>
              <w:jc w:val="both"/>
              <w:rPr>
                <w:rFonts w:eastAsia="Times New Roman" w:cs="Times New Roman"/>
                <w:bCs/>
                <w:color w:val="000000" w:themeColor="text1"/>
                <w:szCs w:val="24"/>
                <w:lang w:val="en-US"/>
              </w:rPr>
            </w:pPr>
            <w:r w:rsidRPr="0024114A">
              <w:rPr>
                <w:rFonts w:eastAsia="Times New Roman" w:cs="Times New Roman"/>
                <w:color w:val="000000" w:themeColor="text1"/>
                <w:szCs w:val="24"/>
                <w:lang w:val="en-US"/>
              </w:rPr>
              <w:t xml:space="preserve">Exposure to strong sunlight or UV light, patients </w:t>
            </w:r>
            <w:r w:rsidRPr="0024114A">
              <w:rPr>
                <w:rFonts w:eastAsia="Times New Roman" w:cs="Times New Roman"/>
                <w:color w:val="000000" w:themeColor="text1"/>
                <w:szCs w:val="24"/>
              </w:rPr>
              <w:t>with blood dyscrasias</w:t>
            </w:r>
          </w:p>
        </w:tc>
      </w:tr>
      <w:tr w:rsidR="002F635D" w:rsidRPr="0024114A" w14:paraId="1C4CBFE0" w14:textId="77777777" w:rsidTr="002D6DD7">
        <w:trPr>
          <w:trHeight w:val="302"/>
          <w:jc w:val="center"/>
        </w:trPr>
        <w:tc>
          <w:tcPr>
            <w:tcW w:w="2605" w:type="dxa"/>
          </w:tcPr>
          <w:p w14:paraId="671C69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48165878"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3AD4EDD1" w14:textId="77777777" w:rsidTr="002D6DD7">
        <w:trPr>
          <w:trHeight w:val="182"/>
          <w:jc w:val="center"/>
        </w:trPr>
        <w:tc>
          <w:tcPr>
            <w:tcW w:w="9195" w:type="dxa"/>
            <w:gridSpan w:val="2"/>
          </w:tcPr>
          <w:p w14:paraId="4769A467"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Mupirocin</w:t>
            </w:r>
          </w:p>
        </w:tc>
      </w:tr>
      <w:tr w:rsidR="002F635D" w:rsidRPr="0024114A" w14:paraId="17785AB4" w14:textId="77777777" w:rsidTr="002D6DD7">
        <w:trPr>
          <w:trHeight w:val="332"/>
          <w:jc w:val="center"/>
        </w:trPr>
        <w:tc>
          <w:tcPr>
            <w:tcW w:w="2605" w:type="dxa"/>
          </w:tcPr>
          <w:p w14:paraId="15B4421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3F57698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5D38D9B2" w14:textId="77777777" w:rsidTr="002D6DD7">
        <w:trPr>
          <w:trHeight w:val="440"/>
          <w:jc w:val="center"/>
        </w:trPr>
        <w:tc>
          <w:tcPr>
            <w:tcW w:w="2605" w:type="dxa"/>
          </w:tcPr>
          <w:p w14:paraId="7F3C6C2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4C0D056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2%</w:t>
            </w:r>
          </w:p>
          <w:p w14:paraId="2A9625E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Ointment: 2%</w:t>
            </w:r>
          </w:p>
        </w:tc>
      </w:tr>
      <w:tr w:rsidR="002F635D" w:rsidRPr="0024114A" w14:paraId="771C5EA1" w14:textId="77777777" w:rsidTr="002D6DD7">
        <w:trPr>
          <w:trHeight w:val="1111"/>
          <w:jc w:val="center"/>
        </w:trPr>
        <w:tc>
          <w:tcPr>
            <w:tcW w:w="2605" w:type="dxa"/>
          </w:tcPr>
          <w:p w14:paraId="69046624"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590" w:type="dxa"/>
          </w:tcPr>
          <w:p w14:paraId="68CF632B"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Bacterial skin infections, particularly those caused by gram-positive organisms (except pseudomonal infection), non-bullous impetigo.</w:t>
            </w:r>
          </w:p>
        </w:tc>
      </w:tr>
      <w:tr w:rsidR="002F635D" w:rsidRPr="0024114A" w14:paraId="58E684E4" w14:textId="77777777" w:rsidTr="002D6DD7">
        <w:trPr>
          <w:trHeight w:val="672"/>
          <w:jc w:val="center"/>
        </w:trPr>
        <w:tc>
          <w:tcPr>
            <w:tcW w:w="2605" w:type="dxa"/>
          </w:tcPr>
          <w:p w14:paraId="166749EA"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90" w:type="dxa"/>
          </w:tcPr>
          <w:p w14:paraId="138B6091"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Bacterial skin infections, particularly those caused by gram-positive organisms (except pseudomonal infection)</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650443E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xml:space="preserve">: </w:t>
            </w:r>
            <w:r w:rsidRPr="0024114A">
              <w:rPr>
                <w:rFonts w:cs="Times New Roman"/>
                <w:color w:val="000000" w:themeColor="text1"/>
                <w:szCs w:val="24"/>
                <w:lang w:val="en-US"/>
              </w:rPr>
              <w:t>Apply up to 3 times a day for up to 10 days.</w:t>
            </w:r>
          </w:p>
          <w:p w14:paraId="6FAD318E"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Non-bullous impetigo</w:t>
            </w:r>
            <w:r w:rsidRPr="0024114A">
              <w:rPr>
                <w:rFonts w:cs="Times New Roman"/>
                <w:bCs/>
                <w:color w:val="000000" w:themeColor="text1"/>
                <w:szCs w:val="24"/>
                <w:lang w:val="en-US"/>
              </w:rPr>
              <w:t xml:space="preserve">, </w:t>
            </w:r>
            <w:r w:rsidRPr="0024114A">
              <w:rPr>
                <w:rFonts w:cs="Times New Roman"/>
                <w:b/>
                <w:color w:val="000000" w:themeColor="text1"/>
                <w:szCs w:val="24"/>
                <w:lang w:val="en-US"/>
              </w:rPr>
              <w:t>to the skin:</w:t>
            </w:r>
          </w:p>
          <w:p w14:paraId="62530979"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w:t>
            </w:r>
            <w:r w:rsidRPr="0024114A">
              <w:rPr>
                <w:rFonts w:cs="Times New Roman"/>
                <w:color w:val="000000" w:themeColor="text1"/>
                <w:szCs w:val="24"/>
                <w:lang w:val="en-US"/>
              </w:rPr>
              <w:t xml:space="preserve"> Apply 3 times a day for 5–7 days.</w:t>
            </w:r>
          </w:p>
          <w:p w14:paraId="269F4E96" w14:textId="77777777" w:rsidR="002F635D" w:rsidRPr="0024114A" w:rsidRDefault="002F635D" w:rsidP="002D6DD7">
            <w:pPr>
              <w:jc w:val="both"/>
              <w:rPr>
                <w:rFonts w:cs="Times New Roman"/>
                <w:b/>
                <w:bCs/>
                <w:color w:val="000000" w:themeColor="text1"/>
                <w:szCs w:val="24"/>
                <w:lang w:val="en-US"/>
              </w:rPr>
            </w:pPr>
            <w:r w:rsidRPr="0024114A">
              <w:rPr>
                <w:rFonts w:cs="Times New Roman"/>
                <w:b/>
                <w:bCs/>
                <w:color w:val="000000" w:themeColor="text1"/>
                <w:szCs w:val="24"/>
                <w:lang w:val="en-US"/>
              </w:rPr>
              <w:t>Bacterial skin infections, particularly those caused byGram-positive organisms (except pseudomonal infection</w:t>
            </w:r>
            <w:r w:rsidRPr="0024114A">
              <w:rPr>
                <w:rFonts w:cs="Times New Roman"/>
                <w:bCs/>
                <w:color w:val="000000" w:themeColor="text1"/>
                <w:szCs w:val="24"/>
                <w:lang w:val="en-US"/>
              </w:rPr>
              <w:t xml:space="preserve">), </w:t>
            </w:r>
            <w:r w:rsidRPr="0024114A">
              <w:rPr>
                <w:rFonts w:cs="Times New Roman"/>
                <w:b/>
                <w:bCs/>
                <w:color w:val="000000" w:themeColor="text1"/>
                <w:szCs w:val="24"/>
                <w:lang w:val="en-US"/>
              </w:rPr>
              <w:t>to the skin</w:t>
            </w:r>
            <w:r w:rsidRPr="0024114A">
              <w:rPr>
                <w:rFonts w:cs="Times New Roman"/>
                <w:bCs/>
                <w:color w:val="000000" w:themeColor="text1"/>
                <w:szCs w:val="24"/>
                <w:lang w:val="en-US"/>
              </w:rPr>
              <w:t>: Child</w:t>
            </w:r>
            <w:r w:rsidRPr="0024114A">
              <w:rPr>
                <w:rFonts w:cs="Times New Roman"/>
                <w:color w:val="000000" w:themeColor="text1"/>
                <w:szCs w:val="24"/>
                <w:lang w:val="en-US"/>
              </w:rPr>
              <w:t>: Apply up to 3 times a day for up to 10 days</w:t>
            </w:r>
          </w:p>
          <w:p w14:paraId="48968BF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Non-bullous impetigo,</w:t>
            </w:r>
            <w:r w:rsidR="00C4521D">
              <w:rPr>
                <w:rFonts w:cs="Times New Roman"/>
                <w:b/>
                <w:bCs/>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528524ED" w14:textId="77777777" w:rsidR="002F635D" w:rsidRPr="0024114A" w:rsidRDefault="002F635D" w:rsidP="002D6DD7">
            <w:pPr>
              <w:jc w:val="both"/>
              <w:rPr>
                <w:rFonts w:cs="Times New Roman"/>
                <w:b/>
                <w:bCs/>
                <w:color w:val="000000" w:themeColor="text1"/>
                <w:szCs w:val="24"/>
                <w:lang w:val="en-US"/>
              </w:rPr>
            </w:pPr>
            <w:r w:rsidRPr="0024114A">
              <w:rPr>
                <w:rFonts w:cs="Times New Roman"/>
                <w:b/>
                <w:bCs/>
                <w:color w:val="000000" w:themeColor="text1"/>
                <w:szCs w:val="24"/>
                <w:lang w:val="en-US"/>
              </w:rPr>
              <w:t>Child</w:t>
            </w:r>
            <w:r w:rsidRPr="0024114A">
              <w:rPr>
                <w:rFonts w:cs="Times New Roman"/>
                <w:color w:val="000000" w:themeColor="text1"/>
                <w:szCs w:val="24"/>
                <w:lang w:val="en-US"/>
              </w:rPr>
              <w:t>: Apply 3 times a day for 5–7 days</w:t>
            </w:r>
          </w:p>
        </w:tc>
      </w:tr>
      <w:tr w:rsidR="002F635D" w:rsidRPr="0024114A" w14:paraId="06EC3897" w14:textId="77777777" w:rsidTr="002D6DD7">
        <w:trPr>
          <w:trHeight w:val="46"/>
          <w:jc w:val="center"/>
        </w:trPr>
        <w:tc>
          <w:tcPr>
            <w:tcW w:w="2605" w:type="dxa"/>
          </w:tcPr>
          <w:p w14:paraId="1E85152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90" w:type="dxa"/>
          </w:tcPr>
          <w:p w14:paraId="7288D8A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Hypersensitivity to the drug or any component of the formulation </w:t>
            </w:r>
          </w:p>
        </w:tc>
      </w:tr>
      <w:tr w:rsidR="002F635D" w:rsidRPr="0024114A" w14:paraId="1A5F79A7" w14:textId="77777777" w:rsidTr="002D6DD7">
        <w:trPr>
          <w:trHeight w:val="287"/>
          <w:jc w:val="center"/>
        </w:trPr>
        <w:tc>
          <w:tcPr>
            <w:tcW w:w="2605" w:type="dxa"/>
          </w:tcPr>
          <w:p w14:paraId="2F43BC1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5492AF6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interactions.</w:t>
            </w:r>
          </w:p>
        </w:tc>
      </w:tr>
      <w:tr w:rsidR="002F635D" w:rsidRPr="0024114A" w14:paraId="6C39CE0C" w14:textId="77777777" w:rsidTr="002D6DD7">
        <w:trPr>
          <w:trHeight w:val="1169"/>
          <w:jc w:val="center"/>
        </w:trPr>
        <w:tc>
          <w:tcPr>
            <w:tcW w:w="2605" w:type="dxa"/>
          </w:tcPr>
          <w:p w14:paraId="5BCACBD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0DFADE9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Burning at the application site,</w:t>
            </w:r>
            <w:r w:rsidR="00C4521D">
              <w:rPr>
                <w:rFonts w:cs="Times New Roman"/>
                <w:color w:val="000000" w:themeColor="text1"/>
                <w:szCs w:val="24"/>
                <w:lang w:val="en-US"/>
              </w:rPr>
              <w:t xml:space="preserve"> </w:t>
            </w:r>
            <w:r w:rsidRPr="0024114A">
              <w:rPr>
                <w:rFonts w:cs="Times New Roman"/>
                <w:color w:val="000000" w:themeColor="text1"/>
                <w:szCs w:val="24"/>
                <w:lang w:val="en-US"/>
              </w:rPr>
              <w:t xml:space="preserve">headache, rash, nausea, abdominal pain, bacterial skin infection (cellulitis), skin inflammation, dizziness, itching, secondary wound infection, and </w:t>
            </w:r>
            <w:r w:rsidRPr="00C4521D">
              <w:rPr>
                <w:rFonts w:cs="Times New Roman"/>
                <w:color w:val="000000" w:themeColor="text1"/>
                <w:szCs w:val="24"/>
                <w:lang w:val="en-US"/>
              </w:rPr>
              <w:t xml:space="preserve">oral </w:t>
            </w:r>
            <w:r w:rsidRPr="0024114A">
              <w:rPr>
                <w:rFonts w:cs="Times New Roman"/>
                <w:color w:val="000000" w:themeColor="text1"/>
                <w:szCs w:val="24"/>
                <w:lang w:val="en-US"/>
              </w:rPr>
              <w:t>sores.</w:t>
            </w:r>
          </w:p>
        </w:tc>
      </w:tr>
      <w:tr w:rsidR="002F635D" w:rsidRPr="0024114A" w14:paraId="71C63F4B" w14:textId="77777777" w:rsidTr="002D6DD7">
        <w:trPr>
          <w:trHeight w:val="672"/>
          <w:jc w:val="center"/>
        </w:trPr>
        <w:tc>
          <w:tcPr>
            <w:tcW w:w="2605" w:type="dxa"/>
          </w:tcPr>
          <w:p w14:paraId="00A28CF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7707654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Renal impairment, prolonged use may result in fungal or bacterial </w:t>
            </w:r>
            <w:r w:rsidRPr="0024114A">
              <w:rPr>
                <w:rFonts w:cs="Times New Roman"/>
                <w:color w:val="000000" w:themeColor="text1"/>
                <w:szCs w:val="24"/>
                <w:lang w:val="en-US"/>
              </w:rPr>
              <w:lastRenderedPageBreak/>
              <w:t>superinfection, patients with extensive burn</w:t>
            </w:r>
          </w:p>
        </w:tc>
      </w:tr>
      <w:tr w:rsidR="002F635D" w:rsidRPr="0024114A" w14:paraId="5B2259AA" w14:textId="77777777" w:rsidTr="002D6DD7">
        <w:trPr>
          <w:trHeight w:val="170"/>
          <w:jc w:val="center"/>
        </w:trPr>
        <w:tc>
          <w:tcPr>
            <w:tcW w:w="2605" w:type="dxa"/>
          </w:tcPr>
          <w:p w14:paraId="5D7723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Storage condition</w:t>
            </w:r>
          </w:p>
        </w:tc>
        <w:tc>
          <w:tcPr>
            <w:tcW w:w="6590" w:type="dxa"/>
          </w:tcPr>
          <w:p w14:paraId="3E97A85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78F2088B" w14:textId="77777777" w:rsidTr="002D6DD7">
        <w:trPr>
          <w:trHeight w:val="377"/>
          <w:jc w:val="center"/>
        </w:trPr>
        <w:tc>
          <w:tcPr>
            <w:tcW w:w="9195" w:type="dxa"/>
            <w:gridSpan w:val="2"/>
          </w:tcPr>
          <w:p w14:paraId="4FD6A7D9"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it-IT"/>
              </w:rPr>
              <w:t>Nitrofurazone</w:t>
            </w:r>
          </w:p>
        </w:tc>
      </w:tr>
      <w:tr w:rsidR="002F635D" w:rsidRPr="0024114A" w14:paraId="21C3F8DE" w14:textId="77777777" w:rsidTr="002D6DD7">
        <w:trPr>
          <w:trHeight w:val="347"/>
          <w:jc w:val="center"/>
        </w:trPr>
        <w:tc>
          <w:tcPr>
            <w:tcW w:w="2605" w:type="dxa"/>
          </w:tcPr>
          <w:p w14:paraId="783EBF1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1A35ECA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0D639F60" w14:textId="77777777" w:rsidTr="002D6DD7">
        <w:trPr>
          <w:trHeight w:val="302"/>
          <w:jc w:val="center"/>
        </w:trPr>
        <w:tc>
          <w:tcPr>
            <w:tcW w:w="2605" w:type="dxa"/>
          </w:tcPr>
          <w:p w14:paraId="762F135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070607B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Cream: 0.2%</w:t>
            </w:r>
          </w:p>
        </w:tc>
      </w:tr>
      <w:tr w:rsidR="002F635D" w:rsidRPr="0024114A" w14:paraId="18FEEFD0" w14:textId="77777777" w:rsidTr="002D6DD7">
        <w:trPr>
          <w:trHeight w:val="800"/>
          <w:jc w:val="center"/>
        </w:trPr>
        <w:tc>
          <w:tcPr>
            <w:tcW w:w="2605" w:type="dxa"/>
          </w:tcPr>
          <w:p w14:paraId="41E5E4D1"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590" w:type="dxa"/>
          </w:tcPr>
          <w:p w14:paraId="2B87EF9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 bacterial skin infections including pyodermas, infected dermatoses and infections of cuts, wounds, and burns, otitis externa, as an adjunctive therapy for second- and third-degree burns, in skin grafting when bacterial contamination may cause graft rejection or donor site infection</w:t>
            </w:r>
          </w:p>
        </w:tc>
      </w:tr>
      <w:tr w:rsidR="002F635D" w:rsidRPr="0024114A" w14:paraId="0F0739AB" w14:textId="77777777" w:rsidTr="002D6DD7">
        <w:trPr>
          <w:trHeight w:val="717"/>
          <w:jc w:val="center"/>
        </w:trPr>
        <w:tc>
          <w:tcPr>
            <w:tcW w:w="2605" w:type="dxa"/>
          </w:tcPr>
          <w:p w14:paraId="0742B96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90" w:type="dxa"/>
          </w:tcPr>
          <w:p w14:paraId="25CEAEA2" w14:textId="77777777" w:rsidR="002F635D" w:rsidRPr="0024114A" w:rsidRDefault="002F635D" w:rsidP="002D6DD7">
            <w:pPr>
              <w:jc w:val="both"/>
              <w:rPr>
                <w:rFonts w:cs="Times New Roman"/>
                <w:color w:val="000000" w:themeColor="text1"/>
                <w:szCs w:val="24"/>
                <w:lang w:val="en-US"/>
              </w:rPr>
            </w:pPr>
            <w:r w:rsidRPr="0024114A">
              <w:rPr>
                <w:rFonts w:cs="Times New Roman"/>
                <w:b/>
                <w:color w:val="000000" w:themeColor="text1"/>
                <w:szCs w:val="24"/>
                <w:lang w:val="en-US"/>
              </w:rPr>
              <w:t>Burns or skin infections</w:t>
            </w:r>
            <w:r w:rsidRPr="0024114A">
              <w:rPr>
                <w:rFonts w:cs="Times New Roman"/>
                <w:bCs/>
                <w:color w:val="000000" w:themeColor="text1"/>
                <w:szCs w:val="24"/>
                <w:lang w:val="en-US"/>
              </w:rPr>
              <w:t xml:space="preserve">: </w:t>
            </w:r>
            <w:r w:rsidRPr="0024114A">
              <w:rPr>
                <w:rFonts w:cs="Times New Roman"/>
                <w:color w:val="000000" w:themeColor="text1"/>
                <w:szCs w:val="24"/>
                <w:lang w:val="en-US"/>
              </w:rPr>
              <w:t>Topically apply directly to lesion or place on gauze depending on the usual dressing technique.</w:t>
            </w:r>
          </w:p>
          <w:p w14:paraId="050E4204" w14:textId="77777777" w:rsidR="002F635D" w:rsidRPr="0024114A" w:rsidRDefault="002F635D" w:rsidP="002D6DD7">
            <w:pPr>
              <w:jc w:val="both"/>
              <w:rPr>
                <w:rFonts w:cs="Times New Roman"/>
                <w:color w:val="000000" w:themeColor="text1"/>
                <w:szCs w:val="24"/>
                <w:lang w:val="en-US"/>
              </w:rPr>
            </w:pPr>
            <w:r w:rsidRPr="0024114A">
              <w:rPr>
                <w:rFonts w:cs="Times New Roman"/>
                <w:i/>
                <w:iCs/>
                <w:color w:val="000000" w:themeColor="text1"/>
                <w:szCs w:val="24"/>
                <w:lang w:val="en-US"/>
              </w:rPr>
              <w:t xml:space="preserve">Note: </w:t>
            </w:r>
            <w:r w:rsidRPr="0024114A">
              <w:rPr>
                <w:rFonts w:eastAsia="Times New Roman" w:cs="Times New Roman"/>
                <w:i/>
                <w:iCs/>
                <w:color w:val="000000" w:themeColor="text1"/>
                <w:szCs w:val="24"/>
                <w:lang w:val="en-US"/>
              </w:rPr>
              <w:t>I</w:t>
            </w:r>
            <w:r w:rsidRPr="0024114A">
              <w:rPr>
                <w:rFonts w:eastAsia="Times New Roman" w:cs="Times New Roman"/>
                <w:i/>
                <w:iCs/>
                <w:color w:val="000000" w:themeColor="text1"/>
                <w:szCs w:val="24"/>
              </w:rPr>
              <w:t>f overgrowth of nonsusceptible organisms occur, or if irritation, sensitization, or superinfection develops, treatment should be discontinued</w:t>
            </w:r>
            <w:r w:rsidRPr="0024114A">
              <w:rPr>
                <w:rFonts w:eastAsia="Times New Roman" w:cs="Times New Roman"/>
                <w:color w:val="000000" w:themeColor="text1"/>
                <w:szCs w:val="24"/>
              </w:rPr>
              <w:t>.</w:t>
            </w:r>
          </w:p>
        </w:tc>
      </w:tr>
      <w:tr w:rsidR="002F635D" w:rsidRPr="0024114A" w14:paraId="27221A5C" w14:textId="77777777" w:rsidTr="002D6DD7">
        <w:trPr>
          <w:trHeight w:val="302"/>
          <w:jc w:val="center"/>
        </w:trPr>
        <w:tc>
          <w:tcPr>
            <w:tcW w:w="2605" w:type="dxa"/>
          </w:tcPr>
          <w:p w14:paraId="233C210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90" w:type="dxa"/>
          </w:tcPr>
          <w:p w14:paraId="54CBBD1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75777A25" w14:textId="77777777" w:rsidTr="002D6DD7">
        <w:trPr>
          <w:trHeight w:val="317"/>
          <w:jc w:val="center"/>
        </w:trPr>
        <w:tc>
          <w:tcPr>
            <w:tcW w:w="2605" w:type="dxa"/>
          </w:tcPr>
          <w:p w14:paraId="625A10B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343F24E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significant interactions</w:t>
            </w:r>
          </w:p>
        </w:tc>
      </w:tr>
      <w:tr w:rsidR="002F635D" w:rsidRPr="0024114A" w14:paraId="488DC69C" w14:textId="77777777" w:rsidTr="002D6DD7">
        <w:trPr>
          <w:trHeight w:val="242"/>
          <w:jc w:val="center"/>
        </w:trPr>
        <w:tc>
          <w:tcPr>
            <w:tcW w:w="2605" w:type="dxa"/>
          </w:tcPr>
          <w:p w14:paraId="0395E18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27FA4DF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Sensitization and generalized allergic skin reactions.</w:t>
            </w:r>
          </w:p>
        </w:tc>
      </w:tr>
      <w:tr w:rsidR="002F635D" w:rsidRPr="0024114A" w14:paraId="046BC145" w14:textId="77777777" w:rsidTr="002D6DD7">
        <w:trPr>
          <w:trHeight w:val="314"/>
          <w:jc w:val="center"/>
        </w:trPr>
        <w:tc>
          <w:tcPr>
            <w:tcW w:w="2605" w:type="dxa"/>
          </w:tcPr>
          <w:p w14:paraId="02092C4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34F3B4CC"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rPr>
              <w:t xml:space="preserve">Patient with renal impairment </w:t>
            </w:r>
            <w:r w:rsidRPr="0024114A">
              <w:rPr>
                <w:rFonts w:cs="Times New Roman"/>
                <w:color w:val="000000" w:themeColor="text1"/>
                <w:szCs w:val="24"/>
                <w:lang w:val="en-US"/>
              </w:rPr>
              <w:t>and metabolic acidosis.</w:t>
            </w:r>
          </w:p>
        </w:tc>
      </w:tr>
      <w:tr w:rsidR="002F635D" w:rsidRPr="0024114A" w14:paraId="280AB80A" w14:textId="77777777" w:rsidTr="002D6DD7">
        <w:trPr>
          <w:trHeight w:val="302"/>
          <w:jc w:val="center"/>
        </w:trPr>
        <w:tc>
          <w:tcPr>
            <w:tcW w:w="2605" w:type="dxa"/>
          </w:tcPr>
          <w:p w14:paraId="34E21F4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61D79F6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30A2F997" w14:textId="77777777" w:rsidTr="002D6DD7">
        <w:trPr>
          <w:trHeight w:val="272"/>
          <w:jc w:val="center"/>
        </w:trPr>
        <w:tc>
          <w:tcPr>
            <w:tcW w:w="9195" w:type="dxa"/>
            <w:gridSpan w:val="2"/>
          </w:tcPr>
          <w:p w14:paraId="3E432303"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Paromomycin</w:t>
            </w:r>
          </w:p>
        </w:tc>
      </w:tr>
      <w:tr w:rsidR="002F635D" w:rsidRPr="0024114A" w14:paraId="42750358" w14:textId="77777777" w:rsidTr="002D6DD7">
        <w:trPr>
          <w:trHeight w:val="287"/>
          <w:jc w:val="center"/>
        </w:trPr>
        <w:tc>
          <w:tcPr>
            <w:tcW w:w="2605" w:type="dxa"/>
          </w:tcPr>
          <w:p w14:paraId="774DE4F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025643D5"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iCs/>
                <w:color w:val="000000" w:themeColor="text1"/>
                <w:szCs w:val="24"/>
                <w:lang w:val="en-US"/>
              </w:rPr>
              <w:t>Topical antibacterial</w:t>
            </w:r>
          </w:p>
        </w:tc>
      </w:tr>
      <w:tr w:rsidR="002F635D" w:rsidRPr="0024114A" w14:paraId="3F24FDAC" w14:textId="77777777" w:rsidTr="002D6DD7">
        <w:trPr>
          <w:trHeight w:val="317"/>
          <w:jc w:val="center"/>
        </w:trPr>
        <w:tc>
          <w:tcPr>
            <w:tcW w:w="2605" w:type="dxa"/>
          </w:tcPr>
          <w:p w14:paraId="1E0E0CF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1C13D02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Cream:15%</w:t>
            </w:r>
          </w:p>
        </w:tc>
      </w:tr>
      <w:tr w:rsidR="002F635D" w:rsidRPr="0024114A" w14:paraId="6D415CB7" w14:textId="77777777" w:rsidTr="002D6DD7">
        <w:trPr>
          <w:trHeight w:val="272"/>
          <w:jc w:val="center"/>
        </w:trPr>
        <w:tc>
          <w:tcPr>
            <w:tcW w:w="2605" w:type="dxa"/>
          </w:tcPr>
          <w:p w14:paraId="09248E59"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590" w:type="dxa"/>
          </w:tcPr>
          <w:p w14:paraId="5A759E28" w14:textId="77777777" w:rsidR="002F635D" w:rsidRPr="0024114A" w:rsidRDefault="002F635D" w:rsidP="002D6DD7">
            <w:pPr>
              <w:jc w:val="both"/>
              <w:rPr>
                <w:rFonts w:eastAsia="Candara-Italic" w:cs="Times New Roman"/>
                <w:color w:val="000000" w:themeColor="text1"/>
                <w:szCs w:val="24"/>
                <w:lang w:val="en-US"/>
              </w:rPr>
            </w:pPr>
            <w:r w:rsidRPr="0024114A">
              <w:rPr>
                <w:rFonts w:eastAsia="SimSun" w:cs="Times New Roman"/>
                <w:color w:val="000000" w:themeColor="text1"/>
                <w:szCs w:val="24"/>
                <w:lang w:val="en-US"/>
              </w:rPr>
              <w:t>C</w:t>
            </w:r>
            <w:r w:rsidRPr="0024114A">
              <w:rPr>
                <w:rFonts w:eastAsia="SimSun" w:cs="Times New Roman"/>
                <w:color w:val="000000" w:themeColor="text1"/>
                <w:szCs w:val="24"/>
              </w:rPr>
              <w:t xml:space="preserve">utaneous leishmaniasis. </w:t>
            </w:r>
          </w:p>
        </w:tc>
      </w:tr>
      <w:tr w:rsidR="002F635D" w:rsidRPr="0024114A" w14:paraId="60CE7576" w14:textId="77777777" w:rsidTr="002D6DD7">
        <w:trPr>
          <w:trHeight w:val="2423"/>
          <w:jc w:val="center"/>
        </w:trPr>
        <w:tc>
          <w:tcPr>
            <w:tcW w:w="2605" w:type="dxa"/>
          </w:tcPr>
          <w:p w14:paraId="7F8EBFC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90" w:type="dxa"/>
          </w:tcPr>
          <w:p w14:paraId="22612E4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It should be applied twice daily for a period of 10 days. If complete healing has not occurred after 10 days of therapy, an additional 10-day course of treatment may be recommended.</w:t>
            </w:r>
          </w:p>
          <w:p w14:paraId="05386D87" w14:textId="77777777" w:rsidR="002F635D" w:rsidRPr="0024114A" w:rsidRDefault="002F635D" w:rsidP="002D6DD7">
            <w:pPr>
              <w:jc w:val="both"/>
              <w:rPr>
                <w:rFonts w:cs="Times New Roman"/>
                <w:i/>
                <w:iCs/>
                <w:color w:val="000000" w:themeColor="text1"/>
                <w:szCs w:val="24"/>
                <w:lang w:val="en-US"/>
              </w:rPr>
            </w:pPr>
            <w:r w:rsidRPr="0024114A">
              <w:rPr>
                <w:rFonts w:cs="Times New Roman"/>
                <w:i/>
                <w:iCs/>
                <w:color w:val="000000" w:themeColor="text1"/>
                <w:szCs w:val="24"/>
                <w:lang w:val="en-US"/>
              </w:rPr>
              <w:t>Note: The affected area should be cleaned. The medication should completely cover the lesion. The lesion may then be covered with a sterile bandage.</w:t>
            </w:r>
          </w:p>
        </w:tc>
      </w:tr>
      <w:tr w:rsidR="002F635D" w:rsidRPr="0024114A" w14:paraId="67DD4854" w14:textId="77777777" w:rsidTr="002D6DD7">
        <w:trPr>
          <w:trHeight w:val="449"/>
          <w:jc w:val="center"/>
        </w:trPr>
        <w:tc>
          <w:tcPr>
            <w:tcW w:w="2605" w:type="dxa"/>
          </w:tcPr>
          <w:p w14:paraId="6B7D0A2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590" w:type="dxa"/>
          </w:tcPr>
          <w:p w14:paraId="36FB75A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Known hypersensitivity to the drug. </w:t>
            </w:r>
          </w:p>
        </w:tc>
      </w:tr>
      <w:tr w:rsidR="002F635D" w:rsidRPr="0024114A" w14:paraId="73AA6F02" w14:textId="77777777" w:rsidTr="002D6DD7">
        <w:trPr>
          <w:trHeight w:val="242"/>
          <w:jc w:val="center"/>
        </w:trPr>
        <w:tc>
          <w:tcPr>
            <w:tcW w:w="2605" w:type="dxa"/>
          </w:tcPr>
          <w:p w14:paraId="2F2CB55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61361AA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Aminoglycosides.</w:t>
            </w:r>
          </w:p>
        </w:tc>
      </w:tr>
      <w:tr w:rsidR="002F635D" w:rsidRPr="0024114A" w14:paraId="64FBD9FD" w14:textId="77777777" w:rsidTr="002D6DD7">
        <w:trPr>
          <w:trHeight w:val="89"/>
          <w:jc w:val="center"/>
        </w:trPr>
        <w:tc>
          <w:tcPr>
            <w:tcW w:w="2605" w:type="dxa"/>
          </w:tcPr>
          <w:p w14:paraId="6C718BD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5B0EE1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May cause redness, irritation, local inflammation, local burning sensation, erythema, edema, local pain, contact dermatitis.</w:t>
            </w:r>
          </w:p>
        </w:tc>
      </w:tr>
      <w:tr w:rsidR="002F635D" w:rsidRPr="0024114A" w14:paraId="14A2E8FD" w14:textId="77777777" w:rsidTr="002D6DD7">
        <w:trPr>
          <w:trHeight w:val="890"/>
          <w:jc w:val="center"/>
        </w:trPr>
        <w:tc>
          <w:tcPr>
            <w:tcW w:w="2605" w:type="dxa"/>
          </w:tcPr>
          <w:p w14:paraId="2CE69EA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2661E53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Patients sensitive to neomycin, patients with renal, hepatic or hearing impairment</w:t>
            </w:r>
          </w:p>
        </w:tc>
      </w:tr>
      <w:tr w:rsidR="002F635D" w:rsidRPr="0024114A" w14:paraId="3113045D" w14:textId="77777777" w:rsidTr="002D6DD7">
        <w:trPr>
          <w:trHeight w:val="452"/>
          <w:jc w:val="center"/>
        </w:trPr>
        <w:tc>
          <w:tcPr>
            <w:tcW w:w="2605" w:type="dxa"/>
          </w:tcPr>
          <w:p w14:paraId="48D0F75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13AEB99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Store below 30 </w:t>
            </w:r>
            <w:r w:rsidRPr="0024114A">
              <w:rPr>
                <w:rFonts w:cs="Times New Roman"/>
                <w:color w:val="000000" w:themeColor="text1"/>
                <w:szCs w:val="24"/>
                <w:vertAlign w:val="superscript"/>
              </w:rPr>
              <w:t>o</w:t>
            </w:r>
            <w:r w:rsidRPr="0024114A">
              <w:rPr>
                <w:rFonts w:cs="Times New Roman"/>
                <w:color w:val="000000" w:themeColor="text1"/>
                <w:szCs w:val="24"/>
              </w:rPr>
              <w:t>C. Protect from light.</w:t>
            </w:r>
          </w:p>
        </w:tc>
      </w:tr>
      <w:tr w:rsidR="002F635D" w:rsidRPr="0024114A" w14:paraId="7BD45214" w14:textId="77777777" w:rsidTr="002D6DD7">
        <w:trPr>
          <w:trHeight w:val="242"/>
          <w:jc w:val="center"/>
        </w:trPr>
        <w:tc>
          <w:tcPr>
            <w:tcW w:w="9195" w:type="dxa"/>
            <w:gridSpan w:val="2"/>
          </w:tcPr>
          <w:p w14:paraId="419B3F33"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Silver sulfadiazine</w:t>
            </w:r>
          </w:p>
        </w:tc>
      </w:tr>
      <w:tr w:rsidR="002F635D" w:rsidRPr="0024114A" w14:paraId="351468D0" w14:textId="77777777" w:rsidTr="002D6DD7">
        <w:trPr>
          <w:trHeight w:val="90"/>
          <w:jc w:val="center"/>
        </w:trPr>
        <w:tc>
          <w:tcPr>
            <w:tcW w:w="2605" w:type="dxa"/>
          </w:tcPr>
          <w:p w14:paraId="1B5DBF3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767D042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25C84D96" w14:textId="77777777" w:rsidTr="002D6DD7">
        <w:trPr>
          <w:trHeight w:val="272"/>
          <w:jc w:val="center"/>
        </w:trPr>
        <w:tc>
          <w:tcPr>
            <w:tcW w:w="2605" w:type="dxa"/>
          </w:tcPr>
          <w:p w14:paraId="6B05D31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5980304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rPr>
              <w:t>Cream:1%</w:t>
            </w:r>
          </w:p>
        </w:tc>
      </w:tr>
      <w:tr w:rsidR="002F635D" w:rsidRPr="0024114A" w14:paraId="7C893EA7" w14:textId="77777777" w:rsidTr="002D6DD7">
        <w:trPr>
          <w:trHeight w:val="672"/>
          <w:jc w:val="center"/>
        </w:trPr>
        <w:tc>
          <w:tcPr>
            <w:tcW w:w="2605" w:type="dxa"/>
          </w:tcPr>
          <w:p w14:paraId="105545C4"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590" w:type="dxa"/>
          </w:tcPr>
          <w:p w14:paraId="3262349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Prophylaxis and treatment of infection in burn wounds</w:t>
            </w:r>
            <w:r w:rsidRPr="0024114A">
              <w:rPr>
                <w:rFonts w:eastAsia="Times New Roman" w:cs="Times New Roman"/>
                <w:color w:val="000000" w:themeColor="text1"/>
                <w:szCs w:val="24"/>
                <w:lang w:val="en-US"/>
              </w:rPr>
              <w:t>, f</w:t>
            </w:r>
            <w:r w:rsidRPr="0024114A">
              <w:rPr>
                <w:rFonts w:cs="Times New Roman"/>
                <w:color w:val="000000" w:themeColor="text1"/>
                <w:szCs w:val="24"/>
                <w:lang w:val="en-US"/>
              </w:rPr>
              <w:t>or conservative management of finger-tip injuries</w:t>
            </w:r>
            <w:r w:rsidRPr="0024114A">
              <w:rPr>
                <w:rFonts w:eastAsia="Times New Roman" w:cs="Times New Roman"/>
                <w:color w:val="000000" w:themeColor="text1"/>
                <w:szCs w:val="24"/>
                <w:lang w:val="en-US"/>
              </w:rPr>
              <w:t>, a</w:t>
            </w:r>
            <w:r w:rsidRPr="0024114A">
              <w:rPr>
                <w:rFonts w:cs="Times New Roman"/>
                <w:color w:val="000000" w:themeColor="text1"/>
                <w:szCs w:val="24"/>
                <w:lang w:val="en-US"/>
              </w:rPr>
              <w:t xml:space="preserve">djunct to prophylaxis of infection in skin graft donor sites and extensive abrasions, short-term treatment of infection in pressure sores and infection in leg </w:t>
            </w:r>
            <w:r w:rsidRPr="0024114A">
              <w:rPr>
                <w:rFonts w:eastAsia="Times New Roman" w:cs="Times New Roman"/>
                <w:color w:val="000000" w:themeColor="text1"/>
                <w:szCs w:val="24"/>
                <w:lang w:val="en-US"/>
              </w:rPr>
              <w:t xml:space="preserve">leg ulcers </w:t>
            </w:r>
          </w:p>
        </w:tc>
      </w:tr>
      <w:tr w:rsidR="002F635D" w:rsidRPr="0024114A" w14:paraId="5072D110" w14:textId="77777777" w:rsidTr="002D6DD7">
        <w:trPr>
          <w:trHeight w:val="672"/>
          <w:jc w:val="center"/>
        </w:trPr>
        <w:tc>
          <w:tcPr>
            <w:tcW w:w="2605" w:type="dxa"/>
          </w:tcPr>
          <w:p w14:paraId="383581C8"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90" w:type="dxa"/>
          </w:tcPr>
          <w:p w14:paraId="77C0ABE5"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Prophylaxis and treatment of infection in burn wounds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 xml:space="preserve">to the skin: </w:t>
            </w:r>
          </w:p>
          <w:p w14:paraId="358F7304"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xml:space="preserve">: </w:t>
            </w:r>
            <w:r w:rsidRPr="0024114A">
              <w:rPr>
                <w:rFonts w:cs="Times New Roman"/>
                <w:color w:val="000000" w:themeColor="text1"/>
                <w:szCs w:val="24"/>
                <w:lang w:val="en-US"/>
              </w:rPr>
              <w:t>Apply daily, may be applied more frequently ifvery exudative</w:t>
            </w:r>
          </w:p>
          <w:p w14:paraId="5B3C3FF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For conservative management of finger-tip injuries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xml:space="preserve">: </w:t>
            </w:r>
            <w:r w:rsidRPr="0024114A">
              <w:rPr>
                <w:rFonts w:cs="Times New Roman"/>
                <w:color w:val="000000" w:themeColor="text1"/>
                <w:szCs w:val="24"/>
                <w:lang w:val="en-US"/>
              </w:rPr>
              <w:t>Apply every 2–3 days</w:t>
            </w:r>
          </w:p>
          <w:p w14:paraId="316F9717" w14:textId="77777777" w:rsidR="002F635D" w:rsidRPr="0024114A" w:rsidRDefault="002F635D" w:rsidP="002D6DD7">
            <w:pPr>
              <w:jc w:val="both"/>
              <w:rPr>
                <w:rFonts w:cs="Times New Roman"/>
                <w:b/>
                <w:bCs/>
                <w:color w:val="000000" w:themeColor="text1"/>
                <w:szCs w:val="24"/>
                <w:lang w:val="en-US"/>
              </w:rPr>
            </w:pPr>
            <w:r w:rsidRPr="0024114A">
              <w:rPr>
                <w:rFonts w:cs="Times New Roman"/>
                <w:b/>
                <w:bCs/>
                <w:color w:val="000000" w:themeColor="text1"/>
                <w:szCs w:val="24"/>
                <w:lang w:val="en-US"/>
              </w:rPr>
              <w:t>Adjunct to prophylaxis of infection in skin graft donor</w:t>
            </w:r>
          </w:p>
          <w:p w14:paraId="21042074"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sites and extensive abrasions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Apply every 2–3 days</w:t>
            </w:r>
          </w:p>
          <w:p w14:paraId="365DC67A" w14:textId="77777777" w:rsidR="002F635D" w:rsidRPr="0024114A" w:rsidRDefault="002F635D" w:rsidP="002D6DD7">
            <w:pPr>
              <w:jc w:val="both"/>
              <w:rPr>
                <w:rFonts w:cs="Times New Roman"/>
                <w:b/>
                <w:bCs/>
                <w:szCs w:val="24"/>
              </w:rPr>
            </w:pPr>
            <w:r w:rsidRPr="0024114A">
              <w:rPr>
                <w:rFonts w:cs="Times New Roman"/>
                <w:b/>
                <w:bCs/>
                <w:szCs w:val="24"/>
              </w:rPr>
              <w:t>Adjunct to short-term treatment of infection in pressure</w:t>
            </w:r>
            <w:r w:rsidRPr="0024114A">
              <w:rPr>
                <w:rFonts w:cs="Times New Roman"/>
                <w:b/>
                <w:bCs/>
                <w:color w:val="000000" w:themeColor="text1"/>
                <w:szCs w:val="24"/>
                <w:lang w:val="en-US"/>
              </w:rPr>
              <w:t>sores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469402F9"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xml:space="preserve">: </w:t>
            </w:r>
            <w:r w:rsidRPr="0024114A">
              <w:rPr>
                <w:rFonts w:cs="Times New Roman"/>
                <w:color w:val="000000" w:themeColor="text1"/>
                <w:szCs w:val="24"/>
                <w:lang w:val="en-US"/>
              </w:rPr>
              <w:t>Apply once daily or on alternate days</w:t>
            </w:r>
          </w:p>
          <w:p w14:paraId="3742DD54" w14:textId="77777777" w:rsidR="002F635D" w:rsidRPr="0024114A" w:rsidRDefault="002F635D" w:rsidP="002D6DD7">
            <w:pPr>
              <w:jc w:val="both"/>
              <w:rPr>
                <w:rFonts w:cs="Times New Roman"/>
                <w:b/>
                <w:bCs/>
                <w:color w:val="000000" w:themeColor="text1"/>
                <w:szCs w:val="24"/>
                <w:lang w:val="en-US"/>
              </w:rPr>
            </w:pPr>
            <w:r w:rsidRPr="0024114A">
              <w:rPr>
                <w:rFonts w:cs="Times New Roman"/>
                <w:b/>
                <w:bCs/>
                <w:color w:val="000000" w:themeColor="text1"/>
                <w:szCs w:val="24"/>
                <w:lang w:val="en-US"/>
              </w:rPr>
              <w:t>As an adjunct to short-term treatment of infection in legulcers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1B31B55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b/>
                <w:color w:val="000000" w:themeColor="text1"/>
                <w:szCs w:val="24"/>
                <w:lang w:val="en-US"/>
              </w:rPr>
              <w:t>Adult</w:t>
            </w:r>
            <w:r w:rsidRPr="0024114A">
              <w:rPr>
                <w:rFonts w:eastAsia="Times New Roman" w:cs="Times New Roman"/>
                <w:color w:val="000000" w:themeColor="text1"/>
                <w:szCs w:val="24"/>
                <w:lang w:val="en-US"/>
              </w:rPr>
              <w:t xml:space="preserve">: </w:t>
            </w:r>
            <w:r w:rsidRPr="0024114A">
              <w:rPr>
                <w:rFonts w:cs="Times New Roman"/>
                <w:color w:val="000000" w:themeColor="text1"/>
                <w:szCs w:val="24"/>
                <w:lang w:val="en-US"/>
              </w:rPr>
              <w:t>Apply once daily or on alternate days, not recommended if ulcer is very exudative</w:t>
            </w:r>
          </w:p>
          <w:p w14:paraId="5D0570B6"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lastRenderedPageBreak/>
              <w:t>Prophylaxis and treatment of infection in burn wounds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34C1EE3A" w14:textId="77777777" w:rsidR="002F635D" w:rsidRPr="0024114A" w:rsidRDefault="002F635D" w:rsidP="002D6DD7">
            <w:pPr>
              <w:jc w:val="both"/>
              <w:rPr>
                <w:rFonts w:cs="Times New Roman"/>
                <w:color w:val="000000" w:themeColor="text1"/>
                <w:szCs w:val="24"/>
                <w:lang w:val="en-US"/>
              </w:rPr>
            </w:pPr>
            <w:r w:rsidRPr="0024114A">
              <w:rPr>
                <w:rFonts w:cs="Times New Roman"/>
                <w:b/>
                <w:color w:val="000000" w:themeColor="text1"/>
                <w:szCs w:val="24"/>
                <w:lang w:val="en-US"/>
              </w:rPr>
              <w:t>Child</w:t>
            </w:r>
            <w:r w:rsidRPr="0024114A">
              <w:rPr>
                <w:rFonts w:cs="Times New Roman"/>
                <w:color w:val="000000" w:themeColor="text1"/>
                <w:szCs w:val="24"/>
                <w:lang w:val="en-US"/>
              </w:rPr>
              <w:t>: Apply daily, may be applied more frequently if very exudative</w:t>
            </w:r>
          </w:p>
          <w:p w14:paraId="0EDD076E"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For conservative management of finger-tip injuries</w:t>
            </w:r>
            <w:r w:rsidRPr="0024114A">
              <w:rPr>
                <w:rFonts w:eastAsia="Times New Roman"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r w:rsidRPr="0024114A">
              <w:rPr>
                <w:rFonts w:cs="Times New Roman"/>
                <w:b/>
                <w:color w:val="000000" w:themeColor="text1"/>
                <w:szCs w:val="24"/>
                <w:lang w:val="en-US"/>
              </w:rPr>
              <w:t>Child</w:t>
            </w:r>
            <w:r w:rsidRPr="0024114A">
              <w:rPr>
                <w:rFonts w:cs="Times New Roman"/>
                <w:color w:val="000000" w:themeColor="text1"/>
                <w:szCs w:val="24"/>
                <w:lang w:val="en-US"/>
              </w:rPr>
              <w:t>: Apply every 2–3 days.</w:t>
            </w:r>
          </w:p>
        </w:tc>
      </w:tr>
      <w:tr w:rsidR="002F635D" w:rsidRPr="0024114A" w14:paraId="5868FD06" w14:textId="77777777" w:rsidTr="002D6DD7">
        <w:trPr>
          <w:trHeight w:val="672"/>
          <w:jc w:val="center"/>
        </w:trPr>
        <w:tc>
          <w:tcPr>
            <w:tcW w:w="2605" w:type="dxa"/>
          </w:tcPr>
          <w:p w14:paraId="5FCB454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590" w:type="dxa"/>
          </w:tcPr>
          <w:p w14:paraId="142E89C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Hypersensitive to the drug and other sulphonamides (3</w:t>
            </w:r>
            <w:r w:rsidRPr="0024114A">
              <w:rPr>
                <w:rFonts w:cs="Times New Roman"/>
                <w:color w:val="000000" w:themeColor="text1"/>
                <w:szCs w:val="24"/>
                <w:vertAlign w:val="superscript"/>
                <w:lang w:val="en-US"/>
              </w:rPr>
              <w:t>rd</w:t>
            </w:r>
            <w:r w:rsidRPr="0024114A">
              <w:rPr>
                <w:rFonts w:cs="Times New Roman"/>
                <w:color w:val="000000" w:themeColor="text1"/>
                <w:szCs w:val="24"/>
                <w:lang w:val="en-US"/>
              </w:rPr>
              <w:t xml:space="preserve"> trimester), premature infant or on a newborn during the first 2 months of life, hepatic, renal impairment, pregnancy</w:t>
            </w:r>
          </w:p>
        </w:tc>
      </w:tr>
      <w:tr w:rsidR="002F635D" w:rsidRPr="0024114A" w14:paraId="0D2CEBD5" w14:textId="77777777" w:rsidTr="002D6DD7">
        <w:trPr>
          <w:trHeight w:val="317"/>
          <w:jc w:val="center"/>
        </w:trPr>
        <w:tc>
          <w:tcPr>
            <w:tcW w:w="2605" w:type="dxa"/>
          </w:tcPr>
          <w:p w14:paraId="4EBFA59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293FBC7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Decreases effects of collagenase, papain, trypsin</w:t>
            </w:r>
          </w:p>
        </w:tc>
      </w:tr>
      <w:tr w:rsidR="002F635D" w:rsidRPr="0024114A" w14:paraId="28F114F0" w14:textId="77777777" w:rsidTr="002D6DD7">
        <w:trPr>
          <w:trHeight w:val="50"/>
          <w:jc w:val="center"/>
        </w:trPr>
        <w:tc>
          <w:tcPr>
            <w:tcW w:w="2605" w:type="dxa"/>
          </w:tcPr>
          <w:p w14:paraId="0F60076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72079BC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Allergic reactions, argyria (following treatment of large areas of skin or prolonged use), burning, itching, leucopenia, rashes</w:t>
            </w:r>
          </w:p>
        </w:tc>
      </w:tr>
      <w:tr w:rsidR="002F635D" w:rsidRPr="0024114A" w14:paraId="283BFDDF" w14:textId="77777777" w:rsidTr="002D6DD7">
        <w:trPr>
          <w:trHeight w:val="672"/>
          <w:jc w:val="center"/>
        </w:trPr>
        <w:tc>
          <w:tcPr>
            <w:tcW w:w="2605" w:type="dxa"/>
          </w:tcPr>
          <w:p w14:paraId="43BD12A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Cautions</w:t>
            </w:r>
          </w:p>
        </w:tc>
        <w:tc>
          <w:tcPr>
            <w:tcW w:w="6590" w:type="dxa"/>
          </w:tcPr>
          <w:p w14:paraId="4780835A" w14:textId="77777777" w:rsidR="002F635D" w:rsidRPr="0024114A" w:rsidRDefault="002F635D" w:rsidP="002D6DD7">
            <w:pPr>
              <w:jc w:val="both"/>
              <w:rPr>
                <w:rFonts w:cs="Times New Roman"/>
                <w:i/>
                <w:iCs/>
                <w:color w:val="000000" w:themeColor="text1"/>
                <w:szCs w:val="24"/>
                <w:lang w:val="en-US"/>
              </w:rPr>
            </w:pPr>
            <w:r w:rsidRPr="0024114A">
              <w:rPr>
                <w:rFonts w:cs="Times New Roman"/>
                <w:i/>
                <w:iCs/>
                <w:color w:val="000000" w:themeColor="text1"/>
                <w:szCs w:val="24"/>
                <w:lang w:val="en-US"/>
              </w:rPr>
              <w:t>Note: treatment should be stopped immediately if blood disorders or rashes develop.</w:t>
            </w:r>
          </w:p>
        </w:tc>
      </w:tr>
      <w:tr w:rsidR="002F635D" w:rsidRPr="0024114A" w14:paraId="73D3337A" w14:textId="77777777" w:rsidTr="002D6DD7">
        <w:trPr>
          <w:trHeight w:val="227"/>
          <w:jc w:val="center"/>
        </w:trPr>
        <w:tc>
          <w:tcPr>
            <w:tcW w:w="2605" w:type="dxa"/>
          </w:tcPr>
          <w:p w14:paraId="2087164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796D5E9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 Protect from light.</w:t>
            </w:r>
          </w:p>
        </w:tc>
      </w:tr>
      <w:tr w:rsidR="002F635D" w:rsidRPr="0024114A" w14:paraId="02803243" w14:textId="77777777" w:rsidTr="002D6DD7">
        <w:trPr>
          <w:trHeight w:val="362"/>
          <w:jc w:val="center"/>
        </w:trPr>
        <w:tc>
          <w:tcPr>
            <w:tcW w:w="9195" w:type="dxa"/>
            <w:gridSpan w:val="2"/>
          </w:tcPr>
          <w:p w14:paraId="086AC124"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Tetracycline</w:t>
            </w:r>
          </w:p>
        </w:tc>
      </w:tr>
      <w:tr w:rsidR="002F635D" w:rsidRPr="0024114A" w14:paraId="47718572" w14:textId="77777777" w:rsidTr="002D6DD7">
        <w:trPr>
          <w:trHeight w:val="332"/>
          <w:jc w:val="center"/>
        </w:trPr>
        <w:tc>
          <w:tcPr>
            <w:tcW w:w="2605" w:type="dxa"/>
          </w:tcPr>
          <w:p w14:paraId="0B14DFF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90" w:type="dxa"/>
          </w:tcPr>
          <w:p w14:paraId="3AE03C2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antibacterial</w:t>
            </w:r>
          </w:p>
        </w:tc>
      </w:tr>
      <w:tr w:rsidR="002F635D" w:rsidRPr="0024114A" w14:paraId="63D0D8D4" w14:textId="77777777" w:rsidTr="002D6DD7">
        <w:trPr>
          <w:trHeight w:val="407"/>
          <w:jc w:val="center"/>
        </w:trPr>
        <w:tc>
          <w:tcPr>
            <w:tcW w:w="2605" w:type="dxa"/>
          </w:tcPr>
          <w:p w14:paraId="691941A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90" w:type="dxa"/>
          </w:tcPr>
          <w:p w14:paraId="08F96CD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Skin ointment: 3%</w:t>
            </w:r>
          </w:p>
        </w:tc>
      </w:tr>
      <w:tr w:rsidR="002F635D" w:rsidRPr="0024114A" w14:paraId="41B12467" w14:textId="77777777" w:rsidTr="002D6DD7">
        <w:trPr>
          <w:trHeight w:val="1212"/>
          <w:jc w:val="center"/>
        </w:trPr>
        <w:tc>
          <w:tcPr>
            <w:tcW w:w="2605" w:type="dxa"/>
          </w:tcPr>
          <w:p w14:paraId="5E1B38B9"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590" w:type="dxa"/>
          </w:tcPr>
          <w:p w14:paraId="555BE6C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Treatment of bacterial conjunctivitis and trachoma (by preference use </w:t>
            </w:r>
            <w:r w:rsidRPr="00C4521D">
              <w:rPr>
                <w:rFonts w:cs="Times New Roman"/>
                <w:color w:val="000000" w:themeColor="text1"/>
                <w:szCs w:val="24"/>
                <w:lang w:val="en-US"/>
              </w:rPr>
              <w:t>oral</w:t>
            </w:r>
            <w:r w:rsidRPr="0024114A">
              <w:rPr>
                <w:rFonts w:cs="Times New Roman"/>
                <w:color w:val="000000" w:themeColor="text1"/>
                <w:szCs w:val="24"/>
                <w:lang w:val="en-US"/>
              </w:rPr>
              <w:t xml:space="preserve"> azithromycin for this indication), prevention of neonatal conjunctivitis.</w:t>
            </w:r>
          </w:p>
        </w:tc>
      </w:tr>
      <w:tr w:rsidR="002F635D" w:rsidRPr="0024114A" w14:paraId="13747973" w14:textId="77777777" w:rsidTr="002D6DD7">
        <w:trPr>
          <w:trHeight w:val="1120"/>
          <w:jc w:val="center"/>
        </w:trPr>
        <w:tc>
          <w:tcPr>
            <w:tcW w:w="2605" w:type="dxa"/>
          </w:tcPr>
          <w:p w14:paraId="43CE6187"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90" w:type="dxa"/>
          </w:tcPr>
          <w:p w14:paraId="5F805746"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Treatment of bacterial conjunctivitis and trachoma:</w:t>
            </w:r>
          </w:p>
          <w:p w14:paraId="59A1137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First, wash the affected area with warm boiled water, and then apply the ointment to the affected area 1-3 times a day. </w:t>
            </w:r>
          </w:p>
        </w:tc>
      </w:tr>
      <w:tr w:rsidR="002F635D" w:rsidRPr="0024114A" w14:paraId="69A88C91" w14:textId="77777777" w:rsidTr="002D6DD7">
        <w:trPr>
          <w:trHeight w:val="212"/>
          <w:jc w:val="center"/>
        </w:trPr>
        <w:tc>
          <w:tcPr>
            <w:tcW w:w="2605" w:type="dxa"/>
          </w:tcPr>
          <w:p w14:paraId="7663F39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90" w:type="dxa"/>
          </w:tcPr>
          <w:p w14:paraId="7385A8C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other tetracyclines</w:t>
            </w:r>
          </w:p>
        </w:tc>
      </w:tr>
      <w:tr w:rsidR="002F635D" w:rsidRPr="0024114A" w14:paraId="641A4F18" w14:textId="77777777" w:rsidTr="002D6DD7">
        <w:trPr>
          <w:trHeight w:val="257"/>
          <w:jc w:val="center"/>
        </w:trPr>
        <w:tc>
          <w:tcPr>
            <w:tcW w:w="2605" w:type="dxa"/>
          </w:tcPr>
          <w:p w14:paraId="0225926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90" w:type="dxa"/>
          </w:tcPr>
          <w:p w14:paraId="766D8F2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interactions</w:t>
            </w:r>
          </w:p>
        </w:tc>
      </w:tr>
      <w:tr w:rsidR="002F635D" w:rsidRPr="0024114A" w14:paraId="695D2D5A" w14:textId="77777777" w:rsidTr="002D6DD7">
        <w:trPr>
          <w:trHeight w:val="242"/>
          <w:jc w:val="center"/>
        </w:trPr>
        <w:tc>
          <w:tcPr>
            <w:tcW w:w="2605" w:type="dxa"/>
          </w:tcPr>
          <w:p w14:paraId="605940D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90" w:type="dxa"/>
          </w:tcPr>
          <w:p w14:paraId="5B19018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shd w:val="clear" w:color="auto" w:fill="FFFFFF"/>
                <w:lang w:val="en-US"/>
              </w:rPr>
              <w:t>Skin irritation, burning, or stinging at the application site.</w:t>
            </w:r>
          </w:p>
        </w:tc>
      </w:tr>
      <w:tr w:rsidR="002F635D" w:rsidRPr="0024114A" w14:paraId="4F11E056" w14:textId="77777777" w:rsidTr="002D6DD7">
        <w:trPr>
          <w:trHeight w:val="377"/>
          <w:jc w:val="center"/>
        </w:trPr>
        <w:tc>
          <w:tcPr>
            <w:tcW w:w="2605" w:type="dxa"/>
          </w:tcPr>
          <w:p w14:paraId="36A1B93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90" w:type="dxa"/>
          </w:tcPr>
          <w:p w14:paraId="754ABBC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Risk of overgrowthof non-susceptible organisms, stains clothing. </w:t>
            </w:r>
          </w:p>
        </w:tc>
      </w:tr>
      <w:tr w:rsidR="002F635D" w:rsidRPr="0024114A" w14:paraId="1E269DB3" w14:textId="77777777" w:rsidTr="002D6DD7">
        <w:trPr>
          <w:trHeight w:val="343"/>
          <w:jc w:val="center"/>
        </w:trPr>
        <w:tc>
          <w:tcPr>
            <w:tcW w:w="2605" w:type="dxa"/>
          </w:tcPr>
          <w:p w14:paraId="7BD81B9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90" w:type="dxa"/>
          </w:tcPr>
          <w:p w14:paraId="2CA702E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bookmarkEnd w:id="206"/>
    </w:tbl>
    <w:p w14:paraId="4A7CB0B2" w14:textId="77777777" w:rsidR="002F635D" w:rsidRPr="0024114A" w:rsidRDefault="002F635D" w:rsidP="002F635D">
      <w:pPr>
        <w:spacing w:after="0"/>
        <w:jc w:val="both"/>
        <w:rPr>
          <w:rFonts w:cs="Times New Roman"/>
          <w:bCs/>
          <w:color w:val="000000" w:themeColor="text1"/>
          <w:szCs w:val="24"/>
        </w:rPr>
      </w:pPr>
    </w:p>
    <w:p w14:paraId="2C93803F" w14:textId="77777777" w:rsidR="002F635D" w:rsidRPr="0024114A" w:rsidRDefault="002F635D" w:rsidP="00C4521D">
      <w:pPr>
        <w:pStyle w:val="Heading2"/>
        <w:spacing w:before="240" w:after="240"/>
      </w:pPr>
      <w:bookmarkStart w:id="207" w:name="_Toc179490401"/>
      <w:r w:rsidRPr="0024114A">
        <w:lastRenderedPageBreak/>
        <w:t>Antivirals</w:t>
      </w:r>
      <w:bookmarkEnd w:id="207"/>
    </w:p>
    <w:p w14:paraId="31ABB3B9" w14:textId="77777777" w:rsidR="002F635D" w:rsidRPr="0024114A" w:rsidRDefault="002F635D" w:rsidP="003D2325">
      <w:pPr>
        <w:pStyle w:val="NormalWeb"/>
        <w:spacing w:before="0" w:beforeAutospacing="0" w:after="240" w:afterAutospacing="0" w:line="360" w:lineRule="auto"/>
        <w:jc w:val="both"/>
        <w:rPr>
          <w:lang w:val="en-US" w:eastAsia="en-US"/>
        </w:rPr>
      </w:pPr>
      <w:r w:rsidRPr="0024114A">
        <w:t xml:space="preserve">Topical antiviral agents are vital for managing viral infections of the skin and mucous membranes. Their main goals include shortening infection duration, preventing complications, reducing recurrences, minimizing transmission, and ultimately eradicating viral latency. </w:t>
      </w:r>
      <w:r w:rsidRPr="0024114A">
        <w:rPr>
          <w:lang w:val="en-US" w:eastAsia="en-US"/>
        </w:rPr>
        <w:t>Two commonly used antiviral medications are Acyclovir and Ganciclovir. Acyclovir is primarily used to treat Herpes Simplex virus infections, including labial and genital herpes, by inhibiting viral replication. Ganciclovir, on the other hand, is indicated for mild and severe cytomegalovirus (CMV) infections, particularly in immunocompromised patients, and is also used to prevent CMV disease in transplant recipients. Both drugs have specific dosages and administration protocols tailored to their respective indications.</w:t>
      </w:r>
    </w:p>
    <w:tbl>
      <w:tblPr>
        <w:tblStyle w:val="TableGrid"/>
        <w:tblW w:w="0" w:type="auto"/>
        <w:tblInd w:w="108" w:type="dxa"/>
        <w:tblLook w:val="04A0" w:firstRow="1" w:lastRow="0" w:firstColumn="1" w:lastColumn="0" w:noHBand="0" w:noVBand="1"/>
      </w:tblPr>
      <w:tblGrid>
        <w:gridCol w:w="3056"/>
        <w:gridCol w:w="6412"/>
      </w:tblGrid>
      <w:tr w:rsidR="002F635D" w:rsidRPr="0024114A" w14:paraId="4EB70E7B" w14:textId="77777777" w:rsidTr="002D6DD7">
        <w:trPr>
          <w:trHeight w:val="429"/>
        </w:trPr>
        <w:tc>
          <w:tcPr>
            <w:tcW w:w="9468" w:type="dxa"/>
            <w:gridSpan w:val="2"/>
          </w:tcPr>
          <w:p w14:paraId="231A9AF3" w14:textId="77777777" w:rsidR="002F635D" w:rsidRPr="0024114A" w:rsidRDefault="002F635D" w:rsidP="002D6DD7">
            <w:pPr>
              <w:jc w:val="both"/>
              <w:rPr>
                <w:rFonts w:cs="Times New Roman"/>
                <w:b/>
                <w:color w:val="000000" w:themeColor="text1"/>
                <w:szCs w:val="24"/>
                <w:lang w:val="en-US"/>
              </w:rPr>
            </w:pPr>
            <w:r w:rsidRPr="0024114A">
              <w:rPr>
                <w:rFonts w:cs="Times New Roman"/>
                <w:b/>
                <w:bCs/>
                <w:color w:val="000000" w:themeColor="text1"/>
                <w:szCs w:val="24"/>
                <w:lang w:val="en-US"/>
              </w:rPr>
              <w:t>Acyclovir/acyclovir</w:t>
            </w:r>
          </w:p>
        </w:tc>
      </w:tr>
      <w:tr w:rsidR="002F635D" w:rsidRPr="0024114A" w14:paraId="3410FEEC" w14:textId="77777777" w:rsidTr="002D6DD7">
        <w:trPr>
          <w:trHeight w:val="429"/>
        </w:trPr>
        <w:tc>
          <w:tcPr>
            <w:tcW w:w="3056" w:type="dxa"/>
          </w:tcPr>
          <w:p w14:paraId="5FB352F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412" w:type="dxa"/>
          </w:tcPr>
          <w:p w14:paraId="7D83604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antiviral</w:t>
            </w:r>
          </w:p>
        </w:tc>
      </w:tr>
      <w:tr w:rsidR="002F635D" w:rsidRPr="0024114A" w14:paraId="55AB095B" w14:textId="77777777" w:rsidTr="002D6DD7">
        <w:trPr>
          <w:trHeight w:val="429"/>
        </w:trPr>
        <w:tc>
          <w:tcPr>
            <w:tcW w:w="3056" w:type="dxa"/>
          </w:tcPr>
          <w:p w14:paraId="0B108512"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412" w:type="dxa"/>
          </w:tcPr>
          <w:p w14:paraId="13CDB525" w14:textId="77777777" w:rsidR="002F635D" w:rsidRPr="0024114A" w:rsidRDefault="002F635D" w:rsidP="002D6DD7">
            <w:pPr>
              <w:contextualSpacing/>
              <w:jc w:val="both"/>
              <w:rPr>
                <w:rFonts w:cs="Times New Roman"/>
                <w:color w:val="000000" w:themeColor="text1"/>
                <w:szCs w:val="24"/>
              </w:rPr>
            </w:pPr>
            <w:r w:rsidRPr="0024114A">
              <w:rPr>
                <w:rFonts w:eastAsia="Times New Roman" w:cs="Times New Roman"/>
                <w:color w:val="000000" w:themeColor="text1"/>
                <w:szCs w:val="24"/>
              </w:rPr>
              <w:t xml:space="preserve">Cream: </w:t>
            </w:r>
            <w:r w:rsidRPr="0024114A">
              <w:rPr>
                <w:rFonts w:cs="Times New Roman"/>
                <w:color w:val="000000" w:themeColor="text1"/>
                <w:szCs w:val="24"/>
              </w:rPr>
              <w:t xml:space="preserve">5% </w:t>
            </w:r>
          </w:p>
        </w:tc>
      </w:tr>
      <w:tr w:rsidR="002F635D" w:rsidRPr="0024114A" w14:paraId="2CB44CBD" w14:textId="77777777" w:rsidTr="002D6DD7">
        <w:trPr>
          <w:trHeight w:val="429"/>
        </w:trPr>
        <w:tc>
          <w:tcPr>
            <w:tcW w:w="3056" w:type="dxa"/>
          </w:tcPr>
          <w:p w14:paraId="1D92DBC0" w14:textId="77777777" w:rsidR="002F635D" w:rsidRPr="00D76F62" w:rsidRDefault="002F635D" w:rsidP="002D6DD7">
            <w:pPr>
              <w:contextualSpacing/>
              <w:jc w:val="both"/>
              <w:rPr>
                <w:rFonts w:cs="Times New Roman"/>
                <w:color w:val="000000" w:themeColor="text1"/>
                <w:szCs w:val="24"/>
                <w:lang w:val="en-US"/>
              </w:rPr>
            </w:pPr>
            <w:r w:rsidRPr="00D76F62">
              <w:rPr>
                <w:rFonts w:cs="Times New Roman"/>
                <w:color w:val="000000" w:themeColor="text1"/>
                <w:szCs w:val="24"/>
                <w:lang w:val="en-US"/>
              </w:rPr>
              <w:t>Indications</w:t>
            </w:r>
          </w:p>
        </w:tc>
        <w:tc>
          <w:tcPr>
            <w:tcW w:w="6412" w:type="dxa"/>
          </w:tcPr>
          <w:p w14:paraId="2605199C"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For the treatment of </w:t>
            </w:r>
            <w:r w:rsidR="00D76F62">
              <w:rPr>
                <w:rFonts w:cs="Times New Roman"/>
                <w:color w:val="000000" w:themeColor="text1"/>
                <w:szCs w:val="24"/>
                <w:lang w:val="en-US"/>
              </w:rPr>
              <w:t>h</w:t>
            </w:r>
            <w:r w:rsidRPr="0024114A">
              <w:rPr>
                <w:rFonts w:cs="Times New Roman"/>
                <w:color w:val="000000" w:themeColor="text1"/>
                <w:szCs w:val="24"/>
                <w:lang w:val="en-US"/>
              </w:rPr>
              <w:t xml:space="preserve">erpes simplex virus infections of the skin </w:t>
            </w:r>
          </w:p>
        </w:tc>
      </w:tr>
      <w:tr w:rsidR="002F635D" w:rsidRPr="0024114A" w14:paraId="46C289A8" w14:textId="77777777" w:rsidTr="002D6DD7">
        <w:trPr>
          <w:trHeight w:val="429"/>
        </w:trPr>
        <w:tc>
          <w:tcPr>
            <w:tcW w:w="3056" w:type="dxa"/>
          </w:tcPr>
          <w:p w14:paraId="1BF0CB0D" w14:textId="77777777" w:rsidR="002F635D" w:rsidRPr="0024114A" w:rsidRDefault="002F635D" w:rsidP="002D6DD7">
            <w:pPr>
              <w:contextualSpacing/>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412" w:type="dxa"/>
          </w:tcPr>
          <w:p w14:paraId="7FAA63C5"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Apply 5 times a day for 5–10 days, to be applied to lesions approximately every 4 hours, starting at first sign of attack</w:t>
            </w:r>
          </w:p>
        </w:tc>
      </w:tr>
      <w:tr w:rsidR="002F635D" w:rsidRPr="0024114A" w14:paraId="615EE036" w14:textId="77777777" w:rsidTr="002D6DD7">
        <w:trPr>
          <w:trHeight w:val="429"/>
        </w:trPr>
        <w:tc>
          <w:tcPr>
            <w:tcW w:w="3056" w:type="dxa"/>
          </w:tcPr>
          <w:p w14:paraId="3027CD12"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412" w:type="dxa"/>
          </w:tcPr>
          <w:p w14:paraId="01F2F99E"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Hypersensitive to the drug or valaciclovir or propylene glycol </w:t>
            </w:r>
          </w:p>
        </w:tc>
      </w:tr>
      <w:tr w:rsidR="002F635D" w:rsidRPr="0024114A" w14:paraId="66541D40" w14:textId="77777777" w:rsidTr="002D6DD7">
        <w:trPr>
          <w:trHeight w:val="429"/>
        </w:trPr>
        <w:tc>
          <w:tcPr>
            <w:tcW w:w="3056" w:type="dxa"/>
          </w:tcPr>
          <w:p w14:paraId="0FCC7235"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412" w:type="dxa"/>
          </w:tcPr>
          <w:p w14:paraId="314605AA"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There are no significant drug interactions. </w:t>
            </w:r>
          </w:p>
        </w:tc>
      </w:tr>
      <w:tr w:rsidR="002F635D" w:rsidRPr="0024114A" w14:paraId="254DC6B8" w14:textId="77777777" w:rsidTr="002D6DD7">
        <w:trPr>
          <w:trHeight w:val="429"/>
        </w:trPr>
        <w:tc>
          <w:tcPr>
            <w:tcW w:w="3056" w:type="dxa"/>
          </w:tcPr>
          <w:p w14:paraId="43F31FEE"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412" w:type="dxa"/>
          </w:tcPr>
          <w:p w14:paraId="611CB4B7" w14:textId="77777777" w:rsidR="002F635D" w:rsidRPr="0024114A" w:rsidRDefault="002F635D" w:rsidP="002D6DD7">
            <w:pPr>
              <w:contextualSpacing/>
              <w:jc w:val="both"/>
              <w:rPr>
                <w:rFonts w:cs="Times New Roman"/>
                <w:color w:val="000000" w:themeColor="text1"/>
                <w:szCs w:val="24"/>
                <w:lang w:val="en-US"/>
              </w:rPr>
            </w:pPr>
            <w:r w:rsidRPr="0024114A">
              <w:rPr>
                <w:rFonts w:eastAsia="Times New Roman" w:cs="Times New Roman"/>
                <w:color w:val="000000" w:themeColor="text1"/>
                <w:szCs w:val="24"/>
                <w:lang w:val="en-US"/>
              </w:rPr>
              <w:t>Itching, transient burning or stinging.</w:t>
            </w:r>
          </w:p>
        </w:tc>
      </w:tr>
      <w:tr w:rsidR="002F635D" w:rsidRPr="0024114A" w14:paraId="59525C0D" w14:textId="77777777" w:rsidTr="002D6DD7">
        <w:trPr>
          <w:trHeight w:val="429"/>
        </w:trPr>
        <w:tc>
          <w:tcPr>
            <w:tcW w:w="3056" w:type="dxa"/>
          </w:tcPr>
          <w:p w14:paraId="33CD4C73"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412" w:type="dxa"/>
          </w:tcPr>
          <w:p w14:paraId="65FA95D1"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Contact with eyes and mucous membranes (inside the mouth, or vagina).</w:t>
            </w:r>
          </w:p>
        </w:tc>
      </w:tr>
      <w:tr w:rsidR="002F635D" w:rsidRPr="0024114A" w14:paraId="771DC4CA" w14:textId="77777777" w:rsidTr="002D6DD7">
        <w:trPr>
          <w:trHeight w:val="429"/>
        </w:trPr>
        <w:tc>
          <w:tcPr>
            <w:tcW w:w="3056" w:type="dxa"/>
          </w:tcPr>
          <w:p w14:paraId="47A2327E"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412" w:type="dxa"/>
          </w:tcPr>
          <w:p w14:paraId="3477E876"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shd w:val="clear" w:color="auto" w:fill="FFFFFF"/>
                <w:lang w:val="en-US"/>
              </w:rPr>
              <w:t>Store below 30 °C. Protect from heat, moisture and light.</w:t>
            </w:r>
          </w:p>
        </w:tc>
      </w:tr>
      <w:tr w:rsidR="002F635D" w:rsidRPr="0024114A" w14:paraId="21A24773" w14:textId="77777777" w:rsidTr="002D6DD7">
        <w:trPr>
          <w:trHeight w:val="429"/>
        </w:trPr>
        <w:tc>
          <w:tcPr>
            <w:tcW w:w="9468" w:type="dxa"/>
            <w:gridSpan w:val="2"/>
          </w:tcPr>
          <w:p w14:paraId="4C1375FD" w14:textId="77777777" w:rsidR="002F635D" w:rsidRPr="0024114A" w:rsidRDefault="002F635D" w:rsidP="002D6DD7">
            <w:pPr>
              <w:contextualSpacing/>
              <w:jc w:val="both"/>
              <w:rPr>
                <w:rFonts w:cs="Times New Roman"/>
                <w:b/>
                <w:color w:val="000000" w:themeColor="text1"/>
                <w:szCs w:val="24"/>
                <w:lang w:val="en-US"/>
              </w:rPr>
            </w:pPr>
            <w:r w:rsidRPr="0024114A">
              <w:rPr>
                <w:rFonts w:cs="Times New Roman"/>
                <w:b/>
                <w:bCs/>
                <w:color w:val="000000" w:themeColor="text1"/>
                <w:szCs w:val="24"/>
                <w:lang w:val="en-US"/>
              </w:rPr>
              <w:t>Ganciclovir</w:t>
            </w:r>
          </w:p>
        </w:tc>
      </w:tr>
      <w:tr w:rsidR="002F635D" w:rsidRPr="0024114A" w14:paraId="6509DAA6" w14:textId="77777777" w:rsidTr="002D6DD7">
        <w:trPr>
          <w:trHeight w:val="46"/>
        </w:trPr>
        <w:tc>
          <w:tcPr>
            <w:tcW w:w="3056" w:type="dxa"/>
          </w:tcPr>
          <w:p w14:paraId="699BC6C4"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412" w:type="dxa"/>
          </w:tcPr>
          <w:p w14:paraId="18252BB1"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Other antivirals</w:t>
            </w:r>
          </w:p>
        </w:tc>
      </w:tr>
      <w:tr w:rsidR="002F635D" w:rsidRPr="0024114A" w14:paraId="12EA51E6" w14:textId="77777777" w:rsidTr="002D6DD7">
        <w:trPr>
          <w:trHeight w:val="429"/>
        </w:trPr>
        <w:tc>
          <w:tcPr>
            <w:tcW w:w="3056" w:type="dxa"/>
          </w:tcPr>
          <w:p w14:paraId="4615F8BB"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412" w:type="dxa"/>
          </w:tcPr>
          <w:p w14:paraId="53F40363" w14:textId="77777777" w:rsidR="002F635D" w:rsidRPr="0024114A" w:rsidRDefault="002F635D" w:rsidP="002D6DD7">
            <w:pPr>
              <w:contextualSpacing/>
              <w:jc w:val="both"/>
              <w:rPr>
                <w:rFonts w:eastAsia="Times New Roman" w:cs="Times New Roman"/>
                <w:color w:val="000000" w:themeColor="text1"/>
                <w:szCs w:val="24"/>
                <w:lang w:val="it-IT"/>
              </w:rPr>
            </w:pPr>
            <w:r w:rsidRPr="0024114A">
              <w:rPr>
                <w:rFonts w:eastAsia="Times New Roman" w:cs="Times New Roman"/>
                <w:color w:val="000000" w:themeColor="text1"/>
                <w:szCs w:val="24"/>
                <w:lang w:val="it-IT"/>
              </w:rPr>
              <w:t>Injection: 500 mg vial for reconstitution.</w:t>
            </w:r>
          </w:p>
          <w:p w14:paraId="5332C48E" w14:textId="77777777" w:rsidR="002F635D" w:rsidRPr="0024114A" w:rsidRDefault="002F635D" w:rsidP="002D6DD7">
            <w:pPr>
              <w:contextualSpacing/>
              <w:jc w:val="both"/>
              <w:rPr>
                <w:rFonts w:eastAsia="Times New Roman" w:cs="Times New Roman"/>
                <w:color w:val="000000" w:themeColor="text1"/>
                <w:szCs w:val="24"/>
                <w:lang w:val="it-IT"/>
              </w:rPr>
            </w:pPr>
            <w:r w:rsidRPr="0024114A">
              <w:rPr>
                <w:rFonts w:eastAsia="Times New Roman" w:cs="Times New Roman"/>
                <w:color w:val="000000" w:themeColor="text1"/>
                <w:szCs w:val="24"/>
                <w:lang w:val="it-IT"/>
              </w:rPr>
              <w:t>Oral Capsules: 250 mg and 500 mg capsules.</w:t>
            </w:r>
          </w:p>
          <w:p w14:paraId="5DAB6263" w14:textId="77777777" w:rsidR="002F635D" w:rsidRPr="0024114A" w:rsidRDefault="002F635D" w:rsidP="002D6DD7">
            <w:pPr>
              <w:contextualSpacing/>
              <w:jc w:val="both"/>
              <w:rPr>
                <w:rFonts w:eastAsia="Times New Roman" w:cs="Times New Roman"/>
                <w:color w:val="000000" w:themeColor="text1"/>
                <w:szCs w:val="24"/>
                <w:lang w:val="it-IT"/>
              </w:rPr>
            </w:pPr>
            <w:r w:rsidRPr="0024114A">
              <w:rPr>
                <w:rFonts w:eastAsia="Times New Roman" w:cs="Times New Roman"/>
                <w:color w:val="000000" w:themeColor="text1"/>
                <w:szCs w:val="24"/>
                <w:lang w:val="it-IT"/>
              </w:rPr>
              <w:t>Ophthalmic Gel: 0.15% ophthalmic gel.</w:t>
            </w:r>
          </w:p>
        </w:tc>
      </w:tr>
      <w:tr w:rsidR="002F635D" w:rsidRPr="0024114A" w14:paraId="1F657286" w14:textId="77777777" w:rsidTr="002D6DD7">
        <w:trPr>
          <w:trHeight w:val="593"/>
        </w:trPr>
        <w:tc>
          <w:tcPr>
            <w:tcW w:w="3056" w:type="dxa"/>
          </w:tcPr>
          <w:p w14:paraId="4254A78A" w14:textId="77777777" w:rsidR="002F635D" w:rsidRPr="0024114A" w:rsidRDefault="002F635D" w:rsidP="002D6DD7">
            <w:pPr>
              <w:contextualSpacing/>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412" w:type="dxa"/>
          </w:tcPr>
          <w:p w14:paraId="44AC41CF" w14:textId="77777777" w:rsidR="002F635D" w:rsidRPr="0024114A" w:rsidRDefault="002F635D" w:rsidP="002D6DD7">
            <w:pPr>
              <w:contextualSpacing/>
              <w:jc w:val="both"/>
              <w:rPr>
                <w:rFonts w:cs="Times New Roman"/>
                <w:color w:val="000000" w:themeColor="text1"/>
                <w:szCs w:val="24"/>
                <w:lang w:val="en-US"/>
              </w:rPr>
            </w:pPr>
            <w:r w:rsidRPr="0024114A">
              <w:rPr>
                <w:rFonts w:eastAsia="Times New Roman" w:cs="Times New Roman"/>
                <w:color w:val="000000" w:themeColor="text1"/>
                <w:kern w:val="0"/>
                <w:szCs w:val="24"/>
                <w:lang w:val="en-US" w:eastAsia="en-US"/>
              </w:rPr>
              <w:t>Treatment of cytomegalovirus infections in immunocompromised individuals</w:t>
            </w:r>
          </w:p>
        </w:tc>
      </w:tr>
      <w:tr w:rsidR="002F635D" w:rsidRPr="0024114A" w14:paraId="43191518" w14:textId="77777777" w:rsidTr="002D6DD7">
        <w:trPr>
          <w:trHeight w:val="350"/>
        </w:trPr>
        <w:tc>
          <w:tcPr>
            <w:tcW w:w="3056" w:type="dxa"/>
          </w:tcPr>
          <w:p w14:paraId="11E74DBB" w14:textId="77777777" w:rsidR="002F635D" w:rsidRPr="0024114A" w:rsidRDefault="002F635D" w:rsidP="002D6DD7">
            <w:pPr>
              <w:contextualSpacing/>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412" w:type="dxa"/>
          </w:tcPr>
          <w:p w14:paraId="719DCA9C" w14:textId="77777777" w:rsidR="002F635D" w:rsidRPr="00C4521D" w:rsidRDefault="002F635D" w:rsidP="003D2325">
            <w:pPr>
              <w:rPr>
                <w:rFonts w:eastAsia="Times New Roman" w:cs="Times New Roman"/>
                <w:bCs/>
                <w:color w:val="000000" w:themeColor="text1"/>
                <w:kern w:val="0"/>
                <w:szCs w:val="24"/>
                <w:lang w:val="en-US" w:eastAsia="en-US"/>
              </w:rPr>
            </w:pPr>
            <w:r w:rsidRPr="003D2325">
              <w:rPr>
                <w:b/>
              </w:rPr>
              <w:t>HSV Infections</w:t>
            </w:r>
            <w:r w:rsidRPr="0024114A">
              <w:rPr>
                <w:rFonts w:eastAsia="Times New Roman" w:cs="Times New Roman"/>
                <w:bCs/>
                <w:color w:val="000000" w:themeColor="text1"/>
                <w:kern w:val="0"/>
                <w:szCs w:val="24"/>
                <w:lang w:val="en-US" w:eastAsia="en-US"/>
              </w:rPr>
              <w:t xml:space="preserve">, </w:t>
            </w:r>
            <w:r w:rsidRPr="00D76F62">
              <w:t>IV:</w:t>
            </w:r>
          </w:p>
          <w:p w14:paraId="4D72AE0B" w14:textId="77777777" w:rsidR="002F635D" w:rsidRPr="0024114A" w:rsidRDefault="002F635D" w:rsidP="003D2325">
            <w:pPr>
              <w:rPr>
                <w:rFonts w:eastAsia="Times New Roman" w:cs="Times New Roman"/>
                <w:bCs/>
                <w:color w:val="000000" w:themeColor="text1"/>
                <w:kern w:val="0"/>
                <w:szCs w:val="24"/>
                <w:lang w:val="en-US" w:eastAsia="en-US"/>
              </w:rPr>
            </w:pPr>
            <w:r w:rsidRPr="003D2325">
              <w:rPr>
                <w:b/>
              </w:rPr>
              <w:t>Adult:</w:t>
            </w:r>
            <w:r w:rsidRPr="0024114A">
              <w:rPr>
                <w:rFonts w:cs="Times New Roman"/>
                <w:color w:val="000000" w:themeColor="text1"/>
                <w:szCs w:val="24"/>
                <w:lang w:val="en-US"/>
              </w:rPr>
              <w:t xml:space="preserve"> </w:t>
            </w:r>
            <w:r w:rsidRPr="0024114A">
              <w:rPr>
                <w:rFonts w:eastAsia="Times New Roman" w:cs="Times New Roman"/>
                <w:color w:val="000000" w:themeColor="text1"/>
                <w:kern w:val="0"/>
                <w:szCs w:val="24"/>
                <w:lang w:val="en-US" w:eastAsia="en-US"/>
              </w:rPr>
              <w:t>5 mg/kg IV every 12 hours for 7-14 days, depending on the severity and response to treatment.</w:t>
            </w:r>
          </w:p>
          <w:p w14:paraId="438BC113" w14:textId="77777777" w:rsidR="002F635D" w:rsidRPr="00C4521D" w:rsidRDefault="002F635D" w:rsidP="003D2325">
            <w:pPr>
              <w:rPr>
                <w:rFonts w:eastAsia="Times New Roman" w:cs="Times New Roman"/>
                <w:bCs/>
                <w:color w:val="000000" w:themeColor="text1"/>
                <w:kern w:val="0"/>
                <w:szCs w:val="24"/>
                <w:lang w:val="en-US" w:eastAsia="en-US"/>
              </w:rPr>
            </w:pPr>
            <w:r w:rsidRPr="003D2325">
              <w:rPr>
                <w:b/>
              </w:rPr>
              <w:t>CMV Retinitis</w:t>
            </w:r>
            <w:r w:rsidRPr="00C4521D">
              <w:rPr>
                <w:rFonts w:eastAsia="Times New Roman" w:cs="Times New Roman"/>
                <w:bCs/>
                <w:color w:val="000000" w:themeColor="text1"/>
                <w:kern w:val="0"/>
                <w:szCs w:val="24"/>
                <w:lang w:val="en-US" w:eastAsia="en-US"/>
              </w:rPr>
              <w:t>, IV:</w:t>
            </w:r>
          </w:p>
          <w:p w14:paraId="637AD103" w14:textId="77777777" w:rsidR="002F635D" w:rsidRPr="0024114A" w:rsidRDefault="002F635D" w:rsidP="003D2325">
            <w:pPr>
              <w:rPr>
                <w:rFonts w:cs="Times New Roman"/>
                <w:bCs/>
                <w:color w:val="000000" w:themeColor="text1"/>
                <w:szCs w:val="24"/>
              </w:rPr>
            </w:pPr>
            <w:r w:rsidRPr="00D76F62">
              <w:t>Adult:</w:t>
            </w:r>
            <w:r w:rsidRPr="0024114A">
              <w:rPr>
                <w:rFonts w:cs="Times New Roman"/>
                <w:color w:val="000000" w:themeColor="text1"/>
                <w:szCs w:val="24"/>
                <w:lang w:val="en-US"/>
              </w:rPr>
              <w:t xml:space="preserve"> </w:t>
            </w:r>
            <w:r w:rsidRPr="0024114A">
              <w:rPr>
                <w:rFonts w:cs="Times New Roman"/>
                <w:color w:val="000000" w:themeColor="text1"/>
                <w:szCs w:val="24"/>
              </w:rPr>
              <w:t xml:space="preserve">5 mg/kg IV BID, infused over 1 hr for 14-21 days </w:t>
            </w:r>
          </w:p>
          <w:p w14:paraId="79B15B7E" w14:textId="77777777" w:rsidR="002F635D" w:rsidRPr="00C4521D" w:rsidRDefault="002F635D" w:rsidP="003D2325">
            <w:pPr>
              <w:rPr>
                <w:rFonts w:eastAsia="Times New Roman" w:cs="Times New Roman"/>
                <w:bCs/>
                <w:color w:val="000000" w:themeColor="text1"/>
                <w:kern w:val="0"/>
                <w:szCs w:val="24"/>
                <w:lang w:val="en-US" w:eastAsia="en-US"/>
              </w:rPr>
            </w:pPr>
            <w:r w:rsidRPr="003D2325">
              <w:rPr>
                <w:b/>
              </w:rPr>
              <w:t>CMV Prevention in Transplant Recipients</w:t>
            </w:r>
            <w:r w:rsidRPr="00D76F62">
              <w:t>, IV</w:t>
            </w:r>
            <w:r w:rsidRPr="00C4521D">
              <w:rPr>
                <w:rFonts w:eastAsia="Times New Roman" w:cs="Times New Roman"/>
                <w:bCs/>
                <w:color w:val="000000" w:themeColor="text1"/>
                <w:kern w:val="0"/>
                <w:szCs w:val="24"/>
                <w:lang w:val="en-US" w:eastAsia="en-US"/>
              </w:rPr>
              <w:t>:</w:t>
            </w:r>
          </w:p>
          <w:p w14:paraId="240FF732" w14:textId="77777777" w:rsidR="002F635D" w:rsidRPr="0024114A" w:rsidRDefault="002F635D" w:rsidP="003D2325">
            <w:pPr>
              <w:rPr>
                <w:rFonts w:cs="Times New Roman"/>
                <w:color w:val="000000" w:themeColor="text1"/>
                <w:szCs w:val="24"/>
              </w:rPr>
            </w:pPr>
            <w:r w:rsidRPr="003D2325">
              <w:rPr>
                <w:rFonts w:cs="Times New Roman"/>
                <w:b/>
                <w:color w:val="000000" w:themeColor="text1"/>
                <w:szCs w:val="24"/>
                <w:lang w:val="en-US"/>
              </w:rPr>
              <w:t>Adult:</w:t>
            </w:r>
            <w:r w:rsidRPr="0024114A">
              <w:rPr>
                <w:rFonts w:cs="Times New Roman"/>
                <w:color w:val="000000" w:themeColor="text1"/>
                <w:szCs w:val="24"/>
                <w:lang w:val="en-US"/>
              </w:rPr>
              <w:t xml:space="preserve"> Induction: 5 mg/kg IV every day infused over 1 hr for 7-14 days; M</w:t>
            </w:r>
            <w:r w:rsidRPr="0024114A">
              <w:rPr>
                <w:rFonts w:cs="Times New Roman"/>
                <w:color w:val="000000" w:themeColor="text1"/>
                <w:szCs w:val="24"/>
              </w:rPr>
              <w:t>aintenance</w:t>
            </w:r>
            <w:r w:rsidRPr="0024114A">
              <w:rPr>
                <w:rFonts w:cs="Times New Roman"/>
                <w:color w:val="000000" w:themeColor="text1"/>
                <w:szCs w:val="24"/>
                <w:lang w:val="en-US"/>
              </w:rPr>
              <w:t xml:space="preserve">: </w:t>
            </w:r>
            <w:r w:rsidRPr="0024114A">
              <w:rPr>
                <w:rFonts w:cs="Times New Roman"/>
                <w:color w:val="000000" w:themeColor="text1"/>
                <w:szCs w:val="24"/>
              </w:rPr>
              <w:t>5 mg/kg IV qDay for 100-120 days after transplant</w:t>
            </w:r>
          </w:p>
          <w:p w14:paraId="138B0DE9" w14:textId="77777777" w:rsidR="002F635D" w:rsidRPr="0024114A" w:rsidRDefault="002F635D" w:rsidP="003D2325">
            <w:pPr>
              <w:rPr>
                <w:rFonts w:cs="Times New Roman"/>
                <w:color w:val="000000" w:themeColor="text1"/>
                <w:szCs w:val="24"/>
              </w:rPr>
            </w:pPr>
            <w:r w:rsidRPr="003D2325">
              <w:rPr>
                <w:b/>
              </w:rPr>
              <w:t>CMV Prevention in HIV Infected</w:t>
            </w:r>
            <w:r w:rsidRPr="0024114A">
              <w:rPr>
                <w:rFonts w:cs="Times New Roman"/>
                <w:color w:val="000000" w:themeColor="text1"/>
                <w:szCs w:val="24"/>
              </w:rPr>
              <w:t xml:space="preserve">, </w:t>
            </w:r>
            <w:r w:rsidRPr="00C4521D">
              <w:rPr>
                <w:rFonts w:cs="Times New Roman"/>
                <w:color w:val="000000" w:themeColor="text1"/>
                <w:szCs w:val="24"/>
              </w:rPr>
              <w:t>oral:</w:t>
            </w:r>
          </w:p>
          <w:p w14:paraId="58A167D4" w14:textId="77777777" w:rsidR="002F635D" w:rsidRPr="0024114A" w:rsidRDefault="002F635D" w:rsidP="003D2325">
            <w:pPr>
              <w:rPr>
                <w:rFonts w:cs="Times New Roman"/>
                <w:color w:val="000000" w:themeColor="text1"/>
                <w:szCs w:val="24"/>
              </w:rPr>
            </w:pPr>
            <w:r w:rsidRPr="003D2325">
              <w:rPr>
                <w:rFonts w:cs="Times New Roman"/>
                <w:b/>
                <w:color w:val="000000" w:themeColor="text1"/>
                <w:szCs w:val="24"/>
              </w:rPr>
              <w:t>Adult:</w:t>
            </w:r>
            <w:r w:rsidRPr="0024114A">
              <w:rPr>
                <w:rFonts w:cs="Times New Roman"/>
                <w:color w:val="000000" w:themeColor="text1"/>
                <w:szCs w:val="24"/>
              </w:rPr>
              <w:t xml:space="preserve"> 1000 mg TID</w:t>
            </w:r>
          </w:p>
        </w:tc>
      </w:tr>
      <w:tr w:rsidR="002F635D" w:rsidRPr="0024114A" w14:paraId="0795834C" w14:textId="77777777" w:rsidTr="002D6DD7">
        <w:trPr>
          <w:trHeight w:val="46"/>
        </w:trPr>
        <w:tc>
          <w:tcPr>
            <w:tcW w:w="3056" w:type="dxa"/>
          </w:tcPr>
          <w:p w14:paraId="344B14D5"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412" w:type="dxa"/>
          </w:tcPr>
          <w:p w14:paraId="3F6B046C"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Hypersensitivity to ganciclovir</w:t>
            </w:r>
          </w:p>
        </w:tc>
      </w:tr>
      <w:tr w:rsidR="002F635D" w:rsidRPr="0024114A" w14:paraId="523685CD" w14:textId="77777777" w:rsidTr="002D6DD7">
        <w:trPr>
          <w:trHeight w:val="350"/>
        </w:trPr>
        <w:tc>
          <w:tcPr>
            <w:tcW w:w="3056" w:type="dxa"/>
          </w:tcPr>
          <w:p w14:paraId="0DDAA8D8"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412" w:type="dxa"/>
          </w:tcPr>
          <w:p w14:paraId="188C1CB8"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Zidovudine, probenecid, antineoplastic agents, co-trimoxazole</w:t>
            </w:r>
          </w:p>
        </w:tc>
      </w:tr>
      <w:tr w:rsidR="002F635D" w:rsidRPr="0024114A" w14:paraId="65A4FBEB" w14:textId="77777777" w:rsidTr="002D6DD7">
        <w:trPr>
          <w:trHeight w:val="720"/>
        </w:trPr>
        <w:tc>
          <w:tcPr>
            <w:tcW w:w="3056" w:type="dxa"/>
          </w:tcPr>
          <w:p w14:paraId="10B7E3D7"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412" w:type="dxa"/>
          </w:tcPr>
          <w:p w14:paraId="79AC64D3"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Myelosuppression, neutropenia, thrombocytopenia, CNS effects, fever, skin rash, GI disturbances, liver function abnormalities, phlebitis.</w:t>
            </w:r>
          </w:p>
        </w:tc>
      </w:tr>
      <w:tr w:rsidR="002F635D" w:rsidRPr="0024114A" w14:paraId="2DB3FA6A" w14:textId="77777777" w:rsidTr="002D6DD7">
        <w:trPr>
          <w:trHeight w:val="429"/>
        </w:trPr>
        <w:tc>
          <w:tcPr>
            <w:tcW w:w="3056" w:type="dxa"/>
          </w:tcPr>
          <w:p w14:paraId="05615D96"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412" w:type="dxa"/>
          </w:tcPr>
          <w:p w14:paraId="034FF699"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Thrombocytopenia, impaired renal function</w:t>
            </w:r>
          </w:p>
        </w:tc>
      </w:tr>
      <w:tr w:rsidR="002F635D" w:rsidRPr="0024114A" w14:paraId="7E48FAC4" w14:textId="77777777" w:rsidTr="002D6DD7">
        <w:trPr>
          <w:trHeight w:val="429"/>
        </w:trPr>
        <w:tc>
          <w:tcPr>
            <w:tcW w:w="3056" w:type="dxa"/>
          </w:tcPr>
          <w:p w14:paraId="6C9A7C24"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412" w:type="dxa"/>
          </w:tcPr>
          <w:p w14:paraId="7D99546E" w14:textId="77777777" w:rsidR="002F635D" w:rsidRPr="0024114A" w:rsidRDefault="002F635D" w:rsidP="002D6DD7">
            <w:pPr>
              <w:contextualSpacing/>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bl>
    <w:p w14:paraId="50C92651" w14:textId="77777777" w:rsidR="002F635D" w:rsidRPr="0024114A" w:rsidRDefault="002F635D" w:rsidP="002F635D">
      <w:pPr>
        <w:spacing w:after="0"/>
        <w:jc w:val="both"/>
        <w:rPr>
          <w:rFonts w:cs="Times New Roman"/>
          <w:color w:val="000000" w:themeColor="text1"/>
          <w:szCs w:val="24"/>
        </w:rPr>
      </w:pPr>
    </w:p>
    <w:p w14:paraId="4FCFC7AB" w14:textId="77777777" w:rsidR="002F635D" w:rsidRPr="0024114A" w:rsidRDefault="002F635D" w:rsidP="00C4521D">
      <w:pPr>
        <w:pStyle w:val="Heading2"/>
        <w:spacing w:before="240" w:after="240"/>
      </w:pPr>
      <w:bookmarkStart w:id="208" w:name="_Toc179490402"/>
      <w:r w:rsidRPr="0024114A">
        <w:t>Antifungals</w:t>
      </w:r>
      <w:bookmarkEnd w:id="208"/>
    </w:p>
    <w:p w14:paraId="712BC794" w14:textId="77777777" w:rsidR="002F635D" w:rsidRPr="0024114A" w:rsidRDefault="002F635D" w:rsidP="00C4521D">
      <w:pPr>
        <w:pStyle w:val="NormalWeb"/>
        <w:spacing w:before="0" w:beforeAutospacing="0" w:after="240" w:afterAutospacing="0" w:line="360" w:lineRule="auto"/>
        <w:jc w:val="both"/>
      </w:pPr>
      <w:r w:rsidRPr="0024114A">
        <w:t>Topical antifungals are medications applied directly to the skin or nails to treat localized fungal infections, such as athlete’s foot, ringworm, and candidiasis. They are effective against various dermatophytes and yeast infections. Common formulations include creams, ointments, and powders, which are generally applied once or twice daily for 1-2 weeks after symptoms resolve to prevent recurrence. Common agents include miconazole, clotrimazole, terbinafine, and ketoconazole. These medications typically have minimal side effects and are preferred for mild to moderate infections. Severe or widespread infections may require systemic treatment.</w:t>
      </w:r>
    </w:p>
    <w:tbl>
      <w:tblPr>
        <w:tblStyle w:val="TableGrid"/>
        <w:tblW w:w="9175" w:type="dxa"/>
        <w:jc w:val="center"/>
        <w:tblLayout w:type="fixed"/>
        <w:tblLook w:val="04A0" w:firstRow="1" w:lastRow="0" w:firstColumn="1" w:lastColumn="0" w:noHBand="0" w:noVBand="1"/>
      </w:tblPr>
      <w:tblGrid>
        <w:gridCol w:w="2605"/>
        <w:gridCol w:w="6570"/>
      </w:tblGrid>
      <w:tr w:rsidR="002F635D" w:rsidRPr="0024114A" w14:paraId="56C64A45" w14:textId="77777777" w:rsidTr="002D6DD7">
        <w:trPr>
          <w:trHeight w:val="436"/>
          <w:jc w:val="center"/>
        </w:trPr>
        <w:tc>
          <w:tcPr>
            <w:tcW w:w="9175" w:type="dxa"/>
            <w:gridSpan w:val="2"/>
          </w:tcPr>
          <w:p w14:paraId="37947E83" w14:textId="77777777" w:rsidR="002F635D" w:rsidRPr="0024114A" w:rsidRDefault="002F635D" w:rsidP="002D6DD7">
            <w:pPr>
              <w:jc w:val="both"/>
              <w:rPr>
                <w:rFonts w:cs="Times New Roman"/>
                <w:color w:val="000000" w:themeColor="text1"/>
                <w:szCs w:val="24"/>
                <w:lang w:val="en-US"/>
              </w:rPr>
            </w:pPr>
            <w:r w:rsidRPr="0024114A">
              <w:rPr>
                <w:rFonts w:eastAsia="Calibri" w:cs="Times New Roman"/>
                <w:b/>
                <w:bCs/>
                <w:color w:val="000000" w:themeColor="text1"/>
                <w:szCs w:val="24"/>
                <w:lang w:val="en-US"/>
              </w:rPr>
              <w:t>Benzoic acid + Salicylic acid</w:t>
            </w:r>
          </w:p>
        </w:tc>
      </w:tr>
      <w:tr w:rsidR="002F635D" w:rsidRPr="0024114A" w14:paraId="06016AAE" w14:textId="77777777" w:rsidTr="002D6DD7">
        <w:trPr>
          <w:trHeight w:val="436"/>
          <w:jc w:val="center"/>
        </w:trPr>
        <w:tc>
          <w:tcPr>
            <w:tcW w:w="2605" w:type="dxa"/>
          </w:tcPr>
          <w:p w14:paraId="101C1B6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70" w:type="dxa"/>
          </w:tcPr>
          <w:p w14:paraId="2152F157" w14:textId="77777777" w:rsidR="002F635D" w:rsidRPr="0024114A" w:rsidRDefault="002F635D" w:rsidP="002D6DD7">
            <w:pPr>
              <w:jc w:val="both"/>
              <w:rPr>
                <w:rFonts w:cs="Times New Roman"/>
                <w:i/>
                <w:color w:val="000000" w:themeColor="text1"/>
                <w:szCs w:val="24"/>
                <w:lang w:val="en-US"/>
              </w:rPr>
            </w:pPr>
            <w:r w:rsidRPr="0024114A">
              <w:rPr>
                <w:rStyle w:val="Emphasis"/>
                <w:rFonts w:cs="Times New Roman"/>
                <w:i w:val="0"/>
                <w:color w:val="000000" w:themeColor="text1"/>
                <w:szCs w:val="24"/>
                <w:shd w:val="clear" w:color="auto" w:fill="FFFFFF"/>
                <w:lang w:val="en-US"/>
              </w:rPr>
              <w:t>Local antifungal and keratolytics</w:t>
            </w:r>
          </w:p>
        </w:tc>
      </w:tr>
      <w:tr w:rsidR="002F635D" w:rsidRPr="0024114A" w14:paraId="1C0F5E37" w14:textId="77777777" w:rsidTr="002D6DD7">
        <w:trPr>
          <w:trHeight w:val="436"/>
          <w:jc w:val="center"/>
        </w:trPr>
        <w:tc>
          <w:tcPr>
            <w:tcW w:w="2605" w:type="dxa"/>
          </w:tcPr>
          <w:p w14:paraId="7F66410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Dosage form</w:t>
            </w:r>
          </w:p>
        </w:tc>
        <w:tc>
          <w:tcPr>
            <w:tcW w:w="6570" w:type="dxa"/>
          </w:tcPr>
          <w:p w14:paraId="10DA26C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6% + 3%</w:t>
            </w:r>
          </w:p>
        </w:tc>
      </w:tr>
      <w:tr w:rsidR="002F635D" w:rsidRPr="0024114A" w14:paraId="2B4FD77D" w14:textId="77777777" w:rsidTr="002D6DD7">
        <w:trPr>
          <w:trHeight w:val="863"/>
          <w:jc w:val="center"/>
        </w:trPr>
        <w:tc>
          <w:tcPr>
            <w:tcW w:w="2605" w:type="dxa"/>
          </w:tcPr>
          <w:p w14:paraId="149E325C"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570" w:type="dxa"/>
          </w:tcPr>
          <w:p w14:paraId="13FEA6C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Fungal infections of the skin (mild dermatophyte infections, particularly </w:t>
            </w:r>
            <w:r w:rsidRPr="0024114A">
              <w:rPr>
                <w:rFonts w:cs="Times New Roman"/>
                <w:i/>
                <w:iCs/>
                <w:color w:val="000000" w:themeColor="text1"/>
                <w:szCs w:val="24"/>
                <w:lang w:val="en-US"/>
              </w:rPr>
              <w:t>Tinea pedi</w:t>
            </w:r>
            <w:r w:rsidRPr="0024114A">
              <w:rPr>
                <w:rFonts w:cs="Times New Roman"/>
                <w:color w:val="000000" w:themeColor="text1"/>
                <w:szCs w:val="24"/>
                <w:lang w:val="en-US"/>
              </w:rPr>
              <w:t xml:space="preserve">s and </w:t>
            </w:r>
            <w:r w:rsidRPr="0024114A">
              <w:rPr>
                <w:rFonts w:cs="Times New Roman"/>
                <w:i/>
                <w:iCs/>
                <w:color w:val="000000" w:themeColor="text1"/>
                <w:szCs w:val="24"/>
                <w:lang w:val="en-US"/>
              </w:rPr>
              <w:t>Tinea corporis</w:t>
            </w:r>
            <w:r w:rsidRPr="0024114A">
              <w:rPr>
                <w:rFonts w:cs="Times New Roman"/>
                <w:color w:val="000000" w:themeColor="text1"/>
                <w:szCs w:val="24"/>
                <w:lang w:val="en-US"/>
              </w:rPr>
              <w:t>).</w:t>
            </w:r>
          </w:p>
        </w:tc>
      </w:tr>
      <w:tr w:rsidR="002F635D" w:rsidRPr="0024114A" w14:paraId="0EA39446" w14:textId="77777777" w:rsidTr="002D6DD7">
        <w:trPr>
          <w:trHeight w:val="863"/>
          <w:jc w:val="center"/>
        </w:trPr>
        <w:tc>
          <w:tcPr>
            <w:tcW w:w="2605" w:type="dxa"/>
          </w:tcPr>
          <w:p w14:paraId="310A91A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70" w:type="dxa"/>
          </w:tcPr>
          <w:p w14:paraId="7D838DAF"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 Apply topically to the affected area twice daily or as per the direction of the physician. No more than 3 fingertip units should be applied at any one time unless directed to do so by a doctor.  One fingertip unit should be enough to cover twice the area of an adult hand.</w:t>
            </w:r>
          </w:p>
          <w:p w14:paraId="3ADF6BB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Child</w:t>
            </w:r>
            <w:r w:rsidRPr="0024114A">
              <w:rPr>
                <w:rFonts w:cs="Times New Roman"/>
                <w:color w:val="000000" w:themeColor="text1"/>
                <w:szCs w:val="24"/>
                <w:lang w:val="en-US"/>
              </w:rPr>
              <w:t xml:space="preserve">: Apply no more than two fingertip unit to the affected area twice a day. Do not exceed this dose unless directed to do so by your doctor. </w:t>
            </w:r>
          </w:p>
          <w:p w14:paraId="2834DA33" w14:textId="77777777" w:rsidR="002F635D" w:rsidRPr="0024114A" w:rsidRDefault="002F635D" w:rsidP="002D6DD7">
            <w:pPr>
              <w:jc w:val="both"/>
              <w:rPr>
                <w:rFonts w:cs="Times New Roman"/>
                <w:i/>
                <w:iCs/>
                <w:color w:val="000000" w:themeColor="text1"/>
                <w:szCs w:val="24"/>
                <w:lang w:val="en-US"/>
              </w:rPr>
            </w:pPr>
            <w:r w:rsidRPr="0024114A">
              <w:rPr>
                <w:rFonts w:cs="Times New Roman"/>
                <w:i/>
                <w:iCs/>
                <w:color w:val="000000" w:themeColor="text1"/>
                <w:szCs w:val="24"/>
                <w:lang w:val="en-US"/>
              </w:rPr>
              <w:t>Note: it should not be applied to broken or inflamed skin.</w:t>
            </w:r>
          </w:p>
        </w:tc>
      </w:tr>
      <w:tr w:rsidR="002F635D" w:rsidRPr="0024114A" w14:paraId="71D9A165" w14:textId="77777777" w:rsidTr="002D6DD7">
        <w:trPr>
          <w:trHeight w:val="436"/>
          <w:jc w:val="center"/>
        </w:trPr>
        <w:tc>
          <w:tcPr>
            <w:tcW w:w="2605" w:type="dxa"/>
          </w:tcPr>
          <w:p w14:paraId="347BE85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70" w:type="dxa"/>
          </w:tcPr>
          <w:p w14:paraId="108C4FA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568C2781" w14:textId="77777777" w:rsidTr="002D6DD7">
        <w:trPr>
          <w:trHeight w:val="395"/>
          <w:jc w:val="center"/>
        </w:trPr>
        <w:tc>
          <w:tcPr>
            <w:tcW w:w="2605" w:type="dxa"/>
          </w:tcPr>
          <w:p w14:paraId="4511A21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70" w:type="dxa"/>
          </w:tcPr>
          <w:p w14:paraId="5083421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There </w:t>
            </w:r>
            <w:r w:rsidR="00C4521D">
              <w:rPr>
                <w:rFonts w:cs="Times New Roman"/>
                <w:color w:val="000000" w:themeColor="text1"/>
                <w:szCs w:val="24"/>
                <w:lang w:val="en-US"/>
              </w:rPr>
              <w:t xml:space="preserve">is </w:t>
            </w:r>
            <w:r w:rsidRPr="0024114A">
              <w:rPr>
                <w:rFonts w:cs="Times New Roman"/>
                <w:color w:val="000000" w:themeColor="text1"/>
                <w:szCs w:val="24"/>
                <w:lang w:val="en-US"/>
              </w:rPr>
              <w:t>no known significant interaction</w:t>
            </w:r>
          </w:p>
        </w:tc>
      </w:tr>
      <w:tr w:rsidR="002F635D" w:rsidRPr="0024114A" w14:paraId="4654BC4C" w14:textId="77777777" w:rsidTr="002D6DD7">
        <w:trPr>
          <w:trHeight w:val="46"/>
          <w:jc w:val="center"/>
        </w:trPr>
        <w:tc>
          <w:tcPr>
            <w:tcW w:w="2605" w:type="dxa"/>
          </w:tcPr>
          <w:p w14:paraId="59D458F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70" w:type="dxa"/>
          </w:tcPr>
          <w:p w14:paraId="4265615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irritation, dryness may occur and mild inflammatory reaction.</w:t>
            </w:r>
          </w:p>
        </w:tc>
      </w:tr>
      <w:tr w:rsidR="002F635D" w:rsidRPr="0024114A" w14:paraId="512C9395" w14:textId="77777777" w:rsidTr="002D6DD7">
        <w:trPr>
          <w:trHeight w:val="440"/>
          <w:jc w:val="center"/>
        </w:trPr>
        <w:tc>
          <w:tcPr>
            <w:tcW w:w="2605" w:type="dxa"/>
          </w:tcPr>
          <w:p w14:paraId="3BC87A1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70" w:type="dxa"/>
          </w:tcPr>
          <w:p w14:paraId="15008CF7" w14:textId="77777777" w:rsidR="002F635D" w:rsidRPr="0024114A" w:rsidRDefault="002F635D" w:rsidP="002D6DD7">
            <w:pPr>
              <w:jc w:val="both"/>
              <w:rPr>
                <w:rFonts w:cs="Times New Roman"/>
                <w:color w:val="000000" w:themeColor="text1"/>
                <w:szCs w:val="24"/>
                <w:lang w:val="en-US"/>
              </w:rPr>
            </w:pPr>
            <w:r w:rsidRPr="0024114A">
              <w:rPr>
                <w:rFonts w:cs="Times New Roman"/>
                <w:szCs w:val="24"/>
              </w:rPr>
              <w:t xml:space="preserve">Broken or inflamed skin, increase sensitivity to sunlight, worsen irritation in pre-existing skin conditions, such as eczema or psoriasis, </w:t>
            </w:r>
          </w:p>
        </w:tc>
      </w:tr>
      <w:tr w:rsidR="002F635D" w:rsidRPr="0024114A" w14:paraId="203A14A7" w14:textId="77777777" w:rsidTr="002D6DD7">
        <w:trPr>
          <w:trHeight w:val="436"/>
          <w:jc w:val="center"/>
        </w:trPr>
        <w:tc>
          <w:tcPr>
            <w:tcW w:w="2605" w:type="dxa"/>
          </w:tcPr>
          <w:p w14:paraId="3626894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70" w:type="dxa"/>
          </w:tcPr>
          <w:p w14:paraId="7F6D53F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2CC3577A" w14:textId="77777777" w:rsidTr="002D6DD7">
        <w:trPr>
          <w:trHeight w:val="436"/>
          <w:jc w:val="center"/>
        </w:trPr>
        <w:tc>
          <w:tcPr>
            <w:tcW w:w="9175" w:type="dxa"/>
            <w:gridSpan w:val="2"/>
          </w:tcPr>
          <w:p w14:paraId="6F3704E2"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Clotrimazole</w:t>
            </w:r>
          </w:p>
        </w:tc>
      </w:tr>
      <w:tr w:rsidR="002F635D" w:rsidRPr="0024114A" w14:paraId="3026651E" w14:textId="77777777" w:rsidTr="002D6DD7">
        <w:trPr>
          <w:trHeight w:val="436"/>
          <w:jc w:val="center"/>
        </w:trPr>
        <w:tc>
          <w:tcPr>
            <w:tcW w:w="2605" w:type="dxa"/>
          </w:tcPr>
          <w:p w14:paraId="5CFFA31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70" w:type="dxa"/>
          </w:tcPr>
          <w:p w14:paraId="56204C9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antifungal</w:t>
            </w:r>
          </w:p>
        </w:tc>
      </w:tr>
      <w:tr w:rsidR="002F635D" w:rsidRPr="0024114A" w14:paraId="027B52FF" w14:textId="77777777" w:rsidTr="002D6DD7">
        <w:trPr>
          <w:trHeight w:val="863"/>
          <w:jc w:val="center"/>
        </w:trPr>
        <w:tc>
          <w:tcPr>
            <w:tcW w:w="2605" w:type="dxa"/>
          </w:tcPr>
          <w:p w14:paraId="4C01EED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70" w:type="dxa"/>
          </w:tcPr>
          <w:p w14:paraId="013477C4"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Cream: 1%</w:t>
            </w:r>
          </w:p>
          <w:p w14:paraId="54E33C85"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Ointment: 1%</w:t>
            </w:r>
          </w:p>
          <w:p w14:paraId="2C959B8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Tablet (vaginal): 100mg, 500mg</w:t>
            </w:r>
          </w:p>
        </w:tc>
      </w:tr>
      <w:tr w:rsidR="002F635D" w:rsidRPr="0024114A" w14:paraId="103CD38C" w14:textId="77777777" w:rsidTr="002D6DD7">
        <w:trPr>
          <w:trHeight w:val="1574"/>
          <w:jc w:val="center"/>
        </w:trPr>
        <w:tc>
          <w:tcPr>
            <w:tcW w:w="2605" w:type="dxa"/>
          </w:tcPr>
          <w:p w14:paraId="502BBDC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570" w:type="dxa"/>
          </w:tcPr>
          <w:p w14:paraId="391C5D8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Vulvovaginal candidiasis, susceptible fungal infections and cutaneous candidiasis (moniliasis) caused by </w:t>
            </w:r>
            <w:r w:rsidRPr="0024114A">
              <w:rPr>
                <w:rFonts w:cs="Times New Roman"/>
                <w:i/>
                <w:iCs/>
                <w:color w:val="000000" w:themeColor="text1"/>
                <w:szCs w:val="24"/>
                <w:lang w:val="en-US"/>
              </w:rPr>
              <w:t>Candida albicans, Tinea corporis</w:t>
            </w:r>
            <w:r w:rsidRPr="0024114A">
              <w:rPr>
                <w:rFonts w:cs="Times New Roman"/>
                <w:color w:val="000000" w:themeColor="text1"/>
                <w:szCs w:val="24"/>
                <w:lang w:val="en-US"/>
              </w:rPr>
              <w:t xml:space="preserve">, </w:t>
            </w:r>
            <w:r w:rsidRPr="0024114A">
              <w:rPr>
                <w:rFonts w:cs="Times New Roman"/>
                <w:i/>
                <w:iCs/>
                <w:color w:val="000000" w:themeColor="text1"/>
                <w:szCs w:val="24"/>
                <w:lang w:val="en-US"/>
              </w:rPr>
              <w:t>Tinea cruris</w:t>
            </w:r>
            <w:r w:rsidRPr="0024114A">
              <w:rPr>
                <w:rFonts w:cs="Times New Roman"/>
                <w:color w:val="000000" w:themeColor="text1"/>
                <w:szCs w:val="24"/>
                <w:lang w:val="en-US"/>
              </w:rPr>
              <w:t xml:space="preserve">, </w:t>
            </w:r>
            <w:r w:rsidRPr="0024114A">
              <w:rPr>
                <w:rFonts w:cs="Times New Roman"/>
                <w:i/>
                <w:iCs/>
                <w:color w:val="000000" w:themeColor="text1"/>
                <w:szCs w:val="24"/>
                <w:lang w:val="en-US"/>
              </w:rPr>
              <w:t>Tinea pedis, Tinea versicolor</w:t>
            </w:r>
            <w:r w:rsidRPr="0024114A">
              <w:rPr>
                <w:rFonts w:cs="Times New Roman"/>
                <w:color w:val="000000" w:themeColor="text1"/>
                <w:szCs w:val="24"/>
                <w:lang w:val="en-US"/>
              </w:rPr>
              <w:t xml:space="preserve"> (pityriasis versicolor, ‘sun fungus’),</w:t>
            </w:r>
            <w:r w:rsidR="00C4521D">
              <w:rPr>
                <w:rFonts w:cs="Times New Roman"/>
                <w:color w:val="000000" w:themeColor="text1"/>
                <w:szCs w:val="24"/>
                <w:lang w:val="en-US"/>
              </w:rPr>
              <w:t xml:space="preserve"> </w:t>
            </w:r>
            <w:r w:rsidRPr="0024114A">
              <w:rPr>
                <w:rFonts w:cs="Times New Roman"/>
                <w:i/>
                <w:iCs/>
                <w:color w:val="000000" w:themeColor="text1"/>
                <w:szCs w:val="24"/>
                <w:lang w:val="en-US"/>
              </w:rPr>
              <w:t>Tinea barbae</w:t>
            </w:r>
            <w:r w:rsidRPr="0024114A">
              <w:rPr>
                <w:rFonts w:cs="Times New Roman"/>
                <w:color w:val="000000" w:themeColor="text1"/>
                <w:szCs w:val="24"/>
                <w:lang w:val="en-US"/>
              </w:rPr>
              <w:t>,</w:t>
            </w:r>
            <w:r w:rsidR="00C4521D">
              <w:rPr>
                <w:rFonts w:cs="Times New Roman"/>
                <w:color w:val="000000" w:themeColor="text1"/>
                <w:szCs w:val="24"/>
                <w:lang w:val="en-US"/>
              </w:rPr>
              <w:t xml:space="preserve"> </w:t>
            </w:r>
            <w:r w:rsidRPr="0024114A">
              <w:rPr>
                <w:rFonts w:cs="Times New Roman"/>
                <w:i/>
                <w:iCs/>
                <w:color w:val="000000" w:themeColor="text1"/>
                <w:szCs w:val="24"/>
                <w:lang w:val="en-US"/>
              </w:rPr>
              <w:t>Tinea capitis</w:t>
            </w:r>
          </w:p>
        </w:tc>
      </w:tr>
      <w:tr w:rsidR="002F635D" w:rsidRPr="0024114A" w14:paraId="5F071F75" w14:textId="77777777" w:rsidTr="002D6DD7">
        <w:trPr>
          <w:trHeight w:val="1290"/>
          <w:jc w:val="center"/>
        </w:trPr>
        <w:tc>
          <w:tcPr>
            <w:tcW w:w="2605" w:type="dxa"/>
          </w:tcPr>
          <w:p w14:paraId="088C4AA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570" w:type="dxa"/>
          </w:tcPr>
          <w:p w14:paraId="0917886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 xml:space="preserve">Vulvovaginal candidiasis, </w:t>
            </w:r>
            <w:r w:rsidRPr="0024114A">
              <w:rPr>
                <w:rFonts w:cs="Times New Roman"/>
                <w:color w:val="000000" w:themeColor="text1"/>
                <w:szCs w:val="24"/>
                <w:lang w:val="en-US"/>
              </w:rPr>
              <w:t>intravaginal: Insert 5 g cream (approximately one applicatorful) into the vagina once daily at bedtime for 3 days. For more severe cases, it can be used for 7 days.</w:t>
            </w:r>
          </w:p>
          <w:p w14:paraId="66D8E50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skin infections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29D7494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Apply 2–3 times a day</w:t>
            </w:r>
          </w:p>
          <w:p w14:paraId="4323462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w:t>
            </w:r>
            <w:r w:rsidRPr="0024114A">
              <w:rPr>
                <w:rFonts w:cs="Times New Roman"/>
                <w:color w:val="000000" w:themeColor="text1"/>
                <w:szCs w:val="24"/>
                <w:lang w:val="en-US"/>
              </w:rPr>
              <w:t xml:space="preserve"> Apply 2–3 times a day</w:t>
            </w:r>
          </w:p>
          <w:p w14:paraId="3B46BE00"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 xml:space="preserve">CutaneousCandidiasis: </w:t>
            </w:r>
            <w:r w:rsidRPr="0024114A">
              <w:rPr>
                <w:rFonts w:cs="Times New Roman"/>
                <w:color w:val="000000" w:themeColor="text1"/>
                <w:szCs w:val="24"/>
                <w:lang w:val="en-US"/>
              </w:rPr>
              <w:t>Apply thinely and evenly to the affected area 2-3 daily for at least 2 weeks.</w:t>
            </w:r>
          </w:p>
          <w:p w14:paraId="23F3E78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Dermatophytes infections</w:t>
            </w:r>
            <w:r w:rsidRPr="0024114A">
              <w:rPr>
                <w:rFonts w:cs="Times New Roman"/>
                <w:color w:val="000000" w:themeColor="text1"/>
                <w:szCs w:val="24"/>
                <w:lang w:val="en-US"/>
              </w:rPr>
              <w:t>: Apply thinely and evenly to the affected area 2-3 daily for at least 4 weeks.</w:t>
            </w:r>
          </w:p>
        </w:tc>
      </w:tr>
      <w:tr w:rsidR="002F635D" w:rsidRPr="0024114A" w14:paraId="5294353B" w14:textId="77777777" w:rsidTr="002D6DD7">
        <w:trPr>
          <w:trHeight w:val="436"/>
          <w:jc w:val="center"/>
        </w:trPr>
        <w:tc>
          <w:tcPr>
            <w:tcW w:w="2605" w:type="dxa"/>
          </w:tcPr>
          <w:p w14:paraId="2F4EA26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70" w:type="dxa"/>
          </w:tcPr>
          <w:p w14:paraId="76B9D7A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shd w:val="clear" w:color="auto" w:fill="FFFFFF"/>
                <w:lang w:val="en-US"/>
              </w:rPr>
              <w:t> </w:t>
            </w:r>
            <w:r w:rsidRPr="0024114A">
              <w:rPr>
                <w:rFonts w:cs="Times New Roman"/>
                <w:color w:val="000000" w:themeColor="text1"/>
                <w:szCs w:val="24"/>
                <w:lang w:val="en-US"/>
              </w:rPr>
              <w:t>Hypersensitivity to the drug or otherazole antifungals.</w:t>
            </w:r>
          </w:p>
        </w:tc>
      </w:tr>
      <w:tr w:rsidR="002F635D" w:rsidRPr="0024114A" w14:paraId="796049E6" w14:textId="77777777" w:rsidTr="002D6DD7">
        <w:trPr>
          <w:trHeight w:val="436"/>
          <w:jc w:val="center"/>
        </w:trPr>
        <w:tc>
          <w:tcPr>
            <w:tcW w:w="2605" w:type="dxa"/>
          </w:tcPr>
          <w:p w14:paraId="1ACAFE9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70" w:type="dxa"/>
          </w:tcPr>
          <w:p w14:paraId="7894A3E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Latex contraceptive, progesterone, sirolimus, and tacrolimus.</w:t>
            </w:r>
          </w:p>
        </w:tc>
      </w:tr>
      <w:tr w:rsidR="002F635D" w:rsidRPr="0024114A" w14:paraId="7689CE4D" w14:textId="77777777" w:rsidTr="002D6DD7">
        <w:trPr>
          <w:trHeight w:val="1290"/>
          <w:jc w:val="center"/>
        </w:trPr>
        <w:tc>
          <w:tcPr>
            <w:tcW w:w="2605" w:type="dxa"/>
          </w:tcPr>
          <w:p w14:paraId="7E00084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70" w:type="dxa"/>
          </w:tcPr>
          <w:p w14:paraId="624B1C4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(skin rash, hives, blistering, burning, itching peeling, redness, stinging, swelling and other sign of skin irritation does not present before therapy).</w:t>
            </w:r>
          </w:p>
        </w:tc>
      </w:tr>
      <w:tr w:rsidR="002F635D" w:rsidRPr="0024114A" w14:paraId="2644D3C6" w14:textId="77777777" w:rsidTr="002D6DD7">
        <w:trPr>
          <w:trHeight w:val="436"/>
          <w:jc w:val="center"/>
        </w:trPr>
        <w:tc>
          <w:tcPr>
            <w:tcW w:w="2605" w:type="dxa"/>
          </w:tcPr>
          <w:p w14:paraId="1FBC446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70" w:type="dxa"/>
          </w:tcPr>
          <w:p w14:paraId="1498000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eyes and mucous membranes.</w:t>
            </w:r>
          </w:p>
        </w:tc>
      </w:tr>
      <w:tr w:rsidR="002F635D" w:rsidRPr="0024114A" w14:paraId="74C5145F" w14:textId="77777777" w:rsidTr="002D6DD7">
        <w:trPr>
          <w:trHeight w:val="436"/>
          <w:jc w:val="center"/>
        </w:trPr>
        <w:tc>
          <w:tcPr>
            <w:tcW w:w="2605" w:type="dxa"/>
          </w:tcPr>
          <w:p w14:paraId="397D094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70" w:type="dxa"/>
          </w:tcPr>
          <w:p w14:paraId="0CD8D08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 Protect from freezing.</w:t>
            </w:r>
          </w:p>
        </w:tc>
      </w:tr>
      <w:tr w:rsidR="002F635D" w:rsidRPr="0024114A" w14:paraId="19DA59C7" w14:textId="77777777" w:rsidTr="002D6DD7">
        <w:trPr>
          <w:trHeight w:val="436"/>
          <w:jc w:val="center"/>
        </w:trPr>
        <w:tc>
          <w:tcPr>
            <w:tcW w:w="9175" w:type="dxa"/>
            <w:gridSpan w:val="2"/>
          </w:tcPr>
          <w:p w14:paraId="47AB8356"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Ketoconazole</w:t>
            </w:r>
          </w:p>
        </w:tc>
      </w:tr>
      <w:tr w:rsidR="002F635D" w:rsidRPr="0024114A" w14:paraId="2D18176C" w14:textId="77777777" w:rsidTr="002D6DD7">
        <w:trPr>
          <w:trHeight w:val="436"/>
          <w:jc w:val="center"/>
        </w:trPr>
        <w:tc>
          <w:tcPr>
            <w:tcW w:w="2605" w:type="dxa"/>
          </w:tcPr>
          <w:p w14:paraId="68B2F17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70" w:type="dxa"/>
          </w:tcPr>
          <w:p w14:paraId="33E6820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antifungal</w:t>
            </w:r>
          </w:p>
        </w:tc>
      </w:tr>
      <w:tr w:rsidR="002F635D" w:rsidRPr="0024114A" w14:paraId="08F2E44A" w14:textId="77777777" w:rsidTr="002D6DD7">
        <w:trPr>
          <w:trHeight w:val="863"/>
          <w:jc w:val="center"/>
        </w:trPr>
        <w:tc>
          <w:tcPr>
            <w:tcW w:w="2605" w:type="dxa"/>
          </w:tcPr>
          <w:p w14:paraId="104756E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70" w:type="dxa"/>
          </w:tcPr>
          <w:p w14:paraId="1BDD155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2%</w:t>
            </w:r>
          </w:p>
          <w:p w14:paraId="0B885A0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Shampoo: 2%</w:t>
            </w:r>
          </w:p>
        </w:tc>
      </w:tr>
      <w:tr w:rsidR="002F635D" w:rsidRPr="0024114A" w14:paraId="47B622EB" w14:textId="77777777" w:rsidTr="002D6DD7">
        <w:trPr>
          <w:trHeight w:val="1610"/>
          <w:jc w:val="center"/>
        </w:trPr>
        <w:tc>
          <w:tcPr>
            <w:tcW w:w="2605" w:type="dxa"/>
          </w:tcPr>
          <w:p w14:paraId="692C9644" w14:textId="77777777" w:rsidR="002F635D" w:rsidRPr="008F1BC0" w:rsidRDefault="002F635D" w:rsidP="002D6DD7">
            <w:pPr>
              <w:jc w:val="both"/>
              <w:rPr>
                <w:rFonts w:cs="Times New Roman"/>
                <w:color w:val="000000" w:themeColor="text1"/>
                <w:szCs w:val="24"/>
                <w:lang w:val="en-US"/>
              </w:rPr>
            </w:pPr>
            <w:r w:rsidRPr="008F1BC0">
              <w:rPr>
                <w:rFonts w:cs="Times New Roman"/>
                <w:color w:val="000000" w:themeColor="text1"/>
                <w:szCs w:val="24"/>
                <w:lang w:val="en-US"/>
              </w:rPr>
              <w:t>Indications</w:t>
            </w:r>
          </w:p>
        </w:tc>
        <w:tc>
          <w:tcPr>
            <w:tcW w:w="6570" w:type="dxa"/>
          </w:tcPr>
          <w:p w14:paraId="6E8D8F0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shd w:val="clear" w:color="auto" w:fill="FFFFFF"/>
                <w:lang w:val="en-US"/>
              </w:rPr>
              <w:t xml:space="preserve">Dermatophyte infections of the skin such as </w:t>
            </w:r>
            <w:r w:rsidRPr="0024114A">
              <w:rPr>
                <w:rFonts w:cs="Times New Roman"/>
                <w:i/>
                <w:iCs/>
                <w:color w:val="000000" w:themeColor="text1"/>
                <w:szCs w:val="24"/>
                <w:shd w:val="clear" w:color="auto" w:fill="FFFFFF"/>
                <w:lang w:val="en-US"/>
              </w:rPr>
              <w:t>Tinea corporis</w:t>
            </w:r>
            <w:r w:rsidRPr="0024114A">
              <w:rPr>
                <w:rFonts w:cs="Times New Roman"/>
                <w:color w:val="000000" w:themeColor="text1"/>
                <w:szCs w:val="24"/>
                <w:shd w:val="clear" w:color="auto" w:fill="FFFFFF"/>
                <w:lang w:val="en-US"/>
              </w:rPr>
              <w:t xml:space="preserve">, </w:t>
            </w:r>
            <w:r w:rsidRPr="0024114A">
              <w:rPr>
                <w:rFonts w:cs="Times New Roman"/>
                <w:i/>
                <w:iCs/>
                <w:color w:val="000000" w:themeColor="text1"/>
                <w:szCs w:val="24"/>
                <w:shd w:val="clear" w:color="auto" w:fill="FFFFFF"/>
                <w:lang w:val="en-US"/>
              </w:rPr>
              <w:t>Tinea cruris</w:t>
            </w:r>
            <w:r w:rsidRPr="0024114A">
              <w:rPr>
                <w:rFonts w:cs="Times New Roman"/>
                <w:color w:val="000000" w:themeColor="text1"/>
                <w:szCs w:val="24"/>
                <w:shd w:val="clear" w:color="auto" w:fill="FFFFFF"/>
                <w:lang w:val="en-US"/>
              </w:rPr>
              <w:t xml:space="preserve">, </w:t>
            </w:r>
            <w:r w:rsidRPr="0024114A">
              <w:rPr>
                <w:rFonts w:cs="Times New Roman"/>
                <w:i/>
                <w:iCs/>
                <w:color w:val="000000" w:themeColor="text1"/>
                <w:szCs w:val="24"/>
                <w:shd w:val="clear" w:color="auto" w:fill="FFFFFF"/>
                <w:lang w:val="en-US"/>
              </w:rPr>
              <w:t>Tinea manus</w:t>
            </w:r>
            <w:r w:rsidRPr="0024114A">
              <w:rPr>
                <w:rFonts w:cs="Times New Roman"/>
                <w:color w:val="000000" w:themeColor="text1"/>
                <w:szCs w:val="24"/>
                <w:shd w:val="clear" w:color="auto" w:fill="FFFFFF"/>
                <w:lang w:val="en-US"/>
              </w:rPr>
              <w:t xml:space="preserve"> and </w:t>
            </w:r>
            <w:r w:rsidRPr="0024114A">
              <w:rPr>
                <w:rFonts w:cs="Times New Roman"/>
                <w:i/>
                <w:iCs/>
                <w:color w:val="000000" w:themeColor="text1"/>
                <w:szCs w:val="24"/>
                <w:shd w:val="clear" w:color="auto" w:fill="FFFFFF"/>
                <w:lang w:val="en-US"/>
              </w:rPr>
              <w:t>Tinea pedis</w:t>
            </w:r>
            <w:r w:rsidRPr="0024114A">
              <w:rPr>
                <w:rFonts w:cs="Times New Roman"/>
                <w:color w:val="000000" w:themeColor="text1"/>
                <w:szCs w:val="24"/>
                <w:shd w:val="clear" w:color="auto" w:fill="FFFFFF"/>
                <w:lang w:val="en-US"/>
              </w:rPr>
              <w:t xml:space="preserve"> infections, cutaneous candidosis (including vulvitis), </w:t>
            </w:r>
            <w:r w:rsidRPr="0024114A">
              <w:rPr>
                <w:rFonts w:cs="Times New Roman"/>
                <w:i/>
                <w:iCs/>
                <w:color w:val="000000" w:themeColor="text1"/>
                <w:szCs w:val="24"/>
                <w:shd w:val="clear" w:color="auto" w:fill="FFFFFF"/>
                <w:lang w:val="en-US"/>
              </w:rPr>
              <w:t>Tinea</w:t>
            </w:r>
            <w:r w:rsidRPr="0024114A">
              <w:rPr>
                <w:rFonts w:cs="Times New Roman"/>
                <w:color w:val="000000" w:themeColor="text1"/>
                <w:szCs w:val="24"/>
                <w:shd w:val="clear" w:color="auto" w:fill="FFFFFF"/>
                <w:lang w:val="en-US"/>
              </w:rPr>
              <w:t xml:space="preserve"> (pityriasis) </w:t>
            </w:r>
            <w:r w:rsidRPr="0024114A">
              <w:rPr>
                <w:rFonts w:cs="Times New Roman"/>
                <w:i/>
                <w:iCs/>
                <w:color w:val="000000" w:themeColor="text1"/>
                <w:szCs w:val="24"/>
                <w:shd w:val="clear" w:color="auto" w:fill="FFFFFF"/>
                <w:lang w:val="en-US"/>
              </w:rPr>
              <w:t>versicolo</w:t>
            </w:r>
            <w:r w:rsidRPr="0024114A">
              <w:rPr>
                <w:rFonts w:cs="Times New Roman"/>
                <w:color w:val="000000" w:themeColor="text1"/>
                <w:szCs w:val="24"/>
                <w:shd w:val="clear" w:color="auto" w:fill="FFFFFF"/>
                <w:lang w:val="en-US"/>
              </w:rPr>
              <w:t xml:space="preserve">r Pityriasis capitis (dandruff) and seborrhoeic dermatitis </w:t>
            </w:r>
          </w:p>
        </w:tc>
      </w:tr>
      <w:tr w:rsidR="002F635D" w:rsidRPr="0024114A" w14:paraId="3BE31B91" w14:textId="77777777" w:rsidTr="002D6DD7">
        <w:trPr>
          <w:trHeight w:val="863"/>
          <w:jc w:val="center"/>
        </w:trPr>
        <w:tc>
          <w:tcPr>
            <w:tcW w:w="2605" w:type="dxa"/>
          </w:tcPr>
          <w:p w14:paraId="31665D9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70" w:type="dxa"/>
          </w:tcPr>
          <w:p w14:paraId="3F209FD4"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Tinea pedis,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cream: </w:t>
            </w:r>
          </w:p>
          <w:p w14:paraId="61A0502B" w14:textId="77777777" w:rsidR="002F635D" w:rsidRPr="0024114A" w:rsidRDefault="002F635D" w:rsidP="002D6DD7">
            <w:pPr>
              <w:tabs>
                <w:tab w:val="left" w:pos="3960"/>
              </w:tabs>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00C4521D">
              <w:rPr>
                <w:rFonts w:cs="Times New Roman"/>
                <w:b/>
                <w:bCs/>
                <w:color w:val="000000" w:themeColor="text1"/>
                <w:szCs w:val="24"/>
                <w:lang w:val="en-US"/>
              </w:rPr>
              <w:t xml:space="preserve"> </w:t>
            </w:r>
            <w:r w:rsidRPr="0024114A">
              <w:rPr>
                <w:rFonts w:cs="Times New Roman"/>
                <w:color w:val="000000" w:themeColor="text1"/>
                <w:szCs w:val="24"/>
                <w:lang w:val="en-US"/>
              </w:rPr>
              <w:t>Apply twice daily</w:t>
            </w:r>
          </w:p>
          <w:p w14:paraId="5E307EC0"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skin infection (not Tinea pedis)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cream: </w:t>
            </w:r>
            <w:r w:rsidRPr="0024114A">
              <w:rPr>
                <w:rFonts w:cs="Times New Roman"/>
                <w:b/>
                <w:bCs/>
                <w:color w:val="000000" w:themeColor="text1"/>
                <w:szCs w:val="24"/>
                <w:lang w:val="en-US"/>
              </w:rPr>
              <w:t>Adult</w:t>
            </w:r>
            <w:r w:rsidRPr="0024114A">
              <w:rPr>
                <w:rFonts w:cs="Times New Roman"/>
                <w:color w:val="000000" w:themeColor="text1"/>
                <w:szCs w:val="24"/>
                <w:lang w:val="en-US"/>
              </w:rPr>
              <w:t>: Apply 1–2 times a day</w:t>
            </w:r>
          </w:p>
          <w:p w14:paraId="057B72A1" w14:textId="77777777" w:rsidR="002F635D" w:rsidRPr="0024114A" w:rsidRDefault="002F635D" w:rsidP="002D6DD7">
            <w:pPr>
              <w:tabs>
                <w:tab w:val="left" w:pos="3960"/>
              </w:tabs>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lastRenderedPageBreak/>
              <w:t>Treatment of seborrhoeic dermatitis and dandruff</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w:t>
            </w:r>
          </w:p>
          <w:p w14:paraId="6BE94D06"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Apply twice weekly for 2–4 weeks, leave preparation on for 3–5 minutes before rinsing.</w:t>
            </w:r>
          </w:p>
          <w:p w14:paraId="703CC468"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Prophylaxis of seborrhoeic dermatitis and dandruff,</w:t>
            </w:r>
            <w:r w:rsidR="00540ACE">
              <w:rPr>
                <w:rFonts w:cs="Times New Roman"/>
                <w:b/>
                <w:bCs/>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 </w:t>
            </w:r>
          </w:p>
          <w:p w14:paraId="6647B2E7"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Apply every 1–2 weeks, leave preparation on for 3–5 minutes before rinsing.</w:t>
            </w:r>
          </w:p>
          <w:p w14:paraId="67A74220"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Treatment of pityriasis versicolor</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 </w:t>
            </w: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Apply once daily for maximum 5 days, leave preparation on for 3–5 minutes before rinsing.</w:t>
            </w:r>
          </w:p>
          <w:p w14:paraId="16A0A948"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Prophylaxis of pityriasis versicolor</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 </w:t>
            </w:r>
          </w:p>
          <w:p w14:paraId="2C8AF8F6"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Apply once daily for up to 3 days before sun exposure, leave preparation on for 3–5 minutes before rinsing.</w:t>
            </w:r>
          </w:p>
          <w:p w14:paraId="6A7DCBFB"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shd w:val="clear" w:color="auto" w:fill="FFFFFF"/>
                <w:lang w:val="en-US"/>
              </w:rPr>
            </w:pPr>
            <w:r w:rsidRPr="0024114A">
              <w:rPr>
                <w:rFonts w:cs="Times New Roman"/>
                <w:b/>
                <w:color w:val="000000" w:themeColor="text1"/>
                <w:szCs w:val="24"/>
                <w:shd w:val="clear" w:color="auto" w:fill="FFFFFF"/>
                <w:lang w:val="en-US"/>
              </w:rPr>
              <w:t>Cutaneous candidiasis</w:t>
            </w:r>
            <w:r w:rsidRPr="0024114A">
              <w:rPr>
                <w:rFonts w:cs="Times New Roman"/>
                <w:color w:val="000000" w:themeColor="text1"/>
                <w:szCs w:val="24"/>
                <w:shd w:val="clear" w:color="auto" w:fill="FFFFFF"/>
                <w:lang w:val="en-US"/>
              </w:rPr>
              <w:t xml:space="preserve">, 2% cream: </w:t>
            </w:r>
          </w:p>
          <w:p w14:paraId="77075B7C"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shd w:val="clear" w:color="auto" w:fill="FFFFFF"/>
                <w:lang w:val="en-US"/>
              </w:rPr>
              <w:t>Apply</w:t>
            </w:r>
            <w:r w:rsidR="00540ACE">
              <w:rPr>
                <w:rFonts w:cs="Times New Roman"/>
                <w:color w:val="000000" w:themeColor="text1"/>
                <w:szCs w:val="24"/>
                <w:shd w:val="clear" w:color="auto" w:fill="FFFFFF"/>
                <w:lang w:val="en-US"/>
              </w:rPr>
              <w:t xml:space="preserve"> </w:t>
            </w:r>
            <w:r w:rsidRPr="0024114A">
              <w:rPr>
                <w:rFonts w:cs="Times New Roman"/>
                <w:color w:val="000000" w:themeColor="text1"/>
                <w:szCs w:val="24"/>
                <w:shd w:val="clear" w:color="auto" w:fill="FFFFFF"/>
                <w:lang w:val="en-US"/>
              </w:rPr>
              <w:t>to the affected area for 2-3 weeks.</w:t>
            </w:r>
          </w:p>
          <w:p w14:paraId="704D9530"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Treatment of seborrhoeic dermatitis and dandruff</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w:t>
            </w:r>
          </w:p>
          <w:p w14:paraId="6B613710" w14:textId="77777777" w:rsidR="002F635D" w:rsidRPr="0024114A" w:rsidRDefault="002F635D" w:rsidP="002D6DD7">
            <w:pPr>
              <w:tabs>
                <w:tab w:val="left" w:pos="3960"/>
              </w:tabs>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Child 12–17 years</w:t>
            </w:r>
            <w:r w:rsidRPr="0024114A">
              <w:rPr>
                <w:rFonts w:cs="Times New Roman"/>
                <w:color w:val="000000" w:themeColor="text1"/>
                <w:szCs w:val="24"/>
                <w:lang w:val="en-US"/>
              </w:rPr>
              <w:t>: Apply twice weekly for 2–4 weeks, leave preparation on for 3–5 minutes before rinsing.</w:t>
            </w:r>
          </w:p>
          <w:p w14:paraId="0B8A5EEC"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Prophylaxis of seborrhoeic dermatitis and dandruff,</w:t>
            </w:r>
            <w:r w:rsidR="00540ACE">
              <w:rPr>
                <w:rFonts w:cs="Times New Roman"/>
                <w:b/>
                <w:bCs/>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 </w:t>
            </w:r>
          </w:p>
          <w:p w14:paraId="56682BD2" w14:textId="77777777" w:rsidR="002F635D" w:rsidRPr="0024114A" w:rsidRDefault="002F635D" w:rsidP="002D6DD7">
            <w:pPr>
              <w:tabs>
                <w:tab w:val="left" w:pos="3960"/>
              </w:tabs>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Child 12–17 years</w:t>
            </w:r>
            <w:r w:rsidRPr="0024114A">
              <w:rPr>
                <w:rFonts w:cs="Times New Roman"/>
                <w:color w:val="000000" w:themeColor="text1"/>
                <w:szCs w:val="24"/>
                <w:lang w:val="en-US"/>
              </w:rPr>
              <w:t>: Apply every 1–2 weeks, leave preparation on for 3–5 minutes before rinsing.</w:t>
            </w:r>
          </w:p>
          <w:p w14:paraId="7565F7F2" w14:textId="77777777" w:rsidR="002F635D" w:rsidRPr="0024114A" w:rsidRDefault="002F635D" w:rsidP="002D6DD7">
            <w:pPr>
              <w:tabs>
                <w:tab w:val="left" w:pos="3960"/>
              </w:tabs>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Treatment of pityriasis versicolor</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 </w:t>
            </w:r>
            <w:r w:rsidRPr="0024114A">
              <w:rPr>
                <w:rFonts w:cs="Times New Roman"/>
                <w:b/>
                <w:bCs/>
                <w:color w:val="000000" w:themeColor="text1"/>
                <w:szCs w:val="24"/>
                <w:lang w:val="en-US"/>
              </w:rPr>
              <w:t>Child 12–17 years</w:t>
            </w:r>
            <w:r w:rsidRPr="0024114A">
              <w:rPr>
                <w:rFonts w:cs="Times New Roman"/>
                <w:color w:val="000000" w:themeColor="text1"/>
                <w:szCs w:val="24"/>
                <w:lang w:val="en-US"/>
              </w:rPr>
              <w:t>: Apply once daily for maximum 5 days, leave preparation on for 3–5 minutes before rinsing.</w:t>
            </w:r>
          </w:p>
          <w:p w14:paraId="63E5E4E4" w14:textId="77777777" w:rsidR="002F635D" w:rsidRPr="0024114A" w:rsidRDefault="002F635D" w:rsidP="002D6DD7">
            <w:pPr>
              <w:tabs>
                <w:tab w:val="left" w:pos="3960"/>
              </w:tabs>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Prophylaxis of pityriasis versicolor</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using shampoo:</w:t>
            </w:r>
          </w:p>
          <w:p w14:paraId="058AE0EA"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Child 12–17 years</w:t>
            </w:r>
            <w:r w:rsidRPr="0024114A">
              <w:rPr>
                <w:rFonts w:cs="Times New Roman"/>
                <w:color w:val="000000" w:themeColor="text1"/>
                <w:szCs w:val="24"/>
                <w:lang w:val="en-US"/>
              </w:rPr>
              <w:t>: Apply once daily for up to 3 days before sun exposure, leave preparation on for 3–5 minutes before rinsing</w:t>
            </w:r>
          </w:p>
        </w:tc>
      </w:tr>
      <w:tr w:rsidR="002F635D" w:rsidRPr="0024114A" w14:paraId="4FD889E4" w14:textId="77777777" w:rsidTr="002D6DD7">
        <w:trPr>
          <w:trHeight w:val="431"/>
          <w:jc w:val="center"/>
        </w:trPr>
        <w:tc>
          <w:tcPr>
            <w:tcW w:w="2605" w:type="dxa"/>
          </w:tcPr>
          <w:p w14:paraId="12A56A1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570" w:type="dxa"/>
          </w:tcPr>
          <w:p w14:paraId="6EE4853E" w14:textId="77777777" w:rsidR="002F635D" w:rsidRPr="0024114A" w:rsidRDefault="002F635D" w:rsidP="002D6DD7">
            <w:pPr>
              <w:tabs>
                <w:tab w:val="left" w:pos="3960"/>
              </w:tabs>
              <w:jc w:val="both"/>
              <w:rPr>
                <w:rFonts w:cs="Times New Roman"/>
                <w:color w:val="000000" w:themeColor="text1"/>
                <w:szCs w:val="24"/>
                <w:lang w:val="en-US"/>
              </w:rPr>
            </w:pPr>
            <w:r w:rsidRPr="0024114A">
              <w:rPr>
                <w:rFonts w:cs="Times New Roman"/>
                <w:color w:val="000000" w:themeColor="text1"/>
                <w:szCs w:val="24"/>
                <w:shd w:val="clear" w:color="auto" w:fill="FFFFFF"/>
                <w:lang w:val="en-US"/>
              </w:rPr>
              <w:t>Hypersensitivity to the drug, acute porphyrias</w:t>
            </w:r>
          </w:p>
        </w:tc>
      </w:tr>
      <w:tr w:rsidR="002F635D" w:rsidRPr="0024114A" w14:paraId="0EB36FDE" w14:textId="77777777" w:rsidTr="002D6DD7">
        <w:trPr>
          <w:trHeight w:val="440"/>
          <w:jc w:val="center"/>
        </w:trPr>
        <w:tc>
          <w:tcPr>
            <w:tcW w:w="2605" w:type="dxa"/>
          </w:tcPr>
          <w:p w14:paraId="412EDF1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Drug interactions</w:t>
            </w:r>
          </w:p>
        </w:tc>
        <w:tc>
          <w:tcPr>
            <w:tcW w:w="6570" w:type="dxa"/>
          </w:tcPr>
          <w:p w14:paraId="3E3191CE" w14:textId="77777777" w:rsidR="002F635D" w:rsidRPr="0024114A" w:rsidRDefault="002F635D" w:rsidP="002D6DD7">
            <w:pPr>
              <w:tabs>
                <w:tab w:val="left" w:pos="3960"/>
              </w:tabs>
              <w:jc w:val="both"/>
              <w:rPr>
                <w:rFonts w:cs="Times New Roman"/>
                <w:color w:val="000000" w:themeColor="text1"/>
                <w:szCs w:val="24"/>
                <w:lang w:val="en-US"/>
              </w:rPr>
            </w:pPr>
            <w:r w:rsidRPr="0024114A">
              <w:rPr>
                <w:rFonts w:cs="Times New Roman"/>
                <w:color w:val="000000" w:themeColor="text1"/>
                <w:szCs w:val="24"/>
                <w:lang w:val="en-US"/>
              </w:rPr>
              <w:t>Ethanol</w:t>
            </w:r>
          </w:p>
        </w:tc>
      </w:tr>
      <w:tr w:rsidR="002F635D" w:rsidRPr="0024114A" w14:paraId="1845561F" w14:textId="77777777" w:rsidTr="002D6DD7">
        <w:trPr>
          <w:trHeight w:val="863"/>
          <w:jc w:val="center"/>
        </w:trPr>
        <w:tc>
          <w:tcPr>
            <w:tcW w:w="2605" w:type="dxa"/>
          </w:tcPr>
          <w:p w14:paraId="14D75DE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70" w:type="dxa"/>
          </w:tcPr>
          <w:p w14:paraId="253B5BD7" w14:textId="77777777" w:rsidR="002F635D" w:rsidRPr="0024114A" w:rsidRDefault="002F635D" w:rsidP="002D6DD7">
            <w:pPr>
              <w:tabs>
                <w:tab w:val="left" w:pos="3960"/>
              </w:tabs>
              <w:jc w:val="both"/>
              <w:rPr>
                <w:rFonts w:cs="Times New Roman"/>
                <w:color w:val="000000" w:themeColor="text1"/>
                <w:szCs w:val="24"/>
                <w:lang w:val="en-US"/>
              </w:rPr>
            </w:pPr>
            <w:r w:rsidRPr="0024114A">
              <w:rPr>
                <w:rFonts w:cs="Times New Roman"/>
                <w:color w:val="000000" w:themeColor="text1"/>
                <w:szCs w:val="24"/>
                <w:lang w:val="en-US"/>
              </w:rPr>
              <w:t>For cream and shampoo:  itching, stinging, or irritation</w:t>
            </w:r>
          </w:p>
          <w:p w14:paraId="713EFB8D" w14:textId="77777777" w:rsidR="002F635D" w:rsidRPr="0024114A" w:rsidRDefault="002F635D" w:rsidP="002D6DD7">
            <w:pPr>
              <w:tabs>
                <w:tab w:val="left" w:pos="3960"/>
              </w:tabs>
              <w:jc w:val="both"/>
              <w:rPr>
                <w:rFonts w:cs="Times New Roman"/>
                <w:color w:val="000000" w:themeColor="text1"/>
                <w:szCs w:val="24"/>
                <w:lang w:val="en-US"/>
              </w:rPr>
            </w:pPr>
            <w:r w:rsidRPr="0024114A">
              <w:rPr>
                <w:rFonts w:cs="Times New Roman"/>
                <w:color w:val="000000" w:themeColor="text1"/>
                <w:szCs w:val="24"/>
                <w:lang w:val="en-US"/>
              </w:rPr>
              <w:t>For cream: contact dermatitis.</w:t>
            </w:r>
          </w:p>
        </w:tc>
      </w:tr>
      <w:tr w:rsidR="002F635D" w:rsidRPr="0024114A" w14:paraId="45222F08" w14:textId="77777777" w:rsidTr="002D6DD7">
        <w:trPr>
          <w:trHeight w:val="377"/>
          <w:jc w:val="center"/>
        </w:trPr>
        <w:tc>
          <w:tcPr>
            <w:tcW w:w="2605" w:type="dxa"/>
          </w:tcPr>
          <w:p w14:paraId="3705AD8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70" w:type="dxa"/>
          </w:tcPr>
          <w:p w14:paraId="6FDE7B0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Pregnancy and lactation, contact with eyes and mucus membrane.</w:t>
            </w:r>
          </w:p>
        </w:tc>
      </w:tr>
      <w:tr w:rsidR="002F635D" w:rsidRPr="0024114A" w14:paraId="41672B6D" w14:textId="77777777" w:rsidTr="002D6DD7">
        <w:trPr>
          <w:trHeight w:val="436"/>
          <w:jc w:val="center"/>
        </w:trPr>
        <w:tc>
          <w:tcPr>
            <w:tcW w:w="2605" w:type="dxa"/>
          </w:tcPr>
          <w:p w14:paraId="4B73130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70" w:type="dxa"/>
          </w:tcPr>
          <w:p w14:paraId="18AD0A0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63A80DE6" w14:textId="77777777" w:rsidTr="002D6DD7">
        <w:trPr>
          <w:trHeight w:val="436"/>
          <w:jc w:val="center"/>
        </w:trPr>
        <w:tc>
          <w:tcPr>
            <w:tcW w:w="9175" w:type="dxa"/>
            <w:gridSpan w:val="2"/>
          </w:tcPr>
          <w:p w14:paraId="2DF9CFDD"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Miconazole</w:t>
            </w:r>
          </w:p>
        </w:tc>
      </w:tr>
      <w:tr w:rsidR="002F635D" w:rsidRPr="0024114A" w14:paraId="2F44E426" w14:textId="77777777" w:rsidTr="002D6DD7">
        <w:trPr>
          <w:trHeight w:val="423"/>
          <w:jc w:val="center"/>
        </w:trPr>
        <w:tc>
          <w:tcPr>
            <w:tcW w:w="2605" w:type="dxa"/>
          </w:tcPr>
          <w:p w14:paraId="412A2EB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70" w:type="dxa"/>
          </w:tcPr>
          <w:p w14:paraId="0A4FB7A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antifungal</w:t>
            </w:r>
          </w:p>
        </w:tc>
      </w:tr>
      <w:tr w:rsidR="002F635D" w:rsidRPr="0024114A" w14:paraId="4229327C" w14:textId="77777777" w:rsidTr="002D6DD7">
        <w:trPr>
          <w:trHeight w:val="863"/>
          <w:jc w:val="center"/>
        </w:trPr>
        <w:tc>
          <w:tcPr>
            <w:tcW w:w="2605" w:type="dxa"/>
          </w:tcPr>
          <w:p w14:paraId="00F149E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70" w:type="dxa"/>
          </w:tcPr>
          <w:p w14:paraId="43AD741E"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Cream: 2%</w:t>
            </w:r>
          </w:p>
          <w:p w14:paraId="704C8221"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2%</w:t>
            </w:r>
          </w:p>
        </w:tc>
      </w:tr>
      <w:tr w:rsidR="002F635D" w:rsidRPr="0024114A" w14:paraId="07351B7C" w14:textId="77777777" w:rsidTr="002D6DD7">
        <w:trPr>
          <w:trHeight w:val="436"/>
          <w:jc w:val="center"/>
        </w:trPr>
        <w:tc>
          <w:tcPr>
            <w:tcW w:w="2605" w:type="dxa"/>
          </w:tcPr>
          <w:p w14:paraId="41829AAF"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570" w:type="dxa"/>
          </w:tcPr>
          <w:p w14:paraId="4A750B0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Fungal skin and nail infections, vulvovaginal candidiasis.</w:t>
            </w:r>
          </w:p>
        </w:tc>
      </w:tr>
      <w:tr w:rsidR="002F635D" w:rsidRPr="0024114A" w14:paraId="358BE5A4" w14:textId="77777777" w:rsidTr="002D6DD7">
        <w:trPr>
          <w:trHeight w:val="90"/>
          <w:jc w:val="center"/>
        </w:trPr>
        <w:tc>
          <w:tcPr>
            <w:tcW w:w="2605" w:type="dxa"/>
          </w:tcPr>
          <w:p w14:paraId="1B6C14E7"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70" w:type="dxa"/>
          </w:tcPr>
          <w:p w14:paraId="1C6AA5E1"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skin infections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426A78E9"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Apply twice daily continuing for 10 days after lesions have healed.</w:t>
            </w:r>
          </w:p>
          <w:p w14:paraId="09AD6A20"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nail infections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Apply 1–2 times a day</w:t>
            </w:r>
          </w:p>
          <w:p w14:paraId="5CCCFB2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Vulvovaginal candidiasis</w:t>
            </w:r>
            <w:r w:rsidRPr="0024114A">
              <w:rPr>
                <w:rFonts w:cs="Times New Roman"/>
                <w:color w:val="000000" w:themeColor="text1"/>
                <w:szCs w:val="24"/>
                <w:lang w:val="en-US"/>
              </w:rPr>
              <w:t>, to the vagina:</w:t>
            </w:r>
          </w:p>
          <w:p w14:paraId="3ECCFE56"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Insert 1 applicatorfulcream (~ 5g) once daily at bedtime for 7 days.</w:t>
            </w:r>
          </w:p>
          <w:p w14:paraId="5945EEED"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skin infections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6AEBD116"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Child</w:t>
            </w:r>
            <w:r w:rsidRPr="0024114A">
              <w:rPr>
                <w:rFonts w:cs="Times New Roman"/>
                <w:color w:val="000000" w:themeColor="text1"/>
                <w:szCs w:val="24"/>
                <w:lang w:val="en-US"/>
              </w:rPr>
              <w:t>: Apply twice daily continuing for 10 days after lesions have healed</w:t>
            </w:r>
          </w:p>
          <w:p w14:paraId="73C134C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Fungal nail infections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56126C7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Child</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Apply 1–2 times a day</w:t>
            </w:r>
          </w:p>
          <w:p w14:paraId="1BD7F7A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Vulvovaginal candidiasis</w:t>
            </w:r>
            <w:r w:rsidRPr="0024114A">
              <w:rPr>
                <w:rFonts w:cs="Times New Roman"/>
                <w:color w:val="000000" w:themeColor="text1"/>
                <w:szCs w:val="24"/>
                <w:lang w:val="en-US"/>
              </w:rPr>
              <w:t>, to the vagina:</w:t>
            </w:r>
          </w:p>
          <w:p w14:paraId="4744CD7C"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Child</w:t>
            </w:r>
            <w:r w:rsidRPr="0024114A">
              <w:rPr>
                <w:rFonts w:cs="Times New Roman"/>
                <w:color w:val="000000" w:themeColor="text1"/>
                <w:szCs w:val="24"/>
                <w:lang w:val="en-US"/>
              </w:rPr>
              <w:t>:</w:t>
            </w:r>
            <w:r w:rsidR="00540ACE">
              <w:rPr>
                <w:rFonts w:cs="Times New Roman"/>
                <w:color w:val="000000" w:themeColor="text1"/>
                <w:szCs w:val="24"/>
                <w:lang w:val="en-US"/>
              </w:rPr>
              <w:t xml:space="preserve"> </w:t>
            </w:r>
            <w:r w:rsidRPr="0024114A">
              <w:rPr>
                <w:rFonts w:cs="Times New Roman"/>
                <w:color w:val="000000" w:themeColor="text1"/>
                <w:szCs w:val="24"/>
                <w:lang w:val="en-US"/>
              </w:rPr>
              <w:t>Insert 1 applicatorful cream (~ 100 mg) once daily at bedtime for 7 days.</w:t>
            </w:r>
          </w:p>
        </w:tc>
      </w:tr>
      <w:tr w:rsidR="002F635D" w:rsidRPr="0024114A" w14:paraId="1039B4F4" w14:textId="77777777" w:rsidTr="002D6DD7">
        <w:trPr>
          <w:trHeight w:val="269"/>
          <w:jc w:val="center"/>
        </w:trPr>
        <w:tc>
          <w:tcPr>
            <w:tcW w:w="2605" w:type="dxa"/>
          </w:tcPr>
          <w:p w14:paraId="52F5850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570" w:type="dxa"/>
          </w:tcPr>
          <w:p w14:paraId="2FFCCC6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children less than 2 years.</w:t>
            </w:r>
          </w:p>
        </w:tc>
      </w:tr>
      <w:tr w:rsidR="002F635D" w:rsidRPr="0024114A" w14:paraId="036598C9" w14:textId="77777777" w:rsidTr="002D6DD7">
        <w:trPr>
          <w:trHeight w:val="436"/>
          <w:jc w:val="center"/>
        </w:trPr>
        <w:tc>
          <w:tcPr>
            <w:tcW w:w="2605" w:type="dxa"/>
          </w:tcPr>
          <w:p w14:paraId="10DFB6F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70" w:type="dxa"/>
          </w:tcPr>
          <w:p w14:paraId="717A7EF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Warfarin, progesterone </w:t>
            </w:r>
          </w:p>
        </w:tc>
      </w:tr>
      <w:tr w:rsidR="002F635D" w:rsidRPr="0024114A" w14:paraId="0BA2CA4C" w14:textId="77777777" w:rsidTr="002D6DD7">
        <w:trPr>
          <w:trHeight w:val="436"/>
          <w:jc w:val="center"/>
        </w:trPr>
        <w:tc>
          <w:tcPr>
            <w:tcW w:w="2605" w:type="dxa"/>
          </w:tcPr>
          <w:p w14:paraId="6BA2FC6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70" w:type="dxa"/>
          </w:tcPr>
          <w:p w14:paraId="66BA141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Occasional local irritation and burning, contact dermatitis</w:t>
            </w:r>
          </w:p>
        </w:tc>
      </w:tr>
      <w:tr w:rsidR="002F635D" w:rsidRPr="0024114A" w14:paraId="7BD36EA5" w14:textId="77777777" w:rsidTr="002D6DD7">
        <w:trPr>
          <w:trHeight w:val="755"/>
          <w:jc w:val="center"/>
        </w:trPr>
        <w:tc>
          <w:tcPr>
            <w:tcW w:w="2605" w:type="dxa"/>
          </w:tcPr>
          <w:p w14:paraId="7F3781B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70" w:type="dxa"/>
          </w:tcPr>
          <w:p w14:paraId="0F77A3CB"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Acute porphyrias, contact with eyes and mucous membranes, pregnancy, breastfeeding </w:t>
            </w:r>
          </w:p>
        </w:tc>
      </w:tr>
      <w:tr w:rsidR="002F635D" w:rsidRPr="0024114A" w14:paraId="4CD394E4" w14:textId="77777777" w:rsidTr="002D6DD7">
        <w:trPr>
          <w:trHeight w:val="436"/>
          <w:jc w:val="center"/>
        </w:trPr>
        <w:tc>
          <w:tcPr>
            <w:tcW w:w="2605" w:type="dxa"/>
          </w:tcPr>
          <w:p w14:paraId="7948B03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Storage condition</w:t>
            </w:r>
          </w:p>
        </w:tc>
        <w:tc>
          <w:tcPr>
            <w:tcW w:w="6570" w:type="dxa"/>
          </w:tcPr>
          <w:p w14:paraId="749D2CFB"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shd w:val="clear" w:color="auto" w:fill="FFFFFF"/>
                <w:lang w:val="en-US"/>
              </w:rPr>
              <w:t>Store below 30 °C. Protect from heat, moisture, and light.</w:t>
            </w:r>
          </w:p>
        </w:tc>
      </w:tr>
      <w:tr w:rsidR="002F635D" w:rsidRPr="0024114A" w14:paraId="67952108" w14:textId="77777777" w:rsidTr="002D6DD7">
        <w:trPr>
          <w:trHeight w:val="283"/>
          <w:jc w:val="center"/>
        </w:trPr>
        <w:tc>
          <w:tcPr>
            <w:tcW w:w="9175" w:type="dxa"/>
            <w:gridSpan w:val="2"/>
          </w:tcPr>
          <w:p w14:paraId="6C03C478"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fr-FR"/>
              </w:rPr>
              <w:t>Terbinafinehydrochloride</w:t>
            </w:r>
          </w:p>
        </w:tc>
      </w:tr>
      <w:tr w:rsidR="002F635D" w:rsidRPr="0024114A" w14:paraId="3165A66C" w14:textId="77777777" w:rsidTr="002D6DD7">
        <w:trPr>
          <w:trHeight w:val="90"/>
          <w:jc w:val="center"/>
        </w:trPr>
        <w:tc>
          <w:tcPr>
            <w:tcW w:w="2605" w:type="dxa"/>
          </w:tcPr>
          <w:p w14:paraId="5F21306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570" w:type="dxa"/>
          </w:tcPr>
          <w:p w14:paraId="174AF35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Antifungal</w:t>
            </w:r>
          </w:p>
        </w:tc>
      </w:tr>
      <w:tr w:rsidR="002F635D" w:rsidRPr="0024114A" w14:paraId="1BC63724" w14:textId="77777777" w:rsidTr="002D6DD7">
        <w:trPr>
          <w:trHeight w:val="1036"/>
          <w:jc w:val="center"/>
        </w:trPr>
        <w:tc>
          <w:tcPr>
            <w:tcW w:w="2605" w:type="dxa"/>
          </w:tcPr>
          <w:p w14:paraId="23AE4CF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570" w:type="dxa"/>
          </w:tcPr>
          <w:p w14:paraId="70CB370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Tablet: 250mg</w:t>
            </w:r>
          </w:p>
          <w:p w14:paraId="3F0B1A8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1%</w:t>
            </w:r>
          </w:p>
          <w:p w14:paraId="28067BC0" w14:textId="77777777" w:rsidR="002F635D" w:rsidRPr="0024114A" w:rsidRDefault="002F635D" w:rsidP="002D6DD7">
            <w:pPr>
              <w:jc w:val="both"/>
              <w:rPr>
                <w:rFonts w:eastAsiaTheme="minorHAnsi" w:cs="Times New Roman"/>
                <w:color w:val="000000" w:themeColor="text1"/>
                <w:szCs w:val="24"/>
                <w:lang w:val="en-US" w:eastAsia="en-US"/>
              </w:rPr>
            </w:pPr>
            <w:r w:rsidRPr="0024114A">
              <w:rPr>
                <w:rFonts w:cs="Times New Roman"/>
                <w:color w:val="000000" w:themeColor="text1"/>
                <w:szCs w:val="24"/>
                <w:lang w:val="en-US"/>
              </w:rPr>
              <w:t>Ointment 1%</w:t>
            </w:r>
          </w:p>
        </w:tc>
      </w:tr>
      <w:tr w:rsidR="002F635D" w:rsidRPr="0024114A" w14:paraId="2099AD16" w14:textId="77777777" w:rsidTr="002D6DD7">
        <w:trPr>
          <w:trHeight w:val="791"/>
          <w:jc w:val="center"/>
        </w:trPr>
        <w:tc>
          <w:tcPr>
            <w:tcW w:w="2605" w:type="dxa"/>
          </w:tcPr>
          <w:p w14:paraId="1E3E1102" w14:textId="77777777" w:rsidR="002F635D" w:rsidRPr="0024114A" w:rsidRDefault="002F635D" w:rsidP="002D6DD7">
            <w:pPr>
              <w:tabs>
                <w:tab w:val="left" w:pos="1534"/>
              </w:tabs>
              <w:jc w:val="both"/>
              <w:rPr>
                <w:rFonts w:cs="Times New Roman"/>
                <w:color w:val="000000" w:themeColor="text1"/>
                <w:szCs w:val="24"/>
                <w:lang w:val="en-US"/>
              </w:rPr>
            </w:pPr>
            <w:r w:rsidRPr="0024114A">
              <w:rPr>
                <w:rFonts w:cs="Times New Roman"/>
                <w:color w:val="000000" w:themeColor="text1"/>
                <w:szCs w:val="24"/>
                <w:lang w:val="en-US"/>
              </w:rPr>
              <w:t>Indications</w:t>
            </w:r>
            <w:r w:rsidRPr="0024114A">
              <w:rPr>
                <w:rFonts w:cs="Times New Roman"/>
                <w:color w:val="000000" w:themeColor="text1"/>
                <w:szCs w:val="24"/>
                <w:lang w:val="en-US"/>
              </w:rPr>
              <w:tab/>
            </w:r>
          </w:p>
        </w:tc>
        <w:tc>
          <w:tcPr>
            <w:tcW w:w="6570" w:type="dxa"/>
          </w:tcPr>
          <w:p w14:paraId="4E1F44A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Dermatophyte infections of the nails, ringworm infections including </w:t>
            </w:r>
            <w:r w:rsidRPr="0024114A">
              <w:rPr>
                <w:rFonts w:cs="Times New Roman"/>
                <w:i/>
                <w:iCs/>
                <w:color w:val="000000" w:themeColor="text1"/>
                <w:szCs w:val="24"/>
                <w:lang w:val="en-US"/>
              </w:rPr>
              <w:t>Tinea pedis, cruris</w:t>
            </w:r>
            <w:r w:rsidRPr="0024114A">
              <w:rPr>
                <w:rFonts w:cs="Times New Roman"/>
                <w:color w:val="000000" w:themeColor="text1"/>
                <w:szCs w:val="24"/>
                <w:lang w:val="en-US"/>
              </w:rPr>
              <w:t xml:space="preserve">, and </w:t>
            </w:r>
            <w:r w:rsidRPr="0024114A">
              <w:rPr>
                <w:rFonts w:cs="Times New Roman"/>
                <w:i/>
                <w:iCs/>
                <w:color w:val="000000" w:themeColor="text1"/>
                <w:szCs w:val="24"/>
                <w:lang w:val="en-US"/>
              </w:rPr>
              <w:t>corporis</w:t>
            </w:r>
          </w:p>
        </w:tc>
      </w:tr>
      <w:tr w:rsidR="002F635D" w:rsidRPr="0024114A" w14:paraId="17304BFE" w14:textId="77777777" w:rsidTr="002D6DD7">
        <w:trPr>
          <w:trHeight w:val="1520"/>
          <w:jc w:val="center"/>
        </w:trPr>
        <w:tc>
          <w:tcPr>
            <w:tcW w:w="2605" w:type="dxa"/>
          </w:tcPr>
          <w:p w14:paraId="4291E67B"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570" w:type="dxa"/>
          </w:tcPr>
          <w:p w14:paraId="7243CD14"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i/>
                <w:iCs/>
                <w:color w:val="000000" w:themeColor="text1"/>
                <w:szCs w:val="24"/>
                <w:lang w:val="en-US"/>
              </w:rPr>
              <w:t>Tinea pedis</w:t>
            </w:r>
            <w:r w:rsidRPr="0024114A">
              <w:rPr>
                <w:rFonts w:cs="Times New Roman"/>
                <w:b/>
                <w:color w:val="000000" w:themeColor="text1"/>
                <w:szCs w:val="24"/>
                <w:lang w:val="en-US"/>
              </w:rPr>
              <w:t>, topical:</w:t>
            </w:r>
          </w:p>
          <w:p w14:paraId="2E1F74A6"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Apply to affected area twice daily until significant clinical improvement (no more than 4 weeks).</w:t>
            </w:r>
          </w:p>
          <w:p w14:paraId="07CACBDD"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i/>
                <w:iCs/>
                <w:color w:val="000000" w:themeColor="text1"/>
                <w:szCs w:val="24"/>
                <w:lang w:val="en-US"/>
              </w:rPr>
              <w:t>Tinea corporis</w:t>
            </w:r>
            <w:r w:rsidRPr="0024114A">
              <w:rPr>
                <w:rFonts w:cs="Times New Roman"/>
                <w:color w:val="000000" w:themeColor="text1"/>
                <w:szCs w:val="24"/>
                <w:lang w:val="en-US"/>
              </w:rPr>
              <w:t>&amp; cruris: Apply once a day for 1 week (no more than 4 weeks).</w:t>
            </w:r>
          </w:p>
          <w:p w14:paraId="09FBA2AC"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i/>
                <w:iCs/>
                <w:color w:val="000000" w:themeColor="text1"/>
                <w:szCs w:val="24"/>
                <w:lang w:val="en-US"/>
              </w:rPr>
              <w:t>Tinea pedis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159C5B9B"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rPr>
              <w:t>Apply 1–2 times a day for up to 1 week, to be applied thinly</w:t>
            </w:r>
          </w:p>
          <w:p w14:paraId="2A7308D9" w14:textId="77777777" w:rsidR="002F635D" w:rsidRPr="0024114A" w:rsidRDefault="002F635D" w:rsidP="002D6DD7">
            <w:pPr>
              <w:pStyle w:val="ListParagraph"/>
              <w:widowControl/>
              <w:adjustRightInd w:val="0"/>
              <w:spacing w:line="360" w:lineRule="auto"/>
              <w:ind w:left="0" w:firstLine="0"/>
              <w:contextualSpacing/>
              <w:rPr>
                <w:color w:val="000000" w:themeColor="text1"/>
                <w:szCs w:val="24"/>
              </w:rPr>
            </w:pPr>
            <w:r w:rsidRPr="00173A78">
              <w:rPr>
                <w:color w:val="000000" w:themeColor="text1"/>
                <w:szCs w:val="24"/>
              </w:rPr>
              <w:t>Oral:</w:t>
            </w:r>
            <w:r w:rsidRPr="0024114A">
              <w:rPr>
                <w:color w:val="000000" w:themeColor="text1"/>
                <w:szCs w:val="24"/>
              </w:rPr>
              <w:t xml:space="preserve"> 250 mg once daily for 2-6 weeks</w:t>
            </w:r>
          </w:p>
          <w:p w14:paraId="1A2747D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i/>
                <w:iCs/>
                <w:color w:val="000000" w:themeColor="text1"/>
                <w:szCs w:val="24"/>
                <w:lang w:val="en-US"/>
              </w:rPr>
              <w:t>Tinea corporis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6FFD0416"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00173A78">
              <w:rPr>
                <w:rFonts w:cs="Times New Roman"/>
                <w:b/>
                <w:bCs/>
                <w:color w:val="000000" w:themeColor="text1"/>
                <w:szCs w:val="24"/>
                <w:lang w:val="en-US"/>
              </w:rPr>
              <w:t xml:space="preserve"> </w:t>
            </w:r>
            <w:r w:rsidRPr="0024114A">
              <w:rPr>
                <w:rFonts w:cs="Times New Roman"/>
                <w:color w:val="000000" w:themeColor="text1"/>
                <w:szCs w:val="24"/>
              </w:rPr>
              <w:t>Apply 1–2 times a day for up to 1–2 weeks, to be applied thinly, review treatment after 2 weeks</w:t>
            </w:r>
          </w:p>
          <w:p w14:paraId="5892A42C" w14:textId="77777777" w:rsidR="002F635D" w:rsidRPr="0024114A" w:rsidRDefault="002F635D" w:rsidP="002D6DD7">
            <w:pPr>
              <w:pStyle w:val="ListParagraph"/>
              <w:widowControl/>
              <w:adjustRightInd w:val="0"/>
              <w:spacing w:line="360" w:lineRule="auto"/>
              <w:ind w:left="0" w:firstLine="0"/>
              <w:contextualSpacing/>
              <w:rPr>
                <w:color w:val="000000" w:themeColor="text1"/>
                <w:szCs w:val="24"/>
              </w:rPr>
            </w:pPr>
            <w:r w:rsidRPr="00173A78">
              <w:rPr>
                <w:color w:val="000000" w:themeColor="text1"/>
                <w:szCs w:val="24"/>
              </w:rPr>
              <w:t>Oral:</w:t>
            </w:r>
            <w:r w:rsidRPr="0024114A">
              <w:rPr>
                <w:color w:val="000000" w:themeColor="text1"/>
                <w:szCs w:val="24"/>
              </w:rPr>
              <w:t xml:space="preserve"> 250 mg once daily for 4 weeks</w:t>
            </w:r>
          </w:p>
          <w:p w14:paraId="0CB1004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i/>
                <w:iCs/>
                <w:color w:val="000000" w:themeColor="text1"/>
                <w:szCs w:val="24"/>
                <w:lang w:val="en-US"/>
              </w:rPr>
              <w:t>Tinea cruris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7D648AE4"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rPr>
              <w:t>Apply 1–2 times a day for up to 1–2 weeks, to be applied thinly, review treatment after 2 weeks</w:t>
            </w:r>
          </w:p>
          <w:p w14:paraId="15314AA3" w14:textId="77777777" w:rsidR="002F635D" w:rsidRPr="0024114A" w:rsidRDefault="002F635D" w:rsidP="002D6DD7">
            <w:pPr>
              <w:autoSpaceDE w:val="0"/>
              <w:autoSpaceDN w:val="0"/>
              <w:adjustRightInd w:val="0"/>
              <w:jc w:val="both"/>
              <w:rPr>
                <w:rFonts w:cs="Times New Roman"/>
                <w:color w:val="000000" w:themeColor="text1"/>
                <w:szCs w:val="24"/>
              </w:rPr>
            </w:pPr>
            <w:r w:rsidRPr="00173A78">
              <w:rPr>
                <w:rFonts w:cs="Times New Roman"/>
                <w:color w:val="000000" w:themeColor="text1"/>
                <w:szCs w:val="24"/>
                <w:lang w:val="en-US"/>
              </w:rPr>
              <w:t>Oral:</w:t>
            </w:r>
            <w:r w:rsidRPr="0024114A">
              <w:rPr>
                <w:rFonts w:cs="Times New Roman"/>
                <w:color w:val="000000" w:themeColor="text1"/>
                <w:szCs w:val="24"/>
                <w:lang w:val="en-US"/>
              </w:rPr>
              <w:t xml:space="preserve"> </w:t>
            </w:r>
            <w:r w:rsidRPr="0024114A">
              <w:rPr>
                <w:rFonts w:cs="Times New Roman"/>
                <w:color w:val="000000" w:themeColor="text1"/>
                <w:szCs w:val="24"/>
              </w:rPr>
              <w:t>250 mg once daily for 2-4 weeks</w:t>
            </w:r>
          </w:p>
          <w:p w14:paraId="1F0901CB"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Dermatophyte infections of the nails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37969386"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rPr>
              <w:t>250 mg once daily for 6 weeks-3 months (occasionally longer in toenail infections)</w:t>
            </w:r>
          </w:p>
          <w:p w14:paraId="26A6602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Cutaneous candidiasis, pityriasis versicolor</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57C3CE9F"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rPr>
              <w:t>Apply 1–2 times a day for 2 weeks, to be applied thinly, review treatment after 2 weeks</w:t>
            </w:r>
          </w:p>
          <w:p w14:paraId="0DDA9FC7" w14:textId="77777777" w:rsidR="002F635D" w:rsidRPr="0024114A" w:rsidRDefault="002F635D" w:rsidP="002D6DD7">
            <w:pPr>
              <w:autoSpaceDE w:val="0"/>
              <w:autoSpaceDN w:val="0"/>
              <w:adjustRightInd w:val="0"/>
              <w:jc w:val="both"/>
              <w:rPr>
                <w:rFonts w:eastAsia="Times New Roman" w:cs="Times New Roman"/>
                <w:color w:val="000000" w:themeColor="text1"/>
                <w:kern w:val="0"/>
                <w:szCs w:val="24"/>
                <w:lang w:val="en-US" w:eastAsia="en-US"/>
              </w:rPr>
            </w:pPr>
            <w:r w:rsidRPr="0024114A">
              <w:rPr>
                <w:rFonts w:cs="Times New Roman"/>
                <w:b/>
                <w:bCs/>
                <w:color w:val="000000" w:themeColor="text1"/>
                <w:szCs w:val="24"/>
                <w:lang w:val="en-US"/>
              </w:rPr>
              <w:lastRenderedPageBreak/>
              <w:t xml:space="preserve">Tinea capitis, </w:t>
            </w:r>
            <w:r w:rsidRPr="0024114A">
              <w:rPr>
                <w:rFonts w:cs="Times New Roman"/>
                <w:b/>
                <w:color w:val="000000" w:themeColor="text1"/>
                <w:szCs w:val="24"/>
                <w:lang w:val="en-US"/>
              </w:rPr>
              <w:t>for child o</w:t>
            </w:r>
            <w:r w:rsidRPr="0024114A">
              <w:rPr>
                <w:rFonts w:cs="Times New Roman"/>
                <w:b/>
                <w:color w:val="000000" w:themeColor="text1"/>
                <w:szCs w:val="24"/>
              </w:rPr>
              <w:t>ver 1 year, body weight 10–20 kg</w:t>
            </w:r>
            <w:r w:rsidRPr="0024114A">
              <w:rPr>
                <w:rFonts w:cs="Times New Roman"/>
                <w:color w:val="000000" w:themeColor="text1"/>
                <w:szCs w:val="24"/>
                <w:lang w:val="en-US"/>
              </w:rPr>
              <w:t xml:space="preserve">: </w:t>
            </w:r>
            <w:r w:rsidRPr="0024114A">
              <w:rPr>
                <w:rFonts w:cs="Times New Roman"/>
                <w:color w:val="000000" w:themeColor="text1"/>
                <w:szCs w:val="24"/>
              </w:rPr>
              <w:t>62.5 mg once dail</w:t>
            </w:r>
            <w:r w:rsidRPr="0024114A">
              <w:rPr>
                <w:rFonts w:cs="Times New Roman"/>
                <w:color w:val="000000" w:themeColor="text1"/>
                <w:szCs w:val="24"/>
                <w:lang w:val="en-US"/>
              </w:rPr>
              <w:t>y, bo</w:t>
            </w:r>
            <w:r w:rsidRPr="0024114A">
              <w:rPr>
                <w:rFonts w:cs="Times New Roman"/>
                <w:color w:val="000000" w:themeColor="text1"/>
                <w:szCs w:val="24"/>
              </w:rPr>
              <w:t>dy weight 20–40 kg</w:t>
            </w:r>
            <w:r w:rsidRPr="0024114A">
              <w:rPr>
                <w:rFonts w:cs="Times New Roman"/>
                <w:color w:val="000000" w:themeColor="text1"/>
                <w:szCs w:val="24"/>
                <w:lang w:val="en-US"/>
              </w:rPr>
              <w:t xml:space="preserve">: </w:t>
            </w:r>
            <w:r w:rsidRPr="0024114A">
              <w:rPr>
                <w:rFonts w:cs="Times New Roman"/>
                <w:color w:val="000000" w:themeColor="text1"/>
                <w:szCs w:val="24"/>
              </w:rPr>
              <w:t>125 mg once daily</w:t>
            </w:r>
            <w:r w:rsidRPr="0024114A">
              <w:rPr>
                <w:rFonts w:cs="Times New Roman"/>
                <w:color w:val="000000" w:themeColor="text1"/>
                <w:szCs w:val="24"/>
                <w:lang w:val="en-US"/>
              </w:rPr>
              <w:t>,</w:t>
            </w:r>
            <w:r w:rsidR="00173A78">
              <w:rPr>
                <w:rFonts w:cs="Times New Roman"/>
                <w:color w:val="000000" w:themeColor="text1"/>
                <w:szCs w:val="24"/>
                <w:lang w:val="en-US"/>
              </w:rPr>
              <w:t xml:space="preserve"> </w:t>
            </w:r>
            <w:r w:rsidRPr="0024114A">
              <w:rPr>
                <w:rFonts w:cs="Times New Roman"/>
                <w:color w:val="000000" w:themeColor="text1"/>
                <w:szCs w:val="24"/>
                <w:lang w:val="en-US"/>
              </w:rPr>
              <w:t>bod</w:t>
            </w:r>
            <w:r w:rsidRPr="0024114A">
              <w:rPr>
                <w:rFonts w:cs="Times New Roman"/>
                <w:color w:val="000000" w:themeColor="text1"/>
                <w:szCs w:val="24"/>
              </w:rPr>
              <w:t>y-weight over 40 kg</w:t>
            </w:r>
            <w:r w:rsidRPr="0024114A">
              <w:rPr>
                <w:rFonts w:cs="Times New Roman"/>
                <w:color w:val="000000" w:themeColor="text1"/>
                <w:szCs w:val="24"/>
                <w:lang w:val="en-US"/>
              </w:rPr>
              <w:t xml:space="preserve">: </w:t>
            </w:r>
            <w:r w:rsidRPr="0024114A">
              <w:rPr>
                <w:rFonts w:cs="Times New Roman"/>
                <w:color w:val="000000" w:themeColor="text1"/>
                <w:szCs w:val="24"/>
              </w:rPr>
              <w:t>250 mg once daily usually for 4 weeks</w:t>
            </w:r>
          </w:p>
        </w:tc>
      </w:tr>
      <w:tr w:rsidR="002F635D" w:rsidRPr="0024114A" w14:paraId="4729082B" w14:textId="77777777" w:rsidTr="002D6DD7">
        <w:trPr>
          <w:trHeight w:val="436"/>
          <w:jc w:val="center"/>
        </w:trPr>
        <w:tc>
          <w:tcPr>
            <w:tcW w:w="2605" w:type="dxa"/>
          </w:tcPr>
          <w:p w14:paraId="32E019A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570" w:type="dxa"/>
          </w:tcPr>
          <w:p w14:paraId="5A45E9D9" w14:textId="77777777" w:rsidR="002F635D" w:rsidRPr="0024114A" w:rsidRDefault="002F635D" w:rsidP="002D6DD7">
            <w:pPr>
              <w:pStyle w:val="Default"/>
              <w:spacing w:line="360" w:lineRule="auto"/>
              <w:jc w:val="both"/>
              <w:rPr>
                <w:rFonts w:eastAsiaTheme="minorEastAsia"/>
                <w:color w:val="000000" w:themeColor="text1"/>
                <w:kern w:val="2"/>
                <w:lang w:eastAsia="ko-KR"/>
              </w:rPr>
            </w:pPr>
            <w:r w:rsidRPr="0024114A">
              <w:rPr>
                <w:color w:val="000000" w:themeColor="text1"/>
              </w:rPr>
              <w:t>Hypersesitivity to the drug, severe hepatic or renal impairment</w:t>
            </w:r>
          </w:p>
        </w:tc>
      </w:tr>
      <w:tr w:rsidR="002F635D" w:rsidRPr="0024114A" w14:paraId="217F7A21" w14:textId="77777777" w:rsidTr="002D6DD7">
        <w:trPr>
          <w:trHeight w:val="436"/>
          <w:jc w:val="center"/>
        </w:trPr>
        <w:tc>
          <w:tcPr>
            <w:tcW w:w="2605" w:type="dxa"/>
          </w:tcPr>
          <w:p w14:paraId="0C2B276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570" w:type="dxa"/>
          </w:tcPr>
          <w:p w14:paraId="6E933C5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significant drug interactions</w:t>
            </w:r>
          </w:p>
        </w:tc>
      </w:tr>
      <w:tr w:rsidR="002F635D" w:rsidRPr="0024114A" w14:paraId="43092D4F" w14:textId="77777777" w:rsidTr="002D6DD7">
        <w:trPr>
          <w:trHeight w:val="650"/>
          <w:jc w:val="center"/>
        </w:trPr>
        <w:tc>
          <w:tcPr>
            <w:tcW w:w="2605" w:type="dxa"/>
          </w:tcPr>
          <w:p w14:paraId="327CFC4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570" w:type="dxa"/>
          </w:tcPr>
          <w:p w14:paraId="7FE6599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Burning, contact dermatitis, dryness, exfoliation, irritation, pruritus, rash, stinging.</w:t>
            </w:r>
          </w:p>
        </w:tc>
      </w:tr>
      <w:tr w:rsidR="002F635D" w:rsidRPr="0024114A" w14:paraId="52819613" w14:textId="77777777" w:rsidTr="002D6DD7">
        <w:trPr>
          <w:trHeight w:val="1290"/>
          <w:jc w:val="center"/>
        </w:trPr>
        <w:tc>
          <w:tcPr>
            <w:tcW w:w="2605" w:type="dxa"/>
          </w:tcPr>
          <w:p w14:paraId="521C15F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570" w:type="dxa"/>
          </w:tcPr>
          <w:p w14:paraId="1A83EF5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Patients with psoriasis systemic lupus erythematosus (SLE), contact with eyes and mucous membranes, pregnancy, breastfeeding.</w:t>
            </w:r>
          </w:p>
        </w:tc>
      </w:tr>
      <w:tr w:rsidR="002F635D" w:rsidRPr="0024114A" w14:paraId="706D843B" w14:textId="77777777" w:rsidTr="002D6DD7">
        <w:trPr>
          <w:trHeight w:val="446"/>
          <w:jc w:val="center"/>
        </w:trPr>
        <w:tc>
          <w:tcPr>
            <w:tcW w:w="2605" w:type="dxa"/>
          </w:tcPr>
          <w:p w14:paraId="50673CF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570" w:type="dxa"/>
          </w:tcPr>
          <w:p w14:paraId="239A459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w:t>
            </w:r>
          </w:p>
        </w:tc>
      </w:tr>
    </w:tbl>
    <w:p w14:paraId="3476B05D" w14:textId="77777777" w:rsidR="002F635D" w:rsidRPr="0024114A" w:rsidRDefault="002F635D" w:rsidP="00173A78">
      <w:pPr>
        <w:pStyle w:val="Heading2"/>
        <w:spacing w:before="240" w:after="240"/>
      </w:pPr>
      <w:bookmarkStart w:id="209" w:name="_Toc179490403"/>
      <w:r w:rsidRPr="0024114A">
        <w:t xml:space="preserve">Scabicides and </w:t>
      </w:r>
      <w:r w:rsidR="00173A78">
        <w:t>p</w:t>
      </w:r>
      <w:r w:rsidRPr="0024114A">
        <w:t>ediculicides</w:t>
      </w:r>
      <w:bookmarkEnd w:id="209"/>
    </w:p>
    <w:p w14:paraId="4858AD09" w14:textId="77777777" w:rsidR="002F635D" w:rsidRPr="0024114A" w:rsidRDefault="002F635D" w:rsidP="002F635D">
      <w:pPr>
        <w:pStyle w:val="NormalWeb"/>
        <w:spacing w:before="0" w:beforeAutospacing="0" w:after="0" w:afterAutospacing="0" w:line="360" w:lineRule="auto"/>
        <w:jc w:val="both"/>
      </w:pPr>
      <w:r w:rsidRPr="0024114A">
        <w:rPr>
          <w:rStyle w:val="Strong"/>
          <w:b w:val="0"/>
        </w:rPr>
        <w:t>Scabicides</w:t>
      </w:r>
      <w:r w:rsidRPr="0024114A">
        <w:t>and</w:t>
      </w:r>
      <w:r w:rsidRPr="0024114A">
        <w:rPr>
          <w:rStyle w:val="Strong"/>
          <w:b w:val="0"/>
        </w:rPr>
        <w:t>pediculicides</w:t>
      </w:r>
      <w:r w:rsidRPr="0024114A">
        <w:t xml:space="preserve"> are topical agents used to treat infestations caused by ectoparasites. Scabicides are specifically designed to eliminate scabies, a skin condition caused by the Sarcoptes scabiei mite. Common examples include sulfur and benzyl benzoate, which are applied to the affected areas and typically left on for a specified duration to kill both the mites and their eggs. On the other hand, pediculicides are used to treat lice infestations, including head lice (</w:t>
      </w:r>
      <w:r w:rsidRPr="0024114A">
        <w:rPr>
          <w:i/>
          <w:iCs/>
        </w:rPr>
        <w:t>Pediculus humanus capitis</w:t>
      </w:r>
      <w:r w:rsidRPr="0024114A">
        <w:t>) and body lice (</w:t>
      </w:r>
      <w:r w:rsidRPr="0024114A">
        <w:rPr>
          <w:i/>
          <w:iCs/>
        </w:rPr>
        <w:t>Pediculus humanus corporis</w:t>
      </w:r>
      <w:r w:rsidRPr="0024114A">
        <w:t xml:space="preserve">). Common pediculicides, such as pyrethrins, are applied to the hair and scalp or the body, depending on the type of lice being treated, and work by suffocating the lice or disrupting their nervous systems. </w:t>
      </w:r>
    </w:p>
    <w:p w14:paraId="0CF31687" w14:textId="77777777" w:rsidR="002F635D" w:rsidRPr="0024114A" w:rsidRDefault="002F635D" w:rsidP="002F635D">
      <w:pPr>
        <w:pStyle w:val="NormalWeb"/>
        <w:spacing w:before="0" w:beforeAutospacing="0" w:after="0" w:afterAutospacing="0" w:line="360" w:lineRule="auto"/>
        <w:jc w:val="both"/>
        <w:rPr>
          <w:color w:val="000000" w:themeColor="text1"/>
        </w:rPr>
      </w:pPr>
    </w:p>
    <w:tbl>
      <w:tblPr>
        <w:tblStyle w:val="TableGrid"/>
        <w:tblW w:w="0" w:type="auto"/>
        <w:jc w:val="center"/>
        <w:tblLook w:val="04A0" w:firstRow="1" w:lastRow="0" w:firstColumn="1" w:lastColumn="0" w:noHBand="0" w:noVBand="1"/>
      </w:tblPr>
      <w:tblGrid>
        <w:gridCol w:w="2605"/>
        <w:gridCol w:w="6669"/>
      </w:tblGrid>
      <w:tr w:rsidR="002F635D" w:rsidRPr="0024114A" w14:paraId="0DE5E456" w14:textId="77777777" w:rsidTr="002D6DD7">
        <w:trPr>
          <w:trHeight w:val="451"/>
          <w:jc w:val="center"/>
        </w:trPr>
        <w:tc>
          <w:tcPr>
            <w:tcW w:w="2605" w:type="dxa"/>
          </w:tcPr>
          <w:p w14:paraId="64B3EDDE"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it-IT"/>
              </w:rPr>
              <w:t>Benzyl Benzoate</w:t>
            </w:r>
          </w:p>
        </w:tc>
        <w:tc>
          <w:tcPr>
            <w:tcW w:w="6669" w:type="dxa"/>
          </w:tcPr>
          <w:p w14:paraId="65B939A9" w14:textId="77777777" w:rsidR="002F635D" w:rsidRPr="0024114A" w:rsidRDefault="002F635D" w:rsidP="002D6DD7">
            <w:pPr>
              <w:jc w:val="both"/>
              <w:rPr>
                <w:rFonts w:cs="Times New Roman"/>
                <w:color w:val="000000" w:themeColor="text1"/>
                <w:szCs w:val="24"/>
                <w:lang w:val="en-US"/>
              </w:rPr>
            </w:pPr>
          </w:p>
        </w:tc>
      </w:tr>
      <w:tr w:rsidR="002F635D" w:rsidRPr="0024114A" w14:paraId="58364C73" w14:textId="77777777" w:rsidTr="002D6DD7">
        <w:trPr>
          <w:trHeight w:val="46"/>
          <w:jc w:val="center"/>
        </w:trPr>
        <w:tc>
          <w:tcPr>
            <w:tcW w:w="2605" w:type="dxa"/>
          </w:tcPr>
          <w:p w14:paraId="477565D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69" w:type="dxa"/>
          </w:tcPr>
          <w:p w14:paraId="7DD10EE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Acaricide, ectoparasiticide</w:t>
            </w:r>
          </w:p>
        </w:tc>
      </w:tr>
      <w:tr w:rsidR="002F635D" w:rsidRPr="0024114A" w14:paraId="1E87E46F" w14:textId="77777777" w:rsidTr="002D6DD7">
        <w:trPr>
          <w:trHeight w:val="451"/>
          <w:jc w:val="center"/>
        </w:trPr>
        <w:tc>
          <w:tcPr>
            <w:tcW w:w="2605" w:type="dxa"/>
          </w:tcPr>
          <w:p w14:paraId="361FB40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69" w:type="dxa"/>
          </w:tcPr>
          <w:p w14:paraId="7949C7EE" w14:textId="77777777" w:rsidR="002F635D" w:rsidRPr="0024114A" w:rsidRDefault="002F635D" w:rsidP="002D6DD7">
            <w:pPr>
              <w:pStyle w:val="Default"/>
              <w:spacing w:line="360" w:lineRule="auto"/>
              <w:jc w:val="both"/>
              <w:rPr>
                <w:color w:val="000000" w:themeColor="text1"/>
              </w:rPr>
            </w:pPr>
            <w:r w:rsidRPr="0024114A">
              <w:rPr>
                <w:rFonts w:eastAsia="Times New Roman"/>
                <w:color w:val="000000" w:themeColor="text1"/>
                <w:lang w:val="it-IT"/>
              </w:rPr>
              <w:t>Lotion: 25%</w:t>
            </w:r>
          </w:p>
        </w:tc>
      </w:tr>
      <w:tr w:rsidR="002F635D" w:rsidRPr="0024114A" w14:paraId="1196332E" w14:textId="77777777" w:rsidTr="002D6DD7">
        <w:trPr>
          <w:trHeight w:val="451"/>
          <w:jc w:val="center"/>
        </w:trPr>
        <w:tc>
          <w:tcPr>
            <w:tcW w:w="2605" w:type="dxa"/>
          </w:tcPr>
          <w:p w14:paraId="5E532A3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69" w:type="dxa"/>
          </w:tcPr>
          <w:p w14:paraId="3788AE5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Scabies; head, body and pubic lice.</w:t>
            </w:r>
          </w:p>
        </w:tc>
      </w:tr>
      <w:tr w:rsidR="002F635D" w:rsidRPr="0024114A" w14:paraId="2D87AA85" w14:textId="77777777" w:rsidTr="002D6DD7">
        <w:trPr>
          <w:trHeight w:val="451"/>
          <w:jc w:val="center"/>
        </w:trPr>
        <w:tc>
          <w:tcPr>
            <w:tcW w:w="2605" w:type="dxa"/>
          </w:tcPr>
          <w:p w14:paraId="4A3615D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69" w:type="dxa"/>
          </w:tcPr>
          <w:p w14:paraId="17EFF647" w14:textId="77777777" w:rsidR="00173A78" w:rsidRDefault="002F635D" w:rsidP="002D6DD7">
            <w:pPr>
              <w:pStyle w:val="Default"/>
              <w:spacing w:line="360" w:lineRule="auto"/>
              <w:jc w:val="both"/>
              <w:rPr>
                <w:color w:val="000000" w:themeColor="text1"/>
              </w:rPr>
            </w:pPr>
            <w:r w:rsidRPr="0024114A">
              <w:rPr>
                <w:b/>
                <w:bCs/>
                <w:color w:val="000000" w:themeColor="text1"/>
              </w:rPr>
              <w:t>Scabies</w:t>
            </w:r>
            <w:r w:rsidRPr="0024114A">
              <w:rPr>
                <w:color w:val="000000" w:themeColor="text1"/>
              </w:rPr>
              <w:t xml:space="preserve">: </w:t>
            </w:r>
          </w:p>
          <w:p w14:paraId="6BC7C53A"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 xml:space="preserve">Apply over the whole body; repeat without bathing on the following day and wash off 24 hours later; a third application may </w:t>
            </w:r>
            <w:r w:rsidRPr="0024114A">
              <w:rPr>
                <w:color w:val="000000" w:themeColor="text1"/>
              </w:rPr>
              <w:lastRenderedPageBreak/>
              <w:t xml:space="preserve">be required in some cases. </w:t>
            </w:r>
          </w:p>
          <w:p w14:paraId="69E62E31" w14:textId="77777777" w:rsidR="00173A78" w:rsidRDefault="002F635D" w:rsidP="002D6DD7">
            <w:pPr>
              <w:pStyle w:val="Default"/>
              <w:spacing w:line="360" w:lineRule="auto"/>
              <w:jc w:val="both"/>
              <w:rPr>
                <w:b/>
                <w:bCs/>
                <w:color w:val="000000" w:themeColor="text1"/>
              </w:rPr>
            </w:pPr>
            <w:r w:rsidRPr="0024114A">
              <w:rPr>
                <w:b/>
                <w:bCs/>
                <w:color w:val="000000" w:themeColor="text1"/>
              </w:rPr>
              <w:t xml:space="preserve">Pediculosis </w:t>
            </w:r>
            <w:r w:rsidRPr="0024114A">
              <w:rPr>
                <w:rFonts w:eastAsia="Candara-Italic"/>
                <w:b/>
                <w:bCs/>
                <w:color w:val="000000" w:themeColor="text1"/>
              </w:rPr>
              <w:t>(lice)</w:t>
            </w:r>
            <w:r w:rsidRPr="0024114A">
              <w:rPr>
                <w:b/>
                <w:bCs/>
                <w:color w:val="000000" w:themeColor="text1"/>
              </w:rPr>
              <w:t xml:space="preserve">: </w:t>
            </w:r>
          </w:p>
          <w:p w14:paraId="3E86EBD6"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Adult:</w:t>
            </w:r>
            <w:r w:rsidR="00173A78">
              <w:rPr>
                <w:b/>
                <w:bCs/>
                <w:color w:val="000000" w:themeColor="text1"/>
              </w:rPr>
              <w:t xml:space="preserve"> </w:t>
            </w:r>
            <w:r w:rsidRPr="0024114A">
              <w:rPr>
                <w:color w:val="000000" w:themeColor="text1"/>
              </w:rPr>
              <w:t>Apply to affected area; may be repeated in minutes and wash off 24 hours later; further applications possibly needed after 7 and 14 days.</w:t>
            </w:r>
          </w:p>
          <w:p w14:paraId="5912490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w:t>
            </w:r>
            <w:r w:rsidRPr="0024114A">
              <w:rPr>
                <w:rFonts w:cs="Times New Roman"/>
                <w:color w:val="000000" w:themeColor="text1"/>
                <w:szCs w:val="24"/>
                <w:lang w:val="en-US"/>
              </w:rPr>
              <w:t>: Dilute with an equal amount of water (12.5%), and 1 part with 3 parts of water for infants (6%). Apply over whole body with a brush (except for face and head); repeat without bathing on the following day and wash off 24 hours later. A third application may be needed in some cases.</w:t>
            </w:r>
          </w:p>
        </w:tc>
      </w:tr>
      <w:tr w:rsidR="002F635D" w:rsidRPr="0024114A" w14:paraId="3E337A98" w14:textId="77777777" w:rsidTr="002D6DD7">
        <w:trPr>
          <w:trHeight w:val="451"/>
          <w:jc w:val="center"/>
        </w:trPr>
        <w:tc>
          <w:tcPr>
            <w:tcW w:w="2605" w:type="dxa"/>
          </w:tcPr>
          <w:p w14:paraId="48A56D2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69" w:type="dxa"/>
          </w:tcPr>
          <w:p w14:paraId="0D59844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Hypersensitity to the drug. </w:t>
            </w:r>
          </w:p>
        </w:tc>
      </w:tr>
      <w:tr w:rsidR="002F635D" w:rsidRPr="0024114A" w14:paraId="4CAB173E" w14:textId="77777777" w:rsidTr="002D6DD7">
        <w:trPr>
          <w:trHeight w:val="451"/>
          <w:jc w:val="center"/>
        </w:trPr>
        <w:tc>
          <w:tcPr>
            <w:tcW w:w="2605" w:type="dxa"/>
          </w:tcPr>
          <w:p w14:paraId="57F2EFE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69" w:type="dxa"/>
          </w:tcPr>
          <w:p w14:paraId="1DEA9D8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interactions</w:t>
            </w:r>
          </w:p>
        </w:tc>
      </w:tr>
      <w:tr w:rsidR="002F635D" w:rsidRPr="0024114A" w14:paraId="563103D2" w14:textId="77777777" w:rsidTr="002D6DD7">
        <w:trPr>
          <w:trHeight w:val="894"/>
          <w:jc w:val="center"/>
        </w:trPr>
        <w:tc>
          <w:tcPr>
            <w:tcW w:w="2605" w:type="dxa"/>
          </w:tcPr>
          <w:p w14:paraId="5AA78A6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69" w:type="dxa"/>
          </w:tcPr>
          <w:p w14:paraId="687471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Slight local irritation, transient burning sensation, occasionally rashes. Frequent use causes contact dermatitis</w:t>
            </w:r>
          </w:p>
        </w:tc>
      </w:tr>
      <w:tr w:rsidR="002F635D" w:rsidRPr="0024114A" w14:paraId="0CE3955A" w14:textId="77777777" w:rsidTr="002D6DD7">
        <w:trPr>
          <w:trHeight w:val="836"/>
          <w:jc w:val="center"/>
        </w:trPr>
        <w:tc>
          <w:tcPr>
            <w:tcW w:w="2605" w:type="dxa"/>
          </w:tcPr>
          <w:p w14:paraId="316C6E3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69" w:type="dxa"/>
          </w:tcPr>
          <w:p w14:paraId="27CD5F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face, eyes, mucous membranes, breastfeeding, pregnancy, childrenless than 6 months</w:t>
            </w:r>
          </w:p>
        </w:tc>
      </w:tr>
      <w:tr w:rsidR="002F635D" w:rsidRPr="0024114A" w14:paraId="4C854A31" w14:textId="77777777" w:rsidTr="002D6DD7">
        <w:trPr>
          <w:trHeight w:val="350"/>
          <w:jc w:val="center"/>
        </w:trPr>
        <w:tc>
          <w:tcPr>
            <w:tcW w:w="2605" w:type="dxa"/>
          </w:tcPr>
          <w:p w14:paraId="11E55F0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69" w:type="dxa"/>
          </w:tcPr>
          <w:p w14:paraId="277B9EB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 Prtect from light and heat.</w:t>
            </w:r>
          </w:p>
        </w:tc>
      </w:tr>
      <w:tr w:rsidR="002F635D" w:rsidRPr="0024114A" w14:paraId="25EFEAE3" w14:textId="77777777" w:rsidTr="002D6DD7">
        <w:trPr>
          <w:trHeight w:val="451"/>
          <w:jc w:val="center"/>
        </w:trPr>
        <w:tc>
          <w:tcPr>
            <w:tcW w:w="9274" w:type="dxa"/>
            <w:gridSpan w:val="2"/>
          </w:tcPr>
          <w:p w14:paraId="307C26F9"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 xml:space="preserve">Permethrin </w:t>
            </w:r>
          </w:p>
        </w:tc>
      </w:tr>
      <w:tr w:rsidR="002F635D" w:rsidRPr="0024114A" w14:paraId="762060CA" w14:textId="77777777" w:rsidTr="002D6DD7">
        <w:trPr>
          <w:trHeight w:val="46"/>
          <w:jc w:val="center"/>
        </w:trPr>
        <w:tc>
          <w:tcPr>
            <w:tcW w:w="2605" w:type="dxa"/>
          </w:tcPr>
          <w:p w14:paraId="0012C46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69" w:type="dxa"/>
          </w:tcPr>
          <w:p w14:paraId="6B06921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 Scabicide, pediculicide.</w:t>
            </w:r>
          </w:p>
        </w:tc>
      </w:tr>
      <w:tr w:rsidR="002F635D" w:rsidRPr="0024114A" w14:paraId="241CD567" w14:textId="77777777" w:rsidTr="002D6DD7">
        <w:trPr>
          <w:trHeight w:val="894"/>
          <w:jc w:val="center"/>
        </w:trPr>
        <w:tc>
          <w:tcPr>
            <w:tcW w:w="2605" w:type="dxa"/>
          </w:tcPr>
          <w:p w14:paraId="532E0F6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69" w:type="dxa"/>
          </w:tcPr>
          <w:p w14:paraId="2911E38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5% w/w</w:t>
            </w:r>
          </w:p>
          <w:p w14:paraId="2E523DE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Lotion: 1%</w:t>
            </w:r>
          </w:p>
        </w:tc>
      </w:tr>
      <w:tr w:rsidR="002F635D" w:rsidRPr="0024114A" w14:paraId="5134A915" w14:textId="77777777" w:rsidTr="002D6DD7">
        <w:trPr>
          <w:trHeight w:val="206"/>
          <w:jc w:val="center"/>
        </w:trPr>
        <w:tc>
          <w:tcPr>
            <w:tcW w:w="2605" w:type="dxa"/>
          </w:tcPr>
          <w:p w14:paraId="0133A325"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669" w:type="dxa"/>
          </w:tcPr>
          <w:p w14:paraId="350663E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Scabies, head and crab lice</w:t>
            </w:r>
          </w:p>
        </w:tc>
      </w:tr>
      <w:tr w:rsidR="002F635D" w:rsidRPr="0024114A" w14:paraId="5BBD13F6" w14:textId="77777777" w:rsidTr="002D6DD7">
        <w:trPr>
          <w:trHeight w:val="451"/>
          <w:jc w:val="center"/>
        </w:trPr>
        <w:tc>
          <w:tcPr>
            <w:tcW w:w="2605" w:type="dxa"/>
          </w:tcPr>
          <w:p w14:paraId="6C47672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69" w:type="dxa"/>
          </w:tcPr>
          <w:p w14:paraId="0A4C2CB7" w14:textId="77777777" w:rsidR="002F635D" w:rsidRPr="0024114A" w:rsidRDefault="002F635D" w:rsidP="002D6DD7">
            <w:pPr>
              <w:pStyle w:val="Default"/>
              <w:spacing w:line="360" w:lineRule="auto"/>
              <w:jc w:val="both"/>
              <w:rPr>
                <w:color w:val="000000" w:themeColor="text1"/>
              </w:rPr>
            </w:pPr>
            <w:r w:rsidRPr="0024114A">
              <w:rPr>
                <w:b/>
                <w:bCs/>
                <w:color w:val="000000" w:themeColor="text1"/>
              </w:rPr>
              <w:t>Scabies</w:t>
            </w:r>
            <w:r w:rsidRPr="0024114A">
              <w:rPr>
                <w:color w:val="000000" w:themeColor="text1"/>
              </w:rPr>
              <w:t>:</w:t>
            </w:r>
          </w:p>
          <w:p w14:paraId="275C2626" w14:textId="77777777" w:rsidR="002F635D" w:rsidRPr="0024114A" w:rsidRDefault="002F635D" w:rsidP="002D6DD7">
            <w:pPr>
              <w:pStyle w:val="Default"/>
              <w:spacing w:line="360" w:lineRule="auto"/>
              <w:jc w:val="both"/>
              <w:rPr>
                <w:color w:val="000000" w:themeColor="text1"/>
              </w:rPr>
            </w:pPr>
            <w:r w:rsidRPr="0024114A">
              <w:rPr>
                <w:b/>
                <w:bCs/>
                <w:color w:val="000000" w:themeColor="text1"/>
              </w:rPr>
              <w:t xml:space="preserve">Adult: </w:t>
            </w:r>
            <w:r w:rsidRPr="0024114A">
              <w:rPr>
                <w:color w:val="000000" w:themeColor="text1"/>
              </w:rPr>
              <w:t>Apply once weekly for 2 doses, apply 5% preparation over whole body including face, neck, scalp,</w:t>
            </w:r>
            <w:r w:rsidR="00173A78">
              <w:rPr>
                <w:color w:val="000000" w:themeColor="text1"/>
              </w:rPr>
              <w:t xml:space="preserve"> </w:t>
            </w:r>
            <w:r w:rsidRPr="0024114A">
              <w:rPr>
                <w:color w:val="000000" w:themeColor="text1"/>
              </w:rPr>
              <w:t>and ears. Then wash off after 8–12 hours. If hands arewashed with soap within 8 hours of application, theyshould be treated again with cream</w:t>
            </w:r>
          </w:p>
          <w:p w14:paraId="15304617"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Crab lice, to the skin:</w:t>
            </w:r>
          </w:p>
          <w:p w14:paraId="77FDA25D"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 xml:space="preserve">Apply once weekly for 2 doses, apply 5% cream over whole body, allow to dry naturally and wash off after 12 hours or </w:t>
            </w:r>
            <w:r w:rsidRPr="0024114A">
              <w:rPr>
                <w:color w:val="000000" w:themeColor="text1"/>
              </w:rPr>
              <w:lastRenderedPageBreak/>
              <w:t>after leaving on overnight.</w:t>
            </w:r>
          </w:p>
          <w:p w14:paraId="584ACAF6" w14:textId="77777777" w:rsidR="002F635D" w:rsidRPr="0024114A" w:rsidRDefault="002F635D" w:rsidP="002D6DD7">
            <w:pPr>
              <w:pStyle w:val="Default"/>
              <w:spacing w:line="360" w:lineRule="auto"/>
              <w:jc w:val="both"/>
              <w:rPr>
                <w:color w:val="000000" w:themeColor="text1"/>
              </w:rPr>
            </w:pPr>
            <w:r w:rsidRPr="0024114A">
              <w:rPr>
                <w:b/>
                <w:color w:val="000000" w:themeColor="text1"/>
              </w:rPr>
              <w:t>Head lice</w:t>
            </w:r>
            <w:r w:rsidRPr="0024114A">
              <w:rPr>
                <w:color w:val="000000" w:themeColor="text1"/>
              </w:rPr>
              <w:t xml:space="preserve">, </w:t>
            </w:r>
            <w:r w:rsidRPr="0024114A">
              <w:rPr>
                <w:b/>
                <w:color w:val="000000" w:themeColor="text1"/>
              </w:rPr>
              <w:t>to the skin</w:t>
            </w:r>
            <w:r w:rsidRPr="0024114A">
              <w:rPr>
                <w:color w:val="000000" w:themeColor="text1"/>
              </w:rPr>
              <w:t xml:space="preserve">: </w:t>
            </w:r>
          </w:p>
          <w:p w14:paraId="48591EE7"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to washed hair, leave on 10 minutes, rinse and comb out nits and eggs; may repeat in 7 days if lice or nits still present.</w:t>
            </w:r>
          </w:p>
          <w:p w14:paraId="1E034E19"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Paediatric:</w:t>
            </w:r>
          </w:p>
          <w:p w14:paraId="7FD7E82D" w14:textId="77777777" w:rsidR="002F635D" w:rsidRPr="0024114A" w:rsidRDefault="002F635D" w:rsidP="002D6DD7">
            <w:pPr>
              <w:autoSpaceDE w:val="0"/>
              <w:autoSpaceDN w:val="0"/>
              <w:adjustRightInd w:val="0"/>
              <w:jc w:val="both"/>
              <w:rPr>
                <w:rFonts w:cs="Times New Roman"/>
                <w:b/>
                <w:bCs/>
                <w:color w:val="000000" w:themeColor="text1"/>
                <w:szCs w:val="24"/>
              </w:rPr>
            </w:pPr>
            <w:r w:rsidRPr="0024114A">
              <w:rPr>
                <w:rFonts w:cs="Times New Roman"/>
                <w:b/>
                <w:bCs/>
                <w:color w:val="000000" w:themeColor="text1"/>
                <w:szCs w:val="24"/>
              </w:rPr>
              <w:t xml:space="preserve">Scabies: </w:t>
            </w:r>
          </w:p>
          <w:p w14:paraId="18F2F10C" w14:textId="77777777" w:rsidR="002F635D" w:rsidRPr="0024114A" w:rsidRDefault="002F635D" w:rsidP="002D6DD7">
            <w:pPr>
              <w:autoSpaceDE w:val="0"/>
              <w:autoSpaceDN w:val="0"/>
              <w:adjustRightInd w:val="0"/>
              <w:jc w:val="both"/>
              <w:rPr>
                <w:rFonts w:cs="Times New Roman"/>
                <w:b/>
                <w:bCs/>
                <w:color w:val="000000" w:themeColor="text1"/>
                <w:szCs w:val="24"/>
              </w:rPr>
            </w:pPr>
            <w:r w:rsidRPr="0024114A">
              <w:rPr>
                <w:rFonts w:cs="Times New Roman"/>
                <w:b/>
                <w:bCs/>
                <w:color w:val="000000" w:themeColor="text1"/>
                <w:szCs w:val="24"/>
              </w:rPr>
              <w:t xml:space="preserve">Child: </w:t>
            </w:r>
            <w:r w:rsidRPr="0024114A">
              <w:rPr>
                <w:rFonts w:cs="Times New Roman"/>
                <w:color w:val="000000" w:themeColor="text1"/>
                <w:szCs w:val="24"/>
              </w:rPr>
              <w:t>Apply once weekly for 2 doses, apply 5% preparation over whole body including face, neck, scalp and ears then wash off after 8–12 hours. If hands are washed with soap within 8 hours of application, they should be treated again with cream</w:t>
            </w:r>
          </w:p>
          <w:p w14:paraId="3B162603"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i/>
                <w:iCs/>
                <w:color w:val="000000" w:themeColor="text1"/>
                <w:szCs w:val="24"/>
                <w:lang w:val="en-US"/>
              </w:rPr>
              <w:t>Note: do not use on inflamed or broken skin</w:t>
            </w:r>
            <w:r w:rsidRPr="0024114A">
              <w:rPr>
                <w:rFonts w:cs="Times New Roman"/>
                <w:color w:val="000000" w:themeColor="text1"/>
                <w:szCs w:val="24"/>
                <w:lang w:val="en-US"/>
              </w:rPr>
              <w:t>.</w:t>
            </w:r>
          </w:p>
        </w:tc>
      </w:tr>
      <w:tr w:rsidR="002F635D" w:rsidRPr="0024114A" w14:paraId="05598F65" w14:textId="77777777" w:rsidTr="002D6DD7">
        <w:trPr>
          <w:trHeight w:val="451"/>
          <w:jc w:val="center"/>
        </w:trPr>
        <w:tc>
          <w:tcPr>
            <w:tcW w:w="2605" w:type="dxa"/>
          </w:tcPr>
          <w:p w14:paraId="7FB39A2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69" w:type="dxa"/>
          </w:tcPr>
          <w:p w14:paraId="282DEFE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other pyrethroids or pyrethrins, infant &lt;2 months.</w:t>
            </w:r>
          </w:p>
        </w:tc>
      </w:tr>
      <w:tr w:rsidR="002F635D" w:rsidRPr="0024114A" w14:paraId="36483B20" w14:textId="77777777" w:rsidTr="002D6DD7">
        <w:trPr>
          <w:trHeight w:val="404"/>
          <w:jc w:val="center"/>
        </w:trPr>
        <w:tc>
          <w:tcPr>
            <w:tcW w:w="2605" w:type="dxa"/>
          </w:tcPr>
          <w:p w14:paraId="57DECFA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69" w:type="dxa"/>
          </w:tcPr>
          <w:p w14:paraId="19D25D0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Corticosteroids </w:t>
            </w:r>
          </w:p>
        </w:tc>
      </w:tr>
      <w:tr w:rsidR="002F635D" w:rsidRPr="0024114A" w14:paraId="135282AD" w14:textId="77777777" w:rsidTr="002D6DD7">
        <w:trPr>
          <w:trHeight w:val="90"/>
          <w:jc w:val="center"/>
        </w:trPr>
        <w:tc>
          <w:tcPr>
            <w:tcW w:w="2605" w:type="dxa"/>
          </w:tcPr>
          <w:p w14:paraId="0C11031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69" w:type="dxa"/>
          </w:tcPr>
          <w:p w14:paraId="03B008E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Swelling, erythema, pruritus, rash, stinging of skin, burning sensation</w:t>
            </w:r>
          </w:p>
        </w:tc>
      </w:tr>
      <w:tr w:rsidR="002F635D" w:rsidRPr="0024114A" w14:paraId="1768A8E2" w14:textId="77777777" w:rsidTr="002D6DD7">
        <w:trPr>
          <w:trHeight w:val="755"/>
          <w:jc w:val="center"/>
        </w:trPr>
        <w:tc>
          <w:tcPr>
            <w:tcW w:w="2605" w:type="dxa"/>
          </w:tcPr>
          <w:p w14:paraId="5F6BEAE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69" w:type="dxa"/>
          </w:tcPr>
          <w:p w14:paraId="4A1EB73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eyes, children aged 2 months–2 years, pregnancy,</w:t>
            </w:r>
            <w:r w:rsidR="00173A78">
              <w:rPr>
                <w:rFonts w:cs="Times New Roman"/>
                <w:color w:val="000000" w:themeColor="text1"/>
                <w:szCs w:val="24"/>
                <w:lang w:val="en-US"/>
              </w:rPr>
              <w:t xml:space="preserve"> </w:t>
            </w:r>
            <w:r w:rsidRPr="0024114A">
              <w:rPr>
                <w:rFonts w:cs="Times New Roman"/>
                <w:color w:val="000000" w:themeColor="text1"/>
                <w:szCs w:val="24"/>
                <w:lang w:val="en-US"/>
              </w:rPr>
              <w:t>breastfeeding</w:t>
            </w:r>
            <w:r w:rsidR="00173A78">
              <w:rPr>
                <w:rFonts w:cs="Times New Roman"/>
                <w:color w:val="000000" w:themeColor="text1"/>
                <w:szCs w:val="24"/>
                <w:lang w:val="en-US"/>
              </w:rPr>
              <w:t>.</w:t>
            </w:r>
          </w:p>
        </w:tc>
      </w:tr>
      <w:tr w:rsidR="002F635D" w:rsidRPr="0024114A" w14:paraId="603BCA2B" w14:textId="77777777" w:rsidTr="002D6DD7">
        <w:trPr>
          <w:trHeight w:val="462"/>
          <w:jc w:val="center"/>
        </w:trPr>
        <w:tc>
          <w:tcPr>
            <w:tcW w:w="2605" w:type="dxa"/>
          </w:tcPr>
          <w:p w14:paraId="2523940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69" w:type="dxa"/>
          </w:tcPr>
          <w:p w14:paraId="60F2DE0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 Protect from freezing.</w:t>
            </w:r>
          </w:p>
        </w:tc>
      </w:tr>
      <w:tr w:rsidR="002F635D" w:rsidRPr="0024114A" w14:paraId="3730FB39" w14:textId="77777777" w:rsidTr="002D6DD7">
        <w:trPr>
          <w:trHeight w:val="462"/>
          <w:jc w:val="center"/>
        </w:trPr>
        <w:tc>
          <w:tcPr>
            <w:tcW w:w="9274" w:type="dxa"/>
            <w:gridSpan w:val="2"/>
          </w:tcPr>
          <w:p w14:paraId="70C7AC7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 xml:space="preserve">Sulfur </w:t>
            </w:r>
          </w:p>
        </w:tc>
      </w:tr>
      <w:tr w:rsidR="002F635D" w:rsidRPr="0024114A" w14:paraId="1BFEE021" w14:textId="77777777" w:rsidTr="002D6DD7">
        <w:trPr>
          <w:trHeight w:val="462"/>
          <w:jc w:val="center"/>
        </w:trPr>
        <w:tc>
          <w:tcPr>
            <w:tcW w:w="2605" w:type="dxa"/>
          </w:tcPr>
          <w:p w14:paraId="6D227C0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69" w:type="dxa"/>
          </w:tcPr>
          <w:p w14:paraId="5EFC9C2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Scabicide</w:t>
            </w:r>
          </w:p>
        </w:tc>
      </w:tr>
      <w:tr w:rsidR="002F635D" w:rsidRPr="0024114A" w14:paraId="52734CFE" w14:textId="77777777" w:rsidTr="002D6DD7">
        <w:trPr>
          <w:trHeight w:val="347"/>
          <w:jc w:val="center"/>
        </w:trPr>
        <w:tc>
          <w:tcPr>
            <w:tcW w:w="2605" w:type="dxa"/>
          </w:tcPr>
          <w:p w14:paraId="1BE91DA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69" w:type="dxa"/>
          </w:tcPr>
          <w:p w14:paraId="5923EE21" w14:textId="77777777" w:rsidR="002F635D" w:rsidRPr="0024114A" w:rsidRDefault="002F635D" w:rsidP="002D6DD7">
            <w:pPr>
              <w:pStyle w:val="Default"/>
              <w:spacing w:line="360" w:lineRule="auto"/>
              <w:jc w:val="both"/>
              <w:rPr>
                <w:color w:val="000000" w:themeColor="text1"/>
              </w:rPr>
            </w:pPr>
            <w:r w:rsidRPr="0024114A">
              <w:rPr>
                <w:rFonts w:eastAsia="Times New Roman"/>
                <w:color w:val="000000" w:themeColor="text1"/>
              </w:rPr>
              <w:t>Ointment: 10%</w:t>
            </w:r>
          </w:p>
        </w:tc>
      </w:tr>
      <w:tr w:rsidR="002F635D" w:rsidRPr="0024114A" w14:paraId="1B01D2F5" w14:textId="77777777" w:rsidTr="002D6DD7">
        <w:trPr>
          <w:trHeight w:val="462"/>
          <w:jc w:val="center"/>
        </w:trPr>
        <w:tc>
          <w:tcPr>
            <w:tcW w:w="2605" w:type="dxa"/>
          </w:tcPr>
          <w:p w14:paraId="2C5D806B"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669" w:type="dxa"/>
          </w:tcPr>
          <w:p w14:paraId="1A14620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Treatment of scabies, seborrheic dermatitis, and acne vulgaris, other chronic skin conditions like psoriasis, ringworm and lupus erythematous.</w:t>
            </w:r>
          </w:p>
        </w:tc>
      </w:tr>
      <w:tr w:rsidR="002F635D" w:rsidRPr="0024114A" w14:paraId="25855C08" w14:textId="77777777" w:rsidTr="002D6DD7">
        <w:trPr>
          <w:trHeight w:val="462"/>
          <w:jc w:val="center"/>
        </w:trPr>
        <w:tc>
          <w:tcPr>
            <w:tcW w:w="2605" w:type="dxa"/>
          </w:tcPr>
          <w:p w14:paraId="3006B2C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69" w:type="dxa"/>
          </w:tcPr>
          <w:p w14:paraId="0C048755"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Adults, children over 12 years and the elderly: </w:t>
            </w:r>
          </w:p>
          <w:p w14:paraId="24C88CF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Mild dandruff: </w:t>
            </w:r>
            <w:r w:rsidRPr="0024114A">
              <w:rPr>
                <w:rFonts w:cs="Times New Roman"/>
                <w:color w:val="000000" w:themeColor="text1"/>
                <w:szCs w:val="24"/>
                <w:lang w:val="en-US"/>
              </w:rPr>
              <w:t>used intermittently as an adjunctive treatment to be applied approximately once a week.</w:t>
            </w:r>
          </w:p>
          <w:p w14:paraId="3CD4A55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Psoriasis, eczema, seborrhoeic dermatitis and severe dandruff: </w:t>
            </w:r>
            <w:r w:rsidRPr="0024114A">
              <w:rPr>
                <w:rFonts w:cs="Times New Roman"/>
                <w:bCs/>
                <w:color w:val="000000" w:themeColor="text1"/>
                <w:szCs w:val="24"/>
                <w:lang w:val="en-US"/>
              </w:rPr>
              <w:t>Apply</w:t>
            </w:r>
            <w:r w:rsidRPr="0024114A">
              <w:rPr>
                <w:rFonts w:cs="Times New Roman"/>
                <w:color w:val="000000" w:themeColor="text1"/>
                <w:szCs w:val="24"/>
                <w:lang w:val="en-US"/>
              </w:rPr>
              <w:t xml:space="preserve">daily for three to seven days until improvement has been </w:t>
            </w:r>
            <w:r w:rsidRPr="0024114A">
              <w:rPr>
                <w:rFonts w:cs="Times New Roman"/>
                <w:color w:val="000000" w:themeColor="text1"/>
                <w:szCs w:val="24"/>
                <w:lang w:val="en-US"/>
              </w:rPr>
              <w:lastRenderedPageBreak/>
              <w:t>achieved. In all cases, the affected area should be treated and shampooed off using warm water approximately one hour later.</w:t>
            </w:r>
          </w:p>
          <w:p w14:paraId="44D7CAA1" w14:textId="77777777" w:rsidR="002F635D" w:rsidRPr="0024114A" w:rsidRDefault="002F635D" w:rsidP="002D6DD7">
            <w:pPr>
              <w:autoSpaceDE w:val="0"/>
              <w:autoSpaceDN w:val="0"/>
              <w:adjustRightInd w:val="0"/>
              <w:jc w:val="both"/>
              <w:rPr>
                <w:rFonts w:cs="Times New Roman"/>
                <w:i/>
                <w:iCs/>
                <w:color w:val="000000" w:themeColor="text1"/>
                <w:szCs w:val="24"/>
                <w:lang w:val="en-US"/>
              </w:rPr>
            </w:pPr>
            <w:r w:rsidRPr="0024114A">
              <w:rPr>
                <w:rFonts w:cs="Times New Roman"/>
                <w:i/>
                <w:iCs/>
                <w:color w:val="000000" w:themeColor="text1"/>
                <w:szCs w:val="24"/>
                <w:lang w:val="en-US"/>
              </w:rPr>
              <w:t>Note: do not use on inflammed or broken skin.</w:t>
            </w:r>
          </w:p>
        </w:tc>
      </w:tr>
      <w:tr w:rsidR="002F635D" w:rsidRPr="0024114A" w14:paraId="3DF4686E" w14:textId="77777777" w:rsidTr="002D6DD7">
        <w:trPr>
          <w:trHeight w:val="462"/>
          <w:jc w:val="center"/>
        </w:trPr>
        <w:tc>
          <w:tcPr>
            <w:tcW w:w="2605" w:type="dxa"/>
          </w:tcPr>
          <w:p w14:paraId="082854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69" w:type="dxa"/>
          </w:tcPr>
          <w:p w14:paraId="0E46674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sulphonamides.</w:t>
            </w:r>
          </w:p>
        </w:tc>
      </w:tr>
      <w:tr w:rsidR="002F635D" w:rsidRPr="0024114A" w14:paraId="2C2E4BD5" w14:textId="77777777" w:rsidTr="002D6DD7">
        <w:trPr>
          <w:trHeight w:val="462"/>
          <w:jc w:val="center"/>
        </w:trPr>
        <w:tc>
          <w:tcPr>
            <w:tcW w:w="2605" w:type="dxa"/>
          </w:tcPr>
          <w:p w14:paraId="64571DC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69" w:type="dxa"/>
          </w:tcPr>
          <w:p w14:paraId="7D1F1324"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M</w:t>
            </w:r>
            <w:r w:rsidRPr="0024114A">
              <w:rPr>
                <w:rFonts w:eastAsia="Times New Roman" w:cs="Times New Roman"/>
                <w:color w:val="000000" w:themeColor="text1"/>
                <w:szCs w:val="24"/>
              </w:rPr>
              <w:t>edicated soaps, benzoyl peroxide, resorcinol, salicylic acid, tretinoin, astringents, perfumed toiletries, shaving creams or lotions, cosmetics, isotretinoin, medicated, topical mercury compounds.</w:t>
            </w:r>
          </w:p>
        </w:tc>
      </w:tr>
      <w:tr w:rsidR="002F635D" w:rsidRPr="0024114A" w14:paraId="788181AD" w14:textId="77777777" w:rsidTr="002D6DD7">
        <w:trPr>
          <w:trHeight w:val="462"/>
          <w:jc w:val="center"/>
        </w:trPr>
        <w:tc>
          <w:tcPr>
            <w:tcW w:w="2605" w:type="dxa"/>
          </w:tcPr>
          <w:p w14:paraId="071FF8A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69" w:type="dxa"/>
          </w:tcPr>
          <w:p w14:paraId="7093FDE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S</w:t>
            </w:r>
            <w:r w:rsidRPr="0024114A">
              <w:rPr>
                <w:rFonts w:eastAsia="Times New Roman" w:cs="Times New Roman"/>
                <w:color w:val="000000" w:themeColor="text1"/>
                <w:szCs w:val="24"/>
              </w:rPr>
              <w:t>kin irritation</w:t>
            </w:r>
            <w:r w:rsidRPr="0024114A">
              <w:rPr>
                <w:rFonts w:eastAsia="Times New Roman" w:cs="Times New Roman"/>
                <w:color w:val="000000" w:themeColor="text1"/>
                <w:szCs w:val="24"/>
                <w:lang w:val="en-US"/>
              </w:rPr>
              <w:t xml:space="preserve">, </w:t>
            </w:r>
            <w:r w:rsidRPr="0024114A">
              <w:rPr>
                <w:rFonts w:eastAsia="Times New Roman" w:cs="Times New Roman"/>
                <w:color w:val="000000" w:themeColor="text1"/>
                <w:szCs w:val="24"/>
              </w:rPr>
              <w:t>redness and peeling, b</w:t>
            </w:r>
            <w:r w:rsidRPr="0024114A">
              <w:rPr>
                <w:rFonts w:eastAsia="SimSun" w:cs="Times New Roman"/>
                <w:color w:val="000000" w:themeColor="text1"/>
                <w:szCs w:val="24"/>
              </w:rPr>
              <w:t xml:space="preserve">ronchospasm </w:t>
            </w:r>
          </w:p>
        </w:tc>
      </w:tr>
      <w:tr w:rsidR="002F635D" w:rsidRPr="0024114A" w14:paraId="6FEE0704" w14:textId="77777777" w:rsidTr="002D6DD7">
        <w:trPr>
          <w:trHeight w:val="462"/>
          <w:jc w:val="center"/>
        </w:trPr>
        <w:tc>
          <w:tcPr>
            <w:tcW w:w="2605" w:type="dxa"/>
          </w:tcPr>
          <w:p w14:paraId="1B58D18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69" w:type="dxa"/>
          </w:tcPr>
          <w:p w14:paraId="396B998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Contact with mouth, mucus membranes and eyes, pregnancy, breastfeeding. </w:t>
            </w:r>
          </w:p>
        </w:tc>
      </w:tr>
      <w:tr w:rsidR="002F635D" w:rsidRPr="0024114A" w14:paraId="535C68EC" w14:textId="77777777" w:rsidTr="002D6DD7">
        <w:trPr>
          <w:trHeight w:val="462"/>
          <w:jc w:val="center"/>
        </w:trPr>
        <w:tc>
          <w:tcPr>
            <w:tcW w:w="2605" w:type="dxa"/>
          </w:tcPr>
          <w:p w14:paraId="1990140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69" w:type="dxa"/>
          </w:tcPr>
          <w:p w14:paraId="475CEF7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30ºC. Protect from light.</w:t>
            </w:r>
          </w:p>
        </w:tc>
      </w:tr>
    </w:tbl>
    <w:p w14:paraId="1B320FC3" w14:textId="77777777" w:rsidR="002F635D" w:rsidRPr="00173A78" w:rsidRDefault="002F635D" w:rsidP="00173A78">
      <w:pPr>
        <w:pStyle w:val="Heading2"/>
        <w:spacing w:before="240" w:after="240"/>
      </w:pPr>
      <w:bookmarkStart w:id="210" w:name="_Toc179490404"/>
      <w:r w:rsidRPr="00173A78">
        <w:t>Anti-</w:t>
      </w:r>
      <w:r w:rsidR="00173A78">
        <w:t>i</w:t>
      </w:r>
      <w:r w:rsidRPr="00173A78">
        <w:t>nflammatories</w:t>
      </w:r>
      <w:bookmarkEnd w:id="210"/>
    </w:p>
    <w:p w14:paraId="6A936023" w14:textId="77777777" w:rsidR="002F635D" w:rsidRPr="0024114A" w:rsidRDefault="002F635D" w:rsidP="00173A78">
      <w:pPr>
        <w:pStyle w:val="NormalWeb"/>
        <w:spacing w:before="0" w:beforeAutospacing="0" w:after="240" w:afterAutospacing="0" w:line="360" w:lineRule="auto"/>
        <w:jc w:val="both"/>
        <w:rPr>
          <w:color w:val="000000" w:themeColor="text1"/>
        </w:rPr>
      </w:pPr>
      <w:r w:rsidRPr="0024114A">
        <w:rPr>
          <w:rStyle w:val="Strong"/>
          <w:rFonts w:eastAsiaTheme="majorEastAsia"/>
          <w:b w:val="0"/>
          <w:color w:val="000000" w:themeColor="text1"/>
        </w:rPr>
        <w:t>Topical corticosteroids</w:t>
      </w:r>
      <w:r w:rsidRPr="0024114A">
        <w:rPr>
          <w:color w:val="000000" w:themeColor="text1"/>
        </w:rPr>
        <w:t xml:space="preserve"> are effective in suppressing inflammatory skin diseases like eczema, dermatitis, psoriasis, and seborrheic dermatitis. The most commonly used topical corticosteroids are b</w:t>
      </w:r>
      <w:r w:rsidRPr="0024114A">
        <w:rPr>
          <w:rStyle w:val="Strong"/>
          <w:rFonts w:eastAsiaTheme="majorEastAsia"/>
          <w:b w:val="0"/>
          <w:color w:val="000000" w:themeColor="text1"/>
        </w:rPr>
        <w:t>etamethasone valerate, hydrocortisone acetat, eclobetasol propionate, mometasone, triamcinolone, acetonide, and methyl salicylate</w:t>
      </w:r>
      <w:r w:rsidRPr="0024114A">
        <w:rPr>
          <w:color w:val="000000" w:themeColor="text1"/>
        </w:rPr>
        <w:t xml:space="preserve">. Prolonged use of these drugs may cause side effects such as skin atrophy, hypopigmentation, and systemic absorption. They should not also be used with occlusive dressings over large areas or for conditions like rosacea. </w:t>
      </w:r>
    </w:p>
    <w:tbl>
      <w:tblPr>
        <w:tblStyle w:val="TableGrid"/>
        <w:tblpPr w:leftFromText="180" w:rightFromText="180" w:vertAnchor="text" w:tblpXSpec="center" w:tblpY="1"/>
        <w:tblOverlap w:val="never"/>
        <w:tblW w:w="10188" w:type="dxa"/>
        <w:jc w:val="center"/>
        <w:tblLook w:val="04A0" w:firstRow="1" w:lastRow="0" w:firstColumn="1" w:lastColumn="0" w:noHBand="0" w:noVBand="1"/>
      </w:tblPr>
      <w:tblGrid>
        <w:gridCol w:w="2903"/>
        <w:gridCol w:w="7285"/>
      </w:tblGrid>
      <w:tr w:rsidR="002F635D" w:rsidRPr="0024114A" w14:paraId="405EBD45" w14:textId="77777777" w:rsidTr="002D6DD7">
        <w:trPr>
          <w:trHeight w:val="7"/>
          <w:jc w:val="center"/>
        </w:trPr>
        <w:tc>
          <w:tcPr>
            <w:tcW w:w="10188" w:type="dxa"/>
            <w:gridSpan w:val="2"/>
          </w:tcPr>
          <w:p w14:paraId="32DC16AD" w14:textId="77777777" w:rsidR="002F635D" w:rsidRPr="0024114A" w:rsidRDefault="002F635D" w:rsidP="002D6DD7">
            <w:pPr>
              <w:jc w:val="both"/>
              <w:rPr>
                <w:rFonts w:cs="Times New Roman"/>
                <w:color w:val="000000" w:themeColor="text1"/>
                <w:szCs w:val="24"/>
                <w:lang w:val="en-US"/>
              </w:rPr>
            </w:pPr>
            <w:r w:rsidRPr="0024114A">
              <w:rPr>
                <w:rFonts w:eastAsia="Calibri" w:cs="Times New Roman"/>
                <w:b/>
                <w:bCs/>
                <w:color w:val="000000" w:themeColor="text1"/>
                <w:szCs w:val="24"/>
                <w:lang w:val="it-IT"/>
              </w:rPr>
              <w:t>Betamethasome valerate</w:t>
            </w:r>
          </w:p>
        </w:tc>
      </w:tr>
      <w:tr w:rsidR="002F635D" w:rsidRPr="0024114A" w14:paraId="383D8EF7" w14:textId="77777777" w:rsidTr="002D6DD7">
        <w:trPr>
          <w:trHeight w:val="1"/>
          <w:jc w:val="center"/>
        </w:trPr>
        <w:tc>
          <w:tcPr>
            <w:tcW w:w="2903" w:type="dxa"/>
          </w:tcPr>
          <w:p w14:paraId="0D8FD26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6187F7E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 (topical)</w:t>
            </w:r>
          </w:p>
        </w:tc>
      </w:tr>
      <w:tr w:rsidR="002F635D" w:rsidRPr="0024114A" w14:paraId="6158C09B" w14:textId="77777777" w:rsidTr="002D6DD7">
        <w:trPr>
          <w:trHeight w:val="1"/>
          <w:jc w:val="center"/>
        </w:trPr>
        <w:tc>
          <w:tcPr>
            <w:tcW w:w="2903" w:type="dxa"/>
          </w:tcPr>
          <w:p w14:paraId="2CA268D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6D9D6C34" w14:textId="77777777" w:rsidR="002F635D" w:rsidRPr="0024114A" w:rsidRDefault="002F635D" w:rsidP="002D6DD7">
            <w:pPr>
              <w:jc w:val="both"/>
              <w:rPr>
                <w:rFonts w:eastAsia="Times New Roman" w:cs="Times New Roman"/>
                <w:color w:val="000000" w:themeColor="text1"/>
                <w:szCs w:val="24"/>
                <w:lang w:val="it-IT"/>
              </w:rPr>
            </w:pPr>
            <w:r w:rsidRPr="0024114A">
              <w:rPr>
                <w:rFonts w:eastAsia="Times New Roman" w:cs="Times New Roman"/>
                <w:color w:val="000000" w:themeColor="text1"/>
                <w:szCs w:val="24"/>
                <w:lang w:val="it-IT"/>
              </w:rPr>
              <w:t>Cream: 0.1%</w:t>
            </w:r>
          </w:p>
          <w:p w14:paraId="4B4CEE24"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0.1%</w:t>
            </w:r>
          </w:p>
        </w:tc>
      </w:tr>
      <w:tr w:rsidR="002F635D" w:rsidRPr="0024114A" w14:paraId="2E723BD3" w14:textId="77777777" w:rsidTr="002D6DD7">
        <w:trPr>
          <w:trHeight w:val="43"/>
          <w:jc w:val="center"/>
        </w:trPr>
        <w:tc>
          <w:tcPr>
            <w:tcW w:w="2903" w:type="dxa"/>
          </w:tcPr>
          <w:p w14:paraId="24E1D8D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07499F5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Inflammatory skin disorders such as seborrheic or atopic dermatitis, eczemas, neurodermatitis, anogenital pruritus, psoriasis, inflammatory phase of xerosis.</w:t>
            </w:r>
          </w:p>
        </w:tc>
      </w:tr>
      <w:tr w:rsidR="002F635D" w:rsidRPr="0024114A" w14:paraId="5A46983E" w14:textId="77777777" w:rsidTr="002D6DD7">
        <w:trPr>
          <w:trHeight w:val="36"/>
          <w:jc w:val="center"/>
        </w:trPr>
        <w:tc>
          <w:tcPr>
            <w:tcW w:w="2903" w:type="dxa"/>
          </w:tcPr>
          <w:p w14:paraId="6F6DCD1D"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6262CBF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Severe inflammatory skin disorders such as eczemas unresponsive to less potent corticosteroids, psoriasis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0337BB72"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lastRenderedPageBreak/>
              <w:t xml:space="preserve">Adult: </w:t>
            </w:r>
            <w:r w:rsidRPr="0024114A">
              <w:rPr>
                <w:rFonts w:cs="Times New Roman"/>
                <w:color w:val="000000" w:themeColor="text1"/>
                <w:szCs w:val="24"/>
                <w:lang w:val="en-US"/>
              </w:rPr>
              <w:t>Apply 1–2 times a day, to be applied thinly or as directed by physician.</w:t>
            </w:r>
          </w:p>
          <w:p w14:paraId="0C1EA96F" w14:textId="77777777" w:rsidR="002F635D" w:rsidRPr="00173A78"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Inflammatory skin disorders [unresponsive to less potent</w:t>
            </w:r>
            <w:r w:rsidR="00173A78">
              <w:rPr>
                <w:rFonts w:cs="Times New Roman"/>
                <w:b/>
                <w:bCs/>
                <w:color w:val="000000" w:themeColor="text1"/>
                <w:szCs w:val="24"/>
                <w:lang w:val="en-US"/>
              </w:rPr>
              <w:t xml:space="preserve"> c</w:t>
            </w:r>
            <w:r w:rsidRPr="0024114A">
              <w:rPr>
                <w:rFonts w:cs="Times New Roman"/>
                <w:b/>
                <w:bCs/>
                <w:color w:val="000000" w:themeColor="text1"/>
                <w:szCs w:val="24"/>
                <w:lang w:val="en-US"/>
              </w:rPr>
              <w:t>orticosteroids,</w:t>
            </w:r>
            <w:r w:rsidR="00173A78">
              <w:rPr>
                <w:rFonts w:cs="Times New Roman"/>
                <w:b/>
                <w:bCs/>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0F56B077"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every 24 hours for up to 30 days, wait at least 30 minutes between applications.</w:t>
            </w:r>
          </w:p>
          <w:p w14:paraId="0BBC84FD"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Severe inflammatory skin disorders such as eczemas unresponsive to less potent corticosteroids, psoriasis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r w:rsidRPr="0024114A">
              <w:rPr>
                <w:rFonts w:cs="Times New Roman"/>
                <w:b/>
                <w:bCs/>
                <w:color w:val="000000" w:themeColor="text1"/>
                <w:szCs w:val="24"/>
                <w:lang w:val="en-US"/>
              </w:rPr>
              <w:t>Child</w:t>
            </w:r>
            <w:r w:rsidRPr="0024114A">
              <w:rPr>
                <w:rFonts w:cs="Times New Roman"/>
                <w:color w:val="000000" w:themeColor="text1"/>
                <w:szCs w:val="24"/>
                <w:lang w:val="en-US"/>
              </w:rPr>
              <w:t>: Apply 1–2 times a day, to be applied thinly</w:t>
            </w:r>
          </w:p>
        </w:tc>
      </w:tr>
      <w:tr w:rsidR="002F635D" w:rsidRPr="0024114A" w14:paraId="2181A527" w14:textId="77777777" w:rsidTr="002D6DD7">
        <w:trPr>
          <w:trHeight w:val="1"/>
          <w:jc w:val="center"/>
        </w:trPr>
        <w:tc>
          <w:tcPr>
            <w:tcW w:w="2903" w:type="dxa"/>
          </w:tcPr>
          <w:p w14:paraId="614B58C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7285" w:type="dxa"/>
          </w:tcPr>
          <w:p w14:paraId="229AA39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Established skin infections</w:t>
            </w:r>
            <w:r w:rsidR="00173A78">
              <w:rPr>
                <w:rFonts w:cs="Times New Roman"/>
                <w:color w:val="000000" w:themeColor="text1"/>
                <w:szCs w:val="24"/>
                <w:lang w:val="en-US"/>
              </w:rPr>
              <w:t xml:space="preserve"> </w:t>
            </w:r>
            <w:r w:rsidRPr="0024114A">
              <w:rPr>
                <w:rFonts w:cs="Times New Roman"/>
                <w:color w:val="000000" w:themeColor="text1"/>
                <w:szCs w:val="24"/>
                <w:lang w:val="en-US"/>
              </w:rPr>
              <w:t>(viral, bacterial including cutaneous tuberculosis, acute dermatomycosis) broken skin, rosacea, acne, perioral dermatitis, plaque psoriasishypersensetivity</w:t>
            </w:r>
          </w:p>
        </w:tc>
      </w:tr>
      <w:tr w:rsidR="002F635D" w:rsidRPr="0024114A" w14:paraId="39E0ED5D" w14:textId="77777777" w:rsidTr="002D6DD7">
        <w:trPr>
          <w:trHeight w:val="9"/>
          <w:jc w:val="center"/>
        </w:trPr>
        <w:tc>
          <w:tcPr>
            <w:tcW w:w="2903" w:type="dxa"/>
          </w:tcPr>
          <w:p w14:paraId="05A99AD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56A6037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Salycilic acid. </w:t>
            </w:r>
          </w:p>
        </w:tc>
      </w:tr>
      <w:tr w:rsidR="002F635D" w:rsidRPr="0024114A" w14:paraId="28EED90E" w14:textId="77777777" w:rsidTr="002D6DD7">
        <w:trPr>
          <w:trHeight w:val="1"/>
          <w:jc w:val="center"/>
        </w:trPr>
        <w:tc>
          <w:tcPr>
            <w:tcW w:w="2903" w:type="dxa"/>
          </w:tcPr>
          <w:p w14:paraId="04FED48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3F2C7E1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Folliculitis, steroid rosacea, perioral dermatitis, skin atrophy, delayed wound healing, dilatation of superficial blood vessels, formation of striae, purpura, depigmentation, telangiectasia, acneiform eruptions at site of application, allergic contact dermatitis.</w:t>
            </w:r>
          </w:p>
        </w:tc>
      </w:tr>
      <w:tr w:rsidR="002F635D" w:rsidRPr="0024114A" w14:paraId="296820CC" w14:textId="77777777" w:rsidTr="002D6DD7">
        <w:trPr>
          <w:trHeight w:val="3"/>
          <w:jc w:val="center"/>
        </w:trPr>
        <w:tc>
          <w:tcPr>
            <w:tcW w:w="2903" w:type="dxa"/>
          </w:tcPr>
          <w:p w14:paraId="6E09C29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077B89F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Prolonged use in children, use on weeping lesions. Risk of adrenal suppression.</w:t>
            </w:r>
          </w:p>
        </w:tc>
      </w:tr>
      <w:tr w:rsidR="002F635D" w:rsidRPr="0024114A" w14:paraId="6A41D942" w14:textId="77777777" w:rsidTr="002D6DD7">
        <w:trPr>
          <w:trHeight w:val="14"/>
          <w:jc w:val="center"/>
        </w:trPr>
        <w:tc>
          <w:tcPr>
            <w:tcW w:w="2903" w:type="dxa"/>
          </w:tcPr>
          <w:p w14:paraId="1ABEEC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298B90E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47FD0437" w14:textId="77777777" w:rsidTr="002D6DD7">
        <w:trPr>
          <w:trHeight w:val="14"/>
          <w:jc w:val="center"/>
        </w:trPr>
        <w:tc>
          <w:tcPr>
            <w:tcW w:w="10188" w:type="dxa"/>
            <w:gridSpan w:val="2"/>
          </w:tcPr>
          <w:p w14:paraId="7B38AACA"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Clobetasol propionate</w:t>
            </w:r>
          </w:p>
        </w:tc>
      </w:tr>
      <w:tr w:rsidR="002F635D" w:rsidRPr="0024114A" w14:paraId="7CD04C2F" w14:textId="77777777" w:rsidTr="002D6DD7">
        <w:trPr>
          <w:trHeight w:val="14"/>
          <w:jc w:val="center"/>
        </w:trPr>
        <w:tc>
          <w:tcPr>
            <w:tcW w:w="2903" w:type="dxa"/>
          </w:tcPr>
          <w:p w14:paraId="50977D2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5EA8624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Corticosteroid(topical)</w:t>
            </w:r>
          </w:p>
        </w:tc>
      </w:tr>
      <w:tr w:rsidR="002F635D" w:rsidRPr="0024114A" w14:paraId="30C764C2" w14:textId="77777777" w:rsidTr="002D6DD7">
        <w:trPr>
          <w:trHeight w:val="14"/>
          <w:jc w:val="center"/>
        </w:trPr>
        <w:tc>
          <w:tcPr>
            <w:tcW w:w="2903" w:type="dxa"/>
          </w:tcPr>
          <w:p w14:paraId="5E079EF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656A0ED1"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Cream: 0.05%</w:t>
            </w:r>
          </w:p>
        </w:tc>
      </w:tr>
      <w:tr w:rsidR="002F635D" w:rsidRPr="0024114A" w14:paraId="5E34F31E" w14:textId="77777777" w:rsidTr="002D6DD7">
        <w:trPr>
          <w:trHeight w:val="14"/>
          <w:jc w:val="center"/>
        </w:trPr>
        <w:tc>
          <w:tcPr>
            <w:tcW w:w="2903" w:type="dxa"/>
          </w:tcPr>
          <w:p w14:paraId="6C71317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4D840EB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Short term relief of inflammation of moderate to severe corticosteroid-responsive dermatoses (very high-potency topical corticosteroid)</w:t>
            </w:r>
          </w:p>
        </w:tc>
      </w:tr>
      <w:tr w:rsidR="002F635D" w:rsidRPr="0024114A" w14:paraId="2CD5AE19" w14:textId="77777777" w:rsidTr="002D6DD7">
        <w:trPr>
          <w:trHeight w:val="14"/>
          <w:jc w:val="center"/>
        </w:trPr>
        <w:tc>
          <w:tcPr>
            <w:tcW w:w="2903" w:type="dxa"/>
          </w:tcPr>
          <w:p w14:paraId="305FBD09"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63E3D4C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Short-term treatment only of severe resistant inflammatory skin disorders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36663C85"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1–2 times a day for up to 4 weeks, to be applied thinly, maximum 50g of 0.05% preparation per week.</w:t>
            </w:r>
          </w:p>
          <w:p w14:paraId="0B2C819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1–17 years</w:t>
            </w:r>
            <w:r w:rsidRPr="0024114A">
              <w:rPr>
                <w:rFonts w:cs="Times New Roman"/>
                <w:color w:val="000000" w:themeColor="text1"/>
                <w:szCs w:val="24"/>
                <w:lang w:val="en-US"/>
              </w:rPr>
              <w:t>: Apply 1–2 times a day for up to 4 weeks, to be applied thinly.</w:t>
            </w:r>
          </w:p>
          <w:p w14:paraId="4573B447" w14:textId="77777777" w:rsidR="002F635D" w:rsidRPr="0024114A" w:rsidRDefault="002F635D" w:rsidP="002D6DD7">
            <w:pPr>
              <w:autoSpaceDE w:val="0"/>
              <w:autoSpaceDN w:val="0"/>
              <w:adjustRightInd w:val="0"/>
              <w:jc w:val="both"/>
              <w:rPr>
                <w:rFonts w:cs="Times New Roman"/>
                <w:b/>
                <w:color w:val="000000" w:themeColor="text1"/>
                <w:szCs w:val="24"/>
                <w:lang w:val="en-US"/>
              </w:rPr>
            </w:pPr>
            <w:r w:rsidRPr="0024114A">
              <w:rPr>
                <w:rFonts w:cs="Times New Roman"/>
                <w:b/>
                <w:bCs/>
                <w:color w:val="000000" w:themeColor="text1"/>
                <w:szCs w:val="24"/>
                <w:lang w:val="en-US"/>
              </w:rPr>
              <w:lastRenderedPageBreak/>
              <w:t>Moderate scalp psoriasis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02D7D366"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Adult</w:t>
            </w:r>
            <w:r w:rsidRPr="0024114A">
              <w:rPr>
                <w:rFonts w:cs="Times New Roman"/>
                <w:color w:val="000000" w:themeColor="text1"/>
                <w:szCs w:val="24"/>
                <w:lang w:val="en-US"/>
              </w:rPr>
              <w:t>:</w:t>
            </w:r>
            <w:r>
              <w:rPr>
                <w:rFonts w:cs="Times New Roman"/>
                <w:color w:val="000000" w:themeColor="text1"/>
                <w:szCs w:val="24"/>
                <w:lang w:val="en-US"/>
              </w:rPr>
              <w:t xml:space="preserve"> </w:t>
            </w:r>
            <w:r w:rsidRPr="0024114A">
              <w:rPr>
                <w:rFonts w:cs="Times New Roman"/>
                <w:color w:val="000000" w:themeColor="text1"/>
                <w:szCs w:val="24"/>
                <w:lang w:val="en-US"/>
              </w:rPr>
              <w:t>Apply once daily maximum duration of treatment 4 weeks, to be applied thinly then rinsed off after 15 minutes; frequency of application should be reduced after clinical improvement.</w:t>
            </w:r>
          </w:p>
        </w:tc>
      </w:tr>
      <w:tr w:rsidR="002F635D" w:rsidRPr="0024114A" w14:paraId="1BAE5225" w14:textId="77777777" w:rsidTr="002D6DD7">
        <w:trPr>
          <w:trHeight w:val="14"/>
          <w:jc w:val="center"/>
        </w:trPr>
        <w:tc>
          <w:tcPr>
            <w:tcW w:w="2903" w:type="dxa"/>
          </w:tcPr>
          <w:p w14:paraId="1C84B7D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7285" w:type="dxa"/>
          </w:tcPr>
          <w:p w14:paraId="2A8DC43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Viral, fungal, or tubercular skin lesions, hHypersensitivity to any of the components, ophthalmic</w:t>
            </w:r>
          </w:p>
        </w:tc>
      </w:tr>
      <w:tr w:rsidR="002F635D" w:rsidRPr="0024114A" w14:paraId="34869C97" w14:textId="77777777" w:rsidTr="002D6DD7">
        <w:trPr>
          <w:trHeight w:val="14"/>
          <w:jc w:val="center"/>
        </w:trPr>
        <w:tc>
          <w:tcPr>
            <w:tcW w:w="2903" w:type="dxa"/>
          </w:tcPr>
          <w:p w14:paraId="0992243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468341F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243BEC82" w14:textId="77777777" w:rsidTr="002D6DD7">
        <w:trPr>
          <w:trHeight w:val="14"/>
          <w:jc w:val="center"/>
        </w:trPr>
        <w:tc>
          <w:tcPr>
            <w:tcW w:w="2903" w:type="dxa"/>
          </w:tcPr>
          <w:p w14:paraId="2B320A0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39B65D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atrophy, telangiectasia, dry skin, pruritus, local skin burning and pain, hpopigmentation.</w:t>
            </w:r>
          </w:p>
        </w:tc>
      </w:tr>
      <w:tr w:rsidR="002F635D" w:rsidRPr="0024114A" w14:paraId="5D3266A0" w14:textId="77777777" w:rsidTr="002D6DD7">
        <w:trPr>
          <w:trHeight w:val="14"/>
          <w:jc w:val="center"/>
        </w:trPr>
        <w:tc>
          <w:tcPr>
            <w:tcW w:w="2903" w:type="dxa"/>
          </w:tcPr>
          <w:p w14:paraId="29ED0F6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06754DB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Prolonged use in children, children less than 1 year, pregnancy.</w:t>
            </w:r>
          </w:p>
        </w:tc>
      </w:tr>
      <w:tr w:rsidR="002F635D" w:rsidRPr="0024114A" w14:paraId="78217DE0" w14:textId="77777777" w:rsidTr="002D6DD7">
        <w:trPr>
          <w:trHeight w:val="14"/>
          <w:jc w:val="center"/>
        </w:trPr>
        <w:tc>
          <w:tcPr>
            <w:tcW w:w="2903" w:type="dxa"/>
          </w:tcPr>
          <w:p w14:paraId="7197F47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6D8A927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2F174054" w14:textId="77777777" w:rsidTr="002D6DD7">
        <w:trPr>
          <w:trHeight w:val="14"/>
          <w:jc w:val="center"/>
        </w:trPr>
        <w:tc>
          <w:tcPr>
            <w:tcW w:w="10188" w:type="dxa"/>
            <w:gridSpan w:val="2"/>
          </w:tcPr>
          <w:p w14:paraId="37E6DF74"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Hydrocortisone acetate</w:t>
            </w:r>
          </w:p>
        </w:tc>
      </w:tr>
      <w:tr w:rsidR="002F635D" w:rsidRPr="0024114A" w14:paraId="53143227" w14:textId="77777777" w:rsidTr="002D6DD7">
        <w:trPr>
          <w:trHeight w:val="14"/>
          <w:jc w:val="center"/>
        </w:trPr>
        <w:tc>
          <w:tcPr>
            <w:tcW w:w="2903" w:type="dxa"/>
          </w:tcPr>
          <w:p w14:paraId="2A0BB28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1DCCC0F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 (topical)</w:t>
            </w:r>
          </w:p>
        </w:tc>
      </w:tr>
      <w:tr w:rsidR="002F635D" w:rsidRPr="0024114A" w14:paraId="5AE1F59C" w14:textId="77777777" w:rsidTr="002D6DD7">
        <w:trPr>
          <w:trHeight w:val="22"/>
          <w:jc w:val="center"/>
        </w:trPr>
        <w:tc>
          <w:tcPr>
            <w:tcW w:w="2903" w:type="dxa"/>
          </w:tcPr>
          <w:p w14:paraId="48D4DB4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28EC4BB2"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Cream: 1%</w:t>
            </w:r>
          </w:p>
          <w:p w14:paraId="0C20A18A"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1%</w:t>
            </w:r>
          </w:p>
        </w:tc>
      </w:tr>
      <w:tr w:rsidR="002F635D" w:rsidRPr="0024114A" w14:paraId="5198A2E5" w14:textId="77777777" w:rsidTr="002D6DD7">
        <w:trPr>
          <w:trHeight w:val="28"/>
          <w:jc w:val="center"/>
        </w:trPr>
        <w:tc>
          <w:tcPr>
            <w:tcW w:w="2903" w:type="dxa"/>
          </w:tcPr>
          <w:p w14:paraId="299850A4"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7285" w:type="dxa"/>
          </w:tcPr>
          <w:p w14:paraId="535A7DC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rPr>
              <w:t>Mild inflammatory skin disorders such as eczemas</w:t>
            </w:r>
            <w:r w:rsidRPr="0024114A">
              <w:rPr>
                <w:rFonts w:cs="Times New Roman"/>
                <w:color w:val="000000" w:themeColor="text1"/>
                <w:szCs w:val="24"/>
                <w:lang w:val="en-US"/>
              </w:rPr>
              <w:t>, contact dermatitis, lichen planus, intractable pruritus and phototoxic reactions, including polymorphic light eruptions and actinic prurigo, short-term treatment of psoriasis of the face and flexures.</w:t>
            </w:r>
          </w:p>
        </w:tc>
      </w:tr>
      <w:tr w:rsidR="002F635D" w:rsidRPr="0024114A" w14:paraId="15E9184D" w14:textId="77777777" w:rsidTr="002D6DD7">
        <w:trPr>
          <w:trHeight w:val="3"/>
          <w:jc w:val="center"/>
        </w:trPr>
        <w:tc>
          <w:tcPr>
            <w:tcW w:w="2903" w:type="dxa"/>
          </w:tcPr>
          <w:p w14:paraId="67AE1656"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1C9BD7B5" w14:textId="77777777" w:rsidR="00173A78" w:rsidRDefault="002F635D" w:rsidP="002D6DD7">
            <w:pPr>
              <w:pStyle w:val="Default"/>
              <w:spacing w:line="360" w:lineRule="auto"/>
              <w:jc w:val="both"/>
              <w:rPr>
                <w:color w:val="000000" w:themeColor="text1"/>
              </w:rPr>
            </w:pPr>
            <w:r w:rsidRPr="0024114A">
              <w:rPr>
                <w:b/>
                <w:bCs/>
                <w:color w:val="000000" w:themeColor="text1"/>
              </w:rPr>
              <w:t>Mild inflammatory skin disorders such as eczemas</w:t>
            </w:r>
            <w:r w:rsidRPr="0024114A">
              <w:rPr>
                <w:color w:val="000000" w:themeColor="text1"/>
              </w:rPr>
              <w:t xml:space="preserve">, </w:t>
            </w:r>
            <w:r w:rsidRPr="0024114A">
              <w:rPr>
                <w:b/>
                <w:color w:val="000000" w:themeColor="text1"/>
              </w:rPr>
              <w:t>to the skin</w:t>
            </w:r>
            <w:r w:rsidRPr="0024114A">
              <w:rPr>
                <w:color w:val="000000" w:themeColor="text1"/>
              </w:rPr>
              <w:t xml:space="preserve">: </w:t>
            </w:r>
          </w:p>
          <w:p w14:paraId="21AEF4E7"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1–2 times a day, to be applied thinly</w:t>
            </w:r>
          </w:p>
          <w:p w14:paraId="4FF5F398" w14:textId="77777777" w:rsidR="00173A78"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rPr>
              <w:t>Mild inflammatory skin disorders such as eczemas</w:t>
            </w:r>
            <w:r w:rsidRPr="0024114A">
              <w:rPr>
                <w:rFonts w:cs="Times New Roman"/>
                <w:color w:val="000000" w:themeColor="text1"/>
                <w:szCs w:val="24"/>
                <w:lang w:val="en-US"/>
              </w:rPr>
              <w:t xml:space="preserve">, </w:t>
            </w:r>
            <w:r w:rsidRPr="0024114A">
              <w:rPr>
                <w:rFonts w:cs="Times New Roman"/>
                <w:b/>
                <w:color w:val="000000" w:themeColor="text1"/>
                <w:szCs w:val="24"/>
              </w:rPr>
              <w:t>to the skin</w:t>
            </w:r>
            <w:r w:rsidRPr="0024114A">
              <w:rPr>
                <w:rFonts w:cs="Times New Roman"/>
                <w:color w:val="000000" w:themeColor="text1"/>
                <w:szCs w:val="24"/>
                <w:lang w:val="en-US"/>
              </w:rPr>
              <w:t xml:space="preserve">: </w:t>
            </w:r>
          </w:p>
          <w:p w14:paraId="298EF878" w14:textId="77777777" w:rsidR="002F635D" w:rsidRPr="0024114A" w:rsidRDefault="002F635D" w:rsidP="002D6DD7">
            <w:pPr>
              <w:autoSpaceDE w:val="0"/>
              <w:autoSpaceDN w:val="0"/>
              <w:adjustRightInd w:val="0"/>
              <w:jc w:val="both"/>
              <w:rPr>
                <w:rFonts w:cs="Times New Roman"/>
                <w:b/>
                <w:bCs/>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Apply 1–2 times a day, to be applied thinly</w:t>
            </w:r>
          </w:p>
          <w:p w14:paraId="6CDEDCCC"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rPr>
              <w:t>Nappy rash</w:t>
            </w:r>
            <w:r w:rsidRPr="0024114A">
              <w:rPr>
                <w:rFonts w:cs="Times New Roman"/>
                <w:color w:val="000000" w:themeColor="text1"/>
                <w:szCs w:val="24"/>
                <w:lang w:val="en-US"/>
              </w:rPr>
              <w:t xml:space="preserve">, </w:t>
            </w:r>
            <w:r w:rsidRPr="0024114A">
              <w:rPr>
                <w:rFonts w:cs="Times New Roman"/>
                <w:b/>
                <w:color w:val="000000" w:themeColor="text1"/>
                <w:szCs w:val="24"/>
              </w:rPr>
              <w:t>to the skin</w:t>
            </w:r>
            <w:r w:rsidRPr="0024114A">
              <w:rPr>
                <w:rFonts w:cs="Times New Roman"/>
                <w:color w:val="000000" w:themeColor="text1"/>
                <w:szCs w:val="24"/>
                <w:lang w:val="en-US"/>
              </w:rPr>
              <w:t xml:space="preserve">: </w:t>
            </w:r>
          </w:p>
          <w:p w14:paraId="3CC969B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rPr>
              <w:t>Child</w:t>
            </w:r>
            <w:r w:rsidRPr="0024114A">
              <w:rPr>
                <w:rFonts w:cs="Times New Roman"/>
                <w:color w:val="000000" w:themeColor="text1"/>
                <w:szCs w:val="24"/>
              </w:rPr>
              <w:t>: Apply 1–2 times a day for no longer than 1 week, discontinued as soon as the inflammation subsides</w:t>
            </w:r>
            <w:r w:rsidRPr="0024114A">
              <w:rPr>
                <w:rFonts w:cs="Times New Roman"/>
                <w:color w:val="000000" w:themeColor="text1"/>
                <w:szCs w:val="24"/>
                <w:lang w:val="en-US"/>
              </w:rPr>
              <w:t>.</w:t>
            </w:r>
          </w:p>
        </w:tc>
      </w:tr>
      <w:tr w:rsidR="002F635D" w:rsidRPr="0024114A" w14:paraId="25DF438A" w14:textId="77777777" w:rsidTr="002D6DD7">
        <w:trPr>
          <w:trHeight w:val="9"/>
          <w:jc w:val="center"/>
        </w:trPr>
        <w:tc>
          <w:tcPr>
            <w:tcW w:w="2903" w:type="dxa"/>
          </w:tcPr>
          <w:p w14:paraId="2A5609C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7285" w:type="dxa"/>
          </w:tcPr>
          <w:p w14:paraId="41C10B6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Untreated skin infections or broken skin,</w:t>
            </w:r>
            <w:r w:rsidR="00173A78">
              <w:rPr>
                <w:rFonts w:cs="Times New Roman"/>
                <w:color w:val="000000" w:themeColor="text1"/>
                <w:szCs w:val="24"/>
                <w:lang w:val="en-US"/>
              </w:rPr>
              <w:t xml:space="preserve"> </w:t>
            </w:r>
            <w:r w:rsidRPr="0024114A">
              <w:rPr>
                <w:rFonts w:cs="Times New Roman"/>
                <w:color w:val="000000" w:themeColor="text1"/>
                <w:szCs w:val="24"/>
                <w:lang w:val="en-US"/>
              </w:rPr>
              <w:t>hypersensitivity, peri</w:t>
            </w:r>
            <w:r w:rsidRPr="00173A78">
              <w:rPr>
                <w:rFonts w:cs="Times New Roman"/>
                <w:color w:val="000000" w:themeColor="text1"/>
                <w:szCs w:val="24"/>
                <w:lang w:val="en-US"/>
              </w:rPr>
              <w:t xml:space="preserve">oral </w:t>
            </w:r>
            <w:r w:rsidRPr="0024114A">
              <w:rPr>
                <w:rFonts w:cs="Times New Roman"/>
                <w:color w:val="000000" w:themeColor="text1"/>
                <w:szCs w:val="24"/>
                <w:lang w:val="en-US"/>
              </w:rPr>
              <w:t>dermatitis, ophthalmic use, diaper dermatitis.</w:t>
            </w:r>
          </w:p>
        </w:tc>
      </w:tr>
      <w:tr w:rsidR="002F635D" w:rsidRPr="0024114A" w14:paraId="5A9B781D" w14:textId="77777777" w:rsidTr="002D6DD7">
        <w:trPr>
          <w:trHeight w:val="3"/>
          <w:jc w:val="center"/>
        </w:trPr>
        <w:tc>
          <w:tcPr>
            <w:tcW w:w="2903" w:type="dxa"/>
          </w:tcPr>
          <w:p w14:paraId="012EC5C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7A66F39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66278A03" w14:textId="77777777" w:rsidTr="002D6DD7">
        <w:trPr>
          <w:trHeight w:val="3"/>
          <w:jc w:val="center"/>
        </w:trPr>
        <w:tc>
          <w:tcPr>
            <w:tcW w:w="2903" w:type="dxa"/>
          </w:tcPr>
          <w:p w14:paraId="195BE5F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759166F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Folliculitis, steroid rosacea, perioral dermatitis, skin atrophy, delayed </w:t>
            </w:r>
            <w:r w:rsidRPr="0024114A">
              <w:rPr>
                <w:rFonts w:cs="Times New Roman"/>
                <w:color w:val="000000" w:themeColor="text1"/>
                <w:szCs w:val="24"/>
                <w:lang w:val="en-US"/>
              </w:rPr>
              <w:lastRenderedPageBreak/>
              <w:t>wound healing, dilatation of superficial blood vessels, formation of striae, purpura, depigmentation, telangiectasia, acneiform eruptions at site of application, allergic contact dermatitis.</w:t>
            </w:r>
          </w:p>
        </w:tc>
      </w:tr>
      <w:tr w:rsidR="002F635D" w:rsidRPr="0024114A" w14:paraId="2E7B6758" w14:textId="77777777" w:rsidTr="002D6DD7">
        <w:trPr>
          <w:trHeight w:val="28"/>
          <w:jc w:val="center"/>
        </w:trPr>
        <w:tc>
          <w:tcPr>
            <w:tcW w:w="2903" w:type="dxa"/>
          </w:tcPr>
          <w:p w14:paraId="15E67A2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 xml:space="preserve">Cautions </w:t>
            </w:r>
          </w:p>
        </w:tc>
        <w:tc>
          <w:tcPr>
            <w:tcW w:w="7285" w:type="dxa"/>
          </w:tcPr>
          <w:p w14:paraId="45E99EB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Prolonged use in children, use on weeping lesions, risk of </w:t>
            </w:r>
            <w:r w:rsidRPr="0024114A">
              <w:rPr>
                <w:rFonts w:cs="Times New Roman"/>
                <w:i/>
                <w:iCs/>
                <w:color w:val="000000" w:themeColor="text1"/>
                <w:szCs w:val="24"/>
                <w:lang w:val="en-US"/>
              </w:rPr>
              <w:t>Kaposi sarcoma</w:t>
            </w:r>
          </w:p>
        </w:tc>
      </w:tr>
      <w:tr w:rsidR="002F635D" w:rsidRPr="0024114A" w14:paraId="1CD6A34F" w14:textId="77777777" w:rsidTr="002D6DD7">
        <w:trPr>
          <w:trHeight w:val="14"/>
          <w:jc w:val="center"/>
        </w:trPr>
        <w:tc>
          <w:tcPr>
            <w:tcW w:w="2903" w:type="dxa"/>
          </w:tcPr>
          <w:p w14:paraId="4F3854A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3F14D25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 Protect from freezing.</w:t>
            </w:r>
          </w:p>
        </w:tc>
      </w:tr>
      <w:tr w:rsidR="002F635D" w:rsidRPr="0024114A" w14:paraId="52420B65" w14:textId="77777777" w:rsidTr="002D6DD7">
        <w:trPr>
          <w:trHeight w:val="9"/>
          <w:jc w:val="center"/>
        </w:trPr>
        <w:tc>
          <w:tcPr>
            <w:tcW w:w="10188" w:type="dxa"/>
            <w:gridSpan w:val="2"/>
          </w:tcPr>
          <w:p w14:paraId="7143D4A7"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Methyl salicylate</w:t>
            </w:r>
          </w:p>
        </w:tc>
      </w:tr>
      <w:tr w:rsidR="002F635D" w:rsidRPr="0024114A" w14:paraId="6765AF27" w14:textId="77777777" w:rsidTr="002D6DD7">
        <w:trPr>
          <w:trHeight w:val="16"/>
          <w:jc w:val="center"/>
        </w:trPr>
        <w:tc>
          <w:tcPr>
            <w:tcW w:w="2903" w:type="dxa"/>
          </w:tcPr>
          <w:p w14:paraId="4ABBFDE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29095DF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Non-steroidal anti-inflammatory drug(topical)</w:t>
            </w:r>
          </w:p>
        </w:tc>
      </w:tr>
      <w:tr w:rsidR="002F635D" w:rsidRPr="0024114A" w14:paraId="25540EEB" w14:textId="77777777" w:rsidTr="002D6DD7">
        <w:trPr>
          <w:trHeight w:val="10"/>
          <w:jc w:val="center"/>
        </w:trPr>
        <w:tc>
          <w:tcPr>
            <w:tcW w:w="2903" w:type="dxa"/>
          </w:tcPr>
          <w:p w14:paraId="42FD6BB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0F1B4C8A"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25% w/w</w:t>
            </w:r>
          </w:p>
        </w:tc>
      </w:tr>
      <w:tr w:rsidR="002F635D" w:rsidRPr="0024114A" w14:paraId="00636E7E" w14:textId="77777777" w:rsidTr="002D6DD7">
        <w:trPr>
          <w:trHeight w:val="14"/>
          <w:jc w:val="center"/>
        </w:trPr>
        <w:tc>
          <w:tcPr>
            <w:tcW w:w="2903" w:type="dxa"/>
          </w:tcPr>
          <w:p w14:paraId="24CD1D7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6BF0651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eastAsia="SimSun" w:cs="Times New Roman"/>
                <w:color w:val="000000" w:themeColor="text1"/>
                <w:szCs w:val="24"/>
                <w:lang w:val="en-US"/>
              </w:rPr>
              <w:t xml:space="preserve">For </w:t>
            </w:r>
            <w:r w:rsidRPr="0024114A">
              <w:rPr>
                <w:rFonts w:eastAsia="SimSun" w:cs="Times New Roman"/>
                <w:color w:val="000000" w:themeColor="text1"/>
                <w:szCs w:val="24"/>
              </w:rPr>
              <w:t>temporary relief of minor aches and pains of muscles and joints, such as simple backache, lumbago, arthritis, neuralgia, strains, bruises, and sprains.</w:t>
            </w:r>
          </w:p>
        </w:tc>
      </w:tr>
      <w:tr w:rsidR="002F635D" w:rsidRPr="0024114A" w14:paraId="79645B82" w14:textId="77777777" w:rsidTr="002D6DD7">
        <w:trPr>
          <w:trHeight w:val="37"/>
          <w:jc w:val="center"/>
        </w:trPr>
        <w:tc>
          <w:tcPr>
            <w:tcW w:w="2903" w:type="dxa"/>
          </w:tcPr>
          <w:p w14:paraId="0192756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6AAD8DAF" w14:textId="77777777" w:rsidR="002F635D" w:rsidRPr="0024114A" w:rsidRDefault="002F635D" w:rsidP="002D6DD7">
            <w:pPr>
              <w:autoSpaceDE w:val="0"/>
              <w:autoSpaceDN w:val="0"/>
              <w:adjustRightInd w:val="0"/>
              <w:jc w:val="both"/>
              <w:rPr>
                <w:rFonts w:eastAsia="SimSun" w:cs="Times New Roman"/>
                <w:color w:val="000000" w:themeColor="text1"/>
                <w:szCs w:val="24"/>
              </w:rPr>
            </w:pPr>
            <w:r w:rsidRPr="0024114A">
              <w:rPr>
                <w:rFonts w:eastAsia="SimSun" w:cs="Times New Roman"/>
                <w:b/>
                <w:bCs/>
                <w:color w:val="000000" w:themeColor="text1"/>
                <w:szCs w:val="24"/>
              </w:rPr>
              <w:t>Adults and child 2 years and olde</w:t>
            </w:r>
            <w:r w:rsidRPr="0024114A">
              <w:rPr>
                <w:rFonts w:eastAsia="SimSun" w:cs="Times New Roman"/>
                <w:color w:val="000000" w:themeColor="text1"/>
                <w:szCs w:val="24"/>
              </w:rPr>
              <w:t>r</w:t>
            </w:r>
            <w:r w:rsidRPr="0024114A">
              <w:rPr>
                <w:rFonts w:eastAsia="SimSun" w:cs="Times New Roman"/>
                <w:color w:val="000000" w:themeColor="text1"/>
                <w:szCs w:val="24"/>
                <w:lang w:val="en-US"/>
              </w:rPr>
              <w:t>:</w:t>
            </w:r>
            <w:r w:rsidRPr="0024114A">
              <w:rPr>
                <w:rFonts w:eastAsia="SimSun" w:cs="Times New Roman"/>
                <w:color w:val="000000" w:themeColor="text1"/>
                <w:szCs w:val="24"/>
              </w:rPr>
              <w:t xml:space="preserve"> Apply externally to the affected area up to 3 to 4 times a day. </w:t>
            </w:r>
          </w:p>
          <w:p w14:paraId="1F21686D" w14:textId="77777777" w:rsidR="002F635D" w:rsidRPr="0024114A" w:rsidRDefault="002F635D" w:rsidP="002D6DD7">
            <w:pPr>
              <w:autoSpaceDE w:val="0"/>
              <w:autoSpaceDN w:val="0"/>
              <w:adjustRightInd w:val="0"/>
              <w:jc w:val="both"/>
              <w:rPr>
                <w:rFonts w:eastAsia="SimSun" w:cs="Times New Roman"/>
                <w:color w:val="000000" w:themeColor="text1"/>
                <w:szCs w:val="24"/>
              </w:rPr>
            </w:pPr>
            <w:r w:rsidRPr="0024114A">
              <w:rPr>
                <w:rFonts w:eastAsia="SimSun" w:cs="Times New Roman"/>
                <w:b/>
                <w:bCs/>
                <w:color w:val="000000" w:themeColor="text1"/>
                <w:szCs w:val="24"/>
                <w:lang w:val="en-US"/>
              </w:rPr>
              <w:t>Child</w:t>
            </w:r>
            <w:r w:rsidRPr="0024114A">
              <w:rPr>
                <w:rFonts w:eastAsia="SimSun" w:cs="Times New Roman"/>
                <w:b/>
                <w:bCs/>
                <w:color w:val="000000" w:themeColor="text1"/>
                <w:szCs w:val="24"/>
              </w:rPr>
              <w:t>under 2 years</w:t>
            </w:r>
            <w:r w:rsidRPr="0024114A">
              <w:rPr>
                <w:rFonts w:eastAsia="SimSun" w:cs="Times New Roman"/>
                <w:color w:val="000000" w:themeColor="text1"/>
                <w:szCs w:val="24"/>
                <w:lang w:val="en-US"/>
              </w:rPr>
              <w:t>:</w:t>
            </w:r>
            <w:r w:rsidRPr="0024114A">
              <w:rPr>
                <w:rFonts w:eastAsia="SimSun" w:cs="Times New Roman"/>
                <w:color w:val="000000" w:themeColor="text1"/>
                <w:szCs w:val="24"/>
              </w:rPr>
              <w:t xml:space="preserve"> To be used as per prescribers’ advice.</w:t>
            </w:r>
          </w:p>
          <w:p w14:paraId="5FAFE155" w14:textId="77777777" w:rsidR="002F635D" w:rsidRPr="0024114A" w:rsidRDefault="002F635D" w:rsidP="002D6DD7">
            <w:pPr>
              <w:autoSpaceDE w:val="0"/>
              <w:autoSpaceDN w:val="0"/>
              <w:adjustRightInd w:val="0"/>
              <w:jc w:val="both"/>
              <w:rPr>
                <w:rFonts w:cs="Times New Roman"/>
                <w:i/>
                <w:iCs/>
                <w:color w:val="000000" w:themeColor="text1"/>
                <w:szCs w:val="24"/>
                <w:lang w:val="en-US"/>
              </w:rPr>
            </w:pPr>
            <w:r w:rsidRPr="0024114A">
              <w:rPr>
                <w:rFonts w:eastAsia="SimSun" w:cs="Times New Roman"/>
                <w:i/>
                <w:iCs/>
                <w:color w:val="000000" w:themeColor="text1"/>
                <w:szCs w:val="24"/>
              </w:rPr>
              <w:t>Note: do not apply to broken skin.</w:t>
            </w:r>
          </w:p>
        </w:tc>
      </w:tr>
      <w:tr w:rsidR="002F635D" w:rsidRPr="0024114A" w14:paraId="0E38F307" w14:textId="77777777" w:rsidTr="002D6DD7">
        <w:trPr>
          <w:trHeight w:val="12"/>
          <w:jc w:val="center"/>
        </w:trPr>
        <w:tc>
          <w:tcPr>
            <w:tcW w:w="2903" w:type="dxa"/>
          </w:tcPr>
          <w:p w14:paraId="1A177E1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7285" w:type="dxa"/>
          </w:tcPr>
          <w:p w14:paraId="124C2520" w14:textId="77777777" w:rsidR="002F635D" w:rsidRPr="0024114A" w:rsidRDefault="002F635D" w:rsidP="002D6DD7">
            <w:pPr>
              <w:jc w:val="both"/>
              <w:rPr>
                <w:rFonts w:cs="Times New Roman"/>
                <w:color w:val="000000" w:themeColor="text1"/>
                <w:szCs w:val="24"/>
                <w:lang w:val="en-US"/>
              </w:rPr>
            </w:pPr>
            <w:r w:rsidRPr="0024114A">
              <w:rPr>
                <w:rFonts w:eastAsia="SimSun" w:cs="Times New Roman"/>
                <w:color w:val="000000" w:themeColor="text1"/>
                <w:szCs w:val="24"/>
              </w:rPr>
              <w:t>Hypersensitive to the drug</w:t>
            </w:r>
          </w:p>
        </w:tc>
      </w:tr>
      <w:tr w:rsidR="002F635D" w:rsidRPr="0024114A" w14:paraId="36EC7404" w14:textId="77777777" w:rsidTr="002D6DD7">
        <w:trPr>
          <w:trHeight w:val="14"/>
          <w:jc w:val="center"/>
        </w:trPr>
        <w:tc>
          <w:tcPr>
            <w:tcW w:w="2903" w:type="dxa"/>
          </w:tcPr>
          <w:p w14:paraId="39D0021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7BEC6505" w14:textId="77777777" w:rsidR="002F635D" w:rsidRPr="0024114A" w:rsidRDefault="002F635D" w:rsidP="002D6DD7">
            <w:pPr>
              <w:jc w:val="both"/>
              <w:rPr>
                <w:rFonts w:cs="Times New Roman"/>
                <w:color w:val="000000" w:themeColor="text1"/>
                <w:szCs w:val="24"/>
                <w:lang w:val="en-US"/>
              </w:rPr>
            </w:pPr>
            <w:r w:rsidRPr="0024114A">
              <w:rPr>
                <w:rFonts w:eastAsia="SimSun" w:cs="Times New Roman"/>
                <w:color w:val="000000" w:themeColor="text1"/>
                <w:szCs w:val="24"/>
                <w:lang w:val="en-US"/>
              </w:rPr>
              <w:t xml:space="preserve">There are no known significant drug inetractions. </w:t>
            </w:r>
          </w:p>
        </w:tc>
      </w:tr>
      <w:tr w:rsidR="002F635D" w:rsidRPr="0024114A" w14:paraId="76694AB2" w14:textId="77777777" w:rsidTr="002D6DD7">
        <w:trPr>
          <w:trHeight w:val="14"/>
          <w:jc w:val="center"/>
        </w:trPr>
        <w:tc>
          <w:tcPr>
            <w:tcW w:w="2903" w:type="dxa"/>
          </w:tcPr>
          <w:p w14:paraId="282B996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2BA8664C" w14:textId="77777777" w:rsidR="002F635D" w:rsidRPr="0024114A" w:rsidRDefault="002F635D" w:rsidP="002D6DD7">
            <w:pPr>
              <w:jc w:val="both"/>
              <w:rPr>
                <w:rFonts w:cs="Times New Roman"/>
                <w:color w:val="000000" w:themeColor="text1"/>
                <w:szCs w:val="24"/>
                <w:lang w:val="en-US"/>
              </w:rPr>
            </w:pPr>
            <w:r w:rsidRPr="0024114A">
              <w:rPr>
                <w:rFonts w:eastAsia="Arial" w:cs="Times New Roman"/>
                <w:color w:val="000000" w:themeColor="text1"/>
                <w:szCs w:val="24"/>
                <w:shd w:val="clear" w:color="auto" w:fill="FFFFFF"/>
                <w:lang w:val="en-US"/>
              </w:rPr>
              <w:t>Burning sensatition, itching, sweeling, rash</w:t>
            </w:r>
          </w:p>
        </w:tc>
      </w:tr>
      <w:tr w:rsidR="002F635D" w:rsidRPr="0024114A" w14:paraId="5BFB6AD1" w14:textId="77777777" w:rsidTr="002D6DD7">
        <w:trPr>
          <w:trHeight w:val="9"/>
          <w:jc w:val="center"/>
        </w:trPr>
        <w:tc>
          <w:tcPr>
            <w:tcW w:w="2903" w:type="dxa"/>
          </w:tcPr>
          <w:p w14:paraId="40638DB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46418E43" w14:textId="77777777" w:rsidR="002F635D" w:rsidRPr="0024114A" w:rsidRDefault="002F635D" w:rsidP="002D6DD7">
            <w:pPr>
              <w:jc w:val="both"/>
              <w:rPr>
                <w:rFonts w:cs="Times New Roman"/>
                <w:color w:val="000000" w:themeColor="text1"/>
                <w:szCs w:val="24"/>
                <w:lang w:val="en-US"/>
              </w:rPr>
            </w:pPr>
            <w:r w:rsidRPr="0024114A">
              <w:rPr>
                <w:rFonts w:eastAsia="SimSun" w:cs="Times New Roman"/>
                <w:color w:val="000000" w:themeColor="text1"/>
                <w:szCs w:val="24"/>
              </w:rPr>
              <w:t>Contact with eyes.</w:t>
            </w:r>
          </w:p>
        </w:tc>
      </w:tr>
      <w:tr w:rsidR="002F635D" w:rsidRPr="0024114A" w14:paraId="515854EE" w14:textId="77777777" w:rsidTr="002D6DD7">
        <w:trPr>
          <w:trHeight w:val="3"/>
          <w:jc w:val="center"/>
        </w:trPr>
        <w:tc>
          <w:tcPr>
            <w:tcW w:w="2903" w:type="dxa"/>
          </w:tcPr>
          <w:p w14:paraId="573DC2E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776AA56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w:t>
            </w:r>
          </w:p>
        </w:tc>
      </w:tr>
      <w:tr w:rsidR="002F635D" w:rsidRPr="0024114A" w14:paraId="724925A3" w14:textId="77777777" w:rsidTr="002D6DD7">
        <w:trPr>
          <w:trHeight w:val="3"/>
          <w:jc w:val="center"/>
        </w:trPr>
        <w:tc>
          <w:tcPr>
            <w:tcW w:w="10188" w:type="dxa"/>
            <w:gridSpan w:val="2"/>
          </w:tcPr>
          <w:p w14:paraId="44BF19AF"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Mometasone furoate</w:t>
            </w:r>
          </w:p>
        </w:tc>
      </w:tr>
      <w:tr w:rsidR="002F635D" w:rsidRPr="0024114A" w14:paraId="06871E1E" w14:textId="77777777" w:rsidTr="002D6DD7">
        <w:trPr>
          <w:trHeight w:val="3"/>
          <w:jc w:val="center"/>
        </w:trPr>
        <w:tc>
          <w:tcPr>
            <w:tcW w:w="2903" w:type="dxa"/>
          </w:tcPr>
          <w:p w14:paraId="7B35E0F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5D043C3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Corticosteroid(topical)</w:t>
            </w:r>
          </w:p>
        </w:tc>
      </w:tr>
      <w:tr w:rsidR="002F635D" w:rsidRPr="0024114A" w14:paraId="722C5038" w14:textId="77777777" w:rsidTr="002D6DD7">
        <w:trPr>
          <w:trHeight w:val="3"/>
          <w:jc w:val="center"/>
        </w:trPr>
        <w:tc>
          <w:tcPr>
            <w:tcW w:w="2903" w:type="dxa"/>
          </w:tcPr>
          <w:p w14:paraId="089B1C5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419B45B1"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Cream: 0.1%</w:t>
            </w:r>
          </w:p>
          <w:p w14:paraId="7CCD7C7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0.1%</w:t>
            </w:r>
          </w:p>
        </w:tc>
      </w:tr>
      <w:tr w:rsidR="002F635D" w:rsidRPr="0024114A" w14:paraId="1A3B7B92" w14:textId="77777777" w:rsidTr="002D6DD7">
        <w:trPr>
          <w:trHeight w:val="3"/>
          <w:jc w:val="center"/>
        </w:trPr>
        <w:tc>
          <w:tcPr>
            <w:tcW w:w="2903" w:type="dxa"/>
          </w:tcPr>
          <w:p w14:paraId="290E6B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2946BFD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Severe inflammatory skin disorders such as eczemas unresponsive to less potent corticosteroids, psoriasis.</w:t>
            </w:r>
          </w:p>
        </w:tc>
      </w:tr>
      <w:tr w:rsidR="002F635D" w:rsidRPr="0024114A" w14:paraId="04B2B17A" w14:textId="77777777" w:rsidTr="002D6DD7">
        <w:trPr>
          <w:trHeight w:val="3"/>
          <w:jc w:val="center"/>
        </w:trPr>
        <w:tc>
          <w:tcPr>
            <w:tcW w:w="2903" w:type="dxa"/>
          </w:tcPr>
          <w:p w14:paraId="7700544C"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62AED3A7"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Severe inflammatory skin disorders such as eczemas unresponsive to less potent corticosteroids, psoriasis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67FAAB2C"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w:t>
            </w:r>
            <w:r w:rsidR="00173A78">
              <w:rPr>
                <w:rFonts w:cs="Times New Roman"/>
                <w:color w:val="000000" w:themeColor="text1"/>
                <w:szCs w:val="24"/>
                <w:lang w:val="en-US"/>
              </w:rPr>
              <w:t xml:space="preserve"> </w:t>
            </w:r>
            <w:r w:rsidRPr="0024114A">
              <w:rPr>
                <w:rFonts w:cs="Times New Roman"/>
                <w:color w:val="000000" w:themeColor="text1"/>
                <w:szCs w:val="24"/>
                <w:lang w:val="en-US"/>
              </w:rPr>
              <w:t>Apply thinly once daily; to scalp, in case of lotion</w:t>
            </w:r>
          </w:p>
          <w:p w14:paraId="16859A5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lastRenderedPageBreak/>
              <w:t>Severe inflammatory skin disorders, such as eczema, unresponsive to less potent corticosteroids and psoriasi</w:t>
            </w:r>
            <w:r w:rsidRPr="0024114A">
              <w:rPr>
                <w:rFonts w:cs="Times New Roman"/>
                <w:color w:val="000000" w:themeColor="text1"/>
                <w:szCs w:val="24"/>
                <w:lang w:val="en-US"/>
              </w:rPr>
              <w:t xml:space="preserve">s, </w:t>
            </w:r>
            <w:r w:rsidRPr="0024114A">
              <w:rPr>
                <w:rFonts w:cs="Times New Roman"/>
                <w:b/>
                <w:color w:val="000000" w:themeColor="text1"/>
                <w:szCs w:val="24"/>
                <w:lang w:val="en-US"/>
              </w:rPr>
              <w:t>to the skin</w:t>
            </w:r>
            <w:r w:rsidRPr="0024114A">
              <w:rPr>
                <w:rFonts w:cs="Times New Roman"/>
                <w:color w:val="000000" w:themeColor="text1"/>
                <w:szCs w:val="24"/>
                <w:lang w:val="en-US"/>
              </w:rPr>
              <w:t>:</w:t>
            </w:r>
          </w:p>
          <w:p w14:paraId="1E7ECFE7" w14:textId="77777777" w:rsidR="002F635D" w:rsidRPr="0024114A" w:rsidRDefault="002F635D" w:rsidP="002D6DD7">
            <w:pPr>
              <w:autoSpaceDE w:val="0"/>
              <w:autoSpaceDN w:val="0"/>
              <w:adjustRightInd w:val="0"/>
              <w:ind w:left="120" w:hangingChars="50" w:hanging="120"/>
              <w:jc w:val="both"/>
              <w:rPr>
                <w:rFonts w:cs="Times New Roman"/>
                <w:color w:val="000000" w:themeColor="text1"/>
                <w:szCs w:val="24"/>
                <w:lang w:val="en-US"/>
              </w:rPr>
            </w:pPr>
            <w:r w:rsidRPr="0024114A">
              <w:rPr>
                <w:rFonts w:cs="Times New Roman"/>
                <w:b/>
                <w:bCs/>
                <w:color w:val="000000" w:themeColor="text1"/>
                <w:szCs w:val="24"/>
                <w:lang w:val="en-US"/>
              </w:rPr>
              <w:t>Child below 2 years</w:t>
            </w:r>
            <w:r w:rsidRPr="0024114A">
              <w:rPr>
                <w:rFonts w:cs="Times New Roman"/>
                <w:color w:val="000000" w:themeColor="text1"/>
                <w:szCs w:val="24"/>
                <w:lang w:val="en-US"/>
              </w:rPr>
              <w:t>: Not recommended for use due to insufficient data on safety</w:t>
            </w:r>
          </w:p>
          <w:p w14:paraId="01FA91A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2–17 years:</w:t>
            </w:r>
            <w:r w:rsidRPr="0024114A">
              <w:rPr>
                <w:rFonts w:cs="Times New Roman"/>
                <w:color w:val="000000" w:themeColor="text1"/>
                <w:szCs w:val="24"/>
                <w:lang w:val="en-US"/>
              </w:rPr>
              <w:t xml:space="preserve"> Apply thinly once daily; to scalp in case of lotion</w:t>
            </w:r>
          </w:p>
        </w:tc>
      </w:tr>
      <w:tr w:rsidR="002F635D" w:rsidRPr="0024114A" w14:paraId="58E60CC0" w14:textId="77777777" w:rsidTr="002D6DD7">
        <w:trPr>
          <w:trHeight w:val="3"/>
          <w:jc w:val="center"/>
        </w:trPr>
        <w:tc>
          <w:tcPr>
            <w:tcW w:w="2903" w:type="dxa"/>
          </w:tcPr>
          <w:p w14:paraId="564F47D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7285" w:type="dxa"/>
          </w:tcPr>
          <w:p w14:paraId="3A83447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Hypersensitivity to the drug, primary infectious ulcers, acne vulgaris, facial rosasea, skin atrophy, perioral dermatitis, perianal and genital dermatitis, napkin erruptions, viral skin infections, impetigo, fungal skin infections. </w:t>
            </w:r>
          </w:p>
        </w:tc>
      </w:tr>
      <w:tr w:rsidR="002F635D" w:rsidRPr="0024114A" w14:paraId="3880515E" w14:textId="77777777" w:rsidTr="002D6DD7">
        <w:trPr>
          <w:trHeight w:val="3"/>
          <w:jc w:val="center"/>
        </w:trPr>
        <w:tc>
          <w:tcPr>
            <w:tcW w:w="2903" w:type="dxa"/>
          </w:tcPr>
          <w:p w14:paraId="0C84103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416E1DF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Salicylic acid, azole antifungals (itraconazole, ketoconazole, voriconazole), cobicistat, protease inhibitors, macrolides (clarithromycin), mifepristone.</w:t>
            </w:r>
          </w:p>
        </w:tc>
      </w:tr>
      <w:tr w:rsidR="002F635D" w:rsidRPr="0024114A" w14:paraId="7DCAA311" w14:textId="77777777" w:rsidTr="002D6DD7">
        <w:trPr>
          <w:trHeight w:val="3"/>
          <w:jc w:val="center"/>
        </w:trPr>
        <w:tc>
          <w:tcPr>
            <w:tcW w:w="2903" w:type="dxa"/>
          </w:tcPr>
          <w:p w14:paraId="2DBE455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7775D0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Burning, tingling, pruritis, when applied over large areas, over abraded or in occlusive dressing can lead to systemic absorption with adrenal suppression.</w:t>
            </w:r>
          </w:p>
        </w:tc>
      </w:tr>
      <w:tr w:rsidR="002F635D" w:rsidRPr="0024114A" w14:paraId="03E68A8F" w14:textId="77777777" w:rsidTr="002D6DD7">
        <w:trPr>
          <w:trHeight w:val="3"/>
          <w:jc w:val="center"/>
        </w:trPr>
        <w:tc>
          <w:tcPr>
            <w:tcW w:w="2903" w:type="dxa"/>
          </w:tcPr>
          <w:p w14:paraId="61DEB48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37C10B9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Children (prolonged use&gt; 3 months), elderly, contact with eyes,</w:t>
            </w:r>
            <w:r w:rsidR="00173A78">
              <w:rPr>
                <w:rFonts w:cs="Times New Roman"/>
                <w:color w:val="000000" w:themeColor="text1"/>
                <w:szCs w:val="24"/>
                <w:lang w:val="en-US"/>
              </w:rPr>
              <w:t xml:space="preserve"> </w:t>
            </w:r>
            <w:r w:rsidRPr="0024114A">
              <w:rPr>
                <w:rFonts w:cs="Times New Roman"/>
                <w:color w:val="000000" w:themeColor="text1"/>
                <w:szCs w:val="24"/>
                <w:lang w:val="en-US"/>
              </w:rPr>
              <w:t>pregnancy, breastfeeding</w:t>
            </w:r>
            <w:r w:rsidR="00173A78">
              <w:rPr>
                <w:rFonts w:cs="Times New Roman"/>
                <w:color w:val="000000" w:themeColor="text1"/>
                <w:szCs w:val="24"/>
                <w:lang w:val="en-US"/>
              </w:rPr>
              <w:t>.</w:t>
            </w:r>
          </w:p>
        </w:tc>
      </w:tr>
      <w:tr w:rsidR="002F635D" w:rsidRPr="0024114A" w14:paraId="048929B4" w14:textId="77777777" w:rsidTr="002D6DD7">
        <w:trPr>
          <w:trHeight w:val="3"/>
          <w:jc w:val="center"/>
        </w:trPr>
        <w:tc>
          <w:tcPr>
            <w:tcW w:w="2903" w:type="dxa"/>
          </w:tcPr>
          <w:p w14:paraId="3E5E363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3F53950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 °C.</w:t>
            </w:r>
          </w:p>
        </w:tc>
      </w:tr>
      <w:tr w:rsidR="002F635D" w:rsidRPr="0024114A" w14:paraId="45F624BE" w14:textId="77777777" w:rsidTr="002D6DD7">
        <w:trPr>
          <w:trHeight w:val="6"/>
          <w:jc w:val="center"/>
        </w:trPr>
        <w:tc>
          <w:tcPr>
            <w:tcW w:w="10188" w:type="dxa"/>
            <w:gridSpan w:val="2"/>
          </w:tcPr>
          <w:p w14:paraId="1D11910B"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Propranolol</w:t>
            </w:r>
          </w:p>
        </w:tc>
      </w:tr>
      <w:tr w:rsidR="002F635D" w:rsidRPr="0024114A" w14:paraId="1F3375E2" w14:textId="77777777" w:rsidTr="002D6DD7">
        <w:trPr>
          <w:trHeight w:val="11"/>
          <w:jc w:val="center"/>
        </w:trPr>
        <w:tc>
          <w:tcPr>
            <w:tcW w:w="2903" w:type="dxa"/>
          </w:tcPr>
          <w:p w14:paraId="0EEC6D6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1F2D12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Non</w:t>
            </w:r>
            <w:r w:rsidR="00173A78">
              <w:rPr>
                <w:rFonts w:cs="Times New Roman"/>
                <w:color w:val="000000" w:themeColor="text1"/>
                <w:szCs w:val="24"/>
                <w:lang w:val="en-US"/>
              </w:rPr>
              <w:t>-</w:t>
            </w:r>
            <w:r w:rsidRPr="0024114A">
              <w:rPr>
                <w:rFonts w:cs="Times New Roman"/>
                <w:color w:val="000000" w:themeColor="text1"/>
                <w:szCs w:val="24"/>
                <w:lang w:val="en-US"/>
              </w:rPr>
              <w:t>selective beta blockers</w:t>
            </w:r>
          </w:p>
        </w:tc>
      </w:tr>
      <w:tr w:rsidR="002F635D" w:rsidRPr="0024114A" w14:paraId="6BB83876" w14:textId="77777777" w:rsidTr="002D6DD7">
        <w:trPr>
          <w:trHeight w:val="14"/>
          <w:jc w:val="center"/>
        </w:trPr>
        <w:tc>
          <w:tcPr>
            <w:tcW w:w="2903" w:type="dxa"/>
          </w:tcPr>
          <w:p w14:paraId="143E278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2F80653A"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Tablet: 5mg, 10mg</w:t>
            </w:r>
          </w:p>
        </w:tc>
      </w:tr>
      <w:tr w:rsidR="002F635D" w:rsidRPr="0024114A" w14:paraId="14E905D4" w14:textId="77777777" w:rsidTr="002D6DD7">
        <w:trPr>
          <w:trHeight w:val="12"/>
          <w:jc w:val="center"/>
        </w:trPr>
        <w:tc>
          <w:tcPr>
            <w:tcW w:w="2903" w:type="dxa"/>
          </w:tcPr>
          <w:p w14:paraId="155AF145"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7285" w:type="dxa"/>
          </w:tcPr>
          <w:p w14:paraId="5CE694D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Infantile hemangiomas </w:t>
            </w:r>
          </w:p>
        </w:tc>
      </w:tr>
      <w:tr w:rsidR="002F635D" w:rsidRPr="0024114A" w14:paraId="49C4BF42" w14:textId="77777777" w:rsidTr="002D6DD7">
        <w:trPr>
          <w:trHeight w:val="42"/>
          <w:jc w:val="center"/>
        </w:trPr>
        <w:tc>
          <w:tcPr>
            <w:tcW w:w="2903" w:type="dxa"/>
          </w:tcPr>
          <w:p w14:paraId="4A9143F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41E88204" w14:textId="77777777" w:rsidR="002F635D" w:rsidRPr="0024114A" w:rsidRDefault="002F635D" w:rsidP="002D6DD7">
            <w:pPr>
              <w:autoSpaceDE w:val="0"/>
              <w:autoSpaceDN w:val="0"/>
              <w:adjustRightInd w:val="0"/>
              <w:jc w:val="both"/>
              <w:rPr>
                <w:rFonts w:eastAsia="Arial" w:cs="Times New Roman"/>
                <w:color w:val="040C28"/>
                <w:szCs w:val="24"/>
              </w:rPr>
            </w:pPr>
            <w:r w:rsidRPr="0024114A">
              <w:rPr>
                <w:rFonts w:eastAsia="Arial" w:cs="Times New Roman"/>
                <w:b/>
                <w:bCs/>
                <w:color w:val="040C28"/>
                <w:szCs w:val="24"/>
              </w:rPr>
              <w:t>Child under 2 years of age</w:t>
            </w:r>
            <w:r w:rsidRPr="0024114A">
              <w:rPr>
                <w:rFonts w:eastAsia="Arial" w:cs="Times New Roman"/>
                <w:b/>
                <w:bCs/>
                <w:color w:val="040C28"/>
                <w:szCs w:val="24"/>
                <w:lang w:val="en-US"/>
              </w:rPr>
              <w:t>:</w:t>
            </w:r>
            <w:r w:rsidRPr="0024114A">
              <w:rPr>
                <w:rFonts w:eastAsia="Arial" w:cs="Times New Roman"/>
                <w:bCs/>
                <w:color w:val="040C28"/>
                <w:szCs w:val="24"/>
              </w:rPr>
              <w:t xml:space="preserve"> Initiate treatment at aged 5 weeks to 5 months.</w:t>
            </w:r>
            <w:r w:rsidR="00173A78">
              <w:rPr>
                <w:rFonts w:eastAsia="Arial" w:cs="Times New Roman"/>
                <w:bCs/>
                <w:color w:val="040C28"/>
                <w:szCs w:val="24"/>
              </w:rPr>
              <w:t xml:space="preserve"> </w:t>
            </w:r>
            <w:r w:rsidRPr="0024114A">
              <w:rPr>
                <w:rFonts w:eastAsia="Arial" w:cs="Times New Roman"/>
                <w:bCs/>
                <w:color w:val="040C28"/>
                <w:szCs w:val="24"/>
              </w:rPr>
              <w:t>Initially 0.6mg/kgtwicedaily for 1 week, then increase dose to 1.1mg/kg twice daily; after 2 or more weeks, increase to maintenance dose of 1.7 mg/kg twice daily</w:t>
            </w:r>
            <w:r w:rsidRPr="0024114A">
              <w:rPr>
                <w:rFonts w:eastAsia="Arial" w:cs="Times New Roman"/>
                <w:color w:val="040C28"/>
                <w:szCs w:val="24"/>
              </w:rPr>
              <w:t xml:space="preserve">.  </w:t>
            </w:r>
          </w:p>
          <w:p w14:paraId="0FD0AAE6" w14:textId="77777777" w:rsidR="002F635D" w:rsidRPr="0024114A" w:rsidRDefault="002F635D" w:rsidP="002D6DD7">
            <w:pPr>
              <w:autoSpaceDE w:val="0"/>
              <w:autoSpaceDN w:val="0"/>
              <w:adjustRightInd w:val="0"/>
              <w:jc w:val="both"/>
              <w:rPr>
                <w:rFonts w:eastAsia="Arial" w:cs="Times New Roman"/>
                <w:color w:val="040C28"/>
                <w:szCs w:val="24"/>
              </w:rPr>
            </w:pPr>
            <w:r w:rsidRPr="0024114A">
              <w:rPr>
                <w:rFonts w:eastAsia="Arial" w:cs="Times New Roman"/>
                <w:color w:val="040C28"/>
                <w:szCs w:val="24"/>
              </w:rPr>
              <w:t>C</w:t>
            </w:r>
            <w:r w:rsidRPr="0024114A">
              <w:rPr>
                <w:rFonts w:eastAsia="Arial" w:cs="Times New Roman"/>
                <w:b/>
                <w:bCs/>
                <w:color w:val="040C28"/>
                <w:szCs w:val="24"/>
              </w:rPr>
              <w:t>hild 2 years of age or over</w:t>
            </w:r>
            <w:r w:rsidRPr="0024114A">
              <w:rPr>
                <w:rFonts w:eastAsia="Arial" w:cs="Times New Roman"/>
                <w:b/>
                <w:bCs/>
                <w:color w:val="040C28"/>
                <w:szCs w:val="24"/>
                <w:lang w:val="en-US"/>
              </w:rPr>
              <w:t xml:space="preserve">: </w:t>
            </w:r>
            <w:r w:rsidRPr="0024114A">
              <w:rPr>
                <w:rFonts w:eastAsia="Arial" w:cs="Times New Roman"/>
                <w:color w:val="040C28"/>
                <w:szCs w:val="24"/>
              </w:rPr>
              <w:t xml:space="preserve">can start at 2mg/kg/day divided into 8 hourly doses directly. Propranolol for young children is given as a liquid. The liquid is usually given as a 5mg/5ml strength.  </w:t>
            </w:r>
          </w:p>
          <w:p w14:paraId="5338EC0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eastAsia="Arial" w:cs="Times New Roman"/>
                <w:b/>
                <w:color w:val="040C28"/>
                <w:szCs w:val="24"/>
              </w:rPr>
              <w:t>Note</w:t>
            </w:r>
            <w:r w:rsidRPr="0024114A">
              <w:rPr>
                <w:rFonts w:eastAsia="Arial" w:cs="Times New Roman"/>
                <w:color w:val="040C28"/>
                <w:szCs w:val="24"/>
              </w:rPr>
              <w:t>: In infants, the product may be diluted in small quantity of milk or fruit juice and given in baby bottle.</w:t>
            </w:r>
          </w:p>
        </w:tc>
      </w:tr>
      <w:tr w:rsidR="002F635D" w:rsidRPr="0024114A" w14:paraId="08011A70" w14:textId="77777777" w:rsidTr="002D6DD7">
        <w:trPr>
          <w:trHeight w:val="15"/>
          <w:jc w:val="center"/>
        </w:trPr>
        <w:tc>
          <w:tcPr>
            <w:tcW w:w="2903" w:type="dxa"/>
          </w:tcPr>
          <w:p w14:paraId="1BEA2F94"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7285" w:type="dxa"/>
          </w:tcPr>
          <w:p w14:paraId="02300A20" w14:textId="77777777" w:rsidR="002F635D" w:rsidRPr="0024114A" w:rsidRDefault="002F635D" w:rsidP="002D6DD7">
            <w:pPr>
              <w:autoSpaceDE w:val="0"/>
              <w:autoSpaceDN w:val="0"/>
              <w:adjustRightInd w:val="0"/>
              <w:jc w:val="both"/>
              <w:rPr>
                <w:rFonts w:eastAsia="Arial" w:cs="Times New Roman"/>
                <w:color w:val="040C28"/>
                <w:szCs w:val="24"/>
                <w:lang w:val="nb-NO"/>
              </w:rPr>
            </w:pPr>
            <w:r w:rsidRPr="0024114A">
              <w:rPr>
                <w:rFonts w:eastAsia="Arial" w:cs="Times New Roman"/>
                <w:color w:val="040C28"/>
                <w:szCs w:val="24"/>
                <w:lang w:val="nb-NO"/>
              </w:rPr>
              <w:t>Refer to propranolol under medicines for upper GI bleeding.</w:t>
            </w:r>
          </w:p>
        </w:tc>
      </w:tr>
      <w:tr w:rsidR="002F635D" w:rsidRPr="0024114A" w14:paraId="3E676B62" w14:textId="77777777" w:rsidTr="002D6DD7">
        <w:trPr>
          <w:trHeight w:val="14"/>
          <w:jc w:val="center"/>
        </w:trPr>
        <w:tc>
          <w:tcPr>
            <w:tcW w:w="2903" w:type="dxa"/>
          </w:tcPr>
          <w:p w14:paraId="2D5FDFA2"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52130303" w14:textId="77777777" w:rsidR="002F635D" w:rsidRPr="0024114A" w:rsidRDefault="002F635D" w:rsidP="002D6DD7">
            <w:pPr>
              <w:autoSpaceDE w:val="0"/>
              <w:autoSpaceDN w:val="0"/>
              <w:adjustRightInd w:val="0"/>
              <w:jc w:val="both"/>
              <w:rPr>
                <w:rFonts w:eastAsia="Arial" w:cs="Times New Roman"/>
                <w:color w:val="040C28"/>
                <w:szCs w:val="24"/>
              </w:rPr>
            </w:pPr>
            <w:r w:rsidRPr="0024114A">
              <w:rPr>
                <w:rFonts w:eastAsia="Arial" w:cs="Times New Roman"/>
                <w:color w:val="040C28"/>
                <w:szCs w:val="24"/>
                <w:lang w:val="nb-NO"/>
              </w:rPr>
              <w:t>Refer to propranolol under medicines for upper GI bleeding.</w:t>
            </w:r>
          </w:p>
        </w:tc>
      </w:tr>
      <w:tr w:rsidR="002F635D" w:rsidRPr="0024114A" w14:paraId="18BA805F" w14:textId="77777777" w:rsidTr="002D6DD7">
        <w:trPr>
          <w:trHeight w:val="14"/>
          <w:jc w:val="center"/>
        </w:trPr>
        <w:tc>
          <w:tcPr>
            <w:tcW w:w="2903" w:type="dxa"/>
          </w:tcPr>
          <w:p w14:paraId="208F764E" w14:textId="77777777" w:rsidR="002F635D" w:rsidRPr="0024114A" w:rsidRDefault="002F635D" w:rsidP="002D6DD7">
            <w:pPr>
              <w:jc w:val="both"/>
              <w:rPr>
                <w:rFonts w:eastAsia="Times New Roman"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3ABA50CC" w14:textId="77777777" w:rsidR="002F635D" w:rsidRPr="0024114A" w:rsidRDefault="002F635D" w:rsidP="002D6DD7">
            <w:pPr>
              <w:autoSpaceDE w:val="0"/>
              <w:autoSpaceDN w:val="0"/>
              <w:adjustRightInd w:val="0"/>
              <w:jc w:val="both"/>
              <w:rPr>
                <w:rFonts w:eastAsia="Arial" w:cs="Times New Roman"/>
                <w:szCs w:val="24"/>
              </w:rPr>
            </w:pPr>
            <w:r w:rsidRPr="0024114A">
              <w:rPr>
                <w:rFonts w:eastAsia="Arial" w:cs="Times New Roman"/>
                <w:color w:val="040C28"/>
                <w:szCs w:val="24"/>
                <w:lang w:val="nb-NO"/>
              </w:rPr>
              <w:t>Refer to propranolol under medicines for upper GI bleeding.</w:t>
            </w:r>
          </w:p>
        </w:tc>
      </w:tr>
      <w:tr w:rsidR="002F635D" w:rsidRPr="0024114A" w14:paraId="5286FB4F" w14:textId="77777777" w:rsidTr="002D6DD7">
        <w:trPr>
          <w:trHeight w:val="15"/>
          <w:jc w:val="center"/>
        </w:trPr>
        <w:tc>
          <w:tcPr>
            <w:tcW w:w="2903" w:type="dxa"/>
          </w:tcPr>
          <w:p w14:paraId="45DB835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1149AD38" w14:textId="77777777" w:rsidR="002F635D" w:rsidRPr="0024114A" w:rsidRDefault="002F635D" w:rsidP="002D6DD7">
            <w:pPr>
              <w:jc w:val="both"/>
              <w:rPr>
                <w:rFonts w:cs="Times New Roman"/>
                <w:color w:val="000000" w:themeColor="text1"/>
                <w:szCs w:val="24"/>
                <w:lang w:val="en-US"/>
              </w:rPr>
            </w:pPr>
            <w:r w:rsidRPr="0024114A">
              <w:rPr>
                <w:rFonts w:eastAsia="Arial" w:cs="Times New Roman"/>
                <w:color w:val="040C28"/>
                <w:szCs w:val="24"/>
                <w:lang w:val="nb-NO"/>
              </w:rPr>
              <w:t>Refer to propranolol under medicines for upper GI bleeding.</w:t>
            </w:r>
          </w:p>
        </w:tc>
      </w:tr>
      <w:tr w:rsidR="002F635D" w:rsidRPr="0024114A" w14:paraId="01C5DC18" w14:textId="77777777" w:rsidTr="002D6DD7">
        <w:trPr>
          <w:trHeight w:val="14"/>
          <w:jc w:val="center"/>
        </w:trPr>
        <w:tc>
          <w:tcPr>
            <w:tcW w:w="2903" w:type="dxa"/>
          </w:tcPr>
          <w:p w14:paraId="1F63E7D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56C2947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75CBB652" w14:textId="77777777" w:rsidTr="002D6DD7">
        <w:trPr>
          <w:trHeight w:val="14"/>
          <w:jc w:val="center"/>
        </w:trPr>
        <w:tc>
          <w:tcPr>
            <w:tcW w:w="10188" w:type="dxa"/>
            <w:gridSpan w:val="2"/>
          </w:tcPr>
          <w:p w14:paraId="1E992FCE"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Tacrolimus</w:t>
            </w:r>
          </w:p>
        </w:tc>
      </w:tr>
      <w:tr w:rsidR="002F635D" w:rsidRPr="0024114A" w14:paraId="685A109F" w14:textId="77777777" w:rsidTr="002D6DD7">
        <w:trPr>
          <w:trHeight w:val="9"/>
          <w:jc w:val="center"/>
        </w:trPr>
        <w:tc>
          <w:tcPr>
            <w:tcW w:w="2903" w:type="dxa"/>
          </w:tcPr>
          <w:p w14:paraId="231E596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5E57C62A" w14:textId="77777777" w:rsidR="002F635D" w:rsidRPr="0024114A" w:rsidRDefault="002F635D" w:rsidP="002D6DD7">
            <w:pPr>
              <w:jc w:val="both"/>
              <w:rPr>
                <w:rFonts w:cs="Times New Roman"/>
                <w:color w:val="000000" w:themeColor="text1"/>
                <w:szCs w:val="24"/>
                <w:lang w:val="en-US"/>
              </w:rPr>
            </w:pPr>
            <w:r w:rsidRPr="0024114A">
              <w:rPr>
                <w:rStyle w:val="Emphasis"/>
                <w:rFonts w:eastAsia="SimSun" w:cs="Times New Roman"/>
                <w:i w:val="0"/>
                <w:color w:val="000000" w:themeColor="text1"/>
                <w:szCs w:val="24"/>
                <w:shd w:val="clear" w:color="auto" w:fill="FFFFFF"/>
              </w:rPr>
              <w:t>Immunosuppressant</w:t>
            </w:r>
            <w:r w:rsidRPr="0024114A">
              <w:rPr>
                <w:rFonts w:eastAsia="SimSun" w:cs="Times New Roman"/>
                <w:color w:val="000000" w:themeColor="text1"/>
                <w:szCs w:val="24"/>
                <w:shd w:val="clear" w:color="auto" w:fill="FFFFFF"/>
              </w:rPr>
              <w:t> </w:t>
            </w:r>
          </w:p>
        </w:tc>
      </w:tr>
      <w:tr w:rsidR="002F635D" w:rsidRPr="0024114A" w14:paraId="3B9FCC66" w14:textId="77777777" w:rsidTr="002D6DD7">
        <w:trPr>
          <w:trHeight w:val="8"/>
          <w:jc w:val="center"/>
        </w:trPr>
        <w:tc>
          <w:tcPr>
            <w:tcW w:w="2903" w:type="dxa"/>
          </w:tcPr>
          <w:p w14:paraId="623C9C0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4A3A5A1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Ointment: 0.1% </w:t>
            </w:r>
          </w:p>
        </w:tc>
      </w:tr>
      <w:tr w:rsidR="002F635D" w:rsidRPr="0024114A" w14:paraId="067370AB" w14:textId="77777777" w:rsidTr="002D6DD7">
        <w:trPr>
          <w:trHeight w:val="88"/>
          <w:jc w:val="center"/>
        </w:trPr>
        <w:tc>
          <w:tcPr>
            <w:tcW w:w="2903" w:type="dxa"/>
          </w:tcPr>
          <w:p w14:paraId="7C7131E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1D955F3D" w14:textId="77777777" w:rsidR="002F635D" w:rsidRPr="0024114A" w:rsidRDefault="002F635D" w:rsidP="002D6DD7">
            <w:pPr>
              <w:pStyle w:val="ListParagraph"/>
              <w:widowControl/>
              <w:adjustRightInd w:val="0"/>
              <w:spacing w:line="360" w:lineRule="auto"/>
              <w:ind w:left="0" w:firstLine="0"/>
              <w:contextualSpacing/>
              <w:rPr>
                <w:color w:val="000000" w:themeColor="text1"/>
                <w:szCs w:val="24"/>
              </w:rPr>
            </w:pPr>
            <w:r w:rsidRPr="0024114A">
              <w:rPr>
                <w:color w:val="000000" w:themeColor="text1"/>
                <w:szCs w:val="24"/>
              </w:rPr>
              <w:t>Short-term treatment of moderate to severe atopic eczema (including flares) in patients unresponsive to, or intolerant of conventional therapy, prevention of flares in patients with moderate to severe atopic eczema and 4 or more flares a year who have responded to initial treatment with topical tacrolimus, short-term treatment of facial, flexural, or genital psoriasis in patients unresponsive to, or intolerant of other topical therapy</w:t>
            </w:r>
          </w:p>
        </w:tc>
      </w:tr>
      <w:tr w:rsidR="002F635D" w:rsidRPr="0024114A" w14:paraId="0B6B3580" w14:textId="77777777" w:rsidTr="002D6DD7">
        <w:trPr>
          <w:trHeight w:val="25"/>
          <w:jc w:val="center"/>
        </w:trPr>
        <w:tc>
          <w:tcPr>
            <w:tcW w:w="2903" w:type="dxa"/>
          </w:tcPr>
          <w:p w14:paraId="15B60AD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03CBA9B7" w14:textId="77777777" w:rsidR="00173A78"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Short-term treatment of moderate to severe atopic eczema (including flares) in patients unresponsive to, or intolerant of conventional therapy (initiated by a specialist)</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373A7466"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Apply twice daily until lesion clears (consider other treatment if eczema worsens or no improvement after 2 weeks), initially 0.1% ointment to be applied thinly, reduce frequency to once daily or strength of ointment to 0.03% if condition allows</w:t>
            </w:r>
          </w:p>
          <w:p w14:paraId="58903941" w14:textId="77777777" w:rsidR="002F635D" w:rsidRPr="00173A78" w:rsidRDefault="002F635D" w:rsidP="00173A78">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Prevention of flares in patients with moderate to severe</w:t>
            </w:r>
            <w:r w:rsidR="00173A78">
              <w:rPr>
                <w:rFonts w:cs="Times New Roman"/>
                <w:b/>
                <w:bCs/>
                <w:color w:val="000000" w:themeColor="text1"/>
                <w:szCs w:val="24"/>
                <w:lang w:val="en-US"/>
              </w:rPr>
              <w:t xml:space="preserve"> </w:t>
            </w:r>
            <w:r w:rsidRPr="0024114A">
              <w:rPr>
                <w:rFonts w:cs="Times New Roman"/>
                <w:b/>
                <w:bCs/>
                <w:color w:val="000000" w:themeColor="text1"/>
                <w:szCs w:val="24"/>
                <w:lang w:val="en-US"/>
              </w:rPr>
              <w:t>atopic eczema and 4 or more flares a year who have</w:t>
            </w:r>
            <w:r w:rsidR="00173A78">
              <w:rPr>
                <w:rFonts w:cs="Times New Roman"/>
                <w:b/>
                <w:bCs/>
                <w:color w:val="000000" w:themeColor="text1"/>
                <w:szCs w:val="24"/>
                <w:lang w:val="en-US"/>
              </w:rPr>
              <w:t xml:space="preserve"> </w:t>
            </w:r>
            <w:r w:rsidRPr="0024114A">
              <w:rPr>
                <w:rFonts w:cs="Times New Roman"/>
                <w:b/>
                <w:bCs/>
                <w:color w:val="000000" w:themeColor="text1"/>
                <w:szCs w:val="24"/>
                <w:lang w:val="en-US"/>
              </w:rPr>
              <w:t>responded to initial treatment with topical tacrolimus</w:t>
            </w:r>
            <w:r w:rsidR="00173A78">
              <w:rPr>
                <w:rFonts w:cs="Times New Roman"/>
                <w:b/>
                <w:bCs/>
                <w:color w:val="000000" w:themeColor="text1"/>
                <w:szCs w:val="24"/>
                <w:lang w:val="en-US"/>
              </w:rPr>
              <w:t xml:space="preserve"> </w:t>
            </w:r>
            <w:r w:rsidRPr="0024114A">
              <w:rPr>
                <w:b/>
                <w:bCs/>
                <w:color w:val="000000" w:themeColor="text1"/>
              </w:rPr>
              <w:t>(initiated by a specialist)</w:t>
            </w:r>
            <w:r w:rsidRPr="0024114A">
              <w:rPr>
                <w:color w:val="000000" w:themeColor="text1"/>
              </w:rPr>
              <w:t xml:space="preserve">, </w:t>
            </w:r>
            <w:r w:rsidRPr="0024114A">
              <w:rPr>
                <w:b/>
                <w:color w:val="000000" w:themeColor="text1"/>
              </w:rPr>
              <w:t>to the skin</w:t>
            </w:r>
            <w:r w:rsidRPr="0024114A">
              <w:rPr>
                <w:color w:val="000000" w:themeColor="text1"/>
              </w:rPr>
              <w:t>:</w:t>
            </w:r>
          </w:p>
          <w:p w14:paraId="2FF16867" w14:textId="77777777" w:rsidR="002F635D" w:rsidRPr="00173A78" w:rsidRDefault="002F635D" w:rsidP="00173A78">
            <w:pPr>
              <w:pStyle w:val="Default"/>
              <w:spacing w:line="360" w:lineRule="auto"/>
              <w:jc w:val="both"/>
              <w:rPr>
                <w:b/>
                <w:bCs/>
                <w:color w:val="000000" w:themeColor="text1"/>
              </w:rPr>
            </w:pPr>
            <w:r w:rsidRPr="0024114A">
              <w:rPr>
                <w:b/>
                <w:bCs/>
                <w:color w:val="000000" w:themeColor="text1"/>
              </w:rPr>
              <w:t>Adult:</w:t>
            </w:r>
            <w:r w:rsidRPr="0024114A">
              <w:rPr>
                <w:color w:val="000000" w:themeColor="text1"/>
              </w:rPr>
              <w:t xml:space="preserve"> Apply twice weekly, 0.1% ointment to be applied thinly, with an interval of 2–3 days between applications, use short-term treatment regimen during</w:t>
            </w:r>
            <w:r w:rsidR="00173A78">
              <w:rPr>
                <w:color w:val="000000" w:themeColor="text1"/>
              </w:rPr>
              <w:t xml:space="preserve"> </w:t>
            </w:r>
            <w:r w:rsidRPr="0024114A">
              <w:rPr>
                <w:color w:val="000000" w:themeColor="text1"/>
              </w:rPr>
              <w:t>an acute flare: review need for preventative therapy after 1 year</w:t>
            </w:r>
            <w:r w:rsidR="00173A78">
              <w:rPr>
                <w:color w:val="000000" w:themeColor="text1"/>
              </w:rPr>
              <w:t>.</w:t>
            </w:r>
          </w:p>
          <w:p w14:paraId="5B3EFF93"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w:t>
            </w:r>
            <w:r w:rsidRPr="0024114A">
              <w:rPr>
                <w:rFonts w:cs="Times New Roman"/>
                <w:b/>
                <w:bCs/>
                <w:color w:val="000000" w:themeColor="text1"/>
                <w:szCs w:val="24"/>
                <w:lang w:val="en-US"/>
              </w:rPr>
              <w:t xml:space="preserve">hort-term treatment of facial, flexural, or genital psoriasis in </w:t>
            </w:r>
            <w:r w:rsidRPr="0024114A">
              <w:rPr>
                <w:rFonts w:cs="Times New Roman"/>
                <w:b/>
                <w:bCs/>
                <w:color w:val="000000" w:themeColor="text1"/>
                <w:szCs w:val="24"/>
                <w:lang w:val="en-US"/>
              </w:rPr>
              <w:lastRenderedPageBreak/>
              <w:t>patients unresponsive to, or intolerant of other topical therapy (initiated under specialist supervision</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1ADF812C"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twice daily until symptoms resolve, 0.1% ointment to be applied thinly, reduce to once daily or switch to 0.03% ointment if condition allows maximum duration of treatment 4 weeks</w:t>
            </w:r>
          </w:p>
        </w:tc>
      </w:tr>
      <w:tr w:rsidR="002F635D" w:rsidRPr="0024114A" w14:paraId="6601B92F" w14:textId="77777777" w:rsidTr="002D6DD7">
        <w:trPr>
          <w:trHeight w:val="11"/>
          <w:jc w:val="center"/>
        </w:trPr>
        <w:tc>
          <w:tcPr>
            <w:tcW w:w="2903" w:type="dxa"/>
          </w:tcPr>
          <w:p w14:paraId="2AF0320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7285" w:type="dxa"/>
          </w:tcPr>
          <w:p w14:paraId="5BBC687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Hypersensitivity to the drug,</w:t>
            </w:r>
            <w:r w:rsidR="00173A78">
              <w:rPr>
                <w:rFonts w:cs="Times New Roman"/>
                <w:color w:val="000000" w:themeColor="text1"/>
                <w:szCs w:val="24"/>
                <w:lang w:val="en-US"/>
              </w:rPr>
              <w:t xml:space="preserve"> </w:t>
            </w:r>
            <w:r w:rsidRPr="0024114A">
              <w:rPr>
                <w:rFonts w:cs="Times New Roman"/>
                <w:color w:val="000000" w:themeColor="text1"/>
                <w:szCs w:val="24"/>
                <w:lang w:val="en-US"/>
              </w:rPr>
              <w:t>children below 2 years.</w:t>
            </w:r>
          </w:p>
        </w:tc>
      </w:tr>
      <w:tr w:rsidR="002F635D" w:rsidRPr="0024114A" w14:paraId="0F9276A6" w14:textId="77777777" w:rsidTr="002D6DD7">
        <w:trPr>
          <w:trHeight w:val="28"/>
          <w:jc w:val="center"/>
        </w:trPr>
        <w:tc>
          <w:tcPr>
            <w:tcW w:w="2903" w:type="dxa"/>
          </w:tcPr>
          <w:p w14:paraId="6B2A333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4CFC8BF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Metotrexate, corticosteroids, ketoconazole, fluconazole, itraconazole, voriconazole, erythromycin, protease inhibitors (e.g. ritonavir, nelfinavir, saquinavir), ritonavir, nilotinib and imatinib. </w:t>
            </w:r>
          </w:p>
        </w:tc>
      </w:tr>
      <w:tr w:rsidR="002F635D" w:rsidRPr="0024114A" w14:paraId="1C6E2105" w14:textId="77777777" w:rsidTr="002D6DD7">
        <w:trPr>
          <w:trHeight w:val="48"/>
          <w:jc w:val="center"/>
        </w:trPr>
        <w:tc>
          <w:tcPr>
            <w:tcW w:w="2903" w:type="dxa"/>
          </w:tcPr>
          <w:p w14:paraId="00DE71B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7285" w:type="dxa"/>
          </w:tcPr>
          <w:p w14:paraId="70BCF77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Burning sensation, pruritus, flu-like symptoms, skin erythema, headache, seizures, bullous impetigo, osteomyelitis, septicemia, lymphomas, basal cell carcinoma, squamous cell carcinoma, malignant melanoma, acute renal failure, alcohol intolerance.</w:t>
            </w:r>
          </w:p>
        </w:tc>
      </w:tr>
      <w:tr w:rsidR="002F635D" w:rsidRPr="0024114A" w14:paraId="32BF9B6B" w14:textId="77777777" w:rsidTr="002D6DD7">
        <w:trPr>
          <w:trHeight w:val="1"/>
          <w:jc w:val="center"/>
        </w:trPr>
        <w:tc>
          <w:tcPr>
            <w:tcW w:w="2903" w:type="dxa"/>
          </w:tcPr>
          <w:p w14:paraId="47F56FD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2DD07FB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Contact with eyes, mucous membranes,</w:t>
            </w:r>
            <w:r w:rsidR="00173A78">
              <w:rPr>
                <w:rFonts w:cs="Times New Roman"/>
                <w:color w:val="000000" w:themeColor="text1"/>
                <w:szCs w:val="24"/>
                <w:lang w:val="en-US"/>
              </w:rPr>
              <w:t xml:space="preserve"> </w:t>
            </w:r>
            <w:r w:rsidRPr="0024114A">
              <w:rPr>
                <w:rFonts w:cs="Times New Roman"/>
                <w:color w:val="000000" w:themeColor="text1"/>
                <w:szCs w:val="24"/>
                <w:lang w:val="en-US"/>
              </w:rPr>
              <w:t>excessive exposure to sunlight and sunlamps (UV light).</w:t>
            </w:r>
          </w:p>
        </w:tc>
      </w:tr>
      <w:tr w:rsidR="002F635D" w:rsidRPr="0024114A" w14:paraId="65A06D13" w14:textId="77777777" w:rsidTr="002D6DD7">
        <w:trPr>
          <w:trHeight w:val="15"/>
          <w:jc w:val="center"/>
        </w:trPr>
        <w:tc>
          <w:tcPr>
            <w:tcW w:w="2903" w:type="dxa"/>
          </w:tcPr>
          <w:p w14:paraId="7BBA23D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2EFE1CB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 Protect from light and moisture.</w:t>
            </w:r>
          </w:p>
        </w:tc>
      </w:tr>
      <w:tr w:rsidR="002F635D" w:rsidRPr="0024114A" w14:paraId="5321E4E9" w14:textId="77777777" w:rsidTr="002D6DD7">
        <w:trPr>
          <w:trHeight w:val="9"/>
          <w:jc w:val="center"/>
        </w:trPr>
        <w:tc>
          <w:tcPr>
            <w:tcW w:w="10188" w:type="dxa"/>
            <w:gridSpan w:val="2"/>
          </w:tcPr>
          <w:p w14:paraId="56854E83"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Triamcinolone acetonide</w:t>
            </w:r>
          </w:p>
        </w:tc>
      </w:tr>
      <w:tr w:rsidR="002F635D" w:rsidRPr="0024114A" w14:paraId="009FB779" w14:textId="77777777" w:rsidTr="002D6DD7">
        <w:trPr>
          <w:trHeight w:val="10"/>
          <w:jc w:val="center"/>
        </w:trPr>
        <w:tc>
          <w:tcPr>
            <w:tcW w:w="2903" w:type="dxa"/>
          </w:tcPr>
          <w:p w14:paraId="5657990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7285" w:type="dxa"/>
          </w:tcPr>
          <w:p w14:paraId="7995BDC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 (topical)</w:t>
            </w:r>
          </w:p>
        </w:tc>
      </w:tr>
      <w:tr w:rsidR="002F635D" w:rsidRPr="0024114A" w14:paraId="2DFC29B3" w14:textId="77777777" w:rsidTr="002D6DD7">
        <w:trPr>
          <w:trHeight w:val="8"/>
          <w:jc w:val="center"/>
        </w:trPr>
        <w:tc>
          <w:tcPr>
            <w:tcW w:w="2903" w:type="dxa"/>
          </w:tcPr>
          <w:p w14:paraId="0A4E47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7285" w:type="dxa"/>
          </w:tcPr>
          <w:p w14:paraId="7817938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 xml:space="preserve">Cream: </w:t>
            </w:r>
            <w:r w:rsidRPr="0024114A">
              <w:rPr>
                <w:rFonts w:cs="Times New Roman"/>
                <w:color w:val="000000" w:themeColor="text1"/>
                <w:szCs w:val="24"/>
                <w:lang w:val="en-US"/>
              </w:rPr>
              <w:t>0.1% w/w</w:t>
            </w:r>
          </w:p>
          <w:p w14:paraId="3B830FA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Paste: 0.1% w/w</w:t>
            </w:r>
          </w:p>
        </w:tc>
      </w:tr>
      <w:tr w:rsidR="002F635D" w:rsidRPr="0024114A" w14:paraId="19279C00" w14:textId="77777777" w:rsidTr="002D6DD7">
        <w:trPr>
          <w:trHeight w:val="24"/>
          <w:jc w:val="center"/>
        </w:trPr>
        <w:tc>
          <w:tcPr>
            <w:tcW w:w="2903" w:type="dxa"/>
          </w:tcPr>
          <w:p w14:paraId="3DD87C1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7285" w:type="dxa"/>
          </w:tcPr>
          <w:p w14:paraId="351C48F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Inflammatory and pruritic manifestations of corticosteroid-responsive dermatoses</w:t>
            </w:r>
          </w:p>
        </w:tc>
      </w:tr>
      <w:tr w:rsidR="002F635D" w:rsidRPr="0024114A" w14:paraId="743D39FA" w14:textId="77777777" w:rsidTr="002D6DD7">
        <w:trPr>
          <w:trHeight w:val="29"/>
          <w:jc w:val="center"/>
        </w:trPr>
        <w:tc>
          <w:tcPr>
            <w:tcW w:w="2903" w:type="dxa"/>
          </w:tcPr>
          <w:p w14:paraId="1F9859EF"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7285" w:type="dxa"/>
          </w:tcPr>
          <w:p w14:paraId="32BEE690" w14:textId="77777777" w:rsidR="002F635D" w:rsidRPr="0024114A" w:rsidRDefault="002F635D" w:rsidP="002D6DD7">
            <w:pPr>
              <w:autoSpaceDE w:val="0"/>
              <w:autoSpaceDN w:val="0"/>
              <w:adjustRightInd w:val="0"/>
              <w:jc w:val="both"/>
              <w:rPr>
                <w:rFonts w:cs="Times New Roman"/>
                <w:color w:val="000000" w:themeColor="text1"/>
                <w:szCs w:val="24"/>
              </w:rPr>
            </w:pPr>
            <w:r w:rsidRPr="0024114A">
              <w:rPr>
                <w:rStyle w:val="Strong"/>
                <w:rFonts w:cs="Times New Roman"/>
                <w:color w:val="000000" w:themeColor="text1"/>
                <w:szCs w:val="24"/>
              </w:rPr>
              <w:t>Cream</w:t>
            </w:r>
            <w:r w:rsidRPr="0024114A">
              <w:rPr>
                <w:rFonts w:cs="Times New Roman"/>
                <w:color w:val="000000" w:themeColor="text1"/>
                <w:szCs w:val="24"/>
              </w:rPr>
              <w:t>: Apply a thin layer to the affected area 2-3 times daily, or as directed by a healthcare provider.</w:t>
            </w:r>
          </w:p>
          <w:p w14:paraId="609FF9C1" w14:textId="77777777" w:rsidR="002F635D" w:rsidRPr="0024114A" w:rsidRDefault="002F635D" w:rsidP="002D6DD7">
            <w:pPr>
              <w:jc w:val="both"/>
              <w:rPr>
                <w:rFonts w:cs="Times New Roman"/>
                <w:color w:val="000000" w:themeColor="text1"/>
                <w:szCs w:val="24"/>
                <w:lang w:val="en-US"/>
              </w:rPr>
            </w:pPr>
            <w:r w:rsidRPr="0024114A">
              <w:rPr>
                <w:rStyle w:val="Strong"/>
                <w:rFonts w:cs="Times New Roman"/>
                <w:color w:val="000000" w:themeColor="text1"/>
                <w:szCs w:val="24"/>
              </w:rPr>
              <w:t>Paste</w:t>
            </w:r>
            <w:r w:rsidRPr="0024114A">
              <w:rPr>
                <w:rFonts w:cs="Times New Roman"/>
                <w:color w:val="000000" w:themeColor="text1"/>
                <w:szCs w:val="24"/>
              </w:rPr>
              <w:t>: Apply a thin layer to the affected area, typically used in the oral cavity or on mucous membranes, 2-3 times daily or as directed by a healthcare provider.</w:t>
            </w:r>
          </w:p>
        </w:tc>
      </w:tr>
      <w:tr w:rsidR="002F635D" w:rsidRPr="0024114A" w14:paraId="4DACCFAD" w14:textId="77777777" w:rsidTr="002D6DD7">
        <w:trPr>
          <w:trHeight w:val="18"/>
          <w:jc w:val="center"/>
        </w:trPr>
        <w:tc>
          <w:tcPr>
            <w:tcW w:w="2903" w:type="dxa"/>
          </w:tcPr>
          <w:p w14:paraId="6BE615F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7285" w:type="dxa"/>
          </w:tcPr>
          <w:p w14:paraId="74E699F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Hypersensitivity to the drug,</w:t>
            </w:r>
            <w:r w:rsidR="00787D79">
              <w:rPr>
                <w:rFonts w:cs="Times New Roman"/>
                <w:color w:val="000000" w:themeColor="text1"/>
                <w:szCs w:val="24"/>
              </w:rPr>
              <w:t xml:space="preserve"> </w:t>
            </w:r>
            <w:r w:rsidRPr="0024114A">
              <w:rPr>
                <w:rFonts w:cs="Times New Roman"/>
                <w:color w:val="000000" w:themeColor="text1"/>
                <w:szCs w:val="24"/>
              </w:rPr>
              <w:t>untreated</w:t>
            </w:r>
            <w:r w:rsidRPr="0024114A">
              <w:rPr>
                <w:rFonts w:cs="Times New Roman"/>
                <w:color w:val="000000" w:themeColor="text1"/>
                <w:szCs w:val="24"/>
                <w:lang w:val="en-US"/>
              </w:rPr>
              <w:t>v</w:t>
            </w:r>
            <w:r w:rsidRPr="0024114A">
              <w:rPr>
                <w:rFonts w:cs="Times New Roman"/>
                <w:color w:val="000000" w:themeColor="text1"/>
                <w:szCs w:val="24"/>
              </w:rPr>
              <w:t xml:space="preserve">iral, fungal, or bacterial skin infections </w:t>
            </w:r>
          </w:p>
        </w:tc>
      </w:tr>
      <w:tr w:rsidR="002F635D" w:rsidRPr="0024114A" w14:paraId="0E9DD988" w14:textId="77777777" w:rsidTr="002D6DD7">
        <w:trPr>
          <w:trHeight w:val="10"/>
          <w:jc w:val="center"/>
        </w:trPr>
        <w:tc>
          <w:tcPr>
            <w:tcW w:w="2903" w:type="dxa"/>
          </w:tcPr>
          <w:p w14:paraId="79A7F5F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7285" w:type="dxa"/>
          </w:tcPr>
          <w:p w14:paraId="3B92ED1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Azole antifungals, protease inhibitors, macrolides.</w:t>
            </w:r>
          </w:p>
        </w:tc>
      </w:tr>
      <w:tr w:rsidR="002F635D" w:rsidRPr="0024114A" w14:paraId="1AE24B9F" w14:textId="77777777" w:rsidTr="002D6DD7">
        <w:trPr>
          <w:trHeight w:val="11"/>
          <w:jc w:val="center"/>
        </w:trPr>
        <w:tc>
          <w:tcPr>
            <w:tcW w:w="2903" w:type="dxa"/>
          </w:tcPr>
          <w:p w14:paraId="58AEF1E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Side effects</w:t>
            </w:r>
          </w:p>
        </w:tc>
        <w:tc>
          <w:tcPr>
            <w:tcW w:w="7285" w:type="dxa"/>
          </w:tcPr>
          <w:p w14:paraId="4A82E6E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Skin atrophy, striae, acneform lesions, pigmentation changes, HPA suppression with higher potency used more than 2 weeks). </w:t>
            </w:r>
          </w:p>
        </w:tc>
      </w:tr>
      <w:tr w:rsidR="002F635D" w:rsidRPr="0024114A" w14:paraId="07666A60" w14:textId="77777777" w:rsidTr="002D6DD7">
        <w:trPr>
          <w:trHeight w:val="15"/>
          <w:jc w:val="center"/>
        </w:trPr>
        <w:tc>
          <w:tcPr>
            <w:tcW w:w="2903" w:type="dxa"/>
          </w:tcPr>
          <w:p w14:paraId="767BE2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7285" w:type="dxa"/>
          </w:tcPr>
          <w:p w14:paraId="09B532B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Contact with eyes and mucous membranes</w:t>
            </w:r>
            <w:r w:rsidRPr="0024114A">
              <w:rPr>
                <w:rFonts w:cs="Times New Roman"/>
                <w:color w:val="000000" w:themeColor="text1"/>
                <w:szCs w:val="24"/>
                <w:lang w:val="en-US"/>
              </w:rPr>
              <w:t>, p</w:t>
            </w:r>
            <w:r w:rsidRPr="0024114A">
              <w:rPr>
                <w:rFonts w:cs="Times New Roman"/>
                <w:color w:val="000000" w:themeColor="text1"/>
                <w:szCs w:val="24"/>
              </w:rPr>
              <w:t xml:space="preserve">rolonged use </w:t>
            </w:r>
          </w:p>
        </w:tc>
      </w:tr>
      <w:tr w:rsidR="002F635D" w:rsidRPr="0024114A" w14:paraId="2C613868" w14:textId="77777777" w:rsidTr="002D6DD7">
        <w:trPr>
          <w:trHeight w:val="12"/>
          <w:jc w:val="center"/>
        </w:trPr>
        <w:tc>
          <w:tcPr>
            <w:tcW w:w="2903" w:type="dxa"/>
          </w:tcPr>
          <w:p w14:paraId="7F0B8F9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7285" w:type="dxa"/>
          </w:tcPr>
          <w:p w14:paraId="7990357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Store below 30°C. Protect from moisture</w:t>
            </w:r>
          </w:p>
        </w:tc>
      </w:tr>
    </w:tbl>
    <w:p w14:paraId="28BDBD95" w14:textId="77777777" w:rsidR="002F635D" w:rsidRPr="0024114A" w:rsidRDefault="002F635D" w:rsidP="002F635D">
      <w:pPr>
        <w:pStyle w:val="Caption"/>
        <w:jc w:val="both"/>
      </w:pPr>
    </w:p>
    <w:p w14:paraId="121EC1C4" w14:textId="77777777" w:rsidR="00787D79" w:rsidRPr="00787D79" w:rsidRDefault="002F635D" w:rsidP="00787D79">
      <w:pPr>
        <w:pStyle w:val="Heading2"/>
        <w:spacing w:before="240" w:after="240"/>
      </w:pPr>
      <w:bookmarkStart w:id="211" w:name="_Toc179490405"/>
      <w:r w:rsidRPr="00787D79">
        <w:t>Keratolytic/Caustics and Anti-acne medicines</w:t>
      </w:r>
      <w:bookmarkEnd w:id="211"/>
    </w:p>
    <w:p w14:paraId="40FC3E5D" w14:textId="77777777" w:rsidR="002F635D" w:rsidRPr="00787D79" w:rsidRDefault="002F635D" w:rsidP="00787D79">
      <w:pPr>
        <w:spacing w:before="240"/>
        <w:jc w:val="both"/>
        <w:rPr>
          <w:rFonts w:eastAsia="Times New Roman"/>
          <w:i/>
        </w:rPr>
      </w:pPr>
      <w:r w:rsidRPr="0024114A">
        <w:rPr>
          <w:rFonts w:eastAsia="Times New Roman"/>
        </w:rPr>
        <w:t xml:space="preserve">Keratolytic and antiacne medicines are essential for managing dermatological conditions like acne and hyperkeratotic disorders. Benzoyl peroxide, salicylic acid, urea, retinoic acid, clindamycin, azelaic acid, coal tar, aydroquinone, trichloroacetic acid, and podophyllum resin with imiquimod are among the key treatments. They work by reducing inflammation, controlling bacterial growth, and promoting skin cell turnover. These medications offer significant therapeutic benefits, but careful consideration of indications, dosing, and potential side effects is crucial for safe and effective use. </w:t>
      </w:r>
    </w:p>
    <w:tbl>
      <w:tblPr>
        <w:tblStyle w:val="TableGrid"/>
        <w:tblpPr w:leftFromText="180" w:rightFromText="180" w:vertAnchor="text" w:tblpXSpec="center" w:tblpY="1"/>
        <w:tblOverlap w:val="never"/>
        <w:tblW w:w="9259" w:type="dxa"/>
        <w:jc w:val="center"/>
        <w:tblLook w:val="04A0" w:firstRow="1" w:lastRow="0" w:firstColumn="1" w:lastColumn="0" w:noHBand="0" w:noVBand="1"/>
      </w:tblPr>
      <w:tblGrid>
        <w:gridCol w:w="2605"/>
        <w:gridCol w:w="6654"/>
      </w:tblGrid>
      <w:tr w:rsidR="002F635D" w:rsidRPr="0024114A" w14:paraId="71C4850F" w14:textId="77777777" w:rsidTr="002D6DD7">
        <w:trPr>
          <w:trHeight w:val="460"/>
          <w:jc w:val="center"/>
        </w:trPr>
        <w:tc>
          <w:tcPr>
            <w:tcW w:w="9259" w:type="dxa"/>
            <w:gridSpan w:val="2"/>
          </w:tcPr>
          <w:p w14:paraId="27F15E89"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Azelaic acid</w:t>
            </w:r>
          </w:p>
        </w:tc>
      </w:tr>
      <w:tr w:rsidR="002F635D" w:rsidRPr="0024114A" w14:paraId="3E671AC1" w14:textId="77777777" w:rsidTr="002D6DD7">
        <w:trPr>
          <w:trHeight w:val="460"/>
          <w:jc w:val="center"/>
        </w:trPr>
        <w:tc>
          <w:tcPr>
            <w:tcW w:w="2605" w:type="dxa"/>
          </w:tcPr>
          <w:p w14:paraId="1B3181B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554B221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Keratolytic</w:t>
            </w:r>
          </w:p>
        </w:tc>
      </w:tr>
      <w:tr w:rsidR="002F635D" w:rsidRPr="0024114A" w14:paraId="617D813A" w14:textId="77777777" w:rsidTr="002D6DD7">
        <w:trPr>
          <w:trHeight w:val="460"/>
          <w:jc w:val="center"/>
        </w:trPr>
        <w:tc>
          <w:tcPr>
            <w:tcW w:w="2605" w:type="dxa"/>
          </w:tcPr>
          <w:p w14:paraId="147A2E8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2E572D9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20 %w/w</w:t>
            </w:r>
          </w:p>
        </w:tc>
      </w:tr>
      <w:tr w:rsidR="002F635D" w:rsidRPr="0024114A" w14:paraId="6D1C03AE" w14:textId="77777777" w:rsidTr="002D6DD7">
        <w:trPr>
          <w:trHeight w:val="460"/>
          <w:jc w:val="center"/>
        </w:trPr>
        <w:tc>
          <w:tcPr>
            <w:tcW w:w="2605" w:type="dxa"/>
          </w:tcPr>
          <w:p w14:paraId="26D379D2"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654" w:type="dxa"/>
          </w:tcPr>
          <w:p w14:paraId="19F5286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Topical treatment of mild to moderate inflammatory acne vulgaris and rosacea.</w:t>
            </w:r>
          </w:p>
        </w:tc>
      </w:tr>
      <w:tr w:rsidR="002F635D" w:rsidRPr="0024114A" w14:paraId="30CDC226" w14:textId="77777777" w:rsidTr="002D6DD7">
        <w:trPr>
          <w:trHeight w:val="460"/>
          <w:jc w:val="center"/>
        </w:trPr>
        <w:tc>
          <w:tcPr>
            <w:tcW w:w="2605" w:type="dxa"/>
          </w:tcPr>
          <w:p w14:paraId="66C62B9C"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5B83F42F"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Acne vulgaris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b/>
                <w:bCs/>
                <w:color w:val="000000" w:themeColor="text1"/>
                <w:szCs w:val="24"/>
                <w:lang w:val="en-US"/>
              </w:rPr>
              <w:t>:</w:t>
            </w:r>
          </w:p>
          <w:p w14:paraId="703B9A38"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 Apply twice daily</w:t>
            </w:r>
          </w:p>
          <w:p w14:paraId="39984CCE"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Papulopustular rosacea</w:t>
            </w:r>
            <w:r w:rsidRPr="0024114A">
              <w:rPr>
                <w:color w:val="000000" w:themeColor="text1"/>
              </w:rPr>
              <w:t xml:space="preserve">, </w:t>
            </w:r>
            <w:r w:rsidRPr="0024114A">
              <w:rPr>
                <w:b/>
                <w:color w:val="000000" w:themeColor="text1"/>
              </w:rPr>
              <w:t>to the skin</w:t>
            </w:r>
            <w:r w:rsidRPr="0024114A">
              <w:rPr>
                <w:color w:val="000000" w:themeColor="text1"/>
              </w:rPr>
              <w:t xml:space="preserve">: </w:t>
            </w:r>
          </w:p>
          <w:p w14:paraId="22C75B6C"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Apply twice daily, discontinue if no improvement after 2 months</w:t>
            </w:r>
          </w:p>
          <w:p w14:paraId="550AF6E1"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Acne vulgaris</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b/>
                <w:bCs/>
                <w:color w:val="000000" w:themeColor="text1"/>
                <w:szCs w:val="24"/>
                <w:lang w:val="en-US"/>
              </w:rPr>
              <w:t>:</w:t>
            </w:r>
          </w:p>
          <w:p w14:paraId="20ADFBD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12–17 year</w:t>
            </w:r>
            <w:r w:rsidRPr="0024114A">
              <w:rPr>
                <w:rFonts w:cs="Times New Roman"/>
                <w:color w:val="000000" w:themeColor="text1"/>
                <w:szCs w:val="24"/>
                <w:lang w:val="en-US"/>
              </w:rPr>
              <w:t>s: Apply twice daily.</w:t>
            </w:r>
          </w:p>
          <w:p w14:paraId="4DA43D3A" w14:textId="77777777" w:rsidR="002F635D" w:rsidRPr="0024114A" w:rsidRDefault="002F635D" w:rsidP="002D6DD7">
            <w:pPr>
              <w:autoSpaceDE w:val="0"/>
              <w:autoSpaceDN w:val="0"/>
              <w:adjustRightInd w:val="0"/>
              <w:jc w:val="both"/>
              <w:rPr>
                <w:rFonts w:cs="Times New Roman"/>
                <w:i/>
                <w:iCs/>
                <w:color w:val="000000" w:themeColor="text1"/>
                <w:szCs w:val="24"/>
                <w:lang w:val="en-US"/>
              </w:rPr>
            </w:pPr>
            <w:r w:rsidRPr="0024114A">
              <w:rPr>
                <w:rFonts w:cs="Times New Roman"/>
                <w:i/>
                <w:iCs/>
                <w:color w:val="000000" w:themeColor="text1"/>
                <w:szCs w:val="24"/>
                <w:lang w:val="en-US"/>
              </w:rPr>
              <w:t>Note: cleanse the affected area with mild soap/soapless cleansing machine and pat dry before applying, then massage a thin layer.</w:t>
            </w:r>
          </w:p>
        </w:tc>
      </w:tr>
      <w:tr w:rsidR="002F635D" w:rsidRPr="0024114A" w14:paraId="266E4DAE" w14:textId="77777777" w:rsidTr="002D6DD7">
        <w:trPr>
          <w:trHeight w:val="460"/>
          <w:jc w:val="center"/>
        </w:trPr>
        <w:tc>
          <w:tcPr>
            <w:tcW w:w="2605" w:type="dxa"/>
          </w:tcPr>
          <w:p w14:paraId="609DEAB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25436B0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propylene glycol.</w:t>
            </w:r>
          </w:p>
        </w:tc>
      </w:tr>
      <w:tr w:rsidR="002F635D" w:rsidRPr="0024114A" w14:paraId="0F8A8759" w14:textId="77777777" w:rsidTr="002D6DD7">
        <w:trPr>
          <w:trHeight w:val="460"/>
          <w:jc w:val="center"/>
        </w:trPr>
        <w:tc>
          <w:tcPr>
            <w:tcW w:w="2605" w:type="dxa"/>
          </w:tcPr>
          <w:p w14:paraId="70A6C70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Drug interactions</w:t>
            </w:r>
          </w:p>
        </w:tc>
        <w:tc>
          <w:tcPr>
            <w:tcW w:w="6654" w:type="dxa"/>
          </w:tcPr>
          <w:p w14:paraId="492E47E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4D4647C6" w14:textId="77777777" w:rsidTr="002D6DD7">
        <w:trPr>
          <w:trHeight w:val="460"/>
          <w:jc w:val="center"/>
        </w:trPr>
        <w:tc>
          <w:tcPr>
            <w:tcW w:w="2605" w:type="dxa"/>
          </w:tcPr>
          <w:p w14:paraId="50772DE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07290F8D" w14:textId="77777777" w:rsidR="002F635D" w:rsidRPr="0024114A" w:rsidRDefault="002F635D" w:rsidP="002D6DD7">
            <w:pPr>
              <w:pStyle w:val="Default"/>
              <w:spacing w:line="360" w:lineRule="auto"/>
              <w:jc w:val="both"/>
              <w:rPr>
                <w:color w:val="000000" w:themeColor="text1"/>
              </w:rPr>
            </w:pPr>
            <w:r w:rsidRPr="0024114A">
              <w:rPr>
                <w:color w:val="000000" w:themeColor="text1"/>
              </w:rPr>
              <w:t>Local skin irritation (redness, itching, scaling, burning), photosensitivity reactions, asthma exacerbations.</w:t>
            </w:r>
          </w:p>
        </w:tc>
      </w:tr>
      <w:tr w:rsidR="002F635D" w:rsidRPr="0024114A" w14:paraId="4065CA4D" w14:textId="77777777" w:rsidTr="002D6DD7">
        <w:trPr>
          <w:trHeight w:val="460"/>
          <w:jc w:val="center"/>
        </w:trPr>
        <w:tc>
          <w:tcPr>
            <w:tcW w:w="2605" w:type="dxa"/>
          </w:tcPr>
          <w:p w14:paraId="1C3C4F9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50C5694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the eyes, mouth and mucus membrane, risk of systemic side effects</w:t>
            </w:r>
          </w:p>
        </w:tc>
      </w:tr>
      <w:tr w:rsidR="002F635D" w:rsidRPr="0024114A" w14:paraId="310538E2" w14:textId="77777777" w:rsidTr="002D6DD7">
        <w:trPr>
          <w:trHeight w:val="460"/>
          <w:jc w:val="center"/>
        </w:trPr>
        <w:tc>
          <w:tcPr>
            <w:tcW w:w="2605" w:type="dxa"/>
          </w:tcPr>
          <w:p w14:paraId="1C0EB43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7B240C9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065A898B" w14:textId="77777777" w:rsidTr="002D6DD7">
        <w:trPr>
          <w:trHeight w:val="460"/>
          <w:jc w:val="center"/>
        </w:trPr>
        <w:tc>
          <w:tcPr>
            <w:tcW w:w="9259" w:type="dxa"/>
            <w:gridSpan w:val="2"/>
          </w:tcPr>
          <w:p w14:paraId="3063F92A" w14:textId="77777777" w:rsidR="002F635D" w:rsidRPr="0024114A" w:rsidRDefault="002F635D" w:rsidP="002D6DD7">
            <w:pPr>
              <w:jc w:val="both"/>
              <w:rPr>
                <w:rFonts w:cs="Times New Roman"/>
                <w:color w:val="000000" w:themeColor="text1"/>
                <w:szCs w:val="24"/>
                <w:lang w:val="en-US"/>
              </w:rPr>
            </w:pPr>
            <w:r w:rsidRPr="0024114A">
              <w:rPr>
                <w:rFonts w:eastAsia="Calibri" w:cs="Times New Roman"/>
                <w:b/>
                <w:bCs/>
                <w:color w:val="000000" w:themeColor="text1"/>
                <w:szCs w:val="24"/>
                <w:lang w:val="en-US"/>
              </w:rPr>
              <w:t>Benzoyl peroxide</w:t>
            </w:r>
          </w:p>
        </w:tc>
      </w:tr>
      <w:tr w:rsidR="002F635D" w:rsidRPr="0024114A" w14:paraId="140F8948" w14:textId="77777777" w:rsidTr="002D6DD7">
        <w:trPr>
          <w:trHeight w:val="368"/>
          <w:jc w:val="center"/>
        </w:trPr>
        <w:tc>
          <w:tcPr>
            <w:tcW w:w="2605" w:type="dxa"/>
          </w:tcPr>
          <w:p w14:paraId="5A5B3F5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799995A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Antibacterial agent, a</w:t>
            </w:r>
            <w:r w:rsidRPr="0024114A">
              <w:rPr>
                <w:rFonts w:eastAsia="Times New Roman" w:cs="Times New Roman"/>
                <w:color w:val="000000" w:themeColor="text1"/>
                <w:szCs w:val="24"/>
              </w:rPr>
              <w:t>ntiacne</w:t>
            </w:r>
          </w:p>
        </w:tc>
      </w:tr>
      <w:tr w:rsidR="002F635D" w:rsidRPr="0024114A" w14:paraId="193090A8" w14:textId="77777777" w:rsidTr="002D6DD7">
        <w:trPr>
          <w:trHeight w:val="460"/>
          <w:jc w:val="center"/>
        </w:trPr>
        <w:tc>
          <w:tcPr>
            <w:tcW w:w="2605" w:type="dxa"/>
          </w:tcPr>
          <w:p w14:paraId="33123FA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5E2017B2"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lang w:val="en-US"/>
              </w:rPr>
              <w:t>Gel: 2.5%, 5%, 10%</w:t>
            </w:r>
          </w:p>
          <w:p w14:paraId="1039EC7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Solution: 2.5%, 5%, 10%</w:t>
            </w:r>
          </w:p>
        </w:tc>
      </w:tr>
      <w:tr w:rsidR="002F635D" w:rsidRPr="0024114A" w14:paraId="79AB2409" w14:textId="77777777" w:rsidTr="002D6DD7">
        <w:trPr>
          <w:trHeight w:val="728"/>
          <w:jc w:val="center"/>
        </w:trPr>
        <w:tc>
          <w:tcPr>
            <w:tcW w:w="2605" w:type="dxa"/>
          </w:tcPr>
          <w:p w14:paraId="772A3C31"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654" w:type="dxa"/>
          </w:tcPr>
          <w:p w14:paraId="2A5428B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Mild to moderate acne and as an adjunct to oral therapy in more severe cases, rosacea.</w:t>
            </w:r>
          </w:p>
        </w:tc>
      </w:tr>
      <w:tr w:rsidR="002F635D" w:rsidRPr="0024114A" w14:paraId="0E5A1F2C" w14:textId="77777777" w:rsidTr="002D6DD7">
        <w:trPr>
          <w:trHeight w:val="1250"/>
          <w:jc w:val="center"/>
        </w:trPr>
        <w:tc>
          <w:tcPr>
            <w:tcW w:w="2605" w:type="dxa"/>
          </w:tcPr>
          <w:p w14:paraId="35925D83"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4B1A4853"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Acne:</w:t>
            </w:r>
          </w:p>
          <w:p w14:paraId="4A557AE8" w14:textId="77777777" w:rsidR="00787D79"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  Apply on affected area(s) of skin 1-2 times a day, preferably after washing with soap and water.</w:t>
            </w:r>
          </w:p>
          <w:p w14:paraId="4C58FF8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Pediatric: Child</w:t>
            </w:r>
            <w:r w:rsidRPr="0024114A">
              <w:rPr>
                <w:rFonts w:cs="Times New Roman"/>
                <w:color w:val="000000" w:themeColor="text1"/>
                <w:szCs w:val="24"/>
                <w:lang w:val="en-US"/>
              </w:rPr>
              <w:t>, topical: Initially apply to clean skin on alternate days, increasing frequency to one to two times daily as tolerance to irritant effect develops.</w:t>
            </w:r>
          </w:p>
          <w:p w14:paraId="0D50CC4C" w14:textId="77777777" w:rsidR="002F635D" w:rsidRPr="0024114A" w:rsidRDefault="002F635D" w:rsidP="002D6DD7">
            <w:pPr>
              <w:autoSpaceDE w:val="0"/>
              <w:autoSpaceDN w:val="0"/>
              <w:adjustRightInd w:val="0"/>
              <w:jc w:val="both"/>
              <w:rPr>
                <w:rFonts w:cs="Times New Roman"/>
                <w:b/>
                <w:color w:val="000000" w:themeColor="text1"/>
                <w:szCs w:val="24"/>
                <w:lang w:val="en-US"/>
              </w:rPr>
            </w:pPr>
            <w:r w:rsidRPr="0024114A">
              <w:rPr>
                <w:rFonts w:cs="Times New Roman"/>
                <w:b/>
                <w:bCs/>
                <w:color w:val="000000" w:themeColor="text1"/>
                <w:szCs w:val="24"/>
                <w:lang w:val="en-US"/>
              </w:rPr>
              <w:t>Child 12 years of age and ove</w:t>
            </w:r>
            <w:r w:rsidRPr="0024114A">
              <w:rPr>
                <w:rFonts w:cs="Times New Roman"/>
                <w:color w:val="000000" w:themeColor="text1"/>
                <w:szCs w:val="24"/>
                <w:lang w:val="en-US"/>
              </w:rPr>
              <w:t>r: Dosage similar to adults</w:t>
            </w:r>
          </w:p>
          <w:p w14:paraId="6FBA2DB0" w14:textId="77777777" w:rsidR="002F635D" w:rsidRPr="0024114A" w:rsidRDefault="002F635D" w:rsidP="002D6DD7">
            <w:pPr>
              <w:autoSpaceDE w:val="0"/>
              <w:autoSpaceDN w:val="0"/>
              <w:adjustRightInd w:val="0"/>
              <w:jc w:val="both"/>
              <w:rPr>
                <w:rFonts w:cs="Times New Roman"/>
                <w:b/>
                <w:color w:val="000000" w:themeColor="text1"/>
                <w:szCs w:val="24"/>
                <w:lang w:val="en-US"/>
              </w:rPr>
            </w:pPr>
            <w:r w:rsidRPr="0024114A">
              <w:rPr>
                <w:rFonts w:cs="Times New Roman"/>
                <w:b/>
                <w:color w:val="000000" w:themeColor="text1"/>
                <w:szCs w:val="24"/>
                <w:lang w:val="en-US"/>
              </w:rPr>
              <w:t>Adult:</w:t>
            </w:r>
          </w:p>
          <w:p w14:paraId="5477ADF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color w:val="000000" w:themeColor="text1"/>
                <w:szCs w:val="24"/>
                <w:lang w:val="en-US"/>
              </w:rPr>
              <w:t>Rosacea</w:t>
            </w:r>
            <w:r w:rsidRPr="0024114A">
              <w:rPr>
                <w:rFonts w:cs="Times New Roman"/>
                <w:color w:val="000000" w:themeColor="text1"/>
                <w:szCs w:val="24"/>
                <w:lang w:val="en-US"/>
              </w:rPr>
              <w:t>: Apply pea sized amount of cream every day in thin layer to each area of the face on clean and dry skin.</w:t>
            </w:r>
          </w:p>
        </w:tc>
      </w:tr>
      <w:tr w:rsidR="002F635D" w:rsidRPr="0024114A" w14:paraId="030B3785" w14:textId="77777777" w:rsidTr="002D6DD7">
        <w:trPr>
          <w:trHeight w:val="404"/>
          <w:jc w:val="center"/>
        </w:trPr>
        <w:tc>
          <w:tcPr>
            <w:tcW w:w="2605" w:type="dxa"/>
          </w:tcPr>
          <w:p w14:paraId="326A9C2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3EF61ED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55EE6B21" w14:textId="77777777" w:rsidTr="002D6DD7">
        <w:trPr>
          <w:trHeight w:val="413"/>
          <w:jc w:val="center"/>
        </w:trPr>
        <w:tc>
          <w:tcPr>
            <w:tcW w:w="2605" w:type="dxa"/>
          </w:tcPr>
          <w:p w14:paraId="605D890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7F5E0B8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3B345FE3" w14:textId="77777777" w:rsidTr="002D6DD7">
        <w:trPr>
          <w:trHeight w:val="460"/>
          <w:jc w:val="center"/>
        </w:trPr>
        <w:tc>
          <w:tcPr>
            <w:tcW w:w="2605" w:type="dxa"/>
          </w:tcPr>
          <w:p w14:paraId="3690A65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6649E0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irritation, contact dermatitis, erythema, peeling, dryness.</w:t>
            </w:r>
          </w:p>
        </w:tc>
      </w:tr>
      <w:tr w:rsidR="002F635D" w:rsidRPr="0024114A" w14:paraId="16DE1CE3" w14:textId="77777777" w:rsidTr="002D6DD7">
        <w:trPr>
          <w:trHeight w:val="609"/>
          <w:jc w:val="center"/>
        </w:trPr>
        <w:tc>
          <w:tcPr>
            <w:tcW w:w="2605" w:type="dxa"/>
          </w:tcPr>
          <w:p w14:paraId="634F659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77F897A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eyes, oral, and mucous membranes, use of occlusive dressings and excessive exposure to sunlight, contact with hair and dayed fabrics (pillow, towel)</w:t>
            </w:r>
          </w:p>
        </w:tc>
      </w:tr>
      <w:tr w:rsidR="002F635D" w:rsidRPr="0024114A" w14:paraId="05A40BAB" w14:textId="77777777" w:rsidTr="002D6DD7">
        <w:trPr>
          <w:trHeight w:val="460"/>
          <w:jc w:val="center"/>
        </w:trPr>
        <w:tc>
          <w:tcPr>
            <w:tcW w:w="2605" w:type="dxa"/>
          </w:tcPr>
          <w:p w14:paraId="6206EDD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3EDED52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67396A28" w14:textId="77777777" w:rsidTr="002D6DD7">
        <w:trPr>
          <w:trHeight w:val="77"/>
          <w:jc w:val="center"/>
        </w:trPr>
        <w:tc>
          <w:tcPr>
            <w:tcW w:w="9259" w:type="dxa"/>
            <w:gridSpan w:val="2"/>
          </w:tcPr>
          <w:p w14:paraId="01605214"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Clindamycin</w:t>
            </w:r>
          </w:p>
        </w:tc>
      </w:tr>
      <w:tr w:rsidR="002F635D" w:rsidRPr="0024114A" w14:paraId="4C25353D" w14:textId="77777777" w:rsidTr="002D6DD7">
        <w:trPr>
          <w:trHeight w:val="460"/>
          <w:jc w:val="center"/>
        </w:trPr>
        <w:tc>
          <w:tcPr>
            <w:tcW w:w="2605" w:type="dxa"/>
          </w:tcPr>
          <w:p w14:paraId="20AA76C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Pharmacological class</w:t>
            </w:r>
          </w:p>
        </w:tc>
        <w:tc>
          <w:tcPr>
            <w:tcW w:w="6654" w:type="dxa"/>
          </w:tcPr>
          <w:p w14:paraId="469B3AA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antibiotic, antiacne</w:t>
            </w:r>
          </w:p>
        </w:tc>
      </w:tr>
      <w:tr w:rsidR="002F635D" w:rsidRPr="0024114A" w14:paraId="6A1482BF" w14:textId="77777777" w:rsidTr="002D6DD7">
        <w:trPr>
          <w:trHeight w:val="460"/>
          <w:jc w:val="center"/>
        </w:trPr>
        <w:tc>
          <w:tcPr>
            <w:tcW w:w="2605" w:type="dxa"/>
          </w:tcPr>
          <w:p w14:paraId="4A783D9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01DF172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Lotion: 1%w/w</w:t>
            </w:r>
          </w:p>
          <w:p w14:paraId="668727F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Gel: 1%w/w</w:t>
            </w:r>
          </w:p>
        </w:tc>
      </w:tr>
      <w:tr w:rsidR="002F635D" w:rsidRPr="0024114A" w14:paraId="7BA7E8BE" w14:textId="77777777" w:rsidTr="002D6DD7">
        <w:trPr>
          <w:trHeight w:val="460"/>
          <w:jc w:val="center"/>
        </w:trPr>
        <w:tc>
          <w:tcPr>
            <w:tcW w:w="2605" w:type="dxa"/>
          </w:tcPr>
          <w:p w14:paraId="2FE8D8B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12CDC91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Local treatment for acne (acne vulgaris)</w:t>
            </w:r>
          </w:p>
        </w:tc>
      </w:tr>
      <w:tr w:rsidR="002F635D" w:rsidRPr="0024114A" w14:paraId="0E8F2700" w14:textId="77777777" w:rsidTr="002D6DD7">
        <w:trPr>
          <w:trHeight w:val="460"/>
          <w:jc w:val="center"/>
        </w:trPr>
        <w:tc>
          <w:tcPr>
            <w:tcW w:w="2605" w:type="dxa"/>
          </w:tcPr>
          <w:p w14:paraId="7398B11D"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43CF9B8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shd w:val="clear" w:color="auto" w:fill="FFFFFF"/>
                <w:lang w:val="en-US"/>
              </w:rPr>
              <w:t xml:space="preserve">Adults and child 12 years of age and over: </w:t>
            </w:r>
            <w:r w:rsidRPr="0024114A">
              <w:rPr>
                <w:rFonts w:cs="Times New Roman"/>
                <w:color w:val="000000" w:themeColor="text1"/>
                <w:szCs w:val="24"/>
                <w:shd w:val="clear" w:color="auto" w:fill="FFFFFF"/>
                <w:lang w:val="en-US"/>
              </w:rPr>
              <w:t>Apply a thin layer of gel on clean dry skin in places of rashes once a day, at night. During the first week of treatment, acne may be exacerbated by the effects of the active substance on the lesions, which were invisible before. In this case, treatment should not be discontinued, the therapeutic effect is observed 8-12 weeks after starting the treatment</w:t>
            </w:r>
          </w:p>
        </w:tc>
      </w:tr>
      <w:tr w:rsidR="002F635D" w:rsidRPr="0024114A" w14:paraId="54838F04" w14:textId="77777777" w:rsidTr="002D6DD7">
        <w:trPr>
          <w:trHeight w:val="460"/>
          <w:jc w:val="center"/>
        </w:trPr>
        <w:tc>
          <w:tcPr>
            <w:tcW w:w="2605" w:type="dxa"/>
          </w:tcPr>
          <w:p w14:paraId="24D7D60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0739EE9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shd w:val="clear" w:color="auto" w:fill="FFFFFF"/>
                <w:lang w:val="en-US"/>
              </w:rPr>
              <w:t xml:space="preserve">Hypersensitivity to the drug or lincomycin, inflammatory acne, enteritis, ulcerative colitis, colitis associated with antibiotics (in history), crohn's disease. </w:t>
            </w:r>
          </w:p>
        </w:tc>
      </w:tr>
      <w:tr w:rsidR="002F635D" w:rsidRPr="0024114A" w14:paraId="3C5EFB86" w14:textId="77777777" w:rsidTr="002D6DD7">
        <w:trPr>
          <w:trHeight w:val="782"/>
          <w:jc w:val="center"/>
        </w:trPr>
        <w:tc>
          <w:tcPr>
            <w:tcW w:w="2605" w:type="dxa"/>
          </w:tcPr>
          <w:p w14:paraId="56127D1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1E54F59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Sulfur, resorcinol, salicylic acid, neuromuscular blockers (succinyl choline, atracurium, and pancurium), lincomycin and erythromycin</w:t>
            </w:r>
          </w:p>
        </w:tc>
      </w:tr>
      <w:tr w:rsidR="002F635D" w:rsidRPr="0024114A" w14:paraId="1AED3000" w14:textId="77777777" w:rsidTr="002D6DD7">
        <w:trPr>
          <w:trHeight w:val="460"/>
          <w:jc w:val="center"/>
        </w:trPr>
        <w:tc>
          <w:tcPr>
            <w:tcW w:w="2605" w:type="dxa"/>
          </w:tcPr>
          <w:p w14:paraId="22E410B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2261BF1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Dryness, oiliness, erythema, peeling, burning sensation, headache. </w:t>
            </w:r>
          </w:p>
        </w:tc>
      </w:tr>
      <w:tr w:rsidR="002F635D" w:rsidRPr="0024114A" w14:paraId="29504422" w14:textId="77777777" w:rsidTr="002D6DD7">
        <w:trPr>
          <w:trHeight w:val="460"/>
          <w:jc w:val="center"/>
        </w:trPr>
        <w:tc>
          <w:tcPr>
            <w:tcW w:w="2605" w:type="dxa"/>
          </w:tcPr>
          <w:p w14:paraId="1857248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62210F2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Contact with broken skin, eyes, </w:t>
            </w:r>
            <w:r w:rsidRPr="00787D79">
              <w:rPr>
                <w:rFonts w:cs="Times New Roman"/>
                <w:color w:val="000000" w:themeColor="text1"/>
                <w:szCs w:val="24"/>
                <w:lang w:val="en-US"/>
              </w:rPr>
              <w:t xml:space="preserve">oral </w:t>
            </w:r>
            <w:r w:rsidRPr="0024114A">
              <w:rPr>
                <w:rFonts w:cs="Times New Roman"/>
                <w:color w:val="000000" w:themeColor="text1"/>
                <w:szCs w:val="24"/>
                <w:lang w:val="en-US"/>
              </w:rPr>
              <w:t>and mucous membranes, excessive exposure to sunlight, atopic individual</w:t>
            </w:r>
          </w:p>
        </w:tc>
      </w:tr>
      <w:tr w:rsidR="002F635D" w:rsidRPr="0024114A" w14:paraId="70990DA3" w14:textId="77777777" w:rsidTr="002D6DD7">
        <w:trPr>
          <w:trHeight w:val="460"/>
          <w:jc w:val="center"/>
        </w:trPr>
        <w:tc>
          <w:tcPr>
            <w:tcW w:w="2605" w:type="dxa"/>
          </w:tcPr>
          <w:p w14:paraId="07529FD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07CA227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30°C.</w:t>
            </w:r>
          </w:p>
        </w:tc>
      </w:tr>
      <w:tr w:rsidR="002F635D" w:rsidRPr="0024114A" w14:paraId="1EE4316A" w14:textId="77777777" w:rsidTr="002D6DD7">
        <w:trPr>
          <w:trHeight w:val="460"/>
          <w:jc w:val="center"/>
        </w:trPr>
        <w:tc>
          <w:tcPr>
            <w:tcW w:w="9259" w:type="dxa"/>
            <w:gridSpan w:val="2"/>
          </w:tcPr>
          <w:p w14:paraId="3AAD2153"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Coal tar</w:t>
            </w:r>
          </w:p>
        </w:tc>
      </w:tr>
      <w:tr w:rsidR="002F635D" w:rsidRPr="0024114A" w14:paraId="7D98D429" w14:textId="77777777" w:rsidTr="002D6DD7">
        <w:trPr>
          <w:trHeight w:val="460"/>
          <w:jc w:val="center"/>
        </w:trPr>
        <w:tc>
          <w:tcPr>
            <w:tcW w:w="2605" w:type="dxa"/>
          </w:tcPr>
          <w:p w14:paraId="3348753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7DC4AFC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Antipsoriatics</w:t>
            </w:r>
          </w:p>
        </w:tc>
      </w:tr>
      <w:tr w:rsidR="002F635D" w:rsidRPr="0024114A" w14:paraId="7C6D0A82" w14:textId="77777777" w:rsidTr="002D6DD7">
        <w:trPr>
          <w:trHeight w:val="460"/>
          <w:jc w:val="center"/>
        </w:trPr>
        <w:tc>
          <w:tcPr>
            <w:tcW w:w="2605" w:type="dxa"/>
          </w:tcPr>
          <w:p w14:paraId="6B102BC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666CF12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Ointment: 5%w/w</w:t>
            </w:r>
          </w:p>
        </w:tc>
      </w:tr>
      <w:tr w:rsidR="002F635D" w:rsidRPr="0024114A" w14:paraId="59D2AD2B" w14:textId="77777777" w:rsidTr="002D6DD7">
        <w:trPr>
          <w:trHeight w:val="460"/>
          <w:jc w:val="center"/>
        </w:trPr>
        <w:tc>
          <w:tcPr>
            <w:tcW w:w="2605" w:type="dxa"/>
          </w:tcPr>
          <w:p w14:paraId="7E39222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70DFEEA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For the topical treatment of sub-acute and chronic psoriasis, including psoriasis of the scalp and flexures, seborrheic dermatitis. </w:t>
            </w:r>
          </w:p>
        </w:tc>
      </w:tr>
      <w:tr w:rsidR="002F635D" w:rsidRPr="0024114A" w14:paraId="689BDBC7" w14:textId="77777777" w:rsidTr="002D6DD7">
        <w:trPr>
          <w:trHeight w:val="460"/>
          <w:jc w:val="center"/>
        </w:trPr>
        <w:tc>
          <w:tcPr>
            <w:tcW w:w="2605" w:type="dxa"/>
          </w:tcPr>
          <w:p w14:paraId="024A2F41"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730381E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Apply to the affected area 1-3 times daily, preferably start with lower strength preparations or add 100ml bath taped water and soak the affected area for 10-20 minutes once daily to once every 3 day for at least 10 baths, wash hands after use. </w:t>
            </w:r>
          </w:p>
        </w:tc>
      </w:tr>
      <w:tr w:rsidR="002F635D" w:rsidRPr="0024114A" w14:paraId="24F0FD36" w14:textId="77777777" w:rsidTr="002D6DD7">
        <w:trPr>
          <w:trHeight w:val="460"/>
          <w:jc w:val="center"/>
        </w:trPr>
        <w:tc>
          <w:tcPr>
            <w:tcW w:w="2605" w:type="dxa"/>
          </w:tcPr>
          <w:p w14:paraId="3E4B561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54" w:type="dxa"/>
          </w:tcPr>
          <w:p w14:paraId="6B332A7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acute sore or pustular psoriasis or in the presence of infection</w:t>
            </w:r>
          </w:p>
        </w:tc>
      </w:tr>
      <w:tr w:rsidR="002F635D" w:rsidRPr="0024114A" w14:paraId="599F2BB0" w14:textId="77777777" w:rsidTr="002D6DD7">
        <w:trPr>
          <w:trHeight w:val="460"/>
          <w:jc w:val="center"/>
        </w:trPr>
        <w:tc>
          <w:tcPr>
            <w:tcW w:w="2605" w:type="dxa"/>
          </w:tcPr>
          <w:p w14:paraId="4C2EBC5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37FC002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4D1B0EEE" w14:textId="77777777" w:rsidTr="002D6DD7">
        <w:trPr>
          <w:trHeight w:val="460"/>
          <w:jc w:val="center"/>
        </w:trPr>
        <w:tc>
          <w:tcPr>
            <w:tcW w:w="2605" w:type="dxa"/>
          </w:tcPr>
          <w:p w14:paraId="4A5BF65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450788E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irritation, folliculitis, desquamation, photosensitivity, hair and fabric discoloration</w:t>
            </w:r>
          </w:p>
        </w:tc>
      </w:tr>
      <w:tr w:rsidR="002F635D" w:rsidRPr="0024114A" w14:paraId="3BA10548" w14:textId="77777777" w:rsidTr="002D6DD7">
        <w:trPr>
          <w:trHeight w:val="460"/>
          <w:jc w:val="center"/>
        </w:trPr>
        <w:tc>
          <w:tcPr>
            <w:tcW w:w="2605" w:type="dxa"/>
          </w:tcPr>
          <w:p w14:paraId="2218AF9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2814A8EB" w14:textId="77777777" w:rsidR="002F635D" w:rsidRPr="0024114A" w:rsidRDefault="002F635D" w:rsidP="002D6DD7">
            <w:pPr>
              <w:autoSpaceDE w:val="0"/>
              <w:autoSpaceDN w:val="0"/>
              <w:adjustRightInd w:val="0"/>
              <w:jc w:val="both"/>
              <w:rPr>
                <w:rFonts w:cs="Times New Roman"/>
                <w:i/>
                <w:iCs/>
                <w:color w:val="000000" w:themeColor="text1"/>
                <w:szCs w:val="24"/>
                <w:lang w:val="en-US"/>
              </w:rPr>
            </w:pPr>
            <w:r w:rsidRPr="0024114A">
              <w:rPr>
                <w:rFonts w:cs="Times New Roman"/>
                <w:i/>
                <w:iCs/>
                <w:color w:val="000000" w:themeColor="text1"/>
                <w:szCs w:val="24"/>
                <w:lang w:val="en-US"/>
              </w:rPr>
              <w:t>Note: as the drug is combustible, patients should be warned to avoid contact with any naked flames or avoid smoking.</w:t>
            </w:r>
          </w:p>
        </w:tc>
      </w:tr>
      <w:tr w:rsidR="002F635D" w:rsidRPr="0024114A" w14:paraId="3E3B93B8" w14:textId="77777777" w:rsidTr="002D6DD7">
        <w:trPr>
          <w:trHeight w:val="460"/>
          <w:jc w:val="center"/>
        </w:trPr>
        <w:tc>
          <w:tcPr>
            <w:tcW w:w="2605" w:type="dxa"/>
          </w:tcPr>
          <w:p w14:paraId="2B5460B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5F0E2F5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shd w:val="clear" w:color="auto" w:fill="FFFFFF"/>
                <w:lang w:val="en-US"/>
              </w:rPr>
              <w:t xml:space="preserve">Store below 30 </w:t>
            </w:r>
            <w:r w:rsidRPr="0024114A">
              <w:rPr>
                <w:rFonts w:cs="Times New Roman"/>
                <w:color w:val="000000" w:themeColor="text1"/>
                <w:szCs w:val="24"/>
                <w:shd w:val="clear" w:color="auto" w:fill="FFFFFF"/>
                <w:vertAlign w:val="superscript"/>
                <w:lang w:val="en-US"/>
              </w:rPr>
              <w:t>o</w:t>
            </w:r>
            <w:r w:rsidRPr="0024114A">
              <w:rPr>
                <w:rFonts w:cs="Times New Roman"/>
                <w:color w:val="000000" w:themeColor="text1"/>
                <w:szCs w:val="24"/>
                <w:shd w:val="clear" w:color="auto" w:fill="FFFFFF"/>
                <w:lang w:val="en-US"/>
              </w:rPr>
              <w:t>C.</w:t>
            </w:r>
          </w:p>
        </w:tc>
      </w:tr>
      <w:tr w:rsidR="002F635D" w:rsidRPr="0024114A" w14:paraId="7E766EE1" w14:textId="77777777" w:rsidTr="002D6DD7">
        <w:trPr>
          <w:trHeight w:val="460"/>
          <w:jc w:val="center"/>
        </w:trPr>
        <w:tc>
          <w:tcPr>
            <w:tcW w:w="9259" w:type="dxa"/>
            <w:gridSpan w:val="2"/>
          </w:tcPr>
          <w:p w14:paraId="0E9ED5A2"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Hydroquinone</w:t>
            </w:r>
          </w:p>
        </w:tc>
      </w:tr>
      <w:tr w:rsidR="002F635D" w:rsidRPr="0024114A" w14:paraId="58E34908" w14:textId="77777777" w:rsidTr="002D6DD7">
        <w:trPr>
          <w:trHeight w:val="460"/>
          <w:jc w:val="center"/>
        </w:trPr>
        <w:tc>
          <w:tcPr>
            <w:tcW w:w="2605" w:type="dxa"/>
          </w:tcPr>
          <w:p w14:paraId="2088B57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37A53B5E" w14:textId="77777777" w:rsidR="002F635D" w:rsidRPr="0024114A" w:rsidRDefault="002F635D" w:rsidP="002D6DD7">
            <w:pPr>
              <w:jc w:val="both"/>
              <w:rPr>
                <w:rFonts w:cs="Times New Roman"/>
                <w:color w:val="000000" w:themeColor="text1"/>
                <w:szCs w:val="24"/>
                <w:lang w:val="en-US"/>
              </w:rPr>
            </w:pPr>
            <w:r w:rsidRPr="0024114A">
              <w:rPr>
                <w:rFonts w:eastAsia="SimSun" w:cs="Times New Roman"/>
                <w:color w:val="000000" w:themeColor="text1"/>
                <w:szCs w:val="24"/>
                <w:shd w:val="clear" w:color="auto" w:fill="FFFFFF"/>
                <w:lang w:val="en-US"/>
              </w:rPr>
              <w:t>D</w:t>
            </w:r>
            <w:r w:rsidRPr="0024114A">
              <w:rPr>
                <w:rFonts w:cs="Times New Roman"/>
                <w:color w:val="000000" w:themeColor="text1"/>
                <w:szCs w:val="24"/>
                <w:lang w:val="en-US"/>
              </w:rPr>
              <w:t>epigmentating agent.</w:t>
            </w:r>
          </w:p>
        </w:tc>
      </w:tr>
      <w:tr w:rsidR="002F635D" w:rsidRPr="0024114A" w14:paraId="2D362722" w14:textId="77777777" w:rsidTr="002D6DD7">
        <w:trPr>
          <w:trHeight w:val="460"/>
          <w:jc w:val="center"/>
        </w:trPr>
        <w:tc>
          <w:tcPr>
            <w:tcW w:w="2605" w:type="dxa"/>
          </w:tcPr>
          <w:p w14:paraId="2275A77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16A6B88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solution: 2%, 4%</w:t>
            </w:r>
          </w:p>
          <w:p w14:paraId="1502F32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iCs/>
                <w:color w:val="000000" w:themeColor="text1"/>
                <w:szCs w:val="24"/>
                <w:lang w:val="en-US"/>
              </w:rPr>
              <w:t>C</w:t>
            </w:r>
            <w:r w:rsidRPr="0024114A">
              <w:rPr>
                <w:rFonts w:eastAsia="Times New Roman" w:cs="Times New Roman"/>
                <w:iCs/>
                <w:color w:val="000000" w:themeColor="text1"/>
                <w:szCs w:val="24"/>
              </w:rPr>
              <w:t>ream: 4%</w:t>
            </w:r>
          </w:p>
        </w:tc>
      </w:tr>
      <w:tr w:rsidR="002F635D" w:rsidRPr="0024114A" w14:paraId="697620B0" w14:textId="77777777" w:rsidTr="002D6DD7">
        <w:trPr>
          <w:trHeight w:val="460"/>
          <w:jc w:val="center"/>
        </w:trPr>
        <w:tc>
          <w:tcPr>
            <w:tcW w:w="2605" w:type="dxa"/>
          </w:tcPr>
          <w:p w14:paraId="11881DA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2DE5F1B3"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Melanin hyperpigmentation conditions (melisma, cholasma, freckyles), post-inflammatory hyperpigmentation</w:t>
            </w:r>
          </w:p>
        </w:tc>
      </w:tr>
      <w:tr w:rsidR="002F635D" w:rsidRPr="0024114A" w14:paraId="088288E3" w14:textId="77777777" w:rsidTr="002D6DD7">
        <w:trPr>
          <w:trHeight w:val="460"/>
          <w:jc w:val="center"/>
        </w:trPr>
        <w:tc>
          <w:tcPr>
            <w:tcW w:w="2605" w:type="dxa"/>
          </w:tcPr>
          <w:p w14:paraId="73D0F6C5"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3297E6EB" w14:textId="77777777" w:rsidR="002F635D" w:rsidRPr="0024114A" w:rsidRDefault="002F635D" w:rsidP="002D6DD7">
            <w:pPr>
              <w:pStyle w:val="NormalWeb"/>
              <w:shd w:val="clear" w:color="auto" w:fill="FFFFFF"/>
              <w:spacing w:before="0" w:beforeAutospacing="0" w:after="0" w:afterAutospacing="0" w:line="360" w:lineRule="auto"/>
              <w:jc w:val="both"/>
              <w:rPr>
                <w:color w:val="000000" w:themeColor="text1"/>
                <w:lang w:val="en-US"/>
              </w:rPr>
            </w:pPr>
            <w:r w:rsidRPr="0024114A">
              <w:rPr>
                <w:b/>
                <w:bCs/>
                <w:color w:val="000000" w:themeColor="text1"/>
                <w:lang w:val="en-US"/>
              </w:rPr>
              <w:t>Depigmentation or skin lightening</w:t>
            </w:r>
            <w:r w:rsidRPr="0024114A">
              <w:rPr>
                <w:color w:val="000000" w:themeColor="text1"/>
                <w:lang w:val="en-US"/>
              </w:rPr>
              <w:t xml:space="preserve">: </w:t>
            </w:r>
            <w:r w:rsidRPr="0024114A">
              <w:rPr>
                <w:color w:val="000000" w:themeColor="text1"/>
                <w:shd w:val="clear" w:color="auto" w:fill="FFFFFF"/>
              </w:rPr>
              <w:t>A thin layer is applied with fingertips and rubbed into the face (or other affected areas) 1 to 2 times a day for 3 to 6 months. If there are no results after 2 to 3 months, hydroquinone should be discontinued.  </w:t>
            </w:r>
          </w:p>
        </w:tc>
      </w:tr>
      <w:tr w:rsidR="002F635D" w:rsidRPr="0024114A" w14:paraId="77C92B3A" w14:textId="77777777" w:rsidTr="002D6DD7">
        <w:trPr>
          <w:trHeight w:val="460"/>
          <w:jc w:val="center"/>
        </w:trPr>
        <w:tc>
          <w:tcPr>
            <w:tcW w:w="2605" w:type="dxa"/>
          </w:tcPr>
          <w:p w14:paraId="12CA12D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6D4128D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sun burn, use depilatory agent.</w:t>
            </w:r>
          </w:p>
        </w:tc>
      </w:tr>
      <w:tr w:rsidR="002F635D" w:rsidRPr="0024114A" w14:paraId="77667A37" w14:textId="77777777" w:rsidTr="002D6DD7">
        <w:trPr>
          <w:trHeight w:val="460"/>
          <w:jc w:val="center"/>
        </w:trPr>
        <w:tc>
          <w:tcPr>
            <w:tcW w:w="2605" w:type="dxa"/>
          </w:tcPr>
          <w:p w14:paraId="7B8C4FF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50E4DFB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07238980" w14:textId="77777777" w:rsidTr="002D6DD7">
        <w:trPr>
          <w:trHeight w:val="460"/>
          <w:jc w:val="center"/>
        </w:trPr>
        <w:tc>
          <w:tcPr>
            <w:tcW w:w="2605" w:type="dxa"/>
          </w:tcPr>
          <w:p w14:paraId="316B85E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04FD5E9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Dermatitis, dryness, erythema, stinging, inflammatory reaction, sensitization, irritation.</w:t>
            </w:r>
          </w:p>
        </w:tc>
      </w:tr>
      <w:tr w:rsidR="002F635D" w:rsidRPr="0024114A" w14:paraId="594CD512" w14:textId="77777777" w:rsidTr="002D6DD7">
        <w:trPr>
          <w:trHeight w:val="460"/>
          <w:jc w:val="center"/>
        </w:trPr>
        <w:tc>
          <w:tcPr>
            <w:tcW w:w="2605" w:type="dxa"/>
          </w:tcPr>
          <w:p w14:paraId="795EAC8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400D4CE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Pregnancy, photosensitivity</w:t>
            </w:r>
          </w:p>
        </w:tc>
      </w:tr>
      <w:tr w:rsidR="002F635D" w:rsidRPr="0024114A" w14:paraId="2217799B" w14:textId="77777777" w:rsidTr="002D6DD7">
        <w:trPr>
          <w:trHeight w:val="460"/>
          <w:jc w:val="center"/>
        </w:trPr>
        <w:tc>
          <w:tcPr>
            <w:tcW w:w="2605" w:type="dxa"/>
          </w:tcPr>
          <w:p w14:paraId="7396FD7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0287781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2C09831E" w14:textId="77777777" w:rsidTr="002D6DD7">
        <w:trPr>
          <w:trHeight w:val="460"/>
          <w:jc w:val="center"/>
        </w:trPr>
        <w:tc>
          <w:tcPr>
            <w:tcW w:w="9259" w:type="dxa"/>
            <w:gridSpan w:val="2"/>
          </w:tcPr>
          <w:p w14:paraId="79A0E1F6"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Imiquimod</w:t>
            </w:r>
          </w:p>
        </w:tc>
      </w:tr>
      <w:tr w:rsidR="002F635D" w:rsidRPr="0024114A" w14:paraId="45B414C4" w14:textId="77777777" w:rsidTr="002D6DD7">
        <w:trPr>
          <w:trHeight w:val="460"/>
          <w:jc w:val="center"/>
        </w:trPr>
        <w:tc>
          <w:tcPr>
            <w:tcW w:w="2605" w:type="dxa"/>
          </w:tcPr>
          <w:p w14:paraId="03F7ED5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5958FB7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Immunomodulator</w:t>
            </w:r>
          </w:p>
        </w:tc>
      </w:tr>
      <w:tr w:rsidR="002F635D" w:rsidRPr="0024114A" w14:paraId="00A155FA" w14:textId="77777777" w:rsidTr="002D6DD7">
        <w:trPr>
          <w:trHeight w:val="332"/>
          <w:jc w:val="center"/>
        </w:trPr>
        <w:tc>
          <w:tcPr>
            <w:tcW w:w="2605" w:type="dxa"/>
          </w:tcPr>
          <w:p w14:paraId="288D8BC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5939273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5%</w:t>
            </w:r>
          </w:p>
        </w:tc>
      </w:tr>
      <w:tr w:rsidR="002F635D" w:rsidRPr="0024114A" w14:paraId="4F585438" w14:textId="77777777" w:rsidTr="002D6DD7">
        <w:trPr>
          <w:trHeight w:val="460"/>
          <w:jc w:val="center"/>
        </w:trPr>
        <w:tc>
          <w:tcPr>
            <w:tcW w:w="2605" w:type="dxa"/>
          </w:tcPr>
          <w:p w14:paraId="486BFCC3"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654" w:type="dxa"/>
          </w:tcPr>
          <w:p w14:paraId="71CC8D5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Certain types of actinic keratoses (flat, scaly growths on the skin caused by too much sun exposure) on the face or scalp, superficial </w:t>
            </w:r>
            <w:r w:rsidRPr="0024114A">
              <w:rPr>
                <w:rFonts w:cs="Times New Roman"/>
                <w:color w:val="000000" w:themeColor="text1"/>
                <w:szCs w:val="24"/>
                <w:lang w:val="en-US"/>
              </w:rPr>
              <w:lastRenderedPageBreak/>
              <w:t xml:space="preserve">basal cell carcinoma on the trunk, neck, arms, legs, or feet and warts on the skin of the genital and anal areas, genital and anal warts </w:t>
            </w:r>
          </w:p>
        </w:tc>
      </w:tr>
      <w:tr w:rsidR="002F635D" w:rsidRPr="0024114A" w14:paraId="5DF2B213" w14:textId="77777777" w:rsidTr="002D6DD7">
        <w:trPr>
          <w:trHeight w:val="460"/>
          <w:jc w:val="center"/>
        </w:trPr>
        <w:tc>
          <w:tcPr>
            <w:tcW w:w="2605" w:type="dxa"/>
          </w:tcPr>
          <w:p w14:paraId="0AA3D8F7"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654" w:type="dxa"/>
          </w:tcPr>
          <w:p w14:paraId="4AC72F6E" w14:textId="77777777" w:rsidR="002F635D" w:rsidRPr="0024114A" w:rsidRDefault="002F635D" w:rsidP="002D6DD7">
            <w:pPr>
              <w:pStyle w:val="Default"/>
              <w:spacing w:line="360" w:lineRule="auto"/>
              <w:jc w:val="both"/>
              <w:rPr>
                <w:color w:val="000000" w:themeColor="text1"/>
              </w:rPr>
            </w:pPr>
            <w:r w:rsidRPr="0024114A">
              <w:rPr>
                <w:b/>
                <w:bCs/>
                <w:color w:val="000000" w:themeColor="text1"/>
              </w:rPr>
              <w:t xml:space="preserve">Actinic keratoses: </w:t>
            </w:r>
            <w:r w:rsidRPr="0024114A">
              <w:rPr>
                <w:color w:val="000000" w:themeColor="text1"/>
              </w:rPr>
              <w:t xml:space="preserve">Apply it once a day for 2 days a week, 3 to 4 days apart </w:t>
            </w:r>
          </w:p>
          <w:p w14:paraId="5673758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Superficial basal cell carcinoma: </w:t>
            </w:r>
            <w:r w:rsidRPr="0024114A">
              <w:rPr>
                <w:rFonts w:cs="Times New Roman"/>
                <w:color w:val="000000" w:themeColor="text1"/>
                <w:szCs w:val="24"/>
                <w:lang w:val="en-US"/>
              </w:rPr>
              <w:t>Apply once a day for 5 days a week.</w:t>
            </w:r>
          </w:p>
          <w:p w14:paraId="2670FC2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Genital and anal warts</w:t>
            </w:r>
            <w:r w:rsidRPr="0024114A">
              <w:rPr>
                <w:rFonts w:cs="Times New Roman"/>
                <w:color w:val="000000" w:themeColor="text1"/>
                <w:szCs w:val="24"/>
                <w:lang w:val="en-US"/>
              </w:rPr>
              <w:t>: Apply once a day for 3 days a week.</w:t>
            </w:r>
          </w:p>
          <w:p w14:paraId="5786803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Apply 3 times per week until total clearance of wart or for a maximum of 16 weeks.</w:t>
            </w:r>
          </w:p>
        </w:tc>
      </w:tr>
      <w:tr w:rsidR="002F635D" w:rsidRPr="0024114A" w14:paraId="6C876E85" w14:textId="77777777" w:rsidTr="002D6DD7">
        <w:trPr>
          <w:trHeight w:val="460"/>
          <w:jc w:val="center"/>
        </w:trPr>
        <w:tc>
          <w:tcPr>
            <w:tcW w:w="2605" w:type="dxa"/>
          </w:tcPr>
          <w:p w14:paraId="42A65DC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0368F4E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7A3CC155" w14:textId="77777777" w:rsidTr="002D6DD7">
        <w:trPr>
          <w:trHeight w:val="460"/>
          <w:jc w:val="center"/>
        </w:trPr>
        <w:tc>
          <w:tcPr>
            <w:tcW w:w="2605" w:type="dxa"/>
          </w:tcPr>
          <w:p w14:paraId="22A7DE2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1D023F2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Tacrolimus </w:t>
            </w:r>
          </w:p>
        </w:tc>
      </w:tr>
      <w:tr w:rsidR="002F635D" w:rsidRPr="0024114A" w14:paraId="595287B2" w14:textId="77777777" w:rsidTr="002D6DD7">
        <w:trPr>
          <w:trHeight w:val="460"/>
          <w:jc w:val="center"/>
        </w:trPr>
        <w:tc>
          <w:tcPr>
            <w:tcW w:w="2605" w:type="dxa"/>
          </w:tcPr>
          <w:p w14:paraId="07D1CCB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16A8806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Redness, itching, burning, or bleeding of the treated area, flaking, scaling, dryness, or thickening of the skin; swelling, stinging, blisters, scabs, or bumps on the skin, headache, diarrhea, tiredness</w:t>
            </w:r>
          </w:p>
        </w:tc>
      </w:tr>
      <w:tr w:rsidR="002F635D" w:rsidRPr="0024114A" w14:paraId="75969877" w14:textId="77777777" w:rsidTr="002D6DD7">
        <w:trPr>
          <w:trHeight w:val="460"/>
          <w:jc w:val="center"/>
        </w:trPr>
        <w:tc>
          <w:tcPr>
            <w:tcW w:w="2605" w:type="dxa"/>
          </w:tcPr>
          <w:p w14:paraId="4E2C8BC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1DFC5D5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Autoimmune conditions, excessive sunlight exposure, contact with eyes or mucous membrane, children 2-12 years with molluscum. </w:t>
            </w:r>
          </w:p>
        </w:tc>
      </w:tr>
      <w:tr w:rsidR="002F635D" w:rsidRPr="0024114A" w14:paraId="1FCB888B" w14:textId="77777777" w:rsidTr="002D6DD7">
        <w:trPr>
          <w:trHeight w:val="460"/>
          <w:jc w:val="center"/>
        </w:trPr>
        <w:tc>
          <w:tcPr>
            <w:tcW w:w="2605" w:type="dxa"/>
          </w:tcPr>
          <w:p w14:paraId="2D640BB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72220FF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255D5593" w14:textId="77777777" w:rsidTr="002D6DD7">
        <w:trPr>
          <w:trHeight w:val="460"/>
          <w:jc w:val="center"/>
        </w:trPr>
        <w:tc>
          <w:tcPr>
            <w:tcW w:w="9259" w:type="dxa"/>
            <w:gridSpan w:val="2"/>
          </w:tcPr>
          <w:p w14:paraId="5E420241"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Isotretinoin</w:t>
            </w:r>
          </w:p>
        </w:tc>
      </w:tr>
      <w:tr w:rsidR="002F635D" w:rsidRPr="0024114A" w14:paraId="40A3AE05" w14:textId="77777777" w:rsidTr="002D6DD7">
        <w:trPr>
          <w:trHeight w:val="460"/>
          <w:jc w:val="center"/>
        </w:trPr>
        <w:tc>
          <w:tcPr>
            <w:tcW w:w="2605" w:type="dxa"/>
          </w:tcPr>
          <w:p w14:paraId="08A8B9B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4BE8E4F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Anti-acne</w:t>
            </w:r>
          </w:p>
        </w:tc>
      </w:tr>
      <w:tr w:rsidR="002F635D" w:rsidRPr="0024114A" w14:paraId="56D78511" w14:textId="77777777" w:rsidTr="002D6DD7">
        <w:trPr>
          <w:trHeight w:val="460"/>
          <w:jc w:val="center"/>
        </w:trPr>
        <w:tc>
          <w:tcPr>
            <w:tcW w:w="2605" w:type="dxa"/>
          </w:tcPr>
          <w:p w14:paraId="6257BFB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5B61ED4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Capsule:  10mg, 20mg</w:t>
            </w:r>
          </w:p>
        </w:tc>
      </w:tr>
      <w:tr w:rsidR="002F635D" w:rsidRPr="0024114A" w14:paraId="7440E876" w14:textId="77777777" w:rsidTr="002D6DD7">
        <w:trPr>
          <w:trHeight w:val="460"/>
          <w:jc w:val="center"/>
        </w:trPr>
        <w:tc>
          <w:tcPr>
            <w:tcW w:w="2605" w:type="dxa"/>
          </w:tcPr>
          <w:p w14:paraId="2518CEB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43BE3D4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Severe acne including nodular or conglobate acne or acne at risk of permanent scarring resistant to adequate courses of standard therapy with systemic antibacterials and topical therapy (under expert supervision)</w:t>
            </w:r>
          </w:p>
        </w:tc>
      </w:tr>
      <w:tr w:rsidR="002F635D" w:rsidRPr="0024114A" w14:paraId="12A43852" w14:textId="77777777" w:rsidTr="00787D79">
        <w:trPr>
          <w:trHeight w:val="3590"/>
          <w:jc w:val="center"/>
        </w:trPr>
        <w:tc>
          <w:tcPr>
            <w:tcW w:w="2605" w:type="dxa"/>
          </w:tcPr>
          <w:p w14:paraId="7922EEC0"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654" w:type="dxa"/>
          </w:tcPr>
          <w:p w14:paraId="4C2E2D91"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Initially, 500 mcg/kg daily in 1–2 divided doses, increased if necessary to 1 mg/kg daily and continued until a total cumulative dose of 120–150 mg/kg is reached—treatment may be</w:t>
            </w:r>
          </w:p>
          <w:p w14:paraId="2296EA3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discontinued sooner if there has been an adequate response and no new lesions for 4–8 weeks, treatment course may be repeated after a period of at least 8 weeks if relapse after first course, consider dose reduction to less than 500 mcg/kg daily forpatients at increased risk of or experiencing side effects; maximum 150 mg/kg per course.</w:t>
            </w:r>
          </w:p>
        </w:tc>
      </w:tr>
      <w:tr w:rsidR="002F635D" w:rsidRPr="0024114A" w14:paraId="45F74F3A" w14:textId="77777777" w:rsidTr="002D6DD7">
        <w:trPr>
          <w:trHeight w:val="460"/>
          <w:jc w:val="center"/>
        </w:trPr>
        <w:tc>
          <w:tcPr>
            <w:tcW w:w="2605" w:type="dxa"/>
          </w:tcPr>
          <w:p w14:paraId="41114A5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4F5D364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Hypersensitivity to the drug, pregnancy, hypervitaminosis A, hepatic and renal insufficiency, hyperlipidemia, use of tetracyclines (doxycycline, minocycline). </w:t>
            </w:r>
          </w:p>
        </w:tc>
      </w:tr>
      <w:tr w:rsidR="002F635D" w:rsidRPr="0024114A" w14:paraId="42EBAC9E" w14:textId="77777777" w:rsidTr="002D6DD7">
        <w:trPr>
          <w:trHeight w:val="460"/>
          <w:jc w:val="center"/>
        </w:trPr>
        <w:tc>
          <w:tcPr>
            <w:tcW w:w="2605" w:type="dxa"/>
          </w:tcPr>
          <w:p w14:paraId="3BA7485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1B8E735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Tetracyclines, acitretin, tretinoin, vitamin A</w:t>
            </w:r>
          </w:p>
        </w:tc>
      </w:tr>
      <w:tr w:rsidR="002F635D" w:rsidRPr="0024114A" w14:paraId="758BB5B4" w14:textId="77777777" w:rsidTr="002D6DD7">
        <w:trPr>
          <w:trHeight w:val="460"/>
          <w:jc w:val="center"/>
        </w:trPr>
        <w:tc>
          <w:tcPr>
            <w:tcW w:w="2605" w:type="dxa"/>
          </w:tcPr>
          <w:p w14:paraId="664A055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40BB893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Anaemia, arthralgia, back pain, cheilitis, dry eye, eye discomfort, eye inflammation, hemorrhage, headache, increased risk of infection, myalgia, nasal dryness, neutropenia, proteinuria, skin fragility, skin reactions, thrombocytopenia, thrombocytosis.</w:t>
            </w:r>
          </w:p>
        </w:tc>
      </w:tr>
      <w:tr w:rsidR="002F635D" w:rsidRPr="0024114A" w14:paraId="0CA4ED88" w14:textId="77777777" w:rsidTr="002D6DD7">
        <w:trPr>
          <w:trHeight w:val="460"/>
          <w:jc w:val="center"/>
        </w:trPr>
        <w:tc>
          <w:tcPr>
            <w:tcW w:w="2605" w:type="dxa"/>
          </w:tcPr>
          <w:p w14:paraId="0BC6B97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61C60CD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Diabetes mellitus, dry eye syndrome, history of depression, neutropenia, agranulocytosis, risk of suicidal attempts. </w:t>
            </w:r>
          </w:p>
          <w:p w14:paraId="05E711DD" w14:textId="77777777" w:rsidR="002F635D" w:rsidRPr="0024114A" w:rsidRDefault="002F635D" w:rsidP="002D6DD7">
            <w:pPr>
              <w:jc w:val="both"/>
              <w:rPr>
                <w:rFonts w:cs="Times New Roman"/>
                <w:i/>
                <w:iCs/>
                <w:color w:val="000000" w:themeColor="text1"/>
                <w:szCs w:val="24"/>
                <w:lang w:val="en-US"/>
              </w:rPr>
            </w:pPr>
            <w:r w:rsidRPr="0024114A">
              <w:rPr>
                <w:rFonts w:cs="Times New Roman"/>
                <w:i/>
                <w:iCs/>
                <w:color w:val="000000" w:themeColor="text1"/>
                <w:szCs w:val="24"/>
                <w:lang w:val="en-US"/>
              </w:rPr>
              <w:t>Note: avoid blood donation during treatment and for at least 1 month after treatment.</w:t>
            </w:r>
          </w:p>
        </w:tc>
      </w:tr>
      <w:tr w:rsidR="002F635D" w:rsidRPr="0024114A" w14:paraId="24977EC6" w14:textId="77777777" w:rsidTr="002D6DD7">
        <w:trPr>
          <w:trHeight w:val="460"/>
          <w:jc w:val="center"/>
        </w:trPr>
        <w:tc>
          <w:tcPr>
            <w:tcW w:w="2605" w:type="dxa"/>
          </w:tcPr>
          <w:p w14:paraId="2E392E4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62B0682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5CDCE70D" w14:textId="77777777" w:rsidTr="002D6DD7">
        <w:trPr>
          <w:trHeight w:val="460"/>
          <w:jc w:val="center"/>
        </w:trPr>
        <w:tc>
          <w:tcPr>
            <w:tcW w:w="9259" w:type="dxa"/>
            <w:gridSpan w:val="2"/>
          </w:tcPr>
          <w:p w14:paraId="62E74207" w14:textId="77777777" w:rsidR="002F635D" w:rsidRPr="0024114A" w:rsidRDefault="002F635D" w:rsidP="002D6DD7">
            <w:pPr>
              <w:jc w:val="both"/>
              <w:rPr>
                <w:rFonts w:cs="Times New Roman"/>
                <w:color w:val="000000" w:themeColor="text1"/>
                <w:szCs w:val="24"/>
                <w:lang w:val="en-US"/>
              </w:rPr>
            </w:pPr>
            <w:r w:rsidRPr="0024114A">
              <w:rPr>
                <w:rStyle w:val="Strong"/>
                <w:rFonts w:cs="Times New Roman"/>
                <w:color w:val="000000" w:themeColor="text1"/>
                <w:szCs w:val="24"/>
                <w:shd w:val="clear" w:color="auto" w:fill="FFFFFF"/>
                <w:lang w:val="en-US"/>
              </w:rPr>
              <w:t>Podophyllum resin  </w:t>
            </w:r>
          </w:p>
        </w:tc>
      </w:tr>
      <w:tr w:rsidR="002F635D" w:rsidRPr="0024114A" w14:paraId="64180F8F" w14:textId="77777777" w:rsidTr="002D6DD7">
        <w:trPr>
          <w:trHeight w:val="460"/>
          <w:jc w:val="center"/>
        </w:trPr>
        <w:tc>
          <w:tcPr>
            <w:tcW w:w="2605" w:type="dxa"/>
          </w:tcPr>
          <w:p w14:paraId="2198B5C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7A81E41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Keratolytics</w:t>
            </w:r>
          </w:p>
        </w:tc>
      </w:tr>
      <w:tr w:rsidR="002F635D" w:rsidRPr="0024114A" w14:paraId="171BC975" w14:textId="77777777" w:rsidTr="002D6DD7">
        <w:trPr>
          <w:trHeight w:val="460"/>
          <w:jc w:val="center"/>
        </w:trPr>
        <w:tc>
          <w:tcPr>
            <w:tcW w:w="2605" w:type="dxa"/>
          </w:tcPr>
          <w:p w14:paraId="0A19CCA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1ACBCA4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Solution: 10% to 25 %.</w:t>
            </w:r>
          </w:p>
        </w:tc>
      </w:tr>
      <w:tr w:rsidR="002F635D" w:rsidRPr="0024114A" w14:paraId="2AB86DBF" w14:textId="77777777" w:rsidTr="002D6DD7">
        <w:trPr>
          <w:trHeight w:val="332"/>
          <w:jc w:val="center"/>
        </w:trPr>
        <w:tc>
          <w:tcPr>
            <w:tcW w:w="2605" w:type="dxa"/>
          </w:tcPr>
          <w:p w14:paraId="200C41C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11454D70"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Management of warts (external anogenital and plantar)</w:t>
            </w:r>
            <w:r w:rsidR="00787D79">
              <w:rPr>
                <w:rFonts w:cs="Times New Roman"/>
                <w:color w:val="000000" w:themeColor="text1"/>
                <w:szCs w:val="24"/>
                <w:lang w:val="en-US"/>
              </w:rPr>
              <w:t xml:space="preserve"> </w:t>
            </w:r>
            <w:r w:rsidRPr="0024114A">
              <w:rPr>
                <w:rFonts w:cs="Times New Roman"/>
                <w:color w:val="000000" w:themeColor="text1"/>
                <w:szCs w:val="24"/>
                <w:lang w:val="en-US"/>
              </w:rPr>
              <w:t>and keratosis</w:t>
            </w:r>
          </w:p>
        </w:tc>
      </w:tr>
      <w:tr w:rsidR="002F635D" w:rsidRPr="0024114A" w14:paraId="521CA0D7" w14:textId="77777777" w:rsidTr="002D6DD7">
        <w:trPr>
          <w:trHeight w:val="460"/>
          <w:jc w:val="center"/>
        </w:trPr>
        <w:tc>
          <w:tcPr>
            <w:tcW w:w="2605" w:type="dxa"/>
          </w:tcPr>
          <w:p w14:paraId="00570ABD"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264399AD"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 xml:space="preserve">Apply carefully to warts, avoiding contact with normal tissue; use 1 drop at a time allowing drying between drops until area is covered; total volume should be limited to &lt;0.5 ml per </w:t>
            </w:r>
            <w:r w:rsidRPr="0024114A">
              <w:rPr>
                <w:rFonts w:cs="Times New Roman"/>
                <w:color w:val="000000" w:themeColor="text1"/>
                <w:szCs w:val="24"/>
                <w:lang w:val="en-US"/>
              </w:rPr>
              <w:lastRenderedPageBreak/>
              <w:t>treatment session; rinse off after 1–6 hours; may be repeated at weekly intervals but no more than 4 times in all; only a few warts should be treated at any one time</w:t>
            </w:r>
          </w:p>
          <w:p w14:paraId="0A6B515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Child: </w:t>
            </w:r>
            <w:r w:rsidRPr="0024114A">
              <w:rPr>
                <w:rFonts w:cs="Times New Roman"/>
                <w:color w:val="000000" w:themeColor="text1"/>
                <w:szCs w:val="24"/>
                <w:lang w:val="en-US"/>
              </w:rPr>
              <w:t>Not recommended in children under 12 years of age.</w:t>
            </w:r>
          </w:p>
        </w:tc>
      </w:tr>
      <w:tr w:rsidR="002F635D" w:rsidRPr="0024114A" w14:paraId="08660766" w14:textId="77777777" w:rsidTr="002D6DD7">
        <w:trPr>
          <w:trHeight w:val="460"/>
          <w:jc w:val="center"/>
        </w:trPr>
        <w:tc>
          <w:tcPr>
            <w:tcW w:w="2605" w:type="dxa"/>
          </w:tcPr>
          <w:p w14:paraId="2F534C5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54" w:type="dxa"/>
          </w:tcPr>
          <w:p w14:paraId="29A3B511"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Pregnancy, breastfeeding, children, diabtes mellitus, ethanol use.</w:t>
            </w:r>
          </w:p>
        </w:tc>
      </w:tr>
      <w:tr w:rsidR="002F635D" w:rsidRPr="0024114A" w14:paraId="3726E91D" w14:textId="77777777" w:rsidTr="002D6DD7">
        <w:trPr>
          <w:trHeight w:val="460"/>
          <w:jc w:val="center"/>
        </w:trPr>
        <w:tc>
          <w:tcPr>
            <w:tcW w:w="2605" w:type="dxa"/>
          </w:tcPr>
          <w:p w14:paraId="4D368CB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40C0952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0E5F5675" w14:textId="77777777" w:rsidTr="002D6DD7">
        <w:trPr>
          <w:trHeight w:val="460"/>
          <w:jc w:val="center"/>
        </w:trPr>
        <w:tc>
          <w:tcPr>
            <w:tcW w:w="2605" w:type="dxa"/>
          </w:tcPr>
          <w:p w14:paraId="6AC9BF3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58BAB93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Balanoposthitis, skin irritation, paraphemosis, skin necrosis.</w:t>
            </w:r>
          </w:p>
        </w:tc>
      </w:tr>
      <w:tr w:rsidR="002F635D" w:rsidRPr="0024114A" w14:paraId="2702B115" w14:textId="77777777" w:rsidTr="002D6DD7">
        <w:trPr>
          <w:trHeight w:val="460"/>
          <w:jc w:val="center"/>
        </w:trPr>
        <w:tc>
          <w:tcPr>
            <w:tcW w:w="2605" w:type="dxa"/>
          </w:tcPr>
          <w:p w14:paraId="7A848F2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4A75DF4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Use on large areas, very irritant to eyes (keep away from face), contact with normal skin, mucus membranes, and open wounds</w:t>
            </w:r>
          </w:p>
        </w:tc>
      </w:tr>
      <w:tr w:rsidR="002F635D" w:rsidRPr="0024114A" w14:paraId="43877D1A" w14:textId="77777777" w:rsidTr="002D6DD7">
        <w:trPr>
          <w:trHeight w:val="460"/>
          <w:jc w:val="center"/>
        </w:trPr>
        <w:tc>
          <w:tcPr>
            <w:tcW w:w="2605" w:type="dxa"/>
          </w:tcPr>
          <w:p w14:paraId="2D503EC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7A8460E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3BB2CFE2" w14:textId="77777777" w:rsidTr="002D6DD7">
        <w:trPr>
          <w:trHeight w:val="460"/>
          <w:jc w:val="center"/>
        </w:trPr>
        <w:tc>
          <w:tcPr>
            <w:tcW w:w="9259" w:type="dxa"/>
            <w:gridSpan w:val="2"/>
          </w:tcPr>
          <w:p w14:paraId="3FD724FD"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Salicylic acid</w:t>
            </w:r>
          </w:p>
        </w:tc>
      </w:tr>
      <w:tr w:rsidR="002F635D" w:rsidRPr="0024114A" w14:paraId="322C8D10" w14:textId="77777777" w:rsidTr="002D6DD7">
        <w:trPr>
          <w:trHeight w:val="460"/>
          <w:jc w:val="center"/>
        </w:trPr>
        <w:tc>
          <w:tcPr>
            <w:tcW w:w="2605" w:type="dxa"/>
          </w:tcPr>
          <w:p w14:paraId="55DDE00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3BE7441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Salicylates, keratolytic</w:t>
            </w:r>
          </w:p>
        </w:tc>
      </w:tr>
      <w:tr w:rsidR="002F635D" w:rsidRPr="0024114A" w14:paraId="6AD349DA" w14:textId="77777777" w:rsidTr="002D6DD7">
        <w:trPr>
          <w:trHeight w:val="460"/>
          <w:jc w:val="center"/>
        </w:trPr>
        <w:tc>
          <w:tcPr>
            <w:tcW w:w="2605" w:type="dxa"/>
          </w:tcPr>
          <w:p w14:paraId="722C5CB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2AED4094"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Ointment: 2%, 5%, 10%</w:t>
            </w:r>
          </w:p>
        </w:tc>
      </w:tr>
      <w:tr w:rsidR="002F635D" w:rsidRPr="0024114A" w14:paraId="27F11FB6" w14:textId="77777777" w:rsidTr="002D6DD7">
        <w:trPr>
          <w:trHeight w:val="1608"/>
          <w:jc w:val="center"/>
        </w:trPr>
        <w:tc>
          <w:tcPr>
            <w:tcW w:w="2605" w:type="dxa"/>
          </w:tcPr>
          <w:p w14:paraId="46C5131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117A9D4C"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Hyperkeratotic conditions, including common wart, excluding on the face; adjunct in treatment of psoriasis, fungal infections, seborrheic dermatitis, ichthyosis, acne vulgaris, insect bites, burns, and complications associated with pyoderma</w:t>
            </w:r>
          </w:p>
        </w:tc>
      </w:tr>
      <w:tr w:rsidR="002F635D" w:rsidRPr="0024114A" w14:paraId="36BDB383" w14:textId="77777777" w:rsidTr="002D6DD7">
        <w:trPr>
          <w:trHeight w:val="3212"/>
          <w:jc w:val="center"/>
        </w:trPr>
        <w:tc>
          <w:tcPr>
            <w:tcW w:w="2605" w:type="dxa"/>
          </w:tcPr>
          <w:p w14:paraId="685A5E4F"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6DE0EAB1"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Apply directly to the affected area once daily, starting with lower strength preparations; gradually increase strength until a satisfactory response is obtained.</w:t>
            </w:r>
          </w:p>
          <w:p w14:paraId="68987B0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under 2 years</w:t>
            </w:r>
            <w:r w:rsidRPr="0024114A">
              <w:rPr>
                <w:rFonts w:cs="Times New Roman"/>
                <w:color w:val="000000" w:themeColor="text1"/>
                <w:szCs w:val="24"/>
                <w:lang w:val="en-US"/>
              </w:rPr>
              <w:t>: Safety and efficacy not established</w:t>
            </w:r>
          </w:p>
          <w:p w14:paraId="3CB425E4"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over 2 years</w:t>
            </w:r>
            <w:r w:rsidRPr="0024114A">
              <w:rPr>
                <w:rFonts w:cs="Times New Roman"/>
                <w:color w:val="000000" w:themeColor="text1"/>
                <w:szCs w:val="24"/>
                <w:lang w:val="en-US"/>
              </w:rPr>
              <w:t>: Apply once daily, starting with lower strength preparations, gradually increase strength until satisfactory response obtained</w:t>
            </w:r>
          </w:p>
          <w:p w14:paraId="661E62B5" w14:textId="77777777" w:rsidR="002F635D" w:rsidRPr="0024114A" w:rsidRDefault="002F635D" w:rsidP="002D6DD7">
            <w:pPr>
              <w:autoSpaceDE w:val="0"/>
              <w:autoSpaceDN w:val="0"/>
              <w:adjustRightInd w:val="0"/>
              <w:jc w:val="both"/>
              <w:rPr>
                <w:rFonts w:cs="Times New Roman"/>
                <w:i/>
                <w:color w:val="000000" w:themeColor="text1"/>
                <w:szCs w:val="24"/>
                <w:lang w:val="en-US"/>
              </w:rPr>
            </w:pPr>
            <w:r w:rsidRPr="00787D79">
              <w:rPr>
                <w:rFonts w:cs="Times New Roman"/>
                <w:i/>
                <w:color w:val="000000" w:themeColor="text1"/>
                <w:szCs w:val="24"/>
                <w:lang w:val="en-US"/>
              </w:rPr>
              <w:t>Note:</w:t>
            </w:r>
            <w:r w:rsidRPr="0024114A">
              <w:rPr>
                <w:rFonts w:cs="Times New Roman"/>
                <w:i/>
                <w:color w:val="000000" w:themeColor="text1"/>
                <w:szCs w:val="24"/>
                <w:lang w:val="en-US"/>
              </w:rPr>
              <w:t xml:space="preserve"> Hydrate skin prior to application by soaking with warm water for 5 minutes, then dry it.</w:t>
            </w:r>
          </w:p>
        </w:tc>
      </w:tr>
      <w:tr w:rsidR="002F635D" w:rsidRPr="0024114A" w14:paraId="467553F3" w14:textId="77777777" w:rsidTr="002D6DD7">
        <w:trPr>
          <w:trHeight w:val="830"/>
          <w:jc w:val="center"/>
        </w:trPr>
        <w:tc>
          <w:tcPr>
            <w:tcW w:w="2605" w:type="dxa"/>
          </w:tcPr>
          <w:p w14:paraId="269C88C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5E38DCA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or polyethylene glycols, applications broken or inflamed skin, children under 2 years.</w:t>
            </w:r>
          </w:p>
        </w:tc>
      </w:tr>
      <w:tr w:rsidR="002F635D" w:rsidRPr="0024114A" w14:paraId="2AC1B3E4" w14:textId="77777777" w:rsidTr="002D6DD7">
        <w:trPr>
          <w:trHeight w:val="460"/>
          <w:jc w:val="center"/>
        </w:trPr>
        <w:tc>
          <w:tcPr>
            <w:tcW w:w="2605" w:type="dxa"/>
          </w:tcPr>
          <w:p w14:paraId="1E2258F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26BC8E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059BE86C" w14:textId="77777777" w:rsidTr="002D6DD7">
        <w:trPr>
          <w:trHeight w:val="377"/>
          <w:jc w:val="center"/>
        </w:trPr>
        <w:tc>
          <w:tcPr>
            <w:tcW w:w="2605" w:type="dxa"/>
          </w:tcPr>
          <w:p w14:paraId="641EF21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123B3CE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Stinging, local irritation, salicylism</w:t>
            </w:r>
          </w:p>
        </w:tc>
      </w:tr>
      <w:tr w:rsidR="002F635D" w:rsidRPr="0024114A" w14:paraId="43AE3738" w14:textId="77777777" w:rsidTr="002D6DD7">
        <w:trPr>
          <w:trHeight w:val="1134"/>
          <w:jc w:val="center"/>
        </w:trPr>
        <w:tc>
          <w:tcPr>
            <w:tcW w:w="2605" w:type="dxa"/>
          </w:tcPr>
          <w:p w14:paraId="493038C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 xml:space="preserve">Cautions </w:t>
            </w:r>
          </w:p>
        </w:tc>
        <w:tc>
          <w:tcPr>
            <w:tcW w:w="6654" w:type="dxa"/>
          </w:tcPr>
          <w:p w14:paraId="59FFC179" w14:textId="77777777" w:rsidR="002F635D" w:rsidRPr="0024114A" w:rsidRDefault="002F635D" w:rsidP="002D6DD7">
            <w:pPr>
              <w:tabs>
                <w:tab w:val="left" w:pos="4366"/>
              </w:tabs>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Peripheral neuropathy, contact with eyes, oral, and mucous membranes, occlusive dressings, oral asprin use, prolonged use over large area, children with varicella.</w:t>
            </w:r>
          </w:p>
        </w:tc>
      </w:tr>
      <w:tr w:rsidR="002F635D" w:rsidRPr="0024114A" w14:paraId="671E49E8" w14:textId="77777777" w:rsidTr="002D6DD7">
        <w:trPr>
          <w:trHeight w:val="460"/>
          <w:jc w:val="center"/>
        </w:trPr>
        <w:tc>
          <w:tcPr>
            <w:tcW w:w="2605" w:type="dxa"/>
          </w:tcPr>
          <w:p w14:paraId="0D89274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61B490A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5894D5E1" w14:textId="77777777" w:rsidTr="002D6DD7">
        <w:trPr>
          <w:trHeight w:val="460"/>
          <w:jc w:val="center"/>
        </w:trPr>
        <w:tc>
          <w:tcPr>
            <w:tcW w:w="9259" w:type="dxa"/>
            <w:gridSpan w:val="2"/>
          </w:tcPr>
          <w:p w14:paraId="1006310F"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Retinoic acid</w:t>
            </w:r>
          </w:p>
        </w:tc>
      </w:tr>
      <w:tr w:rsidR="002F635D" w:rsidRPr="0024114A" w14:paraId="59B4EEA3" w14:textId="77777777" w:rsidTr="002D6DD7">
        <w:trPr>
          <w:trHeight w:val="331"/>
          <w:jc w:val="center"/>
        </w:trPr>
        <w:tc>
          <w:tcPr>
            <w:tcW w:w="2605" w:type="dxa"/>
          </w:tcPr>
          <w:p w14:paraId="60DDF2E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3DBB68E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Antiacne</w:t>
            </w:r>
          </w:p>
        </w:tc>
      </w:tr>
      <w:tr w:rsidR="002F635D" w:rsidRPr="0024114A" w14:paraId="4134CAB2" w14:textId="77777777" w:rsidTr="002D6DD7">
        <w:trPr>
          <w:trHeight w:val="1435"/>
          <w:jc w:val="center"/>
        </w:trPr>
        <w:tc>
          <w:tcPr>
            <w:tcW w:w="2605" w:type="dxa"/>
          </w:tcPr>
          <w:p w14:paraId="0D33D94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1924430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Cream: 0.025%w/w</w:t>
            </w:r>
          </w:p>
          <w:p w14:paraId="1F2B43A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Gel: 0.01%</w:t>
            </w:r>
          </w:p>
          <w:p w14:paraId="59CEF95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Lotion: 0.025%</w:t>
            </w:r>
          </w:p>
          <w:p w14:paraId="743F733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Ointment: 0.05%</w:t>
            </w:r>
          </w:p>
        </w:tc>
      </w:tr>
      <w:tr w:rsidR="002F635D" w:rsidRPr="0024114A" w14:paraId="1E0B4DE7" w14:textId="77777777" w:rsidTr="002D6DD7">
        <w:trPr>
          <w:trHeight w:val="386"/>
          <w:jc w:val="center"/>
        </w:trPr>
        <w:tc>
          <w:tcPr>
            <w:tcW w:w="2605" w:type="dxa"/>
          </w:tcPr>
          <w:p w14:paraId="2150D8E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359E8970"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Treatment of acne vulgaris with comedones, papules or pustules. </w:t>
            </w:r>
          </w:p>
        </w:tc>
      </w:tr>
      <w:tr w:rsidR="002F635D" w:rsidRPr="0024114A" w14:paraId="7A168EFB" w14:textId="77777777" w:rsidTr="002D6DD7">
        <w:trPr>
          <w:trHeight w:val="90"/>
          <w:jc w:val="center"/>
        </w:trPr>
        <w:tc>
          <w:tcPr>
            <w:tcW w:w="2605" w:type="dxa"/>
          </w:tcPr>
          <w:p w14:paraId="32B863F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66DF0A43"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A</w:t>
            </w:r>
            <w:r w:rsidRPr="0024114A">
              <w:rPr>
                <w:rFonts w:eastAsia="Times New Roman" w:cs="Times New Roman"/>
                <w:iCs/>
                <w:color w:val="000000"/>
                <w:szCs w:val="24"/>
              </w:rPr>
              <w:t>pply</w:t>
            </w:r>
            <w:r w:rsidRPr="0024114A">
              <w:rPr>
                <w:rFonts w:eastAsia="Times New Roman" w:cs="Times New Roman"/>
                <w:color w:val="000000"/>
                <w:szCs w:val="24"/>
              </w:rPr>
              <w:t>directly to the affected area twice daily, preferably to damp skin.</w:t>
            </w:r>
          </w:p>
          <w:p w14:paraId="159993E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Children under 12 years</w:t>
            </w:r>
            <w:r w:rsidRPr="0024114A">
              <w:rPr>
                <w:rFonts w:cs="Times New Roman"/>
                <w:color w:val="000000" w:themeColor="text1"/>
                <w:szCs w:val="24"/>
                <w:lang w:val="en-US"/>
              </w:rPr>
              <w:t>: Not recommended. Safety not established</w:t>
            </w:r>
          </w:p>
          <w:p w14:paraId="3FCB6CB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Children above 12 years</w:t>
            </w:r>
            <w:r w:rsidRPr="0024114A">
              <w:rPr>
                <w:rFonts w:cs="Times New Roman"/>
                <w:color w:val="000000" w:themeColor="text1"/>
                <w:szCs w:val="24"/>
                <w:lang w:val="en-US"/>
              </w:rPr>
              <w:t>: A</w:t>
            </w:r>
            <w:r w:rsidRPr="0024114A">
              <w:rPr>
                <w:rFonts w:eastAsia="Times New Roman" w:cs="Times New Roman"/>
                <w:iCs/>
                <w:color w:val="000000"/>
                <w:szCs w:val="24"/>
              </w:rPr>
              <w:t>pply</w:t>
            </w:r>
            <w:r w:rsidRPr="0024114A">
              <w:rPr>
                <w:rFonts w:eastAsia="Times New Roman" w:cs="Times New Roman"/>
                <w:color w:val="000000"/>
                <w:szCs w:val="24"/>
              </w:rPr>
              <w:t>directly to the affected area twice daily, preferably to damp skin.</w:t>
            </w:r>
          </w:p>
        </w:tc>
      </w:tr>
      <w:tr w:rsidR="002F635D" w:rsidRPr="0024114A" w14:paraId="3D67A957" w14:textId="77777777" w:rsidTr="002D6DD7">
        <w:trPr>
          <w:trHeight w:val="1928"/>
          <w:jc w:val="center"/>
        </w:trPr>
        <w:tc>
          <w:tcPr>
            <w:tcW w:w="2605" w:type="dxa"/>
          </w:tcPr>
          <w:p w14:paraId="4E781F9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716150D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Pregnancy, women planning a pregnancy, breastfeeding, patients with a history of hypersensitivity to the active substance or excipient in the product, patients with personal or familial history of skin cancer, patients with pustular and deep cystic nodular acne varieties (acne conglobate and acne fulminans).</w:t>
            </w:r>
          </w:p>
        </w:tc>
      </w:tr>
      <w:tr w:rsidR="002F635D" w:rsidRPr="0024114A" w14:paraId="1262E783" w14:textId="77777777" w:rsidTr="002D6DD7">
        <w:trPr>
          <w:trHeight w:val="1033"/>
          <w:jc w:val="center"/>
        </w:trPr>
        <w:tc>
          <w:tcPr>
            <w:tcW w:w="2605" w:type="dxa"/>
          </w:tcPr>
          <w:p w14:paraId="4CD8490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20770E0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application of Sulphur, benzoyl peroxide, salicyclic acid, resorcinol, photosensitizing medications (thiazides, tetracyclines, fluoroquinolones, phenothiazines, sulfonamides).</w:t>
            </w:r>
          </w:p>
        </w:tc>
      </w:tr>
      <w:tr w:rsidR="002F635D" w:rsidRPr="0024114A" w14:paraId="4978D5DF" w14:textId="77777777" w:rsidTr="002D6DD7">
        <w:trPr>
          <w:trHeight w:val="709"/>
          <w:jc w:val="center"/>
        </w:trPr>
        <w:tc>
          <w:tcPr>
            <w:tcW w:w="2605" w:type="dxa"/>
          </w:tcPr>
          <w:p w14:paraId="7758377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0E540CB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Peeling, dry skin, burning and stinging, erythema, pruritus, sunburns, increased photosensitivity.</w:t>
            </w:r>
          </w:p>
        </w:tc>
      </w:tr>
      <w:tr w:rsidR="002F635D" w:rsidRPr="0024114A" w14:paraId="030602B6" w14:textId="77777777" w:rsidTr="002D6DD7">
        <w:trPr>
          <w:trHeight w:val="1133"/>
          <w:jc w:val="center"/>
        </w:trPr>
        <w:tc>
          <w:tcPr>
            <w:tcW w:w="2605" w:type="dxa"/>
          </w:tcPr>
          <w:p w14:paraId="3BB19C7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27CD1E0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Avoid contact with oral, eyes, mucous membranes and broken or eczematous skin. Avoid frequent application and application at the same time with other topical preparations including cosmetics.</w:t>
            </w:r>
          </w:p>
        </w:tc>
      </w:tr>
      <w:tr w:rsidR="002F635D" w:rsidRPr="0024114A" w14:paraId="50DC0386" w14:textId="77777777" w:rsidTr="002D6DD7">
        <w:trPr>
          <w:trHeight w:val="413"/>
          <w:jc w:val="center"/>
        </w:trPr>
        <w:tc>
          <w:tcPr>
            <w:tcW w:w="2605" w:type="dxa"/>
          </w:tcPr>
          <w:p w14:paraId="18A29F8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Storage condition</w:t>
            </w:r>
          </w:p>
        </w:tc>
        <w:tc>
          <w:tcPr>
            <w:tcW w:w="6654" w:type="dxa"/>
          </w:tcPr>
          <w:p w14:paraId="31CE428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 Keep away from heat and flame.</w:t>
            </w:r>
          </w:p>
        </w:tc>
      </w:tr>
      <w:tr w:rsidR="002F635D" w:rsidRPr="0024114A" w14:paraId="007A9B57" w14:textId="77777777" w:rsidTr="002D6DD7">
        <w:trPr>
          <w:trHeight w:val="269"/>
          <w:jc w:val="center"/>
        </w:trPr>
        <w:tc>
          <w:tcPr>
            <w:tcW w:w="9259" w:type="dxa"/>
            <w:gridSpan w:val="2"/>
          </w:tcPr>
          <w:p w14:paraId="237FFF87"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rPr>
              <w:t>Trichloroacetic acid</w:t>
            </w:r>
          </w:p>
        </w:tc>
      </w:tr>
      <w:tr w:rsidR="002F635D" w:rsidRPr="0024114A" w14:paraId="76EE114C" w14:textId="77777777" w:rsidTr="002D6DD7">
        <w:trPr>
          <w:trHeight w:val="253"/>
          <w:jc w:val="center"/>
        </w:trPr>
        <w:tc>
          <w:tcPr>
            <w:tcW w:w="2605" w:type="dxa"/>
          </w:tcPr>
          <w:p w14:paraId="7AA5FC0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4CC32EF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Keratolytics</w:t>
            </w:r>
          </w:p>
        </w:tc>
      </w:tr>
      <w:tr w:rsidR="002F635D" w:rsidRPr="0024114A" w14:paraId="5BA6E1B1" w14:textId="77777777" w:rsidTr="002D6DD7">
        <w:trPr>
          <w:trHeight w:val="341"/>
          <w:jc w:val="center"/>
        </w:trPr>
        <w:tc>
          <w:tcPr>
            <w:tcW w:w="2605" w:type="dxa"/>
          </w:tcPr>
          <w:p w14:paraId="261A80B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61C8490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rPr>
              <w:t>Topical liquid: 80% solution</w:t>
            </w:r>
          </w:p>
        </w:tc>
      </w:tr>
      <w:tr w:rsidR="002F635D" w:rsidRPr="0024114A" w14:paraId="15CA94AF" w14:textId="77777777" w:rsidTr="002D6DD7">
        <w:trPr>
          <w:trHeight w:val="899"/>
          <w:jc w:val="center"/>
        </w:trPr>
        <w:tc>
          <w:tcPr>
            <w:tcW w:w="2605" w:type="dxa"/>
          </w:tcPr>
          <w:p w14:paraId="2C2D341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5D33582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Condyloma (a wartlike growth of skin usually seen on external genitalia or near the anus).</w:t>
            </w:r>
          </w:p>
        </w:tc>
      </w:tr>
      <w:tr w:rsidR="002F635D" w:rsidRPr="0024114A" w14:paraId="1669D007" w14:textId="77777777" w:rsidTr="002D6DD7">
        <w:trPr>
          <w:trHeight w:val="724"/>
          <w:jc w:val="center"/>
        </w:trPr>
        <w:tc>
          <w:tcPr>
            <w:tcW w:w="2605" w:type="dxa"/>
          </w:tcPr>
          <w:p w14:paraId="17B6CB5A"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5AA4040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Apply to condyloma. Cover with suitable dressing for 5-6 days. Reapply as needed.</w:t>
            </w:r>
          </w:p>
          <w:p w14:paraId="613A58B4" w14:textId="77777777" w:rsidR="002F635D" w:rsidRPr="0024114A" w:rsidRDefault="002F635D" w:rsidP="002D6DD7">
            <w:pPr>
              <w:jc w:val="both"/>
              <w:rPr>
                <w:rFonts w:cs="Times New Roman"/>
                <w:color w:val="000000" w:themeColor="text1"/>
                <w:szCs w:val="24"/>
                <w:lang w:val="en-US"/>
              </w:rPr>
            </w:pPr>
            <w:r w:rsidRPr="0024114A">
              <w:rPr>
                <w:rFonts w:cs="Times New Roman"/>
                <w:i/>
                <w:iCs/>
                <w:color w:val="000000" w:themeColor="text1"/>
                <w:szCs w:val="24"/>
                <w:lang w:val="en-US"/>
              </w:rPr>
              <w:t>Note: protect the unaffectskin area with petrolatum</w:t>
            </w:r>
            <w:r w:rsidRPr="0024114A">
              <w:rPr>
                <w:rFonts w:cs="Times New Roman"/>
                <w:color w:val="000000" w:themeColor="text1"/>
                <w:szCs w:val="24"/>
                <w:lang w:val="en-US"/>
              </w:rPr>
              <w:t>.</w:t>
            </w:r>
          </w:p>
        </w:tc>
      </w:tr>
      <w:tr w:rsidR="002F635D" w:rsidRPr="0024114A" w14:paraId="05B958CF" w14:textId="77777777" w:rsidTr="002D6DD7">
        <w:trPr>
          <w:trHeight w:val="460"/>
          <w:jc w:val="center"/>
        </w:trPr>
        <w:tc>
          <w:tcPr>
            <w:tcW w:w="2605" w:type="dxa"/>
          </w:tcPr>
          <w:p w14:paraId="745E5FD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638F263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malignant or premalignant lesions</w:t>
            </w:r>
          </w:p>
        </w:tc>
      </w:tr>
      <w:tr w:rsidR="002F635D" w:rsidRPr="0024114A" w14:paraId="336B2B19" w14:textId="77777777" w:rsidTr="002D6DD7">
        <w:trPr>
          <w:trHeight w:val="460"/>
          <w:jc w:val="center"/>
        </w:trPr>
        <w:tc>
          <w:tcPr>
            <w:tcW w:w="2605" w:type="dxa"/>
          </w:tcPr>
          <w:p w14:paraId="3290AE5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737D928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09CF4ADA" w14:textId="77777777" w:rsidTr="002D6DD7">
        <w:trPr>
          <w:trHeight w:val="757"/>
          <w:jc w:val="center"/>
        </w:trPr>
        <w:tc>
          <w:tcPr>
            <w:tcW w:w="2605" w:type="dxa"/>
          </w:tcPr>
          <w:p w14:paraId="316120D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7635D23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Mild to moderate skin irritation, burning, pain, swelling and tenderness, skin ulcerations.</w:t>
            </w:r>
          </w:p>
        </w:tc>
      </w:tr>
      <w:tr w:rsidR="002F635D" w:rsidRPr="0024114A" w14:paraId="3B13F532" w14:textId="77777777" w:rsidTr="002D6DD7">
        <w:trPr>
          <w:trHeight w:val="315"/>
          <w:jc w:val="center"/>
        </w:trPr>
        <w:tc>
          <w:tcPr>
            <w:tcW w:w="2605" w:type="dxa"/>
          </w:tcPr>
          <w:p w14:paraId="707734D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2832AC9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May cause severe burning, inflammation, or tenderness</w:t>
            </w:r>
          </w:p>
        </w:tc>
      </w:tr>
      <w:tr w:rsidR="002F635D" w:rsidRPr="0024114A" w14:paraId="010BD907" w14:textId="77777777" w:rsidTr="002D6DD7">
        <w:trPr>
          <w:trHeight w:val="315"/>
          <w:jc w:val="center"/>
        </w:trPr>
        <w:tc>
          <w:tcPr>
            <w:tcW w:w="2605" w:type="dxa"/>
          </w:tcPr>
          <w:p w14:paraId="07B25EE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60F062D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6F00D5AA" w14:textId="77777777" w:rsidTr="002D6DD7">
        <w:trPr>
          <w:trHeight w:val="460"/>
          <w:jc w:val="center"/>
        </w:trPr>
        <w:tc>
          <w:tcPr>
            <w:tcW w:w="9259" w:type="dxa"/>
            <w:gridSpan w:val="2"/>
          </w:tcPr>
          <w:p w14:paraId="3E9180A3"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Urea</w:t>
            </w:r>
          </w:p>
        </w:tc>
      </w:tr>
      <w:tr w:rsidR="002F635D" w:rsidRPr="0024114A" w14:paraId="407A2F6D" w14:textId="77777777" w:rsidTr="002D6DD7">
        <w:trPr>
          <w:trHeight w:val="460"/>
          <w:jc w:val="center"/>
        </w:trPr>
        <w:tc>
          <w:tcPr>
            <w:tcW w:w="2605" w:type="dxa"/>
          </w:tcPr>
          <w:p w14:paraId="0E11C80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54" w:type="dxa"/>
          </w:tcPr>
          <w:p w14:paraId="5B32A1E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Hydrating agent, keratolytics</w:t>
            </w:r>
          </w:p>
        </w:tc>
      </w:tr>
      <w:tr w:rsidR="002F635D" w:rsidRPr="0024114A" w14:paraId="4491E901" w14:textId="77777777" w:rsidTr="002D6DD7">
        <w:trPr>
          <w:trHeight w:val="460"/>
          <w:jc w:val="center"/>
        </w:trPr>
        <w:tc>
          <w:tcPr>
            <w:tcW w:w="2605" w:type="dxa"/>
          </w:tcPr>
          <w:p w14:paraId="2A7A42E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54" w:type="dxa"/>
          </w:tcPr>
          <w:p w14:paraId="2F64D39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Cream: 10% w/w</w:t>
            </w:r>
          </w:p>
          <w:p w14:paraId="4A15E22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Ointment: 10%w/w</w:t>
            </w:r>
          </w:p>
        </w:tc>
      </w:tr>
      <w:tr w:rsidR="002F635D" w:rsidRPr="0024114A" w14:paraId="4E6B061C" w14:textId="77777777" w:rsidTr="002D6DD7">
        <w:trPr>
          <w:trHeight w:val="899"/>
          <w:jc w:val="center"/>
        </w:trPr>
        <w:tc>
          <w:tcPr>
            <w:tcW w:w="2605" w:type="dxa"/>
          </w:tcPr>
          <w:p w14:paraId="2CA4A85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54" w:type="dxa"/>
          </w:tcPr>
          <w:p w14:paraId="43DB482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Hyperkeratotic skin conditions (xerosis, ecteosis, skin crack, fishure, dermatitis, eczema, psoriasis, callus, or keratosis).</w:t>
            </w:r>
          </w:p>
        </w:tc>
      </w:tr>
      <w:tr w:rsidR="002F635D" w:rsidRPr="0024114A" w14:paraId="438FD0AF" w14:textId="77777777" w:rsidTr="002D6DD7">
        <w:trPr>
          <w:trHeight w:val="90"/>
          <w:jc w:val="center"/>
        </w:trPr>
        <w:tc>
          <w:tcPr>
            <w:tcW w:w="2605" w:type="dxa"/>
          </w:tcPr>
          <w:p w14:paraId="7AD63E21"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54" w:type="dxa"/>
          </w:tcPr>
          <w:p w14:paraId="081A6FA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 and Child:</w:t>
            </w:r>
            <w:r w:rsidRPr="0024114A">
              <w:rPr>
                <w:rFonts w:cs="Times New Roman"/>
                <w:color w:val="000000" w:themeColor="text1"/>
                <w:szCs w:val="24"/>
                <w:lang w:val="en-US"/>
              </w:rPr>
              <w:t xml:space="preserve"> apply directly to the affected area twice daily, preferably to damp skin.</w:t>
            </w:r>
          </w:p>
          <w:p w14:paraId="793A104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i/>
                <w:iCs/>
                <w:color w:val="000000" w:themeColor="text1"/>
                <w:szCs w:val="24"/>
                <w:lang w:val="en-US"/>
              </w:rPr>
              <w:t>Note: apply into the skin and rub until completely absorbed</w:t>
            </w:r>
            <w:r w:rsidRPr="0024114A">
              <w:rPr>
                <w:rFonts w:cs="Times New Roman"/>
                <w:color w:val="000000" w:themeColor="text1"/>
                <w:szCs w:val="24"/>
                <w:lang w:val="en-US"/>
              </w:rPr>
              <w:t>.</w:t>
            </w:r>
          </w:p>
        </w:tc>
      </w:tr>
      <w:tr w:rsidR="002F635D" w:rsidRPr="0024114A" w14:paraId="3986428E" w14:textId="77777777" w:rsidTr="002D6DD7">
        <w:trPr>
          <w:trHeight w:val="460"/>
          <w:jc w:val="center"/>
        </w:trPr>
        <w:tc>
          <w:tcPr>
            <w:tcW w:w="2605" w:type="dxa"/>
          </w:tcPr>
          <w:p w14:paraId="7F458F5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54" w:type="dxa"/>
          </w:tcPr>
          <w:p w14:paraId="2A988DD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Hypersensitivity to the drug, renal insufficiency. </w:t>
            </w:r>
          </w:p>
        </w:tc>
      </w:tr>
      <w:tr w:rsidR="002F635D" w:rsidRPr="0024114A" w14:paraId="0C6CABB2" w14:textId="77777777" w:rsidTr="002D6DD7">
        <w:trPr>
          <w:trHeight w:val="460"/>
          <w:jc w:val="center"/>
        </w:trPr>
        <w:tc>
          <w:tcPr>
            <w:tcW w:w="2605" w:type="dxa"/>
          </w:tcPr>
          <w:p w14:paraId="6EB4061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54" w:type="dxa"/>
          </w:tcPr>
          <w:p w14:paraId="0B59BB2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Corticosteroids, dithranol, fluorouracil.</w:t>
            </w:r>
          </w:p>
        </w:tc>
      </w:tr>
      <w:tr w:rsidR="002F635D" w:rsidRPr="0024114A" w14:paraId="58C738C8" w14:textId="77777777" w:rsidTr="002D6DD7">
        <w:trPr>
          <w:trHeight w:val="460"/>
          <w:jc w:val="center"/>
        </w:trPr>
        <w:tc>
          <w:tcPr>
            <w:tcW w:w="2605" w:type="dxa"/>
          </w:tcPr>
          <w:p w14:paraId="400382D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54" w:type="dxa"/>
          </w:tcPr>
          <w:p w14:paraId="61BE336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Transient stinging and local irritation, rash.</w:t>
            </w:r>
          </w:p>
        </w:tc>
      </w:tr>
      <w:tr w:rsidR="002F635D" w:rsidRPr="0024114A" w14:paraId="1C01E7C0" w14:textId="77777777" w:rsidTr="002D6DD7">
        <w:trPr>
          <w:trHeight w:val="376"/>
          <w:jc w:val="center"/>
        </w:trPr>
        <w:tc>
          <w:tcPr>
            <w:tcW w:w="2605" w:type="dxa"/>
          </w:tcPr>
          <w:p w14:paraId="6DDA313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54" w:type="dxa"/>
          </w:tcPr>
          <w:p w14:paraId="669FD02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Application to face or broken skin and contact with eyes.</w:t>
            </w:r>
          </w:p>
        </w:tc>
      </w:tr>
      <w:tr w:rsidR="002F635D" w:rsidRPr="0024114A" w14:paraId="5CD01628" w14:textId="77777777" w:rsidTr="002D6DD7">
        <w:trPr>
          <w:trHeight w:val="480"/>
          <w:jc w:val="center"/>
        </w:trPr>
        <w:tc>
          <w:tcPr>
            <w:tcW w:w="2605" w:type="dxa"/>
          </w:tcPr>
          <w:p w14:paraId="10247A5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54" w:type="dxa"/>
          </w:tcPr>
          <w:p w14:paraId="6275D09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30ºC. Protect from moisture. </w:t>
            </w:r>
          </w:p>
        </w:tc>
      </w:tr>
    </w:tbl>
    <w:p w14:paraId="35EEEC8D" w14:textId="77777777" w:rsidR="002F635D" w:rsidRPr="0024114A" w:rsidRDefault="002F635D" w:rsidP="002F635D">
      <w:pPr>
        <w:spacing w:after="0"/>
        <w:jc w:val="both"/>
        <w:rPr>
          <w:rFonts w:eastAsia="Times New Roman" w:cs="Times New Roman"/>
          <w:b/>
          <w:bCs/>
          <w:color w:val="000000" w:themeColor="text1"/>
          <w:szCs w:val="24"/>
        </w:rPr>
      </w:pPr>
    </w:p>
    <w:p w14:paraId="29F5A5E8" w14:textId="77777777" w:rsidR="002F635D" w:rsidRPr="003C3F6A" w:rsidRDefault="002F635D" w:rsidP="003C3F6A">
      <w:pPr>
        <w:pStyle w:val="Heading2"/>
        <w:spacing w:before="240" w:after="240"/>
      </w:pPr>
      <w:bookmarkStart w:id="212" w:name="_Toc179490406"/>
      <w:r w:rsidRPr="003C3F6A">
        <w:t>Medicines</w:t>
      </w:r>
      <w:r w:rsidR="00017670" w:rsidRPr="003C3F6A">
        <w:t xml:space="preserve"> u</w:t>
      </w:r>
      <w:r w:rsidRPr="003C3F6A">
        <w:t>sed</w:t>
      </w:r>
      <w:r w:rsidR="00017670" w:rsidRPr="003C3F6A">
        <w:t xml:space="preserve"> </w:t>
      </w:r>
      <w:r w:rsidRPr="003C3F6A">
        <w:t xml:space="preserve">for </w:t>
      </w:r>
      <w:r w:rsidR="00017670" w:rsidRPr="003C3F6A">
        <w:t>p</w:t>
      </w:r>
      <w:r w:rsidRPr="003C3F6A">
        <w:t xml:space="preserve">soriasis and </w:t>
      </w:r>
      <w:r w:rsidR="00017670" w:rsidRPr="003C3F6A">
        <w:t>e</w:t>
      </w:r>
      <w:r w:rsidRPr="003C3F6A">
        <w:t>czema</w:t>
      </w:r>
      <w:bookmarkEnd w:id="212"/>
    </w:p>
    <w:p w14:paraId="4FEA7019" w14:textId="77777777" w:rsidR="002F635D" w:rsidRPr="002F635D" w:rsidRDefault="002F635D" w:rsidP="003C3F6A">
      <w:pPr>
        <w:jc w:val="both"/>
      </w:pPr>
      <w:r w:rsidRPr="002F635D">
        <w:t>Psoriasis is a chronic inflammatory skin disease that often affects the scalp and extensor surfaces, with nail and joint involvement in some cases. Chronic plaque psoriasis is the most common type, marked by thickening and scaling of the skin. While there is no cure, treatments such as emollients, topical corticosteroids, vitamin D analogues, UV light therapy, immunosuppressants (e.g., methotrexate), and biologics can control symptoms. Prolonged use of potent corticosteroids can cause skin thinning and instability, so breaks between treatments are advised. In eczema, a condition characterized by inflammation and itching, management includes emollients and topical corticosteroids based on severity. Tacrolimus may be used for moderate to severe atopic eczema as a second-line treatment. Antihistamines are generally avoided but can be used in cases of severe itching or urticaria.</w:t>
      </w:r>
    </w:p>
    <w:tbl>
      <w:tblPr>
        <w:tblStyle w:val="TableGrid"/>
        <w:tblW w:w="9299" w:type="dxa"/>
        <w:jc w:val="center"/>
        <w:tblLook w:val="04A0" w:firstRow="1" w:lastRow="0" w:firstColumn="1" w:lastColumn="0" w:noHBand="0" w:noVBand="1"/>
      </w:tblPr>
      <w:tblGrid>
        <w:gridCol w:w="2605"/>
        <w:gridCol w:w="6694"/>
      </w:tblGrid>
      <w:tr w:rsidR="002F635D" w:rsidRPr="0024114A" w14:paraId="4DEA907B" w14:textId="77777777" w:rsidTr="002D6DD7">
        <w:trPr>
          <w:trHeight w:val="432"/>
          <w:jc w:val="center"/>
        </w:trPr>
        <w:tc>
          <w:tcPr>
            <w:tcW w:w="9299" w:type="dxa"/>
            <w:gridSpan w:val="2"/>
          </w:tcPr>
          <w:p w14:paraId="6FDB5F79"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Acitretin</w:t>
            </w:r>
          </w:p>
        </w:tc>
      </w:tr>
      <w:tr w:rsidR="002F635D" w:rsidRPr="0024114A" w14:paraId="19956F55" w14:textId="77777777" w:rsidTr="002D6DD7">
        <w:trPr>
          <w:trHeight w:val="432"/>
          <w:jc w:val="center"/>
        </w:trPr>
        <w:tc>
          <w:tcPr>
            <w:tcW w:w="2605" w:type="dxa"/>
          </w:tcPr>
          <w:p w14:paraId="3AB58B5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61AF351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Retinoid and related drugs, antipsoriatics</w:t>
            </w:r>
          </w:p>
        </w:tc>
      </w:tr>
      <w:tr w:rsidR="002F635D" w:rsidRPr="0024114A" w14:paraId="7E429186" w14:textId="77777777" w:rsidTr="002D6DD7">
        <w:trPr>
          <w:trHeight w:val="432"/>
          <w:jc w:val="center"/>
        </w:trPr>
        <w:tc>
          <w:tcPr>
            <w:tcW w:w="2605" w:type="dxa"/>
          </w:tcPr>
          <w:p w14:paraId="14DCC28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741FAD2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Capsule: 10 mg</w:t>
            </w:r>
          </w:p>
        </w:tc>
      </w:tr>
      <w:tr w:rsidR="002F635D" w:rsidRPr="0024114A" w14:paraId="703877EE" w14:textId="77777777" w:rsidTr="002D6DD7">
        <w:trPr>
          <w:trHeight w:val="432"/>
          <w:jc w:val="center"/>
        </w:trPr>
        <w:tc>
          <w:tcPr>
            <w:tcW w:w="2605" w:type="dxa"/>
          </w:tcPr>
          <w:p w14:paraId="5AD5B24C"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694" w:type="dxa"/>
          </w:tcPr>
          <w:p w14:paraId="5325E7B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Severe psoriasis not responsive to conventional therapy; pustular psoriasis; severe extensive disorders of keratinization resistant to conventional treatments, such as congenital ichthyosis, darrier's disease and pityriasis rubra pilaris.</w:t>
            </w:r>
          </w:p>
        </w:tc>
      </w:tr>
      <w:tr w:rsidR="002F635D" w:rsidRPr="0024114A" w14:paraId="35D831E7" w14:textId="77777777" w:rsidTr="002D6DD7">
        <w:trPr>
          <w:trHeight w:val="432"/>
          <w:jc w:val="center"/>
        </w:trPr>
        <w:tc>
          <w:tcPr>
            <w:tcW w:w="2605" w:type="dxa"/>
          </w:tcPr>
          <w:p w14:paraId="415DD4BB"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47B6D9BB"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Severe extensive psoriasis resistant to other forms of therapy, palmoplantar pustular psoriasis, severe congenital ichthyosis,</w:t>
            </w:r>
            <w:r w:rsidR="00787D79">
              <w:rPr>
                <w:rFonts w:cs="Times New Roman"/>
                <w:b/>
                <w:bCs/>
                <w:color w:val="000000" w:themeColor="text1"/>
                <w:szCs w:val="24"/>
                <w:lang w:val="en-US"/>
              </w:rPr>
              <w:t xml:space="preserve"> </w:t>
            </w:r>
            <w:r w:rsidRPr="00787D79">
              <w:rPr>
                <w:rFonts w:cs="Times New Roman"/>
                <w:color w:val="000000" w:themeColor="text1"/>
                <w:szCs w:val="24"/>
                <w:lang w:val="en-US"/>
              </w:rPr>
              <w:t xml:space="preserve">oral: </w:t>
            </w:r>
          </w:p>
          <w:p w14:paraId="4CCBC5EE" w14:textId="77777777" w:rsidR="002F635D" w:rsidRPr="0024114A" w:rsidRDefault="002F635D" w:rsidP="002D6DD7">
            <w:pPr>
              <w:autoSpaceDE w:val="0"/>
              <w:autoSpaceDN w:val="0"/>
              <w:adjustRightInd w:val="0"/>
              <w:jc w:val="both"/>
              <w:rPr>
                <w:rFonts w:cs="Times New Roman"/>
                <w:b/>
                <w:bCs/>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Initially 25–30 mg daily for 2–4 weeks, then adjusted according to response to 25–50 mg daily, increased to up to 75 mg daily, dose only increased to 75mg daily for short periods in psoriasis</w:t>
            </w:r>
          </w:p>
          <w:p w14:paraId="407523FC"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Severe Darier’s disease (keratosis follicularis),</w:t>
            </w:r>
            <w:r w:rsidR="00787D79">
              <w:rPr>
                <w:b/>
                <w:bCs/>
                <w:color w:val="000000" w:themeColor="text1"/>
              </w:rPr>
              <w:t xml:space="preserve"> </w:t>
            </w:r>
            <w:r w:rsidRPr="00787D79">
              <w:rPr>
                <w:color w:val="000000" w:themeColor="text1"/>
              </w:rPr>
              <w:t>oral</w:t>
            </w:r>
            <w:r w:rsidRPr="00787D79">
              <w:rPr>
                <w:bCs/>
                <w:color w:val="000000" w:themeColor="text1"/>
              </w:rPr>
              <w:t>:</w:t>
            </w:r>
            <w:r w:rsidRPr="0024114A">
              <w:rPr>
                <w:b/>
                <w:bCs/>
                <w:color w:val="000000" w:themeColor="text1"/>
              </w:rPr>
              <w:t xml:space="preserve"> </w:t>
            </w:r>
          </w:p>
          <w:p w14:paraId="68F2634B"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Initially 10 mg daily for 2–4 weeks, then adjusted according to response to 25–50 mg daily</w:t>
            </w:r>
          </w:p>
        </w:tc>
      </w:tr>
      <w:tr w:rsidR="002F635D" w:rsidRPr="0024114A" w14:paraId="7B0672F3" w14:textId="77777777" w:rsidTr="002D6DD7">
        <w:trPr>
          <w:trHeight w:val="432"/>
          <w:jc w:val="center"/>
        </w:trPr>
        <w:tc>
          <w:tcPr>
            <w:tcW w:w="2605" w:type="dxa"/>
          </w:tcPr>
          <w:p w14:paraId="41FF35D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Contraindications</w:t>
            </w:r>
          </w:p>
        </w:tc>
        <w:tc>
          <w:tcPr>
            <w:tcW w:w="6694" w:type="dxa"/>
          </w:tcPr>
          <w:p w14:paraId="76C191E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Hypersensitivity to the drug or other retinoids, pregnancy, women of childbearing potential unless strict contraception is practised 4 weeks before, during and for 2 years after treatment, severely impaired liver or kidney function and in patient with chronic abnormally elevated blood lipid values, </w:t>
            </w:r>
          </w:p>
        </w:tc>
      </w:tr>
      <w:tr w:rsidR="002F635D" w:rsidRPr="0024114A" w14:paraId="001AC5E1" w14:textId="77777777" w:rsidTr="002D6DD7">
        <w:trPr>
          <w:trHeight w:val="432"/>
          <w:jc w:val="center"/>
        </w:trPr>
        <w:tc>
          <w:tcPr>
            <w:tcW w:w="2605" w:type="dxa"/>
          </w:tcPr>
          <w:p w14:paraId="4174CB3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38A3D47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Oral contraceptives, ethanol vitamin A and other retinoids, phenytoin, methotrexate, tetracycline.</w:t>
            </w:r>
          </w:p>
        </w:tc>
      </w:tr>
      <w:tr w:rsidR="002F635D" w:rsidRPr="0024114A" w14:paraId="5E417C3B" w14:textId="77777777" w:rsidTr="002D6DD7">
        <w:trPr>
          <w:trHeight w:val="432"/>
          <w:jc w:val="center"/>
        </w:trPr>
        <w:tc>
          <w:tcPr>
            <w:tcW w:w="2605" w:type="dxa"/>
          </w:tcPr>
          <w:p w14:paraId="1E260AC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3477429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Abdominal pain, arthralgia, brittle nails, diarrhoea, dry oral, eye inflammation, gastrointestinal disorder, haemorrhage, hair texture abnormal, headache, increased risk of infection, mucosalabnormalities, myalgia, nausea, oral disorders, peripheral oedema, skin reactions, thirst, vomiting, xerophthalmia</w:t>
            </w:r>
          </w:p>
        </w:tc>
      </w:tr>
      <w:tr w:rsidR="002F635D" w:rsidRPr="0024114A" w14:paraId="15637E6E" w14:textId="77777777" w:rsidTr="002D6DD7">
        <w:trPr>
          <w:trHeight w:val="432"/>
          <w:jc w:val="center"/>
        </w:trPr>
        <w:tc>
          <w:tcPr>
            <w:tcW w:w="2605" w:type="dxa"/>
          </w:tcPr>
          <w:p w14:paraId="1147CF2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0AE3F93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Long-term use, diabetes mellitus, obesity, alcoholism, disturbances of lipid metabolism, excessive exposure to sunlight and unsupervised use of sunlamps, history of depression (risk of neuropsychiatric reactions)</w:t>
            </w:r>
          </w:p>
          <w:p w14:paraId="66DBB2B4" w14:textId="77777777" w:rsidR="002F635D" w:rsidRPr="0024114A" w:rsidRDefault="002F635D" w:rsidP="002D6DD7">
            <w:pPr>
              <w:jc w:val="both"/>
              <w:rPr>
                <w:rFonts w:cs="Times New Roman"/>
                <w:i/>
                <w:iCs/>
                <w:color w:val="000000" w:themeColor="text1"/>
                <w:szCs w:val="24"/>
                <w:lang w:val="en-US"/>
              </w:rPr>
            </w:pPr>
            <w:r w:rsidRPr="0024114A">
              <w:rPr>
                <w:rFonts w:cs="Times New Roman"/>
                <w:i/>
                <w:iCs/>
                <w:color w:val="000000" w:themeColor="text1"/>
                <w:szCs w:val="24"/>
                <w:lang w:val="en-US"/>
              </w:rPr>
              <w:t>Note: do not donate blood during and for 3 years after stopping therapy (teratogenic risk)</w:t>
            </w:r>
          </w:p>
        </w:tc>
      </w:tr>
      <w:tr w:rsidR="002F635D" w:rsidRPr="0024114A" w14:paraId="2B5AC900" w14:textId="77777777" w:rsidTr="002D6DD7">
        <w:trPr>
          <w:trHeight w:val="432"/>
          <w:jc w:val="center"/>
        </w:trPr>
        <w:tc>
          <w:tcPr>
            <w:tcW w:w="2605" w:type="dxa"/>
          </w:tcPr>
          <w:p w14:paraId="24F6100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0ED20D7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59EC6721" w14:textId="77777777" w:rsidTr="002D6DD7">
        <w:trPr>
          <w:trHeight w:val="90"/>
          <w:jc w:val="center"/>
        </w:trPr>
        <w:tc>
          <w:tcPr>
            <w:tcW w:w="9299" w:type="dxa"/>
            <w:gridSpan w:val="2"/>
          </w:tcPr>
          <w:p w14:paraId="54DDBEC5" w14:textId="77777777" w:rsidR="002F635D" w:rsidRPr="0024114A" w:rsidRDefault="002F635D" w:rsidP="002D6DD7">
            <w:pPr>
              <w:jc w:val="both"/>
              <w:rPr>
                <w:rFonts w:cs="Times New Roman"/>
                <w:color w:val="000000" w:themeColor="text1"/>
                <w:szCs w:val="24"/>
                <w:lang w:val="en-US"/>
              </w:rPr>
            </w:pPr>
            <w:r w:rsidRPr="0024114A">
              <w:rPr>
                <w:rFonts w:eastAsia="Calibri" w:cs="Times New Roman"/>
                <w:b/>
                <w:bCs/>
                <w:color w:val="000000" w:themeColor="text1"/>
                <w:szCs w:val="24"/>
                <w:lang w:val="en-US"/>
              </w:rPr>
              <w:t>Calcipotriol</w:t>
            </w:r>
          </w:p>
        </w:tc>
      </w:tr>
      <w:tr w:rsidR="002F635D" w:rsidRPr="0024114A" w14:paraId="0797AB4C" w14:textId="77777777" w:rsidTr="002D6DD7">
        <w:trPr>
          <w:trHeight w:val="50"/>
          <w:jc w:val="center"/>
        </w:trPr>
        <w:tc>
          <w:tcPr>
            <w:tcW w:w="2605" w:type="dxa"/>
          </w:tcPr>
          <w:p w14:paraId="5D3D357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1039770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Antipsoriatics</w:t>
            </w:r>
          </w:p>
        </w:tc>
      </w:tr>
      <w:tr w:rsidR="002F635D" w:rsidRPr="0024114A" w14:paraId="4808202B" w14:textId="77777777" w:rsidTr="002D6DD7">
        <w:trPr>
          <w:trHeight w:val="855"/>
          <w:jc w:val="center"/>
        </w:trPr>
        <w:tc>
          <w:tcPr>
            <w:tcW w:w="2605" w:type="dxa"/>
          </w:tcPr>
          <w:p w14:paraId="60934A1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0D8E3923" w14:textId="77777777" w:rsidR="002F635D" w:rsidRPr="0024114A" w:rsidRDefault="002F635D" w:rsidP="002D6DD7">
            <w:pPr>
              <w:jc w:val="both"/>
              <w:rPr>
                <w:rFonts w:eastAsia="Times New Roman" w:cs="Times New Roman"/>
                <w:color w:val="000000" w:themeColor="text1"/>
                <w:szCs w:val="24"/>
                <w:lang w:val="en-US"/>
              </w:rPr>
            </w:pPr>
            <w:r w:rsidRPr="0024114A">
              <w:rPr>
                <w:rFonts w:eastAsia="Times New Roman" w:cs="Times New Roman"/>
                <w:color w:val="000000" w:themeColor="text1"/>
                <w:szCs w:val="24"/>
              </w:rPr>
              <w:t>Cream</w:t>
            </w:r>
            <w:r w:rsidRPr="0024114A">
              <w:rPr>
                <w:rFonts w:eastAsia="Times New Roman" w:cs="Times New Roman"/>
                <w:color w:val="000000" w:themeColor="text1"/>
                <w:szCs w:val="24"/>
                <w:lang w:val="en-US"/>
              </w:rPr>
              <w:t xml:space="preserve">: </w:t>
            </w:r>
            <w:r w:rsidRPr="0024114A">
              <w:rPr>
                <w:rFonts w:eastAsia="Times New Roman" w:cs="Times New Roman"/>
                <w:color w:val="000000" w:themeColor="text1"/>
                <w:szCs w:val="24"/>
              </w:rPr>
              <w:t>0.005%</w:t>
            </w:r>
          </w:p>
          <w:p w14:paraId="2432B2F5"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rPr>
              <w:t>Ointment (scalp application)</w:t>
            </w:r>
            <w:r w:rsidRPr="0024114A">
              <w:rPr>
                <w:rFonts w:eastAsia="Times New Roman" w:cs="Times New Roman"/>
                <w:color w:val="000000" w:themeColor="text1"/>
                <w:szCs w:val="24"/>
                <w:lang w:val="en-US"/>
              </w:rPr>
              <w:t xml:space="preserve">: </w:t>
            </w:r>
            <w:r w:rsidRPr="0024114A">
              <w:rPr>
                <w:rFonts w:eastAsia="Times New Roman" w:cs="Times New Roman"/>
                <w:color w:val="000000" w:themeColor="text1"/>
                <w:szCs w:val="24"/>
              </w:rPr>
              <w:t>0.005%</w:t>
            </w:r>
          </w:p>
        </w:tc>
      </w:tr>
      <w:tr w:rsidR="002F635D" w:rsidRPr="0024114A" w14:paraId="363799B6" w14:textId="77777777" w:rsidTr="002D6DD7">
        <w:trPr>
          <w:trHeight w:val="432"/>
          <w:jc w:val="center"/>
        </w:trPr>
        <w:tc>
          <w:tcPr>
            <w:tcW w:w="2605" w:type="dxa"/>
          </w:tcPr>
          <w:p w14:paraId="7AC6F02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94" w:type="dxa"/>
          </w:tcPr>
          <w:p w14:paraId="3CF8F764" w14:textId="77777777" w:rsidR="002F635D" w:rsidRPr="0024114A" w:rsidRDefault="002F635D" w:rsidP="002D6DD7">
            <w:pPr>
              <w:autoSpaceDE w:val="0"/>
              <w:autoSpaceDN w:val="0"/>
              <w:jc w:val="both"/>
              <w:rPr>
                <w:rFonts w:cs="Times New Roman"/>
                <w:color w:val="000000" w:themeColor="text1"/>
                <w:szCs w:val="24"/>
                <w:lang w:val="en-US"/>
              </w:rPr>
            </w:pPr>
            <w:r w:rsidRPr="0024114A">
              <w:rPr>
                <w:rFonts w:cs="Times New Roman"/>
                <w:color w:val="000000" w:themeColor="text1"/>
                <w:szCs w:val="24"/>
                <w:lang w:val="en-US"/>
              </w:rPr>
              <w:t>Plaque psoriasis and scalp psoriasis.</w:t>
            </w:r>
          </w:p>
        </w:tc>
      </w:tr>
      <w:tr w:rsidR="002F635D" w:rsidRPr="0024114A" w14:paraId="759A07DE" w14:textId="77777777" w:rsidTr="00787D79">
        <w:trPr>
          <w:trHeight w:val="800"/>
          <w:jc w:val="center"/>
        </w:trPr>
        <w:tc>
          <w:tcPr>
            <w:tcW w:w="2605" w:type="dxa"/>
          </w:tcPr>
          <w:p w14:paraId="0E10A18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2F126E2C" w14:textId="77777777" w:rsidR="00787D79" w:rsidRDefault="002F635D" w:rsidP="00787D79">
            <w:pPr>
              <w:autoSpaceDE w:val="0"/>
              <w:autoSpaceDN w:val="0"/>
              <w:jc w:val="both"/>
              <w:rPr>
                <w:rFonts w:cs="Times New Roman"/>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 xml:space="preserve">Apply to the affected skin lesions twice daily. Maintenance therapy may be achieved with less frequent application. The weekly dose should not exceed 100 g. </w:t>
            </w:r>
          </w:p>
          <w:p w14:paraId="7119608D" w14:textId="77777777" w:rsidR="002F635D" w:rsidRPr="0024114A" w:rsidRDefault="002F635D" w:rsidP="00787D79">
            <w:pPr>
              <w:autoSpaceDE w:val="0"/>
              <w:autoSpaceDN w:val="0"/>
              <w:jc w:val="both"/>
              <w:rPr>
                <w:rFonts w:cs="Times New Roman"/>
                <w:color w:val="000000" w:themeColor="text1"/>
                <w:szCs w:val="24"/>
                <w:lang w:val="en-US"/>
              </w:rPr>
            </w:pPr>
            <w:r w:rsidRPr="0024114A">
              <w:rPr>
                <w:rFonts w:cs="Times New Roman"/>
                <w:b/>
                <w:bCs/>
                <w:color w:val="000000" w:themeColor="text1"/>
                <w:szCs w:val="24"/>
                <w:lang w:val="en-US"/>
              </w:rPr>
              <w:t>Child over 6 years</w:t>
            </w:r>
            <w:r w:rsidRPr="0024114A">
              <w:rPr>
                <w:rFonts w:cs="Times New Roman"/>
                <w:color w:val="000000" w:themeColor="text1"/>
                <w:szCs w:val="24"/>
                <w:lang w:val="en-US"/>
              </w:rPr>
              <w:t>: Apply twice daily. 6-12 years maximum 50 g weekly, over 12 years maximum 75 g weekly.</w:t>
            </w:r>
          </w:p>
        </w:tc>
      </w:tr>
      <w:tr w:rsidR="002F635D" w:rsidRPr="0024114A" w14:paraId="460FA5EE" w14:textId="77777777" w:rsidTr="002D6DD7">
        <w:trPr>
          <w:trHeight w:val="50"/>
          <w:jc w:val="center"/>
        </w:trPr>
        <w:tc>
          <w:tcPr>
            <w:tcW w:w="2605" w:type="dxa"/>
          </w:tcPr>
          <w:p w14:paraId="312CB93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1BCA970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 disorders of calcium metabolism.</w:t>
            </w:r>
          </w:p>
        </w:tc>
      </w:tr>
      <w:tr w:rsidR="002F635D" w:rsidRPr="0024114A" w14:paraId="0AA66374" w14:textId="77777777" w:rsidTr="002D6DD7">
        <w:trPr>
          <w:trHeight w:val="432"/>
          <w:jc w:val="center"/>
        </w:trPr>
        <w:tc>
          <w:tcPr>
            <w:tcW w:w="2605" w:type="dxa"/>
          </w:tcPr>
          <w:p w14:paraId="615D678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Drug interactions</w:t>
            </w:r>
          </w:p>
        </w:tc>
        <w:tc>
          <w:tcPr>
            <w:tcW w:w="6694" w:type="dxa"/>
          </w:tcPr>
          <w:p w14:paraId="5758F47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Topical preparations containing salicylic acid </w:t>
            </w:r>
          </w:p>
        </w:tc>
      </w:tr>
      <w:tr w:rsidR="002F635D" w:rsidRPr="0024114A" w14:paraId="60DC0281" w14:textId="77777777" w:rsidTr="002D6DD7">
        <w:trPr>
          <w:trHeight w:val="50"/>
          <w:jc w:val="center"/>
        </w:trPr>
        <w:tc>
          <w:tcPr>
            <w:tcW w:w="2605" w:type="dxa"/>
          </w:tcPr>
          <w:p w14:paraId="2C4208C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7C5841A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irritation and allergic rashes, facial dermatitis with applications to the face, indiscriminate use of calcipotriol can cause hypercalcaemia.</w:t>
            </w:r>
          </w:p>
        </w:tc>
      </w:tr>
      <w:tr w:rsidR="002F635D" w:rsidRPr="0024114A" w14:paraId="79572AFA" w14:textId="77777777" w:rsidTr="002D6DD7">
        <w:trPr>
          <w:trHeight w:val="50"/>
          <w:jc w:val="center"/>
        </w:trPr>
        <w:tc>
          <w:tcPr>
            <w:tcW w:w="2605" w:type="dxa"/>
          </w:tcPr>
          <w:p w14:paraId="7358F07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360F059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Exposure to sunlight and sunlamps, use on face, erythrodermic exfoliative psoriasis, generalized pustular psoriasis.</w:t>
            </w:r>
          </w:p>
        </w:tc>
      </w:tr>
      <w:tr w:rsidR="002F635D" w:rsidRPr="0024114A" w14:paraId="40112210" w14:textId="77777777" w:rsidTr="002D6DD7">
        <w:trPr>
          <w:trHeight w:val="432"/>
          <w:jc w:val="center"/>
        </w:trPr>
        <w:tc>
          <w:tcPr>
            <w:tcW w:w="2605" w:type="dxa"/>
          </w:tcPr>
          <w:p w14:paraId="2018BBF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6FEF07F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03D3F623" w14:textId="77777777" w:rsidTr="002D6DD7">
        <w:trPr>
          <w:trHeight w:val="432"/>
          <w:jc w:val="center"/>
        </w:trPr>
        <w:tc>
          <w:tcPr>
            <w:tcW w:w="9299" w:type="dxa"/>
            <w:gridSpan w:val="2"/>
          </w:tcPr>
          <w:p w14:paraId="6C54948E"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Dithranol</w:t>
            </w:r>
          </w:p>
        </w:tc>
      </w:tr>
      <w:tr w:rsidR="002F635D" w:rsidRPr="0024114A" w14:paraId="656B8FE0" w14:textId="77777777" w:rsidTr="002D6DD7">
        <w:trPr>
          <w:trHeight w:val="50"/>
          <w:jc w:val="center"/>
        </w:trPr>
        <w:tc>
          <w:tcPr>
            <w:tcW w:w="2605" w:type="dxa"/>
          </w:tcPr>
          <w:p w14:paraId="75965B9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244425D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Antipsoriatic, antracen derivatives.</w:t>
            </w:r>
          </w:p>
        </w:tc>
      </w:tr>
      <w:tr w:rsidR="002F635D" w:rsidRPr="0024114A" w14:paraId="1FB17340" w14:textId="77777777" w:rsidTr="002D6DD7">
        <w:trPr>
          <w:trHeight w:val="855"/>
          <w:jc w:val="center"/>
        </w:trPr>
        <w:tc>
          <w:tcPr>
            <w:tcW w:w="2605" w:type="dxa"/>
          </w:tcPr>
          <w:p w14:paraId="6A7B731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1CFC3193" w14:textId="77777777" w:rsidR="002F635D" w:rsidRPr="0024114A" w:rsidRDefault="002F635D" w:rsidP="002D6DD7">
            <w:pPr>
              <w:jc w:val="both"/>
              <w:rPr>
                <w:rFonts w:eastAsia="Times New Roman" w:cs="Times New Roman"/>
                <w:color w:val="000000" w:themeColor="text1"/>
                <w:szCs w:val="24"/>
              </w:rPr>
            </w:pPr>
            <w:r w:rsidRPr="0024114A">
              <w:rPr>
                <w:rFonts w:eastAsia="Times New Roman" w:cs="Times New Roman"/>
                <w:color w:val="000000" w:themeColor="text1"/>
                <w:szCs w:val="24"/>
              </w:rPr>
              <w:t>Paste</w:t>
            </w:r>
            <w:r w:rsidRPr="0024114A">
              <w:rPr>
                <w:rFonts w:eastAsia="Times New Roman" w:cs="Times New Roman"/>
                <w:color w:val="000000" w:themeColor="text1"/>
                <w:szCs w:val="24"/>
                <w:lang w:val="en-US"/>
              </w:rPr>
              <w:t>:</w:t>
            </w:r>
            <w:r w:rsidRPr="0024114A">
              <w:rPr>
                <w:rFonts w:eastAsia="Times New Roman" w:cs="Times New Roman"/>
                <w:color w:val="000000" w:themeColor="text1"/>
                <w:szCs w:val="24"/>
              </w:rPr>
              <w:t xml:space="preserve"> 1%</w:t>
            </w:r>
          </w:p>
          <w:p w14:paraId="1206888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rPr>
              <w:t>Scalp application</w:t>
            </w:r>
            <w:r w:rsidRPr="0024114A">
              <w:rPr>
                <w:rFonts w:eastAsia="Times New Roman" w:cs="Times New Roman"/>
                <w:color w:val="000000" w:themeColor="text1"/>
                <w:szCs w:val="24"/>
                <w:lang w:val="en-US"/>
              </w:rPr>
              <w:t xml:space="preserve">: </w:t>
            </w:r>
            <w:r w:rsidRPr="0024114A">
              <w:rPr>
                <w:rFonts w:eastAsia="Times New Roman" w:cs="Times New Roman"/>
                <w:color w:val="000000" w:themeColor="text1"/>
                <w:szCs w:val="24"/>
              </w:rPr>
              <w:t>0.25%, 0.5%</w:t>
            </w:r>
          </w:p>
        </w:tc>
      </w:tr>
      <w:tr w:rsidR="002F635D" w:rsidRPr="0024114A" w14:paraId="389C56C9" w14:textId="77777777" w:rsidTr="002D6DD7">
        <w:trPr>
          <w:trHeight w:val="432"/>
          <w:jc w:val="center"/>
        </w:trPr>
        <w:tc>
          <w:tcPr>
            <w:tcW w:w="2605" w:type="dxa"/>
          </w:tcPr>
          <w:p w14:paraId="759F128C" w14:textId="77777777" w:rsidR="002F635D" w:rsidRPr="0024114A" w:rsidRDefault="002F635D" w:rsidP="002D6DD7">
            <w:pPr>
              <w:jc w:val="both"/>
              <w:rPr>
                <w:rFonts w:cs="Times New Roman"/>
                <w:b/>
                <w:color w:val="000000" w:themeColor="text1"/>
                <w:szCs w:val="24"/>
                <w:lang w:val="en-US"/>
              </w:rPr>
            </w:pPr>
            <w:r w:rsidRPr="0024114A">
              <w:rPr>
                <w:rFonts w:cs="Times New Roman"/>
                <w:b/>
                <w:color w:val="000000" w:themeColor="text1"/>
                <w:szCs w:val="24"/>
                <w:lang w:val="en-US"/>
              </w:rPr>
              <w:t>Indications</w:t>
            </w:r>
          </w:p>
        </w:tc>
        <w:tc>
          <w:tcPr>
            <w:tcW w:w="6694" w:type="dxa"/>
          </w:tcPr>
          <w:p w14:paraId="72977CD1"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Subacute and chronic psoriasis</w:t>
            </w:r>
          </w:p>
        </w:tc>
      </w:tr>
      <w:tr w:rsidR="002F635D" w:rsidRPr="0024114A" w14:paraId="67079043" w14:textId="77777777" w:rsidTr="002D6DD7">
        <w:trPr>
          <w:trHeight w:val="1997"/>
          <w:jc w:val="center"/>
        </w:trPr>
        <w:tc>
          <w:tcPr>
            <w:tcW w:w="2605" w:type="dxa"/>
          </w:tcPr>
          <w:p w14:paraId="60BA3668"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62C6285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Start with lower strength preparation (0.1%); carefully apply directly to lesions only, leave in contact for 30 minutes, then wash off thoroughly; repeat application daily, gradually increasing strength to 2% and contact time to 60 minutes at weekly intervals; some 0.1–0.5% strength preparations are suitable for overnight use.</w:t>
            </w:r>
          </w:p>
        </w:tc>
      </w:tr>
      <w:tr w:rsidR="002F635D" w:rsidRPr="0024114A" w14:paraId="1D2CBD3E" w14:textId="77777777" w:rsidTr="002D6DD7">
        <w:trPr>
          <w:trHeight w:val="855"/>
          <w:jc w:val="center"/>
        </w:trPr>
        <w:tc>
          <w:tcPr>
            <w:tcW w:w="2605" w:type="dxa"/>
          </w:tcPr>
          <w:p w14:paraId="28364CA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46289018"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Hypersensitivity to the drug, use on face, acute eruptions, excessively inflamed areas, acute and pustular psoriasis.</w:t>
            </w:r>
          </w:p>
        </w:tc>
      </w:tr>
      <w:tr w:rsidR="002F635D" w:rsidRPr="0024114A" w14:paraId="05BF8200" w14:textId="77777777" w:rsidTr="002D6DD7">
        <w:trPr>
          <w:trHeight w:val="485"/>
          <w:jc w:val="center"/>
        </w:trPr>
        <w:tc>
          <w:tcPr>
            <w:tcW w:w="2605" w:type="dxa"/>
          </w:tcPr>
          <w:p w14:paraId="5864A2C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27C683E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Propylene glycol-containing agents </w:t>
            </w:r>
          </w:p>
        </w:tc>
      </w:tr>
      <w:tr w:rsidR="002F635D" w:rsidRPr="0024114A" w14:paraId="48CFED3E" w14:textId="77777777" w:rsidTr="002D6DD7">
        <w:trPr>
          <w:trHeight w:val="710"/>
          <w:jc w:val="center"/>
        </w:trPr>
        <w:tc>
          <w:tcPr>
            <w:tcW w:w="2605" w:type="dxa"/>
          </w:tcPr>
          <w:p w14:paraId="1EEAF33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3682890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Skin irritation, fever, rigors, flu-like symptoms, lymphadenopathy, staining of skin, hair, nails or fabrics </w:t>
            </w:r>
          </w:p>
        </w:tc>
      </w:tr>
      <w:tr w:rsidR="002F635D" w:rsidRPr="0024114A" w14:paraId="2CED86BF" w14:textId="77777777" w:rsidTr="002D6DD7">
        <w:trPr>
          <w:trHeight w:val="323"/>
          <w:jc w:val="center"/>
        </w:trPr>
        <w:tc>
          <w:tcPr>
            <w:tcW w:w="2605" w:type="dxa"/>
          </w:tcPr>
          <w:p w14:paraId="6BCD4E9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3E4D0CB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Contact with eyes and tender parts of the body, use on the face </w:t>
            </w:r>
          </w:p>
        </w:tc>
      </w:tr>
      <w:tr w:rsidR="002F635D" w:rsidRPr="0024114A" w14:paraId="41842C95" w14:textId="77777777" w:rsidTr="002D6DD7">
        <w:trPr>
          <w:trHeight w:val="50"/>
          <w:jc w:val="center"/>
        </w:trPr>
        <w:tc>
          <w:tcPr>
            <w:tcW w:w="2605" w:type="dxa"/>
          </w:tcPr>
          <w:p w14:paraId="2F57250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3D35517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0B4B455A" w14:textId="77777777" w:rsidTr="002D6DD7">
        <w:trPr>
          <w:trHeight w:val="432"/>
          <w:jc w:val="center"/>
        </w:trPr>
        <w:tc>
          <w:tcPr>
            <w:tcW w:w="9299" w:type="dxa"/>
            <w:gridSpan w:val="2"/>
          </w:tcPr>
          <w:p w14:paraId="06AF39DB"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Ichthammol</w:t>
            </w:r>
          </w:p>
        </w:tc>
      </w:tr>
      <w:tr w:rsidR="002F635D" w:rsidRPr="0024114A" w14:paraId="076AB466" w14:textId="77777777" w:rsidTr="002D6DD7">
        <w:trPr>
          <w:trHeight w:val="46"/>
          <w:jc w:val="center"/>
        </w:trPr>
        <w:tc>
          <w:tcPr>
            <w:tcW w:w="2605" w:type="dxa"/>
          </w:tcPr>
          <w:p w14:paraId="61B0496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42FD386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anti-inflammatory and antiseptic agent</w:t>
            </w:r>
          </w:p>
        </w:tc>
      </w:tr>
      <w:tr w:rsidR="002F635D" w:rsidRPr="0024114A" w14:paraId="513D5A72" w14:textId="77777777" w:rsidTr="002D6DD7">
        <w:trPr>
          <w:trHeight w:val="432"/>
          <w:jc w:val="center"/>
        </w:trPr>
        <w:tc>
          <w:tcPr>
            <w:tcW w:w="2605" w:type="dxa"/>
          </w:tcPr>
          <w:p w14:paraId="239757C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000EC23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Ointment: 10 %</w:t>
            </w:r>
          </w:p>
        </w:tc>
      </w:tr>
      <w:tr w:rsidR="002F635D" w:rsidRPr="0024114A" w14:paraId="0B22C753" w14:textId="77777777" w:rsidTr="002D6DD7">
        <w:trPr>
          <w:trHeight w:val="432"/>
          <w:jc w:val="center"/>
        </w:trPr>
        <w:tc>
          <w:tcPr>
            <w:tcW w:w="2605" w:type="dxa"/>
          </w:tcPr>
          <w:p w14:paraId="39C3B68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94" w:type="dxa"/>
          </w:tcPr>
          <w:p w14:paraId="243E753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For treatment of chronic lichenified eczema</w:t>
            </w:r>
          </w:p>
        </w:tc>
      </w:tr>
      <w:tr w:rsidR="002F635D" w:rsidRPr="0024114A" w14:paraId="24EEE4E5" w14:textId="77777777" w:rsidTr="002D6DD7">
        <w:trPr>
          <w:trHeight w:val="1279"/>
          <w:jc w:val="center"/>
        </w:trPr>
        <w:tc>
          <w:tcPr>
            <w:tcW w:w="2605" w:type="dxa"/>
          </w:tcPr>
          <w:p w14:paraId="50456B8E"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lastRenderedPageBreak/>
              <w:t>Dose and administration</w:t>
            </w:r>
          </w:p>
        </w:tc>
        <w:tc>
          <w:tcPr>
            <w:tcW w:w="6694" w:type="dxa"/>
          </w:tcPr>
          <w:p w14:paraId="123C0D7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Chronic lichenified eczema</w:t>
            </w:r>
            <w:r w:rsidRPr="0024114A">
              <w:rPr>
                <w:rFonts w:cs="Times New Roman"/>
                <w:color w:val="000000" w:themeColor="text1"/>
                <w:szCs w:val="24"/>
                <w:lang w:val="en-US"/>
              </w:rPr>
              <w:t xml:space="preserve">, </w:t>
            </w:r>
            <w:r w:rsidRPr="0024114A">
              <w:rPr>
                <w:rFonts w:cs="Times New Roman"/>
                <w:b/>
                <w:color w:val="000000" w:themeColor="text1"/>
                <w:szCs w:val="24"/>
                <w:lang w:val="en-US"/>
              </w:rPr>
              <w:t>to the skin</w:t>
            </w:r>
            <w:r w:rsidRPr="0024114A">
              <w:rPr>
                <w:rFonts w:cs="Times New Roman"/>
                <w:color w:val="000000" w:themeColor="text1"/>
                <w:szCs w:val="24"/>
                <w:lang w:val="en-US"/>
              </w:rPr>
              <w:t xml:space="preserve">: </w:t>
            </w:r>
          </w:p>
          <w:p w14:paraId="24DD50C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 Apply 1–3 times a day</w:t>
            </w:r>
          </w:p>
          <w:p w14:paraId="5970546E"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1–17 years</w:t>
            </w:r>
            <w:r w:rsidRPr="0024114A">
              <w:rPr>
                <w:rFonts w:cs="Times New Roman"/>
                <w:color w:val="000000" w:themeColor="text1"/>
                <w:szCs w:val="24"/>
                <w:lang w:val="en-US"/>
              </w:rPr>
              <w:t>: Apply 1–3 times a day</w:t>
            </w:r>
          </w:p>
          <w:p w14:paraId="4563E903"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i/>
                <w:iCs/>
                <w:color w:val="000000" w:themeColor="text1"/>
                <w:szCs w:val="24"/>
                <w:lang w:val="en-US"/>
              </w:rPr>
              <w:t>Note: sulfur-like odor of topical preparation may be bothersome to many patients</w:t>
            </w:r>
          </w:p>
        </w:tc>
      </w:tr>
      <w:tr w:rsidR="002F635D" w:rsidRPr="0024114A" w14:paraId="0D25620C" w14:textId="77777777" w:rsidTr="002D6DD7">
        <w:trPr>
          <w:trHeight w:val="395"/>
          <w:jc w:val="center"/>
        </w:trPr>
        <w:tc>
          <w:tcPr>
            <w:tcW w:w="2605" w:type="dxa"/>
          </w:tcPr>
          <w:p w14:paraId="7BCFDFA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70C33DC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No absolute contraindications</w:t>
            </w:r>
          </w:p>
        </w:tc>
      </w:tr>
      <w:tr w:rsidR="002F635D" w:rsidRPr="0024114A" w14:paraId="0DD827DC" w14:textId="77777777" w:rsidTr="002D6DD7">
        <w:trPr>
          <w:trHeight w:val="432"/>
          <w:jc w:val="center"/>
        </w:trPr>
        <w:tc>
          <w:tcPr>
            <w:tcW w:w="2605" w:type="dxa"/>
          </w:tcPr>
          <w:p w14:paraId="6E2F11B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1EC8866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is no known significant drug interactions.</w:t>
            </w:r>
          </w:p>
        </w:tc>
      </w:tr>
      <w:tr w:rsidR="002F635D" w:rsidRPr="0024114A" w14:paraId="56D86EA1" w14:textId="77777777" w:rsidTr="002D6DD7">
        <w:trPr>
          <w:trHeight w:val="432"/>
          <w:jc w:val="center"/>
        </w:trPr>
        <w:tc>
          <w:tcPr>
            <w:tcW w:w="2605" w:type="dxa"/>
          </w:tcPr>
          <w:p w14:paraId="387DD6A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4E9F785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irritation</w:t>
            </w:r>
          </w:p>
        </w:tc>
      </w:tr>
      <w:tr w:rsidR="002F635D" w:rsidRPr="0024114A" w14:paraId="0BD52228" w14:textId="77777777" w:rsidTr="002D6DD7">
        <w:trPr>
          <w:trHeight w:val="432"/>
          <w:jc w:val="center"/>
        </w:trPr>
        <w:tc>
          <w:tcPr>
            <w:tcW w:w="2605" w:type="dxa"/>
          </w:tcPr>
          <w:p w14:paraId="48190C3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03F5E815"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Contact with the eyes </w:t>
            </w:r>
          </w:p>
        </w:tc>
      </w:tr>
      <w:tr w:rsidR="002F635D" w:rsidRPr="0024114A" w14:paraId="4EA15BF7" w14:textId="77777777" w:rsidTr="002D6DD7">
        <w:trPr>
          <w:trHeight w:val="432"/>
          <w:jc w:val="center"/>
        </w:trPr>
        <w:tc>
          <w:tcPr>
            <w:tcW w:w="2605" w:type="dxa"/>
          </w:tcPr>
          <w:p w14:paraId="0A8C18A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3B9B448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26ED17B1" w14:textId="77777777" w:rsidTr="002D6DD7">
        <w:trPr>
          <w:trHeight w:val="46"/>
          <w:jc w:val="center"/>
        </w:trPr>
        <w:tc>
          <w:tcPr>
            <w:tcW w:w="9299" w:type="dxa"/>
            <w:gridSpan w:val="2"/>
          </w:tcPr>
          <w:p w14:paraId="1F51F9E9"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Methotrexate</w:t>
            </w:r>
          </w:p>
        </w:tc>
      </w:tr>
      <w:tr w:rsidR="002F635D" w:rsidRPr="0024114A" w14:paraId="4F7AEFB9" w14:textId="77777777" w:rsidTr="002D6DD7">
        <w:trPr>
          <w:trHeight w:val="50"/>
          <w:jc w:val="center"/>
        </w:trPr>
        <w:tc>
          <w:tcPr>
            <w:tcW w:w="2605" w:type="dxa"/>
          </w:tcPr>
          <w:p w14:paraId="70B2B60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12FEAE8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Antimetabolites, antipsoriatics</w:t>
            </w:r>
          </w:p>
        </w:tc>
      </w:tr>
      <w:tr w:rsidR="002F635D" w:rsidRPr="0024114A" w14:paraId="1628801A" w14:textId="77777777" w:rsidTr="002D6DD7">
        <w:trPr>
          <w:trHeight w:val="432"/>
          <w:jc w:val="center"/>
        </w:trPr>
        <w:tc>
          <w:tcPr>
            <w:tcW w:w="2605" w:type="dxa"/>
          </w:tcPr>
          <w:p w14:paraId="3A4B754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7BDE31C6"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Tablet :2.5 mg, 5 mg</w:t>
            </w:r>
          </w:p>
        </w:tc>
      </w:tr>
      <w:tr w:rsidR="002F635D" w:rsidRPr="0024114A" w14:paraId="05594C20" w14:textId="77777777" w:rsidTr="002D6DD7">
        <w:trPr>
          <w:trHeight w:val="908"/>
          <w:jc w:val="center"/>
        </w:trPr>
        <w:tc>
          <w:tcPr>
            <w:tcW w:w="2605" w:type="dxa"/>
          </w:tcPr>
          <w:p w14:paraId="2AC732F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94" w:type="dxa"/>
          </w:tcPr>
          <w:p w14:paraId="36FC3A6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Severe and uncontrolled psoriasis which is not responsive to other therapy</w:t>
            </w:r>
          </w:p>
        </w:tc>
      </w:tr>
      <w:tr w:rsidR="002F635D" w:rsidRPr="0024114A" w14:paraId="18451E15" w14:textId="77777777" w:rsidTr="002D6DD7">
        <w:trPr>
          <w:trHeight w:val="1279"/>
          <w:jc w:val="center"/>
        </w:trPr>
        <w:tc>
          <w:tcPr>
            <w:tcW w:w="2605" w:type="dxa"/>
          </w:tcPr>
          <w:p w14:paraId="4DCA1EC6"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5E0B5FC7" w14:textId="77777777" w:rsidR="002F635D" w:rsidRPr="00787D79" w:rsidRDefault="002F635D" w:rsidP="002D6DD7">
            <w:pPr>
              <w:autoSpaceDE w:val="0"/>
              <w:autoSpaceDN w:val="0"/>
              <w:adjustRightInd w:val="0"/>
              <w:jc w:val="both"/>
              <w:rPr>
                <w:rFonts w:cs="Times New Roman"/>
                <w:bCs/>
                <w:color w:val="000000" w:themeColor="text1"/>
                <w:szCs w:val="24"/>
                <w:lang w:val="en-US"/>
              </w:rPr>
            </w:pPr>
            <w:r w:rsidRPr="00787D79">
              <w:rPr>
                <w:rFonts w:cs="Times New Roman"/>
                <w:color w:val="000000" w:themeColor="text1"/>
                <w:szCs w:val="24"/>
                <w:lang w:val="en-US"/>
              </w:rPr>
              <w:t>Oral:</w:t>
            </w:r>
          </w:p>
          <w:p w14:paraId="75664AED"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2.5-5mg/dose every 12 hours for 3 doses given weekly or </w:t>
            </w:r>
            <w:r w:rsidRPr="00787D79">
              <w:rPr>
                <w:rFonts w:cs="Times New Roman"/>
                <w:color w:val="000000" w:themeColor="text1"/>
                <w:szCs w:val="24"/>
                <w:lang w:val="en-US"/>
              </w:rPr>
              <w:t>Oral, IM:</w:t>
            </w:r>
          </w:p>
          <w:p w14:paraId="70556D0A" w14:textId="77777777" w:rsidR="002F635D" w:rsidRPr="0024114A" w:rsidRDefault="002F635D" w:rsidP="002D6DD7">
            <w:pPr>
              <w:pStyle w:val="Default"/>
              <w:spacing w:line="360" w:lineRule="auto"/>
              <w:jc w:val="both"/>
              <w:rPr>
                <w:b/>
                <w:bCs/>
                <w:color w:val="000000" w:themeColor="text1"/>
              </w:rPr>
            </w:pPr>
            <w:r w:rsidRPr="0024114A">
              <w:rPr>
                <w:b/>
                <w:bCs/>
                <w:color w:val="000000" w:themeColor="text1"/>
              </w:rPr>
              <w:t xml:space="preserve">Adult: </w:t>
            </w:r>
            <w:r w:rsidRPr="0024114A">
              <w:rPr>
                <w:color w:val="000000" w:themeColor="text1"/>
              </w:rPr>
              <w:t>10-25mg/dose given once weekly</w:t>
            </w:r>
          </w:p>
        </w:tc>
      </w:tr>
      <w:tr w:rsidR="002F635D" w:rsidRPr="0024114A" w14:paraId="20743FDE" w14:textId="77777777" w:rsidTr="002D6DD7">
        <w:trPr>
          <w:trHeight w:val="90"/>
          <w:jc w:val="center"/>
        </w:trPr>
        <w:tc>
          <w:tcPr>
            <w:tcW w:w="2605" w:type="dxa"/>
          </w:tcPr>
          <w:p w14:paraId="2E9FD27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4458DF1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Refer to methotrexate under antineoplastic and supportive medicines.</w:t>
            </w:r>
          </w:p>
        </w:tc>
      </w:tr>
      <w:tr w:rsidR="002F635D" w:rsidRPr="0024114A" w14:paraId="0E0122DE" w14:textId="77777777" w:rsidTr="002D6DD7">
        <w:trPr>
          <w:trHeight w:val="90"/>
          <w:jc w:val="center"/>
        </w:trPr>
        <w:tc>
          <w:tcPr>
            <w:tcW w:w="2605" w:type="dxa"/>
          </w:tcPr>
          <w:p w14:paraId="26C2E37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1D9C3DF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Refer to methotrexate under antineoplastic and supportive medicines.</w:t>
            </w:r>
          </w:p>
        </w:tc>
      </w:tr>
      <w:tr w:rsidR="002F635D" w:rsidRPr="0024114A" w14:paraId="4CC3543E" w14:textId="77777777" w:rsidTr="002D6DD7">
        <w:trPr>
          <w:trHeight w:val="773"/>
          <w:jc w:val="center"/>
        </w:trPr>
        <w:tc>
          <w:tcPr>
            <w:tcW w:w="2605" w:type="dxa"/>
          </w:tcPr>
          <w:p w14:paraId="5CA349B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7F5075C7"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Refer to methotrexate under antineoplastic and supportive medicines.</w:t>
            </w:r>
          </w:p>
        </w:tc>
      </w:tr>
      <w:tr w:rsidR="002F635D" w:rsidRPr="0024114A" w14:paraId="4427A100" w14:textId="77777777" w:rsidTr="002D6DD7">
        <w:trPr>
          <w:trHeight w:val="432"/>
          <w:jc w:val="center"/>
        </w:trPr>
        <w:tc>
          <w:tcPr>
            <w:tcW w:w="2605" w:type="dxa"/>
          </w:tcPr>
          <w:p w14:paraId="7C83BF9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6559E15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Refer to methotrexate under antineoplastic and supportive medicines.</w:t>
            </w:r>
          </w:p>
        </w:tc>
      </w:tr>
      <w:tr w:rsidR="002F635D" w:rsidRPr="0024114A" w14:paraId="0AEE241A" w14:textId="77777777" w:rsidTr="002D6DD7">
        <w:trPr>
          <w:trHeight w:val="442"/>
          <w:jc w:val="center"/>
        </w:trPr>
        <w:tc>
          <w:tcPr>
            <w:tcW w:w="2605" w:type="dxa"/>
          </w:tcPr>
          <w:p w14:paraId="3F584C4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3972FA0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C.Protect from light.</w:t>
            </w:r>
          </w:p>
        </w:tc>
      </w:tr>
      <w:tr w:rsidR="002F635D" w:rsidRPr="0024114A" w14:paraId="2A2D1633" w14:textId="77777777" w:rsidTr="002D6DD7">
        <w:trPr>
          <w:trHeight w:val="267"/>
          <w:jc w:val="center"/>
        </w:trPr>
        <w:tc>
          <w:tcPr>
            <w:tcW w:w="9299" w:type="dxa"/>
            <w:gridSpan w:val="2"/>
          </w:tcPr>
          <w:p w14:paraId="6CEBB935"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Sunscreen</w:t>
            </w:r>
          </w:p>
        </w:tc>
      </w:tr>
      <w:tr w:rsidR="002F635D" w:rsidRPr="0024114A" w14:paraId="2E663BAB" w14:textId="77777777" w:rsidTr="002D6DD7">
        <w:trPr>
          <w:trHeight w:val="442"/>
          <w:jc w:val="center"/>
        </w:trPr>
        <w:tc>
          <w:tcPr>
            <w:tcW w:w="2605" w:type="dxa"/>
          </w:tcPr>
          <w:p w14:paraId="1EB9646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494D1D3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photoprotective agent.</w:t>
            </w:r>
          </w:p>
        </w:tc>
      </w:tr>
      <w:tr w:rsidR="002F635D" w:rsidRPr="0024114A" w14:paraId="6C797DF7" w14:textId="77777777" w:rsidTr="002D6DD7">
        <w:trPr>
          <w:trHeight w:val="442"/>
          <w:jc w:val="center"/>
        </w:trPr>
        <w:tc>
          <w:tcPr>
            <w:tcW w:w="2605" w:type="dxa"/>
          </w:tcPr>
          <w:p w14:paraId="230BD88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lastRenderedPageBreak/>
              <w:t>Dosage form</w:t>
            </w:r>
          </w:p>
        </w:tc>
        <w:tc>
          <w:tcPr>
            <w:tcW w:w="6694" w:type="dxa"/>
          </w:tcPr>
          <w:p w14:paraId="187F735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W</w:t>
            </w:r>
            <w:r w:rsidRPr="0024114A">
              <w:rPr>
                <w:rFonts w:cs="Times New Roman"/>
                <w:color w:val="000000" w:themeColor="text1"/>
                <w:szCs w:val="24"/>
              </w:rPr>
              <w:t>ithSPF 30+ (UVA + UVB block)</w:t>
            </w:r>
          </w:p>
        </w:tc>
      </w:tr>
      <w:tr w:rsidR="002F635D" w:rsidRPr="0024114A" w14:paraId="6C32EC1B" w14:textId="77777777" w:rsidTr="002D6DD7">
        <w:trPr>
          <w:trHeight w:val="233"/>
          <w:jc w:val="center"/>
        </w:trPr>
        <w:tc>
          <w:tcPr>
            <w:tcW w:w="2605" w:type="dxa"/>
          </w:tcPr>
          <w:p w14:paraId="0BE25C0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694" w:type="dxa"/>
          </w:tcPr>
          <w:p w14:paraId="05F03BCD"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eastAsia="Candara-Italic" w:cs="Times New Roman"/>
                <w:color w:val="000000" w:themeColor="text1"/>
                <w:szCs w:val="24"/>
                <w:lang w:val="en-US"/>
              </w:rPr>
              <w:t>Photoprotection.</w:t>
            </w:r>
          </w:p>
        </w:tc>
      </w:tr>
      <w:tr w:rsidR="002F635D" w:rsidRPr="0024114A" w14:paraId="67FAC558" w14:textId="77777777" w:rsidTr="002D6DD7">
        <w:trPr>
          <w:trHeight w:val="442"/>
          <w:jc w:val="center"/>
        </w:trPr>
        <w:tc>
          <w:tcPr>
            <w:tcW w:w="2605" w:type="dxa"/>
          </w:tcPr>
          <w:p w14:paraId="7898B055"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14B195B5"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Adult:</w:t>
            </w:r>
            <w:r w:rsidRPr="0024114A">
              <w:rPr>
                <w:rFonts w:cs="Times New Roman"/>
                <w:color w:val="000000" w:themeColor="text1"/>
                <w:szCs w:val="24"/>
                <w:lang w:val="en-US"/>
              </w:rPr>
              <w:t xml:space="preserve"> Apply liberally every two hours during exposure of the sun.</w:t>
            </w:r>
          </w:p>
          <w:p w14:paraId="7BC8F8B9"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Child 6 months and older</w:t>
            </w:r>
            <w:r w:rsidRPr="0024114A">
              <w:rPr>
                <w:rFonts w:cs="Times New Roman"/>
                <w:color w:val="000000" w:themeColor="text1"/>
                <w:szCs w:val="24"/>
                <w:lang w:val="en-US"/>
              </w:rPr>
              <w:t>: Apply during exposure to the sun.</w:t>
            </w:r>
          </w:p>
        </w:tc>
      </w:tr>
      <w:tr w:rsidR="002F635D" w:rsidRPr="0024114A" w14:paraId="20C6BDCA" w14:textId="77777777" w:rsidTr="002D6DD7">
        <w:trPr>
          <w:trHeight w:val="442"/>
          <w:jc w:val="center"/>
        </w:trPr>
        <w:tc>
          <w:tcPr>
            <w:tcW w:w="2605" w:type="dxa"/>
          </w:tcPr>
          <w:p w14:paraId="1A71AFC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1671A4A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Use for acute or pustular psoriasis or on inflamed skin</w:t>
            </w:r>
          </w:p>
        </w:tc>
      </w:tr>
      <w:tr w:rsidR="002F635D" w:rsidRPr="0024114A" w14:paraId="3DC37872" w14:textId="77777777" w:rsidTr="002D6DD7">
        <w:trPr>
          <w:trHeight w:val="800"/>
          <w:jc w:val="center"/>
        </w:trPr>
        <w:tc>
          <w:tcPr>
            <w:tcW w:w="2605" w:type="dxa"/>
          </w:tcPr>
          <w:p w14:paraId="036BB26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55A88A0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Photosensitization medications include certain antibiotics (e.g., tetracyclines), NSAIDs, diuretics, retinoids </w:t>
            </w:r>
          </w:p>
        </w:tc>
      </w:tr>
      <w:tr w:rsidR="002F635D" w:rsidRPr="0024114A" w14:paraId="72AE1FFF" w14:textId="77777777" w:rsidTr="002D6DD7">
        <w:trPr>
          <w:trHeight w:val="442"/>
          <w:jc w:val="center"/>
        </w:trPr>
        <w:tc>
          <w:tcPr>
            <w:tcW w:w="2605" w:type="dxa"/>
          </w:tcPr>
          <w:p w14:paraId="0EF081B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3BACE3DB"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Acne, burning, itching, or stinging of the skin, redness or swelling of the skin, rash, pain in hairy areas, pus in the hair follicles and drying or tightening of the skin.</w:t>
            </w:r>
          </w:p>
        </w:tc>
      </w:tr>
      <w:tr w:rsidR="002F635D" w:rsidRPr="0024114A" w14:paraId="570150D8" w14:textId="77777777" w:rsidTr="002D6DD7">
        <w:trPr>
          <w:trHeight w:val="442"/>
          <w:jc w:val="center"/>
        </w:trPr>
        <w:tc>
          <w:tcPr>
            <w:tcW w:w="2605" w:type="dxa"/>
          </w:tcPr>
          <w:p w14:paraId="1D0E78D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4F3FA09C"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Infants younger than 6 months</w:t>
            </w:r>
          </w:p>
        </w:tc>
      </w:tr>
      <w:tr w:rsidR="002F635D" w:rsidRPr="0024114A" w14:paraId="2C6EEE01" w14:textId="77777777" w:rsidTr="002D6DD7">
        <w:trPr>
          <w:trHeight w:val="442"/>
          <w:jc w:val="center"/>
        </w:trPr>
        <w:tc>
          <w:tcPr>
            <w:tcW w:w="2605" w:type="dxa"/>
          </w:tcPr>
          <w:p w14:paraId="688755F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2AF8F8D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below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r w:rsidR="002F635D" w:rsidRPr="0024114A" w14:paraId="34973D5A" w14:textId="77777777" w:rsidTr="002D6DD7">
        <w:trPr>
          <w:trHeight w:val="442"/>
          <w:jc w:val="center"/>
        </w:trPr>
        <w:tc>
          <w:tcPr>
            <w:tcW w:w="9299" w:type="dxa"/>
            <w:gridSpan w:val="2"/>
          </w:tcPr>
          <w:p w14:paraId="36AD620C" w14:textId="77777777" w:rsidR="002F635D" w:rsidRPr="0024114A" w:rsidRDefault="002F635D" w:rsidP="002D6DD7">
            <w:pPr>
              <w:jc w:val="both"/>
              <w:rPr>
                <w:rFonts w:cs="Times New Roman"/>
                <w:color w:val="000000" w:themeColor="text1"/>
                <w:szCs w:val="24"/>
                <w:lang w:val="en-US"/>
              </w:rPr>
            </w:pPr>
            <w:r w:rsidRPr="0024114A">
              <w:rPr>
                <w:rFonts w:cs="Times New Roman"/>
                <w:b/>
                <w:bCs/>
                <w:color w:val="000000" w:themeColor="text1"/>
                <w:szCs w:val="24"/>
                <w:lang w:val="en-US"/>
              </w:rPr>
              <w:t>Zinc oxide</w:t>
            </w:r>
          </w:p>
        </w:tc>
      </w:tr>
      <w:tr w:rsidR="002F635D" w:rsidRPr="0024114A" w14:paraId="57FE6CE4" w14:textId="77777777" w:rsidTr="002D6DD7">
        <w:trPr>
          <w:trHeight w:val="442"/>
          <w:jc w:val="center"/>
        </w:trPr>
        <w:tc>
          <w:tcPr>
            <w:tcW w:w="2605" w:type="dxa"/>
          </w:tcPr>
          <w:p w14:paraId="29197B1E"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694" w:type="dxa"/>
          </w:tcPr>
          <w:p w14:paraId="5194E41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Topical soothing and protective agent</w:t>
            </w:r>
          </w:p>
        </w:tc>
      </w:tr>
      <w:tr w:rsidR="002F635D" w:rsidRPr="0024114A" w14:paraId="77548395" w14:textId="77777777" w:rsidTr="002D6DD7">
        <w:trPr>
          <w:trHeight w:val="442"/>
          <w:jc w:val="center"/>
        </w:trPr>
        <w:tc>
          <w:tcPr>
            <w:tcW w:w="2605" w:type="dxa"/>
          </w:tcPr>
          <w:p w14:paraId="56A44550"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694" w:type="dxa"/>
          </w:tcPr>
          <w:p w14:paraId="7703E9C6" w14:textId="77777777" w:rsidR="002F635D" w:rsidRPr="0024114A" w:rsidRDefault="002F635D" w:rsidP="002D6DD7">
            <w:pPr>
              <w:pStyle w:val="Default"/>
              <w:adjustRightInd/>
              <w:spacing w:line="360" w:lineRule="auto"/>
              <w:jc w:val="both"/>
              <w:rPr>
                <w:color w:val="000000" w:themeColor="text1"/>
              </w:rPr>
            </w:pPr>
            <w:r w:rsidRPr="0024114A">
              <w:rPr>
                <w:color w:val="000000" w:themeColor="text1"/>
              </w:rPr>
              <w:t xml:space="preserve">Ointment: 15 % </w:t>
            </w:r>
          </w:p>
          <w:p w14:paraId="6C2C375B" w14:textId="77777777" w:rsidR="002F635D" w:rsidRPr="0024114A" w:rsidRDefault="002F635D" w:rsidP="002D6DD7">
            <w:pPr>
              <w:pStyle w:val="Default"/>
              <w:adjustRightInd/>
              <w:spacing w:line="360" w:lineRule="auto"/>
              <w:jc w:val="both"/>
              <w:rPr>
                <w:color w:val="000000" w:themeColor="text1"/>
              </w:rPr>
            </w:pPr>
            <w:r w:rsidRPr="0024114A">
              <w:rPr>
                <w:color w:val="000000" w:themeColor="text1"/>
              </w:rPr>
              <w:t>Lotion: 15 %</w:t>
            </w:r>
          </w:p>
        </w:tc>
      </w:tr>
      <w:tr w:rsidR="002F635D" w:rsidRPr="0024114A" w14:paraId="33DB6C7D" w14:textId="77777777" w:rsidTr="002D6DD7">
        <w:trPr>
          <w:trHeight w:val="442"/>
          <w:jc w:val="center"/>
        </w:trPr>
        <w:tc>
          <w:tcPr>
            <w:tcW w:w="2605" w:type="dxa"/>
          </w:tcPr>
          <w:p w14:paraId="0048F021" w14:textId="77777777" w:rsidR="002F635D" w:rsidRPr="0024114A" w:rsidRDefault="002F635D" w:rsidP="002D6DD7">
            <w:pPr>
              <w:jc w:val="both"/>
              <w:rPr>
                <w:rFonts w:cs="Times New Roman"/>
                <w:bCs/>
                <w:color w:val="000000" w:themeColor="text1"/>
                <w:szCs w:val="24"/>
                <w:lang w:val="en-US"/>
              </w:rPr>
            </w:pPr>
            <w:r w:rsidRPr="0024114A">
              <w:rPr>
                <w:rFonts w:cs="Times New Roman"/>
                <w:bCs/>
                <w:color w:val="000000" w:themeColor="text1"/>
                <w:szCs w:val="24"/>
                <w:lang w:val="en-US"/>
              </w:rPr>
              <w:t>Indications</w:t>
            </w:r>
          </w:p>
        </w:tc>
        <w:tc>
          <w:tcPr>
            <w:tcW w:w="6694" w:type="dxa"/>
          </w:tcPr>
          <w:p w14:paraId="0930E55A" w14:textId="77777777" w:rsidR="002F635D" w:rsidRPr="0024114A" w:rsidRDefault="002F635D" w:rsidP="002D6DD7">
            <w:pPr>
              <w:autoSpaceDE w:val="0"/>
              <w:autoSpaceDN w:val="0"/>
              <w:jc w:val="both"/>
              <w:rPr>
                <w:rFonts w:cs="Times New Roman"/>
                <w:color w:val="000000" w:themeColor="text1"/>
                <w:szCs w:val="24"/>
                <w:lang w:val="en-US"/>
              </w:rPr>
            </w:pPr>
            <w:r w:rsidRPr="0024114A">
              <w:rPr>
                <w:rFonts w:cs="Times New Roman"/>
                <w:color w:val="000000" w:themeColor="text1"/>
                <w:szCs w:val="24"/>
                <w:lang w:val="en-US"/>
              </w:rPr>
              <w:t xml:space="preserve">Skin protective in various skin conditions such as nappy (diaper) rash, eczema </w:t>
            </w:r>
          </w:p>
        </w:tc>
      </w:tr>
      <w:tr w:rsidR="002F635D" w:rsidRPr="0024114A" w14:paraId="4F431793" w14:textId="77777777" w:rsidTr="002D6DD7">
        <w:trPr>
          <w:trHeight w:val="442"/>
          <w:jc w:val="center"/>
        </w:trPr>
        <w:tc>
          <w:tcPr>
            <w:tcW w:w="2605" w:type="dxa"/>
          </w:tcPr>
          <w:p w14:paraId="03DDC182"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694" w:type="dxa"/>
          </w:tcPr>
          <w:p w14:paraId="6D55551A" w14:textId="77777777" w:rsidR="002F635D" w:rsidRPr="0024114A" w:rsidRDefault="002F635D" w:rsidP="002D6DD7">
            <w:pPr>
              <w:autoSpaceDE w:val="0"/>
              <w:autoSpaceDN w:val="0"/>
              <w:jc w:val="both"/>
              <w:rPr>
                <w:rFonts w:cs="Times New Roman"/>
                <w:color w:val="000000" w:themeColor="text1"/>
                <w:szCs w:val="24"/>
                <w:lang w:val="en-US"/>
              </w:rPr>
            </w:pPr>
            <w:r w:rsidRPr="0024114A">
              <w:rPr>
                <w:rFonts w:cs="Times New Roman"/>
                <w:color w:val="000000" w:themeColor="text1"/>
                <w:szCs w:val="24"/>
                <w:lang w:val="en-US"/>
              </w:rPr>
              <w:t>Apply 3 times daily or as required</w:t>
            </w:r>
          </w:p>
          <w:p w14:paraId="7DAEC9D4" w14:textId="77777777" w:rsidR="002F635D" w:rsidRPr="0024114A" w:rsidRDefault="002F635D" w:rsidP="002D6DD7">
            <w:pPr>
              <w:autoSpaceDE w:val="0"/>
              <w:autoSpaceDN w:val="0"/>
              <w:jc w:val="both"/>
              <w:rPr>
                <w:rFonts w:cs="Times New Roman"/>
                <w:color w:val="000000" w:themeColor="text1"/>
                <w:szCs w:val="24"/>
                <w:lang w:val="en-US"/>
              </w:rPr>
            </w:pPr>
            <w:r w:rsidRPr="0024114A">
              <w:rPr>
                <w:rFonts w:cs="Times New Roman"/>
                <w:b/>
                <w:color w:val="000000" w:themeColor="text1"/>
                <w:szCs w:val="24"/>
                <w:lang w:val="en-US"/>
              </w:rPr>
              <w:t>Diaper rash</w:t>
            </w:r>
            <w:r w:rsidRPr="0024114A">
              <w:rPr>
                <w:rFonts w:cs="Times New Roman"/>
                <w:color w:val="000000" w:themeColor="text1"/>
                <w:szCs w:val="24"/>
                <w:lang w:val="en-US"/>
              </w:rPr>
              <w:t>: change wet and soiled diapers promptly; allow to dry; apply ointment liberally with each diaper change.</w:t>
            </w:r>
          </w:p>
          <w:p w14:paraId="3581CA85" w14:textId="77777777" w:rsidR="002F635D" w:rsidRPr="0024114A" w:rsidRDefault="002F635D" w:rsidP="002D6DD7">
            <w:pPr>
              <w:autoSpaceDE w:val="0"/>
              <w:autoSpaceDN w:val="0"/>
              <w:jc w:val="both"/>
              <w:rPr>
                <w:rFonts w:cs="Times New Roman"/>
                <w:i/>
                <w:iCs/>
                <w:color w:val="000000" w:themeColor="text1"/>
                <w:szCs w:val="24"/>
                <w:lang w:val="en-US"/>
              </w:rPr>
            </w:pPr>
            <w:r w:rsidRPr="0024114A">
              <w:rPr>
                <w:rFonts w:cs="Times New Roman"/>
                <w:i/>
                <w:iCs/>
                <w:color w:val="000000" w:themeColor="text1"/>
                <w:szCs w:val="24"/>
                <w:lang w:val="en-US"/>
              </w:rPr>
              <w:t>Note: do not apply over deep puncture wounds, infections or lacerations.</w:t>
            </w:r>
          </w:p>
        </w:tc>
      </w:tr>
      <w:tr w:rsidR="002F635D" w:rsidRPr="0024114A" w14:paraId="48769C18" w14:textId="77777777" w:rsidTr="002D6DD7">
        <w:trPr>
          <w:trHeight w:val="442"/>
          <w:jc w:val="center"/>
        </w:trPr>
        <w:tc>
          <w:tcPr>
            <w:tcW w:w="2605" w:type="dxa"/>
          </w:tcPr>
          <w:p w14:paraId="5BEC324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694" w:type="dxa"/>
          </w:tcPr>
          <w:p w14:paraId="0F519966"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06507FDA" w14:textId="77777777" w:rsidTr="002D6DD7">
        <w:trPr>
          <w:trHeight w:val="442"/>
          <w:jc w:val="center"/>
        </w:trPr>
        <w:tc>
          <w:tcPr>
            <w:tcW w:w="2605" w:type="dxa"/>
          </w:tcPr>
          <w:p w14:paraId="094F2DD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694" w:type="dxa"/>
          </w:tcPr>
          <w:p w14:paraId="3D9E8B3D"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Benzylpenicillin.</w:t>
            </w:r>
          </w:p>
        </w:tc>
      </w:tr>
      <w:tr w:rsidR="002F635D" w:rsidRPr="0024114A" w14:paraId="5BBB944E" w14:textId="77777777" w:rsidTr="002D6DD7">
        <w:trPr>
          <w:trHeight w:val="442"/>
          <w:jc w:val="center"/>
        </w:trPr>
        <w:tc>
          <w:tcPr>
            <w:tcW w:w="2605" w:type="dxa"/>
          </w:tcPr>
          <w:p w14:paraId="594575C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694" w:type="dxa"/>
          </w:tcPr>
          <w:p w14:paraId="58C369B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Skin sensitivity, irritation</w:t>
            </w:r>
          </w:p>
        </w:tc>
      </w:tr>
      <w:tr w:rsidR="002F635D" w:rsidRPr="0024114A" w14:paraId="6553C31D" w14:textId="77777777" w:rsidTr="002D6DD7">
        <w:trPr>
          <w:trHeight w:val="442"/>
          <w:jc w:val="center"/>
        </w:trPr>
        <w:tc>
          <w:tcPr>
            <w:tcW w:w="2605" w:type="dxa"/>
          </w:tcPr>
          <w:p w14:paraId="463553B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694" w:type="dxa"/>
          </w:tcPr>
          <w:p w14:paraId="06D99C7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Contact with eyes</w:t>
            </w:r>
          </w:p>
        </w:tc>
      </w:tr>
      <w:tr w:rsidR="002F635D" w:rsidRPr="0024114A" w14:paraId="7F43B7BD" w14:textId="77777777" w:rsidTr="002D6DD7">
        <w:trPr>
          <w:trHeight w:val="442"/>
          <w:jc w:val="center"/>
        </w:trPr>
        <w:tc>
          <w:tcPr>
            <w:tcW w:w="2605" w:type="dxa"/>
          </w:tcPr>
          <w:p w14:paraId="5971197C"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694" w:type="dxa"/>
          </w:tcPr>
          <w:p w14:paraId="62EB7DBD" w14:textId="77777777" w:rsidR="002F635D" w:rsidRPr="0024114A" w:rsidDel="00A36712"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Store between 15 to 30 </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bl>
    <w:p w14:paraId="63ECC611" w14:textId="77777777" w:rsidR="002F635D" w:rsidRPr="0024114A" w:rsidRDefault="002F635D" w:rsidP="002F635D">
      <w:pPr>
        <w:spacing w:after="0"/>
        <w:jc w:val="both"/>
        <w:rPr>
          <w:rFonts w:cs="Times New Roman"/>
          <w:color w:val="000000" w:themeColor="text1"/>
          <w:szCs w:val="24"/>
        </w:rPr>
      </w:pPr>
    </w:p>
    <w:p w14:paraId="0D77767C" w14:textId="77777777" w:rsidR="002F635D" w:rsidRPr="00787D79" w:rsidRDefault="002F635D" w:rsidP="00787D79">
      <w:pPr>
        <w:pStyle w:val="Heading2"/>
        <w:spacing w:before="240" w:after="240"/>
      </w:pPr>
      <w:bookmarkStart w:id="213" w:name="_Toc179490407"/>
      <w:r w:rsidRPr="00787D79">
        <w:lastRenderedPageBreak/>
        <w:t>Antipruritics</w:t>
      </w:r>
      <w:bookmarkEnd w:id="213"/>
    </w:p>
    <w:p w14:paraId="3B0933A3" w14:textId="77777777" w:rsidR="002F635D" w:rsidRPr="0024114A" w:rsidRDefault="002F635D" w:rsidP="002F635D">
      <w:pPr>
        <w:pStyle w:val="NormalWeb"/>
        <w:spacing w:before="0" w:beforeAutospacing="0" w:after="0" w:afterAutospacing="0" w:line="360" w:lineRule="auto"/>
        <w:jc w:val="both"/>
        <w:rPr>
          <w:color w:val="000000" w:themeColor="text1"/>
        </w:rPr>
      </w:pPr>
      <w:r w:rsidRPr="0024114A">
        <w:rPr>
          <w:color w:val="000000" w:themeColor="text1"/>
        </w:rPr>
        <w:t>Antipruritics, often referred to as anti-itch medications, are a class of drugs used to alleviate pruritus, a common symptom associated with various skin conditions and allergic reactions.</w:t>
      </w:r>
      <w:r w:rsidR="00787D79">
        <w:rPr>
          <w:color w:val="000000" w:themeColor="text1"/>
        </w:rPr>
        <w:t xml:space="preserve"> </w:t>
      </w:r>
      <w:r w:rsidRPr="0024114A">
        <w:rPr>
          <w:color w:val="000000" w:themeColor="text1"/>
        </w:rPr>
        <w:t xml:space="preserve">Antipruritics work by blocking the signals in the nerves that transmit the sensation of itching to the brain or by counteracting the underlying cause of the itch. They come in various forms, including topical creams, lotions, ointments, and </w:t>
      </w:r>
      <w:r w:rsidRPr="00BE460D">
        <w:rPr>
          <w:color w:val="000000" w:themeColor="text1"/>
        </w:rPr>
        <w:t>oral</w:t>
      </w:r>
      <w:r w:rsidRPr="0024114A">
        <w:rPr>
          <w:color w:val="000000" w:themeColor="text1"/>
        </w:rPr>
        <w:t xml:space="preserve"> medications. Some Antipruritics contain ingredients like corticosteroids, which reduce inflammation and suppress the immune response, while others may contain antihistamines, which block the action of histamine. The choice of antipruritic depends on the underlying cause of the itching and the severity of the symptoms.</w:t>
      </w:r>
    </w:p>
    <w:tbl>
      <w:tblPr>
        <w:tblStyle w:val="TableGrid"/>
        <w:tblW w:w="0" w:type="auto"/>
        <w:jc w:val="center"/>
        <w:tblLook w:val="04A0" w:firstRow="1" w:lastRow="0" w:firstColumn="1" w:lastColumn="0" w:noHBand="0" w:noVBand="1"/>
      </w:tblPr>
      <w:tblGrid>
        <w:gridCol w:w="2605"/>
        <w:gridCol w:w="6714"/>
      </w:tblGrid>
      <w:tr w:rsidR="002F635D" w:rsidRPr="0024114A" w14:paraId="2F911CF4" w14:textId="77777777" w:rsidTr="002D6DD7">
        <w:trPr>
          <w:trHeight w:val="426"/>
          <w:jc w:val="center"/>
        </w:trPr>
        <w:tc>
          <w:tcPr>
            <w:tcW w:w="9319" w:type="dxa"/>
            <w:gridSpan w:val="2"/>
          </w:tcPr>
          <w:p w14:paraId="6B0EBDB8" w14:textId="77777777" w:rsidR="002F635D" w:rsidRPr="0024114A" w:rsidRDefault="002F635D" w:rsidP="002D6DD7">
            <w:pPr>
              <w:jc w:val="both"/>
              <w:rPr>
                <w:rFonts w:cs="Times New Roman"/>
                <w:color w:val="000000" w:themeColor="text1"/>
                <w:szCs w:val="24"/>
                <w:lang w:val="en-US"/>
              </w:rPr>
            </w:pPr>
            <w:r w:rsidRPr="0024114A">
              <w:rPr>
                <w:rFonts w:eastAsia="Calibri" w:cs="Times New Roman"/>
                <w:b/>
                <w:bCs/>
                <w:color w:val="000000" w:themeColor="text1"/>
                <w:szCs w:val="24"/>
                <w:lang w:val="en-US"/>
              </w:rPr>
              <w:t>Calamine</w:t>
            </w:r>
          </w:p>
        </w:tc>
      </w:tr>
      <w:tr w:rsidR="002F635D" w:rsidRPr="0024114A" w14:paraId="701AC3D5" w14:textId="77777777" w:rsidTr="002D6DD7">
        <w:trPr>
          <w:trHeight w:val="46"/>
          <w:jc w:val="center"/>
        </w:trPr>
        <w:tc>
          <w:tcPr>
            <w:tcW w:w="2605" w:type="dxa"/>
          </w:tcPr>
          <w:p w14:paraId="6D107FB3"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Pharmacological class</w:t>
            </w:r>
          </w:p>
        </w:tc>
        <w:tc>
          <w:tcPr>
            <w:tcW w:w="6714" w:type="dxa"/>
          </w:tcPr>
          <w:p w14:paraId="2CFFE5AC"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Antipruritics</w:t>
            </w:r>
          </w:p>
        </w:tc>
      </w:tr>
      <w:tr w:rsidR="002F635D" w:rsidRPr="0024114A" w14:paraId="14028578" w14:textId="77777777" w:rsidTr="002D6DD7">
        <w:trPr>
          <w:trHeight w:val="426"/>
          <w:jc w:val="center"/>
        </w:trPr>
        <w:tc>
          <w:tcPr>
            <w:tcW w:w="2605" w:type="dxa"/>
          </w:tcPr>
          <w:p w14:paraId="4DD7C61A"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Dosage form</w:t>
            </w:r>
          </w:p>
        </w:tc>
        <w:tc>
          <w:tcPr>
            <w:tcW w:w="6714" w:type="dxa"/>
          </w:tcPr>
          <w:p w14:paraId="69D7B9DF"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Lotion: 15% w/v</w:t>
            </w:r>
          </w:p>
        </w:tc>
      </w:tr>
      <w:tr w:rsidR="002F635D" w:rsidRPr="0024114A" w14:paraId="4F4E7C49" w14:textId="77777777" w:rsidTr="002D6DD7">
        <w:trPr>
          <w:trHeight w:val="426"/>
          <w:jc w:val="center"/>
        </w:trPr>
        <w:tc>
          <w:tcPr>
            <w:tcW w:w="2605" w:type="dxa"/>
          </w:tcPr>
          <w:p w14:paraId="3FC6FDD2"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Indications</w:t>
            </w:r>
          </w:p>
        </w:tc>
        <w:tc>
          <w:tcPr>
            <w:tcW w:w="6714" w:type="dxa"/>
          </w:tcPr>
          <w:p w14:paraId="50044817"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 xml:space="preserve">Mild pruritus </w:t>
            </w:r>
            <w:r w:rsidRPr="0024114A">
              <w:rPr>
                <w:rFonts w:eastAsia="Candara-Italic" w:cs="Times New Roman"/>
                <w:color w:val="000000" w:themeColor="text1"/>
                <w:szCs w:val="24"/>
                <w:lang w:val="en-US"/>
              </w:rPr>
              <w:t>caused by sunburn and other minor skin conditions</w:t>
            </w:r>
          </w:p>
        </w:tc>
      </w:tr>
      <w:tr w:rsidR="002F635D" w:rsidRPr="0024114A" w14:paraId="0B3C2560" w14:textId="77777777" w:rsidTr="002D6DD7">
        <w:trPr>
          <w:trHeight w:val="1234"/>
          <w:jc w:val="center"/>
        </w:trPr>
        <w:tc>
          <w:tcPr>
            <w:tcW w:w="2605" w:type="dxa"/>
          </w:tcPr>
          <w:p w14:paraId="1102E5DF" w14:textId="77777777" w:rsidR="002F635D" w:rsidRPr="0024114A" w:rsidRDefault="002F635D" w:rsidP="002D6DD7">
            <w:pPr>
              <w:jc w:val="both"/>
              <w:rPr>
                <w:rFonts w:cs="Times New Roman"/>
                <w:color w:val="000000" w:themeColor="text1"/>
                <w:szCs w:val="24"/>
                <w:lang w:val="en-US"/>
              </w:rPr>
            </w:pPr>
            <w:r w:rsidRPr="0024114A">
              <w:rPr>
                <w:rFonts w:eastAsia="Times New Roman" w:cs="Times New Roman"/>
                <w:color w:val="000000" w:themeColor="text1"/>
                <w:szCs w:val="24"/>
                <w:lang w:val="en-US"/>
              </w:rPr>
              <w:t>Dose and Administration</w:t>
            </w:r>
          </w:p>
        </w:tc>
        <w:tc>
          <w:tcPr>
            <w:tcW w:w="6714" w:type="dxa"/>
          </w:tcPr>
          <w:p w14:paraId="37395E53"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Adult: </w:t>
            </w:r>
            <w:r w:rsidRPr="0024114A">
              <w:rPr>
                <w:rFonts w:cs="Times New Roman"/>
                <w:color w:val="000000" w:themeColor="text1"/>
                <w:szCs w:val="24"/>
                <w:lang w:val="en-US"/>
              </w:rPr>
              <w:t>Apply liberally to the entire affected area 3–4 times daily with a pad of cotton wool.</w:t>
            </w:r>
          </w:p>
          <w:p w14:paraId="2EE4667A"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b/>
                <w:bCs/>
                <w:color w:val="000000" w:themeColor="text1"/>
                <w:szCs w:val="24"/>
                <w:lang w:val="en-US"/>
              </w:rPr>
              <w:t xml:space="preserve">Pediatric: </w:t>
            </w:r>
            <w:r w:rsidRPr="0024114A">
              <w:rPr>
                <w:rFonts w:cs="Times New Roman"/>
                <w:color w:val="000000" w:themeColor="text1"/>
                <w:szCs w:val="24"/>
                <w:lang w:val="en-US"/>
              </w:rPr>
              <w:t>Apply liberally 3–4 times daily with a pad of cotton wool.</w:t>
            </w:r>
          </w:p>
        </w:tc>
      </w:tr>
      <w:tr w:rsidR="002F635D" w:rsidRPr="0024114A" w14:paraId="56D81734" w14:textId="77777777" w:rsidTr="002D6DD7">
        <w:trPr>
          <w:trHeight w:val="369"/>
          <w:jc w:val="center"/>
        </w:trPr>
        <w:tc>
          <w:tcPr>
            <w:tcW w:w="2605" w:type="dxa"/>
          </w:tcPr>
          <w:p w14:paraId="1D72793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Contraindications</w:t>
            </w:r>
          </w:p>
        </w:tc>
        <w:tc>
          <w:tcPr>
            <w:tcW w:w="6714" w:type="dxa"/>
          </w:tcPr>
          <w:p w14:paraId="4BA011CF"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Hypersensitivity to the drug.</w:t>
            </w:r>
          </w:p>
        </w:tc>
      </w:tr>
      <w:tr w:rsidR="002F635D" w:rsidRPr="0024114A" w14:paraId="2175F603" w14:textId="77777777" w:rsidTr="002D6DD7">
        <w:trPr>
          <w:trHeight w:val="386"/>
          <w:jc w:val="center"/>
        </w:trPr>
        <w:tc>
          <w:tcPr>
            <w:tcW w:w="2605" w:type="dxa"/>
          </w:tcPr>
          <w:p w14:paraId="3AFEFA09"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Drug interactions</w:t>
            </w:r>
          </w:p>
        </w:tc>
        <w:tc>
          <w:tcPr>
            <w:tcW w:w="6714" w:type="dxa"/>
          </w:tcPr>
          <w:p w14:paraId="62CB046F"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There are no known significant drug interactions.</w:t>
            </w:r>
          </w:p>
        </w:tc>
      </w:tr>
      <w:tr w:rsidR="002F635D" w:rsidRPr="0024114A" w14:paraId="0CFA2C3D" w14:textId="77777777" w:rsidTr="002D6DD7">
        <w:trPr>
          <w:trHeight w:val="426"/>
          <w:jc w:val="center"/>
        </w:trPr>
        <w:tc>
          <w:tcPr>
            <w:tcW w:w="2605" w:type="dxa"/>
          </w:tcPr>
          <w:p w14:paraId="456B82D8"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Side effects</w:t>
            </w:r>
          </w:p>
        </w:tc>
        <w:tc>
          <w:tcPr>
            <w:tcW w:w="6714" w:type="dxa"/>
          </w:tcPr>
          <w:p w14:paraId="48876352"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Occasional hypersensitivity or irritantion reactions</w:t>
            </w:r>
          </w:p>
        </w:tc>
      </w:tr>
      <w:tr w:rsidR="002F635D" w:rsidRPr="0024114A" w14:paraId="019E2866" w14:textId="77777777" w:rsidTr="002D6DD7">
        <w:trPr>
          <w:trHeight w:val="426"/>
          <w:jc w:val="center"/>
        </w:trPr>
        <w:tc>
          <w:tcPr>
            <w:tcW w:w="2605" w:type="dxa"/>
          </w:tcPr>
          <w:p w14:paraId="747FE5C4"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 xml:space="preserve">Cautions </w:t>
            </w:r>
          </w:p>
        </w:tc>
        <w:tc>
          <w:tcPr>
            <w:tcW w:w="6714" w:type="dxa"/>
          </w:tcPr>
          <w:p w14:paraId="699E8696" w14:textId="77777777" w:rsidR="002F635D" w:rsidRPr="0024114A" w:rsidRDefault="002F635D" w:rsidP="002D6DD7">
            <w:pPr>
              <w:autoSpaceDE w:val="0"/>
              <w:autoSpaceDN w:val="0"/>
              <w:adjustRightInd w:val="0"/>
              <w:jc w:val="both"/>
              <w:rPr>
                <w:rFonts w:cs="Times New Roman"/>
                <w:color w:val="000000" w:themeColor="text1"/>
                <w:szCs w:val="24"/>
                <w:lang w:val="en-US"/>
              </w:rPr>
            </w:pPr>
            <w:r w:rsidRPr="0024114A">
              <w:rPr>
                <w:rFonts w:cs="Times New Roman"/>
                <w:color w:val="000000" w:themeColor="text1"/>
                <w:szCs w:val="24"/>
                <w:lang w:val="en-US"/>
              </w:rPr>
              <w:t>Contact with eyes, use on open wounds or burns.</w:t>
            </w:r>
          </w:p>
        </w:tc>
      </w:tr>
      <w:tr w:rsidR="002F635D" w:rsidRPr="0024114A" w14:paraId="4393E1C4" w14:textId="77777777" w:rsidTr="002D6DD7">
        <w:trPr>
          <w:trHeight w:val="436"/>
          <w:jc w:val="center"/>
        </w:trPr>
        <w:tc>
          <w:tcPr>
            <w:tcW w:w="2605" w:type="dxa"/>
          </w:tcPr>
          <w:p w14:paraId="2B8086DB"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Storage condition</w:t>
            </w:r>
          </w:p>
        </w:tc>
        <w:tc>
          <w:tcPr>
            <w:tcW w:w="6714" w:type="dxa"/>
          </w:tcPr>
          <w:p w14:paraId="7CC24311" w14:textId="77777777" w:rsidR="002F635D" w:rsidRPr="0024114A" w:rsidRDefault="002F635D" w:rsidP="002D6DD7">
            <w:pPr>
              <w:jc w:val="both"/>
              <w:rPr>
                <w:rFonts w:cs="Times New Roman"/>
                <w:color w:val="000000" w:themeColor="text1"/>
                <w:szCs w:val="24"/>
                <w:lang w:val="en-US"/>
              </w:rPr>
            </w:pPr>
            <w:r w:rsidRPr="0024114A">
              <w:rPr>
                <w:rFonts w:cs="Times New Roman"/>
                <w:color w:val="000000" w:themeColor="text1"/>
                <w:szCs w:val="24"/>
                <w:lang w:val="en-US"/>
              </w:rPr>
              <w:t>Store below 30</w:t>
            </w:r>
            <w:r w:rsidRPr="0024114A">
              <w:rPr>
                <w:rFonts w:cs="Times New Roman"/>
                <w:color w:val="000000" w:themeColor="text1"/>
                <w:szCs w:val="24"/>
                <w:vertAlign w:val="superscript"/>
                <w:lang w:val="en-US"/>
              </w:rPr>
              <w:t>o</w:t>
            </w:r>
            <w:r w:rsidRPr="0024114A">
              <w:rPr>
                <w:rFonts w:cs="Times New Roman"/>
                <w:color w:val="000000" w:themeColor="text1"/>
                <w:szCs w:val="24"/>
                <w:lang w:val="en-US"/>
              </w:rPr>
              <w:t>C.</w:t>
            </w:r>
          </w:p>
        </w:tc>
      </w:tr>
    </w:tbl>
    <w:p w14:paraId="1B4904BB" w14:textId="77777777" w:rsidR="003D3F76" w:rsidRPr="00787D79" w:rsidRDefault="003D3F76" w:rsidP="00787D79">
      <w:pPr>
        <w:pStyle w:val="Heading2"/>
        <w:spacing w:before="240" w:after="240"/>
      </w:pPr>
      <w:bookmarkStart w:id="214" w:name="_Toc179490408"/>
      <w:r w:rsidRPr="00787D79">
        <w:t xml:space="preserve">Antiseptics and </w:t>
      </w:r>
      <w:r w:rsidR="00787D79">
        <w:t>d</w:t>
      </w:r>
      <w:r w:rsidRPr="00787D79">
        <w:t>isinfectants</w:t>
      </w:r>
      <w:bookmarkEnd w:id="214"/>
      <w:r w:rsidRPr="00787D79">
        <w:t xml:space="preserve">   </w:t>
      </w:r>
    </w:p>
    <w:p w14:paraId="5B473C52" w14:textId="77777777" w:rsidR="003D3F76" w:rsidRPr="00944B15" w:rsidRDefault="003D3F76" w:rsidP="003D3F76">
      <w:pPr>
        <w:spacing w:after="0"/>
        <w:jc w:val="both"/>
        <w:rPr>
          <w:rFonts w:eastAsia="Times New Roman" w:cs="Times New Roman"/>
          <w:color w:val="000000"/>
          <w:szCs w:val="24"/>
        </w:rPr>
      </w:pPr>
      <w:r w:rsidRPr="00944B15">
        <w:rPr>
          <w:rFonts w:eastAsia="Times New Roman" w:cs="Times New Roman"/>
          <w:color w:val="000000"/>
          <w:szCs w:val="24"/>
        </w:rPr>
        <w:t xml:space="preserve">Antiseptics and disinfectants are chemical agents used to prevent infections by eliminating or inhibiting the growth of microorganisms. These agents play a vital role in healthcare, household, an industrial setting to control the spread of infections and maintain cleanliness. </w:t>
      </w:r>
    </w:p>
    <w:p w14:paraId="56E1ED14" w14:textId="77777777" w:rsidR="003D3F76" w:rsidRPr="00944B15" w:rsidRDefault="003D3F76" w:rsidP="003D3F76">
      <w:pPr>
        <w:spacing w:before="240" w:after="0"/>
        <w:jc w:val="both"/>
        <w:rPr>
          <w:rFonts w:eastAsia="Times New Roman" w:cs="Times New Roman"/>
          <w:color w:val="000000"/>
          <w:szCs w:val="24"/>
        </w:rPr>
      </w:pPr>
      <w:r w:rsidRPr="00944B15">
        <w:rPr>
          <w:rFonts w:eastAsia="Times New Roman" w:cs="Times New Roman"/>
          <w:color w:val="000000"/>
          <w:szCs w:val="24"/>
        </w:rPr>
        <w:t>Antiseptics are applied to living tissues, such as ski</w:t>
      </w:r>
      <w:r>
        <w:rPr>
          <w:rFonts w:eastAsia="Times New Roman" w:cs="Times New Roman"/>
          <w:color w:val="000000"/>
          <w:szCs w:val="24"/>
        </w:rPr>
        <w:t>n, wounds, and mucous membranes</w:t>
      </w:r>
      <w:r w:rsidRPr="00944B15">
        <w:rPr>
          <w:rFonts w:eastAsia="Times New Roman" w:cs="Times New Roman"/>
          <w:color w:val="000000"/>
          <w:szCs w:val="24"/>
        </w:rPr>
        <w:t xml:space="preserve"> for disinfection and treatment. Examples of commonly used antiseptics include ethyl alcohol, </w:t>
      </w:r>
      <w:r w:rsidRPr="00944B15">
        <w:rPr>
          <w:rFonts w:eastAsia="Times New Roman" w:cs="Times New Roman"/>
          <w:color w:val="000000"/>
          <w:szCs w:val="24"/>
        </w:rPr>
        <w:lastRenderedPageBreak/>
        <w:t>chlorhexidine, iodine, povidone-iodine, and gentian violet. Disinfectants, on the other hand, are used on inanimate surfaces and medical equipment to ensure sterilization and hygiene. They include alcohol-based hand rubs (ethanol 80%, isopropyl alcohol 75%), chlorine-based compounds (0.1% chlorine), chloroxylenol, and glutaral.</w:t>
      </w:r>
    </w:p>
    <w:p w14:paraId="3451098F" w14:textId="77777777" w:rsidR="003D3F76" w:rsidRPr="00787D79" w:rsidRDefault="003D3F76" w:rsidP="00787D79">
      <w:pPr>
        <w:rPr>
          <w:b/>
        </w:rPr>
      </w:pPr>
      <w:r w:rsidRPr="00787D79">
        <w:rPr>
          <w:b/>
        </w:rPr>
        <w:t>Antiseptics</w:t>
      </w:r>
    </w:p>
    <w:tbl>
      <w:tblPr>
        <w:tblStyle w:val="TableGrid"/>
        <w:tblW w:w="0" w:type="auto"/>
        <w:jc w:val="center"/>
        <w:tblLook w:val="04A0" w:firstRow="1" w:lastRow="0" w:firstColumn="1" w:lastColumn="0" w:noHBand="0" w:noVBand="1"/>
      </w:tblPr>
      <w:tblGrid>
        <w:gridCol w:w="2605"/>
        <w:gridCol w:w="6745"/>
      </w:tblGrid>
      <w:tr w:rsidR="003D3F76" w:rsidRPr="00944B15" w14:paraId="295D0ADA" w14:textId="77777777" w:rsidTr="002D6DD7">
        <w:trPr>
          <w:jc w:val="center"/>
        </w:trPr>
        <w:tc>
          <w:tcPr>
            <w:tcW w:w="9350" w:type="dxa"/>
            <w:gridSpan w:val="2"/>
          </w:tcPr>
          <w:p w14:paraId="23E87F01"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 xml:space="preserve">Chlorhexidine </w:t>
            </w:r>
          </w:p>
        </w:tc>
      </w:tr>
      <w:tr w:rsidR="003D3F76" w:rsidRPr="00944B15" w14:paraId="2C79B9B8" w14:textId="77777777" w:rsidTr="002D6DD7">
        <w:trPr>
          <w:trHeight w:val="46"/>
          <w:jc w:val="center"/>
        </w:trPr>
        <w:tc>
          <w:tcPr>
            <w:tcW w:w="2605" w:type="dxa"/>
          </w:tcPr>
          <w:p w14:paraId="71761D9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5B5A263C"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Antiseptic</w:t>
            </w:r>
          </w:p>
        </w:tc>
      </w:tr>
      <w:tr w:rsidR="003D3F76" w:rsidRPr="00944B15" w14:paraId="5B31C620" w14:textId="77777777" w:rsidTr="002D6DD7">
        <w:trPr>
          <w:jc w:val="center"/>
        </w:trPr>
        <w:tc>
          <w:tcPr>
            <w:tcW w:w="2605" w:type="dxa"/>
          </w:tcPr>
          <w:p w14:paraId="54D68D3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45F4CB8D"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or gel: 7.1% (digluconate) delivering 4% chlorhexidine (for umbilical cord care)</w:t>
            </w:r>
          </w:p>
        </w:tc>
      </w:tr>
      <w:tr w:rsidR="003D3F76" w:rsidRPr="00944B15" w14:paraId="25B0CE8F" w14:textId="77777777" w:rsidTr="002D6DD7">
        <w:trPr>
          <w:jc w:val="center"/>
        </w:trPr>
        <w:tc>
          <w:tcPr>
            <w:tcW w:w="2605" w:type="dxa"/>
          </w:tcPr>
          <w:p w14:paraId="1F8A94A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22760BD6" w14:textId="77777777" w:rsidR="003D3F76" w:rsidRPr="00944B15" w:rsidRDefault="003D3F76"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 xml:space="preserve">For skin disinfection, for cleansing and disinfecting wounds and swabbing in obstetrics, umbilical cord care in newborns. </w:t>
            </w:r>
          </w:p>
        </w:tc>
      </w:tr>
      <w:tr w:rsidR="003D3F76" w:rsidRPr="00944B15" w14:paraId="4D380CAD" w14:textId="77777777" w:rsidTr="002D6DD7">
        <w:trPr>
          <w:trHeight w:val="782"/>
          <w:jc w:val="center"/>
        </w:trPr>
        <w:tc>
          <w:tcPr>
            <w:tcW w:w="2605" w:type="dxa"/>
          </w:tcPr>
          <w:p w14:paraId="0AF1182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745" w:type="dxa"/>
          </w:tcPr>
          <w:p w14:paraId="5E3909C1" w14:textId="77777777" w:rsidR="003D3F76" w:rsidRPr="00944B15" w:rsidRDefault="003D3F76"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Apply the solution or gel to the area and allow it to air dry. Apply the gel to the umbilical cord stump once daily or as directed by a healthcare professional</w:t>
            </w:r>
          </w:p>
        </w:tc>
      </w:tr>
      <w:tr w:rsidR="003D3F76" w:rsidRPr="00944B15" w14:paraId="63CB4707" w14:textId="77777777" w:rsidTr="002D6DD7">
        <w:trPr>
          <w:jc w:val="center"/>
        </w:trPr>
        <w:tc>
          <w:tcPr>
            <w:tcW w:w="2605" w:type="dxa"/>
          </w:tcPr>
          <w:p w14:paraId="7A4B215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2F4ACDF0"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 xml:space="preserve">the drug, </w:t>
            </w:r>
            <w:r w:rsidRPr="00944B15">
              <w:rPr>
                <w:rFonts w:eastAsia="Times New Roman" w:cs="Times New Roman"/>
                <w:color w:val="000000"/>
                <w:szCs w:val="24"/>
              </w:rPr>
              <w:t>use in body cavities (such as eyes,</w:t>
            </w:r>
            <w:r>
              <w:rPr>
                <w:rFonts w:eastAsia="Times New Roman" w:cs="Times New Roman"/>
                <w:color w:val="000000"/>
                <w:szCs w:val="24"/>
              </w:rPr>
              <w:t xml:space="preserve"> ears).</w:t>
            </w:r>
            <w:r w:rsidRPr="00944B15">
              <w:rPr>
                <w:rFonts w:eastAsia="Times New Roman" w:cs="Times New Roman"/>
                <w:color w:val="000000"/>
                <w:szCs w:val="24"/>
              </w:rPr>
              <w:t xml:space="preserve"> </w:t>
            </w:r>
          </w:p>
        </w:tc>
      </w:tr>
      <w:tr w:rsidR="003D3F76" w:rsidRPr="00944B15" w14:paraId="6ED39DA0" w14:textId="77777777" w:rsidTr="002D6DD7">
        <w:trPr>
          <w:jc w:val="center"/>
        </w:trPr>
        <w:tc>
          <w:tcPr>
            <w:tcW w:w="2605" w:type="dxa"/>
          </w:tcPr>
          <w:p w14:paraId="0870C56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69514BBE"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S</w:t>
            </w:r>
            <w:r w:rsidRPr="00944B15">
              <w:rPr>
                <w:rFonts w:eastAsia="Times New Roman" w:cs="Times New Roman"/>
                <w:color w:val="000000"/>
                <w:szCs w:val="24"/>
              </w:rPr>
              <w:t>oaps and anionic compounds</w:t>
            </w:r>
          </w:p>
        </w:tc>
      </w:tr>
      <w:tr w:rsidR="003D3F76" w:rsidRPr="00944B15" w14:paraId="653ACC9F" w14:textId="77777777" w:rsidTr="002D6DD7">
        <w:trPr>
          <w:jc w:val="center"/>
        </w:trPr>
        <w:tc>
          <w:tcPr>
            <w:tcW w:w="2605" w:type="dxa"/>
          </w:tcPr>
          <w:p w14:paraId="4752E8A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52B42D4D"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Skin reaction</w:t>
            </w:r>
            <w:r>
              <w:rPr>
                <w:rFonts w:eastAsia="Times New Roman" w:cs="Times New Roman"/>
                <w:color w:val="000000"/>
                <w:szCs w:val="24"/>
              </w:rPr>
              <w:t>s, rash, or contact dermatitis, anaphylaxis, d</w:t>
            </w:r>
            <w:r w:rsidRPr="00944B15">
              <w:rPr>
                <w:rFonts w:eastAsia="Times New Roman" w:cs="Times New Roman"/>
                <w:color w:val="000000"/>
                <w:szCs w:val="24"/>
              </w:rPr>
              <w:t>ryness or itchiness of the skin, staining o</w:t>
            </w:r>
            <w:r>
              <w:rPr>
                <w:rFonts w:eastAsia="Times New Roman" w:cs="Times New Roman"/>
                <w:color w:val="000000"/>
                <w:szCs w:val="24"/>
              </w:rPr>
              <w:t>f teeth and other oral surfaces.</w:t>
            </w:r>
          </w:p>
        </w:tc>
      </w:tr>
      <w:tr w:rsidR="003D3F76" w:rsidRPr="00944B15" w14:paraId="4B2B8672" w14:textId="77777777" w:rsidTr="002D6DD7">
        <w:trPr>
          <w:jc w:val="center"/>
        </w:trPr>
        <w:tc>
          <w:tcPr>
            <w:tcW w:w="2605" w:type="dxa"/>
          </w:tcPr>
          <w:p w14:paraId="1BC8CDF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0191A31F" w14:textId="77777777" w:rsidR="003D3F76" w:rsidRPr="00944B15" w:rsidRDefault="003D3F76" w:rsidP="002D6DD7">
            <w:pPr>
              <w:autoSpaceDE w:val="0"/>
              <w:autoSpaceDN w:val="0"/>
              <w:adjustRightInd w:val="0"/>
              <w:jc w:val="both"/>
              <w:rPr>
                <w:rFonts w:eastAsia="Times New Roman" w:cs="Times New Roman"/>
                <w:color w:val="000000"/>
                <w:szCs w:val="24"/>
              </w:rPr>
            </w:pPr>
            <w:r>
              <w:rPr>
                <w:rFonts w:eastAsia="Times New Roman" w:cs="Times New Roman"/>
                <w:color w:val="000000"/>
                <w:szCs w:val="24"/>
              </w:rPr>
              <w:t>C</w:t>
            </w:r>
            <w:r w:rsidRPr="00944B15">
              <w:rPr>
                <w:rFonts w:eastAsia="Times New Roman" w:cs="Times New Roman"/>
                <w:color w:val="000000"/>
                <w:szCs w:val="24"/>
              </w:rPr>
              <w:t xml:space="preserve">ontact </w:t>
            </w:r>
            <w:r>
              <w:rPr>
                <w:rFonts w:eastAsia="Times New Roman" w:cs="Times New Roman"/>
                <w:color w:val="000000"/>
                <w:szCs w:val="24"/>
              </w:rPr>
              <w:t xml:space="preserve">with eyes and mucous membranes, </w:t>
            </w:r>
            <w:r w:rsidRPr="00944B15">
              <w:rPr>
                <w:rFonts w:eastAsia="Times New Roman" w:cs="Times New Roman"/>
                <w:color w:val="000000"/>
                <w:szCs w:val="24"/>
              </w:rPr>
              <w:t>use on deep wounds, puncture wounds, or seriou</w:t>
            </w:r>
            <w:r>
              <w:rPr>
                <w:rFonts w:eastAsia="Times New Roman" w:cs="Times New Roman"/>
                <w:color w:val="000000"/>
                <w:szCs w:val="24"/>
              </w:rPr>
              <w:t xml:space="preserve">s burns, </w:t>
            </w:r>
            <w:r w:rsidRPr="00944B15">
              <w:rPr>
                <w:rFonts w:eastAsia="Times New Roman" w:cs="Times New Roman"/>
                <w:color w:val="000000"/>
                <w:szCs w:val="24"/>
              </w:rPr>
              <w:t>premature inf</w:t>
            </w:r>
            <w:r>
              <w:rPr>
                <w:rFonts w:eastAsia="Times New Roman" w:cs="Times New Roman"/>
                <w:color w:val="000000"/>
                <w:szCs w:val="24"/>
              </w:rPr>
              <w:t xml:space="preserve">ants or on very sensitive skin, </w:t>
            </w:r>
            <w:r w:rsidRPr="00944B15">
              <w:rPr>
                <w:rFonts w:eastAsia="Times New Roman" w:cs="Times New Roman"/>
                <w:color w:val="000000"/>
                <w:szCs w:val="24"/>
              </w:rPr>
              <w:t>staining of fabrics and surfaces.</w:t>
            </w:r>
          </w:p>
        </w:tc>
      </w:tr>
      <w:tr w:rsidR="003D3F76" w:rsidRPr="00944B15" w14:paraId="13DAA55D" w14:textId="77777777" w:rsidTr="002D6DD7">
        <w:trPr>
          <w:jc w:val="center"/>
        </w:trPr>
        <w:tc>
          <w:tcPr>
            <w:tcW w:w="2605" w:type="dxa"/>
          </w:tcPr>
          <w:p w14:paraId="5FD1A75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090EB24B" w14:textId="77777777" w:rsidR="003D3F76" w:rsidRPr="00944B15" w:rsidRDefault="003D3F76" w:rsidP="002D6DD7">
            <w:pPr>
              <w:jc w:val="both"/>
              <w:rPr>
                <w:rFonts w:eastAsia="Times New Roman" w:cs="Times New Roman"/>
                <w:color w:val="000000"/>
                <w:szCs w:val="24"/>
              </w:rPr>
            </w:pPr>
            <w:r>
              <w:rPr>
                <w:rFonts w:cs="Times New Roman"/>
                <w:szCs w:val="24"/>
              </w:rPr>
              <w:t>Store below 30ºC. Protect from light and open flame.</w:t>
            </w:r>
          </w:p>
        </w:tc>
      </w:tr>
      <w:tr w:rsidR="003D3F76" w:rsidRPr="00944B15" w14:paraId="08C8599B" w14:textId="77777777" w:rsidTr="002D6DD7">
        <w:trPr>
          <w:jc w:val="center"/>
        </w:trPr>
        <w:tc>
          <w:tcPr>
            <w:tcW w:w="9350" w:type="dxa"/>
            <w:gridSpan w:val="2"/>
          </w:tcPr>
          <w:p w14:paraId="4606AA84"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 xml:space="preserve">Ethyl Alcohol </w:t>
            </w:r>
          </w:p>
        </w:tc>
      </w:tr>
      <w:tr w:rsidR="003D3F76" w:rsidRPr="00944B15" w14:paraId="13D42AFE" w14:textId="77777777" w:rsidTr="002D6DD7">
        <w:trPr>
          <w:trHeight w:val="46"/>
          <w:jc w:val="center"/>
        </w:trPr>
        <w:tc>
          <w:tcPr>
            <w:tcW w:w="2605" w:type="dxa"/>
          </w:tcPr>
          <w:p w14:paraId="0922460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02E4852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Antiseptic </w:t>
            </w:r>
          </w:p>
        </w:tc>
      </w:tr>
      <w:tr w:rsidR="003D3F76" w:rsidRPr="00944B15" w14:paraId="155D1A5D" w14:textId="77777777" w:rsidTr="002D6DD7">
        <w:trPr>
          <w:jc w:val="center"/>
        </w:trPr>
        <w:tc>
          <w:tcPr>
            <w:tcW w:w="2605" w:type="dxa"/>
          </w:tcPr>
          <w:p w14:paraId="4D820A3F"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10CFF7AB"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70 %</w:t>
            </w:r>
          </w:p>
        </w:tc>
      </w:tr>
      <w:tr w:rsidR="003D3F76" w:rsidRPr="00944B15" w14:paraId="2E4E3C6D" w14:textId="77777777" w:rsidTr="002D6DD7">
        <w:trPr>
          <w:jc w:val="center"/>
        </w:trPr>
        <w:tc>
          <w:tcPr>
            <w:tcW w:w="2605" w:type="dxa"/>
          </w:tcPr>
          <w:p w14:paraId="2FC920F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5201E8D6"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For disinfection of the skin in preparation for injections</w:t>
            </w:r>
            <w:r w:rsidRPr="00944B15">
              <w:rPr>
                <w:rFonts w:cs="Times New Roman"/>
                <w:szCs w:val="24"/>
              </w:rPr>
              <w:t xml:space="preserve"> </w:t>
            </w:r>
            <w:r w:rsidRPr="00944B15">
              <w:rPr>
                <w:rFonts w:eastAsia="Times New Roman" w:cs="Times New Roman"/>
                <w:color w:val="000000"/>
                <w:szCs w:val="24"/>
              </w:rPr>
              <w:t xml:space="preserve">or surgical procedures  </w:t>
            </w:r>
          </w:p>
        </w:tc>
      </w:tr>
      <w:tr w:rsidR="003D3F76" w:rsidRPr="00944B15" w14:paraId="5AFC9D6F" w14:textId="77777777" w:rsidTr="002D6DD7">
        <w:trPr>
          <w:trHeight w:val="46"/>
          <w:jc w:val="center"/>
        </w:trPr>
        <w:tc>
          <w:tcPr>
            <w:tcW w:w="2605" w:type="dxa"/>
          </w:tcPr>
          <w:p w14:paraId="0A70DD8B"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26EFDCF6" w14:textId="77777777" w:rsidR="003D3F76" w:rsidRPr="00944B15" w:rsidRDefault="003D3F76"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Topical, apply to the skin</w:t>
            </w:r>
          </w:p>
        </w:tc>
      </w:tr>
      <w:tr w:rsidR="003D3F76" w:rsidRPr="00944B15" w14:paraId="7F58B405" w14:textId="77777777" w:rsidTr="002D6DD7">
        <w:trPr>
          <w:jc w:val="center"/>
        </w:trPr>
        <w:tc>
          <w:tcPr>
            <w:tcW w:w="2605" w:type="dxa"/>
          </w:tcPr>
          <w:p w14:paraId="2830A3E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6D0BF8E7" w14:textId="77777777" w:rsidR="003D3F76" w:rsidRPr="00944B15" w:rsidRDefault="003D3F76" w:rsidP="002D6DD7">
            <w:pPr>
              <w:autoSpaceDE w:val="0"/>
              <w:autoSpaceDN w:val="0"/>
              <w:adjustRightInd w:val="0"/>
              <w:jc w:val="both"/>
              <w:rPr>
                <w:rFonts w:eastAsia="Times New Roman" w:cs="Times New Roman"/>
                <w:color w:val="000000"/>
                <w:szCs w:val="24"/>
              </w:rPr>
            </w:pPr>
            <w:r w:rsidRPr="009D62EB">
              <w:rPr>
                <w:rFonts w:eastAsia="Times New Roman" w:cs="Times New Roman"/>
                <w:color w:val="000000"/>
                <w:szCs w:val="24"/>
              </w:rPr>
              <w:t>Hypersensitivity</w:t>
            </w:r>
            <w:r>
              <w:rPr>
                <w:rFonts w:eastAsia="Times New Roman" w:cs="Times New Roman"/>
                <w:color w:val="000000"/>
                <w:szCs w:val="24"/>
              </w:rPr>
              <w:t xml:space="preserve"> to the drug</w:t>
            </w:r>
          </w:p>
        </w:tc>
      </w:tr>
      <w:tr w:rsidR="003D3F76" w:rsidRPr="00944B15" w14:paraId="42AE864A" w14:textId="77777777" w:rsidTr="002D6DD7">
        <w:trPr>
          <w:jc w:val="center"/>
        </w:trPr>
        <w:tc>
          <w:tcPr>
            <w:tcW w:w="2605" w:type="dxa"/>
          </w:tcPr>
          <w:p w14:paraId="08FF18A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3D60B939"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Potential additive irritant effects when used with other skin </w:t>
            </w:r>
            <w:r w:rsidRPr="00944B15">
              <w:rPr>
                <w:rFonts w:eastAsia="Times New Roman" w:cs="Times New Roman"/>
                <w:color w:val="000000"/>
                <w:szCs w:val="24"/>
              </w:rPr>
              <w:lastRenderedPageBreak/>
              <w:t xml:space="preserve">antiseptics </w:t>
            </w:r>
          </w:p>
        </w:tc>
      </w:tr>
      <w:tr w:rsidR="003D3F76" w:rsidRPr="00944B15" w14:paraId="5A531739" w14:textId="77777777" w:rsidTr="002D6DD7">
        <w:trPr>
          <w:jc w:val="center"/>
        </w:trPr>
        <w:tc>
          <w:tcPr>
            <w:tcW w:w="2605" w:type="dxa"/>
          </w:tcPr>
          <w:p w14:paraId="3C62A2C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tcPr>
          <w:p w14:paraId="2F0B29E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Skin irritation, dryness, or dermatitis with prolonged use, Burning sensation upon application to sensitive or broken skin, Allergic reactions in susceptible individuals</w:t>
            </w:r>
          </w:p>
        </w:tc>
      </w:tr>
      <w:tr w:rsidR="003D3F76" w:rsidRPr="00944B15" w14:paraId="5188DF39" w14:textId="77777777" w:rsidTr="002D6DD7">
        <w:trPr>
          <w:jc w:val="center"/>
        </w:trPr>
        <w:tc>
          <w:tcPr>
            <w:tcW w:w="2605" w:type="dxa"/>
          </w:tcPr>
          <w:p w14:paraId="40AEC82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0C41C0AA"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B</w:t>
            </w:r>
            <w:r w:rsidRPr="00944B15">
              <w:rPr>
                <w:rFonts w:eastAsia="Times New Roman" w:cs="Times New Roman"/>
                <w:color w:val="000000"/>
                <w:szCs w:val="24"/>
              </w:rPr>
              <w:t>roken skin (open wounds), neonates, use in or around the eyes</w:t>
            </w:r>
          </w:p>
        </w:tc>
      </w:tr>
      <w:tr w:rsidR="003D3F76" w:rsidRPr="00944B15" w14:paraId="56E627DB" w14:textId="77777777" w:rsidTr="002D6DD7">
        <w:trPr>
          <w:jc w:val="center"/>
        </w:trPr>
        <w:tc>
          <w:tcPr>
            <w:tcW w:w="2605" w:type="dxa"/>
          </w:tcPr>
          <w:p w14:paraId="0AE860A8"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0FD0C36F" w14:textId="77777777" w:rsidR="003D3F76" w:rsidRPr="00944B15" w:rsidRDefault="003D3F76" w:rsidP="002D6DD7">
            <w:pPr>
              <w:jc w:val="both"/>
              <w:rPr>
                <w:rFonts w:eastAsia="Times New Roman" w:cs="Times New Roman"/>
                <w:color w:val="000000"/>
                <w:szCs w:val="24"/>
              </w:rPr>
            </w:pPr>
            <w:r>
              <w:rPr>
                <w:rFonts w:cs="Times New Roman"/>
                <w:szCs w:val="24"/>
              </w:rPr>
              <w:t>Store below 30ºC. Protect from light and open flame.</w:t>
            </w:r>
          </w:p>
        </w:tc>
      </w:tr>
      <w:tr w:rsidR="003D3F76" w:rsidRPr="00944B15" w14:paraId="7F6CC60B" w14:textId="77777777" w:rsidTr="002D6DD7">
        <w:trPr>
          <w:jc w:val="center"/>
        </w:trPr>
        <w:tc>
          <w:tcPr>
            <w:tcW w:w="9350" w:type="dxa"/>
            <w:gridSpan w:val="2"/>
          </w:tcPr>
          <w:p w14:paraId="5693CEAE"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Gentian Violet</w:t>
            </w:r>
          </w:p>
        </w:tc>
      </w:tr>
      <w:tr w:rsidR="003D3F76" w:rsidRPr="00944B15" w14:paraId="2F587AB5" w14:textId="77777777" w:rsidTr="002D6DD7">
        <w:trPr>
          <w:trHeight w:val="50"/>
          <w:jc w:val="center"/>
        </w:trPr>
        <w:tc>
          <w:tcPr>
            <w:tcW w:w="2605" w:type="dxa"/>
          </w:tcPr>
          <w:p w14:paraId="0AF6963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30EDD6D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Antiseptic</w:t>
            </w:r>
          </w:p>
        </w:tc>
      </w:tr>
      <w:tr w:rsidR="003D3F76" w:rsidRPr="00944B15" w14:paraId="762D596E" w14:textId="77777777" w:rsidTr="002D6DD7">
        <w:trPr>
          <w:jc w:val="center"/>
        </w:trPr>
        <w:tc>
          <w:tcPr>
            <w:tcW w:w="2605" w:type="dxa"/>
          </w:tcPr>
          <w:p w14:paraId="706841D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6AB328B3" w14:textId="77777777" w:rsidR="003D3F76" w:rsidRPr="00944B15" w:rsidRDefault="003D3F76" w:rsidP="002D6DD7">
            <w:pPr>
              <w:rPr>
                <w:rFonts w:eastAsia="Times New Roman" w:cs="Times New Roman"/>
                <w:color w:val="000000"/>
                <w:szCs w:val="24"/>
              </w:rPr>
            </w:pPr>
            <w:r w:rsidRPr="00944B15">
              <w:rPr>
                <w:rFonts w:eastAsia="Times New Roman" w:cs="Times New Roman"/>
                <w:iCs/>
                <w:szCs w:val="24"/>
              </w:rPr>
              <w:t>Solution, 1 %</w:t>
            </w:r>
          </w:p>
        </w:tc>
      </w:tr>
      <w:tr w:rsidR="003D3F76" w:rsidRPr="00944B15" w14:paraId="3AD556A1" w14:textId="77777777" w:rsidTr="002D6DD7">
        <w:trPr>
          <w:jc w:val="center"/>
        </w:trPr>
        <w:tc>
          <w:tcPr>
            <w:tcW w:w="2605" w:type="dxa"/>
          </w:tcPr>
          <w:p w14:paraId="44CCBB3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7D36CFF8" w14:textId="77777777" w:rsidR="003D3F76" w:rsidRPr="00944B15" w:rsidRDefault="003D3F76" w:rsidP="002D6DD7">
            <w:pPr>
              <w:autoSpaceDE w:val="0"/>
              <w:autoSpaceDN w:val="0"/>
              <w:adjustRightInd w:val="0"/>
              <w:jc w:val="both"/>
              <w:rPr>
                <w:rFonts w:eastAsia="Times New Roman" w:cs="Times New Roman"/>
                <w:szCs w:val="24"/>
              </w:rPr>
            </w:pPr>
            <w:r w:rsidRPr="00944B15">
              <w:rPr>
                <w:rFonts w:eastAsia="Times New Roman" w:cs="Times New Roman"/>
                <w:szCs w:val="24"/>
              </w:rPr>
              <w:t xml:space="preserve">Candida infections of the </w:t>
            </w:r>
            <w:r>
              <w:rPr>
                <w:rFonts w:eastAsia="Times New Roman" w:cs="Times New Roman"/>
                <w:szCs w:val="24"/>
              </w:rPr>
              <w:t>oral</w:t>
            </w:r>
            <w:r w:rsidRPr="00944B15">
              <w:rPr>
                <w:rFonts w:eastAsia="Times New Roman" w:cs="Times New Roman"/>
                <w:szCs w:val="24"/>
              </w:rPr>
              <w:t xml:space="preserve"> and throat (thrush); for minor cuts, scrapes, and burns to prevent infection.</w:t>
            </w:r>
          </w:p>
        </w:tc>
      </w:tr>
      <w:tr w:rsidR="003D3F76" w:rsidRPr="00944B15" w14:paraId="293CCE50" w14:textId="77777777" w:rsidTr="002D6DD7">
        <w:trPr>
          <w:trHeight w:val="350"/>
          <w:jc w:val="center"/>
        </w:trPr>
        <w:tc>
          <w:tcPr>
            <w:tcW w:w="2605" w:type="dxa"/>
          </w:tcPr>
          <w:p w14:paraId="256929F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4E7AD904" w14:textId="77777777" w:rsidR="003D3F76" w:rsidRDefault="003D3F76" w:rsidP="002D6DD7">
            <w:pPr>
              <w:autoSpaceDE w:val="0"/>
              <w:autoSpaceDN w:val="0"/>
              <w:adjustRightInd w:val="0"/>
              <w:jc w:val="both"/>
              <w:rPr>
                <w:rFonts w:eastAsia="Times New Roman" w:cs="Times New Roman"/>
                <w:szCs w:val="24"/>
              </w:rPr>
            </w:pPr>
            <w:r w:rsidRPr="008B65D6">
              <w:rPr>
                <w:rFonts w:eastAsia="Times New Roman" w:cs="Times New Roman"/>
                <w:b/>
                <w:szCs w:val="24"/>
              </w:rPr>
              <w:t>Adult and Child:</w:t>
            </w:r>
            <w:r w:rsidRPr="00944B15">
              <w:rPr>
                <w:rFonts w:eastAsia="Times New Roman" w:cs="Times New Roman"/>
                <w:szCs w:val="24"/>
              </w:rPr>
              <w:t xml:space="preserve"> apply every 8 – 12 hours daily for 3 years.</w:t>
            </w:r>
          </w:p>
          <w:p w14:paraId="59E45FD2" w14:textId="77777777" w:rsidR="003D3F76" w:rsidRPr="00944B15" w:rsidRDefault="003D3F76" w:rsidP="002D6DD7">
            <w:pPr>
              <w:autoSpaceDE w:val="0"/>
              <w:autoSpaceDN w:val="0"/>
              <w:adjustRightInd w:val="0"/>
              <w:jc w:val="both"/>
              <w:rPr>
                <w:rFonts w:eastAsia="Times New Roman" w:cs="Times New Roman"/>
                <w:szCs w:val="24"/>
              </w:rPr>
            </w:pPr>
            <w:r w:rsidRPr="00944B15">
              <w:rPr>
                <w:rFonts w:eastAsia="Times New Roman" w:cs="Times New Roman"/>
                <w:szCs w:val="24"/>
              </w:rPr>
              <w:t>It should be painted only on individual lesions with cotton. Apply a thin layer of the solution to the affec</w:t>
            </w:r>
            <w:r>
              <w:rPr>
                <w:rFonts w:eastAsia="Times New Roman" w:cs="Times New Roman"/>
                <w:szCs w:val="24"/>
              </w:rPr>
              <w:t>ted area one to two times daily</w:t>
            </w:r>
          </w:p>
        </w:tc>
      </w:tr>
      <w:tr w:rsidR="003D3F76" w:rsidRPr="00944B15" w14:paraId="34F1AACB" w14:textId="77777777" w:rsidTr="002D6DD7">
        <w:trPr>
          <w:jc w:val="center"/>
        </w:trPr>
        <w:tc>
          <w:tcPr>
            <w:tcW w:w="2605" w:type="dxa"/>
          </w:tcPr>
          <w:p w14:paraId="1CC3906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15889CBD"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w:t>
            </w:r>
          </w:p>
        </w:tc>
      </w:tr>
      <w:tr w:rsidR="003D3F76" w:rsidRPr="00944B15" w14:paraId="65B35A69" w14:textId="77777777" w:rsidTr="002D6DD7">
        <w:trPr>
          <w:jc w:val="center"/>
        </w:trPr>
        <w:tc>
          <w:tcPr>
            <w:tcW w:w="2605" w:type="dxa"/>
          </w:tcPr>
          <w:p w14:paraId="36320710"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3845B812" w14:textId="77777777" w:rsidR="003D3F76" w:rsidRPr="00944B15" w:rsidRDefault="003D3F76" w:rsidP="002D6DD7">
            <w:pPr>
              <w:jc w:val="both"/>
              <w:rPr>
                <w:rFonts w:eastAsia="Times New Roman" w:cs="Times New Roman"/>
                <w:color w:val="000000"/>
                <w:szCs w:val="24"/>
              </w:rPr>
            </w:pPr>
            <w:r w:rsidRPr="00944B15">
              <w:rPr>
                <w:rFonts w:cs="Times New Roman"/>
                <w:szCs w:val="24"/>
              </w:rPr>
              <w:t>Other related topical medications</w:t>
            </w:r>
          </w:p>
        </w:tc>
      </w:tr>
      <w:tr w:rsidR="003D3F76" w:rsidRPr="00944B15" w14:paraId="0A674E88" w14:textId="77777777" w:rsidTr="002D6DD7">
        <w:trPr>
          <w:jc w:val="center"/>
        </w:trPr>
        <w:tc>
          <w:tcPr>
            <w:tcW w:w="2605" w:type="dxa"/>
          </w:tcPr>
          <w:p w14:paraId="2CA0601D"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1F93F69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szCs w:val="24"/>
              </w:rPr>
              <w:t xml:space="preserve">Staining of the skin, </w:t>
            </w:r>
            <w:r>
              <w:rPr>
                <w:rFonts w:eastAsia="Times New Roman" w:cs="Times New Roman"/>
                <w:szCs w:val="24"/>
              </w:rPr>
              <w:t>mucous membranes, and clothing, e</w:t>
            </w:r>
            <w:r w:rsidRPr="00944B15">
              <w:rPr>
                <w:rFonts w:eastAsia="Times New Roman" w:cs="Times New Roman"/>
                <w:szCs w:val="24"/>
              </w:rPr>
              <w:t xml:space="preserve">sophagitis, laryngitis, or tracheitis. </w:t>
            </w:r>
          </w:p>
        </w:tc>
      </w:tr>
      <w:tr w:rsidR="003D3F76" w:rsidRPr="00944B15" w14:paraId="5C83D12D" w14:textId="77777777" w:rsidTr="002D6DD7">
        <w:trPr>
          <w:jc w:val="center"/>
        </w:trPr>
        <w:tc>
          <w:tcPr>
            <w:tcW w:w="2605" w:type="dxa"/>
          </w:tcPr>
          <w:p w14:paraId="383C64D0"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7FF45C3F"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P</w:t>
            </w:r>
            <w:r w:rsidRPr="00944B15">
              <w:rPr>
                <w:rFonts w:eastAsia="Times New Roman" w:cs="Times New Roman"/>
                <w:color w:val="000000"/>
                <w:szCs w:val="24"/>
              </w:rPr>
              <w:t>regnancy (long-term use)</w:t>
            </w:r>
            <w:r>
              <w:rPr>
                <w:rFonts w:eastAsia="Times New Roman" w:cs="Times New Roman"/>
                <w:color w:val="000000"/>
                <w:szCs w:val="24"/>
              </w:rPr>
              <w:t>, use in or around the eyes</w:t>
            </w:r>
          </w:p>
        </w:tc>
      </w:tr>
      <w:tr w:rsidR="003D3F76" w:rsidRPr="00944B15" w14:paraId="6B09B4CF" w14:textId="77777777" w:rsidTr="002D6DD7">
        <w:trPr>
          <w:jc w:val="center"/>
        </w:trPr>
        <w:tc>
          <w:tcPr>
            <w:tcW w:w="2605" w:type="dxa"/>
          </w:tcPr>
          <w:p w14:paraId="47FC819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3D045A51" w14:textId="77777777" w:rsidR="003D3F76" w:rsidRPr="00944B15" w:rsidRDefault="003D3F76" w:rsidP="002D6DD7">
            <w:pPr>
              <w:jc w:val="both"/>
              <w:rPr>
                <w:rFonts w:eastAsia="Times New Roman" w:cs="Times New Roman"/>
                <w:color w:val="000000"/>
                <w:szCs w:val="24"/>
              </w:rPr>
            </w:pPr>
            <w:r>
              <w:rPr>
                <w:rFonts w:cs="Times New Roman"/>
                <w:szCs w:val="24"/>
              </w:rPr>
              <w:t>Store below 30ºC. Protect from light and open flame.</w:t>
            </w:r>
          </w:p>
        </w:tc>
      </w:tr>
      <w:tr w:rsidR="003D3F76" w:rsidRPr="00944B15" w14:paraId="7EEAF92C" w14:textId="77777777" w:rsidTr="002D6DD7">
        <w:trPr>
          <w:jc w:val="center"/>
        </w:trPr>
        <w:tc>
          <w:tcPr>
            <w:tcW w:w="9350" w:type="dxa"/>
            <w:gridSpan w:val="2"/>
          </w:tcPr>
          <w:p w14:paraId="6E6A4BCD" w14:textId="77777777" w:rsidR="003D3F76" w:rsidRPr="00944B15" w:rsidRDefault="003D3F76" w:rsidP="002D6DD7">
            <w:pPr>
              <w:rPr>
                <w:rFonts w:eastAsia="Times New Roman" w:cs="Times New Roman"/>
                <w:color w:val="000000"/>
                <w:szCs w:val="24"/>
              </w:rPr>
            </w:pPr>
            <w:r w:rsidRPr="00944B15">
              <w:rPr>
                <w:rFonts w:eastAsia="Times New Roman" w:cs="Times New Roman"/>
                <w:b/>
                <w:color w:val="000000"/>
                <w:szCs w:val="24"/>
              </w:rPr>
              <w:t xml:space="preserve">Iodine </w:t>
            </w:r>
          </w:p>
        </w:tc>
      </w:tr>
      <w:tr w:rsidR="003D3F76" w:rsidRPr="00944B15" w14:paraId="5219C7CC" w14:textId="77777777" w:rsidTr="002D6DD7">
        <w:trPr>
          <w:trHeight w:val="46"/>
          <w:jc w:val="center"/>
        </w:trPr>
        <w:tc>
          <w:tcPr>
            <w:tcW w:w="2605" w:type="dxa"/>
          </w:tcPr>
          <w:p w14:paraId="1765F70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3DC1E27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Antiseptic</w:t>
            </w:r>
          </w:p>
        </w:tc>
      </w:tr>
      <w:tr w:rsidR="003D3F76" w:rsidRPr="00944B15" w14:paraId="6F88E581" w14:textId="77777777" w:rsidTr="002D6DD7">
        <w:trPr>
          <w:jc w:val="center"/>
        </w:trPr>
        <w:tc>
          <w:tcPr>
            <w:tcW w:w="2605" w:type="dxa"/>
          </w:tcPr>
          <w:p w14:paraId="4212AB69"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6146ADDD"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2 %</w:t>
            </w:r>
          </w:p>
        </w:tc>
      </w:tr>
      <w:tr w:rsidR="003D3F76" w:rsidRPr="00944B15" w14:paraId="45B54832" w14:textId="77777777" w:rsidTr="002D6DD7">
        <w:trPr>
          <w:jc w:val="center"/>
        </w:trPr>
        <w:tc>
          <w:tcPr>
            <w:tcW w:w="2605" w:type="dxa"/>
          </w:tcPr>
          <w:p w14:paraId="71D9671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3C55E169"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For the disinfection and cleaning of minor superficial skin wounds, disinfecting the skin before surgical procedures </w:t>
            </w:r>
          </w:p>
        </w:tc>
      </w:tr>
      <w:tr w:rsidR="003D3F76" w:rsidRPr="00944B15" w14:paraId="36539D53" w14:textId="77777777" w:rsidTr="002D6DD7">
        <w:trPr>
          <w:trHeight w:val="782"/>
          <w:jc w:val="center"/>
        </w:trPr>
        <w:tc>
          <w:tcPr>
            <w:tcW w:w="2605" w:type="dxa"/>
          </w:tcPr>
          <w:p w14:paraId="569F71D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3DDF307A" w14:textId="77777777" w:rsidR="003D3F76" w:rsidRPr="00944B15" w:rsidRDefault="003D3F76"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Apply a small amount of the solution using a cotton swab or gauze to the affected area one to three times daily. Do not cover with a tight bandage.</w:t>
            </w:r>
          </w:p>
        </w:tc>
      </w:tr>
      <w:tr w:rsidR="003D3F76" w:rsidRPr="00944B15" w14:paraId="7F34CC9C" w14:textId="77777777" w:rsidTr="002D6DD7">
        <w:trPr>
          <w:jc w:val="center"/>
        </w:trPr>
        <w:tc>
          <w:tcPr>
            <w:tcW w:w="2605" w:type="dxa"/>
          </w:tcPr>
          <w:p w14:paraId="40C74D4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38ED35C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w:t>
            </w:r>
          </w:p>
        </w:tc>
      </w:tr>
      <w:tr w:rsidR="003D3F76" w:rsidRPr="00944B15" w14:paraId="1F1E7544" w14:textId="77777777" w:rsidTr="002D6DD7">
        <w:trPr>
          <w:jc w:val="center"/>
        </w:trPr>
        <w:tc>
          <w:tcPr>
            <w:tcW w:w="2605" w:type="dxa"/>
          </w:tcPr>
          <w:p w14:paraId="279A7B2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6C73520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Iodine-containing compounds, lithium </w:t>
            </w:r>
          </w:p>
        </w:tc>
      </w:tr>
      <w:tr w:rsidR="003D3F76" w:rsidRPr="00944B15" w14:paraId="16B2E177" w14:textId="77777777" w:rsidTr="002D6DD7">
        <w:trPr>
          <w:jc w:val="center"/>
        </w:trPr>
        <w:tc>
          <w:tcPr>
            <w:tcW w:w="2605" w:type="dxa"/>
          </w:tcPr>
          <w:p w14:paraId="6E85777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tcPr>
          <w:p w14:paraId="1144C7D5"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Skin irritation or redness, a</w:t>
            </w:r>
            <w:r w:rsidRPr="00944B15">
              <w:rPr>
                <w:rFonts w:eastAsia="Times New Roman" w:cs="Times New Roman"/>
                <w:color w:val="000000"/>
                <w:szCs w:val="24"/>
              </w:rPr>
              <w:t>llergic reactions, including itching, rash, or swelling, st</w:t>
            </w:r>
            <w:r>
              <w:rPr>
                <w:rFonts w:eastAsia="Times New Roman" w:cs="Times New Roman"/>
                <w:color w:val="000000"/>
                <w:szCs w:val="24"/>
              </w:rPr>
              <w:t>aining of the skin or clothing</w:t>
            </w:r>
          </w:p>
        </w:tc>
      </w:tr>
      <w:tr w:rsidR="003D3F76" w:rsidRPr="00944B15" w14:paraId="207CCE2B" w14:textId="77777777" w:rsidTr="002D6DD7">
        <w:trPr>
          <w:jc w:val="center"/>
        </w:trPr>
        <w:tc>
          <w:tcPr>
            <w:tcW w:w="2605" w:type="dxa"/>
          </w:tcPr>
          <w:p w14:paraId="678056B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418B8512"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 xml:space="preserve">History of thyroid disease, prolonged use, </w:t>
            </w:r>
            <w:r w:rsidRPr="00944B15">
              <w:rPr>
                <w:rFonts w:eastAsia="Times New Roman" w:cs="Times New Roman"/>
                <w:color w:val="000000"/>
                <w:szCs w:val="24"/>
              </w:rPr>
              <w:t>apply to sensitive area such as the axillary, perianal, or genitalia.</w:t>
            </w:r>
          </w:p>
        </w:tc>
      </w:tr>
      <w:tr w:rsidR="003D3F76" w:rsidRPr="00944B15" w14:paraId="6B00BD7B" w14:textId="77777777" w:rsidTr="002D6DD7">
        <w:trPr>
          <w:trHeight w:val="404"/>
          <w:jc w:val="center"/>
        </w:trPr>
        <w:tc>
          <w:tcPr>
            <w:tcW w:w="2605" w:type="dxa"/>
          </w:tcPr>
          <w:p w14:paraId="6EFE1E29"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25D8033B" w14:textId="77777777" w:rsidR="003D3F76" w:rsidRPr="00944B15" w:rsidRDefault="003D3F76" w:rsidP="002D6DD7">
            <w:pPr>
              <w:jc w:val="both"/>
              <w:rPr>
                <w:rFonts w:eastAsia="Times New Roman" w:cs="Times New Roman"/>
                <w:color w:val="000000"/>
                <w:szCs w:val="24"/>
              </w:rPr>
            </w:pPr>
            <w:r w:rsidRPr="003F0DB4">
              <w:rPr>
                <w:rFonts w:eastAsia="Times New Roman" w:cs="Times New Roman"/>
                <w:color w:val="000000"/>
                <w:szCs w:val="24"/>
              </w:rPr>
              <w:t xml:space="preserve">Store below 30ºC. Protect from </w:t>
            </w:r>
            <w:r w:rsidRPr="00944B15">
              <w:rPr>
                <w:rFonts w:eastAsia="Times New Roman" w:cs="Times New Roman"/>
                <w:color w:val="000000"/>
                <w:szCs w:val="24"/>
              </w:rPr>
              <w:t xml:space="preserve">heat and direct sunlight. </w:t>
            </w:r>
          </w:p>
        </w:tc>
      </w:tr>
      <w:tr w:rsidR="003D3F76" w:rsidRPr="00944B15" w14:paraId="2FEBE9BB" w14:textId="77777777" w:rsidTr="002D6DD7">
        <w:trPr>
          <w:jc w:val="center"/>
        </w:trPr>
        <w:tc>
          <w:tcPr>
            <w:tcW w:w="9350" w:type="dxa"/>
            <w:gridSpan w:val="2"/>
          </w:tcPr>
          <w:p w14:paraId="167209BA"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 xml:space="preserve">Povidone Iodine </w:t>
            </w:r>
          </w:p>
        </w:tc>
      </w:tr>
      <w:tr w:rsidR="003D3F76" w:rsidRPr="00944B15" w14:paraId="32CFC3B0" w14:textId="77777777" w:rsidTr="002D6DD7">
        <w:trPr>
          <w:trHeight w:val="46"/>
          <w:jc w:val="center"/>
        </w:trPr>
        <w:tc>
          <w:tcPr>
            <w:tcW w:w="2605" w:type="dxa"/>
          </w:tcPr>
          <w:p w14:paraId="0872778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2A5FA87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Antiseptic </w:t>
            </w:r>
          </w:p>
        </w:tc>
      </w:tr>
      <w:tr w:rsidR="003D3F76" w:rsidRPr="00944B15" w14:paraId="3EC205DF" w14:textId="77777777" w:rsidTr="002D6DD7">
        <w:trPr>
          <w:jc w:val="center"/>
        </w:trPr>
        <w:tc>
          <w:tcPr>
            <w:tcW w:w="2605" w:type="dxa"/>
          </w:tcPr>
          <w:p w14:paraId="67930F9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0FC9760A"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(aqueous), 4 %, 7.5 %, 10 %</w:t>
            </w:r>
          </w:p>
        </w:tc>
      </w:tr>
      <w:tr w:rsidR="003D3F76" w:rsidRPr="00944B15" w14:paraId="28B272BC" w14:textId="77777777" w:rsidTr="002D6DD7">
        <w:trPr>
          <w:jc w:val="center"/>
        </w:trPr>
        <w:tc>
          <w:tcPr>
            <w:tcW w:w="2605" w:type="dxa"/>
          </w:tcPr>
          <w:p w14:paraId="3468043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15779C43"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As skin disinfectant and antiseptic mainly for the treatment of contaminated wounds and pre-operative preparation of the skin and mucous membranes.</w:t>
            </w:r>
          </w:p>
        </w:tc>
      </w:tr>
      <w:tr w:rsidR="003D3F76" w:rsidRPr="00944B15" w14:paraId="1C437481" w14:textId="77777777" w:rsidTr="002D6DD7">
        <w:trPr>
          <w:trHeight w:val="782"/>
          <w:jc w:val="center"/>
        </w:trPr>
        <w:tc>
          <w:tcPr>
            <w:tcW w:w="2605" w:type="dxa"/>
          </w:tcPr>
          <w:p w14:paraId="60E85935"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4CB327F6" w14:textId="77777777" w:rsidR="003D3F76" w:rsidRPr="00944B15" w:rsidRDefault="003D3F76"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Alcoholic solution, povidone iodine 10%</w:t>
            </w:r>
            <w:r w:rsidRPr="00944B15">
              <w:rPr>
                <w:rFonts w:eastAsia="Calibri" w:cs="Times New Roman"/>
                <w:color w:val="000000"/>
                <w:szCs w:val="24"/>
              </w:rPr>
              <w:t xml:space="preserve">: </w:t>
            </w:r>
          </w:p>
          <w:p w14:paraId="1010DCD1" w14:textId="77777777" w:rsidR="003D3F76" w:rsidRDefault="003D3F76" w:rsidP="002D6DD7">
            <w:pPr>
              <w:autoSpaceDE w:val="0"/>
              <w:autoSpaceDN w:val="0"/>
              <w:adjustRightInd w:val="0"/>
              <w:jc w:val="both"/>
              <w:rPr>
                <w:rFonts w:eastAsia="Calibri" w:cs="Times New Roman"/>
                <w:color w:val="000000"/>
                <w:szCs w:val="24"/>
              </w:rPr>
            </w:pPr>
            <w:r w:rsidRPr="003E0A05">
              <w:rPr>
                <w:rFonts w:eastAsia="Calibri" w:cs="Times New Roman"/>
                <w:b/>
                <w:color w:val="000000"/>
                <w:szCs w:val="24"/>
              </w:rPr>
              <w:t>Adult:</w:t>
            </w:r>
            <w:r w:rsidRPr="00944B15">
              <w:rPr>
                <w:rFonts w:eastAsia="Calibri" w:cs="Times New Roman"/>
                <w:color w:val="000000"/>
                <w:szCs w:val="24"/>
              </w:rPr>
              <w:t xml:space="preserve"> to be applied undiluted in pre- and po</w:t>
            </w:r>
            <w:r>
              <w:rPr>
                <w:rFonts w:eastAsia="Calibri" w:cs="Times New Roman"/>
                <w:color w:val="000000"/>
                <w:szCs w:val="24"/>
              </w:rPr>
              <w:t>st-operative skin disinfection</w:t>
            </w:r>
          </w:p>
          <w:p w14:paraId="71F3E63C" w14:textId="77777777" w:rsidR="003D3F76" w:rsidRDefault="003D3F76"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Antis</w:t>
            </w:r>
            <w:r>
              <w:rPr>
                <w:rFonts w:eastAsia="Calibri" w:cs="Times New Roman"/>
                <w:b/>
                <w:color w:val="000000"/>
                <w:szCs w:val="24"/>
              </w:rPr>
              <w:t>eptic solution, povidone iodine</w:t>
            </w:r>
            <w:r w:rsidRPr="00944B15">
              <w:rPr>
                <w:rFonts w:eastAsia="Calibri" w:cs="Times New Roman"/>
                <w:b/>
                <w:color w:val="000000"/>
                <w:szCs w:val="24"/>
              </w:rPr>
              <w:t xml:space="preserve"> 10% in aqueous solution</w:t>
            </w:r>
            <w:r w:rsidRPr="00944B15">
              <w:rPr>
                <w:rFonts w:eastAsia="Calibri" w:cs="Times New Roman"/>
                <w:color w:val="000000"/>
                <w:szCs w:val="24"/>
              </w:rPr>
              <w:t xml:space="preserve">: </w:t>
            </w:r>
            <w:r w:rsidRPr="003E0A05">
              <w:rPr>
                <w:rFonts w:eastAsia="Calibri" w:cs="Times New Roman"/>
                <w:b/>
                <w:color w:val="000000"/>
                <w:szCs w:val="24"/>
              </w:rPr>
              <w:t>Adult:</w:t>
            </w:r>
            <w:r w:rsidRPr="00944B15">
              <w:rPr>
                <w:rFonts w:eastAsia="Calibri" w:cs="Times New Roman"/>
                <w:color w:val="000000"/>
                <w:szCs w:val="24"/>
              </w:rPr>
              <w:t xml:space="preserve"> to be applied undiluted in pre-and postoperative skin disinfection. </w:t>
            </w:r>
          </w:p>
          <w:p w14:paraId="34D4815C" w14:textId="77777777" w:rsidR="003D3F76" w:rsidRDefault="003D3F76"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Scalp and skin cleanser solution, povidone iodine, 7.5%, in a surfactant basis</w:t>
            </w:r>
            <w:r w:rsidRPr="00944B15">
              <w:rPr>
                <w:rFonts w:eastAsia="Calibri" w:cs="Times New Roman"/>
                <w:color w:val="000000"/>
                <w:szCs w:val="24"/>
              </w:rPr>
              <w:t xml:space="preserve">: </w:t>
            </w:r>
          </w:p>
          <w:p w14:paraId="5773801C" w14:textId="77777777" w:rsidR="003D3F76" w:rsidRPr="00944B15" w:rsidRDefault="003D3F76" w:rsidP="002D6DD7">
            <w:pPr>
              <w:autoSpaceDE w:val="0"/>
              <w:autoSpaceDN w:val="0"/>
              <w:adjustRightInd w:val="0"/>
              <w:jc w:val="both"/>
              <w:rPr>
                <w:rFonts w:eastAsia="Calibri" w:cs="Times New Roman"/>
                <w:color w:val="000000"/>
                <w:szCs w:val="24"/>
              </w:rPr>
            </w:pPr>
            <w:r w:rsidRPr="003E0A05">
              <w:rPr>
                <w:rFonts w:eastAsia="Calibri" w:cs="Times New Roman"/>
                <w:b/>
                <w:color w:val="000000"/>
                <w:szCs w:val="24"/>
              </w:rPr>
              <w:t>Adult:</w:t>
            </w:r>
            <w:r w:rsidRPr="00944B15">
              <w:rPr>
                <w:rFonts w:eastAsia="Calibri" w:cs="Times New Roman"/>
                <w:color w:val="000000"/>
                <w:szCs w:val="24"/>
              </w:rPr>
              <w:t xml:space="preserve"> use of seborrheic condition of scalp and acne vulgaris of face and neck 1-2 times daily child dose. Child under 2 years not recommended. </w:t>
            </w:r>
          </w:p>
          <w:p w14:paraId="05069C46" w14:textId="77777777" w:rsidR="003D3F76" w:rsidRPr="00944B15" w:rsidRDefault="003D3F76" w:rsidP="002D6DD7">
            <w:pPr>
              <w:autoSpaceDE w:val="0"/>
              <w:autoSpaceDN w:val="0"/>
              <w:adjustRightInd w:val="0"/>
              <w:jc w:val="both"/>
              <w:rPr>
                <w:rFonts w:eastAsia="Calibri" w:cs="Times New Roman"/>
                <w:color w:val="000000"/>
                <w:szCs w:val="24"/>
              </w:rPr>
            </w:pPr>
            <w:r w:rsidRPr="00944B15">
              <w:rPr>
                <w:rFonts w:eastAsia="Calibri" w:cs="Times New Roman"/>
                <w:b/>
                <w:color w:val="000000"/>
                <w:szCs w:val="24"/>
              </w:rPr>
              <w:t>Skin cleanser solution, povidone iodine, 4% in a surfactant basis</w:t>
            </w:r>
            <w:r w:rsidRPr="00944B15">
              <w:rPr>
                <w:rFonts w:eastAsia="Calibri" w:cs="Times New Roman"/>
                <w:color w:val="000000"/>
                <w:szCs w:val="24"/>
              </w:rPr>
              <w:t xml:space="preserve">: </w:t>
            </w:r>
          </w:p>
          <w:p w14:paraId="69A5E4B2" w14:textId="77777777" w:rsidR="003D3F76" w:rsidRPr="00944B15" w:rsidRDefault="003D3F76" w:rsidP="002D6DD7">
            <w:pPr>
              <w:autoSpaceDE w:val="0"/>
              <w:autoSpaceDN w:val="0"/>
              <w:adjustRightInd w:val="0"/>
              <w:jc w:val="both"/>
              <w:rPr>
                <w:rFonts w:eastAsia="Times New Roman" w:cs="Times New Roman"/>
                <w:color w:val="000000"/>
                <w:szCs w:val="24"/>
              </w:rPr>
            </w:pPr>
            <w:r w:rsidRPr="003E0A05">
              <w:rPr>
                <w:rFonts w:eastAsia="Times New Roman" w:cs="Times New Roman"/>
                <w:b/>
                <w:color w:val="000000"/>
                <w:szCs w:val="24"/>
              </w:rPr>
              <w:t>Adult:</w:t>
            </w:r>
            <w:r w:rsidRPr="00944B15">
              <w:rPr>
                <w:rFonts w:eastAsia="Times New Roman" w:cs="Times New Roman"/>
                <w:color w:val="000000"/>
                <w:szCs w:val="24"/>
              </w:rPr>
              <w:t xml:space="preserve"> for infective condition of the skin. Retain on skin for 3-5 minutes before rinsing, repeat twice daily. </w:t>
            </w:r>
          </w:p>
        </w:tc>
      </w:tr>
      <w:tr w:rsidR="003D3F76" w:rsidRPr="00944B15" w14:paraId="1EF67E7B" w14:textId="77777777" w:rsidTr="002D6DD7">
        <w:trPr>
          <w:jc w:val="center"/>
        </w:trPr>
        <w:tc>
          <w:tcPr>
            <w:tcW w:w="2605" w:type="dxa"/>
          </w:tcPr>
          <w:p w14:paraId="62D94BA8"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45386138"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 very low birth weight infants</w:t>
            </w:r>
          </w:p>
        </w:tc>
      </w:tr>
      <w:tr w:rsidR="003D3F76" w:rsidRPr="00944B15" w14:paraId="4E152484" w14:textId="77777777" w:rsidTr="002D6DD7">
        <w:trPr>
          <w:jc w:val="center"/>
        </w:trPr>
        <w:tc>
          <w:tcPr>
            <w:tcW w:w="2605" w:type="dxa"/>
          </w:tcPr>
          <w:p w14:paraId="715F060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65782AF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Iodine-containing compounds </w:t>
            </w:r>
          </w:p>
        </w:tc>
      </w:tr>
      <w:tr w:rsidR="003D3F76" w:rsidRPr="00944B15" w14:paraId="144396D6" w14:textId="77777777" w:rsidTr="002D6DD7">
        <w:trPr>
          <w:jc w:val="center"/>
        </w:trPr>
        <w:tc>
          <w:tcPr>
            <w:tcW w:w="2605" w:type="dxa"/>
          </w:tcPr>
          <w:p w14:paraId="1C26AD2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12CE6D4B"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Severe pain on application, </w:t>
            </w:r>
            <w:r>
              <w:rPr>
                <w:rFonts w:eastAsia="Times New Roman" w:cs="Times New Roman"/>
                <w:color w:val="000000"/>
                <w:szCs w:val="24"/>
              </w:rPr>
              <w:t>irritation, pruritus, erythema, rash, o</w:t>
            </w:r>
            <w:r w:rsidRPr="00944B15">
              <w:rPr>
                <w:rFonts w:eastAsia="Times New Roman" w:cs="Times New Roman"/>
                <w:color w:val="000000"/>
                <w:szCs w:val="24"/>
              </w:rPr>
              <w:t>edematous eryth</w:t>
            </w:r>
            <w:r>
              <w:rPr>
                <w:rFonts w:eastAsia="Times New Roman" w:cs="Times New Roman"/>
                <w:color w:val="000000"/>
                <w:szCs w:val="24"/>
              </w:rPr>
              <w:t>ema, a</w:t>
            </w:r>
            <w:r w:rsidRPr="00944B15">
              <w:rPr>
                <w:rFonts w:eastAsia="Times New Roman" w:cs="Times New Roman"/>
                <w:color w:val="000000"/>
                <w:szCs w:val="24"/>
              </w:rPr>
              <w:t>cneform eruption</w:t>
            </w:r>
          </w:p>
        </w:tc>
      </w:tr>
      <w:tr w:rsidR="003D3F76" w:rsidRPr="00944B15" w14:paraId="6FBD47B2" w14:textId="77777777" w:rsidTr="002D6DD7">
        <w:trPr>
          <w:jc w:val="center"/>
        </w:trPr>
        <w:tc>
          <w:tcPr>
            <w:tcW w:w="2605" w:type="dxa"/>
          </w:tcPr>
          <w:p w14:paraId="7FFE593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lastRenderedPageBreak/>
              <w:t xml:space="preserve">Cautions </w:t>
            </w:r>
          </w:p>
        </w:tc>
        <w:tc>
          <w:tcPr>
            <w:tcW w:w="6745" w:type="dxa"/>
          </w:tcPr>
          <w:p w14:paraId="5BB2A6F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Thyroid disorders or those receiving lithium therapies</w:t>
            </w:r>
            <w:r>
              <w:rPr>
                <w:rFonts w:eastAsia="Times New Roman" w:cs="Times New Roman"/>
                <w:color w:val="000000"/>
                <w:szCs w:val="24"/>
              </w:rPr>
              <w:t xml:space="preserve">, pregnancy, breastfeeding, infant, </w:t>
            </w:r>
            <w:r w:rsidRPr="00944B15">
              <w:rPr>
                <w:rFonts w:eastAsia="Times New Roman" w:cs="Times New Roman"/>
                <w:color w:val="000000"/>
                <w:szCs w:val="24"/>
              </w:rPr>
              <w:t>children</w:t>
            </w:r>
            <w:r>
              <w:rPr>
                <w:rFonts w:eastAsia="Times New Roman" w:cs="Times New Roman"/>
                <w:color w:val="000000"/>
                <w:szCs w:val="24"/>
              </w:rPr>
              <w:t xml:space="preserve"> less than 2years, burns</w:t>
            </w:r>
          </w:p>
        </w:tc>
      </w:tr>
      <w:tr w:rsidR="003D3F76" w:rsidRPr="00944B15" w14:paraId="22A3E616" w14:textId="77777777" w:rsidTr="002D6DD7">
        <w:trPr>
          <w:jc w:val="center"/>
        </w:trPr>
        <w:tc>
          <w:tcPr>
            <w:tcW w:w="2605" w:type="dxa"/>
          </w:tcPr>
          <w:p w14:paraId="4B74674F"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4BAC0E0D" w14:textId="77777777" w:rsidR="003D3F76" w:rsidRPr="00944B15" w:rsidRDefault="003D3F76" w:rsidP="002D6DD7">
            <w:pPr>
              <w:jc w:val="both"/>
              <w:rPr>
                <w:rFonts w:eastAsia="Times New Roman" w:cs="Times New Roman"/>
                <w:color w:val="000000"/>
                <w:szCs w:val="24"/>
              </w:rPr>
            </w:pPr>
            <w:r>
              <w:rPr>
                <w:rFonts w:cs="Times New Roman"/>
                <w:szCs w:val="24"/>
              </w:rPr>
              <w:t xml:space="preserve">Store below 30ºC. Protect </w:t>
            </w:r>
            <w:r w:rsidRPr="00944B15">
              <w:rPr>
                <w:rFonts w:eastAsia="Times New Roman" w:cs="Times New Roman"/>
                <w:color w:val="000000"/>
                <w:szCs w:val="24"/>
              </w:rPr>
              <w:t xml:space="preserve">from heat and direct sunlight. </w:t>
            </w:r>
          </w:p>
        </w:tc>
      </w:tr>
    </w:tbl>
    <w:p w14:paraId="04BE99E9" w14:textId="77777777" w:rsidR="003D3F76" w:rsidRPr="00944B15" w:rsidRDefault="003D3F76" w:rsidP="003D3F76">
      <w:pPr>
        <w:spacing w:after="0"/>
        <w:jc w:val="both"/>
        <w:rPr>
          <w:rFonts w:cs="Times New Roman"/>
          <w:szCs w:val="24"/>
        </w:rPr>
      </w:pPr>
    </w:p>
    <w:p w14:paraId="1F2330CD" w14:textId="77777777" w:rsidR="003D3F76" w:rsidRPr="00787D79" w:rsidRDefault="003D3F76" w:rsidP="00787D79">
      <w:pPr>
        <w:rPr>
          <w:b/>
        </w:rPr>
      </w:pPr>
      <w:r w:rsidRPr="00787D79">
        <w:rPr>
          <w:b/>
        </w:rPr>
        <w:t>Disinfectants</w:t>
      </w:r>
    </w:p>
    <w:tbl>
      <w:tblPr>
        <w:tblStyle w:val="TableGrid"/>
        <w:tblW w:w="0" w:type="auto"/>
        <w:jc w:val="center"/>
        <w:tblLook w:val="04A0" w:firstRow="1" w:lastRow="0" w:firstColumn="1" w:lastColumn="0" w:noHBand="0" w:noVBand="1"/>
      </w:tblPr>
      <w:tblGrid>
        <w:gridCol w:w="2605"/>
        <w:gridCol w:w="6745"/>
      </w:tblGrid>
      <w:tr w:rsidR="003D3F76" w:rsidRPr="00944B15" w14:paraId="29CFC09B" w14:textId="77777777" w:rsidTr="002D6DD7">
        <w:trPr>
          <w:jc w:val="center"/>
        </w:trPr>
        <w:tc>
          <w:tcPr>
            <w:tcW w:w="9350" w:type="dxa"/>
            <w:gridSpan w:val="2"/>
          </w:tcPr>
          <w:p w14:paraId="2413E1F2"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 xml:space="preserve">Alcohol based hand rub </w:t>
            </w:r>
          </w:p>
        </w:tc>
      </w:tr>
      <w:tr w:rsidR="003D3F76" w:rsidRPr="00944B15" w14:paraId="642CF29A" w14:textId="77777777" w:rsidTr="002D6DD7">
        <w:trPr>
          <w:trHeight w:val="46"/>
          <w:jc w:val="center"/>
        </w:trPr>
        <w:tc>
          <w:tcPr>
            <w:tcW w:w="2605" w:type="dxa"/>
          </w:tcPr>
          <w:p w14:paraId="221CBCE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43886F9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Disinfectant</w:t>
            </w:r>
          </w:p>
        </w:tc>
      </w:tr>
      <w:tr w:rsidR="003D3F76" w:rsidRPr="00944B15" w14:paraId="619FF013" w14:textId="77777777" w:rsidTr="002D6DD7">
        <w:trPr>
          <w:trHeight w:val="332"/>
          <w:jc w:val="center"/>
        </w:trPr>
        <w:tc>
          <w:tcPr>
            <w:tcW w:w="2605" w:type="dxa"/>
          </w:tcPr>
          <w:p w14:paraId="2B63F17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3433FF55"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containing ethanol 80% V /V</w:t>
            </w:r>
          </w:p>
          <w:p w14:paraId="49D73F30"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szCs w:val="24"/>
              </w:rPr>
              <w:t>Solution: containing isopropyl alcohol 75% V/V</w:t>
            </w:r>
          </w:p>
        </w:tc>
      </w:tr>
      <w:tr w:rsidR="003D3F76" w:rsidRPr="00944B15" w14:paraId="3820DFDB" w14:textId="77777777" w:rsidTr="002D6DD7">
        <w:trPr>
          <w:jc w:val="center"/>
        </w:trPr>
        <w:tc>
          <w:tcPr>
            <w:tcW w:w="2605" w:type="dxa"/>
          </w:tcPr>
          <w:p w14:paraId="4FC9E85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0FE3FB00"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Hand sanitization and general skin disinfection </w:t>
            </w:r>
          </w:p>
        </w:tc>
      </w:tr>
      <w:tr w:rsidR="003D3F76" w:rsidRPr="00944B15" w14:paraId="0EE000E4" w14:textId="77777777" w:rsidTr="002D6DD7">
        <w:trPr>
          <w:trHeight w:val="782"/>
          <w:jc w:val="center"/>
        </w:trPr>
        <w:tc>
          <w:tcPr>
            <w:tcW w:w="2605" w:type="dxa"/>
          </w:tcPr>
          <w:p w14:paraId="6038988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Dose and </w:t>
            </w:r>
            <w:r>
              <w:rPr>
                <w:rFonts w:eastAsia="Times New Roman" w:cs="Times New Roman"/>
                <w:color w:val="000000"/>
                <w:szCs w:val="24"/>
              </w:rPr>
              <w:t>A</w:t>
            </w:r>
            <w:r w:rsidRPr="00944B15">
              <w:rPr>
                <w:rFonts w:eastAsia="Times New Roman" w:cs="Times New Roman"/>
                <w:color w:val="000000"/>
                <w:szCs w:val="24"/>
              </w:rPr>
              <w:t>dministration</w:t>
            </w:r>
          </w:p>
        </w:tc>
        <w:tc>
          <w:tcPr>
            <w:tcW w:w="6745" w:type="dxa"/>
          </w:tcPr>
          <w:p w14:paraId="763FF67D" w14:textId="77777777" w:rsidR="003D3F76" w:rsidRPr="00944B15" w:rsidRDefault="003D3F76" w:rsidP="002D6DD7">
            <w:pPr>
              <w:autoSpaceDE w:val="0"/>
              <w:autoSpaceDN w:val="0"/>
              <w:adjustRightInd w:val="0"/>
              <w:rPr>
                <w:rFonts w:eastAsia="Times New Roman" w:cs="Times New Roman"/>
                <w:color w:val="000000"/>
                <w:szCs w:val="24"/>
              </w:rPr>
            </w:pPr>
            <w:r w:rsidRPr="00944B15">
              <w:rPr>
                <w:rFonts w:eastAsia="Times New Roman" w:cs="Times New Roman"/>
                <w:color w:val="000000"/>
                <w:szCs w:val="24"/>
              </w:rPr>
              <w:t>Put enough sanitizer on hands to cover all surfaces and rub hands together until they feel dry.</w:t>
            </w:r>
          </w:p>
        </w:tc>
      </w:tr>
      <w:tr w:rsidR="003D3F76" w:rsidRPr="00944B15" w14:paraId="5ADE6AA5" w14:textId="77777777" w:rsidTr="002D6DD7">
        <w:trPr>
          <w:jc w:val="center"/>
        </w:trPr>
        <w:tc>
          <w:tcPr>
            <w:tcW w:w="2605" w:type="dxa"/>
          </w:tcPr>
          <w:p w14:paraId="428ED87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7D12F21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w:t>
            </w:r>
          </w:p>
        </w:tc>
      </w:tr>
      <w:tr w:rsidR="003D3F76" w:rsidRPr="00944B15" w14:paraId="2D031268" w14:textId="77777777" w:rsidTr="002D6DD7">
        <w:trPr>
          <w:jc w:val="center"/>
        </w:trPr>
        <w:tc>
          <w:tcPr>
            <w:tcW w:w="2605" w:type="dxa"/>
          </w:tcPr>
          <w:p w14:paraId="21AE136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2E2A6F78" w14:textId="77777777" w:rsidR="003D3F76" w:rsidRPr="00944B15" w:rsidRDefault="003D3F76" w:rsidP="002D6DD7">
            <w:pPr>
              <w:jc w:val="both"/>
              <w:rPr>
                <w:rFonts w:eastAsia="Times New Roman" w:cs="Times New Roman"/>
                <w:color w:val="000000"/>
                <w:szCs w:val="24"/>
              </w:rPr>
            </w:pPr>
            <w:r>
              <w:rPr>
                <w:rFonts w:eastAsia="Calibri" w:cs="Times New Roman"/>
                <w:color w:val="000000"/>
                <w:szCs w:val="24"/>
              </w:rPr>
              <w:t>There are no significant drug interaction</w:t>
            </w:r>
          </w:p>
        </w:tc>
      </w:tr>
      <w:tr w:rsidR="003D3F76" w:rsidRPr="00944B15" w14:paraId="6CACA227" w14:textId="77777777" w:rsidTr="002D6DD7">
        <w:trPr>
          <w:jc w:val="center"/>
        </w:trPr>
        <w:tc>
          <w:tcPr>
            <w:tcW w:w="2605" w:type="dxa"/>
          </w:tcPr>
          <w:p w14:paraId="69E5E20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331CA32C"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Skin dryness or irritation, allergic reactions,</w:t>
            </w:r>
            <w:r w:rsidRPr="00944B15">
              <w:rPr>
                <w:rFonts w:eastAsia="Times New Roman" w:cs="Times New Roman"/>
                <w:color w:val="000000"/>
                <w:szCs w:val="24"/>
              </w:rPr>
              <w:t xml:space="preserve"> contact dermatitis </w:t>
            </w:r>
          </w:p>
        </w:tc>
      </w:tr>
      <w:tr w:rsidR="003D3F76" w:rsidRPr="00944B15" w14:paraId="3DD55D8C" w14:textId="77777777" w:rsidTr="002D6DD7">
        <w:trPr>
          <w:jc w:val="center"/>
        </w:trPr>
        <w:tc>
          <w:tcPr>
            <w:tcW w:w="2605" w:type="dxa"/>
          </w:tcPr>
          <w:p w14:paraId="35D5A3D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5FFB1159"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C</w:t>
            </w:r>
            <w:r w:rsidRPr="00944B15">
              <w:rPr>
                <w:rFonts w:eastAsia="Times New Roman" w:cs="Times New Roman"/>
                <w:color w:val="000000"/>
                <w:szCs w:val="24"/>
              </w:rPr>
              <w:t xml:space="preserve">ontact with eyes, mucous membranes, or open wounds. </w:t>
            </w:r>
          </w:p>
        </w:tc>
      </w:tr>
      <w:tr w:rsidR="003D3F76" w:rsidRPr="00944B15" w14:paraId="27E3FE7A" w14:textId="77777777" w:rsidTr="002D6DD7">
        <w:trPr>
          <w:jc w:val="center"/>
        </w:trPr>
        <w:tc>
          <w:tcPr>
            <w:tcW w:w="2605" w:type="dxa"/>
          </w:tcPr>
          <w:p w14:paraId="3D729203"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6F5841DF" w14:textId="77777777" w:rsidR="003D3F76" w:rsidRPr="00944B15" w:rsidRDefault="003D3F76" w:rsidP="002D6DD7">
            <w:pPr>
              <w:jc w:val="both"/>
              <w:rPr>
                <w:rFonts w:eastAsia="Times New Roman" w:cs="Times New Roman"/>
                <w:color w:val="000000"/>
                <w:szCs w:val="24"/>
              </w:rPr>
            </w:pPr>
            <w:r>
              <w:rPr>
                <w:rFonts w:cs="Times New Roman"/>
                <w:szCs w:val="24"/>
              </w:rPr>
              <w:t xml:space="preserve">Store below 30ºC. Protect </w:t>
            </w:r>
            <w:r>
              <w:rPr>
                <w:rFonts w:eastAsia="Times New Roman" w:cs="Times New Roman"/>
                <w:color w:val="000000"/>
                <w:szCs w:val="24"/>
              </w:rPr>
              <w:t xml:space="preserve">from direct sunlight and </w:t>
            </w:r>
            <w:r w:rsidRPr="00AC7908">
              <w:rPr>
                <w:rFonts w:eastAsia="Times New Roman" w:cs="Times New Roman"/>
                <w:color w:val="000000"/>
                <w:szCs w:val="24"/>
              </w:rPr>
              <w:t>any heat source.</w:t>
            </w:r>
          </w:p>
        </w:tc>
      </w:tr>
      <w:tr w:rsidR="003D3F76" w:rsidRPr="00944B15" w14:paraId="3639B525" w14:textId="77777777" w:rsidTr="002D6DD7">
        <w:trPr>
          <w:jc w:val="center"/>
        </w:trPr>
        <w:tc>
          <w:tcPr>
            <w:tcW w:w="9350" w:type="dxa"/>
            <w:gridSpan w:val="2"/>
          </w:tcPr>
          <w:p w14:paraId="70A64889" w14:textId="77777777" w:rsidR="003D3F76" w:rsidRPr="00944B15" w:rsidRDefault="003D3F76" w:rsidP="002D6DD7">
            <w:pPr>
              <w:rPr>
                <w:rFonts w:eastAsia="Times New Roman" w:cs="Times New Roman"/>
                <w:b/>
                <w:color w:val="000000"/>
                <w:szCs w:val="24"/>
              </w:rPr>
            </w:pPr>
            <w:r w:rsidRPr="00944B15">
              <w:rPr>
                <w:rFonts w:eastAsia="Times New Roman" w:cs="Times New Roman"/>
                <w:b/>
                <w:color w:val="000000"/>
                <w:szCs w:val="24"/>
              </w:rPr>
              <w:t>Chlorine base compound</w:t>
            </w:r>
          </w:p>
        </w:tc>
      </w:tr>
      <w:tr w:rsidR="003D3F76" w:rsidRPr="00944B15" w14:paraId="1094D175" w14:textId="77777777" w:rsidTr="002D6DD7">
        <w:trPr>
          <w:trHeight w:val="46"/>
          <w:jc w:val="center"/>
        </w:trPr>
        <w:tc>
          <w:tcPr>
            <w:tcW w:w="2605" w:type="dxa"/>
          </w:tcPr>
          <w:p w14:paraId="5EE70C3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60CC16D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Disinfectant</w:t>
            </w:r>
          </w:p>
        </w:tc>
      </w:tr>
      <w:tr w:rsidR="003D3F76" w:rsidRPr="00944B15" w14:paraId="1A677813" w14:textId="77777777" w:rsidTr="002D6DD7">
        <w:trPr>
          <w:jc w:val="center"/>
        </w:trPr>
        <w:tc>
          <w:tcPr>
            <w:tcW w:w="2605" w:type="dxa"/>
          </w:tcPr>
          <w:p w14:paraId="3834347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45CCC31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Liquid: (0.1% available chlorine) for solution. </w:t>
            </w:r>
          </w:p>
          <w:p w14:paraId="5B645238"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Powder: (0.1% available chlorine) for solution. </w:t>
            </w:r>
          </w:p>
          <w:p w14:paraId="32B30F8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Solid: (0.1% available chlorine) for solution.</w:t>
            </w:r>
          </w:p>
        </w:tc>
      </w:tr>
      <w:tr w:rsidR="003D3F76" w:rsidRPr="00944B15" w14:paraId="1BBB583C" w14:textId="77777777" w:rsidTr="002D6DD7">
        <w:trPr>
          <w:jc w:val="center"/>
        </w:trPr>
        <w:tc>
          <w:tcPr>
            <w:tcW w:w="2605" w:type="dxa"/>
          </w:tcPr>
          <w:p w14:paraId="0E76361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6804D063"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 xml:space="preserve">Surface disinfection in various settings, including healthcare facilities, households, and water treatment. </w:t>
            </w:r>
          </w:p>
        </w:tc>
      </w:tr>
      <w:tr w:rsidR="003D3F76" w:rsidRPr="00944B15" w14:paraId="1CA68CCE" w14:textId="77777777" w:rsidTr="002D6DD7">
        <w:trPr>
          <w:trHeight w:val="782"/>
          <w:jc w:val="center"/>
        </w:trPr>
        <w:tc>
          <w:tcPr>
            <w:tcW w:w="2605" w:type="dxa"/>
          </w:tcPr>
          <w:p w14:paraId="7D34A958" w14:textId="77777777" w:rsidR="003D3F76" w:rsidRPr="00944B15" w:rsidRDefault="003D3F76" w:rsidP="002D6DD7">
            <w:pPr>
              <w:rPr>
                <w:rFonts w:eastAsia="Times New Roman" w:cs="Times New Roman"/>
                <w:color w:val="000000"/>
                <w:szCs w:val="24"/>
              </w:rPr>
            </w:pPr>
            <w:r w:rsidRPr="00944B15">
              <w:rPr>
                <w:rFonts w:eastAsia="Times New Roman" w:cs="Times New Roman"/>
                <w:color w:val="000000" w:themeColor="text1"/>
                <w:szCs w:val="24"/>
              </w:rPr>
              <w:t>Dose and administration</w:t>
            </w:r>
          </w:p>
        </w:tc>
        <w:tc>
          <w:tcPr>
            <w:tcW w:w="6745" w:type="dxa"/>
          </w:tcPr>
          <w:p w14:paraId="685193F8" w14:textId="77777777" w:rsidR="003D3F76" w:rsidRPr="00944B15" w:rsidRDefault="003D3F76" w:rsidP="002D6DD7">
            <w:pPr>
              <w:autoSpaceDE w:val="0"/>
              <w:autoSpaceDN w:val="0"/>
              <w:adjustRightInd w:val="0"/>
              <w:jc w:val="both"/>
              <w:rPr>
                <w:rFonts w:eastAsia="Times New Roman" w:cs="Times New Roman"/>
                <w:color w:val="000000" w:themeColor="text1"/>
                <w:szCs w:val="24"/>
              </w:rPr>
            </w:pPr>
            <w:r w:rsidRPr="00944B15">
              <w:rPr>
                <w:rFonts w:eastAsia="Times New Roman" w:cs="Times New Roman"/>
                <w:color w:val="000000" w:themeColor="text1"/>
                <w:szCs w:val="24"/>
              </w:rPr>
              <w:t>Dilute the liquid form or dissolve the powder or solid form in water. Apply the solution onto the surface, ensuring thorough coverage, and allow it to remain in contact for the recommended time (typically 1 to 10 minutes) before rinsing with clean water.</w:t>
            </w:r>
          </w:p>
        </w:tc>
      </w:tr>
      <w:tr w:rsidR="003D3F76" w:rsidRPr="00944B15" w14:paraId="12B2A5EC" w14:textId="77777777" w:rsidTr="002D6DD7">
        <w:trPr>
          <w:jc w:val="center"/>
        </w:trPr>
        <w:tc>
          <w:tcPr>
            <w:tcW w:w="2605" w:type="dxa"/>
          </w:tcPr>
          <w:p w14:paraId="3C746A0B"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5914EC1B"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w:t>
            </w:r>
          </w:p>
        </w:tc>
      </w:tr>
      <w:tr w:rsidR="003D3F76" w:rsidRPr="00944B15" w14:paraId="01C3EF67" w14:textId="77777777" w:rsidTr="002D6DD7">
        <w:trPr>
          <w:jc w:val="center"/>
        </w:trPr>
        <w:tc>
          <w:tcPr>
            <w:tcW w:w="2605" w:type="dxa"/>
          </w:tcPr>
          <w:p w14:paraId="6A94079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4BF499FA"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Other cleaning agents (</w:t>
            </w:r>
            <w:r w:rsidRPr="00944B15">
              <w:rPr>
                <w:rFonts w:eastAsia="Times New Roman" w:cs="Times New Roman"/>
                <w:color w:val="000000"/>
                <w:szCs w:val="24"/>
              </w:rPr>
              <w:t>those containing ammonia or acids</w:t>
            </w:r>
            <w:r>
              <w:rPr>
                <w:rFonts w:eastAsia="Times New Roman" w:cs="Times New Roman"/>
                <w:color w:val="000000"/>
                <w:szCs w:val="24"/>
              </w:rPr>
              <w:t>)</w:t>
            </w:r>
          </w:p>
        </w:tc>
      </w:tr>
      <w:tr w:rsidR="003D3F76" w:rsidRPr="00944B15" w14:paraId="4D789143" w14:textId="77777777" w:rsidTr="002D6DD7">
        <w:trPr>
          <w:jc w:val="center"/>
        </w:trPr>
        <w:tc>
          <w:tcPr>
            <w:tcW w:w="2605" w:type="dxa"/>
          </w:tcPr>
          <w:p w14:paraId="54C4054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lastRenderedPageBreak/>
              <w:t>Side effects</w:t>
            </w:r>
          </w:p>
        </w:tc>
        <w:tc>
          <w:tcPr>
            <w:tcW w:w="6745" w:type="dxa"/>
          </w:tcPr>
          <w:p w14:paraId="7F0A695A"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Skin and eye irritation, r</w:t>
            </w:r>
            <w:r w:rsidRPr="00944B15">
              <w:rPr>
                <w:rFonts w:eastAsia="Times New Roman" w:cs="Times New Roman"/>
                <w:color w:val="000000"/>
                <w:szCs w:val="24"/>
              </w:rPr>
              <w:t>espiratory irritation or coug</w:t>
            </w:r>
            <w:r>
              <w:rPr>
                <w:rFonts w:eastAsia="Times New Roman" w:cs="Times New Roman"/>
                <w:color w:val="000000"/>
                <w:szCs w:val="24"/>
              </w:rPr>
              <w:t>hing, allergic reactions</w:t>
            </w:r>
          </w:p>
        </w:tc>
      </w:tr>
      <w:tr w:rsidR="003D3F76" w:rsidRPr="00944B15" w14:paraId="62AEF1F8" w14:textId="77777777" w:rsidTr="002D6DD7">
        <w:trPr>
          <w:jc w:val="center"/>
        </w:trPr>
        <w:tc>
          <w:tcPr>
            <w:tcW w:w="2605" w:type="dxa"/>
          </w:tcPr>
          <w:p w14:paraId="2569A30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609F849A"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D</w:t>
            </w:r>
            <w:r w:rsidRPr="00944B15">
              <w:rPr>
                <w:rFonts w:eastAsia="Times New Roman" w:cs="Times New Roman"/>
                <w:color w:val="000000"/>
                <w:szCs w:val="24"/>
              </w:rPr>
              <w:t xml:space="preserve">irect contact with skin, eyes, or mucous membranes. </w:t>
            </w:r>
          </w:p>
        </w:tc>
      </w:tr>
      <w:tr w:rsidR="003D3F76" w:rsidRPr="00944B15" w14:paraId="310B5866" w14:textId="77777777" w:rsidTr="002D6DD7">
        <w:trPr>
          <w:jc w:val="center"/>
        </w:trPr>
        <w:tc>
          <w:tcPr>
            <w:tcW w:w="2605" w:type="dxa"/>
          </w:tcPr>
          <w:p w14:paraId="6C8591C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5B359112" w14:textId="77777777" w:rsidR="003D3F76" w:rsidRPr="00944B15" w:rsidRDefault="003D3F76" w:rsidP="002D6DD7">
            <w:pPr>
              <w:jc w:val="both"/>
              <w:rPr>
                <w:rFonts w:eastAsia="Times New Roman" w:cs="Times New Roman"/>
                <w:color w:val="000000"/>
                <w:szCs w:val="24"/>
              </w:rPr>
            </w:pPr>
            <w:r>
              <w:rPr>
                <w:rFonts w:cs="Times New Roman"/>
                <w:szCs w:val="24"/>
              </w:rPr>
              <w:t xml:space="preserve">Store below 30ºC. Protect </w:t>
            </w:r>
            <w:r w:rsidRPr="00944B15">
              <w:rPr>
                <w:rFonts w:eastAsia="Times New Roman" w:cs="Times New Roman"/>
                <w:color w:val="000000"/>
                <w:szCs w:val="24"/>
              </w:rPr>
              <w:t xml:space="preserve">from heat and direct sunlight. </w:t>
            </w:r>
          </w:p>
        </w:tc>
      </w:tr>
      <w:tr w:rsidR="003D3F76" w:rsidRPr="00944B15" w14:paraId="2B3F75C5" w14:textId="77777777" w:rsidTr="002D6DD7">
        <w:trPr>
          <w:jc w:val="center"/>
        </w:trPr>
        <w:tc>
          <w:tcPr>
            <w:tcW w:w="9350" w:type="dxa"/>
            <w:gridSpan w:val="2"/>
          </w:tcPr>
          <w:p w14:paraId="1B4B1A5F" w14:textId="77777777" w:rsidR="003D3F76" w:rsidRPr="00944B15" w:rsidRDefault="003D3F76" w:rsidP="002D6DD7">
            <w:pPr>
              <w:jc w:val="both"/>
              <w:rPr>
                <w:rFonts w:eastAsia="Times New Roman" w:cs="Times New Roman"/>
                <w:b/>
                <w:color w:val="000000"/>
                <w:szCs w:val="24"/>
              </w:rPr>
            </w:pPr>
            <w:r w:rsidRPr="00944B15">
              <w:rPr>
                <w:rFonts w:eastAsia="Times New Roman" w:cs="Times New Roman"/>
                <w:b/>
                <w:color w:val="000000"/>
                <w:szCs w:val="24"/>
              </w:rPr>
              <w:t xml:space="preserve">Chloroxylenol </w:t>
            </w:r>
          </w:p>
        </w:tc>
      </w:tr>
      <w:tr w:rsidR="003D3F76" w:rsidRPr="00944B15" w14:paraId="39318313" w14:textId="77777777" w:rsidTr="002D6DD7">
        <w:trPr>
          <w:trHeight w:val="46"/>
          <w:jc w:val="center"/>
        </w:trPr>
        <w:tc>
          <w:tcPr>
            <w:tcW w:w="2605" w:type="dxa"/>
          </w:tcPr>
          <w:p w14:paraId="3C95D67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5B5078A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Disinfectant </w:t>
            </w:r>
          </w:p>
        </w:tc>
      </w:tr>
      <w:tr w:rsidR="003D3F76" w:rsidRPr="00944B15" w14:paraId="567852BA" w14:textId="77777777" w:rsidTr="002D6DD7">
        <w:trPr>
          <w:jc w:val="center"/>
        </w:trPr>
        <w:tc>
          <w:tcPr>
            <w:tcW w:w="2605" w:type="dxa"/>
          </w:tcPr>
          <w:p w14:paraId="3B7E32A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736A778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Solution: 4.8%</w:t>
            </w:r>
          </w:p>
        </w:tc>
      </w:tr>
      <w:tr w:rsidR="003D3F76" w:rsidRPr="00944B15" w14:paraId="5FCFAC9C" w14:textId="77777777" w:rsidTr="002D6DD7">
        <w:trPr>
          <w:jc w:val="center"/>
        </w:trPr>
        <w:tc>
          <w:tcPr>
            <w:tcW w:w="2605" w:type="dxa"/>
          </w:tcPr>
          <w:p w14:paraId="610A9DEF"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6F59B708" w14:textId="77777777" w:rsidR="003D3F76" w:rsidRPr="00944B15" w:rsidRDefault="003D3F76" w:rsidP="002D6DD7">
            <w:pPr>
              <w:autoSpaceDE w:val="0"/>
              <w:autoSpaceDN w:val="0"/>
              <w:adjustRightInd w:val="0"/>
              <w:jc w:val="both"/>
              <w:rPr>
                <w:rFonts w:eastAsia="Times New Roman" w:cs="Times New Roman"/>
                <w:color w:val="000000"/>
                <w:szCs w:val="24"/>
              </w:rPr>
            </w:pPr>
            <w:r>
              <w:rPr>
                <w:rFonts w:eastAsia="Times New Roman" w:cs="Times New Roman"/>
                <w:color w:val="000000"/>
                <w:szCs w:val="24"/>
              </w:rPr>
              <w:t>D</w:t>
            </w:r>
            <w:r w:rsidRPr="00944B15">
              <w:rPr>
                <w:rFonts w:eastAsia="Times New Roman" w:cs="Times New Roman"/>
                <w:color w:val="000000"/>
                <w:szCs w:val="24"/>
              </w:rPr>
              <w:t xml:space="preserve">isinfection of surfaces and skin antiseptics  </w:t>
            </w:r>
          </w:p>
        </w:tc>
      </w:tr>
      <w:tr w:rsidR="003D3F76" w:rsidRPr="00944B15" w14:paraId="72A5A7FB" w14:textId="77777777" w:rsidTr="002D6DD7">
        <w:trPr>
          <w:trHeight w:val="782"/>
          <w:jc w:val="center"/>
        </w:trPr>
        <w:tc>
          <w:tcPr>
            <w:tcW w:w="2605" w:type="dxa"/>
          </w:tcPr>
          <w:p w14:paraId="3D1DBC8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38D586EB"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Apply the solution to the affected area using a cloth, cotton ball, or swab</w:t>
            </w:r>
          </w:p>
        </w:tc>
      </w:tr>
      <w:tr w:rsidR="003D3F76" w:rsidRPr="00944B15" w14:paraId="33E508CC" w14:textId="77777777" w:rsidTr="002D6DD7">
        <w:trPr>
          <w:jc w:val="center"/>
        </w:trPr>
        <w:tc>
          <w:tcPr>
            <w:tcW w:w="2605" w:type="dxa"/>
          </w:tcPr>
          <w:p w14:paraId="582A3461"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6628522A"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w:t>
            </w:r>
            <w:r>
              <w:rPr>
                <w:rFonts w:eastAsia="Times New Roman" w:cs="Times New Roman"/>
                <w:color w:val="000000"/>
                <w:szCs w:val="24"/>
              </w:rPr>
              <w:t>the drug</w:t>
            </w:r>
          </w:p>
        </w:tc>
      </w:tr>
      <w:tr w:rsidR="003D3F76" w:rsidRPr="00944B15" w14:paraId="5D4BE4A3" w14:textId="77777777" w:rsidTr="002D6DD7">
        <w:trPr>
          <w:jc w:val="center"/>
        </w:trPr>
        <w:tc>
          <w:tcPr>
            <w:tcW w:w="2605" w:type="dxa"/>
          </w:tcPr>
          <w:p w14:paraId="748F576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3A189D00"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There are no significant drug interaction.</w:t>
            </w:r>
            <w:r w:rsidRPr="00944B15">
              <w:rPr>
                <w:rFonts w:eastAsia="Times New Roman" w:cs="Times New Roman"/>
                <w:color w:val="000000"/>
                <w:szCs w:val="24"/>
              </w:rPr>
              <w:t xml:space="preserve"> </w:t>
            </w:r>
          </w:p>
        </w:tc>
      </w:tr>
      <w:tr w:rsidR="003D3F76" w:rsidRPr="00944B15" w14:paraId="4C3D26AA" w14:textId="77777777" w:rsidTr="002D6DD7">
        <w:trPr>
          <w:jc w:val="center"/>
        </w:trPr>
        <w:tc>
          <w:tcPr>
            <w:tcW w:w="2605" w:type="dxa"/>
          </w:tcPr>
          <w:p w14:paraId="438F20A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64E5500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Skin irritation, allergic contact dermatitis, severe allergic reactions.</w:t>
            </w:r>
          </w:p>
        </w:tc>
      </w:tr>
      <w:tr w:rsidR="003D3F76" w:rsidRPr="00944B15" w14:paraId="282FE2F3" w14:textId="77777777" w:rsidTr="002D6DD7">
        <w:trPr>
          <w:jc w:val="center"/>
        </w:trPr>
        <w:tc>
          <w:tcPr>
            <w:tcW w:w="2605" w:type="dxa"/>
          </w:tcPr>
          <w:p w14:paraId="6101321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05EB1FCE"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Avoid contact with eyes, mucous membranes, or open wounds</w:t>
            </w:r>
          </w:p>
        </w:tc>
      </w:tr>
      <w:tr w:rsidR="003D3F76" w:rsidRPr="00944B15" w14:paraId="66F3EB10" w14:textId="77777777" w:rsidTr="002D6DD7">
        <w:trPr>
          <w:jc w:val="center"/>
        </w:trPr>
        <w:tc>
          <w:tcPr>
            <w:tcW w:w="2605" w:type="dxa"/>
          </w:tcPr>
          <w:p w14:paraId="5022583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509E60C9" w14:textId="77777777" w:rsidR="003D3F76" w:rsidRPr="00944B15" w:rsidRDefault="003D3F76" w:rsidP="002D6DD7">
            <w:pPr>
              <w:jc w:val="both"/>
              <w:rPr>
                <w:rFonts w:eastAsia="Times New Roman" w:cs="Times New Roman"/>
                <w:color w:val="000000"/>
                <w:szCs w:val="24"/>
              </w:rPr>
            </w:pPr>
            <w:r>
              <w:rPr>
                <w:rFonts w:cs="Times New Roman"/>
                <w:szCs w:val="24"/>
              </w:rPr>
              <w:t xml:space="preserve">Store below 30ºC. Protect </w:t>
            </w:r>
            <w:r w:rsidRPr="00944B15">
              <w:rPr>
                <w:rFonts w:eastAsia="Times New Roman" w:cs="Times New Roman"/>
                <w:color w:val="000000"/>
                <w:szCs w:val="24"/>
              </w:rPr>
              <w:t>from heat and direct sunlight.</w:t>
            </w:r>
          </w:p>
        </w:tc>
      </w:tr>
      <w:tr w:rsidR="003D3F76" w:rsidRPr="00944B15" w14:paraId="775EC109" w14:textId="77777777" w:rsidTr="002D6DD7">
        <w:trPr>
          <w:jc w:val="center"/>
        </w:trPr>
        <w:tc>
          <w:tcPr>
            <w:tcW w:w="9350" w:type="dxa"/>
            <w:gridSpan w:val="2"/>
          </w:tcPr>
          <w:p w14:paraId="368DC22B" w14:textId="77777777" w:rsidR="003D3F76" w:rsidRPr="00944B15" w:rsidRDefault="003D3F76" w:rsidP="002D6DD7">
            <w:pPr>
              <w:jc w:val="both"/>
              <w:rPr>
                <w:rFonts w:eastAsia="Times New Roman" w:cs="Times New Roman"/>
                <w:b/>
                <w:color w:val="000000"/>
                <w:szCs w:val="24"/>
              </w:rPr>
            </w:pPr>
            <w:r w:rsidRPr="00944B15">
              <w:rPr>
                <w:rFonts w:eastAsia="Times New Roman" w:cs="Times New Roman"/>
                <w:b/>
                <w:color w:val="000000"/>
                <w:szCs w:val="24"/>
              </w:rPr>
              <w:t xml:space="preserve">Glutaral </w:t>
            </w:r>
          </w:p>
        </w:tc>
      </w:tr>
      <w:tr w:rsidR="003D3F76" w:rsidRPr="00944B15" w14:paraId="3AF9AAD0" w14:textId="77777777" w:rsidTr="002D6DD7">
        <w:trPr>
          <w:trHeight w:val="46"/>
          <w:jc w:val="center"/>
        </w:trPr>
        <w:tc>
          <w:tcPr>
            <w:tcW w:w="2605" w:type="dxa"/>
          </w:tcPr>
          <w:p w14:paraId="0920792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Pharmacological class</w:t>
            </w:r>
          </w:p>
        </w:tc>
        <w:tc>
          <w:tcPr>
            <w:tcW w:w="6745" w:type="dxa"/>
          </w:tcPr>
          <w:p w14:paraId="3DD54D0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Disinfectant </w:t>
            </w:r>
          </w:p>
        </w:tc>
      </w:tr>
      <w:tr w:rsidR="003D3F76" w:rsidRPr="00944B15" w14:paraId="1BAABF07" w14:textId="77777777" w:rsidTr="002D6DD7">
        <w:trPr>
          <w:jc w:val="center"/>
        </w:trPr>
        <w:tc>
          <w:tcPr>
            <w:tcW w:w="2605" w:type="dxa"/>
          </w:tcPr>
          <w:p w14:paraId="171AC528"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Dosage form</w:t>
            </w:r>
          </w:p>
        </w:tc>
        <w:tc>
          <w:tcPr>
            <w:tcW w:w="6745" w:type="dxa"/>
          </w:tcPr>
          <w:p w14:paraId="790A4FF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Solution: 2% </w:t>
            </w:r>
          </w:p>
        </w:tc>
      </w:tr>
      <w:tr w:rsidR="003D3F76" w:rsidRPr="00944B15" w14:paraId="0CE2C610" w14:textId="77777777" w:rsidTr="002D6DD7">
        <w:trPr>
          <w:jc w:val="center"/>
        </w:trPr>
        <w:tc>
          <w:tcPr>
            <w:tcW w:w="2605" w:type="dxa"/>
          </w:tcPr>
          <w:p w14:paraId="006F329C"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Indications</w:t>
            </w:r>
          </w:p>
        </w:tc>
        <w:tc>
          <w:tcPr>
            <w:tcW w:w="6745" w:type="dxa"/>
          </w:tcPr>
          <w:p w14:paraId="44F52D97" w14:textId="77777777" w:rsidR="003D3F76" w:rsidRPr="00944B15" w:rsidRDefault="003D3F76" w:rsidP="002D6DD7">
            <w:pPr>
              <w:autoSpaceDE w:val="0"/>
              <w:autoSpaceDN w:val="0"/>
              <w:adjustRightInd w:val="0"/>
              <w:jc w:val="both"/>
              <w:rPr>
                <w:rFonts w:eastAsia="Times New Roman" w:cs="Times New Roman"/>
                <w:color w:val="000000"/>
                <w:szCs w:val="24"/>
              </w:rPr>
            </w:pPr>
            <w:r>
              <w:rPr>
                <w:rFonts w:eastAsia="Times New Roman" w:cs="Times New Roman"/>
                <w:color w:val="000000"/>
                <w:szCs w:val="24"/>
              </w:rPr>
              <w:t>D</w:t>
            </w:r>
            <w:r w:rsidRPr="00944B15">
              <w:rPr>
                <w:rFonts w:eastAsia="Times New Roman" w:cs="Times New Roman"/>
                <w:color w:val="000000"/>
                <w:szCs w:val="24"/>
              </w:rPr>
              <w:t xml:space="preserve">isinfectant for medical equipment, surfaces, and instruments that cannot be heat sterilized </w:t>
            </w:r>
          </w:p>
        </w:tc>
      </w:tr>
      <w:tr w:rsidR="003D3F76" w:rsidRPr="00944B15" w14:paraId="2F88B272" w14:textId="77777777" w:rsidTr="002D6DD7">
        <w:trPr>
          <w:trHeight w:val="782"/>
          <w:jc w:val="center"/>
        </w:trPr>
        <w:tc>
          <w:tcPr>
            <w:tcW w:w="2605" w:type="dxa"/>
          </w:tcPr>
          <w:p w14:paraId="72D5085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Dose and administration</w:t>
            </w:r>
          </w:p>
        </w:tc>
        <w:tc>
          <w:tcPr>
            <w:tcW w:w="6745" w:type="dxa"/>
          </w:tcPr>
          <w:p w14:paraId="71ADB1BE" w14:textId="77777777" w:rsidR="003D3F76" w:rsidRPr="00944B15" w:rsidRDefault="003D3F76" w:rsidP="002D6DD7">
            <w:pPr>
              <w:autoSpaceDE w:val="0"/>
              <w:autoSpaceDN w:val="0"/>
              <w:adjustRightInd w:val="0"/>
              <w:jc w:val="both"/>
              <w:rPr>
                <w:rFonts w:eastAsia="Times New Roman" w:cs="Times New Roman"/>
                <w:color w:val="000000"/>
                <w:szCs w:val="24"/>
              </w:rPr>
            </w:pPr>
            <w:r w:rsidRPr="00944B15">
              <w:rPr>
                <w:rFonts w:eastAsia="Times New Roman" w:cs="Times New Roman"/>
                <w:color w:val="000000"/>
                <w:szCs w:val="24"/>
              </w:rPr>
              <w:t>Apply the solution to the surface or medical equipment, ensuring thorough coverage. Allow adequate contact time for disinfection usually 10-30 minutes</w:t>
            </w:r>
          </w:p>
        </w:tc>
      </w:tr>
      <w:tr w:rsidR="003D3F76" w:rsidRPr="00944B15" w14:paraId="40181F18" w14:textId="77777777" w:rsidTr="002D6DD7">
        <w:trPr>
          <w:jc w:val="center"/>
        </w:trPr>
        <w:tc>
          <w:tcPr>
            <w:tcW w:w="2605" w:type="dxa"/>
          </w:tcPr>
          <w:p w14:paraId="2A3292F6"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Contraindications</w:t>
            </w:r>
          </w:p>
        </w:tc>
        <w:tc>
          <w:tcPr>
            <w:tcW w:w="6745" w:type="dxa"/>
          </w:tcPr>
          <w:p w14:paraId="713CAF2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Hypersensitivity to </w:t>
            </w:r>
            <w:r>
              <w:rPr>
                <w:rFonts w:eastAsia="Times New Roman" w:cs="Times New Roman"/>
                <w:color w:val="000000"/>
                <w:szCs w:val="24"/>
              </w:rPr>
              <w:t>the drug</w:t>
            </w:r>
          </w:p>
        </w:tc>
      </w:tr>
      <w:tr w:rsidR="003D3F76" w:rsidRPr="00944B15" w14:paraId="6EA607ED" w14:textId="77777777" w:rsidTr="002D6DD7">
        <w:trPr>
          <w:jc w:val="center"/>
        </w:trPr>
        <w:tc>
          <w:tcPr>
            <w:tcW w:w="2605" w:type="dxa"/>
          </w:tcPr>
          <w:p w14:paraId="786DB0E9"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Drug interactions</w:t>
            </w:r>
          </w:p>
        </w:tc>
        <w:tc>
          <w:tcPr>
            <w:tcW w:w="6745" w:type="dxa"/>
          </w:tcPr>
          <w:p w14:paraId="2328C8A4"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Other c</w:t>
            </w:r>
            <w:r>
              <w:rPr>
                <w:rFonts w:eastAsia="Times New Roman" w:cs="Times New Roman"/>
                <w:color w:val="000000"/>
                <w:szCs w:val="24"/>
              </w:rPr>
              <w:t>leaning agents (</w:t>
            </w:r>
            <w:r w:rsidRPr="00944B15">
              <w:rPr>
                <w:rFonts w:eastAsia="Times New Roman" w:cs="Times New Roman"/>
                <w:color w:val="000000"/>
                <w:szCs w:val="24"/>
              </w:rPr>
              <w:t>containing ammonia or acids</w:t>
            </w:r>
            <w:r>
              <w:rPr>
                <w:rFonts w:eastAsia="Times New Roman" w:cs="Times New Roman"/>
                <w:color w:val="000000"/>
                <w:szCs w:val="24"/>
              </w:rPr>
              <w:t>)</w:t>
            </w:r>
          </w:p>
        </w:tc>
      </w:tr>
      <w:tr w:rsidR="003D3F76" w:rsidRPr="00944B15" w14:paraId="19B59A03" w14:textId="77777777" w:rsidTr="002D6DD7">
        <w:trPr>
          <w:jc w:val="center"/>
        </w:trPr>
        <w:tc>
          <w:tcPr>
            <w:tcW w:w="2605" w:type="dxa"/>
          </w:tcPr>
          <w:p w14:paraId="728B12D2"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Side effects</w:t>
            </w:r>
          </w:p>
        </w:tc>
        <w:tc>
          <w:tcPr>
            <w:tcW w:w="6745" w:type="dxa"/>
          </w:tcPr>
          <w:p w14:paraId="5C5DE8B7"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Skin irritation,</w:t>
            </w:r>
            <w:r>
              <w:rPr>
                <w:rFonts w:eastAsia="Times New Roman" w:cs="Times New Roman"/>
                <w:color w:val="000000"/>
                <w:szCs w:val="24"/>
              </w:rPr>
              <w:t xml:space="preserve"> redness, or allergic reactions, </w:t>
            </w:r>
            <w:r w:rsidRPr="00944B15">
              <w:rPr>
                <w:rFonts w:eastAsia="Times New Roman" w:cs="Times New Roman"/>
                <w:color w:val="000000"/>
                <w:szCs w:val="24"/>
              </w:rPr>
              <w:t>respiratory</w:t>
            </w:r>
            <w:r>
              <w:rPr>
                <w:rFonts w:eastAsia="Times New Roman" w:cs="Times New Roman"/>
                <w:color w:val="000000"/>
                <w:szCs w:val="24"/>
              </w:rPr>
              <w:t xml:space="preserve"> irritation</w:t>
            </w:r>
            <w:r w:rsidRPr="00944B15">
              <w:rPr>
                <w:rFonts w:eastAsia="Times New Roman" w:cs="Times New Roman"/>
                <w:color w:val="000000"/>
                <w:szCs w:val="24"/>
              </w:rPr>
              <w:t xml:space="preserve">, eye irritation, chemical burns with prolonged exposure </w:t>
            </w:r>
          </w:p>
        </w:tc>
      </w:tr>
      <w:tr w:rsidR="003D3F76" w:rsidRPr="00944B15" w14:paraId="55FFF2D5" w14:textId="77777777" w:rsidTr="002D6DD7">
        <w:trPr>
          <w:jc w:val="center"/>
        </w:trPr>
        <w:tc>
          <w:tcPr>
            <w:tcW w:w="2605" w:type="dxa"/>
          </w:tcPr>
          <w:p w14:paraId="66E21D49"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 xml:space="preserve">Cautions </w:t>
            </w:r>
          </w:p>
        </w:tc>
        <w:tc>
          <w:tcPr>
            <w:tcW w:w="6745" w:type="dxa"/>
          </w:tcPr>
          <w:p w14:paraId="0B8A5C34" w14:textId="77777777" w:rsidR="003D3F76" w:rsidRPr="00944B15" w:rsidRDefault="003D3F76" w:rsidP="002D6DD7">
            <w:pPr>
              <w:jc w:val="both"/>
              <w:rPr>
                <w:rFonts w:eastAsia="Times New Roman" w:cs="Times New Roman"/>
                <w:color w:val="000000"/>
                <w:szCs w:val="24"/>
              </w:rPr>
            </w:pPr>
            <w:r>
              <w:rPr>
                <w:rFonts w:eastAsia="Times New Roman" w:cs="Times New Roman"/>
                <w:color w:val="000000"/>
                <w:szCs w:val="24"/>
              </w:rPr>
              <w:t>C</w:t>
            </w:r>
            <w:r w:rsidRPr="00944B15">
              <w:rPr>
                <w:rFonts w:eastAsia="Times New Roman" w:cs="Times New Roman"/>
                <w:color w:val="000000"/>
                <w:szCs w:val="24"/>
              </w:rPr>
              <w:t>ontact with eyes, mucous membranes, or open wounds</w:t>
            </w:r>
          </w:p>
        </w:tc>
      </w:tr>
      <w:tr w:rsidR="003D3F76" w:rsidRPr="00944B15" w14:paraId="7B6FA658" w14:textId="77777777" w:rsidTr="002D6DD7">
        <w:trPr>
          <w:jc w:val="center"/>
        </w:trPr>
        <w:tc>
          <w:tcPr>
            <w:tcW w:w="2605" w:type="dxa"/>
          </w:tcPr>
          <w:p w14:paraId="5713BB35" w14:textId="77777777" w:rsidR="003D3F76" w:rsidRPr="00944B15" w:rsidRDefault="003D3F76" w:rsidP="002D6DD7">
            <w:pPr>
              <w:jc w:val="both"/>
              <w:rPr>
                <w:rFonts w:eastAsia="Times New Roman" w:cs="Times New Roman"/>
                <w:color w:val="000000"/>
                <w:szCs w:val="24"/>
              </w:rPr>
            </w:pPr>
            <w:r w:rsidRPr="00944B15">
              <w:rPr>
                <w:rFonts w:eastAsia="Times New Roman" w:cs="Times New Roman"/>
                <w:color w:val="000000"/>
                <w:szCs w:val="24"/>
              </w:rPr>
              <w:t>Storage condition</w:t>
            </w:r>
          </w:p>
        </w:tc>
        <w:tc>
          <w:tcPr>
            <w:tcW w:w="6745" w:type="dxa"/>
          </w:tcPr>
          <w:p w14:paraId="2B01B453" w14:textId="77777777" w:rsidR="003D3F76" w:rsidRPr="00944B15" w:rsidRDefault="003D3F76" w:rsidP="002D6DD7">
            <w:pPr>
              <w:jc w:val="both"/>
              <w:rPr>
                <w:rFonts w:eastAsia="Times New Roman" w:cs="Times New Roman"/>
                <w:color w:val="000000"/>
                <w:szCs w:val="24"/>
              </w:rPr>
            </w:pPr>
            <w:r>
              <w:rPr>
                <w:rFonts w:cs="Times New Roman"/>
                <w:szCs w:val="24"/>
              </w:rPr>
              <w:t xml:space="preserve">Store below 30ºC. Protect </w:t>
            </w:r>
            <w:r w:rsidRPr="00944B15">
              <w:rPr>
                <w:rFonts w:eastAsia="Times New Roman" w:cs="Times New Roman"/>
                <w:color w:val="000000"/>
                <w:szCs w:val="24"/>
              </w:rPr>
              <w:t>from heat and direct sunlight.</w:t>
            </w:r>
          </w:p>
        </w:tc>
      </w:tr>
    </w:tbl>
    <w:p w14:paraId="054D8824" w14:textId="77777777" w:rsidR="00787D79" w:rsidRDefault="00787D79" w:rsidP="00787D79">
      <w:pPr>
        <w:rPr>
          <w:rFonts w:cs="Times New Roman"/>
          <w:szCs w:val="24"/>
        </w:rPr>
      </w:pPr>
    </w:p>
    <w:p w14:paraId="0A6C7E76" w14:textId="77777777" w:rsidR="00787D79" w:rsidRDefault="00787D79">
      <w:pPr>
        <w:spacing w:line="259" w:lineRule="auto"/>
        <w:rPr>
          <w:rFonts w:cs="Times New Roman"/>
          <w:szCs w:val="24"/>
        </w:rPr>
      </w:pPr>
      <w:r>
        <w:rPr>
          <w:rFonts w:cs="Times New Roman"/>
          <w:szCs w:val="24"/>
        </w:rPr>
        <w:lastRenderedPageBreak/>
        <w:br w:type="page"/>
      </w:r>
    </w:p>
    <w:p w14:paraId="7F3C1CE0" w14:textId="77777777" w:rsidR="002F635D" w:rsidRPr="00787D79" w:rsidRDefault="002F635D" w:rsidP="00787D79">
      <w:pPr>
        <w:pStyle w:val="Heading1"/>
        <w:numPr>
          <w:ilvl w:val="0"/>
          <w:numId w:val="25"/>
        </w:numPr>
        <w:spacing w:after="240"/>
      </w:pPr>
      <w:bookmarkStart w:id="215" w:name="_Toc179490409"/>
      <w:r w:rsidRPr="0024114A">
        <w:lastRenderedPageBreak/>
        <w:t>Vaccines</w:t>
      </w:r>
      <w:bookmarkEnd w:id="215"/>
    </w:p>
    <w:p w14:paraId="402CBD6E" w14:textId="77777777" w:rsidR="002F635D" w:rsidRPr="0024114A" w:rsidRDefault="002F635D" w:rsidP="002F635D">
      <w:pPr>
        <w:spacing w:after="0"/>
        <w:jc w:val="both"/>
        <w:rPr>
          <w:rFonts w:cs="Times New Roman"/>
          <w:szCs w:val="24"/>
        </w:rPr>
      </w:pPr>
      <w:r w:rsidRPr="0024114A">
        <w:rPr>
          <w:rFonts w:cs="Times New Roman"/>
          <w:szCs w:val="24"/>
        </w:rPr>
        <w:t>Vaccines are biological preparations that produce and enhance immunity to a particular infectious or malignant disease. They induce active immunity and provide immunological memory by stimulating the production of antibodies and cells involved in the immune response. Antibodies can be detected in the patient’s blood or serum, but even in the absence of detectable antibodies, immunological memory may still be present. A vaccine consists of either:</w:t>
      </w:r>
    </w:p>
    <w:p w14:paraId="0F6BE8C6" w14:textId="77777777" w:rsidR="002F635D" w:rsidRPr="0024114A" w:rsidRDefault="002F635D" w:rsidP="003D3F76">
      <w:pPr>
        <w:pStyle w:val="ListParagraph"/>
        <w:widowControl/>
        <w:numPr>
          <w:ilvl w:val="0"/>
          <w:numId w:val="12"/>
        </w:numPr>
        <w:autoSpaceDE/>
        <w:autoSpaceDN/>
        <w:spacing w:line="360" w:lineRule="auto"/>
        <w:contextualSpacing/>
        <w:rPr>
          <w:szCs w:val="24"/>
        </w:rPr>
      </w:pPr>
      <w:r w:rsidRPr="0024114A">
        <w:rPr>
          <w:b/>
          <w:bCs/>
          <w:szCs w:val="24"/>
        </w:rPr>
        <w:t>a live attenuated form of the virus</w:t>
      </w:r>
      <w:r w:rsidRPr="0024114A">
        <w:rPr>
          <w:szCs w:val="24"/>
        </w:rPr>
        <w:t xml:space="preserve"> (e.g. measles, mumps and rubella vaccine) or bacteria (e.g. Bacillus Calmette-Guérin vaccine);</w:t>
      </w:r>
    </w:p>
    <w:p w14:paraId="39CDB62B" w14:textId="77777777" w:rsidR="002F635D" w:rsidRPr="0024114A" w:rsidRDefault="002F635D" w:rsidP="003D3F76">
      <w:pPr>
        <w:pStyle w:val="ListParagraph"/>
        <w:widowControl/>
        <w:numPr>
          <w:ilvl w:val="0"/>
          <w:numId w:val="12"/>
        </w:numPr>
        <w:autoSpaceDE/>
        <w:autoSpaceDN/>
        <w:spacing w:line="360" w:lineRule="auto"/>
        <w:contextualSpacing/>
        <w:rPr>
          <w:szCs w:val="24"/>
        </w:rPr>
      </w:pPr>
      <w:r w:rsidRPr="0024114A">
        <w:rPr>
          <w:b/>
          <w:bCs/>
          <w:szCs w:val="24"/>
        </w:rPr>
        <w:t xml:space="preserve">an </w:t>
      </w:r>
      <w:r w:rsidR="00787D79" w:rsidRPr="0024114A">
        <w:rPr>
          <w:b/>
          <w:bCs/>
          <w:szCs w:val="24"/>
        </w:rPr>
        <w:t>inactivated preparation of the virus</w:t>
      </w:r>
      <w:r w:rsidRPr="0024114A">
        <w:rPr>
          <w:szCs w:val="24"/>
        </w:rPr>
        <w:t xml:space="preserve"> (e.g. tick-borne encephalitis vaccine) or bacteria (e.g. meningococcal vaccine);</w:t>
      </w:r>
    </w:p>
    <w:p w14:paraId="23D258FA" w14:textId="77777777" w:rsidR="002F635D" w:rsidRPr="0024114A" w:rsidRDefault="002F635D" w:rsidP="003D3F76">
      <w:pPr>
        <w:pStyle w:val="ListParagraph"/>
        <w:widowControl/>
        <w:numPr>
          <w:ilvl w:val="0"/>
          <w:numId w:val="12"/>
        </w:numPr>
        <w:autoSpaceDE/>
        <w:autoSpaceDN/>
        <w:spacing w:line="360" w:lineRule="auto"/>
        <w:contextualSpacing/>
        <w:rPr>
          <w:szCs w:val="24"/>
        </w:rPr>
      </w:pPr>
      <w:r w:rsidRPr="0024114A">
        <w:rPr>
          <w:b/>
          <w:bCs/>
          <w:szCs w:val="24"/>
        </w:rPr>
        <w:t>an inactivated toxins (toxoids)</w:t>
      </w:r>
      <w:r w:rsidRPr="0024114A">
        <w:rPr>
          <w:szCs w:val="24"/>
        </w:rPr>
        <w:t xml:space="preserve"> produced by a microorganism (e.g. tetanus and diphtheria vaccines);</w:t>
      </w:r>
    </w:p>
    <w:p w14:paraId="57AC41FD" w14:textId="77777777" w:rsidR="002F635D" w:rsidRPr="0024114A" w:rsidRDefault="002F635D" w:rsidP="003D3F76">
      <w:pPr>
        <w:pStyle w:val="ListParagraph"/>
        <w:widowControl/>
        <w:numPr>
          <w:ilvl w:val="0"/>
          <w:numId w:val="12"/>
        </w:numPr>
        <w:autoSpaceDE/>
        <w:autoSpaceDN/>
        <w:spacing w:line="360" w:lineRule="auto"/>
        <w:contextualSpacing/>
        <w:rPr>
          <w:szCs w:val="24"/>
        </w:rPr>
      </w:pPr>
      <w:r w:rsidRPr="0024114A">
        <w:rPr>
          <w:b/>
          <w:bCs/>
          <w:szCs w:val="24"/>
        </w:rPr>
        <w:t>an extract of a micro-organism</w:t>
      </w:r>
      <w:r w:rsidRPr="0024114A">
        <w:rPr>
          <w:szCs w:val="24"/>
        </w:rPr>
        <w:t xml:space="preserve"> which may be derived from the organism (e.g. pneumococcal vaccine), or </w:t>
      </w:r>
      <w:r w:rsidRPr="0024114A">
        <w:rPr>
          <w:b/>
          <w:bCs/>
          <w:szCs w:val="24"/>
        </w:rPr>
        <w:t>produced by recombinant DNA technology</w:t>
      </w:r>
      <w:r w:rsidRPr="0024114A">
        <w:rPr>
          <w:szCs w:val="24"/>
        </w:rPr>
        <w:t xml:space="preserve"> (e.g. hepatitis B vaccine);</w:t>
      </w:r>
    </w:p>
    <w:p w14:paraId="066C7895" w14:textId="77777777" w:rsidR="002F635D" w:rsidRPr="0024114A" w:rsidRDefault="002F635D" w:rsidP="003D3F76">
      <w:pPr>
        <w:pStyle w:val="ListParagraph"/>
        <w:widowControl/>
        <w:numPr>
          <w:ilvl w:val="0"/>
          <w:numId w:val="12"/>
        </w:numPr>
        <w:autoSpaceDE/>
        <w:autoSpaceDN/>
        <w:spacing w:line="360" w:lineRule="auto"/>
        <w:contextualSpacing/>
        <w:rPr>
          <w:szCs w:val="24"/>
        </w:rPr>
      </w:pPr>
      <w:r w:rsidRPr="0024114A">
        <w:rPr>
          <w:b/>
          <w:bCs/>
          <w:szCs w:val="24"/>
        </w:rPr>
        <w:t>a viral vector of replicating (attenuated or low pathogenicity viruses)</w:t>
      </w:r>
      <w:r w:rsidRPr="0024114A">
        <w:rPr>
          <w:szCs w:val="24"/>
        </w:rPr>
        <w:t xml:space="preserve"> or non-replicating viruses (e.g. J&amp;J COVID-19 vaccine), produced using recombinant technology; or</w:t>
      </w:r>
    </w:p>
    <w:p w14:paraId="0A5A8E4D" w14:textId="77777777" w:rsidR="002F635D" w:rsidRPr="0024114A" w:rsidRDefault="002F635D" w:rsidP="00787D79">
      <w:pPr>
        <w:pStyle w:val="ListParagraph"/>
        <w:widowControl/>
        <w:numPr>
          <w:ilvl w:val="0"/>
          <w:numId w:val="12"/>
        </w:numPr>
        <w:autoSpaceDE/>
        <w:autoSpaceDN/>
        <w:spacing w:after="240" w:line="360" w:lineRule="auto"/>
        <w:contextualSpacing/>
        <w:rPr>
          <w:szCs w:val="24"/>
        </w:rPr>
      </w:pPr>
      <w:r w:rsidRPr="0024114A">
        <w:rPr>
          <w:b/>
          <w:bCs/>
          <w:szCs w:val="24"/>
        </w:rPr>
        <w:t>a nucleic acid (DNA or RNA)</w:t>
      </w:r>
      <w:r w:rsidRPr="0024114A">
        <w:rPr>
          <w:szCs w:val="24"/>
        </w:rPr>
        <w:t xml:space="preserve"> of an antigen derived from the virus (e.g. Pfizer COVID-19 vaccines) or bacteria.</w:t>
      </w:r>
    </w:p>
    <w:p w14:paraId="4F11CCDB" w14:textId="77777777" w:rsidR="002F635D" w:rsidRPr="0024114A" w:rsidRDefault="002F635D" w:rsidP="00787D79">
      <w:pPr>
        <w:jc w:val="both"/>
        <w:rPr>
          <w:rFonts w:cs="Times New Roman"/>
          <w:szCs w:val="24"/>
        </w:rPr>
      </w:pPr>
      <w:r w:rsidRPr="0024114A">
        <w:rPr>
          <w:rFonts w:cs="Times New Roman"/>
          <w:szCs w:val="24"/>
        </w:rPr>
        <w:t xml:space="preserve">Live attenuated and replicating viral vector vaccines usually promote a full, long-lasting antibody response. In rare cases, a mild form of the disease may occur with some vaccines, such as a rash following a measles-containing vaccine. Inactivated or non-replicating vaccines (including toxoids) produce an antibody response following a primary course, which may last for months or years. In most cases booster (reinforcing) injections are required for long-term protection. To stimulate the immune system more broadly, some polysaccharide vaccines have been enhanced byconjugation (such as the Haemophilus influenzae type B and meningococcal group C vaccines), while some inactivated vaccines contain an adjuvant (such as aluminum hydroxide or aluminium phosphate) to enhance the antibody response. Inactivated vaccines cannot cause the disease that they are designed to prevent. </w:t>
      </w:r>
    </w:p>
    <w:p w14:paraId="78ECBFD4" w14:textId="77777777" w:rsidR="002F635D" w:rsidRPr="0024114A" w:rsidRDefault="002F635D" w:rsidP="00787D79">
      <w:pPr>
        <w:jc w:val="both"/>
        <w:rPr>
          <w:rFonts w:cs="Times New Roman"/>
          <w:szCs w:val="24"/>
        </w:rPr>
      </w:pPr>
      <w:r w:rsidRPr="0024114A">
        <w:rPr>
          <w:rFonts w:cs="Times New Roman"/>
          <w:szCs w:val="24"/>
        </w:rPr>
        <w:lastRenderedPageBreak/>
        <w:t xml:space="preserve">Vaccines may be monovalent or multivalent (or polyvalent). A monovalent vaccine contains a single strain of a single antigen/immunogen (e.g. measles vaccine, hepatitis B vaccine), whereas a polyvalent vaccine contains two or more strains/serotypes of the same antigen/immunogen (e.g. OPV and IPV each of which contain three attenuated polio virus types).  </w:t>
      </w:r>
    </w:p>
    <w:p w14:paraId="2D8812CA" w14:textId="77777777" w:rsidR="002F635D" w:rsidRPr="0024114A" w:rsidRDefault="002F635D" w:rsidP="002F635D">
      <w:pPr>
        <w:spacing w:after="0"/>
        <w:jc w:val="both"/>
        <w:rPr>
          <w:rFonts w:cs="Times New Roman"/>
          <w:szCs w:val="24"/>
        </w:rPr>
      </w:pPr>
      <w:r w:rsidRPr="0024114A">
        <w:rPr>
          <w:rFonts w:cs="Times New Roman"/>
          <w:szCs w:val="24"/>
        </w:rPr>
        <w:t>Combined vaccines contain two or more different antigens (e.g.,DTwP, DTPa-HepB Hib). The potential advantages of combination vaccines include reducing the cost of storing and administering multiple vaccines simultaneously, reducing the cost of extra health-care visits, improving timeliness of vaccination, and facilitating the addition of new vaccines into immunization programs. Combining antigens usually does not increase the risk of adverse reactions and can lead to an overall reduction in adverse reactions. For instance, it can decrease the number of anxiety-related reactions and the chances of immunization error-related reactions.</w:t>
      </w:r>
    </w:p>
    <w:p w14:paraId="5845A314" w14:textId="77777777" w:rsidR="002F635D" w:rsidRPr="0024114A" w:rsidRDefault="002F635D" w:rsidP="002F635D">
      <w:pPr>
        <w:spacing w:after="0"/>
        <w:jc w:val="both"/>
        <w:rPr>
          <w:rFonts w:cs="Times New Roman"/>
          <w:szCs w:val="24"/>
        </w:rPr>
      </w:pPr>
      <w:r w:rsidRPr="0024114A">
        <w:rPr>
          <w:rFonts w:cs="Times New Roman"/>
          <w:szCs w:val="24"/>
        </w:rPr>
        <w:t>Almost all individuals can be safely vaccinated; in only a few individuals is vaccination either contra-indicated or should be deferred. Specialist advice should be sought when in doubt, if using live vaccines, or if there are queries about an individual’s degree of immunosuppression.  In some</w:t>
      </w:r>
    </w:p>
    <w:p w14:paraId="028E0BFD" w14:textId="77777777" w:rsidR="002F635D" w:rsidRPr="0024114A" w:rsidRDefault="002F635D" w:rsidP="00787D79">
      <w:pPr>
        <w:jc w:val="both"/>
        <w:rPr>
          <w:rFonts w:cs="Times New Roman"/>
          <w:szCs w:val="24"/>
        </w:rPr>
      </w:pPr>
      <w:r w:rsidRPr="0024114A">
        <w:rPr>
          <w:rFonts w:cs="Times New Roman"/>
          <w:szCs w:val="24"/>
        </w:rPr>
        <w:t>situations, the specialist may decide that the risk of a specific disease outweighs any potential risk from the vaccine. Antibody responses may be lower in immunosuppressed individuals, therefore additional vaccine doses may be required.</w:t>
      </w:r>
    </w:p>
    <w:p w14:paraId="1E6E9499" w14:textId="77777777" w:rsidR="002F635D" w:rsidRPr="00790028" w:rsidRDefault="002F635D" w:rsidP="00790028">
      <w:pPr>
        <w:rPr>
          <w:b/>
        </w:rPr>
      </w:pPr>
      <w:r w:rsidRPr="00790028">
        <w:rPr>
          <w:b/>
        </w:rPr>
        <w:t>Vaccination during pregnancy</w:t>
      </w:r>
    </w:p>
    <w:p w14:paraId="13476118" w14:textId="77777777" w:rsidR="002F635D" w:rsidRPr="0024114A" w:rsidRDefault="002F635D" w:rsidP="002F635D">
      <w:pPr>
        <w:spacing w:after="0"/>
        <w:jc w:val="both"/>
        <w:rPr>
          <w:rFonts w:cs="Times New Roman"/>
          <w:szCs w:val="24"/>
        </w:rPr>
      </w:pPr>
      <w:r w:rsidRPr="0024114A">
        <w:rPr>
          <w:rFonts w:cs="Times New Roman"/>
          <w:szCs w:val="24"/>
        </w:rPr>
        <w:t>Live vaccines should not be administered routinely to pregnant females due to the theoretical risk of fetal infection; these should generally be delayed until after delivery. There is no evidence of risk from vaccinating pregnant females with inactivated vaccines; they do not replicate so cannot harm the fetus. Some inactivated vaccines are actively recommended to prevent severe complications during pregnancy or to the new-born infant, such as the influenza vaccine, and diphtheria with tetanus, pertussis and poliomyelitis vaccine.</w:t>
      </w:r>
    </w:p>
    <w:p w14:paraId="34647FFB" w14:textId="77777777" w:rsidR="002F635D" w:rsidRPr="00790028" w:rsidRDefault="002F635D" w:rsidP="00790028">
      <w:pPr>
        <w:spacing w:before="240"/>
        <w:rPr>
          <w:b/>
        </w:rPr>
      </w:pPr>
      <w:r w:rsidRPr="00790028">
        <w:rPr>
          <w:b/>
        </w:rPr>
        <w:t xml:space="preserve">Vaccines in </w:t>
      </w:r>
      <w:r w:rsidR="00790028" w:rsidRPr="00790028">
        <w:rPr>
          <w:b/>
        </w:rPr>
        <w:t>i</w:t>
      </w:r>
      <w:r w:rsidRPr="00790028">
        <w:rPr>
          <w:b/>
        </w:rPr>
        <w:t xml:space="preserve">mmunosuppression and HIV </w:t>
      </w:r>
      <w:r w:rsidR="00790028" w:rsidRPr="00790028">
        <w:rPr>
          <w:b/>
        </w:rPr>
        <w:t>i</w:t>
      </w:r>
      <w:r w:rsidRPr="00790028">
        <w:rPr>
          <w:b/>
        </w:rPr>
        <w:t>nfection</w:t>
      </w:r>
    </w:p>
    <w:p w14:paraId="0E8E84BF" w14:textId="77777777" w:rsidR="002F635D" w:rsidRPr="0024114A" w:rsidRDefault="002F635D" w:rsidP="002F635D">
      <w:pPr>
        <w:spacing w:after="0"/>
        <w:jc w:val="both"/>
        <w:rPr>
          <w:rFonts w:cs="Times New Roman"/>
          <w:szCs w:val="24"/>
        </w:rPr>
      </w:pPr>
      <w:r w:rsidRPr="0024114A">
        <w:rPr>
          <w:rFonts w:cs="Times New Roman"/>
          <w:szCs w:val="24"/>
        </w:rPr>
        <w:t xml:space="preserve">Live vaccines can cause severe or fatal infections in some immunosuppressed individuals due to extensive replication of the vaccine strain. Live vaccines are, therefore, not recommended for individuals with some types of severe primary or acquired immunodeficiency, or for those who </w:t>
      </w:r>
      <w:r w:rsidRPr="0024114A">
        <w:rPr>
          <w:rFonts w:cs="Times New Roman"/>
          <w:szCs w:val="24"/>
        </w:rPr>
        <w:lastRenderedPageBreak/>
        <w:t>are on or have recently received high doses of certain immunosuppressive or biological therapies.</w:t>
      </w:r>
    </w:p>
    <w:p w14:paraId="0C874E95" w14:textId="77777777" w:rsidR="002F635D" w:rsidRPr="0024114A" w:rsidRDefault="002F635D" w:rsidP="002F635D">
      <w:pPr>
        <w:spacing w:after="0"/>
        <w:jc w:val="both"/>
        <w:rPr>
          <w:rFonts w:cs="Times New Roman"/>
          <w:szCs w:val="24"/>
        </w:rPr>
      </w:pPr>
    </w:p>
    <w:tbl>
      <w:tblPr>
        <w:tblStyle w:val="TableGrid"/>
        <w:tblW w:w="0" w:type="auto"/>
        <w:tblLook w:val="04A0" w:firstRow="1" w:lastRow="0" w:firstColumn="1" w:lastColumn="0" w:noHBand="0" w:noVBand="1"/>
      </w:tblPr>
      <w:tblGrid>
        <w:gridCol w:w="2605"/>
        <w:gridCol w:w="6745"/>
      </w:tblGrid>
      <w:tr w:rsidR="002F635D" w:rsidRPr="0024114A" w14:paraId="1993F422" w14:textId="77777777" w:rsidTr="002D6DD7">
        <w:tc>
          <w:tcPr>
            <w:tcW w:w="9350" w:type="dxa"/>
            <w:gridSpan w:val="2"/>
          </w:tcPr>
          <w:p w14:paraId="3DDE70A3" w14:textId="77777777" w:rsidR="002F635D" w:rsidRPr="0024114A" w:rsidRDefault="002F635D" w:rsidP="002D6DD7">
            <w:pPr>
              <w:contextualSpacing/>
              <w:jc w:val="both"/>
              <w:rPr>
                <w:rFonts w:cs="Times New Roman"/>
                <w:b/>
                <w:bCs/>
                <w:szCs w:val="24"/>
              </w:rPr>
            </w:pPr>
            <w:r w:rsidRPr="0024114A">
              <w:rPr>
                <w:rFonts w:cs="Times New Roman"/>
                <w:b/>
                <w:bCs/>
                <w:szCs w:val="24"/>
              </w:rPr>
              <w:t>BCG Vaccine</w:t>
            </w:r>
          </w:p>
        </w:tc>
      </w:tr>
      <w:tr w:rsidR="002F635D" w:rsidRPr="0024114A" w14:paraId="36FDC6F7" w14:textId="77777777" w:rsidTr="002D6DD7">
        <w:tc>
          <w:tcPr>
            <w:tcW w:w="2605" w:type="dxa"/>
          </w:tcPr>
          <w:p w14:paraId="5C098ACD"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751EBB21"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1464AC7C" w14:textId="77777777" w:rsidTr="002D6DD7">
        <w:tc>
          <w:tcPr>
            <w:tcW w:w="2605" w:type="dxa"/>
          </w:tcPr>
          <w:p w14:paraId="40C6D3D0"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26B8A37D" w14:textId="77777777" w:rsidR="002F635D" w:rsidRPr="0024114A" w:rsidRDefault="002F635D" w:rsidP="002D6DD7">
            <w:pPr>
              <w:contextualSpacing/>
              <w:jc w:val="both"/>
              <w:rPr>
                <w:rFonts w:cs="Times New Roman"/>
                <w:szCs w:val="24"/>
              </w:rPr>
            </w:pPr>
            <w:r w:rsidRPr="0024114A">
              <w:rPr>
                <w:rFonts w:cs="Times New Roman"/>
                <w:szCs w:val="24"/>
              </w:rPr>
              <w:t>Injection: 500,000 organisms /ml in 0.05ml, 0.1ml</w:t>
            </w:r>
          </w:p>
        </w:tc>
      </w:tr>
      <w:tr w:rsidR="002F635D" w:rsidRPr="0024114A" w14:paraId="5E1262F3" w14:textId="77777777" w:rsidTr="002D6DD7">
        <w:tc>
          <w:tcPr>
            <w:tcW w:w="2605" w:type="dxa"/>
          </w:tcPr>
          <w:p w14:paraId="7539BBC1"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42E4C97C" w14:textId="77777777" w:rsidR="002F635D" w:rsidRPr="0024114A" w:rsidRDefault="002F635D" w:rsidP="002D6DD7">
            <w:pPr>
              <w:contextualSpacing/>
              <w:jc w:val="both"/>
              <w:rPr>
                <w:rFonts w:cs="Times New Roman"/>
                <w:szCs w:val="24"/>
              </w:rPr>
            </w:pPr>
            <w:r w:rsidRPr="0024114A">
              <w:rPr>
                <w:rFonts w:cs="Times New Roman"/>
                <w:szCs w:val="24"/>
              </w:rPr>
              <w:t>Active immunization against tuberculosis (TB)</w:t>
            </w:r>
          </w:p>
        </w:tc>
      </w:tr>
      <w:tr w:rsidR="002F635D" w:rsidRPr="0024114A" w14:paraId="55CD0936" w14:textId="77777777" w:rsidTr="002D6DD7">
        <w:tc>
          <w:tcPr>
            <w:tcW w:w="2605" w:type="dxa"/>
          </w:tcPr>
          <w:p w14:paraId="026AFA5E"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5D13A5D0"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 0.05 to 0.1 ml by intradermal. Dosing is according to Immunization Schedule under National Immunization Programme (NIP).</w:t>
            </w:r>
          </w:p>
        </w:tc>
      </w:tr>
      <w:tr w:rsidR="002F635D" w:rsidRPr="0024114A" w14:paraId="08D722F2" w14:textId="77777777" w:rsidTr="002D6DD7">
        <w:tc>
          <w:tcPr>
            <w:tcW w:w="2605" w:type="dxa"/>
          </w:tcPr>
          <w:p w14:paraId="35E735A2" w14:textId="77777777" w:rsidR="002F635D" w:rsidRPr="0024114A" w:rsidRDefault="002F635D" w:rsidP="002D6DD7">
            <w:pPr>
              <w:contextualSpacing/>
              <w:jc w:val="both"/>
              <w:rPr>
                <w:rFonts w:cs="Times New Roman"/>
                <w:szCs w:val="24"/>
              </w:rPr>
            </w:pPr>
            <w:r w:rsidRPr="0024114A">
              <w:rPr>
                <w:rFonts w:cs="Times New Roman"/>
                <w:szCs w:val="24"/>
              </w:rPr>
              <w:t>Contraindications</w:t>
            </w:r>
          </w:p>
        </w:tc>
        <w:tc>
          <w:tcPr>
            <w:tcW w:w="6745" w:type="dxa"/>
          </w:tcPr>
          <w:p w14:paraId="0201599A" w14:textId="77777777" w:rsidR="002F635D" w:rsidRPr="0024114A" w:rsidRDefault="002F635D" w:rsidP="002D6DD7">
            <w:pPr>
              <w:pStyle w:val="NormalWeb"/>
              <w:shd w:val="clear" w:color="auto" w:fill="FFFFFF"/>
              <w:spacing w:before="0" w:beforeAutospacing="0" w:after="0" w:afterAutospacing="0" w:line="360" w:lineRule="auto"/>
              <w:contextualSpacing/>
              <w:jc w:val="both"/>
            </w:pPr>
            <w:r w:rsidRPr="0024114A">
              <w:t xml:space="preserve">History of anaphylaxis to any component of the vaccine, pregnancy, bone marrow or lymphoid malignancy. </w:t>
            </w:r>
          </w:p>
        </w:tc>
      </w:tr>
      <w:tr w:rsidR="002F635D" w:rsidRPr="0024114A" w14:paraId="2FFA87A3" w14:textId="77777777" w:rsidTr="002D6DD7">
        <w:tc>
          <w:tcPr>
            <w:tcW w:w="2605" w:type="dxa"/>
          </w:tcPr>
          <w:p w14:paraId="406441A8"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6137AD26" w14:textId="77777777" w:rsidR="002F635D" w:rsidRPr="0024114A" w:rsidRDefault="002F635D" w:rsidP="002D6DD7">
            <w:pPr>
              <w:contextualSpacing/>
              <w:jc w:val="both"/>
              <w:rPr>
                <w:rFonts w:cs="Times New Roman"/>
                <w:szCs w:val="24"/>
              </w:rPr>
            </w:pPr>
            <w:r w:rsidRPr="0024114A">
              <w:rPr>
                <w:rFonts w:cs="Times New Roman"/>
                <w:szCs w:val="24"/>
              </w:rPr>
              <w:t>Asparaginase, azathioprine, bleomycin, ciclosporin, cyclophosphamide, cytarabine, dacarbazine, dactinomycin, daunorubicin, dexamethasone, doxorubicin, etoposide, fluorouracil, hydrocortisone, hydrocortisone, mercaptopurine, methotrexate, prednisolone, procarbazine, vinblastine, vincristine</w:t>
            </w:r>
          </w:p>
        </w:tc>
      </w:tr>
      <w:tr w:rsidR="002F635D" w:rsidRPr="0024114A" w14:paraId="18E76984" w14:textId="77777777" w:rsidTr="002D6DD7">
        <w:tc>
          <w:tcPr>
            <w:tcW w:w="2605" w:type="dxa"/>
          </w:tcPr>
          <w:p w14:paraId="39324338"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58498E5D" w14:textId="77777777" w:rsidR="002F635D" w:rsidRPr="0024114A" w:rsidRDefault="002F635D" w:rsidP="002D6DD7">
            <w:pPr>
              <w:contextualSpacing/>
              <w:jc w:val="both"/>
              <w:rPr>
                <w:rFonts w:cs="Times New Roman"/>
                <w:szCs w:val="24"/>
              </w:rPr>
            </w:pPr>
            <w:r w:rsidRPr="0024114A">
              <w:rPr>
                <w:rFonts w:cs="Times New Roman"/>
                <w:szCs w:val="24"/>
              </w:rPr>
              <w:t>Ulcer at injection site (2–6 weeks after vaccination), enlargement of regional lymph nodes, transient injection site reactions (pain, redness, itching, swelling or burning), transient fever, fainting, disseminated disease or infections such as osteomyelitis, abscess</w:t>
            </w:r>
          </w:p>
        </w:tc>
      </w:tr>
      <w:tr w:rsidR="002F635D" w:rsidRPr="0024114A" w14:paraId="19A0747F" w14:textId="77777777" w:rsidTr="002D6DD7">
        <w:tc>
          <w:tcPr>
            <w:tcW w:w="2605" w:type="dxa"/>
          </w:tcPr>
          <w:p w14:paraId="00C7BDBB"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09C65B12" w14:textId="77777777" w:rsidR="002F635D" w:rsidRPr="0024114A" w:rsidRDefault="002F635D" w:rsidP="002D6DD7">
            <w:pPr>
              <w:contextualSpacing/>
              <w:jc w:val="both"/>
              <w:rPr>
                <w:rFonts w:cs="Times New Roman"/>
                <w:szCs w:val="24"/>
              </w:rPr>
            </w:pPr>
            <w:r w:rsidRPr="0024114A">
              <w:rPr>
                <w:rFonts w:cs="Times New Roman"/>
                <w:szCs w:val="24"/>
              </w:rPr>
              <w:t>Congenital or acquired cell-mediated immune deficiencies (including HIV), patients with systemic corticosteroid/immunosuppressive treatment, malignant condition, pyrexia, generalized infected dermatoses, organ abnormalities, pregnancy.</w:t>
            </w:r>
          </w:p>
        </w:tc>
      </w:tr>
      <w:tr w:rsidR="002F635D" w:rsidRPr="0024114A" w14:paraId="5C28F170" w14:textId="77777777" w:rsidTr="002D6DD7">
        <w:tc>
          <w:tcPr>
            <w:tcW w:w="2605" w:type="dxa"/>
          </w:tcPr>
          <w:p w14:paraId="3BA1D888"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4AFCB7EE" w14:textId="77777777" w:rsidR="002F635D" w:rsidRPr="0024114A" w:rsidRDefault="002F635D" w:rsidP="002D6DD7">
            <w:pPr>
              <w:contextualSpacing/>
              <w:jc w:val="both"/>
              <w:rPr>
                <w:rFonts w:cs="Times New Roman"/>
                <w:szCs w:val="24"/>
              </w:rPr>
            </w:pPr>
            <w:r w:rsidRPr="0024114A">
              <w:rPr>
                <w:rFonts w:cs="Times New Roman"/>
                <w:szCs w:val="24"/>
              </w:rPr>
              <w:t>Store between 2°C–8°C. Do not freeze. Protect from light.</w:t>
            </w:r>
          </w:p>
        </w:tc>
      </w:tr>
      <w:tr w:rsidR="002F635D" w:rsidRPr="0024114A" w14:paraId="4111538F" w14:textId="77777777" w:rsidTr="002D6DD7">
        <w:tc>
          <w:tcPr>
            <w:tcW w:w="9350" w:type="dxa"/>
            <w:gridSpan w:val="2"/>
          </w:tcPr>
          <w:p w14:paraId="29C33692" w14:textId="77777777" w:rsidR="002F635D" w:rsidRPr="0024114A" w:rsidRDefault="002F635D" w:rsidP="002D6DD7">
            <w:pPr>
              <w:contextualSpacing/>
              <w:jc w:val="both"/>
              <w:rPr>
                <w:rFonts w:cs="Times New Roman"/>
                <w:b/>
                <w:bCs/>
                <w:szCs w:val="24"/>
              </w:rPr>
            </w:pPr>
            <w:r w:rsidRPr="0024114A">
              <w:rPr>
                <w:rFonts w:cs="Times New Roman"/>
                <w:b/>
                <w:bCs/>
                <w:color w:val="000000"/>
                <w:szCs w:val="24"/>
              </w:rPr>
              <w:t>Hepatitis B Vaccine (plasma-derived, recombinant vaccines)</w:t>
            </w:r>
          </w:p>
        </w:tc>
      </w:tr>
      <w:tr w:rsidR="002F635D" w:rsidRPr="0024114A" w14:paraId="0C3C819A" w14:textId="77777777" w:rsidTr="002D6DD7">
        <w:tc>
          <w:tcPr>
            <w:tcW w:w="2605" w:type="dxa"/>
          </w:tcPr>
          <w:p w14:paraId="50BF6A97"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5A69144C"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32F0F153" w14:textId="77777777" w:rsidTr="002D6DD7">
        <w:tc>
          <w:tcPr>
            <w:tcW w:w="2605" w:type="dxa"/>
          </w:tcPr>
          <w:p w14:paraId="0844AA32"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4D41EAF3" w14:textId="77777777" w:rsidR="002F635D" w:rsidRPr="0024114A" w:rsidRDefault="002F635D" w:rsidP="002D6DD7">
            <w:pPr>
              <w:contextualSpacing/>
              <w:jc w:val="both"/>
              <w:rPr>
                <w:rFonts w:cs="Times New Roman"/>
                <w:szCs w:val="24"/>
              </w:rPr>
            </w:pPr>
            <w:r w:rsidRPr="0024114A">
              <w:rPr>
                <w:rFonts w:cs="Times New Roman"/>
                <w:szCs w:val="24"/>
              </w:rPr>
              <w:t>Injection (inactivated): 16.5% in 2ml, 10ml</w:t>
            </w:r>
          </w:p>
          <w:p w14:paraId="74DF3B40" w14:textId="77777777" w:rsidR="002F635D" w:rsidRPr="0024114A" w:rsidRDefault="002F635D" w:rsidP="002D6DD7">
            <w:pPr>
              <w:contextualSpacing/>
              <w:jc w:val="both"/>
              <w:rPr>
                <w:rFonts w:cs="Times New Roman"/>
                <w:szCs w:val="24"/>
              </w:rPr>
            </w:pPr>
            <w:r w:rsidRPr="0024114A">
              <w:rPr>
                <w:rFonts w:eastAsia="Times New Roman" w:cs="Times New Roman"/>
                <w:color w:val="000000"/>
                <w:szCs w:val="24"/>
              </w:rPr>
              <w:lastRenderedPageBreak/>
              <w:t>Injection (</w:t>
            </w:r>
            <w:r w:rsidRPr="0024114A">
              <w:rPr>
                <w:rFonts w:cs="Times New Roman"/>
                <w:color w:val="000000"/>
                <w:szCs w:val="24"/>
              </w:rPr>
              <w:t>recombinant)</w:t>
            </w:r>
            <w:r w:rsidRPr="0024114A">
              <w:rPr>
                <w:rFonts w:eastAsia="Times New Roman" w:cs="Times New Roman"/>
                <w:color w:val="000000"/>
                <w:szCs w:val="24"/>
              </w:rPr>
              <w:t>: 0.5ml</w:t>
            </w:r>
          </w:p>
        </w:tc>
      </w:tr>
      <w:tr w:rsidR="002F635D" w:rsidRPr="0024114A" w14:paraId="2FBF0C94" w14:textId="77777777" w:rsidTr="002D6DD7">
        <w:tc>
          <w:tcPr>
            <w:tcW w:w="2605" w:type="dxa"/>
          </w:tcPr>
          <w:p w14:paraId="6066C65B" w14:textId="77777777" w:rsidR="002F635D" w:rsidRPr="0024114A" w:rsidRDefault="002F635D" w:rsidP="002D6DD7">
            <w:pPr>
              <w:contextualSpacing/>
              <w:jc w:val="both"/>
              <w:rPr>
                <w:rFonts w:cs="Times New Roman"/>
                <w:b/>
                <w:szCs w:val="24"/>
              </w:rPr>
            </w:pPr>
            <w:r w:rsidRPr="0024114A">
              <w:rPr>
                <w:rFonts w:cs="Times New Roman"/>
                <w:b/>
                <w:szCs w:val="24"/>
              </w:rPr>
              <w:lastRenderedPageBreak/>
              <w:t>Indications</w:t>
            </w:r>
          </w:p>
        </w:tc>
        <w:tc>
          <w:tcPr>
            <w:tcW w:w="6745" w:type="dxa"/>
          </w:tcPr>
          <w:p w14:paraId="61D47CA7" w14:textId="77777777" w:rsidR="002F635D" w:rsidRPr="0024114A" w:rsidRDefault="002F635D" w:rsidP="002D6DD7">
            <w:pPr>
              <w:contextualSpacing/>
              <w:jc w:val="both"/>
              <w:rPr>
                <w:rFonts w:cs="Times New Roman"/>
                <w:szCs w:val="24"/>
              </w:rPr>
            </w:pPr>
            <w:r w:rsidRPr="0024114A">
              <w:rPr>
                <w:rFonts w:cs="Times New Roman"/>
                <w:szCs w:val="24"/>
              </w:rPr>
              <w:t>Immunization against infection caused by hepatitis B virus, post-exposure prophylaxis</w:t>
            </w:r>
          </w:p>
        </w:tc>
      </w:tr>
      <w:tr w:rsidR="002F635D" w:rsidRPr="0024114A" w14:paraId="54CFE960" w14:textId="77777777" w:rsidTr="002D6DD7">
        <w:tc>
          <w:tcPr>
            <w:tcW w:w="2605" w:type="dxa"/>
          </w:tcPr>
          <w:p w14:paraId="4F52518C"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240F4226" w14:textId="77777777" w:rsidR="002F635D" w:rsidRPr="0024114A" w:rsidRDefault="002F635D" w:rsidP="002D6DD7">
            <w:pPr>
              <w:contextualSpacing/>
              <w:jc w:val="both"/>
              <w:rPr>
                <w:rFonts w:cs="Times New Roman"/>
                <w:szCs w:val="24"/>
              </w:rPr>
            </w:pPr>
            <w:r w:rsidRPr="0024114A">
              <w:rPr>
                <w:rFonts w:cs="Times New Roman"/>
                <w:b/>
                <w:bCs/>
                <w:szCs w:val="24"/>
              </w:rPr>
              <w:t>Administration</w:t>
            </w:r>
            <w:r w:rsidRPr="0024114A">
              <w:rPr>
                <w:rFonts w:cs="Times New Roman"/>
                <w:szCs w:val="24"/>
              </w:rPr>
              <w:t>: The vaccine should be given in the deltoid region in adults and older children. Anterolateral thigh is the preferred site in infants and young children.</w:t>
            </w:r>
            <w:r w:rsidR="00790028">
              <w:rPr>
                <w:rFonts w:cs="Times New Roman"/>
                <w:szCs w:val="24"/>
              </w:rPr>
              <w:t xml:space="preserve"> </w:t>
            </w:r>
            <w:r w:rsidRPr="0024114A">
              <w:rPr>
                <w:rFonts w:cs="Times New Roman"/>
                <w:szCs w:val="24"/>
              </w:rPr>
              <w:t>It</w:t>
            </w:r>
            <w:r w:rsidR="00790028">
              <w:rPr>
                <w:rFonts w:cs="Times New Roman"/>
                <w:szCs w:val="24"/>
              </w:rPr>
              <w:t xml:space="preserve"> </w:t>
            </w:r>
            <w:r w:rsidRPr="0024114A">
              <w:rPr>
                <w:rFonts w:cs="Times New Roman"/>
                <w:szCs w:val="24"/>
              </w:rPr>
              <w:t xml:space="preserve">should not be injected into the buttock (vaccine efficacy is reduced). </w:t>
            </w:r>
          </w:p>
          <w:p w14:paraId="786980EC" w14:textId="77777777" w:rsidR="002F635D" w:rsidRPr="0024114A" w:rsidRDefault="002F635D" w:rsidP="002D6DD7">
            <w:pPr>
              <w:contextualSpacing/>
              <w:jc w:val="both"/>
              <w:rPr>
                <w:rFonts w:cs="Times New Roman"/>
                <w:szCs w:val="24"/>
              </w:rPr>
            </w:pPr>
            <w:r w:rsidRPr="0024114A">
              <w:rPr>
                <w:rFonts w:cs="Times New Roman"/>
                <w:b/>
                <w:bCs/>
                <w:szCs w:val="24"/>
              </w:rPr>
              <w:t>Adult</w:t>
            </w:r>
            <w:r w:rsidRPr="0024114A">
              <w:rPr>
                <w:rFonts w:cs="Times New Roman"/>
                <w:szCs w:val="24"/>
              </w:rPr>
              <w:t>: 3 doses of 1 ml, with an interval of 1 month between the first and second dose and 5–11 months between the second and third doses.</w:t>
            </w:r>
          </w:p>
          <w:p w14:paraId="0283C4C4"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00790028">
              <w:rPr>
                <w:rFonts w:cs="Times New Roman"/>
                <w:b/>
                <w:bCs/>
                <w:szCs w:val="24"/>
              </w:rPr>
              <w:t xml:space="preserve"> </w:t>
            </w:r>
            <w:r w:rsidRPr="0024114A">
              <w:rPr>
                <w:rFonts w:cs="Times New Roman"/>
                <w:szCs w:val="24"/>
              </w:rPr>
              <w:t>IM:</w:t>
            </w:r>
          </w:p>
          <w:p w14:paraId="14203D64" w14:textId="77777777" w:rsidR="002F635D" w:rsidRPr="0024114A" w:rsidRDefault="002F635D" w:rsidP="002D6DD7">
            <w:pPr>
              <w:contextualSpacing/>
              <w:jc w:val="both"/>
              <w:rPr>
                <w:rFonts w:cs="Times New Roman"/>
                <w:b/>
                <w:bCs/>
                <w:szCs w:val="24"/>
              </w:rPr>
            </w:pPr>
            <w:r w:rsidRPr="0024114A">
              <w:rPr>
                <w:rFonts w:cs="Times New Roman"/>
                <w:b/>
                <w:szCs w:val="24"/>
              </w:rPr>
              <w:t xml:space="preserve">Neonate, infant, </w:t>
            </w:r>
            <w:r w:rsidRPr="0024114A">
              <w:rPr>
                <w:rFonts w:cs="Times New Roman"/>
                <w:szCs w:val="24"/>
              </w:rPr>
              <w:t>or</w:t>
            </w:r>
            <w:r w:rsidRPr="0024114A">
              <w:rPr>
                <w:rFonts w:cs="Times New Roman"/>
                <w:b/>
                <w:szCs w:val="24"/>
              </w:rPr>
              <w:t xml:space="preserve"> child from birth</w:t>
            </w:r>
            <w:r w:rsidRPr="0024114A">
              <w:rPr>
                <w:rFonts w:cs="Times New Roman"/>
                <w:szCs w:val="24"/>
              </w:rPr>
              <w:t>: One monovalent dose at birth, then two or three subsequent doses of monovalent or combined hepatitis B vaccine administered according to schedules of national routine immunization programs; generally, subsequent doses after birth dose are given at 2, 4, and 6 or 12 months of age, depending on the vaccine used.</w:t>
            </w:r>
          </w:p>
          <w:p w14:paraId="33DFE2EC" w14:textId="77777777" w:rsidR="002F635D" w:rsidRPr="0024114A" w:rsidRDefault="002F635D" w:rsidP="002D6DD7">
            <w:pPr>
              <w:contextualSpacing/>
              <w:jc w:val="both"/>
              <w:rPr>
                <w:rFonts w:cs="Times New Roman"/>
                <w:szCs w:val="24"/>
              </w:rPr>
            </w:pPr>
            <w:r w:rsidRPr="0024114A">
              <w:rPr>
                <w:rFonts w:cs="Times New Roman"/>
                <w:b/>
                <w:bCs/>
                <w:szCs w:val="24"/>
              </w:rPr>
              <w:t>Hepatitis B prophylaxis for infants born to hepatitis B surface antigen-positive mother</w:t>
            </w:r>
            <w:r w:rsidRPr="0024114A">
              <w:rPr>
                <w:rFonts w:cs="Times New Roman"/>
                <w:szCs w:val="24"/>
              </w:rPr>
              <w:t>, IM:</w:t>
            </w:r>
          </w:p>
          <w:p w14:paraId="2F114E0E" w14:textId="77777777" w:rsidR="002F635D" w:rsidRPr="0024114A" w:rsidRDefault="002F635D" w:rsidP="002D6DD7">
            <w:pPr>
              <w:contextualSpacing/>
              <w:jc w:val="both"/>
              <w:rPr>
                <w:rFonts w:cs="Times New Roman"/>
                <w:szCs w:val="24"/>
              </w:rPr>
            </w:pPr>
            <w:r w:rsidRPr="0024114A">
              <w:rPr>
                <w:rFonts w:cs="Times New Roman"/>
                <w:b/>
                <w:bCs/>
                <w:szCs w:val="24"/>
              </w:rPr>
              <w:t>Neonate</w:t>
            </w:r>
            <w:r w:rsidRPr="0024114A">
              <w:rPr>
                <w:rFonts w:cs="Times New Roman"/>
                <w:szCs w:val="24"/>
              </w:rPr>
              <w:t>: One dose of vaccine with hepatitis B immunoglobulin (in the opposite thigh) within 12 hours of birth (yet preferably immediately afterbirth), then three subsequent doses as per primary immunization (as above).</w:t>
            </w:r>
          </w:p>
          <w:p w14:paraId="45EC2C27" w14:textId="77777777" w:rsidR="002F635D" w:rsidRPr="0024114A" w:rsidRDefault="002F635D" w:rsidP="002D6DD7">
            <w:pPr>
              <w:contextualSpacing/>
              <w:jc w:val="both"/>
              <w:rPr>
                <w:rFonts w:cs="Times New Roman"/>
                <w:b/>
                <w:bCs/>
                <w:szCs w:val="24"/>
              </w:rPr>
            </w:pPr>
            <w:r w:rsidRPr="0024114A">
              <w:rPr>
                <w:rFonts w:cs="Times New Roman"/>
                <w:b/>
                <w:bCs/>
                <w:szCs w:val="24"/>
              </w:rPr>
              <w:t xml:space="preserve">Post-exposure prophylaxis (other than at birth), </w:t>
            </w:r>
            <w:r w:rsidRPr="0024114A">
              <w:rPr>
                <w:rFonts w:cs="Times New Roman"/>
                <w:bCs/>
                <w:szCs w:val="24"/>
              </w:rPr>
              <w:t>IM:</w:t>
            </w:r>
          </w:p>
          <w:p w14:paraId="1066AF6F" w14:textId="77777777" w:rsidR="002F635D" w:rsidRPr="0024114A" w:rsidRDefault="002F635D" w:rsidP="002D6DD7">
            <w:pPr>
              <w:contextualSpacing/>
              <w:jc w:val="both"/>
              <w:rPr>
                <w:rFonts w:cs="Times New Roman"/>
                <w:szCs w:val="24"/>
              </w:rPr>
            </w:pPr>
            <w:r w:rsidRPr="0024114A">
              <w:rPr>
                <w:rFonts w:cs="Times New Roman"/>
                <w:b/>
                <w:bCs/>
                <w:szCs w:val="24"/>
              </w:rPr>
              <w:t>Child all ages:</w:t>
            </w:r>
            <w:r w:rsidRPr="0024114A">
              <w:rPr>
                <w:rFonts w:cs="Times New Roman"/>
                <w:szCs w:val="24"/>
              </w:rPr>
              <w:t xml:space="preserve"> Administer vaccine at age-appropriate dose, with the second dose given at 1 month and the third dose given at 2 months after the initial dose; for those at continued risk, a fourth dose should be given 12 months after the first dose.</w:t>
            </w:r>
          </w:p>
          <w:p w14:paraId="4E64F1F1" w14:textId="77777777" w:rsidR="002F635D" w:rsidRPr="0024114A" w:rsidRDefault="002F635D" w:rsidP="002D6DD7">
            <w:pPr>
              <w:contextualSpacing/>
              <w:jc w:val="both"/>
              <w:rPr>
                <w:rFonts w:cs="Times New Roman"/>
                <w:b/>
                <w:bCs/>
                <w:szCs w:val="24"/>
              </w:rPr>
            </w:pPr>
            <w:r w:rsidRPr="0024114A">
              <w:rPr>
                <w:rFonts w:cs="Times New Roman"/>
                <w:b/>
                <w:bCs/>
                <w:szCs w:val="24"/>
              </w:rPr>
              <w:t xml:space="preserve">Percutaneous/ocular/mucous membrane exposure, </w:t>
            </w:r>
            <w:r w:rsidRPr="0024114A">
              <w:rPr>
                <w:rFonts w:cs="Times New Roman"/>
                <w:bCs/>
                <w:szCs w:val="24"/>
              </w:rPr>
              <w:t>IM:</w:t>
            </w:r>
          </w:p>
          <w:p w14:paraId="11A2825F" w14:textId="77777777" w:rsidR="002F635D" w:rsidRPr="0024114A" w:rsidRDefault="002F635D" w:rsidP="002D6DD7">
            <w:pPr>
              <w:contextualSpacing/>
              <w:jc w:val="both"/>
              <w:rPr>
                <w:rFonts w:cs="Times New Roman"/>
                <w:szCs w:val="24"/>
              </w:rPr>
            </w:pPr>
            <w:r w:rsidRPr="0024114A">
              <w:rPr>
                <w:rFonts w:cs="Times New Roman"/>
                <w:b/>
                <w:bCs/>
                <w:szCs w:val="24"/>
              </w:rPr>
              <w:t>Child all ages:</w:t>
            </w:r>
            <w:r w:rsidRPr="0024114A">
              <w:rPr>
                <w:rFonts w:cs="Times New Roman"/>
                <w:szCs w:val="24"/>
              </w:rPr>
              <w:t xml:space="preserve"> Administer first dose of vaccine within 7 days and hepatitis B immunoglobulin within 72 hours.</w:t>
            </w:r>
          </w:p>
          <w:p w14:paraId="2270257E" w14:textId="77777777" w:rsidR="002F635D" w:rsidRPr="0024114A" w:rsidRDefault="002F635D" w:rsidP="002D6DD7">
            <w:pPr>
              <w:contextualSpacing/>
              <w:jc w:val="both"/>
              <w:rPr>
                <w:rFonts w:cs="Times New Roman"/>
                <w:b/>
                <w:bCs/>
                <w:szCs w:val="24"/>
              </w:rPr>
            </w:pPr>
            <w:r w:rsidRPr="0024114A">
              <w:rPr>
                <w:rFonts w:cs="Times New Roman"/>
                <w:b/>
                <w:bCs/>
                <w:szCs w:val="24"/>
              </w:rPr>
              <w:lastRenderedPageBreak/>
              <w:t>Sexual exposure</w:t>
            </w:r>
            <w:r w:rsidRPr="0024114A">
              <w:rPr>
                <w:rFonts w:cs="Times New Roman"/>
                <w:bCs/>
                <w:szCs w:val="24"/>
              </w:rPr>
              <w:t>, IM:</w:t>
            </w:r>
          </w:p>
          <w:p w14:paraId="435B2857" w14:textId="77777777" w:rsidR="002F635D" w:rsidRPr="0024114A" w:rsidRDefault="002F635D" w:rsidP="002D6DD7">
            <w:pPr>
              <w:contextualSpacing/>
              <w:jc w:val="both"/>
              <w:rPr>
                <w:rFonts w:cs="Times New Roman"/>
                <w:szCs w:val="24"/>
              </w:rPr>
            </w:pPr>
            <w:r w:rsidRPr="0024114A">
              <w:rPr>
                <w:rFonts w:cs="Times New Roman"/>
                <w:b/>
                <w:bCs/>
                <w:szCs w:val="24"/>
              </w:rPr>
              <w:t>Child all ages</w:t>
            </w:r>
            <w:r w:rsidRPr="0024114A">
              <w:rPr>
                <w:rFonts w:cs="Times New Roman"/>
                <w:szCs w:val="24"/>
              </w:rPr>
              <w:t>: Administer first dose of vaccine and hepatitis B immunoglobulin within 14 days.</w:t>
            </w:r>
          </w:p>
          <w:p w14:paraId="1B277C15" w14:textId="77777777" w:rsidR="002F635D" w:rsidRPr="00790028" w:rsidRDefault="002F635D" w:rsidP="002D6DD7">
            <w:pPr>
              <w:contextualSpacing/>
              <w:jc w:val="both"/>
              <w:rPr>
                <w:rFonts w:cs="Times New Roman"/>
                <w:i/>
                <w:szCs w:val="24"/>
              </w:rPr>
            </w:pPr>
            <w:r w:rsidRPr="00790028">
              <w:rPr>
                <w:rFonts w:cs="Times New Roman"/>
                <w:b/>
                <w:i/>
                <w:szCs w:val="24"/>
              </w:rPr>
              <w:t>Note</w:t>
            </w:r>
            <w:r w:rsidRPr="00790028">
              <w:rPr>
                <w:rFonts w:cs="Times New Roman"/>
                <w:i/>
                <w:szCs w:val="24"/>
              </w:rPr>
              <w:t>: Two types of hepatitis B vaccines are available: plasma-derived and recombinant vaccines. Both types are highly effective, but the recombinant vaccine is most commonly used. Hepatitis B vaccine is available as a monovalent or a fixed-combination vaccine with other antigens such as Haemophilus influenzae type b, poliomyelitis, diphtheria, pertussis and tetanus.</w:t>
            </w:r>
            <w:r w:rsidR="00790028">
              <w:rPr>
                <w:rFonts w:cs="Times New Roman"/>
                <w:i/>
                <w:szCs w:val="24"/>
              </w:rPr>
              <w:t xml:space="preserve"> </w:t>
            </w:r>
            <w:r w:rsidRPr="00790028">
              <w:rPr>
                <w:rFonts w:cs="Times New Roman"/>
                <w:i/>
                <w:szCs w:val="24"/>
              </w:rPr>
              <w:t>Combination hepatitis B vaccines should not be used for the birth dose. This dose should beprovided using the monovalent hepatitis B vaccine</w:t>
            </w:r>
            <w:r w:rsidR="00790028">
              <w:rPr>
                <w:rFonts w:cs="Times New Roman"/>
                <w:i/>
                <w:szCs w:val="24"/>
              </w:rPr>
              <w:t>.</w:t>
            </w:r>
          </w:p>
        </w:tc>
      </w:tr>
      <w:tr w:rsidR="002F635D" w:rsidRPr="0024114A" w14:paraId="3E78A8B0" w14:textId="77777777" w:rsidTr="002D6DD7">
        <w:tc>
          <w:tcPr>
            <w:tcW w:w="2605" w:type="dxa"/>
          </w:tcPr>
          <w:p w14:paraId="4738E71C" w14:textId="77777777" w:rsidR="002F635D" w:rsidRPr="0024114A" w:rsidRDefault="002F635D" w:rsidP="002D6DD7">
            <w:pPr>
              <w:contextualSpacing/>
              <w:jc w:val="both"/>
              <w:rPr>
                <w:rFonts w:cs="Times New Roman"/>
                <w:szCs w:val="24"/>
              </w:rPr>
            </w:pPr>
            <w:r w:rsidRPr="0024114A">
              <w:rPr>
                <w:rFonts w:cs="Times New Roman"/>
                <w:szCs w:val="24"/>
              </w:rPr>
              <w:lastRenderedPageBreak/>
              <w:t>Contraindications</w:t>
            </w:r>
          </w:p>
        </w:tc>
        <w:tc>
          <w:tcPr>
            <w:tcW w:w="6745" w:type="dxa"/>
          </w:tcPr>
          <w:p w14:paraId="6D06F1D7" w14:textId="77777777" w:rsidR="002F635D" w:rsidRPr="0024114A" w:rsidRDefault="002F635D" w:rsidP="002D6DD7">
            <w:pPr>
              <w:contextualSpacing/>
              <w:jc w:val="both"/>
              <w:rPr>
                <w:rFonts w:cs="Times New Roman"/>
                <w:szCs w:val="24"/>
              </w:rPr>
            </w:pPr>
            <w:r w:rsidRPr="0024114A">
              <w:rPr>
                <w:rFonts w:cs="Times New Roman"/>
                <w:szCs w:val="24"/>
              </w:rPr>
              <w:t>Severe allergic reaction (e.g., anaphylaxis) after a previous dose of any hepatitis B vaccine or to any vaccine component, including yeast.</w:t>
            </w:r>
          </w:p>
        </w:tc>
      </w:tr>
      <w:tr w:rsidR="002F635D" w:rsidRPr="0024114A" w14:paraId="3F328A94" w14:textId="77777777" w:rsidTr="002D6DD7">
        <w:tc>
          <w:tcPr>
            <w:tcW w:w="2605" w:type="dxa"/>
          </w:tcPr>
          <w:p w14:paraId="35EC2AD9"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4034A88A" w14:textId="77777777" w:rsidR="002F635D" w:rsidRPr="0024114A" w:rsidRDefault="002F635D" w:rsidP="002D6DD7">
            <w:pPr>
              <w:autoSpaceDE w:val="0"/>
              <w:autoSpaceDN w:val="0"/>
              <w:adjustRightInd w:val="0"/>
              <w:contextualSpacing/>
              <w:jc w:val="both"/>
              <w:rPr>
                <w:rFonts w:cs="Times New Roman"/>
                <w:szCs w:val="24"/>
              </w:rPr>
            </w:pPr>
            <w:r w:rsidRPr="0024114A">
              <w:rPr>
                <w:rFonts w:cs="Times New Roman"/>
                <w:szCs w:val="24"/>
              </w:rPr>
              <w:t xml:space="preserve">Azathioprine, budesonide, hydrocortisone, prednisone, prednisolone, methylprednisolone, sirolimus, tacrolimus. </w:t>
            </w:r>
          </w:p>
        </w:tc>
      </w:tr>
      <w:tr w:rsidR="002F635D" w:rsidRPr="0024114A" w14:paraId="7B6904DC" w14:textId="77777777" w:rsidTr="002D6DD7">
        <w:tc>
          <w:tcPr>
            <w:tcW w:w="2605" w:type="dxa"/>
          </w:tcPr>
          <w:p w14:paraId="10FB1E72"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0CCBA441" w14:textId="77777777" w:rsidR="002F635D" w:rsidRPr="0024114A" w:rsidRDefault="002F635D" w:rsidP="002D6DD7">
            <w:pPr>
              <w:contextualSpacing/>
              <w:jc w:val="both"/>
              <w:rPr>
                <w:rFonts w:cs="Times New Roman"/>
                <w:szCs w:val="24"/>
              </w:rPr>
            </w:pPr>
            <w:r w:rsidRPr="0024114A">
              <w:rPr>
                <w:rFonts w:cs="Times New Roman"/>
                <w:szCs w:val="24"/>
              </w:rPr>
              <w:t>Local reactions (pain, erythema, swelling), headache, myalgia, transient fever, fainting, fatigue, nausea, diarrhea. Rarely; anaphylactic reactions.</w:t>
            </w:r>
          </w:p>
        </w:tc>
      </w:tr>
      <w:tr w:rsidR="002F635D" w:rsidRPr="0024114A" w14:paraId="07473C51" w14:textId="77777777" w:rsidTr="002D6DD7">
        <w:tc>
          <w:tcPr>
            <w:tcW w:w="2605" w:type="dxa"/>
          </w:tcPr>
          <w:p w14:paraId="06EC756B"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38614956" w14:textId="77777777" w:rsidR="002F635D" w:rsidRPr="0024114A" w:rsidRDefault="002F635D" w:rsidP="002D6DD7">
            <w:pPr>
              <w:contextualSpacing/>
              <w:jc w:val="both"/>
              <w:rPr>
                <w:rFonts w:cs="Times New Roman"/>
                <w:szCs w:val="24"/>
              </w:rPr>
            </w:pPr>
            <w:r w:rsidRPr="0024114A">
              <w:rPr>
                <w:rFonts w:cs="Times New Roman"/>
                <w:szCs w:val="24"/>
              </w:rPr>
              <w:t>Allergic reactions, acute febrile illness (postpone all vaccinations until patient is well). A reduced immunogenicity of the vaccine may occur in individuals with immunodeficiency including advanced HIV infection, diabetes, chronic liver disease or chronic renal failure. May not prevent hepatitis B infection in individuals who have an unrecognized hepatitis B infection at the time of vaccine administration (i.e., Hepatitis B has a long incubation period).</w:t>
            </w:r>
          </w:p>
        </w:tc>
      </w:tr>
      <w:tr w:rsidR="002F635D" w:rsidRPr="0024114A" w14:paraId="1B8CCE66" w14:textId="77777777" w:rsidTr="002D6DD7">
        <w:tc>
          <w:tcPr>
            <w:tcW w:w="2605" w:type="dxa"/>
          </w:tcPr>
          <w:p w14:paraId="52E19B42"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340E16C8" w14:textId="77777777" w:rsidR="002F635D" w:rsidRPr="0024114A" w:rsidRDefault="002F635D" w:rsidP="002D6DD7">
            <w:pPr>
              <w:contextualSpacing/>
              <w:jc w:val="both"/>
              <w:rPr>
                <w:rFonts w:cs="Times New Roman"/>
                <w:szCs w:val="24"/>
              </w:rPr>
            </w:pPr>
            <w:r w:rsidRPr="0024114A">
              <w:rPr>
                <w:rFonts w:cs="Times New Roman"/>
                <w:szCs w:val="24"/>
              </w:rPr>
              <w:t>Store between 2° to 8°C. Do not freeze; discard if product has been frozen. Do not dilute to administer.</w:t>
            </w:r>
          </w:p>
        </w:tc>
      </w:tr>
      <w:tr w:rsidR="002F635D" w:rsidRPr="0024114A" w14:paraId="675F6EA6" w14:textId="77777777" w:rsidTr="002D6DD7">
        <w:tc>
          <w:tcPr>
            <w:tcW w:w="9350" w:type="dxa"/>
            <w:gridSpan w:val="2"/>
          </w:tcPr>
          <w:p w14:paraId="03D6ED6F" w14:textId="77777777" w:rsidR="002F635D" w:rsidRPr="0024114A" w:rsidRDefault="002F635D" w:rsidP="002D6DD7">
            <w:pPr>
              <w:contextualSpacing/>
              <w:jc w:val="both"/>
              <w:rPr>
                <w:rFonts w:cs="Times New Roman"/>
                <w:b/>
                <w:bCs/>
                <w:szCs w:val="24"/>
              </w:rPr>
            </w:pPr>
            <w:r w:rsidRPr="0024114A">
              <w:rPr>
                <w:rFonts w:cs="Times New Roman"/>
                <w:b/>
                <w:bCs/>
                <w:szCs w:val="24"/>
              </w:rPr>
              <w:t>Human papilloma virus (HPV) Vaccine, (Quadrivalent)</w:t>
            </w:r>
          </w:p>
        </w:tc>
      </w:tr>
      <w:tr w:rsidR="002F635D" w:rsidRPr="0024114A" w14:paraId="51F8ED33" w14:textId="77777777" w:rsidTr="002D6DD7">
        <w:tc>
          <w:tcPr>
            <w:tcW w:w="2605" w:type="dxa"/>
          </w:tcPr>
          <w:p w14:paraId="5324C067"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43F6110D"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4482E9F5" w14:textId="77777777" w:rsidTr="002D6DD7">
        <w:tc>
          <w:tcPr>
            <w:tcW w:w="2605" w:type="dxa"/>
          </w:tcPr>
          <w:p w14:paraId="55B09052"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719D8EF9" w14:textId="77777777" w:rsidR="002F635D" w:rsidRPr="0024114A" w:rsidRDefault="002F635D" w:rsidP="002D6DD7">
            <w:pPr>
              <w:contextualSpacing/>
              <w:jc w:val="both"/>
              <w:rPr>
                <w:rFonts w:cs="Times New Roman"/>
                <w:szCs w:val="24"/>
              </w:rPr>
            </w:pPr>
            <w:r w:rsidRPr="0024114A">
              <w:rPr>
                <w:rFonts w:cs="Times New Roman"/>
                <w:szCs w:val="24"/>
              </w:rPr>
              <w:t>Injection: 0.5ml</w:t>
            </w:r>
          </w:p>
        </w:tc>
      </w:tr>
      <w:tr w:rsidR="002F635D" w:rsidRPr="0024114A" w14:paraId="799EF7DC" w14:textId="77777777" w:rsidTr="002D6DD7">
        <w:tc>
          <w:tcPr>
            <w:tcW w:w="2605" w:type="dxa"/>
          </w:tcPr>
          <w:p w14:paraId="6D562D73" w14:textId="77777777" w:rsidR="002F635D" w:rsidRPr="0024114A" w:rsidRDefault="002F635D" w:rsidP="002D6DD7">
            <w:pPr>
              <w:contextualSpacing/>
              <w:jc w:val="both"/>
              <w:rPr>
                <w:rFonts w:cs="Times New Roman"/>
                <w:szCs w:val="24"/>
              </w:rPr>
            </w:pPr>
            <w:r w:rsidRPr="0024114A">
              <w:rPr>
                <w:rFonts w:cs="Times New Roman"/>
                <w:szCs w:val="24"/>
              </w:rPr>
              <w:lastRenderedPageBreak/>
              <w:t>Indications</w:t>
            </w:r>
          </w:p>
        </w:tc>
        <w:tc>
          <w:tcPr>
            <w:tcW w:w="6745" w:type="dxa"/>
          </w:tcPr>
          <w:p w14:paraId="1E1A7FA1" w14:textId="77777777" w:rsidR="002F635D" w:rsidRPr="0024114A" w:rsidRDefault="002F635D" w:rsidP="002D6DD7">
            <w:pPr>
              <w:contextualSpacing/>
              <w:jc w:val="both"/>
              <w:rPr>
                <w:rFonts w:cs="Times New Roman"/>
                <w:szCs w:val="24"/>
              </w:rPr>
            </w:pPr>
            <w:r w:rsidRPr="0024114A">
              <w:rPr>
                <w:rFonts w:cs="Times New Roman"/>
                <w:szCs w:val="24"/>
              </w:rPr>
              <w:t>Prevention of cervical cancer, genital warts, and other pre-cancerous lesions caused by human papilloma virus (HPV) types 6, 11, 16, and 18.</w:t>
            </w:r>
          </w:p>
        </w:tc>
      </w:tr>
      <w:tr w:rsidR="002F635D" w:rsidRPr="0024114A" w14:paraId="3067889A" w14:textId="77777777" w:rsidTr="002D6DD7">
        <w:tc>
          <w:tcPr>
            <w:tcW w:w="2605" w:type="dxa"/>
          </w:tcPr>
          <w:p w14:paraId="6297B1D9"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708EC6A5" w14:textId="77777777" w:rsidR="002F635D" w:rsidRPr="0024114A" w:rsidRDefault="002F635D" w:rsidP="002D6DD7">
            <w:pPr>
              <w:contextualSpacing/>
              <w:jc w:val="both"/>
              <w:rPr>
                <w:rFonts w:cs="Times New Roman"/>
                <w:szCs w:val="24"/>
              </w:rPr>
            </w:pPr>
            <w:r w:rsidRPr="0024114A">
              <w:rPr>
                <w:rFonts w:cs="Times New Roman"/>
                <w:b/>
                <w:bCs/>
                <w:szCs w:val="24"/>
              </w:rPr>
              <w:t>Females aged 9-14 years</w:t>
            </w:r>
            <w:r w:rsidRPr="0024114A">
              <w:rPr>
                <w:rFonts w:cs="Times New Roman"/>
                <w:szCs w:val="24"/>
              </w:rPr>
              <w:t>: 0.5ml by intramuscular at the deltoid muscle of upper arm.</w:t>
            </w:r>
          </w:p>
        </w:tc>
      </w:tr>
      <w:tr w:rsidR="002F635D" w:rsidRPr="0024114A" w14:paraId="061C5ABE" w14:textId="77777777" w:rsidTr="002D6DD7">
        <w:tc>
          <w:tcPr>
            <w:tcW w:w="2605" w:type="dxa"/>
          </w:tcPr>
          <w:p w14:paraId="0EF03BB6" w14:textId="77777777" w:rsidR="002F635D" w:rsidRPr="0024114A" w:rsidRDefault="002F635D" w:rsidP="002D6DD7">
            <w:pPr>
              <w:contextualSpacing/>
              <w:jc w:val="both"/>
              <w:rPr>
                <w:rFonts w:cs="Times New Roman"/>
                <w:szCs w:val="24"/>
              </w:rPr>
            </w:pPr>
            <w:r w:rsidRPr="0024114A">
              <w:rPr>
                <w:rFonts w:cs="Times New Roman"/>
                <w:szCs w:val="24"/>
              </w:rPr>
              <w:t>Contraindications</w:t>
            </w:r>
          </w:p>
        </w:tc>
        <w:tc>
          <w:tcPr>
            <w:tcW w:w="6745" w:type="dxa"/>
          </w:tcPr>
          <w:p w14:paraId="312F7EB3" w14:textId="77777777" w:rsidR="002F635D" w:rsidRPr="0024114A" w:rsidRDefault="002F635D" w:rsidP="002D6DD7">
            <w:pPr>
              <w:contextualSpacing/>
              <w:jc w:val="both"/>
              <w:rPr>
                <w:rFonts w:cs="Times New Roman"/>
                <w:szCs w:val="24"/>
              </w:rPr>
            </w:pPr>
            <w:r w:rsidRPr="0024114A">
              <w:rPr>
                <w:rFonts w:cs="Times New Roman"/>
                <w:szCs w:val="24"/>
              </w:rPr>
              <w:t>Hypersensitivity to papillomavirus recombinant vaccine or any component of the formulation.</w:t>
            </w:r>
          </w:p>
        </w:tc>
      </w:tr>
      <w:tr w:rsidR="002F635D" w:rsidRPr="0024114A" w14:paraId="1D7608A6" w14:textId="77777777" w:rsidTr="002D6DD7">
        <w:tc>
          <w:tcPr>
            <w:tcW w:w="2605" w:type="dxa"/>
          </w:tcPr>
          <w:p w14:paraId="08D1E9F8"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78097262" w14:textId="77777777" w:rsidR="002F635D" w:rsidRPr="0024114A" w:rsidRDefault="002F635D" w:rsidP="002D6DD7">
            <w:pPr>
              <w:contextualSpacing/>
              <w:jc w:val="both"/>
              <w:rPr>
                <w:rFonts w:cs="Times New Roman"/>
                <w:szCs w:val="24"/>
              </w:rPr>
            </w:pPr>
            <w:r w:rsidRPr="0024114A">
              <w:rPr>
                <w:rFonts w:cs="Times New Roman"/>
                <w:szCs w:val="24"/>
              </w:rPr>
              <w:t>Immunosuppressants</w:t>
            </w:r>
          </w:p>
        </w:tc>
      </w:tr>
      <w:tr w:rsidR="002F635D" w:rsidRPr="0024114A" w14:paraId="03B7C1FA" w14:textId="77777777" w:rsidTr="002D6DD7">
        <w:tc>
          <w:tcPr>
            <w:tcW w:w="2605" w:type="dxa"/>
          </w:tcPr>
          <w:p w14:paraId="54368346"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4A56EC65" w14:textId="77777777" w:rsidR="002F635D" w:rsidRPr="0024114A" w:rsidRDefault="002F635D" w:rsidP="002D6DD7">
            <w:pPr>
              <w:contextualSpacing/>
              <w:jc w:val="both"/>
              <w:rPr>
                <w:rFonts w:cs="Times New Roman"/>
                <w:szCs w:val="24"/>
              </w:rPr>
            </w:pPr>
            <w:r w:rsidRPr="0024114A">
              <w:rPr>
                <w:rFonts w:cs="Times New Roman"/>
                <w:szCs w:val="24"/>
              </w:rPr>
              <w:t>Local reactions (pain, redness, swelling), fever, dizziness, headache, syncope, nausea, vomiting anaphylaxis is rare.</w:t>
            </w:r>
          </w:p>
        </w:tc>
      </w:tr>
      <w:tr w:rsidR="002F635D" w:rsidRPr="0024114A" w14:paraId="08958FCF" w14:textId="77777777" w:rsidTr="002D6DD7">
        <w:tc>
          <w:tcPr>
            <w:tcW w:w="2605" w:type="dxa"/>
          </w:tcPr>
          <w:p w14:paraId="3B993AC9"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0070F5E2" w14:textId="77777777" w:rsidR="002F635D" w:rsidRPr="0024114A" w:rsidRDefault="002F635D" w:rsidP="002D6DD7">
            <w:pPr>
              <w:contextualSpacing/>
              <w:jc w:val="both"/>
              <w:rPr>
                <w:rFonts w:cs="Times New Roman"/>
                <w:szCs w:val="24"/>
              </w:rPr>
            </w:pPr>
            <w:r w:rsidRPr="0024114A">
              <w:rPr>
                <w:rFonts w:cs="Times New Roman"/>
                <w:szCs w:val="24"/>
              </w:rPr>
              <w:t>Impaired immune response, thrombocytopenia or any coagulation disorder, pregnancy andlactation.</w:t>
            </w:r>
          </w:p>
        </w:tc>
      </w:tr>
      <w:tr w:rsidR="002F635D" w:rsidRPr="0024114A" w14:paraId="234A5D2D" w14:textId="77777777" w:rsidTr="002D6DD7">
        <w:tc>
          <w:tcPr>
            <w:tcW w:w="2605" w:type="dxa"/>
          </w:tcPr>
          <w:p w14:paraId="6CBAAE39"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50BAA4A0" w14:textId="77777777" w:rsidR="002F635D" w:rsidRPr="0024114A" w:rsidRDefault="002F635D" w:rsidP="002D6DD7">
            <w:pPr>
              <w:contextualSpacing/>
              <w:jc w:val="both"/>
              <w:rPr>
                <w:rFonts w:cs="Times New Roman"/>
                <w:szCs w:val="24"/>
              </w:rPr>
            </w:pPr>
            <w:r w:rsidRPr="0024114A">
              <w:rPr>
                <w:rFonts w:cs="Times New Roman"/>
                <w:szCs w:val="24"/>
              </w:rPr>
              <w:t>Store between 2 to 8°C. Do not freeze. Protect from light.</w:t>
            </w:r>
          </w:p>
        </w:tc>
      </w:tr>
      <w:tr w:rsidR="002F635D" w:rsidRPr="0024114A" w14:paraId="56AEF88D" w14:textId="77777777" w:rsidTr="002D6DD7">
        <w:tc>
          <w:tcPr>
            <w:tcW w:w="9350" w:type="dxa"/>
            <w:gridSpan w:val="2"/>
          </w:tcPr>
          <w:p w14:paraId="76E55306" w14:textId="77777777" w:rsidR="002F635D" w:rsidRPr="0024114A" w:rsidRDefault="002F635D" w:rsidP="002D6DD7">
            <w:pPr>
              <w:contextualSpacing/>
              <w:jc w:val="both"/>
              <w:rPr>
                <w:rFonts w:cs="Times New Roman"/>
                <w:b/>
                <w:bCs/>
                <w:szCs w:val="24"/>
                <w:highlight w:val="green"/>
              </w:rPr>
            </w:pPr>
            <w:r w:rsidRPr="0024114A">
              <w:rPr>
                <w:rFonts w:cs="Times New Roman"/>
                <w:b/>
                <w:bCs/>
                <w:szCs w:val="24"/>
              </w:rPr>
              <w:t xml:space="preserve">Inactivated poliomyelitis vaccine (IPV), Trivalent Type I, II, and III              </w:t>
            </w:r>
          </w:p>
        </w:tc>
      </w:tr>
      <w:tr w:rsidR="002F635D" w:rsidRPr="0024114A" w14:paraId="433A6009" w14:textId="77777777" w:rsidTr="002D6DD7">
        <w:tc>
          <w:tcPr>
            <w:tcW w:w="2605" w:type="dxa"/>
          </w:tcPr>
          <w:p w14:paraId="11821E4E"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47D14B16"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09928EC9" w14:textId="77777777" w:rsidTr="002D6DD7">
        <w:tc>
          <w:tcPr>
            <w:tcW w:w="2605" w:type="dxa"/>
          </w:tcPr>
          <w:p w14:paraId="31831954"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0D6F801D" w14:textId="77777777" w:rsidR="002F635D" w:rsidRPr="0024114A" w:rsidRDefault="002F635D" w:rsidP="002D6DD7">
            <w:pPr>
              <w:contextualSpacing/>
              <w:jc w:val="both"/>
              <w:rPr>
                <w:rFonts w:cs="Times New Roman"/>
                <w:szCs w:val="24"/>
              </w:rPr>
            </w:pPr>
            <w:r w:rsidRPr="0024114A">
              <w:rPr>
                <w:rFonts w:eastAsia="Times New Roman" w:cs="Times New Roman"/>
                <w:color w:val="000000"/>
                <w:szCs w:val="24"/>
              </w:rPr>
              <w:t>Injection: 0.5 ml</w:t>
            </w:r>
          </w:p>
        </w:tc>
      </w:tr>
      <w:tr w:rsidR="002F635D" w:rsidRPr="0024114A" w14:paraId="07ECE72A" w14:textId="77777777" w:rsidTr="002D6DD7">
        <w:tc>
          <w:tcPr>
            <w:tcW w:w="2605" w:type="dxa"/>
          </w:tcPr>
          <w:p w14:paraId="567C7BFA"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00AD0030" w14:textId="77777777" w:rsidR="002F635D" w:rsidRPr="0024114A" w:rsidRDefault="002F635D" w:rsidP="002D6DD7">
            <w:pPr>
              <w:contextualSpacing/>
              <w:jc w:val="both"/>
              <w:rPr>
                <w:rFonts w:cs="Times New Roman"/>
                <w:szCs w:val="24"/>
              </w:rPr>
            </w:pPr>
            <w:r w:rsidRPr="0024114A">
              <w:rPr>
                <w:rFonts w:cs="Times New Roman"/>
                <w:szCs w:val="24"/>
              </w:rPr>
              <w:t>Immunization against poliomyelitis.</w:t>
            </w:r>
          </w:p>
        </w:tc>
      </w:tr>
      <w:tr w:rsidR="002F635D" w:rsidRPr="0024114A" w14:paraId="1A2D2668" w14:textId="77777777" w:rsidTr="002D6DD7">
        <w:tc>
          <w:tcPr>
            <w:tcW w:w="2605" w:type="dxa"/>
          </w:tcPr>
          <w:p w14:paraId="266CF2CE"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3CAB7ED3"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:0.5 ml by intramuscular injection on the right anterolateral (outer) mid-thigh at 14 weeks (IPV 1) and at 9 months (IPV 2). There should be minimum of 2.5cm apart from PCV injections.</w:t>
            </w:r>
          </w:p>
        </w:tc>
      </w:tr>
      <w:tr w:rsidR="002F635D" w:rsidRPr="0024114A" w14:paraId="0041F5EE" w14:textId="77777777" w:rsidTr="002D6DD7">
        <w:tc>
          <w:tcPr>
            <w:tcW w:w="2605" w:type="dxa"/>
          </w:tcPr>
          <w:p w14:paraId="512712FC"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63103805" w14:textId="77777777" w:rsidR="002F635D" w:rsidRPr="0024114A" w:rsidRDefault="002F635D" w:rsidP="002D6DD7">
            <w:pPr>
              <w:contextualSpacing/>
              <w:jc w:val="both"/>
              <w:rPr>
                <w:rFonts w:cs="Times New Roman"/>
                <w:szCs w:val="24"/>
              </w:rPr>
            </w:pPr>
            <w:r w:rsidRPr="0024114A">
              <w:rPr>
                <w:rFonts w:cs="Times New Roman"/>
                <w:szCs w:val="24"/>
              </w:rPr>
              <w:t>History of anaphylaxis to any component of the vaccine.</w:t>
            </w:r>
          </w:p>
        </w:tc>
      </w:tr>
      <w:tr w:rsidR="002F635D" w:rsidRPr="0024114A" w14:paraId="25B81DD4" w14:textId="77777777" w:rsidTr="002D6DD7">
        <w:tc>
          <w:tcPr>
            <w:tcW w:w="2605" w:type="dxa"/>
          </w:tcPr>
          <w:p w14:paraId="7D846454"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5B09E58C" w14:textId="77777777" w:rsidR="002F635D" w:rsidRPr="0024114A" w:rsidRDefault="002F635D" w:rsidP="002D6DD7">
            <w:pPr>
              <w:contextualSpacing/>
              <w:jc w:val="both"/>
              <w:rPr>
                <w:rFonts w:cs="Times New Roman"/>
                <w:szCs w:val="24"/>
              </w:rPr>
            </w:pPr>
            <w:r w:rsidRPr="0024114A">
              <w:rPr>
                <w:rFonts w:cs="Times New Roman"/>
                <w:szCs w:val="24"/>
              </w:rPr>
              <w:t>Immunosuppressant medicines (e.g. corticosteroids and anticancer medicines).</w:t>
            </w:r>
          </w:p>
        </w:tc>
      </w:tr>
      <w:tr w:rsidR="002F635D" w:rsidRPr="0024114A" w14:paraId="13BF1164" w14:textId="77777777" w:rsidTr="002D6DD7">
        <w:tc>
          <w:tcPr>
            <w:tcW w:w="2605" w:type="dxa"/>
          </w:tcPr>
          <w:p w14:paraId="235D0C0F"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43A45E36" w14:textId="77777777" w:rsidR="002F635D" w:rsidRPr="0024114A" w:rsidRDefault="002F635D" w:rsidP="002D6DD7">
            <w:pPr>
              <w:contextualSpacing/>
              <w:jc w:val="both"/>
              <w:rPr>
                <w:rFonts w:cs="Times New Roman"/>
                <w:szCs w:val="24"/>
              </w:rPr>
            </w:pPr>
            <w:r w:rsidRPr="0024114A">
              <w:rPr>
                <w:rFonts w:cs="Times New Roman"/>
                <w:szCs w:val="24"/>
              </w:rPr>
              <w:t>Transient injection site reactions (pain, redness, itching, swelling or burning, transient fever, fainting.</w:t>
            </w:r>
          </w:p>
        </w:tc>
      </w:tr>
      <w:tr w:rsidR="002F635D" w:rsidRPr="0024114A" w14:paraId="4985B876" w14:textId="77777777" w:rsidTr="002D6DD7">
        <w:tc>
          <w:tcPr>
            <w:tcW w:w="2605" w:type="dxa"/>
          </w:tcPr>
          <w:p w14:paraId="240ADFA7"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5032D798" w14:textId="77777777" w:rsidR="002F635D" w:rsidRPr="0024114A" w:rsidRDefault="002F635D" w:rsidP="002D6DD7">
            <w:pPr>
              <w:contextualSpacing/>
              <w:jc w:val="both"/>
              <w:rPr>
                <w:rFonts w:cs="Times New Roman"/>
                <w:szCs w:val="24"/>
              </w:rPr>
            </w:pPr>
            <w:r w:rsidRPr="0024114A">
              <w:rPr>
                <w:rFonts w:cs="Times New Roman"/>
                <w:szCs w:val="24"/>
              </w:rPr>
              <w:t>Acute febrile illness (postpone all vaccinations until patient is well). A reduced immunogenicity of the vaccine may occur in individuals with immunodeficiency including advanced HIV infection, diabetes, chronic liver disease or chronic renal failure.</w:t>
            </w:r>
          </w:p>
        </w:tc>
      </w:tr>
      <w:tr w:rsidR="002F635D" w:rsidRPr="0024114A" w14:paraId="56C39629" w14:textId="77777777" w:rsidTr="002D6DD7">
        <w:tc>
          <w:tcPr>
            <w:tcW w:w="2605" w:type="dxa"/>
          </w:tcPr>
          <w:p w14:paraId="2A026355" w14:textId="77777777" w:rsidR="002F635D" w:rsidRPr="0024114A" w:rsidRDefault="002F635D" w:rsidP="002D6DD7">
            <w:pPr>
              <w:contextualSpacing/>
              <w:jc w:val="both"/>
              <w:rPr>
                <w:rFonts w:cs="Times New Roman"/>
                <w:szCs w:val="24"/>
              </w:rPr>
            </w:pPr>
            <w:r w:rsidRPr="0024114A">
              <w:rPr>
                <w:rFonts w:cs="Times New Roman"/>
                <w:szCs w:val="24"/>
              </w:rPr>
              <w:lastRenderedPageBreak/>
              <w:t>Storage condition</w:t>
            </w:r>
          </w:p>
        </w:tc>
        <w:tc>
          <w:tcPr>
            <w:tcW w:w="6745" w:type="dxa"/>
          </w:tcPr>
          <w:p w14:paraId="38A96CE6" w14:textId="77777777" w:rsidR="002F635D" w:rsidRPr="0024114A" w:rsidRDefault="002F635D" w:rsidP="002D6DD7">
            <w:pPr>
              <w:contextualSpacing/>
              <w:jc w:val="both"/>
              <w:rPr>
                <w:rFonts w:cs="Times New Roman"/>
                <w:szCs w:val="24"/>
              </w:rPr>
            </w:pPr>
            <w:r w:rsidRPr="0024114A">
              <w:rPr>
                <w:rFonts w:cs="Times New Roman"/>
                <w:szCs w:val="24"/>
              </w:rPr>
              <w:t>Store between 2°C to 8°C. Protect from light. Do not freeze.</w:t>
            </w:r>
          </w:p>
        </w:tc>
      </w:tr>
      <w:tr w:rsidR="002F635D" w:rsidRPr="0024114A" w14:paraId="324B8762" w14:textId="77777777" w:rsidTr="002D6DD7">
        <w:tc>
          <w:tcPr>
            <w:tcW w:w="9350" w:type="dxa"/>
            <w:gridSpan w:val="2"/>
          </w:tcPr>
          <w:p w14:paraId="28647E3C" w14:textId="77777777" w:rsidR="002F635D" w:rsidRPr="0024114A" w:rsidRDefault="002F635D" w:rsidP="002D6DD7">
            <w:pPr>
              <w:contextualSpacing/>
              <w:jc w:val="both"/>
              <w:rPr>
                <w:rFonts w:cs="Times New Roman"/>
                <w:b/>
                <w:bCs/>
                <w:szCs w:val="24"/>
                <w:highlight w:val="green"/>
              </w:rPr>
            </w:pPr>
            <w:r w:rsidRPr="0024114A">
              <w:rPr>
                <w:rFonts w:cs="Times New Roman"/>
                <w:b/>
                <w:bCs/>
                <w:szCs w:val="24"/>
              </w:rPr>
              <w:t>Influenza vaccine (seasonal)</w:t>
            </w:r>
          </w:p>
        </w:tc>
      </w:tr>
      <w:tr w:rsidR="002F635D" w:rsidRPr="0024114A" w14:paraId="229E9B90" w14:textId="77777777" w:rsidTr="002D6DD7">
        <w:tc>
          <w:tcPr>
            <w:tcW w:w="2605" w:type="dxa"/>
          </w:tcPr>
          <w:p w14:paraId="16958E4D"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0280CF55"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07586797" w14:textId="77777777" w:rsidTr="002D6DD7">
        <w:tc>
          <w:tcPr>
            <w:tcW w:w="2605" w:type="dxa"/>
          </w:tcPr>
          <w:p w14:paraId="39C2B92F"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7E4710B2" w14:textId="77777777" w:rsidR="002F635D" w:rsidRPr="0024114A" w:rsidRDefault="002F635D" w:rsidP="002D6DD7">
            <w:pPr>
              <w:contextualSpacing/>
              <w:jc w:val="both"/>
              <w:rPr>
                <w:rFonts w:cs="Times New Roman"/>
                <w:szCs w:val="24"/>
              </w:rPr>
            </w:pPr>
            <w:r w:rsidRPr="0024114A">
              <w:rPr>
                <w:rFonts w:eastAsia="Times New Roman" w:cs="Times New Roman"/>
                <w:color w:val="000000"/>
                <w:szCs w:val="24"/>
              </w:rPr>
              <w:t>Injection:</w:t>
            </w:r>
            <w:r w:rsidRPr="0024114A">
              <w:rPr>
                <w:rFonts w:cs="Times New Roman"/>
                <w:szCs w:val="24"/>
              </w:rPr>
              <w:t xml:space="preserve"> 0.25 ml, 0.5ml, 5ml</w:t>
            </w:r>
          </w:p>
        </w:tc>
      </w:tr>
      <w:tr w:rsidR="002F635D" w:rsidRPr="0024114A" w14:paraId="350C8C3E" w14:textId="77777777" w:rsidTr="002D6DD7">
        <w:tc>
          <w:tcPr>
            <w:tcW w:w="2605" w:type="dxa"/>
          </w:tcPr>
          <w:p w14:paraId="658AC71F"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1805E41B" w14:textId="77777777" w:rsidR="002F635D" w:rsidRPr="0024114A" w:rsidRDefault="002F635D" w:rsidP="002D6DD7">
            <w:pPr>
              <w:contextualSpacing/>
              <w:jc w:val="both"/>
              <w:rPr>
                <w:rFonts w:cs="Times New Roman"/>
                <w:szCs w:val="24"/>
              </w:rPr>
            </w:pPr>
            <w:r w:rsidRPr="0024114A">
              <w:rPr>
                <w:rFonts w:cs="Times New Roman"/>
                <w:szCs w:val="24"/>
              </w:rPr>
              <w:t>Immunization against influenza</w:t>
            </w:r>
          </w:p>
        </w:tc>
      </w:tr>
      <w:tr w:rsidR="002F635D" w:rsidRPr="0024114A" w14:paraId="5B2A4A9F" w14:textId="77777777" w:rsidTr="002D6DD7">
        <w:tc>
          <w:tcPr>
            <w:tcW w:w="2605" w:type="dxa"/>
          </w:tcPr>
          <w:p w14:paraId="3D6CF559"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180D3478" w14:textId="77777777" w:rsidR="002F635D" w:rsidRPr="0024114A" w:rsidRDefault="002F635D" w:rsidP="002D6DD7">
            <w:pPr>
              <w:contextualSpacing/>
              <w:jc w:val="both"/>
              <w:rPr>
                <w:rFonts w:cs="Times New Roman"/>
                <w:szCs w:val="24"/>
              </w:rPr>
            </w:pPr>
            <w:r w:rsidRPr="0024114A">
              <w:rPr>
                <w:rFonts w:cs="Times New Roman"/>
                <w:b/>
                <w:bCs/>
                <w:szCs w:val="24"/>
              </w:rPr>
              <w:t>Adult</w:t>
            </w:r>
            <w:r w:rsidRPr="0024114A">
              <w:rPr>
                <w:rFonts w:cs="Times New Roman"/>
                <w:szCs w:val="24"/>
              </w:rPr>
              <w:t xml:space="preserve">:  0.5 ml as a single dose IM injection, annually </w:t>
            </w:r>
          </w:p>
          <w:p w14:paraId="4DA2B0F7"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 xml:space="preserve">: </w:t>
            </w:r>
          </w:p>
          <w:p w14:paraId="756BD79B" w14:textId="77777777" w:rsidR="002F635D" w:rsidRPr="0024114A" w:rsidRDefault="002F635D" w:rsidP="002D6DD7">
            <w:pPr>
              <w:contextualSpacing/>
              <w:jc w:val="both"/>
              <w:rPr>
                <w:rFonts w:cs="Times New Roman"/>
                <w:szCs w:val="24"/>
              </w:rPr>
            </w:pPr>
            <w:r w:rsidRPr="0024114A">
              <w:rPr>
                <w:rFonts w:cs="Times New Roman"/>
                <w:b/>
                <w:bCs/>
                <w:szCs w:val="24"/>
              </w:rPr>
              <w:t>Infant or child 6 months–3 years</w:t>
            </w:r>
            <w:r w:rsidRPr="0024114A">
              <w:rPr>
                <w:rFonts w:cs="Times New Roman"/>
                <w:szCs w:val="24"/>
              </w:rPr>
              <w:t xml:space="preserve">: 0.25 ml (one or two doses) </w:t>
            </w:r>
          </w:p>
          <w:p w14:paraId="453B5A62" w14:textId="77777777" w:rsidR="002F635D" w:rsidRPr="0024114A" w:rsidRDefault="002F635D" w:rsidP="002D6DD7">
            <w:pPr>
              <w:contextualSpacing/>
              <w:jc w:val="both"/>
              <w:rPr>
                <w:rFonts w:cs="Times New Roman"/>
                <w:szCs w:val="24"/>
              </w:rPr>
            </w:pPr>
            <w:r w:rsidRPr="0024114A">
              <w:rPr>
                <w:rFonts w:cs="Times New Roman"/>
                <w:b/>
                <w:bCs/>
                <w:szCs w:val="24"/>
              </w:rPr>
              <w:t>Child over 3 years</w:t>
            </w:r>
            <w:r w:rsidRPr="0024114A">
              <w:rPr>
                <w:rFonts w:cs="Times New Roman"/>
                <w:szCs w:val="24"/>
              </w:rPr>
              <w:t xml:space="preserve">: 0.5 ml (one or two doses) </w:t>
            </w:r>
          </w:p>
          <w:p w14:paraId="11072BDC" w14:textId="77777777" w:rsidR="002F635D" w:rsidRPr="0024114A" w:rsidRDefault="002F635D" w:rsidP="002D6DD7">
            <w:pPr>
              <w:contextualSpacing/>
              <w:jc w:val="both"/>
              <w:rPr>
                <w:rFonts w:cs="Times New Roman"/>
                <w:szCs w:val="24"/>
              </w:rPr>
            </w:pPr>
            <w:r w:rsidRPr="0024114A">
              <w:rPr>
                <w:rFonts w:cs="Times New Roman"/>
                <w:b/>
                <w:bCs/>
                <w:szCs w:val="24"/>
              </w:rPr>
              <w:t>Child over 9 years</w:t>
            </w:r>
            <w:r w:rsidRPr="0024114A">
              <w:rPr>
                <w:rFonts w:cs="Times New Roman"/>
                <w:szCs w:val="24"/>
              </w:rPr>
              <w:t>: 0.5 ml as a single dose</w:t>
            </w:r>
          </w:p>
        </w:tc>
      </w:tr>
      <w:tr w:rsidR="002F635D" w:rsidRPr="0024114A" w14:paraId="4C175034" w14:textId="77777777" w:rsidTr="002D6DD7">
        <w:tc>
          <w:tcPr>
            <w:tcW w:w="2605" w:type="dxa"/>
          </w:tcPr>
          <w:p w14:paraId="007D9C58"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6DE382A1" w14:textId="77777777" w:rsidR="002F635D" w:rsidRPr="0024114A" w:rsidRDefault="002F635D" w:rsidP="002D6DD7">
            <w:pPr>
              <w:contextualSpacing/>
              <w:jc w:val="both"/>
              <w:rPr>
                <w:rFonts w:cs="Times New Roman"/>
                <w:szCs w:val="24"/>
              </w:rPr>
            </w:pPr>
            <w:r w:rsidRPr="0024114A">
              <w:rPr>
                <w:rFonts w:cs="Times New Roman"/>
                <w:szCs w:val="24"/>
              </w:rPr>
              <w:t>Hypersensitivity to influenza virus vaccine or any component, allergy to egg or egg products, chicken, chicken feathers or chicken dander, presence of acute respiratory disease or other active infections or illnesses (delay immunization).</w:t>
            </w:r>
          </w:p>
        </w:tc>
      </w:tr>
      <w:tr w:rsidR="002F635D" w:rsidRPr="0024114A" w14:paraId="144589BA" w14:textId="77777777" w:rsidTr="002D6DD7">
        <w:tc>
          <w:tcPr>
            <w:tcW w:w="2605" w:type="dxa"/>
          </w:tcPr>
          <w:p w14:paraId="356CA7B1"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246A121C" w14:textId="77777777" w:rsidR="002F635D" w:rsidRPr="0024114A" w:rsidRDefault="002F635D" w:rsidP="002D6DD7">
            <w:pPr>
              <w:contextualSpacing/>
              <w:jc w:val="both"/>
              <w:rPr>
                <w:rFonts w:cs="Times New Roman"/>
                <w:szCs w:val="24"/>
              </w:rPr>
            </w:pPr>
            <w:r w:rsidRPr="0024114A">
              <w:rPr>
                <w:rFonts w:cs="Times New Roman"/>
                <w:szCs w:val="24"/>
              </w:rPr>
              <w:t>Asparaginase, azathioprine, betamethasone,</w:t>
            </w:r>
            <w:r w:rsidR="00790028">
              <w:rPr>
                <w:rFonts w:cs="Times New Roman"/>
                <w:szCs w:val="24"/>
              </w:rPr>
              <w:t xml:space="preserve"> </w:t>
            </w:r>
            <w:r w:rsidRPr="0024114A">
              <w:rPr>
                <w:rFonts w:cs="Times New Roman"/>
                <w:szCs w:val="24"/>
              </w:rPr>
              <w:t>bleomycin, chlorambucil, ciclosporin, cyclophosphamide, cytarabine, dacarbazine, dactinomycin, daunorubicin, dexamethasone doxorubicin, etoposide, fluorouracil, hydrocortisone, mercaptopurine, prednisolone, procarbazine, vincristine.</w:t>
            </w:r>
          </w:p>
        </w:tc>
      </w:tr>
      <w:tr w:rsidR="002F635D" w:rsidRPr="0024114A" w14:paraId="44512068" w14:textId="77777777" w:rsidTr="002D6DD7">
        <w:tc>
          <w:tcPr>
            <w:tcW w:w="2605" w:type="dxa"/>
          </w:tcPr>
          <w:p w14:paraId="4AC157F9"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7658B628" w14:textId="77777777" w:rsidR="002F635D" w:rsidRPr="0024114A" w:rsidRDefault="002F635D" w:rsidP="002D6DD7">
            <w:pPr>
              <w:contextualSpacing/>
              <w:jc w:val="both"/>
              <w:rPr>
                <w:rFonts w:cs="Times New Roman"/>
                <w:szCs w:val="24"/>
              </w:rPr>
            </w:pPr>
            <w:r w:rsidRPr="0024114A">
              <w:rPr>
                <w:rFonts w:cs="Times New Roman"/>
                <w:szCs w:val="24"/>
              </w:rPr>
              <w:t xml:space="preserve">Transientinjection site reactions (pain, redness, itching, swelling or burning), headache, fatigue, fever, malaise, myalgia, transient fever, fainting. </w:t>
            </w:r>
          </w:p>
        </w:tc>
      </w:tr>
      <w:tr w:rsidR="002F635D" w:rsidRPr="0024114A" w14:paraId="2AC5055C" w14:textId="77777777" w:rsidTr="002D6DD7">
        <w:tc>
          <w:tcPr>
            <w:tcW w:w="2605" w:type="dxa"/>
          </w:tcPr>
          <w:p w14:paraId="775503A1"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13792D21" w14:textId="77777777" w:rsidR="002F635D" w:rsidRPr="0024114A" w:rsidRDefault="002F635D" w:rsidP="002D6DD7">
            <w:pPr>
              <w:contextualSpacing/>
              <w:jc w:val="both"/>
              <w:rPr>
                <w:rFonts w:cs="Times New Roman"/>
                <w:szCs w:val="24"/>
              </w:rPr>
            </w:pPr>
            <w:r w:rsidRPr="0024114A">
              <w:rPr>
                <w:rFonts w:cs="Times New Roman"/>
                <w:szCs w:val="24"/>
              </w:rPr>
              <w:t>History of febrile convulsions or Guillain Barré syndrome, acute febrile illness.</w:t>
            </w:r>
          </w:p>
        </w:tc>
      </w:tr>
      <w:tr w:rsidR="002F635D" w:rsidRPr="0024114A" w14:paraId="1254FE95" w14:textId="77777777" w:rsidTr="002D6DD7">
        <w:tc>
          <w:tcPr>
            <w:tcW w:w="2605" w:type="dxa"/>
          </w:tcPr>
          <w:p w14:paraId="636B6101"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29754140" w14:textId="77777777" w:rsidR="002F635D" w:rsidRPr="0024114A" w:rsidRDefault="002F635D" w:rsidP="002D6DD7">
            <w:pPr>
              <w:contextualSpacing/>
              <w:jc w:val="both"/>
              <w:rPr>
                <w:rFonts w:cs="Times New Roman"/>
                <w:szCs w:val="24"/>
              </w:rPr>
            </w:pPr>
            <w:r w:rsidRPr="0024114A">
              <w:rPr>
                <w:rFonts w:cs="Times New Roman"/>
                <w:szCs w:val="24"/>
              </w:rPr>
              <w:t>Store between 2 to 8°C. Do not freeze.</w:t>
            </w:r>
          </w:p>
        </w:tc>
      </w:tr>
      <w:tr w:rsidR="002F635D" w:rsidRPr="0024114A" w14:paraId="513CF890" w14:textId="77777777" w:rsidTr="002D6DD7">
        <w:tc>
          <w:tcPr>
            <w:tcW w:w="9350" w:type="dxa"/>
            <w:gridSpan w:val="2"/>
          </w:tcPr>
          <w:p w14:paraId="61B754CC" w14:textId="77777777" w:rsidR="002F635D" w:rsidRPr="0024114A" w:rsidRDefault="002F635D" w:rsidP="002D6DD7">
            <w:pPr>
              <w:contextualSpacing/>
              <w:jc w:val="both"/>
              <w:rPr>
                <w:rFonts w:cs="Times New Roman"/>
                <w:b/>
                <w:bCs/>
                <w:szCs w:val="24"/>
              </w:rPr>
            </w:pPr>
            <w:r w:rsidRPr="0024114A">
              <w:rPr>
                <w:rFonts w:cs="Times New Roman"/>
                <w:b/>
                <w:bCs/>
                <w:szCs w:val="24"/>
              </w:rPr>
              <w:t>Malaria vaccine, R21</w:t>
            </w:r>
          </w:p>
        </w:tc>
      </w:tr>
      <w:tr w:rsidR="002F635D" w:rsidRPr="0024114A" w14:paraId="2C64CAAA" w14:textId="77777777" w:rsidTr="002D6DD7">
        <w:tc>
          <w:tcPr>
            <w:tcW w:w="2605" w:type="dxa"/>
          </w:tcPr>
          <w:p w14:paraId="2B18A014"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6AC1EB17" w14:textId="77777777" w:rsidR="002F635D" w:rsidRPr="0024114A" w:rsidRDefault="002F635D" w:rsidP="002D6DD7">
            <w:pPr>
              <w:contextualSpacing/>
              <w:jc w:val="both"/>
              <w:rPr>
                <w:rFonts w:cs="Times New Roman"/>
                <w:szCs w:val="24"/>
              </w:rPr>
            </w:pPr>
            <w:r w:rsidRPr="0024114A">
              <w:rPr>
                <w:rFonts w:cs="Times New Roman"/>
                <w:szCs w:val="24"/>
              </w:rPr>
              <w:t>Vaccine</w:t>
            </w:r>
          </w:p>
        </w:tc>
      </w:tr>
      <w:tr w:rsidR="002F635D" w:rsidRPr="0024114A" w14:paraId="354D38BD" w14:textId="77777777" w:rsidTr="002D6DD7">
        <w:tc>
          <w:tcPr>
            <w:tcW w:w="2605" w:type="dxa"/>
          </w:tcPr>
          <w:p w14:paraId="31BFB885"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23169B36" w14:textId="77777777" w:rsidR="002F635D" w:rsidRPr="0024114A" w:rsidRDefault="002F635D" w:rsidP="002D6DD7">
            <w:pPr>
              <w:contextualSpacing/>
              <w:jc w:val="both"/>
              <w:rPr>
                <w:rFonts w:cs="Times New Roman"/>
                <w:szCs w:val="24"/>
              </w:rPr>
            </w:pPr>
            <w:r w:rsidRPr="0024114A">
              <w:rPr>
                <w:rFonts w:cs="Times New Roman"/>
                <w:szCs w:val="24"/>
              </w:rPr>
              <w:t>Injection: 1-ml vial (2 doses).</w:t>
            </w:r>
          </w:p>
        </w:tc>
      </w:tr>
      <w:tr w:rsidR="002F635D" w:rsidRPr="0024114A" w14:paraId="03C5A127" w14:textId="77777777" w:rsidTr="002D6DD7">
        <w:tc>
          <w:tcPr>
            <w:tcW w:w="2605" w:type="dxa"/>
          </w:tcPr>
          <w:p w14:paraId="6E86877E"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3A08EF00" w14:textId="77777777" w:rsidR="002F635D" w:rsidRPr="0024114A" w:rsidRDefault="002F635D" w:rsidP="002D6DD7">
            <w:pPr>
              <w:contextualSpacing/>
              <w:jc w:val="both"/>
              <w:rPr>
                <w:rFonts w:cs="Times New Roman"/>
                <w:szCs w:val="24"/>
              </w:rPr>
            </w:pPr>
            <w:r w:rsidRPr="0024114A">
              <w:rPr>
                <w:rFonts w:cs="Times New Roman"/>
                <w:szCs w:val="24"/>
              </w:rPr>
              <w:t xml:space="preserve">Active immunization of children aged 5 to 36 months against malaria caused by </w:t>
            </w:r>
            <w:r w:rsidRPr="0024114A">
              <w:rPr>
                <w:rFonts w:cs="Times New Roman"/>
                <w:i/>
                <w:iCs/>
                <w:szCs w:val="24"/>
              </w:rPr>
              <w:t>Plasmodium falciparum.</w:t>
            </w:r>
          </w:p>
        </w:tc>
      </w:tr>
      <w:tr w:rsidR="002F635D" w:rsidRPr="0024114A" w14:paraId="5EC5B42B" w14:textId="77777777" w:rsidTr="002D6DD7">
        <w:tc>
          <w:tcPr>
            <w:tcW w:w="2605" w:type="dxa"/>
          </w:tcPr>
          <w:p w14:paraId="4FC419F4" w14:textId="77777777" w:rsidR="002F635D" w:rsidRPr="0024114A" w:rsidRDefault="002F635D" w:rsidP="002D6DD7">
            <w:pPr>
              <w:contextualSpacing/>
              <w:jc w:val="both"/>
              <w:rPr>
                <w:rFonts w:cs="Times New Roman"/>
                <w:szCs w:val="24"/>
              </w:rPr>
            </w:pPr>
            <w:r w:rsidRPr="0024114A">
              <w:rPr>
                <w:rFonts w:eastAsia="Times New Roman" w:cs="Times New Roman"/>
                <w:szCs w:val="24"/>
              </w:rPr>
              <w:lastRenderedPageBreak/>
              <w:t>Dose and administration</w:t>
            </w:r>
          </w:p>
        </w:tc>
        <w:tc>
          <w:tcPr>
            <w:tcW w:w="6745" w:type="dxa"/>
          </w:tcPr>
          <w:p w14:paraId="312475BD" w14:textId="77777777" w:rsidR="002F635D" w:rsidRPr="0024114A" w:rsidRDefault="002F635D" w:rsidP="002D6DD7">
            <w:pPr>
              <w:contextualSpacing/>
              <w:jc w:val="both"/>
              <w:rPr>
                <w:rFonts w:cs="Times New Roman"/>
                <w:szCs w:val="24"/>
              </w:rPr>
            </w:pPr>
            <w:r w:rsidRPr="0024114A">
              <w:rPr>
                <w:rFonts w:cs="Times New Roman"/>
                <w:b/>
                <w:bCs/>
                <w:szCs w:val="24"/>
              </w:rPr>
              <w:t>Vaccination in children from 6 weeks up to 17 months of age</w:t>
            </w:r>
            <w:r w:rsidRPr="0024114A">
              <w:rPr>
                <w:rFonts w:cs="Times New Roman"/>
                <w:szCs w:val="24"/>
              </w:rPr>
              <w:t xml:space="preserve"> (at first dose): Three doses, each of 0.5 ml, should be given at monthly intervals. A fourth dose is recommended 18 months after the third dose.</w:t>
            </w:r>
          </w:p>
        </w:tc>
      </w:tr>
      <w:tr w:rsidR="002F635D" w:rsidRPr="0024114A" w14:paraId="459D8125" w14:textId="77777777" w:rsidTr="002D6DD7">
        <w:tc>
          <w:tcPr>
            <w:tcW w:w="2605" w:type="dxa"/>
          </w:tcPr>
          <w:p w14:paraId="619DADA9"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791C16A4" w14:textId="77777777" w:rsidR="002F635D" w:rsidRPr="0024114A" w:rsidRDefault="002F635D" w:rsidP="002D6DD7">
            <w:pPr>
              <w:contextualSpacing/>
              <w:jc w:val="both"/>
              <w:rPr>
                <w:rFonts w:cs="Times New Roman"/>
                <w:szCs w:val="24"/>
              </w:rPr>
            </w:pPr>
            <w:r w:rsidRPr="0024114A">
              <w:rPr>
                <w:rFonts w:cs="Times New Roman"/>
                <w:szCs w:val="24"/>
              </w:rPr>
              <w:t>Hypersensitivity to the active substances or to any of the excipients, hypersensitivity to hepatitis B vaccines.</w:t>
            </w:r>
          </w:p>
        </w:tc>
      </w:tr>
      <w:tr w:rsidR="002F635D" w:rsidRPr="0024114A" w14:paraId="66163162" w14:textId="77777777" w:rsidTr="002D6DD7">
        <w:tc>
          <w:tcPr>
            <w:tcW w:w="2605" w:type="dxa"/>
          </w:tcPr>
          <w:p w14:paraId="4670541D"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5E57B70C" w14:textId="77777777" w:rsidR="002F635D" w:rsidRPr="0024114A" w:rsidRDefault="002F635D" w:rsidP="002D6DD7">
            <w:pPr>
              <w:contextualSpacing/>
              <w:jc w:val="both"/>
              <w:rPr>
                <w:rFonts w:cs="Times New Roman"/>
                <w:szCs w:val="24"/>
              </w:rPr>
            </w:pPr>
            <w:r w:rsidRPr="0024114A">
              <w:rPr>
                <w:rFonts w:cs="Times New Roman"/>
                <w:szCs w:val="24"/>
              </w:rPr>
              <w:t>No sufficient data.</w:t>
            </w:r>
          </w:p>
        </w:tc>
      </w:tr>
      <w:tr w:rsidR="002F635D" w:rsidRPr="0024114A" w14:paraId="27F86578" w14:textId="77777777" w:rsidTr="002D6DD7">
        <w:tc>
          <w:tcPr>
            <w:tcW w:w="2605" w:type="dxa"/>
          </w:tcPr>
          <w:p w14:paraId="7C715743"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232D9D4D" w14:textId="77777777" w:rsidR="002F635D" w:rsidRPr="0024114A" w:rsidRDefault="002F635D" w:rsidP="002D6DD7">
            <w:pPr>
              <w:contextualSpacing/>
              <w:jc w:val="both"/>
              <w:rPr>
                <w:rFonts w:cs="Times New Roman"/>
                <w:szCs w:val="24"/>
              </w:rPr>
            </w:pPr>
            <w:r w:rsidRPr="0024114A">
              <w:rPr>
                <w:rFonts w:cs="Times New Roman"/>
                <w:szCs w:val="24"/>
              </w:rPr>
              <w:t>Febrile seizures, fever, irritability, injection site reactions such as pain and swelling.</w:t>
            </w:r>
          </w:p>
        </w:tc>
      </w:tr>
      <w:tr w:rsidR="002F635D" w:rsidRPr="0024114A" w14:paraId="5F4327DD" w14:textId="77777777" w:rsidTr="002D6DD7">
        <w:tc>
          <w:tcPr>
            <w:tcW w:w="2605" w:type="dxa"/>
          </w:tcPr>
          <w:p w14:paraId="7F5985E8"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287302E7" w14:textId="77777777" w:rsidR="002F635D" w:rsidRPr="0024114A" w:rsidRDefault="002F635D" w:rsidP="002D6DD7">
            <w:pPr>
              <w:contextualSpacing/>
              <w:jc w:val="both"/>
              <w:rPr>
                <w:rFonts w:cs="Times New Roman"/>
                <w:szCs w:val="24"/>
              </w:rPr>
            </w:pPr>
            <w:r w:rsidRPr="0024114A">
              <w:rPr>
                <w:rFonts w:cs="Times New Roman"/>
                <w:szCs w:val="24"/>
              </w:rPr>
              <w:t>Do not administer the vaccine intravascularly, intradermally or subcutaneously.</w:t>
            </w:r>
            <w:r w:rsidR="00790028">
              <w:rPr>
                <w:rFonts w:cs="Times New Roman"/>
                <w:szCs w:val="24"/>
              </w:rPr>
              <w:t xml:space="preserve"> </w:t>
            </w:r>
            <w:r w:rsidRPr="0024114A">
              <w:rPr>
                <w:rFonts w:cs="Times New Roman"/>
                <w:szCs w:val="24"/>
              </w:rPr>
              <w:t xml:space="preserve">Individuals with thrombocytopenia or any coagulation disorder. </w:t>
            </w:r>
          </w:p>
        </w:tc>
      </w:tr>
      <w:tr w:rsidR="002F635D" w:rsidRPr="0024114A" w14:paraId="18E969A0" w14:textId="77777777" w:rsidTr="002D6DD7">
        <w:tc>
          <w:tcPr>
            <w:tcW w:w="2605" w:type="dxa"/>
          </w:tcPr>
          <w:p w14:paraId="2E5D4239"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4AC23EA0" w14:textId="77777777" w:rsidR="002F635D" w:rsidRPr="0024114A" w:rsidRDefault="002F635D" w:rsidP="002D6DD7">
            <w:pPr>
              <w:contextualSpacing/>
              <w:jc w:val="both"/>
              <w:rPr>
                <w:rFonts w:cs="Times New Roman"/>
                <w:szCs w:val="24"/>
              </w:rPr>
            </w:pPr>
            <w:r w:rsidRPr="0024114A">
              <w:rPr>
                <w:rFonts w:cs="Times New Roman"/>
                <w:szCs w:val="24"/>
              </w:rPr>
              <w:t>Store between 2°C to 8°C. Do not freeze. Protect from light.</w:t>
            </w:r>
          </w:p>
        </w:tc>
      </w:tr>
      <w:tr w:rsidR="002F635D" w:rsidRPr="0024114A" w14:paraId="263CFDF5" w14:textId="77777777" w:rsidTr="002D6DD7">
        <w:tc>
          <w:tcPr>
            <w:tcW w:w="9350" w:type="dxa"/>
            <w:gridSpan w:val="2"/>
          </w:tcPr>
          <w:p w14:paraId="4D85EF5F" w14:textId="77777777" w:rsidR="002F635D" w:rsidRPr="0024114A" w:rsidRDefault="002F635D" w:rsidP="002D6DD7">
            <w:pPr>
              <w:contextualSpacing/>
              <w:jc w:val="both"/>
              <w:rPr>
                <w:rFonts w:cs="Times New Roman"/>
                <w:b/>
                <w:bCs/>
                <w:szCs w:val="24"/>
              </w:rPr>
            </w:pPr>
            <w:r w:rsidRPr="0024114A">
              <w:rPr>
                <w:rFonts w:cs="Times New Roman"/>
                <w:b/>
                <w:bCs/>
                <w:szCs w:val="24"/>
              </w:rPr>
              <w:t>Measles virus vaccine, live attenuated</w:t>
            </w:r>
          </w:p>
        </w:tc>
      </w:tr>
      <w:tr w:rsidR="002F635D" w:rsidRPr="0024114A" w14:paraId="43D4421E" w14:textId="77777777" w:rsidTr="002D6DD7">
        <w:tc>
          <w:tcPr>
            <w:tcW w:w="2605" w:type="dxa"/>
          </w:tcPr>
          <w:p w14:paraId="0CE76FCE"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25B8F679"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106B5C83" w14:textId="77777777" w:rsidTr="002D6DD7">
        <w:tc>
          <w:tcPr>
            <w:tcW w:w="2605" w:type="dxa"/>
          </w:tcPr>
          <w:p w14:paraId="40F961A6"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3A23F499" w14:textId="77777777" w:rsidR="002F635D" w:rsidRPr="0024114A" w:rsidRDefault="002F635D" w:rsidP="002D6DD7">
            <w:pPr>
              <w:tabs>
                <w:tab w:val="left" w:pos="3165"/>
                <w:tab w:val="left" w:pos="3210"/>
              </w:tabs>
              <w:contextualSpacing/>
              <w:jc w:val="both"/>
              <w:rPr>
                <w:rFonts w:cs="Times New Roman"/>
                <w:szCs w:val="24"/>
              </w:rPr>
            </w:pPr>
            <w:r w:rsidRPr="0024114A">
              <w:rPr>
                <w:rFonts w:cs="Times New Roman"/>
                <w:szCs w:val="24"/>
              </w:rPr>
              <w:t>Powder for injection: 0.5ml</w:t>
            </w:r>
          </w:p>
        </w:tc>
      </w:tr>
      <w:tr w:rsidR="002F635D" w:rsidRPr="0024114A" w14:paraId="1DE45C5D" w14:textId="77777777" w:rsidTr="002D6DD7">
        <w:tc>
          <w:tcPr>
            <w:tcW w:w="2605" w:type="dxa"/>
          </w:tcPr>
          <w:p w14:paraId="01C8D9A5"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1152506F" w14:textId="77777777" w:rsidR="002F635D" w:rsidRPr="0024114A" w:rsidRDefault="002F635D" w:rsidP="002D6DD7">
            <w:pPr>
              <w:contextualSpacing/>
              <w:jc w:val="both"/>
              <w:rPr>
                <w:rFonts w:cs="Times New Roman"/>
                <w:szCs w:val="24"/>
              </w:rPr>
            </w:pPr>
            <w:r w:rsidRPr="0024114A">
              <w:rPr>
                <w:rFonts w:cs="Times New Roman"/>
                <w:szCs w:val="24"/>
              </w:rPr>
              <w:t>Immunization against measles</w:t>
            </w:r>
          </w:p>
        </w:tc>
      </w:tr>
      <w:tr w:rsidR="002F635D" w:rsidRPr="0024114A" w14:paraId="7E03E37C" w14:textId="77777777" w:rsidTr="002D6DD7">
        <w:tc>
          <w:tcPr>
            <w:tcW w:w="2605" w:type="dxa"/>
          </w:tcPr>
          <w:p w14:paraId="5CB82271"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1F0E2DE8"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 0.5ml by subcutaneous injection (SC) on left upper arm at 9 months of age (MCV 1) and at 15 months of age (MCV 2). Dosing is according to immunization schedule under NIP.</w:t>
            </w:r>
          </w:p>
        </w:tc>
      </w:tr>
      <w:tr w:rsidR="002F635D" w:rsidRPr="0024114A" w14:paraId="27C43228" w14:textId="77777777" w:rsidTr="002D6DD7">
        <w:tc>
          <w:tcPr>
            <w:tcW w:w="2605" w:type="dxa"/>
          </w:tcPr>
          <w:p w14:paraId="763B13D0" w14:textId="77777777" w:rsidR="002F635D" w:rsidRPr="0024114A" w:rsidRDefault="002F635D" w:rsidP="002D6DD7">
            <w:pPr>
              <w:contextualSpacing/>
              <w:jc w:val="both"/>
              <w:rPr>
                <w:rFonts w:cs="Times New Roman"/>
                <w:szCs w:val="24"/>
              </w:rPr>
            </w:pPr>
            <w:r w:rsidRPr="0024114A">
              <w:rPr>
                <w:rFonts w:cs="Times New Roman"/>
                <w:szCs w:val="24"/>
              </w:rPr>
              <w:t>Contraindications</w:t>
            </w:r>
          </w:p>
        </w:tc>
        <w:tc>
          <w:tcPr>
            <w:tcW w:w="6745" w:type="dxa"/>
          </w:tcPr>
          <w:p w14:paraId="537417DC" w14:textId="77777777" w:rsidR="002F635D" w:rsidRPr="0024114A" w:rsidRDefault="002F635D" w:rsidP="002D6DD7">
            <w:pPr>
              <w:contextualSpacing/>
              <w:jc w:val="both"/>
              <w:rPr>
                <w:rFonts w:cs="Times New Roman"/>
                <w:szCs w:val="24"/>
              </w:rPr>
            </w:pPr>
            <w:r w:rsidRPr="0024114A">
              <w:rPr>
                <w:rFonts w:cs="Times New Roman"/>
                <w:szCs w:val="24"/>
              </w:rPr>
              <w:t>Hypersensitivity to any component (e.g.,</w:t>
            </w:r>
            <w:r w:rsidR="006E5ECA">
              <w:rPr>
                <w:rFonts w:cs="Times New Roman"/>
                <w:szCs w:val="24"/>
              </w:rPr>
              <w:t xml:space="preserve"> </w:t>
            </w:r>
            <w:r w:rsidRPr="0024114A">
              <w:rPr>
                <w:rFonts w:cs="Times New Roman"/>
                <w:szCs w:val="24"/>
              </w:rPr>
              <w:t>gelatin or neomycin), pregnancy, febrile respiratory illness or active febrile infection, patients on immunosuppressive therapy, HIV-positive patients with immunosuppression, severe primary immunodeficiency, patients with blood dyscrasias, malignant neoplasms affecting the bone marrow or lymphatic systems.</w:t>
            </w:r>
          </w:p>
        </w:tc>
      </w:tr>
      <w:tr w:rsidR="002F635D" w:rsidRPr="0024114A" w14:paraId="562A0202" w14:textId="77777777" w:rsidTr="002D6DD7">
        <w:tc>
          <w:tcPr>
            <w:tcW w:w="2605" w:type="dxa"/>
          </w:tcPr>
          <w:p w14:paraId="2CC4FD34"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1C32711C" w14:textId="77777777" w:rsidR="002F635D" w:rsidRPr="0024114A" w:rsidRDefault="002F635D" w:rsidP="002D6DD7">
            <w:pPr>
              <w:contextualSpacing/>
              <w:jc w:val="both"/>
              <w:rPr>
                <w:rFonts w:cs="Times New Roman"/>
                <w:szCs w:val="24"/>
              </w:rPr>
            </w:pPr>
            <w:r w:rsidRPr="0024114A">
              <w:rPr>
                <w:rFonts w:cs="Times New Roman"/>
                <w:szCs w:val="24"/>
              </w:rPr>
              <w:t>Other live vaccines, immune globulin.</w:t>
            </w:r>
          </w:p>
        </w:tc>
      </w:tr>
      <w:tr w:rsidR="002F635D" w:rsidRPr="0024114A" w14:paraId="357EE269" w14:textId="77777777" w:rsidTr="002D6DD7">
        <w:tc>
          <w:tcPr>
            <w:tcW w:w="2605" w:type="dxa"/>
          </w:tcPr>
          <w:p w14:paraId="249BE177"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0B256ACD" w14:textId="77777777" w:rsidR="002F635D" w:rsidRPr="0024114A" w:rsidRDefault="002F635D" w:rsidP="002D6DD7">
            <w:pPr>
              <w:contextualSpacing/>
              <w:jc w:val="both"/>
              <w:rPr>
                <w:rFonts w:cs="Times New Roman"/>
                <w:szCs w:val="24"/>
              </w:rPr>
            </w:pPr>
            <w:r w:rsidRPr="0024114A">
              <w:rPr>
                <w:rFonts w:cs="Times New Roman"/>
                <w:szCs w:val="24"/>
              </w:rPr>
              <w:t>Pain and tenderness at the site of injection, fever, transient rash, hypersensitivity reactions, such as urticaria at the injection site.</w:t>
            </w:r>
          </w:p>
        </w:tc>
      </w:tr>
      <w:tr w:rsidR="002F635D" w:rsidRPr="0024114A" w14:paraId="12EE7A20" w14:textId="77777777" w:rsidTr="002D6DD7">
        <w:tc>
          <w:tcPr>
            <w:tcW w:w="2605" w:type="dxa"/>
          </w:tcPr>
          <w:p w14:paraId="5FC0A8DD"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7D1B1480" w14:textId="77777777" w:rsidR="002F635D" w:rsidRPr="0024114A" w:rsidRDefault="002F635D" w:rsidP="002D6DD7">
            <w:pPr>
              <w:contextualSpacing/>
              <w:jc w:val="both"/>
              <w:rPr>
                <w:rFonts w:cs="Times New Roman"/>
                <w:szCs w:val="24"/>
              </w:rPr>
            </w:pPr>
            <w:r w:rsidRPr="0024114A">
              <w:rPr>
                <w:rFonts w:cs="Times New Roman"/>
                <w:szCs w:val="24"/>
              </w:rPr>
              <w:t xml:space="preserve">Moderate or severe acute illness (with or without fever), cerebral </w:t>
            </w:r>
            <w:r w:rsidRPr="0024114A">
              <w:rPr>
                <w:rFonts w:cs="Times New Roman"/>
                <w:szCs w:val="24"/>
              </w:rPr>
              <w:lastRenderedPageBreak/>
              <w:t>injury or history of convulsions, hypersensitivity to eggs.</w:t>
            </w:r>
          </w:p>
        </w:tc>
      </w:tr>
      <w:tr w:rsidR="002F635D" w:rsidRPr="0024114A" w14:paraId="1BDDF0F9" w14:textId="77777777" w:rsidTr="002D6DD7">
        <w:tc>
          <w:tcPr>
            <w:tcW w:w="2605" w:type="dxa"/>
          </w:tcPr>
          <w:p w14:paraId="61CFC868" w14:textId="77777777" w:rsidR="002F635D" w:rsidRPr="0024114A" w:rsidRDefault="002F635D" w:rsidP="002D6DD7">
            <w:pPr>
              <w:contextualSpacing/>
              <w:jc w:val="both"/>
              <w:rPr>
                <w:rFonts w:cs="Times New Roman"/>
                <w:szCs w:val="24"/>
              </w:rPr>
            </w:pPr>
            <w:r w:rsidRPr="0024114A">
              <w:rPr>
                <w:rFonts w:cs="Times New Roman"/>
                <w:szCs w:val="24"/>
              </w:rPr>
              <w:lastRenderedPageBreak/>
              <w:t>Storage condition</w:t>
            </w:r>
          </w:p>
        </w:tc>
        <w:tc>
          <w:tcPr>
            <w:tcW w:w="6745" w:type="dxa"/>
          </w:tcPr>
          <w:p w14:paraId="7B48331E" w14:textId="77777777" w:rsidR="002F635D" w:rsidRPr="0024114A" w:rsidRDefault="002F635D" w:rsidP="002D6DD7">
            <w:pPr>
              <w:contextualSpacing/>
              <w:jc w:val="both"/>
              <w:rPr>
                <w:rFonts w:cs="Times New Roman"/>
                <w:szCs w:val="24"/>
              </w:rPr>
            </w:pPr>
            <w:r w:rsidRPr="0024114A">
              <w:rPr>
                <w:rFonts w:cs="Times New Roman"/>
                <w:szCs w:val="24"/>
              </w:rPr>
              <w:t>Store between 2°C and 8°C. Protect from sunlight.</w:t>
            </w:r>
          </w:p>
        </w:tc>
      </w:tr>
      <w:tr w:rsidR="002F635D" w:rsidRPr="0024114A" w14:paraId="3780C3FE" w14:textId="77777777" w:rsidTr="002D6DD7">
        <w:tc>
          <w:tcPr>
            <w:tcW w:w="9350" w:type="dxa"/>
            <w:gridSpan w:val="2"/>
          </w:tcPr>
          <w:p w14:paraId="2C7249AA" w14:textId="77777777" w:rsidR="002F635D" w:rsidRPr="0024114A" w:rsidRDefault="002F635D" w:rsidP="002D6DD7">
            <w:pPr>
              <w:contextualSpacing/>
              <w:jc w:val="both"/>
              <w:rPr>
                <w:rFonts w:cs="Times New Roman"/>
                <w:b/>
                <w:bCs/>
                <w:szCs w:val="24"/>
              </w:rPr>
            </w:pPr>
            <w:r w:rsidRPr="0024114A">
              <w:rPr>
                <w:rFonts w:cs="Times New Roman"/>
                <w:b/>
                <w:bCs/>
                <w:szCs w:val="24"/>
              </w:rPr>
              <w:t>Oral cholera vaccine (Euvichol-plus)</w:t>
            </w:r>
          </w:p>
        </w:tc>
      </w:tr>
      <w:tr w:rsidR="002F635D" w:rsidRPr="0024114A" w14:paraId="3C09D6D4" w14:textId="77777777" w:rsidTr="002D6DD7">
        <w:tc>
          <w:tcPr>
            <w:tcW w:w="2605" w:type="dxa"/>
          </w:tcPr>
          <w:p w14:paraId="61EBBAD1"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2B6AD212"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039714B7" w14:textId="77777777" w:rsidTr="002D6DD7">
        <w:tc>
          <w:tcPr>
            <w:tcW w:w="2605" w:type="dxa"/>
          </w:tcPr>
          <w:p w14:paraId="60835822"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29D8F761" w14:textId="77777777" w:rsidR="002F635D" w:rsidRPr="0024114A" w:rsidRDefault="002F635D" w:rsidP="002D6DD7">
            <w:pPr>
              <w:contextualSpacing/>
              <w:jc w:val="both"/>
              <w:rPr>
                <w:rFonts w:cs="Times New Roman"/>
                <w:szCs w:val="24"/>
              </w:rPr>
            </w:pPr>
            <w:r w:rsidRPr="006E5ECA">
              <w:rPr>
                <w:rFonts w:cs="Times New Roman"/>
                <w:szCs w:val="24"/>
              </w:rPr>
              <w:t xml:space="preserve">Oral </w:t>
            </w:r>
            <w:r w:rsidRPr="0024114A">
              <w:rPr>
                <w:rFonts w:cs="Times New Roman"/>
                <w:szCs w:val="24"/>
              </w:rPr>
              <w:t>suspension: 1.5ml</w:t>
            </w:r>
          </w:p>
        </w:tc>
      </w:tr>
      <w:tr w:rsidR="002F635D" w:rsidRPr="0024114A" w14:paraId="15D948A6" w14:textId="77777777" w:rsidTr="002D6DD7">
        <w:tc>
          <w:tcPr>
            <w:tcW w:w="2605" w:type="dxa"/>
          </w:tcPr>
          <w:p w14:paraId="5602671A"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353A3A3F" w14:textId="77777777" w:rsidR="002F635D" w:rsidRPr="0024114A" w:rsidRDefault="002F635D" w:rsidP="002D6DD7">
            <w:pPr>
              <w:contextualSpacing/>
              <w:jc w:val="both"/>
              <w:rPr>
                <w:rFonts w:cs="Times New Roman"/>
                <w:szCs w:val="24"/>
              </w:rPr>
            </w:pPr>
            <w:r w:rsidRPr="0024114A">
              <w:rPr>
                <w:rFonts w:cs="Times New Roman"/>
                <w:szCs w:val="24"/>
              </w:rPr>
              <w:t xml:space="preserve">Prevention of Cholera caused by </w:t>
            </w:r>
            <w:r w:rsidRPr="0024114A">
              <w:rPr>
                <w:rFonts w:cs="Times New Roman"/>
                <w:i/>
                <w:iCs/>
                <w:szCs w:val="24"/>
              </w:rPr>
              <w:t>Vibrio cholerae</w:t>
            </w:r>
            <w:r w:rsidRPr="0024114A">
              <w:rPr>
                <w:rFonts w:cs="Times New Roman"/>
                <w:szCs w:val="24"/>
              </w:rPr>
              <w:t>.</w:t>
            </w:r>
          </w:p>
        </w:tc>
      </w:tr>
      <w:tr w:rsidR="002F635D" w:rsidRPr="0024114A" w14:paraId="454764E4" w14:textId="77777777" w:rsidTr="002D6DD7">
        <w:tc>
          <w:tcPr>
            <w:tcW w:w="2605" w:type="dxa"/>
          </w:tcPr>
          <w:p w14:paraId="4BC4BFE7"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5602D237" w14:textId="77777777" w:rsidR="002F635D" w:rsidRPr="0024114A" w:rsidRDefault="002F635D" w:rsidP="002D6DD7">
            <w:pPr>
              <w:contextualSpacing/>
              <w:jc w:val="both"/>
              <w:rPr>
                <w:rFonts w:cs="Times New Roman"/>
                <w:szCs w:val="24"/>
              </w:rPr>
            </w:pPr>
            <w:r w:rsidRPr="0024114A">
              <w:rPr>
                <w:rFonts w:cs="Times New Roman"/>
                <w:b/>
                <w:szCs w:val="24"/>
              </w:rPr>
              <w:t>Anyone above the age of 1 year, who are travelling to endemic orepidemic areas</w:t>
            </w:r>
            <w:r w:rsidRPr="0024114A">
              <w:rPr>
                <w:rFonts w:cs="Times New Roman"/>
                <w:szCs w:val="24"/>
              </w:rPr>
              <w:t xml:space="preserve">: 2 doses,1.5 ml p.o.; two doses of the vaccine should be given at an interval of two weeks.  </w:t>
            </w:r>
          </w:p>
        </w:tc>
      </w:tr>
      <w:tr w:rsidR="002F635D" w:rsidRPr="0024114A" w14:paraId="744D0D03" w14:textId="77777777" w:rsidTr="002D6DD7">
        <w:tc>
          <w:tcPr>
            <w:tcW w:w="2605" w:type="dxa"/>
          </w:tcPr>
          <w:p w14:paraId="5EF661A8"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2D0D5A46" w14:textId="77777777" w:rsidR="002F635D" w:rsidRPr="0024114A" w:rsidRDefault="002F635D" w:rsidP="002D6DD7">
            <w:pPr>
              <w:contextualSpacing/>
              <w:jc w:val="both"/>
              <w:rPr>
                <w:rFonts w:cs="Times New Roman"/>
                <w:szCs w:val="24"/>
              </w:rPr>
            </w:pPr>
            <w:r w:rsidRPr="0024114A">
              <w:rPr>
                <w:rFonts w:cs="Times New Roman"/>
                <w:szCs w:val="24"/>
              </w:rPr>
              <w:t>Persons with either known hypersensitivity to any componentof the vaccine or having shown signs of severe reaction due to the previously taken dose.</w:t>
            </w:r>
          </w:p>
        </w:tc>
      </w:tr>
      <w:tr w:rsidR="002F635D" w:rsidRPr="0024114A" w14:paraId="4FB2FC16" w14:textId="77777777" w:rsidTr="002D6DD7">
        <w:tc>
          <w:tcPr>
            <w:tcW w:w="2605" w:type="dxa"/>
          </w:tcPr>
          <w:p w14:paraId="4AF92746"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53647395" w14:textId="77777777" w:rsidR="002F635D" w:rsidRPr="0024114A" w:rsidRDefault="002F635D" w:rsidP="002D6DD7">
            <w:pPr>
              <w:contextualSpacing/>
              <w:jc w:val="both"/>
              <w:rPr>
                <w:rFonts w:cs="Times New Roman"/>
                <w:szCs w:val="24"/>
              </w:rPr>
            </w:pPr>
            <w:r w:rsidRPr="0024114A">
              <w:rPr>
                <w:rFonts w:cs="Times New Roman"/>
                <w:szCs w:val="24"/>
              </w:rPr>
              <w:t>Ciclosporin, dexamethasone, hydrocortisone, oral typhoid vaccine, chloroquine</w:t>
            </w:r>
          </w:p>
        </w:tc>
      </w:tr>
      <w:tr w:rsidR="002F635D" w:rsidRPr="0024114A" w14:paraId="75C787B4" w14:textId="77777777" w:rsidTr="002D6DD7">
        <w:tc>
          <w:tcPr>
            <w:tcW w:w="2605" w:type="dxa"/>
          </w:tcPr>
          <w:p w14:paraId="207DB37B"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115B4735" w14:textId="77777777" w:rsidR="002F635D" w:rsidRPr="0024114A" w:rsidRDefault="002F635D" w:rsidP="002D6DD7">
            <w:pPr>
              <w:contextualSpacing/>
              <w:jc w:val="both"/>
              <w:rPr>
                <w:rFonts w:cs="Times New Roman"/>
                <w:szCs w:val="24"/>
              </w:rPr>
            </w:pPr>
            <w:r w:rsidRPr="0024114A">
              <w:rPr>
                <w:rFonts w:cs="Times New Roman"/>
                <w:szCs w:val="24"/>
              </w:rPr>
              <w:t>Headache, fever, diarrhea, nausea/vomiting, myalgia</w:t>
            </w:r>
          </w:p>
        </w:tc>
      </w:tr>
      <w:tr w:rsidR="002F635D" w:rsidRPr="0024114A" w14:paraId="6CE782E1" w14:textId="77777777" w:rsidTr="002D6DD7">
        <w:tc>
          <w:tcPr>
            <w:tcW w:w="2605" w:type="dxa"/>
          </w:tcPr>
          <w:p w14:paraId="02AE013A"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6871B2DC" w14:textId="77777777" w:rsidR="002F635D" w:rsidRPr="0024114A" w:rsidRDefault="002F635D" w:rsidP="002D6DD7">
            <w:pPr>
              <w:contextualSpacing/>
              <w:jc w:val="both"/>
              <w:rPr>
                <w:rFonts w:cs="Times New Roman"/>
                <w:szCs w:val="24"/>
              </w:rPr>
            </w:pPr>
            <w:r w:rsidRPr="0024114A">
              <w:rPr>
                <w:rFonts w:cs="Times New Roman"/>
                <w:szCs w:val="24"/>
              </w:rPr>
              <w:t>The vaccine should not be administered parenterally (intramuscularly, subcutaneously or intravenously).</w:t>
            </w:r>
            <w:r w:rsidR="006E5ECA">
              <w:rPr>
                <w:rFonts w:cs="Times New Roman"/>
                <w:szCs w:val="24"/>
              </w:rPr>
              <w:t xml:space="preserve"> </w:t>
            </w:r>
            <w:r w:rsidRPr="0024114A">
              <w:rPr>
                <w:rFonts w:cs="Times New Roman"/>
                <w:szCs w:val="24"/>
              </w:rPr>
              <w:t>The vaccine is only recommended for oral administration.The vaccine is presented as a suspension and hence rigorous shaking is required before administration.</w:t>
            </w:r>
          </w:p>
        </w:tc>
      </w:tr>
      <w:tr w:rsidR="002F635D" w:rsidRPr="0024114A" w14:paraId="6CDEBE1A" w14:textId="77777777" w:rsidTr="002D6DD7">
        <w:tc>
          <w:tcPr>
            <w:tcW w:w="2605" w:type="dxa"/>
          </w:tcPr>
          <w:p w14:paraId="0894E43B"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530473E3" w14:textId="77777777" w:rsidR="002F635D" w:rsidRPr="0024114A" w:rsidRDefault="002F635D" w:rsidP="002D6DD7">
            <w:pPr>
              <w:contextualSpacing/>
              <w:jc w:val="both"/>
              <w:rPr>
                <w:rFonts w:cs="Times New Roman"/>
                <w:szCs w:val="24"/>
              </w:rPr>
            </w:pPr>
            <w:r w:rsidRPr="0024114A">
              <w:rPr>
                <w:rFonts w:cs="Times New Roman"/>
                <w:szCs w:val="24"/>
              </w:rPr>
              <w:t>Store between 2℃-8℃. Do not freeze.</w:t>
            </w:r>
          </w:p>
        </w:tc>
      </w:tr>
      <w:tr w:rsidR="002F635D" w:rsidRPr="0024114A" w14:paraId="20EBD701" w14:textId="77777777" w:rsidTr="002D6DD7">
        <w:tc>
          <w:tcPr>
            <w:tcW w:w="9350" w:type="dxa"/>
            <w:gridSpan w:val="2"/>
          </w:tcPr>
          <w:p w14:paraId="382FE834" w14:textId="77777777" w:rsidR="002F635D" w:rsidRPr="0024114A" w:rsidRDefault="002F635D" w:rsidP="002D6DD7">
            <w:pPr>
              <w:contextualSpacing/>
              <w:jc w:val="both"/>
              <w:rPr>
                <w:rFonts w:cs="Times New Roman"/>
                <w:b/>
                <w:bCs/>
                <w:szCs w:val="24"/>
              </w:rPr>
            </w:pPr>
            <w:r w:rsidRPr="0024114A">
              <w:rPr>
                <w:rFonts w:cs="Times New Roman"/>
                <w:b/>
                <w:bCs/>
                <w:szCs w:val="24"/>
              </w:rPr>
              <w:t xml:space="preserve">Oral Poliomyelitis Vaccine, Trivalent Type I, II, and III   </w:t>
            </w:r>
          </w:p>
        </w:tc>
      </w:tr>
      <w:tr w:rsidR="002F635D" w:rsidRPr="0024114A" w14:paraId="71691873" w14:textId="77777777" w:rsidTr="002D6DD7">
        <w:tc>
          <w:tcPr>
            <w:tcW w:w="2605" w:type="dxa"/>
          </w:tcPr>
          <w:p w14:paraId="12A3F91D" w14:textId="77777777" w:rsidR="002F635D" w:rsidRPr="0024114A" w:rsidRDefault="002F635D" w:rsidP="002D6DD7">
            <w:pPr>
              <w:contextualSpacing/>
              <w:jc w:val="both"/>
              <w:rPr>
                <w:rFonts w:eastAsia="Times New Roman" w:cs="Times New Roman"/>
                <w:color w:val="000000"/>
                <w:szCs w:val="24"/>
              </w:rPr>
            </w:pPr>
            <w:r w:rsidRPr="0024114A">
              <w:rPr>
                <w:rFonts w:cs="Times New Roman"/>
                <w:szCs w:val="24"/>
              </w:rPr>
              <w:t>Pharmacological class</w:t>
            </w:r>
          </w:p>
        </w:tc>
        <w:tc>
          <w:tcPr>
            <w:tcW w:w="6745" w:type="dxa"/>
          </w:tcPr>
          <w:p w14:paraId="37988668"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26DD4996" w14:textId="77777777" w:rsidTr="002D6DD7">
        <w:tc>
          <w:tcPr>
            <w:tcW w:w="2605" w:type="dxa"/>
          </w:tcPr>
          <w:p w14:paraId="67DBD75B"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77E1A754" w14:textId="77777777" w:rsidR="002F635D" w:rsidRPr="0024114A" w:rsidRDefault="002F635D" w:rsidP="002D6DD7">
            <w:pPr>
              <w:contextualSpacing/>
              <w:jc w:val="both"/>
              <w:rPr>
                <w:rFonts w:cs="Times New Roman"/>
                <w:szCs w:val="24"/>
              </w:rPr>
            </w:pPr>
            <w:r w:rsidRPr="006E5ECA">
              <w:rPr>
                <w:rFonts w:cs="Times New Roman"/>
                <w:szCs w:val="24"/>
              </w:rPr>
              <w:t>Oral:</w:t>
            </w:r>
            <w:r w:rsidRPr="0024114A">
              <w:rPr>
                <w:rFonts w:cs="Times New Roman"/>
                <w:szCs w:val="24"/>
              </w:rPr>
              <w:t xml:space="preserve"> 0.5ml, 10ml, and 20ml</w:t>
            </w:r>
          </w:p>
        </w:tc>
      </w:tr>
      <w:tr w:rsidR="002F635D" w:rsidRPr="0024114A" w14:paraId="18CC297D" w14:textId="77777777" w:rsidTr="002D6DD7">
        <w:tc>
          <w:tcPr>
            <w:tcW w:w="2605" w:type="dxa"/>
          </w:tcPr>
          <w:p w14:paraId="125CD3F1"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0E3B6CDE" w14:textId="77777777" w:rsidR="002F635D" w:rsidRPr="0024114A" w:rsidRDefault="002F635D" w:rsidP="002D6DD7">
            <w:pPr>
              <w:contextualSpacing/>
              <w:jc w:val="both"/>
              <w:rPr>
                <w:rFonts w:cs="Times New Roman"/>
                <w:szCs w:val="24"/>
              </w:rPr>
            </w:pPr>
            <w:r w:rsidRPr="0024114A">
              <w:rPr>
                <w:rFonts w:cs="Times New Roman"/>
                <w:szCs w:val="24"/>
              </w:rPr>
              <w:t>Immunization against poliomyelitis.</w:t>
            </w:r>
          </w:p>
        </w:tc>
      </w:tr>
      <w:tr w:rsidR="002F635D" w:rsidRPr="0024114A" w14:paraId="7CEEC381" w14:textId="77777777" w:rsidTr="002D6DD7">
        <w:tc>
          <w:tcPr>
            <w:tcW w:w="2605" w:type="dxa"/>
          </w:tcPr>
          <w:p w14:paraId="6B6053A9"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69765D86"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 xml:space="preserve">: 0.1ml (two drops) by </w:t>
            </w:r>
            <w:r w:rsidRPr="006E5ECA">
              <w:rPr>
                <w:rFonts w:cs="Times New Roman"/>
                <w:szCs w:val="24"/>
              </w:rPr>
              <w:t>oral</w:t>
            </w:r>
            <w:r w:rsidRPr="0024114A">
              <w:rPr>
                <w:rFonts w:cs="Times New Roman"/>
                <w:szCs w:val="24"/>
              </w:rPr>
              <w:t xml:space="preserve"> at birth, 6, 10 and 14 weeks of age. Dosing is according to local and WHO recommendations.</w:t>
            </w:r>
          </w:p>
        </w:tc>
      </w:tr>
      <w:tr w:rsidR="002F635D" w:rsidRPr="0024114A" w14:paraId="548D9975" w14:textId="77777777" w:rsidTr="002D6DD7">
        <w:tc>
          <w:tcPr>
            <w:tcW w:w="2605" w:type="dxa"/>
          </w:tcPr>
          <w:p w14:paraId="6ECF264B"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1BFD03F5" w14:textId="77777777" w:rsidR="002F635D" w:rsidRPr="0024114A" w:rsidRDefault="002F635D" w:rsidP="002D6DD7">
            <w:pPr>
              <w:contextualSpacing/>
              <w:jc w:val="both"/>
              <w:rPr>
                <w:rFonts w:cs="Times New Roman"/>
                <w:szCs w:val="24"/>
              </w:rPr>
            </w:pPr>
            <w:r w:rsidRPr="0024114A">
              <w:rPr>
                <w:rFonts w:cs="Times New Roman"/>
                <w:szCs w:val="24"/>
              </w:rPr>
              <w:t xml:space="preserve">Anaphylactic reaction to previous dose or to any constituent, hypersensitivity to erythromycin and kanamycin, acute or developing infectious diseases, leukemia, lymphoma or generalized </w:t>
            </w:r>
            <w:r w:rsidRPr="0024114A">
              <w:rPr>
                <w:rFonts w:cs="Times New Roman"/>
                <w:szCs w:val="24"/>
              </w:rPr>
              <w:lastRenderedPageBreak/>
              <w:t>malignancy, acquired or congenital immunodepression, acute intestinal diseases.</w:t>
            </w:r>
          </w:p>
        </w:tc>
      </w:tr>
      <w:tr w:rsidR="002F635D" w:rsidRPr="0024114A" w14:paraId="25DE1BE4" w14:textId="77777777" w:rsidTr="002D6DD7">
        <w:tc>
          <w:tcPr>
            <w:tcW w:w="2605" w:type="dxa"/>
          </w:tcPr>
          <w:p w14:paraId="5744F3F8" w14:textId="77777777" w:rsidR="002F635D" w:rsidRPr="0024114A" w:rsidRDefault="002F635D" w:rsidP="002D6DD7">
            <w:pPr>
              <w:contextualSpacing/>
              <w:jc w:val="both"/>
              <w:rPr>
                <w:rFonts w:cs="Times New Roman"/>
                <w:szCs w:val="24"/>
              </w:rPr>
            </w:pPr>
            <w:r w:rsidRPr="0024114A">
              <w:rPr>
                <w:rFonts w:cs="Times New Roman"/>
                <w:szCs w:val="24"/>
              </w:rPr>
              <w:lastRenderedPageBreak/>
              <w:t>Drug interactions</w:t>
            </w:r>
          </w:p>
        </w:tc>
        <w:tc>
          <w:tcPr>
            <w:tcW w:w="6745" w:type="dxa"/>
          </w:tcPr>
          <w:p w14:paraId="0B506277" w14:textId="77777777" w:rsidR="002F635D" w:rsidRPr="0024114A" w:rsidRDefault="002F635D" w:rsidP="002D6DD7">
            <w:pPr>
              <w:autoSpaceDE w:val="0"/>
              <w:autoSpaceDN w:val="0"/>
              <w:adjustRightInd w:val="0"/>
              <w:contextualSpacing/>
              <w:jc w:val="both"/>
              <w:rPr>
                <w:rFonts w:cs="Times New Roman"/>
                <w:szCs w:val="24"/>
              </w:rPr>
            </w:pPr>
            <w:r w:rsidRPr="0024114A">
              <w:rPr>
                <w:rFonts w:cs="Times New Roman"/>
                <w:szCs w:val="24"/>
              </w:rPr>
              <w:t>Immunosuppressant medicines (e.g. corticosteroids and anticancer medicines, asparaginase, azathioprine).</w:t>
            </w:r>
          </w:p>
        </w:tc>
      </w:tr>
      <w:tr w:rsidR="002F635D" w:rsidRPr="0024114A" w14:paraId="09AFCEB0" w14:textId="77777777" w:rsidTr="002D6DD7">
        <w:tc>
          <w:tcPr>
            <w:tcW w:w="2605" w:type="dxa"/>
          </w:tcPr>
          <w:p w14:paraId="54E0B732"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4BE0C9F0" w14:textId="77777777" w:rsidR="002F635D" w:rsidRPr="0024114A" w:rsidRDefault="002F635D" w:rsidP="002D6DD7">
            <w:pPr>
              <w:autoSpaceDE w:val="0"/>
              <w:autoSpaceDN w:val="0"/>
              <w:adjustRightInd w:val="0"/>
              <w:contextualSpacing/>
              <w:jc w:val="both"/>
              <w:rPr>
                <w:rFonts w:cs="Times New Roman"/>
                <w:szCs w:val="24"/>
              </w:rPr>
            </w:pPr>
            <w:r w:rsidRPr="0024114A">
              <w:rPr>
                <w:rFonts w:cs="Times New Roman"/>
                <w:szCs w:val="24"/>
              </w:rPr>
              <w:t>Rarely, vaccine-associated paralysis, fever, anaphylaxis, Guillain-Barre syndrome, paralytic poliomyelitis.</w:t>
            </w:r>
          </w:p>
        </w:tc>
      </w:tr>
      <w:tr w:rsidR="002F635D" w:rsidRPr="0024114A" w14:paraId="2ACC6941" w14:textId="77777777" w:rsidTr="002D6DD7">
        <w:tc>
          <w:tcPr>
            <w:tcW w:w="2605" w:type="dxa"/>
          </w:tcPr>
          <w:p w14:paraId="3898E8E4"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5D2B3A15" w14:textId="77777777" w:rsidR="002F635D" w:rsidRPr="0024114A" w:rsidRDefault="002F635D" w:rsidP="002D6DD7">
            <w:pPr>
              <w:contextualSpacing/>
              <w:jc w:val="both"/>
              <w:rPr>
                <w:rFonts w:cs="Times New Roman"/>
                <w:szCs w:val="24"/>
              </w:rPr>
            </w:pPr>
            <w:r w:rsidRPr="0024114A">
              <w:rPr>
                <w:rFonts w:cs="Times New Roman"/>
                <w:szCs w:val="24"/>
              </w:rPr>
              <w:t>Not to be taken with food this contains a preservative, hypersensitivity to any antibiotic present in vaccine, pregnancy.</w:t>
            </w:r>
          </w:p>
          <w:p w14:paraId="5E602DDD" w14:textId="77777777" w:rsidR="002F635D" w:rsidRPr="0024114A" w:rsidRDefault="002F635D" w:rsidP="002D6DD7">
            <w:pPr>
              <w:contextualSpacing/>
              <w:jc w:val="both"/>
              <w:rPr>
                <w:rFonts w:cs="Times New Roman"/>
                <w:szCs w:val="24"/>
              </w:rPr>
            </w:pPr>
            <w:r w:rsidRPr="0024114A">
              <w:rPr>
                <w:rFonts w:cs="Times New Roman"/>
                <w:szCs w:val="24"/>
              </w:rPr>
              <w:t>Postpone vaccination if the child has moderate to severe illness (with temperature =39 °C or more).</w:t>
            </w:r>
          </w:p>
        </w:tc>
      </w:tr>
      <w:tr w:rsidR="002F635D" w:rsidRPr="0024114A" w14:paraId="4EE8B297" w14:textId="77777777" w:rsidTr="002D6DD7">
        <w:tc>
          <w:tcPr>
            <w:tcW w:w="2605" w:type="dxa"/>
          </w:tcPr>
          <w:p w14:paraId="7EEEA0A7"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23960FCB" w14:textId="77777777" w:rsidR="002F635D" w:rsidRPr="0024114A" w:rsidRDefault="002F635D" w:rsidP="002D6DD7">
            <w:pPr>
              <w:contextualSpacing/>
              <w:jc w:val="both"/>
              <w:rPr>
                <w:rFonts w:cs="Times New Roman"/>
                <w:szCs w:val="24"/>
              </w:rPr>
            </w:pPr>
            <w:r w:rsidRPr="0024114A">
              <w:rPr>
                <w:rFonts w:cs="Times New Roman"/>
                <w:szCs w:val="24"/>
              </w:rPr>
              <w:t>Store between 2°C–8°C. OPV is very heat sensitive.</w:t>
            </w:r>
          </w:p>
        </w:tc>
      </w:tr>
      <w:tr w:rsidR="002F635D" w:rsidRPr="0024114A" w14:paraId="4ABD2165" w14:textId="77777777" w:rsidTr="002D6DD7">
        <w:tc>
          <w:tcPr>
            <w:tcW w:w="9350" w:type="dxa"/>
            <w:gridSpan w:val="2"/>
          </w:tcPr>
          <w:p w14:paraId="50182E82" w14:textId="77777777" w:rsidR="002F635D" w:rsidRPr="0024114A" w:rsidRDefault="002F635D" w:rsidP="002D6DD7">
            <w:pPr>
              <w:contextualSpacing/>
              <w:jc w:val="both"/>
              <w:rPr>
                <w:rFonts w:cs="Times New Roman"/>
                <w:b/>
                <w:bCs/>
                <w:szCs w:val="24"/>
              </w:rPr>
            </w:pPr>
            <w:r w:rsidRPr="0024114A">
              <w:rPr>
                <w:rFonts w:cs="Times New Roman"/>
                <w:b/>
                <w:bCs/>
                <w:szCs w:val="24"/>
                <w:lang w:val="fr-FR"/>
              </w:rPr>
              <w:t>Pentavalent (Toxoid (Diphtheria, Tetanus), acellular (Pertussis), Conjugate polysaccharide (Haemophilus Influenzae type b), Recombinant DNA (hepatitis B)) vaccine</w:t>
            </w:r>
          </w:p>
        </w:tc>
      </w:tr>
      <w:tr w:rsidR="002F635D" w:rsidRPr="0024114A" w14:paraId="3E5C175B" w14:textId="77777777" w:rsidTr="002D6DD7">
        <w:tc>
          <w:tcPr>
            <w:tcW w:w="2605" w:type="dxa"/>
          </w:tcPr>
          <w:p w14:paraId="54B6F64F"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0A140DA5" w14:textId="77777777" w:rsidR="002F635D" w:rsidRPr="0024114A" w:rsidRDefault="002F635D" w:rsidP="002D6DD7">
            <w:pPr>
              <w:contextualSpacing/>
              <w:jc w:val="both"/>
              <w:rPr>
                <w:rFonts w:cs="Times New Roman"/>
                <w:szCs w:val="24"/>
              </w:rPr>
            </w:pPr>
            <w:r w:rsidRPr="0024114A">
              <w:rPr>
                <w:rFonts w:cs="Times New Roman"/>
                <w:szCs w:val="24"/>
              </w:rPr>
              <w:t>Vaccine</w:t>
            </w:r>
          </w:p>
        </w:tc>
      </w:tr>
      <w:tr w:rsidR="002F635D" w:rsidRPr="0024114A" w14:paraId="23439AF0" w14:textId="77777777" w:rsidTr="002D6DD7">
        <w:tc>
          <w:tcPr>
            <w:tcW w:w="2605" w:type="dxa"/>
          </w:tcPr>
          <w:p w14:paraId="6DF8E289"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001791DE" w14:textId="77777777" w:rsidR="002F635D" w:rsidRPr="0024114A" w:rsidRDefault="002F635D" w:rsidP="002D6DD7">
            <w:pPr>
              <w:contextualSpacing/>
              <w:jc w:val="both"/>
              <w:rPr>
                <w:rFonts w:cs="Times New Roman"/>
                <w:szCs w:val="24"/>
              </w:rPr>
            </w:pPr>
            <w:r w:rsidRPr="0024114A">
              <w:rPr>
                <w:rFonts w:eastAsia="Times New Roman" w:cs="Times New Roman"/>
                <w:color w:val="000000"/>
                <w:szCs w:val="24"/>
                <w:lang w:val="fr-FR"/>
              </w:rPr>
              <w:t>Injection : 0.5 ml</w:t>
            </w:r>
          </w:p>
        </w:tc>
      </w:tr>
      <w:tr w:rsidR="002F635D" w:rsidRPr="0024114A" w14:paraId="3A610230" w14:textId="77777777" w:rsidTr="002D6DD7">
        <w:tc>
          <w:tcPr>
            <w:tcW w:w="2605" w:type="dxa"/>
          </w:tcPr>
          <w:p w14:paraId="739B9FE2"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34519F82" w14:textId="77777777" w:rsidR="002F635D" w:rsidRPr="0024114A" w:rsidRDefault="002F635D" w:rsidP="002D6DD7">
            <w:pPr>
              <w:contextualSpacing/>
              <w:jc w:val="both"/>
              <w:rPr>
                <w:rFonts w:cs="Times New Roman"/>
                <w:szCs w:val="24"/>
              </w:rPr>
            </w:pPr>
            <w:r w:rsidRPr="0024114A">
              <w:rPr>
                <w:rFonts w:cs="Times New Roman"/>
                <w:szCs w:val="24"/>
              </w:rPr>
              <w:t>Immunization against Diptheria, Pertussis, Tetanus, Hemophilus Influenzae type B and Hepatitis B virus infection.</w:t>
            </w:r>
          </w:p>
        </w:tc>
      </w:tr>
      <w:tr w:rsidR="002F635D" w:rsidRPr="0024114A" w14:paraId="33D780BA" w14:textId="77777777" w:rsidTr="002D6DD7">
        <w:tc>
          <w:tcPr>
            <w:tcW w:w="2605" w:type="dxa"/>
          </w:tcPr>
          <w:p w14:paraId="369DBB9D" w14:textId="77777777" w:rsidR="002F635D" w:rsidRPr="0024114A" w:rsidRDefault="002F635D" w:rsidP="002D6DD7">
            <w:pPr>
              <w:contextualSpacing/>
              <w:jc w:val="both"/>
              <w:rPr>
                <w:rFonts w:cs="Times New Roman"/>
                <w:szCs w:val="24"/>
              </w:rPr>
            </w:pPr>
            <w:r w:rsidRPr="0024114A">
              <w:rPr>
                <w:rFonts w:cs="Times New Roman"/>
                <w:szCs w:val="24"/>
              </w:rPr>
              <w:t>Dose and Administration</w:t>
            </w:r>
          </w:p>
        </w:tc>
        <w:tc>
          <w:tcPr>
            <w:tcW w:w="6745" w:type="dxa"/>
          </w:tcPr>
          <w:p w14:paraId="5C333725" w14:textId="77777777" w:rsidR="002F635D" w:rsidRPr="0024114A" w:rsidRDefault="002F635D" w:rsidP="002D6DD7">
            <w:pPr>
              <w:contextualSpacing/>
              <w:jc w:val="both"/>
              <w:rPr>
                <w:rFonts w:cs="Times New Roman"/>
                <w:szCs w:val="24"/>
              </w:rPr>
            </w:pPr>
            <w:r w:rsidRPr="0024114A">
              <w:rPr>
                <w:rFonts w:cs="Times New Roman"/>
                <w:b/>
                <w:bCs/>
                <w:szCs w:val="24"/>
              </w:rPr>
              <w:t>Pediatric</w:t>
            </w:r>
            <w:r w:rsidRPr="0024114A">
              <w:rPr>
                <w:rFonts w:cs="Times New Roman"/>
                <w:szCs w:val="24"/>
              </w:rPr>
              <w:t>: 0.5 ml by intramuscular route at 6, 10, and 14 weeks of birth. Dosing is according to Immunization Schedule under NIP.</w:t>
            </w:r>
          </w:p>
        </w:tc>
      </w:tr>
      <w:tr w:rsidR="002F635D" w:rsidRPr="0024114A" w14:paraId="6C0604F4" w14:textId="77777777" w:rsidTr="002D6DD7">
        <w:tc>
          <w:tcPr>
            <w:tcW w:w="2605" w:type="dxa"/>
          </w:tcPr>
          <w:p w14:paraId="6D7223D4" w14:textId="77777777" w:rsidR="002F635D" w:rsidRPr="0024114A" w:rsidRDefault="002F635D" w:rsidP="002D6DD7">
            <w:pPr>
              <w:contextualSpacing/>
              <w:jc w:val="both"/>
              <w:rPr>
                <w:rFonts w:cs="Times New Roman"/>
                <w:szCs w:val="24"/>
              </w:rPr>
            </w:pPr>
            <w:r w:rsidRPr="0024114A">
              <w:rPr>
                <w:rFonts w:cs="Times New Roman"/>
                <w:szCs w:val="24"/>
              </w:rPr>
              <w:t>Contraindications</w:t>
            </w:r>
          </w:p>
        </w:tc>
        <w:tc>
          <w:tcPr>
            <w:tcW w:w="6745" w:type="dxa"/>
          </w:tcPr>
          <w:p w14:paraId="4ED56810" w14:textId="77777777" w:rsidR="002F635D" w:rsidRPr="0024114A" w:rsidRDefault="002F635D" w:rsidP="002D6DD7">
            <w:pPr>
              <w:contextualSpacing/>
              <w:jc w:val="both"/>
              <w:rPr>
                <w:rFonts w:cs="Times New Roman"/>
                <w:szCs w:val="24"/>
              </w:rPr>
            </w:pPr>
            <w:r w:rsidRPr="0024114A">
              <w:rPr>
                <w:rFonts w:cs="Times New Roman"/>
                <w:szCs w:val="24"/>
              </w:rPr>
              <w:t>Convulsant or non-convulsant progressive encephalopathy. Children who have experienced a strong reaction within 48 hours following a previous vaccination: fever 40°C or more, persistent crying syndrome, febrile or non-febrile convulsion, hypotonus-hyporeactivity syndrome. Hypersensitivity to neomycin, streptomycin, polymyxin B.</w:t>
            </w:r>
          </w:p>
        </w:tc>
      </w:tr>
      <w:tr w:rsidR="002F635D" w:rsidRPr="0024114A" w14:paraId="5435524D" w14:textId="77777777" w:rsidTr="002D6DD7">
        <w:tc>
          <w:tcPr>
            <w:tcW w:w="2605" w:type="dxa"/>
          </w:tcPr>
          <w:p w14:paraId="3DF8E7FF"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10E8F616" w14:textId="77777777" w:rsidR="002F635D" w:rsidRPr="0024114A" w:rsidRDefault="002F635D" w:rsidP="002D6DD7">
            <w:pPr>
              <w:contextualSpacing/>
              <w:jc w:val="both"/>
              <w:rPr>
                <w:rFonts w:cs="Times New Roman"/>
                <w:szCs w:val="24"/>
              </w:rPr>
            </w:pPr>
            <w:r w:rsidRPr="0024114A">
              <w:rPr>
                <w:rFonts w:cs="Times New Roman"/>
                <w:szCs w:val="24"/>
              </w:rPr>
              <w:t>Not known</w:t>
            </w:r>
          </w:p>
        </w:tc>
      </w:tr>
      <w:tr w:rsidR="002F635D" w:rsidRPr="0024114A" w14:paraId="6ABB20BB" w14:textId="77777777" w:rsidTr="002D6DD7">
        <w:tc>
          <w:tcPr>
            <w:tcW w:w="2605" w:type="dxa"/>
          </w:tcPr>
          <w:p w14:paraId="1CA3498A"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3F48E662" w14:textId="77777777" w:rsidR="002F635D" w:rsidRPr="0024114A" w:rsidRDefault="002F635D" w:rsidP="002D6DD7">
            <w:pPr>
              <w:contextualSpacing/>
              <w:jc w:val="both"/>
              <w:rPr>
                <w:rFonts w:cs="Times New Roman"/>
                <w:szCs w:val="24"/>
              </w:rPr>
            </w:pPr>
            <w:r w:rsidRPr="0024114A">
              <w:rPr>
                <w:rFonts w:cs="Times New Roman"/>
                <w:szCs w:val="24"/>
              </w:rPr>
              <w:t>Injection site reactions (such as pain, erythema, and inflammation), fever, malaise, febrile seizures, prolonged crying or restlessness, vomiting, loss appetite, fatigue.</w:t>
            </w:r>
          </w:p>
        </w:tc>
      </w:tr>
      <w:tr w:rsidR="002F635D" w:rsidRPr="0024114A" w14:paraId="4D3ED1F3" w14:textId="77777777" w:rsidTr="002D6DD7">
        <w:tc>
          <w:tcPr>
            <w:tcW w:w="2605" w:type="dxa"/>
          </w:tcPr>
          <w:p w14:paraId="27E38BB0" w14:textId="77777777" w:rsidR="002F635D" w:rsidRPr="0024114A" w:rsidRDefault="002F635D" w:rsidP="002D6DD7">
            <w:pPr>
              <w:contextualSpacing/>
              <w:jc w:val="both"/>
              <w:rPr>
                <w:rFonts w:cs="Times New Roman"/>
                <w:szCs w:val="24"/>
              </w:rPr>
            </w:pPr>
            <w:r w:rsidRPr="0024114A">
              <w:rPr>
                <w:rFonts w:cs="Times New Roman"/>
                <w:szCs w:val="24"/>
              </w:rPr>
              <w:lastRenderedPageBreak/>
              <w:t xml:space="preserve">Cautions </w:t>
            </w:r>
          </w:p>
        </w:tc>
        <w:tc>
          <w:tcPr>
            <w:tcW w:w="6745" w:type="dxa"/>
          </w:tcPr>
          <w:p w14:paraId="5F72AC0A" w14:textId="77777777" w:rsidR="002F635D" w:rsidRPr="0024114A" w:rsidRDefault="002F635D" w:rsidP="002D6DD7">
            <w:pPr>
              <w:contextualSpacing/>
              <w:jc w:val="both"/>
              <w:rPr>
                <w:rFonts w:cs="Times New Roman"/>
                <w:szCs w:val="24"/>
              </w:rPr>
            </w:pPr>
            <w:r w:rsidRPr="0024114A">
              <w:rPr>
                <w:rFonts w:cs="Times New Roman"/>
                <w:szCs w:val="24"/>
              </w:rPr>
              <w:t>Do not administer IV/intradermal. Postpone vaccination in children with fever or acute disease. Guillain-Barré syndrome (GBS); altered immunocompetence or patients on immunosuppressive treatment or with immune deficiency. DTP containing vaccine not usually given over 6 years of age.</w:t>
            </w:r>
          </w:p>
        </w:tc>
      </w:tr>
      <w:tr w:rsidR="002F635D" w:rsidRPr="0024114A" w14:paraId="72E63595" w14:textId="77777777" w:rsidTr="002D6DD7">
        <w:tc>
          <w:tcPr>
            <w:tcW w:w="2605" w:type="dxa"/>
          </w:tcPr>
          <w:p w14:paraId="7E093AB4"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431E0D04" w14:textId="77777777" w:rsidR="002F635D" w:rsidRPr="0024114A" w:rsidRDefault="002F635D" w:rsidP="002D6DD7">
            <w:pPr>
              <w:contextualSpacing/>
              <w:jc w:val="both"/>
              <w:rPr>
                <w:rFonts w:cs="Times New Roman"/>
                <w:szCs w:val="24"/>
              </w:rPr>
            </w:pPr>
            <w:r w:rsidRPr="0024114A">
              <w:rPr>
                <w:rFonts w:cs="Times New Roman"/>
                <w:szCs w:val="24"/>
              </w:rPr>
              <w:t xml:space="preserve">Store between 2°C–8°C. It should never be frozen. </w:t>
            </w:r>
          </w:p>
        </w:tc>
      </w:tr>
      <w:tr w:rsidR="002F635D" w:rsidRPr="0024114A" w14:paraId="6850FD5A" w14:textId="77777777" w:rsidTr="002D6DD7">
        <w:tc>
          <w:tcPr>
            <w:tcW w:w="9350" w:type="dxa"/>
            <w:gridSpan w:val="2"/>
          </w:tcPr>
          <w:p w14:paraId="04A27AE3" w14:textId="77777777" w:rsidR="002F635D" w:rsidRPr="0024114A" w:rsidRDefault="002F635D" w:rsidP="002D6DD7">
            <w:pPr>
              <w:contextualSpacing/>
              <w:jc w:val="both"/>
              <w:rPr>
                <w:rFonts w:cs="Times New Roman"/>
                <w:b/>
                <w:bCs/>
                <w:szCs w:val="24"/>
              </w:rPr>
            </w:pPr>
            <w:r w:rsidRPr="0024114A">
              <w:rPr>
                <w:rFonts w:cs="Times New Roman"/>
                <w:b/>
                <w:bCs/>
                <w:szCs w:val="24"/>
              </w:rPr>
              <w:t>Pneumococcal conjugated vaccine (PCV)</w:t>
            </w:r>
          </w:p>
        </w:tc>
      </w:tr>
      <w:tr w:rsidR="002F635D" w:rsidRPr="0024114A" w14:paraId="0315133F" w14:textId="77777777" w:rsidTr="002D6DD7">
        <w:tc>
          <w:tcPr>
            <w:tcW w:w="2605" w:type="dxa"/>
          </w:tcPr>
          <w:p w14:paraId="061449F4"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5365CA77"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2467CDD6" w14:textId="77777777" w:rsidTr="002D6DD7">
        <w:tc>
          <w:tcPr>
            <w:tcW w:w="2605" w:type="dxa"/>
          </w:tcPr>
          <w:p w14:paraId="5A900D76"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63613CD6" w14:textId="77777777" w:rsidR="002F635D" w:rsidRPr="0024114A" w:rsidRDefault="002F635D" w:rsidP="002D6DD7">
            <w:pPr>
              <w:contextualSpacing/>
              <w:jc w:val="both"/>
              <w:rPr>
                <w:rFonts w:cs="Times New Roman"/>
                <w:szCs w:val="24"/>
              </w:rPr>
            </w:pPr>
            <w:r w:rsidRPr="0024114A">
              <w:rPr>
                <w:rFonts w:cs="Times New Roman"/>
                <w:szCs w:val="24"/>
              </w:rPr>
              <w:t>Injection: 0.5ml</w:t>
            </w:r>
          </w:p>
        </w:tc>
      </w:tr>
      <w:tr w:rsidR="002F635D" w:rsidRPr="0024114A" w14:paraId="32F845BC" w14:textId="77777777" w:rsidTr="002D6DD7">
        <w:tc>
          <w:tcPr>
            <w:tcW w:w="2605" w:type="dxa"/>
          </w:tcPr>
          <w:p w14:paraId="3D505A64" w14:textId="77777777" w:rsidR="002F635D" w:rsidRPr="0024114A" w:rsidRDefault="002F635D" w:rsidP="002D6DD7">
            <w:pPr>
              <w:contextualSpacing/>
              <w:jc w:val="both"/>
              <w:rPr>
                <w:rFonts w:cs="Times New Roman"/>
                <w:szCs w:val="24"/>
              </w:rPr>
            </w:pPr>
            <w:r w:rsidRPr="0024114A">
              <w:rPr>
                <w:rFonts w:cs="Times New Roman"/>
                <w:szCs w:val="24"/>
              </w:rPr>
              <w:t>Indications</w:t>
            </w:r>
          </w:p>
        </w:tc>
        <w:tc>
          <w:tcPr>
            <w:tcW w:w="6745" w:type="dxa"/>
          </w:tcPr>
          <w:p w14:paraId="4EA88B63" w14:textId="77777777" w:rsidR="002F635D" w:rsidRPr="0024114A" w:rsidRDefault="002F635D" w:rsidP="002D6DD7">
            <w:pPr>
              <w:contextualSpacing/>
              <w:jc w:val="both"/>
              <w:rPr>
                <w:rFonts w:cs="Times New Roman"/>
                <w:szCs w:val="24"/>
              </w:rPr>
            </w:pPr>
            <w:r w:rsidRPr="0024114A">
              <w:rPr>
                <w:rFonts w:cs="Times New Roman"/>
                <w:szCs w:val="24"/>
              </w:rPr>
              <w:t>Immunization against disease caused by the pneumococcalserotypes causing pneumococcal pneumonia and meningitis.</w:t>
            </w:r>
          </w:p>
        </w:tc>
      </w:tr>
      <w:tr w:rsidR="002F635D" w:rsidRPr="0024114A" w14:paraId="6698F3BE" w14:textId="77777777" w:rsidTr="002D6DD7">
        <w:tc>
          <w:tcPr>
            <w:tcW w:w="2605" w:type="dxa"/>
          </w:tcPr>
          <w:p w14:paraId="7997FEEE"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571BF528" w14:textId="77777777" w:rsidR="002F635D" w:rsidRPr="0024114A" w:rsidRDefault="002F635D" w:rsidP="002D6DD7">
            <w:pPr>
              <w:contextualSpacing/>
              <w:jc w:val="both"/>
              <w:rPr>
                <w:rFonts w:cs="Times New Roman"/>
                <w:szCs w:val="24"/>
              </w:rPr>
            </w:pPr>
            <w:r w:rsidRPr="0024114A">
              <w:rPr>
                <w:rFonts w:cs="Times New Roman"/>
                <w:b/>
                <w:bCs/>
                <w:szCs w:val="24"/>
              </w:rPr>
              <w:t>Pediatrics</w:t>
            </w:r>
            <w:r w:rsidRPr="0024114A">
              <w:rPr>
                <w:rFonts w:cs="Times New Roman"/>
                <w:szCs w:val="24"/>
              </w:rPr>
              <w:t xml:space="preserve">: 0.5 ml given IM into right mid anterolateral (outer) thigh at 6, 10, and 14 weeks of age. </w:t>
            </w:r>
          </w:p>
        </w:tc>
      </w:tr>
      <w:tr w:rsidR="002F635D" w:rsidRPr="0024114A" w14:paraId="6736F9D4" w14:textId="77777777" w:rsidTr="002D6DD7">
        <w:tc>
          <w:tcPr>
            <w:tcW w:w="2605" w:type="dxa"/>
          </w:tcPr>
          <w:p w14:paraId="14CBB5AA"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6604F4FA" w14:textId="77777777" w:rsidR="002F635D" w:rsidRPr="0024114A" w:rsidRDefault="002F635D" w:rsidP="002D6DD7">
            <w:pPr>
              <w:contextualSpacing/>
              <w:jc w:val="both"/>
              <w:rPr>
                <w:rFonts w:cs="Times New Roman"/>
                <w:szCs w:val="24"/>
              </w:rPr>
            </w:pPr>
            <w:r w:rsidRPr="0024114A">
              <w:rPr>
                <w:rFonts w:cs="Times New Roman"/>
                <w:szCs w:val="24"/>
              </w:rPr>
              <w:t>History of anaphylaxis to any component of the vaccine.</w:t>
            </w:r>
          </w:p>
        </w:tc>
      </w:tr>
      <w:tr w:rsidR="002F635D" w:rsidRPr="0024114A" w14:paraId="4040A8E4" w14:textId="77777777" w:rsidTr="002D6DD7">
        <w:tc>
          <w:tcPr>
            <w:tcW w:w="2605" w:type="dxa"/>
          </w:tcPr>
          <w:p w14:paraId="431B2025"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02ACF506" w14:textId="77777777" w:rsidR="002F635D" w:rsidRPr="0024114A" w:rsidRDefault="002F635D" w:rsidP="002D6DD7">
            <w:pPr>
              <w:contextualSpacing/>
              <w:jc w:val="both"/>
              <w:rPr>
                <w:rFonts w:cs="Times New Roman"/>
                <w:szCs w:val="24"/>
              </w:rPr>
            </w:pPr>
            <w:r w:rsidRPr="0024114A">
              <w:rPr>
                <w:rFonts w:cs="Times New Roman"/>
                <w:szCs w:val="24"/>
              </w:rPr>
              <w:t xml:space="preserve">No known interactions </w:t>
            </w:r>
          </w:p>
        </w:tc>
      </w:tr>
      <w:tr w:rsidR="002F635D" w:rsidRPr="0024114A" w14:paraId="5ED17FB4" w14:textId="77777777" w:rsidTr="002D6DD7">
        <w:tc>
          <w:tcPr>
            <w:tcW w:w="2605" w:type="dxa"/>
          </w:tcPr>
          <w:p w14:paraId="0B9C1823"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7E56B101" w14:textId="77777777" w:rsidR="002F635D" w:rsidRPr="0024114A" w:rsidRDefault="002F635D" w:rsidP="002D6DD7">
            <w:pPr>
              <w:contextualSpacing/>
              <w:jc w:val="both"/>
              <w:rPr>
                <w:rFonts w:cs="Times New Roman"/>
                <w:szCs w:val="24"/>
              </w:rPr>
            </w:pPr>
            <w:r w:rsidRPr="0024114A">
              <w:rPr>
                <w:rFonts w:cs="Times New Roman"/>
                <w:szCs w:val="24"/>
              </w:rPr>
              <w:t>Transient injection site reactions (pain, redness, itching, swelling or burning), transient fever, fainting, seizures, angioedema, allergic reactions including anaphylaxis.</w:t>
            </w:r>
          </w:p>
        </w:tc>
      </w:tr>
      <w:tr w:rsidR="002F635D" w:rsidRPr="0024114A" w14:paraId="63A1F02B" w14:textId="77777777" w:rsidTr="002D6DD7">
        <w:tc>
          <w:tcPr>
            <w:tcW w:w="2605" w:type="dxa"/>
          </w:tcPr>
          <w:p w14:paraId="261CFE79"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415B38E1" w14:textId="77777777" w:rsidR="002F635D" w:rsidRPr="0024114A" w:rsidRDefault="002F635D" w:rsidP="002D6DD7">
            <w:pPr>
              <w:contextualSpacing/>
              <w:jc w:val="both"/>
              <w:rPr>
                <w:rFonts w:cs="Times New Roman"/>
                <w:szCs w:val="24"/>
              </w:rPr>
            </w:pPr>
            <w:r w:rsidRPr="0024114A">
              <w:rPr>
                <w:rFonts w:cs="Times New Roman"/>
                <w:szCs w:val="24"/>
              </w:rPr>
              <w:t>Acute febrile illness: postpone all vaccinations until patient is well.</w:t>
            </w:r>
          </w:p>
        </w:tc>
      </w:tr>
      <w:tr w:rsidR="002F635D" w:rsidRPr="0024114A" w14:paraId="5E09FD55" w14:textId="77777777" w:rsidTr="002D6DD7">
        <w:tc>
          <w:tcPr>
            <w:tcW w:w="2605" w:type="dxa"/>
          </w:tcPr>
          <w:p w14:paraId="5687990E"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2B079C75" w14:textId="77777777" w:rsidR="002F635D" w:rsidRPr="0024114A" w:rsidRDefault="002F635D" w:rsidP="002D6DD7">
            <w:pPr>
              <w:contextualSpacing/>
              <w:jc w:val="both"/>
              <w:rPr>
                <w:rFonts w:cs="Times New Roman"/>
                <w:szCs w:val="24"/>
              </w:rPr>
            </w:pPr>
            <w:r w:rsidRPr="0024114A">
              <w:rPr>
                <w:rFonts w:cs="Times New Roman"/>
                <w:szCs w:val="24"/>
              </w:rPr>
              <w:t>Store in a refrigerator (2°C - 8°C). Do not freeze.</w:t>
            </w:r>
          </w:p>
        </w:tc>
      </w:tr>
      <w:tr w:rsidR="002F635D" w:rsidRPr="0024114A" w14:paraId="3B88E2CA" w14:textId="77777777" w:rsidTr="002D6DD7">
        <w:tc>
          <w:tcPr>
            <w:tcW w:w="9350" w:type="dxa"/>
            <w:gridSpan w:val="2"/>
          </w:tcPr>
          <w:p w14:paraId="404894FF" w14:textId="77777777" w:rsidR="002F635D" w:rsidRPr="0024114A" w:rsidRDefault="002F635D" w:rsidP="002D6DD7">
            <w:pPr>
              <w:contextualSpacing/>
              <w:jc w:val="both"/>
              <w:rPr>
                <w:rFonts w:cs="Times New Roman"/>
                <w:b/>
                <w:bCs/>
                <w:szCs w:val="24"/>
              </w:rPr>
            </w:pPr>
            <w:r w:rsidRPr="0024114A">
              <w:rPr>
                <w:rFonts w:cs="Times New Roman"/>
                <w:b/>
                <w:bCs/>
                <w:szCs w:val="24"/>
              </w:rPr>
              <w:t>Rabies (Human Diploid Cell) vaccine</w:t>
            </w:r>
          </w:p>
        </w:tc>
      </w:tr>
      <w:tr w:rsidR="002F635D" w:rsidRPr="0024114A" w14:paraId="345688B6" w14:textId="77777777" w:rsidTr="002D6DD7">
        <w:tc>
          <w:tcPr>
            <w:tcW w:w="2605" w:type="dxa"/>
          </w:tcPr>
          <w:p w14:paraId="0D71254B"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48B073C8"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18B045BD" w14:textId="77777777" w:rsidTr="002D6DD7">
        <w:tc>
          <w:tcPr>
            <w:tcW w:w="2605" w:type="dxa"/>
          </w:tcPr>
          <w:p w14:paraId="76C78BC6"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604A2D14" w14:textId="77777777" w:rsidR="002F635D" w:rsidRPr="0024114A" w:rsidRDefault="002F635D" w:rsidP="002D6DD7">
            <w:pPr>
              <w:contextualSpacing/>
              <w:jc w:val="both"/>
              <w:rPr>
                <w:rFonts w:cs="Times New Roman"/>
                <w:szCs w:val="24"/>
              </w:rPr>
            </w:pPr>
            <w:r w:rsidRPr="0024114A">
              <w:rPr>
                <w:rFonts w:cs="Times New Roman"/>
                <w:szCs w:val="24"/>
              </w:rPr>
              <w:t>Injection: 2.5IU/ml in 2 ml</w:t>
            </w:r>
          </w:p>
        </w:tc>
      </w:tr>
      <w:tr w:rsidR="002F635D" w:rsidRPr="0024114A" w14:paraId="691E6340" w14:textId="77777777" w:rsidTr="002D6DD7">
        <w:tc>
          <w:tcPr>
            <w:tcW w:w="2605" w:type="dxa"/>
          </w:tcPr>
          <w:p w14:paraId="3D702599"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125F326E" w14:textId="77777777" w:rsidR="002F635D" w:rsidRPr="0024114A" w:rsidRDefault="002F635D" w:rsidP="002D6DD7">
            <w:pPr>
              <w:contextualSpacing/>
              <w:jc w:val="both"/>
              <w:rPr>
                <w:rFonts w:cs="Times New Roman"/>
                <w:szCs w:val="24"/>
              </w:rPr>
            </w:pPr>
            <w:r w:rsidRPr="0024114A">
              <w:rPr>
                <w:rFonts w:cs="Times New Roman"/>
                <w:szCs w:val="24"/>
              </w:rPr>
              <w:t>Pre-exposure and post-exposure vaccination against rabies.</w:t>
            </w:r>
          </w:p>
        </w:tc>
      </w:tr>
      <w:tr w:rsidR="002F635D" w:rsidRPr="0024114A" w14:paraId="3E973E70" w14:textId="77777777" w:rsidTr="002D6DD7">
        <w:tc>
          <w:tcPr>
            <w:tcW w:w="2605" w:type="dxa"/>
          </w:tcPr>
          <w:p w14:paraId="4DD27E6B"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1F48A57E" w14:textId="77777777" w:rsidR="002F635D" w:rsidRPr="0024114A" w:rsidRDefault="002F635D" w:rsidP="002D6DD7">
            <w:pPr>
              <w:contextualSpacing/>
              <w:jc w:val="both"/>
              <w:rPr>
                <w:rFonts w:eastAsia="Times New Roman" w:cs="Times New Roman"/>
                <w:szCs w:val="24"/>
              </w:rPr>
            </w:pPr>
            <w:r w:rsidRPr="0024114A">
              <w:rPr>
                <w:rFonts w:eastAsia="Times New Roman" w:cs="Times New Roman"/>
                <w:b/>
                <w:bCs/>
                <w:szCs w:val="24"/>
              </w:rPr>
              <w:t xml:space="preserve">Adult and Child: </w:t>
            </w:r>
            <w:r w:rsidRPr="0024114A">
              <w:rPr>
                <w:rFonts w:eastAsia="Times New Roman" w:cs="Times New Roman"/>
                <w:szCs w:val="24"/>
              </w:rPr>
              <w:t>1ml by IM. Dosing is according to product insert based on patient’s needs (pre- and post-exposure).</w:t>
            </w:r>
          </w:p>
          <w:p w14:paraId="4101855A" w14:textId="77777777" w:rsidR="002F635D" w:rsidRPr="0024114A" w:rsidRDefault="002F635D" w:rsidP="002D6DD7">
            <w:pPr>
              <w:contextualSpacing/>
              <w:jc w:val="both"/>
              <w:rPr>
                <w:rFonts w:cs="Times New Roman"/>
                <w:szCs w:val="24"/>
              </w:rPr>
            </w:pPr>
            <w:r w:rsidRPr="0024114A">
              <w:rPr>
                <w:rFonts w:cs="Times New Roman"/>
                <w:b/>
                <w:bCs/>
                <w:szCs w:val="24"/>
              </w:rPr>
              <w:t>Post-exposure dosage for previously unimmunized persons</w:t>
            </w:r>
            <w:r w:rsidRPr="0024114A">
              <w:rPr>
                <w:rFonts w:cs="Times New Roman"/>
                <w:szCs w:val="24"/>
              </w:rPr>
              <w:t>: 5 intramuscular doses (1 ml each), one dose immediately after exposure (Day 0) and one dose 3, 7, 14, and 28 days later.</w:t>
            </w:r>
          </w:p>
          <w:p w14:paraId="72659879" w14:textId="77777777" w:rsidR="002F635D" w:rsidRPr="0024114A" w:rsidRDefault="002F635D" w:rsidP="002D6DD7">
            <w:pPr>
              <w:contextualSpacing/>
              <w:jc w:val="both"/>
              <w:rPr>
                <w:rFonts w:cs="Times New Roman"/>
                <w:szCs w:val="24"/>
              </w:rPr>
            </w:pPr>
            <w:r w:rsidRPr="0024114A">
              <w:rPr>
                <w:rFonts w:cs="Times New Roman"/>
                <w:b/>
                <w:bCs/>
                <w:szCs w:val="24"/>
              </w:rPr>
              <w:lastRenderedPageBreak/>
              <w:t>Post-exposure dosage for previously immunized persons</w:t>
            </w:r>
            <w:r w:rsidRPr="0024114A">
              <w:rPr>
                <w:rFonts w:cs="Times New Roman"/>
                <w:szCs w:val="24"/>
              </w:rPr>
              <w:t>: receive two intramuscular doses (1.0 ml, each), one dose immediately after the exposure and one dose 3 days later.</w:t>
            </w:r>
          </w:p>
        </w:tc>
      </w:tr>
      <w:tr w:rsidR="002F635D" w:rsidRPr="0024114A" w14:paraId="33578545" w14:textId="77777777" w:rsidTr="002D6DD7">
        <w:tc>
          <w:tcPr>
            <w:tcW w:w="2605" w:type="dxa"/>
          </w:tcPr>
          <w:p w14:paraId="4B43187E" w14:textId="77777777" w:rsidR="002F635D" w:rsidRPr="0024114A" w:rsidRDefault="002F635D" w:rsidP="002D6DD7">
            <w:pPr>
              <w:contextualSpacing/>
              <w:jc w:val="both"/>
              <w:rPr>
                <w:rFonts w:eastAsia="Times New Roman" w:cs="Times New Roman"/>
                <w:szCs w:val="24"/>
              </w:rPr>
            </w:pPr>
            <w:r w:rsidRPr="0024114A">
              <w:rPr>
                <w:rFonts w:cs="Times New Roman"/>
                <w:szCs w:val="24"/>
              </w:rPr>
              <w:lastRenderedPageBreak/>
              <w:t>Contraindications</w:t>
            </w:r>
          </w:p>
        </w:tc>
        <w:tc>
          <w:tcPr>
            <w:tcW w:w="6745" w:type="dxa"/>
          </w:tcPr>
          <w:p w14:paraId="680F7063" w14:textId="77777777" w:rsidR="002F635D" w:rsidRPr="0024114A" w:rsidRDefault="002F635D" w:rsidP="002D6DD7">
            <w:pPr>
              <w:contextualSpacing/>
              <w:jc w:val="both"/>
              <w:rPr>
                <w:rFonts w:cs="Times New Roman"/>
                <w:szCs w:val="24"/>
              </w:rPr>
            </w:pPr>
            <w:r w:rsidRPr="0024114A">
              <w:rPr>
                <w:rFonts w:cs="Times New Roman"/>
                <w:szCs w:val="24"/>
              </w:rPr>
              <w:t>Known life-threatening hypersensitivity to vaccine, neomycin, or any component of a vaccine (pre-exposure prophylaxis), pregnancy, acute febrile illness</w:t>
            </w:r>
          </w:p>
        </w:tc>
      </w:tr>
      <w:tr w:rsidR="002F635D" w:rsidRPr="0024114A" w14:paraId="2991B002" w14:textId="77777777" w:rsidTr="002D6DD7">
        <w:tc>
          <w:tcPr>
            <w:tcW w:w="2605" w:type="dxa"/>
          </w:tcPr>
          <w:p w14:paraId="3FA072D8"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0962ACF4" w14:textId="77777777" w:rsidR="002F635D" w:rsidRPr="0024114A" w:rsidRDefault="002F635D" w:rsidP="002D6DD7">
            <w:pPr>
              <w:contextualSpacing/>
              <w:jc w:val="both"/>
              <w:rPr>
                <w:rFonts w:cs="Times New Roman"/>
                <w:szCs w:val="24"/>
              </w:rPr>
            </w:pPr>
            <w:r w:rsidRPr="0024114A">
              <w:rPr>
                <w:rFonts w:cs="Times New Roman"/>
                <w:szCs w:val="24"/>
              </w:rPr>
              <w:t>Corticosteroids, other immunosuppressive agents, anti-malarial drugs, immunosuppressive illnesses.</w:t>
            </w:r>
          </w:p>
        </w:tc>
      </w:tr>
      <w:tr w:rsidR="002F635D" w:rsidRPr="0024114A" w14:paraId="7FC01096" w14:textId="77777777" w:rsidTr="002D6DD7">
        <w:tc>
          <w:tcPr>
            <w:tcW w:w="2605" w:type="dxa"/>
          </w:tcPr>
          <w:p w14:paraId="551A0C60"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63599BEF" w14:textId="77777777" w:rsidR="002F635D" w:rsidRPr="0024114A" w:rsidRDefault="002F635D" w:rsidP="002D6DD7">
            <w:pPr>
              <w:contextualSpacing/>
              <w:jc w:val="both"/>
              <w:rPr>
                <w:rFonts w:cs="Times New Roman"/>
                <w:szCs w:val="24"/>
              </w:rPr>
            </w:pPr>
            <w:r w:rsidRPr="0024114A">
              <w:rPr>
                <w:rFonts w:cs="Times New Roman"/>
                <w:szCs w:val="24"/>
              </w:rPr>
              <w:t>Local reactions (e.g., pain at the injection site, redness, swelling, induration), mild systemic reactions (e.g., fever, headache, dizziness, gastrointestinal symptoms), serum sickness.</w:t>
            </w:r>
          </w:p>
        </w:tc>
      </w:tr>
      <w:tr w:rsidR="002F635D" w:rsidRPr="0024114A" w14:paraId="004FC9F9" w14:textId="77777777" w:rsidTr="002D6DD7">
        <w:tc>
          <w:tcPr>
            <w:tcW w:w="2605" w:type="dxa"/>
          </w:tcPr>
          <w:p w14:paraId="064958DC"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46E2A7E5" w14:textId="77777777" w:rsidR="002F635D" w:rsidRPr="0024114A" w:rsidRDefault="002F635D" w:rsidP="002D6DD7">
            <w:pPr>
              <w:contextualSpacing/>
              <w:jc w:val="both"/>
              <w:rPr>
                <w:rFonts w:cs="Times New Roman"/>
                <w:szCs w:val="24"/>
              </w:rPr>
            </w:pPr>
            <w:r w:rsidRPr="0024114A">
              <w:rPr>
                <w:rFonts w:cs="Times New Roman"/>
                <w:szCs w:val="24"/>
              </w:rPr>
              <w:t>Allergy to neomycin, any type of infection or severe illness. Avoid injectionintogluteal area.</w:t>
            </w:r>
          </w:p>
        </w:tc>
      </w:tr>
      <w:tr w:rsidR="002F635D" w:rsidRPr="0024114A" w14:paraId="6C8C477A" w14:textId="77777777" w:rsidTr="002D6DD7">
        <w:tc>
          <w:tcPr>
            <w:tcW w:w="2605" w:type="dxa"/>
          </w:tcPr>
          <w:p w14:paraId="1003F767"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0336E8C4" w14:textId="77777777" w:rsidR="002F635D" w:rsidRPr="0024114A" w:rsidRDefault="002F635D" w:rsidP="002D6DD7">
            <w:pPr>
              <w:contextualSpacing/>
              <w:jc w:val="both"/>
              <w:rPr>
                <w:rFonts w:cs="Times New Roman"/>
                <w:szCs w:val="24"/>
              </w:rPr>
            </w:pPr>
            <w:r w:rsidRPr="0024114A">
              <w:rPr>
                <w:rFonts w:cs="Times New Roman"/>
                <w:szCs w:val="24"/>
              </w:rPr>
              <w:t>Store between 2 to 8°C. Do not freeze.</w:t>
            </w:r>
          </w:p>
        </w:tc>
      </w:tr>
      <w:tr w:rsidR="002F635D" w:rsidRPr="0024114A" w14:paraId="5AD0CE1B" w14:textId="77777777" w:rsidTr="002D6DD7">
        <w:tc>
          <w:tcPr>
            <w:tcW w:w="9350" w:type="dxa"/>
            <w:gridSpan w:val="2"/>
          </w:tcPr>
          <w:p w14:paraId="5C9F0006" w14:textId="77777777" w:rsidR="002F635D" w:rsidRPr="0024114A" w:rsidRDefault="002F635D" w:rsidP="002D6DD7">
            <w:pPr>
              <w:contextualSpacing/>
              <w:jc w:val="both"/>
              <w:rPr>
                <w:rFonts w:cs="Times New Roman"/>
                <w:b/>
                <w:bCs/>
                <w:szCs w:val="24"/>
              </w:rPr>
            </w:pPr>
            <w:r w:rsidRPr="0024114A">
              <w:rPr>
                <w:rFonts w:cs="Times New Roman"/>
                <w:b/>
                <w:bCs/>
                <w:szCs w:val="24"/>
              </w:rPr>
              <w:t>Rotavirus vaccine</w:t>
            </w:r>
          </w:p>
        </w:tc>
      </w:tr>
      <w:tr w:rsidR="002F635D" w:rsidRPr="0024114A" w14:paraId="1E6EC9D2" w14:textId="77777777" w:rsidTr="002D6DD7">
        <w:tc>
          <w:tcPr>
            <w:tcW w:w="2605" w:type="dxa"/>
          </w:tcPr>
          <w:p w14:paraId="177FB92E"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19EFC53F"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480FF5C6" w14:textId="77777777" w:rsidTr="002D6DD7">
        <w:tc>
          <w:tcPr>
            <w:tcW w:w="2605" w:type="dxa"/>
          </w:tcPr>
          <w:p w14:paraId="1B413F27"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3120880C" w14:textId="77777777" w:rsidR="002F635D" w:rsidRPr="0024114A" w:rsidRDefault="002F635D" w:rsidP="002D6DD7">
            <w:pPr>
              <w:contextualSpacing/>
              <w:jc w:val="both"/>
              <w:rPr>
                <w:rFonts w:cs="Times New Roman"/>
                <w:szCs w:val="24"/>
              </w:rPr>
            </w:pPr>
            <w:r w:rsidRPr="006E5ECA">
              <w:rPr>
                <w:rFonts w:cs="Times New Roman"/>
                <w:szCs w:val="24"/>
              </w:rPr>
              <w:t>Oral</w:t>
            </w:r>
            <w:r w:rsidRPr="0024114A">
              <w:rPr>
                <w:rFonts w:cs="Times New Roman"/>
                <w:szCs w:val="24"/>
              </w:rPr>
              <w:t xml:space="preserve"> solution: 2ml</w:t>
            </w:r>
          </w:p>
        </w:tc>
      </w:tr>
      <w:tr w:rsidR="002F635D" w:rsidRPr="0024114A" w14:paraId="2E70387F" w14:textId="77777777" w:rsidTr="002D6DD7">
        <w:tc>
          <w:tcPr>
            <w:tcW w:w="2605" w:type="dxa"/>
          </w:tcPr>
          <w:p w14:paraId="2754765C"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6E4D818F" w14:textId="77777777" w:rsidR="002F635D" w:rsidRPr="0024114A" w:rsidRDefault="002F635D" w:rsidP="002D6DD7">
            <w:pPr>
              <w:contextualSpacing/>
              <w:jc w:val="both"/>
              <w:rPr>
                <w:rFonts w:cs="Times New Roman"/>
                <w:szCs w:val="24"/>
              </w:rPr>
            </w:pPr>
            <w:r w:rsidRPr="0024114A">
              <w:rPr>
                <w:rFonts w:cs="Times New Roman"/>
                <w:szCs w:val="24"/>
              </w:rPr>
              <w:t>Immunization against gastroenteritis-caused by rotavirus.</w:t>
            </w:r>
          </w:p>
        </w:tc>
      </w:tr>
      <w:tr w:rsidR="002F635D" w:rsidRPr="0024114A" w14:paraId="658CFCA7" w14:textId="77777777" w:rsidTr="002D6DD7">
        <w:tc>
          <w:tcPr>
            <w:tcW w:w="2605" w:type="dxa"/>
          </w:tcPr>
          <w:p w14:paraId="22342932"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461D1A76" w14:textId="77777777" w:rsidR="002F635D" w:rsidRPr="0024114A" w:rsidRDefault="002F635D" w:rsidP="002D6DD7">
            <w:pPr>
              <w:contextualSpacing/>
              <w:jc w:val="both"/>
              <w:rPr>
                <w:rFonts w:cs="Times New Roman"/>
                <w:b/>
                <w:bCs/>
                <w:szCs w:val="24"/>
              </w:rPr>
            </w:pPr>
            <w:r w:rsidRPr="0024114A">
              <w:rPr>
                <w:rFonts w:cs="Times New Roman"/>
                <w:b/>
                <w:bCs/>
                <w:szCs w:val="24"/>
              </w:rPr>
              <w:t xml:space="preserve">Pediatric: </w:t>
            </w:r>
            <w:r w:rsidRPr="0024114A">
              <w:rPr>
                <w:rFonts w:cs="Times New Roman"/>
                <w:szCs w:val="24"/>
              </w:rPr>
              <w:t xml:space="preserve">1 ml given </w:t>
            </w:r>
            <w:r w:rsidRPr="006E5ECA">
              <w:rPr>
                <w:rFonts w:cs="Times New Roman"/>
                <w:szCs w:val="24"/>
              </w:rPr>
              <w:t>orall</w:t>
            </w:r>
            <w:r w:rsidRPr="0024114A">
              <w:rPr>
                <w:rFonts w:cs="Times New Roman"/>
                <w:szCs w:val="24"/>
              </w:rPr>
              <w:t>y at 6,10, and14 weeks.</w:t>
            </w:r>
          </w:p>
        </w:tc>
      </w:tr>
      <w:tr w:rsidR="002F635D" w:rsidRPr="0024114A" w14:paraId="6ABAAE7B" w14:textId="77777777" w:rsidTr="002D6DD7">
        <w:tc>
          <w:tcPr>
            <w:tcW w:w="2605" w:type="dxa"/>
          </w:tcPr>
          <w:p w14:paraId="6CC58010"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6FCEC724" w14:textId="77777777" w:rsidR="002F635D" w:rsidRPr="0024114A" w:rsidRDefault="002F635D" w:rsidP="002D6DD7">
            <w:pPr>
              <w:contextualSpacing/>
              <w:jc w:val="both"/>
              <w:rPr>
                <w:rFonts w:cs="Times New Roman"/>
                <w:szCs w:val="24"/>
              </w:rPr>
            </w:pPr>
            <w:r w:rsidRPr="0024114A">
              <w:rPr>
                <w:rFonts w:cs="Times New Roman"/>
                <w:szCs w:val="24"/>
              </w:rPr>
              <w:t>Severe hypersensitivity to any of their components, severe allergic reaction (e.g. anaphylaxis) after a previous dose, infants with a history of uncorrected congenital malformation of the gastrointestinal tract, infantswith Severe Combined Immunodeficiency Disease (SCID), immunosuppression, infants aged &lt;6 weeks and &gt;32 weeks, and infants with a history of intussusception.</w:t>
            </w:r>
          </w:p>
        </w:tc>
      </w:tr>
      <w:tr w:rsidR="002F635D" w:rsidRPr="0024114A" w14:paraId="1001D209" w14:textId="77777777" w:rsidTr="002D6DD7">
        <w:tc>
          <w:tcPr>
            <w:tcW w:w="2605" w:type="dxa"/>
          </w:tcPr>
          <w:p w14:paraId="16C48F02"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0DAF0FE7" w14:textId="77777777" w:rsidR="002F635D" w:rsidRPr="0024114A" w:rsidRDefault="002F635D" w:rsidP="002D6DD7">
            <w:pPr>
              <w:contextualSpacing/>
              <w:jc w:val="both"/>
              <w:rPr>
                <w:rFonts w:cs="Times New Roman"/>
                <w:szCs w:val="24"/>
              </w:rPr>
            </w:pPr>
            <w:r w:rsidRPr="0024114A">
              <w:rPr>
                <w:rFonts w:cs="Times New Roman"/>
                <w:szCs w:val="24"/>
              </w:rPr>
              <w:t>Immunosuppressive therapies including irradiation, antimetabolites, alkylating agents, cytotoxic drugs and corticosteroids.</w:t>
            </w:r>
          </w:p>
        </w:tc>
      </w:tr>
      <w:tr w:rsidR="002F635D" w:rsidRPr="0024114A" w14:paraId="7B24FE79" w14:textId="77777777" w:rsidTr="002D6DD7">
        <w:tc>
          <w:tcPr>
            <w:tcW w:w="2605" w:type="dxa"/>
          </w:tcPr>
          <w:p w14:paraId="30E350D4"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1BA09947" w14:textId="77777777" w:rsidR="002F635D" w:rsidRPr="0024114A" w:rsidRDefault="002F635D" w:rsidP="002D6DD7">
            <w:pPr>
              <w:contextualSpacing/>
              <w:jc w:val="both"/>
              <w:rPr>
                <w:rFonts w:cs="Times New Roman"/>
                <w:szCs w:val="24"/>
              </w:rPr>
            </w:pPr>
            <w:r w:rsidRPr="0024114A">
              <w:rPr>
                <w:rFonts w:cs="Times New Roman"/>
                <w:szCs w:val="24"/>
              </w:rPr>
              <w:t xml:space="preserve">Abdominal cramps, abdominal pain, diarrhea, nausea, vomiting, </w:t>
            </w:r>
            <w:r w:rsidRPr="0024114A">
              <w:rPr>
                <w:rFonts w:cs="Times New Roman"/>
                <w:szCs w:val="24"/>
              </w:rPr>
              <w:lastRenderedPageBreak/>
              <w:t>fever, irritability, decreased activity level, decreased appetite.</w:t>
            </w:r>
          </w:p>
        </w:tc>
      </w:tr>
      <w:tr w:rsidR="002F635D" w:rsidRPr="0024114A" w14:paraId="30CDC218" w14:textId="77777777" w:rsidTr="002D6DD7">
        <w:tc>
          <w:tcPr>
            <w:tcW w:w="2605" w:type="dxa"/>
          </w:tcPr>
          <w:p w14:paraId="55436550" w14:textId="77777777" w:rsidR="002F635D" w:rsidRPr="0024114A" w:rsidRDefault="002F635D" w:rsidP="002D6DD7">
            <w:pPr>
              <w:contextualSpacing/>
              <w:jc w:val="both"/>
              <w:rPr>
                <w:rFonts w:cs="Times New Roman"/>
                <w:szCs w:val="24"/>
              </w:rPr>
            </w:pPr>
            <w:r w:rsidRPr="0024114A">
              <w:rPr>
                <w:rFonts w:cs="Times New Roman"/>
                <w:szCs w:val="24"/>
              </w:rPr>
              <w:lastRenderedPageBreak/>
              <w:t xml:space="preserve">Cautions </w:t>
            </w:r>
          </w:p>
        </w:tc>
        <w:tc>
          <w:tcPr>
            <w:tcW w:w="6745" w:type="dxa"/>
          </w:tcPr>
          <w:p w14:paraId="1592838F" w14:textId="77777777" w:rsidR="002F635D" w:rsidRPr="0024114A" w:rsidRDefault="002F635D" w:rsidP="002D6DD7">
            <w:pPr>
              <w:contextualSpacing/>
              <w:jc w:val="both"/>
              <w:rPr>
                <w:rFonts w:cs="Times New Roman"/>
                <w:szCs w:val="24"/>
              </w:rPr>
            </w:pPr>
            <w:r w:rsidRPr="0024114A">
              <w:rPr>
                <w:rFonts w:cs="Times New Roman"/>
                <w:szCs w:val="24"/>
              </w:rPr>
              <w:t xml:space="preserve">Do not reconstitute or dilute, postpone vaccination in patients with acute </w:t>
            </w:r>
            <w:r w:rsidRPr="0024114A">
              <w:rPr>
                <w:rFonts w:cs="Times New Roman"/>
                <w:spacing w:val="-2"/>
                <w:szCs w:val="24"/>
              </w:rPr>
              <w:t>gastroenteritis/diarrhea,</w:t>
            </w:r>
            <w:r w:rsidR="006E5ECA">
              <w:rPr>
                <w:rFonts w:cs="Times New Roman"/>
                <w:spacing w:val="-2"/>
                <w:szCs w:val="24"/>
              </w:rPr>
              <w:t xml:space="preserve"> </w:t>
            </w:r>
            <w:r w:rsidRPr="0024114A">
              <w:rPr>
                <w:rFonts w:cs="Times New Roman"/>
                <w:spacing w:val="-2"/>
                <w:szCs w:val="24"/>
              </w:rPr>
              <w:t>fever</w:t>
            </w:r>
            <w:r w:rsidR="006E5ECA">
              <w:rPr>
                <w:rFonts w:cs="Times New Roman"/>
                <w:spacing w:val="-2"/>
                <w:szCs w:val="24"/>
              </w:rPr>
              <w:t xml:space="preserve"> </w:t>
            </w:r>
            <w:r w:rsidRPr="0024114A">
              <w:rPr>
                <w:rFonts w:cs="Times New Roman"/>
                <w:spacing w:val="-2"/>
                <w:szCs w:val="24"/>
              </w:rPr>
              <w:t>with</w:t>
            </w:r>
            <w:r w:rsidR="006E5ECA">
              <w:rPr>
                <w:rFonts w:cs="Times New Roman"/>
                <w:spacing w:val="-2"/>
                <w:szCs w:val="24"/>
              </w:rPr>
              <w:t xml:space="preserve"> </w:t>
            </w:r>
            <w:r w:rsidRPr="0024114A">
              <w:rPr>
                <w:rFonts w:cs="Times New Roman"/>
                <w:szCs w:val="24"/>
              </w:rPr>
              <w:t>moderate to severe illness, caution with history of GI disorders, not for use in adults.</w:t>
            </w:r>
          </w:p>
        </w:tc>
      </w:tr>
      <w:tr w:rsidR="002F635D" w:rsidRPr="0024114A" w14:paraId="499267E3" w14:textId="77777777" w:rsidTr="002D6DD7">
        <w:tc>
          <w:tcPr>
            <w:tcW w:w="2605" w:type="dxa"/>
          </w:tcPr>
          <w:p w14:paraId="609BCE96"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54512F5A" w14:textId="77777777" w:rsidR="002F635D" w:rsidRPr="0024114A" w:rsidRDefault="002F635D" w:rsidP="002D6DD7">
            <w:pPr>
              <w:contextualSpacing/>
              <w:jc w:val="both"/>
              <w:rPr>
                <w:rFonts w:cs="Times New Roman"/>
                <w:szCs w:val="24"/>
              </w:rPr>
            </w:pPr>
            <w:r w:rsidRPr="0024114A">
              <w:rPr>
                <w:rFonts w:cs="Times New Roman"/>
                <w:szCs w:val="24"/>
              </w:rPr>
              <w:t>Store between 2°C–8°C. Do not freeze.</w:t>
            </w:r>
          </w:p>
        </w:tc>
      </w:tr>
      <w:tr w:rsidR="002F635D" w:rsidRPr="0024114A" w14:paraId="21DD74D9" w14:textId="77777777" w:rsidTr="002D6DD7">
        <w:tc>
          <w:tcPr>
            <w:tcW w:w="9350" w:type="dxa"/>
            <w:gridSpan w:val="2"/>
          </w:tcPr>
          <w:p w14:paraId="10A8414A" w14:textId="77777777" w:rsidR="002F635D" w:rsidRPr="0024114A" w:rsidRDefault="002F635D" w:rsidP="002D6DD7">
            <w:pPr>
              <w:contextualSpacing/>
              <w:jc w:val="both"/>
              <w:rPr>
                <w:rFonts w:cs="Times New Roman"/>
                <w:b/>
                <w:bCs/>
                <w:szCs w:val="24"/>
              </w:rPr>
            </w:pPr>
            <w:r w:rsidRPr="0024114A">
              <w:rPr>
                <w:rFonts w:cs="Times New Roman"/>
                <w:b/>
                <w:bCs/>
                <w:color w:val="000000"/>
                <w:szCs w:val="24"/>
              </w:rPr>
              <w:t>Tetanus toxoid</w:t>
            </w:r>
          </w:p>
        </w:tc>
      </w:tr>
      <w:tr w:rsidR="002F635D" w:rsidRPr="0024114A" w14:paraId="4ABC84E5" w14:textId="77777777" w:rsidTr="002D6DD7">
        <w:tc>
          <w:tcPr>
            <w:tcW w:w="2605" w:type="dxa"/>
          </w:tcPr>
          <w:p w14:paraId="47D86ED1"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5520146D"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6BCFFC08" w14:textId="77777777" w:rsidTr="002D6DD7">
        <w:tc>
          <w:tcPr>
            <w:tcW w:w="2605" w:type="dxa"/>
          </w:tcPr>
          <w:p w14:paraId="3D43233A"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53AB4056" w14:textId="77777777" w:rsidR="002F635D" w:rsidRPr="0024114A" w:rsidRDefault="002F635D" w:rsidP="002D6DD7">
            <w:pPr>
              <w:contextualSpacing/>
              <w:jc w:val="both"/>
              <w:rPr>
                <w:rFonts w:cs="Times New Roman"/>
                <w:szCs w:val="24"/>
              </w:rPr>
            </w:pPr>
            <w:r w:rsidRPr="0024114A">
              <w:rPr>
                <w:rFonts w:cs="Times New Roman"/>
                <w:szCs w:val="24"/>
              </w:rPr>
              <w:t>Injection: 0.5ml, 1ml</w:t>
            </w:r>
          </w:p>
        </w:tc>
      </w:tr>
      <w:tr w:rsidR="002F635D" w:rsidRPr="0024114A" w14:paraId="2D8A4D23" w14:textId="77777777" w:rsidTr="002D6DD7">
        <w:tc>
          <w:tcPr>
            <w:tcW w:w="2605" w:type="dxa"/>
          </w:tcPr>
          <w:p w14:paraId="2504A21D"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3DCBF8E5" w14:textId="77777777" w:rsidR="002F635D" w:rsidRPr="0024114A" w:rsidRDefault="002F635D" w:rsidP="002D6DD7">
            <w:pPr>
              <w:contextualSpacing/>
              <w:jc w:val="both"/>
              <w:rPr>
                <w:rFonts w:cs="Times New Roman"/>
                <w:szCs w:val="24"/>
              </w:rPr>
            </w:pPr>
            <w:r w:rsidRPr="0024114A">
              <w:rPr>
                <w:rFonts w:cs="Times New Roman"/>
                <w:szCs w:val="24"/>
              </w:rPr>
              <w:t xml:space="preserve">Post-exposure tetanus prophylaxis for recent wounds that may have been contaminated with tetanus spores in subjects who have not had any primary vaccination or for whom primary vaccination is incomplete or uncertain, </w:t>
            </w:r>
          </w:p>
          <w:p w14:paraId="5518322C" w14:textId="77777777" w:rsidR="002F635D" w:rsidRPr="0024114A" w:rsidRDefault="002F635D" w:rsidP="002D6DD7">
            <w:pPr>
              <w:contextualSpacing/>
              <w:jc w:val="both"/>
              <w:rPr>
                <w:rFonts w:cs="Times New Roman"/>
                <w:szCs w:val="24"/>
              </w:rPr>
            </w:pPr>
            <w:r w:rsidRPr="0024114A">
              <w:rPr>
                <w:rFonts w:cs="Times New Roman"/>
                <w:szCs w:val="24"/>
              </w:rPr>
              <w:t xml:space="preserve">Neonatal tetanus prophylaxis in non-immunized women either of childbearing age or pregnant in countries where neonatal tetanus is frequent, </w:t>
            </w:r>
          </w:p>
          <w:p w14:paraId="1C4998AE" w14:textId="77777777" w:rsidR="002F635D" w:rsidRPr="0024114A" w:rsidRDefault="002F635D" w:rsidP="003D3F76">
            <w:pPr>
              <w:pStyle w:val="ListParagraph"/>
              <w:widowControl/>
              <w:numPr>
                <w:ilvl w:val="0"/>
                <w:numId w:val="13"/>
              </w:numPr>
              <w:autoSpaceDE/>
              <w:autoSpaceDN/>
              <w:spacing w:line="360" w:lineRule="auto"/>
              <w:contextualSpacing/>
              <w:rPr>
                <w:szCs w:val="24"/>
              </w:rPr>
            </w:pPr>
            <w:r w:rsidRPr="0024114A">
              <w:rPr>
                <w:szCs w:val="24"/>
              </w:rPr>
              <w:t xml:space="preserve">Primary vaccination, </w:t>
            </w:r>
          </w:p>
          <w:p w14:paraId="4E7304C1" w14:textId="77777777" w:rsidR="002F635D" w:rsidRPr="0024114A" w:rsidRDefault="002F635D" w:rsidP="003D3F76">
            <w:pPr>
              <w:pStyle w:val="ListParagraph"/>
              <w:widowControl/>
              <w:numPr>
                <w:ilvl w:val="0"/>
                <w:numId w:val="13"/>
              </w:numPr>
              <w:autoSpaceDE/>
              <w:autoSpaceDN/>
              <w:spacing w:line="360" w:lineRule="auto"/>
              <w:contextualSpacing/>
              <w:rPr>
                <w:szCs w:val="24"/>
              </w:rPr>
            </w:pPr>
            <w:r w:rsidRPr="0024114A">
              <w:rPr>
                <w:szCs w:val="24"/>
              </w:rPr>
              <w:t>Booster injections.</w:t>
            </w:r>
          </w:p>
        </w:tc>
      </w:tr>
      <w:tr w:rsidR="002F635D" w:rsidRPr="0024114A" w14:paraId="37933146" w14:textId="77777777" w:rsidTr="002D6DD7">
        <w:tc>
          <w:tcPr>
            <w:tcW w:w="2605" w:type="dxa"/>
          </w:tcPr>
          <w:p w14:paraId="2DBDF635"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6B9B1576" w14:textId="77777777" w:rsidR="002F635D" w:rsidRPr="0024114A" w:rsidRDefault="002F635D" w:rsidP="002D6DD7">
            <w:pPr>
              <w:contextualSpacing/>
              <w:jc w:val="both"/>
              <w:rPr>
                <w:rFonts w:cs="Times New Roman"/>
                <w:szCs w:val="24"/>
              </w:rPr>
            </w:pPr>
            <w:r w:rsidRPr="0024114A">
              <w:rPr>
                <w:rFonts w:cs="Times New Roman"/>
                <w:b/>
                <w:bCs/>
                <w:szCs w:val="24"/>
              </w:rPr>
              <w:t>Primary Immunization</w:t>
            </w:r>
            <w:r w:rsidRPr="0024114A">
              <w:rPr>
                <w:rFonts w:cs="Times New Roman"/>
                <w:szCs w:val="24"/>
              </w:rPr>
              <w:t>: Whenever adults must be vaccinated, the schedule includes 2 successive injections one or two months apart followed by a booster dose 6 to 12 months after the second injection.</w:t>
            </w:r>
          </w:p>
        </w:tc>
      </w:tr>
      <w:tr w:rsidR="002F635D" w:rsidRPr="0024114A" w14:paraId="0DED189E" w14:textId="77777777" w:rsidTr="002D6DD7">
        <w:tc>
          <w:tcPr>
            <w:tcW w:w="2605" w:type="dxa"/>
          </w:tcPr>
          <w:p w14:paraId="24D6295E"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46FDB3F2" w14:textId="77777777" w:rsidR="002F635D" w:rsidRPr="0024114A" w:rsidRDefault="002F635D" w:rsidP="002D6DD7">
            <w:pPr>
              <w:contextualSpacing/>
              <w:jc w:val="both"/>
              <w:rPr>
                <w:rFonts w:cs="Times New Roman"/>
                <w:szCs w:val="24"/>
              </w:rPr>
            </w:pPr>
            <w:r w:rsidRPr="0024114A">
              <w:rPr>
                <w:rFonts w:cs="Times New Roman"/>
                <w:szCs w:val="24"/>
              </w:rPr>
              <w:t>Hypersensitivity reaction or neurological disorder after a previous injection of vaccine.</w:t>
            </w:r>
            <w:r w:rsidR="006E5ECA">
              <w:rPr>
                <w:rFonts w:cs="Times New Roman"/>
                <w:szCs w:val="24"/>
              </w:rPr>
              <w:t xml:space="preserve"> </w:t>
            </w:r>
            <w:r w:rsidRPr="0024114A">
              <w:rPr>
                <w:rFonts w:cs="Times New Roman"/>
                <w:szCs w:val="24"/>
              </w:rPr>
              <w:t>Delay if acute/febrile illness.</w:t>
            </w:r>
          </w:p>
        </w:tc>
      </w:tr>
      <w:tr w:rsidR="002F635D" w:rsidRPr="0024114A" w14:paraId="214DFA86" w14:textId="77777777" w:rsidTr="002D6DD7">
        <w:tc>
          <w:tcPr>
            <w:tcW w:w="2605" w:type="dxa"/>
          </w:tcPr>
          <w:p w14:paraId="5BD626BC"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4198E31F" w14:textId="77777777" w:rsidR="002F635D" w:rsidRPr="0024114A" w:rsidRDefault="002F635D" w:rsidP="002D6DD7">
            <w:pPr>
              <w:contextualSpacing/>
              <w:jc w:val="both"/>
              <w:rPr>
                <w:rFonts w:cs="Times New Roman"/>
                <w:szCs w:val="24"/>
              </w:rPr>
            </w:pPr>
            <w:r w:rsidRPr="0024114A">
              <w:rPr>
                <w:rFonts w:cs="Times New Roman"/>
                <w:szCs w:val="24"/>
              </w:rPr>
              <w:t>No known interaction</w:t>
            </w:r>
          </w:p>
        </w:tc>
      </w:tr>
      <w:tr w:rsidR="002F635D" w:rsidRPr="0024114A" w14:paraId="36FBD612" w14:textId="77777777" w:rsidTr="002D6DD7">
        <w:tc>
          <w:tcPr>
            <w:tcW w:w="2605" w:type="dxa"/>
          </w:tcPr>
          <w:p w14:paraId="4790AD7D"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145C60D7" w14:textId="77777777" w:rsidR="002F635D" w:rsidRPr="0024114A" w:rsidRDefault="002F635D" w:rsidP="002D6DD7">
            <w:pPr>
              <w:contextualSpacing/>
              <w:jc w:val="both"/>
              <w:rPr>
                <w:rFonts w:cs="Times New Roman"/>
                <w:szCs w:val="24"/>
              </w:rPr>
            </w:pPr>
            <w:r w:rsidRPr="0024114A">
              <w:rPr>
                <w:rFonts w:cs="Times New Roman"/>
                <w:szCs w:val="24"/>
              </w:rPr>
              <w:t>Lymphadenopathy, type I hypersensitivity reactions, dizziness, hypotension, allergic-like symptoms, such as urticaria, generalized pruritus, or erythema, myalgia, arthralgia</w:t>
            </w:r>
          </w:p>
        </w:tc>
      </w:tr>
      <w:tr w:rsidR="002F635D" w:rsidRPr="0024114A" w14:paraId="27E71DE0" w14:textId="77777777" w:rsidTr="002D6DD7">
        <w:tc>
          <w:tcPr>
            <w:tcW w:w="2605" w:type="dxa"/>
          </w:tcPr>
          <w:p w14:paraId="765052B1"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02814E8F" w14:textId="77777777" w:rsidR="002F635D" w:rsidRPr="0024114A" w:rsidRDefault="002F635D" w:rsidP="002D6DD7">
            <w:pPr>
              <w:contextualSpacing/>
              <w:jc w:val="both"/>
              <w:rPr>
                <w:rFonts w:cs="Times New Roman"/>
                <w:szCs w:val="24"/>
              </w:rPr>
            </w:pPr>
            <w:r w:rsidRPr="0024114A">
              <w:rPr>
                <w:rFonts w:cs="Times New Roman"/>
                <w:szCs w:val="24"/>
              </w:rPr>
              <w:t>Vaccination should preferably be postponed in case of fever, acute disease or chronic progressive illness.</w:t>
            </w:r>
          </w:p>
          <w:p w14:paraId="35AF79F9" w14:textId="77777777" w:rsidR="002F635D" w:rsidRPr="0024114A" w:rsidRDefault="002F635D" w:rsidP="002D6DD7">
            <w:pPr>
              <w:contextualSpacing/>
              <w:jc w:val="both"/>
              <w:rPr>
                <w:rFonts w:cs="Times New Roman"/>
                <w:szCs w:val="24"/>
              </w:rPr>
            </w:pPr>
            <w:r w:rsidRPr="0024114A">
              <w:rPr>
                <w:rFonts w:cs="Times New Roman"/>
                <w:szCs w:val="24"/>
              </w:rPr>
              <w:t xml:space="preserve">Immunosuppressive treatment or an immunodeficiency condition </w:t>
            </w:r>
            <w:r w:rsidRPr="0024114A">
              <w:rPr>
                <w:rFonts w:cs="Times New Roman"/>
                <w:szCs w:val="24"/>
              </w:rPr>
              <w:lastRenderedPageBreak/>
              <w:t>may induce a decrease in the immune response to the vaccine</w:t>
            </w:r>
          </w:p>
        </w:tc>
      </w:tr>
      <w:tr w:rsidR="002F635D" w:rsidRPr="0024114A" w14:paraId="098F40AB" w14:textId="77777777" w:rsidTr="002D6DD7">
        <w:tc>
          <w:tcPr>
            <w:tcW w:w="2605" w:type="dxa"/>
          </w:tcPr>
          <w:p w14:paraId="6871F1BD" w14:textId="77777777" w:rsidR="002F635D" w:rsidRPr="0024114A" w:rsidRDefault="002F635D" w:rsidP="002D6DD7">
            <w:pPr>
              <w:contextualSpacing/>
              <w:jc w:val="both"/>
              <w:rPr>
                <w:rFonts w:cs="Times New Roman"/>
                <w:szCs w:val="24"/>
              </w:rPr>
            </w:pPr>
            <w:r w:rsidRPr="0024114A">
              <w:rPr>
                <w:rFonts w:cs="Times New Roman"/>
                <w:szCs w:val="24"/>
              </w:rPr>
              <w:lastRenderedPageBreak/>
              <w:t>Storage condition</w:t>
            </w:r>
          </w:p>
        </w:tc>
        <w:tc>
          <w:tcPr>
            <w:tcW w:w="6745" w:type="dxa"/>
          </w:tcPr>
          <w:p w14:paraId="7653D7EB" w14:textId="77777777" w:rsidR="002F635D" w:rsidRPr="0024114A" w:rsidRDefault="002F635D" w:rsidP="002D6DD7">
            <w:pPr>
              <w:contextualSpacing/>
              <w:jc w:val="both"/>
              <w:rPr>
                <w:rFonts w:cs="Times New Roman"/>
                <w:szCs w:val="24"/>
              </w:rPr>
            </w:pPr>
            <w:r w:rsidRPr="0024114A">
              <w:rPr>
                <w:rFonts w:cs="Times New Roman"/>
                <w:szCs w:val="24"/>
              </w:rPr>
              <w:t>Store in a refrigerator (2°C -8°C). Do not freeze.</w:t>
            </w:r>
          </w:p>
        </w:tc>
      </w:tr>
      <w:tr w:rsidR="002F635D" w:rsidRPr="0024114A" w14:paraId="2E430D6D" w14:textId="77777777" w:rsidTr="002D6DD7">
        <w:tc>
          <w:tcPr>
            <w:tcW w:w="9350" w:type="dxa"/>
            <w:gridSpan w:val="2"/>
          </w:tcPr>
          <w:p w14:paraId="57B0A1FB" w14:textId="77777777" w:rsidR="002F635D" w:rsidRPr="0024114A" w:rsidRDefault="002F635D" w:rsidP="002D6DD7">
            <w:pPr>
              <w:contextualSpacing/>
              <w:jc w:val="both"/>
              <w:rPr>
                <w:rFonts w:cs="Times New Roman"/>
                <w:b/>
                <w:bCs/>
                <w:szCs w:val="24"/>
              </w:rPr>
            </w:pPr>
            <w:r w:rsidRPr="0024114A">
              <w:rPr>
                <w:rFonts w:cs="Times New Roman"/>
                <w:b/>
                <w:bCs/>
                <w:szCs w:val="24"/>
              </w:rPr>
              <w:t>Yellow fever vaccine</w:t>
            </w:r>
          </w:p>
        </w:tc>
      </w:tr>
      <w:tr w:rsidR="002F635D" w:rsidRPr="0024114A" w14:paraId="5320E474" w14:textId="77777777" w:rsidTr="002D6DD7">
        <w:tc>
          <w:tcPr>
            <w:tcW w:w="2605" w:type="dxa"/>
          </w:tcPr>
          <w:p w14:paraId="5D66D002" w14:textId="77777777" w:rsidR="002F635D" w:rsidRPr="0024114A" w:rsidRDefault="002F635D" w:rsidP="002D6DD7">
            <w:pPr>
              <w:contextualSpacing/>
              <w:jc w:val="both"/>
              <w:rPr>
                <w:rFonts w:cs="Times New Roman"/>
                <w:szCs w:val="24"/>
              </w:rPr>
            </w:pPr>
            <w:r w:rsidRPr="0024114A">
              <w:rPr>
                <w:rFonts w:cs="Times New Roman"/>
                <w:szCs w:val="24"/>
              </w:rPr>
              <w:t>Pharmacological class</w:t>
            </w:r>
          </w:p>
        </w:tc>
        <w:tc>
          <w:tcPr>
            <w:tcW w:w="6745" w:type="dxa"/>
          </w:tcPr>
          <w:p w14:paraId="4C46CC85" w14:textId="77777777" w:rsidR="002F635D" w:rsidRPr="0024114A" w:rsidRDefault="002F635D" w:rsidP="002D6DD7">
            <w:pPr>
              <w:contextualSpacing/>
              <w:jc w:val="both"/>
              <w:rPr>
                <w:rFonts w:cs="Times New Roman"/>
                <w:szCs w:val="24"/>
              </w:rPr>
            </w:pPr>
            <w:r w:rsidRPr="0024114A">
              <w:rPr>
                <w:rFonts w:cs="Times New Roman"/>
                <w:szCs w:val="24"/>
              </w:rPr>
              <w:t>Vaccines</w:t>
            </w:r>
          </w:p>
        </w:tc>
      </w:tr>
      <w:tr w:rsidR="002F635D" w:rsidRPr="0024114A" w14:paraId="223A3132" w14:textId="77777777" w:rsidTr="002D6DD7">
        <w:tc>
          <w:tcPr>
            <w:tcW w:w="2605" w:type="dxa"/>
          </w:tcPr>
          <w:p w14:paraId="2FE923B0" w14:textId="77777777" w:rsidR="002F635D" w:rsidRPr="0024114A" w:rsidRDefault="002F635D" w:rsidP="002D6DD7">
            <w:pPr>
              <w:contextualSpacing/>
              <w:jc w:val="both"/>
              <w:rPr>
                <w:rFonts w:cs="Times New Roman"/>
                <w:szCs w:val="24"/>
              </w:rPr>
            </w:pPr>
            <w:r w:rsidRPr="0024114A">
              <w:rPr>
                <w:rFonts w:cs="Times New Roman"/>
                <w:szCs w:val="24"/>
              </w:rPr>
              <w:t>Dosage form</w:t>
            </w:r>
          </w:p>
        </w:tc>
        <w:tc>
          <w:tcPr>
            <w:tcW w:w="6745" w:type="dxa"/>
          </w:tcPr>
          <w:p w14:paraId="1E0ADFD8" w14:textId="77777777" w:rsidR="002F635D" w:rsidRPr="0024114A" w:rsidRDefault="002F635D" w:rsidP="002D6DD7">
            <w:pPr>
              <w:contextualSpacing/>
              <w:jc w:val="both"/>
              <w:rPr>
                <w:rFonts w:cs="Times New Roman"/>
                <w:szCs w:val="24"/>
              </w:rPr>
            </w:pPr>
            <w:r w:rsidRPr="0024114A">
              <w:rPr>
                <w:rFonts w:cs="Times New Roman"/>
                <w:szCs w:val="24"/>
              </w:rPr>
              <w:t>Injection: 0.5ml</w:t>
            </w:r>
          </w:p>
        </w:tc>
      </w:tr>
      <w:tr w:rsidR="002F635D" w:rsidRPr="0024114A" w14:paraId="5884D0C5" w14:textId="77777777" w:rsidTr="002D6DD7">
        <w:tc>
          <w:tcPr>
            <w:tcW w:w="2605" w:type="dxa"/>
          </w:tcPr>
          <w:p w14:paraId="2D7E08D5" w14:textId="77777777" w:rsidR="002F635D" w:rsidRPr="0024114A" w:rsidRDefault="002F635D" w:rsidP="002D6DD7">
            <w:pPr>
              <w:contextualSpacing/>
              <w:jc w:val="both"/>
              <w:rPr>
                <w:rFonts w:cs="Times New Roman"/>
                <w:b/>
                <w:szCs w:val="24"/>
              </w:rPr>
            </w:pPr>
            <w:r w:rsidRPr="0024114A">
              <w:rPr>
                <w:rFonts w:cs="Times New Roman"/>
                <w:b/>
                <w:szCs w:val="24"/>
              </w:rPr>
              <w:t>Indications</w:t>
            </w:r>
          </w:p>
        </w:tc>
        <w:tc>
          <w:tcPr>
            <w:tcW w:w="6745" w:type="dxa"/>
          </w:tcPr>
          <w:p w14:paraId="572599A9" w14:textId="77777777" w:rsidR="002F635D" w:rsidRPr="0024114A" w:rsidRDefault="002F635D" w:rsidP="002D6DD7">
            <w:pPr>
              <w:contextualSpacing/>
              <w:jc w:val="both"/>
              <w:rPr>
                <w:rFonts w:cs="Times New Roman"/>
                <w:szCs w:val="24"/>
              </w:rPr>
            </w:pPr>
            <w:r w:rsidRPr="0024114A">
              <w:rPr>
                <w:rFonts w:cs="Times New Roman"/>
                <w:szCs w:val="24"/>
              </w:rPr>
              <w:t>Immunization against yellow fever</w:t>
            </w:r>
          </w:p>
        </w:tc>
      </w:tr>
      <w:tr w:rsidR="002F635D" w:rsidRPr="0024114A" w14:paraId="568070EE" w14:textId="77777777" w:rsidTr="002D6DD7">
        <w:tc>
          <w:tcPr>
            <w:tcW w:w="2605" w:type="dxa"/>
          </w:tcPr>
          <w:p w14:paraId="7A49F060" w14:textId="77777777" w:rsidR="002F635D" w:rsidRPr="0024114A" w:rsidRDefault="002F635D" w:rsidP="002D6DD7">
            <w:pPr>
              <w:contextualSpacing/>
              <w:jc w:val="both"/>
              <w:rPr>
                <w:rFonts w:cs="Times New Roman"/>
                <w:szCs w:val="24"/>
              </w:rPr>
            </w:pPr>
            <w:r w:rsidRPr="0024114A">
              <w:rPr>
                <w:rFonts w:eastAsia="Times New Roman" w:cs="Times New Roman"/>
                <w:szCs w:val="24"/>
              </w:rPr>
              <w:t>Dose and administration</w:t>
            </w:r>
          </w:p>
        </w:tc>
        <w:tc>
          <w:tcPr>
            <w:tcW w:w="6745" w:type="dxa"/>
          </w:tcPr>
          <w:p w14:paraId="019798C7" w14:textId="77777777" w:rsidR="002F635D" w:rsidRPr="0024114A" w:rsidRDefault="002F635D" w:rsidP="002D6DD7">
            <w:pPr>
              <w:contextualSpacing/>
              <w:jc w:val="both"/>
              <w:rPr>
                <w:rFonts w:cs="Times New Roman"/>
                <w:szCs w:val="24"/>
              </w:rPr>
            </w:pPr>
            <w:r w:rsidRPr="0024114A">
              <w:rPr>
                <w:rFonts w:cs="Times New Roman"/>
                <w:b/>
                <w:bCs/>
                <w:szCs w:val="24"/>
              </w:rPr>
              <w:t>By deep subcutaneous injection</w:t>
            </w:r>
            <w:r w:rsidRPr="0024114A">
              <w:rPr>
                <w:rFonts w:cs="Times New Roman"/>
                <w:szCs w:val="24"/>
              </w:rPr>
              <w:t>:</w:t>
            </w:r>
          </w:p>
          <w:p w14:paraId="2FCCAE2F" w14:textId="77777777" w:rsidR="002F635D" w:rsidRPr="0024114A" w:rsidRDefault="002F635D" w:rsidP="002D6DD7">
            <w:pPr>
              <w:contextualSpacing/>
              <w:jc w:val="both"/>
              <w:rPr>
                <w:rFonts w:cs="Times New Roman"/>
                <w:szCs w:val="24"/>
              </w:rPr>
            </w:pPr>
            <w:r w:rsidRPr="0024114A">
              <w:rPr>
                <w:rFonts w:cs="Times New Roman"/>
                <w:b/>
                <w:bCs/>
                <w:szCs w:val="24"/>
              </w:rPr>
              <w:t>Child 6–8 months</w:t>
            </w:r>
            <w:r w:rsidRPr="0024114A">
              <w:rPr>
                <w:rFonts w:cs="Times New Roman"/>
                <w:szCs w:val="24"/>
              </w:rPr>
              <w:t xml:space="preserve"> (administered on expert advice): Infants</w:t>
            </w:r>
          </w:p>
          <w:p w14:paraId="5A431B23" w14:textId="77777777" w:rsidR="002F635D" w:rsidRPr="0024114A" w:rsidRDefault="002F635D" w:rsidP="002D6DD7">
            <w:pPr>
              <w:contextualSpacing/>
              <w:jc w:val="both"/>
              <w:rPr>
                <w:rFonts w:cs="Times New Roman"/>
                <w:szCs w:val="24"/>
              </w:rPr>
            </w:pPr>
            <w:r w:rsidRPr="0024114A">
              <w:rPr>
                <w:rFonts w:cs="Times New Roman"/>
                <w:szCs w:val="24"/>
              </w:rPr>
              <w:t>under 9 months should be vaccinated only if the risk of yellow fever is high and unavoidable (consult product literature or local protocols)</w:t>
            </w:r>
          </w:p>
          <w:p w14:paraId="5B74FFCB" w14:textId="77777777" w:rsidR="002F635D" w:rsidRPr="0024114A" w:rsidRDefault="002F635D" w:rsidP="002D6DD7">
            <w:pPr>
              <w:contextualSpacing/>
              <w:jc w:val="both"/>
              <w:rPr>
                <w:rFonts w:cs="Times New Roman"/>
                <w:szCs w:val="24"/>
              </w:rPr>
            </w:pPr>
            <w:r w:rsidRPr="0024114A">
              <w:rPr>
                <w:rFonts w:cs="Times New Roman"/>
                <w:b/>
                <w:bCs/>
                <w:szCs w:val="24"/>
              </w:rPr>
              <w:t>Child 9 months–17 years</w:t>
            </w:r>
            <w:r w:rsidRPr="0024114A">
              <w:rPr>
                <w:rFonts w:cs="Times New Roman"/>
                <w:szCs w:val="24"/>
              </w:rPr>
              <w:t>: 0.5 ml for 1 dose</w:t>
            </w:r>
          </w:p>
          <w:p w14:paraId="3285EA76" w14:textId="77777777" w:rsidR="002F635D" w:rsidRPr="0024114A" w:rsidRDefault="002F635D" w:rsidP="002D6DD7">
            <w:pPr>
              <w:contextualSpacing/>
              <w:jc w:val="both"/>
              <w:rPr>
                <w:rFonts w:cs="Times New Roman"/>
                <w:szCs w:val="24"/>
              </w:rPr>
            </w:pPr>
            <w:r w:rsidRPr="0024114A">
              <w:rPr>
                <w:rFonts w:cs="Times New Roman"/>
                <w:b/>
                <w:bCs/>
                <w:szCs w:val="24"/>
              </w:rPr>
              <w:t>Adult</w:t>
            </w:r>
            <w:r w:rsidRPr="0024114A">
              <w:rPr>
                <w:rFonts w:cs="Times New Roman"/>
                <w:szCs w:val="24"/>
              </w:rPr>
              <w:t>: 0.5 ml for 1 dose</w:t>
            </w:r>
          </w:p>
        </w:tc>
      </w:tr>
      <w:tr w:rsidR="002F635D" w:rsidRPr="0024114A" w14:paraId="53B09362" w14:textId="77777777" w:rsidTr="002D6DD7">
        <w:tc>
          <w:tcPr>
            <w:tcW w:w="2605" w:type="dxa"/>
          </w:tcPr>
          <w:p w14:paraId="18793FEB" w14:textId="77777777" w:rsidR="002F635D" w:rsidRPr="0024114A" w:rsidRDefault="002F635D" w:rsidP="002D6DD7">
            <w:pPr>
              <w:contextualSpacing/>
              <w:jc w:val="both"/>
              <w:rPr>
                <w:rFonts w:eastAsia="Times New Roman" w:cs="Times New Roman"/>
                <w:szCs w:val="24"/>
              </w:rPr>
            </w:pPr>
            <w:r w:rsidRPr="0024114A">
              <w:rPr>
                <w:rFonts w:cs="Times New Roman"/>
                <w:szCs w:val="24"/>
              </w:rPr>
              <w:t>Contraindications</w:t>
            </w:r>
          </w:p>
        </w:tc>
        <w:tc>
          <w:tcPr>
            <w:tcW w:w="6745" w:type="dxa"/>
          </w:tcPr>
          <w:p w14:paraId="7E95CB98" w14:textId="77777777" w:rsidR="002F635D" w:rsidRPr="0024114A" w:rsidRDefault="002F635D" w:rsidP="002D6DD7">
            <w:pPr>
              <w:contextualSpacing/>
              <w:jc w:val="both"/>
              <w:rPr>
                <w:rFonts w:cs="Times New Roman"/>
                <w:szCs w:val="24"/>
              </w:rPr>
            </w:pPr>
            <w:r w:rsidRPr="0024114A">
              <w:rPr>
                <w:rFonts w:cs="Times New Roman"/>
                <w:szCs w:val="24"/>
              </w:rPr>
              <w:t>Age&lt;6 months; age 6–8 months except during epidemics; known allergy to egg antigens or to a previous dose; severe immunosuppression</w:t>
            </w:r>
            <w:r w:rsidR="006E5ECA">
              <w:rPr>
                <w:rFonts w:cs="Times New Roman"/>
                <w:szCs w:val="24"/>
              </w:rPr>
              <w:t xml:space="preserve"> </w:t>
            </w:r>
            <w:r w:rsidRPr="0024114A">
              <w:rPr>
                <w:rFonts w:cs="Times New Roman"/>
                <w:szCs w:val="24"/>
              </w:rPr>
              <w:t>(e.g., symptomatic HIV infection (AIDS stage)), history of thymus dysfunction, acute or febrile disease.</w:t>
            </w:r>
          </w:p>
        </w:tc>
      </w:tr>
      <w:tr w:rsidR="002F635D" w:rsidRPr="0024114A" w14:paraId="773A6EC9" w14:textId="77777777" w:rsidTr="002D6DD7">
        <w:tc>
          <w:tcPr>
            <w:tcW w:w="2605" w:type="dxa"/>
          </w:tcPr>
          <w:p w14:paraId="3812F889" w14:textId="77777777" w:rsidR="002F635D" w:rsidRPr="0024114A" w:rsidRDefault="002F635D" w:rsidP="002D6DD7">
            <w:pPr>
              <w:contextualSpacing/>
              <w:jc w:val="both"/>
              <w:rPr>
                <w:rFonts w:cs="Times New Roman"/>
                <w:szCs w:val="24"/>
              </w:rPr>
            </w:pPr>
            <w:r w:rsidRPr="0024114A">
              <w:rPr>
                <w:rFonts w:cs="Times New Roman"/>
                <w:szCs w:val="24"/>
              </w:rPr>
              <w:t>Drug interactions</w:t>
            </w:r>
          </w:p>
        </w:tc>
        <w:tc>
          <w:tcPr>
            <w:tcW w:w="6745" w:type="dxa"/>
          </w:tcPr>
          <w:p w14:paraId="4AD562C1" w14:textId="77777777" w:rsidR="002F635D" w:rsidRPr="0024114A" w:rsidRDefault="002F635D" w:rsidP="002D6DD7">
            <w:pPr>
              <w:contextualSpacing/>
              <w:jc w:val="both"/>
              <w:rPr>
                <w:rFonts w:cs="Times New Roman"/>
                <w:szCs w:val="24"/>
              </w:rPr>
            </w:pPr>
            <w:r w:rsidRPr="0024114A">
              <w:rPr>
                <w:rFonts w:cs="Times New Roman"/>
                <w:szCs w:val="24"/>
              </w:rPr>
              <w:t>Ifosfamide, melphalan, methotrexate, oxaliplatin, procarbazine.</w:t>
            </w:r>
          </w:p>
        </w:tc>
      </w:tr>
      <w:tr w:rsidR="002F635D" w:rsidRPr="0024114A" w14:paraId="5869C383" w14:textId="77777777" w:rsidTr="002D6DD7">
        <w:tc>
          <w:tcPr>
            <w:tcW w:w="2605" w:type="dxa"/>
          </w:tcPr>
          <w:p w14:paraId="17B90BB5" w14:textId="77777777" w:rsidR="002F635D" w:rsidRPr="0024114A" w:rsidRDefault="002F635D" w:rsidP="002D6DD7">
            <w:pPr>
              <w:contextualSpacing/>
              <w:jc w:val="both"/>
              <w:rPr>
                <w:rFonts w:cs="Times New Roman"/>
                <w:szCs w:val="24"/>
              </w:rPr>
            </w:pPr>
            <w:r w:rsidRPr="0024114A">
              <w:rPr>
                <w:rFonts w:cs="Times New Roman"/>
                <w:szCs w:val="24"/>
              </w:rPr>
              <w:t>Side effects</w:t>
            </w:r>
          </w:p>
        </w:tc>
        <w:tc>
          <w:tcPr>
            <w:tcW w:w="6745" w:type="dxa"/>
          </w:tcPr>
          <w:p w14:paraId="3102EDCE" w14:textId="77777777" w:rsidR="002F635D" w:rsidRPr="0024114A" w:rsidRDefault="002F635D" w:rsidP="002D6DD7">
            <w:pPr>
              <w:contextualSpacing/>
              <w:jc w:val="both"/>
              <w:rPr>
                <w:rFonts w:cs="Times New Roman"/>
                <w:szCs w:val="24"/>
              </w:rPr>
            </w:pPr>
            <w:r w:rsidRPr="0024114A">
              <w:rPr>
                <w:rFonts w:cs="Times New Roman"/>
                <w:szCs w:val="24"/>
              </w:rPr>
              <w:t>Headache, muscle pain, fever, crying (in children), drowsiness (in children), irritability</w:t>
            </w:r>
          </w:p>
        </w:tc>
      </w:tr>
      <w:tr w:rsidR="002F635D" w:rsidRPr="0024114A" w14:paraId="3A4D45A8" w14:textId="77777777" w:rsidTr="002D6DD7">
        <w:tc>
          <w:tcPr>
            <w:tcW w:w="2605" w:type="dxa"/>
          </w:tcPr>
          <w:p w14:paraId="6C7E63F6" w14:textId="77777777" w:rsidR="002F635D" w:rsidRPr="0024114A" w:rsidRDefault="002F635D" w:rsidP="002D6DD7">
            <w:pPr>
              <w:contextualSpacing/>
              <w:jc w:val="both"/>
              <w:rPr>
                <w:rFonts w:cs="Times New Roman"/>
                <w:szCs w:val="24"/>
              </w:rPr>
            </w:pPr>
            <w:r w:rsidRPr="0024114A">
              <w:rPr>
                <w:rFonts w:cs="Times New Roman"/>
                <w:szCs w:val="24"/>
              </w:rPr>
              <w:t xml:space="preserve">Cautions </w:t>
            </w:r>
          </w:p>
        </w:tc>
        <w:tc>
          <w:tcPr>
            <w:tcW w:w="6745" w:type="dxa"/>
          </w:tcPr>
          <w:p w14:paraId="47CDB95F" w14:textId="77777777" w:rsidR="002F635D" w:rsidRPr="0024114A" w:rsidRDefault="002F635D" w:rsidP="002D6DD7">
            <w:pPr>
              <w:contextualSpacing/>
              <w:jc w:val="both"/>
              <w:rPr>
                <w:rFonts w:cs="Times New Roman"/>
                <w:szCs w:val="24"/>
              </w:rPr>
            </w:pPr>
            <w:r w:rsidRPr="0024114A">
              <w:rPr>
                <w:rFonts w:cs="Times New Roman"/>
                <w:szCs w:val="24"/>
              </w:rPr>
              <w:t xml:space="preserve">Pregnancy, breastfeeding women, syncope, </w:t>
            </w:r>
            <w:r w:rsidRPr="0024114A">
              <w:rPr>
                <w:rFonts w:cs="Times New Roman"/>
                <w:w w:val="105"/>
                <w:szCs w:val="24"/>
              </w:rPr>
              <w:t>people with weakened immunity and in those aged 60 years or older. Children aged under 9 months are at higher risk of vaccine associated encephalitis, with the risk being inversely proportional to age. Postpone immunization in acute or febrile illness.</w:t>
            </w:r>
          </w:p>
        </w:tc>
      </w:tr>
      <w:tr w:rsidR="002F635D" w:rsidRPr="0024114A" w14:paraId="351434F3" w14:textId="77777777" w:rsidTr="002D6DD7">
        <w:tc>
          <w:tcPr>
            <w:tcW w:w="2605" w:type="dxa"/>
          </w:tcPr>
          <w:p w14:paraId="41761732" w14:textId="77777777" w:rsidR="002F635D" w:rsidRPr="0024114A" w:rsidRDefault="002F635D" w:rsidP="002D6DD7">
            <w:pPr>
              <w:contextualSpacing/>
              <w:jc w:val="both"/>
              <w:rPr>
                <w:rFonts w:cs="Times New Roman"/>
                <w:szCs w:val="24"/>
              </w:rPr>
            </w:pPr>
            <w:r w:rsidRPr="0024114A">
              <w:rPr>
                <w:rFonts w:cs="Times New Roman"/>
                <w:szCs w:val="24"/>
              </w:rPr>
              <w:t>Storage condition</w:t>
            </w:r>
          </w:p>
        </w:tc>
        <w:tc>
          <w:tcPr>
            <w:tcW w:w="6745" w:type="dxa"/>
          </w:tcPr>
          <w:p w14:paraId="6A64B8D8" w14:textId="77777777" w:rsidR="002F635D" w:rsidRPr="0024114A" w:rsidRDefault="002F635D" w:rsidP="002D6DD7">
            <w:pPr>
              <w:contextualSpacing/>
              <w:jc w:val="both"/>
              <w:rPr>
                <w:rFonts w:cs="Times New Roman"/>
                <w:szCs w:val="24"/>
              </w:rPr>
            </w:pPr>
            <w:r w:rsidRPr="0024114A">
              <w:rPr>
                <w:rFonts w:cs="Times New Roman"/>
                <w:szCs w:val="24"/>
              </w:rPr>
              <w:t>Store between 2°C–8°C. Do not freeze.</w:t>
            </w:r>
          </w:p>
        </w:tc>
      </w:tr>
    </w:tbl>
    <w:p w14:paraId="63401921" w14:textId="77777777" w:rsidR="002F635D" w:rsidRPr="0024114A" w:rsidRDefault="002F635D" w:rsidP="002F635D">
      <w:pPr>
        <w:spacing w:after="0"/>
        <w:jc w:val="both"/>
        <w:rPr>
          <w:rFonts w:cs="Times New Roman"/>
          <w:szCs w:val="24"/>
        </w:rPr>
      </w:pPr>
    </w:p>
    <w:p w14:paraId="2D10F270" w14:textId="77777777" w:rsidR="006E5ECA" w:rsidRDefault="006E5ECA">
      <w:pPr>
        <w:spacing w:line="259" w:lineRule="auto"/>
        <w:rPr>
          <w:rFonts w:eastAsiaTheme="majorEastAsia" w:cs="Times New Roman"/>
          <w:b/>
          <w:bCs/>
          <w:kern w:val="0"/>
          <w:szCs w:val="24"/>
          <w:lang w:val="en-US" w:eastAsia="en-US"/>
        </w:rPr>
      </w:pPr>
      <w:bookmarkStart w:id="216" w:name="_Hlk170071957"/>
      <w:r>
        <w:rPr>
          <w:rFonts w:cs="Times New Roman"/>
          <w:szCs w:val="24"/>
        </w:rPr>
        <w:br w:type="page"/>
      </w:r>
    </w:p>
    <w:p w14:paraId="7E31784B" w14:textId="77777777" w:rsidR="002F635D" w:rsidRPr="006E5ECA" w:rsidRDefault="002F635D" w:rsidP="006E5ECA">
      <w:pPr>
        <w:pStyle w:val="Heading1"/>
        <w:numPr>
          <w:ilvl w:val="0"/>
          <w:numId w:val="25"/>
        </w:numPr>
        <w:spacing w:after="240"/>
      </w:pPr>
      <w:bookmarkStart w:id="217" w:name="_Toc179490410"/>
      <w:r w:rsidRPr="006E5ECA">
        <w:lastRenderedPageBreak/>
        <w:t>Antidotes and Other Substances Used in Poisoning</w:t>
      </w:r>
      <w:bookmarkEnd w:id="216"/>
      <w:bookmarkEnd w:id="217"/>
    </w:p>
    <w:p w14:paraId="4AE0CBA2" w14:textId="77777777" w:rsidR="002F635D" w:rsidRPr="0024114A" w:rsidRDefault="002F635D" w:rsidP="002F635D">
      <w:pPr>
        <w:spacing w:after="0"/>
        <w:jc w:val="both"/>
        <w:rPr>
          <w:rFonts w:cs="Times New Roman"/>
          <w:szCs w:val="24"/>
        </w:rPr>
      </w:pPr>
      <w:r w:rsidRPr="0024114A">
        <w:rPr>
          <w:rFonts w:cs="Times New Roman"/>
          <w:szCs w:val="24"/>
        </w:rPr>
        <w:t>Overdoses and accidental poisonings are common, and antidotes are used to counteract toxins by preventing absorption, neutralizing poisons, or blocking their effects. Antidotes can reduce free toxin levels through binding agents like activated charcoal or specific binders (e.g., chelating agents). Enhanced elimination methods include urinary alkalization or hemadsorption. Antidotes work via mechanisms such as competitive inhibition (e.g., ethanol for methanol poisoning), receptor blockade (e.g., naloxone for opioids), and reducing toxic metabolite formation (e.g., N-acetylcysteine for paracetamol poisoning). Vitamins like vitamin K and pyridoxine counteract toxic effects of drugs like warfarin and isoniazide.</w:t>
      </w:r>
    </w:p>
    <w:tbl>
      <w:tblPr>
        <w:tblStyle w:val="TableGrid"/>
        <w:tblW w:w="9265" w:type="dxa"/>
        <w:tblInd w:w="85" w:type="dxa"/>
        <w:tblLayout w:type="fixed"/>
        <w:tblLook w:val="04A0" w:firstRow="1" w:lastRow="0" w:firstColumn="1" w:lastColumn="0" w:noHBand="0" w:noVBand="1"/>
      </w:tblPr>
      <w:tblGrid>
        <w:gridCol w:w="2610"/>
        <w:gridCol w:w="6655"/>
      </w:tblGrid>
      <w:tr w:rsidR="002F635D" w:rsidRPr="0024114A" w14:paraId="2FB6DB7E"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2CF0DF64"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Acetylcysteine</w:t>
            </w:r>
          </w:p>
        </w:tc>
      </w:tr>
      <w:tr w:rsidR="002F635D" w:rsidRPr="0024114A" w14:paraId="0717C7BB" w14:textId="77777777" w:rsidTr="002D6DD7">
        <w:trPr>
          <w:trHeight w:val="46"/>
        </w:trPr>
        <w:tc>
          <w:tcPr>
            <w:tcW w:w="2610" w:type="dxa"/>
            <w:tcBorders>
              <w:top w:val="single" w:sz="4" w:space="0" w:color="auto"/>
              <w:left w:val="single" w:sz="4" w:space="0" w:color="auto"/>
              <w:bottom w:val="single" w:sz="4" w:space="0" w:color="auto"/>
              <w:right w:val="single" w:sz="4" w:space="0" w:color="auto"/>
            </w:tcBorders>
            <w:hideMark/>
          </w:tcPr>
          <w:p w14:paraId="150F344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355A140" w14:textId="77777777" w:rsidR="002F635D" w:rsidRPr="0024114A" w:rsidRDefault="002F635D" w:rsidP="002D6DD7">
            <w:pPr>
              <w:jc w:val="both"/>
              <w:rPr>
                <w:rFonts w:cs="Times New Roman"/>
                <w:szCs w:val="24"/>
              </w:rPr>
            </w:pPr>
            <w:r w:rsidRPr="0024114A">
              <w:rPr>
                <w:rFonts w:cs="Times New Roman"/>
                <w:szCs w:val="24"/>
              </w:rPr>
              <w:t xml:space="preserve">Antidote </w:t>
            </w:r>
          </w:p>
        </w:tc>
      </w:tr>
      <w:tr w:rsidR="002F635D" w:rsidRPr="0024114A" w14:paraId="405A338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655FC3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1BBAAFE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Injection: 200 mg/ml in 10 ml ampoule</w:t>
            </w:r>
          </w:p>
          <w:p w14:paraId="63FB723B" w14:textId="77777777" w:rsidR="002F635D" w:rsidRPr="0024114A" w:rsidRDefault="002F635D" w:rsidP="002D6DD7">
            <w:pPr>
              <w:jc w:val="both"/>
              <w:rPr>
                <w:rFonts w:cs="Times New Roman"/>
                <w:color w:val="ED7D31" w:themeColor="accent2"/>
                <w:szCs w:val="24"/>
              </w:rPr>
            </w:pPr>
            <w:r w:rsidRPr="006E5ECA">
              <w:rPr>
                <w:rFonts w:cs="Times New Roman"/>
                <w:color w:val="000000" w:themeColor="text1"/>
                <w:szCs w:val="24"/>
              </w:rPr>
              <w:t xml:space="preserve">Oral </w:t>
            </w:r>
            <w:r w:rsidRPr="0024114A">
              <w:rPr>
                <w:rFonts w:cs="Times New Roman"/>
                <w:color w:val="000000" w:themeColor="text1"/>
                <w:szCs w:val="24"/>
              </w:rPr>
              <w:t>liquid: 10%, 20%</w:t>
            </w:r>
          </w:p>
        </w:tc>
      </w:tr>
      <w:tr w:rsidR="002F635D" w:rsidRPr="0024114A" w14:paraId="6C85F5A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F78743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2B0EA96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Antidote for paracetamol poisoning/overdosage.</w:t>
            </w:r>
          </w:p>
        </w:tc>
      </w:tr>
      <w:tr w:rsidR="002F635D" w:rsidRPr="0024114A" w14:paraId="39A0D742" w14:textId="77777777" w:rsidTr="002D6DD7">
        <w:trPr>
          <w:trHeight w:val="1250"/>
        </w:trPr>
        <w:tc>
          <w:tcPr>
            <w:tcW w:w="2610" w:type="dxa"/>
            <w:tcBorders>
              <w:top w:val="single" w:sz="4" w:space="0" w:color="auto"/>
              <w:left w:val="single" w:sz="4" w:space="0" w:color="auto"/>
              <w:bottom w:val="single" w:sz="4" w:space="0" w:color="auto"/>
              <w:right w:val="single" w:sz="4" w:space="0" w:color="auto"/>
            </w:tcBorders>
            <w:hideMark/>
          </w:tcPr>
          <w:p w14:paraId="6A2E5066"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0DCF4A93" w14:textId="77777777" w:rsidR="002F635D" w:rsidRPr="006E5ECA" w:rsidRDefault="002F635D" w:rsidP="002D6DD7">
            <w:pPr>
              <w:jc w:val="both"/>
              <w:rPr>
                <w:rFonts w:cs="Times New Roman"/>
                <w:bCs/>
                <w:szCs w:val="24"/>
              </w:rPr>
            </w:pPr>
            <w:r w:rsidRPr="006E5ECA">
              <w:rPr>
                <w:rFonts w:cs="Times New Roman"/>
                <w:bCs/>
                <w:szCs w:val="24"/>
              </w:rPr>
              <w:t>By IV infusion:</w:t>
            </w:r>
          </w:p>
          <w:p w14:paraId="646CA3FF" w14:textId="77777777" w:rsidR="002F635D" w:rsidRPr="0024114A" w:rsidRDefault="002F635D" w:rsidP="002D6DD7">
            <w:pPr>
              <w:jc w:val="both"/>
              <w:rPr>
                <w:rFonts w:cs="Times New Roman"/>
                <w:b/>
                <w:bCs/>
                <w:szCs w:val="24"/>
              </w:rPr>
            </w:pPr>
            <w:r w:rsidRPr="0024114A">
              <w:rPr>
                <w:rFonts w:cs="Times New Roman"/>
                <w:b/>
                <w:bCs/>
                <w:szCs w:val="24"/>
              </w:rPr>
              <w:t>Adult (body-weight 40 kg and above)</w:t>
            </w:r>
            <w:r w:rsidRPr="0024114A">
              <w:rPr>
                <w:rFonts w:cs="Times New Roman"/>
                <w:szCs w:val="24"/>
              </w:rPr>
              <w:t>: 150 mg/kg over 1 hour, dose to be administered in 200 ml glucose 5%, then 50 mg/kg over 4 hours, to be started immediately after completion of first infusion, dose to be administered in 500 ml glucose 5%, then 100 mg/kg over 16 hours, to be started immediately after completion of second infusion, dose to be administered in 1 litre glucose 5%.</w:t>
            </w:r>
          </w:p>
          <w:p w14:paraId="36DC4920" w14:textId="77777777" w:rsidR="002F635D" w:rsidRPr="0024114A" w:rsidRDefault="002F635D" w:rsidP="002D6DD7">
            <w:pPr>
              <w:jc w:val="both"/>
              <w:rPr>
                <w:rFonts w:cs="Times New Roman"/>
                <w:szCs w:val="24"/>
              </w:rPr>
            </w:pPr>
            <w:r w:rsidRPr="0024114A">
              <w:rPr>
                <w:rFonts w:cs="Times New Roman"/>
                <w:b/>
                <w:bCs/>
                <w:szCs w:val="24"/>
              </w:rPr>
              <w:t>Child (body weight 20–39 kg)</w:t>
            </w:r>
            <w:r w:rsidRPr="0024114A">
              <w:rPr>
                <w:rFonts w:cs="Times New Roman"/>
                <w:szCs w:val="24"/>
              </w:rPr>
              <w:t>: Initially 150 mg/kg over 1 hour, dose to be administered in 100 ml glucose 5%, followed by 50 mg/kg over 4 hours, dose to be administered in 250 ml glucose 5%, then 100 mg/kg over 16 hours, dose to be administered in 500ml glucose 5%.</w:t>
            </w:r>
          </w:p>
          <w:p w14:paraId="3BEE2226" w14:textId="77777777" w:rsidR="002F635D" w:rsidRPr="0024114A" w:rsidRDefault="002F635D" w:rsidP="002D6DD7">
            <w:pPr>
              <w:jc w:val="both"/>
              <w:rPr>
                <w:rFonts w:cs="Times New Roman"/>
                <w:szCs w:val="24"/>
              </w:rPr>
            </w:pPr>
            <w:r w:rsidRPr="0024114A">
              <w:rPr>
                <w:rFonts w:cs="Times New Roman"/>
                <w:b/>
                <w:bCs/>
                <w:szCs w:val="24"/>
              </w:rPr>
              <w:t>Child (body weight up to 20 kg)</w:t>
            </w:r>
            <w:r w:rsidRPr="0024114A">
              <w:rPr>
                <w:rFonts w:cs="Times New Roman"/>
                <w:szCs w:val="24"/>
              </w:rPr>
              <w:t xml:space="preserve">: Initially 150 mg/kg over 1 hour, dose to be administered in 3 ml/kg glucose 5%, followed by 50 mg/kg over 4 hours, dose to be administered in 7 ml/kg glucose 5%, then 100 mg/kg over 16 hours, dose to be administered in 14 </w:t>
            </w:r>
            <w:r w:rsidRPr="0024114A">
              <w:rPr>
                <w:rFonts w:cs="Times New Roman"/>
                <w:szCs w:val="24"/>
              </w:rPr>
              <w:lastRenderedPageBreak/>
              <w:t>ml/kg   glucose 5%.</w:t>
            </w:r>
          </w:p>
        </w:tc>
      </w:tr>
      <w:tr w:rsidR="002F635D" w:rsidRPr="0024114A" w14:paraId="337D78E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A6ED57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Pr>
          <w:p w14:paraId="38FF416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Hypersensitivity to the drug</w:t>
            </w:r>
          </w:p>
        </w:tc>
      </w:tr>
      <w:tr w:rsidR="002F635D" w:rsidRPr="0024114A" w14:paraId="024867D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F93A68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0E698CBA"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Charcoal, </w:t>
            </w:r>
            <w:r w:rsidRPr="0024114A">
              <w:rPr>
                <w:rFonts w:cs="Times New Roman"/>
                <w:szCs w:val="24"/>
              </w:rPr>
              <w:t xml:space="preserve">carbamazepine, nitro-glycerine, penicillin G, tetracycline </w:t>
            </w:r>
          </w:p>
        </w:tc>
      </w:tr>
      <w:tr w:rsidR="002F635D" w:rsidRPr="0024114A" w14:paraId="529ECA5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EC4FD7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563BE3CB" w14:textId="77777777" w:rsidR="002F635D" w:rsidRPr="0024114A" w:rsidRDefault="002F635D" w:rsidP="002D6DD7">
            <w:pPr>
              <w:jc w:val="both"/>
              <w:rPr>
                <w:rFonts w:cs="Times New Roman"/>
                <w:szCs w:val="24"/>
              </w:rPr>
            </w:pPr>
            <w:r w:rsidRPr="0024114A">
              <w:rPr>
                <w:rFonts w:eastAsia="Times New Roman" w:cs="Times New Roman"/>
                <w:color w:val="2A2A2A"/>
                <w:szCs w:val="24"/>
              </w:rPr>
              <w:t xml:space="preserve">Hypersensitivity reactions including bronchospasm, angioedema, rashes and pruritis, hypotension or occasionally hypertension, nausea, vomiting, tachycardia, flushing </w:t>
            </w:r>
          </w:p>
        </w:tc>
      </w:tr>
      <w:tr w:rsidR="002F635D" w:rsidRPr="0024114A" w14:paraId="4D17BFD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C6805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4A377887" w14:textId="77777777" w:rsidR="002F635D" w:rsidRPr="0024114A" w:rsidRDefault="002F635D" w:rsidP="002D6DD7">
            <w:pPr>
              <w:jc w:val="both"/>
              <w:rPr>
                <w:rFonts w:cs="Times New Roman"/>
                <w:color w:val="2A2A2A"/>
                <w:szCs w:val="24"/>
              </w:rPr>
            </w:pPr>
            <w:r w:rsidRPr="0024114A">
              <w:rPr>
                <w:rFonts w:cs="Times New Roman"/>
                <w:color w:val="2A2A2A"/>
                <w:szCs w:val="24"/>
              </w:rPr>
              <w:t>Asthma and/or history of bronchospasm, atopy, increase INR, increase prothrombin time, history of peptic ulceration, p</w:t>
            </w:r>
            <w:r w:rsidRPr="0024114A">
              <w:rPr>
                <w:rFonts w:cs="Times New Roman"/>
                <w:szCs w:val="24"/>
              </w:rPr>
              <w:t>regnancy</w:t>
            </w:r>
          </w:p>
        </w:tc>
      </w:tr>
      <w:tr w:rsidR="002F635D" w:rsidRPr="0024114A" w14:paraId="2F656F5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3276B0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3A42CAA8"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Store unopened vials between 15 and 30°C. Protect from light. </w:t>
            </w:r>
          </w:p>
        </w:tc>
      </w:tr>
      <w:tr w:rsidR="002F635D" w:rsidRPr="0024114A" w14:paraId="0FE91990" w14:textId="77777777" w:rsidTr="002D6DD7">
        <w:trPr>
          <w:trHeight w:val="46"/>
        </w:trPr>
        <w:tc>
          <w:tcPr>
            <w:tcW w:w="9265" w:type="dxa"/>
            <w:gridSpan w:val="2"/>
            <w:tcBorders>
              <w:top w:val="single" w:sz="4" w:space="0" w:color="auto"/>
              <w:left w:val="single" w:sz="4" w:space="0" w:color="auto"/>
              <w:bottom w:val="single" w:sz="4" w:space="0" w:color="auto"/>
            </w:tcBorders>
          </w:tcPr>
          <w:p w14:paraId="616C398F"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Activated charcoal</w:t>
            </w:r>
          </w:p>
        </w:tc>
      </w:tr>
      <w:tr w:rsidR="002F635D" w:rsidRPr="0024114A" w14:paraId="702E497B" w14:textId="77777777" w:rsidTr="002D6DD7">
        <w:tc>
          <w:tcPr>
            <w:tcW w:w="2610" w:type="dxa"/>
            <w:tcBorders>
              <w:top w:val="single" w:sz="4" w:space="0" w:color="auto"/>
              <w:left w:val="single" w:sz="4" w:space="0" w:color="auto"/>
              <w:bottom w:val="single" w:sz="4" w:space="0" w:color="auto"/>
              <w:right w:val="single" w:sz="4" w:space="0" w:color="auto"/>
            </w:tcBorders>
          </w:tcPr>
          <w:p w14:paraId="7C86716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 class</w:t>
            </w:r>
          </w:p>
        </w:tc>
        <w:tc>
          <w:tcPr>
            <w:tcW w:w="6655" w:type="dxa"/>
          </w:tcPr>
          <w:p w14:paraId="4CB8FF7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Non-specific antidote</w:t>
            </w:r>
          </w:p>
        </w:tc>
      </w:tr>
      <w:tr w:rsidR="002F635D" w:rsidRPr="0024114A" w14:paraId="6B3379D1" w14:textId="77777777" w:rsidTr="002D6DD7">
        <w:tc>
          <w:tcPr>
            <w:tcW w:w="2610" w:type="dxa"/>
            <w:tcBorders>
              <w:top w:val="single" w:sz="4" w:space="0" w:color="auto"/>
              <w:left w:val="single" w:sz="4" w:space="0" w:color="auto"/>
              <w:bottom w:val="single" w:sz="4" w:space="0" w:color="auto"/>
              <w:right w:val="single" w:sz="4" w:space="0" w:color="auto"/>
            </w:tcBorders>
          </w:tcPr>
          <w:p w14:paraId="3AC5E32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54A919F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Tablet: 250 mg</w:t>
            </w:r>
          </w:p>
          <w:p w14:paraId="7656637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Activated granules: 50 g</w:t>
            </w:r>
          </w:p>
        </w:tc>
      </w:tr>
      <w:tr w:rsidR="002F635D" w:rsidRPr="0024114A" w14:paraId="0F7530BC" w14:textId="77777777" w:rsidTr="002D6DD7">
        <w:tc>
          <w:tcPr>
            <w:tcW w:w="2610" w:type="dxa"/>
            <w:tcBorders>
              <w:top w:val="single" w:sz="4" w:space="0" w:color="auto"/>
              <w:left w:val="single" w:sz="4" w:space="0" w:color="auto"/>
              <w:bottom w:val="single" w:sz="4" w:space="0" w:color="auto"/>
              <w:right w:val="single" w:sz="4" w:space="0" w:color="auto"/>
            </w:tcBorders>
          </w:tcPr>
          <w:p w14:paraId="30D524D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7BF209F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Emergency treatment of acute </w:t>
            </w:r>
            <w:r w:rsidRPr="006E5ECA">
              <w:rPr>
                <w:rFonts w:cs="Times New Roman"/>
                <w:color w:val="000000" w:themeColor="text1"/>
                <w:szCs w:val="24"/>
              </w:rPr>
              <w:t xml:space="preserve">oral </w:t>
            </w:r>
            <w:r w:rsidRPr="0024114A">
              <w:rPr>
                <w:rFonts w:cs="Times New Roman"/>
                <w:color w:val="000000" w:themeColor="text1"/>
                <w:szCs w:val="24"/>
              </w:rPr>
              <w:t>poisoning and drug overdose.</w:t>
            </w:r>
          </w:p>
        </w:tc>
      </w:tr>
      <w:tr w:rsidR="002F635D" w:rsidRPr="0024114A" w14:paraId="09FB3DDE" w14:textId="77777777" w:rsidTr="002D6DD7">
        <w:tc>
          <w:tcPr>
            <w:tcW w:w="2610" w:type="dxa"/>
            <w:tcBorders>
              <w:top w:val="single" w:sz="4" w:space="0" w:color="auto"/>
              <w:left w:val="single" w:sz="4" w:space="0" w:color="auto"/>
              <w:bottom w:val="single" w:sz="4" w:space="0" w:color="auto"/>
              <w:right w:val="single" w:sz="4" w:space="0" w:color="auto"/>
            </w:tcBorders>
          </w:tcPr>
          <w:p w14:paraId="1DDB5445"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023CA8D9" w14:textId="77777777" w:rsidR="002F635D" w:rsidRPr="0024114A" w:rsidRDefault="002F635D" w:rsidP="002D6DD7">
            <w:pPr>
              <w:jc w:val="both"/>
              <w:rPr>
                <w:rFonts w:cs="Times New Roman"/>
                <w:color w:val="000000" w:themeColor="text1"/>
                <w:szCs w:val="24"/>
              </w:rPr>
            </w:pPr>
            <w:r w:rsidRPr="0024114A">
              <w:rPr>
                <w:rFonts w:cs="Times New Roman"/>
                <w:b/>
                <w:color w:val="000000" w:themeColor="text1"/>
                <w:szCs w:val="24"/>
              </w:rPr>
              <w:t>Adult and child 12 years and above</w:t>
            </w:r>
            <w:r w:rsidRPr="0024114A">
              <w:rPr>
                <w:rFonts w:cs="Times New Roman"/>
                <w:color w:val="000000" w:themeColor="text1"/>
                <w:szCs w:val="24"/>
              </w:rPr>
              <w:t xml:space="preserve">: </w:t>
            </w:r>
          </w:p>
          <w:p w14:paraId="6C262EC6"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Acute poisoning</w:t>
            </w:r>
            <w:r w:rsidRPr="0024114A">
              <w:rPr>
                <w:rFonts w:cs="Times New Roman"/>
                <w:color w:val="000000" w:themeColor="text1"/>
                <w:szCs w:val="24"/>
              </w:rPr>
              <w:t xml:space="preserve">: 50 to 100g in suspension. </w:t>
            </w:r>
          </w:p>
          <w:p w14:paraId="0FDD46A4"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Severe poisoning</w:t>
            </w:r>
            <w:r w:rsidRPr="0024114A">
              <w:rPr>
                <w:rFonts w:cs="Times New Roman"/>
                <w:color w:val="000000" w:themeColor="text1"/>
                <w:szCs w:val="24"/>
              </w:rPr>
              <w:t xml:space="preserve">: 50 to 100g as an initial dose followed by 20g every 4 to 6 hours. </w:t>
            </w:r>
          </w:p>
          <w:p w14:paraId="36EBAA91"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 up to 12 years</w:t>
            </w:r>
            <w:r w:rsidRPr="0024114A">
              <w:rPr>
                <w:rFonts w:cs="Times New Roman"/>
                <w:color w:val="000000" w:themeColor="text1"/>
                <w:szCs w:val="24"/>
              </w:rPr>
              <w:t xml:space="preserve">: 1 g/kg/dose (Maximum: 50 g/dose). Dose may be repeated every 4 to 6 hours as needed. </w:t>
            </w:r>
          </w:p>
        </w:tc>
      </w:tr>
      <w:tr w:rsidR="002F635D" w:rsidRPr="0024114A" w14:paraId="2565F978" w14:textId="77777777" w:rsidTr="002D6DD7">
        <w:tc>
          <w:tcPr>
            <w:tcW w:w="2610" w:type="dxa"/>
            <w:tcBorders>
              <w:top w:val="single" w:sz="4" w:space="0" w:color="auto"/>
              <w:left w:val="single" w:sz="4" w:space="0" w:color="auto"/>
              <w:bottom w:val="single" w:sz="4" w:space="0" w:color="auto"/>
              <w:right w:val="single" w:sz="4" w:space="0" w:color="auto"/>
            </w:tcBorders>
          </w:tcPr>
          <w:p w14:paraId="0681222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2308D87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 unprotected airway, presence of intestinal obstruction, active GI hemorrhage or perforation.</w:t>
            </w:r>
          </w:p>
        </w:tc>
      </w:tr>
      <w:tr w:rsidR="002F635D" w:rsidRPr="0024114A" w14:paraId="5092C852" w14:textId="77777777" w:rsidTr="002D6DD7">
        <w:tc>
          <w:tcPr>
            <w:tcW w:w="2610" w:type="dxa"/>
            <w:tcBorders>
              <w:top w:val="single" w:sz="4" w:space="0" w:color="auto"/>
              <w:left w:val="single" w:sz="4" w:space="0" w:color="auto"/>
              <w:bottom w:val="single" w:sz="4" w:space="0" w:color="auto"/>
              <w:right w:val="single" w:sz="4" w:space="0" w:color="auto"/>
            </w:tcBorders>
          </w:tcPr>
          <w:p w14:paraId="5420441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74E000F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Acarbose, carbamazepine, digoxin, frusemide, olanzapine, phenytoin</w:t>
            </w:r>
          </w:p>
        </w:tc>
      </w:tr>
      <w:tr w:rsidR="002F635D" w:rsidRPr="0024114A" w14:paraId="32682AB8" w14:textId="77777777" w:rsidTr="002D6DD7">
        <w:tc>
          <w:tcPr>
            <w:tcW w:w="2610" w:type="dxa"/>
            <w:tcBorders>
              <w:top w:val="single" w:sz="4" w:space="0" w:color="auto"/>
              <w:left w:val="single" w:sz="4" w:space="0" w:color="auto"/>
              <w:bottom w:val="single" w:sz="4" w:space="0" w:color="auto"/>
              <w:right w:val="single" w:sz="4" w:space="0" w:color="auto"/>
            </w:tcBorders>
          </w:tcPr>
          <w:p w14:paraId="2A1BC68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069C39F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Black stools, gastrointestinal disturbances, constipation, diarrhea.</w:t>
            </w:r>
          </w:p>
        </w:tc>
      </w:tr>
      <w:tr w:rsidR="002F635D" w:rsidRPr="0024114A" w14:paraId="4FE5EF6B" w14:textId="77777777" w:rsidTr="002D6DD7">
        <w:trPr>
          <w:trHeight w:val="413"/>
        </w:trPr>
        <w:tc>
          <w:tcPr>
            <w:tcW w:w="2610" w:type="dxa"/>
            <w:tcBorders>
              <w:top w:val="single" w:sz="4" w:space="0" w:color="auto"/>
              <w:left w:val="single" w:sz="4" w:space="0" w:color="auto"/>
              <w:bottom w:val="single" w:sz="4" w:space="0" w:color="auto"/>
              <w:right w:val="single" w:sz="4" w:space="0" w:color="auto"/>
            </w:tcBorders>
          </w:tcPr>
          <w:p w14:paraId="613BAFF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49DA1F0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Comatose patient, drowsy patient, reduced gastrointestinal motility</w:t>
            </w:r>
          </w:p>
        </w:tc>
      </w:tr>
      <w:tr w:rsidR="002F635D" w:rsidRPr="0024114A" w14:paraId="2EA1A26D" w14:textId="77777777" w:rsidTr="002D6DD7">
        <w:tc>
          <w:tcPr>
            <w:tcW w:w="2610" w:type="dxa"/>
            <w:tcBorders>
              <w:top w:val="single" w:sz="4" w:space="0" w:color="auto"/>
              <w:left w:val="single" w:sz="4" w:space="0" w:color="auto"/>
              <w:bottom w:val="single" w:sz="4" w:space="0" w:color="auto"/>
              <w:right w:val="single" w:sz="4" w:space="0" w:color="auto"/>
            </w:tcBorders>
          </w:tcPr>
          <w:p w14:paraId="431EB07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0B64A1D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Store below 30</w:t>
            </w:r>
            <w:r w:rsidRPr="0024114A">
              <w:rPr>
                <w:rFonts w:cs="Times New Roman"/>
                <w:color w:val="000000" w:themeColor="text1"/>
                <w:szCs w:val="24"/>
                <w:vertAlign w:val="superscript"/>
              </w:rPr>
              <w:t>0</w:t>
            </w:r>
            <w:r w:rsidRPr="0024114A">
              <w:rPr>
                <w:rFonts w:cs="Times New Roman"/>
                <w:color w:val="000000" w:themeColor="text1"/>
                <w:szCs w:val="24"/>
              </w:rPr>
              <w:t>C</w:t>
            </w:r>
          </w:p>
        </w:tc>
      </w:tr>
      <w:tr w:rsidR="002F635D" w:rsidRPr="0024114A" w14:paraId="1947FE75"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09E109F7"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lastRenderedPageBreak/>
              <w:t>Atropine Sulphate</w:t>
            </w:r>
          </w:p>
        </w:tc>
      </w:tr>
      <w:tr w:rsidR="002F635D" w:rsidRPr="0024114A" w14:paraId="503EF6C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9F98B0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75581C3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Anticholinergics</w:t>
            </w:r>
          </w:p>
        </w:tc>
      </w:tr>
      <w:tr w:rsidR="002F635D" w:rsidRPr="0024114A" w14:paraId="424FF82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A8EA5F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6D827F06"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1 mg/ml in 1 ml ampoule</w:t>
            </w:r>
          </w:p>
        </w:tc>
      </w:tr>
      <w:tr w:rsidR="002F635D" w:rsidRPr="0024114A" w14:paraId="748E55C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0EFA419"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547701D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Symptomatic bradycardia due to acute overdosage of beta-blockers, poisoning by organophosphorus insecticides or nerve agents or other cholinergic agents</w:t>
            </w:r>
          </w:p>
        </w:tc>
      </w:tr>
      <w:tr w:rsidR="002F635D" w:rsidRPr="0024114A" w14:paraId="45989ED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37D370B"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45B557C5"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Symptomatic bradycardia due to acute overdosage of beta-blockers,</w:t>
            </w:r>
            <w:r w:rsidR="006E5ECA">
              <w:rPr>
                <w:rFonts w:cs="Times New Roman"/>
                <w:b/>
                <w:bCs/>
                <w:color w:val="000000" w:themeColor="text1"/>
                <w:szCs w:val="24"/>
              </w:rPr>
              <w:t xml:space="preserve"> </w:t>
            </w:r>
            <w:r w:rsidR="006E5ECA" w:rsidRPr="006E5ECA">
              <w:rPr>
                <w:rFonts w:cs="Times New Roman"/>
                <w:color w:val="000000" w:themeColor="text1"/>
                <w:szCs w:val="24"/>
              </w:rPr>
              <w:t>b</w:t>
            </w:r>
            <w:r w:rsidRPr="006E5ECA">
              <w:rPr>
                <w:rFonts w:cs="Times New Roman"/>
                <w:color w:val="000000" w:themeColor="text1"/>
                <w:szCs w:val="24"/>
              </w:rPr>
              <w:t>y intravenous injection:</w:t>
            </w:r>
          </w:p>
          <w:p w14:paraId="58F4F1F0"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0.02 mg/kg (max. per dose 1.2 mg), repeat doses may be necessary</w:t>
            </w:r>
          </w:p>
          <w:p w14:paraId="47F26811"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0.5–1.2 mg, repeat doses may be necessary</w:t>
            </w:r>
          </w:p>
          <w:p w14:paraId="398F32E3" w14:textId="77777777" w:rsidR="002F635D" w:rsidRPr="0024114A" w:rsidRDefault="002F635D" w:rsidP="002D6DD7">
            <w:pPr>
              <w:jc w:val="both"/>
              <w:rPr>
                <w:rFonts w:cs="Times New Roman"/>
                <w:b/>
                <w:color w:val="000000" w:themeColor="text1"/>
                <w:szCs w:val="24"/>
              </w:rPr>
            </w:pPr>
            <w:r w:rsidRPr="0024114A">
              <w:rPr>
                <w:rFonts w:cs="Times New Roman"/>
                <w:b/>
                <w:bCs/>
                <w:color w:val="000000" w:themeColor="text1"/>
                <w:szCs w:val="24"/>
              </w:rPr>
              <w:t>Treatment of poisoning by organophosphorus insecticide or nerve agent (in combination with pralidoxime chloride),</w:t>
            </w:r>
            <w:r w:rsidR="006E5ECA">
              <w:rPr>
                <w:rFonts w:cs="Times New Roman"/>
                <w:b/>
                <w:bCs/>
                <w:color w:val="000000" w:themeColor="text1"/>
                <w:szCs w:val="24"/>
              </w:rPr>
              <w:t xml:space="preserve"> </w:t>
            </w:r>
            <w:r w:rsidR="006E5ECA" w:rsidRPr="006E5ECA">
              <w:rPr>
                <w:rFonts w:cs="Times New Roman"/>
                <w:bCs/>
                <w:color w:val="000000" w:themeColor="text1"/>
                <w:szCs w:val="24"/>
              </w:rPr>
              <w:t>b</w:t>
            </w:r>
            <w:r w:rsidRPr="006E5ECA">
              <w:rPr>
                <w:rFonts w:cs="Times New Roman"/>
                <w:color w:val="000000" w:themeColor="text1"/>
                <w:szCs w:val="24"/>
              </w:rPr>
              <w:t>y intravenous injection:</w:t>
            </w:r>
          </w:p>
          <w:p w14:paraId="459FF8B8" w14:textId="77777777" w:rsidR="002F635D" w:rsidRPr="0024114A" w:rsidRDefault="002F635D" w:rsidP="002D6DD7">
            <w:pPr>
              <w:jc w:val="both"/>
              <w:rPr>
                <w:rFonts w:cs="Times New Roman"/>
                <w:b/>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2 mg every 5–10 minutes until the skin becomes flushed and dry, the pupils dilate, and bradycardia is abolished, frequency of administration dependent on the severity of poisoning.</w:t>
            </w:r>
          </w:p>
          <w:p w14:paraId="251584E9"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20 mcg/kg every 5–10 minutes (max. per dose 2 mg) until the skin becomes flushed and dry, the pupils dilate, and bradycardia is abolished, frequency of administration dependent on the severity of poisoning.</w:t>
            </w:r>
          </w:p>
        </w:tc>
      </w:tr>
      <w:tr w:rsidR="002F635D" w:rsidRPr="0024114A" w14:paraId="788A90AC" w14:textId="77777777" w:rsidTr="002D6DD7">
        <w:trPr>
          <w:trHeight w:val="1061"/>
        </w:trPr>
        <w:tc>
          <w:tcPr>
            <w:tcW w:w="2610" w:type="dxa"/>
            <w:tcBorders>
              <w:top w:val="single" w:sz="4" w:space="0" w:color="auto"/>
              <w:left w:val="single" w:sz="4" w:space="0" w:color="auto"/>
              <w:bottom w:val="single" w:sz="4" w:space="0" w:color="auto"/>
              <w:right w:val="single" w:sz="4" w:space="0" w:color="auto"/>
            </w:tcBorders>
            <w:hideMark/>
          </w:tcPr>
          <w:p w14:paraId="0B132AF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79637BA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Hypersensitivity to the drug or other anticholinergic agents,</w:t>
            </w:r>
            <w:r w:rsidR="006E5ECA">
              <w:rPr>
                <w:rFonts w:cs="Times New Roman"/>
                <w:color w:val="000000" w:themeColor="text1"/>
                <w:szCs w:val="24"/>
              </w:rPr>
              <w:t xml:space="preserve"> </w:t>
            </w:r>
            <w:r w:rsidRPr="0024114A">
              <w:rPr>
                <w:rFonts w:cs="Times New Roman"/>
                <w:color w:val="000000" w:themeColor="text1"/>
                <w:szCs w:val="24"/>
              </w:rPr>
              <w:t>primary glaucoma or predisposition to narrow anterior chamber angle glaucoma, GI obstruction</w:t>
            </w:r>
          </w:p>
        </w:tc>
      </w:tr>
      <w:tr w:rsidR="002F635D" w:rsidRPr="0024114A" w14:paraId="24E4CB4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6DD17E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1AEA2D9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Amitriptyline, chlorpheniramine, chlorpromazine, haloperidol, metoclopramide, neostigmine, pyridostigmine, ipratropium, potassium chloride</w:t>
            </w:r>
          </w:p>
        </w:tc>
      </w:tr>
      <w:tr w:rsidR="002F635D" w:rsidRPr="0024114A" w14:paraId="70A48C1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8567A0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2894D462" w14:textId="77777777" w:rsidR="002F635D" w:rsidRPr="0024114A" w:rsidRDefault="002F635D" w:rsidP="002D6DD7">
            <w:pPr>
              <w:jc w:val="both"/>
              <w:rPr>
                <w:rFonts w:cs="Times New Roman"/>
                <w:szCs w:val="24"/>
              </w:rPr>
            </w:pPr>
            <w:r w:rsidRPr="0024114A">
              <w:rPr>
                <w:rFonts w:cs="Times New Roman"/>
                <w:color w:val="000000" w:themeColor="text1"/>
                <w:szCs w:val="24"/>
              </w:rPr>
              <w:t>Abdominal distension, anhidrosis, anxiety, arrhythmias, bronchial secretion decreased, dysphagia, gastrointestinal disorders, hallucination, hyperthermia, movement disorders, mydriasis, speech disorder, taste loss, thirst.</w:t>
            </w:r>
          </w:p>
        </w:tc>
      </w:tr>
      <w:tr w:rsidR="002F635D" w:rsidRPr="0024114A" w14:paraId="3CA9A33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39F3C0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 xml:space="preserve">Cautions </w:t>
            </w:r>
          </w:p>
        </w:tc>
        <w:tc>
          <w:tcPr>
            <w:tcW w:w="6655" w:type="dxa"/>
          </w:tcPr>
          <w:p w14:paraId="3ECF959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Obstructive disease of the GIT (e.g., pyloroduodenal stenosis, achalasia), cardiospasm, paralytic ileus or intestinal atony, reflux esophagitis, ulcerative colitis, prostatic enlargement, tachycardia, toxemia of pregnancy, myasthenia gravis, hepatic impairment, renal impairment, pregnancy, breast feeding</w:t>
            </w:r>
          </w:p>
        </w:tc>
      </w:tr>
      <w:tr w:rsidR="002F635D" w:rsidRPr="0024114A" w14:paraId="425C75B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2E7FA2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28759832"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Store between 15 </w:t>
            </w:r>
            <w:r w:rsidRPr="0024114A">
              <w:rPr>
                <w:rFonts w:cs="Times New Roman"/>
                <w:color w:val="000000" w:themeColor="text1"/>
                <w:szCs w:val="24"/>
                <w:vertAlign w:val="superscript"/>
              </w:rPr>
              <w:t>0</w:t>
            </w:r>
            <w:r w:rsidRPr="0024114A">
              <w:rPr>
                <w:rFonts w:cs="Times New Roman"/>
                <w:color w:val="000000" w:themeColor="text1"/>
                <w:szCs w:val="24"/>
              </w:rPr>
              <w:t xml:space="preserve">C and 30 </w:t>
            </w:r>
            <w:r w:rsidRPr="0024114A">
              <w:rPr>
                <w:rFonts w:cs="Times New Roman"/>
                <w:color w:val="000000" w:themeColor="text1"/>
                <w:szCs w:val="24"/>
                <w:vertAlign w:val="superscript"/>
              </w:rPr>
              <w:t>0</w:t>
            </w:r>
            <w:r w:rsidRPr="0024114A">
              <w:rPr>
                <w:rFonts w:cs="Times New Roman"/>
                <w:color w:val="000000" w:themeColor="text1"/>
                <w:szCs w:val="24"/>
              </w:rPr>
              <w:t>C. Protect from excessive heat.</w:t>
            </w:r>
          </w:p>
        </w:tc>
      </w:tr>
      <w:tr w:rsidR="002F635D" w:rsidRPr="0024114A" w14:paraId="0A062B0A"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701C556D"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Calcium gluconate</w:t>
            </w:r>
          </w:p>
        </w:tc>
      </w:tr>
      <w:tr w:rsidR="002F635D" w:rsidRPr="0024114A" w14:paraId="00D3198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9ADDC9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DF4BBB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Minerals, </w:t>
            </w:r>
            <w:r w:rsidRPr="0024114A">
              <w:rPr>
                <w:rFonts w:cs="Times New Roman"/>
                <w:szCs w:val="24"/>
              </w:rPr>
              <w:t xml:space="preserve">Antidotes </w:t>
            </w:r>
          </w:p>
        </w:tc>
      </w:tr>
      <w:tr w:rsidR="002F635D" w:rsidRPr="0024114A" w14:paraId="1C88AB4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D88128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283BE338"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10% in 10ml ampoule</w:t>
            </w:r>
          </w:p>
        </w:tc>
      </w:tr>
      <w:tr w:rsidR="002F635D" w:rsidRPr="0024114A" w14:paraId="08C922C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2202ED1"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67B0E83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Magnesium toxicity,</w:t>
            </w:r>
            <w:r w:rsidRPr="0024114A">
              <w:rPr>
                <w:rFonts w:cs="Times New Roman"/>
                <w:szCs w:val="24"/>
              </w:rPr>
              <w:t xml:space="preserve"> s</w:t>
            </w:r>
            <w:r w:rsidRPr="0024114A">
              <w:rPr>
                <w:rFonts w:cs="Times New Roman"/>
                <w:color w:val="000000" w:themeColor="text1"/>
                <w:szCs w:val="24"/>
              </w:rPr>
              <w:t>evere acute hypocalcaemia or hypocalcemic tetany, acute severe hyperkalaemia not due to digoxin toxicity, calcium channel blockers toxicity, beta-blocker toxicity.</w:t>
            </w:r>
          </w:p>
        </w:tc>
      </w:tr>
      <w:tr w:rsidR="002F635D" w:rsidRPr="0024114A" w14:paraId="7C80BEB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747165D"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6D31B5DD"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 xml:space="preserve">Severe acute hypocalcaemia or hypocalcemic tetany, </w:t>
            </w:r>
            <w:r w:rsidRPr="0024114A">
              <w:rPr>
                <w:rFonts w:cs="Times New Roman"/>
                <w:color w:val="000000" w:themeColor="text1"/>
                <w:szCs w:val="24"/>
              </w:rPr>
              <w:t xml:space="preserve">initially by slow intravenous injection: </w:t>
            </w:r>
          </w:p>
          <w:p w14:paraId="271AD573"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Initially 10–20 ml, calcium gluconate injection 10% (providing approximately 2.25–4.5 mmol of calcium) should be administered with plasma-calcium and ECG monitoring, and either repeated as required or, if only temporary improvement, followed by a continuous intravenous infusion to prevent recurrence, alternatively (by continuous intravenous infusion), initially 50 ml/hour, adjusted according to response, infusion to be administered using 100ml of calcium gluconate 10% diluted in 1 litre of glucose 5% or sodium chloride 0.9%.</w:t>
            </w:r>
          </w:p>
          <w:p w14:paraId="4B7B617C"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Acute severe hyperkalaemia</w:t>
            </w:r>
            <w:r w:rsidRPr="0024114A">
              <w:rPr>
                <w:rFonts w:cs="Times New Roman"/>
                <w:color w:val="000000" w:themeColor="text1"/>
                <w:szCs w:val="24"/>
              </w:rPr>
              <w:t xml:space="preserve"> (plasma-potassium concentration 6.5 mmol/litre or greater, or in the presence of ECG changes), by slow intravenous injection: </w:t>
            </w:r>
          </w:p>
          <w:p w14:paraId="5757C18A"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30 ml, calcium gluconate 10% (providing approximately 6.8 mmol of calcium) should be administered as a single dose, repeat dose if no improvement in ECG within 5 to 10 minutes.</w:t>
            </w:r>
          </w:p>
          <w:p w14:paraId="5CA8AFC3"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Adult</w:t>
            </w:r>
            <w:r w:rsidR="006E5ECA">
              <w:rPr>
                <w:rFonts w:cs="Times New Roman"/>
                <w:b/>
                <w:color w:val="000000" w:themeColor="text1"/>
                <w:szCs w:val="24"/>
              </w:rPr>
              <w:t>:</w:t>
            </w:r>
          </w:p>
          <w:p w14:paraId="4E6BA381" w14:textId="77777777" w:rsidR="002F635D" w:rsidRPr="0024114A" w:rsidRDefault="002F635D" w:rsidP="002D6DD7">
            <w:pPr>
              <w:jc w:val="both"/>
              <w:rPr>
                <w:rFonts w:cs="Times New Roman"/>
                <w:color w:val="000000" w:themeColor="text1"/>
                <w:szCs w:val="24"/>
              </w:rPr>
            </w:pPr>
            <w:r w:rsidRPr="0024114A">
              <w:rPr>
                <w:rFonts w:cs="Times New Roman"/>
                <w:b/>
                <w:color w:val="000000" w:themeColor="text1"/>
                <w:szCs w:val="24"/>
              </w:rPr>
              <w:t>Beta-blocker toxicity</w:t>
            </w:r>
            <w:r w:rsidRPr="0024114A">
              <w:rPr>
                <w:rFonts w:cs="Times New Roman"/>
                <w:color w:val="000000" w:themeColor="text1"/>
                <w:szCs w:val="24"/>
              </w:rPr>
              <w:t>, IV:60 mg/kg over 5-10 minutes (max. 3-</w:t>
            </w:r>
            <w:r w:rsidRPr="0024114A">
              <w:rPr>
                <w:rFonts w:cs="Times New Roman"/>
                <w:color w:val="000000" w:themeColor="text1"/>
                <w:szCs w:val="24"/>
              </w:rPr>
              <w:lastRenderedPageBreak/>
              <w:t>6g/dose); may repeat every 10-20 minutes for 3-4 additional doses.</w:t>
            </w:r>
          </w:p>
          <w:p w14:paraId="126C79A3"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Beta-blocker toxicity</w:t>
            </w:r>
            <w:r w:rsidRPr="0024114A">
              <w:rPr>
                <w:rFonts w:cs="Times New Roman"/>
                <w:color w:val="000000" w:themeColor="text1"/>
                <w:szCs w:val="24"/>
              </w:rPr>
              <w:t>, IV infusion: 60-120 mg/kg/hour.</w:t>
            </w:r>
          </w:p>
          <w:p w14:paraId="668319A9" w14:textId="77777777" w:rsidR="002F635D" w:rsidRPr="0024114A" w:rsidRDefault="002F635D" w:rsidP="002D6DD7">
            <w:pPr>
              <w:jc w:val="both"/>
              <w:rPr>
                <w:rFonts w:cs="Times New Roman"/>
                <w:szCs w:val="24"/>
              </w:rPr>
            </w:pPr>
            <w:r w:rsidRPr="0024114A">
              <w:rPr>
                <w:rFonts w:cs="Times New Roman"/>
                <w:b/>
                <w:bCs/>
                <w:szCs w:val="24"/>
              </w:rPr>
              <w:t>Urgent correction of acute hypocalcaemia, hyperkalaemia or hypermagnesemia, CCB toxicity</w:t>
            </w:r>
            <w:r w:rsidRPr="0024114A">
              <w:rPr>
                <w:rFonts w:cs="Times New Roman"/>
                <w:szCs w:val="24"/>
              </w:rPr>
              <w:t>, by slow IV:</w:t>
            </w:r>
          </w:p>
          <w:p w14:paraId="4E7C521E" w14:textId="77777777" w:rsidR="002F635D" w:rsidRPr="0024114A" w:rsidRDefault="002F635D" w:rsidP="002D6DD7">
            <w:pPr>
              <w:jc w:val="both"/>
              <w:rPr>
                <w:rFonts w:cs="Times New Roman"/>
                <w:szCs w:val="24"/>
              </w:rPr>
            </w:pPr>
            <w:r w:rsidRPr="0024114A">
              <w:rPr>
                <w:rFonts w:cs="Times New Roman"/>
                <w:b/>
                <w:bCs/>
                <w:szCs w:val="24"/>
              </w:rPr>
              <w:t>Neonate, infant, or child</w:t>
            </w:r>
            <w:r w:rsidRPr="0024114A">
              <w:rPr>
                <w:rFonts w:cs="Times New Roman"/>
                <w:szCs w:val="24"/>
              </w:rPr>
              <w:t>: 50 mg/kg as a single dose; maximum dose 200 mg (20 ml); repeat dose after 10 minutes if necessary; if ineffective, consider IV infusion.</w:t>
            </w:r>
          </w:p>
          <w:p w14:paraId="12672E0E" w14:textId="77777777" w:rsidR="002F635D" w:rsidRPr="0024114A" w:rsidRDefault="002F635D" w:rsidP="002D6DD7">
            <w:pPr>
              <w:jc w:val="both"/>
              <w:rPr>
                <w:rFonts w:cs="Times New Roman"/>
                <w:szCs w:val="24"/>
              </w:rPr>
            </w:pPr>
            <w:r w:rsidRPr="0024114A">
              <w:rPr>
                <w:rFonts w:cs="Times New Roman"/>
                <w:b/>
                <w:bCs/>
                <w:szCs w:val="24"/>
              </w:rPr>
              <w:t>Maintenance correction of acute hypocalcaemia, hyperkalaemia or hypermagnesemia, maintenance treatment of CCB toxicity</w:t>
            </w:r>
            <w:r w:rsidRPr="0024114A">
              <w:rPr>
                <w:rFonts w:cs="Times New Roman"/>
                <w:szCs w:val="24"/>
              </w:rPr>
              <w:t>, continuous IV infusion:</w:t>
            </w:r>
          </w:p>
          <w:p w14:paraId="1B5E8ACE" w14:textId="77777777" w:rsidR="002F635D" w:rsidRPr="0024114A" w:rsidRDefault="002F635D" w:rsidP="002D6DD7">
            <w:pPr>
              <w:jc w:val="both"/>
              <w:rPr>
                <w:rFonts w:cs="Times New Roman"/>
                <w:szCs w:val="24"/>
              </w:rPr>
            </w:pPr>
            <w:r w:rsidRPr="0024114A">
              <w:rPr>
                <w:rFonts w:cs="Times New Roman"/>
                <w:b/>
                <w:bCs/>
                <w:szCs w:val="24"/>
              </w:rPr>
              <w:t>Neonate</w:t>
            </w:r>
            <w:r w:rsidRPr="0024114A">
              <w:rPr>
                <w:rFonts w:cs="Times New Roman"/>
                <w:szCs w:val="24"/>
              </w:rPr>
              <w:t>: 200 mg/kg daily over 24 hours, adjusted to response</w:t>
            </w:r>
          </w:p>
          <w:p w14:paraId="14FFD1C3" w14:textId="77777777" w:rsidR="002F635D" w:rsidRPr="0024114A" w:rsidRDefault="002F635D" w:rsidP="002D6DD7">
            <w:pPr>
              <w:jc w:val="both"/>
              <w:rPr>
                <w:rFonts w:cs="Times New Roman"/>
                <w:szCs w:val="24"/>
              </w:rPr>
            </w:pPr>
            <w:r w:rsidRPr="0024114A">
              <w:rPr>
                <w:rFonts w:cs="Times New Roman"/>
                <w:b/>
                <w:bCs/>
                <w:szCs w:val="24"/>
              </w:rPr>
              <w:t>Infant or child under 2 years</w:t>
            </w:r>
            <w:r w:rsidRPr="0024114A">
              <w:rPr>
                <w:rFonts w:cs="Times New Roman"/>
                <w:szCs w:val="24"/>
              </w:rPr>
              <w:t>: 500 mg/kg daily (usual maximum 4 g) over 24 hours</w:t>
            </w:r>
          </w:p>
          <w:p w14:paraId="351EDFE9" w14:textId="77777777" w:rsidR="002F635D" w:rsidRPr="0024114A" w:rsidRDefault="002F635D" w:rsidP="002D6DD7">
            <w:pPr>
              <w:jc w:val="both"/>
              <w:rPr>
                <w:rFonts w:cs="Times New Roman"/>
                <w:szCs w:val="24"/>
              </w:rPr>
            </w:pPr>
            <w:r w:rsidRPr="0024114A">
              <w:rPr>
                <w:rFonts w:cs="Times New Roman"/>
                <w:b/>
                <w:bCs/>
                <w:szCs w:val="24"/>
              </w:rPr>
              <w:t>Child over 2 years</w:t>
            </w:r>
            <w:r w:rsidRPr="0024114A">
              <w:rPr>
                <w:rFonts w:cs="Times New Roman"/>
                <w:szCs w:val="24"/>
              </w:rPr>
              <w:t>: 4 g over 24 hours</w:t>
            </w:r>
          </w:p>
        </w:tc>
      </w:tr>
      <w:tr w:rsidR="002F635D" w:rsidRPr="0024114A" w14:paraId="19E0393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22160D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Pr>
          <w:p w14:paraId="058D541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Hypersensitivity to the drug,</w:t>
            </w:r>
            <w:r w:rsidR="006E5ECA">
              <w:rPr>
                <w:rFonts w:cs="Times New Roman"/>
                <w:color w:val="000000" w:themeColor="text1"/>
                <w:szCs w:val="24"/>
              </w:rPr>
              <w:t xml:space="preserve"> </w:t>
            </w:r>
            <w:r w:rsidRPr="0024114A">
              <w:rPr>
                <w:rFonts w:cs="Times New Roman"/>
                <w:color w:val="000000" w:themeColor="text1"/>
                <w:szCs w:val="24"/>
              </w:rPr>
              <w:t>digitalis toxicity, primary or secondary hypercalcemia, hypercalciuria, calcium renal calculi, sarcoidosis, IM/SC administration.</w:t>
            </w:r>
          </w:p>
        </w:tc>
      </w:tr>
      <w:tr w:rsidR="002F635D" w:rsidRPr="0024114A" w14:paraId="335898D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A00EA8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2031D8D8"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Cardiac glycosides, tetracyclines, vitamin D, verapamil, phenytoin, calcium acetate, bisphosphonates, ceftriaxone, dolutegravir, multivitamins with flouride, phosphate supplements, quinolones, thyroid drugs</w:t>
            </w:r>
          </w:p>
        </w:tc>
      </w:tr>
      <w:tr w:rsidR="002F635D" w:rsidRPr="0024114A" w14:paraId="1D7555A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8ECE0D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627AD61F" w14:textId="77777777" w:rsidR="002F635D" w:rsidRPr="0024114A" w:rsidRDefault="002F635D" w:rsidP="002D6DD7">
            <w:pPr>
              <w:autoSpaceDE w:val="0"/>
              <w:autoSpaceDN w:val="0"/>
              <w:adjustRightInd w:val="0"/>
              <w:jc w:val="both"/>
              <w:rPr>
                <w:rFonts w:cs="Times New Roman"/>
                <w:szCs w:val="24"/>
              </w:rPr>
            </w:pPr>
            <w:r w:rsidRPr="0024114A">
              <w:rPr>
                <w:rFonts w:cs="Times New Roman"/>
                <w:color w:val="231F20"/>
                <w:szCs w:val="24"/>
                <w:lang w:val="en-US" w:eastAsia="zh-CN"/>
              </w:rPr>
              <w:t>Arrhythmias, circulatory collapse, feeling hot, hyperhidrosis, hypotension, vasodilation, vomiting</w:t>
            </w:r>
          </w:p>
        </w:tc>
      </w:tr>
      <w:tr w:rsidR="002F635D" w:rsidRPr="0024114A" w14:paraId="4F687F9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964B5B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679B646C"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Conditions associated with hypercalcaemia and hypercalciuria, digoxin therapy, renal impairment.</w:t>
            </w:r>
          </w:p>
        </w:tc>
      </w:tr>
      <w:tr w:rsidR="002F635D" w:rsidRPr="0024114A" w14:paraId="7703529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6F497F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20765764"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w:t>
            </w:r>
            <w:r w:rsidRPr="0024114A">
              <w:rPr>
                <w:rFonts w:cs="Times New Roman"/>
                <w:color w:val="000000" w:themeColor="text1"/>
                <w:szCs w:val="24"/>
                <w:vertAlign w:val="superscript"/>
              </w:rPr>
              <w:t>0</w:t>
            </w:r>
            <w:r w:rsidRPr="0024114A">
              <w:rPr>
                <w:rFonts w:cs="Times New Roman"/>
                <w:color w:val="000000" w:themeColor="text1"/>
                <w:szCs w:val="24"/>
              </w:rPr>
              <w:t>C</w:t>
            </w:r>
          </w:p>
        </w:tc>
      </w:tr>
      <w:tr w:rsidR="002F635D" w:rsidRPr="0024114A" w14:paraId="57F16365"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5584850F"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Deferoxamine mesylate (Deferoxamine)</w:t>
            </w:r>
          </w:p>
        </w:tc>
      </w:tr>
      <w:tr w:rsidR="002F635D" w:rsidRPr="0024114A" w14:paraId="0C7F4C65" w14:textId="77777777" w:rsidTr="002D6DD7">
        <w:trPr>
          <w:trHeight w:val="46"/>
        </w:trPr>
        <w:tc>
          <w:tcPr>
            <w:tcW w:w="2610" w:type="dxa"/>
            <w:tcBorders>
              <w:top w:val="single" w:sz="4" w:space="0" w:color="auto"/>
              <w:left w:val="single" w:sz="4" w:space="0" w:color="auto"/>
              <w:bottom w:val="single" w:sz="4" w:space="0" w:color="auto"/>
              <w:right w:val="single" w:sz="4" w:space="0" w:color="auto"/>
            </w:tcBorders>
            <w:hideMark/>
          </w:tcPr>
          <w:p w14:paraId="627EF67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3BC19509" w14:textId="77777777" w:rsidR="002F635D" w:rsidRPr="0024114A" w:rsidRDefault="002F635D" w:rsidP="002D6DD7">
            <w:pPr>
              <w:jc w:val="both"/>
              <w:rPr>
                <w:rFonts w:cs="Times New Roman"/>
                <w:szCs w:val="24"/>
              </w:rPr>
            </w:pPr>
            <w:r w:rsidRPr="0024114A">
              <w:rPr>
                <w:rFonts w:cs="Times New Roman"/>
                <w:szCs w:val="24"/>
              </w:rPr>
              <w:t xml:space="preserve">Iron chelating agent, Antidote </w:t>
            </w:r>
          </w:p>
        </w:tc>
      </w:tr>
      <w:tr w:rsidR="002F635D" w:rsidRPr="0024114A" w14:paraId="5DBF7B4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AA2752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1575A81F"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Powder for injections: 500mg in vial</w:t>
            </w:r>
          </w:p>
        </w:tc>
      </w:tr>
      <w:tr w:rsidR="002F635D" w:rsidRPr="0024114A" w14:paraId="55CBAF1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5E8968E"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16E4779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Iron poisoning, aluminium overload in dialysis patients, chronic iron overload</w:t>
            </w:r>
          </w:p>
        </w:tc>
      </w:tr>
      <w:tr w:rsidR="002F635D" w:rsidRPr="0024114A" w14:paraId="6002879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20824A1"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lastRenderedPageBreak/>
              <w:t>Dose and administration</w:t>
            </w:r>
          </w:p>
        </w:tc>
        <w:tc>
          <w:tcPr>
            <w:tcW w:w="6655" w:type="dxa"/>
          </w:tcPr>
          <w:p w14:paraId="0D71D4DC" w14:textId="77777777" w:rsidR="002F635D" w:rsidRPr="0024114A" w:rsidRDefault="002F635D" w:rsidP="002D6DD7">
            <w:pPr>
              <w:pStyle w:val="Default"/>
              <w:spacing w:line="360" w:lineRule="auto"/>
              <w:jc w:val="both"/>
            </w:pPr>
            <w:r w:rsidRPr="0024114A">
              <w:rPr>
                <w:b/>
                <w:bCs/>
              </w:rPr>
              <w:t>Iron poisoning; by continuous intravenous infusion</w:t>
            </w:r>
            <w:r w:rsidRPr="0024114A">
              <w:t>:</w:t>
            </w:r>
          </w:p>
          <w:p w14:paraId="62FFC162" w14:textId="77777777" w:rsidR="002F635D" w:rsidRPr="0024114A" w:rsidRDefault="002F635D" w:rsidP="002D6DD7">
            <w:pPr>
              <w:pStyle w:val="Default"/>
              <w:spacing w:line="360" w:lineRule="auto"/>
              <w:jc w:val="both"/>
            </w:pPr>
            <w:r w:rsidRPr="0024114A">
              <w:rPr>
                <w:b/>
                <w:bCs/>
              </w:rPr>
              <w:t>Adult</w:t>
            </w:r>
            <w:r w:rsidRPr="0024114A">
              <w:t>:</w:t>
            </w:r>
            <w:r w:rsidR="006E5ECA">
              <w:t xml:space="preserve"> </w:t>
            </w:r>
            <w:r w:rsidRPr="0024114A">
              <w:t>Initially up to 15 mg/kg/hour, max. 80 mg/kg in 24 hours, dose to be reduced after 4–6 hours, in severe cases.</w:t>
            </w:r>
          </w:p>
          <w:p w14:paraId="08AAA5B2" w14:textId="77777777" w:rsidR="002F635D" w:rsidRPr="0024114A" w:rsidRDefault="002F635D" w:rsidP="002D6DD7">
            <w:pPr>
              <w:pStyle w:val="Default"/>
              <w:spacing w:line="360" w:lineRule="auto"/>
              <w:jc w:val="both"/>
            </w:pPr>
            <w:r w:rsidRPr="0024114A">
              <w:rPr>
                <w:b/>
                <w:bCs/>
              </w:rPr>
              <w:t>Chronic iron overload</w:t>
            </w:r>
            <w:r w:rsidRPr="0024114A">
              <w:t>, by SC or IV infusion: Lowest effective dose (usually within range of 20–60 mg/kg/day) 4–7 days a week</w:t>
            </w:r>
          </w:p>
          <w:p w14:paraId="15A35005" w14:textId="77777777" w:rsidR="002F635D" w:rsidRPr="0024114A" w:rsidRDefault="002F635D" w:rsidP="002D6DD7">
            <w:pPr>
              <w:pStyle w:val="Default"/>
              <w:spacing w:line="360" w:lineRule="auto"/>
              <w:jc w:val="both"/>
            </w:pPr>
            <w:r w:rsidRPr="0024114A">
              <w:rPr>
                <w:b/>
                <w:bCs/>
              </w:rPr>
              <w:t>Aluminium overload in end-stage renal failure</w:t>
            </w:r>
            <w:r w:rsidRPr="0024114A">
              <w:rPr>
                <w:b/>
              </w:rPr>
              <w:t xml:space="preserve">, </w:t>
            </w:r>
            <w:r w:rsidRPr="0024114A">
              <w:t>by IV infusion: 5 mg/kg, once a week during last hour of dialysis; diagnosis of iron overload, by IM injection, 500 mg</w:t>
            </w:r>
          </w:p>
          <w:p w14:paraId="354185B1" w14:textId="77777777" w:rsidR="002F635D" w:rsidRPr="0024114A" w:rsidRDefault="002F635D" w:rsidP="002D6DD7">
            <w:pPr>
              <w:pStyle w:val="Default"/>
              <w:spacing w:line="360" w:lineRule="auto"/>
              <w:jc w:val="both"/>
            </w:pPr>
            <w:r w:rsidRPr="0024114A">
              <w:rPr>
                <w:b/>
                <w:bCs/>
              </w:rPr>
              <w:t>Diagnosis of aluminium overload</w:t>
            </w:r>
            <w:r w:rsidRPr="0024114A">
              <w:t>, by IV infusion: 5 mg/kg during last hour of dialysis</w:t>
            </w:r>
          </w:p>
          <w:p w14:paraId="2DB2A1C8" w14:textId="77777777" w:rsidR="002F635D" w:rsidRPr="0024114A" w:rsidRDefault="002F635D" w:rsidP="002D6DD7">
            <w:pPr>
              <w:pStyle w:val="Default"/>
              <w:spacing w:line="360" w:lineRule="auto"/>
              <w:jc w:val="both"/>
            </w:pPr>
            <w:r w:rsidRPr="0024114A">
              <w:rPr>
                <w:b/>
                <w:bCs/>
              </w:rPr>
              <w:t xml:space="preserve">Child:  </w:t>
            </w:r>
            <w:r w:rsidRPr="0024114A">
              <w:t>The preferred route of administration is IV.</w:t>
            </w:r>
          </w:p>
          <w:p w14:paraId="38F53E43" w14:textId="77777777" w:rsidR="002F635D" w:rsidRPr="0024114A" w:rsidRDefault="002F635D" w:rsidP="002D6DD7">
            <w:pPr>
              <w:pStyle w:val="Default"/>
              <w:spacing w:line="360" w:lineRule="auto"/>
              <w:jc w:val="both"/>
              <w:rPr>
                <w:b/>
                <w:bCs/>
              </w:rPr>
            </w:pPr>
            <w:r w:rsidRPr="0024114A">
              <w:rPr>
                <w:b/>
                <w:bCs/>
              </w:rPr>
              <w:t>Acute iron poisoning, slow IV infusion:</w:t>
            </w:r>
          </w:p>
          <w:p w14:paraId="33626A8E" w14:textId="77777777" w:rsidR="002F635D" w:rsidRPr="0024114A" w:rsidRDefault="002F635D" w:rsidP="002D6DD7">
            <w:pPr>
              <w:pStyle w:val="Default"/>
              <w:spacing w:line="360" w:lineRule="auto"/>
              <w:jc w:val="both"/>
            </w:pPr>
            <w:r w:rsidRPr="0024114A">
              <w:rPr>
                <w:b/>
                <w:bCs/>
              </w:rPr>
              <w:t xml:space="preserve">Neonate, infant, </w:t>
            </w:r>
            <w:r w:rsidRPr="0024114A">
              <w:t xml:space="preserve">or </w:t>
            </w:r>
            <w:r w:rsidRPr="0024114A">
              <w:rPr>
                <w:b/>
                <w:bCs/>
              </w:rPr>
              <w:t xml:space="preserve">child: </w:t>
            </w:r>
            <w:r w:rsidRPr="0024114A">
              <w:t>Initially 15 mg/kg/hour, reduced after 4–6 hours so that total dose does not exceed 80 mg/kg in 24 hours; maximum dose 6 g/day</w:t>
            </w:r>
          </w:p>
          <w:p w14:paraId="619E97BC" w14:textId="77777777" w:rsidR="002F635D" w:rsidRPr="0024114A" w:rsidRDefault="002F635D" w:rsidP="002D6DD7">
            <w:pPr>
              <w:pStyle w:val="Default"/>
              <w:spacing w:line="360" w:lineRule="auto"/>
              <w:jc w:val="both"/>
            </w:pPr>
            <w:r w:rsidRPr="0024114A">
              <w:rPr>
                <w:b/>
                <w:bCs/>
              </w:rPr>
              <w:t xml:space="preserve">Acute iron poisoning, by IM: </w:t>
            </w:r>
            <w:r w:rsidRPr="0024114A">
              <w:t>50 mg/kg/dose every 6 hours; maximum dose 6 g/day</w:t>
            </w:r>
          </w:p>
          <w:p w14:paraId="1C2FF272" w14:textId="77777777" w:rsidR="002F635D" w:rsidRPr="0024114A" w:rsidRDefault="002F635D" w:rsidP="002D6DD7">
            <w:pPr>
              <w:pStyle w:val="Default"/>
              <w:spacing w:line="360" w:lineRule="auto"/>
              <w:jc w:val="both"/>
            </w:pPr>
            <w:r w:rsidRPr="0024114A">
              <w:rPr>
                <w:b/>
                <w:bCs/>
              </w:rPr>
              <w:t>Chronic iron overload</w:t>
            </w:r>
            <w:r w:rsidRPr="0024114A">
              <w:t>, SC or IV infusion:</w:t>
            </w:r>
          </w:p>
          <w:p w14:paraId="7674CF82" w14:textId="77777777" w:rsidR="002F635D" w:rsidRPr="0024114A" w:rsidRDefault="002F635D" w:rsidP="002D6DD7">
            <w:pPr>
              <w:pStyle w:val="Default"/>
              <w:spacing w:line="360" w:lineRule="auto"/>
              <w:jc w:val="both"/>
            </w:pPr>
            <w:r w:rsidRPr="0024114A">
              <w:rPr>
                <w:b/>
                <w:bCs/>
              </w:rPr>
              <w:t xml:space="preserve">Infant </w:t>
            </w:r>
            <w:r w:rsidRPr="0024114A">
              <w:t xml:space="preserve">or </w:t>
            </w:r>
            <w:r w:rsidRPr="0024114A">
              <w:rPr>
                <w:b/>
                <w:bCs/>
              </w:rPr>
              <w:t xml:space="preserve">child: </w:t>
            </w:r>
            <w:r w:rsidRPr="0024114A">
              <w:t>Initially up to 30 mg/kg over 8–12 hours, on 3–7 days per week; for established iron overload, the dose is usually between 20 and 50 mg/kg daily; the dose should reflect the degree of iron overload; use the lowest effective dose</w:t>
            </w:r>
          </w:p>
          <w:p w14:paraId="7A49B518" w14:textId="77777777" w:rsidR="002F635D" w:rsidRPr="0024114A" w:rsidRDefault="002F635D" w:rsidP="002D6DD7">
            <w:pPr>
              <w:pStyle w:val="Default"/>
              <w:spacing w:line="360" w:lineRule="auto"/>
              <w:jc w:val="both"/>
            </w:pPr>
            <w:r w:rsidRPr="0024114A">
              <w:t>Diagnosis of iron overload, by IM:</w:t>
            </w:r>
          </w:p>
          <w:p w14:paraId="78B5581F" w14:textId="77777777" w:rsidR="002F635D" w:rsidRPr="0024114A" w:rsidRDefault="002F635D" w:rsidP="002D6DD7">
            <w:pPr>
              <w:pStyle w:val="Default"/>
              <w:spacing w:line="360" w:lineRule="auto"/>
              <w:jc w:val="both"/>
            </w:pPr>
            <w:r w:rsidRPr="0024114A">
              <w:rPr>
                <w:b/>
                <w:bCs/>
                <w:lang w:val="en-GB"/>
              </w:rPr>
              <w:t xml:space="preserve">Child: </w:t>
            </w:r>
            <w:r w:rsidRPr="0024114A">
              <w:rPr>
                <w:lang w:val="en-GB"/>
              </w:rPr>
              <w:t>500 mg</w:t>
            </w:r>
          </w:p>
        </w:tc>
      </w:tr>
      <w:tr w:rsidR="002F635D" w:rsidRPr="0024114A" w14:paraId="498F359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C1855B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2C9E221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Severe renal disease or anuria, pregnant women or women who may become pregnant.</w:t>
            </w:r>
          </w:p>
        </w:tc>
      </w:tr>
      <w:tr w:rsidR="002F635D" w:rsidRPr="0024114A" w14:paraId="33932EA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608664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5B49A6DC" w14:textId="77777777" w:rsidR="002F635D" w:rsidRPr="0024114A" w:rsidRDefault="002F635D" w:rsidP="002D6DD7">
            <w:pPr>
              <w:contextualSpacing/>
              <w:jc w:val="both"/>
              <w:rPr>
                <w:rFonts w:cs="Times New Roman"/>
                <w:color w:val="000000" w:themeColor="text1"/>
                <w:szCs w:val="24"/>
              </w:rPr>
            </w:pPr>
            <w:r w:rsidRPr="0024114A">
              <w:rPr>
                <w:rFonts w:cs="Times New Roman"/>
                <w:color w:val="000000" w:themeColor="text1"/>
                <w:szCs w:val="24"/>
              </w:rPr>
              <w:t>Acetylsalicylic acid (aspirin), valproate sodium (valproic acid), ciprofloxacin, vitamin C (ascorbic acid), multivitamins with fluoride.</w:t>
            </w:r>
          </w:p>
        </w:tc>
      </w:tr>
      <w:tr w:rsidR="002F635D" w:rsidRPr="0024114A" w14:paraId="2AE88AC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7253C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2D04C439" w14:textId="77777777" w:rsidR="002F635D" w:rsidRPr="0024114A" w:rsidRDefault="002F635D" w:rsidP="002D6DD7">
            <w:pPr>
              <w:jc w:val="both"/>
              <w:rPr>
                <w:rFonts w:cs="Times New Roman"/>
                <w:szCs w:val="24"/>
              </w:rPr>
            </w:pPr>
            <w:r w:rsidRPr="0024114A">
              <w:rPr>
                <w:rFonts w:cs="Times New Roman"/>
                <w:color w:val="000000" w:themeColor="text1"/>
                <w:szCs w:val="24"/>
              </w:rPr>
              <w:t xml:space="preserve">Injection site reactions including redness, pain, swelling, rashes and itch, hypotension (especially when given too rapidly by IV </w:t>
            </w:r>
            <w:r w:rsidRPr="0024114A">
              <w:rPr>
                <w:rFonts w:cs="Times New Roman"/>
                <w:color w:val="000000" w:themeColor="text1"/>
                <w:szCs w:val="24"/>
              </w:rPr>
              <w:lastRenderedPageBreak/>
              <w:t>injection), fever, arthralgia, myalgia, rash, anaphylactoid reactions, renal failure, non-cardiogenic pulmonary oedema, disturbances of hearing and vision (including lens opacity and retinopathy), anaphylaxis, acute respiratory distress syndrome,</w:t>
            </w:r>
            <w:r w:rsidR="006E5ECA">
              <w:rPr>
                <w:rFonts w:cs="Times New Roman"/>
                <w:color w:val="000000" w:themeColor="text1"/>
                <w:szCs w:val="24"/>
              </w:rPr>
              <w:t xml:space="preserve"> </w:t>
            </w:r>
            <w:r w:rsidRPr="0024114A">
              <w:rPr>
                <w:rFonts w:cs="Times New Roman"/>
                <w:color w:val="000000" w:themeColor="text1"/>
                <w:szCs w:val="24"/>
              </w:rPr>
              <w:t>neurological disturbances</w:t>
            </w:r>
            <w:r w:rsidR="006E5ECA">
              <w:rPr>
                <w:rFonts w:cs="Times New Roman"/>
                <w:color w:val="000000" w:themeColor="text1"/>
                <w:szCs w:val="24"/>
              </w:rPr>
              <w:t>.</w:t>
            </w:r>
          </w:p>
        </w:tc>
      </w:tr>
      <w:tr w:rsidR="002F635D" w:rsidRPr="0024114A" w14:paraId="506FF10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6201C5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 xml:space="preserve">Cautions </w:t>
            </w:r>
          </w:p>
        </w:tc>
        <w:tc>
          <w:tcPr>
            <w:tcW w:w="6655" w:type="dxa"/>
          </w:tcPr>
          <w:p w14:paraId="08EB92EB" w14:textId="77777777" w:rsidR="002F635D" w:rsidRPr="006E5ECA" w:rsidRDefault="002F635D" w:rsidP="002D6DD7">
            <w:pPr>
              <w:jc w:val="both"/>
              <w:rPr>
                <w:rFonts w:cs="Times New Roman"/>
                <w:szCs w:val="24"/>
              </w:rPr>
            </w:pPr>
            <w:r w:rsidRPr="0024114A">
              <w:rPr>
                <w:rFonts w:cs="Times New Roman"/>
                <w:color w:val="000000" w:themeColor="text1"/>
                <w:szCs w:val="24"/>
              </w:rPr>
              <w:t>Impaired renal function, a</w:t>
            </w:r>
            <w:r w:rsidRPr="0024114A">
              <w:rPr>
                <w:rFonts w:cs="Times New Roman"/>
                <w:szCs w:val="24"/>
              </w:rPr>
              <w:t>luminium-related encephalopathy (may exacerbate neurological dysfunction)</w:t>
            </w:r>
            <w:r w:rsidR="006E5ECA">
              <w:rPr>
                <w:rFonts w:cs="Times New Roman"/>
                <w:szCs w:val="24"/>
              </w:rPr>
              <w:t>, p</w:t>
            </w:r>
            <w:r w:rsidRPr="0024114A">
              <w:rPr>
                <w:rFonts w:cs="Times New Roman"/>
                <w:szCs w:val="24"/>
              </w:rPr>
              <w:t>regnancy</w:t>
            </w:r>
            <w:r w:rsidR="006E5ECA">
              <w:rPr>
                <w:rFonts w:cs="Times New Roman"/>
                <w:szCs w:val="24"/>
              </w:rPr>
              <w:t>.</w:t>
            </w:r>
          </w:p>
        </w:tc>
      </w:tr>
      <w:tr w:rsidR="002F635D" w:rsidRPr="0024114A" w14:paraId="324D91A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17E611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185FE7D5"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Store at 20°C to </w:t>
            </w:r>
            <w:r w:rsidR="006E5ECA">
              <w:rPr>
                <w:rFonts w:cs="Times New Roman"/>
                <w:color w:val="000000" w:themeColor="text1"/>
                <w:szCs w:val="24"/>
              </w:rPr>
              <w:t>30</w:t>
            </w:r>
            <w:r w:rsidRPr="0024114A">
              <w:rPr>
                <w:rFonts w:cs="Times New Roman"/>
                <w:color w:val="000000" w:themeColor="text1"/>
                <w:szCs w:val="24"/>
              </w:rPr>
              <w:t>°C, excursions permitted between 15°C and 30°C.</w:t>
            </w:r>
          </w:p>
        </w:tc>
      </w:tr>
      <w:tr w:rsidR="002F635D" w:rsidRPr="0024114A" w14:paraId="017C7D75"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64D95AC7"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Digoxin Immune Fab (Ovine)/ Digoxin-specific, Antibody fragments</w:t>
            </w:r>
          </w:p>
        </w:tc>
      </w:tr>
      <w:tr w:rsidR="002F635D" w:rsidRPr="0024114A" w14:paraId="17C6A28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FE599F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465075D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Digoxin-specific antibody, Antidotes</w:t>
            </w:r>
          </w:p>
        </w:tc>
      </w:tr>
      <w:tr w:rsidR="002F635D" w:rsidRPr="0024114A" w14:paraId="581E7C4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A55BAC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05EC5FA9"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Powder for injection: 40mg</w:t>
            </w:r>
          </w:p>
        </w:tc>
      </w:tr>
      <w:tr w:rsidR="002F635D" w:rsidRPr="0024114A" w14:paraId="2C54704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493B918"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523091C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Treatment of known or strongly suspected life-threatening digoxin toxicity associated with ventricular arrhythmias or bradyarrhythmia unresponsive to atropine </w:t>
            </w:r>
          </w:p>
        </w:tc>
      </w:tr>
      <w:tr w:rsidR="002F635D" w:rsidRPr="0024114A" w14:paraId="536C3F4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E6350F8"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03260E64" w14:textId="77777777" w:rsidR="002F635D" w:rsidRPr="0024114A" w:rsidRDefault="002F635D" w:rsidP="002D6DD7">
            <w:pPr>
              <w:contextualSpacing/>
              <w:jc w:val="both"/>
              <w:rPr>
                <w:rFonts w:cs="Times New Roman"/>
                <w:bCs/>
                <w:color w:val="000000" w:themeColor="text1"/>
                <w:szCs w:val="24"/>
              </w:rPr>
            </w:pPr>
            <w:r w:rsidRPr="0024114A">
              <w:rPr>
                <w:rFonts w:cs="Times New Roman"/>
                <w:b/>
                <w:color w:val="000000" w:themeColor="text1"/>
                <w:szCs w:val="24"/>
              </w:rPr>
              <w:t>Acute ingestion of unknown quantity</w:t>
            </w:r>
            <w:r w:rsidR="006E5ECA">
              <w:rPr>
                <w:rFonts w:cs="Times New Roman"/>
                <w:color w:val="000000" w:themeColor="text1"/>
                <w:szCs w:val="24"/>
              </w:rPr>
              <w:t>, b</w:t>
            </w:r>
            <w:r w:rsidRPr="0024114A">
              <w:rPr>
                <w:rFonts w:cs="Times New Roman"/>
                <w:bCs/>
                <w:color w:val="000000" w:themeColor="text1"/>
                <w:szCs w:val="24"/>
              </w:rPr>
              <w:t>y IV infusion:</w:t>
            </w:r>
          </w:p>
          <w:p w14:paraId="6602D310" w14:textId="77777777" w:rsidR="002F635D" w:rsidRPr="0024114A" w:rsidRDefault="002F635D" w:rsidP="002D6DD7">
            <w:pPr>
              <w:contextualSpacing/>
              <w:jc w:val="both"/>
              <w:rPr>
                <w:rFonts w:cs="Times New Roman"/>
                <w:b/>
                <w:color w:val="000000" w:themeColor="text1"/>
                <w:szCs w:val="24"/>
              </w:rPr>
            </w:pPr>
            <w:r w:rsidRPr="0024114A">
              <w:rPr>
                <w:rFonts w:cs="Times New Roman"/>
                <w:color w:val="000000" w:themeColor="text1"/>
                <w:szCs w:val="24"/>
              </w:rPr>
              <w:t>Administer 20 vials</w:t>
            </w:r>
            <w:r w:rsidRPr="0024114A">
              <w:rPr>
                <w:rFonts w:cs="Times New Roman"/>
                <w:bCs/>
                <w:color w:val="000000" w:themeColor="text1"/>
                <w:szCs w:val="24"/>
              </w:rPr>
              <w:t>or consult product literature</w:t>
            </w:r>
            <w:r w:rsidRPr="0024114A">
              <w:rPr>
                <w:rFonts w:cs="Times New Roman"/>
                <w:color w:val="000000" w:themeColor="text1"/>
                <w:szCs w:val="24"/>
              </w:rPr>
              <w:t>.</w:t>
            </w:r>
          </w:p>
          <w:p w14:paraId="15680A9F" w14:textId="77777777" w:rsidR="002F635D" w:rsidRPr="0024114A" w:rsidRDefault="002F635D" w:rsidP="002D6DD7">
            <w:pPr>
              <w:contextualSpacing/>
              <w:jc w:val="both"/>
              <w:rPr>
                <w:rFonts w:cs="Times New Roman"/>
                <w:bCs/>
                <w:i/>
                <w:szCs w:val="24"/>
              </w:rPr>
            </w:pPr>
            <w:r w:rsidRPr="0024114A">
              <w:rPr>
                <w:rFonts w:cs="Times New Roman"/>
                <w:i/>
                <w:color w:val="000000" w:themeColor="text1"/>
                <w:szCs w:val="24"/>
              </w:rPr>
              <w:t>Note</w:t>
            </w:r>
            <w:r w:rsidRPr="0024114A">
              <w:rPr>
                <w:rFonts w:cs="Times New Roman"/>
                <w:b/>
                <w:i/>
                <w:color w:val="000000" w:themeColor="text1"/>
                <w:szCs w:val="24"/>
              </w:rPr>
              <w:t xml:space="preserve">: </w:t>
            </w:r>
            <w:r w:rsidRPr="0024114A">
              <w:rPr>
                <w:rFonts w:cs="Times New Roman"/>
                <w:i/>
                <w:color w:val="000000" w:themeColor="text1"/>
                <w:szCs w:val="24"/>
              </w:rPr>
              <w:t xml:space="preserve">Each </w:t>
            </w:r>
            <w:r w:rsidR="006E5ECA" w:rsidRPr="0024114A">
              <w:rPr>
                <w:rFonts w:cs="Times New Roman"/>
                <w:i/>
                <w:color w:val="000000" w:themeColor="text1"/>
                <w:szCs w:val="24"/>
              </w:rPr>
              <w:t>vial</w:t>
            </w:r>
            <w:r w:rsidRPr="0024114A">
              <w:rPr>
                <w:rFonts w:cs="Times New Roman"/>
                <w:i/>
                <w:color w:val="000000" w:themeColor="text1"/>
                <w:szCs w:val="24"/>
              </w:rPr>
              <w:t xml:space="preserve"> of digi fab (40mg) binds 0.5mg digoxin.</w:t>
            </w:r>
          </w:p>
        </w:tc>
      </w:tr>
      <w:tr w:rsidR="002F635D" w:rsidRPr="0024114A" w14:paraId="1A6CCD7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AC3F4C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4A93929F"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Hypersensitivity to the drug or any of the excipients.</w:t>
            </w:r>
          </w:p>
        </w:tc>
      </w:tr>
      <w:tr w:rsidR="002F635D" w:rsidRPr="0024114A" w14:paraId="18B69CD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B13BAD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1EF42EDD" w14:textId="77777777" w:rsidR="002F635D" w:rsidRPr="0024114A" w:rsidRDefault="002F635D" w:rsidP="002D6DD7">
            <w:pPr>
              <w:contextualSpacing/>
              <w:jc w:val="both"/>
              <w:rPr>
                <w:rFonts w:cs="Times New Roman"/>
                <w:color w:val="ED7D31" w:themeColor="accent2"/>
                <w:szCs w:val="24"/>
              </w:rPr>
            </w:pPr>
            <w:r w:rsidRPr="0024114A">
              <w:rPr>
                <w:rFonts w:cs="Times New Roman"/>
                <w:color w:val="000000" w:themeColor="text1"/>
                <w:szCs w:val="24"/>
              </w:rPr>
              <w:t>Amiodarone, arsenic trioxide, calcium channel blockers, beta blockers, cholesterol medications</w:t>
            </w:r>
          </w:p>
        </w:tc>
      </w:tr>
      <w:tr w:rsidR="002F635D" w:rsidRPr="0024114A" w14:paraId="144B436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AAD12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2427574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Hypokalaemia, hyperkalaemia, headache, confusional state, nausea, vomiting, diarrhoea, constipation, abdominal distension, fatigue, infusion site phlebitis, renal failure, influenza-like illness.</w:t>
            </w:r>
          </w:p>
        </w:tc>
      </w:tr>
      <w:tr w:rsidR="002F635D" w:rsidRPr="0024114A" w14:paraId="6A0AA5B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665009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0BD4493F"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Renal or cardiac failure, pregnancy, breast feeding.</w:t>
            </w:r>
          </w:p>
        </w:tc>
      </w:tr>
      <w:tr w:rsidR="002F635D" w:rsidRPr="0024114A" w14:paraId="0EBED87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5834CC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0925EB41"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between 2 and 8°C.  Do not freeze. Protect from light.</w:t>
            </w:r>
          </w:p>
        </w:tc>
      </w:tr>
      <w:tr w:rsidR="002F635D" w:rsidRPr="0024114A" w14:paraId="3C3E3DB0"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4A83C58B"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Flumazenil</w:t>
            </w:r>
          </w:p>
        </w:tc>
      </w:tr>
      <w:tr w:rsidR="002F635D" w:rsidRPr="0024114A" w14:paraId="1832C3D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AD15AC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C93ABC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Benzodiazepine antagonist, Antidote </w:t>
            </w:r>
          </w:p>
        </w:tc>
      </w:tr>
      <w:tr w:rsidR="002F635D" w:rsidRPr="0024114A" w14:paraId="7D42943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E8F1BC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0329FFAF"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Injection: 0.1 mg/ml in 5 ml ampoule </w:t>
            </w:r>
          </w:p>
        </w:tc>
      </w:tr>
      <w:tr w:rsidR="002F635D" w:rsidRPr="0024114A" w14:paraId="5BE2177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E3E0D27"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2D8B810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Diagnosisand/or management of benzodiazepine overdose, </w:t>
            </w:r>
            <w:r w:rsidRPr="0024114A">
              <w:rPr>
                <w:rFonts w:cs="Times New Roman"/>
                <w:color w:val="000000" w:themeColor="text1"/>
                <w:szCs w:val="24"/>
              </w:rPr>
              <w:lastRenderedPageBreak/>
              <w:t>reversal of sedation following anaesthesia with benzodiazepine</w:t>
            </w:r>
          </w:p>
        </w:tc>
      </w:tr>
      <w:tr w:rsidR="002F635D" w:rsidRPr="0024114A" w14:paraId="4BF4967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BAA872C"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lastRenderedPageBreak/>
              <w:t>Dose and administration</w:t>
            </w:r>
          </w:p>
        </w:tc>
        <w:tc>
          <w:tcPr>
            <w:tcW w:w="6655" w:type="dxa"/>
          </w:tcPr>
          <w:p w14:paraId="28106825"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Reversal of sedative effects of benzodiazepines in anaesthesia and clinical procedures</w:t>
            </w:r>
            <w:r w:rsidRPr="0024114A">
              <w:rPr>
                <w:rFonts w:cs="Times New Roman"/>
                <w:color w:val="000000" w:themeColor="text1"/>
                <w:szCs w:val="24"/>
              </w:rPr>
              <w:t>;</w:t>
            </w:r>
            <w:r w:rsidRPr="0024114A">
              <w:rPr>
                <w:rFonts w:cs="Times New Roman"/>
                <w:b/>
                <w:bCs/>
                <w:color w:val="000000" w:themeColor="text1"/>
                <w:szCs w:val="24"/>
              </w:rPr>
              <w:t xml:space="preserve"> by intravenous injection</w:t>
            </w:r>
            <w:r w:rsidRPr="0024114A">
              <w:rPr>
                <w:rFonts w:cs="Times New Roman"/>
                <w:color w:val="000000" w:themeColor="text1"/>
                <w:szCs w:val="24"/>
              </w:rPr>
              <w:t>:</w:t>
            </w:r>
          </w:p>
          <w:p w14:paraId="18782005"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p>
          <w:p w14:paraId="53712BB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200 mcg, dose to be administered over 15 seconds, then 100 mcg every 1 minute if required; usual dose 300–600 mcg; maximum 1 mg per course.</w:t>
            </w:r>
          </w:p>
          <w:p w14:paraId="37A70BC2"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Reversal of sedative effects of benzodiazepines in intensive care</w:t>
            </w:r>
            <w:r w:rsidRPr="0024114A">
              <w:rPr>
                <w:rFonts w:cs="Times New Roman"/>
                <w:color w:val="000000" w:themeColor="text1"/>
                <w:szCs w:val="24"/>
              </w:rPr>
              <w:t>: 300 mcg, dose to be administered over 15 seconds, then 100 mcg every 1 minute if required; maximum 2 mg per course.</w:t>
            </w:r>
          </w:p>
          <w:p w14:paraId="1E7AEA1E"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 xml:space="preserve">Reversal of sedative effects of benzodiazepines in intensive care (if drowsiness recurs after injection): </w:t>
            </w:r>
            <w:r w:rsidRPr="0024114A">
              <w:rPr>
                <w:rFonts w:cs="Times New Roman"/>
                <w:color w:val="000000" w:themeColor="text1"/>
                <w:szCs w:val="24"/>
              </w:rPr>
              <w:t>100–400 mcg/hour, adjusted according to response, alternatively (by intravenous injection) 300 mcg, adjusted according to response.</w:t>
            </w:r>
          </w:p>
          <w:p w14:paraId="6C74562A" w14:textId="77777777" w:rsidR="002F635D" w:rsidRPr="006E5ECA" w:rsidRDefault="002F635D" w:rsidP="002D6DD7">
            <w:pPr>
              <w:jc w:val="both"/>
              <w:rPr>
                <w:rFonts w:cs="Times New Roman"/>
                <w:bCs/>
                <w:color w:val="000000" w:themeColor="text1"/>
                <w:szCs w:val="24"/>
              </w:rPr>
            </w:pPr>
            <w:r w:rsidRPr="0024114A">
              <w:rPr>
                <w:rFonts w:cs="Times New Roman"/>
                <w:b/>
                <w:bCs/>
                <w:color w:val="000000" w:themeColor="text1"/>
                <w:szCs w:val="24"/>
              </w:rPr>
              <w:t>Paediatric,</w:t>
            </w:r>
            <w:r w:rsidR="006E5ECA">
              <w:rPr>
                <w:rFonts w:cs="Times New Roman"/>
                <w:b/>
                <w:bCs/>
                <w:color w:val="000000" w:themeColor="text1"/>
                <w:szCs w:val="24"/>
              </w:rPr>
              <w:t xml:space="preserve"> </w:t>
            </w:r>
            <w:r w:rsidRPr="006E5ECA">
              <w:rPr>
                <w:rFonts w:cs="Times New Roman"/>
                <w:bCs/>
                <w:color w:val="000000" w:themeColor="text1"/>
                <w:szCs w:val="24"/>
              </w:rPr>
              <w:t>by intravenous injection:</w:t>
            </w:r>
          </w:p>
          <w:p w14:paraId="461A7E39"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Reversal of sedative effects of benzodiazepines</w:t>
            </w:r>
            <w:r w:rsidRPr="0024114A">
              <w:rPr>
                <w:rFonts w:cs="Times New Roman"/>
                <w:color w:val="000000" w:themeColor="text1"/>
                <w:szCs w:val="24"/>
              </w:rPr>
              <w:t>:</w:t>
            </w:r>
          </w:p>
          <w:p w14:paraId="01691904"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Neonate</w:t>
            </w:r>
            <w:r w:rsidRPr="0024114A">
              <w:rPr>
                <w:rFonts w:cs="Times New Roman"/>
                <w:color w:val="000000" w:themeColor="text1"/>
                <w:szCs w:val="24"/>
              </w:rPr>
              <w:t>: 10 mcg/kg every 1 minute, dose to be administered over 15 seconds.</w:t>
            </w:r>
          </w:p>
          <w:p w14:paraId="37F16CCB"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xml:space="preserve">: 10 mcg/kg every 1 minute (max. per dose 200 mcg); dose to be administered over 15 seconds, maximum 1 mg per course, maximum 50 mcg/kg per course. </w:t>
            </w:r>
          </w:p>
          <w:p w14:paraId="43E78662"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Reversal of sedative effects of benzodiazepines</w:t>
            </w:r>
            <w:r w:rsidRPr="0024114A">
              <w:rPr>
                <w:rFonts w:cs="Times New Roman"/>
                <w:color w:val="000000" w:themeColor="text1"/>
                <w:szCs w:val="24"/>
              </w:rPr>
              <w:t xml:space="preserve"> (if drowsiness recurs after injection):</w:t>
            </w:r>
          </w:p>
          <w:p w14:paraId="241B2C5A"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Neonate</w:t>
            </w:r>
            <w:r w:rsidRPr="0024114A">
              <w:rPr>
                <w:rFonts w:cs="Times New Roman"/>
                <w:color w:val="000000" w:themeColor="text1"/>
                <w:szCs w:val="24"/>
              </w:rPr>
              <w:t>: 2–10 mcg /kg/hour, adjusted according to response</w:t>
            </w:r>
          </w:p>
          <w:p w14:paraId="41814EDD"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2–10 mcg /kg/hour (max. per dose 400 mcg /hour), adjusted according to response</w:t>
            </w:r>
          </w:p>
          <w:p w14:paraId="18BB49C8"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Reversal of sedative effects of benzodiazepines in intensive care</w:t>
            </w:r>
            <w:r w:rsidRPr="0024114A">
              <w:rPr>
                <w:rFonts w:cs="Times New Roman"/>
                <w:color w:val="000000" w:themeColor="text1"/>
                <w:szCs w:val="24"/>
              </w:rPr>
              <w:t>:</w:t>
            </w:r>
          </w:p>
          <w:p w14:paraId="640A3ACC"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10 mcg/kg every 1 minute (max. per dose 200 mcg), dose to be administered over 15 seconds, maximum 2 mg per course, maximum 50mcg/kg per course.</w:t>
            </w:r>
          </w:p>
          <w:p w14:paraId="777E8656" w14:textId="77777777" w:rsidR="002F635D" w:rsidRPr="0024114A" w:rsidRDefault="002F635D" w:rsidP="002D6DD7">
            <w:pPr>
              <w:pStyle w:val="Default"/>
              <w:spacing w:line="360" w:lineRule="auto"/>
              <w:jc w:val="both"/>
            </w:pPr>
            <w:r w:rsidRPr="0024114A">
              <w:rPr>
                <w:color w:val="000000" w:themeColor="text1"/>
              </w:rPr>
              <w:lastRenderedPageBreak/>
              <w:t>Notes: For continuous IV infusion, dilute with glucose 5% or sodium chloride 0.9%.</w:t>
            </w:r>
          </w:p>
        </w:tc>
      </w:tr>
      <w:tr w:rsidR="002F635D" w:rsidRPr="0024114A" w14:paraId="5610F43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3D2B9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Pr>
          <w:p w14:paraId="22BD5FCD"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Patients given benzodiazepines for the management of raised intracranial pressure, status epilepticus</w:t>
            </w:r>
          </w:p>
        </w:tc>
      </w:tr>
      <w:tr w:rsidR="002F635D" w:rsidRPr="0024114A" w14:paraId="1B8DBAD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374F46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18D0C120" w14:textId="77777777" w:rsidR="002F635D" w:rsidRPr="0024114A" w:rsidRDefault="002F635D" w:rsidP="002D6DD7">
            <w:pPr>
              <w:jc w:val="both"/>
              <w:rPr>
                <w:rFonts w:cs="Times New Roman"/>
                <w:color w:val="ED7D31" w:themeColor="accent2"/>
                <w:szCs w:val="24"/>
              </w:rPr>
            </w:pPr>
            <w:r w:rsidRPr="0024114A">
              <w:rPr>
                <w:rFonts w:cs="Times New Roman"/>
                <w:szCs w:val="24"/>
              </w:rPr>
              <w:t>Zolpidem, tricyclic antidepressants.</w:t>
            </w:r>
          </w:p>
        </w:tc>
      </w:tr>
      <w:tr w:rsidR="002F635D" w:rsidRPr="0024114A" w14:paraId="2B8C0B3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744EE1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1A6EE676" w14:textId="77777777" w:rsidR="002F635D" w:rsidRPr="0024114A" w:rsidRDefault="002F635D" w:rsidP="002D6DD7">
            <w:pPr>
              <w:jc w:val="both"/>
              <w:rPr>
                <w:rFonts w:cs="Times New Roman"/>
                <w:szCs w:val="24"/>
              </w:rPr>
            </w:pPr>
            <w:r w:rsidRPr="0024114A">
              <w:rPr>
                <w:rFonts w:cs="Times New Roman"/>
                <w:color w:val="000000" w:themeColor="text1"/>
                <w:szCs w:val="24"/>
              </w:rPr>
              <w:t>Seizure, anxiety, diplopia, dry</w:t>
            </w:r>
            <w:r w:rsidR="00FB4F74">
              <w:rPr>
                <w:rFonts w:cs="Times New Roman"/>
                <w:color w:val="000000" w:themeColor="text1"/>
                <w:szCs w:val="24"/>
              </w:rPr>
              <w:t xml:space="preserve"> mouth</w:t>
            </w:r>
            <w:r w:rsidRPr="0024114A">
              <w:rPr>
                <w:rFonts w:cs="Times New Roman"/>
                <w:color w:val="000000" w:themeColor="text1"/>
                <w:szCs w:val="24"/>
              </w:rPr>
              <w:t>, eye disorders, flushing, headache, hiccups, hyperhidrosis, hyperventilation, hypotension, insomnia, nausea, palpitations, paraesthesia, speech disorder, tremor, vertigo, vomiting</w:t>
            </w:r>
          </w:p>
        </w:tc>
      </w:tr>
      <w:tr w:rsidR="002F635D" w:rsidRPr="0024114A" w14:paraId="5C3A261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698233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058BB8B8"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Rapid injection following major surgery or in high-risk or anxious patients, benzodiazepine dependence, elderly, head injury, history of panic disorders, hypersensitivity to benzodiazepines, hepatic impairment, risk of respiratory failure,</w:t>
            </w:r>
            <w:r w:rsidR="00FB4F74">
              <w:rPr>
                <w:rFonts w:cs="Times New Roman"/>
                <w:color w:val="000000" w:themeColor="text1"/>
                <w:szCs w:val="24"/>
              </w:rPr>
              <w:t xml:space="preserve"> </w:t>
            </w:r>
            <w:r w:rsidRPr="0024114A">
              <w:rPr>
                <w:rFonts w:cs="Times New Roman"/>
                <w:color w:val="000000" w:themeColor="text1"/>
                <w:szCs w:val="24"/>
              </w:rPr>
              <w:t>breast-feeding</w:t>
            </w:r>
          </w:p>
        </w:tc>
      </w:tr>
      <w:tr w:rsidR="002F635D" w:rsidRPr="0024114A" w14:paraId="3796784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DD4F40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2DA1E9E3"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Stored between 15 to 30°C</w:t>
            </w:r>
          </w:p>
        </w:tc>
      </w:tr>
      <w:tr w:rsidR="002F635D" w:rsidRPr="0024114A" w14:paraId="44B56D30"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22918C05"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Lipid Emulsion</w:t>
            </w:r>
          </w:p>
        </w:tc>
      </w:tr>
      <w:tr w:rsidR="002F635D" w:rsidRPr="0024114A" w14:paraId="566C60F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F2AAE5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236E382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Antidote </w:t>
            </w:r>
          </w:p>
        </w:tc>
      </w:tr>
      <w:tr w:rsidR="002F635D" w:rsidRPr="0024114A" w14:paraId="7D43343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6D0E42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66CDB91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20% (200 to 500ml)</w:t>
            </w:r>
          </w:p>
        </w:tc>
      </w:tr>
      <w:tr w:rsidR="002F635D" w:rsidRPr="0024114A" w14:paraId="58CA25D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63657E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3DD6140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Local anaesthetic, systemic toxicity</w:t>
            </w:r>
          </w:p>
        </w:tc>
      </w:tr>
      <w:tr w:rsidR="002F635D" w:rsidRPr="0024114A" w14:paraId="02F230B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E1B24F0"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5264F7FC" w14:textId="77777777" w:rsidR="00FB4F74" w:rsidRDefault="002F635D" w:rsidP="002D6DD7">
            <w:pPr>
              <w:jc w:val="both"/>
              <w:rPr>
                <w:rFonts w:cs="Times New Roman"/>
                <w:color w:val="000000" w:themeColor="text1"/>
                <w:szCs w:val="24"/>
              </w:rPr>
            </w:pPr>
            <w:r w:rsidRPr="00FB4F74">
              <w:rPr>
                <w:rFonts w:cs="Times New Roman"/>
                <w:bCs/>
                <w:color w:val="000000" w:themeColor="text1"/>
                <w:szCs w:val="24"/>
              </w:rPr>
              <w:t>By IV route</w:t>
            </w:r>
            <w:r w:rsidRPr="0024114A">
              <w:rPr>
                <w:rFonts w:cs="Times New Roman"/>
                <w:color w:val="000000" w:themeColor="text1"/>
                <w:szCs w:val="24"/>
              </w:rPr>
              <w:t xml:space="preserve">: </w:t>
            </w:r>
          </w:p>
          <w:p w14:paraId="068A4E80" w14:textId="77777777" w:rsidR="002F635D" w:rsidRPr="00FB4F74" w:rsidRDefault="002F635D" w:rsidP="002D6DD7">
            <w:pPr>
              <w:jc w:val="both"/>
              <w:rPr>
                <w:rFonts w:cs="Times New Roman"/>
                <w:color w:val="000000" w:themeColor="text1"/>
                <w:szCs w:val="24"/>
              </w:rPr>
            </w:pPr>
            <w:r w:rsidRPr="0024114A">
              <w:rPr>
                <w:rFonts w:cs="Times New Roman"/>
                <w:b/>
                <w:bCs/>
                <w:color w:val="000000" w:themeColor="text1"/>
                <w:szCs w:val="24"/>
              </w:rPr>
              <w:t xml:space="preserve">Adult: </w:t>
            </w:r>
            <w:r w:rsidRPr="0024114A">
              <w:rPr>
                <w:rFonts w:cs="Times New Roman"/>
                <w:color w:val="000000" w:themeColor="text1"/>
                <w:szCs w:val="24"/>
              </w:rPr>
              <w:t>initial bolus dose of 1.5 ml/kg over 1 minute, followed by an infusion of 15 ml/kg/hour. After 5 minutes, if cardiovascular stability has not been restored or circulation deteriorates, give a maximum of two further bolus doses of 1.5 ml/kg over 1 minute, 5 minutes apart, and increase the infusion rate to 30 ml/kg/hour. Continue infusion until cardiovascular stability and adequate circulation are restored or maximum cumulative dose of 12 ml/kg is given.</w:t>
            </w:r>
          </w:p>
        </w:tc>
      </w:tr>
      <w:tr w:rsidR="002F635D" w:rsidRPr="0024114A" w14:paraId="3BC756D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043700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562DF2C5" w14:textId="77777777" w:rsidR="002F635D" w:rsidRPr="0024114A" w:rsidRDefault="002F635D" w:rsidP="002D6DD7">
            <w:pPr>
              <w:jc w:val="both"/>
              <w:rPr>
                <w:rFonts w:cs="Times New Roman"/>
                <w:color w:val="ED7D31" w:themeColor="accent2"/>
                <w:szCs w:val="24"/>
              </w:rPr>
            </w:pPr>
            <w:r w:rsidRPr="0024114A">
              <w:rPr>
                <w:rFonts w:cs="Times New Roman"/>
                <w:color w:val="161616"/>
                <w:szCs w:val="24"/>
                <w:shd w:val="clear" w:color="auto" w:fill="FFFFFF"/>
              </w:rPr>
              <w:t>Hypersensitivity to the</w:t>
            </w:r>
            <w:r w:rsidRPr="0024114A">
              <w:rPr>
                <w:rFonts w:cs="Times New Roman"/>
                <w:color w:val="000000" w:themeColor="text1"/>
                <w:szCs w:val="24"/>
              </w:rPr>
              <w:t xml:space="preserve"> drug, severe liver damage, acute shock</w:t>
            </w:r>
          </w:p>
        </w:tc>
      </w:tr>
      <w:tr w:rsidR="002F635D" w:rsidRPr="0024114A" w14:paraId="617EFEE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95A754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4E5301F5" w14:textId="77777777" w:rsidR="002F635D" w:rsidRPr="0024114A" w:rsidRDefault="002F635D" w:rsidP="002D6DD7">
            <w:pPr>
              <w:contextualSpacing/>
              <w:jc w:val="both"/>
              <w:rPr>
                <w:rFonts w:cs="Times New Roman"/>
                <w:color w:val="ED7D31" w:themeColor="accent2"/>
                <w:szCs w:val="24"/>
              </w:rPr>
            </w:pPr>
            <w:r w:rsidRPr="0024114A">
              <w:rPr>
                <w:rFonts w:cs="Times New Roman"/>
                <w:color w:val="000000" w:themeColor="text1"/>
                <w:szCs w:val="24"/>
              </w:rPr>
              <w:t>Heparin, soya-bean oil, coumarin derivatives</w:t>
            </w:r>
          </w:p>
        </w:tc>
      </w:tr>
      <w:tr w:rsidR="002F635D" w:rsidRPr="0024114A" w14:paraId="00780F0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006ABA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7AF41289" w14:textId="77777777" w:rsidR="002F635D" w:rsidRPr="0024114A" w:rsidRDefault="002F635D" w:rsidP="002D6DD7">
            <w:pPr>
              <w:jc w:val="both"/>
              <w:rPr>
                <w:rFonts w:cs="Times New Roman"/>
                <w:szCs w:val="24"/>
              </w:rPr>
            </w:pPr>
            <w:r w:rsidRPr="0024114A">
              <w:rPr>
                <w:rFonts w:cs="Times New Roman"/>
                <w:color w:val="000000" w:themeColor="text1"/>
                <w:szCs w:val="24"/>
              </w:rPr>
              <w:t xml:space="preserve">Cholestasis, increase in blood bilirubin, cytolytic hepatitis, </w:t>
            </w:r>
            <w:r w:rsidRPr="0024114A">
              <w:rPr>
                <w:rFonts w:cs="Times New Roman"/>
                <w:color w:val="000000" w:themeColor="text1"/>
                <w:szCs w:val="24"/>
              </w:rPr>
              <w:lastRenderedPageBreak/>
              <w:t>cholecystitis, abnormalities in liver function tests, increase in pancreatic enzymes</w:t>
            </w:r>
          </w:p>
        </w:tc>
      </w:tr>
      <w:tr w:rsidR="002F635D" w:rsidRPr="0024114A" w14:paraId="222AF10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8E6342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 xml:space="preserve">Cautions </w:t>
            </w:r>
          </w:p>
        </w:tc>
        <w:tc>
          <w:tcPr>
            <w:tcW w:w="6655" w:type="dxa"/>
          </w:tcPr>
          <w:p w14:paraId="526C5CA4"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Fat overload syndrome may occur, usually reversible upon discontinuation.</w:t>
            </w:r>
          </w:p>
        </w:tc>
      </w:tr>
      <w:tr w:rsidR="002F635D" w:rsidRPr="0024114A" w14:paraId="39C01F9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46E96C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Borders>
              <w:top w:val="single" w:sz="4" w:space="0" w:color="auto"/>
              <w:left w:val="single" w:sz="4" w:space="0" w:color="auto"/>
              <w:bottom w:val="single" w:sz="4" w:space="0" w:color="auto"/>
              <w:right w:val="single" w:sz="4" w:space="0" w:color="auto"/>
            </w:tcBorders>
          </w:tcPr>
          <w:p w14:paraId="019B3154" w14:textId="77777777" w:rsidR="002F635D" w:rsidRPr="0024114A" w:rsidRDefault="002F635D" w:rsidP="002D6DD7">
            <w:pPr>
              <w:jc w:val="both"/>
              <w:rPr>
                <w:rFonts w:cs="Times New Roman"/>
                <w:color w:val="ED7D31" w:themeColor="accent2"/>
                <w:szCs w:val="24"/>
              </w:rPr>
            </w:pPr>
            <w:r w:rsidRPr="0024114A">
              <w:rPr>
                <w:rFonts w:cs="Times New Roman"/>
                <w:szCs w:val="24"/>
              </w:rPr>
              <w:t>Store below 30 °C.</w:t>
            </w:r>
          </w:p>
        </w:tc>
      </w:tr>
      <w:tr w:rsidR="002F635D" w:rsidRPr="0024114A" w14:paraId="25C3BD32"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1A897114"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Methylene Blue (Methylthioninium chloride)</w:t>
            </w:r>
          </w:p>
        </w:tc>
      </w:tr>
      <w:tr w:rsidR="002F635D" w:rsidRPr="0024114A" w14:paraId="0243C36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13DF21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207D4EC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Antidotes</w:t>
            </w:r>
          </w:p>
        </w:tc>
      </w:tr>
      <w:tr w:rsidR="002F635D" w:rsidRPr="0024114A" w14:paraId="14AFB3A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CACB04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07F31D17"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10 mg/ml in 10 ml ampoule.</w:t>
            </w:r>
          </w:p>
        </w:tc>
      </w:tr>
      <w:tr w:rsidR="002F635D" w:rsidRPr="0024114A" w14:paraId="66D51ABC" w14:textId="77777777" w:rsidTr="002D6DD7">
        <w:trPr>
          <w:trHeight w:val="341"/>
        </w:trPr>
        <w:tc>
          <w:tcPr>
            <w:tcW w:w="2610" w:type="dxa"/>
            <w:tcBorders>
              <w:top w:val="single" w:sz="4" w:space="0" w:color="auto"/>
              <w:left w:val="single" w:sz="4" w:space="0" w:color="auto"/>
              <w:bottom w:val="single" w:sz="4" w:space="0" w:color="auto"/>
              <w:right w:val="single" w:sz="4" w:space="0" w:color="auto"/>
            </w:tcBorders>
            <w:hideMark/>
          </w:tcPr>
          <w:p w14:paraId="338AEAC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735D8C1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Drug-induced methemoglobinemia.</w:t>
            </w:r>
          </w:p>
        </w:tc>
      </w:tr>
      <w:tr w:rsidR="002F635D" w:rsidRPr="0024114A" w14:paraId="5651E371" w14:textId="77777777" w:rsidTr="002D6DD7">
        <w:trPr>
          <w:trHeight w:val="2726"/>
        </w:trPr>
        <w:tc>
          <w:tcPr>
            <w:tcW w:w="2610" w:type="dxa"/>
            <w:tcBorders>
              <w:top w:val="single" w:sz="4" w:space="0" w:color="auto"/>
              <w:left w:val="single" w:sz="4" w:space="0" w:color="auto"/>
              <w:bottom w:val="single" w:sz="4" w:space="0" w:color="auto"/>
              <w:right w:val="single" w:sz="4" w:space="0" w:color="auto"/>
            </w:tcBorders>
            <w:hideMark/>
          </w:tcPr>
          <w:p w14:paraId="186F9536"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0BBBF636"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Drug- or chemical-induced methemoglobinemia</w:t>
            </w:r>
            <w:r w:rsidRPr="0024114A">
              <w:rPr>
                <w:rFonts w:cs="Times New Roman"/>
                <w:color w:val="000000" w:themeColor="text1"/>
                <w:szCs w:val="24"/>
              </w:rPr>
              <w:t>, by slow IV injection:</w:t>
            </w:r>
          </w:p>
          <w:p w14:paraId="44E134EE"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Initially 1–2 mg/kg, then 1–2 mg/kg after 30–60 minutes if required, to be given over 5 minutes; maximum 7 mg/kg per course.</w:t>
            </w:r>
          </w:p>
          <w:p w14:paraId="0EB87AF6"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 3 months–17 years</w:t>
            </w:r>
            <w:r w:rsidRPr="0024114A">
              <w:rPr>
                <w:rFonts w:cs="Times New Roman"/>
                <w:color w:val="000000" w:themeColor="text1"/>
                <w:szCs w:val="24"/>
              </w:rPr>
              <w:t>: Initially 1–2 mg/kg, then 1–2 mg/kg after 30–60 minutes if required, to be given over 5 minutes; maximum 7 mg/kg per course.</w:t>
            </w:r>
          </w:p>
        </w:tc>
      </w:tr>
      <w:tr w:rsidR="002F635D" w:rsidRPr="0024114A" w14:paraId="3169EB7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E8F491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79F46F97"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Cyanide poisoning, renal insufficiency.</w:t>
            </w:r>
          </w:p>
        </w:tc>
      </w:tr>
      <w:tr w:rsidR="002F635D" w:rsidRPr="0024114A" w14:paraId="74FFB09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77A23F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33C3AE3A"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Selective serotonin reuptake inhibitors, bupropion, buspirone, clomipramine, mirtazapine, venlafaxine, tramadol, fentanyl, pethidine, dextromethorphan, alcohol, amphetamine, alpha1 agonists, atropine, carbamazepine, linezolid, methyldopa, metoclopramide, TCAs, dopamine.</w:t>
            </w:r>
          </w:p>
        </w:tc>
      </w:tr>
      <w:tr w:rsidR="002F635D" w:rsidRPr="0024114A" w14:paraId="0AF0BBF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025D88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16EFDCA7" w14:textId="77777777" w:rsidR="002F635D" w:rsidRPr="0024114A" w:rsidRDefault="002F635D" w:rsidP="002D6DD7">
            <w:pPr>
              <w:jc w:val="both"/>
              <w:rPr>
                <w:rFonts w:cs="Times New Roman"/>
                <w:szCs w:val="24"/>
              </w:rPr>
            </w:pPr>
            <w:r w:rsidRPr="0024114A">
              <w:rPr>
                <w:rFonts w:cs="Times New Roman"/>
                <w:color w:val="000000" w:themeColor="text1"/>
                <w:szCs w:val="24"/>
              </w:rPr>
              <w:t>Abdominal pain, anxiety, chest pain, dizziness, headache, hyperhidrosis, nausea, pain in extremity, paraesthesia, skin reactions, urine discoloration, vomiting.</w:t>
            </w:r>
          </w:p>
        </w:tc>
      </w:tr>
      <w:tr w:rsidR="002F635D" w:rsidRPr="0024114A" w14:paraId="7AEB8D5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067257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2015AF1C" w14:textId="77777777" w:rsidR="002F635D" w:rsidRPr="0024114A" w:rsidRDefault="002F635D" w:rsidP="002D6DD7">
            <w:pPr>
              <w:jc w:val="both"/>
              <w:rPr>
                <w:rFonts w:cs="Times New Roman"/>
                <w:szCs w:val="24"/>
                <w:vertAlign w:val="superscript"/>
              </w:rPr>
            </w:pPr>
            <w:r w:rsidRPr="0024114A">
              <w:rPr>
                <w:rFonts w:cs="Times New Roman"/>
                <w:szCs w:val="24"/>
              </w:rPr>
              <w:t xml:space="preserve">Chlorate poisoning, G6PD deficiency, methemoglobinemia, </w:t>
            </w:r>
            <w:r w:rsidRPr="0024114A">
              <w:rPr>
                <w:rFonts w:cs="Times New Roman"/>
                <w:color w:val="000000" w:themeColor="text1"/>
                <w:szCs w:val="24"/>
              </w:rPr>
              <w:t>renal impairment, pregnancy, breastfeeding</w:t>
            </w:r>
          </w:p>
        </w:tc>
      </w:tr>
      <w:tr w:rsidR="002F635D" w:rsidRPr="0024114A" w14:paraId="7A267E8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999A64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568CFF2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Store below 30°C. </w:t>
            </w:r>
            <w:r w:rsidRPr="0024114A">
              <w:rPr>
                <w:rFonts w:cs="Times New Roman"/>
                <w:szCs w:val="24"/>
              </w:rPr>
              <w:t>Do not refrigerate or freeze. Protect from light.</w:t>
            </w:r>
          </w:p>
        </w:tc>
      </w:tr>
      <w:tr w:rsidR="002F635D" w:rsidRPr="0024114A" w14:paraId="51A15157"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31D19DD9"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Naloxone Hydrochloride</w:t>
            </w:r>
          </w:p>
        </w:tc>
      </w:tr>
      <w:tr w:rsidR="002F635D" w:rsidRPr="0024114A" w14:paraId="3341458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4BA69B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Pharmacological class</w:t>
            </w:r>
          </w:p>
        </w:tc>
        <w:tc>
          <w:tcPr>
            <w:tcW w:w="6655" w:type="dxa"/>
          </w:tcPr>
          <w:p w14:paraId="6E75AB8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Opioid receptor antagonist, antidote for opioid toxicity</w:t>
            </w:r>
          </w:p>
        </w:tc>
      </w:tr>
      <w:tr w:rsidR="002F635D" w:rsidRPr="0024114A" w14:paraId="4B930DC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A15724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53CF1CDC"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400 mcg (hydrochloride) in 1 ml ampoule.</w:t>
            </w:r>
          </w:p>
        </w:tc>
      </w:tr>
      <w:tr w:rsidR="002F635D" w:rsidRPr="0024114A" w14:paraId="33D093C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38517D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03F0469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For the complete/partial reversal of narcotic depression including respiratory depression induced by opioids, diagnosis of suspected acute opioids overdosage.</w:t>
            </w:r>
          </w:p>
        </w:tc>
      </w:tr>
      <w:tr w:rsidR="002F635D" w:rsidRPr="0024114A" w14:paraId="79EDF2A0" w14:textId="77777777" w:rsidTr="002D6DD7">
        <w:trPr>
          <w:trHeight w:val="4850"/>
        </w:trPr>
        <w:tc>
          <w:tcPr>
            <w:tcW w:w="2610" w:type="dxa"/>
            <w:tcBorders>
              <w:top w:val="single" w:sz="4" w:space="0" w:color="auto"/>
              <w:left w:val="single" w:sz="4" w:space="0" w:color="auto"/>
              <w:bottom w:val="single" w:sz="4" w:space="0" w:color="auto"/>
              <w:right w:val="single" w:sz="4" w:space="0" w:color="auto"/>
            </w:tcBorders>
            <w:hideMark/>
          </w:tcPr>
          <w:p w14:paraId="63C2F8DC"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49D20483"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Acute opioid overdose–high-dose regimen</w:t>
            </w:r>
            <w:r w:rsidRPr="0024114A">
              <w:rPr>
                <w:rFonts w:cs="Times New Roman"/>
                <w:color w:val="000000" w:themeColor="text1"/>
                <w:szCs w:val="24"/>
              </w:rPr>
              <w:t xml:space="preserve"> (when rapid titration with naloxone is necessary to reverse potentially life-threatening effects), by intravenous injection:</w:t>
            </w:r>
          </w:p>
          <w:p w14:paraId="1903E158"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 xml:space="preserve">Adult: </w:t>
            </w:r>
            <w:r w:rsidRPr="0024114A">
              <w:rPr>
                <w:rFonts w:cs="Times New Roman"/>
                <w:color w:val="000000" w:themeColor="text1"/>
                <w:szCs w:val="24"/>
              </w:rPr>
              <w:t>Initially 400 mcg, then 800 mcg for up to 2 doses at 1-minute intervals if no response to preceding dose, then increased to 2 mg for 1 dose if still no response (4 mg dose may be required in seriously poisoned patients), then review diagnosis.</w:t>
            </w:r>
          </w:p>
          <w:p w14:paraId="44E8B8F2"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Neonate</w:t>
            </w:r>
            <w:r w:rsidRPr="0024114A">
              <w:rPr>
                <w:rFonts w:cs="Times New Roman"/>
                <w:color w:val="000000" w:themeColor="text1"/>
                <w:szCs w:val="24"/>
              </w:rPr>
              <w:t>: Initially 100 mcg/kg, if no response, repeat at intervals of 1 minute to a total maximum of 2 mg.</w:t>
            </w:r>
          </w:p>
          <w:p w14:paraId="2F0BFCCC"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 1 month–11 years</w:t>
            </w:r>
            <w:r w:rsidRPr="0024114A">
              <w:rPr>
                <w:rFonts w:cs="Times New Roman"/>
                <w:color w:val="000000" w:themeColor="text1"/>
                <w:szCs w:val="24"/>
              </w:rPr>
              <w:t>: Initially 100 mcg/kg (max. per dose 2 mg), if no response, repeat at intervals of 1 minute to a total maximum of 2 mg.</w:t>
            </w:r>
          </w:p>
        </w:tc>
      </w:tr>
      <w:tr w:rsidR="002F635D" w:rsidRPr="0024114A" w14:paraId="78AA8CD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881E02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69804381" w14:textId="77777777" w:rsidR="002F635D" w:rsidRPr="0024114A" w:rsidRDefault="002F635D" w:rsidP="002D6DD7">
            <w:pPr>
              <w:contextualSpacing/>
              <w:jc w:val="both"/>
              <w:rPr>
                <w:rFonts w:cs="Times New Roman"/>
                <w:bCs/>
                <w:color w:val="ED7D31" w:themeColor="accent2"/>
                <w:szCs w:val="24"/>
              </w:rPr>
            </w:pPr>
            <w:r w:rsidRPr="0024114A">
              <w:rPr>
                <w:rFonts w:cs="Times New Roman"/>
                <w:bCs/>
                <w:color w:val="000000" w:themeColor="text1"/>
                <w:szCs w:val="24"/>
              </w:rPr>
              <w:t xml:space="preserve">Hypersensitivity to opioids, respiratory depression </w:t>
            </w:r>
          </w:p>
        </w:tc>
      </w:tr>
      <w:tr w:rsidR="002F635D" w:rsidRPr="0024114A" w14:paraId="46A71B4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1E92FC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29DAB6E4" w14:textId="77777777" w:rsidR="002F635D" w:rsidRPr="0024114A" w:rsidRDefault="002F635D" w:rsidP="002D6DD7">
            <w:pPr>
              <w:contextualSpacing/>
              <w:jc w:val="both"/>
              <w:rPr>
                <w:rFonts w:cs="Times New Roman"/>
                <w:bCs/>
                <w:color w:val="ED7D31" w:themeColor="accent2"/>
                <w:szCs w:val="24"/>
              </w:rPr>
            </w:pPr>
            <w:r w:rsidRPr="0024114A">
              <w:rPr>
                <w:rFonts w:cs="Times New Roman"/>
                <w:bCs/>
                <w:color w:val="000000" w:themeColor="text1"/>
                <w:szCs w:val="24"/>
              </w:rPr>
              <w:t>Clonidine, alfentanil, butorphanol, codeine, methadone, oxycodone</w:t>
            </w:r>
          </w:p>
        </w:tc>
      </w:tr>
      <w:tr w:rsidR="002F635D" w:rsidRPr="0024114A" w14:paraId="1AF47CD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3CD389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430110F6" w14:textId="77777777" w:rsidR="002F635D" w:rsidRPr="0024114A" w:rsidRDefault="002F635D" w:rsidP="002D6DD7">
            <w:pPr>
              <w:jc w:val="both"/>
              <w:rPr>
                <w:rFonts w:cs="Times New Roman"/>
                <w:szCs w:val="24"/>
              </w:rPr>
            </w:pPr>
            <w:r w:rsidRPr="0024114A">
              <w:rPr>
                <w:rFonts w:cs="Times New Roman"/>
                <w:color w:val="000000" w:themeColor="text1"/>
                <w:szCs w:val="24"/>
              </w:rPr>
              <w:t>Arrhythmias, dizziness, headache, hypertension, hypotension, nausea, vomiting, diarrhoea, dry oral, hyperhidrosis, hyperventilation, tremor</w:t>
            </w:r>
          </w:p>
        </w:tc>
      </w:tr>
      <w:tr w:rsidR="002F635D" w:rsidRPr="0024114A" w14:paraId="0C210BA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671FC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7F3AC192"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Dependence may precipitate withdrawal symptoms, pre-existing cardiac disease, narcotic dependency, neonates, pregnancy, lactation</w:t>
            </w:r>
          </w:p>
        </w:tc>
      </w:tr>
      <w:tr w:rsidR="002F635D" w:rsidRPr="0024114A" w14:paraId="79758B0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AC8EB3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38F3BBB9"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30°C in airtight containers. Protect from light.</w:t>
            </w:r>
          </w:p>
        </w:tc>
      </w:tr>
      <w:tr w:rsidR="002F635D" w:rsidRPr="0024114A" w14:paraId="4EC17DE8" w14:textId="77777777" w:rsidTr="002D6DD7">
        <w:tc>
          <w:tcPr>
            <w:tcW w:w="2610" w:type="dxa"/>
            <w:hideMark/>
          </w:tcPr>
          <w:p w14:paraId="2D63C883"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Penicillamine</w:t>
            </w:r>
          </w:p>
        </w:tc>
        <w:tc>
          <w:tcPr>
            <w:tcW w:w="6655" w:type="dxa"/>
          </w:tcPr>
          <w:p w14:paraId="68102753" w14:textId="77777777" w:rsidR="002F635D" w:rsidRPr="0024114A" w:rsidRDefault="002F635D" w:rsidP="002D6DD7">
            <w:pPr>
              <w:jc w:val="both"/>
              <w:rPr>
                <w:rFonts w:cs="Times New Roman"/>
                <w:b/>
                <w:bCs/>
                <w:color w:val="ED7D31" w:themeColor="accent2"/>
                <w:szCs w:val="24"/>
              </w:rPr>
            </w:pPr>
          </w:p>
        </w:tc>
      </w:tr>
      <w:tr w:rsidR="002F635D" w:rsidRPr="0024114A" w14:paraId="612E3CB0" w14:textId="77777777" w:rsidTr="002D6DD7">
        <w:tc>
          <w:tcPr>
            <w:tcW w:w="2610" w:type="dxa"/>
            <w:hideMark/>
          </w:tcPr>
          <w:p w14:paraId="7008168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156274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Chelating agent, Antidotes</w:t>
            </w:r>
          </w:p>
        </w:tc>
      </w:tr>
      <w:tr w:rsidR="002F635D" w:rsidRPr="0024114A" w14:paraId="7418F3A4" w14:textId="77777777" w:rsidTr="002D6DD7">
        <w:tc>
          <w:tcPr>
            <w:tcW w:w="2610" w:type="dxa"/>
            <w:hideMark/>
          </w:tcPr>
          <w:p w14:paraId="45DB20F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028CF17D"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Capsule/tablet: 125mg, 250mg</w:t>
            </w:r>
          </w:p>
        </w:tc>
      </w:tr>
      <w:tr w:rsidR="002F635D" w:rsidRPr="0024114A" w14:paraId="783760F8" w14:textId="77777777" w:rsidTr="002D6DD7">
        <w:tc>
          <w:tcPr>
            <w:tcW w:w="2610" w:type="dxa"/>
            <w:hideMark/>
          </w:tcPr>
          <w:p w14:paraId="7C47D35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Indications</w:t>
            </w:r>
          </w:p>
        </w:tc>
        <w:tc>
          <w:tcPr>
            <w:tcW w:w="6655" w:type="dxa"/>
          </w:tcPr>
          <w:p w14:paraId="6A84803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Treatment of heavy metal poisonings (arsenic, lead, copper), Wilson's disease,</w:t>
            </w:r>
            <w:r w:rsidR="00FB4F74">
              <w:rPr>
                <w:rFonts w:cs="Times New Roman"/>
                <w:color w:val="000000" w:themeColor="text1"/>
                <w:szCs w:val="24"/>
              </w:rPr>
              <w:t xml:space="preserve"> </w:t>
            </w:r>
            <w:r w:rsidRPr="0024114A">
              <w:rPr>
                <w:rFonts w:cs="Times New Roman"/>
                <w:color w:val="000000" w:themeColor="text1"/>
                <w:szCs w:val="24"/>
              </w:rPr>
              <w:t>rheumatoid arthritis.</w:t>
            </w:r>
          </w:p>
        </w:tc>
      </w:tr>
      <w:tr w:rsidR="002F635D" w:rsidRPr="0024114A" w14:paraId="3C0B1EC6" w14:textId="77777777" w:rsidTr="002D6DD7">
        <w:tc>
          <w:tcPr>
            <w:tcW w:w="2610" w:type="dxa"/>
            <w:hideMark/>
          </w:tcPr>
          <w:p w14:paraId="7F9003A0"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52E802F1" w14:textId="77777777" w:rsidR="002F635D" w:rsidRPr="0024114A" w:rsidRDefault="002F635D" w:rsidP="002D6DD7">
            <w:pPr>
              <w:pStyle w:val="Default"/>
              <w:spacing w:line="360" w:lineRule="auto"/>
              <w:jc w:val="both"/>
              <w:rPr>
                <w:color w:val="000000" w:themeColor="text1"/>
                <w:lang w:val="en-GB" w:eastAsia="ko-KR"/>
              </w:rPr>
            </w:pPr>
            <w:r w:rsidRPr="0024114A">
              <w:rPr>
                <w:b/>
                <w:bCs/>
                <w:color w:val="000000" w:themeColor="text1"/>
                <w:lang w:val="en-GB" w:eastAsia="ko-KR"/>
              </w:rPr>
              <w:t>Heavy metal poisoning</w:t>
            </w:r>
            <w:r w:rsidRPr="0024114A">
              <w:rPr>
                <w:color w:val="000000" w:themeColor="text1"/>
                <w:lang w:val="en-GB" w:eastAsia="ko-KR"/>
              </w:rPr>
              <w:t xml:space="preserve">: 900mg-1800mg daily. Duration of treatment is dictated by the urinary heavy metal excretion. Simultaneous </w:t>
            </w:r>
            <w:r w:rsidRPr="0024114A">
              <w:rPr>
                <w:b/>
                <w:color w:val="000000" w:themeColor="text1"/>
                <w:lang w:val="en-GB" w:eastAsia="ko-KR"/>
              </w:rPr>
              <w:t>oral</w:t>
            </w:r>
            <w:r w:rsidRPr="0024114A">
              <w:rPr>
                <w:color w:val="000000" w:themeColor="text1"/>
                <w:lang w:val="en-GB" w:eastAsia="ko-KR"/>
              </w:rPr>
              <w:t xml:space="preserve"> vitamin B6 replacement with at least 40mg daily is essential</w:t>
            </w:r>
          </w:p>
          <w:p w14:paraId="29C5AE18" w14:textId="77777777" w:rsidR="002F635D" w:rsidRPr="0024114A" w:rsidRDefault="002F635D" w:rsidP="002D6DD7">
            <w:pPr>
              <w:pStyle w:val="Default"/>
              <w:spacing w:line="360" w:lineRule="auto"/>
              <w:jc w:val="both"/>
              <w:rPr>
                <w:color w:val="000000" w:themeColor="text1"/>
                <w:lang w:val="en-GB" w:eastAsia="ko-KR"/>
              </w:rPr>
            </w:pPr>
            <w:r w:rsidRPr="0024114A">
              <w:rPr>
                <w:b/>
                <w:bCs/>
                <w:color w:val="000000" w:themeColor="text1"/>
                <w:lang w:val="en-GB" w:eastAsia="ko-KR"/>
              </w:rPr>
              <w:t>Wilson's disease</w:t>
            </w:r>
            <w:r w:rsidRPr="0024114A">
              <w:rPr>
                <w:color w:val="000000" w:themeColor="text1"/>
                <w:lang w:val="en-GB" w:eastAsia="ko-KR"/>
              </w:rPr>
              <w:t>: 0.25g - 1.5g daily in divided doses on an incremental basis. Maximal daily dose: 2g. Maintenance dose: 0.75g - 1g daily.</w:t>
            </w:r>
          </w:p>
          <w:p w14:paraId="1FB4A0B1" w14:textId="77777777" w:rsidR="002F635D" w:rsidRPr="0024114A" w:rsidRDefault="002F635D" w:rsidP="002D6DD7">
            <w:pPr>
              <w:pStyle w:val="Default"/>
              <w:spacing w:line="360" w:lineRule="auto"/>
              <w:jc w:val="both"/>
            </w:pPr>
            <w:r w:rsidRPr="0024114A">
              <w:rPr>
                <w:b/>
                <w:bCs/>
              </w:rPr>
              <w:t>Severe active rheumatoid arthritis</w:t>
            </w:r>
            <w:r w:rsidRPr="0024114A">
              <w:t xml:space="preserve">: </w:t>
            </w:r>
          </w:p>
          <w:p w14:paraId="6F857533" w14:textId="77777777" w:rsidR="002F635D" w:rsidRPr="0024114A" w:rsidRDefault="002F635D" w:rsidP="002D6DD7">
            <w:pPr>
              <w:pStyle w:val="Default"/>
              <w:spacing w:line="360" w:lineRule="auto"/>
              <w:jc w:val="both"/>
            </w:pPr>
            <w:r w:rsidRPr="0024114A">
              <w:rPr>
                <w:b/>
                <w:bCs/>
              </w:rPr>
              <w:t>Adult</w:t>
            </w:r>
            <w:r w:rsidRPr="0024114A">
              <w:t xml:space="preserve">: Initially 125–250 mg daily for 1 month, then increased in steps of 125–250 mg, at intervals of not less than 4 weeks; maintenance 500–750 mg daily in divided doses, may be increased further if no response and patient </w:t>
            </w:r>
            <w:r w:rsidR="00FB4F74" w:rsidRPr="0024114A">
              <w:t>tolerate</w:t>
            </w:r>
            <w:r w:rsidRPr="0024114A">
              <w:t>; then reduced in steps of 125–250 mg every 12 weeks, dose reduction attempted only if remission sustained for 6 months; maximum 1.5 g per day</w:t>
            </w:r>
          </w:p>
          <w:p w14:paraId="6DEE09A1" w14:textId="77777777" w:rsidR="002F635D" w:rsidRPr="0024114A" w:rsidRDefault="002F635D" w:rsidP="002D6DD7">
            <w:pPr>
              <w:pStyle w:val="Default"/>
              <w:spacing w:line="360" w:lineRule="auto"/>
              <w:jc w:val="both"/>
            </w:pPr>
            <w:r w:rsidRPr="0024114A">
              <w:rPr>
                <w:b/>
                <w:bCs/>
              </w:rPr>
              <w:t>Elderly</w:t>
            </w:r>
            <w:r w:rsidRPr="0024114A">
              <w:t>: Initially up to 125 mg daily for 1 month, then increased in steps of up to 125 mg, at intervals of at least 4 weeks; maximum 1 g per day</w:t>
            </w:r>
          </w:p>
          <w:p w14:paraId="5FF4591A" w14:textId="77777777" w:rsidR="002F635D" w:rsidRPr="0024114A" w:rsidRDefault="002F635D" w:rsidP="002D6DD7">
            <w:pPr>
              <w:pStyle w:val="Default"/>
              <w:spacing w:line="360" w:lineRule="auto"/>
              <w:jc w:val="both"/>
              <w:rPr>
                <w:i/>
              </w:rPr>
            </w:pPr>
            <w:r w:rsidRPr="0024114A">
              <w:rPr>
                <w:i/>
              </w:rPr>
              <w:t>Note: Doses should be administered 1 hour before meals and at bedtime.</w:t>
            </w:r>
          </w:p>
        </w:tc>
      </w:tr>
      <w:tr w:rsidR="002F635D" w:rsidRPr="0024114A" w14:paraId="1C24856A" w14:textId="77777777" w:rsidTr="002D6DD7">
        <w:tc>
          <w:tcPr>
            <w:tcW w:w="2610" w:type="dxa"/>
            <w:hideMark/>
          </w:tcPr>
          <w:p w14:paraId="11A8741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067A47E3"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Hypersensitivity to the drug, aplastic anaemia/agranulocytosis, myasthenia gravis, rheumatoid arthritis, renal insufficient, abnormalities of the haemopoietic system, glomerulonephritis, pregnancy, lactation</w:t>
            </w:r>
          </w:p>
        </w:tc>
      </w:tr>
      <w:tr w:rsidR="002F635D" w:rsidRPr="0024114A" w14:paraId="0EA96900" w14:textId="77777777" w:rsidTr="002D6DD7">
        <w:tc>
          <w:tcPr>
            <w:tcW w:w="2610" w:type="dxa"/>
            <w:hideMark/>
          </w:tcPr>
          <w:p w14:paraId="401F04F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010DEF7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Aluminium hydroxide or phosphate, potassium sulfate, magnesiumsulfate or carbonate or hydroxide or oxide or trisilicate or chloride or supplement, sodium bicarbonate, iron preparations, digoxin, aurothioglucose, antimalarials, immunosuppressants, phenylbutazone, promazine, tenofovir, zinc, gold, antimalarial, cytotoxic drug</w:t>
            </w:r>
          </w:p>
        </w:tc>
      </w:tr>
      <w:tr w:rsidR="002F635D" w:rsidRPr="0024114A" w14:paraId="0862A308" w14:textId="77777777" w:rsidTr="002D6DD7">
        <w:tc>
          <w:tcPr>
            <w:tcW w:w="2610" w:type="dxa"/>
            <w:hideMark/>
          </w:tcPr>
          <w:p w14:paraId="142DEFA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Side effects</w:t>
            </w:r>
          </w:p>
        </w:tc>
        <w:tc>
          <w:tcPr>
            <w:tcW w:w="6655" w:type="dxa"/>
          </w:tcPr>
          <w:p w14:paraId="414ED588" w14:textId="77777777" w:rsidR="002F635D" w:rsidRPr="0024114A" w:rsidRDefault="002F635D" w:rsidP="002D6DD7">
            <w:pPr>
              <w:jc w:val="both"/>
              <w:rPr>
                <w:rFonts w:cs="Times New Roman"/>
                <w:szCs w:val="24"/>
              </w:rPr>
            </w:pPr>
            <w:r w:rsidRPr="0024114A">
              <w:rPr>
                <w:rFonts w:cs="Times New Roman"/>
                <w:color w:val="000000" w:themeColor="text1"/>
                <w:szCs w:val="24"/>
              </w:rPr>
              <w:t>Nausea, vomiting, diarrhea, myelosuppression, taste alterations, proteinuria, cutaneous reactions, myasthenia gravis, optic neuritis, tinnitus, thrombocytopenia, renal toxicity</w:t>
            </w:r>
          </w:p>
        </w:tc>
      </w:tr>
      <w:tr w:rsidR="002F635D" w:rsidRPr="0024114A" w14:paraId="796FA63C" w14:textId="77777777" w:rsidTr="002D6DD7">
        <w:tc>
          <w:tcPr>
            <w:tcW w:w="2610" w:type="dxa"/>
            <w:hideMark/>
          </w:tcPr>
          <w:p w14:paraId="4B1512D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027FBC83"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Allergy to penicillin, renal dysfunction, lupus erythematosus, serious, pregnancy, breast feeding</w:t>
            </w:r>
          </w:p>
        </w:tc>
      </w:tr>
      <w:tr w:rsidR="002F635D" w:rsidRPr="0024114A" w14:paraId="5F37BF38" w14:textId="77777777" w:rsidTr="002D6DD7">
        <w:tc>
          <w:tcPr>
            <w:tcW w:w="2610" w:type="dxa"/>
            <w:hideMark/>
          </w:tcPr>
          <w:p w14:paraId="4B4931E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520D31A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30°C. Protect from light. Do not freeze.</w:t>
            </w:r>
          </w:p>
        </w:tc>
      </w:tr>
      <w:tr w:rsidR="002F635D" w:rsidRPr="0024114A" w14:paraId="069EC48A"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78AFAD78"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Physostigmine</w:t>
            </w:r>
          </w:p>
        </w:tc>
      </w:tr>
      <w:tr w:rsidR="002F635D" w:rsidRPr="0024114A" w14:paraId="12879B5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3E6A3F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122E3A8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Cholinesterase inhibitor, antidote.</w:t>
            </w:r>
          </w:p>
        </w:tc>
      </w:tr>
      <w:tr w:rsidR="002F635D" w:rsidRPr="0024114A" w14:paraId="386D348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7602E9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3FE7BDE8"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shd w:val="clear" w:color="auto" w:fill="FFFFFF"/>
              </w:rPr>
              <w:t>Injectable solution:1 mg/ml</w:t>
            </w:r>
          </w:p>
        </w:tc>
      </w:tr>
      <w:tr w:rsidR="002F635D" w:rsidRPr="0024114A" w14:paraId="307F24E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085620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280DB25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shd w:val="clear" w:color="auto" w:fill="FFFFFF"/>
              </w:rPr>
              <w:t>Reversal of anticholinergic effects (e.g. atropine poisoning).</w:t>
            </w:r>
          </w:p>
        </w:tc>
      </w:tr>
      <w:tr w:rsidR="002F635D" w:rsidRPr="0024114A" w14:paraId="032A0F1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8B83480"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6DC2BFE7" w14:textId="77777777" w:rsidR="002F635D" w:rsidRPr="0024114A" w:rsidRDefault="002F635D" w:rsidP="002D6DD7">
            <w:pPr>
              <w:pStyle w:val="NormalWeb"/>
              <w:shd w:val="clear" w:color="auto" w:fill="FFFFFF"/>
              <w:spacing w:before="0" w:beforeAutospacing="0" w:after="0" w:afterAutospacing="0" w:line="360" w:lineRule="auto"/>
              <w:jc w:val="both"/>
            </w:pPr>
            <w:r w:rsidRPr="0024114A">
              <w:rPr>
                <w:b/>
                <w:bCs/>
              </w:rPr>
              <w:t>Adult</w:t>
            </w:r>
            <w:r w:rsidRPr="0024114A">
              <w:t xml:space="preserve">: Initail, 0.5-2mg slow IV/IM injection (not to exceed 1mg/minute), dose may </w:t>
            </w:r>
            <w:r w:rsidR="00FB4F74">
              <w:t xml:space="preserve">be </w:t>
            </w:r>
            <w:r w:rsidRPr="0024114A">
              <w:t>repeated every 20 minutes as needed if no response.</w:t>
            </w:r>
          </w:p>
          <w:p w14:paraId="634903F7" w14:textId="77777777" w:rsidR="002F635D" w:rsidRPr="0024114A" w:rsidRDefault="002F635D" w:rsidP="002D6DD7">
            <w:pPr>
              <w:pStyle w:val="NormalWeb"/>
              <w:shd w:val="clear" w:color="auto" w:fill="FFFFFF"/>
              <w:spacing w:before="0" w:beforeAutospacing="0" w:after="0" w:afterAutospacing="0" w:line="360" w:lineRule="auto"/>
              <w:jc w:val="both"/>
            </w:pPr>
            <w:r w:rsidRPr="0024114A">
              <w:rPr>
                <w:b/>
              </w:rPr>
              <w:t>Child</w:t>
            </w:r>
            <w:r w:rsidRPr="0024114A">
              <w:t>:0.02 mg/kg (not to exceed 0.5 mg/minute), dose may be repeated every 5-10 minutes as needed if no response; and cumulative dose not to exceed 2mg.</w:t>
            </w:r>
          </w:p>
        </w:tc>
      </w:tr>
      <w:tr w:rsidR="002F635D" w:rsidRPr="0024114A" w14:paraId="28EE113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F91E8E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1BA1CAC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lang w:eastAsia="en-GB"/>
              </w:rPr>
              <w:t>known hypersensitivity to the drug or any ingredient, asthma, gangrene, diabetes, cardiovascular disease, mechanical obstruction of the intestinal or urogenital tract, vagotonic state</w:t>
            </w:r>
            <w:r w:rsidR="00FB4F74">
              <w:rPr>
                <w:rFonts w:cs="Times New Roman"/>
                <w:color w:val="000000" w:themeColor="text1"/>
                <w:szCs w:val="24"/>
                <w:lang w:eastAsia="en-GB"/>
              </w:rPr>
              <w:t xml:space="preserve">. </w:t>
            </w:r>
          </w:p>
        </w:tc>
      </w:tr>
      <w:tr w:rsidR="002F635D" w:rsidRPr="0024114A" w14:paraId="20B26F6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01800D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43E4197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shd w:val="clear" w:color="auto" w:fill="FFFFFF"/>
              </w:rPr>
              <w:t>Triamcinolone acetonide, vitamins</w:t>
            </w:r>
            <w:r w:rsidRPr="0024114A">
              <w:rPr>
                <w:rFonts w:cs="Times New Roman"/>
                <w:color w:val="000000" w:themeColor="text1"/>
                <w:szCs w:val="24"/>
                <w:lang w:eastAsia="en-GB"/>
              </w:rPr>
              <w:t>, methacholine, bethanechol, succinylcholine,</w:t>
            </w:r>
            <w:r w:rsidR="00FB4F74">
              <w:rPr>
                <w:rFonts w:cs="Times New Roman"/>
                <w:color w:val="000000" w:themeColor="text1"/>
                <w:szCs w:val="24"/>
                <w:lang w:eastAsia="en-GB"/>
              </w:rPr>
              <w:t xml:space="preserve"> </w:t>
            </w:r>
            <w:r w:rsidRPr="0024114A">
              <w:rPr>
                <w:rFonts w:cs="Times New Roman"/>
                <w:color w:val="000000" w:themeColor="text1"/>
                <w:szCs w:val="24"/>
                <w:lang w:eastAsia="en-GB"/>
              </w:rPr>
              <w:t>salicylate allergy</w:t>
            </w:r>
            <w:r w:rsidR="00FB4F74">
              <w:rPr>
                <w:rFonts w:cs="Times New Roman"/>
                <w:color w:val="000000" w:themeColor="text1"/>
                <w:szCs w:val="24"/>
                <w:lang w:eastAsia="en-GB"/>
              </w:rPr>
              <w:t>.</w:t>
            </w:r>
          </w:p>
        </w:tc>
      </w:tr>
      <w:tr w:rsidR="002F635D" w:rsidRPr="0024114A" w14:paraId="446A9FA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869B07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09A2C4F5" w14:textId="77777777" w:rsidR="002F635D" w:rsidRPr="0024114A" w:rsidRDefault="002F635D" w:rsidP="002D6DD7">
            <w:pPr>
              <w:jc w:val="both"/>
              <w:rPr>
                <w:rFonts w:cs="Times New Roman"/>
                <w:szCs w:val="24"/>
              </w:rPr>
            </w:pPr>
            <w:r w:rsidRPr="0024114A">
              <w:rPr>
                <w:rFonts w:cs="Times New Roman"/>
                <w:color w:val="000000" w:themeColor="text1"/>
                <w:szCs w:val="24"/>
              </w:rPr>
              <w:t>Nausea, vomiting, diarrhea, epigastric pain, miosis, salivation, sweating, lacrimation, dyspnea, bronchospasm, seizure, bradycardia, CV collapse, hallucinations.</w:t>
            </w:r>
          </w:p>
        </w:tc>
      </w:tr>
      <w:tr w:rsidR="002F635D" w:rsidRPr="0024114A" w14:paraId="10386F4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97CA44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4DB768B3"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Epilepsy, parkinsonian syndrome, bradycardia, cholinergic crisis, pregnancy, breast feeding.</w:t>
            </w:r>
          </w:p>
        </w:tc>
      </w:tr>
      <w:tr w:rsidR="002F635D" w:rsidRPr="0024114A" w14:paraId="063374B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010A40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79712F60" w14:textId="77777777" w:rsidR="002F635D" w:rsidRPr="0024114A" w:rsidRDefault="002F635D" w:rsidP="002D6DD7">
            <w:pPr>
              <w:jc w:val="both"/>
              <w:rPr>
                <w:rFonts w:cs="Times New Roman"/>
                <w:color w:val="ED7D31" w:themeColor="accent2"/>
                <w:szCs w:val="24"/>
              </w:rPr>
            </w:pPr>
            <w:r w:rsidRPr="0024114A">
              <w:rPr>
                <w:rFonts w:cs="Times New Roman"/>
                <w:szCs w:val="24"/>
              </w:rPr>
              <w:t>Store between 15 and 30°C.</w:t>
            </w:r>
          </w:p>
        </w:tc>
      </w:tr>
      <w:tr w:rsidR="002F635D" w:rsidRPr="0024114A" w14:paraId="6E64746A"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7F11F156"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Phytomenadione (Vitamin K1)</w:t>
            </w:r>
          </w:p>
        </w:tc>
      </w:tr>
      <w:tr w:rsidR="002F635D" w:rsidRPr="0024114A" w14:paraId="2AC1F87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ED2F03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1D56ECA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Haemostatic, vitamin</w:t>
            </w:r>
          </w:p>
        </w:tc>
      </w:tr>
      <w:tr w:rsidR="002F635D" w:rsidRPr="0024114A" w14:paraId="3485A49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E64FA3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32DFF0C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Injection: 1 mg/ml; 10 mg/ml in ampoule.</w:t>
            </w:r>
          </w:p>
          <w:p w14:paraId="542542EF"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lastRenderedPageBreak/>
              <w:t>Tablet: 10 mg.</w:t>
            </w:r>
          </w:p>
        </w:tc>
      </w:tr>
      <w:tr w:rsidR="002F635D" w:rsidRPr="0024114A" w14:paraId="723FF2B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607FF9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Indications</w:t>
            </w:r>
          </w:p>
        </w:tc>
        <w:tc>
          <w:tcPr>
            <w:tcW w:w="6655" w:type="dxa"/>
          </w:tcPr>
          <w:p w14:paraId="7BE3EE7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Coagulation disorders </w:t>
            </w:r>
          </w:p>
        </w:tc>
      </w:tr>
      <w:tr w:rsidR="002F635D" w:rsidRPr="0024114A" w14:paraId="11CC56B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A4F4C32"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6F2ADB6D"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Major bleeding in patients on warfarin</w:t>
            </w:r>
            <w:r w:rsidRPr="0024114A">
              <w:rPr>
                <w:rFonts w:cs="Times New Roman"/>
                <w:color w:val="000000" w:themeColor="text1"/>
                <w:szCs w:val="24"/>
              </w:rPr>
              <w:t xml:space="preserve"> (in combination with dried prothrombin complex or fresh frozen plasma), by slow IV injection:</w:t>
            </w:r>
          </w:p>
          <w:p w14:paraId="5A30C674"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5 mg to 10mg for 1 dose, stop warfarin treatment</w:t>
            </w:r>
          </w:p>
          <w:p w14:paraId="1C3A32AD" w14:textId="77777777" w:rsidR="00FB4F74" w:rsidRDefault="002F635D" w:rsidP="002D6DD7">
            <w:pPr>
              <w:pStyle w:val="Default"/>
              <w:spacing w:line="360" w:lineRule="auto"/>
              <w:jc w:val="both"/>
              <w:rPr>
                <w:color w:val="000000" w:themeColor="text1"/>
              </w:rPr>
            </w:pPr>
            <w:r w:rsidRPr="0024114A">
              <w:rPr>
                <w:b/>
                <w:bCs/>
                <w:color w:val="000000" w:themeColor="text1"/>
              </w:rPr>
              <w:t>Prophylaxis of hemorrhagic disease of the newborn</w:t>
            </w:r>
            <w:r w:rsidRPr="0024114A">
              <w:rPr>
                <w:color w:val="000000" w:themeColor="text1"/>
              </w:rPr>
              <w:t xml:space="preserve">, IM: </w:t>
            </w:r>
          </w:p>
          <w:p w14:paraId="7FB6C4DA" w14:textId="77777777" w:rsidR="002F635D" w:rsidRPr="0024114A" w:rsidRDefault="002F635D" w:rsidP="002D6DD7">
            <w:pPr>
              <w:pStyle w:val="Default"/>
              <w:spacing w:line="360" w:lineRule="auto"/>
              <w:jc w:val="both"/>
              <w:rPr>
                <w:color w:val="000000" w:themeColor="text1"/>
              </w:rPr>
            </w:pPr>
            <w:r w:rsidRPr="0024114A">
              <w:rPr>
                <w:b/>
                <w:color w:val="000000" w:themeColor="text1"/>
              </w:rPr>
              <w:t>Child:</w:t>
            </w:r>
            <w:r w:rsidR="00FB4F74">
              <w:rPr>
                <w:b/>
                <w:color w:val="000000" w:themeColor="text1"/>
              </w:rPr>
              <w:t xml:space="preserve"> </w:t>
            </w:r>
            <w:r w:rsidRPr="0024114A">
              <w:rPr>
                <w:color w:val="000000" w:themeColor="text1"/>
              </w:rPr>
              <w:t>0.5–1 mg as single dose at birth</w:t>
            </w:r>
          </w:p>
          <w:p w14:paraId="21AACD44" w14:textId="77777777" w:rsidR="002F635D" w:rsidRPr="0024114A" w:rsidRDefault="002F635D" w:rsidP="002D6DD7">
            <w:pPr>
              <w:pStyle w:val="Default"/>
              <w:spacing w:line="360" w:lineRule="auto"/>
              <w:jc w:val="both"/>
              <w:rPr>
                <w:color w:val="000000" w:themeColor="text1"/>
              </w:rPr>
            </w:pPr>
            <w:r w:rsidRPr="0024114A">
              <w:rPr>
                <w:b/>
                <w:bCs/>
                <w:color w:val="000000" w:themeColor="text1"/>
              </w:rPr>
              <w:t>Prophylaxis of hemorrhagic disease of the newborn</w:t>
            </w:r>
            <w:r w:rsidRPr="0024114A">
              <w:rPr>
                <w:color w:val="000000" w:themeColor="text1"/>
              </w:rPr>
              <w:t xml:space="preserve">, </w:t>
            </w:r>
            <w:r w:rsidRPr="00FB4F74">
              <w:rPr>
                <w:color w:val="000000" w:themeColor="text1"/>
              </w:rPr>
              <w:t>oral</w:t>
            </w:r>
            <w:r w:rsidRPr="0024114A">
              <w:rPr>
                <w:color w:val="000000" w:themeColor="text1"/>
              </w:rPr>
              <w:t>:</w:t>
            </w:r>
          </w:p>
          <w:p w14:paraId="30917D19" w14:textId="77777777" w:rsidR="002F635D" w:rsidRPr="0024114A" w:rsidRDefault="002F635D" w:rsidP="002D6DD7">
            <w:pPr>
              <w:pStyle w:val="Default"/>
              <w:spacing w:line="360" w:lineRule="auto"/>
              <w:jc w:val="both"/>
              <w:rPr>
                <w:color w:val="000000" w:themeColor="text1"/>
              </w:rPr>
            </w:pPr>
            <w:r w:rsidRPr="0024114A">
              <w:rPr>
                <w:b/>
                <w:color w:val="000000" w:themeColor="text1"/>
              </w:rPr>
              <w:t>Child:</w:t>
            </w:r>
            <w:r w:rsidRPr="0024114A">
              <w:rPr>
                <w:color w:val="000000" w:themeColor="text1"/>
              </w:rPr>
              <w:t>2 mg followed by a second dose after 4–7 days and, for breastfed babies, a third dose after 1 month</w:t>
            </w:r>
          </w:p>
          <w:p w14:paraId="5879084A" w14:textId="77777777" w:rsidR="002F635D" w:rsidRPr="0024114A" w:rsidRDefault="002F635D" w:rsidP="002D6DD7">
            <w:pPr>
              <w:pStyle w:val="Default"/>
              <w:spacing w:line="360" w:lineRule="auto"/>
              <w:jc w:val="both"/>
              <w:rPr>
                <w:color w:val="000000" w:themeColor="text1"/>
              </w:rPr>
            </w:pPr>
            <w:r w:rsidRPr="0024114A">
              <w:rPr>
                <w:b/>
                <w:bCs/>
                <w:color w:val="000000" w:themeColor="text1"/>
              </w:rPr>
              <w:t>Prophylaxis of hemorrhagic disease of the newborn</w:t>
            </w:r>
            <w:r w:rsidRPr="0024114A">
              <w:rPr>
                <w:color w:val="000000" w:themeColor="text1"/>
              </w:rPr>
              <w:t xml:space="preserve">, IV: </w:t>
            </w:r>
          </w:p>
          <w:p w14:paraId="363FE16A" w14:textId="77777777" w:rsidR="002F635D" w:rsidRPr="0024114A" w:rsidRDefault="002F635D" w:rsidP="002D6DD7">
            <w:pPr>
              <w:pStyle w:val="Default"/>
              <w:spacing w:line="360" w:lineRule="auto"/>
              <w:jc w:val="both"/>
              <w:rPr>
                <w:color w:val="000000" w:themeColor="text1"/>
              </w:rPr>
            </w:pPr>
            <w:r w:rsidRPr="0024114A">
              <w:rPr>
                <w:b/>
                <w:color w:val="000000" w:themeColor="text1"/>
              </w:rPr>
              <w:t>Child:</w:t>
            </w:r>
            <w:r w:rsidR="00FB4F74">
              <w:rPr>
                <w:b/>
                <w:color w:val="000000" w:themeColor="text1"/>
              </w:rPr>
              <w:t xml:space="preserve"> </w:t>
            </w:r>
            <w:r w:rsidRPr="0024114A">
              <w:rPr>
                <w:color w:val="000000" w:themeColor="text1"/>
              </w:rPr>
              <w:t>Pre-term neonate: 400 mcg/ kg (maximum 1 mg).</w:t>
            </w:r>
          </w:p>
          <w:p w14:paraId="4BB773E0" w14:textId="77777777" w:rsidR="002F635D" w:rsidRPr="0024114A" w:rsidRDefault="002F635D" w:rsidP="002D6DD7">
            <w:pPr>
              <w:pStyle w:val="Default"/>
              <w:spacing w:line="360" w:lineRule="auto"/>
              <w:jc w:val="both"/>
            </w:pPr>
            <w:r w:rsidRPr="0024114A">
              <w:rPr>
                <w:b/>
                <w:bCs/>
              </w:rPr>
              <w:t>Warfarin-induced hypoprothrombinemia with no or minor bleeding</w:t>
            </w:r>
            <w:r w:rsidRPr="0024114A">
              <w:t xml:space="preserve">, IV: </w:t>
            </w:r>
            <w:r w:rsidRPr="0024114A">
              <w:rPr>
                <w:b/>
              </w:rPr>
              <w:t>Child 1 month–12 year</w:t>
            </w:r>
            <w:r w:rsidRPr="0024114A">
              <w:t>s: 15–30 mcg/ kg (maximum 1 mg) as a single dose, repeated as necessary</w:t>
            </w:r>
          </w:p>
          <w:p w14:paraId="57E54672" w14:textId="77777777" w:rsidR="002F635D" w:rsidRPr="0024114A" w:rsidRDefault="002F635D" w:rsidP="002D6DD7">
            <w:pPr>
              <w:pStyle w:val="Default"/>
              <w:spacing w:line="360" w:lineRule="auto"/>
              <w:jc w:val="both"/>
            </w:pPr>
            <w:r w:rsidRPr="0024114A">
              <w:rPr>
                <w:b/>
                <w:bCs/>
              </w:rPr>
              <w:t>Warfarin-induced hypoprothrombinemia</w:t>
            </w:r>
            <w:r w:rsidRPr="0024114A">
              <w:t>: Reversal of anticoagulation or if significant bleeding, treatment of hemorrhage associated with vitamin K deficiency, IV: Child 1 month–12 years: 250–300 mcg/kg (maximum 10 mg) as a single dose</w:t>
            </w:r>
          </w:p>
        </w:tc>
      </w:tr>
      <w:tr w:rsidR="002F635D" w:rsidRPr="0024114A" w14:paraId="21A9943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728438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0EB3C56D" w14:textId="77777777" w:rsidR="002F635D" w:rsidRPr="0024114A" w:rsidRDefault="002F635D" w:rsidP="002D6DD7">
            <w:pPr>
              <w:jc w:val="both"/>
              <w:rPr>
                <w:rFonts w:cs="Times New Roman"/>
                <w:color w:val="ED7D31" w:themeColor="accent2"/>
                <w:szCs w:val="24"/>
              </w:rPr>
            </w:pPr>
            <w:r w:rsidRPr="0024114A">
              <w:rPr>
                <w:rFonts w:cs="Times New Roman"/>
                <w:szCs w:val="24"/>
              </w:rPr>
              <w:t>Hypersensitivity To the drug, menadione (K3) administration in glucose-6-phosphate dehydrogenase deficiency</w:t>
            </w:r>
          </w:p>
        </w:tc>
      </w:tr>
      <w:tr w:rsidR="002F635D" w:rsidRPr="0024114A" w14:paraId="5F44A62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A866A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34774952"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Warfarin, NSAIDs</w:t>
            </w:r>
          </w:p>
        </w:tc>
      </w:tr>
      <w:tr w:rsidR="002F635D" w:rsidRPr="0024114A" w14:paraId="1158E63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7A729E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13006615" w14:textId="77777777" w:rsidR="002F635D" w:rsidRPr="0024114A" w:rsidRDefault="002F635D" w:rsidP="002D6DD7">
            <w:pPr>
              <w:jc w:val="both"/>
              <w:rPr>
                <w:rFonts w:cs="Times New Roman"/>
                <w:szCs w:val="24"/>
              </w:rPr>
            </w:pPr>
            <w:r w:rsidRPr="0024114A">
              <w:rPr>
                <w:rFonts w:cs="Times New Roman"/>
                <w:color w:val="000000" w:themeColor="text1"/>
                <w:szCs w:val="24"/>
              </w:rPr>
              <w:t>Anaphylaxis, dyspnoea, cyanosis, pain, swelling, phlebitis at the injection site, diaphoresis, dizziness, hypotension, allergic reactions after SC and IM injection.</w:t>
            </w:r>
          </w:p>
        </w:tc>
      </w:tr>
      <w:tr w:rsidR="002F635D" w:rsidRPr="0024114A" w14:paraId="392414B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A844A0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6018F962"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G6PD deficiency, hepatic impairment, pregnancy, breast feeding,</w:t>
            </w:r>
          </w:p>
        </w:tc>
      </w:tr>
      <w:tr w:rsidR="002F635D" w:rsidRPr="0024114A" w14:paraId="6955880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83AC05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40F09A20"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30°C. Protect from light. Do not freeze.</w:t>
            </w:r>
          </w:p>
        </w:tc>
      </w:tr>
      <w:tr w:rsidR="002F635D" w:rsidRPr="0024114A" w14:paraId="52FB1ED4"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11505C8C"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Pralidoxime Chloride</w:t>
            </w:r>
          </w:p>
        </w:tc>
      </w:tr>
      <w:tr w:rsidR="002F635D" w:rsidRPr="0024114A" w14:paraId="246CBB7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6DA9F2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C1889D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Cholinesterase reactivator, antidote</w:t>
            </w:r>
          </w:p>
        </w:tc>
      </w:tr>
      <w:tr w:rsidR="002F635D" w:rsidRPr="0024114A" w14:paraId="5B49840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A5FE30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4B962D02"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Powder for injection: 1 g in vial</w:t>
            </w:r>
          </w:p>
        </w:tc>
      </w:tr>
      <w:tr w:rsidR="002F635D" w:rsidRPr="0024114A" w14:paraId="40ABCD9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E5C279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Indications</w:t>
            </w:r>
          </w:p>
        </w:tc>
        <w:tc>
          <w:tcPr>
            <w:tcW w:w="6655" w:type="dxa"/>
          </w:tcPr>
          <w:p w14:paraId="2067942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Treatment of organophosphate poisoning, overdosage by anticholinesterase drugs used in the treatment of myasthenia gravis</w:t>
            </w:r>
          </w:p>
        </w:tc>
      </w:tr>
      <w:tr w:rsidR="002F635D" w:rsidRPr="0024114A" w14:paraId="7915327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9FB4538"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579B38A1"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 xml:space="preserve">Adjunct to atropine in the treatment of poisoning by organophosphorus insecticide or nerve agent, </w:t>
            </w:r>
            <w:r w:rsidRPr="0024114A">
              <w:rPr>
                <w:rFonts w:cs="Times New Roman"/>
                <w:color w:val="000000" w:themeColor="text1"/>
                <w:szCs w:val="24"/>
              </w:rPr>
              <w:t>by IV Infusion:</w:t>
            </w:r>
          </w:p>
          <w:p w14:paraId="78D856AC"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Initially 30 mg/kg, to be given over 20 minutes, followed by 8 mg/kg/hour; maximum 12 g per day</w:t>
            </w:r>
          </w:p>
          <w:p w14:paraId="1E81EAB0"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Child</w:t>
            </w:r>
            <w:r w:rsidRPr="0024114A">
              <w:rPr>
                <w:rFonts w:cs="Times New Roman"/>
                <w:color w:val="000000" w:themeColor="text1"/>
                <w:szCs w:val="24"/>
              </w:rPr>
              <w:t>: Initially 30 mg/kg, to be given over 20 minutes, followed by 8 mg/kg/hour; maximum 12 g per day.</w:t>
            </w:r>
          </w:p>
        </w:tc>
      </w:tr>
      <w:tr w:rsidR="002F635D" w:rsidRPr="0024114A" w14:paraId="4A5EC51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D3EA30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27001CD4" w14:textId="77777777" w:rsidR="002F635D" w:rsidRPr="0024114A" w:rsidRDefault="002F635D" w:rsidP="002D6DD7">
            <w:pPr>
              <w:contextualSpacing/>
              <w:jc w:val="both"/>
              <w:rPr>
                <w:rFonts w:cs="Times New Roman"/>
                <w:szCs w:val="24"/>
              </w:rPr>
            </w:pPr>
            <w:r w:rsidRPr="0024114A">
              <w:rPr>
                <w:rFonts w:cs="Times New Roman"/>
                <w:szCs w:val="24"/>
              </w:rPr>
              <w:t>Poisoning with carbamates, poisoning with organophosphorus compounds without anticholinesterase activity.</w:t>
            </w:r>
          </w:p>
        </w:tc>
      </w:tr>
      <w:tr w:rsidR="002F635D" w:rsidRPr="0024114A" w14:paraId="510F2A4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0BBAF3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2B3CA83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Succinylcholine, barbiturates, morphine, theophylline, aminophylline, reserpine, phenothiazine-type tranquilizers</w:t>
            </w:r>
          </w:p>
        </w:tc>
      </w:tr>
      <w:tr w:rsidR="002F635D" w:rsidRPr="0024114A" w14:paraId="566FFBB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DD5411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092E75F5" w14:textId="77777777" w:rsidR="002F635D" w:rsidRPr="0024114A" w:rsidRDefault="002F635D" w:rsidP="002D6DD7">
            <w:pPr>
              <w:jc w:val="both"/>
              <w:rPr>
                <w:rFonts w:cs="Times New Roman"/>
                <w:szCs w:val="24"/>
              </w:rPr>
            </w:pPr>
            <w:r w:rsidRPr="0024114A">
              <w:rPr>
                <w:rFonts w:cs="Times New Roman"/>
                <w:color w:val="000000" w:themeColor="text1"/>
                <w:szCs w:val="24"/>
              </w:rPr>
              <w:t>Drowsiness, dizziness, disturbances of vision, nausea, tachycardia, headache, hyperventilation, and muscle weakness; laryngospasm, muscle rigidity (due to rapid IV injection of pralidoxime)</w:t>
            </w:r>
          </w:p>
        </w:tc>
      </w:tr>
      <w:tr w:rsidR="002F635D" w:rsidRPr="0024114A" w14:paraId="1C65E90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119634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660301B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Renal impairment, myasthenia gravis</w:t>
            </w:r>
          </w:p>
        </w:tc>
      </w:tr>
      <w:tr w:rsidR="002F635D" w:rsidRPr="0024114A" w14:paraId="3B92D8C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CA89A3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3B30009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Store below 30°C. </w:t>
            </w:r>
          </w:p>
        </w:tc>
      </w:tr>
      <w:tr w:rsidR="002F635D" w:rsidRPr="0024114A" w14:paraId="229F6EE9"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0B9307D0"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Protamine Sulphate</w:t>
            </w:r>
          </w:p>
        </w:tc>
      </w:tr>
      <w:tr w:rsidR="002F635D" w:rsidRPr="0024114A" w14:paraId="42C07AF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96EAAE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59F139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Antidote </w:t>
            </w:r>
          </w:p>
        </w:tc>
      </w:tr>
      <w:tr w:rsidR="002F635D" w:rsidRPr="0024114A" w14:paraId="63034D5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D3A95D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7B93752E"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10mg/ml in 5ml ampoule</w:t>
            </w:r>
          </w:p>
        </w:tc>
      </w:tr>
      <w:tr w:rsidR="002F635D" w:rsidRPr="0024114A" w14:paraId="193AB08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0BABE2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671E875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Heparin overdose, neutralization of heparin administered during extracorporeal circulation</w:t>
            </w:r>
          </w:p>
        </w:tc>
      </w:tr>
      <w:tr w:rsidR="002F635D" w:rsidRPr="0024114A" w14:paraId="43ACD0E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B9407E8"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Borders>
              <w:top w:val="single" w:sz="4" w:space="0" w:color="auto"/>
              <w:left w:val="single" w:sz="4" w:space="0" w:color="auto"/>
              <w:bottom w:val="single" w:sz="4" w:space="0" w:color="auto"/>
              <w:right w:val="single" w:sz="4" w:space="0" w:color="auto"/>
            </w:tcBorders>
          </w:tcPr>
          <w:p w14:paraId="790044B1" w14:textId="77777777" w:rsidR="002F635D" w:rsidRPr="0024114A" w:rsidRDefault="002F635D" w:rsidP="002D6DD7">
            <w:pPr>
              <w:pStyle w:val="Default"/>
              <w:spacing w:line="360" w:lineRule="auto"/>
              <w:jc w:val="both"/>
              <w:rPr>
                <w:lang w:val="en-GB"/>
              </w:rPr>
            </w:pPr>
            <w:r w:rsidRPr="0024114A">
              <w:rPr>
                <w:lang w:val="en-GB"/>
              </w:rPr>
              <w:t>If heparin was given IV less than 15 minutes ago, the dose is 1 mg of protamine sulfate per 100 units of heparin. For heparin given between 30 to 60 minutes ago, the dose is reduced to 0.5 to 0.75 mg of protamine sulfate per 100 units of heparin. If more than 2 hours have passed, only 0.25 to 0.375 mg per 100 units of heparin is needed. For SC heparin, the dose is typically 1 mg of protamine sulfate per 100 units of heparin.</w:t>
            </w:r>
          </w:p>
          <w:p w14:paraId="1A582C6B" w14:textId="77777777" w:rsidR="002F635D" w:rsidRPr="0024114A" w:rsidRDefault="002F635D" w:rsidP="002D6DD7">
            <w:pPr>
              <w:pStyle w:val="Default"/>
              <w:spacing w:line="360" w:lineRule="auto"/>
              <w:jc w:val="both"/>
              <w:rPr>
                <w:i/>
              </w:rPr>
            </w:pPr>
            <w:r w:rsidRPr="0024114A">
              <w:rPr>
                <w:i/>
                <w:lang w:val="en-GB"/>
              </w:rPr>
              <w:t xml:space="preserve">Note: Protamine sulphate usually is administered by very slow IV </w:t>
            </w:r>
            <w:r w:rsidRPr="0024114A">
              <w:rPr>
                <w:i/>
                <w:lang w:val="en-GB"/>
              </w:rPr>
              <w:lastRenderedPageBreak/>
              <w:t>injection over 10 minutes. No more than 50mg of the drug should be administered in any 10-minute period.</w:t>
            </w:r>
          </w:p>
        </w:tc>
      </w:tr>
      <w:tr w:rsidR="002F635D" w:rsidRPr="0024114A" w14:paraId="6FB41FD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7D7D59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Borders>
              <w:top w:val="single" w:sz="4" w:space="0" w:color="auto"/>
              <w:left w:val="single" w:sz="4" w:space="0" w:color="auto"/>
              <w:bottom w:val="single" w:sz="4" w:space="0" w:color="auto"/>
              <w:right w:val="single" w:sz="4" w:space="0" w:color="auto"/>
            </w:tcBorders>
          </w:tcPr>
          <w:p w14:paraId="0E29ABE5" w14:textId="77777777" w:rsidR="002F635D" w:rsidRPr="0024114A" w:rsidRDefault="002F635D" w:rsidP="002D6DD7">
            <w:pPr>
              <w:jc w:val="both"/>
              <w:rPr>
                <w:rFonts w:cs="Times New Roman"/>
                <w:color w:val="ED7D31" w:themeColor="accent2"/>
                <w:szCs w:val="24"/>
              </w:rPr>
            </w:pPr>
            <w:r w:rsidRPr="0024114A">
              <w:rPr>
                <w:rFonts w:eastAsia="Times New Roman" w:cs="Times New Roman"/>
                <w:bCs/>
                <w:color w:val="000000" w:themeColor="text1"/>
                <w:szCs w:val="24"/>
              </w:rPr>
              <w:t xml:space="preserve">Hypersensitivity to the drug, </w:t>
            </w:r>
            <w:r w:rsidRPr="0024114A">
              <w:rPr>
                <w:rFonts w:cs="Times New Roman"/>
                <w:color w:val="000000" w:themeColor="text1"/>
                <w:szCs w:val="24"/>
              </w:rPr>
              <w:t>bleeding without heparin use</w:t>
            </w:r>
          </w:p>
        </w:tc>
      </w:tr>
      <w:tr w:rsidR="002F635D" w:rsidRPr="0024114A" w14:paraId="024F6B8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C368F6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0427B4CA"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There are no significant drug interactions </w:t>
            </w:r>
          </w:p>
        </w:tc>
      </w:tr>
      <w:tr w:rsidR="002F635D" w:rsidRPr="0024114A" w14:paraId="42076AA4"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BDD9C3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3FBFF42E" w14:textId="77777777" w:rsidR="002F635D" w:rsidRPr="0024114A" w:rsidRDefault="002F635D" w:rsidP="002D6DD7">
            <w:pPr>
              <w:jc w:val="both"/>
              <w:rPr>
                <w:rFonts w:cs="Times New Roman"/>
                <w:szCs w:val="24"/>
              </w:rPr>
            </w:pPr>
            <w:r w:rsidRPr="0024114A">
              <w:rPr>
                <w:rFonts w:cs="Times New Roman"/>
                <w:color w:val="000000" w:themeColor="text1"/>
                <w:szCs w:val="24"/>
              </w:rPr>
              <w:t>Anaphylaxis, transient neutropenia, bradycardia, flushing, systemic hypotension, pulmonary hypertension, dyspnoea, nausea, vomiting.</w:t>
            </w:r>
          </w:p>
        </w:tc>
      </w:tr>
      <w:tr w:rsidR="002F635D" w:rsidRPr="0024114A" w14:paraId="1FB9264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192FEE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6F4AB2C5"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Anticoagulant effect, fish allergies, rapid administration or high dose, monitor aPTT</w:t>
            </w:r>
          </w:p>
        </w:tc>
      </w:tr>
      <w:tr w:rsidR="002F635D" w:rsidRPr="0024114A" w14:paraId="1AA048B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CFD5AA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3E8BF770"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at 2-8</w:t>
            </w:r>
            <w:r w:rsidRPr="0024114A">
              <w:rPr>
                <w:rFonts w:cs="Times New Roman"/>
                <w:color w:val="000000" w:themeColor="text1"/>
                <w:szCs w:val="24"/>
                <w:vertAlign w:val="superscript"/>
              </w:rPr>
              <w:t>0</w:t>
            </w:r>
            <w:r w:rsidRPr="0024114A">
              <w:rPr>
                <w:rFonts w:cs="Times New Roman"/>
                <w:color w:val="000000" w:themeColor="text1"/>
                <w:szCs w:val="24"/>
              </w:rPr>
              <w:t>C. Don’t freeze.</w:t>
            </w:r>
          </w:p>
        </w:tc>
      </w:tr>
      <w:tr w:rsidR="002F635D" w:rsidRPr="0024114A" w14:paraId="4D0CA944"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1211B9AC"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Prussian Blue (Ferric hexacyanoferrate (II)</w:t>
            </w:r>
          </w:p>
        </w:tc>
      </w:tr>
      <w:tr w:rsidR="002F635D" w:rsidRPr="0024114A" w14:paraId="0237071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9C66ED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4C981A55" w14:textId="77777777" w:rsidR="002F635D" w:rsidRPr="0024114A" w:rsidRDefault="002F635D" w:rsidP="002D6DD7">
            <w:pPr>
              <w:jc w:val="both"/>
              <w:rPr>
                <w:rFonts w:cs="Times New Roman"/>
                <w:color w:val="000000" w:themeColor="text1"/>
                <w:szCs w:val="24"/>
              </w:rPr>
            </w:pPr>
            <w:r w:rsidRPr="0024114A">
              <w:rPr>
                <w:rFonts w:cs="Times New Roman"/>
                <w:color w:val="202227"/>
                <w:szCs w:val="24"/>
                <w:shd w:val="clear" w:color="auto" w:fill="FFFFFF"/>
              </w:rPr>
              <w:t>Antidotes (Other Ion-removing Agents)</w:t>
            </w:r>
          </w:p>
        </w:tc>
      </w:tr>
      <w:tr w:rsidR="002F635D" w:rsidRPr="0024114A" w14:paraId="672959B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4170F5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53B523C0"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Capsule for oral administration (powder): 500mg </w:t>
            </w:r>
          </w:p>
        </w:tc>
      </w:tr>
      <w:tr w:rsidR="002F635D" w:rsidRPr="0024114A" w14:paraId="229C0D11"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8646B1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7F6D63D6"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202227"/>
                <w:szCs w:val="24"/>
              </w:rPr>
              <w:t>Known or suspected internal contamination with radioactive cesium and/or radioactive or nonradioactive thallium following accidental exposure and/or intentionfal exposure from radioactive terrorism or warfare.</w:t>
            </w:r>
          </w:p>
        </w:tc>
      </w:tr>
      <w:tr w:rsidR="002F635D" w:rsidRPr="0024114A" w14:paraId="3DDAC765"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7AE169F"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4CA6BC9C" w14:textId="77777777" w:rsidR="002F635D" w:rsidRPr="0024114A" w:rsidRDefault="002F635D" w:rsidP="002D6DD7">
            <w:pPr>
              <w:shd w:val="clear" w:color="auto" w:fill="FFFFFF"/>
              <w:jc w:val="both"/>
              <w:outlineLvl w:val="3"/>
              <w:rPr>
                <w:rFonts w:eastAsia="Times New Roman" w:cs="Times New Roman"/>
                <w:b/>
                <w:bCs/>
                <w:color w:val="000000" w:themeColor="text1"/>
                <w:spacing w:val="-2"/>
                <w:szCs w:val="24"/>
              </w:rPr>
            </w:pPr>
            <w:r w:rsidRPr="0024114A">
              <w:rPr>
                <w:rFonts w:eastAsia="Times New Roman" w:cs="Times New Roman"/>
                <w:b/>
                <w:bCs/>
                <w:color w:val="000000" w:themeColor="text1"/>
                <w:spacing w:val="-2"/>
                <w:szCs w:val="24"/>
              </w:rPr>
              <w:t>Poisoning and Radioactive Exposure</w:t>
            </w:r>
          </w:p>
          <w:p w14:paraId="339E8743" w14:textId="77777777" w:rsidR="002F635D" w:rsidRPr="00FB4F74" w:rsidRDefault="002F635D" w:rsidP="002D6DD7">
            <w:pPr>
              <w:shd w:val="clear" w:color="auto" w:fill="FFFFFF"/>
              <w:jc w:val="both"/>
              <w:outlineLvl w:val="3"/>
              <w:rPr>
                <w:rFonts w:eastAsia="Times New Roman" w:cs="Times New Roman"/>
                <w:bCs/>
                <w:color w:val="000000" w:themeColor="text1"/>
                <w:spacing w:val="-2"/>
                <w:szCs w:val="24"/>
              </w:rPr>
            </w:pPr>
            <w:r w:rsidRPr="0024114A">
              <w:rPr>
                <w:rFonts w:eastAsia="Times New Roman" w:cs="Times New Roman"/>
                <w:b/>
                <w:bCs/>
                <w:color w:val="000000" w:themeColor="text1"/>
                <w:spacing w:val="-2"/>
                <w:szCs w:val="24"/>
              </w:rPr>
              <w:t xml:space="preserve">Cesium Poisoning, </w:t>
            </w:r>
            <w:r w:rsidRPr="00FB4F74">
              <w:rPr>
                <w:rFonts w:eastAsia="Times New Roman" w:cs="Times New Roman"/>
                <w:bCs/>
                <w:color w:val="000000" w:themeColor="text1"/>
                <w:spacing w:val="-2"/>
                <w:szCs w:val="24"/>
              </w:rPr>
              <w:t>o</w:t>
            </w:r>
            <w:r w:rsidRPr="00FB4F74">
              <w:rPr>
                <w:rFonts w:eastAsia="Times New Roman" w:cs="Times New Roman"/>
                <w:color w:val="000000" w:themeColor="text1"/>
                <w:szCs w:val="24"/>
                <w:shd w:val="clear" w:color="auto" w:fill="FFFFFF"/>
              </w:rPr>
              <w:t>ral</w:t>
            </w:r>
            <w:r w:rsidRPr="00FB4F74">
              <w:rPr>
                <w:rFonts w:eastAsia="Times New Roman" w:cs="Times New Roman"/>
                <w:bCs/>
                <w:color w:val="000000" w:themeColor="text1"/>
                <w:spacing w:val="-2"/>
                <w:szCs w:val="24"/>
              </w:rPr>
              <w:t>:</w:t>
            </w:r>
          </w:p>
          <w:p w14:paraId="63B7DFF7" w14:textId="77777777" w:rsidR="002F635D" w:rsidRPr="0024114A" w:rsidRDefault="002F635D" w:rsidP="002D6DD7">
            <w:pPr>
              <w:shd w:val="clear" w:color="auto" w:fill="FFFFFF"/>
              <w:jc w:val="both"/>
              <w:outlineLvl w:val="3"/>
              <w:rPr>
                <w:rFonts w:eastAsia="Times New Roman" w:cs="Times New Roman"/>
                <w:b/>
                <w:bCs/>
                <w:color w:val="000000" w:themeColor="text1"/>
                <w:spacing w:val="-2"/>
                <w:szCs w:val="24"/>
              </w:rPr>
            </w:pPr>
            <w:r w:rsidRPr="0024114A">
              <w:rPr>
                <w:rFonts w:eastAsia="Times New Roman" w:cs="Times New Roman"/>
                <w:b/>
                <w:bCs/>
                <w:color w:val="000000" w:themeColor="text1"/>
                <w:spacing w:val="-2"/>
                <w:szCs w:val="24"/>
              </w:rPr>
              <w:t xml:space="preserve">Adult: </w:t>
            </w:r>
            <w:r w:rsidRPr="0024114A">
              <w:rPr>
                <w:rFonts w:eastAsia="Times New Roman" w:cs="Times New Roman"/>
                <w:color w:val="000000" w:themeColor="text1"/>
                <w:szCs w:val="24"/>
              </w:rPr>
              <w:t>3 g 3 times daily. Once internal radiation has decreased substantially, reduce dosage to 1 or 2 g 3 times daily (to improve GI tolerance).</w:t>
            </w:r>
            <w:r w:rsidR="00FB4F74">
              <w:rPr>
                <w:rFonts w:eastAsia="Times New Roman" w:cs="Times New Roman"/>
                <w:color w:val="000000" w:themeColor="text1"/>
                <w:szCs w:val="24"/>
              </w:rPr>
              <w:t xml:space="preserve"> </w:t>
            </w:r>
            <w:r w:rsidRPr="0024114A">
              <w:rPr>
                <w:rFonts w:eastAsia="Times New Roman" w:cs="Times New Roman"/>
                <w:color w:val="000000" w:themeColor="text1"/>
                <w:szCs w:val="24"/>
              </w:rPr>
              <w:t>Continue for a minimum of 30 days. Duration of therapy based on level of contamination and clinical judgment.</w:t>
            </w:r>
          </w:p>
          <w:p w14:paraId="201803A3" w14:textId="77777777" w:rsidR="002F635D" w:rsidRPr="00FB4F74" w:rsidRDefault="002F635D" w:rsidP="002D6DD7">
            <w:pPr>
              <w:shd w:val="clear" w:color="auto" w:fill="FFFFFF"/>
              <w:jc w:val="both"/>
              <w:outlineLvl w:val="3"/>
              <w:rPr>
                <w:rFonts w:eastAsia="Times New Roman" w:cs="Times New Roman"/>
                <w:bCs/>
                <w:color w:val="000000" w:themeColor="text1"/>
                <w:spacing w:val="-2"/>
                <w:szCs w:val="24"/>
              </w:rPr>
            </w:pPr>
            <w:r w:rsidRPr="0024114A">
              <w:rPr>
                <w:rFonts w:eastAsia="Times New Roman" w:cs="Times New Roman"/>
                <w:b/>
                <w:bCs/>
                <w:color w:val="000000" w:themeColor="text1"/>
                <w:spacing w:val="-2"/>
                <w:szCs w:val="24"/>
              </w:rPr>
              <w:t xml:space="preserve">Thallium Poisoning, </w:t>
            </w:r>
            <w:r w:rsidRPr="00FB4F74">
              <w:rPr>
                <w:rFonts w:eastAsia="Times New Roman" w:cs="Times New Roman"/>
                <w:bCs/>
                <w:color w:val="000000" w:themeColor="text1"/>
                <w:spacing w:val="-2"/>
                <w:szCs w:val="24"/>
              </w:rPr>
              <w:t>o</w:t>
            </w:r>
            <w:r w:rsidRPr="00FB4F74">
              <w:rPr>
                <w:rFonts w:eastAsia="Times New Roman" w:cs="Times New Roman"/>
                <w:color w:val="000000" w:themeColor="text1"/>
                <w:szCs w:val="24"/>
                <w:shd w:val="clear" w:color="auto" w:fill="FFFFFF"/>
              </w:rPr>
              <w:t>ral</w:t>
            </w:r>
            <w:r w:rsidRPr="00FB4F74">
              <w:rPr>
                <w:rFonts w:eastAsia="Times New Roman" w:cs="Times New Roman"/>
                <w:bCs/>
                <w:color w:val="000000" w:themeColor="text1"/>
                <w:spacing w:val="-2"/>
                <w:szCs w:val="24"/>
              </w:rPr>
              <w:t>:</w:t>
            </w:r>
          </w:p>
          <w:p w14:paraId="5450562F" w14:textId="77777777" w:rsidR="002F635D" w:rsidRPr="0024114A" w:rsidRDefault="002F635D" w:rsidP="002D6DD7">
            <w:pPr>
              <w:shd w:val="clear" w:color="auto" w:fill="FFFFFF"/>
              <w:jc w:val="both"/>
              <w:outlineLvl w:val="3"/>
              <w:rPr>
                <w:rFonts w:eastAsia="Times New Roman" w:cs="Times New Roman"/>
                <w:b/>
                <w:bCs/>
                <w:color w:val="000000" w:themeColor="text1"/>
                <w:spacing w:val="-2"/>
                <w:szCs w:val="24"/>
              </w:rPr>
            </w:pPr>
            <w:r w:rsidRPr="0024114A">
              <w:rPr>
                <w:rFonts w:eastAsia="Times New Roman" w:cs="Times New Roman"/>
                <w:b/>
                <w:bCs/>
                <w:color w:val="000000" w:themeColor="text1"/>
                <w:spacing w:val="-2"/>
                <w:szCs w:val="24"/>
              </w:rPr>
              <w:t xml:space="preserve">Adult: </w:t>
            </w:r>
            <w:r w:rsidRPr="0024114A">
              <w:rPr>
                <w:rFonts w:eastAsia="Times New Roman" w:cs="Times New Roman"/>
                <w:color w:val="000000" w:themeColor="text1"/>
                <w:szCs w:val="24"/>
              </w:rPr>
              <w:t>3 g 3 times daily.</w:t>
            </w:r>
            <w:r w:rsidR="00FB4F74">
              <w:rPr>
                <w:rFonts w:eastAsia="Times New Roman" w:cs="Times New Roman"/>
                <w:color w:val="000000" w:themeColor="text1"/>
                <w:szCs w:val="24"/>
              </w:rPr>
              <w:t xml:space="preserve"> </w:t>
            </w:r>
            <w:r w:rsidRPr="0024114A">
              <w:rPr>
                <w:rFonts w:eastAsia="Times New Roman" w:cs="Times New Roman"/>
                <w:color w:val="000000" w:themeColor="text1"/>
                <w:szCs w:val="24"/>
              </w:rPr>
              <w:t>Duration of therapy based on level of contamination and clinical judgment.</w:t>
            </w:r>
          </w:p>
          <w:p w14:paraId="29073E57" w14:textId="77777777" w:rsidR="002F635D" w:rsidRPr="0024114A" w:rsidRDefault="002F635D" w:rsidP="002D6DD7">
            <w:pPr>
              <w:shd w:val="clear" w:color="auto" w:fill="FFFFFF"/>
              <w:jc w:val="both"/>
              <w:outlineLvl w:val="3"/>
              <w:rPr>
                <w:rFonts w:eastAsia="Times New Roman" w:cs="Times New Roman"/>
                <w:b/>
                <w:bCs/>
                <w:color w:val="000000" w:themeColor="text1"/>
                <w:spacing w:val="-2"/>
                <w:szCs w:val="24"/>
              </w:rPr>
            </w:pPr>
            <w:r w:rsidRPr="0024114A">
              <w:rPr>
                <w:rFonts w:eastAsia="Times New Roman" w:cs="Times New Roman"/>
                <w:b/>
                <w:bCs/>
                <w:color w:val="000000" w:themeColor="text1"/>
                <w:spacing w:val="-2"/>
                <w:szCs w:val="24"/>
              </w:rPr>
              <w:t>Poisoning and Radioactive Exposure</w:t>
            </w:r>
          </w:p>
          <w:p w14:paraId="15EF4D59" w14:textId="77777777" w:rsidR="002F635D" w:rsidRPr="00FB4F74" w:rsidRDefault="002F635D" w:rsidP="002D6DD7">
            <w:pPr>
              <w:shd w:val="clear" w:color="auto" w:fill="FFFFFF"/>
              <w:jc w:val="both"/>
              <w:outlineLvl w:val="5"/>
              <w:rPr>
                <w:rFonts w:eastAsia="Times New Roman" w:cs="Times New Roman"/>
                <w:color w:val="000000" w:themeColor="text1"/>
                <w:szCs w:val="24"/>
                <w:shd w:val="clear" w:color="auto" w:fill="FFFFFF"/>
              </w:rPr>
            </w:pPr>
            <w:r w:rsidRPr="0024114A">
              <w:rPr>
                <w:rFonts w:eastAsia="Times New Roman" w:cs="Times New Roman"/>
                <w:b/>
                <w:bCs/>
                <w:color w:val="000000" w:themeColor="text1"/>
                <w:spacing w:val="-2"/>
                <w:szCs w:val="24"/>
              </w:rPr>
              <w:t xml:space="preserve">Cesium Poisoning, </w:t>
            </w:r>
            <w:r w:rsidRPr="00FB4F74">
              <w:rPr>
                <w:rFonts w:eastAsia="Times New Roman" w:cs="Times New Roman"/>
                <w:bCs/>
                <w:color w:val="000000" w:themeColor="text1"/>
                <w:spacing w:val="-2"/>
                <w:szCs w:val="24"/>
              </w:rPr>
              <w:t>o</w:t>
            </w:r>
            <w:r w:rsidRPr="00FB4F74">
              <w:rPr>
                <w:rFonts w:eastAsia="Times New Roman" w:cs="Times New Roman"/>
                <w:color w:val="000000" w:themeColor="text1"/>
                <w:szCs w:val="24"/>
                <w:shd w:val="clear" w:color="auto" w:fill="FFFFFF"/>
              </w:rPr>
              <w:t>ral:</w:t>
            </w:r>
          </w:p>
          <w:p w14:paraId="18771C96" w14:textId="77777777" w:rsidR="002F635D" w:rsidRPr="0024114A" w:rsidRDefault="002F635D" w:rsidP="002D6DD7">
            <w:pPr>
              <w:shd w:val="clear" w:color="auto" w:fill="FFFFFF"/>
              <w:jc w:val="both"/>
              <w:rPr>
                <w:rFonts w:eastAsia="Times New Roman" w:cs="Times New Roman"/>
                <w:color w:val="000000" w:themeColor="text1"/>
                <w:szCs w:val="24"/>
              </w:rPr>
            </w:pPr>
            <w:r w:rsidRPr="0024114A">
              <w:rPr>
                <w:rFonts w:eastAsia="Times New Roman" w:cs="Times New Roman"/>
                <w:b/>
                <w:color w:val="000000" w:themeColor="text1"/>
                <w:szCs w:val="24"/>
              </w:rPr>
              <w:t>Children 2–12 years of age</w:t>
            </w:r>
            <w:r w:rsidRPr="0024114A">
              <w:rPr>
                <w:rFonts w:eastAsia="Times New Roman" w:cs="Times New Roman"/>
                <w:color w:val="000000" w:themeColor="text1"/>
                <w:szCs w:val="24"/>
              </w:rPr>
              <w:t xml:space="preserve">: 1 g 3 times daily. Children ≥13 years of age: 3 g 3 times daily. Once internal radiation has decreased substantially, reduce dosage to 1 or 2 g 3 times daily (to improve </w:t>
            </w:r>
            <w:r w:rsidRPr="0024114A">
              <w:rPr>
                <w:rFonts w:eastAsia="Times New Roman" w:cs="Times New Roman"/>
                <w:color w:val="000000" w:themeColor="text1"/>
                <w:szCs w:val="24"/>
              </w:rPr>
              <w:lastRenderedPageBreak/>
              <w:t>GI tolerance). Continue for a minimum of 30 days. Duration of therapy based on level of contamination and clinical judgment.</w:t>
            </w:r>
          </w:p>
          <w:p w14:paraId="2C906462" w14:textId="77777777" w:rsidR="002F635D" w:rsidRPr="0024114A" w:rsidRDefault="002F635D" w:rsidP="002D6DD7">
            <w:pPr>
              <w:shd w:val="clear" w:color="auto" w:fill="FFFFFF"/>
              <w:jc w:val="both"/>
              <w:outlineLvl w:val="5"/>
              <w:rPr>
                <w:rFonts w:eastAsia="Times New Roman" w:cs="Times New Roman"/>
                <w:b/>
                <w:bCs/>
                <w:color w:val="000000" w:themeColor="text1"/>
                <w:spacing w:val="-2"/>
                <w:szCs w:val="24"/>
              </w:rPr>
            </w:pPr>
            <w:r w:rsidRPr="0024114A">
              <w:rPr>
                <w:rFonts w:eastAsia="Times New Roman" w:cs="Times New Roman"/>
                <w:b/>
                <w:bCs/>
                <w:color w:val="000000" w:themeColor="text1"/>
                <w:spacing w:val="-2"/>
                <w:szCs w:val="24"/>
              </w:rPr>
              <w:t xml:space="preserve">Thallium Poisoning, </w:t>
            </w:r>
            <w:r w:rsidRPr="00FB4F74">
              <w:rPr>
                <w:rFonts w:eastAsia="Times New Roman" w:cs="Times New Roman"/>
                <w:bCs/>
                <w:color w:val="000000" w:themeColor="text1"/>
                <w:spacing w:val="-2"/>
                <w:szCs w:val="24"/>
              </w:rPr>
              <w:t>o</w:t>
            </w:r>
            <w:r w:rsidRPr="00FB4F74">
              <w:rPr>
                <w:rFonts w:eastAsia="Times New Roman" w:cs="Times New Roman"/>
                <w:color w:val="000000" w:themeColor="text1"/>
                <w:szCs w:val="24"/>
                <w:shd w:val="clear" w:color="auto" w:fill="FFFFFF"/>
              </w:rPr>
              <w:t>ral:</w:t>
            </w:r>
          </w:p>
          <w:p w14:paraId="3A67DECA" w14:textId="77777777" w:rsidR="002F635D" w:rsidRPr="0024114A" w:rsidRDefault="002F635D" w:rsidP="002D6DD7">
            <w:pPr>
              <w:shd w:val="clear" w:color="auto" w:fill="FFFFFF"/>
              <w:jc w:val="both"/>
              <w:rPr>
                <w:rFonts w:cs="Times New Roman"/>
                <w:szCs w:val="24"/>
              </w:rPr>
            </w:pPr>
            <w:r w:rsidRPr="0024114A">
              <w:rPr>
                <w:rFonts w:eastAsia="Times New Roman" w:cs="Times New Roman"/>
                <w:b/>
                <w:color w:val="000000" w:themeColor="text1"/>
                <w:szCs w:val="24"/>
              </w:rPr>
              <w:t>Children 2–12 years of age</w:t>
            </w:r>
            <w:r w:rsidRPr="0024114A">
              <w:rPr>
                <w:rFonts w:eastAsia="Times New Roman" w:cs="Times New Roman"/>
                <w:color w:val="000000" w:themeColor="text1"/>
                <w:szCs w:val="24"/>
              </w:rPr>
              <w:t>: 1 g 3 times daily. Children ≥13 years of age: 3 g 3 times daily. Duration of therapy based on level of contamination and clinical judgment.</w:t>
            </w:r>
          </w:p>
        </w:tc>
      </w:tr>
      <w:tr w:rsidR="002F635D" w:rsidRPr="0024114A" w14:paraId="0F27B39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D2049A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Pr>
          <w:p w14:paraId="2AB57A75" w14:textId="77777777" w:rsidR="002F635D" w:rsidRPr="0024114A" w:rsidRDefault="002F635D" w:rsidP="002D6DD7">
            <w:pPr>
              <w:jc w:val="both"/>
              <w:rPr>
                <w:rFonts w:cs="Times New Roman"/>
                <w:color w:val="ED7D31" w:themeColor="accent2"/>
                <w:szCs w:val="24"/>
              </w:rPr>
            </w:pPr>
            <w:r w:rsidRPr="0024114A">
              <w:rPr>
                <w:rFonts w:cs="Times New Roman"/>
                <w:szCs w:val="24"/>
              </w:rPr>
              <w:t>There are no known contraindications</w:t>
            </w:r>
          </w:p>
        </w:tc>
      </w:tr>
      <w:tr w:rsidR="002F635D" w:rsidRPr="0024114A" w14:paraId="4A655F4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21A6F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030DFB11" w14:textId="77777777" w:rsidR="002F635D" w:rsidRPr="0024114A" w:rsidRDefault="002F635D" w:rsidP="002D6DD7">
            <w:pPr>
              <w:jc w:val="both"/>
              <w:rPr>
                <w:rFonts w:cs="Times New Roman"/>
                <w:color w:val="ED7D31" w:themeColor="accent2"/>
                <w:szCs w:val="24"/>
              </w:rPr>
            </w:pPr>
            <w:r w:rsidRPr="0024114A">
              <w:rPr>
                <w:rFonts w:cs="Times New Roman"/>
                <w:szCs w:val="24"/>
              </w:rPr>
              <w:t>Tetracycline</w:t>
            </w:r>
          </w:p>
        </w:tc>
      </w:tr>
      <w:tr w:rsidR="002F635D" w:rsidRPr="0024114A" w14:paraId="07EB192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E05945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27191298" w14:textId="77777777" w:rsidR="002F635D" w:rsidRPr="0024114A" w:rsidRDefault="002F635D" w:rsidP="002D6DD7">
            <w:pPr>
              <w:jc w:val="both"/>
              <w:rPr>
                <w:rFonts w:cs="Times New Roman"/>
                <w:szCs w:val="24"/>
              </w:rPr>
            </w:pPr>
            <w:r w:rsidRPr="0024114A">
              <w:rPr>
                <w:rFonts w:cs="Times New Roman"/>
                <w:szCs w:val="24"/>
              </w:rPr>
              <w:t>Constipation, GI distress, hypokalemia.</w:t>
            </w:r>
          </w:p>
        </w:tc>
      </w:tr>
      <w:tr w:rsidR="002F635D" w:rsidRPr="0024114A" w14:paraId="5486EA6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130AF0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23B792C9" w14:textId="77777777" w:rsidR="002F635D" w:rsidRPr="0024114A" w:rsidRDefault="002F635D" w:rsidP="002D6DD7">
            <w:pPr>
              <w:jc w:val="both"/>
              <w:rPr>
                <w:rFonts w:cs="Times New Roman"/>
                <w:szCs w:val="24"/>
                <w:vertAlign w:val="superscript"/>
              </w:rPr>
            </w:pPr>
            <w:r w:rsidRPr="0024114A">
              <w:rPr>
                <w:rFonts w:eastAsia="Times New Roman" w:cs="Times New Roman"/>
                <w:bCs/>
                <w:color w:val="202227"/>
                <w:spacing w:val="-2"/>
                <w:szCs w:val="24"/>
              </w:rPr>
              <w:t xml:space="preserve">Hypokalaemia, hepatic impairment, </w:t>
            </w:r>
            <w:r w:rsidRPr="0024114A">
              <w:rPr>
                <w:rFonts w:cs="Times New Roman"/>
                <w:szCs w:val="24"/>
              </w:rPr>
              <w:t>blue discoloration of sweat and tears</w:t>
            </w:r>
            <w:r w:rsidR="00FB4F74">
              <w:rPr>
                <w:rFonts w:eastAsia="Times New Roman" w:cs="Times New Roman"/>
                <w:bCs/>
                <w:color w:val="202227"/>
                <w:spacing w:val="-2"/>
                <w:szCs w:val="24"/>
              </w:rPr>
              <w:t>,</w:t>
            </w:r>
            <w:r w:rsidRPr="0024114A">
              <w:rPr>
                <w:rFonts w:eastAsia="Times New Roman" w:cs="Times New Roman"/>
                <w:bCs/>
                <w:color w:val="202227"/>
                <w:spacing w:val="-2"/>
                <w:szCs w:val="24"/>
              </w:rPr>
              <w:t xml:space="preserve"> pregnancy</w:t>
            </w:r>
            <w:r w:rsidR="00FB4F74">
              <w:rPr>
                <w:rFonts w:eastAsia="Times New Roman" w:cs="Times New Roman"/>
                <w:bCs/>
                <w:color w:val="202227"/>
                <w:spacing w:val="-2"/>
                <w:szCs w:val="24"/>
              </w:rPr>
              <w:t>.</w:t>
            </w:r>
          </w:p>
        </w:tc>
      </w:tr>
      <w:tr w:rsidR="002F635D" w:rsidRPr="0024114A" w14:paraId="6F3207C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6DC6DC1"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616B5F40" w14:textId="77777777" w:rsidR="002F635D" w:rsidRPr="0024114A" w:rsidRDefault="002F635D" w:rsidP="002D6DD7">
            <w:pPr>
              <w:jc w:val="both"/>
              <w:rPr>
                <w:rFonts w:cs="Times New Roman"/>
                <w:color w:val="ED7D31" w:themeColor="accent2"/>
                <w:szCs w:val="24"/>
              </w:rPr>
            </w:pPr>
            <w:r w:rsidRPr="0024114A">
              <w:rPr>
                <w:rFonts w:eastAsia="Times New Roman" w:cs="Times New Roman"/>
                <w:color w:val="202227"/>
                <w:szCs w:val="24"/>
              </w:rPr>
              <w:t xml:space="preserve">Store between 15 and 30°C in dark place </w:t>
            </w:r>
          </w:p>
        </w:tc>
      </w:tr>
      <w:tr w:rsidR="002F635D" w:rsidRPr="0024114A" w14:paraId="5FC1F740"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6D61E603"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Snake venom antiserum polyvalent</w:t>
            </w:r>
          </w:p>
        </w:tc>
      </w:tr>
      <w:tr w:rsidR="002F635D" w:rsidRPr="0024114A" w14:paraId="0F1F48CA"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F373D5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7538624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Snake antivenom</w:t>
            </w:r>
          </w:p>
        </w:tc>
      </w:tr>
      <w:tr w:rsidR="002F635D" w:rsidRPr="0024114A" w14:paraId="609930AB"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E381EC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0A00ED38"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10ml</w:t>
            </w:r>
          </w:p>
        </w:tc>
      </w:tr>
      <w:tr w:rsidR="002F635D" w:rsidRPr="0024114A" w14:paraId="75CC9F5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FECFA3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714817F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To treat snake bites by venomous snakes. </w:t>
            </w:r>
          </w:p>
        </w:tc>
      </w:tr>
      <w:tr w:rsidR="002F635D" w:rsidRPr="0024114A" w14:paraId="42F9866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60AD95A"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29412372" w14:textId="77777777" w:rsidR="002F635D" w:rsidRPr="0024114A" w:rsidRDefault="002F635D" w:rsidP="002D6DD7">
            <w:pPr>
              <w:jc w:val="both"/>
              <w:rPr>
                <w:rFonts w:cs="Times New Roman"/>
                <w:szCs w:val="24"/>
              </w:rPr>
            </w:pPr>
            <w:r w:rsidRPr="0024114A">
              <w:rPr>
                <w:rFonts w:cs="Times New Roman"/>
                <w:color w:val="000000" w:themeColor="text1"/>
                <w:szCs w:val="24"/>
              </w:rPr>
              <w:t>Administered diluted in saline IV over 20 minutes. Rapid IV push can be given if the patient is hemodynamically unstable or in cardiac arrest.</w:t>
            </w:r>
          </w:p>
        </w:tc>
      </w:tr>
      <w:tr w:rsidR="002F635D" w:rsidRPr="0024114A" w14:paraId="48D21CB2"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79A6343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782F4760"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Hypersensitivity to the drug to equine sera</w:t>
            </w:r>
          </w:p>
        </w:tc>
      </w:tr>
      <w:tr w:rsidR="002F635D" w:rsidRPr="0024114A" w14:paraId="51E17CD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FA3A50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Borders>
              <w:top w:val="single" w:sz="4" w:space="0" w:color="auto"/>
              <w:left w:val="single" w:sz="4" w:space="0" w:color="auto"/>
              <w:bottom w:val="single" w:sz="4" w:space="0" w:color="auto"/>
              <w:right w:val="single" w:sz="4" w:space="0" w:color="auto"/>
            </w:tcBorders>
          </w:tcPr>
          <w:p w14:paraId="03FE67D1" w14:textId="77777777" w:rsidR="002F635D" w:rsidRPr="0024114A" w:rsidRDefault="002F635D" w:rsidP="002D6DD7">
            <w:pPr>
              <w:jc w:val="both"/>
              <w:rPr>
                <w:rFonts w:cs="Times New Roman"/>
                <w:color w:val="ED7D31" w:themeColor="accent2"/>
                <w:szCs w:val="24"/>
              </w:rPr>
            </w:pPr>
            <w:r w:rsidRPr="0024114A">
              <w:rPr>
                <w:rFonts w:cs="Times New Roman"/>
                <w:szCs w:val="24"/>
              </w:rPr>
              <w:t>There are no known contraindications</w:t>
            </w:r>
          </w:p>
        </w:tc>
      </w:tr>
      <w:tr w:rsidR="002F635D" w:rsidRPr="0024114A" w14:paraId="2BC5E746"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27F1B9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71538298" w14:textId="77777777" w:rsidR="002F635D" w:rsidRPr="0024114A" w:rsidRDefault="002F635D" w:rsidP="002D6DD7">
            <w:pPr>
              <w:contextualSpacing/>
              <w:jc w:val="both"/>
              <w:rPr>
                <w:rFonts w:cs="Times New Roman"/>
                <w:bCs/>
                <w:szCs w:val="24"/>
              </w:rPr>
            </w:pPr>
            <w:r w:rsidRPr="0024114A">
              <w:rPr>
                <w:rFonts w:cs="Times New Roman"/>
                <w:bCs/>
                <w:szCs w:val="24"/>
              </w:rPr>
              <w:t>Anaphylaxis, serum sickness characterized by fever, rash, arthralgia, myalgia, abdominal pain.</w:t>
            </w:r>
          </w:p>
        </w:tc>
      </w:tr>
      <w:tr w:rsidR="002F635D" w:rsidRPr="0024114A" w14:paraId="7BAF1FB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2462B3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38F3CA92" w14:textId="77777777" w:rsidR="002F635D" w:rsidRPr="0024114A" w:rsidRDefault="002F635D" w:rsidP="002D6DD7">
            <w:pPr>
              <w:jc w:val="both"/>
              <w:rPr>
                <w:rFonts w:cs="Times New Roman"/>
                <w:szCs w:val="24"/>
              </w:rPr>
            </w:pPr>
            <w:r w:rsidRPr="0024114A">
              <w:rPr>
                <w:rFonts w:cs="Times New Roman"/>
                <w:szCs w:val="24"/>
              </w:rPr>
              <w:t xml:space="preserve">Sensitisation to heterologous protein </w:t>
            </w:r>
          </w:p>
        </w:tc>
      </w:tr>
      <w:tr w:rsidR="002F635D" w:rsidRPr="0024114A" w14:paraId="65EF7BB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860F08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09F70E62"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30°C. Protect from light.</w:t>
            </w:r>
          </w:p>
        </w:tc>
      </w:tr>
      <w:tr w:rsidR="002F635D" w:rsidRPr="0024114A" w14:paraId="78CADBBF"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2F69616A"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Sodium bicarbonate</w:t>
            </w:r>
          </w:p>
        </w:tc>
      </w:tr>
      <w:tr w:rsidR="002F635D" w:rsidRPr="0024114A" w14:paraId="5E8FC21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95D301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270AA60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Urine alkalinizing agent, antidote</w:t>
            </w:r>
          </w:p>
        </w:tc>
      </w:tr>
      <w:tr w:rsidR="002F635D" w:rsidRPr="0024114A" w14:paraId="4A3F8AF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C16CA7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21633C8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Tablet:</w:t>
            </w:r>
            <w:r w:rsidRPr="0024114A">
              <w:rPr>
                <w:rStyle w:val="Strong"/>
                <w:rFonts w:cs="Times New Roman"/>
                <w:b w:val="0"/>
                <w:color w:val="111111"/>
                <w:szCs w:val="24"/>
                <w:shd w:val="clear" w:color="auto" w:fill="FFFFFF"/>
              </w:rPr>
              <w:t>325 mg,</w:t>
            </w:r>
            <w:r w:rsidRPr="0024114A">
              <w:rPr>
                <w:rFonts w:cs="Times New Roman"/>
                <w:color w:val="111111"/>
                <w:szCs w:val="24"/>
                <w:shd w:val="clear" w:color="auto" w:fill="FFFFFF"/>
              </w:rPr>
              <w:t> </w:t>
            </w:r>
            <w:r w:rsidRPr="0024114A">
              <w:rPr>
                <w:rFonts w:cs="Times New Roman"/>
                <w:color w:val="000000" w:themeColor="text1"/>
                <w:szCs w:val="24"/>
              </w:rPr>
              <w:t>650 mg</w:t>
            </w:r>
          </w:p>
          <w:p w14:paraId="77170C4B"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Injection: 4%, 4.2%, 7.5%, 8.4% (1 mmol/ml)</w:t>
            </w:r>
          </w:p>
        </w:tc>
      </w:tr>
      <w:tr w:rsidR="002F635D" w:rsidRPr="0024114A" w14:paraId="371A6F7F"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2C3DB90"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2ECADA0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For acceleration of excretion in drug intoxication (where excretion </w:t>
            </w:r>
            <w:r w:rsidRPr="0024114A">
              <w:rPr>
                <w:rFonts w:cs="Times New Roman"/>
                <w:color w:val="000000" w:themeColor="text1"/>
                <w:szCs w:val="24"/>
              </w:rPr>
              <w:lastRenderedPageBreak/>
              <w:t>of the drug into the urine is accelerated by elevated urine pH), metabolic acidosis secondary to underlying diseases</w:t>
            </w:r>
          </w:p>
        </w:tc>
      </w:tr>
      <w:tr w:rsidR="002F635D" w:rsidRPr="0024114A" w14:paraId="0A412BEE"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C3433C8"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lastRenderedPageBreak/>
              <w:t>Dose and administration</w:t>
            </w:r>
          </w:p>
        </w:tc>
        <w:tc>
          <w:tcPr>
            <w:tcW w:w="6655" w:type="dxa"/>
          </w:tcPr>
          <w:p w14:paraId="49B32E90"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Alkalinisation of urine, relief of discomfort in mild urinary-tract infections</w:t>
            </w:r>
            <w:r w:rsidR="00FB4F74">
              <w:rPr>
                <w:rFonts w:cs="Times New Roman"/>
                <w:b/>
                <w:color w:val="000000" w:themeColor="text1"/>
                <w:szCs w:val="24"/>
              </w:rPr>
              <w:t>,</w:t>
            </w:r>
            <w:r w:rsidRPr="0024114A">
              <w:rPr>
                <w:rFonts w:cs="Times New Roman"/>
                <w:b/>
                <w:color w:val="000000" w:themeColor="text1"/>
                <w:szCs w:val="24"/>
              </w:rPr>
              <w:t xml:space="preserve"> </w:t>
            </w:r>
            <w:r w:rsidRPr="00FB4F74">
              <w:rPr>
                <w:rFonts w:cs="Times New Roman"/>
                <w:color w:val="000000" w:themeColor="text1"/>
                <w:szCs w:val="24"/>
              </w:rPr>
              <w:t>oral:</w:t>
            </w:r>
          </w:p>
          <w:p w14:paraId="7A0E18E9"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Adult:</w:t>
            </w:r>
          </w:p>
          <w:p w14:paraId="09DE913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3 g every 2 hours until urinary pH exceeds 7, to be dissolved in water.</w:t>
            </w:r>
          </w:p>
          <w:p w14:paraId="3A76AEE5" w14:textId="77777777" w:rsidR="002F635D" w:rsidRPr="00FB4F74" w:rsidRDefault="002F635D" w:rsidP="002D6DD7">
            <w:pPr>
              <w:jc w:val="both"/>
              <w:rPr>
                <w:rFonts w:cs="Times New Roman"/>
                <w:bCs/>
                <w:color w:val="000000" w:themeColor="text1"/>
                <w:szCs w:val="24"/>
              </w:rPr>
            </w:pPr>
            <w:r w:rsidRPr="0024114A">
              <w:rPr>
                <w:rFonts w:cs="Times New Roman"/>
                <w:b/>
                <w:bCs/>
                <w:color w:val="000000" w:themeColor="text1"/>
                <w:szCs w:val="24"/>
              </w:rPr>
              <w:t>Maintenance of alkaline urine</w:t>
            </w:r>
            <w:r w:rsidR="00FB4F74">
              <w:rPr>
                <w:rFonts w:cs="Times New Roman"/>
                <w:b/>
                <w:bCs/>
                <w:color w:val="000000" w:themeColor="text1"/>
                <w:szCs w:val="24"/>
              </w:rPr>
              <w:t>,</w:t>
            </w:r>
            <w:r w:rsidRPr="0024114A">
              <w:rPr>
                <w:rFonts w:cs="Times New Roman"/>
                <w:b/>
                <w:bCs/>
                <w:color w:val="000000" w:themeColor="text1"/>
                <w:szCs w:val="24"/>
              </w:rPr>
              <w:t xml:space="preserve"> </w:t>
            </w:r>
            <w:r w:rsidRPr="00FB4F74">
              <w:rPr>
                <w:rFonts w:cs="Times New Roman"/>
                <w:color w:val="000000" w:themeColor="text1"/>
                <w:szCs w:val="24"/>
              </w:rPr>
              <w:t>oral:</w:t>
            </w:r>
          </w:p>
          <w:p w14:paraId="762069F2"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5–10 g daily, to be dissolved in water</w:t>
            </w:r>
          </w:p>
          <w:p w14:paraId="548D5230" w14:textId="77777777" w:rsidR="002F635D" w:rsidRPr="0024114A" w:rsidRDefault="002F635D" w:rsidP="002D6DD7">
            <w:pPr>
              <w:jc w:val="both"/>
              <w:rPr>
                <w:rFonts w:cs="Times New Roman"/>
                <w:b/>
                <w:color w:val="000000" w:themeColor="text1"/>
                <w:szCs w:val="24"/>
              </w:rPr>
            </w:pPr>
            <w:r w:rsidRPr="0024114A">
              <w:rPr>
                <w:rFonts w:cs="Times New Roman"/>
                <w:b/>
                <w:bCs/>
                <w:color w:val="000000" w:themeColor="text1"/>
                <w:szCs w:val="24"/>
              </w:rPr>
              <w:t xml:space="preserve">Chronic acidotic states such as uraemic acidosis or renal tubular acidosis; </w:t>
            </w:r>
            <w:r w:rsidRPr="0024114A">
              <w:rPr>
                <w:rFonts w:cs="Times New Roman"/>
                <w:b/>
                <w:color w:val="000000" w:themeColor="text1"/>
                <w:szCs w:val="24"/>
              </w:rPr>
              <w:t xml:space="preserve">oral: </w:t>
            </w:r>
          </w:p>
          <w:p w14:paraId="4C96DD38" w14:textId="77777777" w:rsidR="002F635D" w:rsidRPr="0024114A" w:rsidRDefault="002F635D" w:rsidP="002D6DD7">
            <w:pPr>
              <w:jc w:val="both"/>
              <w:rPr>
                <w:rFonts w:cs="Times New Roman"/>
                <w:color w:val="000000" w:themeColor="text1"/>
                <w:szCs w:val="24"/>
              </w:rPr>
            </w:pPr>
            <w:r w:rsidRPr="0024114A">
              <w:rPr>
                <w:rFonts w:cs="Times New Roman"/>
                <w:b/>
                <w:color w:val="000000" w:themeColor="text1"/>
                <w:szCs w:val="24"/>
              </w:rPr>
              <w:t xml:space="preserve">Adult: </w:t>
            </w:r>
            <w:r w:rsidRPr="0024114A">
              <w:rPr>
                <w:rFonts w:cs="Times New Roman"/>
                <w:color w:val="000000" w:themeColor="text1"/>
                <w:szCs w:val="24"/>
              </w:rPr>
              <w:t>4.8 g daily, (57 mmol each of Na+ and HCO3–), higher doses may be required and should be adjusted according to response</w:t>
            </w:r>
          </w:p>
          <w:p w14:paraId="52B188C1"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 xml:space="preserve">Severe metabolic acidosis, </w:t>
            </w:r>
            <w:r w:rsidRPr="0024114A">
              <w:rPr>
                <w:rFonts w:cs="Times New Roman"/>
                <w:color w:val="000000" w:themeColor="text1"/>
                <w:szCs w:val="24"/>
              </w:rPr>
              <w:t xml:space="preserve">by slow IV injection:  </w:t>
            </w:r>
          </w:p>
          <w:p w14:paraId="7FD84507" w14:textId="77777777" w:rsidR="002F635D" w:rsidRPr="0024114A" w:rsidRDefault="002F635D" w:rsidP="002D6DD7">
            <w:pPr>
              <w:jc w:val="both"/>
              <w:rPr>
                <w:rFonts w:cs="Times New Roman"/>
                <w:color w:val="000000" w:themeColor="text1"/>
                <w:szCs w:val="24"/>
              </w:rPr>
            </w:pPr>
            <w:r w:rsidRPr="0024114A">
              <w:rPr>
                <w:rFonts w:cs="Times New Roman"/>
                <w:b/>
                <w:color w:val="000000" w:themeColor="text1"/>
                <w:szCs w:val="24"/>
              </w:rPr>
              <w:t>Adult</w:t>
            </w:r>
            <w:r w:rsidRPr="0024114A">
              <w:rPr>
                <w:rFonts w:cs="Times New Roman"/>
                <w:color w:val="000000" w:themeColor="text1"/>
                <w:szCs w:val="24"/>
              </w:rPr>
              <w:t>: Administer an amount appropriate to the body base deficit, to be given by slow intravenous injection of a strong solution (up to 8.4%), or by continuousIV infusion of a weaker solution (usually 1.26%).</w:t>
            </w:r>
          </w:p>
          <w:p w14:paraId="26DD137B" w14:textId="77777777" w:rsidR="002F635D" w:rsidRPr="0024114A" w:rsidRDefault="002F635D" w:rsidP="002D6DD7">
            <w:pPr>
              <w:jc w:val="both"/>
              <w:rPr>
                <w:rFonts w:cs="Times New Roman"/>
                <w:szCs w:val="24"/>
              </w:rPr>
            </w:pPr>
            <w:r w:rsidRPr="0024114A">
              <w:rPr>
                <w:rFonts w:cs="Times New Roman"/>
                <w:b/>
                <w:color w:val="000000" w:themeColor="text1"/>
                <w:szCs w:val="24"/>
              </w:rPr>
              <w:t>Child</w:t>
            </w:r>
            <w:r w:rsidRPr="0024114A">
              <w:rPr>
                <w:rFonts w:cs="Times New Roman"/>
                <w:color w:val="000000" w:themeColor="text1"/>
                <w:szCs w:val="24"/>
              </w:rPr>
              <w:t>: Continuous IV infusion with 1.4% solution co-infused withisotonic sodium chloride or by slow infusion of 8.4% solution.</w:t>
            </w:r>
          </w:p>
        </w:tc>
      </w:tr>
      <w:tr w:rsidR="002F635D" w:rsidRPr="0024114A" w14:paraId="4BB6CF7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13EFF9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68DEF05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Hypokalaemia, salt restricted diet, conditions associated with sodium retention, history of urinary calculi, hypernatremia, hypocalcaemia, hypochlorhydria, metabolic or respiratory alkalosis, abdominal pain.</w:t>
            </w:r>
          </w:p>
        </w:tc>
      </w:tr>
      <w:tr w:rsidR="002F635D" w:rsidRPr="0024114A" w14:paraId="6F9CCE30"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F42AED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7C3A9CC3" w14:textId="77777777" w:rsidR="002F635D" w:rsidRPr="0024114A" w:rsidRDefault="002F635D" w:rsidP="002D6DD7">
            <w:pPr>
              <w:jc w:val="both"/>
              <w:rPr>
                <w:rFonts w:cs="Times New Roman"/>
                <w:color w:val="ED7D31" w:themeColor="accent2"/>
                <w:szCs w:val="24"/>
              </w:rPr>
            </w:pPr>
            <w:r w:rsidRPr="0024114A">
              <w:rPr>
                <w:rFonts w:cs="Times New Roman"/>
                <w:szCs w:val="24"/>
              </w:rPr>
              <w:t>Amphetamine, aspirin, chlorpropamide, dextroamphetamine, ephedrine, itraconazole, ketoconazole, lithium, pseudoephedrine, flecainide</w:t>
            </w:r>
          </w:p>
        </w:tc>
      </w:tr>
      <w:tr w:rsidR="002F635D" w:rsidRPr="0024114A" w14:paraId="51E372B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D9EF04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057418AE" w14:textId="77777777" w:rsidR="002F635D" w:rsidRPr="0024114A" w:rsidRDefault="002F635D" w:rsidP="002D6DD7">
            <w:pPr>
              <w:jc w:val="both"/>
              <w:rPr>
                <w:rFonts w:cs="Times New Roman"/>
                <w:szCs w:val="24"/>
              </w:rPr>
            </w:pPr>
            <w:r w:rsidRPr="0024114A">
              <w:rPr>
                <w:rFonts w:cs="Times New Roman"/>
                <w:szCs w:val="24"/>
              </w:rPr>
              <w:t xml:space="preserve">Gastrointestinal cramps, flatulence, metabolic alkalosis, hypokalemia, hypernatremia, edema, tissue necrosis, ulcerationwith extravasation </w:t>
            </w:r>
          </w:p>
        </w:tc>
      </w:tr>
      <w:tr w:rsidR="002F635D" w:rsidRPr="0024114A" w14:paraId="45F61498"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DB40C4E"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 xml:space="preserve">Cautions </w:t>
            </w:r>
          </w:p>
        </w:tc>
        <w:tc>
          <w:tcPr>
            <w:tcW w:w="6655" w:type="dxa"/>
          </w:tcPr>
          <w:p w14:paraId="1F48C68F"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Renal impairment, peptic ulcer, congestive heart failure, oedema, cirrhosis, hypertension, ensure adequate ventilation during cardiopulmonary resuscitation.</w:t>
            </w:r>
          </w:p>
        </w:tc>
      </w:tr>
      <w:tr w:rsidR="002F635D" w:rsidRPr="0024114A" w14:paraId="26714EB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C80F159"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49B7ACE9"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Store below 30</w:t>
            </w:r>
            <w:r w:rsidRPr="0024114A">
              <w:rPr>
                <w:rFonts w:cs="Times New Roman"/>
                <w:color w:val="000000" w:themeColor="text1"/>
                <w:szCs w:val="24"/>
                <w:vertAlign w:val="superscript"/>
              </w:rPr>
              <w:t>0</w:t>
            </w:r>
            <w:r w:rsidRPr="0024114A">
              <w:rPr>
                <w:rFonts w:cs="Times New Roman"/>
                <w:color w:val="000000" w:themeColor="text1"/>
                <w:szCs w:val="24"/>
              </w:rPr>
              <w:t>C. Protect from light and moisture</w:t>
            </w:r>
          </w:p>
        </w:tc>
      </w:tr>
      <w:tr w:rsidR="002F635D" w:rsidRPr="0024114A" w14:paraId="799BE48B" w14:textId="77777777" w:rsidTr="002D6DD7">
        <w:tc>
          <w:tcPr>
            <w:tcW w:w="2610" w:type="dxa"/>
            <w:hideMark/>
          </w:tcPr>
          <w:p w14:paraId="63E5CE25" w14:textId="77777777" w:rsidR="002F635D" w:rsidRPr="0024114A" w:rsidRDefault="002F635D" w:rsidP="002D6DD7">
            <w:pPr>
              <w:jc w:val="both"/>
              <w:rPr>
                <w:rFonts w:cs="Times New Roman"/>
                <w:b/>
                <w:bCs/>
                <w:color w:val="000000" w:themeColor="text1"/>
                <w:szCs w:val="24"/>
              </w:rPr>
            </w:pPr>
            <w:r w:rsidRPr="0024114A">
              <w:rPr>
                <w:rFonts w:cs="Times New Roman"/>
                <w:b/>
                <w:bCs/>
                <w:color w:val="000000" w:themeColor="text1"/>
                <w:szCs w:val="24"/>
              </w:rPr>
              <w:t>Sodium Nitrite</w:t>
            </w:r>
          </w:p>
        </w:tc>
        <w:tc>
          <w:tcPr>
            <w:tcW w:w="6655" w:type="dxa"/>
          </w:tcPr>
          <w:p w14:paraId="02225177" w14:textId="77777777" w:rsidR="002F635D" w:rsidRPr="0024114A" w:rsidRDefault="002F635D" w:rsidP="002D6DD7">
            <w:pPr>
              <w:jc w:val="both"/>
              <w:rPr>
                <w:rFonts w:cs="Times New Roman"/>
                <w:b/>
                <w:bCs/>
                <w:color w:val="ED7D31" w:themeColor="accent2"/>
                <w:szCs w:val="24"/>
              </w:rPr>
            </w:pPr>
          </w:p>
        </w:tc>
      </w:tr>
      <w:tr w:rsidR="002F635D" w:rsidRPr="0024114A" w14:paraId="1E8C2A13" w14:textId="77777777" w:rsidTr="002D6DD7">
        <w:tc>
          <w:tcPr>
            <w:tcW w:w="2610" w:type="dxa"/>
            <w:hideMark/>
          </w:tcPr>
          <w:p w14:paraId="6C9BB00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2BBD770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Antidote for cyanide poisoning</w:t>
            </w:r>
          </w:p>
        </w:tc>
      </w:tr>
      <w:tr w:rsidR="002F635D" w:rsidRPr="0024114A" w14:paraId="0358CA0B" w14:textId="77777777" w:rsidTr="002D6DD7">
        <w:tc>
          <w:tcPr>
            <w:tcW w:w="2610" w:type="dxa"/>
            <w:hideMark/>
          </w:tcPr>
          <w:p w14:paraId="0236EF47"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10861824" w14:textId="77777777" w:rsidR="002F635D" w:rsidRPr="0024114A" w:rsidRDefault="002F635D" w:rsidP="002D6DD7">
            <w:pPr>
              <w:jc w:val="both"/>
              <w:rPr>
                <w:rFonts w:cs="Times New Roman"/>
                <w:color w:val="ED7D31" w:themeColor="accent2"/>
                <w:szCs w:val="24"/>
              </w:rPr>
            </w:pPr>
            <w:r w:rsidRPr="0024114A">
              <w:rPr>
                <w:rFonts w:cs="Times New Roman"/>
                <w:szCs w:val="24"/>
              </w:rPr>
              <w:t>Injection: 30 mg/ml in 10 ml ampoule</w:t>
            </w:r>
          </w:p>
        </w:tc>
      </w:tr>
      <w:tr w:rsidR="002F635D" w:rsidRPr="0024114A" w14:paraId="7663F92A" w14:textId="77777777" w:rsidTr="002D6DD7">
        <w:tc>
          <w:tcPr>
            <w:tcW w:w="2610" w:type="dxa"/>
            <w:hideMark/>
          </w:tcPr>
          <w:p w14:paraId="004BAB8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Indications</w:t>
            </w:r>
          </w:p>
        </w:tc>
        <w:tc>
          <w:tcPr>
            <w:tcW w:w="6655" w:type="dxa"/>
          </w:tcPr>
          <w:p w14:paraId="71FF9E2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Cyanide poisoning (in conjunction with sodium thiosulphate).</w:t>
            </w:r>
          </w:p>
        </w:tc>
      </w:tr>
      <w:tr w:rsidR="002F635D" w:rsidRPr="0024114A" w14:paraId="0CA936DC" w14:textId="77777777" w:rsidTr="002D6DD7">
        <w:tc>
          <w:tcPr>
            <w:tcW w:w="2610" w:type="dxa"/>
            <w:hideMark/>
          </w:tcPr>
          <w:p w14:paraId="745AC028"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588AC121" w14:textId="77777777" w:rsidR="002F635D" w:rsidRPr="0024114A" w:rsidRDefault="002F635D" w:rsidP="002D6DD7">
            <w:pPr>
              <w:pStyle w:val="Default"/>
              <w:spacing w:line="360" w:lineRule="auto"/>
              <w:jc w:val="both"/>
              <w:rPr>
                <w:color w:val="000000" w:themeColor="text1"/>
                <w:lang w:val="en-GB" w:eastAsia="ko-KR"/>
              </w:rPr>
            </w:pPr>
            <w:r w:rsidRPr="0024114A">
              <w:rPr>
                <w:b/>
                <w:bCs/>
                <w:color w:val="000000" w:themeColor="text1"/>
                <w:lang w:val="en-GB" w:eastAsia="ko-KR"/>
              </w:rPr>
              <w:t>Adult</w:t>
            </w:r>
            <w:r w:rsidRPr="0024114A">
              <w:rPr>
                <w:color w:val="000000" w:themeColor="text1"/>
                <w:lang w:val="en-GB" w:eastAsia="ko-KR"/>
              </w:rPr>
              <w:t>: 300 mg sodium nitrite IV over 3 minutes followed after 5 minutes with 12.5g sodium thiosulphate IV administered over 10 minutes.</w:t>
            </w:r>
          </w:p>
          <w:p w14:paraId="5E1FFFE7" w14:textId="77777777" w:rsidR="002F635D" w:rsidRPr="0024114A" w:rsidRDefault="002F635D" w:rsidP="002D6DD7">
            <w:pPr>
              <w:pStyle w:val="Default"/>
              <w:spacing w:line="360" w:lineRule="auto"/>
              <w:jc w:val="both"/>
            </w:pPr>
            <w:r w:rsidRPr="0024114A">
              <w:rPr>
                <w:b/>
                <w:color w:val="000000" w:themeColor="text1"/>
                <w:lang w:val="en-GB" w:eastAsia="ko-KR"/>
              </w:rPr>
              <w:t>Child</w:t>
            </w:r>
            <w:r w:rsidRPr="0024114A">
              <w:rPr>
                <w:color w:val="000000" w:themeColor="text1"/>
                <w:lang w:val="en-GB" w:eastAsia="ko-KR"/>
              </w:rPr>
              <w:t>: 4 - 10 mg/kg of sodium nitrite (max: 300 mg) followed by 400 mg/kg of sodium thiosulfate, as a 25 or 50% solution (max: 12.5 g). If symptoms of cyanide toxicity recur, the doses of nitrite and thiosulfate may be repeated after 30 min at half the initial doses.</w:t>
            </w:r>
          </w:p>
        </w:tc>
      </w:tr>
      <w:tr w:rsidR="002F635D" w:rsidRPr="0024114A" w14:paraId="2D11CD6E" w14:textId="77777777" w:rsidTr="002D6DD7">
        <w:tc>
          <w:tcPr>
            <w:tcW w:w="2610" w:type="dxa"/>
            <w:hideMark/>
          </w:tcPr>
          <w:p w14:paraId="52AA45A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Contraindications</w:t>
            </w:r>
          </w:p>
        </w:tc>
        <w:tc>
          <w:tcPr>
            <w:tcW w:w="6655" w:type="dxa"/>
          </w:tcPr>
          <w:p w14:paraId="693EE631"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Hypersensitivity to the drug </w:t>
            </w:r>
          </w:p>
        </w:tc>
      </w:tr>
      <w:tr w:rsidR="002F635D" w:rsidRPr="0024114A" w14:paraId="1843BF1D" w14:textId="77777777" w:rsidTr="002D6DD7">
        <w:tc>
          <w:tcPr>
            <w:tcW w:w="2610" w:type="dxa"/>
            <w:hideMark/>
          </w:tcPr>
          <w:p w14:paraId="1F02B07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45383485" w14:textId="77777777" w:rsidR="002F635D" w:rsidRPr="0024114A" w:rsidRDefault="002F635D" w:rsidP="002D6DD7">
            <w:pPr>
              <w:jc w:val="both"/>
              <w:rPr>
                <w:rFonts w:cs="Times New Roman"/>
                <w:color w:val="ED7D31" w:themeColor="accent2"/>
                <w:szCs w:val="24"/>
              </w:rPr>
            </w:pPr>
            <w:r w:rsidRPr="0024114A">
              <w:rPr>
                <w:rFonts w:cs="Times New Roman"/>
                <w:szCs w:val="24"/>
              </w:rPr>
              <w:t>There are no significant drug interactions</w:t>
            </w:r>
          </w:p>
        </w:tc>
      </w:tr>
      <w:tr w:rsidR="002F635D" w:rsidRPr="0024114A" w14:paraId="35621BD5" w14:textId="77777777" w:rsidTr="002D6DD7">
        <w:tc>
          <w:tcPr>
            <w:tcW w:w="2610" w:type="dxa"/>
            <w:hideMark/>
          </w:tcPr>
          <w:p w14:paraId="7A078B7B"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0E7EE69F" w14:textId="77777777" w:rsidR="002F635D" w:rsidRPr="0024114A" w:rsidRDefault="002F635D" w:rsidP="002D6DD7">
            <w:pPr>
              <w:jc w:val="both"/>
              <w:rPr>
                <w:rFonts w:cs="Times New Roman"/>
                <w:szCs w:val="24"/>
              </w:rPr>
            </w:pPr>
            <w:r w:rsidRPr="0024114A">
              <w:rPr>
                <w:rFonts w:cs="Times New Roman"/>
                <w:color w:val="000000" w:themeColor="text1"/>
                <w:szCs w:val="24"/>
              </w:rPr>
              <w:t>Arrhythmias, dizziness, headache, hypotension, methemoglobinemia, palpitations, n</w:t>
            </w:r>
            <w:r w:rsidRPr="0024114A">
              <w:rPr>
                <w:rFonts w:cs="Times New Roman"/>
                <w:szCs w:val="24"/>
              </w:rPr>
              <w:t>ausea, vomiting, abdominal pain, flushing, cyanosis, dyspnoea, blurred vision</w:t>
            </w:r>
          </w:p>
        </w:tc>
      </w:tr>
      <w:tr w:rsidR="002F635D" w:rsidRPr="0024114A" w14:paraId="0131DFA4" w14:textId="77777777" w:rsidTr="002D6DD7">
        <w:tc>
          <w:tcPr>
            <w:tcW w:w="2610" w:type="dxa"/>
            <w:hideMark/>
          </w:tcPr>
          <w:p w14:paraId="0FD28B74"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1B3CA926" w14:textId="77777777" w:rsidR="002F635D" w:rsidRPr="0024114A" w:rsidRDefault="002F635D" w:rsidP="002D6DD7">
            <w:pPr>
              <w:jc w:val="both"/>
              <w:rPr>
                <w:rFonts w:cs="Times New Roman"/>
                <w:szCs w:val="24"/>
                <w:vertAlign w:val="superscript"/>
              </w:rPr>
            </w:pPr>
            <w:r w:rsidRPr="0024114A">
              <w:rPr>
                <w:rFonts w:cs="Times New Roman"/>
                <w:color w:val="000000" w:themeColor="text1"/>
                <w:szCs w:val="24"/>
              </w:rPr>
              <w:t>Hypotension, methaemoglobin formation. Monitor to ensure adequate perfusion and oxygenation.</w:t>
            </w:r>
          </w:p>
        </w:tc>
      </w:tr>
      <w:tr w:rsidR="002F635D" w:rsidRPr="0024114A" w14:paraId="077BC456" w14:textId="77777777" w:rsidTr="002D6DD7">
        <w:tc>
          <w:tcPr>
            <w:tcW w:w="2610" w:type="dxa"/>
            <w:hideMark/>
          </w:tcPr>
          <w:p w14:paraId="715D38F8"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Pr>
          <w:p w14:paraId="205F6A3F" w14:textId="77777777" w:rsidR="002F635D" w:rsidRPr="0024114A" w:rsidRDefault="002F635D" w:rsidP="002D6DD7">
            <w:pPr>
              <w:jc w:val="both"/>
              <w:rPr>
                <w:rFonts w:cs="Times New Roman"/>
                <w:color w:val="ED7D31" w:themeColor="accent2"/>
                <w:szCs w:val="24"/>
              </w:rPr>
            </w:pPr>
            <w:r w:rsidRPr="0024114A">
              <w:rPr>
                <w:rFonts w:cs="Times New Roman"/>
                <w:szCs w:val="24"/>
              </w:rPr>
              <w:t>Store below 30°C; excursions permitted from 15 to 30°C.</w:t>
            </w:r>
          </w:p>
        </w:tc>
      </w:tr>
      <w:tr w:rsidR="002F635D" w:rsidRPr="0024114A" w14:paraId="3E254929" w14:textId="77777777" w:rsidTr="002D6DD7">
        <w:tc>
          <w:tcPr>
            <w:tcW w:w="9265" w:type="dxa"/>
            <w:gridSpan w:val="2"/>
            <w:tcBorders>
              <w:top w:val="single" w:sz="4" w:space="0" w:color="auto"/>
              <w:left w:val="single" w:sz="4" w:space="0" w:color="auto"/>
              <w:bottom w:val="single" w:sz="4" w:space="0" w:color="auto"/>
              <w:right w:val="single" w:sz="4" w:space="0" w:color="auto"/>
            </w:tcBorders>
            <w:hideMark/>
          </w:tcPr>
          <w:p w14:paraId="3227DBBA" w14:textId="77777777" w:rsidR="002F635D" w:rsidRPr="0024114A" w:rsidRDefault="002F635D" w:rsidP="002D6DD7">
            <w:pPr>
              <w:jc w:val="both"/>
              <w:rPr>
                <w:rFonts w:cs="Times New Roman"/>
                <w:b/>
                <w:bCs/>
                <w:color w:val="ED7D31" w:themeColor="accent2"/>
                <w:szCs w:val="24"/>
              </w:rPr>
            </w:pPr>
            <w:r w:rsidRPr="0024114A">
              <w:rPr>
                <w:rFonts w:cs="Times New Roman"/>
                <w:b/>
                <w:bCs/>
                <w:color w:val="000000" w:themeColor="text1"/>
                <w:szCs w:val="24"/>
              </w:rPr>
              <w:t>Sodium Thiosulphate</w:t>
            </w:r>
          </w:p>
        </w:tc>
      </w:tr>
      <w:tr w:rsidR="002F635D" w:rsidRPr="0024114A" w14:paraId="68FFCFAD"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7747486"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Pharmacological class</w:t>
            </w:r>
          </w:p>
        </w:tc>
        <w:tc>
          <w:tcPr>
            <w:tcW w:w="6655" w:type="dxa"/>
          </w:tcPr>
          <w:p w14:paraId="09A70F3A"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Antidote for cyanide poisoning</w:t>
            </w:r>
          </w:p>
        </w:tc>
      </w:tr>
      <w:tr w:rsidR="002F635D" w:rsidRPr="0024114A" w14:paraId="21A8EC0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8CF151C"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Dosage form</w:t>
            </w:r>
          </w:p>
        </w:tc>
        <w:tc>
          <w:tcPr>
            <w:tcW w:w="6655" w:type="dxa"/>
          </w:tcPr>
          <w:p w14:paraId="7B69B746" w14:textId="77777777" w:rsidR="002F635D" w:rsidRPr="0024114A" w:rsidRDefault="002F635D" w:rsidP="002D6DD7">
            <w:pPr>
              <w:jc w:val="both"/>
              <w:rPr>
                <w:rFonts w:cs="Times New Roman"/>
                <w:color w:val="ED7D31" w:themeColor="accent2"/>
                <w:szCs w:val="24"/>
              </w:rPr>
            </w:pPr>
            <w:r w:rsidRPr="0024114A">
              <w:rPr>
                <w:rFonts w:cs="Times New Roman"/>
                <w:color w:val="000000" w:themeColor="text1"/>
                <w:szCs w:val="24"/>
              </w:rPr>
              <w:t xml:space="preserve">Injection: 250 mg/ml in 50 ml ampoule. </w:t>
            </w:r>
          </w:p>
        </w:tc>
      </w:tr>
      <w:tr w:rsidR="002F635D" w:rsidRPr="0024114A" w14:paraId="4A706E9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68744653" w14:textId="77777777" w:rsidR="002F635D" w:rsidRPr="0024114A" w:rsidRDefault="002F635D" w:rsidP="002D6DD7">
            <w:pPr>
              <w:jc w:val="both"/>
              <w:rPr>
                <w:rFonts w:cs="Times New Roman"/>
                <w:b/>
                <w:color w:val="000000" w:themeColor="text1"/>
                <w:szCs w:val="24"/>
              </w:rPr>
            </w:pPr>
            <w:r w:rsidRPr="0024114A">
              <w:rPr>
                <w:rFonts w:cs="Times New Roman"/>
                <w:b/>
                <w:color w:val="000000" w:themeColor="text1"/>
                <w:szCs w:val="24"/>
              </w:rPr>
              <w:t>Indications</w:t>
            </w:r>
          </w:p>
        </w:tc>
        <w:tc>
          <w:tcPr>
            <w:tcW w:w="6655" w:type="dxa"/>
          </w:tcPr>
          <w:p w14:paraId="4FBAC04F"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Poisoning with cyanides (used in conjunction with sodium nitrite)</w:t>
            </w:r>
          </w:p>
        </w:tc>
      </w:tr>
      <w:tr w:rsidR="002F635D" w:rsidRPr="0024114A" w14:paraId="0782B13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564F732B" w14:textId="77777777" w:rsidR="002F635D" w:rsidRPr="0024114A" w:rsidRDefault="002F635D" w:rsidP="002D6DD7">
            <w:pPr>
              <w:jc w:val="both"/>
              <w:rPr>
                <w:rFonts w:cs="Times New Roman"/>
                <w:color w:val="000000" w:themeColor="text1"/>
                <w:szCs w:val="24"/>
              </w:rPr>
            </w:pPr>
            <w:r w:rsidRPr="0024114A">
              <w:rPr>
                <w:rFonts w:eastAsia="Times New Roman" w:cs="Times New Roman"/>
                <w:color w:val="000000" w:themeColor="text1"/>
                <w:szCs w:val="24"/>
              </w:rPr>
              <w:t>Dose and administration</w:t>
            </w:r>
          </w:p>
        </w:tc>
        <w:tc>
          <w:tcPr>
            <w:tcW w:w="6655" w:type="dxa"/>
          </w:tcPr>
          <w:p w14:paraId="41020A12" w14:textId="77777777" w:rsidR="002F635D" w:rsidRPr="00FB4F74" w:rsidRDefault="002F635D" w:rsidP="002D6DD7">
            <w:pPr>
              <w:jc w:val="both"/>
              <w:rPr>
                <w:rFonts w:cs="Times New Roman"/>
                <w:bCs/>
                <w:color w:val="000000" w:themeColor="text1"/>
                <w:szCs w:val="24"/>
              </w:rPr>
            </w:pPr>
            <w:r w:rsidRPr="00FB4F74">
              <w:rPr>
                <w:rFonts w:cs="Times New Roman"/>
                <w:color w:val="161616"/>
                <w:szCs w:val="24"/>
                <w:shd w:val="clear" w:color="auto" w:fill="FFFFFF"/>
              </w:rPr>
              <w:t>IV:</w:t>
            </w:r>
          </w:p>
          <w:p w14:paraId="06491907" w14:textId="77777777" w:rsidR="002F635D" w:rsidRPr="0024114A" w:rsidRDefault="002F635D" w:rsidP="002D6DD7">
            <w:pPr>
              <w:jc w:val="both"/>
              <w:rPr>
                <w:rFonts w:cs="Times New Roman"/>
                <w:color w:val="000000" w:themeColor="text1"/>
                <w:szCs w:val="24"/>
              </w:rPr>
            </w:pPr>
            <w:r w:rsidRPr="0024114A">
              <w:rPr>
                <w:rFonts w:cs="Times New Roman"/>
                <w:b/>
                <w:bCs/>
                <w:color w:val="000000" w:themeColor="text1"/>
                <w:szCs w:val="24"/>
              </w:rPr>
              <w:t>Adult</w:t>
            </w:r>
            <w:r w:rsidRPr="0024114A">
              <w:rPr>
                <w:rFonts w:cs="Times New Roman"/>
                <w:color w:val="000000" w:themeColor="text1"/>
                <w:szCs w:val="24"/>
              </w:rPr>
              <w:t xml:space="preserve">: To be given after 300 mg of sodium nitrite has been admin </w:t>
            </w:r>
            <w:r w:rsidRPr="0024114A">
              <w:rPr>
                <w:rFonts w:cs="Times New Roman"/>
                <w:color w:val="000000" w:themeColor="text1"/>
                <w:szCs w:val="24"/>
              </w:rPr>
              <w:lastRenderedPageBreak/>
              <w:t xml:space="preserve">over 5-20 minutes: 12.5 g of sodium thiosulfate (50 ml of a 25% solution or 25 ml of a 50% solution) given over 10 minutes. If symptoms of cyanide toxicity recur, the doses of nitrite and thiosulfate may be repeated after 30 min at half the initial doses. </w:t>
            </w:r>
          </w:p>
          <w:p w14:paraId="3D51D5C5" w14:textId="77777777" w:rsidR="002F635D" w:rsidRPr="0024114A" w:rsidRDefault="002F635D" w:rsidP="002D6DD7">
            <w:pPr>
              <w:jc w:val="both"/>
              <w:rPr>
                <w:rFonts w:cs="Times New Roman"/>
                <w:szCs w:val="24"/>
              </w:rPr>
            </w:pPr>
            <w:r w:rsidRPr="0024114A">
              <w:rPr>
                <w:rFonts w:cs="Times New Roman"/>
                <w:b/>
                <w:bCs/>
                <w:color w:val="000000" w:themeColor="text1"/>
                <w:szCs w:val="24"/>
              </w:rPr>
              <w:t>Child</w:t>
            </w:r>
            <w:r w:rsidRPr="0024114A">
              <w:rPr>
                <w:rFonts w:cs="Times New Roman"/>
                <w:color w:val="000000" w:themeColor="text1"/>
                <w:szCs w:val="24"/>
              </w:rPr>
              <w:t>: To be given after 4-10 mg/kg of sodium nitrite (max: 300 mg) has been admin: 400 mg/kg of sodium thiosulfate, as a 25 or 50% solution (max: 12.5 g). If symptoms of cyanide toxicity recur, the doses of nitrite and thiosulfate may be repeated after 30 min at half the initial doses.</w:t>
            </w:r>
          </w:p>
        </w:tc>
      </w:tr>
      <w:tr w:rsidR="002F635D" w:rsidRPr="0024114A" w14:paraId="7A40A477"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3BD4A1B5"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lastRenderedPageBreak/>
              <w:t>Contraindications</w:t>
            </w:r>
          </w:p>
        </w:tc>
        <w:tc>
          <w:tcPr>
            <w:tcW w:w="6655" w:type="dxa"/>
          </w:tcPr>
          <w:p w14:paraId="674C6EB9" w14:textId="77777777" w:rsidR="002F635D" w:rsidRPr="0024114A" w:rsidRDefault="002F635D" w:rsidP="002D6DD7">
            <w:pPr>
              <w:jc w:val="both"/>
              <w:rPr>
                <w:rFonts w:cs="Times New Roman"/>
                <w:color w:val="ED7D31" w:themeColor="accent2"/>
                <w:szCs w:val="24"/>
              </w:rPr>
            </w:pPr>
            <w:r>
              <w:rPr>
                <w:rFonts w:cs="Times New Roman"/>
                <w:color w:val="000000" w:themeColor="text1"/>
                <w:szCs w:val="24"/>
              </w:rPr>
              <w:t>Hypersensitivity</w:t>
            </w:r>
            <w:r w:rsidRPr="0024114A">
              <w:rPr>
                <w:rFonts w:cs="Times New Roman"/>
                <w:color w:val="000000" w:themeColor="text1"/>
                <w:szCs w:val="24"/>
              </w:rPr>
              <w:t xml:space="preserve"> to the drug or any other components.</w:t>
            </w:r>
          </w:p>
        </w:tc>
      </w:tr>
      <w:tr w:rsidR="002F635D" w:rsidRPr="0024114A" w14:paraId="607FF30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1CF273B3"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Drug interactions</w:t>
            </w:r>
          </w:p>
        </w:tc>
        <w:tc>
          <w:tcPr>
            <w:tcW w:w="6655" w:type="dxa"/>
          </w:tcPr>
          <w:p w14:paraId="1C4D6748" w14:textId="77777777" w:rsidR="002F635D" w:rsidRPr="0024114A" w:rsidRDefault="002F635D" w:rsidP="002D6DD7">
            <w:pPr>
              <w:jc w:val="both"/>
              <w:rPr>
                <w:rFonts w:cs="Times New Roman"/>
                <w:color w:val="ED7D31" w:themeColor="accent2"/>
                <w:szCs w:val="24"/>
              </w:rPr>
            </w:pPr>
            <w:r w:rsidRPr="0024114A">
              <w:rPr>
                <w:rFonts w:cs="Times New Roman"/>
                <w:szCs w:val="24"/>
              </w:rPr>
              <w:t>Cisplatin</w:t>
            </w:r>
          </w:p>
        </w:tc>
      </w:tr>
      <w:tr w:rsidR="002F635D" w:rsidRPr="0024114A" w14:paraId="4660E2F3"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279BEE8D"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Side effects</w:t>
            </w:r>
          </w:p>
        </w:tc>
        <w:tc>
          <w:tcPr>
            <w:tcW w:w="6655" w:type="dxa"/>
          </w:tcPr>
          <w:p w14:paraId="241B4CE0" w14:textId="77777777" w:rsidR="002F635D" w:rsidRPr="0024114A" w:rsidRDefault="002F635D" w:rsidP="002D6DD7">
            <w:pPr>
              <w:jc w:val="both"/>
              <w:rPr>
                <w:rFonts w:cs="Times New Roman"/>
                <w:szCs w:val="24"/>
              </w:rPr>
            </w:pPr>
            <w:r w:rsidRPr="0024114A">
              <w:rPr>
                <w:rFonts w:cs="Times New Roman"/>
                <w:color w:val="000000" w:themeColor="text1"/>
                <w:szCs w:val="24"/>
              </w:rPr>
              <w:t>Diarrhoea, allergic contact dermatitis, hypenatraemia, hypokalemia, hypophosphatemia, hypermagnaemia, hypotension, nausea, vomiting, diuresis, metabolic acidosis</w:t>
            </w:r>
          </w:p>
        </w:tc>
      </w:tr>
      <w:tr w:rsidR="002F635D" w:rsidRPr="0024114A" w14:paraId="4DC2B589"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0DEF5940"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 xml:space="preserve">Cautions </w:t>
            </w:r>
          </w:p>
        </w:tc>
        <w:tc>
          <w:tcPr>
            <w:tcW w:w="6655" w:type="dxa"/>
          </w:tcPr>
          <w:p w14:paraId="323F9EFA" w14:textId="77777777" w:rsidR="002F635D" w:rsidRPr="0024114A" w:rsidRDefault="002F635D" w:rsidP="002D6DD7">
            <w:pPr>
              <w:jc w:val="both"/>
              <w:rPr>
                <w:rFonts w:cs="Times New Roman"/>
                <w:szCs w:val="24"/>
              </w:rPr>
            </w:pPr>
            <w:r w:rsidRPr="0024114A">
              <w:rPr>
                <w:rFonts w:cs="Times New Roman"/>
                <w:color w:val="000000" w:themeColor="text1"/>
                <w:szCs w:val="24"/>
              </w:rPr>
              <w:t>Congestive heart failure, liver cirrhosis, renal impairment, toxaemia of pregnancy, oedematous sodium-retaining conditions</w:t>
            </w:r>
            <w:r w:rsidRPr="0024114A">
              <w:rPr>
                <w:rFonts w:cs="Times New Roman"/>
                <w:szCs w:val="24"/>
              </w:rPr>
              <w:t>.</w:t>
            </w:r>
          </w:p>
        </w:tc>
      </w:tr>
      <w:tr w:rsidR="002F635D" w:rsidRPr="0024114A" w14:paraId="418121DC" w14:textId="77777777" w:rsidTr="002D6DD7">
        <w:tc>
          <w:tcPr>
            <w:tcW w:w="2610" w:type="dxa"/>
            <w:tcBorders>
              <w:top w:val="single" w:sz="4" w:space="0" w:color="auto"/>
              <w:left w:val="single" w:sz="4" w:space="0" w:color="auto"/>
              <w:bottom w:val="single" w:sz="4" w:space="0" w:color="auto"/>
              <w:right w:val="single" w:sz="4" w:space="0" w:color="auto"/>
            </w:tcBorders>
            <w:hideMark/>
          </w:tcPr>
          <w:p w14:paraId="41BB2502" w14:textId="77777777" w:rsidR="002F635D" w:rsidRPr="0024114A" w:rsidRDefault="002F635D" w:rsidP="002D6DD7">
            <w:pPr>
              <w:jc w:val="both"/>
              <w:rPr>
                <w:rFonts w:cs="Times New Roman"/>
                <w:color w:val="000000" w:themeColor="text1"/>
                <w:szCs w:val="24"/>
              </w:rPr>
            </w:pPr>
            <w:r w:rsidRPr="0024114A">
              <w:rPr>
                <w:rFonts w:cs="Times New Roman"/>
                <w:color w:val="000000" w:themeColor="text1"/>
                <w:szCs w:val="24"/>
              </w:rPr>
              <w:t>Storage condition</w:t>
            </w:r>
          </w:p>
        </w:tc>
        <w:tc>
          <w:tcPr>
            <w:tcW w:w="6655" w:type="dxa"/>
            <w:tcBorders>
              <w:top w:val="single" w:sz="4" w:space="0" w:color="auto"/>
              <w:left w:val="single" w:sz="4" w:space="0" w:color="auto"/>
              <w:bottom w:val="single" w:sz="4" w:space="0" w:color="auto"/>
              <w:right w:val="single" w:sz="4" w:space="0" w:color="auto"/>
            </w:tcBorders>
          </w:tcPr>
          <w:p w14:paraId="43878835" w14:textId="77777777" w:rsidR="002F635D" w:rsidRPr="0024114A" w:rsidRDefault="002F635D" w:rsidP="002D6DD7">
            <w:pPr>
              <w:jc w:val="both"/>
              <w:rPr>
                <w:rFonts w:cs="Times New Roman"/>
                <w:color w:val="ED7D31" w:themeColor="accent2"/>
                <w:szCs w:val="24"/>
              </w:rPr>
            </w:pPr>
            <w:r w:rsidRPr="0024114A">
              <w:rPr>
                <w:rFonts w:cs="Times New Roman"/>
                <w:szCs w:val="24"/>
              </w:rPr>
              <w:t xml:space="preserve">Store between 20°C and 25°C; excursions permitted from 15 to 30°C. Protect from direct light. </w:t>
            </w:r>
          </w:p>
        </w:tc>
      </w:tr>
    </w:tbl>
    <w:p w14:paraId="11FCCF24" w14:textId="77777777" w:rsidR="002F635D" w:rsidRPr="0024114A" w:rsidRDefault="002F635D" w:rsidP="002F635D">
      <w:pPr>
        <w:spacing w:after="0"/>
        <w:jc w:val="both"/>
        <w:rPr>
          <w:rFonts w:cs="Times New Roman"/>
          <w:szCs w:val="24"/>
        </w:rPr>
      </w:pPr>
    </w:p>
    <w:p w14:paraId="2AA33FDE" w14:textId="77777777" w:rsidR="002F635D" w:rsidRPr="0024114A" w:rsidRDefault="002F635D" w:rsidP="002F635D">
      <w:pPr>
        <w:spacing w:after="0"/>
        <w:jc w:val="both"/>
        <w:rPr>
          <w:rFonts w:cs="Times New Roman"/>
          <w:szCs w:val="24"/>
        </w:rPr>
      </w:pPr>
    </w:p>
    <w:p w14:paraId="53D5EC6F" w14:textId="77777777" w:rsidR="002F635D" w:rsidRPr="0024114A" w:rsidRDefault="002F635D" w:rsidP="002F635D">
      <w:pPr>
        <w:spacing w:after="0"/>
        <w:jc w:val="both"/>
        <w:rPr>
          <w:rFonts w:cs="Times New Roman"/>
          <w:color w:val="000000" w:themeColor="text1"/>
          <w:szCs w:val="24"/>
        </w:rPr>
      </w:pPr>
    </w:p>
    <w:p w14:paraId="50DC2E6C" w14:textId="77777777" w:rsidR="002F635D" w:rsidRDefault="002F635D" w:rsidP="006254CE"/>
    <w:p w14:paraId="29EDC5BE" w14:textId="77777777" w:rsidR="002F635D" w:rsidRDefault="002F635D" w:rsidP="006254CE"/>
    <w:p w14:paraId="21C7E211" w14:textId="77777777" w:rsidR="002F635D" w:rsidRDefault="002F635D" w:rsidP="006254CE"/>
    <w:p w14:paraId="0C386A10" w14:textId="77777777" w:rsidR="002F635D" w:rsidRDefault="002F635D" w:rsidP="006254CE"/>
    <w:p w14:paraId="6B49B104" w14:textId="77777777" w:rsidR="002F635D" w:rsidRDefault="002F635D" w:rsidP="006254CE"/>
    <w:p w14:paraId="0518D20E" w14:textId="77777777" w:rsidR="00AA0D47" w:rsidRDefault="00AA0D47" w:rsidP="006254CE"/>
    <w:p w14:paraId="243F1045" w14:textId="77777777" w:rsidR="00AA0D47" w:rsidRDefault="00AA0D47" w:rsidP="006254CE"/>
    <w:p w14:paraId="225FEEDA" w14:textId="77777777" w:rsidR="00AA0D47" w:rsidRDefault="00AA0D47" w:rsidP="006254CE"/>
    <w:p w14:paraId="555AD51F" w14:textId="77777777" w:rsidR="00223CE8" w:rsidRDefault="00223CE8" w:rsidP="00E837DD">
      <w:pPr>
        <w:spacing w:after="0"/>
        <w:jc w:val="both"/>
        <w:rPr>
          <w:rFonts w:cs="Times New Roman"/>
          <w:szCs w:val="24"/>
        </w:rPr>
      </w:pPr>
    </w:p>
    <w:p w14:paraId="18AEDB62" w14:textId="77777777" w:rsidR="00223CE8" w:rsidRDefault="00223CE8" w:rsidP="00E837DD">
      <w:pPr>
        <w:spacing w:after="0"/>
        <w:jc w:val="both"/>
        <w:rPr>
          <w:rFonts w:cs="Times New Roman"/>
          <w:szCs w:val="24"/>
        </w:rPr>
      </w:pPr>
    </w:p>
    <w:p w14:paraId="0722FF45" w14:textId="77777777" w:rsidR="00223CE8" w:rsidRDefault="00223CE8" w:rsidP="00E837DD">
      <w:pPr>
        <w:spacing w:after="0"/>
        <w:jc w:val="both"/>
        <w:rPr>
          <w:rFonts w:cs="Times New Roman"/>
          <w:szCs w:val="24"/>
        </w:rPr>
      </w:pPr>
    </w:p>
    <w:p w14:paraId="64A7A42D" w14:textId="77777777" w:rsidR="00223CE8" w:rsidRDefault="00223CE8" w:rsidP="00E837DD">
      <w:pPr>
        <w:spacing w:after="0"/>
        <w:jc w:val="both"/>
        <w:rPr>
          <w:rFonts w:cs="Times New Roman"/>
          <w:szCs w:val="24"/>
        </w:rPr>
      </w:pPr>
    </w:p>
    <w:p w14:paraId="0E522F56" w14:textId="77777777" w:rsidR="00223CE8" w:rsidRDefault="00223CE8" w:rsidP="00E837DD">
      <w:pPr>
        <w:spacing w:after="0"/>
        <w:jc w:val="both"/>
        <w:rPr>
          <w:rFonts w:cs="Times New Roman"/>
          <w:szCs w:val="24"/>
        </w:rPr>
      </w:pPr>
    </w:p>
    <w:p w14:paraId="01EEB9AF" w14:textId="77777777" w:rsidR="00223CE8" w:rsidRDefault="00223CE8" w:rsidP="00E837DD">
      <w:pPr>
        <w:spacing w:after="0"/>
        <w:jc w:val="both"/>
        <w:rPr>
          <w:rFonts w:cs="Times New Roman"/>
          <w:szCs w:val="24"/>
        </w:rPr>
      </w:pPr>
    </w:p>
    <w:p w14:paraId="3E560DF8" w14:textId="77777777" w:rsidR="00223CE8" w:rsidRDefault="00223CE8" w:rsidP="00E837DD">
      <w:pPr>
        <w:spacing w:after="0"/>
        <w:jc w:val="both"/>
        <w:rPr>
          <w:rFonts w:cs="Times New Roman"/>
          <w:szCs w:val="24"/>
        </w:rPr>
      </w:pPr>
    </w:p>
    <w:p w14:paraId="0662C10F" w14:textId="77777777" w:rsidR="00223CE8" w:rsidRDefault="00223CE8" w:rsidP="00E837DD">
      <w:pPr>
        <w:spacing w:after="0"/>
        <w:jc w:val="both"/>
        <w:rPr>
          <w:rFonts w:cs="Times New Roman"/>
          <w:szCs w:val="24"/>
        </w:rPr>
      </w:pPr>
    </w:p>
    <w:p w14:paraId="15951E64" w14:textId="77777777" w:rsidR="00223CE8" w:rsidRDefault="00223CE8" w:rsidP="00E837DD">
      <w:pPr>
        <w:spacing w:after="0"/>
        <w:jc w:val="both"/>
        <w:rPr>
          <w:rFonts w:cs="Times New Roman"/>
          <w:szCs w:val="24"/>
        </w:rPr>
      </w:pPr>
    </w:p>
    <w:p w14:paraId="14BB8FD0" w14:textId="77777777" w:rsidR="00223CE8" w:rsidRDefault="00223CE8" w:rsidP="00E837DD">
      <w:pPr>
        <w:spacing w:after="0"/>
        <w:jc w:val="both"/>
        <w:rPr>
          <w:rFonts w:cs="Times New Roman"/>
          <w:szCs w:val="24"/>
        </w:rPr>
      </w:pPr>
    </w:p>
    <w:p w14:paraId="7A88DBDA" w14:textId="77777777" w:rsidR="00223CE8" w:rsidRDefault="00223CE8" w:rsidP="00E837DD">
      <w:pPr>
        <w:spacing w:after="0"/>
        <w:jc w:val="both"/>
        <w:rPr>
          <w:rFonts w:cs="Times New Roman"/>
          <w:szCs w:val="24"/>
        </w:rPr>
      </w:pPr>
    </w:p>
    <w:p w14:paraId="6F672A5C" w14:textId="77777777" w:rsidR="00223CE8" w:rsidRDefault="00223CE8" w:rsidP="00E837DD">
      <w:pPr>
        <w:spacing w:after="0"/>
        <w:jc w:val="both"/>
        <w:rPr>
          <w:rFonts w:cs="Times New Roman"/>
          <w:szCs w:val="24"/>
        </w:rPr>
      </w:pPr>
    </w:p>
    <w:p w14:paraId="63D1087A" w14:textId="77777777" w:rsidR="00D20CB2" w:rsidRDefault="00D20CB2" w:rsidP="00E837DD">
      <w:pPr>
        <w:spacing w:after="0"/>
        <w:jc w:val="both"/>
        <w:rPr>
          <w:rFonts w:cs="Times New Roman"/>
          <w:szCs w:val="24"/>
        </w:rPr>
      </w:pPr>
    </w:p>
    <w:p w14:paraId="653F104D" w14:textId="77777777" w:rsidR="00D20CB2" w:rsidRDefault="00D20CB2" w:rsidP="00E837DD">
      <w:pPr>
        <w:spacing w:after="0"/>
        <w:jc w:val="both"/>
        <w:rPr>
          <w:rFonts w:cs="Times New Roman"/>
          <w:szCs w:val="24"/>
        </w:rPr>
      </w:pPr>
    </w:p>
    <w:p w14:paraId="3F614DF6" w14:textId="77777777" w:rsidR="00D20CB2" w:rsidRDefault="00D20CB2" w:rsidP="00E837DD">
      <w:pPr>
        <w:spacing w:after="0"/>
        <w:jc w:val="both"/>
        <w:rPr>
          <w:rFonts w:cs="Times New Roman"/>
          <w:szCs w:val="24"/>
        </w:rPr>
      </w:pPr>
    </w:p>
    <w:p w14:paraId="12F8B71A" w14:textId="77777777" w:rsidR="00D20CB2" w:rsidRDefault="00D20CB2" w:rsidP="00E837DD">
      <w:pPr>
        <w:spacing w:after="0"/>
        <w:jc w:val="both"/>
        <w:rPr>
          <w:rFonts w:cs="Times New Roman"/>
          <w:szCs w:val="24"/>
        </w:rPr>
      </w:pPr>
    </w:p>
    <w:p w14:paraId="6A952707" w14:textId="77777777" w:rsidR="00D20CB2" w:rsidRDefault="00D20CB2" w:rsidP="00E837DD">
      <w:pPr>
        <w:spacing w:after="0"/>
        <w:jc w:val="both"/>
        <w:rPr>
          <w:rFonts w:cs="Times New Roman"/>
          <w:szCs w:val="24"/>
        </w:rPr>
      </w:pPr>
    </w:p>
    <w:p w14:paraId="7707156D" w14:textId="77777777" w:rsidR="00D20CB2" w:rsidRDefault="00D20CB2" w:rsidP="00E837DD">
      <w:pPr>
        <w:spacing w:after="0"/>
        <w:jc w:val="both"/>
        <w:rPr>
          <w:rFonts w:cs="Times New Roman"/>
          <w:szCs w:val="24"/>
        </w:rPr>
      </w:pPr>
    </w:p>
    <w:p w14:paraId="65CDE74A" w14:textId="77777777" w:rsidR="00D20CB2" w:rsidRDefault="00D20CB2" w:rsidP="00E837DD">
      <w:pPr>
        <w:spacing w:after="0"/>
        <w:jc w:val="both"/>
        <w:rPr>
          <w:rFonts w:cs="Times New Roman"/>
          <w:szCs w:val="24"/>
        </w:rPr>
      </w:pPr>
    </w:p>
    <w:p w14:paraId="272EE2EB" w14:textId="77777777" w:rsidR="00D20CB2" w:rsidRDefault="00D20CB2" w:rsidP="00E837DD">
      <w:pPr>
        <w:spacing w:after="0"/>
        <w:jc w:val="both"/>
        <w:rPr>
          <w:rFonts w:cs="Times New Roman"/>
          <w:szCs w:val="24"/>
        </w:rPr>
      </w:pPr>
    </w:p>
    <w:p w14:paraId="4CC40D77" w14:textId="77777777" w:rsidR="00D20CB2" w:rsidRDefault="00D20CB2" w:rsidP="00E837DD">
      <w:pPr>
        <w:spacing w:after="0"/>
        <w:jc w:val="both"/>
        <w:rPr>
          <w:rFonts w:cs="Times New Roman"/>
          <w:szCs w:val="24"/>
        </w:rPr>
      </w:pPr>
    </w:p>
    <w:p w14:paraId="18455BA2" w14:textId="77777777" w:rsidR="00D20CB2" w:rsidRDefault="00D20CB2" w:rsidP="00E837DD">
      <w:pPr>
        <w:spacing w:after="0"/>
        <w:jc w:val="both"/>
        <w:rPr>
          <w:rFonts w:cs="Times New Roman"/>
          <w:szCs w:val="24"/>
        </w:rPr>
      </w:pPr>
    </w:p>
    <w:p w14:paraId="37D921AE" w14:textId="77777777" w:rsidR="00265BA6" w:rsidRDefault="00265BA6" w:rsidP="00E837DD">
      <w:pPr>
        <w:spacing w:after="0"/>
        <w:jc w:val="both"/>
        <w:rPr>
          <w:rFonts w:cs="Times New Roman"/>
          <w:szCs w:val="24"/>
        </w:rPr>
      </w:pPr>
    </w:p>
    <w:sectPr w:rsidR="00265BA6" w:rsidSect="009769F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9A2A7" w14:textId="77777777" w:rsidR="00EA5977" w:rsidRDefault="00EA5977" w:rsidP="003D2325">
      <w:pPr>
        <w:spacing w:after="0" w:line="240" w:lineRule="auto"/>
      </w:pPr>
      <w:r>
        <w:separator/>
      </w:r>
    </w:p>
  </w:endnote>
  <w:endnote w:type="continuationSeparator" w:id="0">
    <w:p w14:paraId="464A8BF6" w14:textId="77777777" w:rsidR="00EA5977" w:rsidRDefault="00EA5977" w:rsidP="003D2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illSansMT">
    <w:altName w:val="Cambria"/>
    <w:charset w:val="00"/>
    <w:family w:val="roman"/>
    <w:pitch w:val="default"/>
  </w:font>
  <w:font w:name="AdvTT505399df">
    <w:altName w:val="Cambria"/>
    <w:panose1 w:val="00000000000000000000"/>
    <w:charset w:val="00"/>
    <w:family w:val="roman"/>
    <w:notTrueType/>
    <w:pitch w:val="default"/>
  </w:font>
  <w:font w:name="AdvTTc0bf9acf">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PSMT">
    <w:altName w:val="Malgun Goth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ndara-Italic">
    <w:altName w:val="MS Gothic"/>
    <w:charset w:val="80"/>
    <w:family w:val="auto"/>
    <w:pitch w:val="default"/>
    <w:sig w:usb0="00000000" w:usb1="00000000" w:usb2="00000010" w:usb3="00000000" w:csb0="00020001" w:csb1="00000000"/>
  </w:font>
  <w:font w:name="AdvTT0e40dc65+25">
    <w:altName w:val="Yu Gothic"/>
    <w:charset w:val="80"/>
    <w:family w:val="auto"/>
    <w:pitch w:val="default"/>
    <w:sig w:usb0="00000000" w:usb1="00000000" w:usb2="00000010" w:usb3="00000000" w:csb0="00020000" w:csb1="00000000"/>
  </w:font>
  <w:font w:name="DengXian">
    <w:altName w:val="Arial Unicode MS"/>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0646"/>
      <w:docPartObj>
        <w:docPartGallery w:val="Page Numbers (Bottom of Page)"/>
        <w:docPartUnique/>
      </w:docPartObj>
    </w:sdtPr>
    <w:sdtEndPr>
      <w:rPr>
        <w:noProof/>
      </w:rPr>
    </w:sdtEndPr>
    <w:sdtContent>
      <w:p w14:paraId="3F9AADCD" w14:textId="77777777" w:rsidR="00040A45" w:rsidRDefault="00040A45">
        <w:pPr>
          <w:pStyle w:val="Footer"/>
          <w:jc w:val="center"/>
        </w:pPr>
        <w:r>
          <w:fldChar w:fldCharType="begin"/>
        </w:r>
        <w:r>
          <w:instrText xml:space="preserve"> PAGE   \* MERGEFORMAT </w:instrText>
        </w:r>
        <w:r>
          <w:fldChar w:fldCharType="separate"/>
        </w:r>
        <w:r w:rsidR="00917A83">
          <w:rPr>
            <w:noProof/>
          </w:rPr>
          <w:t>viii</w:t>
        </w:r>
        <w:r>
          <w:rPr>
            <w:noProof/>
          </w:rPr>
          <w:fldChar w:fldCharType="end"/>
        </w:r>
      </w:p>
    </w:sdtContent>
  </w:sdt>
  <w:p w14:paraId="2C0A737B" w14:textId="77777777" w:rsidR="00040A45" w:rsidRDefault="00040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1E016" w14:textId="77777777" w:rsidR="00EA5977" w:rsidRDefault="00EA5977" w:rsidP="003D2325">
      <w:pPr>
        <w:spacing w:after="0" w:line="240" w:lineRule="auto"/>
      </w:pPr>
      <w:r>
        <w:separator/>
      </w:r>
    </w:p>
  </w:footnote>
  <w:footnote w:type="continuationSeparator" w:id="0">
    <w:p w14:paraId="638095FF" w14:textId="77777777" w:rsidR="00EA5977" w:rsidRDefault="00EA5977" w:rsidP="003D2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416"/>
    <w:multiLevelType w:val="hybridMultilevel"/>
    <w:tmpl w:val="543620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B341F5"/>
    <w:multiLevelType w:val="hybridMultilevel"/>
    <w:tmpl w:val="37C8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A36BD"/>
    <w:multiLevelType w:val="hybridMultilevel"/>
    <w:tmpl w:val="7D3E3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B530A3"/>
    <w:multiLevelType w:val="hybridMultilevel"/>
    <w:tmpl w:val="123623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D5CA7"/>
    <w:multiLevelType w:val="hybridMultilevel"/>
    <w:tmpl w:val="82522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E1506F"/>
    <w:multiLevelType w:val="multilevel"/>
    <w:tmpl w:val="C82271B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6">
    <w:nsid w:val="127F3784"/>
    <w:multiLevelType w:val="hybridMultilevel"/>
    <w:tmpl w:val="2190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612085"/>
    <w:multiLevelType w:val="multilevel"/>
    <w:tmpl w:val="03DED3D4"/>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1DC2EDB"/>
    <w:multiLevelType w:val="hybridMultilevel"/>
    <w:tmpl w:val="638AF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D51508"/>
    <w:multiLevelType w:val="multilevel"/>
    <w:tmpl w:val="0206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5F21C2"/>
    <w:multiLevelType w:val="hybridMultilevel"/>
    <w:tmpl w:val="149E72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nsid w:val="29B54161"/>
    <w:multiLevelType w:val="hybridMultilevel"/>
    <w:tmpl w:val="F5402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743773"/>
    <w:multiLevelType w:val="hybridMultilevel"/>
    <w:tmpl w:val="E4063C26"/>
    <w:lvl w:ilvl="0" w:tplc="53EE27D0">
      <w:start w:val="8"/>
      <w:numFmt w:val="bullet"/>
      <w:lvlText w:val="-"/>
      <w:lvlJc w:val="left"/>
      <w:pPr>
        <w:ind w:left="960" w:hanging="360"/>
      </w:pPr>
      <w:rPr>
        <w:rFonts w:ascii="Times New Roman" w:eastAsia="DengXian Light" w:hAnsi="Times New Roman" w:cs="Times New Roman" w:hint="default"/>
        <w:b w:val="0"/>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381E1218"/>
    <w:multiLevelType w:val="hybridMultilevel"/>
    <w:tmpl w:val="2A22E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545F1F"/>
    <w:multiLevelType w:val="hybridMultilevel"/>
    <w:tmpl w:val="FBF8FC18"/>
    <w:lvl w:ilvl="0" w:tplc="C642454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E100B"/>
    <w:multiLevelType w:val="hybridMultilevel"/>
    <w:tmpl w:val="1FA8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580B76"/>
    <w:multiLevelType w:val="hybridMultilevel"/>
    <w:tmpl w:val="DB42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1C5A1A"/>
    <w:multiLevelType w:val="hybridMultilevel"/>
    <w:tmpl w:val="CF0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E26EFA"/>
    <w:multiLevelType w:val="hybridMultilevel"/>
    <w:tmpl w:val="9AFA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70245F"/>
    <w:multiLevelType w:val="multilevel"/>
    <w:tmpl w:val="03DED3D4"/>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6172146"/>
    <w:multiLevelType w:val="multilevel"/>
    <w:tmpl w:val="461721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4B984B01"/>
    <w:multiLevelType w:val="multilevel"/>
    <w:tmpl w:val="4B4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E07C76"/>
    <w:multiLevelType w:val="multilevel"/>
    <w:tmpl w:val="32C8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801226"/>
    <w:multiLevelType w:val="hybridMultilevel"/>
    <w:tmpl w:val="C4F2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4655DE"/>
    <w:multiLevelType w:val="multilevel"/>
    <w:tmpl w:val="5F4655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63BE4794"/>
    <w:multiLevelType w:val="hybridMultilevel"/>
    <w:tmpl w:val="71EA7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A37785"/>
    <w:multiLevelType w:val="hybridMultilevel"/>
    <w:tmpl w:val="FC6C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424438"/>
    <w:multiLevelType w:val="multilevel"/>
    <w:tmpl w:val="D4764CB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483379"/>
    <w:multiLevelType w:val="multilevel"/>
    <w:tmpl w:val="03DED3D4"/>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01B03E2"/>
    <w:multiLevelType w:val="multilevel"/>
    <w:tmpl w:val="3B9C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EC5026"/>
    <w:multiLevelType w:val="multilevel"/>
    <w:tmpl w:val="03DED3D4"/>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D602B42"/>
    <w:multiLevelType w:val="hybridMultilevel"/>
    <w:tmpl w:val="6E42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9"/>
  </w:num>
  <w:num w:numId="4">
    <w:abstractNumId w:val="21"/>
  </w:num>
  <w:num w:numId="5">
    <w:abstractNumId w:val="22"/>
  </w:num>
  <w:num w:numId="6">
    <w:abstractNumId w:val="3"/>
  </w:num>
  <w:num w:numId="7">
    <w:abstractNumId w:val="0"/>
  </w:num>
  <w:num w:numId="8">
    <w:abstractNumId w:val="15"/>
  </w:num>
  <w:num w:numId="9">
    <w:abstractNumId w:val="5"/>
  </w:num>
  <w:num w:numId="10">
    <w:abstractNumId w:val="11"/>
  </w:num>
  <w:num w:numId="11">
    <w:abstractNumId w:val="13"/>
  </w:num>
  <w:num w:numId="12">
    <w:abstractNumId w:val="10"/>
  </w:num>
  <w:num w:numId="13">
    <w:abstractNumId w:val="23"/>
  </w:num>
  <w:num w:numId="14">
    <w:abstractNumId w:val="27"/>
  </w:num>
  <w:num w:numId="15">
    <w:abstractNumId w:val="19"/>
  </w:num>
  <w:num w:numId="16">
    <w:abstractNumId w:val="4"/>
  </w:num>
  <w:num w:numId="17">
    <w:abstractNumId w:val="6"/>
  </w:num>
  <w:num w:numId="18">
    <w:abstractNumId w:val="16"/>
  </w:num>
  <w:num w:numId="19">
    <w:abstractNumId w:val="1"/>
  </w:num>
  <w:num w:numId="20">
    <w:abstractNumId w:val="26"/>
  </w:num>
  <w:num w:numId="21">
    <w:abstractNumId w:val="25"/>
  </w:num>
  <w:num w:numId="22">
    <w:abstractNumId w:val="17"/>
  </w:num>
  <w:num w:numId="23">
    <w:abstractNumId w:val="31"/>
  </w:num>
  <w:num w:numId="24">
    <w:abstractNumId w:val="29"/>
  </w:num>
  <w:num w:numId="25">
    <w:abstractNumId w:val="14"/>
  </w:num>
  <w:num w:numId="26">
    <w:abstractNumId w:val="7"/>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0"/>
  </w:num>
  <w:num w:numId="30">
    <w:abstractNumId w:val="8"/>
  </w:num>
  <w:num w:numId="31">
    <w:abstractNumId w:val="18"/>
  </w:num>
  <w:num w:numId="32">
    <w:abstractNumId w:val="2"/>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7DD"/>
    <w:rsid w:val="00006176"/>
    <w:rsid w:val="00017670"/>
    <w:rsid w:val="0003359E"/>
    <w:rsid w:val="00040A45"/>
    <w:rsid w:val="00053B75"/>
    <w:rsid w:val="000575D4"/>
    <w:rsid w:val="000630D3"/>
    <w:rsid w:val="00063A58"/>
    <w:rsid w:val="000648B2"/>
    <w:rsid w:val="00083673"/>
    <w:rsid w:val="000853E7"/>
    <w:rsid w:val="000905ED"/>
    <w:rsid w:val="000B5F12"/>
    <w:rsid w:val="000D5202"/>
    <w:rsid w:val="000F008F"/>
    <w:rsid w:val="000F03E2"/>
    <w:rsid w:val="00106B03"/>
    <w:rsid w:val="00142F45"/>
    <w:rsid w:val="001477BB"/>
    <w:rsid w:val="00160A66"/>
    <w:rsid w:val="001611B0"/>
    <w:rsid w:val="00173A78"/>
    <w:rsid w:val="00182F8A"/>
    <w:rsid w:val="001D6403"/>
    <w:rsid w:val="002041F3"/>
    <w:rsid w:val="00214907"/>
    <w:rsid w:val="00220352"/>
    <w:rsid w:val="002225E4"/>
    <w:rsid w:val="00223CE8"/>
    <w:rsid w:val="00235EBA"/>
    <w:rsid w:val="00255242"/>
    <w:rsid w:val="00265BA6"/>
    <w:rsid w:val="002929CB"/>
    <w:rsid w:val="002D13F8"/>
    <w:rsid w:val="002D193D"/>
    <w:rsid w:val="002D6DD7"/>
    <w:rsid w:val="002F635D"/>
    <w:rsid w:val="003068AB"/>
    <w:rsid w:val="00311255"/>
    <w:rsid w:val="003114B5"/>
    <w:rsid w:val="00346050"/>
    <w:rsid w:val="003564C6"/>
    <w:rsid w:val="003707D6"/>
    <w:rsid w:val="00372281"/>
    <w:rsid w:val="003C3F6A"/>
    <w:rsid w:val="003C77CE"/>
    <w:rsid w:val="003D150E"/>
    <w:rsid w:val="003D2325"/>
    <w:rsid w:val="003D3F76"/>
    <w:rsid w:val="003F0F9E"/>
    <w:rsid w:val="00401703"/>
    <w:rsid w:val="0040651A"/>
    <w:rsid w:val="004139DA"/>
    <w:rsid w:val="00431C10"/>
    <w:rsid w:val="00442EF0"/>
    <w:rsid w:val="004463FE"/>
    <w:rsid w:val="00447A72"/>
    <w:rsid w:val="00454A61"/>
    <w:rsid w:val="0045565E"/>
    <w:rsid w:val="00461D4D"/>
    <w:rsid w:val="0048016E"/>
    <w:rsid w:val="00490A00"/>
    <w:rsid w:val="00491AFD"/>
    <w:rsid w:val="004A23D0"/>
    <w:rsid w:val="004C3229"/>
    <w:rsid w:val="004E5C7B"/>
    <w:rsid w:val="005013E8"/>
    <w:rsid w:val="005026F3"/>
    <w:rsid w:val="0052070D"/>
    <w:rsid w:val="0052456B"/>
    <w:rsid w:val="00527EB2"/>
    <w:rsid w:val="005339A4"/>
    <w:rsid w:val="0053427F"/>
    <w:rsid w:val="0053763D"/>
    <w:rsid w:val="00537B05"/>
    <w:rsid w:val="005409A9"/>
    <w:rsid w:val="00540ACE"/>
    <w:rsid w:val="00566999"/>
    <w:rsid w:val="00583089"/>
    <w:rsid w:val="00596EE8"/>
    <w:rsid w:val="005A0E39"/>
    <w:rsid w:val="005B245E"/>
    <w:rsid w:val="005B4B83"/>
    <w:rsid w:val="005C450C"/>
    <w:rsid w:val="005D59D6"/>
    <w:rsid w:val="005F60F6"/>
    <w:rsid w:val="0060025F"/>
    <w:rsid w:val="00601A4D"/>
    <w:rsid w:val="006254CE"/>
    <w:rsid w:val="00626C18"/>
    <w:rsid w:val="00634FD3"/>
    <w:rsid w:val="00657272"/>
    <w:rsid w:val="0066562E"/>
    <w:rsid w:val="00665767"/>
    <w:rsid w:val="00672519"/>
    <w:rsid w:val="0069535C"/>
    <w:rsid w:val="006C0723"/>
    <w:rsid w:val="006E263B"/>
    <w:rsid w:val="006E5981"/>
    <w:rsid w:val="006E5ECA"/>
    <w:rsid w:val="00734FA4"/>
    <w:rsid w:val="007624E8"/>
    <w:rsid w:val="007625AA"/>
    <w:rsid w:val="0078037A"/>
    <w:rsid w:val="00787D79"/>
    <w:rsid w:val="00790028"/>
    <w:rsid w:val="00797C19"/>
    <w:rsid w:val="007A4196"/>
    <w:rsid w:val="007A6A02"/>
    <w:rsid w:val="007B485D"/>
    <w:rsid w:val="0080500F"/>
    <w:rsid w:val="00840A71"/>
    <w:rsid w:val="00854883"/>
    <w:rsid w:val="008741B7"/>
    <w:rsid w:val="00880A28"/>
    <w:rsid w:val="008B77FA"/>
    <w:rsid w:val="008D2B0C"/>
    <w:rsid w:val="008D48A5"/>
    <w:rsid w:val="008E1084"/>
    <w:rsid w:val="008F1BC0"/>
    <w:rsid w:val="00902E81"/>
    <w:rsid w:val="00910906"/>
    <w:rsid w:val="00917A83"/>
    <w:rsid w:val="00931813"/>
    <w:rsid w:val="00933933"/>
    <w:rsid w:val="00946365"/>
    <w:rsid w:val="009474AA"/>
    <w:rsid w:val="0097658E"/>
    <w:rsid w:val="009769F4"/>
    <w:rsid w:val="009959EE"/>
    <w:rsid w:val="00995CA8"/>
    <w:rsid w:val="009A6173"/>
    <w:rsid w:val="009B4FF7"/>
    <w:rsid w:val="009C5DD5"/>
    <w:rsid w:val="009D17A4"/>
    <w:rsid w:val="009D1B7E"/>
    <w:rsid w:val="00A0498F"/>
    <w:rsid w:val="00A244D4"/>
    <w:rsid w:val="00A3461C"/>
    <w:rsid w:val="00A5517C"/>
    <w:rsid w:val="00A945C9"/>
    <w:rsid w:val="00AA0D47"/>
    <w:rsid w:val="00AA22FA"/>
    <w:rsid w:val="00AA28D1"/>
    <w:rsid w:val="00AB27FB"/>
    <w:rsid w:val="00AE2DF4"/>
    <w:rsid w:val="00AE4D87"/>
    <w:rsid w:val="00AE608A"/>
    <w:rsid w:val="00AF071E"/>
    <w:rsid w:val="00B15BBB"/>
    <w:rsid w:val="00B30859"/>
    <w:rsid w:val="00B410D9"/>
    <w:rsid w:val="00B5726C"/>
    <w:rsid w:val="00B70217"/>
    <w:rsid w:val="00B76A4B"/>
    <w:rsid w:val="00B813B9"/>
    <w:rsid w:val="00BA22BF"/>
    <w:rsid w:val="00BA374B"/>
    <w:rsid w:val="00BC0421"/>
    <w:rsid w:val="00BC2CD6"/>
    <w:rsid w:val="00BD78A8"/>
    <w:rsid w:val="00C04C25"/>
    <w:rsid w:val="00C13AC0"/>
    <w:rsid w:val="00C344A8"/>
    <w:rsid w:val="00C345C8"/>
    <w:rsid w:val="00C4521D"/>
    <w:rsid w:val="00C46407"/>
    <w:rsid w:val="00C578D9"/>
    <w:rsid w:val="00C80455"/>
    <w:rsid w:val="00C87E2E"/>
    <w:rsid w:val="00CB109A"/>
    <w:rsid w:val="00CD494D"/>
    <w:rsid w:val="00D06F64"/>
    <w:rsid w:val="00D17D39"/>
    <w:rsid w:val="00D20CB2"/>
    <w:rsid w:val="00D25564"/>
    <w:rsid w:val="00D62AC4"/>
    <w:rsid w:val="00D76F62"/>
    <w:rsid w:val="00D94C55"/>
    <w:rsid w:val="00D97A49"/>
    <w:rsid w:val="00DB52C7"/>
    <w:rsid w:val="00DB7E3F"/>
    <w:rsid w:val="00E13DF5"/>
    <w:rsid w:val="00E43A7C"/>
    <w:rsid w:val="00E677B0"/>
    <w:rsid w:val="00E731CA"/>
    <w:rsid w:val="00E77A4B"/>
    <w:rsid w:val="00E837DD"/>
    <w:rsid w:val="00E90E67"/>
    <w:rsid w:val="00E94AD9"/>
    <w:rsid w:val="00EA5977"/>
    <w:rsid w:val="00EB59BD"/>
    <w:rsid w:val="00EC11CF"/>
    <w:rsid w:val="00ED22AD"/>
    <w:rsid w:val="00EE2696"/>
    <w:rsid w:val="00F11B03"/>
    <w:rsid w:val="00F26C37"/>
    <w:rsid w:val="00F62AE0"/>
    <w:rsid w:val="00F66D53"/>
    <w:rsid w:val="00F84B47"/>
    <w:rsid w:val="00F90A6F"/>
    <w:rsid w:val="00F91200"/>
    <w:rsid w:val="00FB4F74"/>
    <w:rsid w:val="00FC2704"/>
    <w:rsid w:val="00FC5824"/>
    <w:rsid w:val="00FC7D8E"/>
    <w:rsid w:val="00FD0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E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uiPriority="0" w:qFormat="1"/>
    <w:lsdException w:name="footer" w:uiPriority="0" w:qFormat="1"/>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55"/>
    <w:pPr>
      <w:spacing w:line="360" w:lineRule="auto"/>
    </w:pPr>
    <w:rPr>
      <w:rFonts w:ascii="Times New Roman" w:eastAsiaTheme="minorEastAsia" w:hAnsi="Times New Roman"/>
      <w:kern w:val="2"/>
      <w:sz w:val="24"/>
      <w:lang w:val="en-GB" w:eastAsia="ko-KR"/>
    </w:rPr>
  </w:style>
  <w:style w:type="paragraph" w:styleId="Heading1">
    <w:name w:val="heading 1"/>
    <w:basedOn w:val="Normal"/>
    <w:next w:val="Normal"/>
    <w:link w:val="Heading1Char"/>
    <w:qFormat/>
    <w:rsid w:val="0053763D"/>
    <w:pPr>
      <w:keepNext/>
      <w:keepLines/>
      <w:spacing w:before="480" w:after="0"/>
      <w:outlineLvl w:val="0"/>
    </w:pPr>
    <w:rPr>
      <w:rFonts w:eastAsiaTheme="majorEastAsia" w:cstheme="majorBidi"/>
      <w:b/>
      <w:bCs/>
      <w:kern w:val="0"/>
      <w:sz w:val="28"/>
      <w:szCs w:val="28"/>
      <w:lang w:val="en-US" w:eastAsia="en-US"/>
    </w:rPr>
  </w:style>
  <w:style w:type="paragraph" w:styleId="Heading2">
    <w:name w:val="heading 2"/>
    <w:basedOn w:val="Normal"/>
    <w:link w:val="Heading2Char"/>
    <w:uiPriority w:val="9"/>
    <w:qFormat/>
    <w:rsid w:val="00F90A6F"/>
    <w:pPr>
      <w:widowControl w:val="0"/>
      <w:autoSpaceDE w:val="0"/>
      <w:autoSpaceDN w:val="0"/>
      <w:spacing w:after="0"/>
      <w:outlineLvl w:val="1"/>
    </w:pPr>
    <w:rPr>
      <w:rFonts w:eastAsia="Times New Roman" w:cs="Times New Roman"/>
      <w:b/>
      <w:bCs/>
      <w:iCs/>
      <w:kern w:val="0"/>
      <w:sz w:val="26"/>
      <w:szCs w:val="24"/>
      <w:lang w:val="en-US" w:eastAsia="en-US"/>
    </w:rPr>
  </w:style>
  <w:style w:type="paragraph" w:styleId="Heading3">
    <w:name w:val="heading 3"/>
    <w:basedOn w:val="Normal"/>
    <w:next w:val="Normal"/>
    <w:link w:val="Heading3Char"/>
    <w:uiPriority w:val="9"/>
    <w:unhideWhenUsed/>
    <w:qFormat/>
    <w:rsid w:val="00E837DD"/>
    <w:pPr>
      <w:keepNext/>
      <w:keepLines/>
      <w:spacing w:before="200" w:after="0" w:line="276" w:lineRule="auto"/>
      <w:outlineLvl w:val="2"/>
    </w:pPr>
    <w:rPr>
      <w:rFonts w:asciiTheme="majorHAnsi" w:eastAsiaTheme="majorEastAsia" w:hAnsiTheme="majorHAnsi" w:cstheme="majorBidi"/>
      <w:b/>
      <w:bCs/>
      <w:color w:val="4472C4" w:themeColor="accent1"/>
      <w:kern w:val="0"/>
      <w:lang w:val="en-US" w:eastAsia="en-US"/>
    </w:rPr>
  </w:style>
  <w:style w:type="paragraph" w:styleId="Heading4">
    <w:name w:val="heading 4"/>
    <w:basedOn w:val="Normal"/>
    <w:next w:val="Normal"/>
    <w:link w:val="Heading4Char"/>
    <w:uiPriority w:val="9"/>
    <w:unhideWhenUsed/>
    <w:qFormat/>
    <w:rsid w:val="00E837DD"/>
    <w:pPr>
      <w:keepNext/>
      <w:keepLines/>
      <w:spacing w:before="200" w:after="0" w:line="276" w:lineRule="auto"/>
      <w:outlineLvl w:val="3"/>
    </w:pPr>
    <w:rPr>
      <w:rFonts w:asciiTheme="majorHAnsi" w:eastAsiaTheme="majorEastAsia" w:hAnsiTheme="majorHAnsi" w:cstheme="majorBidi"/>
      <w:b/>
      <w:bCs/>
      <w:i/>
      <w:iCs/>
      <w:color w:val="4472C4" w:themeColor="accent1"/>
      <w:kern w:val="0"/>
      <w:lang w:val="en-US" w:eastAsia="en-US"/>
    </w:rPr>
  </w:style>
  <w:style w:type="paragraph" w:styleId="Heading5">
    <w:name w:val="heading 5"/>
    <w:basedOn w:val="Normal"/>
    <w:next w:val="Normal"/>
    <w:link w:val="Heading5Char"/>
    <w:uiPriority w:val="9"/>
    <w:unhideWhenUsed/>
    <w:qFormat/>
    <w:rsid w:val="00E837DD"/>
    <w:pPr>
      <w:keepNext/>
      <w:keepLines/>
      <w:spacing w:before="200" w:after="0" w:line="276" w:lineRule="auto"/>
      <w:outlineLvl w:val="4"/>
    </w:pPr>
    <w:rPr>
      <w:rFonts w:asciiTheme="majorHAnsi" w:eastAsiaTheme="majorEastAsia" w:hAnsiTheme="majorHAnsi" w:cstheme="majorBidi"/>
      <w:color w:val="1F3763" w:themeColor="accent1" w:themeShade="7F"/>
      <w:kern w:val="0"/>
      <w:lang w:val="en-US" w:eastAsia="en-US"/>
    </w:rPr>
  </w:style>
  <w:style w:type="paragraph" w:styleId="Heading6">
    <w:name w:val="heading 6"/>
    <w:basedOn w:val="Normal"/>
    <w:next w:val="Normal"/>
    <w:link w:val="Heading6Char"/>
    <w:uiPriority w:val="9"/>
    <w:unhideWhenUsed/>
    <w:qFormat/>
    <w:rsid w:val="00E837DD"/>
    <w:pPr>
      <w:keepNext/>
      <w:keepLines/>
      <w:spacing w:before="40" w:after="0" w:line="240" w:lineRule="auto"/>
      <w:outlineLvl w:val="5"/>
    </w:pPr>
    <w:rPr>
      <w:rFonts w:eastAsiaTheme="majorEastAsia" w:cstheme="majorBidi"/>
      <w:i/>
      <w:iCs/>
      <w:color w:val="595959" w:themeColor="text1" w:themeTint="A6"/>
      <w:kern w:val="0"/>
      <w:lang w:val="en-US" w:eastAsia="en-US"/>
    </w:rPr>
  </w:style>
  <w:style w:type="paragraph" w:styleId="Heading7">
    <w:name w:val="heading 7"/>
    <w:basedOn w:val="Normal"/>
    <w:next w:val="Normal"/>
    <w:link w:val="Heading7Char"/>
    <w:uiPriority w:val="9"/>
    <w:semiHidden/>
    <w:unhideWhenUsed/>
    <w:qFormat/>
    <w:rsid w:val="00E837DD"/>
    <w:pPr>
      <w:keepNext/>
      <w:keepLines/>
      <w:spacing w:before="40" w:after="0" w:line="240" w:lineRule="auto"/>
      <w:outlineLvl w:val="6"/>
    </w:pPr>
    <w:rPr>
      <w:rFonts w:eastAsiaTheme="majorEastAsia" w:cstheme="majorBidi"/>
      <w:color w:val="595959" w:themeColor="text1" w:themeTint="A6"/>
      <w:kern w:val="0"/>
      <w:lang w:val="en-US" w:eastAsia="en-US"/>
    </w:rPr>
  </w:style>
  <w:style w:type="paragraph" w:styleId="Heading8">
    <w:name w:val="heading 8"/>
    <w:basedOn w:val="Normal"/>
    <w:next w:val="Normal"/>
    <w:link w:val="Heading8Char"/>
    <w:uiPriority w:val="9"/>
    <w:semiHidden/>
    <w:unhideWhenUsed/>
    <w:qFormat/>
    <w:rsid w:val="00E837DD"/>
    <w:pPr>
      <w:keepNext/>
      <w:keepLines/>
      <w:spacing w:after="0" w:line="240" w:lineRule="auto"/>
      <w:outlineLvl w:val="7"/>
    </w:pPr>
    <w:rPr>
      <w:rFonts w:eastAsiaTheme="majorEastAsia" w:cstheme="majorBidi"/>
      <w:i/>
      <w:iCs/>
      <w:color w:val="272727" w:themeColor="text1" w:themeTint="D8"/>
      <w:kern w:val="0"/>
      <w:lang w:val="en-US" w:eastAsia="en-US"/>
    </w:rPr>
  </w:style>
  <w:style w:type="paragraph" w:styleId="Heading9">
    <w:name w:val="heading 9"/>
    <w:basedOn w:val="Normal"/>
    <w:next w:val="Normal"/>
    <w:link w:val="Heading9Char"/>
    <w:uiPriority w:val="9"/>
    <w:semiHidden/>
    <w:unhideWhenUsed/>
    <w:qFormat/>
    <w:rsid w:val="00E837DD"/>
    <w:pPr>
      <w:keepNext/>
      <w:keepLines/>
      <w:spacing w:after="0" w:line="240" w:lineRule="auto"/>
      <w:outlineLvl w:val="8"/>
    </w:pPr>
    <w:rPr>
      <w:rFonts w:eastAsiaTheme="majorEastAsia" w:cstheme="majorBidi"/>
      <w:color w:val="272727" w:themeColor="text1" w:themeTint="D8"/>
      <w:kern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763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90A6F"/>
    <w:rPr>
      <w:rFonts w:ascii="Times New Roman" w:eastAsia="Times New Roman" w:hAnsi="Times New Roman" w:cs="Times New Roman"/>
      <w:b/>
      <w:bCs/>
      <w:iCs/>
      <w:sz w:val="26"/>
      <w:szCs w:val="24"/>
    </w:rPr>
  </w:style>
  <w:style w:type="character" w:customStyle="1" w:styleId="Heading3Char">
    <w:name w:val="Heading 3 Char"/>
    <w:basedOn w:val="DefaultParagraphFont"/>
    <w:link w:val="Heading3"/>
    <w:uiPriority w:val="9"/>
    <w:rsid w:val="00E837D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E837D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E837D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E837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7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7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7DD"/>
    <w:rPr>
      <w:rFonts w:eastAsiaTheme="majorEastAsia" w:cstheme="majorBidi"/>
      <w:color w:val="272727" w:themeColor="text1" w:themeTint="D8"/>
    </w:rPr>
  </w:style>
  <w:style w:type="paragraph" w:customStyle="1" w:styleId="Default">
    <w:name w:val="Default"/>
    <w:qFormat/>
    <w:rsid w:val="00E837DD"/>
    <w:pPr>
      <w:autoSpaceDE w:val="0"/>
      <w:autoSpaceDN w:val="0"/>
      <w:adjustRightInd w:val="0"/>
      <w:spacing w:after="0" w:line="240" w:lineRule="auto"/>
    </w:pPr>
    <w:rPr>
      <w:rFonts w:ascii="Times New Roman" w:eastAsia="Batang" w:hAnsi="Times New Roman" w:cs="Times New Roman"/>
      <w:color w:val="000000"/>
      <w:sz w:val="24"/>
      <w:szCs w:val="24"/>
    </w:rPr>
  </w:style>
  <w:style w:type="character" w:styleId="Hyperlink">
    <w:name w:val="Hyperlink"/>
    <w:basedOn w:val="DefaultParagraphFont"/>
    <w:uiPriority w:val="99"/>
    <w:unhideWhenUsed/>
    <w:qFormat/>
    <w:rsid w:val="00E837DD"/>
    <w:rPr>
      <w:color w:val="0563C1" w:themeColor="hyperlink"/>
      <w:u w:val="single"/>
    </w:rPr>
  </w:style>
  <w:style w:type="paragraph" w:styleId="BodyText">
    <w:name w:val="Body Text"/>
    <w:basedOn w:val="Normal"/>
    <w:link w:val="BodyTextChar"/>
    <w:uiPriority w:val="1"/>
    <w:qFormat/>
    <w:rsid w:val="00E837DD"/>
    <w:pPr>
      <w:widowControl w:val="0"/>
      <w:autoSpaceDE w:val="0"/>
      <w:autoSpaceDN w:val="0"/>
      <w:spacing w:after="0" w:line="240" w:lineRule="auto"/>
      <w:jc w:val="both"/>
    </w:pPr>
    <w:rPr>
      <w:rFonts w:eastAsia="Times New Roman" w:cs="Times New Roman"/>
      <w:kern w:val="0"/>
      <w:szCs w:val="24"/>
      <w:lang w:val="en-US" w:eastAsia="en-US"/>
    </w:rPr>
  </w:style>
  <w:style w:type="character" w:customStyle="1" w:styleId="BodyTextChar">
    <w:name w:val="Body Text Char"/>
    <w:basedOn w:val="DefaultParagraphFont"/>
    <w:link w:val="BodyText"/>
    <w:uiPriority w:val="1"/>
    <w:rsid w:val="00E837DD"/>
    <w:rPr>
      <w:rFonts w:ascii="Times New Roman" w:eastAsia="Times New Roman" w:hAnsi="Times New Roman" w:cs="Times New Roman"/>
      <w:sz w:val="24"/>
      <w:szCs w:val="24"/>
    </w:rPr>
  </w:style>
  <w:style w:type="paragraph" w:styleId="ListParagraph">
    <w:name w:val="List Paragraph"/>
    <w:basedOn w:val="Normal"/>
    <w:uiPriority w:val="34"/>
    <w:qFormat/>
    <w:rsid w:val="00E837DD"/>
    <w:pPr>
      <w:widowControl w:val="0"/>
      <w:autoSpaceDE w:val="0"/>
      <w:autoSpaceDN w:val="0"/>
      <w:spacing w:after="0" w:line="240" w:lineRule="auto"/>
      <w:ind w:left="960" w:hanging="360"/>
      <w:jc w:val="both"/>
    </w:pPr>
    <w:rPr>
      <w:rFonts w:eastAsia="Times New Roman" w:cs="Times New Roman"/>
      <w:kern w:val="0"/>
      <w:lang w:val="en-US" w:eastAsia="en-US"/>
    </w:rPr>
  </w:style>
  <w:style w:type="paragraph" w:styleId="TOC1">
    <w:name w:val="toc 1"/>
    <w:basedOn w:val="Normal"/>
    <w:uiPriority w:val="39"/>
    <w:qFormat/>
    <w:rsid w:val="00E837DD"/>
    <w:pPr>
      <w:spacing w:before="120" w:after="120"/>
    </w:pPr>
    <w:rPr>
      <w:rFonts w:cstheme="minorHAnsi"/>
      <w:b/>
      <w:bCs/>
      <w:caps/>
      <w:sz w:val="20"/>
      <w:szCs w:val="20"/>
    </w:rPr>
  </w:style>
  <w:style w:type="paragraph" w:styleId="TOC2">
    <w:name w:val="toc 2"/>
    <w:basedOn w:val="Normal"/>
    <w:uiPriority w:val="39"/>
    <w:qFormat/>
    <w:rsid w:val="00E837DD"/>
    <w:pPr>
      <w:spacing w:after="0"/>
      <w:ind w:left="220"/>
    </w:pPr>
    <w:rPr>
      <w:rFonts w:cstheme="minorHAnsi"/>
      <w:smallCaps/>
      <w:sz w:val="20"/>
      <w:szCs w:val="20"/>
    </w:rPr>
  </w:style>
  <w:style w:type="paragraph" w:styleId="TOC3">
    <w:name w:val="toc 3"/>
    <w:basedOn w:val="Normal"/>
    <w:uiPriority w:val="39"/>
    <w:qFormat/>
    <w:rsid w:val="00E837DD"/>
    <w:pPr>
      <w:spacing w:after="0"/>
      <w:ind w:left="440"/>
    </w:pPr>
    <w:rPr>
      <w:rFonts w:cstheme="minorHAnsi"/>
      <w:i/>
      <w:iCs/>
      <w:sz w:val="20"/>
      <w:szCs w:val="20"/>
    </w:rPr>
  </w:style>
  <w:style w:type="paragraph" w:styleId="TOC4">
    <w:name w:val="toc 4"/>
    <w:basedOn w:val="Normal"/>
    <w:uiPriority w:val="39"/>
    <w:qFormat/>
    <w:rsid w:val="00E837DD"/>
    <w:pPr>
      <w:spacing w:after="0"/>
      <w:ind w:left="660"/>
    </w:pPr>
    <w:rPr>
      <w:rFonts w:cstheme="minorHAnsi"/>
      <w:sz w:val="18"/>
      <w:szCs w:val="18"/>
    </w:rPr>
  </w:style>
  <w:style w:type="paragraph" w:styleId="TOC5">
    <w:name w:val="toc 5"/>
    <w:basedOn w:val="Normal"/>
    <w:uiPriority w:val="39"/>
    <w:qFormat/>
    <w:rsid w:val="00E837DD"/>
    <w:pPr>
      <w:spacing w:after="0"/>
      <w:ind w:left="880"/>
    </w:pPr>
    <w:rPr>
      <w:rFonts w:cstheme="minorHAnsi"/>
      <w:sz w:val="18"/>
      <w:szCs w:val="18"/>
    </w:rPr>
  </w:style>
  <w:style w:type="paragraph" w:styleId="Title">
    <w:name w:val="Title"/>
    <w:basedOn w:val="Normal"/>
    <w:link w:val="TitleChar"/>
    <w:uiPriority w:val="1"/>
    <w:qFormat/>
    <w:rsid w:val="00E837DD"/>
    <w:pPr>
      <w:widowControl w:val="0"/>
      <w:autoSpaceDE w:val="0"/>
      <w:autoSpaceDN w:val="0"/>
      <w:spacing w:after="0" w:line="240" w:lineRule="auto"/>
      <w:ind w:left="650" w:right="2197"/>
      <w:jc w:val="center"/>
    </w:pPr>
    <w:rPr>
      <w:rFonts w:eastAsia="Times New Roman" w:cs="Times New Roman"/>
      <w:b/>
      <w:bCs/>
      <w:kern w:val="0"/>
      <w:sz w:val="36"/>
      <w:szCs w:val="36"/>
      <w:lang w:val="en-US" w:eastAsia="en-US"/>
    </w:rPr>
  </w:style>
  <w:style w:type="character" w:customStyle="1" w:styleId="TitleChar">
    <w:name w:val="Title Char"/>
    <w:basedOn w:val="DefaultParagraphFont"/>
    <w:link w:val="Title"/>
    <w:uiPriority w:val="1"/>
    <w:rsid w:val="00E837DD"/>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E837DD"/>
    <w:pPr>
      <w:widowControl w:val="0"/>
      <w:autoSpaceDE w:val="0"/>
      <w:autoSpaceDN w:val="0"/>
      <w:spacing w:after="0" w:line="240" w:lineRule="auto"/>
      <w:ind w:left="107"/>
    </w:pPr>
    <w:rPr>
      <w:rFonts w:eastAsia="Times New Roman" w:cs="Times New Roman"/>
      <w:kern w:val="0"/>
      <w:lang w:val="en-US" w:eastAsia="en-US"/>
    </w:rPr>
  </w:style>
  <w:style w:type="character" w:customStyle="1" w:styleId="BalloonTextChar">
    <w:name w:val="Balloon Text Char"/>
    <w:basedOn w:val="DefaultParagraphFont"/>
    <w:link w:val="BalloonText"/>
    <w:uiPriority w:val="99"/>
    <w:semiHidden/>
    <w:rsid w:val="00E837DD"/>
    <w:rPr>
      <w:rFonts w:ascii="Tahoma" w:eastAsia="Times New Roman" w:hAnsi="Tahoma" w:cs="Tahoma"/>
      <w:sz w:val="16"/>
      <w:szCs w:val="16"/>
    </w:rPr>
  </w:style>
  <w:style w:type="paragraph" w:styleId="BalloonText">
    <w:name w:val="Balloon Text"/>
    <w:basedOn w:val="Normal"/>
    <w:link w:val="BalloonTextChar"/>
    <w:uiPriority w:val="99"/>
    <w:semiHidden/>
    <w:unhideWhenUsed/>
    <w:qFormat/>
    <w:rsid w:val="00E837DD"/>
    <w:pPr>
      <w:widowControl w:val="0"/>
      <w:autoSpaceDE w:val="0"/>
      <w:autoSpaceDN w:val="0"/>
      <w:spacing w:after="0" w:line="240" w:lineRule="auto"/>
    </w:pPr>
    <w:rPr>
      <w:rFonts w:ascii="Tahoma" w:eastAsia="Times New Roman" w:hAnsi="Tahoma" w:cs="Tahoma"/>
      <w:kern w:val="0"/>
      <w:sz w:val="16"/>
      <w:szCs w:val="16"/>
      <w:lang w:val="en-US" w:eastAsia="en-US"/>
    </w:rPr>
  </w:style>
  <w:style w:type="character" w:customStyle="1" w:styleId="BalloonTextChar1">
    <w:name w:val="Balloon Text Char1"/>
    <w:basedOn w:val="DefaultParagraphFont"/>
    <w:uiPriority w:val="99"/>
    <w:semiHidden/>
    <w:rsid w:val="00E837DD"/>
    <w:rPr>
      <w:rFonts w:ascii="Segoe UI" w:eastAsiaTheme="minorEastAsia" w:hAnsi="Segoe UI" w:cs="Segoe UI"/>
      <w:kern w:val="2"/>
      <w:sz w:val="18"/>
      <w:szCs w:val="18"/>
      <w:lang w:val="en-GB" w:eastAsia="ko-KR"/>
    </w:rPr>
  </w:style>
  <w:style w:type="character" w:customStyle="1" w:styleId="HeaderChar">
    <w:name w:val="Header Char"/>
    <w:basedOn w:val="DefaultParagraphFont"/>
    <w:link w:val="Header"/>
    <w:uiPriority w:val="99"/>
    <w:rsid w:val="00E837DD"/>
  </w:style>
  <w:style w:type="paragraph" w:styleId="Header">
    <w:name w:val="header"/>
    <w:basedOn w:val="Normal"/>
    <w:link w:val="HeaderChar"/>
    <w:unhideWhenUsed/>
    <w:qFormat/>
    <w:rsid w:val="00E837DD"/>
    <w:pPr>
      <w:tabs>
        <w:tab w:val="center" w:pos="4680"/>
        <w:tab w:val="right" w:pos="9360"/>
      </w:tabs>
      <w:spacing w:after="0" w:line="240" w:lineRule="auto"/>
    </w:pPr>
    <w:rPr>
      <w:rFonts w:eastAsiaTheme="minorHAnsi"/>
      <w:kern w:val="0"/>
      <w:lang w:val="en-US" w:eastAsia="en-US"/>
    </w:rPr>
  </w:style>
  <w:style w:type="character" w:customStyle="1" w:styleId="HeaderChar1">
    <w:name w:val="Header Char1"/>
    <w:basedOn w:val="DefaultParagraphFont"/>
    <w:uiPriority w:val="99"/>
    <w:semiHidden/>
    <w:rsid w:val="00E837DD"/>
    <w:rPr>
      <w:rFonts w:eastAsiaTheme="minorEastAsia"/>
      <w:kern w:val="2"/>
      <w:lang w:val="en-GB" w:eastAsia="ko-KR"/>
    </w:rPr>
  </w:style>
  <w:style w:type="paragraph" w:styleId="Footer">
    <w:name w:val="footer"/>
    <w:basedOn w:val="Normal"/>
    <w:link w:val="FooterChar"/>
    <w:unhideWhenUsed/>
    <w:qFormat/>
    <w:rsid w:val="00E837DD"/>
    <w:pPr>
      <w:tabs>
        <w:tab w:val="center" w:pos="4680"/>
        <w:tab w:val="right" w:pos="9360"/>
      </w:tabs>
      <w:spacing w:after="0" w:line="240" w:lineRule="auto"/>
    </w:pPr>
    <w:rPr>
      <w:rFonts w:eastAsiaTheme="minorHAnsi"/>
      <w:kern w:val="0"/>
      <w:lang w:val="en-US" w:eastAsia="en-US"/>
    </w:rPr>
  </w:style>
  <w:style w:type="character" w:customStyle="1" w:styleId="FooterChar">
    <w:name w:val="Footer Char"/>
    <w:basedOn w:val="DefaultParagraphFont"/>
    <w:link w:val="Footer"/>
    <w:uiPriority w:val="99"/>
    <w:rsid w:val="00E837DD"/>
  </w:style>
  <w:style w:type="character" w:customStyle="1" w:styleId="fontstyle01">
    <w:name w:val="fontstyle01"/>
    <w:basedOn w:val="DefaultParagraphFont"/>
    <w:rsid w:val="00E837DD"/>
    <w:rPr>
      <w:rFonts w:ascii="Arial Nova Light" w:hAnsi="Arial Nova Light" w:hint="default"/>
      <w:b w:val="0"/>
      <w:bCs w:val="0"/>
      <w:i w:val="0"/>
      <w:iCs w:val="0"/>
      <w:color w:val="000000"/>
      <w:sz w:val="20"/>
      <w:szCs w:val="20"/>
    </w:rPr>
  </w:style>
  <w:style w:type="table" w:styleId="TableGrid">
    <w:name w:val="Table Grid"/>
    <w:basedOn w:val="TableNormal"/>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E837DD"/>
    <w:rPr>
      <w:sz w:val="20"/>
      <w:szCs w:val="20"/>
    </w:rPr>
  </w:style>
  <w:style w:type="paragraph" w:styleId="CommentText">
    <w:name w:val="annotation text"/>
    <w:basedOn w:val="Normal"/>
    <w:link w:val="CommentTextChar"/>
    <w:uiPriority w:val="99"/>
    <w:unhideWhenUsed/>
    <w:qFormat/>
    <w:rsid w:val="00E837DD"/>
    <w:pPr>
      <w:spacing w:after="200" w:line="240" w:lineRule="auto"/>
    </w:pPr>
    <w:rPr>
      <w:rFonts w:eastAsiaTheme="minorHAnsi"/>
      <w:kern w:val="0"/>
      <w:sz w:val="20"/>
      <w:szCs w:val="20"/>
      <w:lang w:val="en-US" w:eastAsia="en-US"/>
    </w:rPr>
  </w:style>
  <w:style w:type="character" w:customStyle="1" w:styleId="CommentTextChar1">
    <w:name w:val="Comment Text Char1"/>
    <w:basedOn w:val="DefaultParagraphFont"/>
    <w:uiPriority w:val="99"/>
    <w:semiHidden/>
    <w:rsid w:val="00E837DD"/>
    <w:rPr>
      <w:rFonts w:eastAsiaTheme="minorEastAsia"/>
      <w:kern w:val="2"/>
      <w:sz w:val="20"/>
      <w:szCs w:val="20"/>
      <w:lang w:val="en-GB" w:eastAsia="ko-KR"/>
    </w:rPr>
  </w:style>
  <w:style w:type="character" w:customStyle="1" w:styleId="CommentSubjectChar">
    <w:name w:val="Comment Subject Char"/>
    <w:basedOn w:val="CommentTextChar"/>
    <w:link w:val="CommentSubject"/>
    <w:uiPriority w:val="99"/>
    <w:semiHidden/>
    <w:rsid w:val="00E837DD"/>
    <w:rPr>
      <w:b/>
      <w:bCs/>
      <w:sz w:val="20"/>
      <w:szCs w:val="20"/>
    </w:rPr>
  </w:style>
  <w:style w:type="paragraph" w:styleId="CommentSubject">
    <w:name w:val="annotation subject"/>
    <w:basedOn w:val="CommentText"/>
    <w:next w:val="CommentText"/>
    <w:link w:val="CommentSubjectChar"/>
    <w:uiPriority w:val="99"/>
    <w:semiHidden/>
    <w:unhideWhenUsed/>
    <w:qFormat/>
    <w:rsid w:val="00E837DD"/>
    <w:rPr>
      <w:b/>
      <w:bCs/>
    </w:rPr>
  </w:style>
  <w:style w:type="character" w:customStyle="1" w:styleId="CommentSubjectChar1">
    <w:name w:val="Comment Subject Char1"/>
    <w:basedOn w:val="CommentTextChar1"/>
    <w:uiPriority w:val="99"/>
    <w:semiHidden/>
    <w:rsid w:val="00E837DD"/>
    <w:rPr>
      <w:rFonts w:eastAsiaTheme="minorEastAsia"/>
      <w:b/>
      <w:bCs/>
      <w:kern w:val="2"/>
      <w:sz w:val="20"/>
      <w:szCs w:val="20"/>
      <w:lang w:val="en-GB" w:eastAsia="ko-KR"/>
    </w:rPr>
  </w:style>
  <w:style w:type="character" w:styleId="IntenseEmphasis">
    <w:name w:val="Intense Emphasis"/>
    <w:basedOn w:val="DefaultParagraphFont"/>
    <w:uiPriority w:val="21"/>
    <w:qFormat/>
    <w:rsid w:val="00E837DD"/>
    <w:rPr>
      <w:b/>
      <w:bCs/>
      <w:i/>
      <w:iCs/>
      <w:color w:val="4472C4" w:themeColor="accent1"/>
    </w:rPr>
  </w:style>
  <w:style w:type="character" w:styleId="Strong">
    <w:name w:val="Strong"/>
    <w:basedOn w:val="DefaultParagraphFont"/>
    <w:uiPriority w:val="22"/>
    <w:qFormat/>
    <w:rsid w:val="00E837DD"/>
    <w:rPr>
      <w:b/>
      <w:bCs/>
    </w:rPr>
  </w:style>
  <w:style w:type="character" w:customStyle="1" w:styleId="z-TopofFormChar">
    <w:name w:val="z-Top of Form Char"/>
    <w:basedOn w:val="DefaultParagraphFont"/>
    <w:link w:val="z-TopofForm"/>
    <w:uiPriority w:val="99"/>
    <w:semiHidden/>
    <w:rsid w:val="00E837D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E837DD"/>
    <w:pPr>
      <w:pBdr>
        <w:bottom w:val="single" w:sz="6" w:space="1" w:color="auto"/>
      </w:pBdr>
      <w:spacing w:after="0" w:line="240" w:lineRule="auto"/>
      <w:jc w:val="center"/>
    </w:pPr>
    <w:rPr>
      <w:rFonts w:ascii="Arial" w:eastAsia="Times New Roman" w:hAnsi="Arial" w:cs="Arial"/>
      <w:vanish/>
      <w:kern w:val="0"/>
      <w:sz w:val="16"/>
      <w:szCs w:val="16"/>
      <w:lang w:val="en-US" w:eastAsia="en-US"/>
    </w:rPr>
  </w:style>
  <w:style w:type="character" w:customStyle="1" w:styleId="z-TopofFormChar1">
    <w:name w:val="z-Top of Form Char1"/>
    <w:basedOn w:val="DefaultParagraphFont"/>
    <w:uiPriority w:val="99"/>
    <w:semiHidden/>
    <w:rsid w:val="00E837DD"/>
    <w:rPr>
      <w:rFonts w:ascii="Arial" w:eastAsiaTheme="minorEastAsia" w:hAnsi="Arial" w:cs="Arial"/>
      <w:vanish/>
      <w:kern w:val="2"/>
      <w:sz w:val="16"/>
      <w:szCs w:val="16"/>
      <w:lang w:val="en-GB" w:eastAsia="ko-KR"/>
    </w:rPr>
  </w:style>
  <w:style w:type="character" w:styleId="Emphasis">
    <w:name w:val="Emphasis"/>
    <w:basedOn w:val="DefaultParagraphFont"/>
    <w:uiPriority w:val="20"/>
    <w:qFormat/>
    <w:rsid w:val="00E837DD"/>
    <w:rPr>
      <w:i/>
      <w:iCs/>
    </w:rPr>
  </w:style>
  <w:style w:type="paragraph" w:styleId="NormalWeb">
    <w:name w:val="Normal (Web)"/>
    <w:basedOn w:val="Normal"/>
    <w:uiPriority w:val="99"/>
    <w:unhideWhenUsed/>
    <w:qFormat/>
    <w:rsid w:val="00E837DD"/>
    <w:pPr>
      <w:spacing w:before="100" w:beforeAutospacing="1" w:after="100" w:afterAutospacing="1" w:line="240" w:lineRule="auto"/>
    </w:pPr>
    <w:rPr>
      <w:rFonts w:eastAsia="Times New Roman" w:cs="Times New Roman"/>
      <w:kern w:val="0"/>
      <w:szCs w:val="24"/>
      <w:lang w:eastAsia="en-GB"/>
    </w:rPr>
  </w:style>
  <w:style w:type="paragraph" w:styleId="Subtitle">
    <w:name w:val="Subtitle"/>
    <w:basedOn w:val="Normal"/>
    <w:next w:val="Normal"/>
    <w:link w:val="SubtitleChar"/>
    <w:uiPriority w:val="11"/>
    <w:qFormat/>
    <w:rsid w:val="00E837DD"/>
    <w:pPr>
      <w:numPr>
        <w:ilvl w:val="1"/>
      </w:numPr>
      <w:spacing w:line="240" w:lineRule="auto"/>
    </w:pPr>
    <w:rPr>
      <w:rFonts w:eastAsiaTheme="majorEastAsia" w:cstheme="majorBidi"/>
      <w:color w:val="595959" w:themeColor="text1" w:themeTint="A6"/>
      <w:spacing w:val="15"/>
      <w:kern w:val="0"/>
      <w:sz w:val="28"/>
      <w:szCs w:val="28"/>
      <w:lang w:val="en-US" w:eastAsia="en-US"/>
    </w:rPr>
  </w:style>
  <w:style w:type="character" w:customStyle="1" w:styleId="SubtitleChar">
    <w:name w:val="Subtitle Char"/>
    <w:basedOn w:val="DefaultParagraphFont"/>
    <w:link w:val="Subtitle"/>
    <w:uiPriority w:val="11"/>
    <w:rsid w:val="00E837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7DD"/>
    <w:pPr>
      <w:spacing w:before="160" w:line="240" w:lineRule="auto"/>
      <w:jc w:val="center"/>
    </w:pPr>
    <w:rPr>
      <w:rFonts w:eastAsiaTheme="minorHAnsi"/>
      <w:i/>
      <w:iCs/>
      <w:color w:val="404040" w:themeColor="text1" w:themeTint="BF"/>
      <w:kern w:val="0"/>
      <w:lang w:val="en-US" w:eastAsia="en-US"/>
    </w:rPr>
  </w:style>
  <w:style w:type="character" w:customStyle="1" w:styleId="QuoteChar">
    <w:name w:val="Quote Char"/>
    <w:basedOn w:val="DefaultParagraphFont"/>
    <w:link w:val="Quote"/>
    <w:uiPriority w:val="29"/>
    <w:rsid w:val="00E837DD"/>
    <w:rPr>
      <w:i/>
      <w:iCs/>
      <w:color w:val="404040" w:themeColor="text1" w:themeTint="BF"/>
    </w:rPr>
  </w:style>
  <w:style w:type="paragraph" w:styleId="IntenseQuote">
    <w:name w:val="Intense Quote"/>
    <w:basedOn w:val="Normal"/>
    <w:next w:val="Normal"/>
    <w:link w:val="IntenseQuoteChar"/>
    <w:uiPriority w:val="30"/>
    <w:qFormat/>
    <w:rsid w:val="00E837DD"/>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heme="minorHAnsi"/>
      <w:i/>
      <w:iCs/>
      <w:color w:val="2F5496" w:themeColor="accent1" w:themeShade="BF"/>
      <w:kern w:val="0"/>
      <w:lang w:val="en-US" w:eastAsia="en-US"/>
    </w:rPr>
  </w:style>
  <w:style w:type="character" w:customStyle="1" w:styleId="IntenseQuoteChar">
    <w:name w:val="Intense Quote Char"/>
    <w:basedOn w:val="DefaultParagraphFont"/>
    <w:link w:val="IntenseQuote"/>
    <w:uiPriority w:val="30"/>
    <w:rsid w:val="00E837DD"/>
    <w:rPr>
      <w:i/>
      <w:iCs/>
      <w:color w:val="2F5496" w:themeColor="accent1" w:themeShade="BF"/>
    </w:rPr>
  </w:style>
  <w:style w:type="character" w:styleId="IntenseReference">
    <w:name w:val="Intense Reference"/>
    <w:basedOn w:val="DefaultParagraphFont"/>
    <w:uiPriority w:val="32"/>
    <w:qFormat/>
    <w:rsid w:val="00E837DD"/>
    <w:rPr>
      <w:b/>
      <w:bCs/>
      <w:smallCaps/>
      <w:color w:val="2F5496" w:themeColor="accent1" w:themeShade="BF"/>
      <w:spacing w:val="5"/>
    </w:rPr>
  </w:style>
  <w:style w:type="paragraph" w:customStyle="1" w:styleId="a7bb8675-a5ae-4091-bce2-e7b3ade225ad">
    <w:name w:val="a7bb8675-a5ae-4091-bce2-e7b3ade225ad"/>
    <w:basedOn w:val="Normal"/>
    <w:qFormat/>
    <w:rsid w:val="00E837DD"/>
    <w:pPr>
      <w:spacing w:before="100" w:beforeAutospacing="1" w:after="100" w:afterAutospacing="1" w:line="240" w:lineRule="auto"/>
    </w:pPr>
    <w:rPr>
      <w:rFonts w:eastAsia="Times New Roman" w:cs="Times New Roman"/>
      <w:kern w:val="0"/>
      <w:szCs w:val="24"/>
      <w:lang w:val="en-US" w:eastAsia="en-US"/>
    </w:rPr>
  </w:style>
  <w:style w:type="character" w:customStyle="1" w:styleId="drug-classes">
    <w:name w:val="drug-classes"/>
    <w:basedOn w:val="DefaultParagraphFont"/>
    <w:rsid w:val="00E837DD"/>
  </w:style>
  <w:style w:type="character" w:styleId="FollowedHyperlink">
    <w:name w:val="FollowedHyperlink"/>
    <w:basedOn w:val="DefaultParagraphFont"/>
    <w:uiPriority w:val="99"/>
    <w:semiHidden/>
    <w:unhideWhenUsed/>
    <w:rsid w:val="00E837DD"/>
    <w:rPr>
      <w:color w:val="954F72" w:themeColor="followedHyperlink"/>
      <w:u w:val="single"/>
    </w:rPr>
  </w:style>
  <w:style w:type="paragraph" w:styleId="Revision">
    <w:name w:val="Revision"/>
    <w:hidden/>
    <w:uiPriority w:val="99"/>
    <w:semiHidden/>
    <w:qFormat/>
    <w:rsid w:val="00E837DD"/>
    <w:pPr>
      <w:spacing w:after="0" w:line="240" w:lineRule="auto"/>
    </w:pPr>
    <w:rPr>
      <w:rFonts w:eastAsia="Batang"/>
    </w:rPr>
  </w:style>
  <w:style w:type="paragraph" w:customStyle="1" w:styleId="para-list-item">
    <w:name w:val="para-list-item"/>
    <w:basedOn w:val="Normal"/>
    <w:qFormat/>
    <w:rsid w:val="00E837DD"/>
    <w:pPr>
      <w:spacing w:before="100" w:beforeAutospacing="1" w:after="100" w:afterAutospacing="1" w:line="240" w:lineRule="auto"/>
    </w:pPr>
    <w:rPr>
      <w:rFonts w:eastAsia="Times New Roman" w:cs="Times New Roman"/>
      <w:kern w:val="0"/>
      <w:szCs w:val="24"/>
      <w:lang w:eastAsia="en-GB"/>
    </w:rPr>
  </w:style>
  <w:style w:type="character" w:customStyle="1" w:styleId="hgkelc">
    <w:name w:val="hgkelc"/>
    <w:basedOn w:val="DefaultParagraphFont"/>
    <w:rsid w:val="00E837DD"/>
  </w:style>
  <w:style w:type="character" w:customStyle="1" w:styleId="kx21rb">
    <w:name w:val="kx21rb"/>
    <w:basedOn w:val="DefaultParagraphFont"/>
    <w:rsid w:val="00E837DD"/>
  </w:style>
  <w:style w:type="paragraph" w:customStyle="1" w:styleId="main-checkbox">
    <w:name w:val="main-checkbox"/>
    <w:basedOn w:val="Normal"/>
    <w:qFormat/>
    <w:rsid w:val="00E837DD"/>
    <w:pPr>
      <w:spacing w:before="100" w:beforeAutospacing="1" w:after="100" w:afterAutospacing="1" w:line="240" w:lineRule="auto"/>
    </w:pPr>
    <w:rPr>
      <w:rFonts w:eastAsia="Times New Roman" w:cs="Times New Roman"/>
      <w:kern w:val="0"/>
      <w:szCs w:val="24"/>
      <w:lang w:eastAsia="en-GB"/>
    </w:rPr>
  </w:style>
  <w:style w:type="paragraph" w:customStyle="1" w:styleId="sub-checkbox">
    <w:name w:val="sub-checkbox"/>
    <w:basedOn w:val="Normal"/>
    <w:qFormat/>
    <w:rsid w:val="00E837DD"/>
    <w:pPr>
      <w:spacing w:before="100" w:beforeAutospacing="1" w:after="100" w:afterAutospacing="1" w:line="240" w:lineRule="auto"/>
    </w:pPr>
    <w:rPr>
      <w:rFonts w:eastAsia="Times New Roman" w:cs="Times New Roman"/>
      <w:kern w:val="0"/>
      <w:szCs w:val="24"/>
      <w:lang w:eastAsia="en-GB"/>
    </w:rPr>
  </w:style>
  <w:style w:type="paragraph" w:customStyle="1" w:styleId="text-align-justify">
    <w:name w:val="text-align-justify"/>
    <w:basedOn w:val="Normal"/>
    <w:qFormat/>
    <w:rsid w:val="00E837DD"/>
    <w:pPr>
      <w:spacing w:before="100" w:beforeAutospacing="1" w:after="100" w:afterAutospacing="1" w:line="240" w:lineRule="auto"/>
    </w:pPr>
    <w:rPr>
      <w:rFonts w:eastAsia="Times New Roman" w:cs="Times New Roman"/>
      <w:kern w:val="0"/>
      <w:szCs w:val="24"/>
      <w:lang w:eastAsia="en-GB"/>
    </w:rPr>
  </w:style>
  <w:style w:type="character" w:customStyle="1" w:styleId="lecrdtxtpln">
    <w:name w:val="l_ecrd_txt_pln"/>
    <w:basedOn w:val="DefaultParagraphFont"/>
    <w:rsid w:val="00E837DD"/>
  </w:style>
  <w:style w:type="character" w:customStyle="1" w:styleId="drugsectionlink">
    <w:name w:val="drug_section_link"/>
    <w:basedOn w:val="DefaultParagraphFont"/>
    <w:rsid w:val="00E837DD"/>
  </w:style>
  <w:style w:type="paragraph" w:customStyle="1" w:styleId="msonormal0">
    <w:name w:val="msonormal"/>
    <w:basedOn w:val="Normal"/>
    <w:uiPriority w:val="99"/>
    <w:qFormat/>
    <w:rsid w:val="00E837DD"/>
    <w:pPr>
      <w:spacing w:before="100" w:beforeAutospacing="1" w:after="100" w:afterAutospacing="1" w:line="240" w:lineRule="auto"/>
    </w:pPr>
    <w:rPr>
      <w:rFonts w:eastAsia="Times New Roman" w:cs="Times New Roman"/>
      <w:kern w:val="0"/>
      <w:szCs w:val="24"/>
      <w:lang w:val="en-US" w:eastAsia="en-US"/>
    </w:rPr>
  </w:style>
  <w:style w:type="table" w:customStyle="1" w:styleId="TableGrid2">
    <w:name w:val="Table Grid2"/>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7DD"/>
    <w:rPr>
      <w:sz w:val="16"/>
      <w:szCs w:val="16"/>
    </w:rPr>
  </w:style>
  <w:style w:type="character" w:styleId="PlaceholderText">
    <w:name w:val="Placeholder Text"/>
    <w:basedOn w:val="DefaultParagraphFont"/>
    <w:uiPriority w:val="99"/>
    <w:semiHidden/>
    <w:rsid w:val="00E837DD"/>
    <w:rPr>
      <w:color w:val="808080"/>
    </w:rPr>
  </w:style>
  <w:style w:type="paragraph" w:styleId="TOCHeading">
    <w:name w:val="TOC Heading"/>
    <w:basedOn w:val="Heading1"/>
    <w:next w:val="Normal"/>
    <w:uiPriority w:val="39"/>
    <w:unhideWhenUsed/>
    <w:qFormat/>
    <w:rsid w:val="00E837DD"/>
    <w:pPr>
      <w:spacing w:before="240" w:line="259" w:lineRule="auto"/>
      <w:outlineLvl w:val="9"/>
    </w:pPr>
    <w:rPr>
      <w:b w:val="0"/>
      <w:bCs w:val="0"/>
      <w:sz w:val="32"/>
      <w:szCs w:val="32"/>
    </w:rPr>
  </w:style>
  <w:style w:type="character" w:customStyle="1" w:styleId="fontstyle21">
    <w:name w:val="fontstyle21"/>
    <w:basedOn w:val="DefaultParagraphFont"/>
    <w:rsid w:val="00E837DD"/>
    <w:rPr>
      <w:rFonts w:ascii="Symbol" w:hAnsi="Symbol" w:hint="default"/>
      <w:b w:val="0"/>
      <w:bCs w:val="0"/>
      <w:i w:val="0"/>
      <w:iCs w:val="0"/>
      <w:color w:val="231F20"/>
      <w:sz w:val="20"/>
      <w:szCs w:val="20"/>
    </w:rPr>
  </w:style>
  <w:style w:type="character" w:customStyle="1" w:styleId="fontstyle11">
    <w:name w:val="fontstyle11"/>
    <w:basedOn w:val="DefaultParagraphFont"/>
    <w:rsid w:val="00E837DD"/>
    <w:rPr>
      <w:rFonts w:ascii="GillSansMT" w:hAnsi="GillSansMT" w:hint="default"/>
      <w:b w:val="0"/>
      <w:bCs w:val="0"/>
      <w:i w:val="0"/>
      <w:iCs w:val="0"/>
      <w:color w:val="242021"/>
      <w:sz w:val="26"/>
      <w:szCs w:val="26"/>
    </w:rPr>
  </w:style>
  <w:style w:type="character" w:customStyle="1" w:styleId="fontstyle31">
    <w:name w:val="fontstyle31"/>
    <w:basedOn w:val="DefaultParagraphFont"/>
    <w:rsid w:val="00E837DD"/>
    <w:rPr>
      <w:rFonts w:ascii="Symbol" w:hAnsi="Symbol" w:hint="default"/>
      <w:b w:val="0"/>
      <w:bCs w:val="0"/>
      <w:i w:val="0"/>
      <w:iCs w:val="0"/>
      <w:color w:val="231F20"/>
      <w:sz w:val="20"/>
      <w:szCs w:val="20"/>
    </w:rPr>
  </w:style>
  <w:style w:type="paragraph" w:customStyle="1" w:styleId="int3">
    <w:name w:val="int_3"/>
    <w:basedOn w:val="Normal"/>
    <w:uiPriority w:val="99"/>
    <w:qFormat/>
    <w:rsid w:val="00E837DD"/>
    <w:pPr>
      <w:spacing w:before="100" w:beforeAutospacing="1" w:after="100" w:afterAutospacing="1" w:line="240" w:lineRule="auto"/>
    </w:pPr>
    <w:rPr>
      <w:rFonts w:eastAsia="Times New Roman" w:cs="Times New Roman"/>
      <w:kern w:val="0"/>
      <w:szCs w:val="24"/>
      <w:lang w:val="en-US" w:eastAsia="en-US"/>
    </w:rPr>
  </w:style>
  <w:style w:type="table" w:customStyle="1" w:styleId="TableGrid20">
    <w:name w:val="Table Grid20"/>
    <w:basedOn w:val="TableNormal"/>
    <w:next w:val="TableGrid"/>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837DD"/>
  </w:style>
  <w:style w:type="table" w:customStyle="1" w:styleId="TableGrid21">
    <w:name w:val="Table Grid21"/>
    <w:basedOn w:val="TableNormal"/>
    <w:next w:val="TableGrid"/>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37DD"/>
    <w:rPr>
      <w:color w:val="605E5C"/>
      <w:shd w:val="clear" w:color="auto" w:fill="E1DFDD"/>
    </w:rPr>
  </w:style>
  <w:style w:type="table" w:customStyle="1" w:styleId="TableGrid23">
    <w:name w:val="Table Grid23"/>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837DD"/>
    <w:pPr>
      <w:spacing w:after="0"/>
    </w:pPr>
    <w:rPr>
      <w:rFonts w:eastAsia="Times New Roman" w:cs="Times New Roman"/>
      <w:b/>
      <w:bCs/>
      <w:color w:val="000000" w:themeColor="text1"/>
      <w:szCs w:val="24"/>
    </w:rPr>
  </w:style>
  <w:style w:type="character" w:customStyle="1" w:styleId="UnresolvedMention2">
    <w:name w:val="Unresolved Mention2"/>
    <w:basedOn w:val="DefaultParagraphFont"/>
    <w:uiPriority w:val="99"/>
    <w:semiHidden/>
    <w:unhideWhenUsed/>
    <w:rsid w:val="00E837DD"/>
    <w:rPr>
      <w:color w:val="605E5C"/>
      <w:shd w:val="clear" w:color="auto" w:fill="E1DFDD"/>
    </w:rPr>
  </w:style>
  <w:style w:type="character" w:customStyle="1" w:styleId="IntenseEmphasis1">
    <w:name w:val="Intense Emphasis1"/>
    <w:basedOn w:val="DefaultParagraphFont"/>
    <w:uiPriority w:val="21"/>
    <w:qFormat/>
    <w:rsid w:val="00E837DD"/>
    <w:rPr>
      <w:b/>
      <w:bCs/>
      <w:i/>
      <w:iCs/>
      <w:color w:val="4472C4" w:themeColor="accent1"/>
    </w:rPr>
  </w:style>
  <w:style w:type="paragraph" w:customStyle="1" w:styleId="z-TopofForm1">
    <w:name w:val="z-Top of Form1"/>
    <w:basedOn w:val="Normal"/>
    <w:next w:val="Normal"/>
    <w:uiPriority w:val="99"/>
    <w:semiHidden/>
    <w:unhideWhenUsed/>
    <w:qFormat/>
    <w:rsid w:val="00E837DD"/>
    <w:pPr>
      <w:pBdr>
        <w:bottom w:val="single" w:sz="6" w:space="1" w:color="auto"/>
      </w:pBdr>
      <w:spacing w:after="0" w:line="240" w:lineRule="auto"/>
      <w:jc w:val="center"/>
    </w:pPr>
    <w:rPr>
      <w:rFonts w:ascii="Arial" w:eastAsia="Times New Roman" w:hAnsi="Arial" w:cs="Arial"/>
      <w:vanish/>
      <w:kern w:val="0"/>
      <w:sz w:val="16"/>
      <w:szCs w:val="16"/>
      <w:lang w:val="en-US" w:eastAsia="en-US"/>
    </w:rPr>
  </w:style>
  <w:style w:type="character" w:customStyle="1" w:styleId="IntenseReference1">
    <w:name w:val="Intense Reference1"/>
    <w:basedOn w:val="DefaultParagraphFont"/>
    <w:uiPriority w:val="32"/>
    <w:qFormat/>
    <w:rsid w:val="00E837DD"/>
    <w:rPr>
      <w:b/>
      <w:bCs/>
      <w:smallCaps/>
      <w:color w:val="2F5496" w:themeColor="accent1" w:themeShade="BF"/>
      <w:spacing w:val="5"/>
    </w:rPr>
  </w:style>
  <w:style w:type="paragraph" w:customStyle="1" w:styleId="Revision1">
    <w:name w:val="Revision1"/>
    <w:hidden/>
    <w:uiPriority w:val="99"/>
    <w:semiHidden/>
    <w:qFormat/>
    <w:rsid w:val="00E837DD"/>
    <w:pPr>
      <w:spacing w:after="0" w:line="240" w:lineRule="auto"/>
    </w:pPr>
    <w:rPr>
      <w:rFonts w:eastAsia="Batang"/>
    </w:rPr>
  </w:style>
  <w:style w:type="paragraph" w:customStyle="1" w:styleId="TOCHeading1">
    <w:name w:val="TOC Heading1"/>
    <w:basedOn w:val="Heading1"/>
    <w:next w:val="Normal"/>
    <w:uiPriority w:val="39"/>
    <w:unhideWhenUsed/>
    <w:qFormat/>
    <w:rsid w:val="00E837DD"/>
    <w:pPr>
      <w:spacing w:before="240" w:line="259" w:lineRule="auto"/>
      <w:outlineLvl w:val="9"/>
    </w:pPr>
    <w:rPr>
      <w:b w:val="0"/>
      <w:bCs w:val="0"/>
      <w:sz w:val="32"/>
      <w:szCs w:val="32"/>
    </w:rPr>
  </w:style>
  <w:style w:type="paragraph" w:styleId="TOC6">
    <w:name w:val="toc 6"/>
    <w:basedOn w:val="Normal"/>
    <w:next w:val="Normal"/>
    <w:autoRedefine/>
    <w:uiPriority w:val="39"/>
    <w:unhideWhenUsed/>
    <w:qFormat/>
    <w:rsid w:val="00E837DD"/>
    <w:pPr>
      <w:spacing w:after="0"/>
      <w:ind w:left="1100"/>
    </w:pPr>
    <w:rPr>
      <w:rFonts w:cstheme="minorHAnsi"/>
      <w:sz w:val="18"/>
      <w:szCs w:val="18"/>
    </w:rPr>
  </w:style>
  <w:style w:type="paragraph" w:styleId="TOC7">
    <w:name w:val="toc 7"/>
    <w:basedOn w:val="Normal"/>
    <w:next w:val="Normal"/>
    <w:autoRedefine/>
    <w:uiPriority w:val="39"/>
    <w:unhideWhenUsed/>
    <w:qFormat/>
    <w:rsid w:val="00E837DD"/>
    <w:pPr>
      <w:spacing w:after="0"/>
      <w:ind w:left="1320"/>
    </w:pPr>
    <w:rPr>
      <w:rFonts w:cstheme="minorHAnsi"/>
      <w:sz w:val="18"/>
      <w:szCs w:val="18"/>
    </w:rPr>
  </w:style>
  <w:style w:type="paragraph" w:styleId="TOC8">
    <w:name w:val="toc 8"/>
    <w:basedOn w:val="Normal"/>
    <w:next w:val="Normal"/>
    <w:autoRedefine/>
    <w:uiPriority w:val="39"/>
    <w:unhideWhenUsed/>
    <w:qFormat/>
    <w:rsid w:val="00E837DD"/>
    <w:pPr>
      <w:spacing w:after="0"/>
      <w:ind w:left="1540"/>
    </w:pPr>
    <w:rPr>
      <w:rFonts w:cstheme="minorHAnsi"/>
      <w:sz w:val="18"/>
      <w:szCs w:val="18"/>
    </w:rPr>
  </w:style>
  <w:style w:type="paragraph" w:styleId="TOC9">
    <w:name w:val="toc 9"/>
    <w:basedOn w:val="Normal"/>
    <w:next w:val="Normal"/>
    <w:autoRedefine/>
    <w:uiPriority w:val="39"/>
    <w:unhideWhenUsed/>
    <w:qFormat/>
    <w:rsid w:val="00E837DD"/>
    <w:pPr>
      <w:spacing w:after="0"/>
      <w:ind w:left="1760"/>
    </w:pPr>
    <w:rPr>
      <w:rFonts w:cstheme="minorHAnsi"/>
      <w:sz w:val="18"/>
      <w:szCs w:val="18"/>
    </w:rPr>
  </w:style>
  <w:style w:type="character" w:customStyle="1" w:styleId="u-font-serif">
    <w:name w:val="u-font-serif"/>
    <w:basedOn w:val="DefaultParagraphFont"/>
    <w:rsid w:val="0053763D"/>
  </w:style>
  <w:style w:type="paragraph" w:styleId="BodyText2">
    <w:name w:val="Body Text 2"/>
    <w:basedOn w:val="Normal"/>
    <w:link w:val="BodyText2Char"/>
    <w:uiPriority w:val="99"/>
    <w:semiHidden/>
    <w:unhideWhenUsed/>
    <w:rsid w:val="00142F45"/>
    <w:pPr>
      <w:spacing w:after="120" w:line="480" w:lineRule="auto"/>
    </w:pPr>
  </w:style>
  <w:style w:type="character" w:customStyle="1" w:styleId="BodyText2Char">
    <w:name w:val="Body Text 2 Char"/>
    <w:basedOn w:val="DefaultParagraphFont"/>
    <w:link w:val="BodyText2"/>
    <w:uiPriority w:val="99"/>
    <w:semiHidden/>
    <w:rsid w:val="00142F45"/>
    <w:rPr>
      <w:rFonts w:eastAsiaTheme="minorEastAsia"/>
      <w:kern w:val="2"/>
      <w:lang w:val="en-GB" w:eastAsia="ko-KR"/>
    </w:rPr>
  </w:style>
  <w:style w:type="character" w:customStyle="1" w:styleId="UnresolvedMention">
    <w:name w:val="Unresolved Mention"/>
    <w:basedOn w:val="DefaultParagraphFont"/>
    <w:uiPriority w:val="99"/>
    <w:semiHidden/>
    <w:unhideWhenUsed/>
    <w:rsid w:val="007B485D"/>
    <w:rPr>
      <w:color w:val="605E5C"/>
      <w:shd w:val="clear" w:color="auto" w:fill="E1DFDD"/>
    </w:rPr>
  </w:style>
  <w:style w:type="character" w:customStyle="1" w:styleId="fontstyle41">
    <w:name w:val="fontstyle41"/>
    <w:basedOn w:val="DefaultParagraphFont"/>
    <w:rsid w:val="007B485D"/>
    <w:rPr>
      <w:rFonts w:ascii="AdvTT505399df" w:hAnsi="AdvTT505399df" w:hint="default"/>
      <w:b w:val="0"/>
      <w:bCs w:val="0"/>
      <w:i w:val="0"/>
      <w:iCs w:val="0"/>
      <w:color w:val="231F20"/>
      <w:sz w:val="12"/>
      <w:szCs w:val="12"/>
    </w:rPr>
  </w:style>
  <w:style w:type="character" w:customStyle="1" w:styleId="fontstyle61">
    <w:name w:val="fontstyle61"/>
    <w:basedOn w:val="DefaultParagraphFont"/>
    <w:rsid w:val="007B485D"/>
    <w:rPr>
      <w:rFonts w:ascii="AdvTTc0bf9acf" w:hAnsi="AdvTTc0bf9acf" w:hint="default"/>
      <w:b w:val="0"/>
      <w:bCs w:val="0"/>
      <w:i w:val="0"/>
      <w:iCs w:val="0"/>
      <w:color w:val="231F20"/>
      <w:sz w:val="14"/>
      <w:szCs w:val="14"/>
    </w:rPr>
  </w:style>
  <w:style w:type="character" w:customStyle="1" w:styleId="overflow-hidden">
    <w:name w:val="overflow-hidden"/>
    <w:basedOn w:val="DefaultParagraphFont"/>
    <w:rsid w:val="00C345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uiPriority="0" w:qFormat="1"/>
    <w:lsdException w:name="footer" w:uiPriority="0" w:qFormat="1"/>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55"/>
    <w:pPr>
      <w:spacing w:line="360" w:lineRule="auto"/>
    </w:pPr>
    <w:rPr>
      <w:rFonts w:ascii="Times New Roman" w:eastAsiaTheme="minorEastAsia" w:hAnsi="Times New Roman"/>
      <w:kern w:val="2"/>
      <w:sz w:val="24"/>
      <w:lang w:val="en-GB" w:eastAsia="ko-KR"/>
    </w:rPr>
  </w:style>
  <w:style w:type="paragraph" w:styleId="Heading1">
    <w:name w:val="heading 1"/>
    <w:basedOn w:val="Normal"/>
    <w:next w:val="Normal"/>
    <w:link w:val="Heading1Char"/>
    <w:qFormat/>
    <w:rsid w:val="0053763D"/>
    <w:pPr>
      <w:keepNext/>
      <w:keepLines/>
      <w:spacing w:before="480" w:after="0"/>
      <w:outlineLvl w:val="0"/>
    </w:pPr>
    <w:rPr>
      <w:rFonts w:eastAsiaTheme="majorEastAsia" w:cstheme="majorBidi"/>
      <w:b/>
      <w:bCs/>
      <w:kern w:val="0"/>
      <w:sz w:val="28"/>
      <w:szCs w:val="28"/>
      <w:lang w:val="en-US" w:eastAsia="en-US"/>
    </w:rPr>
  </w:style>
  <w:style w:type="paragraph" w:styleId="Heading2">
    <w:name w:val="heading 2"/>
    <w:basedOn w:val="Normal"/>
    <w:link w:val="Heading2Char"/>
    <w:uiPriority w:val="9"/>
    <w:qFormat/>
    <w:rsid w:val="00F90A6F"/>
    <w:pPr>
      <w:widowControl w:val="0"/>
      <w:autoSpaceDE w:val="0"/>
      <w:autoSpaceDN w:val="0"/>
      <w:spacing w:after="0"/>
      <w:outlineLvl w:val="1"/>
    </w:pPr>
    <w:rPr>
      <w:rFonts w:eastAsia="Times New Roman" w:cs="Times New Roman"/>
      <w:b/>
      <w:bCs/>
      <w:iCs/>
      <w:kern w:val="0"/>
      <w:sz w:val="26"/>
      <w:szCs w:val="24"/>
      <w:lang w:val="en-US" w:eastAsia="en-US"/>
    </w:rPr>
  </w:style>
  <w:style w:type="paragraph" w:styleId="Heading3">
    <w:name w:val="heading 3"/>
    <w:basedOn w:val="Normal"/>
    <w:next w:val="Normal"/>
    <w:link w:val="Heading3Char"/>
    <w:uiPriority w:val="9"/>
    <w:unhideWhenUsed/>
    <w:qFormat/>
    <w:rsid w:val="00E837DD"/>
    <w:pPr>
      <w:keepNext/>
      <w:keepLines/>
      <w:spacing w:before="200" w:after="0" w:line="276" w:lineRule="auto"/>
      <w:outlineLvl w:val="2"/>
    </w:pPr>
    <w:rPr>
      <w:rFonts w:asciiTheme="majorHAnsi" w:eastAsiaTheme="majorEastAsia" w:hAnsiTheme="majorHAnsi" w:cstheme="majorBidi"/>
      <w:b/>
      <w:bCs/>
      <w:color w:val="4472C4" w:themeColor="accent1"/>
      <w:kern w:val="0"/>
      <w:lang w:val="en-US" w:eastAsia="en-US"/>
    </w:rPr>
  </w:style>
  <w:style w:type="paragraph" w:styleId="Heading4">
    <w:name w:val="heading 4"/>
    <w:basedOn w:val="Normal"/>
    <w:next w:val="Normal"/>
    <w:link w:val="Heading4Char"/>
    <w:uiPriority w:val="9"/>
    <w:unhideWhenUsed/>
    <w:qFormat/>
    <w:rsid w:val="00E837DD"/>
    <w:pPr>
      <w:keepNext/>
      <w:keepLines/>
      <w:spacing w:before="200" w:after="0" w:line="276" w:lineRule="auto"/>
      <w:outlineLvl w:val="3"/>
    </w:pPr>
    <w:rPr>
      <w:rFonts w:asciiTheme="majorHAnsi" w:eastAsiaTheme="majorEastAsia" w:hAnsiTheme="majorHAnsi" w:cstheme="majorBidi"/>
      <w:b/>
      <w:bCs/>
      <w:i/>
      <w:iCs/>
      <w:color w:val="4472C4" w:themeColor="accent1"/>
      <w:kern w:val="0"/>
      <w:lang w:val="en-US" w:eastAsia="en-US"/>
    </w:rPr>
  </w:style>
  <w:style w:type="paragraph" w:styleId="Heading5">
    <w:name w:val="heading 5"/>
    <w:basedOn w:val="Normal"/>
    <w:next w:val="Normal"/>
    <w:link w:val="Heading5Char"/>
    <w:uiPriority w:val="9"/>
    <w:unhideWhenUsed/>
    <w:qFormat/>
    <w:rsid w:val="00E837DD"/>
    <w:pPr>
      <w:keepNext/>
      <w:keepLines/>
      <w:spacing w:before="200" w:after="0" w:line="276" w:lineRule="auto"/>
      <w:outlineLvl w:val="4"/>
    </w:pPr>
    <w:rPr>
      <w:rFonts w:asciiTheme="majorHAnsi" w:eastAsiaTheme="majorEastAsia" w:hAnsiTheme="majorHAnsi" w:cstheme="majorBidi"/>
      <w:color w:val="1F3763" w:themeColor="accent1" w:themeShade="7F"/>
      <w:kern w:val="0"/>
      <w:lang w:val="en-US" w:eastAsia="en-US"/>
    </w:rPr>
  </w:style>
  <w:style w:type="paragraph" w:styleId="Heading6">
    <w:name w:val="heading 6"/>
    <w:basedOn w:val="Normal"/>
    <w:next w:val="Normal"/>
    <w:link w:val="Heading6Char"/>
    <w:uiPriority w:val="9"/>
    <w:unhideWhenUsed/>
    <w:qFormat/>
    <w:rsid w:val="00E837DD"/>
    <w:pPr>
      <w:keepNext/>
      <w:keepLines/>
      <w:spacing w:before="40" w:after="0" w:line="240" w:lineRule="auto"/>
      <w:outlineLvl w:val="5"/>
    </w:pPr>
    <w:rPr>
      <w:rFonts w:eastAsiaTheme="majorEastAsia" w:cstheme="majorBidi"/>
      <w:i/>
      <w:iCs/>
      <w:color w:val="595959" w:themeColor="text1" w:themeTint="A6"/>
      <w:kern w:val="0"/>
      <w:lang w:val="en-US" w:eastAsia="en-US"/>
    </w:rPr>
  </w:style>
  <w:style w:type="paragraph" w:styleId="Heading7">
    <w:name w:val="heading 7"/>
    <w:basedOn w:val="Normal"/>
    <w:next w:val="Normal"/>
    <w:link w:val="Heading7Char"/>
    <w:uiPriority w:val="9"/>
    <w:semiHidden/>
    <w:unhideWhenUsed/>
    <w:qFormat/>
    <w:rsid w:val="00E837DD"/>
    <w:pPr>
      <w:keepNext/>
      <w:keepLines/>
      <w:spacing w:before="40" w:after="0" w:line="240" w:lineRule="auto"/>
      <w:outlineLvl w:val="6"/>
    </w:pPr>
    <w:rPr>
      <w:rFonts w:eastAsiaTheme="majorEastAsia" w:cstheme="majorBidi"/>
      <w:color w:val="595959" w:themeColor="text1" w:themeTint="A6"/>
      <w:kern w:val="0"/>
      <w:lang w:val="en-US" w:eastAsia="en-US"/>
    </w:rPr>
  </w:style>
  <w:style w:type="paragraph" w:styleId="Heading8">
    <w:name w:val="heading 8"/>
    <w:basedOn w:val="Normal"/>
    <w:next w:val="Normal"/>
    <w:link w:val="Heading8Char"/>
    <w:uiPriority w:val="9"/>
    <w:semiHidden/>
    <w:unhideWhenUsed/>
    <w:qFormat/>
    <w:rsid w:val="00E837DD"/>
    <w:pPr>
      <w:keepNext/>
      <w:keepLines/>
      <w:spacing w:after="0" w:line="240" w:lineRule="auto"/>
      <w:outlineLvl w:val="7"/>
    </w:pPr>
    <w:rPr>
      <w:rFonts w:eastAsiaTheme="majorEastAsia" w:cstheme="majorBidi"/>
      <w:i/>
      <w:iCs/>
      <w:color w:val="272727" w:themeColor="text1" w:themeTint="D8"/>
      <w:kern w:val="0"/>
      <w:lang w:val="en-US" w:eastAsia="en-US"/>
    </w:rPr>
  </w:style>
  <w:style w:type="paragraph" w:styleId="Heading9">
    <w:name w:val="heading 9"/>
    <w:basedOn w:val="Normal"/>
    <w:next w:val="Normal"/>
    <w:link w:val="Heading9Char"/>
    <w:uiPriority w:val="9"/>
    <w:semiHidden/>
    <w:unhideWhenUsed/>
    <w:qFormat/>
    <w:rsid w:val="00E837DD"/>
    <w:pPr>
      <w:keepNext/>
      <w:keepLines/>
      <w:spacing w:after="0" w:line="240" w:lineRule="auto"/>
      <w:outlineLvl w:val="8"/>
    </w:pPr>
    <w:rPr>
      <w:rFonts w:eastAsiaTheme="majorEastAsia" w:cstheme="majorBidi"/>
      <w:color w:val="272727" w:themeColor="text1" w:themeTint="D8"/>
      <w:kern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763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90A6F"/>
    <w:rPr>
      <w:rFonts w:ascii="Times New Roman" w:eastAsia="Times New Roman" w:hAnsi="Times New Roman" w:cs="Times New Roman"/>
      <w:b/>
      <w:bCs/>
      <w:iCs/>
      <w:sz w:val="26"/>
      <w:szCs w:val="24"/>
    </w:rPr>
  </w:style>
  <w:style w:type="character" w:customStyle="1" w:styleId="Heading3Char">
    <w:name w:val="Heading 3 Char"/>
    <w:basedOn w:val="DefaultParagraphFont"/>
    <w:link w:val="Heading3"/>
    <w:uiPriority w:val="9"/>
    <w:rsid w:val="00E837D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E837D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E837D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E837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7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7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7DD"/>
    <w:rPr>
      <w:rFonts w:eastAsiaTheme="majorEastAsia" w:cstheme="majorBidi"/>
      <w:color w:val="272727" w:themeColor="text1" w:themeTint="D8"/>
    </w:rPr>
  </w:style>
  <w:style w:type="paragraph" w:customStyle="1" w:styleId="Default">
    <w:name w:val="Default"/>
    <w:qFormat/>
    <w:rsid w:val="00E837DD"/>
    <w:pPr>
      <w:autoSpaceDE w:val="0"/>
      <w:autoSpaceDN w:val="0"/>
      <w:adjustRightInd w:val="0"/>
      <w:spacing w:after="0" w:line="240" w:lineRule="auto"/>
    </w:pPr>
    <w:rPr>
      <w:rFonts w:ascii="Times New Roman" w:eastAsia="Batang" w:hAnsi="Times New Roman" w:cs="Times New Roman"/>
      <w:color w:val="000000"/>
      <w:sz w:val="24"/>
      <w:szCs w:val="24"/>
    </w:rPr>
  </w:style>
  <w:style w:type="character" w:styleId="Hyperlink">
    <w:name w:val="Hyperlink"/>
    <w:basedOn w:val="DefaultParagraphFont"/>
    <w:uiPriority w:val="99"/>
    <w:unhideWhenUsed/>
    <w:qFormat/>
    <w:rsid w:val="00E837DD"/>
    <w:rPr>
      <w:color w:val="0563C1" w:themeColor="hyperlink"/>
      <w:u w:val="single"/>
    </w:rPr>
  </w:style>
  <w:style w:type="paragraph" w:styleId="BodyText">
    <w:name w:val="Body Text"/>
    <w:basedOn w:val="Normal"/>
    <w:link w:val="BodyTextChar"/>
    <w:uiPriority w:val="1"/>
    <w:qFormat/>
    <w:rsid w:val="00E837DD"/>
    <w:pPr>
      <w:widowControl w:val="0"/>
      <w:autoSpaceDE w:val="0"/>
      <w:autoSpaceDN w:val="0"/>
      <w:spacing w:after="0" w:line="240" w:lineRule="auto"/>
      <w:jc w:val="both"/>
    </w:pPr>
    <w:rPr>
      <w:rFonts w:eastAsia="Times New Roman" w:cs="Times New Roman"/>
      <w:kern w:val="0"/>
      <w:szCs w:val="24"/>
      <w:lang w:val="en-US" w:eastAsia="en-US"/>
    </w:rPr>
  </w:style>
  <w:style w:type="character" w:customStyle="1" w:styleId="BodyTextChar">
    <w:name w:val="Body Text Char"/>
    <w:basedOn w:val="DefaultParagraphFont"/>
    <w:link w:val="BodyText"/>
    <w:uiPriority w:val="1"/>
    <w:rsid w:val="00E837DD"/>
    <w:rPr>
      <w:rFonts w:ascii="Times New Roman" w:eastAsia="Times New Roman" w:hAnsi="Times New Roman" w:cs="Times New Roman"/>
      <w:sz w:val="24"/>
      <w:szCs w:val="24"/>
    </w:rPr>
  </w:style>
  <w:style w:type="paragraph" w:styleId="ListParagraph">
    <w:name w:val="List Paragraph"/>
    <w:basedOn w:val="Normal"/>
    <w:uiPriority w:val="34"/>
    <w:qFormat/>
    <w:rsid w:val="00E837DD"/>
    <w:pPr>
      <w:widowControl w:val="0"/>
      <w:autoSpaceDE w:val="0"/>
      <w:autoSpaceDN w:val="0"/>
      <w:spacing w:after="0" w:line="240" w:lineRule="auto"/>
      <w:ind w:left="960" w:hanging="360"/>
      <w:jc w:val="both"/>
    </w:pPr>
    <w:rPr>
      <w:rFonts w:eastAsia="Times New Roman" w:cs="Times New Roman"/>
      <w:kern w:val="0"/>
      <w:lang w:val="en-US" w:eastAsia="en-US"/>
    </w:rPr>
  </w:style>
  <w:style w:type="paragraph" w:styleId="TOC1">
    <w:name w:val="toc 1"/>
    <w:basedOn w:val="Normal"/>
    <w:uiPriority w:val="39"/>
    <w:qFormat/>
    <w:rsid w:val="00E837DD"/>
    <w:pPr>
      <w:spacing w:before="120" w:after="120"/>
    </w:pPr>
    <w:rPr>
      <w:rFonts w:cstheme="minorHAnsi"/>
      <w:b/>
      <w:bCs/>
      <w:caps/>
      <w:sz w:val="20"/>
      <w:szCs w:val="20"/>
    </w:rPr>
  </w:style>
  <w:style w:type="paragraph" w:styleId="TOC2">
    <w:name w:val="toc 2"/>
    <w:basedOn w:val="Normal"/>
    <w:uiPriority w:val="39"/>
    <w:qFormat/>
    <w:rsid w:val="00E837DD"/>
    <w:pPr>
      <w:spacing w:after="0"/>
      <w:ind w:left="220"/>
    </w:pPr>
    <w:rPr>
      <w:rFonts w:cstheme="minorHAnsi"/>
      <w:smallCaps/>
      <w:sz w:val="20"/>
      <w:szCs w:val="20"/>
    </w:rPr>
  </w:style>
  <w:style w:type="paragraph" w:styleId="TOC3">
    <w:name w:val="toc 3"/>
    <w:basedOn w:val="Normal"/>
    <w:uiPriority w:val="39"/>
    <w:qFormat/>
    <w:rsid w:val="00E837DD"/>
    <w:pPr>
      <w:spacing w:after="0"/>
      <w:ind w:left="440"/>
    </w:pPr>
    <w:rPr>
      <w:rFonts w:cstheme="minorHAnsi"/>
      <w:i/>
      <w:iCs/>
      <w:sz w:val="20"/>
      <w:szCs w:val="20"/>
    </w:rPr>
  </w:style>
  <w:style w:type="paragraph" w:styleId="TOC4">
    <w:name w:val="toc 4"/>
    <w:basedOn w:val="Normal"/>
    <w:uiPriority w:val="39"/>
    <w:qFormat/>
    <w:rsid w:val="00E837DD"/>
    <w:pPr>
      <w:spacing w:after="0"/>
      <w:ind w:left="660"/>
    </w:pPr>
    <w:rPr>
      <w:rFonts w:cstheme="minorHAnsi"/>
      <w:sz w:val="18"/>
      <w:szCs w:val="18"/>
    </w:rPr>
  </w:style>
  <w:style w:type="paragraph" w:styleId="TOC5">
    <w:name w:val="toc 5"/>
    <w:basedOn w:val="Normal"/>
    <w:uiPriority w:val="39"/>
    <w:qFormat/>
    <w:rsid w:val="00E837DD"/>
    <w:pPr>
      <w:spacing w:after="0"/>
      <w:ind w:left="880"/>
    </w:pPr>
    <w:rPr>
      <w:rFonts w:cstheme="minorHAnsi"/>
      <w:sz w:val="18"/>
      <w:szCs w:val="18"/>
    </w:rPr>
  </w:style>
  <w:style w:type="paragraph" w:styleId="Title">
    <w:name w:val="Title"/>
    <w:basedOn w:val="Normal"/>
    <w:link w:val="TitleChar"/>
    <w:uiPriority w:val="1"/>
    <w:qFormat/>
    <w:rsid w:val="00E837DD"/>
    <w:pPr>
      <w:widowControl w:val="0"/>
      <w:autoSpaceDE w:val="0"/>
      <w:autoSpaceDN w:val="0"/>
      <w:spacing w:after="0" w:line="240" w:lineRule="auto"/>
      <w:ind w:left="650" w:right="2197"/>
      <w:jc w:val="center"/>
    </w:pPr>
    <w:rPr>
      <w:rFonts w:eastAsia="Times New Roman" w:cs="Times New Roman"/>
      <w:b/>
      <w:bCs/>
      <w:kern w:val="0"/>
      <w:sz w:val="36"/>
      <w:szCs w:val="36"/>
      <w:lang w:val="en-US" w:eastAsia="en-US"/>
    </w:rPr>
  </w:style>
  <w:style w:type="character" w:customStyle="1" w:styleId="TitleChar">
    <w:name w:val="Title Char"/>
    <w:basedOn w:val="DefaultParagraphFont"/>
    <w:link w:val="Title"/>
    <w:uiPriority w:val="1"/>
    <w:rsid w:val="00E837DD"/>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E837DD"/>
    <w:pPr>
      <w:widowControl w:val="0"/>
      <w:autoSpaceDE w:val="0"/>
      <w:autoSpaceDN w:val="0"/>
      <w:spacing w:after="0" w:line="240" w:lineRule="auto"/>
      <w:ind w:left="107"/>
    </w:pPr>
    <w:rPr>
      <w:rFonts w:eastAsia="Times New Roman" w:cs="Times New Roman"/>
      <w:kern w:val="0"/>
      <w:lang w:val="en-US" w:eastAsia="en-US"/>
    </w:rPr>
  </w:style>
  <w:style w:type="character" w:customStyle="1" w:styleId="BalloonTextChar">
    <w:name w:val="Balloon Text Char"/>
    <w:basedOn w:val="DefaultParagraphFont"/>
    <w:link w:val="BalloonText"/>
    <w:uiPriority w:val="99"/>
    <w:semiHidden/>
    <w:rsid w:val="00E837DD"/>
    <w:rPr>
      <w:rFonts w:ascii="Tahoma" w:eastAsia="Times New Roman" w:hAnsi="Tahoma" w:cs="Tahoma"/>
      <w:sz w:val="16"/>
      <w:szCs w:val="16"/>
    </w:rPr>
  </w:style>
  <w:style w:type="paragraph" w:styleId="BalloonText">
    <w:name w:val="Balloon Text"/>
    <w:basedOn w:val="Normal"/>
    <w:link w:val="BalloonTextChar"/>
    <w:uiPriority w:val="99"/>
    <w:semiHidden/>
    <w:unhideWhenUsed/>
    <w:qFormat/>
    <w:rsid w:val="00E837DD"/>
    <w:pPr>
      <w:widowControl w:val="0"/>
      <w:autoSpaceDE w:val="0"/>
      <w:autoSpaceDN w:val="0"/>
      <w:spacing w:after="0" w:line="240" w:lineRule="auto"/>
    </w:pPr>
    <w:rPr>
      <w:rFonts w:ascii="Tahoma" w:eastAsia="Times New Roman" w:hAnsi="Tahoma" w:cs="Tahoma"/>
      <w:kern w:val="0"/>
      <w:sz w:val="16"/>
      <w:szCs w:val="16"/>
      <w:lang w:val="en-US" w:eastAsia="en-US"/>
    </w:rPr>
  </w:style>
  <w:style w:type="character" w:customStyle="1" w:styleId="BalloonTextChar1">
    <w:name w:val="Balloon Text Char1"/>
    <w:basedOn w:val="DefaultParagraphFont"/>
    <w:uiPriority w:val="99"/>
    <w:semiHidden/>
    <w:rsid w:val="00E837DD"/>
    <w:rPr>
      <w:rFonts w:ascii="Segoe UI" w:eastAsiaTheme="minorEastAsia" w:hAnsi="Segoe UI" w:cs="Segoe UI"/>
      <w:kern w:val="2"/>
      <w:sz w:val="18"/>
      <w:szCs w:val="18"/>
      <w:lang w:val="en-GB" w:eastAsia="ko-KR"/>
    </w:rPr>
  </w:style>
  <w:style w:type="character" w:customStyle="1" w:styleId="HeaderChar">
    <w:name w:val="Header Char"/>
    <w:basedOn w:val="DefaultParagraphFont"/>
    <w:link w:val="Header"/>
    <w:uiPriority w:val="99"/>
    <w:rsid w:val="00E837DD"/>
  </w:style>
  <w:style w:type="paragraph" w:styleId="Header">
    <w:name w:val="header"/>
    <w:basedOn w:val="Normal"/>
    <w:link w:val="HeaderChar"/>
    <w:unhideWhenUsed/>
    <w:qFormat/>
    <w:rsid w:val="00E837DD"/>
    <w:pPr>
      <w:tabs>
        <w:tab w:val="center" w:pos="4680"/>
        <w:tab w:val="right" w:pos="9360"/>
      </w:tabs>
      <w:spacing w:after="0" w:line="240" w:lineRule="auto"/>
    </w:pPr>
    <w:rPr>
      <w:rFonts w:eastAsiaTheme="minorHAnsi"/>
      <w:kern w:val="0"/>
      <w:lang w:val="en-US" w:eastAsia="en-US"/>
    </w:rPr>
  </w:style>
  <w:style w:type="character" w:customStyle="1" w:styleId="HeaderChar1">
    <w:name w:val="Header Char1"/>
    <w:basedOn w:val="DefaultParagraphFont"/>
    <w:uiPriority w:val="99"/>
    <w:semiHidden/>
    <w:rsid w:val="00E837DD"/>
    <w:rPr>
      <w:rFonts w:eastAsiaTheme="minorEastAsia"/>
      <w:kern w:val="2"/>
      <w:lang w:val="en-GB" w:eastAsia="ko-KR"/>
    </w:rPr>
  </w:style>
  <w:style w:type="paragraph" w:styleId="Footer">
    <w:name w:val="footer"/>
    <w:basedOn w:val="Normal"/>
    <w:link w:val="FooterChar"/>
    <w:unhideWhenUsed/>
    <w:qFormat/>
    <w:rsid w:val="00E837DD"/>
    <w:pPr>
      <w:tabs>
        <w:tab w:val="center" w:pos="4680"/>
        <w:tab w:val="right" w:pos="9360"/>
      </w:tabs>
      <w:spacing w:after="0" w:line="240" w:lineRule="auto"/>
    </w:pPr>
    <w:rPr>
      <w:rFonts w:eastAsiaTheme="minorHAnsi"/>
      <w:kern w:val="0"/>
      <w:lang w:val="en-US" w:eastAsia="en-US"/>
    </w:rPr>
  </w:style>
  <w:style w:type="character" w:customStyle="1" w:styleId="FooterChar">
    <w:name w:val="Footer Char"/>
    <w:basedOn w:val="DefaultParagraphFont"/>
    <w:link w:val="Footer"/>
    <w:uiPriority w:val="99"/>
    <w:rsid w:val="00E837DD"/>
  </w:style>
  <w:style w:type="character" w:customStyle="1" w:styleId="fontstyle01">
    <w:name w:val="fontstyle01"/>
    <w:basedOn w:val="DefaultParagraphFont"/>
    <w:rsid w:val="00E837DD"/>
    <w:rPr>
      <w:rFonts w:ascii="Arial Nova Light" w:hAnsi="Arial Nova Light" w:hint="default"/>
      <w:b w:val="0"/>
      <w:bCs w:val="0"/>
      <w:i w:val="0"/>
      <w:iCs w:val="0"/>
      <w:color w:val="000000"/>
      <w:sz w:val="20"/>
      <w:szCs w:val="20"/>
    </w:rPr>
  </w:style>
  <w:style w:type="table" w:styleId="TableGrid">
    <w:name w:val="Table Grid"/>
    <w:basedOn w:val="TableNormal"/>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E837DD"/>
    <w:rPr>
      <w:sz w:val="20"/>
      <w:szCs w:val="20"/>
    </w:rPr>
  </w:style>
  <w:style w:type="paragraph" w:styleId="CommentText">
    <w:name w:val="annotation text"/>
    <w:basedOn w:val="Normal"/>
    <w:link w:val="CommentTextChar"/>
    <w:uiPriority w:val="99"/>
    <w:unhideWhenUsed/>
    <w:qFormat/>
    <w:rsid w:val="00E837DD"/>
    <w:pPr>
      <w:spacing w:after="200" w:line="240" w:lineRule="auto"/>
    </w:pPr>
    <w:rPr>
      <w:rFonts w:eastAsiaTheme="minorHAnsi"/>
      <w:kern w:val="0"/>
      <w:sz w:val="20"/>
      <w:szCs w:val="20"/>
      <w:lang w:val="en-US" w:eastAsia="en-US"/>
    </w:rPr>
  </w:style>
  <w:style w:type="character" w:customStyle="1" w:styleId="CommentTextChar1">
    <w:name w:val="Comment Text Char1"/>
    <w:basedOn w:val="DefaultParagraphFont"/>
    <w:uiPriority w:val="99"/>
    <w:semiHidden/>
    <w:rsid w:val="00E837DD"/>
    <w:rPr>
      <w:rFonts w:eastAsiaTheme="minorEastAsia"/>
      <w:kern w:val="2"/>
      <w:sz w:val="20"/>
      <w:szCs w:val="20"/>
      <w:lang w:val="en-GB" w:eastAsia="ko-KR"/>
    </w:rPr>
  </w:style>
  <w:style w:type="character" w:customStyle="1" w:styleId="CommentSubjectChar">
    <w:name w:val="Comment Subject Char"/>
    <w:basedOn w:val="CommentTextChar"/>
    <w:link w:val="CommentSubject"/>
    <w:uiPriority w:val="99"/>
    <w:semiHidden/>
    <w:rsid w:val="00E837DD"/>
    <w:rPr>
      <w:b/>
      <w:bCs/>
      <w:sz w:val="20"/>
      <w:szCs w:val="20"/>
    </w:rPr>
  </w:style>
  <w:style w:type="paragraph" w:styleId="CommentSubject">
    <w:name w:val="annotation subject"/>
    <w:basedOn w:val="CommentText"/>
    <w:next w:val="CommentText"/>
    <w:link w:val="CommentSubjectChar"/>
    <w:uiPriority w:val="99"/>
    <w:semiHidden/>
    <w:unhideWhenUsed/>
    <w:qFormat/>
    <w:rsid w:val="00E837DD"/>
    <w:rPr>
      <w:b/>
      <w:bCs/>
    </w:rPr>
  </w:style>
  <w:style w:type="character" w:customStyle="1" w:styleId="CommentSubjectChar1">
    <w:name w:val="Comment Subject Char1"/>
    <w:basedOn w:val="CommentTextChar1"/>
    <w:uiPriority w:val="99"/>
    <w:semiHidden/>
    <w:rsid w:val="00E837DD"/>
    <w:rPr>
      <w:rFonts w:eastAsiaTheme="minorEastAsia"/>
      <w:b/>
      <w:bCs/>
      <w:kern w:val="2"/>
      <w:sz w:val="20"/>
      <w:szCs w:val="20"/>
      <w:lang w:val="en-GB" w:eastAsia="ko-KR"/>
    </w:rPr>
  </w:style>
  <w:style w:type="character" w:styleId="IntenseEmphasis">
    <w:name w:val="Intense Emphasis"/>
    <w:basedOn w:val="DefaultParagraphFont"/>
    <w:uiPriority w:val="21"/>
    <w:qFormat/>
    <w:rsid w:val="00E837DD"/>
    <w:rPr>
      <w:b/>
      <w:bCs/>
      <w:i/>
      <w:iCs/>
      <w:color w:val="4472C4" w:themeColor="accent1"/>
    </w:rPr>
  </w:style>
  <w:style w:type="character" w:styleId="Strong">
    <w:name w:val="Strong"/>
    <w:basedOn w:val="DefaultParagraphFont"/>
    <w:uiPriority w:val="22"/>
    <w:qFormat/>
    <w:rsid w:val="00E837DD"/>
    <w:rPr>
      <w:b/>
      <w:bCs/>
    </w:rPr>
  </w:style>
  <w:style w:type="character" w:customStyle="1" w:styleId="z-TopofFormChar">
    <w:name w:val="z-Top of Form Char"/>
    <w:basedOn w:val="DefaultParagraphFont"/>
    <w:link w:val="z-TopofForm"/>
    <w:uiPriority w:val="99"/>
    <w:semiHidden/>
    <w:rsid w:val="00E837D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E837DD"/>
    <w:pPr>
      <w:pBdr>
        <w:bottom w:val="single" w:sz="6" w:space="1" w:color="auto"/>
      </w:pBdr>
      <w:spacing w:after="0" w:line="240" w:lineRule="auto"/>
      <w:jc w:val="center"/>
    </w:pPr>
    <w:rPr>
      <w:rFonts w:ascii="Arial" w:eastAsia="Times New Roman" w:hAnsi="Arial" w:cs="Arial"/>
      <w:vanish/>
      <w:kern w:val="0"/>
      <w:sz w:val="16"/>
      <w:szCs w:val="16"/>
      <w:lang w:val="en-US" w:eastAsia="en-US"/>
    </w:rPr>
  </w:style>
  <w:style w:type="character" w:customStyle="1" w:styleId="z-TopofFormChar1">
    <w:name w:val="z-Top of Form Char1"/>
    <w:basedOn w:val="DefaultParagraphFont"/>
    <w:uiPriority w:val="99"/>
    <w:semiHidden/>
    <w:rsid w:val="00E837DD"/>
    <w:rPr>
      <w:rFonts w:ascii="Arial" w:eastAsiaTheme="minorEastAsia" w:hAnsi="Arial" w:cs="Arial"/>
      <w:vanish/>
      <w:kern w:val="2"/>
      <w:sz w:val="16"/>
      <w:szCs w:val="16"/>
      <w:lang w:val="en-GB" w:eastAsia="ko-KR"/>
    </w:rPr>
  </w:style>
  <w:style w:type="character" w:styleId="Emphasis">
    <w:name w:val="Emphasis"/>
    <w:basedOn w:val="DefaultParagraphFont"/>
    <w:uiPriority w:val="20"/>
    <w:qFormat/>
    <w:rsid w:val="00E837DD"/>
    <w:rPr>
      <w:i/>
      <w:iCs/>
    </w:rPr>
  </w:style>
  <w:style w:type="paragraph" w:styleId="NormalWeb">
    <w:name w:val="Normal (Web)"/>
    <w:basedOn w:val="Normal"/>
    <w:uiPriority w:val="99"/>
    <w:unhideWhenUsed/>
    <w:qFormat/>
    <w:rsid w:val="00E837DD"/>
    <w:pPr>
      <w:spacing w:before="100" w:beforeAutospacing="1" w:after="100" w:afterAutospacing="1" w:line="240" w:lineRule="auto"/>
    </w:pPr>
    <w:rPr>
      <w:rFonts w:eastAsia="Times New Roman" w:cs="Times New Roman"/>
      <w:kern w:val="0"/>
      <w:szCs w:val="24"/>
      <w:lang w:eastAsia="en-GB"/>
    </w:rPr>
  </w:style>
  <w:style w:type="paragraph" w:styleId="Subtitle">
    <w:name w:val="Subtitle"/>
    <w:basedOn w:val="Normal"/>
    <w:next w:val="Normal"/>
    <w:link w:val="SubtitleChar"/>
    <w:uiPriority w:val="11"/>
    <w:qFormat/>
    <w:rsid w:val="00E837DD"/>
    <w:pPr>
      <w:numPr>
        <w:ilvl w:val="1"/>
      </w:numPr>
      <w:spacing w:line="240" w:lineRule="auto"/>
    </w:pPr>
    <w:rPr>
      <w:rFonts w:eastAsiaTheme="majorEastAsia" w:cstheme="majorBidi"/>
      <w:color w:val="595959" w:themeColor="text1" w:themeTint="A6"/>
      <w:spacing w:val="15"/>
      <w:kern w:val="0"/>
      <w:sz w:val="28"/>
      <w:szCs w:val="28"/>
      <w:lang w:val="en-US" w:eastAsia="en-US"/>
    </w:rPr>
  </w:style>
  <w:style w:type="character" w:customStyle="1" w:styleId="SubtitleChar">
    <w:name w:val="Subtitle Char"/>
    <w:basedOn w:val="DefaultParagraphFont"/>
    <w:link w:val="Subtitle"/>
    <w:uiPriority w:val="11"/>
    <w:rsid w:val="00E837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7DD"/>
    <w:pPr>
      <w:spacing w:before="160" w:line="240" w:lineRule="auto"/>
      <w:jc w:val="center"/>
    </w:pPr>
    <w:rPr>
      <w:rFonts w:eastAsiaTheme="minorHAnsi"/>
      <w:i/>
      <w:iCs/>
      <w:color w:val="404040" w:themeColor="text1" w:themeTint="BF"/>
      <w:kern w:val="0"/>
      <w:lang w:val="en-US" w:eastAsia="en-US"/>
    </w:rPr>
  </w:style>
  <w:style w:type="character" w:customStyle="1" w:styleId="QuoteChar">
    <w:name w:val="Quote Char"/>
    <w:basedOn w:val="DefaultParagraphFont"/>
    <w:link w:val="Quote"/>
    <w:uiPriority w:val="29"/>
    <w:rsid w:val="00E837DD"/>
    <w:rPr>
      <w:i/>
      <w:iCs/>
      <w:color w:val="404040" w:themeColor="text1" w:themeTint="BF"/>
    </w:rPr>
  </w:style>
  <w:style w:type="paragraph" w:styleId="IntenseQuote">
    <w:name w:val="Intense Quote"/>
    <w:basedOn w:val="Normal"/>
    <w:next w:val="Normal"/>
    <w:link w:val="IntenseQuoteChar"/>
    <w:uiPriority w:val="30"/>
    <w:qFormat/>
    <w:rsid w:val="00E837DD"/>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heme="minorHAnsi"/>
      <w:i/>
      <w:iCs/>
      <w:color w:val="2F5496" w:themeColor="accent1" w:themeShade="BF"/>
      <w:kern w:val="0"/>
      <w:lang w:val="en-US" w:eastAsia="en-US"/>
    </w:rPr>
  </w:style>
  <w:style w:type="character" w:customStyle="1" w:styleId="IntenseQuoteChar">
    <w:name w:val="Intense Quote Char"/>
    <w:basedOn w:val="DefaultParagraphFont"/>
    <w:link w:val="IntenseQuote"/>
    <w:uiPriority w:val="30"/>
    <w:rsid w:val="00E837DD"/>
    <w:rPr>
      <w:i/>
      <w:iCs/>
      <w:color w:val="2F5496" w:themeColor="accent1" w:themeShade="BF"/>
    </w:rPr>
  </w:style>
  <w:style w:type="character" w:styleId="IntenseReference">
    <w:name w:val="Intense Reference"/>
    <w:basedOn w:val="DefaultParagraphFont"/>
    <w:uiPriority w:val="32"/>
    <w:qFormat/>
    <w:rsid w:val="00E837DD"/>
    <w:rPr>
      <w:b/>
      <w:bCs/>
      <w:smallCaps/>
      <w:color w:val="2F5496" w:themeColor="accent1" w:themeShade="BF"/>
      <w:spacing w:val="5"/>
    </w:rPr>
  </w:style>
  <w:style w:type="paragraph" w:customStyle="1" w:styleId="a7bb8675-a5ae-4091-bce2-e7b3ade225ad">
    <w:name w:val="a7bb8675-a5ae-4091-bce2-e7b3ade225ad"/>
    <w:basedOn w:val="Normal"/>
    <w:qFormat/>
    <w:rsid w:val="00E837DD"/>
    <w:pPr>
      <w:spacing w:before="100" w:beforeAutospacing="1" w:after="100" w:afterAutospacing="1" w:line="240" w:lineRule="auto"/>
    </w:pPr>
    <w:rPr>
      <w:rFonts w:eastAsia="Times New Roman" w:cs="Times New Roman"/>
      <w:kern w:val="0"/>
      <w:szCs w:val="24"/>
      <w:lang w:val="en-US" w:eastAsia="en-US"/>
    </w:rPr>
  </w:style>
  <w:style w:type="character" w:customStyle="1" w:styleId="drug-classes">
    <w:name w:val="drug-classes"/>
    <w:basedOn w:val="DefaultParagraphFont"/>
    <w:rsid w:val="00E837DD"/>
  </w:style>
  <w:style w:type="character" w:styleId="FollowedHyperlink">
    <w:name w:val="FollowedHyperlink"/>
    <w:basedOn w:val="DefaultParagraphFont"/>
    <w:uiPriority w:val="99"/>
    <w:semiHidden/>
    <w:unhideWhenUsed/>
    <w:rsid w:val="00E837DD"/>
    <w:rPr>
      <w:color w:val="954F72" w:themeColor="followedHyperlink"/>
      <w:u w:val="single"/>
    </w:rPr>
  </w:style>
  <w:style w:type="paragraph" w:styleId="Revision">
    <w:name w:val="Revision"/>
    <w:hidden/>
    <w:uiPriority w:val="99"/>
    <w:semiHidden/>
    <w:qFormat/>
    <w:rsid w:val="00E837DD"/>
    <w:pPr>
      <w:spacing w:after="0" w:line="240" w:lineRule="auto"/>
    </w:pPr>
    <w:rPr>
      <w:rFonts w:eastAsia="Batang"/>
    </w:rPr>
  </w:style>
  <w:style w:type="paragraph" w:customStyle="1" w:styleId="para-list-item">
    <w:name w:val="para-list-item"/>
    <w:basedOn w:val="Normal"/>
    <w:qFormat/>
    <w:rsid w:val="00E837DD"/>
    <w:pPr>
      <w:spacing w:before="100" w:beforeAutospacing="1" w:after="100" w:afterAutospacing="1" w:line="240" w:lineRule="auto"/>
    </w:pPr>
    <w:rPr>
      <w:rFonts w:eastAsia="Times New Roman" w:cs="Times New Roman"/>
      <w:kern w:val="0"/>
      <w:szCs w:val="24"/>
      <w:lang w:eastAsia="en-GB"/>
    </w:rPr>
  </w:style>
  <w:style w:type="character" w:customStyle="1" w:styleId="hgkelc">
    <w:name w:val="hgkelc"/>
    <w:basedOn w:val="DefaultParagraphFont"/>
    <w:rsid w:val="00E837DD"/>
  </w:style>
  <w:style w:type="character" w:customStyle="1" w:styleId="kx21rb">
    <w:name w:val="kx21rb"/>
    <w:basedOn w:val="DefaultParagraphFont"/>
    <w:rsid w:val="00E837DD"/>
  </w:style>
  <w:style w:type="paragraph" w:customStyle="1" w:styleId="main-checkbox">
    <w:name w:val="main-checkbox"/>
    <w:basedOn w:val="Normal"/>
    <w:qFormat/>
    <w:rsid w:val="00E837DD"/>
    <w:pPr>
      <w:spacing w:before="100" w:beforeAutospacing="1" w:after="100" w:afterAutospacing="1" w:line="240" w:lineRule="auto"/>
    </w:pPr>
    <w:rPr>
      <w:rFonts w:eastAsia="Times New Roman" w:cs="Times New Roman"/>
      <w:kern w:val="0"/>
      <w:szCs w:val="24"/>
      <w:lang w:eastAsia="en-GB"/>
    </w:rPr>
  </w:style>
  <w:style w:type="paragraph" w:customStyle="1" w:styleId="sub-checkbox">
    <w:name w:val="sub-checkbox"/>
    <w:basedOn w:val="Normal"/>
    <w:qFormat/>
    <w:rsid w:val="00E837DD"/>
    <w:pPr>
      <w:spacing w:before="100" w:beforeAutospacing="1" w:after="100" w:afterAutospacing="1" w:line="240" w:lineRule="auto"/>
    </w:pPr>
    <w:rPr>
      <w:rFonts w:eastAsia="Times New Roman" w:cs="Times New Roman"/>
      <w:kern w:val="0"/>
      <w:szCs w:val="24"/>
      <w:lang w:eastAsia="en-GB"/>
    </w:rPr>
  </w:style>
  <w:style w:type="paragraph" w:customStyle="1" w:styleId="text-align-justify">
    <w:name w:val="text-align-justify"/>
    <w:basedOn w:val="Normal"/>
    <w:qFormat/>
    <w:rsid w:val="00E837DD"/>
    <w:pPr>
      <w:spacing w:before="100" w:beforeAutospacing="1" w:after="100" w:afterAutospacing="1" w:line="240" w:lineRule="auto"/>
    </w:pPr>
    <w:rPr>
      <w:rFonts w:eastAsia="Times New Roman" w:cs="Times New Roman"/>
      <w:kern w:val="0"/>
      <w:szCs w:val="24"/>
      <w:lang w:eastAsia="en-GB"/>
    </w:rPr>
  </w:style>
  <w:style w:type="character" w:customStyle="1" w:styleId="lecrdtxtpln">
    <w:name w:val="l_ecrd_txt_pln"/>
    <w:basedOn w:val="DefaultParagraphFont"/>
    <w:rsid w:val="00E837DD"/>
  </w:style>
  <w:style w:type="character" w:customStyle="1" w:styleId="drugsectionlink">
    <w:name w:val="drug_section_link"/>
    <w:basedOn w:val="DefaultParagraphFont"/>
    <w:rsid w:val="00E837DD"/>
  </w:style>
  <w:style w:type="paragraph" w:customStyle="1" w:styleId="msonormal0">
    <w:name w:val="msonormal"/>
    <w:basedOn w:val="Normal"/>
    <w:uiPriority w:val="99"/>
    <w:qFormat/>
    <w:rsid w:val="00E837DD"/>
    <w:pPr>
      <w:spacing w:before="100" w:beforeAutospacing="1" w:after="100" w:afterAutospacing="1" w:line="240" w:lineRule="auto"/>
    </w:pPr>
    <w:rPr>
      <w:rFonts w:eastAsia="Times New Roman" w:cs="Times New Roman"/>
      <w:kern w:val="0"/>
      <w:szCs w:val="24"/>
      <w:lang w:val="en-US" w:eastAsia="en-US"/>
    </w:rPr>
  </w:style>
  <w:style w:type="table" w:customStyle="1" w:styleId="TableGrid2">
    <w:name w:val="Table Grid2"/>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7DD"/>
    <w:rPr>
      <w:sz w:val="16"/>
      <w:szCs w:val="16"/>
    </w:rPr>
  </w:style>
  <w:style w:type="character" w:styleId="PlaceholderText">
    <w:name w:val="Placeholder Text"/>
    <w:basedOn w:val="DefaultParagraphFont"/>
    <w:uiPriority w:val="99"/>
    <w:semiHidden/>
    <w:rsid w:val="00E837DD"/>
    <w:rPr>
      <w:color w:val="808080"/>
    </w:rPr>
  </w:style>
  <w:style w:type="paragraph" w:styleId="TOCHeading">
    <w:name w:val="TOC Heading"/>
    <w:basedOn w:val="Heading1"/>
    <w:next w:val="Normal"/>
    <w:uiPriority w:val="39"/>
    <w:unhideWhenUsed/>
    <w:qFormat/>
    <w:rsid w:val="00E837DD"/>
    <w:pPr>
      <w:spacing w:before="240" w:line="259" w:lineRule="auto"/>
      <w:outlineLvl w:val="9"/>
    </w:pPr>
    <w:rPr>
      <w:b w:val="0"/>
      <w:bCs w:val="0"/>
      <w:sz w:val="32"/>
      <w:szCs w:val="32"/>
    </w:rPr>
  </w:style>
  <w:style w:type="character" w:customStyle="1" w:styleId="fontstyle21">
    <w:name w:val="fontstyle21"/>
    <w:basedOn w:val="DefaultParagraphFont"/>
    <w:rsid w:val="00E837DD"/>
    <w:rPr>
      <w:rFonts w:ascii="Symbol" w:hAnsi="Symbol" w:hint="default"/>
      <w:b w:val="0"/>
      <w:bCs w:val="0"/>
      <w:i w:val="0"/>
      <w:iCs w:val="0"/>
      <w:color w:val="231F20"/>
      <w:sz w:val="20"/>
      <w:szCs w:val="20"/>
    </w:rPr>
  </w:style>
  <w:style w:type="character" w:customStyle="1" w:styleId="fontstyle11">
    <w:name w:val="fontstyle11"/>
    <w:basedOn w:val="DefaultParagraphFont"/>
    <w:rsid w:val="00E837DD"/>
    <w:rPr>
      <w:rFonts w:ascii="GillSansMT" w:hAnsi="GillSansMT" w:hint="default"/>
      <w:b w:val="0"/>
      <w:bCs w:val="0"/>
      <w:i w:val="0"/>
      <w:iCs w:val="0"/>
      <w:color w:val="242021"/>
      <w:sz w:val="26"/>
      <w:szCs w:val="26"/>
    </w:rPr>
  </w:style>
  <w:style w:type="character" w:customStyle="1" w:styleId="fontstyle31">
    <w:name w:val="fontstyle31"/>
    <w:basedOn w:val="DefaultParagraphFont"/>
    <w:rsid w:val="00E837DD"/>
    <w:rPr>
      <w:rFonts w:ascii="Symbol" w:hAnsi="Symbol" w:hint="default"/>
      <w:b w:val="0"/>
      <w:bCs w:val="0"/>
      <w:i w:val="0"/>
      <w:iCs w:val="0"/>
      <w:color w:val="231F20"/>
      <w:sz w:val="20"/>
      <w:szCs w:val="20"/>
    </w:rPr>
  </w:style>
  <w:style w:type="paragraph" w:customStyle="1" w:styleId="int3">
    <w:name w:val="int_3"/>
    <w:basedOn w:val="Normal"/>
    <w:uiPriority w:val="99"/>
    <w:qFormat/>
    <w:rsid w:val="00E837DD"/>
    <w:pPr>
      <w:spacing w:before="100" w:beforeAutospacing="1" w:after="100" w:afterAutospacing="1" w:line="240" w:lineRule="auto"/>
    </w:pPr>
    <w:rPr>
      <w:rFonts w:eastAsia="Times New Roman" w:cs="Times New Roman"/>
      <w:kern w:val="0"/>
      <w:szCs w:val="24"/>
      <w:lang w:val="en-US" w:eastAsia="en-US"/>
    </w:rPr>
  </w:style>
  <w:style w:type="table" w:customStyle="1" w:styleId="TableGrid20">
    <w:name w:val="Table Grid20"/>
    <w:basedOn w:val="TableNormal"/>
    <w:next w:val="TableGrid"/>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837DD"/>
  </w:style>
  <w:style w:type="table" w:customStyle="1" w:styleId="TableGrid21">
    <w:name w:val="Table Grid21"/>
    <w:basedOn w:val="TableNormal"/>
    <w:next w:val="TableGrid"/>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E837D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37DD"/>
    <w:rPr>
      <w:color w:val="605E5C"/>
      <w:shd w:val="clear" w:color="auto" w:fill="E1DFDD"/>
    </w:rPr>
  </w:style>
  <w:style w:type="table" w:customStyle="1" w:styleId="TableGrid23">
    <w:name w:val="Table Grid23"/>
    <w:basedOn w:val="TableNormal"/>
    <w:next w:val="TableGrid"/>
    <w:uiPriority w:val="59"/>
    <w:qFormat/>
    <w:rsid w:val="00E837D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837DD"/>
    <w:pPr>
      <w:spacing w:after="0"/>
    </w:pPr>
    <w:rPr>
      <w:rFonts w:eastAsia="Times New Roman" w:cs="Times New Roman"/>
      <w:b/>
      <w:bCs/>
      <w:color w:val="000000" w:themeColor="text1"/>
      <w:szCs w:val="24"/>
    </w:rPr>
  </w:style>
  <w:style w:type="character" w:customStyle="1" w:styleId="UnresolvedMention2">
    <w:name w:val="Unresolved Mention2"/>
    <w:basedOn w:val="DefaultParagraphFont"/>
    <w:uiPriority w:val="99"/>
    <w:semiHidden/>
    <w:unhideWhenUsed/>
    <w:rsid w:val="00E837DD"/>
    <w:rPr>
      <w:color w:val="605E5C"/>
      <w:shd w:val="clear" w:color="auto" w:fill="E1DFDD"/>
    </w:rPr>
  </w:style>
  <w:style w:type="character" w:customStyle="1" w:styleId="IntenseEmphasis1">
    <w:name w:val="Intense Emphasis1"/>
    <w:basedOn w:val="DefaultParagraphFont"/>
    <w:uiPriority w:val="21"/>
    <w:qFormat/>
    <w:rsid w:val="00E837DD"/>
    <w:rPr>
      <w:b/>
      <w:bCs/>
      <w:i/>
      <w:iCs/>
      <w:color w:val="4472C4" w:themeColor="accent1"/>
    </w:rPr>
  </w:style>
  <w:style w:type="paragraph" w:customStyle="1" w:styleId="z-TopofForm1">
    <w:name w:val="z-Top of Form1"/>
    <w:basedOn w:val="Normal"/>
    <w:next w:val="Normal"/>
    <w:uiPriority w:val="99"/>
    <w:semiHidden/>
    <w:unhideWhenUsed/>
    <w:qFormat/>
    <w:rsid w:val="00E837DD"/>
    <w:pPr>
      <w:pBdr>
        <w:bottom w:val="single" w:sz="6" w:space="1" w:color="auto"/>
      </w:pBdr>
      <w:spacing w:after="0" w:line="240" w:lineRule="auto"/>
      <w:jc w:val="center"/>
    </w:pPr>
    <w:rPr>
      <w:rFonts w:ascii="Arial" w:eastAsia="Times New Roman" w:hAnsi="Arial" w:cs="Arial"/>
      <w:vanish/>
      <w:kern w:val="0"/>
      <w:sz w:val="16"/>
      <w:szCs w:val="16"/>
      <w:lang w:val="en-US" w:eastAsia="en-US"/>
    </w:rPr>
  </w:style>
  <w:style w:type="character" w:customStyle="1" w:styleId="IntenseReference1">
    <w:name w:val="Intense Reference1"/>
    <w:basedOn w:val="DefaultParagraphFont"/>
    <w:uiPriority w:val="32"/>
    <w:qFormat/>
    <w:rsid w:val="00E837DD"/>
    <w:rPr>
      <w:b/>
      <w:bCs/>
      <w:smallCaps/>
      <w:color w:val="2F5496" w:themeColor="accent1" w:themeShade="BF"/>
      <w:spacing w:val="5"/>
    </w:rPr>
  </w:style>
  <w:style w:type="paragraph" w:customStyle="1" w:styleId="Revision1">
    <w:name w:val="Revision1"/>
    <w:hidden/>
    <w:uiPriority w:val="99"/>
    <w:semiHidden/>
    <w:qFormat/>
    <w:rsid w:val="00E837DD"/>
    <w:pPr>
      <w:spacing w:after="0" w:line="240" w:lineRule="auto"/>
    </w:pPr>
    <w:rPr>
      <w:rFonts w:eastAsia="Batang"/>
    </w:rPr>
  </w:style>
  <w:style w:type="paragraph" w:customStyle="1" w:styleId="TOCHeading1">
    <w:name w:val="TOC Heading1"/>
    <w:basedOn w:val="Heading1"/>
    <w:next w:val="Normal"/>
    <w:uiPriority w:val="39"/>
    <w:unhideWhenUsed/>
    <w:qFormat/>
    <w:rsid w:val="00E837DD"/>
    <w:pPr>
      <w:spacing w:before="240" w:line="259" w:lineRule="auto"/>
      <w:outlineLvl w:val="9"/>
    </w:pPr>
    <w:rPr>
      <w:b w:val="0"/>
      <w:bCs w:val="0"/>
      <w:sz w:val="32"/>
      <w:szCs w:val="32"/>
    </w:rPr>
  </w:style>
  <w:style w:type="paragraph" w:styleId="TOC6">
    <w:name w:val="toc 6"/>
    <w:basedOn w:val="Normal"/>
    <w:next w:val="Normal"/>
    <w:autoRedefine/>
    <w:uiPriority w:val="39"/>
    <w:unhideWhenUsed/>
    <w:qFormat/>
    <w:rsid w:val="00E837DD"/>
    <w:pPr>
      <w:spacing w:after="0"/>
      <w:ind w:left="1100"/>
    </w:pPr>
    <w:rPr>
      <w:rFonts w:cstheme="minorHAnsi"/>
      <w:sz w:val="18"/>
      <w:szCs w:val="18"/>
    </w:rPr>
  </w:style>
  <w:style w:type="paragraph" w:styleId="TOC7">
    <w:name w:val="toc 7"/>
    <w:basedOn w:val="Normal"/>
    <w:next w:val="Normal"/>
    <w:autoRedefine/>
    <w:uiPriority w:val="39"/>
    <w:unhideWhenUsed/>
    <w:qFormat/>
    <w:rsid w:val="00E837DD"/>
    <w:pPr>
      <w:spacing w:after="0"/>
      <w:ind w:left="1320"/>
    </w:pPr>
    <w:rPr>
      <w:rFonts w:cstheme="minorHAnsi"/>
      <w:sz w:val="18"/>
      <w:szCs w:val="18"/>
    </w:rPr>
  </w:style>
  <w:style w:type="paragraph" w:styleId="TOC8">
    <w:name w:val="toc 8"/>
    <w:basedOn w:val="Normal"/>
    <w:next w:val="Normal"/>
    <w:autoRedefine/>
    <w:uiPriority w:val="39"/>
    <w:unhideWhenUsed/>
    <w:qFormat/>
    <w:rsid w:val="00E837DD"/>
    <w:pPr>
      <w:spacing w:after="0"/>
      <w:ind w:left="1540"/>
    </w:pPr>
    <w:rPr>
      <w:rFonts w:cstheme="minorHAnsi"/>
      <w:sz w:val="18"/>
      <w:szCs w:val="18"/>
    </w:rPr>
  </w:style>
  <w:style w:type="paragraph" w:styleId="TOC9">
    <w:name w:val="toc 9"/>
    <w:basedOn w:val="Normal"/>
    <w:next w:val="Normal"/>
    <w:autoRedefine/>
    <w:uiPriority w:val="39"/>
    <w:unhideWhenUsed/>
    <w:qFormat/>
    <w:rsid w:val="00E837DD"/>
    <w:pPr>
      <w:spacing w:after="0"/>
      <w:ind w:left="1760"/>
    </w:pPr>
    <w:rPr>
      <w:rFonts w:cstheme="minorHAnsi"/>
      <w:sz w:val="18"/>
      <w:szCs w:val="18"/>
    </w:rPr>
  </w:style>
  <w:style w:type="character" w:customStyle="1" w:styleId="u-font-serif">
    <w:name w:val="u-font-serif"/>
    <w:basedOn w:val="DefaultParagraphFont"/>
    <w:rsid w:val="0053763D"/>
  </w:style>
  <w:style w:type="paragraph" w:styleId="BodyText2">
    <w:name w:val="Body Text 2"/>
    <w:basedOn w:val="Normal"/>
    <w:link w:val="BodyText2Char"/>
    <w:uiPriority w:val="99"/>
    <w:semiHidden/>
    <w:unhideWhenUsed/>
    <w:rsid w:val="00142F45"/>
    <w:pPr>
      <w:spacing w:after="120" w:line="480" w:lineRule="auto"/>
    </w:pPr>
  </w:style>
  <w:style w:type="character" w:customStyle="1" w:styleId="BodyText2Char">
    <w:name w:val="Body Text 2 Char"/>
    <w:basedOn w:val="DefaultParagraphFont"/>
    <w:link w:val="BodyText2"/>
    <w:uiPriority w:val="99"/>
    <w:semiHidden/>
    <w:rsid w:val="00142F45"/>
    <w:rPr>
      <w:rFonts w:eastAsiaTheme="minorEastAsia"/>
      <w:kern w:val="2"/>
      <w:lang w:val="en-GB" w:eastAsia="ko-KR"/>
    </w:rPr>
  </w:style>
  <w:style w:type="character" w:customStyle="1" w:styleId="UnresolvedMention">
    <w:name w:val="Unresolved Mention"/>
    <w:basedOn w:val="DefaultParagraphFont"/>
    <w:uiPriority w:val="99"/>
    <w:semiHidden/>
    <w:unhideWhenUsed/>
    <w:rsid w:val="007B485D"/>
    <w:rPr>
      <w:color w:val="605E5C"/>
      <w:shd w:val="clear" w:color="auto" w:fill="E1DFDD"/>
    </w:rPr>
  </w:style>
  <w:style w:type="character" w:customStyle="1" w:styleId="fontstyle41">
    <w:name w:val="fontstyle41"/>
    <w:basedOn w:val="DefaultParagraphFont"/>
    <w:rsid w:val="007B485D"/>
    <w:rPr>
      <w:rFonts w:ascii="AdvTT505399df" w:hAnsi="AdvTT505399df" w:hint="default"/>
      <w:b w:val="0"/>
      <w:bCs w:val="0"/>
      <w:i w:val="0"/>
      <w:iCs w:val="0"/>
      <w:color w:val="231F20"/>
      <w:sz w:val="12"/>
      <w:szCs w:val="12"/>
    </w:rPr>
  </w:style>
  <w:style w:type="character" w:customStyle="1" w:styleId="fontstyle61">
    <w:name w:val="fontstyle61"/>
    <w:basedOn w:val="DefaultParagraphFont"/>
    <w:rsid w:val="007B485D"/>
    <w:rPr>
      <w:rFonts w:ascii="AdvTTc0bf9acf" w:hAnsi="AdvTTc0bf9acf" w:hint="default"/>
      <w:b w:val="0"/>
      <w:bCs w:val="0"/>
      <w:i w:val="0"/>
      <w:iCs w:val="0"/>
      <w:color w:val="231F20"/>
      <w:sz w:val="14"/>
      <w:szCs w:val="14"/>
    </w:rPr>
  </w:style>
  <w:style w:type="character" w:customStyle="1" w:styleId="overflow-hidden">
    <w:name w:val="overflow-hidden"/>
    <w:basedOn w:val="DefaultParagraphFont"/>
    <w:rsid w:val="00C34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edication" TargetMode="External"/><Relationship Id="rId18" Type="http://schemas.openxmlformats.org/officeDocument/2006/relationships/hyperlink" Target="https://en.wikipedia.org/wiki/ACE_inhibitor" TargetMode="External"/><Relationship Id="rId26" Type="http://schemas.openxmlformats.org/officeDocument/2006/relationships/hyperlink" Target="https://www.bing.com/ck/a?!&amp;&amp;p=14fa5b0251b7a07bJmltdHM9MTcxNzYzMjAwMCZpZ3VpZD0zMjk0MTEyYy03MzAzLTY0Y2EtMDBmZS0wNWJhNzJiNzY1NjkmaW5zaWQ9NTc5Ng&amp;ptn=3&amp;ver=2&amp;hsh=3&amp;fclid=3294112c-7303-64ca-00fe-05ba72b76569&amp;psq=Medicines+for+Neurological+Disorders&amp;u=a1aHR0cHM6Ly93d3cucHN5Y2hndWlkZXMuY29tL25ldXJvbG9naWNhbC1kaXNvcmRlcnMvdHJlYXRtZW50Lw&amp;ntb=1" TargetMode="External"/><Relationship Id="rId39" Type="http://schemas.openxmlformats.org/officeDocument/2006/relationships/hyperlink" Target="https://www.healthdirect.gov.au/blood-testing" TargetMode="External"/><Relationship Id="rId3" Type="http://schemas.openxmlformats.org/officeDocument/2006/relationships/styles" Target="styles.xml"/><Relationship Id="rId21" Type="http://schemas.openxmlformats.org/officeDocument/2006/relationships/hyperlink" Target="https://www.sciencedirect.com/topics/pharmacology-toxicology-and-pharmaceutical-science/isosorbide" TargetMode="External"/><Relationship Id="rId34" Type="http://schemas.openxmlformats.org/officeDocument/2006/relationships/hyperlink" Target="https://www.drugs.com/drug-class/antihistamines.html" TargetMode="External"/><Relationship Id="rId42" Type="http://schemas.openxmlformats.org/officeDocument/2006/relationships/hyperlink" Target="https://www.healthdirect.gov.au/medicines/medicinal-product/aht,11132/folic-acid" TargetMode="External"/><Relationship Id="rId47" Type="http://schemas.openxmlformats.org/officeDocument/2006/relationships/hyperlink" Target="https://reference.medscape.com/drugs/critical-car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n.wikipedia.org/wiki/Calcium_channel_blocker" TargetMode="External"/><Relationship Id="rId25" Type="http://schemas.openxmlformats.org/officeDocument/2006/relationships/hyperlink" Target="https://www.drugs.com/drug-interactions/meropenem-with-mycophenolate-mofetil-1566-0-1671-0.html" TargetMode="External"/><Relationship Id="rId33" Type="http://schemas.openxmlformats.org/officeDocument/2006/relationships/hyperlink" Target="https://www.drugs.com/drug-class/antihistamines.html" TargetMode="External"/><Relationship Id="rId38" Type="http://schemas.openxmlformats.org/officeDocument/2006/relationships/hyperlink" Target="https://www.healthdirect.gov.au/anaemia" TargetMode="External"/><Relationship Id="rId46" Type="http://schemas.openxmlformats.org/officeDocument/2006/relationships/hyperlink" Target="https://www.drugs.com/drug-class/plasma-expanders.html" TargetMode="External"/><Relationship Id="rId2" Type="http://schemas.openxmlformats.org/officeDocument/2006/relationships/numbering" Target="numbering.xml"/><Relationship Id="rId16" Type="http://schemas.openxmlformats.org/officeDocument/2006/relationships/hyperlink" Target="https://en.wikipedia.org/wiki/Thiazide_diuretic" TargetMode="External"/><Relationship Id="rId20" Type="http://schemas.openxmlformats.org/officeDocument/2006/relationships/hyperlink" Target="https://www.sciencedirect.com/topics/pharmacology-toxicology-and-pharmaceutical-science/glyceryl-trinitrate" TargetMode="External"/><Relationship Id="rId29" Type="http://schemas.openxmlformats.org/officeDocument/2006/relationships/hyperlink" Target="https://www.drugs.com/drug-class/adrenergic-bronchodilators.html" TargetMode="External"/><Relationship Id="rId41" Type="http://schemas.openxmlformats.org/officeDocument/2006/relationships/hyperlink" Target="https://www.healthdirect.gov.au/iron-deficienc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da.gov.et" TargetMode="External"/><Relationship Id="rId24" Type="http://schemas.openxmlformats.org/officeDocument/2006/relationships/hyperlink" Target="https://www.lung.org/lung-health-diseases/lung-disease-lookup/pulmonary-arterial-hypertension" TargetMode="External"/><Relationship Id="rId32" Type="http://schemas.openxmlformats.org/officeDocument/2006/relationships/hyperlink" Target="https://www.drugs.com/drug-class/antihistamines.html" TargetMode="External"/><Relationship Id="rId37" Type="http://schemas.openxmlformats.org/officeDocument/2006/relationships/hyperlink" Target="https://www.drugs.com/drug-class/phenothiazine-antiemetics.html" TargetMode="External"/><Relationship Id="rId40" Type="http://schemas.openxmlformats.org/officeDocument/2006/relationships/hyperlink" Target="https://www.healthdirect.gov.au/red-blood-cells" TargetMode="External"/><Relationship Id="rId45" Type="http://schemas.openxmlformats.org/officeDocument/2006/relationships/hyperlink" Target="https://kidney.org.au/your-kidneys/living-with-kidney-disease/anaemia" TargetMode="External"/><Relationship Id="rId5" Type="http://schemas.openxmlformats.org/officeDocument/2006/relationships/settings" Target="settings.xml"/><Relationship Id="rId15" Type="http://schemas.openxmlformats.org/officeDocument/2006/relationships/hyperlink" Target="https://en.wikipedia.org/wiki/Clinical_endpoint" TargetMode="External"/><Relationship Id="rId23" Type="http://schemas.openxmlformats.org/officeDocument/2006/relationships/hyperlink" Target="https://www.sciencedirect.com/topics/pharmacology-toxicology-and-pharmaceutical-science/channel-blocker" TargetMode="External"/><Relationship Id="rId28" Type="http://schemas.openxmlformats.org/officeDocument/2006/relationships/hyperlink" Target="https://www.bing.com/ck/a?!&amp;&amp;p=75111b6a620defdaJmltdHM9MTcxNzYzMjAwMCZpZ3VpZD0zMjk0MTEyYy03MzAzLTY0Y2EtMDBmZS0wNWJhNzJiNzY1NjkmaW5zaWQ9NTgwNg&amp;ptn=3&amp;ver=2&amp;hsh=3&amp;fclid=3294112c-7303-64ca-00fe-05ba72b76569&amp;psq=Medicines+for+Neurological+Disorders&amp;u=a1aHR0cHM6Ly93d3cucHN5Y2hndWlkZXMuY29tL25ldXJvbG9naWNhbC1kaXNvcmRlcnMvdHJlYXRtZW50Lw&amp;ntb=1" TargetMode="External"/><Relationship Id="rId36" Type="http://schemas.openxmlformats.org/officeDocument/2006/relationships/hyperlink" Target="https://www.drugs.com/drug-class/antihistamines.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wikipedia.org/wiki/Beta_blocker" TargetMode="External"/><Relationship Id="rId31" Type="http://schemas.openxmlformats.org/officeDocument/2006/relationships/hyperlink" Target="https://www.drugs.com/drug-class/vasopressors.html" TargetMode="External"/><Relationship Id="rId44" Type="http://schemas.openxmlformats.org/officeDocument/2006/relationships/hyperlink" Target="https://www.healthdirect.gov.au/medicines/medicinal-product/aht,21291/hydroxocobalam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Hypertension" TargetMode="External"/><Relationship Id="rId22" Type="http://schemas.openxmlformats.org/officeDocument/2006/relationships/hyperlink" Target="https://www.sciencedirect.com/topics/pharmacology-toxicology-and-pharmaceutical-science/pentaerythritol" TargetMode="External"/><Relationship Id="rId27" Type="http://schemas.openxmlformats.org/officeDocument/2006/relationships/hyperlink" Target="https://www.bing.com/ck/a?!&amp;&amp;p=22965ce308953e4eJmltdHM9MTcxNzYzMjAwMCZpZ3VpZD0zMjk0MTEyYy03MzAzLTY0Y2EtMDBmZS0wNWJhNzJiNzY1NjkmaW5zaWQ9NTgwMQ&amp;ptn=3&amp;ver=2&amp;hsh=3&amp;fclid=3294112c-7303-64ca-00fe-05ba72b76569&amp;psq=Medicines+for+Neurological+Disorders&amp;u=a1aHR0cHM6Ly93d3cucHN5Y2hndWlkZXMuY29tL25ldXJvbG9naWNhbC1kaXNvcmRlcnMvdHJlYXRtZW50Lw&amp;ntb=1" TargetMode="External"/><Relationship Id="rId30" Type="http://schemas.openxmlformats.org/officeDocument/2006/relationships/hyperlink" Target="https://www.drugs.com/drug-class/catecholamines.html" TargetMode="External"/><Relationship Id="rId35" Type="http://schemas.openxmlformats.org/officeDocument/2006/relationships/hyperlink" Target="https://www.drugs.com/drug-class/antihistamines.html" TargetMode="External"/><Relationship Id="rId43" Type="http://schemas.openxmlformats.org/officeDocument/2006/relationships/hyperlink" Target="https://www.healthdirect.gov.au/vitamin-b-deficiency" TargetMode="External"/><Relationship Id="rId48" Type="http://schemas.openxmlformats.org/officeDocument/2006/relationships/hyperlink" Target="http://www.netdoctor.co.uk/diseases/depression/monoamineoxidaseinhibitors_000101.ht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6A9DBAA-4882-443A-BA5D-5FF3F13D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201293</Words>
  <Characters>1147375</Characters>
  <Application>Microsoft Office Word</Application>
  <DocSecurity>0</DocSecurity>
  <Lines>9561</Lines>
  <Paragraphs>2691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1345977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Abebe</dc:creator>
  <cp:lastModifiedBy>D</cp:lastModifiedBy>
  <cp:revision>3</cp:revision>
  <cp:lastPrinted>2024-10-10T19:09:00Z</cp:lastPrinted>
  <dcterms:created xsi:type="dcterms:W3CDTF">2024-10-17T10:37:00Z</dcterms:created>
  <dcterms:modified xsi:type="dcterms:W3CDTF">2024-10-17T10:38:00Z</dcterms:modified>
</cp:coreProperties>
</file>